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56915" w14:textId="77777777" w:rsidR="000E52B0" w:rsidRDefault="00F60D74">
      <w:pPr>
        <w:tabs>
          <w:tab w:val="left" w:pos="3904"/>
        </w:tabs>
        <w:spacing w:before="74"/>
        <w:ind w:left="626" w:right="627" w:hanging="10"/>
        <w:jc w:val="center"/>
        <w:rPr>
          <w:b/>
          <w:sz w:val="24"/>
        </w:rPr>
      </w:pPr>
      <w:r>
        <w:rPr>
          <w:b/>
          <w:sz w:val="24"/>
        </w:rPr>
        <w:t xml:space="preserve">PROYECTO DE LEY </w:t>
      </w:r>
      <w:r>
        <w:rPr>
          <w:rFonts w:ascii="Times New Roman" w:hAnsi="Times New Roman"/>
          <w:sz w:val="24"/>
          <w:u w:val="thick"/>
        </w:rPr>
        <w:tab/>
      </w:r>
      <w:r>
        <w:rPr>
          <w:rFonts w:ascii="Times New Roman" w:hAnsi="Times New Roman"/>
          <w:spacing w:val="-35"/>
          <w:sz w:val="24"/>
        </w:rPr>
        <w:t xml:space="preserve"> </w:t>
      </w:r>
      <w:r>
        <w:rPr>
          <w:b/>
          <w:sz w:val="24"/>
        </w:rPr>
        <w:t>“POR MEDIO DEL CUAL SE CREA EL MINISTERIO</w:t>
      </w:r>
      <w:r>
        <w:rPr>
          <w:b/>
          <w:spacing w:val="-6"/>
          <w:sz w:val="24"/>
        </w:rPr>
        <w:t xml:space="preserve"> </w:t>
      </w:r>
      <w:r>
        <w:rPr>
          <w:b/>
          <w:sz w:val="24"/>
        </w:rPr>
        <w:t>DE</w:t>
      </w:r>
      <w:r>
        <w:rPr>
          <w:b/>
          <w:spacing w:val="-6"/>
          <w:sz w:val="24"/>
        </w:rPr>
        <w:t xml:space="preserve"> </w:t>
      </w:r>
      <w:r>
        <w:rPr>
          <w:b/>
          <w:sz w:val="24"/>
        </w:rPr>
        <w:t>IGUALDAD</w:t>
      </w:r>
      <w:r>
        <w:rPr>
          <w:b/>
          <w:spacing w:val="-6"/>
          <w:sz w:val="24"/>
        </w:rPr>
        <w:t xml:space="preserve"> </w:t>
      </w:r>
      <w:r>
        <w:rPr>
          <w:b/>
          <w:sz w:val="24"/>
        </w:rPr>
        <w:t>Y</w:t>
      </w:r>
      <w:r>
        <w:rPr>
          <w:b/>
          <w:spacing w:val="-8"/>
          <w:sz w:val="24"/>
        </w:rPr>
        <w:t xml:space="preserve"> </w:t>
      </w:r>
      <w:r>
        <w:rPr>
          <w:b/>
          <w:sz w:val="24"/>
        </w:rPr>
        <w:t>EQUIDAD</w:t>
      </w:r>
      <w:r>
        <w:rPr>
          <w:b/>
          <w:spacing w:val="-6"/>
          <w:sz w:val="24"/>
        </w:rPr>
        <w:t xml:space="preserve"> </w:t>
      </w:r>
      <w:r>
        <w:rPr>
          <w:b/>
          <w:sz w:val="24"/>
        </w:rPr>
        <w:t>Y</w:t>
      </w:r>
      <w:r>
        <w:rPr>
          <w:b/>
          <w:spacing w:val="-8"/>
          <w:sz w:val="24"/>
        </w:rPr>
        <w:t xml:space="preserve"> </w:t>
      </w:r>
      <w:r>
        <w:rPr>
          <w:b/>
          <w:sz w:val="24"/>
        </w:rPr>
        <w:t>SE</w:t>
      </w:r>
      <w:r>
        <w:rPr>
          <w:b/>
          <w:spacing w:val="-6"/>
          <w:sz w:val="24"/>
        </w:rPr>
        <w:t xml:space="preserve"> </w:t>
      </w:r>
      <w:r>
        <w:rPr>
          <w:b/>
          <w:sz w:val="24"/>
        </w:rPr>
        <w:t>DICTAN</w:t>
      </w:r>
      <w:r>
        <w:rPr>
          <w:b/>
          <w:spacing w:val="-5"/>
          <w:sz w:val="24"/>
        </w:rPr>
        <w:t xml:space="preserve"> </w:t>
      </w:r>
      <w:r>
        <w:rPr>
          <w:b/>
          <w:sz w:val="24"/>
        </w:rPr>
        <w:t xml:space="preserve">OTRAS </w:t>
      </w:r>
      <w:r>
        <w:rPr>
          <w:b/>
          <w:spacing w:val="-2"/>
          <w:sz w:val="24"/>
        </w:rPr>
        <w:t>DISPOSICIONES”</w:t>
      </w:r>
    </w:p>
    <w:p w14:paraId="372D0A8B" w14:textId="77777777" w:rsidR="000E52B0" w:rsidRDefault="00F60D74">
      <w:pPr>
        <w:spacing w:before="160" w:line="374" w:lineRule="auto"/>
        <w:ind w:left="869" w:right="869"/>
        <w:jc w:val="center"/>
        <w:rPr>
          <w:b/>
          <w:sz w:val="24"/>
        </w:rPr>
      </w:pPr>
      <w:r>
        <w:rPr>
          <w:b/>
          <w:sz w:val="24"/>
        </w:rPr>
        <w:t>EL</w:t>
      </w:r>
      <w:r>
        <w:rPr>
          <w:b/>
          <w:spacing w:val="-6"/>
          <w:sz w:val="24"/>
        </w:rPr>
        <w:t xml:space="preserve"> </w:t>
      </w:r>
      <w:r>
        <w:rPr>
          <w:b/>
          <w:sz w:val="24"/>
        </w:rPr>
        <w:t>CONGRESO</w:t>
      </w:r>
      <w:r>
        <w:rPr>
          <w:b/>
          <w:spacing w:val="-7"/>
          <w:sz w:val="24"/>
        </w:rPr>
        <w:t xml:space="preserve"> </w:t>
      </w:r>
      <w:r>
        <w:rPr>
          <w:b/>
          <w:sz w:val="24"/>
        </w:rPr>
        <w:t>DE</w:t>
      </w:r>
      <w:r>
        <w:rPr>
          <w:b/>
          <w:spacing w:val="-7"/>
          <w:sz w:val="24"/>
        </w:rPr>
        <w:t xml:space="preserve"> </w:t>
      </w:r>
      <w:r>
        <w:rPr>
          <w:b/>
          <w:sz w:val="24"/>
        </w:rPr>
        <w:t>LA</w:t>
      </w:r>
      <w:r>
        <w:rPr>
          <w:b/>
          <w:spacing w:val="-9"/>
          <w:sz w:val="24"/>
        </w:rPr>
        <w:t xml:space="preserve"> </w:t>
      </w:r>
      <w:r>
        <w:rPr>
          <w:b/>
          <w:sz w:val="24"/>
        </w:rPr>
        <w:t>REPÚBLICA</w:t>
      </w:r>
      <w:r>
        <w:rPr>
          <w:b/>
          <w:spacing w:val="-9"/>
          <w:sz w:val="24"/>
        </w:rPr>
        <w:t xml:space="preserve"> </w:t>
      </w:r>
      <w:r>
        <w:rPr>
          <w:b/>
          <w:sz w:val="24"/>
        </w:rPr>
        <w:t>DE</w:t>
      </w:r>
      <w:r>
        <w:rPr>
          <w:b/>
          <w:spacing w:val="-7"/>
          <w:sz w:val="24"/>
        </w:rPr>
        <w:t xml:space="preserve"> </w:t>
      </w:r>
      <w:r>
        <w:rPr>
          <w:b/>
          <w:sz w:val="24"/>
        </w:rPr>
        <w:t xml:space="preserve">COLOMBIA </w:t>
      </w:r>
      <w:r>
        <w:rPr>
          <w:b/>
          <w:spacing w:val="-2"/>
          <w:sz w:val="24"/>
        </w:rPr>
        <w:t>DECRETA:</w:t>
      </w:r>
    </w:p>
    <w:p w14:paraId="55FA4E03" w14:textId="77777777" w:rsidR="000E52B0" w:rsidRDefault="00F60D74">
      <w:pPr>
        <w:spacing w:line="237" w:lineRule="auto"/>
        <w:ind w:left="44" w:right="36"/>
        <w:jc w:val="center"/>
        <w:rPr>
          <w:sz w:val="24"/>
        </w:rPr>
      </w:pPr>
      <w:r>
        <w:rPr>
          <w:b/>
          <w:sz w:val="24"/>
        </w:rPr>
        <w:t>ARTÍCULO 1. OBJETO DE LA LEY.</w:t>
      </w:r>
      <w:r>
        <w:rPr>
          <w:b/>
          <w:spacing w:val="24"/>
          <w:sz w:val="24"/>
        </w:rPr>
        <w:t xml:space="preserve"> </w:t>
      </w:r>
      <w:r>
        <w:rPr>
          <w:sz w:val="24"/>
        </w:rPr>
        <w:t>El objeto de la presente ley, en el</w:t>
      </w:r>
      <w:r>
        <w:rPr>
          <w:spacing w:val="40"/>
          <w:sz w:val="24"/>
        </w:rPr>
        <w:t xml:space="preserve"> </w:t>
      </w:r>
      <w:r>
        <w:rPr>
          <w:sz w:val="24"/>
        </w:rPr>
        <w:t>marco</w:t>
      </w:r>
      <w:r>
        <w:rPr>
          <w:spacing w:val="5"/>
          <w:sz w:val="24"/>
        </w:rPr>
        <w:t xml:space="preserve"> </w:t>
      </w:r>
      <w:r>
        <w:rPr>
          <w:sz w:val="24"/>
        </w:rPr>
        <w:t>del</w:t>
      </w:r>
      <w:r>
        <w:rPr>
          <w:spacing w:val="10"/>
          <w:sz w:val="24"/>
        </w:rPr>
        <w:t xml:space="preserve"> </w:t>
      </w:r>
      <w:r>
        <w:rPr>
          <w:sz w:val="24"/>
        </w:rPr>
        <w:t>artículo</w:t>
      </w:r>
      <w:r>
        <w:rPr>
          <w:spacing w:val="12"/>
          <w:sz w:val="24"/>
        </w:rPr>
        <w:t xml:space="preserve"> </w:t>
      </w:r>
      <w:r>
        <w:rPr>
          <w:sz w:val="24"/>
        </w:rPr>
        <w:t>150</w:t>
      </w:r>
      <w:r>
        <w:rPr>
          <w:spacing w:val="10"/>
          <w:sz w:val="24"/>
        </w:rPr>
        <w:t xml:space="preserve"> </w:t>
      </w:r>
      <w:r>
        <w:rPr>
          <w:sz w:val="24"/>
        </w:rPr>
        <w:t>numeral</w:t>
      </w:r>
      <w:r>
        <w:rPr>
          <w:spacing w:val="8"/>
          <w:sz w:val="24"/>
        </w:rPr>
        <w:t xml:space="preserve"> </w:t>
      </w:r>
      <w:r>
        <w:rPr>
          <w:sz w:val="24"/>
        </w:rPr>
        <w:t>7</w:t>
      </w:r>
      <w:r>
        <w:rPr>
          <w:spacing w:val="10"/>
          <w:sz w:val="24"/>
        </w:rPr>
        <w:t xml:space="preserve"> </w:t>
      </w:r>
      <w:r>
        <w:rPr>
          <w:sz w:val="24"/>
        </w:rPr>
        <w:t>de</w:t>
      </w:r>
      <w:r>
        <w:rPr>
          <w:spacing w:val="11"/>
          <w:sz w:val="24"/>
        </w:rPr>
        <w:t xml:space="preserve"> </w:t>
      </w:r>
      <w:r>
        <w:rPr>
          <w:sz w:val="24"/>
        </w:rPr>
        <w:t>la</w:t>
      </w:r>
      <w:r>
        <w:rPr>
          <w:spacing w:val="9"/>
          <w:sz w:val="24"/>
        </w:rPr>
        <w:t xml:space="preserve"> </w:t>
      </w:r>
      <w:r>
        <w:rPr>
          <w:sz w:val="24"/>
        </w:rPr>
        <w:t>Constitución</w:t>
      </w:r>
      <w:r>
        <w:rPr>
          <w:spacing w:val="7"/>
          <w:sz w:val="24"/>
        </w:rPr>
        <w:t xml:space="preserve"> </w:t>
      </w:r>
      <w:r>
        <w:rPr>
          <w:sz w:val="24"/>
        </w:rPr>
        <w:t>Política</w:t>
      </w:r>
      <w:r>
        <w:rPr>
          <w:spacing w:val="14"/>
          <w:sz w:val="24"/>
        </w:rPr>
        <w:t xml:space="preserve"> </w:t>
      </w:r>
      <w:r>
        <w:rPr>
          <w:sz w:val="24"/>
        </w:rPr>
        <w:t>y</w:t>
      </w:r>
      <w:r>
        <w:rPr>
          <w:spacing w:val="7"/>
          <w:sz w:val="24"/>
        </w:rPr>
        <w:t xml:space="preserve"> </w:t>
      </w:r>
      <w:r>
        <w:rPr>
          <w:sz w:val="24"/>
        </w:rPr>
        <w:t>el</w:t>
      </w:r>
      <w:r>
        <w:rPr>
          <w:spacing w:val="8"/>
          <w:sz w:val="24"/>
        </w:rPr>
        <w:t xml:space="preserve"> </w:t>
      </w:r>
      <w:r>
        <w:rPr>
          <w:spacing w:val="-2"/>
          <w:sz w:val="24"/>
        </w:rPr>
        <w:t>artículo</w:t>
      </w:r>
    </w:p>
    <w:p w14:paraId="7E8FA8EB" w14:textId="77777777" w:rsidR="000E52B0" w:rsidRDefault="00F60D74">
      <w:pPr>
        <w:pStyle w:val="Textoindependiente"/>
        <w:spacing w:before="3"/>
        <w:ind w:left="260"/>
      </w:pPr>
      <w:r>
        <w:t>50</w:t>
      </w:r>
      <w:r>
        <w:rPr>
          <w:spacing w:val="34"/>
        </w:rPr>
        <w:t xml:space="preserve"> </w:t>
      </w:r>
      <w:r>
        <w:t>de</w:t>
      </w:r>
      <w:r>
        <w:rPr>
          <w:spacing w:val="34"/>
        </w:rPr>
        <w:t xml:space="preserve"> </w:t>
      </w:r>
      <w:r>
        <w:t>la</w:t>
      </w:r>
      <w:r>
        <w:rPr>
          <w:spacing w:val="33"/>
        </w:rPr>
        <w:t xml:space="preserve"> </w:t>
      </w:r>
      <w:r>
        <w:t>Ley</w:t>
      </w:r>
      <w:r>
        <w:rPr>
          <w:spacing w:val="26"/>
        </w:rPr>
        <w:t xml:space="preserve"> </w:t>
      </w:r>
      <w:r>
        <w:t>489</w:t>
      </w:r>
      <w:r>
        <w:rPr>
          <w:spacing w:val="34"/>
        </w:rPr>
        <w:t xml:space="preserve"> </w:t>
      </w:r>
      <w:r>
        <w:t>de</w:t>
      </w:r>
      <w:r>
        <w:rPr>
          <w:spacing w:val="30"/>
        </w:rPr>
        <w:t xml:space="preserve"> </w:t>
      </w:r>
      <w:r>
        <w:t>1998,</w:t>
      </w:r>
      <w:r>
        <w:rPr>
          <w:spacing w:val="31"/>
        </w:rPr>
        <w:t xml:space="preserve"> </w:t>
      </w:r>
      <w:r>
        <w:t>es</w:t>
      </w:r>
      <w:r>
        <w:rPr>
          <w:spacing w:val="33"/>
        </w:rPr>
        <w:t xml:space="preserve"> </w:t>
      </w:r>
      <w:r>
        <w:t>la</w:t>
      </w:r>
      <w:r>
        <w:rPr>
          <w:spacing w:val="28"/>
        </w:rPr>
        <w:t xml:space="preserve"> </w:t>
      </w:r>
      <w:r>
        <w:t>creación</w:t>
      </w:r>
      <w:r>
        <w:rPr>
          <w:spacing w:val="31"/>
        </w:rPr>
        <w:t xml:space="preserve"> </w:t>
      </w:r>
      <w:r>
        <w:t>del</w:t>
      </w:r>
      <w:r>
        <w:rPr>
          <w:spacing w:val="32"/>
        </w:rPr>
        <w:t xml:space="preserve"> </w:t>
      </w:r>
      <w:r>
        <w:t>Ministerio</w:t>
      </w:r>
      <w:r>
        <w:rPr>
          <w:spacing w:val="32"/>
        </w:rPr>
        <w:t xml:space="preserve"> </w:t>
      </w:r>
      <w:r>
        <w:t>de</w:t>
      </w:r>
      <w:r>
        <w:rPr>
          <w:spacing w:val="34"/>
        </w:rPr>
        <w:t xml:space="preserve"> </w:t>
      </w:r>
      <w:r>
        <w:t>Igualdad</w:t>
      </w:r>
      <w:r>
        <w:rPr>
          <w:spacing w:val="33"/>
        </w:rPr>
        <w:t xml:space="preserve"> </w:t>
      </w:r>
      <w:r>
        <w:t>y Equidad y la adopción de los elementos de su estructura orgánica.</w:t>
      </w:r>
    </w:p>
    <w:p w14:paraId="68504BC9" w14:textId="77777777" w:rsidR="000E52B0" w:rsidRDefault="00F60D74">
      <w:pPr>
        <w:pStyle w:val="Textoindependiente"/>
        <w:spacing w:before="157"/>
        <w:ind w:left="260" w:right="253"/>
        <w:jc w:val="both"/>
      </w:pPr>
      <w:r>
        <w:rPr>
          <w:b/>
        </w:rPr>
        <w:t xml:space="preserve">ARTÍCULO 2. NATURALEZA Y DENOMINACIÓN. </w:t>
      </w:r>
      <w:r>
        <w:t>Créase el Ministerio de Igualdad</w:t>
      </w:r>
      <w:r>
        <w:rPr>
          <w:spacing w:val="-2"/>
        </w:rPr>
        <w:t xml:space="preserve"> </w:t>
      </w:r>
      <w:r>
        <w:t>y</w:t>
      </w:r>
      <w:r>
        <w:rPr>
          <w:spacing w:val="-4"/>
        </w:rPr>
        <w:t xml:space="preserve"> </w:t>
      </w:r>
      <w:r>
        <w:t>Equidad</w:t>
      </w:r>
      <w:r>
        <w:rPr>
          <w:spacing w:val="-2"/>
        </w:rPr>
        <w:t xml:space="preserve"> </w:t>
      </w:r>
      <w:r>
        <w:t>como</w:t>
      </w:r>
      <w:r>
        <w:rPr>
          <w:spacing w:val="-2"/>
        </w:rPr>
        <w:t xml:space="preserve"> </w:t>
      </w:r>
      <w:r>
        <w:t>un</w:t>
      </w:r>
      <w:r>
        <w:rPr>
          <w:spacing w:val="-4"/>
        </w:rPr>
        <w:t xml:space="preserve"> </w:t>
      </w:r>
      <w:r>
        <w:t>organismo</w:t>
      </w:r>
      <w:r>
        <w:rPr>
          <w:spacing w:val="-2"/>
        </w:rPr>
        <w:t xml:space="preserve"> </w:t>
      </w:r>
      <w:r>
        <w:t>principal</w:t>
      </w:r>
      <w:r>
        <w:rPr>
          <w:spacing w:val="-3"/>
        </w:rPr>
        <w:t xml:space="preserve"> </w:t>
      </w:r>
      <w:r>
        <w:t>del</w:t>
      </w:r>
      <w:r>
        <w:rPr>
          <w:spacing w:val="-3"/>
        </w:rPr>
        <w:t xml:space="preserve"> </w:t>
      </w:r>
      <w:r>
        <w:t>sector</w:t>
      </w:r>
      <w:r>
        <w:rPr>
          <w:spacing w:val="-5"/>
        </w:rPr>
        <w:t xml:space="preserve"> </w:t>
      </w:r>
      <w:r>
        <w:t>central</w:t>
      </w:r>
      <w:r>
        <w:rPr>
          <w:spacing w:val="-3"/>
        </w:rPr>
        <w:t xml:space="preserve"> </w:t>
      </w:r>
      <w:r>
        <w:t xml:space="preserve">de la Rama Ejecutiva en el orden nacional, rector del Sector Administrativo de Igualdad y Equidad y de sus entidades adscritas o vinculadas, los órganos de asesoría, coordinación y articulación señalados legal o </w:t>
      </w:r>
      <w:r>
        <w:rPr>
          <w:spacing w:val="-2"/>
        </w:rPr>
        <w:t>reglamentariamente.</w:t>
      </w:r>
    </w:p>
    <w:p w14:paraId="6B784724" w14:textId="77777777" w:rsidR="000E52B0" w:rsidRDefault="00F60D74">
      <w:pPr>
        <w:spacing w:before="160"/>
        <w:ind w:left="260"/>
        <w:jc w:val="both"/>
        <w:rPr>
          <w:b/>
          <w:sz w:val="24"/>
        </w:rPr>
      </w:pPr>
      <w:r>
        <w:rPr>
          <w:b/>
          <w:color w:val="333333"/>
          <w:sz w:val="24"/>
        </w:rPr>
        <w:t>ARTÍCULO</w:t>
      </w:r>
      <w:r>
        <w:rPr>
          <w:b/>
          <w:color w:val="333333"/>
          <w:spacing w:val="-19"/>
          <w:sz w:val="24"/>
        </w:rPr>
        <w:t xml:space="preserve"> </w:t>
      </w:r>
      <w:r>
        <w:rPr>
          <w:b/>
          <w:color w:val="333333"/>
          <w:sz w:val="24"/>
        </w:rPr>
        <w:t>3.</w:t>
      </w:r>
      <w:r>
        <w:rPr>
          <w:b/>
          <w:color w:val="333333"/>
          <w:spacing w:val="-20"/>
          <w:sz w:val="24"/>
        </w:rPr>
        <w:t xml:space="preserve"> </w:t>
      </w:r>
      <w:r>
        <w:rPr>
          <w:b/>
          <w:color w:val="333333"/>
          <w:sz w:val="24"/>
        </w:rPr>
        <w:t>OBJETO</w:t>
      </w:r>
      <w:r>
        <w:rPr>
          <w:b/>
          <w:color w:val="333333"/>
          <w:spacing w:val="-17"/>
          <w:sz w:val="24"/>
        </w:rPr>
        <w:t xml:space="preserve"> </w:t>
      </w:r>
      <w:r>
        <w:rPr>
          <w:b/>
          <w:color w:val="333333"/>
          <w:sz w:val="24"/>
        </w:rPr>
        <w:t>DEL</w:t>
      </w:r>
      <w:r>
        <w:rPr>
          <w:b/>
          <w:color w:val="333333"/>
          <w:spacing w:val="-16"/>
          <w:sz w:val="24"/>
        </w:rPr>
        <w:t xml:space="preserve"> </w:t>
      </w:r>
      <w:r>
        <w:rPr>
          <w:b/>
          <w:color w:val="333333"/>
          <w:sz w:val="24"/>
        </w:rPr>
        <w:t>MINISTERIO</w:t>
      </w:r>
      <w:r>
        <w:rPr>
          <w:b/>
          <w:color w:val="333333"/>
          <w:spacing w:val="-17"/>
          <w:sz w:val="24"/>
        </w:rPr>
        <w:t xml:space="preserve"> </w:t>
      </w:r>
      <w:r>
        <w:rPr>
          <w:b/>
          <w:color w:val="333333"/>
          <w:sz w:val="24"/>
        </w:rPr>
        <w:t>DE</w:t>
      </w:r>
      <w:r>
        <w:rPr>
          <w:b/>
          <w:color w:val="333333"/>
          <w:spacing w:val="-17"/>
          <w:sz w:val="24"/>
        </w:rPr>
        <w:t xml:space="preserve"> </w:t>
      </w:r>
      <w:r>
        <w:rPr>
          <w:b/>
          <w:color w:val="333333"/>
          <w:sz w:val="24"/>
        </w:rPr>
        <w:t>IGUALDAD</w:t>
      </w:r>
      <w:r>
        <w:rPr>
          <w:b/>
          <w:color w:val="333333"/>
          <w:spacing w:val="-17"/>
          <w:sz w:val="24"/>
        </w:rPr>
        <w:t xml:space="preserve"> </w:t>
      </w:r>
      <w:r>
        <w:rPr>
          <w:b/>
          <w:color w:val="333333"/>
          <w:sz w:val="24"/>
        </w:rPr>
        <w:t>Y</w:t>
      </w:r>
      <w:r>
        <w:rPr>
          <w:b/>
          <w:color w:val="333333"/>
          <w:spacing w:val="-14"/>
          <w:sz w:val="24"/>
        </w:rPr>
        <w:t xml:space="preserve"> </w:t>
      </w:r>
      <w:r>
        <w:rPr>
          <w:b/>
          <w:color w:val="333333"/>
          <w:spacing w:val="-2"/>
          <w:sz w:val="24"/>
        </w:rPr>
        <w:t>EQUIDAD.</w:t>
      </w:r>
    </w:p>
    <w:p w14:paraId="004E2A37" w14:textId="77777777" w:rsidR="000E52B0" w:rsidRDefault="00F60D74">
      <w:pPr>
        <w:pStyle w:val="Textoindependiente"/>
        <w:spacing w:before="4"/>
        <w:ind w:left="260" w:right="255"/>
        <w:jc w:val="both"/>
      </w:pPr>
      <w:r>
        <w:rPr>
          <w:color w:val="333333"/>
        </w:rPr>
        <w:t>El</w:t>
      </w:r>
      <w:r>
        <w:rPr>
          <w:color w:val="333333"/>
          <w:spacing w:val="-9"/>
        </w:rPr>
        <w:t xml:space="preserve"> </w:t>
      </w:r>
      <w:r>
        <w:rPr>
          <w:color w:val="333333"/>
        </w:rPr>
        <w:t>Ministerio</w:t>
      </w:r>
      <w:r>
        <w:rPr>
          <w:color w:val="333333"/>
          <w:spacing w:val="-9"/>
        </w:rPr>
        <w:t xml:space="preserve"> </w:t>
      </w:r>
      <w:r>
        <w:rPr>
          <w:color w:val="333333"/>
        </w:rPr>
        <w:t>de</w:t>
      </w:r>
      <w:r>
        <w:rPr>
          <w:color w:val="333333"/>
          <w:spacing w:val="-6"/>
        </w:rPr>
        <w:t xml:space="preserve"> </w:t>
      </w:r>
      <w:r>
        <w:rPr>
          <w:color w:val="333333"/>
        </w:rPr>
        <w:t>Igualdad</w:t>
      </w:r>
      <w:r>
        <w:rPr>
          <w:color w:val="333333"/>
          <w:spacing w:val="-7"/>
        </w:rPr>
        <w:t xml:space="preserve"> </w:t>
      </w:r>
      <w:r>
        <w:rPr>
          <w:color w:val="333333"/>
        </w:rPr>
        <w:t>y</w:t>
      </w:r>
      <w:r>
        <w:rPr>
          <w:color w:val="333333"/>
          <w:spacing w:val="-10"/>
        </w:rPr>
        <w:t xml:space="preserve"> </w:t>
      </w:r>
      <w:r>
        <w:rPr>
          <w:color w:val="333333"/>
        </w:rPr>
        <w:t>Equidad</w:t>
      </w:r>
      <w:r>
        <w:rPr>
          <w:color w:val="333333"/>
          <w:spacing w:val="-7"/>
        </w:rPr>
        <w:t xml:space="preserve"> </w:t>
      </w:r>
      <w:r>
        <w:rPr>
          <w:color w:val="333333"/>
        </w:rPr>
        <w:t>tiene</w:t>
      </w:r>
      <w:r>
        <w:rPr>
          <w:color w:val="333333"/>
          <w:spacing w:val="-6"/>
        </w:rPr>
        <w:t xml:space="preserve"> </w:t>
      </w:r>
      <w:r>
        <w:rPr>
          <w:color w:val="333333"/>
        </w:rPr>
        <w:t>como</w:t>
      </w:r>
      <w:r>
        <w:rPr>
          <w:color w:val="333333"/>
          <w:spacing w:val="-8"/>
        </w:rPr>
        <w:t xml:space="preserve"> </w:t>
      </w:r>
      <w:r>
        <w:rPr>
          <w:color w:val="333333"/>
        </w:rPr>
        <w:t>objeto,</w:t>
      </w:r>
      <w:r>
        <w:rPr>
          <w:color w:val="333333"/>
          <w:spacing w:val="-10"/>
        </w:rPr>
        <w:t xml:space="preserve"> </w:t>
      </w:r>
      <w:r>
        <w:rPr>
          <w:color w:val="333333"/>
        </w:rPr>
        <w:t>en</w:t>
      </w:r>
      <w:r>
        <w:rPr>
          <w:color w:val="333333"/>
          <w:spacing w:val="-10"/>
        </w:rPr>
        <w:t xml:space="preserve"> </w:t>
      </w:r>
      <w:r>
        <w:rPr>
          <w:color w:val="333333"/>
        </w:rPr>
        <w:t>el</w:t>
      </w:r>
      <w:r>
        <w:rPr>
          <w:color w:val="333333"/>
          <w:spacing w:val="-9"/>
        </w:rPr>
        <w:t xml:space="preserve"> </w:t>
      </w:r>
      <w:r>
        <w:rPr>
          <w:color w:val="333333"/>
        </w:rPr>
        <w:t>marco</w:t>
      </w:r>
      <w:r>
        <w:rPr>
          <w:color w:val="333333"/>
          <w:spacing w:val="-9"/>
        </w:rPr>
        <w:t xml:space="preserve"> </w:t>
      </w:r>
      <w:r>
        <w:rPr>
          <w:color w:val="333333"/>
        </w:rPr>
        <w:t>de</w:t>
      </w:r>
      <w:r>
        <w:rPr>
          <w:color w:val="333333"/>
          <w:spacing w:val="-6"/>
        </w:rPr>
        <w:t xml:space="preserve"> </w:t>
      </w:r>
      <w:r>
        <w:rPr>
          <w:color w:val="333333"/>
        </w:rPr>
        <w:t xml:space="preserve">los mandatos constitucionales, de la ley y de sus competencias, diseñar, </w:t>
      </w:r>
      <w:r>
        <w:rPr>
          <w:color w:val="333333"/>
          <w:spacing w:val="-4"/>
        </w:rPr>
        <w:t>formular,</w:t>
      </w:r>
      <w:r>
        <w:rPr>
          <w:color w:val="333333"/>
          <w:spacing w:val="-9"/>
        </w:rPr>
        <w:t xml:space="preserve"> </w:t>
      </w:r>
      <w:r>
        <w:rPr>
          <w:color w:val="333333"/>
          <w:spacing w:val="-4"/>
        </w:rPr>
        <w:t>adoptar,</w:t>
      </w:r>
      <w:r>
        <w:rPr>
          <w:color w:val="333333"/>
          <w:spacing w:val="-9"/>
        </w:rPr>
        <w:t xml:space="preserve"> </w:t>
      </w:r>
      <w:r>
        <w:rPr>
          <w:color w:val="333333"/>
          <w:spacing w:val="-4"/>
        </w:rPr>
        <w:t>dirigir,</w:t>
      </w:r>
      <w:r>
        <w:rPr>
          <w:color w:val="333333"/>
          <w:spacing w:val="-9"/>
        </w:rPr>
        <w:t xml:space="preserve"> </w:t>
      </w:r>
      <w:r>
        <w:rPr>
          <w:color w:val="333333"/>
          <w:spacing w:val="-4"/>
        </w:rPr>
        <w:t>coordinar,</w:t>
      </w:r>
      <w:r>
        <w:rPr>
          <w:color w:val="333333"/>
          <w:spacing w:val="-9"/>
        </w:rPr>
        <w:t xml:space="preserve"> </w:t>
      </w:r>
      <w:r>
        <w:rPr>
          <w:color w:val="333333"/>
          <w:spacing w:val="-4"/>
        </w:rPr>
        <w:t>articular,</w:t>
      </w:r>
      <w:r>
        <w:rPr>
          <w:color w:val="333333"/>
          <w:spacing w:val="-9"/>
        </w:rPr>
        <w:t xml:space="preserve"> </w:t>
      </w:r>
      <w:r>
        <w:rPr>
          <w:color w:val="333333"/>
          <w:spacing w:val="-4"/>
        </w:rPr>
        <w:t>ejecutar,</w:t>
      </w:r>
      <w:r>
        <w:rPr>
          <w:color w:val="333333"/>
          <w:spacing w:val="-9"/>
        </w:rPr>
        <w:t xml:space="preserve"> </w:t>
      </w:r>
      <w:r>
        <w:rPr>
          <w:color w:val="333333"/>
          <w:spacing w:val="-4"/>
        </w:rPr>
        <w:t>fortalecer</w:t>
      </w:r>
      <w:r>
        <w:rPr>
          <w:color w:val="333333"/>
          <w:spacing w:val="-9"/>
        </w:rPr>
        <w:t xml:space="preserve"> </w:t>
      </w:r>
      <w:r>
        <w:rPr>
          <w:color w:val="333333"/>
          <w:spacing w:val="-4"/>
        </w:rPr>
        <w:t>y</w:t>
      </w:r>
      <w:r>
        <w:rPr>
          <w:color w:val="333333"/>
          <w:spacing w:val="-9"/>
        </w:rPr>
        <w:t xml:space="preserve"> </w:t>
      </w:r>
      <w:r>
        <w:rPr>
          <w:color w:val="333333"/>
          <w:spacing w:val="-4"/>
        </w:rPr>
        <w:t xml:space="preserve">evaluar </w:t>
      </w:r>
      <w:r>
        <w:rPr>
          <w:color w:val="333333"/>
        </w:rPr>
        <w:t>las políticas, planes, programas, estrategias, proyectos y medidas para contribuir en la eliminación de las desigualdades económicas, políticas y sociales; impulsar el goce del derecho a la igualdad; el cumplimiento de los principios de no discriminación y no regresividad; la defensa de los sujetos de especial protección constitucional, de población vulnerable y de grupos históricamente discriminados o marginados; e incorporando y adoptando</w:t>
      </w:r>
      <w:r>
        <w:rPr>
          <w:color w:val="333333"/>
          <w:spacing w:val="-9"/>
        </w:rPr>
        <w:t xml:space="preserve"> </w:t>
      </w:r>
      <w:r>
        <w:rPr>
          <w:color w:val="333333"/>
        </w:rPr>
        <w:t>los</w:t>
      </w:r>
      <w:r>
        <w:rPr>
          <w:color w:val="333333"/>
          <w:spacing w:val="-9"/>
        </w:rPr>
        <w:t xml:space="preserve"> </w:t>
      </w:r>
      <w:r>
        <w:rPr>
          <w:color w:val="333333"/>
        </w:rPr>
        <w:t>enfoques</w:t>
      </w:r>
      <w:r>
        <w:rPr>
          <w:color w:val="333333"/>
          <w:spacing w:val="-9"/>
        </w:rPr>
        <w:t xml:space="preserve"> </w:t>
      </w:r>
      <w:r>
        <w:rPr>
          <w:color w:val="333333"/>
        </w:rPr>
        <w:t>de</w:t>
      </w:r>
      <w:r>
        <w:rPr>
          <w:color w:val="333333"/>
          <w:spacing w:val="-7"/>
        </w:rPr>
        <w:t xml:space="preserve"> </w:t>
      </w:r>
      <w:r>
        <w:rPr>
          <w:color w:val="333333"/>
        </w:rPr>
        <w:t>derechos,</w:t>
      </w:r>
      <w:r>
        <w:rPr>
          <w:color w:val="333333"/>
          <w:spacing w:val="-11"/>
        </w:rPr>
        <w:t xml:space="preserve"> </w:t>
      </w:r>
      <w:r>
        <w:rPr>
          <w:color w:val="333333"/>
        </w:rPr>
        <w:t>de</w:t>
      </w:r>
      <w:r>
        <w:rPr>
          <w:color w:val="333333"/>
          <w:spacing w:val="-7"/>
        </w:rPr>
        <w:t xml:space="preserve"> </w:t>
      </w:r>
      <w:r>
        <w:rPr>
          <w:color w:val="333333"/>
        </w:rPr>
        <w:t>género,</w:t>
      </w:r>
      <w:r>
        <w:rPr>
          <w:color w:val="333333"/>
          <w:spacing w:val="-11"/>
        </w:rPr>
        <w:t xml:space="preserve"> </w:t>
      </w:r>
      <w:r>
        <w:rPr>
          <w:color w:val="333333"/>
        </w:rPr>
        <w:t>diferencial,</w:t>
      </w:r>
      <w:r>
        <w:rPr>
          <w:color w:val="333333"/>
          <w:spacing w:val="-11"/>
        </w:rPr>
        <w:t xml:space="preserve"> </w:t>
      </w:r>
      <w:r>
        <w:rPr>
          <w:color w:val="333333"/>
        </w:rPr>
        <w:t>étnico-racial e interseccional.</w:t>
      </w:r>
    </w:p>
    <w:p w14:paraId="51B63674" w14:textId="77777777" w:rsidR="000E52B0" w:rsidRDefault="00F60D74">
      <w:pPr>
        <w:pStyle w:val="Textoindependiente"/>
        <w:spacing w:before="158"/>
        <w:ind w:left="260" w:right="257"/>
        <w:jc w:val="both"/>
      </w:pPr>
      <w:r>
        <w:rPr>
          <w:b/>
        </w:rPr>
        <w:t xml:space="preserve">ARTÍCULO 4. FUNCIONES. </w:t>
      </w:r>
      <w:r>
        <w:t>Para el cumplimiento de su objeto, el Ministerio</w:t>
      </w:r>
      <w:r>
        <w:rPr>
          <w:spacing w:val="-9"/>
        </w:rPr>
        <w:t xml:space="preserve"> </w:t>
      </w:r>
      <w:r>
        <w:t>de</w:t>
      </w:r>
      <w:r>
        <w:rPr>
          <w:spacing w:val="-11"/>
        </w:rPr>
        <w:t xml:space="preserve"> </w:t>
      </w:r>
      <w:r>
        <w:t>Igualdad</w:t>
      </w:r>
      <w:r>
        <w:rPr>
          <w:spacing w:val="-12"/>
        </w:rPr>
        <w:t xml:space="preserve"> </w:t>
      </w:r>
      <w:r>
        <w:t>y</w:t>
      </w:r>
      <w:r>
        <w:rPr>
          <w:spacing w:val="-14"/>
        </w:rPr>
        <w:t xml:space="preserve"> </w:t>
      </w:r>
      <w:r>
        <w:t>Equidad</w:t>
      </w:r>
      <w:r>
        <w:rPr>
          <w:spacing w:val="-12"/>
        </w:rPr>
        <w:t xml:space="preserve"> </w:t>
      </w:r>
      <w:r>
        <w:t>cumplirá,</w:t>
      </w:r>
      <w:r>
        <w:rPr>
          <w:spacing w:val="-14"/>
        </w:rPr>
        <w:t xml:space="preserve"> </w:t>
      </w:r>
      <w:r>
        <w:t>además</w:t>
      </w:r>
      <w:r>
        <w:rPr>
          <w:spacing w:val="-12"/>
        </w:rPr>
        <w:t xml:space="preserve"> </w:t>
      </w:r>
      <w:r>
        <w:t>de</w:t>
      </w:r>
      <w:r>
        <w:rPr>
          <w:spacing w:val="-11"/>
        </w:rPr>
        <w:t xml:space="preserve"> </w:t>
      </w:r>
      <w:r>
        <w:t>las</w:t>
      </w:r>
      <w:r>
        <w:rPr>
          <w:spacing w:val="-12"/>
        </w:rPr>
        <w:t xml:space="preserve"> </w:t>
      </w:r>
      <w:r>
        <w:t>señaladas</w:t>
      </w:r>
      <w:r>
        <w:rPr>
          <w:spacing w:val="-12"/>
        </w:rPr>
        <w:t xml:space="preserve"> </w:t>
      </w:r>
      <w:r>
        <w:t>en</w:t>
      </w:r>
      <w:r>
        <w:rPr>
          <w:spacing w:val="-14"/>
        </w:rPr>
        <w:t xml:space="preserve"> </w:t>
      </w:r>
      <w:r>
        <w:t>la Constitución Política y en el artículo 59 de la Ley 489 de 1998, las siguientes funciones:</w:t>
      </w:r>
    </w:p>
    <w:p w14:paraId="5653DC01" w14:textId="77777777" w:rsidR="000E52B0" w:rsidRDefault="00F60D74">
      <w:pPr>
        <w:pStyle w:val="Prrafodelista"/>
        <w:numPr>
          <w:ilvl w:val="0"/>
          <w:numId w:val="59"/>
        </w:numPr>
        <w:tabs>
          <w:tab w:val="left" w:pos="981"/>
        </w:tabs>
        <w:spacing w:before="163"/>
        <w:ind w:right="255"/>
        <w:jc w:val="both"/>
        <w:rPr>
          <w:sz w:val="24"/>
        </w:rPr>
      </w:pPr>
      <w:r>
        <w:rPr>
          <w:spacing w:val="-4"/>
          <w:sz w:val="24"/>
        </w:rPr>
        <w:t>Formular, adoptar,</w:t>
      </w:r>
      <w:r>
        <w:rPr>
          <w:spacing w:val="-8"/>
          <w:sz w:val="24"/>
        </w:rPr>
        <w:t xml:space="preserve"> </w:t>
      </w:r>
      <w:r>
        <w:rPr>
          <w:spacing w:val="-4"/>
          <w:sz w:val="24"/>
        </w:rPr>
        <w:t>dirigir,</w:t>
      </w:r>
      <w:r>
        <w:rPr>
          <w:spacing w:val="-8"/>
          <w:sz w:val="24"/>
        </w:rPr>
        <w:t xml:space="preserve"> </w:t>
      </w:r>
      <w:r>
        <w:rPr>
          <w:spacing w:val="-4"/>
          <w:sz w:val="24"/>
        </w:rPr>
        <w:t>coordinar,</w:t>
      </w:r>
      <w:r>
        <w:rPr>
          <w:spacing w:val="-8"/>
          <w:sz w:val="24"/>
        </w:rPr>
        <w:t xml:space="preserve"> </w:t>
      </w:r>
      <w:r>
        <w:rPr>
          <w:spacing w:val="-4"/>
          <w:sz w:val="24"/>
        </w:rPr>
        <w:t>ejecutar</w:t>
      </w:r>
      <w:r>
        <w:rPr>
          <w:spacing w:val="-8"/>
          <w:sz w:val="24"/>
        </w:rPr>
        <w:t xml:space="preserve"> </w:t>
      </w:r>
      <w:r>
        <w:rPr>
          <w:spacing w:val="-4"/>
          <w:sz w:val="24"/>
        </w:rPr>
        <w:t>y</w:t>
      </w:r>
      <w:r>
        <w:rPr>
          <w:spacing w:val="-8"/>
          <w:sz w:val="24"/>
        </w:rPr>
        <w:t xml:space="preserve"> </w:t>
      </w:r>
      <w:r>
        <w:rPr>
          <w:spacing w:val="-4"/>
          <w:sz w:val="24"/>
        </w:rPr>
        <w:t>articular</w:t>
      </w:r>
      <w:r>
        <w:rPr>
          <w:spacing w:val="-8"/>
          <w:sz w:val="24"/>
        </w:rPr>
        <w:t xml:space="preserve"> </w:t>
      </w:r>
      <w:r>
        <w:rPr>
          <w:spacing w:val="-4"/>
          <w:sz w:val="24"/>
        </w:rPr>
        <w:t>las</w:t>
      </w:r>
      <w:r>
        <w:rPr>
          <w:spacing w:val="-5"/>
          <w:sz w:val="24"/>
        </w:rPr>
        <w:t xml:space="preserve"> </w:t>
      </w:r>
      <w:r>
        <w:rPr>
          <w:spacing w:val="-4"/>
          <w:sz w:val="24"/>
        </w:rPr>
        <w:t xml:space="preserve">políticas, </w:t>
      </w:r>
      <w:r>
        <w:rPr>
          <w:sz w:val="24"/>
        </w:rPr>
        <w:t>planes, programas, estrategias, proyectos y medidas para el cumplimiento del objeto del Ministerio y ámbito de competencias.</w:t>
      </w:r>
    </w:p>
    <w:p w14:paraId="6A2BEEBF" w14:textId="77777777" w:rsidR="000E52B0" w:rsidRDefault="00F60D74">
      <w:pPr>
        <w:pStyle w:val="Prrafodelista"/>
        <w:numPr>
          <w:ilvl w:val="0"/>
          <w:numId w:val="59"/>
        </w:numPr>
        <w:tabs>
          <w:tab w:val="left" w:pos="981"/>
        </w:tabs>
        <w:spacing w:before="160"/>
        <w:ind w:right="255"/>
        <w:jc w:val="both"/>
        <w:rPr>
          <w:sz w:val="24"/>
        </w:rPr>
      </w:pPr>
      <w:r>
        <w:rPr>
          <w:sz w:val="24"/>
        </w:rPr>
        <w:t>Adoptar</w:t>
      </w:r>
      <w:r>
        <w:rPr>
          <w:spacing w:val="-13"/>
          <w:sz w:val="24"/>
        </w:rPr>
        <w:t xml:space="preserve"> </w:t>
      </w:r>
      <w:r>
        <w:rPr>
          <w:sz w:val="24"/>
        </w:rPr>
        <w:t>y</w:t>
      </w:r>
      <w:r>
        <w:rPr>
          <w:spacing w:val="-13"/>
          <w:sz w:val="24"/>
        </w:rPr>
        <w:t xml:space="preserve"> </w:t>
      </w:r>
      <w:r>
        <w:rPr>
          <w:sz w:val="24"/>
        </w:rPr>
        <w:t>ejecutar</w:t>
      </w:r>
      <w:r>
        <w:rPr>
          <w:spacing w:val="-13"/>
          <w:sz w:val="24"/>
        </w:rPr>
        <w:t xml:space="preserve"> </w:t>
      </w:r>
      <w:r>
        <w:rPr>
          <w:sz w:val="24"/>
        </w:rPr>
        <w:t>planes,</w:t>
      </w:r>
      <w:r>
        <w:rPr>
          <w:spacing w:val="-13"/>
          <w:sz w:val="24"/>
        </w:rPr>
        <w:t xml:space="preserve"> </w:t>
      </w:r>
      <w:r>
        <w:rPr>
          <w:sz w:val="24"/>
        </w:rPr>
        <w:t>programas,</w:t>
      </w:r>
      <w:r>
        <w:rPr>
          <w:spacing w:val="-13"/>
          <w:sz w:val="24"/>
        </w:rPr>
        <w:t xml:space="preserve"> </w:t>
      </w:r>
      <w:r>
        <w:rPr>
          <w:sz w:val="24"/>
        </w:rPr>
        <w:t>estrategias</w:t>
      </w:r>
      <w:r>
        <w:rPr>
          <w:spacing w:val="-16"/>
          <w:sz w:val="24"/>
        </w:rPr>
        <w:t xml:space="preserve"> </w:t>
      </w:r>
      <w:r>
        <w:rPr>
          <w:sz w:val="24"/>
        </w:rPr>
        <w:t>y</w:t>
      </w:r>
      <w:r>
        <w:rPr>
          <w:spacing w:val="-13"/>
          <w:sz w:val="24"/>
        </w:rPr>
        <w:t xml:space="preserve"> </w:t>
      </w:r>
      <w:r>
        <w:rPr>
          <w:sz w:val="24"/>
        </w:rPr>
        <w:t>proyectos</w:t>
      </w:r>
      <w:r>
        <w:rPr>
          <w:spacing w:val="-16"/>
          <w:sz w:val="24"/>
        </w:rPr>
        <w:t xml:space="preserve"> </w:t>
      </w:r>
      <w:r>
        <w:rPr>
          <w:sz w:val="24"/>
        </w:rPr>
        <w:t>para definir, gestionar y focalizar acciones dirigidas a la eliminación de todas las violencias contra las mujeres, así como la eliminación de barreras</w:t>
      </w:r>
      <w:r>
        <w:rPr>
          <w:spacing w:val="-10"/>
          <w:sz w:val="24"/>
        </w:rPr>
        <w:t xml:space="preserve"> </w:t>
      </w:r>
      <w:r>
        <w:rPr>
          <w:sz w:val="24"/>
        </w:rPr>
        <w:t>económicas,</w:t>
      </w:r>
      <w:r>
        <w:rPr>
          <w:spacing w:val="-12"/>
          <w:sz w:val="24"/>
        </w:rPr>
        <w:t xml:space="preserve"> </w:t>
      </w:r>
      <w:r>
        <w:rPr>
          <w:sz w:val="24"/>
        </w:rPr>
        <w:t>sociales</w:t>
      </w:r>
      <w:r>
        <w:rPr>
          <w:spacing w:val="-10"/>
          <w:sz w:val="24"/>
        </w:rPr>
        <w:t xml:space="preserve"> </w:t>
      </w:r>
      <w:r>
        <w:rPr>
          <w:sz w:val="24"/>
        </w:rPr>
        <w:t>y</w:t>
      </w:r>
      <w:r>
        <w:rPr>
          <w:spacing w:val="-12"/>
          <w:sz w:val="24"/>
        </w:rPr>
        <w:t xml:space="preserve"> </w:t>
      </w:r>
      <w:r>
        <w:rPr>
          <w:sz w:val="24"/>
        </w:rPr>
        <w:t>políticas</w:t>
      </w:r>
      <w:r>
        <w:rPr>
          <w:spacing w:val="-10"/>
          <w:sz w:val="24"/>
        </w:rPr>
        <w:t xml:space="preserve"> </w:t>
      </w:r>
      <w:r>
        <w:rPr>
          <w:sz w:val="24"/>
        </w:rPr>
        <w:t>o</w:t>
      </w:r>
      <w:r>
        <w:rPr>
          <w:spacing w:val="-7"/>
          <w:sz w:val="24"/>
        </w:rPr>
        <w:t xml:space="preserve"> </w:t>
      </w:r>
      <w:r>
        <w:rPr>
          <w:sz w:val="24"/>
        </w:rPr>
        <w:t>de</w:t>
      </w:r>
      <w:r>
        <w:rPr>
          <w:spacing w:val="-8"/>
          <w:sz w:val="24"/>
        </w:rPr>
        <w:t xml:space="preserve"> </w:t>
      </w:r>
      <w:r>
        <w:rPr>
          <w:sz w:val="24"/>
        </w:rPr>
        <w:t>discriminación</w:t>
      </w:r>
      <w:r>
        <w:rPr>
          <w:spacing w:val="-12"/>
          <w:sz w:val="24"/>
        </w:rPr>
        <w:t xml:space="preserve"> </w:t>
      </w:r>
      <w:r>
        <w:rPr>
          <w:sz w:val="24"/>
        </w:rPr>
        <w:t xml:space="preserve">contra </w:t>
      </w:r>
      <w:r>
        <w:rPr>
          <w:spacing w:val="-2"/>
          <w:sz w:val="24"/>
        </w:rPr>
        <w:t>ellas.</w:t>
      </w:r>
    </w:p>
    <w:p w14:paraId="3273142B" w14:textId="77777777" w:rsidR="000E52B0" w:rsidRDefault="000E52B0">
      <w:pPr>
        <w:pStyle w:val="Prrafodelista"/>
        <w:jc w:val="both"/>
        <w:rPr>
          <w:sz w:val="24"/>
        </w:rPr>
        <w:sectPr w:rsidR="000E52B0">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340" w:right="1440" w:bottom="1280" w:left="1440" w:header="0" w:footer="1092" w:gutter="0"/>
          <w:pgNumType w:start="1"/>
          <w:cols w:space="720"/>
        </w:sectPr>
      </w:pPr>
    </w:p>
    <w:p w14:paraId="03D975FD" w14:textId="77777777" w:rsidR="000E52B0" w:rsidRDefault="00F60D74">
      <w:pPr>
        <w:pStyle w:val="Prrafodelista"/>
        <w:numPr>
          <w:ilvl w:val="0"/>
          <w:numId w:val="59"/>
        </w:numPr>
        <w:tabs>
          <w:tab w:val="left" w:pos="981"/>
        </w:tabs>
        <w:spacing w:before="74"/>
        <w:ind w:right="257"/>
        <w:jc w:val="both"/>
        <w:rPr>
          <w:sz w:val="24"/>
        </w:rPr>
      </w:pPr>
      <w:r>
        <w:rPr>
          <w:sz w:val="24"/>
        </w:rPr>
        <w:lastRenderedPageBreak/>
        <w:t>Formular, adoptar y ejecutar planes, programas, estrategias y proyectos para definir, gestionar y focalizar la oferta social de las entidades del orden nacional en el territorio, con criterios de eficiencia y eficacia, priorizando territorios y poblaciones históricamente excluidas.</w:t>
      </w:r>
    </w:p>
    <w:p w14:paraId="48901F82" w14:textId="77777777" w:rsidR="000E52B0" w:rsidRDefault="00F60D74">
      <w:pPr>
        <w:pStyle w:val="Prrafodelista"/>
        <w:numPr>
          <w:ilvl w:val="0"/>
          <w:numId w:val="59"/>
        </w:numPr>
        <w:tabs>
          <w:tab w:val="left" w:pos="981"/>
        </w:tabs>
        <w:spacing w:before="162"/>
        <w:ind w:right="255"/>
        <w:jc w:val="both"/>
        <w:rPr>
          <w:sz w:val="24"/>
        </w:rPr>
      </w:pPr>
      <w:r>
        <w:rPr>
          <w:sz w:val="24"/>
        </w:rPr>
        <w:t>Coordinar, articular e impartir directrices a las entidades del orden nacional,</w:t>
      </w:r>
      <w:r>
        <w:rPr>
          <w:spacing w:val="-3"/>
          <w:sz w:val="24"/>
        </w:rPr>
        <w:t xml:space="preserve"> </w:t>
      </w:r>
      <w:r>
        <w:rPr>
          <w:sz w:val="24"/>
        </w:rPr>
        <w:t>departamental,</w:t>
      </w:r>
      <w:r>
        <w:rPr>
          <w:spacing w:val="-3"/>
          <w:sz w:val="24"/>
        </w:rPr>
        <w:t xml:space="preserve"> </w:t>
      </w:r>
      <w:r>
        <w:rPr>
          <w:sz w:val="24"/>
        </w:rPr>
        <w:t>distrital y</w:t>
      </w:r>
      <w:r>
        <w:rPr>
          <w:spacing w:val="-2"/>
          <w:sz w:val="24"/>
        </w:rPr>
        <w:t xml:space="preserve"> </w:t>
      </w:r>
      <w:r>
        <w:rPr>
          <w:sz w:val="24"/>
        </w:rPr>
        <w:t>municipal</w:t>
      </w:r>
      <w:r>
        <w:rPr>
          <w:spacing w:val="-1"/>
          <w:sz w:val="24"/>
        </w:rPr>
        <w:t xml:space="preserve"> </w:t>
      </w:r>
      <w:r>
        <w:rPr>
          <w:sz w:val="24"/>
        </w:rPr>
        <w:t>sobre la intervención de grupos y poblaciones en el ámbito de sus competencias.</w:t>
      </w:r>
    </w:p>
    <w:p w14:paraId="5C15ABB2" w14:textId="77777777" w:rsidR="000E52B0" w:rsidRDefault="00F60D74">
      <w:pPr>
        <w:pStyle w:val="Prrafodelista"/>
        <w:numPr>
          <w:ilvl w:val="0"/>
          <w:numId w:val="59"/>
        </w:numPr>
        <w:tabs>
          <w:tab w:val="left" w:pos="981"/>
        </w:tabs>
        <w:spacing w:before="161"/>
        <w:ind w:right="255"/>
        <w:jc w:val="both"/>
        <w:rPr>
          <w:sz w:val="24"/>
        </w:rPr>
      </w:pPr>
      <w:r>
        <w:rPr>
          <w:sz w:val="24"/>
        </w:rPr>
        <w:t xml:space="preserve">Promover herramientas de participación y organización ciudadana para fortalecer la incidencia de los grupos poblacionales, históricamente discriminados o marginados y sujetos de especial protección constitucional en las agendas de política pública, procesos de autogobierno y derechos étnicos territoriales de los pueblos étnicos, en coordinación con las demás entidades </w:t>
      </w:r>
      <w:r>
        <w:rPr>
          <w:spacing w:val="-2"/>
          <w:sz w:val="24"/>
        </w:rPr>
        <w:t>competentes.</w:t>
      </w:r>
    </w:p>
    <w:p w14:paraId="4668B3F7" w14:textId="77777777" w:rsidR="000E52B0" w:rsidRDefault="00F60D74">
      <w:pPr>
        <w:pStyle w:val="Prrafodelista"/>
        <w:numPr>
          <w:ilvl w:val="0"/>
          <w:numId w:val="59"/>
        </w:numPr>
        <w:tabs>
          <w:tab w:val="left" w:pos="981"/>
        </w:tabs>
        <w:spacing w:before="158"/>
        <w:ind w:right="252"/>
        <w:jc w:val="both"/>
        <w:rPr>
          <w:sz w:val="24"/>
        </w:rPr>
      </w:pPr>
      <w:r>
        <w:rPr>
          <w:sz w:val="24"/>
        </w:rPr>
        <w:t>Fomentar la innovación social a través de la identificación e implementación de iniciativas privadas y locales, entre otras, para poner en funcionamiento las políticas de igualdad y equidad bajo los enfoques de derechos, de género, diferencial, étnico-racial e interseccional en el accionar estatal y promover condiciones de igualdad política, económica y social a todas las poblaciones vulnerables localizadas.</w:t>
      </w:r>
    </w:p>
    <w:p w14:paraId="39CCDE93" w14:textId="77777777" w:rsidR="000E52B0" w:rsidRDefault="00F60D74">
      <w:pPr>
        <w:pStyle w:val="Prrafodelista"/>
        <w:numPr>
          <w:ilvl w:val="0"/>
          <w:numId w:val="59"/>
        </w:numPr>
        <w:tabs>
          <w:tab w:val="left" w:pos="981"/>
        </w:tabs>
        <w:spacing w:before="164"/>
        <w:ind w:right="247"/>
        <w:jc w:val="both"/>
        <w:rPr>
          <w:sz w:val="24"/>
        </w:rPr>
      </w:pPr>
      <w:r>
        <w:rPr>
          <w:sz w:val="24"/>
        </w:rPr>
        <w:t>Dirigir</w:t>
      </w:r>
      <w:r>
        <w:rPr>
          <w:spacing w:val="-22"/>
          <w:sz w:val="24"/>
        </w:rPr>
        <w:t xml:space="preserve"> </w:t>
      </w:r>
      <w:r>
        <w:rPr>
          <w:sz w:val="24"/>
        </w:rPr>
        <w:t>y</w:t>
      </w:r>
      <w:r>
        <w:rPr>
          <w:spacing w:val="-21"/>
          <w:sz w:val="24"/>
        </w:rPr>
        <w:t xml:space="preserve"> </w:t>
      </w:r>
      <w:r>
        <w:rPr>
          <w:sz w:val="24"/>
        </w:rPr>
        <w:t>orientar</w:t>
      </w:r>
      <w:r>
        <w:rPr>
          <w:spacing w:val="-21"/>
          <w:sz w:val="24"/>
        </w:rPr>
        <w:t xml:space="preserve"> </w:t>
      </w:r>
      <w:r>
        <w:rPr>
          <w:sz w:val="24"/>
        </w:rPr>
        <w:t>la</w:t>
      </w:r>
      <w:r>
        <w:rPr>
          <w:spacing w:val="-21"/>
          <w:sz w:val="24"/>
        </w:rPr>
        <w:t xml:space="preserve"> </w:t>
      </w:r>
      <w:r>
        <w:rPr>
          <w:sz w:val="24"/>
        </w:rPr>
        <w:t>planeación</w:t>
      </w:r>
      <w:r>
        <w:rPr>
          <w:spacing w:val="-21"/>
          <w:sz w:val="24"/>
        </w:rPr>
        <w:t xml:space="preserve"> </w:t>
      </w:r>
      <w:r>
        <w:rPr>
          <w:sz w:val="24"/>
        </w:rPr>
        <w:t>del</w:t>
      </w:r>
      <w:r>
        <w:rPr>
          <w:spacing w:val="-21"/>
          <w:sz w:val="24"/>
        </w:rPr>
        <w:t xml:space="preserve"> </w:t>
      </w:r>
      <w:r>
        <w:rPr>
          <w:sz w:val="24"/>
        </w:rPr>
        <w:t>Sector</w:t>
      </w:r>
      <w:r>
        <w:rPr>
          <w:spacing w:val="-21"/>
          <w:sz w:val="24"/>
        </w:rPr>
        <w:t xml:space="preserve"> </w:t>
      </w:r>
      <w:r>
        <w:rPr>
          <w:sz w:val="24"/>
        </w:rPr>
        <w:t>Administrativo</w:t>
      </w:r>
      <w:r>
        <w:rPr>
          <w:spacing w:val="-21"/>
          <w:sz w:val="24"/>
        </w:rPr>
        <w:t xml:space="preserve"> </w:t>
      </w:r>
      <w:r>
        <w:rPr>
          <w:sz w:val="24"/>
        </w:rPr>
        <w:t>de</w:t>
      </w:r>
      <w:r>
        <w:rPr>
          <w:spacing w:val="-21"/>
          <w:sz w:val="24"/>
        </w:rPr>
        <w:t xml:space="preserve"> </w:t>
      </w:r>
      <w:r>
        <w:rPr>
          <w:sz w:val="24"/>
        </w:rPr>
        <w:t>Igualdad y Equidad para el cumplimiento de las funciones a su cargo.</w:t>
      </w:r>
    </w:p>
    <w:p w14:paraId="03839110" w14:textId="77777777" w:rsidR="000E52B0" w:rsidRDefault="00F60D74">
      <w:pPr>
        <w:pStyle w:val="Prrafodelista"/>
        <w:numPr>
          <w:ilvl w:val="0"/>
          <w:numId w:val="59"/>
        </w:numPr>
        <w:tabs>
          <w:tab w:val="left" w:pos="981"/>
        </w:tabs>
        <w:spacing w:before="157"/>
        <w:ind w:right="251"/>
        <w:jc w:val="both"/>
        <w:rPr>
          <w:sz w:val="24"/>
        </w:rPr>
      </w:pPr>
      <w:r>
        <w:rPr>
          <w:sz w:val="24"/>
        </w:rPr>
        <w:t>Gestionar</w:t>
      </w:r>
      <w:r>
        <w:rPr>
          <w:spacing w:val="-22"/>
          <w:sz w:val="24"/>
        </w:rPr>
        <w:t xml:space="preserve"> </w:t>
      </w:r>
      <w:r>
        <w:rPr>
          <w:sz w:val="24"/>
        </w:rPr>
        <w:t>y</w:t>
      </w:r>
      <w:r>
        <w:rPr>
          <w:spacing w:val="-21"/>
          <w:sz w:val="24"/>
        </w:rPr>
        <w:t xml:space="preserve"> </w:t>
      </w:r>
      <w:r>
        <w:rPr>
          <w:sz w:val="24"/>
        </w:rPr>
        <w:t>generar</w:t>
      </w:r>
      <w:r>
        <w:rPr>
          <w:spacing w:val="-21"/>
          <w:sz w:val="24"/>
        </w:rPr>
        <w:t xml:space="preserve"> </w:t>
      </w:r>
      <w:r>
        <w:rPr>
          <w:sz w:val="24"/>
        </w:rPr>
        <w:t>alianzas</w:t>
      </w:r>
      <w:r>
        <w:rPr>
          <w:spacing w:val="-21"/>
          <w:sz w:val="24"/>
        </w:rPr>
        <w:t xml:space="preserve"> </w:t>
      </w:r>
      <w:r>
        <w:rPr>
          <w:sz w:val="24"/>
        </w:rPr>
        <w:t>con</w:t>
      </w:r>
      <w:r>
        <w:rPr>
          <w:spacing w:val="-21"/>
          <w:sz w:val="24"/>
        </w:rPr>
        <w:t xml:space="preserve"> </w:t>
      </w:r>
      <w:r>
        <w:rPr>
          <w:sz w:val="24"/>
        </w:rPr>
        <w:t>actores</w:t>
      </w:r>
      <w:r>
        <w:rPr>
          <w:spacing w:val="-21"/>
          <w:sz w:val="24"/>
        </w:rPr>
        <w:t xml:space="preserve"> </w:t>
      </w:r>
      <w:r>
        <w:rPr>
          <w:sz w:val="24"/>
        </w:rPr>
        <w:t>del</w:t>
      </w:r>
      <w:r>
        <w:rPr>
          <w:spacing w:val="-21"/>
          <w:sz w:val="24"/>
        </w:rPr>
        <w:t xml:space="preserve"> </w:t>
      </w:r>
      <w:r>
        <w:rPr>
          <w:sz w:val="24"/>
        </w:rPr>
        <w:t>sector</w:t>
      </w:r>
      <w:r>
        <w:rPr>
          <w:spacing w:val="-21"/>
          <w:sz w:val="24"/>
        </w:rPr>
        <w:t xml:space="preserve"> </w:t>
      </w:r>
      <w:r>
        <w:rPr>
          <w:sz w:val="24"/>
        </w:rPr>
        <w:t>público,</w:t>
      </w:r>
      <w:r>
        <w:rPr>
          <w:spacing w:val="-21"/>
          <w:sz w:val="24"/>
        </w:rPr>
        <w:t xml:space="preserve"> </w:t>
      </w:r>
      <w:r>
        <w:rPr>
          <w:sz w:val="24"/>
        </w:rPr>
        <w:t>privado, organizaciones de la sociedad civil, autoridades y formas organizativas propias de los pueblos étnicos, organismos de carácter</w:t>
      </w:r>
      <w:r>
        <w:rPr>
          <w:spacing w:val="-11"/>
          <w:sz w:val="24"/>
        </w:rPr>
        <w:t xml:space="preserve"> </w:t>
      </w:r>
      <w:r>
        <w:rPr>
          <w:sz w:val="24"/>
        </w:rPr>
        <w:t>internacional</w:t>
      </w:r>
      <w:r>
        <w:rPr>
          <w:spacing w:val="-10"/>
          <w:sz w:val="24"/>
        </w:rPr>
        <w:t xml:space="preserve"> </w:t>
      </w:r>
      <w:r>
        <w:rPr>
          <w:sz w:val="24"/>
        </w:rPr>
        <w:t>y</w:t>
      </w:r>
      <w:r>
        <w:rPr>
          <w:spacing w:val="-11"/>
          <w:sz w:val="24"/>
        </w:rPr>
        <w:t xml:space="preserve"> </w:t>
      </w:r>
      <w:r>
        <w:rPr>
          <w:sz w:val="24"/>
        </w:rPr>
        <w:t>otros</w:t>
      </w:r>
      <w:r>
        <w:rPr>
          <w:spacing w:val="-10"/>
          <w:sz w:val="24"/>
        </w:rPr>
        <w:t xml:space="preserve"> </w:t>
      </w:r>
      <w:r>
        <w:rPr>
          <w:sz w:val="24"/>
        </w:rPr>
        <w:t>gobiernos</w:t>
      </w:r>
      <w:r>
        <w:rPr>
          <w:spacing w:val="-10"/>
          <w:sz w:val="24"/>
        </w:rPr>
        <w:t xml:space="preserve"> </w:t>
      </w:r>
      <w:r>
        <w:rPr>
          <w:sz w:val="24"/>
        </w:rPr>
        <w:t>que</w:t>
      </w:r>
      <w:r>
        <w:rPr>
          <w:spacing w:val="-7"/>
          <w:sz w:val="24"/>
        </w:rPr>
        <w:t xml:space="preserve"> </w:t>
      </w:r>
      <w:r>
        <w:rPr>
          <w:sz w:val="24"/>
        </w:rPr>
        <w:t>faciliten</w:t>
      </w:r>
      <w:r>
        <w:rPr>
          <w:spacing w:val="-11"/>
          <w:sz w:val="24"/>
        </w:rPr>
        <w:t xml:space="preserve"> </w:t>
      </w:r>
      <w:r>
        <w:rPr>
          <w:sz w:val="24"/>
        </w:rPr>
        <w:t>e</w:t>
      </w:r>
      <w:r>
        <w:rPr>
          <w:spacing w:val="-12"/>
          <w:sz w:val="24"/>
        </w:rPr>
        <w:t xml:space="preserve"> </w:t>
      </w:r>
      <w:r>
        <w:rPr>
          <w:sz w:val="24"/>
        </w:rPr>
        <w:t>impulsen</w:t>
      </w:r>
      <w:r>
        <w:rPr>
          <w:spacing w:val="-11"/>
          <w:sz w:val="24"/>
        </w:rPr>
        <w:t xml:space="preserve"> </w:t>
      </w:r>
      <w:r>
        <w:rPr>
          <w:sz w:val="24"/>
        </w:rPr>
        <w:t>las políticas y el logro de los objetivos del Sector Administrativo de Igualdad</w:t>
      </w:r>
      <w:r>
        <w:rPr>
          <w:spacing w:val="-9"/>
          <w:sz w:val="24"/>
        </w:rPr>
        <w:t xml:space="preserve"> </w:t>
      </w:r>
      <w:r>
        <w:rPr>
          <w:sz w:val="24"/>
        </w:rPr>
        <w:t>y</w:t>
      </w:r>
      <w:r>
        <w:rPr>
          <w:spacing w:val="-12"/>
          <w:sz w:val="24"/>
        </w:rPr>
        <w:t xml:space="preserve"> </w:t>
      </w:r>
      <w:r>
        <w:rPr>
          <w:sz w:val="24"/>
        </w:rPr>
        <w:t>Equidad</w:t>
      </w:r>
      <w:r>
        <w:rPr>
          <w:spacing w:val="-9"/>
          <w:sz w:val="24"/>
        </w:rPr>
        <w:t xml:space="preserve"> </w:t>
      </w:r>
      <w:r>
        <w:rPr>
          <w:sz w:val="24"/>
        </w:rPr>
        <w:t>y</w:t>
      </w:r>
      <w:r>
        <w:rPr>
          <w:spacing w:val="-12"/>
          <w:sz w:val="24"/>
        </w:rPr>
        <w:t xml:space="preserve"> </w:t>
      </w:r>
      <w:r>
        <w:rPr>
          <w:sz w:val="24"/>
        </w:rPr>
        <w:t>de</w:t>
      </w:r>
      <w:r>
        <w:rPr>
          <w:spacing w:val="-8"/>
          <w:sz w:val="24"/>
        </w:rPr>
        <w:t xml:space="preserve"> </w:t>
      </w:r>
      <w:r>
        <w:rPr>
          <w:sz w:val="24"/>
        </w:rPr>
        <w:t>los</w:t>
      </w:r>
      <w:r>
        <w:rPr>
          <w:spacing w:val="-10"/>
          <w:sz w:val="24"/>
        </w:rPr>
        <w:t xml:space="preserve"> </w:t>
      </w:r>
      <w:r>
        <w:rPr>
          <w:sz w:val="24"/>
        </w:rPr>
        <w:t>compromisos</w:t>
      </w:r>
      <w:r>
        <w:rPr>
          <w:spacing w:val="-10"/>
          <w:sz w:val="24"/>
        </w:rPr>
        <w:t xml:space="preserve"> </w:t>
      </w:r>
      <w:r>
        <w:rPr>
          <w:sz w:val="24"/>
        </w:rPr>
        <w:t>internacionales</w:t>
      </w:r>
      <w:r>
        <w:rPr>
          <w:spacing w:val="-10"/>
          <w:sz w:val="24"/>
        </w:rPr>
        <w:t xml:space="preserve"> </w:t>
      </w:r>
      <w:r>
        <w:rPr>
          <w:sz w:val="24"/>
        </w:rPr>
        <w:t>asumidos por el Estado, en coordinación con las demás entidades estatales competentes. Asimismo, se gestionarán, en coordinación y articulación</w:t>
      </w:r>
      <w:r>
        <w:rPr>
          <w:spacing w:val="-2"/>
          <w:sz w:val="24"/>
        </w:rPr>
        <w:t xml:space="preserve"> </w:t>
      </w:r>
      <w:r>
        <w:rPr>
          <w:sz w:val="24"/>
        </w:rPr>
        <w:t>con</w:t>
      </w:r>
      <w:r>
        <w:rPr>
          <w:spacing w:val="-6"/>
          <w:sz w:val="24"/>
        </w:rPr>
        <w:t xml:space="preserve"> </w:t>
      </w:r>
      <w:r>
        <w:rPr>
          <w:sz w:val="24"/>
        </w:rPr>
        <w:t>el Ministerio</w:t>
      </w:r>
      <w:r>
        <w:rPr>
          <w:spacing w:val="-5"/>
          <w:sz w:val="24"/>
        </w:rPr>
        <w:t xml:space="preserve"> </w:t>
      </w:r>
      <w:r>
        <w:rPr>
          <w:sz w:val="24"/>
        </w:rPr>
        <w:t>de</w:t>
      </w:r>
      <w:r>
        <w:rPr>
          <w:spacing w:val="-3"/>
          <w:sz w:val="24"/>
        </w:rPr>
        <w:t xml:space="preserve"> </w:t>
      </w:r>
      <w:r>
        <w:rPr>
          <w:sz w:val="24"/>
        </w:rPr>
        <w:t>Relaciones</w:t>
      </w:r>
      <w:r>
        <w:rPr>
          <w:spacing w:val="-4"/>
          <w:sz w:val="24"/>
        </w:rPr>
        <w:t xml:space="preserve"> </w:t>
      </w:r>
      <w:r>
        <w:rPr>
          <w:sz w:val="24"/>
        </w:rPr>
        <w:t>Exteriores,</w:t>
      </w:r>
      <w:r>
        <w:rPr>
          <w:spacing w:val="-7"/>
          <w:sz w:val="24"/>
        </w:rPr>
        <w:t xml:space="preserve"> </w:t>
      </w:r>
      <w:r>
        <w:rPr>
          <w:sz w:val="24"/>
        </w:rPr>
        <w:t>alianzas</w:t>
      </w:r>
      <w:r>
        <w:rPr>
          <w:spacing w:val="-4"/>
          <w:sz w:val="24"/>
        </w:rPr>
        <w:t xml:space="preserve"> </w:t>
      </w:r>
      <w:r>
        <w:rPr>
          <w:sz w:val="24"/>
        </w:rPr>
        <w:t xml:space="preserve">con organismos internacionales y otros gobiernos al tiempo de dar seguimiento a los compromisos internacionales asumidos por el </w:t>
      </w:r>
      <w:r>
        <w:rPr>
          <w:spacing w:val="-2"/>
          <w:sz w:val="24"/>
        </w:rPr>
        <w:t>Estado.</w:t>
      </w:r>
    </w:p>
    <w:p w14:paraId="6960B640" w14:textId="77777777" w:rsidR="000E52B0" w:rsidRDefault="00F60D74">
      <w:pPr>
        <w:pStyle w:val="Prrafodelista"/>
        <w:numPr>
          <w:ilvl w:val="0"/>
          <w:numId w:val="59"/>
        </w:numPr>
        <w:tabs>
          <w:tab w:val="left" w:pos="981"/>
        </w:tabs>
        <w:spacing w:before="161" w:line="242" w:lineRule="auto"/>
        <w:ind w:right="255"/>
        <w:jc w:val="both"/>
        <w:rPr>
          <w:sz w:val="24"/>
        </w:rPr>
      </w:pPr>
      <w:r>
        <w:rPr>
          <w:sz w:val="24"/>
        </w:rPr>
        <w:t>Establecer esquemas de seguimiento, monitoreo y evaluación a la ejecución de las políticas, planes, proyectos y oferta social de competencia</w:t>
      </w:r>
      <w:r>
        <w:rPr>
          <w:spacing w:val="-10"/>
          <w:sz w:val="24"/>
        </w:rPr>
        <w:t xml:space="preserve"> </w:t>
      </w:r>
      <w:r>
        <w:rPr>
          <w:sz w:val="24"/>
        </w:rPr>
        <w:t>del</w:t>
      </w:r>
      <w:r>
        <w:rPr>
          <w:spacing w:val="-12"/>
          <w:sz w:val="24"/>
        </w:rPr>
        <w:t xml:space="preserve"> </w:t>
      </w:r>
      <w:r>
        <w:rPr>
          <w:sz w:val="24"/>
        </w:rPr>
        <w:t>Sector</w:t>
      </w:r>
      <w:r>
        <w:rPr>
          <w:spacing w:val="-14"/>
          <w:sz w:val="24"/>
        </w:rPr>
        <w:t xml:space="preserve"> </w:t>
      </w:r>
      <w:r>
        <w:rPr>
          <w:sz w:val="24"/>
        </w:rPr>
        <w:t>de</w:t>
      </w:r>
      <w:r>
        <w:rPr>
          <w:spacing w:val="-9"/>
          <w:sz w:val="24"/>
        </w:rPr>
        <w:t xml:space="preserve"> </w:t>
      </w:r>
      <w:r>
        <w:rPr>
          <w:sz w:val="24"/>
        </w:rPr>
        <w:t>Igualdad</w:t>
      </w:r>
      <w:r>
        <w:rPr>
          <w:spacing w:val="-11"/>
          <w:sz w:val="24"/>
        </w:rPr>
        <w:t xml:space="preserve"> </w:t>
      </w:r>
      <w:r>
        <w:rPr>
          <w:sz w:val="24"/>
        </w:rPr>
        <w:t>y</w:t>
      </w:r>
      <w:r>
        <w:rPr>
          <w:spacing w:val="-13"/>
          <w:sz w:val="24"/>
        </w:rPr>
        <w:t xml:space="preserve"> </w:t>
      </w:r>
      <w:r>
        <w:rPr>
          <w:sz w:val="24"/>
        </w:rPr>
        <w:t>Equidad,</w:t>
      </w:r>
      <w:r>
        <w:rPr>
          <w:spacing w:val="-13"/>
          <w:sz w:val="24"/>
        </w:rPr>
        <w:t xml:space="preserve"> </w:t>
      </w:r>
      <w:r>
        <w:rPr>
          <w:sz w:val="24"/>
        </w:rPr>
        <w:t>en</w:t>
      </w:r>
      <w:r>
        <w:rPr>
          <w:spacing w:val="-13"/>
          <w:sz w:val="24"/>
        </w:rPr>
        <w:t xml:space="preserve"> </w:t>
      </w:r>
      <w:r>
        <w:rPr>
          <w:sz w:val="24"/>
        </w:rPr>
        <w:t>coordinación</w:t>
      </w:r>
      <w:r>
        <w:rPr>
          <w:spacing w:val="-13"/>
          <w:sz w:val="24"/>
        </w:rPr>
        <w:t xml:space="preserve"> </w:t>
      </w:r>
      <w:r>
        <w:rPr>
          <w:sz w:val="24"/>
        </w:rPr>
        <w:t>con otras</w:t>
      </w:r>
      <w:r>
        <w:rPr>
          <w:spacing w:val="-17"/>
          <w:sz w:val="24"/>
        </w:rPr>
        <w:t xml:space="preserve"> </w:t>
      </w:r>
      <w:r>
        <w:rPr>
          <w:sz w:val="24"/>
        </w:rPr>
        <w:t>entidades</w:t>
      </w:r>
      <w:r>
        <w:rPr>
          <w:spacing w:val="-17"/>
          <w:sz w:val="24"/>
        </w:rPr>
        <w:t xml:space="preserve"> </w:t>
      </w:r>
      <w:r>
        <w:rPr>
          <w:sz w:val="24"/>
        </w:rPr>
        <w:t>competentes,</w:t>
      </w:r>
      <w:r>
        <w:rPr>
          <w:spacing w:val="-19"/>
          <w:sz w:val="24"/>
        </w:rPr>
        <w:t xml:space="preserve"> </w:t>
      </w:r>
      <w:r>
        <w:rPr>
          <w:sz w:val="24"/>
        </w:rPr>
        <w:t>y</w:t>
      </w:r>
      <w:r>
        <w:rPr>
          <w:spacing w:val="-19"/>
          <w:sz w:val="24"/>
        </w:rPr>
        <w:t xml:space="preserve"> </w:t>
      </w:r>
      <w:r>
        <w:rPr>
          <w:sz w:val="24"/>
        </w:rPr>
        <w:t>rendir</w:t>
      </w:r>
      <w:r>
        <w:rPr>
          <w:spacing w:val="-19"/>
          <w:sz w:val="24"/>
        </w:rPr>
        <w:t xml:space="preserve"> </w:t>
      </w:r>
      <w:r>
        <w:rPr>
          <w:sz w:val="24"/>
        </w:rPr>
        <w:t>cuentas</w:t>
      </w:r>
      <w:r>
        <w:rPr>
          <w:spacing w:val="-17"/>
          <w:sz w:val="24"/>
        </w:rPr>
        <w:t xml:space="preserve"> </w:t>
      </w:r>
      <w:r>
        <w:rPr>
          <w:sz w:val="24"/>
        </w:rPr>
        <w:t>a</w:t>
      </w:r>
      <w:r>
        <w:rPr>
          <w:spacing w:val="-16"/>
          <w:sz w:val="24"/>
        </w:rPr>
        <w:t xml:space="preserve"> </w:t>
      </w:r>
      <w:r>
        <w:rPr>
          <w:sz w:val="24"/>
        </w:rPr>
        <w:t>la</w:t>
      </w:r>
      <w:r>
        <w:rPr>
          <w:spacing w:val="-16"/>
          <w:sz w:val="24"/>
        </w:rPr>
        <w:t xml:space="preserve"> </w:t>
      </w:r>
      <w:r>
        <w:rPr>
          <w:sz w:val="24"/>
        </w:rPr>
        <w:t>ciudadanía.</w:t>
      </w:r>
      <w:r>
        <w:rPr>
          <w:spacing w:val="-19"/>
          <w:sz w:val="24"/>
        </w:rPr>
        <w:t xml:space="preserve"> </w:t>
      </w:r>
      <w:r>
        <w:rPr>
          <w:sz w:val="24"/>
        </w:rPr>
        <w:t>Para</w:t>
      </w:r>
    </w:p>
    <w:p w14:paraId="3E3CB23B" w14:textId="77777777" w:rsidR="000E52B0" w:rsidRDefault="000E52B0">
      <w:pPr>
        <w:pStyle w:val="Prrafodelista"/>
        <w:spacing w:line="242" w:lineRule="auto"/>
        <w:jc w:val="both"/>
        <w:rPr>
          <w:sz w:val="24"/>
        </w:rPr>
        <w:sectPr w:rsidR="000E52B0">
          <w:pgSz w:w="12240" w:h="15840"/>
          <w:pgMar w:top="1340" w:right="1440" w:bottom="1280" w:left="1440" w:header="0" w:footer="1092" w:gutter="0"/>
          <w:cols w:space="720"/>
        </w:sectPr>
      </w:pPr>
    </w:p>
    <w:p w14:paraId="398E5A60" w14:textId="77777777" w:rsidR="000E52B0" w:rsidRDefault="00F60D74">
      <w:pPr>
        <w:pStyle w:val="Textoindependiente"/>
        <w:tabs>
          <w:tab w:val="left" w:pos="1800"/>
          <w:tab w:val="left" w:pos="2924"/>
          <w:tab w:val="left" w:pos="3504"/>
          <w:tab w:val="left" w:pos="5614"/>
          <w:tab w:val="left" w:pos="6069"/>
          <w:tab w:val="left" w:pos="7602"/>
        </w:tabs>
        <w:spacing w:before="74" w:line="242" w:lineRule="auto"/>
        <w:ind w:left="981" w:right="259"/>
      </w:pPr>
      <w:r>
        <w:rPr>
          <w:spacing w:val="-4"/>
        </w:rPr>
        <w:lastRenderedPageBreak/>
        <w:t>este</w:t>
      </w:r>
      <w:r>
        <w:tab/>
      </w:r>
      <w:r>
        <w:rPr>
          <w:spacing w:val="-2"/>
        </w:rPr>
        <w:t>efecto,</w:t>
      </w:r>
      <w:r>
        <w:tab/>
      </w:r>
      <w:r>
        <w:rPr>
          <w:spacing w:val="-6"/>
        </w:rPr>
        <w:t>se</w:t>
      </w:r>
      <w:r>
        <w:tab/>
      </w:r>
      <w:r>
        <w:rPr>
          <w:spacing w:val="-2"/>
        </w:rPr>
        <w:t>promocionarán</w:t>
      </w:r>
      <w:r>
        <w:tab/>
      </w:r>
      <w:r>
        <w:rPr>
          <w:spacing w:val="-10"/>
        </w:rPr>
        <w:t>y</w:t>
      </w:r>
      <w:r>
        <w:tab/>
      </w:r>
      <w:r>
        <w:rPr>
          <w:spacing w:val="-2"/>
        </w:rPr>
        <w:t>adoptarán</w:t>
      </w:r>
      <w:r>
        <w:tab/>
      </w:r>
      <w:r>
        <w:rPr>
          <w:spacing w:val="-2"/>
        </w:rPr>
        <w:t xml:space="preserve">mecanismos </w:t>
      </w:r>
      <w:r>
        <w:t>participativos de control social.</w:t>
      </w:r>
    </w:p>
    <w:p w14:paraId="252DDFA8" w14:textId="77777777" w:rsidR="000E52B0" w:rsidRDefault="00F60D74">
      <w:pPr>
        <w:pStyle w:val="Prrafodelista"/>
        <w:numPr>
          <w:ilvl w:val="0"/>
          <w:numId w:val="59"/>
        </w:numPr>
        <w:tabs>
          <w:tab w:val="left" w:pos="969"/>
          <w:tab w:val="left" w:pos="971"/>
        </w:tabs>
        <w:spacing w:before="156"/>
        <w:ind w:left="971" w:right="257" w:hanging="570"/>
        <w:jc w:val="both"/>
        <w:rPr>
          <w:sz w:val="24"/>
        </w:rPr>
      </w:pPr>
      <w:r>
        <w:rPr>
          <w:sz w:val="24"/>
        </w:rPr>
        <w:t>Dirigir, coordinar, hacer seguimiento y evaluar los sistemas e instancias</w:t>
      </w:r>
      <w:r>
        <w:rPr>
          <w:spacing w:val="-5"/>
          <w:sz w:val="24"/>
        </w:rPr>
        <w:t xml:space="preserve"> </w:t>
      </w:r>
      <w:r>
        <w:rPr>
          <w:sz w:val="24"/>
        </w:rPr>
        <w:t>de</w:t>
      </w:r>
      <w:r>
        <w:rPr>
          <w:spacing w:val="-4"/>
          <w:sz w:val="24"/>
        </w:rPr>
        <w:t xml:space="preserve"> </w:t>
      </w:r>
      <w:r>
        <w:rPr>
          <w:sz w:val="24"/>
        </w:rPr>
        <w:t>asesoría,</w:t>
      </w:r>
      <w:r>
        <w:rPr>
          <w:spacing w:val="-7"/>
          <w:sz w:val="24"/>
        </w:rPr>
        <w:t xml:space="preserve"> </w:t>
      </w:r>
      <w:r>
        <w:rPr>
          <w:sz w:val="24"/>
        </w:rPr>
        <w:t>coordinación</w:t>
      </w:r>
      <w:r>
        <w:rPr>
          <w:spacing w:val="-7"/>
          <w:sz w:val="24"/>
        </w:rPr>
        <w:t xml:space="preserve"> </w:t>
      </w:r>
      <w:r>
        <w:rPr>
          <w:sz w:val="24"/>
        </w:rPr>
        <w:t>y</w:t>
      </w:r>
      <w:r>
        <w:rPr>
          <w:spacing w:val="-7"/>
          <w:sz w:val="24"/>
        </w:rPr>
        <w:t xml:space="preserve"> </w:t>
      </w:r>
      <w:r>
        <w:rPr>
          <w:sz w:val="24"/>
        </w:rPr>
        <w:t>articulación</w:t>
      </w:r>
      <w:r>
        <w:rPr>
          <w:spacing w:val="-8"/>
          <w:sz w:val="24"/>
        </w:rPr>
        <w:t xml:space="preserve"> </w:t>
      </w:r>
      <w:r>
        <w:rPr>
          <w:sz w:val="24"/>
        </w:rPr>
        <w:t>relacionados</w:t>
      </w:r>
      <w:r>
        <w:rPr>
          <w:spacing w:val="-5"/>
          <w:sz w:val="24"/>
        </w:rPr>
        <w:t xml:space="preserve"> </w:t>
      </w:r>
      <w:r>
        <w:rPr>
          <w:sz w:val="24"/>
        </w:rPr>
        <w:t>con sus</w:t>
      </w:r>
      <w:r>
        <w:rPr>
          <w:spacing w:val="-18"/>
          <w:sz w:val="24"/>
        </w:rPr>
        <w:t xml:space="preserve"> </w:t>
      </w:r>
      <w:r>
        <w:rPr>
          <w:sz w:val="24"/>
        </w:rPr>
        <w:t>competencias</w:t>
      </w:r>
      <w:r>
        <w:rPr>
          <w:spacing w:val="-18"/>
          <w:sz w:val="24"/>
        </w:rPr>
        <w:t xml:space="preserve"> </w:t>
      </w:r>
      <w:r>
        <w:rPr>
          <w:sz w:val="24"/>
        </w:rPr>
        <w:t>creados</w:t>
      </w:r>
      <w:r>
        <w:rPr>
          <w:spacing w:val="-18"/>
          <w:sz w:val="24"/>
        </w:rPr>
        <w:t xml:space="preserve"> </w:t>
      </w:r>
      <w:r>
        <w:rPr>
          <w:sz w:val="24"/>
        </w:rPr>
        <w:t>o</w:t>
      </w:r>
      <w:r>
        <w:rPr>
          <w:spacing w:val="-18"/>
          <w:sz w:val="24"/>
        </w:rPr>
        <w:t xml:space="preserve"> </w:t>
      </w:r>
      <w:r>
        <w:rPr>
          <w:sz w:val="24"/>
        </w:rPr>
        <w:t>que</w:t>
      </w:r>
      <w:r>
        <w:rPr>
          <w:spacing w:val="-16"/>
          <w:sz w:val="24"/>
        </w:rPr>
        <w:t xml:space="preserve"> </w:t>
      </w:r>
      <w:r>
        <w:rPr>
          <w:sz w:val="24"/>
        </w:rPr>
        <w:t>se</w:t>
      </w:r>
      <w:r>
        <w:rPr>
          <w:spacing w:val="-16"/>
          <w:sz w:val="24"/>
        </w:rPr>
        <w:t xml:space="preserve"> </w:t>
      </w:r>
      <w:r>
        <w:rPr>
          <w:sz w:val="24"/>
        </w:rPr>
        <w:t>creen</w:t>
      </w:r>
      <w:r>
        <w:rPr>
          <w:spacing w:val="-20"/>
          <w:sz w:val="24"/>
        </w:rPr>
        <w:t xml:space="preserve"> </w:t>
      </w:r>
      <w:r>
        <w:rPr>
          <w:sz w:val="24"/>
        </w:rPr>
        <w:t>normativamente</w:t>
      </w:r>
      <w:r>
        <w:rPr>
          <w:spacing w:val="-16"/>
          <w:sz w:val="24"/>
        </w:rPr>
        <w:t xml:space="preserve"> </w:t>
      </w:r>
      <w:r>
        <w:rPr>
          <w:sz w:val="24"/>
        </w:rPr>
        <w:t>y</w:t>
      </w:r>
      <w:r>
        <w:rPr>
          <w:spacing w:val="-20"/>
          <w:sz w:val="24"/>
        </w:rPr>
        <w:t xml:space="preserve"> </w:t>
      </w:r>
      <w:r>
        <w:rPr>
          <w:sz w:val="24"/>
        </w:rPr>
        <w:t>que</w:t>
      </w:r>
      <w:r>
        <w:rPr>
          <w:spacing w:val="-16"/>
          <w:sz w:val="24"/>
        </w:rPr>
        <w:t xml:space="preserve"> </w:t>
      </w:r>
      <w:r>
        <w:rPr>
          <w:sz w:val="24"/>
        </w:rPr>
        <w:t>así lo indiquen.</w:t>
      </w:r>
    </w:p>
    <w:p w14:paraId="6BE9EE25" w14:textId="77777777" w:rsidR="000E52B0" w:rsidRDefault="00F60D74">
      <w:pPr>
        <w:pStyle w:val="Prrafodelista"/>
        <w:numPr>
          <w:ilvl w:val="0"/>
          <w:numId w:val="59"/>
        </w:numPr>
        <w:tabs>
          <w:tab w:val="left" w:pos="969"/>
          <w:tab w:val="left" w:pos="971"/>
        </w:tabs>
        <w:spacing w:before="158"/>
        <w:ind w:left="971" w:right="251" w:hanging="570"/>
        <w:jc w:val="both"/>
        <w:rPr>
          <w:sz w:val="24"/>
        </w:rPr>
      </w:pPr>
      <w:r>
        <w:rPr>
          <w:sz w:val="24"/>
        </w:rPr>
        <w:t xml:space="preserve">Generar información periódica que permita visibilizar las características, contextos y condiciones de vida qua impiden a las personas superar las condiciones de inequidad y desigualdad; plantear alternativas para la elaboración de políticas públicas que garanticen el cierre de brechas, el avance en la superación de la desigualdad, y la inclusión y </w:t>
      </w:r>
      <w:proofErr w:type="spellStart"/>
      <w:r>
        <w:rPr>
          <w:sz w:val="24"/>
        </w:rPr>
        <w:t>visibilización</w:t>
      </w:r>
      <w:proofErr w:type="spellEnd"/>
      <w:r>
        <w:rPr>
          <w:sz w:val="24"/>
        </w:rPr>
        <w:t xml:space="preserve"> de las acciones por la igualdad y equidad en las agendas públicas del orden nacional, departamental, distrital y municipal.</w:t>
      </w:r>
    </w:p>
    <w:p w14:paraId="0861F18A" w14:textId="77777777" w:rsidR="000E52B0" w:rsidRDefault="00F60D74">
      <w:pPr>
        <w:pStyle w:val="Prrafodelista"/>
        <w:numPr>
          <w:ilvl w:val="0"/>
          <w:numId w:val="59"/>
        </w:numPr>
        <w:tabs>
          <w:tab w:val="left" w:pos="969"/>
          <w:tab w:val="left" w:pos="971"/>
        </w:tabs>
        <w:spacing w:before="163"/>
        <w:ind w:left="971" w:right="260" w:hanging="570"/>
        <w:jc w:val="both"/>
        <w:rPr>
          <w:sz w:val="24"/>
        </w:rPr>
      </w:pPr>
      <w:r>
        <w:rPr>
          <w:sz w:val="24"/>
        </w:rPr>
        <w:t>Dirigir,</w:t>
      </w:r>
      <w:r>
        <w:rPr>
          <w:spacing w:val="-4"/>
          <w:sz w:val="24"/>
        </w:rPr>
        <w:t xml:space="preserve"> </w:t>
      </w:r>
      <w:r>
        <w:rPr>
          <w:sz w:val="24"/>
        </w:rPr>
        <w:t>coordinar, orientar, hacer</w:t>
      </w:r>
      <w:r>
        <w:rPr>
          <w:spacing w:val="-4"/>
          <w:sz w:val="24"/>
        </w:rPr>
        <w:t xml:space="preserve"> </w:t>
      </w:r>
      <w:r>
        <w:rPr>
          <w:sz w:val="24"/>
        </w:rPr>
        <w:t>seguimiento</w:t>
      </w:r>
      <w:r>
        <w:rPr>
          <w:spacing w:val="-2"/>
          <w:sz w:val="24"/>
        </w:rPr>
        <w:t xml:space="preserve"> </w:t>
      </w:r>
      <w:r>
        <w:rPr>
          <w:sz w:val="24"/>
        </w:rPr>
        <w:t>y</w:t>
      </w:r>
      <w:r>
        <w:rPr>
          <w:spacing w:val="-4"/>
          <w:sz w:val="24"/>
        </w:rPr>
        <w:t xml:space="preserve"> </w:t>
      </w:r>
      <w:r>
        <w:rPr>
          <w:sz w:val="24"/>
        </w:rPr>
        <w:t>evaluar</w:t>
      </w:r>
      <w:r>
        <w:rPr>
          <w:spacing w:val="-4"/>
          <w:sz w:val="24"/>
        </w:rPr>
        <w:t xml:space="preserve"> </w:t>
      </w:r>
      <w:r>
        <w:rPr>
          <w:sz w:val="24"/>
        </w:rPr>
        <w:t>el</w:t>
      </w:r>
      <w:r>
        <w:rPr>
          <w:spacing w:val="-3"/>
          <w:sz w:val="24"/>
        </w:rPr>
        <w:t xml:space="preserve"> </w:t>
      </w:r>
      <w:r>
        <w:rPr>
          <w:sz w:val="24"/>
        </w:rPr>
        <w:t>Sistema Nacional de Cuidado, así como formular, implementar y evaluar políticas relacionados con ayudas, generación de ingresos, capacitación y formación, y demás acciones que permitan retribuir las labores de cuidado que desempeña la población cuidadora.</w:t>
      </w:r>
    </w:p>
    <w:p w14:paraId="307BE46B" w14:textId="77777777" w:rsidR="000E52B0" w:rsidRDefault="00F60D74">
      <w:pPr>
        <w:pStyle w:val="Prrafodelista"/>
        <w:numPr>
          <w:ilvl w:val="0"/>
          <w:numId w:val="59"/>
        </w:numPr>
        <w:tabs>
          <w:tab w:val="left" w:pos="969"/>
          <w:tab w:val="left" w:pos="971"/>
        </w:tabs>
        <w:spacing w:before="162"/>
        <w:ind w:left="971" w:right="254" w:hanging="570"/>
        <w:jc w:val="both"/>
        <w:rPr>
          <w:sz w:val="24"/>
        </w:rPr>
      </w:pPr>
      <w:r>
        <w:rPr>
          <w:sz w:val="24"/>
        </w:rPr>
        <w:t>Formular, dirigir, coordinar, ejecutar y evaluar planes, programas, estrategias</w:t>
      </w:r>
      <w:r>
        <w:rPr>
          <w:spacing w:val="-22"/>
          <w:sz w:val="24"/>
        </w:rPr>
        <w:t xml:space="preserve"> </w:t>
      </w:r>
      <w:r>
        <w:rPr>
          <w:sz w:val="24"/>
        </w:rPr>
        <w:t>y</w:t>
      </w:r>
      <w:r>
        <w:rPr>
          <w:spacing w:val="-21"/>
          <w:sz w:val="24"/>
        </w:rPr>
        <w:t xml:space="preserve"> </w:t>
      </w:r>
      <w:r>
        <w:rPr>
          <w:sz w:val="24"/>
        </w:rPr>
        <w:t>proyectos</w:t>
      </w:r>
      <w:r>
        <w:rPr>
          <w:spacing w:val="-21"/>
          <w:sz w:val="24"/>
        </w:rPr>
        <w:t xml:space="preserve"> </w:t>
      </w:r>
      <w:r>
        <w:rPr>
          <w:sz w:val="24"/>
        </w:rPr>
        <w:t>que</w:t>
      </w:r>
      <w:r>
        <w:rPr>
          <w:spacing w:val="-21"/>
          <w:sz w:val="24"/>
        </w:rPr>
        <w:t xml:space="preserve"> </w:t>
      </w:r>
      <w:r>
        <w:rPr>
          <w:sz w:val="24"/>
        </w:rPr>
        <w:t>promuevan</w:t>
      </w:r>
      <w:r>
        <w:rPr>
          <w:spacing w:val="-21"/>
          <w:sz w:val="24"/>
        </w:rPr>
        <w:t xml:space="preserve"> </w:t>
      </w:r>
      <w:r>
        <w:rPr>
          <w:sz w:val="24"/>
        </w:rPr>
        <w:t>condiciones</w:t>
      </w:r>
      <w:r>
        <w:rPr>
          <w:spacing w:val="-21"/>
          <w:sz w:val="24"/>
        </w:rPr>
        <w:t xml:space="preserve"> </w:t>
      </w:r>
      <w:r>
        <w:rPr>
          <w:sz w:val="24"/>
        </w:rPr>
        <w:t>de</w:t>
      </w:r>
      <w:r>
        <w:rPr>
          <w:spacing w:val="-21"/>
          <w:sz w:val="24"/>
        </w:rPr>
        <w:t xml:space="preserve"> </w:t>
      </w:r>
      <w:r>
        <w:rPr>
          <w:sz w:val="24"/>
        </w:rPr>
        <w:t>igualdad</w:t>
      </w:r>
      <w:r>
        <w:rPr>
          <w:spacing w:val="-21"/>
          <w:sz w:val="24"/>
        </w:rPr>
        <w:t xml:space="preserve"> </w:t>
      </w:r>
      <w:r>
        <w:rPr>
          <w:sz w:val="24"/>
        </w:rPr>
        <w:t>real para las personas y comunidades especialmente afectadas por la crisis</w:t>
      </w:r>
      <w:r>
        <w:rPr>
          <w:spacing w:val="-16"/>
          <w:sz w:val="24"/>
        </w:rPr>
        <w:t xml:space="preserve"> </w:t>
      </w:r>
      <w:r>
        <w:rPr>
          <w:sz w:val="24"/>
        </w:rPr>
        <w:t>climática,</w:t>
      </w:r>
      <w:r>
        <w:rPr>
          <w:spacing w:val="-18"/>
          <w:sz w:val="24"/>
        </w:rPr>
        <w:t xml:space="preserve"> </w:t>
      </w:r>
      <w:r>
        <w:rPr>
          <w:sz w:val="24"/>
        </w:rPr>
        <w:t>de</w:t>
      </w:r>
      <w:r>
        <w:rPr>
          <w:spacing w:val="-15"/>
          <w:sz w:val="24"/>
        </w:rPr>
        <w:t xml:space="preserve"> </w:t>
      </w:r>
      <w:r>
        <w:rPr>
          <w:sz w:val="24"/>
        </w:rPr>
        <w:t>conformidad</w:t>
      </w:r>
      <w:r>
        <w:rPr>
          <w:spacing w:val="-16"/>
          <w:sz w:val="24"/>
        </w:rPr>
        <w:t xml:space="preserve"> </w:t>
      </w:r>
      <w:r>
        <w:rPr>
          <w:sz w:val="24"/>
        </w:rPr>
        <w:t>con</w:t>
      </w:r>
      <w:r>
        <w:rPr>
          <w:spacing w:val="-18"/>
          <w:sz w:val="24"/>
        </w:rPr>
        <w:t xml:space="preserve"> </w:t>
      </w:r>
      <w:r>
        <w:rPr>
          <w:sz w:val="24"/>
        </w:rPr>
        <w:t>los</w:t>
      </w:r>
      <w:r>
        <w:rPr>
          <w:spacing w:val="-21"/>
          <w:sz w:val="24"/>
        </w:rPr>
        <w:t xml:space="preserve"> </w:t>
      </w:r>
      <w:r>
        <w:rPr>
          <w:sz w:val="24"/>
        </w:rPr>
        <w:t>compromisos</w:t>
      </w:r>
      <w:r>
        <w:rPr>
          <w:spacing w:val="-16"/>
          <w:sz w:val="24"/>
        </w:rPr>
        <w:t xml:space="preserve"> </w:t>
      </w:r>
      <w:r>
        <w:rPr>
          <w:sz w:val="24"/>
        </w:rPr>
        <w:t>adquiridos</w:t>
      </w:r>
      <w:r>
        <w:rPr>
          <w:spacing w:val="-16"/>
          <w:sz w:val="24"/>
        </w:rPr>
        <w:t xml:space="preserve"> </w:t>
      </w:r>
      <w:r>
        <w:rPr>
          <w:sz w:val="24"/>
        </w:rPr>
        <w:t>por Colombia en materia de adaptación al cambio climático.</w:t>
      </w:r>
    </w:p>
    <w:p w14:paraId="1BF6B9EF" w14:textId="77777777" w:rsidR="000E52B0" w:rsidRDefault="00F60D74">
      <w:pPr>
        <w:pStyle w:val="Prrafodelista"/>
        <w:numPr>
          <w:ilvl w:val="0"/>
          <w:numId w:val="59"/>
        </w:numPr>
        <w:tabs>
          <w:tab w:val="left" w:pos="969"/>
          <w:tab w:val="left" w:pos="971"/>
        </w:tabs>
        <w:spacing w:before="157"/>
        <w:ind w:left="971" w:right="252" w:hanging="570"/>
        <w:jc w:val="both"/>
        <w:rPr>
          <w:sz w:val="24"/>
        </w:rPr>
      </w:pPr>
      <w:r>
        <w:rPr>
          <w:sz w:val="24"/>
        </w:rPr>
        <w:t xml:space="preserve">Adoptar, coordinar y ejecutar en articulación con las demás entidades y organismos del Estado competentes, un programa de seguridad alimentaria que permita combatir el hambre y la malnutrición en los territorios y poblaciones del ámbito de sus </w:t>
      </w:r>
      <w:r>
        <w:rPr>
          <w:spacing w:val="-2"/>
          <w:sz w:val="24"/>
        </w:rPr>
        <w:t>competencias.</w:t>
      </w:r>
    </w:p>
    <w:p w14:paraId="6347D03A" w14:textId="77777777" w:rsidR="000E52B0" w:rsidRDefault="00F60D74">
      <w:pPr>
        <w:pStyle w:val="Prrafodelista"/>
        <w:numPr>
          <w:ilvl w:val="0"/>
          <w:numId w:val="59"/>
        </w:numPr>
        <w:tabs>
          <w:tab w:val="left" w:pos="969"/>
          <w:tab w:val="left" w:pos="971"/>
        </w:tabs>
        <w:spacing w:before="162"/>
        <w:ind w:left="971" w:right="250" w:hanging="570"/>
        <w:jc w:val="both"/>
        <w:rPr>
          <w:sz w:val="24"/>
        </w:rPr>
      </w:pPr>
      <w:r>
        <w:rPr>
          <w:sz w:val="24"/>
        </w:rPr>
        <w:t>Crear, fomentar, promover y formular estrategias y políticas en conjunción con las entidades públicas idóneas para estimular cambios culturales y educativos profundos en búsqueda de la reducción y</w:t>
      </w:r>
      <w:r>
        <w:rPr>
          <w:spacing w:val="-4"/>
          <w:sz w:val="24"/>
        </w:rPr>
        <w:t xml:space="preserve"> </w:t>
      </w:r>
      <w:r>
        <w:rPr>
          <w:sz w:val="24"/>
        </w:rPr>
        <w:t>eliminación</w:t>
      </w:r>
      <w:r>
        <w:rPr>
          <w:spacing w:val="-4"/>
          <w:sz w:val="24"/>
        </w:rPr>
        <w:t xml:space="preserve"> </w:t>
      </w:r>
      <w:r>
        <w:rPr>
          <w:sz w:val="24"/>
        </w:rPr>
        <w:t>de</w:t>
      </w:r>
      <w:r>
        <w:rPr>
          <w:spacing w:val="-1"/>
          <w:sz w:val="24"/>
        </w:rPr>
        <w:t xml:space="preserve"> </w:t>
      </w:r>
      <w:r>
        <w:rPr>
          <w:sz w:val="24"/>
        </w:rPr>
        <w:t>la</w:t>
      </w:r>
      <w:r>
        <w:rPr>
          <w:spacing w:val="-1"/>
          <w:sz w:val="24"/>
        </w:rPr>
        <w:t xml:space="preserve"> </w:t>
      </w:r>
      <w:r>
        <w:rPr>
          <w:sz w:val="24"/>
        </w:rPr>
        <w:t>discriminación</w:t>
      </w:r>
      <w:r>
        <w:rPr>
          <w:spacing w:val="-5"/>
          <w:sz w:val="24"/>
        </w:rPr>
        <w:t xml:space="preserve"> </w:t>
      </w:r>
      <w:r>
        <w:rPr>
          <w:sz w:val="24"/>
        </w:rPr>
        <w:t>en</w:t>
      </w:r>
      <w:r>
        <w:rPr>
          <w:spacing w:val="-4"/>
          <w:sz w:val="24"/>
        </w:rPr>
        <w:t xml:space="preserve"> </w:t>
      </w:r>
      <w:r>
        <w:rPr>
          <w:sz w:val="24"/>
        </w:rPr>
        <w:t>la</w:t>
      </w:r>
      <w:r>
        <w:rPr>
          <w:spacing w:val="-2"/>
          <w:sz w:val="24"/>
        </w:rPr>
        <w:t xml:space="preserve"> </w:t>
      </w:r>
      <w:r>
        <w:rPr>
          <w:sz w:val="24"/>
        </w:rPr>
        <w:t>sociedad</w:t>
      </w:r>
      <w:r>
        <w:rPr>
          <w:spacing w:val="-2"/>
          <w:sz w:val="24"/>
        </w:rPr>
        <w:t xml:space="preserve"> </w:t>
      </w:r>
      <w:r>
        <w:rPr>
          <w:sz w:val="24"/>
        </w:rPr>
        <w:t>a</w:t>
      </w:r>
      <w:r>
        <w:rPr>
          <w:spacing w:val="-2"/>
          <w:sz w:val="24"/>
        </w:rPr>
        <w:t xml:space="preserve"> </w:t>
      </w:r>
      <w:r>
        <w:rPr>
          <w:sz w:val="24"/>
        </w:rPr>
        <w:t>corto, mediano y largo plazo, teniendo como objetivo la aceptación y reconocimiento de la pluralidad, diversidad y multiculturalidad del Estado Colombiano.</w:t>
      </w:r>
    </w:p>
    <w:p w14:paraId="550C2912" w14:textId="77777777" w:rsidR="000E52B0" w:rsidRDefault="00F60D74">
      <w:pPr>
        <w:pStyle w:val="Prrafodelista"/>
        <w:numPr>
          <w:ilvl w:val="0"/>
          <w:numId w:val="59"/>
        </w:numPr>
        <w:tabs>
          <w:tab w:val="left" w:pos="969"/>
          <w:tab w:val="left" w:pos="971"/>
        </w:tabs>
        <w:spacing w:before="159"/>
        <w:ind w:left="971" w:right="254" w:hanging="570"/>
        <w:jc w:val="both"/>
        <w:rPr>
          <w:sz w:val="24"/>
        </w:rPr>
      </w:pPr>
      <w:r>
        <w:rPr>
          <w:sz w:val="24"/>
        </w:rPr>
        <w:t>Formular, coordinar y articular políticas, planes, programas y proyectos orientados a reducir las brechas de desigualdad existentes entre zonas urbanas y rurales.</w:t>
      </w:r>
    </w:p>
    <w:p w14:paraId="4E9075E0" w14:textId="77777777" w:rsidR="000E52B0" w:rsidRDefault="000E52B0">
      <w:pPr>
        <w:pStyle w:val="Prrafodelista"/>
        <w:jc w:val="both"/>
        <w:rPr>
          <w:sz w:val="24"/>
        </w:rPr>
        <w:sectPr w:rsidR="000E52B0">
          <w:pgSz w:w="12240" w:h="15840"/>
          <w:pgMar w:top="1340" w:right="1440" w:bottom="1280" w:left="1440" w:header="0" w:footer="1092" w:gutter="0"/>
          <w:cols w:space="720"/>
        </w:sectPr>
      </w:pPr>
    </w:p>
    <w:p w14:paraId="1706E027" w14:textId="77777777" w:rsidR="000E52B0" w:rsidRDefault="00F60D74">
      <w:pPr>
        <w:pStyle w:val="Prrafodelista"/>
        <w:numPr>
          <w:ilvl w:val="0"/>
          <w:numId w:val="59"/>
        </w:numPr>
        <w:tabs>
          <w:tab w:val="left" w:pos="969"/>
          <w:tab w:val="left" w:pos="971"/>
        </w:tabs>
        <w:spacing w:before="74"/>
        <w:ind w:left="971" w:right="259" w:hanging="570"/>
        <w:jc w:val="both"/>
        <w:rPr>
          <w:sz w:val="24"/>
        </w:rPr>
      </w:pPr>
      <w:r>
        <w:rPr>
          <w:sz w:val="24"/>
        </w:rPr>
        <w:lastRenderedPageBreak/>
        <w:t>Implementar un sistema de indicadores que permita evaluar los impactos de las políticas, planes, programas, proyectos y estrategias que se implementen hacia los territorios priorizados, hacia las poblaciones históricamente excluidas y que tengan un enfoque de derechos, de género, diferencial e interseccional.</w:t>
      </w:r>
    </w:p>
    <w:p w14:paraId="7DD20078" w14:textId="77777777" w:rsidR="000E52B0" w:rsidRDefault="00F60D74">
      <w:pPr>
        <w:pStyle w:val="Prrafodelista"/>
        <w:numPr>
          <w:ilvl w:val="0"/>
          <w:numId w:val="59"/>
        </w:numPr>
        <w:tabs>
          <w:tab w:val="left" w:pos="968"/>
        </w:tabs>
        <w:spacing w:before="162"/>
        <w:ind w:left="968" w:hanging="568"/>
        <w:jc w:val="left"/>
        <w:rPr>
          <w:sz w:val="24"/>
        </w:rPr>
      </w:pPr>
      <w:r>
        <w:rPr>
          <w:sz w:val="24"/>
        </w:rPr>
        <w:t>Las</w:t>
      </w:r>
      <w:r>
        <w:rPr>
          <w:spacing w:val="-1"/>
          <w:sz w:val="24"/>
        </w:rPr>
        <w:t xml:space="preserve"> </w:t>
      </w:r>
      <w:r>
        <w:rPr>
          <w:sz w:val="24"/>
        </w:rPr>
        <w:t>demás</w:t>
      </w:r>
      <w:r>
        <w:rPr>
          <w:spacing w:val="-1"/>
          <w:sz w:val="24"/>
        </w:rPr>
        <w:t xml:space="preserve"> </w:t>
      </w:r>
      <w:r>
        <w:rPr>
          <w:sz w:val="24"/>
        </w:rPr>
        <w:t>que le</w:t>
      </w:r>
      <w:r>
        <w:rPr>
          <w:spacing w:val="1"/>
          <w:sz w:val="24"/>
        </w:rPr>
        <w:t xml:space="preserve"> </w:t>
      </w:r>
      <w:r>
        <w:rPr>
          <w:sz w:val="24"/>
        </w:rPr>
        <w:t>asigne</w:t>
      </w:r>
      <w:r>
        <w:rPr>
          <w:spacing w:val="-4"/>
          <w:sz w:val="24"/>
        </w:rPr>
        <w:t xml:space="preserve"> </w:t>
      </w:r>
      <w:r>
        <w:rPr>
          <w:sz w:val="24"/>
        </w:rPr>
        <w:t xml:space="preserve">la </w:t>
      </w:r>
      <w:r>
        <w:rPr>
          <w:spacing w:val="-4"/>
          <w:sz w:val="24"/>
        </w:rPr>
        <w:t>Ley.</w:t>
      </w:r>
    </w:p>
    <w:p w14:paraId="7C6906A8" w14:textId="77777777" w:rsidR="000E52B0" w:rsidRDefault="00F60D74">
      <w:pPr>
        <w:pStyle w:val="Textoindependiente"/>
        <w:spacing w:before="158"/>
        <w:ind w:left="260" w:right="249"/>
        <w:jc w:val="both"/>
      </w:pPr>
      <w:r>
        <w:rPr>
          <w:b/>
        </w:rPr>
        <w:t>ARTÍCULO</w:t>
      </w:r>
      <w:r>
        <w:rPr>
          <w:b/>
          <w:spacing w:val="-21"/>
        </w:rPr>
        <w:t xml:space="preserve"> </w:t>
      </w:r>
      <w:r>
        <w:rPr>
          <w:b/>
        </w:rPr>
        <w:t>5.</w:t>
      </w:r>
      <w:r>
        <w:rPr>
          <w:b/>
          <w:spacing w:val="-21"/>
        </w:rPr>
        <w:t xml:space="preserve"> </w:t>
      </w:r>
      <w:r>
        <w:rPr>
          <w:b/>
        </w:rPr>
        <w:t>ÁMBITO</w:t>
      </w:r>
      <w:r>
        <w:rPr>
          <w:b/>
          <w:spacing w:val="-18"/>
        </w:rPr>
        <w:t xml:space="preserve"> </w:t>
      </w:r>
      <w:r>
        <w:rPr>
          <w:b/>
        </w:rPr>
        <w:t>DE</w:t>
      </w:r>
      <w:r>
        <w:rPr>
          <w:b/>
          <w:spacing w:val="-19"/>
        </w:rPr>
        <w:t xml:space="preserve"> </w:t>
      </w:r>
      <w:r>
        <w:rPr>
          <w:b/>
        </w:rPr>
        <w:t>COMPETENCIAS.</w:t>
      </w:r>
      <w:r>
        <w:rPr>
          <w:b/>
          <w:spacing w:val="-11"/>
        </w:rPr>
        <w:t xml:space="preserve"> </w:t>
      </w:r>
      <w:r>
        <w:rPr>
          <w:color w:val="333333"/>
        </w:rPr>
        <w:t>Para</w:t>
      </w:r>
      <w:r>
        <w:rPr>
          <w:color w:val="333333"/>
          <w:spacing w:val="-17"/>
        </w:rPr>
        <w:t xml:space="preserve"> </w:t>
      </w:r>
      <w:r>
        <w:rPr>
          <w:color w:val="333333"/>
        </w:rPr>
        <w:t>desarrollar</w:t>
      </w:r>
      <w:r>
        <w:rPr>
          <w:color w:val="333333"/>
          <w:spacing w:val="-15"/>
        </w:rPr>
        <w:t xml:space="preserve"> </w:t>
      </w:r>
      <w:r>
        <w:rPr>
          <w:color w:val="333333"/>
        </w:rPr>
        <w:t>su</w:t>
      </w:r>
      <w:r>
        <w:rPr>
          <w:color w:val="333333"/>
          <w:spacing w:val="-19"/>
        </w:rPr>
        <w:t xml:space="preserve"> </w:t>
      </w:r>
      <w:r>
        <w:rPr>
          <w:color w:val="333333"/>
        </w:rPr>
        <w:t>objeto, el</w:t>
      </w:r>
      <w:r>
        <w:rPr>
          <w:color w:val="333333"/>
          <w:spacing w:val="-19"/>
        </w:rPr>
        <w:t xml:space="preserve"> </w:t>
      </w:r>
      <w:r>
        <w:rPr>
          <w:color w:val="333333"/>
        </w:rPr>
        <w:t>Ministerio</w:t>
      </w:r>
      <w:r>
        <w:rPr>
          <w:color w:val="333333"/>
          <w:spacing w:val="-19"/>
        </w:rPr>
        <w:t xml:space="preserve"> </w:t>
      </w:r>
      <w:r>
        <w:rPr>
          <w:color w:val="333333"/>
        </w:rPr>
        <w:t>de</w:t>
      </w:r>
      <w:r>
        <w:rPr>
          <w:color w:val="333333"/>
          <w:spacing w:val="-16"/>
        </w:rPr>
        <w:t xml:space="preserve"> </w:t>
      </w:r>
      <w:r>
        <w:rPr>
          <w:color w:val="333333"/>
        </w:rPr>
        <w:t>Igualdad</w:t>
      </w:r>
      <w:r>
        <w:rPr>
          <w:color w:val="333333"/>
          <w:spacing w:val="-17"/>
        </w:rPr>
        <w:t xml:space="preserve"> </w:t>
      </w:r>
      <w:r>
        <w:rPr>
          <w:color w:val="333333"/>
        </w:rPr>
        <w:t>y</w:t>
      </w:r>
      <w:r>
        <w:rPr>
          <w:color w:val="333333"/>
          <w:spacing w:val="-19"/>
        </w:rPr>
        <w:t xml:space="preserve"> </w:t>
      </w:r>
      <w:r>
        <w:rPr>
          <w:color w:val="333333"/>
        </w:rPr>
        <w:t>Equidad</w:t>
      </w:r>
      <w:r>
        <w:rPr>
          <w:color w:val="333333"/>
          <w:spacing w:val="-18"/>
        </w:rPr>
        <w:t xml:space="preserve"> </w:t>
      </w:r>
      <w:r>
        <w:t>focalizará</w:t>
      </w:r>
      <w:r>
        <w:rPr>
          <w:spacing w:val="-17"/>
        </w:rPr>
        <w:t xml:space="preserve"> </w:t>
      </w:r>
      <w:r>
        <w:t>su</w:t>
      </w:r>
      <w:r>
        <w:rPr>
          <w:spacing w:val="-19"/>
        </w:rPr>
        <w:t xml:space="preserve"> </w:t>
      </w:r>
      <w:r>
        <w:t>accionar</w:t>
      </w:r>
      <w:r>
        <w:rPr>
          <w:spacing w:val="-15"/>
        </w:rPr>
        <w:t xml:space="preserve"> </w:t>
      </w:r>
      <w:r>
        <w:t>en</w:t>
      </w:r>
      <w:r>
        <w:rPr>
          <w:spacing w:val="-19"/>
        </w:rPr>
        <w:t xml:space="preserve"> </w:t>
      </w:r>
      <w:r>
        <w:t>los</w:t>
      </w:r>
      <w:r>
        <w:rPr>
          <w:spacing w:val="-18"/>
        </w:rPr>
        <w:t xml:space="preserve"> </w:t>
      </w:r>
      <w:r>
        <w:t>territorios excluidos y marginados, y propenderá por garantizar el derecho a la igualdad y equidad de los sujetos de especial protección constitucional, entre ellos:</w:t>
      </w:r>
    </w:p>
    <w:p w14:paraId="64316007" w14:textId="77777777" w:rsidR="000E52B0" w:rsidRDefault="000E52B0">
      <w:pPr>
        <w:pStyle w:val="Textoindependiente"/>
        <w:ind w:left="0"/>
      </w:pPr>
    </w:p>
    <w:p w14:paraId="553DD644" w14:textId="77777777" w:rsidR="000E52B0" w:rsidRDefault="00F60D74">
      <w:pPr>
        <w:pStyle w:val="Prrafodelista"/>
        <w:numPr>
          <w:ilvl w:val="1"/>
          <w:numId w:val="59"/>
        </w:numPr>
        <w:tabs>
          <w:tab w:val="left" w:pos="978"/>
        </w:tabs>
        <w:spacing w:before="1"/>
        <w:ind w:left="978" w:hanging="358"/>
        <w:rPr>
          <w:sz w:val="24"/>
        </w:rPr>
      </w:pPr>
      <w:r>
        <w:rPr>
          <w:sz w:val="24"/>
        </w:rPr>
        <w:t>Mujeres en</w:t>
      </w:r>
      <w:r>
        <w:rPr>
          <w:spacing w:val="-2"/>
          <w:sz w:val="24"/>
        </w:rPr>
        <w:t xml:space="preserve"> </w:t>
      </w:r>
      <w:r>
        <w:rPr>
          <w:sz w:val="24"/>
        </w:rPr>
        <w:t>todas</w:t>
      </w:r>
      <w:r>
        <w:rPr>
          <w:spacing w:val="-5"/>
          <w:sz w:val="24"/>
        </w:rPr>
        <w:t xml:space="preserve"> </w:t>
      </w:r>
      <w:r>
        <w:rPr>
          <w:sz w:val="24"/>
        </w:rPr>
        <w:t>sus</w:t>
      </w:r>
      <w:r>
        <w:rPr>
          <w:spacing w:val="4"/>
          <w:sz w:val="24"/>
        </w:rPr>
        <w:t xml:space="preserve"> </w:t>
      </w:r>
      <w:r>
        <w:rPr>
          <w:spacing w:val="-2"/>
          <w:sz w:val="24"/>
        </w:rPr>
        <w:t>diversidades</w:t>
      </w:r>
    </w:p>
    <w:p w14:paraId="4051D3DB" w14:textId="77777777" w:rsidR="000E52B0" w:rsidRDefault="00F60D74">
      <w:pPr>
        <w:pStyle w:val="Prrafodelista"/>
        <w:numPr>
          <w:ilvl w:val="1"/>
          <w:numId w:val="59"/>
        </w:numPr>
        <w:tabs>
          <w:tab w:val="left" w:pos="978"/>
        </w:tabs>
        <w:spacing w:before="4" w:line="291" w:lineRule="exact"/>
        <w:ind w:left="978" w:hanging="358"/>
        <w:rPr>
          <w:sz w:val="24"/>
        </w:rPr>
      </w:pPr>
      <w:r>
        <w:rPr>
          <w:sz w:val="24"/>
        </w:rPr>
        <w:t>Población</w:t>
      </w:r>
      <w:r>
        <w:rPr>
          <w:spacing w:val="-3"/>
          <w:sz w:val="24"/>
        </w:rPr>
        <w:t xml:space="preserve"> </w:t>
      </w:r>
      <w:r>
        <w:rPr>
          <w:spacing w:val="-2"/>
          <w:sz w:val="24"/>
        </w:rPr>
        <w:t>LGBTIQ+</w:t>
      </w:r>
    </w:p>
    <w:p w14:paraId="1E395AA4" w14:textId="77777777" w:rsidR="000E52B0" w:rsidRDefault="00F60D74">
      <w:pPr>
        <w:pStyle w:val="Prrafodelista"/>
        <w:numPr>
          <w:ilvl w:val="1"/>
          <w:numId w:val="59"/>
        </w:numPr>
        <w:tabs>
          <w:tab w:val="left" w:pos="978"/>
          <w:tab w:val="left" w:pos="2241"/>
          <w:tab w:val="left" w:pos="4875"/>
          <w:tab w:val="left" w:pos="6139"/>
          <w:tab w:val="left" w:pos="7544"/>
        </w:tabs>
        <w:spacing w:line="290" w:lineRule="exact"/>
        <w:ind w:left="978" w:hanging="358"/>
        <w:rPr>
          <w:sz w:val="24"/>
        </w:rPr>
      </w:pPr>
      <w:r>
        <w:rPr>
          <w:spacing w:val="-2"/>
          <w:sz w:val="24"/>
        </w:rPr>
        <w:t>Pueblos</w:t>
      </w:r>
      <w:r>
        <w:rPr>
          <w:sz w:val="24"/>
        </w:rPr>
        <w:tab/>
      </w:r>
      <w:r>
        <w:rPr>
          <w:spacing w:val="-2"/>
          <w:sz w:val="24"/>
        </w:rPr>
        <w:t>Afrodescendientes,</w:t>
      </w:r>
      <w:r>
        <w:rPr>
          <w:sz w:val="24"/>
        </w:rPr>
        <w:tab/>
      </w:r>
      <w:r>
        <w:rPr>
          <w:spacing w:val="-2"/>
          <w:sz w:val="24"/>
        </w:rPr>
        <w:t>Negros,</w:t>
      </w:r>
      <w:r>
        <w:rPr>
          <w:sz w:val="24"/>
        </w:rPr>
        <w:tab/>
      </w:r>
      <w:r>
        <w:rPr>
          <w:spacing w:val="-2"/>
          <w:sz w:val="24"/>
        </w:rPr>
        <w:t>Raizales,</w:t>
      </w:r>
      <w:r>
        <w:rPr>
          <w:sz w:val="24"/>
        </w:rPr>
        <w:tab/>
      </w:r>
      <w:r>
        <w:rPr>
          <w:spacing w:val="-2"/>
          <w:sz w:val="24"/>
        </w:rPr>
        <w:t>Palanqueros,</w:t>
      </w:r>
    </w:p>
    <w:p w14:paraId="19571681" w14:textId="77777777" w:rsidR="000E52B0" w:rsidRDefault="00F60D74">
      <w:pPr>
        <w:pStyle w:val="Textoindependiente"/>
        <w:spacing w:line="291" w:lineRule="exact"/>
        <w:ind w:left="981"/>
      </w:pPr>
      <w:r>
        <w:t>Indígenas</w:t>
      </w:r>
      <w:r>
        <w:rPr>
          <w:spacing w:val="-4"/>
        </w:rPr>
        <w:t xml:space="preserve"> </w:t>
      </w:r>
      <w:r>
        <w:t>y</w:t>
      </w:r>
      <w:r>
        <w:rPr>
          <w:spacing w:val="-3"/>
        </w:rPr>
        <w:t xml:space="preserve"> </w:t>
      </w:r>
      <w:proofErr w:type="spellStart"/>
      <w:r>
        <w:rPr>
          <w:spacing w:val="-4"/>
        </w:rPr>
        <w:t>Rrom</w:t>
      </w:r>
      <w:proofErr w:type="spellEnd"/>
    </w:p>
    <w:p w14:paraId="3D070CEF" w14:textId="77777777" w:rsidR="000E52B0" w:rsidRDefault="00F60D74">
      <w:pPr>
        <w:pStyle w:val="Prrafodelista"/>
        <w:numPr>
          <w:ilvl w:val="1"/>
          <w:numId w:val="59"/>
        </w:numPr>
        <w:tabs>
          <w:tab w:val="left" w:pos="978"/>
        </w:tabs>
        <w:spacing w:before="3" w:line="291" w:lineRule="exact"/>
        <w:ind w:left="978" w:hanging="358"/>
        <w:rPr>
          <w:sz w:val="24"/>
        </w:rPr>
      </w:pPr>
      <w:proofErr w:type="gramStart"/>
      <w:r>
        <w:rPr>
          <w:sz w:val="24"/>
        </w:rPr>
        <w:t>Campesinos y</w:t>
      </w:r>
      <w:r>
        <w:rPr>
          <w:spacing w:val="-1"/>
          <w:sz w:val="24"/>
        </w:rPr>
        <w:t xml:space="preserve"> </w:t>
      </w:r>
      <w:r>
        <w:rPr>
          <w:spacing w:val="-2"/>
          <w:sz w:val="24"/>
        </w:rPr>
        <w:t>campesinas</w:t>
      </w:r>
      <w:proofErr w:type="gramEnd"/>
    </w:p>
    <w:p w14:paraId="5287FDE5" w14:textId="77777777" w:rsidR="000E52B0" w:rsidRDefault="00F60D74">
      <w:pPr>
        <w:pStyle w:val="Prrafodelista"/>
        <w:numPr>
          <w:ilvl w:val="1"/>
          <w:numId w:val="59"/>
        </w:numPr>
        <w:tabs>
          <w:tab w:val="left" w:pos="978"/>
        </w:tabs>
        <w:spacing w:line="290" w:lineRule="exact"/>
        <w:ind w:left="978" w:hanging="358"/>
        <w:rPr>
          <w:sz w:val="24"/>
        </w:rPr>
      </w:pPr>
      <w:r>
        <w:rPr>
          <w:spacing w:val="-2"/>
          <w:sz w:val="24"/>
        </w:rPr>
        <w:t>Jóvenes</w:t>
      </w:r>
    </w:p>
    <w:p w14:paraId="46242890" w14:textId="77777777" w:rsidR="000E52B0" w:rsidRDefault="00F60D74">
      <w:pPr>
        <w:pStyle w:val="Prrafodelista"/>
        <w:numPr>
          <w:ilvl w:val="1"/>
          <w:numId w:val="59"/>
        </w:numPr>
        <w:tabs>
          <w:tab w:val="left" w:pos="979"/>
        </w:tabs>
        <w:spacing w:line="291" w:lineRule="exact"/>
        <w:ind w:left="979" w:hanging="359"/>
        <w:rPr>
          <w:sz w:val="24"/>
        </w:rPr>
      </w:pPr>
      <w:r>
        <w:rPr>
          <w:sz w:val="24"/>
        </w:rPr>
        <w:t>Miembros</w:t>
      </w:r>
      <w:r>
        <w:rPr>
          <w:spacing w:val="-4"/>
          <w:sz w:val="24"/>
        </w:rPr>
        <w:t xml:space="preserve"> </w:t>
      </w:r>
      <w:r>
        <w:rPr>
          <w:sz w:val="24"/>
        </w:rPr>
        <w:t>de hogares</w:t>
      </w:r>
      <w:r>
        <w:rPr>
          <w:spacing w:val="-6"/>
          <w:sz w:val="24"/>
        </w:rPr>
        <w:t xml:space="preserve"> </w:t>
      </w:r>
      <w:r>
        <w:rPr>
          <w:sz w:val="24"/>
        </w:rPr>
        <w:t>en</w:t>
      </w:r>
      <w:r>
        <w:rPr>
          <w:spacing w:val="-3"/>
          <w:sz w:val="24"/>
        </w:rPr>
        <w:t xml:space="preserve"> </w:t>
      </w:r>
      <w:r>
        <w:rPr>
          <w:sz w:val="24"/>
        </w:rPr>
        <w:t>situación</w:t>
      </w:r>
      <w:r>
        <w:rPr>
          <w:spacing w:val="-3"/>
          <w:sz w:val="24"/>
        </w:rPr>
        <w:t xml:space="preserve"> </w:t>
      </w:r>
      <w:r>
        <w:rPr>
          <w:sz w:val="24"/>
        </w:rPr>
        <w:t>de pobreza</w:t>
      </w:r>
      <w:r>
        <w:rPr>
          <w:spacing w:val="-1"/>
          <w:sz w:val="24"/>
        </w:rPr>
        <w:t xml:space="preserve"> </w:t>
      </w:r>
      <w:r>
        <w:rPr>
          <w:sz w:val="24"/>
        </w:rPr>
        <w:t>y</w:t>
      </w:r>
      <w:r>
        <w:rPr>
          <w:spacing w:val="-3"/>
          <w:sz w:val="24"/>
        </w:rPr>
        <w:t xml:space="preserve"> </w:t>
      </w:r>
      <w:r>
        <w:rPr>
          <w:sz w:val="24"/>
        </w:rPr>
        <w:t xml:space="preserve">pobreza </w:t>
      </w:r>
      <w:r>
        <w:rPr>
          <w:spacing w:val="-2"/>
          <w:sz w:val="24"/>
        </w:rPr>
        <w:t>extrema</w:t>
      </w:r>
    </w:p>
    <w:p w14:paraId="7434E524" w14:textId="77777777" w:rsidR="000E52B0" w:rsidRDefault="00F60D74">
      <w:pPr>
        <w:pStyle w:val="Prrafodelista"/>
        <w:numPr>
          <w:ilvl w:val="1"/>
          <w:numId w:val="59"/>
        </w:numPr>
        <w:tabs>
          <w:tab w:val="left" w:pos="978"/>
        </w:tabs>
        <w:spacing w:before="3" w:line="291" w:lineRule="exact"/>
        <w:ind w:left="978" w:hanging="358"/>
        <w:rPr>
          <w:sz w:val="24"/>
        </w:rPr>
      </w:pPr>
      <w:r>
        <w:rPr>
          <w:sz w:val="24"/>
        </w:rPr>
        <w:t>Personas con</w:t>
      </w:r>
      <w:r>
        <w:rPr>
          <w:spacing w:val="-2"/>
          <w:sz w:val="24"/>
        </w:rPr>
        <w:t xml:space="preserve"> discapacidad</w:t>
      </w:r>
    </w:p>
    <w:p w14:paraId="2C478533" w14:textId="77777777" w:rsidR="000E52B0" w:rsidRDefault="00F60D74">
      <w:pPr>
        <w:pStyle w:val="Prrafodelista"/>
        <w:numPr>
          <w:ilvl w:val="1"/>
          <w:numId w:val="59"/>
        </w:numPr>
        <w:tabs>
          <w:tab w:val="left" w:pos="979"/>
        </w:tabs>
        <w:spacing w:line="290" w:lineRule="exact"/>
        <w:ind w:left="979" w:hanging="359"/>
        <w:rPr>
          <w:sz w:val="24"/>
        </w:rPr>
      </w:pPr>
      <w:r>
        <w:rPr>
          <w:sz w:val="24"/>
        </w:rPr>
        <w:t>Habitantes</w:t>
      </w:r>
      <w:r>
        <w:rPr>
          <w:spacing w:val="-1"/>
          <w:sz w:val="24"/>
        </w:rPr>
        <w:t xml:space="preserve"> </w:t>
      </w:r>
      <w:r>
        <w:rPr>
          <w:sz w:val="24"/>
        </w:rPr>
        <w:t xml:space="preserve">de </w:t>
      </w:r>
      <w:r>
        <w:rPr>
          <w:spacing w:val="-4"/>
          <w:sz w:val="24"/>
        </w:rPr>
        <w:t>calle</w:t>
      </w:r>
    </w:p>
    <w:p w14:paraId="4ECDB764" w14:textId="77777777" w:rsidR="000E52B0" w:rsidRDefault="00F60D74">
      <w:pPr>
        <w:pStyle w:val="Prrafodelista"/>
        <w:numPr>
          <w:ilvl w:val="1"/>
          <w:numId w:val="59"/>
        </w:numPr>
        <w:tabs>
          <w:tab w:val="left" w:pos="978"/>
        </w:tabs>
        <w:spacing w:line="291" w:lineRule="exact"/>
        <w:ind w:left="978" w:hanging="358"/>
        <w:rPr>
          <w:sz w:val="24"/>
        </w:rPr>
      </w:pPr>
      <w:r>
        <w:rPr>
          <w:sz w:val="24"/>
        </w:rPr>
        <w:t>Población</w:t>
      </w:r>
      <w:r>
        <w:rPr>
          <w:spacing w:val="-1"/>
          <w:sz w:val="24"/>
        </w:rPr>
        <w:t xml:space="preserve"> </w:t>
      </w:r>
      <w:r>
        <w:rPr>
          <w:sz w:val="24"/>
        </w:rPr>
        <w:t>en territorios</w:t>
      </w:r>
      <w:r>
        <w:rPr>
          <w:spacing w:val="-2"/>
          <w:sz w:val="24"/>
        </w:rPr>
        <w:t xml:space="preserve"> excluidos</w:t>
      </w:r>
    </w:p>
    <w:p w14:paraId="45014434" w14:textId="77777777" w:rsidR="000E52B0" w:rsidRDefault="00F60D74">
      <w:pPr>
        <w:pStyle w:val="Prrafodelista"/>
        <w:numPr>
          <w:ilvl w:val="1"/>
          <w:numId w:val="59"/>
        </w:numPr>
        <w:tabs>
          <w:tab w:val="left" w:pos="979"/>
        </w:tabs>
        <w:spacing w:before="4" w:line="291" w:lineRule="exact"/>
        <w:ind w:left="979" w:hanging="359"/>
        <w:rPr>
          <w:sz w:val="24"/>
        </w:rPr>
      </w:pPr>
      <w:r>
        <w:rPr>
          <w:sz w:val="24"/>
        </w:rPr>
        <w:t>Mujeres</w:t>
      </w:r>
      <w:r>
        <w:rPr>
          <w:spacing w:val="-2"/>
          <w:sz w:val="24"/>
        </w:rPr>
        <w:t xml:space="preserve"> </w:t>
      </w:r>
      <w:r>
        <w:rPr>
          <w:sz w:val="24"/>
        </w:rPr>
        <w:t>cabeza</w:t>
      </w:r>
      <w:r>
        <w:rPr>
          <w:spacing w:val="-1"/>
          <w:sz w:val="24"/>
        </w:rPr>
        <w:t xml:space="preserve"> </w:t>
      </w:r>
      <w:r>
        <w:rPr>
          <w:sz w:val="24"/>
        </w:rPr>
        <w:t>de</w:t>
      </w:r>
      <w:r>
        <w:rPr>
          <w:spacing w:val="-4"/>
          <w:sz w:val="24"/>
        </w:rPr>
        <w:t xml:space="preserve"> </w:t>
      </w:r>
      <w:r>
        <w:rPr>
          <w:spacing w:val="-2"/>
          <w:sz w:val="24"/>
        </w:rPr>
        <w:t>familia</w:t>
      </w:r>
    </w:p>
    <w:p w14:paraId="5CA266AA" w14:textId="77777777" w:rsidR="000E52B0" w:rsidRDefault="00F60D74">
      <w:pPr>
        <w:pStyle w:val="Prrafodelista"/>
        <w:numPr>
          <w:ilvl w:val="1"/>
          <w:numId w:val="59"/>
        </w:numPr>
        <w:tabs>
          <w:tab w:val="left" w:pos="978"/>
        </w:tabs>
        <w:spacing w:line="290" w:lineRule="exact"/>
        <w:ind w:left="978" w:hanging="358"/>
        <w:rPr>
          <w:sz w:val="24"/>
        </w:rPr>
      </w:pPr>
      <w:r>
        <w:rPr>
          <w:sz w:val="24"/>
        </w:rPr>
        <w:t>Adultos</w:t>
      </w:r>
      <w:r>
        <w:rPr>
          <w:spacing w:val="-2"/>
          <w:sz w:val="24"/>
        </w:rPr>
        <w:t xml:space="preserve"> mayores</w:t>
      </w:r>
    </w:p>
    <w:p w14:paraId="5D49778D" w14:textId="77777777" w:rsidR="000E52B0" w:rsidRDefault="00F60D74">
      <w:pPr>
        <w:pStyle w:val="Prrafodelista"/>
        <w:numPr>
          <w:ilvl w:val="1"/>
          <w:numId w:val="59"/>
        </w:numPr>
        <w:tabs>
          <w:tab w:val="left" w:pos="978"/>
        </w:tabs>
        <w:spacing w:line="242" w:lineRule="auto"/>
        <w:ind w:left="620" w:right="7393" w:firstLine="0"/>
        <w:rPr>
          <w:sz w:val="24"/>
        </w:rPr>
      </w:pPr>
      <w:r>
        <w:rPr>
          <w:spacing w:val="-2"/>
          <w:sz w:val="24"/>
        </w:rPr>
        <w:t>Familias m)Niñez</w:t>
      </w:r>
    </w:p>
    <w:p w14:paraId="667C365C" w14:textId="77777777" w:rsidR="000E52B0" w:rsidRDefault="00F60D74">
      <w:pPr>
        <w:pStyle w:val="Textoindependiente"/>
        <w:spacing w:line="237" w:lineRule="auto"/>
        <w:ind w:left="981" w:hanging="360"/>
      </w:pPr>
      <w:r>
        <w:t>n) Población</w:t>
      </w:r>
      <w:r>
        <w:rPr>
          <w:spacing w:val="80"/>
        </w:rPr>
        <w:t xml:space="preserve"> </w:t>
      </w:r>
      <w:r>
        <w:t>migrante</w:t>
      </w:r>
      <w:r>
        <w:rPr>
          <w:spacing w:val="80"/>
        </w:rPr>
        <w:t xml:space="preserve"> </w:t>
      </w:r>
      <w:r>
        <w:t>regular,</w:t>
      </w:r>
      <w:r>
        <w:rPr>
          <w:spacing w:val="80"/>
        </w:rPr>
        <w:t xml:space="preserve"> </w:t>
      </w:r>
      <w:r>
        <w:t>irregular,</w:t>
      </w:r>
      <w:r>
        <w:rPr>
          <w:spacing w:val="80"/>
        </w:rPr>
        <w:t xml:space="preserve"> </w:t>
      </w:r>
      <w:r>
        <w:t>refugiado,</w:t>
      </w:r>
      <w:r>
        <w:rPr>
          <w:spacing w:val="80"/>
        </w:rPr>
        <w:t xml:space="preserve"> </w:t>
      </w:r>
      <w:r>
        <w:t>en</w:t>
      </w:r>
      <w:r>
        <w:rPr>
          <w:spacing w:val="80"/>
        </w:rPr>
        <w:t xml:space="preserve"> </w:t>
      </w:r>
      <w:r>
        <w:t>tránsito</w:t>
      </w:r>
      <w:r>
        <w:rPr>
          <w:spacing w:val="80"/>
        </w:rPr>
        <w:t xml:space="preserve"> </w:t>
      </w:r>
      <w:r>
        <w:t xml:space="preserve">y </w:t>
      </w:r>
      <w:r>
        <w:rPr>
          <w:spacing w:val="-2"/>
        </w:rPr>
        <w:t>retornado</w:t>
      </w:r>
    </w:p>
    <w:p w14:paraId="463E54F8" w14:textId="77777777" w:rsidR="000E52B0" w:rsidRDefault="000E52B0">
      <w:pPr>
        <w:pStyle w:val="Textoindependiente"/>
        <w:spacing w:before="1"/>
        <w:ind w:left="0"/>
      </w:pPr>
    </w:p>
    <w:p w14:paraId="604E76FF" w14:textId="77777777" w:rsidR="000E52B0" w:rsidRDefault="00F60D74">
      <w:pPr>
        <w:spacing w:line="291" w:lineRule="exact"/>
        <w:ind w:left="260"/>
        <w:jc w:val="both"/>
        <w:rPr>
          <w:b/>
          <w:sz w:val="24"/>
        </w:rPr>
      </w:pPr>
      <w:r>
        <w:rPr>
          <w:b/>
          <w:color w:val="333333"/>
          <w:sz w:val="24"/>
        </w:rPr>
        <w:t>ARTÍCULO</w:t>
      </w:r>
      <w:r>
        <w:rPr>
          <w:b/>
          <w:color w:val="333333"/>
          <w:spacing w:val="34"/>
          <w:sz w:val="24"/>
        </w:rPr>
        <w:t xml:space="preserve"> </w:t>
      </w:r>
      <w:r>
        <w:rPr>
          <w:b/>
          <w:color w:val="333333"/>
          <w:sz w:val="24"/>
        </w:rPr>
        <w:t>6.</w:t>
      </w:r>
      <w:r>
        <w:rPr>
          <w:b/>
          <w:color w:val="333333"/>
          <w:spacing w:val="41"/>
          <w:sz w:val="24"/>
        </w:rPr>
        <w:t xml:space="preserve"> </w:t>
      </w:r>
      <w:r>
        <w:rPr>
          <w:b/>
          <w:sz w:val="24"/>
        </w:rPr>
        <w:t>CREACIÓN</w:t>
      </w:r>
      <w:r>
        <w:rPr>
          <w:b/>
          <w:spacing w:val="38"/>
          <w:sz w:val="24"/>
        </w:rPr>
        <w:t xml:space="preserve"> </w:t>
      </w:r>
      <w:r>
        <w:rPr>
          <w:b/>
          <w:sz w:val="24"/>
        </w:rPr>
        <w:t>DEL</w:t>
      </w:r>
      <w:r>
        <w:rPr>
          <w:b/>
          <w:spacing w:val="37"/>
          <w:sz w:val="24"/>
        </w:rPr>
        <w:t xml:space="preserve"> </w:t>
      </w:r>
      <w:r>
        <w:rPr>
          <w:b/>
          <w:sz w:val="24"/>
        </w:rPr>
        <w:t>SISTEMA</w:t>
      </w:r>
      <w:r>
        <w:rPr>
          <w:b/>
          <w:spacing w:val="35"/>
          <w:sz w:val="24"/>
        </w:rPr>
        <w:t xml:space="preserve"> </w:t>
      </w:r>
      <w:r>
        <w:rPr>
          <w:b/>
          <w:sz w:val="24"/>
        </w:rPr>
        <w:t>NACIONAL</w:t>
      </w:r>
      <w:r>
        <w:rPr>
          <w:b/>
          <w:spacing w:val="37"/>
          <w:sz w:val="24"/>
        </w:rPr>
        <w:t xml:space="preserve"> </w:t>
      </w:r>
      <w:r>
        <w:rPr>
          <w:b/>
          <w:sz w:val="24"/>
        </w:rPr>
        <w:t>DE</w:t>
      </w:r>
      <w:r>
        <w:rPr>
          <w:b/>
          <w:spacing w:val="37"/>
          <w:sz w:val="24"/>
        </w:rPr>
        <w:t xml:space="preserve"> </w:t>
      </w:r>
      <w:r>
        <w:rPr>
          <w:b/>
          <w:spacing w:val="-2"/>
          <w:sz w:val="24"/>
        </w:rPr>
        <w:t>CUIDADO.</w:t>
      </w:r>
    </w:p>
    <w:p w14:paraId="3D380AB9" w14:textId="77777777" w:rsidR="000E52B0" w:rsidRDefault="00F60D74">
      <w:pPr>
        <w:pStyle w:val="Textoindependiente"/>
        <w:ind w:left="260" w:right="252"/>
        <w:jc w:val="both"/>
      </w:pPr>
      <w:r>
        <w:t>Créase el Sistema Nacional de Cuidado, mediante el cual se articula la respuesta institucional, servicios, regulaciones, políticas y acciones técnicas</w:t>
      </w:r>
      <w:r>
        <w:rPr>
          <w:spacing w:val="-17"/>
        </w:rPr>
        <w:t xml:space="preserve"> </w:t>
      </w:r>
      <w:r>
        <w:t>e</w:t>
      </w:r>
      <w:r>
        <w:rPr>
          <w:spacing w:val="-15"/>
        </w:rPr>
        <w:t xml:space="preserve"> </w:t>
      </w:r>
      <w:r>
        <w:t>institucionales</w:t>
      </w:r>
      <w:r>
        <w:rPr>
          <w:spacing w:val="-17"/>
        </w:rPr>
        <w:t xml:space="preserve"> </w:t>
      </w:r>
      <w:r>
        <w:t>existentes</w:t>
      </w:r>
      <w:r>
        <w:rPr>
          <w:spacing w:val="-17"/>
        </w:rPr>
        <w:t xml:space="preserve"> </w:t>
      </w:r>
      <w:r>
        <w:t>y</w:t>
      </w:r>
      <w:r>
        <w:rPr>
          <w:spacing w:val="-19"/>
        </w:rPr>
        <w:t xml:space="preserve"> </w:t>
      </w:r>
      <w:r>
        <w:t>nuevas,</w:t>
      </w:r>
      <w:r>
        <w:rPr>
          <w:spacing w:val="-14"/>
        </w:rPr>
        <w:t xml:space="preserve"> </w:t>
      </w:r>
      <w:r>
        <w:t>con</w:t>
      </w:r>
      <w:r>
        <w:rPr>
          <w:spacing w:val="-19"/>
        </w:rPr>
        <w:t xml:space="preserve"> </w:t>
      </w:r>
      <w:r>
        <w:t>el</w:t>
      </w:r>
      <w:r>
        <w:rPr>
          <w:spacing w:val="-18"/>
        </w:rPr>
        <w:t xml:space="preserve"> </w:t>
      </w:r>
      <w:r>
        <w:t>objeto</w:t>
      </w:r>
      <w:r>
        <w:rPr>
          <w:spacing w:val="-17"/>
        </w:rPr>
        <w:t xml:space="preserve"> </w:t>
      </w:r>
      <w:r>
        <w:t>de</w:t>
      </w:r>
      <w:r>
        <w:rPr>
          <w:spacing w:val="-15"/>
        </w:rPr>
        <w:t xml:space="preserve"> </w:t>
      </w:r>
      <w:r>
        <w:t>desarrollar una sociedad cuidadora donde el Estado garantice el derecho a recibir cuidado, el derecho al autocuidado y a cuidar en condiciones dignas, y reconozca, proteja y fortalezca las formas comunitarias de cuidado para posicionar el cuidado como centro del sostenimiento de la vida.</w:t>
      </w:r>
    </w:p>
    <w:p w14:paraId="2A003F3D" w14:textId="77777777" w:rsidR="000E52B0" w:rsidRDefault="000E52B0">
      <w:pPr>
        <w:pStyle w:val="Textoindependiente"/>
        <w:spacing w:before="1"/>
        <w:ind w:left="0"/>
      </w:pPr>
    </w:p>
    <w:p w14:paraId="6686CD71" w14:textId="77777777" w:rsidR="000E52B0" w:rsidRDefault="00F60D74">
      <w:pPr>
        <w:pStyle w:val="Textoindependiente"/>
        <w:ind w:left="260" w:right="251"/>
        <w:jc w:val="both"/>
      </w:pPr>
      <w:r>
        <w:t>Los objetivos del Sistema son: i) reconocer, proteger y fortalecer las organizaciones de cuidado colectivo y comunitario y los procesos organizativos</w:t>
      </w:r>
      <w:r>
        <w:rPr>
          <w:spacing w:val="-10"/>
        </w:rPr>
        <w:t xml:space="preserve"> </w:t>
      </w:r>
      <w:r>
        <w:t>étnicos,</w:t>
      </w:r>
      <w:r>
        <w:rPr>
          <w:spacing w:val="-6"/>
        </w:rPr>
        <w:t xml:space="preserve"> </w:t>
      </w:r>
      <w:r>
        <w:t>campesinos</w:t>
      </w:r>
      <w:r>
        <w:rPr>
          <w:spacing w:val="-10"/>
        </w:rPr>
        <w:t xml:space="preserve"> </w:t>
      </w:r>
      <w:r>
        <w:t>y</w:t>
      </w:r>
      <w:r>
        <w:rPr>
          <w:spacing w:val="-11"/>
        </w:rPr>
        <w:t xml:space="preserve"> </w:t>
      </w:r>
      <w:r>
        <w:t>territoriales</w:t>
      </w:r>
      <w:r>
        <w:rPr>
          <w:spacing w:val="-9"/>
        </w:rPr>
        <w:t xml:space="preserve"> </w:t>
      </w:r>
      <w:r>
        <w:t>con</w:t>
      </w:r>
      <w:r>
        <w:rPr>
          <w:spacing w:val="-11"/>
        </w:rPr>
        <w:t xml:space="preserve"> </w:t>
      </w:r>
      <w:r>
        <w:t>prácticas</w:t>
      </w:r>
      <w:r>
        <w:rPr>
          <w:spacing w:val="-9"/>
        </w:rPr>
        <w:t xml:space="preserve"> </w:t>
      </w:r>
      <w:r>
        <w:t>de</w:t>
      </w:r>
      <w:r>
        <w:rPr>
          <w:spacing w:val="-12"/>
        </w:rPr>
        <w:t xml:space="preserve"> </w:t>
      </w:r>
      <w:r>
        <w:t>cuidado propias,</w:t>
      </w:r>
      <w:r>
        <w:rPr>
          <w:spacing w:val="-1"/>
        </w:rPr>
        <w:t xml:space="preserve"> </w:t>
      </w:r>
      <w:proofErr w:type="spellStart"/>
      <w:r>
        <w:t>ii</w:t>
      </w:r>
      <w:proofErr w:type="spellEnd"/>
      <w:r>
        <w:t>)</w:t>
      </w:r>
      <w:r>
        <w:rPr>
          <w:spacing w:val="-7"/>
        </w:rPr>
        <w:t xml:space="preserve"> </w:t>
      </w:r>
      <w:r>
        <w:t>desarrollar</w:t>
      </w:r>
      <w:r>
        <w:rPr>
          <w:spacing w:val="-1"/>
        </w:rPr>
        <w:t xml:space="preserve"> </w:t>
      </w:r>
      <w:r>
        <w:t>estrategias</w:t>
      </w:r>
      <w:r>
        <w:rPr>
          <w:spacing w:val="-3"/>
        </w:rPr>
        <w:t xml:space="preserve"> </w:t>
      </w:r>
      <w:r>
        <w:t>para</w:t>
      </w:r>
      <w:r>
        <w:rPr>
          <w:spacing w:val="-3"/>
        </w:rPr>
        <w:t xml:space="preserve"> </w:t>
      </w:r>
      <w:r>
        <w:t>la</w:t>
      </w:r>
      <w:r>
        <w:rPr>
          <w:spacing w:val="-9"/>
        </w:rPr>
        <w:t xml:space="preserve"> </w:t>
      </w:r>
      <w:r>
        <w:t>garantía</w:t>
      </w:r>
      <w:r>
        <w:rPr>
          <w:spacing w:val="-3"/>
        </w:rPr>
        <w:t xml:space="preserve"> </w:t>
      </w:r>
      <w:r>
        <w:t>de</w:t>
      </w:r>
      <w:r>
        <w:rPr>
          <w:spacing w:val="-6"/>
        </w:rPr>
        <w:t xml:space="preserve"> </w:t>
      </w:r>
      <w:r>
        <w:t>los</w:t>
      </w:r>
      <w:r>
        <w:rPr>
          <w:spacing w:val="-3"/>
        </w:rPr>
        <w:t xml:space="preserve"> </w:t>
      </w:r>
      <w:r>
        <w:t>derechos</w:t>
      </w:r>
      <w:r>
        <w:rPr>
          <w:spacing w:val="-4"/>
        </w:rPr>
        <w:t xml:space="preserve"> </w:t>
      </w:r>
      <w:r>
        <w:t>de</w:t>
      </w:r>
      <w:r>
        <w:rPr>
          <w:spacing w:val="-2"/>
        </w:rPr>
        <w:t xml:space="preserve"> </w:t>
      </w:r>
      <w:r>
        <w:t>las personas</w:t>
      </w:r>
      <w:r>
        <w:rPr>
          <w:spacing w:val="20"/>
        </w:rPr>
        <w:t xml:space="preserve"> </w:t>
      </w:r>
      <w:r>
        <w:t>cuidadoras,</w:t>
      </w:r>
      <w:r>
        <w:rPr>
          <w:spacing w:val="25"/>
        </w:rPr>
        <w:t xml:space="preserve"> </w:t>
      </w:r>
      <w:proofErr w:type="spellStart"/>
      <w:r>
        <w:t>iii</w:t>
      </w:r>
      <w:proofErr w:type="spellEnd"/>
      <w:r>
        <w:t>)</w:t>
      </w:r>
      <w:r>
        <w:rPr>
          <w:spacing w:val="19"/>
        </w:rPr>
        <w:t xml:space="preserve"> </w:t>
      </w:r>
      <w:r>
        <w:t>crear,</w:t>
      </w:r>
      <w:r>
        <w:rPr>
          <w:spacing w:val="25"/>
        </w:rPr>
        <w:t xml:space="preserve"> </w:t>
      </w:r>
      <w:r>
        <w:t>ampliar,</w:t>
      </w:r>
      <w:r>
        <w:rPr>
          <w:spacing w:val="20"/>
        </w:rPr>
        <w:t xml:space="preserve"> </w:t>
      </w:r>
      <w:r>
        <w:t>regular</w:t>
      </w:r>
      <w:r>
        <w:rPr>
          <w:spacing w:val="21"/>
        </w:rPr>
        <w:t xml:space="preserve"> </w:t>
      </w:r>
      <w:r>
        <w:t>y</w:t>
      </w:r>
      <w:r>
        <w:rPr>
          <w:spacing w:val="21"/>
        </w:rPr>
        <w:t xml:space="preserve"> </w:t>
      </w:r>
      <w:r>
        <w:t>articular</w:t>
      </w:r>
      <w:r>
        <w:rPr>
          <w:spacing w:val="21"/>
        </w:rPr>
        <w:t xml:space="preserve"> </w:t>
      </w:r>
      <w:r>
        <w:t>la</w:t>
      </w:r>
      <w:r>
        <w:rPr>
          <w:spacing w:val="18"/>
        </w:rPr>
        <w:t xml:space="preserve"> </w:t>
      </w:r>
      <w:r>
        <w:rPr>
          <w:spacing w:val="-2"/>
        </w:rPr>
        <w:t>respuesta</w:t>
      </w:r>
    </w:p>
    <w:p w14:paraId="5C84506D" w14:textId="77777777" w:rsidR="000E52B0" w:rsidRDefault="000E52B0">
      <w:pPr>
        <w:pStyle w:val="Textoindependiente"/>
        <w:jc w:val="both"/>
        <w:sectPr w:rsidR="000E52B0">
          <w:pgSz w:w="12240" w:h="15840"/>
          <w:pgMar w:top="1340" w:right="1440" w:bottom="1280" w:left="1440" w:header="0" w:footer="1092" w:gutter="0"/>
          <w:cols w:space="720"/>
        </w:sectPr>
      </w:pPr>
    </w:p>
    <w:p w14:paraId="5B0E4069" w14:textId="77777777" w:rsidR="000E52B0" w:rsidRDefault="00F60D74">
      <w:pPr>
        <w:pStyle w:val="Textoindependiente"/>
        <w:spacing w:before="74"/>
        <w:ind w:left="260" w:right="256"/>
        <w:jc w:val="both"/>
      </w:pPr>
      <w:r>
        <w:lastRenderedPageBreak/>
        <w:t xml:space="preserve">institucional e infraestructura de cuidado para contribuir a la autonomía, vida independiente y en comunidad de las personas que requieren cuidado, apoyo y asistencia, y </w:t>
      </w:r>
      <w:proofErr w:type="spellStart"/>
      <w:r>
        <w:t>iv</w:t>
      </w:r>
      <w:proofErr w:type="spellEnd"/>
      <w:r>
        <w:t>) contribuir a la transformación cultural para democratizar el cuidado.</w:t>
      </w:r>
    </w:p>
    <w:p w14:paraId="4CC9DBAD" w14:textId="77777777" w:rsidR="000E52B0" w:rsidRDefault="000E52B0">
      <w:pPr>
        <w:pStyle w:val="Textoindependiente"/>
        <w:spacing w:before="2"/>
        <w:ind w:left="0"/>
      </w:pPr>
    </w:p>
    <w:p w14:paraId="76FD6C63" w14:textId="77777777" w:rsidR="000E52B0" w:rsidRDefault="00F60D74">
      <w:pPr>
        <w:pStyle w:val="Textoindependiente"/>
        <w:ind w:left="260" w:right="250"/>
        <w:jc w:val="both"/>
      </w:pPr>
      <w:r>
        <w:t>El Ministerio de Igualdad y Equidad liderará y coordinará la implementación del Sistema Nacional de Cuidado.</w:t>
      </w:r>
    </w:p>
    <w:p w14:paraId="73340B6C" w14:textId="77777777" w:rsidR="000E52B0" w:rsidRDefault="000E52B0">
      <w:pPr>
        <w:pStyle w:val="Textoindependiente"/>
        <w:spacing w:before="160"/>
        <w:ind w:left="0"/>
      </w:pPr>
    </w:p>
    <w:p w14:paraId="2EA71902" w14:textId="77777777" w:rsidR="000E52B0" w:rsidRDefault="00F60D74">
      <w:pPr>
        <w:pStyle w:val="Textoindependiente"/>
        <w:spacing w:before="1"/>
        <w:ind w:left="260" w:right="254"/>
        <w:jc w:val="both"/>
      </w:pPr>
      <w:r>
        <w:rPr>
          <w:b/>
        </w:rPr>
        <w:t>ARTÍCULO</w:t>
      </w:r>
      <w:r>
        <w:rPr>
          <w:b/>
          <w:spacing w:val="-4"/>
        </w:rPr>
        <w:t xml:space="preserve"> </w:t>
      </w:r>
      <w:r>
        <w:rPr>
          <w:b/>
        </w:rPr>
        <w:t>7.</w:t>
      </w:r>
      <w:r>
        <w:rPr>
          <w:b/>
          <w:spacing w:val="-7"/>
        </w:rPr>
        <w:t xml:space="preserve"> </w:t>
      </w:r>
      <w:r>
        <w:rPr>
          <w:b/>
        </w:rPr>
        <w:t>SEDE</w:t>
      </w:r>
      <w:r>
        <w:rPr>
          <w:b/>
          <w:spacing w:val="-4"/>
        </w:rPr>
        <w:t xml:space="preserve"> </w:t>
      </w:r>
      <w:r>
        <w:rPr>
          <w:b/>
        </w:rPr>
        <w:t>Y</w:t>
      </w:r>
      <w:r>
        <w:rPr>
          <w:b/>
          <w:spacing w:val="-6"/>
        </w:rPr>
        <w:t xml:space="preserve"> </w:t>
      </w:r>
      <w:r>
        <w:rPr>
          <w:b/>
        </w:rPr>
        <w:t xml:space="preserve">DOMICILIO. </w:t>
      </w:r>
      <w:r>
        <w:t>El</w:t>
      </w:r>
      <w:r>
        <w:rPr>
          <w:spacing w:val="-3"/>
        </w:rPr>
        <w:t xml:space="preserve"> </w:t>
      </w:r>
      <w:r>
        <w:t>Ministerio</w:t>
      </w:r>
      <w:r>
        <w:rPr>
          <w:spacing w:val="-3"/>
        </w:rPr>
        <w:t xml:space="preserve"> </w:t>
      </w:r>
      <w:r>
        <w:t>de</w:t>
      </w:r>
      <w:r>
        <w:rPr>
          <w:spacing w:val="-1"/>
        </w:rPr>
        <w:t xml:space="preserve"> </w:t>
      </w:r>
      <w:r>
        <w:t>Igualdad</w:t>
      </w:r>
      <w:r>
        <w:rPr>
          <w:spacing w:val="-2"/>
        </w:rPr>
        <w:t xml:space="preserve"> </w:t>
      </w:r>
      <w:r>
        <w:t>y</w:t>
      </w:r>
      <w:r>
        <w:rPr>
          <w:spacing w:val="-4"/>
        </w:rPr>
        <w:t xml:space="preserve"> </w:t>
      </w:r>
      <w:r>
        <w:t>Equidad tendrá como sede y domicilio la ciudad de Bogotá. D.C., ejercerá sus funciones a nivel nacional y contará con direcciones departamentales</w:t>
      </w:r>
      <w:r>
        <w:rPr>
          <w:b/>
          <w:u w:val="single"/>
        </w:rPr>
        <w:t>,</w:t>
      </w:r>
      <w:r>
        <w:rPr>
          <w:b/>
        </w:rPr>
        <w:t xml:space="preserve"> </w:t>
      </w:r>
      <w:r>
        <w:t>a través</w:t>
      </w:r>
      <w:r>
        <w:rPr>
          <w:spacing w:val="-15"/>
        </w:rPr>
        <w:t xml:space="preserve"> </w:t>
      </w:r>
      <w:r>
        <w:t>de</w:t>
      </w:r>
      <w:r>
        <w:rPr>
          <w:spacing w:val="-13"/>
        </w:rPr>
        <w:t xml:space="preserve"> </w:t>
      </w:r>
      <w:r>
        <w:t>las</w:t>
      </w:r>
      <w:r>
        <w:rPr>
          <w:spacing w:val="-19"/>
        </w:rPr>
        <w:t xml:space="preserve"> </w:t>
      </w:r>
      <w:r>
        <w:t>cuales</w:t>
      </w:r>
      <w:r>
        <w:rPr>
          <w:spacing w:val="-15"/>
        </w:rPr>
        <w:t xml:space="preserve"> </w:t>
      </w:r>
      <w:r>
        <w:t>se</w:t>
      </w:r>
      <w:r>
        <w:rPr>
          <w:spacing w:val="-13"/>
        </w:rPr>
        <w:t xml:space="preserve"> </w:t>
      </w:r>
      <w:r>
        <w:t>adaptarán</w:t>
      </w:r>
      <w:r>
        <w:rPr>
          <w:spacing w:val="-17"/>
        </w:rPr>
        <w:t xml:space="preserve"> </w:t>
      </w:r>
      <w:r>
        <w:t>e</w:t>
      </w:r>
      <w:r>
        <w:rPr>
          <w:spacing w:val="-13"/>
        </w:rPr>
        <w:t xml:space="preserve"> </w:t>
      </w:r>
      <w:r>
        <w:t>implementarán</w:t>
      </w:r>
      <w:r>
        <w:rPr>
          <w:spacing w:val="-17"/>
        </w:rPr>
        <w:t xml:space="preserve"> </w:t>
      </w:r>
      <w:r>
        <w:t>las</w:t>
      </w:r>
      <w:r>
        <w:rPr>
          <w:spacing w:val="-15"/>
        </w:rPr>
        <w:t xml:space="preserve"> </w:t>
      </w:r>
      <w:r>
        <w:t>políticas</w:t>
      </w:r>
      <w:r>
        <w:rPr>
          <w:spacing w:val="-15"/>
        </w:rPr>
        <w:t xml:space="preserve"> </w:t>
      </w:r>
      <w:r>
        <w:t>del</w:t>
      </w:r>
      <w:r>
        <w:rPr>
          <w:spacing w:val="-20"/>
        </w:rPr>
        <w:t xml:space="preserve"> </w:t>
      </w:r>
      <w:r>
        <w:t>Sector en el territorio nacional, de acuerdo con lo dispuesto en la presente Ley.</w:t>
      </w:r>
    </w:p>
    <w:p w14:paraId="5B77356C" w14:textId="77777777" w:rsidR="000E52B0" w:rsidRDefault="00F60D74">
      <w:pPr>
        <w:spacing w:before="162"/>
        <w:ind w:left="260" w:right="257"/>
        <w:jc w:val="both"/>
        <w:rPr>
          <w:sz w:val="24"/>
        </w:rPr>
      </w:pPr>
      <w:r>
        <w:rPr>
          <w:b/>
          <w:sz w:val="24"/>
        </w:rPr>
        <w:t>ARTÍCULO</w:t>
      </w:r>
      <w:r>
        <w:rPr>
          <w:b/>
          <w:spacing w:val="-5"/>
          <w:sz w:val="24"/>
        </w:rPr>
        <w:t xml:space="preserve"> </w:t>
      </w:r>
      <w:r>
        <w:rPr>
          <w:b/>
          <w:sz w:val="24"/>
        </w:rPr>
        <w:t>8.</w:t>
      </w:r>
      <w:r>
        <w:rPr>
          <w:b/>
          <w:spacing w:val="-8"/>
          <w:sz w:val="24"/>
        </w:rPr>
        <w:t xml:space="preserve"> </w:t>
      </w:r>
      <w:r>
        <w:rPr>
          <w:b/>
          <w:sz w:val="24"/>
        </w:rPr>
        <w:t xml:space="preserve">PATRIMONIO. </w:t>
      </w:r>
      <w:r>
        <w:rPr>
          <w:sz w:val="24"/>
        </w:rPr>
        <w:t>El</w:t>
      </w:r>
      <w:r>
        <w:rPr>
          <w:spacing w:val="-4"/>
          <w:sz w:val="24"/>
        </w:rPr>
        <w:t xml:space="preserve"> </w:t>
      </w:r>
      <w:r>
        <w:rPr>
          <w:sz w:val="24"/>
        </w:rPr>
        <w:t>patrimonio</w:t>
      </w:r>
      <w:r>
        <w:rPr>
          <w:spacing w:val="-4"/>
          <w:sz w:val="24"/>
        </w:rPr>
        <w:t xml:space="preserve"> </w:t>
      </w:r>
      <w:r>
        <w:rPr>
          <w:sz w:val="24"/>
        </w:rPr>
        <w:t>del</w:t>
      </w:r>
      <w:r>
        <w:rPr>
          <w:spacing w:val="-4"/>
          <w:sz w:val="24"/>
        </w:rPr>
        <w:t xml:space="preserve"> </w:t>
      </w:r>
      <w:r>
        <w:rPr>
          <w:sz w:val="24"/>
        </w:rPr>
        <w:t>Ministerio</w:t>
      </w:r>
      <w:r>
        <w:rPr>
          <w:spacing w:val="-4"/>
          <w:sz w:val="24"/>
        </w:rPr>
        <w:t xml:space="preserve"> </w:t>
      </w:r>
      <w:r>
        <w:rPr>
          <w:sz w:val="24"/>
        </w:rPr>
        <w:t>de</w:t>
      </w:r>
      <w:r>
        <w:rPr>
          <w:spacing w:val="-2"/>
          <w:sz w:val="24"/>
        </w:rPr>
        <w:t xml:space="preserve"> </w:t>
      </w:r>
      <w:r>
        <w:rPr>
          <w:sz w:val="24"/>
        </w:rPr>
        <w:t>Igualdad</w:t>
      </w:r>
      <w:r>
        <w:rPr>
          <w:spacing w:val="-3"/>
          <w:sz w:val="24"/>
        </w:rPr>
        <w:t xml:space="preserve"> </w:t>
      </w:r>
      <w:r>
        <w:rPr>
          <w:sz w:val="24"/>
        </w:rPr>
        <w:t>y Equidad estará conformado por:</w:t>
      </w:r>
    </w:p>
    <w:p w14:paraId="074945F5" w14:textId="77777777" w:rsidR="000E52B0" w:rsidRDefault="00F60D74">
      <w:pPr>
        <w:pStyle w:val="Prrafodelista"/>
        <w:numPr>
          <w:ilvl w:val="0"/>
          <w:numId w:val="58"/>
        </w:numPr>
        <w:tabs>
          <w:tab w:val="left" w:pos="978"/>
        </w:tabs>
        <w:spacing w:before="156"/>
        <w:ind w:left="978" w:hanging="358"/>
        <w:jc w:val="both"/>
        <w:rPr>
          <w:sz w:val="24"/>
        </w:rPr>
      </w:pPr>
      <w:r>
        <w:rPr>
          <w:sz w:val="24"/>
        </w:rPr>
        <w:t>Las</w:t>
      </w:r>
      <w:r>
        <w:rPr>
          <w:spacing w:val="-16"/>
          <w:sz w:val="24"/>
        </w:rPr>
        <w:t xml:space="preserve"> </w:t>
      </w:r>
      <w:r>
        <w:rPr>
          <w:sz w:val="24"/>
        </w:rPr>
        <w:t>sumas</w:t>
      </w:r>
      <w:r>
        <w:rPr>
          <w:spacing w:val="-16"/>
          <w:sz w:val="24"/>
        </w:rPr>
        <w:t xml:space="preserve"> </w:t>
      </w:r>
      <w:r>
        <w:rPr>
          <w:sz w:val="24"/>
        </w:rPr>
        <w:t>que</w:t>
      </w:r>
      <w:r>
        <w:rPr>
          <w:spacing w:val="-14"/>
          <w:sz w:val="24"/>
        </w:rPr>
        <w:t xml:space="preserve"> </w:t>
      </w:r>
      <w:r>
        <w:rPr>
          <w:sz w:val="24"/>
        </w:rPr>
        <w:t>se</w:t>
      </w:r>
      <w:r>
        <w:rPr>
          <w:spacing w:val="-15"/>
          <w:sz w:val="24"/>
        </w:rPr>
        <w:t xml:space="preserve"> </w:t>
      </w:r>
      <w:r>
        <w:rPr>
          <w:sz w:val="24"/>
        </w:rPr>
        <w:t>apropien</w:t>
      </w:r>
      <w:r>
        <w:rPr>
          <w:spacing w:val="-17"/>
          <w:sz w:val="24"/>
        </w:rPr>
        <w:t xml:space="preserve"> </w:t>
      </w:r>
      <w:r>
        <w:rPr>
          <w:sz w:val="24"/>
        </w:rPr>
        <w:t>en</w:t>
      </w:r>
      <w:r>
        <w:rPr>
          <w:spacing w:val="-18"/>
          <w:sz w:val="24"/>
        </w:rPr>
        <w:t xml:space="preserve"> </w:t>
      </w:r>
      <w:r>
        <w:rPr>
          <w:sz w:val="24"/>
        </w:rPr>
        <w:t>el</w:t>
      </w:r>
      <w:r>
        <w:rPr>
          <w:spacing w:val="-17"/>
          <w:sz w:val="24"/>
        </w:rPr>
        <w:t xml:space="preserve"> </w:t>
      </w:r>
      <w:r>
        <w:rPr>
          <w:sz w:val="24"/>
        </w:rPr>
        <w:t>Presupuesto</w:t>
      </w:r>
      <w:r>
        <w:rPr>
          <w:spacing w:val="-12"/>
          <w:sz w:val="24"/>
        </w:rPr>
        <w:t xml:space="preserve"> </w:t>
      </w:r>
      <w:r>
        <w:rPr>
          <w:sz w:val="24"/>
        </w:rPr>
        <w:t>General</w:t>
      </w:r>
      <w:r>
        <w:rPr>
          <w:spacing w:val="-17"/>
          <w:sz w:val="24"/>
        </w:rPr>
        <w:t xml:space="preserve"> </w:t>
      </w:r>
      <w:r>
        <w:rPr>
          <w:sz w:val="24"/>
        </w:rPr>
        <w:t>de</w:t>
      </w:r>
      <w:r>
        <w:rPr>
          <w:spacing w:val="-14"/>
          <w:sz w:val="24"/>
        </w:rPr>
        <w:t xml:space="preserve"> </w:t>
      </w:r>
      <w:r>
        <w:rPr>
          <w:sz w:val="24"/>
        </w:rPr>
        <w:t>la</w:t>
      </w:r>
      <w:r>
        <w:rPr>
          <w:spacing w:val="-15"/>
          <w:sz w:val="24"/>
        </w:rPr>
        <w:t xml:space="preserve"> </w:t>
      </w:r>
      <w:r>
        <w:rPr>
          <w:spacing w:val="-2"/>
          <w:sz w:val="24"/>
        </w:rPr>
        <w:t>Nación.</w:t>
      </w:r>
    </w:p>
    <w:p w14:paraId="210D73B0" w14:textId="77777777" w:rsidR="000E52B0" w:rsidRDefault="00F60D74">
      <w:pPr>
        <w:pStyle w:val="Prrafodelista"/>
        <w:numPr>
          <w:ilvl w:val="0"/>
          <w:numId w:val="58"/>
        </w:numPr>
        <w:tabs>
          <w:tab w:val="left" w:pos="978"/>
        </w:tabs>
        <w:spacing w:before="4" w:line="291" w:lineRule="exact"/>
        <w:ind w:left="978" w:hanging="358"/>
        <w:jc w:val="both"/>
        <w:rPr>
          <w:b/>
          <w:sz w:val="24"/>
        </w:rPr>
      </w:pPr>
      <w:r>
        <w:rPr>
          <w:sz w:val="24"/>
        </w:rPr>
        <w:t>Los</w:t>
      </w:r>
      <w:r>
        <w:rPr>
          <w:spacing w:val="-5"/>
          <w:sz w:val="24"/>
        </w:rPr>
        <w:t xml:space="preserve"> </w:t>
      </w:r>
      <w:r>
        <w:rPr>
          <w:sz w:val="24"/>
        </w:rPr>
        <w:t>bienes</w:t>
      </w:r>
      <w:r>
        <w:rPr>
          <w:spacing w:val="-1"/>
          <w:sz w:val="24"/>
        </w:rPr>
        <w:t xml:space="preserve"> </w:t>
      </w:r>
      <w:r>
        <w:rPr>
          <w:sz w:val="24"/>
        </w:rPr>
        <w:t>muebles</w:t>
      </w:r>
      <w:r>
        <w:rPr>
          <w:spacing w:val="-6"/>
          <w:sz w:val="24"/>
        </w:rPr>
        <w:t xml:space="preserve"> </w:t>
      </w:r>
      <w:r>
        <w:rPr>
          <w:sz w:val="24"/>
        </w:rPr>
        <w:t>e</w:t>
      </w:r>
      <w:r>
        <w:rPr>
          <w:spacing w:val="1"/>
          <w:sz w:val="24"/>
        </w:rPr>
        <w:t xml:space="preserve"> </w:t>
      </w:r>
      <w:r>
        <w:rPr>
          <w:sz w:val="24"/>
        </w:rPr>
        <w:t>inmuebles</w:t>
      </w:r>
      <w:r>
        <w:rPr>
          <w:spacing w:val="-2"/>
          <w:sz w:val="24"/>
        </w:rPr>
        <w:t xml:space="preserve"> </w:t>
      </w:r>
      <w:r>
        <w:rPr>
          <w:sz w:val="24"/>
        </w:rPr>
        <w:t>que</w:t>
      </w:r>
      <w:r>
        <w:rPr>
          <w:spacing w:val="-4"/>
          <w:sz w:val="24"/>
        </w:rPr>
        <w:t xml:space="preserve"> </w:t>
      </w:r>
      <w:r>
        <w:rPr>
          <w:sz w:val="24"/>
        </w:rPr>
        <w:t>adquiera</w:t>
      </w:r>
      <w:r>
        <w:rPr>
          <w:spacing w:val="-1"/>
          <w:sz w:val="24"/>
        </w:rPr>
        <w:t xml:space="preserve"> </w:t>
      </w:r>
      <w:r>
        <w:rPr>
          <w:sz w:val="24"/>
        </w:rPr>
        <w:t>a cualquier</w:t>
      </w:r>
      <w:r>
        <w:rPr>
          <w:spacing w:val="-4"/>
          <w:sz w:val="24"/>
        </w:rPr>
        <w:t xml:space="preserve"> </w:t>
      </w:r>
      <w:r>
        <w:rPr>
          <w:spacing w:val="-2"/>
          <w:sz w:val="24"/>
        </w:rPr>
        <w:t>título</w:t>
      </w:r>
      <w:r>
        <w:rPr>
          <w:b/>
          <w:spacing w:val="-2"/>
          <w:sz w:val="24"/>
        </w:rPr>
        <w:t>.</w:t>
      </w:r>
    </w:p>
    <w:p w14:paraId="1C1BFCCF" w14:textId="77777777" w:rsidR="000E52B0" w:rsidRDefault="00F60D74">
      <w:pPr>
        <w:pStyle w:val="Prrafodelista"/>
        <w:numPr>
          <w:ilvl w:val="0"/>
          <w:numId w:val="58"/>
        </w:numPr>
        <w:tabs>
          <w:tab w:val="left" w:pos="979"/>
          <w:tab w:val="left" w:pos="981"/>
        </w:tabs>
        <w:ind w:right="255"/>
        <w:jc w:val="both"/>
        <w:rPr>
          <w:b/>
          <w:sz w:val="24"/>
        </w:rPr>
      </w:pPr>
      <w:r>
        <w:rPr>
          <w:sz w:val="24"/>
        </w:rPr>
        <w:t xml:space="preserve">Las sumas y los bienes muebles e inmuebles que le sean donados o cedidos por entidades públicas o privadas, nacionales o </w:t>
      </w:r>
      <w:r>
        <w:rPr>
          <w:spacing w:val="-2"/>
          <w:sz w:val="24"/>
        </w:rPr>
        <w:t>internacionales</w:t>
      </w:r>
      <w:r>
        <w:rPr>
          <w:b/>
          <w:spacing w:val="-2"/>
          <w:sz w:val="24"/>
        </w:rPr>
        <w:t>.</w:t>
      </w:r>
    </w:p>
    <w:p w14:paraId="78BE4AD1" w14:textId="77777777" w:rsidR="000E52B0" w:rsidRDefault="00F60D74">
      <w:pPr>
        <w:spacing w:before="289"/>
        <w:ind w:left="260"/>
        <w:jc w:val="both"/>
        <w:rPr>
          <w:b/>
          <w:sz w:val="24"/>
        </w:rPr>
      </w:pPr>
      <w:r>
        <w:rPr>
          <w:b/>
          <w:sz w:val="24"/>
        </w:rPr>
        <w:t>ARTÍCULO</w:t>
      </w:r>
      <w:r>
        <w:rPr>
          <w:b/>
          <w:spacing w:val="52"/>
          <w:sz w:val="24"/>
        </w:rPr>
        <w:t xml:space="preserve"> </w:t>
      </w:r>
      <w:r>
        <w:rPr>
          <w:b/>
          <w:sz w:val="24"/>
        </w:rPr>
        <w:t>9.</w:t>
      </w:r>
      <w:r>
        <w:rPr>
          <w:b/>
          <w:spacing w:val="50"/>
          <w:sz w:val="24"/>
        </w:rPr>
        <w:t xml:space="preserve"> </w:t>
      </w:r>
      <w:r>
        <w:rPr>
          <w:b/>
          <w:sz w:val="24"/>
        </w:rPr>
        <w:t>INTEGRACIÓN</w:t>
      </w:r>
      <w:r>
        <w:rPr>
          <w:b/>
          <w:spacing w:val="53"/>
          <w:sz w:val="24"/>
        </w:rPr>
        <w:t xml:space="preserve"> </w:t>
      </w:r>
      <w:r>
        <w:rPr>
          <w:b/>
          <w:sz w:val="24"/>
        </w:rPr>
        <w:t>DEL</w:t>
      </w:r>
      <w:r>
        <w:rPr>
          <w:b/>
          <w:spacing w:val="54"/>
          <w:sz w:val="24"/>
        </w:rPr>
        <w:t xml:space="preserve"> </w:t>
      </w:r>
      <w:r>
        <w:rPr>
          <w:b/>
          <w:sz w:val="24"/>
        </w:rPr>
        <w:t>SECTOR</w:t>
      </w:r>
      <w:r>
        <w:rPr>
          <w:b/>
          <w:spacing w:val="53"/>
          <w:sz w:val="24"/>
        </w:rPr>
        <w:t xml:space="preserve"> </w:t>
      </w:r>
      <w:r>
        <w:rPr>
          <w:b/>
          <w:sz w:val="24"/>
        </w:rPr>
        <w:t>ADMINISTRATIVO</w:t>
      </w:r>
      <w:r>
        <w:rPr>
          <w:b/>
          <w:spacing w:val="53"/>
          <w:sz w:val="24"/>
        </w:rPr>
        <w:t xml:space="preserve"> </w:t>
      </w:r>
      <w:r>
        <w:rPr>
          <w:b/>
          <w:spacing w:val="-5"/>
          <w:sz w:val="24"/>
        </w:rPr>
        <w:t>DE</w:t>
      </w:r>
    </w:p>
    <w:p w14:paraId="374927EA" w14:textId="77777777" w:rsidR="000E52B0" w:rsidRDefault="00F60D74">
      <w:pPr>
        <w:pStyle w:val="Textoindependiente"/>
        <w:spacing w:before="3"/>
        <w:ind w:left="260" w:right="248"/>
        <w:jc w:val="both"/>
      </w:pPr>
      <w:r>
        <w:rPr>
          <w:b/>
        </w:rPr>
        <w:t>IGUALDAD</w:t>
      </w:r>
      <w:r>
        <w:rPr>
          <w:b/>
          <w:spacing w:val="-21"/>
        </w:rPr>
        <w:t xml:space="preserve"> </w:t>
      </w:r>
      <w:r>
        <w:rPr>
          <w:b/>
        </w:rPr>
        <w:t>Y</w:t>
      </w:r>
      <w:r>
        <w:rPr>
          <w:b/>
          <w:spacing w:val="-21"/>
        </w:rPr>
        <w:t xml:space="preserve"> </w:t>
      </w:r>
      <w:r>
        <w:rPr>
          <w:b/>
        </w:rPr>
        <w:t>EQUIDAD.</w:t>
      </w:r>
      <w:r>
        <w:rPr>
          <w:b/>
          <w:spacing w:val="48"/>
        </w:rPr>
        <w:t xml:space="preserve"> </w:t>
      </w:r>
      <w:r>
        <w:t>El</w:t>
      </w:r>
      <w:r>
        <w:rPr>
          <w:spacing w:val="-22"/>
        </w:rPr>
        <w:t xml:space="preserve"> </w:t>
      </w:r>
      <w:r>
        <w:t>Sector</w:t>
      </w:r>
      <w:r>
        <w:rPr>
          <w:spacing w:val="-19"/>
        </w:rPr>
        <w:t xml:space="preserve"> </w:t>
      </w:r>
      <w:r>
        <w:t>Administrativo</w:t>
      </w:r>
      <w:r>
        <w:rPr>
          <w:spacing w:val="-22"/>
        </w:rPr>
        <w:t xml:space="preserve"> </w:t>
      </w:r>
      <w:r>
        <w:t>de</w:t>
      </w:r>
      <w:r>
        <w:rPr>
          <w:spacing w:val="-19"/>
        </w:rPr>
        <w:t xml:space="preserve"> </w:t>
      </w:r>
      <w:r>
        <w:t>Igualdad</w:t>
      </w:r>
      <w:r>
        <w:rPr>
          <w:spacing w:val="-21"/>
        </w:rPr>
        <w:t xml:space="preserve"> </w:t>
      </w:r>
      <w:r>
        <w:t>y</w:t>
      </w:r>
      <w:r>
        <w:rPr>
          <w:spacing w:val="-22"/>
        </w:rPr>
        <w:t xml:space="preserve"> </w:t>
      </w:r>
      <w:r>
        <w:t>Equidad estará</w:t>
      </w:r>
      <w:r>
        <w:rPr>
          <w:spacing w:val="-12"/>
        </w:rPr>
        <w:t xml:space="preserve"> </w:t>
      </w:r>
      <w:r>
        <w:t>constituido</w:t>
      </w:r>
      <w:r>
        <w:rPr>
          <w:spacing w:val="-8"/>
        </w:rPr>
        <w:t xml:space="preserve"> </w:t>
      </w:r>
      <w:r>
        <w:t>por</w:t>
      </w:r>
      <w:r>
        <w:rPr>
          <w:spacing w:val="-6"/>
        </w:rPr>
        <w:t xml:space="preserve"> </w:t>
      </w:r>
      <w:r>
        <w:t>el</w:t>
      </w:r>
      <w:r>
        <w:rPr>
          <w:spacing w:val="-14"/>
        </w:rPr>
        <w:t xml:space="preserve"> </w:t>
      </w:r>
      <w:r>
        <w:t>Ministerio</w:t>
      </w:r>
      <w:r>
        <w:rPr>
          <w:spacing w:val="-9"/>
        </w:rPr>
        <w:t xml:space="preserve"> </w:t>
      </w:r>
      <w:r>
        <w:t>de</w:t>
      </w:r>
      <w:r>
        <w:rPr>
          <w:spacing w:val="-11"/>
        </w:rPr>
        <w:t xml:space="preserve"> </w:t>
      </w:r>
      <w:r>
        <w:t>Igualdad</w:t>
      </w:r>
      <w:r>
        <w:rPr>
          <w:spacing w:val="-7"/>
        </w:rPr>
        <w:t xml:space="preserve"> </w:t>
      </w:r>
      <w:r>
        <w:t>y</w:t>
      </w:r>
      <w:r>
        <w:rPr>
          <w:spacing w:val="-10"/>
        </w:rPr>
        <w:t xml:space="preserve"> </w:t>
      </w:r>
      <w:r>
        <w:t>Equidad</w:t>
      </w:r>
      <w:r>
        <w:rPr>
          <w:spacing w:val="-7"/>
        </w:rPr>
        <w:t xml:space="preserve"> </w:t>
      </w:r>
      <w:r>
        <w:t>y</w:t>
      </w:r>
      <w:r>
        <w:rPr>
          <w:spacing w:val="-10"/>
        </w:rPr>
        <w:t xml:space="preserve"> </w:t>
      </w:r>
      <w:r>
        <w:t>las</w:t>
      </w:r>
      <w:r>
        <w:rPr>
          <w:spacing w:val="-7"/>
        </w:rPr>
        <w:t xml:space="preserve"> </w:t>
      </w:r>
      <w:r>
        <w:t>siguientes entidades adscritas:</w:t>
      </w:r>
    </w:p>
    <w:p w14:paraId="0C8D1CBE" w14:textId="77777777" w:rsidR="000E52B0" w:rsidRDefault="00F60D74">
      <w:pPr>
        <w:pStyle w:val="Prrafodelista"/>
        <w:numPr>
          <w:ilvl w:val="0"/>
          <w:numId w:val="57"/>
        </w:numPr>
        <w:tabs>
          <w:tab w:val="left" w:pos="968"/>
        </w:tabs>
        <w:spacing w:before="291" w:line="291" w:lineRule="exact"/>
        <w:ind w:left="968" w:hanging="358"/>
        <w:rPr>
          <w:sz w:val="24"/>
        </w:rPr>
      </w:pPr>
      <w:r>
        <w:rPr>
          <w:sz w:val="24"/>
        </w:rPr>
        <w:t>Instituto</w:t>
      </w:r>
      <w:r>
        <w:rPr>
          <w:spacing w:val="-2"/>
          <w:sz w:val="24"/>
        </w:rPr>
        <w:t xml:space="preserve"> </w:t>
      </w:r>
      <w:r>
        <w:rPr>
          <w:sz w:val="24"/>
        </w:rPr>
        <w:t>Colombiano</w:t>
      </w:r>
      <w:r>
        <w:rPr>
          <w:spacing w:val="-2"/>
          <w:sz w:val="24"/>
        </w:rPr>
        <w:t xml:space="preserve"> </w:t>
      </w:r>
      <w:r>
        <w:rPr>
          <w:sz w:val="24"/>
        </w:rPr>
        <w:t>de Bienestar</w:t>
      </w:r>
      <w:r>
        <w:rPr>
          <w:spacing w:val="1"/>
          <w:sz w:val="24"/>
        </w:rPr>
        <w:t xml:space="preserve"> </w:t>
      </w:r>
      <w:r>
        <w:rPr>
          <w:spacing w:val="-2"/>
          <w:sz w:val="24"/>
        </w:rPr>
        <w:t>Familiar</w:t>
      </w:r>
    </w:p>
    <w:p w14:paraId="1C946B9C" w14:textId="77777777" w:rsidR="000E52B0" w:rsidRDefault="00F60D74">
      <w:pPr>
        <w:pStyle w:val="Prrafodelista"/>
        <w:numPr>
          <w:ilvl w:val="0"/>
          <w:numId w:val="57"/>
        </w:numPr>
        <w:tabs>
          <w:tab w:val="left" w:pos="968"/>
        </w:tabs>
        <w:spacing w:line="291" w:lineRule="exact"/>
        <w:ind w:left="968" w:hanging="358"/>
        <w:rPr>
          <w:sz w:val="24"/>
        </w:rPr>
      </w:pPr>
      <w:r>
        <w:rPr>
          <w:sz w:val="24"/>
        </w:rPr>
        <w:t>Instituto</w:t>
      </w:r>
      <w:r>
        <w:rPr>
          <w:spacing w:val="-2"/>
          <w:sz w:val="24"/>
        </w:rPr>
        <w:t xml:space="preserve"> </w:t>
      </w:r>
      <w:r>
        <w:rPr>
          <w:sz w:val="24"/>
        </w:rPr>
        <w:t>Nacional</w:t>
      </w:r>
      <w:r>
        <w:rPr>
          <w:spacing w:val="-3"/>
          <w:sz w:val="24"/>
        </w:rPr>
        <w:t xml:space="preserve"> </w:t>
      </w:r>
      <w:r>
        <w:rPr>
          <w:sz w:val="24"/>
        </w:rPr>
        <w:t>para</w:t>
      </w:r>
      <w:r>
        <w:rPr>
          <w:spacing w:val="-2"/>
          <w:sz w:val="24"/>
        </w:rPr>
        <w:t xml:space="preserve"> Sordos</w:t>
      </w:r>
    </w:p>
    <w:p w14:paraId="04F0F733" w14:textId="77777777" w:rsidR="000E52B0" w:rsidRDefault="00F60D74">
      <w:pPr>
        <w:pStyle w:val="Prrafodelista"/>
        <w:numPr>
          <w:ilvl w:val="0"/>
          <w:numId w:val="57"/>
        </w:numPr>
        <w:tabs>
          <w:tab w:val="left" w:pos="968"/>
        </w:tabs>
        <w:spacing w:before="3" w:line="291" w:lineRule="exact"/>
        <w:ind w:left="968" w:hanging="358"/>
        <w:rPr>
          <w:sz w:val="24"/>
        </w:rPr>
      </w:pPr>
      <w:r>
        <w:rPr>
          <w:sz w:val="24"/>
        </w:rPr>
        <w:t>Instituto</w:t>
      </w:r>
      <w:r>
        <w:rPr>
          <w:spacing w:val="-2"/>
          <w:sz w:val="24"/>
        </w:rPr>
        <w:t xml:space="preserve"> </w:t>
      </w:r>
      <w:r>
        <w:rPr>
          <w:sz w:val="24"/>
        </w:rPr>
        <w:t>Nacional</w:t>
      </w:r>
      <w:r>
        <w:rPr>
          <w:spacing w:val="-3"/>
          <w:sz w:val="24"/>
        </w:rPr>
        <w:t xml:space="preserve"> </w:t>
      </w:r>
      <w:r>
        <w:rPr>
          <w:sz w:val="24"/>
        </w:rPr>
        <w:t>para</w:t>
      </w:r>
      <w:r>
        <w:rPr>
          <w:spacing w:val="-2"/>
          <w:sz w:val="24"/>
        </w:rPr>
        <w:t xml:space="preserve"> Ciegos</w:t>
      </w:r>
    </w:p>
    <w:p w14:paraId="2B48037F" w14:textId="77777777" w:rsidR="000E52B0" w:rsidRDefault="00F60D74">
      <w:pPr>
        <w:pStyle w:val="Prrafodelista"/>
        <w:numPr>
          <w:ilvl w:val="0"/>
          <w:numId w:val="57"/>
        </w:numPr>
        <w:tabs>
          <w:tab w:val="left" w:pos="968"/>
        </w:tabs>
        <w:spacing w:line="291" w:lineRule="exact"/>
        <w:ind w:left="968" w:hanging="358"/>
        <w:rPr>
          <w:sz w:val="24"/>
        </w:rPr>
      </w:pPr>
      <w:r>
        <w:rPr>
          <w:sz w:val="24"/>
        </w:rPr>
        <w:t>Las</w:t>
      </w:r>
      <w:r>
        <w:rPr>
          <w:spacing w:val="-2"/>
          <w:sz w:val="24"/>
        </w:rPr>
        <w:t xml:space="preserve"> </w:t>
      </w:r>
      <w:r>
        <w:rPr>
          <w:sz w:val="24"/>
        </w:rPr>
        <w:t>demás</w:t>
      </w:r>
      <w:r>
        <w:rPr>
          <w:spacing w:val="-2"/>
          <w:sz w:val="24"/>
        </w:rPr>
        <w:t xml:space="preserve"> </w:t>
      </w:r>
      <w:r>
        <w:rPr>
          <w:sz w:val="24"/>
        </w:rPr>
        <w:t>entidades</w:t>
      </w:r>
      <w:r>
        <w:rPr>
          <w:spacing w:val="-6"/>
          <w:sz w:val="24"/>
        </w:rPr>
        <w:t xml:space="preserve"> </w:t>
      </w:r>
      <w:r>
        <w:rPr>
          <w:sz w:val="24"/>
        </w:rPr>
        <w:t>que</w:t>
      </w:r>
      <w:r>
        <w:rPr>
          <w:spacing w:val="-1"/>
          <w:sz w:val="24"/>
        </w:rPr>
        <w:t xml:space="preserve"> </w:t>
      </w:r>
      <w:r>
        <w:rPr>
          <w:sz w:val="24"/>
        </w:rPr>
        <w:t>le adscriba</w:t>
      </w:r>
      <w:r>
        <w:rPr>
          <w:spacing w:val="-1"/>
          <w:sz w:val="24"/>
        </w:rPr>
        <w:t xml:space="preserve"> </w:t>
      </w:r>
      <w:r>
        <w:rPr>
          <w:sz w:val="24"/>
        </w:rPr>
        <w:t>o</w:t>
      </w:r>
      <w:r>
        <w:rPr>
          <w:spacing w:val="-2"/>
          <w:sz w:val="24"/>
        </w:rPr>
        <w:t xml:space="preserve"> </w:t>
      </w:r>
      <w:r>
        <w:rPr>
          <w:sz w:val="24"/>
        </w:rPr>
        <w:t>vincule</w:t>
      </w:r>
      <w:r>
        <w:rPr>
          <w:spacing w:val="-1"/>
          <w:sz w:val="24"/>
        </w:rPr>
        <w:t xml:space="preserve"> </w:t>
      </w:r>
      <w:r>
        <w:rPr>
          <w:sz w:val="24"/>
        </w:rPr>
        <w:t>la</w:t>
      </w:r>
      <w:r>
        <w:rPr>
          <w:spacing w:val="-1"/>
          <w:sz w:val="24"/>
        </w:rPr>
        <w:t xml:space="preserve"> </w:t>
      </w:r>
      <w:r>
        <w:rPr>
          <w:spacing w:val="-4"/>
          <w:sz w:val="24"/>
        </w:rPr>
        <w:t>Ley.</w:t>
      </w:r>
    </w:p>
    <w:p w14:paraId="04BAD9CF" w14:textId="77777777" w:rsidR="000E52B0" w:rsidRDefault="000E52B0">
      <w:pPr>
        <w:pStyle w:val="Textoindependiente"/>
        <w:spacing w:before="2"/>
        <w:ind w:left="0"/>
      </w:pPr>
    </w:p>
    <w:p w14:paraId="0F42964C" w14:textId="77777777" w:rsidR="000E52B0" w:rsidRDefault="00F60D74">
      <w:pPr>
        <w:pStyle w:val="Textoindependiente"/>
        <w:ind w:left="260" w:right="252"/>
        <w:jc w:val="both"/>
      </w:pPr>
      <w:r>
        <w:rPr>
          <w:b/>
        </w:rPr>
        <w:t xml:space="preserve">PARÁGRAFO TRANSITORIO. </w:t>
      </w:r>
      <w:r>
        <w:t>Con el fin de preservar y potenciar el impacto positivo generado durante el desarrollo de su misionalidad, el proceso de integración de entidades al Sector Administrativo de la Igualdad y Equidad deberá salvaguardar la memoria institucional y las buenas prácticas generadas por estas a través del tiempo.</w:t>
      </w:r>
    </w:p>
    <w:p w14:paraId="088C88A7" w14:textId="77777777" w:rsidR="000E52B0" w:rsidRDefault="000E52B0">
      <w:pPr>
        <w:pStyle w:val="Textoindependiente"/>
        <w:spacing w:before="5"/>
        <w:ind w:left="0"/>
      </w:pPr>
    </w:p>
    <w:p w14:paraId="12631423" w14:textId="77777777" w:rsidR="000E52B0" w:rsidRDefault="00F60D74">
      <w:pPr>
        <w:spacing w:before="1"/>
        <w:ind w:left="260"/>
        <w:jc w:val="both"/>
        <w:rPr>
          <w:sz w:val="24"/>
        </w:rPr>
      </w:pPr>
      <w:r>
        <w:rPr>
          <w:b/>
          <w:sz w:val="24"/>
        </w:rPr>
        <w:t>ARTÍCULO</w:t>
      </w:r>
      <w:r>
        <w:rPr>
          <w:b/>
          <w:spacing w:val="40"/>
          <w:w w:val="150"/>
          <w:sz w:val="24"/>
        </w:rPr>
        <w:t xml:space="preserve"> </w:t>
      </w:r>
      <w:r>
        <w:rPr>
          <w:b/>
          <w:sz w:val="24"/>
        </w:rPr>
        <w:t>10.</w:t>
      </w:r>
      <w:r>
        <w:rPr>
          <w:b/>
          <w:spacing w:val="79"/>
          <w:sz w:val="24"/>
        </w:rPr>
        <w:t xml:space="preserve"> </w:t>
      </w:r>
      <w:r>
        <w:rPr>
          <w:b/>
          <w:sz w:val="24"/>
        </w:rPr>
        <w:t>DIRECCIÓN</w:t>
      </w:r>
      <w:r>
        <w:rPr>
          <w:b/>
          <w:spacing w:val="41"/>
          <w:w w:val="150"/>
          <w:sz w:val="24"/>
        </w:rPr>
        <w:t xml:space="preserve"> </w:t>
      </w:r>
      <w:r>
        <w:rPr>
          <w:b/>
          <w:sz w:val="24"/>
        </w:rPr>
        <w:t>DEL</w:t>
      </w:r>
      <w:r>
        <w:rPr>
          <w:b/>
          <w:spacing w:val="41"/>
          <w:w w:val="150"/>
          <w:sz w:val="24"/>
        </w:rPr>
        <w:t xml:space="preserve"> </w:t>
      </w:r>
      <w:r>
        <w:rPr>
          <w:b/>
          <w:sz w:val="24"/>
        </w:rPr>
        <w:t>MINISTERIO.</w:t>
      </w:r>
      <w:r>
        <w:rPr>
          <w:b/>
          <w:spacing w:val="45"/>
          <w:w w:val="150"/>
          <w:sz w:val="24"/>
        </w:rPr>
        <w:t xml:space="preserve"> </w:t>
      </w:r>
      <w:r>
        <w:rPr>
          <w:sz w:val="24"/>
        </w:rPr>
        <w:t>La</w:t>
      </w:r>
      <w:r>
        <w:rPr>
          <w:spacing w:val="41"/>
          <w:w w:val="150"/>
          <w:sz w:val="24"/>
        </w:rPr>
        <w:t xml:space="preserve"> </w:t>
      </w:r>
      <w:r>
        <w:rPr>
          <w:sz w:val="24"/>
        </w:rPr>
        <w:t>dirección</w:t>
      </w:r>
      <w:r>
        <w:rPr>
          <w:spacing w:val="39"/>
          <w:w w:val="150"/>
          <w:sz w:val="24"/>
        </w:rPr>
        <w:t xml:space="preserve"> </w:t>
      </w:r>
      <w:r>
        <w:rPr>
          <w:spacing w:val="-5"/>
          <w:sz w:val="24"/>
        </w:rPr>
        <w:t>del</w:t>
      </w:r>
    </w:p>
    <w:p w14:paraId="7E082F4B" w14:textId="77777777" w:rsidR="000E52B0" w:rsidRDefault="00F60D74">
      <w:pPr>
        <w:pStyle w:val="Textoindependiente"/>
        <w:spacing w:before="48"/>
        <w:ind w:left="260"/>
        <w:jc w:val="both"/>
      </w:pPr>
      <w:r>
        <w:rPr>
          <w:spacing w:val="-2"/>
        </w:rPr>
        <w:t>Ministerio</w:t>
      </w:r>
      <w:r>
        <w:rPr>
          <w:spacing w:val="-17"/>
        </w:rPr>
        <w:t xml:space="preserve"> </w:t>
      </w:r>
      <w:r>
        <w:rPr>
          <w:spacing w:val="-2"/>
        </w:rPr>
        <w:t>estará</w:t>
      </w:r>
      <w:r>
        <w:rPr>
          <w:spacing w:val="-13"/>
        </w:rPr>
        <w:t xml:space="preserve"> </w:t>
      </w:r>
      <w:r>
        <w:rPr>
          <w:spacing w:val="-2"/>
        </w:rPr>
        <w:t>a</w:t>
      </w:r>
      <w:r>
        <w:rPr>
          <w:spacing w:val="-12"/>
        </w:rPr>
        <w:t xml:space="preserve"> </w:t>
      </w:r>
      <w:r>
        <w:rPr>
          <w:spacing w:val="-2"/>
        </w:rPr>
        <w:t>cargo</w:t>
      </w:r>
      <w:r>
        <w:rPr>
          <w:spacing w:val="-14"/>
        </w:rPr>
        <w:t xml:space="preserve"> </w:t>
      </w:r>
      <w:r>
        <w:rPr>
          <w:spacing w:val="-2"/>
        </w:rPr>
        <w:t>de</w:t>
      </w:r>
      <w:r>
        <w:rPr>
          <w:spacing w:val="-12"/>
        </w:rPr>
        <w:t xml:space="preserve"> </w:t>
      </w:r>
      <w:r>
        <w:rPr>
          <w:spacing w:val="-2"/>
        </w:rPr>
        <w:t>la</w:t>
      </w:r>
      <w:r>
        <w:rPr>
          <w:spacing w:val="-12"/>
        </w:rPr>
        <w:t xml:space="preserve"> </w:t>
      </w:r>
      <w:proofErr w:type="gramStart"/>
      <w:r>
        <w:rPr>
          <w:spacing w:val="-2"/>
        </w:rPr>
        <w:t>Ministra</w:t>
      </w:r>
      <w:proofErr w:type="gramEnd"/>
      <w:r>
        <w:rPr>
          <w:spacing w:val="-13"/>
        </w:rPr>
        <w:t xml:space="preserve"> </w:t>
      </w:r>
      <w:r>
        <w:rPr>
          <w:spacing w:val="-2"/>
        </w:rPr>
        <w:t>o</w:t>
      </w:r>
      <w:r>
        <w:rPr>
          <w:spacing w:val="-15"/>
        </w:rPr>
        <w:t xml:space="preserve"> </w:t>
      </w:r>
      <w:proofErr w:type="gramStart"/>
      <w:r>
        <w:rPr>
          <w:spacing w:val="-2"/>
        </w:rPr>
        <w:t>Ministro</w:t>
      </w:r>
      <w:proofErr w:type="gramEnd"/>
      <w:r>
        <w:rPr>
          <w:spacing w:val="-14"/>
        </w:rPr>
        <w:t xml:space="preserve"> </w:t>
      </w:r>
      <w:r>
        <w:rPr>
          <w:spacing w:val="-2"/>
        </w:rPr>
        <w:t>de</w:t>
      </w:r>
      <w:r>
        <w:rPr>
          <w:spacing w:val="-12"/>
        </w:rPr>
        <w:t xml:space="preserve"> </w:t>
      </w:r>
      <w:r>
        <w:rPr>
          <w:spacing w:val="-2"/>
        </w:rPr>
        <w:t>Igualdad</w:t>
      </w:r>
      <w:r>
        <w:rPr>
          <w:spacing w:val="-13"/>
        </w:rPr>
        <w:t xml:space="preserve"> </w:t>
      </w:r>
      <w:r>
        <w:rPr>
          <w:spacing w:val="-2"/>
        </w:rPr>
        <w:t>y</w:t>
      </w:r>
      <w:r>
        <w:rPr>
          <w:spacing w:val="-15"/>
        </w:rPr>
        <w:t xml:space="preserve"> </w:t>
      </w:r>
      <w:r>
        <w:rPr>
          <w:spacing w:val="-2"/>
        </w:rPr>
        <w:t>Equidad.</w:t>
      </w:r>
    </w:p>
    <w:p w14:paraId="1B0B5360" w14:textId="77777777" w:rsidR="000E52B0" w:rsidRDefault="000E52B0">
      <w:pPr>
        <w:pStyle w:val="Textoindependiente"/>
        <w:jc w:val="both"/>
        <w:sectPr w:rsidR="000E52B0">
          <w:pgSz w:w="12240" w:h="15840"/>
          <w:pgMar w:top="1340" w:right="1440" w:bottom="1280" w:left="1440" w:header="0" w:footer="1092" w:gutter="0"/>
          <w:cols w:space="720"/>
        </w:sectPr>
      </w:pPr>
    </w:p>
    <w:p w14:paraId="1C8A388F" w14:textId="77777777" w:rsidR="000E52B0" w:rsidRDefault="00F60D74">
      <w:pPr>
        <w:spacing w:before="74" w:line="242" w:lineRule="auto"/>
        <w:ind w:left="260" w:right="254"/>
        <w:jc w:val="both"/>
        <w:rPr>
          <w:sz w:val="24"/>
        </w:rPr>
      </w:pPr>
      <w:r>
        <w:rPr>
          <w:b/>
          <w:sz w:val="24"/>
        </w:rPr>
        <w:lastRenderedPageBreak/>
        <w:t>ARTÍCULO 11. ESTRUCTURA ORGÁNICA</w:t>
      </w:r>
      <w:r>
        <w:rPr>
          <w:sz w:val="24"/>
        </w:rPr>
        <w:t>. Sin perjuicio de la facultad permanente</w:t>
      </w:r>
      <w:r>
        <w:rPr>
          <w:spacing w:val="-7"/>
          <w:sz w:val="24"/>
        </w:rPr>
        <w:t xml:space="preserve"> </w:t>
      </w:r>
      <w:r>
        <w:rPr>
          <w:sz w:val="24"/>
        </w:rPr>
        <w:t>del</w:t>
      </w:r>
      <w:r>
        <w:rPr>
          <w:spacing w:val="-7"/>
          <w:sz w:val="24"/>
        </w:rPr>
        <w:t xml:space="preserve"> </w:t>
      </w:r>
      <w:proofErr w:type="gramStart"/>
      <w:r>
        <w:rPr>
          <w:sz w:val="24"/>
        </w:rPr>
        <w:t>Presidente</w:t>
      </w:r>
      <w:proofErr w:type="gramEnd"/>
      <w:r>
        <w:rPr>
          <w:spacing w:val="-4"/>
          <w:sz w:val="24"/>
        </w:rPr>
        <w:t xml:space="preserve"> </w:t>
      </w:r>
      <w:r>
        <w:rPr>
          <w:sz w:val="24"/>
        </w:rPr>
        <w:t>de</w:t>
      </w:r>
      <w:r>
        <w:rPr>
          <w:spacing w:val="-4"/>
          <w:sz w:val="24"/>
        </w:rPr>
        <w:t xml:space="preserve"> </w:t>
      </w:r>
      <w:r>
        <w:rPr>
          <w:sz w:val="24"/>
        </w:rPr>
        <w:t>la</w:t>
      </w:r>
      <w:r>
        <w:rPr>
          <w:spacing w:val="-5"/>
          <w:sz w:val="24"/>
        </w:rPr>
        <w:t xml:space="preserve"> </w:t>
      </w:r>
      <w:r>
        <w:rPr>
          <w:sz w:val="24"/>
        </w:rPr>
        <w:t>República,</w:t>
      </w:r>
      <w:r>
        <w:rPr>
          <w:spacing w:val="-3"/>
          <w:sz w:val="24"/>
        </w:rPr>
        <w:t xml:space="preserve"> </w:t>
      </w:r>
      <w:r>
        <w:rPr>
          <w:sz w:val="24"/>
        </w:rPr>
        <w:t>consagrada</w:t>
      </w:r>
      <w:r>
        <w:rPr>
          <w:spacing w:val="-5"/>
          <w:sz w:val="24"/>
        </w:rPr>
        <w:t xml:space="preserve"> </w:t>
      </w:r>
      <w:r>
        <w:rPr>
          <w:sz w:val="24"/>
        </w:rPr>
        <w:t>en</w:t>
      </w:r>
      <w:r>
        <w:rPr>
          <w:spacing w:val="-8"/>
          <w:sz w:val="24"/>
        </w:rPr>
        <w:t xml:space="preserve"> </w:t>
      </w:r>
      <w:r>
        <w:rPr>
          <w:sz w:val="24"/>
        </w:rPr>
        <w:t>los</w:t>
      </w:r>
      <w:r>
        <w:rPr>
          <w:spacing w:val="-6"/>
          <w:sz w:val="24"/>
        </w:rPr>
        <w:t xml:space="preserve"> </w:t>
      </w:r>
      <w:r>
        <w:rPr>
          <w:spacing w:val="-2"/>
          <w:sz w:val="24"/>
        </w:rPr>
        <w:t>numerales</w:t>
      </w:r>
    </w:p>
    <w:p w14:paraId="7DA87FA4" w14:textId="77777777" w:rsidR="000E52B0" w:rsidRDefault="00F60D74">
      <w:pPr>
        <w:pStyle w:val="Textoindependiente"/>
        <w:ind w:left="260" w:right="258"/>
        <w:jc w:val="both"/>
      </w:pPr>
      <w:r>
        <w:t>16 y 17 del artículo 189 de la Constitución Política, el Ministerio de Igualdad y Equidad tendrá una estructura orgánica inicial con las dependencias de dirección, asesoría, coordinación, gestión y apoyo que se relacionan a continuación:</w:t>
      </w:r>
    </w:p>
    <w:p w14:paraId="4435B189" w14:textId="77777777" w:rsidR="000E52B0" w:rsidRDefault="00F60D74">
      <w:pPr>
        <w:pStyle w:val="Prrafodelista"/>
        <w:numPr>
          <w:ilvl w:val="0"/>
          <w:numId w:val="56"/>
        </w:numPr>
        <w:tabs>
          <w:tab w:val="left" w:pos="588"/>
        </w:tabs>
        <w:spacing w:before="289" w:line="291" w:lineRule="exact"/>
        <w:ind w:left="588" w:hanging="328"/>
        <w:rPr>
          <w:sz w:val="24"/>
        </w:rPr>
      </w:pPr>
      <w:r>
        <w:rPr>
          <w:sz w:val="24"/>
        </w:rPr>
        <w:t>Despacho</w:t>
      </w:r>
      <w:r>
        <w:rPr>
          <w:spacing w:val="-4"/>
          <w:sz w:val="24"/>
        </w:rPr>
        <w:t xml:space="preserve"> </w:t>
      </w:r>
      <w:r>
        <w:rPr>
          <w:sz w:val="24"/>
        </w:rPr>
        <w:t>de la</w:t>
      </w:r>
      <w:r>
        <w:rPr>
          <w:spacing w:val="-1"/>
          <w:sz w:val="24"/>
        </w:rPr>
        <w:t xml:space="preserve"> </w:t>
      </w:r>
      <w:proofErr w:type="gramStart"/>
      <w:r>
        <w:rPr>
          <w:sz w:val="24"/>
        </w:rPr>
        <w:t>Ministra</w:t>
      </w:r>
      <w:proofErr w:type="gramEnd"/>
      <w:r>
        <w:rPr>
          <w:spacing w:val="-2"/>
          <w:sz w:val="24"/>
        </w:rPr>
        <w:t xml:space="preserve"> </w:t>
      </w:r>
      <w:r>
        <w:rPr>
          <w:sz w:val="24"/>
        </w:rPr>
        <w:t>o</w:t>
      </w:r>
      <w:r>
        <w:rPr>
          <w:spacing w:val="-1"/>
          <w:sz w:val="24"/>
        </w:rPr>
        <w:t xml:space="preserve"> </w:t>
      </w:r>
      <w:proofErr w:type="gramStart"/>
      <w:r>
        <w:rPr>
          <w:spacing w:val="-2"/>
          <w:sz w:val="24"/>
        </w:rPr>
        <w:t>Ministro</w:t>
      </w:r>
      <w:proofErr w:type="gramEnd"/>
    </w:p>
    <w:p w14:paraId="5AE8B174" w14:textId="77777777" w:rsidR="000E52B0" w:rsidRDefault="00F60D74">
      <w:pPr>
        <w:pStyle w:val="Prrafodelista"/>
        <w:numPr>
          <w:ilvl w:val="1"/>
          <w:numId w:val="56"/>
        </w:numPr>
        <w:tabs>
          <w:tab w:val="left" w:pos="1255"/>
        </w:tabs>
        <w:spacing w:line="290" w:lineRule="exact"/>
        <w:ind w:left="1255"/>
        <w:rPr>
          <w:sz w:val="24"/>
        </w:rPr>
      </w:pPr>
      <w:r>
        <w:rPr>
          <w:sz w:val="24"/>
        </w:rPr>
        <w:t>Oficina</w:t>
      </w:r>
      <w:r>
        <w:rPr>
          <w:spacing w:val="-1"/>
          <w:sz w:val="24"/>
        </w:rPr>
        <w:t xml:space="preserve"> </w:t>
      </w:r>
      <w:r>
        <w:rPr>
          <w:sz w:val="24"/>
        </w:rPr>
        <w:t>de Saberes y</w:t>
      </w:r>
      <w:r>
        <w:rPr>
          <w:spacing w:val="-8"/>
          <w:sz w:val="24"/>
        </w:rPr>
        <w:t xml:space="preserve"> </w:t>
      </w:r>
      <w:r>
        <w:rPr>
          <w:sz w:val="24"/>
        </w:rPr>
        <w:t xml:space="preserve">Conocimientos </w:t>
      </w:r>
      <w:r>
        <w:rPr>
          <w:spacing w:val="-2"/>
          <w:sz w:val="24"/>
        </w:rPr>
        <w:t>Estratégicos</w:t>
      </w:r>
    </w:p>
    <w:p w14:paraId="2BECA36E" w14:textId="77777777" w:rsidR="000E52B0" w:rsidRDefault="00F60D74">
      <w:pPr>
        <w:pStyle w:val="Prrafodelista"/>
        <w:numPr>
          <w:ilvl w:val="1"/>
          <w:numId w:val="56"/>
        </w:numPr>
        <w:tabs>
          <w:tab w:val="left" w:pos="1255"/>
        </w:tabs>
        <w:spacing w:line="291" w:lineRule="exact"/>
        <w:ind w:left="1255"/>
        <w:rPr>
          <w:sz w:val="24"/>
        </w:rPr>
      </w:pPr>
      <w:r>
        <w:rPr>
          <w:sz w:val="24"/>
        </w:rPr>
        <w:t>Oficina</w:t>
      </w:r>
      <w:r>
        <w:rPr>
          <w:spacing w:val="-1"/>
          <w:sz w:val="24"/>
        </w:rPr>
        <w:t xml:space="preserve"> </w:t>
      </w:r>
      <w:r>
        <w:rPr>
          <w:sz w:val="24"/>
        </w:rPr>
        <w:t>de Proyectos</w:t>
      </w:r>
      <w:r>
        <w:rPr>
          <w:spacing w:val="-1"/>
          <w:sz w:val="24"/>
        </w:rPr>
        <w:t xml:space="preserve"> </w:t>
      </w:r>
      <w:r>
        <w:rPr>
          <w:sz w:val="24"/>
        </w:rPr>
        <w:t>para</w:t>
      </w:r>
      <w:r>
        <w:rPr>
          <w:spacing w:val="-1"/>
          <w:sz w:val="24"/>
        </w:rPr>
        <w:t xml:space="preserve"> </w:t>
      </w:r>
      <w:r>
        <w:rPr>
          <w:sz w:val="24"/>
        </w:rPr>
        <w:t>la</w:t>
      </w:r>
      <w:r>
        <w:rPr>
          <w:spacing w:val="-1"/>
          <w:sz w:val="24"/>
        </w:rPr>
        <w:t xml:space="preserve"> </w:t>
      </w:r>
      <w:r>
        <w:rPr>
          <w:sz w:val="24"/>
        </w:rPr>
        <w:t>Igualdad</w:t>
      </w:r>
      <w:r>
        <w:rPr>
          <w:spacing w:val="-1"/>
          <w:sz w:val="24"/>
        </w:rPr>
        <w:t xml:space="preserve"> </w:t>
      </w:r>
      <w:r>
        <w:rPr>
          <w:sz w:val="24"/>
        </w:rPr>
        <w:t>y</w:t>
      </w:r>
      <w:r>
        <w:rPr>
          <w:spacing w:val="-2"/>
          <w:sz w:val="24"/>
        </w:rPr>
        <w:t xml:space="preserve"> Equidad</w:t>
      </w:r>
    </w:p>
    <w:p w14:paraId="30468934" w14:textId="77777777" w:rsidR="000E52B0" w:rsidRDefault="00F60D74">
      <w:pPr>
        <w:pStyle w:val="Prrafodelista"/>
        <w:numPr>
          <w:ilvl w:val="1"/>
          <w:numId w:val="56"/>
        </w:numPr>
        <w:tabs>
          <w:tab w:val="left" w:pos="1255"/>
        </w:tabs>
        <w:spacing w:before="4" w:line="291" w:lineRule="exact"/>
        <w:ind w:left="1255"/>
        <w:rPr>
          <w:sz w:val="24"/>
        </w:rPr>
      </w:pPr>
      <w:r>
        <w:rPr>
          <w:sz w:val="24"/>
        </w:rPr>
        <w:t>Oficina</w:t>
      </w:r>
      <w:r>
        <w:rPr>
          <w:spacing w:val="-1"/>
          <w:sz w:val="24"/>
        </w:rPr>
        <w:t xml:space="preserve"> </w:t>
      </w:r>
      <w:r>
        <w:rPr>
          <w:sz w:val="24"/>
        </w:rPr>
        <w:t>de Tecnologías</w:t>
      </w:r>
      <w:r>
        <w:rPr>
          <w:spacing w:val="-1"/>
          <w:sz w:val="24"/>
        </w:rPr>
        <w:t xml:space="preserve"> </w:t>
      </w:r>
      <w:r>
        <w:rPr>
          <w:sz w:val="24"/>
        </w:rPr>
        <w:t>de</w:t>
      </w:r>
      <w:r>
        <w:rPr>
          <w:spacing w:val="1"/>
          <w:sz w:val="24"/>
        </w:rPr>
        <w:t xml:space="preserve"> </w:t>
      </w:r>
      <w:r>
        <w:rPr>
          <w:sz w:val="24"/>
        </w:rPr>
        <w:t>la</w:t>
      </w:r>
      <w:r>
        <w:rPr>
          <w:spacing w:val="-4"/>
          <w:sz w:val="24"/>
        </w:rPr>
        <w:t xml:space="preserve"> </w:t>
      </w:r>
      <w:r>
        <w:rPr>
          <w:spacing w:val="-2"/>
          <w:sz w:val="24"/>
        </w:rPr>
        <w:t>Información</w:t>
      </w:r>
    </w:p>
    <w:p w14:paraId="1D0A6C5B" w14:textId="77777777" w:rsidR="000E52B0" w:rsidRDefault="00F60D74">
      <w:pPr>
        <w:pStyle w:val="Prrafodelista"/>
        <w:numPr>
          <w:ilvl w:val="1"/>
          <w:numId w:val="56"/>
        </w:numPr>
        <w:tabs>
          <w:tab w:val="left" w:pos="1255"/>
        </w:tabs>
        <w:spacing w:line="290" w:lineRule="exact"/>
        <w:ind w:left="1255"/>
        <w:rPr>
          <w:sz w:val="24"/>
        </w:rPr>
      </w:pPr>
      <w:r>
        <w:rPr>
          <w:sz w:val="24"/>
        </w:rPr>
        <w:t>Oficina</w:t>
      </w:r>
      <w:r>
        <w:rPr>
          <w:spacing w:val="-2"/>
          <w:sz w:val="24"/>
        </w:rPr>
        <w:t xml:space="preserve"> </w:t>
      </w:r>
      <w:r>
        <w:rPr>
          <w:sz w:val="24"/>
        </w:rPr>
        <w:t>Asesora</w:t>
      </w:r>
      <w:r>
        <w:rPr>
          <w:spacing w:val="-1"/>
          <w:sz w:val="24"/>
        </w:rPr>
        <w:t xml:space="preserve"> </w:t>
      </w:r>
      <w:r>
        <w:rPr>
          <w:sz w:val="24"/>
        </w:rPr>
        <w:t xml:space="preserve">de </w:t>
      </w:r>
      <w:r>
        <w:rPr>
          <w:spacing w:val="-2"/>
          <w:sz w:val="24"/>
        </w:rPr>
        <w:t>Comunicaciones</w:t>
      </w:r>
    </w:p>
    <w:p w14:paraId="33EB9815" w14:textId="77777777" w:rsidR="000E52B0" w:rsidRDefault="00F60D74">
      <w:pPr>
        <w:pStyle w:val="Prrafodelista"/>
        <w:numPr>
          <w:ilvl w:val="1"/>
          <w:numId w:val="56"/>
        </w:numPr>
        <w:tabs>
          <w:tab w:val="left" w:pos="1255"/>
        </w:tabs>
        <w:spacing w:line="291" w:lineRule="exact"/>
        <w:ind w:left="1255"/>
        <w:rPr>
          <w:sz w:val="24"/>
        </w:rPr>
      </w:pPr>
      <w:r>
        <w:rPr>
          <w:sz w:val="24"/>
        </w:rPr>
        <w:t>Oficina</w:t>
      </w:r>
      <w:r>
        <w:rPr>
          <w:spacing w:val="-1"/>
          <w:sz w:val="24"/>
        </w:rPr>
        <w:t xml:space="preserve"> </w:t>
      </w:r>
      <w:r>
        <w:rPr>
          <w:sz w:val="24"/>
        </w:rPr>
        <w:t>de Control</w:t>
      </w:r>
      <w:r>
        <w:rPr>
          <w:spacing w:val="-2"/>
          <w:sz w:val="24"/>
        </w:rPr>
        <w:t xml:space="preserve"> Interno</w:t>
      </w:r>
    </w:p>
    <w:p w14:paraId="703619DE" w14:textId="77777777" w:rsidR="000E52B0" w:rsidRDefault="00F60D74">
      <w:pPr>
        <w:pStyle w:val="Prrafodelista"/>
        <w:numPr>
          <w:ilvl w:val="1"/>
          <w:numId w:val="56"/>
        </w:numPr>
        <w:tabs>
          <w:tab w:val="left" w:pos="1255"/>
        </w:tabs>
        <w:spacing w:before="3" w:line="291" w:lineRule="exact"/>
        <w:ind w:left="1255"/>
        <w:rPr>
          <w:sz w:val="24"/>
        </w:rPr>
      </w:pPr>
      <w:r>
        <w:rPr>
          <w:sz w:val="24"/>
        </w:rPr>
        <w:t>Oficina</w:t>
      </w:r>
      <w:r>
        <w:rPr>
          <w:spacing w:val="-1"/>
          <w:sz w:val="24"/>
        </w:rPr>
        <w:t xml:space="preserve"> </w:t>
      </w:r>
      <w:r>
        <w:rPr>
          <w:sz w:val="24"/>
        </w:rPr>
        <w:t>de Control</w:t>
      </w:r>
      <w:r>
        <w:rPr>
          <w:spacing w:val="-3"/>
          <w:sz w:val="24"/>
        </w:rPr>
        <w:t xml:space="preserve"> </w:t>
      </w:r>
      <w:r>
        <w:rPr>
          <w:sz w:val="24"/>
        </w:rPr>
        <w:t xml:space="preserve">Interno </w:t>
      </w:r>
      <w:r>
        <w:rPr>
          <w:spacing w:val="-2"/>
          <w:sz w:val="24"/>
        </w:rPr>
        <w:t>Disciplinario</w:t>
      </w:r>
    </w:p>
    <w:p w14:paraId="668B5B59" w14:textId="77777777" w:rsidR="000E52B0" w:rsidRDefault="00F60D74">
      <w:pPr>
        <w:pStyle w:val="Prrafodelista"/>
        <w:numPr>
          <w:ilvl w:val="1"/>
          <w:numId w:val="56"/>
        </w:numPr>
        <w:tabs>
          <w:tab w:val="left" w:pos="1255"/>
        </w:tabs>
        <w:spacing w:line="290" w:lineRule="exact"/>
        <w:ind w:left="1255"/>
        <w:rPr>
          <w:sz w:val="24"/>
        </w:rPr>
      </w:pPr>
      <w:r>
        <w:rPr>
          <w:sz w:val="24"/>
        </w:rPr>
        <w:t>Oficina</w:t>
      </w:r>
      <w:r>
        <w:rPr>
          <w:spacing w:val="-4"/>
          <w:sz w:val="24"/>
        </w:rPr>
        <w:t xml:space="preserve"> </w:t>
      </w:r>
      <w:r>
        <w:rPr>
          <w:sz w:val="24"/>
        </w:rPr>
        <w:t>Asesora</w:t>
      </w:r>
      <w:r>
        <w:rPr>
          <w:spacing w:val="-1"/>
          <w:sz w:val="24"/>
        </w:rPr>
        <w:t xml:space="preserve"> </w:t>
      </w:r>
      <w:r>
        <w:rPr>
          <w:sz w:val="24"/>
        </w:rPr>
        <w:t xml:space="preserve">de </w:t>
      </w:r>
      <w:r>
        <w:rPr>
          <w:spacing w:val="-2"/>
          <w:sz w:val="24"/>
        </w:rPr>
        <w:t>Planeación</w:t>
      </w:r>
    </w:p>
    <w:p w14:paraId="0B3C4F5C" w14:textId="77777777" w:rsidR="000E52B0" w:rsidRDefault="00F60D74">
      <w:pPr>
        <w:pStyle w:val="Prrafodelista"/>
        <w:numPr>
          <w:ilvl w:val="1"/>
          <w:numId w:val="56"/>
        </w:numPr>
        <w:tabs>
          <w:tab w:val="left" w:pos="1255"/>
        </w:tabs>
        <w:spacing w:line="291" w:lineRule="exact"/>
        <w:ind w:left="1255"/>
        <w:rPr>
          <w:sz w:val="24"/>
        </w:rPr>
      </w:pPr>
      <w:r>
        <w:rPr>
          <w:sz w:val="24"/>
        </w:rPr>
        <w:t>Oficina</w:t>
      </w:r>
      <w:r>
        <w:rPr>
          <w:spacing w:val="-2"/>
          <w:sz w:val="24"/>
        </w:rPr>
        <w:t xml:space="preserve"> Jurídica</w:t>
      </w:r>
    </w:p>
    <w:p w14:paraId="23BD30B9" w14:textId="77777777" w:rsidR="000E52B0" w:rsidRDefault="00F60D74">
      <w:pPr>
        <w:pStyle w:val="Prrafodelista"/>
        <w:numPr>
          <w:ilvl w:val="1"/>
          <w:numId w:val="56"/>
        </w:numPr>
        <w:tabs>
          <w:tab w:val="left" w:pos="1255"/>
        </w:tabs>
        <w:spacing w:before="3" w:line="291" w:lineRule="exact"/>
        <w:ind w:left="1255"/>
        <w:rPr>
          <w:sz w:val="24"/>
        </w:rPr>
      </w:pPr>
      <w:r>
        <w:rPr>
          <w:sz w:val="24"/>
        </w:rPr>
        <w:t>Oficina</w:t>
      </w:r>
      <w:r>
        <w:rPr>
          <w:spacing w:val="-3"/>
          <w:sz w:val="24"/>
        </w:rPr>
        <w:t xml:space="preserve"> </w:t>
      </w:r>
      <w:r>
        <w:rPr>
          <w:sz w:val="24"/>
        </w:rPr>
        <w:t>de Alianzas</w:t>
      </w:r>
      <w:r>
        <w:rPr>
          <w:spacing w:val="-1"/>
          <w:sz w:val="24"/>
        </w:rPr>
        <w:t xml:space="preserve"> </w:t>
      </w:r>
      <w:r>
        <w:rPr>
          <w:sz w:val="24"/>
        </w:rPr>
        <w:t>Estratégicas</w:t>
      </w:r>
      <w:r>
        <w:rPr>
          <w:spacing w:val="-1"/>
          <w:sz w:val="24"/>
        </w:rPr>
        <w:t xml:space="preserve"> </w:t>
      </w:r>
      <w:r>
        <w:rPr>
          <w:sz w:val="24"/>
        </w:rPr>
        <w:t>y</w:t>
      </w:r>
      <w:r>
        <w:rPr>
          <w:spacing w:val="-8"/>
          <w:sz w:val="24"/>
        </w:rPr>
        <w:t xml:space="preserve"> </w:t>
      </w:r>
      <w:r>
        <w:rPr>
          <w:sz w:val="24"/>
        </w:rPr>
        <w:t>Cooperación</w:t>
      </w:r>
      <w:r>
        <w:rPr>
          <w:spacing w:val="-2"/>
          <w:sz w:val="24"/>
        </w:rPr>
        <w:t xml:space="preserve"> Internacional</w:t>
      </w:r>
    </w:p>
    <w:p w14:paraId="2C02FACE" w14:textId="77777777" w:rsidR="000E52B0" w:rsidRDefault="00F60D74">
      <w:pPr>
        <w:pStyle w:val="Prrafodelista"/>
        <w:numPr>
          <w:ilvl w:val="1"/>
          <w:numId w:val="56"/>
        </w:numPr>
        <w:tabs>
          <w:tab w:val="left" w:pos="1252"/>
        </w:tabs>
        <w:spacing w:line="290" w:lineRule="exact"/>
        <w:ind w:left="1252" w:hanging="707"/>
        <w:rPr>
          <w:sz w:val="24"/>
        </w:rPr>
      </w:pPr>
      <w:r>
        <w:rPr>
          <w:sz w:val="24"/>
        </w:rPr>
        <w:t>Oficina</w:t>
      </w:r>
      <w:r>
        <w:rPr>
          <w:spacing w:val="-2"/>
          <w:sz w:val="24"/>
        </w:rPr>
        <w:t xml:space="preserve"> </w:t>
      </w:r>
      <w:r>
        <w:rPr>
          <w:sz w:val="24"/>
        </w:rPr>
        <w:t>de Relacionamiento</w:t>
      </w:r>
      <w:r>
        <w:rPr>
          <w:spacing w:val="-1"/>
          <w:sz w:val="24"/>
        </w:rPr>
        <w:t xml:space="preserve"> </w:t>
      </w:r>
      <w:r>
        <w:rPr>
          <w:sz w:val="24"/>
        </w:rPr>
        <w:t>con</w:t>
      </w:r>
      <w:r>
        <w:rPr>
          <w:spacing w:val="-4"/>
          <w:sz w:val="24"/>
        </w:rPr>
        <w:t xml:space="preserve"> </w:t>
      </w:r>
      <w:r>
        <w:rPr>
          <w:sz w:val="24"/>
        </w:rPr>
        <w:t>la</w:t>
      </w:r>
      <w:r>
        <w:rPr>
          <w:spacing w:val="-1"/>
          <w:sz w:val="24"/>
        </w:rPr>
        <w:t xml:space="preserve"> </w:t>
      </w:r>
      <w:r>
        <w:rPr>
          <w:spacing w:val="-2"/>
          <w:sz w:val="24"/>
        </w:rPr>
        <w:t>Ciudadanía</w:t>
      </w:r>
    </w:p>
    <w:p w14:paraId="095C8343" w14:textId="77777777" w:rsidR="000E52B0" w:rsidRDefault="00F60D74">
      <w:pPr>
        <w:pStyle w:val="Prrafodelista"/>
        <w:numPr>
          <w:ilvl w:val="1"/>
          <w:numId w:val="56"/>
        </w:numPr>
        <w:tabs>
          <w:tab w:val="left" w:pos="1252"/>
        </w:tabs>
        <w:spacing w:line="291" w:lineRule="exact"/>
        <w:ind w:left="1252" w:hanging="707"/>
        <w:rPr>
          <w:sz w:val="24"/>
        </w:rPr>
      </w:pPr>
      <w:r>
        <w:rPr>
          <w:sz w:val="24"/>
        </w:rPr>
        <w:t>Direcciones</w:t>
      </w:r>
      <w:r>
        <w:rPr>
          <w:spacing w:val="-3"/>
          <w:sz w:val="24"/>
        </w:rPr>
        <w:t xml:space="preserve"> </w:t>
      </w:r>
      <w:r>
        <w:rPr>
          <w:sz w:val="24"/>
        </w:rPr>
        <w:t>Territoriales</w:t>
      </w:r>
      <w:r>
        <w:rPr>
          <w:spacing w:val="-1"/>
          <w:sz w:val="24"/>
        </w:rPr>
        <w:t xml:space="preserve"> </w:t>
      </w:r>
      <w:r>
        <w:rPr>
          <w:sz w:val="24"/>
        </w:rPr>
        <w:t>para</w:t>
      </w:r>
      <w:r>
        <w:rPr>
          <w:spacing w:val="-1"/>
          <w:sz w:val="24"/>
        </w:rPr>
        <w:t xml:space="preserve"> </w:t>
      </w:r>
      <w:r>
        <w:rPr>
          <w:sz w:val="24"/>
        </w:rPr>
        <w:t>la</w:t>
      </w:r>
      <w:r>
        <w:rPr>
          <w:spacing w:val="-1"/>
          <w:sz w:val="24"/>
        </w:rPr>
        <w:t xml:space="preserve"> </w:t>
      </w:r>
      <w:r>
        <w:rPr>
          <w:sz w:val="24"/>
        </w:rPr>
        <w:t>Igualdad</w:t>
      </w:r>
      <w:r>
        <w:rPr>
          <w:spacing w:val="-5"/>
          <w:sz w:val="24"/>
        </w:rPr>
        <w:t xml:space="preserve"> </w:t>
      </w:r>
      <w:r>
        <w:rPr>
          <w:sz w:val="24"/>
        </w:rPr>
        <w:t>y</w:t>
      </w:r>
      <w:r>
        <w:rPr>
          <w:spacing w:val="-2"/>
          <w:sz w:val="24"/>
        </w:rPr>
        <w:t xml:space="preserve"> Equidad</w:t>
      </w:r>
    </w:p>
    <w:p w14:paraId="3D244D53" w14:textId="77777777" w:rsidR="000E52B0" w:rsidRDefault="000E52B0">
      <w:pPr>
        <w:pStyle w:val="Textoindependiente"/>
        <w:spacing w:before="2"/>
        <w:ind w:left="0"/>
      </w:pPr>
    </w:p>
    <w:p w14:paraId="34B73488" w14:textId="77777777" w:rsidR="000E52B0" w:rsidRDefault="00F60D74">
      <w:pPr>
        <w:pStyle w:val="Prrafodelista"/>
        <w:numPr>
          <w:ilvl w:val="0"/>
          <w:numId w:val="56"/>
        </w:numPr>
        <w:tabs>
          <w:tab w:val="left" w:pos="588"/>
        </w:tabs>
        <w:spacing w:before="1" w:line="291" w:lineRule="exact"/>
        <w:ind w:left="588" w:hanging="328"/>
        <w:rPr>
          <w:sz w:val="24"/>
        </w:rPr>
      </w:pPr>
      <w:r>
        <w:rPr>
          <w:sz w:val="24"/>
        </w:rPr>
        <w:t>Despacho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viceministra</w:t>
      </w:r>
      <w:r>
        <w:rPr>
          <w:spacing w:val="-1"/>
          <w:sz w:val="24"/>
        </w:rPr>
        <w:t xml:space="preserve"> </w:t>
      </w:r>
      <w:r>
        <w:rPr>
          <w:sz w:val="24"/>
        </w:rPr>
        <w:t>o</w:t>
      </w:r>
      <w:r>
        <w:rPr>
          <w:spacing w:val="-6"/>
          <w:sz w:val="24"/>
        </w:rPr>
        <w:t xml:space="preserve"> </w:t>
      </w:r>
      <w:r>
        <w:rPr>
          <w:sz w:val="24"/>
        </w:rPr>
        <w:t>el</w:t>
      </w:r>
      <w:r>
        <w:rPr>
          <w:spacing w:val="-1"/>
          <w:sz w:val="24"/>
        </w:rPr>
        <w:t xml:space="preserve"> </w:t>
      </w:r>
      <w:r>
        <w:rPr>
          <w:spacing w:val="-2"/>
          <w:sz w:val="24"/>
        </w:rPr>
        <w:t>viceministro</w:t>
      </w:r>
    </w:p>
    <w:p w14:paraId="736714E7" w14:textId="77777777" w:rsidR="000E52B0" w:rsidRDefault="00F60D74">
      <w:pPr>
        <w:pStyle w:val="Prrafodelista"/>
        <w:numPr>
          <w:ilvl w:val="1"/>
          <w:numId w:val="56"/>
        </w:numPr>
        <w:tabs>
          <w:tab w:val="left" w:pos="1112"/>
        </w:tabs>
        <w:spacing w:line="291" w:lineRule="exact"/>
        <w:ind w:left="1112" w:hanging="567"/>
        <w:rPr>
          <w:sz w:val="24"/>
        </w:rPr>
      </w:pPr>
      <w:r>
        <w:rPr>
          <w:sz w:val="24"/>
        </w:rPr>
        <w:t>Direcciones</w:t>
      </w:r>
      <w:r>
        <w:rPr>
          <w:spacing w:val="-6"/>
          <w:sz w:val="24"/>
        </w:rPr>
        <w:t xml:space="preserve"> </w:t>
      </w:r>
      <w:r>
        <w:rPr>
          <w:spacing w:val="-2"/>
          <w:sz w:val="24"/>
        </w:rPr>
        <w:t>misionales</w:t>
      </w:r>
    </w:p>
    <w:p w14:paraId="5499D768" w14:textId="77777777" w:rsidR="000E52B0" w:rsidRDefault="000E52B0">
      <w:pPr>
        <w:pStyle w:val="Textoindependiente"/>
        <w:spacing w:before="1"/>
        <w:ind w:left="0"/>
      </w:pPr>
    </w:p>
    <w:p w14:paraId="2CE9836E" w14:textId="77777777" w:rsidR="000E52B0" w:rsidRDefault="00F60D74">
      <w:pPr>
        <w:pStyle w:val="Prrafodelista"/>
        <w:numPr>
          <w:ilvl w:val="0"/>
          <w:numId w:val="56"/>
        </w:numPr>
        <w:tabs>
          <w:tab w:val="left" w:pos="588"/>
        </w:tabs>
        <w:spacing w:line="291" w:lineRule="exact"/>
        <w:ind w:left="588" w:hanging="328"/>
        <w:rPr>
          <w:sz w:val="24"/>
        </w:rPr>
      </w:pPr>
      <w:r>
        <w:rPr>
          <w:sz w:val="24"/>
        </w:rPr>
        <w:t>Despacho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viceministra</w:t>
      </w:r>
      <w:r>
        <w:rPr>
          <w:spacing w:val="-1"/>
          <w:sz w:val="24"/>
        </w:rPr>
        <w:t xml:space="preserve"> </w:t>
      </w:r>
      <w:r>
        <w:rPr>
          <w:sz w:val="24"/>
        </w:rPr>
        <w:t>o</w:t>
      </w:r>
      <w:r>
        <w:rPr>
          <w:spacing w:val="-6"/>
          <w:sz w:val="24"/>
        </w:rPr>
        <w:t xml:space="preserve"> </w:t>
      </w:r>
      <w:r>
        <w:rPr>
          <w:sz w:val="24"/>
        </w:rPr>
        <w:t>el</w:t>
      </w:r>
      <w:r>
        <w:rPr>
          <w:spacing w:val="-1"/>
          <w:sz w:val="24"/>
        </w:rPr>
        <w:t xml:space="preserve"> </w:t>
      </w:r>
      <w:r>
        <w:rPr>
          <w:spacing w:val="-2"/>
          <w:sz w:val="24"/>
        </w:rPr>
        <w:t>viceministro</w:t>
      </w:r>
    </w:p>
    <w:p w14:paraId="1563D3DA" w14:textId="77777777" w:rsidR="000E52B0" w:rsidRDefault="00F60D74">
      <w:pPr>
        <w:pStyle w:val="Prrafodelista"/>
        <w:numPr>
          <w:ilvl w:val="1"/>
          <w:numId w:val="56"/>
        </w:numPr>
        <w:tabs>
          <w:tab w:val="left" w:pos="1112"/>
        </w:tabs>
        <w:spacing w:line="291" w:lineRule="exact"/>
        <w:ind w:left="1112" w:hanging="567"/>
        <w:rPr>
          <w:sz w:val="24"/>
        </w:rPr>
      </w:pPr>
      <w:r>
        <w:rPr>
          <w:sz w:val="24"/>
        </w:rPr>
        <w:t>Direcciones</w:t>
      </w:r>
      <w:r>
        <w:rPr>
          <w:spacing w:val="-6"/>
          <w:sz w:val="24"/>
        </w:rPr>
        <w:t xml:space="preserve"> </w:t>
      </w:r>
      <w:r>
        <w:rPr>
          <w:spacing w:val="-2"/>
          <w:sz w:val="24"/>
        </w:rPr>
        <w:t>misionales</w:t>
      </w:r>
    </w:p>
    <w:p w14:paraId="31C31136" w14:textId="77777777" w:rsidR="000E52B0" w:rsidRDefault="000E52B0">
      <w:pPr>
        <w:pStyle w:val="Textoindependiente"/>
        <w:spacing w:before="2"/>
        <w:ind w:left="0"/>
      </w:pPr>
    </w:p>
    <w:p w14:paraId="2378153E" w14:textId="77777777" w:rsidR="000E52B0" w:rsidRDefault="00F60D74">
      <w:pPr>
        <w:pStyle w:val="Prrafodelista"/>
        <w:numPr>
          <w:ilvl w:val="0"/>
          <w:numId w:val="56"/>
        </w:numPr>
        <w:tabs>
          <w:tab w:val="left" w:pos="588"/>
        </w:tabs>
        <w:spacing w:line="291" w:lineRule="exact"/>
        <w:ind w:left="588" w:hanging="328"/>
        <w:rPr>
          <w:sz w:val="24"/>
        </w:rPr>
      </w:pPr>
      <w:r>
        <w:rPr>
          <w:sz w:val="24"/>
        </w:rPr>
        <w:t>Despacho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viceministra</w:t>
      </w:r>
      <w:r>
        <w:rPr>
          <w:spacing w:val="-1"/>
          <w:sz w:val="24"/>
        </w:rPr>
        <w:t xml:space="preserve"> </w:t>
      </w:r>
      <w:r>
        <w:rPr>
          <w:sz w:val="24"/>
        </w:rPr>
        <w:t>o</w:t>
      </w:r>
      <w:r>
        <w:rPr>
          <w:spacing w:val="-6"/>
          <w:sz w:val="24"/>
        </w:rPr>
        <w:t xml:space="preserve"> </w:t>
      </w:r>
      <w:r>
        <w:rPr>
          <w:sz w:val="24"/>
        </w:rPr>
        <w:t>el</w:t>
      </w:r>
      <w:r>
        <w:rPr>
          <w:spacing w:val="-1"/>
          <w:sz w:val="24"/>
        </w:rPr>
        <w:t xml:space="preserve"> </w:t>
      </w:r>
      <w:r>
        <w:rPr>
          <w:spacing w:val="-2"/>
          <w:sz w:val="24"/>
        </w:rPr>
        <w:t>viceministro</w:t>
      </w:r>
    </w:p>
    <w:p w14:paraId="50D3B015" w14:textId="77777777" w:rsidR="000E52B0" w:rsidRDefault="00F60D74">
      <w:pPr>
        <w:pStyle w:val="Prrafodelista"/>
        <w:numPr>
          <w:ilvl w:val="1"/>
          <w:numId w:val="56"/>
        </w:numPr>
        <w:tabs>
          <w:tab w:val="left" w:pos="1112"/>
        </w:tabs>
        <w:spacing w:line="291" w:lineRule="exact"/>
        <w:ind w:left="1112" w:hanging="567"/>
        <w:rPr>
          <w:sz w:val="24"/>
        </w:rPr>
      </w:pPr>
      <w:r>
        <w:rPr>
          <w:sz w:val="24"/>
        </w:rPr>
        <w:t>Direcciones</w:t>
      </w:r>
      <w:r>
        <w:rPr>
          <w:spacing w:val="-6"/>
          <w:sz w:val="24"/>
        </w:rPr>
        <w:t xml:space="preserve"> </w:t>
      </w:r>
      <w:r>
        <w:rPr>
          <w:spacing w:val="-2"/>
          <w:sz w:val="24"/>
        </w:rPr>
        <w:t>misionales</w:t>
      </w:r>
    </w:p>
    <w:p w14:paraId="6416F72F" w14:textId="77777777" w:rsidR="000E52B0" w:rsidRDefault="000E52B0">
      <w:pPr>
        <w:pStyle w:val="Textoindependiente"/>
        <w:spacing w:before="1"/>
        <w:ind w:left="0"/>
      </w:pPr>
    </w:p>
    <w:p w14:paraId="6015B2F2" w14:textId="77777777" w:rsidR="000E52B0" w:rsidRDefault="00F60D74">
      <w:pPr>
        <w:pStyle w:val="Prrafodelista"/>
        <w:numPr>
          <w:ilvl w:val="0"/>
          <w:numId w:val="56"/>
        </w:numPr>
        <w:tabs>
          <w:tab w:val="left" w:pos="590"/>
        </w:tabs>
        <w:spacing w:line="291" w:lineRule="exact"/>
        <w:ind w:left="590"/>
        <w:rPr>
          <w:sz w:val="24"/>
        </w:rPr>
      </w:pPr>
      <w:r>
        <w:rPr>
          <w:sz w:val="24"/>
        </w:rPr>
        <w:t>Despacho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viceministra</w:t>
      </w:r>
      <w:r>
        <w:rPr>
          <w:spacing w:val="-1"/>
          <w:sz w:val="24"/>
        </w:rPr>
        <w:t xml:space="preserve"> </w:t>
      </w:r>
      <w:r>
        <w:rPr>
          <w:sz w:val="24"/>
        </w:rPr>
        <w:t>o</w:t>
      </w:r>
      <w:r>
        <w:rPr>
          <w:spacing w:val="-6"/>
          <w:sz w:val="24"/>
        </w:rPr>
        <w:t xml:space="preserve"> </w:t>
      </w:r>
      <w:r>
        <w:rPr>
          <w:sz w:val="24"/>
        </w:rPr>
        <w:t>el</w:t>
      </w:r>
      <w:r>
        <w:rPr>
          <w:spacing w:val="-1"/>
          <w:sz w:val="24"/>
        </w:rPr>
        <w:t xml:space="preserve"> </w:t>
      </w:r>
      <w:r>
        <w:rPr>
          <w:spacing w:val="-2"/>
          <w:sz w:val="24"/>
        </w:rPr>
        <w:t>viceministro</w:t>
      </w:r>
    </w:p>
    <w:p w14:paraId="3B7EC4D5" w14:textId="77777777" w:rsidR="000E52B0" w:rsidRDefault="00F60D74">
      <w:pPr>
        <w:pStyle w:val="Prrafodelista"/>
        <w:numPr>
          <w:ilvl w:val="1"/>
          <w:numId w:val="56"/>
        </w:numPr>
        <w:tabs>
          <w:tab w:val="left" w:pos="1112"/>
        </w:tabs>
        <w:spacing w:line="291" w:lineRule="exact"/>
        <w:ind w:left="1112" w:hanging="567"/>
        <w:rPr>
          <w:sz w:val="24"/>
        </w:rPr>
      </w:pPr>
      <w:r>
        <w:rPr>
          <w:sz w:val="24"/>
        </w:rPr>
        <w:t>Direcciones</w:t>
      </w:r>
      <w:r>
        <w:rPr>
          <w:spacing w:val="-6"/>
          <w:sz w:val="24"/>
        </w:rPr>
        <w:t xml:space="preserve"> </w:t>
      </w:r>
      <w:r>
        <w:rPr>
          <w:spacing w:val="-2"/>
          <w:sz w:val="24"/>
        </w:rPr>
        <w:t>misionales</w:t>
      </w:r>
    </w:p>
    <w:p w14:paraId="0951EDD5" w14:textId="77777777" w:rsidR="000E52B0" w:rsidRDefault="000E52B0">
      <w:pPr>
        <w:pStyle w:val="Textoindependiente"/>
        <w:spacing w:before="2"/>
        <w:ind w:left="0"/>
      </w:pPr>
    </w:p>
    <w:p w14:paraId="271DBEAD" w14:textId="77777777" w:rsidR="000E52B0" w:rsidRDefault="00F60D74">
      <w:pPr>
        <w:pStyle w:val="Prrafodelista"/>
        <w:numPr>
          <w:ilvl w:val="0"/>
          <w:numId w:val="56"/>
        </w:numPr>
        <w:tabs>
          <w:tab w:val="left" w:pos="590"/>
        </w:tabs>
        <w:spacing w:line="291" w:lineRule="exact"/>
        <w:ind w:left="590"/>
        <w:rPr>
          <w:sz w:val="24"/>
        </w:rPr>
      </w:pPr>
      <w:r>
        <w:rPr>
          <w:sz w:val="24"/>
        </w:rPr>
        <w:t>Despacho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viceministra</w:t>
      </w:r>
      <w:r>
        <w:rPr>
          <w:spacing w:val="-1"/>
          <w:sz w:val="24"/>
        </w:rPr>
        <w:t xml:space="preserve"> </w:t>
      </w:r>
      <w:r>
        <w:rPr>
          <w:sz w:val="24"/>
        </w:rPr>
        <w:t>o</w:t>
      </w:r>
      <w:r>
        <w:rPr>
          <w:spacing w:val="-6"/>
          <w:sz w:val="24"/>
        </w:rPr>
        <w:t xml:space="preserve"> </w:t>
      </w:r>
      <w:r>
        <w:rPr>
          <w:sz w:val="24"/>
        </w:rPr>
        <w:t>el</w:t>
      </w:r>
      <w:r>
        <w:rPr>
          <w:spacing w:val="-1"/>
          <w:sz w:val="24"/>
        </w:rPr>
        <w:t xml:space="preserve"> </w:t>
      </w:r>
      <w:r>
        <w:rPr>
          <w:spacing w:val="-2"/>
          <w:sz w:val="24"/>
        </w:rPr>
        <w:t>viceministro.</w:t>
      </w:r>
    </w:p>
    <w:p w14:paraId="3B28B276" w14:textId="77777777" w:rsidR="000E52B0" w:rsidRDefault="00F60D74">
      <w:pPr>
        <w:pStyle w:val="Prrafodelista"/>
        <w:numPr>
          <w:ilvl w:val="1"/>
          <w:numId w:val="56"/>
        </w:numPr>
        <w:tabs>
          <w:tab w:val="left" w:pos="1112"/>
        </w:tabs>
        <w:spacing w:line="291" w:lineRule="exact"/>
        <w:ind w:left="1112" w:hanging="567"/>
        <w:rPr>
          <w:sz w:val="24"/>
        </w:rPr>
      </w:pPr>
      <w:r>
        <w:rPr>
          <w:sz w:val="24"/>
        </w:rPr>
        <w:t>Direcciones</w:t>
      </w:r>
      <w:r>
        <w:rPr>
          <w:spacing w:val="-6"/>
          <w:sz w:val="24"/>
        </w:rPr>
        <w:t xml:space="preserve"> </w:t>
      </w:r>
      <w:r>
        <w:rPr>
          <w:spacing w:val="-2"/>
          <w:sz w:val="24"/>
        </w:rPr>
        <w:t>misionales</w:t>
      </w:r>
    </w:p>
    <w:p w14:paraId="23533AE0" w14:textId="77777777" w:rsidR="000E52B0" w:rsidRDefault="000E52B0">
      <w:pPr>
        <w:pStyle w:val="Textoindependiente"/>
        <w:spacing w:before="2"/>
        <w:ind w:left="0"/>
      </w:pPr>
    </w:p>
    <w:p w14:paraId="4B066D54" w14:textId="77777777" w:rsidR="000E52B0" w:rsidRDefault="00F60D74">
      <w:pPr>
        <w:pStyle w:val="Prrafodelista"/>
        <w:numPr>
          <w:ilvl w:val="0"/>
          <w:numId w:val="56"/>
        </w:numPr>
        <w:tabs>
          <w:tab w:val="left" w:pos="590"/>
        </w:tabs>
        <w:spacing w:line="291" w:lineRule="exact"/>
        <w:ind w:left="590"/>
        <w:rPr>
          <w:sz w:val="24"/>
        </w:rPr>
      </w:pPr>
      <w:r>
        <w:rPr>
          <w:sz w:val="24"/>
        </w:rPr>
        <w:t>Secretaría</w:t>
      </w:r>
      <w:r>
        <w:rPr>
          <w:spacing w:val="-7"/>
          <w:sz w:val="24"/>
        </w:rPr>
        <w:t xml:space="preserve"> </w:t>
      </w:r>
      <w:r>
        <w:rPr>
          <w:spacing w:val="-2"/>
          <w:sz w:val="24"/>
        </w:rPr>
        <w:t>General</w:t>
      </w:r>
    </w:p>
    <w:p w14:paraId="509D1412" w14:textId="77777777" w:rsidR="000E52B0" w:rsidRDefault="00F60D74">
      <w:pPr>
        <w:pStyle w:val="Prrafodelista"/>
        <w:numPr>
          <w:ilvl w:val="1"/>
          <w:numId w:val="56"/>
        </w:numPr>
        <w:tabs>
          <w:tab w:val="left" w:pos="1112"/>
        </w:tabs>
        <w:spacing w:line="291" w:lineRule="exact"/>
        <w:ind w:left="1112" w:hanging="567"/>
        <w:rPr>
          <w:sz w:val="24"/>
        </w:rPr>
      </w:pPr>
      <w:r>
        <w:rPr>
          <w:sz w:val="24"/>
        </w:rPr>
        <w:t>Subdirección</w:t>
      </w:r>
      <w:r>
        <w:rPr>
          <w:spacing w:val="-6"/>
          <w:sz w:val="24"/>
        </w:rPr>
        <w:t xml:space="preserve"> </w:t>
      </w:r>
      <w:r>
        <w:rPr>
          <w:sz w:val="24"/>
        </w:rPr>
        <w:t>de</w:t>
      </w:r>
      <w:r>
        <w:rPr>
          <w:spacing w:val="-2"/>
          <w:sz w:val="24"/>
        </w:rPr>
        <w:t xml:space="preserve"> </w:t>
      </w:r>
      <w:r>
        <w:rPr>
          <w:sz w:val="24"/>
        </w:rPr>
        <w:t>Talento</w:t>
      </w:r>
      <w:r>
        <w:rPr>
          <w:spacing w:val="-3"/>
          <w:sz w:val="24"/>
        </w:rPr>
        <w:t xml:space="preserve"> </w:t>
      </w:r>
      <w:r>
        <w:rPr>
          <w:spacing w:val="-2"/>
          <w:sz w:val="24"/>
        </w:rPr>
        <w:t>Humano</w:t>
      </w:r>
    </w:p>
    <w:p w14:paraId="3517C73D" w14:textId="77777777" w:rsidR="000E52B0" w:rsidRDefault="00F60D74">
      <w:pPr>
        <w:pStyle w:val="Prrafodelista"/>
        <w:numPr>
          <w:ilvl w:val="1"/>
          <w:numId w:val="56"/>
        </w:numPr>
        <w:tabs>
          <w:tab w:val="left" w:pos="1112"/>
        </w:tabs>
        <w:spacing w:before="4" w:line="291" w:lineRule="exact"/>
        <w:ind w:left="1112" w:hanging="567"/>
        <w:rPr>
          <w:sz w:val="24"/>
        </w:rPr>
      </w:pPr>
      <w:r>
        <w:rPr>
          <w:sz w:val="24"/>
        </w:rPr>
        <w:t>Subdirección</w:t>
      </w:r>
      <w:r>
        <w:rPr>
          <w:spacing w:val="-5"/>
          <w:sz w:val="24"/>
        </w:rPr>
        <w:t xml:space="preserve"> </w:t>
      </w:r>
      <w:r>
        <w:rPr>
          <w:sz w:val="24"/>
        </w:rPr>
        <w:t>Administrativa</w:t>
      </w:r>
      <w:r>
        <w:rPr>
          <w:spacing w:val="-2"/>
          <w:sz w:val="24"/>
        </w:rPr>
        <w:t xml:space="preserve"> </w:t>
      </w:r>
      <w:r>
        <w:rPr>
          <w:sz w:val="24"/>
        </w:rPr>
        <w:t>y</w:t>
      </w:r>
      <w:r>
        <w:rPr>
          <w:spacing w:val="-4"/>
          <w:sz w:val="24"/>
        </w:rPr>
        <w:t xml:space="preserve"> </w:t>
      </w:r>
      <w:r>
        <w:rPr>
          <w:spacing w:val="-2"/>
          <w:sz w:val="24"/>
        </w:rPr>
        <w:t>Financiera</w:t>
      </w:r>
    </w:p>
    <w:p w14:paraId="6C433AAF" w14:textId="77777777" w:rsidR="000E52B0" w:rsidRDefault="00F60D74">
      <w:pPr>
        <w:pStyle w:val="Prrafodelista"/>
        <w:numPr>
          <w:ilvl w:val="1"/>
          <w:numId w:val="56"/>
        </w:numPr>
        <w:tabs>
          <w:tab w:val="left" w:pos="1112"/>
        </w:tabs>
        <w:spacing w:line="291" w:lineRule="exact"/>
        <w:ind w:left="1112" w:hanging="567"/>
        <w:rPr>
          <w:sz w:val="24"/>
        </w:rPr>
      </w:pPr>
      <w:r>
        <w:rPr>
          <w:sz w:val="24"/>
        </w:rPr>
        <w:t>Subdirección</w:t>
      </w:r>
      <w:r>
        <w:rPr>
          <w:spacing w:val="-5"/>
          <w:sz w:val="24"/>
        </w:rPr>
        <w:t xml:space="preserve"> </w:t>
      </w:r>
      <w:r>
        <w:rPr>
          <w:sz w:val="24"/>
        </w:rPr>
        <w:t>de</w:t>
      </w:r>
      <w:r>
        <w:rPr>
          <w:spacing w:val="-2"/>
          <w:sz w:val="24"/>
        </w:rPr>
        <w:t xml:space="preserve"> Contratación</w:t>
      </w:r>
    </w:p>
    <w:p w14:paraId="6A2F4F5F" w14:textId="77777777" w:rsidR="000E52B0" w:rsidRDefault="000E52B0">
      <w:pPr>
        <w:pStyle w:val="Textoindependiente"/>
        <w:spacing w:before="1"/>
        <w:ind w:left="0"/>
      </w:pPr>
    </w:p>
    <w:p w14:paraId="3404DCD5" w14:textId="77777777" w:rsidR="000E52B0" w:rsidRDefault="00F60D74">
      <w:pPr>
        <w:pStyle w:val="Prrafodelista"/>
        <w:numPr>
          <w:ilvl w:val="0"/>
          <w:numId w:val="56"/>
        </w:numPr>
        <w:tabs>
          <w:tab w:val="left" w:pos="544"/>
        </w:tabs>
        <w:spacing w:line="291" w:lineRule="exact"/>
        <w:ind w:left="544" w:hanging="284"/>
        <w:rPr>
          <w:sz w:val="24"/>
        </w:rPr>
      </w:pPr>
      <w:r>
        <w:rPr>
          <w:sz w:val="24"/>
        </w:rPr>
        <w:t>Órganos</w:t>
      </w:r>
      <w:r>
        <w:rPr>
          <w:spacing w:val="-2"/>
          <w:sz w:val="24"/>
        </w:rPr>
        <w:t xml:space="preserve"> </w:t>
      </w:r>
      <w:r>
        <w:rPr>
          <w:sz w:val="24"/>
        </w:rPr>
        <w:t>de</w:t>
      </w:r>
      <w:r>
        <w:rPr>
          <w:spacing w:val="1"/>
          <w:sz w:val="24"/>
        </w:rPr>
        <w:t xml:space="preserve"> </w:t>
      </w:r>
      <w:r>
        <w:rPr>
          <w:sz w:val="24"/>
        </w:rPr>
        <w:t>asesoría</w:t>
      </w:r>
      <w:r>
        <w:rPr>
          <w:spacing w:val="-1"/>
          <w:sz w:val="24"/>
        </w:rPr>
        <w:t xml:space="preserve"> </w:t>
      </w:r>
      <w:r>
        <w:rPr>
          <w:sz w:val="24"/>
        </w:rPr>
        <w:t xml:space="preserve">y </w:t>
      </w:r>
      <w:r>
        <w:rPr>
          <w:spacing w:val="-2"/>
          <w:sz w:val="24"/>
        </w:rPr>
        <w:t>coordinación</w:t>
      </w:r>
    </w:p>
    <w:p w14:paraId="3998B1BE" w14:textId="77777777" w:rsidR="000E52B0" w:rsidRDefault="00F60D74">
      <w:pPr>
        <w:pStyle w:val="Prrafodelista"/>
        <w:numPr>
          <w:ilvl w:val="1"/>
          <w:numId w:val="56"/>
        </w:numPr>
        <w:tabs>
          <w:tab w:val="left" w:pos="1108"/>
        </w:tabs>
        <w:spacing w:line="291" w:lineRule="exact"/>
        <w:ind w:left="1108" w:hanging="563"/>
        <w:rPr>
          <w:sz w:val="24"/>
        </w:rPr>
      </w:pPr>
      <w:r>
        <w:rPr>
          <w:sz w:val="24"/>
        </w:rPr>
        <w:t>Comité</w:t>
      </w:r>
      <w:r>
        <w:rPr>
          <w:spacing w:val="1"/>
          <w:sz w:val="24"/>
        </w:rPr>
        <w:t xml:space="preserve"> </w:t>
      </w:r>
      <w:r>
        <w:rPr>
          <w:sz w:val="24"/>
        </w:rPr>
        <w:t>de Gestión</w:t>
      </w:r>
      <w:r>
        <w:rPr>
          <w:spacing w:val="-3"/>
          <w:sz w:val="24"/>
        </w:rPr>
        <w:t xml:space="preserve"> </w:t>
      </w:r>
      <w:r>
        <w:rPr>
          <w:sz w:val="24"/>
        </w:rPr>
        <w:t>y</w:t>
      </w:r>
      <w:r>
        <w:rPr>
          <w:spacing w:val="-3"/>
          <w:sz w:val="24"/>
        </w:rPr>
        <w:t xml:space="preserve"> </w:t>
      </w:r>
      <w:r>
        <w:rPr>
          <w:sz w:val="24"/>
        </w:rPr>
        <w:t xml:space="preserve">Desempeño </w:t>
      </w:r>
      <w:r>
        <w:rPr>
          <w:spacing w:val="-2"/>
          <w:sz w:val="24"/>
        </w:rPr>
        <w:t>Institucional</w:t>
      </w:r>
    </w:p>
    <w:p w14:paraId="31E7A21D" w14:textId="77777777" w:rsidR="000E52B0" w:rsidRDefault="00F60D74">
      <w:pPr>
        <w:pStyle w:val="Prrafodelista"/>
        <w:numPr>
          <w:ilvl w:val="1"/>
          <w:numId w:val="56"/>
        </w:numPr>
        <w:tabs>
          <w:tab w:val="left" w:pos="1108"/>
        </w:tabs>
        <w:spacing w:before="4" w:line="291" w:lineRule="exact"/>
        <w:ind w:left="1108" w:hanging="563"/>
        <w:rPr>
          <w:sz w:val="24"/>
        </w:rPr>
      </w:pPr>
      <w:r>
        <w:rPr>
          <w:sz w:val="24"/>
        </w:rPr>
        <w:t>Comité</w:t>
      </w:r>
      <w:r>
        <w:rPr>
          <w:spacing w:val="-1"/>
          <w:sz w:val="24"/>
        </w:rPr>
        <w:t xml:space="preserve"> </w:t>
      </w:r>
      <w:r>
        <w:rPr>
          <w:sz w:val="24"/>
        </w:rPr>
        <w:t>de Coordinación</w:t>
      </w:r>
      <w:r>
        <w:rPr>
          <w:spacing w:val="-3"/>
          <w:sz w:val="24"/>
        </w:rPr>
        <w:t xml:space="preserve"> </w:t>
      </w:r>
      <w:r>
        <w:rPr>
          <w:sz w:val="24"/>
        </w:rPr>
        <w:t>del</w:t>
      </w:r>
      <w:r>
        <w:rPr>
          <w:spacing w:val="-1"/>
          <w:sz w:val="24"/>
        </w:rPr>
        <w:t xml:space="preserve"> </w:t>
      </w:r>
      <w:r>
        <w:rPr>
          <w:sz w:val="24"/>
        </w:rPr>
        <w:t>Sistema</w:t>
      </w:r>
      <w:r>
        <w:rPr>
          <w:spacing w:val="-5"/>
          <w:sz w:val="24"/>
        </w:rPr>
        <w:t xml:space="preserve"> </w:t>
      </w:r>
      <w:r>
        <w:rPr>
          <w:sz w:val="24"/>
        </w:rPr>
        <w:t>de</w:t>
      </w:r>
      <w:r>
        <w:rPr>
          <w:spacing w:val="1"/>
          <w:sz w:val="24"/>
        </w:rPr>
        <w:t xml:space="preserve"> </w:t>
      </w:r>
      <w:r>
        <w:rPr>
          <w:sz w:val="24"/>
        </w:rPr>
        <w:t>Control</w:t>
      </w:r>
      <w:r>
        <w:rPr>
          <w:spacing w:val="-2"/>
          <w:sz w:val="24"/>
        </w:rPr>
        <w:t xml:space="preserve"> Interno</w:t>
      </w:r>
    </w:p>
    <w:p w14:paraId="1E42EF14" w14:textId="77777777" w:rsidR="000E52B0" w:rsidRDefault="00F60D74">
      <w:pPr>
        <w:pStyle w:val="Prrafodelista"/>
        <w:numPr>
          <w:ilvl w:val="1"/>
          <w:numId w:val="56"/>
        </w:numPr>
        <w:tabs>
          <w:tab w:val="left" w:pos="1108"/>
        </w:tabs>
        <w:spacing w:line="291" w:lineRule="exact"/>
        <w:ind w:left="1108" w:hanging="563"/>
        <w:rPr>
          <w:sz w:val="24"/>
        </w:rPr>
      </w:pPr>
      <w:r>
        <w:rPr>
          <w:sz w:val="24"/>
        </w:rPr>
        <w:t>Comisión</w:t>
      </w:r>
      <w:r>
        <w:rPr>
          <w:spacing w:val="-2"/>
          <w:sz w:val="24"/>
        </w:rPr>
        <w:t xml:space="preserve"> </w:t>
      </w:r>
      <w:r>
        <w:rPr>
          <w:sz w:val="24"/>
        </w:rPr>
        <w:t>de</w:t>
      </w:r>
      <w:r>
        <w:rPr>
          <w:spacing w:val="1"/>
          <w:sz w:val="24"/>
        </w:rPr>
        <w:t xml:space="preserve"> </w:t>
      </w:r>
      <w:r>
        <w:rPr>
          <w:spacing w:val="-2"/>
          <w:sz w:val="24"/>
        </w:rPr>
        <w:t>Personal</w:t>
      </w:r>
    </w:p>
    <w:p w14:paraId="08DAA31E" w14:textId="77777777" w:rsidR="000E52B0" w:rsidRDefault="000E52B0">
      <w:pPr>
        <w:pStyle w:val="Prrafodelista"/>
        <w:spacing w:line="291" w:lineRule="exact"/>
        <w:rPr>
          <w:sz w:val="24"/>
        </w:rPr>
        <w:sectPr w:rsidR="000E52B0">
          <w:pgSz w:w="12240" w:h="15840"/>
          <w:pgMar w:top="1340" w:right="1440" w:bottom="1280" w:left="1440" w:header="0" w:footer="1092" w:gutter="0"/>
          <w:cols w:space="720"/>
        </w:sectPr>
      </w:pPr>
    </w:p>
    <w:p w14:paraId="46B06900" w14:textId="77777777" w:rsidR="000E52B0" w:rsidRDefault="00F60D74">
      <w:pPr>
        <w:spacing w:before="89" w:line="291" w:lineRule="exact"/>
        <w:ind w:left="260"/>
        <w:jc w:val="both"/>
        <w:rPr>
          <w:b/>
          <w:sz w:val="24"/>
        </w:rPr>
      </w:pPr>
      <w:r>
        <w:rPr>
          <w:b/>
          <w:color w:val="333333"/>
          <w:sz w:val="24"/>
        </w:rPr>
        <w:lastRenderedPageBreak/>
        <w:t>ARTÍCULO</w:t>
      </w:r>
      <w:r>
        <w:rPr>
          <w:b/>
          <w:color w:val="333333"/>
          <w:spacing w:val="32"/>
          <w:sz w:val="24"/>
        </w:rPr>
        <w:t xml:space="preserve">  </w:t>
      </w:r>
      <w:r>
        <w:rPr>
          <w:b/>
          <w:color w:val="333333"/>
          <w:sz w:val="24"/>
        </w:rPr>
        <w:t>12.</w:t>
      </w:r>
      <w:r>
        <w:rPr>
          <w:b/>
          <w:color w:val="333333"/>
          <w:spacing w:val="32"/>
          <w:sz w:val="24"/>
        </w:rPr>
        <w:t xml:space="preserve">  </w:t>
      </w:r>
      <w:proofErr w:type="gramStart"/>
      <w:r>
        <w:rPr>
          <w:b/>
          <w:color w:val="333333"/>
          <w:sz w:val="24"/>
        </w:rPr>
        <w:t>DERECHOS</w:t>
      </w:r>
      <w:r>
        <w:rPr>
          <w:b/>
          <w:color w:val="333333"/>
          <w:spacing w:val="32"/>
          <w:sz w:val="24"/>
        </w:rPr>
        <w:t xml:space="preserve">  </w:t>
      </w:r>
      <w:r>
        <w:rPr>
          <w:b/>
          <w:color w:val="333333"/>
          <w:sz w:val="24"/>
        </w:rPr>
        <w:t>LABORALES</w:t>
      </w:r>
      <w:proofErr w:type="gramEnd"/>
      <w:r>
        <w:rPr>
          <w:b/>
          <w:color w:val="333333"/>
          <w:spacing w:val="33"/>
          <w:sz w:val="24"/>
        </w:rPr>
        <w:t xml:space="preserve">  </w:t>
      </w:r>
      <w:proofErr w:type="gramStart"/>
      <w:r>
        <w:rPr>
          <w:b/>
          <w:color w:val="333333"/>
          <w:sz w:val="24"/>
        </w:rPr>
        <w:t>Y</w:t>
      </w:r>
      <w:r>
        <w:rPr>
          <w:b/>
          <w:color w:val="333333"/>
          <w:spacing w:val="31"/>
          <w:sz w:val="24"/>
        </w:rPr>
        <w:t xml:space="preserve">  </w:t>
      </w:r>
      <w:r>
        <w:rPr>
          <w:b/>
          <w:color w:val="333333"/>
          <w:sz w:val="24"/>
        </w:rPr>
        <w:t>MÍNIMO</w:t>
      </w:r>
      <w:proofErr w:type="gramEnd"/>
      <w:r>
        <w:rPr>
          <w:b/>
          <w:color w:val="333333"/>
          <w:spacing w:val="33"/>
          <w:sz w:val="24"/>
        </w:rPr>
        <w:t xml:space="preserve">  </w:t>
      </w:r>
      <w:r>
        <w:rPr>
          <w:b/>
          <w:color w:val="333333"/>
          <w:spacing w:val="-2"/>
          <w:sz w:val="24"/>
        </w:rPr>
        <w:t>IMPACTO</w:t>
      </w:r>
    </w:p>
    <w:p w14:paraId="78B8FA31" w14:textId="77777777" w:rsidR="000E52B0" w:rsidRDefault="00F60D74">
      <w:pPr>
        <w:pStyle w:val="Textoindependiente"/>
        <w:ind w:left="260" w:right="253"/>
        <w:jc w:val="both"/>
      </w:pPr>
      <w:r>
        <w:rPr>
          <w:b/>
          <w:color w:val="333333"/>
        </w:rPr>
        <w:t xml:space="preserve">FISCAL. </w:t>
      </w:r>
      <w:r>
        <w:rPr>
          <w:color w:val="333333"/>
        </w:rPr>
        <w:t>El Gobierno Nacional, en ejercicio de sus facultades permanentes, garantizará los derechos de las servidoras y servidores públicos, en especial, de aquellos que estén inscritos en la carrera administrativa, propiciando la paridad de género y la inclusión de personas con discapacidad.</w:t>
      </w:r>
    </w:p>
    <w:p w14:paraId="6B6317CB" w14:textId="77777777" w:rsidR="000E52B0" w:rsidRDefault="00F60D74">
      <w:pPr>
        <w:pStyle w:val="Textoindependiente"/>
        <w:spacing w:before="1"/>
        <w:ind w:left="260" w:right="254"/>
        <w:jc w:val="both"/>
      </w:pPr>
      <w:r>
        <w:rPr>
          <w:color w:val="333333"/>
        </w:rPr>
        <w:t>De</w:t>
      </w:r>
      <w:r>
        <w:rPr>
          <w:color w:val="333333"/>
          <w:spacing w:val="-2"/>
        </w:rPr>
        <w:t xml:space="preserve"> </w:t>
      </w:r>
      <w:r>
        <w:rPr>
          <w:color w:val="333333"/>
        </w:rPr>
        <w:t>conformidad</w:t>
      </w:r>
      <w:r>
        <w:rPr>
          <w:color w:val="333333"/>
          <w:spacing w:val="-8"/>
        </w:rPr>
        <w:t xml:space="preserve"> </w:t>
      </w:r>
      <w:r>
        <w:rPr>
          <w:color w:val="333333"/>
        </w:rPr>
        <w:t>con</w:t>
      </w:r>
      <w:r>
        <w:rPr>
          <w:color w:val="333333"/>
          <w:spacing w:val="-6"/>
        </w:rPr>
        <w:t xml:space="preserve"> </w:t>
      </w:r>
      <w:r>
        <w:rPr>
          <w:color w:val="333333"/>
        </w:rPr>
        <w:t>los</w:t>
      </w:r>
      <w:r>
        <w:rPr>
          <w:color w:val="333333"/>
          <w:spacing w:val="-3"/>
        </w:rPr>
        <w:t xml:space="preserve"> </w:t>
      </w:r>
      <w:r>
        <w:rPr>
          <w:color w:val="333333"/>
        </w:rPr>
        <w:t>estudios</w:t>
      </w:r>
      <w:r>
        <w:rPr>
          <w:color w:val="333333"/>
          <w:spacing w:val="-3"/>
        </w:rPr>
        <w:t xml:space="preserve"> </w:t>
      </w:r>
      <w:r>
        <w:rPr>
          <w:color w:val="333333"/>
        </w:rPr>
        <w:t>que</w:t>
      </w:r>
      <w:r>
        <w:rPr>
          <w:color w:val="333333"/>
          <w:spacing w:val="-6"/>
        </w:rPr>
        <w:t xml:space="preserve"> </w:t>
      </w:r>
      <w:r>
        <w:rPr>
          <w:color w:val="333333"/>
        </w:rPr>
        <w:t>se</w:t>
      </w:r>
      <w:r>
        <w:rPr>
          <w:color w:val="333333"/>
          <w:spacing w:val="-6"/>
        </w:rPr>
        <w:t xml:space="preserve"> </w:t>
      </w:r>
      <w:r>
        <w:rPr>
          <w:color w:val="333333"/>
        </w:rPr>
        <w:t>generen</w:t>
      </w:r>
      <w:r>
        <w:rPr>
          <w:color w:val="333333"/>
          <w:spacing w:val="-5"/>
        </w:rPr>
        <w:t xml:space="preserve"> </w:t>
      </w:r>
      <w:r>
        <w:rPr>
          <w:color w:val="333333"/>
        </w:rPr>
        <w:t>sobre</w:t>
      </w:r>
      <w:r>
        <w:rPr>
          <w:color w:val="333333"/>
          <w:spacing w:val="-6"/>
        </w:rPr>
        <w:t xml:space="preserve"> </w:t>
      </w:r>
      <w:r>
        <w:rPr>
          <w:color w:val="333333"/>
        </w:rPr>
        <w:t>el</w:t>
      </w:r>
      <w:r>
        <w:rPr>
          <w:color w:val="333333"/>
          <w:spacing w:val="-9"/>
        </w:rPr>
        <w:t xml:space="preserve"> </w:t>
      </w:r>
      <w:r>
        <w:rPr>
          <w:color w:val="333333"/>
        </w:rPr>
        <w:t>funcionamiento de la entidad, por parte de Función Pública, y de acuerdo con la disponibilidad</w:t>
      </w:r>
      <w:r>
        <w:rPr>
          <w:color w:val="333333"/>
          <w:spacing w:val="-12"/>
        </w:rPr>
        <w:t xml:space="preserve"> </w:t>
      </w:r>
      <w:r>
        <w:rPr>
          <w:color w:val="333333"/>
        </w:rPr>
        <w:t>fiscal</w:t>
      </w:r>
      <w:r>
        <w:rPr>
          <w:color w:val="333333"/>
          <w:spacing w:val="-14"/>
        </w:rPr>
        <w:t xml:space="preserve"> </w:t>
      </w:r>
      <w:r>
        <w:rPr>
          <w:color w:val="333333"/>
        </w:rPr>
        <w:t>del</w:t>
      </w:r>
      <w:r>
        <w:rPr>
          <w:color w:val="333333"/>
          <w:spacing w:val="-14"/>
        </w:rPr>
        <w:t xml:space="preserve"> </w:t>
      </w:r>
      <w:r>
        <w:rPr>
          <w:color w:val="333333"/>
        </w:rPr>
        <w:t>país</w:t>
      </w:r>
      <w:r>
        <w:rPr>
          <w:color w:val="333333"/>
          <w:spacing w:val="-13"/>
        </w:rPr>
        <w:t xml:space="preserve"> </w:t>
      </w:r>
      <w:r>
        <w:rPr>
          <w:color w:val="333333"/>
        </w:rPr>
        <w:t>y</w:t>
      </w:r>
      <w:r>
        <w:rPr>
          <w:color w:val="333333"/>
          <w:spacing w:val="-15"/>
        </w:rPr>
        <w:t xml:space="preserve"> </w:t>
      </w:r>
      <w:r>
        <w:rPr>
          <w:color w:val="333333"/>
        </w:rPr>
        <w:t>la</w:t>
      </w:r>
      <w:r>
        <w:rPr>
          <w:color w:val="333333"/>
          <w:spacing w:val="-12"/>
        </w:rPr>
        <w:t xml:space="preserve"> </w:t>
      </w:r>
      <w:r>
        <w:rPr>
          <w:color w:val="333333"/>
        </w:rPr>
        <w:t>existencia</w:t>
      </w:r>
      <w:r>
        <w:rPr>
          <w:color w:val="333333"/>
          <w:spacing w:val="-12"/>
        </w:rPr>
        <w:t xml:space="preserve"> </w:t>
      </w:r>
      <w:r>
        <w:rPr>
          <w:color w:val="333333"/>
        </w:rPr>
        <w:t>de</w:t>
      </w:r>
      <w:r>
        <w:rPr>
          <w:color w:val="333333"/>
          <w:spacing w:val="-11"/>
        </w:rPr>
        <w:t xml:space="preserve"> </w:t>
      </w:r>
      <w:r>
        <w:rPr>
          <w:color w:val="333333"/>
        </w:rPr>
        <w:t>recursos</w:t>
      </w:r>
      <w:r>
        <w:rPr>
          <w:color w:val="333333"/>
          <w:spacing w:val="-13"/>
        </w:rPr>
        <w:t xml:space="preserve"> </w:t>
      </w:r>
      <w:r>
        <w:rPr>
          <w:color w:val="333333"/>
        </w:rPr>
        <w:t>para</w:t>
      </w:r>
      <w:r>
        <w:rPr>
          <w:color w:val="333333"/>
          <w:spacing w:val="-12"/>
        </w:rPr>
        <w:t xml:space="preserve"> </w:t>
      </w:r>
      <w:r>
        <w:rPr>
          <w:color w:val="333333"/>
        </w:rPr>
        <w:t>tal</w:t>
      </w:r>
      <w:r>
        <w:rPr>
          <w:color w:val="333333"/>
          <w:spacing w:val="-14"/>
        </w:rPr>
        <w:t xml:space="preserve"> </w:t>
      </w:r>
      <w:r>
        <w:rPr>
          <w:color w:val="333333"/>
        </w:rPr>
        <w:t>propósito, se deberá garantizar el mínimo impacto fiscal de esta iniciativa.</w:t>
      </w:r>
    </w:p>
    <w:p w14:paraId="5394B976" w14:textId="77777777" w:rsidR="000E52B0" w:rsidRDefault="00F60D74">
      <w:pPr>
        <w:spacing w:before="289"/>
        <w:ind w:left="260"/>
        <w:jc w:val="both"/>
        <w:rPr>
          <w:b/>
          <w:sz w:val="24"/>
        </w:rPr>
      </w:pPr>
      <w:r>
        <w:rPr>
          <w:b/>
          <w:color w:val="333333"/>
          <w:sz w:val="24"/>
        </w:rPr>
        <w:t>ARTÍCULO</w:t>
      </w:r>
      <w:r>
        <w:rPr>
          <w:b/>
          <w:color w:val="333333"/>
          <w:spacing w:val="-3"/>
          <w:sz w:val="24"/>
        </w:rPr>
        <w:t xml:space="preserve"> </w:t>
      </w:r>
      <w:r>
        <w:rPr>
          <w:b/>
          <w:color w:val="333333"/>
          <w:sz w:val="24"/>
        </w:rPr>
        <w:t>13.</w:t>
      </w:r>
      <w:r>
        <w:rPr>
          <w:b/>
          <w:color w:val="333333"/>
          <w:spacing w:val="-4"/>
          <w:sz w:val="24"/>
        </w:rPr>
        <w:t xml:space="preserve"> </w:t>
      </w:r>
      <w:r>
        <w:rPr>
          <w:b/>
          <w:color w:val="333333"/>
          <w:sz w:val="24"/>
        </w:rPr>
        <w:t>COMISIÓN</w:t>
      </w:r>
      <w:r>
        <w:rPr>
          <w:b/>
          <w:color w:val="333333"/>
          <w:spacing w:val="-1"/>
          <w:sz w:val="24"/>
        </w:rPr>
        <w:t xml:space="preserve"> </w:t>
      </w:r>
      <w:r>
        <w:rPr>
          <w:b/>
          <w:color w:val="333333"/>
          <w:sz w:val="24"/>
        </w:rPr>
        <w:t>DE</w:t>
      </w:r>
      <w:r>
        <w:rPr>
          <w:b/>
          <w:color w:val="333333"/>
          <w:spacing w:val="-2"/>
          <w:sz w:val="24"/>
        </w:rPr>
        <w:t xml:space="preserve"> SEGUIMIENTO.</w:t>
      </w:r>
    </w:p>
    <w:p w14:paraId="0B9BC14E" w14:textId="77777777" w:rsidR="000E52B0" w:rsidRDefault="00F60D74">
      <w:pPr>
        <w:pStyle w:val="Textoindependiente"/>
        <w:spacing w:before="3"/>
        <w:ind w:left="260" w:right="260"/>
        <w:jc w:val="both"/>
      </w:pPr>
      <w:r>
        <w:rPr>
          <w:color w:val="333333"/>
        </w:rPr>
        <w:t>Para todos los efectos, las Comisiones Séptimas Constitucionales de Cámara y Senado conocerán de las funciones, temas y objeto del Ministerio de Igualdad y Equidad.</w:t>
      </w:r>
    </w:p>
    <w:p w14:paraId="71539437" w14:textId="77777777" w:rsidR="000E52B0" w:rsidRDefault="000E52B0">
      <w:pPr>
        <w:pStyle w:val="Textoindependiente"/>
        <w:spacing w:before="159"/>
        <w:ind w:left="0"/>
      </w:pPr>
    </w:p>
    <w:p w14:paraId="2E69FBBE" w14:textId="77777777" w:rsidR="000E52B0" w:rsidRDefault="00F60D74">
      <w:pPr>
        <w:pStyle w:val="Textoindependiente"/>
        <w:ind w:left="260" w:right="254"/>
        <w:jc w:val="both"/>
      </w:pPr>
      <w:r>
        <w:rPr>
          <w:b/>
          <w:color w:val="333333"/>
        </w:rPr>
        <w:t xml:space="preserve">ARTÍCULO 14. </w:t>
      </w:r>
      <w:r>
        <w:rPr>
          <w:color w:val="333333"/>
        </w:rPr>
        <w:t xml:space="preserve">Modifíquese el artículo </w:t>
      </w:r>
      <w:r>
        <w:t xml:space="preserve">17 </w:t>
      </w:r>
      <w:r>
        <w:rPr>
          <w:color w:val="333333"/>
        </w:rPr>
        <w:t>de la Ley 1444 de 2011, modificado</w:t>
      </w:r>
      <w:r>
        <w:rPr>
          <w:color w:val="333333"/>
          <w:spacing w:val="-11"/>
        </w:rPr>
        <w:t xml:space="preserve"> </w:t>
      </w:r>
      <w:r>
        <w:rPr>
          <w:color w:val="333333"/>
        </w:rPr>
        <w:t>por</w:t>
      </w:r>
      <w:r>
        <w:rPr>
          <w:color w:val="333333"/>
          <w:spacing w:val="-9"/>
        </w:rPr>
        <w:t xml:space="preserve"> </w:t>
      </w:r>
      <w:r>
        <w:rPr>
          <w:color w:val="333333"/>
        </w:rPr>
        <w:t>el</w:t>
      </w:r>
      <w:r>
        <w:rPr>
          <w:color w:val="333333"/>
          <w:spacing w:val="-12"/>
        </w:rPr>
        <w:t xml:space="preserve"> </w:t>
      </w:r>
      <w:r>
        <w:rPr>
          <w:color w:val="333333"/>
        </w:rPr>
        <w:t>artículo</w:t>
      </w:r>
      <w:r>
        <w:rPr>
          <w:color w:val="333333"/>
          <w:spacing w:val="-12"/>
        </w:rPr>
        <w:t xml:space="preserve"> </w:t>
      </w:r>
      <w:r>
        <w:rPr>
          <w:color w:val="333333"/>
        </w:rPr>
        <w:t>20</w:t>
      </w:r>
      <w:r>
        <w:rPr>
          <w:color w:val="333333"/>
          <w:spacing w:val="-9"/>
        </w:rPr>
        <w:t xml:space="preserve"> </w:t>
      </w:r>
      <w:r>
        <w:rPr>
          <w:color w:val="333333"/>
        </w:rPr>
        <w:t>de</w:t>
      </w:r>
      <w:r>
        <w:rPr>
          <w:color w:val="333333"/>
          <w:spacing w:val="-9"/>
        </w:rPr>
        <w:t xml:space="preserve"> </w:t>
      </w:r>
      <w:r>
        <w:rPr>
          <w:color w:val="333333"/>
        </w:rPr>
        <w:t>la</w:t>
      </w:r>
      <w:r>
        <w:rPr>
          <w:color w:val="333333"/>
          <w:spacing w:val="-10"/>
        </w:rPr>
        <w:t xml:space="preserve"> </w:t>
      </w:r>
      <w:r>
        <w:rPr>
          <w:color w:val="333333"/>
        </w:rPr>
        <w:t>Ley</w:t>
      </w:r>
      <w:r>
        <w:rPr>
          <w:color w:val="333333"/>
          <w:spacing w:val="-13"/>
        </w:rPr>
        <w:t xml:space="preserve"> </w:t>
      </w:r>
      <w:r>
        <w:rPr>
          <w:color w:val="333333"/>
        </w:rPr>
        <w:t>2162</w:t>
      </w:r>
      <w:r>
        <w:rPr>
          <w:color w:val="333333"/>
          <w:spacing w:val="-9"/>
        </w:rPr>
        <w:t xml:space="preserve"> </w:t>
      </w:r>
      <w:r>
        <w:rPr>
          <w:color w:val="333333"/>
        </w:rPr>
        <w:t>de</w:t>
      </w:r>
      <w:r>
        <w:rPr>
          <w:color w:val="333333"/>
          <w:spacing w:val="-9"/>
        </w:rPr>
        <w:t xml:space="preserve"> </w:t>
      </w:r>
      <w:r>
        <w:rPr>
          <w:color w:val="333333"/>
        </w:rPr>
        <w:t>2021,</w:t>
      </w:r>
      <w:r>
        <w:rPr>
          <w:color w:val="333333"/>
          <w:spacing w:val="-8"/>
        </w:rPr>
        <w:t xml:space="preserve"> </w:t>
      </w:r>
      <w:r>
        <w:rPr>
          <w:color w:val="333333"/>
        </w:rPr>
        <w:t>el</w:t>
      </w:r>
      <w:r>
        <w:rPr>
          <w:color w:val="333333"/>
          <w:spacing w:val="-12"/>
        </w:rPr>
        <w:t xml:space="preserve"> </w:t>
      </w:r>
      <w:r>
        <w:rPr>
          <w:color w:val="333333"/>
        </w:rPr>
        <w:t>cual</w:t>
      </w:r>
      <w:r>
        <w:rPr>
          <w:color w:val="333333"/>
          <w:spacing w:val="-12"/>
        </w:rPr>
        <w:t xml:space="preserve"> </w:t>
      </w:r>
      <w:r>
        <w:rPr>
          <w:color w:val="333333"/>
        </w:rPr>
        <w:t>quedará</w:t>
      </w:r>
      <w:r>
        <w:rPr>
          <w:color w:val="333333"/>
          <w:spacing w:val="-10"/>
        </w:rPr>
        <w:t xml:space="preserve"> </w:t>
      </w:r>
      <w:r>
        <w:rPr>
          <w:color w:val="333333"/>
        </w:rPr>
        <w:t>así:</w:t>
      </w:r>
    </w:p>
    <w:p w14:paraId="32EB61F2" w14:textId="77777777" w:rsidR="000E52B0" w:rsidRDefault="000E52B0">
      <w:pPr>
        <w:pStyle w:val="Textoindependiente"/>
        <w:ind w:left="0"/>
      </w:pPr>
    </w:p>
    <w:p w14:paraId="0B19440E" w14:textId="77777777" w:rsidR="000E52B0" w:rsidRDefault="00F60D74">
      <w:pPr>
        <w:ind w:left="400" w:right="263"/>
        <w:jc w:val="both"/>
        <w:rPr>
          <w:i/>
          <w:sz w:val="24"/>
        </w:rPr>
      </w:pPr>
      <w:r>
        <w:rPr>
          <w:i/>
          <w:color w:val="333333"/>
          <w:sz w:val="24"/>
        </w:rPr>
        <w:t>ARTÍCULO 17. Número, denominación, orden y precedencia de los Ministerios. El número de ministerios es diecinueve. La denominación, orden y precedencia de los ministerios es la siguiente:</w:t>
      </w:r>
    </w:p>
    <w:p w14:paraId="635476F8" w14:textId="77777777" w:rsidR="000E52B0" w:rsidRDefault="00F60D74">
      <w:pPr>
        <w:pStyle w:val="Prrafodelista"/>
        <w:numPr>
          <w:ilvl w:val="0"/>
          <w:numId w:val="55"/>
        </w:numPr>
        <w:tabs>
          <w:tab w:val="left" w:pos="1120"/>
        </w:tabs>
        <w:spacing w:before="291"/>
        <w:ind w:left="1120"/>
        <w:rPr>
          <w:i/>
          <w:sz w:val="24"/>
        </w:rPr>
      </w:pPr>
      <w:r>
        <w:rPr>
          <w:i/>
          <w:color w:val="333333"/>
          <w:sz w:val="24"/>
        </w:rPr>
        <w:t>Ministerio</w:t>
      </w:r>
      <w:r>
        <w:rPr>
          <w:i/>
          <w:color w:val="333333"/>
          <w:spacing w:val="-1"/>
          <w:sz w:val="24"/>
        </w:rPr>
        <w:t xml:space="preserve"> </w:t>
      </w:r>
      <w:r>
        <w:rPr>
          <w:i/>
          <w:color w:val="333333"/>
          <w:sz w:val="24"/>
        </w:rPr>
        <w:t>del</w:t>
      </w:r>
      <w:r>
        <w:rPr>
          <w:i/>
          <w:color w:val="333333"/>
          <w:spacing w:val="-2"/>
          <w:sz w:val="24"/>
        </w:rPr>
        <w:t xml:space="preserve"> Interior.</w:t>
      </w:r>
    </w:p>
    <w:p w14:paraId="3A64F68A" w14:textId="77777777" w:rsidR="000E52B0" w:rsidRDefault="00F60D74">
      <w:pPr>
        <w:pStyle w:val="Prrafodelista"/>
        <w:numPr>
          <w:ilvl w:val="0"/>
          <w:numId w:val="55"/>
        </w:numPr>
        <w:tabs>
          <w:tab w:val="left" w:pos="1120"/>
        </w:tabs>
        <w:spacing w:before="3" w:line="291" w:lineRule="exact"/>
        <w:ind w:left="1120"/>
        <w:rPr>
          <w:i/>
          <w:sz w:val="24"/>
        </w:rPr>
      </w:pPr>
      <w:r>
        <w:rPr>
          <w:i/>
          <w:color w:val="333333"/>
          <w:sz w:val="24"/>
        </w:rPr>
        <w:t>Ministerio</w:t>
      </w:r>
      <w:r>
        <w:rPr>
          <w:i/>
          <w:color w:val="333333"/>
          <w:spacing w:val="-4"/>
          <w:sz w:val="24"/>
        </w:rPr>
        <w:t xml:space="preserve"> </w:t>
      </w:r>
      <w:r>
        <w:rPr>
          <w:i/>
          <w:color w:val="333333"/>
          <w:sz w:val="24"/>
        </w:rPr>
        <w:t>de</w:t>
      </w:r>
      <w:r>
        <w:rPr>
          <w:i/>
          <w:color w:val="333333"/>
          <w:spacing w:val="-1"/>
          <w:sz w:val="24"/>
        </w:rPr>
        <w:t xml:space="preserve"> </w:t>
      </w:r>
      <w:r>
        <w:rPr>
          <w:i/>
          <w:color w:val="333333"/>
          <w:sz w:val="24"/>
        </w:rPr>
        <w:t>Relaciones</w:t>
      </w:r>
      <w:r>
        <w:rPr>
          <w:i/>
          <w:color w:val="333333"/>
          <w:spacing w:val="-3"/>
          <w:sz w:val="24"/>
        </w:rPr>
        <w:t xml:space="preserve"> </w:t>
      </w:r>
      <w:r>
        <w:rPr>
          <w:i/>
          <w:color w:val="333333"/>
          <w:spacing w:val="-2"/>
          <w:sz w:val="24"/>
        </w:rPr>
        <w:t>Exteriores.</w:t>
      </w:r>
    </w:p>
    <w:p w14:paraId="4E52DBEE" w14:textId="77777777" w:rsidR="000E52B0" w:rsidRDefault="00F60D74">
      <w:pPr>
        <w:pStyle w:val="Prrafodelista"/>
        <w:numPr>
          <w:ilvl w:val="0"/>
          <w:numId w:val="55"/>
        </w:numPr>
        <w:tabs>
          <w:tab w:val="left" w:pos="1120"/>
        </w:tabs>
        <w:spacing w:line="290" w:lineRule="exact"/>
        <w:ind w:left="1120"/>
        <w:rPr>
          <w:i/>
          <w:sz w:val="24"/>
        </w:rPr>
      </w:pPr>
      <w:r>
        <w:rPr>
          <w:i/>
          <w:color w:val="333333"/>
          <w:sz w:val="24"/>
        </w:rPr>
        <w:t>Ministerio</w:t>
      </w:r>
      <w:r>
        <w:rPr>
          <w:i/>
          <w:color w:val="333333"/>
          <w:spacing w:val="-2"/>
          <w:sz w:val="24"/>
        </w:rPr>
        <w:t xml:space="preserve"> </w:t>
      </w:r>
      <w:r>
        <w:rPr>
          <w:i/>
          <w:color w:val="333333"/>
          <w:sz w:val="24"/>
        </w:rPr>
        <w:t>de</w:t>
      </w:r>
      <w:r>
        <w:rPr>
          <w:i/>
          <w:color w:val="333333"/>
          <w:spacing w:val="1"/>
          <w:sz w:val="24"/>
        </w:rPr>
        <w:t xml:space="preserve"> </w:t>
      </w:r>
      <w:r>
        <w:rPr>
          <w:i/>
          <w:color w:val="333333"/>
          <w:sz w:val="24"/>
        </w:rPr>
        <w:t>Hacienda</w:t>
      </w:r>
      <w:r>
        <w:rPr>
          <w:i/>
          <w:color w:val="333333"/>
          <w:spacing w:val="-1"/>
          <w:sz w:val="24"/>
        </w:rPr>
        <w:t xml:space="preserve"> </w:t>
      </w:r>
      <w:r>
        <w:rPr>
          <w:i/>
          <w:color w:val="333333"/>
          <w:sz w:val="24"/>
        </w:rPr>
        <w:t>y</w:t>
      </w:r>
      <w:r>
        <w:rPr>
          <w:i/>
          <w:color w:val="333333"/>
          <w:spacing w:val="-3"/>
          <w:sz w:val="24"/>
        </w:rPr>
        <w:t xml:space="preserve"> </w:t>
      </w:r>
      <w:r>
        <w:rPr>
          <w:i/>
          <w:color w:val="333333"/>
          <w:sz w:val="24"/>
        </w:rPr>
        <w:t>Crédito</w:t>
      </w:r>
      <w:r>
        <w:rPr>
          <w:i/>
          <w:color w:val="333333"/>
          <w:spacing w:val="-1"/>
          <w:sz w:val="24"/>
        </w:rPr>
        <w:t xml:space="preserve"> </w:t>
      </w:r>
      <w:r>
        <w:rPr>
          <w:i/>
          <w:color w:val="333333"/>
          <w:spacing w:val="-2"/>
          <w:sz w:val="24"/>
        </w:rPr>
        <w:t>Público.</w:t>
      </w:r>
    </w:p>
    <w:p w14:paraId="5BCC2475" w14:textId="77777777" w:rsidR="000E52B0" w:rsidRDefault="00F60D74">
      <w:pPr>
        <w:pStyle w:val="Prrafodelista"/>
        <w:numPr>
          <w:ilvl w:val="0"/>
          <w:numId w:val="55"/>
        </w:numPr>
        <w:tabs>
          <w:tab w:val="left" w:pos="1120"/>
        </w:tabs>
        <w:spacing w:line="291" w:lineRule="exact"/>
        <w:ind w:left="1120"/>
        <w:rPr>
          <w:i/>
          <w:sz w:val="24"/>
        </w:rPr>
      </w:pPr>
      <w:r>
        <w:rPr>
          <w:i/>
          <w:color w:val="333333"/>
          <w:sz w:val="24"/>
        </w:rPr>
        <w:t>Ministerio</w:t>
      </w:r>
      <w:r>
        <w:rPr>
          <w:i/>
          <w:color w:val="333333"/>
          <w:spacing w:val="-2"/>
          <w:sz w:val="24"/>
        </w:rPr>
        <w:t xml:space="preserve"> </w:t>
      </w:r>
      <w:r>
        <w:rPr>
          <w:i/>
          <w:color w:val="333333"/>
          <w:sz w:val="24"/>
        </w:rPr>
        <w:t>de Justicia</w:t>
      </w:r>
      <w:r>
        <w:rPr>
          <w:i/>
          <w:color w:val="333333"/>
          <w:spacing w:val="-2"/>
          <w:sz w:val="24"/>
        </w:rPr>
        <w:t xml:space="preserve"> </w:t>
      </w:r>
      <w:r>
        <w:rPr>
          <w:i/>
          <w:color w:val="333333"/>
          <w:sz w:val="24"/>
        </w:rPr>
        <w:t>y</w:t>
      </w:r>
      <w:r>
        <w:rPr>
          <w:i/>
          <w:color w:val="333333"/>
          <w:spacing w:val="-4"/>
          <w:sz w:val="24"/>
        </w:rPr>
        <w:t xml:space="preserve"> </w:t>
      </w:r>
      <w:r>
        <w:rPr>
          <w:i/>
          <w:color w:val="333333"/>
          <w:sz w:val="24"/>
        </w:rPr>
        <w:t>Del</w:t>
      </w:r>
      <w:r>
        <w:rPr>
          <w:i/>
          <w:color w:val="333333"/>
          <w:spacing w:val="-2"/>
          <w:sz w:val="24"/>
        </w:rPr>
        <w:t xml:space="preserve"> Derecho.</w:t>
      </w:r>
    </w:p>
    <w:p w14:paraId="419F8507" w14:textId="77777777" w:rsidR="000E52B0" w:rsidRDefault="00F60D74">
      <w:pPr>
        <w:pStyle w:val="Prrafodelista"/>
        <w:numPr>
          <w:ilvl w:val="0"/>
          <w:numId w:val="55"/>
        </w:numPr>
        <w:tabs>
          <w:tab w:val="left" w:pos="1120"/>
        </w:tabs>
        <w:spacing w:before="4" w:line="291" w:lineRule="exact"/>
        <w:ind w:left="1120"/>
        <w:rPr>
          <w:i/>
          <w:sz w:val="24"/>
        </w:rPr>
      </w:pPr>
      <w:r>
        <w:rPr>
          <w:i/>
          <w:color w:val="333333"/>
          <w:sz w:val="24"/>
        </w:rPr>
        <w:t>Ministerio</w:t>
      </w:r>
      <w:r>
        <w:rPr>
          <w:i/>
          <w:color w:val="333333"/>
          <w:spacing w:val="-1"/>
          <w:sz w:val="24"/>
        </w:rPr>
        <w:t xml:space="preserve"> </w:t>
      </w:r>
      <w:r>
        <w:rPr>
          <w:i/>
          <w:color w:val="333333"/>
          <w:sz w:val="24"/>
        </w:rPr>
        <w:t>de</w:t>
      </w:r>
      <w:r>
        <w:rPr>
          <w:i/>
          <w:color w:val="333333"/>
          <w:spacing w:val="1"/>
          <w:sz w:val="24"/>
        </w:rPr>
        <w:t xml:space="preserve"> </w:t>
      </w:r>
      <w:r>
        <w:rPr>
          <w:i/>
          <w:color w:val="333333"/>
          <w:sz w:val="24"/>
        </w:rPr>
        <w:t xml:space="preserve">Defensa </w:t>
      </w:r>
      <w:r>
        <w:rPr>
          <w:i/>
          <w:color w:val="333333"/>
          <w:spacing w:val="-2"/>
          <w:sz w:val="24"/>
        </w:rPr>
        <w:t>Nacional.</w:t>
      </w:r>
    </w:p>
    <w:p w14:paraId="1FBF464C" w14:textId="77777777" w:rsidR="000E52B0" w:rsidRDefault="00F60D74">
      <w:pPr>
        <w:pStyle w:val="Prrafodelista"/>
        <w:numPr>
          <w:ilvl w:val="0"/>
          <w:numId w:val="55"/>
        </w:numPr>
        <w:tabs>
          <w:tab w:val="left" w:pos="1120"/>
        </w:tabs>
        <w:spacing w:line="290" w:lineRule="exact"/>
        <w:ind w:left="1120"/>
        <w:rPr>
          <w:i/>
          <w:sz w:val="24"/>
        </w:rPr>
      </w:pPr>
      <w:r>
        <w:rPr>
          <w:i/>
          <w:color w:val="333333"/>
          <w:sz w:val="24"/>
        </w:rPr>
        <w:t>Ministerio</w:t>
      </w:r>
      <w:r>
        <w:rPr>
          <w:i/>
          <w:color w:val="333333"/>
          <w:spacing w:val="-3"/>
          <w:sz w:val="24"/>
        </w:rPr>
        <w:t xml:space="preserve"> </w:t>
      </w:r>
      <w:r>
        <w:rPr>
          <w:i/>
          <w:color w:val="333333"/>
          <w:sz w:val="24"/>
        </w:rPr>
        <w:t>de</w:t>
      </w:r>
      <w:r>
        <w:rPr>
          <w:i/>
          <w:color w:val="333333"/>
          <w:spacing w:val="-1"/>
          <w:sz w:val="24"/>
        </w:rPr>
        <w:t xml:space="preserve"> </w:t>
      </w:r>
      <w:r>
        <w:rPr>
          <w:i/>
          <w:color w:val="333333"/>
          <w:sz w:val="24"/>
        </w:rPr>
        <w:t>Agricultura</w:t>
      </w:r>
      <w:r>
        <w:rPr>
          <w:i/>
          <w:color w:val="333333"/>
          <w:spacing w:val="-3"/>
          <w:sz w:val="24"/>
        </w:rPr>
        <w:t xml:space="preserve"> </w:t>
      </w:r>
      <w:r>
        <w:rPr>
          <w:i/>
          <w:color w:val="333333"/>
          <w:sz w:val="24"/>
        </w:rPr>
        <w:t>y</w:t>
      </w:r>
      <w:r>
        <w:rPr>
          <w:i/>
          <w:color w:val="333333"/>
          <w:spacing w:val="-5"/>
          <w:sz w:val="24"/>
        </w:rPr>
        <w:t xml:space="preserve"> </w:t>
      </w:r>
      <w:r>
        <w:rPr>
          <w:i/>
          <w:color w:val="333333"/>
          <w:sz w:val="24"/>
        </w:rPr>
        <w:t>Desarrollo</w:t>
      </w:r>
      <w:r>
        <w:rPr>
          <w:i/>
          <w:color w:val="333333"/>
          <w:spacing w:val="-2"/>
          <w:sz w:val="24"/>
        </w:rPr>
        <w:t xml:space="preserve"> Rural.</w:t>
      </w:r>
    </w:p>
    <w:p w14:paraId="07F8828B" w14:textId="77777777" w:rsidR="000E52B0" w:rsidRDefault="00F60D74">
      <w:pPr>
        <w:pStyle w:val="Prrafodelista"/>
        <w:numPr>
          <w:ilvl w:val="0"/>
          <w:numId w:val="55"/>
        </w:numPr>
        <w:tabs>
          <w:tab w:val="left" w:pos="1120"/>
        </w:tabs>
        <w:spacing w:line="291" w:lineRule="exact"/>
        <w:ind w:left="1120"/>
        <w:rPr>
          <w:i/>
          <w:sz w:val="24"/>
        </w:rPr>
      </w:pPr>
      <w:r>
        <w:rPr>
          <w:i/>
          <w:color w:val="333333"/>
          <w:sz w:val="24"/>
        </w:rPr>
        <w:t>Ministerio</w:t>
      </w:r>
      <w:r>
        <w:rPr>
          <w:i/>
          <w:color w:val="333333"/>
          <w:spacing w:val="-2"/>
          <w:sz w:val="24"/>
        </w:rPr>
        <w:t xml:space="preserve"> </w:t>
      </w:r>
      <w:r>
        <w:rPr>
          <w:i/>
          <w:color w:val="333333"/>
          <w:sz w:val="24"/>
        </w:rPr>
        <w:t>de</w:t>
      </w:r>
      <w:r>
        <w:rPr>
          <w:i/>
          <w:color w:val="333333"/>
          <w:spacing w:val="1"/>
          <w:sz w:val="24"/>
        </w:rPr>
        <w:t xml:space="preserve"> </w:t>
      </w:r>
      <w:r>
        <w:rPr>
          <w:i/>
          <w:color w:val="333333"/>
          <w:sz w:val="24"/>
        </w:rPr>
        <w:t>Salud</w:t>
      </w:r>
      <w:r>
        <w:rPr>
          <w:i/>
          <w:color w:val="333333"/>
          <w:spacing w:val="-1"/>
          <w:sz w:val="24"/>
        </w:rPr>
        <w:t xml:space="preserve"> </w:t>
      </w:r>
      <w:r>
        <w:rPr>
          <w:i/>
          <w:color w:val="333333"/>
          <w:sz w:val="24"/>
        </w:rPr>
        <w:t>y</w:t>
      </w:r>
      <w:r>
        <w:rPr>
          <w:i/>
          <w:color w:val="333333"/>
          <w:spacing w:val="-3"/>
          <w:sz w:val="24"/>
        </w:rPr>
        <w:t xml:space="preserve"> </w:t>
      </w:r>
      <w:r>
        <w:rPr>
          <w:i/>
          <w:color w:val="333333"/>
          <w:sz w:val="24"/>
        </w:rPr>
        <w:t>Protección</w:t>
      </w:r>
      <w:r>
        <w:rPr>
          <w:i/>
          <w:color w:val="333333"/>
          <w:spacing w:val="-4"/>
          <w:sz w:val="24"/>
        </w:rPr>
        <w:t xml:space="preserve"> </w:t>
      </w:r>
      <w:r>
        <w:rPr>
          <w:i/>
          <w:color w:val="333333"/>
          <w:spacing w:val="-2"/>
          <w:sz w:val="24"/>
        </w:rPr>
        <w:t>Social.</w:t>
      </w:r>
    </w:p>
    <w:p w14:paraId="63B4B30F" w14:textId="77777777" w:rsidR="000E52B0" w:rsidRDefault="00F60D74">
      <w:pPr>
        <w:pStyle w:val="Prrafodelista"/>
        <w:numPr>
          <w:ilvl w:val="0"/>
          <w:numId w:val="55"/>
        </w:numPr>
        <w:tabs>
          <w:tab w:val="left" w:pos="1120"/>
        </w:tabs>
        <w:spacing w:before="3" w:line="291" w:lineRule="exact"/>
        <w:ind w:left="1120"/>
        <w:rPr>
          <w:i/>
          <w:sz w:val="24"/>
        </w:rPr>
      </w:pPr>
      <w:r>
        <w:rPr>
          <w:i/>
          <w:color w:val="333333"/>
          <w:sz w:val="24"/>
        </w:rPr>
        <w:t>Ministerio</w:t>
      </w:r>
      <w:r>
        <w:rPr>
          <w:i/>
          <w:color w:val="333333"/>
          <w:spacing w:val="-2"/>
          <w:sz w:val="24"/>
        </w:rPr>
        <w:t xml:space="preserve"> </w:t>
      </w:r>
      <w:r>
        <w:rPr>
          <w:i/>
          <w:color w:val="333333"/>
          <w:sz w:val="24"/>
        </w:rPr>
        <w:t xml:space="preserve">de </w:t>
      </w:r>
      <w:r>
        <w:rPr>
          <w:i/>
          <w:color w:val="333333"/>
          <w:spacing w:val="-2"/>
          <w:sz w:val="24"/>
        </w:rPr>
        <w:t>Trabajo.</w:t>
      </w:r>
    </w:p>
    <w:p w14:paraId="264638DE" w14:textId="77777777" w:rsidR="000E52B0" w:rsidRDefault="00F60D74">
      <w:pPr>
        <w:pStyle w:val="Prrafodelista"/>
        <w:numPr>
          <w:ilvl w:val="0"/>
          <w:numId w:val="55"/>
        </w:numPr>
        <w:tabs>
          <w:tab w:val="left" w:pos="1120"/>
        </w:tabs>
        <w:spacing w:line="290" w:lineRule="exact"/>
        <w:ind w:left="1120"/>
        <w:rPr>
          <w:i/>
          <w:sz w:val="24"/>
        </w:rPr>
      </w:pPr>
      <w:r>
        <w:rPr>
          <w:i/>
          <w:color w:val="333333"/>
          <w:sz w:val="24"/>
        </w:rPr>
        <w:t>Ministerio</w:t>
      </w:r>
      <w:r>
        <w:rPr>
          <w:i/>
          <w:color w:val="333333"/>
          <w:spacing w:val="-3"/>
          <w:sz w:val="24"/>
        </w:rPr>
        <w:t xml:space="preserve"> </w:t>
      </w:r>
      <w:r>
        <w:rPr>
          <w:i/>
          <w:color w:val="333333"/>
          <w:sz w:val="24"/>
        </w:rPr>
        <w:t>de Minas</w:t>
      </w:r>
      <w:r>
        <w:rPr>
          <w:i/>
          <w:color w:val="333333"/>
          <w:spacing w:val="-2"/>
          <w:sz w:val="24"/>
        </w:rPr>
        <w:t xml:space="preserve"> </w:t>
      </w:r>
      <w:r>
        <w:rPr>
          <w:i/>
          <w:color w:val="333333"/>
          <w:sz w:val="24"/>
        </w:rPr>
        <w:t>y</w:t>
      </w:r>
      <w:r>
        <w:rPr>
          <w:i/>
          <w:color w:val="333333"/>
          <w:spacing w:val="-4"/>
          <w:sz w:val="24"/>
        </w:rPr>
        <w:t xml:space="preserve"> </w:t>
      </w:r>
      <w:r>
        <w:rPr>
          <w:i/>
          <w:color w:val="333333"/>
          <w:spacing w:val="-2"/>
          <w:sz w:val="24"/>
        </w:rPr>
        <w:t>Energía.</w:t>
      </w:r>
    </w:p>
    <w:p w14:paraId="6F005E22" w14:textId="77777777" w:rsidR="000E52B0" w:rsidRDefault="00F60D74">
      <w:pPr>
        <w:pStyle w:val="Prrafodelista"/>
        <w:numPr>
          <w:ilvl w:val="0"/>
          <w:numId w:val="55"/>
        </w:numPr>
        <w:tabs>
          <w:tab w:val="left" w:pos="1119"/>
        </w:tabs>
        <w:spacing w:line="291" w:lineRule="exact"/>
        <w:ind w:left="1119" w:hanging="574"/>
        <w:rPr>
          <w:i/>
          <w:sz w:val="24"/>
        </w:rPr>
      </w:pPr>
      <w:r>
        <w:rPr>
          <w:i/>
          <w:color w:val="333333"/>
          <w:sz w:val="24"/>
        </w:rPr>
        <w:t>Ministerio</w:t>
      </w:r>
      <w:r>
        <w:rPr>
          <w:i/>
          <w:color w:val="333333"/>
          <w:spacing w:val="-3"/>
          <w:sz w:val="24"/>
        </w:rPr>
        <w:t xml:space="preserve"> </w:t>
      </w:r>
      <w:r>
        <w:rPr>
          <w:i/>
          <w:color w:val="333333"/>
          <w:sz w:val="24"/>
        </w:rPr>
        <w:t>de Comercio,</w:t>
      </w:r>
      <w:r>
        <w:rPr>
          <w:i/>
          <w:color w:val="333333"/>
          <w:spacing w:val="-1"/>
          <w:sz w:val="24"/>
        </w:rPr>
        <w:t xml:space="preserve"> </w:t>
      </w:r>
      <w:r>
        <w:rPr>
          <w:i/>
          <w:color w:val="333333"/>
          <w:sz w:val="24"/>
        </w:rPr>
        <w:t>Industria</w:t>
      </w:r>
      <w:r>
        <w:rPr>
          <w:i/>
          <w:color w:val="333333"/>
          <w:spacing w:val="-2"/>
          <w:sz w:val="24"/>
        </w:rPr>
        <w:t xml:space="preserve"> </w:t>
      </w:r>
      <w:r>
        <w:rPr>
          <w:i/>
          <w:color w:val="333333"/>
          <w:sz w:val="24"/>
        </w:rPr>
        <w:t>y</w:t>
      </w:r>
      <w:r>
        <w:rPr>
          <w:i/>
          <w:color w:val="333333"/>
          <w:spacing w:val="-4"/>
          <w:sz w:val="24"/>
        </w:rPr>
        <w:t xml:space="preserve"> </w:t>
      </w:r>
      <w:r>
        <w:rPr>
          <w:i/>
          <w:color w:val="333333"/>
          <w:spacing w:val="-2"/>
          <w:sz w:val="24"/>
        </w:rPr>
        <w:t>Turismo.</w:t>
      </w:r>
    </w:p>
    <w:p w14:paraId="7C28351C" w14:textId="77777777" w:rsidR="000E52B0" w:rsidRDefault="00F60D74">
      <w:pPr>
        <w:pStyle w:val="Prrafodelista"/>
        <w:numPr>
          <w:ilvl w:val="0"/>
          <w:numId w:val="55"/>
        </w:numPr>
        <w:tabs>
          <w:tab w:val="left" w:pos="1119"/>
        </w:tabs>
        <w:spacing w:before="3" w:line="291" w:lineRule="exact"/>
        <w:ind w:left="1119" w:hanging="574"/>
        <w:rPr>
          <w:i/>
          <w:sz w:val="24"/>
        </w:rPr>
      </w:pPr>
      <w:r>
        <w:rPr>
          <w:i/>
          <w:color w:val="333333"/>
          <w:sz w:val="24"/>
        </w:rPr>
        <w:t>Ministerio</w:t>
      </w:r>
      <w:r>
        <w:rPr>
          <w:i/>
          <w:color w:val="333333"/>
          <w:spacing w:val="-4"/>
          <w:sz w:val="24"/>
        </w:rPr>
        <w:t xml:space="preserve"> </w:t>
      </w:r>
      <w:r>
        <w:rPr>
          <w:i/>
          <w:color w:val="333333"/>
          <w:sz w:val="24"/>
        </w:rPr>
        <w:t>de</w:t>
      </w:r>
      <w:r>
        <w:rPr>
          <w:i/>
          <w:color w:val="333333"/>
          <w:spacing w:val="-1"/>
          <w:sz w:val="24"/>
        </w:rPr>
        <w:t xml:space="preserve"> </w:t>
      </w:r>
      <w:r>
        <w:rPr>
          <w:i/>
          <w:color w:val="333333"/>
          <w:sz w:val="24"/>
        </w:rPr>
        <w:t>Educación</w:t>
      </w:r>
      <w:r>
        <w:rPr>
          <w:i/>
          <w:color w:val="333333"/>
          <w:spacing w:val="-4"/>
          <w:sz w:val="24"/>
        </w:rPr>
        <w:t xml:space="preserve"> </w:t>
      </w:r>
      <w:r>
        <w:rPr>
          <w:i/>
          <w:color w:val="333333"/>
          <w:spacing w:val="-2"/>
          <w:sz w:val="24"/>
        </w:rPr>
        <w:t>Nacional.</w:t>
      </w:r>
    </w:p>
    <w:p w14:paraId="2D8A6FA1" w14:textId="77777777" w:rsidR="000E52B0" w:rsidRDefault="00F60D74">
      <w:pPr>
        <w:pStyle w:val="Prrafodelista"/>
        <w:numPr>
          <w:ilvl w:val="0"/>
          <w:numId w:val="55"/>
        </w:numPr>
        <w:tabs>
          <w:tab w:val="left" w:pos="1119"/>
        </w:tabs>
        <w:spacing w:line="290" w:lineRule="exact"/>
        <w:ind w:left="1119" w:hanging="574"/>
        <w:rPr>
          <w:i/>
          <w:sz w:val="24"/>
        </w:rPr>
      </w:pPr>
      <w:r>
        <w:rPr>
          <w:i/>
          <w:color w:val="333333"/>
          <w:sz w:val="24"/>
        </w:rPr>
        <w:t>Ministerio</w:t>
      </w:r>
      <w:r>
        <w:rPr>
          <w:i/>
          <w:color w:val="333333"/>
          <w:spacing w:val="-5"/>
          <w:sz w:val="24"/>
        </w:rPr>
        <w:t xml:space="preserve"> </w:t>
      </w:r>
      <w:r>
        <w:rPr>
          <w:i/>
          <w:color w:val="333333"/>
          <w:sz w:val="24"/>
        </w:rPr>
        <w:t>de Ambiente y</w:t>
      </w:r>
      <w:r>
        <w:rPr>
          <w:i/>
          <w:color w:val="333333"/>
          <w:spacing w:val="-4"/>
          <w:sz w:val="24"/>
        </w:rPr>
        <w:t xml:space="preserve"> </w:t>
      </w:r>
      <w:r>
        <w:rPr>
          <w:i/>
          <w:color w:val="333333"/>
          <w:sz w:val="24"/>
        </w:rPr>
        <w:t>Desarrollo</w:t>
      </w:r>
      <w:r>
        <w:rPr>
          <w:i/>
          <w:color w:val="333333"/>
          <w:spacing w:val="-2"/>
          <w:sz w:val="24"/>
        </w:rPr>
        <w:t xml:space="preserve"> Sostenible.</w:t>
      </w:r>
    </w:p>
    <w:p w14:paraId="32E94217" w14:textId="77777777" w:rsidR="000E52B0" w:rsidRDefault="00F60D74">
      <w:pPr>
        <w:pStyle w:val="Prrafodelista"/>
        <w:numPr>
          <w:ilvl w:val="0"/>
          <w:numId w:val="55"/>
        </w:numPr>
        <w:tabs>
          <w:tab w:val="left" w:pos="1119"/>
        </w:tabs>
        <w:spacing w:line="291" w:lineRule="exact"/>
        <w:ind w:left="1119" w:hanging="574"/>
        <w:rPr>
          <w:i/>
          <w:sz w:val="24"/>
        </w:rPr>
      </w:pPr>
      <w:r>
        <w:rPr>
          <w:i/>
          <w:color w:val="333333"/>
          <w:sz w:val="24"/>
        </w:rPr>
        <w:t>Ministerio</w:t>
      </w:r>
      <w:r>
        <w:rPr>
          <w:i/>
          <w:color w:val="333333"/>
          <w:spacing w:val="-2"/>
          <w:sz w:val="24"/>
        </w:rPr>
        <w:t xml:space="preserve"> </w:t>
      </w:r>
      <w:r>
        <w:rPr>
          <w:i/>
          <w:color w:val="333333"/>
          <w:sz w:val="24"/>
        </w:rPr>
        <w:t>de</w:t>
      </w:r>
      <w:r>
        <w:rPr>
          <w:i/>
          <w:color w:val="333333"/>
          <w:spacing w:val="1"/>
          <w:sz w:val="24"/>
        </w:rPr>
        <w:t xml:space="preserve"> </w:t>
      </w:r>
      <w:r>
        <w:rPr>
          <w:i/>
          <w:color w:val="333333"/>
          <w:sz w:val="24"/>
        </w:rPr>
        <w:t>Vivienda, Ciudad</w:t>
      </w:r>
      <w:r>
        <w:rPr>
          <w:i/>
          <w:color w:val="333333"/>
          <w:spacing w:val="-1"/>
          <w:sz w:val="24"/>
        </w:rPr>
        <w:t xml:space="preserve"> </w:t>
      </w:r>
      <w:r>
        <w:rPr>
          <w:i/>
          <w:color w:val="333333"/>
          <w:sz w:val="24"/>
        </w:rPr>
        <w:t>y</w:t>
      </w:r>
      <w:r>
        <w:rPr>
          <w:i/>
          <w:color w:val="333333"/>
          <w:spacing w:val="-3"/>
          <w:sz w:val="24"/>
        </w:rPr>
        <w:t xml:space="preserve"> </w:t>
      </w:r>
      <w:r>
        <w:rPr>
          <w:i/>
          <w:color w:val="333333"/>
          <w:spacing w:val="-2"/>
          <w:sz w:val="24"/>
        </w:rPr>
        <w:t>Territorio.</w:t>
      </w:r>
    </w:p>
    <w:p w14:paraId="39993496" w14:textId="77777777" w:rsidR="000E52B0" w:rsidRDefault="00F60D74">
      <w:pPr>
        <w:pStyle w:val="Prrafodelista"/>
        <w:numPr>
          <w:ilvl w:val="0"/>
          <w:numId w:val="55"/>
        </w:numPr>
        <w:tabs>
          <w:tab w:val="left" w:pos="1119"/>
        </w:tabs>
        <w:spacing w:before="4" w:line="291" w:lineRule="exact"/>
        <w:ind w:left="1119" w:hanging="574"/>
        <w:rPr>
          <w:i/>
          <w:sz w:val="24"/>
        </w:rPr>
      </w:pPr>
      <w:r>
        <w:rPr>
          <w:i/>
          <w:color w:val="333333"/>
          <w:sz w:val="24"/>
        </w:rPr>
        <w:t>Ministerio</w:t>
      </w:r>
      <w:r>
        <w:rPr>
          <w:i/>
          <w:color w:val="333333"/>
          <w:spacing w:val="-19"/>
          <w:sz w:val="24"/>
        </w:rPr>
        <w:t xml:space="preserve"> </w:t>
      </w:r>
      <w:r>
        <w:rPr>
          <w:i/>
          <w:color w:val="333333"/>
          <w:sz w:val="24"/>
        </w:rPr>
        <w:t>de</w:t>
      </w:r>
      <w:r>
        <w:rPr>
          <w:i/>
          <w:color w:val="333333"/>
          <w:spacing w:val="-14"/>
          <w:sz w:val="24"/>
        </w:rPr>
        <w:t xml:space="preserve"> </w:t>
      </w:r>
      <w:r>
        <w:rPr>
          <w:i/>
          <w:color w:val="333333"/>
          <w:sz w:val="24"/>
        </w:rPr>
        <w:t>Tecnologías</w:t>
      </w:r>
      <w:r>
        <w:rPr>
          <w:i/>
          <w:color w:val="333333"/>
          <w:spacing w:val="-17"/>
          <w:sz w:val="24"/>
        </w:rPr>
        <w:t xml:space="preserve"> </w:t>
      </w:r>
      <w:r>
        <w:rPr>
          <w:i/>
          <w:color w:val="333333"/>
          <w:sz w:val="24"/>
        </w:rPr>
        <w:t>de</w:t>
      </w:r>
      <w:r>
        <w:rPr>
          <w:i/>
          <w:color w:val="333333"/>
          <w:spacing w:val="-14"/>
          <w:sz w:val="24"/>
        </w:rPr>
        <w:t xml:space="preserve"> </w:t>
      </w:r>
      <w:r>
        <w:rPr>
          <w:i/>
          <w:color w:val="333333"/>
          <w:sz w:val="24"/>
        </w:rPr>
        <w:t>la</w:t>
      </w:r>
      <w:r>
        <w:rPr>
          <w:i/>
          <w:color w:val="333333"/>
          <w:spacing w:val="-15"/>
          <w:sz w:val="24"/>
        </w:rPr>
        <w:t xml:space="preserve"> </w:t>
      </w:r>
      <w:r>
        <w:rPr>
          <w:i/>
          <w:color w:val="333333"/>
          <w:sz w:val="24"/>
        </w:rPr>
        <w:t>Información</w:t>
      </w:r>
      <w:r>
        <w:rPr>
          <w:i/>
          <w:color w:val="333333"/>
          <w:spacing w:val="-19"/>
          <w:sz w:val="24"/>
        </w:rPr>
        <w:t xml:space="preserve"> </w:t>
      </w:r>
      <w:r>
        <w:rPr>
          <w:i/>
          <w:color w:val="333333"/>
          <w:sz w:val="24"/>
        </w:rPr>
        <w:t>y</w:t>
      </w:r>
      <w:r>
        <w:rPr>
          <w:i/>
          <w:color w:val="333333"/>
          <w:spacing w:val="-18"/>
          <w:sz w:val="24"/>
        </w:rPr>
        <w:t xml:space="preserve"> </w:t>
      </w:r>
      <w:r>
        <w:rPr>
          <w:i/>
          <w:color w:val="333333"/>
          <w:sz w:val="24"/>
        </w:rPr>
        <w:t>las</w:t>
      </w:r>
      <w:r>
        <w:rPr>
          <w:i/>
          <w:color w:val="333333"/>
          <w:spacing w:val="-16"/>
          <w:sz w:val="24"/>
        </w:rPr>
        <w:t xml:space="preserve"> </w:t>
      </w:r>
      <w:r>
        <w:rPr>
          <w:i/>
          <w:color w:val="333333"/>
          <w:spacing w:val="-2"/>
          <w:sz w:val="24"/>
        </w:rPr>
        <w:t>Comunicaciones.</w:t>
      </w:r>
    </w:p>
    <w:p w14:paraId="45833C3A" w14:textId="77777777" w:rsidR="000E52B0" w:rsidRDefault="00F60D74">
      <w:pPr>
        <w:pStyle w:val="Prrafodelista"/>
        <w:numPr>
          <w:ilvl w:val="0"/>
          <w:numId w:val="55"/>
        </w:numPr>
        <w:tabs>
          <w:tab w:val="left" w:pos="1119"/>
        </w:tabs>
        <w:spacing w:line="291" w:lineRule="exact"/>
        <w:ind w:left="1119" w:hanging="574"/>
        <w:rPr>
          <w:i/>
          <w:sz w:val="24"/>
        </w:rPr>
      </w:pPr>
      <w:r>
        <w:rPr>
          <w:i/>
          <w:color w:val="333333"/>
          <w:sz w:val="24"/>
        </w:rPr>
        <w:t>Ministerio</w:t>
      </w:r>
      <w:r>
        <w:rPr>
          <w:i/>
          <w:color w:val="333333"/>
          <w:spacing w:val="-2"/>
          <w:sz w:val="24"/>
        </w:rPr>
        <w:t xml:space="preserve"> </w:t>
      </w:r>
      <w:r>
        <w:rPr>
          <w:i/>
          <w:color w:val="333333"/>
          <w:sz w:val="24"/>
        </w:rPr>
        <w:t xml:space="preserve">de </w:t>
      </w:r>
      <w:r>
        <w:rPr>
          <w:i/>
          <w:color w:val="333333"/>
          <w:spacing w:val="-2"/>
          <w:sz w:val="24"/>
        </w:rPr>
        <w:t>Transporte.</w:t>
      </w:r>
    </w:p>
    <w:p w14:paraId="56AA5FD3" w14:textId="77777777" w:rsidR="000E52B0" w:rsidRDefault="00F60D74">
      <w:pPr>
        <w:pStyle w:val="Prrafodelista"/>
        <w:numPr>
          <w:ilvl w:val="0"/>
          <w:numId w:val="55"/>
        </w:numPr>
        <w:tabs>
          <w:tab w:val="left" w:pos="1119"/>
        </w:tabs>
        <w:spacing w:before="3" w:line="291" w:lineRule="exact"/>
        <w:ind w:left="1119" w:hanging="574"/>
        <w:rPr>
          <w:i/>
          <w:sz w:val="24"/>
        </w:rPr>
      </w:pPr>
      <w:r>
        <w:rPr>
          <w:i/>
          <w:color w:val="333333"/>
          <w:sz w:val="24"/>
        </w:rPr>
        <w:t>Ministerio</w:t>
      </w:r>
      <w:r>
        <w:rPr>
          <w:i/>
          <w:color w:val="333333"/>
          <w:spacing w:val="-2"/>
          <w:sz w:val="24"/>
        </w:rPr>
        <w:t xml:space="preserve"> </w:t>
      </w:r>
      <w:r>
        <w:rPr>
          <w:i/>
          <w:color w:val="333333"/>
          <w:sz w:val="24"/>
        </w:rPr>
        <w:t xml:space="preserve">de </w:t>
      </w:r>
      <w:r>
        <w:rPr>
          <w:i/>
          <w:color w:val="333333"/>
          <w:spacing w:val="-2"/>
          <w:sz w:val="24"/>
        </w:rPr>
        <w:t>Cultura.</w:t>
      </w:r>
    </w:p>
    <w:p w14:paraId="612B0AED" w14:textId="77777777" w:rsidR="000E52B0" w:rsidRDefault="00F60D74">
      <w:pPr>
        <w:pStyle w:val="Prrafodelista"/>
        <w:numPr>
          <w:ilvl w:val="0"/>
          <w:numId w:val="55"/>
        </w:numPr>
        <w:tabs>
          <w:tab w:val="left" w:pos="1119"/>
        </w:tabs>
        <w:spacing w:line="290" w:lineRule="exact"/>
        <w:ind w:left="1119" w:hanging="574"/>
        <w:rPr>
          <w:i/>
          <w:sz w:val="24"/>
        </w:rPr>
      </w:pPr>
      <w:r>
        <w:rPr>
          <w:i/>
          <w:color w:val="333333"/>
          <w:sz w:val="24"/>
        </w:rPr>
        <w:t>Ministerio</w:t>
      </w:r>
      <w:r>
        <w:rPr>
          <w:i/>
          <w:color w:val="333333"/>
          <w:spacing w:val="-1"/>
          <w:sz w:val="24"/>
        </w:rPr>
        <w:t xml:space="preserve"> </w:t>
      </w:r>
      <w:r>
        <w:rPr>
          <w:i/>
          <w:color w:val="333333"/>
          <w:sz w:val="24"/>
        </w:rPr>
        <w:t>del</w:t>
      </w:r>
      <w:r>
        <w:rPr>
          <w:i/>
          <w:color w:val="333333"/>
          <w:spacing w:val="-2"/>
          <w:sz w:val="24"/>
        </w:rPr>
        <w:t xml:space="preserve"> Deporte.</w:t>
      </w:r>
    </w:p>
    <w:p w14:paraId="4B4F07CE" w14:textId="77777777" w:rsidR="000E52B0" w:rsidRDefault="00F60D74">
      <w:pPr>
        <w:pStyle w:val="Prrafodelista"/>
        <w:numPr>
          <w:ilvl w:val="0"/>
          <w:numId w:val="55"/>
        </w:numPr>
        <w:tabs>
          <w:tab w:val="left" w:pos="1119"/>
        </w:tabs>
        <w:spacing w:line="291" w:lineRule="exact"/>
        <w:ind w:left="1119" w:hanging="574"/>
        <w:rPr>
          <w:i/>
          <w:sz w:val="24"/>
        </w:rPr>
      </w:pPr>
      <w:r>
        <w:rPr>
          <w:i/>
          <w:color w:val="333333"/>
          <w:sz w:val="24"/>
        </w:rPr>
        <w:t>Ministerio</w:t>
      </w:r>
      <w:r>
        <w:rPr>
          <w:i/>
          <w:color w:val="333333"/>
          <w:spacing w:val="-4"/>
          <w:sz w:val="24"/>
        </w:rPr>
        <w:t xml:space="preserve"> </w:t>
      </w:r>
      <w:r>
        <w:rPr>
          <w:i/>
          <w:color w:val="333333"/>
          <w:sz w:val="24"/>
        </w:rPr>
        <w:t>de Ciencia,</w:t>
      </w:r>
      <w:r>
        <w:rPr>
          <w:i/>
          <w:color w:val="333333"/>
          <w:spacing w:val="-4"/>
          <w:sz w:val="24"/>
        </w:rPr>
        <w:t xml:space="preserve"> </w:t>
      </w:r>
      <w:r>
        <w:rPr>
          <w:i/>
          <w:color w:val="333333"/>
          <w:sz w:val="24"/>
        </w:rPr>
        <w:t>Tecnología</w:t>
      </w:r>
      <w:r>
        <w:rPr>
          <w:i/>
          <w:color w:val="333333"/>
          <w:spacing w:val="-2"/>
          <w:sz w:val="24"/>
        </w:rPr>
        <w:t xml:space="preserve"> </w:t>
      </w:r>
      <w:r>
        <w:rPr>
          <w:i/>
          <w:color w:val="333333"/>
          <w:sz w:val="24"/>
        </w:rPr>
        <w:t>e</w:t>
      </w:r>
      <w:r>
        <w:rPr>
          <w:i/>
          <w:color w:val="333333"/>
          <w:spacing w:val="1"/>
          <w:sz w:val="24"/>
        </w:rPr>
        <w:t xml:space="preserve"> </w:t>
      </w:r>
      <w:r>
        <w:rPr>
          <w:i/>
          <w:color w:val="333333"/>
          <w:spacing w:val="-2"/>
          <w:sz w:val="24"/>
        </w:rPr>
        <w:t>Innovación.</w:t>
      </w:r>
    </w:p>
    <w:p w14:paraId="31EB3E48" w14:textId="77777777" w:rsidR="000E52B0" w:rsidRDefault="00F60D74">
      <w:pPr>
        <w:pStyle w:val="Prrafodelista"/>
        <w:numPr>
          <w:ilvl w:val="0"/>
          <w:numId w:val="55"/>
        </w:numPr>
        <w:tabs>
          <w:tab w:val="left" w:pos="1119"/>
        </w:tabs>
        <w:spacing w:before="3"/>
        <w:ind w:left="1119" w:hanging="574"/>
        <w:rPr>
          <w:i/>
          <w:sz w:val="24"/>
        </w:rPr>
      </w:pPr>
      <w:r>
        <w:rPr>
          <w:i/>
          <w:color w:val="333333"/>
          <w:sz w:val="24"/>
        </w:rPr>
        <w:t>Ministerio</w:t>
      </w:r>
      <w:r>
        <w:rPr>
          <w:i/>
          <w:color w:val="333333"/>
          <w:spacing w:val="-2"/>
          <w:sz w:val="24"/>
        </w:rPr>
        <w:t xml:space="preserve"> </w:t>
      </w:r>
      <w:r>
        <w:rPr>
          <w:i/>
          <w:color w:val="333333"/>
          <w:sz w:val="24"/>
        </w:rPr>
        <w:t>de Igualdad</w:t>
      </w:r>
      <w:r>
        <w:rPr>
          <w:i/>
          <w:color w:val="333333"/>
          <w:spacing w:val="-1"/>
          <w:sz w:val="24"/>
        </w:rPr>
        <w:t xml:space="preserve"> </w:t>
      </w:r>
      <w:r>
        <w:rPr>
          <w:i/>
          <w:color w:val="333333"/>
          <w:sz w:val="24"/>
        </w:rPr>
        <w:t>y</w:t>
      </w:r>
      <w:r>
        <w:rPr>
          <w:i/>
          <w:color w:val="333333"/>
          <w:spacing w:val="-3"/>
          <w:sz w:val="24"/>
        </w:rPr>
        <w:t xml:space="preserve"> </w:t>
      </w:r>
      <w:r>
        <w:rPr>
          <w:i/>
          <w:color w:val="333333"/>
          <w:spacing w:val="-2"/>
          <w:sz w:val="24"/>
        </w:rPr>
        <w:t>Equidad.</w:t>
      </w:r>
    </w:p>
    <w:p w14:paraId="28C11ED5" w14:textId="77777777" w:rsidR="000E52B0" w:rsidRDefault="000E52B0">
      <w:pPr>
        <w:pStyle w:val="Prrafodelista"/>
        <w:rPr>
          <w:i/>
          <w:sz w:val="24"/>
        </w:rPr>
        <w:sectPr w:rsidR="000E52B0">
          <w:pgSz w:w="12240" w:h="15840"/>
          <w:pgMar w:top="1620" w:right="1440" w:bottom="1280" w:left="1440" w:header="0" w:footer="1092" w:gutter="0"/>
          <w:cols w:space="720"/>
        </w:sectPr>
      </w:pPr>
    </w:p>
    <w:p w14:paraId="13C8A095" w14:textId="77777777" w:rsidR="000E52B0" w:rsidRDefault="00F60D74">
      <w:pPr>
        <w:spacing w:before="74" w:line="242" w:lineRule="auto"/>
        <w:ind w:left="260" w:right="263"/>
        <w:jc w:val="both"/>
        <w:rPr>
          <w:b/>
          <w:sz w:val="24"/>
        </w:rPr>
      </w:pPr>
      <w:r>
        <w:rPr>
          <w:b/>
          <w:color w:val="333333"/>
          <w:sz w:val="24"/>
        </w:rPr>
        <w:lastRenderedPageBreak/>
        <w:t>ARTÍCULO 15. NO SOLUCIÓN DE CONTINUIDAD EN LA EXISTENCIA</w:t>
      </w:r>
      <w:r>
        <w:rPr>
          <w:b/>
          <w:color w:val="333333"/>
          <w:spacing w:val="50"/>
          <w:w w:val="150"/>
          <w:sz w:val="24"/>
        </w:rPr>
        <w:t xml:space="preserve"> </w:t>
      </w:r>
      <w:r>
        <w:rPr>
          <w:b/>
          <w:color w:val="333333"/>
          <w:sz w:val="24"/>
        </w:rPr>
        <w:t>DE</w:t>
      </w:r>
      <w:r>
        <w:rPr>
          <w:b/>
          <w:color w:val="333333"/>
          <w:spacing w:val="52"/>
          <w:w w:val="150"/>
          <w:sz w:val="24"/>
        </w:rPr>
        <w:t xml:space="preserve"> </w:t>
      </w:r>
      <w:r>
        <w:rPr>
          <w:b/>
          <w:color w:val="333333"/>
          <w:sz w:val="24"/>
        </w:rPr>
        <w:t>LA</w:t>
      </w:r>
      <w:r>
        <w:rPr>
          <w:b/>
          <w:color w:val="333333"/>
          <w:spacing w:val="51"/>
          <w:w w:val="150"/>
          <w:sz w:val="24"/>
        </w:rPr>
        <w:t xml:space="preserve"> </w:t>
      </w:r>
      <w:r>
        <w:rPr>
          <w:b/>
          <w:color w:val="333333"/>
          <w:sz w:val="24"/>
        </w:rPr>
        <w:t>PERSONA</w:t>
      </w:r>
      <w:r>
        <w:rPr>
          <w:b/>
          <w:color w:val="333333"/>
          <w:spacing w:val="50"/>
          <w:w w:val="150"/>
          <w:sz w:val="24"/>
        </w:rPr>
        <w:t xml:space="preserve"> </w:t>
      </w:r>
      <w:r>
        <w:rPr>
          <w:b/>
          <w:color w:val="333333"/>
          <w:sz w:val="24"/>
        </w:rPr>
        <w:t>JURÍDICA</w:t>
      </w:r>
      <w:r>
        <w:rPr>
          <w:b/>
          <w:color w:val="333333"/>
          <w:spacing w:val="51"/>
          <w:w w:val="150"/>
          <w:sz w:val="24"/>
        </w:rPr>
        <w:t xml:space="preserve"> </w:t>
      </w:r>
      <w:r>
        <w:rPr>
          <w:b/>
          <w:color w:val="333333"/>
          <w:sz w:val="24"/>
        </w:rPr>
        <w:t>DEL</w:t>
      </w:r>
      <w:r>
        <w:rPr>
          <w:b/>
          <w:color w:val="333333"/>
          <w:spacing w:val="53"/>
          <w:w w:val="150"/>
          <w:sz w:val="24"/>
        </w:rPr>
        <w:t xml:space="preserve"> </w:t>
      </w:r>
      <w:r>
        <w:rPr>
          <w:b/>
          <w:color w:val="333333"/>
          <w:sz w:val="24"/>
        </w:rPr>
        <w:t>MINISTERIO</w:t>
      </w:r>
      <w:r>
        <w:rPr>
          <w:b/>
          <w:color w:val="333333"/>
          <w:spacing w:val="52"/>
          <w:w w:val="150"/>
          <w:sz w:val="24"/>
        </w:rPr>
        <w:t xml:space="preserve"> </w:t>
      </w:r>
      <w:r>
        <w:rPr>
          <w:b/>
          <w:color w:val="333333"/>
          <w:spacing w:val="-5"/>
          <w:sz w:val="24"/>
        </w:rPr>
        <w:t>DE</w:t>
      </w:r>
    </w:p>
    <w:p w14:paraId="12C52762" w14:textId="77777777" w:rsidR="000E52B0" w:rsidRDefault="00F60D74">
      <w:pPr>
        <w:pStyle w:val="Textoindependiente"/>
        <w:ind w:left="260" w:right="248"/>
        <w:jc w:val="both"/>
      </w:pPr>
      <w:r>
        <w:rPr>
          <w:b/>
          <w:color w:val="333333"/>
        </w:rPr>
        <w:t>IGUALDAD</w:t>
      </w:r>
      <w:r>
        <w:rPr>
          <w:b/>
          <w:color w:val="333333"/>
          <w:spacing w:val="-4"/>
        </w:rPr>
        <w:t xml:space="preserve"> </w:t>
      </w:r>
      <w:r>
        <w:rPr>
          <w:b/>
          <w:color w:val="333333"/>
        </w:rPr>
        <w:t>Y</w:t>
      </w:r>
      <w:r>
        <w:rPr>
          <w:b/>
          <w:color w:val="333333"/>
          <w:spacing w:val="-6"/>
        </w:rPr>
        <w:t xml:space="preserve"> </w:t>
      </w:r>
      <w:r>
        <w:rPr>
          <w:b/>
          <w:color w:val="333333"/>
        </w:rPr>
        <w:t>EQUIDAD.</w:t>
      </w:r>
      <w:r>
        <w:rPr>
          <w:b/>
          <w:color w:val="333333"/>
          <w:spacing w:val="-2"/>
        </w:rPr>
        <w:t xml:space="preserve"> </w:t>
      </w:r>
      <w:r>
        <w:rPr>
          <w:color w:val="333333"/>
        </w:rPr>
        <w:t>Con</w:t>
      </w:r>
      <w:r>
        <w:rPr>
          <w:color w:val="333333"/>
          <w:spacing w:val="-5"/>
        </w:rPr>
        <w:t xml:space="preserve"> </w:t>
      </w:r>
      <w:r>
        <w:rPr>
          <w:color w:val="333333"/>
        </w:rPr>
        <w:t>la</w:t>
      </w:r>
      <w:r>
        <w:rPr>
          <w:color w:val="333333"/>
          <w:spacing w:val="-3"/>
        </w:rPr>
        <w:t xml:space="preserve"> </w:t>
      </w:r>
      <w:proofErr w:type="gramStart"/>
      <w:r>
        <w:rPr>
          <w:color w:val="333333"/>
        </w:rPr>
        <w:t>entrada</w:t>
      </w:r>
      <w:r>
        <w:rPr>
          <w:color w:val="333333"/>
          <w:spacing w:val="-11"/>
        </w:rPr>
        <w:t xml:space="preserve"> </w:t>
      </w:r>
      <w:r>
        <w:rPr>
          <w:color w:val="333333"/>
        </w:rPr>
        <w:t>en</w:t>
      </w:r>
      <w:r>
        <w:rPr>
          <w:color w:val="333333"/>
          <w:spacing w:val="-4"/>
        </w:rPr>
        <w:t xml:space="preserve"> </w:t>
      </w:r>
      <w:r>
        <w:rPr>
          <w:color w:val="333333"/>
        </w:rPr>
        <w:t>vigencia</w:t>
      </w:r>
      <w:proofErr w:type="gramEnd"/>
      <w:r>
        <w:rPr>
          <w:color w:val="333333"/>
          <w:spacing w:val="-3"/>
        </w:rPr>
        <w:t xml:space="preserve"> </w:t>
      </w:r>
      <w:r>
        <w:rPr>
          <w:color w:val="333333"/>
        </w:rPr>
        <w:t>de</w:t>
      </w:r>
      <w:r>
        <w:rPr>
          <w:color w:val="333333"/>
          <w:spacing w:val="-1"/>
        </w:rPr>
        <w:t xml:space="preserve"> </w:t>
      </w:r>
      <w:r>
        <w:rPr>
          <w:color w:val="333333"/>
        </w:rPr>
        <w:t>la</w:t>
      </w:r>
      <w:r>
        <w:rPr>
          <w:color w:val="333333"/>
          <w:spacing w:val="-6"/>
        </w:rPr>
        <w:t xml:space="preserve"> </w:t>
      </w:r>
      <w:r>
        <w:rPr>
          <w:color w:val="333333"/>
        </w:rPr>
        <w:t>presente</w:t>
      </w:r>
      <w:r>
        <w:rPr>
          <w:color w:val="333333"/>
          <w:spacing w:val="-3"/>
        </w:rPr>
        <w:t xml:space="preserve"> </w:t>
      </w:r>
      <w:r>
        <w:rPr>
          <w:color w:val="333333"/>
        </w:rPr>
        <w:t>Ley, se producirá la no solución de continuidad de la existencia de la persona jurídica del Ministerio de Igualdad y Equidad, creado con ocasión de la Ley 2281 de 2023. En consecuencia, todas las obligaciones y acreencias contractuales o de cualquier otra índole que hubiera adquirido el Ministerio de Igualdad y Equidad, en vigencia de la Ley 2281, se entenderán asumidas en su totalidad por el Ministerio de Igualdad y Equidad que crea la presente Ley.</w:t>
      </w:r>
    </w:p>
    <w:p w14:paraId="3084975F" w14:textId="77777777" w:rsidR="000E52B0" w:rsidRDefault="00F60D74">
      <w:pPr>
        <w:pStyle w:val="Textoindependiente"/>
        <w:spacing w:before="288"/>
        <w:ind w:left="260" w:right="255"/>
        <w:jc w:val="both"/>
      </w:pPr>
      <w:r>
        <w:rPr>
          <w:color w:val="333333"/>
        </w:rPr>
        <w:t>En</w:t>
      </w:r>
      <w:r>
        <w:rPr>
          <w:color w:val="333333"/>
          <w:spacing w:val="-1"/>
        </w:rPr>
        <w:t xml:space="preserve"> </w:t>
      </w:r>
      <w:r>
        <w:rPr>
          <w:color w:val="333333"/>
        </w:rPr>
        <w:t>el mismo sentido, y</w:t>
      </w:r>
      <w:r>
        <w:rPr>
          <w:color w:val="333333"/>
          <w:spacing w:val="-1"/>
        </w:rPr>
        <w:t xml:space="preserve"> </w:t>
      </w:r>
      <w:r>
        <w:rPr>
          <w:color w:val="333333"/>
        </w:rPr>
        <w:t>sin</w:t>
      </w:r>
      <w:r>
        <w:rPr>
          <w:color w:val="333333"/>
          <w:spacing w:val="-1"/>
        </w:rPr>
        <w:t xml:space="preserve"> </w:t>
      </w:r>
      <w:r>
        <w:rPr>
          <w:color w:val="333333"/>
        </w:rPr>
        <w:t>perjuicio del control</w:t>
      </w:r>
      <w:r>
        <w:rPr>
          <w:color w:val="333333"/>
          <w:spacing w:val="-1"/>
        </w:rPr>
        <w:t xml:space="preserve"> </w:t>
      </w:r>
      <w:r>
        <w:rPr>
          <w:color w:val="333333"/>
        </w:rPr>
        <w:t>de</w:t>
      </w:r>
      <w:r>
        <w:rPr>
          <w:color w:val="333333"/>
          <w:spacing w:val="-2"/>
        </w:rPr>
        <w:t xml:space="preserve"> </w:t>
      </w:r>
      <w:r>
        <w:rPr>
          <w:color w:val="333333"/>
        </w:rPr>
        <w:t>jurisdiccionalidad y</w:t>
      </w:r>
      <w:r>
        <w:rPr>
          <w:color w:val="333333"/>
          <w:spacing w:val="-1"/>
        </w:rPr>
        <w:t xml:space="preserve"> </w:t>
      </w:r>
      <w:r>
        <w:rPr>
          <w:color w:val="333333"/>
        </w:rPr>
        <w:t>de los medios de control propios de cada acto administrativo, las reglamentaciones</w:t>
      </w:r>
      <w:r>
        <w:rPr>
          <w:color w:val="333333"/>
          <w:spacing w:val="-3"/>
        </w:rPr>
        <w:t xml:space="preserve"> </w:t>
      </w:r>
      <w:r>
        <w:rPr>
          <w:color w:val="333333"/>
        </w:rPr>
        <w:t>que</w:t>
      </w:r>
      <w:r>
        <w:rPr>
          <w:color w:val="333333"/>
          <w:spacing w:val="-2"/>
        </w:rPr>
        <w:t xml:space="preserve"> </w:t>
      </w:r>
      <w:r>
        <w:rPr>
          <w:color w:val="333333"/>
        </w:rPr>
        <w:t>haya</w:t>
      </w:r>
      <w:r>
        <w:rPr>
          <w:color w:val="333333"/>
          <w:spacing w:val="-3"/>
        </w:rPr>
        <w:t xml:space="preserve"> </w:t>
      </w:r>
      <w:r>
        <w:rPr>
          <w:color w:val="333333"/>
        </w:rPr>
        <w:t>expedido</w:t>
      </w:r>
      <w:r>
        <w:rPr>
          <w:color w:val="333333"/>
          <w:spacing w:val="-3"/>
        </w:rPr>
        <w:t xml:space="preserve"> </w:t>
      </w:r>
      <w:r>
        <w:rPr>
          <w:color w:val="333333"/>
        </w:rPr>
        <w:t>el</w:t>
      </w:r>
      <w:r>
        <w:rPr>
          <w:color w:val="333333"/>
          <w:spacing w:val="-4"/>
        </w:rPr>
        <w:t xml:space="preserve"> </w:t>
      </w:r>
      <w:r>
        <w:rPr>
          <w:color w:val="333333"/>
        </w:rPr>
        <w:t>Ministerio</w:t>
      </w:r>
      <w:r>
        <w:rPr>
          <w:color w:val="333333"/>
          <w:spacing w:val="-4"/>
        </w:rPr>
        <w:t xml:space="preserve"> </w:t>
      </w:r>
      <w:r>
        <w:rPr>
          <w:color w:val="333333"/>
        </w:rPr>
        <w:t>de</w:t>
      </w:r>
      <w:r>
        <w:rPr>
          <w:color w:val="333333"/>
          <w:spacing w:val="-2"/>
        </w:rPr>
        <w:t xml:space="preserve"> </w:t>
      </w:r>
      <w:r>
        <w:rPr>
          <w:color w:val="333333"/>
        </w:rPr>
        <w:t>Igualdad</w:t>
      </w:r>
      <w:r>
        <w:rPr>
          <w:color w:val="333333"/>
          <w:spacing w:val="-3"/>
        </w:rPr>
        <w:t xml:space="preserve"> </w:t>
      </w:r>
      <w:r>
        <w:rPr>
          <w:color w:val="333333"/>
        </w:rPr>
        <w:t>y</w:t>
      </w:r>
      <w:r>
        <w:rPr>
          <w:color w:val="333333"/>
          <w:spacing w:val="-5"/>
        </w:rPr>
        <w:t xml:space="preserve"> </w:t>
      </w:r>
      <w:r>
        <w:rPr>
          <w:color w:val="333333"/>
        </w:rPr>
        <w:t>Equidad en vigencia de la Ley 2281 de 2023, respecto de sus programas, proyectos, estrategias y demás acciones propias de su objeto, funciones y ámbito de competencias, se entenderán validas y vigentes con la aprobación de la presente Ley.</w:t>
      </w:r>
    </w:p>
    <w:p w14:paraId="69AFD6E6" w14:textId="77777777" w:rsidR="000E52B0" w:rsidRDefault="000E52B0">
      <w:pPr>
        <w:pStyle w:val="Textoindependiente"/>
        <w:spacing w:before="163"/>
        <w:ind w:left="0"/>
      </w:pPr>
    </w:p>
    <w:p w14:paraId="19D42906" w14:textId="77777777" w:rsidR="000E52B0" w:rsidRDefault="00F60D74">
      <w:pPr>
        <w:ind w:left="260" w:right="252"/>
        <w:jc w:val="both"/>
        <w:rPr>
          <w:sz w:val="24"/>
        </w:rPr>
      </w:pPr>
      <w:r>
        <w:rPr>
          <w:b/>
          <w:color w:val="333333"/>
          <w:sz w:val="24"/>
        </w:rPr>
        <w:t>ARTÍCULO 16. VIGENCIA Y DEROGATORIAS</w:t>
      </w:r>
      <w:r>
        <w:rPr>
          <w:color w:val="333333"/>
          <w:sz w:val="24"/>
        </w:rPr>
        <w:t>. La presente Ley rige a partir</w:t>
      </w:r>
      <w:r>
        <w:rPr>
          <w:color w:val="333333"/>
          <w:spacing w:val="-11"/>
          <w:sz w:val="24"/>
        </w:rPr>
        <w:t xml:space="preserve"> </w:t>
      </w:r>
      <w:r>
        <w:rPr>
          <w:color w:val="333333"/>
          <w:sz w:val="24"/>
        </w:rPr>
        <w:t>de</w:t>
      </w:r>
      <w:r>
        <w:rPr>
          <w:color w:val="333333"/>
          <w:spacing w:val="-7"/>
          <w:sz w:val="24"/>
        </w:rPr>
        <w:t xml:space="preserve"> </w:t>
      </w:r>
      <w:r>
        <w:rPr>
          <w:color w:val="333333"/>
          <w:sz w:val="24"/>
        </w:rPr>
        <w:t>la</w:t>
      </w:r>
      <w:r>
        <w:rPr>
          <w:color w:val="333333"/>
          <w:spacing w:val="-8"/>
          <w:sz w:val="24"/>
        </w:rPr>
        <w:t xml:space="preserve"> </w:t>
      </w:r>
      <w:r>
        <w:rPr>
          <w:color w:val="333333"/>
          <w:sz w:val="24"/>
        </w:rPr>
        <w:t>fecha</w:t>
      </w:r>
      <w:r>
        <w:rPr>
          <w:color w:val="333333"/>
          <w:spacing w:val="-8"/>
          <w:sz w:val="24"/>
        </w:rPr>
        <w:t xml:space="preserve"> </w:t>
      </w:r>
      <w:r>
        <w:rPr>
          <w:color w:val="333333"/>
          <w:sz w:val="24"/>
        </w:rPr>
        <w:t>de</w:t>
      </w:r>
      <w:r>
        <w:rPr>
          <w:color w:val="333333"/>
          <w:spacing w:val="-7"/>
          <w:sz w:val="24"/>
        </w:rPr>
        <w:t xml:space="preserve"> </w:t>
      </w:r>
      <w:r>
        <w:rPr>
          <w:color w:val="333333"/>
          <w:sz w:val="24"/>
        </w:rPr>
        <w:t>su</w:t>
      </w:r>
      <w:r>
        <w:rPr>
          <w:color w:val="333333"/>
          <w:spacing w:val="-11"/>
          <w:sz w:val="24"/>
        </w:rPr>
        <w:t xml:space="preserve"> </w:t>
      </w:r>
      <w:r>
        <w:rPr>
          <w:color w:val="333333"/>
          <w:sz w:val="24"/>
        </w:rPr>
        <w:t>publicación</w:t>
      </w:r>
      <w:r>
        <w:rPr>
          <w:color w:val="333333"/>
          <w:spacing w:val="-11"/>
          <w:sz w:val="24"/>
        </w:rPr>
        <w:t xml:space="preserve"> </w:t>
      </w:r>
      <w:r>
        <w:rPr>
          <w:color w:val="333333"/>
          <w:sz w:val="24"/>
        </w:rPr>
        <w:t>y</w:t>
      </w:r>
      <w:r>
        <w:rPr>
          <w:color w:val="333333"/>
          <w:spacing w:val="-11"/>
          <w:sz w:val="24"/>
        </w:rPr>
        <w:t xml:space="preserve"> </w:t>
      </w:r>
      <w:r>
        <w:rPr>
          <w:color w:val="333333"/>
          <w:sz w:val="24"/>
        </w:rPr>
        <w:t>deroga</w:t>
      </w:r>
      <w:r>
        <w:rPr>
          <w:color w:val="333333"/>
          <w:spacing w:val="-8"/>
          <w:sz w:val="24"/>
        </w:rPr>
        <w:t xml:space="preserve"> </w:t>
      </w:r>
      <w:r>
        <w:rPr>
          <w:color w:val="333333"/>
          <w:sz w:val="24"/>
        </w:rPr>
        <w:t>las</w:t>
      </w:r>
      <w:r>
        <w:rPr>
          <w:color w:val="333333"/>
          <w:spacing w:val="-8"/>
          <w:sz w:val="24"/>
        </w:rPr>
        <w:t xml:space="preserve"> </w:t>
      </w:r>
      <w:r>
        <w:rPr>
          <w:color w:val="333333"/>
          <w:sz w:val="24"/>
        </w:rPr>
        <w:t>disposiciones</w:t>
      </w:r>
      <w:r>
        <w:rPr>
          <w:color w:val="333333"/>
          <w:spacing w:val="-9"/>
          <w:sz w:val="24"/>
        </w:rPr>
        <w:t xml:space="preserve"> </w:t>
      </w:r>
      <w:r>
        <w:rPr>
          <w:color w:val="333333"/>
          <w:sz w:val="24"/>
        </w:rPr>
        <w:t>que</w:t>
      </w:r>
      <w:r>
        <w:rPr>
          <w:color w:val="333333"/>
          <w:spacing w:val="-12"/>
          <w:sz w:val="24"/>
        </w:rPr>
        <w:t xml:space="preserve"> </w:t>
      </w:r>
      <w:r>
        <w:rPr>
          <w:color w:val="333333"/>
          <w:sz w:val="24"/>
        </w:rPr>
        <w:t>le</w:t>
      </w:r>
      <w:r>
        <w:rPr>
          <w:color w:val="333333"/>
          <w:spacing w:val="-12"/>
          <w:sz w:val="24"/>
        </w:rPr>
        <w:t xml:space="preserve"> </w:t>
      </w:r>
      <w:r>
        <w:rPr>
          <w:color w:val="333333"/>
          <w:sz w:val="24"/>
        </w:rPr>
        <w:t xml:space="preserve">sean </w:t>
      </w:r>
      <w:r>
        <w:rPr>
          <w:color w:val="333333"/>
          <w:spacing w:val="-2"/>
          <w:sz w:val="24"/>
        </w:rPr>
        <w:t>contrarias.</w:t>
      </w:r>
    </w:p>
    <w:p w14:paraId="40CD2335" w14:textId="77777777" w:rsidR="000E52B0" w:rsidRDefault="000E52B0">
      <w:pPr>
        <w:jc w:val="both"/>
        <w:rPr>
          <w:sz w:val="24"/>
        </w:rPr>
      </w:pPr>
    </w:p>
    <w:p w14:paraId="66E17557" w14:textId="77777777" w:rsidR="006A4328" w:rsidRDefault="006A4328">
      <w:pPr>
        <w:jc w:val="both"/>
        <w:rPr>
          <w:sz w:val="24"/>
        </w:rPr>
      </w:pPr>
    </w:p>
    <w:p w14:paraId="475DE898" w14:textId="1E0EC1C5" w:rsidR="006A4328" w:rsidRDefault="006A4328">
      <w:pPr>
        <w:jc w:val="both"/>
        <w:rPr>
          <w:sz w:val="24"/>
        </w:rPr>
      </w:pPr>
      <w:r>
        <w:rPr>
          <w:sz w:val="24"/>
        </w:rPr>
        <w:t xml:space="preserve">Cordialmente, </w:t>
      </w:r>
    </w:p>
    <w:p w14:paraId="3B01D4C3" w14:textId="77777777" w:rsidR="006A4328" w:rsidRDefault="006A4328">
      <w:pPr>
        <w:jc w:val="both"/>
        <w:rPr>
          <w:sz w:val="24"/>
        </w:rPr>
      </w:pPr>
    </w:p>
    <w:p w14:paraId="136AB33D" w14:textId="77777777" w:rsidR="006A4328" w:rsidRDefault="006A4328">
      <w:pPr>
        <w:jc w:val="both"/>
        <w:rPr>
          <w:sz w:val="24"/>
        </w:rPr>
      </w:pPr>
    </w:p>
    <w:p w14:paraId="347F866B" w14:textId="77777777" w:rsidR="006A4328" w:rsidRDefault="006A4328">
      <w:pPr>
        <w:jc w:val="both"/>
        <w:rPr>
          <w:sz w:val="24"/>
        </w:rPr>
      </w:pPr>
    </w:p>
    <w:p w14:paraId="13830759" w14:textId="77777777" w:rsidR="006A4328" w:rsidRDefault="006A4328">
      <w:pPr>
        <w:jc w:val="both"/>
        <w:rPr>
          <w:sz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tblGrid>
      <w:tr w:rsidR="006A4328" w14:paraId="313F1FFD" w14:textId="77777777" w:rsidTr="006A4328">
        <w:tc>
          <w:tcPr>
            <w:tcW w:w="4106" w:type="dxa"/>
          </w:tcPr>
          <w:p w14:paraId="488F01A6" w14:textId="3EC14515" w:rsidR="006A4328" w:rsidRDefault="006A4328" w:rsidP="006A4328">
            <w:pPr>
              <w:jc w:val="center"/>
              <w:rPr>
                <w:sz w:val="24"/>
              </w:rPr>
            </w:pPr>
            <w:r w:rsidRPr="006A4328">
              <w:rPr>
                <w:b/>
                <w:bCs/>
                <w:sz w:val="24"/>
              </w:rPr>
              <w:t>CARLOS ROSERO.</w:t>
            </w:r>
            <w:r>
              <w:rPr>
                <w:sz w:val="24"/>
              </w:rPr>
              <w:t xml:space="preserve"> </w:t>
            </w:r>
            <w:r>
              <w:rPr>
                <w:sz w:val="24"/>
              </w:rPr>
              <w:br/>
              <w:t>Ministro de Igualdad y Equidad.</w:t>
            </w:r>
          </w:p>
        </w:tc>
      </w:tr>
    </w:tbl>
    <w:tbl>
      <w:tblPr>
        <w:tblStyle w:val="Tablaconcuadrcula"/>
        <w:tblpPr w:leftFromText="141" w:rightFromText="141" w:vertAnchor="text" w:horzAnchor="page" w:tblpX="6931" w:tblpY="-5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tblGrid>
      <w:tr w:rsidR="006A4328" w14:paraId="2245C856" w14:textId="77777777" w:rsidTr="006A4328">
        <w:tc>
          <w:tcPr>
            <w:tcW w:w="3397" w:type="dxa"/>
          </w:tcPr>
          <w:p w14:paraId="43941065" w14:textId="77777777" w:rsidR="006A4328" w:rsidRDefault="006A4328" w:rsidP="006A4328">
            <w:pPr>
              <w:jc w:val="center"/>
              <w:rPr>
                <w:sz w:val="24"/>
              </w:rPr>
            </w:pPr>
            <w:r w:rsidRPr="006A4328">
              <w:rPr>
                <w:b/>
                <w:bCs/>
                <w:sz w:val="24"/>
              </w:rPr>
              <w:t>ARMANDO BENEDETTI.</w:t>
            </w:r>
            <w:r>
              <w:rPr>
                <w:sz w:val="24"/>
              </w:rPr>
              <w:t xml:space="preserve"> </w:t>
            </w:r>
            <w:r>
              <w:rPr>
                <w:sz w:val="24"/>
              </w:rPr>
              <w:br/>
              <w:t>Ministro de Interior</w:t>
            </w:r>
          </w:p>
        </w:tc>
      </w:tr>
    </w:tbl>
    <w:p w14:paraId="1927CDAF" w14:textId="77777777" w:rsidR="006A4328" w:rsidRDefault="006A4328">
      <w:pPr>
        <w:jc w:val="both"/>
        <w:rPr>
          <w:sz w:val="24"/>
        </w:rPr>
      </w:pPr>
    </w:p>
    <w:p w14:paraId="5528298B" w14:textId="77777777" w:rsidR="006A4328" w:rsidRDefault="006A4328" w:rsidP="006A4328">
      <w:pPr>
        <w:rPr>
          <w:sz w:val="24"/>
        </w:rPr>
      </w:pPr>
    </w:p>
    <w:p w14:paraId="51BFF1E1" w14:textId="77777777" w:rsidR="006A4328" w:rsidRDefault="006A4328" w:rsidP="006A4328">
      <w:pPr>
        <w:rPr>
          <w:sz w:val="24"/>
        </w:rPr>
      </w:pPr>
    </w:p>
    <w:p w14:paraId="18EFBD09" w14:textId="77777777" w:rsidR="006A4328" w:rsidRDefault="006A4328" w:rsidP="006A4328">
      <w:pPr>
        <w:rPr>
          <w:sz w:val="24"/>
        </w:rPr>
      </w:pPr>
    </w:p>
    <w:p w14:paraId="1AD8D1AC" w14:textId="77777777" w:rsidR="006A4328" w:rsidRDefault="006A4328" w:rsidP="006A4328">
      <w:pPr>
        <w:rPr>
          <w:sz w:val="24"/>
        </w:rPr>
      </w:pPr>
    </w:p>
    <w:p w14:paraId="477EF0F0" w14:textId="77777777" w:rsidR="006A4328" w:rsidRDefault="006A4328" w:rsidP="006A4328">
      <w:pPr>
        <w:rPr>
          <w:sz w:val="24"/>
        </w:rPr>
      </w:pPr>
    </w:p>
    <w:p w14:paraId="26B8438D" w14:textId="77777777" w:rsidR="006A4328" w:rsidRDefault="006A4328" w:rsidP="006A4328">
      <w:pPr>
        <w:rPr>
          <w:sz w:val="24"/>
        </w:rPr>
      </w:pPr>
    </w:p>
    <w:p w14:paraId="6AF5EDB6" w14:textId="77777777" w:rsidR="006A4328" w:rsidRDefault="006A4328" w:rsidP="006A4328">
      <w:pPr>
        <w:rPr>
          <w:sz w:val="24"/>
        </w:rPr>
      </w:pPr>
    </w:p>
    <w:p w14:paraId="4F9C30A4" w14:textId="77777777" w:rsidR="006A4328" w:rsidRDefault="006A4328" w:rsidP="006A4328">
      <w:pPr>
        <w:rPr>
          <w:sz w:val="24"/>
        </w:rPr>
      </w:pPr>
    </w:p>
    <w:p w14:paraId="282B9594" w14:textId="77777777" w:rsidR="006A4328" w:rsidRDefault="006A4328" w:rsidP="006A4328">
      <w:pPr>
        <w:rPr>
          <w:sz w:val="24"/>
        </w:rPr>
      </w:pPr>
    </w:p>
    <w:p w14:paraId="0899FC98" w14:textId="77777777" w:rsidR="006A4328" w:rsidRDefault="006A4328" w:rsidP="006A4328">
      <w:pPr>
        <w:rPr>
          <w:sz w:val="24"/>
        </w:rPr>
      </w:pPr>
    </w:p>
    <w:p w14:paraId="2D7BBEF6" w14:textId="77777777" w:rsidR="006A4328" w:rsidRDefault="006A4328" w:rsidP="006A4328">
      <w:pPr>
        <w:rPr>
          <w:sz w:val="24"/>
        </w:rPr>
      </w:pPr>
    </w:p>
    <w:p w14:paraId="2D9D4FE1" w14:textId="77777777" w:rsidR="006A4328" w:rsidRDefault="006A4328" w:rsidP="006A4328">
      <w:pPr>
        <w:rPr>
          <w:sz w:val="24"/>
        </w:rPr>
      </w:pPr>
    </w:p>
    <w:p w14:paraId="488F3D44" w14:textId="77777777" w:rsidR="006A4328" w:rsidRDefault="006A4328" w:rsidP="006A4328">
      <w:pPr>
        <w:rPr>
          <w:sz w:val="24"/>
        </w:rPr>
      </w:pPr>
    </w:p>
    <w:p w14:paraId="4D59D921" w14:textId="77777777" w:rsidR="006A4328" w:rsidRDefault="006A4328" w:rsidP="006A4328">
      <w:pPr>
        <w:rPr>
          <w:sz w:val="24"/>
        </w:rPr>
      </w:pPr>
    </w:p>
    <w:p w14:paraId="752AB7AB" w14:textId="77777777" w:rsidR="00F60D74" w:rsidRDefault="00F60D74" w:rsidP="006A4328">
      <w:pPr>
        <w:rPr>
          <w:sz w:val="24"/>
        </w:rPr>
      </w:pPr>
    </w:p>
    <w:p w14:paraId="0C045C83" w14:textId="77777777" w:rsidR="006A4328" w:rsidRDefault="006A4328" w:rsidP="006A4328">
      <w:pPr>
        <w:rPr>
          <w:sz w:val="24"/>
        </w:rPr>
      </w:pPr>
    </w:p>
    <w:p w14:paraId="0CBEE69F" w14:textId="77777777" w:rsidR="006A4328" w:rsidRDefault="006A4328" w:rsidP="006A4328">
      <w:pPr>
        <w:rPr>
          <w:sz w:val="24"/>
        </w:rPr>
      </w:pPr>
    </w:p>
    <w:p w14:paraId="741EAAC7" w14:textId="77777777" w:rsidR="000E52B0" w:rsidRDefault="00F60D74">
      <w:pPr>
        <w:spacing w:before="81"/>
        <w:ind w:right="1"/>
        <w:jc w:val="center"/>
        <w:rPr>
          <w:b/>
          <w:sz w:val="24"/>
        </w:rPr>
      </w:pPr>
      <w:r>
        <w:rPr>
          <w:b/>
          <w:sz w:val="24"/>
        </w:rPr>
        <w:lastRenderedPageBreak/>
        <w:t>EXPOSICIÓN</w:t>
      </w:r>
      <w:r>
        <w:rPr>
          <w:b/>
          <w:spacing w:val="-3"/>
          <w:sz w:val="24"/>
        </w:rPr>
        <w:t xml:space="preserve"> </w:t>
      </w:r>
      <w:r>
        <w:rPr>
          <w:b/>
          <w:sz w:val="24"/>
        </w:rPr>
        <w:t>DE</w:t>
      </w:r>
      <w:r>
        <w:rPr>
          <w:b/>
          <w:spacing w:val="-2"/>
          <w:sz w:val="24"/>
        </w:rPr>
        <w:t xml:space="preserve"> MOTIVOS</w:t>
      </w:r>
    </w:p>
    <w:p w14:paraId="578A95FE" w14:textId="77777777" w:rsidR="000E52B0" w:rsidRDefault="000E52B0">
      <w:pPr>
        <w:pStyle w:val="Textoindependiente"/>
        <w:ind w:left="0"/>
        <w:rPr>
          <w:b/>
        </w:rPr>
      </w:pPr>
    </w:p>
    <w:p w14:paraId="7AA91B4B" w14:textId="77777777" w:rsidR="000E52B0" w:rsidRDefault="000E52B0">
      <w:pPr>
        <w:pStyle w:val="Textoindependiente"/>
        <w:ind w:left="0"/>
        <w:rPr>
          <w:b/>
        </w:rPr>
      </w:pPr>
    </w:p>
    <w:p w14:paraId="44890D46" w14:textId="77777777" w:rsidR="000E52B0" w:rsidRDefault="000E52B0">
      <w:pPr>
        <w:pStyle w:val="Textoindependiente"/>
        <w:ind w:left="0"/>
        <w:rPr>
          <w:b/>
        </w:rPr>
      </w:pPr>
    </w:p>
    <w:p w14:paraId="58CF082D" w14:textId="77777777" w:rsidR="000E52B0" w:rsidRDefault="000E52B0">
      <w:pPr>
        <w:pStyle w:val="Textoindependiente"/>
        <w:ind w:left="0"/>
        <w:rPr>
          <w:b/>
        </w:rPr>
      </w:pPr>
    </w:p>
    <w:p w14:paraId="197986B5" w14:textId="77777777" w:rsidR="000E52B0" w:rsidRDefault="000E52B0">
      <w:pPr>
        <w:pStyle w:val="Textoindependiente"/>
        <w:ind w:left="0"/>
        <w:rPr>
          <w:b/>
        </w:rPr>
      </w:pPr>
    </w:p>
    <w:p w14:paraId="663197DB" w14:textId="77777777" w:rsidR="000E52B0" w:rsidRDefault="000E52B0">
      <w:pPr>
        <w:pStyle w:val="Textoindependiente"/>
        <w:ind w:left="0"/>
        <w:rPr>
          <w:b/>
        </w:rPr>
      </w:pPr>
    </w:p>
    <w:p w14:paraId="179B9F0D" w14:textId="77777777" w:rsidR="000E52B0" w:rsidRDefault="000E52B0">
      <w:pPr>
        <w:pStyle w:val="Textoindependiente"/>
        <w:ind w:left="0"/>
        <w:rPr>
          <w:b/>
        </w:rPr>
      </w:pPr>
    </w:p>
    <w:p w14:paraId="48317E2E" w14:textId="77777777" w:rsidR="000E52B0" w:rsidRDefault="000E52B0">
      <w:pPr>
        <w:pStyle w:val="Textoindependiente"/>
        <w:ind w:left="0"/>
        <w:rPr>
          <w:b/>
        </w:rPr>
      </w:pPr>
    </w:p>
    <w:p w14:paraId="2DC276FD" w14:textId="77777777" w:rsidR="000E52B0" w:rsidRDefault="000E52B0">
      <w:pPr>
        <w:pStyle w:val="Textoindependiente"/>
        <w:ind w:left="0"/>
        <w:rPr>
          <w:b/>
        </w:rPr>
      </w:pPr>
    </w:p>
    <w:p w14:paraId="185B9E4E" w14:textId="77777777" w:rsidR="000E52B0" w:rsidRDefault="000E52B0">
      <w:pPr>
        <w:pStyle w:val="Textoindependiente"/>
        <w:ind w:left="0"/>
        <w:rPr>
          <w:b/>
        </w:rPr>
      </w:pPr>
    </w:p>
    <w:p w14:paraId="0DD4DA60" w14:textId="77777777" w:rsidR="000E52B0" w:rsidRDefault="000E52B0">
      <w:pPr>
        <w:pStyle w:val="Textoindependiente"/>
        <w:ind w:left="0"/>
        <w:rPr>
          <w:b/>
        </w:rPr>
      </w:pPr>
    </w:p>
    <w:p w14:paraId="39CA45A7" w14:textId="77777777" w:rsidR="000E52B0" w:rsidRDefault="000E52B0">
      <w:pPr>
        <w:pStyle w:val="Textoindependiente"/>
        <w:ind w:left="0"/>
        <w:rPr>
          <w:b/>
        </w:rPr>
      </w:pPr>
    </w:p>
    <w:p w14:paraId="1FDEFB06" w14:textId="77777777" w:rsidR="000E52B0" w:rsidRDefault="000E52B0">
      <w:pPr>
        <w:pStyle w:val="Textoindependiente"/>
        <w:ind w:left="0"/>
        <w:rPr>
          <w:b/>
        </w:rPr>
      </w:pPr>
    </w:p>
    <w:p w14:paraId="4850E979" w14:textId="77777777" w:rsidR="000E52B0" w:rsidRDefault="000E52B0">
      <w:pPr>
        <w:pStyle w:val="Textoindependiente"/>
        <w:ind w:left="0"/>
        <w:rPr>
          <w:b/>
        </w:rPr>
      </w:pPr>
    </w:p>
    <w:p w14:paraId="6319AE0E" w14:textId="77777777" w:rsidR="000E52B0" w:rsidRDefault="000E52B0">
      <w:pPr>
        <w:pStyle w:val="Textoindependiente"/>
        <w:ind w:left="0"/>
        <w:rPr>
          <w:b/>
        </w:rPr>
      </w:pPr>
    </w:p>
    <w:p w14:paraId="6B374CE3" w14:textId="77777777" w:rsidR="000E52B0" w:rsidRDefault="000E52B0">
      <w:pPr>
        <w:pStyle w:val="Textoindependiente"/>
        <w:ind w:left="0"/>
        <w:rPr>
          <w:b/>
        </w:rPr>
      </w:pPr>
    </w:p>
    <w:p w14:paraId="438D9FB1" w14:textId="77777777" w:rsidR="000E52B0" w:rsidRDefault="000E52B0">
      <w:pPr>
        <w:pStyle w:val="Textoindependiente"/>
        <w:spacing w:before="11"/>
        <w:ind w:left="0"/>
        <w:rPr>
          <w:b/>
        </w:rPr>
      </w:pPr>
    </w:p>
    <w:p w14:paraId="2B3433A0" w14:textId="77777777" w:rsidR="000E52B0" w:rsidRDefault="00F60D74">
      <w:pPr>
        <w:tabs>
          <w:tab w:val="left" w:pos="4463"/>
        </w:tabs>
        <w:ind w:left="1176" w:right="1175" w:hanging="4"/>
        <w:jc w:val="center"/>
        <w:rPr>
          <w:b/>
          <w:sz w:val="24"/>
        </w:rPr>
      </w:pPr>
      <w:r>
        <w:rPr>
          <w:b/>
          <w:sz w:val="24"/>
        </w:rPr>
        <w:t xml:space="preserve">PROYECTO DE LEY </w:t>
      </w:r>
      <w:r>
        <w:rPr>
          <w:rFonts w:ascii="Times New Roman" w:hAnsi="Times New Roman"/>
          <w:sz w:val="24"/>
          <w:u w:val="thick"/>
        </w:rPr>
        <w:tab/>
      </w:r>
      <w:r>
        <w:rPr>
          <w:rFonts w:ascii="Times New Roman" w:hAnsi="Times New Roman"/>
          <w:spacing w:val="-32"/>
          <w:sz w:val="24"/>
        </w:rPr>
        <w:t xml:space="preserve"> </w:t>
      </w:r>
      <w:r>
        <w:rPr>
          <w:b/>
          <w:sz w:val="24"/>
        </w:rPr>
        <w:t>“POR MEDIO DEL CUAL SE CREA EL MINISTERIO</w:t>
      </w:r>
      <w:r>
        <w:rPr>
          <w:b/>
          <w:spacing w:val="-5"/>
          <w:sz w:val="24"/>
        </w:rPr>
        <w:t xml:space="preserve"> </w:t>
      </w:r>
      <w:r>
        <w:rPr>
          <w:b/>
          <w:sz w:val="24"/>
        </w:rPr>
        <w:t>DE</w:t>
      </w:r>
      <w:r>
        <w:rPr>
          <w:b/>
          <w:spacing w:val="-6"/>
          <w:sz w:val="24"/>
        </w:rPr>
        <w:t xml:space="preserve"> </w:t>
      </w:r>
      <w:r>
        <w:rPr>
          <w:b/>
          <w:sz w:val="24"/>
        </w:rPr>
        <w:t>IGUALDAD</w:t>
      </w:r>
      <w:r>
        <w:rPr>
          <w:b/>
          <w:spacing w:val="-5"/>
          <w:sz w:val="24"/>
        </w:rPr>
        <w:t xml:space="preserve"> </w:t>
      </w:r>
      <w:r>
        <w:rPr>
          <w:b/>
          <w:sz w:val="24"/>
        </w:rPr>
        <w:t>Y</w:t>
      </w:r>
      <w:r>
        <w:rPr>
          <w:b/>
          <w:spacing w:val="-5"/>
          <w:sz w:val="24"/>
        </w:rPr>
        <w:t xml:space="preserve"> </w:t>
      </w:r>
      <w:r>
        <w:rPr>
          <w:b/>
          <w:sz w:val="24"/>
        </w:rPr>
        <w:t>EQUIDAD</w:t>
      </w:r>
      <w:r>
        <w:rPr>
          <w:b/>
          <w:spacing w:val="-5"/>
          <w:sz w:val="24"/>
        </w:rPr>
        <w:t xml:space="preserve"> </w:t>
      </w:r>
      <w:r>
        <w:rPr>
          <w:b/>
          <w:sz w:val="24"/>
        </w:rPr>
        <w:t>Y</w:t>
      </w:r>
      <w:r>
        <w:rPr>
          <w:b/>
          <w:spacing w:val="-5"/>
          <w:sz w:val="24"/>
        </w:rPr>
        <w:t xml:space="preserve"> </w:t>
      </w:r>
      <w:r>
        <w:rPr>
          <w:b/>
          <w:sz w:val="24"/>
        </w:rPr>
        <w:t>SE</w:t>
      </w:r>
      <w:r>
        <w:rPr>
          <w:b/>
          <w:spacing w:val="-6"/>
          <w:sz w:val="24"/>
        </w:rPr>
        <w:t xml:space="preserve"> </w:t>
      </w:r>
      <w:r>
        <w:rPr>
          <w:b/>
          <w:sz w:val="24"/>
        </w:rPr>
        <w:t>DICTAN</w:t>
      </w:r>
      <w:r>
        <w:rPr>
          <w:b/>
          <w:spacing w:val="-5"/>
          <w:sz w:val="24"/>
        </w:rPr>
        <w:t xml:space="preserve"> </w:t>
      </w:r>
      <w:r>
        <w:rPr>
          <w:b/>
          <w:sz w:val="24"/>
        </w:rPr>
        <w:t xml:space="preserve">OTRAS </w:t>
      </w:r>
      <w:r>
        <w:rPr>
          <w:b/>
          <w:spacing w:val="-2"/>
          <w:sz w:val="24"/>
        </w:rPr>
        <w:t>DISPOSICIONES”</w:t>
      </w:r>
    </w:p>
    <w:p w14:paraId="0CAD514D" w14:textId="77777777" w:rsidR="000E52B0" w:rsidRDefault="000E52B0">
      <w:pPr>
        <w:pStyle w:val="Textoindependiente"/>
        <w:ind w:left="0"/>
        <w:rPr>
          <w:b/>
        </w:rPr>
      </w:pPr>
    </w:p>
    <w:p w14:paraId="7014B815" w14:textId="77777777" w:rsidR="000E52B0" w:rsidRDefault="000E52B0">
      <w:pPr>
        <w:pStyle w:val="Textoindependiente"/>
        <w:ind w:left="0"/>
        <w:rPr>
          <w:b/>
        </w:rPr>
      </w:pPr>
    </w:p>
    <w:p w14:paraId="65E6F7E9" w14:textId="77777777" w:rsidR="000E52B0" w:rsidRDefault="000E52B0">
      <w:pPr>
        <w:pStyle w:val="Textoindependiente"/>
        <w:ind w:left="0"/>
        <w:rPr>
          <w:b/>
        </w:rPr>
      </w:pPr>
    </w:p>
    <w:p w14:paraId="68C19044" w14:textId="77777777" w:rsidR="000E52B0" w:rsidRDefault="000E52B0">
      <w:pPr>
        <w:pStyle w:val="Textoindependiente"/>
        <w:ind w:left="0"/>
        <w:rPr>
          <w:b/>
        </w:rPr>
      </w:pPr>
    </w:p>
    <w:p w14:paraId="64C86CBF" w14:textId="77777777" w:rsidR="000E52B0" w:rsidRDefault="000E52B0">
      <w:pPr>
        <w:pStyle w:val="Textoindependiente"/>
        <w:ind w:left="0"/>
        <w:rPr>
          <w:b/>
        </w:rPr>
      </w:pPr>
    </w:p>
    <w:p w14:paraId="7800D8BD" w14:textId="77777777" w:rsidR="000E52B0" w:rsidRDefault="000E52B0">
      <w:pPr>
        <w:pStyle w:val="Textoindependiente"/>
        <w:ind w:left="0"/>
        <w:rPr>
          <w:b/>
        </w:rPr>
      </w:pPr>
    </w:p>
    <w:p w14:paraId="5387C671" w14:textId="77777777" w:rsidR="000E52B0" w:rsidRDefault="000E52B0">
      <w:pPr>
        <w:pStyle w:val="Textoindependiente"/>
        <w:ind w:left="0"/>
        <w:rPr>
          <w:b/>
        </w:rPr>
      </w:pPr>
    </w:p>
    <w:p w14:paraId="1AD4B997" w14:textId="77777777" w:rsidR="000E52B0" w:rsidRDefault="000E52B0">
      <w:pPr>
        <w:pStyle w:val="Textoindependiente"/>
        <w:ind w:left="0"/>
        <w:rPr>
          <w:b/>
        </w:rPr>
      </w:pPr>
    </w:p>
    <w:p w14:paraId="6DE095D7" w14:textId="77777777" w:rsidR="000E52B0" w:rsidRDefault="000E52B0">
      <w:pPr>
        <w:pStyle w:val="Textoindependiente"/>
        <w:ind w:left="0"/>
        <w:rPr>
          <w:b/>
        </w:rPr>
      </w:pPr>
    </w:p>
    <w:p w14:paraId="5BE15DF4" w14:textId="77777777" w:rsidR="000E52B0" w:rsidRDefault="000E52B0">
      <w:pPr>
        <w:pStyle w:val="Textoindependiente"/>
        <w:ind w:left="0"/>
        <w:rPr>
          <w:b/>
        </w:rPr>
      </w:pPr>
    </w:p>
    <w:p w14:paraId="6FDE356D" w14:textId="77777777" w:rsidR="000E52B0" w:rsidRDefault="000E52B0">
      <w:pPr>
        <w:pStyle w:val="Textoindependiente"/>
        <w:ind w:left="0"/>
        <w:rPr>
          <w:b/>
        </w:rPr>
      </w:pPr>
    </w:p>
    <w:p w14:paraId="3AB483FE" w14:textId="77777777" w:rsidR="000E52B0" w:rsidRDefault="000E52B0">
      <w:pPr>
        <w:pStyle w:val="Textoindependiente"/>
        <w:ind w:left="0"/>
        <w:rPr>
          <w:b/>
        </w:rPr>
      </w:pPr>
    </w:p>
    <w:p w14:paraId="3A38889B" w14:textId="77777777" w:rsidR="000E52B0" w:rsidRDefault="000E52B0">
      <w:pPr>
        <w:pStyle w:val="Textoindependiente"/>
        <w:ind w:left="0"/>
        <w:rPr>
          <w:b/>
        </w:rPr>
      </w:pPr>
    </w:p>
    <w:p w14:paraId="25DD7A47" w14:textId="77777777" w:rsidR="000E52B0" w:rsidRDefault="000E52B0">
      <w:pPr>
        <w:pStyle w:val="Textoindependiente"/>
        <w:ind w:left="0"/>
        <w:rPr>
          <w:b/>
        </w:rPr>
      </w:pPr>
    </w:p>
    <w:p w14:paraId="3CA8B2B6" w14:textId="77777777" w:rsidR="000E52B0" w:rsidRDefault="000E52B0">
      <w:pPr>
        <w:pStyle w:val="Textoindependiente"/>
        <w:ind w:left="0"/>
        <w:rPr>
          <w:b/>
        </w:rPr>
      </w:pPr>
    </w:p>
    <w:p w14:paraId="2EDCBD72" w14:textId="77777777" w:rsidR="000E52B0" w:rsidRDefault="000E52B0">
      <w:pPr>
        <w:pStyle w:val="Textoindependiente"/>
        <w:ind w:left="0"/>
        <w:rPr>
          <w:b/>
        </w:rPr>
      </w:pPr>
    </w:p>
    <w:p w14:paraId="655C8345" w14:textId="77777777" w:rsidR="000E52B0" w:rsidRDefault="000E52B0">
      <w:pPr>
        <w:pStyle w:val="Textoindependiente"/>
        <w:ind w:left="0"/>
        <w:rPr>
          <w:b/>
        </w:rPr>
      </w:pPr>
    </w:p>
    <w:p w14:paraId="2924EB80" w14:textId="77777777" w:rsidR="000E52B0" w:rsidRDefault="000E52B0">
      <w:pPr>
        <w:pStyle w:val="Textoindependiente"/>
        <w:ind w:left="0"/>
        <w:rPr>
          <w:b/>
        </w:rPr>
      </w:pPr>
    </w:p>
    <w:p w14:paraId="086B4387" w14:textId="77777777" w:rsidR="000E52B0" w:rsidRDefault="000E52B0">
      <w:pPr>
        <w:pStyle w:val="Textoindependiente"/>
        <w:ind w:left="0"/>
        <w:rPr>
          <w:b/>
        </w:rPr>
      </w:pPr>
    </w:p>
    <w:p w14:paraId="160A4419" w14:textId="77777777" w:rsidR="000E52B0" w:rsidRDefault="000E52B0">
      <w:pPr>
        <w:pStyle w:val="Textoindependiente"/>
        <w:ind w:left="0"/>
        <w:rPr>
          <w:b/>
        </w:rPr>
      </w:pPr>
    </w:p>
    <w:p w14:paraId="22E33373" w14:textId="77777777" w:rsidR="000E52B0" w:rsidRDefault="000E52B0">
      <w:pPr>
        <w:pStyle w:val="Textoindependiente"/>
        <w:ind w:left="0"/>
        <w:rPr>
          <w:b/>
        </w:rPr>
      </w:pPr>
    </w:p>
    <w:p w14:paraId="01397762" w14:textId="77777777" w:rsidR="000E52B0" w:rsidRDefault="000E52B0">
      <w:pPr>
        <w:pStyle w:val="Textoindependiente"/>
        <w:spacing w:before="70"/>
        <w:ind w:left="0"/>
        <w:rPr>
          <w:b/>
        </w:rPr>
      </w:pPr>
    </w:p>
    <w:p w14:paraId="14A58B59" w14:textId="49695493" w:rsidR="000E52B0" w:rsidRDefault="00F60D74">
      <w:pPr>
        <w:ind w:right="1"/>
        <w:jc w:val="center"/>
        <w:rPr>
          <w:b/>
          <w:sz w:val="24"/>
        </w:rPr>
      </w:pPr>
      <w:r>
        <w:rPr>
          <w:b/>
          <w:sz w:val="24"/>
        </w:rPr>
        <w:t>BOGOTÁ</w:t>
      </w:r>
      <w:r>
        <w:rPr>
          <w:b/>
          <w:spacing w:val="-6"/>
          <w:sz w:val="24"/>
        </w:rPr>
        <w:t xml:space="preserve"> </w:t>
      </w:r>
      <w:r>
        <w:rPr>
          <w:b/>
          <w:sz w:val="24"/>
        </w:rPr>
        <w:t>D.C</w:t>
      </w:r>
      <w:r w:rsidR="00EA3CFF">
        <w:rPr>
          <w:b/>
          <w:sz w:val="24"/>
        </w:rPr>
        <w:t>.,</w:t>
      </w:r>
      <w:r w:rsidR="00EA3CFF">
        <w:rPr>
          <w:b/>
          <w:spacing w:val="-3"/>
          <w:sz w:val="24"/>
        </w:rPr>
        <w:t xml:space="preserve"> </w:t>
      </w:r>
      <w:r w:rsidR="00EA3CFF">
        <w:rPr>
          <w:b/>
          <w:sz w:val="24"/>
        </w:rPr>
        <w:t>JULIO DE 2025</w:t>
      </w:r>
    </w:p>
    <w:p w14:paraId="2DDF9746" w14:textId="77777777" w:rsidR="000E52B0" w:rsidRDefault="000E52B0">
      <w:pPr>
        <w:jc w:val="center"/>
        <w:rPr>
          <w:b/>
          <w:sz w:val="24"/>
        </w:rPr>
        <w:sectPr w:rsidR="000E52B0">
          <w:headerReference w:type="even" r:id="rId17"/>
          <w:headerReference w:type="default" r:id="rId18"/>
          <w:footerReference w:type="default" r:id="rId19"/>
          <w:headerReference w:type="first" r:id="rId20"/>
          <w:pgSz w:w="11910" w:h="16840"/>
          <w:pgMar w:top="1680" w:right="720" w:bottom="1180" w:left="720" w:header="0" w:footer="995" w:gutter="0"/>
          <w:pgNumType w:start="1"/>
          <w:cols w:space="720"/>
        </w:sectPr>
      </w:pPr>
    </w:p>
    <w:p w14:paraId="75BB1169" w14:textId="77777777" w:rsidR="000E52B0" w:rsidRDefault="00F60D74">
      <w:pPr>
        <w:spacing w:before="81"/>
        <w:ind w:left="720"/>
        <w:rPr>
          <w:b/>
        </w:rPr>
      </w:pPr>
      <w:r>
        <w:rPr>
          <w:b/>
        </w:rPr>
        <w:lastRenderedPageBreak/>
        <w:t>Tabla</w:t>
      </w:r>
      <w:r>
        <w:rPr>
          <w:b/>
          <w:spacing w:val="-6"/>
        </w:rPr>
        <w:t xml:space="preserve"> </w:t>
      </w:r>
      <w:r>
        <w:rPr>
          <w:b/>
        </w:rPr>
        <w:t>de</w:t>
      </w:r>
      <w:r>
        <w:rPr>
          <w:b/>
          <w:spacing w:val="-5"/>
        </w:rPr>
        <w:t xml:space="preserve"> </w:t>
      </w:r>
      <w:r>
        <w:rPr>
          <w:b/>
          <w:spacing w:val="-2"/>
        </w:rPr>
        <w:t>contenido</w:t>
      </w:r>
    </w:p>
    <w:p w14:paraId="2497DB73" w14:textId="77777777" w:rsidR="000E52B0" w:rsidRDefault="000E52B0">
      <w:pPr>
        <w:rPr>
          <w:b/>
        </w:rPr>
        <w:sectPr w:rsidR="000E52B0">
          <w:pgSz w:w="11910" w:h="16840"/>
          <w:pgMar w:top="1340" w:right="720" w:bottom="1566" w:left="720" w:header="0" w:footer="995" w:gutter="0"/>
          <w:cols w:space="720"/>
        </w:sectPr>
      </w:pPr>
    </w:p>
    <w:sdt>
      <w:sdtPr>
        <w:id w:val="1588651305"/>
        <w:docPartObj>
          <w:docPartGallery w:val="Table of Contents"/>
          <w:docPartUnique/>
        </w:docPartObj>
      </w:sdtPr>
      <w:sdtContent>
        <w:p w14:paraId="70CA9507" w14:textId="77777777" w:rsidR="000E52B0" w:rsidRDefault="000E52B0">
          <w:pPr>
            <w:pStyle w:val="TDC1"/>
            <w:numPr>
              <w:ilvl w:val="0"/>
              <w:numId w:val="54"/>
            </w:numPr>
            <w:tabs>
              <w:tab w:val="left" w:pos="1200"/>
              <w:tab w:val="left" w:leader="dot" w:pos="9583"/>
            </w:tabs>
            <w:spacing w:before="122"/>
          </w:pPr>
          <w:hyperlink w:anchor="_bookmark0" w:history="1">
            <w:r>
              <w:rPr>
                <w:spacing w:val="-2"/>
              </w:rPr>
              <w:t>Antecedentes</w:t>
            </w:r>
            <w:r>
              <w:tab/>
            </w:r>
            <w:r>
              <w:rPr>
                <w:spacing w:val="-10"/>
              </w:rPr>
              <w:t>4</w:t>
            </w:r>
          </w:hyperlink>
        </w:p>
        <w:p w14:paraId="26C42DF9" w14:textId="77777777" w:rsidR="000E52B0" w:rsidRPr="00203383" w:rsidRDefault="000E52B0">
          <w:pPr>
            <w:pStyle w:val="TDC1"/>
            <w:numPr>
              <w:ilvl w:val="0"/>
              <w:numId w:val="54"/>
            </w:numPr>
            <w:tabs>
              <w:tab w:val="left" w:pos="1440"/>
              <w:tab w:val="left" w:leader="dot" w:pos="9583"/>
            </w:tabs>
            <w:spacing w:before="164"/>
            <w:ind w:left="1440" w:hanging="720"/>
            <w:rPr>
              <w:lang w:val="pt-PT"/>
            </w:rPr>
          </w:pPr>
          <w:hyperlink w:anchor="_bookmark1" w:history="1">
            <w:r w:rsidRPr="00203383">
              <w:rPr>
                <w:lang w:val="pt-PT"/>
              </w:rPr>
              <w:t>Estado</w:t>
            </w:r>
            <w:r w:rsidRPr="00203383">
              <w:rPr>
                <w:spacing w:val="-6"/>
                <w:lang w:val="pt-PT"/>
              </w:rPr>
              <w:t xml:space="preserve"> </w:t>
            </w:r>
            <w:r w:rsidRPr="00203383">
              <w:rPr>
                <w:lang w:val="pt-PT"/>
              </w:rPr>
              <w:t>de</w:t>
            </w:r>
            <w:r w:rsidRPr="00203383">
              <w:rPr>
                <w:spacing w:val="-7"/>
                <w:lang w:val="pt-PT"/>
              </w:rPr>
              <w:t xml:space="preserve"> </w:t>
            </w:r>
            <w:r w:rsidRPr="00203383">
              <w:rPr>
                <w:lang w:val="pt-PT"/>
              </w:rPr>
              <w:t>desigualdades</w:t>
            </w:r>
            <w:r w:rsidRPr="00203383">
              <w:rPr>
                <w:spacing w:val="-6"/>
                <w:lang w:val="pt-PT"/>
              </w:rPr>
              <w:t xml:space="preserve"> </w:t>
            </w:r>
            <w:r w:rsidRPr="00203383">
              <w:rPr>
                <w:lang w:val="pt-PT"/>
              </w:rPr>
              <w:t>e</w:t>
            </w:r>
            <w:r w:rsidRPr="00203383">
              <w:rPr>
                <w:spacing w:val="-6"/>
                <w:lang w:val="pt-PT"/>
              </w:rPr>
              <w:t xml:space="preserve"> </w:t>
            </w:r>
            <w:r w:rsidRPr="00203383">
              <w:rPr>
                <w:spacing w:val="-2"/>
                <w:lang w:val="pt-PT"/>
              </w:rPr>
              <w:t>inequidades</w:t>
            </w:r>
            <w:r w:rsidRPr="00203383">
              <w:rPr>
                <w:lang w:val="pt-PT"/>
              </w:rPr>
              <w:tab/>
            </w:r>
            <w:r w:rsidRPr="00203383">
              <w:rPr>
                <w:spacing w:val="-10"/>
                <w:lang w:val="pt-PT"/>
              </w:rPr>
              <w:t>5</w:t>
            </w:r>
          </w:hyperlink>
        </w:p>
        <w:p w14:paraId="4F2469D2" w14:textId="77777777" w:rsidR="000E52B0" w:rsidRDefault="000E52B0">
          <w:pPr>
            <w:pStyle w:val="TDC2"/>
            <w:tabs>
              <w:tab w:val="left" w:leader="dot" w:pos="9583"/>
            </w:tabs>
            <w:spacing w:before="163"/>
            <w:ind w:right="0"/>
          </w:pPr>
          <w:hyperlink w:anchor="_bookmark2" w:history="1">
            <w:r>
              <w:t>Desigualdades</w:t>
            </w:r>
            <w:r>
              <w:rPr>
                <w:spacing w:val="-10"/>
              </w:rPr>
              <w:t xml:space="preserve"> </w:t>
            </w:r>
            <w:r>
              <w:t>e</w:t>
            </w:r>
            <w:r>
              <w:rPr>
                <w:spacing w:val="-10"/>
              </w:rPr>
              <w:t xml:space="preserve"> </w:t>
            </w:r>
            <w:r>
              <w:t>inequidades</w:t>
            </w:r>
            <w:r>
              <w:rPr>
                <w:spacing w:val="-9"/>
              </w:rPr>
              <w:t xml:space="preserve"> </w:t>
            </w:r>
            <w:r>
              <w:rPr>
                <w:spacing w:val="-2"/>
              </w:rPr>
              <w:t>territoriales</w:t>
            </w:r>
            <w:r>
              <w:tab/>
            </w:r>
            <w:r>
              <w:rPr>
                <w:spacing w:val="-10"/>
              </w:rPr>
              <w:t>6</w:t>
            </w:r>
          </w:hyperlink>
        </w:p>
        <w:p w14:paraId="42FC7841" w14:textId="77777777" w:rsidR="000E52B0" w:rsidRDefault="000E52B0">
          <w:pPr>
            <w:pStyle w:val="TDC2"/>
            <w:tabs>
              <w:tab w:val="left" w:leader="dot" w:pos="9426"/>
            </w:tabs>
            <w:spacing w:before="164"/>
            <w:ind w:right="0"/>
          </w:pPr>
          <w:hyperlink w:anchor="_bookmark13" w:history="1">
            <w:r>
              <w:t>Desigualdades</w:t>
            </w:r>
            <w:r>
              <w:rPr>
                <w:spacing w:val="-15"/>
              </w:rPr>
              <w:t xml:space="preserve"> </w:t>
            </w:r>
            <w:r>
              <w:rPr>
                <w:spacing w:val="-2"/>
              </w:rPr>
              <w:t>Poblacionales</w:t>
            </w:r>
            <w:r>
              <w:tab/>
            </w:r>
            <w:r>
              <w:rPr>
                <w:spacing w:val="-5"/>
              </w:rPr>
              <w:t>22</w:t>
            </w:r>
          </w:hyperlink>
        </w:p>
        <w:p w14:paraId="6A9E1CB8" w14:textId="77777777" w:rsidR="000E52B0" w:rsidRDefault="000E52B0">
          <w:pPr>
            <w:pStyle w:val="TDC3"/>
            <w:tabs>
              <w:tab w:val="left" w:leader="dot" w:pos="9457"/>
            </w:tabs>
            <w:spacing w:before="42"/>
            <w:rPr>
              <w:b w:val="0"/>
            </w:rPr>
          </w:pPr>
          <w:hyperlink w:anchor="_bookmark14" w:history="1">
            <w:r>
              <w:t>Desigualdad</w:t>
            </w:r>
            <w:r>
              <w:rPr>
                <w:spacing w:val="-14"/>
              </w:rPr>
              <w:t xml:space="preserve"> </w:t>
            </w:r>
            <w:r>
              <w:rPr>
                <w:spacing w:val="-2"/>
              </w:rPr>
              <w:t>económica</w:t>
            </w:r>
            <w:r>
              <w:tab/>
            </w:r>
            <w:r>
              <w:rPr>
                <w:b w:val="0"/>
                <w:spacing w:val="-5"/>
              </w:rPr>
              <w:t>23</w:t>
            </w:r>
          </w:hyperlink>
        </w:p>
        <w:p w14:paraId="4EC0A725" w14:textId="77777777" w:rsidR="000E52B0" w:rsidRDefault="000E52B0">
          <w:pPr>
            <w:pStyle w:val="TDC3"/>
            <w:tabs>
              <w:tab w:val="left" w:leader="dot" w:pos="9457"/>
            </w:tabs>
            <w:spacing w:line="278" w:lineRule="auto"/>
            <w:ind w:right="723"/>
            <w:rPr>
              <w:b w:val="0"/>
            </w:rPr>
          </w:pPr>
          <w:hyperlink w:anchor="_bookmark60" w:history="1">
            <w:r>
              <w:t>Discriminaciones y exclusiones: Desigualdad social, cultural y</w:t>
            </w:r>
          </w:hyperlink>
          <w:r>
            <w:t xml:space="preserve"> </w:t>
          </w:r>
          <w:hyperlink w:anchor="_bookmark60" w:history="1">
            <w:r>
              <w:rPr>
                <w:spacing w:val="-2"/>
              </w:rPr>
              <w:t>política</w:t>
            </w:r>
            <w:r>
              <w:tab/>
            </w:r>
            <w:r>
              <w:rPr>
                <w:b w:val="0"/>
                <w:spacing w:val="-5"/>
              </w:rPr>
              <w:t>54</w:t>
            </w:r>
          </w:hyperlink>
        </w:p>
        <w:p w14:paraId="4FD90A49" w14:textId="77777777" w:rsidR="000E52B0" w:rsidRDefault="000E52B0">
          <w:pPr>
            <w:pStyle w:val="TDC5"/>
            <w:tabs>
              <w:tab w:val="left" w:leader="dot" w:pos="9457"/>
            </w:tabs>
            <w:spacing w:before="1"/>
          </w:pPr>
          <w:hyperlink w:anchor="_bookmark61" w:history="1">
            <w:r>
              <w:t>Barreras</w:t>
            </w:r>
            <w:r>
              <w:rPr>
                <w:spacing w:val="-7"/>
              </w:rPr>
              <w:t xml:space="preserve"> </w:t>
            </w:r>
            <w:r>
              <w:t>para</w:t>
            </w:r>
            <w:r>
              <w:rPr>
                <w:spacing w:val="-4"/>
              </w:rPr>
              <w:t xml:space="preserve"> </w:t>
            </w:r>
            <w:r>
              <w:t>la</w:t>
            </w:r>
            <w:r>
              <w:rPr>
                <w:spacing w:val="-5"/>
              </w:rPr>
              <w:t xml:space="preserve"> </w:t>
            </w:r>
            <w:r>
              <w:t>participación</w:t>
            </w:r>
            <w:r>
              <w:rPr>
                <w:spacing w:val="-4"/>
              </w:rPr>
              <w:t xml:space="preserve"> </w:t>
            </w:r>
            <w:r>
              <w:t>ciudadana</w:t>
            </w:r>
            <w:r>
              <w:rPr>
                <w:spacing w:val="-5"/>
              </w:rPr>
              <w:t xml:space="preserve"> </w:t>
            </w:r>
            <w:r>
              <w:t>y</w:t>
            </w:r>
            <w:r>
              <w:rPr>
                <w:spacing w:val="-3"/>
              </w:rPr>
              <w:t xml:space="preserve"> </w:t>
            </w:r>
            <w:r>
              <w:rPr>
                <w:spacing w:val="-2"/>
              </w:rPr>
              <w:t>política</w:t>
            </w:r>
            <w:r>
              <w:tab/>
            </w:r>
            <w:r>
              <w:rPr>
                <w:spacing w:val="-5"/>
              </w:rPr>
              <w:t>54</w:t>
            </w:r>
          </w:hyperlink>
        </w:p>
        <w:p w14:paraId="546C762C" w14:textId="77777777" w:rsidR="000E52B0" w:rsidRDefault="000E52B0">
          <w:pPr>
            <w:pStyle w:val="TDC5"/>
            <w:tabs>
              <w:tab w:val="left" w:leader="dot" w:pos="9457"/>
            </w:tabs>
            <w:spacing w:before="43"/>
          </w:pPr>
          <w:hyperlink w:anchor="_bookmark71" w:history="1">
            <w:r>
              <w:t>Prácticas</w:t>
            </w:r>
            <w:r>
              <w:rPr>
                <w:spacing w:val="-4"/>
              </w:rPr>
              <w:t xml:space="preserve"> </w:t>
            </w:r>
            <w:r>
              <w:t>de</w:t>
            </w:r>
            <w:r>
              <w:rPr>
                <w:spacing w:val="-3"/>
              </w:rPr>
              <w:t xml:space="preserve"> </w:t>
            </w:r>
            <w:r>
              <w:t>discriminación</w:t>
            </w:r>
            <w:r>
              <w:rPr>
                <w:spacing w:val="-4"/>
              </w:rPr>
              <w:t xml:space="preserve"> </w:t>
            </w:r>
            <w:r>
              <w:t>y</w:t>
            </w:r>
            <w:r>
              <w:rPr>
                <w:spacing w:val="-4"/>
              </w:rPr>
              <w:t xml:space="preserve"> </w:t>
            </w:r>
            <w:r>
              <w:rPr>
                <w:spacing w:val="-2"/>
              </w:rPr>
              <w:t>violencias</w:t>
            </w:r>
            <w:r>
              <w:tab/>
            </w:r>
            <w:r>
              <w:rPr>
                <w:spacing w:val="-5"/>
              </w:rPr>
              <w:t>60</w:t>
            </w:r>
          </w:hyperlink>
        </w:p>
        <w:p w14:paraId="5FFE6627" w14:textId="77777777" w:rsidR="000E52B0" w:rsidRDefault="000E52B0">
          <w:pPr>
            <w:pStyle w:val="TDC3"/>
            <w:tabs>
              <w:tab w:val="left" w:leader="dot" w:pos="9457"/>
            </w:tabs>
            <w:rPr>
              <w:b w:val="0"/>
            </w:rPr>
          </w:pPr>
          <w:hyperlink w:anchor="_bookmark97" w:history="1">
            <w:r>
              <w:t>Los</w:t>
            </w:r>
            <w:r>
              <w:rPr>
                <w:spacing w:val="-5"/>
              </w:rPr>
              <w:t xml:space="preserve"> </w:t>
            </w:r>
            <w:r>
              <w:t>costos</w:t>
            </w:r>
            <w:r>
              <w:rPr>
                <w:spacing w:val="-4"/>
              </w:rPr>
              <w:t xml:space="preserve"> </w:t>
            </w:r>
            <w:r>
              <w:t>sociales</w:t>
            </w:r>
            <w:r>
              <w:rPr>
                <w:spacing w:val="-5"/>
              </w:rPr>
              <w:t xml:space="preserve"> </w:t>
            </w:r>
            <w:r>
              <w:t>de</w:t>
            </w:r>
            <w:r>
              <w:rPr>
                <w:spacing w:val="-6"/>
              </w:rPr>
              <w:t xml:space="preserve"> </w:t>
            </w:r>
            <w:r>
              <w:t>la</w:t>
            </w:r>
            <w:r>
              <w:rPr>
                <w:spacing w:val="-5"/>
              </w:rPr>
              <w:t xml:space="preserve"> </w:t>
            </w:r>
            <w:r>
              <w:rPr>
                <w:spacing w:val="-2"/>
              </w:rPr>
              <w:t>desigualdad</w:t>
            </w:r>
            <w:r>
              <w:tab/>
            </w:r>
            <w:r>
              <w:rPr>
                <w:b w:val="0"/>
                <w:spacing w:val="-5"/>
              </w:rPr>
              <w:t>85</w:t>
            </w:r>
          </w:hyperlink>
        </w:p>
        <w:p w14:paraId="3DA1BCC9" w14:textId="77777777" w:rsidR="000E52B0" w:rsidRDefault="000E52B0">
          <w:pPr>
            <w:pStyle w:val="TDC5"/>
            <w:tabs>
              <w:tab w:val="left" w:leader="dot" w:pos="9457"/>
            </w:tabs>
          </w:pPr>
          <w:hyperlink w:anchor="_bookmark98" w:history="1">
            <w:r>
              <w:t>Capacidades,</w:t>
            </w:r>
            <w:r>
              <w:rPr>
                <w:spacing w:val="-3"/>
              </w:rPr>
              <w:t xml:space="preserve"> </w:t>
            </w:r>
            <w:r>
              <w:t>generación</w:t>
            </w:r>
            <w:r>
              <w:rPr>
                <w:spacing w:val="-5"/>
              </w:rPr>
              <w:t xml:space="preserve"> </w:t>
            </w:r>
            <w:r>
              <w:t>de</w:t>
            </w:r>
            <w:r>
              <w:rPr>
                <w:spacing w:val="-3"/>
              </w:rPr>
              <w:t xml:space="preserve"> </w:t>
            </w:r>
            <w:r>
              <w:t>ingresos</w:t>
            </w:r>
            <w:r>
              <w:rPr>
                <w:spacing w:val="-5"/>
              </w:rPr>
              <w:t xml:space="preserve"> </w:t>
            </w:r>
            <w:r>
              <w:t>y</w:t>
            </w:r>
            <w:r>
              <w:rPr>
                <w:spacing w:val="-5"/>
              </w:rPr>
              <w:t xml:space="preserve"> </w:t>
            </w:r>
            <w:r>
              <w:rPr>
                <w:spacing w:val="-2"/>
              </w:rPr>
              <w:t>oportunidades</w:t>
            </w:r>
            <w:r>
              <w:tab/>
            </w:r>
            <w:r>
              <w:rPr>
                <w:spacing w:val="-5"/>
              </w:rPr>
              <w:t>85</w:t>
            </w:r>
          </w:hyperlink>
        </w:p>
        <w:p w14:paraId="00D443F7" w14:textId="77777777" w:rsidR="000E52B0" w:rsidRDefault="000E52B0">
          <w:pPr>
            <w:pStyle w:val="TDC5"/>
            <w:tabs>
              <w:tab w:val="left" w:leader="dot" w:pos="9457"/>
            </w:tabs>
            <w:spacing w:before="45"/>
          </w:pPr>
          <w:hyperlink w:anchor="_bookmark110" w:history="1">
            <w:r>
              <w:t>Productividad</w:t>
            </w:r>
            <w:r>
              <w:rPr>
                <w:spacing w:val="-5"/>
              </w:rPr>
              <w:t xml:space="preserve"> </w:t>
            </w:r>
            <w:r>
              <w:t>y</w:t>
            </w:r>
            <w:r>
              <w:rPr>
                <w:spacing w:val="-4"/>
              </w:rPr>
              <w:t xml:space="preserve"> </w:t>
            </w:r>
            <w:r>
              <w:t>crecimiento</w:t>
            </w:r>
            <w:r>
              <w:rPr>
                <w:spacing w:val="-2"/>
              </w:rPr>
              <w:t xml:space="preserve"> económico</w:t>
            </w:r>
            <w:r>
              <w:tab/>
            </w:r>
            <w:r>
              <w:rPr>
                <w:spacing w:val="-5"/>
              </w:rPr>
              <w:t>87</w:t>
            </w:r>
          </w:hyperlink>
        </w:p>
        <w:p w14:paraId="6A3FFF25" w14:textId="77777777" w:rsidR="000E52B0" w:rsidRDefault="000E52B0">
          <w:pPr>
            <w:pStyle w:val="TDC5"/>
            <w:tabs>
              <w:tab w:val="left" w:leader="dot" w:pos="9457"/>
            </w:tabs>
            <w:spacing w:before="44"/>
          </w:pPr>
          <w:hyperlink w:anchor="_bookmark119" w:history="1">
            <w:r>
              <w:t>Corrupción</w:t>
            </w:r>
            <w:r>
              <w:rPr>
                <w:spacing w:val="-5"/>
              </w:rPr>
              <w:t xml:space="preserve"> </w:t>
            </w:r>
            <w:r>
              <w:t>del</w:t>
            </w:r>
            <w:r>
              <w:rPr>
                <w:spacing w:val="-3"/>
              </w:rPr>
              <w:t xml:space="preserve"> </w:t>
            </w:r>
            <w:r>
              <w:t>sistema</w:t>
            </w:r>
            <w:r>
              <w:rPr>
                <w:spacing w:val="-3"/>
              </w:rPr>
              <w:t xml:space="preserve"> </w:t>
            </w:r>
            <w:r>
              <w:t>político</w:t>
            </w:r>
            <w:r>
              <w:rPr>
                <w:spacing w:val="-3"/>
              </w:rPr>
              <w:t xml:space="preserve"> </w:t>
            </w:r>
            <w:r>
              <w:t>y</w:t>
            </w:r>
            <w:r>
              <w:rPr>
                <w:spacing w:val="-3"/>
              </w:rPr>
              <w:t xml:space="preserve"> </w:t>
            </w:r>
            <w:r>
              <w:t>eficiencia</w:t>
            </w:r>
            <w:r>
              <w:rPr>
                <w:spacing w:val="-4"/>
              </w:rPr>
              <w:t xml:space="preserve"> </w:t>
            </w:r>
            <w:r>
              <w:t>en</w:t>
            </w:r>
            <w:r>
              <w:rPr>
                <w:spacing w:val="-2"/>
              </w:rPr>
              <w:t xml:space="preserve"> </w:t>
            </w:r>
            <w:r>
              <w:t>el</w:t>
            </w:r>
            <w:r>
              <w:rPr>
                <w:spacing w:val="-3"/>
              </w:rPr>
              <w:t xml:space="preserve"> </w:t>
            </w:r>
            <w:r>
              <w:t>gasto</w:t>
            </w:r>
            <w:r>
              <w:rPr>
                <w:spacing w:val="-2"/>
              </w:rPr>
              <w:t xml:space="preserve"> público</w:t>
            </w:r>
            <w:r>
              <w:tab/>
            </w:r>
            <w:r>
              <w:rPr>
                <w:spacing w:val="-5"/>
              </w:rPr>
              <w:t>88</w:t>
            </w:r>
          </w:hyperlink>
        </w:p>
        <w:p w14:paraId="342C12EC" w14:textId="77777777" w:rsidR="000E52B0" w:rsidRDefault="000E52B0">
          <w:pPr>
            <w:pStyle w:val="TDC5"/>
            <w:tabs>
              <w:tab w:val="left" w:leader="dot" w:pos="9457"/>
            </w:tabs>
            <w:spacing w:before="43"/>
          </w:pPr>
          <w:hyperlink w:anchor="_bookmark127" w:history="1">
            <w:r>
              <w:t>Criminalidad,</w:t>
            </w:r>
            <w:r>
              <w:rPr>
                <w:spacing w:val="-4"/>
              </w:rPr>
              <w:t xml:space="preserve"> </w:t>
            </w:r>
            <w:r>
              <w:t>falta</w:t>
            </w:r>
            <w:r>
              <w:rPr>
                <w:spacing w:val="-5"/>
              </w:rPr>
              <w:t xml:space="preserve"> </w:t>
            </w:r>
            <w:r>
              <w:t>de</w:t>
            </w:r>
            <w:r>
              <w:rPr>
                <w:spacing w:val="-2"/>
              </w:rPr>
              <w:t xml:space="preserve"> </w:t>
            </w:r>
            <w:r>
              <w:t>confianza</w:t>
            </w:r>
            <w:r>
              <w:rPr>
                <w:spacing w:val="-5"/>
              </w:rPr>
              <w:t xml:space="preserve"> </w:t>
            </w:r>
            <w:r>
              <w:t>y</w:t>
            </w:r>
            <w:r>
              <w:rPr>
                <w:spacing w:val="-5"/>
              </w:rPr>
              <w:t xml:space="preserve"> </w:t>
            </w:r>
            <w:r>
              <w:rPr>
                <w:spacing w:val="-2"/>
              </w:rPr>
              <w:t>violencia</w:t>
            </w:r>
            <w:r>
              <w:tab/>
            </w:r>
            <w:r>
              <w:rPr>
                <w:spacing w:val="-5"/>
              </w:rPr>
              <w:t>89</w:t>
            </w:r>
          </w:hyperlink>
        </w:p>
        <w:p w14:paraId="19DEBCEE" w14:textId="77777777" w:rsidR="000E52B0" w:rsidRDefault="000E52B0">
          <w:pPr>
            <w:pStyle w:val="TDC5"/>
            <w:tabs>
              <w:tab w:val="left" w:leader="dot" w:pos="9457"/>
            </w:tabs>
            <w:spacing w:before="44"/>
          </w:pPr>
          <w:hyperlink w:anchor="_bookmark135" w:history="1">
            <w:r>
              <w:rPr>
                <w:spacing w:val="-2"/>
              </w:rPr>
              <w:t>Salud</w:t>
            </w:r>
            <w:r>
              <w:tab/>
            </w:r>
            <w:r>
              <w:rPr>
                <w:spacing w:val="-5"/>
              </w:rPr>
              <w:t>91</w:t>
            </w:r>
          </w:hyperlink>
        </w:p>
        <w:p w14:paraId="1102BE18" w14:textId="77777777" w:rsidR="000E52B0" w:rsidRDefault="000E52B0">
          <w:pPr>
            <w:pStyle w:val="TDC5"/>
            <w:tabs>
              <w:tab w:val="left" w:leader="dot" w:pos="9457"/>
            </w:tabs>
          </w:pPr>
          <w:hyperlink w:anchor="_bookmark141" w:history="1">
            <w:r>
              <w:rPr>
                <w:spacing w:val="-2"/>
              </w:rPr>
              <w:t>Migraciones</w:t>
            </w:r>
            <w:r>
              <w:tab/>
            </w:r>
            <w:r>
              <w:rPr>
                <w:spacing w:val="-5"/>
              </w:rPr>
              <w:t>92</w:t>
            </w:r>
          </w:hyperlink>
        </w:p>
        <w:p w14:paraId="31436B12" w14:textId="77777777" w:rsidR="000E52B0" w:rsidRDefault="000E52B0">
          <w:pPr>
            <w:pStyle w:val="TDC4"/>
            <w:tabs>
              <w:tab w:val="left" w:leader="dot" w:pos="9457"/>
            </w:tabs>
          </w:pPr>
          <w:hyperlink w:anchor="_bookmark144" w:history="1">
            <w:r>
              <w:t>Respuesta</w:t>
            </w:r>
            <w:r>
              <w:rPr>
                <w:spacing w:val="-7"/>
              </w:rPr>
              <w:t xml:space="preserve"> </w:t>
            </w:r>
            <w:r>
              <w:t>institucional</w:t>
            </w:r>
            <w:r>
              <w:rPr>
                <w:spacing w:val="-4"/>
              </w:rPr>
              <w:t xml:space="preserve"> </w:t>
            </w:r>
            <w:r>
              <w:t>a</w:t>
            </w:r>
            <w:r>
              <w:rPr>
                <w:spacing w:val="-5"/>
              </w:rPr>
              <w:t xml:space="preserve"> </w:t>
            </w:r>
            <w:r>
              <w:t>las</w:t>
            </w:r>
            <w:r>
              <w:rPr>
                <w:spacing w:val="-3"/>
              </w:rPr>
              <w:t xml:space="preserve"> </w:t>
            </w:r>
            <w:r>
              <w:rPr>
                <w:spacing w:val="-2"/>
              </w:rPr>
              <w:t>brechas</w:t>
            </w:r>
            <w:r>
              <w:tab/>
            </w:r>
            <w:r>
              <w:rPr>
                <w:spacing w:val="-5"/>
              </w:rPr>
              <w:t>93</w:t>
            </w:r>
          </w:hyperlink>
        </w:p>
        <w:p w14:paraId="026F6EE7" w14:textId="77777777" w:rsidR="000E52B0" w:rsidRDefault="000E52B0">
          <w:pPr>
            <w:pStyle w:val="TDC5"/>
            <w:tabs>
              <w:tab w:val="left" w:leader="dot" w:pos="9457"/>
            </w:tabs>
          </w:pPr>
          <w:hyperlink w:anchor="_bookmark145" w:history="1">
            <w:r>
              <w:t>Programas</w:t>
            </w:r>
            <w:r>
              <w:rPr>
                <w:spacing w:val="-7"/>
              </w:rPr>
              <w:t xml:space="preserve"> </w:t>
            </w:r>
            <w:r>
              <w:rPr>
                <w:spacing w:val="-2"/>
              </w:rPr>
              <w:t>territoriales</w:t>
            </w:r>
            <w:r>
              <w:tab/>
            </w:r>
            <w:r>
              <w:rPr>
                <w:spacing w:val="-5"/>
              </w:rPr>
              <w:t>93</w:t>
            </w:r>
          </w:hyperlink>
        </w:p>
        <w:p w14:paraId="07FE53D6" w14:textId="77777777" w:rsidR="000E52B0" w:rsidRDefault="000E52B0">
          <w:pPr>
            <w:pStyle w:val="TDC5"/>
            <w:tabs>
              <w:tab w:val="left" w:leader="dot" w:pos="9457"/>
            </w:tabs>
            <w:spacing w:before="45"/>
          </w:pPr>
          <w:hyperlink w:anchor="_bookmark149" w:history="1">
            <w:r>
              <w:t>Programa</w:t>
            </w:r>
            <w:r>
              <w:rPr>
                <w:spacing w:val="-5"/>
              </w:rPr>
              <w:t xml:space="preserve"> </w:t>
            </w:r>
            <w:r>
              <w:rPr>
                <w:spacing w:val="-2"/>
              </w:rPr>
              <w:t>institucional</w:t>
            </w:r>
            <w:r>
              <w:tab/>
            </w:r>
            <w:r>
              <w:rPr>
                <w:spacing w:val="-5"/>
              </w:rPr>
              <w:t>94</w:t>
            </w:r>
          </w:hyperlink>
        </w:p>
        <w:p w14:paraId="42E2E9E6" w14:textId="77777777" w:rsidR="000E52B0" w:rsidRDefault="000E52B0">
          <w:pPr>
            <w:pStyle w:val="TDC5"/>
            <w:tabs>
              <w:tab w:val="left" w:leader="dot" w:pos="9457"/>
            </w:tabs>
          </w:pPr>
          <w:hyperlink w:anchor="_bookmark150" w:history="1">
            <w:r>
              <w:t>Programas</w:t>
            </w:r>
            <w:r>
              <w:rPr>
                <w:spacing w:val="-7"/>
              </w:rPr>
              <w:t xml:space="preserve"> </w:t>
            </w:r>
            <w:r>
              <w:rPr>
                <w:spacing w:val="-2"/>
              </w:rPr>
              <w:t>poblacionales</w:t>
            </w:r>
            <w:r>
              <w:tab/>
            </w:r>
            <w:r>
              <w:rPr>
                <w:spacing w:val="-5"/>
              </w:rPr>
              <w:t>95</w:t>
            </w:r>
          </w:hyperlink>
        </w:p>
        <w:p w14:paraId="1633ED05" w14:textId="77777777" w:rsidR="000E52B0" w:rsidRDefault="000E52B0">
          <w:pPr>
            <w:pStyle w:val="TDC6"/>
            <w:tabs>
              <w:tab w:val="left" w:leader="dot" w:pos="9457"/>
            </w:tabs>
          </w:pPr>
          <w:hyperlink w:anchor="_bookmark151" w:history="1">
            <w:r>
              <w:t>Viceministerio</w:t>
            </w:r>
            <w:r>
              <w:rPr>
                <w:spacing w:val="-4"/>
              </w:rPr>
              <w:t xml:space="preserve"> </w:t>
            </w:r>
            <w:r>
              <w:t>de</w:t>
            </w:r>
            <w:r>
              <w:rPr>
                <w:spacing w:val="-4"/>
              </w:rPr>
              <w:t xml:space="preserve"> </w:t>
            </w:r>
            <w:r>
              <w:t>las</w:t>
            </w:r>
            <w:r>
              <w:rPr>
                <w:spacing w:val="-6"/>
              </w:rPr>
              <w:t xml:space="preserve"> </w:t>
            </w:r>
            <w:r>
              <w:rPr>
                <w:spacing w:val="-2"/>
              </w:rPr>
              <w:t>Mujeres</w:t>
            </w:r>
            <w:r>
              <w:tab/>
            </w:r>
            <w:r>
              <w:rPr>
                <w:spacing w:val="-5"/>
              </w:rPr>
              <w:t>95</w:t>
            </w:r>
          </w:hyperlink>
        </w:p>
        <w:p w14:paraId="6118A684" w14:textId="77777777" w:rsidR="000E52B0" w:rsidRDefault="000E52B0">
          <w:pPr>
            <w:pStyle w:val="TDC6"/>
            <w:tabs>
              <w:tab w:val="left" w:leader="dot" w:pos="9457"/>
            </w:tabs>
            <w:spacing w:before="42"/>
          </w:pPr>
          <w:hyperlink w:anchor="_bookmark152" w:history="1">
            <w:r>
              <w:t>Viceministerio</w:t>
            </w:r>
            <w:r>
              <w:rPr>
                <w:spacing w:val="-4"/>
              </w:rPr>
              <w:t xml:space="preserve"> </w:t>
            </w:r>
            <w:r>
              <w:t>de</w:t>
            </w:r>
            <w:r>
              <w:rPr>
                <w:spacing w:val="-3"/>
              </w:rPr>
              <w:t xml:space="preserve"> </w:t>
            </w:r>
            <w:r>
              <w:t>la</w:t>
            </w:r>
            <w:r>
              <w:rPr>
                <w:spacing w:val="-4"/>
              </w:rPr>
              <w:t xml:space="preserve"> </w:t>
            </w:r>
            <w:r>
              <w:rPr>
                <w:spacing w:val="-2"/>
              </w:rPr>
              <w:t>Juventud</w:t>
            </w:r>
            <w:r>
              <w:tab/>
            </w:r>
            <w:r>
              <w:rPr>
                <w:spacing w:val="-5"/>
              </w:rPr>
              <w:t>96</w:t>
            </w:r>
          </w:hyperlink>
        </w:p>
        <w:p w14:paraId="09B8FDA8" w14:textId="77777777" w:rsidR="000E52B0" w:rsidRDefault="000E52B0">
          <w:pPr>
            <w:pStyle w:val="TDC6"/>
            <w:tabs>
              <w:tab w:val="left" w:leader="dot" w:pos="9457"/>
            </w:tabs>
            <w:spacing w:line="278" w:lineRule="auto"/>
            <w:ind w:right="723"/>
          </w:pPr>
          <w:hyperlink w:anchor="_bookmark153" w:history="1">
            <w:r>
              <w:t>Viceministerio para las Poblaciones y Territorios Excluidos y la</w:t>
            </w:r>
          </w:hyperlink>
          <w:r>
            <w:t xml:space="preserve"> </w:t>
          </w:r>
          <w:hyperlink w:anchor="_bookmark153" w:history="1">
            <w:r>
              <w:t>Superación</w:t>
            </w:r>
            <w:r>
              <w:rPr>
                <w:spacing w:val="-3"/>
              </w:rPr>
              <w:t xml:space="preserve"> </w:t>
            </w:r>
            <w:r>
              <w:t>de</w:t>
            </w:r>
            <w:r>
              <w:rPr>
                <w:spacing w:val="-3"/>
              </w:rPr>
              <w:t xml:space="preserve"> </w:t>
            </w:r>
            <w:r>
              <w:t>la</w:t>
            </w:r>
            <w:r>
              <w:rPr>
                <w:spacing w:val="-3"/>
              </w:rPr>
              <w:t xml:space="preserve"> </w:t>
            </w:r>
            <w:r>
              <w:rPr>
                <w:spacing w:val="-2"/>
              </w:rPr>
              <w:t>Pobreza</w:t>
            </w:r>
            <w:r>
              <w:tab/>
            </w:r>
            <w:r>
              <w:rPr>
                <w:spacing w:val="-5"/>
              </w:rPr>
              <w:t>97</w:t>
            </w:r>
          </w:hyperlink>
        </w:p>
        <w:p w14:paraId="18E7D87F" w14:textId="77777777" w:rsidR="000E52B0" w:rsidRDefault="000E52B0">
          <w:pPr>
            <w:pStyle w:val="TDC6"/>
            <w:tabs>
              <w:tab w:val="left" w:leader="dot" w:pos="9457"/>
            </w:tabs>
            <w:spacing w:before="1"/>
          </w:pPr>
          <w:hyperlink w:anchor="_bookmark154" w:history="1">
            <w:r>
              <w:t>Viceministerio</w:t>
            </w:r>
            <w:r>
              <w:rPr>
                <w:spacing w:val="-4"/>
              </w:rPr>
              <w:t xml:space="preserve"> </w:t>
            </w:r>
            <w:r>
              <w:t>de</w:t>
            </w:r>
            <w:r>
              <w:rPr>
                <w:spacing w:val="-4"/>
              </w:rPr>
              <w:t xml:space="preserve"> </w:t>
            </w:r>
            <w:r>
              <w:t>las</w:t>
            </w:r>
            <w:r>
              <w:rPr>
                <w:spacing w:val="-6"/>
              </w:rPr>
              <w:t xml:space="preserve"> </w:t>
            </w:r>
            <w:r>
              <w:rPr>
                <w:spacing w:val="-2"/>
              </w:rPr>
              <w:t>Diversidades</w:t>
            </w:r>
            <w:r>
              <w:tab/>
            </w:r>
            <w:r>
              <w:rPr>
                <w:spacing w:val="-5"/>
              </w:rPr>
              <w:t>97</w:t>
            </w:r>
          </w:hyperlink>
        </w:p>
        <w:p w14:paraId="11693809" w14:textId="77777777" w:rsidR="000E52B0" w:rsidRDefault="000E52B0">
          <w:pPr>
            <w:pStyle w:val="TDC6"/>
            <w:tabs>
              <w:tab w:val="left" w:leader="dot" w:pos="9457"/>
            </w:tabs>
            <w:spacing w:before="43"/>
          </w:pPr>
          <w:hyperlink w:anchor="_bookmark155" w:history="1">
            <w:r>
              <w:t>Viceministerio</w:t>
            </w:r>
            <w:r>
              <w:rPr>
                <w:spacing w:val="-4"/>
              </w:rPr>
              <w:t xml:space="preserve"> </w:t>
            </w:r>
            <w:r>
              <w:t>de</w:t>
            </w:r>
            <w:r>
              <w:rPr>
                <w:spacing w:val="-4"/>
              </w:rPr>
              <w:t xml:space="preserve"> </w:t>
            </w:r>
            <w:r>
              <w:t>Pueblos</w:t>
            </w:r>
            <w:r>
              <w:rPr>
                <w:spacing w:val="-3"/>
              </w:rPr>
              <w:t xml:space="preserve"> </w:t>
            </w:r>
            <w:r>
              <w:t>Étnicos</w:t>
            </w:r>
            <w:r>
              <w:rPr>
                <w:spacing w:val="-4"/>
              </w:rPr>
              <w:t xml:space="preserve"> </w:t>
            </w:r>
            <w:r>
              <w:t>y</w:t>
            </w:r>
            <w:r>
              <w:rPr>
                <w:spacing w:val="-5"/>
              </w:rPr>
              <w:t xml:space="preserve"> </w:t>
            </w:r>
            <w:r>
              <w:rPr>
                <w:spacing w:val="-2"/>
              </w:rPr>
              <w:t>Campesinos</w:t>
            </w:r>
            <w:r>
              <w:tab/>
            </w:r>
            <w:r>
              <w:rPr>
                <w:spacing w:val="-5"/>
              </w:rPr>
              <w:t>98</w:t>
            </w:r>
          </w:hyperlink>
        </w:p>
        <w:p w14:paraId="0C977815" w14:textId="77777777" w:rsidR="000E52B0" w:rsidRDefault="000E52B0">
          <w:pPr>
            <w:pStyle w:val="TDC1"/>
            <w:numPr>
              <w:ilvl w:val="0"/>
              <w:numId w:val="54"/>
            </w:numPr>
            <w:tabs>
              <w:tab w:val="left" w:pos="1680"/>
              <w:tab w:val="left" w:leader="dot" w:pos="9426"/>
            </w:tabs>
            <w:spacing w:before="164"/>
            <w:ind w:left="1680" w:hanging="960"/>
          </w:pPr>
          <w:hyperlink w:anchor="_bookmark156" w:history="1">
            <w:r>
              <w:t>Constitucionalidad</w:t>
            </w:r>
            <w:r>
              <w:rPr>
                <w:spacing w:val="-11"/>
              </w:rPr>
              <w:t xml:space="preserve"> </w:t>
            </w:r>
            <w:r>
              <w:t>y</w:t>
            </w:r>
            <w:r>
              <w:rPr>
                <w:spacing w:val="-10"/>
              </w:rPr>
              <w:t xml:space="preserve"> </w:t>
            </w:r>
            <w:r>
              <w:t>convencionalidad</w:t>
            </w:r>
            <w:r>
              <w:rPr>
                <w:spacing w:val="-9"/>
              </w:rPr>
              <w:t xml:space="preserve"> </w:t>
            </w:r>
            <w:r>
              <w:t>de</w:t>
            </w:r>
            <w:r>
              <w:rPr>
                <w:spacing w:val="-11"/>
              </w:rPr>
              <w:t xml:space="preserve"> </w:t>
            </w:r>
            <w:r>
              <w:t>la</w:t>
            </w:r>
            <w:r>
              <w:rPr>
                <w:spacing w:val="-8"/>
              </w:rPr>
              <w:t xml:space="preserve"> </w:t>
            </w:r>
            <w:r>
              <w:rPr>
                <w:spacing w:val="-2"/>
              </w:rPr>
              <w:t>iniciativa</w:t>
            </w:r>
            <w:r>
              <w:tab/>
            </w:r>
            <w:r>
              <w:rPr>
                <w:spacing w:val="-5"/>
              </w:rPr>
              <w:t>99</w:t>
            </w:r>
          </w:hyperlink>
        </w:p>
        <w:p w14:paraId="29E663B2" w14:textId="77777777" w:rsidR="000E52B0" w:rsidRDefault="000E52B0">
          <w:pPr>
            <w:pStyle w:val="TDC2"/>
            <w:tabs>
              <w:tab w:val="left" w:leader="dot" w:pos="9268"/>
            </w:tabs>
            <w:spacing w:line="280" w:lineRule="auto"/>
          </w:pPr>
          <w:hyperlink w:anchor="_bookmark170" w:history="1">
            <w:r>
              <w:t>Constitucionalidad de la creación del Ministerio de Igualdad y Equidad</w:t>
            </w:r>
          </w:hyperlink>
          <w:r>
            <w:t xml:space="preserve"> </w:t>
          </w:r>
          <w:hyperlink w:anchor="_bookmark170" w:history="1">
            <w:r>
              <w:t>con un proyecto de ley distinto a la Ley 2281 de 2023</w:t>
            </w:r>
            <w:r>
              <w:tab/>
            </w:r>
            <w:r>
              <w:rPr>
                <w:spacing w:val="-4"/>
              </w:rPr>
              <w:t>102</w:t>
            </w:r>
          </w:hyperlink>
        </w:p>
        <w:p w14:paraId="068B61A2" w14:textId="77777777" w:rsidR="000E52B0" w:rsidRDefault="000E52B0">
          <w:pPr>
            <w:pStyle w:val="TDC2"/>
            <w:tabs>
              <w:tab w:val="left" w:leader="dot" w:pos="9268"/>
            </w:tabs>
            <w:spacing w:before="116" w:line="278" w:lineRule="auto"/>
          </w:pPr>
          <w:hyperlink w:anchor="_bookmark172" w:history="1">
            <w:r>
              <w:t>Pronunciamientos constitucionales sobre la necesidad de contar con</w:t>
            </w:r>
          </w:hyperlink>
          <w:r>
            <w:t xml:space="preserve"> </w:t>
          </w:r>
          <w:hyperlink w:anchor="_bookmark172" w:history="1">
            <w:r>
              <w:t>políticas y estrategias de protección y garantía de derechos a las</w:t>
            </w:r>
          </w:hyperlink>
          <w:r>
            <w:t xml:space="preserve"> </w:t>
          </w:r>
          <w:hyperlink w:anchor="_bookmark172" w:history="1">
            <w:r>
              <w:t>poblaciones ámbito de competencia del Ministerio de Igualdad y</w:t>
            </w:r>
          </w:hyperlink>
          <w:r>
            <w:t xml:space="preserve"> </w:t>
          </w:r>
          <w:hyperlink w:anchor="_bookmark172" w:history="1">
            <w:r>
              <w:rPr>
                <w:spacing w:val="-2"/>
              </w:rPr>
              <w:t>Equidad</w:t>
            </w:r>
            <w:r>
              <w:tab/>
            </w:r>
            <w:r>
              <w:rPr>
                <w:spacing w:val="-5"/>
              </w:rPr>
              <w:t>104</w:t>
            </w:r>
          </w:hyperlink>
        </w:p>
        <w:p w14:paraId="2C2D3FA5" w14:textId="77777777" w:rsidR="000E52B0" w:rsidRDefault="000E52B0">
          <w:pPr>
            <w:pStyle w:val="TDC4"/>
            <w:tabs>
              <w:tab w:val="left" w:leader="dot" w:pos="9318"/>
            </w:tabs>
            <w:spacing w:before="3"/>
          </w:pPr>
          <w:hyperlink w:anchor="_bookmark173" w:history="1">
            <w:r>
              <w:t>Mujeres</w:t>
            </w:r>
            <w:r>
              <w:rPr>
                <w:spacing w:val="-3"/>
              </w:rPr>
              <w:t xml:space="preserve"> </w:t>
            </w:r>
            <w:r>
              <w:t>en</w:t>
            </w:r>
            <w:r>
              <w:rPr>
                <w:spacing w:val="-5"/>
              </w:rPr>
              <w:t xml:space="preserve"> </w:t>
            </w:r>
            <w:r>
              <w:t>todas</w:t>
            </w:r>
            <w:r>
              <w:rPr>
                <w:spacing w:val="-4"/>
              </w:rPr>
              <w:t xml:space="preserve"> </w:t>
            </w:r>
            <w:r>
              <w:t>sus</w:t>
            </w:r>
            <w:r>
              <w:rPr>
                <w:spacing w:val="-3"/>
              </w:rPr>
              <w:t xml:space="preserve"> </w:t>
            </w:r>
            <w:r>
              <w:rPr>
                <w:spacing w:val="-2"/>
              </w:rPr>
              <w:t>diversidades</w:t>
            </w:r>
            <w:r>
              <w:tab/>
            </w:r>
            <w:r>
              <w:rPr>
                <w:spacing w:val="-5"/>
              </w:rPr>
              <w:t>104</w:t>
            </w:r>
          </w:hyperlink>
        </w:p>
        <w:p w14:paraId="5EEF74D5" w14:textId="77777777" w:rsidR="000E52B0" w:rsidRDefault="000E52B0">
          <w:pPr>
            <w:pStyle w:val="TDC4"/>
            <w:tabs>
              <w:tab w:val="left" w:leader="dot" w:pos="9318"/>
            </w:tabs>
          </w:pPr>
          <w:hyperlink w:anchor="_bookmark174" w:history="1">
            <w:r>
              <w:t>Población</w:t>
            </w:r>
            <w:r>
              <w:rPr>
                <w:spacing w:val="-2"/>
              </w:rPr>
              <w:t xml:space="preserve"> LGBTIQ+</w:t>
            </w:r>
            <w:r>
              <w:tab/>
            </w:r>
            <w:r>
              <w:rPr>
                <w:spacing w:val="-5"/>
              </w:rPr>
              <w:t>107</w:t>
            </w:r>
          </w:hyperlink>
        </w:p>
        <w:p w14:paraId="2361EBB1" w14:textId="77777777" w:rsidR="000E52B0" w:rsidRDefault="000E52B0">
          <w:pPr>
            <w:pStyle w:val="TDC4"/>
            <w:tabs>
              <w:tab w:val="left" w:leader="dot" w:pos="9318"/>
            </w:tabs>
            <w:spacing w:before="42" w:line="280" w:lineRule="auto"/>
            <w:ind w:right="724"/>
          </w:pPr>
          <w:hyperlink w:anchor="_bookmark175" w:history="1">
            <w:r>
              <w:t>Pueblos Afrodescendientes, Negros, Raizales, Palenqueros, Indígenas y</w:t>
            </w:r>
          </w:hyperlink>
          <w:r>
            <w:rPr>
              <w:spacing w:val="80"/>
            </w:rPr>
            <w:t xml:space="preserve"> </w:t>
          </w:r>
          <w:hyperlink w:anchor="_bookmark175" w:history="1">
            <w:proofErr w:type="spellStart"/>
            <w:r>
              <w:rPr>
                <w:spacing w:val="-4"/>
              </w:rPr>
              <w:t>Rrom</w:t>
            </w:r>
            <w:proofErr w:type="spellEnd"/>
            <w:r>
              <w:tab/>
            </w:r>
            <w:r>
              <w:rPr>
                <w:spacing w:val="-5"/>
              </w:rPr>
              <w:t>110</w:t>
            </w:r>
          </w:hyperlink>
        </w:p>
        <w:p w14:paraId="7E9BB6BF" w14:textId="77777777" w:rsidR="000E52B0" w:rsidRDefault="000E52B0">
          <w:pPr>
            <w:pStyle w:val="TDC4"/>
            <w:tabs>
              <w:tab w:val="left" w:leader="dot" w:pos="9318"/>
            </w:tabs>
            <w:spacing w:before="0" w:line="263" w:lineRule="exact"/>
          </w:pPr>
          <w:hyperlink w:anchor="_bookmark176" w:history="1">
            <w:r>
              <w:t>Campesinas</w:t>
            </w:r>
            <w:r>
              <w:rPr>
                <w:spacing w:val="-4"/>
              </w:rPr>
              <w:t xml:space="preserve"> </w:t>
            </w:r>
            <w:r>
              <w:t>y</w:t>
            </w:r>
            <w:r>
              <w:rPr>
                <w:spacing w:val="-3"/>
              </w:rPr>
              <w:t xml:space="preserve"> </w:t>
            </w:r>
            <w:r>
              <w:rPr>
                <w:spacing w:val="-2"/>
              </w:rPr>
              <w:t>Campesinos</w:t>
            </w:r>
            <w:r>
              <w:tab/>
            </w:r>
            <w:r>
              <w:rPr>
                <w:spacing w:val="-5"/>
              </w:rPr>
              <w:t>114</w:t>
            </w:r>
          </w:hyperlink>
        </w:p>
        <w:p w14:paraId="36BEA83C" w14:textId="77777777" w:rsidR="000E52B0" w:rsidRDefault="000E52B0">
          <w:pPr>
            <w:pStyle w:val="TDC4"/>
            <w:tabs>
              <w:tab w:val="left" w:leader="dot" w:pos="9318"/>
            </w:tabs>
          </w:pPr>
          <w:hyperlink w:anchor="_bookmark177" w:history="1">
            <w:r>
              <w:rPr>
                <w:spacing w:val="-2"/>
              </w:rPr>
              <w:t>Jóvenes</w:t>
            </w:r>
            <w:r>
              <w:tab/>
            </w:r>
            <w:r>
              <w:rPr>
                <w:spacing w:val="-5"/>
              </w:rPr>
              <w:t>115</w:t>
            </w:r>
          </w:hyperlink>
        </w:p>
        <w:p w14:paraId="4B48E089" w14:textId="77777777" w:rsidR="000E52B0" w:rsidRDefault="000E52B0">
          <w:pPr>
            <w:pStyle w:val="TDC4"/>
            <w:tabs>
              <w:tab w:val="left" w:leader="dot" w:pos="9318"/>
            </w:tabs>
            <w:spacing w:before="42"/>
          </w:pPr>
          <w:hyperlink w:anchor="_bookmark180" w:history="1">
            <w:r>
              <w:t>Miembros</w:t>
            </w:r>
            <w:r>
              <w:rPr>
                <w:spacing w:val="-6"/>
              </w:rPr>
              <w:t xml:space="preserve"> </w:t>
            </w:r>
            <w:r>
              <w:t>de</w:t>
            </w:r>
            <w:r>
              <w:rPr>
                <w:spacing w:val="-3"/>
              </w:rPr>
              <w:t xml:space="preserve"> </w:t>
            </w:r>
            <w:r>
              <w:t>hogares</w:t>
            </w:r>
            <w:r>
              <w:rPr>
                <w:spacing w:val="-4"/>
              </w:rPr>
              <w:t xml:space="preserve"> </w:t>
            </w:r>
            <w:r>
              <w:t>en</w:t>
            </w:r>
            <w:r>
              <w:rPr>
                <w:spacing w:val="-4"/>
              </w:rPr>
              <w:t xml:space="preserve"> </w:t>
            </w:r>
            <w:r>
              <w:t>situación</w:t>
            </w:r>
            <w:r>
              <w:rPr>
                <w:spacing w:val="-4"/>
              </w:rPr>
              <w:t xml:space="preserve"> </w:t>
            </w:r>
            <w:r>
              <w:t>de</w:t>
            </w:r>
            <w:r>
              <w:rPr>
                <w:spacing w:val="-3"/>
              </w:rPr>
              <w:t xml:space="preserve"> </w:t>
            </w:r>
            <w:r>
              <w:t>pobreza</w:t>
            </w:r>
            <w:r>
              <w:rPr>
                <w:spacing w:val="-5"/>
              </w:rPr>
              <w:t xml:space="preserve"> </w:t>
            </w:r>
            <w:r>
              <w:t>y</w:t>
            </w:r>
            <w:r>
              <w:rPr>
                <w:spacing w:val="-5"/>
              </w:rPr>
              <w:t xml:space="preserve"> </w:t>
            </w:r>
            <w:r>
              <w:t>pobreza</w:t>
            </w:r>
            <w:r>
              <w:rPr>
                <w:spacing w:val="-4"/>
              </w:rPr>
              <w:t xml:space="preserve"> </w:t>
            </w:r>
            <w:r>
              <w:rPr>
                <w:spacing w:val="-2"/>
              </w:rPr>
              <w:t>extrema</w:t>
            </w:r>
            <w:r>
              <w:tab/>
            </w:r>
            <w:r>
              <w:rPr>
                <w:spacing w:val="-5"/>
              </w:rPr>
              <w:t>116</w:t>
            </w:r>
          </w:hyperlink>
        </w:p>
        <w:p w14:paraId="45DAC056" w14:textId="77777777" w:rsidR="000E52B0" w:rsidRDefault="000E52B0">
          <w:pPr>
            <w:pStyle w:val="TDC4"/>
            <w:tabs>
              <w:tab w:val="left" w:leader="dot" w:pos="9318"/>
            </w:tabs>
            <w:spacing w:after="20"/>
          </w:pPr>
          <w:hyperlink w:anchor="_bookmark181" w:history="1">
            <w:r>
              <w:t>Personas</w:t>
            </w:r>
            <w:r>
              <w:rPr>
                <w:spacing w:val="-3"/>
              </w:rPr>
              <w:t xml:space="preserve"> </w:t>
            </w:r>
            <w:r>
              <w:t>con</w:t>
            </w:r>
            <w:r>
              <w:rPr>
                <w:spacing w:val="-2"/>
              </w:rPr>
              <w:t xml:space="preserve"> discapacidad</w:t>
            </w:r>
            <w:r>
              <w:tab/>
            </w:r>
            <w:r>
              <w:rPr>
                <w:spacing w:val="-5"/>
              </w:rPr>
              <w:t>116</w:t>
            </w:r>
          </w:hyperlink>
        </w:p>
        <w:p w14:paraId="7411718A" w14:textId="77777777" w:rsidR="000E52B0" w:rsidRDefault="000E52B0">
          <w:pPr>
            <w:pStyle w:val="TDC4"/>
            <w:tabs>
              <w:tab w:val="left" w:leader="dot" w:pos="9318"/>
            </w:tabs>
            <w:spacing w:before="85"/>
          </w:pPr>
          <w:hyperlink w:anchor="_bookmark184" w:history="1">
            <w:r>
              <w:t>Habitantes</w:t>
            </w:r>
            <w:r>
              <w:rPr>
                <w:spacing w:val="-4"/>
              </w:rPr>
              <w:t xml:space="preserve"> </w:t>
            </w:r>
            <w:r>
              <w:t>de</w:t>
            </w:r>
            <w:r>
              <w:rPr>
                <w:spacing w:val="-4"/>
              </w:rPr>
              <w:t xml:space="preserve"> Calle</w:t>
            </w:r>
            <w:r>
              <w:tab/>
            </w:r>
            <w:r>
              <w:rPr>
                <w:spacing w:val="-5"/>
              </w:rPr>
              <w:t>117</w:t>
            </w:r>
          </w:hyperlink>
        </w:p>
        <w:p w14:paraId="5C3DB437" w14:textId="77777777" w:rsidR="000E52B0" w:rsidRDefault="000E52B0">
          <w:pPr>
            <w:pStyle w:val="TDC4"/>
            <w:tabs>
              <w:tab w:val="left" w:leader="dot" w:pos="9318"/>
            </w:tabs>
            <w:spacing w:before="44"/>
          </w:pPr>
          <w:hyperlink w:anchor="_bookmark186" w:history="1">
            <w:r>
              <w:t>Población</w:t>
            </w:r>
            <w:r>
              <w:rPr>
                <w:spacing w:val="-3"/>
              </w:rPr>
              <w:t xml:space="preserve"> </w:t>
            </w:r>
            <w:r>
              <w:t>en</w:t>
            </w:r>
            <w:r>
              <w:rPr>
                <w:spacing w:val="-3"/>
              </w:rPr>
              <w:t xml:space="preserve"> </w:t>
            </w:r>
            <w:r>
              <w:t>territorios</w:t>
            </w:r>
            <w:r>
              <w:rPr>
                <w:spacing w:val="-3"/>
              </w:rPr>
              <w:t xml:space="preserve"> </w:t>
            </w:r>
            <w:r>
              <w:rPr>
                <w:spacing w:val="-2"/>
              </w:rPr>
              <w:t>excluidos</w:t>
            </w:r>
            <w:r>
              <w:tab/>
            </w:r>
            <w:r>
              <w:rPr>
                <w:spacing w:val="-5"/>
              </w:rPr>
              <w:t>120</w:t>
            </w:r>
          </w:hyperlink>
        </w:p>
        <w:p w14:paraId="46379033" w14:textId="77777777" w:rsidR="000E52B0" w:rsidRDefault="000E52B0">
          <w:pPr>
            <w:pStyle w:val="TDC4"/>
            <w:tabs>
              <w:tab w:val="left" w:leader="dot" w:pos="9318"/>
            </w:tabs>
            <w:spacing w:before="43"/>
          </w:pPr>
          <w:hyperlink w:anchor="_bookmark188" w:history="1">
            <w:r>
              <w:t>Mujeres</w:t>
            </w:r>
            <w:r>
              <w:rPr>
                <w:spacing w:val="-4"/>
              </w:rPr>
              <w:t xml:space="preserve"> </w:t>
            </w:r>
            <w:r>
              <w:t>cabezas</w:t>
            </w:r>
            <w:r>
              <w:rPr>
                <w:spacing w:val="-4"/>
              </w:rPr>
              <w:t xml:space="preserve"> </w:t>
            </w:r>
            <w:r>
              <w:t>de</w:t>
            </w:r>
            <w:r>
              <w:rPr>
                <w:spacing w:val="-3"/>
              </w:rPr>
              <w:t xml:space="preserve"> </w:t>
            </w:r>
            <w:r>
              <w:rPr>
                <w:spacing w:val="-2"/>
              </w:rPr>
              <w:t>familia</w:t>
            </w:r>
            <w:r>
              <w:tab/>
            </w:r>
            <w:r>
              <w:rPr>
                <w:spacing w:val="-5"/>
              </w:rPr>
              <w:t>122</w:t>
            </w:r>
          </w:hyperlink>
        </w:p>
        <w:p w14:paraId="5CA3D5C8" w14:textId="77777777" w:rsidR="000E52B0" w:rsidRDefault="000E52B0">
          <w:pPr>
            <w:pStyle w:val="TDC4"/>
            <w:tabs>
              <w:tab w:val="left" w:leader="dot" w:pos="9318"/>
            </w:tabs>
            <w:spacing w:before="44"/>
          </w:pPr>
          <w:hyperlink w:anchor="_bookmark190" w:history="1">
            <w:r>
              <w:t>Personas</w:t>
            </w:r>
            <w:r>
              <w:rPr>
                <w:spacing w:val="-4"/>
              </w:rPr>
              <w:t xml:space="preserve"> </w:t>
            </w:r>
            <w:r>
              <w:rPr>
                <w:spacing w:val="-2"/>
              </w:rPr>
              <w:t>mayores</w:t>
            </w:r>
            <w:r>
              <w:tab/>
            </w:r>
            <w:r>
              <w:rPr>
                <w:spacing w:val="-5"/>
              </w:rPr>
              <w:t>123</w:t>
            </w:r>
          </w:hyperlink>
        </w:p>
        <w:p w14:paraId="144D5105" w14:textId="77777777" w:rsidR="000E52B0" w:rsidRDefault="000E52B0">
          <w:pPr>
            <w:pStyle w:val="TDC4"/>
            <w:tabs>
              <w:tab w:val="left" w:leader="dot" w:pos="9318"/>
            </w:tabs>
            <w:spacing w:before="42"/>
          </w:pPr>
          <w:hyperlink w:anchor="_bookmark191" w:history="1">
            <w:r>
              <w:rPr>
                <w:spacing w:val="-2"/>
              </w:rPr>
              <w:t>Familias</w:t>
            </w:r>
            <w:r>
              <w:tab/>
            </w:r>
            <w:r>
              <w:rPr>
                <w:spacing w:val="-5"/>
              </w:rPr>
              <w:t>125</w:t>
            </w:r>
          </w:hyperlink>
        </w:p>
        <w:p w14:paraId="7529EDDA" w14:textId="77777777" w:rsidR="000E52B0" w:rsidRDefault="000E52B0">
          <w:pPr>
            <w:pStyle w:val="TDC4"/>
            <w:tabs>
              <w:tab w:val="left" w:leader="dot" w:pos="9318"/>
            </w:tabs>
          </w:pPr>
          <w:hyperlink w:anchor="_bookmark192" w:history="1">
            <w:r>
              <w:rPr>
                <w:spacing w:val="-2"/>
              </w:rPr>
              <w:t>Niñez</w:t>
            </w:r>
            <w:r>
              <w:tab/>
            </w:r>
            <w:r>
              <w:rPr>
                <w:spacing w:val="-5"/>
              </w:rPr>
              <w:t>125</w:t>
            </w:r>
          </w:hyperlink>
        </w:p>
        <w:p w14:paraId="6496B782" w14:textId="77777777" w:rsidR="000E52B0" w:rsidRDefault="000E52B0">
          <w:pPr>
            <w:pStyle w:val="TDC4"/>
            <w:spacing w:before="42"/>
          </w:pPr>
          <w:hyperlink w:anchor="_bookmark193" w:history="1">
            <w:r>
              <w:t>Población</w:t>
            </w:r>
            <w:r>
              <w:rPr>
                <w:spacing w:val="-12"/>
              </w:rPr>
              <w:t xml:space="preserve"> </w:t>
            </w:r>
            <w:r>
              <w:t>migrante</w:t>
            </w:r>
            <w:r>
              <w:rPr>
                <w:spacing w:val="-4"/>
              </w:rPr>
              <w:t xml:space="preserve"> </w:t>
            </w:r>
            <w:r>
              <w:t>regular,</w:t>
            </w:r>
            <w:r>
              <w:rPr>
                <w:spacing w:val="-4"/>
              </w:rPr>
              <w:t xml:space="preserve"> </w:t>
            </w:r>
            <w:r>
              <w:t>irregular,</w:t>
            </w:r>
            <w:r>
              <w:rPr>
                <w:spacing w:val="-4"/>
              </w:rPr>
              <w:t xml:space="preserve"> </w:t>
            </w:r>
            <w:r>
              <w:t>refugiado,</w:t>
            </w:r>
            <w:r>
              <w:rPr>
                <w:spacing w:val="-5"/>
              </w:rPr>
              <w:t xml:space="preserve"> </w:t>
            </w:r>
            <w:r>
              <w:t>en</w:t>
            </w:r>
            <w:r>
              <w:rPr>
                <w:spacing w:val="-5"/>
              </w:rPr>
              <w:t xml:space="preserve"> </w:t>
            </w:r>
            <w:r>
              <w:t>tránsito</w:t>
            </w:r>
            <w:r>
              <w:rPr>
                <w:spacing w:val="-4"/>
              </w:rPr>
              <w:t xml:space="preserve"> </w:t>
            </w:r>
            <w:r>
              <w:t>y</w:t>
            </w:r>
            <w:r>
              <w:rPr>
                <w:spacing w:val="-7"/>
              </w:rPr>
              <w:t xml:space="preserve"> </w:t>
            </w:r>
            <w:r>
              <w:t>retornado</w:t>
            </w:r>
            <w:r>
              <w:rPr>
                <w:spacing w:val="-43"/>
              </w:rPr>
              <w:t xml:space="preserve"> </w:t>
            </w:r>
            <w:r>
              <w:rPr>
                <w:spacing w:val="-4"/>
              </w:rPr>
              <w:t>.126</w:t>
            </w:r>
          </w:hyperlink>
        </w:p>
        <w:p w14:paraId="050AE50D" w14:textId="77777777" w:rsidR="000E52B0" w:rsidRDefault="000E52B0">
          <w:pPr>
            <w:pStyle w:val="TDC2"/>
            <w:tabs>
              <w:tab w:val="left" w:leader="dot" w:pos="9268"/>
            </w:tabs>
            <w:spacing w:before="165" w:line="278" w:lineRule="auto"/>
          </w:pPr>
          <w:hyperlink w:anchor="_bookmark194" w:history="1">
            <w:r>
              <w:t>Pronunciamientos convencionales sobre la necesidad de contar con</w:t>
            </w:r>
          </w:hyperlink>
          <w:r>
            <w:t xml:space="preserve"> </w:t>
          </w:r>
          <w:hyperlink w:anchor="_bookmark194" w:history="1">
            <w:r>
              <w:t>políticas y estrategias de protección y garantía de derechos a las</w:t>
            </w:r>
          </w:hyperlink>
          <w:r>
            <w:t xml:space="preserve"> </w:t>
          </w:r>
          <w:hyperlink w:anchor="_bookmark194" w:history="1">
            <w:r>
              <w:t>poblaciones ámbito de competencia del Ministerio de Igualdad y</w:t>
            </w:r>
          </w:hyperlink>
          <w:r>
            <w:t xml:space="preserve"> </w:t>
          </w:r>
          <w:hyperlink w:anchor="_bookmark194" w:history="1">
            <w:r>
              <w:rPr>
                <w:spacing w:val="-2"/>
              </w:rPr>
              <w:t>Equidad</w:t>
            </w:r>
            <w:r>
              <w:tab/>
            </w:r>
            <w:r>
              <w:rPr>
                <w:spacing w:val="-5"/>
              </w:rPr>
              <w:t>128</w:t>
            </w:r>
          </w:hyperlink>
        </w:p>
        <w:p w14:paraId="0E01C9A4" w14:textId="77777777" w:rsidR="000E52B0" w:rsidRDefault="000E52B0">
          <w:pPr>
            <w:pStyle w:val="TDC1"/>
            <w:numPr>
              <w:ilvl w:val="0"/>
              <w:numId w:val="54"/>
            </w:numPr>
            <w:tabs>
              <w:tab w:val="left" w:pos="1440"/>
              <w:tab w:val="left" w:leader="dot" w:pos="9268"/>
            </w:tabs>
            <w:spacing w:before="123"/>
            <w:ind w:left="1440" w:hanging="720"/>
          </w:pPr>
          <w:hyperlink w:anchor="_bookmark195" w:history="1">
            <w:r>
              <w:t>Tendencias</w:t>
            </w:r>
            <w:r>
              <w:rPr>
                <w:spacing w:val="-9"/>
              </w:rPr>
              <w:t xml:space="preserve"> </w:t>
            </w:r>
            <w:r>
              <w:rPr>
                <w:spacing w:val="-2"/>
              </w:rPr>
              <w:t>internacionales</w:t>
            </w:r>
            <w:r>
              <w:tab/>
            </w:r>
            <w:r>
              <w:rPr>
                <w:spacing w:val="-5"/>
              </w:rPr>
              <w:t>135</w:t>
            </w:r>
          </w:hyperlink>
        </w:p>
        <w:p w14:paraId="75A1489B" w14:textId="77777777" w:rsidR="000E52B0" w:rsidRDefault="000E52B0">
          <w:pPr>
            <w:pStyle w:val="TDC2"/>
            <w:tabs>
              <w:tab w:val="left" w:leader="dot" w:pos="9268"/>
            </w:tabs>
            <w:spacing w:line="280" w:lineRule="auto"/>
          </w:pPr>
          <w:hyperlink w:anchor="_bookmark196" w:history="1">
            <w:r>
              <w:t>Sustento Normativo Internacional – Derecho Internacional de los</w:t>
            </w:r>
          </w:hyperlink>
          <w:r>
            <w:t xml:space="preserve"> </w:t>
          </w:r>
          <w:hyperlink w:anchor="_bookmark196" w:history="1">
            <w:r>
              <w:t>Derechos</w:t>
            </w:r>
            <w:r>
              <w:rPr>
                <w:spacing w:val="-8"/>
              </w:rPr>
              <w:t xml:space="preserve"> </w:t>
            </w:r>
            <w:r>
              <w:rPr>
                <w:spacing w:val="-2"/>
              </w:rPr>
              <w:t>Humanos</w:t>
            </w:r>
            <w:r>
              <w:tab/>
            </w:r>
            <w:r>
              <w:rPr>
                <w:spacing w:val="-5"/>
              </w:rPr>
              <w:t>135</w:t>
            </w:r>
          </w:hyperlink>
        </w:p>
        <w:p w14:paraId="476B4CB5" w14:textId="77777777" w:rsidR="000E52B0" w:rsidRDefault="000E52B0">
          <w:pPr>
            <w:pStyle w:val="TDC2"/>
            <w:tabs>
              <w:tab w:val="left" w:leader="dot" w:pos="9268"/>
            </w:tabs>
            <w:spacing w:before="116"/>
            <w:ind w:right="0"/>
          </w:pPr>
          <w:hyperlink w:anchor="_bookmark197" w:history="1">
            <w:r>
              <w:t>Panorama</w:t>
            </w:r>
            <w:r>
              <w:rPr>
                <w:spacing w:val="-12"/>
              </w:rPr>
              <w:t xml:space="preserve"> </w:t>
            </w:r>
            <w:r>
              <w:t>de</w:t>
            </w:r>
            <w:r>
              <w:rPr>
                <w:spacing w:val="-9"/>
              </w:rPr>
              <w:t xml:space="preserve"> </w:t>
            </w:r>
            <w:r>
              <w:t>instituciones</w:t>
            </w:r>
            <w:r>
              <w:rPr>
                <w:spacing w:val="-7"/>
              </w:rPr>
              <w:t xml:space="preserve"> </w:t>
            </w:r>
            <w:r>
              <w:t>internacionales</w:t>
            </w:r>
            <w:r>
              <w:rPr>
                <w:spacing w:val="-9"/>
              </w:rPr>
              <w:t xml:space="preserve"> </w:t>
            </w:r>
            <w:r>
              <w:t>de</w:t>
            </w:r>
            <w:r>
              <w:rPr>
                <w:spacing w:val="-9"/>
              </w:rPr>
              <w:t xml:space="preserve"> </w:t>
            </w:r>
            <w:r>
              <w:t>igualdad</w:t>
            </w:r>
            <w:r>
              <w:rPr>
                <w:spacing w:val="-7"/>
              </w:rPr>
              <w:t xml:space="preserve"> </w:t>
            </w:r>
            <w:r>
              <w:t>y</w:t>
            </w:r>
            <w:r>
              <w:rPr>
                <w:spacing w:val="-8"/>
              </w:rPr>
              <w:t xml:space="preserve"> </w:t>
            </w:r>
            <w:r>
              <w:rPr>
                <w:spacing w:val="-2"/>
              </w:rPr>
              <w:t>equidad</w:t>
            </w:r>
            <w:r>
              <w:tab/>
            </w:r>
            <w:r>
              <w:rPr>
                <w:spacing w:val="-5"/>
              </w:rPr>
              <w:t>142</w:t>
            </w:r>
          </w:hyperlink>
        </w:p>
        <w:p w14:paraId="7A6A92E4" w14:textId="77777777" w:rsidR="000E52B0" w:rsidRDefault="000E52B0">
          <w:pPr>
            <w:pStyle w:val="TDC2"/>
            <w:tabs>
              <w:tab w:val="left" w:leader="dot" w:pos="9268"/>
            </w:tabs>
            <w:spacing w:before="165" w:line="278" w:lineRule="auto"/>
          </w:pPr>
          <w:hyperlink w:anchor="_bookmark198" w:history="1">
            <w:r>
              <w:t>Objetivos de Desarrollo Sostenible cuyas metas pueden ser cumplidas</w:t>
            </w:r>
          </w:hyperlink>
          <w:r>
            <w:t xml:space="preserve"> </w:t>
          </w:r>
          <w:hyperlink w:anchor="_bookmark198" w:history="1">
            <w:r>
              <w:t>con</w:t>
            </w:r>
            <w:r>
              <w:rPr>
                <w:spacing w:val="-6"/>
              </w:rPr>
              <w:t xml:space="preserve"> </w:t>
            </w:r>
            <w:r>
              <w:t>la</w:t>
            </w:r>
            <w:r>
              <w:rPr>
                <w:spacing w:val="-5"/>
              </w:rPr>
              <w:t xml:space="preserve"> </w:t>
            </w:r>
            <w:r>
              <w:t>existencia</w:t>
            </w:r>
            <w:r>
              <w:rPr>
                <w:spacing w:val="-6"/>
              </w:rPr>
              <w:t xml:space="preserve"> </w:t>
            </w:r>
            <w:r>
              <w:t>del</w:t>
            </w:r>
            <w:r>
              <w:rPr>
                <w:spacing w:val="-6"/>
              </w:rPr>
              <w:t xml:space="preserve"> </w:t>
            </w:r>
            <w:r>
              <w:t>Ministerio</w:t>
            </w:r>
            <w:r>
              <w:rPr>
                <w:spacing w:val="-5"/>
              </w:rPr>
              <w:t xml:space="preserve"> </w:t>
            </w:r>
            <w:r>
              <w:t>de</w:t>
            </w:r>
            <w:r>
              <w:rPr>
                <w:spacing w:val="-6"/>
              </w:rPr>
              <w:t xml:space="preserve"> </w:t>
            </w:r>
            <w:r>
              <w:t>Igualdad</w:t>
            </w:r>
            <w:r>
              <w:rPr>
                <w:spacing w:val="-5"/>
              </w:rPr>
              <w:t xml:space="preserve"> </w:t>
            </w:r>
            <w:r>
              <w:t>y</w:t>
            </w:r>
            <w:r>
              <w:rPr>
                <w:spacing w:val="-4"/>
              </w:rPr>
              <w:t xml:space="preserve"> </w:t>
            </w:r>
            <w:r>
              <w:rPr>
                <w:spacing w:val="-2"/>
              </w:rPr>
              <w:t>Equidad</w:t>
            </w:r>
            <w:r>
              <w:tab/>
            </w:r>
            <w:r>
              <w:rPr>
                <w:spacing w:val="-5"/>
              </w:rPr>
              <w:t>148</w:t>
            </w:r>
          </w:hyperlink>
        </w:p>
        <w:p w14:paraId="65923E8B" w14:textId="77777777" w:rsidR="000E52B0" w:rsidRDefault="000E52B0">
          <w:pPr>
            <w:pStyle w:val="TDC1"/>
            <w:numPr>
              <w:ilvl w:val="0"/>
              <w:numId w:val="54"/>
            </w:numPr>
            <w:tabs>
              <w:tab w:val="left" w:pos="1440"/>
              <w:tab w:val="left" w:leader="dot" w:pos="9268"/>
            </w:tabs>
            <w:ind w:left="1440" w:hanging="720"/>
          </w:pPr>
          <w:hyperlink w:anchor="_bookmark199" w:history="1">
            <w:r>
              <w:t>Igualdad</w:t>
            </w:r>
            <w:r>
              <w:rPr>
                <w:spacing w:val="-8"/>
              </w:rPr>
              <w:t xml:space="preserve"> </w:t>
            </w:r>
            <w:r>
              <w:t>y</w:t>
            </w:r>
            <w:r>
              <w:rPr>
                <w:spacing w:val="-7"/>
              </w:rPr>
              <w:t xml:space="preserve"> </w:t>
            </w:r>
            <w:r>
              <w:t>Equidad</w:t>
            </w:r>
            <w:r>
              <w:rPr>
                <w:spacing w:val="-6"/>
              </w:rPr>
              <w:t xml:space="preserve"> </w:t>
            </w:r>
            <w:r>
              <w:t>como</w:t>
            </w:r>
            <w:r>
              <w:rPr>
                <w:spacing w:val="-7"/>
              </w:rPr>
              <w:t xml:space="preserve"> </w:t>
            </w:r>
            <w:r>
              <w:t>innovación</w:t>
            </w:r>
            <w:r>
              <w:rPr>
                <w:spacing w:val="-5"/>
              </w:rPr>
              <w:t xml:space="preserve"> </w:t>
            </w:r>
            <w:r>
              <w:rPr>
                <w:spacing w:val="-2"/>
              </w:rPr>
              <w:t>pública</w:t>
            </w:r>
            <w:r>
              <w:tab/>
            </w:r>
            <w:r>
              <w:rPr>
                <w:spacing w:val="-5"/>
              </w:rPr>
              <w:t>155</w:t>
            </w:r>
          </w:hyperlink>
        </w:p>
        <w:p w14:paraId="3676554E" w14:textId="77777777" w:rsidR="000E52B0" w:rsidRDefault="000E52B0">
          <w:pPr>
            <w:pStyle w:val="TDC2"/>
            <w:tabs>
              <w:tab w:val="left" w:leader="dot" w:pos="9268"/>
            </w:tabs>
            <w:spacing w:line="280" w:lineRule="auto"/>
          </w:pPr>
          <w:hyperlink w:anchor="_bookmark200" w:history="1">
            <w:r>
              <w:t>Diferencias entre los ministerios existentes con anterioridad a la Ley</w:t>
            </w:r>
          </w:hyperlink>
          <w:r>
            <w:t xml:space="preserve"> </w:t>
          </w:r>
          <w:hyperlink w:anchor="_bookmark200" w:history="1">
            <w:r>
              <w:t>2281</w:t>
            </w:r>
            <w:r>
              <w:rPr>
                <w:spacing w:val="-4"/>
              </w:rPr>
              <w:t xml:space="preserve"> </w:t>
            </w:r>
            <w:r>
              <w:t>de</w:t>
            </w:r>
            <w:r>
              <w:rPr>
                <w:spacing w:val="-1"/>
              </w:rPr>
              <w:t xml:space="preserve"> </w:t>
            </w:r>
            <w:r>
              <w:rPr>
                <w:spacing w:val="-4"/>
              </w:rPr>
              <w:t>2023</w:t>
            </w:r>
            <w:r>
              <w:tab/>
            </w:r>
            <w:r>
              <w:rPr>
                <w:spacing w:val="-5"/>
              </w:rPr>
              <w:t>156</w:t>
            </w:r>
          </w:hyperlink>
        </w:p>
        <w:p w14:paraId="74B36002" w14:textId="77777777" w:rsidR="000E52B0" w:rsidRDefault="000E52B0">
          <w:pPr>
            <w:pStyle w:val="TDC2"/>
            <w:tabs>
              <w:tab w:val="left" w:leader="dot" w:pos="9268"/>
            </w:tabs>
            <w:spacing w:before="117"/>
            <w:ind w:right="0"/>
          </w:pPr>
          <w:hyperlink w:anchor="_bookmark201" w:history="1">
            <w:r>
              <w:t>Actos</w:t>
            </w:r>
            <w:r>
              <w:rPr>
                <w:spacing w:val="-9"/>
              </w:rPr>
              <w:t xml:space="preserve"> </w:t>
            </w:r>
            <w:r>
              <w:t>administrativos</w:t>
            </w:r>
            <w:r>
              <w:rPr>
                <w:spacing w:val="-6"/>
              </w:rPr>
              <w:t xml:space="preserve"> </w:t>
            </w:r>
            <w:r>
              <w:t>emitidos</w:t>
            </w:r>
            <w:r>
              <w:rPr>
                <w:spacing w:val="-7"/>
              </w:rPr>
              <w:t xml:space="preserve"> </w:t>
            </w:r>
            <w:r>
              <w:t>del</w:t>
            </w:r>
            <w:r>
              <w:rPr>
                <w:spacing w:val="-9"/>
              </w:rPr>
              <w:t xml:space="preserve"> </w:t>
            </w:r>
            <w:r>
              <w:t>Sector</w:t>
            </w:r>
            <w:r>
              <w:rPr>
                <w:spacing w:val="-6"/>
              </w:rPr>
              <w:t xml:space="preserve"> </w:t>
            </w:r>
            <w:r>
              <w:t>Igualdad</w:t>
            </w:r>
            <w:r>
              <w:rPr>
                <w:spacing w:val="-8"/>
              </w:rPr>
              <w:t xml:space="preserve"> </w:t>
            </w:r>
            <w:r>
              <w:t>y</w:t>
            </w:r>
            <w:r>
              <w:rPr>
                <w:spacing w:val="-7"/>
              </w:rPr>
              <w:t xml:space="preserve"> </w:t>
            </w:r>
            <w:r>
              <w:rPr>
                <w:spacing w:val="-2"/>
              </w:rPr>
              <w:t>Equidad</w:t>
            </w:r>
            <w:r>
              <w:tab/>
            </w:r>
            <w:r>
              <w:rPr>
                <w:spacing w:val="-5"/>
              </w:rPr>
              <w:t>169</w:t>
            </w:r>
          </w:hyperlink>
        </w:p>
        <w:p w14:paraId="2077224B" w14:textId="77777777" w:rsidR="000E52B0" w:rsidRDefault="000E52B0">
          <w:pPr>
            <w:pStyle w:val="TDC2"/>
            <w:tabs>
              <w:tab w:val="left" w:leader="dot" w:pos="9268"/>
            </w:tabs>
            <w:spacing w:before="164" w:line="278" w:lineRule="auto"/>
          </w:pPr>
          <w:hyperlink w:anchor="_bookmark202" w:history="1">
            <w:r>
              <w:t>Actos administrativos emitidos desde otros sectores firmados por la</w:t>
            </w:r>
          </w:hyperlink>
          <w:r>
            <w:t xml:space="preserve"> </w:t>
          </w:r>
          <w:hyperlink w:anchor="_bookmark202" w:history="1">
            <w:r>
              <w:t>ministra de Igualdad y Equidad</w:t>
            </w:r>
            <w:r>
              <w:tab/>
            </w:r>
            <w:r>
              <w:rPr>
                <w:spacing w:val="-4"/>
              </w:rPr>
              <w:t>171</w:t>
            </w:r>
          </w:hyperlink>
        </w:p>
        <w:p w14:paraId="156B4A93" w14:textId="77777777" w:rsidR="000E52B0" w:rsidRDefault="000E52B0">
          <w:pPr>
            <w:pStyle w:val="TDC2"/>
            <w:tabs>
              <w:tab w:val="left" w:leader="dot" w:pos="9268"/>
            </w:tabs>
            <w:spacing w:before="122" w:line="278" w:lineRule="auto"/>
          </w:pPr>
          <w:hyperlink w:anchor="_bookmark203" w:history="1">
            <w:r>
              <w:t>Instancias de asesoría, coordinación y articulación de las que hace</w:t>
            </w:r>
          </w:hyperlink>
          <w:r>
            <w:t xml:space="preserve"> </w:t>
          </w:r>
          <w:hyperlink w:anchor="_bookmark203" w:history="1">
            <w:r>
              <w:t>parte</w:t>
            </w:r>
            <w:r>
              <w:rPr>
                <w:spacing w:val="-6"/>
              </w:rPr>
              <w:t xml:space="preserve"> </w:t>
            </w:r>
            <w:r>
              <w:t>el</w:t>
            </w:r>
            <w:r>
              <w:rPr>
                <w:spacing w:val="-5"/>
              </w:rPr>
              <w:t xml:space="preserve"> </w:t>
            </w:r>
            <w:r>
              <w:t>Ministerio</w:t>
            </w:r>
            <w:r>
              <w:rPr>
                <w:spacing w:val="-8"/>
              </w:rPr>
              <w:t xml:space="preserve"> </w:t>
            </w:r>
            <w:r>
              <w:t>de</w:t>
            </w:r>
            <w:r>
              <w:rPr>
                <w:spacing w:val="-5"/>
              </w:rPr>
              <w:t xml:space="preserve"> </w:t>
            </w:r>
            <w:r>
              <w:t>Igualdad</w:t>
            </w:r>
            <w:r>
              <w:rPr>
                <w:spacing w:val="-5"/>
              </w:rPr>
              <w:t xml:space="preserve"> </w:t>
            </w:r>
            <w:r>
              <w:t>y</w:t>
            </w:r>
            <w:r>
              <w:rPr>
                <w:spacing w:val="-4"/>
              </w:rPr>
              <w:t xml:space="preserve"> </w:t>
            </w:r>
            <w:r>
              <w:rPr>
                <w:spacing w:val="-2"/>
              </w:rPr>
              <w:t>Equidad</w:t>
            </w:r>
            <w:r>
              <w:tab/>
            </w:r>
            <w:r>
              <w:rPr>
                <w:spacing w:val="-5"/>
              </w:rPr>
              <w:t>172</w:t>
            </w:r>
          </w:hyperlink>
        </w:p>
        <w:p w14:paraId="5018AD23" w14:textId="77777777" w:rsidR="000E52B0" w:rsidRDefault="000E52B0">
          <w:pPr>
            <w:pStyle w:val="TDC1"/>
            <w:numPr>
              <w:ilvl w:val="0"/>
              <w:numId w:val="54"/>
            </w:numPr>
            <w:tabs>
              <w:tab w:val="left" w:pos="1440"/>
              <w:tab w:val="left" w:leader="dot" w:pos="9268"/>
            </w:tabs>
            <w:ind w:left="1440" w:hanging="720"/>
          </w:pPr>
          <w:hyperlink w:anchor="_bookmark204" w:history="1">
            <w:r>
              <w:t>Sistema</w:t>
            </w:r>
            <w:r>
              <w:rPr>
                <w:spacing w:val="-6"/>
              </w:rPr>
              <w:t xml:space="preserve"> </w:t>
            </w:r>
            <w:r>
              <w:t>de</w:t>
            </w:r>
            <w:r>
              <w:rPr>
                <w:spacing w:val="-5"/>
              </w:rPr>
              <w:t xml:space="preserve"> </w:t>
            </w:r>
            <w:r>
              <w:rPr>
                <w:spacing w:val="-2"/>
              </w:rPr>
              <w:t>cuidado</w:t>
            </w:r>
            <w:r>
              <w:tab/>
            </w:r>
            <w:r>
              <w:rPr>
                <w:spacing w:val="-5"/>
              </w:rPr>
              <w:t>173</w:t>
            </w:r>
          </w:hyperlink>
        </w:p>
        <w:p w14:paraId="5DB6F958" w14:textId="77777777" w:rsidR="000E52B0" w:rsidRDefault="000E52B0">
          <w:pPr>
            <w:pStyle w:val="TDC1"/>
            <w:numPr>
              <w:ilvl w:val="0"/>
              <w:numId w:val="54"/>
            </w:numPr>
            <w:tabs>
              <w:tab w:val="left" w:pos="1680"/>
              <w:tab w:val="left" w:leader="dot" w:pos="9268"/>
            </w:tabs>
            <w:spacing w:before="162"/>
            <w:ind w:left="1680" w:hanging="960"/>
          </w:pPr>
          <w:hyperlink w:anchor="_bookmark205" w:history="1">
            <w:r>
              <w:t>Impacto</w:t>
            </w:r>
            <w:r>
              <w:rPr>
                <w:spacing w:val="-8"/>
              </w:rPr>
              <w:t xml:space="preserve"> </w:t>
            </w:r>
            <w:r>
              <w:rPr>
                <w:spacing w:val="-2"/>
              </w:rPr>
              <w:t>fiscal</w:t>
            </w:r>
            <w:r>
              <w:tab/>
            </w:r>
            <w:r>
              <w:rPr>
                <w:spacing w:val="-5"/>
              </w:rPr>
              <w:t>177</w:t>
            </w:r>
          </w:hyperlink>
        </w:p>
      </w:sdtContent>
    </w:sdt>
    <w:p w14:paraId="4F8898CF" w14:textId="77777777" w:rsidR="000E52B0" w:rsidRDefault="000E52B0">
      <w:pPr>
        <w:pStyle w:val="TDC1"/>
        <w:sectPr w:rsidR="000E52B0">
          <w:type w:val="continuous"/>
          <w:pgSz w:w="11910" w:h="16840"/>
          <w:pgMar w:top="1358" w:right="720" w:bottom="1566" w:left="720" w:header="0" w:footer="995" w:gutter="0"/>
          <w:cols w:space="720"/>
        </w:sectPr>
      </w:pPr>
    </w:p>
    <w:p w14:paraId="465B0FFF" w14:textId="77777777" w:rsidR="000E52B0" w:rsidRDefault="000E52B0">
      <w:pPr>
        <w:pStyle w:val="Prrafodelista"/>
        <w:numPr>
          <w:ilvl w:val="0"/>
          <w:numId w:val="54"/>
        </w:numPr>
        <w:tabs>
          <w:tab w:val="left" w:pos="1680"/>
        </w:tabs>
        <w:spacing w:before="165"/>
        <w:ind w:left="1680" w:hanging="960"/>
        <w:rPr>
          <w:b/>
          <w:i/>
        </w:rPr>
      </w:pPr>
      <w:hyperlink w:anchor="_bookmark210" w:history="1">
        <w:r>
          <w:rPr>
            <w:b/>
            <w:i/>
          </w:rPr>
          <w:t>Cambios</w:t>
        </w:r>
        <w:r>
          <w:rPr>
            <w:b/>
            <w:i/>
            <w:spacing w:val="-6"/>
          </w:rPr>
          <w:t xml:space="preserve"> </w:t>
        </w:r>
        <w:r>
          <w:rPr>
            <w:b/>
            <w:i/>
          </w:rPr>
          <w:t>en</w:t>
        </w:r>
        <w:r>
          <w:rPr>
            <w:b/>
            <w:i/>
            <w:spacing w:val="-4"/>
          </w:rPr>
          <w:t xml:space="preserve"> </w:t>
        </w:r>
        <w:r>
          <w:rPr>
            <w:b/>
            <w:i/>
          </w:rPr>
          <w:t>el</w:t>
        </w:r>
        <w:r>
          <w:rPr>
            <w:b/>
            <w:i/>
            <w:spacing w:val="-6"/>
          </w:rPr>
          <w:t xml:space="preserve"> </w:t>
        </w:r>
        <w:r>
          <w:rPr>
            <w:b/>
            <w:i/>
          </w:rPr>
          <w:t>articulado</w:t>
        </w:r>
        <w:r>
          <w:rPr>
            <w:b/>
            <w:i/>
            <w:spacing w:val="-4"/>
          </w:rPr>
          <w:t xml:space="preserve"> </w:t>
        </w:r>
        <w:r>
          <w:rPr>
            <w:b/>
            <w:i/>
          </w:rPr>
          <w:t>respecto</w:t>
        </w:r>
        <w:r>
          <w:rPr>
            <w:b/>
            <w:i/>
            <w:spacing w:val="-4"/>
          </w:rPr>
          <w:t xml:space="preserve"> </w:t>
        </w:r>
        <w:r>
          <w:rPr>
            <w:b/>
            <w:i/>
          </w:rPr>
          <w:t>al</w:t>
        </w:r>
        <w:r>
          <w:rPr>
            <w:b/>
            <w:i/>
            <w:spacing w:val="-5"/>
          </w:rPr>
          <w:t xml:space="preserve"> </w:t>
        </w:r>
        <w:r>
          <w:rPr>
            <w:b/>
            <w:i/>
          </w:rPr>
          <w:t>de</w:t>
        </w:r>
        <w:r>
          <w:rPr>
            <w:b/>
            <w:i/>
            <w:spacing w:val="-5"/>
          </w:rPr>
          <w:t xml:space="preserve"> </w:t>
        </w:r>
        <w:r>
          <w:rPr>
            <w:b/>
            <w:i/>
          </w:rPr>
          <w:t>la</w:t>
        </w:r>
        <w:r>
          <w:rPr>
            <w:b/>
            <w:i/>
            <w:spacing w:val="-4"/>
          </w:rPr>
          <w:t xml:space="preserve"> </w:t>
        </w:r>
        <w:r>
          <w:rPr>
            <w:b/>
            <w:i/>
          </w:rPr>
          <w:t>Ley</w:t>
        </w:r>
        <w:r>
          <w:rPr>
            <w:b/>
            <w:i/>
            <w:spacing w:val="-4"/>
          </w:rPr>
          <w:t xml:space="preserve"> </w:t>
        </w:r>
        <w:r>
          <w:rPr>
            <w:b/>
            <w:i/>
          </w:rPr>
          <w:t>2281</w:t>
        </w:r>
        <w:r>
          <w:rPr>
            <w:b/>
            <w:i/>
            <w:spacing w:val="-3"/>
          </w:rPr>
          <w:t xml:space="preserve"> </w:t>
        </w:r>
        <w:r>
          <w:rPr>
            <w:b/>
            <w:i/>
          </w:rPr>
          <w:t>de</w:t>
        </w:r>
        <w:r>
          <w:rPr>
            <w:b/>
            <w:i/>
            <w:spacing w:val="-5"/>
          </w:rPr>
          <w:t xml:space="preserve"> </w:t>
        </w:r>
        <w:r>
          <w:rPr>
            <w:b/>
            <w:i/>
          </w:rPr>
          <w:t>2023.</w:t>
        </w:r>
        <w:r>
          <w:rPr>
            <w:b/>
            <w:i/>
            <w:spacing w:val="-4"/>
          </w:rPr>
          <w:t xml:space="preserve"> </w:t>
        </w:r>
        <w:r>
          <w:rPr>
            <w:b/>
            <w:i/>
            <w:spacing w:val="-5"/>
          </w:rPr>
          <w:t>185</w:t>
        </w:r>
      </w:hyperlink>
    </w:p>
    <w:p w14:paraId="2E817876" w14:textId="77777777" w:rsidR="000E52B0" w:rsidRDefault="000E52B0">
      <w:pPr>
        <w:pStyle w:val="Prrafodelista"/>
        <w:rPr>
          <w:b/>
          <w:i/>
        </w:rPr>
        <w:sectPr w:rsidR="000E52B0">
          <w:type w:val="continuous"/>
          <w:pgSz w:w="11910" w:h="16840"/>
          <w:pgMar w:top="1340" w:right="720" w:bottom="1180" w:left="720" w:header="0" w:footer="995" w:gutter="0"/>
          <w:cols w:space="720"/>
        </w:sectPr>
      </w:pPr>
    </w:p>
    <w:p w14:paraId="37F72401" w14:textId="77777777" w:rsidR="000E52B0" w:rsidRDefault="00F60D74">
      <w:pPr>
        <w:pStyle w:val="Ttulo1"/>
        <w:numPr>
          <w:ilvl w:val="0"/>
          <w:numId w:val="53"/>
        </w:numPr>
        <w:tabs>
          <w:tab w:val="left" w:pos="1440"/>
        </w:tabs>
        <w:spacing w:before="82"/>
        <w:jc w:val="left"/>
      </w:pPr>
      <w:bookmarkStart w:id="0" w:name="_bookmark0"/>
      <w:bookmarkEnd w:id="0"/>
      <w:r>
        <w:rPr>
          <w:color w:val="B3176C"/>
          <w:spacing w:val="-2"/>
        </w:rPr>
        <w:lastRenderedPageBreak/>
        <w:t>Antecedentes</w:t>
      </w:r>
    </w:p>
    <w:p w14:paraId="1F2D0BBD" w14:textId="77777777" w:rsidR="000E52B0" w:rsidRDefault="000E52B0">
      <w:pPr>
        <w:pStyle w:val="Textoindependiente"/>
        <w:spacing w:before="63"/>
        <w:ind w:left="0"/>
        <w:rPr>
          <w:sz w:val="32"/>
        </w:rPr>
      </w:pPr>
    </w:p>
    <w:p w14:paraId="1E280F2E" w14:textId="77777777" w:rsidR="000E52B0" w:rsidRDefault="00F60D74">
      <w:pPr>
        <w:pStyle w:val="Textoindependiente"/>
        <w:ind w:right="716"/>
        <w:jc w:val="both"/>
      </w:pPr>
      <w:r>
        <w:t>La</w:t>
      </w:r>
      <w:r>
        <w:rPr>
          <w:spacing w:val="-18"/>
        </w:rPr>
        <w:t xml:space="preserve"> </w:t>
      </w:r>
      <w:r>
        <w:t>iniciativa</w:t>
      </w:r>
      <w:r>
        <w:rPr>
          <w:spacing w:val="-16"/>
        </w:rPr>
        <w:t xml:space="preserve"> </w:t>
      </w:r>
      <w:r>
        <w:t>que</w:t>
      </w:r>
      <w:r>
        <w:rPr>
          <w:spacing w:val="-17"/>
        </w:rPr>
        <w:t xml:space="preserve"> </w:t>
      </w:r>
      <w:r>
        <w:t>se</w:t>
      </w:r>
      <w:r>
        <w:rPr>
          <w:spacing w:val="-15"/>
        </w:rPr>
        <w:t xml:space="preserve"> </w:t>
      </w:r>
      <w:r>
        <w:t>pone</w:t>
      </w:r>
      <w:r>
        <w:rPr>
          <w:spacing w:val="-17"/>
        </w:rPr>
        <w:t xml:space="preserve"> </w:t>
      </w:r>
      <w:r>
        <w:t>a</w:t>
      </w:r>
      <w:r>
        <w:rPr>
          <w:spacing w:val="-18"/>
        </w:rPr>
        <w:t xml:space="preserve"> </w:t>
      </w:r>
      <w:r>
        <w:t>consideración</w:t>
      </w:r>
      <w:r>
        <w:rPr>
          <w:spacing w:val="-19"/>
        </w:rPr>
        <w:t xml:space="preserve"> </w:t>
      </w:r>
      <w:r>
        <w:t>del</w:t>
      </w:r>
      <w:r>
        <w:rPr>
          <w:spacing w:val="-19"/>
        </w:rPr>
        <w:t xml:space="preserve"> </w:t>
      </w:r>
      <w:r>
        <w:t>Congreso</w:t>
      </w:r>
      <w:r>
        <w:rPr>
          <w:spacing w:val="-18"/>
        </w:rPr>
        <w:t xml:space="preserve"> </w:t>
      </w:r>
      <w:r>
        <w:t>de</w:t>
      </w:r>
      <w:r>
        <w:rPr>
          <w:spacing w:val="-17"/>
        </w:rPr>
        <w:t xml:space="preserve"> </w:t>
      </w:r>
      <w:r>
        <w:t>la</w:t>
      </w:r>
      <w:r>
        <w:rPr>
          <w:spacing w:val="-17"/>
        </w:rPr>
        <w:t xml:space="preserve"> </w:t>
      </w:r>
      <w:r>
        <w:t>República</w:t>
      </w:r>
      <w:r>
        <w:rPr>
          <w:spacing w:val="-16"/>
        </w:rPr>
        <w:t xml:space="preserve"> </w:t>
      </w:r>
      <w:r>
        <w:t>tiene por finalidad materializar el numeral 7 del artículo 150 de la Constitución Política</w:t>
      </w:r>
      <w:r>
        <w:rPr>
          <w:spacing w:val="-15"/>
        </w:rPr>
        <w:t xml:space="preserve"> </w:t>
      </w:r>
      <w:r>
        <w:t>con</w:t>
      </w:r>
      <w:r>
        <w:rPr>
          <w:spacing w:val="-14"/>
        </w:rPr>
        <w:t xml:space="preserve"> </w:t>
      </w:r>
      <w:r>
        <w:t>la</w:t>
      </w:r>
      <w:r>
        <w:rPr>
          <w:spacing w:val="-16"/>
        </w:rPr>
        <w:t xml:space="preserve"> </w:t>
      </w:r>
      <w:r>
        <w:t>creación</w:t>
      </w:r>
      <w:r>
        <w:rPr>
          <w:spacing w:val="-17"/>
        </w:rPr>
        <w:t xml:space="preserve"> </w:t>
      </w:r>
      <w:r>
        <w:t>del</w:t>
      </w:r>
      <w:r>
        <w:rPr>
          <w:spacing w:val="-17"/>
        </w:rPr>
        <w:t xml:space="preserve"> </w:t>
      </w:r>
      <w:r>
        <w:t>Ministerio</w:t>
      </w:r>
      <w:r>
        <w:rPr>
          <w:spacing w:val="-15"/>
        </w:rPr>
        <w:t xml:space="preserve"> </w:t>
      </w:r>
      <w:r>
        <w:t>de</w:t>
      </w:r>
      <w:r>
        <w:rPr>
          <w:spacing w:val="-15"/>
        </w:rPr>
        <w:t xml:space="preserve"> </w:t>
      </w:r>
      <w:r>
        <w:t>Igualdad</w:t>
      </w:r>
      <w:r>
        <w:rPr>
          <w:spacing w:val="-17"/>
        </w:rPr>
        <w:t xml:space="preserve"> </w:t>
      </w:r>
      <w:r>
        <w:t>y</w:t>
      </w:r>
      <w:r>
        <w:rPr>
          <w:spacing w:val="-14"/>
        </w:rPr>
        <w:t xml:space="preserve"> </w:t>
      </w:r>
      <w:r>
        <w:t>Equidad.</w:t>
      </w:r>
      <w:r>
        <w:rPr>
          <w:spacing w:val="-15"/>
        </w:rPr>
        <w:t xml:space="preserve"> </w:t>
      </w:r>
      <w:r>
        <w:t>Tiene</w:t>
      </w:r>
      <w:r>
        <w:rPr>
          <w:spacing w:val="-15"/>
        </w:rPr>
        <w:t xml:space="preserve"> </w:t>
      </w:r>
      <w:r>
        <w:t>sustento jurídico y legislativo en la Ley 2281 de 2023, en cuyo trámite ocurrió un vicio insubsanable que</w:t>
      </w:r>
      <w:r>
        <w:rPr>
          <w:spacing w:val="-2"/>
        </w:rPr>
        <w:t xml:space="preserve"> </w:t>
      </w:r>
      <w:r>
        <w:t>derivó</w:t>
      </w:r>
      <w:r>
        <w:rPr>
          <w:spacing w:val="-2"/>
        </w:rPr>
        <w:t xml:space="preserve"> </w:t>
      </w:r>
      <w:r>
        <w:t>en</w:t>
      </w:r>
      <w:r>
        <w:rPr>
          <w:spacing w:val="-1"/>
        </w:rPr>
        <w:t xml:space="preserve"> </w:t>
      </w:r>
      <w:r>
        <w:t>la</w:t>
      </w:r>
      <w:r>
        <w:rPr>
          <w:spacing w:val="-1"/>
        </w:rPr>
        <w:t xml:space="preserve"> </w:t>
      </w:r>
      <w:r>
        <w:t>declaratoria</w:t>
      </w:r>
      <w:r>
        <w:rPr>
          <w:spacing w:val="-3"/>
        </w:rPr>
        <w:t xml:space="preserve"> </w:t>
      </w:r>
      <w:r>
        <w:t>de</w:t>
      </w:r>
      <w:r>
        <w:rPr>
          <w:spacing w:val="-2"/>
        </w:rPr>
        <w:t xml:space="preserve"> </w:t>
      </w:r>
      <w:proofErr w:type="spellStart"/>
      <w:r>
        <w:t>inexequibilidad</w:t>
      </w:r>
      <w:proofErr w:type="spellEnd"/>
      <w:r>
        <w:rPr>
          <w:spacing w:val="-2"/>
        </w:rPr>
        <w:t xml:space="preserve"> </w:t>
      </w:r>
      <w:r>
        <w:t>diferida de la creación del Ministerio de Igualdad y Equidad declarada en la Sentencia C-161</w:t>
      </w:r>
      <w:r>
        <w:rPr>
          <w:spacing w:val="-1"/>
        </w:rPr>
        <w:t xml:space="preserve"> </w:t>
      </w:r>
      <w:r>
        <w:t>de</w:t>
      </w:r>
      <w:r>
        <w:rPr>
          <w:spacing w:val="-1"/>
        </w:rPr>
        <w:t xml:space="preserve"> </w:t>
      </w:r>
      <w:r>
        <w:t>2024</w:t>
      </w:r>
      <w:r>
        <w:rPr>
          <w:spacing w:val="-1"/>
        </w:rPr>
        <w:t xml:space="preserve"> </w:t>
      </w:r>
      <w:r>
        <w:t>de</w:t>
      </w:r>
      <w:r>
        <w:rPr>
          <w:spacing w:val="-1"/>
        </w:rPr>
        <w:t xml:space="preserve"> </w:t>
      </w:r>
      <w:r>
        <w:t>la</w:t>
      </w:r>
      <w:r>
        <w:rPr>
          <w:spacing w:val="-2"/>
        </w:rPr>
        <w:t xml:space="preserve"> </w:t>
      </w:r>
      <w:r>
        <w:t>Magistrada</w:t>
      </w:r>
      <w:r>
        <w:rPr>
          <w:spacing w:val="-2"/>
        </w:rPr>
        <w:t xml:space="preserve"> </w:t>
      </w:r>
      <w:r>
        <w:t>Ponente Paola Andrea Meneses de la Corte Constitucional.</w:t>
      </w:r>
    </w:p>
    <w:p w14:paraId="01DB1010" w14:textId="77777777" w:rsidR="000E52B0" w:rsidRDefault="00F60D74">
      <w:pPr>
        <w:pStyle w:val="Textoindependiente"/>
        <w:spacing w:before="160"/>
        <w:ind w:right="713"/>
        <w:jc w:val="both"/>
      </w:pPr>
      <w:r>
        <w:t>En la referida Sentencia, la Corte Constitucional estableció que el trámite legislativo</w:t>
      </w:r>
      <w:r>
        <w:rPr>
          <w:spacing w:val="-12"/>
        </w:rPr>
        <w:t xml:space="preserve"> </w:t>
      </w:r>
      <w:r>
        <w:t>de</w:t>
      </w:r>
      <w:r>
        <w:rPr>
          <w:spacing w:val="-14"/>
        </w:rPr>
        <w:t xml:space="preserve"> </w:t>
      </w:r>
      <w:r>
        <w:t>la</w:t>
      </w:r>
      <w:r>
        <w:rPr>
          <w:spacing w:val="-15"/>
        </w:rPr>
        <w:t xml:space="preserve"> </w:t>
      </w:r>
      <w:r>
        <w:t>Ley</w:t>
      </w:r>
      <w:r>
        <w:rPr>
          <w:spacing w:val="-15"/>
        </w:rPr>
        <w:t xml:space="preserve"> </w:t>
      </w:r>
      <w:r>
        <w:t>2281</w:t>
      </w:r>
      <w:r>
        <w:rPr>
          <w:spacing w:val="-14"/>
        </w:rPr>
        <w:t xml:space="preserve"> </w:t>
      </w:r>
      <w:r>
        <w:t>de</w:t>
      </w:r>
      <w:r>
        <w:rPr>
          <w:spacing w:val="-14"/>
        </w:rPr>
        <w:t xml:space="preserve"> </w:t>
      </w:r>
      <w:r>
        <w:t>2023,</w:t>
      </w:r>
      <w:r>
        <w:rPr>
          <w:spacing w:val="-16"/>
        </w:rPr>
        <w:t xml:space="preserve"> </w:t>
      </w:r>
      <w:r>
        <w:t>identificado</w:t>
      </w:r>
      <w:r>
        <w:rPr>
          <w:spacing w:val="-14"/>
        </w:rPr>
        <w:t xml:space="preserve"> </w:t>
      </w:r>
      <w:r>
        <w:t>en</w:t>
      </w:r>
      <w:r>
        <w:rPr>
          <w:spacing w:val="-16"/>
        </w:rPr>
        <w:t xml:space="preserve"> </w:t>
      </w:r>
      <w:r>
        <w:t>las</w:t>
      </w:r>
      <w:r>
        <w:rPr>
          <w:spacing w:val="-15"/>
        </w:rPr>
        <w:t xml:space="preserve"> </w:t>
      </w:r>
      <w:r>
        <w:t>gacetas</w:t>
      </w:r>
      <w:r>
        <w:rPr>
          <w:spacing w:val="-15"/>
        </w:rPr>
        <w:t xml:space="preserve"> </w:t>
      </w:r>
      <w:r>
        <w:t>del</w:t>
      </w:r>
      <w:r>
        <w:rPr>
          <w:spacing w:val="-16"/>
        </w:rPr>
        <w:t xml:space="preserve"> </w:t>
      </w:r>
      <w:r>
        <w:t xml:space="preserve">Congreso como </w:t>
      </w:r>
      <w:r>
        <w:rPr>
          <w:i/>
        </w:rPr>
        <w:t xml:space="preserve">“Proyecto de Ley 222/2022 Senado- 261/2022 Cámara, Por medio de la cual se crea el Ministerio de Igualdad y Equidad y se dictan otras disposiciones”, </w:t>
      </w:r>
      <w:r>
        <w:t xml:space="preserve">no cumplió con las exigencias previstas en el artículo 7 de la Ley 819 de 2003 y, en consecuencia, el trámite vulneró el artículo 151 de la Constitución Política. Pese a ello, en la Sentencia, la Corte Constitucional difirió la </w:t>
      </w:r>
      <w:proofErr w:type="spellStart"/>
      <w:r>
        <w:t>inexequibilidad</w:t>
      </w:r>
      <w:proofErr w:type="spellEnd"/>
      <w:r>
        <w:t xml:space="preserve"> de la Ley que creó el Ministerio de Igualdad</w:t>
      </w:r>
      <w:r>
        <w:rPr>
          <w:spacing w:val="-15"/>
        </w:rPr>
        <w:t xml:space="preserve"> </w:t>
      </w:r>
      <w:r>
        <w:t>y</w:t>
      </w:r>
      <w:r>
        <w:rPr>
          <w:spacing w:val="-15"/>
        </w:rPr>
        <w:t xml:space="preserve"> </w:t>
      </w:r>
      <w:r>
        <w:t>Equidad</w:t>
      </w:r>
      <w:r>
        <w:rPr>
          <w:spacing w:val="-13"/>
        </w:rPr>
        <w:t xml:space="preserve"> </w:t>
      </w:r>
      <w:r>
        <w:t>por</w:t>
      </w:r>
      <w:r>
        <w:rPr>
          <w:spacing w:val="-14"/>
        </w:rPr>
        <w:t xml:space="preserve"> </w:t>
      </w:r>
      <w:r>
        <w:t>un</w:t>
      </w:r>
      <w:r>
        <w:rPr>
          <w:spacing w:val="-15"/>
        </w:rPr>
        <w:t xml:space="preserve"> </w:t>
      </w:r>
      <w:r>
        <w:t>término</w:t>
      </w:r>
      <w:r>
        <w:rPr>
          <w:spacing w:val="-14"/>
        </w:rPr>
        <w:t xml:space="preserve"> </w:t>
      </w:r>
      <w:r>
        <w:t>de</w:t>
      </w:r>
      <w:r>
        <w:rPr>
          <w:spacing w:val="-14"/>
        </w:rPr>
        <w:t xml:space="preserve"> </w:t>
      </w:r>
      <w:r>
        <w:t>dos</w:t>
      </w:r>
      <w:r>
        <w:rPr>
          <w:spacing w:val="-15"/>
        </w:rPr>
        <w:t xml:space="preserve"> </w:t>
      </w:r>
      <w:r>
        <w:t>legislaturas,</w:t>
      </w:r>
      <w:r>
        <w:rPr>
          <w:spacing w:val="-10"/>
        </w:rPr>
        <w:t xml:space="preserve"> </w:t>
      </w:r>
      <w:r>
        <w:t>justificando</w:t>
      </w:r>
      <w:r>
        <w:rPr>
          <w:spacing w:val="-14"/>
        </w:rPr>
        <w:t xml:space="preserve"> </w:t>
      </w:r>
      <w:r>
        <w:t>que</w:t>
      </w:r>
      <w:r>
        <w:rPr>
          <w:spacing w:val="-12"/>
        </w:rPr>
        <w:t xml:space="preserve"> </w:t>
      </w:r>
      <w:r>
        <w:t>“en atención al objeto del Ministerio de Igualdad y Equidad y su actividad misional, la expulsión inmediata de la ley podría afectar los derechos de sujetos de especial protección constitucional y desarticular la política pública dirigida a su protección”.</w:t>
      </w:r>
    </w:p>
    <w:p w14:paraId="4AC3A875" w14:textId="282F27D4" w:rsidR="000E52B0" w:rsidRDefault="00F60D74">
      <w:pPr>
        <w:pStyle w:val="Textoindependiente"/>
        <w:spacing w:before="161"/>
        <w:ind w:right="714"/>
        <w:jc w:val="both"/>
      </w:pPr>
      <w:r>
        <w:t>En atención a la Sentencia de Constitucionalidad, dentro del término concedido, con la subsanación del yerro declarado por la Corte y con la firme</w:t>
      </w:r>
      <w:r>
        <w:rPr>
          <w:spacing w:val="-3"/>
        </w:rPr>
        <w:t xml:space="preserve"> </w:t>
      </w:r>
      <w:r>
        <w:t>convicción</w:t>
      </w:r>
      <w:r>
        <w:rPr>
          <w:spacing w:val="-2"/>
        </w:rPr>
        <w:t xml:space="preserve"> </w:t>
      </w:r>
      <w:r>
        <w:t>de</w:t>
      </w:r>
      <w:r>
        <w:rPr>
          <w:spacing w:val="-3"/>
        </w:rPr>
        <w:t xml:space="preserve"> </w:t>
      </w:r>
      <w:r>
        <w:t>entregarle</w:t>
      </w:r>
      <w:r>
        <w:rPr>
          <w:spacing w:val="-3"/>
        </w:rPr>
        <w:t xml:space="preserve"> </w:t>
      </w:r>
      <w:r>
        <w:t>al</w:t>
      </w:r>
      <w:r>
        <w:rPr>
          <w:spacing w:val="-5"/>
        </w:rPr>
        <w:t xml:space="preserve"> </w:t>
      </w:r>
      <w:r>
        <w:t>país</w:t>
      </w:r>
      <w:r>
        <w:rPr>
          <w:spacing w:val="-4"/>
        </w:rPr>
        <w:t xml:space="preserve"> </w:t>
      </w:r>
      <w:r>
        <w:t>y</w:t>
      </w:r>
      <w:r>
        <w:rPr>
          <w:spacing w:val="-2"/>
        </w:rPr>
        <w:t xml:space="preserve"> </w:t>
      </w:r>
      <w:r>
        <w:t>a</w:t>
      </w:r>
      <w:r>
        <w:rPr>
          <w:spacing w:val="-3"/>
        </w:rPr>
        <w:t xml:space="preserve"> </w:t>
      </w:r>
      <w:r>
        <w:t>los 38</w:t>
      </w:r>
      <w:r>
        <w:rPr>
          <w:spacing w:val="-3"/>
        </w:rPr>
        <w:t xml:space="preserve"> </w:t>
      </w:r>
      <w:r>
        <w:t>millones</w:t>
      </w:r>
      <w:r>
        <w:rPr>
          <w:spacing w:val="-3"/>
        </w:rPr>
        <w:t xml:space="preserve"> </w:t>
      </w:r>
      <w:r>
        <w:t>de</w:t>
      </w:r>
      <w:r>
        <w:rPr>
          <w:spacing w:val="-3"/>
        </w:rPr>
        <w:t xml:space="preserve"> </w:t>
      </w:r>
      <w:r>
        <w:t>personas,</w:t>
      </w:r>
      <w:r>
        <w:rPr>
          <w:spacing w:val="-5"/>
        </w:rPr>
        <w:t xml:space="preserve"> </w:t>
      </w:r>
      <w:r>
        <w:t>que representan el ámbito de aplicación del Ministerio de Igualdad y Equidad, una Entidad que garantice sus derechos fundamentales y trabaje por la eliminación de las brechas de desigualdad e inequidad de toda índole, se presenta</w:t>
      </w:r>
      <w:r>
        <w:rPr>
          <w:spacing w:val="-22"/>
        </w:rPr>
        <w:t xml:space="preserve"> </w:t>
      </w:r>
      <w:r>
        <w:t>al</w:t>
      </w:r>
      <w:r>
        <w:rPr>
          <w:spacing w:val="-21"/>
        </w:rPr>
        <w:t xml:space="preserve"> </w:t>
      </w:r>
      <w:r>
        <w:t>Congreso</w:t>
      </w:r>
      <w:r>
        <w:rPr>
          <w:spacing w:val="-20"/>
        </w:rPr>
        <w:t xml:space="preserve"> </w:t>
      </w:r>
      <w:r>
        <w:t>de</w:t>
      </w:r>
      <w:r>
        <w:rPr>
          <w:spacing w:val="-20"/>
        </w:rPr>
        <w:t xml:space="preserve"> </w:t>
      </w:r>
      <w:r>
        <w:t>la</w:t>
      </w:r>
      <w:r>
        <w:rPr>
          <w:spacing w:val="-21"/>
        </w:rPr>
        <w:t xml:space="preserve"> </w:t>
      </w:r>
      <w:r>
        <w:t>República</w:t>
      </w:r>
      <w:r>
        <w:rPr>
          <w:spacing w:val="-21"/>
        </w:rPr>
        <w:t xml:space="preserve"> </w:t>
      </w:r>
      <w:r>
        <w:t>el</w:t>
      </w:r>
      <w:r>
        <w:rPr>
          <w:spacing w:val="-22"/>
        </w:rPr>
        <w:t xml:space="preserve"> </w:t>
      </w:r>
      <w:r>
        <w:t>presente</w:t>
      </w:r>
      <w:r>
        <w:rPr>
          <w:spacing w:val="-19"/>
        </w:rPr>
        <w:t xml:space="preserve"> </w:t>
      </w:r>
      <w:r>
        <w:t>proyecto</w:t>
      </w:r>
      <w:r>
        <w:rPr>
          <w:spacing w:val="-20"/>
        </w:rPr>
        <w:t xml:space="preserve"> </w:t>
      </w:r>
      <w:r>
        <w:t>de</w:t>
      </w:r>
      <w:r>
        <w:rPr>
          <w:spacing w:val="-20"/>
        </w:rPr>
        <w:t xml:space="preserve"> </w:t>
      </w:r>
      <w:r>
        <w:t>Ley,</w:t>
      </w:r>
      <w:r>
        <w:rPr>
          <w:spacing w:val="-22"/>
        </w:rPr>
        <w:t xml:space="preserve"> </w:t>
      </w:r>
      <w:r w:rsidR="00ED4DD0">
        <w:t>que fue radicado ante la secretaria general de la Cámara de Representantes el 30 de abril de 2025 y retirado en ocasión a la situación de orden público nacional el 10 de junio del mismo año.</w:t>
      </w:r>
    </w:p>
    <w:p w14:paraId="4F2267B8" w14:textId="77777777" w:rsidR="000E52B0" w:rsidRDefault="00F60D74">
      <w:pPr>
        <w:pStyle w:val="Textoindependiente"/>
        <w:spacing w:before="159"/>
        <w:ind w:right="712"/>
        <w:jc w:val="both"/>
      </w:pPr>
      <w:r>
        <w:t>La</w:t>
      </w:r>
      <w:r>
        <w:rPr>
          <w:spacing w:val="-10"/>
        </w:rPr>
        <w:t xml:space="preserve"> </w:t>
      </w:r>
      <w:r>
        <w:t>creación</w:t>
      </w:r>
      <w:r>
        <w:rPr>
          <w:spacing w:val="-11"/>
        </w:rPr>
        <w:t xml:space="preserve"> </w:t>
      </w:r>
      <w:r>
        <w:t>de</w:t>
      </w:r>
      <w:r>
        <w:rPr>
          <w:spacing w:val="-9"/>
        </w:rPr>
        <w:t xml:space="preserve"> </w:t>
      </w:r>
      <w:r>
        <w:t>un</w:t>
      </w:r>
      <w:r>
        <w:rPr>
          <w:spacing w:val="-8"/>
        </w:rPr>
        <w:t xml:space="preserve"> </w:t>
      </w:r>
      <w:r>
        <w:t>ministerio,</w:t>
      </w:r>
      <w:r>
        <w:rPr>
          <w:spacing w:val="-11"/>
        </w:rPr>
        <w:t xml:space="preserve"> </w:t>
      </w:r>
      <w:r>
        <w:t>como</w:t>
      </w:r>
      <w:r>
        <w:rPr>
          <w:spacing w:val="-10"/>
        </w:rPr>
        <w:t xml:space="preserve"> </w:t>
      </w:r>
      <w:r>
        <w:t>la</w:t>
      </w:r>
      <w:r>
        <w:rPr>
          <w:spacing w:val="-11"/>
        </w:rPr>
        <w:t xml:space="preserve"> </w:t>
      </w:r>
      <w:r>
        <w:t>que</w:t>
      </w:r>
      <w:r>
        <w:rPr>
          <w:spacing w:val="-9"/>
        </w:rPr>
        <w:t xml:space="preserve"> </w:t>
      </w:r>
      <w:r>
        <w:t>se</w:t>
      </w:r>
      <w:r>
        <w:rPr>
          <w:spacing w:val="-9"/>
        </w:rPr>
        <w:t xml:space="preserve"> </w:t>
      </w:r>
      <w:r>
        <w:t>hizo</w:t>
      </w:r>
      <w:r>
        <w:rPr>
          <w:spacing w:val="-9"/>
        </w:rPr>
        <w:t xml:space="preserve"> </w:t>
      </w:r>
      <w:r>
        <w:t>con</w:t>
      </w:r>
      <w:r>
        <w:rPr>
          <w:spacing w:val="-10"/>
        </w:rPr>
        <w:t xml:space="preserve"> </w:t>
      </w:r>
      <w:r>
        <w:t>la</w:t>
      </w:r>
      <w:r>
        <w:rPr>
          <w:spacing w:val="-11"/>
        </w:rPr>
        <w:t xml:space="preserve"> </w:t>
      </w:r>
      <w:r>
        <w:t>Ley</w:t>
      </w:r>
      <w:r>
        <w:rPr>
          <w:spacing w:val="-10"/>
        </w:rPr>
        <w:t xml:space="preserve"> </w:t>
      </w:r>
      <w:r>
        <w:t>2281</w:t>
      </w:r>
      <w:r>
        <w:rPr>
          <w:spacing w:val="-9"/>
        </w:rPr>
        <w:t xml:space="preserve"> </w:t>
      </w:r>
      <w:r>
        <w:t>de</w:t>
      </w:r>
      <w:r>
        <w:rPr>
          <w:spacing w:val="-9"/>
        </w:rPr>
        <w:t xml:space="preserve"> </w:t>
      </w:r>
      <w:r>
        <w:t>2023, y</w:t>
      </w:r>
      <w:r>
        <w:rPr>
          <w:spacing w:val="-7"/>
        </w:rPr>
        <w:t xml:space="preserve"> </w:t>
      </w:r>
      <w:r>
        <w:t>que</w:t>
      </w:r>
      <w:r>
        <w:rPr>
          <w:spacing w:val="-5"/>
        </w:rPr>
        <w:t xml:space="preserve"> </w:t>
      </w:r>
      <w:r>
        <w:t>se</w:t>
      </w:r>
      <w:r>
        <w:rPr>
          <w:spacing w:val="-5"/>
        </w:rPr>
        <w:t xml:space="preserve"> </w:t>
      </w:r>
      <w:r>
        <w:t>subsana</w:t>
      </w:r>
      <w:r>
        <w:rPr>
          <w:spacing w:val="-6"/>
        </w:rPr>
        <w:t xml:space="preserve"> </w:t>
      </w:r>
      <w:r>
        <w:t>con</w:t>
      </w:r>
      <w:r>
        <w:rPr>
          <w:spacing w:val="-7"/>
        </w:rPr>
        <w:t xml:space="preserve"> </w:t>
      </w:r>
      <w:r>
        <w:t>esta</w:t>
      </w:r>
      <w:r>
        <w:rPr>
          <w:spacing w:val="-6"/>
        </w:rPr>
        <w:t xml:space="preserve"> </w:t>
      </w:r>
      <w:r>
        <w:t>iniciativa,</w:t>
      </w:r>
      <w:r>
        <w:rPr>
          <w:spacing w:val="-7"/>
        </w:rPr>
        <w:t xml:space="preserve"> </w:t>
      </w:r>
      <w:r>
        <w:t>tiene</w:t>
      </w:r>
      <w:r>
        <w:rPr>
          <w:spacing w:val="-5"/>
        </w:rPr>
        <w:t xml:space="preserve"> </w:t>
      </w:r>
      <w:r>
        <w:t>como</w:t>
      </w:r>
      <w:r>
        <w:rPr>
          <w:spacing w:val="-6"/>
        </w:rPr>
        <w:t xml:space="preserve"> </w:t>
      </w:r>
      <w:r>
        <w:t>antecedente</w:t>
      </w:r>
      <w:r>
        <w:rPr>
          <w:spacing w:val="-5"/>
        </w:rPr>
        <w:t xml:space="preserve"> </w:t>
      </w:r>
      <w:r>
        <w:t>más</w:t>
      </w:r>
      <w:r>
        <w:rPr>
          <w:spacing w:val="-7"/>
        </w:rPr>
        <w:t xml:space="preserve"> </w:t>
      </w:r>
      <w:r>
        <w:t>reciente la</w:t>
      </w:r>
      <w:r>
        <w:rPr>
          <w:spacing w:val="-12"/>
        </w:rPr>
        <w:t xml:space="preserve"> </w:t>
      </w:r>
      <w:r>
        <w:t>creación</w:t>
      </w:r>
      <w:r>
        <w:rPr>
          <w:spacing w:val="-7"/>
        </w:rPr>
        <w:t xml:space="preserve"> </w:t>
      </w:r>
      <w:r>
        <w:t>del</w:t>
      </w:r>
      <w:r>
        <w:rPr>
          <w:spacing w:val="-8"/>
        </w:rPr>
        <w:t xml:space="preserve"> </w:t>
      </w:r>
      <w:r>
        <w:t>Ministerio</w:t>
      </w:r>
      <w:r>
        <w:rPr>
          <w:spacing w:val="-8"/>
        </w:rPr>
        <w:t xml:space="preserve"> </w:t>
      </w:r>
      <w:r>
        <w:t>del</w:t>
      </w:r>
      <w:r>
        <w:rPr>
          <w:spacing w:val="-10"/>
        </w:rPr>
        <w:t xml:space="preserve"> </w:t>
      </w:r>
      <w:r>
        <w:t>Trabajo</w:t>
      </w:r>
      <w:r>
        <w:rPr>
          <w:spacing w:val="-6"/>
        </w:rPr>
        <w:t xml:space="preserve"> </w:t>
      </w:r>
      <w:r>
        <w:t>en</w:t>
      </w:r>
      <w:r>
        <w:rPr>
          <w:spacing w:val="-5"/>
        </w:rPr>
        <w:t xml:space="preserve"> </w:t>
      </w:r>
      <w:r>
        <w:t>el</w:t>
      </w:r>
      <w:r>
        <w:rPr>
          <w:spacing w:val="-9"/>
        </w:rPr>
        <w:t xml:space="preserve"> </w:t>
      </w:r>
      <w:r>
        <w:t>año</w:t>
      </w:r>
      <w:r>
        <w:rPr>
          <w:spacing w:val="-8"/>
        </w:rPr>
        <w:t xml:space="preserve"> </w:t>
      </w:r>
      <w:r>
        <w:t>1923,</w:t>
      </w:r>
      <w:r>
        <w:rPr>
          <w:spacing w:val="-10"/>
        </w:rPr>
        <w:t xml:space="preserve"> </w:t>
      </w:r>
      <w:r>
        <w:t>cuando</w:t>
      </w:r>
      <w:r>
        <w:rPr>
          <w:spacing w:val="-5"/>
        </w:rPr>
        <w:t xml:space="preserve"> </w:t>
      </w:r>
      <w:r>
        <w:t>se</w:t>
      </w:r>
      <w:r>
        <w:rPr>
          <w:spacing w:val="-8"/>
        </w:rPr>
        <w:t xml:space="preserve"> </w:t>
      </w:r>
      <w:r>
        <w:t>creó</w:t>
      </w:r>
      <w:r>
        <w:rPr>
          <w:spacing w:val="-8"/>
        </w:rPr>
        <w:t xml:space="preserve"> </w:t>
      </w:r>
      <w:r>
        <w:rPr>
          <w:spacing w:val="-2"/>
        </w:rPr>
        <w:t>desde</w:t>
      </w:r>
    </w:p>
    <w:p w14:paraId="75F1E82A" w14:textId="77777777" w:rsidR="000E52B0" w:rsidRDefault="000E52B0">
      <w:pPr>
        <w:pStyle w:val="Textoindependiente"/>
        <w:jc w:val="both"/>
        <w:sectPr w:rsidR="000E52B0">
          <w:pgSz w:w="11910" w:h="16840"/>
          <w:pgMar w:top="1340" w:right="720" w:bottom="1180" w:left="720" w:header="0" w:footer="995" w:gutter="0"/>
          <w:cols w:space="720"/>
        </w:sectPr>
      </w:pPr>
    </w:p>
    <w:p w14:paraId="5C6489CB" w14:textId="77777777" w:rsidR="000E52B0" w:rsidRDefault="00F60D74">
      <w:pPr>
        <w:pStyle w:val="Textoindependiente"/>
        <w:spacing w:before="83"/>
        <w:ind w:right="714"/>
        <w:jc w:val="both"/>
      </w:pPr>
      <w:r>
        <w:lastRenderedPageBreak/>
        <w:t xml:space="preserve">cero, con la Ley 31 de 1923, el entonces llamado Ministerio de Industrias, ya que los esfuerzos por las transformaciones y modernizaciones de la administración pública han girado en torno a fusiones o escisiones de entidades en donde organismos ya existentes unen esfuerzos logísticos, administrativos y financieros para convertirse en una entidad nueva que ejerza como ministerio. La creación de un ministerio desde cero, sin la transformación de ninguna otra entidad, no ocurría en la administración pública colombiana desde 1923, tal como se relaciona en el siguiente </w:t>
      </w:r>
      <w:r>
        <w:rPr>
          <w:spacing w:val="-2"/>
        </w:rPr>
        <w:t>cuadro:</w:t>
      </w:r>
    </w:p>
    <w:p w14:paraId="18071860" w14:textId="77777777" w:rsidR="000E52B0" w:rsidRDefault="000E52B0">
      <w:pPr>
        <w:pStyle w:val="Textoindependiente"/>
        <w:spacing w:before="12"/>
        <w:ind w:left="0"/>
        <w:rPr>
          <w:sz w:val="12"/>
        </w:r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1277"/>
        <w:gridCol w:w="4910"/>
      </w:tblGrid>
      <w:tr w:rsidR="000E52B0" w14:paraId="04B1190F" w14:textId="77777777">
        <w:trPr>
          <w:trHeight w:val="486"/>
        </w:trPr>
        <w:tc>
          <w:tcPr>
            <w:tcW w:w="2830" w:type="dxa"/>
            <w:shd w:val="clear" w:color="auto" w:fill="D44673"/>
          </w:tcPr>
          <w:p w14:paraId="633ED65E" w14:textId="77777777" w:rsidR="000E52B0" w:rsidRDefault="00F60D74">
            <w:pPr>
              <w:pStyle w:val="TableParagraph"/>
              <w:spacing w:before="122"/>
              <w:ind w:left="856"/>
              <w:rPr>
                <w:b/>
                <w:sz w:val="20"/>
              </w:rPr>
            </w:pPr>
            <w:r>
              <w:rPr>
                <w:b/>
                <w:color w:val="FFFFFF"/>
                <w:spacing w:val="-2"/>
                <w:sz w:val="20"/>
              </w:rPr>
              <w:t>Ministerio</w:t>
            </w:r>
          </w:p>
        </w:tc>
        <w:tc>
          <w:tcPr>
            <w:tcW w:w="1277" w:type="dxa"/>
            <w:shd w:val="clear" w:color="auto" w:fill="D44673"/>
          </w:tcPr>
          <w:p w14:paraId="7CB2B687" w14:textId="77777777" w:rsidR="000E52B0" w:rsidRDefault="00F60D74">
            <w:pPr>
              <w:pStyle w:val="TableParagraph"/>
              <w:spacing w:line="242" w:lineRule="exact"/>
              <w:ind w:left="148" w:right="138" w:firstLine="100"/>
              <w:rPr>
                <w:b/>
                <w:sz w:val="20"/>
              </w:rPr>
            </w:pPr>
            <w:r>
              <w:rPr>
                <w:b/>
                <w:color w:val="FFFFFF"/>
                <w:sz w:val="20"/>
              </w:rPr>
              <w:t xml:space="preserve">Año de </w:t>
            </w:r>
            <w:r>
              <w:rPr>
                <w:b/>
                <w:color w:val="FFFFFF"/>
                <w:spacing w:val="-2"/>
                <w:sz w:val="20"/>
              </w:rPr>
              <w:t>Creación</w:t>
            </w:r>
          </w:p>
        </w:tc>
        <w:tc>
          <w:tcPr>
            <w:tcW w:w="4910" w:type="dxa"/>
            <w:shd w:val="clear" w:color="auto" w:fill="D44673"/>
          </w:tcPr>
          <w:p w14:paraId="6F1145D6" w14:textId="77777777" w:rsidR="000E52B0" w:rsidRDefault="00F60D74">
            <w:pPr>
              <w:pStyle w:val="TableParagraph"/>
              <w:spacing w:before="122"/>
              <w:ind w:left="1461"/>
              <w:rPr>
                <w:b/>
                <w:sz w:val="20"/>
              </w:rPr>
            </w:pPr>
            <w:r>
              <w:rPr>
                <w:b/>
                <w:color w:val="FFFFFF"/>
                <w:sz w:val="20"/>
              </w:rPr>
              <w:t>Entidad</w:t>
            </w:r>
            <w:r>
              <w:rPr>
                <w:b/>
                <w:color w:val="FFFFFF"/>
                <w:spacing w:val="-7"/>
                <w:sz w:val="20"/>
              </w:rPr>
              <w:t xml:space="preserve"> </w:t>
            </w:r>
            <w:r>
              <w:rPr>
                <w:b/>
                <w:color w:val="FFFFFF"/>
                <w:sz w:val="20"/>
              </w:rPr>
              <w:t>de</w:t>
            </w:r>
            <w:r>
              <w:rPr>
                <w:b/>
                <w:color w:val="FFFFFF"/>
                <w:spacing w:val="-6"/>
                <w:sz w:val="20"/>
              </w:rPr>
              <w:t xml:space="preserve"> </w:t>
            </w:r>
            <w:r>
              <w:rPr>
                <w:b/>
                <w:color w:val="FFFFFF"/>
                <w:spacing w:val="-2"/>
                <w:sz w:val="20"/>
              </w:rPr>
              <w:t>origen</w:t>
            </w:r>
          </w:p>
        </w:tc>
      </w:tr>
      <w:tr w:rsidR="000E52B0" w14:paraId="599E77C3" w14:textId="77777777">
        <w:trPr>
          <w:trHeight w:val="487"/>
        </w:trPr>
        <w:tc>
          <w:tcPr>
            <w:tcW w:w="2830" w:type="dxa"/>
          </w:tcPr>
          <w:p w14:paraId="191B00BC" w14:textId="77777777" w:rsidR="000E52B0" w:rsidRDefault="00F60D74">
            <w:pPr>
              <w:pStyle w:val="TableParagraph"/>
              <w:spacing w:line="246" w:lineRule="exact"/>
              <w:ind w:left="107"/>
              <w:rPr>
                <w:sz w:val="20"/>
              </w:rPr>
            </w:pPr>
            <w:r>
              <w:rPr>
                <w:sz w:val="20"/>
              </w:rPr>
              <w:t>Ministerio</w:t>
            </w:r>
            <w:r>
              <w:rPr>
                <w:spacing w:val="-15"/>
                <w:sz w:val="20"/>
              </w:rPr>
              <w:t xml:space="preserve"> </w:t>
            </w:r>
            <w:r>
              <w:rPr>
                <w:sz w:val="20"/>
              </w:rPr>
              <w:t>de</w:t>
            </w:r>
            <w:r>
              <w:rPr>
                <w:spacing w:val="-15"/>
                <w:sz w:val="20"/>
              </w:rPr>
              <w:t xml:space="preserve"> </w:t>
            </w:r>
            <w:r>
              <w:rPr>
                <w:sz w:val="20"/>
              </w:rPr>
              <w:t>Igualdad</w:t>
            </w:r>
            <w:r>
              <w:rPr>
                <w:spacing w:val="-13"/>
                <w:sz w:val="20"/>
              </w:rPr>
              <w:t xml:space="preserve"> </w:t>
            </w:r>
            <w:r>
              <w:rPr>
                <w:sz w:val="20"/>
              </w:rPr>
              <w:t xml:space="preserve">y </w:t>
            </w:r>
            <w:r>
              <w:rPr>
                <w:spacing w:val="-2"/>
                <w:sz w:val="20"/>
              </w:rPr>
              <w:t>Equidad</w:t>
            </w:r>
          </w:p>
        </w:tc>
        <w:tc>
          <w:tcPr>
            <w:tcW w:w="1277" w:type="dxa"/>
          </w:tcPr>
          <w:p w14:paraId="3BF7ED2F" w14:textId="77777777" w:rsidR="000E52B0" w:rsidRDefault="00F60D74">
            <w:pPr>
              <w:pStyle w:val="TableParagraph"/>
              <w:spacing w:before="122"/>
              <w:ind w:left="9"/>
              <w:jc w:val="center"/>
              <w:rPr>
                <w:sz w:val="20"/>
              </w:rPr>
            </w:pPr>
            <w:r>
              <w:rPr>
                <w:spacing w:val="-4"/>
                <w:sz w:val="20"/>
              </w:rPr>
              <w:t>2023</w:t>
            </w:r>
          </w:p>
        </w:tc>
        <w:tc>
          <w:tcPr>
            <w:tcW w:w="4910" w:type="dxa"/>
          </w:tcPr>
          <w:p w14:paraId="31530974" w14:textId="77777777" w:rsidR="000E52B0" w:rsidRDefault="00F60D74">
            <w:pPr>
              <w:pStyle w:val="TableParagraph"/>
              <w:spacing w:line="246" w:lineRule="exact"/>
              <w:ind w:left="107" w:right="208"/>
              <w:rPr>
                <w:sz w:val="20"/>
              </w:rPr>
            </w:pPr>
            <w:r>
              <w:rPr>
                <w:sz w:val="20"/>
              </w:rPr>
              <w:t>Ninguna.</w:t>
            </w:r>
            <w:r>
              <w:rPr>
                <w:spacing w:val="-8"/>
                <w:sz w:val="20"/>
              </w:rPr>
              <w:t xml:space="preserve"> </w:t>
            </w:r>
            <w:r>
              <w:rPr>
                <w:sz w:val="20"/>
              </w:rPr>
              <w:t>Creada</w:t>
            </w:r>
            <w:r>
              <w:rPr>
                <w:spacing w:val="-3"/>
                <w:sz w:val="20"/>
              </w:rPr>
              <w:t xml:space="preserve"> </w:t>
            </w:r>
            <w:r>
              <w:rPr>
                <w:sz w:val="20"/>
              </w:rPr>
              <w:t>desde</w:t>
            </w:r>
            <w:r>
              <w:rPr>
                <w:spacing w:val="-5"/>
                <w:sz w:val="20"/>
              </w:rPr>
              <w:t xml:space="preserve"> </w:t>
            </w:r>
            <w:r>
              <w:rPr>
                <w:sz w:val="20"/>
              </w:rPr>
              <w:t>cero</w:t>
            </w:r>
            <w:r>
              <w:rPr>
                <w:spacing w:val="-6"/>
                <w:sz w:val="20"/>
              </w:rPr>
              <w:t xml:space="preserve"> </w:t>
            </w:r>
            <w:r>
              <w:rPr>
                <w:sz w:val="20"/>
              </w:rPr>
              <w:t>en</w:t>
            </w:r>
            <w:r>
              <w:rPr>
                <w:spacing w:val="-7"/>
                <w:sz w:val="20"/>
              </w:rPr>
              <w:t xml:space="preserve"> </w:t>
            </w:r>
            <w:r>
              <w:rPr>
                <w:sz w:val="20"/>
              </w:rPr>
              <w:t>la</w:t>
            </w:r>
            <w:r>
              <w:rPr>
                <w:spacing w:val="-5"/>
                <w:sz w:val="20"/>
              </w:rPr>
              <w:t xml:space="preserve"> </w:t>
            </w:r>
            <w:r>
              <w:rPr>
                <w:sz w:val="20"/>
              </w:rPr>
              <w:t>Ley</w:t>
            </w:r>
            <w:r>
              <w:rPr>
                <w:spacing w:val="-8"/>
                <w:sz w:val="20"/>
              </w:rPr>
              <w:t xml:space="preserve"> </w:t>
            </w:r>
            <w:r>
              <w:rPr>
                <w:sz w:val="20"/>
              </w:rPr>
              <w:t>2281 de 2023</w:t>
            </w:r>
          </w:p>
        </w:tc>
      </w:tr>
      <w:tr w:rsidR="000E52B0" w14:paraId="06391E3C" w14:textId="77777777">
        <w:trPr>
          <w:trHeight w:val="481"/>
        </w:trPr>
        <w:tc>
          <w:tcPr>
            <w:tcW w:w="2830" w:type="dxa"/>
          </w:tcPr>
          <w:p w14:paraId="2F655EC4" w14:textId="77777777" w:rsidR="000E52B0" w:rsidRDefault="00F60D74">
            <w:pPr>
              <w:pStyle w:val="TableParagraph"/>
              <w:spacing w:line="242" w:lineRule="exact"/>
              <w:ind w:left="107"/>
              <w:rPr>
                <w:sz w:val="20"/>
              </w:rPr>
            </w:pPr>
            <w:r>
              <w:rPr>
                <w:sz w:val="20"/>
              </w:rPr>
              <w:t>Ministerio de Ciencia, Tecnología</w:t>
            </w:r>
            <w:r>
              <w:rPr>
                <w:spacing w:val="-18"/>
                <w:sz w:val="20"/>
              </w:rPr>
              <w:t xml:space="preserve"> </w:t>
            </w:r>
            <w:r>
              <w:rPr>
                <w:sz w:val="20"/>
              </w:rPr>
              <w:t>e</w:t>
            </w:r>
            <w:r>
              <w:rPr>
                <w:spacing w:val="-18"/>
                <w:sz w:val="20"/>
              </w:rPr>
              <w:t xml:space="preserve"> </w:t>
            </w:r>
            <w:r>
              <w:rPr>
                <w:sz w:val="20"/>
              </w:rPr>
              <w:t>Innovación</w:t>
            </w:r>
          </w:p>
        </w:tc>
        <w:tc>
          <w:tcPr>
            <w:tcW w:w="1277" w:type="dxa"/>
          </w:tcPr>
          <w:p w14:paraId="5EF14065" w14:textId="77777777" w:rsidR="000E52B0" w:rsidRDefault="00F60D74">
            <w:pPr>
              <w:pStyle w:val="TableParagraph"/>
              <w:spacing w:before="118"/>
              <w:ind w:left="9"/>
              <w:jc w:val="center"/>
              <w:rPr>
                <w:sz w:val="20"/>
              </w:rPr>
            </w:pPr>
            <w:r>
              <w:rPr>
                <w:spacing w:val="-4"/>
                <w:sz w:val="20"/>
              </w:rPr>
              <w:t>2021</w:t>
            </w:r>
          </w:p>
        </w:tc>
        <w:tc>
          <w:tcPr>
            <w:tcW w:w="4910" w:type="dxa"/>
          </w:tcPr>
          <w:p w14:paraId="68404F8F" w14:textId="77777777" w:rsidR="000E52B0" w:rsidRDefault="00F60D74">
            <w:pPr>
              <w:pStyle w:val="TableParagraph"/>
              <w:spacing w:line="239" w:lineRule="exact"/>
              <w:ind w:left="107"/>
              <w:rPr>
                <w:sz w:val="20"/>
              </w:rPr>
            </w:pPr>
            <w:r>
              <w:rPr>
                <w:sz w:val="20"/>
              </w:rPr>
              <w:t>Colciencias,</w:t>
            </w:r>
            <w:r>
              <w:rPr>
                <w:spacing w:val="-5"/>
                <w:sz w:val="20"/>
              </w:rPr>
              <w:t xml:space="preserve"> </w:t>
            </w:r>
            <w:r>
              <w:rPr>
                <w:sz w:val="20"/>
              </w:rPr>
              <w:t>Ley</w:t>
            </w:r>
            <w:r>
              <w:rPr>
                <w:spacing w:val="-7"/>
                <w:sz w:val="20"/>
              </w:rPr>
              <w:t xml:space="preserve"> </w:t>
            </w:r>
            <w:r>
              <w:rPr>
                <w:sz w:val="20"/>
              </w:rPr>
              <w:t>2162</w:t>
            </w:r>
            <w:r>
              <w:rPr>
                <w:spacing w:val="-3"/>
                <w:sz w:val="20"/>
              </w:rPr>
              <w:t xml:space="preserve"> </w:t>
            </w:r>
            <w:r>
              <w:rPr>
                <w:sz w:val="20"/>
              </w:rPr>
              <w:t>de</w:t>
            </w:r>
            <w:r>
              <w:rPr>
                <w:spacing w:val="-7"/>
                <w:sz w:val="20"/>
              </w:rPr>
              <w:t xml:space="preserve"> </w:t>
            </w:r>
            <w:r>
              <w:rPr>
                <w:spacing w:val="-4"/>
                <w:sz w:val="20"/>
              </w:rPr>
              <w:t>2021</w:t>
            </w:r>
          </w:p>
        </w:tc>
      </w:tr>
      <w:tr w:rsidR="000E52B0" w14:paraId="0F2E4126" w14:textId="77777777">
        <w:trPr>
          <w:trHeight w:val="297"/>
        </w:trPr>
        <w:tc>
          <w:tcPr>
            <w:tcW w:w="2830" w:type="dxa"/>
          </w:tcPr>
          <w:p w14:paraId="58498BE2" w14:textId="77777777" w:rsidR="000E52B0" w:rsidRDefault="00F60D74">
            <w:pPr>
              <w:pStyle w:val="TableParagraph"/>
              <w:spacing w:before="27"/>
              <w:ind w:left="107"/>
              <w:rPr>
                <w:sz w:val="20"/>
              </w:rPr>
            </w:pPr>
            <w:r>
              <w:rPr>
                <w:sz w:val="20"/>
              </w:rPr>
              <w:t>Ministerio</w:t>
            </w:r>
            <w:r>
              <w:rPr>
                <w:spacing w:val="-9"/>
                <w:sz w:val="20"/>
              </w:rPr>
              <w:t xml:space="preserve"> </w:t>
            </w:r>
            <w:r>
              <w:rPr>
                <w:sz w:val="20"/>
              </w:rPr>
              <w:t>del</w:t>
            </w:r>
            <w:r>
              <w:rPr>
                <w:spacing w:val="-6"/>
                <w:sz w:val="20"/>
              </w:rPr>
              <w:t xml:space="preserve"> </w:t>
            </w:r>
            <w:r>
              <w:rPr>
                <w:spacing w:val="-2"/>
                <w:sz w:val="20"/>
              </w:rPr>
              <w:t>Deporte</w:t>
            </w:r>
          </w:p>
        </w:tc>
        <w:tc>
          <w:tcPr>
            <w:tcW w:w="1277" w:type="dxa"/>
          </w:tcPr>
          <w:p w14:paraId="18883DC3" w14:textId="77777777" w:rsidR="000E52B0" w:rsidRDefault="00F60D74">
            <w:pPr>
              <w:pStyle w:val="TableParagraph"/>
              <w:spacing w:before="27"/>
              <w:ind w:left="9"/>
              <w:jc w:val="center"/>
              <w:rPr>
                <w:sz w:val="20"/>
              </w:rPr>
            </w:pPr>
            <w:r>
              <w:rPr>
                <w:spacing w:val="-4"/>
                <w:sz w:val="20"/>
              </w:rPr>
              <w:t>2019</w:t>
            </w:r>
          </w:p>
        </w:tc>
        <w:tc>
          <w:tcPr>
            <w:tcW w:w="4910" w:type="dxa"/>
          </w:tcPr>
          <w:p w14:paraId="3DB62174" w14:textId="77777777" w:rsidR="000E52B0" w:rsidRDefault="00F60D74">
            <w:pPr>
              <w:pStyle w:val="TableParagraph"/>
              <w:spacing w:line="242" w:lineRule="exact"/>
              <w:ind w:left="107"/>
              <w:rPr>
                <w:sz w:val="20"/>
              </w:rPr>
            </w:pPr>
            <w:r>
              <w:rPr>
                <w:sz w:val="20"/>
              </w:rPr>
              <w:t>Coldeportes,</w:t>
            </w:r>
            <w:r>
              <w:rPr>
                <w:spacing w:val="-9"/>
                <w:sz w:val="20"/>
              </w:rPr>
              <w:t xml:space="preserve"> </w:t>
            </w:r>
            <w:r>
              <w:rPr>
                <w:sz w:val="20"/>
              </w:rPr>
              <w:t>Ley</w:t>
            </w:r>
            <w:r>
              <w:rPr>
                <w:spacing w:val="-8"/>
                <w:sz w:val="20"/>
              </w:rPr>
              <w:t xml:space="preserve"> </w:t>
            </w:r>
            <w:r>
              <w:rPr>
                <w:sz w:val="20"/>
              </w:rPr>
              <w:t>1967</w:t>
            </w:r>
            <w:r>
              <w:rPr>
                <w:spacing w:val="-3"/>
                <w:sz w:val="20"/>
              </w:rPr>
              <w:t xml:space="preserve"> </w:t>
            </w:r>
            <w:r>
              <w:rPr>
                <w:sz w:val="20"/>
              </w:rPr>
              <w:t>de</w:t>
            </w:r>
            <w:r>
              <w:rPr>
                <w:spacing w:val="-8"/>
                <w:sz w:val="20"/>
              </w:rPr>
              <w:t xml:space="preserve"> </w:t>
            </w:r>
            <w:r>
              <w:rPr>
                <w:spacing w:val="-4"/>
                <w:sz w:val="20"/>
              </w:rPr>
              <w:t>2019</w:t>
            </w:r>
          </w:p>
        </w:tc>
      </w:tr>
      <w:tr w:rsidR="000E52B0" w14:paraId="155F4395" w14:textId="77777777">
        <w:trPr>
          <w:trHeight w:val="486"/>
        </w:trPr>
        <w:tc>
          <w:tcPr>
            <w:tcW w:w="2830" w:type="dxa"/>
          </w:tcPr>
          <w:p w14:paraId="7C8618C1" w14:textId="77777777" w:rsidR="000E52B0" w:rsidRDefault="00F60D74">
            <w:pPr>
              <w:pStyle w:val="TableParagraph"/>
              <w:spacing w:line="242" w:lineRule="exact"/>
              <w:ind w:left="107"/>
              <w:rPr>
                <w:sz w:val="20"/>
              </w:rPr>
            </w:pPr>
            <w:r>
              <w:rPr>
                <w:sz w:val="20"/>
              </w:rPr>
              <w:t>Ministerio</w:t>
            </w:r>
            <w:r>
              <w:rPr>
                <w:spacing w:val="-15"/>
                <w:sz w:val="20"/>
              </w:rPr>
              <w:t xml:space="preserve"> </w:t>
            </w:r>
            <w:r>
              <w:rPr>
                <w:sz w:val="20"/>
              </w:rPr>
              <w:t>de</w:t>
            </w:r>
            <w:r>
              <w:rPr>
                <w:spacing w:val="-15"/>
                <w:sz w:val="20"/>
              </w:rPr>
              <w:t xml:space="preserve"> </w:t>
            </w:r>
            <w:r>
              <w:rPr>
                <w:sz w:val="20"/>
              </w:rPr>
              <w:t>las</w:t>
            </w:r>
            <w:r>
              <w:rPr>
                <w:spacing w:val="-12"/>
                <w:sz w:val="20"/>
              </w:rPr>
              <w:t xml:space="preserve"> </w:t>
            </w:r>
            <w:r>
              <w:rPr>
                <w:sz w:val="20"/>
              </w:rPr>
              <w:t>Culturas, las Artes y los Saberes</w:t>
            </w:r>
          </w:p>
        </w:tc>
        <w:tc>
          <w:tcPr>
            <w:tcW w:w="1277" w:type="dxa"/>
          </w:tcPr>
          <w:p w14:paraId="3F70AF08" w14:textId="77777777" w:rsidR="000E52B0" w:rsidRDefault="00F60D74">
            <w:pPr>
              <w:pStyle w:val="TableParagraph"/>
              <w:spacing w:before="122"/>
              <w:ind w:left="9"/>
              <w:jc w:val="center"/>
              <w:rPr>
                <w:sz w:val="20"/>
              </w:rPr>
            </w:pPr>
            <w:r>
              <w:rPr>
                <w:spacing w:val="-4"/>
                <w:sz w:val="20"/>
              </w:rPr>
              <w:t>1997</w:t>
            </w:r>
          </w:p>
        </w:tc>
        <w:tc>
          <w:tcPr>
            <w:tcW w:w="4910" w:type="dxa"/>
          </w:tcPr>
          <w:p w14:paraId="60F796C1" w14:textId="77777777" w:rsidR="000E52B0" w:rsidRDefault="00F60D74">
            <w:pPr>
              <w:pStyle w:val="TableParagraph"/>
              <w:ind w:left="107"/>
              <w:rPr>
                <w:sz w:val="20"/>
              </w:rPr>
            </w:pPr>
            <w:r>
              <w:rPr>
                <w:sz w:val="20"/>
              </w:rPr>
              <w:t>Colcultura,</w:t>
            </w:r>
            <w:r>
              <w:rPr>
                <w:spacing w:val="-5"/>
                <w:sz w:val="20"/>
              </w:rPr>
              <w:t xml:space="preserve"> </w:t>
            </w:r>
            <w:r>
              <w:rPr>
                <w:sz w:val="20"/>
              </w:rPr>
              <w:t>Ley</w:t>
            </w:r>
            <w:r>
              <w:rPr>
                <w:spacing w:val="-7"/>
                <w:sz w:val="20"/>
              </w:rPr>
              <w:t xml:space="preserve"> </w:t>
            </w:r>
            <w:r>
              <w:rPr>
                <w:sz w:val="20"/>
              </w:rPr>
              <w:t>397</w:t>
            </w:r>
            <w:r>
              <w:rPr>
                <w:spacing w:val="-3"/>
                <w:sz w:val="20"/>
              </w:rPr>
              <w:t xml:space="preserve"> </w:t>
            </w:r>
            <w:r>
              <w:rPr>
                <w:sz w:val="20"/>
              </w:rPr>
              <w:t>de</w:t>
            </w:r>
            <w:r>
              <w:rPr>
                <w:spacing w:val="-6"/>
                <w:sz w:val="20"/>
              </w:rPr>
              <w:t xml:space="preserve"> </w:t>
            </w:r>
            <w:r>
              <w:rPr>
                <w:spacing w:val="-4"/>
                <w:sz w:val="20"/>
              </w:rPr>
              <w:t>1997</w:t>
            </w:r>
          </w:p>
        </w:tc>
      </w:tr>
      <w:tr w:rsidR="000E52B0" w14:paraId="1ECDD710" w14:textId="77777777">
        <w:trPr>
          <w:trHeight w:val="484"/>
        </w:trPr>
        <w:tc>
          <w:tcPr>
            <w:tcW w:w="2830" w:type="dxa"/>
          </w:tcPr>
          <w:p w14:paraId="02B059F7" w14:textId="77777777" w:rsidR="000E52B0" w:rsidRDefault="00F60D74">
            <w:pPr>
              <w:pStyle w:val="TableParagraph"/>
              <w:spacing w:line="242" w:lineRule="exact"/>
              <w:ind w:left="107"/>
              <w:rPr>
                <w:sz w:val="20"/>
              </w:rPr>
            </w:pPr>
            <w:r>
              <w:rPr>
                <w:sz w:val="20"/>
              </w:rPr>
              <w:t>Ministerio</w:t>
            </w:r>
            <w:r>
              <w:rPr>
                <w:spacing w:val="-14"/>
                <w:sz w:val="20"/>
              </w:rPr>
              <w:t xml:space="preserve"> </w:t>
            </w:r>
            <w:r>
              <w:rPr>
                <w:sz w:val="20"/>
              </w:rPr>
              <w:t>de</w:t>
            </w:r>
            <w:r>
              <w:rPr>
                <w:spacing w:val="-14"/>
                <w:sz w:val="20"/>
              </w:rPr>
              <w:t xml:space="preserve"> </w:t>
            </w:r>
            <w:r>
              <w:rPr>
                <w:sz w:val="20"/>
              </w:rPr>
              <w:t>Ambiente</w:t>
            </w:r>
            <w:r>
              <w:rPr>
                <w:spacing w:val="-12"/>
                <w:sz w:val="20"/>
              </w:rPr>
              <w:t xml:space="preserve"> </w:t>
            </w:r>
            <w:r>
              <w:rPr>
                <w:sz w:val="20"/>
              </w:rPr>
              <w:t>y Desarrollo Sostenible</w:t>
            </w:r>
          </w:p>
        </w:tc>
        <w:tc>
          <w:tcPr>
            <w:tcW w:w="1277" w:type="dxa"/>
          </w:tcPr>
          <w:p w14:paraId="4277FA00" w14:textId="77777777" w:rsidR="000E52B0" w:rsidRDefault="00F60D74">
            <w:pPr>
              <w:pStyle w:val="TableParagraph"/>
              <w:spacing w:before="120"/>
              <w:ind w:left="9"/>
              <w:jc w:val="center"/>
              <w:rPr>
                <w:sz w:val="20"/>
              </w:rPr>
            </w:pPr>
            <w:r>
              <w:rPr>
                <w:spacing w:val="-4"/>
                <w:sz w:val="20"/>
              </w:rPr>
              <w:t>1993</w:t>
            </w:r>
          </w:p>
        </w:tc>
        <w:tc>
          <w:tcPr>
            <w:tcW w:w="4910" w:type="dxa"/>
          </w:tcPr>
          <w:p w14:paraId="0FBE9E5C" w14:textId="77777777" w:rsidR="000E52B0" w:rsidRDefault="00F60D74">
            <w:pPr>
              <w:pStyle w:val="TableParagraph"/>
              <w:ind w:left="107"/>
              <w:rPr>
                <w:sz w:val="20"/>
              </w:rPr>
            </w:pPr>
            <w:proofErr w:type="spellStart"/>
            <w:r>
              <w:rPr>
                <w:sz w:val="20"/>
              </w:rPr>
              <w:t>Inderena</w:t>
            </w:r>
            <w:proofErr w:type="spellEnd"/>
            <w:r>
              <w:rPr>
                <w:sz w:val="20"/>
              </w:rPr>
              <w:t>,</w:t>
            </w:r>
            <w:r>
              <w:rPr>
                <w:spacing w:val="-6"/>
                <w:sz w:val="20"/>
              </w:rPr>
              <w:t xml:space="preserve"> </w:t>
            </w:r>
            <w:r>
              <w:rPr>
                <w:sz w:val="20"/>
              </w:rPr>
              <w:t>Ley</w:t>
            </w:r>
            <w:r>
              <w:rPr>
                <w:spacing w:val="-5"/>
                <w:sz w:val="20"/>
              </w:rPr>
              <w:t xml:space="preserve"> </w:t>
            </w:r>
            <w:r>
              <w:rPr>
                <w:sz w:val="20"/>
              </w:rPr>
              <w:t>99</w:t>
            </w:r>
            <w:r>
              <w:rPr>
                <w:spacing w:val="-6"/>
                <w:sz w:val="20"/>
              </w:rPr>
              <w:t xml:space="preserve"> </w:t>
            </w:r>
            <w:r>
              <w:rPr>
                <w:sz w:val="20"/>
              </w:rPr>
              <w:t>de</w:t>
            </w:r>
            <w:r>
              <w:rPr>
                <w:spacing w:val="-5"/>
                <w:sz w:val="20"/>
              </w:rPr>
              <w:t xml:space="preserve"> </w:t>
            </w:r>
            <w:r>
              <w:rPr>
                <w:spacing w:val="-4"/>
                <w:sz w:val="20"/>
              </w:rPr>
              <w:t>1993</w:t>
            </w:r>
          </w:p>
        </w:tc>
      </w:tr>
      <w:tr w:rsidR="000E52B0" w14:paraId="65302A2B" w14:textId="77777777">
        <w:trPr>
          <w:trHeight w:val="486"/>
        </w:trPr>
        <w:tc>
          <w:tcPr>
            <w:tcW w:w="2830" w:type="dxa"/>
          </w:tcPr>
          <w:p w14:paraId="59C037A9" w14:textId="77777777" w:rsidR="000E52B0" w:rsidRDefault="00F60D74">
            <w:pPr>
              <w:pStyle w:val="TableParagraph"/>
              <w:spacing w:line="244" w:lineRule="exact"/>
              <w:ind w:left="107"/>
              <w:rPr>
                <w:sz w:val="20"/>
              </w:rPr>
            </w:pPr>
            <w:r>
              <w:rPr>
                <w:sz w:val="20"/>
              </w:rPr>
              <w:t>Ministerio</w:t>
            </w:r>
            <w:r>
              <w:rPr>
                <w:spacing w:val="-18"/>
                <w:sz w:val="20"/>
              </w:rPr>
              <w:t xml:space="preserve"> </w:t>
            </w:r>
            <w:r>
              <w:rPr>
                <w:sz w:val="20"/>
              </w:rPr>
              <w:t>de</w:t>
            </w:r>
            <w:r>
              <w:rPr>
                <w:spacing w:val="-18"/>
                <w:sz w:val="20"/>
              </w:rPr>
              <w:t xml:space="preserve"> </w:t>
            </w:r>
            <w:r>
              <w:rPr>
                <w:sz w:val="20"/>
              </w:rPr>
              <w:t>Vivienda, Ciudad y Territorio</w:t>
            </w:r>
          </w:p>
        </w:tc>
        <w:tc>
          <w:tcPr>
            <w:tcW w:w="1277" w:type="dxa"/>
          </w:tcPr>
          <w:p w14:paraId="3E2426BC" w14:textId="77777777" w:rsidR="000E52B0" w:rsidRDefault="00F60D74">
            <w:pPr>
              <w:pStyle w:val="TableParagraph"/>
              <w:spacing w:before="122"/>
              <w:ind w:left="9"/>
              <w:jc w:val="center"/>
              <w:rPr>
                <w:sz w:val="20"/>
              </w:rPr>
            </w:pPr>
            <w:r>
              <w:rPr>
                <w:spacing w:val="-4"/>
                <w:sz w:val="20"/>
              </w:rPr>
              <w:t>2011</w:t>
            </w:r>
          </w:p>
        </w:tc>
        <w:tc>
          <w:tcPr>
            <w:tcW w:w="4910" w:type="dxa"/>
          </w:tcPr>
          <w:p w14:paraId="0BEEDA0F" w14:textId="77777777" w:rsidR="000E52B0" w:rsidRDefault="00F60D74">
            <w:pPr>
              <w:pStyle w:val="TableParagraph"/>
              <w:spacing w:line="244" w:lineRule="exact"/>
              <w:ind w:left="107" w:right="208"/>
              <w:rPr>
                <w:sz w:val="20"/>
              </w:rPr>
            </w:pPr>
            <w:r>
              <w:rPr>
                <w:sz w:val="20"/>
              </w:rPr>
              <w:t>Ministerio</w:t>
            </w:r>
            <w:r>
              <w:rPr>
                <w:spacing w:val="-10"/>
                <w:sz w:val="20"/>
              </w:rPr>
              <w:t xml:space="preserve"> </w:t>
            </w:r>
            <w:r>
              <w:rPr>
                <w:sz w:val="20"/>
              </w:rPr>
              <w:t>de</w:t>
            </w:r>
            <w:r>
              <w:rPr>
                <w:spacing w:val="-10"/>
                <w:sz w:val="20"/>
              </w:rPr>
              <w:t xml:space="preserve"> </w:t>
            </w:r>
            <w:r>
              <w:rPr>
                <w:sz w:val="20"/>
              </w:rPr>
              <w:t>Desarrollo</w:t>
            </w:r>
            <w:r>
              <w:rPr>
                <w:spacing w:val="-5"/>
                <w:sz w:val="20"/>
              </w:rPr>
              <w:t xml:space="preserve"> </w:t>
            </w:r>
            <w:r>
              <w:rPr>
                <w:sz w:val="20"/>
              </w:rPr>
              <w:t>Económico,</w:t>
            </w:r>
            <w:r>
              <w:rPr>
                <w:spacing w:val="-8"/>
                <w:sz w:val="20"/>
              </w:rPr>
              <w:t xml:space="preserve"> </w:t>
            </w:r>
            <w:r>
              <w:rPr>
                <w:sz w:val="20"/>
              </w:rPr>
              <w:t>Ley</w:t>
            </w:r>
            <w:r>
              <w:rPr>
                <w:spacing w:val="-10"/>
                <w:sz w:val="20"/>
              </w:rPr>
              <w:t xml:space="preserve"> </w:t>
            </w:r>
            <w:r>
              <w:rPr>
                <w:sz w:val="20"/>
              </w:rPr>
              <w:t>790 de 2002</w:t>
            </w:r>
          </w:p>
        </w:tc>
      </w:tr>
      <w:tr w:rsidR="000E52B0" w14:paraId="3798B304" w14:textId="77777777">
        <w:trPr>
          <w:trHeight w:val="485"/>
        </w:trPr>
        <w:tc>
          <w:tcPr>
            <w:tcW w:w="2830" w:type="dxa"/>
          </w:tcPr>
          <w:p w14:paraId="03CEA0B8" w14:textId="77777777" w:rsidR="000E52B0" w:rsidRDefault="00F60D74">
            <w:pPr>
              <w:pStyle w:val="TableParagraph"/>
              <w:spacing w:line="242" w:lineRule="exact"/>
              <w:ind w:left="107"/>
              <w:rPr>
                <w:sz w:val="20"/>
              </w:rPr>
            </w:pPr>
            <w:r>
              <w:rPr>
                <w:sz w:val="20"/>
              </w:rPr>
              <w:t>Ministerio</w:t>
            </w:r>
            <w:r>
              <w:rPr>
                <w:spacing w:val="-15"/>
                <w:sz w:val="20"/>
              </w:rPr>
              <w:t xml:space="preserve"> </w:t>
            </w:r>
            <w:r>
              <w:rPr>
                <w:sz w:val="20"/>
              </w:rPr>
              <w:t>de</w:t>
            </w:r>
            <w:r>
              <w:rPr>
                <w:spacing w:val="-15"/>
                <w:sz w:val="20"/>
              </w:rPr>
              <w:t xml:space="preserve"> </w:t>
            </w:r>
            <w:r>
              <w:rPr>
                <w:sz w:val="20"/>
              </w:rPr>
              <w:t>Salud</w:t>
            </w:r>
            <w:r>
              <w:rPr>
                <w:spacing w:val="-13"/>
                <w:sz w:val="20"/>
              </w:rPr>
              <w:t xml:space="preserve"> </w:t>
            </w:r>
            <w:r>
              <w:rPr>
                <w:sz w:val="20"/>
              </w:rPr>
              <w:t>y Protección social</w:t>
            </w:r>
          </w:p>
        </w:tc>
        <w:tc>
          <w:tcPr>
            <w:tcW w:w="1277" w:type="dxa"/>
          </w:tcPr>
          <w:p w14:paraId="28F8784E" w14:textId="77777777" w:rsidR="000E52B0" w:rsidRDefault="00F60D74">
            <w:pPr>
              <w:pStyle w:val="TableParagraph"/>
              <w:spacing w:before="121"/>
              <w:ind w:left="9"/>
              <w:jc w:val="center"/>
              <w:rPr>
                <w:sz w:val="20"/>
              </w:rPr>
            </w:pPr>
            <w:r>
              <w:rPr>
                <w:spacing w:val="-4"/>
                <w:sz w:val="20"/>
              </w:rPr>
              <w:t>1946</w:t>
            </w:r>
          </w:p>
        </w:tc>
        <w:tc>
          <w:tcPr>
            <w:tcW w:w="4910" w:type="dxa"/>
          </w:tcPr>
          <w:p w14:paraId="5F2C0A6C" w14:textId="77777777" w:rsidR="000E52B0" w:rsidRDefault="00F60D74">
            <w:pPr>
              <w:pStyle w:val="TableParagraph"/>
              <w:spacing w:line="242" w:lineRule="exact"/>
              <w:ind w:left="107" w:right="208"/>
              <w:rPr>
                <w:sz w:val="20"/>
              </w:rPr>
            </w:pPr>
            <w:r>
              <w:rPr>
                <w:sz w:val="20"/>
              </w:rPr>
              <w:t>Ministerio</w:t>
            </w:r>
            <w:r>
              <w:rPr>
                <w:spacing w:val="-10"/>
                <w:sz w:val="20"/>
              </w:rPr>
              <w:t xml:space="preserve"> </w:t>
            </w:r>
            <w:r>
              <w:rPr>
                <w:sz w:val="20"/>
              </w:rPr>
              <w:t>de</w:t>
            </w:r>
            <w:r>
              <w:rPr>
                <w:spacing w:val="-8"/>
                <w:sz w:val="20"/>
              </w:rPr>
              <w:t xml:space="preserve"> </w:t>
            </w:r>
            <w:r>
              <w:rPr>
                <w:sz w:val="20"/>
              </w:rPr>
              <w:t>trabajo,</w:t>
            </w:r>
            <w:r>
              <w:rPr>
                <w:spacing w:val="-10"/>
                <w:sz w:val="20"/>
              </w:rPr>
              <w:t xml:space="preserve"> </w:t>
            </w:r>
            <w:r>
              <w:rPr>
                <w:sz w:val="20"/>
              </w:rPr>
              <w:t>higiene</w:t>
            </w:r>
            <w:r>
              <w:rPr>
                <w:spacing w:val="-10"/>
                <w:sz w:val="20"/>
              </w:rPr>
              <w:t xml:space="preserve"> </w:t>
            </w:r>
            <w:r>
              <w:rPr>
                <w:sz w:val="20"/>
              </w:rPr>
              <w:t>y</w:t>
            </w:r>
            <w:r>
              <w:rPr>
                <w:spacing w:val="-7"/>
                <w:sz w:val="20"/>
              </w:rPr>
              <w:t xml:space="preserve"> </w:t>
            </w:r>
            <w:r>
              <w:rPr>
                <w:sz w:val="20"/>
              </w:rPr>
              <w:t>previsión social, Ley 27 de 1946</w:t>
            </w:r>
          </w:p>
        </w:tc>
      </w:tr>
      <w:tr w:rsidR="000E52B0" w14:paraId="75DC67B7" w14:textId="77777777">
        <w:trPr>
          <w:trHeight w:val="729"/>
        </w:trPr>
        <w:tc>
          <w:tcPr>
            <w:tcW w:w="2830" w:type="dxa"/>
            <w:shd w:val="clear" w:color="auto" w:fill="F8D3E8"/>
          </w:tcPr>
          <w:p w14:paraId="78187BDD" w14:textId="77777777" w:rsidR="000E52B0" w:rsidRDefault="00F60D74">
            <w:pPr>
              <w:pStyle w:val="TableParagraph"/>
              <w:spacing w:before="242"/>
              <w:ind w:left="107"/>
              <w:rPr>
                <w:sz w:val="20"/>
              </w:rPr>
            </w:pPr>
            <w:r>
              <w:rPr>
                <w:sz w:val="20"/>
              </w:rPr>
              <w:t>Ministerio</w:t>
            </w:r>
            <w:r>
              <w:rPr>
                <w:spacing w:val="-8"/>
                <w:sz w:val="20"/>
              </w:rPr>
              <w:t xml:space="preserve"> </w:t>
            </w:r>
            <w:r>
              <w:rPr>
                <w:sz w:val="20"/>
              </w:rPr>
              <w:t>de</w:t>
            </w:r>
            <w:r>
              <w:rPr>
                <w:spacing w:val="-7"/>
                <w:sz w:val="20"/>
              </w:rPr>
              <w:t xml:space="preserve"> </w:t>
            </w:r>
            <w:r>
              <w:rPr>
                <w:spacing w:val="-2"/>
                <w:sz w:val="20"/>
              </w:rPr>
              <w:t>Trabajo</w:t>
            </w:r>
          </w:p>
        </w:tc>
        <w:tc>
          <w:tcPr>
            <w:tcW w:w="1277" w:type="dxa"/>
            <w:shd w:val="clear" w:color="auto" w:fill="F8D3E8"/>
          </w:tcPr>
          <w:p w14:paraId="5E54BE33" w14:textId="77777777" w:rsidR="000E52B0" w:rsidRDefault="00F60D74">
            <w:pPr>
              <w:pStyle w:val="TableParagraph"/>
              <w:spacing w:before="242"/>
              <w:ind w:left="9"/>
              <w:jc w:val="center"/>
              <w:rPr>
                <w:sz w:val="20"/>
              </w:rPr>
            </w:pPr>
            <w:r>
              <w:rPr>
                <w:spacing w:val="-4"/>
                <w:sz w:val="20"/>
              </w:rPr>
              <w:t>1923</w:t>
            </w:r>
          </w:p>
        </w:tc>
        <w:tc>
          <w:tcPr>
            <w:tcW w:w="4910" w:type="dxa"/>
            <w:shd w:val="clear" w:color="auto" w:fill="F8D3E8"/>
          </w:tcPr>
          <w:p w14:paraId="7411A089" w14:textId="77777777" w:rsidR="000E52B0" w:rsidRDefault="00F60D74">
            <w:pPr>
              <w:pStyle w:val="TableParagraph"/>
              <w:ind w:left="107"/>
              <w:rPr>
                <w:sz w:val="20"/>
              </w:rPr>
            </w:pPr>
            <w:r>
              <w:rPr>
                <w:sz w:val="20"/>
              </w:rPr>
              <w:t>Ministerio de Trabajo, Higiene y Previsión Social,</w:t>
            </w:r>
            <w:r>
              <w:rPr>
                <w:spacing w:val="-5"/>
                <w:sz w:val="20"/>
              </w:rPr>
              <w:t xml:space="preserve"> </w:t>
            </w:r>
            <w:r>
              <w:rPr>
                <w:sz w:val="20"/>
              </w:rPr>
              <w:t>Ley</w:t>
            </w:r>
            <w:r>
              <w:rPr>
                <w:spacing w:val="-7"/>
                <w:sz w:val="20"/>
              </w:rPr>
              <w:t xml:space="preserve"> </w:t>
            </w:r>
            <w:r>
              <w:rPr>
                <w:sz w:val="20"/>
              </w:rPr>
              <w:t>27</w:t>
            </w:r>
            <w:r>
              <w:rPr>
                <w:spacing w:val="-6"/>
                <w:sz w:val="20"/>
              </w:rPr>
              <w:t xml:space="preserve"> </w:t>
            </w:r>
            <w:r>
              <w:rPr>
                <w:sz w:val="20"/>
              </w:rPr>
              <w:t>de</w:t>
            </w:r>
            <w:r>
              <w:rPr>
                <w:spacing w:val="-8"/>
                <w:sz w:val="20"/>
              </w:rPr>
              <w:t xml:space="preserve"> </w:t>
            </w:r>
            <w:r>
              <w:rPr>
                <w:sz w:val="20"/>
              </w:rPr>
              <w:t>1946;</w:t>
            </w:r>
            <w:r>
              <w:rPr>
                <w:spacing w:val="-3"/>
                <w:sz w:val="20"/>
              </w:rPr>
              <w:t xml:space="preserve"> </w:t>
            </w:r>
            <w:r>
              <w:rPr>
                <w:sz w:val="20"/>
              </w:rPr>
              <w:t>creado</w:t>
            </w:r>
            <w:r>
              <w:rPr>
                <w:spacing w:val="-5"/>
                <w:sz w:val="20"/>
              </w:rPr>
              <w:t xml:space="preserve"> </w:t>
            </w:r>
            <w:r>
              <w:rPr>
                <w:sz w:val="20"/>
              </w:rPr>
              <w:t>de</w:t>
            </w:r>
            <w:r>
              <w:rPr>
                <w:spacing w:val="-5"/>
                <w:sz w:val="20"/>
              </w:rPr>
              <w:t xml:space="preserve"> </w:t>
            </w:r>
            <w:r>
              <w:rPr>
                <w:sz w:val="20"/>
              </w:rPr>
              <w:t>cero</w:t>
            </w:r>
            <w:r>
              <w:rPr>
                <w:spacing w:val="-6"/>
                <w:sz w:val="20"/>
              </w:rPr>
              <w:t xml:space="preserve"> </w:t>
            </w:r>
            <w:r>
              <w:rPr>
                <w:sz w:val="20"/>
              </w:rPr>
              <w:t>como</w:t>
            </w:r>
          </w:p>
          <w:p w14:paraId="6348AB31" w14:textId="77777777" w:rsidR="000E52B0" w:rsidRDefault="00F60D74">
            <w:pPr>
              <w:pStyle w:val="TableParagraph"/>
              <w:spacing w:line="223" w:lineRule="exact"/>
              <w:ind w:left="107"/>
              <w:rPr>
                <w:sz w:val="20"/>
              </w:rPr>
            </w:pPr>
            <w:r>
              <w:rPr>
                <w:sz w:val="20"/>
              </w:rPr>
              <w:t>Ministerio</w:t>
            </w:r>
            <w:r>
              <w:rPr>
                <w:spacing w:val="-7"/>
                <w:sz w:val="20"/>
              </w:rPr>
              <w:t xml:space="preserve"> </w:t>
            </w:r>
            <w:r>
              <w:rPr>
                <w:sz w:val="20"/>
              </w:rPr>
              <w:t>de</w:t>
            </w:r>
            <w:r>
              <w:rPr>
                <w:spacing w:val="-6"/>
                <w:sz w:val="20"/>
              </w:rPr>
              <w:t xml:space="preserve"> </w:t>
            </w:r>
            <w:r>
              <w:rPr>
                <w:sz w:val="20"/>
              </w:rPr>
              <w:t>Industrias,</w:t>
            </w:r>
            <w:r>
              <w:rPr>
                <w:spacing w:val="-3"/>
                <w:sz w:val="20"/>
              </w:rPr>
              <w:t xml:space="preserve"> </w:t>
            </w:r>
            <w:r>
              <w:rPr>
                <w:sz w:val="20"/>
              </w:rPr>
              <w:t>Ley</w:t>
            </w:r>
            <w:r>
              <w:rPr>
                <w:spacing w:val="-5"/>
                <w:sz w:val="20"/>
              </w:rPr>
              <w:t xml:space="preserve"> </w:t>
            </w:r>
            <w:r>
              <w:rPr>
                <w:sz w:val="20"/>
              </w:rPr>
              <w:t>31</w:t>
            </w:r>
            <w:r>
              <w:rPr>
                <w:spacing w:val="-5"/>
                <w:sz w:val="20"/>
              </w:rPr>
              <w:t xml:space="preserve"> </w:t>
            </w:r>
            <w:r>
              <w:rPr>
                <w:sz w:val="20"/>
              </w:rPr>
              <w:t>de</w:t>
            </w:r>
            <w:r>
              <w:rPr>
                <w:spacing w:val="-6"/>
                <w:sz w:val="20"/>
              </w:rPr>
              <w:t xml:space="preserve"> </w:t>
            </w:r>
            <w:r>
              <w:rPr>
                <w:spacing w:val="-4"/>
                <w:sz w:val="20"/>
              </w:rPr>
              <w:t>1923</w:t>
            </w:r>
          </w:p>
        </w:tc>
      </w:tr>
      <w:tr w:rsidR="000E52B0" w14:paraId="1A341206" w14:textId="77777777">
        <w:trPr>
          <w:trHeight w:val="702"/>
        </w:trPr>
        <w:tc>
          <w:tcPr>
            <w:tcW w:w="2830" w:type="dxa"/>
          </w:tcPr>
          <w:p w14:paraId="2383CD6B" w14:textId="77777777" w:rsidR="000E52B0" w:rsidRDefault="00F60D74">
            <w:pPr>
              <w:pStyle w:val="TableParagraph"/>
              <w:spacing w:before="108"/>
              <w:ind w:left="107"/>
              <w:rPr>
                <w:sz w:val="20"/>
              </w:rPr>
            </w:pPr>
            <w:r>
              <w:rPr>
                <w:sz w:val="20"/>
              </w:rPr>
              <w:t>Ministerio</w:t>
            </w:r>
            <w:r>
              <w:rPr>
                <w:spacing w:val="-12"/>
                <w:sz w:val="20"/>
              </w:rPr>
              <w:t xml:space="preserve"> </w:t>
            </w:r>
            <w:r>
              <w:rPr>
                <w:sz w:val="20"/>
              </w:rPr>
              <w:t>de</w:t>
            </w:r>
            <w:r>
              <w:rPr>
                <w:spacing w:val="-12"/>
                <w:sz w:val="20"/>
              </w:rPr>
              <w:t xml:space="preserve"> </w:t>
            </w:r>
            <w:r>
              <w:rPr>
                <w:sz w:val="20"/>
              </w:rPr>
              <w:t>Justicia</w:t>
            </w:r>
            <w:r>
              <w:rPr>
                <w:spacing w:val="-9"/>
                <w:sz w:val="20"/>
              </w:rPr>
              <w:t xml:space="preserve"> </w:t>
            </w:r>
            <w:r>
              <w:rPr>
                <w:sz w:val="20"/>
              </w:rPr>
              <w:t>y</w:t>
            </w:r>
            <w:r>
              <w:rPr>
                <w:spacing w:val="-10"/>
                <w:sz w:val="20"/>
              </w:rPr>
              <w:t xml:space="preserve"> </w:t>
            </w:r>
            <w:r>
              <w:rPr>
                <w:sz w:val="20"/>
              </w:rPr>
              <w:t xml:space="preserve">el </w:t>
            </w:r>
            <w:r>
              <w:rPr>
                <w:spacing w:val="-2"/>
                <w:sz w:val="20"/>
              </w:rPr>
              <w:t>Derecho</w:t>
            </w:r>
          </w:p>
        </w:tc>
        <w:tc>
          <w:tcPr>
            <w:tcW w:w="1277" w:type="dxa"/>
          </w:tcPr>
          <w:p w14:paraId="126C581E" w14:textId="77777777" w:rsidR="000E52B0" w:rsidRDefault="00F60D74">
            <w:pPr>
              <w:pStyle w:val="TableParagraph"/>
              <w:spacing w:before="230"/>
              <w:ind w:left="9"/>
              <w:jc w:val="center"/>
              <w:rPr>
                <w:sz w:val="20"/>
              </w:rPr>
            </w:pPr>
            <w:r>
              <w:rPr>
                <w:spacing w:val="-4"/>
                <w:sz w:val="20"/>
              </w:rPr>
              <w:t>1945</w:t>
            </w:r>
          </w:p>
        </w:tc>
        <w:tc>
          <w:tcPr>
            <w:tcW w:w="4910" w:type="dxa"/>
          </w:tcPr>
          <w:p w14:paraId="617D2CFF" w14:textId="77777777" w:rsidR="000E52B0" w:rsidRDefault="00F60D74">
            <w:pPr>
              <w:pStyle w:val="TableParagraph"/>
              <w:ind w:left="107"/>
              <w:rPr>
                <w:sz w:val="20"/>
              </w:rPr>
            </w:pPr>
            <w:r>
              <w:rPr>
                <w:sz w:val="20"/>
              </w:rPr>
              <w:t>Ministerio</w:t>
            </w:r>
            <w:r>
              <w:rPr>
                <w:spacing w:val="-11"/>
                <w:sz w:val="20"/>
              </w:rPr>
              <w:t xml:space="preserve"> </w:t>
            </w:r>
            <w:r>
              <w:rPr>
                <w:sz w:val="20"/>
              </w:rPr>
              <w:t>de</w:t>
            </w:r>
            <w:r>
              <w:rPr>
                <w:spacing w:val="-11"/>
                <w:sz w:val="20"/>
              </w:rPr>
              <w:t xml:space="preserve"> </w:t>
            </w:r>
            <w:r>
              <w:rPr>
                <w:sz w:val="20"/>
              </w:rPr>
              <w:t>Gobierno</w:t>
            </w:r>
            <w:r>
              <w:rPr>
                <w:spacing w:val="-8"/>
                <w:sz w:val="20"/>
              </w:rPr>
              <w:t xml:space="preserve"> </w:t>
            </w:r>
            <w:r>
              <w:rPr>
                <w:sz w:val="20"/>
              </w:rPr>
              <w:t>y</w:t>
            </w:r>
            <w:r>
              <w:rPr>
                <w:spacing w:val="-8"/>
                <w:sz w:val="20"/>
              </w:rPr>
              <w:t xml:space="preserve"> </w:t>
            </w:r>
            <w:r>
              <w:rPr>
                <w:sz w:val="20"/>
              </w:rPr>
              <w:t>Procuraduría</w:t>
            </w:r>
            <w:r>
              <w:rPr>
                <w:spacing w:val="-8"/>
                <w:sz w:val="20"/>
              </w:rPr>
              <w:t xml:space="preserve"> </w:t>
            </w:r>
            <w:r>
              <w:rPr>
                <w:sz w:val="20"/>
              </w:rPr>
              <w:t>General de la Nación, Ley 68 de 1945</w:t>
            </w:r>
          </w:p>
        </w:tc>
      </w:tr>
      <w:tr w:rsidR="000E52B0" w14:paraId="3B30711A" w14:textId="77777777">
        <w:trPr>
          <w:trHeight w:val="738"/>
        </w:trPr>
        <w:tc>
          <w:tcPr>
            <w:tcW w:w="2830" w:type="dxa"/>
          </w:tcPr>
          <w:p w14:paraId="5AA42C6C" w14:textId="77777777" w:rsidR="000E52B0" w:rsidRDefault="00F60D74">
            <w:pPr>
              <w:pStyle w:val="TableParagraph"/>
              <w:spacing w:before="127"/>
              <w:ind w:left="107"/>
              <w:rPr>
                <w:sz w:val="20"/>
              </w:rPr>
            </w:pPr>
            <w:r>
              <w:rPr>
                <w:sz w:val="20"/>
              </w:rPr>
              <w:t>Ministerio</w:t>
            </w:r>
            <w:r>
              <w:rPr>
                <w:spacing w:val="-15"/>
                <w:sz w:val="20"/>
              </w:rPr>
              <w:t xml:space="preserve"> </w:t>
            </w:r>
            <w:r>
              <w:rPr>
                <w:sz w:val="20"/>
              </w:rPr>
              <w:t>de</w:t>
            </w:r>
            <w:r>
              <w:rPr>
                <w:spacing w:val="-15"/>
                <w:sz w:val="20"/>
              </w:rPr>
              <w:t xml:space="preserve"> </w:t>
            </w:r>
            <w:r>
              <w:rPr>
                <w:sz w:val="20"/>
              </w:rPr>
              <w:t>Minas</w:t>
            </w:r>
            <w:r>
              <w:rPr>
                <w:spacing w:val="-12"/>
                <w:sz w:val="20"/>
              </w:rPr>
              <w:t xml:space="preserve"> </w:t>
            </w:r>
            <w:r>
              <w:rPr>
                <w:sz w:val="20"/>
              </w:rPr>
              <w:t xml:space="preserve">y </w:t>
            </w:r>
            <w:r>
              <w:rPr>
                <w:spacing w:val="-2"/>
                <w:sz w:val="20"/>
              </w:rPr>
              <w:t>Energía</w:t>
            </w:r>
          </w:p>
        </w:tc>
        <w:tc>
          <w:tcPr>
            <w:tcW w:w="1277" w:type="dxa"/>
          </w:tcPr>
          <w:p w14:paraId="67490692" w14:textId="77777777" w:rsidR="000E52B0" w:rsidRDefault="000E52B0">
            <w:pPr>
              <w:pStyle w:val="TableParagraph"/>
              <w:spacing w:before="4"/>
              <w:rPr>
                <w:sz w:val="20"/>
              </w:rPr>
            </w:pPr>
          </w:p>
          <w:p w14:paraId="778DF8FC" w14:textId="77777777" w:rsidR="000E52B0" w:rsidRDefault="00F60D74">
            <w:pPr>
              <w:pStyle w:val="TableParagraph"/>
              <w:ind w:left="9"/>
              <w:jc w:val="center"/>
              <w:rPr>
                <w:sz w:val="20"/>
              </w:rPr>
            </w:pPr>
            <w:r>
              <w:rPr>
                <w:spacing w:val="-4"/>
                <w:sz w:val="20"/>
              </w:rPr>
              <w:t>1940</w:t>
            </w:r>
          </w:p>
        </w:tc>
        <w:tc>
          <w:tcPr>
            <w:tcW w:w="4910" w:type="dxa"/>
          </w:tcPr>
          <w:p w14:paraId="1C95D59C" w14:textId="77777777" w:rsidR="000E52B0" w:rsidRDefault="00F60D74">
            <w:pPr>
              <w:pStyle w:val="TableParagraph"/>
              <w:ind w:left="107"/>
              <w:rPr>
                <w:sz w:val="20"/>
              </w:rPr>
            </w:pPr>
            <w:r>
              <w:rPr>
                <w:sz w:val="20"/>
              </w:rPr>
              <w:t>Ministerio</w:t>
            </w:r>
            <w:r>
              <w:rPr>
                <w:spacing w:val="-11"/>
                <w:sz w:val="20"/>
              </w:rPr>
              <w:t xml:space="preserve"> </w:t>
            </w:r>
            <w:r>
              <w:rPr>
                <w:sz w:val="20"/>
              </w:rPr>
              <w:t>de</w:t>
            </w:r>
            <w:r>
              <w:rPr>
                <w:spacing w:val="-11"/>
                <w:sz w:val="20"/>
              </w:rPr>
              <w:t xml:space="preserve"> </w:t>
            </w:r>
            <w:r>
              <w:rPr>
                <w:sz w:val="20"/>
              </w:rPr>
              <w:t>Economía</w:t>
            </w:r>
            <w:r>
              <w:rPr>
                <w:spacing w:val="-8"/>
                <w:sz w:val="20"/>
              </w:rPr>
              <w:t xml:space="preserve"> </w:t>
            </w:r>
            <w:r>
              <w:rPr>
                <w:sz w:val="20"/>
              </w:rPr>
              <w:t>Nacional,</w:t>
            </w:r>
            <w:r>
              <w:rPr>
                <w:spacing w:val="-8"/>
                <w:sz w:val="20"/>
              </w:rPr>
              <w:t xml:space="preserve"> </w:t>
            </w:r>
            <w:r>
              <w:rPr>
                <w:sz w:val="20"/>
              </w:rPr>
              <w:t>Decreto</w:t>
            </w:r>
            <w:r>
              <w:rPr>
                <w:spacing w:val="-8"/>
                <w:sz w:val="20"/>
              </w:rPr>
              <w:t xml:space="preserve"> </w:t>
            </w:r>
            <w:r>
              <w:rPr>
                <w:sz w:val="20"/>
              </w:rPr>
              <w:t>988 de 1940</w:t>
            </w:r>
          </w:p>
        </w:tc>
      </w:tr>
      <w:tr w:rsidR="000E52B0" w14:paraId="53D8CEF2" w14:textId="77777777">
        <w:trPr>
          <w:trHeight w:val="659"/>
        </w:trPr>
        <w:tc>
          <w:tcPr>
            <w:tcW w:w="2830" w:type="dxa"/>
          </w:tcPr>
          <w:p w14:paraId="4C6FCB76" w14:textId="77777777" w:rsidR="000E52B0" w:rsidRDefault="00F60D74">
            <w:pPr>
              <w:pStyle w:val="TableParagraph"/>
              <w:spacing w:before="209"/>
              <w:ind w:left="107"/>
              <w:rPr>
                <w:sz w:val="20"/>
              </w:rPr>
            </w:pPr>
            <w:r>
              <w:rPr>
                <w:sz w:val="20"/>
              </w:rPr>
              <w:t>Ministerio</w:t>
            </w:r>
            <w:r>
              <w:rPr>
                <w:spacing w:val="-8"/>
                <w:sz w:val="20"/>
              </w:rPr>
              <w:t xml:space="preserve"> </w:t>
            </w:r>
            <w:r>
              <w:rPr>
                <w:sz w:val="20"/>
              </w:rPr>
              <w:t>de</w:t>
            </w:r>
            <w:r>
              <w:rPr>
                <w:spacing w:val="-7"/>
                <w:sz w:val="20"/>
              </w:rPr>
              <w:t xml:space="preserve"> </w:t>
            </w:r>
            <w:r>
              <w:rPr>
                <w:spacing w:val="-2"/>
                <w:sz w:val="20"/>
              </w:rPr>
              <w:t>Agricultura</w:t>
            </w:r>
          </w:p>
        </w:tc>
        <w:tc>
          <w:tcPr>
            <w:tcW w:w="1277" w:type="dxa"/>
          </w:tcPr>
          <w:p w14:paraId="77DD3F9C" w14:textId="77777777" w:rsidR="000E52B0" w:rsidRDefault="00F60D74">
            <w:pPr>
              <w:pStyle w:val="TableParagraph"/>
              <w:spacing w:before="209"/>
              <w:ind w:left="9"/>
              <w:jc w:val="center"/>
              <w:rPr>
                <w:sz w:val="20"/>
              </w:rPr>
            </w:pPr>
            <w:r>
              <w:rPr>
                <w:spacing w:val="-4"/>
                <w:sz w:val="20"/>
              </w:rPr>
              <w:t>1913</w:t>
            </w:r>
          </w:p>
        </w:tc>
        <w:tc>
          <w:tcPr>
            <w:tcW w:w="4910" w:type="dxa"/>
          </w:tcPr>
          <w:p w14:paraId="7DDE4A64" w14:textId="77777777" w:rsidR="000E52B0" w:rsidRDefault="00F60D74">
            <w:pPr>
              <w:pStyle w:val="TableParagraph"/>
              <w:ind w:left="107"/>
              <w:rPr>
                <w:sz w:val="20"/>
              </w:rPr>
            </w:pPr>
            <w:r>
              <w:rPr>
                <w:sz w:val="20"/>
              </w:rPr>
              <w:t>Creado</w:t>
            </w:r>
            <w:r>
              <w:rPr>
                <w:spacing w:val="-6"/>
                <w:sz w:val="20"/>
              </w:rPr>
              <w:t xml:space="preserve"> </w:t>
            </w:r>
            <w:r>
              <w:rPr>
                <w:sz w:val="20"/>
              </w:rPr>
              <w:t>de</w:t>
            </w:r>
            <w:r>
              <w:rPr>
                <w:spacing w:val="-6"/>
                <w:sz w:val="20"/>
              </w:rPr>
              <w:t xml:space="preserve"> </w:t>
            </w:r>
            <w:r>
              <w:rPr>
                <w:sz w:val="20"/>
              </w:rPr>
              <w:t>Cero,</w:t>
            </w:r>
            <w:r>
              <w:rPr>
                <w:spacing w:val="-3"/>
                <w:sz w:val="20"/>
              </w:rPr>
              <w:t xml:space="preserve"> </w:t>
            </w:r>
            <w:r>
              <w:rPr>
                <w:sz w:val="20"/>
              </w:rPr>
              <w:t>Ley</w:t>
            </w:r>
            <w:r>
              <w:rPr>
                <w:spacing w:val="-4"/>
                <w:sz w:val="20"/>
              </w:rPr>
              <w:t xml:space="preserve"> </w:t>
            </w:r>
            <w:r>
              <w:rPr>
                <w:sz w:val="20"/>
              </w:rPr>
              <w:t>25 de</w:t>
            </w:r>
            <w:r>
              <w:rPr>
                <w:spacing w:val="-6"/>
                <w:sz w:val="20"/>
              </w:rPr>
              <w:t xml:space="preserve"> </w:t>
            </w:r>
            <w:r>
              <w:rPr>
                <w:spacing w:val="-4"/>
                <w:sz w:val="20"/>
              </w:rPr>
              <w:t>1913</w:t>
            </w:r>
          </w:p>
        </w:tc>
      </w:tr>
    </w:tbl>
    <w:p w14:paraId="3F87F40E" w14:textId="77777777" w:rsidR="000E52B0" w:rsidRDefault="000E52B0">
      <w:pPr>
        <w:pStyle w:val="Textoindependiente"/>
        <w:spacing w:before="246"/>
        <w:ind w:left="0"/>
      </w:pPr>
    </w:p>
    <w:p w14:paraId="5DAA8444" w14:textId="77777777" w:rsidR="000E52B0" w:rsidRDefault="00F60D74">
      <w:pPr>
        <w:pStyle w:val="Ttulo1"/>
        <w:numPr>
          <w:ilvl w:val="0"/>
          <w:numId w:val="53"/>
        </w:numPr>
        <w:tabs>
          <w:tab w:val="left" w:pos="1440"/>
        </w:tabs>
        <w:ind w:hanging="746"/>
        <w:jc w:val="left"/>
      </w:pPr>
      <w:bookmarkStart w:id="1" w:name="_bookmark1"/>
      <w:bookmarkEnd w:id="1"/>
      <w:r>
        <w:rPr>
          <w:color w:val="B3176C"/>
        </w:rPr>
        <w:t>Estado</w:t>
      </w:r>
      <w:r>
        <w:rPr>
          <w:color w:val="B3176C"/>
          <w:spacing w:val="-12"/>
        </w:rPr>
        <w:t xml:space="preserve"> </w:t>
      </w:r>
      <w:r>
        <w:rPr>
          <w:color w:val="B3176C"/>
        </w:rPr>
        <w:t>de</w:t>
      </w:r>
      <w:r>
        <w:rPr>
          <w:color w:val="B3176C"/>
          <w:spacing w:val="-12"/>
        </w:rPr>
        <w:t xml:space="preserve"> </w:t>
      </w:r>
      <w:r>
        <w:rPr>
          <w:color w:val="B3176C"/>
        </w:rPr>
        <w:t>desigualdades</w:t>
      </w:r>
      <w:r>
        <w:rPr>
          <w:color w:val="B3176C"/>
          <w:spacing w:val="-11"/>
        </w:rPr>
        <w:t xml:space="preserve"> </w:t>
      </w:r>
      <w:r>
        <w:rPr>
          <w:color w:val="B3176C"/>
        </w:rPr>
        <w:t>e</w:t>
      </w:r>
      <w:r>
        <w:rPr>
          <w:color w:val="B3176C"/>
          <w:spacing w:val="-12"/>
        </w:rPr>
        <w:t xml:space="preserve"> </w:t>
      </w:r>
      <w:r>
        <w:rPr>
          <w:color w:val="B3176C"/>
          <w:spacing w:val="-2"/>
        </w:rPr>
        <w:t>inequidades</w:t>
      </w:r>
    </w:p>
    <w:p w14:paraId="71A113F8" w14:textId="77777777" w:rsidR="000E52B0" w:rsidRDefault="000E52B0">
      <w:pPr>
        <w:pStyle w:val="Textoindependiente"/>
        <w:spacing w:before="64"/>
        <w:ind w:left="0"/>
        <w:rPr>
          <w:sz w:val="32"/>
        </w:rPr>
      </w:pPr>
    </w:p>
    <w:p w14:paraId="4B88072E" w14:textId="77777777" w:rsidR="000E52B0" w:rsidRDefault="00F60D74">
      <w:pPr>
        <w:ind w:left="720" w:right="713"/>
        <w:jc w:val="both"/>
        <w:rPr>
          <w:sz w:val="24"/>
        </w:rPr>
      </w:pPr>
      <w:r>
        <w:rPr>
          <w:sz w:val="24"/>
        </w:rPr>
        <w:t xml:space="preserve">En Colombia, </w:t>
      </w:r>
      <w:r>
        <w:rPr>
          <w:b/>
          <w:sz w:val="24"/>
        </w:rPr>
        <w:t xml:space="preserve">las desigualdades </w:t>
      </w:r>
      <w:r>
        <w:rPr>
          <w:sz w:val="24"/>
        </w:rPr>
        <w:t>económicas, políticas, sociales y culturales</w:t>
      </w:r>
      <w:r>
        <w:rPr>
          <w:spacing w:val="-7"/>
          <w:sz w:val="24"/>
        </w:rPr>
        <w:t xml:space="preserve"> </w:t>
      </w:r>
      <w:r>
        <w:rPr>
          <w:sz w:val="24"/>
        </w:rPr>
        <w:t>son</w:t>
      </w:r>
      <w:r>
        <w:rPr>
          <w:spacing w:val="-7"/>
          <w:sz w:val="24"/>
        </w:rPr>
        <w:t xml:space="preserve"> </w:t>
      </w:r>
      <w:r>
        <w:rPr>
          <w:b/>
          <w:sz w:val="24"/>
        </w:rPr>
        <w:t>resultado</w:t>
      </w:r>
      <w:r>
        <w:rPr>
          <w:b/>
          <w:spacing w:val="-4"/>
          <w:sz w:val="24"/>
        </w:rPr>
        <w:t xml:space="preserve"> </w:t>
      </w:r>
      <w:r>
        <w:rPr>
          <w:b/>
          <w:sz w:val="24"/>
        </w:rPr>
        <w:t>de</w:t>
      </w:r>
      <w:r>
        <w:rPr>
          <w:b/>
          <w:spacing w:val="-7"/>
          <w:sz w:val="24"/>
        </w:rPr>
        <w:t xml:space="preserve"> </w:t>
      </w:r>
      <w:r>
        <w:rPr>
          <w:b/>
          <w:sz w:val="24"/>
        </w:rPr>
        <w:t>la</w:t>
      </w:r>
      <w:r>
        <w:rPr>
          <w:b/>
          <w:spacing w:val="-6"/>
          <w:sz w:val="24"/>
        </w:rPr>
        <w:t xml:space="preserve"> </w:t>
      </w:r>
      <w:r>
        <w:rPr>
          <w:b/>
          <w:sz w:val="24"/>
        </w:rPr>
        <w:t>distribución</w:t>
      </w:r>
      <w:r>
        <w:rPr>
          <w:b/>
          <w:spacing w:val="-7"/>
          <w:sz w:val="24"/>
        </w:rPr>
        <w:t xml:space="preserve"> </w:t>
      </w:r>
      <w:r>
        <w:rPr>
          <w:b/>
          <w:sz w:val="24"/>
        </w:rPr>
        <w:t>inequitativa</w:t>
      </w:r>
      <w:r>
        <w:rPr>
          <w:b/>
          <w:spacing w:val="-3"/>
          <w:sz w:val="24"/>
        </w:rPr>
        <w:t xml:space="preserve"> </w:t>
      </w:r>
      <w:r>
        <w:rPr>
          <w:sz w:val="24"/>
        </w:rPr>
        <w:t>de</w:t>
      </w:r>
      <w:r>
        <w:rPr>
          <w:spacing w:val="-5"/>
          <w:sz w:val="24"/>
        </w:rPr>
        <w:t xml:space="preserve"> </w:t>
      </w:r>
      <w:r>
        <w:rPr>
          <w:sz w:val="24"/>
        </w:rPr>
        <w:t>los</w:t>
      </w:r>
      <w:r>
        <w:rPr>
          <w:spacing w:val="-6"/>
          <w:sz w:val="24"/>
        </w:rPr>
        <w:t xml:space="preserve"> </w:t>
      </w:r>
      <w:r>
        <w:rPr>
          <w:sz w:val="24"/>
        </w:rPr>
        <w:t xml:space="preserve">recursos de la nación, de los sistemas de discriminación y la herencia histórica de explotación. Estas desigualdades se han reproducido a través de los sistemas económicos y políticos, y en la actualidad constituyen </w:t>
      </w:r>
      <w:r>
        <w:rPr>
          <w:b/>
          <w:sz w:val="24"/>
        </w:rPr>
        <w:t>barreras para el goce efectivo de los derechos</w:t>
      </w:r>
      <w:r>
        <w:rPr>
          <w:sz w:val="24"/>
        </w:rPr>
        <w:t>.</w:t>
      </w:r>
    </w:p>
    <w:p w14:paraId="3C8853BE" w14:textId="77777777" w:rsidR="000E52B0" w:rsidRDefault="000E52B0">
      <w:pPr>
        <w:jc w:val="both"/>
        <w:rPr>
          <w:sz w:val="24"/>
        </w:rPr>
        <w:sectPr w:rsidR="000E52B0">
          <w:pgSz w:w="11910" w:h="16840"/>
          <w:pgMar w:top="1340" w:right="720" w:bottom="1180" w:left="720" w:header="0" w:footer="995" w:gutter="0"/>
          <w:cols w:space="720"/>
        </w:sectPr>
      </w:pPr>
    </w:p>
    <w:p w14:paraId="5501664E" w14:textId="77777777" w:rsidR="000E52B0" w:rsidRDefault="00F60D74">
      <w:pPr>
        <w:pStyle w:val="Textoindependiente"/>
        <w:spacing w:before="83"/>
        <w:ind w:right="716"/>
        <w:jc w:val="both"/>
      </w:pPr>
      <w:r>
        <w:lastRenderedPageBreak/>
        <w:t>De</w:t>
      </w:r>
      <w:r>
        <w:rPr>
          <w:spacing w:val="-9"/>
        </w:rPr>
        <w:t xml:space="preserve"> </w:t>
      </w:r>
      <w:r>
        <w:t>acuerdo</w:t>
      </w:r>
      <w:r>
        <w:rPr>
          <w:spacing w:val="-10"/>
        </w:rPr>
        <w:t xml:space="preserve"> </w:t>
      </w:r>
      <w:r>
        <w:t>con</w:t>
      </w:r>
      <w:r>
        <w:rPr>
          <w:spacing w:val="-10"/>
        </w:rPr>
        <w:t xml:space="preserve"> </w:t>
      </w:r>
      <w:r>
        <w:t>el</w:t>
      </w:r>
      <w:r>
        <w:rPr>
          <w:spacing w:val="-11"/>
        </w:rPr>
        <w:t xml:space="preserve"> </w:t>
      </w:r>
      <w:r>
        <w:t>DANE</w:t>
      </w:r>
      <w:hyperlink w:anchor="_bookmark3" w:history="1">
        <w:r w:rsidR="000E52B0">
          <w:rPr>
            <w:position w:val="8"/>
            <w:sz w:val="16"/>
          </w:rPr>
          <w:t>1</w:t>
        </w:r>
      </w:hyperlink>
      <w:r>
        <w:t>,</w:t>
      </w:r>
      <w:r>
        <w:rPr>
          <w:spacing w:val="-9"/>
        </w:rPr>
        <w:t xml:space="preserve"> </w:t>
      </w:r>
      <w:r>
        <w:t>para</w:t>
      </w:r>
      <w:r>
        <w:rPr>
          <w:spacing w:val="-10"/>
        </w:rPr>
        <w:t xml:space="preserve"> </w:t>
      </w:r>
      <w:r>
        <w:t>el</w:t>
      </w:r>
      <w:r>
        <w:rPr>
          <w:spacing w:val="-11"/>
        </w:rPr>
        <w:t xml:space="preserve"> </w:t>
      </w:r>
      <w:r>
        <w:t>2023,</w:t>
      </w:r>
      <w:r>
        <w:rPr>
          <w:spacing w:val="-11"/>
        </w:rPr>
        <w:t xml:space="preserve"> </w:t>
      </w:r>
      <w:r>
        <w:t>el</w:t>
      </w:r>
      <w:r>
        <w:rPr>
          <w:spacing w:val="-11"/>
        </w:rPr>
        <w:t xml:space="preserve"> </w:t>
      </w:r>
      <w:r>
        <w:t>índice</w:t>
      </w:r>
      <w:r>
        <w:rPr>
          <w:spacing w:val="-9"/>
        </w:rPr>
        <w:t xml:space="preserve"> </w:t>
      </w:r>
      <w:r>
        <w:t>de</w:t>
      </w:r>
      <w:r>
        <w:rPr>
          <w:spacing w:val="-9"/>
        </w:rPr>
        <w:t xml:space="preserve"> </w:t>
      </w:r>
      <w:r>
        <w:t>Gini</w:t>
      </w:r>
      <w:r>
        <w:rPr>
          <w:spacing w:val="-9"/>
        </w:rPr>
        <w:t xml:space="preserve"> </w:t>
      </w:r>
      <w:r>
        <w:t>fue</w:t>
      </w:r>
      <w:r>
        <w:rPr>
          <w:spacing w:val="-7"/>
        </w:rPr>
        <w:t xml:space="preserve"> </w:t>
      </w:r>
      <w:r>
        <w:t>de</w:t>
      </w:r>
      <w:r>
        <w:rPr>
          <w:spacing w:val="-9"/>
        </w:rPr>
        <w:t xml:space="preserve"> </w:t>
      </w:r>
      <w:r>
        <w:t>0,54</w:t>
      </w:r>
      <w:r>
        <w:rPr>
          <w:spacing w:val="-7"/>
        </w:rPr>
        <w:t xml:space="preserve"> </w:t>
      </w:r>
      <w:r>
        <w:t>lo</w:t>
      </w:r>
      <w:r>
        <w:rPr>
          <w:spacing w:val="-10"/>
        </w:rPr>
        <w:t xml:space="preserve"> </w:t>
      </w:r>
      <w:r>
        <w:t>que ubica al país en comparación con las mediciones del Banco Mundial, como el</w:t>
      </w:r>
      <w:r>
        <w:rPr>
          <w:spacing w:val="-22"/>
        </w:rPr>
        <w:t xml:space="preserve"> </w:t>
      </w:r>
      <w:r>
        <w:t>país</w:t>
      </w:r>
      <w:r>
        <w:rPr>
          <w:spacing w:val="-21"/>
        </w:rPr>
        <w:t xml:space="preserve"> </w:t>
      </w:r>
      <w:r>
        <w:t>más</w:t>
      </w:r>
      <w:r>
        <w:rPr>
          <w:spacing w:val="-21"/>
        </w:rPr>
        <w:t xml:space="preserve"> </w:t>
      </w:r>
      <w:r>
        <w:t>desigual</w:t>
      </w:r>
      <w:r>
        <w:rPr>
          <w:spacing w:val="-20"/>
        </w:rPr>
        <w:t xml:space="preserve"> </w:t>
      </w:r>
      <w:r>
        <w:t>de</w:t>
      </w:r>
      <w:r>
        <w:rPr>
          <w:spacing w:val="-16"/>
        </w:rPr>
        <w:t xml:space="preserve"> </w:t>
      </w:r>
      <w:r>
        <w:t>América</w:t>
      </w:r>
      <w:r>
        <w:rPr>
          <w:spacing w:val="-21"/>
        </w:rPr>
        <w:t xml:space="preserve"> </w:t>
      </w:r>
      <w:r>
        <w:t>Latina</w:t>
      </w:r>
      <w:r>
        <w:rPr>
          <w:spacing w:val="-21"/>
        </w:rPr>
        <w:t xml:space="preserve"> </w:t>
      </w:r>
      <w:r>
        <w:t>y</w:t>
      </w:r>
      <w:r>
        <w:rPr>
          <w:spacing w:val="-21"/>
        </w:rPr>
        <w:t xml:space="preserve"> </w:t>
      </w:r>
      <w:r>
        <w:t>el</w:t>
      </w:r>
      <w:r>
        <w:rPr>
          <w:spacing w:val="-22"/>
        </w:rPr>
        <w:t xml:space="preserve"> </w:t>
      </w:r>
      <w:r>
        <w:t>tercero</w:t>
      </w:r>
      <w:r>
        <w:rPr>
          <w:spacing w:val="-18"/>
        </w:rPr>
        <w:t xml:space="preserve"> </w:t>
      </w:r>
      <w:r>
        <w:t>más</w:t>
      </w:r>
      <w:r>
        <w:rPr>
          <w:spacing w:val="-21"/>
        </w:rPr>
        <w:t xml:space="preserve"> </w:t>
      </w:r>
      <w:r>
        <w:t>desigual</w:t>
      </w:r>
      <w:r>
        <w:rPr>
          <w:spacing w:val="-22"/>
        </w:rPr>
        <w:t xml:space="preserve"> </w:t>
      </w:r>
      <w:r>
        <w:t>del</w:t>
      </w:r>
      <w:r>
        <w:rPr>
          <w:spacing w:val="-21"/>
        </w:rPr>
        <w:t xml:space="preserve"> </w:t>
      </w:r>
      <w:r>
        <w:t>Mundo</w:t>
      </w:r>
      <w:hyperlink w:anchor="_bookmark4" w:history="1">
        <w:r w:rsidR="000E52B0">
          <w:rPr>
            <w:position w:val="8"/>
            <w:sz w:val="16"/>
          </w:rPr>
          <w:t>2</w:t>
        </w:r>
      </w:hyperlink>
      <w:r>
        <w:rPr>
          <w:position w:val="8"/>
          <w:sz w:val="16"/>
        </w:rPr>
        <w:t xml:space="preserve"> </w:t>
      </w:r>
      <w:r>
        <w:t>en materia de ingresos.</w:t>
      </w:r>
    </w:p>
    <w:p w14:paraId="31BEA6B6" w14:textId="77777777" w:rsidR="000E52B0" w:rsidRDefault="00F60D74">
      <w:pPr>
        <w:pStyle w:val="Textoindependiente"/>
        <w:spacing w:before="290"/>
        <w:ind w:right="717"/>
        <w:jc w:val="both"/>
      </w:pPr>
      <w:r>
        <w:t>Asimismo, de acuerdo con el estudio de la Agencia de Cooperación Francesa,</w:t>
      </w:r>
      <w:r>
        <w:rPr>
          <w:spacing w:val="-2"/>
        </w:rPr>
        <w:t xml:space="preserve"> </w:t>
      </w:r>
      <w:r>
        <w:t>el</w:t>
      </w:r>
      <w:r>
        <w:rPr>
          <w:spacing w:val="-2"/>
        </w:rPr>
        <w:t xml:space="preserve"> </w:t>
      </w:r>
      <w:r>
        <w:t>DANE</w:t>
      </w:r>
      <w:r>
        <w:rPr>
          <w:spacing w:val="-1"/>
        </w:rPr>
        <w:t xml:space="preserve"> </w:t>
      </w:r>
      <w:r>
        <w:t>y Fedesarrollo</w:t>
      </w:r>
      <w:hyperlink w:anchor="_bookmark5" w:history="1">
        <w:r w:rsidR="000E52B0">
          <w:rPr>
            <w:position w:val="8"/>
            <w:sz w:val="16"/>
          </w:rPr>
          <w:t>3</w:t>
        </w:r>
      </w:hyperlink>
      <w:r>
        <w:rPr>
          <w:spacing w:val="28"/>
          <w:position w:val="8"/>
          <w:sz w:val="16"/>
        </w:rPr>
        <w:t xml:space="preserve"> </w:t>
      </w:r>
      <w:r>
        <w:t>la</w:t>
      </w:r>
      <w:r>
        <w:rPr>
          <w:spacing w:val="-1"/>
        </w:rPr>
        <w:t xml:space="preserve"> </w:t>
      </w:r>
      <w:r>
        <w:t>concentración</w:t>
      </w:r>
      <w:r>
        <w:rPr>
          <w:spacing w:val="-1"/>
        </w:rPr>
        <w:t xml:space="preserve"> </w:t>
      </w:r>
      <w:r>
        <w:t>de los</w:t>
      </w:r>
      <w:r>
        <w:rPr>
          <w:spacing w:val="-1"/>
        </w:rPr>
        <w:t xml:space="preserve"> </w:t>
      </w:r>
      <w:r>
        <w:t>recursos</w:t>
      </w:r>
      <w:r>
        <w:rPr>
          <w:spacing w:val="-1"/>
        </w:rPr>
        <w:t xml:space="preserve"> </w:t>
      </w:r>
      <w:r>
        <w:t>es</w:t>
      </w:r>
      <w:r>
        <w:rPr>
          <w:spacing w:val="-1"/>
        </w:rPr>
        <w:t xml:space="preserve"> </w:t>
      </w:r>
      <w:r>
        <w:t>más crítica en los recursos financieros, los recursos catastrales y desde una perspectiva multidimensional que recoge la concentración de acceso a bienes y servicios en los hogares como muestra la ilustración 1.</w:t>
      </w:r>
    </w:p>
    <w:p w14:paraId="7A0E6EED" w14:textId="77777777" w:rsidR="000E52B0" w:rsidRDefault="000E52B0">
      <w:pPr>
        <w:pStyle w:val="Textoindependiente"/>
        <w:ind w:left="0"/>
      </w:pPr>
    </w:p>
    <w:p w14:paraId="16C27FFF" w14:textId="77777777" w:rsidR="000E52B0" w:rsidRDefault="00F60D74">
      <w:pPr>
        <w:jc w:val="center"/>
        <w:rPr>
          <w:i/>
          <w:sz w:val="18"/>
        </w:rPr>
      </w:pPr>
      <w:r>
        <w:rPr>
          <w:i/>
          <w:color w:val="454551"/>
          <w:sz w:val="18"/>
        </w:rPr>
        <w:t>Ilustración</w:t>
      </w:r>
      <w:r>
        <w:rPr>
          <w:i/>
          <w:color w:val="454551"/>
          <w:spacing w:val="-2"/>
          <w:sz w:val="18"/>
        </w:rPr>
        <w:t xml:space="preserve"> </w:t>
      </w:r>
      <w:r>
        <w:rPr>
          <w:i/>
          <w:color w:val="454551"/>
          <w:sz w:val="18"/>
        </w:rPr>
        <w:t>1.</w:t>
      </w:r>
      <w:r>
        <w:rPr>
          <w:i/>
          <w:color w:val="454551"/>
          <w:spacing w:val="-4"/>
          <w:sz w:val="18"/>
        </w:rPr>
        <w:t xml:space="preserve"> </w:t>
      </w:r>
      <w:r>
        <w:rPr>
          <w:i/>
          <w:color w:val="454551"/>
          <w:sz w:val="18"/>
        </w:rPr>
        <w:t>Índices</w:t>
      </w:r>
      <w:r>
        <w:rPr>
          <w:i/>
          <w:color w:val="454551"/>
          <w:spacing w:val="-3"/>
          <w:sz w:val="18"/>
        </w:rPr>
        <w:t xml:space="preserve"> </w:t>
      </w:r>
      <w:r>
        <w:rPr>
          <w:i/>
          <w:color w:val="454551"/>
          <w:sz w:val="18"/>
        </w:rPr>
        <w:t>de</w:t>
      </w:r>
      <w:r>
        <w:rPr>
          <w:i/>
          <w:color w:val="454551"/>
          <w:spacing w:val="-4"/>
          <w:sz w:val="18"/>
        </w:rPr>
        <w:t xml:space="preserve"> </w:t>
      </w:r>
      <w:r>
        <w:rPr>
          <w:i/>
          <w:color w:val="454551"/>
          <w:sz w:val="18"/>
        </w:rPr>
        <w:t>Gini</w:t>
      </w:r>
      <w:r>
        <w:rPr>
          <w:i/>
          <w:color w:val="454551"/>
          <w:spacing w:val="-2"/>
          <w:sz w:val="18"/>
        </w:rPr>
        <w:t xml:space="preserve"> </w:t>
      </w:r>
      <w:r>
        <w:rPr>
          <w:i/>
          <w:color w:val="454551"/>
          <w:sz w:val="18"/>
        </w:rPr>
        <w:t>en</w:t>
      </w:r>
      <w:r>
        <w:rPr>
          <w:i/>
          <w:color w:val="454551"/>
          <w:spacing w:val="-2"/>
          <w:sz w:val="18"/>
        </w:rPr>
        <w:t xml:space="preserve"> </w:t>
      </w:r>
      <w:r>
        <w:rPr>
          <w:i/>
          <w:color w:val="454551"/>
          <w:sz w:val="18"/>
        </w:rPr>
        <w:t>Colombia</w:t>
      </w:r>
      <w:r>
        <w:rPr>
          <w:i/>
          <w:color w:val="454551"/>
          <w:spacing w:val="-3"/>
          <w:sz w:val="18"/>
        </w:rPr>
        <w:t xml:space="preserve"> </w:t>
      </w:r>
      <w:r>
        <w:rPr>
          <w:i/>
          <w:color w:val="454551"/>
          <w:spacing w:val="-2"/>
          <w:sz w:val="18"/>
        </w:rPr>
        <w:t>(2017)</w:t>
      </w:r>
    </w:p>
    <w:p w14:paraId="3EB523E4" w14:textId="77777777" w:rsidR="000E52B0" w:rsidRDefault="000E52B0">
      <w:pPr>
        <w:pStyle w:val="Textoindependiente"/>
        <w:ind w:left="0"/>
        <w:rPr>
          <w:i/>
          <w:sz w:val="18"/>
        </w:rPr>
      </w:pPr>
    </w:p>
    <w:p w14:paraId="462EBBE4" w14:textId="77777777" w:rsidR="000E52B0" w:rsidRDefault="000E52B0">
      <w:pPr>
        <w:pStyle w:val="Textoindependiente"/>
        <w:spacing w:before="105"/>
        <w:ind w:left="0"/>
        <w:rPr>
          <w:i/>
          <w:sz w:val="18"/>
        </w:rPr>
      </w:pPr>
    </w:p>
    <w:p w14:paraId="09EB0069" w14:textId="77777777" w:rsidR="000E52B0" w:rsidRDefault="00F60D74">
      <w:pPr>
        <w:spacing w:after="8"/>
        <w:ind w:right="2944"/>
        <w:jc w:val="right"/>
        <w:rPr>
          <w:rFonts w:ascii="Trebuchet MS"/>
          <w:sz w:val="18"/>
        </w:rPr>
      </w:pPr>
      <w:r>
        <w:rPr>
          <w:rFonts w:ascii="Trebuchet MS"/>
          <w:color w:val="404040"/>
          <w:spacing w:val="-5"/>
          <w:sz w:val="18"/>
        </w:rPr>
        <w:t>0,8</w:t>
      </w:r>
    </w:p>
    <w:p w14:paraId="177B62CF" w14:textId="77777777" w:rsidR="000E52B0" w:rsidRDefault="00F60D74">
      <w:pPr>
        <w:pStyle w:val="Textoindependiente"/>
        <w:ind w:left="932"/>
        <w:rPr>
          <w:rFonts w:ascii="Trebuchet MS"/>
          <w:sz w:val="20"/>
        </w:rPr>
      </w:pPr>
      <w:r>
        <w:rPr>
          <w:rFonts w:ascii="Trebuchet MS"/>
          <w:noProof/>
          <w:sz w:val="20"/>
        </w:rPr>
        <mc:AlternateContent>
          <mc:Choice Requires="wpg">
            <w:drawing>
              <wp:inline distT="0" distB="0" distL="0" distR="0" wp14:anchorId="44269FD9" wp14:editId="18CF201A">
                <wp:extent cx="5467985" cy="1163320"/>
                <wp:effectExtent l="9525" t="0" r="0" b="825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7985" cy="1163320"/>
                          <a:chOff x="0" y="0"/>
                          <a:chExt cx="5467985" cy="1163320"/>
                        </a:xfrm>
                      </wpg:grpSpPr>
                      <wps:wsp>
                        <wps:cNvPr id="4" name="Graphic 4"/>
                        <wps:cNvSpPr/>
                        <wps:spPr>
                          <a:xfrm>
                            <a:off x="170878" y="471483"/>
                            <a:ext cx="569595" cy="687070"/>
                          </a:xfrm>
                          <a:custGeom>
                            <a:avLst/>
                            <a:gdLst/>
                            <a:ahLst/>
                            <a:cxnLst/>
                            <a:rect l="l" t="t" r="r" b="b"/>
                            <a:pathLst>
                              <a:path w="569595" h="687070">
                                <a:moveTo>
                                  <a:pt x="569582" y="0"/>
                                </a:moveTo>
                                <a:lnTo>
                                  <a:pt x="0" y="0"/>
                                </a:lnTo>
                                <a:lnTo>
                                  <a:pt x="0" y="686638"/>
                                </a:lnTo>
                                <a:lnTo>
                                  <a:pt x="569582" y="686638"/>
                                </a:lnTo>
                                <a:lnTo>
                                  <a:pt x="569582" y="0"/>
                                </a:lnTo>
                                <a:close/>
                              </a:path>
                            </a:pathLst>
                          </a:custGeom>
                          <a:solidFill>
                            <a:srgbClr val="741A36"/>
                          </a:solidFill>
                        </wps:spPr>
                        <wps:bodyPr wrap="square" lIns="0" tIns="0" rIns="0" bIns="0" rtlCol="0">
                          <a:prstTxWarp prst="textNoShape">
                            <a:avLst/>
                          </a:prstTxWarp>
                          <a:noAutofit/>
                        </wps:bodyPr>
                      </wps:wsp>
                      <wps:wsp>
                        <wps:cNvPr id="5" name="Graphic 5"/>
                        <wps:cNvSpPr/>
                        <wps:spPr>
                          <a:xfrm>
                            <a:off x="1082166" y="471483"/>
                            <a:ext cx="569595" cy="687070"/>
                          </a:xfrm>
                          <a:custGeom>
                            <a:avLst/>
                            <a:gdLst/>
                            <a:ahLst/>
                            <a:cxnLst/>
                            <a:rect l="l" t="t" r="r" b="b"/>
                            <a:pathLst>
                              <a:path w="569595" h="687070">
                                <a:moveTo>
                                  <a:pt x="569582" y="0"/>
                                </a:moveTo>
                                <a:lnTo>
                                  <a:pt x="0" y="0"/>
                                </a:lnTo>
                                <a:lnTo>
                                  <a:pt x="0" y="686638"/>
                                </a:lnTo>
                                <a:lnTo>
                                  <a:pt x="569582" y="686638"/>
                                </a:lnTo>
                                <a:lnTo>
                                  <a:pt x="569582" y="0"/>
                                </a:lnTo>
                                <a:close/>
                              </a:path>
                            </a:pathLst>
                          </a:custGeom>
                          <a:solidFill>
                            <a:srgbClr val="D44673"/>
                          </a:solidFill>
                        </wps:spPr>
                        <wps:bodyPr wrap="square" lIns="0" tIns="0" rIns="0" bIns="0" rtlCol="0">
                          <a:prstTxWarp prst="textNoShape">
                            <a:avLst/>
                          </a:prstTxWarp>
                          <a:noAutofit/>
                        </wps:bodyPr>
                      </wps:wsp>
                      <wps:wsp>
                        <wps:cNvPr id="6" name="Graphic 6"/>
                        <wps:cNvSpPr/>
                        <wps:spPr>
                          <a:xfrm>
                            <a:off x="1993519" y="498953"/>
                            <a:ext cx="569595" cy="659765"/>
                          </a:xfrm>
                          <a:custGeom>
                            <a:avLst/>
                            <a:gdLst/>
                            <a:ahLst/>
                            <a:cxnLst/>
                            <a:rect l="l" t="t" r="r" b="b"/>
                            <a:pathLst>
                              <a:path w="569595" h="659765">
                                <a:moveTo>
                                  <a:pt x="569582" y="0"/>
                                </a:moveTo>
                                <a:lnTo>
                                  <a:pt x="0" y="0"/>
                                </a:lnTo>
                                <a:lnTo>
                                  <a:pt x="0" y="659168"/>
                                </a:lnTo>
                                <a:lnTo>
                                  <a:pt x="569582" y="659168"/>
                                </a:lnTo>
                                <a:lnTo>
                                  <a:pt x="569582" y="0"/>
                                </a:lnTo>
                                <a:close/>
                              </a:path>
                            </a:pathLst>
                          </a:custGeom>
                          <a:solidFill>
                            <a:srgbClr val="E691AB"/>
                          </a:solidFill>
                        </wps:spPr>
                        <wps:bodyPr wrap="square" lIns="0" tIns="0" rIns="0" bIns="0" rtlCol="0">
                          <a:prstTxWarp prst="textNoShape">
                            <a:avLst/>
                          </a:prstTxWarp>
                          <a:noAutofit/>
                        </wps:bodyPr>
                      </wps:wsp>
                      <wps:wsp>
                        <wps:cNvPr id="7" name="Graphic 7"/>
                        <wps:cNvSpPr/>
                        <wps:spPr>
                          <a:xfrm>
                            <a:off x="2904870" y="196833"/>
                            <a:ext cx="569595" cy="961390"/>
                          </a:xfrm>
                          <a:custGeom>
                            <a:avLst/>
                            <a:gdLst/>
                            <a:ahLst/>
                            <a:cxnLst/>
                            <a:rect l="l" t="t" r="r" b="b"/>
                            <a:pathLst>
                              <a:path w="569595" h="961390">
                                <a:moveTo>
                                  <a:pt x="569582" y="0"/>
                                </a:moveTo>
                                <a:lnTo>
                                  <a:pt x="0" y="0"/>
                                </a:lnTo>
                                <a:lnTo>
                                  <a:pt x="0" y="961288"/>
                                </a:lnTo>
                                <a:lnTo>
                                  <a:pt x="569582" y="961288"/>
                                </a:lnTo>
                                <a:lnTo>
                                  <a:pt x="569582" y="0"/>
                                </a:lnTo>
                                <a:close/>
                              </a:path>
                            </a:pathLst>
                          </a:custGeom>
                          <a:solidFill>
                            <a:srgbClr val="E22C91"/>
                          </a:solidFill>
                        </wps:spPr>
                        <wps:bodyPr wrap="square" lIns="0" tIns="0" rIns="0" bIns="0" rtlCol="0">
                          <a:prstTxWarp prst="textNoShape">
                            <a:avLst/>
                          </a:prstTxWarp>
                          <a:noAutofit/>
                        </wps:bodyPr>
                      </wps:wsp>
                      <wps:wsp>
                        <wps:cNvPr id="8" name="Graphic 8"/>
                        <wps:cNvSpPr/>
                        <wps:spPr>
                          <a:xfrm>
                            <a:off x="3816222" y="59508"/>
                            <a:ext cx="569595" cy="1099185"/>
                          </a:xfrm>
                          <a:custGeom>
                            <a:avLst/>
                            <a:gdLst/>
                            <a:ahLst/>
                            <a:cxnLst/>
                            <a:rect l="l" t="t" r="r" b="b"/>
                            <a:pathLst>
                              <a:path w="569595" h="1099185">
                                <a:moveTo>
                                  <a:pt x="569582" y="0"/>
                                </a:moveTo>
                                <a:lnTo>
                                  <a:pt x="0" y="0"/>
                                </a:lnTo>
                                <a:lnTo>
                                  <a:pt x="0" y="1098613"/>
                                </a:lnTo>
                                <a:lnTo>
                                  <a:pt x="569582" y="1098613"/>
                                </a:lnTo>
                                <a:lnTo>
                                  <a:pt x="569582" y="0"/>
                                </a:lnTo>
                                <a:close/>
                              </a:path>
                            </a:pathLst>
                          </a:custGeom>
                          <a:solidFill>
                            <a:srgbClr val="B4176D"/>
                          </a:solidFill>
                        </wps:spPr>
                        <wps:bodyPr wrap="square" lIns="0" tIns="0" rIns="0" bIns="0" rtlCol="0">
                          <a:prstTxWarp prst="textNoShape">
                            <a:avLst/>
                          </a:prstTxWarp>
                          <a:noAutofit/>
                        </wps:bodyPr>
                      </wps:wsp>
                      <wps:wsp>
                        <wps:cNvPr id="9" name="Graphic 9"/>
                        <wps:cNvSpPr/>
                        <wps:spPr>
                          <a:xfrm>
                            <a:off x="4727575" y="196833"/>
                            <a:ext cx="569595" cy="961390"/>
                          </a:xfrm>
                          <a:custGeom>
                            <a:avLst/>
                            <a:gdLst/>
                            <a:ahLst/>
                            <a:cxnLst/>
                            <a:rect l="l" t="t" r="r" b="b"/>
                            <a:pathLst>
                              <a:path w="569595" h="961390">
                                <a:moveTo>
                                  <a:pt x="569582" y="0"/>
                                </a:moveTo>
                                <a:lnTo>
                                  <a:pt x="0" y="0"/>
                                </a:lnTo>
                                <a:lnTo>
                                  <a:pt x="0" y="961288"/>
                                </a:lnTo>
                                <a:lnTo>
                                  <a:pt x="569582" y="961288"/>
                                </a:lnTo>
                                <a:lnTo>
                                  <a:pt x="569582" y="0"/>
                                </a:lnTo>
                                <a:close/>
                              </a:path>
                            </a:pathLst>
                          </a:custGeom>
                          <a:solidFill>
                            <a:srgbClr val="F4ABD2"/>
                          </a:solidFill>
                        </wps:spPr>
                        <wps:bodyPr wrap="square" lIns="0" tIns="0" rIns="0" bIns="0" rtlCol="0">
                          <a:prstTxWarp prst="textNoShape">
                            <a:avLst/>
                          </a:prstTxWarp>
                          <a:noAutofit/>
                        </wps:bodyPr>
                      </wps:wsp>
                      <wps:wsp>
                        <wps:cNvPr id="10" name="Graphic 10"/>
                        <wps:cNvSpPr/>
                        <wps:spPr>
                          <a:xfrm>
                            <a:off x="0" y="1158121"/>
                            <a:ext cx="5467985" cy="1270"/>
                          </a:xfrm>
                          <a:custGeom>
                            <a:avLst/>
                            <a:gdLst/>
                            <a:ahLst/>
                            <a:cxnLst/>
                            <a:rect l="l" t="t" r="r" b="b"/>
                            <a:pathLst>
                              <a:path w="5467985">
                                <a:moveTo>
                                  <a:pt x="0" y="0"/>
                                </a:moveTo>
                                <a:lnTo>
                                  <a:pt x="5467984" y="0"/>
                                </a:lnTo>
                              </a:path>
                            </a:pathLst>
                          </a:custGeom>
                          <a:ln w="9525">
                            <a:solidFill>
                              <a:srgbClr val="D9D9D9"/>
                            </a:solidFill>
                            <a:prstDash val="solid"/>
                          </a:ln>
                        </wps:spPr>
                        <wps:bodyPr wrap="square" lIns="0" tIns="0" rIns="0" bIns="0" rtlCol="0">
                          <a:prstTxWarp prst="textNoShape">
                            <a:avLst/>
                          </a:prstTxWarp>
                          <a:noAutofit/>
                        </wps:bodyPr>
                      </wps:wsp>
                      <wps:wsp>
                        <wps:cNvPr id="11" name="Textbox 11"/>
                        <wps:cNvSpPr txBox="1"/>
                        <wps:spPr>
                          <a:xfrm>
                            <a:off x="3112516" y="0"/>
                            <a:ext cx="167005" cy="139700"/>
                          </a:xfrm>
                          <a:prstGeom prst="rect">
                            <a:avLst/>
                          </a:prstGeom>
                        </wps:spPr>
                        <wps:txbx>
                          <w:txbxContent>
                            <w:p w14:paraId="69097476" w14:textId="77777777" w:rsidR="000E52B0" w:rsidRDefault="00F60D74">
                              <w:pPr>
                                <w:rPr>
                                  <w:rFonts w:ascii="Trebuchet MS"/>
                                  <w:sz w:val="18"/>
                                </w:rPr>
                              </w:pPr>
                              <w:r>
                                <w:rPr>
                                  <w:rFonts w:ascii="Trebuchet MS"/>
                                  <w:color w:val="404040"/>
                                  <w:spacing w:val="-5"/>
                                  <w:sz w:val="18"/>
                                </w:rPr>
                                <w:t>0,7</w:t>
                              </w:r>
                            </w:p>
                          </w:txbxContent>
                        </wps:txbx>
                        <wps:bodyPr wrap="square" lIns="0" tIns="0" rIns="0" bIns="0" rtlCol="0">
                          <a:noAutofit/>
                        </wps:bodyPr>
                      </wps:wsp>
                      <wps:wsp>
                        <wps:cNvPr id="12" name="Textbox 12"/>
                        <wps:cNvSpPr txBox="1"/>
                        <wps:spPr>
                          <a:xfrm>
                            <a:off x="4935473" y="0"/>
                            <a:ext cx="167640" cy="139700"/>
                          </a:xfrm>
                          <a:prstGeom prst="rect">
                            <a:avLst/>
                          </a:prstGeom>
                        </wps:spPr>
                        <wps:txbx>
                          <w:txbxContent>
                            <w:p w14:paraId="0281483E" w14:textId="77777777" w:rsidR="000E52B0" w:rsidRDefault="00F60D74">
                              <w:pPr>
                                <w:rPr>
                                  <w:rFonts w:ascii="Trebuchet MS"/>
                                  <w:sz w:val="18"/>
                                </w:rPr>
                              </w:pPr>
                              <w:r>
                                <w:rPr>
                                  <w:rFonts w:ascii="Trebuchet MS"/>
                                  <w:color w:val="404040"/>
                                  <w:spacing w:val="-5"/>
                                  <w:sz w:val="18"/>
                                </w:rPr>
                                <w:t>0,7</w:t>
                              </w:r>
                            </w:p>
                          </w:txbxContent>
                        </wps:txbx>
                        <wps:bodyPr wrap="square" lIns="0" tIns="0" rIns="0" bIns="0" rtlCol="0">
                          <a:noAutofit/>
                        </wps:bodyPr>
                      </wps:wsp>
                      <wps:wsp>
                        <wps:cNvPr id="13" name="Textbox 13"/>
                        <wps:cNvSpPr txBox="1"/>
                        <wps:spPr>
                          <a:xfrm>
                            <a:off x="378206" y="274700"/>
                            <a:ext cx="167005" cy="139700"/>
                          </a:xfrm>
                          <a:prstGeom prst="rect">
                            <a:avLst/>
                          </a:prstGeom>
                        </wps:spPr>
                        <wps:txbx>
                          <w:txbxContent>
                            <w:p w14:paraId="54A19F9E" w14:textId="77777777" w:rsidR="000E52B0" w:rsidRDefault="00F60D74">
                              <w:pPr>
                                <w:rPr>
                                  <w:rFonts w:ascii="Trebuchet MS"/>
                                  <w:sz w:val="18"/>
                                </w:rPr>
                              </w:pPr>
                              <w:r>
                                <w:rPr>
                                  <w:rFonts w:ascii="Trebuchet MS"/>
                                  <w:color w:val="404040"/>
                                  <w:spacing w:val="-5"/>
                                  <w:sz w:val="18"/>
                                </w:rPr>
                                <w:t>0,5</w:t>
                              </w:r>
                            </w:p>
                          </w:txbxContent>
                        </wps:txbx>
                        <wps:bodyPr wrap="square" lIns="0" tIns="0" rIns="0" bIns="0" rtlCol="0">
                          <a:noAutofit/>
                        </wps:bodyPr>
                      </wps:wsp>
                      <wps:wsp>
                        <wps:cNvPr id="14" name="Textbox 14"/>
                        <wps:cNvSpPr txBox="1"/>
                        <wps:spPr>
                          <a:xfrm>
                            <a:off x="1289558" y="274700"/>
                            <a:ext cx="167005" cy="139700"/>
                          </a:xfrm>
                          <a:prstGeom prst="rect">
                            <a:avLst/>
                          </a:prstGeom>
                        </wps:spPr>
                        <wps:txbx>
                          <w:txbxContent>
                            <w:p w14:paraId="4A600FD0" w14:textId="77777777" w:rsidR="000E52B0" w:rsidRDefault="00F60D74">
                              <w:pPr>
                                <w:rPr>
                                  <w:rFonts w:ascii="Trebuchet MS"/>
                                  <w:sz w:val="18"/>
                                </w:rPr>
                              </w:pPr>
                              <w:r>
                                <w:rPr>
                                  <w:rFonts w:ascii="Trebuchet MS"/>
                                  <w:color w:val="404040"/>
                                  <w:spacing w:val="-5"/>
                                  <w:sz w:val="18"/>
                                </w:rPr>
                                <w:t>0,5</w:t>
                              </w:r>
                            </w:p>
                          </w:txbxContent>
                        </wps:txbx>
                        <wps:bodyPr wrap="square" lIns="0" tIns="0" rIns="0" bIns="0" rtlCol="0">
                          <a:noAutofit/>
                        </wps:bodyPr>
                      </wps:wsp>
                      <wps:wsp>
                        <wps:cNvPr id="15" name="Textbox 15"/>
                        <wps:cNvSpPr txBox="1"/>
                        <wps:spPr>
                          <a:xfrm>
                            <a:off x="2170683" y="302386"/>
                            <a:ext cx="227965" cy="139700"/>
                          </a:xfrm>
                          <a:prstGeom prst="rect">
                            <a:avLst/>
                          </a:prstGeom>
                        </wps:spPr>
                        <wps:txbx>
                          <w:txbxContent>
                            <w:p w14:paraId="0639C35E" w14:textId="77777777" w:rsidR="000E52B0" w:rsidRDefault="00F60D74">
                              <w:pPr>
                                <w:rPr>
                                  <w:rFonts w:ascii="Trebuchet MS"/>
                                  <w:sz w:val="18"/>
                                </w:rPr>
                              </w:pPr>
                              <w:r>
                                <w:rPr>
                                  <w:rFonts w:ascii="Trebuchet MS"/>
                                  <w:color w:val="404040"/>
                                  <w:spacing w:val="-4"/>
                                  <w:sz w:val="18"/>
                                </w:rPr>
                                <w:t>0,48</w:t>
                              </w:r>
                            </w:p>
                          </w:txbxContent>
                        </wps:txbx>
                        <wps:bodyPr wrap="square" lIns="0" tIns="0" rIns="0" bIns="0" rtlCol="0">
                          <a:noAutofit/>
                        </wps:bodyPr>
                      </wps:wsp>
                    </wpg:wgp>
                  </a:graphicData>
                </a:graphic>
              </wp:inline>
            </w:drawing>
          </mc:Choice>
          <mc:Fallback>
            <w:pict>
              <v:group w14:anchorId="44269FD9" id="Group 3" o:spid="_x0000_s1026" style="width:430.55pt;height:91.6pt;mso-position-horizontal-relative:char;mso-position-vertical-relative:line" coordsize="54679,1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">
                <v:shape id="Graphic 4" o:spid="_x0000_s1027" style="position:absolute;left:1708;top:4714;width:5696;height:6871;visibility:visible;mso-wrap-style:square;v-text-anchor:top" coordsize="569595,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" path="m569582,l,,,686638r569582,l569582,xe" fillcolor="#741a36" stroked="f">
                  <v:path arrowok="t"/>
                </v:shape>
                <v:shape id="Graphic 5" o:spid="_x0000_s1028" style="position:absolute;left:10821;top:4714;width:5696;height:6871;visibility:visible;mso-wrap-style:square;v-text-anchor:top" coordsize="569595,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" path="m569582,l,,,686638r569582,l569582,xe" fillcolor="#d44673" stroked="f">
                  <v:path arrowok="t"/>
                </v:shape>
                <v:shape id="Graphic 6" o:spid="_x0000_s1029" style="position:absolute;left:19935;top:4989;width:5696;height:6598;visibility:visible;mso-wrap-style:square;v-text-anchor:top" coordsize="569595,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" path="m569582,l,,,659168r569582,l569582,xe" fillcolor="#e691ab" stroked="f">
                  <v:path arrowok="t"/>
                </v:shape>
                <v:shape id="Graphic 7" o:spid="_x0000_s1030" style="position:absolute;left:29048;top:1968;width:5696;height:9614;visibility:visible;mso-wrap-style:square;v-text-anchor:top" coordsize="569595,96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" path="m569582,l,,,961288r569582,l569582,xe" fillcolor="#e22c91" stroked="f">
                  <v:path arrowok="t"/>
                </v:shape>
                <v:shape id="Graphic 8" o:spid="_x0000_s1031" style="position:absolute;left:38162;top:595;width:5696;height:10991;visibility:visible;mso-wrap-style:square;v-text-anchor:top" coordsize="569595,109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" path="m569582,l,,,1098613r569582,l569582,xe" fillcolor="#b4176d" stroked="f">
                  <v:path arrowok="t"/>
                </v:shape>
                <v:shape id="Graphic 9" o:spid="_x0000_s1032" style="position:absolute;left:47275;top:1968;width:5696;height:9614;visibility:visible;mso-wrap-style:square;v-text-anchor:top" coordsize="569595,96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" path="m569582,l,,,961288r569582,l569582,xe" fillcolor="#f4abd2" stroked="f">
                  <v:path arrowok="t"/>
                </v:shape>
                <v:shape id="Graphic 10" o:spid="_x0000_s1033" style="position:absolute;top:11581;width:54679;height:12;visibility:visible;mso-wrap-style:square;v-text-anchor:top" coordsize="5467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" path="m,l5467984,e" filled="f" strokecolor="#d9d9d9">
                  <v:path arrowok="t"/>
                </v:shape>
                <v:shapetype id="_x0000_t202" coordsize="21600,21600" o:spt="202" path="m,l,21600r21600,l21600,xe">
                  <v:stroke joinstyle="miter"/>
                  <v:path gradientshapeok="t" o:connecttype="rect"/>
                </v:shapetype>
                <v:shape id="Textbox 11" o:spid="_x0000_s1034" type="#_x0000_t202" style="position:absolute;left:31125;width:167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9097476" w14:textId="77777777" w:rsidR="000E52B0" w:rsidRDefault="00F60D74">
                        <w:pPr>
                          <w:rPr>
                            <w:rFonts w:ascii="Trebuchet MS"/>
                            <w:sz w:val="18"/>
                          </w:rPr>
                        </w:pPr>
                        <w:r>
                          <w:rPr>
                            <w:rFonts w:ascii="Trebuchet MS"/>
                            <w:color w:val="404040"/>
                            <w:spacing w:val="-5"/>
                            <w:sz w:val="18"/>
                          </w:rPr>
                          <w:t>0,7</w:t>
                        </w:r>
                      </w:p>
                    </w:txbxContent>
                  </v:textbox>
                </v:shape>
                <v:shape id="Textbox 12" o:spid="_x0000_s1035" type="#_x0000_t202" style="position:absolute;left:49354;width:167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0281483E" w14:textId="77777777" w:rsidR="000E52B0" w:rsidRDefault="00F60D74">
                        <w:pPr>
                          <w:rPr>
                            <w:rFonts w:ascii="Trebuchet MS"/>
                            <w:sz w:val="18"/>
                          </w:rPr>
                        </w:pPr>
                        <w:r>
                          <w:rPr>
                            <w:rFonts w:ascii="Trebuchet MS"/>
                            <w:color w:val="404040"/>
                            <w:spacing w:val="-5"/>
                            <w:sz w:val="18"/>
                          </w:rPr>
                          <w:t>0,7</w:t>
                        </w:r>
                      </w:p>
                    </w:txbxContent>
                  </v:textbox>
                </v:shape>
                <v:shape id="Textbox 13" o:spid="_x0000_s1036" type="#_x0000_t202" style="position:absolute;left:3782;top:2747;width:167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4A19F9E" w14:textId="77777777" w:rsidR="000E52B0" w:rsidRDefault="00F60D74">
                        <w:pPr>
                          <w:rPr>
                            <w:rFonts w:ascii="Trebuchet MS"/>
                            <w:sz w:val="18"/>
                          </w:rPr>
                        </w:pPr>
                        <w:r>
                          <w:rPr>
                            <w:rFonts w:ascii="Trebuchet MS"/>
                            <w:color w:val="404040"/>
                            <w:spacing w:val="-5"/>
                            <w:sz w:val="18"/>
                          </w:rPr>
                          <w:t>0,5</w:t>
                        </w:r>
                      </w:p>
                    </w:txbxContent>
                  </v:textbox>
                </v:shape>
                <v:shape id="Textbox 14" o:spid="_x0000_s1037" type="#_x0000_t202" style="position:absolute;left:12895;top:2747;width:167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A600FD0" w14:textId="77777777" w:rsidR="000E52B0" w:rsidRDefault="00F60D74">
                        <w:pPr>
                          <w:rPr>
                            <w:rFonts w:ascii="Trebuchet MS"/>
                            <w:sz w:val="18"/>
                          </w:rPr>
                        </w:pPr>
                        <w:r>
                          <w:rPr>
                            <w:rFonts w:ascii="Trebuchet MS"/>
                            <w:color w:val="404040"/>
                            <w:spacing w:val="-5"/>
                            <w:sz w:val="18"/>
                          </w:rPr>
                          <w:t>0,5</w:t>
                        </w:r>
                      </w:p>
                    </w:txbxContent>
                  </v:textbox>
                </v:shape>
                <v:shape id="Textbox 15" o:spid="_x0000_s1038" type="#_x0000_t202" style="position:absolute;left:21706;top:3023;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0639C35E" w14:textId="77777777" w:rsidR="000E52B0" w:rsidRDefault="00F60D74">
                        <w:pPr>
                          <w:rPr>
                            <w:rFonts w:ascii="Trebuchet MS"/>
                            <w:sz w:val="18"/>
                          </w:rPr>
                        </w:pPr>
                        <w:r>
                          <w:rPr>
                            <w:rFonts w:ascii="Trebuchet MS"/>
                            <w:color w:val="404040"/>
                            <w:spacing w:val="-4"/>
                            <w:sz w:val="18"/>
                          </w:rPr>
                          <w:t>0,48</w:t>
                        </w:r>
                      </w:p>
                    </w:txbxContent>
                  </v:textbox>
                </v:shape>
                <w10:anchorlock/>
              </v:group>
            </w:pict>
          </mc:Fallback>
        </mc:AlternateContent>
      </w:r>
    </w:p>
    <w:p w14:paraId="738A6E8C" w14:textId="04889DC4" w:rsidR="000E52B0" w:rsidRDefault="00F60D74">
      <w:pPr>
        <w:tabs>
          <w:tab w:val="left" w:pos="2470"/>
          <w:tab w:val="left" w:pos="4147"/>
          <w:tab w:val="left" w:pos="5269"/>
          <w:tab w:val="left" w:pos="7020"/>
          <w:tab w:val="left" w:pos="8425"/>
        </w:tabs>
        <w:spacing w:before="72"/>
        <w:ind w:left="1326"/>
        <w:rPr>
          <w:rFonts w:ascii="Trebuchet MS"/>
          <w:sz w:val="18"/>
        </w:rPr>
      </w:pPr>
      <w:r>
        <w:rPr>
          <w:rFonts w:ascii="Trebuchet MS"/>
          <w:color w:val="585858"/>
          <w:spacing w:val="-2"/>
          <w:sz w:val="18"/>
        </w:rPr>
        <w:t>Ingresos</w:t>
      </w:r>
      <w:r>
        <w:rPr>
          <w:rFonts w:ascii="Trebuchet MS"/>
          <w:color w:val="585858"/>
          <w:sz w:val="18"/>
        </w:rPr>
        <w:tab/>
      </w:r>
      <w:r w:rsidR="00203383">
        <w:rPr>
          <w:rFonts w:ascii="Trebuchet MS"/>
          <w:color w:val="585858"/>
          <w:sz w:val="18"/>
        </w:rPr>
        <w:t>Ingreso</w:t>
      </w:r>
      <w:r>
        <w:rPr>
          <w:rFonts w:ascii="Trebuchet MS"/>
          <w:color w:val="585858"/>
          <w:spacing w:val="-11"/>
          <w:sz w:val="18"/>
        </w:rPr>
        <w:t xml:space="preserve"> </w:t>
      </w:r>
      <w:r>
        <w:rPr>
          <w:rFonts w:ascii="Trebuchet MS"/>
          <w:color w:val="585858"/>
          <w:spacing w:val="-2"/>
          <w:sz w:val="18"/>
        </w:rPr>
        <w:t>laboral</w:t>
      </w:r>
      <w:r>
        <w:rPr>
          <w:rFonts w:ascii="Trebuchet MS"/>
          <w:color w:val="585858"/>
          <w:sz w:val="18"/>
        </w:rPr>
        <w:tab/>
      </w:r>
      <w:r>
        <w:rPr>
          <w:rFonts w:ascii="Trebuchet MS"/>
          <w:color w:val="585858"/>
          <w:spacing w:val="-2"/>
          <w:sz w:val="18"/>
        </w:rPr>
        <w:t>Consumo</w:t>
      </w:r>
      <w:r>
        <w:rPr>
          <w:rFonts w:ascii="Trebuchet MS"/>
          <w:color w:val="585858"/>
          <w:sz w:val="18"/>
        </w:rPr>
        <w:tab/>
      </w:r>
      <w:r>
        <w:rPr>
          <w:rFonts w:ascii="Trebuchet MS"/>
          <w:color w:val="585858"/>
          <w:spacing w:val="-2"/>
          <w:sz w:val="18"/>
        </w:rPr>
        <w:t>Multidimensional</w:t>
      </w:r>
      <w:r>
        <w:rPr>
          <w:rFonts w:ascii="Trebuchet MS"/>
          <w:color w:val="585858"/>
          <w:sz w:val="18"/>
        </w:rPr>
        <w:tab/>
      </w:r>
      <w:r>
        <w:rPr>
          <w:rFonts w:ascii="Trebuchet MS"/>
          <w:color w:val="585858"/>
          <w:spacing w:val="-2"/>
          <w:sz w:val="18"/>
        </w:rPr>
        <w:t>Catastral</w:t>
      </w:r>
      <w:r>
        <w:rPr>
          <w:rFonts w:ascii="Trebuchet MS"/>
          <w:color w:val="585858"/>
          <w:sz w:val="18"/>
        </w:rPr>
        <w:tab/>
      </w:r>
      <w:r>
        <w:rPr>
          <w:rFonts w:ascii="Trebuchet MS"/>
          <w:color w:val="585858"/>
          <w:spacing w:val="-2"/>
          <w:sz w:val="18"/>
        </w:rPr>
        <w:t>Financiera</w:t>
      </w:r>
    </w:p>
    <w:p w14:paraId="20BFD86A" w14:textId="77777777" w:rsidR="000E52B0" w:rsidRDefault="00F60D74">
      <w:pPr>
        <w:spacing w:before="141"/>
        <w:ind w:left="3968" w:right="723" w:hanging="2648"/>
        <w:rPr>
          <w:i/>
          <w:sz w:val="18"/>
        </w:rPr>
      </w:pPr>
      <w:r>
        <w:rPr>
          <w:i/>
          <w:color w:val="454551"/>
          <w:sz w:val="18"/>
        </w:rPr>
        <w:t>Fuente</w:t>
      </w:r>
      <w:r>
        <w:rPr>
          <w:i/>
          <w:color w:val="454551"/>
          <w:spacing w:val="-3"/>
          <w:sz w:val="18"/>
        </w:rPr>
        <w:t xml:space="preserve"> </w:t>
      </w:r>
      <w:r>
        <w:rPr>
          <w:i/>
          <w:color w:val="454551"/>
          <w:sz w:val="18"/>
        </w:rPr>
        <w:t>1.</w:t>
      </w:r>
      <w:r>
        <w:rPr>
          <w:i/>
          <w:color w:val="454551"/>
          <w:spacing w:val="-5"/>
          <w:sz w:val="18"/>
        </w:rPr>
        <w:t xml:space="preserve"> </w:t>
      </w:r>
      <w:r>
        <w:rPr>
          <w:i/>
          <w:color w:val="454551"/>
          <w:sz w:val="18"/>
        </w:rPr>
        <w:t>AFD,</w:t>
      </w:r>
      <w:r>
        <w:rPr>
          <w:i/>
          <w:color w:val="454551"/>
          <w:spacing w:val="-5"/>
          <w:sz w:val="18"/>
        </w:rPr>
        <w:t xml:space="preserve"> </w:t>
      </w:r>
      <w:r>
        <w:rPr>
          <w:i/>
          <w:color w:val="454551"/>
          <w:sz w:val="18"/>
        </w:rPr>
        <w:t>DANE,</w:t>
      </w:r>
      <w:r>
        <w:rPr>
          <w:i/>
          <w:color w:val="454551"/>
          <w:spacing w:val="-3"/>
          <w:sz w:val="18"/>
        </w:rPr>
        <w:t xml:space="preserve"> </w:t>
      </w:r>
      <w:r>
        <w:rPr>
          <w:i/>
          <w:color w:val="454551"/>
          <w:sz w:val="18"/>
        </w:rPr>
        <w:t>FEDESARROLLO</w:t>
      </w:r>
      <w:r>
        <w:rPr>
          <w:i/>
          <w:color w:val="454551"/>
          <w:spacing w:val="-5"/>
          <w:sz w:val="18"/>
        </w:rPr>
        <w:t xml:space="preserve"> </w:t>
      </w:r>
      <w:r>
        <w:rPr>
          <w:i/>
          <w:color w:val="454551"/>
          <w:sz w:val="18"/>
        </w:rPr>
        <w:t>(2022).</w:t>
      </w:r>
      <w:r>
        <w:rPr>
          <w:i/>
          <w:color w:val="454551"/>
          <w:spacing w:val="-5"/>
          <w:sz w:val="18"/>
        </w:rPr>
        <w:t xml:space="preserve"> </w:t>
      </w:r>
      <w:r>
        <w:rPr>
          <w:i/>
          <w:color w:val="454551"/>
          <w:sz w:val="18"/>
        </w:rPr>
        <w:t>Diagnóstico</w:t>
      </w:r>
      <w:r>
        <w:rPr>
          <w:i/>
          <w:color w:val="454551"/>
          <w:spacing w:val="-3"/>
          <w:sz w:val="18"/>
        </w:rPr>
        <w:t xml:space="preserve"> </w:t>
      </w:r>
      <w:r>
        <w:rPr>
          <w:i/>
          <w:color w:val="454551"/>
          <w:sz w:val="18"/>
        </w:rPr>
        <w:t>Multidimensional</w:t>
      </w:r>
      <w:r>
        <w:rPr>
          <w:i/>
          <w:color w:val="454551"/>
          <w:spacing w:val="-4"/>
          <w:sz w:val="18"/>
        </w:rPr>
        <w:t xml:space="preserve"> </w:t>
      </w:r>
      <w:r>
        <w:rPr>
          <w:i/>
          <w:color w:val="454551"/>
          <w:sz w:val="18"/>
        </w:rPr>
        <w:t>sobre</w:t>
      </w:r>
      <w:r>
        <w:rPr>
          <w:i/>
          <w:color w:val="454551"/>
          <w:spacing w:val="-4"/>
          <w:sz w:val="18"/>
        </w:rPr>
        <w:t xml:space="preserve"> </w:t>
      </w:r>
      <w:r>
        <w:rPr>
          <w:i/>
          <w:color w:val="454551"/>
          <w:sz w:val="18"/>
        </w:rPr>
        <w:t>las desigualdades en Colombia.</w:t>
      </w:r>
    </w:p>
    <w:p w14:paraId="7ADE0F2E" w14:textId="77777777" w:rsidR="000E52B0" w:rsidRDefault="000E52B0">
      <w:pPr>
        <w:pStyle w:val="Textoindependiente"/>
        <w:ind w:left="0"/>
        <w:rPr>
          <w:i/>
          <w:sz w:val="18"/>
        </w:rPr>
      </w:pPr>
    </w:p>
    <w:p w14:paraId="33F94C27" w14:textId="77777777" w:rsidR="000E52B0" w:rsidRDefault="000E52B0">
      <w:pPr>
        <w:pStyle w:val="Textoindependiente"/>
        <w:spacing w:before="53"/>
        <w:ind w:left="0"/>
        <w:rPr>
          <w:i/>
          <w:sz w:val="18"/>
        </w:rPr>
      </w:pPr>
    </w:p>
    <w:p w14:paraId="7DEB3221" w14:textId="77777777" w:rsidR="000E52B0" w:rsidRDefault="00F60D74">
      <w:pPr>
        <w:pStyle w:val="Textoindependiente"/>
        <w:ind w:right="718"/>
        <w:jc w:val="both"/>
      </w:pPr>
      <w:r>
        <w:t>Estas</w:t>
      </w:r>
      <w:r>
        <w:rPr>
          <w:spacing w:val="-4"/>
        </w:rPr>
        <w:t xml:space="preserve"> </w:t>
      </w:r>
      <w:r>
        <w:t>profundas</w:t>
      </w:r>
      <w:r>
        <w:rPr>
          <w:spacing w:val="-4"/>
        </w:rPr>
        <w:t xml:space="preserve"> </w:t>
      </w:r>
      <w:r>
        <w:t>desigualdades</w:t>
      </w:r>
      <w:r>
        <w:rPr>
          <w:spacing w:val="-4"/>
        </w:rPr>
        <w:t xml:space="preserve"> </w:t>
      </w:r>
      <w:r>
        <w:t>se</w:t>
      </w:r>
      <w:r>
        <w:rPr>
          <w:spacing w:val="-3"/>
        </w:rPr>
        <w:t xml:space="preserve"> </w:t>
      </w:r>
      <w:r>
        <w:t>manifiestan</w:t>
      </w:r>
      <w:r>
        <w:rPr>
          <w:spacing w:val="-4"/>
        </w:rPr>
        <w:t xml:space="preserve"> </w:t>
      </w:r>
      <w:r>
        <w:t>en</w:t>
      </w:r>
      <w:r>
        <w:rPr>
          <w:spacing w:val="-4"/>
        </w:rPr>
        <w:t xml:space="preserve"> </w:t>
      </w:r>
      <w:r>
        <w:t>las</w:t>
      </w:r>
      <w:r>
        <w:rPr>
          <w:spacing w:val="-4"/>
        </w:rPr>
        <w:t xml:space="preserve"> </w:t>
      </w:r>
      <w:r>
        <w:t>condiciones</w:t>
      </w:r>
      <w:r>
        <w:rPr>
          <w:spacing w:val="-4"/>
        </w:rPr>
        <w:t xml:space="preserve"> </w:t>
      </w:r>
      <w:r>
        <w:t>de</w:t>
      </w:r>
      <w:r>
        <w:rPr>
          <w:spacing w:val="-3"/>
        </w:rPr>
        <w:t xml:space="preserve"> </w:t>
      </w:r>
      <w:r>
        <w:t>vida</w:t>
      </w:r>
      <w:r>
        <w:rPr>
          <w:spacing w:val="-3"/>
        </w:rPr>
        <w:t xml:space="preserve"> </w:t>
      </w:r>
      <w:r>
        <w:t xml:space="preserve">y las barreras de acceso a derechos especialmente en determinadas poblaciones, y de las poblaciones que viven en territorios marginados y </w:t>
      </w:r>
      <w:r>
        <w:rPr>
          <w:spacing w:val="-2"/>
        </w:rPr>
        <w:t>excluidos.</w:t>
      </w:r>
    </w:p>
    <w:p w14:paraId="42EF2482" w14:textId="77777777" w:rsidR="000E52B0" w:rsidRDefault="000E52B0">
      <w:pPr>
        <w:pStyle w:val="Textoindependiente"/>
        <w:ind w:left="0"/>
      </w:pPr>
    </w:p>
    <w:p w14:paraId="6B586744" w14:textId="77777777" w:rsidR="000E52B0" w:rsidRDefault="00F60D74">
      <w:pPr>
        <w:pStyle w:val="Ttulo2"/>
      </w:pPr>
      <w:bookmarkStart w:id="2" w:name="_bookmark2"/>
      <w:bookmarkEnd w:id="2"/>
      <w:r>
        <w:rPr>
          <w:color w:val="B3176C"/>
        </w:rPr>
        <w:t>Desigualdades</w:t>
      </w:r>
      <w:r>
        <w:rPr>
          <w:color w:val="B3176C"/>
          <w:spacing w:val="-15"/>
        </w:rPr>
        <w:t xml:space="preserve"> </w:t>
      </w:r>
      <w:r>
        <w:rPr>
          <w:color w:val="B3176C"/>
        </w:rPr>
        <w:t>e</w:t>
      </w:r>
      <w:r>
        <w:rPr>
          <w:color w:val="B3176C"/>
          <w:spacing w:val="-12"/>
        </w:rPr>
        <w:t xml:space="preserve"> </w:t>
      </w:r>
      <w:r>
        <w:rPr>
          <w:color w:val="B3176C"/>
        </w:rPr>
        <w:t>inequidades</w:t>
      </w:r>
      <w:r>
        <w:rPr>
          <w:color w:val="B3176C"/>
          <w:spacing w:val="-14"/>
        </w:rPr>
        <w:t xml:space="preserve"> </w:t>
      </w:r>
      <w:r>
        <w:rPr>
          <w:color w:val="B3176C"/>
          <w:spacing w:val="-2"/>
        </w:rPr>
        <w:t>territoriales</w:t>
      </w:r>
    </w:p>
    <w:p w14:paraId="397E85F4" w14:textId="77777777" w:rsidR="000E52B0" w:rsidRDefault="000E52B0">
      <w:pPr>
        <w:pStyle w:val="Textoindependiente"/>
        <w:spacing w:before="137"/>
        <w:ind w:left="0"/>
        <w:rPr>
          <w:sz w:val="26"/>
        </w:rPr>
      </w:pPr>
    </w:p>
    <w:p w14:paraId="45E5AAFF" w14:textId="77777777" w:rsidR="000E52B0" w:rsidRDefault="00F60D74">
      <w:pPr>
        <w:pStyle w:val="Textoindependiente"/>
        <w:ind w:right="715"/>
        <w:jc w:val="both"/>
      </w:pPr>
      <w:r>
        <w:t>La comprensión de las desigualdades territoriales está atravesada por entender las consecuencias materiales de la desigualdad, sumadas a políticas que profundizan la inequidad territorial. Es así como los departamentos con menor inversión pública del presupuesto general de la nación son los</w:t>
      </w:r>
      <w:r>
        <w:rPr>
          <w:spacing w:val="-1"/>
        </w:rPr>
        <w:t xml:space="preserve"> </w:t>
      </w:r>
      <w:r>
        <w:t>departamentos</w:t>
      </w:r>
      <w:r>
        <w:rPr>
          <w:spacing w:val="-1"/>
        </w:rPr>
        <w:t xml:space="preserve"> </w:t>
      </w:r>
      <w:r>
        <w:t>con</w:t>
      </w:r>
      <w:r>
        <w:rPr>
          <w:spacing w:val="-1"/>
        </w:rPr>
        <w:t xml:space="preserve"> </w:t>
      </w:r>
      <w:r>
        <w:t>menor esperanza</w:t>
      </w:r>
      <w:r>
        <w:rPr>
          <w:spacing w:val="-1"/>
        </w:rPr>
        <w:t xml:space="preserve"> </w:t>
      </w:r>
      <w:r>
        <w:t>de vida</w:t>
      </w:r>
      <w:r>
        <w:rPr>
          <w:spacing w:val="-1"/>
        </w:rPr>
        <w:t xml:space="preserve"> </w:t>
      </w:r>
      <w:r>
        <w:t>al</w:t>
      </w:r>
      <w:r>
        <w:rPr>
          <w:spacing w:val="-2"/>
        </w:rPr>
        <w:t xml:space="preserve"> </w:t>
      </w:r>
      <w:r>
        <w:t>nacer.</w:t>
      </w:r>
      <w:r>
        <w:rPr>
          <w:spacing w:val="-2"/>
        </w:rPr>
        <w:t xml:space="preserve"> </w:t>
      </w:r>
      <w:r>
        <w:t xml:space="preserve">Esto por supuesto, responde al acceso a atención médica, a educación, a alimentación adecuada y a la concentración de la violencia, entre otros </w:t>
      </w:r>
      <w:r>
        <w:rPr>
          <w:spacing w:val="-2"/>
        </w:rPr>
        <w:t>factores.</w:t>
      </w:r>
    </w:p>
    <w:p w14:paraId="16DDCBCF" w14:textId="77777777" w:rsidR="000E52B0" w:rsidRDefault="000E52B0">
      <w:pPr>
        <w:pStyle w:val="Textoindependiente"/>
        <w:ind w:left="0"/>
        <w:rPr>
          <w:sz w:val="20"/>
        </w:rPr>
      </w:pPr>
    </w:p>
    <w:p w14:paraId="55E08F80" w14:textId="77777777" w:rsidR="000E52B0" w:rsidRDefault="000E52B0">
      <w:pPr>
        <w:pStyle w:val="Textoindependiente"/>
        <w:ind w:left="0"/>
        <w:rPr>
          <w:sz w:val="20"/>
        </w:rPr>
      </w:pPr>
    </w:p>
    <w:p w14:paraId="22EE1065" w14:textId="77777777" w:rsidR="000E52B0" w:rsidRDefault="00F60D74">
      <w:pPr>
        <w:pStyle w:val="Textoindependiente"/>
        <w:spacing w:before="98"/>
        <w:ind w:left="0"/>
        <w:rPr>
          <w:sz w:val="20"/>
        </w:rPr>
      </w:pPr>
      <w:r>
        <w:rPr>
          <w:noProof/>
          <w:sz w:val="20"/>
        </w:rPr>
        <mc:AlternateContent>
          <mc:Choice Requires="wps">
            <w:drawing>
              <wp:anchor distT="0" distB="0" distL="0" distR="0" simplePos="0" relativeHeight="487588352" behindDoc="1" locked="0" layoutInCell="1" allowOverlap="1" wp14:anchorId="5D0F37DF" wp14:editId="2BDF4938">
                <wp:simplePos x="0" y="0"/>
                <wp:positionH relativeFrom="page">
                  <wp:posOffset>914704</wp:posOffset>
                </wp:positionH>
                <wp:positionV relativeFrom="paragraph">
                  <wp:posOffset>231920</wp:posOffset>
                </wp:positionV>
                <wp:extent cx="1829435" cy="762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21A38F" id="Graphic 16" o:spid="_x0000_s1026" style="position:absolute;margin-left:1in;margin-top:18.25pt;width:144.05pt;height:.6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" path="m1829054,l,,,7619r1829054,l1829054,xe" fillcolor="black" stroked="f">
                <v:path arrowok="t"/>
                <w10:wrap type="topAndBottom" anchorx="page"/>
              </v:shape>
            </w:pict>
          </mc:Fallback>
        </mc:AlternateContent>
      </w:r>
    </w:p>
    <w:p w14:paraId="21F7C5F0" w14:textId="77777777" w:rsidR="000E52B0" w:rsidRDefault="00F60D74">
      <w:pPr>
        <w:spacing w:before="98" w:line="237" w:lineRule="auto"/>
        <w:ind w:left="720" w:right="3356"/>
        <w:jc w:val="both"/>
        <w:rPr>
          <w:rFonts w:ascii="Arial MT" w:hAnsi="Arial MT"/>
          <w:sz w:val="18"/>
        </w:rPr>
      </w:pPr>
      <w:bookmarkStart w:id="3" w:name="_bookmark3"/>
      <w:bookmarkEnd w:id="3"/>
      <w:r>
        <w:rPr>
          <w:rFonts w:ascii="Arial MT" w:hAnsi="Arial MT"/>
          <w:position w:val="6"/>
          <w:sz w:val="12"/>
        </w:rPr>
        <w:t>1</w:t>
      </w:r>
      <w:r>
        <w:rPr>
          <w:rFonts w:ascii="Arial MT" w:hAnsi="Arial MT"/>
          <w:spacing w:val="14"/>
          <w:position w:val="6"/>
          <w:sz w:val="12"/>
        </w:rPr>
        <w:t xml:space="preserve"> </w:t>
      </w:r>
      <w:r>
        <w:rPr>
          <w:rFonts w:ascii="Arial MT" w:hAnsi="Arial MT"/>
          <w:sz w:val="18"/>
        </w:rPr>
        <w:t>DANE.</w:t>
      </w:r>
      <w:r>
        <w:rPr>
          <w:rFonts w:ascii="Arial MT" w:hAnsi="Arial MT"/>
          <w:spacing w:val="-3"/>
          <w:sz w:val="18"/>
        </w:rPr>
        <w:t xml:space="preserve"> </w:t>
      </w:r>
      <w:r>
        <w:rPr>
          <w:rFonts w:ascii="Arial MT" w:hAnsi="Arial MT"/>
          <w:sz w:val="18"/>
        </w:rPr>
        <w:t>Comunicado</w:t>
      </w:r>
      <w:r>
        <w:rPr>
          <w:rFonts w:ascii="Arial MT" w:hAnsi="Arial MT"/>
          <w:spacing w:val="-3"/>
          <w:sz w:val="18"/>
        </w:rPr>
        <w:t xml:space="preserve"> </w:t>
      </w:r>
      <w:r>
        <w:rPr>
          <w:rFonts w:ascii="Arial MT" w:hAnsi="Arial MT"/>
          <w:sz w:val="18"/>
        </w:rPr>
        <w:t>de</w:t>
      </w:r>
      <w:r>
        <w:rPr>
          <w:rFonts w:ascii="Arial MT" w:hAnsi="Arial MT"/>
          <w:spacing w:val="-3"/>
          <w:sz w:val="18"/>
        </w:rPr>
        <w:t xml:space="preserve"> </w:t>
      </w:r>
      <w:r>
        <w:rPr>
          <w:rFonts w:ascii="Arial MT" w:hAnsi="Arial MT"/>
          <w:sz w:val="18"/>
        </w:rPr>
        <w:t>Prensa</w:t>
      </w:r>
      <w:r>
        <w:rPr>
          <w:rFonts w:ascii="Arial MT" w:hAnsi="Arial MT"/>
          <w:spacing w:val="-3"/>
          <w:sz w:val="18"/>
        </w:rPr>
        <w:t xml:space="preserve"> </w:t>
      </w:r>
      <w:r>
        <w:rPr>
          <w:rFonts w:ascii="Arial MT" w:hAnsi="Arial MT"/>
          <w:sz w:val="18"/>
        </w:rPr>
        <w:t>Medición</w:t>
      </w:r>
      <w:r>
        <w:rPr>
          <w:rFonts w:ascii="Arial MT" w:hAnsi="Arial MT"/>
          <w:spacing w:val="-5"/>
          <w:sz w:val="18"/>
        </w:rPr>
        <w:t xml:space="preserve"> </w:t>
      </w:r>
      <w:r>
        <w:rPr>
          <w:rFonts w:ascii="Arial MT" w:hAnsi="Arial MT"/>
          <w:sz w:val="18"/>
        </w:rPr>
        <w:t>de</w:t>
      </w:r>
      <w:r>
        <w:rPr>
          <w:rFonts w:ascii="Arial MT" w:hAnsi="Arial MT"/>
          <w:spacing w:val="-3"/>
          <w:sz w:val="18"/>
        </w:rPr>
        <w:t xml:space="preserve"> </w:t>
      </w:r>
      <w:r>
        <w:rPr>
          <w:rFonts w:ascii="Arial MT" w:hAnsi="Arial MT"/>
          <w:sz w:val="18"/>
        </w:rPr>
        <w:t>Pobreza,</w:t>
      </w:r>
      <w:r>
        <w:rPr>
          <w:rFonts w:ascii="Arial MT" w:hAnsi="Arial MT"/>
          <w:spacing w:val="-3"/>
          <w:sz w:val="18"/>
        </w:rPr>
        <w:t xml:space="preserve"> </w:t>
      </w:r>
      <w:r>
        <w:rPr>
          <w:rFonts w:ascii="Arial MT" w:hAnsi="Arial MT"/>
          <w:sz w:val="18"/>
        </w:rPr>
        <w:t>16</w:t>
      </w:r>
      <w:r>
        <w:rPr>
          <w:rFonts w:ascii="Arial MT" w:hAnsi="Arial MT"/>
          <w:spacing w:val="-3"/>
          <w:sz w:val="18"/>
        </w:rPr>
        <w:t xml:space="preserve"> </w:t>
      </w:r>
      <w:r>
        <w:rPr>
          <w:rFonts w:ascii="Arial MT" w:hAnsi="Arial MT"/>
          <w:sz w:val="18"/>
        </w:rPr>
        <w:t>de</w:t>
      </w:r>
      <w:r>
        <w:rPr>
          <w:rFonts w:ascii="Arial MT" w:hAnsi="Arial MT"/>
          <w:spacing w:val="-7"/>
          <w:sz w:val="18"/>
        </w:rPr>
        <w:t xml:space="preserve"> </w:t>
      </w:r>
      <w:r>
        <w:rPr>
          <w:rFonts w:ascii="Arial MT" w:hAnsi="Arial MT"/>
          <w:sz w:val="18"/>
        </w:rPr>
        <w:t>julio</w:t>
      </w:r>
      <w:r>
        <w:rPr>
          <w:rFonts w:ascii="Arial MT" w:hAnsi="Arial MT"/>
          <w:spacing w:val="-3"/>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2024.</w:t>
      </w:r>
      <w:r>
        <w:rPr>
          <w:rFonts w:ascii="Arial MT" w:hAnsi="Arial MT"/>
          <w:spacing w:val="-3"/>
          <w:sz w:val="18"/>
        </w:rPr>
        <w:t xml:space="preserve"> </w:t>
      </w:r>
      <w:r>
        <w:rPr>
          <w:rFonts w:ascii="Arial MT" w:hAnsi="Arial MT"/>
          <w:sz w:val="18"/>
        </w:rPr>
        <w:t xml:space="preserve">Ver: </w:t>
      </w:r>
      <w:bookmarkStart w:id="4" w:name="_bookmark4"/>
      <w:bookmarkEnd w:id="4"/>
      <w:r>
        <w:fldChar w:fldCharType="begin"/>
      </w:r>
      <w:r>
        <w:instrText>HYPERLINK "https://www.dane.gov.co/files/operaciones/PM/cp-PM-2023.pdf?os=ios&amp;ref=app" \h</w:instrText>
      </w:r>
      <w:r>
        <w:fldChar w:fldCharType="separate"/>
      </w:r>
      <w:r>
        <w:rPr>
          <w:rFonts w:ascii="Arial MT" w:hAnsi="Arial MT"/>
          <w:color w:val="E22C91"/>
          <w:spacing w:val="-2"/>
          <w:sz w:val="18"/>
          <w:u w:val="single" w:color="E22C91"/>
        </w:rPr>
        <w:t>https://www.dane.gov.co/files/operaciones/PM/cp-PM-2023.pdf?os=ios&amp;ref=app</w:t>
      </w:r>
      <w:r>
        <w:fldChar w:fldCharType="end"/>
      </w:r>
      <w:r>
        <w:rPr>
          <w:rFonts w:ascii="Arial MT" w:hAnsi="Arial MT"/>
          <w:color w:val="E22C91"/>
          <w:spacing w:val="80"/>
          <w:w w:val="150"/>
          <w:sz w:val="18"/>
        </w:rPr>
        <w:t xml:space="preserve"> </w:t>
      </w:r>
      <w:r>
        <w:rPr>
          <w:rFonts w:ascii="Arial MT" w:hAnsi="Arial MT"/>
          <w:position w:val="6"/>
          <w:sz w:val="12"/>
        </w:rPr>
        <w:t>2</w:t>
      </w:r>
      <w:r>
        <w:rPr>
          <w:rFonts w:ascii="Arial MT" w:hAnsi="Arial MT"/>
          <w:spacing w:val="35"/>
          <w:position w:val="6"/>
          <w:sz w:val="12"/>
        </w:rPr>
        <w:t xml:space="preserve"> </w:t>
      </w:r>
      <w:r>
        <w:rPr>
          <w:rFonts w:ascii="Arial MT" w:hAnsi="Arial MT"/>
          <w:sz w:val="18"/>
        </w:rPr>
        <w:t xml:space="preserve">Banco Mundial. Índice de Gini – </w:t>
      </w:r>
      <w:proofErr w:type="spellStart"/>
      <w:r>
        <w:rPr>
          <w:rFonts w:ascii="Arial MT" w:hAnsi="Arial MT"/>
          <w:sz w:val="18"/>
        </w:rPr>
        <w:t>DataBank</w:t>
      </w:r>
      <w:proofErr w:type="spellEnd"/>
      <w:r>
        <w:rPr>
          <w:rFonts w:ascii="Arial MT" w:hAnsi="Arial MT"/>
          <w:sz w:val="18"/>
        </w:rPr>
        <w:t>. Ver:</w:t>
      </w:r>
    </w:p>
    <w:p w14:paraId="39715A76" w14:textId="77777777" w:rsidR="000E52B0" w:rsidRDefault="000E52B0">
      <w:pPr>
        <w:spacing w:line="205" w:lineRule="exact"/>
        <w:ind w:left="720"/>
        <w:rPr>
          <w:rFonts w:ascii="Arial MT"/>
          <w:sz w:val="18"/>
        </w:rPr>
      </w:pPr>
      <w:hyperlink r:id="rId21">
        <w:r>
          <w:rPr>
            <w:rFonts w:ascii="Arial MT"/>
            <w:color w:val="E22C91"/>
            <w:spacing w:val="-2"/>
            <w:sz w:val="18"/>
            <w:u w:val="single" w:color="E22C91"/>
          </w:rPr>
          <w:t>https://datos.bancomundial.org/indicador/SI.POV.GINI?most_recent_value_desc=true</w:t>
        </w:r>
      </w:hyperlink>
    </w:p>
    <w:p w14:paraId="4CA82547" w14:textId="77777777" w:rsidR="000E52B0" w:rsidRDefault="00F60D74">
      <w:pPr>
        <w:spacing w:line="210" w:lineRule="exact"/>
        <w:ind w:left="720"/>
        <w:rPr>
          <w:rFonts w:ascii="Arial MT" w:hAnsi="Arial MT"/>
          <w:sz w:val="18"/>
        </w:rPr>
      </w:pPr>
      <w:bookmarkStart w:id="5" w:name="_bookmark5"/>
      <w:bookmarkEnd w:id="5"/>
      <w:r>
        <w:rPr>
          <w:rFonts w:ascii="Arial MT" w:hAnsi="Arial MT"/>
          <w:position w:val="6"/>
          <w:sz w:val="12"/>
        </w:rPr>
        <w:t>3</w:t>
      </w:r>
      <w:r>
        <w:rPr>
          <w:rFonts w:ascii="Arial MT" w:hAnsi="Arial MT"/>
          <w:spacing w:val="13"/>
          <w:position w:val="6"/>
          <w:sz w:val="12"/>
        </w:rPr>
        <w:t xml:space="preserve"> </w:t>
      </w:r>
      <w:r>
        <w:rPr>
          <w:rFonts w:ascii="Arial MT" w:hAnsi="Arial MT"/>
          <w:sz w:val="18"/>
        </w:rPr>
        <w:t>AFD,</w:t>
      </w:r>
      <w:r>
        <w:rPr>
          <w:rFonts w:ascii="Arial MT" w:hAnsi="Arial MT"/>
          <w:spacing w:val="-4"/>
          <w:sz w:val="18"/>
        </w:rPr>
        <w:t xml:space="preserve"> </w:t>
      </w:r>
      <w:r>
        <w:rPr>
          <w:rFonts w:ascii="Arial MT" w:hAnsi="Arial MT"/>
          <w:sz w:val="18"/>
        </w:rPr>
        <w:t>DANE,</w:t>
      </w:r>
      <w:r>
        <w:rPr>
          <w:rFonts w:ascii="Arial MT" w:hAnsi="Arial MT"/>
          <w:spacing w:val="-3"/>
          <w:sz w:val="18"/>
        </w:rPr>
        <w:t xml:space="preserve"> </w:t>
      </w:r>
      <w:r>
        <w:rPr>
          <w:rFonts w:ascii="Arial MT" w:hAnsi="Arial MT"/>
          <w:sz w:val="18"/>
        </w:rPr>
        <w:t>FEDESARROLLO</w:t>
      </w:r>
      <w:r>
        <w:rPr>
          <w:rFonts w:ascii="Arial MT" w:hAnsi="Arial MT"/>
          <w:spacing w:val="-5"/>
          <w:sz w:val="18"/>
        </w:rPr>
        <w:t xml:space="preserve"> </w:t>
      </w:r>
      <w:r>
        <w:rPr>
          <w:rFonts w:ascii="Arial MT" w:hAnsi="Arial MT"/>
          <w:sz w:val="18"/>
        </w:rPr>
        <w:t>(2022).</w:t>
      </w:r>
      <w:r>
        <w:rPr>
          <w:rFonts w:ascii="Arial MT" w:hAnsi="Arial MT"/>
          <w:spacing w:val="-3"/>
          <w:sz w:val="18"/>
        </w:rPr>
        <w:t xml:space="preserve"> </w:t>
      </w:r>
      <w:r>
        <w:rPr>
          <w:rFonts w:ascii="Arial MT" w:hAnsi="Arial MT"/>
          <w:sz w:val="18"/>
        </w:rPr>
        <w:t>Diagnóstico</w:t>
      </w:r>
      <w:r>
        <w:rPr>
          <w:rFonts w:ascii="Arial MT" w:hAnsi="Arial MT"/>
          <w:spacing w:val="-6"/>
          <w:sz w:val="18"/>
        </w:rPr>
        <w:t xml:space="preserve"> </w:t>
      </w:r>
      <w:r>
        <w:rPr>
          <w:rFonts w:ascii="Arial MT" w:hAnsi="Arial MT"/>
          <w:sz w:val="18"/>
        </w:rPr>
        <w:t>Multidimensional</w:t>
      </w:r>
      <w:r>
        <w:rPr>
          <w:rFonts w:ascii="Arial MT" w:hAnsi="Arial MT"/>
          <w:spacing w:val="-5"/>
          <w:sz w:val="18"/>
        </w:rPr>
        <w:t xml:space="preserve"> </w:t>
      </w:r>
      <w:r>
        <w:rPr>
          <w:rFonts w:ascii="Arial MT" w:hAnsi="Arial MT"/>
          <w:sz w:val="18"/>
        </w:rPr>
        <w:t>sobre</w:t>
      </w:r>
      <w:r>
        <w:rPr>
          <w:rFonts w:ascii="Arial MT" w:hAnsi="Arial MT"/>
          <w:spacing w:val="-4"/>
          <w:sz w:val="18"/>
        </w:rPr>
        <w:t xml:space="preserve"> </w:t>
      </w:r>
      <w:r>
        <w:rPr>
          <w:rFonts w:ascii="Arial MT" w:hAnsi="Arial MT"/>
          <w:sz w:val="18"/>
        </w:rPr>
        <w:t>las</w:t>
      </w:r>
      <w:r>
        <w:rPr>
          <w:rFonts w:ascii="Arial MT" w:hAnsi="Arial MT"/>
          <w:spacing w:val="-2"/>
          <w:sz w:val="18"/>
        </w:rPr>
        <w:t xml:space="preserve"> </w:t>
      </w:r>
      <w:r>
        <w:rPr>
          <w:rFonts w:ascii="Arial MT" w:hAnsi="Arial MT"/>
          <w:sz w:val="18"/>
        </w:rPr>
        <w:t>desigualdades</w:t>
      </w:r>
      <w:r>
        <w:rPr>
          <w:rFonts w:ascii="Arial MT" w:hAnsi="Arial MT"/>
          <w:spacing w:val="-6"/>
          <w:sz w:val="18"/>
        </w:rPr>
        <w:t xml:space="preserve"> </w:t>
      </w:r>
      <w:r>
        <w:rPr>
          <w:rFonts w:ascii="Arial MT" w:hAnsi="Arial MT"/>
          <w:sz w:val="18"/>
        </w:rPr>
        <w:t>en</w:t>
      </w:r>
      <w:r>
        <w:rPr>
          <w:rFonts w:ascii="Arial MT" w:hAnsi="Arial MT"/>
          <w:spacing w:val="-3"/>
          <w:sz w:val="18"/>
        </w:rPr>
        <w:t xml:space="preserve"> </w:t>
      </w:r>
      <w:r>
        <w:rPr>
          <w:rFonts w:ascii="Arial MT" w:hAnsi="Arial MT"/>
          <w:spacing w:val="-2"/>
          <w:sz w:val="18"/>
        </w:rPr>
        <w:t>Colombia.</w:t>
      </w:r>
    </w:p>
    <w:p w14:paraId="69AAE869" w14:textId="77777777" w:rsidR="000E52B0" w:rsidRDefault="000E52B0">
      <w:pPr>
        <w:spacing w:line="210" w:lineRule="exact"/>
        <w:rPr>
          <w:rFonts w:ascii="Arial MT" w:hAnsi="Arial MT"/>
          <w:sz w:val="18"/>
        </w:rPr>
        <w:sectPr w:rsidR="000E52B0">
          <w:pgSz w:w="11910" w:h="16840"/>
          <w:pgMar w:top="1340" w:right="720" w:bottom="1180" w:left="720" w:header="0" w:footer="995" w:gutter="0"/>
          <w:cols w:space="720"/>
        </w:sectPr>
      </w:pPr>
    </w:p>
    <w:p w14:paraId="5CA2F942" w14:textId="77777777" w:rsidR="000E52B0" w:rsidRDefault="00F60D74">
      <w:pPr>
        <w:spacing w:before="83"/>
        <w:ind w:left="720" w:right="716"/>
        <w:jc w:val="both"/>
        <w:rPr>
          <w:sz w:val="24"/>
        </w:rPr>
      </w:pPr>
      <w:r>
        <w:rPr>
          <w:sz w:val="24"/>
        </w:rPr>
        <w:lastRenderedPageBreak/>
        <w:t>Según</w:t>
      </w:r>
      <w:r>
        <w:rPr>
          <w:spacing w:val="-12"/>
          <w:sz w:val="24"/>
        </w:rPr>
        <w:t xml:space="preserve"> </w:t>
      </w:r>
      <w:r>
        <w:rPr>
          <w:sz w:val="24"/>
        </w:rPr>
        <w:t>el</w:t>
      </w:r>
      <w:r>
        <w:rPr>
          <w:spacing w:val="-10"/>
          <w:sz w:val="24"/>
        </w:rPr>
        <w:t xml:space="preserve"> </w:t>
      </w:r>
      <w:hyperlink r:id="rId22">
        <w:r w:rsidR="000E52B0">
          <w:rPr>
            <w:color w:val="E22C91"/>
            <w:sz w:val="24"/>
            <w:u w:val="single" w:color="E22C91"/>
          </w:rPr>
          <w:t>DANE</w:t>
        </w:r>
      </w:hyperlink>
      <w:r>
        <w:rPr>
          <w:sz w:val="24"/>
        </w:rPr>
        <w:t>,</w:t>
      </w:r>
      <w:r>
        <w:rPr>
          <w:spacing w:val="-10"/>
          <w:sz w:val="24"/>
        </w:rPr>
        <w:t xml:space="preserve"> </w:t>
      </w:r>
      <w:r>
        <w:rPr>
          <w:sz w:val="24"/>
        </w:rPr>
        <w:t>la</w:t>
      </w:r>
      <w:r>
        <w:rPr>
          <w:spacing w:val="-12"/>
          <w:sz w:val="24"/>
        </w:rPr>
        <w:t xml:space="preserve"> </w:t>
      </w:r>
      <w:r>
        <w:rPr>
          <w:sz w:val="24"/>
        </w:rPr>
        <w:t>esperanza</w:t>
      </w:r>
      <w:r>
        <w:rPr>
          <w:spacing w:val="-12"/>
          <w:sz w:val="24"/>
        </w:rPr>
        <w:t xml:space="preserve"> </w:t>
      </w:r>
      <w:r>
        <w:rPr>
          <w:sz w:val="24"/>
        </w:rPr>
        <w:t>de</w:t>
      </w:r>
      <w:r>
        <w:rPr>
          <w:spacing w:val="-11"/>
          <w:sz w:val="24"/>
        </w:rPr>
        <w:t xml:space="preserve"> </w:t>
      </w:r>
      <w:r>
        <w:rPr>
          <w:sz w:val="24"/>
        </w:rPr>
        <w:t>vida</w:t>
      </w:r>
      <w:r>
        <w:rPr>
          <w:spacing w:val="-12"/>
          <w:sz w:val="24"/>
        </w:rPr>
        <w:t xml:space="preserve"> </w:t>
      </w:r>
      <w:r>
        <w:rPr>
          <w:sz w:val="24"/>
        </w:rPr>
        <w:t>al</w:t>
      </w:r>
      <w:r>
        <w:rPr>
          <w:spacing w:val="-10"/>
          <w:sz w:val="24"/>
        </w:rPr>
        <w:t xml:space="preserve"> </w:t>
      </w:r>
      <w:r>
        <w:rPr>
          <w:sz w:val="24"/>
        </w:rPr>
        <w:t>nacer</w:t>
      </w:r>
      <w:r>
        <w:rPr>
          <w:spacing w:val="-10"/>
          <w:sz w:val="24"/>
        </w:rPr>
        <w:t xml:space="preserve"> </w:t>
      </w:r>
      <w:r>
        <w:rPr>
          <w:sz w:val="24"/>
        </w:rPr>
        <w:t>para</w:t>
      </w:r>
      <w:r>
        <w:rPr>
          <w:spacing w:val="-11"/>
          <w:sz w:val="24"/>
        </w:rPr>
        <w:t xml:space="preserve"> </w:t>
      </w:r>
      <w:r>
        <w:rPr>
          <w:sz w:val="24"/>
        </w:rPr>
        <w:t>2021,</w:t>
      </w:r>
      <w:r>
        <w:rPr>
          <w:spacing w:val="-12"/>
          <w:sz w:val="24"/>
        </w:rPr>
        <w:t xml:space="preserve"> </w:t>
      </w:r>
      <w:r>
        <w:rPr>
          <w:sz w:val="24"/>
        </w:rPr>
        <w:t>era</w:t>
      </w:r>
      <w:r>
        <w:rPr>
          <w:spacing w:val="-12"/>
          <w:sz w:val="24"/>
        </w:rPr>
        <w:t xml:space="preserve"> </w:t>
      </w:r>
      <w:r>
        <w:rPr>
          <w:sz w:val="24"/>
        </w:rPr>
        <w:t>de</w:t>
      </w:r>
      <w:r>
        <w:rPr>
          <w:spacing w:val="-11"/>
          <w:sz w:val="24"/>
        </w:rPr>
        <w:t xml:space="preserve"> </w:t>
      </w:r>
      <w:r>
        <w:rPr>
          <w:sz w:val="24"/>
        </w:rPr>
        <w:t>76,8</w:t>
      </w:r>
      <w:r>
        <w:rPr>
          <w:spacing w:val="-11"/>
          <w:sz w:val="24"/>
        </w:rPr>
        <w:t xml:space="preserve"> </w:t>
      </w:r>
      <w:r>
        <w:rPr>
          <w:sz w:val="24"/>
        </w:rPr>
        <w:t xml:space="preserve">años. Mientras para </w:t>
      </w:r>
      <w:r>
        <w:rPr>
          <w:b/>
          <w:sz w:val="24"/>
        </w:rPr>
        <w:t>Vaupés la esperanza de vida es de 12 años menos</w:t>
      </w:r>
      <w:r>
        <w:rPr>
          <w:sz w:val="24"/>
        </w:rPr>
        <w:t>, y en</w:t>
      </w:r>
      <w:r>
        <w:rPr>
          <w:spacing w:val="-13"/>
          <w:sz w:val="24"/>
        </w:rPr>
        <w:t xml:space="preserve"> </w:t>
      </w:r>
      <w:r>
        <w:rPr>
          <w:b/>
          <w:sz w:val="24"/>
        </w:rPr>
        <w:t>Chocó</w:t>
      </w:r>
      <w:r>
        <w:rPr>
          <w:b/>
          <w:spacing w:val="-12"/>
          <w:sz w:val="24"/>
        </w:rPr>
        <w:t xml:space="preserve"> </w:t>
      </w:r>
      <w:r>
        <w:rPr>
          <w:b/>
          <w:sz w:val="24"/>
        </w:rPr>
        <w:t>son</w:t>
      </w:r>
      <w:r>
        <w:rPr>
          <w:b/>
          <w:spacing w:val="-13"/>
          <w:sz w:val="24"/>
        </w:rPr>
        <w:t xml:space="preserve"> </w:t>
      </w:r>
      <w:r>
        <w:rPr>
          <w:b/>
          <w:sz w:val="24"/>
        </w:rPr>
        <w:t>5</w:t>
      </w:r>
      <w:r>
        <w:rPr>
          <w:b/>
          <w:spacing w:val="-11"/>
          <w:sz w:val="24"/>
        </w:rPr>
        <w:t xml:space="preserve"> </w:t>
      </w:r>
      <w:r>
        <w:rPr>
          <w:b/>
          <w:sz w:val="24"/>
        </w:rPr>
        <w:t>años</w:t>
      </w:r>
      <w:r>
        <w:rPr>
          <w:b/>
          <w:spacing w:val="-13"/>
          <w:sz w:val="24"/>
        </w:rPr>
        <w:t xml:space="preserve"> </w:t>
      </w:r>
      <w:r>
        <w:rPr>
          <w:b/>
          <w:sz w:val="24"/>
        </w:rPr>
        <w:t>menos</w:t>
      </w:r>
      <w:r>
        <w:rPr>
          <w:sz w:val="24"/>
        </w:rPr>
        <w:t>.</w:t>
      </w:r>
      <w:r>
        <w:rPr>
          <w:spacing w:val="-11"/>
          <w:sz w:val="24"/>
        </w:rPr>
        <w:t xml:space="preserve"> </w:t>
      </w:r>
      <w:r>
        <w:rPr>
          <w:sz w:val="24"/>
        </w:rPr>
        <w:t>La</w:t>
      </w:r>
      <w:r>
        <w:rPr>
          <w:spacing w:val="-13"/>
          <w:sz w:val="24"/>
        </w:rPr>
        <w:t xml:space="preserve"> </w:t>
      </w:r>
      <w:r>
        <w:rPr>
          <w:sz w:val="24"/>
        </w:rPr>
        <w:t>diferencia</w:t>
      </w:r>
      <w:r>
        <w:rPr>
          <w:spacing w:val="-13"/>
          <w:sz w:val="24"/>
        </w:rPr>
        <w:t xml:space="preserve"> </w:t>
      </w:r>
      <w:r>
        <w:rPr>
          <w:sz w:val="24"/>
        </w:rPr>
        <w:t>entre</w:t>
      </w:r>
      <w:r>
        <w:rPr>
          <w:spacing w:val="-11"/>
          <w:sz w:val="24"/>
        </w:rPr>
        <w:t xml:space="preserve"> </w:t>
      </w:r>
      <w:r>
        <w:rPr>
          <w:sz w:val="24"/>
        </w:rPr>
        <w:t>Bogotá</w:t>
      </w:r>
      <w:r>
        <w:rPr>
          <w:spacing w:val="-10"/>
          <w:sz w:val="24"/>
        </w:rPr>
        <w:t xml:space="preserve"> </w:t>
      </w:r>
      <w:r>
        <w:rPr>
          <w:sz w:val="24"/>
        </w:rPr>
        <w:t>y</w:t>
      </w:r>
      <w:r>
        <w:rPr>
          <w:spacing w:val="-13"/>
          <w:sz w:val="24"/>
        </w:rPr>
        <w:t xml:space="preserve"> </w:t>
      </w:r>
      <w:r>
        <w:rPr>
          <w:sz w:val="24"/>
        </w:rPr>
        <w:t>Vaupés</w:t>
      </w:r>
      <w:r>
        <w:rPr>
          <w:spacing w:val="-13"/>
          <w:sz w:val="24"/>
        </w:rPr>
        <w:t xml:space="preserve"> </w:t>
      </w:r>
      <w:r>
        <w:rPr>
          <w:sz w:val="24"/>
        </w:rPr>
        <w:t>son</w:t>
      </w:r>
      <w:r>
        <w:rPr>
          <w:spacing w:val="-13"/>
          <w:sz w:val="24"/>
        </w:rPr>
        <w:t xml:space="preserve"> </w:t>
      </w:r>
      <w:r>
        <w:rPr>
          <w:sz w:val="24"/>
        </w:rPr>
        <w:t>15 años de vida menos. Esto se evidencia en la ilustración 2.</w:t>
      </w:r>
    </w:p>
    <w:p w14:paraId="73412F24" w14:textId="44FD22C1" w:rsidR="000E52B0" w:rsidRDefault="00F60D74">
      <w:pPr>
        <w:pStyle w:val="Textoindependiente"/>
        <w:spacing w:before="158"/>
        <w:ind w:right="715"/>
        <w:jc w:val="both"/>
      </w:pPr>
      <w:r>
        <w:t xml:space="preserve">Las brechas territoriales, también se </w:t>
      </w:r>
      <w:r w:rsidR="00203383">
        <w:t>interseccional</w:t>
      </w:r>
      <w:r>
        <w:t xml:space="preserve"> con los sistemas de discriminación</w:t>
      </w:r>
      <w:r>
        <w:rPr>
          <w:spacing w:val="-22"/>
        </w:rPr>
        <w:t xml:space="preserve"> </w:t>
      </w:r>
      <w:r>
        <w:t>que</w:t>
      </w:r>
      <w:r>
        <w:rPr>
          <w:spacing w:val="-21"/>
        </w:rPr>
        <w:t xml:space="preserve"> </w:t>
      </w:r>
      <w:r>
        <w:t>afectan</w:t>
      </w:r>
      <w:r>
        <w:rPr>
          <w:spacing w:val="-21"/>
        </w:rPr>
        <w:t xml:space="preserve"> </w:t>
      </w:r>
      <w:r>
        <w:t>a</w:t>
      </w:r>
      <w:r>
        <w:rPr>
          <w:spacing w:val="-21"/>
        </w:rPr>
        <w:t xml:space="preserve"> </w:t>
      </w:r>
      <w:r>
        <w:t>quienes</w:t>
      </w:r>
      <w:r>
        <w:rPr>
          <w:spacing w:val="-21"/>
        </w:rPr>
        <w:t xml:space="preserve"> </w:t>
      </w:r>
      <w:r>
        <w:t>habitan</w:t>
      </w:r>
      <w:r>
        <w:rPr>
          <w:spacing w:val="-21"/>
        </w:rPr>
        <w:t xml:space="preserve"> </w:t>
      </w:r>
      <w:r>
        <w:t>cada</w:t>
      </w:r>
      <w:r>
        <w:rPr>
          <w:spacing w:val="-21"/>
        </w:rPr>
        <w:t xml:space="preserve"> </w:t>
      </w:r>
      <w:r>
        <w:t>territorio.</w:t>
      </w:r>
      <w:r>
        <w:rPr>
          <w:spacing w:val="-21"/>
        </w:rPr>
        <w:t xml:space="preserve"> </w:t>
      </w:r>
      <w:r>
        <w:t>De</w:t>
      </w:r>
      <w:r>
        <w:rPr>
          <w:spacing w:val="-21"/>
        </w:rPr>
        <w:t xml:space="preserve"> </w:t>
      </w:r>
      <w:r>
        <w:t>esta</w:t>
      </w:r>
      <w:r>
        <w:rPr>
          <w:spacing w:val="-21"/>
        </w:rPr>
        <w:t xml:space="preserve"> </w:t>
      </w:r>
      <w:r>
        <w:t>forma, la brecha de la esperanza de vida de una mujer nacida en Bogotá (82,2 años) y una nacida en Vaupés (68,0 años) es de 14,2 años; entre los hombres,</w:t>
      </w:r>
      <w:r>
        <w:rPr>
          <w:spacing w:val="-8"/>
        </w:rPr>
        <w:t xml:space="preserve"> </w:t>
      </w:r>
      <w:r>
        <w:t>la</w:t>
      </w:r>
      <w:r>
        <w:rPr>
          <w:spacing w:val="-8"/>
        </w:rPr>
        <w:t xml:space="preserve"> </w:t>
      </w:r>
      <w:r>
        <w:t>diferencia</w:t>
      </w:r>
      <w:r>
        <w:rPr>
          <w:spacing w:val="-7"/>
        </w:rPr>
        <w:t xml:space="preserve"> </w:t>
      </w:r>
      <w:r>
        <w:t>entre</w:t>
      </w:r>
      <w:r>
        <w:rPr>
          <w:spacing w:val="-6"/>
        </w:rPr>
        <w:t xml:space="preserve"> </w:t>
      </w:r>
      <w:r>
        <w:t>estos</w:t>
      </w:r>
      <w:r>
        <w:rPr>
          <w:spacing w:val="-8"/>
        </w:rPr>
        <w:t xml:space="preserve"> </w:t>
      </w:r>
      <w:r>
        <w:t>mismos</w:t>
      </w:r>
      <w:r>
        <w:rPr>
          <w:spacing w:val="-8"/>
        </w:rPr>
        <w:t xml:space="preserve"> </w:t>
      </w:r>
      <w:r>
        <w:t>departamentos</w:t>
      </w:r>
      <w:r>
        <w:rPr>
          <w:spacing w:val="-5"/>
        </w:rPr>
        <w:t xml:space="preserve"> </w:t>
      </w:r>
      <w:r>
        <w:t>es</w:t>
      </w:r>
      <w:r>
        <w:rPr>
          <w:spacing w:val="-8"/>
        </w:rPr>
        <w:t xml:space="preserve"> </w:t>
      </w:r>
      <w:r>
        <w:t>de</w:t>
      </w:r>
      <w:r>
        <w:rPr>
          <w:spacing w:val="-6"/>
        </w:rPr>
        <w:t xml:space="preserve"> </w:t>
      </w:r>
      <w:r>
        <w:t>15,6</w:t>
      </w:r>
      <w:r>
        <w:rPr>
          <w:spacing w:val="-6"/>
        </w:rPr>
        <w:t xml:space="preserve"> </w:t>
      </w:r>
      <w:r>
        <w:t>años (77,2 y</w:t>
      </w:r>
      <w:r>
        <w:rPr>
          <w:spacing w:val="-1"/>
        </w:rPr>
        <w:t xml:space="preserve"> </w:t>
      </w:r>
      <w:r>
        <w:t>61,6 años,</w:t>
      </w:r>
      <w:r>
        <w:rPr>
          <w:spacing w:val="-2"/>
        </w:rPr>
        <w:t xml:space="preserve"> </w:t>
      </w:r>
      <w:r>
        <w:t>respectivamente).</w:t>
      </w:r>
      <w:r>
        <w:rPr>
          <w:spacing w:val="-2"/>
        </w:rPr>
        <w:t xml:space="preserve"> </w:t>
      </w:r>
      <w:r>
        <w:t>Pero además</w:t>
      </w:r>
      <w:r>
        <w:rPr>
          <w:spacing w:val="-1"/>
        </w:rPr>
        <w:t xml:space="preserve"> </w:t>
      </w:r>
      <w:r>
        <w:t>se pueden</w:t>
      </w:r>
      <w:r>
        <w:rPr>
          <w:spacing w:val="-1"/>
        </w:rPr>
        <w:t xml:space="preserve"> </w:t>
      </w:r>
      <w:r>
        <w:t>ver brechas por pertenencia étnica: una mujer afrodescendiente (Caso Chocó) vive aproximadamente 4.5 años menos que una mujer promedio en Colombia (68,3</w:t>
      </w:r>
      <w:r>
        <w:rPr>
          <w:spacing w:val="10"/>
        </w:rPr>
        <w:t xml:space="preserve"> </w:t>
      </w:r>
      <w:r>
        <w:t>vs</w:t>
      </w:r>
      <w:r>
        <w:rPr>
          <w:spacing w:val="11"/>
        </w:rPr>
        <w:t xml:space="preserve"> </w:t>
      </w:r>
      <w:r>
        <w:t>73,8</w:t>
      </w:r>
      <w:r>
        <w:rPr>
          <w:spacing w:val="13"/>
        </w:rPr>
        <w:t xml:space="preserve"> </w:t>
      </w:r>
      <w:r>
        <w:t>años).</w:t>
      </w:r>
      <w:r>
        <w:rPr>
          <w:spacing w:val="11"/>
        </w:rPr>
        <w:t xml:space="preserve"> </w:t>
      </w:r>
      <w:r>
        <w:t>Un</w:t>
      </w:r>
      <w:r>
        <w:rPr>
          <w:spacing w:val="11"/>
        </w:rPr>
        <w:t xml:space="preserve"> </w:t>
      </w:r>
      <w:r>
        <w:t>hombre</w:t>
      </w:r>
      <w:r>
        <w:rPr>
          <w:spacing w:val="14"/>
        </w:rPr>
        <w:t xml:space="preserve"> </w:t>
      </w:r>
      <w:r>
        <w:t>afrodescendiente</w:t>
      </w:r>
      <w:r>
        <w:rPr>
          <w:spacing w:val="12"/>
        </w:rPr>
        <w:t xml:space="preserve"> </w:t>
      </w:r>
      <w:r>
        <w:t>vive</w:t>
      </w:r>
      <w:r>
        <w:rPr>
          <w:spacing w:val="13"/>
        </w:rPr>
        <w:t xml:space="preserve"> </w:t>
      </w:r>
      <w:r>
        <w:rPr>
          <w:spacing w:val="-2"/>
        </w:rPr>
        <w:t>aproximadamente</w:t>
      </w:r>
    </w:p>
    <w:p w14:paraId="26BA73F0" w14:textId="77777777" w:rsidR="000E52B0" w:rsidRDefault="00F60D74">
      <w:pPr>
        <w:pStyle w:val="Textoindependiente"/>
        <w:spacing w:before="3"/>
        <w:jc w:val="both"/>
      </w:pPr>
      <w:r>
        <w:t>5.5</w:t>
      </w:r>
      <w:r>
        <w:rPr>
          <w:spacing w:val="-11"/>
        </w:rPr>
        <w:t xml:space="preserve"> </w:t>
      </w:r>
      <w:r>
        <w:t>años</w:t>
      </w:r>
      <w:r>
        <w:rPr>
          <w:spacing w:val="-9"/>
        </w:rPr>
        <w:t xml:space="preserve"> </w:t>
      </w:r>
      <w:r>
        <w:t>menos</w:t>
      </w:r>
      <w:r>
        <w:rPr>
          <w:spacing w:val="-9"/>
        </w:rPr>
        <w:t xml:space="preserve"> </w:t>
      </w:r>
      <w:r>
        <w:t>que</w:t>
      </w:r>
      <w:r>
        <w:rPr>
          <w:spacing w:val="-8"/>
        </w:rPr>
        <w:t xml:space="preserve"> </w:t>
      </w:r>
      <w:r>
        <w:t>un</w:t>
      </w:r>
      <w:r>
        <w:rPr>
          <w:spacing w:val="-7"/>
        </w:rPr>
        <w:t xml:space="preserve"> </w:t>
      </w:r>
      <w:r>
        <w:t>hombre</w:t>
      </w:r>
      <w:r>
        <w:rPr>
          <w:spacing w:val="-9"/>
        </w:rPr>
        <w:t xml:space="preserve"> </w:t>
      </w:r>
      <w:r>
        <w:t>colombiano</w:t>
      </w:r>
      <w:r>
        <w:rPr>
          <w:spacing w:val="-9"/>
        </w:rPr>
        <w:t xml:space="preserve"> </w:t>
      </w:r>
      <w:r>
        <w:t>promedio</w:t>
      </w:r>
      <w:r>
        <w:rPr>
          <w:spacing w:val="-9"/>
        </w:rPr>
        <w:t xml:space="preserve"> </w:t>
      </w:r>
      <w:r>
        <w:t>(75,6</w:t>
      </w:r>
      <w:r>
        <w:rPr>
          <w:spacing w:val="-8"/>
        </w:rPr>
        <w:t xml:space="preserve"> </w:t>
      </w:r>
      <w:r>
        <w:t>vs</w:t>
      </w:r>
      <w:r>
        <w:rPr>
          <w:spacing w:val="-10"/>
        </w:rPr>
        <w:t xml:space="preserve"> </w:t>
      </w:r>
      <w:r>
        <w:t>80,1</w:t>
      </w:r>
      <w:r>
        <w:rPr>
          <w:spacing w:val="-8"/>
        </w:rPr>
        <w:t xml:space="preserve"> </w:t>
      </w:r>
      <w:r>
        <w:rPr>
          <w:spacing w:val="-2"/>
        </w:rPr>
        <w:t>años).</w:t>
      </w:r>
    </w:p>
    <w:p w14:paraId="59FE7B67" w14:textId="77777777" w:rsidR="000E52B0" w:rsidRDefault="00F60D74">
      <w:pPr>
        <w:spacing w:before="158"/>
        <w:ind w:left="1"/>
        <w:jc w:val="center"/>
        <w:rPr>
          <w:i/>
          <w:sz w:val="18"/>
        </w:rPr>
      </w:pPr>
      <w:r>
        <w:rPr>
          <w:i/>
          <w:color w:val="454551"/>
          <w:sz w:val="18"/>
        </w:rPr>
        <w:t>Ilustración</w:t>
      </w:r>
      <w:r>
        <w:rPr>
          <w:i/>
          <w:color w:val="454551"/>
          <w:spacing w:val="-2"/>
          <w:sz w:val="18"/>
        </w:rPr>
        <w:t xml:space="preserve"> </w:t>
      </w:r>
      <w:r>
        <w:rPr>
          <w:i/>
          <w:color w:val="454551"/>
          <w:sz w:val="18"/>
        </w:rPr>
        <w:t>2.</w:t>
      </w:r>
      <w:r>
        <w:rPr>
          <w:i/>
          <w:color w:val="454551"/>
          <w:spacing w:val="-4"/>
          <w:sz w:val="18"/>
        </w:rPr>
        <w:t xml:space="preserve"> </w:t>
      </w:r>
      <w:r>
        <w:rPr>
          <w:i/>
          <w:color w:val="454551"/>
          <w:sz w:val="18"/>
        </w:rPr>
        <w:t>Esperanza</w:t>
      </w:r>
      <w:r>
        <w:rPr>
          <w:i/>
          <w:color w:val="454551"/>
          <w:spacing w:val="-2"/>
          <w:sz w:val="18"/>
        </w:rPr>
        <w:t xml:space="preserve"> </w:t>
      </w:r>
      <w:r>
        <w:rPr>
          <w:i/>
          <w:color w:val="454551"/>
          <w:sz w:val="18"/>
        </w:rPr>
        <w:t>de</w:t>
      </w:r>
      <w:r>
        <w:rPr>
          <w:i/>
          <w:color w:val="454551"/>
          <w:spacing w:val="-3"/>
          <w:sz w:val="18"/>
        </w:rPr>
        <w:t xml:space="preserve"> </w:t>
      </w:r>
      <w:r>
        <w:rPr>
          <w:i/>
          <w:color w:val="454551"/>
          <w:sz w:val="18"/>
        </w:rPr>
        <w:t>Vida</w:t>
      </w:r>
      <w:r>
        <w:rPr>
          <w:i/>
          <w:color w:val="454551"/>
          <w:spacing w:val="-2"/>
          <w:sz w:val="18"/>
        </w:rPr>
        <w:t xml:space="preserve"> </w:t>
      </w:r>
      <w:r>
        <w:rPr>
          <w:i/>
          <w:color w:val="454551"/>
          <w:sz w:val="18"/>
        </w:rPr>
        <w:t>al</w:t>
      </w:r>
      <w:r>
        <w:rPr>
          <w:i/>
          <w:color w:val="454551"/>
          <w:spacing w:val="-3"/>
          <w:sz w:val="18"/>
        </w:rPr>
        <w:t xml:space="preserve"> </w:t>
      </w:r>
      <w:r>
        <w:rPr>
          <w:i/>
          <w:color w:val="454551"/>
          <w:sz w:val="18"/>
        </w:rPr>
        <w:t>nacer</w:t>
      </w:r>
      <w:r>
        <w:rPr>
          <w:i/>
          <w:color w:val="454551"/>
          <w:spacing w:val="-2"/>
          <w:sz w:val="18"/>
        </w:rPr>
        <w:t xml:space="preserve"> </w:t>
      </w:r>
      <w:r>
        <w:rPr>
          <w:i/>
          <w:color w:val="454551"/>
          <w:sz w:val="18"/>
        </w:rPr>
        <w:t>por</w:t>
      </w:r>
      <w:r>
        <w:rPr>
          <w:i/>
          <w:color w:val="454551"/>
          <w:spacing w:val="-3"/>
          <w:sz w:val="18"/>
        </w:rPr>
        <w:t xml:space="preserve"> </w:t>
      </w:r>
      <w:r>
        <w:rPr>
          <w:i/>
          <w:color w:val="454551"/>
          <w:sz w:val="18"/>
        </w:rPr>
        <w:t>departamento</w:t>
      </w:r>
      <w:r>
        <w:rPr>
          <w:i/>
          <w:color w:val="454551"/>
          <w:spacing w:val="-1"/>
          <w:sz w:val="18"/>
        </w:rPr>
        <w:t xml:space="preserve"> </w:t>
      </w:r>
      <w:r>
        <w:rPr>
          <w:i/>
          <w:color w:val="454551"/>
          <w:spacing w:val="-2"/>
          <w:sz w:val="18"/>
        </w:rPr>
        <w:t>(2021)</w:t>
      </w:r>
    </w:p>
    <w:p w14:paraId="12D1079F" w14:textId="77777777" w:rsidR="000E52B0" w:rsidRDefault="00F60D74">
      <w:pPr>
        <w:pStyle w:val="Textoindependiente"/>
        <w:spacing w:before="54"/>
        <w:ind w:left="0"/>
        <w:rPr>
          <w:i/>
          <w:sz w:val="20"/>
        </w:rPr>
      </w:pPr>
      <w:r>
        <w:rPr>
          <w:i/>
          <w:noProof/>
          <w:sz w:val="20"/>
        </w:rPr>
        <w:drawing>
          <wp:anchor distT="0" distB="0" distL="0" distR="0" simplePos="0" relativeHeight="487588864" behindDoc="1" locked="0" layoutInCell="1" allowOverlap="1" wp14:anchorId="3008AFB4" wp14:editId="5849555F">
            <wp:simplePos x="0" y="0"/>
            <wp:positionH relativeFrom="page">
              <wp:posOffset>2114386</wp:posOffset>
            </wp:positionH>
            <wp:positionV relativeFrom="paragraph">
              <wp:posOffset>204250</wp:posOffset>
            </wp:positionV>
            <wp:extent cx="3370277" cy="4780026"/>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3370277" cy="4780026"/>
                    </a:xfrm>
                    <a:prstGeom prst="rect">
                      <a:avLst/>
                    </a:prstGeom>
                  </pic:spPr>
                </pic:pic>
              </a:graphicData>
            </a:graphic>
          </wp:anchor>
        </w:drawing>
      </w:r>
    </w:p>
    <w:p w14:paraId="781E1322" w14:textId="77777777" w:rsidR="000E52B0" w:rsidRDefault="000E52B0">
      <w:pPr>
        <w:pStyle w:val="Textoindependiente"/>
        <w:spacing w:before="63"/>
        <w:ind w:left="0"/>
        <w:rPr>
          <w:i/>
          <w:sz w:val="18"/>
        </w:rPr>
      </w:pPr>
    </w:p>
    <w:p w14:paraId="34D0FE48" w14:textId="77777777" w:rsidR="000E52B0" w:rsidRDefault="00F60D74">
      <w:pPr>
        <w:pStyle w:val="Textoindependiente"/>
        <w:ind w:right="718"/>
        <w:jc w:val="both"/>
      </w:pPr>
      <w:r>
        <w:t>Los</w:t>
      </w:r>
      <w:r>
        <w:rPr>
          <w:spacing w:val="-21"/>
        </w:rPr>
        <w:t xml:space="preserve"> </w:t>
      </w:r>
      <w:r>
        <w:t>departamentos</w:t>
      </w:r>
      <w:r>
        <w:rPr>
          <w:spacing w:val="-21"/>
        </w:rPr>
        <w:t xml:space="preserve"> </w:t>
      </w:r>
      <w:r>
        <w:t>con</w:t>
      </w:r>
      <w:r>
        <w:rPr>
          <w:spacing w:val="-21"/>
        </w:rPr>
        <w:t xml:space="preserve"> </w:t>
      </w:r>
      <w:r>
        <w:t>la</w:t>
      </w:r>
      <w:r>
        <w:rPr>
          <w:spacing w:val="-21"/>
        </w:rPr>
        <w:t xml:space="preserve"> </w:t>
      </w:r>
      <w:r>
        <w:t>mayor</w:t>
      </w:r>
      <w:r>
        <w:rPr>
          <w:spacing w:val="-20"/>
        </w:rPr>
        <w:t xml:space="preserve"> </w:t>
      </w:r>
      <w:r>
        <w:t>esperanza</w:t>
      </w:r>
      <w:r>
        <w:rPr>
          <w:spacing w:val="-21"/>
        </w:rPr>
        <w:t xml:space="preserve"> </w:t>
      </w:r>
      <w:r>
        <w:t>de</w:t>
      </w:r>
      <w:r>
        <w:rPr>
          <w:spacing w:val="-20"/>
        </w:rPr>
        <w:t xml:space="preserve"> </w:t>
      </w:r>
      <w:r>
        <w:t>vida</w:t>
      </w:r>
      <w:r>
        <w:rPr>
          <w:spacing w:val="-21"/>
        </w:rPr>
        <w:t xml:space="preserve"> </w:t>
      </w:r>
      <w:r>
        <w:t>para</w:t>
      </w:r>
      <w:r>
        <w:rPr>
          <w:spacing w:val="-18"/>
        </w:rPr>
        <w:t xml:space="preserve"> </w:t>
      </w:r>
      <w:r>
        <w:t>las</w:t>
      </w:r>
      <w:r>
        <w:rPr>
          <w:spacing w:val="-19"/>
        </w:rPr>
        <w:t xml:space="preserve"> </w:t>
      </w:r>
      <w:r>
        <w:t>mujeres</w:t>
      </w:r>
      <w:r>
        <w:rPr>
          <w:spacing w:val="-21"/>
        </w:rPr>
        <w:t xml:space="preserve"> </w:t>
      </w:r>
      <w:r>
        <w:t>fueron Bogotá D.C. (77,2), Cundinamarca (76), Santander (75,3) y Casanare (75,3),</w:t>
      </w:r>
      <w:r>
        <w:rPr>
          <w:spacing w:val="-10"/>
        </w:rPr>
        <w:t xml:space="preserve"> </w:t>
      </w:r>
      <w:r>
        <w:t>mientras</w:t>
      </w:r>
      <w:r>
        <w:rPr>
          <w:spacing w:val="-8"/>
        </w:rPr>
        <w:t xml:space="preserve"> </w:t>
      </w:r>
      <w:r>
        <w:t>que</w:t>
      </w:r>
      <w:r>
        <w:rPr>
          <w:spacing w:val="-8"/>
        </w:rPr>
        <w:t xml:space="preserve"> </w:t>
      </w:r>
      <w:r>
        <w:t>aquellos</w:t>
      </w:r>
      <w:r>
        <w:rPr>
          <w:spacing w:val="-9"/>
        </w:rPr>
        <w:t xml:space="preserve"> </w:t>
      </w:r>
      <w:r>
        <w:t>con</w:t>
      </w:r>
      <w:r>
        <w:rPr>
          <w:spacing w:val="-7"/>
        </w:rPr>
        <w:t xml:space="preserve"> </w:t>
      </w:r>
      <w:r>
        <w:t>menor</w:t>
      </w:r>
      <w:r>
        <w:rPr>
          <w:spacing w:val="-8"/>
        </w:rPr>
        <w:t xml:space="preserve"> </w:t>
      </w:r>
      <w:r>
        <w:t>esperanza</w:t>
      </w:r>
      <w:r>
        <w:rPr>
          <w:spacing w:val="-9"/>
        </w:rPr>
        <w:t xml:space="preserve"> </w:t>
      </w:r>
      <w:r>
        <w:t>de</w:t>
      </w:r>
      <w:r>
        <w:rPr>
          <w:spacing w:val="-8"/>
        </w:rPr>
        <w:t xml:space="preserve"> </w:t>
      </w:r>
      <w:r>
        <w:t>vida</w:t>
      </w:r>
      <w:r>
        <w:rPr>
          <w:spacing w:val="-9"/>
        </w:rPr>
        <w:t xml:space="preserve"> </w:t>
      </w:r>
      <w:r>
        <w:t>fueron</w:t>
      </w:r>
      <w:r>
        <w:rPr>
          <w:spacing w:val="-9"/>
        </w:rPr>
        <w:t xml:space="preserve"> </w:t>
      </w:r>
      <w:r>
        <w:t>Vaupés (61,6),</w:t>
      </w:r>
      <w:r>
        <w:rPr>
          <w:spacing w:val="-4"/>
        </w:rPr>
        <w:t xml:space="preserve"> </w:t>
      </w:r>
      <w:r>
        <w:t>Vichada (62,5),</w:t>
      </w:r>
      <w:r>
        <w:rPr>
          <w:spacing w:val="-3"/>
        </w:rPr>
        <w:t xml:space="preserve"> </w:t>
      </w:r>
      <w:r>
        <w:t>La</w:t>
      </w:r>
      <w:r>
        <w:rPr>
          <w:spacing w:val="-2"/>
        </w:rPr>
        <w:t xml:space="preserve"> </w:t>
      </w:r>
      <w:r>
        <w:t>Guajira</w:t>
      </w:r>
      <w:r>
        <w:rPr>
          <w:spacing w:val="-1"/>
        </w:rPr>
        <w:t xml:space="preserve"> </w:t>
      </w:r>
      <w:r>
        <w:t>(67,7)</w:t>
      </w:r>
      <w:r>
        <w:rPr>
          <w:spacing w:val="-3"/>
        </w:rPr>
        <w:t xml:space="preserve"> </w:t>
      </w:r>
      <w:r>
        <w:t>y</w:t>
      </w:r>
      <w:r>
        <w:rPr>
          <w:spacing w:val="-1"/>
        </w:rPr>
        <w:t xml:space="preserve"> </w:t>
      </w:r>
      <w:r>
        <w:t>Chocó</w:t>
      </w:r>
      <w:r>
        <w:rPr>
          <w:spacing w:val="-2"/>
        </w:rPr>
        <w:t xml:space="preserve"> </w:t>
      </w:r>
      <w:r>
        <w:t>(68,3).</w:t>
      </w:r>
      <w:r>
        <w:rPr>
          <w:spacing w:val="3"/>
        </w:rPr>
        <w:t xml:space="preserve"> </w:t>
      </w:r>
      <w:r>
        <w:t>La</w:t>
      </w:r>
      <w:r>
        <w:rPr>
          <w:spacing w:val="-2"/>
        </w:rPr>
        <w:t xml:space="preserve"> </w:t>
      </w:r>
      <w:r>
        <w:t>esperanza</w:t>
      </w:r>
      <w:r>
        <w:rPr>
          <w:spacing w:val="-2"/>
        </w:rPr>
        <w:t xml:space="preserve"> </w:t>
      </w:r>
      <w:r>
        <w:rPr>
          <w:spacing w:val="-5"/>
        </w:rPr>
        <w:t>de</w:t>
      </w:r>
    </w:p>
    <w:p w14:paraId="50B7DE9B" w14:textId="77777777" w:rsidR="000E52B0" w:rsidRDefault="000E52B0">
      <w:pPr>
        <w:pStyle w:val="Textoindependiente"/>
        <w:jc w:val="both"/>
        <w:sectPr w:rsidR="000E52B0">
          <w:pgSz w:w="11910" w:h="16840"/>
          <w:pgMar w:top="1340" w:right="720" w:bottom="1180" w:left="720" w:header="0" w:footer="995" w:gutter="0"/>
          <w:cols w:space="720"/>
        </w:sectPr>
      </w:pPr>
    </w:p>
    <w:p w14:paraId="38E3C0F8" w14:textId="77777777" w:rsidR="000E52B0" w:rsidRDefault="00F60D74">
      <w:pPr>
        <w:pStyle w:val="Textoindependiente"/>
        <w:spacing w:before="83"/>
        <w:ind w:right="725"/>
        <w:jc w:val="both"/>
      </w:pPr>
      <w:r>
        <w:lastRenderedPageBreak/>
        <w:t>vida de quienes viven en cabeceras municipales es mayor a quienes viven en zona rural, 80,6 vs 74,6 años respectivamente (Ilustración 2).</w:t>
      </w:r>
    </w:p>
    <w:p w14:paraId="146EA9B6" w14:textId="77777777" w:rsidR="000E52B0" w:rsidRDefault="00F60D74">
      <w:pPr>
        <w:pStyle w:val="Textoindependiente"/>
        <w:spacing w:before="158"/>
        <w:ind w:right="722"/>
        <w:jc w:val="both"/>
      </w:pPr>
      <w:r>
        <w:t>Cuando lo vemos a nivel regional, la esperanza de vida al nacer solo es mayor</w:t>
      </w:r>
      <w:r>
        <w:rPr>
          <w:spacing w:val="-1"/>
        </w:rPr>
        <w:t xml:space="preserve"> </w:t>
      </w:r>
      <w:r>
        <w:t>que</w:t>
      </w:r>
      <w:r>
        <w:rPr>
          <w:spacing w:val="-1"/>
        </w:rPr>
        <w:t xml:space="preserve"> </w:t>
      </w:r>
      <w:r>
        <w:t>el nivel nacional</w:t>
      </w:r>
      <w:r>
        <w:rPr>
          <w:spacing w:val="-1"/>
        </w:rPr>
        <w:t xml:space="preserve"> </w:t>
      </w:r>
      <w:r>
        <w:t>en</w:t>
      </w:r>
      <w:r>
        <w:rPr>
          <w:spacing w:val="-2"/>
        </w:rPr>
        <w:t xml:space="preserve"> </w:t>
      </w:r>
      <w:r>
        <w:t>la</w:t>
      </w:r>
      <w:r>
        <w:rPr>
          <w:spacing w:val="-2"/>
        </w:rPr>
        <w:t xml:space="preserve"> </w:t>
      </w:r>
      <w:r>
        <w:t>región</w:t>
      </w:r>
      <w:r>
        <w:rPr>
          <w:spacing w:val="-2"/>
        </w:rPr>
        <w:t xml:space="preserve"> </w:t>
      </w:r>
      <w:r>
        <w:t>Andina, que</w:t>
      </w:r>
      <w:r>
        <w:rPr>
          <w:spacing w:val="-1"/>
        </w:rPr>
        <w:t xml:space="preserve"> </w:t>
      </w:r>
      <w:r>
        <w:t>es</w:t>
      </w:r>
      <w:r>
        <w:rPr>
          <w:spacing w:val="-2"/>
        </w:rPr>
        <w:t xml:space="preserve"> </w:t>
      </w:r>
      <w:r>
        <w:t>justamente</w:t>
      </w:r>
      <w:r>
        <w:rPr>
          <w:spacing w:val="-1"/>
        </w:rPr>
        <w:t xml:space="preserve"> </w:t>
      </w:r>
      <w:r>
        <w:t>donde se han concentrado las inversiones en los últimos 20 años en el país.</w:t>
      </w:r>
    </w:p>
    <w:p w14:paraId="747166C2" w14:textId="77777777" w:rsidR="000E52B0" w:rsidRDefault="00F60D74">
      <w:pPr>
        <w:pStyle w:val="Textoindependiente"/>
        <w:spacing w:before="162"/>
        <w:ind w:right="716"/>
        <w:jc w:val="both"/>
      </w:pPr>
      <w:r>
        <w:t>Esto se ha evidenciado en múltiples estudios sobre desigualdades territoriales, por ejemplo, de acuerdo con el Banco Interamericano de Desarrollo, con base en un conjunto de indicadores, clasifica al país en 4 realidades territoriales, una Colombia vulnerable, una Colombia en transición, una Colombia emergente y una Colombia consolidada (Ilustración 3).</w:t>
      </w:r>
    </w:p>
    <w:p w14:paraId="3D8010CB" w14:textId="77777777" w:rsidR="000E52B0" w:rsidRDefault="00F60D74">
      <w:pPr>
        <w:pStyle w:val="Textoindependiente"/>
        <w:spacing w:before="158"/>
        <w:ind w:right="715"/>
        <w:jc w:val="both"/>
      </w:pPr>
      <w:r>
        <w:t>Estas</w:t>
      </w:r>
      <w:r>
        <w:rPr>
          <w:spacing w:val="-13"/>
        </w:rPr>
        <w:t xml:space="preserve"> </w:t>
      </w:r>
      <w:r>
        <w:t>agrupaciones</w:t>
      </w:r>
      <w:r>
        <w:rPr>
          <w:spacing w:val="-9"/>
        </w:rPr>
        <w:t xml:space="preserve"> </w:t>
      </w:r>
      <w:r>
        <w:t>no</w:t>
      </w:r>
      <w:r>
        <w:rPr>
          <w:spacing w:val="-12"/>
        </w:rPr>
        <w:t xml:space="preserve"> </w:t>
      </w:r>
      <w:r>
        <w:t>responden</w:t>
      </w:r>
      <w:r>
        <w:rPr>
          <w:spacing w:val="-13"/>
        </w:rPr>
        <w:t xml:space="preserve"> </w:t>
      </w:r>
      <w:r>
        <w:t>a</w:t>
      </w:r>
      <w:r>
        <w:rPr>
          <w:spacing w:val="-10"/>
        </w:rPr>
        <w:t xml:space="preserve"> </w:t>
      </w:r>
      <w:r>
        <w:t>una</w:t>
      </w:r>
      <w:r>
        <w:rPr>
          <w:spacing w:val="-10"/>
        </w:rPr>
        <w:t xml:space="preserve"> </w:t>
      </w:r>
      <w:r>
        <w:t>clasificación</w:t>
      </w:r>
      <w:r>
        <w:rPr>
          <w:spacing w:val="-10"/>
        </w:rPr>
        <w:t xml:space="preserve"> </w:t>
      </w:r>
      <w:r>
        <w:t>geográfica,</w:t>
      </w:r>
      <w:r>
        <w:rPr>
          <w:spacing w:val="-11"/>
        </w:rPr>
        <w:t xml:space="preserve"> </w:t>
      </w:r>
      <w:r>
        <w:t>sino</w:t>
      </w:r>
      <w:r>
        <w:rPr>
          <w:spacing w:val="-9"/>
        </w:rPr>
        <w:t xml:space="preserve"> </w:t>
      </w:r>
      <w:r>
        <w:t>social y</w:t>
      </w:r>
      <w:r>
        <w:rPr>
          <w:spacing w:val="-7"/>
        </w:rPr>
        <w:t xml:space="preserve"> </w:t>
      </w:r>
      <w:r>
        <w:t>económica</w:t>
      </w:r>
      <w:r>
        <w:rPr>
          <w:spacing w:val="-4"/>
        </w:rPr>
        <w:t xml:space="preserve"> </w:t>
      </w:r>
      <w:r>
        <w:t>que</w:t>
      </w:r>
      <w:r>
        <w:rPr>
          <w:spacing w:val="-5"/>
        </w:rPr>
        <w:t xml:space="preserve"> </w:t>
      </w:r>
      <w:r>
        <w:t>tiene</w:t>
      </w:r>
      <w:r>
        <w:rPr>
          <w:spacing w:val="-5"/>
        </w:rPr>
        <w:t xml:space="preserve"> </w:t>
      </w:r>
      <w:r>
        <w:t>un</w:t>
      </w:r>
      <w:r>
        <w:rPr>
          <w:spacing w:val="-7"/>
        </w:rPr>
        <w:t xml:space="preserve"> </w:t>
      </w:r>
      <w:r>
        <w:t>correlato</w:t>
      </w:r>
      <w:r>
        <w:rPr>
          <w:spacing w:val="-6"/>
        </w:rPr>
        <w:t xml:space="preserve"> </w:t>
      </w:r>
      <w:r>
        <w:t>en</w:t>
      </w:r>
      <w:r>
        <w:rPr>
          <w:spacing w:val="-7"/>
        </w:rPr>
        <w:t xml:space="preserve"> </w:t>
      </w:r>
      <w:r>
        <w:t>la</w:t>
      </w:r>
      <w:r>
        <w:rPr>
          <w:spacing w:val="-6"/>
        </w:rPr>
        <w:t xml:space="preserve"> </w:t>
      </w:r>
      <w:r>
        <w:t>forma</w:t>
      </w:r>
      <w:r>
        <w:rPr>
          <w:spacing w:val="-6"/>
        </w:rPr>
        <w:t xml:space="preserve"> </w:t>
      </w:r>
      <w:r>
        <w:t>en</w:t>
      </w:r>
      <w:r>
        <w:rPr>
          <w:spacing w:val="-7"/>
        </w:rPr>
        <w:t xml:space="preserve"> </w:t>
      </w:r>
      <w:r>
        <w:t>la</w:t>
      </w:r>
      <w:r>
        <w:rPr>
          <w:spacing w:val="-7"/>
        </w:rPr>
        <w:t xml:space="preserve"> </w:t>
      </w:r>
      <w:r>
        <w:t>que</w:t>
      </w:r>
      <w:r>
        <w:rPr>
          <w:spacing w:val="-5"/>
        </w:rPr>
        <w:t xml:space="preserve"> </w:t>
      </w:r>
      <w:r>
        <w:t>se</w:t>
      </w:r>
      <w:r>
        <w:rPr>
          <w:spacing w:val="-5"/>
        </w:rPr>
        <w:t xml:space="preserve"> </w:t>
      </w:r>
      <w:r>
        <w:t>ha</w:t>
      </w:r>
      <w:r>
        <w:rPr>
          <w:spacing w:val="-6"/>
        </w:rPr>
        <w:t xml:space="preserve"> </w:t>
      </w:r>
      <w:r>
        <w:t>organizado el país. Lo que muestra es cuales son los departamentos que comparten características</w:t>
      </w:r>
      <w:r>
        <w:rPr>
          <w:spacing w:val="-8"/>
        </w:rPr>
        <w:t xml:space="preserve"> </w:t>
      </w:r>
      <w:r>
        <w:t>de</w:t>
      </w:r>
      <w:r>
        <w:rPr>
          <w:spacing w:val="-9"/>
        </w:rPr>
        <w:t xml:space="preserve"> </w:t>
      </w:r>
      <w:r>
        <w:t>estado</w:t>
      </w:r>
      <w:r>
        <w:rPr>
          <w:spacing w:val="-9"/>
        </w:rPr>
        <w:t xml:space="preserve"> </w:t>
      </w:r>
      <w:r>
        <w:t>de</w:t>
      </w:r>
      <w:r>
        <w:rPr>
          <w:spacing w:val="-6"/>
        </w:rPr>
        <w:t xml:space="preserve"> </w:t>
      </w:r>
      <w:r>
        <w:t>vulnerabilidad,</w:t>
      </w:r>
      <w:r>
        <w:rPr>
          <w:spacing w:val="-11"/>
        </w:rPr>
        <w:t xml:space="preserve"> </w:t>
      </w:r>
      <w:r>
        <w:t>es</w:t>
      </w:r>
      <w:r>
        <w:rPr>
          <w:spacing w:val="-8"/>
        </w:rPr>
        <w:t xml:space="preserve"> </w:t>
      </w:r>
      <w:r>
        <w:t>así</w:t>
      </w:r>
      <w:r>
        <w:rPr>
          <w:spacing w:val="-9"/>
        </w:rPr>
        <w:t xml:space="preserve"> </w:t>
      </w:r>
      <w:r>
        <w:t>como</w:t>
      </w:r>
      <w:r>
        <w:rPr>
          <w:spacing w:val="-9"/>
        </w:rPr>
        <w:t xml:space="preserve"> </w:t>
      </w:r>
      <w:r>
        <w:t>los</w:t>
      </w:r>
      <w:r>
        <w:rPr>
          <w:spacing w:val="-5"/>
        </w:rPr>
        <w:t xml:space="preserve"> </w:t>
      </w:r>
      <w:r>
        <w:t>departamentos de</w:t>
      </w:r>
      <w:r>
        <w:rPr>
          <w:spacing w:val="-13"/>
        </w:rPr>
        <w:t xml:space="preserve"> </w:t>
      </w:r>
      <w:r>
        <w:t>La</w:t>
      </w:r>
      <w:r>
        <w:rPr>
          <w:spacing w:val="-14"/>
        </w:rPr>
        <w:t xml:space="preserve"> </w:t>
      </w:r>
      <w:r>
        <w:t>Guajira,</w:t>
      </w:r>
      <w:r>
        <w:rPr>
          <w:spacing w:val="-12"/>
        </w:rPr>
        <w:t xml:space="preserve"> </w:t>
      </w:r>
      <w:r>
        <w:t>Chocó,</w:t>
      </w:r>
      <w:r>
        <w:rPr>
          <w:spacing w:val="-14"/>
        </w:rPr>
        <w:t xml:space="preserve"> </w:t>
      </w:r>
      <w:r>
        <w:t>Guainía,</w:t>
      </w:r>
      <w:r>
        <w:rPr>
          <w:spacing w:val="-12"/>
        </w:rPr>
        <w:t xml:space="preserve"> </w:t>
      </w:r>
      <w:r>
        <w:t>Amazonas,</w:t>
      </w:r>
      <w:r>
        <w:rPr>
          <w:spacing w:val="-14"/>
        </w:rPr>
        <w:t xml:space="preserve"> </w:t>
      </w:r>
      <w:r>
        <w:t>Vaupés</w:t>
      </w:r>
      <w:r>
        <w:rPr>
          <w:spacing w:val="-14"/>
        </w:rPr>
        <w:t xml:space="preserve"> </w:t>
      </w:r>
      <w:r>
        <w:t>y</w:t>
      </w:r>
      <w:r>
        <w:rPr>
          <w:spacing w:val="-8"/>
        </w:rPr>
        <w:t xml:space="preserve"> </w:t>
      </w:r>
      <w:r>
        <w:t>Vichada</w:t>
      </w:r>
      <w:r>
        <w:rPr>
          <w:spacing w:val="-12"/>
        </w:rPr>
        <w:t xml:space="preserve"> </w:t>
      </w:r>
      <w:r>
        <w:t>se</w:t>
      </w:r>
      <w:r>
        <w:rPr>
          <w:spacing w:val="-13"/>
        </w:rPr>
        <w:t xml:space="preserve"> </w:t>
      </w:r>
      <w:r>
        <w:t>agrupan</w:t>
      </w:r>
      <w:r>
        <w:rPr>
          <w:spacing w:val="-14"/>
        </w:rPr>
        <w:t xml:space="preserve"> </w:t>
      </w:r>
      <w:r>
        <w:t>en la “Colombia vulnerable”; y departamentos como Antioquia, Valle del Cauca, Caldas, Cundinamarca, Quindío y Risaralda entre otros, en la Colombia “consolidada”.</w:t>
      </w:r>
    </w:p>
    <w:p w14:paraId="7511205F" w14:textId="77777777" w:rsidR="000E52B0" w:rsidRDefault="00F60D74">
      <w:pPr>
        <w:spacing w:before="161"/>
        <w:ind w:right="3"/>
        <w:jc w:val="center"/>
        <w:rPr>
          <w:i/>
          <w:sz w:val="18"/>
        </w:rPr>
      </w:pPr>
      <w:r>
        <w:rPr>
          <w:i/>
          <w:color w:val="454551"/>
          <w:sz w:val="18"/>
        </w:rPr>
        <w:t>Ilustración</w:t>
      </w:r>
      <w:r>
        <w:rPr>
          <w:i/>
          <w:color w:val="454551"/>
          <w:spacing w:val="-5"/>
          <w:sz w:val="18"/>
        </w:rPr>
        <w:t xml:space="preserve"> </w:t>
      </w:r>
      <w:r>
        <w:rPr>
          <w:i/>
          <w:color w:val="454551"/>
          <w:sz w:val="18"/>
        </w:rPr>
        <w:t>3.</w:t>
      </w:r>
      <w:r>
        <w:rPr>
          <w:i/>
          <w:color w:val="454551"/>
          <w:spacing w:val="-5"/>
          <w:sz w:val="18"/>
        </w:rPr>
        <w:t xml:space="preserve"> </w:t>
      </w:r>
      <w:r>
        <w:rPr>
          <w:i/>
          <w:color w:val="454551"/>
          <w:sz w:val="18"/>
        </w:rPr>
        <w:t>Representación</w:t>
      </w:r>
      <w:r>
        <w:rPr>
          <w:i/>
          <w:color w:val="454551"/>
          <w:spacing w:val="-4"/>
          <w:sz w:val="18"/>
        </w:rPr>
        <w:t xml:space="preserve"> </w:t>
      </w:r>
      <w:r>
        <w:rPr>
          <w:i/>
          <w:color w:val="454551"/>
          <w:sz w:val="18"/>
        </w:rPr>
        <w:t>gráfica</w:t>
      </w:r>
      <w:r>
        <w:rPr>
          <w:i/>
          <w:color w:val="454551"/>
          <w:spacing w:val="-5"/>
          <w:sz w:val="18"/>
        </w:rPr>
        <w:t xml:space="preserve"> </w:t>
      </w:r>
      <w:r>
        <w:rPr>
          <w:i/>
          <w:color w:val="454551"/>
          <w:sz w:val="18"/>
        </w:rPr>
        <w:t>de</w:t>
      </w:r>
      <w:r>
        <w:rPr>
          <w:i/>
          <w:color w:val="454551"/>
          <w:spacing w:val="-5"/>
          <w:sz w:val="18"/>
        </w:rPr>
        <w:t xml:space="preserve"> </w:t>
      </w:r>
      <w:r>
        <w:rPr>
          <w:i/>
          <w:color w:val="454551"/>
          <w:sz w:val="18"/>
        </w:rPr>
        <w:t>las</w:t>
      </w:r>
      <w:r>
        <w:rPr>
          <w:i/>
          <w:color w:val="454551"/>
          <w:spacing w:val="-5"/>
          <w:sz w:val="18"/>
        </w:rPr>
        <w:t xml:space="preserve"> </w:t>
      </w:r>
      <w:r>
        <w:rPr>
          <w:i/>
          <w:color w:val="454551"/>
          <w:sz w:val="18"/>
        </w:rPr>
        <w:t>agrupaciones</w:t>
      </w:r>
      <w:r>
        <w:rPr>
          <w:i/>
          <w:color w:val="454551"/>
          <w:spacing w:val="-5"/>
          <w:sz w:val="18"/>
        </w:rPr>
        <w:t xml:space="preserve"> </w:t>
      </w:r>
      <w:r>
        <w:rPr>
          <w:i/>
          <w:color w:val="454551"/>
          <w:sz w:val="18"/>
        </w:rPr>
        <w:t>por</w:t>
      </w:r>
      <w:r>
        <w:rPr>
          <w:i/>
          <w:color w:val="454551"/>
          <w:spacing w:val="-4"/>
          <w:sz w:val="18"/>
        </w:rPr>
        <w:t xml:space="preserve"> </w:t>
      </w:r>
      <w:r>
        <w:rPr>
          <w:i/>
          <w:color w:val="454551"/>
          <w:sz w:val="18"/>
        </w:rPr>
        <w:t>"vulnerabilidad"</w:t>
      </w:r>
      <w:r>
        <w:rPr>
          <w:i/>
          <w:color w:val="454551"/>
          <w:spacing w:val="-5"/>
          <w:sz w:val="18"/>
        </w:rPr>
        <w:t xml:space="preserve"> </w:t>
      </w:r>
      <w:r>
        <w:rPr>
          <w:i/>
          <w:color w:val="454551"/>
          <w:spacing w:val="-2"/>
          <w:sz w:val="18"/>
        </w:rPr>
        <w:t>territorial</w:t>
      </w:r>
    </w:p>
    <w:p w14:paraId="2D13DA8B" w14:textId="77777777" w:rsidR="000E52B0" w:rsidRDefault="00F60D74">
      <w:pPr>
        <w:pStyle w:val="Textoindependiente"/>
        <w:spacing w:before="5"/>
        <w:ind w:left="0"/>
        <w:rPr>
          <w:i/>
          <w:sz w:val="14"/>
        </w:rPr>
      </w:pPr>
      <w:r>
        <w:rPr>
          <w:i/>
          <w:noProof/>
          <w:sz w:val="14"/>
        </w:rPr>
        <w:drawing>
          <wp:anchor distT="0" distB="0" distL="0" distR="0" simplePos="0" relativeHeight="487589376" behindDoc="1" locked="0" layoutInCell="1" allowOverlap="1" wp14:anchorId="105CF435" wp14:editId="59114ECC">
            <wp:simplePos x="0" y="0"/>
            <wp:positionH relativeFrom="page">
              <wp:posOffset>914400</wp:posOffset>
            </wp:positionH>
            <wp:positionV relativeFrom="paragraph">
              <wp:posOffset>126699</wp:posOffset>
            </wp:positionV>
            <wp:extent cx="5721611" cy="2065401"/>
            <wp:effectExtent l="0" t="0" r="0" b="0"/>
            <wp:wrapTopAndBottom/>
            <wp:docPr id="18" name="Image 18" descr="Imagen que contiene Gráfic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Imagen que contiene Gráfico  Descripción generada automáticamente"/>
                    <pic:cNvPicPr/>
                  </pic:nvPicPr>
                  <pic:blipFill>
                    <a:blip r:embed="rId24" cstate="print"/>
                    <a:stretch>
                      <a:fillRect/>
                    </a:stretch>
                  </pic:blipFill>
                  <pic:spPr>
                    <a:xfrm>
                      <a:off x="0" y="0"/>
                      <a:ext cx="5721611" cy="2065401"/>
                    </a:xfrm>
                    <a:prstGeom prst="rect">
                      <a:avLst/>
                    </a:prstGeom>
                  </pic:spPr>
                </pic:pic>
              </a:graphicData>
            </a:graphic>
          </wp:anchor>
        </w:drawing>
      </w:r>
    </w:p>
    <w:p w14:paraId="6DB3CE0D" w14:textId="77777777" w:rsidR="000E52B0" w:rsidRDefault="00F60D74">
      <w:pPr>
        <w:spacing w:before="167"/>
        <w:ind w:right="2"/>
        <w:jc w:val="center"/>
        <w:rPr>
          <w:i/>
          <w:sz w:val="18"/>
        </w:rPr>
      </w:pPr>
      <w:r>
        <w:rPr>
          <w:i/>
          <w:color w:val="454551"/>
          <w:sz w:val="18"/>
        </w:rPr>
        <w:t>Fuente</w:t>
      </w:r>
      <w:r>
        <w:rPr>
          <w:i/>
          <w:color w:val="454551"/>
          <w:spacing w:val="-6"/>
          <w:sz w:val="18"/>
        </w:rPr>
        <w:t xml:space="preserve"> </w:t>
      </w:r>
      <w:r>
        <w:rPr>
          <w:i/>
          <w:color w:val="454551"/>
          <w:sz w:val="18"/>
        </w:rPr>
        <w:t>2.</w:t>
      </w:r>
      <w:r>
        <w:rPr>
          <w:i/>
          <w:color w:val="454551"/>
          <w:spacing w:val="-5"/>
          <w:sz w:val="18"/>
        </w:rPr>
        <w:t xml:space="preserve"> </w:t>
      </w:r>
      <w:r>
        <w:rPr>
          <w:i/>
          <w:color w:val="454551"/>
          <w:sz w:val="18"/>
        </w:rPr>
        <w:t>BID,</w:t>
      </w:r>
      <w:r>
        <w:rPr>
          <w:i/>
          <w:color w:val="454551"/>
          <w:spacing w:val="-5"/>
          <w:sz w:val="18"/>
        </w:rPr>
        <w:t xml:space="preserve"> </w:t>
      </w:r>
      <w:r>
        <w:rPr>
          <w:i/>
          <w:color w:val="454551"/>
          <w:sz w:val="18"/>
        </w:rPr>
        <w:t>Desigualdades</w:t>
      </w:r>
      <w:r>
        <w:rPr>
          <w:i/>
          <w:color w:val="454551"/>
          <w:spacing w:val="-4"/>
          <w:sz w:val="18"/>
        </w:rPr>
        <w:t xml:space="preserve"> </w:t>
      </w:r>
      <w:r>
        <w:rPr>
          <w:i/>
          <w:color w:val="454551"/>
          <w:sz w:val="18"/>
        </w:rPr>
        <w:t>territoriales</w:t>
      </w:r>
      <w:r>
        <w:rPr>
          <w:i/>
          <w:color w:val="454551"/>
          <w:spacing w:val="-4"/>
          <w:sz w:val="18"/>
        </w:rPr>
        <w:t xml:space="preserve"> </w:t>
      </w:r>
      <w:r>
        <w:rPr>
          <w:i/>
          <w:color w:val="454551"/>
          <w:sz w:val="18"/>
        </w:rPr>
        <w:t>en</w:t>
      </w:r>
      <w:r>
        <w:rPr>
          <w:i/>
          <w:color w:val="454551"/>
          <w:spacing w:val="-3"/>
          <w:sz w:val="18"/>
        </w:rPr>
        <w:t xml:space="preserve"> </w:t>
      </w:r>
      <w:r>
        <w:rPr>
          <w:i/>
          <w:color w:val="454551"/>
          <w:sz w:val="18"/>
        </w:rPr>
        <w:t>Colombia.</w:t>
      </w:r>
      <w:r>
        <w:rPr>
          <w:i/>
          <w:color w:val="454551"/>
          <w:spacing w:val="-5"/>
          <w:sz w:val="18"/>
        </w:rPr>
        <w:t xml:space="preserve"> </w:t>
      </w:r>
      <w:r>
        <w:rPr>
          <w:i/>
          <w:color w:val="454551"/>
          <w:sz w:val="18"/>
        </w:rPr>
        <w:t>Realidades</w:t>
      </w:r>
      <w:r>
        <w:rPr>
          <w:i/>
          <w:color w:val="454551"/>
          <w:spacing w:val="-4"/>
          <w:sz w:val="18"/>
        </w:rPr>
        <w:t xml:space="preserve"> </w:t>
      </w:r>
      <w:r>
        <w:rPr>
          <w:i/>
          <w:color w:val="454551"/>
          <w:sz w:val="18"/>
        </w:rPr>
        <w:t>y</w:t>
      </w:r>
      <w:r>
        <w:rPr>
          <w:i/>
          <w:color w:val="454551"/>
          <w:spacing w:val="-5"/>
          <w:sz w:val="18"/>
        </w:rPr>
        <w:t xml:space="preserve"> </w:t>
      </w:r>
      <w:r>
        <w:rPr>
          <w:i/>
          <w:color w:val="454551"/>
          <w:sz w:val="18"/>
        </w:rPr>
        <w:t>Perspectivas.</w:t>
      </w:r>
      <w:r>
        <w:rPr>
          <w:i/>
          <w:color w:val="454551"/>
          <w:spacing w:val="-5"/>
          <w:sz w:val="18"/>
        </w:rPr>
        <w:t xml:space="preserve"> </w:t>
      </w:r>
      <w:r>
        <w:rPr>
          <w:i/>
          <w:color w:val="454551"/>
          <w:spacing w:val="-2"/>
          <w:sz w:val="18"/>
        </w:rPr>
        <w:t>2024.</w:t>
      </w:r>
    </w:p>
    <w:p w14:paraId="25F4B479" w14:textId="77777777" w:rsidR="000E52B0" w:rsidRDefault="00F60D74">
      <w:pPr>
        <w:pStyle w:val="Textoindependiente"/>
        <w:spacing w:before="201"/>
        <w:ind w:right="716"/>
        <w:jc w:val="both"/>
      </w:pPr>
      <w:r>
        <w:t>Algo similar identificó la CEPAL, a partir del análisis del índice de pobreza multidimensional</w:t>
      </w:r>
      <w:hyperlink w:anchor="_bookmark6" w:history="1">
        <w:r w:rsidR="000E52B0">
          <w:rPr>
            <w:position w:val="8"/>
            <w:sz w:val="16"/>
          </w:rPr>
          <w:t>4</w:t>
        </w:r>
      </w:hyperlink>
      <w:r>
        <w:t>, o Fedesarrollo, entre otros actores. Esta realidad es resultado de múltiples factores, pero la ausencia de criterios sistemáticos de equidad para el ordenamiento de los recursos nacionales ha permitido la profundización de estas desigualdades.</w:t>
      </w:r>
    </w:p>
    <w:p w14:paraId="37BC413A" w14:textId="77777777" w:rsidR="000E52B0" w:rsidRDefault="00F60D74">
      <w:pPr>
        <w:pStyle w:val="Textoindependiente"/>
        <w:spacing w:before="162"/>
        <w:ind w:right="716"/>
        <w:jc w:val="both"/>
      </w:pPr>
      <w:r>
        <w:t>Según el Departamento Nacional de Planeación, de acuerdo con los datos de apropiación final del gasto de inversión del Presupuesto General de la Nación,</w:t>
      </w:r>
      <w:r>
        <w:rPr>
          <w:spacing w:val="18"/>
        </w:rPr>
        <w:t xml:space="preserve"> </w:t>
      </w:r>
      <w:r>
        <w:t>desde</w:t>
      </w:r>
      <w:r>
        <w:rPr>
          <w:spacing w:val="18"/>
        </w:rPr>
        <w:t xml:space="preserve"> </w:t>
      </w:r>
      <w:r>
        <w:t>2010</w:t>
      </w:r>
      <w:r>
        <w:rPr>
          <w:spacing w:val="16"/>
        </w:rPr>
        <w:t xml:space="preserve"> </w:t>
      </w:r>
      <w:r>
        <w:t>hasta</w:t>
      </w:r>
      <w:r>
        <w:rPr>
          <w:spacing w:val="19"/>
        </w:rPr>
        <w:t xml:space="preserve"> </w:t>
      </w:r>
      <w:r>
        <w:t>2022,</w:t>
      </w:r>
      <w:r>
        <w:rPr>
          <w:spacing w:val="15"/>
        </w:rPr>
        <w:t xml:space="preserve"> </w:t>
      </w:r>
      <w:r>
        <w:t>el</w:t>
      </w:r>
      <w:r>
        <w:rPr>
          <w:spacing w:val="16"/>
        </w:rPr>
        <w:t xml:space="preserve"> </w:t>
      </w:r>
      <w:r>
        <w:t>39%</w:t>
      </w:r>
      <w:r>
        <w:rPr>
          <w:spacing w:val="18"/>
        </w:rPr>
        <w:t xml:space="preserve"> </w:t>
      </w:r>
      <w:r>
        <w:t>del</w:t>
      </w:r>
      <w:r>
        <w:rPr>
          <w:spacing w:val="16"/>
        </w:rPr>
        <w:t xml:space="preserve"> </w:t>
      </w:r>
      <w:r>
        <w:t>presupuesto</w:t>
      </w:r>
      <w:r>
        <w:rPr>
          <w:spacing w:val="19"/>
        </w:rPr>
        <w:t xml:space="preserve"> </w:t>
      </w:r>
      <w:r>
        <w:t>de</w:t>
      </w:r>
      <w:r>
        <w:rPr>
          <w:spacing w:val="18"/>
        </w:rPr>
        <w:t xml:space="preserve"> </w:t>
      </w:r>
      <w:r>
        <w:t>la</w:t>
      </w:r>
      <w:r>
        <w:rPr>
          <w:spacing w:val="25"/>
        </w:rPr>
        <w:t xml:space="preserve"> </w:t>
      </w:r>
      <w:r>
        <w:t>Nación</w:t>
      </w:r>
      <w:r>
        <w:rPr>
          <w:spacing w:val="19"/>
        </w:rPr>
        <w:t xml:space="preserve"> </w:t>
      </w:r>
      <w:r>
        <w:rPr>
          <w:spacing w:val="-5"/>
        </w:rPr>
        <w:t>se</w:t>
      </w:r>
    </w:p>
    <w:p w14:paraId="4C1F1B8C" w14:textId="77777777" w:rsidR="000E52B0" w:rsidRDefault="00F60D74">
      <w:pPr>
        <w:pStyle w:val="Textoindependiente"/>
        <w:spacing w:before="23"/>
        <w:ind w:left="0"/>
        <w:rPr>
          <w:sz w:val="20"/>
        </w:rPr>
      </w:pPr>
      <w:r>
        <w:rPr>
          <w:noProof/>
          <w:sz w:val="20"/>
        </w:rPr>
        <mc:AlternateContent>
          <mc:Choice Requires="wps">
            <w:drawing>
              <wp:anchor distT="0" distB="0" distL="0" distR="0" simplePos="0" relativeHeight="487589888" behindDoc="1" locked="0" layoutInCell="1" allowOverlap="1" wp14:anchorId="0808D522" wp14:editId="55E537D7">
                <wp:simplePos x="0" y="0"/>
                <wp:positionH relativeFrom="page">
                  <wp:posOffset>914704</wp:posOffset>
                </wp:positionH>
                <wp:positionV relativeFrom="paragraph">
                  <wp:posOffset>184532</wp:posOffset>
                </wp:positionV>
                <wp:extent cx="1829435" cy="762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B1916F" id="Graphic 19" o:spid="_x0000_s1026" style="position:absolute;margin-left:1in;margin-top:14.55pt;width:144.05pt;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" path="m1829054,l,,,7619r1829054,l1829054,xe" fillcolor="black" stroked="f">
                <v:path arrowok="t"/>
                <w10:wrap type="topAndBottom" anchorx="page"/>
              </v:shape>
            </w:pict>
          </mc:Fallback>
        </mc:AlternateContent>
      </w:r>
    </w:p>
    <w:p w14:paraId="60709CA7" w14:textId="77777777" w:rsidR="000E52B0" w:rsidRDefault="00F60D74">
      <w:pPr>
        <w:tabs>
          <w:tab w:val="left" w:pos="1921"/>
          <w:tab w:val="left" w:pos="3111"/>
          <w:tab w:val="left" w:pos="3854"/>
          <w:tab w:val="left" w:pos="5056"/>
          <w:tab w:val="left" w:pos="6085"/>
          <w:tab w:val="left" w:pos="6718"/>
          <w:tab w:val="left" w:pos="7399"/>
          <w:tab w:val="left" w:pos="8526"/>
          <w:tab w:val="left" w:pos="9419"/>
        </w:tabs>
        <w:spacing w:before="96"/>
        <w:ind w:left="720" w:right="714"/>
        <w:jc w:val="both"/>
        <w:rPr>
          <w:rFonts w:ascii="Arial MT" w:hAnsi="Arial MT"/>
          <w:sz w:val="18"/>
        </w:rPr>
      </w:pPr>
      <w:bookmarkStart w:id="6" w:name="_bookmark6"/>
      <w:bookmarkEnd w:id="6"/>
      <w:r>
        <w:rPr>
          <w:rFonts w:ascii="Arial MT" w:hAnsi="Arial MT"/>
          <w:position w:val="6"/>
          <w:sz w:val="12"/>
        </w:rPr>
        <w:t>4</w:t>
      </w:r>
      <w:r>
        <w:rPr>
          <w:rFonts w:ascii="Arial MT" w:hAnsi="Arial MT"/>
          <w:spacing w:val="39"/>
          <w:position w:val="6"/>
          <w:sz w:val="12"/>
        </w:rPr>
        <w:t xml:space="preserve"> </w:t>
      </w:r>
      <w:proofErr w:type="gramStart"/>
      <w:r>
        <w:rPr>
          <w:rFonts w:ascii="Arial MT" w:hAnsi="Arial MT"/>
          <w:sz w:val="18"/>
        </w:rPr>
        <w:t>Comisión</w:t>
      </w:r>
      <w:proofErr w:type="gramEnd"/>
      <w:r>
        <w:rPr>
          <w:rFonts w:ascii="Arial MT" w:hAnsi="Arial MT"/>
          <w:sz w:val="18"/>
        </w:rPr>
        <w:t xml:space="preserve"> Económica para América Latina y el Caribe – CEPAL. Promoviendo la Igualdad. El aporte de las </w:t>
      </w:r>
      <w:r>
        <w:rPr>
          <w:rFonts w:ascii="Arial MT" w:hAnsi="Arial MT"/>
          <w:spacing w:val="-2"/>
          <w:sz w:val="18"/>
        </w:rPr>
        <w:t>políticas</w:t>
      </w:r>
      <w:r>
        <w:rPr>
          <w:rFonts w:ascii="Arial MT" w:hAnsi="Arial MT"/>
          <w:sz w:val="18"/>
        </w:rPr>
        <w:tab/>
      </w:r>
      <w:r>
        <w:rPr>
          <w:rFonts w:ascii="Arial MT" w:hAnsi="Arial MT"/>
          <w:spacing w:val="-2"/>
          <w:sz w:val="18"/>
        </w:rPr>
        <w:t>sociales</w:t>
      </w:r>
      <w:r>
        <w:rPr>
          <w:rFonts w:ascii="Arial MT" w:hAnsi="Arial MT"/>
          <w:sz w:val="18"/>
        </w:rPr>
        <w:tab/>
      </w:r>
      <w:r>
        <w:rPr>
          <w:rFonts w:ascii="Arial MT" w:hAnsi="Arial MT"/>
          <w:spacing w:val="-6"/>
          <w:sz w:val="18"/>
        </w:rPr>
        <w:t>en</w:t>
      </w:r>
      <w:r>
        <w:rPr>
          <w:rFonts w:ascii="Arial MT" w:hAnsi="Arial MT"/>
          <w:sz w:val="18"/>
        </w:rPr>
        <w:tab/>
      </w:r>
      <w:r>
        <w:rPr>
          <w:rFonts w:ascii="Arial MT" w:hAnsi="Arial MT"/>
          <w:spacing w:val="-2"/>
          <w:sz w:val="18"/>
        </w:rPr>
        <w:t>América</w:t>
      </w:r>
      <w:r>
        <w:rPr>
          <w:rFonts w:ascii="Arial MT" w:hAnsi="Arial MT"/>
          <w:sz w:val="18"/>
        </w:rPr>
        <w:tab/>
      </w:r>
      <w:r>
        <w:rPr>
          <w:rFonts w:ascii="Arial MT" w:hAnsi="Arial MT"/>
          <w:spacing w:val="-2"/>
          <w:sz w:val="18"/>
        </w:rPr>
        <w:t>Latina</w:t>
      </w:r>
      <w:r>
        <w:rPr>
          <w:rFonts w:ascii="Arial MT" w:hAnsi="Arial MT"/>
          <w:sz w:val="18"/>
        </w:rPr>
        <w:tab/>
      </w:r>
      <w:r>
        <w:rPr>
          <w:rFonts w:ascii="Arial MT" w:hAnsi="Arial MT"/>
          <w:spacing w:val="-10"/>
          <w:sz w:val="18"/>
        </w:rPr>
        <w:t>y</w:t>
      </w:r>
      <w:r>
        <w:rPr>
          <w:rFonts w:ascii="Arial MT" w:hAnsi="Arial MT"/>
          <w:sz w:val="18"/>
        </w:rPr>
        <w:tab/>
      </w:r>
      <w:r>
        <w:rPr>
          <w:rFonts w:ascii="Arial MT" w:hAnsi="Arial MT"/>
          <w:spacing w:val="-6"/>
          <w:sz w:val="18"/>
        </w:rPr>
        <w:t>el</w:t>
      </w:r>
      <w:r>
        <w:rPr>
          <w:rFonts w:ascii="Arial MT" w:hAnsi="Arial MT"/>
          <w:sz w:val="18"/>
        </w:rPr>
        <w:tab/>
      </w:r>
      <w:r>
        <w:rPr>
          <w:rFonts w:ascii="Arial MT" w:hAnsi="Arial MT"/>
          <w:spacing w:val="-2"/>
          <w:sz w:val="18"/>
        </w:rPr>
        <w:t>Caribe.</w:t>
      </w:r>
      <w:r>
        <w:rPr>
          <w:rFonts w:ascii="Arial MT" w:hAnsi="Arial MT"/>
          <w:sz w:val="18"/>
        </w:rPr>
        <w:tab/>
      </w:r>
      <w:r>
        <w:rPr>
          <w:rFonts w:ascii="Arial MT" w:hAnsi="Arial MT"/>
          <w:spacing w:val="-4"/>
          <w:sz w:val="18"/>
        </w:rPr>
        <w:t>202.</w:t>
      </w:r>
      <w:r>
        <w:rPr>
          <w:rFonts w:ascii="Arial MT" w:hAnsi="Arial MT"/>
          <w:sz w:val="18"/>
        </w:rPr>
        <w:tab/>
      </w:r>
      <w:r>
        <w:rPr>
          <w:rFonts w:ascii="Arial MT" w:hAnsi="Arial MT"/>
          <w:spacing w:val="-4"/>
          <w:sz w:val="18"/>
        </w:rPr>
        <w:t xml:space="preserve">Ver: </w:t>
      </w:r>
      <w:hyperlink r:id="rId25">
        <w:r w:rsidR="000E52B0">
          <w:rPr>
            <w:rFonts w:ascii="Arial MT" w:hAnsi="Arial MT"/>
            <w:color w:val="E22C91"/>
            <w:spacing w:val="-2"/>
            <w:sz w:val="18"/>
            <w:u w:val="single" w:color="E22C91"/>
          </w:rPr>
          <w:t>https://repositorio.cepal.org/server/api/core/bitstreams/a9e9a92b-0acf-4e56-80f4-ef512448bf94/content</w:t>
        </w:r>
      </w:hyperlink>
    </w:p>
    <w:p w14:paraId="5B36A7DB" w14:textId="77777777" w:rsidR="000E52B0" w:rsidRDefault="000E52B0">
      <w:pPr>
        <w:jc w:val="both"/>
        <w:rPr>
          <w:rFonts w:ascii="Arial MT" w:hAnsi="Arial MT"/>
          <w:sz w:val="18"/>
        </w:rPr>
        <w:sectPr w:rsidR="000E52B0">
          <w:pgSz w:w="11910" w:h="16840"/>
          <w:pgMar w:top="1340" w:right="720" w:bottom="1180" w:left="720" w:header="0" w:footer="995" w:gutter="0"/>
          <w:cols w:space="720"/>
        </w:sectPr>
      </w:pPr>
    </w:p>
    <w:p w14:paraId="5AD259B1" w14:textId="77777777" w:rsidR="000E52B0" w:rsidRDefault="00F60D74">
      <w:pPr>
        <w:pStyle w:val="Textoindependiente"/>
        <w:spacing w:before="83"/>
        <w:ind w:right="720"/>
        <w:jc w:val="both"/>
      </w:pPr>
      <w:r>
        <w:lastRenderedPageBreak/>
        <w:t>ha invertido en Bogotá, Antioquia, Valle del Cauca, Cundinamarca y Santander. Mientras en los departamentos de la Amazonía se ha invertido solo</w:t>
      </w:r>
      <w:r>
        <w:rPr>
          <w:spacing w:val="-12"/>
        </w:rPr>
        <w:t xml:space="preserve"> </w:t>
      </w:r>
      <w:r>
        <w:t>el</w:t>
      </w:r>
      <w:r>
        <w:rPr>
          <w:spacing w:val="-14"/>
        </w:rPr>
        <w:t xml:space="preserve"> </w:t>
      </w:r>
      <w:r>
        <w:t>1,9%.</w:t>
      </w:r>
      <w:r>
        <w:rPr>
          <w:spacing w:val="-13"/>
        </w:rPr>
        <w:t xml:space="preserve"> </w:t>
      </w:r>
      <w:r>
        <w:t>El</w:t>
      </w:r>
      <w:r>
        <w:rPr>
          <w:spacing w:val="-11"/>
        </w:rPr>
        <w:t xml:space="preserve"> </w:t>
      </w:r>
      <w:r>
        <w:t>presupuesto</w:t>
      </w:r>
      <w:r>
        <w:rPr>
          <w:spacing w:val="-10"/>
        </w:rPr>
        <w:t xml:space="preserve"> </w:t>
      </w:r>
      <w:r>
        <w:t>invertido</w:t>
      </w:r>
      <w:r>
        <w:rPr>
          <w:spacing w:val="-12"/>
        </w:rPr>
        <w:t xml:space="preserve"> </w:t>
      </w:r>
      <w:r>
        <w:t>en</w:t>
      </w:r>
      <w:r>
        <w:rPr>
          <w:spacing w:val="-13"/>
        </w:rPr>
        <w:t xml:space="preserve"> </w:t>
      </w:r>
      <w:r>
        <w:t>Bogotá</w:t>
      </w:r>
      <w:r>
        <w:rPr>
          <w:spacing w:val="-13"/>
        </w:rPr>
        <w:t xml:space="preserve"> </w:t>
      </w:r>
      <w:r>
        <w:t>es</w:t>
      </w:r>
      <w:r>
        <w:rPr>
          <w:spacing w:val="-13"/>
        </w:rPr>
        <w:t xml:space="preserve"> </w:t>
      </w:r>
      <w:r>
        <w:t>6</w:t>
      </w:r>
      <w:r>
        <w:rPr>
          <w:spacing w:val="-9"/>
        </w:rPr>
        <w:t xml:space="preserve"> </w:t>
      </w:r>
      <w:r>
        <w:t>veces</w:t>
      </w:r>
      <w:r>
        <w:rPr>
          <w:spacing w:val="-13"/>
        </w:rPr>
        <w:t xml:space="preserve"> </w:t>
      </w:r>
      <w:r>
        <w:t>el</w:t>
      </w:r>
      <w:r>
        <w:rPr>
          <w:spacing w:val="-14"/>
        </w:rPr>
        <w:t xml:space="preserve"> </w:t>
      </w:r>
      <w:r>
        <w:t>presupuesto invertido en Chocó. La concentración de los recursos del presupuesto general de la nación en la región Andina, como muestra la ilustración 4.</w:t>
      </w:r>
    </w:p>
    <w:p w14:paraId="52C7D309" w14:textId="77777777" w:rsidR="000E52B0" w:rsidRDefault="00F60D74">
      <w:pPr>
        <w:spacing w:before="157"/>
        <w:ind w:right="1"/>
        <w:jc w:val="center"/>
        <w:rPr>
          <w:i/>
          <w:sz w:val="18"/>
        </w:rPr>
      </w:pPr>
      <w:r>
        <w:rPr>
          <w:i/>
          <w:color w:val="454551"/>
          <w:sz w:val="18"/>
        </w:rPr>
        <w:t>Ilustración</w:t>
      </w:r>
      <w:r>
        <w:rPr>
          <w:i/>
          <w:color w:val="454551"/>
          <w:spacing w:val="-3"/>
          <w:sz w:val="18"/>
        </w:rPr>
        <w:t xml:space="preserve"> </w:t>
      </w:r>
      <w:r>
        <w:rPr>
          <w:i/>
          <w:color w:val="454551"/>
          <w:sz w:val="18"/>
        </w:rPr>
        <w:t>4.</w:t>
      </w:r>
      <w:r>
        <w:rPr>
          <w:i/>
          <w:color w:val="454551"/>
          <w:spacing w:val="-5"/>
          <w:sz w:val="18"/>
        </w:rPr>
        <w:t xml:space="preserve"> </w:t>
      </w:r>
      <w:r>
        <w:rPr>
          <w:i/>
          <w:color w:val="454551"/>
          <w:sz w:val="18"/>
        </w:rPr>
        <w:t>Asignación</w:t>
      </w:r>
      <w:r>
        <w:rPr>
          <w:i/>
          <w:color w:val="454551"/>
          <w:spacing w:val="-2"/>
          <w:sz w:val="18"/>
        </w:rPr>
        <w:t xml:space="preserve"> </w:t>
      </w:r>
      <w:r>
        <w:rPr>
          <w:i/>
          <w:color w:val="454551"/>
          <w:sz w:val="18"/>
        </w:rPr>
        <w:t>histórica</w:t>
      </w:r>
      <w:r>
        <w:rPr>
          <w:i/>
          <w:color w:val="454551"/>
          <w:spacing w:val="-5"/>
          <w:sz w:val="18"/>
        </w:rPr>
        <w:t xml:space="preserve"> </w:t>
      </w:r>
      <w:r>
        <w:rPr>
          <w:i/>
          <w:color w:val="454551"/>
          <w:sz w:val="18"/>
        </w:rPr>
        <w:t>de</w:t>
      </w:r>
      <w:r>
        <w:rPr>
          <w:i/>
          <w:color w:val="454551"/>
          <w:spacing w:val="-4"/>
          <w:sz w:val="18"/>
        </w:rPr>
        <w:t xml:space="preserve"> </w:t>
      </w:r>
      <w:r>
        <w:rPr>
          <w:i/>
          <w:color w:val="454551"/>
          <w:sz w:val="18"/>
        </w:rPr>
        <w:t>recursos</w:t>
      </w:r>
      <w:r>
        <w:rPr>
          <w:i/>
          <w:color w:val="454551"/>
          <w:spacing w:val="-3"/>
          <w:sz w:val="18"/>
        </w:rPr>
        <w:t xml:space="preserve"> </w:t>
      </w:r>
      <w:r>
        <w:rPr>
          <w:i/>
          <w:color w:val="454551"/>
          <w:sz w:val="18"/>
        </w:rPr>
        <w:t>por</w:t>
      </w:r>
      <w:r>
        <w:rPr>
          <w:i/>
          <w:color w:val="454551"/>
          <w:spacing w:val="-4"/>
          <w:sz w:val="18"/>
        </w:rPr>
        <w:t xml:space="preserve"> </w:t>
      </w:r>
      <w:r>
        <w:rPr>
          <w:i/>
          <w:color w:val="454551"/>
          <w:sz w:val="18"/>
        </w:rPr>
        <w:t>región</w:t>
      </w:r>
      <w:r>
        <w:rPr>
          <w:i/>
          <w:color w:val="454551"/>
          <w:spacing w:val="-2"/>
          <w:sz w:val="18"/>
        </w:rPr>
        <w:t xml:space="preserve"> geográfica</w:t>
      </w:r>
    </w:p>
    <w:p w14:paraId="56F7E426" w14:textId="77777777" w:rsidR="000E52B0" w:rsidRDefault="000E52B0">
      <w:pPr>
        <w:pStyle w:val="Textoindependiente"/>
        <w:spacing w:before="6"/>
        <w:ind w:left="0"/>
        <w:rPr>
          <w:i/>
          <w:sz w:val="16"/>
        </w:rPr>
      </w:pPr>
    </w:p>
    <w:p w14:paraId="7EF86483" w14:textId="77777777" w:rsidR="000E52B0" w:rsidRDefault="000E52B0">
      <w:pPr>
        <w:pStyle w:val="Textoindependiente"/>
        <w:rPr>
          <w:i/>
          <w:sz w:val="16"/>
        </w:rPr>
        <w:sectPr w:rsidR="000E52B0">
          <w:pgSz w:w="11910" w:h="16840"/>
          <w:pgMar w:top="1340" w:right="720" w:bottom="1180" w:left="720" w:header="0" w:footer="995" w:gutter="0"/>
          <w:cols w:space="720"/>
        </w:sectPr>
      </w:pPr>
    </w:p>
    <w:p w14:paraId="1A34E636" w14:textId="77777777" w:rsidR="000E52B0" w:rsidRDefault="00F60D74">
      <w:pPr>
        <w:spacing w:before="101"/>
        <w:jc w:val="right"/>
        <w:rPr>
          <w:rFonts w:ascii="Trebuchet MS"/>
          <w:sz w:val="18"/>
        </w:rPr>
      </w:pPr>
      <w:r>
        <w:rPr>
          <w:rFonts w:ascii="Trebuchet MS"/>
          <w:color w:val="585858"/>
          <w:sz w:val="18"/>
        </w:rPr>
        <w:t>$</w:t>
      </w:r>
      <w:r>
        <w:rPr>
          <w:rFonts w:ascii="Trebuchet MS"/>
          <w:color w:val="585858"/>
          <w:spacing w:val="-17"/>
          <w:sz w:val="18"/>
        </w:rPr>
        <w:t xml:space="preserve"> </w:t>
      </w:r>
      <w:r>
        <w:rPr>
          <w:rFonts w:ascii="Trebuchet MS"/>
          <w:color w:val="585858"/>
          <w:spacing w:val="-2"/>
          <w:sz w:val="18"/>
        </w:rPr>
        <w:t>30.000.000</w:t>
      </w:r>
    </w:p>
    <w:p w14:paraId="7A705964" w14:textId="77777777" w:rsidR="000E52B0" w:rsidRDefault="000E52B0">
      <w:pPr>
        <w:pStyle w:val="Textoindependiente"/>
        <w:spacing w:before="37"/>
        <w:ind w:left="0"/>
        <w:rPr>
          <w:rFonts w:ascii="Trebuchet MS"/>
          <w:sz w:val="18"/>
        </w:rPr>
      </w:pPr>
    </w:p>
    <w:p w14:paraId="43223EE0" w14:textId="77777777" w:rsidR="000E52B0" w:rsidRDefault="00F60D74">
      <w:pPr>
        <w:jc w:val="right"/>
        <w:rPr>
          <w:rFonts w:ascii="Trebuchet MS"/>
          <w:sz w:val="18"/>
        </w:rPr>
      </w:pPr>
      <w:r>
        <w:rPr>
          <w:rFonts w:ascii="Trebuchet MS"/>
          <w:color w:val="585858"/>
          <w:sz w:val="18"/>
        </w:rPr>
        <w:t>$</w:t>
      </w:r>
      <w:r>
        <w:rPr>
          <w:rFonts w:ascii="Trebuchet MS"/>
          <w:color w:val="585858"/>
          <w:spacing w:val="-16"/>
          <w:sz w:val="18"/>
        </w:rPr>
        <w:t xml:space="preserve"> </w:t>
      </w:r>
      <w:r>
        <w:rPr>
          <w:rFonts w:ascii="Trebuchet MS"/>
          <w:color w:val="585858"/>
          <w:spacing w:val="-2"/>
          <w:sz w:val="18"/>
        </w:rPr>
        <w:t>25.000.000</w:t>
      </w:r>
    </w:p>
    <w:p w14:paraId="13D2E06F" w14:textId="77777777" w:rsidR="000E52B0" w:rsidRDefault="000E52B0">
      <w:pPr>
        <w:pStyle w:val="Textoindependiente"/>
        <w:spacing w:before="38"/>
        <w:ind w:left="0"/>
        <w:rPr>
          <w:rFonts w:ascii="Trebuchet MS"/>
          <w:sz w:val="18"/>
        </w:rPr>
      </w:pPr>
    </w:p>
    <w:p w14:paraId="1BF8B9A0" w14:textId="77777777" w:rsidR="000E52B0" w:rsidRDefault="00F60D74">
      <w:pPr>
        <w:jc w:val="right"/>
        <w:rPr>
          <w:rFonts w:ascii="Trebuchet MS"/>
          <w:sz w:val="18"/>
        </w:rPr>
      </w:pPr>
      <w:r>
        <w:rPr>
          <w:rFonts w:ascii="Trebuchet MS"/>
          <w:color w:val="585858"/>
          <w:sz w:val="18"/>
        </w:rPr>
        <w:t>$</w:t>
      </w:r>
      <w:r>
        <w:rPr>
          <w:rFonts w:ascii="Trebuchet MS"/>
          <w:color w:val="585858"/>
          <w:spacing w:val="-17"/>
          <w:sz w:val="18"/>
        </w:rPr>
        <w:t xml:space="preserve"> </w:t>
      </w:r>
      <w:r>
        <w:rPr>
          <w:rFonts w:ascii="Trebuchet MS"/>
          <w:color w:val="585858"/>
          <w:spacing w:val="-2"/>
          <w:sz w:val="18"/>
        </w:rPr>
        <w:t>20.000.000</w:t>
      </w:r>
    </w:p>
    <w:p w14:paraId="2FF5E48D" w14:textId="77777777" w:rsidR="000E52B0" w:rsidRDefault="000E52B0">
      <w:pPr>
        <w:pStyle w:val="Textoindependiente"/>
        <w:spacing w:before="37"/>
        <w:ind w:left="0"/>
        <w:rPr>
          <w:rFonts w:ascii="Trebuchet MS"/>
          <w:sz w:val="18"/>
        </w:rPr>
      </w:pPr>
    </w:p>
    <w:p w14:paraId="074DBC42" w14:textId="77777777" w:rsidR="000E52B0" w:rsidRDefault="00F60D74">
      <w:pPr>
        <w:spacing w:before="1"/>
        <w:jc w:val="right"/>
        <w:rPr>
          <w:rFonts w:ascii="Trebuchet MS"/>
          <w:sz w:val="18"/>
        </w:rPr>
      </w:pPr>
      <w:r>
        <w:rPr>
          <w:rFonts w:ascii="Trebuchet MS"/>
          <w:color w:val="585858"/>
          <w:sz w:val="18"/>
        </w:rPr>
        <w:t>$</w:t>
      </w:r>
      <w:r>
        <w:rPr>
          <w:rFonts w:ascii="Trebuchet MS"/>
          <w:color w:val="585858"/>
          <w:spacing w:val="-17"/>
          <w:sz w:val="18"/>
        </w:rPr>
        <w:t xml:space="preserve"> </w:t>
      </w:r>
      <w:r>
        <w:rPr>
          <w:rFonts w:ascii="Trebuchet MS"/>
          <w:color w:val="585858"/>
          <w:spacing w:val="-2"/>
          <w:sz w:val="18"/>
        </w:rPr>
        <w:t>15.000.000</w:t>
      </w:r>
    </w:p>
    <w:p w14:paraId="4C3BEAF2" w14:textId="77777777" w:rsidR="000E52B0" w:rsidRDefault="000E52B0">
      <w:pPr>
        <w:pStyle w:val="Textoindependiente"/>
        <w:spacing w:before="37"/>
        <w:ind w:left="0"/>
        <w:rPr>
          <w:rFonts w:ascii="Trebuchet MS"/>
          <w:sz w:val="18"/>
        </w:rPr>
      </w:pPr>
    </w:p>
    <w:p w14:paraId="31B11DE2" w14:textId="77777777" w:rsidR="000E52B0" w:rsidRDefault="00F60D74">
      <w:pPr>
        <w:spacing w:before="1"/>
        <w:jc w:val="right"/>
        <w:rPr>
          <w:rFonts w:ascii="Trebuchet MS"/>
          <w:sz w:val="18"/>
        </w:rPr>
      </w:pPr>
      <w:r>
        <w:rPr>
          <w:rFonts w:ascii="Trebuchet MS"/>
          <w:color w:val="585858"/>
          <w:sz w:val="18"/>
        </w:rPr>
        <w:t>$</w:t>
      </w:r>
      <w:r>
        <w:rPr>
          <w:rFonts w:ascii="Trebuchet MS"/>
          <w:color w:val="585858"/>
          <w:spacing w:val="-17"/>
          <w:sz w:val="18"/>
        </w:rPr>
        <w:t xml:space="preserve"> </w:t>
      </w:r>
      <w:r>
        <w:rPr>
          <w:rFonts w:ascii="Trebuchet MS"/>
          <w:color w:val="585858"/>
          <w:spacing w:val="-2"/>
          <w:sz w:val="18"/>
        </w:rPr>
        <w:t>10.000.000</w:t>
      </w:r>
    </w:p>
    <w:p w14:paraId="72D42404" w14:textId="77777777" w:rsidR="000E52B0" w:rsidRDefault="000E52B0">
      <w:pPr>
        <w:pStyle w:val="Textoindependiente"/>
        <w:spacing w:before="37"/>
        <w:ind w:left="0"/>
        <w:rPr>
          <w:rFonts w:ascii="Trebuchet MS"/>
          <w:sz w:val="18"/>
        </w:rPr>
      </w:pPr>
    </w:p>
    <w:p w14:paraId="4F76A124" w14:textId="77777777" w:rsidR="000E52B0" w:rsidRDefault="00F60D74">
      <w:pPr>
        <w:jc w:val="right"/>
        <w:rPr>
          <w:rFonts w:ascii="Trebuchet MS"/>
          <w:sz w:val="18"/>
        </w:rPr>
      </w:pPr>
      <w:r>
        <w:rPr>
          <w:rFonts w:ascii="Trebuchet MS"/>
          <w:color w:val="585858"/>
          <w:sz w:val="18"/>
        </w:rPr>
        <w:t>$</w:t>
      </w:r>
      <w:r>
        <w:rPr>
          <w:rFonts w:ascii="Trebuchet MS"/>
          <w:color w:val="585858"/>
          <w:spacing w:val="-17"/>
          <w:sz w:val="18"/>
        </w:rPr>
        <w:t xml:space="preserve"> </w:t>
      </w:r>
      <w:r>
        <w:rPr>
          <w:rFonts w:ascii="Trebuchet MS"/>
          <w:color w:val="585858"/>
          <w:spacing w:val="-2"/>
          <w:sz w:val="18"/>
        </w:rPr>
        <w:t>5.000.000</w:t>
      </w:r>
    </w:p>
    <w:p w14:paraId="1510CD4E" w14:textId="77777777" w:rsidR="000E52B0" w:rsidRDefault="000E52B0">
      <w:pPr>
        <w:pStyle w:val="Textoindependiente"/>
        <w:spacing w:before="38"/>
        <w:ind w:left="0"/>
        <w:rPr>
          <w:rFonts w:ascii="Trebuchet MS"/>
          <w:sz w:val="18"/>
        </w:rPr>
      </w:pPr>
    </w:p>
    <w:p w14:paraId="40A0DA0A" w14:textId="77777777" w:rsidR="000E52B0" w:rsidRDefault="00F60D74">
      <w:pPr>
        <w:ind w:right="70"/>
        <w:jc w:val="right"/>
        <w:rPr>
          <w:rFonts w:ascii="Trebuchet MS"/>
          <w:sz w:val="18"/>
        </w:rPr>
      </w:pPr>
      <w:r>
        <w:rPr>
          <w:rFonts w:ascii="Trebuchet MS"/>
          <w:color w:val="585858"/>
          <w:sz w:val="18"/>
        </w:rPr>
        <w:t>$</w:t>
      </w:r>
      <w:r>
        <w:rPr>
          <w:rFonts w:ascii="Trebuchet MS"/>
          <w:color w:val="585858"/>
          <w:spacing w:val="-17"/>
          <w:sz w:val="18"/>
        </w:rPr>
        <w:t xml:space="preserve"> </w:t>
      </w:r>
      <w:r>
        <w:rPr>
          <w:rFonts w:ascii="Trebuchet MS"/>
          <w:color w:val="585858"/>
          <w:spacing w:val="-10"/>
          <w:sz w:val="18"/>
        </w:rPr>
        <w:t>-</w:t>
      </w:r>
    </w:p>
    <w:p w14:paraId="75D98E04" w14:textId="77777777" w:rsidR="000E52B0" w:rsidRDefault="00F60D74">
      <w:pPr>
        <w:spacing w:before="11" w:after="24"/>
        <w:rPr>
          <w:rFonts w:ascii="Trebuchet MS"/>
          <w:sz w:val="16"/>
        </w:rPr>
      </w:pPr>
      <w:r>
        <w:br w:type="column"/>
      </w:r>
    </w:p>
    <w:p w14:paraId="362A2E3C" w14:textId="77777777" w:rsidR="000E52B0" w:rsidRDefault="00F60D74">
      <w:pPr>
        <w:pStyle w:val="Textoindependiente"/>
        <w:spacing w:line="20" w:lineRule="exact"/>
        <w:ind w:left="162"/>
        <w:rPr>
          <w:rFonts w:ascii="Trebuchet MS"/>
          <w:sz w:val="2"/>
        </w:rPr>
      </w:pPr>
      <w:r>
        <w:rPr>
          <w:rFonts w:ascii="Trebuchet MS"/>
          <w:noProof/>
          <w:sz w:val="2"/>
        </w:rPr>
        <mc:AlternateContent>
          <mc:Choice Requires="wpg">
            <w:drawing>
              <wp:inline distT="0" distB="0" distL="0" distR="0" wp14:anchorId="559C1FAD" wp14:editId="61781141">
                <wp:extent cx="4566920" cy="9525"/>
                <wp:effectExtent l="9525"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6920" cy="9525"/>
                          <a:chOff x="0" y="0"/>
                          <a:chExt cx="4566920" cy="9525"/>
                        </a:xfrm>
                      </wpg:grpSpPr>
                      <wps:wsp>
                        <wps:cNvPr id="21" name="Graphic 21"/>
                        <wps:cNvSpPr/>
                        <wps:spPr>
                          <a:xfrm>
                            <a:off x="0" y="4762"/>
                            <a:ext cx="4566920" cy="1270"/>
                          </a:xfrm>
                          <a:custGeom>
                            <a:avLst/>
                            <a:gdLst/>
                            <a:ahLst/>
                            <a:cxnLst/>
                            <a:rect l="l" t="t" r="r" b="b"/>
                            <a:pathLst>
                              <a:path w="4566920">
                                <a:moveTo>
                                  <a:pt x="0" y="0"/>
                                </a:moveTo>
                                <a:lnTo>
                                  <a:pt x="4566539" y="0"/>
                                </a:lnTo>
                              </a:path>
                            </a:pathLst>
                          </a:custGeom>
                          <a:ln w="9525">
                            <a:solidFill>
                              <a:srgbClr val="D9D9D9"/>
                            </a:solidFill>
                            <a:prstDash val="solid"/>
                          </a:ln>
                        </wps:spPr>
                        <wps:bodyPr wrap="square" lIns="0" tIns="0" rIns="0" bIns="0" rtlCol="0">
                          <a:prstTxWarp prst="textNoShape">
                            <a:avLst/>
                          </a:prstTxWarp>
                          <a:noAutofit/>
                        </wps:bodyPr>
                      </wps:wsp>
                    </wpg:wgp>
                  </a:graphicData>
                </a:graphic>
              </wp:inline>
            </w:drawing>
          </mc:Choice>
          <mc:Fallback>
            <w:pict>
              <v:group w14:anchorId="6D11AE99" id="Group 20" o:spid="_x0000_s1026" style="width:359.6pt;height:.75pt;mso-position-horizontal-relative:char;mso-position-vertical-relative:line" coordsize="456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">
                <v:shape id="Graphic 21" o:spid="_x0000_s1027" style="position:absolute;top:47;width:45669;height:13;visibility:visible;mso-wrap-style:square;v-text-anchor:top" coordsize="4566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" path="m,l4566539,e" filled="f" strokecolor="#d9d9d9">
                  <v:path arrowok="t"/>
                </v:shape>
                <w10:anchorlock/>
              </v:group>
            </w:pict>
          </mc:Fallback>
        </mc:AlternateContent>
      </w:r>
    </w:p>
    <w:p w14:paraId="0B3C742A" w14:textId="77777777" w:rsidR="000E52B0" w:rsidRDefault="00F60D74">
      <w:pPr>
        <w:ind w:right="1018"/>
        <w:jc w:val="right"/>
        <w:rPr>
          <w:rFonts w:ascii="Trebuchet MS"/>
          <w:sz w:val="18"/>
        </w:rPr>
      </w:pPr>
      <w:r>
        <w:rPr>
          <w:rFonts w:ascii="Trebuchet MS"/>
          <w:color w:val="404040"/>
          <w:spacing w:val="-2"/>
          <w:sz w:val="18"/>
        </w:rPr>
        <w:t>Andina</w:t>
      </w:r>
    </w:p>
    <w:p w14:paraId="294123DC" w14:textId="77777777" w:rsidR="000E52B0" w:rsidRDefault="000E52B0">
      <w:pPr>
        <w:pStyle w:val="Textoindependiente"/>
        <w:ind w:left="0"/>
        <w:rPr>
          <w:rFonts w:ascii="Trebuchet MS"/>
          <w:sz w:val="18"/>
        </w:rPr>
      </w:pPr>
    </w:p>
    <w:p w14:paraId="43097607" w14:textId="77777777" w:rsidR="000E52B0" w:rsidRDefault="000E52B0">
      <w:pPr>
        <w:pStyle w:val="Textoindependiente"/>
        <w:ind w:left="0"/>
        <w:rPr>
          <w:rFonts w:ascii="Trebuchet MS"/>
          <w:sz w:val="18"/>
        </w:rPr>
      </w:pPr>
    </w:p>
    <w:p w14:paraId="5D01D2D7" w14:textId="77777777" w:rsidR="000E52B0" w:rsidRDefault="000E52B0">
      <w:pPr>
        <w:pStyle w:val="Textoindependiente"/>
        <w:ind w:left="0"/>
        <w:rPr>
          <w:rFonts w:ascii="Trebuchet MS"/>
          <w:sz w:val="18"/>
        </w:rPr>
      </w:pPr>
    </w:p>
    <w:p w14:paraId="2A027C51" w14:textId="77777777" w:rsidR="000E52B0" w:rsidRDefault="000E52B0">
      <w:pPr>
        <w:pStyle w:val="Textoindependiente"/>
        <w:spacing w:before="79"/>
        <w:ind w:left="0"/>
        <w:rPr>
          <w:rFonts w:ascii="Trebuchet MS"/>
          <w:sz w:val="18"/>
        </w:rPr>
      </w:pPr>
    </w:p>
    <w:p w14:paraId="3C67ECB8" w14:textId="77777777" w:rsidR="000E52B0" w:rsidRDefault="00F60D74">
      <w:pPr>
        <w:spacing w:line="518" w:lineRule="auto"/>
        <w:ind w:left="6887" w:right="1017" w:firstLine="107"/>
        <w:jc w:val="right"/>
        <w:rPr>
          <w:rFonts w:ascii="Trebuchet MS" w:hAnsi="Trebuchet MS"/>
          <w:sz w:val="18"/>
        </w:rPr>
      </w:pPr>
      <w:r>
        <w:rPr>
          <w:rFonts w:ascii="Trebuchet MS" w:hAnsi="Trebuchet MS"/>
          <w:noProof/>
          <w:sz w:val="18"/>
        </w:rPr>
        <mc:AlternateContent>
          <mc:Choice Requires="wpg">
            <w:drawing>
              <wp:anchor distT="0" distB="0" distL="0" distR="0" simplePos="0" relativeHeight="482231808" behindDoc="1" locked="0" layoutInCell="1" allowOverlap="1" wp14:anchorId="563AC98C" wp14:editId="2852DF05">
                <wp:simplePos x="0" y="0"/>
                <wp:positionH relativeFrom="page">
                  <wp:posOffset>1787270</wp:posOffset>
                </wp:positionH>
                <wp:positionV relativeFrom="paragraph">
                  <wp:posOffset>-613485</wp:posOffset>
                </wp:positionV>
                <wp:extent cx="4566920" cy="163195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6920" cy="1631950"/>
                          <a:chOff x="0" y="0"/>
                          <a:chExt cx="4566920" cy="1631950"/>
                        </a:xfrm>
                      </wpg:grpSpPr>
                      <wps:wsp>
                        <wps:cNvPr id="23" name="Graphic 23"/>
                        <wps:cNvSpPr/>
                        <wps:spPr>
                          <a:xfrm>
                            <a:off x="0" y="175831"/>
                            <a:ext cx="4566920" cy="1447800"/>
                          </a:xfrm>
                          <a:custGeom>
                            <a:avLst/>
                            <a:gdLst/>
                            <a:ahLst/>
                            <a:cxnLst/>
                            <a:rect l="l" t="t" r="r" b="b"/>
                            <a:pathLst>
                              <a:path w="4566920" h="1447800">
                                <a:moveTo>
                                  <a:pt x="0" y="1158240"/>
                                </a:moveTo>
                                <a:lnTo>
                                  <a:pt x="4566539" y="1158240"/>
                                </a:lnTo>
                              </a:path>
                              <a:path w="4566920" h="1447800">
                                <a:moveTo>
                                  <a:pt x="0" y="868680"/>
                                </a:moveTo>
                                <a:lnTo>
                                  <a:pt x="4566539" y="868680"/>
                                </a:lnTo>
                              </a:path>
                              <a:path w="4566920" h="1447800">
                                <a:moveTo>
                                  <a:pt x="0" y="579120"/>
                                </a:moveTo>
                                <a:lnTo>
                                  <a:pt x="4566539" y="579120"/>
                                </a:lnTo>
                              </a:path>
                              <a:path w="4566920" h="1447800">
                                <a:moveTo>
                                  <a:pt x="0" y="289560"/>
                                </a:moveTo>
                                <a:lnTo>
                                  <a:pt x="4566539" y="289560"/>
                                </a:lnTo>
                              </a:path>
                              <a:path w="4566920" h="1447800">
                                <a:moveTo>
                                  <a:pt x="0" y="0"/>
                                </a:moveTo>
                                <a:lnTo>
                                  <a:pt x="4566539" y="0"/>
                                </a:lnTo>
                              </a:path>
                              <a:path w="4566920" h="1447800">
                                <a:moveTo>
                                  <a:pt x="0" y="1447292"/>
                                </a:moveTo>
                                <a:lnTo>
                                  <a:pt x="4566539" y="1447292"/>
                                </a:lnTo>
                              </a:path>
                            </a:pathLst>
                          </a:custGeom>
                          <a:ln w="9525">
                            <a:solidFill>
                              <a:srgbClr val="D9D9D9"/>
                            </a:solidFill>
                            <a:prstDash val="solid"/>
                          </a:ln>
                        </wps:spPr>
                        <wps:bodyPr wrap="square" lIns="0" tIns="0" rIns="0" bIns="0" rtlCol="0">
                          <a:prstTxWarp prst="textNoShape">
                            <a:avLst/>
                          </a:prstTxWarp>
                          <a:noAutofit/>
                        </wps:bodyPr>
                      </wps:wsp>
                      <wps:wsp>
                        <wps:cNvPr id="24" name="Graphic 24"/>
                        <wps:cNvSpPr/>
                        <wps:spPr>
                          <a:xfrm>
                            <a:off x="175640" y="1498790"/>
                            <a:ext cx="4215765" cy="83185"/>
                          </a:xfrm>
                          <a:custGeom>
                            <a:avLst/>
                            <a:gdLst/>
                            <a:ahLst/>
                            <a:cxnLst/>
                            <a:rect l="l" t="t" r="r" b="b"/>
                            <a:pathLst>
                              <a:path w="4215765" h="83185">
                                <a:moveTo>
                                  <a:pt x="0" y="82803"/>
                                </a:moveTo>
                                <a:lnTo>
                                  <a:pt x="350519" y="66928"/>
                                </a:lnTo>
                                <a:lnTo>
                                  <a:pt x="702563" y="47116"/>
                                </a:lnTo>
                                <a:lnTo>
                                  <a:pt x="1053083" y="47116"/>
                                </a:lnTo>
                                <a:lnTo>
                                  <a:pt x="1405127" y="21208"/>
                                </a:lnTo>
                                <a:lnTo>
                                  <a:pt x="1755648" y="24256"/>
                                </a:lnTo>
                                <a:lnTo>
                                  <a:pt x="2107691" y="28828"/>
                                </a:lnTo>
                                <a:lnTo>
                                  <a:pt x="2458212" y="28828"/>
                                </a:lnTo>
                                <a:lnTo>
                                  <a:pt x="2810255" y="37973"/>
                                </a:lnTo>
                                <a:lnTo>
                                  <a:pt x="3160776" y="50164"/>
                                </a:lnTo>
                                <a:lnTo>
                                  <a:pt x="3512820" y="39497"/>
                                </a:lnTo>
                                <a:lnTo>
                                  <a:pt x="3863340" y="2921"/>
                                </a:lnTo>
                                <a:lnTo>
                                  <a:pt x="4215257" y="0"/>
                                </a:lnTo>
                              </a:path>
                            </a:pathLst>
                          </a:custGeom>
                          <a:ln w="28575">
                            <a:solidFill>
                              <a:srgbClr val="E22C91"/>
                            </a:solidFill>
                            <a:prstDash val="solid"/>
                          </a:ln>
                        </wps:spPr>
                        <wps:bodyPr wrap="square" lIns="0" tIns="0" rIns="0" bIns="0" rtlCol="0">
                          <a:prstTxWarp prst="textNoShape">
                            <a:avLst/>
                          </a:prstTxWarp>
                          <a:noAutofit/>
                        </wps:bodyPr>
                      </wps:wsp>
                      <wps:wsp>
                        <wps:cNvPr id="25" name="Graphic 25"/>
                        <wps:cNvSpPr/>
                        <wps:spPr>
                          <a:xfrm>
                            <a:off x="175640" y="14287"/>
                            <a:ext cx="4215765" cy="980440"/>
                          </a:xfrm>
                          <a:custGeom>
                            <a:avLst/>
                            <a:gdLst/>
                            <a:ahLst/>
                            <a:cxnLst/>
                            <a:rect l="l" t="t" r="r" b="b"/>
                            <a:pathLst>
                              <a:path w="4215765" h="980440">
                                <a:moveTo>
                                  <a:pt x="0" y="979931"/>
                                </a:moveTo>
                                <a:lnTo>
                                  <a:pt x="350519" y="784859"/>
                                </a:lnTo>
                                <a:lnTo>
                                  <a:pt x="702563" y="656843"/>
                                </a:lnTo>
                                <a:lnTo>
                                  <a:pt x="1053083" y="565403"/>
                                </a:lnTo>
                                <a:lnTo>
                                  <a:pt x="1405127" y="493775"/>
                                </a:lnTo>
                                <a:lnTo>
                                  <a:pt x="1755648" y="422148"/>
                                </a:lnTo>
                                <a:lnTo>
                                  <a:pt x="2107691" y="621791"/>
                                </a:lnTo>
                                <a:lnTo>
                                  <a:pt x="2458212" y="662939"/>
                                </a:lnTo>
                                <a:lnTo>
                                  <a:pt x="2810255" y="693419"/>
                                </a:lnTo>
                                <a:lnTo>
                                  <a:pt x="3160776" y="565403"/>
                                </a:lnTo>
                                <a:lnTo>
                                  <a:pt x="3512820" y="620267"/>
                                </a:lnTo>
                                <a:lnTo>
                                  <a:pt x="3863340" y="184403"/>
                                </a:lnTo>
                                <a:lnTo>
                                  <a:pt x="4215257" y="0"/>
                                </a:lnTo>
                              </a:path>
                            </a:pathLst>
                          </a:custGeom>
                          <a:ln w="28575">
                            <a:solidFill>
                              <a:srgbClr val="00AF50"/>
                            </a:solidFill>
                            <a:prstDash val="solid"/>
                          </a:ln>
                        </wps:spPr>
                        <wps:bodyPr wrap="square" lIns="0" tIns="0" rIns="0" bIns="0" rtlCol="0">
                          <a:prstTxWarp prst="textNoShape">
                            <a:avLst/>
                          </a:prstTxWarp>
                          <a:noAutofit/>
                        </wps:bodyPr>
                      </wps:wsp>
                      <wps:wsp>
                        <wps:cNvPr id="26" name="Graphic 26"/>
                        <wps:cNvSpPr/>
                        <wps:spPr>
                          <a:xfrm>
                            <a:off x="175640" y="788098"/>
                            <a:ext cx="4215765" cy="599440"/>
                          </a:xfrm>
                          <a:custGeom>
                            <a:avLst/>
                            <a:gdLst/>
                            <a:ahLst/>
                            <a:cxnLst/>
                            <a:rect l="l" t="t" r="r" b="b"/>
                            <a:pathLst>
                              <a:path w="4215765" h="599440">
                                <a:moveTo>
                                  <a:pt x="0" y="599440"/>
                                </a:moveTo>
                                <a:lnTo>
                                  <a:pt x="350519" y="442341"/>
                                </a:lnTo>
                                <a:lnTo>
                                  <a:pt x="702563" y="363093"/>
                                </a:lnTo>
                                <a:lnTo>
                                  <a:pt x="1053083" y="285369"/>
                                </a:lnTo>
                                <a:lnTo>
                                  <a:pt x="1405127" y="350900"/>
                                </a:lnTo>
                                <a:lnTo>
                                  <a:pt x="1755648" y="289941"/>
                                </a:lnTo>
                                <a:lnTo>
                                  <a:pt x="2107691" y="297561"/>
                                </a:lnTo>
                                <a:lnTo>
                                  <a:pt x="2458212" y="296037"/>
                                </a:lnTo>
                                <a:lnTo>
                                  <a:pt x="2810255" y="349376"/>
                                </a:lnTo>
                                <a:lnTo>
                                  <a:pt x="3160776" y="335661"/>
                                </a:lnTo>
                                <a:lnTo>
                                  <a:pt x="3512820" y="358521"/>
                                </a:lnTo>
                                <a:lnTo>
                                  <a:pt x="3863340" y="168021"/>
                                </a:lnTo>
                                <a:lnTo>
                                  <a:pt x="4215257" y="0"/>
                                </a:lnTo>
                              </a:path>
                            </a:pathLst>
                          </a:custGeom>
                          <a:ln w="28575">
                            <a:solidFill>
                              <a:srgbClr val="36C7C5"/>
                            </a:solidFill>
                            <a:prstDash val="solid"/>
                          </a:ln>
                        </wps:spPr>
                        <wps:bodyPr wrap="square" lIns="0" tIns="0" rIns="0" bIns="0" rtlCol="0">
                          <a:prstTxWarp prst="textNoShape">
                            <a:avLst/>
                          </a:prstTxWarp>
                          <a:noAutofit/>
                        </wps:bodyPr>
                      </wps:wsp>
                      <wps:wsp>
                        <wps:cNvPr id="27" name="Graphic 27"/>
                        <wps:cNvSpPr/>
                        <wps:spPr>
                          <a:xfrm>
                            <a:off x="175640" y="1597342"/>
                            <a:ext cx="4215765" cy="20320"/>
                          </a:xfrm>
                          <a:custGeom>
                            <a:avLst/>
                            <a:gdLst/>
                            <a:ahLst/>
                            <a:cxnLst/>
                            <a:rect l="l" t="t" r="r" b="b"/>
                            <a:pathLst>
                              <a:path w="4215765" h="20320">
                                <a:moveTo>
                                  <a:pt x="0" y="20193"/>
                                </a:moveTo>
                                <a:lnTo>
                                  <a:pt x="350519" y="20320"/>
                                </a:lnTo>
                                <a:lnTo>
                                  <a:pt x="702563" y="9525"/>
                                </a:lnTo>
                                <a:lnTo>
                                  <a:pt x="1053083" y="11049"/>
                                </a:lnTo>
                                <a:lnTo>
                                  <a:pt x="1405127" y="9525"/>
                                </a:lnTo>
                                <a:lnTo>
                                  <a:pt x="1755648" y="9525"/>
                                </a:lnTo>
                                <a:lnTo>
                                  <a:pt x="2107691" y="6476"/>
                                </a:lnTo>
                                <a:lnTo>
                                  <a:pt x="2458212" y="11049"/>
                                </a:lnTo>
                                <a:lnTo>
                                  <a:pt x="2810255" y="15621"/>
                                </a:lnTo>
                                <a:lnTo>
                                  <a:pt x="3160776" y="14097"/>
                                </a:lnTo>
                                <a:lnTo>
                                  <a:pt x="3512820" y="12573"/>
                                </a:lnTo>
                                <a:lnTo>
                                  <a:pt x="3863340" y="0"/>
                                </a:lnTo>
                                <a:lnTo>
                                  <a:pt x="4215257" y="6476"/>
                                </a:lnTo>
                              </a:path>
                            </a:pathLst>
                          </a:custGeom>
                          <a:ln w="28575">
                            <a:solidFill>
                              <a:srgbClr val="4675E7"/>
                            </a:solidFill>
                            <a:prstDash val="solid"/>
                          </a:ln>
                        </wps:spPr>
                        <wps:bodyPr wrap="square" lIns="0" tIns="0" rIns="0" bIns="0" rtlCol="0">
                          <a:prstTxWarp prst="textNoShape">
                            <a:avLst/>
                          </a:prstTxWarp>
                          <a:noAutofit/>
                        </wps:bodyPr>
                      </wps:wsp>
                      <wps:wsp>
                        <wps:cNvPr id="28" name="Graphic 28"/>
                        <wps:cNvSpPr/>
                        <wps:spPr>
                          <a:xfrm>
                            <a:off x="175640" y="1470850"/>
                            <a:ext cx="4215765" cy="113030"/>
                          </a:xfrm>
                          <a:custGeom>
                            <a:avLst/>
                            <a:gdLst/>
                            <a:ahLst/>
                            <a:cxnLst/>
                            <a:rect l="l" t="t" r="r" b="b"/>
                            <a:pathLst>
                              <a:path w="4215765" h="113030">
                                <a:moveTo>
                                  <a:pt x="0" y="112775"/>
                                </a:moveTo>
                                <a:lnTo>
                                  <a:pt x="350519" y="105537"/>
                                </a:lnTo>
                                <a:lnTo>
                                  <a:pt x="702563" y="85725"/>
                                </a:lnTo>
                                <a:lnTo>
                                  <a:pt x="1053083" y="76580"/>
                                </a:lnTo>
                                <a:lnTo>
                                  <a:pt x="1405127" y="58293"/>
                                </a:lnTo>
                                <a:lnTo>
                                  <a:pt x="1755648" y="58293"/>
                                </a:lnTo>
                                <a:lnTo>
                                  <a:pt x="2107691" y="79628"/>
                                </a:lnTo>
                                <a:lnTo>
                                  <a:pt x="2458212" y="76580"/>
                                </a:lnTo>
                                <a:lnTo>
                                  <a:pt x="2810255" y="78104"/>
                                </a:lnTo>
                                <a:lnTo>
                                  <a:pt x="3160776" y="73533"/>
                                </a:lnTo>
                                <a:lnTo>
                                  <a:pt x="3512820" y="62865"/>
                                </a:lnTo>
                                <a:lnTo>
                                  <a:pt x="3863340" y="29337"/>
                                </a:lnTo>
                                <a:lnTo>
                                  <a:pt x="4215257" y="0"/>
                                </a:lnTo>
                              </a:path>
                            </a:pathLst>
                          </a:custGeom>
                          <a:ln w="28575">
                            <a:solidFill>
                              <a:srgbClr val="6B9F24"/>
                            </a:solidFill>
                            <a:prstDash val="solid"/>
                          </a:ln>
                        </wps:spPr>
                        <wps:bodyPr wrap="square" lIns="0" tIns="0" rIns="0" bIns="0" rtlCol="0">
                          <a:prstTxWarp prst="textNoShape">
                            <a:avLst/>
                          </a:prstTxWarp>
                          <a:noAutofit/>
                        </wps:bodyPr>
                      </wps:wsp>
                      <wps:wsp>
                        <wps:cNvPr id="29" name="Graphic 29"/>
                        <wps:cNvSpPr/>
                        <wps:spPr>
                          <a:xfrm>
                            <a:off x="175640" y="1075245"/>
                            <a:ext cx="4215765" cy="364490"/>
                          </a:xfrm>
                          <a:custGeom>
                            <a:avLst/>
                            <a:gdLst/>
                            <a:ahLst/>
                            <a:cxnLst/>
                            <a:rect l="l" t="t" r="r" b="b"/>
                            <a:pathLst>
                              <a:path w="4215765" h="364490">
                                <a:moveTo>
                                  <a:pt x="0" y="363981"/>
                                </a:moveTo>
                                <a:lnTo>
                                  <a:pt x="350519" y="309118"/>
                                </a:lnTo>
                                <a:lnTo>
                                  <a:pt x="702563" y="242061"/>
                                </a:lnTo>
                                <a:lnTo>
                                  <a:pt x="1053083" y="208533"/>
                                </a:lnTo>
                                <a:lnTo>
                                  <a:pt x="1405127" y="171957"/>
                                </a:lnTo>
                                <a:lnTo>
                                  <a:pt x="1755648" y="130809"/>
                                </a:lnTo>
                                <a:lnTo>
                                  <a:pt x="2107691" y="207009"/>
                                </a:lnTo>
                                <a:lnTo>
                                  <a:pt x="2458212" y="220725"/>
                                </a:lnTo>
                                <a:lnTo>
                                  <a:pt x="2810255" y="223774"/>
                                </a:lnTo>
                                <a:lnTo>
                                  <a:pt x="3160776" y="223774"/>
                                </a:lnTo>
                                <a:lnTo>
                                  <a:pt x="3512820" y="173481"/>
                                </a:lnTo>
                                <a:lnTo>
                                  <a:pt x="3863340" y="68325"/>
                                </a:lnTo>
                                <a:lnTo>
                                  <a:pt x="4215257" y="0"/>
                                </a:lnTo>
                              </a:path>
                            </a:pathLst>
                          </a:custGeom>
                          <a:ln w="28574">
                            <a:solidFill>
                              <a:srgbClr val="FFC000"/>
                            </a:solidFill>
                            <a:prstDash val="solid"/>
                          </a:ln>
                        </wps:spPr>
                        <wps:bodyPr wrap="square" lIns="0" tIns="0" rIns="0" bIns="0" rtlCol="0">
                          <a:prstTxWarp prst="textNoShape">
                            <a:avLst/>
                          </a:prstTxWarp>
                          <a:noAutofit/>
                        </wps:bodyPr>
                      </wps:wsp>
                      <wps:wsp>
                        <wps:cNvPr id="30" name="Graphic 30"/>
                        <wps:cNvSpPr/>
                        <wps:spPr>
                          <a:xfrm>
                            <a:off x="4390897" y="1374203"/>
                            <a:ext cx="31750" cy="97155"/>
                          </a:xfrm>
                          <a:custGeom>
                            <a:avLst/>
                            <a:gdLst/>
                            <a:ahLst/>
                            <a:cxnLst/>
                            <a:rect l="l" t="t" r="r" b="b"/>
                            <a:pathLst>
                              <a:path w="31750" h="97155">
                                <a:moveTo>
                                  <a:pt x="0" y="96647"/>
                                </a:moveTo>
                                <a:lnTo>
                                  <a:pt x="31622" y="0"/>
                                </a:lnTo>
                              </a:path>
                            </a:pathLst>
                          </a:custGeom>
                          <a:ln w="9524">
                            <a:solidFill>
                              <a:srgbClr val="A6A6A6"/>
                            </a:solidFill>
                            <a:prstDash val="solid"/>
                          </a:ln>
                        </wps:spPr>
                        <wps:bodyPr wrap="square" lIns="0" tIns="0" rIns="0" bIns="0" rtlCol="0">
                          <a:prstTxWarp prst="textNoShape">
                            <a:avLst/>
                          </a:prstTxWarp>
                          <a:noAutofit/>
                        </wps:bodyPr>
                      </wps:wsp>
                    </wpg:wgp>
                  </a:graphicData>
                </a:graphic>
              </wp:anchor>
            </w:drawing>
          </mc:Choice>
          <mc:Fallback>
            <w:pict>
              <v:group w14:anchorId="60AEA71C" id="Group 22" o:spid="_x0000_s1026" style="position:absolute;margin-left:140.75pt;margin-top:-48.3pt;width:359.6pt;height:128.5pt;z-index:-21084672;mso-wrap-distance-left:0;mso-wrap-distance-right:0;mso-position-horizontal-relative:page" coordsize="45669,1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">
                <v:shape id="Graphic 23" o:spid="_x0000_s1027" style="position:absolute;top:1758;width:45669;height:14478;visibility:visible;mso-wrap-style:square;v-text-anchor:top" coordsize="4566920,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" path="m,1158240r4566539,em,868680r4566539,em,579120r4566539,em,289560r4566539,em,l4566539,em,1447292r4566539,e" filled="f" strokecolor="#d9d9d9">
                  <v:path arrowok="t"/>
                </v:shape>
                <v:shape id="Graphic 24" o:spid="_x0000_s1028" style="position:absolute;left:1756;top:14987;width:42158;height:832;visibility:visible;mso-wrap-style:square;v-text-anchor:top" coordsize="4215765,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" path="m,82803l350519,66928,702563,47116r350520,l1405127,21208r350521,3048l2107691,28828r350521,l2810255,37973r350521,12191l3512820,39497,3863340,2921,4215257,e" filled="f" strokecolor="#e22c91" strokeweight="2.25pt">
                  <v:path arrowok="t"/>
                </v:shape>
                <v:shape id="Graphic 25" o:spid="_x0000_s1029" style="position:absolute;left:1756;top:142;width:42158;height:9805;visibility:visible;mso-wrap-style:square;v-text-anchor:top" coordsize="4215765,98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" path="m,979931l350519,784859,702563,656843r350520,-91440l1405127,493775r350521,-71627l2107691,621791r350521,41148l2810255,693419,3160776,565403r352044,54864l3863340,184403,4215257,e" filled="f" strokecolor="#00af50" strokeweight="2.25pt">
                  <v:path arrowok="t"/>
                </v:shape>
                <v:shape id="Graphic 26" o:spid="_x0000_s1030" style="position:absolute;left:1756;top:7880;width:42158;height:5995;visibility:visible;mso-wrap-style:square;v-text-anchor:top" coordsize="4215765,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" path="m,599440l350519,442341,702563,363093r350520,-77724l1405127,350900r350521,-60959l2107691,297561r350521,-1524l2810255,349376r350521,-13715l3512820,358521,3863340,168021,4215257,e" filled="f" strokecolor="#36c7c5" strokeweight="2.25pt">
                  <v:path arrowok="t"/>
                </v:shape>
                <v:shape id="Graphic 27" o:spid="_x0000_s1031" style="position:absolute;left:1756;top:15973;width:42158;height:203;visibility:visible;mso-wrap-style:square;v-text-anchor:top" coordsize="421576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" path="m,20193r350519,127l702563,9525r350520,1524l1405127,9525r350521,l2107691,6476r350521,4573l2810255,15621r350521,-1524l3512820,12573,3863340,r351917,6476e" filled="f" strokecolor="#4675e7" strokeweight="2.25pt">
                  <v:path arrowok="t"/>
                </v:shape>
                <v:shape id="Graphic 28" o:spid="_x0000_s1032" style="position:absolute;left:1756;top:14708;width:42158;height:1130;visibility:visible;mso-wrap-style:square;v-text-anchor:top" coordsize="421576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" path="m,112775r350519,-7238l702563,85725r350520,-9145l1405127,58293r350521,l2107691,79628r350521,-3048l2810255,78104r350521,-4571l3512820,62865,3863340,29337,4215257,e" filled="f" strokecolor="#6b9f24" strokeweight="2.25pt">
                  <v:path arrowok="t"/>
                </v:shape>
                <v:shape id="Graphic 29" o:spid="_x0000_s1033" style="position:absolute;left:1756;top:10752;width:42158;height:3645;visibility:visible;mso-wrap-style:square;v-text-anchor:top" coordsize="4215765,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" path="m,363981l350519,309118,702563,242061r350520,-33528l1405127,171957r350521,-41148l2107691,207009r350521,13716l2810255,223774r350521,l3512820,173481,3863340,68325,4215257,e" filled="f" strokecolor="#ffc000" strokeweight=".79372mm">
                  <v:path arrowok="t"/>
                </v:shape>
                <v:shape id="Graphic 30" o:spid="_x0000_s1034" style="position:absolute;left:43908;top:13742;width:318;height:971;visibility:visible;mso-wrap-style:square;v-text-anchor:top" coordsize="31750,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" path="m,96647l31622,e" filled="f" strokecolor="#a6a6a6" strokeweight=".26456mm">
                  <v:path arrowok="t"/>
                </v:shape>
                <w10:wrap anchorx="page"/>
              </v:group>
            </w:pict>
          </mc:Fallback>
        </mc:AlternateContent>
      </w:r>
      <w:r>
        <w:rPr>
          <w:rFonts w:ascii="Trebuchet MS" w:hAnsi="Trebuchet MS"/>
          <w:color w:val="404040"/>
          <w:spacing w:val="-2"/>
          <w:sz w:val="18"/>
        </w:rPr>
        <w:t>Caribe Pacífico</w:t>
      </w:r>
    </w:p>
    <w:p w14:paraId="79F118A5" w14:textId="77777777" w:rsidR="000E52B0" w:rsidRDefault="00F60D74">
      <w:pPr>
        <w:spacing w:before="45"/>
        <w:ind w:right="1017"/>
        <w:jc w:val="right"/>
        <w:rPr>
          <w:rFonts w:ascii="Trebuchet MS" w:hAnsi="Trebuchet MS"/>
          <w:sz w:val="18"/>
        </w:rPr>
      </w:pPr>
      <w:r>
        <w:rPr>
          <w:rFonts w:ascii="Trebuchet MS" w:hAnsi="Trebuchet MS"/>
          <w:color w:val="404040"/>
          <w:spacing w:val="-2"/>
          <w:sz w:val="18"/>
        </w:rPr>
        <w:t>Orinoquía</w:t>
      </w:r>
    </w:p>
    <w:p w14:paraId="314B6EEC" w14:textId="77777777" w:rsidR="000E52B0" w:rsidRDefault="00F60D74">
      <w:pPr>
        <w:spacing w:before="197" w:line="297" w:lineRule="auto"/>
        <w:ind w:left="246" w:right="693" w:firstLine="6496"/>
        <w:rPr>
          <w:rFonts w:ascii="Trebuchet MS" w:hAnsi="Trebuchet MS"/>
          <w:sz w:val="18"/>
        </w:rPr>
      </w:pPr>
      <w:r>
        <w:rPr>
          <w:rFonts w:ascii="Trebuchet MS" w:hAnsi="Trebuchet MS"/>
          <w:color w:val="404040"/>
          <w:spacing w:val="-38"/>
          <w:sz w:val="18"/>
        </w:rPr>
        <w:t>Am</w:t>
      </w:r>
      <w:r>
        <w:rPr>
          <w:rFonts w:ascii="Trebuchet MS" w:hAnsi="Trebuchet MS"/>
          <w:color w:val="404040"/>
          <w:spacing w:val="-38"/>
          <w:position w:val="-8"/>
          <w:sz w:val="18"/>
        </w:rPr>
        <w:t>I</w:t>
      </w:r>
      <w:r>
        <w:rPr>
          <w:rFonts w:ascii="Trebuchet MS" w:hAnsi="Trebuchet MS"/>
          <w:color w:val="404040"/>
          <w:spacing w:val="-38"/>
          <w:sz w:val="18"/>
        </w:rPr>
        <w:t>a</w:t>
      </w:r>
      <w:r>
        <w:rPr>
          <w:rFonts w:ascii="Trebuchet MS" w:hAnsi="Trebuchet MS"/>
          <w:color w:val="404040"/>
          <w:spacing w:val="-38"/>
          <w:position w:val="-8"/>
          <w:sz w:val="18"/>
        </w:rPr>
        <w:t>n</w:t>
      </w:r>
      <w:r>
        <w:rPr>
          <w:rFonts w:ascii="Trebuchet MS" w:hAnsi="Trebuchet MS"/>
          <w:color w:val="404040"/>
          <w:spacing w:val="-38"/>
          <w:sz w:val="18"/>
        </w:rPr>
        <w:t>z</w:t>
      </w:r>
      <w:r>
        <w:rPr>
          <w:rFonts w:ascii="Trebuchet MS" w:hAnsi="Trebuchet MS"/>
          <w:color w:val="404040"/>
          <w:spacing w:val="-38"/>
          <w:position w:val="-8"/>
          <w:sz w:val="18"/>
        </w:rPr>
        <w:t>s</w:t>
      </w:r>
      <w:r>
        <w:rPr>
          <w:rFonts w:ascii="Trebuchet MS" w:hAnsi="Trebuchet MS"/>
          <w:color w:val="404040"/>
          <w:spacing w:val="-38"/>
          <w:sz w:val="18"/>
        </w:rPr>
        <w:t>o</w:t>
      </w:r>
      <w:r>
        <w:rPr>
          <w:rFonts w:ascii="Trebuchet MS" w:hAnsi="Trebuchet MS"/>
          <w:color w:val="404040"/>
          <w:spacing w:val="-38"/>
          <w:position w:val="-8"/>
          <w:sz w:val="18"/>
        </w:rPr>
        <w:t>u</w:t>
      </w:r>
      <w:r>
        <w:rPr>
          <w:rFonts w:ascii="Trebuchet MS" w:hAnsi="Trebuchet MS"/>
          <w:color w:val="404040"/>
          <w:spacing w:val="-38"/>
          <w:sz w:val="18"/>
        </w:rPr>
        <w:t>n</w:t>
      </w:r>
      <w:r>
        <w:rPr>
          <w:rFonts w:ascii="Trebuchet MS" w:hAnsi="Trebuchet MS"/>
          <w:color w:val="404040"/>
          <w:spacing w:val="-38"/>
          <w:position w:val="-8"/>
          <w:sz w:val="18"/>
        </w:rPr>
        <w:t>la</w:t>
      </w:r>
      <w:proofErr w:type="spellStart"/>
      <w:r>
        <w:rPr>
          <w:rFonts w:ascii="Trebuchet MS" w:hAnsi="Trebuchet MS"/>
          <w:color w:val="404040"/>
          <w:spacing w:val="-38"/>
          <w:sz w:val="18"/>
        </w:rPr>
        <w:t>ía</w:t>
      </w:r>
      <w:proofErr w:type="spellEnd"/>
      <w:r>
        <w:rPr>
          <w:rFonts w:ascii="Trebuchet MS" w:hAnsi="Trebuchet MS"/>
          <w:color w:val="404040"/>
          <w:spacing w:val="-38"/>
          <w:position w:val="-8"/>
          <w:sz w:val="18"/>
        </w:rPr>
        <w:t>r</w:t>
      </w:r>
      <w:r>
        <w:rPr>
          <w:rFonts w:ascii="Trebuchet MS" w:hAnsi="Trebuchet MS"/>
          <w:color w:val="404040"/>
          <w:position w:val="-8"/>
          <w:sz w:val="18"/>
        </w:rPr>
        <w:t xml:space="preserve"> </w:t>
      </w:r>
      <w:r>
        <w:rPr>
          <w:rFonts w:ascii="Trebuchet MS" w:hAnsi="Trebuchet MS"/>
          <w:color w:val="585858"/>
          <w:sz w:val="18"/>
        </w:rPr>
        <w:t>2010</w:t>
      </w:r>
      <w:r>
        <w:rPr>
          <w:rFonts w:ascii="Trebuchet MS" w:hAnsi="Trebuchet MS"/>
          <w:color w:val="585858"/>
          <w:spacing w:val="80"/>
          <w:w w:val="150"/>
          <w:sz w:val="18"/>
        </w:rPr>
        <w:t xml:space="preserve"> </w:t>
      </w:r>
      <w:r>
        <w:rPr>
          <w:rFonts w:ascii="Trebuchet MS" w:hAnsi="Trebuchet MS"/>
          <w:color w:val="585858"/>
          <w:sz w:val="18"/>
        </w:rPr>
        <w:t>2011</w:t>
      </w:r>
      <w:r>
        <w:rPr>
          <w:rFonts w:ascii="Trebuchet MS" w:hAnsi="Trebuchet MS"/>
          <w:color w:val="585858"/>
          <w:spacing w:val="80"/>
          <w:w w:val="150"/>
          <w:sz w:val="18"/>
        </w:rPr>
        <w:t xml:space="preserve"> </w:t>
      </w:r>
      <w:r>
        <w:rPr>
          <w:rFonts w:ascii="Trebuchet MS" w:hAnsi="Trebuchet MS"/>
          <w:color w:val="585858"/>
          <w:sz w:val="18"/>
        </w:rPr>
        <w:t>2012</w:t>
      </w:r>
      <w:r>
        <w:rPr>
          <w:rFonts w:ascii="Trebuchet MS" w:hAnsi="Trebuchet MS"/>
          <w:color w:val="585858"/>
          <w:spacing w:val="80"/>
          <w:w w:val="150"/>
          <w:sz w:val="18"/>
        </w:rPr>
        <w:t xml:space="preserve"> </w:t>
      </w:r>
      <w:r>
        <w:rPr>
          <w:rFonts w:ascii="Trebuchet MS" w:hAnsi="Trebuchet MS"/>
          <w:color w:val="585858"/>
          <w:sz w:val="18"/>
        </w:rPr>
        <w:t>2013</w:t>
      </w:r>
      <w:r>
        <w:rPr>
          <w:rFonts w:ascii="Trebuchet MS" w:hAnsi="Trebuchet MS"/>
          <w:color w:val="585858"/>
          <w:spacing w:val="80"/>
          <w:w w:val="150"/>
          <w:sz w:val="18"/>
        </w:rPr>
        <w:t xml:space="preserve"> </w:t>
      </w:r>
      <w:r>
        <w:rPr>
          <w:rFonts w:ascii="Trebuchet MS" w:hAnsi="Trebuchet MS"/>
          <w:color w:val="585858"/>
          <w:sz w:val="18"/>
        </w:rPr>
        <w:t>2014</w:t>
      </w:r>
      <w:r>
        <w:rPr>
          <w:rFonts w:ascii="Trebuchet MS" w:hAnsi="Trebuchet MS"/>
          <w:color w:val="585858"/>
          <w:spacing w:val="80"/>
          <w:w w:val="150"/>
          <w:sz w:val="18"/>
        </w:rPr>
        <w:t xml:space="preserve"> </w:t>
      </w:r>
      <w:r>
        <w:rPr>
          <w:rFonts w:ascii="Trebuchet MS" w:hAnsi="Trebuchet MS"/>
          <w:color w:val="585858"/>
          <w:sz w:val="18"/>
        </w:rPr>
        <w:t>2015</w:t>
      </w:r>
      <w:r>
        <w:rPr>
          <w:rFonts w:ascii="Trebuchet MS" w:hAnsi="Trebuchet MS"/>
          <w:color w:val="585858"/>
          <w:spacing w:val="80"/>
          <w:w w:val="150"/>
          <w:sz w:val="18"/>
        </w:rPr>
        <w:t xml:space="preserve"> </w:t>
      </w:r>
      <w:r>
        <w:rPr>
          <w:rFonts w:ascii="Trebuchet MS" w:hAnsi="Trebuchet MS"/>
          <w:color w:val="585858"/>
          <w:sz w:val="18"/>
        </w:rPr>
        <w:t>2016</w:t>
      </w:r>
      <w:r>
        <w:rPr>
          <w:rFonts w:ascii="Trebuchet MS" w:hAnsi="Trebuchet MS"/>
          <w:color w:val="585858"/>
          <w:spacing w:val="80"/>
          <w:w w:val="150"/>
          <w:sz w:val="18"/>
        </w:rPr>
        <w:t xml:space="preserve"> </w:t>
      </w:r>
      <w:r>
        <w:rPr>
          <w:rFonts w:ascii="Trebuchet MS" w:hAnsi="Trebuchet MS"/>
          <w:color w:val="585858"/>
          <w:sz w:val="18"/>
        </w:rPr>
        <w:t>2017</w:t>
      </w:r>
      <w:r>
        <w:rPr>
          <w:rFonts w:ascii="Trebuchet MS" w:hAnsi="Trebuchet MS"/>
          <w:color w:val="585858"/>
          <w:spacing w:val="80"/>
          <w:w w:val="150"/>
          <w:sz w:val="18"/>
        </w:rPr>
        <w:t xml:space="preserve"> </w:t>
      </w:r>
      <w:r>
        <w:rPr>
          <w:rFonts w:ascii="Trebuchet MS" w:hAnsi="Trebuchet MS"/>
          <w:color w:val="585858"/>
          <w:sz w:val="18"/>
        </w:rPr>
        <w:t>2018</w:t>
      </w:r>
      <w:r>
        <w:rPr>
          <w:rFonts w:ascii="Trebuchet MS" w:hAnsi="Trebuchet MS"/>
          <w:color w:val="585858"/>
          <w:spacing w:val="80"/>
          <w:w w:val="150"/>
          <w:sz w:val="18"/>
        </w:rPr>
        <w:t xml:space="preserve"> </w:t>
      </w:r>
      <w:r>
        <w:rPr>
          <w:rFonts w:ascii="Trebuchet MS" w:hAnsi="Trebuchet MS"/>
          <w:color w:val="585858"/>
          <w:sz w:val="18"/>
        </w:rPr>
        <w:t>2019</w:t>
      </w:r>
      <w:r>
        <w:rPr>
          <w:rFonts w:ascii="Trebuchet MS" w:hAnsi="Trebuchet MS"/>
          <w:color w:val="585858"/>
          <w:spacing w:val="80"/>
          <w:w w:val="150"/>
          <w:sz w:val="18"/>
        </w:rPr>
        <w:t xml:space="preserve"> </w:t>
      </w:r>
      <w:r>
        <w:rPr>
          <w:rFonts w:ascii="Trebuchet MS" w:hAnsi="Trebuchet MS"/>
          <w:color w:val="585858"/>
          <w:sz w:val="18"/>
        </w:rPr>
        <w:t>2020</w:t>
      </w:r>
      <w:r>
        <w:rPr>
          <w:rFonts w:ascii="Trebuchet MS" w:hAnsi="Trebuchet MS"/>
          <w:color w:val="585858"/>
          <w:spacing w:val="80"/>
          <w:w w:val="150"/>
          <w:sz w:val="18"/>
        </w:rPr>
        <w:t xml:space="preserve"> </w:t>
      </w:r>
      <w:r>
        <w:rPr>
          <w:rFonts w:ascii="Trebuchet MS" w:hAnsi="Trebuchet MS"/>
          <w:color w:val="585858"/>
          <w:sz w:val="18"/>
        </w:rPr>
        <w:t>2021</w:t>
      </w:r>
      <w:r>
        <w:rPr>
          <w:rFonts w:ascii="Trebuchet MS" w:hAnsi="Trebuchet MS"/>
          <w:color w:val="585858"/>
          <w:spacing w:val="80"/>
          <w:w w:val="150"/>
          <w:sz w:val="18"/>
        </w:rPr>
        <w:t xml:space="preserve"> </w:t>
      </w:r>
      <w:r>
        <w:rPr>
          <w:rFonts w:ascii="Trebuchet MS" w:hAnsi="Trebuchet MS"/>
          <w:color w:val="585858"/>
          <w:sz w:val="18"/>
        </w:rPr>
        <w:t>2022</w:t>
      </w:r>
    </w:p>
    <w:p w14:paraId="35EB2CAD" w14:textId="77777777" w:rsidR="000E52B0" w:rsidRDefault="000E52B0">
      <w:pPr>
        <w:spacing w:line="297" w:lineRule="auto"/>
        <w:rPr>
          <w:rFonts w:ascii="Trebuchet MS" w:hAnsi="Trebuchet MS"/>
          <w:sz w:val="18"/>
        </w:rPr>
        <w:sectPr w:rsidR="000E52B0">
          <w:type w:val="continuous"/>
          <w:pgSz w:w="11910" w:h="16840"/>
          <w:pgMar w:top="1340" w:right="720" w:bottom="1280" w:left="720" w:header="0" w:footer="995" w:gutter="0"/>
          <w:cols w:num="2" w:space="720" w:equalWidth="0">
            <w:col w:w="1893" w:space="40"/>
            <w:col w:w="8537"/>
          </w:cols>
        </w:sectPr>
      </w:pPr>
    </w:p>
    <w:p w14:paraId="1A1DB3A1" w14:textId="77777777" w:rsidR="000E52B0" w:rsidRDefault="00F60D74">
      <w:pPr>
        <w:tabs>
          <w:tab w:val="left" w:pos="1686"/>
          <w:tab w:val="left" w:pos="2890"/>
          <w:tab w:val="left" w:pos="4069"/>
          <w:tab w:val="left" w:pos="5265"/>
          <w:tab w:val="left" w:pos="6698"/>
        </w:tabs>
        <w:spacing w:before="139"/>
        <w:ind w:left="256"/>
        <w:jc w:val="center"/>
        <w:rPr>
          <w:rFonts w:ascii="Trebuchet MS" w:hAnsi="Trebuchet MS"/>
          <w:sz w:val="18"/>
        </w:rPr>
      </w:pPr>
      <w:r>
        <w:rPr>
          <w:rFonts w:ascii="Trebuchet MS" w:hAnsi="Trebuchet MS"/>
          <w:noProof/>
          <w:sz w:val="18"/>
        </w:rPr>
        <mc:AlternateContent>
          <mc:Choice Requires="wps">
            <w:drawing>
              <wp:anchor distT="0" distB="0" distL="0" distR="0" simplePos="0" relativeHeight="15732224" behindDoc="0" locked="0" layoutInCell="1" allowOverlap="1" wp14:anchorId="0E429085" wp14:editId="2AAEFFA8">
                <wp:simplePos x="0" y="0"/>
                <wp:positionH relativeFrom="page">
                  <wp:posOffset>1347216</wp:posOffset>
                </wp:positionH>
                <wp:positionV relativeFrom="paragraph">
                  <wp:posOffset>164433</wp:posOffset>
                </wp:positionV>
                <wp:extent cx="243840" cy="12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E22C91"/>
                          </a:solidFill>
                          <a:prstDash val="solid"/>
                        </a:ln>
                      </wps:spPr>
                      <wps:bodyPr wrap="square" lIns="0" tIns="0" rIns="0" bIns="0" rtlCol="0">
                        <a:prstTxWarp prst="textNoShape">
                          <a:avLst/>
                        </a:prstTxWarp>
                        <a:noAutofit/>
                      </wps:bodyPr>
                    </wps:wsp>
                  </a:graphicData>
                </a:graphic>
              </wp:anchor>
            </w:drawing>
          </mc:Choice>
          <mc:Fallback>
            <w:pict>
              <v:shape w14:anchorId="75DE0701" id="Graphic 31" o:spid="_x0000_s1026" style="position:absolute;margin-left:106.1pt;margin-top:12.95pt;width:19.2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" path="m,l243840,e" filled="f" strokecolor="#e22c91" strokeweight="2.25pt">
                <v:path arrowok="t"/>
                <w10:wrap anchorx="page"/>
              </v:shape>
            </w:pict>
          </mc:Fallback>
        </mc:AlternateContent>
      </w:r>
      <w:r>
        <w:rPr>
          <w:rFonts w:ascii="Trebuchet MS" w:hAnsi="Trebuchet MS"/>
          <w:noProof/>
          <w:sz w:val="18"/>
        </w:rPr>
        <mc:AlternateContent>
          <mc:Choice Requires="wps">
            <w:drawing>
              <wp:anchor distT="0" distB="0" distL="0" distR="0" simplePos="0" relativeHeight="482232832" behindDoc="1" locked="0" layoutInCell="1" allowOverlap="1" wp14:anchorId="1692927F" wp14:editId="100ACA09">
                <wp:simplePos x="0" y="0"/>
                <wp:positionH relativeFrom="page">
                  <wp:posOffset>2255520</wp:posOffset>
                </wp:positionH>
                <wp:positionV relativeFrom="paragraph">
                  <wp:posOffset>164433</wp:posOffset>
                </wp:positionV>
                <wp:extent cx="243840"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40" y="0"/>
                              </a:lnTo>
                            </a:path>
                          </a:pathLst>
                        </a:custGeom>
                        <a:ln w="28575">
                          <a:solidFill>
                            <a:srgbClr val="00AF50"/>
                          </a:solidFill>
                          <a:prstDash val="solid"/>
                        </a:ln>
                      </wps:spPr>
                      <wps:bodyPr wrap="square" lIns="0" tIns="0" rIns="0" bIns="0" rtlCol="0">
                        <a:prstTxWarp prst="textNoShape">
                          <a:avLst/>
                        </a:prstTxWarp>
                        <a:noAutofit/>
                      </wps:bodyPr>
                    </wps:wsp>
                  </a:graphicData>
                </a:graphic>
              </wp:anchor>
            </w:drawing>
          </mc:Choice>
          <mc:Fallback>
            <w:pict>
              <v:shape w14:anchorId="245F7955" id="Graphic 32" o:spid="_x0000_s1026" style="position:absolute;margin-left:177.6pt;margin-top:12.95pt;width:19.2pt;height:.1pt;z-index:-21083648;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" path="m,l243840,e" filled="f" strokecolor="#00af50" strokeweight="2.25pt">
                <v:path arrowok="t"/>
                <w10:wrap anchorx="page"/>
              </v:shape>
            </w:pict>
          </mc:Fallback>
        </mc:AlternateContent>
      </w:r>
      <w:r>
        <w:rPr>
          <w:rFonts w:ascii="Trebuchet MS" w:hAnsi="Trebuchet MS"/>
          <w:noProof/>
          <w:sz w:val="18"/>
        </w:rPr>
        <mc:AlternateContent>
          <mc:Choice Requires="wps">
            <w:drawing>
              <wp:anchor distT="0" distB="0" distL="0" distR="0" simplePos="0" relativeHeight="482233344" behindDoc="1" locked="0" layoutInCell="1" allowOverlap="1" wp14:anchorId="08F58215" wp14:editId="4D8C05B1">
                <wp:simplePos x="0" y="0"/>
                <wp:positionH relativeFrom="page">
                  <wp:posOffset>3019551</wp:posOffset>
                </wp:positionH>
                <wp:positionV relativeFrom="paragraph">
                  <wp:posOffset>164433</wp:posOffset>
                </wp:positionV>
                <wp:extent cx="243840"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39" y="0"/>
                              </a:lnTo>
                            </a:path>
                          </a:pathLst>
                        </a:custGeom>
                        <a:ln w="28575">
                          <a:solidFill>
                            <a:srgbClr val="36C7C5"/>
                          </a:solidFill>
                          <a:prstDash val="solid"/>
                        </a:ln>
                      </wps:spPr>
                      <wps:bodyPr wrap="square" lIns="0" tIns="0" rIns="0" bIns="0" rtlCol="0">
                        <a:prstTxWarp prst="textNoShape">
                          <a:avLst/>
                        </a:prstTxWarp>
                        <a:noAutofit/>
                      </wps:bodyPr>
                    </wps:wsp>
                  </a:graphicData>
                </a:graphic>
              </wp:anchor>
            </w:drawing>
          </mc:Choice>
          <mc:Fallback>
            <w:pict>
              <v:shape w14:anchorId="0307A9A3" id="Graphic 33" o:spid="_x0000_s1026" style="position:absolute;margin-left:237.75pt;margin-top:12.95pt;width:19.2pt;height:.1pt;z-index:-2108313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" path="m,l243839,e" filled="f" strokecolor="#36c7c5" strokeweight="2.25pt">
                <v:path arrowok="t"/>
                <w10:wrap anchorx="page"/>
              </v:shape>
            </w:pict>
          </mc:Fallback>
        </mc:AlternateContent>
      </w:r>
      <w:r>
        <w:rPr>
          <w:rFonts w:ascii="Trebuchet MS" w:hAnsi="Trebuchet MS"/>
          <w:noProof/>
          <w:sz w:val="18"/>
        </w:rPr>
        <mc:AlternateContent>
          <mc:Choice Requires="wps">
            <w:drawing>
              <wp:anchor distT="0" distB="0" distL="0" distR="0" simplePos="0" relativeHeight="482233856" behindDoc="1" locked="0" layoutInCell="1" allowOverlap="1" wp14:anchorId="0FC33BA2" wp14:editId="4FD371A5">
                <wp:simplePos x="0" y="0"/>
                <wp:positionH relativeFrom="page">
                  <wp:posOffset>3767963</wp:posOffset>
                </wp:positionH>
                <wp:positionV relativeFrom="paragraph">
                  <wp:posOffset>164433</wp:posOffset>
                </wp:positionV>
                <wp:extent cx="243840"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39" y="0"/>
                              </a:lnTo>
                            </a:path>
                          </a:pathLst>
                        </a:custGeom>
                        <a:ln w="28575">
                          <a:solidFill>
                            <a:srgbClr val="4675E7"/>
                          </a:solidFill>
                          <a:prstDash val="solid"/>
                        </a:ln>
                      </wps:spPr>
                      <wps:bodyPr wrap="square" lIns="0" tIns="0" rIns="0" bIns="0" rtlCol="0">
                        <a:prstTxWarp prst="textNoShape">
                          <a:avLst/>
                        </a:prstTxWarp>
                        <a:noAutofit/>
                      </wps:bodyPr>
                    </wps:wsp>
                  </a:graphicData>
                </a:graphic>
              </wp:anchor>
            </w:drawing>
          </mc:Choice>
          <mc:Fallback>
            <w:pict>
              <v:shape w14:anchorId="33E1E5CA" id="Graphic 34" o:spid="_x0000_s1026" style="position:absolute;margin-left:296.7pt;margin-top:12.95pt;width:19.2pt;height:.1pt;z-index:-21082624;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" path="m,l243839,e" filled="f" strokecolor="#4675e7" strokeweight="2.25pt">
                <v:path arrowok="t"/>
                <w10:wrap anchorx="page"/>
              </v:shape>
            </w:pict>
          </mc:Fallback>
        </mc:AlternateContent>
      </w:r>
      <w:r>
        <w:rPr>
          <w:rFonts w:ascii="Trebuchet MS" w:hAnsi="Trebuchet MS"/>
          <w:noProof/>
          <w:sz w:val="18"/>
        </w:rPr>
        <mc:AlternateContent>
          <mc:Choice Requires="wps">
            <w:drawing>
              <wp:anchor distT="0" distB="0" distL="0" distR="0" simplePos="0" relativeHeight="482234368" behindDoc="1" locked="0" layoutInCell="1" allowOverlap="1" wp14:anchorId="7DBB9ED4" wp14:editId="21C92DB1">
                <wp:simplePos x="0" y="0"/>
                <wp:positionH relativeFrom="page">
                  <wp:posOffset>4527296</wp:posOffset>
                </wp:positionH>
                <wp:positionV relativeFrom="paragraph">
                  <wp:posOffset>164433</wp:posOffset>
                </wp:positionV>
                <wp:extent cx="243840" cy="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39" y="0"/>
                              </a:lnTo>
                            </a:path>
                          </a:pathLst>
                        </a:custGeom>
                        <a:ln w="28575">
                          <a:solidFill>
                            <a:srgbClr val="6B9F24"/>
                          </a:solidFill>
                          <a:prstDash val="solid"/>
                        </a:ln>
                      </wps:spPr>
                      <wps:bodyPr wrap="square" lIns="0" tIns="0" rIns="0" bIns="0" rtlCol="0">
                        <a:prstTxWarp prst="textNoShape">
                          <a:avLst/>
                        </a:prstTxWarp>
                        <a:noAutofit/>
                      </wps:bodyPr>
                    </wps:wsp>
                  </a:graphicData>
                </a:graphic>
              </wp:anchor>
            </w:drawing>
          </mc:Choice>
          <mc:Fallback>
            <w:pict>
              <v:shape w14:anchorId="3C1E7BF0" id="Graphic 35" o:spid="_x0000_s1026" style="position:absolute;margin-left:356.5pt;margin-top:12.95pt;width:19.2pt;height:.1pt;z-index:-21082112;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" path="m,l243839,e" filled="f" strokecolor="#6b9f24" strokeweight="2.25pt">
                <v:path arrowok="t"/>
                <w10:wrap anchorx="page"/>
              </v:shape>
            </w:pict>
          </mc:Fallback>
        </mc:AlternateContent>
      </w:r>
      <w:r>
        <w:rPr>
          <w:rFonts w:ascii="Trebuchet MS" w:hAnsi="Trebuchet MS"/>
          <w:noProof/>
          <w:sz w:val="18"/>
        </w:rPr>
        <mc:AlternateContent>
          <mc:Choice Requires="wps">
            <w:drawing>
              <wp:anchor distT="0" distB="0" distL="0" distR="0" simplePos="0" relativeHeight="482234880" behindDoc="1" locked="0" layoutInCell="1" allowOverlap="1" wp14:anchorId="3DEAB0C0" wp14:editId="6F8B7A3B">
                <wp:simplePos x="0" y="0"/>
                <wp:positionH relativeFrom="page">
                  <wp:posOffset>5437123</wp:posOffset>
                </wp:positionH>
                <wp:positionV relativeFrom="paragraph">
                  <wp:posOffset>164433</wp:posOffset>
                </wp:positionV>
                <wp:extent cx="243840" cy="12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39" y="0"/>
                              </a:lnTo>
                            </a:path>
                          </a:pathLst>
                        </a:custGeom>
                        <a:ln w="28575">
                          <a:solidFill>
                            <a:srgbClr val="FFC000"/>
                          </a:solidFill>
                          <a:prstDash val="solid"/>
                        </a:ln>
                      </wps:spPr>
                      <wps:bodyPr wrap="square" lIns="0" tIns="0" rIns="0" bIns="0" rtlCol="0">
                        <a:prstTxWarp prst="textNoShape">
                          <a:avLst/>
                        </a:prstTxWarp>
                        <a:noAutofit/>
                      </wps:bodyPr>
                    </wps:wsp>
                  </a:graphicData>
                </a:graphic>
              </wp:anchor>
            </w:drawing>
          </mc:Choice>
          <mc:Fallback>
            <w:pict>
              <v:shape w14:anchorId="682F6DF3" id="Graphic 36" o:spid="_x0000_s1026" style="position:absolute;margin-left:428.1pt;margin-top:12.95pt;width:19.2pt;height:.1pt;z-index:-2108160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" path="m,l243839,e" filled="f" strokecolor="#ffc000" strokeweight="2.25pt">
                <v:path arrowok="t"/>
                <w10:wrap anchorx="page"/>
              </v:shape>
            </w:pict>
          </mc:Fallback>
        </mc:AlternateContent>
      </w:r>
      <w:r>
        <w:rPr>
          <w:rFonts w:ascii="Trebuchet MS" w:hAnsi="Trebuchet MS"/>
          <w:color w:val="585858"/>
          <w:spacing w:val="-2"/>
          <w:sz w:val="18"/>
        </w:rPr>
        <w:t>Amazonía</w:t>
      </w:r>
      <w:r>
        <w:rPr>
          <w:rFonts w:ascii="Trebuchet MS" w:hAnsi="Trebuchet MS"/>
          <w:color w:val="585858"/>
          <w:sz w:val="18"/>
        </w:rPr>
        <w:tab/>
      </w:r>
      <w:r>
        <w:rPr>
          <w:rFonts w:ascii="Trebuchet MS" w:hAnsi="Trebuchet MS"/>
          <w:color w:val="585858"/>
          <w:spacing w:val="-2"/>
          <w:sz w:val="18"/>
        </w:rPr>
        <w:t>Andina</w:t>
      </w:r>
      <w:r>
        <w:rPr>
          <w:rFonts w:ascii="Trebuchet MS" w:hAnsi="Trebuchet MS"/>
          <w:color w:val="585858"/>
          <w:sz w:val="18"/>
        </w:rPr>
        <w:tab/>
      </w:r>
      <w:r>
        <w:rPr>
          <w:rFonts w:ascii="Trebuchet MS" w:hAnsi="Trebuchet MS"/>
          <w:color w:val="585858"/>
          <w:spacing w:val="-2"/>
          <w:sz w:val="18"/>
        </w:rPr>
        <w:t>Caribe</w:t>
      </w:r>
      <w:r>
        <w:rPr>
          <w:rFonts w:ascii="Trebuchet MS" w:hAnsi="Trebuchet MS"/>
          <w:color w:val="585858"/>
          <w:sz w:val="18"/>
        </w:rPr>
        <w:tab/>
      </w:r>
      <w:r>
        <w:rPr>
          <w:rFonts w:ascii="Trebuchet MS" w:hAnsi="Trebuchet MS"/>
          <w:color w:val="585858"/>
          <w:spacing w:val="-2"/>
          <w:sz w:val="18"/>
        </w:rPr>
        <w:t>Insular</w:t>
      </w:r>
      <w:r>
        <w:rPr>
          <w:rFonts w:ascii="Trebuchet MS" w:hAnsi="Trebuchet MS"/>
          <w:color w:val="585858"/>
          <w:sz w:val="18"/>
        </w:rPr>
        <w:tab/>
      </w:r>
      <w:r>
        <w:rPr>
          <w:rFonts w:ascii="Trebuchet MS" w:hAnsi="Trebuchet MS"/>
          <w:color w:val="585858"/>
          <w:spacing w:val="-2"/>
          <w:sz w:val="18"/>
        </w:rPr>
        <w:t>Orinoquía</w:t>
      </w:r>
      <w:r>
        <w:rPr>
          <w:rFonts w:ascii="Trebuchet MS" w:hAnsi="Trebuchet MS"/>
          <w:color w:val="585858"/>
          <w:sz w:val="18"/>
        </w:rPr>
        <w:tab/>
      </w:r>
      <w:r>
        <w:rPr>
          <w:rFonts w:ascii="Trebuchet MS" w:hAnsi="Trebuchet MS"/>
          <w:color w:val="585858"/>
          <w:spacing w:val="-2"/>
          <w:sz w:val="18"/>
        </w:rPr>
        <w:t>Pacífico</w:t>
      </w:r>
    </w:p>
    <w:p w14:paraId="0080E59C" w14:textId="77777777" w:rsidR="000E52B0" w:rsidRDefault="000E52B0">
      <w:pPr>
        <w:pStyle w:val="Textoindependiente"/>
        <w:spacing w:before="156"/>
        <w:ind w:left="0"/>
        <w:rPr>
          <w:rFonts w:ascii="Trebuchet MS"/>
          <w:sz w:val="18"/>
        </w:rPr>
      </w:pPr>
    </w:p>
    <w:p w14:paraId="6BF53509" w14:textId="77777777" w:rsidR="000E52B0" w:rsidRDefault="00F60D74">
      <w:pPr>
        <w:ind w:right="3"/>
        <w:jc w:val="center"/>
        <w:rPr>
          <w:i/>
          <w:sz w:val="18"/>
        </w:rPr>
      </w:pPr>
      <w:r>
        <w:rPr>
          <w:i/>
          <w:color w:val="454551"/>
          <w:sz w:val="18"/>
        </w:rPr>
        <w:t>Fuente</w:t>
      </w:r>
      <w:r>
        <w:rPr>
          <w:i/>
          <w:color w:val="454551"/>
          <w:spacing w:val="-3"/>
          <w:sz w:val="18"/>
        </w:rPr>
        <w:t xml:space="preserve"> </w:t>
      </w:r>
      <w:r>
        <w:rPr>
          <w:i/>
          <w:color w:val="454551"/>
          <w:sz w:val="18"/>
        </w:rPr>
        <w:t>3.</w:t>
      </w:r>
      <w:r>
        <w:rPr>
          <w:i/>
          <w:color w:val="454551"/>
          <w:spacing w:val="-4"/>
          <w:sz w:val="18"/>
        </w:rPr>
        <w:t xml:space="preserve"> </w:t>
      </w:r>
      <w:r>
        <w:rPr>
          <w:i/>
          <w:color w:val="454551"/>
          <w:sz w:val="18"/>
        </w:rPr>
        <w:t>Elaboración</w:t>
      </w:r>
      <w:r>
        <w:rPr>
          <w:i/>
          <w:color w:val="454551"/>
          <w:spacing w:val="-2"/>
          <w:sz w:val="18"/>
        </w:rPr>
        <w:t xml:space="preserve"> </w:t>
      </w:r>
      <w:r>
        <w:rPr>
          <w:i/>
          <w:color w:val="454551"/>
          <w:sz w:val="18"/>
        </w:rPr>
        <w:t>Ministerio</w:t>
      </w:r>
      <w:r>
        <w:rPr>
          <w:i/>
          <w:color w:val="454551"/>
          <w:spacing w:val="-2"/>
          <w:sz w:val="18"/>
        </w:rPr>
        <w:t xml:space="preserve"> </w:t>
      </w:r>
      <w:r>
        <w:rPr>
          <w:i/>
          <w:color w:val="454551"/>
          <w:sz w:val="18"/>
        </w:rPr>
        <w:t>de</w:t>
      </w:r>
      <w:r>
        <w:rPr>
          <w:i/>
          <w:color w:val="454551"/>
          <w:spacing w:val="-3"/>
          <w:sz w:val="18"/>
        </w:rPr>
        <w:t xml:space="preserve"> </w:t>
      </w:r>
      <w:r>
        <w:rPr>
          <w:i/>
          <w:color w:val="454551"/>
          <w:sz w:val="18"/>
        </w:rPr>
        <w:t>Igualdad</w:t>
      </w:r>
      <w:r>
        <w:rPr>
          <w:i/>
          <w:color w:val="454551"/>
          <w:spacing w:val="-4"/>
          <w:sz w:val="18"/>
        </w:rPr>
        <w:t xml:space="preserve"> </w:t>
      </w:r>
      <w:r>
        <w:rPr>
          <w:i/>
          <w:color w:val="454551"/>
          <w:sz w:val="18"/>
        </w:rPr>
        <w:t>y</w:t>
      </w:r>
      <w:r>
        <w:rPr>
          <w:i/>
          <w:color w:val="454551"/>
          <w:spacing w:val="-4"/>
          <w:sz w:val="18"/>
        </w:rPr>
        <w:t xml:space="preserve"> </w:t>
      </w:r>
      <w:r>
        <w:rPr>
          <w:i/>
          <w:color w:val="454551"/>
          <w:sz w:val="18"/>
        </w:rPr>
        <w:t>Equidad</w:t>
      </w:r>
      <w:r>
        <w:rPr>
          <w:i/>
          <w:color w:val="454551"/>
          <w:spacing w:val="-2"/>
          <w:sz w:val="18"/>
        </w:rPr>
        <w:t xml:space="preserve"> </w:t>
      </w:r>
      <w:r>
        <w:rPr>
          <w:i/>
          <w:color w:val="454551"/>
          <w:sz w:val="18"/>
        </w:rPr>
        <w:t>con</w:t>
      </w:r>
      <w:r>
        <w:rPr>
          <w:i/>
          <w:color w:val="454551"/>
          <w:spacing w:val="-2"/>
          <w:sz w:val="18"/>
        </w:rPr>
        <w:t xml:space="preserve"> </w:t>
      </w:r>
      <w:r>
        <w:rPr>
          <w:i/>
          <w:color w:val="454551"/>
          <w:sz w:val="18"/>
        </w:rPr>
        <w:t>datos</w:t>
      </w:r>
      <w:r>
        <w:rPr>
          <w:i/>
          <w:color w:val="454551"/>
          <w:spacing w:val="-3"/>
          <w:sz w:val="18"/>
        </w:rPr>
        <w:t xml:space="preserve"> </w:t>
      </w:r>
      <w:r>
        <w:rPr>
          <w:i/>
          <w:color w:val="454551"/>
          <w:sz w:val="18"/>
        </w:rPr>
        <w:t>del</w:t>
      </w:r>
      <w:r>
        <w:rPr>
          <w:i/>
          <w:color w:val="454551"/>
          <w:spacing w:val="-2"/>
          <w:sz w:val="18"/>
        </w:rPr>
        <w:t xml:space="preserve"> </w:t>
      </w:r>
      <w:r>
        <w:rPr>
          <w:i/>
          <w:color w:val="454551"/>
          <w:spacing w:val="-4"/>
          <w:sz w:val="18"/>
        </w:rPr>
        <w:t>DNP.</w:t>
      </w:r>
    </w:p>
    <w:p w14:paraId="39009049" w14:textId="77777777" w:rsidR="000E52B0" w:rsidRDefault="00F60D74">
      <w:pPr>
        <w:pStyle w:val="Textoindependiente"/>
        <w:spacing w:before="201"/>
        <w:ind w:right="718"/>
        <w:jc w:val="both"/>
      </w:pPr>
      <w:r>
        <w:t>A nivel regional, el 50% del presupuesto territorializado de la nación se invirtió en los departamentos de la región Andina (donde se concentra la mayor esperanza</w:t>
      </w:r>
      <w:r>
        <w:rPr>
          <w:spacing w:val="-1"/>
        </w:rPr>
        <w:t xml:space="preserve"> </w:t>
      </w:r>
      <w:r>
        <w:t>de vida</w:t>
      </w:r>
      <w:r>
        <w:rPr>
          <w:spacing w:val="-1"/>
        </w:rPr>
        <w:t xml:space="preserve"> </w:t>
      </w:r>
      <w:r>
        <w:t>al</w:t>
      </w:r>
      <w:r>
        <w:rPr>
          <w:spacing w:val="-2"/>
        </w:rPr>
        <w:t xml:space="preserve"> </w:t>
      </w:r>
      <w:r>
        <w:t>nacer),</w:t>
      </w:r>
      <w:r>
        <w:rPr>
          <w:spacing w:val="-2"/>
        </w:rPr>
        <w:t xml:space="preserve"> </w:t>
      </w:r>
      <w:r>
        <w:t>el</w:t>
      </w:r>
      <w:r>
        <w:rPr>
          <w:spacing w:val="-2"/>
        </w:rPr>
        <w:t xml:space="preserve"> </w:t>
      </w:r>
      <w:r>
        <w:t>25%</w:t>
      </w:r>
      <w:r>
        <w:rPr>
          <w:spacing w:val="-2"/>
        </w:rPr>
        <w:t xml:space="preserve"> </w:t>
      </w:r>
      <w:r>
        <w:t>en</w:t>
      </w:r>
      <w:r>
        <w:rPr>
          <w:spacing w:val="-1"/>
        </w:rPr>
        <w:t xml:space="preserve"> </w:t>
      </w:r>
      <w:r>
        <w:t>la</w:t>
      </w:r>
      <w:r>
        <w:rPr>
          <w:spacing w:val="-1"/>
        </w:rPr>
        <w:t xml:space="preserve"> </w:t>
      </w:r>
      <w:r>
        <w:t>región</w:t>
      </w:r>
      <w:r>
        <w:rPr>
          <w:spacing w:val="-1"/>
        </w:rPr>
        <w:t xml:space="preserve"> </w:t>
      </w:r>
      <w:r>
        <w:t>Caribe,</w:t>
      </w:r>
      <w:r>
        <w:rPr>
          <w:spacing w:val="-2"/>
        </w:rPr>
        <w:t xml:space="preserve"> </w:t>
      </w:r>
      <w:r>
        <w:t>el</w:t>
      </w:r>
      <w:r>
        <w:rPr>
          <w:spacing w:val="-2"/>
        </w:rPr>
        <w:t xml:space="preserve"> </w:t>
      </w:r>
      <w:r>
        <w:t>17%</w:t>
      </w:r>
      <w:r>
        <w:rPr>
          <w:spacing w:val="-2"/>
        </w:rPr>
        <w:t xml:space="preserve"> </w:t>
      </w:r>
      <w:r>
        <w:t>en los departamentos de la región Pacífico, en la Amazonía se invirtió el 4% de</w:t>
      </w:r>
      <w:r>
        <w:rPr>
          <w:spacing w:val="-9"/>
        </w:rPr>
        <w:t xml:space="preserve"> </w:t>
      </w:r>
      <w:r>
        <w:t>los</w:t>
      </w:r>
      <w:r>
        <w:rPr>
          <w:spacing w:val="-10"/>
        </w:rPr>
        <w:t xml:space="preserve"> </w:t>
      </w:r>
      <w:r>
        <w:t>recursos</w:t>
      </w:r>
      <w:r>
        <w:rPr>
          <w:spacing w:val="-10"/>
        </w:rPr>
        <w:t xml:space="preserve"> </w:t>
      </w:r>
      <w:r>
        <w:t>de</w:t>
      </w:r>
      <w:r>
        <w:rPr>
          <w:spacing w:val="-7"/>
        </w:rPr>
        <w:t xml:space="preserve"> </w:t>
      </w:r>
      <w:r>
        <w:t>la</w:t>
      </w:r>
      <w:r>
        <w:rPr>
          <w:spacing w:val="-10"/>
        </w:rPr>
        <w:t xml:space="preserve"> </w:t>
      </w:r>
      <w:r>
        <w:t>nación,</w:t>
      </w:r>
      <w:r>
        <w:rPr>
          <w:spacing w:val="-9"/>
        </w:rPr>
        <w:t xml:space="preserve"> </w:t>
      </w:r>
      <w:r>
        <w:t>igual</w:t>
      </w:r>
      <w:r>
        <w:rPr>
          <w:spacing w:val="-9"/>
        </w:rPr>
        <w:t xml:space="preserve"> </w:t>
      </w:r>
      <w:r>
        <w:t>en</w:t>
      </w:r>
      <w:r>
        <w:rPr>
          <w:spacing w:val="-8"/>
        </w:rPr>
        <w:t xml:space="preserve"> </w:t>
      </w:r>
      <w:r>
        <w:t>la</w:t>
      </w:r>
      <w:r>
        <w:rPr>
          <w:spacing w:val="-9"/>
        </w:rPr>
        <w:t xml:space="preserve"> </w:t>
      </w:r>
      <w:r>
        <w:t>Orinoquía</w:t>
      </w:r>
      <w:r>
        <w:rPr>
          <w:spacing w:val="-10"/>
        </w:rPr>
        <w:t xml:space="preserve"> </w:t>
      </w:r>
      <w:r>
        <w:t>el</w:t>
      </w:r>
      <w:r>
        <w:rPr>
          <w:spacing w:val="-9"/>
        </w:rPr>
        <w:t xml:space="preserve"> </w:t>
      </w:r>
      <w:r>
        <w:t>4%</w:t>
      </w:r>
      <w:r>
        <w:rPr>
          <w:spacing w:val="-9"/>
        </w:rPr>
        <w:t xml:space="preserve"> </w:t>
      </w:r>
      <w:r>
        <w:t>y</w:t>
      </w:r>
      <w:r>
        <w:rPr>
          <w:spacing w:val="-8"/>
        </w:rPr>
        <w:t xml:space="preserve"> </w:t>
      </w:r>
      <w:r>
        <w:t>en</w:t>
      </w:r>
      <w:r>
        <w:rPr>
          <w:spacing w:val="-11"/>
        </w:rPr>
        <w:t xml:space="preserve"> </w:t>
      </w:r>
      <w:r>
        <w:t>los</w:t>
      </w:r>
      <w:r>
        <w:rPr>
          <w:spacing w:val="-8"/>
        </w:rPr>
        <w:t xml:space="preserve"> </w:t>
      </w:r>
      <w:r>
        <w:t>territorios insulares el 1%.</w:t>
      </w:r>
    </w:p>
    <w:p w14:paraId="65AC02D4" w14:textId="77777777" w:rsidR="000E52B0" w:rsidRDefault="00F60D74">
      <w:pPr>
        <w:pStyle w:val="Textoindependiente"/>
        <w:spacing w:before="161"/>
        <w:ind w:right="720"/>
        <w:jc w:val="both"/>
      </w:pPr>
      <w:r>
        <w:t>Las desigualdades, en todo caso, y las distribuciones inequitativas de recursos, se replican a diferentes escalas, la inversión se ha concentrado en ciertas regiones, departamentos y municipios, y no se distribuye de manera equitativa, ni en el país, ni al interior de las regiones o los departamentos. Es decir, al interior de las regiones, y de los departamentos, también se evidencian procesos de concentración de la inversión que se traduce en desigualdades.</w:t>
      </w:r>
    </w:p>
    <w:p w14:paraId="12F575B5" w14:textId="77777777" w:rsidR="000E52B0" w:rsidRDefault="00F60D74">
      <w:pPr>
        <w:pStyle w:val="Textoindependiente"/>
        <w:spacing w:before="159"/>
        <w:ind w:right="722"/>
        <w:jc w:val="both"/>
      </w:pPr>
      <w:r>
        <w:t>Asimismo, estos rezagos históricos en inversión han tenido como consecuencia limitaciones materiales en el acceso a bienes y servicios básicos, como agua y saneamiento, electricidad y transporte.</w:t>
      </w:r>
    </w:p>
    <w:p w14:paraId="6DB14970" w14:textId="77777777" w:rsidR="000E52B0" w:rsidRDefault="00F60D74">
      <w:pPr>
        <w:pStyle w:val="Textoindependiente"/>
        <w:spacing w:before="162"/>
        <w:ind w:right="716"/>
        <w:jc w:val="both"/>
      </w:pPr>
      <w:r>
        <w:t xml:space="preserve">De acuerdo con el </w:t>
      </w:r>
      <w:hyperlink r:id="rId26">
        <w:r w:rsidR="000E52B0">
          <w:rPr>
            <w:color w:val="E22C91"/>
            <w:u w:val="single" w:color="E22C91"/>
          </w:rPr>
          <w:t>DANE y el Ministerio de Vivienda</w:t>
        </w:r>
      </w:hyperlink>
      <w:r>
        <w:t>, en Colombia en 2018 había</w:t>
      </w:r>
      <w:r>
        <w:rPr>
          <w:spacing w:val="-4"/>
        </w:rPr>
        <w:t xml:space="preserve"> </w:t>
      </w:r>
      <w:r>
        <w:t>13</w:t>
      </w:r>
      <w:r>
        <w:rPr>
          <w:spacing w:val="-2"/>
        </w:rPr>
        <w:t xml:space="preserve"> </w:t>
      </w:r>
      <w:r>
        <w:t>millones</w:t>
      </w:r>
      <w:r>
        <w:rPr>
          <w:spacing w:val="-3"/>
        </w:rPr>
        <w:t xml:space="preserve"> </w:t>
      </w:r>
      <w:r>
        <w:t>de</w:t>
      </w:r>
      <w:r>
        <w:rPr>
          <w:spacing w:val="-3"/>
        </w:rPr>
        <w:t xml:space="preserve"> </w:t>
      </w:r>
      <w:r>
        <w:t>personas</w:t>
      </w:r>
      <w:r>
        <w:rPr>
          <w:spacing w:val="-4"/>
        </w:rPr>
        <w:t xml:space="preserve"> </w:t>
      </w:r>
      <w:r>
        <w:t>sin</w:t>
      </w:r>
      <w:r>
        <w:rPr>
          <w:spacing w:val="-4"/>
        </w:rPr>
        <w:t xml:space="preserve"> </w:t>
      </w:r>
      <w:r>
        <w:t>acceso</w:t>
      </w:r>
      <w:r>
        <w:rPr>
          <w:spacing w:val="-2"/>
        </w:rPr>
        <w:t xml:space="preserve"> </w:t>
      </w:r>
      <w:r>
        <w:t>a</w:t>
      </w:r>
      <w:r>
        <w:rPr>
          <w:spacing w:val="-4"/>
        </w:rPr>
        <w:t xml:space="preserve"> </w:t>
      </w:r>
      <w:r>
        <w:t>agua</w:t>
      </w:r>
      <w:r>
        <w:rPr>
          <w:spacing w:val="-3"/>
        </w:rPr>
        <w:t xml:space="preserve"> </w:t>
      </w:r>
      <w:r>
        <w:t>potable,</w:t>
      </w:r>
      <w:r>
        <w:rPr>
          <w:spacing w:val="-4"/>
        </w:rPr>
        <w:t xml:space="preserve"> </w:t>
      </w:r>
      <w:r>
        <w:t>y</w:t>
      </w:r>
      <w:r>
        <w:rPr>
          <w:spacing w:val="-4"/>
        </w:rPr>
        <w:t xml:space="preserve"> </w:t>
      </w:r>
      <w:r>
        <w:t>17</w:t>
      </w:r>
      <w:r>
        <w:rPr>
          <w:spacing w:val="-3"/>
        </w:rPr>
        <w:t xml:space="preserve"> </w:t>
      </w:r>
      <w:r>
        <w:t>millones</w:t>
      </w:r>
      <w:r>
        <w:rPr>
          <w:spacing w:val="-3"/>
        </w:rPr>
        <w:t xml:space="preserve"> </w:t>
      </w:r>
      <w:r>
        <w:t>de personas sin saneamiento básico en el país.</w:t>
      </w:r>
      <w:r>
        <w:rPr>
          <w:spacing w:val="40"/>
        </w:rPr>
        <w:t xml:space="preserve"> </w:t>
      </w:r>
      <w:r>
        <w:t>Los departamentos que enfrentan</w:t>
      </w:r>
      <w:r>
        <w:rPr>
          <w:spacing w:val="-19"/>
        </w:rPr>
        <w:t xml:space="preserve"> </w:t>
      </w:r>
      <w:r>
        <w:t>los</w:t>
      </w:r>
      <w:r>
        <w:rPr>
          <w:spacing w:val="-16"/>
        </w:rPr>
        <w:t xml:space="preserve"> </w:t>
      </w:r>
      <w:r>
        <w:t>mayores</w:t>
      </w:r>
      <w:r>
        <w:rPr>
          <w:spacing w:val="-17"/>
        </w:rPr>
        <w:t xml:space="preserve"> </w:t>
      </w:r>
      <w:r>
        <w:t>desafíos</w:t>
      </w:r>
      <w:r>
        <w:rPr>
          <w:spacing w:val="-15"/>
        </w:rPr>
        <w:t xml:space="preserve"> </w:t>
      </w:r>
      <w:r>
        <w:t>en</w:t>
      </w:r>
      <w:r>
        <w:rPr>
          <w:spacing w:val="-17"/>
        </w:rPr>
        <w:t xml:space="preserve"> </w:t>
      </w:r>
      <w:r>
        <w:t>cuanto</w:t>
      </w:r>
      <w:r>
        <w:rPr>
          <w:spacing w:val="-16"/>
        </w:rPr>
        <w:t xml:space="preserve"> </w:t>
      </w:r>
      <w:r>
        <w:t>al</w:t>
      </w:r>
      <w:r>
        <w:rPr>
          <w:spacing w:val="-18"/>
        </w:rPr>
        <w:t xml:space="preserve"> </w:t>
      </w:r>
      <w:r>
        <w:t>acceso</w:t>
      </w:r>
      <w:r>
        <w:rPr>
          <w:spacing w:val="-15"/>
        </w:rPr>
        <w:t xml:space="preserve"> </w:t>
      </w:r>
      <w:r>
        <w:t>al</w:t>
      </w:r>
      <w:r>
        <w:rPr>
          <w:spacing w:val="-18"/>
        </w:rPr>
        <w:t xml:space="preserve"> </w:t>
      </w:r>
      <w:r>
        <w:t>servicio</w:t>
      </w:r>
      <w:r>
        <w:rPr>
          <w:spacing w:val="-16"/>
        </w:rPr>
        <w:t xml:space="preserve"> </w:t>
      </w:r>
      <w:r>
        <w:t>agua</w:t>
      </w:r>
      <w:r>
        <w:rPr>
          <w:spacing w:val="-15"/>
        </w:rPr>
        <w:t xml:space="preserve"> </w:t>
      </w:r>
      <w:r>
        <w:rPr>
          <w:spacing w:val="-2"/>
        </w:rPr>
        <w:t>potable</w:t>
      </w:r>
    </w:p>
    <w:p w14:paraId="455B3FBA" w14:textId="77777777" w:rsidR="000E52B0" w:rsidRDefault="000E52B0">
      <w:pPr>
        <w:pStyle w:val="Textoindependiente"/>
        <w:jc w:val="both"/>
        <w:sectPr w:rsidR="000E52B0">
          <w:type w:val="continuous"/>
          <w:pgSz w:w="11910" w:h="16840"/>
          <w:pgMar w:top="1340" w:right="720" w:bottom="1280" w:left="720" w:header="0" w:footer="995" w:gutter="0"/>
          <w:cols w:space="720"/>
        </w:sectPr>
      </w:pPr>
    </w:p>
    <w:p w14:paraId="58A8AE17" w14:textId="77777777" w:rsidR="000E52B0" w:rsidRDefault="00F60D74">
      <w:pPr>
        <w:pStyle w:val="Textoindependiente"/>
        <w:spacing w:before="83"/>
        <w:ind w:right="723"/>
        <w:jc w:val="both"/>
      </w:pPr>
      <w:r>
        <w:lastRenderedPageBreak/>
        <w:t>son Guainía, Vaupés, Chocó, Putumayo, La Guajira y San Andrés. Departamentos en las regiones Orinoquía, Amazonía, Pacífica y Caribe</w:t>
      </w:r>
      <w:hyperlink w:anchor="_bookmark7" w:history="1">
        <w:r w:rsidR="000E52B0">
          <w:rPr>
            <w:position w:val="8"/>
            <w:sz w:val="16"/>
          </w:rPr>
          <w:t>5</w:t>
        </w:r>
      </w:hyperlink>
      <w:r>
        <w:t>.</w:t>
      </w:r>
    </w:p>
    <w:p w14:paraId="5A2B9B4B" w14:textId="77777777" w:rsidR="000E52B0" w:rsidRDefault="00F60D74">
      <w:pPr>
        <w:pStyle w:val="Textoindependiente"/>
        <w:spacing w:before="158"/>
        <w:ind w:right="718"/>
        <w:jc w:val="both"/>
      </w:pPr>
      <w:r>
        <w:t>Según el Censo Nacional de Vivienda y Población 2018, 21,1% de los hogares en la región Caribe no cuentan con acueducto y 8% no cuentan con saneamiento básico, esta es la situación de 18,3% de los hogares en la región Pacífica que no cuentan con acueducto y 7% no cuentan con saneamiento básico, en el caso de la región Amazonía, 53,4% de los hogares no cuentan con acueducto y 16% no cuentan con saneamiento básico. En la región Orinoquía, 23,2% de los hogares no cuentan con acueducto y 5% no cuentan con saneamiento básico.</w:t>
      </w:r>
    </w:p>
    <w:p w14:paraId="55F17E83" w14:textId="77777777" w:rsidR="000E52B0" w:rsidRDefault="00F60D74">
      <w:pPr>
        <w:pStyle w:val="Textoindependiente"/>
        <w:spacing w:before="160"/>
        <w:ind w:right="721"/>
        <w:jc w:val="both"/>
      </w:pPr>
      <w:r>
        <w:t>La concentración territorial de las privaciones a este servicio básico y derecho</w:t>
      </w:r>
      <w:r>
        <w:rPr>
          <w:spacing w:val="-6"/>
        </w:rPr>
        <w:t xml:space="preserve"> </w:t>
      </w:r>
      <w:r>
        <w:t>fundamental</w:t>
      </w:r>
      <w:r>
        <w:rPr>
          <w:spacing w:val="-8"/>
        </w:rPr>
        <w:t xml:space="preserve"> </w:t>
      </w:r>
      <w:r>
        <w:t>está</w:t>
      </w:r>
      <w:r>
        <w:rPr>
          <w:spacing w:val="-6"/>
        </w:rPr>
        <w:t xml:space="preserve"> </w:t>
      </w:r>
      <w:r>
        <w:t>en</w:t>
      </w:r>
      <w:r>
        <w:rPr>
          <w:spacing w:val="-5"/>
        </w:rPr>
        <w:t xml:space="preserve"> </w:t>
      </w:r>
      <w:r>
        <w:t>los</w:t>
      </w:r>
      <w:r>
        <w:rPr>
          <w:spacing w:val="-3"/>
        </w:rPr>
        <w:t xml:space="preserve"> </w:t>
      </w:r>
      <w:r>
        <w:t>mismos</w:t>
      </w:r>
      <w:r>
        <w:rPr>
          <w:spacing w:val="-7"/>
        </w:rPr>
        <w:t xml:space="preserve"> </w:t>
      </w:r>
      <w:r>
        <w:t>territorios</w:t>
      </w:r>
      <w:r>
        <w:rPr>
          <w:spacing w:val="-7"/>
        </w:rPr>
        <w:t xml:space="preserve"> </w:t>
      </w:r>
      <w:r>
        <w:t>donde</w:t>
      </w:r>
      <w:r>
        <w:rPr>
          <w:spacing w:val="-3"/>
        </w:rPr>
        <w:t xml:space="preserve"> </w:t>
      </w:r>
      <w:r>
        <w:t>la</w:t>
      </w:r>
      <w:r>
        <w:rPr>
          <w:spacing w:val="-6"/>
        </w:rPr>
        <w:t xml:space="preserve"> </w:t>
      </w:r>
      <w:r>
        <w:t>esperanza</w:t>
      </w:r>
      <w:r>
        <w:rPr>
          <w:spacing w:val="-6"/>
        </w:rPr>
        <w:t xml:space="preserve"> </w:t>
      </w:r>
      <w:r>
        <w:t>de vida es menor, y también donde han llegado menos recursos del presupuesto general de la nación (ilustración 5).</w:t>
      </w:r>
    </w:p>
    <w:p w14:paraId="2C8F4181" w14:textId="77777777" w:rsidR="000E52B0" w:rsidRDefault="00F60D74">
      <w:pPr>
        <w:spacing w:before="159"/>
        <w:jc w:val="center"/>
        <w:rPr>
          <w:i/>
          <w:sz w:val="18"/>
        </w:rPr>
      </w:pPr>
      <w:r>
        <w:rPr>
          <w:i/>
          <w:color w:val="454551"/>
          <w:sz w:val="18"/>
        </w:rPr>
        <w:t>Ilustración</w:t>
      </w:r>
      <w:r>
        <w:rPr>
          <w:i/>
          <w:color w:val="454551"/>
          <w:spacing w:val="-2"/>
          <w:sz w:val="18"/>
        </w:rPr>
        <w:t xml:space="preserve"> </w:t>
      </w:r>
      <w:r>
        <w:rPr>
          <w:i/>
          <w:color w:val="454551"/>
          <w:sz w:val="18"/>
        </w:rPr>
        <w:t>5.</w:t>
      </w:r>
      <w:r>
        <w:rPr>
          <w:i/>
          <w:color w:val="454551"/>
          <w:spacing w:val="-4"/>
          <w:sz w:val="18"/>
        </w:rPr>
        <w:t xml:space="preserve"> </w:t>
      </w:r>
      <w:r>
        <w:rPr>
          <w:i/>
          <w:color w:val="454551"/>
          <w:sz w:val="18"/>
        </w:rPr>
        <w:t>Porcentaje</w:t>
      </w:r>
      <w:r>
        <w:rPr>
          <w:i/>
          <w:color w:val="454551"/>
          <w:spacing w:val="-2"/>
          <w:sz w:val="18"/>
        </w:rPr>
        <w:t xml:space="preserve"> </w:t>
      </w:r>
      <w:r>
        <w:rPr>
          <w:i/>
          <w:color w:val="454551"/>
          <w:sz w:val="18"/>
        </w:rPr>
        <w:t>de</w:t>
      </w:r>
      <w:r>
        <w:rPr>
          <w:i/>
          <w:color w:val="454551"/>
          <w:spacing w:val="-3"/>
          <w:sz w:val="18"/>
        </w:rPr>
        <w:t xml:space="preserve"> </w:t>
      </w:r>
      <w:r>
        <w:rPr>
          <w:i/>
          <w:color w:val="454551"/>
          <w:sz w:val="18"/>
        </w:rPr>
        <w:t>hogares</w:t>
      </w:r>
      <w:r>
        <w:rPr>
          <w:i/>
          <w:color w:val="454551"/>
          <w:spacing w:val="-2"/>
          <w:sz w:val="18"/>
        </w:rPr>
        <w:t xml:space="preserve"> </w:t>
      </w:r>
      <w:r>
        <w:rPr>
          <w:i/>
          <w:color w:val="454551"/>
          <w:sz w:val="18"/>
        </w:rPr>
        <w:t>sin</w:t>
      </w:r>
      <w:r>
        <w:rPr>
          <w:i/>
          <w:color w:val="454551"/>
          <w:spacing w:val="-2"/>
          <w:sz w:val="18"/>
        </w:rPr>
        <w:t xml:space="preserve"> </w:t>
      </w:r>
      <w:r>
        <w:rPr>
          <w:i/>
          <w:color w:val="454551"/>
          <w:sz w:val="18"/>
        </w:rPr>
        <w:t>acceso</w:t>
      </w:r>
      <w:r>
        <w:rPr>
          <w:i/>
          <w:color w:val="454551"/>
          <w:spacing w:val="-3"/>
          <w:sz w:val="18"/>
        </w:rPr>
        <w:t xml:space="preserve"> </w:t>
      </w:r>
      <w:r>
        <w:rPr>
          <w:i/>
          <w:color w:val="454551"/>
          <w:sz w:val="18"/>
        </w:rPr>
        <w:t>a</w:t>
      </w:r>
      <w:r>
        <w:rPr>
          <w:i/>
          <w:color w:val="454551"/>
          <w:spacing w:val="-2"/>
          <w:sz w:val="18"/>
        </w:rPr>
        <w:t xml:space="preserve"> acueducto</w:t>
      </w:r>
    </w:p>
    <w:p w14:paraId="0ED0CA82" w14:textId="77777777" w:rsidR="000E52B0" w:rsidRDefault="00F60D74">
      <w:pPr>
        <w:pStyle w:val="Textoindependiente"/>
        <w:spacing w:before="148"/>
        <w:ind w:left="0"/>
        <w:rPr>
          <w:i/>
          <w:sz w:val="20"/>
        </w:rPr>
      </w:pPr>
      <w:r>
        <w:rPr>
          <w:i/>
          <w:noProof/>
          <w:sz w:val="20"/>
        </w:rPr>
        <w:drawing>
          <wp:anchor distT="0" distB="0" distL="0" distR="0" simplePos="0" relativeHeight="487594496" behindDoc="1" locked="0" layoutInCell="1" allowOverlap="1" wp14:anchorId="54DD2A62" wp14:editId="43AFE2AB">
            <wp:simplePos x="0" y="0"/>
            <wp:positionH relativeFrom="page">
              <wp:posOffset>2152550</wp:posOffset>
            </wp:positionH>
            <wp:positionV relativeFrom="paragraph">
              <wp:posOffset>263719</wp:posOffset>
            </wp:positionV>
            <wp:extent cx="3171211" cy="4429886"/>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7" cstate="print"/>
                    <a:stretch>
                      <a:fillRect/>
                    </a:stretch>
                  </pic:blipFill>
                  <pic:spPr>
                    <a:xfrm>
                      <a:off x="0" y="0"/>
                      <a:ext cx="3171211" cy="4429886"/>
                    </a:xfrm>
                    <a:prstGeom prst="rect">
                      <a:avLst/>
                    </a:prstGeom>
                  </pic:spPr>
                </pic:pic>
              </a:graphicData>
            </a:graphic>
          </wp:anchor>
        </w:drawing>
      </w:r>
    </w:p>
    <w:p w14:paraId="7AF58C21" w14:textId="77777777" w:rsidR="000E52B0" w:rsidRDefault="000E52B0">
      <w:pPr>
        <w:pStyle w:val="Textoindependiente"/>
        <w:ind w:left="0"/>
        <w:rPr>
          <w:i/>
          <w:sz w:val="20"/>
        </w:rPr>
      </w:pPr>
    </w:p>
    <w:p w14:paraId="390DC2F4" w14:textId="77777777" w:rsidR="000E52B0" w:rsidRDefault="000E52B0">
      <w:pPr>
        <w:pStyle w:val="Textoindependiente"/>
        <w:ind w:left="0"/>
        <w:rPr>
          <w:i/>
          <w:sz w:val="20"/>
        </w:rPr>
      </w:pPr>
    </w:p>
    <w:p w14:paraId="5FFCD2F2" w14:textId="77777777" w:rsidR="000E52B0" w:rsidRDefault="000E52B0">
      <w:pPr>
        <w:pStyle w:val="Textoindependiente"/>
        <w:ind w:left="0"/>
        <w:rPr>
          <w:i/>
          <w:sz w:val="20"/>
        </w:rPr>
      </w:pPr>
    </w:p>
    <w:p w14:paraId="0135729F" w14:textId="77777777" w:rsidR="000E52B0" w:rsidRDefault="000E52B0">
      <w:pPr>
        <w:pStyle w:val="Textoindependiente"/>
        <w:ind w:left="0"/>
        <w:rPr>
          <w:i/>
          <w:sz w:val="20"/>
        </w:rPr>
      </w:pPr>
    </w:p>
    <w:p w14:paraId="7A7AF608" w14:textId="77777777" w:rsidR="000E52B0" w:rsidRDefault="00F60D74">
      <w:pPr>
        <w:pStyle w:val="Textoindependiente"/>
        <w:spacing w:before="20"/>
        <w:ind w:left="0"/>
        <w:rPr>
          <w:i/>
          <w:sz w:val="20"/>
        </w:rPr>
      </w:pPr>
      <w:r>
        <w:rPr>
          <w:i/>
          <w:noProof/>
          <w:sz w:val="20"/>
        </w:rPr>
        <mc:AlternateContent>
          <mc:Choice Requires="wps">
            <w:drawing>
              <wp:anchor distT="0" distB="0" distL="0" distR="0" simplePos="0" relativeHeight="487595008" behindDoc="1" locked="0" layoutInCell="1" allowOverlap="1" wp14:anchorId="4D9797A2" wp14:editId="4BA0EFB4">
                <wp:simplePos x="0" y="0"/>
                <wp:positionH relativeFrom="page">
                  <wp:posOffset>914704</wp:posOffset>
                </wp:positionH>
                <wp:positionV relativeFrom="paragraph">
                  <wp:posOffset>182799</wp:posOffset>
                </wp:positionV>
                <wp:extent cx="1829435" cy="762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2B48DD" id="Graphic 38" o:spid="_x0000_s1026" style="position:absolute;margin-left:1in;margin-top:14.4pt;width:144.05pt;height:.6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" path="m1829054,l,,,7619r1829054,l1829054,xe" fillcolor="black" stroked="f">
                <v:path arrowok="t"/>
                <w10:wrap type="topAndBottom" anchorx="page"/>
              </v:shape>
            </w:pict>
          </mc:Fallback>
        </mc:AlternateContent>
      </w:r>
    </w:p>
    <w:p w14:paraId="5A3D7A8E" w14:textId="77777777" w:rsidR="000E52B0" w:rsidRDefault="00F60D74">
      <w:pPr>
        <w:spacing w:before="96"/>
        <w:ind w:left="720" w:right="824"/>
        <w:rPr>
          <w:rFonts w:ascii="Arial MT"/>
          <w:sz w:val="18"/>
        </w:rPr>
      </w:pPr>
      <w:bookmarkStart w:id="7" w:name="_bookmark7"/>
      <w:bookmarkEnd w:id="7"/>
      <w:r>
        <w:rPr>
          <w:rFonts w:ascii="Arial MT"/>
          <w:position w:val="6"/>
          <w:sz w:val="12"/>
        </w:rPr>
        <w:t>5</w:t>
      </w:r>
      <w:r>
        <w:rPr>
          <w:rFonts w:ascii="Arial MT"/>
          <w:spacing w:val="36"/>
          <w:position w:val="6"/>
          <w:sz w:val="12"/>
        </w:rPr>
        <w:t xml:space="preserve"> </w:t>
      </w:r>
      <w:proofErr w:type="gramStart"/>
      <w:r>
        <w:rPr>
          <w:rFonts w:ascii="Arial MT"/>
          <w:sz w:val="18"/>
        </w:rPr>
        <w:t>Ministerio</w:t>
      </w:r>
      <w:proofErr w:type="gramEnd"/>
      <w:r>
        <w:rPr>
          <w:rFonts w:ascii="Arial MT"/>
          <w:sz w:val="18"/>
        </w:rPr>
        <w:t xml:space="preserve"> de Vivienda, Ciudad y Territorio. Ver: </w:t>
      </w:r>
      <w:hyperlink r:id="rId28">
        <w:r w:rsidR="000E52B0">
          <w:rPr>
            <w:rFonts w:ascii="Arial MT"/>
            <w:color w:val="E22C91"/>
            <w:spacing w:val="-2"/>
            <w:sz w:val="18"/>
            <w:u w:val="single" w:color="E22C91"/>
          </w:rPr>
          <w:t>https://www.minvivienda.gov.co/sites/default/files/documentos/231117_informe-rendicion-de-cuentas-mvct-1.pdf</w:t>
        </w:r>
      </w:hyperlink>
    </w:p>
    <w:p w14:paraId="03938350" w14:textId="77777777" w:rsidR="000E52B0" w:rsidRDefault="000E52B0">
      <w:pPr>
        <w:rPr>
          <w:rFonts w:ascii="Arial MT"/>
          <w:sz w:val="18"/>
        </w:rPr>
        <w:sectPr w:rsidR="000E52B0">
          <w:pgSz w:w="11910" w:h="16840"/>
          <w:pgMar w:top="1340" w:right="720" w:bottom="1180" w:left="720" w:header="0" w:footer="995" w:gutter="0"/>
          <w:cols w:space="720"/>
        </w:sectPr>
      </w:pPr>
    </w:p>
    <w:p w14:paraId="4D2152DA" w14:textId="77777777" w:rsidR="000E52B0" w:rsidRDefault="00F60D74">
      <w:pPr>
        <w:pStyle w:val="Textoindependiente"/>
        <w:spacing w:before="83"/>
        <w:ind w:right="714"/>
        <w:jc w:val="both"/>
      </w:pPr>
      <w:r>
        <w:lastRenderedPageBreak/>
        <w:t>En el caso de energía eléctrica, de acuerdo con la Superintendencia de Servicios Públicos</w:t>
      </w:r>
      <w:hyperlink w:anchor="_bookmark8" w:history="1">
        <w:r w:rsidR="000E52B0">
          <w:rPr>
            <w:position w:val="8"/>
            <w:sz w:val="16"/>
          </w:rPr>
          <w:t>6</w:t>
        </w:r>
      </w:hyperlink>
      <w:r>
        <w:rPr>
          <w:spacing w:val="40"/>
          <w:position w:val="8"/>
          <w:sz w:val="16"/>
        </w:rPr>
        <w:t xml:space="preserve"> </w:t>
      </w:r>
      <w:r>
        <w:t>las zonas no interconectadas ocupan el 52% del territorio</w:t>
      </w:r>
      <w:r>
        <w:rPr>
          <w:spacing w:val="-22"/>
        </w:rPr>
        <w:t xml:space="preserve"> </w:t>
      </w:r>
      <w:r>
        <w:t>nacional</w:t>
      </w:r>
      <w:r>
        <w:rPr>
          <w:spacing w:val="-18"/>
        </w:rPr>
        <w:t xml:space="preserve"> </w:t>
      </w:r>
      <w:r>
        <w:t>y</w:t>
      </w:r>
      <w:r>
        <w:rPr>
          <w:spacing w:val="-20"/>
        </w:rPr>
        <w:t xml:space="preserve"> </w:t>
      </w:r>
      <w:r>
        <w:t>se</w:t>
      </w:r>
      <w:r>
        <w:rPr>
          <w:spacing w:val="-21"/>
        </w:rPr>
        <w:t xml:space="preserve"> </w:t>
      </w:r>
      <w:r>
        <w:t>concentra</w:t>
      </w:r>
      <w:r>
        <w:rPr>
          <w:spacing w:val="-21"/>
        </w:rPr>
        <w:t xml:space="preserve"> </w:t>
      </w:r>
      <w:r>
        <w:t>principalmente</w:t>
      </w:r>
      <w:r>
        <w:rPr>
          <w:spacing w:val="-21"/>
        </w:rPr>
        <w:t xml:space="preserve"> </w:t>
      </w:r>
      <w:r>
        <w:t>en</w:t>
      </w:r>
      <w:r>
        <w:rPr>
          <w:spacing w:val="-22"/>
        </w:rPr>
        <w:t xml:space="preserve"> </w:t>
      </w:r>
      <w:r>
        <w:t>los</w:t>
      </w:r>
      <w:r>
        <w:rPr>
          <w:spacing w:val="-18"/>
        </w:rPr>
        <w:t xml:space="preserve"> </w:t>
      </w:r>
      <w:r>
        <w:t>territorios</w:t>
      </w:r>
      <w:r>
        <w:rPr>
          <w:spacing w:val="-22"/>
        </w:rPr>
        <w:t xml:space="preserve"> </w:t>
      </w:r>
      <w:r>
        <w:t>insulares, el</w:t>
      </w:r>
      <w:r>
        <w:rPr>
          <w:spacing w:val="-22"/>
        </w:rPr>
        <w:t xml:space="preserve"> </w:t>
      </w:r>
      <w:r>
        <w:t>Chocó</w:t>
      </w:r>
      <w:r>
        <w:rPr>
          <w:spacing w:val="-21"/>
        </w:rPr>
        <w:t xml:space="preserve"> </w:t>
      </w:r>
      <w:r>
        <w:t>biogeográfico,</w:t>
      </w:r>
      <w:r>
        <w:rPr>
          <w:spacing w:val="-21"/>
        </w:rPr>
        <w:t xml:space="preserve"> </w:t>
      </w:r>
      <w:r>
        <w:t>la</w:t>
      </w:r>
      <w:r>
        <w:rPr>
          <w:spacing w:val="-21"/>
        </w:rPr>
        <w:t xml:space="preserve"> </w:t>
      </w:r>
      <w:r>
        <w:t>Orinoquía</w:t>
      </w:r>
      <w:r>
        <w:rPr>
          <w:spacing w:val="-21"/>
        </w:rPr>
        <w:t xml:space="preserve"> </w:t>
      </w:r>
      <w:r>
        <w:t>y</w:t>
      </w:r>
      <w:r>
        <w:rPr>
          <w:spacing w:val="-21"/>
        </w:rPr>
        <w:t xml:space="preserve"> </w:t>
      </w:r>
      <w:r>
        <w:t>Amazonía</w:t>
      </w:r>
      <w:r>
        <w:rPr>
          <w:spacing w:val="-21"/>
        </w:rPr>
        <w:t xml:space="preserve"> </w:t>
      </w:r>
      <w:r>
        <w:t>(ilustración</w:t>
      </w:r>
      <w:r>
        <w:rPr>
          <w:spacing w:val="-21"/>
        </w:rPr>
        <w:t xml:space="preserve"> </w:t>
      </w:r>
      <w:r>
        <w:t>6).</w:t>
      </w:r>
      <w:r>
        <w:rPr>
          <w:spacing w:val="-21"/>
        </w:rPr>
        <w:t xml:space="preserve"> </w:t>
      </w:r>
      <w:r>
        <w:t>Los</w:t>
      </w:r>
      <w:r>
        <w:rPr>
          <w:spacing w:val="-21"/>
        </w:rPr>
        <w:t xml:space="preserve"> </w:t>
      </w:r>
      <w:r>
        <w:t>rezagos en materia de infraestructura para servicios básicos se concentran reiteradamente en estos territorios.</w:t>
      </w:r>
    </w:p>
    <w:p w14:paraId="12745748" w14:textId="77777777" w:rsidR="000E52B0" w:rsidRDefault="00F60D74">
      <w:pPr>
        <w:spacing w:before="290"/>
        <w:ind w:left="2"/>
        <w:jc w:val="center"/>
        <w:rPr>
          <w:i/>
          <w:sz w:val="18"/>
        </w:rPr>
      </w:pPr>
      <w:r>
        <w:rPr>
          <w:i/>
          <w:color w:val="454551"/>
          <w:sz w:val="18"/>
        </w:rPr>
        <w:t>Ilustración</w:t>
      </w:r>
      <w:r>
        <w:rPr>
          <w:i/>
          <w:color w:val="454551"/>
          <w:spacing w:val="-3"/>
          <w:sz w:val="18"/>
        </w:rPr>
        <w:t xml:space="preserve"> </w:t>
      </w:r>
      <w:r>
        <w:rPr>
          <w:i/>
          <w:color w:val="454551"/>
          <w:sz w:val="18"/>
        </w:rPr>
        <w:t>6.</w:t>
      </w:r>
      <w:r>
        <w:rPr>
          <w:i/>
          <w:color w:val="454551"/>
          <w:spacing w:val="-4"/>
          <w:sz w:val="18"/>
        </w:rPr>
        <w:t xml:space="preserve"> </w:t>
      </w:r>
      <w:r>
        <w:rPr>
          <w:i/>
          <w:color w:val="454551"/>
          <w:sz w:val="18"/>
        </w:rPr>
        <w:t>Privación</w:t>
      </w:r>
      <w:r>
        <w:rPr>
          <w:i/>
          <w:color w:val="454551"/>
          <w:spacing w:val="-4"/>
          <w:sz w:val="18"/>
        </w:rPr>
        <w:t xml:space="preserve"> </w:t>
      </w:r>
      <w:r>
        <w:rPr>
          <w:i/>
          <w:color w:val="454551"/>
          <w:sz w:val="18"/>
        </w:rPr>
        <w:t>de</w:t>
      </w:r>
      <w:r>
        <w:rPr>
          <w:i/>
          <w:color w:val="454551"/>
          <w:spacing w:val="-4"/>
          <w:sz w:val="18"/>
        </w:rPr>
        <w:t xml:space="preserve"> </w:t>
      </w:r>
      <w:r>
        <w:rPr>
          <w:i/>
          <w:color w:val="454551"/>
          <w:sz w:val="18"/>
        </w:rPr>
        <w:t>energía</w:t>
      </w:r>
      <w:r>
        <w:rPr>
          <w:i/>
          <w:color w:val="454551"/>
          <w:spacing w:val="-3"/>
          <w:sz w:val="18"/>
        </w:rPr>
        <w:t xml:space="preserve"> </w:t>
      </w:r>
      <w:r>
        <w:rPr>
          <w:i/>
          <w:color w:val="454551"/>
          <w:spacing w:val="-2"/>
          <w:sz w:val="18"/>
        </w:rPr>
        <w:t>eléctrica</w:t>
      </w:r>
    </w:p>
    <w:p w14:paraId="14450FB8" w14:textId="77777777" w:rsidR="000E52B0" w:rsidRDefault="00F60D74">
      <w:pPr>
        <w:pStyle w:val="Textoindependiente"/>
        <w:spacing w:before="24"/>
        <w:ind w:left="0"/>
        <w:rPr>
          <w:i/>
          <w:sz w:val="20"/>
        </w:rPr>
      </w:pPr>
      <w:r>
        <w:rPr>
          <w:i/>
          <w:noProof/>
          <w:sz w:val="20"/>
        </w:rPr>
        <w:drawing>
          <wp:anchor distT="0" distB="0" distL="0" distR="0" simplePos="0" relativeHeight="487595520" behindDoc="1" locked="0" layoutInCell="1" allowOverlap="1" wp14:anchorId="78189BA9" wp14:editId="6318A957">
            <wp:simplePos x="0" y="0"/>
            <wp:positionH relativeFrom="page">
              <wp:posOffset>1750307</wp:posOffset>
            </wp:positionH>
            <wp:positionV relativeFrom="paragraph">
              <wp:posOffset>185222</wp:posOffset>
            </wp:positionV>
            <wp:extent cx="4112605" cy="5474493"/>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9" cstate="print"/>
                    <a:stretch>
                      <a:fillRect/>
                    </a:stretch>
                  </pic:blipFill>
                  <pic:spPr>
                    <a:xfrm>
                      <a:off x="0" y="0"/>
                      <a:ext cx="4112605" cy="5474493"/>
                    </a:xfrm>
                    <a:prstGeom prst="rect">
                      <a:avLst/>
                    </a:prstGeom>
                  </pic:spPr>
                </pic:pic>
              </a:graphicData>
            </a:graphic>
          </wp:anchor>
        </w:drawing>
      </w:r>
    </w:p>
    <w:p w14:paraId="3878BFEA" w14:textId="77777777" w:rsidR="000E52B0" w:rsidRDefault="000E52B0">
      <w:pPr>
        <w:pStyle w:val="Textoindependiente"/>
        <w:ind w:left="0"/>
        <w:rPr>
          <w:i/>
          <w:sz w:val="18"/>
        </w:rPr>
      </w:pPr>
    </w:p>
    <w:p w14:paraId="0B674515" w14:textId="77777777" w:rsidR="000E52B0" w:rsidRDefault="000E52B0">
      <w:pPr>
        <w:pStyle w:val="Textoindependiente"/>
        <w:spacing w:before="87"/>
        <w:ind w:left="0"/>
        <w:rPr>
          <w:i/>
          <w:sz w:val="18"/>
        </w:rPr>
      </w:pPr>
    </w:p>
    <w:p w14:paraId="13D1FEA3" w14:textId="77777777" w:rsidR="000E52B0" w:rsidRDefault="00F60D74">
      <w:pPr>
        <w:pStyle w:val="Textoindependiente"/>
        <w:ind w:right="716"/>
        <w:jc w:val="both"/>
      </w:pPr>
      <w:r>
        <w:t>En el mismo sentido, si bien Colombia, en general presenta problemas de conectividad críticos entre las principales regiones</w:t>
      </w:r>
      <w:hyperlink w:anchor="_bookmark9" w:history="1">
        <w:r w:rsidR="000E52B0">
          <w:rPr>
            <w:position w:val="8"/>
            <w:sz w:val="16"/>
          </w:rPr>
          <w:t>7</w:t>
        </w:r>
      </w:hyperlink>
      <w:r>
        <w:t>, los 13 clústeres identificados</w:t>
      </w:r>
      <w:r>
        <w:rPr>
          <w:spacing w:val="3"/>
        </w:rPr>
        <w:t xml:space="preserve"> </w:t>
      </w:r>
      <w:r>
        <w:t>por</w:t>
      </w:r>
      <w:r>
        <w:rPr>
          <w:spacing w:val="4"/>
        </w:rPr>
        <w:t xml:space="preserve"> </w:t>
      </w:r>
      <w:r>
        <w:t>el</w:t>
      </w:r>
      <w:r>
        <w:rPr>
          <w:spacing w:val="5"/>
        </w:rPr>
        <w:t xml:space="preserve"> </w:t>
      </w:r>
      <w:r>
        <w:t>Banco</w:t>
      </w:r>
      <w:r>
        <w:rPr>
          <w:spacing w:val="4"/>
        </w:rPr>
        <w:t xml:space="preserve"> </w:t>
      </w:r>
      <w:r>
        <w:t>Interamericano</w:t>
      </w:r>
      <w:r>
        <w:rPr>
          <w:spacing w:val="5"/>
        </w:rPr>
        <w:t xml:space="preserve"> </w:t>
      </w:r>
      <w:r>
        <w:t>de</w:t>
      </w:r>
      <w:r>
        <w:rPr>
          <w:spacing w:val="4"/>
        </w:rPr>
        <w:t xml:space="preserve"> </w:t>
      </w:r>
      <w:proofErr w:type="gramStart"/>
      <w:r>
        <w:t>Desarrollo,</w:t>
      </w:r>
      <w:proofErr w:type="gramEnd"/>
      <w:r>
        <w:rPr>
          <w:spacing w:val="3"/>
        </w:rPr>
        <w:t xml:space="preserve"> </w:t>
      </w:r>
      <w:r>
        <w:t>se</w:t>
      </w:r>
      <w:r>
        <w:rPr>
          <w:spacing w:val="4"/>
        </w:rPr>
        <w:t xml:space="preserve"> </w:t>
      </w:r>
      <w:r>
        <w:t>concentran</w:t>
      </w:r>
      <w:r>
        <w:rPr>
          <w:spacing w:val="4"/>
        </w:rPr>
        <w:t xml:space="preserve"> </w:t>
      </w:r>
      <w:r>
        <w:rPr>
          <w:spacing w:val="-5"/>
        </w:rPr>
        <w:t>en</w:t>
      </w:r>
    </w:p>
    <w:p w14:paraId="7A227C0B" w14:textId="77777777" w:rsidR="000E52B0" w:rsidRDefault="00F60D74">
      <w:pPr>
        <w:pStyle w:val="Textoindependiente"/>
        <w:spacing w:before="9"/>
        <w:ind w:left="0"/>
        <w:rPr>
          <w:sz w:val="17"/>
        </w:rPr>
      </w:pPr>
      <w:r>
        <w:rPr>
          <w:noProof/>
          <w:sz w:val="17"/>
        </w:rPr>
        <mc:AlternateContent>
          <mc:Choice Requires="wps">
            <w:drawing>
              <wp:anchor distT="0" distB="0" distL="0" distR="0" simplePos="0" relativeHeight="487596032" behindDoc="1" locked="0" layoutInCell="1" allowOverlap="1" wp14:anchorId="44254DB1" wp14:editId="66224608">
                <wp:simplePos x="0" y="0"/>
                <wp:positionH relativeFrom="page">
                  <wp:posOffset>914704</wp:posOffset>
                </wp:positionH>
                <wp:positionV relativeFrom="paragraph">
                  <wp:posOffset>152694</wp:posOffset>
                </wp:positionV>
                <wp:extent cx="1829435" cy="762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BB9CD2" id="Graphic 40" o:spid="_x0000_s1026" style="position:absolute;margin-left:1in;margin-top:12pt;width:144.05pt;height:.6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" path="m1829054,l,,,7619r1829054,l1829054,xe" fillcolor="black" stroked="f">
                <v:path arrowok="t"/>
                <w10:wrap type="topAndBottom" anchorx="page"/>
              </v:shape>
            </w:pict>
          </mc:Fallback>
        </mc:AlternateContent>
      </w:r>
    </w:p>
    <w:p w14:paraId="17FDA11E" w14:textId="77777777" w:rsidR="000E52B0" w:rsidRDefault="00F60D74">
      <w:pPr>
        <w:tabs>
          <w:tab w:val="left" w:pos="1704"/>
        </w:tabs>
        <w:spacing w:before="96"/>
        <w:ind w:left="720" w:right="710"/>
        <w:jc w:val="both"/>
        <w:rPr>
          <w:rFonts w:ascii="Arial MT" w:hAnsi="Arial MT"/>
          <w:sz w:val="18"/>
        </w:rPr>
      </w:pPr>
      <w:bookmarkStart w:id="8" w:name="_bookmark8"/>
      <w:bookmarkEnd w:id="8"/>
      <w:r>
        <w:rPr>
          <w:rFonts w:ascii="Arial MT" w:hAnsi="Arial MT"/>
          <w:position w:val="6"/>
          <w:sz w:val="12"/>
        </w:rPr>
        <w:t>6</w:t>
      </w:r>
      <w:r>
        <w:rPr>
          <w:rFonts w:ascii="Arial MT" w:hAnsi="Arial MT"/>
          <w:spacing w:val="7"/>
          <w:position w:val="6"/>
          <w:sz w:val="12"/>
        </w:rPr>
        <w:t xml:space="preserve"> </w:t>
      </w:r>
      <w:proofErr w:type="gramStart"/>
      <w:r>
        <w:rPr>
          <w:rFonts w:ascii="Arial MT" w:hAnsi="Arial MT"/>
          <w:sz w:val="18"/>
        </w:rPr>
        <w:t>Superintendencia</w:t>
      </w:r>
      <w:proofErr w:type="gramEnd"/>
      <w:r>
        <w:rPr>
          <w:rFonts w:ascii="Arial MT" w:hAnsi="Arial MT"/>
          <w:spacing w:val="-10"/>
          <w:sz w:val="18"/>
        </w:rPr>
        <w:t xml:space="preserve"> </w:t>
      </w:r>
      <w:r>
        <w:rPr>
          <w:rFonts w:ascii="Arial MT" w:hAnsi="Arial MT"/>
          <w:sz w:val="18"/>
        </w:rPr>
        <w:t>de</w:t>
      </w:r>
      <w:r>
        <w:rPr>
          <w:rFonts w:ascii="Arial MT" w:hAnsi="Arial MT"/>
          <w:spacing w:val="-10"/>
          <w:sz w:val="18"/>
        </w:rPr>
        <w:t xml:space="preserve"> </w:t>
      </w:r>
      <w:r>
        <w:rPr>
          <w:rFonts w:ascii="Arial MT" w:hAnsi="Arial MT"/>
          <w:sz w:val="18"/>
        </w:rPr>
        <w:t>Servicios</w:t>
      </w:r>
      <w:r>
        <w:rPr>
          <w:rFonts w:ascii="Arial MT" w:hAnsi="Arial MT"/>
          <w:spacing w:val="-9"/>
          <w:sz w:val="18"/>
        </w:rPr>
        <w:t xml:space="preserve"> </w:t>
      </w:r>
      <w:r>
        <w:rPr>
          <w:rFonts w:ascii="Arial MT" w:hAnsi="Arial MT"/>
          <w:sz w:val="18"/>
        </w:rPr>
        <w:t>Públicos.</w:t>
      </w:r>
      <w:r>
        <w:rPr>
          <w:rFonts w:ascii="Arial MT" w:hAnsi="Arial MT"/>
          <w:spacing w:val="-6"/>
          <w:sz w:val="18"/>
        </w:rPr>
        <w:t xml:space="preserve"> </w:t>
      </w:r>
      <w:r>
        <w:rPr>
          <w:rFonts w:ascii="Arial MT" w:hAnsi="Arial MT"/>
          <w:sz w:val="18"/>
        </w:rPr>
        <w:t>Informe</w:t>
      </w:r>
      <w:r>
        <w:rPr>
          <w:rFonts w:ascii="Arial MT" w:hAnsi="Arial MT"/>
          <w:spacing w:val="-10"/>
          <w:sz w:val="18"/>
        </w:rPr>
        <w:t xml:space="preserve"> </w:t>
      </w:r>
      <w:r>
        <w:rPr>
          <w:rFonts w:ascii="Arial MT" w:hAnsi="Arial MT"/>
          <w:sz w:val="18"/>
        </w:rPr>
        <w:t>Sectorial</w:t>
      </w:r>
      <w:r>
        <w:rPr>
          <w:rFonts w:ascii="Arial MT" w:hAnsi="Arial MT"/>
          <w:spacing w:val="-12"/>
          <w:sz w:val="18"/>
        </w:rPr>
        <w:t xml:space="preserve"> </w:t>
      </w:r>
      <w:r>
        <w:rPr>
          <w:rFonts w:ascii="Arial MT" w:hAnsi="Arial MT"/>
          <w:sz w:val="18"/>
        </w:rPr>
        <w:t>de</w:t>
      </w:r>
      <w:r>
        <w:rPr>
          <w:rFonts w:ascii="Arial MT" w:hAnsi="Arial MT"/>
          <w:spacing w:val="-10"/>
          <w:sz w:val="18"/>
        </w:rPr>
        <w:t xml:space="preserve"> </w:t>
      </w:r>
      <w:r>
        <w:rPr>
          <w:rFonts w:ascii="Arial MT" w:hAnsi="Arial MT"/>
          <w:sz w:val="18"/>
        </w:rPr>
        <w:t>la</w:t>
      </w:r>
      <w:r>
        <w:rPr>
          <w:rFonts w:ascii="Arial MT" w:hAnsi="Arial MT"/>
          <w:spacing w:val="-12"/>
          <w:sz w:val="18"/>
        </w:rPr>
        <w:t xml:space="preserve"> </w:t>
      </w:r>
      <w:r>
        <w:rPr>
          <w:rFonts w:ascii="Arial MT" w:hAnsi="Arial MT"/>
          <w:sz w:val="18"/>
        </w:rPr>
        <w:t>prestación</w:t>
      </w:r>
      <w:r>
        <w:rPr>
          <w:rFonts w:ascii="Arial MT" w:hAnsi="Arial MT"/>
          <w:spacing w:val="-10"/>
          <w:sz w:val="18"/>
        </w:rPr>
        <w:t xml:space="preserve"> </w:t>
      </w:r>
      <w:r>
        <w:rPr>
          <w:rFonts w:ascii="Arial MT" w:hAnsi="Arial MT"/>
          <w:sz w:val="18"/>
        </w:rPr>
        <w:t>del</w:t>
      </w:r>
      <w:r>
        <w:rPr>
          <w:rFonts w:ascii="Arial MT" w:hAnsi="Arial MT"/>
          <w:spacing w:val="-12"/>
          <w:sz w:val="18"/>
        </w:rPr>
        <w:t xml:space="preserve"> </w:t>
      </w:r>
      <w:r>
        <w:rPr>
          <w:rFonts w:ascii="Arial MT" w:hAnsi="Arial MT"/>
          <w:sz w:val="18"/>
        </w:rPr>
        <w:t>servicio</w:t>
      </w:r>
      <w:r>
        <w:rPr>
          <w:rFonts w:ascii="Arial MT" w:hAnsi="Arial MT"/>
          <w:spacing w:val="-12"/>
          <w:sz w:val="18"/>
        </w:rPr>
        <w:t xml:space="preserve"> </w:t>
      </w:r>
      <w:r>
        <w:rPr>
          <w:rFonts w:ascii="Arial MT" w:hAnsi="Arial MT"/>
          <w:sz w:val="18"/>
        </w:rPr>
        <w:t>de</w:t>
      </w:r>
      <w:r>
        <w:rPr>
          <w:rFonts w:ascii="Arial MT" w:hAnsi="Arial MT"/>
          <w:spacing w:val="-12"/>
          <w:sz w:val="18"/>
        </w:rPr>
        <w:t xml:space="preserve"> </w:t>
      </w:r>
      <w:r>
        <w:rPr>
          <w:rFonts w:ascii="Arial MT" w:hAnsi="Arial MT"/>
          <w:sz w:val="18"/>
        </w:rPr>
        <w:t>energía</w:t>
      </w:r>
      <w:r>
        <w:rPr>
          <w:rFonts w:ascii="Arial MT" w:hAnsi="Arial MT"/>
          <w:spacing w:val="-10"/>
          <w:sz w:val="18"/>
        </w:rPr>
        <w:t xml:space="preserve"> </w:t>
      </w:r>
      <w:r>
        <w:rPr>
          <w:rFonts w:ascii="Arial MT" w:hAnsi="Arial MT"/>
          <w:sz w:val="18"/>
        </w:rPr>
        <w:t>eléctrica</w:t>
      </w:r>
      <w:r>
        <w:rPr>
          <w:rFonts w:ascii="Arial MT" w:hAnsi="Arial MT"/>
          <w:spacing w:val="-10"/>
          <w:sz w:val="18"/>
        </w:rPr>
        <w:t xml:space="preserve"> </w:t>
      </w:r>
      <w:r>
        <w:rPr>
          <w:rFonts w:ascii="Arial MT" w:hAnsi="Arial MT"/>
          <w:sz w:val="18"/>
        </w:rPr>
        <w:t xml:space="preserve">2022. </w:t>
      </w:r>
      <w:r>
        <w:rPr>
          <w:rFonts w:ascii="Arial MT" w:hAnsi="Arial MT"/>
          <w:spacing w:val="-4"/>
          <w:sz w:val="18"/>
        </w:rPr>
        <w:t>Ver:</w:t>
      </w:r>
      <w:r>
        <w:rPr>
          <w:rFonts w:ascii="Arial MT" w:hAnsi="Arial MT"/>
          <w:sz w:val="18"/>
        </w:rPr>
        <w:tab/>
      </w:r>
      <w:hyperlink r:id="rId30">
        <w:r w:rsidR="000E52B0">
          <w:rPr>
            <w:rFonts w:ascii="Arial MT" w:hAnsi="Arial MT"/>
            <w:color w:val="E22C91"/>
            <w:spacing w:val="-2"/>
            <w:sz w:val="18"/>
            <w:u w:val="single" w:color="E22C91"/>
          </w:rPr>
          <w:t>https://www.superservicios.gov.co/sites/default/files/inline-files/Informe-sectorial-de-la-prestacion-del-</w:t>
        </w:r>
      </w:hyperlink>
      <w:r>
        <w:rPr>
          <w:rFonts w:ascii="Arial MT" w:hAnsi="Arial MT"/>
          <w:color w:val="E22C91"/>
          <w:spacing w:val="-2"/>
          <w:sz w:val="18"/>
        </w:rPr>
        <w:t xml:space="preserve"> </w:t>
      </w:r>
      <w:hyperlink r:id="rId31">
        <w:r w:rsidR="000E52B0">
          <w:rPr>
            <w:rFonts w:ascii="Arial MT" w:hAnsi="Arial MT"/>
            <w:color w:val="E22C91"/>
            <w:spacing w:val="-2"/>
            <w:sz w:val="18"/>
            <w:u w:val="single" w:color="E22C91"/>
          </w:rPr>
          <w:t>servicio-de-energia-2022.pdf</w:t>
        </w:r>
      </w:hyperlink>
    </w:p>
    <w:p w14:paraId="781ABDC2" w14:textId="77777777" w:rsidR="000E52B0" w:rsidRDefault="00F60D74">
      <w:pPr>
        <w:spacing w:line="242" w:lineRule="auto"/>
        <w:ind w:left="720" w:right="715"/>
        <w:jc w:val="both"/>
        <w:rPr>
          <w:rFonts w:ascii="Arial MT" w:hAnsi="Arial MT"/>
          <w:sz w:val="18"/>
        </w:rPr>
      </w:pPr>
      <w:bookmarkStart w:id="9" w:name="_bookmark9"/>
      <w:bookmarkEnd w:id="9"/>
      <w:r>
        <w:rPr>
          <w:rFonts w:ascii="Arial MT" w:hAnsi="Arial MT"/>
          <w:position w:val="6"/>
          <w:sz w:val="12"/>
        </w:rPr>
        <w:t>7</w:t>
      </w:r>
      <w:r>
        <w:rPr>
          <w:rFonts w:ascii="Arial MT" w:hAnsi="Arial MT"/>
          <w:spacing w:val="12"/>
          <w:position w:val="6"/>
          <w:sz w:val="12"/>
        </w:rPr>
        <w:t xml:space="preserve"> </w:t>
      </w:r>
      <w:proofErr w:type="gramStart"/>
      <w:r>
        <w:rPr>
          <w:rFonts w:ascii="Arial MT" w:hAnsi="Arial MT"/>
          <w:sz w:val="18"/>
        </w:rPr>
        <w:t>Banco</w:t>
      </w:r>
      <w:proofErr w:type="gramEnd"/>
      <w:r>
        <w:rPr>
          <w:rFonts w:ascii="Arial MT" w:hAnsi="Arial MT"/>
          <w:spacing w:val="-5"/>
          <w:sz w:val="18"/>
        </w:rPr>
        <w:t xml:space="preserve"> </w:t>
      </w:r>
      <w:r>
        <w:rPr>
          <w:rFonts w:ascii="Arial MT" w:hAnsi="Arial MT"/>
          <w:sz w:val="18"/>
        </w:rPr>
        <w:t>Interamericano</w:t>
      </w:r>
      <w:r>
        <w:rPr>
          <w:rFonts w:ascii="Arial MT" w:hAnsi="Arial MT"/>
          <w:spacing w:val="-5"/>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Desarrollo.</w:t>
      </w:r>
      <w:r>
        <w:rPr>
          <w:rFonts w:ascii="Arial MT" w:hAnsi="Arial MT"/>
          <w:spacing w:val="-5"/>
          <w:sz w:val="18"/>
        </w:rPr>
        <w:t xml:space="preserve"> </w:t>
      </w:r>
      <w:r>
        <w:rPr>
          <w:rFonts w:ascii="Arial MT" w:hAnsi="Arial MT"/>
          <w:sz w:val="18"/>
        </w:rPr>
        <w:t>Análisis</w:t>
      </w:r>
      <w:r>
        <w:rPr>
          <w:rFonts w:ascii="Arial MT" w:hAnsi="Arial MT"/>
          <w:spacing w:val="-4"/>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conectividad</w:t>
      </w:r>
      <w:r>
        <w:rPr>
          <w:rFonts w:ascii="Arial MT" w:hAnsi="Arial MT"/>
          <w:spacing w:val="-5"/>
          <w:sz w:val="18"/>
        </w:rPr>
        <w:t xml:space="preserve"> </w:t>
      </w:r>
      <w:r>
        <w:rPr>
          <w:rFonts w:ascii="Arial MT" w:hAnsi="Arial MT"/>
          <w:sz w:val="18"/>
        </w:rPr>
        <w:t>vial</w:t>
      </w:r>
      <w:r>
        <w:rPr>
          <w:rFonts w:ascii="Arial MT" w:hAnsi="Arial MT"/>
          <w:spacing w:val="-5"/>
          <w:sz w:val="18"/>
        </w:rPr>
        <w:t xml:space="preserve"> </w:t>
      </w:r>
      <w:r>
        <w:rPr>
          <w:rFonts w:ascii="Arial MT" w:hAnsi="Arial MT"/>
          <w:sz w:val="18"/>
        </w:rPr>
        <w:t>en</w:t>
      </w:r>
      <w:r>
        <w:rPr>
          <w:rFonts w:ascii="Arial MT" w:hAnsi="Arial MT"/>
          <w:spacing w:val="-5"/>
          <w:sz w:val="18"/>
        </w:rPr>
        <w:t xml:space="preserve"> </w:t>
      </w:r>
      <w:r>
        <w:rPr>
          <w:rFonts w:ascii="Arial MT" w:hAnsi="Arial MT"/>
          <w:sz w:val="18"/>
        </w:rPr>
        <w:t>los</w:t>
      </w:r>
      <w:r>
        <w:rPr>
          <w:rFonts w:ascii="Arial MT" w:hAnsi="Arial MT"/>
          <w:spacing w:val="-4"/>
          <w:sz w:val="18"/>
        </w:rPr>
        <w:t xml:space="preserve"> </w:t>
      </w:r>
      <w:r>
        <w:rPr>
          <w:rFonts w:ascii="Arial MT" w:hAnsi="Arial MT"/>
          <w:sz w:val="18"/>
        </w:rPr>
        <w:t>países</w:t>
      </w:r>
      <w:r>
        <w:rPr>
          <w:rFonts w:ascii="Arial MT" w:hAnsi="Arial MT"/>
          <w:spacing w:val="-4"/>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la</w:t>
      </w:r>
      <w:r>
        <w:rPr>
          <w:rFonts w:ascii="Arial MT" w:hAnsi="Arial MT"/>
          <w:spacing w:val="-5"/>
          <w:sz w:val="18"/>
        </w:rPr>
        <w:t xml:space="preserve"> </w:t>
      </w:r>
      <w:r>
        <w:rPr>
          <w:rFonts w:ascii="Arial MT" w:hAnsi="Arial MT"/>
          <w:sz w:val="18"/>
        </w:rPr>
        <w:t>región</w:t>
      </w:r>
      <w:r>
        <w:rPr>
          <w:rFonts w:ascii="Arial MT" w:hAnsi="Arial MT"/>
          <w:spacing w:val="-5"/>
          <w:sz w:val="18"/>
        </w:rPr>
        <w:t xml:space="preserve"> </w:t>
      </w:r>
      <w:r>
        <w:rPr>
          <w:rFonts w:ascii="Arial MT" w:hAnsi="Arial MT"/>
          <w:sz w:val="18"/>
        </w:rPr>
        <w:t xml:space="preserve">andina. Documento para discusión </w:t>
      </w:r>
      <w:proofErr w:type="spellStart"/>
      <w:r>
        <w:rPr>
          <w:rFonts w:ascii="Arial MT" w:hAnsi="Arial MT"/>
          <w:sz w:val="18"/>
        </w:rPr>
        <w:t>N°</w:t>
      </w:r>
      <w:proofErr w:type="spellEnd"/>
      <w:r>
        <w:rPr>
          <w:rFonts w:ascii="Arial MT" w:hAnsi="Arial MT"/>
          <w:sz w:val="18"/>
        </w:rPr>
        <w:t xml:space="preserve"> IDB-DP-857.</w:t>
      </w:r>
    </w:p>
    <w:p w14:paraId="34EEAEB8" w14:textId="77777777" w:rsidR="000E52B0" w:rsidRDefault="000E52B0">
      <w:pPr>
        <w:spacing w:line="242" w:lineRule="auto"/>
        <w:jc w:val="both"/>
        <w:rPr>
          <w:rFonts w:ascii="Arial MT" w:hAnsi="Arial MT"/>
          <w:sz w:val="18"/>
        </w:rPr>
        <w:sectPr w:rsidR="000E52B0">
          <w:pgSz w:w="11910" w:h="16840"/>
          <w:pgMar w:top="1340" w:right="720" w:bottom="1180" w:left="720" w:header="0" w:footer="995" w:gutter="0"/>
          <w:cols w:space="720"/>
        </w:sectPr>
      </w:pPr>
    </w:p>
    <w:p w14:paraId="43B18A68" w14:textId="77777777" w:rsidR="000E52B0" w:rsidRDefault="00F60D74">
      <w:pPr>
        <w:pStyle w:val="Textoindependiente"/>
        <w:spacing w:before="83"/>
        <w:ind w:right="716"/>
        <w:jc w:val="both"/>
      </w:pPr>
      <w:r>
        <w:lastRenderedPageBreak/>
        <w:t>la región andina y Caribe principalmente, y el Chocó biogeográfico, así como</w:t>
      </w:r>
      <w:r>
        <w:rPr>
          <w:spacing w:val="-7"/>
        </w:rPr>
        <w:t xml:space="preserve"> </w:t>
      </w:r>
      <w:r>
        <w:t>la</w:t>
      </w:r>
      <w:r>
        <w:rPr>
          <w:spacing w:val="-6"/>
        </w:rPr>
        <w:t xml:space="preserve"> </w:t>
      </w:r>
      <w:r>
        <w:t>Amazonía</w:t>
      </w:r>
      <w:r>
        <w:rPr>
          <w:spacing w:val="-6"/>
        </w:rPr>
        <w:t xml:space="preserve"> </w:t>
      </w:r>
      <w:r>
        <w:t>y</w:t>
      </w:r>
      <w:r>
        <w:rPr>
          <w:spacing w:val="-6"/>
        </w:rPr>
        <w:t xml:space="preserve"> </w:t>
      </w:r>
      <w:r>
        <w:t>la</w:t>
      </w:r>
      <w:r>
        <w:rPr>
          <w:spacing w:val="-6"/>
        </w:rPr>
        <w:t xml:space="preserve"> </w:t>
      </w:r>
      <w:r>
        <w:t>Orinoquía</w:t>
      </w:r>
      <w:r>
        <w:rPr>
          <w:spacing w:val="-9"/>
        </w:rPr>
        <w:t xml:space="preserve"> </w:t>
      </w:r>
      <w:r>
        <w:t>están</w:t>
      </w:r>
      <w:r>
        <w:rPr>
          <w:spacing w:val="-6"/>
        </w:rPr>
        <w:t xml:space="preserve"> </w:t>
      </w:r>
      <w:r>
        <w:t>desconectados</w:t>
      </w:r>
      <w:r>
        <w:rPr>
          <w:spacing w:val="-8"/>
        </w:rPr>
        <w:t xml:space="preserve"> </w:t>
      </w:r>
      <w:r>
        <w:t>de</w:t>
      </w:r>
      <w:r>
        <w:rPr>
          <w:spacing w:val="-7"/>
        </w:rPr>
        <w:t xml:space="preserve"> </w:t>
      </w:r>
      <w:r>
        <w:t>otras</w:t>
      </w:r>
      <w:r>
        <w:rPr>
          <w:spacing w:val="-7"/>
        </w:rPr>
        <w:t xml:space="preserve"> </w:t>
      </w:r>
      <w:r>
        <w:t>regiones,</w:t>
      </w:r>
      <w:r>
        <w:rPr>
          <w:spacing w:val="-6"/>
        </w:rPr>
        <w:t xml:space="preserve"> </w:t>
      </w:r>
      <w:r>
        <w:t>y no</w:t>
      </w:r>
      <w:r>
        <w:rPr>
          <w:spacing w:val="-15"/>
        </w:rPr>
        <w:t xml:space="preserve"> </w:t>
      </w:r>
      <w:r>
        <w:t>tienen</w:t>
      </w:r>
      <w:r>
        <w:rPr>
          <w:spacing w:val="-16"/>
        </w:rPr>
        <w:t xml:space="preserve"> </w:t>
      </w:r>
      <w:r>
        <w:t>infraestructura</w:t>
      </w:r>
      <w:r>
        <w:rPr>
          <w:spacing w:val="-15"/>
        </w:rPr>
        <w:t xml:space="preserve"> </w:t>
      </w:r>
      <w:r>
        <w:t>vial</w:t>
      </w:r>
      <w:r>
        <w:rPr>
          <w:spacing w:val="-17"/>
        </w:rPr>
        <w:t xml:space="preserve"> </w:t>
      </w:r>
      <w:r>
        <w:t>para</w:t>
      </w:r>
      <w:r>
        <w:rPr>
          <w:spacing w:val="-14"/>
        </w:rPr>
        <w:t xml:space="preserve"> </w:t>
      </w:r>
      <w:r>
        <w:t>el</w:t>
      </w:r>
      <w:r>
        <w:rPr>
          <w:spacing w:val="-15"/>
        </w:rPr>
        <w:t xml:space="preserve"> </w:t>
      </w:r>
      <w:r>
        <w:t>acceso</w:t>
      </w:r>
      <w:r>
        <w:rPr>
          <w:spacing w:val="-15"/>
        </w:rPr>
        <w:t xml:space="preserve"> </w:t>
      </w:r>
      <w:r>
        <w:t>a</w:t>
      </w:r>
      <w:r>
        <w:rPr>
          <w:spacing w:val="-16"/>
        </w:rPr>
        <w:t xml:space="preserve"> </w:t>
      </w:r>
      <w:r>
        <w:t>bienes</w:t>
      </w:r>
      <w:r>
        <w:rPr>
          <w:spacing w:val="-15"/>
        </w:rPr>
        <w:t xml:space="preserve"> </w:t>
      </w:r>
      <w:r>
        <w:t>y</w:t>
      </w:r>
      <w:r>
        <w:rPr>
          <w:spacing w:val="-16"/>
        </w:rPr>
        <w:t xml:space="preserve"> </w:t>
      </w:r>
      <w:r>
        <w:t>servicios</w:t>
      </w:r>
      <w:r>
        <w:rPr>
          <w:spacing w:val="-13"/>
        </w:rPr>
        <w:t xml:space="preserve"> </w:t>
      </w:r>
      <w:r>
        <w:t>esenciales, esto dificulta el ingreso de bienes y servicios básicos generando escasez y sobrecostos,</w:t>
      </w:r>
      <w:r>
        <w:rPr>
          <w:spacing w:val="-2"/>
        </w:rPr>
        <w:t xml:space="preserve"> </w:t>
      </w:r>
      <w:r>
        <w:t>esto se puede ver</w:t>
      </w:r>
      <w:r>
        <w:rPr>
          <w:spacing w:val="-1"/>
        </w:rPr>
        <w:t xml:space="preserve"> </w:t>
      </w:r>
      <w:r>
        <w:t>en</w:t>
      </w:r>
      <w:r>
        <w:rPr>
          <w:spacing w:val="-1"/>
        </w:rPr>
        <w:t xml:space="preserve"> </w:t>
      </w:r>
      <w:r>
        <w:t>el</w:t>
      </w:r>
      <w:r>
        <w:rPr>
          <w:spacing w:val="-2"/>
        </w:rPr>
        <w:t xml:space="preserve"> </w:t>
      </w:r>
      <w:r>
        <w:t>análisis</w:t>
      </w:r>
      <w:r>
        <w:rPr>
          <w:spacing w:val="-1"/>
        </w:rPr>
        <w:t xml:space="preserve"> </w:t>
      </w:r>
      <w:r>
        <w:t>de redes</w:t>
      </w:r>
      <w:r>
        <w:rPr>
          <w:spacing w:val="-1"/>
        </w:rPr>
        <w:t xml:space="preserve"> </w:t>
      </w:r>
      <w:r>
        <w:t>realizado por el</w:t>
      </w:r>
      <w:r>
        <w:rPr>
          <w:spacing w:val="-2"/>
        </w:rPr>
        <w:t xml:space="preserve"> </w:t>
      </w:r>
      <w:r>
        <w:t>BID en la ilustración 7.</w:t>
      </w:r>
    </w:p>
    <w:p w14:paraId="0D178F27" w14:textId="77777777" w:rsidR="000E52B0" w:rsidRDefault="00F60D74">
      <w:pPr>
        <w:spacing w:before="290"/>
        <w:ind w:right="1"/>
        <w:jc w:val="center"/>
        <w:rPr>
          <w:i/>
          <w:sz w:val="18"/>
        </w:rPr>
      </w:pPr>
      <w:r>
        <w:rPr>
          <w:i/>
          <w:color w:val="454551"/>
          <w:sz w:val="18"/>
        </w:rPr>
        <w:t>Ilustración</w:t>
      </w:r>
      <w:r>
        <w:rPr>
          <w:i/>
          <w:color w:val="454551"/>
          <w:spacing w:val="-4"/>
          <w:sz w:val="18"/>
        </w:rPr>
        <w:t xml:space="preserve"> </w:t>
      </w:r>
      <w:r>
        <w:rPr>
          <w:i/>
          <w:color w:val="454551"/>
          <w:sz w:val="18"/>
        </w:rPr>
        <w:t>7.</w:t>
      </w:r>
      <w:r>
        <w:rPr>
          <w:i/>
          <w:color w:val="454551"/>
          <w:spacing w:val="-4"/>
          <w:sz w:val="18"/>
        </w:rPr>
        <w:t xml:space="preserve"> </w:t>
      </w:r>
      <w:r>
        <w:rPr>
          <w:i/>
          <w:color w:val="454551"/>
          <w:sz w:val="18"/>
        </w:rPr>
        <w:t>Conexiones</w:t>
      </w:r>
      <w:r>
        <w:rPr>
          <w:i/>
          <w:color w:val="454551"/>
          <w:spacing w:val="-4"/>
          <w:sz w:val="18"/>
        </w:rPr>
        <w:t xml:space="preserve"> </w:t>
      </w:r>
      <w:r>
        <w:rPr>
          <w:i/>
          <w:color w:val="454551"/>
          <w:sz w:val="18"/>
        </w:rPr>
        <w:t>con</w:t>
      </w:r>
      <w:r>
        <w:rPr>
          <w:i/>
          <w:color w:val="454551"/>
          <w:spacing w:val="-2"/>
          <w:sz w:val="18"/>
        </w:rPr>
        <w:t xml:space="preserve"> </w:t>
      </w:r>
      <w:r>
        <w:rPr>
          <w:i/>
          <w:color w:val="454551"/>
          <w:sz w:val="18"/>
        </w:rPr>
        <w:t>tiempo</w:t>
      </w:r>
      <w:r>
        <w:rPr>
          <w:i/>
          <w:color w:val="454551"/>
          <w:spacing w:val="-3"/>
          <w:sz w:val="18"/>
        </w:rPr>
        <w:t xml:space="preserve"> </w:t>
      </w:r>
      <w:r>
        <w:rPr>
          <w:i/>
          <w:color w:val="454551"/>
          <w:sz w:val="18"/>
        </w:rPr>
        <w:t>de</w:t>
      </w:r>
      <w:r>
        <w:rPr>
          <w:i/>
          <w:color w:val="454551"/>
          <w:spacing w:val="-3"/>
          <w:sz w:val="18"/>
        </w:rPr>
        <w:t xml:space="preserve"> </w:t>
      </w:r>
      <w:r>
        <w:rPr>
          <w:i/>
          <w:color w:val="454551"/>
          <w:sz w:val="18"/>
        </w:rPr>
        <w:t>desplazamiento</w:t>
      </w:r>
      <w:r>
        <w:rPr>
          <w:i/>
          <w:color w:val="454551"/>
          <w:spacing w:val="-3"/>
          <w:sz w:val="18"/>
        </w:rPr>
        <w:t xml:space="preserve"> </w:t>
      </w:r>
      <w:r>
        <w:rPr>
          <w:i/>
          <w:color w:val="454551"/>
          <w:sz w:val="18"/>
        </w:rPr>
        <w:t>de</w:t>
      </w:r>
      <w:r>
        <w:rPr>
          <w:i/>
          <w:color w:val="454551"/>
          <w:spacing w:val="-3"/>
          <w:sz w:val="18"/>
        </w:rPr>
        <w:t xml:space="preserve"> </w:t>
      </w:r>
      <w:r>
        <w:rPr>
          <w:i/>
          <w:color w:val="454551"/>
          <w:sz w:val="18"/>
        </w:rPr>
        <w:t>menos</w:t>
      </w:r>
      <w:r>
        <w:rPr>
          <w:i/>
          <w:color w:val="454551"/>
          <w:spacing w:val="-4"/>
          <w:sz w:val="18"/>
        </w:rPr>
        <w:t xml:space="preserve"> </w:t>
      </w:r>
      <w:r>
        <w:rPr>
          <w:i/>
          <w:color w:val="454551"/>
          <w:sz w:val="18"/>
        </w:rPr>
        <w:t>de</w:t>
      </w:r>
      <w:r>
        <w:rPr>
          <w:i/>
          <w:color w:val="454551"/>
          <w:spacing w:val="-3"/>
          <w:sz w:val="18"/>
        </w:rPr>
        <w:t xml:space="preserve"> </w:t>
      </w:r>
      <w:r>
        <w:rPr>
          <w:i/>
          <w:color w:val="454551"/>
          <w:sz w:val="18"/>
        </w:rPr>
        <w:t>tres</w:t>
      </w:r>
      <w:r>
        <w:rPr>
          <w:i/>
          <w:color w:val="454551"/>
          <w:spacing w:val="-3"/>
          <w:sz w:val="18"/>
        </w:rPr>
        <w:t xml:space="preserve"> </w:t>
      </w:r>
      <w:r>
        <w:rPr>
          <w:i/>
          <w:color w:val="454551"/>
          <w:spacing w:val="-2"/>
          <w:sz w:val="18"/>
        </w:rPr>
        <w:t>horas</w:t>
      </w:r>
    </w:p>
    <w:p w14:paraId="5BDB76B3" w14:textId="77777777" w:rsidR="000E52B0" w:rsidRDefault="00F60D74">
      <w:pPr>
        <w:pStyle w:val="Textoindependiente"/>
        <w:spacing w:before="6"/>
        <w:ind w:left="0"/>
        <w:rPr>
          <w:i/>
          <w:sz w:val="14"/>
        </w:rPr>
      </w:pPr>
      <w:r>
        <w:rPr>
          <w:i/>
          <w:noProof/>
          <w:sz w:val="14"/>
        </w:rPr>
        <w:drawing>
          <wp:anchor distT="0" distB="0" distL="0" distR="0" simplePos="0" relativeHeight="487596544" behindDoc="1" locked="0" layoutInCell="1" allowOverlap="1" wp14:anchorId="4BE58CBA" wp14:editId="4054A405">
            <wp:simplePos x="0" y="0"/>
            <wp:positionH relativeFrom="page">
              <wp:posOffset>1504696</wp:posOffset>
            </wp:positionH>
            <wp:positionV relativeFrom="paragraph">
              <wp:posOffset>127229</wp:posOffset>
            </wp:positionV>
            <wp:extent cx="4526102" cy="5312092"/>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2" cstate="print"/>
                    <a:stretch>
                      <a:fillRect/>
                    </a:stretch>
                  </pic:blipFill>
                  <pic:spPr>
                    <a:xfrm>
                      <a:off x="0" y="0"/>
                      <a:ext cx="4526102" cy="5312092"/>
                    </a:xfrm>
                    <a:prstGeom prst="rect">
                      <a:avLst/>
                    </a:prstGeom>
                  </pic:spPr>
                </pic:pic>
              </a:graphicData>
            </a:graphic>
          </wp:anchor>
        </w:drawing>
      </w:r>
    </w:p>
    <w:p w14:paraId="0D659F53" w14:textId="77777777" w:rsidR="000E52B0" w:rsidRDefault="00F60D74">
      <w:pPr>
        <w:spacing w:before="56" w:line="218" w:lineRule="exact"/>
        <w:ind w:left="1"/>
        <w:jc w:val="center"/>
        <w:rPr>
          <w:i/>
          <w:sz w:val="18"/>
        </w:rPr>
      </w:pPr>
      <w:r>
        <w:rPr>
          <w:i/>
          <w:color w:val="454551"/>
          <w:sz w:val="18"/>
        </w:rPr>
        <w:t>Fuente</w:t>
      </w:r>
      <w:r>
        <w:rPr>
          <w:i/>
          <w:color w:val="454551"/>
          <w:spacing w:val="-2"/>
          <w:sz w:val="18"/>
        </w:rPr>
        <w:t xml:space="preserve"> </w:t>
      </w:r>
      <w:r>
        <w:rPr>
          <w:i/>
          <w:color w:val="454551"/>
          <w:sz w:val="18"/>
        </w:rPr>
        <w:t>4.</w:t>
      </w:r>
      <w:r>
        <w:rPr>
          <w:i/>
          <w:color w:val="454551"/>
          <w:spacing w:val="-4"/>
          <w:sz w:val="18"/>
        </w:rPr>
        <w:t xml:space="preserve"> </w:t>
      </w:r>
      <w:r>
        <w:rPr>
          <w:i/>
          <w:color w:val="454551"/>
          <w:sz w:val="18"/>
        </w:rPr>
        <w:t>BID,</w:t>
      </w:r>
      <w:r>
        <w:rPr>
          <w:i/>
          <w:color w:val="454551"/>
          <w:spacing w:val="-4"/>
          <w:sz w:val="18"/>
        </w:rPr>
        <w:t xml:space="preserve"> </w:t>
      </w:r>
      <w:r>
        <w:rPr>
          <w:i/>
          <w:color w:val="454551"/>
          <w:sz w:val="18"/>
        </w:rPr>
        <w:t>Ver:</w:t>
      </w:r>
      <w:r>
        <w:rPr>
          <w:i/>
          <w:color w:val="454551"/>
          <w:spacing w:val="-3"/>
          <w:sz w:val="18"/>
        </w:rPr>
        <w:t xml:space="preserve"> </w:t>
      </w:r>
      <w:hyperlink r:id="rId33">
        <w:r w:rsidR="000E52B0">
          <w:rPr>
            <w:i/>
            <w:color w:val="454551"/>
            <w:spacing w:val="-2"/>
            <w:sz w:val="18"/>
          </w:rPr>
          <w:t>http://colombia.data593.com/</w:t>
        </w:r>
      </w:hyperlink>
    </w:p>
    <w:p w14:paraId="0E9DF505" w14:textId="77777777" w:rsidR="000E52B0" w:rsidRDefault="00F60D74">
      <w:pPr>
        <w:pStyle w:val="Textoindependiente"/>
        <w:ind w:right="718"/>
        <w:jc w:val="both"/>
      </w:pPr>
      <w:r>
        <w:t>Al respecto, según datos del DNP, para 2022 la red vial del país alcanzó 205.754 km, de los cuales solo el 9% correspondían a la red primaria, el 22% a la red secundaria y el 69% restante a las vías terciarias; lo que se agrava si se tienen cuenta la gran cantidad de centros poblados que no cuentan con accesos terrestres, la mayoría ubicados en la Amazonía o la región</w:t>
      </w:r>
      <w:r>
        <w:rPr>
          <w:spacing w:val="-22"/>
        </w:rPr>
        <w:t xml:space="preserve"> </w:t>
      </w:r>
      <w:r>
        <w:t>del</w:t>
      </w:r>
      <w:r>
        <w:rPr>
          <w:spacing w:val="-21"/>
        </w:rPr>
        <w:t xml:space="preserve"> </w:t>
      </w:r>
      <w:r>
        <w:t>Pacífico.</w:t>
      </w:r>
      <w:r>
        <w:rPr>
          <w:spacing w:val="-21"/>
        </w:rPr>
        <w:t xml:space="preserve"> </w:t>
      </w:r>
      <w:r>
        <w:t>En</w:t>
      </w:r>
      <w:r>
        <w:rPr>
          <w:spacing w:val="-21"/>
        </w:rPr>
        <w:t xml:space="preserve"> </w:t>
      </w:r>
      <w:r>
        <w:t>este</w:t>
      </w:r>
      <w:r>
        <w:rPr>
          <w:spacing w:val="-21"/>
        </w:rPr>
        <w:t xml:space="preserve"> </w:t>
      </w:r>
      <w:r>
        <w:t>aspecto</w:t>
      </w:r>
      <w:r>
        <w:rPr>
          <w:spacing w:val="-20"/>
        </w:rPr>
        <w:t xml:space="preserve"> </w:t>
      </w:r>
      <w:r>
        <w:t>es</w:t>
      </w:r>
      <w:r>
        <w:rPr>
          <w:spacing w:val="-22"/>
        </w:rPr>
        <w:t xml:space="preserve"> </w:t>
      </w:r>
      <w:r>
        <w:t>importante</w:t>
      </w:r>
      <w:r>
        <w:rPr>
          <w:spacing w:val="-20"/>
        </w:rPr>
        <w:t xml:space="preserve"> </w:t>
      </w:r>
      <w:r>
        <w:t>mencionar</w:t>
      </w:r>
      <w:r>
        <w:rPr>
          <w:spacing w:val="-21"/>
        </w:rPr>
        <w:t xml:space="preserve"> </w:t>
      </w:r>
      <w:r>
        <w:t>que</w:t>
      </w:r>
      <w:r>
        <w:rPr>
          <w:spacing w:val="-20"/>
        </w:rPr>
        <w:t xml:space="preserve"> </w:t>
      </w:r>
      <w:r>
        <w:t>para</w:t>
      </w:r>
      <w:r>
        <w:rPr>
          <w:spacing w:val="-21"/>
        </w:rPr>
        <w:t xml:space="preserve"> </w:t>
      </w:r>
      <w:r>
        <w:t>2022 la inversión en infraestructura vial del país (construcción, acondicionamiento y reparación de vías) alcanzó tan solo el 0,9% del PIB, lo</w:t>
      </w:r>
      <w:r>
        <w:rPr>
          <w:spacing w:val="2"/>
        </w:rPr>
        <w:t xml:space="preserve"> </w:t>
      </w:r>
      <w:r>
        <w:t>que</w:t>
      </w:r>
      <w:r>
        <w:rPr>
          <w:spacing w:val="6"/>
        </w:rPr>
        <w:t xml:space="preserve"> </w:t>
      </w:r>
      <w:r>
        <w:t>ubica</w:t>
      </w:r>
      <w:r>
        <w:rPr>
          <w:spacing w:val="7"/>
        </w:rPr>
        <w:t xml:space="preserve"> </w:t>
      </w:r>
      <w:r>
        <w:t>a</w:t>
      </w:r>
      <w:r>
        <w:rPr>
          <w:spacing w:val="5"/>
        </w:rPr>
        <w:t xml:space="preserve"> </w:t>
      </w:r>
      <w:r>
        <w:t>Colombia</w:t>
      </w:r>
      <w:r>
        <w:rPr>
          <w:spacing w:val="7"/>
        </w:rPr>
        <w:t xml:space="preserve"> </w:t>
      </w:r>
      <w:r>
        <w:t>por</w:t>
      </w:r>
      <w:r>
        <w:rPr>
          <w:spacing w:val="6"/>
        </w:rPr>
        <w:t xml:space="preserve"> </w:t>
      </w:r>
      <w:r>
        <w:t>debajo</w:t>
      </w:r>
      <w:r>
        <w:rPr>
          <w:spacing w:val="7"/>
        </w:rPr>
        <w:t xml:space="preserve"> </w:t>
      </w:r>
      <w:r>
        <w:t>del</w:t>
      </w:r>
      <w:r>
        <w:rPr>
          <w:spacing w:val="6"/>
        </w:rPr>
        <w:t xml:space="preserve"> </w:t>
      </w:r>
      <w:r>
        <w:t>promedio</w:t>
      </w:r>
      <w:r>
        <w:rPr>
          <w:spacing w:val="5"/>
        </w:rPr>
        <w:t xml:space="preserve"> </w:t>
      </w:r>
      <w:r>
        <w:t>regional</w:t>
      </w:r>
      <w:r>
        <w:rPr>
          <w:spacing w:val="9"/>
        </w:rPr>
        <w:t xml:space="preserve"> </w:t>
      </w:r>
      <w:r>
        <w:t>el</w:t>
      </w:r>
      <w:r>
        <w:rPr>
          <w:spacing w:val="4"/>
        </w:rPr>
        <w:t xml:space="preserve"> </w:t>
      </w:r>
      <w:r>
        <w:t>cual</w:t>
      </w:r>
      <w:r>
        <w:rPr>
          <w:spacing w:val="6"/>
        </w:rPr>
        <w:t xml:space="preserve"> </w:t>
      </w:r>
      <w:r>
        <w:t>se</w:t>
      </w:r>
      <w:r>
        <w:rPr>
          <w:spacing w:val="6"/>
        </w:rPr>
        <w:t xml:space="preserve"> </w:t>
      </w:r>
      <w:r>
        <w:rPr>
          <w:spacing w:val="-2"/>
        </w:rPr>
        <w:t>ubica</w:t>
      </w:r>
    </w:p>
    <w:p w14:paraId="5CCD6754" w14:textId="77777777" w:rsidR="000E52B0" w:rsidRDefault="000E52B0">
      <w:pPr>
        <w:pStyle w:val="Textoindependiente"/>
        <w:jc w:val="both"/>
        <w:sectPr w:rsidR="000E52B0">
          <w:pgSz w:w="11910" w:h="16840"/>
          <w:pgMar w:top="1340" w:right="720" w:bottom="1180" w:left="720" w:header="0" w:footer="995" w:gutter="0"/>
          <w:cols w:space="720"/>
        </w:sectPr>
      </w:pPr>
    </w:p>
    <w:p w14:paraId="4F01E94A" w14:textId="77777777" w:rsidR="000E52B0" w:rsidRDefault="00F60D74">
      <w:pPr>
        <w:pStyle w:val="Textoindependiente"/>
        <w:spacing w:before="83"/>
        <w:ind w:right="721"/>
        <w:jc w:val="both"/>
      </w:pPr>
      <w:r>
        <w:lastRenderedPageBreak/>
        <w:t>en el 2% del PIB; y se estima que para la adecuación total de la infraestructura del país se debe aumentar su inversión al 4% del PIB.</w:t>
      </w:r>
    </w:p>
    <w:p w14:paraId="175FABAE" w14:textId="77777777" w:rsidR="000E52B0" w:rsidRDefault="00F60D74">
      <w:pPr>
        <w:pStyle w:val="Textoindependiente"/>
        <w:spacing w:before="158"/>
        <w:ind w:right="715"/>
        <w:jc w:val="both"/>
      </w:pPr>
      <w:r>
        <w:t>Esto implica que la vida en condiciones de dignidad solo es posible en algunos</w:t>
      </w:r>
      <w:r>
        <w:rPr>
          <w:spacing w:val="-22"/>
        </w:rPr>
        <w:t xml:space="preserve"> </w:t>
      </w:r>
      <w:r>
        <w:t>territorios</w:t>
      </w:r>
      <w:r>
        <w:rPr>
          <w:spacing w:val="-21"/>
        </w:rPr>
        <w:t xml:space="preserve"> </w:t>
      </w:r>
      <w:r>
        <w:t>del</w:t>
      </w:r>
      <w:r>
        <w:rPr>
          <w:spacing w:val="-21"/>
        </w:rPr>
        <w:t xml:space="preserve"> </w:t>
      </w:r>
      <w:r>
        <w:t>país,</w:t>
      </w:r>
      <w:r>
        <w:rPr>
          <w:spacing w:val="-21"/>
        </w:rPr>
        <w:t xml:space="preserve"> </w:t>
      </w:r>
      <w:r>
        <w:t>en</w:t>
      </w:r>
      <w:r>
        <w:rPr>
          <w:spacing w:val="-21"/>
        </w:rPr>
        <w:t xml:space="preserve"> </w:t>
      </w:r>
      <w:r>
        <w:t>el</w:t>
      </w:r>
      <w:r>
        <w:rPr>
          <w:spacing w:val="-21"/>
        </w:rPr>
        <w:t xml:space="preserve"> </w:t>
      </w:r>
      <w:r>
        <w:t>caso,</w:t>
      </w:r>
      <w:r>
        <w:rPr>
          <w:spacing w:val="-21"/>
        </w:rPr>
        <w:t xml:space="preserve"> </w:t>
      </w:r>
      <w:r>
        <w:t>por</w:t>
      </w:r>
      <w:r>
        <w:rPr>
          <w:spacing w:val="-21"/>
        </w:rPr>
        <w:t xml:space="preserve"> </w:t>
      </w:r>
      <w:r>
        <w:t>ejemplo,</w:t>
      </w:r>
      <w:r>
        <w:rPr>
          <w:spacing w:val="-21"/>
        </w:rPr>
        <w:t xml:space="preserve"> </w:t>
      </w:r>
      <w:r>
        <w:t>del</w:t>
      </w:r>
      <w:r>
        <w:rPr>
          <w:spacing w:val="-21"/>
        </w:rPr>
        <w:t xml:space="preserve"> </w:t>
      </w:r>
      <w:r>
        <w:t>acceso</w:t>
      </w:r>
      <w:r>
        <w:rPr>
          <w:spacing w:val="-22"/>
        </w:rPr>
        <w:t xml:space="preserve"> </w:t>
      </w:r>
      <w:r>
        <w:t>a</w:t>
      </w:r>
      <w:r>
        <w:rPr>
          <w:spacing w:val="-21"/>
        </w:rPr>
        <w:t xml:space="preserve"> </w:t>
      </w:r>
      <w:r>
        <w:t>la</w:t>
      </w:r>
      <w:r>
        <w:rPr>
          <w:spacing w:val="-21"/>
        </w:rPr>
        <w:t xml:space="preserve"> </w:t>
      </w:r>
      <w:r>
        <w:t>atención médica,</w:t>
      </w:r>
      <w:r>
        <w:rPr>
          <w:spacing w:val="-22"/>
        </w:rPr>
        <w:t xml:space="preserve"> </w:t>
      </w:r>
      <w:r>
        <w:t>los</w:t>
      </w:r>
      <w:r>
        <w:rPr>
          <w:spacing w:val="-21"/>
        </w:rPr>
        <w:t xml:space="preserve"> </w:t>
      </w:r>
      <w:r>
        <w:t>territorios</w:t>
      </w:r>
      <w:r>
        <w:rPr>
          <w:spacing w:val="-21"/>
        </w:rPr>
        <w:t xml:space="preserve"> </w:t>
      </w:r>
      <w:r>
        <w:t>de</w:t>
      </w:r>
      <w:r>
        <w:rPr>
          <w:spacing w:val="-21"/>
        </w:rPr>
        <w:t xml:space="preserve"> </w:t>
      </w:r>
      <w:r>
        <w:t>las</w:t>
      </w:r>
      <w:r>
        <w:rPr>
          <w:spacing w:val="-21"/>
        </w:rPr>
        <w:t xml:space="preserve"> </w:t>
      </w:r>
      <w:r>
        <w:t>zonas</w:t>
      </w:r>
      <w:r>
        <w:rPr>
          <w:spacing w:val="-21"/>
        </w:rPr>
        <w:t xml:space="preserve"> </w:t>
      </w:r>
      <w:r>
        <w:t>geográficamente</w:t>
      </w:r>
      <w:r>
        <w:rPr>
          <w:spacing w:val="-21"/>
        </w:rPr>
        <w:t xml:space="preserve"> </w:t>
      </w:r>
      <w:r>
        <w:t>periféricas</w:t>
      </w:r>
      <w:r>
        <w:rPr>
          <w:spacing w:val="-21"/>
        </w:rPr>
        <w:t xml:space="preserve"> </w:t>
      </w:r>
      <w:r>
        <w:t>están</w:t>
      </w:r>
      <w:r>
        <w:rPr>
          <w:spacing w:val="-21"/>
        </w:rPr>
        <w:t xml:space="preserve"> </w:t>
      </w:r>
      <w:r>
        <w:t>a</w:t>
      </w:r>
      <w:r>
        <w:rPr>
          <w:spacing w:val="-21"/>
        </w:rPr>
        <w:t xml:space="preserve"> </w:t>
      </w:r>
      <w:r>
        <w:t>más de 78 kilómetros de un centro de salud, como muestra el mapa en la ilustración</w:t>
      </w:r>
      <w:r>
        <w:rPr>
          <w:spacing w:val="-5"/>
        </w:rPr>
        <w:t xml:space="preserve"> </w:t>
      </w:r>
      <w:r>
        <w:t>8,</w:t>
      </w:r>
      <w:r>
        <w:rPr>
          <w:spacing w:val="-6"/>
        </w:rPr>
        <w:t xml:space="preserve"> </w:t>
      </w:r>
      <w:r>
        <w:t>que,</w:t>
      </w:r>
      <w:r>
        <w:rPr>
          <w:spacing w:val="-5"/>
        </w:rPr>
        <w:t xml:space="preserve"> </w:t>
      </w:r>
      <w:r>
        <w:t>considerando</w:t>
      </w:r>
      <w:r>
        <w:rPr>
          <w:spacing w:val="-4"/>
        </w:rPr>
        <w:t xml:space="preserve"> </w:t>
      </w:r>
      <w:r>
        <w:t>la</w:t>
      </w:r>
      <w:r>
        <w:rPr>
          <w:spacing w:val="-4"/>
        </w:rPr>
        <w:t xml:space="preserve"> </w:t>
      </w:r>
      <w:r>
        <w:t>conectividad</w:t>
      </w:r>
      <w:r>
        <w:rPr>
          <w:spacing w:val="-5"/>
        </w:rPr>
        <w:t xml:space="preserve"> </w:t>
      </w:r>
      <w:r>
        <w:t>vial,</w:t>
      </w:r>
      <w:r>
        <w:rPr>
          <w:spacing w:val="-5"/>
        </w:rPr>
        <w:t xml:space="preserve"> </w:t>
      </w:r>
      <w:r>
        <w:t>puede</w:t>
      </w:r>
      <w:r>
        <w:rPr>
          <w:spacing w:val="-2"/>
        </w:rPr>
        <w:t xml:space="preserve"> </w:t>
      </w:r>
      <w:r>
        <w:t>implicar</w:t>
      </w:r>
      <w:r>
        <w:rPr>
          <w:spacing w:val="-4"/>
        </w:rPr>
        <w:t xml:space="preserve"> </w:t>
      </w:r>
      <w:r>
        <w:t>horas. Estas atenciones implican las vidas de los y las ciudadanas que viven en estos territorios.</w:t>
      </w:r>
    </w:p>
    <w:p w14:paraId="4C49E5FC" w14:textId="77777777" w:rsidR="000E52B0" w:rsidRDefault="00F60D74">
      <w:pPr>
        <w:spacing w:before="159"/>
        <w:jc w:val="center"/>
        <w:rPr>
          <w:i/>
          <w:sz w:val="18"/>
        </w:rPr>
      </w:pPr>
      <w:r>
        <w:rPr>
          <w:i/>
          <w:color w:val="454551"/>
          <w:sz w:val="18"/>
        </w:rPr>
        <w:t>Ilustración</w:t>
      </w:r>
      <w:r>
        <w:rPr>
          <w:i/>
          <w:color w:val="454551"/>
          <w:spacing w:val="-3"/>
          <w:sz w:val="18"/>
        </w:rPr>
        <w:t xml:space="preserve"> </w:t>
      </w:r>
      <w:r>
        <w:rPr>
          <w:i/>
          <w:color w:val="454551"/>
          <w:sz w:val="18"/>
        </w:rPr>
        <w:t>8.</w:t>
      </w:r>
      <w:r>
        <w:rPr>
          <w:i/>
          <w:color w:val="454551"/>
          <w:spacing w:val="-4"/>
          <w:sz w:val="18"/>
        </w:rPr>
        <w:t xml:space="preserve"> </w:t>
      </w:r>
      <w:r>
        <w:rPr>
          <w:i/>
          <w:color w:val="454551"/>
          <w:sz w:val="18"/>
        </w:rPr>
        <w:t>Población</w:t>
      </w:r>
      <w:r>
        <w:rPr>
          <w:i/>
          <w:color w:val="454551"/>
          <w:spacing w:val="-2"/>
          <w:sz w:val="18"/>
        </w:rPr>
        <w:t xml:space="preserve"> </w:t>
      </w:r>
      <w:r>
        <w:rPr>
          <w:i/>
          <w:color w:val="454551"/>
          <w:sz w:val="18"/>
        </w:rPr>
        <w:t>según</w:t>
      </w:r>
      <w:r>
        <w:rPr>
          <w:i/>
          <w:color w:val="454551"/>
          <w:spacing w:val="-2"/>
          <w:sz w:val="18"/>
        </w:rPr>
        <w:t xml:space="preserve"> </w:t>
      </w:r>
      <w:r>
        <w:rPr>
          <w:i/>
          <w:color w:val="454551"/>
          <w:sz w:val="18"/>
        </w:rPr>
        <w:t>distancia</w:t>
      </w:r>
      <w:r>
        <w:rPr>
          <w:i/>
          <w:color w:val="454551"/>
          <w:spacing w:val="-3"/>
          <w:sz w:val="18"/>
        </w:rPr>
        <w:t xml:space="preserve"> </w:t>
      </w:r>
      <w:r>
        <w:rPr>
          <w:i/>
          <w:color w:val="454551"/>
          <w:sz w:val="18"/>
        </w:rPr>
        <w:t>a</w:t>
      </w:r>
      <w:r>
        <w:rPr>
          <w:i/>
          <w:color w:val="454551"/>
          <w:spacing w:val="-2"/>
          <w:sz w:val="18"/>
        </w:rPr>
        <w:t xml:space="preserve"> </w:t>
      </w:r>
      <w:r>
        <w:rPr>
          <w:i/>
          <w:color w:val="454551"/>
          <w:sz w:val="18"/>
        </w:rPr>
        <w:t>un</w:t>
      </w:r>
      <w:r>
        <w:rPr>
          <w:i/>
          <w:color w:val="454551"/>
          <w:spacing w:val="-3"/>
          <w:sz w:val="18"/>
        </w:rPr>
        <w:t xml:space="preserve"> </w:t>
      </w:r>
      <w:r>
        <w:rPr>
          <w:i/>
          <w:color w:val="454551"/>
          <w:sz w:val="18"/>
        </w:rPr>
        <w:t>centro</w:t>
      </w:r>
      <w:r>
        <w:rPr>
          <w:i/>
          <w:color w:val="454551"/>
          <w:spacing w:val="-2"/>
          <w:sz w:val="18"/>
        </w:rPr>
        <w:t xml:space="preserve"> </w:t>
      </w:r>
      <w:r>
        <w:rPr>
          <w:i/>
          <w:color w:val="454551"/>
          <w:sz w:val="18"/>
        </w:rPr>
        <w:t>de</w:t>
      </w:r>
      <w:r>
        <w:rPr>
          <w:i/>
          <w:color w:val="454551"/>
          <w:spacing w:val="-2"/>
          <w:sz w:val="18"/>
        </w:rPr>
        <w:t xml:space="preserve"> salud</w:t>
      </w:r>
    </w:p>
    <w:p w14:paraId="4A08E217" w14:textId="77777777" w:rsidR="000E52B0" w:rsidRDefault="00F60D74">
      <w:pPr>
        <w:pStyle w:val="Textoindependiente"/>
        <w:spacing w:before="4"/>
        <w:ind w:left="0"/>
        <w:rPr>
          <w:i/>
          <w:sz w:val="19"/>
        </w:rPr>
      </w:pPr>
      <w:r>
        <w:rPr>
          <w:i/>
          <w:noProof/>
          <w:sz w:val="19"/>
        </w:rPr>
        <w:drawing>
          <wp:anchor distT="0" distB="0" distL="0" distR="0" simplePos="0" relativeHeight="487597056" behindDoc="1" locked="0" layoutInCell="1" allowOverlap="1" wp14:anchorId="0A25359A" wp14:editId="508609FE">
            <wp:simplePos x="0" y="0"/>
            <wp:positionH relativeFrom="page">
              <wp:posOffset>1974228</wp:posOffset>
            </wp:positionH>
            <wp:positionV relativeFrom="paragraph">
              <wp:posOffset>164998</wp:posOffset>
            </wp:positionV>
            <wp:extent cx="3694375" cy="4937760"/>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4" cstate="print"/>
                    <a:stretch>
                      <a:fillRect/>
                    </a:stretch>
                  </pic:blipFill>
                  <pic:spPr>
                    <a:xfrm>
                      <a:off x="0" y="0"/>
                      <a:ext cx="3694375" cy="4937760"/>
                    </a:xfrm>
                    <a:prstGeom prst="rect">
                      <a:avLst/>
                    </a:prstGeom>
                  </pic:spPr>
                </pic:pic>
              </a:graphicData>
            </a:graphic>
          </wp:anchor>
        </w:drawing>
      </w:r>
    </w:p>
    <w:p w14:paraId="51D67BA0" w14:textId="77777777" w:rsidR="000E52B0" w:rsidRDefault="000E52B0">
      <w:pPr>
        <w:pStyle w:val="Textoindependiente"/>
        <w:spacing w:before="151"/>
        <w:ind w:left="0"/>
        <w:rPr>
          <w:i/>
          <w:sz w:val="18"/>
        </w:rPr>
      </w:pPr>
    </w:p>
    <w:p w14:paraId="2C5178DA" w14:textId="77777777" w:rsidR="000E52B0" w:rsidRDefault="00F60D74">
      <w:pPr>
        <w:pStyle w:val="Textoindependiente"/>
        <w:spacing w:before="1"/>
        <w:ind w:right="715"/>
        <w:jc w:val="both"/>
      </w:pPr>
      <w:r>
        <w:t>Asimismo, el 26% de la población en Colombia, aún vive en situación de inseguridad alimentaria moderada o grave, esto es cerca 15 millones de personas que tienen</w:t>
      </w:r>
      <w:r>
        <w:rPr>
          <w:spacing w:val="-1"/>
        </w:rPr>
        <w:t xml:space="preserve"> </w:t>
      </w:r>
      <w:r>
        <w:t>dificultades para acceder a</w:t>
      </w:r>
      <w:r>
        <w:rPr>
          <w:spacing w:val="-1"/>
        </w:rPr>
        <w:t xml:space="preserve"> </w:t>
      </w:r>
      <w:r>
        <w:t>alimentos, y</w:t>
      </w:r>
      <w:r>
        <w:rPr>
          <w:spacing w:val="-1"/>
        </w:rPr>
        <w:t xml:space="preserve"> </w:t>
      </w:r>
      <w:r>
        <w:t>de estos, 2.6 millones se encuentran en situación crítica. Si bien la “mayoría” numérica de</w:t>
      </w:r>
      <w:r>
        <w:rPr>
          <w:spacing w:val="-5"/>
        </w:rPr>
        <w:t xml:space="preserve"> </w:t>
      </w:r>
      <w:r>
        <w:t>la</w:t>
      </w:r>
      <w:r>
        <w:rPr>
          <w:spacing w:val="-7"/>
        </w:rPr>
        <w:t xml:space="preserve"> </w:t>
      </w:r>
      <w:r>
        <w:t>población</w:t>
      </w:r>
      <w:r>
        <w:rPr>
          <w:spacing w:val="-7"/>
        </w:rPr>
        <w:t xml:space="preserve"> </w:t>
      </w:r>
      <w:r>
        <w:t>en</w:t>
      </w:r>
      <w:r>
        <w:rPr>
          <w:spacing w:val="-7"/>
        </w:rPr>
        <w:t xml:space="preserve"> </w:t>
      </w:r>
      <w:r>
        <w:t>esta</w:t>
      </w:r>
      <w:r>
        <w:rPr>
          <w:spacing w:val="-6"/>
        </w:rPr>
        <w:t xml:space="preserve"> </w:t>
      </w:r>
      <w:r>
        <w:t>situación</w:t>
      </w:r>
      <w:r>
        <w:rPr>
          <w:spacing w:val="-7"/>
        </w:rPr>
        <w:t xml:space="preserve"> </w:t>
      </w:r>
      <w:r>
        <w:t>se</w:t>
      </w:r>
      <w:r>
        <w:rPr>
          <w:spacing w:val="-5"/>
        </w:rPr>
        <w:t xml:space="preserve"> </w:t>
      </w:r>
      <w:r>
        <w:t>encuentra</w:t>
      </w:r>
      <w:r>
        <w:rPr>
          <w:spacing w:val="-6"/>
        </w:rPr>
        <w:t xml:space="preserve"> </w:t>
      </w:r>
      <w:r>
        <w:t>en</w:t>
      </w:r>
      <w:r>
        <w:rPr>
          <w:spacing w:val="-7"/>
        </w:rPr>
        <w:t xml:space="preserve"> </w:t>
      </w:r>
      <w:r>
        <w:t>las</w:t>
      </w:r>
      <w:r>
        <w:rPr>
          <w:spacing w:val="-7"/>
        </w:rPr>
        <w:t xml:space="preserve"> </w:t>
      </w:r>
      <w:r>
        <w:t>ciudades</w:t>
      </w:r>
      <w:r>
        <w:rPr>
          <w:spacing w:val="-7"/>
        </w:rPr>
        <w:t xml:space="preserve"> </w:t>
      </w:r>
      <w:r>
        <w:t>(porque</w:t>
      </w:r>
      <w:r>
        <w:rPr>
          <w:spacing w:val="-5"/>
        </w:rPr>
        <w:t xml:space="preserve"> </w:t>
      </w:r>
      <w:r>
        <w:t>son las áreas más densamente pobladas), los territorios donde esta situación es</w:t>
      </w:r>
      <w:r>
        <w:rPr>
          <w:spacing w:val="8"/>
        </w:rPr>
        <w:t xml:space="preserve"> </w:t>
      </w:r>
      <w:r>
        <w:t>proporcionalmente</w:t>
      </w:r>
      <w:r>
        <w:rPr>
          <w:spacing w:val="9"/>
        </w:rPr>
        <w:t xml:space="preserve"> </w:t>
      </w:r>
      <w:r>
        <w:t>más</w:t>
      </w:r>
      <w:r>
        <w:rPr>
          <w:spacing w:val="14"/>
        </w:rPr>
        <w:t xml:space="preserve"> </w:t>
      </w:r>
      <w:r>
        <w:t>crítica</w:t>
      </w:r>
      <w:r>
        <w:rPr>
          <w:spacing w:val="7"/>
        </w:rPr>
        <w:t xml:space="preserve"> </w:t>
      </w:r>
      <w:r>
        <w:t>son</w:t>
      </w:r>
      <w:r>
        <w:rPr>
          <w:spacing w:val="8"/>
        </w:rPr>
        <w:t xml:space="preserve"> </w:t>
      </w:r>
      <w:r>
        <w:t>de</w:t>
      </w:r>
      <w:r>
        <w:rPr>
          <w:spacing w:val="10"/>
        </w:rPr>
        <w:t xml:space="preserve"> </w:t>
      </w:r>
      <w:r>
        <w:t>nuevo</w:t>
      </w:r>
      <w:r>
        <w:rPr>
          <w:spacing w:val="8"/>
        </w:rPr>
        <w:t xml:space="preserve"> </w:t>
      </w:r>
      <w:r>
        <w:t>los</w:t>
      </w:r>
      <w:r>
        <w:rPr>
          <w:spacing w:val="10"/>
        </w:rPr>
        <w:t xml:space="preserve"> </w:t>
      </w:r>
      <w:r>
        <w:t>territorios</w:t>
      </w:r>
      <w:r>
        <w:rPr>
          <w:spacing w:val="8"/>
        </w:rPr>
        <w:t xml:space="preserve"> </w:t>
      </w:r>
      <w:r>
        <w:t>del</w:t>
      </w:r>
      <w:r>
        <w:rPr>
          <w:spacing w:val="8"/>
        </w:rPr>
        <w:t xml:space="preserve"> </w:t>
      </w:r>
      <w:r>
        <w:rPr>
          <w:spacing w:val="-2"/>
        </w:rPr>
        <w:t>Pacífico,</w:t>
      </w:r>
    </w:p>
    <w:p w14:paraId="4C9600DC" w14:textId="77777777" w:rsidR="000E52B0" w:rsidRDefault="000E52B0">
      <w:pPr>
        <w:pStyle w:val="Textoindependiente"/>
        <w:jc w:val="both"/>
        <w:sectPr w:rsidR="000E52B0">
          <w:pgSz w:w="11910" w:h="16840"/>
          <w:pgMar w:top="1340" w:right="720" w:bottom="1180" w:left="720" w:header="0" w:footer="995" w:gutter="0"/>
          <w:cols w:space="720"/>
        </w:sectPr>
      </w:pPr>
    </w:p>
    <w:p w14:paraId="31ABE492" w14:textId="77777777" w:rsidR="000E52B0" w:rsidRDefault="00F60D74">
      <w:pPr>
        <w:pStyle w:val="Textoindependiente"/>
        <w:spacing w:before="83"/>
        <w:ind w:right="718"/>
        <w:jc w:val="both"/>
      </w:pPr>
      <w:r>
        <w:lastRenderedPageBreak/>
        <w:t>la</w:t>
      </w:r>
      <w:r>
        <w:rPr>
          <w:spacing w:val="-21"/>
        </w:rPr>
        <w:t xml:space="preserve"> </w:t>
      </w:r>
      <w:r>
        <w:t>Amazonía</w:t>
      </w:r>
      <w:r>
        <w:rPr>
          <w:spacing w:val="-19"/>
        </w:rPr>
        <w:t xml:space="preserve"> </w:t>
      </w:r>
      <w:r>
        <w:t>y</w:t>
      </w:r>
      <w:r>
        <w:rPr>
          <w:spacing w:val="-19"/>
        </w:rPr>
        <w:t xml:space="preserve"> </w:t>
      </w:r>
      <w:r>
        <w:t>la</w:t>
      </w:r>
      <w:r>
        <w:rPr>
          <w:spacing w:val="-21"/>
        </w:rPr>
        <w:t xml:space="preserve"> </w:t>
      </w:r>
      <w:r>
        <w:t>Orinoquía,</w:t>
      </w:r>
      <w:r>
        <w:rPr>
          <w:spacing w:val="-19"/>
        </w:rPr>
        <w:t xml:space="preserve"> </w:t>
      </w:r>
      <w:r>
        <w:t>donde</w:t>
      </w:r>
      <w:r>
        <w:rPr>
          <w:spacing w:val="-20"/>
        </w:rPr>
        <w:t xml:space="preserve"> </w:t>
      </w:r>
      <w:r>
        <w:t>una</w:t>
      </w:r>
      <w:r>
        <w:rPr>
          <w:spacing w:val="-19"/>
        </w:rPr>
        <w:t xml:space="preserve"> </w:t>
      </w:r>
      <w:r>
        <w:t>amplia</w:t>
      </w:r>
      <w:r>
        <w:rPr>
          <w:spacing w:val="-21"/>
        </w:rPr>
        <w:t xml:space="preserve"> </w:t>
      </w:r>
      <w:r>
        <w:t>mayoría</w:t>
      </w:r>
      <w:r>
        <w:rPr>
          <w:spacing w:val="-21"/>
        </w:rPr>
        <w:t xml:space="preserve"> </w:t>
      </w:r>
      <w:r>
        <w:t>de</w:t>
      </w:r>
      <w:r>
        <w:rPr>
          <w:spacing w:val="-17"/>
        </w:rPr>
        <w:t xml:space="preserve"> </w:t>
      </w:r>
      <w:r>
        <w:t>la</w:t>
      </w:r>
      <w:r>
        <w:rPr>
          <w:spacing w:val="-17"/>
        </w:rPr>
        <w:t xml:space="preserve"> </w:t>
      </w:r>
      <w:r>
        <w:t>población</w:t>
      </w:r>
      <w:r>
        <w:rPr>
          <w:spacing w:val="-19"/>
        </w:rPr>
        <w:t xml:space="preserve"> </w:t>
      </w:r>
      <w:r>
        <w:t>tiene barreras para acceder a suficientes alimentos (ilustración 8).</w:t>
      </w:r>
    </w:p>
    <w:p w14:paraId="2A6C770D" w14:textId="77777777" w:rsidR="000E52B0" w:rsidRDefault="00F60D74">
      <w:pPr>
        <w:spacing w:before="290"/>
        <w:ind w:right="1"/>
        <w:jc w:val="center"/>
        <w:rPr>
          <w:i/>
          <w:sz w:val="18"/>
        </w:rPr>
      </w:pPr>
      <w:r>
        <w:rPr>
          <w:i/>
          <w:color w:val="454551"/>
          <w:sz w:val="18"/>
        </w:rPr>
        <w:t>Ilustración</w:t>
      </w:r>
      <w:r>
        <w:rPr>
          <w:i/>
          <w:color w:val="454551"/>
          <w:spacing w:val="-3"/>
          <w:sz w:val="18"/>
        </w:rPr>
        <w:t xml:space="preserve"> </w:t>
      </w:r>
      <w:r>
        <w:rPr>
          <w:i/>
          <w:color w:val="454551"/>
          <w:sz w:val="18"/>
        </w:rPr>
        <w:t>9.</w:t>
      </w:r>
      <w:r>
        <w:rPr>
          <w:i/>
          <w:color w:val="454551"/>
          <w:spacing w:val="-5"/>
          <w:sz w:val="18"/>
        </w:rPr>
        <w:t xml:space="preserve"> </w:t>
      </w:r>
      <w:r>
        <w:rPr>
          <w:i/>
          <w:color w:val="454551"/>
          <w:sz w:val="18"/>
        </w:rPr>
        <w:t>Inseguridad</w:t>
      </w:r>
      <w:r>
        <w:rPr>
          <w:i/>
          <w:color w:val="454551"/>
          <w:spacing w:val="-5"/>
          <w:sz w:val="18"/>
        </w:rPr>
        <w:t xml:space="preserve"> </w:t>
      </w:r>
      <w:r>
        <w:rPr>
          <w:i/>
          <w:color w:val="454551"/>
          <w:sz w:val="18"/>
        </w:rPr>
        <w:t>alimentaria</w:t>
      </w:r>
      <w:r>
        <w:rPr>
          <w:i/>
          <w:color w:val="454551"/>
          <w:spacing w:val="-5"/>
          <w:sz w:val="18"/>
        </w:rPr>
        <w:t xml:space="preserve"> </w:t>
      </w:r>
      <w:r>
        <w:rPr>
          <w:i/>
          <w:color w:val="454551"/>
          <w:sz w:val="18"/>
        </w:rPr>
        <w:t>moderada</w:t>
      </w:r>
      <w:r>
        <w:rPr>
          <w:i/>
          <w:color w:val="454551"/>
          <w:spacing w:val="-4"/>
          <w:sz w:val="18"/>
        </w:rPr>
        <w:t xml:space="preserve"> </w:t>
      </w:r>
      <w:r>
        <w:rPr>
          <w:i/>
          <w:color w:val="454551"/>
          <w:sz w:val="18"/>
        </w:rPr>
        <w:t>y</w:t>
      </w:r>
      <w:r>
        <w:rPr>
          <w:i/>
          <w:color w:val="454551"/>
          <w:spacing w:val="-4"/>
          <w:sz w:val="18"/>
        </w:rPr>
        <w:t xml:space="preserve"> </w:t>
      </w:r>
      <w:r>
        <w:rPr>
          <w:i/>
          <w:color w:val="454551"/>
          <w:spacing w:val="-2"/>
          <w:sz w:val="18"/>
        </w:rPr>
        <w:t>grave</w:t>
      </w:r>
    </w:p>
    <w:p w14:paraId="1E20088A" w14:textId="77777777" w:rsidR="000E52B0" w:rsidRDefault="00F60D74">
      <w:pPr>
        <w:pStyle w:val="Textoindependiente"/>
        <w:spacing w:before="211"/>
        <w:ind w:left="0"/>
        <w:rPr>
          <w:i/>
          <w:sz w:val="20"/>
        </w:rPr>
      </w:pPr>
      <w:r>
        <w:rPr>
          <w:i/>
          <w:noProof/>
          <w:sz w:val="20"/>
        </w:rPr>
        <w:drawing>
          <wp:anchor distT="0" distB="0" distL="0" distR="0" simplePos="0" relativeHeight="487597568" behindDoc="1" locked="0" layoutInCell="1" allowOverlap="1" wp14:anchorId="413A4631" wp14:editId="73A3955F">
            <wp:simplePos x="0" y="0"/>
            <wp:positionH relativeFrom="page">
              <wp:posOffset>1760372</wp:posOffset>
            </wp:positionH>
            <wp:positionV relativeFrom="paragraph">
              <wp:posOffset>303725</wp:posOffset>
            </wp:positionV>
            <wp:extent cx="3987221" cy="5878068"/>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5" cstate="print"/>
                    <a:stretch>
                      <a:fillRect/>
                    </a:stretch>
                  </pic:blipFill>
                  <pic:spPr>
                    <a:xfrm>
                      <a:off x="0" y="0"/>
                      <a:ext cx="3987221" cy="5878068"/>
                    </a:xfrm>
                    <a:prstGeom prst="rect">
                      <a:avLst/>
                    </a:prstGeom>
                  </pic:spPr>
                </pic:pic>
              </a:graphicData>
            </a:graphic>
          </wp:anchor>
        </w:drawing>
      </w:r>
    </w:p>
    <w:p w14:paraId="4DF44F4D" w14:textId="77777777" w:rsidR="000E52B0" w:rsidRDefault="000E52B0">
      <w:pPr>
        <w:pStyle w:val="Textoindependiente"/>
        <w:ind w:left="0"/>
        <w:rPr>
          <w:i/>
          <w:sz w:val="18"/>
        </w:rPr>
      </w:pPr>
    </w:p>
    <w:p w14:paraId="30932D84" w14:textId="77777777" w:rsidR="000E52B0" w:rsidRDefault="000E52B0">
      <w:pPr>
        <w:pStyle w:val="Textoindependiente"/>
        <w:spacing w:before="81"/>
        <w:ind w:left="0"/>
        <w:rPr>
          <w:i/>
          <w:sz w:val="18"/>
        </w:rPr>
      </w:pPr>
    </w:p>
    <w:p w14:paraId="1945F40D" w14:textId="77777777" w:rsidR="000E52B0" w:rsidRDefault="00F60D74">
      <w:pPr>
        <w:pStyle w:val="Textoindependiente"/>
        <w:ind w:right="715"/>
        <w:jc w:val="both"/>
      </w:pPr>
      <w:r>
        <w:t>De</w:t>
      </w:r>
      <w:r>
        <w:rPr>
          <w:spacing w:val="-22"/>
        </w:rPr>
        <w:t xml:space="preserve"> </w:t>
      </w:r>
      <w:r>
        <w:t>igual</w:t>
      </w:r>
      <w:r>
        <w:rPr>
          <w:spacing w:val="-21"/>
        </w:rPr>
        <w:t xml:space="preserve"> </w:t>
      </w:r>
      <w:r>
        <w:t>forma</w:t>
      </w:r>
      <w:r>
        <w:rPr>
          <w:spacing w:val="-21"/>
        </w:rPr>
        <w:t xml:space="preserve"> </w:t>
      </w:r>
      <w:r>
        <w:t>ocurre</w:t>
      </w:r>
      <w:r>
        <w:rPr>
          <w:spacing w:val="-21"/>
        </w:rPr>
        <w:t xml:space="preserve"> </w:t>
      </w:r>
      <w:r>
        <w:t>con</w:t>
      </w:r>
      <w:r>
        <w:rPr>
          <w:spacing w:val="-21"/>
        </w:rPr>
        <w:t xml:space="preserve"> </w:t>
      </w:r>
      <w:r>
        <w:t>la</w:t>
      </w:r>
      <w:r>
        <w:rPr>
          <w:spacing w:val="-21"/>
        </w:rPr>
        <w:t xml:space="preserve"> </w:t>
      </w:r>
      <w:r>
        <w:t>mortalidad</w:t>
      </w:r>
      <w:r>
        <w:rPr>
          <w:spacing w:val="-21"/>
        </w:rPr>
        <w:t xml:space="preserve"> </w:t>
      </w:r>
      <w:r>
        <w:t>materna,</w:t>
      </w:r>
      <w:r>
        <w:rPr>
          <w:spacing w:val="-21"/>
        </w:rPr>
        <w:t xml:space="preserve"> </w:t>
      </w:r>
      <w:r>
        <w:t>que</w:t>
      </w:r>
      <w:r>
        <w:rPr>
          <w:spacing w:val="-21"/>
        </w:rPr>
        <w:t xml:space="preserve"> </w:t>
      </w:r>
      <w:r>
        <w:t>es</w:t>
      </w:r>
      <w:r>
        <w:rPr>
          <w:spacing w:val="-21"/>
        </w:rPr>
        <w:t xml:space="preserve"> </w:t>
      </w:r>
      <w:r>
        <w:t>un</w:t>
      </w:r>
      <w:r>
        <w:rPr>
          <w:spacing w:val="-22"/>
        </w:rPr>
        <w:t xml:space="preserve"> </w:t>
      </w:r>
      <w:r>
        <w:t>indicador</w:t>
      </w:r>
      <w:r>
        <w:rPr>
          <w:spacing w:val="-21"/>
        </w:rPr>
        <w:t xml:space="preserve"> </w:t>
      </w:r>
      <w:r>
        <w:t>global para medir desarrollo, en tanto, corresponde a muertes evitables con un conjunto de bienes y</w:t>
      </w:r>
      <w:r>
        <w:rPr>
          <w:spacing w:val="-1"/>
        </w:rPr>
        <w:t xml:space="preserve"> </w:t>
      </w:r>
      <w:r>
        <w:t>servicios fundamentales para las</w:t>
      </w:r>
      <w:r>
        <w:rPr>
          <w:spacing w:val="-1"/>
        </w:rPr>
        <w:t xml:space="preserve"> </w:t>
      </w:r>
      <w:r>
        <w:t>personas</w:t>
      </w:r>
      <w:r>
        <w:rPr>
          <w:spacing w:val="-1"/>
        </w:rPr>
        <w:t xml:space="preserve"> </w:t>
      </w:r>
      <w:r>
        <w:t>gestantes y, en consecuencia, la ocurrencia de estos eventos da cuenta de la magnitud de las barreras de acceso a estos bienes y servicios fundamentales. Si bien en Colombia la mortalidad materna se ha reducido desde</w:t>
      </w:r>
      <w:r>
        <w:rPr>
          <w:spacing w:val="-9"/>
        </w:rPr>
        <w:t xml:space="preserve"> </w:t>
      </w:r>
      <w:r>
        <w:t>2005,</w:t>
      </w:r>
      <w:r>
        <w:rPr>
          <w:spacing w:val="-11"/>
        </w:rPr>
        <w:t xml:space="preserve"> </w:t>
      </w:r>
      <w:r>
        <w:t>este</w:t>
      </w:r>
      <w:r>
        <w:rPr>
          <w:spacing w:val="-9"/>
        </w:rPr>
        <w:t xml:space="preserve"> </w:t>
      </w:r>
      <w:r>
        <w:t>descenso</w:t>
      </w:r>
      <w:r>
        <w:rPr>
          <w:spacing w:val="-10"/>
        </w:rPr>
        <w:t xml:space="preserve"> </w:t>
      </w:r>
      <w:r>
        <w:t>se</w:t>
      </w:r>
      <w:r>
        <w:rPr>
          <w:spacing w:val="-9"/>
        </w:rPr>
        <w:t xml:space="preserve"> </w:t>
      </w:r>
      <w:r>
        <w:t>estancó</w:t>
      </w:r>
      <w:r>
        <w:rPr>
          <w:spacing w:val="-7"/>
        </w:rPr>
        <w:t xml:space="preserve"> </w:t>
      </w:r>
      <w:r>
        <w:t>en</w:t>
      </w:r>
      <w:r>
        <w:rPr>
          <w:spacing w:val="-11"/>
        </w:rPr>
        <w:t xml:space="preserve"> </w:t>
      </w:r>
      <w:r>
        <w:t>2015</w:t>
      </w:r>
      <w:r>
        <w:rPr>
          <w:spacing w:val="-9"/>
        </w:rPr>
        <w:t xml:space="preserve"> </w:t>
      </w:r>
      <w:r>
        <w:t>y</w:t>
      </w:r>
      <w:r>
        <w:rPr>
          <w:spacing w:val="-7"/>
        </w:rPr>
        <w:t xml:space="preserve"> </w:t>
      </w:r>
      <w:r>
        <w:t>se</w:t>
      </w:r>
      <w:r>
        <w:rPr>
          <w:spacing w:val="-9"/>
        </w:rPr>
        <w:t xml:space="preserve"> </w:t>
      </w:r>
      <w:r>
        <w:t>profundizó</w:t>
      </w:r>
      <w:r>
        <w:rPr>
          <w:spacing w:val="-9"/>
        </w:rPr>
        <w:t xml:space="preserve"> </w:t>
      </w:r>
      <w:r>
        <w:t>la</w:t>
      </w:r>
      <w:r>
        <w:rPr>
          <w:spacing w:val="-8"/>
        </w:rPr>
        <w:t xml:space="preserve"> </w:t>
      </w:r>
      <w:r>
        <w:t>situación entre</w:t>
      </w:r>
      <w:r>
        <w:rPr>
          <w:spacing w:val="42"/>
        </w:rPr>
        <w:t xml:space="preserve"> </w:t>
      </w:r>
      <w:r>
        <w:t>2020</w:t>
      </w:r>
      <w:r>
        <w:rPr>
          <w:spacing w:val="44"/>
        </w:rPr>
        <w:t xml:space="preserve"> </w:t>
      </w:r>
      <w:r>
        <w:t>y</w:t>
      </w:r>
      <w:r>
        <w:rPr>
          <w:spacing w:val="43"/>
        </w:rPr>
        <w:t xml:space="preserve"> </w:t>
      </w:r>
      <w:r>
        <w:t>2021</w:t>
      </w:r>
      <w:r>
        <w:rPr>
          <w:spacing w:val="42"/>
        </w:rPr>
        <w:t xml:space="preserve"> </w:t>
      </w:r>
      <w:r>
        <w:t>como</w:t>
      </w:r>
      <w:r>
        <w:rPr>
          <w:spacing w:val="44"/>
        </w:rPr>
        <w:t xml:space="preserve"> </w:t>
      </w:r>
      <w:r>
        <w:t>consecuencia</w:t>
      </w:r>
      <w:r>
        <w:rPr>
          <w:spacing w:val="43"/>
        </w:rPr>
        <w:t xml:space="preserve"> </w:t>
      </w:r>
      <w:r>
        <w:t>del</w:t>
      </w:r>
      <w:r>
        <w:rPr>
          <w:spacing w:val="42"/>
        </w:rPr>
        <w:t xml:space="preserve"> </w:t>
      </w:r>
      <w:r>
        <w:t>COVID,</w:t>
      </w:r>
      <w:r>
        <w:rPr>
          <w:spacing w:val="45"/>
        </w:rPr>
        <w:t xml:space="preserve"> </w:t>
      </w:r>
      <w:r>
        <w:t>y</w:t>
      </w:r>
      <w:r>
        <w:rPr>
          <w:spacing w:val="43"/>
        </w:rPr>
        <w:t xml:space="preserve"> </w:t>
      </w:r>
      <w:r>
        <w:t>los</w:t>
      </w:r>
      <w:r>
        <w:rPr>
          <w:spacing w:val="45"/>
        </w:rPr>
        <w:t xml:space="preserve"> </w:t>
      </w:r>
      <w:r>
        <w:t>efectos</w:t>
      </w:r>
      <w:r>
        <w:rPr>
          <w:spacing w:val="43"/>
        </w:rPr>
        <w:t xml:space="preserve"> </w:t>
      </w:r>
      <w:r>
        <w:t>en</w:t>
      </w:r>
      <w:r>
        <w:rPr>
          <w:spacing w:val="42"/>
        </w:rPr>
        <w:t xml:space="preserve"> </w:t>
      </w:r>
      <w:r>
        <w:rPr>
          <w:spacing w:val="-5"/>
        </w:rPr>
        <w:t>las</w:t>
      </w:r>
    </w:p>
    <w:p w14:paraId="2BB05B0F" w14:textId="77777777" w:rsidR="000E52B0" w:rsidRDefault="000E52B0">
      <w:pPr>
        <w:pStyle w:val="Textoindependiente"/>
        <w:jc w:val="both"/>
        <w:sectPr w:rsidR="000E52B0">
          <w:pgSz w:w="11910" w:h="16840"/>
          <w:pgMar w:top="1340" w:right="720" w:bottom="1180" w:left="720" w:header="0" w:footer="995" w:gutter="0"/>
          <w:cols w:space="720"/>
        </w:sectPr>
      </w:pPr>
    </w:p>
    <w:p w14:paraId="27A21B1A" w14:textId="77777777" w:rsidR="000E52B0" w:rsidRDefault="00F60D74">
      <w:pPr>
        <w:pStyle w:val="Textoindependiente"/>
        <w:spacing w:before="83"/>
        <w:ind w:right="718"/>
        <w:jc w:val="both"/>
      </w:pPr>
      <w:r>
        <w:lastRenderedPageBreak/>
        <w:t>consecuencias</w:t>
      </w:r>
      <w:r>
        <w:rPr>
          <w:spacing w:val="-9"/>
        </w:rPr>
        <w:t xml:space="preserve"> </w:t>
      </w:r>
      <w:r>
        <w:t>ya</w:t>
      </w:r>
      <w:r>
        <w:rPr>
          <w:spacing w:val="-9"/>
        </w:rPr>
        <w:t xml:space="preserve"> </w:t>
      </w:r>
      <w:r>
        <w:t>existentes</w:t>
      </w:r>
      <w:r>
        <w:rPr>
          <w:spacing w:val="-9"/>
        </w:rPr>
        <w:t xml:space="preserve"> </w:t>
      </w:r>
      <w:r>
        <w:t>de</w:t>
      </w:r>
      <w:r>
        <w:rPr>
          <w:spacing w:val="-7"/>
        </w:rPr>
        <w:t xml:space="preserve"> </w:t>
      </w:r>
      <w:r>
        <w:t>la</w:t>
      </w:r>
      <w:r>
        <w:rPr>
          <w:spacing w:val="-6"/>
        </w:rPr>
        <w:t xml:space="preserve"> </w:t>
      </w:r>
      <w:r>
        <w:t>desigualdad. De</w:t>
      </w:r>
      <w:r>
        <w:rPr>
          <w:spacing w:val="-7"/>
        </w:rPr>
        <w:t xml:space="preserve"> </w:t>
      </w:r>
      <w:r>
        <w:t>acuerdo</w:t>
      </w:r>
      <w:r>
        <w:rPr>
          <w:spacing w:val="-8"/>
        </w:rPr>
        <w:t xml:space="preserve"> </w:t>
      </w:r>
      <w:r>
        <w:t>con</w:t>
      </w:r>
      <w:r>
        <w:rPr>
          <w:spacing w:val="-8"/>
        </w:rPr>
        <w:t xml:space="preserve"> </w:t>
      </w:r>
      <w:r>
        <w:t>el</w:t>
      </w:r>
      <w:r>
        <w:rPr>
          <w:spacing w:val="-9"/>
        </w:rPr>
        <w:t xml:space="preserve"> </w:t>
      </w:r>
      <w:r>
        <w:t>Instituto Nacional</w:t>
      </w:r>
      <w:r>
        <w:rPr>
          <w:spacing w:val="-21"/>
        </w:rPr>
        <w:t xml:space="preserve"> </w:t>
      </w:r>
      <w:r>
        <w:t>de</w:t>
      </w:r>
      <w:r>
        <w:rPr>
          <w:spacing w:val="-19"/>
        </w:rPr>
        <w:t xml:space="preserve"> </w:t>
      </w:r>
      <w:r>
        <w:t>Salud,</w:t>
      </w:r>
      <w:r>
        <w:rPr>
          <w:spacing w:val="-21"/>
        </w:rPr>
        <w:t xml:space="preserve"> </w:t>
      </w:r>
      <w:r>
        <w:t>en</w:t>
      </w:r>
      <w:r>
        <w:rPr>
          <w:spacing w:val="-20"/>
        </w:rPr>
        <w:t xml:space="preserve"> </w:t>
      </w:r>
      <w:r>
        <w:t>el</w:t>
      </w:r>
      <w:r>
        <w:rPr>
          <w:spacing w:val="-21"/>
        </w:rPr>
        <w:t xml:space="preserve"> </w:t>
      </w:r>
      <w:r>
        <w:t>2022,</w:t>
      </w:r>
      <w:r>
        <w:rPr>
          <w:spacing w:val="-21"/>
        </w:rPr>
        <w:t xml:space="preserve"> </w:t>
      </w:r>
      <w:r>
        <w:t>por</w:t>
      </w:r>
      <w:r>
        <w:rPr>
          <w:spacing w:val="-19"/>
        </w:rPr>
        <w:t xml:space="preserve"> </w:t>
      </w:r>
      <w:r>
        <w:t>cada</w:t>
      </w:r>
      <w:r>
        <w:rPr>
          <w:spacing w:val="-20"/>
        </w:rPr>
        <w:t xml:space="preserve"> </w:t>
      </w:r>
      <w:r>
        <w:t>cien</w:t>
      </w:r>
      <w:r>
        <w:rPr>
          <w:spacing w:val="-20"/>
        </w:rPr>
        <w:t xml:space="preserve"> </w:t>
      </w:r>
      <w:r>
        <w:t>mil</w:t>
      </w:r>
      <w:r>
        <w:rPr>
          <w:spacing w:val="-21"/>
        </w:rPr>
        <w:t xml:space="preserve"> </w:t>
      </w:r>
      <w:r>
        <w:t>nacidos</w:t>
      </w:r>
      <w:r>
        <w:rPr>
          <w:spacing w:val="-20"/>
        </w:rPr>
        <w:t xml:space="preserve"> </w:t>
      </w:r>
      <w:r>
        <w:t>vivos,</w:t>
      </w:r>
      <w:r>
        <w:rPr>
          <w:spacing w:val="-21"/>
        </w:rPr>
        <w:t xml:space="preserve"> </w:t>
      </w:r>
      <w:r>
        <w:t>46</w:t>
      </w:r>
      <w:r>
        <w:rPr>
          <w:spacing w:val="-19"/>
        </w:rPr>
        <w:t xml:space="preserve"> </w:t>
      </w:r>
      <w:r>
        <w:t>maternas fallecieron.</w:t>
      </w:r>
      <w:r>
        <w:rPr>
          <w:spacing w:val="-7"/>
        </w:rPr>
        <w:t xml:space="preserve"> </w:t>
      </w:r>
      <w:r>
        <w:t>Para</w:t>
      </w:r>
      <w:r>
        <w:rPr>
          <w:spacing w:val="-8"/>
        </w:rPr>
        <w:t xml:space="preserve"> </w:t>
      </w:r>
      <w:r>
        <w:t>el</w:t>
      </w:r>
      <w:r>
        <w:rPr>
          <w:spacing w:val="-7"/>
        </w:rPr>
        <w:t xml:space="preserve"> </w:t>
      </w:r>
      <w:r>
        <w:t>último</w:t>
      </w:r>
      <w:r>
        <w:rPr>
          <w:spacing w:val="-8"/>
        </w:rPr>
        <w:t xml:space="preserve"> </w:t>
      </w:r>
      <w:r>
        <w:t>año,</w:t>
      </w:r>
      <w:r>
        <w:rPr>
          <w:spacing w:val="-7"/>
        </w:rPr>
        <w:t xml:space="preserve"> </w:t>
      </w:r>
      <w:r>
        <w:t>2023,</w:t>
      </w:r>
      <w:r>
        <w:rPr>
          <w:spacing w:val="-10"/>
        </w:rPr>
        <w:t xml:space="preserve"> </w:t>
      </w:r>
      <w:r>
        <w:t>fue</w:t>
      </w:r>
      <w:r>
        <w:rPr>
          <w:spacing w:val="-8"/>
        </w:rPr>
        <w:t xml:space="preserve"> </w:t>
      </w:r>
      <w:r>
        <w:t>de</w:t>
      </w:r>
      <w:r>
        <w:rPr>
          <w:spacing w:val="-8"/>
        </w:rPr>
        <w:t xml:space="preserve"> </w:t>
      </w:r>
      <w:r>
        <w:t>44,5</w:t>
      </w:r>
      <w:r>
        <w:rPr>
          <w:spacing w:val="-8"/>
        </w:rPr>
        <w:t xml:space="preserve"> </w:t>
      </w:r>
      <w:r>
        <w:t>según</w:t>
      </w:r>
      <w:r>
        <w:rPr>
          <w:spacing w:val="-7"/>
        </w:rPr>
        <w:t xml:space="preserve"> </w:t>
      </w:r>
      <w:r>
        <w:t>datos</w:t>
      </w:r>
      <w:r>
        <w:rPr>
          <w:spacing w:val="-9"/>
        </w:rPr>
        <w:t xml:space="preserve"> </w:t>
      </w:r>
      <w:r>
        <w:t>preliminares del RUAF 2023.</w:t>
      </w:r>
    </w:p>
    <w:p w14:paraId="10F68752" w14:textId="77777777" w:rsidR="000E52B0" w:rsidRDefault="00F60D74">
      <w:pPr>
        <w:spacing w:before="290"/>
        <w:ind w:left="1428" w:right="718"/>
        <w:jc w:val="both"/>
        <w:rPr>
          <w:i/>
          <w:sz w:val="24"/>
        </w:rPr>
      </w:pPr>
      <w:r>
        <w:rPr>
          <w:i/>
          <w:sz w:val="24"/>
        </w:rPr>
        <w:t>“El</w:t>
      </w:r>
      <w:r>
        <w:rPr>
          <w:i/>
          <w:spacing w:val="-6"/>
          <w:sz w:val="24"/>
        </w:rPr>
        <w:t xml:space="preserve"> </w:t>
      </w:r>
      <w:r>
        <w:rPr>
          <w:i/>
          <w:sz w:val="24"/>
        </w:rPr>
        <w:t>país</w:t>
      </w:r>
      <w:r>
        <w:rPr>
          <w:i/>
          <w:spacing w:val="-5"/>
          <w:sz w:val="24"/>
        </w:rPr>
        <w:t xml:space="preserve"> </w:t>
      </w:r>
      <w:r>
        <w:rPr>
          <w:i/>
          <w:sz w:val="24"/>
        </w:rPr>
        <w:t>aún</w:t>
      </w:r>
      <w:r>
        <w:rPr>
          <w:i/>
          <w:spacing w:val="-3"/>
          <w:sz w:val="24"/>
        </w:rPr>
        <w:t xml:space="preserve"> </w:t>
      </w:r>
      <w:r>
        <w:rPr>
          <w:i/>
          <w:sz w:val="24"/>
        </w:rPr>
        <w:t>presenta</w:t>
      </w:r>
      <w:r>
        <w:rPr>
          <w:i/>
          <w:spacing w:val="-4"/>
          <w:sz w:val="24"/>
        </w:rPr>
        <w:t xml:space="preserve"> </w:t>
      </w:r>
      <w:r>
        <w:rPr>
          <w:i/>
          <w:sz w:val="24"/>
        </w:rPr>
        <w:t>profundas</w:t>
      </w:r>
      <w:r>
        <w:rPr>
          <w:i/>
          <w:spacing w:val="-3"/>
          <w:sz w:val="24"/>
        </w:rPr>
        <w:t xml:space="preserve"> </w:t>
      </w:r>
      <w:r>
        <w:rPr>
          <w:i/>
          <w:sz w:val="24"/>
        </w:rPr>
        <w:t>brechas</w:t>
      </w:r>
      <w:r>
        <w:rPr>
          <w:i/>
          <w:spacing w:val="-5"/>
          <w:sz w:val="24"/>
        </w:rPr>
        <w:t xml:space="preserve"> </w:t>
      </w:r>
      <w:r>
        <w:rPr>
          <w:i/>
          <w:sz w:val="24"/>
        </w:rPr>
        <w:t>con</w:t>
      </w:r>
      <w:r>
        <w:rPr>
          <w:i/>
          <w:spacing w:val="-5"/>
          <w:sz w:val="24"/>
        </w:rPr>
        <w:t xml:space="preserve"> </w:t>
      </w:r>
      <w:r>
        <w:rPr>
          <w:i/>
          <w:sz w:val="24"/>
        </w:rPr>
        <w:t>relación</w:t>
      </w:r>
      <w:r>
        <w:rPr>
          <w:i/>
          <w:spacing w:val="-5"/>
          <w:sz w:val="24"/>
        </w:rPr>
        <w:t xml:space="preserve"> </w:t>
      </w:r>
      <w:r>
        <w:rPr>
          <w:i/>
          <w:sz w:val="24"/>
        </w:rPr>
        <w:t>a</w:t>
      </w:r>
      <w:r>
        <w:rPr>
          <w:i/>
          <w:spacing w:val="-5"/>
          <w:sz w:val="24"/>
        </w:rPr>
        <w:t xml:space="preserve"> </w:t>
      </w:r>
      <w:r>
        <w:rPr>
          <w:i/>
          <w:sz w:val="24"/>
        </w:rPr>
        <w:t>la</w:t>
      </w:r>
      <w:r>
        <w:rPr>
          <w:i/>
          <w:spacing w:val="-3"/>
          <w:sz w:val="24"/>
        </w:rPr>
        <w:t xml:space="preserve"> </w:t>
      </w:r>
      <w:r>
        <w:rPr>
          <w:i/>
          <w:sz w:val="24"/>
        </w:rPr>
        <w:t>mortalidad materna</w:t>
      </w:r>
      <w:r>
        <w:rPr>
          <w:i/>
          <w:spacing w:val="-3"/>
          <w:sz w:val="24"/>
        </w:rPr>
        <w:t xml:space="preserve"> </w:t>
      </w:r>
      <w:r>
        <w:rPr>
          <w:i/>
          <w:sz w:val="24"/>
        </w:rPr>
        <w:t>entre las zonas urbanas y rurales, como por grupos poblacionales.</w:t>
      </w:r>
      <w:r>
        <w:rPr>
          <w:i/>
          <w:spacing w:val="-6"/>
          <w:sz w:val="24"/>
        </w:rPr>
        <w:t xml:space="preserve"> </w:t>
      </w:r>
      <w:r>
        <w:rPr>
          <w:i/>
          <w:sz w:val="24"/>
        </w:rPr>
        <w:t>Mientras</w:t>
      </w:r>
      <w:r>
        <w:rPr>
          <w:i/>
          <w:spacing w:val="-7"/>
          <w:sz w:val="24"/>
        </w:rPr>
        <w:t xml:space="preserve"> </w:t>
      </w:r>
      <w:r>
        <w:rPr>
          <w:i/>
          <w:sz w:val="24"/>
        </w:rPr>
        <w:t>en</w:t>
      </w:r>
      <w:r>
        <w:rPr>
          <w:i/>
          <w:spacing w:val="-3"/>
          <w:sz w:val="24"/>
        </w:rPr>
        <w:t xml:space="preserve"> </w:t>
      </w:r>
      <w:r>
        <w:rPr>
          <w:i/>
          <w:sz w:val="24"/>
        </w:rPr>
        <w:t>ciudades</w:t>
      </w:r>
      <w:r>
        <w:rPr>
          <w:i/>
          <w:spacing w:val="-8"/>
          <w:sz w:val="24"/>
        </w:rPr>
        <w:t xml:space="preserve"> </w:t>
      </w:r>
      <w:r>
        <w:rPr>
          <w:i/>
          <w:sz w:val="24"/>
        </w:rPr>
        <w:t>como</w:t>
      </w:r>
      <w:r>
        <w:rPr>
          <w:i/>
          <w:spacing w:val="-7"/>
          <w:sz w:val="24"/>
        </w:rPr>
        <w:t xml:space="preserve"> </w:t>
      </w:r>
      <w:r>
        <w:rPr>
          <w:i/>
          <w:sz w:val="24"/>
        </w:rPr>
        <w:t>Bogotá,</w:t>
      </w:r>
      <w:r>
        <w:rPr>
          <w:i/>
          <w:spacing w:val="-8"/>
          <w:sz w:val="24"/>
        </w:rPr>
        <w:t xml:space="preserve"> </w:t>
      </w:r>
      <w:r>
        <w:rPr>
          <w:i/>
          <w:sz w:val="24"/>
        </w:rPr>
        <w:t>Cali,</w:t>
      </w:r>
      <w:r>
        <w:rPr>
          <w:i/>
          <w:spacing w:val="-8"/>
          <w:sz w:val="24"/>
        </w:rPr>
        <w:t xml:space="preserve"> </w:t>
      </w:r>
      <w:r>
        <w:rPr>
          <w:i/>
          <w:sz w:val="24"/>
        </w:rPr>
        <w:t>Barranquilla, tienen</w:t>
      </w:r>
      <w:r>
        <w:rPr>
          <w:i/>
          <w:spacing w:val="-9"/>
          <w:sz w:val="24"/>
        </w:rPr>
        <w:t xml:space="preserve"> </w:t>
      </w:r>
      <w:r>
        <w:rPr>
          <w:i/>
          <w:sz w:val="24"/>
        </w:rPr>
        <w:t>razones</w:t>
      </w:r>
      <w:r>
        <w:rPr>
          <w:i/>
          <w:spacing w:val="-9"/>
          <w:sz w:val="24"/>
        </w:rPr>
        <w:t xml:space="preserve"> </w:t>
      </w:r>
      <w:r>
        <w:rPr>
          <w:i/>
          <w:sz w:val="24"/>
        </w:rPr>
        <w:t>de</w:t>
      </w:r>
      <w:r>
        <w:rPr>
          <w:i/>
          <w:spacing w:val="-5"/>
          <w:sz w:val="24"/>
        </w:rPr>
        <w:t xml:space="preserve"> </w:t>
      </w:r>
      <w:r>
        <w:rPr>
          <w:i/>
          <w:sz w:val="24"/>
        </w:rPr>
        <w:t>mortalidad</w:t>
      </w:r>
      <w:r>
        <w:rPr>
          <w:i/>
          <w:spacing w:val="-1"/>
          <w:sz w:val="24"/>
        </w:rPr>
        <w:t xml:space="preserve"> </w:t>
      </w:r>
      <w:r>
        <w:rPr>
          <w:i/>
          <w:sz w:val="24"/>
        </w:rPr>
        <w:t>materna</w:t>
      </w:r>
      <w:r>
        <w:rPr>
          <w:i/>
          <w:spacing w:val="-9"/>
          <w:sz w:val="24"/>
        </w:rPr>
        <w:t xml:space="preserve"> </w:t>
      </w:r>
      <w:r>
        <w:rPr>
          <w:i/>
          <w:sz w:val="24"/>
        </w:rPr>
        <w:t>por</w:t>
      </w:r>
      <w:r>
        <w:rPr>
          <w:i/>
          <w:spacing w:val="-8"/>
          <w:sz w:val="24"/>
        </w:rPr>
        <w:t xml:space="preserve"> </w:t>
      </w:r>
      <w:r>
        <w:rPr>
          <w:i/>
          <w:sz w:val="24"/>
        </w:rPr>
        <w:t>debajo</w:t>
      </w:r>
      <w:r>
        <w:rPr>
          <w:i/>
          <w:spacing w:val="-8"/>
          <w:sz w:val="24"/>
        </w:rPr>
        <w:t xml:space="preserve"> </w:t>
      </w:r>
      <w:r>
        <w:rPr>
          <w:i/>
          <w:sz w:val="24"/>
        </w:rPr>
        <w:t>de</w:t>
      </w:r>
      <w:r>
        <w:rPr>
          <w:i/>
          <w:spacing w:val="-8"/>
          <w:sz w:val="24"/>
        </w:rPr>
        <w:t xml:space="preserve"> </w:t>
      </w:r>
      <w:r>
        <w:rPr>
          <w:i/>
          <w:sz w:val="24"/>
        </w:rPr>
        <w:t>30,</w:t>
      </w:r>
      <w:r>
        <w:rPr>
          <w:i/>
          <w:spacing w:val="-7"/>
          <w:sz w:val="24"/>
        </w:rPr>
        <w:t xml:space="preserve"> </w:t>
      </w:r>
      <w:r>
        <w:rPr>
          <w:i/>
          <w:sz w:val="24"/>
        </w:rPr>
        <w:t>en</w:t>
      </w:r>
      <w:r>
        <w:rPr>
          <w:i/>
          <w:spacing w:val="-9"/>
          <w:sz w:val="24"/>
        </w:rPr>
        <w:t xml:space="preserve"> </w:t>
      </w:r>
      <w:r>
        <w:rPr>
          <w:i/>
          <w:sz w:val="24"/>
        </w:rPr>
        <w:t>regiones como</w:t>
      </w:r>
      <w:r>
        <w:rPr>
          <w:i/>
          <w:spacing w:val="-21"/>
          <w:sz w:val="24"/>
        </w:rPr>
        <w:t xml:space="preserve"> </w:t>
      </w:r>
      <w:r>
        <w:rPr>
          <w:i/>
          <w:sz w:val="24"/>
        </w:rPr>
        <w:t>Buenaventura</w:t>
      </w:r>
      <w:r>
        <w:rPr>
          <w:i/>
          <w:spacing w:val="-20"/>
          <w:sz w:val="24"/>
        </w:rPr>
        <w:t xml:space="preserve"> </w:t>
      </w:r>
      <w:r>
        <w:rPr>
          <w:i/>
          <w:sz w:val="24"/>
        </w:rPr>
        <w:t>(134,4),</w:t>
      </w:r>
      <w:r>
        <w:rPr>
          <w:i/>
          <w:spacing w:val="-21"/>
          <w:sz w:val="24"/>
        </w:rPr>
        <w:t xml:space="preserve"> </w:t>
      </w:r>
      <w:r>
        <w:rPr>
          <w:i/>
          <w:sz w:val="24"/>
        </w:rPr>
        <w:t>Vichada</w:t>
      </w:r>
      <w:r>
        <w:rPr>
          <w:i/>
          <w:spacing w:val="-4"/>
          <w:sz w:val="24"/>
        </w:rPr>
        <w:t xml:space="preserve"> </w:t>
      </w:r>
      <w:r>
        <w:rPr>
          <w:i/>
          <w:sz w:val="24"/>
        </w:rPr>
        <w:t>(132,9),</w:t>
      </w:r>
      <w:r>
        <w:rPr>
          <w:i/>
          <w:spacing w:val="-21"/>
          <w:sz w:val="24"/>
        </w:rPr>
        <w:t xml:space="preserve"> </w:t>
      </w:r>
      <w:r>
        <w:rPr>
          <w:i/>
          <w:sz w:val="24"/>
        </w:rPr>
        <w:t>(Chocó</w:t>
      </w:r>
      <w:r>
        <w:rPr>
          <w:i/>
          <w:spacing w:val="-20"/>
          <w:sz w:val="24"/>
        </w:rPr>
        <w:t xml:space="preserve"> </w:t>
      </w:r>
      <w:r>
        <w:rPr>
          <w:i/>
          <w:sz w:val="24"/>
        </w:rPr>
        <w:t>82,9)</w:t>
      </w:r>
      <w:r>
        <w:rPr>
          <w:i/>
          <w:spacing w:val="-22"/>
          <w:sz w:val="24"/>
        </w:rPr>
        <w:t xml:space="preserve"> </w:t>
      </w:r>
      <w:r>
        <w:rPr>
          <w:i/>
          <w:sz w:val="24"/>
        </w:rPr>
        <w:t>las</w:t>
      </w:r>
      <w:r>
        <w:rPr>
          <w:i/>
          <w:spacing w:val="-20"/>
          <w:sz w:val="24"/>
        </w:rPr>
        <w:t xml:space="preserve"> </w:t>
      </w:r>
      <w:r>
        <w:rPr>
          <w:i/>
          <w:sz w:val="24"/>
        </w:rPr>
        <w:t>tasas son cuatro, y hasta cinco veces las del promedio nacional</w:t>
      </w:r>
      <w:hyperlink w:anchor="_bookmark10" w:history="1">
        <w:r w:rsidR="000E52B0">
          <w:rPr>
            <w:i/>
            <w:position w:val="8"/>
            <w:sz w:val="16"/>
          </w:rPr>
          <w:t>8</w:t>
        </w:r>
      </w:hyperlink>
      <w:r>
        <w:rPr>
          <w:i/>
          <w:sz w:val="24"/>
        </w:rPr>
        <w:t>“.</w:t>
      </w:r>
    </w:p>
    <w:p w14:paraId="5CB20438" w14:textId="77777777" w:rsidR="000E52B0" w:rsidRDefault="000E52B0">
      <w:pPr>
        <w:pStyle w:val="Textoindependiente"/>
        <w:spacing w:before="1"/>
        <w:ind w:left="0"/>
        <w:rPr>
          <w:i/>
        </w:rPr>
      </w:pPr>
    </w:p>
    <w:p w14:paraId="3458B15C" w14:textId="77777777" w:rsidR="000E52B0" w:rsidRDefault="00F60D74">
      <w:pPr>
        <w:pStyle w:val="Textoindependiente"/>
        <w:ind w:right="713"/>
        <w:jc w:val="both"/>
      </w:pPr>
      <w:r>
        <w:t>Es</w:t>
      </w:r>
      <w:r>
        <w:rPr>
          <w:spacing w:val="-12"/>
        </w:rPr>
        <w:t xml:space="preserve"> </w:t>
      </w:r>
      <w:r>
        <w:t>así</w:t>
      </w:r>
      <w:r>
        <w:rPr>
          <w:spacing w:val="-10"/>
        </w:rPr>
        <w:t xml:space="preserve"> </w:t>
      </w:r>
      <w:r>
        <w:t>como</w:t>
      </w:r>
      <w:r>
        <w:rPr>
          <w:spacing w:val="-8"/>
        </w:rPr>
        <w:t xml:space="preserve"> </w:t>
      </w:r>
      <w:r>
        <w:t>las</w:t>
      </w:r>
      <w:r>
        <w:rPr>
          <w:spacing w:val="-9"/>
        </w:rPr>
        <w:t xml:space="preserve"> </w:t>
      </w:r>
      <w:r>
        <w:t>desigualdades</w:t>
      </w:r>
      <w:r>
        <w:rPr>
          <w:spacing w:val="-8"/>
        </w:rPr>
        <w:t xml:space="preserve"> </w:t>
      </w:r>
      <w:r>
        <w:t>e</w:t>
      </w:r>
      <w:r>
        <w:rPr>
          <w:spacing w:val="-10"/>
        </w:rPr>
        <w:t xml:space="preserve"> </w:t>
      </w:r>
      <w:r>
        <w:t>inequidades</w:t>
      </w:r>
      <w:r>
        <w:rPr>
          <w:spacing w:val="-9"/>
        </w:rPr>
        <w:t xml:space="preserve"> </w:t>
      </w:r>
      <w:r>
        <w:t>territoriales</w:t>
      </w:r>
      <w:r>
        <w:rPr>
          <w:spacing w:val="-11"/>
        </w:rPr>
        <w:t xml:space="preserve"> </w:t>
      </w:r>
      <w:r>
        <w:t>se</w:t>
      </w:r>
      <w:r>
        <w:rPr>
          <w:spacing w:val="-8"/>
        </w:rPr>
        <w:t xml:space="preserve"> </w:t>
      </w:r>
      <w:r>
        <w:t>manifiestan</w:t>
      </w:r>
      <w:r>
        <w:rPr>
          <w:spacing w:val="-12"/>
        </w:rPr>
        <w:t xml:space="preserve"> </w:t>
      </w:r>
      <w:r>
        <w:t xml:space="preserve">en diferentes esferas de la vida de las personas, la consecuencia más visible de la desigualdad, </w:t>
      </w:r>
      <w:r>
        <w:rPr>
          <w:b/>
        </w:rPr>
        <w:t xml:space="preserve">la pobreza, </w:t>
      </w:r>
      <w:r>
        <w:t>también se concentra en estos territorios marginados y excluidos que se concretan a diferentes escalas. Desde la valoración multidimensional de la pobreza, que se considera en términos de privaciones en términos de salud, educación, vivienda, dependencia económica entre otras, los municipios donde más del 70% de la población tiene privaciones multidimensionales se ubican principalmente en la Costa Caribe,</w:t>
      </w:r>
      <w:r>
        <w:rPr>
          <w:spacing w:val="-6"/>
        </w:rPr>
        <w:t xml:space="preserve"> </w:t>
      </w:r>
      <w:r>
        <w:t>el</w:t>
      </w:r>
      <w:r>
        <w:rPr>
          <w:spacing w:val="-6"/>
        </w:rPr>
        <w:t xml:space="preserve"> </w:t>
      </w:r>
      <w:r>
        <w:t>Pacífico,</w:t>
      </w:r>
      <w:r>
        <w:rPr>
          <w:spacing w:val="-4"/>
        </w:rPr>
        <w:t xml:space="preserve"> </w:t>
      </w:r>
      <w:r>
        <w:t>y</w:t>
      </w:r>
      <w:r>
        <w:rPr>
          <w:spacing w:val="-4"/>
        </w:rPr>
        <w:t xml:space="preserve"> </w:t>
      </w:r>
      <w:r>
        <w:t>la</w:t>
      </w:r>
      <w:r>
        <w:rPr>
          <w:spacing w:val="-6"/>
        </w:rPr>
        <w:t xml:space="preserve"> </w:t>
      </w:r>
      <w:r>
        <w:t>Amazonía</w:t>
      </w:r>
      <w:r>
        <w:rPr>
          <w:spacing w:val="-6"/>
        </w:rPr>
        <w:t xml:space="preserve"> </w:t>
      </w:r>
      <w:r>
        <w:t>y</w:t>
      </w:r>
      <w:r>
        <w:rPr>
          <w:spacing w:val="-6"/>
        </w:rPr>
        <w:t xml:space="preserve"> </w:t>
      </w:r>
      <w:r>
        <w:t>Orinoquía.</w:t>
      </w:r>
      <w:r>
        <w:rPr>
          <w:spacing w:val="-3"/>
        </w:rPr>
        <w:t xml:space="preserve"> </w:t>
      </w:r>
      <w:r>
        <w:t>A</w:t>
      </w:r>
      <w:r>
        <w:rPr>
          <w:spacing w:val="-7"/>
        </w:rPr>
        <w:t xml:space="preserve"> </w:t>
      </w:r>
      <w:r>
        <w:t>su</w:t>
      </w:r>
      <w:r>
        <w:rPr>
          <w:spacing w:val="-4"/>
        </w:rPr>
        <w:t xml:space="preserve"> </w:t>
      </w:r>
      <w:r>
        <w:t>vez,</w:t>
      </w:r>
      <w:r>
        <w:rPr>
          <w:spacing w:val="-6"/>
        </w:rPr>
        <w:t xml:space="preserve"> </w:t>
      </w:r>
      <w:r>
        <w:t>los</w:t>
      </w:r>
      <w:r>
        <w:rPr>
          <w:spacing w:val="-2"/>
        </w:rPr>
        <w:t xml:space="preserve"> </w:t>
      </w:r>
      <w:r>
        <w:t>municipios</w:t>
      </w:r>
      <w:r>
        <w:rPr>
          <w:spacing w:val="-5"/>
        </w:rPr>
        <w:t xml:space="preserve"> </w:t>
      </w:r>
      <w:r>
        <w:t>con el menor índice de privación se concentran en el altiplano cundiboyacense y en cordillera desde el Valle del Cauca hasta Antioquia como muestra la ilustración 9.</w:t>
      </w:r>
    </w:p>
    <w:p w14:paraId="4998E82B" w14:textId="77777777" w:rsidR="000E52B0" w:rsidRDefault="000E52B0">
      <w:pPr>
        <w:pStyle w:val="Textoindependiente"/>
        <w:spacing w:before="1"/>
        <w:ind w:left="0"/>
      </w:pPr>
    </w:p>
    <w:p w14:paraId="0A0F99FC" w14:textId="77777777" w:rsidR="000E52B0" w:rsidRDefault="00F60D74">
      <w:pPr>
        <w:ind w:left="720" w:right="720"/>
        <w:jc w:val="both"/>
        <w:rPr>
          <w:sz w:val="24"/>
        </w:rPr>
      </w:pPr>
      <w:r>
        <w:rPr>
          <w:sz w:val="24"/>
        </w:rPr>
        <w:t>En 2023, el porcentaje de personas en situación de pobreza multidimensional en Colombia fue 12,1% en el total nacional; en las cabeceras</w:t>
      </w:r>
      <w:r>
        <w:rPr>
          <w:spacing w:val="-13"/>
          <w:sz w:val="24"/>
        </w:rPr>
        <w:t xml:space="preserve"> </w:t>
      </w:r>
      <w:r>
        <w:rPr>
          <w:sz w:val="24"/>
        </w:rPr>
        <w:t>de</w:t>
      </w:r>
      <w:r>
        <w:rPr>
          <w:spacing w:val="-12"/>
          <w:sz w:val="24"/>
        </w:rPr>
        <w:t xml:space="preserve"> </w:t>
      </w:r>
      <w:r>
        <w:rPr>
          <w:sz w:val="24"/>
        </w:rPr>
        <w:t>8,3%</w:t>
      </w:r>
      <w:r>
        <w:rPr>
          <w:spacing w:val="-12"/>
          <w:sz w:val="24"/>
        </w:rPr>
        <w:t xml:space="preserve"> </w:t>
      </w:r>
      <w:r>
        <w:rPr>
          <w:sz w:val="24"/>
        </w:rPr>
        <w:t>y</w:t>
      </w:r>
      <w:r>
        <w:rPr>
          <w:spacing w:val="-13"/>
          <w:sz w:val="24"/>
        </w:rPr>
        <w:t xml:space="preserve"> </w:t>
      </w:r>
      <w:r>
        <w:rPr>
          <w:sz w:val="24"/>
        </w:rPr>
        <w:t>en</w:t>
      </w:r>
      <w:r>
        <w:rPr>
          <w:spacing w:val="-13"/>
          <w:sz w:val="24"/>
        </w:rPr>
        <w:t xml:space="preserve"> </w:t>
      </w:r>
      <w:r>
        <w:rPr>
          <w:sz w:val="24"/>
        </w:rPr>
        <w:t>los</w:t>
      </w:r>
      <w:r>
        <w:rPr>
          <w:spacing w:val="-10"/>
          <w:sz w:val="24"/>
        </w:rPr>
        <w:t xml:space="preserve"> </w:t>
      </w:r>
      <w:r>
        <w:rPr>
          <w:sz w:val="24"/>
        </w:rPr>
        <w:t>centros</w:t>
      </w:r>
      <w:r>
        <w:rPr>
          <w:spacing w:val="-13"/>
          <w:sz w:val="24"/>
        </w:rPr>
        <w:t xml:space="preserve"> </w:t>
      </w:r>
      <w:r>
        <w:rPr>
          <w:sz w:val="24"/>
        </w:rPr>
        <w:t>poblados</w:t>
      </w:r>
      <w:r>
        <w:rPr>
          <w:spacing w:val="-13"/>
          <w:sz w:val="24"/>
        </w:rPr>
        <w:t xml:space="preserve"> </w:t>
      </w:r>
      <w:r>
        <w:rPr>
          <w:sz w:val="24"/>
        </w:rPr>
        <w:t>y</w:t>
      </w:r>
      <w:r>
        <w:rPr>
          <w:spacing w:val="-11"/>
          <w:sz w:val="24"/>
        </w:rPr>
        <w:t xml:space="preserve"> </w:t>
      </w:r>
      <w:r>
        <w:rPr>
          <w:sz w:val="24"/>
        </w:rPr>
        <w:t>rural</w:t>
      </w:r>
      <w:r>
        <w:rPr>
          <w:spacing w:val="-13"/>
          <w:sz w:val="24"/>
        </w:rPr>
        <w:t xml:space="preserve"> </w:t>
      </w:r>
      <w:r>
        <w:rPr>
          <w:sz w:val="24"/>
        </w:rPr>
        <w:t>disperso</w:t>
      </w:r>
      <w:r>
        <w:rPr>
          <w:spacing w:val="-12"/>
          <w:sz w:val="24"/>
        </w:rPr>
        <w:t xml:space="preserve"> </w:t>
      </w:r>
      <w:r>
        <w:rPr>
          <w:sz w:val="24"/>
        </w:rPr>
        <w:t>de</w:t>
      </w:r>
      <w:r>
        <w:rPr>
          <w:spacing w:val="-12"/>
          <w:sz w:val="24"/>
        </w:rPr>
        <w:t xml:space="preserve"> </w:t>
      </w:r>
      <w:r>
        <w:rPr>
          <w:sz w:val="24"/>
        </w:rPr>
        <w:t>25,1%,</w:t>
      </w:r>
      <w:r>
        <w:rPr>
          <w:spacing w:val="-13"/>
          <w:sz w:val="24"/>
        </w:rPr>
        <w:t xml:space="preserve"> </w:t>
      </w:r>
      <w:r>
        <w:rPr>
          <w:sz w:val="24"/>
        </w:rPr>
        <w:t xml:space="preserve">es decir, </w:t>
      </w:r>
      <w:r>
        <w:rPr>
          <w:b/>
          <w:sz w:val="24"/>
        </w:rPr>
        <w:t>el porcentaje de personas en situación de pobreza multidimensional en centros poblados y rural disperso fue 3 veces el de las cabeceras</w:t>
      </w:r>
      <w:hyperlink w:anchor="_bookmark11" w:history="1">
        <w:r w:rsidR="000E52B0">
          <w:rPr>
            <w:b/>
            <w:position w:val="8"/>
            <w:sz w:val="16"/>
          </w:rPr>
          <w:t>9</w:t>
        </w:r>
      </w:hyperlink>
      <w:r>
        <w:rPr>
          <w:sz w:val="24"/>
        </w:rPr>
        <w:t>.</w:t>
      </w:r>
    </w:p>
    <w:p w14:paraId="1392FC4A" w14:textId="77777777" w:rsidR="000E52B0" w:rsidRDefault="000E52B0">
      <w:pPr>
        <w:pStyle w:val="Textoindependiente"/>
        <w:ind w:left="0"/>
        <w:rPr>
          <w:sz w:val="20"/>
        </w:rPr>
      </w:pPr>
    </w:p>
    <w:p w14:paraId="08E56F03" w14:textId="77777777" w:rsidR="000E52B0" w:rsidRDefault="000E52B0">
      <w:pPr>
        <w:pStyle w:val="Textoindependiente"/>
        <w:ind w:left="0"/>
        <w:rPr>
          <w:sz w:val="20"/>
        </w:rPr>
      </w:pPr>
    </w:p>
    <w:p w14:paraId="64E08E8B" w14:textId="77777777" w:rsidR="000E52B0" w:rsidRDefault="000E52B0">
      <w:pPr>
        <w:pStyle w:val="Textoindependiente"/>
        <w:ind w:left="0"/>
        <w:rPr>
          <w:sz w:val="20"/>
        </w:rPr>
      </w:pPr>
    </w:p>
    <w:p w14:paraId="15C95D24" w14:textId="77777777" w:rsidR="000E52B0" w:rsidRDefault="000E52B0">
      <w:pPr>
        <w:pStyle w:val="Textoindependiente"/>
        <w:ind w:left="0"/>
        <w:rPr>
          <w:sz w:val="20"/>
        </w:rPr>
      </w:pPr>
    </w:p>
    <w:p w14:paraId="6906DE1B" w14:textId="77777777" w:rsidR="000E52B0" w:rsidRDefault="000E52B0">
      <w:pPr>
        <w:pStyle w:val="Textoindependiente"/>
        <w:ind w:left="0"/>
        <w:rPr>
          <w:sz w:val="20"/>
        </w:rPr>
      </w:pPr>
    </w:p>
    <w:p w14:paraId="47839C35" w14:textId="77777777" w:rsidR="000E52B0" w:rsidRDefault="000E52B0">
      <w:pPr>
        <w:pStyle w:val="Textoindependiente"/>
        <w:ind w:left="0"/>
        <w:rPr>
          <w:sz w:val="20"/>
        </w:rPr>
      </w:pPr>
    </w:p>
    <w:p w14:paraId="1F0C7466" w14:textId="77777777" w:rsidR="000E52B0" w:rsidRDefault="000E52B0">
      <w:pPr>
        <w:pStyle w:val="Textoindependiente"/>
        <w:ind w:left="0"/>
        <w:rPr>
          <w:sz w:val="20"/>
        </w:rPr>
      </w:pPr>
    </w:p>
    <w:p w14:paraId="3BDA2A0C" w14:textId="77777777" w:rsidR="000E52B0" w:rsidRDefault="000E52B0">
      <w:pPr>
        <w:pStyle w:val="Textoindependiente"/>
        <w:ind w:left="0"/>
        <w:rPr>
          <w:sz w:val="20"/>
        </w:rPr>
      </w:pPr>
    </w:p>
    <w:p w14:paraId="3B8BE2A8" w14:textId="77777777" w:rsidR="000E52B0" w:rsidRDefault="000E52B0">
      <w:pPr>
        <w:pStyle w:val="Textoindependiente"/>
        <w:ind w:left="0"/>
        <w:rPr>
          <w:sz w:val="20"/>
        </w:rPr>
      </w:pPr>
    </w:p>
    <w:p w14:paraId="008307C6" w14:textId="77777777" w:rsidR="000E52B0" w:rsidRDefault="000E52B0">
      <w:pPr>
        <w:pStyle w:val="Textoindependiente"/>
        <w:ind w:left="0"/>
        <w:rPr>
          <w:sz w:val="20"/>
        </w:rPr>
      </w:pPr>
    </w:p>
    <w:p w14:paraId="3DCDE802" w14:textId="77777777" w:rsidR="000E52B0" w:rsidRDefault="00F60D74">
      <w:pPr>
        <w:pStyle w:val="Textoindependiente"/>
        <w:spacing w:before="234"/>
        <w:ind w:left="0"/>
        <w:rPr>
          <w:sz w:val="20"/>
        </w:rPr>
      </w:pPr>
      <w:r>
        <w:rPr>
          <w:noProof/>
          <w:sz w:val="20"/>
        </w:rPr>
        <mc:AlternateContent>
          <mc:Choice Requires="wps">
            <w:drawing>
              <wp:anchor distT="0" distB="0" distL="0" distR="0" simplePos="0" relativeHeight="487598080" behindDoc="1" locked="0" layoutInCell="1" allowOverlap="1" wp14:anchorId="65A659F7" wp14:editId="39D64DB2">
                <wp:simplePos x="0" y="0"/>
                <wp:positionH relativeFrom="page">
                  <wp:posOffset>914704</wp:posOffset>
                </wp:positionH>
                <wp:positionV relativeFrom="paragraph">
                  <wp:posOffset>318227</wp:posOffset>
                </wp:positionV>
                <wp:extent cx="1829435" cy="762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D7ADD1" id="Graphic 44" o:spid="_x0000_s1026" style="position:absolute;margin-left:1in;margin-top:25.05pt;width:144.05pt;height:.6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" path="m1829054,l,,,7619r1829054,l1829054,xe" fillcolor="black" stroked="f">
                <v:path arrowok="t"/>
                <w10:wrap type="topAndBottom" anchorx="page"/>
              </v:shape>
            </w:pict>
          </mc:Fallback>
        </mc:AlternateContent>
      </w:r>
    </w:p>
    <w:p w14:paraId="1F4A6D98" w14:textId="77777777" w:rsidR="000E52B0" w:rsidRDefault="00F60D74">
      <w:pPr>
        <w:spacing w:before="96"/>
        <w:ind w:left="720" w:right="716"/>
        <w:rPr>
          <w:rFonts w:ascii="Arial MT" w:hAnsi="Arial MT"/>
          <w:sz w:val="18"/>
        </w:rPr>
      </w:pPr>
      <w:bookmarkStart w:id="10" w:name="_bookmark10"/>
      <w:bookmarkEnd w:id="10"/>
      <w:r>
        <w:rPr>
          <w:rFonts w:ascii="Arial MT" w:hAnsi="Arial MT"/>
          <w:position w:val="6"/>
          <w:sz w:val="12"/>
        </w:rPr>
        <w:t>8</w:t>
      </w:r>
      <w:r>
        <w:rPr>
          <w:rFonts w:ascii="Arial MT" w:hAnsi="Arial MT"/>
          <w:spacing w:val="80"/>
          <w:position w:val="6"/>
          <w:sz w:val="12"/>
        </w:rPr>
        <w:t xml:space="preserve"> </w:t>
      </w:r>
      <w:r>
        <w:rPr>
          <w:rFonts w:ascii="Arial MT" w:hAnsi="Arial MT"/>
          <w:sz w:val="18"/>
        </w:rPr>
        <w:t>INS.</w:t>
      </w:r>
      <w:r>
        <w:rPr>
          <w:rFonts w:ascii="Arial MT" w:hAnsi="Arial MT"/>
          <w:spacing w:val="72"/>
          <w:sz w:val="18"/>
        </w:rPr>
        <w:t xml:space="preserve"> </w:t>
      </w:r>
      <w:r>
        <w:rPr>
          <w:rFonts w:ascii="Arial MT" w:hAnsi="Arial MT"/>
          <w:sz w:val="18"/>
        </w:rPr>
        <w:t>La</w:t>
      </w:r>
      <w:r>
        <w:rPr>
          <w:rFonts w:ascii="Arial MT" w:hAnsi="Arial MT"/>
          <w:spacing w:val="72"/>
          <w:sz w:val="18"/>
        </w:rPr>
        <w:t xml:space="preserve"> </w:t>
      </w:r>
      <w:r>
        <w:rPr>
          <w:rFonts w:ascii="Arial MT" w:hAnsi="Arial MT"/>
          <w:sz w:val="18"/>
        </w:rPr>
        <w:t>mortalidad</w:t>
      </w:r>
      <w:r>
        <w:rPr>
          <w:rFonts w:ascii="Arial MT" w:hAnsi="Arial MT"/>
          <w:spacing w:val="69"/>
          <w:sz w:val="18"/>
        </w:rPr>
        <w:t xml:space="preserve"> </w:t>
      </w:r>
      <w:r>
        <w:rPr>
          <w:rFonts w:ascii="Arial MT" w:hAnsi="Arial MT"/>
          <w:sz w:val="18"/>
        </w:rPr>
        <w:t>materna</w:t>
      </w:r>
      <w:r>
        <w:rPr>
          <w:rFonts w:ascii="Arial MT" w:hAnsi="Arial MT"/>
          <w:spacing w:val="72"/>
          <w:sz w:val="18"/>
        </w:rPr>
        <w:t xml:space="preserve"> </w:t>
      </w:r>
      <w:r>
        <w:rPr>
          <w:rFonts w:ascii="Arial MT" w:hAnsi="Arial MT"/>
          <w:sz w:val="18"/>
        </w:rPr>
        <w:t>sigue</w:t>
      </w:r>
      <w:r>
        <w:rPr>
          <w:rFonts w:ascii="Arial MT" w:hAnsi="Arial MT"/>
          <w:spacing w:val="72"/>
          <w:sz w:val="18"/>
        </w:rPr>
        <w:t xml:space="preserve"> </w:t>
      </w:r>
      <w:r>
        <w:rPr>
          <w:rFonts w:ascii="Arial MT" w:hAnsi="Arial MT"/>
          <w:sz w:val="18"/>
        </w:rPr>
        <w:t>siendo</w:t>
      </w:r>
      <w:r>
        <w:rPr>
          <w:rFonts w:ascii="Arial MT" w:hAnsi="Arial MT"/>
          <w:spacing w:val="72"/>
          <w:sz w:val="18"/>
        </w:rPr>
        <w:t xml:space="preserve"> </w:t>
      </w:r>
      <w:r>
        <w:rPr>
          <w:rFonts w:ascii="Arial MT" w:hAnsi="Arial MT"/>
          <w:sz w:val="18"/>
        </w:rPr>
        <w:t>mayor</w:t>
      </w:r>
      <w:r>
        <w:rPr>
          <w:rFonts w:ascii="Arial MT" w:hAnsi="Arial MT"/>
          <w:spacing w:val="71"/>
          <w:sz w:val="18"/>
        </w:rPr>
        <w:t xml:space="preserve"> </w:t>
      </w:r>
      <w:r>
        <w:rPr>
          <w:rFonts w:ascii="Arial MT" w:hAnsi="Arial MT"/>
          <w:sz w:val="18"/>
        </w:rPr>
        <w:t>en</w:t>
      </w:r>
      <w:r>
        <w:rPr>
          <w:rFonts w:ascii="Arial MT" w:hAnsi="Arial MT"/>
          <w:spacing w:val="69"/>
          <w:sz w:val="18"/>
        </w:rPr>
        <w:t xml:space="preserve"> </w:t>
      </w:r>
      <w:r>
        <w:rPr>
          <w:rFonts w:ascii="Arial MT" w:hAnsi="Arial MT"/>
          <w:sz w:val="18"/>
        </w:rPr>
        <w:t>mujeres</w:t>
      </w:r>
      <w:r>
        <w:rPr>
          <w:rFonts w:ascii="Arial MT" w:hAnsi="Arial MT"/>
          <w:spacing w:val="72"/>
          <w:sz w:val="18"/>
        </w:rPr>
        <w:t xml:space="preserve"> </w:t>
      </w:r>
      <w:r>
        <w:rPr>
          <w:rFonts w:ascii="Arial MT" w:hAnsi="Arial MT"/>
          <w:sz w:val="18"/>
        </w:rPr>
        <w:t>pobres</w:t>
      </w:r>
      <w:r>
        <w:rPr>
          <w:rFonts w:ascii="Arial MT" w:hAnsi="Arial MT"/>
          <w:spacing w:val="72"/>
          <w:sz w:val="18"/>
        </w:rPr>
        <w:t xml:space="preserve"> </w:t>
      </w:r>
      <w:r>
        <w:rPr>
          <w:rFonts w:ascii="Arial MT" w:hAnsi="Arial MT"/>
          <w:sz w:val="18"/>
        </w:rPr>
        <w:t>y</w:t>
      </w:r>
      <w:r>
        <w:rPr>
          <w:rFonts w:ascii="Arial MT" w:hAnsi="Arial MT"/>
          <w:spacing w:val="70"/>
          <w:sz w:val="18"/>
        </w:rPr>
        <w:t xml:space="preserve"> </w:t>
      </w:r>
      <w:r>
        <w:rPr>
          <w:rFonts w:ascii="Arial MT" w:hAnsi="Arial MT"/>
          <w:sz w:val="18"/>
        </w:rPr>
        <w:t>con</w:t>
      </w:r>
      <w:r>
        <w:rPr>
          <w:rFonts w:ascii="Arial MT" w:hAnsi="Arial MT"/>
          <w:spacing w:val="72"/>
          <w:sz w:val="18"/>
        </w:rPr>
        <w:t xml:space="preserve"> </w:t>
      </w:r>
      <w:r>
        <w:rPr>
          <w:rFonts w:ascii="Arial MT" w:hAnsi="Arial MT"/>
          <w:sz w:val="18"/>
        </w:rPr>
        <w:t>pertenencia</w:t>
      </w:r>
      <w:r>
        <w:rPr>
          <w:rFonts w:ascii="Arial MT" w:hAnsi="Arial MT"/>
          <w:spacing w:val="72"/>
          <w:sz w:val="18"/>
        </w:rPr>
        <w:t xml:space="preserve"> </w:t>
      </w:r>
      <w:r>
        <w:rPr>
          <w:rFonts w:ascii="Arial MT" w:hAnsi="Arial MT"/>
          <w:sz w:val="18"/>
        </w:rPr>
        <w:t>étnica.</w:t>
      </w:r>
      <w:r>
        <w:rPr>
          <w:rFonts w:ascii="Arial MT" w:hAnsi="Arial MT"/>
          <w:spacing w:val="80"/>
          <w:sz w:val="18"/>
        </w:rPr>
        <w:t xml:space="preserve"> </w:t>
      </w:r>
      <w:r>
        <w:rPr>
          <w:rFonts w:ascii="Arial MT" w:hAnsi="Arial MT"/>
          <w:sz w:val="18"/>
        </w:rPr>
        <w:t xml:space="preserve">Ver: </w:t>
      </w:r>
      <w:hyperlink r:id="rId36" w:anchor="%3A~%3Atext%3Dcada%20cien%20mil%20nacidos%20vivos%2Cdatos%20preliminares%20del%20RUAF%202023">
        <w:r w:rsidR="000E52B0">
          <w:rPr>
            <w:rFonts w:ascii="Arial MT" w:hAnsi="Arial MT"/>
            <w:color w:val="E22C91"/>
            <w:spacing w:val="-2"/>
            <w:sz w:val="18"/>
            <w:u w:val="single" w:color="E22C91"/>
          </w:rPr>
          <w:t>https://www.ins.gov.co/Noticias/Paginas/La-mortalidad-materna-sigue-siendo-mayor-en-mujeres-pobres-y-con-</w:t>
        </w:r>
      </w:hyperlink>
      <w:r>
        <w:rPr>
          <w:rFonts w:ascii="Arial MT" w:hAnsi="Arial MT"/>
          <w:color w:val="E22C91"/>
          <w:spacing w:val="-2"/>
          <w:sz w:val="18"/>
        </w:rPr>
        <w:t xml:space="preserve"> </w:t>
      </w:r>
      <w:hyperlink r:id="rId37" w:anchor="%3A~%3Atext%3Dcada%20cien%20mil%20nacidos%20vivos%2Cdatos%20preliminares%20del%20RUAF%202023">
        <w:r w:rsidR="000E52B0">
          <w:rPr>
            <w:rFonts w:ascii="Arial MT" w:hAnsi="Arial MT"/>
            <w:color w:val="E22C91"/>
            <w:spacing w:val="-2"/>
            <w:sz w:val="18"/>
            <w:u w:val="single" w:color="E22C91"/>
          </w:rPr>
          <w:t>pertenencia-</w:t>
        </w:r>
      </w:hyperlink>
    </w:p>
    <w:p w14:paraId="055B2F7F" w14:textId="77777777" w:rsidR="000E52B0" w:rsidRDefault="000E52B0">
      <w:pPr>
        <w:spacing w:line="205" w:lineRule="exact"/>
        <w:ind w:left="720"/>
        <w:rPr>
          <w:rFonts w:ascii="Arial MT"/>
          <w:sz w:val="18"/>
        </w:rPr>
      </w:pPr>
      <w:hyperlink r:id="rId38" w:anchor="%3A~%3Atext%3Dcada%20cien%20mil%20nacidos%20vivos%2Cdatos%20preliminares%20del%20RUAF%202023">
        <w:r>
          <w:rPr>
            <w:rFonts w:ascii="Arial MT"/>
            <w:color w:val="E22C91"/>
            <w:spacing w:val="-2"/>
            <w:sz w:val="18"/>
            <w:u w:val="single" w:color="E22C91"/>
          </w:rPr>
          <w:t>%C3%A9tnica.aspx#:~:text=cada%20cien%20mil%20nacidos%20vivos,datos%20preliminares%20del%20RUAF</w:t>
        </w:r>
      </w:hyperlink>
    </w:p>
    <w:p w14:paraId="1639D55C" w14:textId="77777777" w:rsidR="000E52B0" w:rsidRDefault="000E52B0">
      <w:pPr>
        <w:spacing w:before="2"/>
        <w:ind w:left="720"/>
        <w:rPr>
          <w:rFonts w:ascii="Arial MT" w:hAnsi="Arial MT"/>
          <w:sz w:val="18"/>
        </w:rPr>
      </w:pPr>
      <w:hyperlink r:id="rId39" w:anchor="%3A~%3Atext%3Dcada%20cien%20mil%20nacidos%20vivos%2Cdatos%20preliminares%20del%20RUAF%202023">
        <w:r>
          <w:rPr>
            <w:rFonts w:ascii="Arial MT" w:hAnsi="Arial MT"/>
            <w:color w:val="E22C91"/>
            <w:sz w:val="18"/>
            <w:u w:val="single" w:color="E22C91"/>
          </w:rPr>
          <w:t>%202023</w:t>
        </w:r>
        <w:r>
          <w:rPr>
            <w:rFonts w:ascii="Arial MT" w:hAnsi="Arial MT"/>
            <w:sz w:val="18"/>
          </w:rPr>
          <w:t>.</w:t>
        </w:r>
      </w:hyperlink>
      <w:r>
        <w:rPr>
          <w:rFonts w:ascii="Arial MT" w:hAnsi="Arial MT"/>
          <w:spacing w:val="80"/>
          <w:sz w:val="18"/>
        </w:rPr>
        <w:t xml:space="preserve"> </w:t>
      </w:r>
      <w:r>
        <w:rPr>
          <w:rFonts w:ascii="Arial MT" w:hAnsi="Arial MT"/>
          <w:sz w:val="18"/>
        </w:rPr>
        <w:t>Ver</w:t>
      </w:r>
      <w:r>
        <w:rPr>
          <w:rFonts w:ascii="Arial MT" w:hAnsi="Arial MT"/>
          <w:spacing w:val="80"/>
          <w:sz w:val="18"/>
        </w:rPr>
        <w:t xml:space="preserve"> </w:t>
      </w:r>
      <w:r>
        <w:rPr>
          <w:rFonts w:ascii="Arial MT" w:hAnsi="Arial MT"/>
          <w:sz w:val="18"/>
        </w:rPr>
        <w:t>la</w:t>
      </w:r>
      <w:r>
        <w:rPr>
          <w:rFonts w:ascii="Arial MT" w:hAnsi="Arial MT"/>
          <w:spacing w:val="80"/>
          <w:sz w:val="18"/>
        </w:rPr>
        <w:t xml:space="preserve"> </w:t>
      </w:r>
      <w:r>
        <w:rPr>
          <w:rFonts w:ascii="Arial MT" w:hAnsi="Arial MT"/>
          <w:sz w:val="18"/>
        </w:rPr>
        <w:t>presentación</w:t>
      </w:r>
      <w:r>
        <w:rPr>
          <w:rFonts w:ascii="Arial MT" w:hAnsi="Arial MT"/>
          <w:spacing w:val="80"/>
          <w:sz w:val="18"/>
        </w:rPr>
        <w:t xml:space="preserve"> </w:t>
      </w:r>
      <w:r>
        <w:rPr>
          <w:rFonts w:ascii="Arial MT" w:hAnsi="Arial MT"/>
          <w:sz w:val="18"/>
        </w:rPr>
        <w:t>del</w:t>
      </w:r>
      <w:r>
        <w:rPr>
          <w:rFonts w:ascii="Arial MT" w:hAnsi="Arial MT"/>
          <w:spacing w:val="80"/>
          <w:sz w:val="18"/>
        </w:rPr>
        <w:t xml:space="preserve"> </w:t>
      </w:r>
      <w:r>
        <w:rPr>
          <w:rFonts w:ascii="Arial MT" w:hAnsi="Arial MT"/>
          <w:sz w:val="18"/>
        </w:rPr>
        <w:t>informe</w:t>
      </w:r>
      <w:r>
        <w:rPr>
          <w:rFonts w:ascii="Arial MT" w:hAnsi="Arial MT"/>
          <w:spacing w:val="80"/>
          <w:sz w:val="18"/>
        </w:rPr>
        <w:t xml:space="preserve"> </w:t>
      </w:r>
      <w:r>
        <w:rPr>
          <w:rFonts w:ascii="Arial MT" w:hAnsi="Arial MT"/>
          <w:sz w:val="18"/>
        </w:rPr>
        <w:t>de</w:t>
      </w:r>
      <w:r>
        <w:rPr>
          <w:rFonts w:ascii="Arial MT" w:hAnsi="Arial MT"/>
          <w:spacing w:val="80"/>
          <w:sz w:val="18"/>
        </w:rPr>
        <w:t xml:space="preserve"> </w:t>
      </w:r>
      <w:r>
        <w:rPr>
          <w:rFonts w:ascii="Arial MT" w:hAnsi="Arial MT"/>
          <w:sz w:val="18"/>
        </w:rPr>
        <w:t>evento</w:t>
      </w:r>
      <w:r>
        <w:rPr>
          <w:rFonts w:ascii="Arial MT" w:hAnsi="Arial MT"/>
          <w:spacing w:val="80"/>
          <w:sz w:val="18"/>
        </w:rPr>
        <w:t xml:space="preserve"> </w:t>
      </w:r>
      <w:r>
        <w:rPr>
          <w:rFonts w:ascii="Arial MT" w:hAnsi="Arial MT"/>
          <w:sz w:val="18"/>
        </w:rPr>
        <w:t>epidemiológico:</w:t>
      </w:r>
      <w:r>
        <w:rPr>
          <w:rFonts w:ascii="Arial MT" w:hAnsi="Arial MT"/>
          <w:spacing w:val="80"/>
          <w:sz w:val="18"/>
        </w:rPr>
        <w:t xml:space="preserve"> </w:t>
      </w:r>
      <w:hyperlink r:id="rId40">
        <w:r>
          <w:rPr>
            <w:rFonts w:ascii="Arial MT" w:hAnsi="Arial MT"/>
            <w:color w:val="E22C91"/>
            <w:sz w:val="18"/>
            <w:u w:val="single" w:color="E22C91"/>
          </w:rPr>
          <w:t>https://www.ins.gov.co/buscador-</w:t>
        </w:r>
      </w:hyperlink>
      <w:r>
        <w:rPr>
          <w:rFonts w:ascii="Arial MT" w:hAnsi="Arial MT"/>
          <w:color w:val="E22C91"/>
          <w:sz w:val="18"/>
        </w:rPr>
        <w:t xml:space="preserve"> </w:t>
      </w:r>
      <w:hyperlink r:id="rId41">
        <w:r>
          <w:rPr>
            <w:rFonts w:ascii="Arial MT" w:hAnsi="Arial MT"/>
            <w:color w:val="E22C91"/>
            <w:spacing w:val="-2"/>
            <w:sz w:val="18"/>
            <w:u w:val="single" w:color="E22C91"/>
          </w:rPr>
          <w:t>eventos/Informesdeevento/MORTALIDAD%20MATERNA%20PE%20XIII%202023.pdf</w:t>
        </w:r>
      </w:hyperlink>
    </w:p>
    <w:p w14:paraId="43BAE311" w14:textId="77777777" w:rsidR="000E52B0" w:rsidRDefault="00F60D74">
      <w:pPr>
        <w:spacing w:line="206" w:lineRule="exact"/>
        <w:ind w:left="720"/>
        <w:rPr>
          <w:rFonts w:ascii="Arial MT" w:hAnsi="Arial MT"/>
          <w:sz w:val="18"/>
        </w:rPr>
      </w:pPr>
      <w:bookmarkStart w:id="11" w:name="_bookmark11"/>
      <w:bookmarkEnd w:id="11"/>
      <w:r>
        <w:rPr>
          <w:rFonts w:ascii="Arial MT" w:hAnsi="Arial MT"/>
          <w:position w:val="6"/>
          <w:sz w:val="12"/>
        </w:rPr>
        <w:t>9</w:t>
      </w:r>
      <w:r>
        <w:rPr>
          <w:rFonts w:ascii="Arial MT" w:hAnsi="Arial MT"/>
          <w:spacing w:val="11"/>
          <w:position w:val="6"/>
          <w:sz w:val="12"/>
        </w:rPr>
        <w:t xml:space="preserve"> </w:t>
      </w:r>
      <w:proofErr w:type="gramStart"/>
      <w:r>
        <w:rPr>
          <w:rFonts w:ascii="Arial MT" w:hAnsi="Arial MT"/>
          <w:sz w:val="18"/>
        </w:rPr>
        <w:t>Departamento</w:t>
      </w:r>
      <w:proofErr w:type="gramEnd"/>
      <w:r>
        <w:rPr>
          <w:rFonts w:ascii="Arial MT" w:hAnsi="Arial MT"/>
          <w:spacing w:val="-5"/>
          <w:sz w:val="18"/>
        </w:rPr>
        <w:t xml:space="preserve"> </w:t>
      </w:r>
      <w:r>
        <w:rPr>
          <w:rFonts w:ascii="Arial MT" w:hAnsi="Arial MT"/>
          <w:sz w:val="18"/>
        </w:rPr>
        <w:t>Administrativo</w:t>
      </w:r>
      <w:r>
        <w:rPr>
          <w:rFonts w:ascii="Arial MT" w:hAnsi="Arial MT"/>
          <w:spacing w:val="-7"/>
          <w:sz w:val="18"/>
        </w:rPr>
        <w:t xml:space="preserve"> </w:t>
      </w:r>
      <w:r>
        <w:rPr>
          <w:rFonts w:ascii="Arial MT" w:hAnsi="Arial MT"/>
          <w:sz w:val="18"/>
        </w:rPr>
        <w:t>Nacional</w:t>
      </w:r>
      <w:r>
        <w:rPr>
          <w:rFonts w:ascii="Arial MT" w:hAnsi="Arial MT"/>
          <w:spacing w:val="-7"/>
          <w:sz w:val="18"/>
        </w:rPr>
        <w:t xml:space="preserve"> </w:t>
      </w:r>
      <w:r>
        <w:rPr>
          <w:rFonts w:ascii="Arial MT" w:hAnsi="Arial MT"/>
          <w:sz w:val="18"/>
        </w:rPr>
        <w:t>de</w:t>
      </w:r>
      <w:r>
        <w:rPr>
          <w:rFonts w:ascii="Arial MT" w:hAnsi="Arial MT"/>
          <w:spacing w:val="-6"/>
          <w:sz w:val="18"/>
        </w:rPr>
        <w:t xml:space="preserve"> </w:t>
      </w:r>
      <w:r>
        <w:rPr>
          <w:rFonts w:ascii="Arial MT" w:hAnsi="Arial MT"/>
          <w:sz w:val="18"/>
        </w:rPr>
        <w:t>Estadística</w:t>
      </w:r>
      <w:r>
        <w:rPr>
          <w:rFonts w:ascii="Arial MT" w:hAnsi="Arial MT"/>
          <w:spacing w:val="-5"/>
          <w:sz w:val="18"/>
        </w:rPr>
        <w:t xml:space="preserve"> </w:t>
      </w:r>
      <w:r>
        <w:rPr>
          <w:rFonts w:ascii="Arial MT" w:hAnsi="Arial MT"/>
          <w:sz w:val="18"/>
        </w:rPr>
        <w:t>(2023).</w:t>
      </w:r>
      <w:r>
        <w:rPr>
          <w:rFonts w:ascii="Arial MT" w:hAnsi="Arial MT"/>
          <w:spacing w:val="-5"/>
          <w:sz w:val="18"/>
        </w:rPr>
        <w:t xml:space="preserve"> </w:t>
      </w:r>
      <w:r>
        <w:rPr>
          <w:rFonts w:ascii="Arial MT" w:hAnsi="Arial MT"/>
          <w:sz w:val="18"/>
        </w:rPr>
        <w:t>Pobreza</w:t>
      </w:r>
      <w:r>
        <w:rPr>
          <w:rFonts w:ascii="Arial MT" w:hAnsi="Arial MT"/>
          <w:spacing w:val="-7"/>
          <w:sz w:val="18"/>
        </w:rPr>
        <w:t xml:space="preserve"> </w:t>
      </w:r>
      <w:r>
        <w:rPr>
          <w:rFonts w:ascii="Arial MT" w:hAnsi="Arial MT"/>
          <w:sz w:val="18"/>
        </w:rPr>
        <w:t>monetaria</w:t>
      </w:r>
      <w:r>
        <w:rPr>
          <w:rFonts w:ascii="Arial MT" w:hAnsi="Arial MT"/>
          <w:spacing w:val="-6"/>
          <w:sz w:val="18"/>
        </w:rPr>
        <w:t xml:space="preserve"> </w:t>
      </w:r>
      <w:r>
        <w:rPr>
          <w:rFonts w:ascii="Arial MT" w:hAnsi="Arial MT"/>
          <w:sz w:val="18"/>
        </w:rPr>
        <w:t>Resultados</w:t>
      </w:r>
      <w:r>
        <w:rPr>
          <w:rFonts w:ascii="Arial MT" w:hAnsi="Arial MT"/>
          <w:spacing w:val="-4"/>
          <w:sz w:val="18"/>
        </w:rPr>
        <w:t xml:space="preserve"> </w:t>
      </w:r>
      <w:r>
        <w:rPr>
          <w:rFonts w:ascii="Arial MT" w:hAnsi="Arial MT"/>
          <w:spacing w:val="-2"/>
          <w:sz w:val="18"/>
        </w:rPr>
        <w:t>2022.</w:t>
      </w:r>
    </w:p>
    <w:p w14:paraId="73A5E94D" w14:textId="77777777" w:rsidR="000E52B0" w:rsidRDefault="000E52B0">
      <w:pPr>
        <w:spacing w:line="206" w:lineRule="exact"/>
        <w:rPr>
          <w:rFonts w:ascii="Arial MT" w:hAnsi="Arial MT"/>
          <w:sz w:val="18"/>
        </w:rPr>
        <w:sectPr w:rsidR="000E52B0">
          <w:pgSz w:w="11910" w:h="16840"/>
          <w:pgMar w:top="1340" w:right="720" w:bottom="1180" w:left="720" w:header="0" w:footer="995" w:gutter="0"/>
          <w:cols w:space="720"/>
        </w:sectPr>
      </w:pPr>
    </w:p>
    <w:p w14:paraId="3EF41EEA" w14:textId="77777777" w:rsidR="000E52B0" w:rsidRDefault="00F60D74">
      <w:pPr>
        <w:spacing w:before="80"/>
        <w:jc w:val="center"/>
        <w:rPr>
          <w:i/>
          <w:sz w:val="18"/>
        </w:rPr>
      </w:pPr>
      <w:r>
        <w:rPr>
          <w:i/>
          <w:color w:val="454551"/>
          <w:sz w:val="18"/>
        </w:rPr>
        <w:lastRenderedPageBreak/>
        <w:t>Ilustración</w:t>
      </w:r>
      <w:r>
        <w:rPr>
          <w:i/>
          <w:color w:val="454551"/>
          <w:spacing w:val="-4"/>
          <w:sz w:val="18"/>
        </w:rPr>
        <w:t xml:space="preserve"> </w:t>
      </w:r>
      <w:r>
        <w:rPr>
          <w:i/>
          <w:color w:val="454551"/>
          <w:sz w:val="18"/>
        </w:rPr>
        <w:t>10.</w:t>
      </w:r>
      <w:r>
        <w:rPr>
          <w:i/>
          <w:color w:val="454551"/>
          <w:spacing w:val="-5"/>
          <w:sz w:val="18"/>
        </w:rPr>
        <w:t xml:space="preserve"> </w:t>
      </w:r>
      <w:r>
        <w:rPr>
          <w:i/>
          <w:color w:val="454551"/>
          <w:sz w:val="18"/>
        </w:rPr>
        <w:t>Índice</w:t>
      </w:r>
      <w:r>
        <w:rPr>
          <w:i/>
          <w:color w:val="454551"/>
          <w:spacing w:val="-4"/>
          <w:sz w:val="18"/>
        </w:rPr>
        <w:t xml:space="preserve"> </w:t>
      </w:r>
      <w:r>
        <w:rPr>
          <w:i/>
          <w:color w:val="454551"/>
          <w:sz w:val="18"/>
        </w:rPr>
        <w:t>de</w:t>
      </w:r>
      <w:r>
        <w:rPr>
          <w:i/>
          <w:color w:val="454551"/>
          <w:spacing w:val="-4"/>
          <w:sz w:val="18"/>
        </w:rPr>
        <w:t xml:space="preserve"> </w:t>
      </w:r>
      <w:r>
        <w:rPr>
          <w:i/>
          <w:color w:val="454551"/>
          <w:sz w:val="18"/>
        </w:rPr>
        <w:t>Pobreza</w:t>
      </w:r>
      <w:r>
        <w:rPr>
          <w:i/>
          <w:color w:val="454551"/>
          <w:spacing w:val="-3"/>
          <w:sz w:val="18"/>
        </w:rPr>
        <w:t xml:space="preserve"> </w:t>
      </w:r>
      <w:r>
        <w:rPr>
          <w:i/>
          <w:color w:val="454551"/>
          <w:sz w:val="18"/>
        </w:rPr>
        <w:t>Multidimensional</w:t>
      </w:r>
      <w:r>
        <w:rPr>
          <w:i/>
          <w:color w:val="454551"/>
          <w:spacing w:val="-4"/>
          <w:sz w:val="18"/>
        </w:rPr>
        <w:t xml:space="preserve"> </w:t>
      </w:r>
      <w:r>
        <w:rPr>
          <w:i/>
          <w:color w:val="454551"/>
          <w:sz w:val="18"/>
        </w:rPr>
        <w:t>a</w:t>
      </w:r>
      <w:r>
        <w:rPr>
          <w:i/>
          <w:color w:val="454551"/>
          <w:spacing w:val="-4"/>
          <w:sz w:val="18"/>
        </w:rPr>
        <w:t xml:space="preserve"> </w:t>
      </w:r>
      <w:r>
        <w:rPr>
          <w:i/>
          <w:color w:val="454551"/>
          <w:sz w:val="18"/>
        </w:rPr>
        <w:t>nivel</w:t>
      </w:r>
      <w:r>
        <w:rPr>
          <w:i/>
          <w:color w:val="454551"/>
          <w:spacing w:val="-3"/>
          <w:sz w:val="18"/>
        </w:rPr>
        <w:t xml:space="preserve"> </w:t>
      </w:r>
      <w:r>
        <w:rPr>
          <w:i/>
          <w:color w:val="454551"/>
          <w:sz w:val="18"/>
        </w:rPr>
        <w:t>municipio</w:t>
      </w:r>
      <w:r>
        <w:rPr>
          <w:i/>
          <w:color w:val="454551"/>
          <w:spacing w:val="-3"/>
          <w:sz w:val="18"/>
        </w:rPr>
        <w:t xml:space="preserve"> </w:t>
      </w:r>
      <w:r>
        <w:rPr>
          <w:i/>
          <w:color w:val="454551"/>
          <w:spacing w:val="-2"/>
          <w:sz w:val="18"/>
        </w:rPr>
        <w:t>(CNPV)</w:t>
      </w:r>
    </w:p>
    <w:p w14:paraId="3652DF3C" w14:textId="77777777" w:rsidR="000E52B0" w:rsidRDefault="00F60D74">
      <w:pPr>
        <w:pStyle w:val="Textoindependiente"/>
        <w:spacing w:before="55"/>
        <w:ind w:left="0"/>
        <w:rPr>
          <w:i/>
          <w:sz w:val="20"/>
        </w:rPr>
      </w:pPr>
      <w:r>
        <w:rPr>
          <w:i/>
          <w:noProof/>
          <w:sz w:val="20"/>
        </w:rPr>
        <w:drawing>
          <wp:anchor distT="0" distB="0" distL="0" distR="0" simplePos="0" relativeHeight="487598592" behindDoc="1" locked="0" layoutInCell="1" allowOverlap="1" wp14:anchorId="6D6F6DE4" wp14:editId="66D7C7ED">
            <wp:simplePos x="0" y="0"/>
            <wp:positionH relativeFrom="page">
              <wp:posOffset>1775376</wp:posOffset>
            </wp:positionH>
            <wp:positionV relativeFrom="paragraph">
              <wp:posOffset>204692</wp:posOffset>
            </wp:positionV>
            <wp:extent cx="4156641" cy="5638800"/>
            <wp:effectExtent l="0" t="0" r="0" b="0"/>
            <wp:wrapTopAndBottom/>
            <wp:docPr id="45" name="Image 45" descr="Un mapa de una flor  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Un mapa de una flor  Descripción generada automáticamente con confianza media"/>
                    <pic:cNvPicPr/>
                  </pic:nvPicPr>
                  <pic:blipFill>
                    <a:blip r:embed="rId42" cstate="print"/>
                    <a:stretch>
                      <a:fillRect/>
                    </a:stretch>
                  </pic:blipFill>
                  <pic:spPr>
                    <a:xfrm>
                      <a:off x="0" y="0"/>
                      <a:ext cx="4156641" cy="5638800"/>
                    </a:xfrm>
                    <a:prstGeom prst="rect">
                      <a:avLst/>
                    </a:prstGeom>
                  </pic:spPr>
                </pic:pic>
              </a:graphicData>
            </a:graphic>
          </wp:anchor>
        </w:drawing>
      </w:r>
    </w:p>
    <w:p w14:paraId="244ACDAD" w14:textId="77777777" w:rsidR="000E52B0" w:rsidRDefault="000E52B0">
      <w:pPr>
        <w:pStyle w:val="Textoindependiente"/>
        <w:ind w:left="0"/>
        <w:rPr>
          <w:i/>
          <w:sz w:val="18"/>
        </w:rPr>
      </w:pPr>
    </w:p>
    <w:p w14:paraId="64C12742" w14:textId="77777777" w:rsidR="000E52B0" w:rsidRDefault="000E52B0">
      <w:pPr>
        <w:pStyle w:val="Textoindependiente"/>
        <w:ind w:left="0"/>
        <w:rPr>
          <w:i/>
          <w:sz w:val="18"/>
        </w:rPr>
      </w:pPr>
    </w:p>
    <w:p w14:paraId="610BFEC5" w14:textId="77777777" w:rsidR="000E52B0" w:rsidRDefault="000E52B0">
      <w:pPr>
        <w:pStyle w:val="Textoindependiente"/>
        <w:spacing w:before="57"/>
        <w:ind w:left="0"/>
        <w:rPr>
          <w:i/>
          <w:sz w:val="18"/>
        </w:rPr>
      </w:pPr>
    </w:p>
    <w:p w14:paraId="2439A5B5" w14:textId="77777777" w:rsidR="000E52B0" w:rsidRDefault="00F60D74">
      <w:pPr>
        <w:pStyle w:val="Textoindependiente"/>
        <w:ind w:right="717"/>
        <w:jc w:val="both"/>
      </w:pPr>
      <w:r>
        <w:t>El deterioro ambiental resultado de los modelos políticos y económicos basados en la explotación humana y ambiental, también redundan en las condiciones de vida de las personas y profundizan las brechas de desigualdad e inequidad. Si bien el cuidado ambiental es un asunto de la política</w:t>
      </w:r>
      <w:r>
        <w:rPr>
          <w:spacing w:val="-9"/>
        </w:rPr>
        <w:t xml:space="preserve"> </w:t>
      </w:r>
      <w:r>
        <w:t>a</w:t>
      </w:r>
      <w:r>
        <w:rPr>
          <w:spacing w:val="-7"/>
        </w:rPr>
        <w:t xml:space="preserve"> </w:t>
      </w:r>
      <w:r>
        <w:t>cargo</w:t>
      </w:r>
      <w:r>
        <w:rPr>
          <w:spacing w:val="-8"/>
        </w:rPr>
        <w:t xml:space="preserve"> </w:t>
      </w:r>
      <w:r>
        <w:t>del</w:t>
      </w:r>
      <w:r>
        <w:rPr>
          <w:spacing w:val="-4"/>
        </w:rPr>
        <w:t xml:space="preserve"> </w:t>
      </w:r>
      <w:r>
        <w:t>Ministerio</w:t>
      </w:r>
      <w:r>
        <w:rPr>
          <w:spacing w:val="-8"/>
        </w:rPr>
        <w:t xml:space="preserve"> </w:t>
      </w:r>
      <w:r>
        <w:t>de</w:t>
      </w:r>
      <w:r>
        <w:rPr>
          <w:spacing w:val="-8"/>
        </w:rPr>
        <w:t xml:space="preserve"> </w:t>
      </w:r>
      <w:r>
        <w:t>Ambiente,</w:t>
      </w:r>
      <w:r>
        <w:rPr>
          <w:spacing w:val="-9"/>
        </w:rPr>
        <w:t xml:space="preserve"> </w:t>
      </w:r>
      <w:r>
        <w:t>es</w:t>
      </w:r>
      <w:r>
        <w:rPr>
          <w:spacing w:val="-7"/>
        </w:rPr>
        <w:t xml:space="preserve"> </w:t>
      </w:r>
      <w:r>
        <w:t>importante</w:t>
      </w:r>
      <w:r>
        <w:rPr>
          <w:spacing w:val="-8"/>
        </w:rPr>
        <w:t xml:space="preserve"> </w:t>
      </w:r>
      <w:r>
        <w:t>ilustrar</w:t>
      </w:r>
      <w:r>
        <w:rPr>
          <w:spacing w:val="-6"/>
        </w:rPr>
        <w:t xml:space="preserve"> </w:t>
      </w:r>
      <w:r>
        <w:t>como</w:t>
      </w:r>
      <w:r>
        <w:rPr>
          <w:spacing w:val="-8"/>
        </w:rPr>
        <w:t xml:space="preserve"> </w:t>
      </w:r>
      <w:r>
        <w:t>los modelos que generan desigualdad, también generan deterioro ambiental. La</w:t>
      </w:r>
      <w:r>
        <w:rPr>
          <w:spacing w:val="-14"/>
        </w:rPr>
        <w:t xml:space="preserve"> </w:t>
      </w:r>
      <w:r>
        <w:t>información</w:t>
      </w:r>
      <w:r>
        <w:rPr>
          <w:spacing w:val="-13"/>
        </w:rPr>
        <w:t xml:space="preserve"> </w:t>
      </w:r>
      <w:r>
        <w:t>disponible,</w:t>
      </w:r>
      <w:r>
        <w:rPr>
          <w:spacing w:val="-12"/>
        </w:rPr>
        <w:t xml:space="preserve"> </w:t>
      </w:r>
      <w:r>
        <w:t>permite</w:t>
      </w:r>
      <w:r>
        <w:rPr>
          <w:spacing w:val="-14"/>
        </w:rPr>
        <w:t xml:space="preserve"> </w:t>
      </w:r>
      <w:r>
        <w:t>saber</w:t>
      </w:r>
      <w:r>
        <w:rPr>
          <w:spacing w:val="-14"/>
        </w:rPr>
        <w:t xml:space="preserve"> </w:t>
      </w:r>
      <w:r>
        <w:t>que</w:t>
      </w:r>
      <w:r>
        <w:rPr>
          <w:spacing w:val="-12"/>
        </w:rPr>
        <w:t xml:space="preserve"> </w:t>
      </w:r>
      <w:r>
        <w:t>el</w:t>
      </w:r>
      <w:r>
        <w:rPr>
          <w:spacing w:val="-15"/>
        </w:rPr>
        <w:t xml:space="preserve"> </w:t>
      </w:r>
      <w:r>
        <w:t>cambio</w:t>
      </w:r>
      <w:r>
        <w:rPr>
          <w:spacing w:val="-14"/>
        </w:rPr>
        <w:t xml:space="preserve"> </w:t>
      </w:r>
      <w:r>
        <w:t>climático</w:t>
      </w:r>
      <w:r>
        <w:rPr>
          <w:spacing w:val="-14"/>
        </w:rPr>
        <w:t xml:space="preserve"> </w:t>
      </w:r>
      <w:r>
        <w:t>da</w:t>
      </w:r>
      <w:r>
        <w:rPr>
          <w:spacing w:val="-12"/>
        </w:rPr>
        <w:t xml:space="preserve"> </w:t>
      </w:r>
      <w:r>
        <w:t>cuenta de cuáles modelos de sociedad y de desarrollo son los que contribuyen a mayores emisiones de CO2. Si bien los Pueblos indígenas, raizales, afrodescendientes</w:t>
      </w:r>
      <w:r>
        <w:rPr>
          <w:spacing w:val="-11"/>
        </w:rPr>
        <w:t xml:space="preserve"> </w:t>
      </w:r>
      <w:r>
        <w:t>y</w:t>
      </w:r>
      <w:r>
        <w:rPr>
          <w:spacing w:val="-11"/>
        </w:rPr>
        <w:t xml:space="preserve"> </w:t>
      </w:r>
      <w:r>
        <w:t>campesino</w:t>
      </w:r>
      <w:r>
        <w:rPr>
          <w:spacing w:val="-8"/>
        </w:rPr>
        <w:t xml:space="preserve"> </w:t>
      </w:r>
      <w:r>
        <w:t>han</w:t>
      </w:r>
      <w:r>
        <w:rPr>
          <w:spacing w:val="-11"/>
        </w:rPr>
        <w:t xml:space="preserve"> </w:t>
      </w:r>
      <w:r>
        <w:t>sido</w:t>
      </w:r>
      <w:r>
        <w:rPr>
          <w:spacing w:val="-8"/>
        </w:rPr>
        <w:t xml:space="preserve"> </w:t>
      </w:r>
      <w:r>
        <w:t>históricamente</w:t>
      </w:r>
      <w:r>
        <w:rPr>
          <w:spacing w:val="-10"/>
        </w:rPr>
        <w:t xml:space="preserve"> </w:t>
      </w:r>
      <w:r>
        <w:t>discriminados,</w:t>
      </w:r>
      <w:r>
        <w:rPr>
          <w:spacing w:val="-12"/>
        </w:rPr>
        <w:t xml:space="preserve"> </w:t>
      </w:r>
      <w:r>
        <w:t>sus sistemas de vida, economía y desarrollo muestran mayores posibilidades de sustentabilidad para frente al cambio climático.</w:t>
      </w:r>
    </w:p>
    <w:p w14:paraId="5296D7EF" w14:textId="77777777" w:rsidR="000E52B0" w:rsidRDefault="000E52B0">
      <w:pPr>
        <w:pStyle w:val="Textoindependiente"/>
        <w:jc w:val="both"/>
        <w:sectPr w:rsidR="000E52B0">
          <w:pgSz w:w="11910" w:h="16840"/>
          <w:pgMar w:top="1340" w:right="720" w:bottom="1180" w:left="720" w:header="0" w:footer="995" w:gutter="0"/>
          <w:cols w:space="720"/>
        </w:sectPr>
      </w:pPr>
    </w:p>
    <w:p w14:paraId="7FE6DB17" w14:textId="77777777" w:rsidR="000E52B0" w:rsidRDefault="00F60D74">
      <w:pPr>
        <w:spacing w:before="80"/>
        <w:ind w:left="905"/>
        <w:rPr>
          <w:i/>
          <w:sz w:val="18"/>
        </w:rPr>
      </w:pPr>
      <w:r>
        <w:rPr>
          <w:i/>
          <w:color w:val="454551"/>
          <w:sz w:val="18"/>
        </w:rPr>
        <w:lastRenderedPageBreak/>
        <w:t>Ilustración</w:t>
      </w:r>
      <w:r>
        <w:rPr>
          <w:i/>
          <w:color w:val="454551"/>
          <w:spacing w:val="-5"/>
          <w:sz w:val="18"/>
        </w:rPr>
        <w:t xml:space="preserve"> </w:t>
      </w:r>
      <w:r>
        <w:rPr>
          <w:i/>
          <w:color w:val="454551"/>
          <w:sz w:val="18"/>
        </w:rPr>
        <w:t>11.</w:t>
      </w:r>
      <w:r>
        <w:rPr>
          <w:i/>
          <w:color w:val="454551"/>
          <w:spacing w:val="-5"/>
          <w:sz w:val="18"/>
        </w:rPr>
        <w:t xml:space="preserve"> </w:t>
      </w:r>
      <w:r>
        <w:rPr>
          <w:i/>
          <w:color w:val="454551"/>
          <w:sz w:val="18"/>
        </w:rPr>
        <w:t>Localización</w:t>
      </w:r>
      <w:r>
        <w:rPr>
          <w:i/>
          <w:color w:val="454551"/>
          <w:spacing w:val="-5"/>
          <w:sz w:val="18"/>
        </w:rPr>
        <w:t xml:space="preserve"> </w:t>
      </w:r>
      <w:r>
        <w:rPr>
          <w:i/>
          <w:color w:val="454551"/>
          <w:sz w:val="18"/>
        </w:rPr>
        <w:t>de</w:t>
      </w:r>
      <w:r>
        <w:rPr>
          <w:i/>
          <w:color w:val="454551"/>
          <w:spacing w:val="-5"/>
          <w:sz w:val="18"/>
        </w:rPr>
        <w:t xml:space="preserve"> </w:t>
      </w:r>
      <w:r>
        <w:rPr>
          <w:i/>
          <w:color w:val="454551"/>
          <w:sz w:val="18"/>
        </w:rPr>
        <w:t>territorios</w:t>
      </w:r>
      <w:r>
        <w:rPr>
          <w:i/>
          <w:color w:val="454551"/>
          <w:spacing w:val="-4"/>
          <w:sz w:val="18"/>
        </w:rPr>
        <w:t xml:space="preserve"> </w:t>
      </w:r>
      <w:r>
        <w:rPr>
          <w:i/>
          <w:color w:val="454551"/>
          <w:sz w:val="18"/>
        </w:rPr>
        <w:t>colectivos</w:t>
      </w:r>
      <w:r>
        <w:rPr>
          <w:i/>
          <w:color w:val="454551"/>
          <w:spacing w:val="-4"/>
          <w:sz w:val="18"/>
        </w:rPr>
        <w:t xml:space="preserve"> </w:t>
      </w:r>
      <w:r>
        <w:rPr>
          <w:i/>
          <w:color w:val="454551"/>
          <w:sz w:val="18"/>
        </w:rPr>
        <w:t>étnicos</w:t>
      </w:r>
      <w:r>
        <w:rPr>
          <w:i/>
          <w:color w:val="454551"/>
          <w:spacing w:val="-4"/>
          <w:sz w:val="18"/>
        </w:rPr>
        <w:t xml:space="preserve"> </w:t>
      </w:r>
      <w:r>
        <w:rPr>
          <w:i/>
          <w:color w:val="454551"/>
          <w:sz w:val="18"/>
        </w:rPr>
        <w:t>y</w:t>
      </w:r>
      <w:r>
        <w:rPr>
          <w:i/>
          <w:color w:val="454551"/>
          <w:spacing w:val="-6"/>
          <w:sz w:val="18"/>
        </w:rPr>
        <w:t xml:space="preserve"> </w:t>
      </w:r>
      <w:r>
        <w:rPr>
          <w:i/>
          <w:color w:val="454551"/>
          <w:sz w:val="18"/>
        </w:rPr>
        <w:t>campesinos</w:t>
      </w:r>
      <w:r>
        <w:rPr>
          <w:i/>
          <w:color w:val="454551"/>
          <w:spacing w:val="-4"/>
          <w:sz w:val="18"/>
        </w:rPr>
        <w:t xml:space="preserve"> </w:t>
      </w:r>
      <w:r>
        <w:rPr>
          <w:i/>
          <w:color w:val="454551"/>
          <w:sz w:val="18"/>
        </w:rPr>
        <w:t>titulados</w:t>
      </w:r>
      <w:r>
        <w:rPr>
          <w:i/>
          <w:color w:val="454551"/>
          <w:spacing w:val="-4"/>
          <w:sz w:val="18"/>
        </w:rPr>
        <w:t xml:space="preserve"> </w:t>
      </w:r>
      <w:r>
        <w:rPr>
          <w:i/>
          <w:color w:val="454551"/>
          <w:sz w:val="18"/>
        </w:rPr>
        <w:t>en</w:t>
      </w:r>
      <w:r>
        <w:rPr>
          <w:i/>
          <w:color w:val="454551"/>
          <w:spacing w:val="-3"/>
          <w:sz w:val="18"/>
        </w:rPr>
        <w:t xml:space="preserve"> </w:t>
      </w:r>
      <w:r>
        <w:rPr>
          <w:i/>
          <w:color w:val="454551"/>
          <w:spacing w:val="-2"/>
          <w:sz w:val="18"/>
        </w:rPr>
        <w:t>Colombia</w:t>
      </w:r>
    </w:p>
    <w:p w14:paraId="566FF771" w14:textId="77777777" w:rsidR="000E52B0" w:rsidRDefault="00F60D74">
      <w:pPr>
        <w:pStyle w:val="Textoindependiente"/>
        <w:spacing w:before="152"/>
        <w:ind w:left="0"/>
        <w:rPr>
          <w:i/>
          <w:sz w:val="20"/>
        </w:rPr>
      </w:pPr>
      <w:r>
        <w:rPr>
          <w:i/>
          <w:noProof/>
          <w:sz w:val="20"/>
        </w:rPr>
        <w:drawing>
          <wp:anchor distT="0" distB="0" distL="0" distR="0" simplePos="0" relativeHeight="487599104" behindDoc="1" locked="0" layoutInCell="1" allowOverlap="1" wp14:anchorId="7F1DB1ED" wp14:editId="313FC157">
            <wp:simplePos x="0" y="0"/>
            <wp:positionH relativeFrom="page">
              <wp:posOffset>1790411</wp:posOffset>
            </wp:positionH>
            <wp:positionV relativeFrom="paragraph">
              <wp:posOffset>266720</wp:posOffset>
            </wp:positionV>
            <wp:extent cx="4087264" cy="5734716"/>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3" cstate="print"/>
                    <a:stretch>
                      <a:fillRect/>
                    </a:stretch>
                  </pic:blipFill>
                  <pic:spPr>
                    <a:xfrm>
                      <a:off x="0" y="0"/>
                      <a:ext cx="4087264" cy="5734716"/>
                    </a:xfrm>
                    <a:prstGeom prst="rect">
                      <a:avLst/>
                    </a:prstGeom>
                  </pic:spPr>
                </pic:pic>
              </a:graphicData>
            </a:graphic>
          </wp:anchor>
        </w:drawing>
      </w:r>
    </w:p>
    <w:p w14:paraId="20748E15" w14:textId="77777777" w:rsidR="000E52B0" w:rsidRDefault="000E52B0">
      <w:pPr>
        <w:pStyle w:val="Textoindependiente"/>
        <w:ind w:left="0"/>
        <w:rPr>
          <w:i/>
          <w:sz w:val="18"/>
        </w:rPr>
      </w:pPr>
    </w:p>
    <w:p w14:paraId="327B81EA" w14:textId="77777777" w:rsidR="000E52B0" w:rsidRDefault="000E52B0">
      <w:pPr>
        <w:pStyle w:val="Textoindependiente"/>
        <w:ind w:left="0"/>
        <w:rPr>
          <w:i/>
          <w:sz w:val="18"/>
        </w:rPr>
      </w:pPr>
    </w:p>
    <w:p w14:paraId="4733B005" w14:textId="77777777" w:rsidR="000E52B0" w:rsidRDefault="000E52B0">
      <w:pPr>
        <w:pStyle w:val="Textoindependiente"/>
        <w:ind w:left="0"/>
        <w:rPr>
          <w:i/>
          <w:sz w:val="18"/>
        </w:rPr>
      </w:pPr>
    </w:p>
    <w:p w14:paraId="24F48AA2" w14:textId="77777777" w:rsidR="000E52B0" w:rsidRDefault="000E52B0">
      <w:pPr>
        <w:pStyle w:val="Textoindependiente"/>
        <w:spacing w:before="29"/>
        <w:ind w:left="0"/>
        <w:rPr>
          <w:i/>
          <w:sz w:val="18"/>
        </w:rPr>
      </w:pPr>
    </w:p>
    <w:p w14:paraId="54772205" w14:textId="2581F16E" w:rsidR="000E52B0" w:rsidRDefault="00F60D74">
      <w:pPr>
        <w:pStyle w:val="Textoindependiente"/>
        <w:ind w:right="714"/>
        <w:jc w:val="both"/>
      </w:pPr>
      <w:r>
        <w:t>Lo expuesto anteriormente, se representa en la ilustración 12, el mapa muestra el comportamiento espacial de una calificación cualitativa en relación</w:t>
      </w:r>
      <w:r>
        <w:rPr>
          <w:spacing w:val="-4"/>
        </w:rPr>
        <w:t xml:space="preserve"> </w:t>
      </w:r>
      <w:r>
        <w:t>con</w:t>
      </w:r>
      <w:r>
        <w:rPr>
          <w:spacing w:val="-4"/>
        </w:rPr>
        <w:t xml:space="preserve"> </w:t>
      </w:r>
      <w:r>
        <w:t>la</w:t>
      </w:r>
      <w:r>
        <w:rPr>
          <w:spacing w:val="-2"/>
        </w:rPr>
        <w:t xml:space="preserve"> </w:t>
      </w:r>
      <w:r>
        <w:t>sensibilidad</w:t>
      </w:r>
      <w:r>
        <w:rPr>
          <w:spacing w:val="-2"/>
        </w:rPr>
        <w:t xml:space="preserve"> </w:t>
      </w:r>
      <w:r>
        <w:t>ambiental</w:t>
      </w:r>
      <w:r>
        <w:rPr>
          <w:spacing w:val="-3"/>
        </w:rPr>
        <w:t xml:space="preserve"> </w:t>
      </w:r>
      <w:r>
        <w:t>del</w:t>
      </w:r>
      <w:r>
        <w:rPr>
          <w:spacing w:val="-5"/>
        </w:rPr>
        <w:t xml:space="preserve"> </w:t>
      </w:r>
      <w:r>
        <w:t>territorio</w:t>
      </w:r>
      <w:r>
        <w:rPr>
          <w:spacing w:val="-3"/>
        </w:rPr>
        <w:t xml:space="preserve"> </w:t>
      </w:r>
      <w:r>
        <w:t>colombiano.</w:t>
      </w:r>
      <w:r>
        <w:rPr>
          <w:spacing w:val="-5"/>
        </w:rPr>
        <w:t xml:space="preserve"> </w:t>
      </w:r>
      <w:r>
        <w:t>Este</w:t>
      </w:r>
      <w:r>
        <w:rPr>
          <w:spacing w:val="-3"/>
        </w:rPr>
        <w:t xml:space="preserve"> </w:t>
      </w:r>
      <w:r>
        <w:t>índice se categoriza en 5 rangos: muy alta, alta, medio, bajo y muy bajo, en función</w:t>
      </w:r>
      <w:r>
        <w:rPr>
          <w:spacing w:val="-14"/>
        </w:rPr>
        <w:t xml:space="preserve"> </w:t>
      </w:r>
      <w:r>
        <w:t>de</w:t>
      </w:r>
      <w:r>
        <w:rPr>
          <w:spacing w:val="-15"/>
        </w:rPr>
        <w:t xml:space="preserve"> </w:t>
      </w:r>
      <w:r>
        <w:t>las</w:t>
      </w:r>
      <w:r>
        <w:rPr>
          <w:spacing w:val="-16"/>
        </w:rPr>
        <w:t xml:space="preserve"> </w:t>
      </w:r>
      <w:r>
        <w:t>peores</w:t>
      </w:r>
      <w:r>
        <w:rPr>
          <w:spacing w:val="-16"/>
        </w:rPr>
        <w:t xml:space="preserve"> </w:t>
      </w:r>
      <w:r>
        <w:t>condiciones</w:t>
      </w:r>
      <w:r>
        <w:rPr>
          <w:spacing w:val="-16"/>
        </w:rPr>
        <w:t xml:space="preserve"> </w:t>
      </w:r>
      <w:r>
        <w:t>frente</w:t>
      </w:r>
      <w:r>
        <w:rPr>
          <w:spacing w:val="-15"/>
        </w:rPr>
        <w:t xml:space="preserve"> </w:t>
      </w:r>
      <w:r>
        <w:t>a</w:t>
      </w:r>
      <w:r>
        <w:rPr>
          <w:spacing w:val="-16"/>
        </w:rPr>
        <w:t xml:space="preserve"> </w:t>
      </w:r>
      <w:r>
        <w:t>escenarios</w:t>
      </w:r>
      <w:r>
        <w:rPr>
          <w:spacing w:val="-16"/>
        </w:rPr>
        <w:t xml:space="preserve"> </w:t>
      </w:r>
      <w:r>
        <w:t>climáticos</w:t>
      </w:r>
      <w:r>
        <w:rPr>
          <w:spacing w:val="-16"/>
        </w:rPr>
        <w:t xml:space="preserve"> </w:t>
      </w:r>
      <w:r>
        <w:t>futuros.</w:t>
      </w:r>
      <w:r>
        <w:rPr>
          <w:spacing w:val="-17"/>
        </w:rPr>
        <w:t xml:space="preserve"> </w:t>
      </w:r>
      <w:r>
        <w:t>De acuerdo con la información del Instituto de Hidrología, Meteorología y Estudios</w:t>
      </w:r>
      <w:r>
        <w:rPr>
          <w:spacing w:val="-7"/>
        </w:rPr>
        <w:t xml:space="preserve"> </w:t>
      </w:r>
      <w:r>
        <w:t>ambientales</w:t>
      </w:r>
      <w:r>
        <w:rPr>
          <w:spacing w:val="-8"/>
        </w:rPr>
        <w:t xml:space="preserve"> </w:t>
      </w:r>
      <w:r>
        <w:t>(IDEAM</w:t>
      </w:r>
      <w:r>
        <w:rPr>
          <w:spacing w:val="-8"/>
        </w:rPr>
        <w:t xml:space="preserve"> </w:t>
      </w:r>
      <w:r>
        <w:t>2010),</w:t>
      </w:r>
      <w:r>
        <w:rPr>
          <w:spacing w:val="-8"/>
        </w:rPr>
        <w:t xml:space="preserve"> </w:t>
      </w:r>
      <w:r>
        <w:t>las</w:t>
      </w:r>
      <w:r>
        <w:rPr>
          <w:spacing w:val="-8"/>
        </w:rPr>
        <w:t xml:space="preserve"> </w:t>
      </w:r>
      <w:r>
        <w:t>variables</w:t>
      </w:r>
      <w:r>
        <w:rPr>
          <w:spacing w:val="-7"/>
        </w:rPr>
        <w:t xml:space="preserve"> </w:t>
      </w:r>
      <w:r>
        <w:t>empleadas</w:t>
      </w:r>
      <w:r>
        <w:rPr>
          <w:spacing w:val="-8"/>
        </w:rPr>
        <w:t xml:space="preserve"> </w:t>
      </w:r>
      <w:r>
        <w:t>para</w:t>
      </w:r>
      <w:r>
        <w:rPr>
          <w:spacing w:val="-7"/>
        </w:rPr>
        <w:t xml:space="preserve"> </w:t>
      </w:r>
      <w:r>
        <w:t xml:space="preserve">obtener el Índice de Sensibilidad Ambiental (ISA) son: pendiente y profundidad efectiva a partir de las condiciones de los suelos, el índice de aridez, los </w:t>
      </w:r>
      <w:r w:rsidR="00203383">
        <w:t>ecosistemas</w:t>
      </w:r>
      <w:r w:rsidR="00203383">
        <w:rPr>
          <w:spacing w:val="21"/>
        </w:rPr>
        <w:t xml:space="preserve"> según</w:t>
      </w:r>
      <w:r>
        <w:rPr>
          <w:spacing w:val="22"/>
        </w:rPr>
        <w:t xml:space="preserve"> </w:t>
      </w:r>
      <w:r>
        <w:t>su</w:t>
      </w:r>
      <w:r>
        <w:rPr>
          <w:spacing w:val="21"/>
        </w:rPr>
        <w:t xml:space="preserve"> </w:t>
      </w:r>
      <w:r w:rsidR="00203383">
        <w:t>grado</w:t>
      </w:r>
      <w:r w:rsidR="00203383">
        <w:rPr>
          <w:spacing w:val="22"/>
        </w:rPr>
        <w:t xml:space="preserve"> de</w:t>
      </w:r>
      <w:r>
        <w:rPr>
          <w:spacing w:val="22"/>
        </w:rPr>
        <w:t xml:space="preserve"> </w:t>
      </w:r>
      <w:r>
        <w:t>transformación</w:t>
      </w:r>
      <w:r>
        <w:rPr>
          <w:spacing w:val="21"/>
        </w:rPr>
        <w:t xml:space="preserve"> </w:t>
      </w:r>
      <w:r>
        <w:t>y</w:t>
      </w:r>
      <w:r>
        <w:rPr>
          <w:spacing w:val="21"/>
        </w:rPr>
        <w:t xml:space="preserve"> </w:t>
      </w:r>
      <w:r w:rsidR="00203383">
        <w:t>degradación,</w:t>
      </w:r>
      <w:r w:rsidR="00203383">
        <w:rPr>
          <w:spacing w:val="21"/>
        </w:rPr>
        <w:t xml:space="preserve"> las</w:t>
      </w:r>
    </w:p>
    <w:p w14:paraId="79610A5B" w14:textId="77777777" w:rsidR="000E52B0" w:rsidRDefault="000E52B0">
      <w:pPr>
        <w:pStyle w:val="Textoindependiente"/>
        <w:jc w:val="both"/>
        <w:sectPr w:rsidR="000E52B0">
          <w:pgSz w:w="11910" w:h="16840"/>
          <w:pgMar w:top="1340" w:right="720" w:bottom="1180" w:left="720" w:header="0" w:footer="995" w:gutter="0"/>
          <w:cols w:space="720"/>
        </w:sectPr>
      </w:pPr>
    </w:p>
    <w:p w14:paraId="1AD73E85" w14:textId="77777777" w:rsidR="000E52B0" w:rsidRDefault="00F60D74">
      <w:pPr>
        <w:pStyle w:val="Textoindependiente"/>
        <w:spacing w:before="83"/>
        <w:ind w:right="722"/>
        <w:jc w:val="both"/>
      </w:pPr>
      <w:r>
        <w:lastRenderedPageBreak/>
        <w:t>coberturas en función de la protección de otros recursos naturales y la erosión en zonas secas.</w:t>
      </w:r>
    </w:p>
    <w:p w14:paraId="4E8638BA" w14:textId="77777777" w:rsidR="000E52B0" w:rsidRDefault="000E52B0">
      <w:pPr>
        <w:pStyle w:val="Textoindependiente"/>
        <w:ind w:left="0"/>
      </w:pPr>
    </w:p>
    <w:p w14:paraId="0E3B0B32" w14:textId="77777777" w:rsidR="000E52B0" w:rsidRDefault="000E52B0">
      <w:pPr>
        <w:pStyle w:val="Textoindependiente"/>
        <w:spacing w:before="28"/>
        <w:ind w:left="0"/>
      </w:pPr>
    </w:p>
    <w:p w14:paraId="0A29258E" w14:textId="77777777" w:rsidR="000E52B0" w:rsidRDefault="00F60D74">
      <w:pPr>
        <w:ind w:right="2"/>
        <w:jc w:val="center"/>
        <w:rPr>
          <w:i/>
          <w:sz w:val="24"/>
        </w:rPr>
      </w:pPr>
      <w:r>
        <w:rPr>
          <w:i/>
          <w:sz w:val="24"/>
        </w:rPr>
        <w:t>Ilustración</w:t>
      </w:r>
      <w:r>
        <w:rPr>
          <w:i/>
          <w:spacing w:val="-4"/>
          <w:sz w:val="24"/>
        </w:rPr>
        <w:t xml:space="preserve"> </w:t>
      </w:r>
      <w:r>
        <w:rPr>
          <w:i/>
          <w:sz w:val="24"/>
        </w:rPr>
        <w:t>12.</w:t>
      </w:r>
      <w:r>
        <w:rPr>
          <w:i/>
          <w:spacing w:val="-5"/>
          <w:sz w:val="24"/>
        </w:rPr>
        <w:t xml:space="preserve"> </w:t>
      </w:r>
      <w:r>
        <w:rPr>
          <w:i/>
          <w:sz w:val="24"/>
        </w:rPr>
        <w:t>Índice</w:t>
      </w:r>
      <w:r>
        <w:rPr>
          <w:i/>
          <w:spacing w:val="-3"/>
          <w:sz w:val="24"/>
        </w:rPr>
        <w:t xml:space="preserve"> </w:t>
      </w:r>
      <w:r>
        <w:rPr>
          <w:i/>
          <w:sz w:val="24"/>
        </w:rPr>
        <w:t>de</w:t>
      </w:r>
      <w:r>
        <w:rPr>
          <w:i/>
          <w:spacing w:val="-4"/>
          <w:sz w:val="24"/>
        </w:rPr>
        <w:t xml:space="preserve"> </w:t>
      </w:r>
      <w:r>
        <w:rPr>
          <w:i/>
          <w:sz w:val="24"/>
        </w:rPr>
        <w:t>Sensibilidad</w:t>
      </w:r>
      <w:r>
        <w:rPr>
          <w:i/>
          <w:spacing w:val="-4"/>
          <w:sz w:val="24"/>
        </w:rPr>
        <w:t xml:space="preserve"> </w:t>
      </w:r>
      <w:r>
        <w:rPr>
          <w:i/>
          <w:spacing w:val="-2"/>
          <w:sz w:val="24"/>
        </w:rPr>
        <w:t>ambiental</w:t>
      </w:r>
    </w:p>
    <w:p w14:paraId="67926863" w14:textId="77777777" w:rsidR="000E52B0" w:rsidRDefault="00F60D74">
      <w:pPr>
        <w:pStyle w:val="Textoindependiente"/>
        <w:spacing w:before="18"/>
        <w:ind w:left="0"/>
        <w:rPr>
          <w:i/>
          <w:sz w:val="20"/>
        </w:rPr>
      </w:pPr>
      <w:r>
        <w:rPr>
          <w:i/>
          <w:noProof/>
          <w:sz w:val="20"/>
        </w:rPr>
        <w:drawing>
          <wp:anchor distT="0" distB="0" distL="0" distR="0" simplePos="0" relativeHeight="487599616" behindDoc="1" locked="0" layoutInCell="1" allowOverlap="1" wp14:anchorId="75E90456" wp14:editId="0758605D">
            <wp:simplePos x="0" y="0"/>
            <wp:positionH relativeFrom="page">
              <wp:posOffset>1745522</wp:posOffset>
            </wp:positionH>
            <wp:positionV relativeFrom="paragraph">
              <wp:posOffset>181601</wp:posOffset>
            </wp:positionV>
            <wp:extent cx="4172388" cy="5739860"/>
            <wp:effectExtent l="0" t="0" r="0" b="0"/>
            <wp:wrapTopAndBottom/>
            <wp:docPr id="47" name="Image 47" descr="Map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Mapa  Descripción generada automáticamente"/>
                    <pic:cNvPicPr/>
                  </pic:nvPicPr>
                  <pic:blipFill>
                    <a:blip r:embed="rId44" cstate="print"/>
                    <a:stretch>
                      <a:fillRect/>
                    </a:stretch>
                  </pic:blipFill>
                  <pic:spPr>
                    <a:xfrm>
                      <a:off x="0" y="0"/>
                      <a:ext cx="4172388" cy="5739860"/>
                    </a:xfrm>
                    <a:prstGeom prst="rect">
                      <a:avLst/>
                    </a:prstGeom>
                  </pic:spPr>
                </pic:pic>
              </a:graphicData>
            </a:graphic>
          </wp:anchor>
        </w:drawing>
      </w:r>
    </w:p>
    <w:p w14:paraId="76BB99D1" w14:textId="77777777" w:rsidR="000E52B0" w:rsidRDefault="000E52B0">
      <w:pPr>
        <w:pStyle w:val="Textoindependiente"/>
        <w:spacing w:before="132"/>
        <w:ind w:left="0"/>
        <w:rPr>
          <w:i/>
        </w:rPr>
      </w:pPr>
    </w:p>
    <w:p w14:paraId="1608F0CC" w14:textId="77777777" w:rsidR="000E52B0" w:rsidRDefault="00F60D74">
      <w:pPr>
        <w:pStyle w:val="Textoindependiente"/>
        <w:spacing w:before="1"/>
        <w:ind w:right="714"/>
        <w:jc w:val="both"/>
      </w:pPr>
      <w:r>
        <w:t>Los valores más críticos del ISA están representados en los tonos rojo – naranja</w:t>
      </w:r>
      <w:r>
        <w:rPr>
          <w:spacing w:val="-13"/>
        </w:rPr>
        <w:t xml:space="preserve"> </w:t>
      </w:r>
      <w:r>
        <w:t>y,</w:t>
      </w:r>
      <w:r>
        <w:rPr>
          <w:spacing w:val="-13"/>
        </w:rPr>
        <w:t xml:space="preserve"> </w:t>
      </w:r>
      <w:r>
        <w:t>por</w:t>
      </w:r>
      <w:r>
        <w:rPr>
          <w:spacing w:val="-12"/>
        </w:rPr>
        <w:t xml:space="preserve"> </w:t>
      </w:r>
      <w:r>
        <w:t>el</w:t>
      </w:r>
      <w:r>
        <w:rPr>
          <w:spacing w:val="-11"/>
        </w:rPr>
        <w:t xml:space="preserve"> </w:t>
      </w:r>
      <w:r>
        <w:t>contrario,</w:t>
      </w:r>
      <w:r>
        <w:rPr>
          <w:spacing w:val="-13"/>
        </w:rPr>
        <w:t xml:space="preserve"> </w:t>
      </w:r>
      <w:r>
        <w:t>donde</w:t>
      </w:r>
      <w:r>
        <w:rPr>
          <w:spacing w:val="-12"/>
        </w:rPr>
        <w:t xml:space="preserve"> </w:t>
      </w:r>
      <w:r>
        <w:t>se</w:t>
      </w:r>
      <w:r>
        <w:rPr>
          <w:spacing w:val="-12"/>
        </w:rPr>
        <w:t xml:space="preserve"> </w:t>
      </w:r>
      <w:r>
        <w:t>presentan</w:t>
      </w:r>
      <w:r>
        <w:rPr>
          <w:spacing w:val="-13"/>
        </w:rPr>
        <w:t xml:space="preserve"> </w:t>
      </w:r>
      <w:r>
        <w:t>las</w:t>
      </w:r>
      <w:r>
        <w:rPr>
          <w:spacing w:val="-11"/>
        </w:rPr>
        <w:t xml:space="preserve"> </w:t>
      </w:r>
      <w:r>
        <w:t>mejores</w:t>
      </w:r>
      <w:r>
        <w:rPr>
          <w:spacing w:val="-13"/>
        </w:rPr>
        <w:t xml:space="preserve"> </w:t>
      </w:r>
      <w:r>
        <w:t>condiciones</w:t>
      </w:r>
      <w:r>
        <w:rPr>
          <w:spacing w:val="-12"/>
        </w:rPr>
        <w:t xml:space="preserve"> </w:t>
      </w:r>
      <w:r>
        <w:t>del índice se reflejan en las tonalidades verdes. Se identifica un escenario favorable en los bordes socioespaciales del país: el corredor Pacífico, la subregión de Putumayo, el eje Amazonía y Orinoquía, espacialidades que se caracterizan, entre otros aspectos, por la presencia de Consejos Comunitarios, Resguardos Indígenas, Zonas de Reserva Campesina (ver ilustración</w:t>
      </w:r>
      <w:r>
        <w:rPr>
          <w:spacing w:val="-14"/>
        </w:rPr>
        <w:t xml:space="preserve"> </w:t>
      </w:r>
      <w:r>
        <w:t>10),</w:t>
      </w:r>
      <w:r>
        <w:rPr>
          <w:spacing w:val="-12"/>
        </w:rPr>
        <w:t xml:space="preserve"> </w:t>
      </w:r>
      <w:r>
        <w:t>quienes</w:t>
      </w:r>
      <w:r>
        <w:rPr>
          <w:spacing w:val="-13"/>
        </w:rPr>
        <w:t xml:space="preserve"> </w:t>
      </w:r>
      <w:r>
        <w:t>en</w:t>
      </w:r>
      <w:r>
        <w:rPr>
          <w:spacing w:val="-14"/>
        </w:rPr>
        <w:t xml:space="preserve"> </w:t>
      </w:r>
      <w:r>
        <w:t>su</w:t>
      </w:r>
      <w:r>
        <w:rPr>
          <w:spacing w:val="-14"/>
        </w:rPr>
        <w:t xml:space="preserve"> </w:t>
      </w:r>
      <w:r>
        <w:t>relacionamiento</w:t>
      </w:r>
      <w:r>
        <w:rPr>
          <w:spacing w:val="-13"/>
        </w:rPr>
        <w:t xml:space="preserve"> </w:t>
      </w:r>
      <w:r>
        <w:t>con</w:t>
      </w:r>
      <w:r>
        <w:rPr>
          <w:spacing w:val="-11"/>
        </w:rPr>
        <w:t xml:space="preserve"> </w:t>
      </w:r>
      <w:r>
        <w:t>la</w:t>
      </w:r>
      <w:r>
        <w:rPr>
          <w:spacing w:val="-12"/>
        </w:rPr>
        <w:t xml:space="preserve"> </w:t>
      </w:r>
      <w:r>
        <w:t>naturaleza</w:t>
      </w:r>
      <w:r>
        <w:rPr>
          <w:spacing w:val="-14"/>
        </w:rPr>
        <w:t xml:space="preserve"> </w:t>
      </w:r>
      <w:r>
        <w:t>establecen prácticas</w:t>
      </w:r>
      <w:r>
        <w:rPr>
          <w:spacing w:val="-7"/>
        </w:rPr>
        <w:t xml:space="preserve"> </w:t>
      </w:r>
      <w:r>
        <w:t>colectivas</w:t>
      </w:r>
      <w:r>
        <w:rPr>
          <w:spacing w:val="-4"/>
        </w:rPr>
        <w:t xml:space="preserve"> </w:t>
      </w:r>
      <w:r>
        <w:t>de</w:t>
      </w:r>
      <w:r>
        <w:rPr>
          <w:spacing w:val="-5"/>
        </w:rPr>
        <w:t xml:space="preserve"> </w:t>
      </w:r>
      <w:r>
        <w:t>protección</w:t>
      </w:r>
      <w:r>
        <w:rPr>
          <w:spacing w:val="-6"/>
        </w:rPr>
        <w:t xml:space="preserve"> </w:t>
      </w:r>
      <w:r>
        <w:t>y</w:t>
      </w:r>
      <w:r>
        <w:rPr>
          <w:spacing w:val="-7"/>
        </w:rPr>
        <w:t xml:space="preserve"> </w:t>
      </w:r>
      <w:r>
        <w:t>cuidado</w:t>
      </w:r>
      <w:r>
        <w:rPr>
          <w:spacing w:val="-6"/>
        </w:rPr>
        <w:t xml:space="preserve"> </w:t>
      </w:r>
      <w:r>
        <w:t>del</w:t>
      </w:r>
      <w:r>
        <w:rPr>
          <w:spacing w:val="-6"/>
        </w:rPr>
        <w:t xml:space="preserve"> </w:t>
      </w:r>
      <w:r>
        <w:t>territorio;</w:t>
      </w:r>
      <w:r>
        <w:rPr>
          <w:spacing w:val="-7"/>
        </w:rPr>
        <w:t xml:space="preserve"> </w:t>
      </w:r>
      <w:r>
        <w:t>prácticas</w:t>
      </w:r>
      <w:r>
        <w:rPr>
          <w:spacing w:val="-7"/>
        </w:rPr>
        <w:t xml:space="preserve"> </w:t>
      </w:r>
      <w:r>
        <w:t>que,</w:t>
      </w:r>
      <w:r>
        <w:rPr>
          <w:spacing w:val="-6"/>
        </w:rPr>
        <w:t xml:space="preserve"> </w:t>
      </w:r>
      <w:r>
        <w:rPr>
          <w:spacing w:val="-5"/>
        </w:rPr>
        <w:t>al</w:t>
      </w:r>
    </w:p>
    <w:p w14:paraId="700A7DF9" w14:textId="77777777" w:rsidR="000E52B0" w:rsidRDefault="000E52B0">
      <w:pPr>
        <w:pStyle w:val="Textoindependiente"/>
        <w:jc w:val="both"/>
        <w:sectPr w:rsidR="000E52B0">
          <w:pgSz w:w="11910" w:h="16840"/>
          <w:pgMar w:top="1340" w:right="720" w:bottom="1180" w:left="720" w:header="0" w:footer="995" w:gutter="0"/>
          <w:cols w:space="720"/>
        </w:sectPr>
      </w:pPr>
    </w:p>
    <w:p w14:paraId="5D8FBEAE" w14:textId="77777777" w:rsidR="000E52B0" w:rsidRDefault="00F60D74">
      <w:pPr>
        <w:pStyle w:val="Textoindependiente"/>
        <w:spacing w:before="83"/>
        <w:ind w:right="718"/>
        <w:jc w:val="both"/>
      </w:pPr>
      <w:r>
        <w:lastRenderedPageBreak/>
        <w:t>mismo tiempo, incentivan el restablecimiento de elementos ecosistémicos que disminuye el impacto de los efectos de la crisis climática.</w:t>
      </w:r>
    </w:p>
    <w:p w14:paraId="6E92F18D" w14:textId="77777777" w:rsidR="000E52B0" w:rsidRDefault="00F60D74">
      <w:pPr>
        <w:pStyle w:val="Textoindependiente"/>
        <w:spacing w:before="158"/>
        <w:ind w:right="715"/>
        <w:jc w:val="both"/>
      </w:pPr>
      <w:r>
        <w:t>Para</w:t>
      </w:r>
      <w:r>
        <w:rPr>
          <w:spacing w:val="-7"/>
        </w:rPr>
        <w:t xml:space="preserve"> </w:t>
      </w:r>
      <w:r>
        <w:t>el</w:t>
      </w:r>
      <w:r>
        <w:rPr>
          <w:spacing w:val="-7"/>
        </w:rPr>
        <w:t xml:space="preserve"> </w:t>
      </w:r>
      <w:r>
        <w:t>caso</w:t>
      </w:r>
      <w:r>
        <w:rPr>
          <w:spacing w:val="-7"/>
        </w:rPr>
        <w:t xml:space="preserve"> </w:t>
      </w:r>
      <w:r>
        <w:t>de</w:t>
      </w:r>
      <w:r>
        <w:rPr>
          <w:spacing w:val="-8"/>
        </w:rPr>
        <w:t xml:space="preserve"> </w:t>
      </w:r>
      <w:r>
        <w:t>La</w:t>
      </w:r>
      <w:r>
        <w:rPr>
          <w:spacing w:val="-7"/>
        </w:rPr>
        <w:t xml:space="preserve"> </w:t>
      </w:r>
      <w:r>
        <w:t>Guajira,</w:t>
      </w:r>
      <w:r>
        <w:rPr>
          <w:spacing w:val="-7"/>
        </w:rPr>
        <w:t xml:space="preserve"> </w:t>
      </w:r>
      <w:r>
        <w:t>el</w:t>
      </w:r>
      <w:r>
        <w:rPr>
          <w:spacing w:val="-7"/>
        </w:rPr>
        <w:t xml:space="preserve"> </w:t>
      </w:r>
      <w:r>
        <w:t>proceso</w:t>
      </w:r>
      <w:r>
        <w:rPr>
          <w:spacing w:val="-6"/>
        </w:rPr>
        <w:t xml:space="preserve"> </w:t>
      </w:r>
      <w:r>
        <w:t>de</w:t>
      </w:r>
      <w:r>
        <w:rPr>
          <w:spacing w:val="-4"/>
        </w:rPr>
        <w:t xml:space="preserve"> </w:t>
      </w:r>
      <w:r>
        <w:t>desertificación,</w:t>
      </w:r>
      <w:r>
        <w:rPr>
          <w:spacing w:val="-8"/>
        </w:rPr>
        <w:t xml:space="preserve"> </w:t>
      </w:r>
      <w:r>
        <w:t>la</w:t>
      </w:r>
      <w:r>
        <w:rPr>
          <w:spacing w:val="-5"/>
        </w:rPr>
        <w:t xml:space="preserve"> </w:t>
      </w:r>
      <w:r>
        <w:t>erosión</w:t>
      </w:r>
      <w:r>
        <w:rPr>
          <w:spacing w:val="-7"/>
        </w:rPr>
        <w:t xml:space="preserve"> </w:t>
      </w:r>
      <w:r>
        <w:t>hídrica, eólica</w:t>
      </w:r>
      <w:r>
        <w:rPr>
          <w:spacing w:val="-11"/>
        </w:rPr>
        <w:t xml:space="preserve"> </w:t>
      </w:r>
      <w:r>
        <w:t>y</w:t>
      </w:r>
      <w:r>
        <w:rPr>
          <w:spacing w:val="-11"/>
        </w:rPr>
        <w:t xml:space="preserve"> </w:t>
      </w:r>
      <w:r>
        <w:t>la</w:t>
      </w:r>
      <w:r>
        <w:rPr>
          <w:spacing w:val="-12"/>
        </w:rPr>
        <w:t xml:space="preserve"> </w:t>
      </w:r>
      <w:r>
        <w:t>sequía,</w:t>
      </w:r>
      <w:r>
        <w:rPr>
          <w:spacing w:val="-12"/>
        </w:rPr>
        <w:t xml:space="preserve"> </w:t>
      </w:r>
      <w:r>
        <w:t>sumado</w:t>
      </w:r>
      <w:r>
        <w:rPr>
          <w:spacing w:val="-11"/>
        </w:rPr>
        <w:t xml:space="preserve"> </w:t>
      </w:r>
      <w:r>
        <w:t>a</w:t>
      </w:r>
      <w:r>
        <w:rPr>
          <w:spacing w:val="-11"/>
        </w:rPr>
        <w:t xml:space="preserve"> </w:t>
      </w:r>
      <w:r>
        <w:t>la</w:t>
      </w:r>
      <w:r>
        <w:rPr>
          <w:spacing w:val="-12"/>
        </w:rPr>
        <w:t xml:space="preserve"> </w:t>
      </w:r>
      <w:r>
        <w:t>presencia</w:t>
      </w:r>
      <w:r>
        <w:rPr>
          <w:spacing w:val="-11"/>
        </w:rPr>
        <w:t xml:space="preserve"> </w:t>
      </w:r>
      <w:r>
        <w:t>de</w:t>
      </w:r>
      <w:r>
        <w:rPr>
          <w:spacing w:val="-10"/>
        </w:rPr>
        <w:t xml:space="preserve"> </w:t>
      </w:r>
      <w:r>
        <w:t>actividades</w:t>
      </w:r>
      <w:r>
        <w:rPr>
          <w:spacing w:val="-11"/>
        </w:rPr>
        <w:t xml:space="preserve"> </w:t>
      </w:r>
      <w:r>
        <w:t>antrópicas</w:t>
      </w:r>
      <w:r>
        <w:rPr>
          <w:spacing w:val="-12"/>
        </w:rPr>
        <w:t xml:space="preserve"> </w:t>
      </w:r>
      <w:r>
        <w:t>como</w:t>
      </w:r>
      <w:r>
        <w:rPr>
          <w:spacing w:val="-11"/>
        </w:rPr>
        <w:t xml:space="preserve"> </w:t>
      </w:r>
      <w:r>
        <w:t>el sector</w:t>
      </w:r>
      <w:r>
        <w:rPr>
          <w:spacing w:val="-9"/>
        </w:rPr>
        <w:t xml:space="preserve"> </w:t>
      </w:r>
      <w:r>
        <w:t>minero</w:t>
      </w:r>
      <w:r>
        <w:rPr>
          <w:spacing w:val="-9"/>
        </w:rPr>
        <w:t xml:space="preserve"> </w:t>
      </w:r>
      <w:r>
        <w:t>-</w:t>
      </w:r>
      <w:r>
        <w:rPr>
          <w:spacing w:val="-11"/>
        </w:rPr>
        <w:t xml:space="preserve"> </w:t>
      </w:r>
      <w:r>
        <w:t>energético,</w:t>
      </w:r>
      <w:r>
        <w:rPr>
          <w:spacing w:val="-11"/>
        </w:rPr>
        <w:t xml:space="preserve"> </w:t>
      </w:r>
      <w:r>
        <w:t>se</w:t>
      </w:r>
      <w:r>
        <w:rPr>
          <w:spacing w:val="-9"/>
        </w:rPr>
        <w:t xml:space="preserve"> </w:t>
      </w:r>
      <w:r>
        <w:t>convierte</w:t>
      </w:r>
      <w:r>
        <w:rPr>
          <w:spacing w:val="-9"/>
        </w:rPr>
        <w:t xml:space="preserve"> </w:t>
      </w:r>
      <w:r>
        <w:t>en</w:t>
      </w:r>
      <w:r>
        <w:rPr>
          <w:spacing w:val="-11"/>
        </w:rPr>
        <w:t xml:space="preserve"> </w:t>
      </w:r>
      <w:r>
        <w:t>el</w:t>
      </w:r>
      <w:r>
        <w:rPr>
          <w:spacing w:val="-11"/>
        </w:rPr>
        <w:t xml:space="preserve"> </w:t>
      </w:r>
      <w:r>
        <w:t>epicentro</w:t>
      </w:r>
      <w:r>
        <w:rPr>
          <w:spacing w:val="-9"/>
        </w:rPr>
        <w:t xml:space="preserve"> </w:t>
      </w:r>
      <w:r>
        <w:t>de</w:t>
      </w:r>
      <w:r>
        <w:rPr>
          <w:spacing w:val="-9"/>
        </w:rPr>
        <w:t xml:space="preserve"> </w:t>
      </w:r>
      <w:r>
        <w:t>vulnerabilidad</w:t>
      </w:r>
      <w:r>
        <w:rPr>
          <w:spacing w:val="-11"/>
        </w:rPr>
        <w:t xml:space="preserve"> </w:t>
      </w:r>
      <w:r>
        <w:t>y sensibilidad</w:t>
      </w:r>
      <w:r>
        <w:rPr>
          <w:spacing w:val="-7"/>
        </w:rPr>
        <w:t xml:space="preserve"> </w:t>
      </w:r>
      <w:r>
        <w:t>ambiental</w:t>
      </w:r>
      <w:r>
        <w:rPr>
          <w:spacing w:val="-5"/>
        </w:rPr>
        <w:t xml:space="preserve"> </w:t>
      </w:r>
      <w:r>
        <w:t>frente</w:t>
      </w:r>
      <w:r>
        <w:rPr>
          <w:spacing w:val="-5"/>
        </w:rPr>
        <w:t xml:space="preserve"> </w:t>
      </w:r>
      <w:r>
        <w:t>a</w:t>
      </w:r>
      <w:r>
        <w:rPr>
          <w:spacing w:val="-6"/>
        </w:rPr>
        <w:t xml:space="preserve"> </w:t>
      </w:r>
      <w:r>
        <w:t>las</w:t>
      </w:r>
      <w:r>
        <w:rPr>
          <w:spacing w:val="-7"/>
        </w:rPr>
        <w:t xml:space="preserve"> </w:t>
      </w:r>
      <w:r>
        <w:t>consecuencias</w:t>
      </w:r>
      <w:r>
        <w:rPr>
          <w:spacing w:val="-7"/>
        </w:rPr>
        <w:t xml:space="preserve"> </w:t>
      </w:r>
      <w:r>
        <w:t>del</w:t>
      </w:r>
      <w:r>
        <w:rPr>
          <w:spacing w:val="-5"/>
        </w:rPr>
        <w:t xml:space="preserve"> </w:t>
      </w:r>
      <w:r>
        <w:t>cambio</w:t>
      </w:r>
      <w:r>
        <w:rPr>
          <w:spacing w:val="-6"/>
        </w:rPr>
        <w:t xml:space="preserve"> </w:t>
      </w:r>
      <w:r>
        <w:t>climático.</w:t>
      </w:r>
      <w:r>
        <w:rPr>
          <w:spacing w:val="-7"/>
        </w:rPr>
        <w:t xml:space="preserve"> </w:t>
      </w:r>
      <w:r>
        <w:t>Por lo</w:t>
      </w:r>
      <w:r>
        <w:rPr>
          <w:spacing w:val="-3"/>
        </w:rPr>
        <w:t xml:space="preserve"> </w:t>
      </w:r>
      <w:r>
        <w:t>que</w:t>
      </w:r>
      <w:r>
        <w:rPr>
          <w:spacing w:val="-3"/>
        </w:rPr>
        <w:t xml:space="preserve"> </w:t>
      </w:r>
      <w:r>
        <w:t>las</w:t>
      </w:r>
      <w:r>
        <w:rPr>
          <w:spacing w:val="-4"/>
        </w:rPr>
        <w:t xml:space="preserve"> </w:t>
      </w:r>
      <w:r>
        <w:t>estrategias</w:t>
      </w:r>
      <w:r>
        <w:rPr>
          <w:spacing w:val="-4"/>
        </w:rPr>
        <w:t xml:space="preserve"> </w:t>
      </w:r>
      <w:r>
        <w:t>de</w:t>
      </w:r>
      <w:r>
        <w:rPr>
          <w:spacing w:val="-3"/>
        </w:rPr>
        <w:t xml:space="preserve"> </w:t>
      </w:r>
      <w:r>
        <w:t>adaptación</w:t>
      </w:r>
      <w:r>
        <w:rPr>
          <w:spacing w:val="-2"/>
        </w:rPr>
        <w:t xml:space="preserve"> </w:t>
      </w:r>
      <w:r>
        <w:t>y</w:t>
      </w:r>
      <w:r>
        <w:rPr>
          <w:spacing w:val="-4"/>
        </w:rPr>
        <w:t xml:space="preserve"> </w:t>
      </w:r>
      <w:r>
        <w:t>fortalecimiento</w:t>
      </w:r>
      <w:r>
        <w:rPr>
          <w:spacing w:val="-3"/>
        </w:rPr>
        <w:t xml:space="preserve"> </w:t>
      </w:r>
      <w:r>
        <w:t>para</w:t>
      </w:r>
      <w:r>
        <w:rPr>
          <w:spacing w:val="-3"/>
        </w:rPr>
        <w:t xml:space="preserve"> </w:t>
      </w:r>
      <w:r>
        <w:t>cuidar</w:t>
      </w:r>
      <w:r>
        <w:rPr>
          <w:spacing w:val="-1"/>
        </w:rPr>
        <w:t xml:space="preserve"> </w:t>
      </w:r>
      <w:r>
        <w:t>la</w:t>
      </w:r>
      <w:r>
        <w:rPr>
          <w:spacing w:val="-4"/>
        </w:rPr>
        <w:t xml:space="preserve"> </w:t>
      </w:r>
      <w:r>
        <w:t>vida</w:t>
      </w:r>
      <w:r>
        <w:rPr>
          <w:spacing w:val="-3"/>
        </w:rPr>
        <w:t xml:space="preserve"> </w:t>
      </w:r>
      <w:r>
        <w:t>y el</w:t>
      </w:r>
      <w:r>
        <w:rPr>
          <w:spacing w:val="-11"/>
        </w:rPr>
        <w:t xml:space="preserve"> </w:t>
      </w:r>
      <w:r>
        <w:t>territorio</w:t>
      </w:r>
      <w:r>
        <w:rPr>
          <w:spacing w:val="-9"/>
        </w:rPr>
        <w:t xml:space="preserve"> </w:t>
      </w:r>
      <w:r>
        <w:t>deben</w:t>
      </w:r>
      <w:r>
        <w:rPr>
          <w:spacing w:val="-10"/>
        </w:rPr>
        <w:t xml:space="preserve"> </w:t>
      </w:r>
      <w:r>
        <w:t>pensarse</w:t>
      </w:r>
      <w:r>
        <w:rPr>
          <w:spacing w:val="-9"/>
        </w:rPr>
        <w:t xml:space="preserve"> </w:t>
      </w:r>
      <w:r>
        <w:t>en</w:t>
      </w:r>
      <w:r>
        <w:rPr>
          <w:spacing w:val="-10"/>
        </w:rPr>
        <w:t xml:space="preserve"> </w:t>
      </w:r>
      <w:r>
        <w:t>concordancia</w:t>
      </w:r>
      <w:r>
        <w:rPr>
          <w:spacing w:val="-10"/>
        </w:rPr>
        <w:t xml:space="preserve"> </w:t>
      </w:r>
      <w:r>
        <w:t>con</w:t>
      </w:r>
      <w:r>
        <w:rPr>
          <w:spacing w:val="-10"/>
        </w:rPr>
        <w:t xml:space="preserve"> </w:t>
      </w:r>
      <w:r>
        <w:t>las</w:t>
      </w:r>
      <w:r>
        <w:rPr>
          <w:spacing w:val="-10"/>
        </w:rPr>
        <w:t xml:space="preserve"> </w:t>
      </w:r>
      <w:r>
        <w:t>prácticas</w:t>
      </w:r>
      <w:r>
        <w:rPr>
          <w:spacing w:val="-10"/>
        </w:rPr>
        <w:t xml:space="preserve"> </w:t>
      </w:r>
      <w:r>
        <w:t>tradicionales y ancestrales de los resguardos indígenas y consejos comunitarios que habitan esa espacialidad, al respecto el auto de unificación de sentencias sobre la protección del arroyo Bruno</w:t>
      </w:r>
      <w:hyperlink w:anchor="_bookmark12" w:history="1">
        <w:r w:rsidR="000E52B0">
          <w:rPr>
            <w:position w:val="8"/>
            <w:sz w:val="16"/>
          </w:rPr>
          <w:t>10</w:t>
        </w:r>
      </w:hyperlink>
      <w:r>
        <w:rPr>
          <w:spacing w:val="40"/>
          <w:position w:val="8"/>
          <w:sz w:val="16"/>
        </w:rPr>
        <w:t xml:space="preserve"> </w:t>
      </w:r>
      <w:r>
        <w:t>– que pretendía ser desviado afectando los ecosistemas del bosque tropical seco ubicados entre los Montes de la Oca y la Sierra Nevada de Santa Marta.</w:t>
      </w:r>
    </w:p>
    <w:p w14:paraId="16498DFC" w14:textId="77777777" w:rsidR="000E52B0" w:rsidRDefault="00F60D74">
      <w:pPr>
        <w:pStyle w:val="Textoindependiente"/>
        <w:spacing w:before="162"/>
        <w:ind w:right="717"/>
        <w:jc w:val="both"/>
      </w:pPr>
      <w:r>
        <w:t>La</w:t>
      </w:r>
      <w:r>
        <w:rPr>
          <w:spacing w:val="-16"/>
        </w:rPr>
        <w:t xml:space="preserve"> </w:t>
      </w:r>
      <w:r>
        <w:t>urbanización</w:t>
      </w:r>
      <w:r>
        <w:rPr>
          <w:spacing w:val="-16"/>
        </w:rPr>
        <w:t xml:space="preserve"> </w:t>
      </w:r>
      <w:r>
        <w:t>acelerada,</w:t>
      </w:r>
      <w:r>
        <w:rPr>
          <w:spacing w:val="-17"/>
        </w:rPr>
        <w:t xml:space="preserve"> </w:t>
      </w:r>
      <w:r>
        <w:t>la</w:t>
      </w:r>
      <w:r>
        <w:rPr>
          <w:spacing w:val="-16"/>
        </w:rPr>
        <w:t xml:space="preserve"> </w:t>
      </w:r>
      <w:r>
        <w:t>construcción</w:t>
      </w:r>
      <w:r>
        <w:rPr>
          <w:spacing w:val="-17"/>
        </w:rPr>
        <w:t xml:space="preserve"> </w:t>
      </w:r>
      <w:r>
        <w:t>de</w:t>
      </w:r>
      <w:r>
        <w:rPr>
          <w:spacing w:val="-15"/>
        </w:rPr>
        <w:t xml:space="preserve"> </w:t>
      </w:r>
      <w:r>
        <w:t>infraestructura</w:t>
      </w:r>
      <w:r>
        <w:rPr>
          <w:spacing w:val="-15"/>
        </w:rPr>
        <w:t xml:space="preserve"> </w:t>
      </w:r>
      <w:r>
        <w:t>a</w:t>
      </w:r>
      <w:r>
        <w:rPr>
          <w:spacing w:val="-16"/>
        </w:rPr>
        <w:t xml:space="preserve"> </w:t>
      </w:r>
      <w:r>
        <w:t>gran</w:t>
      </w:r>
      <w:r>
        <w:rPr>
          <w:spacing w:val="-16"/>
        </w:rPr>
        <w:t xml:space="preserve"> </w:t>
      </w:r>
      <w:r>
        <w:t>escala, los cambios de uso de suelo, el consumismo, la pérdida ecosistémica y de biodiversidad, entre otras</w:t>
      </w:r>
      <w:r>
        <w:rPr>
          <w:spacing w:val="-1"/>
        </w:rPr>
        <w:t xml:space="preserve"> </w:t>
      </w:r>
      <w:r>
        <w:t>especificidades</w:t>
      </w:r>
      <w:r>
        <w:rPr>
          <w:spacing w:val="-2"/>
        </w:rPr>
        <w:t xml:space="preserve"> </w:t>
      </w:r>
      <w:r>
        <w:t>que</w:t>
      </w:r>
      <w:r>
        <w:rPr>
          <w:spacing w:val="-1"/>
        </w:rPr>
        <w:t xml:space="preserve"> </w:t>
      </w:r>
      <w:r>
        <w:t>coinciden</w:t>
      </w:r>
      <w:r>
        <w:rPr>
          <w:spacing w:val="-2"/>
        </w:rPr>
        <w:t xml:space="preserve"> </w:t>
      </w:r>
      <w:r>
        <w:t>con</w:t>
      </w:r>
      <w:r>
        <w:rPr>
          <w:spacing w:val="-2"/>
        </w:rPr>
        <w:t xml:space="preserve"> </w:t>
      </w:r>
      <w:r>
        <w:t>las lógicas</w:t>
      </w:r>
      <w:r>
        <w:rPr>
          <w:spacing w:val="-2"/>
        </w:rPr>
        <w:t xml:space="preserve"> </w:t>
      </w:r>
      <w:r>
        <w:t>del modelo económico y político, explican la concentración de los valores más críticos del índice de sostenibilidad ambiental en el eje andino. Eje que configura</w:t>
      </w:r>
      <w:r>
        <w:rPr>
          <w:spacing w:val="-6"/>
        </w:rPr>
        <w:t xml:space="preserve"> </w:t>
      </w:r>
      <w:r>
        <w:t>el</w:t>
      </w:r>
      <w:r>
        <w:rPr>
          <w:spacing w:val="-10"/>
        </w:rPr>
        <w:t xml:space="preserve"> </w:t>
      </w:r>
      <w:r>
        <w:t>sistema</w:t>
      </w:r>
      <w:r>
        <w:rPr>
          <w:spacing w:val="-7"/>
        </w:rPr>
        <w:t xml:space="preserve"> </w:t>
      </w:r>
      <w:r>
        <w:t>de</w:t>
      </w:r>
      <w:r>
        <w:rPr>
          <w:spacing w:val="-8"/>
        </w:rPr>
        <w:t xml:space="preserve"> </w:t>
      </w:r>
      <w:r>
        <w:t>ciudades,</w:t>
      </w:r>
      <w:r>
        <w:rPr>
          <w:spacing w:val="-8"/>
        </w:rPr>
        <w:t xml:space="preserve"> </w:t>
      </w:r>
      <w:r>
        <w:t>los</w:t>
      </w:r>
      <w:r>
        <w:rPr>
          <w:spacing w:val="-7"/>
        </w:rPr>
        <w:t xml:space="preserve"> </w:t>
      </w:r>
      <w:r>
        <w:t>centros</w:t>
      </w:r>
      <w:r>
        <w:rPr>
          <w:spacing w:val="-9"/>
        </w:rPr>
        <w:t xml:space="preserve"> </w:t>
      </w:r>
      <w:r>
        <w:t>económicos</w:t>
      </w:r>
      <w:r>
        <w:rPr>
          <w:spacing w:val="-8"/>
        </w:rPr>
        <w:t xml:space="preserve"> </w:t>
      </w:r>
      <w:r>
        <w:t>y</w:t>
      </w:r>
      <w:r>
        <w:rPr>
          <w:spacing w:val="-5"/>
        </w:rPr>
        <w:t xml:space="preserve"> </w:t>
      </w:r>
      <w:r>
        <w:t>productivos</w:t>
      </w:r>
      <w:r>
        <w:rPr>
          <w:spacing w:val="-7"/>
        </w:rPr>
        <w:t xml:space="preserve"> </w:t>
      </w:r>
      <w:r>
        <w:t>del país. Estas formas de vida que no basan sus prácticas en el cuidado del territorio establecen un aumento de la demanda de energía, lo que deriva en mayores emisiones y menor absorción de CO2, profundizando los efectos</w:t>
      </w:r>
      <w:r>
        <w:rPr>
          <w:spacing w:val="-7"/>
        </w:rPr>
        <w:t xml:space="preserve"> </w:t>
      </w:r>
      <w:r>
        <w:t>asociados</w:t>
      </w:r>
      <w:r>
        <w:rPr>
          <w:spacing w:val="-7"/>
        </w:rPr>
        <w:t xml:space="preserve"> </w:t>
      </w:r>
      <w:r>
        <w:t>al</w:t>
      </w:r>
      <w:r>
        <w:rPr>
          <w:spacing w:val="-8"/>
        </w:rPr>
        <w:t xml:space="preserve"> </w:t>
      </w:r>
      <w:r>
        <w:t>cambio</w:t>
      </w:r>
      <w:r>
        <w:rPr>
          <w:spacing w:val="-6"/>
        </w:rPr>
        <w:t xml:space="preserve"> </w:t>
      </w:r>
      <w:r>
        <w:t>climático,</w:t>
      </w:r>
      <w:r>
        <w:rPr>
          <w:spacing w:val="-7"/>
        </w:rPr>
        <w:t xml:space="preserve"> </w:t>
      </w:r>
      <w:r>
        <w:t>por</w:t>
      </w:r>
      <w:r>
        <w:rPr>
          <w:spacing w:val="-5"/>
        </w:rPr>
        <w:t xml:space="preserve"> </w:t>
      </w:r>
      <w:r>
        <w:t>ejemplo,</w:t>
      </w:r>
      <w:r>
        <w:rPr>
          <w:spacing w:val="-7"/>
        </w:rPr>
        <w:t xml:space="preserve"> </w:t>
      </w:r>
      <w:r>
        <w:t>el</w:t>
      </w:r>
      <w:r>
        <w:rPr>
          <w:spacing w:val="-7"/>
        </w:rPr>
        <w:t xml:space="preserve"> </w:t>
      </w:r>
      <w:r>
        <w:t>aumento</w:t>
      </w:r>
      <w:r>
        <w:rPr>
          <w:spacing w:val="-6"/>
        </w:rPr>
        <w:t xml:space="preserve"> </w:t>
      </w:r>
      <w:r>
        <w:t>de</w:t>
      </w:r>
      <w:r>
        <w:rPr>
          <w:spacing w:val="-5"/>
        </w:rPr>
        <w:t xml:space="preserve"> </w:t>
      </w:r>
      <w:r>
        <w:t>las</w:t>
      </w:r>
      <w:r>
        <w:rPr>
          <w:spacing w:val="-7"/>
        </w:rPr>
        <w:t xml:space="preserve"> </w:t>
      </w:r>
      <w:r>
        <w:t>islas de calor intraurbanas.</w:t>
      </w:r>
    </w:p>
    <w:p w14:paraId="1ED8B56B" w14:textId="77777777" w:rsidR="000E52B0" w:rsidRDefault="00F60D74">
      <w:pPr>
        <w:pStyle w:val="Textoindependiente"/>
        <w:spacing w:before="159"/>
        <w:ind w:right="714"/>
        <w:jc w:val="both"/>
      </w:pPr>
      <w:r>
        <w:t>Así mismo, la ilustración 13 representa el mapa de la vulnerabilidad de Colombia frente al cambio climático para el periodo 2011-2040, esta categoría</w:t>
      </w:r>
      <w:r>
        <w:rPr>
          <w:spacing w:val="-11"/>
        </w:rPr>
        <w:t xml:space="preserve"> </w:t>
      </w:r>
      <w:r>
        <w:t>se</w:t>
      </w:r>
      <w:r>
        <w:rPr>
          <w:spacing w:val="-10"/>
        </w:rPr>
        <w:t xml:space="preserve"> </w:t>
      </w:r>
      <w:r>
        <w:t>construyó</w:t>
      </w:r>
      <w:r>
        <w:rPr>
          <w:spacing w:val="-11"/>
        </w:rPr>
        <w:t xml:space="preserve"> </w:t>
      </w:r>
      <w:r>
        <w:t>a</w:t>
      </w:r>
      <w:r>
        <w:rPr>
          <w:spacing w:val="-11"/>
        </w:rPr>
        <w:t xml:space="preserve"> </w:t>
      </w:r>
      <w:r>
        <w:t>partir</w:t>
      </w:r>
      <w:r>
        <w:rPr>
          <w:spacing w:val="-10"/>
        </w:rPr>
        <w:t xml:space="preserve"> </w:t>
      </w:r>
      <w:r>
        <w:t>de</w:t>
      </w:r>
      <w:r>
        <w:rPr>
          <w:spacing w:val="-10"/>
        </w:rPr>
        <w:t xml:space="preserve"> </w:t>
      </w:r>
      <w:r>
        <w:t>los</w:t>
      </w:r>
      <w:r>
        <w:rPr>
          <w:spacing w:val="-11"/>
        </w:rPr>
        <w:t xml:space="preserve"> </w:t>
      </w:r>
      <w:r>
        <w:t>Impactos</w:t>
      </w:r>
      <w:r>
        <w:rPr>
          <w:spacing w:val="-11"/>
        </w:rPr>
        <w:t xml:space="preserve"> </w:t>
      </w:r>
      <w:r>
        <w:t>Potenciales</w:t>
      </w:r>
      <w:r>
        <w:rPr>
          <w:spacing w:val="-11"/>
        </w:rPr>
        <w:t xml:space="preserve"> </w:t>
      </w:r>
      <w:r>
        <w:t>(IP)</w:t>
      </w:r>
      <w:r>
        <w:rPr>
          <w:spacing w:val="-12"/>
        </w:rPr>
        <w:t xml:space="preserve"> </w:t>
      </w:r>
      <w:r>
        <w:t>2011-2040 y la Capacidad de Adaptación (CA), a través de la formula (IP)-(IP*CA). Los Impactos Potenciales son resultado del cruce del Cambio de Precipitación</w:t>
      </w:r>
      <w:r>
        <w:rPr>
          <w:spacing w:val="-16"/>
        </w:rPr>
        <w:t xml:space="preserve"> </w:t>
      </w:r>
      <w:r>
        <w:t>para</w:t>
      </w:r>
      <w:r>
        <w:rPr>
          <w:spacing w:val="-18"/>
        </w:rPr>
        <w:t xml:space="preserve"> </w:t>
      </w:r>
      <w:r>
        <w:t>el</w:t>
      </w:r>
      <w:r>
        <w:rPr>
          <w:spacing w:val="-17"/>
        </w:rPr>
        <w:t xml:space="preserve"> </w:t>
      </w:r>
      <w:r>
        <w:t>periodo</w:t>
      </w:r>
      <w:r>
        <w:rPr>
          <w:spacing w:val="-18"/>
        </w:rPr>
        <w:t xml:space="preserve"> </w:t>
      </w:r>
      <w:r>
        <w:t>2011-2040,</w:t>
      </w:r>
      <w:r>
        <w:rPr>
          <w:spacing w:val="-19"/>
        </w:rPr>
        <w:t xml:space="preserve"> </w:t>
      </w:r>
      <w:r>
        <w:t>el</w:t>
      </w:r>
      <w:r>
        <w:rPr>
          <w:spacing w:val="-17"/>
        </w:rPr>
        <w:t xml:space="preserve"> </w:t>
      </w:r>
      <w:r>
        <w:t>índice</w:t>
      </w:r>
      <w:r>
        <w:rPr>
          <w:spacing w:val="-15"/>
        </w:rPr>
        <w:t xml:space="preserve"> </w:t>
      </w:r>
      <w:r>
        <w:t>de</w:t>
      </w:r>
      <w:r>
        <w:rPr>
          <w:spacing w:val="-17"/>
        </w:rPr>
        <w:t xml:space="preserve"> </w:t>
      </w:r>
      <w:r>
        <w:t>sensibilidad</w:t>
      </w:r>
      <w:r>
        <w:rPr>
          <w:spacing w:val="-19"/>
        </w:rPr>
        <w:t xml:space="preserve"> </w:t>
      </w:r>
      <w:r>
        <w:t>ambiental (ISA),</w:t>
      </w:r>
      <w:r>
        <w:rPr>
          <w:spacing w:val="-7"/>
        </w:rPr>
        <w:t xml:space="preserve"> </w:t>
      </w:r>
      <w:r>
        <w:t>el</w:t>
      </w:r>
      <w:r>
        <w:rPr>
          <w:spacing w:val="-9"/>
        </w:rPr>
        <w:t xml:space="preserve"> </w:t>
      </w:r>
      <w:r>
        <w:t>Índice</w:t>
      </w:r>
      <w:r>
        <w:rPr>
          <w:spacing w:val="-5"/>
        </w:rPr>
        <w:t xml:space="preserve"> </w:t>
      </w:r>
      <w:r>
        <w:t>Relativo</w:t>
      </w:r>
      <w:r>
        <w:rPr>
          <w:spacing w:val="-6"/>
        </w:rPr>
        <w:t xml:space="preserve"> </w:t>
      </w:r>
      <w:r>
        <w:t>de</w:t>
      </w:r>
      <w:r>
        <w:rPr>
          <w:spacing w:val="-8"/>
        </w:rPr>
        <w:t xml:space="preserve"> </w:t>
      </w:r>
      <w:r>
        <w:t>Afectación</w:t>
      </w:r>
      <w:r>
        <w:rPr>
          <w:spacing w:val="-7"/>
        </w:rPr>
        <w:t xml:space="preserve"> </w:t>
      </w:r>
      <w:r>
        <w:t>(IRA),</w:t>
      </w:r>
      <w:r>
        <w:rPr>
          <w:spacing w:val="-9"/>
        </w:rPr>
        <w:t xml:space="preserve"> </w:t>
      </w:r>
      <w:r>
        <w:t>y</w:t>
      </w:r>
      <w:r>
        <w:rPr>
          <w:spacing w:val="-5"/>
        </w:rPr>
        <w:t xml:space="preserve"> </w:t>
      </w:r>
      <w:r>
        <w:t>la</w:t>
      </w:r>
      <w:r>
        <w:rPr>
          <w:spacing w:val="-9"/>
        </w:rPr>
        <w:t xml:space="preserve"> </w:t>
      </w:r>
      <w:r>
        <w:t>Capacidad</w:t>
      </w:r>
      <w:r>
        <w:rPr>
          <w:spacing w:val="-7"/>
        </w:rPr>
        <w:t xml:space="preserve"> </w:t>
      </w:r>
      <w:r>
        <w:t>de</w:t>
      </w:r>
      <w:r>
        <w:rPr>
          <w:spacing w:val="-8"/>
        </w:rPr>
        <w:t xml:space="preserve"> </w:t>
      </w:r>
      <w:r>
        <w:t>Adaptación es</w:t>
      </w:r>
      <w:r>
        <w:rPr>
          <w:spacing w:val="-14"/>
        </w:rPr>
        <w:t xml:space="preserve"> </w:t>
      </w:r>
      <w:r>
        <w:t>determinada</w:t>
      </w:r>
      <w:r>
        <w:rPr>
          <w:spacing w:val="-14"/>
        </w:rPr>
        <w:t xml:space="preserve"> </w:t>
      </w:r>
      <w:r>
        <w:t>por</w:t>
      </w:r>
      <w:r>
        <w:rPr>
          <w:spacing w:val="-10"/>
        </w:rPr>
        <w:t xml:space="preserve"> </w:t>
      </w:r>
      <w:r>
        <w:t>las</w:t>
      </w:r>
      <w:r>
        <w:rPr>
          <w:spacing w:val="-14"/>
        </w:rPr>
        <w:t xml:space="preserve"> </w:t>
      </w:r>
      <w:r>
        <w:t>condiciones</w:t>
      </w:r>
      <w:r>
        <w:rPr>
          <w:spacing w:val="-13"/>
        </w:rPr>
        <w:t xml:space="preserve"> </w:t>
      </w:r>
      <w:r>
        <w:t>socioeconómicas</w:t>
      </w:r>
      <w:r>
        <w:rPr>
          <w:spacing w:val="-14"/>
        </w:rPr>
        <w:t xml:space="preserve"> </w:t>
      </w:r>
      <w:r>
        <w:t>e</w:t>
      </w:r>
      <w:r>
        <w:rPr>
          <w:spacing w:val="-13"/>
        </w:rPr>
        <w:t xml:space="preserve"> </w:t>
      </w:r>
      <w:r>
        <w:t>institucionales,</w:t>
      </w:r>
      <w:r>
        <w:rPr>
          <w:spacing w:val="-12"/>
        </w:rPr>
        <w:t xml:space="preserve"> </w:t>
      </w:r>
      <w:r>
        <w:t>y</w:t>
      </w:r>
      <w:r>
        <w:rPr>
          <w:spacing w:val="-14"/>
        </w:rPr>
        <w:t xml:space="preserve"> </w:t>
      </w:r>
      <w:r>
        <w:t>las capacidades técnicas, que pueden actuar como barreras u oportunidades frente al cambio climático (IDEAM 2010).</w:t>
      </w:r>
    </w:p>
    <w:p w14:paraId="7AB49E89" w14:textId="77777777" w:rsidR="000E52B0" w:rsidRDefault="00F60D74">
      <w:pPr>
        <w:spacing w:before="161"/>
        <w:ind w:left="720" w:right="716"/>
        <w:jc w:val="both"/>
        <w:rPr>
          <w:sz w:val="24"/>
        </w:rPr>
      </w:pPr>
      <w:r>
        <w:rPr>
          <w:b/>
          <w:sz w:val="24"/>
        </w:rPr>
        <w:t>La vulnerabilidad ambiental (VA) se define como el grado de susceptibilidad</w:t>
      </w:r>
      <w:r>
        <w:rPr>
          <w:b/>
          <w:spacing w:val="-21"/>
          <w:sz w:val="24"/>
        </w:rPr>
        <w:t xml:space="preserve"> </w:t>
      </w:r>
      <w:r>
        <w:rPr>
          <w:b/>
          <w:sz w:val="24"/>
        </w:rPr>
        <w:t>de</w:t>
      </w:r>
      <w:r>
        <w:rPr>
          <w:b/>
          <w:spacing w:val="-21"/>
          <w:sz w:val="24"/>
        </w:rPr>
        <w:t xml:space="preserve"> </w:t>
      </w:r>
      <w:r>
        <w:rPr>
          <w:b/>
          <w:sz w:val="24"/>
        </w:rPr>
        <w:t>un</w:t>
      </w:r>
      <w:r>
        <w:rPr>
          <w:b/>
          <w:spacing w:val="-20"/>
          <w:sz w:val="24"/>
        </w:rPr>
        <w:t xml:space="preserve"> </w:t>
      </w:r>
      <w:r>
        <w:rPr>
          <w:b/>
          <w:sz w:val="24"/>
        </w:rPr>
        <w:t>sistema</w:t>
      </w:r>
      <w:r>
        <w:rPr>
          <w:b/>
          <w:spacing w:val="-21"/>
          <w:sz w:val="24"/>
        </w:rPr>
        <w:t xml:space="preserve"> </w:t>
      </w:r>
      <w:r>
        <w:rPr>
          <w:b/>
          <w:sz w:val="24"/>
        </w:rPr>
        <w:t>para</w:t>
      </w:r>
      <w:r>
        <w:rPr>
          <w:b/>
          <w:spacing w:val="-20"/>
          <w:sz w:val="24"/>
        </w:rPr>
        <w:t xml:space="preserve"> </w:t>
      </w:r>
      <w:r>
        <w:rPr>
          <w:b/>
          <w:sz w:val="24"/>
        </w:rPr>
        <w:t>afrontar</w:t>
      </w:r>
      <w:r>
        <w:rPr>
          <w:b/>
          <w:spacing w:val="-21"/>
          <w:sz w:val="24"/>
        </w:rPr>
        <w:t xml:space="preserve"> </w:t>
      </w:r>
      <w:r>
        <w:rPr>
          <w:b/>
          <w:sz w:val="24"/>
        </w:rPr>
        <w:t>los</w:t>
      </w:r>
      <w:r>
        <w:rPr>
          <w:b/>
          <w:spacing w:val="-20"/>
          <w:sz w:val="24"/>
        </w:rPr>
        <w:t xml:space="preserve"> </w:t>
      </w:r>
      <w:r>
        <w:rPr>
          <w:b/>
          <w:sz w:val="24"/>
        </w:rPr>
        <w:t>efectos</w:t>
      </w:r>
      <w:r>
        <w:rPr>
          <w:b/>
          <w:spacing w:val="-21"/>
          <w:sz w:val="24"/>
        </w:rPr>
        <w:t xml:space="preserve"> </w:t>
      </w:r>
      <w:r>
        <w:rPr>
          <w:b/>
          <w:sz w:val="24"/>
        </w:rPr>
        <w:t>adversos</w:t>
      </w:r>
      <w:r>
        <w:rPr>
          <w:b/>
          <w:spacing w:val="-20"/>
          <w:sz w:val="24"/>
        </w:rPr>
        <w:t xml:space="preserve"> </w:t>
      </w:r>
      <w:r>
        <w:rPr>
          <w:b/>
          <w:sz w:val="24"/>
        </w:rPr>
        <w:t>del cambio climático</w:t>
      </w:r>
      <w:r>
        <w:rPr>
          <w:sz w:val="24"/>
        </w:rPr>
        <w:t>. Si bien el territorio colombiano presenta valores que oscilan</w:t>
      </w:r>
      <w:r>
        <w:rPr>
          <w:spacing w:val="-7"/>
          <w:sz w:val="24"/>
        </w:rPr>
        <w:t xml:space="preserve"> </w:t>
      </w:r>
      <w:r>
        <w:rPr>
          <w:sz w:val="24"/>
        </w:rPr>
        <w:t>entre</w:t>
      </w:r>
      <w:r>
        <w:rPr>
          <w:spacing w:val="-5"/>
          <w:sz w:val="24"/>
        </w:rPr>
        <w:t xml:space="preserve"> </w:t>
      </w:r>
      <w:r>
        <w:rPr>
          <w:sz w:val="24"/>
        </w:rPr>
        <w:t>medio,</w:t>
      </w:r>
      <w:r>
        <w:rPr>
          <w:spacing w:val="-5"/>
          <w:sz w:val="24"/>
        </w:rPr>
        <w:t xml:space="preserve"> </w:t>
      </w:r>
      <w:r>
        <w:rPr>
          <w:sz w:val="24"/>
        </w:rPr>
        <w:t>alto</w:t>
      </w:r>
      <w:r>
        <w:rPr>
          <w:spacing w:val="-6"/>
          <w:sz w:val="24"/>
        </w:rPr>
        <w:t xml:space="preserve"> </w:t>
      </w:r>
      <w:r>
        <w:rPr>
          <w:sz w:val="24"/>
        </w:rPr>
        <w:t>y</w:t>
      </w:r>
      <w:r>
        <w:rPr>
          <w:spacing w:val="-7"/>
          <w:sz w:val="24"/>
        </w:rPr>
        <w:t xml:space="preserve"> </w:t>
      </w:r>
      <w:r>
        <w:rPr>
          <w:sz w:val="24"/>
        </w:rPr>
        <w:t>muy</w:t>
      </w:r>
      <w:r>
        <w:rPr>
          <w:spacing w:val="-7"/>
          <w:sz w:val="24"/>
        </w:rPr>
        <w:t xml:space="preserve"> </w:t>
      </w:r>
      <w:r>
        <w:rPr>
          <w:sz w:val="24"/>
        </w:rPr>
        <w:t>alto,</w:t>
      </w:r>
      <w:r>
        <w:rPr>
          <w:spacing w:val="-7"/>
          <w:sz w:val="24"/>
        </w:rPr>
        <w:t xml:space="preserve"> </w:t>
      </w:r>
      <w:r>
        <w:rPr>
          <w:sz w:val="24"/>
        </w:rPr>
        <w:t>lo</w:t>
      </w:r>
      <w:r>
        <w:rPr>
          <w:spacing w:val="-3"/>
          <w:sz w:val="24"/>
        </w:rPr>
        <w:t xml:space="preserve"> </w:t>
      </w:r>
      <w:r>
        <w:rPr>
          <w:sz w:val="24"/>
        </w:rPr>
        <w:t>que</w:t>
      </w:r>
      <w:r>
        <w:rPr>
          <w:spacing w:val="-5"/>
          <w:sz w:val="24"/>
        </w:rPr>
        <w:t xml:space="preserve"> </w:t>
      </w:r>
      <w:r>
        <w:rPr>
          <w:sz w:val="24"/>
        </w:rPr>
        <w:t>genera</w:t>
      </w:r>
      <w:r>
        <w:rPr>
          <w:spacing w:val="-6"/>
          <w:sz w:val="24"/>
        </w:rPr>
        <w:t xml:space="preserve"> </w:t>
      </w:r>
      <w:r>
        <w:rPr>
          <w:sz w:val="24"/>
        </w:rPr>
        <w:t>una</w:t>
      </w:r>
      <w:r>
        <w:rPr>
          <w:spacing w:val="-6"/>
          <w:sz w:val="24"/>
        </w:rPr>
        <w:t xml:space="preserve"> </w:t>
      </w:r>
      <w:r>
        <w:rPr>
          <w:sz w:val="24"/>
        </w:rPr>
        <w:t>alerta</w:t>
      </w:r>
      <w:r>
        <w:rPr>
          <w:spacing w:val="-6"/>
          <w:sz w:val="24"/>
        </w:rPr>
        <w:t xml:space="preserve"> </w:t>
      </w:r>
      <w:r>
        <w:rPr>
          <w:sz w:val="24"/>
        </w:rPr>
        <w:t>en</w:t>
      </w:r>
      <w:r>
        <w:rPr>
          <w:spacing w:val="-7"/>
          <w:sz w:val="24"/>
        </w:rPr>
        <w:t xml:space="preserve"> </w:t>
      </w:r>
      <w:r>
        <w:rPr>
          <w:sz w:val="24"/>
        </w:rPr>
        <w:t>cuanto</w:t>
      </w:r>
      <w:r>
        <w:rPr>
          <w:spacing w:val="-6"/>
          <w:sz w:val="24"/>
        </w:rPr>
        <w:t xml:space="preserve"> </w:t>
      </w:r>
      <w:r>
        <w:rPr>
          <w:sz w:val="24"/>
        </w:rPr>
        <w:t>al fortalecimiento de capacidades - estrategias de adaptación y mitigación para enfrentar la probabilidad de ocurrencia de un desastre asociado al clima. Es importante destacar que las subregiones donde se concentra la categoría de medio (la más baja del país), coincide con espacialidades asociadas a la ruralidad, la presencia de comunidades étnicas y campesinas:</w:t>
      </w:r>
      <w:r>
        <w:rPr>
          <w:spacing w:val="63"/>
          <w:sz w:val="24"/>
        </w:rPr>
        <w:t xml:space="preserve"> </w:t>
      </w:r>
      <w:r>
        <w:rPr>
          <w:sz w:val="24"/>
        </w:rPr>
        <w:t>corredor</w:t>
      </w:r>
      <w:r>
        <w:rPr>
          <w:spacing w:val="64"/>
          <w:sz w:val="24"/>
        </w:rPr>
        <w:t xml:space="preserve"> </w:t>
      </w:r>
      <w:r>
        <w:rPr>
          <w:sz w:val="24"/>
        </w:rPr>
        <w:t>pacífico</w:t>
      </w:r>
      <w:r>
        <w:rPr>
          <w:spacing w:val="64"/>
          <w:sz w:val="24"/>
        </w:rPr>
        <w:t xml:space="preserve"> </w:t>
      </w:r>
      <w:r>
        <w:rPr>
          <w:sz w:val="24"/>
        </w:rPr>
        <w:t>y</w:t>
      </w:r>
      <w:r>
        <w:rPr>
          <w:spacing w:val="63"/>
          <w:sz w:val="24"/>
        </w:rPr>
        <w:t xml:space="preserve"> </w:t>
      </w:r>
      <w:r>
        <w:rPr>
          <w:sz w:val="24"/>
        </w:rPr>
        <w:t>eje</w:t>
      </w:r>
      <w:r>
        <w:rPr>
          <w:spacing w:val="65"/>
          <w:sz w:val="24"/>
        </w:rPr>
        <w:t xml:space="preserve"> </w:t>
      </w:r>
      <w:r>
        <w:rPr>
          <w:sz w:val="24"/>
        </w:rPr>
        <w:t>amazónico.</w:t>
      </w:r>
      <w:r>
        <w:rPr>
          <w:spacing w:val="64"/>
          <w:sz w:val="24"/>
        </w:rPr>
        <w:t xml:space="preserve"> </w:t>
      </w:r>
      <w:r>
        <w:rPr>
          <w:sz w:val="24"/>
        </w:rPr>
        <w:t>En</w:t>
      </w:r>
      <w:r>
        <w:rPr>
          <w:spacing w:val="63"/>
          <w:sz w:val="24"/>
        </w:rPr>
        <w:t xml:space="preserve"> </w:t>
      </w:r>
      <w:r>
        <w:rPr>
          <w:sz w:val="24"/>
        </w:rPr>
        <w:t>el</w:t>
      </w:r>
      <w:r>
        <w:rPr>
          <w:spacing w:val="63"/>
          <w:sz w:val="24"/>
        </w:rPr>
        <w:t xml:space="preserve"> </w:t>
      </w:r>
      <w:r>
        <w:rPr>
          <w:sz w:val="24"/>
        </w:rPr>
        <w:t>eje</w:t>
      </w:r>
      <w:r>
        <w:rPr>
          <w:spacing w:val="65"/>
          <w:sz w:val="24"/>
        </w:rPr>
        <w:t xml:space="preserve"> </w:t>
      </w:r>
      <w:r>
        <w:rPr>
          <w:sz w:val="24"/>
        </w:rPr>
        <w:t>andino</w:t>
      </w:r>
      <w:r>
        <w:rPr>
          <w:spacing w:val="64"/>
          <w:sz w:val="24"/>
        </w:rPr>
        <w:t xml:space="preserve"> </w:t>
      </w:r>
      <w:r>
        <w:rPr>
          <w:sz w:val="24"/>
        </w:rPr>
        <w:t>y</w:t>
      </w:r>
      <w:r>
        <w:rPr>
          <w:spacing w:val="67"/>
          <w:sz w:val="24"/>
        </w:rPr>
        <w:t xml:space="preserve"> </w:t>
      </w:r>
      <w:r>
        <w:rPr>
          <w:spacing w:val="-5"/>
          <w:sz w:val="24"/>
        </w:rPr>
        <w:t>la</w:t>
      </w:r>
    </w:p>
    <w:p w14:paraId="7E32F7B6" w14:textId="77777777" w:rsidR="000E52B0" w:rsidRDefault="00F60D74">
      <w:pPr>
        <w:pStyle w:val="Textoindependiente"/>
        <w:spacing w:before="8"/>
        <w:ind w:left="0"/>
        <w:rPr>
          <w:sz w:val="11"/>
        </w:rPr>
      </w:pPr>
      <w:r>
        <w:rPr>
          <w:noProof/>
          <w:sz w:val="11"/>
        </w:rPr>
        <mc:AlternateContent>
          <mc:Choice Requires="wps">
            <w:drawing>
              <wp:anchor distT="0" distB="0" distL="0" distR="0" simplePos="0" relativeHeight="487600128" behindDoc="1" locked="0" layoutInCell="1" allowOverlap="1" wp14:anchorId="647592D8" wp14:editId="0D8F581E">
                <wp:simplePos x="0" y="0"/>
                <wp:positionH relativeFrom="page">
                  <wp:posOffset>914704</wp:posOffset>
                </wp:positionH>
                <wp:positionV relativeFrom="paragraph">
                  <wp:posOffset>105291</wp:posOffset>
                </wp:positionV>
                <wp:extent cx="1829435" cy="762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12863F" id="Graphic 48" o:spid="_x0000_s1026" style="position:absolute;margin-left:1in;margin-top:8.3pt;width:144.05pt;height:.6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" path="m1829054,l,,,7619r1829054,l1829054,xe" fillcolor="black" stroked="f">
                <v:path arrowok="t"/>
                <w10:wrap type="topAndBottom" anchorx="page"/>
              </v:shape>
            </w:pict>
          </mc:Fallback>
        </mc:AlternateContent>
      </w:r>
    </w:p>
    <w:p w14:paraId="0455EA65" w14:textId="77777777" w:rsidR="000E52B0" w:rsidRDefault="00F60D74">
      <w:pPr>
        <w:spacing w:before="96"/>
        <w:ind w:left="720"/>
        <w:rPr>
          <w:rFonts w:ascii="Arial MT"/>
          <w:sz w:val="18"/>
        </w:rPr>
      </w:pPr>
      <w:bookmarkStart w:id="12" w:name="_bookmark12"/>
      <w:bookmarkEnd w:id="12"/>
      <w:r>
        <w:rPr>
          <w:rFonts w:ascii="Arial MT"/>
          <w:position w:val="6"/>
          <w:sz w:val="12"/>
        </w:rPr>
        <w:t>10</w:t>
      </w:r>
      <w:r>
        <w:rPr>
          <w:rFonts w:ascii="Arial MT"/>
          <w:spacing w:val="14"/>
          <w:position w:val="6"/>
          <w:sz w:val="12"/>
        </w:rPr>
        <w:t xml:space="preserve"> </w:t>
      </w:r>
      <w:proofErr w:type="gramStart"/>
      <w:r>
        <w:rPr>
          <w:rFonts w:ascii="Arial MT"/>
          <w:sz w:val="18"/>
        </w:rPr>
        <w:t>Tomado</w:t>
      </w:r>
      <w:proofErr w:type="gramEnd"/>
      <w:r>
        <w:rPr>
          <w:rFonts w:ascii="Arial MT"/>
          <w:spacing w:val="-3"/>
          <w:sz w:val="18"/>
        </w:rPr>
        <w:t xml:space="preserve"> </w:t>
      </w:r>
      <w:proofErr w:type="spellStart"/>
      <w:r>
        <w:rPr>
          <w:rFonts w:ascii="Arial MT"/>
          <w:sz w:val="18"/>
        </w:rPr>
        <w:t>de</w:t>
      </w:r>
      <w:hyperlink r:id="rId45">
        <w:r w:rsidR="000E52B0">
          <w:rPr>
            <w:rFonts w:ascii="Arial MT"/>
            <w:sz w:val="18"/>
          </w:rPr>
          <w:t>:</w:t>
        </w:r>
        <w:r w:rsidR="000E52B0">
          <w:rPr>
            <w:rFonts w:ascii="Arial MT"/>
            <w:color w:val="E22C91"/>
            <w:sz w:val="18"/>
            <w:u w:val="single" w:color="E22C91"/>
          </w:rPr>
          <w:t>No</w:t>
        </w:r>
        <w:proofErr w:type="spellEnd"/>
        <w:r w:rsidR="000E52B0">
          <w:rPr>
            <w:rFonts w:ascii="Arial MT"/>
            <w:color w:val="E22C91"/>
            <w:sz w:val="18"/>
            <w:u w:val="single" w:color="E22C91"/>
          </w:rPr>
          <w:t>.</w:t>
        </w:r>
        <w:r w:rsidR="000E52B0">
          <w:rPr>
            <w:rFonts w:ascii="Arial MT"/>
            <w:color w:val="E22C91"/>
            <w:spacing w:val="-4"/>
            <w:sz w:val="18"/>
            <w:u w:val="single" w:color="E22C91"/>
          </w:rPr>
          <w:t xml:space="preserve"> </w:t>
        </w:r>
        <w:r w:rsidR="000E52B0">
          <w:rPr>
            <w:rFonts w:ascii="Arial MT"/>
            <w:color w:val="E22C91"/>
            <w:sz w:val="18"/>
            <w:u w:val="single" w:color="E22C91"/>
          </w:rPr>
          <w:t>58</w:t>
        </w:r>
        <w:r w:rsidR="000E52B0">
          <w:rPr>
            <w:rFonts w:ascii="Arial MT"/>
            <w:color w:val="E22C91"/>
            <w:spacing w:val="-5"/>
            <w:sz w:val="18"/>
            <w:u w:val="single" w:color="E22C91"/>
          </w:rPr>
          <w:t xml:space="preserve"> </w:t>
        </w:r>
        <w:r w:rsidR="000E52B0">
          <w:rPr>
            <w:rFonts w:ascii="Arial MT"/>
            <w:color w:val="E22C91"/>
            <w:sz w:val="18"/>
            <w:u w:val="single" w:color="E22C91"/>
          </w:rPr>
          <w:t>comunicado</w:t>
        </w:r>
        <w:r w:rsidR="000E52B0">
          <w:rPr>
            <w:rFonts w:ascii="Arial MT"/>
            <w:color w:val="E22C91"/>
            <w:spacing w:val="-2"/>
            <w:sz w:val="18"/>
            <w:u w:val="single" w:color="E22C91"/>
          </w:rPr>
          <w:t xml:space="preserve"> </w:t>
        </w:r>
        <w:r w:rsidR="000E52B0">
          <w:rPr>
            <w:rFonts w:ascii="Arial MT"/>
            <w:color w:val="E22C91"/>
            <w:sz w:val="18"/>
            <w:u w:val="single" w:color="E22C91"/>
          </w:rPr>
          <w:t>28</w:t>
        </w:r>
        <w:r w:rsidR="000E52B0">
          <w:rPr>
            <w:rFonts w:ascii="Arial MT"/>
            <w:color w:val="E22C91"/>
            <w:spacing w:val="-5"/>
            <w:sz w:val="18"/>
            <w:u w:val="single" w:color="E22C91"/>
          </w:rPr>
          <w:t xml:space="preserve"> </w:t>
        </w:r>
        <w:r w:rsidR="000E52B0">
          <w:rPr>
            <w:rFonts w:ascii="Arial MT"/>
            <w:color w:val="E22C91"/>
            <w:sz w:val="18"/>
            <w:u w:val="single" w:color="E22C91"/>
          </w:rPr>
          <w:t>y</w:t>
        </w:r>
        <w:r w:rsidR="000E52B0">
          <w:rPr>
            <w:rFonts w:ascii="Arial MT"/>
            <w:color w:val="E22C91"/>
            <w:spacing w:val="-1"/>
            <w:sz w:val="18"/>
            <w:u w:val="single" w:color="E22C91"/>
          </w:rPr>
          <w:t xml:space="preserve"> </w:t>
        </w:r>
        <w:r w:rsidR="000E52B0">
          <w:rPr>
            <w:rFonts w:ascii="Arial MT"/>
            <w:color w:val="E22C91"/>
            <w:sz w:val="18"/>
            <w:u w:val="single" w:color="E22C91"/>
          </w:rPr>
          <w:t>29</w:t>
        </w:r>
        <w:r w:rsidR="000E52B0">
          <w:rPr>
            <w:rFonts w:ascii="Arial MT"/>
            <w:color w:val="E22C91"/>
            <w:spacing w:val="-3"/>
            <w:sz w:val="18"/>
            <w:u w:val="single" w:color="E22C91"/>
          </w:rPr>
          <w:t xml:space="preserve"> </w:t>
        </w:r>
        <w:r w:rsidR="000E52B0">
          <w:rPr>
            <w:rFonts w:ascii="Arial MT"/>
            <w:color w:val="E22C91"/>
            <w:sz w:val="18"/>
            <w:u w:val="single" w:color="E22C91"/>
          </w:rPr>
          <w:t>de</w:t>
        </w:r>
        <w:r w:rsidR="000E52B0">
          <w:rPr>
            <w:rFonts w:ascii="Arial MT"/>
            <w:color w:val="E22C91"/>
            <w:spacing w:val="-5"/>
            <w:sz w:val="18"/>
            <w:u w:val="single" w:color="E22C91"/>
          </w:rPr>
          <w:t xml:space="preserve"> </w:t>
        </w:r>
        <w:r w:rsidR="000E52B0">
          <w:rPr>
            <w:rFonts w:ascii="Arial MT"/>
            <w:color w:val="E22C91"/>
            <w:sz w:val="18"/>
            <w:u w:val="single" w:color="E22C91"/>
          </w:rPr>
          <w:t>noviembre</w:t>
        </w:r>
        <w:r w:rsidR="000E52B0">
          <w:rPr>
            <w:rFonts w:ascii="Arial MT"/>
            <w:color w:val="E22C91"/>
            <w:spacing w:val="-4"/>
            <w:sz w:val="18"/>
            <w:u w:val="single" w:color="E22C91"/>
          </w:rPr>
          <w:t xml:space="preserve"> </w:t>
        </w:r>
        <w:r w:rsidR="000E52B0">
          <w:rPr>
            <w:rFonts w:ascii="Arial MT"/>
            <w:color w:val="E22C91"/>
            <w:sz w:val="18"/>
            <w:u w:val="single" w:color="E22C91"/>
          </w:rPr>
          <w:t>de</w:t>
        </w:r>
        <w:r w:rsidR="000E52B0">
          <w:rPr>
            <w:rFonts w:ascii="Arial MT"/>
            <w:color w:val="E22C91"/>
            <w:spacing w:val="-5"/>
            <w:sz w:val="18"/>
            <w:u w:val="single" w:color="E22C91"/>
          </w:rPr>
          <w:t xml:space="preserve"> </w:t>
        </w:r>
        <w:r w:rsidR="000E52B0">
          <w:rPr>
            <w:rFonts w:ascii="Arial MT"/>
            <w:color w:val="E22C91"/>
            <w:sz w:val="18"/>
            <w:u w:val="single" w:color="E22C91"/>
          </w:rPr>
          <w:t>2017.pdf</w:t>
        </w:r>
        <w:r w:rsidR="000E52B0">
          <w:rPr>
            <w:rFonts w:ascii="Arial MT"/>
            <w:color w:val="E22C91"/>
            <w:spacing w:val="-2"/>
            <w:sz w:val="18"/>
            <w:u w:val="single" w:color="E22C91"/>
          </w:rPr>
          <w:t xml:space="preserve"> (corteconstitucional.gov.co)</w:t>
        </w:r>
      </w:hyperlink>
    </w:p>
    <w:p w14:paraId="6F0DE01B" w14:textId="77777777" w:rsidR="000E52B0" w:rsidRDefault="000E52B0">
      <w:pPr>
        <w:rPr>
          <w:rFonts w:ascii="Arial MT"/>
          <w:sz w:val="18"/>
        </w:rPr>
        <w:sectPr w:rsidR="000E52B0">
          <w:pgSz w:w="11910" w:h="16840"/>
          <w:pgMar w:top="1340" w:right="720" w:bottom="1180" w:left="720" w:header="0" w:footer="995" w:gutter="0"/>
          <w:cols w:space="720"/>
        </w:sectPr>
      </w:pPr>
    </w:p>
    <w:p w14:paraId="025B6D97" w14:textId="77777777" w:rsidR="000E52B0" w:rsidRDefault="00F60D74">
      <w:pPr>
        <w:pStyle w:val="Textoindependiente"/>
        <w:spacing w:before="83"/>
        <w:ind w:right="724"/>
        <w:jc w:val="both"/>
      </w:pPr>
      <w:r>
        <w:lastRenderedPageBreak/>
        <w:t>Guajira, igual que en el análisis del ISA, se establecen los valores más críticos por las especificidades mencionadas anteriormente.</w:t>
      </w:r>
    </w:p>
    <w:p w14:paraId="0887DE0D" w14:textId="77777777" w:rsidR="000E52B0" w:rsidRDefault="00F60D74">
      <w:pPr>
        <w:spacing w:before="158"/>
        <w:jc w:val="center"/>
        <w:rPr>
          <w:i/>
          <w:sz w:val="18"/>
        </w:rPr>
      </w:pPr>
      <w:r>
        <w:rPr>
          <w:i/>
          <w:color w:val="454551"/>
          <w:sz w:val="18"/>
        </w:rPr>
        <w:t>Ilustración</w:t>
      </w:r>
      <w:r>
        <w:rPr>
          <w:i/>
          <w:color w:val="454551"/>
          <w:spacing w:val="-6"/>
          <w:sz w:val="18"/>
        </w:rPr>
        <w:t xml:space="preserve"> </w:t>
      </w:r>
      <w:r>
        <w:rPr>
          <w:i/>
          <w:color w:val="454551"/>
          <w:sz w:val="18"/>
        </w:rPr>
        <w:t>13.</w:t>
      </w:r>
      <w:r>
        <w:rPr>
          <w:i/>
          <w:color w:val="454551"/>
          <w:spacing w:val="-5"/>
          <w:sz w:val="18"/>
        </w:rPr>
        <w:t xml:space="preserve"> </w:t>
      </w:r>
      <w:r>
        <w:rPr>
          <w:i/>
          <w:color w:val="454551"/>
          <w:sz w:val="18"/>
        </w:rPr>
        <w:t>Vulnerabilidad</w:t>
      </w:r>
      <w:r>
        <w:rPr>
          <w:i/>
          <w:color w:val="454551"/>
          <w:spacing w:val="-5"/>
          <w:sz w:val="18"/>
        </w:rPr>
        <w:t xml:space="preserve"> </w:t>
      </w:r>
      <w:r>
        <w:rPr>
          <w:i/>
          <w:color w:val="454551"/>
          <w:sz w:val="18"/>
        </w:rPr>
        <w:t>ambiental</w:t>
      </w:r>
      <w:r>
        <w:rPr>
          <w:i/>
          <w:color w:val="454551"/>
          <w:spacing w:val="-4"/>
          <w:sz w:val="18"/>
        </w:rPr>
        <w:t xml:space="preserve"> </w:t>
      </w:r>
      <w:r>
        <w:rPr>
          <w:i/>
          <w:color w:val="454551"/>
          <w:sz w:val="18"/>
        </w:rPr>
        <w:t>en</w:t>
      </w:r>
      <w:r>
        <w:rPr>
          <w:i/>
          <w:color w:val="454551"/>
          <w:spacing w:val="-4"/>
          <w:sz w:val="18"/>
        </w:rPr>
        <w:t xml:space="preserve"> </w:t>
      </w:r>
      <w:r>
        <w:rPr>
          <w:i/>
          <w:color w:val="454551"/>
          <w:spacing w:val="-2"/>
          <w:sz w:val="18"/>
        </w:rPr>
        <w:t>Colombia</w:t>
      </w:r>
    </w:p>
    <w:p w14:paraId="5F5E41EF" w14:textId="77777777" w:rsidR="000E52B0" w:rsidRDefault="00F60D74">
      <w:pPr>
        <w:pStyle w:val="Textoindependiente"/>
        <w:spacing w:before="51"/>
        <w:ind w:left="0"/>
        <w:rPr>
          <w:i/>
          <w:sz w:val="20"/>
        </w:rPr>
      </w:pPr>
      <w:r>
        <w:rPr>
          <w:i/>
          <w:noProof/>
          <w:sz w:val="20"/>
        </w:rPr>
        <w:drawing>
          <wp:anchor distT="0" distB="0" distL="0" distR="0" simplePos="0" relativeHeight="487600640" behindDoc="1" locked="0" layoutInCell="1" allowOverlap="1" wp14:anchorId="4F341CBD" wp14:editId="1D3F4E16">
            <wp:simplePos x="0" y="0"/>
            <wp:positionH relativeFrom="page">
              <wp:posOffset>1871345</wp:posOffset>
            </wp:positionH>
            <wp:positionV relativeFrom="paragraph">
              <wp:posOffset>202595</wp:posOffset>
            </wp:positionV>
            <wp:extent cx="3917768" cy="5381339"/>
            <wp:effectExtent l="0" t="0" r="0" b="0"/>
            <wp:wrapTopAndBottom/>
            <wp:docPr id="49" name="Image 49" descr="Map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Mapa  Descripción generada automáticamente"/>
                    <pic:cNvPicPr/>
                  </pic:nvPicPr>
                  <pic:blipFill>
                    <a:blip r:embed="rId46" cstate="print"/>
                    <a:stretch>
                      <a:fillRect/>
                    </a:stretch>
                  </pic:blipFill>
                  <pic:spPr>
                    <a:xfrm>
                      <a:off x="0" y="0"/>
                      <a:ext cx="3917768" cy="5381339"/>
                    </a:xfrm>
                    <a:prstGeom prst="rect">
                      <a:avLst/>
                    </a:prstGeom>
                  </pic:spPr>
                </pic:pic>
              </a:graphicData>
            </a:graphic>
          </wp:anchor>
        </w:drawing>
      </w:r>
    </w:p>
    <w:p w14:paraId="3E145AE9" w14:textId="77777777" w:rsidR="000E52B0" w:rsidRDefault="000E52B0">
      <w:pPr>
        <w:pStyle w:val="Textoindependiente"/>
        <w:spacing w:before="199"/>
        <w:ind w:left="0"/>
        <w:rPr>
          <w:i/>
          <w:sz w:val="18"/>
        </w:rPr>
      </w:pPr>
    </w:p>
    <w:p w14:paraId="2DF0792F" w14:textId="77777777" w:rsidR="000E52B0" w:rsidRDefault="00F60D74">
      <w:pPr>
        <w:pStyle w:val="Textoindependiente"/>
        <w:spacing w:before="1"/>
        <w:ind w:right="714"/>
        <w:jc w:val="both"/>
      </w:pPr>
      <w:r>
        <w:t>Si bien para ambas categorías presentadas ISA y VA, existe concordancia entre los</w:t>
      </w:r>
      <w:r>
        <w:rPr>
          <w:spacing w:val="-1"/>
        </w:rPr>
        <w:t xml:space="preserve"> </w:t>
      </w:r>
      <w:r>
        <w:t>criterios</w:t>
      </w:r>
      <w:r>
        <w:rPr>
          <w:spacing w:val="-1"/>
        </w:rPr>
        <w:t xml:space="preserve"> </w:t>
      </w:r>
      <w:r>
        <w:t>más</w:t>
      </w:r>
      <w:r>
        <w:rPr>
          <w:spacing w:val="-1"/>
        </w:rPr>
        <w:t xml:space="preserve"> </w:t>
      </w:r>
      <w:r>
        <w:t>favorables y la presencia</w:t>
      </w:r>
      <w:r>
        <w:rPr>
          <w:spacing w:val="-1"/>
        </w:rPr>
        <w:t xml:space="preserve"> </w:t>
      </w:r>
      <w:r>
        <w:t>de comunidades</w:t>
      </w:r>
      <w:r>
        <w:rPr>
          <w:spacing w:val="-1"/>
        </w:rPr>
        <w:t xml:space="preserve"> </w:t>
      </w:r>
      <w:r>
        <w:t>étnicas y campesinas,</w:t>
      </w:r>
      <w:r>
        <w:rPr>
          <w:spacing w:val="-17"/>
        </w:rPr>
        <w:t xml:space="preserve"> </w:t>
      </w:r>
      <w:r>
        <w:t>está</w:t>
      </w:r>
      <w:r>
        <w:rPr>
          <w:spacing w:val="-14"/>
        </w:rPr>
        <w:t xml:space="preserve"> </w:t>
      </w:r>
      <w:r>
        <w:t>ampliamente</w:t>
      </w:r>
      <w:r>
        <w:rPr>
          <w:spacing w:val="-15"/>
        </w:rPr>
        <w:t xml:space="preserve"> </w:t>
      </w:r>
      <w:r>
        <w:t>documentado</w:t>
      </w:r>
      <w:r>
        <w:rPr>
          <w:spacing w:val="-15"/>
        </w:rPr>
        <w:t xml:space="preserve"> </w:t>
      </w:r>
      <w:r>
        <w:t>que</w:t>
      </w:r>
      <w:r>
        <w:rPr>
          <w:spacing w:val="-15"/>
        </w:rPr>
        <w:t xml:space="preserve"> </w:t>
      </w:r>
      <w:r>
        <w:t>los</w:t>
      </w:r>
      <w:r>
        <w:rPr>
          <w:spacing w:val="-16"/>
        </w:rPr>
        <w:t xml:space="preserve"> </w:t>
      </w:r>
      <w:r>
        <w:t>efectos</w:t>
      </w:r>
      <w:r>
        <w:rPr>
          <w:spacing w:val="-16"/>
        </w:rPr>
        <w:t xml:space="preserve"> </w:t>
      </w:r>
      <w:r>
        <w:t>asociados</w:t>
      </w:r>
      <w:r>
        <w:rPr>
          <w:spacing w:val="-14"/>
        </w:rPr>
        <w:t xml:space="preserve"> </w:t>
      </w:r>
      <w:r>
        <w:t>a</w:t>
      </w:r>
      <w:r>
        <w:rPr>
          <w:spacing w:val="-16"/>
        </w:rPr>
        <w:t xml:space="preserve"> </w:t>
      </w:r>
      <w:r>
        <w:t>la crisis ambiental como las sequías, las inundaciones, los incendios y las tormentas</w:t>
      </w:r>
      <w:r>
        <w:rPr>
          <w:spacing w:val="-22"/>
        </w:rPr>
        <w:t xml:space="preserve"> </w:t>
      </w:r>
      <w:r>
        <w:t>afectan</w:t>
      </w:r>
      <w:r>
        <w:rPr>
          <w:spacing w:val="-21"/>
        </w:rPr>
        <w:t xml:space="preserve"> </w:t>
      </w:r>
      <w:r>
        <w:t>antes</w:t>
      </w:r>
      <w:r>
        <w:rPr>
          <w:spacing w:val="-21"/>
        </w:rPr>
        <w:t xml:space="preserve"> </w:t>
      </w:r>
      <w:r>
        <w:t>y</w:t>
      </w:r>
      <w:r>
        <w:rPr>
          <w:spacing w:val="-21"/>
        </w:rPr>
        <w:t xml:space="preserve"> </w:t>
      </w:r>
      <w:r>
        <w:t>en</w:t>
      </w:r>
      <w:r>
        <w:rPr>
          <w:spacing w:val="-21"/>
        </w:rPr>
        <w:t xml:space="preserve"> </w:t>
      </w:r>
      <w:r>
        <w:t>mayor</w:t>
      </w:r>
      <w:r>
        <w:rPr>
          <w:spacing w:val="-20"/>
        </w:rPr>
        <w:t xml:space="preserve"> </w:t>
      </w:r>
      <w:r>
        <w:t>medida</w:t>
      </w:r>
      <w:r>
        <w:rPr>
          <w:spacing w:val="-21"/>
        </w:rPr>
        <w:t xml:space="preserve"> </w:t>
      </w:r>
      <w:r>
        <w:t>a</w:t>
      </w:r>
      <w:r>
        <w:rPr>
          <w:spacing w:val="-21"/>
        </w:rPr>
        <w:t xml:space="preserve"> </w:t>
      </w:r>
      <w:r>
        <w:t>las</w:t>
      </w:r>
      <w:r>
        <w:rPr>
          <w:spacing w:val="-21"/>
        </w:rPr>
        <w:t xml:space="preserve"> </w:t>
      </w:r>
      <w:r>
        <w:t>condiciones</w:t>
      </w:r>
      <w:r>
        <w:rPr>
          <w:spacing w:val="-21"/>
        </w:rPr>
        <w:t xml:space="preserve"> </w:t>
      </w:r>
      <w:r>
        <w:t>que</w:t>
      </w:r>
      <w:r>
        <w:rPr>
          <w:spacing w:val="-20"/>
        </w:rPr>
        <w:t xml:space="preserve"> </w:t>
      </w:r>
      <w:r>
        <w:t>provocan marginación</w:t>
      </w:r>
      <w:r>
        <w:rPr>
          <w:spacing w:val="-1"/>
        </w:rPr>
        <w:t xml:space="preserve"> </w:t>
      </w:r>
      <w:r>
        <w:t>y</w:t>
      </w:r>
      <w:r>
        <w:rPr>
          <w:spacing w:val="-1"/>
        </w:rPr>
        <w:t xml:space="preserve"> </w:t>
      </w:r>
      <w:r>
        <w:t>exclusión,</w:t>
      </w:r>
      <w:r>
        <w:rPr>
          <w:spacing w:val="-1"/>
        </w:rPr>
        <w:t xml:space="preserve"> </w:t>
      </w:r>
      <w:r>
        <w:t>provocando temporadas</w:t>
      </w:r>
      <w:r>
        <w:rPr>
          <w:spacing w:val="-1"/>
        </w:rPr>
        <w:t xml:space="preserve"> </w:t>
      </w:r>
      <w:r>
        <w:t>de cultivo impredecibles y</w:t>
      </w:r>
      <w:r>
        <w:rPr>
          <w:spacing w:val="-1"/>
        </w:rPr>
        <w:t xml:space="preserve"> </w:t>
      </w:r>
      <w:r>
        <w:t>malogrando cosechas</w:t>
      </w:r>
      <w:r>
        <w:rPr>
          <w:spacing w:val="-1"/>
        </w:rPr>
        <w:t xml:space="preserve"> </w:t>
      </w:r>
      <w:r>
        <w:t>y, con</w:t>
      </w:r>
      <w:r>
        <w:rPr>
          <w:spacing w:val="-1"/>
        </w:rPr>
        <w:t xml:space="preserve"> </w:t>
      </w:r>
      <w:r>
        <w:t>ello, induciendo un drástico aumento de los precios de los alimentos. Aumentando las barreras para autogestionar su propia</w:t>
      </w:r>
      <w:r>
        <w:rPr>
          <w:spacing w:val="-4"/>
        </w:rPr>
        <w:t xml:space="preserve"> </w:t>
      </w:r>
      <w:r>
        <w:t>alimentación,</w:t>
      </w:r>
      <w:r>
        <w:rPr>
          <w:spacing w:val="-4"/>
        </w:rPr>
        <w:t xml:space="preserve"> </w:t>
      </w:r>
      <w:r>
        <w:t>las</w:t>
      </w:r>
      <w:r>
        <w:rPr>
          <w:spacing w:val="-4"/>
        </w:rPr>
        <w:t xml:space="preserve"> </w:t>
      </w:r>
      <w:r>
        <w:t>acciones</w:t>
      </w:r>
      <w:r>
        <w:rPr>
          <w:spacing w:val="-3"/>
        </w:rPr>
        <w:t xml:space="preserve"> </w:t>
      </w:r>
      <w:r>
        <w:t>de</w:t>
      </w:r>
      <w:r>
        <w:rPr>
          <w:spacing w:val="-3"/>
        </w:rPr>
        <w:t xml:space="preserve"> </w:t>
      </w:r>
      <w:r>
        <w:t>cuidado</w:t>
      </w:r>
      <w:r>
        <w:rPr>
          <w:spacing w:val="-3"/>
        </w:rPr>
        <w:t xml:space="preserve"> </w:t>
      </w:r>
      <w:r>
        <w:t>de</w:t>
      </w:r>
      <w:r>
        <w:rPr>
          <w:spacing w:val="-3"/>
        </w:rPr>
        <w:t xml:space="preserve"> </w:t>
      </w:r>
      <w:r>
        <w:t>la</w:t>
      </w:r>
      <w:r>
        <w:rPr>
          <w:spacing w:val="-3"/>
        </w:rPr>
        <w:t xml:space="preserve"> </w:t>
      </w:r>
      <w:r>
        <w:t>salud,</w:t>
      </w:r>
      <w:r>
        <w:rPr>
          <w:spacing w:val="-4"/>
        </w:rPr>
        <w:t xml:space="preserve"> </w:t>
      </w:r>
      <w:r>
        <w:t>el</w:t>
      </w:r>
      <w:r>
        <w:rPr>
          <w:spacing w:val="-2"/>
        </w:rPr>
        <w:t xml:space="preserve"> </w:t>
      </w:r>
      <w:r>
        <w:t>ejercicio</w:t>
      </w:r>
      <w:r>
        <w:rPr>
          <w:spacing w:val="-3"/>
        </w:rPr>
        <w:t xml:space="preserve"> </w:t>
      </w:r>
      <w:r>
        <w:t>de</w:t>
      </w:r>
      <w:r>
        <w:rPr>
          <w:spacing w:val="-3"/>
        </w:rPr>
        <w:t xml:space="preserve"> </w:t>
      </w:r>
      <w:r>
        <w:t>las actividades productivas necesarias para el sostenimiento de los hogares.</w:t>
      </w:r>
    </w:p>
    <w:p w14:paraId="7D65C00F" w14:textId="77777777" w:rsidR="000E52B0" w:rsidRDefault="00F60D74">
      <w:pPr>
        <w:pStyle w:val="Textoindependiente"/>
        <w:spacing w:before="160"/>
        <w:ind w:right="716"/>
        <w:jc w:val="both"/>
      </w:pPr>
      <w:r>
        <w:t>Esto también se evidencia en la concentración de los mayores cambios en las</w:t>
      </w:r>
      <w:r>
        <w:rPr>
          <w:spacing w:val="-5"/>
        </w:rPr>
        <w:t xml:space="preserve"> </w:t>
      </w:r>
      <w:r>
        <w:t>precipitaciones,</w:t>
      </w:r>
      <w:r>
        <w:rPr>
          <w:spacing w:val="-1"/>
        </w:rPr>
        <w:t xml:space="preserve"> </w:t>
      </w:r>
      <w:r>
        <w:t>la</w:t>
      </w:r>
      <w:r>
        <w:rPr>
          <w:spacing w:val="-3"/>
        </w:rPr>
        <w:t xml:space="preserve"> </w:t>
      </w:r>
      <w:r>
        <w:t>ilustración 14,</w:t>
      </w:r>
      <w:r>
        <w:rPr>
          <w:spacing w:val="-3"/>
        </w:rPr>
        <w:t xml:space="preserve"> </w:t>
      </w:r>
      <w:r>
        <w:t>en</w:t>
      </w:r>
      <w:r>
        <w:rPr>
          <w:spacing w:val="-1"/>
        </w:rPr>
        <w:t xml:space="preserve"> </w:t>
      </w:r>
      <w:r>
        <w:t>comparación</w:t>
      </w:r>
      <w:r>
        <w:rPr>
          <w:spacing w:val="-1"/>
        </w:rPr>
        <w:t xml:space="preserve"> </w:t>
      </w:r>
      <w:r>
        <w:t>los</w:t>
      </w:r>
      <w:r>
        <w:rPr>
          <w:spacing w:val="-2"/>
        </w:rPr>
        <w:t xml:space="preserve"> </w:t>
      </w:r>
      <w:r>
        <w:t>territorios</w:t>
      </w:r>
      <w:r>
        <w:rPr>
          <w:spacing w:val="-2"/>
        </w:rPr>
        <w:t xml:space="preserve"> étnicos</w:t>
      </w:r>
    </w:p>
    <w:p w14:paraId="4386044C" w14:textId="77777777" w:rsidR="000E52B0" w:rsidRDefault="000E52B0">
      <w:pPr>
        <w:pStyle w:val="Textoindependiente"/>
        <w:jc w:val="both"/>
        <w:sectPr w:rsidR="000E52B0">
          <w:pgSz w:w="11910" w:h="16840"/>
          <w:pgMar w:top="1340" w:right="720" w:bottom="1180" w:left="720" w:header="0" w:footer="995" w:gutter="0"/>
          <w:cols w:space="720"/>
        </w:sectPr>
      </w:pPr>
    </w:p>
    <w:p w14:paraId="075FB366" w14:textId="77777777" w:rsidR="000E52B0" w:rsidRDefault="00F60D74">
      <w:pPr>
        <w:pStyle w:val="Textoindependiente"/>
        <w:spacing w:before="83"/>
        <w:ind w:right="719"/>
        <w:jc w:val="both"/>
      </w:pPr>
      <w:r>
        <w:lastRenderedPageBreak/>
        <w:t>titulados, da cuenta justamente que los mayores cambios se dan en los territorios de la cordillera.</w:t>
      </w:r>
    </w:p>
    <w:p w14:paraId="7D721715" w14:textId="77777777" w:rsidR="000E52B0" w:rsidRDefault="00F60D74">
      <w:pPr>
        <w:spacing w:before="158"/>
        <w:ind w:left="1"/>
        <w:jc w:val="center"/>
        <w:rPr>
          <w:i/>
          <w:sz w:val="18"/>
        </w:rPr>
      </w:pPr>
      <w:r>
        <w:rPr>
          <w:i/>
          <w:color w:val="454551"/>
          <w:sz w:val="18"/>
        </w:rPr>
        <w:t>Ilustración</w:t>
      </w:r>
      <w:r>
        <w:rPr>
          <w:i/>
          <w:color w:val="454551"/>
          <w:spacing w:val="-2"/>
          <w:sz w:val="18"/>
        </w:rPr>
        <w:t xml:space="preserve"> </w:t>
      </w:r>
      <w:r>
        <w:rPr>
          <w:i/>
          <w:color w:val="454551"/>
          <w:sz w:val="18"/>
        </w:rPr>
        <w:t>14.</w:t>
      </w:r>
      <w:r>
        <w:rPr>
          <w:i/>
          <w:color w:val="454551"/>
          <w:spacing w:val="-4"/>
          <w:sz w:val="18"/>
        </w:rPr>
        <w:t xml:space="preserve"> </w:t>
      </w:r>
      <w:r>
        <w:rPr>
          <w:i/>
          <w:color w:val="454551"/>
          <w:sz w:val="18"/>
        </w:rPr>
        <w:t>Cambios</w:t>
      </w:r>
      <w:r>
        <w:rPr>
          <w:i/>
          <w:color w:val="454551"/>
          <w:spacing w:val="-4"/>
          <w:sz w:val="18"/>
        </w:rPr>
        <w:t xml:space="preserve"> </w:t>
      </w:r>
      <w:r>
        <w:rPr>
          <w:i/>
          <w:color w:val="454551"/>
          <w:sz w:val="18"/>
        </w:rPr>
        <w:t>en</w:t>
      </w:r>
      <w:r>
        <w:rPr>
          <w:i/>
          <w:color w:val="454551"/>
          <w:spacing w:val="-4"/>
          <w:sz w:val="18"/>
        </w:rPr>
        <w:t xml:space="preserve"> </w:t>
      </w:r>
      <w:r>
        <w:rPr>
          <w:i/>
          <w:color w:val="454551"/>
          <w:sz w:val="18"/>
        </w:rPr>
        <w:t>la</w:t>
      </w:r>
      <w:r>
        <w:rPr>
          <w:i/>
          <w:color w:val="454551"/>
          <w:spacing w:val="-3"/>
          <w:sz w:val="18"/>
        </w:rPr>
        <w:t xml:space="preserve"> </w:t>
      </w:r>
      <w:r>
        <w:rPr>
          <w:i/>
          <w:color w:val="454551"/>
          <w:sz w:val="18"/>
        </w:rPr>
        <w:t>precipitación</w:t>
      </w:r>
      <w:r>
        <w:rPr>
          <w:i/>
          <w:color w:val="454551"/>
          <w:spacing w:val="-3"/>
          <w:sz w:val="18"/>
        </w:rPr>
        <w:t xml:space="preserve"> </w:t>
      </w:r>
      <w:r>
        <w:rPr>
          <w:i/>
          <w:color w:val="454551"/>
          <w:sz w:val="18"/>
        </w:rPr>
        <w:t>2011 -</w:t>
      </w:r>
      <w:r>
        <w:rPr>
          <w:i/>
          <w:color w:val="454551"/>
          <w:spacing w:val="-3"/>
          <w:sz w:val="18"/>
        </w:rPr>
        <w:t xml:space="preserve"> </w:t>
      </w:r>
      <w:r>
        <w:rPr>
          <w:i/>
          <w:color w:val="454551"/>
          <w:spacing w:val="-4"/>
          <w:sz w:val="18"/>
        </w:rPr>
        <w:t>2040</w:t>
      </w:r>
    </w:p>
    <w:p w14:paraId="1CEC8854" w14:textId="77777777" w:rsidR="000E52B0" w:rsidRDefault="00F60D74">
      <w:pPr>
        <w:pStyle w:val="Textoindependiente"/>
        <w:spacing w:before="47"/>
        <w:ind w:left="0"/>
        <w:rPr>
          <w:i/>
          <w:sz w:val="20"/>
        </w:rPr>
      </w:pPr>
      <w:r>
        <w:rPr>
          <w:i/>
          <w:noProof/>
          <w:sz w:val="20"/>
        </w:rPr>
        <w:drawing>
          <wp:anchor distT="0" distB="0" distL="0" distR="0" simplePos="0" relativeHeight="487601152" behindDoc="1" locked="0" layoutInCell="1" allowOverlap="1" wp14:anchorId="20A36A26" wp14:editId="382C0A93">
            <wp:simplePos x="0" y="0"/>
            <wp:positionH relativeFrom="page">
              <wp:posOffset>1611466</wp:posOffset>
            </wp:positionH>
            <wp:positionV relativeFrom="paragraph">
              <wp:posOffset>199798</wp:posOffset>
            </wp:positionV>
            <wp:extent cx="4459975" cy="5950458"/>
            <wp:effectExtent l="0" t="0" r="0" b="0"/>
            <wp:wrapTopAndBottom/>
            <wp:docPr id="50" name="Image 50" descr="Map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Mapa  Descripción generada automáticamente"/>
                    <pic:cNvPicPr/>
                  </pic:nvPicPr>
                  <pic:blipFill>
                    <a:blip r:embed="rId47" cstate="print"/>
                    <a:stretch>
                      <a:fillRect/>
                    </a:stretch>
                  </pic:blipFill>
                  <pic:spPr>
                    <a:xfrm>
                      <a:off x="0" y="0"/>
                      <a:ext cx="4459975" cy="5950458"/>
                    </a:xfrm>
                    <a:prstGeom prst="rect">
                      <a:avLst/>
                    </a:prstGeom>
                  </pic:spPr>
                </pic:pic>
              </a:graphicData>
            </a:graphic>
          </wp:anchor>
        </w:drawing>
      </w:r>
    </w:p>
    <w:p w14:paraId="3936B032" w14:textId="77777777" w:rsidR="000E52B0" w:rsidRDefault="000E52B0">
      <w:pPr>
        <w:pStyle w:val="Textoindependiente"/>
        <w:ind w:left="0"/>
        <w:rPr>
          <w:i/>
          <w:sz w:val="18"/>
        </w:rPr>
      </w:pPr>
    </w:p>
    <w:p w14:paraId="0212320E" w14:textId="77777777" w:rsidR="000E52B0" w:rsidRDefault="000E52B0">
      <w:pPr>
        <w:pStyle w:val="Textoindependiente"/>
        <w:spacing w:before="18"/>
        <w:ind w:left="0"/>
        <w:rPr>
          <w:i/>
          <w:sz w:val="18"/>
        </w:rPr>
      </w:pPr>
    </w:p>
    <w:p w14:paraId="0F16E5EE" w14:textId="77777777" w:rsidR="000E52B0" w:rsidRDefault="00F60D74">
      <w:pPr>
        <w:pStyle w:val="Textoindependiente"/>
        <w:ind w:right="718"/>
        <w:jc w:val="both"/>
      </w:pPr>
      <w:r>
        <w:t xml:space="preserve">La concentración territorial y sistemática de estas desigualdades es lo que ha llevado a clasificar a algunos </w:t>
      </w:r>
      <w:r>
        <w:rPr>
          <w:b/>
        </w:rPr>
        <w:t>territorios como marginados y excluidos</w:t>
      </w:r>
      <w:r>
        <w:t>. Estos, son los territorios en los que se han focalizado los rezagos históricos o que han tenido escasa o nula inversión pública en infraestructura</w:t>
      </w:r>
      <w:r>
        <w:rPr>
          <w:spacing w:val="-14"/>
        </w:rPr>
        <w:t xml:space="preserve"> </w:t>
      </w:r>
      <w:r>
        <w:t>de</w:t>
      </w:r>
      <w:r>
        <w:rPr>
          <w:spacing w:val="-15"/>
        </w:rPr>
        <w:t xml:space="preserve"> </w:t>
      </w:r>
      <w:r>
        <w:t>servicios</w:t>
      </w:r>
      <w:r>
        <w:rPr>
          <w:spacing w:val="-16"/>
        </w:rPr>
        <w:t xml:space="preserve"> </w:t>
      </w:r>
      <w:r>
        <w:t>públicos,</w:t>
      </w:r>
      <w:r>
        <w:rPr>
          <w:spacing w:val="-15"/>
        </w:rPr>
        <w:t xml:space="preserve"> </w:t>
      </w:r>
      <w:r>
        <w:t>ignorados</w:t>
      </w:r>
      <w:r>
        <w:rPr>
          <w:spacing w:val="-16"/>
        </w:rPr>
        <w:t xml:space="preserve"> </w:t>
      </w:r>
      <w:r>
        <w:t>de</w:t>
      </w:r>
      <w:r>
        <w:rPr>
          <w:spacing w:val="-15"/>
        </w:rPr>
        <w:t xml:space="preserve"> </w:t>
      </w:r>
      <w:r>
        <w:t>la</w:t>
      </w:r>
      <w:r>
        <w:rPr>
          <w:spacing w:val="-14"/>
        </w:rPr>
        <w:t xml:space="preserve"> </w:t>
      </w:r>
      <w:r>
        <w:t>narrativa</w:t>
      </w:r>
      <w:r>
        <w:rPr>
          <w:spacing w:val="-16"/>
        </w:rPr>
        <w:t xml:space="preserve"> </w:t>
      </w:r>
      <w:r>
        <w:t>y</w:t>
      </w:r>
      <w:r>
        <w:rPr>
          <w:spacing w:val="-14"/>
        </w:rPr>
        <w:t xml:space="preserve"> </w:t>
      </w:r>
      <w:r>
        <w:t>castigados en la distribución nacional de recursos, con barreras materiales generalizadas de acceso a derechos fundamentales vinculados a la vida, donde la vocación productiva y los usos y acciones de uso del suelo han sido</w:t>
      </w:r>
      <w:r>
        <w:rPr>
          <w:spacing w:val="-11"/>
        </w:rPr>
        <w:t xml:space="preserve"> </w:t>
      </w:r>
      <w:r>
        <w:t>impuestos</w:t>
      </w:r>
      <w:r>
        <w:rPr>
          <w:spacing w:val="-9"/>
        </w:rPr>
        <w:t xml:space="preserve"> </w:t>
      </w:r>
      <w:r>
        <w:t>desde</w:t>
      </w:r>
      <w:r>
        <w:rPr>
          <w:spacing w:val="-10"/>
        </w:rPr>
        <w:t xml:space="preserve"> </w:t>
      </w:r>
      <w:r>
        <w:t>el</w:t>
      </w:r>
      <w:r>
        <w:rPr>
          <w:spacing w:val="-12"/>
        </w:rPr>
        <w:t xml:space="preserve"> </w:t>
      </w:r>
      <w:r>
        <w:t>orden</w:t>
      </w:r>
      <w:r>
        <w:rPr>
          <w:spacing w:val="-12"/>
        </w:rPr>
        <w:t xml:space="preserve"> </w:t>
      </w:r>
      <w:r>
        <w:t>central,</w:t>
      </w:r>
      <w:r>
        <w:rPr>
          <w:spacing w:val="-10"/>
        </w:rPr>
        <w:t xml:space="preserve"> </w:t>
      </w:r>
      <w:r>
        <w:t>con</w:t>
      </w:r>
      <w:r>
        <w:rPr>
          <w:spacing w:val="-12"/>
        </w:rPr>
        <w:t xml:space="preserve"> </w:t>
      </w:r>
      <w:r>
        <w:t>limitada</w:t>
      </w:r>
      <w:r>
        <w:rPr>
          <w:spacing w:val="-11"/>
        </w:rPr>
        <w:t xml:space="preserve"> </w:t>
      </w:r>
      <w:r>
        <w:t>o</w:t>
      </w:r>
      <w:r>
        <w:rPr>
          <w:spacing w:val="-8"/>
        </w:rPr>
        <w:t xml:space="preserve"> </w:t>
      </w:r>
      <w:r>
        <w:t>inexistente</w:t>
      </w:r>
      <w:r>
        <w:rPr>
          <w:spacing w:val="-10"/>
        </w:rPr>
        <w:t xml:space="preserve"> </w:t>
      </w:r>
      <w:r>
        <w:t>presencia</w:t>
      </w:r>
    </w:p>
    <w:p w14:paraId="7C7FA0B2" w14:textId="77777777" w:rsidR="000E52B0" w:rsidRDefault="000E52B0">
      <w:pPr>
        <w:pStyle w:val="Textoindependiente"/>
        <w:jc w:val="both"/>
        <w:sectPr w:rsidR="000E52B0">
          <w:pgSz w:w="11910" w:h="16840"/>
          <w:pgMar w:top="1340" w:right="720" w:bottom="1180" w:left="720" w:header="0" w:footer="995" w:gutter="0"/>
          <w:cols w:space="720"/>
        </w:sectPr>
      </w:pPr>
    </w:p>
    <w:p w14:paraId="4744B736" w14:textId="77777777" w:rsidR="000E52B0" w:rsidRDefault="00F60D74">
      <w:pPr>
        <w:pStyle w:val="Textoindependiente"/>
        <w:spacing w:before="83"/>
        <w:ind w:right="726"/>
        <w:jc w:val="both"/>
      </w:pPr>
      <w:r>
        <w:lastRenderedPageBreak/>
        <w:t xml:space="preserve">y capacidad del Estado civil y habitados por poblaciones discriminadas </w:t>
      </w:r>
      <w:r>
        <w:rPr>
          <w:spacing w:val="-2"/>
        </w:rPr>
        <w:t>históricamente.</w:t>
      </w:r>
    </w:p>
    <w:p w14:paraId="323577D9" w14:textId="7F93E77B" w:rsidR="000E52B0" w:rsidRDefault="00F60D74">
      <w:pPr>
        <w:pStyle w:val="Textoindependiente"/>
        <w:spacing w:before="158"/>
        <w:ind w:right="714"/>
        <w:jc w:val="both"/>
      </w:pPr>
      <w:r>
        <w:t xml:space="preserve">Esto es resultado de al menos dos dimensiones, por un lado, la </w:t>
      </w:r>
      <w:r>
        <w:rPr>
          <w:b/>
        </w:rPr>
        <w:t xml:space="preserve">marginación histórica </w:t>
      </w:r>
      <w:r>
        <w:t xml:space="preserve">y por el otro, la </w:t>
      </w:r>
      <w:r>
        <w:rPr>
          <w:b/>
        </w:rPr>
        <w:t>política social inadecuada</w:t>
      </w:r>
      <w:r>
        <w:t>. Respecto a la marginación histórica, el interés económico que marcó las transiciones sociales e impuso el ordenamiento del territorio basado en economías</w:t>
      </w:r>
      <w:r>
        <w:rPr>
          <w:spacing w:val="-5"/>
        </w:rPr>
        <w:t xml:space="preserve"> </w:t>
      </w:r>
      <w:r>
        <w:t>primarias</w:t>
      </w:r>
      <w:r>
        <w:rPr>
          <w:spacing w:val="-5"/>
        </w:rPr>
        <w:t xml:space="preserve"> </w:t>
      </w:r>
      <w:r>
        <w:t>de</w:t>
      </w:r>
      <w:r>
        <w:rPr>
          <w:spacing w:val="-4"/>
        </w:rPr>
        <w:t xml:space="preserve"> </w:t>
      </w:r>
      <w:r w:rsidR="00203383">
        <w:t>extracción</w:t>
      </w:r>
      <w:r>
        <w:t>,</w:t>
      </w:r>
      <w:r>
        <w:rPr>
          <w:spacing w:val="-4"/>
        </w:rPr>
        <w:t xml:space="preserve"> </w:t>
      </w:r>
      <w:r>
        <w:t>tuvo</w:t>
      </w:r>
      <w:r>
        <w:rPr>
          <w:spacing w:val="-2"/>
        </w:rPr>
        <w:t xml:space="preserve"> </w:t>
      </w:r>
      <w:r>
        <w:t>lugar</w:t>
      </w:r>
      <w:r>
        <w:rPr>
          <w:spacing w:val="-2"/>
        </w:rPr>
        <w:t xml:space="preserve"> </w:t>
      </w:r>
      <w:r>
        <w:t>gracias</w:t>
      </w:r>
      <w:r>
        <w:rPr>
          <w:spacing w:val="-5"/>
        </w:rPr>
        <w:t xml:space="preserve"> </w:t>
      </w:r>
      <w:r>
        <w:t>al</w:t>
      </w:r>
      <w:r>
        <w:rPr>
          <w:spacing w:val="-6"/>
        </w:rPr>
        <w:t xml:space="preserve"> </w:t>
      </w:r>
      <w:r>
        <w:t>desmantelamiento de</w:t>
      </w:r>
      <w:r>
        <w:rPr>
          <w:spacing w:val="-8"/>
        </w:rPr>
        <w:t xml:space="preserve"> </w:t>
      </w:r>
      <w:r>
        <w:t>las</w:t>
      </w:r>
      <w:r>
        <w:rPr>
          <w:spacing w:val="-9"/>
        </w:rPr>
        <w:t xml:space="preserve"> </w:t>
      </w:r>
      <w:r>
        <w:t>formas</w:t>
      </w:r>
      <w:r>
        <w:rPr>
          <w:spacing w:val="-9"/>
        </w:rPr>
        <w:t xml:space="preserve"> </w:t>
      </w:r>
      <w:r>
        <w:t>de</w:t>
      </w:r>
      <w:r>
        <w:rPr>
          <w:spacing w:val="-8"/>
        </w:rPr>
        <w:t xml:space="preserve"> </w:t>
      </w:r>
      <w:r>
        <w:t>organización</w:t>
      </w:r>
      <w:r>
        <w:rPr>
          <w:spacing w:val="-9"/>
        </w:rPr>
        <w:t xml:space="preserve"> </w:t>
      </w:r>
      <w:r>
        <w:t>originarias</w:t>
      </w:r>
      <w:r>
        <w:rPr>
          <w:spacing w:val="-9"/>
        </w:rPr>
        <w:t xml:space="preserve"> </w:t>
      </w:r>
      <w:r>
        <w:t>y</w:t>
      </w:r>
      <w:r>
        <w:rPr>
          <w:spacing w:val="-9"/>
        </w:rPr>
        <w:t xml:space="preserve"> </w:t>
      </w:r>
      <w:r>
        <w:t>la</w:t>
      </w:r>
      <w:r>
        <w:rPr>
          <w:spacing w:val="-9"/>
        </w:rPr>
        <w:t xml:space="preserve"> </w:t>
      </w:r>
      <w:r>
        <w:t>resignificación</w:t>
      </w:r>
      <w:r>
        <w:rPr>
          <w:spacing w:val="-9"/>
        </w:rPr>
        <w:t xml:space="preserve"> </w:t>
      </w:r>
      <w:r>
        <w:t>del</w:t>
      </w:r>
      <w:r>
        <w:rPr>
          <w:spacing w:val="-10"/>
        </w:rPr>
        <w:t xml:space="preserve"> </w:t>
      </w:r>
      <w:r>
        <w:t>territorio</w:t>
      </w:r>
      <w:r>
        <w:rPr>
          <w:spacing w:val="-8"/>
        </w:rPr>
        <w:t xml:space="preserve"> </w:t>
      </w:r>
      <w:r>
        <w:t>y su valor, pasando del aprovechamiento a la explotación de sus recursos.</w:t>
      </w:r>
    </w:p>
    <w:p w14:paraId="48438285" w14:textId="77777777" w:rsidR="000E52B0" w:rsidRDefault="00F60D74">
      <w:pPr>
        <w:pStyle w:val="Textoindependiente"/>
        <w:spacing w:before="161"/>
        <w:ind w:right="717"/>
        <w:jc w:val="both"/>
      </w:pPr>
      <w:r>
        <w:t>De esta manera, los resguardos indígenas, los palenques de africanos fugitivos y las parcelas del naciente campesinado mestizo se vieron afectados por la expedición de normas que priorizaron los intereses latifundistas y fomentaron procesos de acaparamiento y despojo de territorios; situación que se mantuvo con la independencia y el establecimiento de la república, en la cual se buscó la unificación de la identidad nacional a partir de reformas liberales que terminaron por desconocer</w:t>
      </w:r>
      <w:r>
        <w:rPr>
          <w:spacing w:val="-3"/>
        </w:rPr>
        <w:t xml:space="preserve"> </w:t>
      </w:r>
      <w:r>
        <w:t>el</w:t>
      </w:r>
      <w:r>
        <w:rPr>
          <w:spacing w:val="-5"/>
        </w:rPr>
        <w:t xml:space="preserve"> </w:t>
      </w:r>
      <w:r>
        <w:t>carácter</w:t>
      </w:r>
      <w:r>
        <w:rPr>
          <w:spacing w:val="-3"/>
        </w:rPr>
        <w:t xml:space="preserve"> </w:t>
      </w:r>
      <w:r>
        <w:t>colectivo</w:t>
      </w:r>
      <w:r>
        <w:rPr>
          <w:spacing w:val="-3"/>
        </w:rPr>
        <w:t xml:space="preserve"> </w:t>
      </w:r>
      <w:r>
        <w:t>de</w:t>
      </w:r>
      <w:r>
        <w:rPr>
          <w:spacing w:val="-3"/>
        </w:rPr>
        <w:t xml:space="preserve"> </w:t>
      </w:r>
      <w:r>
        <w:t>los</w:t>
      </w:r>
      <w:r>
        <w:rPr>
          <w:spacing w:val="-2"/>
        </w:rPr>
        <w:t xml:space="preserve"> </w:t>
      </w:r>
      <w:r>
        <w:t>territorios</w:t>
      </w:r>
      <w:r>
        <w:rPr>
          <w:spacing w:val="-4"/>
        </w:rPr>
        <w:t xml:space="preserve"> </w:t>
      </w:r>
      <w:r>
        <w:t>étnicos</w:t>
      </w:r>
      <w:r>
        <w:rPr>
          <w:spacing w:val="-4"/>
        </w:rPr>
        <w:t xml:space="preserve"> </w:t>
      </w:r>
      <w:r>
        <w:t>y</w:t>
      </w:r>
      <w:r>
        <w:rPr>
          <w:spacing w:val="-2"/>
        </w:rPr>
        <w:t xml:space="preserve"> </w:t>
      </w:r>
      <w:r>
        <w:t>el</w:t>
      </w:r>
      <w:r>
        <w:rPr>
          <w:spacing w:val="-5"/>
        </w:rPr>
        <w:t xml:space="preserve"> </w:t>
      </w:r>
      <w:r>
        <w:t>desmonte</w:t>
      </w:r>
      <w:r>
        <w:rPr>
          <w:spacing w:val="-3"/>
        </w:rPr>
        <w:t xml:space="preserve"> </w:t>
      </w:r>
      <w:r>
        <w:t>de los mismos a partir de la titulación individual, al tiempo que configuró el concepto de “baldíos” para denominar los territorios sin posesión de particulares con el objetivo de regular su uso y adjudicación.</w:t>
      </w:r>
    </w:p>
    <w:p w14:paraId="60F2F51E" w14:textId="77777777" w:rsidR="000E52B0" w:rsidRDefault="00F60D74">
      <w:pPr>
        <w:pStyle w:val="Textoindependiente"/>
        <w:spacing w:before="160"/>
        <w:ind w:right="719"/>
        <w:jc w:val="both"/>
      </w:pPr>
      <w:r>
        <w:t>Así,</w:t>
      </w:r>
      <w:r>
        <w:rPr>
          <w:spacing w:val="-7"/>
        </w:rPr>
        <w:t xml:space="preserve"> </w:t>
      </w:r>
      <w:r>
        <w:t>el</w:t>
      </w:r>
      <w:r>
        <w:rPr>
          <w:spacing w:val="-5"/>
        </w:rPr>
        <w:t xml:space="preserve"> </w:t>
      </w:r>
      <w:r>
        <w:t>territorio</w:t>
      </w:r>
      <w:r>
        <w:rPr>
          <w:spacing w:val="-6"/>
        </w:rPr>
        <w:t xml:space="preserve"> </w:t>
      </w:r>
      <w:r>
        <w:t>se</w:t>
      </w:r>
      <w:r>
        <w:rPr>
          <w:spacing w:val="-5"/>
        </w:rPr>
        <w:t xml:space="preserve"> </w:t>
      </w:r>
      <w:r>
        <w:t>definió</w:t>
      </w:r>
      <w:r>
        <w:rPr>
          <w:spacing w:val="-6"/>
        </w:rPr>
        <w:t xml:space="preserve"> </w:t>
      </w:r>
      <w:r>
        <w:t>de</w:t>
      </w:r>
      <w:r>
        <w:rPr>
          <w:spacing w:val="-5"/>
        </w:rPr>
        <w:t xml:space="preserve"> </w:t>
      </w:r>
      <w:r>
        <w:t>acuerdo</w:t>
      </w:r>
      <w:r>
        <w:rPr>
          <w:spacing w:val="-6"/>
        </w:rPr>
        <w:t xml:space="preserve"> </w:t>
      </w:r>
      <w:r>
        <w:t>con</w:t>
      </w:r>
      <w:r>
        <w:rPr>
          <w:spacing w:val="-7"/>
        </w:rPr>
        <w:t xml:space="preserve"> </w:t>
      </w:r>
      <w:r>
        <w:t>la</w:t>
      </w:r>
      <w:r>
        <w:rPr>
          <w:spacing w:val="-7"/>
        </w:rPr>
        <w:t xml:space="preserve"> </w:t>
      </w:r>
      <w:r>
        <w:t>función</w:t>
      </w:r>
      <w:r>
        <w:rPr>
          <w:spacing w:val="-7"/>
        </w:rPr>
        <w:t xml:space="preserve"> </w:t>
      </w:r>
      <w:r>
        <w:t>económica</w:t>
      </w:r>
      <w:r>
        <w:rPr>
          <w:spacing w:val="-7"/>
        </w:rPr>
        <w:t xml:space="preserve"> </w:t>
      </w:r>
      <w:r>
        <w:t>asignada</w:t>
      </w:r>
      <w:r>
        <w:rPr>
          <w:spacing w:val="-6"/>
        </w:rPr>
        <w:t xml:space="preserve"> </w:t>
      </w:r>
      <w:r>
        <w:t>y se</w:t>
      </w:r>
      <w:r>
        <w:rPr>
          <w:spacing w:val="-5"/>
        </w:rPr>
        <w:t xml:space="preserve"> </w:t>
      </w:r>
      <w:r>
        <w:t>convirtió</w:t>
      </w:r>
      <w:r>
        <w:rPr>
          <w:spacing w:val="-6"/>
        </w:rPr>
        <w:t xml:space="preserve"> </w:t>
      </w:r>
      <w:r>
        <w:t>en</w:t>
      </w:r>
      <w:r>
        <w:rPr>
          <w:spacing w:val="-7"/>
        </w:rPr>
        <w:t xml:space="preserve"> </w:t>
      </w:r>
      <w:r>
        <w:t>elemento</w:t>
      </w:r>
      <w:r>
        <w:rPr>
          <w:spacing w:val="-6"/>
        </w:rPr>
        <w:t xml:space="preserve"> </w:t>
      </w:r>
      <w:r>
        <w:t>decisivo</w:t>
      </w:r>
      <w:r>
        <w:rPr>
          <w:spacing w:val="-6"/>
        </w:rPr>
        <w:t xml:space="preserve"> </w:t>
      </w:r>
      <w:r>
        <w:t>de</w:t>
      </w:r>
      <w:r>
        <w:rPr>
          <w:spacing w:val="-5"/>
        </w:rPr>
        <w:t xml:space="preserve"> </w:t>
      </w:r>
      <w:r>
        <w:t>posición</w:t>
      </w:r>
      <w:r>
        <w:rPr>
          <w:spacing w:val="-7"/>
        </w:rPr>
        <w:t xml:space="preserve"> </w:t>
      </w:r>
      <w:r>
        <w:t>social</w:t>
      </w:r>
      <w:r>
        <w:rPr>
          <w:spacing w:val="-7"/>
        </w:rPr>
        <w:t xml:space="preserve"> </w:t>
      </w:r>
      <w:r>
        <w:t>en</w:t>
      </w:r>
      <w:r>
        <w:rPr>
          <w:spacing w:val="-7"/>
        </w:rPr>
        <w:t xml:space="preserve"> </w:t>
      </w:r>
      <w:r>
        <w:t>concordancia</w:t>
      </w:r>
      <w:r>
        <w:rPr>
          <w:spacing w:val="-6"/>
        </w:rPr>
        <w:t xml:space="preserve"> </w:t>
      </w:r>
      <w:r>
        <w:t>con</w:t>
      </w:r>
      <w:r>
        <w:rPr>
          <w:spacing w:val="-6"/>
        </w:rPr>
        <w:t xml:space="preserve"> </w:t>
      </w:r>
      <w:r>
        <w:t>la ubicación</w:t>
      </w:r>
      <w:r>
        <w:rPr>
          <w:spacing w:val="-9"/>
        </w:rPr>
        <w:t xml:space="preserve"> </w:t>
      </w:r>
      <w:r>
        <w:t>en</w:t>
      </w:r>
      <w:r>
        <w:rPr>
          <w:spacing w:val="-9"/>
        </w:rPr>
        <w:t xml:space="preserve"> </w:t>
      </w:r>
      <w:r>
        <w:t>función</w:t>
      </w:r>
      <w:r>
        <w:rPr>
          <w:spacing w:val="-7"/>
        </w:rPr>
        <w:t xml:space="preserve"> </w:t>
      </w:r>
      <w:r>
        <w:t>de</w:t>
      </w:r>
      <w:r>
        <w:rPr>
          <w:spacing w:val="-8"/>
        </w:rPr>
        <w:t xml:space="preserve"> </w:t>
      </w:r>
      <w:r>
        <w:t>los</w:t>
      </w:r>
      <w:r>
        <w:rPr>
          <w:spacing w:val="-9"/>
        </w:rPr>
        <w:t xml:space="preserve"> </w:t>
      </w:r>
      <w:r>
        <w:t>centros</w:t>
      </w:r>
      <w:r>
        <w:rPr>
          <w:spacing w:val="-9"/>
        </w:rPr>
        <w:t xml:space="preserve"> </w:t>
      </w:r>
      <w:r>
        <w:t>económicos</w:t>
      </w:r>
      <w:r>
        <w:rPr>
          <w:spacing w:val="-8"/>
        </w:rPr>
        <w:t xml:space="preserve"> </w:t>
      </w:r>
      <w:r>
        <w:t>y</w:t>
      </w:r>
      <w:r>
        <w:rPr>
          <w:spacing w:val="-9"/>
        </w:rPr>
        <w:t xml:space="preserve"> </w:t>
      </w:r>
      <w:r>
        <w:t>políticos</w:t>
      </w:r>
      <w:r>
        <w:rPr>
          <w:spacing w:val="-9"/>
        </w:rPr>
        <w:t xml:space="preserve"> </w:t>
      </w:r>
      <w:r>
        <w:t>en</w:t>
      </w:r>
      <w:r>
        <w:rPr>
          <w:spacing w:val="-9"/>
        </w:rPr>
        <w:t xml:space="preserve"> </w:t>
      </w:r>
      <w:r>
        <w:t>una</w:t>
      </w:r>
      <w:r>
        <w:rPr>
          <w:spacing w:val="-9"/>
        </w:rPr>
        <w:t xml:space="preserve"> </w:t>
      </w:r>
      <w:r>
        <w:t>lógica</w:t>
      </w:r>
      <w:r>
        <w:rPr>
          <w:spacing w:val="-9"/>
        </w:rPr>
        <w:t xml:space="preserve"> </w:t>
      </w:r>
      <w:r>
        <w:t>de centro-periferia, por lo cual también fue decisivo en la distribución de bienes y recursos por parte del Estado que se enfocó en favorecer los intereses de los poderes económicos cimentando y reproduciendo las brechas sociales que han caracterizado el espectro socioeconómico de Colombia y que se mantienen hasta la actualidad.</w:t>
      </w:r>
    </w:p>
    <w:p w14:paraId="63B260B4" w14:textId="77777777" w:rsidR="000E52B0" w:rsidRDefault="00F60D74">
      <w:pPr>
        <w:pStyle w:val="Textoindependiente"/>
        <w:spacing w:before="240"/>
        <w:ind w:right="720"/>
        <w:jc w:val="both"/>
      </w:pPr>
      <w:r>
        <w:t>Por otra parte, la instrumentalización de la normatividad social se llevó a cabo a través de la eliminación de la pobreza y la desigualdad como bandera política. A partir de esto, los intereses políticos y económicos fundamentaron la necesidad de acelerar el desarrollo económico e industrial del país que terminó profundizando las desigualdades económicas. En la actualidad estas brechas se mantienen y parecen más profundas, además de que se siguen generando condiciones para la reproducción de la vulnerabilidad, la marginación y la exclusión social.</w:t>
      </w:r>
    </w:p>
    <w:p w14:paraId="4D34CD4E" w14:textId="77777777" w:rsidR="000E52B0" w:rsidRDefault="00F60D74">
      <w:pPr>
        <w:pStyle w:val="Ttulo2"/>
        <w:spacing w:before="241"/>
      </w:pPr>
      <w:bookmarkStart w:id="13" w:name="_bookmark13"/>
      <w:bookmarkEnd w:id="13"/>
      <w:r>
        <w:rPr>
          <w:color w:val="B3176C"/>
        </w:rPr>
        <w:t>Desigualdades</w:t>
      </w:r>
      <w:r>
        <w:rPr>
          <w:color w:val="B3176C"/>
          <w:spacing w:val="-21"/>
        </w:rPr>
        <w:t xml:space="preserve"> </w:t>
      </w:r>
      <w:r>
        <w:rPr>
          <w:color w:val="B3176C"/>
          <w:spacing w:val="-2"/>
        </w:rPr>
        <w:t>Poblacionales</w:t>
      </w:r>
    </w:p>
    <w:p w14:paraId="7DB50319" w14:textId="77777777" w:rsidR="000E52B0" w:rsidRDefault="00F60D74">
      <w:pPr>
        <w:pStyle w:val="Textoindependiente"/>
        <w:spacing w:before="239"/>
        <w:ind w:right="715"/>
        <w:jc w:val="both"/>
      </w:pPr>
      <w:r>
        <w:t>Las</w:t>
      </w:r>
      <w:r>
        <w:rPr>
          <w:spacing w:val="-10"/>
        </w:rPr>
        <w:t xml:space="preserve"> </w:t>
      </w:r>
      <w:r>
        <w:t>brechas</w:t>
      </w:r>
      <w:r>
        <w:rPr>
          <w:spacing w:val="-10"/>
        </w:rPr>
        <w:t xml:space="preserve"> </w:t>
      </w:r>
      <w:r>
        <w:t>poblacionales</w:t>
      </w:r>
      <w:r>
        <w:rPr>
          <w:spacing w:val="-10"/>
        </w:rPr>
        <w:t xml:space="preserve"> </w:t>
      </w:r>
      <w:r>
        <w:t>en</w:t>
      </w:r>
      <w:r>
        <w:rPr>
          <w:spacing w:val="-10"/>
        </w:rPr>
        <w:t xml:space="preserve"> </w:t>
      </w:r>
      <w:r>
        <w:t>Colombia</w:t>
      </w:r>
      <w:r>
        <w:rPr>
          <w:spacing w:val="-8"/>
        </w:rPr>
        <w:t xml:space="preserve"> </w:t>
      </w:r>
      <w:r>
        <w:t>son</w:t>
      </w:r>
      <w:r>
        <w:rPr>
          <w:spacing w:val="-10"/>
        </w:rPr>
        <w:t xml:space="preserve"> </w:t>
      </w:r>
      <w:r>
        <w:t>consecuencia</w:t>
      </w:r>
      <w:r>
        <w:rPr>
          <w:spacing w:val="-10"/>
        </w:rPr>
        <w:t xml:space="preserve"> </w:t>
      </w:r>
      <w:r>
        <w:t>de</w:t>
      </w:r>
      <w:r>
        <w:rPr>
          <w:spacing w:val="-9"/>
        </w:rPr>
        <w:t xml:space="preserve"> </w:t>
      </w:r>
      <w:r>
        <w:t xml:space="preserve">desigualdades e inequidades históricas e intergeneracionales. Cerrar las brechas de desigualdad poblacional implica i) el reconocimiento de estas, </w:t>
      </w:r>
      <w:proofErr w:type="spellStart"/>
      <w:r>
        <w:t>ii</w:t>
      </w:r>
      <w:proofErr w:type="spellEnd"/>
      <w:r>
        <w:t>) el diseño de políticas orientadas al</w:t>
      </w:r>
      <w:r>
        <w:rPr>
          <w:spacing w:val="-1"/>
        </w:rPr>
        <w:t xml:space="preserve"> </w:t>
      </w:r>
      <w:r>
        <w:t>cierre de</w:t>
      </w:r>
      <w:r>
        <w:rPr>
          <w:spacing w:val="-1"/>
        </w:rPr>
        <w:t xml:space="preserve"> </w:t>
      </w:r>
      <w:r>
        <w:t>esas</w:t>
      </w:r>
      <w:r>
        <w:rPr>
          <w:spacing w:val="-2"/>
        </w:rPr>
        <w:t xml:space="preserve"> </w:t>
      </w:r>
      <w:r>
        <w:t>brechas,</w:t>
      </w:r>
      <w:r>
        <w:rPr>
          <w:spacing w:val="-1"/>
        </w:rPr>
        <w:t xml:space="preserve"> </w:t>
      </w:r>
      <w:r>
        <w:t xml:space="preserve">y </w:t>
      </w:r>
      <w:proofErr w:type="spellStart"/>
      <w:r>
        <w:t>iii</w:t>
      </w:r>
      <w:proofErr w:type="spellEnd"/>
      <w:r>
        <w:t xml:space="preserve">) la superación de las desigualdades estructurales a través de una respuesta institucional </w:t>
      </w:r>
      <w:r>
        <w:rPr>
          <w:spacing w:val="-2"/>
        </w:rPr>
        <w:t>equitativa.</w:t>
      </w:r>
    </w:p>
    <w:p w14:paraId="2444C727" w14:textId="77777777" w:rsidR="000E52B0" w:rsidRDefault="000E52B0">
      <w:pPr>
        <w:pStyle w:val="Textoindependiente"/>
        <w:jc w:val="both"/>
        <w:sectPr w:rsidR="000E52B0">
          <w:pgSz w:w="11910" w:h="16840"/>
          <w:pgMar w:top="1340" w:right="720" w:bottom="1180" w:left="720" w:header="0" w:footer="995" w:gutter="0"/>
          <w:cols w:space="720"/>
        </w:sectPr>
      </w:pPr>
    </w:p>
    <w:p w14:paraId="7D98DA63" w14:textId="799E0B4B" w:rsidR="000E52B0" w:rsidRDefault="00F60D74">
      <w:pPr>
        <w:pStyle w:val="Textoindependiente"/>
        <w:spacing w:before="83"/>
        <w:ind w:right="714"/>
        <w:jc w:val="both"/>
      </w:pPr>
      <w:r>
        <w:lastRenderedPageBreak/>
        <w:t>En Colombia, - como en la mayoría de los países del mundo- estas desigualdades están marcadas por los mecanismos a través de los que operan</w:t>
      </w:r>
      <w:r>
        <w:rPr>
          <w:spacing w:val="-21"/>
        </w:rPr>
        <w:t xml:space="preserve"> </w:t>
      </w:r>
      <w:r>
        <w:t>los</w:t>
      </w:r>
      <w:r>
        <w:rPr>
          <w:spacing w:val="-21"/>
        </w:rPr>
        <w:t xml:space="preserve"> </w:t>
      </w:r>
      <w:r>
        <w:t>sistemas</w:t>
      </w:r>
      <w:r>
        <w:rPr>
          <w:spacing w:val="-19"/>
        </w:rPr>
        <w:t xml:space="preserve"> </w:t>
      </w:r>
      <w:r>
        <w:t>de</w:t>
      </w:r>
      <w:r>
        <w:rPr>
          <w:spacing w:val="-20"/>
        </w:rPr>
        <w:t xml:space="preserve"> </w:t>
      </w:r>
      <w:r>
        <w:t>discriminación,</w:t>
      </w:r>
      <w:r>
        <w:rPr>
          <w:spacing w:val="-19"/>
        </w:rPr>
        <w:t xml:space="preserve"> </w:t>
      </w:r>
      <w:r>
        <w:t>y</w:t>
      </w:r>
      <w:r>
        <w:rPr>
          <w:spacing w:val="-17"/>
        </w:rPr>
        <w:t xml:space="preserve"> </w:t>
      </w:r>
      <w:r>
        <w:t>la</w:t>
      </w:r>
      <w:r>
        <w:rPr>
          <w:spacing w:val="-21"/>
        </w:rPr>
        <w:t xml:space="preserve"> </w:t>
      </w:r>
      <w:r>
        <w:t>comprensión</w:t>
      </w:r>
      <w:r>
        <w:rPr>
          <w:spacing w:val="-19"/>
        </w:rPr>
        <w:t xml:space="preserve"> </w:t>
      </w:r>
      <w:r>
        <w:t>de</w:t>
      </w:r>
      <w:r>
        <w:rPr>
          <w:spacing w:val="-17"/>
        </w:rPr>
        <w:t xml:space="preserve"> </w:t>
      </w:r>
      <w:r>
        <w:t>la</w:t>
      </w:r>
      <w:r>
        <w:rPr>
          <w:spacing w:val="-21"/>
        </w:rPr>
        <w:t xml:space="preserve"> </w:t>
      </w:r>
      <w:r>
        <w:t>indivisibilidad de los sujetos de derechos humano, implica entonces reconocer que esas desigualdades se exacerban en la medida que se imbrican diferentes sistemas</w:t>
      </w:r>
      <w:r>
        <w:rPr>
          <w:spacing w:val="-22"/>
        </w:rPr>
        <w:t xml:space="preserve"> </w:t>
      </w:r>
      <w:r>
        <w:t>de</w:t>
      </w:r>
      <w:r>
        <w:rPr>
          <w:spacing w:val="-21"/>
        </w:rPr>
        <w:t xml:space="preserve"> </w:t>
      </w:r>
      <w:r>
        <w:t>opresión</w:t>
      </w:r>
      <w:r>
        <w:rPr>
          <w:spacing w:val="-21"/>
        </w:rPr>
        <w:t xml:space="preserve"> </w:t>
      </w:r>
      <w:r>
        <w:t>en</w:t>
      </w:r>
      <w:r>
        <w:rPr>
          <w:spacing w:val="-21"/>
        </w:rPr>
        <w:t xml:space="preserve"> </w:t>
      </w:r>
      <w:r>
        <w:t>los</w:t>
      </w:r>
      <w:r>
        <w:rPr>
          <w:spacing w:val="-21"/>
        </w:rPr>
        <w:t xml:space="preserve"> </w:t>
      </w:r>
      <w:r>
        <w:t>cuerpos</w:t>
      </w:r>
      <w:r>
        <w:rPr>
          <w:spacing w:val="-21"/>
        </w:rPr>
        <w:t xml:space="preserve"> </w:t>
      </w:r>
      <w:r>
        <w:t>y</w:t>
      </w:r>
      <w:r>
        <w:rPr>
          <w:spacing w:val="-21"/>
        </w:rPr>
        <w:t xml:space="preserve"> </w:t>
      </w:r>
      <w:r>
        <w:t>las</w:t>
      </w:r>
      <w:r>
        <w:rPr>
          <w:spacing w:val="-21"/>
        </w:rPr>
        <w:t xml:space="preserve"> </w:t>
      </w:r>
      <w:r>
        <w:t>vidas</w:t>
      </w:r>
      <w:r>
        <w:rPr>
          <w:spacing w:val="-21"/>
        </w:rPr>
        <w:t xml:space="preserve"> </w:t>
      </w:r>
      <w:r>
        <w:t>de</w:t>
      </w:r>
      <w:r>
        <w:rPr>
          <w:spacing w:val="-21"/>
        </w:rPr>
        <w:t xml:space="preserve"> </w:t>
      </w:r>
      <w:r>
        <w:t>las</w:t>
      </w:r>
      <w:r>
        <w:rPr>
          <w:spacing w:val="-22"/>
        </w:rPr>
        <w:t xml:space="preserve"> </w:t>
      </w:r>
      <w:r>
        <w:t>mujeres,</w:t>
      </w:r>
      <w:r>
        <w:rPr>
          <w:spacing w:val="-21"/>
        </w:rPr>
        <w:t xml:space="preserve"> </w:t>
      </w:r>
      <w:r>
        <w:t>las</w:t>
      </w:r>
      <w:r>
        <w:rPr>
          <w:spacing w:val="-21"/>
        </w:rPr>
        <w:t xml:space="preserve"> </w:t>
      </w:r>
      <w:r>
        <w:t>personas indígenas,</w:t>
      </w:r>
      <w:r>
        <w:rPr>
          <w:spacing w:val="-1"/>
        </w:rPr>
        <w:t xml:space="preserve"> </w:t>
      </w:r>
      <w:r>
        <w:t>raizales, afrodescendientes, palenqueras, rom</w:t>
      </w:r>
      <w:r>
        <w:rPr>
          <w:spacing w:val="-2"/>
        </w:rPr>
        <w:t xml:space="preserve"> </w:t>
      </w:r>
      <w:r>
        <w:t>y</w:t>
      </w:r>
      <w:r>
        <w:rPr>
          <w:spacing w:val="-2"/>
        </w:rPr>
        <w:t xml:space="preserve"> </w:t>
      </w:r>
      <w:r>
        <w:t>en</w:t>
      </w:r>
      <w:r>
        <w:rPr>
          <w:spacing w:val="-2"/>
        </w:rPr>
        <w:t xml:space="preserve"> </w:t>
      </w:r>
      <w:r>
        <w:t>general las personas</w:t>
      </w:r>
      <w:r>
        <w:rPr>
          <w:spacing w:val="-17"/>
        </w:rPr>
        <w:t xml:space="preserve"> </w:t>
      </w:r>
      <w:r>
        <w:t>racializadas,</w:t>
      </w:r>
      <w:r>
        <w:rPr>
          <w:spacing w:val="-17"/>
        </w:rPr>
        <w:t xml:space="preserve"> </w:t>
      </w:r>
      <w:r>
        <w:t>las</w:t>
      </w:r>
      <w:r>
        <w:rPr>
          <w:spacing w:val="-17"/>
        </w:rPr>
        <w:t xml:space="preserve"> </w:t>
      </w:r>
      <w:r>
        <w:t>personas</w:t>
      </w:r>
      <w:r>
        <w:rPr>
          <w:spacing w:val="-17"/>
        </w:rPr>
        <w:t xml:space="preserve"> </w:t>
      </w:r>
      <w:r>
        <w:t>LGBTIQ+,</w:t>
      </w:r>
      <w:r>
        <w:rPr>
          <w:spacing w:val="-18"/>
        </w:rPr>
        <w:t xml:space="preserve"> </w:t>
      </w:r>
      <w:r>
        <w:t>las</w:t>
      </w:r>
      <w:r>
        <w:rPr>
          <w:spacing w:val="-17"/>
        </w:rPr>
        <w:t xml:space="preserve"> </w:t>
      </w:r>
      <w:r>
        <w:t>personas</w:t>
      </w:r>
      <w:r>
        <w:rPr>
          <w:spacing w:val="-20"/>
        </w:rPr>
        <w:t xml:space="preserve"> </w:t>
      </w:r>
      <w:r>
        <w:t>campesinas,</w:t>
      </w:r>
      <w:r>
        <w:rPr>
          <w:spacing w:val="-18"/>
        </w:rPr>
        <w:t xml:space="preserve"> </w:t>
      </w:r>
      <w:r>
        <w:t>las juventudes, las personas mayores, las personas migrantes, las personas con discapacidad, las personas habitantes de calle, y las personas empobrecidas, entre otras.</w:t>
      </w:r>
    </w:p>
    <w:p w14:paraId="6BFF0325" w14:textId="77777777" w:rsidR="000E52B0" w:rsidRDefault="00F60D74">
      <w:pPr>
        <w:pStyle w:val="Textoindependiente"/>
        <w:spacing w:before="159"/>
        <w:ind w:right="718"/>
        <w:jc w:val="both"/>
      </w:pPr>
      <w:r>
        <w:t>Por esta razón este apartado aborda, desde un enfoque interseccional diferentes tipos de desigualdades a través de sus manifestaciones, que le permita al legislador, comprender la complejidad de la exclusión, la marginación y la discriminación, en contraposición de una vida digna con el goce efectivo de los derechos.</w:t>
      </w:r>
    </w:p>
    <w:p w14:paraId="312893F6" w14:textId="77777777" w:rsidR="000E52B0" w:rsidRDefault="00F60D74">
      <w:pPr>
        <w:pStyle w:val="Ttulo3"/>
        <w:spacing w:before="291"/>
        <w:jc w:val="both"/>
      </w:pPr>
      <w:bookmarkStart w:id="14" w:name="_bookmark14"/>
      <w:bookmarkEnd w:id="14"/>
      <w:r>
        <w:rPr>
          <w:color w:val="770F47"/>
        </w:rPr>
        <w:t>Desigualdad</w:t>
      </w:r>
      <w:r>
        <w:rPr>
          <w:color w:val="770F47"/>
          <w:spacing w:val="-10"/>
        </w:rPr>
        <w:t xml:space="preserve"> </w:t>
      </w:r>
      <w:r>
        <w:rPr>
          <w:color w:val="770F47"/>
          <w:spacing w:val="-2"/>
        </w:rPr>
        <w:t>económica</w:t>
      </w:r>
    </w:p>
    <w:p w14:paraId="7CC0FF08" w14:textId="77777777" w:rsidR="000E52B0" w:rsidRDefault="000E52B0">
      <w:pPr>
        <w:pStyle w:val="Textoindependiente"/>
        <w:ind w:left="0"/>
        <w:rPr>
          <w:b/>
        </w:rPr>
      </w:pPr>
    </w:p>
    <w:p w14:paraId="1304DEBA" w14:textId="77777777" w:rsidR="000E52B0" w:rsidRDefault="00F60D74">
      <w:pPr>
        <w:pStyle w:val="Textoindependiente"/>
        <w:ind w:right="716"/>
        <w:jc w:val="both"/>
      </w:pPr>
      <w:r>
        <w:t>La desigualdad económica ocurre en tanto existen barreras para el goce efectivo de los derechos económicos para múltiples poblaciones. Considerando que la garantía de estos derechos como los derechos sociales, culturales y ambientales, están vinculados a la situación macroeconómica de los países, la capacidad fiscal y las presiones poblacionales entre otros, admite la garantía progresiva, es decir, que todas las acciones de política pública que emprenda el Estado deben propender por avanzar en la garantía del derecho, pero en todo caso no admite regresividad.</w:t>
      </w:r>
    </w:p>
    <w:p w14:paraId="3CE1531F" w14:textId="77777777" w:rsidR="000E52B0" w:rsidRDefault="000E52B0">
      <w:pPr>
        <w:pStyle w:val="Textoindependiente"/>
        <w:spacing w:before="2"/>
        <w:ind w:left="0"/>
      </w:pPr>
    </w:p>
    <w:p w14:paraId="2B3EA607" w14:textId="77777777" w:rsidR="000E52B0" w:rsidRDefault="00F60D74">
      <w:pPr>
        <w:ind w:left="720" w:right="715"/>
        <w:jc w:val="both"/>
        <w:rPr>
          <w:sz w:val="24"/>
        </w:rPr>
      </w:pPr>
      <w:r>
        <w:rPr>
          <w:sz w:val="24"/>
        </w:rPr>
        <w:t>La</w:t>
      </w:r>
      <w:r>
        <w:rPr>
          <w:spacing w:val="-4"/>
          <w:sz w:val="24"/>
        </w:rPr>
        <w:t xml:space="preserve"> </w:t>
      </w:r>
      <w:r>
        <w:rPr>
          <w:sz w:val="24"/>
        </w:rPr>
        <w:t>consecuencia</w:t>
      </w:r>
      <w:r>
        <w:rPr>
          <w:spacing w:val="-5"/>
          <w:sz w:val="24"/>
        </w:rPr>
        <w:t xml:space="preserve"> </w:t>
      </w:r>
      <w:r>
        <w:rPr>
          <w:sz w:val="24"/>
        </w:rPr>
        <w:t>más</w:t>
      </w:r>
      <w:r>
        <w:rPr>
          <w:spacing w:val="-5"/>
          <w:sz w:val="24"/>
        </w:rPr>
        <w:t xml:space="preserve"> </w:t>
      </w:r>
      <w:r>
        <w:rPr>
          <w:sz w:val="24"/>
        </w:rPr>
        <w:t>conocida</w:t>
      </w:r>
      <w:r>
        <w:rPr>
          <w:spacing w:val="-2"/>
          <w:sz w:val="24"/>
        </w:rPr>
        <w:t xml:space="preserve"> </w:t>
      </w:r>
      <w:r>
        <w:rPr>
          <w:sz w:val="24"/>
        </w:rPr>
        <w:t>de</w:t>
      </w:r>
      <w:r>
        <w:rPr>
          <w:spacing w:val="-4"/>
          <w:sz w:val="24"/>
        </w:rPr>
        <w:t xml:space="preserve"> </w:t>
      </w:r>
      <w:r>
        <w:rPr>
          <w:sz w:val="24"/>
        </w:rPr>
        <w:t>la</w:t>
      </w:r>
      <w:r>
        <w:rPr>
          <w:spacing w:val="-2"/>
          <w:sz w:val="24"/>
        </w:rPr>
        <w:t xml:space="preserve"> </w:t>
      </w:r>
      <w:r>
        <w:rPr>
          <w:sz w:val="24"/>
        </w:rPr>
        <w:t>desigualdad</w:t>
      </w:r>
      <w:r>
        <w:rPr>
          <w:spacing w:val="-3"/>
          <w:sz w:val="24"/>
        </w:rPr>
        <w:t xml:space="preserve"> </w:t>
      </w:r>
      <w:r>
        <w:rPr>
          <w:sz w:val="24"/>
        </w:rPr>
        <w:t>económica</w:t>
      </w:r>
      <w:r>
        <w:rPr>
          <w:spacing w:val="-2"/>
          <w:sz w:val="24"/>
        </w:rPr>
        <w:t xml:space="preserve"> </w:t>
      </w:r>
      <w:r>
        <w:rPr>
          <w:sz w:val="24"/>
        </w:rPr>
        <w:t>es</w:t>
      </w:r>
      <w:r>
        <w:rPr>
          <w:spacing w:val="-4"/>
          <w:sz w:val="24"/>
        </w:rPr>
        <w:t xml:space="preserve"> </w:t>
      </w:r>
      <w:r>
        <w:rPr>
          <w:sz w:val="24"/>
        </w:rPr>
        <w:t>la</w:t>
      </w:r>
      <w:r>
        <w:rPr>
          <w:spacing w:val="-3"/>
          <w:sz w:val="24"/>
        </w:rPr>
        <w:t xml:space="preserve"> </w:t>
      </w:r>
      <w:r>
        <w:rPr>
          <w:sz w:val="24"/>
        </w:rPr>
        <w:t xml:space="preserve">pobreza, resultado de una </w:t>
      </w:r>
      <w:r>
        <w:rPr>
          <w:b/>
          <w:sz w:val="24"/>
        </w:rPr>
        <w:t>distribución inequitativa de los recursos económicos en la sociedad</w:t>
      </w:r>
      <w:r>
        <w:rPr>
          <w:sz w:val="24"/>
        </w:rPr>
        <w:t>. El DANE estimó que, a nivel nacional, la pobreza</w:t>
      </w:r>
      <w:r>
        <w:rPr>
          <w:spacing w:val="9"/>
          <w:sz w:val="24"/>
        </w:rPr>
        <w:t xml:space="preserve"> </w:t>
      </w:r>
      <w:r>
        <w:rPr>
          <w:sz w:val="24"/>
        </w:rPr>
        <w:t>monetaria</w:t>
      </w:r>
      <w:r>
        <w:rPr>
          <w:spacing w:val="12"/>
          <w:sz w:val="24"/>
        </w:rPr>
        <w:t xml:space="preserve"> </w:t>
      </w:r>
      <w:r>
        <w:rPr>
          <w:sz w:val="24"/>
        </w:rPr>
        <w:t>pasó</w:t>
      </w:r>
      <w:r>
        <w:rPr>
          <w:spacing w:val="12"/>
          <w:sz w:val="24"/>
        </w:rPr>
        <w:t xml:space="preserve"> </w:t>
      </w:r>
      <w:r>
        <w:rPr>
          <w:sz w:val="24"/>
        </w:rPr>
        <w:t>de</w:t>
      </w:r>
      <w:r>
        <w:rPr>
          <w:spacing w:val="12"/>
          <w:sz w:val="24"/>
        </w:rPr>
        <w:t xml:space="preserve"> </w:t>
      </w:r>
      <w:r>
        <w:rPr>
          <w:sz w:val="24"/>
        </w:rPr>
        <w:t>39,7%</w:t>
      </w:r>
      <w:r>
        <w:rPr>
          <w:spacing w:val="13"/>
          <w:sz w:val="24"/>
        </w:rPr>
        <w:t xml:space="preserve"> </w:t>
      </w:r>
      <w:r>
        <w:rPr>
          <w:sz w:val="24"/>
        </w:rPr>
        <w:t>a</w:t>
      </w:r>
      <w:r>
        <w:rPr>
          <w:spacing w:val="11"/>
          <w:sz w:val="24"/>
        </w:rPr>
        <w:t xml:space="preserve"> </w:t>
      </w:r>
      <w:r>
        <w:rPr>
          <w:sz w:val="24"/>
        </w:rPr>
        <w:t>36,6%</w:t>
      </w:r>
      <w:r>
        <w:rPr>
          <w:spacing w:val="13"/>
          <w:sz w:val="24"/>
        </w:rPr>
        <w:t xml:space="preserve"> </w:t>
      </w:r>
      <w:r>
        <w:rPr>
          <w:sz w:val="24"/>
        </w:rPr>
        <w:t>en</w:t>
      </w:r>
      <w:r>
        <w:rPr>
          <w:spacing w:val="11"/>
          <w:sz w:val="24"/>
        </w:rPr>
        <w:t xml:space="preserve"> </w:t>
      </w:r>
      <w:r>
        <w:rPr>
          <w:sz w:val="24"/>
        </w:rPr>
        <w:t>2022,</w:t>
      </w:r>
      <w:r>
        <w:rPr>
          <w:spacing w:val="11"/>
          <w:sz w:val="24"/>
        </w:rPr>
        <w:t xml:space="preserve"> </w:t>
      </w:r>
      <w:r>
        <w:rPr>
          <w:sz w:val="24"/>
        </w:rPr>
        <w:t>la</w:t>
      </w:r>
      <w:r>
        <w:rPr>
          <w:spacing w:val="12"/>
          <w:sz w:val="24"/>
        </w:rPr>
        <w:t xml:space="preserve"> </w:t>
      </w:r>
      <w:r>
        <w:rPr>
          <w:sz w:val="24"/>
        </w:rPr>
        <w:t>reducción</w:t>
      </w:r>
      <w:r>
        <w:rPr>
          <w:spacing w:val="11"/>
          <w:sz w:val="24"/>
        </w:rPr>
        <w:t xml:space="preserve"> </w:t>
      </w:r>
      <w:r>
        <w:rPr>
          <w:sz w:val="24"/>
        </w:rPr>
        <w:t>de</w:t>
      </w:r>
      <w:r>
        <w:rPr>
          <w:spacing w:val="13"/>
          <w:sz w:val="24"/>
        </w:rPr>
        <w:t xml:space="preserve"> </w:t>
      </w:r>
      <w:r>
        <w:rPr>
          <w:spacing w:val="-5"/>
          <w:sz w:val="24"/>
        </w:rPr>
        <w:t>3.1</w:t>
      </w:r>
    </w:p>
    <w:p w14:paraId="1D742540" w14:textId="77777777" w:rsidR="000E52B0" w:rsidRDefault="00F60D74">
      <w:pPr>
        <w:pStyle w:val="Textoindependiente"/>
        <w:ind w:right="726"/>
        <w:jc w:val="both"/>
      </w:pPr>
      <w:r>
        <w:t>p.p. representa un total de 1,3 millones de personas que salieron de la pobreza a nivel nacional.</w:t>
      </w:r>
    </w:p>
    <w:p w14:paraId="0BC5BF67" w14:textId="77777777" w:rsidR="000E52B0" w:rsidRDefault="00F60D74">
      <w:pPr>
        <w:pStyle w:val="Textoindependiente"/>
        <w:spacing w:before="161"/>
        <w:ind w:right="718"/>
        <w:jc w:val="both"/>
      </w:pPr>
      <w:r>
        <w:t>La situación de pobreza encuentra su primer centro de reproducción en la equívoca idea de la movilidad social, – que es individual- y señala que si una persona logra terminar su ciclo educativo, accede a educación técnica o superior, accederá a empleos más fácil y mejor remunerados. No obstante, las barreras de acceso a los escenarios laborales, y las brechas en términos de acceso y condiciones laborales, han configurado la economía popular – que es por su naturaleza informal - como un mecanismo de afrontamiento.</w:t>
      </w:r>
    </w:p>
    <w:p w14:paraId="3C4C79E8" w14:textId="77777777" w:rsidR="000E52B0" w:rsidRDefault="00F60D74">
      <w:pPr>
        <w:spacing w:before="158"/>
        <w:ind w:left="720" w:right="717"/>
        <w:jc w:val="both"/>
        <w:rPr>
          <w:sz w:val="24"/>
        </w:rPr>
      </w:pPr>
      <w:r>
        <w:rPr>
          <w:sz w:val="24"/>
        </w:rPr>
        <w:t xml:space="preserve">De acuerdo con el DANE, en 2023, </w:t>
      </w:r>
      <w:r>
        <w:rPr>
          <w:b/>
          <w:sz w:val="24"/>
        </w:rPr>
        <w:t>2.5 millones de personas estaban desocupadas.</w:t>
      </w:r>
      <w:r>
        <w:rPr>
          <w:b/>
          <w:spacing w:val="-15"/>
          <w:sz w:val="24"/>
        </w:rPr>
        <w:t xml:space="preserve"> </w:t>
      </w:r>
      <w:r>
        <w:rPr>
          <w:sz w:val="24"/>
        </w:rPr>
        <w:t>El</w:t>
      </w:r>
      <w:r>
        <w:rPr>
          <w:spacing w:val="-16"/>
          <w:sz w:val="24"/>
        </w:rPr>
        <w:t xml:space="preserve"> </w:t>
      </w:r>
      <w:r>
        <w:rPr>
          <w:sz w:val="24"/>
        </w:rPr>
        <w:t>desempleo</w:t>
      </w:r>
      <w:r>
        <w:rPr>
          <w:spacing w:val="-16"/>
          <w:sz w:val="24"/>
        </w:rPr>
        <w:t xml:space="preserve"> </w:t>
      </w:r>
      <w:r>
        <w:rPr>
          <w:sz w:val="24"/>
        </w:rPr>
        <w:t>en</w:t>
      </w:r>
      <w:r>
        <w:rPr>
          <w:spacing w:val="-17"/>
          <w:sz w:val="24"/>
        </w:rPr>
        <w:t xml:space="preserve"> </w:t>
      </w:r>
      <w:r>
        <w:rPr>
          <w:sz w:val="24"/>
        </w:rPr>
        <w:t>Colombia</w:t>
      </w:r>
      <w:r>
        <w:rPr>
          <w:spacing w:val="-17"/>
          <w:sz w:val="24"/>
        </w:rPr>
        <w:t xml:space="preserve"> </w:t>
      </w:r>
      <w:r>
        <w:rPr>
          <w:sz w:val="24"/>
        </w:rPr>
        <w:t>entre</w:t>
      </w:r>
      <w:r>
        <w:rPr>
          <w:spacing w:val="-15"/>
          <w:sz w:val="24"/>
        </w:rPr>
        <w:t xml:space="preserve"> </w:t>
      </w:r>
      <w:r>
        <w:rPr>
          <w:sz w:val="24"/>
        </w:rPr>
        <w:t>enero</w:t>
      </w:r>
      <w:r>
        <w:rPr>
          <w:spacing w:val="-16"/>
          <w:sz w:val="24"/>
        </w:rPr>
        <w:t xml:space="preserve"> </w:t>
      </w:r>
      <w:r>
        <w:rPr>
          <w:sz w:val="24"/>
        </w:rPr>
        <w:t>y</w:t>
      </w:r>
      <w:r>
        <w:rPr>
          <w:spacing w:val="-17"/>
          <w:sz w:val="24"/>
        </w:rPr>
        <w:t xml:space="preserve"> </w:t>
      </w:r>
      <w:r>
        <w:rPr>
          <w:sz w:val="24"/>
        </w:rPr>
        <w:t>diciembre</w:t>
      </w:r>
      <w:r>
        <w:rPr>
          <w:spacing w:val="-15"/>
          <w:sz w:val="24"/>
        </w:rPr>
        <w:t xml:space="preserve"> </w:t>
      </w:r>
      <w:r>
        <w:rPr>
          <w:sz w:val="24"/>
        </w:rPr>
        <w:t>de</w:t>
      </w:r>
      <w:r>
        <w:rPr>
          <w:spacing w:val="-16"/>
          <w:sz w:val="24"/>
        </w:rPr>
        <w:t xml:space="preserve"> </w:t>
      </w:r>
      <w:r>
        <w:rPr>
          <w:sz w:val="24"/>
        </w:rPr>
        <w:t>2023 presentó</w:t>
      </w:r>
      <w:r>
        <w:rPr>
          <w:spacing w:val="-13"/>
          <w:sz w:val="24"/>
        </w:rPr>
        <w:t xml:space="preserve"> </w:t>
      </w:r>
      <w:r>
        <w:rPr>
          <w:sz w:val="24"/>
        </w:rPr>
        <w:t>una</w:t>
      </w:r>
      <w:r>
        <w:rPr>
          <w:spacing w:val="-14"/>
          <w:sz w:val="24"/>
        </w:rPr>
        <w:t xml:space="preserve"> </w:t>
      </w:r>
      <w:r>
        <w:rPr>
          <w:sz w:val="24"/>
        </w:rPr>
        <w:t>tasa</w:t>
      </w:r>
      <w:r>
        <w:rPr>
          <w:spacing w:val="-14"/>
          <w:sz w:val="24"/>
        </w:rPr>
        <w:t xml:space="preserve"> </w:t>
      </w:r>
      <w:r>
        <w:rPr>
          <w:sz w:val="24"/>
        </w:rPr>
        <w:t>de</w:t>
      </w:r>
      <w:r>
        <w:rPr>
          <w:spacing w:val="-13"/>
          <w:sz w:val="24"/>
        </w:rPr>
        <w:t xml:space="preserve"> </w:t>
      </w:r>
      <w:r>
        <w:rPr>
          <w:sz w:val="24"/>
        </w:rPr>
        <w:t>desocupación</w:t>
      </w:r>
      <w:r>
        <w:rPr>
          <w:spacing w:val="-14"/>
          <w:sz w:val="24"/>
        </w:rPr>
        <w:t xml:space="preserve"> </w:t>
      </w:r>
      <w:r>
        <w:rPr>
          <w:sz w:val="24"/>
        </w:rPr>
        <w:t>en</w:t>
      </w:r>
      <w:r>
        <w:rPr>
          <w:spacing w:val="-14"/>
          <w:sz w:val="24"/>
        </w:rPr>
        <w:t xml:space="preserve"> </w:t>
      </w:r>
      <w:r>
        <w:rPr>
          <w:sz w:val="24"/>
        </w:rPr>
        <w:t>el</w:t>
      </w:r>
      <w:r>
        <w:rPr>
          <w:spacing w:val="-15"/>
          <w:sz w:val="24"/>
        </w:rPr>
        <w:t xml:space="preserve"> </w:t>
      </w:r>
      <w:r>
        <w:rPr>
          <w:sz w:val="24"/>
        </w:rPr>
        <w:t>total</w:t>
      </w:r>
      <w:r>
        <w:rPr>
          <w:spacing w:val="-15"/>
          <w:sz w:val="24"/>
        </w:rPr>
        <w:t xml:space="preserve"> </w:t>
      </w:r>
      <w:r>
        <w:rPr>
          <w:sz w:val="24"/>
        </w:rPr>
        <w:t>nacional</w:t>
      </w:r>
      <w:r>
        <w:rPr>
          <w:spacing w:val="-15"/>
          <w:sz w:val="24"/>
        </w:rPr>
        <w:t xml:space="preserve"> </w:t>
      </w:r>
      <w:r>
        <w:rPr>
          <w:sz w:val="24"/>
        </w:rPr>
        <w:t>de</w:t>
      </w:r>
      <w:r>
        <w:rPr>
          <w:spacing w:val="-13"/>
          <w:sz w:val="24"/>
        </w:rPr>
        <w:t xml:space="preserve"> </w:t>
      </w:r>
      <w:r>
        <w:rPr>
          <w:sz w:val="24"/>
        </w:rPr>
        <w:t>10,2%,</w:t>
      </w:r>
      <w:r>
        <w:rPr>
          <w:spacing w:val="-14"/>
          <w:sz w:val="24"/>
        </w:rPr>
        <w:t xml:space="preserve"> </w:t>
      </w:r>
      <w:r>
        <w:rPr>
          <w:sz w:val="24"/>
        </w:rPr>
        <w:t>mientras</w:t>
      </w:r>
    </w:p>
    <w:p w14:paraId="5CED888E" w14:textId="77777777" w:rsidR="000E52B0" w:rsidRDefault="000E52B0">
      <w:pPr>
        <w:jc w:val="both"/>
        <w:rPr>
          <w:sz w:val="24"/>
        </w:rPr>
        <w:sectPr w:rsidR="000E52B0">
          <w:pgSz w:w="11910" w:h="16840"/>
          <w:pgMar w:top="1340" w:right="720" w:bottom="1180" w:left="720" w:header="0" w:footer="995" w:gutter="0"/>
          <w:cols w:space="720"/>
        </w:sectPr>
      </w:pPr>
    </w:p>
    <w:p w14:paraId="1F9C902C" w14:textId="77777777" w:rsidR="000E52B0" w:rsidRDefault="00F60D74">
      <w:pPr>
        <w:pStyle w:val="Textoindependiente"/>
        <w:spacing w:before="83"/>
        <w:ind w:right="719"/>
        <w:jc w:val="both"/>
      </w:pPr>
      <w:r>
        <w:lastRenderedPageBreak/>
        <w:t>que</w:t>
      </w:r>
      <w:r>
        <w:rPr>
          <w:spacing w:val="-5"/>
        </w:rPr>
        <w:t xml:space="preserve"> </w:t>
      </w:r>
      <w:r>
        <w:t>la</w:t>
      </w:r>
      <w:r>
        <w:rPr>
          <w:spacing w:val="-7"/>
        </w:rPr>
        <w:t xml:space="preserve"> </w:t>
      </w:r>
      <w:r>
        <w:t>tasa</w:t>
      </w:r>
      <w:r>
        <w:rPr>
          <w:spacing w:val="-7"/>
        </w:rPr>
        <w:t xml:space="preserve"> </w:t>
      </w:r>
      <w:r>
        <w:t>de</w:t>
      </w:r>
      <w:r>
        <w:rPr>
          <w:spacing w:val="-5"/>
        </w:rPr>
        <w:t xml:space="preserve"> </w:t>
      </w:r>
      <w:r>
        <w:t>desocupación</w:t>
      </w:r>
      <w:r>
        <w:rPr>
          <w:spacing w:val="-7"/>
        </w:rPr>
        <w:t xml:space="preserve"> </w:t>
      </w:r>
      <w:r>
        <w:t>en</w:t>
      </w:r>
      <w:r>
        <w:rPr>
          <w:spacing w:val="-7"/>
        </w:rPr>
        <w:t xml:space="preserve"> </w:t>
      </w:r>
      <w:r>
        <w:t>las</w:t>
      </w:r>
      <w:r>
        <w:rPr>
          <w:spacing w:val="-7"/>
        </w:rPr>
        <w:t xml:space="preserve"> </w:t>
      </w:r>
      <w:r>
        <w:t>13</w:t>
      </w:r>
      <w:r>
        <w:rPr>
          <w:spacing w:val="-5"/>
        </w:rPr>
        <w:t xml:space="preserve"> </w:t>
      </w:r>
      <w:r>
        <w:t>ciudades</w:t>
      </w:r>
      <w:r>
        <w:rPr>
          <w:spacing w:val="-7"/>
        </w:rPr>
        <w:t xml:space="preserve"> </w:t>
      </w:r>
      <w:r>
        <w:t>y</w:t>
      </w:r>
      <w:r>
        <w:rPr>
          <w:spacing w:val="-7"/>
        </w:rPr>
        <w:t xml:space="preserve"> </w:t>
      </w:r>
      <w:r>
        <w:t>áreas</w:t>
      </w:r>
      <w:r>
        <w:rPr>
          <w:spacing w:val="-7"/>
        </w:rPr>
        <w:t xml:space="preserve"> </w:t>
      </w:r>
      <w:r>
        <w:t>metropolitanas</w:t>
      </w:r>
      <w:r>
        <w:rPr>
          <w:spacing w:val="-7"/>
        </w:rPr>
        <w:t xml:space="preserve"> </w:t>
      </w:r>
      <w:r>
        <w:t>fue 10,4%.</w:t>
      </w:r>
      <w:r>
        <w:rPr>
          <w:spacing w:val="-22"/>
        </w:rPr>
        <w:t xml:space="preserve"> </w:t>
      </w:r>
      <w:r>
        <w:t>A</w:t>
      </w:r>
      <w:r>
        <w:rPr>
          <w:spacing w:val="-21"/>
        </w:rPr>
        <w:t xml:space="preserve"> </w:t>
      </w:r>
      <w:r>
        <w:t>nivel</w:t>
      </w:r>
      <w:r>
        <w:rPr>
          <w:spacing w:val="-21"/>
        </w:rPr>
        <w:t xml:space="preserve"> </w:t>
      </w:r>
      <w:r>
        <w:t>nacional</w:t>
      </w:r>
      <w:r>
        <w:rPr>
          <w:spacing w:val="-21"/>
        </w:rPr>
        <w:t xml:space="preserve"> </w:t>
      </w:r>
      <w:r>
        <w:t>y</w:t>
      </w:r>
      <w:r>
        <w:rPr>
          <w:spacing w:val="-21"/>
        </w:rPr>
        <w:t xml:space="preserve"> </w:t>
      </w:r>
      <w:r>
        <w:t>comparado</w:t>
      </w:r>
      <w:r>
        <w:rPr>
          <w:spacing w:val="-21"/>
        </w:rPr>
        <w:t xml:space="preserve"> </w:t>
      </w:r>
      <w:r>
        <w:t>con</w:t>
      </w:r>
      <w:r>
        <w:rPr>
          <w:spacing w:val="-21"/>
        </w:rPr>
        <w:t xml:space="preserve"> </w:t>
      </w:r>
      <w:r>
        <w:t>2022</w:t>
      </w:r>
      <w:r>
        <w:rPr>
          <w:spacing w:val="-21"/>
        </w:rPr>
        <w:t xml:space="preserve"> </w:t>
      </w:r>
      <w:r>
        <w:t>corresponde</w:t>
      </w:r>
      <w:r>
        <w:rPr>
          <w:spacing w:val="-21"/>
        </w:rPr>
        <w:t xml:space="preserve"> </w:t>
      </w:r>
      <w:r>
        <w:t>a</w:t>
      </w:r>
      <w:r>
        <w:rPr>
          <w:spacing w:val="-21"/>
        </w:rPr>
        <w:t xml:space="preserve"> </w:t>
      </w:r>
      <w:r>
        <w:t>una</w:t>
      </w:r>
      <w:r>
        <w:rPr>
          <w:spacing w:val="-21"/>
        </w:rPr>
        <w:t xml:space="preserve"> </w:t>
      </w:r>
      <w:r>
        <w:t>variación del</w:t>
      </w:r>
      <w:r>
        <w:rPr>
          <w:spacing w:val="-22"/>
        </w:rPr>
        <w:t xml:space="preserve"> </w:t>
      </w:r>
      <w:r>
        <w:t>-1.1.</w:t>
      </w:r>
      <w:r>
        <w:rPr>
          <w:spacing w:val="-21"/>
        </w:rPr>
        <w:t xml:space="preserve"> </w:t>
      </w:r>
      <w:r>
        <w:t>Las</w:t>
      </w:r>
      <w:r>
        <w:rPr>
          <w:spacing w:val="-21"/>
        </w:rPr>
        <w:t xml:space="preserve"> </w:t>
      </w:r>
      <w:r>
        <w:t>ciudades</w:t>
      </w:r>
      <w:r>
        <w:rPr>
          <w:spacing w:val="-21"/>
        </w:rPr>
        <w:t xml:space="preserve"> </w:t>
      </w:r>
      <w:r>
        <w:t>con</w:t>
      </w:r>
      <w:r>
        <w:rPr>
          <w:spacing w:val="-21"/>
        </w:rPr>
        <w:t xml:space="preserve"> </w:t>
      </w:r>
      <w:r>
        <w:t>las</w:t>
      </w:r>
      <w:r>
        <w:rPr>
          <w:spacing w:val="-21"/>
        </w:rPr>
        <w:t xml:space="preserve"> </w:t>
      </w:r>
      <w:r>
        <w:t>tasas</w:t>
      </w:r>
      <w:r>
        <w:rPr>
          <w:spacing w:val="-21"/>
        </w:rPr>
        <w:t xml:space="preserve"> </w:t>
      </w:r>
      <w:r>
        <w:t>de</w:t>
      </w:r>
      <w:r>
        <w:rPr>
          <w:spacing w:val="-21"/>
        </w:rPr>
        <w:t xml:space="preserve"> </w:t>
      </w:r>
      <w:r>
        <w:t>desocupación</w:t>
      </w:r>
      <w:r>
        <w:rPr>
          <w:spacing w:val="-21"/>
        </w:rPr>
        <w:t xml:space="preserve"> </w:t>
      </w:r>
      <w:r>
        <w:t>más</w:t>
      </w:r>
      <w:r>
        <w:rPr>
          <w:spacing w:val="-21"/>
        </w:rPr>
        <w:t xml:space="preserve"> </w:t>
      </w:r>
      <w:r>
        <w:t>altas</w:t>
      </w:r>
      <w:r>
        <w:rPr>
          <w:spacing w:val="-22"/>
        </w:rPr>
        <w:t xml:space="preserve"> </w:t>
      </w:r>
      <w:r>
        <w:t>en</w:t>
      </w:r>
      <w:r>
        <w:rPr>
          <w:spacing w:val="-21"/>
        </w:rPr>
        <w:t xml:space="preserve"> </w:t>
      </w:r>
      <w:r>
        <w:t>el</w:t>
      </w:r>
      <w:r>
        <w:rPr>
          <w:spacing w:val="-21"/>
        </w:rPr>
        <w:t xml:space="preserve"> </w:t>
      </w:r>
      <w:r>
        <w:t>periodo enero - diciembre de 2023 fueron Arauca (con 29,1%), Mocoa (26,8%) y Quibdó (25,5%)</w:t>
      </w:r>
      <w:hyperlink w:anchor="_bookmark15" w:history="1">
        <w:r w:rsidR="000E52B0">
          <w:rPr>
            <w:position w:val="8"/>
            <w:sz w:val="16"/>
          </w:rPr>
          <w:t>11</w:t>
        </w:r>
      </w:hyperlink>
      <w:r>
        <w:t>.</w:t>
      </w:r>
    </w:p>
    <w:p w14:paraId="5453A0A1" w14:textId="77777777" w:rsidR="000E52B0" w:rsidRDefault="00F60D74">
      <w:pPr>
        <w:pStyle w:val="Textoindependiente"/>
        <w:spacing w:before="159"/>
        <w:ind w:right="717"/>
        <w:jc w:val="both"/>
      </w:pPr>
      <w:r>
        <w:t>No obstante, el acceso a empleo formal, o las barreras no se materializan igual</w:t>
      </w:r>
      <w:r>
        <w:rPr>
          <w:spacing w:val="-4"/>
        </w:rPr>
        <w:t xml:space="preserve"> </w:t>
      </w:r>
      <w:r>
        <w:t>para</w:t>
      </w:r>
      <w:r>
        <w:rPr>
          <w:spacing w:val="-2"/>
        </w:rPr>
        <w:t xml:space="preserve"> </w:t>
      </w:r>
      <w:r>
        <w:t>todos</w:t>
      </w:r>
      <w:r>
        <w:rPr>
          <w:spacing w:val="-3"/>
        </w:rPr>
        <w:t xml:space="preserve"> </w:t>
      </w:r>
      <w:r>
        <w:t>y</w:t>
      </w:r>
      <w:r>
        <w:rPr>
          <w:spacing w:val="-1"/>
        </w:rPr>
        <w:t xml:space="preserve"> </w:t>
      </w:r>
      <w:r>
        <w:t>todas,</w:t>
      </w:r>
      <w:r>
        <w:rPr>
          <w:spacing w:val="-4"/>
        </w:rPr>
        <w:t xml:space="preserve"> </w:t>
      </w:r>
      <w:r>
        <w:t>en</w:t>
      </w:r>
      <w:r>
        <w:rPr>
          <w:spacing w:val="-3"/>
        </w:rPr>
        <w:t xml:space="preserve"> </w:t>
      </w:r>
      <w:r>
        <w:t>2021,</w:t>
      </w:r>
      <w:r>
        <w:rPr>
          <w:spacing w:val="-3"/>
        </w:rPr>
        <w:t xml:space="preserve"> </w:t>
      </w:r>
      <w:r>
        <w:t xml:space="preserve">mientras </w:t>
      </w:r>
      <w:r>
        <w:rPr>
          <w:b/>
        </w:rPr>
        <w:t>la</w:t>
      </w:r>
      <w:r>
        <w:rPr>
          <w:b/>
          <w:spacing w:val="-2"/>
        </w:rPr>
        <w:t xml:space="preserve"> </w:t>
      </w:r>
      <w:r>
        <w:rPr>
          <w:b/>
        </w:rPr>
        <w:t>tasa</w:t>
      </w:r>
      <w:r>
        <w:rPr>
          <w:b/>
          <w:spacing w:val="-2"/>
        </w:rPr>
        <w:t xml:space="preserve"> </w:t>
      </w:r>
      <w:r>
        <w:rPr>
          <w:b/>
        </w:rPr>
        <w:t>de</w:t>
      </w:r>
      <w:r>
        <w:rPr>
          <w:b/>
          <w:spacing w:val="-4"/>
        </w:rPr>
        <w:t xml:space="preserve"> </w:t>
      </w:r>
      <w:r>
        <w:rPr>
          <w:b/>
        </w:rPr>
        <w:t>ocupación</w:t>
      </w:r>
      <w:r>
        <w:rPr>
          <w:b/>
          <w:spacing w:val="-3"/>
        </w:rPr>
        <w:t xml:space="preserve"> </w:t>
      </w:r>
      <w:r>
        <w:rPr>
          <w:b/>
        </w:rPr>
        <w:t>de</w:t>
      </w:r>
      <w:r>
        <w:rPr>
          <w:b/>
          <w:spacing w:val="-4"/>
        </w:rPr>
        <w:t xml:space="preserve"> </w:t>
      </w:r>
      <w:r>
        <w:rPr>
          <w:b/>
        </w:rPr>
        <w:t>los hombres</w:t>
      </w:r>
      <w:r>
        <w:rPr>
          <w:b/>
          <w:spacing w:val="-10"/>
        </w:rPr>
        <w:t xml:space="preserve"> </w:t>
      </w:r>
      <w:r>
        <w:rPr>
          <w:b/>
        </w:rPr>
        <w:t>sin</w:t>
      </w:r>
      <w:r>
        <w:rPr>
          <w:b/>
          <w:spacing w:val="-9"/>
        </w:rPr>
        <w:t xml:space="preserve"> </w:t>
      </w:r>
      <w:r>
        <w:rPr>
          <w:b/>
        </w:rPr>
        <w:t>pertenencia</w:t>
      </w:r>
      <w:r>
        <w:rPr>
          <w:b/>
          <w:spacing w:val="-9"/>
        </w:rPr>
        <w:t xml:space="preserve"> </w:t>
      </w:r>
      <w:r>
        <w:rPr>
          <w:b/>
        </w:rPr>
        <w:t>étnica</w:t>
      </w:r>
      <w:r>
        <w:rPr>
          <w:b/>
          <w:spacing w:val="-8"/>
        </w:rPr>
        <w:t xml:space="preserve"> </w:t>
      </w:r>
      <w:r>
        <w:rPr>
          <w:b/>
        </w:rPr>
        <w:t>era</w:t>
      </w:r>
      <w:r>
        <w:rPr>
          <w:b/>
          <w:spacing w:val="-8"/>
        </w:rPr>
        <w:t xml:space="preserve"> </w:t>
      </w:r>
      <w:r>
        <w:rPr>
          <w:b/>
        </w:rPr>
        <w:t>de</w:t>
      </w:r>
      <w:r>
        <w:rPr>
          <w:b/>
          <w:spacing w:val="-9"/>
        </w:rPr>
        <w:t xml:space="preserve"> </w:t>
      </w:r>
      <w:r>
        <w:rPr>
          <w:b/>
        </w:rPr>
        <w:t>66,8%,</w:t>
      </w:r>
      <w:r>
        <w:rPr>
          <w:b/>
          <w:spacing w:val="-9"/>
        </w:rPr>
        <w:t xml:space="preserve"> </w:t>
      </w:r>
      <w:r>
        <w:rPr>
          <w:b/>
        </w:rPr>
        <w:t>la</w:t>
      </w:r>
      <w:r>
        <w:rPr>
          <w:b/>
          <w:spacing w:val="-9"/>
        </w:rPr>
        <w:t xml:space="preserve"> </w:t>
      </w:r>
      <w:r>
        <w:rPr>
          <w:b/>
        </w:rPr>
        <w:t>tasa</w:t>
      </w:r>
      <w:r>
        <w:rPr>
          <w:b/>
          <w:spacing w:val="-8"/>
        </w:rPr>
        <w:t xml:space="preserve"> </w:t>
      </w:r>
      <w:r>
        <w:rPr>
          <w:b/>
        </w:rPr>
        <w:t>de</w:t>
      </w:r>
      <w:r>
        <w:rPr>
          <w:b/>
          <w:spacing w:val="-9"/>
        </w:rPr>
        <w:t xml:space="preserve"> </w:t>
      </w:r>
      <w:r>
        <w:rPr>
          <w:b/>
        </w:rPr>
        <w:t xml:space="preserve">ocupación de mujeres negras, afrocolombianas era de 39,6%. </w:t>
      </w:r>
      <w:r>
        <w:t>Asimismo, la brecha de ocupación en actividades “profesionales, científicas, técnicas y de servicios administrativos” entre la población sin pertenencia étnica era el 8,7%, mientras en el caso de las personas afrodescendientes era del 5,3% y de las personas indígenas 2,7%. Igualmente, en el sector de “administración</w:t>
      </w:r>
      <w:r>
        <w:rPr>
          <w:spacing w:val="-17"/>
        </w:rPr>
        <w:t xml:space="preserve"> </w:t>
      </w:r>
      <w:r>
        <w:t>pública</w:t>
      </w:r>
      <w:r>
        <w:rPr>
          <w:spacing w:val="-15"/>
        </w:rPr>
        <w:t xml:space="preserve"> </w:t>
      </w:r>
      <w:r>
        <w:t>y</w:t>
      </w:r>
      <w:r>
        <w:rPr>
          <w:spacing w:val="-15"/>
        </w:rPr>
        <w:t xml:space="preserve"> </w:t>
      </w:r>
      <w:r>
        <w:t>defensa,</w:t>
      </w:r>
      <w:r>
        <w:rPr>
          <w:spacing w:val="-18"/>
        </w:rPr>
        <w:t xml:space="preserve"> </w:t>
      </w:r>
      <w:r>
        <w:t>educación</w:t>
      </w:r>
      <w:r>
        <w:rPr>
          <w:spacing w:val="-18"/>
        </w:rPr>
        <w:t xml:space="preserve"> </w:t>
      </w:r>
      <w:r>
        <w:t>y</w:t>
      </w:r>
      <w:r>
        <w:rPr>
          <w:spacing w:val="-15"/>
        </w:rPr>
        <w:t xml:space="preserve"> </w:t>
      </w:r>
      <w:r>
        <w:t>atención</w:t>
      </w:r>
      <w:r>
        <w:rPr>
          <w:spacing w:val="-17"/>
        </w:rPr>
        <w:t xml:space="preserve"> </w:t>
      </w:r>
      <w:r>
        <w:t>de</w:t>
      </w:r>
      <w:r>
        <w:rPr>
          <w:spacing w:val="-11"/>
        </w:rPr>
        <w:t xml:space="preserve"> </w:t>
      </w:r>
      <w:r>
        <w:t>salud</w:t>
      </w:r>
      <w:r>
        <w:rPr>
          <w:spacing w:val="-15"/>
        </w:rPr>
        <w:t xml:space="preserve"> </w:t>
      </w:r>
      <w:r>
        <w:t>humana”, mientras el 12,7% de las personas sin pertenencia étnica se empleaba en este sector,</w:t>
      </w:r>
      <w:r>
        <w:rPr>
          <w:spacing w:val="-2"/>
        </w:rPr>
        <w:t xml:space="preserve"> </w:t>
      </w:r>
      <w:r>
        <w:t>el</w:t>
      </w:r>
      <w:r>
        <w:rPr>
          <w:spacing w:val="-2"/>
        </w:rPr>
        <w:t xml:space="preserve"> </w:t>
      </w:r>
      <w:r>
        <w:t>10,5% de los</w:t>
      </w:r>
      <w:r>
        <w:rPr>
          <w:spacing w:val="-1"/>
        </w:rPr>
        <w:t xml:space="preserve"> </w:t>
      </w:r>
      <w:r>
        <w:t>afrodescendientes lo hacía y en</w:t>
      </w:r>
      <w:r>
        <w:rPr>
          <w:spacing w:val="-1"/>
        </w:rPr>
        <w:t xml:space="preserve"> </w:t>
      </w:r>
      <w:r>
        <w:t>el</w:t>
      </w:r>
      <w:r>
        <w:rPr>
          <w:spacing w:val="-2"/>
        </w:rPr>
        <w:t xml:space="preserve"> </w:t>
      </w:r>
      <w:r>
        <w:t>caso de las personas indígenas el 7,1%. En contraste la ocupación en la “explotación de</w:t>
      </w:r>
      <w:r>
        <w:rPr>
          <w:spacing w:val="-20"/>
        </w:rPr>
        <w:t xml:space="preserve"> </w:t>
      </w:r>
      <w:r>
        <w:t>minas</w:t>
      </w:r>
      <w:r>
        <w:rPr>
          <w:spacing w:val="-19"/>
        </w:rPr>
        <w:t xml:space="preserve"> </w:t>
      </w:r>
      <w:r>
        <w:t>y</w:t>
      </w:r>
      <w:r>
        <w:rPr>
          <w:spacing w:val="-21"/>
        </w:rPr>
        <w:t xml:space="preserve"> </w:t>
      </w:r>
      <w:r>
        <w:t>canteras”,</w:t>
      </w:r>
      <w:r>
        <w:rPr>
          <w:spacing w:val="-21"/>
        </w:rPr>
        <w:t xml:space="preserve"> </w:t>
      </w:r>
      <w:r>
        <w:t>el</w:t>
      </w:r>
      <w:r>
        <w:rPr>
          <w:spacing w:val="-22"/>
        </w:rPr>
        <w:t xml:space="preserve"> </w:t>
      </w:r>
      <w:r>
        <w:t>4,6%</w:t>
      </w:r>
      <w:r>
        <w:rPr>
          <w:spacing w:val="-19"/>
        </w:rPr>
        <w:t xml:space="preserve"> </w:t>
      </w:r>
      <w:r>
        <w:t>de</w:t>
      </w:r>
      <w:r>
        <w:rPr>
          <w:spacing w:val="-20"/>
        </w:rPr>
        <w:t xml:space="preserve"> </w:t>
      </w:r>
      <w:r>
        <w:t>las</w:t>
      </w:r>
      <w:r>
        <w:rPr>
          <w:spacing w:val="-19"/>
        </w:rPr>
        <w:t xml:space="preserve"> </w:t>
      </w:r>
      <w:r>
        <w:t>personas</w:t>
      </w:r>
      <w:r>
        <w:rPr>
          <w:spacing w:val="-21"/>
        </w:rPr>
        <w:t xml:space="preserve"> </w:t>
      </w:r>
      <w:r>
        <w:t>afrodescendientes</w:t>
      </w:r>
      <w:r>
        <w:rPr>
          <w:spacing w:val="-21"/>
        </w:rPr>
        <w:t xml:space="preserve"> </w:t>
      </w:r>
      <w:r>
        <w:t>se</w:t>
      </w:r>
      <w:r>
        <w:rPr>
          <w:spacing w:val="-20"/>
        </w:rPr>
        <w:t xml:space="preserve"> </w:t>
      </w:r>
      <w:r>
        <w:t xml:space="preserve">ocupan en este sector, en contraste con el 1% de las personas sin pertenencia </w:t>
      </w:r>
      <w:r>
        <w:rPr>
          <w:spacing w:val="-2"/>
        </w:rPr>
        <w:t>étnica.</w:t>
      </w:r>
    </w:p>
    <w:p w14:paraId="2746269E" w14:textId="02D7B5D9" w:rsidR="000E52B0" w:rsidRDefault="00F60D74">
      <w:pPr>
        <w:pStyle w:val="Textoindependiente"/>
        <w:spacing w:before="161"/>
        <w:ind w:right="714"/>
        <w:jc w:val="both"/>
      </w:pPr>
      <w:r>
        <w:t>En todo caso, quienes logran acceder a un empleo, viven la reproducción de esas desigualdades por cuenta de los sistemas de opresión, si bien ha habido una tendencia decreciente en la brecha salarial de género, para el año</w:t>
      </w:r>
      <w:r>
        <w:rPr>
          <w:spacing w:val="-7"/>
        </w:rPr>
        <w:t xml:space="preserve"> </w:t>
      </w:r>
      <w:r>
        <w:t>2021</w:t>
      </w:r>
      <w:r>
        <w:rPr>
          <w:spacing w:val="-7"/>
        </w:rPr>
        <w:t xml:space="preserve"> </w:t>
      </w:r>
      <w:r>
        <w:t>los</w:t>
      </w:r>
      <w:r>
        <w:rPr>
          <w:spacing w:val="-8"/>
        </w:rPr>
        <w:t xml:space="preserve"> </w:t>
      </w:r>
      <w:r>
        <w:t>hombres</w:t>
      </w:r>
      <w:r>
        <w:rPr>
          <w:spacing w:val="-8"/>
        </w:rPr>
        <w:t xml:space="preserve"> </w:t>
      </w:r>
      <w:r>
        <w:t>recibían</w:t>
      </w:r>
      <w:r>
        <w:rPr>
          <w:spacing w:val="-6"/>
        </w:rPr>
        <w:t xml:space="preserve"> </w:t>
      </w:r>
      <w:r>
        <w:t>un</w:t>
      </w:r>
      <w:r>
        <w:rPr>
          <w:spacing w:val="-6"/>
        </w:rPr>
        <w:t xml:space="preserve"> </w:t>
      </w:r>
      <w:r>
        <w:t>ingreso</w:t>
      </w:r>
      <w:r>
        <w:rPr>
          <w:spacing w:val="-7"/>
        </w:rPr>
        <w:t xml:space="preserve"> </w:t>
      </w:r>
      <w:r>
        <w:t>laboral</w:t>
      </w:r>
      <w:r>
        <w:rPr>
          <w:spacing w:val="-6"/>
        </w:rPr>
        <w:t xml:space="preserve"> </w:t>
      </w:r>
      <w:r>
        <w:t>mensual</w:t>
      </w:r>
      <w:r>
        <w:rPr>
          <w:spacing w:val="-6"/>
        </w:rPr>
        <w:t xml:space="preserve"> </w:t>
      </w:r>
      <w:r>
        <w:t>promedio</w:t>
      </w:r>
      <w:r>
        <w:rPr>
          <w:spacing w:val="-7"/>
        </w:rPr>
        <w:t xml:space="preserve"> </w:t>
      </w:r>
      <w:r>
        <w:t>de</w:t>
      </w:r>
      <w:r>
        <w:rPr>
          <w:spacing w:val="-7"/>
        </w:rPr>
        <w:t xml:space="preserve"> </w:t>
      </w:r>
      <w:r>
        <w:t>un 6,3% más alto que los ingresos laborales mensuales que reciben las mujeres</w:t>
      </w:r>
      <w:r>
        <w:rPr>
          <w:spacing w:val="-11"/>
        </w:rPr>
        <w:t xml:space="preserve"> </w:t>
      </w:r>
      <w:r>
        <w:t>(DANE,</w:t>
      </w:r>
      <w:r>
        <w:rPr>
          <w:spacing w:val="-12"/>
        </w:rPr>
        <w:t xml:space="preserve"> </w:t>
      </w:r>
      <w:r>
        <w:t>2022).</w:t>
      </w:r>
      <w:r>
        <w:rPr>
          <w:spacing w:val="-12"/>
        </w:rPr>
        <w:t xml:space="preserve"> </w:t>
      </w:r>
      <w:r>
        <w:t>En</w:t>
      </w:r>
      <w:r>
        <w:rPr>
          <w:spacing w:val="-12"/>
        </w:rPr>
        <w:t xml:space="preserve"> </w:t>
      </w:r>
      <w:r>
        <w:t>este</w:t>
      </w:r>
      <w:r>
        <w:rPr>
          <w:spacing w:val="-10"/>
        </w:rPr>
        <w:t xml:space="preserve"> </w:t>
      </w:r>
      <w:r>
        <w:t>mismo</w:t>
      </w:r>
      <w:r>
        <w:rPr>
          <w:spacing w:val="-8"/>
        </w:rPr>
        <w:t xml:space="preserve"> </w:t>
      </w:r>
      <w:r>
        <w:t>año,</w:t>
      </w:r>
      <w:r>
        <w:rPr>
          <w:spacing w:val="-12"/>
        </w:rPr>
        <w:t xml:space="preserve"> </w:t>
      </w:r>
      <w:r>
        <w:t>la</w:t>
      </w:r>
      <w:r>
        <w:rPr>
          <w:spacing w:val="-12"/>
        </w:rPr>
        <w:t xml:space="preserve"> </w:t>
      </w:r>
      <w:r>
        <w:t>brecha</w:t>
      </w:r>
      <w:r>
        <w:rPr>
          <w:spacing w:val="-11"/>
        </w:rPr>
        <w:t xml:space="preserve"> </w:t>
      </w:r>
      <w:r>
        <w:t>de</w:t>
      </w:r>
      <w:r>
        <w:rPr>
          <w:spacing w:val="-10"/>
        </w:rPr>
        <w:t xml:space="preserve"> </w:t>
      </w:r>
      <w:r>
        <w:t>género</w:t>
      </w:r>
      <w:r>
        <w:rPr>
          <w:spacing w:val="-10"/>
        </w:rPr>
        <w:t xml:space="preserve"> </w:t>
      </w:r>
      <w:r>
        <w:t>fue</w:t>
      </w:r>
      <w:r>
        <w:rPr>
          <w:spacing w:val="-10"/>
        </w:rPr>
        <w:t xml:space="preserve"> </w:t>
      </w:r>
      <w:r>
        <w:t xml:space="preserve">mayor para las mujeres con niveles educativos bajos (39,3%) y las mujeres rurales (28,4%), y la brecha entre hombres sin pertenencia étnica y mujeres negras, afrodescendientes, raizales y palenqueras no era 6,3% sino 58%. Una brecha 10 veces mayor que da cuenta de cómo esos sistemas de discriminación se </w:t>
      </w:r>
      <w:r w:rsidR="00203383">
        <w:t>interseccional</w:t>
      </w:r>
      <w:r>
        <w:t>. La diferencia entre los ingresos</w:t>
      </w:r>
      <w:r>
        <w:rPr>
          <w:spacing w:val="17"/>
        </w:rPr>
        <w:t xml:space="preserve"> </w:t>
      </w:r>
      <w:r>
        <w:t>promedios</w:t>
      </w:r>
      <w:r>
        <w:rPr>
          <w:spacing w:val="21"/>
        </w:rPr>
        <w:t xml:space="preserve"> </w:t>
      </w:r>
      <w:r>
        <w:t>es</w:t>
      </w:r>
      <w:r>
        <w:rPr>
          <w:spacing w:val="19"/>
        </w:rPr>
        <w:t xml:space="preserve"> </w:t>
      </w:r>
      <w:r>
        <w:t>posible</w:t>
      </w:r>
      <w:r>
        <w:rPr>
          <w:spacing w:val="21"/>
        </w:rPr>
        <w:t xml:space="preserve"> </w:t>
      </w:r>
      <w:r>
        <w:t>verlo</w:t>
      </w:r>
      <w:r>
        <w:rPr>
          <w:spacing w:val="20"/>
        </w:rPr>
        <w:t xml:space="preserve"> </w:t>
      </w:r>
      <w:r>
        <w:t>en</w:t>
      </w:r>
      <w:r>
        <w:rPr>
          <w:spacing w:val="18"/>
        </w:rPr>
        <w:t xml:space="preserve"> </w:t>
      </w:r>
      <w:r>
        <w:t>la</w:t>
      </w:r>
      <w:r>
        <w:rPr>
          <w:spacing w:val="19"/>
        </w:rPr>
        <w:t xml:space="preserve"> </w:t>
      </w:r>
      <w:r>
        <w:t>siguiente</w:t>
      </w:r>
      <w:r>
        <w:rPr>
          <w:spacing w:val="20"/>
        </w:rPr>
        <w:t xml:space="preserve"> </w:t>
      </w:r>
      <w:r w:rsidR="00203383">
        <w:rPr>
          <w:spacing w:val="-2"/>
        </w:rPr>
        <w:t>ilustración.</w:t>
      </w:r>
      <w:r w:rsidR="00203383">
        <w:t xml:space="preserve"> Ilustración</w:t>
      </w:r>
    </w:p>
    <w:p w14:paraId="494444FA" w14:textId="77777777" w:rsidR="000E52B0" w:rsidRDefault="000E52B0">
      <w:pPr>
        <w:pStyle w:val="Textoindependiente"/>
        <w:spacing w:line="291" w:lineRule="exact"/>
        <w:jc w:val="both"/>
      </w:pPr>
      <w:hyperlink w:anchor="_bookmark16" w:history="1">
        <w:r>
          <w:t>15.</w:t>
        </w:r>
        <w:r>
          <w:rPr>
            <w:spacing w:val="-5"/>
          </w:rPr>
          <w:t xml:space="preserve"> </w:t>
        </w:r>
        <w:r>
          <w:t>Ingresos</w:t>
        </w:r>
        <w:r>
          <w:rPr>
            <w:spacing w:val="-1"/>
          </w:rPr>
          <w:t xml:space="preserve"> </w:t>
        </w:r>
        <w:r>
          <w:t>promedio</w:t>
        </w:r>
        <w:r>
          <w:rPr>
            <w:spacing w:val="-1"/>
          </w:rPr>
          <w:t xml:space="preserve"> </w:t>
        </w:r>
        <w:r>
          <w:t>2021,</w:t>
        </w:r>
        <w:r>
          <w:rPr>
            <w:spacing w:val="-3"/>
          </w:rPr>
          <w:t xml:space="preserve"> </w:t>
        </w:r>
        <w:r>
          <w:t>en</w:t>
        </w:r>
        <w:r>
          <w:rPr>
            <w:spacing w:val="-2"/>
          </w:rPr>
          <w:t xml:space="preserve"> </w:t>
        </w:r>
        <w:r>
          <w:t>miles</w:t>
        </w:r>
        <w:r>
          <w:rPr>
            <w:spacing w:val="-2"/>
          </w:rPr>
          <w:t xml:space="preserve"> </w:t>
        </w:r>
        <w:r>
          <w:t>de</w:t>
        </w:r>
        <w:r>
          <w:rPr>
            <w:spacing w:val="-1"/>
          </w:rPr>
          <w:t xml:space="preserve"> </w:t>
        </w:r>
        <w:r>
          <w:rPr>
            <w:spacing w:val="-2"/>
          </w:rPr>
          <w:t>pesos</w:t>
        </w:r>
      </w:hyperlink>
    </w:p>
    <w:p w14:paraId="5B1712E5" w14:textId="77777777" w:rsidR="000E52B0" w:rsidRDefault="000E52B0">
      <w:pPr>
        <w:pStyle w:val="Textoindependiente"/>
        <w:ind w:left="0"/>
        <w:rPr>
          <w:sz w:val="20"/>
        </w:rPr>
      </w:pPr>
    </w:p>
    <w:p w14:paraId="1F3CC07F" w14:textId="77777777" w:rsidR="000E52B0" w:rsidRDefault="000E52B0">
      <w:pPr>
        <w:pStyle w:val="Textoindependiente"/>
        <w:ind w:left="0"/>
        <w:rPr>
          <w:sz w:val="20"/>
        </w:rPr>
      </w:pPr>
    </w:p>
    <w:p w14:paraId="78B191CA" w14:textId="77777777" w:rsidR="000E52B0" w:rsidRDefault="000E52B0">
      <w:pPr>
        <w:pStyle w:val="Textoindependiente"/>
        <w:ind w:left="0"/>
        <w:rPr>
          <w:sz w:val="20"/>
        </w:rPr>
      </w:pPr>
    </w:p>
    <w:p w14:paraId="4F32E16D" w14:textId="77777777" w:rsidR="000E52B0" w:rsidRDefault="000E52B0">
      <w:pPr>
        <w:pStyle w:val="Textoindependiente"/>
        <w:ind w:left="0"/>
        <w:rPr>
          <w:sz w:val="20"/>
        </w:rPr>
      </w:pPr>
    </w:p>
    <w:p w14:paraId="6DFEF3ED" w14:textId="77777777" w:rsidR="000E52B0" w:rsidRDefault="000E52B0">
      <w:pPr>
        <w:pStyle w:val="Textoindependiente"/>
        <w:ind w:left="0"/>
        <w:rPr>
          <w:sz w:val="20"/>
        </w:rPr>
      </w:pPr>
    </w:p>
    <w:p w14:paraId="68E0C96D" w14:textId="77777777" w:rsidR="000E52B0" w:rsidRDefault="000E52B0">
      <w:pPr>
        <w:pStyle w:val="Textoindependiente"/>
        <w:ind w:left="0"/>
        <w:rPr>
          <w:sz w:val="20"/>
        </w:rPr>
      </w:pPr>
    </w:p>
    <w:p w14:paraId="129C3E08" w14:textId="77777777" w:rsidR="000E52B0" w:rsidRDefault="000E52B0">
      <w:pPr>
        <w:pStyle w:val="Textoindependiente"/>
        <w:ind w:left="0"/>
        <w:rPr>
          <w:sz w:val="20"/>
        </w:rPr>
      </w:pPr>
    </w:p>
    <w:p w14:paraId="0F046DCF" w14:textId="77777777" w:rsidR="000E52B0" w:rsidRDefault="000E52B0">
      <w:pPr>
        <w:pStyle w:val="Textoindependiente"/>
        <w:ind w:left="0"/>
        <w:rPr>
          <w:sz w:val="20"/>
        </w:rPr>
      </w:pPr>
    </w:p>
    <w:p w14:paraId="37F55AD1" w14:textId="77777777" w:rsidR="000E52B0" w:rsidRDefault="000E52B0">
      <w:pPr>
        <w:pStyle w:val="Textoindependiente"/>
        <w:ind w:left="0"/>
        <w:rPr>
          <w:sz w:val="20"/>
        </w:rPr>
      </w:pPr>
    </w:p>
    <w:p w14:paraId="5AA9DBBE" w14:textId="77777777" w:rsidR="000E52B0" w:rsidRDefault="000E52B0">
      <w:pPr>
        <w:pStyle w:val="Textoindependiente"/>
        <w:ind w:left="0"/>
        <w:rPr>
          <w:sz w:val="20"/>
        </w:rPr>
      </w:pPr>
    </w:p>
    <w:p w14:paraId="415FDD5E" w14:textId="77777777" w:rsidR="000E52B0" w:rsidRDefault="000E52B0">
      <w:pPr>
        <w:pStyle w:val="Textoindependiente"/>
        <w:ind w:left="0"/>
        <w:rPr>
          <w:sz w:val="20"/>
        </w:rPr>
      </w:pPr>
    </w:p>
    <w:p w14:paraId="15BC34B8" w14:textId="77777777" w:rsidR="000E52B0" w:rsidRDefault="000E52B0">
      <w:pPr>
        <w:pStyle w:val="Textoindependiente"/>
        <w:ind w:left="0"/>
        <w:rPr>
          <w:sz w:val="20"/>
        </w:rPr>
      </w:pPr>
    </w:p>
    <w:p w14:paraId="703F3AF3" w14:textId="77777777" w:rsidR="000E52B0" w:rsidRDefault="000E52B0">
      <w:pPr>
        <w:pStyle w:val="Textoindependiente"/>
        <w:ind w:left="0"/>
        <w:rPr>
          <w:sz w:val="20"/>
        </w:rPr>
      </w:pPr>
    </w:p>
    <w:p w14:paraId="44C580C0" w14:textId="77777777" w:rsidR="000E52B0" w:rsidRDefault="000E52B0">
      <w:pPr>
        <w:pStyle w:val="Textoindependiente"/>
        <w:ind w:left="0"/>
        <w:rPr>
          <w:sz w:val="20"/>
        </w:rPr>
      </w:pPr>
    </w:p>
    <w:p w14:paraId="67E924FB" w14:textId="77777777" w:rsidR="000E52B0" w:rsidRDefault="00F60D74">
      <w:pPr>
        <w:pStyle w:val="Textoindependiente"/>
        <w:spacing w:before="24"/>
        <w:ind w:left="0"/>
        <w:rPr>
          <w:sz w:val="20"/>
        </w:rPr>
      </w:pPr>
      <w:r>
        <w:rPr>
          <w:noProof/>
          <w:sz w:val="20"/>
        </w:rPr>
        <mc:AlternateContent>
          <mc:Choice Requires="wps">
            <w:drawing>
              <wp:anchor distT="0" distB="0" distL="0" distR="0" simplePos="0" relativeHeight="487601664" behindDoc="1" locked="0" layoutInCell="1" allowOverlap="1" wp14:anchorId="0C9E69EB" wp14:editId="34521EE9">
                <wp:simplePos x="0" y="0"/>
                <wp:positionH relativeFrom="page">
                  <wp:posOffset>914704</wp:posOffset>
                </wp:positionH>
                <wp:positionV relativeFrom="paragraph">
                  <wp:posOffset>185367</wp:posOffset>
                </wp:positionV>
                <wp:extent cx="1829435" cy="762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97B95C" id="Graphic 51" o:spid="_x0000_s1026" style="position:absolute;margin-left:1in;margin-top:14.6pt;width:144.05pt;height:.6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" path="m1829054,l,,,7619r1829054,l1829054,xe" fillcolor="black" stroked="f">
                <v:path arrowok="t"/>
                <w10:wrap type="topAndBottom" anchorx="page"/>
              </v:shape>
            </w:pict>
          </mc:Fallback>
        </mc:AlternateContent>
      </w:r>
    </w:p>
    <w:p w14:paraId="763CAC36" w14:textId="77777777" w:rsidR="000E52B0" w:rsidRDefault="00F60D74">
      <w:pPr>
        <w:spacing w:before="96"/>
        <w:ind w:left="720"/>
        <w:rPr>
          <w:rFonts w:ascii="Arial MT"/>
          <w:sz w:val="18"/>
        </w:rPr>
      </w:pPr>
      <w:bookmarkStart w:id="15" w:name="_bookmark15"/>
      <w:bookmarkEnd w:id="15"/>
      <w:r>
        <w:rPr>
          <w:rFonts w:ascii="Arial MT"/>
          <w:spacing w:val="-2"/>
          <w:position w:val="6"/>
          <w:sz w:val="12"/>
        </w:rPr>
        <w:t>11</w:t>
      </w:r>
      <w:r>
        <w:rPr>
          <w:rFonts w:ascii="Arial MT"/>
          <w:spacing w:val="38"/>
          <w:position w:val="6"/>
          <w:sz w:val="12"/>
        </w:rPr>
        <w:t xml:space="preserve">  </w:t>
      </w:r>
      <w:hyperlink r:id="rId48">
        <w:r w:rsidR="000E52B0">
          <w:rPr>
            <w:rFonts w:ascii="Arial MT"/>
            <w:color w:val="E22C91"/>
            <w:spacing w:val="-2"/>
            <w:sz w:val="18"/>
            <w:u w:val="single" w:color="E22C91"/>
          </w:rPr>
          <w:t>https://www.dane.gov.co/files/operaciones/GEIH/cp-GEIH-dic2023.pdf</w:t>
        </w:r>
      </w:hyperlink>
    </w:p>
    <w:p w14:paraId="10A79D90" w14:textId="77777777" w:rsidR="000E52B0" w:rsidRDefault="000E52B0">
      <w:pPr>
        <w:rPr>
          <w:rFonts w:ascii="Arial MT"/>
          <w:sz w:val="18"/>
        </w:rPr>
        <w:sectPr w:rsidR="000E52B0">
          <w:pgSz w:w="11910" w:h="16840"/>
          <w:pgMar w:top="1340" w:right="720" w:bottom="1180" w:left="720" w:header="0" w:footer="995" w:gutter="0"/>
          <w:cols w:space="720"/>
        </w:sectPr>
      </w:pPr>
    </w:p>
    <w:p w14:paraId="0954603A" w14:textId="77777777" w:rsidR="000E52B0" w:rsidRDefault="00F60D74">
      <w:pPr>
        <w:spacing w:before="80"/>
        <w:ind w:right="1"/>
        <w:jc w:val="center"/>
        <w:rPr>
          <w:i/>
          <w:sz w:val="18"/>
        </w:rPr>
      </w:pPr>
      <w:r>
        <w:rPr>
          <w:i/>
          <w:noProof/>
          <w:sz w:val="18"/>
        </w:rPr>
        <w:lastRenderedPageBreak/>
        <mc:AlternateContent>
          <mc:Choice Requires="wps">
            <w:drawing>
              <wp:anchor distT="0" distB="0" distL="0" distR="0" simplePos="0" relativeHeight="15743488" behindDoc="0" locked="0" layoutInCell="1" allowOverlap="1" wp14:anchorId="4D788F82" wp14:editId="25265747">
                <wp:simplePos x="0" y="0"/>
                <wp:positionH relativeFrom="page">
                  <wp:posOffset>1206382</wp:posOffset>
                </wp:positionH>
                <wp:positionV relativeFrom="paragraph">
                  <wp:posOffset>342394</wp:posOffset>
                </wp:positionV>
                <wp:extent cx="344170" cy="2451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245110"/>
                        </a:xfrm>
                        <a:prstGeom prst="rect">
                          <a:avLst/>
                        </a:prstGeom>
                      </wps:spPr>
                      <wps:txbx>
                        <w:txbxContent>
                          <w:p w14:paraId="72B0AFAD" w14:textId="77777777" w:rsidR="000E52B0" w:rsidRDefault="00F60D74">
                            <w:pPr>
                              <w:spacing w:before="20"/>
                              <w:ind w:left="20"/>
                              <w:rPr>
                                <w:rFonts w:ascii="Trebuchet MS"/>
                                <w:sz w:val="16"/>
                              </w:rPr>
                            </w:pPr>
                            <w:r>
                              <w:rPr>
                                <w:rFonts w:ascii="Trebuchet MS"/>
                                <w:color w:val="404040"/>
                                <w:spacing w:val="-4"/>
                                <w:sz w:val="16"/>
                              </w:rPr>
                              <w:t>1230</w:t>
                            </w:r>
                          </w:p>
                          <w:p w14:paraId="7F5061C7" w14:textId="77777777" w:rsidR="000E52B0" w:rsidRDefault="00F60D74">
                            <w:pPr>
                              <w:spacing w:before="119"/>
                              <w:ind w:left="20"/>
                              <w:rPr>
                                <w:rFonts w:ascii="Trebuchet MS"/>
                                <w:sz w:val="16"/>
                              </w:rPr>
                            </w:pPr>
                            <w:r>
                              <w:rPr>
                                <w:rFonts w:ascii="Trebuchet MS"/>
                                <w:color w:val="404040"/>
                                <w:spacing w:val="-4"/>
                                <w:sz w:val="16"/>
                              </w:rPr>
                              <w:t>1223</w:t>
                            </w:r>
                          </w:p>
                        </w:txbxContent>
                      </wps:txbx>
                      <wps:bodyPr vert="vert270" wrap="square" lIns="0" tIns="0" rIns="0" bIns="0" rtlCol="0">
                        <a:noAutofit/>
                      </wps:bodyPr>
                    </wps:wsp>
                  </a:graphicData>
                </a:graphic>
              </wp:anchor>
            </w:drawing>
          </mc:Choice>
          <mc:Fallback>
            <w:pict>
              <v:shape w14:anchorId="4D788F82" id="Textbox 52" o:spid="_x0000_s1039" type="#_x0000_t202" style="position:absolute;left:0;text-align:left;margin-left:95pt;margin-top:26.95pt;width:27.1pt;height:19.3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" filled="f" stroked="f">
                <v:textbox style="layout-flow:vertical;mso-layout-flow-alt:bottom-to-top" inset="0,0,0,0">
                  <w:txbxContent>
                    <w:p w14:paraId="72B0AFAD" w14:textId="77777777" w:rsidR="000E52B0" w:rsidRDefault="00F60D74">
                      <w:pPr>
                        <w:spacing w:before="20"/>
                        <w:ind w:left="20"/>
                        <w:rPr>
                          <w:rFonts w:ascii="Trebuchet MS"/>
                          <w:sz w:val="16"/>
                        </w:rPr>
                      </w:pPr>
                      <w:r>
                        <w:rPr>
                          <w:rFonts w:ascii="Trebuchet MS"/>
                          <w:color w:val="404040"/>
                          <w:spacing w:val="-4"/>
                          <w:sz w:val="16"/>
                        </w:rPr>
                        <w:t>1230</w:t>
                      </w:r>
                    </w:p>
                    <w:p w14:paraId="7F5061C7" w14:textId="77777777" w:rsidR="000E52B0" w:rsidRDefault="00F60D74">
                      <w:pPr>
                        <w:spacing w:before="119"/>
                        <w:ind w:left="20"/>
                        <w:rPr>
                          <w:rFonts w:ascii="Trebuchet MS"/>
                          <w:sz w:val="16"/>
                        </w:rPr>
                      </w:pPr>
                      <w:r>
                        <w:rPr>
                          <w:rFonts w:ascii="Trebuchet MS"/>
                          <w:color w:val="404040"/>
                          <w:spacing w:val="-4"/>
                          <w:sz w:val="16"/>
                        </w:rPr>
                        <w:t>1223</w:t>
                      </w:r>
                    </w:p>
                  </w:txbxContent>
                </v:textbox>
                <w10:wrap anchorx="page"/>
              </v:shape>
            </w:pict>
          </mc:Fallback>
        </mc:AlternateContent>
      </w:r>
      <w:r>
        <w:rPr>
          <w:i/>
          <w:noProof/>
          <w:sz w:val="18"/>
        </w:rPr>
        <mc:AlternateContent>
          <mc:Choice Requires="wps">
            <w:drawing>
              <wp:anchor distT="0" distB="0" distL="0" distR="0" simplePos="0" relativeHeight="15744000" behindDoc="0" locked="0" layoutInCell="1" allowOverlap="1" wp14:anchorId="4AEF0B98" wp14:editId="4F9CA707">
                <wp:simplePos x="0" y="0"/>
                <wp:positionH relativeFrom="page">
                  <wp:posOffset>1886594</wp:posOffset>
                </wp:positionH>
                <wp:positionV relativeFrom="paragraph">
                  <wp:posOffset>407037</wp:posOffset>
                </wp:positionV>
                <wp:extent cx="344170" cy="32004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320040"/>
                        </a:xfrm>
                        <a:prstGeom prst="rect">
                          <a:avLst/>
                        </a:prstGeom>
                      </wps:spPr>
                      <wps:txbx>
                        <w:txbxContent>
                          <w:p w14:paraId="7E297432" w14:textId="77777777" w:rsidR="000E52B0" w:rsidRDefault="00F60D74">
                            <w:pPr>
                              <w:spacing w:before="20"/>
                              <w:ind w:left="20"/>
                              <w:rPr>
                                <w:rFonts w:ascii="Trebuchet MS"/>
                                <w:sz w:val="16"/>
                              </w:rPr>
                            </w:pPr>
                            <w:r>
                              <w:rPr>
                                <w:rFonts w:ascii="Trebuchet MS"/>
                                <w:color w:val="404040"/>
                                <w:spacing w:val="-4"/>
                                <w:sz w:val="16"/>
                              </w:rPr>
                              <w:t>1072</w:t>
                            </w:r>
                          </w:p>
                          <w:p w14:paraId="175B9BB3" w14:textId="77777777" w:rsidR="000E52B0" w:rsidRDefault="00F60D74">
                            <w:pPr>
                              <w:spacing w:before="119"/>
                              <w:ind w:left="137"/>
                              <w:rPr>
                                <w:rFonts w:ascii="Trebuchet MS"/>
                                <w:sz w:val="16"/>
                              </w:rPr>
                            </w:pPr>
                            <w:r>
                              <w:rPr>
                                <w:rFonts w:ascii="Trebuchet MS"/>
                                <w:color w:val="404040"/>
                                <w:spacing w:val="-4"/>
                                <w:sz w:val="16"/>
                              </w:rPr>
                              <w:t>1146</w:t>
                            </w:r>
                          </w:p>
                        </w:txbxContent>
                      </wps:txbx>
                      <wps:bodyPr vert="vert270" wrap="square" lIns="0" tIns="0" rIns="0" bIns="0" rtlCol="0">
                        <a:noAutofit/>
                      </wps:bodyPr>
                    </wps:wsp>
                  </a:graphicData>
                </a:graphic>
              </wp:anchor>
            </w:drawing>
          </mc:Choice>
          <mc:Fallback>
            <w:pict>
              <v:shape w14:anchorId="4AEF0B98" id="Textbox 53" o:spid="_x0000_s1040" type="#_x0000_t202" style="position:absolute;left:0;text-align:left;margin-left:148.55pt;margin-top:32.05pt;width:27.1pt;height:25.2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" filled="f" stroked="f">
                <v:textbox style="layout-flow:vertical;mso-layout-flow-alt:bottom-to-top" inset="0,0,0,0">
                  <w:txbxContent>
                    <w:p w14:paraId="7E297432" w14:textId="77777777" w:rsidR="000E52B0" w:rsidRDefault="00F60D74">
                      <w:pPr>
                        <w:spacing w:before="20"/>
                        <w:ind w:left="20"/>
                        <w:rPr>
                          <w:rFonts w:ascii="Trebuchet MS"/>
                          <w:sz w:val="16"/>
                        </w:rPr>
                      </w:pPr>
                      <w:r>
                        <w:rPr>
                          <w:rFonts w:ascii="Trebuchet MS"/>
                          <w:color w:val="404040"/>
                          <w:spacing w:val="-4"/>
                          <w:sz w:val="16"/>
                        </w:rPr>
                        <w:t>1072</w:t>
                      </w:r>
                    </w:p>
                    <w:p w14:paraId="175B9BB3" w14:textId="77777777" w:rsidR="000E52B0" w:rsidRDefault="00F60D74">
                      <w:pPr>
                        <w:spacing w:before="119"/>
                        <w:ind w:left="137"/>
                        <w:rPr>
                          <w:rFonts w:ascii="Trebuchet MS"/>
                          <w:sz w:val="16"/>
                        </w:rPr>
                      </w:pPr>
                      <w:r>
                        <w:rPr>
                          <w:rFonts w:ascii="Trebuchet MS"/>
                          <w:color w:val="404040"/>
                          <w:spacing w:val="-4"/>
                          <w:sz w:val="16"/>
                        </w:rPr>
                        <w:t>1146</w:t>
                      </w:r>
                    </w:p>
                  </w:txbxContent>
                </v:textbox>
                <w10:wrap anchorx="page"/>
              </v:shape>
            </w:pict>
          </mc:Fallback>
        </mc:AlternateContent>
      </w:r>
      <w:r>
        <w:rPr>
          <w:i/>
          <w:noProof/>
          <w:sz w:val="18"/>
        </w:rPr>
        <mc:AlternateContent>
          <mc:Choice Requires="wps">
            <w:drawing>
              <wp:anchor distT="0" distB="0" distL="0" distR="0" simplePos="0" relativeHeight="15744512" behindDoc="0" locked="0" layoutInCell="1" allowOverlap="1" wp14:anchorId="47C08518" wp14:editId="3FBEC37C">
                <wp:simplePos x="0" y="0"/>
                <wp:positionH relativeFrom="page">
                  <wp:posOffset>2566679</wp:posOffset>
                </wp:positionH>
                <wp:positionV relativeFrom="paragraph">
                  <wp:posOffset>624079</wp:posOffset>
                </wp:positionV>
                <wp:extent cx="150495" cy="1905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90500"/>
                        </a:xfrm>
                        <a:prstGeom prst="rect">
                          <a:avLst/>
                        </a:prstGeom>
                      </wps:spPr>
                      <wps:txbx>
                        <w:txbxContent>
                          <w:p w14:paraId="77535E26" w14:textId="77777777" w:rsidR="000E52B0" w:rsidRDefault="00F60D74">
                            <w:pPr>
                              <w:spacing w:before="20"/>
                              <w:ind w:left="20"/>
                              <w:rPr>
                                <w:rFonts w:ascii="Trebuchet MS"/>
                                <w:sz w:val="16"/>
                              </w:rPr>
                            </w:pPr>
                            <w:r>
                              <w:rPr>
                                <w:rFonts w:ascii="Trebuchet MS"/>
                                <w:color w:val="404040"/>
                                <w:spacing w:val="-5"/>
                                <w:sz w:val="16"/>
                              </w:rPr>
                              <w:t>985</w:t>
                            </w:r>
                          </w:p>
                        </w:txbxContent>
                      </wps:txbx>
                      <wps:bodyPr vert="vert270" wrap="square" lIns="0" tIns="0" rIns="0" bIns="0" rtlCol="0">
                        <a:noAutofit/>
                      </wps:bodyPr>
                    </wps:wsp>
                  </a:graphicData>
                </a:graphic>
              </wp:anchor>
            </w:drawing>
          </mc:Choice>
          <mc:Fallback>
            <w:pict>
              <v:shape w14:anchorId="47C08518" id="Textbox 54" o:spid="_x0000_s1041" type="#_x0000_t202" style="position:absolute;left:0;text-align:left;margin-left:202.1pt;margin-top:49.15pt;width:11.85pt;height:1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" filled="f" stroked="f">
                <v:textbox style="layout-flow:vertical;mso-layout-flow-alt:bottom-to-top" inset="0,0,0,0">
                  <w:txbxContent>
                    <w:p w14:paraId="77535E26" w14:textId="77777777" w:rsidR="000E52B0" w:rsidRDefault="00F60D74">
                      <w:pPr>
                        <w:spacing w:before="20"/>
                        <w:ind w:left="20"/>
                        <w:rPr>
                          <w:rFonts w:ascii="Trebuchet MS"/>
                          <w:sz w:val="16"/>
                        </w:rPr>
                      </w:pPr>
                      <w:r>
                        <w:rPr>
                          <w:rFonts w:ascii="Trebuchet MS"/>
                          <w:color w:val="404040"/>
                          <w:spacing w:val="-5"/>
                          <w:sz w:val="16"/>
                        </w:rPr>
                        <w:t>985</w:t>
                      </w:r>
                    </w:p>
                  </w:txbxContent>
                </v:textbox>
                <w10:wrap anchorx="page"/>
              </v:shape>
            </w:pict>
          </mc:Fallback>
        </mc:AlternateContent>
      </w:r>
      <w:r>
        <w:rPr>
          <w:i/>
          <w:noProof/>
          <w:sz w:val="18"/>
        </w:rPr>
        <mc:AlternateContent>
          <mc:Choice Requires="wps">
            <w:drawing>
              <wp:anchor distT="0" distB="0" distL="0" distR="0" simplePos="0" relativeHeight="15745024" behindDoc="0" locked="0" layoutInCell="1" allowOverlap="1" wp14:anchorId="145E36C1" wp14:editId="7D674142">
                <wp:simplePos x="0" y="0"/>
                <wp:positionH relativeFrom="page">
                  <wp:posOffset>2760481</wp:posOffset>
                </wp:positionH>
                <wp:positionV relativeFrom="paragraph">
                  <wp:posOffset>926720</wp:posOffset>
                </wp:positionV>
                <wp:extent cx="150495" cy="1905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90500"/>
                        </a:xfrm>
                        <a:prstGeom prst="rect">
                          <a:avLst/>
                        </a:prstGeom>
                      </wps:spPr>
                      <wps:txbx>
                        <w:txbxContent>
                          <w:p w14:paraId="13E57015" w14:textId="77777777" w:rsidR="000E52B0" w:rsidRDefault="00F60D74">
                            <w:pPr>
                              <w:spacing w:before="20"/>
                              <w:ind w:left="20"/>
                              <w:rPr>
                                <w:rFonts w:ascii="Trebuchet MS"/>
                                <w:sz w:val="16"/>
                              </w:rPr>
                            </w:pPr>
                            <w:r>
                              <w:rPr>
                                <w:rFonts w:ascii="Trebuchet MS"/>
                                <w:color w:val="404040"/>
                                <w:spacing w:val="-5"/>
                                <w:sz w:val="16"/>
                              </w:rPr>
                              <w:t>685</w:t>
                            </w:r>
                          </w:p>
                        </w:txbxContent>
                      </wps:txbx>
                      <wps:bodyPr vert="vert270" wrap="square" lIns="0" tIns="0" rIns="0" bIns="0" rtlCol="0">
                        <a:noAutofit/>
                      </wps:bodyPr>
                    </wps:wsp>
                  </a:graphicData>
                </a:graphic>
              </wp:anchor>
            </w:drawing>
          </mc:Choice>
          <mc:Fallback>
            <w:pict>
              <v:shape w14:anchorId="145E36C1" id="Textbox 55" o:spid="_x0000_s1042" type="#_x0000_t202" style="position:absolute;left:0;text-align:left;margin-left:217.35pt;margin-top:72.95pt;width:11.85pt;height:1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" filled="f" stroked="f">
                <v:textbox style="layout-flow:vertical;mso-layout-flow-alt:bottom-to-top" inset="0,0,0,0">
                  <w:txbxContent>
                    <w:p w14:paraId="13E57015" w14:textId="77777777" w:rsidR="000E52B0" w:rsidRDefault="00F60D74">
                      <w:pPr>
                        <w:spacing w:before="20"/>
                        <w:ind w:left="20"/>
                        <w:rPr>
                          <w:rFonts w:ascii="Trebuchet MS"/>
                          <w:sz w:val="16"/>
                        </w:rPr>
                      </w:pPr>
                      <w:r>
                        <w:rPr>
                          <w:rFonts w:ascii="Trebuchet MS"/>
                          <w:color w:val="404040"/>
                          <w:spacing w:val="-5"/>
                          <w:sz w:val="16"/>
                        </w:rPr>
                        <w:t>685</w:t>
                      </w:r>
                    </w:p>
                  </w:txbxContent>
                </v:textbox>
                <w10:wrap anchorx="page"/>
              </v:shape>
            </w:pict>
          </mc:Fallback>
        </mc:AlternateContent>
      </w:r>
      <w:r>
        <w:rPr>
          <w:i/>
          <w:noProof/>
          <w:sz w:val="18"/>
        </w:rPr>
        <mc:AlternateContent>
          <mc:Choice Requires="wps">
            <w:drawing>
              <wp:anchor distT="0" distB="0" distL="0" distR="0" simplePos="0" relativeHeight="15745536" behindDoc="0" locked="0" layoutInCell="1" allowOverlap="1" wp14:anchorId="7D3F7530" wp14:editId="067FA827">
                <wp:simplePos x="0" y="0"/>
                <wp:positionH relativeFrom="page">
                  <wp:posOffset>3247018</wp:posOffset>
                </wp:positionH>
                <wp:positionV relativeFrom="paragraph">
                  <wp:posOffset>749301</wp:posOffset>
                </wp:positionV>
                <wp:extent cx="150495" cy="1905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90500"/>
                        </a:xfrm>
                        <a:prstGeom prst="rect">
                          <a:avLst/>
                        </a:prstGeom>
                      </wps:spPr>
                      <wps:txbx>
                        <w:txbxContent>
                          <w:p w14:paraId="5F646561" w14:textId="77777777" w:rsidR="000E52B0" w:rsidRDefault="00F60D74">
                            <w:pPr>
                              <w:spacing w:before="20"/>
                              <w:ind w:left="20"/>
                              <w:rPr>
                                <w:rFonts w:ascii="Trebuchet MS"/>
                                <w:sz w:val="16"/>
                              </w:rPr>
                            </w:pPr>
                            <w:r>
                              <w:rPr>
                                <w:rFonts w:ascii="Trebuchet MS"/>
                                <w:color w:val="404040"/>
                                <w:spacing w:val="-5"/>
                                <w:sz w:val="16"/>
                              </w:rPr>
                              <w:t>861</w:t>
                            </w:r>
                          </w:p>
                        </w:txbxContent>
                      </wps:txbx>
                      <wps:bodyPr vert="vert270" wrap="square" lIns="0" tIns="0" rIns="0" bIns="0" rtlCol="0">
                        <a:noAutofit/>
                      </wps:bodyPr>
                    </wps:wsp>
                  </a:graphicData>
                </a:graphic>
              </wp:anchor>
            </w:drawing>
          </mc:Choice>
          <mc:Fallback>
            <w:pict>
              <v:shape w14:anchorId="7D3F7530" id="Textbox 56" o:spid="_x0000_s1043" type="#_x0000_t202" style="position:absolute;left:0;text-align:left;margin-left:255.65pt;margin-top:59pt;width:11.85pt;height:1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" filled="f" stroked="f">
                <v:textbox style="layout-flow:vertical;mso-layout-flow-alt:bottom-to-top" inset="0,0,0,0">
                  <w:txbxContent>
                    <w:p w14:paraId="5F646561" w14:textId="77777777" w:rsidR="000E52B0" w:rsidRDefault="00F60D74">
                      <w:pPr>
                        <w:spacing w:before="20"/>
                        <w:ind w:left="20"/>
                        <w:rPr>
                          <w:rFonts w:ascii="Trebuchet MS"/>
                          <w:sz w:val="16"/>
                        </w:rPr>
                      </w:pPr>
                      <w:r>
                        <w:rPr>
                          <w:rFonts w:ascii="Trebuchet MS"/>
                          <w:color w:val="404040"/>
                          <w:spacing w:val="-5"/>
                          <w:sz w:val="16"/>
                        </w:rPr>
                        <w:t>861</w:t>
                      </w:r>
                    </w:p>
                  </w:txbxContent>
                </v:textbox>
                <w10:wrap anchorx="page"/>
              </v:shape>
            </w:pict>
          </mc:Fallback>
        </mc:AlternateContent>
      </w:r>
      <w:r>
        <w:rPr>
          <w:i/>
          <w:noProof/>
          <w:sz w:val="18"/>
        </w:rPr>
        <mc:AlternateContent>
          <mc:Choice Requires="wps">
            <w:drawing>
              <wp:anchor distT="0" distB="0" distL="0" distR="0" simplePos="0" relativeHeight="15746560" behindDoc="0" locked="0" layoutInCell="1" allowOverlap="1" wp14:anchorId="6A62A16E" wp14:editId="64D7DAD1">
                <wp:simplePos x="0" y="0"/>
                <wp:positionH relativeFrom="page">
                  <wp:posOffset>3926976</wp:posOffset>
                </wp:positionH>
                <wp:positionV relativeFrom="paragraph">
                  <wp:posOffset>941960</wp:posOffset>
                </wp:positionV>
                <wp:extent cx="150495" cy="1905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90500"/>
                        </a:xfrm>
                        <a:prstGeom prst="rect">
                          <a:avLst/>
                        </a:prstGeom>
                      </wps:spPr>
                      <wps:txbx>
                        <w:txbxContent>
                          <w:p w14:paraId="68CD7EBF" w14:textId="77777777" w:rsidR="000E52B0" w:rsidRDefault="00F60D74">
                            <w:pPr>
                              <w:spacing w:before="20"/>
                              <w:ind w:left="20"/>
                              <w:rPr>
                                <w:rFonts w:ascii="Trebuchet MS"/>
                                <w:sz w:val="16"/>
                              </w:rPr>
                            </w:pPr>
                            <w:r>
                              <w:rPr>
                                <w:rFonts w:ascii="Trebuchet MS"/>
                                <w:color w:val="404040"/>
                                <w:spacing w:val="-5"/>
                                <w:sz w:val="16"/>
                              </w:rPr>
                              <w:t>670</w:t>
                            </w:r>
                          </w:p>
                        </w:txbxContent>
                      </wps:txbx>
                      <wps:bodyPr vert="vert270" wrap="square" lIns="0" tIns="0" rIns="0" bIns="0" rtlCol="0">
                        <a:noAutofit/>
                      </wps:bodyPr>
                    </wps:wsp>
                  </a:graphicData>
                </a:graphic>
              </wp:anchor>
            </w:drawing>
          </mc:Choice>
          <mc:Fallback>
            <w:pict>
              <v:shape w14:anchorId="6A62A16E" id="Textbox 57" o:spid="_x0000_s1044" type="#_x0000_t202" style="position:absolute;left:0;text-align:left;margin-left:309.2pt;margin-top:74.15pt;width:11.85pt;height:15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" filled="f" stroked="f">
                <v:textbox style="layout-flow:vertical;mso-layout-flow-alt:bottom-to-top" inset="0,0,0,0">
                  <w:txbxContent>
                    <w:p w14:paraId="68CD7EBF" w14:textId="77777777" w:rsidR="000E52B0" w:rsidRDefault="00F60D74">
                      <w:pPr>
                        <w:spacing w:before="20"/>
                        <w:ind w:left="20"/>
                        <w:rPr>
                          <w:rFonts w:ascii="Trebuchet MS"/>
                          <w:sz w:val="16"/>
                        </w:rPr>
                      </w:pPr>
                      <w:r>
                        <w:rPr>
                          <w:rFonts w:ascii="Trebuchet MS"/>
                          <w:color w:val="404040"/>
                          <w:spacing w:val="-5"/>
                          <w:sz w:val="16"/>
                        </w:rPr>
                        <w:t>670</w:t>
                      </w:r>
                    </w:p>
                  </w:txbxContent>
                </v:textbox>
                <w10:wrap anchorx="page"/>
              </v:shape>
            </w:pict>
          </mc:Fallback>
        </mc:AlternateContent>
      </w:r>
      <w:r>
        <w:rPr>
          <w:i/>
          <w:noProof/>
          <w:sz w:val="18"/>
        </w:rPr>
        <mc:AlternateContent>
          <mc:Choice Requires="wps">
            <w:drawing>
              <wp:anchor distT="0" distB="0" distL="0" distR="0" simplePos="0" relativeHeight="15747072" behindDoc="0" locked="0" layoutInCell="1" allowOverlap="1" wp14:anchorId="47F2664E" wp14:editId="394BAB22">
                <wp:simplePos x="0" y="0"/>
                <wp:positionH relativeFrom="page">
                  <wp:posOffset>4120778</wp:posOffset>
                </wp:positionH>
                <wp:positionV relativeFrom="paragraph">
                  <wp:posOffset>640208</wp:posOffset>
                </wp:positionV>
                <wp:extent cx="150495" cy="1905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90500"/>
                        </a:xfrm>
                        <a:prstGeom prst="rect">
                          <a:avLst/>
                        </a:prstGeom>
                      </wps:spPr>
                      <wps:txbx>
                        <w:txbxContent>
                          <w:p w14:paraId="281A84F4" w14:textId="77777777" w:rsidR="000E52B0" w:rsidRDefault="00F60D74">
                            <w:pPr>
                              <w:spacing w:before="20"/>
                              <w:ind w:left="20"/>
                              <w:rPr>
                                <w:rFonts w:ascii="Trebuchet MS"/>
                                <w:sz w:val="16"/>
                              </w:rPr>
                            </w:pPr>
                            <w:r>
                              <w:rPr>
                                <w:rFonts w:ascii="Trebuchet MS"/>
                                <w:color w:val="404040"/>
                                <w:spacing w:val="-5"/>
                                <w:sz w:val="16"/>
                              </w:rPr>
                              <w:t>969</w:t>
                            </w:r>
                          </w:p>
                        </w:txbxContent>
                      </wps:txbx>
                      <wps:bodyPr vert="vert270" wrap="square" lIns="0" tIns="0" rIns="0" bIns="0" rtlCol="0">
                        <a:noAutofit/>
                      </wps:bodyPr>
                    </wps:wsp>
                  </a:graphicData>
                </a:graphic>
              </wp:anchor>
            </w:drawing>
          </mc:Choice>
          <mc:Fallback>
            <w:pict>
              <v:shape w14:anchorId="47F2664E" id="Textbox 58" o:spid="_x0000_s1045" type="#_x0000_t202" style="position:absolute;left:0;text-align:left;margin-left:324.45pt;margin-top:50.4pt;width:11.85pt;height:1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" filled="f" stroked="f">
                <v:textbox style="layout-flow:vertical;mso-layout-flow-alt:bottom-to-top" inset="0,0,0,0">
                  <w:txbxContent>
                    <w:p w14:paraId="281A84F4" w14:textId="77777777" w:rsidR="000E52B0" w:rsidRDefault="00F60D74">
                      <w:pPr>
                        <w:spacing w:before="20"/>
                        <w:ind w:left="20"/>
                        <w:rPr>
                          <w:rFonts w:ascii="Trebuchet MS"/>
                          <w:sz w:val="16"/>
                        </w:rPr>
                      </w:pPr>
                      <w:r>
                        <w:rPr>
                          <w:rFonts w:ascii="Trebuchet MS"/>
                          <w:color w:val="404040"/>
                          <w:spacing w:val="-5"/>
                          <w:sz w:val="16"/>
                        </w:rPr>
                        <w:t>969</w:t>
                      </w:r>
                    </w:p>
                  </w:txbxContent>
                </v:textbox>
                <w10:wrap anchorx="page"/>
              </v:shape>
            </w:pict>
          </mc:Fallback>
        </mc:AlternateContent>
      </w:r>
      <w:r>
        <w:rPr>
          <w:i/>
          <w:noProof/>
          <w:sz w:val="18"/>
        </w:rPr>
        <mc:AlternateContent>
          <mc:Choice Requires="wps">
            <w:drawing>
              <wp:anchor distT="0" distB="0" distL="0" distR="0" simplePos="0" relativeHeight="15747584" behindDoc="0" locked="0" layoutInCell="1" allowOverlap="1" wp14:anchorId="26F1074D" wp14:editId="07B1E78C">
                <wp:simplePos x="0" y="0"/>
                <wp:positionH relativeFrom="page">
                  <wp:posOffset>4607315</wp:posOffset>
                </wp:positionH>
                <wp:positionV relativeFrom="paragraph">
                  <wp:posOffset>1039750</wp:posOffset>
                </wp:positionV>
                <wp:extent cx="150495" cy="19050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90500"/>
                        </a:xfrm>
                        <a:prstGeom prst="rect">
                          <a:avLst/>
                        </a:prstGeom>
                      </wps:spPr>
                      <wps:txbx>
                        <w:txbxContent>
                          <w:p w14:paraId="594EBD51" w14:textId="77777777" w:rsidR="000E52B0" w:rsidRDefault="00F60D74">
                            <w:pPr>
                              <w:spacing w:before="20"/>
                              <w:ind w:left="20"/>
                              <w:rPr>
                                <w:rFonts w:ascii="Trebuchet MS"/>
                                <w:sz w:val="16"/>
                              </w:rPr>
                            </w:pPr>
                            <w:r>
                              <w:rPr>
                                <w:rFonts w:ascii="Trebuchet MS"/>
                                <w:color w:val="404040"/>
                                <w:spacing w:val="-5"/>
                                <w:sz w:val="16"/>
                              </w:rPr>
                              <w:t>573</w:t>
                            </w:r>
                          </w:p>
                        </w:txbxContent>
                      </wps:txbx>
                      <wps:bodyPr vert="vert270" wrap="square" lIns="0" tIns="0" rIns="0" bIns="0" rtlCol="0">
                        <a:noAutofit/>
                      </wps:bodyPr>
                    </wps:wsp>
                  </a:graphicData>
                </a:graphic>
              </wp:anchor>
            </w:drawing>
          </mc:Choice>
          <mc:Fallback>
            <w:pict>
              <v:shape w14:anchorId="26F1074D" id="Textbox 59" o:spid="_x0000_s1046" type="#_x0000_t202" style="position:absolute;left:0;text-align:left;margin-left:362.8pt;margin-top:81.85pt;width:11.85pt;height:1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" filled="f" stroked="f">
                <v:textbox style="layout-flow:vertical;mso-layout-flow-alt:bottom-to-top" inset="0,0,0,0">
                  <w:txbxContent>
                    <w:p w14:paraId="594EBD51" w14:textId="77777777" w:rsidR="000E52B0" w:rsidRDefault="00F60D74">
                      <w:pPr>
                        <w:spacing w:before="20"/>
                        <w:ind w:left="20"/>
                        <w:rPr>
                          <w:rFonts w:ascii="Trebuchet MS"/>
                          <w:sz w:val="16"/>
                        </w:rPr>
                      </w:pPr>
                      <w:r>
                        <w:rPr>
                          <w:rFonts w:ascii="Trebuchet MS"/>
                          <w:color w:val="404040"/>
                          <w:spacing w:val="-5"/>
                          <w:sz w:val="16"/>
                        </w:rPr>
                        <w:t>573</w:t>
                      </w:r>
                    </w:p>
                  </w:txbxContent>
                </v:textbox>
                <w10:wrap anchorx="page"/>
              </v:shape>
            </w:pict>
          </mc:Fallback>
        </mc:AlternateContent>
      </w:r>
      <w:r>
        <w:rPr>
          <w:i/>
          <w:noProof/>
          <w:sz w:val="18"/>
        </w:rPr>
        <mc:AlternateContent>
          <mc:Choice Requires="wps">
            <w:drawing>
              <wp:anchor distT="0" distB="0" distL="0" distR="0" simplePos="0" relativeHeight="15748096" behindDoc="0" locked="0" layoutInCell="1" allowOverlap="1" wp14:anchorId="4F0C9FC7" wp14:editId="325A7ECB">
                <wp:simplePos x="0" y="0"/>
                <wp:positionH relativeFrom="page">
                  <wp:posOffset>4800577</wp:posOffset>
                </wp:positionH>
                <wp:positionV relativeFrom="paragraph">
                  <wp:posOffset>765175</wp:posOffset>
                </wp:positionV>
                <wp:extent cx="150495" cy="19050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90500"/>
                        </a:xfrm>
                        <a:prstGeom prst="rect">
                          <a:avLst/>
                        </a:prstGeom>
                      </wps:spPr>
                      <wps:txbx>
                        <w:txbxContent>
                          <w:p w14:paraId="6FC605D3" w14:textId="77777777" w:rsidR="000E52B0" w:rsidRDefault="00F60D74">
                            <w:pPr>
                              <w:spacing w:before="21"/>
                              <w:ind w:left="20"/>
                              <w:rPr>
                                <w:rFonts w:ascii="Trebuchet MS"/>
                                <w:sz w:val="16"/>
                              </w:rPr>
                            </w:pPr>
                            <w:r>
                              <w:rPr>
                                <w:rFonts w:ascii="Trebuchet MS"/>
                                <w:color w:val="404040"/>
                                <w:spacing w:val="-5"/>
                                <w:sz w:val="16"/>
                              </w:rPr>
                              <w:t>845</w:t>
                            </w:r>
                          </w:p>
                        </w:txbxContent>
                      </wps:txbx>
                      <wps:bodyPr vert="vert270" wrap="square" lIns="0" tIns="0" rIns="0" bIns="0" rtlCol="0">
                        <a:noAutofit/>
                      </wps:bodyPr>
                    </wps:wsp>
                  </a:graphicData>
                </a:graphic>
              </wp:anchor>
            </w:drawing>
          </mc:Choice>
          <mc:Fallback>
            <w:pict>
              <v:shape w14:anchorId="4F0C9FC7" id="Textbox 60" o:spid="_x0000_s1047" type="#_x0000_t202" style="position:absolute;left:0;text-align:left;margin-left:378pt;margin-top:60.25pt;width:11.85pt;height:15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" filled="f" stroked="f">
                <v:textbox style="layout-flow:vertical;mso-layout-flow-alt:bottom-to-top" inset="0,0,0,0">
                  <w:txbxContent>
                    <w:p w14:paraId="6FC605D3" w14:textId="77777777" w:rsidR="000E52B0" w:rsidRDefault="00F60D74">
                      <w:pPr>
                        <w:spacing w:before="21"/>
                        <w:ind w:left="20"/>
                        <w:rPr>
                          <w:rFonts w:ascii="Trebuchet MS"/>
                          <w:sz w:val="16"/>
                        </w:rPr>
                      </w:pPr>
                      <w:r>
                        <w:rPr>
                          <w:rFonts w:ascii="Trebuchet MS"/>
                          <w:color w:val="404040"/>
                          <w:spacing w:val="-5"/>
                          <w:sz w:val="16"/>
                        </w:rPr>
                        <w:t>845</w:t>
                      </w:r>
                    </w:p>
                  </w:txbxContent>
                </v:textbox>
                <w10:wrap anchorx="page"/>
              </v:shape>
            </w:pict>
          </mc:Fallback>
        </mc:AlternateContent>
      </w:r>
      <w:r>
        <w:rPr>
          <w:i/>
          <w:noProof/>
          <w:sz w:val="18"/>
        </w:rPr>
        <mc:AlternateContent>
          <mc:Choice Requires="wps">
            <w:drawing>
              <wp:anchor distT="0" distB="0" distL="0" distR="0" simplePos="0" relativeHeight="15748608" behindDoc="0" locked="0" layoutInCell="1" allowOverlap="1" wp14:anchorId="54BF01FE" wp14:editId="3EBC5BB8">
                <wp:simplePos x="0" y="0"/>
                <wp:positionH relativeFrom="page">
                  <wp:posOffset>5287653</wp:posOffset>
                </wp:positionH>
                <wp:positionV relativeFrom="paragraph">
                  <wp:posOffset>342394</wp:posOffset>
                </wp:positionV>
                <wp:extent cx="344170" cy="2451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245110"/>
                        </a:xfrm>
                        <a:prstGeom prst="rect">
                          <a:avLst/>
                        </a:prstGeom>
                      </wps:spPr>
                      <wps:txbx>
                        <w:txbxContent>
                          <w:p w14:paraId="46F9ADCA" w14:textId="77777777" w:rsidR="000E52B0" w:rsidRDefault="00F60D74">
                            <w:pPr>
                              <w:spacing w:before="20"/>
                              <w:ind w:left="20"/>
                              <w:rPr>
                                <w:rFonts w:ascii="Trebuchet MS"/>
                                <w:sz w:val="16"/>
                              </w:rPr>
                            </w:pPr>
                            <w:r>
                              <w:rPr>
                                <w:rFonts w:ascii="Trebuchet MS"/>
                                <w:color w:val="404040"/>
                                <w:spacing w:val="-4"/>
                                <w:sz w:val="16"/>
                              </w:rPr>
                              <w:t>1272</w:t>
                            </w:r>
                          </w:p>
                          <w:p w14:paraId="738CF05A" w14:textId="77777777" w:rsidR="000E52B0" w:rsidRDefault="00F60D74">
                            <w:pPr>
                              <w:spacing w:before="119"/>
                              <w:ind w:left="20"/>
                              <w:rPr>
                                <w:rFonts w:ascii="Trebuchet MS"/>
                                <w:sz w:val="16"/>
                              </w:rPr>
                            </w:pPr>
                            <w:r>
                              <w:rPr>
                                <w:rFonts w:ascii="Trebuchet MS"/>
                                <w:color w:val="404040"/>
                                <w:spacing w:val="-4"/>
                                <w:sz w:val="16"/>
                              </w:rPr>
                              <w:t>1263</w:t>
                            </w:r>
                          </w:p>
                        </w:txbxContent>
                      </wps:txbx>
                      <wps:bodyPr vert="vert270" wrap="square" lIns="0" tIns="0" rIns="0" bIns="0" rtlCol="0">
                        <a:noAutofit/>
                      </wps:bodyPr>
                    </wps:wsp>
                  </a:graphicData>
                </a:graphic>
              </wp:anchor>
            </w:drawing>
          </mc:Choice>
          <mc:Fallback>
            <w:pict>
              <v:shape w14:anchorId="54BF01FE" id="Textbox 61" o:spid="_x0000_s1048" type="#_x0000_t202" style="position:absolute;left:0;text-align:left;margin-left:416.35pt;margin-top:26.95pt;width:27.1pt;height:19.3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" filled="f" stroked="f">
                <v:textbox style="layout-flow:vertical;mso-layout-flow-alt:bottom-to-top" inset="0,0,0,0">
                  <w:txbxContent>
                    <w:p w14:paraId="46F9ADCA" w14:textId="77777777" w:rsidR="000E52B0" w:rsidRDefault="00F60D74">
                      <w:pPr>
                        <w:spacing w:before="20"/>
                        <w:ind w:left="20"/>
                        <w:rPr>
                          <w:rFonts w:ascii="Trebuchet MS"/>
                          <w:sz w:val="16"/>
                        </w:rPr>
                      </w:pPr>
                      <w:r>
                        <w:rPr>
                          <w:rFonts w:ascii="Trebuchet MS"/>
                          <w:color w:val="404040"/>
                          <w:spacing w:val="-4"/>
                          <w:sz w:val="16"/>
                        </w:rPr>
                        <w:t>1272</w:t>
                      </w:r>
                    </w:p>
                    <w:p w14:paraId="738CF05A" w14:textId="77777777" w:rsidR="000E52B0" w:rsidRDefault="00F60D74">
                      <w:pPr>
                        <w:spacing w:before="119"/>
                        <w:ind w:left="20"/>
                        <w:rPr>
                          <w:rFonts w:ascii="Trebuchet MS"/>
                          <w:sz w:val="16"/>
                        </w:rPr>
                      </w:pPr>
                      <w:r>
                        <w:rPr>
                          <w:rFonts w:ascii="Trebuchet MS"/>
                          <w:color w:val="404040"/>
                          <w:spacing w:val="-4"/>
                          <w:sz w:val="16"/>
                        </w:rPr>
                        <w:t>1263</w:t>
                      </w:r>
                    </w:p>
                  </w:txbxContent>
                </v:textbox>
                <w10:wrap anchorx="page"/>
              </v:shape>
            </w:pict>
          </mc:Fallback>
        </mc:AlternateContent>
      </w:r>
      <w:r>
        <w:rPr>
          <w:i/>
          <w:noProof/>
          <w:sz w:val="18"/>
        </w:rPr>
        <mc:AlternateContent>
          <mc:Choice Requires="wps">
            <w:drawing>
              <wp:anchor distT="0" distB="0" distL="0" distR="0" simplePos="0" relativeHeight="15749120" behindDoc="0" locked="0" layoutInCell="1" allowOverlap="1" wp14:anchorId="5B1771A4" wp14:editId="2D6F8B94">
                <wp:simplePos x="0" y="0"/>
                <wp:positionH relativeFrom="page">
                  <wp:posOffset>5967612</wp:posOffset>
                </wp:positionH>
                <wp:positionV relativeFrom="paragraph">
                  <wp:posOffset>364619</wp:posOffset>
                </wp:positionV>
                <wp:extent cx="344170" cy="32702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327025"/>
                        </a:xfrm>
                        <a:prstGeom prst="rect">
                          <a:avLst/>
                        </a:prstGeom>
                      </wps:spPr>
                      <wps:txbx>
                        <w:txbxContent>
                          <w:p w14:paraId="376B182F" w14:textId="77777777" w:rsidR="000E52B0" w:rsidRDefault="00F60D74">
                            <w:pPr>
                              <w:spacing w:before="20"/>
                              <w:ind w:left="20"/>
                              <w:rPr>
                                <w:rFonts w:ascii="Trebuchet MS"/>
                                <w:sz w:val="16"/>
                              </w:rPr>
                            </w:pPr>
                            <w:r>
                              <w:rPr>
                                <w:rFonts w:ascii="Trebuchet MS"/>
                                <w:color w:val="404040"/>
                                <w:spacing w:val="-4"/>
                                <w:sz w:val="16"/>
                              </w:rPr>
                              <w:t>1107</w:t>
                            </w:r>
                          </w:p>
                          <w:p w14:paraId="228B974C" w14:textId="77777777" w:rsidR="000E52B0" w:rsidRDefault="00F60D74">
                            <w:pPr>
                              <w:spacing w:before="120"/>
                              <w:ind w:left="148"/>
                              <w:rPr>
                                <w:rFonts w:ascii="Trebuchet MS"/>
                                <w:sz w:val="16"/>
                              </w:rPr>
                            </w:pPr>
                            <w:r>
                              <w:rPr>
                                <w:rFonts w:ascii="Trebuchet MS"/>
                                <w:color w:val="404040"/>
                                <w:spacing w:val="-4"/>
                                <w:sz w:val="16"/>
                              </w:rPr>
                              <w:t>1188</w:t>
                            </w:r>
                          </w:p>
                        </w:txbxContent>
                      </wps:txbx>
                      <wps:bodyPr vert="vert270" wrap="square" lIns="0" tIns="0" rIns="0" bIns="0" rtlCol="0">
                        <a:noAutofit/>
                      </wps:bodyPr>
                    </wps:wsp>
                  </a:graphicData>
                </a:graphic>
              </wp:anchor>
            </w:drawing>
          </mc:Choice>
          <mc:Fallback>
            <w:pict>
              <v:shape w14:anchorId="5B1771A4" id="Textbox 62" o:spid="_x0000_s1049" type="#_x0000_t202" style="position:absolute;left:0;text-align:left;margin-left:469.9pt;margin-top:28.7pt;width:27.1pt;height:25.7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" filled="f" stroked="f">
                <v:textbox style="layout-flow:vertical;mso-layout-flow-alt:bottom-to-top" inset="0,0,0,0">
                  <w:txbxContent>
                    <w:p w14:paraId="376B182F" w14:textId="77777777" w:rsidR="000E52B0" w:rsidRDefault="00F60D74">
                      <w:pPr>
                        <w:spacing w:before="20"/>
                        <w:ind w:left="20"/>
                        <w:rPr>
                          <w:rFonts w:ascii="Trebuchet MS"/>
                          <w:sz w:val="16"/>
                        </w:rPr>
                      </w:pPr>
                      <w:r>
                        <w:rPr>
                          <w:rFonts w:ascii="Trebuchet MS"/>
                          <w:color w:val="404040"/>
                          <w:spacing w:val="-4"/>
                          <w:sz w:val="16"/>
                        </w:rPr>
                        <w:t>1107</w:t>
                      </w:r>
                    </w:p>
                    <w:p w14:paraId="228B974C" w14:textId="77777777" w:rsidR="000E52B0" w:rsidRDefault="00F60D74">
                      <w:pPr>
                        <w:spacing w:before="120"/>
                        <w:ind w:left="148"/>
                        <w:rPr>
                          <w:rFonts w:ascii="Trebuchet MS"/>
                          <w:sz w:val="16"/>
                        </w:rPr>
                      </w:pPr>
                      <w:r>
                        <w:rPr>
                          <w:rFonts w:ascii="Trebuchet MS"/>
                          <w:color w:val="404040"/>
                          <w:spacing w:val="-4"/>
                          <w:sz w:val="16"/>
                        </w:rPr>
                        <w:t>1188</w:t>
                      </w:r>
                    </w:p>
                  </w:txbxContent>
                </v:textbox>
                <w10:wrap anchorx="page"/>
              </v:shape>
            </w:pict>
          </mc:Fallback>
        </mc:AlternateContent>
      </w:r>
      <w:bookmarkStart w:id="16" w:name="_bookmark16"/>
      <w:bookmarkEnd w:id="16"/>
      <w:r>
        <w:rPr>
          <w:i/>
          <w:color w:val="454551"/>
          <w:sz w:val="18"/>
        </w:rPr>
        <w:t>Ilustración</w:t>
      </w:r>
      <w:r>
        <w:rPr>
          <w:i/>
          <w:color w:val="454551"/>
          <w:spacing w:val="-1"/>
          <w:sz w:val="18"/>
        </w:rPr>
        <w:t xml:space="preserve"> </w:t>
      </w:r>
      <w:r>
        <w:rPr>
          <w:i/>
          <w:color w:val="454551"/>
          <w:sz w:val="18"/>
        </w:rPr>
        <w:t>15.</w:t>
      </w:r>
      <w:r>
        <w:rPr>
          <w:i/>
          <w:color w:val="454551"/>
          <w:spacing w:val="-5"/>
          <w:sz w:val="18"/>
        </w:rPr>
        <w:t xml:space="preserve"> </w:t>
      </w:r>
      <w:r>
        <w:rPr>
          <w:i/>
          <w:color w:val="454551"/>
          <w:sz w:val="18"/>
        </w:rPr>
        <w:t>Ingresos</w:t>
      </w:r>
      <w:r>
        <w:rPr>
          <w:i/>
          <w:color w:val="454551"/>
          <w:spacing w:val="-3"/>
          <w:sz w:val="18"/>
        </w:rPr>
        <w:t xml:space="preserve"> </w:t>
      </w:r>
      <w:r>
        <w:rPr>
          <w:i/>
          <w:color w:val="454551"/>
          <w:sz w:val="18"/>
        </w:rPr>
        <w:t>promedio</w:t>
      </w:r>
      <w:r>
        <w:rPr>
          <w:i/>
          <w:color w:val="454551"/>
          <w:spacing w:val="-3"/>
          <w:sz w:val="18"/>
        </w:rPr>
        <w:t xml:space="preserve"> </w:t>
      </w:r>
      <w:r>
        <w:rPr>
          <w:i/>
          <w:color w:val="454551"/>
          <w:sz w:val="18"/>
        </w:rPr>
        <w:t>2021,</w:t>
      </w:r>
      <w:r>
        <w:rPr>
          <w:i/>
          <w:color w:val="454551"/>
          <w:spacing w:val="-5"/>
          <w:sz w:val="18"/>
        </w:rPr>
        <w:t xml:space="preserve"> </w:t>
      </w:r>
      <w:r>
        <w:rPr>
          <w:i/>
          <w:color w:val="454551"/>
          <w:sz w:val="18"/>
        </w:rPr>
        <w:t>en</w:t>
      </w:r>
      <w:r>
        <w:rPr>
          <w:i/>
          <w:color w:val="454551"/>
          <w:spacing w:val="-2"/>
          <w:sz w:val="18"/>
        </w:rPr>
        <w:t xml:space="preserve"> </w:t>
      </w:r>
      <w:r>
        <w:rPr>
          <w:i/>
          <w:color w:val="454551"/>
          <w:sz w:val="18"/>
        </w:rPr>
        <w:t>miles</w:t>
      </w:r>
      <w:r>
        <w:rPr>
          <w:i/>
          <w:color w:val="454551"/>
          <w:spacing w:val="-4"/>
          <w:sz w:val="18"/>
        </w:rPr>
        <w:t xml:space="preserve"> </w:t>
      </w:r>
      <w:r>
        <w:rPr>
          <w:i/>
          <w:color w:val="454551"/>
          <w:sz w:val="18"/>
        </w:rPr>
        <w:t>de</w:t>
      </w:r>
      <w:r>
        <w:rPr>
          <w:i/>
          <w:color w:val="454551"/>
          <w:spacing w:val="-5"/>
          <w:sz w:val="18"/>
        </w:rPr>
        <w:t xml:space="preserve"> </w:t>
      </w:r>
      <w:r>
        <w:rPr>
          <w:i/>
          <w:color w:val="454551"/>
          <w:spacing w:val="-2"/>
          <w:sz w:val="18"/>
        </w:rPr>
        <w:t>pesos</w:t>
      </w:r>
    </w:p>
    <w:p w14:paraId="04FC4C6B" w14:textId="77777777" w:rsidR="000E52B0" w:rsidRDefault="000E52B0">
      <w:pPr>
        <w:pStyle w:val="Textoindependiente"/>
        <w:ind w:left="0"/>
        <w:rPr>
          <w:i/>
          <w:sz w:val="20"/>
        </w:rPr>
      </w:pPr>
    </w:p>
    <w:p w14:paraId="5E0C52F3" w14:textId="77777777" w:rsidR="000E52B0" w:rsidRDefault="000E52B0">
      <w:pPr>
        <w:pStyle w:val="Textoindependiente"/>
        <w:ind w:left="0"/>
        <w:rPr>
          <w:i/>
          <w:sz w:val="20"/>
        </w:rPr>
      </w:pPr>
    </w:p>
    <w:p w14:paraId="19D72951" w14:textId="77777777" w:rsidR="000E52B0" w:rsidRDefault="000E52B0">
      <w:pPr>
        <w:pStyle w:val="Textoindependiente"/>
        <w:ind w:left="0"/>
        <w:rPr>
          <w:i/>
          <w:sz w:val="20"/>
        </w:rPr>
      </w:pPr>
    </w:p>
    <w:p w14:paraId="6E58D79F" w14:textId="77777777" w:rsidR="000E52B0" w:rsidRDefault="000E52B0">
      <w:pPr>
        <w:pStyle w:val="Textoindependiente"/>
        <w:ind w:left="0"/>
        <w:rPr>
          <w:i/>
          <w:sz w:val="20"/>
        </w:rPr>
      </w:pPr>
    </w:p>
    <w:p w14:paraId="6154EEBD" w14:textId="77777777" w:rsidR="000E52B0" w:rsidRDefault="000E52B0">
      <w:pPr>
        <w:pStyle w:val="Textoindependiente"/>
        <w:ind w:left="0"/>
        <w:rPr>
          <w:i/>
          <w:sz w:val="20"/>
        </w:rPr>
      </w:pPr>
    </w:p>
    <w:p w14:paraId="1257ABCB" w14:textId="77777777" w:rsidR="000E52B0" w:rsidRDefault="000E52B0">
      <w:pPr>
        <w:pStyle w:val="Textoindependiente"/>
        <w:ind w:left="0"/>
        <w:rPr>
          <w:i/>
          <w:sz w:val="20"/>
        </w:rPr>
      </w:pPr>
    </w:p>
    <w:p w14:paraId="48664A23" w14:textId="77777777" w:rsidR="000E52B0" w:rsidRDefault="000E52B0">
      <w:pPr>
        <w:pStyle w:val="Textoindependiente"/>
        <w:ind w:left="0"/>
        <w:rPr>
          <w:i/>
          <w:sz w:val="20"/>
        </w:rPr>
      </w:pPr>
    </w:p>
    <w:p w14:paraId="1736EDD2" w14:textId="77777777" w:rsidR="000E52B0" w:rsidRDefault="000E52B0">
      <w:pPr>
        <w:pStyle w:val="Textoindependiente"/>
        <w:ind w:left="0"/>
        <w:rPr>
          <w:i/>
          <w:sz w:val="20"/>
        </w:rPr>
      </w:pPr>
    </w:p>
    <w:p w14:paraId="314E413F" w14:textId="77777777" w:rsidR="000E52B0" w:rsidRDefault="000E52B0">
      <w:pPr>
        <w:pStyle w:val="Textoindependiente"/>
        <w:ind w:left="0"/>
        <w:rPr>
          <w:i/>
          <w:sz w:val="20"/>
        </w:rPr>
      </w:pPr>
    </w:p>
    <w:p w14:paraId="2229CAF5" w14:textId="77777777" w:rsidR="000E52B0" w:rsidRDefault="000E52B0">
      <w:pPr>
        <w:pStyle w:val="Textoindependiente"/>
        <w:spacing w:before="216"/>
        <w:ind w:left="0"/>
        <w:rPr>
          <w:i/>
          <w:sz w:val="20"/>
        </w:rPr>
      </w:pPr>
    </w:p>
    <w:p w14:paraId="385BCDE7" w14:textId="77777777" w:rsidR="000E52B0" w:rsidRDefault="000E52B0">
      <w:pPr>
        <w:pStyle w:val="Textoindependiente"/>
        <w:rPr>
          <w:i/>
          <w:sz w:val="20"/>
        </w:rPr>
        <w:sectPr w:rsidR="000E52B0">
          <w:pgSz w:w="11910" w:h="16840"/>
          <w:pgMar w:top="1340" w:right="720" w:bottom="1180" w:left="720" w:header="0" w:footer="995" w:gutter="0"/>
          <w:cols w:space="720"/>
        </w:sectPr>
      </w:pPr>
    </w:p>
    <w:p w14:paraId="34F6F9E6" w14:textId="77777777" w:rsidR="000E52B0" w:rsidRDefault="00F60D74">
      <w:pPr>
        <w:tabs>
          <w:tab w:val="left" w:pos="2243"/>
        </w:tabs>
        <w:spacing w:before="101" w:line="400" w:lineRule="auto"/>
        <w:ind w:left="1813" w:hanging="686"/>
        <w:rPr>
          <w:rFonts w:ascii="Trebuchet MS"/>
          <w:sz w:val="16"/>
        </w:rPr>
      </w:pPr>
      <w:r>
        <w:rPr>
          <w:rFonts w:ascii="Trebuchet MS"/>
          <w:noProof/>
          <w:sz w:val="16"/>
        </w:rPr>
        <mc:AlternateContent>
          <mc:Choice Requires="wpg">
            <w:drawing>
              <wp:anchor distT="0" distB="0" distL="0" distR="0" simplePos="0" relativeHeight="482243072" behindDoc="1" locked="0" layoutInCell="1" allowOverlap="1" wp14:anchorId="2B4A6EEE" wp14:editId="618E62D8">
                <wp:simplePos x="0" y="0"/>
                <wp:positionH relativeFrom="page">
                  <wp:posOffset>1032649</wp:posOffset>
                </wp:positionH>
                <wp:positionV relativeFrom="paragraph">
                  <wp:posOffset>-1283604</wp:posOffset>
                </wp:positionV>
                <wp:extent cx="5450205" cy="1834514"/>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0205" cy="1834514"/>
                          <a:chOff x="0" y="0"/>
                          <a:chExt cx="5450205" cy="1834514"/>
                        </a:xfrm>
                      </wpg:grpSpPr>
                      <wps:wsp>
                        <wps:cNvPr id="64" name="Graphic 64"/>
                        <wps:cNvSpPr/>
                        <wps:spPr>
                          <a:xfrm>
                            <a:off x="171310" y="0"/>
                            <a:ext cx="4913630" cy="1283335"/>
                          </a:xfrm>
                          <a:custGeom>
                            <a:avLst/>
                            <a:gdLst/>
                            <a:ahLst/>
                            <a:cxnLst/>
                            <a:rect l="l" t="t" r="r" b="b"/>
                            <a:pathLst>
                              <a:path w="4913630" h="1283335">
                                <a:moveTo>
                                  <a:pt x="152400" y="42672"/>
                                </a:moveTo>
                                <a:lnTo>
                                  <a:pt x="0" y="42672"/>
                                </a:lnTo>
                                <a:lnTo>
                                  <a:pt x="0" y="1283208"/>
                                </a:lnTo>
                                <a:lnTo>
                                  <a:pt x="152400" y="1283208"/>
                                </a:lnTo>
                                <a:lnTo>
                                  <a:pt x="152400" y="42672"/>
                                </a:lnTo>
                                <a:close/>
                              </a:path>
                              <a:path w="4913630" h="1283335">
                                <a:moveTo>
                                  <a:pt x="833628" y="201168"/>
                                </a:moveTo>
                                <a:lnTo>
                                  <a:pt x="679704" y="201168"/>
                                </a:lnTo>
                                <a:lnTo>
                                  <a:pt x="679704" y="1283208"/>
                                </a:lnTo>
                                <a:lnTo>
                                  <a:pt x="833628" y="1283208"/>
                                </a:lnTo>
                                <a:lnTo>
                                  <a:pt x="833628" y="201168"/>
                                </a:lnTo>
                                <a:close/>
                              </a:path>
                              <a:path w="4913630" h="1283335">
                                <a:moveTo>
                                  <a:pt x="1513332" y="289560"/>
                                </a:moveTo>
                                <a:lnTo>
                                  <a:pt x="1360932" y="289560"/>
                                </a:lnTo>
                                <a:lnTo>
                                  <a:pt x="1360932" y="1283208"/>
                                </a:lnTo>
                                <a:lnTo>
                                  <a:pt x="1513332" y="1283208"/>
                                </a:lnTo>
                                <a:lnTo>
                                  <a:pt x="1513332" y="289560"/>
                                </a:lnTo>
                                <a:close/>
                              </a:path>
                              <a:path w="4913630" h="1283335">
                                <a:moveTo>
                                  <a:pt x="2193036" y="414528"/>
                                </a:moveTo>
                                <a:lnTo>
                                  <a:pt x="2040636" y="414528"/>
                                </a:lnTo>
                                <a:lnTo>
                                  <a:pt x="2040636" y="1283208"/>
                                </a:lnTo>
                                <a:lnTo>
                                  <a:pt x="2193036" y="1283208"/>
                                </a:lnTo>
                                <a:lnTo>
                                  <a:pt x="2193036" y="414528"/>
                                </a:lnTo>
                                <a:close/>
                              </a:path>
                              <a:path w="4913630" h="1283335">
                                <a:moveTo>
                                  <a:pt x="2872740" y="606552"/>
                                </a:moveTo>
                                <a:lnTo>
                                  <a:pt x="2720340" y="606552"/>
                                </a:lnTo>
                                <a:lnTo>
                                  <a:pt x="2720340" y="1283208"/>
                                </a:lnTo>
                                <a:lnTo>
                                  <a:pt x="2872740" y="1283208"/>
                                </a:lnTo>
                                <a:lnTo>
                                  <a:pt x="2872740" y="606552"/>
                                </a:lnTo>
                                <a:close/>
                              </a:path>
                              <a:path w="4913630" h="1283335">
                                <a:moveTo>
                                  <a:pt x="3552444" y="705612"/>
                                </a:moveTo>
                                <a:lnTo>
                                  <a:pt x="3400044" y="705612"/>
                                </a:lnTo>
                                <a:lnTo>
                                  <a:pt x="3400044" y="1283208"/>
                                </a:lnTo>
                                <a:lnTo>
                                  <a:pt x="3552444" y="1283208"/>
                                </a:lnTo>
                                <a:lnTo>
                                  <a:pt x="3552444" y="705612"/>
                                </a:lnTo>
                                <a:close/>
                              </a:path>
                              <a:path w="4913630" h="1283335">
                                <a:moveTo>
                                  <a:pt x="4233672" y="0"/>
                                </a:moveTo>
                                <a:lnTo>
                                  <a:pt x="4081272" y="0"/>
                                </a:lnTo>
                                <a:lnTo>
                                  <a:pt x="4081272" y="1283208"/>
                                </a:lnTo>
                                <a:lnTo>
                                  <a:pt x="4233672" y="1283208"/>
                                </a:lnTo>
                                <a:lnTo>
                                  <a:pt x="4233672" y="0"/>
                                </a:lnTo>
                                <a:close/>
                              </a:path>
                              <a:path w="4913630" h="1283335">
                                <a:moveTo>
                                  <a:pt x="4913376" y="166116"/>
                                </a:moveTo>
                                <a:lnTo>
                                  <a:pt x="4760976" y="166116"/>
                                </a:lnTo>
                                <a:lnTo>
                                  <a:pt x="4760976" y="1283208"/>
                                </a:lnTo>
                                <a:lnTo>
                                  <a:pt x="4913376" y="1283208"/>
                                </a:lnTo>
                                <a:lnTo>
                                  <a:pt x="4913376" y="166116"/>
                                </a:lnTo>
                                <a:close/>
                              </a:path>
                            </a:pathLst>
                          </a:custGeom>
                          <a:solidFill>
                            <a:srgbClr val="E22C91"/>
                          </a:solidFill>
                        </wps:spPr>
                        <wps:bodyPr wrap="square" lIns="0" tIns="0" rIns="0" bIns="0" rtlCol="0">
                          <a:prstTxWarp prst="textNoShape">
                            <a:avLst/>
                          </a:prstTxWarp>
                          <a:noAutofit/>
                        </wps:bodyPr>
                      </wps:wsp>
                      <wps:wsp>
                        <wps:cNvPr id="65" name="Graphic 65"/>
                        <wps:cNvSpPr/>
                        <wps:spPr>
                          <a:xfrm>
                            <a:off x="364858" y="9143"/>
                            <a:ext cx="4913630" cy="1274445"/>
                          </a:xfrm>
                          <a:custGeom>
                            <a:avLst/>
                            <a:gdLst/>
                            <a:ahLst/>
                            <a:cxnLst/>
                            <a:rect l="l" t="t" r="r" b="b"/>
                            <a:pathLst>
                              <a:path w="4913630" h="1274445">
                                <a:moveTo>
                                  <a:pt x="152400" y="39624"/>
                                </a:moveTo>
                                <a:lnTo>
                                  <a:pt x="0" y="39624"/>
                                </a:lnTo>
                                <a:lnTo>
                                  <a:pt x="0" y="1274064"/>
                                </a:lnTo>
                                <a:lnTo>
                                  <a:pt x="152400" y="1274064"/>
                                </a:lnTo>
                                <a:lnTo>
                                  <a:pt x="152400" y="39624"/>
                                </a:lnTo>
                                <a:close/>
                              </a:path>
                              <a:path w="4913630" h="1274445">
                                <a:moveTo>
                                  <a:pt x="833628" y="117348"/>
                                </a:moveTo>
                                <a:lnTo>
                                  <a:pt x="681228" y="117348"/>
                                </a:lnTo>
                                <a:lnTo>
                                  <a:pt x="681228" y="1274064"/>
                                </a:lnTo>
                                <a:lnTo>
                                  <a:pt x="833628" y="1274064"/>
                                </a:lnTo>
                                <a:lnTo>
                                  <a:pt x="833628" y="117348"/>
                                </a:lnTo>
                                <a:close/>
                              </a:path>
                              <a:path w="4913630" h="1274445">
                                <a:moveTo>
                                  <a:pt x="1513332" y="582168"/>
                                </a:moveTo>
                                <a:lnTo>
                                  <a:pt x="1360932" y="582168"/>
                                </a:lnTo>
                                <a:lnTo>
                                  <a:pt x="1360932" y="1274064"/>
                                </a:lnTo>
                                <a:lnTo>
                                  <a:pt x="1513332" y="1274064"/>
                                </a:lnTo>
                                <a:lnTo>
                                  <a:pt x="1513332" y="582168"/>
                                </a:lnTo>
                                <a:close/>
                              </a:path>
                              <a:path w="4913630" h="1274445">
                                <a:moveTo>
                                  <a:pt x="2193036" y="723900"/>
                                </a:moveTo>
                                <a:lnTo>
                                  <a:pt x="2040636" y="723900"/>
                                </a:lnTo>
                                <a:lnTo>
                                  <a:pt x="2040636" y="1274064"/>
                                </a:lnTo>
                                <a:lnTo>
                                  <a:pt x="2193036" y="1274064"/>
                                </a:lnTo>
                                <a:lnTo>
                                  <a:pt x="2193036" y="723900"/>
                                </a:lnTo>
                                <a:close/>
                              </a:path>
                              <a:path w="4913630" h="1274445">
                                <a:moveTo>
                                  <a:pt x="2872740" y="295656"/>
                                </a:moveTo>
                                <a:lnTo>
                                  <a:pt x="2720340" y="295656"/>
                                </a:lnTo>
                                <a:lnTo>
                                  <a:pt x="2720340" y="1274064"/>
                                </a:lnTo>
                                <a:lnTo>
                                  <a:pt x="2872740" y="1274064"/>
                                </a:lnTo>
                                <a:lnTo>
                                  <a:pt x="2872740" y="295656"/>
                                </a:lnTo>
                                <a:close/>
                              </a:path>
                              <a:path w="4913630" h="1274445">
                                <a:moveTo>
                                  <a:pt x="3553968" y="422148"/>
                                </a:moveTo>
                                <a:lnTo>
                                  <a:pt x="3400044" y="422148"/>
                                </a:lnTo>
                                <a:lnTo>
                                  <a:pt x="3400044" y="1274064"/>
                                </a:lnTo>
                                <a:lnTo>
                                  <a:pt x="3553968" y="1274064"/>
                                </a:lnTo>
                                <a:lnTo>
                                  <a:pt x="3553968" y="422148"/>
                                </a:lnTo>
                                <a:close/>
                              </a:path>
                              <a:path w="4913630" h="1274445">
                                <a:moveTo>
                                  <a:pt x="4233672" y="0"/>
                                </a:moveTo>
                                <a:lnTo>
                                  <a:pt x="4081272" y="0"/>
                                </a:lnTo>
                                <a:lnTo>
                                  <a:pt x="4081272" y="1274064"/>
                                </a:lnTo>
                                <a:lnTo>
                                  <a:pt x="4233672" y="1274064"/>
                                </a:lnTo>
                                <a:lnTo>
                                  <a:pt x="4233672" y="0"/>
                                </a:lnTo>
                                <a:close/>
                              </a:path>
                              <a:path w="4913630" h="1274445">
                                <a:moveTo>
                                  <a:pt x="4913376" y="74676"/>
                                </a:moveTo>
                                <a:lnTo>
                                  <a:pt x="4760976" y="74676"/>
                                </a:lnTo>
                                <a:lnTo>
                                  <a:pt x="4760976" y="1274064"/>
                                </a:lnTo>
                                <a:lnTo>
                                  <a:pt x="4913376" y="1274064"/>
                                </a:lnTo>
                                <a:lnTo>
                                  <a:pt x="4913376" y="74676"/>
                                </a:lnTo>
                                <a:close/>
                              </a:path>
                            </a:pathLst>
                          </a:custGeom>
                          <a:solidFill>
                            <a:srgbClr val="FFC000"/>
                          </a:solidFill>
                        </wps:spPr>
                        <wps:bodyPr wrap="square" lIns="0" tIns="0" rIns="0" bIns="0" rtlCol="0">
                          <a:prstTxWarp prst="textNoShape">
                            <a:avLst/>
                          </a:prstTxWarp>
                          <a:noAutofit/>
                        </wps:bodyPr>
                      </wps:wsp>
                      <wps:wsp>
                        <wps:cNvPr id="66" name="Graphic 66"/>
                        <wps:cNvSpPr/>
                        <wps:spPr>
                          <a:xfrm>
                            <a:off x="4762" y="1283208"/>
                            <a:ext cx="5440680" cy="518795"/>
                          </a:xfrm>
                          <a:custGeom>
                            <a:avLst/>
                            <a:gdLst/>
                            <a:ahLst/>
                            <a:cxnLst/>
                            <a:rect l="l" t="t" r="r" b="b"/>
                            <a:pathLst>
                              <a:path w="5440680" h="518795">
                                <a:moveTo>
                                  <a:pt x="0" y="0"/>
                                </a:moveTo>
                                <a:lnTo>
                                  <a:pt x="5440349" y="0"/>
                                </a:lnTo>
                              </a:path>
                              <a:path w="5440680" h="518795">
                                <a:moveTo>
                                  <a:pt x="0" y="0"/>
                                </a:moveTo>
                                <a:lnTo>
                                  <a:pt x="0" y="197103"/>
                                </a:lnTo>
                              </a:path>
                              <a:path w="5440680" h="518795">
                                <a:moveTo>
                                  <a:pt x="1359839" y="0"/>
                                </a:moveTo>
                                <a:lnTo>
                                  <a:pt x="1359839" y="197103"/>
                                </a:lnTo>
                              </a:path>
                              <a:path w="5440680" h="518795">
                                <a:moveTo>
                                  <a:pt x="2720771" y="0"/>
                                </a:moveTo>
                                <a:lnTo>
                                  <a:pt x="2720771" y="197103"/>
                                </a:lnTo>
                              </a:path>
                              <a:path w="5440680" h="518795">
                                <a:moveTo>
                                  <a:pt x="4080179" y="0"/>
                                </a:moveTo>
                                <a:lnTo>
                                  <a:pt x="4080179" y="197103"/>
                                </a:lnTo>
                              </a:path>
                              <a:path w="5440680" h="518795">
                                <a:moveTo>
                                  <a:pt x="5440349" y="0"/>
                                </a:moveTo>
                                <a:lnTo>
                                  <a:pt x="5440349" y="197103"/>
                                </a:lnTo>
                              </a:path>
                              <a:path w="5440680" h="518795">
                                <a:moveTo>
                                  <a:pt x="0" y="197103"/>
                                </a:moveTo>
                                <a:lnTo>
                                  <a:pt x="0" y="518286"/>
                                </a:lnTo>
                              </a:path>
                              <a:path w="5440680" h="518795">
                                <a:moveTo>
                                  <a:pt x="1359839" y="197103"/>
                                </a:moveTo>
                                <a:lnTo>
                                  <a:pt x="1359839" y="518286"/>
                                </a:lnTo>
                              </a:path>
                              <a:path w="5440680" h="518795">
                                <a:moveTo>
                                  <a:pt x="2720771" y="197103"/>
                                </a:moveTo>
                                <a:lnTo>
                                  <a:pt x="2720771" y="518286"/>
                                </a:lnTo>
                              </a:path>
                              <a:path w="5440680" h="518795">
                                <a:moveTo>
                                  <a:pt x="4080179" y="197103"/>
                                </a:moveTo>
                                <a:lnTo>
                                  <a:pt x="4080179" y="518286"/>
                                </a:lnTo>
                              </a:path>
                              <a:path w="5440680" h="518795">
                                <a:moveTo>
                                  <a:pt x="5440349" y="197103"/>
                                </a:moveTo>
                                <a:lnTo>
                                  <a:pt x="5440349" y="518286"/>
                                </a:lnTo>
                              </a:path>
                            </a:pathLst>
                          </a:custGeom>
                          <a:ln w="9525">
                            <a:solidFill>
                              <a:srgbClr val="D9D9D9"/>
                            </a:solidFill>
                            <a:prstDash val="solid"/>
                          </a:ln>
                        </wps:spPr>
                        <wps:bodyPr wrap="square" lIns="0" tIns="0" rIns="0" bIns="0" rtlCol="0">
                          <a:prstTxWarp prst="textNoShape">
                            <a:avLst/>
                          </a:prstTxWarp>
                          <a:noAutofit/>
                        </wps:bodyPr>
                      </wps:wsp>
                      <wps:wsp>
                        <wps:cNvPr id="67" name="Graphic 67"/>
                        <wps:cNvSpPr/>
                        <wps:spPr>
                          <a:xfrm>
                            <a:off x="364985" y="1778708"/>
                            <a:ext cx="55880" cy="55880"/>
                          </a:xfrm>
                          <a:custGeom>
                            <a:avLst/>
                            <a:gdLst/>
                            <a:ahLst/>
                            <a:cxnLst/>
                            <a:rect l="l" t="t" r="r" b="b"/>
                            <a:pathLst>
                              <a:path w="55880" h="55880">
                                <a:moveTo>
                                  <a:pt x="55806" y="0"/>
                                </a:moveTo>
                                <a:lnTo>
                                  <a:pt x="0" y="0"/>
                                </a:lnTo>
                                <a:lnTo>
                                  <a:pt x="0" y="55806"/>
                                </a:lnTo>
                                <a:lnTo>
                                  <a:pt x="55806" y="55806"/>
                                </a:lnTo>
                                <a:lnTo>
                                  <a:pt x="55806" y="0"/>
                                </a:lnTo>
                                <a:close/>
                              </a:path>
                            </a:pathLst>
                          </a:custGeom>
                          <a:solidFill>
                            <a:srgbClr val="E22C91"/>
                          </a:solidFill>
                        </wps:spPr>
                        <wps:bodyPr wrap="square" lIns="0" tIns="0" rIns="0" bIns="0" rtlCol="0">
                          <a:prstTxWarp prst="textNoShape">
                            <a:avLst/>
                          </a:prstTxWarp>
                          <a:noAutofit/>
                        </wps:bodyPr>
                      </wps:wsp>
                      <wps:wsp>
                        <wps:cNvPr id="68" name="Graphic 68"/>
                        <wps:cNvSpPr/>
                        <wps:spPr>
                          <a:xfrm>
                            <a:off x="734809" y="1778708"/>
                            <a:ext cx="55880" cy="55880"/>
                          </a:xfrm>
                          <a:custGeom>
                            <a:avLst/>
                            <a:gdLst/>
                            <a:ahLst/>
                            <a:cxnLst/>
                            <a:rect l="l" t="t" r="r" b="b"/>
                            <a:pathLst>
                              <a:path w="55880" h="55880">
                                <a:moveTo>
                                  <a:pt x="55807" y="0"/>
                                </a:moveTo>
                                <a:lnTo>
                                  <a:pt x="0" y="0"/>
                                </a:lnTo>
                                <a:lnTo>
                                  <a:pt x="0" y="55806"/>
                                </a:lnTo>
                                <a:lnTo>
                                  <a:pt x="55807" y="55806"/>
                                </a:lnTo>
                                <a:lnTo>
                                  <a:pt x="55807" y="0"/>
                                </a:lnTo>
                                <a:close/>
                              </a:path>
                            </a:pathLst>
                          </a:custGeom>
                          <a:solidFill>
                            <a:srgbClr val="FFC000"/>
                          </a:solidFill>
                        </wps:spPr>
                        <wps:bodyPr wrap="square" lIns="0" tIns="0" rIns="0" bIns="0" rtlCol="0">
                          <a:prstTxWarp prst="textNoShape">
                            <a:avLst/>
                          </a:prstTxWarp>
                          <a:noAutofit/>
                        </wps:bodyPr>
                      </wps:wsp>
                    </wpg:wgp>
                  </a:graphicData>
                </a:graphic>
              </wp:anchor>
            </w:drawing>
          </mc:Choice>
          <mc:Fallback>
            <w:pict>
              <v:group w14:anchorId="52770C9D" id="Group 63" o:spid="_x0000_s1026" style="position:absolute;margin-left:81.3pt;margin-top:-101.05pt;width:429.15pt;height:144.45pt;z-index:-21073408;mso-wrap-distance-left:0;mso-wrap-distance-right:0;mso-position-horizontal-relative:page" coordsize="54502,1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">
                <v:shape id="Graphic 64" o:spid="_x0000_s1027" style="position:absolute;left:1713;width:49136;height:12833;visibility:visible;mso-wrap-style:square;v-text-anchor:top" coordsize="4913630,128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" path="m152400,42672l,42672,,1283208r152400,l152400,42672xem833628,201168r-153924,l679704,1283208r153924,l833628,201168xem1513332,289560r-152400,l1360932,1283208r152400,l1513332,289560xem2193036,414528r-152400,l2040636,1283208r152400,l2193036,414528xem2872740,606552r-152400,l2720340,1283208r152400,l2872740,606552xem3552444,705612r-152400,l3400044,1283208r152400,l3552444,705612xem4233672,l4081272,r,1283208l4233672,1283208,4233672,xem4913376,166116r-152400,l4760976,1283208r152400,l4913376,166116xe" fillcolor="#e22c91" stroked="f">
                  <v:path arrowok="t"/>
                </v:shape>
                <v:shape id="Graphic 65" o:spid="_x0000_s1028" style="position:absolute;left:3648;top:91;width:49136;height:12744;visibility:visible;mso-wrap-style:square;v-text-anchor:top" coordsize="4913630,127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" path="m152400,39624l,39624,,1274064r152400,l152400,39624xem833628,117348r-152400,l681228,1274064r152400,l833628,117348xem1513332,582168r-152400,l1360932,1274064r152400,l1513332,582168xem2193036,723900r-152400,l2040636,1274064r152400,l2193036,723900xem2872740,295656r-152400,l2720340,1274064r152400,l2872740,295656xem3553968,422148r-153924,l3400044,1274064r153924,l3553968,422148xem4233672,l4081272,r,1274064l4233672,1274064,4233672,xem4913376,74676r-152400,l4760976,1274064r152400,l4913376,74676xe" fillcolor="#ffc000" stroked="f">
                  <v:path arrowok="t"/>
                </v:shape>
                <v:shape id="Graphic 66" o:spid="_x0000_s1029" style="position:absolute;left:47;top:12832;width:54407;height:5188;visibility:visible;mso-wrap-style:square;v-text-anchor:top" coordsize="544068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" path="m,l5440349,em,l,197103em1359839,r,197103em2720771,r,197103em4080179,r,197103em5440349,r,197103em,197103l,518286em1359839,197103r,321183em2720771,197103r,321183em4080179,197103r,321183em5440349,197103r,321183e" filled="f" strokecolor="#d9d9d9">
                  <v:path arrowok="t"/>
                </v:shape>
                <v:shape id="Graphic 67" o:spid="_x0000_s1030" style="position:absolute;left:3649;top:17787;width:559;height:558;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" path="m55806,l,,,55806r55806,l55806,xe" fillcolor="#e22c91" stroked="f">
                  <v:path arrowok="t"/>
                </v:shape>
                <v:shape id="Graphic 68" o:spid="_x0000_s1031" style="position:absolute;left:7348;top:17787;width:558;height:558;visibility:visible;mso-wrap-style:square;v-text-anchor:top" coordsize="5588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" path="m55807,l,,,55806r55807,l55807,xe" fillcolor="#ffc000" stroked="f">
                  <v:path arrowok="t"/>
                </v:shape>
                <w10:wrap anchorx="page"/>
              </v:group>
            </w:pict>
          </mc:Fallback>
        </mc:AlternateContent>
      </w:r>
      <w:r>
        <w:rPr>
          <w:rFonts w:ascii="Trebuchet MS"/>
          <w:noProof/>
          <w:sz w:val="16"/>
        </w:rPr>
        <mc:AlternateContent>
          <mc:Choice Requires="wps">
            <w:drawing>
              <wp:anchor distT="0" distB="0" distL="0" distR="0" simplePos="0" relativeHeight="15746048" behindDoc="0" locked="0" layoutInCell="1" allowOverlap="1" wp14:anchorId="2E72F620" wp14:editId="0B58F48F">
                <wp:simplePos x="0" y="0"/>
                <wp:positionH relativeFrom="page">
                  <wp:posOffset>3440566</wp:posOffset>
                </wp:positionH>
                <wp:positionV relativeFrom="paragraph">
                  <wp:posOffset>-802272</wp:posOffset>
                </wp:positionV>
                <wp:extent cx="150495" cy="19050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90500"/>
                        </a:xfrm>
                        <a:prstGeom prst="rect">
                          <a:avLst/>
                        </a:prstGeom>
                      </wps:spPr>
                      <wps:txbx>
                        <w:txbxContent>
                          <w:p w14:paraId="5FF84903" w14:textId="77777777" w:rsidR="000E52B0" w:rsidRDefault="00F60D74">
                            <w:pPr>
                              <w:spacing w:before="20"/>
                              <w:ind w:left="20"/>
                              <w:rPr>
                                <w:rFonts w:ascii="Trebuchet MS"/>
                                <w:sz w:val="16"/>
                              </w:rPr>
                            </w:pPr>
                            <w:r>
                              <w:rPr>
                                <w:rFonts w:ascii="Trebuchet MS"/>
                                <w:color w:val="404040"/>
                                <w:spacing w:val="-5"/>
                                <w:sz w:val="16"/>
                              </w:rPr>
                              <w:t>545</w:t>
                            </w:r>
                          </w:p>
                        </w:txbxContent>
                      </wps:txbx>
                      <wps:bodyPr vert="vert270" wrap="square" lIns="0" tIns="0" rIns="0" bIns="0" rtlCol="0">
                        <a:noAutofit/>
                      </wps:bodyPr>
                    </wps:wsp>
                  </a:graphicData>
                </a:graphic>
              </wp:anchor>
            </w:drawing>
          </mc:Choice>
          <mc:Fallback>
            <w:pict>
              <v:shape w14:anchorId="2E72F620" id="Textbox 69" o:spid="_x0000_s1050" type="#_x0000_t202" style="position:absolute;left:0;text-align:left;margin-left:270.9pt;margin-top:-63.15pt;width:11.85pt;height:1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" filled="f" stroked="f">
                <v:textbox style="layout-flow:vertical;mso-layout-flow-alt:bottom-to-top" inset="0,0,0,0">
                  <w:txbxContent>
                    <w:p w14:paraId="5FF84903" w14:textId="77777777" w:rsidR="000E52B0" w:rsidRDefault="00F60D74">
                      <w:pPr>
                        <w:spacing w:before="20"/>
                        <w:ind w:left="20"/>
                        <w:rPr>
                          <w:rFonts w:ascii="Trebuchet MS"/>
                          <w:sz w:val="16"/>
                        </w:rPr>
                      </w:pPr>
                      <w:r>
                        <w:rPr>
                          <w:rFonts w:ascii="Trebuchet MS"/>
                          <w:color w:val="404040"/>
                          <w:spacing w:val="-5"/>
                          <w:sz w:val="16"/>
                        </w:rPr>
                        <w:t>545</w:t>
                      </w:r>
                    </w:p>
                  </w:txbxContent>
                </v:textbox>
                <w10:wrap anchorx="page"/>
              </v:shape>
            </w:pict>
          </mc:Fallback>
        </mc:AlternateContent>
      </w:r>
      <w:r>
        <w:rPr>
          <w:rFonts w:ascii="Trebuchet MS"/>
          <w:color w:val="585858"/>
          <w:spacing w:val="-2"/>
          <w:sz w:val="16"/>
        </w:rPr>
        <w:t>Hombres</w:t>
      </w:r>
      <w:r>
        <w:rPr>
          <w:rFonts w:ascii="Trebuchet MS"/>
          <w:color w:val="585858"/>
          <w:sz w:val="16"/>
        </w:rPr>
        <w:tab/>
      </w:r>
      <w:r>
        <w:rPr>
          <w:rFonts w:ascii="Trebuchet MS"/>
          <w:color w:val="585858"/>
          <w:sz w:val="16"/>
        </w:rPr>
        <w:tab/>
      </w:r>
      <w:r>
        <w:rPr>
          <w:rFonts w:ascii="Trebuchet MS"/>
          <w:color w:val="585858"/>
          <w:spacing w:val="-4"/>
          <w:sz w:val="16"/>
        </w:rPr>
        <w:t xml:space="preserve">Mujeres </w:t>
      </w:r>
      <w:r>
        <w:rPr>
          <w:rFonts w:ascii="Trebuchet MS"/>
          <w:color w:val="585858"/>
          <w:spacing w:val="-2"/>
          <w:sz w:val="16"/>
        </w:rPr>
        <w:t>Total</w:t>
      </w:r>
    </w:p>
    <w:p w14:paraId="01DDC460" w14:textId="77777777" w:rsidR="000E52B0" w:rsidRDefault="00F60D74">
      <w:pPr>
        <w:tabs>
          <w:tab w:val="left" w:pos="2188"/>
        </w:tabs>
        <w:spacing w:line="183" w:lineRule="exact"/>
        <w:ind w:left="1605"/>
        <w:rPr>
          <w:rFonts w:ascii="Trebuchet MS"/>
          <w:sz w:val="16"/>
        </w:rPr>
      </w:pPr>
      <w:r>
        <w:rPr>
          <w:rFonts w:ascii="Trebuchet MS"/>
          <w:color w:val="585858"/>
          <w:spacing w:val="-4"/>
          <w:sz w:val="16"/>
        </w:rPr>
        <w:t>2019</w:t>
      </w:r>
      <w:r>
        <w:rPr>
          <w:rFonts w:ascii="Trebuchet MS"/>
          <w:color w:val="585858"/>
          <w:sz w:val="16"/>
        </w:rPr>
        <w:tab/>
      </w:r>
      <w:r>
        <w:rPr>
          <w:rFonts w:ascii="Trebuchet MS"/>
          <w:color w:val="585858"/>
          <w:spacing w:val="-4"/>
          <w:sz w:val="16"/>
        </w:rPr>
        <w:t>2021</w:t>
      </w:r>
    </w:p>
    <w:p w14:paraId="33C345DB" w14:textId="77777777" w:rsidR="000E52B0" w:rsidRDefault="00F60D74">
      <w:pPr>
        <w:tabs>
          <w:tab w:val="left" w:pos="1548"/>
        </w:tabs>
        <w:spacing w:before="101"/>
        <w:ind w:left="433"/>
        <w:jc w:val="center"/>
        <w:rPr>
          <w:rFonts w:ascii="Trebuchet MS"/>
          <w:sz w:val="16"/>
        </w:rPr>
      </w:pPr>
      <w:r>
        <w:br w:type="column"/>
      </w:r>
      <w:r>
        <w:rPr>
          <w:rFonts w:ascii="Trebuchet MS"/>
          <w:color w:val="585858"/>
          <w:spacing w:val="-2"/>
          <w:sz w:val="16"/>
        </w:rPr>
        <w:t>Hombres</w:t>
      </w:r>
      <w:r>
        <w:rPr>
          <w:rFonts w:ascii="Trebuchet MS"/>
          <w:color w:val="585858"/>
          <w:sz w:val="16"/>
        </w:rPr>
        <w:tab/>
      </w:r>
      <w:r>
        <w:rPr>
          <w:rFonts w:ascii="Trebuchet MS"/>
          <w:color w:val="585858"/>
          <w:spacing w:val="-4"/>
          <w:sz w:val="16"/>
        </w:rPr>
        <w:t>Mujeres</w:t>
      </w:r>
    </w:p>
    <w:p w14:paraId="655BB821" w14:textId="77777777" w:rsidR="000E52B0" w:rsidRDefault="00F60D74">
      <w:pPr>
        <w:spacing w:before="125" w:line="252" w:lineRule="auto"/>
        <w:ind w:left="664" w:right="216" w:hanging="2"/>
        <w:jc w:val="center"/>
        <w:rPr>
          <w:rFonts w:ascii="Trebuchet MS" w:hAnsi="Trebuchet MS"/>
          <w:sz w:val="16"/>
        </w:rPr>
      </w:pPr>
      <w:r>
        <w:rPr>
          <w:rFonts w:ascii="Trebuchet MS" w:hAnsi="Trebuchet MS"/>
          <w:color w:val="585858"/>
          <w:sz w:val="16"/>
        </w:rPr>
        <w:t>Población</w:t>
      </w:r>
      <w:r>
        <w:rPr>
          <w:rFonts w:ascii="Trebuchet MS" w:hAnsi="Trebuchet MS"/>
          <w:color w:val="585858"/>
          <w:spacing w:val="-18"/>
          <w:sz w:val="16"/>
        </w:rPr>
        <w:t xml:space="preserve"> </w:t>
      </w:r>
      <w:r>
        <w:rPr>
          <w:rFonts w:ascii="Trebuchet MS" w:hAnsi="Trebuchet MS"/>
          <w:color w:val="585858"/>
          <w:sz w:val="16"/>
        </w:rPr>
        <w:t xml:space="preserve">negra, </w:t>
      </w:r>
      <w:r>
        <w:rPr>
          <w:rFonts w:ascii="Trebuchet MS" w:hAnsi="Trebuchet MS"/>
          <w:color w:val="585858"/>
          <w:spacing w:val="-4"/>
          <w:sz w:val="16"/>
        </w:rPr>
        <w:t>afrodescendiente</w:t>
      </w:r>
    </w:p>
    <w:p w14:paraId="0AB3A51B" w14:textId="77777777" w:rsidR="000E52B0" w:rsidRDefault="00F60D74">
      <w:pPr>
        <w:tabs>
          <w:tab w:val="left" w:pos="1548"/>
        </w:tabs>
        <w:spacing w:before="101" w:line="400" w:lineRule="auto"/>
        <w:ind w:left="631" w:hanging="199"/>
        <w:rPr>
          <w:rFonts w:ascii="Trebuchet MS" w:hAnsi="Trebuchet MS"/>
          <w:sz w:val="16"/>
        </w:rPr>
      </w:pPr>
      <w:r>
        <w:br w:type="column"/>
      </w:r>
      <w:r>
        <w:rPr>
          <w:rFonts w:ascii="Trebuchet MS" w:hAnsi="Trebuchet MS"/>
          <w:color w:val="585858"/>
          <w:spacing w:val="-2"/>
          <w:sz w:val="16"/>
        </w:rPr>
        <w:t>Hombres</w:t>
      </w:r>
      <w:r>
        <w:rPr>
          <w:rFonts w:ascii="Trebuchet MS" w:hAnsi="Trebuchet MS"/>
          <w:color w:val="585858"/>
          <w:sz w:val="16"/>
        </w:rPr>
        <w:tab/>
      </w:r>
      <w:r>
        <w:rPr>
          <w:rFonts w:ascii="Trebuchet MS" w:hAnsi="Trebuchet MS"/>
          <w:color w:val="585858"/>
          <w:spacing w:val="-4"/>
          <w:sz w:val="16"/>
        </w:rPr>
        <w:t xml:space="preserve">Mujeres </w:t>
      </w:r>
      <w:r>
        <w:rPr>
          <w:rFonts w:ascii="Trebuchet MS" w:hAnsi="Trebuchet MS"/>
          <w:color w:val="585858"/>
          <w:sz w:val="16"/>
        </w:rPr>
        <w:t>Población</w:t>
      </w:r>
      <w:r>
        <w:rPr>
          <w:rFonts w:ascii="Trebuchet MS" w:hAnsi="Trebuchet MS"/>
          <w:color w:val="585858"/>
          <w:spacing w:val="-18"/>
          <w:sz w:val="16"/>
        </w:rPr>
        <w:t xml:space="preserve"> </w:t>
      </w:r>
      <w:r>
        <w:rPr>
          <w:rFonts w:ascii="Trebuchet MS" w:hAnsi="Trebuchet MS"/>
          <w:color w:val="585858"/>
          <w:sz w:val="16"/>
        </w:rPr>
        <w:t>indígena</w:t>
      </w:r>
    </w:p>
    <w:p w14:paraId="28D1AB7E" w14:textId="77777777" w:rsidR="000E52B0" w:rsidRDefault="00F60D74">
      <w:pPr>
        <w:tabs>
          <w:tab w:val="left" w:pos="1115"/>
        </w:tabs>
        <w:spacing w:before="101"/>
        <w:ind w:right="806"/>
        <w:jc w:val="center"/>
        <w:rPr>
          <w:rFonts w:ascii="Trebuchet MS"/>
          <w:sz w:val="16"/>
        </w:rPr>
      </w:pPr>
      <w:r>
        <w:br w:type="column"/>
      </w:r>
      <w:r>
        <w:rPr>
          <w:rFonts w:ascii="Trebuchet MS"/>
          <w:color w:val="585858"/>
          <w:spacing w:val="-2"/>
          <w:sz w:val="16"/>
        </w:rPr>
        <w:t>Hombres</w:t>
      </w:r>
      <w:r>
        <w:rPr>
          <w:rFonts w:ascii="Trebuchet MS"/>
          <w:color w:val="585858"/>
          <w:sz w:val="16"/>
        </w:rPr>
        <w:tab/>
      </w:r>
      <w:r>
        <w:rPr>
          <w:rFonts w:ascii="Trebuchet MS"/>
          <w:color w:val="585858"/>
          <w:spacing w:val="-2"/>
          <w:sz w:val="16"/>
        </w:rPr>
        <w:t>Mujeres</w:t>
      </w:r>
    </w:p>
    <w:p w14:paraId="0EACBA79" w14:textId="77777777" w:rsidR="000E52B0" w:rsidRDefault="00F60D74">
      <w:pPr>
        <w:spacing w:before="125" w:line="252" w:lineRule="auto"/>
        <w:ind w:left="325" w:right="1086"/>
        <w:jc w:val="center"/>
        <w:rPr>
          <w:rFonts w:ascii="Trebuchet MS" w:hAnsi="Trebuchet MS"/>
          <w:sz w:val="16"/>
        </w:rPr>
      </w:pPr>
      <w:r>
        <w:rPr>
          <w:rFonts w:ascii="Trebuchet MS" w:hAnsi="Trebuchet MS"/>
          <w:color w:val="585858"/>
          <w:sz w:val="16"/>
        </w:rPr>
        <w:t>Población</w:t>
      </w:r>
      <w:r>
        <w:rPr>
          <w:rFonts w:ascii="Trebuchet MS" w:hAnsi="Trebuchet MS"/>
          <w:color w:val="585858"/>
          <w:spacing w:val="-18"/>
          <w:sz w:val="16"/>
        </w:rPr>
        <w:t xml:space="preserve"> </w:t>
      </w:r>
      <w:r>
        <w:rPr>
          <w:rFonts w:ascii="Trebuchet MS" w:hAnsi="Trebuchet MS"/>
          <w:color w:val="585858"/>
          <w:sz w:val="16"/>
        </w:rPr>
        <w:t xml:space="preserve">sin </w:t>
      </w:r>
      <w:r>
        <w:rPr>
          <w:rFonts w:ascii="Trebuchet MS" w:hAnsi="Trebuchet MS"/>
          <w:color w:val="585858"/>
          <w:spacing w:val="-4"/>
          <w:sz w:val="16"/>
        </w:rPr>
        <w:t>autorreconocimiento</w:t>
      </w:r>
      <w:r>
        <w:rPr>
          <w:rFonts w:ascii="Trebuchet MS" w:hAnsi="Trebuchet MS"/>
          <w:color w:val="585858"/>
          <w:spacing w:val="-15"/>
          <w:sz w:val="16"/>
        </w:rPr>
        <w:t xml:space="preserve"> </w:t>
      </w:r>
      <w:r>
        <w:rPr>
          <w:rFonts w:ascii="Trebuchet MS" w:hAnsi="Trebuchet MS"/>
          <w:color w:val="585858"/>
          <w:spacing w:val="-4"/>
          <w:sz w:val="16"/>
        </w:rPr>
        <w:t>étnico</w:t>
      </w:r>
    </w:p>
    <w:p w14:paraId="137A6231" w14:textId="77777777" w:rsidR="000E52B0" w:rsidRDefault="000E52B0">
      <w:pPr>
        <w:spacing w:line="252" w:lineRule="auto"/>
        <w:jc w:val="center"/>
        <w:rPr>
          <w:rFonts w:ascii="Trebuchet MS" w:hAnsi="Trebuchet MS"/>
          <w:sz w:val="16"/>
        </w:rPr>
        <w:sectPr w:rsidR="000E52B0">
          <w:type w:val="continuous"/>
          <w:pgSz w:w="11910" w:h="16840"/>
          <w:pgMar w:top="1340" w:right="720" w:bottom="1280" w:left="720" w:header="0" w:footer="995" w:gutter="0"/>
          <w:cols w:num="4" w:space="720" w:equalWidth="0">
            <w:col w:w="2798" w:space="40"/>
            <w:col w:w="2103" w:space="39"/>
            <w:col w:w="2103" w:space="39"/>
            <w:col w:w="3348"/>
          </w:cols>
        </w:sectPr>
      </w:pPr>
    </w:p>
    <w:p w14:paraId="5915A80C" w14:textId="77777777" w:rsidR="000E52B0" w:rsidRDefault="000E52B0">
      <w:pPr>
        <w:pStyle w:val="Textoindependiente"/>
        <w:spacing w:before="126"/>
        <w:ind w:left="0"/>
        <w:rPr>
          <w:rFonts w:ascii="Trebuchet MS"/>
          <w:sz w:val="18"/>
        </w:rPr>
      </w:pPr>
    </w:p>
    <w:p w14:paraId="2EDCC1AE" w14:textId="77777777" w:rsidR="000E52B0" w:rsidRDefault="00F60D74">
      <w:pPr>
        <w:jc w:val="center"/>
        <w:rPr>
          <w:i/>
          <w:sz w:val="18"/>
        </w:rPr>
      </w:pPr>
      <w:r>
        <w:rPr>
          <w:i/>
          <w:color w:val="454551"/>
          <w:sz w:val="18"/>
        </w:rPr>
        <w:t>Fuente</w:t>
      </w:r>
      <w:r>
        <w:rPr>
          <w:i/>
          <w:color w:val="454551"/>
          <w:spacing w:val="-3"/>
          <w:sz w:val="18"/>
        </w:rPr>
        <w:t xml:space="preserve"> </w:t>
      </w:r>
      <w:r>
        <w:rPr>
          <w:i/>
          <w:color w:val="454551"/>
          <w:sz w:val="18"/>
        </w:rPr>
        <w:t>5.</w:t>
      </w:r>
      <w:r>
        <w:rPr>
          <w:i/>
          <w:color w:val="454551"/>
          <w:spacing w:val="-4"/>
          <w:sz w:val="18"/>
        </w:rPr>
        <w:t xml:space="preserve"> </w:t>
      </w:r>
      <w:r>
        <w:rPr>
          <w:i/>
          <w:color w:val="454551"/>
          <w:sz w:val="18"/>
        </w:rPr>
        <w:t>Elaboración</w:t>
      </w:r>
      <w:r>
        <w:rPr>
          <w:i/>
          <w:color w:val="454551"/>
          <w:spacing w:val="-3"/>
          <w:sz w:val="18"/>
        </w:rPr>
        <w:t xml:space="preserve"> </w:t>
      </w:r>
      <w:r>
        <w:rPr>
          <w:i/>
          <w:color w:val="454551"/>
          <w:sz w:val="18"/>
        </w:rPr>
        <w:t>propia</w:t>
      </w:r>
      <w:r>
        <w:rPr>
          <w:i/>
          <w:color w:val="454551"/>
          <w:spacing w:val="-3"/>
          <w:sz w:val="18"/>
        </w:rPr>
        <w:t xml:space="preserve"> </w:t>
      </w:r>
      <w:r>
        <w:rPr>
          <w:i/>
          <w:color w:val="454551"/>
          <w:sz w:val="18"/>
        </w:rPr>
        <w:t>con</w:t>
      </w:r>
      <w:r>
        <w:rPr>
          <w:i/>
          <w:color w:val="454551"/>
          <w:spacing w:val="-3"/>
          <w:sz w:val="18"/>
        </w:rPr>
        <w:t xml:space="preserve"> </w:t>
      </w:r>
      <w:r>
        <w:rPr>
          <w:i/>
          <w:color w:val="454551"/>
          <w:sz w:val="18"/>
        </w:rPr>
        <w:t>base</w:t>
      </w:r>
      <w:r>
        <w:rPr>
          <w:i/>
          <w:color w:val="454551"/>
          <w:spacing w:val="-3"/>
          <w:sz w:val="18"/>
        </w:rPr>
        <w:t xml:space="preserve"> </w:t>
      </w:r>
      <w:r>
        <w:rPr>
          <w:i/>
          <w:color w:val="454551"/>
          <w:sz w:val="18"/>
        </w:rPr>
        <w:t>en</w:t>
      </w:r>
      <w:r>
        <w:rPr>
          <w:i/>
          <w:color w:val="454551"/>
          <w:spacing w:val="-3"/>
          <w:sz w:val="18"/>
        </w:rPr>
        <w:t xml:space="preserve"> </w:t>
      </w:r>
      <w:r>
        <w:rPr>
          <w:i/>
          <w:color w:val="454551"/>
          <w:sz w:val="18"/>
        </w:rPr>
        <w:t>DANE,</w:t>
      </w:r>
      <w:r>
        <w:rPr>
          <w:i/>
          <w:color w:val="454551"/>
          <w:spacing w:val="-2"/>
          <w:sz w:val="18"/>
        </w:rPr>
        <w:t xml:space="preserve"> 2022.</w:t>
      </w:r>
    </w:p>
    <w:p w14:paraId="65FF0A93" w14:textId="77777777" w:rsidR="000E52B0" w:rsidRDefault="00F60D74">
      <w:pPr>
        <w:pStyle w:val="Textoindependiente"/>
        <w:spacing w:before="201"/>
        <w:ind w:right="719"/>
        <w:jc w:val="both"/>
      </w:pPr>
      <w:r>
        <w:t xml:space="preserve">En consecuencia, al no conseguir acceder a los escenarios laborales formales, o acceder en el marco de situaciones de discriminación, la informalidad, como representación de la economía popular, y los sistemas económicos barriales, rurales y comunitarios, se asume como un mecanismo de afrontamiento entre las poblaciones históricamente </w:t>
      </w:r>
      <w:r>
        <w:rPr>
          <w:spacing w:val="-2"/>
        </w:rPr>
        <w:t>excluidas.</w:t>
      </w:r>
    </w:p>
    <w:p w14:paraId="0445857E" w14:textId="77777777" w:rsidR="000E52B0" w:rsidRDefault="00F60D74">
      <w:pPr>
        <w:pStyle w:val="Textoindependiente"/>
        <w:spacing w:before="161"/>
        <w:ind w:right="719"/>
        <w:jc w:val="both"/>
      </w:pPr>
      <w:r>
        <w:t>Así mismo, se presentan escenarios de reproducción de dinámicas que profundizan las desigualdades entre los territorios rurales, en las que las comunidades étnicas presentan índices más altos de indicadores como la pobreza monetaria, la cual fue del 45,9%, pero para las comunidades indígenas y afrocolombianas las tasas fueron de 61,6% y 46,1% respectivamente.</w:t>
      </w:r>
      <w:r>
        <w:rPr>
          <w:spacing w:val="-22"/>
        </w:rPr>
        <w:t xml:space="preserve"> </w:t>
      </w:r>
      <w:r>
        <w:t>Es</w:t>
      </w:r>
      <w:r>
        <w:rPr>
          <w:spacing w:val="-21"/>
        </w:rPr>
        <w:t xml:space="preserve"> </w:t>
      </w:r>
      <w:r>
        <w:t>importante</w:t>
      </w:r>
      <w:r>
        <w:rPr>
          <w:spacing w:val="-21"/>
        </w:rPr>
        <w:t xml:space="preserve"> </w:t>
      </w:r>
      <w:r>
        <w:t>mencionar</w:t>
      </w:r>
      <w:r>
        <w:rPr>
          <w:spacing w:val="-21"/>
        </w:rPr>
        <w:t xml:space="preserve"> </w:t>
      </w:r>
      <w:r>
        <w:t>que</w:t>
      </w:r>
      <w:r>
        <w:rPr>
          <w:spacing w:val="-21"/>
        </w:rPr>
        <w:t xml:space="preserve"> </w:t>
      </w:r>
      <w:r>
        <w:t>en</w:t>
      </w:r>
      <w:r>
        <w:rPr>
          <w:spacing w:val="-21"/>
        </w:rPr>
        <w:t xml:space="preserve"> </w:t>
      </w:r>
      <w:r>
        <w:t>el</w:t>
      </w:r>
      <w:r>
        <w:rPr>
          <w:spacing w:val="-21"/>
        </w:rPr>
        <w:t xml:space="preserve"> </w:t>
      </w:r>
      <w:r>
        <w:t>sector</w:t>
      </w:r>
      <w:r>
        <w:rPr>
          <w:spacing w:val="-21"/>
        </w:rPr>
        <w:t xml:space="preserve"> </w:t>
      </w:r>
      <w:r>
        <w:t>rural</w:t>
      </w:r>
      <w:r>
        <w:rPr>
          <w:spacing w:val="-21"/>
        </w:rPr>
        <w:t xml:space="preserve"> </w:t>
      </w:r>
      <w:r>
        <w:t>la</w:t>
      </w:r>
      <w:r>
        <w:rPr>
          <w:spacing w:val="-21"/>
        </w:rPr>
        <w:t xml:space="preserve"> </w:t>
      </w:r>
      <w:r>
        <w:t>pobreza extrema aumentó alcanzando el 23,3%.</w:t>
      </w:r>
    </w:p>
    <w:p w14:paraId="7A1EEF50" w14:textId="77777777" w:rsidR="000E52B0" w:rsidRDefault="00F60D74">
      <w:pPr>
        <w:pStyle w:val="Textoindependiente"/>
        <w:spacing w:before="159"/>
        <w:ind w:right="717"/>
        <w:jc w:val="both"/>
      </w:pPr>
      <w:r>
        <w:t>El acceso a educación formal efectivamente permite superar los umbrales de</w:t>
      </w:r>
      <w:r>
        <w:rPr>
          <w:spacing w:val="-21"/>
        </w:rPr>
        <w:t xml:space="preserve"> </w:t>
      </w:r>
      <w:r>
        <w:t>pobreza</w:t>
      </w:r>
      <w:r>
        <w:rPr>
          <w:spacing w:val="-20"/>
        </w:rPr>
        <w:t xml:space="preserve"> </w:t>
      </w:r>
      <w:r>
        <w:t>monetaria</w:t>
      </w:r>
      <w:r>
        <w:rPr>
          <w:spacing w:val="-21"/>
        </w:rPr>
        <w:t xml:space="preserve"> </w:t>
      </w:r>
      <w:r>
        <w:t>y</w:t>
      </w:r>
      <w:r>
        <w:rPr>
          <w:spacing w:val="-21"/>
        </w:rPr>
        <w:t xml:space="preserve"> </w:t>
      </w:r>
      <w:r>
        <w:t>pobreza</w:t>
      </w:r>
      <w:r>
        <w:rPr>
          <w:spacing w:val="-21"/>
        </w:rPr>
        <w:t xml:space="preserve"> </w:t>
      </w:r>
      <w:r>
        <w:t>monetaria</w:t>
      </w:r>
      <w:r>
        <w:rPr>
          <w:spacing w:val="-21"/>
        </w:rPr>
        <w:t xml:space="preserve"> </w:t>
      </w:r>
      <w:r>
        <w:t>extrema.</w:t>
      </w:r>
      <w:r>
        <w:rPr>
          <w:spacing w:val="-22"/>
        </w:rPr>
        <w:t xml:space="preserve"> </w:t>
      </w:r>
      <w:r>
        <w:t>Por</w:t>
      </w:r>
      <w:r>
        <w:rPr>
          <w:spacing w:val="-19"/>
        </w:rPr>
        <w:t xml:space="preserve"> </w:t>
      </w:r>
      <w:r>
        <w:t>tanto,</w:t>
      </w:r>
      <w:r>
        <w:rPr>
          <w:spacing w:val="-22"/>
        </w:rPr>
        <w:t xml:space="preserve"> </w:t>
      </w:r>
      <w:r>
        <w:t>las</w:t>
      </w:r>
      <w:r>
        <w:rPr>
          <w:spacing w:val="-20"/>
        </w:rPr>
        <w:t xml:space="preserve"> </w:t>
      </w:r>
      <w:r>
        <w:t>barreras de acceso a educación formal implican el continuum de la pobreza, así también los procesos de educación no formal, y de recuperación y transmisión de saberes.</w:t>
      </w:r>
    </w:p>
    <w:p w14:paraId="0FCFC747" w14:textId="77777777" w:rsidR="000E52B0" w:rsidRDefault="00F60D74">
      <w:pPr>
        <w:pStyle w:val="Textoindependiente"/>
        <w:spacing w:before="162"/>
        <w:ind w:right="718"/>
        <w:jc w:val="both"/>
      </w:pPr>
      <w:r>
        <w:t>De acuerdo con</w:t>
      </w:r>
      <w:r>
        <w:rPr>
          <w:spacing w:val="-1"/>
        </w:rPr>
        <w:t xml:space="preserve"> </w:t>
      </w:r>
      <w:r>
        <w:t>los</w:t>
      </w:r>
      <w:r>
        <w:rPr>
          <w:spacing w:val="-1"/>
        </w:rPr>
        <w:t xml:space="preserve"> </w:t>
      </w:r>
      <w:r>
        <w:t>datos</w:t>
      </w:r>
      <w:r>
        <w:rPr>
          <w:spacing w:val="-1"/>
        </w:rPr>
        <w:t xml:space="preserve"> </w:t>
      </w:r>
      <w:r>
        <w:t>de la</w:t>
      </w:r>
      <w:r>
        <w:rPr>
          <w:spacing w:val="-1"/>
        </w:rPr>
        <w:t xml:space="preserve"> </w:t>
      </w:r>
      <w:r>
        <w:t>GEIH (2022),</w:t>
      </w:r>
      <w:r>
        <w:rPr>
          <w:spacing w:val="-2"/>
        </w:rPr>
        <w:t xml:space="preserve"> </w:t>
      </w:r>
      <w:r>
        <w:t>el</w:t>
      </w:r>
      <w:r>
        <w:rPr>
          <w:spacing w:val="-2"/>
        </w:rPr>
        <w:t xml:space="preserve"> </w:t>
      </w:r>
      <w:r>
        <w:t>55,3% de las</w:t>
      </w:r>
      <w:r>
        <w:rPr>
          <w:spacing w:val="-1"/>
        </w:rPr>
        <w:t xml:space="preserve"> </w:t>
      </w:r>
      <w:r>
        <w:t>personas</w:t>
      </w:r>
      <w:r>
        <w:rPr>
          <w:spacing w:val="-1"/>
        </w:rPr>
        <w:t xml:space="preserve"> </w:t>
      </w:r>
      <w:r>
        <w:t>sin ningún nivel educativo están en pobreza monetaria, mientras que las personas con primaria, el 44,5% está en esta situación, mientras quienes tienen</w:t>
      </w:r>
      <w:r>
        <w:rPr>
          <w:spacing w:val="-16"/>
        </w:rPr>
        <w:t xml:space="preserve"> </w:t>
      </w:r>
      <w:r>
        <w:t>el</w:t>
      </w:r>
      <w:r>
        <w:rPr>
          <w:spacing w:val="-17"/>
        </w:rPr>
        <w:t xml:space="preserve"> </w:t>
      </w:r>
      <w:r>
        <w:t>bachillerato</w:t>
      </w:r>
      <w:r>
        <w:rPr>
          <w:spacing w:val="-15"/>
        </w:rPr>
        <w:t xml:space="preserve"> </w:t>
      </w:r>
      <w:r>
        <w:t>completo</w:t>
      </w:r>
      <w:r>
        <w:rPr>
          <w:spacing w:val="-16"/>
        </w:rPr>
        <w:t xml:space="preserve"> </w:t>
      </w:r>
      <w:r>
        <w:t>el</w:t>
      </w:r>
      <w:r>
        <w:rPr>
          <w:spacing w:val="-17"/>
        </w:rPr>
        <w:t xml:space="preserve"> </w:t>
      </w:r>
      <w:r>
        <w:t>34,4%</w:t>
      </w:r>
      <w:r>
        <w:rPr>
          <w:spacing w:val="-15"/>
        </w:rPr>
        <w:t xml:space="preserve"> </w:t>
      </w:r>
      <w:r>
        <w:t>está</w:t>
      </w:r>
      <w:r>
        <w:rPr>
          <w:spacing w:val="-16"/>
        </w:rPr>
        <w:t xml:space="preserve"> </w:t>
      </w:r>
      <w:r>
        <w:t>en</w:t>
      </w:r>
      <w:r>
        <w:rPr>
          <w:spacing w:val="-17"/>
        </w:rPr>
        <w:t xml:space="preserve"> </w:t>
      </w:r>
      <w:r>
        <w:t>pobreza</w:t>
      </w:r>
      <w:r>
        <w:rPr>
          <w:spacing w:val="-18"/>
        </w:rPr>
        <w:t xml:space="preserve"> </w:t>
      </w:r>
      <w:r>
        <w:t>monetaria</w:t>
      </w:r>
      <w:r>
        <w:rPr>
          <w:spacing w:val="-16"/>
        </w:rPr>
        <w:t xml:space="preserve"> </w:t>
      </w:r>
      <w:r>
        <w:t>y</w:t>
      </w:r>
      <w:r>
        <w:rPr>
          <w:spacing w:val="-16"/>
        </w:rPr>
        <w:t xml:space="preserve"> </w:t>
      </w:r>
      <w:r>
        <w:t>entre las personas con educación universitaria, la proporción es del 11,6%. Al contrastar, con la Encuesta de Calidad de Vida del DANE 2022, las diferencias</w:t>
      </w:r>
      <w:r>
        <w:rPr>
          <w:spacing w:val="-19"/>
        </w:rPr>
        <w:t xml:space="preserve"> </w:t>
      </w:r>
      <w:r>
        <w:t>del</w:t>
      </w:r>
      <w:r>
        <w:rPr>
          <w:spacing w:val="-19"/>
        </w:rPr>
        <w:t xml:space="preserve"> </w:t>
      </w:r>
      <w:r>
        <w:t>máximo</w:t>
      </w:r>
      <w:r>
        <w:rPr>
          <w:spacing w:val="-18"/>
        </w:rPr>
        <w:t xml:space="preserve"> </w:t>
      </w:r>
      <w:r>
        <w:t>nivel</w:t>
      </w:r>
      <w:r>
        <w:rPr>
          <w:spacing w:val="-19"/>
        </w:rPr>
        <w:t xml:space="preserve"> </w:t>
      </w:r>
      <w:r>
        <w:t>educativo</w:t>
      </w:r>
      <w:r>
        <w:rPr>
          <w:spacing w:val="-18"/>
        </w:rPr>
        <w:t xml:space="preserve"> </w:t>
      </w:r>
      <w:r>
        <w:t>de</w:t>
      </w:r>
      <w:r>
        <w:rPr>
          <w:spacing w:val="-17"/>
        </w:rPr>
        <w:t xml:space="preserve"> </w:t>
      </w:r>
      <w:r>
        <w:t>las</w:t>
      </w:r>
      <w:r>
        <w:rPr>
          <w:spacing w:val="-19"/>
        </w:rPr>
        <w:t xml:space="preserve"> </w:t>
      </w:r>
      <w:r>
        <w:t>personas</w:t>
      </w:r>
      <w:r>
        <w:rPr>
          <w:spacing w:val="-19"/>
        </w:rPr>
        <w:t xml:space="preserve"> </w:t>
      </w:r>
      <w:r>
        <w:t>mayores</w:t>
      </w:r>
      <w:r>
        <w:rPr>
          <w:spacing w:val="-19"/>
        </w:rPr>
        <w:t xml:space="preserve"> </w:t>
      </w:r>
      <w:r>
        <w:t>de</w:t>
      </w:r>
      <w:r>
        <w:rPr>
          <w:spacing w:val="-20"/>
        </w:rPr>
        <w:t xml:space="preserve"> </w:t>
      </w:r>
      <w:r>
        <w:t>28</w:t>
      </w:r>
      <w:r>
        <w:rPr>
          <w:spacing w:val="-20"/>
        </w:rPr>
        <w:t xml:space="preserve"> </w:t>
      </w:r>
      <w:r>
        <w:t>años por identidad étnica se tiene que alrededor del 10% de las personas identificadas</w:t>
      </w:r>
      <w:r>
        <w:rPr>
          <w:spacing w:val="-20"/>
        </w:rPr>
        <w:t xml:space="preserve"> </w:t>
      </w:r>
      <w:r>
        <w:t>con</w:t>
      </w:r>
      <w:r>
        <w:rPr>
          <w:spacing w:val="-19"/>
        </w:rPr>
        <w:t xml:space="preserve"> </w:t>
      </w:r>
      <w:r>
        <w:t>algún</w:t>
      </w:r>
      <w:r>
        <w:rPr>
          <w:spacing w:val="-20"/>
        </w:rPr>
        <w:t xml:space="preserve"> </w:t>
      </w:r>
      <w:r>
        <w:t>grupo</w:t>
      </w:r>
      <w:r>
        <w:rPr>
          <w:spacing w:val="-19"/>
        </w:rPr>
        <w:t xml:space="preserve"> </w:t>
      </w:r>
      <w:r>
        <w:t>no</w:t>
      </w:r>
      <w:r>
        <w:rPr>
          <w:spacing w:val="-19"/>
        </w:rPr>
        <w:t xml:space="preserve"> </w:t>
      </w:r>
      <w:r>
        <w:t>tiene</w:t>
      </w:r>
      <w:r>
        <w:rPr>
          <w:spacing w:val="-18"/>
        </w:rPr>
        <w:t xml:space="preserve"> </w:t>
      </w:r>
      <w:r>
        <w:t>ningún</w:t>
      </w:r>
      <w:r>
        <w:rPr>
          <w:spacing w:val="-20"/>
        </w:rPr>
        <w:t xml:space="preserve"> </w:t>
      </w:r>
      <w:r>
        <w:t>nivel</w:t>
      </w:r>
      <w:r>
        <w:rPr>
          <w:spacing w:val="-20"/>
        </w:rPr>
        <w:t xml:space="preserve"> </w:t>
      </w:r>
      <w:r>
        <w:t>educativo,</w:t>
      </w:r>
      <w:r>
        <w:rPr>
          <w:spacing w:val="-20"/>
        </w:rPr>
        <w:t xml:space="preserve"> </w:t>
      </w:r>
      <w:r>
        <w:t>mientras</w:t>
      </w:r>
      <w:r>
        <w:rPr>
          <w:spacing w:val="-19"/>
        </w:rPr>
        <w:t xml:space="preserve"> </w:t>
      </w:r>
      <w:r>
        <w:t>que en</w:t>
      </w:r>
      <w:r>
        <w:rPr>
          <w:spacing w:val="-7"/>
        </w:rPr>
        <w:t xml:space="preserve"> </w:t>
      </w:r>
      <w:r>
        <w:t>las</w:t>
      </w:r>
      <w:r>
        <w:rPr>
          <w:spacing w:val="-7"/>
        </w:rPr>
        <w:t xml:space="preserve"> </w:t>
      </w:r>
      <w:r>
        <w:t>que</w:t>
      </w:r>
      <w:r>
        <w:rPr>
          <w:spacing w:val="-5"/>
        </w:rPr>
        <w:t xml:space="preserve"> </w:t>
      </w:r>
      <w:r>
        <w:t>no</w:t>
      </w:r>
      <w:r>
        <w:rPr>
          <w:spacing w:val="-6"/>
        </w:rPr>
        <w:t xml:space="preserve"> </w:t>
      </w:r>
      <w:r>
        <w:t>se</w:t>
      </w:r>
      <w:r>
        <w:rPr>
          <w:spacing w:val="-5"/>
        </w:rPr>
        <w:t xml:space="preserve"> </w:t>
      </w:r>
      <w:r>
        <w:t>identifican</w:t>
      </w:r>
      <w:r>
        <w:rPr>
          <w:spacing w:val="-7"/>
        </w:rPr>
        <w:t xml:space="preserve"> </w:t>
      </w:r>
      <w:r>
        <w:t>el</w:t>
      </w:r>
      <w:r>
        <w:rPr>
          <w:spacing w:val="-7"/>
        </w:rPr>
        <w:t xml:space="preserve"> </w:t>
      </w:r>
      <w:r>
        <w:t>porcentaje</w:t>
      </w:r>
      <w:r>
        <w:rPr>
          <w:spacing w:val="-5"/>
        </w:rPr>
        <w:t xml:space="preserve"> </w:t>
      </w:r>
      <w:r>
        <w:t>se</w:t>
      </w:r>
      <w:r>
        <w:rPr>
          <w:spacing w:val="-5"/>
        </w:rPr>
        <w:t xml:space="preserve"> </w:t>
      </w:r>
      <w:r>
        <w:t>reduce</w:t>
      </w:r>
      <w:r>
        <w:rPr>
          <w:spacing w:val="-5"/>
        </w:rPr>
        <w:t xml:space="preserve"> </w:t>
      </w:r>
      <w:r>
        <w:t>a</w:t>
      </w:r>
      <w:r>
        <w:rPr>
          <w:spacing w:val="-6"/>
        </w:rPr>
        <w:t xml:space="preserve"> </w:t>
      </w:r>
      <w:r>
        <w:t>la</w:t>
      </w:r>
      <w:r>
        <w:rPr>
          <w:spacing w:val="-7"/>
        </w:rPr>
        <w:t xml:space="preserve"> </w:t>
      </w:r>
      <w:r>
        <w:t>mitad</w:t>
      </w:r>
      <w:r>
        <w:rPr>
          <w:spacing w:val="-7"/>
        </w:rPr>
        <w:t xml:space="preserve"> </w:t>
      </w:r>
      <w:r>
        <w:t>(4,9%),</w:t>
      </w:r>
      <w:r>
        <w:rPr>
          <w:spacing w:val="-7"/>
        </w:rPr>
        <w:t xml:space="preserve"> </w:t>
      </w:r>
      <w:r>
        <w:t>y</w:t>
      </w:r>
      <w:r>
        <w:rPr>
          <w:spacing w:val="-7"/>
        </w:rPr>
        <w:t xml:space="preserve"> </w:t>
      </w:r>
      <w:r>
        <w:t>la brecha de personas con educación técnica, tecnológica o universitaria es de</w:t>
      </w:r>
      <w:r>
        <w:rPr>
          <w:spacing w:val="14"/>
        </w:rPr>
        <w:t xml:space="preserve"> </w:t>
      </w:r>
      <w:r>
        <w:t>18</w:t>
      </w:r>
      <w:r>
        <w:rPr>
          <w:spacing w:val="14"/>
        </w:rPr>
        <w:t xml:space="preserve"> </w:t>
      </w:r>
      <w:proofErr w:type="spellStart"/>
      <w:r>
        <w:t>p.p</w:t>
      </w:r>
      <w:proofErr w:type="spellEnd"/>
      <w:r>
        <w:rPr>
          <w:spacing w:val="13"/>
        </w:rPr>
        <w:t xml:space="preserve"> </w:t>
      </w:r>
      <w:r>
        <w:t>entre</w:t>
      </w:r>
      <w:r>
        <w:rPr>
          <w:spacing w:val="15"/>
        </w:rPr>
        <w:t xml:space="preserve"> </w:t>
      </w:r>
      <w:r>
        <w:t>indígenas</w:t>
      </w:r>
      <w:r>
        <w:rPr>
          <w:spacing w:val="14"/>
        </w:rPr>
        <w:t xml:space="preserve"> </w:t>
      </w:r>
      <w:r>
        <w:t>y</w:t>
      </w:r>
      <w:r>
        <w:rPr>
          <w:spacing w:val="13"/>
        </w:rPr>
        <w:t xml:space="preserve"> </w:t>
      </w:r>
      <w:r>
        <w:t>quienes</w:t>
      </w:r>
      <w:r>
        <w:rPr>
          <w:spacing w:val="14"/>
        </w:rPr>
        <w:t xml:space="preserve"> </w:t>
      </w:r>
      <w:r>
        <w:t>no</w:t>
      </w:r>
      <w:r>
        <w:rPr>
          <w:spacing w:val="14"/>
        </w:rPr>
        <w:t xml:space="preserve"> </w:t>
      </w:r>
      <w:r>
        <w:t>se</w:t>
      </w:r>
      <w:r>
        <w:rPr>
          <w:spacing w:val="15"/>
        </w:rPr>
        <w:t xml:space="preserve"> </w:t>
      </w:r>
      <w:r>
        <w:t>reconocen</w:t>
      </w:r>
      <w:r>
        <w:rPr>
          <w:spacing w:val="13"/>
        </w:rPr>
        <w:t xml:space="preserve"> </w:t>
      </w:r>
      <w:r>
        <w:t>con</w:t>
      </w:r>
      <w:r>
        <w:rPr>
          <w:spacing w:val="11"/>
        </w:rPr>
        <w:t xml:space="preserve"> </w:t>
      </w:r>
      <w:r>
        <w:t>ningún</w:t>
      </w:r>
      <w:r>
        <w:rPr>
          <w:spacing w:val="13"/>
        </w:rPr>
        <w:t xml:space="preserve"> </w:t>
      </w:r>
      <w:r>
        <w:t>grupo</w:t>
      </w:r>
      <w:r>
        <w:rPr>
          <w:spacing w:val="15"/>
        </w:rPr>
        <w:t xml:space="preserve"> </w:t>
      </w:r>
      <w:r>
        <w:rPr>
          <w:spacing w:val="-10"/>
        </w:rPr>
        <w:t>y</w:t>
      </w:r>
    </w:p>
    <w:p w14:paraId="311CA1F8" w14:textId="77777777" w:rsidR="000E52B0" w:rsidRDefault="000E52B0">
      <w:pPr>
        <w:pStyle w:val="Textoindependiente"/>
        <w:jc w:val="both"/>
        <w:sectPr w:rsidR="000E52B0">
          <w:type w:val="continuous"/>
          <w:pgSz w:w="11910" w:h="16840"/>
          <w:pgMar w:top="1340" w:right="720" w:bottom="1280" w:left="720" w:header="0" w:footer="995" w:gutter="0"/>
          <w:cols w:space="720"/>
        </w:sectPr>
      </w:pPr>
    </w:p>
    <w:p w14:paraId="327E8342" w14:textId="77777777" w:rsidR="000E52B0" w:rsidRDefault="00F60D74">
      <w:pPr>
        <w:pStyle w:val="Textoindependiente"/>
        <w:tabs>
          <w:tab w:val="left" w:pos="1389"/>
          <w:tab w:val="left" w:pos="1919"/>
          <w:tab w:val="left" w:pos="2768"/>
          <w:tab w:val="left" w:pos="3569"/>
          <w:tab w:val="left" w:pos="5229"/>
          <w:tab w:val="left" w:pos="7031"/>
          <w:tab w:val="left" w:pos="9596"/>
        </w:tabs>
        <w:spacing w:before="83"/>
        <w:ind w:right="722"/>
      </w:pPr>
      <w:r>
        <w:rPr>
          <w:spacing w:val="-6"/>
        </w:rPr>
        <w:lastRenderedPageBreak/>
        <w:t>de</w:t>
      </w:r>
      <w:r>
        <w:tab/>
      </w:r>
      <w:r>
        <w:rPr>
          <w:spacing w:val="-10"/>
        </w:rPr>
        <w:t>8</w:t>
      </w:r>
      <w:r>
        <w:tab/>
      </w:r>
      <w:r>
        <w:rPr>
          <w:spacing w:val="-4"/>
        </w:rPr>
        <w:t>p.p.</w:t>
      </w:r>
      <w:r>
        <w:tab/>
      </w:r>
      <w:r>
        <w:rPr>
          <w:spacing w:val="-4"/>
        </w:rPr>
        <w:t>con</w:t>
      </w:r>
      <w:r>
        <w:tab/>
      </w:r>
      <w:r>
        <w:rPr>
          <w:spacing w:val="-2"/>
        </w:rPr>
        <w:t>negros/as,</w:t>
      </w:r>
      <w:r>
        <w:tab/>
      </w:r>
      <w:r>
        <w:rPr>
          <w:spacing w:val="-2"/>
        </w:rPr>
        <w:t>mulatos/as,</w:t>
      </w:r>
      <w:r>
        <w:tab/>
      </w:r>
      <w:r>
        <w:rPr>
          <w:spacing w:val="-2"/>
        </w:rPr>
        <w:t>afrodescendientes</w:t>
      </w:r>
      <w:r>
        <w:tab/>
      </w:r>
      <w:r>
        <w:rPr>
          <w:spacing w:val="-10"/>
        </w:rPr>
        <w:t xml:space="preserve">o </w:t>
      </w:r>
      <w:r>
        <w:rPr>
          <w:spacing w:val="-2"/>
        </w:rPr>
        <w:t>afrocolombianos/as.</w:t>
      </w:r>
    </w:p>
    <w:p w14:paraId="3A7E3E7D" w14:textId="77777777" w:rsidR="000E52B0" w:rsidRDefault="00F60D74">
      <w:pPr>
        <w:spacing w:before="158"/>
        <w:ind w:left="4681" w:right="723" w:hanging="3839"/>
        <w:rPr>
          <w:i/>
          <w:sz w:val="18"/>
        </w:rPr>
      </w:pPr>
      <w:r>
        <w:rPr>
          <w:i/>
          <w:color w:val="454551"/>
          <w:sz w:val="18"/>
        </w:rPr>
        <w:t>Ilustración</w:t>
      </w:r>
      <w:r>
        <w:rPr>
          <w:i/>
          <w:color w:val="454551"/>
          <w:spacing w:val="-1"/>
          <w:sz w:val="18"/>
        </w:rPr>
        <w:t xml:space="preserve"> </w:t>
      </w:r>
      <w:r>
        <w:rPr>
          <w:i/>
          <w:color w:val="454551"/>
          <w:sz w:val="18"/>
        </w:rPr>
        <w:t>16.</w:t>
      </w:r>
      <w:r>
        <w:rPr>
          <w:i/>
          <w:color w:val="454551"/>
          <w:spacing w:val="-4"/>
          <w:sz w:val="18"/>
        </w:rPr>
        <w:t xml:space="preserve"> </w:t>
      </w:r>
      <w:r>
        <w:rPr>
          <w:i/>
          <w:color w:val="454551"/>
          <w:sz w:val="18"/>
        </w:rPr>
        <w:t>Distribución</w:t>
      </w:r>
      <w:r>
        <w:rPr>
          <w:i/>
          <w:color w:val="454551"/>
          <w:spacing w:val="-4"/>
          <w:sz w:val="18"/>
        </w:rPr>
        <w:t xml:space="preserve"> </w:t>
      </w:r>
      <w:r>
        <w:rPr>
          <w:i/>
          <w:color w:val="454551"/>
          <w:sz w:val="18"/>
        </w:rPr>
        <w:t>del</w:t>
      </w:r>
      <w:r>
        <w:rPr>
          <w:i/>
          <w:color w:val="454551"/>
          <w:spacing w:val="-2"/>
          <w:sz w:val="18"/>
        </w:rPr>
        <w:t xml:space="preserve"> </w:t>
      </w:r>
      <w:r>
        <w:rPr>
          <w:i/>
          <w:color w:val="454551"/>
          <w:sz w:val="18"/>
        </w:rPr>
        <w:t>nivel</w:t>
      </w:r>
      <w:r>
        <w:rPr>
          <w:i/>
          <w:color w:val="454551"/>
          <w:spacing w:val="-2"/>
          <w:sz w:val="18"/>
        </w:rPr>
        <w:t xml:space="preserve"> </w:t>
      </w:r>
      <w:r>
        <w:rPr>
          <w:i/>
          <w:color w:val="454551"/>
          <w:sz w:val="18"/>
        </w:rPr>
        <w:t>educativo</w:t>
      </w:r>
      <w:r>
        <w:rPr>
          <w:i/>
          <w:color w:val="454551"/>
          <w:spacing w:val="-2"/>
          <w:sz w:val="18"/>
        </w:rPr>
        <w:t xml:space="preserve"> </w:t>
      </w:r>
      <w:r>
        <w:rPr>
          <w:i/>
          <w:color w:val="454551"/>
          <w:sz w:val="18"/>
        </w:rPr>
        <w:t>máximo</w:t>
      </w:r>
      <w:r>
        <w:rPr>
          <w:i/>
          <w:color w:val="454551"/>
          <w:spacing w:val="-2"/>
          <w:sz w:val="18"/>
        </w:rPr>
        <w:t xml:space="preserve"> </w:t>
      </w:r>
      <w:r>
        <w:rPr>
          <w:i/>
          <w:color w:val="454551"/>
          <w:sz w:val="18"/>
        </w:rPr>
        <w:t>por</w:t>
      </w:r>
      <w:r>
        <w:rPr>
          <w:i/>
          <w:color w:val="454551"/>
          <w:spacing w:val="-3"/>
          <w:sz w:val="18"/>
        </w:rPr>
        <w:t xml:space="preserve"> </w:t>
      </w:r>
      <w:r>
        <w:rPr>
          <w:i/>
          <w:color w:val="454551"/>
          <w:sz w:val="18"/>
        </w:rPr>
        <w:t>identidad</w:t>
      </w:r>
      <w:r>
        <w:rPr>
          <w:i/>
          <w:color w:val="454551"/>
          <w:spacing w:val="-2"/>
          <w:sz w:val="18"/>
        </w:rPr>
        <w:t xml:space="preserve"> </w:t>
      </w:r>
      <w:r>
        <w:rPr>
          <w:i/>
          <w:color w:val="454551"/>
          <w:sz w:val="18"/>
        </w:rPr>
        <w:t>étnica</w:t>
      </w:r>
      <w:r>
        <w:rPr>
          <w:i/>
          <w:color w:val="454551"/>
          <w:spacing w:val="-4"/>
          <w:sz w:val="18"/>
        </w:rPr>
        <w:t xml:space="preserve"> </w:t>
      </w:r>
      <w:r>
        <w:rPr>
          <w:i/>
          <w:color w:val="454551"/>
          <w:sz w:val="18"/>
        </w:rPr>
        <w:t>para</w:t>
      </w:r>
      <w:r>
        <w:rPr>
          <w:i/>
          <w:color w:val="454551"/>
          <w:spacing w:val="-4"/>
          <w:sz w:val="18"/>
        </w:rPr>
        <w:t xml:space="preserve"> </w:t>
      </w:r>
      <w:r>
        <w:rPr>
          <w:i/>
          <w:color w:val="454551"/>
          <w:sz w:val="18"/>
        </w:rPr>
        <w:t>personas</w:t>
      </w:r>
      <w:r>
        <w:rPr>
          <w:i/>
          <w:color w:val="454551"/>
          <w:spacing w:val="-4"/>
          <w:sz w:val="18"/>
        </w:rPr>
        <w:t xml:space="preserve"> </w:t>
      </w:r>
      <w:r>
        <w:rPr>
          <w:i/>
          <w:color w:val="454551"/>
          <w:sz w:val="18"/>
        </w:rPr>
        <w:t>de</w:t>
      </w:r>
      <w:r>
        <w:rPr>
          <w:i/>
          <w:color w:val="454551"/>
          <w:spacing w:val="-3"/>
          <w:sz w:val="18"/>
        </w:rPr>
        <w:t xml:space="preserve"> </w:t>
      </w:r>
      <w:r>
        <w:rPr>
          <w:i/>
          <w:color w:val="454551"/>
          <w:sz w:val="18"/>
        </w:rPr>
        <w:t>28 años o más.</w:t>
      </w:r>
    </w:p>
    <w:p w14:paraId="18300E24" w14:textId="77777777" w:rsidR="000E52B0" w:rsidRDefault="000E52B0">
      <w:pPr>
        <w:pStyle w:val="Textoindependiente"/>
        <w:spacing w:before="150"/>
        <w:ind w:left="0"/>
        <w:rPr>
          <w:i/>
          <w:sz w:val="18"/>
        </w:rPr>
      </w:pPr>
    </w:p>
    <w:p w14:paraId="069B2E8F" w14:textId="7991A0B0" w:rsidR="000E52B0" w:rsidRDefault="00F60D74">
      <w:pPr>
        <w:tabs>
          <w:tab w:val="left" w:pos="1241"/>
          <w:tab w:val="left" w:pos="2316"/>
          <w:tab w:val="left" w:pos="3623"/>
        </w:tabs>
        <w:spacing w:before="1"/>
        <w:ind w:left="165"/>
        <w:jc w:val="center"/>
        <w:rPr>
          <w:rFonts w:ascii="Trebuchet MS" w:hAnsi="Trebuchet MS"/>
          <w:sz w:val="18"/>
        </w:rPr>
      </w:pPr>
      <w:r>
        <w:rPr>
          <w:noProof/>
        </w:rPr>
        <w:drawing>
          <wp:inline distT="0" distB="0" distL="0" distR="0" wp14:anchorId="6EAAB7A3" wp14:editId="2653D011">
            <wp:extent cx="62779" cy="62779"/>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9" cstate="print"/>
                    <a:stretch>
                      <a:fillRect/>
                    </a:stretch>
                  </pic:blipFill>
                  <pic:spPr>
                    <a:xfrm>
                      <a:off x="0" y="0"/>
                      <a:ext cx="62779" cy="62779"/>
                    </a:xfrm>
                    <a:prstGeom prst="rect">
                      <a:avLst/>
                    </a:prstGeom>
                  </pic:spPr>
                </pic:pic>
              </a:graphicData>
            </a:graphic>
          </wp:inline>
        </w:drawing>
      </w:r>
      <w:r>
        <w:rPr>
          <w:rFonts w:ascii="Times New Roman" w:hAnsi="Times New Roman"/>
          <w:spacing w:val="-7"/>
          <w:sz w:val="20"/>
        </w:rPr>
        <w:t xml:space="preserve"> </w:t>
      </w:r>
      <w:r>
        <w:rPr>
          <w:rFonts w:ascii="Trebuchet MS" w:hAnsi="Trebuchet MS"/>
          <w:color w:val="585858"/>
          <w:sz w:val="18"/>
        </w:rPr>
        <w:t>Ninguno</w:t>
      </w:r>
      <w:r>
        <w:rPr>
          <w:rFonts w:ascii="Trebuchet MS" w:hAnsi="Trebuchet MS"/>
          <w:color w:val="585858"/>
          <w:sz w:val="18"/>
        </w:rPr>
        <w:tab/>
      </w:r>
      <w:r>
        <w:rPr>
          <w:rFonts w:ascii="Trebuchet MS" w:hAnsi="Trebuchet MS"/>
          <w:noProof/>
          <w:color w:val="585858"/>
          <w:sz w:val="18"/>
        </w:rPr>
        <w:drawing>
          <wp:inline distT="0" distB="0" distL="0" distR="0" wp14:anchorId="7861ECB8" wp14:editId="5FC35929">
            <wp:extent cx="62779" cy="62779"/>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0" cstate="print"/>
                    <a:stretch>
                      <a:fillRect/>
                    </a:stretch>
                  </pic:blipFill>
                  <pic:spPr>
                    <a:xfrm>
                      <a:off x="0" y="0"/>
                      <a:ext cx="62779" cy="62779"/>
                    </a:xfrm>
                    <a:prstGeom prst="rect">
                      <a:avLst/>
                    </a:prstGeom>
                  </pic:spPr>
                </pic:pic>
              </a:graphicData>
            </a:graphic>
          </wp:inline>
        </w:drawing>
      </w:r>
      <w:r>
        <w:rPr>
          <w:rFonts w:ascii="Times New Roman" w:hAnsi="Times New Roman"/>
          <w:color w:val="585858"/>
          <w:spacing w:val="-2"/>
          <w:sz w:val="18"/>
        </w:rPr>
        <w:t xml:space="preserve"> </w:t>
      </w:r>
      <w:r>
        <w:rPr>
          <w:rFonts w:ascii="Trebuchet MS" w:hAnsi="Trebuchet MS"/>
          <w:color w:val="585858"/>
          <w:sz w:val="18"/>
        </w:rPr>
        <w:t>Primaria</w:t>
      </w:r>
      <w:r>
        <w:rPr>
          <w:rFonts w:ascii="Trebuchet MS" w:hAnsi="Trebuchet MS"/>
          <w:color w:val="585858"/>
          <w:sz w:val="18"/>
        </w:rPr>
        <w:tab/>
      </w:r>
      <w:r>
        <w:rPr>
          <w:rFonts w:ascii="Trebuchet MS" w:hAnsi="Trebuchet MS"/>
          <w:noProof/>
          <w:color w:val="585858"/>
          <w:sz w:val="18"/>
        </w:rPr>
        <w:drawing>
          <wp:inline distT="0" distB="0" distL="0" distR="0" wp14:anchorId="64405FB8" wp14:editId="14A51048">
            <wp:extent cx="62779" cy="62779"/>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51" cstate="print"/>
                    <a:stretch>
                      <a:fillRect/>
                    </a:stretch>
                  </pic:blipFill>
                  <pic:spPr>
                    <a:xfrm>
                      <a:off x="0" y="0"/>
                      <a:ext cx="62779" cy="62779"/>
                    </a:xfrm>
                    <a:prstGeom prst="rect">
                      <a:avLst/>
                    </a:prstGeom>
                  </pic:spPr>
                </pic:pic>
              </a:graphicData>
            </a:graphic>
          </wp:inline>
        </w:drawing>
      </w:r>
      <w:r>
        <w:rPr>
          <w:rFonts w:ascii="Times New Roman" w:hAnsi="Times New Roman"/>
          <w:color w:val="585858"/>
          <w:sz w:val="18"/>
        </w:rPr>
        <w:t xml:space="preserve"> </w:t>
      </w:r>
      <w:r>
        <w:rPr>
          <w:rFonts w:ascii="Trebuchet MS" w:hAnsi="Trebuchet MS"/>
          <w:color w:val="585858"/>
          <w:sz w:val="18"/>
        </w:rPr>
        <w:t>Secundaria</w:t>
      </w:r>
      <w:r>
        <w:rPr>
          <w:rFonts w:ascii="Trebuchet MS" w:hAnsi="Trebuchet MS"/>
          <w:color w:val="585858"/>
          <w:sz w:val="18"/>
        </w:rPr>
        <w:tab/>
      </w:r>
      <w:r>
        <w:rPr>
          <w:rFonts w:ascii="Trebuchet MS" w:hAnsi="Trebuchet MS"/>
          <w:noProof/>
          <w:color w:val="585858"/>
          <w:sz w:val="18"/>
        </w:rPr>
        <w:drawing>
          <wp:inline distT="0" distB="0" distL="0" distR="0" wp14:anchorId="1B6E45FE" wp14:editId="707FDEB6">
            <wp:extent cx="62779" cy="62779"/>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2" cstate="print"/>
                    <a:stretch>
                      <a:fillRect/>
                    </a:stretch>
                  </pic:blipFill>
                  <pic:spPr>
                    <a:xfrm>
                      <a:off x="0" y="0"/>
                      <a:ext cx="62779" cy="62779"/>
                    </a:xfrm>
                    <a:prstGeom prst="rect">
                      <a:avLst/>
                    </a:prstGeom>
                  </pic:spPr>
                </pic:pic>
              </a:graphicData>
            </a:graphic>
          </wp:inline>
        </w:drawing>
      </w:r>
      <w:r>
        <w:rPr>
          <w:rFonts w:ascii="Times New Roman" w:hAnsi="Times New Roman"/>
          <w:color w:val="585858"/>
          <w:spacing w:val="9"/>
          <w:sz w:val="18"/>
        </w:rPr>
        <w:t xml:space="preserve"> </w:t>
      </w:r>
      <w:r>
        <w:rPr>
          <w:rFonts w:ascii="Trebuchet MS" w:hAnsi="Trebuchet MS"/>
          <w:color w:val="585858"/>
          <w:spacing w:val="-6"/>
          <w:sz w:val="18"/>
        </w:rPr>
        <w:t>Técnica, Universitaria</w:t>
      </w:r>
      <w:r>
        <w:rPr>
          <w:rFonts w:ascii="Trebuchet MS" w:hAnsi="Trebuchet MS"/>
          <w:color w:val="585858"/>
          <w:spacing w:val="-9"/>
          <w:sz w:val="18"/>
        </w:rPr>
        <w:t xml:space="preserve"> </w:t>
      </w:r>
      <w:r>
        <w:rPr>
          <w:rFonts w:ascii="Trebuchet MS" w:hAnsi="Trebuchet MS"/>
          <w:color w:val="585858"/>
          <w:spacing w:val="-6"/>
          <w:sz w:val="18"/>
        </w:rPr>
        <w:t>o</w:t>
      </w:r>
      <w:r>
        <w:rPr>
          <w:rFonts w:ascii="Trebuchet MS" w:hAnsi="Trebuchet MS"/>
          <w:color w:val="585858"/>
          <w:spacing w:val="-7"/>
          <w:sz w:val="18"/>
        </w:rPr>
        <w:t xml:space="preserve"> </w:t>
      </w:r>
      <w:r>
        <w:rPr>
          <w:rFonts w:ascii="Trebuchet MS" w:hAnsi="Trebuchet MS"/>
          <w:color w:val="585858"/>
          <w:spacing w:val="-6"/>
          <w:sz w:val="18"/>
        </w:rPr>
        <w:t>Posgrado</w:t>
      </w:r>
    </w:p>
    <w:p w14:paraId="0A55CF43" w14:textId="5E24D12C" w:rsidR="000E52B0" w:rsidRDefault="000E52B0">
      <w:pPr>
        <w:pStyle w:val="Textoindependiente"/>
        <w:spacing w:before="39"/>
        <w:ind w:left="0"/>
        <w:rPr>
          <w:rFonts w:ascii="Trebuchet MS"/>
          <w:sz w:val="18"/>
        </w:rPr>
      </w:pPr>
    </w:p>
    <w:p w14:paraId="18FCF05E" w14:textId="40A06B85" w:rsidR="000E52B0" w:rsidRDefault="00F60D74">
      <w:pPr>
        <w:ind w:left="1658"/>
        <w:rPr>
          <w:rFonts w:ascii="Trebuchet MS"/>
          <w:sz w:val="18"/>
        </w:rPr>
      </w:pPr>
      <w:r>
        <w:rPr>
          <w:rFonts w:ascii="Trebuchet MS"/>
          <w:color w:val="404040"/>
          <w:spacing w:val="-5"/>
          <w:w w:val="115"/>
          <w:sz w:val="18"/>
        </w:rPr>
        <w:t>53%</w:t>
      </w:r>
    </w:p>
    <w:p w14:paraId="3A9E1460" w14:textId="62CE690F" w:rsidR="000E52B0" w:rsidRDefault="00203383">
      <w:pPr>
        <w:pStyle w:val="Textoindependiente"/>
        <w:spacing w:before="8"/>
        <w:ind w:left="0"/>
        <w:rPr>
          <w:rFonts w:ascii="Trebuchet MS"/>
          <w:sz w:val="6"/>
        </w:rPr>
      </w:pPr>
      <w:r>
        <w:rPr>
          <w:rFonts w:ascii="Trebuchet MS"/>
          <w:noProof/>
          <w:sz w:val="6"/>
        </w:rPr>
        <mc:AlternateContent>
          <mc:Choice Requires="wpg">
            <w:drawing>
              <wp:anchor distT="0" distB="0" distL="0" distR="0" simplePos="0" relativeHeight="487608832" behindDoc="1" locked="0" layoutInCell="1" allowOverlap="1" wp14:anchorId="748FEA38" wp14:editId="1A5FB814">
                <wp:simplePos x="0" y="0"/>
                <wp:positionH relativeFrom="page">
                  <wp:posOffset>1054100</wp:posOffset>
                </wp:positionH>
                <wp:positionV relativeFrom="paragraph">
                  <wp:posOffset>64991</wp:posOffset>
                </wp:positionV>
                <wp:extent cx="5511800" cy="1237615"/>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1800" cy="1237615"/>
                          <a:chOff x="0" y="0"/>
                          <a:chExt cx="5511800" cy="1237615"/>
                        </a:xfrm>
                      </wpg:grpSpPr>
                      <wps:wsp>
                        <wps:cNvPr id="75" name="Graphic 75"/>
                        <wps:cNvSpPr/>
                        <wps:spPr>
                          <a:xfrm>
                            <a:off x="215392" y="784859"/>
                            <a:ext cx="4331335" cy="447675"/>
                          </a:xfrm>
                          <a:custGeom>
                            <a:avLst/>
                            <a:gdLst/>
                            <a:ahLst/>
                            <a:cxnLst/>
                            <a:rect l="l" t="t" r="r" b="b"/>
                            <a:pathLst>
                              <a:path w="4331335" h="447675">
                                <a:moveTo>
                                  <a:pt x="196596" y="237744"/>
                                </a:moveTo>
                                <a:lnTo>
                                  <a:pt x="0" y="237744"/>
                                </a:lnTo>
                                <a:lnTo>
                                  <a:pt x="0" y="447548"/>
                                </a:lnTo>
                                <a:lnTo>
                                  <a:pt x="196596" y="447548"/>
                                </a:lnTo>
                                <a:lnTo>
                                  <a:pt x="196596" y="237744"/>
                                </a:lnTo>
                                <a:close/>
                              </a:path>
                              <a:path w="4331335" h="447675">
                                <a:moveTo>
                                  <a:pt x="1574292" y="0"/>
                                </a:moveTo>
                                <a:lnTo>
                                  <a:pt x="1377696" y="0"/>
                                </a:lnTo>
                                <a:lnTo>
                                  <a:pt x="1377696" y="447548"/>
                                </a:lnTo>
                                <a:lnTo>
                                  <a:pt x="1574292" y="447548"/>
                                </a:lnTo>
                                <a:lnTo>
                                  <a:pt x="1574292" y="0"/>
                                </a:lnTo>
                                <a:close/>
                              </a:path>
                              <a:path w="4331335" h="447675">
                                <a:moveTo>
                                  <a:pt x="2953512" y="239268"/>
                                </a:moveTo>
                                <a:lnTo>
                                  <a:pt x="2755392" y="239268"/>
                                </a:lnTo>
                                <a:lnTo>
                                  <a:pt x="2755392" y="447548"/>
                                </a:lnTo>
                                <a:lnTo>
                                  <a:pt x="2953512" y="447548"/>
                                </a:lnTo>
                                <a:lnTo>
                                  <a:pt x="2953512" y="239268"/>
                                </a:lnTo>
                                <a:close/>
                              </a:path>
                              <a:path w="4331335" h="447675">
                                <a:moveTo>
                                  <a:pt x="4331208" y="333756"/>
                                </a:moveTo>
                                <a:lnTo>
                                  <a:pt x="4134612" y="333756"/>
                                </a:lnTo>
                                <a:lnTo>
                                  <a:pt x="4134612" y="447548"/>
                                </a:lnTo>
                                <a:lnTo>
                                  <a:pt x="4331208" y="447548"/>
                                </a:lnTo>
                                <a:lnTo>
                                  <a:pt x="4331208" y="333756"/>
                                </a:lnTo>
                                <a:close/>
                              </a:path>
                            </a:pathLst>
                          </a:custGeom>
                          <a:solidFill>
                            <a:srgbClr val="B12070"/>
                          </a:solidFill>
                        </wps:spPr>
                        <wps:bodyPr wrap="square" lIns="0" tIns="0" rIns="0" bIns="0" rtlCol="0">
                          <a:prstTxWarp prst="textNoShape">
                            <a:avLst/>
                          </a:prstTxWarp>
                          <a:noAutofit/>
                        </wps:bodyPr>
                      </wps:wsp>
                      <wps:wsp>
                        <wps:cNvPr id="76" name="Graphic 76"/>
                        <wps:cNvSpPr/>
                        <wps:spPr>
                          <a:xfrm>
                            <a:off x="465328" y="0"/>
                            <a:ext cx="4331335" cy="1232535"/>
                          </a:xfrm>
                          <a:custGeom>
                            <a:avLst/>
                            <a:gdLst/>
                            <a:ahLst/>
                            <a:cxnLst/>
                            <a:rect l="l" t="t" r="r" b="b"/>
                            <a:pathLst>
                              <a:path w="4331335" h="1232535">
                                <a:moveTo>
                                  <a:pt x="196596" y="0"/>
                                </a:moveTo>
                                <a:lnTo>
                                  <a:pt x="0" y="0"/>
                                </a:lnTo>
                                <a:lnTo>
                                  <a:pt x="0" y="1232408"/>
                                </a:lnTo>
                                <a:lnTo>
                                  <a:pt x="196596" y="1232408"/>
                                </a:lnTo>
                                <a:lnTo>
                                  <a:pt x="196596" y="0"/>
                                </a:lnTo>
                                <a:close/>
                              </a:path>
                              <a:path w="4331335" h="1232535">
                                <a:moveTo>
                                  <a:pt x="1574292" y="217932"/>
                                </a:moveTo>
                                <a:lnTo>
                                  <a:pt x="1377696" y="217932"/>
                                </a:lnTo>
                                <a:lnTo>
                                  <a:pt x="1377696" y="1232408"/>
                                </a:lnTo>
                                <a:lnTo>
                                  <a:pt x="1574292" y="1232408"/>
                                </a:lnTo>
                                <a:lnTo>
                                  <a:pt x="1574292" y="217932"/>
                                </a:lnTo>
                                <a:close/>
                              </a:path>
                              <a:path w="4331335" h="1232535">
                                <a:moveTo>
                                  <a:pt x="2953512" y="495300"/>
                                </a:moveTo>
                                <a:lnTo>
                                  <a:pt x="2755392" y="495300"/>
                                </a:lnTo>
                                <a:lnTo>
                                  <a:pt x="2755392" y="1232408"/>
                                </a:lnTo>
                                <a:lnTo>
                                  <a:pt x="2953512" y="1232408"/>
                                </a:lnTo>
                                <a:lnTo>
                                  <a:pt x="2953512" y="495300"/>
                                </a:lnTo>
                                <a:close/>
                              </a:path>
                              <a:path w="4331335" h="1232535">
                                <a:moveTo>
                                  <a:pt x="4331208" y="560832"/>
                                </a:moveTo>
                                <a:lnTo>
                                  <a:pt x="4134612" y="560832"/>
                                </a:lnTo>
                                <a:lnTo>
                                  <a:pt x="4134612" y="1232408"/>
                                </a:lnTo>
                                <a:lnTo>
                                  <a:pt x="4331208" y="1232408"/>
                                </a:lnTo>
                                <a:lnTo>
                                  <a:pt x="4331208" y="560832"/>
                                </a:lnTo>
                                <a:close/>
                              </a:path>
                            </a:pathLst>
                          </a:custGeom>
                          <a:solidFill>
                            <a:srgbClr val="D32986"/>
                          </a:solidFill>
                        </wps:spPr>
                        <wps:bodyPr wrap="square" lIns="0" tIns="0" rIns="0" bIns="0" rtlCol="0">
                          <a:prstTxWarp prst="textNoShape">
                            <a:avLst/>
                          </a:prstTxWarp>
                          <a:noAutofit/>
                        </wps:bodyPr>
                      </wps:wsp>
                      <wps:wsp>
                        <wps:cNvPr id="77" name="Graphic 77"/>
                        <wps:cNvSpPr/>
                        <wps:spPr>
                          <a:xfrm>
                            <a:off x="715264" y="284987"/>
                            <a:ext cx="4331335" cy="947419"/>
                          </a:xfrm>
                          <a:custGeom>
                            <a:avLst/>
                            <a:gdLst/>
                            <a:ahLst/>
                            <a:cxnLst/>
                            <a:rect l="l" t="t" r="r" b="b"/>
                            <a:pathLst>
                              <a:path w="4331335" h="947419">
                                <a:moveTo>
                                  <a:pt x="196596" y="193548"/>
                                </a:moveTo>
                                <a:lnTo>
                                  <a:pt x="0" y="193548"/>
                                </a:lnTo>
                                <a:lnTo>
                                  <a:pt x="0" y="947420"/>
                                </a:lnTo>
                                <a:lnTo>
                                  <a:pt x="196596" y="947420"/>
                                </a:lnTo>
                                <a:lnTo>
                                  <a:pt x="196596" y="193548"/>
                                </a:lnTo>
                                <a:close/>
                              </a:path>
                              <a:path w="4331335" h="947419">
                                <a:moveTo>
                                  <a:pt x="1575816" y="268224"/>
                                </a:moveTo>
                                <a:lnTo>
                                  <a:pt x="1377696" y="268224"/>
                                </a:lnTo>
                                <a:lnTo>
                                  <a:pt x="1377696" y="947420"/>
                                </a:lnTo>
                                <a:lnTo>
                                  <a:pt x="1575816" y="947420"/>
                                </a:lnTo>
                                <a:lnTo>
                                  <a:pt x="1575816" y="268224"/>
                                </a:lnTo>
                                <a:close/>
                              </a:path>
                              <a:path w="4331335" h="947419">
                                <a:moveTo>
                                  <a:pt x="2953512" y="0"/>
                                </a:moveTo>
                                <a:lnTo>
                                  <a:pt x="2756916" y="0"/>
                                </a:lnTo>
                                <a:lnTo>
                                  <a:pt x="2756916" y="947420"/>
                                </a:lnTo>
                                <a:lnTo>
                                  <a:pt x="2953512" y="947420"/>
                                </a:lnTo>
                                <a:lnTo>
                                  <a:pt x="2953512" y="0"/>
                                </a:lnTo>
                                <a:close/>
                              </a:path>
                              <a:path w="4331335" h="947419">
                                <a:moveTo>
                                  <a:pt x="4331208" y="28956"/>
                                </a:moveTo>
                                <a:lnTo>
                                  <a:pt x="4134612" y="28956"/>
                                </a:lnTo>
                                <a:lnTo>
                                  <a:pt x="4134612" y="947420"/>
                                </a:lnTo>
                                <a:lnTo>
                                  <a:pt x="4331208" y="947420"/>
                                </a:lnTo>
                                <a:lnTo>
                                  <a:pt x="4331208" y="28956"/>
                                </a:lnTo>
                                <a:close/>
                              </a:path>
                            </a:pathLst>
                          </a:custGeom>
                          <a:solidFill>
                            <a:srgbClr val="E76FA6"/>
                          </a:solidFill>
                        </wps:spPr>
                        <wps:bodyPr wrap="square" lIns="0" tIns="0" rIns="0" bIns="0" rtlCol="0">
                          <a:prstTxWarp prst="textNoShape">
                            <a:avLst/>
                          </a:prstTxWarp>
                          <a:noAutofit/>
                        </wps:bodyPr>
                      </wps:wsp>
                      <wps:wsp>
                        <wps:cNvPr id="78" name="Graphic 78"/>
                        <wps:cNvSpPr/>
                        <wps:spPr>
                          <a:xfrm>
                            <a:off x="965200" y="606551"/>
                            <a:ext cx="4331335" cy="626110"/>
                          </a:xfrm>
                          <a:custGeom>
                            <a:avLst/>
                            <a:gdLst/>
                            <a:ahLst/>
                            <a:cxnLst/>
                            <a:rect l="l" t="t" r="r" b="b"/>
                            <a:pathLst>
                              <a:path w="4331335" h="626110">
                                <a:moveTo>
                                  <a:pt x="196596" y="492252"/>
                                </a:moveTo>
                                <a:lnTo>
                                  <a:pt x="0" y="492252"/>
                                </a:lnTo>
                                <a:lnTo>
                                  <a:pt x="0" y="625856"/>
                                </a:lnTo>
                                <a:lnTo>
                                  <a:pt x="196596" y="625856"/>
                                </a:lnTo>
                                <a:lnTo>
                                  <a:pt x="196596" y="492252"/>
                                </a:lnTo>
                                <a:close/>
                              </a:path>
                              <a:path w="4331335" h="626110">
                                <a:moveTo>
                                  <a:pt x="1575816" y="438912"/>
                                </a:moveTo>
                                <a:lnTo>
                                  <a:pt x="1377696" y="438912"/>
                                </a:lnTo>
                                <a:lnTo>
                                  <a:pt x="1377696" y="625856"/>
                                </a:lnTo>
                                <a:lnTo>
                                  <a:pt x="1575816" y="625856"/>
                                </a:lnTo>
                                <a:lnTo>
                                  <a:pt x="1575816" y="438912"/>
                                </a:lnTo>
                                <a:close/>
                              </a:path>
                              <a:path w="4331335" h="626110">
                                <a:moveTo>
                                  <a:pt x="2953512" y="188976"/>
                                </a:moveTo>
                                <a:lnTo>
                                  <a:pt x="2756916" y="188976"/>
                                </a:lnTo>
                                <a:lnTo>
                                  <a:pt x="2756916" y="625856"/>
                                </a:lnTo>
                                <a:lnTo>
                                  <a:pt x="2953512" y="625856"/>
                                </a:lnTo>
                                <a:lnTo>
                                  <a:pt x="2953512" y="188976"/>
                                </a:lnTo>
                                <a:close/>
                              </a:path>
                              <a:path w="4331335" h="626110">
                                <a:moveTo>
                                  <a:pt x="4331208" y="0"/>
                                </a:moveTo>
                                <a:lnTo>
                                  <a:pt x="4134612" y="0"/>
                                </a:lnTo>
                                <a:lnTo>
                                  <a:pt x="4134612" y="625856"/>
                                </a:lnTo>
                                <a:lnTo>
                                  <a:pt x="4331208" y="625856"/>
                                </a:lnTo>
                                <a:lnTo>
                                  <a:pt x="4331208" y="0"/>
                                </a:lnTo>
                                <a:close/>
                              </a:path>
                            </a:pathLst>
                          </a:custGeom>
                          <a:solidFill>
                            <a:srgbClr val="EEAFC8"/>
                          </a:solidFill>
                        </wps:spPr>
                        <wps:bodyPr wrap="square" lIns="0" tIns="0" rIns="0" bIns="0" rtlCol="0">
                          <a:prstTxWarp prst="textNoShape">
                            <a:avLst/>
                          </a:prstTxWarp>
                          <a:noAutofit/>
                        </wps:bodyPr>
                      </wps:wsp>
                      <wps:wsp>
                        <wps:cNvPr id="79" name="Graphic 79"/>
                        <wps:cNvSpPr/>
                        <wps:spPr>
                          <a:xfrm>
                            <a:off x="0" y="1232408"/>
                            <a:ext cx="5511800" cy="1270"/>
                          </a:xfrm>
                          <a:custGeom>
                            <a:avLst/>
                            <a:gdLst/>
                            <a:ahLst/>
                            <a:cxnLst/>
                            <a:rect l="l" t="t" r="r" b="b"/>
                            <a:pathLst>
                              <a:path w="5511800">
                                <a:moveTo>
                                  <a:pt x="0" y="0"/>
                                </a:moveTo>
                                <a:lnTo>
                                  <a:pt x="5511800" y="0"/>
                                </a:lnTo>
                              </a:path>
                            </a:pathLst>
                          </a:custGeom>
                          <a:ln w="9525">
                            <a:solidFill>
                              <a:srgbClr val="D9D9D9"/>
                            </a:solidFill>
                            <a:prstDash val="solid"/>
                          </a:ln>
                        </wps:spPr>
                        <wps:bodyPr wrap="square" lIns="0" tIns="0" rIns="0" bIns="0" rtlCol="0">
                          <a:prstTxWarp prst="textNoShape">
                            <a:avLst/>
                          </a:prstTxWarp>
                          <a:noAutofit/>
                        </wps:bodyPr>
                      </wps:wsp>
                      <wps:wsp>
                        <wps:cNvPr id="80" name="Textbox 80"/>
                        <wps:cNvSpPr txBox="1"/>
                        <wps:spPr>
                          <a:xfrm>
                            <a:off x="1834514" y="20438"/>
                            <a:ext cx="229235" cy="139700"/>
                          </a:xfrm>
                          <a:prstGeom prst="rect">
                            <a:avLst/>
                          </a:prstGeom>
                        </wps:spPr>
                        <wps:txbx>
                          <w:txbxContent>
                            <w:p w14:paraId="0A2E6617" w14:textId="77777777" w:rsidR="000E52B0" w:rsidRDefault="00F60D74">
                              <w:pPr>
                                <w:rPr>
                                  <w:rFonts w:ascii="Trebuchet MS"/>
                                  <w:sz w:val="18"/>
                                </w:rPr>
                              </w:pPr>
                              <w:r>
                                <w:rPr>
                                  <w:rFonts w:ascii="Trebuchet MS"/>
                                  <w:color w:val="404040"/>
                                  <w:spacing w:val="-5"/>
                                  <w:w w:val="115"/>
                                  <w:sz w:val="18"/>
                                </w:rPr>
                                <w:t>44%</w:t>
                              </w:r>
                            </w:p>
                          </w:txbxContent>
                        </wps:txbx>
                        <wps:bodyPr wrap="square" lIns="0" tIns="0" rIns="0" bIns="0" rtlCol="0">
                          <a:noAutofit/>
                        </wps:bodyPr>
                      </wps:wsp>
                      <wps:wsp>
                        <wps:cNvPr id="81" name="Textbox 81"/>
                        <wps:cNvSpPr txBox="1"/>
                        <wps:spPr>
                          <a:xfrm>
                            <a:off x="3462782" y="88637"/>
                            <a:ext cx="229235" cy="139700"/>
                          </a:xfrm>
                          <a:prstGeom prst="rect">
                            <a:avLst/>
                          </a:prstGeom>
                        </wps:spPr>
                        <wps:txbx>
                          <w:txbxContent>
                            <w:p w14:paraId="2E8F2C33" w14:textId="77777777" w:rsidR="000E52B0" w:rsidRDefault="00F60D74">
                              <w:pPr>
                                <w:rPr>
                                  <w:rFonts w:ascii="Trebuchet MS"/>
                                  <w:sz w:val="18"/>
                                </w:rPr>
                              </w:pPr>
                              <w:r>
                                <w:rPr>
                                  <w:rFonts w:ascii="Trebuchet MS"/>
                                  <w:color w:val="404040"/>
                                  <w:spacing w:val="-5"/>
                                  <w:w w:val="115"/>
                                  <w:sz w:val="18"/>
                                </w:rPr>
                                <w:t>41%</w:t>
                              </w:r>
                            </w:p>
                          </w:txbxContent>
                        </wps:txbx>
                        <wps:bodyPr wrap="square" lIns="0" tIns="0" rIns="0" bIns="0" rtlCol="0">
                          <a:noAutofit/>
                        </wps:bodyPr>
                      </wps:wsp>
                      <wps:wsp>
                        <wps:cNvPr id="82" name="Textbox 82"/>
                        <wps:cNvSpPr txBox="1"/>
                        <wps:spPr>
                          <a:xfrm>
                            <a:off x="4840985" y="116704"/>
                            <a:ext cx="229235" cy="139700"/>
                          </a:xfrm>
                          <a:prstGeom prst="rect">
                            <a:avLst/>
                          </a:prstGeom>
                        </wps:spPr>
                        <wps:txbx>
                          <w:txbxContent>
                            <w:p w14:paraId="10BEE9FD" w14:textId="77777777" w:rsidR="000E52B0" w:rsidRDefault="00F60D74">
                              <w:pPr>
                                <w:rPr>
                                  <w:rFonts w:ascii="Trebuchet MS"/>
                                  <w:sz w:val="18"/>
                                </w:rPr>
                              </w:pPr>
                              <w:r>
                                <w:rPr>
                                  <w:rFonts w:ascii="Trebuchet MS"/>
                                  <w:color w:val="404040"/>
                                  <w:spacing w:val="-5"/>
                                  <w:w w:val="115"/>
                                  <w:sz w:val="18"/>
                                </w:rPr>
                                <w:t>39%</w:t>
                              </w:r>
                            </w:p>
                          </w:txbxContent>
                        </wps:txbx>
                        <wps:bodyPr wrap="square" lIns="0" tIns="0" rIns="0" bIns="0" rtlCol="0">
                          <a:noAutofit/>
                        </wps:bodyPr>
                      </wps:wsp>
                      <wps:wsp>
                        <wps:cNvPr id="83" name="Textbox 83"/>
                        <wps:cNvSpPr txBox="1"/>
                        <wps:spPr>
                          <a:xfrm>
                            <a:off x="706119" y="281550"/>
                            <a:ext cx="229235" cy="139700"/>
                          </a:xfrm>
                          <a:prstGeom prst="rect">
                            <a:avLst/>
                          </a:prstGeom>
                        </wps:spPr>
                        <wps:txbx>
                          <w:txbxContent>
                            <w:p w14:paraId="711AE616" w14:textId="77777777" w:rsidR="000E52B0" w:rsidRDefault="00F60D74">
                              <w:pPr>
                                <w:rPr>
                                  <w:rFonts w:ascii="Trebuchet MS"/>
                                  <w:sz w:val="18"/>
                                </w:rPr>
                              </w:pPr>
                              <w:r>
                                <w:rPr>
                                  <w:rFonts w:ascii="Trebuchet MS"/>
                                  <w:color w:val="404040"/>
                                  <w:spacing w:val="-5"/>
                                  <w:w w:val="115"/>
                                  <w:sz w:val="18"/>
                                </w:rPr>
                                <w:t>32%</w:t>
                              </w:r>
                            </w:p>
                          </w:txbxContent>
                        </wps:txbx>
                        <wps:bodyPr wrap="square" lIns="0" tIns="0" rIns="0" bIns="0" rtlCol="0">
                          <a:noAutofit/>
                        </wps:bodyPr>
                      </wps:wsp>
                      <wps:wsp>
                        <wps:cNvPr id="84" name="Textbox 84"/>
                        <wps:cNvSpPr txBox="1"/>
                        <wps:spPr>
                          <a:xfrm>
                            <a:off x="2084451" y="355718"/>
                            <a:ext cx="229235" cy="139700"/>
                          </a:xfrm>
                          <a:prstGeom prst="rect">
                            <a:avLst/>
                          </a:prstGeom>
                        </wps:spPr>
                        <wps:txbx>
                          <w:txbxContent>
                            <w:p w14:paraId="1FD29AE0" w14:textId="77777777" w:rsidR="000E52B0" w:rsidRDefault="00F60D74">
                              <w:pPr>
                                <w:rPr>
                                  <w:rFonts w:ascii="Trebuchet MS"/>
                                  <w:sz w:val="18"/>
                                </w:rPr>
                              </w:pPr>
                              <w:r>
                                <w:rPr>
                                  <w:rFonts w:ascii="Trebuchet MS"/>
                                  <w:color w:val="404040"/>
                                  <w:spacing w:val="-5"/>
                                  <w:w w:val="115"/>
                                  <w:sz w:val="18"/>
                                </w:rPr>
                                <w:t>29%</w:t>
                              </w:r>
                            </w:p>
                          </w:txbxContent>
                        </wps:txbx>
                        <wps:bodyPr wrap="square" lIns="0" tIns="0" rIns="0" bIns="0" rtlCol="0">
                          <a:noAutofit/>
                        </wps:bodyPr>
                      </wps:wsp>
                      <wps:wsp>
                        <wps:cNvPr id="85" name="Textbox 85"/>
                        <wps:cNvSpPr txBox="1"/>
                        <wps:spPr>
                          <a:xfrm>
                            <a:off x="3212464" y="298695"/>
                            <a:ext cx="229235" cy="139700"/>
                          </a:xfrm>
                          <a:prstGeom prst="rect">
                            <a:avLst/>
                          </a:prstGeom>
                        </wps:spPr>
                        <wps:txbx>
                          <w:txbxContent>
                            <w:p w14:paraId="39AD9D83" w14:textId="77777777" w:rsidR="000E52B0" w:rsidRDefault="00F60D74">
                              <w:pPr>
                                <w:rPr>
                                  <w:rFonts w:ascii="Trebuchet MS"/>
                                  <w:sz w:val="18"/>
                                </w:rPr>
                              </w:pPr>
                              <w:r>
                                <w:rPr>
                                  <w:rFonts w:ascii="Trebuchet MS"/>
                                  <w:color w:val="404040"/>
                                  <w:spacing w:val="-5"/>
                                  <w:w w:val="115"/>
                                  <w:sz w:val="18"/>
                                </w:rPr>
                                <w:t>32%</w:t>
                              </w:r>
                            </w:p>
                          </w:txbxContent>
                        </wps:txbx>
                        <wps:bodyPr wrap="square" lIns="0" tIns="0" rIns="0" bIns="0" rtlCol="0">
                          <a:noAutofit/>
                        </wps:bodyPr>
                      </wps:wsp>
                      <wps:wsp>
                        <wps:cNvPr id="86" name="Textbox 86"/>
                        <wps:cNvSpPr txBox="1"/>
                        <wps:spPr>
                          <a:xfrm>
                            <a:off x="4590796" y="364227"/>
                            <a:ext cx="229235" cy="139700"/>
                          </a:xfrm>
                          <a:prstGeom prst="rect">
                            <a:avLst/>
                          </a:prstGeom>
                        </wps:spPr>
                        <wps:txbx>
                          <w:txbxContent>
                            <w:p w14:paraId="5F209BC1" w14:textId="77777777" w:rsidR="000E52B0" w:rsidRDefault="00F60D74">
                              <w:pPr>
                                <w:rPr>
                                  <w:rFonts w:ascii="Trebuchet MS"/>
                                  <w:sz w:val="18"/>
                                </w:rPr>
                              </w:pPr>
                              <w:r>
                                <w:rPr>
                                  <w:rFonts w:ascii="Trebuchet MS"/>
                                  <w:color w:val="404040"/>
                                  <w:spacing w:val="-5"/>
                                  <w:w w:val="115"/>
                                  <w:sz w:val="18"/>
                                </w:rPr>
                                <w:t>29%</w:t>
                              </w:r>
                            </w:p>
                          </w:txbxContent>
                        </wps:txbx>
                        <wps:bodyPr wrap="square" lIns="0" tIns="0" rIns="0" bIns="0" rtlCol="0">
                          <a:noAutofit/>
                        </wps:bodyPr>
                      </wps:wsp>
                      <wps:wsp>
                        <wps:cNvPr id="87" name="Textbox 87"/>
                        <wps:cNvSpPr txBox="1"/>
                        <wps:spPr>
                          <a:xfrm>
                            <a:off x="5090921" y="410201"/>
                            <a:ext cx="229235" cy="139700"/>
                          </a:xfrm>
                          <a:prstGeom prst="rect">
                            <a:avLst/>
                          </a:prstGeom>
                        </wps:spPr>
                        <wps:txbx>
                          <w:txbxContent>
                            <w:p w14:paraId="189878CB" w14:textId="77777777" w:rsidR="000E52B0" w:rsidRDefault="00F60D74">
                              <w:pPr>
                                <w:rPr>
                                  <w:rFonts w:ascii="Trebuchet MS"/>
                                  <w:sz w:val="18"/>
                                </w:rPr>
                              </w:pPr>
                              <w:r>
                                <w:rPr>
                                  <w:rFonts w:ascii="Trebuchet MS"/>
                                  <w:color w:val="404040"/>
                                  <w:spacing w:val="-5"/>
                                  <w:w w:val="115"/>
                                  <w:sz w:val="18"/>
                                </w:rPr>
                                <w:t>27%</w:t>
                              </w:r>
                            </w:p>
                          </w:txbxContent>
                        </wps:txbx>
                        <wps:bodyPr wrap="square" lIns="0" tIns="0" rIns="0" bIns="0" rtlCol="0">
                          <a:noAutofit/>
                        </wps:bodyPr>
                      </wps:wsp>
                      <wps:wsp>
                        <wps:cNvPr id="88" name="Textbox 88"/>
                        <wps:cNvSpPr txBox="1"/>
                        <wps:spPr>
                          <a:xfrm>
                            <a:off x="3712717" y="598288"/>
                            <a:ext cx="229235" cy="139700"/>
                          </a:xfrm>
                          <a:prstGeom prst="rect">
                            <a:avLst/>
                          </a:prstGeom>
                        </wps:spPr>
                        <wps:txbx>
                          <w:txbxContent>
                            <w:p w14:paraId="49AA973E" w14:textId="77777777" w:rsidR="000E52B0" w:rsidRDefault="00F60D74">
                              <w:pPr>
                                <w:rPr>
                                  <w:rFonts w:ascii="Trebuchet MS"/>
                                  <w:sz w:val="18"/>
                                </w:rPr>
                              </w:pPr>
                              <w:r>
                                <w:rPr>
                                  <w:rFonts w:ascii="Trebuchet MS"/>
                                  <w:color w:val="404040"/>
                                  <w:spacing w:val="-5"/>
                                  <w:w w:val="115"/>
                                  <w:sz w:val="18"/>
                                </w:rPr>
                                <w:t>19%</w:t>
                              </w:r>
                            </w:p>
                          </w:txbxContent>
                        </wps:txbx>
                        <wps:bodyPr wrap="square" lIns="0" tIns="0" rIns="0" bIns="0" rtlCol="0">
                          <a:noAutofit/>
                        </wps:bodyPr>
                      </wps:wsp>
                      <wps:wsp>
                        <wps:cNvPr id="89" name="Textbox 89"/>
                        <wps:cNvSpPr txBox="1"/>
                        <wps:spPr>
                          <a:xfrm>
                            <a:off x="236474" y="825999"/>
                            <a:ext cx="168910" cy="139700"/>
                          </a:xfrm>
                          <a:prstGeom prst="rect">
                            <a:avLst/>
                          </a:prstGeom>
                        </wps:spPr>
                        <wps:txbx>
                          <w:txbxContent>
                            <w:p w14:paraId="2B330838" w14:textId="77777777" w:rsidR="000E52B0" w:rsidRDefault="00F60D74">
                              <w:pPr>
                                <w:rPr>
                                  <w:rFonts w:ascii="Trebuchet MS"/>
                                  <w:sz w:val="18"/>
                                </w:rPr>
                              </w:pPr>
                              <w:r>
                                <w:rPr>
                                  <w:rFonts w:ascii="Trebuchet MS"/>
                                  <w:color w:val="404040"/>
                                  <w:spacing w:val="-5"/>
                                  <w:w w:val="120"/>
                                  <w:sz w:val="18"/>
                                </w:rPr>
                                <w:t>9%</w:t>
                              </w:r>
                            </w:p>
                          </w:txbxContent>
                        </wps:txbx>
                        <wps:bodyPr wrap="square" lIns="0" tIns="0" rIns="0" bIns="0" rtlCol="0">
                          <a:noAutofit/>
                        </wps:bodyPr>
                      </wps:wsp>
                      <wps:wsp>
                        <wps:cNvPr id="90" name="Textbox 90"/>
                        <wps:cNvSpPr txBox="1"/>
                        <wps:spPr>
                          <a:xfrm>
                            <a:off x="986789" y="902199"/>
                            <a:ext cx="168275" cy="139700"/>
                          </a:xfrm>
                          <a:prstGeom prst="rect">
                            <a:avLst/>
                          </a:prstGeom>
                        </wps:spPr>
                        <wps:txbx>
                          <w:txbxContent>
                            <w:p w14:paraId="25DF4E71" w14:textId="77777777" w:rsidR="000E52B0" w:rsidRDefault="00F60D74">
                              <w:pPr>
                                <w:rPr>
                                  <w:rFonts w:ascii="Trebuchet MS"/>
                                  <w:sz w:val="18"/>
                                </w:rPr>
                              </w:pPr>
                              <w:r>
                                <w:rPr>
                                  <w:rFonts w:ascii="Trebuchet MS"/>
                                  <w:color w:val="404040"/>
                                  <w:spacing w:val="-5"/>
                                  <w:w w:val="120"/>
                                  <w:sz w:val="18"/>
                                </w:rPr>
                                <w:t>6%</w:t>
                              </w:r>
                            </w:p>
                          </w:txbxContent>
                        </wps:txbx>
                        <wps:bodyPr wrap="square" lIns="0" tIns="0" rIns="0" bIns="0" rtlCol="0">
                          <a:noAutofit/>
                        </wps:bodyPr>
                      </wps:wsp>
                      <wps:wsp>
                        <wps:cNvPr id="91" name="Textbox 91"/>
                        <wps:cNvSpPr txBox="1"/>
                        <wps:spPr>
                          <a:xfrm>
                            <a:off x="2364867" y="847684"/>
                            <a:ext cx="168275" cy="140335"/>
                          </a:xfrm>
                          <a:prstGeom prst="rect">
                            <a:avLst/>
                          </a:prstGeom>
                        </wps:spPr>
                        <wps:txbx>
                          <w:txbxContent>
                            <w:p w14:paraId="29843A8E" w14:textId="77777777" w:rsidR="000E52B0" w:rsidRDefault="00F60D74">
                              <w:pPr>
                                <w:rPr>
                                  <w:rFonts w:ascii="Trebuchet MS"/>
                                  <w:sz w:val="18"/>
                                </w:rPr>
                              </w:pPr>
                              <w:r>
                                <w:rPr>
                                  <w:rFonts w:ascii="Trebuchet MS"/>
                                  <w:color w:val="404040"/>
                                  <w:spacing w:val="-5"/>
                                  <w:w w:val="120"/>
                                  <w:sz w:val="18"/>
                                </w:rPr>
                                <w:t>8%</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48FEA38" id="Group 74" o:spid="_x0000_s1051" style="position:absolute;margin-left:83pt;margin-top:5.1pt;width:434pt;height:97.45pt;z-index:-15707648;mso-wrap-distance-left:0;mso-wrap-distance-right:0;mso-position-horizontal-relative:page;mso-position-vertical-relative:text;mso-width-relative:margin;mso-height-relative:margin" coordsize="55118,1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">
                <v:shape id="Graphic 75" o:spid="_x0000_s1052" style="position:absolute;left:2153;top:7848;width:43314;height:4477;visibility:visible;mso-wrap-style:square;v-text-anchor:top" coordsize="433133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" path="m196596,237744l,237744,,447548r196596,l196596,237744xem1574292,l1377696,r,447548l1574292,447548,1574292,xem2953512,239268r-198120,l2755392,447548r198120,l2953512,239268xem4331208,333756r-196596,l4134612,447548r196596,l4331208,333756xe" fillcolor="#b12070" stroked="f">
                  <v:path arrowok="t"/>
                </v:shape>
                <v:shape id="Graphic 76" o:spid="_x0000_s1053" style="position:absolute;left:4653;width:43313;height:12325;visibility:visible;mso-wrap-style:square;v-text-anchor:top" coordsize="4331335,123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" path="m196596,l,,,1232408r196596,l196596,xem1574292,217932r-196596,l1377696,1232408r196596,l1574292,217932xem2953512,495300r-198120,l2755392,1232408r198120,l2953512,495300xem4331208,560832r-196596,l4134612,1232408r196596,l4331208,560832xe" fillcolor="#d32986" stroked="f">
                  <v:path arrowok="t"/>
                </v:shape>
                <v:shape id="Graphic 77" o:spid="_x0000_s1054" style="position:absolute;left:7152;top:2849;width:43313;height:9475;visibility:visible;mso-wrap-style:square;v-text-anchor:top" coordsize="4331335,94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" path="m196596,193548l,193548,,947420r196596,l196596,193548xem1575816,268224r-198120,l1377696,947420r198120,l1575816,268224xem2953512,l2756916,r,947420l2953512,947420,2953512,xem4331208,28956r-196596,l4134612,947420r196596,l4331208,28956xe" fillcolor="#e76fa6" stroked="f">
                  <v:path arrowok="t"/>
                </v:shape>
                <v:shape id="Graphic 78" o:spid="_x0000_s1055" style="position:absolute;left:9652;top:6065;width:43313;height:6261;visibility:visible;mso-wrap-style:square;v-text-anchor:top" coordsize="4331335,62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" path="m196596,492252l,492252,,625856r196596,l196596,492252xem1575816,438912r-198120,l1377696,625856r198120,l1575816,438912xem2953512,188976r-196596,l2756916,625856r196596,l2953512,188976xem4331208,l4134612,r,625856l4331208,625856,4331208,xe" fillcolor="#eeafc8" stroked="f">
                  <v:path arrowok="t"/>
                </v:shape>
                <v:shape id="Graphic 79" o:spid="_x0000_s1056" style="position:absolute;top:12324;width:55118;height:12;visibility:visible;mso-wrap-style:square;v-text-anchor:top" coordsize="5511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" path="m,l5511800,e" filled="f" strokecolor="#d9d9d9">
                  <v:path arrowok="t"/>
                </v:shape>
                <v:shape id="Textbox 80" o:spid="_x0000_s1057" type="#_x0000_t202" style="position:absolute;left:18345;top:204;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A2E6617" w14:textId="77777777" w:rsidR="000E52B0" w:rsidRDefault="00F60D74">
                        <w:pPr>
                          <w:rPr>
                            <w:rFonts w:ascii="Trebuchet MS"/>
                            <w:sz w:val="18"/>
                          </w:rPr>
                        </w:pPr>
                        <w:r>
                          <w:rPr>
                            <w:rFonts w:ascii="Trebuchet MS"/>
                            <w:color w:val="404040"/>
                            <w:spacing w:val="-5"/>
                            <w:w w:val="115"/>
                            <w:sz w:val="18"/>
                          </w:rPr>
                          <w:t>44%</w:t>
                        </w:r>
                      </w:p>
                    </w:txbxContent>
                  </v:textbox>
                </v:shape>
                <v:shape id="Textbox 81" o:spid="_x0000_s1058" type="#_x0000_t202" style="position:absolute;left:34627;top:886;width:229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E8F2C33" w14:textId="77777777" w:rsidR="000E52B0" w:rsidRDefault="00F60D74">
                        <w:pPr>
                          <w:rPr>
                            <w:rFonts w:ascii="Trebuchet MS"/>
                            <w:sz w:val="18"/>
                          </w:rPr>
                        </w:pPr>
                        <w:r>
                          <w:rPr>
                            <w:rFonts w:ascii="Trebuchet MS"/>
                            <w:color w:val="404040"/>
                            <w:spacing w:val="-5"/>
                            <w:w w:val="115"/>
                            <w:sz w:val="18"/>
                          </w:rPr>
                          <w:t>41%</w:t>
                        </w:r>
                      </w:p>
                    </w:txbxContent>
                  </v:textbox>
                </v:shape>
                <v:shape id="Textbox 82" o:spid="_x0000_s1059" type="#_x0000_t202" style="position:absolute;left:48409;top:1167;width:229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10BEE9FD" w14:textId="77777777" w:rsidR="000E52B0" w:rsidRDefault="00F60D74">
                        <w:pPr>
                          <w:rPr>
                            <w:rFonts w:ascii="Trebuchet MS"/>
                            <w:sz w:val="18"/>
                          </w:rPr>
                        </w:pPr>
                        <w:r>
                          <w:rPr>
                            <w:rFonts w:ascii="Trebuchet MS"/>
                            <w:color w:val="404040"/>
                            <w:spacing w:val="-5"/>
                            <w:w w:val="115"/>
                            <w:sz w:val="18"/>
                          </w:rPr>
                          <w:t>39%</w:t>
                        </w:r>
                      </w:p>
                    </w:txbxContent>
                  </v:textbox>
                </v:shape>
                <v:shape id="Textbox 83" o:spid="_x0000_s1060" type="#_x0000_t202" style="position:absolute;left:7061;top:2815;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11AE616" w14:textId="77777777" w:rsidR="000E52B0" w:rsidRDefault="00F60D74">
                        <w:pPr>
                          <w:rPr>
                            <w:rFonts w:ascii="Trebuchet MS"/>
                            <w:sz w:val="18"/>
                          </w:rPr>
                        </w:pPr>
                        <w:r>
                          <w:rPr>
                            <w:rFonts w:ascii="Trebuchet MS"/>
                            <w:color w:val="404040"/>
                            <w:spacing w:val="-5"/>
                            <w:w w:val="115"/>
                            <w:sz w:val="18"/>
                          </w:rPr>
                          <w:t>32%</w:t>
                        </w:r>
                      </w:p>
                    </w:txbxContent>
                  </v:textbox>
                </v:shape>
                <v:shape id="Textbox 84" o:spid="_x0000_s1061" type="#_x0000_t202" style="position:absolute;left:20844;top:3557;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FD29AE0" w14:textId="77777777" w:rsidR="000E52B0" w:rsidRDefault="00F60D74">
                        <w:pPr>
                          <w:rPr>
                            <w:rFonts w:ascii="Trebuchet MS"/>
                            <w:sz w:val="18"/>
                          </w:rPr>
                        </w:pPr>
                        <w:r>
                          <w:rPr>
                            <w:rFonts w:ascii="Trebuchet MS"/>
                            <w:color w:val="404040"/>
                            <w:spacing w:val="-5"/>
                            <w:w w:val="115"/>
                            <w:sz w:val="18"/>
                          </w:rPr>
                          <w:t>29%</w:t>
                        </w:r>
                      </w:p>
                    </w:txbxContent>
                  </v:textbox>
                </v:shape>
                <v:shape id="Textbox 85" o:spid="_x0000_s1062" type="#_x0000_t202" style="position:absolute;left:32124;top:2986;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9AD9D83" w14:textId="77777777" w:rsidR="000E52B0" w:rsidRDefault="00F60D74">
                        <w:pPr>
                          <w:rPr>
                            <w:rFonts w:ascii="Trebuchet MS"/>
                            <w:sz w:val="18"/>
                          </w:rPr>
                        </w:pPr>
                        <w:r>
                          <w:rPr>
                            <w:rFonts w:ascii="Trebuchet MS"/>
                            <w:color w:val="404040"/>
                            <w:spacing w:val="-5"/>
                            <w:w w:val="115"/>
                            <w:sz w:val="18"/>
                          </w:rPr>
                          <w:t>32%</w:t>
                        </w:r>
                      </w:p>
                    </w:txbxContent>
                  </v:textbox>
                </v:shape>
                <v:shape id="Textbox 86" o:spid="_x0000_s1063" type="#_x0000_t202" style="position:absolute;left:45907;top:3642;width:229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5F209BC1" w14:textId="77777777" w:rsidR="000E52B0" w:rsidRDefault="00F60D74">
                        <w:pPr>
                          <w:rPr>
                            <w:rFonts w:ascii="Trebuchet MS"/>
                            <w:sz w:val="18"/>
                          </w:rPr>
                        </w:pPr>
                        <w:r>
                          <w:rPr>
                            <w:rFonts w:ascii="Trebuchet MS"/>
                            <w:color w:val="404040"/>
                            <w:spacing w:val="-5"/>
                            <w:w w:val="115"/>
                            <w:sz w:val="18"/>
                          </w:rPr>
                          <w:t>29%</w:t>
                        </w:r>
                      </w:p>
                    </w:txbxContent>
                  </v:textbox>
                </v:shape>
                <v:shape id="Textbox 87" o:spid="_x0000_s1064" type="#_x0000_t202" style="position:absolute;left:50909;top:4102;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189878CB" w14:textId="77777777" w:rsidR="000E52B0" w:rsidRDefault="00F60D74">
                        <w:pPr>
                          <w:rPr>
                            <w:rFonts w:ascii="Trebuchet MS"/>
                            <w:sz w:val="18"/>
                          </w:rPr>
                        </w:pPr>
                        <w:r>
                          <w:rPr>
                            <w:rFonts w:ascii="Trebuchet MS"/>
                            <w:color w:val="404040"/>
                            <w:spacing w:val="-5"/>
                            <w:w w:val="115"/>
                            <w:sz w:val="18"/>
                          </w:rPr>
                          <w:t>27%</w:t>
                        </w:r>
                      </w:p>
                    </w:txbxContent>
                  </v:textbox>
                </v:shape>
                <v:shape id="Textbox 88" o:spid="_x0000_s1065" type="#_x0000_t202" style="position:absolute;left:37127;top:5982;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49AA973E" w14:textId="77777777" w:rsidR="000E52B0" w:rsidRDefault="00F60D74">
                        <w:pPr>
                          <w:rPr>
                            <w:rFonts w:ascii="Trebuchet MS"/>
                            <w:sz w:val="18"/>
                          </w:rPr>
                        </w:pPr>
                        <w:r>
                          <w:rPr>
                            <w:rFonts w:ascii="Trebuchet MS"/>
                            <w:color w:val="404040"/>
                            <w:spacing w:val="-5"/>
                            <w:w w:val="115"/>
                            <w:sz w:val="18"/>
                          </w:rPr>
                          <w:t>19%</w:t>
                        </w:r>
                      </w:p>
                    </w:txbxContent>
                  </v:textbox>
                </v:shape>
                <v:shape id="Textbox 89" o:spid="_x0000_s1066" type="#_x0000_t202" style="position:absolute;left:2364;top:8259;width:168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B330838" w14:textId="77777777" w:rsidR="000E52B0" w:rsidRDefault="00F60D74">
                        <w:pPr>
                          <w:rPr>
                            <w:rFonts w:ascii="Trebuchet MS"/>
                            <w:sz w:val="18"/>
                          </w:rPr>
                        </w:pPr>
                        <w:r>
                          <w:rPr>
                            <w:rFonts w:ascii="Trebuchet MS"/>
                            <w:color w:val="404040"/>
                            <w:spacing w:val="-5"/>
                            <w:w w:val="120"/>
                            <w:sz w:val="18"/>
                          </w:rPr>
                          <w:t>9%</w:t>
                        </w:r>
                      </w:p>
                    </w:txbxContent>
                  </v:textbox>
                </v:shape>
                <v:shape id="Textbox 90" o:spid="_x0000_s1067" type="#_x0000_t202" style="position:absolute;left:9867;top:9021;width:168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25DF4E71" w14:textId="77777777" w:rsidR="000E52B0" w:rsidRDefault="00F60D74">
                        <w:pPr>
                          <w:rPr>
                            <w:rFonts w:ascii="Trebuchet MS"/>
                            <w:sz w:val="18"/>
                          </w:rPr>
                        </w:pPr>
                        <w:r>
                          <w:rPr>
                            <w:rFonts w:ascii="Trebuchet MS"/>
                            <w:color w:val="404040"/>
                            <w:spacing w:val="-5"/>
                            <w:w w:val="120"/>
                            <w:sz w:val="18"/>
                          </w:rPr>
                          <w:t>6%</w:t>
                        </w:r>
                      </w:p>
                    </w:txbxContent>
                  </v:textbox>
                </v:shape>
                <v:shape id="Textbox 91" o:spid="_x0000_s1068" type="#_x0000_t202" style="position:absolute;left:23648;top:8476;width:168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9843A8E" w14:textId="77777777" w:rsidR="000E52B0" w:rsidRDefault="00F60D74">
                        <w:pPr>
                          <w:rPr>
                            <w:rFonts w:ascii="Trebuchet MS"/>
                            <w:sz w:val="18"/>
                          </w:rPr>
                        </w:pPr>
                        <w:r>
                          <w:rPr>
                            <w:rFonts w:ascii="Trebuchet MS"/>
                            <w:color w:val="404040"/>
                            <w:spacing w:val="-5"/>
                            <w:w w:val="120"/>
                            <w:sz w:val="18"/>
                          </w:rPr>
                          <w:t>8%</w:t>
                        </w:r>
                      </w:p>
                    </w:txbxContent>
                  </v:textbox>
                </v:shape>
                <w10:wrap type="topAndBottom" anchorx="page"/>
              </v:group>
            </w:pict>
          </mc:Fallback>
        </mc:AlternateContent>
      </w:r>
    </w:p>
    <w:p w14:paraId="5D8072A0" w14:textId="77777777" w:rsidR="000E52B0" w:rsidRDefault="000E52B0">
      <w:pPr>
        <w:pStyle w:val="Textoindependiente"/>
        <w:ind w:left="0"/>
        <w:rPr>
          <w:rFonts w:ascii="Trebuchet MS"/>
          <w:sz w:val="6"/>
        </w:rPr>
      </w:pPr>
    </w:p>
    <w:p w14:paraId="23BA5678" w14:textId="77777777" w:rsidR="000E52B0" w:rsidRDefault="000E52B0">
      <w:pPr>
        <w:pStyle w:val="Textoindependiente"/>
        <w:rPr>
          <w:rFonts w:ascii="Trebuchet MS"/>
          <w:sz w:val="6"/>
        </w:rPr>
        <w:sectPr w:rsidR="000E52B0">
          <w:pgSz w:w="11910" w:h="16840"/>
          <w:pgMar w:top="1340" w:right="720" w:bottom="1180" w:left="720" w:header="0" w:footer="995" w:gutter="0"/>
          <w:cols w:space="720"/>
        </w:sectPr>
      </w:pPr>
    </w:p>
    <w:p w14:paraId="3E93F41D" w14:textId="77777777" w:rsidR="000E52B0" w:rsidRDefault="00F60D74">
      <w:pPr>
        <w:tabs>
          <w:tab w:val="left" w:pos="3862"/>
          <w:tab w:val="left" w:pos="5634"/>
        </w:tabs>
        <w:spacing w:before="35" w:line="252" w:lineRule="auto"/>
        <w:ind w:left="5328" w:hanging="3895"/>
        <w:rPr>
          <w:rFonts w:ascii="Trebuchet MS" w:hAnsi="Trebuchet MS"/>
          <w:sz w:val="18"/>
        </w:rPr>
      </w:pPr>
      <w:r>
        <w:rPr>
          <w:rFonts w:ascii="Trebuchet MS" w:hAnsi="Trebuchet MS"/>
          <w:color w:val="585858"/>
          <w:sz w:val="18"/>
        </w:rPr>
        <w:t>Gitano/a</w:t>
      </w:r>
      <w:r>
        <w:rPr>
          <w:rFonts w:ascii="Trebuchet MS" w:hAnsi="Trebuchet MS"/>
          <w:color w:val="585858"/>
          <w:spacing w:val="-18"/>
          <w:sz w:val="18"/>
        </w:rPr>
        <w:t xml:space="preserve"> </w:t>
      </w:r>
      <w:r>
        <w:rPr>
          <w:rFonts w:ascii="Trebuchet MS" w:hAnsi="Trebuchet MS"/>
          <w:color w:val="585858"/>
          <w:sz w:val="18"/>
        </w:rPr>
        <w:t>(Rom)</w:t>
      </w:r>
      <w:r>
        <w:rPr>
          <w:rFonts w:ascii="Trebuchet MS" w:hAnsi="Trebuchet MS"/>
          <w:color w:val="585858"/>
          <w:sz w:val="18"/>
        </w:rPr>
        <w:tab/>
      </w:r>
      <w:r>
        <w:rPr>
          <w:rFonts w:ascii="Trebuchet MS" w:hAnsi="Trebuchet MS"/>
          <w:color w:val="585858"/>
          <w:spacing w:val="-2"/>
          <w:sz w:val="18"/>
        </w:rPr>
        <w:t>Indígena</w:t>
      </w:r>
      <w:r>
        <w:rPr>
          <w:rFonts w:ascii="Trebuchet MS" w:hAnsi="Trebuchet MS"/>
          <w:color w:val="585858"/>
          <w:sz w:val="18"/>
        </w:rPr>
        <w:tab/>
      </w:r>
      <w:r>
        <w:rPr>
          <w:rFonts w:ascii="Trebuchet MS" w:hAnsi="Trebuchet MS"/>
          <w:color w:val="585858"/>
          <w:sz w:val="18"/>
        </w:rPr>
        <w:tab/>
        <w:t>Negro/a,</w:t>
      </w:r>
      <w:r>
        <w:rPr>
          <w:rFonts w:ascii="Trebuchet MS" w:hAnsi="Trebuchet MS"/>
          <w:color w:val="585858"/>
          <w:spacing w:val="-19"/>
          <w:sz w:val="18"/>
        </w:rPr>
        <w:t xml:space="preserve"> </w:t>
      </w:r>
      <w:r>
        <w:rPr>
          <w:rFonts w:ascii="Trebuchet MS" w:hAnsi="Trebuchet MS"/>
          <w:color w:val="585858"/>
          <w:sz w:val="18"/>
        </w:rPr>
        <w:t xml:space="preserve">Mulato/a, </w:t>
      </w:r>
      <w:r>
        <w:rPr>
          <w:rFonts w:ascii="Trebuchet MS" w:hAnsi="Trebuchet MS"/>
          <w:color w:val="585858"/>
          <w:spacing w:val="-4"/>
          <w:sz w:val="18"/>
        </w:rPr>
        <w:t>Afrodescendiente,</w:t>
      </w:r>
      <w:r>
        <w:rPr>
          <w:rFonts w:ascii="Trebuchet MS" w:hAnsi="Trebuchet MS"/>
          <w:color w:val="585858"/>
          <w:spacing w:val="-18"/>
          <w:sz w:val="18"/>
        </w:rPr>
        <w:t xml:space="preserve"> </w:t>
      </w:r>
      <w:r>
        <w:rPr>
          <w:rFonts w:ascii="Trebuchet MS" w:hAnsi="Trebuchet MS"/>
          <w:color w:val="585858"/>
          <w:spacing w:val="-4"/>
          <w:sz w:val="18"/>
        </w:rPr>
        <w:t>Raizal</w:t>
      </w:r>
      <w:r>
        <w:rPr>
          <w:rFonts w:ascii="Trebuchet MS" w:hAnsi="Trebuchet MS"/>
          <w:color w:val="585858"/>
          <w:spacing w:val="-19"/>
          <w:sz w:val="18"/>
        </w:rPr>
        <w:t xml:space="preserve"> </w:t>
      </w:r>
      <w:r>
        <w:rPr>
          <w:rFonts w:ascii="Trebuchet MS" w:hAnsi="Trebuchet MS"/>
          <w:color w:val="585858"/>
          <w:spacing w:val="-4"/>
          <w:sz w:val="18"/>
        </w:rPr>
        <w:t>o</w:t>
      </w:r>
    </w:p>
    <w:p w14:paraId="4D08D10E" w14:textId="77777777" w:rsidR="000E52B0" w:rsidRDefault="00F60D74">
      <w:pPr>
        <w:ind w:left="5918"/>
        <w:rPr>
          <w:rFonts w:ascii="Trebuchet MS"/>
          <w:sz w:val="18"/>
        </w:rPr>
      </w:pPr>
      <w:r>
        <w:rPr>
          <w:rFonts w:ascii="Trebuchet MS"/>
          <w:color w:val="585858"/>
          <w:spacing w:val="-2"/>
          <w:sz w:val="18"/>
        </w:rPr>
        <w:t>Palenquero</w:t>
      </w:r>
    </w:p>
    <w:p w14:paraId="6648DBBA" w14:textId="77777777" w:rsidR="000E52B0" w:rsidRDefault="00F60D74">
      <w:pPr>
        <w:spacing w:before="35"/>
        <w:ind w:left="311"/>
        <w:rPr>
          <w:rFonts w:ascii="Trebuchet MS" w:hAnsi="Trebuchet MS"/>
          <w:sz w:val="18"/>
        </w:rPr>
      </w:pPr>
      <w:r>
        <w:br w:type="column"/>
      </w:r>
      <w:r>
        <w:rPr>
          <w:rFonts w:ascii="Trebuchet MS" w:hAnsi="Trebuchet MS"/>
          <w:color w:val="585858"/>
          <w:spacing w:val="-2"/>
          <w:sz w:val="18"/>
        </w:rPr>
        <w:t>Ningún</w:t>
      </w:r>
      <w:r>
        <w:rPr>
          <w:rFonts w:ascii="Trebuchet MS" w:hAnsi="Trebuchet MS"/>
          <w:color w:val="585858"/>
          <w:spacing w:val="-14"/>
          <w:sz w:val="18"/>
        </w:rPr>
        <w:t xml:space="preserve"> </w:t>
      </w:r>
      <w:r>
        <w:rPr>
          <w:rFonts w:ascii="Trebuchet MS" w:hAnsi="Trebuchet MS"/>
          <w:color w:val="585858"/>
          <w:spacing w:val="-2"/>
          <w:sz w:val="18"/>
        </w:rPr>
        <w:t>grupo</w:t>
      </w:r>
      <w:r>
        <w:rPr>
          <w:rFonts w:ascii="Trebuchet MS" w:hAnsi="Trebuchet MS"/>
          <w:color w:val="585858"/>
          <w:spacing w:val="-14"/>
          <w:sz w:val="18"/>
        </w:rPr>
        <w:t xml:space="preserve"> </w:t>
      </w:r>
      <w:r>
        <w:rPr>
          <w:rFonts w:ascii="Trebuchet MS" w:hAnsi="Trebuchet MS"/>
          <w:color w:val="585858"/>
          <w:spacing w:val="-2"/>
          <w:sz w:val="18"/>
        </w:rPr>
        <w:t>étnico</w:t>
      </w:r>
    </w:p>
    <w:p w14:paraId="14226004" w14:textId="77777777" w:rsidR="000E52B0" w:rsidRDefault="000E52B0">
      <w:pPr>
        <w:rPr>
          <w:rFonts w:ascii="Trebuchet MS" w:hAnsi="Trebuchet MS"/>
          <w:sz w:val="18"/>
        </w:rPr>
        <w:sectPr w:rsidR="000E52B0">
          <w:type w:val="continuous"/>
          <w:pgSz w:w="11910" w:h="16840"/>
          <w:pgMar w:top="1340" w:right="720" w:bottom="1280" w:left="720" w:header="0" w:footer="995" w:gutter="0"/>
          <w:cols w:num="2" w:space="720" w:equalWidth="0">
            <w:col w:w="7402" w:space="40"/>
            <w:col w:w="3028"/>
          </w:cols>
        </w:sectPr>
      </w:pPr>
    </w:p>
    <w:p w14:paraId="383037E0" w14:textId="77777777" w:rsidR="000E52B0" w:rsidRDefault="00F60D74" w:rsidP="00203383">
      <w:pPr>
        <w:ind w:right="1"/>
        <w:jc w:val="center"/>
        <w:rPr>
          <w:i/>
          <w:sz w:val="18"/>
        </w:rPr>
      </w:pPr>
      <w:r>
        <w:rPr>
          <w:i/>
          <w:color w:val="454551"/>
          <w:sz w:val="18"/>
        </w:rPr>
        <w:t>Fuente</w:t>
      </w:r>
      <w:r>
        <w:rPr>
          <w:i/>
          <w:color w:val="454551"/>
          <w:spacing w:val="-2"/>
          <w:sz w:val="18"/>
        </w:rPr>
        <w:t xml:space="preserve"> </w:t>
      </w:r>
      <w:r>
        <w:rPr>
          <w:i/>
          <w:color w:val="454551"/>
          <w:sz w:val="18"/>
        </w:rPr>
        <w:t>6.</w:t>
      </w:r>
      <w:r>
        <w:rPr>
          <w:i/>
          <w:color w:val="454551"/>
          <w:spacing w:val="-4"/>
          <w:sz w:val="18"/>
        </w:rPr>
        <w:t xml:space="preserve"> </w:t>
      </w:r>
      <w:r>
        <w:rPr>
          <w:i/>
          <w:color w:val="454551"/>
          <w:sz w:val="18"/>
        </w:rPr>
        <w:t>Elaboración</w:t>
      </w:r>
      <w:r>
        <w:rPr>
          <w:i/>
          <w:color w:val="454551"/>
          <w:spacing w:val="-2"/>
          <w:sz w:val="18"/>
        </w:rPr>
        <w:t xml:space="preserve"> </w:t>
      </w:r>
      <w:r>
        <w:rPr>
          <w:i/>
          <w:color w:val="454551"/>
          <w:sz w:val="18"/>
        </w:rPr>
        <w:t>propia.</w:t>
      </w:r>
      <w:r>
        <w:rPr>
          <w:i/>
          <w:color w:val="454551"/>
          <w:spacing w:val="-3"/>
          <w:sz w:val="18"/>
        </w:rPr>
        <w:t xml:space="preserve"> </w:t>
      </w:r>
      <w:r>
        <w:rPr>
          <w:i/>
          <w:color w:val="454551"/>
          <w:sz w:val="18"/>
        </w:rPr>
        <w:t>Fuente</w:t>
      </w:r>
      <w:r>
        <w:rPr>
          <w:i/>
          <w:color w:val="454551"/>
          <w:spacing w:val="-3"/>
          <w:sz w:val="18"/>
        </w:rPr>
        <w:t xml:space="preserve"> </w:t>
      </w:r>
      <w:r>
        <w:rPr>
          <w:i/>
          <w:color w:val="454551"/>
          <w:sz w:val="18"/>
        </w:rPr>
        <w:t>de</w:t>
      </w:r>
      <w:r>
        <w:rPr>
          <w:i/>
          <w:color w:val="454551"/>
          <w:spacing w:val="-3"/>
          <w:sz w:val="18"/>
        </w:rPr>
        <w:t xml:space="preserve"> </w:t>
      </w:r>
      <w:r>
        <w:rPr>
          <w:i/>
          <w:color w:val="454551"/>
          <w:sz w:val="18"/>
        </w:rPr>
        <w:t>Datos:</w:t>
      </w:r>
      <w:r>
        <w:rPr>
          <w:i/>
          <w:color w:val="454551"/>
          <w:spacing w:val="-4"/>
          <w:sz w:val="18"/>
        </w:rPr>
        <w:t xml:space="preserve"> </w:t>
      </w:r>
      <w:r>
        <w:rPr>
          <w:i/>
          <w:color w:val="454551"/>
          <w:sz w:val="18"/>
        </w:rPr>
        <w:t>Datos</w:t>
      </w:r>
      <w:r>
        <w:rPr>
          <w:i/>
          <w:color w:val="454551"/>
          <w:spacing w:val="-5"/>
          <w:sz w:val="18"/>
        </w:rPr>
        <w:t xml:space="preserve"> </w:t>
      </w:r>
      <w:r>
        <w:rPr>
          <w:i/>
          <w:color w:val="454551"/>
          <w:sz w:val="18"/>
        </w:rPr>
        <w:t>DANE –</w:t>
      </w:r>
      <w:r>
        <w:rPr>
          <w:i/>
          <w:color w:val="454551"/>
          <w:spacing w:val="-3"/>
          <w:sz w:val="18"/>
        </w:rPr>
        <w:t xml:space="preserve"> </w:t>
      </w:r>
      <w:r>
        <w:rPr>
          <w:i/>
          <w:color w:val="454551"/>
          <w:sz w:val="18"/>
        </w:rPr>
        <w:t>ECV</w:t>
      </w:r>
      <w:r>
        <w:rPr>
          <w:i/>
          <w:color w:val="454551"/>
          <w:spacing w:val="-3"/>
          <w:sz w:val="18"/>
        </w:rPr>
        <w:t xml:space="preserve"> </w:t>
      </w:r>
      <w:r>
        <w:rPr>
          <w:i/>
          <w:color w:val="454551"/>
          <w:spacing w:val="-4"/>
          <w:sz w:val="18"/>
        </w:rPr>
        <w:t>2022</w:t>
      </w:r>
    </w:p>
    <w:p w14:paraId="2CDC5D86" w14:textId="77777777" w:rsidR="000E52B0" w:rsidRDefault="00F60D74">
      <w:pPr>
        <w:pStyle w:val="Textoindependiente"/>
        <w:spacing w:before="201"/>
        <w:ind w:right="720"/>
        <w:jc w:val="both"/>
      </w:pPr>
      <w:r>
        <w:t>La Gran Encuesta integrada de hogares 2022 (GEIH 2022), muestra que, tanto para Indígenas como para el pueblo Afrodescendiente, raizal y palenquero, los hogares con mujeres como jefa de hogar tienen una incidencia</w:t>
      </w:r>
      <w:r>
        <w:rPr>
          <w:spacing w:val="-12"/>
        </w:rPr>
        <w:t xml:space="preserve"> </w:t>
      </w:r>
      <w:r>
        <w:t>de</w:t>
      </w:r>
      <w:r>
        <w:rPr>
          <w:spacing w:val="-14"/>
        </w:rPr>
        <w:t xml:space="preserve"> </w:t>
      </w:r>
      <w:r>
        <w:t>pobreza</w:t>
      </w:r>
      <w:r>
        <w:rPr>
          <w:spacing w:val="-15"/>
        </w:rPr>
        <w:t xml:space="preserve"> </w:t>
      </w:r>
      <w:r>
        <w:t>monetaria</w:t>
      </w:r>
      <w:r>
        <w:rPr>
          <w:spacing w:val="-12"/>
        </w:rPr>
        <w:t xml:space="preserve"> </w:t>
      </w:r>
      <w:r>
        <w:t>mayor</w:t>
      </w:r>
      <w:r>
        <w:rPr>
          <w:spacing w:val="-14"/>
        </w:rPr>
        <w:t xml:space="preserve"> </w:t>
      </w:r>
      <w:r>
        <w:t>respecto</w:t>
      </w:r>
      <w:r>
        <w:rPr>
          <w:spacing w:val="-14"/>
        </w:rPr>
        <w:t xml:space="preserve"> </w:t>
      </w:r>
      <w:r>
        <w:t>a</w:t>
      </w:r>
      <w:r>
        <w:rPr>
          <w:spacing w:val="-15"/>
        </w:rPr>
        <w:t xml:space="preserve"> </w:t>
      </w:r>
      <w:r>
        <w:t>los</w:t>
      </w:r>
      <w:r>
        <w:rPr>
          <w:spacing w:val="-11"/>
        </w:rPr>
        <w:t xml:space="preserve"> </w:t>
      </w:r>
      <w:r>
        <w:t>hogares</w:t>
      </w:r>
      <w:r>
        <w:rPr>
          <w:spacing w:val="-15"/>
        </w:rPr>
        <w:t xml:space="preserve"> </w:t>
      </w:r>
      <w:r>
        <w:t>con</w:t>
      </w:r>
      <w:r>
        <w:rPr>
          <w:spacing w:val="-15"/>
        </w:rPr>
        <w:t xml:space="preserve"> </w:t>
      </w:r>
      <w:r>
        <w:t>jefatura de hombres, no obstante, la brecha en Indígenas es de 6,2 p.p. mientras que el Pueblo Afrodescendiente, raizal y palenquero es de 12,4</w:t>
      </w:r>
      <w:hyperlink w:anchor="_bookmark17" w:history="1">
        <w:r w:rsidR="000E52B0">
          <w:rPr>
            <w:position w:val="8"/>
            <w:sz w:val="16"/>
          </w:rPr>
          <w:t>12</w:t>
        </w:r>
      </w:hyperlink>
      <w:r>
        <w:t>.</w:t>
      </w:r>
    </w:p>
    <w:p w14:paraId="24786DBE" w14:textId="17151CE2" w:rsidR="000E52B0" w:rsidRDefault="00F60D74" w:rsidP="00203383">
      <w:pPr>
        <w:spacing w:before="159" w:line="242" w:lineRule="auto"/>
        <w:ind w:left="974" w:right="978"/>
        <w:jc w:val="center"/>
        <w:rPr>
          <w:i/>
          <w:sz w:val="18"/>
        </w:rPr>
      </w:pPr>
      <w:r>
        <w:rPr>
          <w:i/>
          <w:color w:val="454551"/>
          <w:sz w:val="18"/>
        </w:rPr>
        <w:t>Ilustración</w:t>
      </w:r>
      <w:r>
        <w:rPr>
          <w:i/>
          <w:color w:val="454551"/>
          <w:spacing w:val="-2"/>
          <w:sz w:val="18"/>
        </w:rPr>
        <w:t xml:space="preserve"> </w:t>
      </w:r>
      <w:r>
        <w:rPr>
          <w:i/>
          <w:color w:val="454551"/>
          <w:sz w:val="18"/>
        </w:rPr>
        <w:t>17.</w:t>
      </w:r>
      <w:r>
        <w:rPr>
          <w:i/>
          <w:color w:val="454551"/>
          <w:spacing w:val="-5"/>
          <w:sz w:val="18"/>
        </w:rPr>
        <w:t xml:space="preserve"> </w:t>
      </w:r>
      <w:r>
        <w:rPr>
          <w:i/>
          <w:color w:val="454551"/>
          <w:sz w:val="18"/>
        </w:rPr>
        <w:t>Incidencia</w:t>
      </w:r>
      <w:r>
        <w:rPr>
          <w:i/>
          <w:color w:val="454551"/>
          <w:spacing w:val="-7"/>
          <w:sz w:val="18"/>
        </w:rPr>
        <w:t xml:space="preserve"> </w:t>
      </w:r>
      <w:r>
        <w:rPr>
          <w:i/>
          <w:color w:val="454551"/>
          <w:sz w:val="18"/>
        </w:rPr>
        <w:t>de</w:t>
      </w:r>
      <w:r>
        <w:rPr>
          <w:i/>
          <w:color w:val="454551"/>
          <w:spacing w:val="-4"/>
          <w:sz w:val="18"/>
        </w:rPr>
        <w:t xml:space="preserve"> </w:t>
      </w:r>
      <w:r>
        <w:rPr>
          <w:i/>
          <w:color w:val="454551"/>
          <w:sz w:val="18"/>
        </w:rPr>
        <w:t>pobreza</w:t>
      </w:r>
      <w:r>
        <w:rPr>
          <w:i/>
          <w:color w:val="454551"/>
          <w:spacing w:val="-4"/>
          <w:sz w:val="18"/>
        </w:rPr>
        <w:t xml:space="preserve"> </w:t>
      </w:r>
      <w:r>
        <w:rPr>
          <w:i/>
          <w:color w:val="454551"/>
          <w:sz w:val="18"/>
        </w:rPr>
        <w:t>monetaria</w:t>
      </w:r>
      <w:r>
        <w:rPr>
          <w:i/>
          <w:color w:val="454551"/>
          <w:spacing w:val="-4"/>
          <w:sz w:val="18"/>
        </w:rPr>
        <w:t xml:space="preserve"> </w:t>
      </w:r>
      <w:r>
        <w:rPr>
          <w:i/>
          <w:color w:val="454551"/>
          <w:sz w:val="18"/>
        </w:rPr>
        <w:t>y</w:t>
      </w:r>
      <w:r>
        <w:rPr>
          <w:i/>
          <w:color w:val="454551"/>
          <w:spacing w:val="-5"/>
          <w:sz w:val="18"/>
        </w:rPr>
        <w:t xml:space="preserve"> </w:t>
      </w:r>
      <w:r>
        <w:rPr>
          <w:i/>
          <w:color w:val="454551"/>
          <w:sz w:val="18"/>
        </w:rPr>
        <w:t>monetaria</w:t>
      </w:r>
      <w:r>
        <w:rPr>
          <w:i/>
          <w:color w:val="454551"/>
          <w:spacing w:val="-4"/>
          <w:sz w:val="18"/>
        </w:rPr>
        <w:t xml:space="preserve"> </w:t>
      </w:r>
      <w:r>
        <w:rPr>
          <w:i/>
          <w:color w:val="454551"/>
          <w:sz w:val="18"/>
        </w:rPr>
        <w:t>extrema</w:t>
      </w:r>
      <w:r>
        <w:rPr>
          <w:i/>
          <w:color w:val="454551"/>
          <w:spacing w:val="-4"/>
          <w:sz w:val="18"/>
        </w:rPr>
        <w:t xml:space="preserve"> </w:t>
      </w:r>
      <w:r>
        <w:rPr>
          <w:i/>
          <w:color w:val="454551"/>
          <w:sz w:val="18"/>
        </w:rPr>
        <w:t>por</w:t>
      </w:r>
      <w:r>
        <w:rPr>
          <w:i/>
          <w:color w:val="454551"/>
          <w:spacing w:val="-4"/>
          <w:sz w:val="18"/>
        </w:rPr>
        <w:t xml:space="preserve"> </w:t>
      </w:r>
      <w:r w:rsidR="00203383">
        <w:rPr>
          <w:i/>
          <w:color w:val="454551"/>
          <w:sz w:val="18"/>
        </w:rPr>
        <w:t>autorreconocimiento</w:t>
      </w:r>
      <w:r>
        <w:rPr>
          <w:i/>
          <w:color w:val="454551"/>
          <w:sz w:val="18"/>
        </w:rPr>
        <w:t xml:space="preserve"> </w:t>
      </w:r>
      <w:r>
        <w:rPr>
          <w:i/>
          <w:color w:val="454551"/>
          <w:spacing w:val="-2"/>
          <w:sz w:val="18"/>
        </w:rPr>
        <w:t>étnico</w:t>
      </w:r>
    </w:p>
    <w:p w14:paraId="3B16DB27" w14:textId="3CD6897E" w:rsidR="000E52B0" w:rsidRDefault="00F60D74">
      <w:pPr>
        <w:tabs>
          <w:tab w:val="left" w:pos="2198"/>
        </w:tabs>
        <w:ind w:right="211"/>
        <w:jc w:val="center"/>
        <w:rPr>
          <w:rFonts w:ascii="Trebuchet MS"/>
          <w:sz w:val="18"/>
        </w:rPr>
      </w:pPr>
      <w:r>
        <w:rPr>
          <w:noProof/>
        </w:rPr>
        <w:drawing>
          <wp:inline distT="0" distB="0" distL="0" distR="0" wp14:anchorId="77CAEE43" wp14:editId="1F9C62F5">
            <wp:extent cx="62779" cy="62779"/>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3" cstate="print"/>
                    <a:stretch>
                      <a:fillRect/>
                    </a:stretch>
                  </pic:blipFill>
                  <pic:spPr>
                    <a:xfrm>
                      <a:off x="0" y="0"/>
                      <a:ext cx="62779" cy="62779"/>
                    </a:xfrm>
                    <a:prstGeom prst="rect">
                      <a:avLst/>
                    </a:prstGeom>
                  </pic:spPr>
                </pic:pic>
              </a:graphicData>
            </a:graphic>
          </wp:inline>
        </w:drawing>
      </w:r>
      <w:r>
        <w:rPr>
          <w:rFonts w:ascii="Times New Roman"/>
          <w:spacing w:val="-1"/>
          <w:sz w:val="20"/>
        </w:rPr>
        <w:t xml:space="preserve"> </w:t>
      </w:r>
      <w:r>
        <w:rPr>
          <w:rFonts w:ascii="Trebuchet MS"/>
          <w:color w:val="585858"/>
          <w:spacing w:val="-4"/>
          <w:sz w:val="18"/>
        </w:rPr>
        <w:t>En</w:t>
      </w:r>
      <w:r>
        <w:rPr>
          <w:rFonts w:ascii="Trebuchet MS"/>
          <w:color w:val="585858"/>
          <w:spacing w:val="-14"/>
          <w:sz w:val="18"/>
        </w:rPr>
        <w:t xml:space="preserve"> </w:t>
      </w:r>
      <w:r>
        <w:rPr>
          <w:rFonts w:ascii="Trebuchet MS"/>
          <w:color w:val="585858"/>
          <w:spacing w:val="-4"/>
          <w:sz w:val="18"/>
        </w:rPr>
        <w:t>pobreza</w:t>
      </w:r>
      <w:r>
        <w:rPr>
          <w:rFonts w:ascii="Trebuchet MS"/>
          <w:color w:val="585858"/>
          <w:spacing w:val="-12"/>
          <w:sz w:val="18"/>
        </w:rPr>
        <w:t xml:space="preserve"> </w:t>
      </w:r>
      <w:r>
        <w:rPr>
          <w:rFonts w:ascii="Trebuchet MS"/>
          <w:color w:val="585858"/>
          <w:spacing w:val="-4"/>
          <w:sz w:val="18"/>
        </w:rPr>
        <w:t>monetaria</w:t>
      </w:r>
      <w:r>
        <w:rPr>
          <w:rFonts w:ascii="Trebuchet MS"/>
          <w:color w:val="585858"/>
          <w:sz w:val="18"/>
        </w:rPr>
        <w:tab/>
      </w:r>
      <w:r>
        <w:rPr>
          <w:rFonts w:ascii="Trebuchet MS"/>
          <w:noProof/>
          <w:color w:val="585858"/>
          <w:sz w:val="18"/>
        </w:rPr>
        <w:drawing>
          <wp:inline distT="0" distB="0" distL="0" distR="0" wp14:anchorId="4D24678E" wp14:editId="08A58ADB">
            <wp:extent cx="62779" cy="62779"/>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54" cstate="print"/>
                    <a:stretch>
                      <a:fillRect/>
                    </a:stretch>
                  </pic:blipFill>
                  <pic:spPr>
                    <a:xfrm>
                      <a:off x="0" y="0"/>
                      <a:ext cx="62779" cy="62779"/>
                    </a:xfrm>
                    <a:prstGeom prst="rect">
                      <a:avLst/>
                    </a:prstGeom>
                  </pic:spPr>
                </pic:pic>
              </a:graphicData>
            </a:graphic>
          </wp:inline>
        </w:drawing>
      </w:r>
      <w:r>
        <w:rPr>
          <w:rFonts w:ascii="Times New Roman"/>
          <w:color w:val="585858"/>
          <w:spacing w:val="3"/>
          <w:sz w:val="18"/>
        </w:rPr>
        <w:t xml:space="preserve"> </w:t>
      </w:r>
      <w:r>
        <w:rPr>
          <w:rFonts w:ascii="Trebuchet MS"/>
          <w:color w:val="585858"/>
          <w:spacing w:val="-4"/>
          <w:sz w:val="18"/>
        </w:rPr>
        <w:t>En</w:t>
      </w:r>
      <w:r>
        <w:rPr>
          <w:rFonts w:ascii="Trebuchet MS"/>
          <w:color w:val="585858"/>
          <w:spacing w:val="-15"/>
          <w:sz w:val="18"/>
        </w:rPr>
        <w:t xml:space="preserve"> </w:t>
      </w:r>
      <w:r>
        <w:rPr>
          <w:rFonts w:ascii="Trebuchet MS"/>
          <w:color w:val="585858"/>
          <w:spacing w:val="-4"/>
          <w:sz w:val="18"/>
        </w:rPr>
        <w:t>pobreza</w:t>
      </w:r>
      <w:r>
        <w:rPr>
          <w:rFonts w:ascii="Trebuchet MS"/>
          <w:color w:val="585858"/>
          <w:spacing w:val="-14"/>
          <w:sz w:val="18"/>
        </w:rPr>
        <w:t xml:space="preserve"> </w:t>
      </w:r>
      <w:r>
        <w:rPr>
          <w:rFonts w:ascii="Trebuchet MS"/>
          <w:color w:val="585858"/>
          <w:spacing w:val="-4"/>
          <w:sz w:val="18"/>
        </w:rPr>
        <w:t>monetaria</w:t>
      </w:r>
      <w:r>
        <w:rPr>
          <w:rFonts w:ascii="Trebuchet MS"/>
          <w:color w:val="585858"/>
          <w:spacing w:val="-14"/>
          <w:sz w:val="18"/>
        </w:rPr>
        <w:t xml:space="preserve"> </w:t>
      </w:r>
      <w:r>
        <w:rPr>
          <w:rFonts w:ascii="Trebuchet MS"/>
          <w:color w:val="585858"/>
          <w:spacing w:val="-4"/>
          <w:sz w:val="18"/>
        </w:rPr>
        <w:t>extrema</w:t>
      </w:r>
    </w:p>
    <w:p w14:paraId="76E24BCB" w14:textId="0D656B43" w:rsidR="000E52B0" w:rsidRDefault="00203383">
      <w:pPr>
        <w:spacing w:before="175"/>
        <w:ind w:left="1404"/>
        <w:rPr>
          <w:rFonts w:ascii="Trebuchet MS"/>
          <w:sz w:val="18"/>
        </w:rPr>
      </w:pPr>
      <w:r>
        <w:rPr>
          <w:rFonts w:ascii="Trebuchet MS"/>
          <w:noProof/>
          <w:sz w:val="6"/>
        </w:rPr>
        <mc:AlternateContent>
          <mc:Choice Requires="wpg">
            <w:drawing>
              <wp:anchor distT="0" distB="0" distL="0" distR="0" simplePos="0" relativeHeight="487609344" behindDoc="1" locked="0" layoutInCell="1" allowOverlap="1" wp14:anchorId="51CCA5FC" wp14:editId="1B5E8A81">
                <wp:simplePos x="0" y="0"/>
                <wp:positionH relativeFrom="page">
                  <wp:posOffset>1021715</wp:posOffset>
                </wp:positionH>
                <wp:positionV relativeFrom="paragraph">
                  <wp:posOffset>269240</wp:posOffset>
                </wp:positionV>
                <wp:extent cx="5293360" cy="1034415"/>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3360" cy="1034415"/>
                          <a:chOff x="0" y="0"/>
                          <a:chExt cx="5293360" cy="1034415"/>
                        </a:xfrm>
                      </wpg:grpSpPr>
                      <wps:wsp>
                        <wps:cNvPr id="95" name="Graphic 95"/>
                        <wps:cNvSpPr/>
                        <wps:spPr>
                          <a:xfrm>
                            <a:off x="325043" y="0"/>
                            <a:ext cx="4267200" cy="1029335"/>
                          </a:xfrm>
                          <a:custGeom>
                            <a:avLst/>
                            <a:gdLst/>
                            <a:ahLst/>
                            <a:cxnLst/>
                            <a:rect l="l" t="t" r="r" b="b"/>
                            <a:pathLst>
                              <a:path w="4267200" h="1029335">
                                <a:moveTo>
                                  <a:pt x="297167" y="0"/>
                                </a:moveTo>
                                <a:lnTo>
                                  <a:pt x="0" y="0"/>
                                </a:lnTo>
                                <a:lnTo>
                                  <a:pt x="0" y="1029335"/>
                                </a:lnTo>
                                <a:lnTo>
                                  <a:pt x="297167" y="1029335"/>
                                </a:lnTo>
                                <a:lnTo>
                                  <a:pt x="297167" y="0"/>
                                </a:lnTo>
                                <a:close/>
                              </a:path>
                              <a:path w="4267200" h="1029335">
                                <a:moveTo>
                                  <a:pt x="1620012" y="499872"/>
                                </a:moveTo>
                                <a:lnTo>
                                  <a:pt x="1322832" y="499872"/>
                                </a:lnTo>
                                <a:lnTo>
                                  <a:pt x="1322832" y="1029335"/>
                                </a:lnTo>
                                <a:lnTo>
                                  <a:pt x="1620012" y="1029335"/>
                                </a:lnTo>
                                <a:lnTo>
                                  <a:pt x="1620012" y="499872"/>
                                </a:lnTo>
                                <a:close/>
                              </a:path>
                              <a:path w="4267200" h="1029335">
                                <a:moveTo>
                                  <a:pt x="2942844" y="269748"/>
                                </a:moveTo>
                                <a:lnTo>
                                  <a:pt x="2647188" y="269748"/>
                                </a:lnTo>
                                <a:lnTo>
                                  <a:pt x="2647188" y="1029335"/>
                                </a:lnTo>
                                <a:lnTo>
                                  <a:pt x="2942844" y="1029335"/>
                                </a:lnTo>
                                <a:lnTo>
                                  <a:pt x="2942844" y="269748"/>
                                </a:lnTo>
                                <a:close/>
                              </a:path>
                              <a:path w="4267200" h="1029335">
                                <a:moveTo>
                                  <a:pt x="4267200" y="469392"/>
                                </a:moveTo>
                                <a:lnTo>
                                  <a:pt x="3970020" y="469392"/>
                                </a:lnTo>
                                <a:lnTo>
                                  <a:pt x="3970020" y="1029335"/>
                                </a:lnTo>
                                <a:lnTo>
                                  <a:pt x="4267200" y="1029335"/>
                                </a:lnTo>
                                <a:lnTo>
                                  <a:pt x="4267200" y="469392"/>
                                </a:lnTo>
                                <a:close/>
                              </a:path>
                            </a:pathLst>
                          </a:custGeom>
                          <a:solidFill>
                            <a:srgbClr val="C82780"/>
                          </a:solidFill>
                        </wps:spPr>
                        <wps:bodyPr wrap="square" lIns="0" tIns="0" rIns="0" bIns="0" rtlCol="0">
                          <a:prstTxWarp prst="textNoShape">
                            <a:avLst/>
                          </a:prstTxWarp>
                          <a:noAutofit/>
                        </wps:bodyPr>
                      </wps:wsp>
                      <wps:wsp>
                        <wps:cNvPr id="96" name="Graphic 96"/>
                        <wps:cNvSpPr/>
                        <wps:spPr>
                          <a:xfrm>
                            <a:off x="701471" y="387095"/>
                            <a:ext cx="4267200" cy="642620"/>
                          </a:xfrm>
                          <a:custGeom>
                            <a:avLst/>
                            <a:gdLst/>
                            <a:ahLst/>
                            <a:cxnLst/>
                            <a:rect l="l" t="t" r="r" b="b"/>
                            <a:pathLst>
                              <a:path w="4267200" h="642620">
                                <a:moveTo>
                                  <a:pt x="297180" y="0"/>
                                </a:moveTo>
                                <a:lnTo>
                                  <a:pt x="0" y="0"/>
                                </a:lnTo>
                                <a:lnTo>
                                  <a:pt x="0" y="642239"/>
                                </a:lnTo>
                                <a:lnTo>
                                  <a:pt x="297180" y="642239"/>
                                </a:lnTo>
                                <a:lnTo>
                                  <a:pt x="297180" y="0"/>
                                </a:lnTo>
                                <a:close/>
                              </a:path>
                              <a:path w="4267200" h="642620">
                                <a:moveTo>
                                  <a:pt x="1620012" y="301752"/>
                                </a:moveTo>
                                <a:lnTo>
                                  <a:pt x="1322832" y="301752"/>
                                </a:lnTo>
                                <a:lnTo>
                                  <a:pt x="1322832" y="642239"/>
                                </a:lnTo>
                                <a:lnTo>
                                  <a:pt x="1620012" y="642239"/>
                                </a:lnTo>
                                <a:lnTo>
                                  <a:pt x="1620012" y="301752"/>
                                </a:lnTo>
                                <a:close/>
                              </a:path>
                              <a:path w="4267200" h="642620">
                                <a:moveTo>
                                  <a:pt x="2944368" y="313956"/>
                                </a:moveTo>
                                <a:lnTo>
                                  <a:pt x="2647188" y="313956"/>
                                </a:lnTo>
                                <a:lnTo>
                                  <a:pt x="2647188" y="642239"/>
                                </a:lnTo>
                                <a:lnTo>
                                  <a:pt x="2944368" y="642239"/>
                                </a:lnTo>
                                <a:lnTo>
                                  <a:pt x="2944368" y="313956"/>
                                </a:lnTo>
                                <a:close/>
                              </a:path>
                              <a:path w="4267200" h="642620">
                                <a:moveTo>
                                  <a:pt x="4267200" y="446532"/>
                                </a:moveTo>
                                <a:lnTo>
                                  <a:pt x="3970020" y="446532"/>
                                </a:lnTo>
                                <a:lnTo>
                                  <a:pt x="3970020" y="642239"/>
                                </a:lnTo>
                                <a:lnTo>
                                  <a:pt x="4267200" y="642239"/>
                                </a:lnTo>
                                <a:lnTo>
                                  <a:pt x="4267200" y="446532"/>
                                </a:lnTo>
                                <a:close/>
                              </a:path>
                            </a:pathLst>
                          </a:custGeom>
                          <a:solidFill>
                            <a:srgbClr val="EA88B3"/>
                          </a:solidFill>
                        </wps:spPr>
                        <wps:bodyPr wrap="square" lIns="0" tIns="0" rIns="0" bIns="0" rtlCol="0">
                          <a:prstTxWarp prst="textNoShape">
                            <a:avLst/>
                          </a:prstTxWarp>
                          <a:noAutofit/>
                        </wps:bodyPr>
                      </wps:wsp>
                      <wps:wsp>
                        <wps:cNvPr id="97" name="Graphic 97"/>
                        <wps:cNvSpPr/>
                        <wps:spPr>
                          <a:xfrm>
                            <a:off x="0" y="1029335"/>
                            <a:ext cx="5293360" cy="1270"/>
                          </a:xfrm>
                          <a:custGeom>
                            <a:avLst/>
                            <a:gdLst/>
                            <a:ahLst/>
                            <a:cxnLst/>
                            <a:rect l="l" t="t" r="r" b="b"/>
                            <a:pathLst>
                              <a:path w="5293360">
                                <a:moveTo>
                                  <a:pt x="0" y="0"/>
                                </a:moveTo>
                                <a:lnTo>
                                  <a:pt x="5293283" y="0"/>
                                </a:lnTo>
                              </a:path>
                            </a:pathLst>
                          </a:custGeom>
                          <a:ln w="9525">
                            <a:solidFill>
                              <a:srgbClr val="D9D9D9"/>
                            </a:solidFill>
                            <a:prstDash val="solid"/>
                          </a:ln>
                        </wps:spPr>
                        <wps:bodyPr wrap="square" lIns="0" tIns="0" rIns="0" bIns="0" rtlCol="0">
                          <a:prstTxWarp prst="textNoShape">
                            <a:avLst/>
                          </a:prstTxWarp>
                          <a:noAutofit/>
                        </wps:bodyPr>
                      </wps:wsp>
                      <wps:wsp>
                        <wps:cNvPr id="98" name="Textbox 98"/>
                        <wps:cNvSpPr txBox="1"/>
                        <wps:spPr>
                          <a:xfrm>
                            <a:off x="2964865" y="73397"/>
                            <a:ext cx="322580" cy="139700"/>
                          </a:xfrm>
                          <a:prstGeom prst="rect">
                            <a:avLst/>
                          </a:prstGeom>
                        </wps:spPr>
                        <wps:txbx>
                          <w:txbxContent>
                            <w:p w14:paraId="04DEC758" w14:textId="77777777" w:rsidR="000E52B0" w:rsidRDefault="00F60D74">
                              <w:pPr>
                                <w:rPr>
                                  <w:rFonts w:ascii="Trebuchet MS"/>
                                  <w:sz w:val="18"/>
                                </w:rPr>
                              </w:pPr>
                              <w:r>
                                <w:rPr>
                                  <w:rFonts w:ascii="Trebuchet MS"/>
                                  <w:color w:val="404040"/>
                                  <w:spacing w:val="-2"/>
                                  <w:w w:val="105"/>
                                  <w:sz w:val="18"/>
                                </w:rPr>
                                <w:t>46,9%</w:t>
                              </w:r>
                            </w:p>
                          </w:txbxContent>
                        </wps:txbx>
                        <wps:bodyPr wrap="square" lIns="0" tIns="0" rIns="0" bIns="0" rtlCol="0">
                          <a:noAutofit/>
                        </wps:bodyPr>
                      </wps:wsp>
                      <wps:wsp>
                        <wps:cNvPr id="99" name="Textbox 99"/>
                        <wps:cNvSpPr txBox="1"/>
                        <wps:spPr>
                          <a:xfrm>
                            <a:off x="694740" y="190110"/>
                            <a:ext cx="322580" cy="139700"/>
                          </a:xfrm>
                          <a:prstGeom prst="rect">
                            <a:avLst/>
                          </a:prstGeom>
                        </wps:spPr>
                        <wps:txbx>
                          <w:txbxContent>
                            <w:p w14:paraId="12C15DEC" w14:textId="77777777" w:rsidR="000E52B0" w:rsidRDefault="00F60D74">
                              <w:pPr>
                                <w:rPr>
                                  <w:rFonts w:ascii="Trebuchet MS"/>
                                  <w:sz w:val="18"/>
                                </w:rPr>
                              </w:pPr>
                              <w:r>
                                <w:rPr>
                                  <w:rFonts w:ascii="Trebuchet MS"/>
                                  <w:color w:val="404040"/>
                                  <w:spacing w:val="-2"/>
                                  <w:w w:val="105"/>
                                  <w:sz w:val="18"/>
                                </w:rPr>
                                <w:t>39,7%</w:t>
                              </w:r>
                            </w:p>
                          </w:txbxContent>
                        </wps:txbx>
                        <wps:bodyPr wrap="square" lIns="0" tIns="0" rIns="0" bIns="0" rtlCol="0">
                          <a:noAutofit/>
                        </wps:bodyPr>
                      </wps:wsp>
                      <wps:wsp>
                        <wps:cNvPr id="100" name="Textbox 100"/>
                        <wps:cNvSpPr txBox="1"/>
                        <wps:spPr>
                          <a:xfrm>
                            <a:off x="1641525" y="303267"/>
                            <a:ext cx="322580" cy="139700"/>
                          </a:xfrm>
                          <a:prstGeom prst="rect">
                            <a:avLst/>
                          </a:prstGeom>
                        </wps:spPr>
                        <wps:txbx>
                          <w:txbxContent>
                            <w:p w14:paraId="7D219490" w14:textId="77777777" w:rsidR="000E52B0" w:rsidRDefault="00F60D74">
                              <w:pPr>
                                <w:rPr>
                                  <w:rFonts w:ascii="Trebuchet MS"/>
                                  <w:sz w:val="18"/>
                                </w:rPr>
                              </w:pPr>
                              <w:r>
                                <w:rPr>
                                  <w:rFonts w:ascii="Trebuchet MS"/>
                                  <w:color w:val="404040"/>
                                  <w:spacing w:val="-2"/>
                                  <w:w w:val="105"/>
                                  <w:sz w:val="18"/>
                                </w:rPr>
                                <w:t>32,7%</w:t>
                              </w:r>
                            </w:p>
                          </w:txbxContent>
                        </wps:txbx>
                        <wps:bodyPr wrap="square" lIns="0" tIns="0" rIns="0" bIns="0" rtlCol="0">
                          <a:noAutofit/>
                        </wps:bodyPr>
                      </wps:wsp>
                      <wps:wsp>
                        <wps:cNvPr id="101" name="Textbox 101"/>
                        <wps:cNvSpPr txBox="1"/>
                        <wps:spPr>
                          <a:xfrm>
                            <a:off x="4288713" y="272120"/>
                            <a:ext cx="322580" cy="140335"/>
                          </a:xfrm>
                          <a:prstGeom prst="rect">
                            <a:avLst/>
                          </a:prstGeom>
                        </wps:spPr>
                        <wps:txbx>
                          <w:txbxContent>
                            <w:p w14:paraId="0AD9F947" w14:textId="77777777" w:rsidR="000E52B0" w:rsidRDefault="00F60D74">
                              <w:pPr>
                                <w:rPr>
                                  <w:rFonts w:ascii="Trebuchet MS"/>
                                  <w:sz w:val="18"/>
                                </w:rPr>
                              </w:pPr>
                              <w:r>
                                <w:rPr>
                                  <w:rFonts w:ascii="Trebuchet MS"/>
                                  <w:color w:val="404040"/>
                                  <w:spacing w:val="-2"/>
                                  <w:w w:val="105"/>
                                  <w:sz w:val="18"/>
                                </w:rPr>
                                <w:t>34,6%</w:t>
                              </w:r>
                            </w:p>
                          </w:txbxContent>
                        </wps:txbx>
                        <wps:bodyPr wrap="square" lIns="0" tIns="0" rIns="0" bIns="0" rtlCol="0">
                          <a:noAutofit/>
                        </wps:bodyPr>
                      </wps:wsp>
                      <wps:wsp>
                        <wps:cNvPr id="102" name="Textbox 102"/>
                        <wps:cNvSpPr txBox="1"/>
                        <wps:spPr>
                          <a:xfrm>
                            <a:off x="2018207" y="493132"/>
                            <a:ext cx="1646555" cy="151130"/>
                          </a:xfrm>
                          <a:prstGeom prst="rect">
                            <a:avLst/>
                          </a:prstGeom>
                        </wps:spPr>
                        <wps:txbx>
                          <w:txbxContent>
                            <w:p w14:paraId="22B1A206" w14:textId="77777777" w:rsidR="000E52B0" w:rsidRDefault="00F60D74">
                              <w:pPr>
                                <w:tabs>
                                  <w:tab w:val="left" w:pos="2084"/>
                                </w:tabs>
                                <w:spacing w:line="227" w:lineRule="exact"/>
                                <w:rPr>
                                  <w:rFonts w:ascii="Trebuchet MS"/>
                                  <w:sz w:val="18"/>
                                </w:rPr>
                              </w:pPr>
                              <w:r>
                                <w:rPr>
                                  <w:rFonts w:ascii="Trebuchet MS"/>
                                  <w:color w:val="404040"/>
                                  <w:spacing w:val="-2"/>
                                  <w:w w:val="105"/>
                                  <w:position w:val="2"/>
                                  <w:sz w:val="18"/>
                                </w:rPr>
                                <w:t>21,0%</w:t>
                              </w:r>
                              <w:r>
                                <w:rPr>
                                  <w:rFonts w:ascii="Trebuchet MS"/>
                                  <w:color w:val="404040"/>
                                  <w:position w:val="2"/>
                                  <w:sz w:val="18"/>
                                </w:rPr>
                                <w:tab/>
                              </w:r>
                              <w:r>
                                <w:rPr>
                                  <w:rFonts w:ascii="Trebuchet MS"/>
                                  <w:color w:val="404040"/>
                                  <w:spacing w:val="-2"/>
                                  <w:w w:val="105"/>
                                  <w:sz w:val="18"/>
                                </w:rPr>
                                <w:t>20,3%</w:t>
                              </w:r>
                            </w:p>
                          </w:txbxContent>
                        </wps:txbx>
                        <wps:bodyPr wrap="square" lIns="0" tIns="0" rIns="0" bIns="0" rtlCol="0">
                          <a:noAutofit/>
                        </wps:bodyPr>
                      </wps:wsp>
                      <wps:wsp>
                        <wps:cNvPr id="103" name="Textbox 103"/>
                        <wps:cNvSpPr txBox="1"/>
                        <wps:spPr>
                          <a:xfrm>
                            <a:off x="4665395" y="636642"/>
                            <a:ext cx="322580" cy="139700"/>
                          </a:xfrm>
                          <a:prstGeom prst="rect">
                            <a:avLst/>
                          </a:prstGeom>
                        </wps:spPr>
                        <wps:txbx>
                          <w:txbxContent>
                            <w:p w14:paraId="3814B535" w14:textId="77777777" w:rsidR="000E52B0" w:rsidRDefault="00F60D74">
                              <w:pPr>
                                <w:rPr>
                                  <w:rFonts w:ascii="Trebuchet MS"/>
                                  <w:sz w:val="18"/>
                                </w:rPr>
                              </w:pPr>
                              <w:r>
                                <w:rPr>
                                  <w:rFonts w:ascii="Trebuchet MS"/>
                                  <w:color w:val="404040"/>
                                  <w:spacing w:val="-2"/>
                                  <w:w w:val="105"/>
                                  <w:sz w:val="18"/>
                                </w:rPr>
                                <w:t>12,1%</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1CCA5FC" id="Group 94" o:spid="_x0000_s1069" style="position:absolute;left:0;text-align:left;margin-left:80.45pt;margin-top:21.2pt;width:416.8pt;height:81.45pt;z-index:-15707136;mso-wrap-distance-left:0;mso-wrap-distance-right:0;mso-position-horizontal-relative:page;mso-position-vertical-relative:text;mso-width-relative:margin;mso-height-relative:margin" coordsize="52933,1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">
                <v:shape id="Graphic 95" o:spid="_x0000_s1070" style="position:absolute;left:3250;width:42672;height:10293;visibility:visible;mso-wrap-style:square;v-text-anchor:top" coordsize="4267200,10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" path="m297167,l,,,1029335r297167,l297167,xem1620012,499872r-297180,l1322832,1029335r297180,l1620012,499872xem2942844,269748r-295656,l2647188,1029335r295656,l2942844,269748xem4267200,469392r-297180,l3970020,1029335r297180,l4267200,469392xe" fillcolor="#c82780" stroked="f">
                  <v:path arrowok="t"/>
                </v:shape>
                <v:shape id="Graphic 96" o:spid="_x0000_s1071" style="position:absolute;left:7014;top:3870;width:42672;height:6427;visibility:visible;mso-wrap-style:square;v-text-anchor:top" coordsize="4267200,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" path="m297180,l,,,642239r297180,l297180,xem1620012,301752r-297180,l1322832,642239r297180,l1620012,301752xem2944368,313956r-297180,l2647188,642239r297180,l2944368,313956xem4267200,446532r-297180,l3970020,642239r297180,l4267200,446532xe" fillcolor="#ea88b3" stroked="f">
                  <v:path arrowok="t"/>
                </v:shape>
                <v:shape id="Graphic 97" o:spid="_x0000_s1072" style="position:absolute;top:10293;width:52933;height:13;visibility:visible;mso-wrap-style:square;v-text-anchor:top" coordsize="5293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" path="m,l5293283,e" filled="f" strokecolor="#d9d9d9">
                  <v:path arrowok="t"/>
                </v:shape>
                <v:shape id="Textbox 98" o:spid="_x0000_s1073" type="#_x0000_t202" style="position:absolute;left:29648;top:733;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04DEC758" w14:textId="77777777" w:rsidR="000E52B0" w:rsidRDefault="00F60D74">
                        <w:pPr>
                          <w:rPr>
                            <w:rFonts w:ascii="Trebuchet MS"/>
                            <w:sz w:val="18"/>
                          </w:rPr>
                        </w:pPr>
                        <w:r>
                          <w:rPr>
                            <w:rFonts w:ascii="Trebuchet MS"/>
                            <w:color w:val="404040"/>
                            <w:spacing w:val="-2"/>
                            <w:w w:val="105"/>
                            <w:sz w:val="18"/>
                          </w:rPr>
                          <w:t>46,9%</w:t>
                        </w:r>
                      </w:p>
                    </w:txbxContent>
                  </v:textbox>
                </v:shape>
                <v:shape id="Textbox 99" o:spid="_x0000_s1074" type="#_x0000_t202" style="position:absolute;left:6947;top:1901;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12C15DEC" w14:textId="77777777" w:rsidR="000E52B0" w:rsidRDefault="00F60D74">
                        <w:pPr>
                          <w:rPr>
                            <w:rFonts w:ascii="Trebuchet MS"/>
                            <w:sz w:val="18"/>
                          </w:rPr>
                        </w:pPr>
                        <w:r>
                          <w:rPr>
                            <w:rFonts w:ascii="Trebuchet MS"/>
                            <w:color w:val="404040"/>
                            <w:spacing w:val="-2"/>
                            <w:w w:val="105"/>
                            <w:sz w:val="18"/>
                          </w:rPr>
                          <w:t>39,7%</w:t>
                        </w:r>
                      </w:p>
                    </w:txbxContent>
                  </v:textbox>
                </v:shape>
                <v:shape id="Textbox 100" o:spid="_x0000_s1075" type="#_x0000_t202" style="position:absolute;left:16415;top:3032;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D219490" w14:textId="77777777" w:rsidR="000E52B0" w:rsidRDefault="00F60D74">
                        <w:pPr>
                          <w:rPr>
                            <w:rFonts w:ascii="Trebuchet MS"/>
                            <w:sz w:val="18"/>
                          </w:rPr>
                        </w:pPr>
                        <w:r>
                          <w:rPr>
                            <w:rFonts w:ascii="Trebuchet MS"/>
                            <w:color w:val="404040"/>
                            <w:spacing w:val="-2"/>
                            <w:w w:val="105"/>
                            <w:sz w:val="18"/>
                          </w:rPr>
                          <w:t>32,7%</w:t>
                        </w:r>
                      </w:p>
                    </w:txbxContent>
                  </v:textbox>
                </v:shape>
                <v:shape id="Textbox 101" o:spid="_x0000_s1076" type="#_x0000_t202" style="position:absolute;left:42887;top:2721;width:322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0AD9F947" w14:textId="77777777" w:rsidR="000E52B0" w:rsidRDefault="00F60D74">
                        <w:pPr>
                          <w:rPr>
                            <w:rFonts w:ascii="Trebuchet MS"/>
                            <w:sz w:val="18"/>
                          </w:rPr>
                        </w:pPr>
                        <w:r>
                          <w:rPr>
                            <w:rFonts w:ascii="Trebuchet MS"/>
                            <w:color w:val="404040"/>
                            <w:spacing w:val="-2"/>
                            <w:w w:val="105"/>
                            <w:sz w:val="18"/>
                          </w:rPr>
                          <w:t>34,6%</w:t>
                        </w:r>
                      </w:p>
                    </w:txbxContent>
                  </v:textbox>
                </v:shape>
                <v:shape id="Textbox 102" o:spid="_x0000_s1077" type="#_x0000_t202" style="position:absolute;left:20182;top:4931;width:16465;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2B1A206" w14:textId="77777777" w:rsidR="000E52B0" w:rsidRDefault="00F60D74">
                        <w:pPr>
                          <w:tabs>
                            <w:tab w:val="left" w:pos="2084"/>
                          </w:tabs>
                          <w:spacing w:line="227" w:lineRule="exact"/>
                          <w:rPr>
                            <w:rFonts w:ascii="Trebuchet MS"/>
                            <w:sz w:val="18"/>
                          </w:rPr>
                        </w:pPr>
                        <w:r>
                          <w:rPr>
                            <w:rFonts w:ascii="Trebuchet MS"/>
                            <w:color w:val="404040"/>
                            <w:spacing w:val="-2"/>
                            <w:w w:val="105"/>
                            <w:position w:val="2"/>
                            <w:sz w:val="18"/>
                          </w:rPr>
                          <w:t>21,0%</w:t>
                        </w:r>
                        <w:r>
                          <w:rPr>
                            <w:rFonts w:ascii="Trebuchet MS"/>
                            <w:color w:val="404040"/>
                            <w:position w:val="2"/>
                            <w:sz w:val="18"/>
                          </w:rPr>
                          <w:tab/>
                        </w:r>
                        <w:r>
                          <w:rPr>
                            <w:rFonts w:ascii="Trebuchet MS"/>
                            <w:color w:val="404040"/>
                            <w:spacing w:val="-2"/>
                            <w:w w:val="105"/>
                            <w:sz w:val="18"/>
                          </w:rPr>
                          <w:t>20,3%</w:t>
                        </w:r>
                      </w:p>
                    </w:txbxContent>
                  </v:textbox>
                </v:shape>
                <v:shape id="Textbox 103" o:spid="_x0000_s1078" type="#_x0000_t202" style="position:absolute;left:46653;top:6366;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814B535" w14:textId="77777777" w:rsidR="000E52B0" w:rsidRDefault="00F60D74">
                        <w:pPr>
                          <w:rPr>
                            <w:rFonts w:ascii="Trebuchet MS"/>
                            <w:sz w:val="18"/>
                          </w:rPr>
                        </w:pPr>
                        <w:r>
                          <w:rPr>
                            <w:rFonts w:ascii="Trebuchet MS"/>
                            <w:color w:val="404040"/>
                            <w:spacing w:val="-2"/>
                            <w:w w:val="105"/>
                            <w:sz w:val="18"/>
                          </w:rPr>
                          <w:t>12,1%</w:t>
                        </w:r>
                      </w:p>
                    </w:txbxContent>
                  </v:textbox>
                </v:shape>
                <w10:wrap type="topAndBottom" anchorx="page"/>
              </v:group>
            </w:pict>
          </mc:Fallback>
        </mc:AlternateContent>
      </w:r>
      <w:r w:rsidR="00F60D74">
        <w:rPr>
          <w:rFonts w:ascii="Trebuchet MS"/>
          <w:color w:val="404040"/>
          <w:spacing w:val="-2"/>
          <w:w w:val="105"/>
          <w:sz w:val="18"/>
        </w:rPr>
        <w:t>63,6%</w:t>
      </w:r>
    </w:p>
    <w:p w14:paraId="6282A8C6" w14:textId="2B932F71" w:rsidR="000E52B0" w:rsidRDefault="000E52B0">
      <w:pPr>
        <w:pStyle w:val="Textoindependiente"/>
        <w:spacing w:before="6"/>
        <w:ind w:left="0"/>
        <w:rPr>
          <w:rFonts w:ascii="Trebuchet MS"/>
          <w:sz w:val="6"/>
        </w:rPr>
      </w:pPr>
    </w:p>
    <w:p w14:paraId="4991A1D9" w14:textId="77777777" w:rsidR="000E52B0" w:rsidRDefault="00F60D74">
      <w:pPr>
        <w:tabs>
          <w:tab w:val="left" w:pos="2244"/>
          <w:tab w:val="left" w:pos="3777"/>
        </w:tabs>
        <w:spacing w:before="106"/>
        <w:ind w:left="340"/>
        <w:jc w:val="center"/>
        <w:rPr>
          <w:rFonts w:ascii="Trebuchet MS" w:hAnsi="Trebuchet MS"/>
          <w:sz w:val="18"/>
        </w:rPr>
      </w:pPr>
      <w:r>
        <w:rPr>
          <w:rFonts w:ascii="Trebuchet MS" w:hAnsi="Trebuchet MS"/>
          <w:color w:val="585858"/>
          <w:spacing w:val="-2"/>
          <w:sz w:val="18"/>
        </w:rPr>
        <w:t>Indígena</w:t>
      </w:r>
      <w:r>
        <w:rPr>
          <w:rFonts w:ascii="Trebuchet MS" w:hAnsi="Trebuchet MS"/>
          <w:color w:val="585858"/>
          <w:sz w:val="18"/>
        </w:rPr>
        <w:tab/>
      </w:r>
      <w:r>
        <w:rPr>
          <w:rFonts w:ascii="Trebuchet MS" w:hAnsi="Trebuchet MS"/>
          <w:color w:val="585858"/>
          <w:spacing w:val="-4"/>
          <w:sz w:val="18"/>
        </w:rPr>
        <w:t>Gitano</w:t>
      </w:r>
      <w:r>
        <w:rPr>
          <w:rFonts w:ascii="Trebuchet MS" w:hAnsi="Trebuchet MS"/>
          <w:color w:val="585858"/>
          <w:spacing w:val="-11"/>
          <w:sz w:val="18"/>
        </w:rPr>
        <w:t xml:space="preserve"> </w:t>
      </w:r>
      <w:r>
        <w:rPr>
          <w:rFonts w:ascii="Trebuchet MS" w:hAnsi="Trebuchet MS"/>
          <w:color w:val="585858"/>
          <w:spacing w:val="-2"/>
          <w:sz w:val="18"/>
        </w:rPr>
        <w:t>(Rom)</w:t>
      </w:r>
      <w:r>
        <w:rPr>
          <w:rFonts w:ascii="Trebuchet MS" w:hAnsi="Trebuchet MS"/>
          <w:color w:val="585858"/>
          <w:sz w:val="18"/>
        </w:rPr>
        <w:tab/>
      </w:r>
      <w:r>
        <w:rPr>
          <w:rFonts w:ascii="Trebuchet MS" w:hAnsi="Trebuchet MS"/>
          <w:color w:val="585858"/>
          <w:spacing w:val="-2"/>
          <w:sz w:val="18"/>
        </w:rPr>
        <w:t>Pueblos</w:t>
      </w:r>
      <w:r>
        <w:rPr>
          <w:rFonts w:ascii="Trebuchet MS" w:hAnsi="Trebuchet MS"/>
          <w:color w:val="585858"/>
          <w:spacing w:val="-9"/>
          <w:sz w:val="18"/>
        </w:rPr>
        <w:t xml:space="preserve"> </w:t>
      </w:r>
      <w:r>
        <w:rPr>
          <w:rFonts w:ascii="Trebuchet MS" w:hAnsi="Trebuchet MS"/>
          <w:color w:val="585858"/>
          <w:spacing w:val="-2"/>
          <w:sz w:val="18"/>
        </w:rPr>
        <w:t>afrodescendientes</w:t>
      </w:r>
      <w:r>
        <w:rPr>
          <w:rFonts w:ascii="Trebuchet MS" w:hAnsi="Trebuchet MS"/>
          <w:color w:val="585858"/>
          <w:spacing w:val="-18"/>
          <w:sz w:val="18"/>
        </w:rPr>
        <w:t xml:space="preserve"> </w:t>
      </w:r>
      <w:r>
        <w:rPr>
          <w:rFonts w:ascii="Trebuchet MS" w:hAnsi="Trebuchet MS"/>
          <w:color w:val="585858"/>
          <w:spacing w:val="-2"/>
          <w:sz w:val="18"/>
        </w:rPr>
        <w:t>Ninguno</w:t>
      </w:r>
      <w:r>
        <w:rPr>
          <w:rFonts w:ascii="Trebuchet MS" w:hAnsi="Trebuchet MS"/>
          <w:color w:val="585858"/>
          <w:spacing w:val="-8"/>
          <w:sz w:val="18"/>
        </w:rPr>
        <w:t xml:space="preserve"> </w:t>
      </w:r>
      <w:r>
        <w:rPr>
          <w:rFonts w:ascii="Trebuchet MS" w:hAnsi="Trebuchet MS"/>
          <w:color w:val="585858"/>
          <w:spacing w:val="-2"/>
          <w:sz w:val="18"/>
        </w:rPr>
        <w:t>de</w:t>
      </w:r>
      <w:r>
        <w:rPr>
          <w:rFonts w:ascii="Trebuchet MS" w:hAnsi="Trebuchet MS"/>
          <w:color w:val="585858"/>
          <w:spacing w:val="-6"/>
          <w:sz w:val="18"/>
        </w:rPr>
        <w:t xml:space="preserve"> </w:t>
      </w:r>
      <w:r>
        <w:rPr>
          <w:rFonts w:ascii="Trebuchet MS" w:hAnsi="Trebuchet MS"/>
          <w:color w:val="585858"/>
          <w:spacing w:val="-2"/>
          <w:sz w:val="18"/>
        </w:rPr>
        <w:t>los</w:t>
      </w:r>
      <w:r>
        <w:rPr>
          <w:rFonts w:ascii="Trebuchet MS" w:hAnsi="Trebuchet MS"/>
          <w:color w:val="585858"/>
          <w:spacing w:val="-5"/>
          <w:sz w:val="18"/>
        </w:rPr>
        <w:t xml:space="preserve"> </w:t>
      </w:r>
      <w:r>
        <w:rPr>
          <w:rFonts w:ascii="Trebuchet MS" w:hAnsi="Trebuchet MS"/>
          <w:color w:val="585858"/>
          <w:spacing w:val="-2"/>
          <w:sz w:val="18"/>
        </w:rPr>
        <w:t>anteriores</w:t>
      </w:r>
    </w:p>
    <w:p w14:paraId="72FAED93" w14:textId="77777777" w:rsidR="000E52B0" w:rsidRDefault="000E52B0">
      <w:pPr>
        <w:pStyle w:val="Textoindependiente"/>
        <w:spacing w:before="70"/>
        <w:ind w:left="0"/>
        <w:rPr>
          <w:rFonts w:ascii="Trebuchet MS"/>
          <w:sz w:val="18"/>
        </w:rPr>
      </w:pPr>
    </w:p>
    <w:p w14:paraId="1F792840" w14:textId="77777777" w:rsidR="000E52B0" w:rsidRDefault="00F60D74">
      <w:pPr>
        <w:spacing w:before="1"/>
        <w:ind w:left="1"/>
        <w:jc w:val="center"/>
        <w:rPr>
          <w:i/>
          <w:sz w:val="18"/>
        </w:rPr>
      </w:pPr>
      <w:r>
        <w:rPr>
          <w:i/>
          <w:color w:val="454551"/>
          <w:sz w:val="18"/>
        </w:rPr>
        <w:t>Fuente</w:t>
      </w:r>
      <w:r>
        <w:rPr>
          <w:i/>
          <w:color w:val="454551"/>
          <w:spacing w:val="-5"/>
          <w:sz w:val="18"/>
        </w:rPr>
        <w:t xml:space="preserve"> </w:t>
      </w:r>
      <w:r>
        <w:rPr>
          <w:i/>
          <w:color w:val="454551"/>
          <w:sz w:val="18"/>
        </w:rPr>
        <w:t>7.</w:t>
      </w:r>
      <w:r>
        <w:rPr>
          <w:i/>
          <w:color w:val="454551"/>
          <w:spacing w:val="-3"/>
          <w:sz w:val="18"/>
        </w:rPr>
        <w:t xml:space="preserve"> </w:t>
      </w:r>
      <w:r>
        <w:rPr>
          <w:i/>
          <w:color w:val="454551"/>
          <w:sz w:val="18"/>
        </w:rPr>
        <w:t>Elaboración</w:t>
      </w:r>
      <w:r>
        <w:rPr>
          <w:i/>
          <w:color w:val="454551"/>
          <w:spacing w:val="-2"/>
          <w:sz w:val="18"/>
        </w:rPr>
        <w:t xml:space="preserve"> </w:t>
      </w:r>
      <w:r>
        <w:rPr>
          <w:i/>
          <w:color w:val="454551"/>
          <w:sz w:val="18"/>
        </w:rPr>
        <w:t>propia.</w:t>
      </w:r>
      <w:r>
        <w:rPr>
          <w:i/>
          <w:color w:val="454551"/>
          <w:spacing w:val="-4"/>
          <w:sz w:val="18"/>
        </w:rPr>
        <w:t xml:space="preserve"> </w:t>
      </w:r>
      <w:r>
        <w:rPr>
          <w:i/>
          <w:color w:val="454551"/>
          <w:sz w:val="18"/>
        </w:rPr>
        <w:t>Datos</w:t>
      </w:r>
      <w:r>
        <w:rPr>
          <w:i/>
          <w:color w:val="454551"/>
          <w:spacing w:val="-3"/>
          <w:sz w:val="18"/>
        </w:rPr>
        <w:t xml:space="preserve"> </w:t>
      </w:r>
      <w:r>
        <w:rPr>
          <w:i/>
          <w:color w:val="454551"/>
          <w:sz w:val="18"/>
        </w:rPr>
        <w:t>de</w:t>
      </w:r>
      <w:r>
        <w:rPr>
          <w:i/>
          <w:color w:val="454551"/>
          <w:spacing w:val="-3"/>
          <w:sz w:val="18"/>
        </w:rPr>
        <w:t xml:space="preserve"> </w:t>
      </w:r>
      <w:r>
        <w:rPr>
          <w:i/>
          <w:color w:val="454551"/>
          <w:sz w:val="18"/>
        </w:rPr>
        <w:t>GEIH</w:t>
      </w:r>
      <w:r>
        <w:rPr>
          <w:i/>
          <w:color w:val="454551"/>
          <w:spacing w:val="-4"/>
          <w:sz w:val="18"/>
        </w:rPr>
        <w:t xml:space="preserve"> </w:t>
      </w:r>
      <w:r>
        <w:rPr>
          <w:i/>
          <w:color w:val="454551"/>
          <w:sz w:val="18"/>
        </w:rPr>
        <w:t>2022</w:t>
      </w:r>
      <w:r>
        <w:rPr>
          <w:i/>
          <w:color w:val="454551"/>
          <w:spacing w:val="-3"/>
          <w:sz w:val="18"/>
        </w:rPr>
        <w:t xml:space="preserve"> </w:t>
      </w:r>
      <w:r>
        <w:rPr>
          <w:i/>
          <w:color w:val="454551"/>
          <w:sz w:val="18"/>
        </w:rPr>
        <w:t>y</w:t>
      </w:r>
      <w:r>
        <w:rPr>
          <w:i/>
          <w:color w:val="454551"/>
          <w:spacing w:val="-2"/>
          <w:sz w:val="18"/>
        </w:rPr>
        <w:t xml:space="preserve"> </w:t>
      </w:r>
      <w:r>
        <w:rPr>
          <w:i/>
          <w:color w:val="454551"/>
          <w:sz w:val="18"/>
        </w:rPr>
        <w:t>Pobreza</w:t>
      </w:r>
      <w:r>
        <w:rPr>
          <w:i/>
          <w:color w:val="454551"/>
          <w:spacing w:val="-3"/>
          <w:sz w:val="18"/>
        </w:rPr>
        <w:t xml:space="preserve"> </w:t>
      </w:r>
      <w:r>
        <w:rPr>
          <w:i/>
          <w:color w:val="454551"/>
          <w:sz w:val="18"/>
        </w:rPr>
        <w:t>Monetaria</w:t>
      </w:r>
      <w:r>
        <w:rPr>
          <w:i/>
          <w:color w:val="454551"/>
          <w:spacing w:val="-3"/>
          <w:sz w:val="18"/>
        </w:rPr>
        <w:t xml:space="preserve"> </w:t>
      </w:r>
      <w:r>
        <w:rPr>
          <w:i/>
          <w:color w:val="454551"/>
          <w:sz w:val="18"/>
        </w:rPr>
        <w:t>y</w:t>
      </w:r>
      <w:r>
        <w:rPr>
          <w:i/>
          <w:color w:val="454551"/>
          <w:spacing w:val="-4"/>
          <w:sz w:val="18"/>
        </w:rPr>
        <w:t xml:space="preserve"> </w:t>
      </w:r>
      <w:r>
        <w:rPr>
          <w:i/>
          <w:color w:val="454551"/>
          <w:sz w:val="18"/>
        </w:rPr>
        <w:t>Desigualdad</w:t>
      </w:r>
      <w:r>
        <w:rPr>
          <w:i/>
          <w:color w:val="454551"/>
          <w:spacing w:val="-2"/>
          <w:sz w:val="18"/>
        </w:rPr>
        <w:t xml:space="preserve"> </w:t>
      </w:r>
      <w:r>
        <w:rPr>
          <w:i/>
          <w:color w:val="454551"/>
          <w:sz w:val="18"/>
        </w:rPr>
        <w:t>2022</w:t>
      </w:r>
      <w:r>
        <w:rPr>
          <w:i/>
          <w:color w:val="454551"/>
          <w:spacing w:val="5"/>
          <w:sz w:val="18"/>
        </w:rPr>
        <w:t xml:space="preserve"> </w:t>
      </w:r>
      <w:r>
        <w:rPr>
          <w:i/>
          <w:color w:val="454551"/>
          <w:spacing w:val="-10"/>
          <w:sz w:val="18"/>
        </w:rPr>
        <w:t>–</w:t>
      </w:r>
    </w:p>
    <w:p w14:paraId="0609DEDE" w14:textId="77777777" w:rsidR="000E52B0" w:rsidRDefault="00F60D74">
      <w:pPr>
        <w:spacing w:before="2"/>
        <w:jc w:val="center"/>
        <w:rPr>
          <w:i/>
          <w:sz w:val="18"/>
        </w:rPr>
      </w:pPr>
      <w:r>
        <w:rPr>
          <w:i/>
          <w:color w:val="454551"/>
          <w:spacing w:val="-4"/>
          <w:sz w:val="18"/>
        </w:rPr>
        <w:t>DANE</w:t>
      </w:r>
    </w:p>
    <w:p w14:paraId="43B7A64B" w14:textId="77777777" w:rsidR="000E52B0" w:rsidRDefault="00F60D74" w:rsidP="00203383">
      <w:pPr>
        <w:pStyle w:val="Textoindependiente"/>
        <w:spacing w:before="201"/>
        <w:ind w:left="0" w:right="720"/>
        <w:jc w:val="both"/>
      </w:pPr>
      <w:r>
        <w:t>Lo</w:t>
      </w:r>
      <w:r>
        <w:rPr>
          <w:spacing w:val="-22"/>
        </w:rPr>
        <w:t xml:space="preserve"> </w:t>
      </w:r>
      <w:r>
        <w:t>anterior</w:t>
      </w:r>
      <w:r>
        <w:rPr>
          <w:spacing w:val="-21"/>
        </w:rPr>
        <w:t xml:space="preserve"> </w:t>
      </w:r>
      <w:r>
        <w:t>ocurre</w:t>
      </w:r>
      <w:r>
        <w:rPr>
          <w:spacing w:val="-21"/>
        </w:rPr>
        <w:t xml:space="preserve"> </w:t>
      </w:r>
      <w:r>
        <w:t>también</w:t>
      </w:r>
      <w:r>
        <w:rPr>
          <w:spacing w:val="-21"/>
        </w:rPr>
        <w:t xml:space="preserve"> </w:t>
      </w:r>
      <w:r>
        <w:t>con</w:t>
      </w:r>
      <w:r>
        <w:rPr>
          <w:spacing w:val="-21"/>
        </w:rPr>
        <w:t xml:space="preserve"> </w:t>
      </w:r>
      <w:r>
        <w:t>el</w:t>
      </w:r>
      <w:r>
        <w:rPr>
          <w:spacing w:val="-21"/>
        </w:rPr>
        <w:t xml:space="preserve"> </w:t>
      </w:r>
      <w:r>
        <w:t>Índice</w:t>
      </w:r>
      <w:r>
        <w:rPr>
          <w:spacing w:val="-21"/>
        </w:rPr>
        <w:t xml:space="preserve"> </w:t>
      </w:r>
      <w:r>
        <w:t>de</w:t>
      </w:r>
      <w:r>
        <w:rPr>
          <w:spacing w:val="-21"/>
        </w:rPr>
        <w:t xml:space="preserve"> </w:t>
      </w:r>
      <w:r>
        <w:t>Pobreza</w:t>
      </w:r>
      <w:r>
        <w:rPr>
          <w:spacing w:val="-21"/>
        </w:rPr>
        <w:t xml:space="preserve"> </w:t>
      </w:r>
      <w:r>
        <w:t>Multidimensional</w:t>
      </w:r>
      <w:r>
        <w:rPr>
          <w:spacing w:val="-21"/>
        </w:rPr>
        <w:t xml:space="preserve"> </w:t>
      </w:r>
      <w:r>
        <w:t>(IPM), de</w:t>
      </w:r>
      <w:r>
        <w:rPr>
          <w:spacing w:val="-3"/>
        </w:rPr>
        <w:t xml:space="preserve"> </w:t>
      </w:r>
      <w:r>
        <w:t>acuerdo</w:t>
      </w:r>
      <w:r>
        <w:rPr>
          <w:spacing w:val="-3"/>
        </w:rPr>
        <w:t xml:space="preserve"> </w:t>
      </w:r>
      <w:r>
        <w:t>con</w:t>
      </w:r>
      <w:r>
        <w:rPr>
          <w:spacing w:val="-4"/>
        </w:rPr>
        <w:t xml:space="preserve"> </w:t>
      </w:r>
      <w:r>
        <w:t>cifras</w:t>
      </w:r>
      <w:r>
        <w:rPr>
          <w:spacing w:val="-4"/>
        </w:rPr>
        <w:t xml:space="preserve"> </w:t>
      </w:r>
      <w:r>
        <w:t>de</w:t>
      </w:r>
      <w:r>
        <w:rPr>
          <w:spacing w:val="-3"/>
        </w:rPr>
        <w:t xml:space="preserve"> </w:t>
      </w:r>
      <w:r>
        <w:t>la</w:t>
      </w:r>
      <w:r>
        <w:rPr>
          <w:spacing w:val="-2"/>
        </w:rPr>
        <w:t xml:space="preserve"> </w:t>
      </w:r>
      <w:r>
        <w:t>Encuesta</w:t>
      </w:r>
      <w:r>
        <w:rPr>
          <w:spacing w:val="-1"/>
        </w:rPr>
        <w:t xml:space="preserve"> </w:t>
      </w:r>
      <w:r>
        <w:t>de</w:t>
      </w:r>
      <w:r>
        <w:rPr>
          <w:spacing w:val="-1"/>
        </w:rPr>
        <w:t xml:space="preserve"> </w:t>
      </w:r>
      <w:r>
        <w:t>Calidad</w:t>
      </w:r>
      <w:r>
        <w:rPr>
          <w:spacing w:val="-2"/>
        </w:rPr>
        <w:t xml:space="preserve"> </w:t>
      </w:r>
      <w:r>
        <w:t>de</w:t>
      </w:r>
      <w:r>
        <w:rPr>
          <w:spacing w:val="-1"/>
        </w:rPr>
        <w:t xml:space="preserve"> </w:t>
      </w:r>
      <w:r>
        <w:t>Vida</w:t>
      </w:r>
      <w:r>
        <w:rPr>
          <w:spacing w:val="-3"/>
        </w:rPr>
        <w:t xml:space="preserve"> </w:t>
      </w:r>
      <w:r>
        <w:t>2022</w:t>
      </w:r>
      <w:r>
        <w:rPr>
          <w:spacing w:val="-3"/>
        </w:rPr>
        <w:t xml:space="preserve"> </w:t>
      </w:r>
      <w:r>
        <w:t>(ECV</w:t>
      </w:r>
      <w:r>
        <w:rPr>
          <w:spacing w:val="-4"/>
        </w:rPr>
        <w:t xml:space="preserve"> </w:t>
      </w:r>
      <w:r>
        <w:t>2022), el IPM en los hogares cuyo jefe de hogar se auto reconoció como indígena o como negro, afrocolombiano es sustancialmente mayor, comparado con el</w:t>
      </w:r>
      <w:r>
        <w:rPr>
          <w:spacing w:val="43"/>
        </w:rPr>
        <w:t xml:space="preserve"> </w:t>
      </w:r>
      <w:r>
        <w:t>promedio</w:t>
      </w:r>
      <w:r>
        <w:rPr>
          <w:spacing w:val="48"/>
        </w:rPr>
        <w:t xml:space="preserve"> </w:t>
      </w:r>
      <w:r>
        <w:t>nacional.</w:t>
      </w:r>
      <w:r>
        <w:rPr>
          <w:spacing w:val="47"/>
        </w:rPr>
        <w:t xml:space="preserve"> </w:t>
      </w:r>
      <w:r>
        <w:t>En</w:t>
      </w:r>
      <w:r>
        <w:rPr>
          <w:spacing w:val="47"/>
        </w:rPr>
        <w:t xml:space="preserve"> </w:t>
      </w:r>
      <w:r>
        <w:t>el</w:t>
      </w:r>
      <w:r>
        <w:rPr>
          <w:spacing w:val="43"/>
        </w:rPr>
        <w:t xml:space="preserve"> </w:t>
      </w:r>
      <w:r>
        <w:t>caso</w:t>
      </w:r>
      <w:r>
        <w:rPr>
          <w:spacing w:val="46"/>
        </w:rPr>
        <w:t xml:space="preserve"> </w:t>
      </w:r>
      <w:r>
        <w:t>de</w:t>
      </w:r>
      <w:r>
        <w:rPr>
          <w:spacing w:val="49"/>
        </w:rPr>
        <w:t xml:space="preserve"> </w:t>
      </w:r>
      <w:r>
        <w:t>los</w:t>
      </w:r>
      <w:r>
        <w:rPr>
          <w:spacing w:val="45"/>
        </w:rPr>
        <w:t xml:space="preserve"> </w:t>
      </w:r>
      <w:r>
        <w:t>hogares</w:t>
      </w:r>
      <w:r>
        <w:rPr>
          <w:spacing w:val="44"/>
        </w:rPr>
        <w:t xml:space="preserve"> </w:t>
      </w:r>
      <w:r>
        <w:t>con</w:t>
      </w:r>
      <w:r>
        <w:rPr>
          <w:spacing w:val="48"/>
        </w:rPr>
        <w:t xml:space="preserve"> </w:t>
      </w:r>
      <w:r>
        <w:t>jefatura</w:t>
      </w:r>
      <w:r>
        <w:rPr>
          <w:spacing w:val="46"/>
        </w:rPr>
        <w:t xml:space="preserve"> </w:t>
      </w:r>
      <w:r>
        <w:t>de</w:t>
      </w:r>
      <w:r>
        <w:rPr>
          <w:spacing w:val="49"/>
        </w:rPr>
        <w:t xml:space="preserve"> </w:t>
      </w:r>
      <w:r>
        <w:rPr>
          <w:spacing w:val="-2"/>
        </w:rPr>
        <w:t>hogar</w:t>
      </w:r>
    </w:p>
    <w:p w14:paraId="77735532" w14:textId="77777777" w:rsidR="000E52B0" w:rsidRDefault="00F60D74">
      <w:pPr>
        <w:pStyle w:val="Textoindependiente"/>
        <w:ind w:left="0"/>
        <w:rPr>
          <w:sz w:val="12"/>
        </w:rPr>
      </w:pPr>
      <w:r>
        <w:rPr>
          <w:noProof/>
          <w:sz w:val="12"/>
        </w:rPr>
        <mc:AlternateContent>
          <mc:Choice Requires="wps">
            <w:drawing>
              <wp:anchor distT="0" distB="0" distL="0" distR="0" simplePos="0" relativeHeight="487609856" behindDoc="1" locked="0" layoutInCell="1" allowOverlap="1" wp14:anchorId="6BB28D78" wp14:editId="3BEA23F0">
                <wp:simplePos x="0" y="0"/>
                <wp:positionH relativeFrom="page">
                  <wp:posOffset>914704</wp:posOffset>
                </wp:positionH>
                <wp:positionV relativeFrom="paragraph">
                  <wp:posOffset>107883</wp:posOffset>
                </wp:positionV>
                <wp:extent cx="1829435" cy="762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C45100" id="Graphic 104" o:spid="_x0000_s1026" style="position:absolute;margin-left:1in;margin-top:8.5pt;width:144.05pt;height:.6pt;z-index:-157066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" path="m1829054,l,,,7619r1829054,l1829054,xe" fillcolor="black" stroked="f">
                <v:path arrowok="t"/>
                <w10:wrap type="topAndBottom" anchorx="page"/>
              </v:shape>
            </w:pict>
          </mc:Fallback>
        </mc:AlternateContent>
      </w:r>
    </w:p>
    <w:p w14:paraId="1E986A15" w14:textId="77777777" w:rsidR="000E52B0" w:rsidRDefault="00F60D74">
      <w:pPr>
        <w:spacing w:before="96"/>
        <w:ind w:left="720"/>
        <w:rPr>
          <w:rFonts w:ascii="Arial MT"/>
          <w:sz w:val="18"/>
        </w:rPr>
      </w:pPr>
      <w:bookmarkStart w:id="17" w:name="_bookmark17"/>
      <w:bookmarkEnd w:id="17"/>
      <w:r>
        <w:rPr>
          <w:rFonts w:ascii="Arial MT"/>
          <w:spacing w:val="-2"/>
          <w:position w:val="6"/>
          <w:sz w:val="12"/>
        </w:rPr>
        <w:t>12</w:t>
      </w:r>
      <w:r>
        <w:rPr>
          <w:rFonts w:ascii="Arial MT"/>
          <w:spacing w:val="47"/>
          <w:position w:val="6"/>
          <w:sz w:val="12"/>
        </w:rPr>
        <w:t xml:space="preserve">  </w:t>
      </w:r>
      <w:hyperlink r:id="rId55">
        <w:r w:rsidR="000E52B0">
          <w:rPr>
            <w:rFonts w:ascii="Arial MT"/>
            <w:color w:val="E22C91"/>
            <w:spacing w:val="-2"/>
            <w:sz w:val="18"/>
            <w:u w:val="single" w:color="E22C91"/>
          </w:rPr>
          <w:t>https://www.dane.gov.co/files/operaciones/PM/cp-PMEnfoqueDiferencial-2022.pdf</w:t>
        </w:r>
      </w:hyperlink>
    </w:p>
    <w:p w14:paraId="582A787A" w14:textId="77777777" w:rsidR="000E52B0" w:rsidRDefault="000E52B0">
      <w:pPr>
        <w:rPr>
          <w:rFonts w:ascii="Arial MT"/>
          <w:sz w:val="18"/>
        </w:rPr>
        <w:sectPr w:rsidR="000E52B0">
          <w:type w:val="continuous"/>
          <w:pgSz w:w="11910" w:h="16840"/>
          <w:pgMar w:top="1340" w:right="720" w:bottom="1280" w:left="720" w:header="0" w:footer="995" w:gutter="0"/>
          <w:cols w:space="720"/>
        </w:sectPr>
      </w:pPr>
    </w:p>
    <w:p w14:paraId="705CB9C8" w14:textId="77777777" w:rsidR="000E52B0" w:rsidRDefault="00F60D74">
      <w:pPr>
        <w:pStyle w:val="Textoindependiente"/>
        <w:spacing w:before="83"/>
        <w:ind w:right="718"/>
        <w:jc w:val="both"/>
      </w:pPr>
      <w:r>
        <w:lastRenderedPageBreak/>
        <w:t>indígena, el IPM es del 39,0% y en el de las comunidades del Pueblo afrodescendientes es del 22,4%, en contraste con el 12,9% del total nacional. Por su parte, la población campesina es más pobre que el promedio nacional, en los hogares campesinos fue de 23,5%. Según la GEIH en el trimestre de enero a marzo de 2024, más de la mitad de los campesinos son trabajadores por cuenta propia (53,4%) y sólo el 24,2% obreros o empleados de una empresa particular, en comparación con un 51,6% en la población no campesina</w:t>
      </w:r>
      <w:hyperlink w:anchor="_bookmark18" w:history="1">
        <w:r w:rsidR="000E52B0">
          <w:rPr>
            <w:position w:val="8"/>
            <w:sz w:val="16"/>
          </w:rPr>
          <w:t>13</w:t>
        </w:r>
      </w:hyperlink>
      <w:r>
        <w:t>.</w:t>
      </w:r>
    </w:p>
    <w:p w14:paraId="30502937" w14:textId="77777777" w:rsidR="000E52B0" w:rsidRDefault="00F60D74">
      <w:pPr>
        <w:pStyle w:val="Textoindependiente"/>
        <w:spacing w:before="158"/>
        <w:ind w:right="717"/>
        <w:jc w:val="both"/>
      </w:pPr>
      <w:r>
        <w:t>Las desigualdades que viven los Pueblos étnicos y el campesinado se encuentran en diferentes indicadores de acceso a educación u ocupación laboral. Existen desigualdades en materia de acceso a servicios públicos, acceso a educación, ingresos e infraestructura productiva. En el Censo Nacional</w:t>
      </w:r>
      <w:r>
        <w:rPr>
          <w:spacing w:val="-16"/>
        </w:rPr>
        <w:t xml:space="preserve"> </w:t>
      </w:r>
      <w:r>
        <w:t>Agropecuario</w:t>
      </w:r>
      <w:r>
        <w:rPr>
          <w:spacing w:val="-17"/>
        </w:rPr>
        <w:t xml:space="preserve"> </w:t>
      </w:r>
      <w:r>
        <w:t>2014,</w:t>
      </w:r>
      <w:r>
        <w:rPr>
          <w:spacing w:val="-18"/>
        </w:rPr>
        <w:t xml:space="preserve"> </w:t>
      </w:r>
      <w:r>
        <w:t>el</w:t>
      </w:r>
      <w:r>
        <w:rPr>
          <w:spacing w:val="-18"/>
        </w:rPr>
        <w:t xml:space="preserve"> </w:t>
      </w:r>
      <w:r>
        <w:t>15,7%</w:t>
      </w:r>
      <w:r>
        <w:rPr>
          <w:spacing w:val="-17"/>
        </w:rPr>
        <w:t xml:space="preserve"> </w:t>
      </w:r>
      <w:r>
        <w:t>de</w:t>
      </w:r>
      <w:r>
        <w:rPr>
          <w:spacing w:val="-16"/>
        </w:rPr>
        <w:t xml:space="preserve"> </w:t>
      </w:r>
      <w:r>
        <w:t>las</w:t>
      </w:r>
      <w:r>
        <w:rPr>
          <w:spacing w:val="-18"/>
        </w:rPr>
        <w:t xml:space="preserve"> </w:t>
      </w:r>
      <w:r>
        <w:t>viviendas</w:t>
      </w:r>
      <w:r>
        <w:rPr>
          <w:spacing w:val="-18"/>
        </w:rPr>
        <w:t xml:space="preserve"> </w:t>
      </w:r>
      <w:r>
        <w:t>ocupadas</w:t>
      </w:r>
      <w:r>
        <w:rPr>
          <w:spacing w:val="-18"/>
        </w:rPr>
        <w:t xml:space="preserve"> </w:t>
      </w:r>
      <w:r>
        <w:t>en</w:t>
      </w:r>
      <w:r>
        <w:rPr>
          <w:spacing w:val="-18"/>
        </w:rPr>
        <w:t xml:space="preserve"> </w:t>
      </w:r>
      <w:r>
        <w:t>el</w:t>
      </w:r>
      <w:r>
        <w:rPr>
          <w:spacing w:val="-16"/>
        </w:rPr>
        <w:t xml:space="preserve"> </w:t>
      </w:r>
      <w:r>
        <w:t>área rural</w:t>
      </w:r>
      <w:r>
        <w:rPr>
          <w:spacing w:val="-22"/>
        </w:rPr>
        <w:t xml:space="preserve"> </w:t>
      </w:r>
      <w:r>
        <w:t>no</w:t>
      </w:r>
      <w:r>
        <w:rPr>
          <w:spacing w:val="-21"/>
        </w:rPr>
        <w:t xml:space="preserve"> </w:t>
      </w:r>
      <w:r>
        <w:t>tenían</w:t>
      </w:r>
      <w:r>
        <w:rPr>
          <w:spacing w:val="-21"/>
        </w:rPr>
        <w:t xml:space="preserve"> </w:t>
      </w:r>
      <w:r>
        <w:t>acceso</w:t>
      </w:r>
      <w:r>
        <w:rPr>
          <w:spacing w:val="-21"/>
        </w:rPr>
        <w:t xml:space="preserve"> </w:t>
      </w:r>
      <w:r>
        <w:t>a</w:t>
      </w:r>
      <w:r>
        <w:rPr>
          <w:spacing w:val="-21"/>
        </w:rPr>
        <w:t xml:space="preserve"> </w:t>
      </w:r>
      <w:r>
        <w:t>ningún</w:t>
      </w:r>
      <w:r>
        <w:rPr>
          <w:spacing w:val="-21"/>
        </w:rPr>
        <w:t xml:space="preserve"> </w:t>
      </w:r>
      <w:r>
        <w:t>servicio</w:t>
      </w:r>
      <w:r>
        <w:rPr>
          <w:spacing w:val="-21"/>
        </w:rPr>
        <w:t xml:space="preserve"> </w:t>
      </w:r>
      <w:r>
        <w:t>público,</w:t>
      </w:r>
      <w:r>
        <w:rPr>
          <w:spacing w:val="-21"/>
        </w:rPr>
        <w:t xml:space="preserve"> </w:t>
      </w:r>
      <w:r>
        <w:t>menos</w:t>
      </w:r>
      <w:r>
        <w:rPr>
          <w:spacing w:val="-21"/>
        </w:rPr>
        <w:t xml:space="preserve"> </w:t>
      </w:r>
      <w:r>
        <w:t>de</w:t>
      </w:r>
      <w:r>
        <w:rPr>
          <w:spacing w:val="-21"/>
        </w:rPr>
        <w:t xml:space="preserve"> </w:t>
      </w:r>
      <w:r>
        <w:t>la</w:t>
      </w:r>
      <w:r>
        <w:rPr>
          <w:spacing w:val="-22"/>
        </w:rPr>
        <w:t xml:space="preserve"> </w:t>
      </w:r>
      <w:r>
        <w:t>mitad</w:t>
      </w:r>
      <w:r>
        <w:rPr>
          <w:spacing w:val="-21"/>
        </w:rPr>
        <w:t xml:space="preserve"> </w:t>
      </w:r>
      <w:r>
        <w:t>(42,5%) tenían</w:t>
      </w:r>
      <w:r>
        <w:rPr>
          <w:spacing w:val="-18"/>
        </w:rPr>
        <w:t xml:space="preserve"> </w:t>
      </w:r>
      <w:r>
        <w:t>conexión</w:t>
      </w:r>
      <w:r>
        <w:rPr>
          <w:spacing w:val="-18"/>
        </w:rPr>
        <w:t xml:space="preserve"> </w:t>
      </w:r>
      <w:r>
        <w:t>al</w:t>
      </w:r>
      <w:r>
        <w:rPr>
          <w:spacing w:val="-19"/>
        </w:rPr>
        <w:t xml:space="preserve"> </w:t>
      </w:r>
      <w:r>
        <w:t>acueducto</w:t>
      </w:r>
      <w:r>
        <w:rPr>
          <w:spacing w:val="-17"/>
        </w:rPr>
        <w:t xml:space="preserve"> </w:t>
      </w:r>
      <w:r>
        <w:t>y</w:t>
      </w:r>
      <w:r>
        <w:rPr>
          <w:spacing w:val="-18"/>
        </w:rPr>
        <w:t xml:space="preserve"> </w:t>
      </w:r>
      <w:r>
        <w:t>solo</w:t>
      </w:r>
      <w:r>
        <w:rPr>
          <w:spacing w:val="-17"/>
        </w:rPr>
        <w:t xml:space="preserve"> </w:t>
      </w:r>
      <w:r>
        <w:t>un</w:t>
      </w:r>
      <w:r>
        <w:rPr>
          <w:spacing w:val="-18"/>
        </w:rPr>
        <w:t xml:space="preserve"> </w:t>
      </w:r>
      <w:r>
        <w:t>6%</w:t>
      </w:r>
      <w:r>
        <w:rPr>
          <w:spacing w:val="-17"/>
        </w:rPr>
        <w:t xml:space="preserve"> </w:t>
      </w:r>
      <w:r>
        <w:t>al</w:t>
      </w:r>
      <w:r>
        <w:rPr>
          <w:spacing w:val="-19"/>
        </w:rPr>
        <w:t xml:space="preserve"> </w:t>
      </w:r>
      <w:r>
        <w:t>alcantarillado.</w:t>
      </w:r>
      <w:r>
        <w:rPr>
          <w:spacing w:val="-14"/>
        </w:rPr>
        <w:t xml:space="preserve"> </w:t>
      </w:r>
      <w:r>
        <w:t>En</w:t>
      </w:r>
      <w:r>
        <w:rPr>
          <w:spacing w:val="-18"/>
        </w:rPr>
        <w:t xml:space="preserve"> </w:t>
      </w:r>
      <w:r>
        <w:t>la</w:t>
      </w:r>
      <w:r>
        <w:rPr>
          <w:spacing w:val="-15"/>
        </w:rPr>
        <w:t xml:space="preserve"> </w:t>
      </w:r>
      <w:r>
        <w:t>ECV</w:t>
      </w:r>
      <w:r>
        <w:rPr>
          <w:spacing w:val="-18"/>
        </w:rPr>
        <w:t xml:space="preserve"> </w:t>
      </w:r>
      <w:r>
        <w:t>2022 se puede ver que hay una brecha en el acceso a servicios públicos de los Pueblos</w:t>
      </w:r>
      <w:r>
        <w:rPr>
          <w:spacing w:val="-6"/>
        </w:rPr>
        <w:t xml:space="preserve"> </w:t>
      </w:r>
      <w:r>
        <w:t>étnicos</w:t>
      </w:r>
      <w:r>
        <w:rPr>
          <w:spacing w:val="-7"/>
        </w:rPr>
        <w:t xml:space="preserve"> </w:t>
      </w:r>
      <w:r>
        <w:t>y</w:t>
      </w:r>
      <w:r>
        <w:rPr>
          <w:spacing w:val="-5"/>
        </w:rPr>
        <w:t xml:space="preserve"> </w:t>
      </w:r>
      <w:r>
        <w:t>el</w:t>
      </w:r>
      <w:r>
        <w:rPr>
          <w:spacing w:val="-5"/>
        </w:rPr>
        <w:t xml:space="preserve"> </w:t>
      </w:r>
      <w:r>
        <w:t>campesinado</w:t>
      </w:r>
      <w:r>
        <w:rPr>
          <w:spacing w:val="-6"/>
        </w:rPr>
        <w:t xml:space="preserve"> </w:t>
      </w:r>
      <w:r>
        <w:t>en</w:t>
      </w:r>
      <w:r>
        <w:rPr>
          <w:spacing w:val="-7"/>
        </w:rPr>
        <w:t xml:space="preserve"> </w:t>
      </w:r>
      <w:r>
        <w:t>comparación</w:t>
      </w:r>
      <w:r>
        <w:rPr>
          <w:spacing w:val="-7"/>
        </w:rPr>
        <w:t xml:space="preserve"> </w:t>
      </w:r>
      <w:r>
        <w:t>con</w:t>
      </w:r>
      <w:r>
        <w:rPr>
          <w:spacing w:val="-4"/>
        </w:rPr>
        <w:t xml:space="preserve"> </w:t>
      </w:r>
      <w:r>
        <w:t>las</w:t>
      </w:r>
      <w:r>
        <w:rPr>
          <w:spacing w:val="-4"/>
        </w:rPr>
        <w:t xml:space="preserve"> </w:t>
      </w:r>
      <w:r>
        <w:t>personas</w:t>
      </w:r>
      <w:r>
        <w:rPr>
          <w:spacing w:val="-7"/>
        </w:rPr>
        <w:t xml:space="preserve"> </w:t>
      </w:r>
      <w:r>
        <w:t>que</w:t>
      </w:r>
      <w:r>
        <w:rPr>
          <w:spacing w:val="-5"/>
        </w:rPr>
        <w:t xml:space="preserve"> </w:t>
      </w:r>
      <w:r>
        <w:t>no se</w:t>
      </w:r>
      <w:r>
        <w:rPr>
          <w:spacing w:val="-1"/>
        </w:rPr>
        <w:t xml:space="preserve"> </w:t>
      </w:r>
      <w:r>
        <w:t>identifican</w:t>
      </w:r>
      <w:r>
        <w:rPr>
          <w:spacing w:val="-2"/>
        </w:rPr>
        <w:t xml:space="preserve"> </w:t>
      </w:r>
      <w:r>
        <w:t>con alguna pertenencia</w:t>
      </w:r>
      <w:r>
        <w:rPr>
          <w:spacing w:val="-2"/>
        </w:rPr>
        <w:t xml:space="preserve"> </w:t>
      </w:r>
      <w:r>
        <w:t>étnica.</w:t>
      </w:r>
      <w:r>
        <w:rPr>
          <w:spacing w:val="-1"/>
        </w:rPr>
        <w:t xml:space="preserve"> </w:t>
      </w:r>
      <w:r>
        <w:t>El</w:t>
      </w:r>
      <w:r>
        <w:rPr>
          <w:spacing w:val="-1"/>
        </w:rPr>
        <w:t xml:space="preserve"> </w:t>
      </w:r>
      <w:r>
        <w:t>servicio público</w:t>
      </w:r>
      <w:r>
        <w:rPr>
          <w:spacing w:val="-1"/>
        </w:rPr>
        <w:t xml:space="preserve"> </w:t>
      </w:r>
      <w:r>
        <w:t>con menor brecha es la energía eléctrica, solo en las comunidades indígenas hay menos personas con acceso.</w:t>
      </w:r>
    </w:p>
    <w:p w14:paraId="0E49EAB1" w14:textId="77777777" w:rsidR="000E52B0" w:rsidRDefault="00F60D74">
      <w:pPr>
        <w:spacing w:before="160"/>
        <w:ind w:left="4961" w:right="723" w:hanging="4050"/>
        <w:rPr>
          <w:i/>
          <w:sz w:val="18"/>
        </w:rPr>
      </w:pPr>
      <w:r>
        <w:rPr>
          <w:i/>
          <w:color w:val="454551"/>
          <w:sz w:val="18"/>
        </w:rPr>
        <w:t>Ilustración</w:t>
      </w:r>
      <w:r>
        <w:rPr>
          <w:i/>
          <w:color w:val="454551"/>
          <w:spacing w:val="-2"/>
          <w:sz w:val="18"/>
        </w:rPr>
        <w:t xml:space="preserve"> </w:t>
      </w:r>
      <w:r>
        <w:rPr>
          <w:i/>
          <w:color w:val="454551"/>
          <w:sz w:val="18"/>
        </w:rPr>
        <w:t>18.</w:t>
      </w:r>
      <w:r>
        <w:rPr>
          <w:i/>
          <w:color w:val="454551"/>
          <w:spacing w:val="-5"/>
          <w:sz w:val="18"/>
        </w:rPr>
        <w:t xml:space="preserve"> </w:t>
      </w:r>
      <w:r>
        <w:rPr>
          <w:i/>
          <w:color w:val="454551"/>
          <w:sz w:val="18"/>
        </w:rPr>
        <w:t>Porcentaje</w:t>
      </w:r>
      <w:r>
        <w:rPr>
          <w:i/>
          <w:color w:val="454551"/>
          <w:spacing w:val="-4"/>
          <w:sz w:val="18"/>
        </w:rPr>
        <w:t xml:space="preserve"> </w:t>
      </w:r>
      <w:r>
        <w:rPr>
          <w:i/>
          <w:color w:val="454551"/>
          <w:sz w:val="18"/>
        </w:rPr>
        <w:t>de</w:t>
      </w:r>
      <w:r>
        <w:rPr>
          <w:i/>
          <w:color w:val="454551"/>
          <w:spacing w:val="-4"/>
          <w:sz w:val="18"/>
        </w:rPr>
        <w:t xml:space="preserve"> </w:t>
      </w:r>
      <w:r>
        <w:rPr>
          <w:i/>
          <w:color w:val="454551"/>
          <w:sz w:val="18"/>
        </w:rPr>
        <w:t>personas</w:t>
      </w:r>
      <w:r>
        <w:rPr>
          <w:i/>
          <w:color w:val="454551"/>
          <w:spacing w:val="-5"/>
          <w:sz w:val="18"/>
        </w:rPr>
        <w:t xml:space="preserve"> </w:t>
      </w:r>
      <w:r>
        <w:rPr>
          <w:i/>
          <w:color w:val="454551"/>
          <w:sz w:val="18"/>
        </w:rPr>
        <w:t>con</w:t>
      </w:r>
      <w:r>
        <w:rPr>
          <w:i/>
          <w:color w:val="454551"/>
          <w:spacing w:val="-3"/>
          <w:sz w:val="18"/>
        </w:rPr>
        <w:t xml:space="preserve"> </w:t>
      </w:r>
      <w:r>
        <w:rPr>
          <w:i/>
          <w:color w:val="454551"/>
          <w:sz w:val="18"/>
        </w:rPr>
        <w:t>acceso</w:t>
      </w:r>
      <w:r>
        <w:rPr>
          <w:i/>
          <w:color w:val="454551"/>
          <w:spacing w:val="-4"/>
          <w:sz w:val="18"/>
        </w:rPr>
        <w:t xml:space="preserve"> </w:t>
      </w:r>
      <w:r>
        <w:rPr>
          <w:i/>
          <w:color w:val="454551"/>
          <w:sz w:val="18"/>
        </w:rPr>
        <w:t>a</w:t>
      </w:r>
      <w:r>
        <w:rPr>
          <w:i/>
          <w:color w:val="454551"/>
          <w:spacing w:val="-6"/>
          <w:sz w:val="18"/>
        </w:rPr>
        <w:t xml:space="preserve"> </w:t>
      </w:r>
      <w:r>
        <w:rPr>
          <w:i/>
          <w:color w:val="454551"/>
          <w:sz w:val="18"/>
        </w:rPr>
        <w:t>servicios</w:t>
      </w:r>
      <w:r>
        <w:rPr>
          <w:i/>
          <w:color w:val="454551"/>
          <w:spacing w:val="-4"/>
          <w:sz w:val="18"/>
        </w:rPr>
        <w:t xml:space="preserve"> </w:t>
      </w:r>
      <w:r>
        <w:rPr>
          <w:i/>
          <w:color w:val="454551"/>
          <w:sz w:val="18"/>
        </w:rPr>
        <w:t>públicos</w:t>
      </w:r>
      <w:r>
        <w:rPr>
          <w:i/>
          <w:color w:val="454551"/>
          <w:spacing w:val="-4"/>
          <w:sz w:val="18"/>
        </w:rPr>
        <w:t xml:space="preserve"> </w:t>
      </w:r>
      <w:r>
        <w:rPr>
          <w:i/>
          <w:color w:val="454551"/>
          <w:sz w:val="18"/>
        </w:rPr>
        <w:t xml:space="preserve">por autorreconocimiento </w:t>
      </w:r>
      <w:r>
        <w:rPr>
          <w:i/>
          <w:color w:val="454551"/>
          <w:spacing w:val="-2"/>
          <w:sz w:val="18"/>
        </w:rPr>
        <w:t>étnico</w:t>
      </w:r>
    </w:p>
    <w:p w14:paraId="44BD3542" w14:textId="77777777" w:rsidR="000E52B0" w:rsidRDefault="000E52B0">
      <w:pPr>
        <w:pStyle w:val="Textoindependiente"/>
        <w:ind w:left="0"/>
        <w:rPr>
          <w:i/>
          <w:sz w:val="14"/>
        </w:rPr>
      </w:pPr>
    </w:p>
    <w:p w14:paraId="29B0FE38" w14:textId="77777777" w:rsidR="000E52B0" w:rsidRDefault="000E52B0">
      <w:pPr>
        <w:pStyle w:val="Textoindependiente"/>
        <w:ind w:left="0"/>
        <w:rPr>
          <w:i/>
          <w:sz w:val="14"/>
        </w:rPr>
      </w:pPr>
    </w:p>
    <w:p w14:paraId="06156AA3" w14:textId="77777777" w:rsidR="000E52B0" w:rsidRDefault="000E52B0">
      <w:pPr>
        <w:pStyle w:val="Textoindependiente"/>
        <w:ind w:left="0"/>
        <w:rPr>
          <w:i/>
          <w:sz w:val="14"/>
        </w:rPr>
      </w:pPr>
    </w:p>
    <w:p w14:paraId="7EA89CD8" w14:textId="77777777" w:rsidR="000E52B0" w:rsidRDefault="000E52B0">
      <w:pPr>
        <w:pStyle w:val="Textoindependiente"/>
        <w:ind w:left="0"/>
        <w:rPr>
          <w:i/>
          <w:sz w:val="14"/>
        </w:rPr>
      </w:pPr>
    </w:p>
    <w:p w14:paraId="2595FC10" w14:textId="11C675CA" w:rsidR="000E52B0" w:rsidRDefault="000E52B0">
      <w:pPr>
        <w:pStyle w:val="Textoindependiente"/>
        <w:ind w:left="0"/>
        <w:rPr>
          <w:i/>
          <w:sz w:val="14"/>
        </w:rPr>
      </w:pPr>
    </w:p>
    <w:p w14:paraId="05F3B361" w14:textId="77777777" w:rsidR="000E52B0" w:rsidRDefault="000E52B0">
      <w:pPr>
        <w:pStyle w:val="Textoindependiente"/>
        <w:ind w:left="0"/>
        <w:rPr>
          <w:i/>
          <w:sz w:val="14"/>
        </w:rPr>
      </w:pPr>
    </w:p>
    <w:p w14:paraId="7135413D" w14:textId="77777777" w:rsidR="000E52B0" w:rsidRDefault="000E52B0">
      <w:pPr>
        <w:pStyle w:val="Textoindependiente"/>
        <w:spacing w:before="9"/>
        <w:ind w:left="0"/>
        <w:rPr>
          <w:i/>
          <w:sz w:val="14"/>
        </w:rPr>
      </w:pPr>
    </w:p>
    <w:p w14:paraId="2314B96C" w14:textId="744B8F54" w:rsidR="000E52B0" w:rsidRDefault="00F60D74">
      <w:pPr>
        <w:spacing w:line="427" w:lineRule="auto"/>
        <w:ind w:left="7873" w:right="1680"/>
        <w:rPr>
          <w:rFonts w:ascii="Trebuchet MS" w:hAnsi="Trebuchet MS"/>
          <w:sz w:val="14"/>
        </w:rPr>
      </w:pPr>
      <w:r>
        <w:rPr>
          <w:rFonts w:ascii="Trebuchet MS" w:hAnsi="Trebuchet MS"/>
          <w:noProof/>
          <w:sz w:val="14"/>
        </w:rPr>
        <mc:AlternateContent>
          <mc:Choice Requires="wpg">
            <w:drawing>
              <wp:anchor distT="0" distB="0" distL="0" distR="0" simplePos="0" relativeHeight="15751680" behindDoc="0" locked="0" layoutInCell="1" allowOverlap="1" wp14:anchorId="20718508" wp14:editId="78004DF7">
                <wp:simplePos x="0" y="0"/>
                <wp:positionH relativeFrom="page">
                  <wp:posOffset>1054100</wp:posOffset>
                </wp:positionH>
                <wp:positionV relativeFrom="paragraph">
                  <wp:posOffset>-268312</wp:posOffset>
                </wp:positionV>
                <wp:extent cx="4210050" cy="114236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0050" cy="1142365"/>
                          <a:chOff x="0" y="0"/>
                          <a:chExt cx="4210050" cy="1142365"/>
                        </a:xfrm>
                      </wpg:grpSpPr>
                      <wps:wsp>
                        <wps:cNvPr id="106" name="Graphic 106"/>
                        <wps:cNvSpPr/>
                        <wps:spPr>
                          <a:xfrm>
                            <a:off x="165100" y="254507"/>
                            <a:ext cx="3307079" cy="883285"/>
                          </a:xfrm>
                          <a:custGeom>
                            <a:avLst/>
                            <a:gdLst/>
                            <a:ahLst/>
                            <a:cxnLst/>
                            <a:rect l="l" t="t" r="r" b="b"/>
                            <a:pathLst>
                              <a:path w="3307079" h="883285">
                                <a:moveTo>
                                  <a:pt x="149352" y="315468"/>
                                </a:moveTo>
                                <a:lnTo>
                                  <a:pt x="0" y="315468"/>
                                </a:lnTo>
                                <a:lnTo>
                                  <a:pt x="0" y="882777"/>
                                </a:lnTo>
                                <a:lnTo>
                                  <a:pt x="149352" y="882777"/>
                                </a:lnTo>
                                <a:lnTo>
                                  <a:pt x="149352" y="315468"/>
                                </a:lnTo>
                                <a:close/>
                              </a:path>
                              <a:path w="3307079" h="883285">
                                <a:moveTo>
                                  <a:pt x="1202436" y="577596"/>
                                </a:moveTo>
                                <a:lnTo>
                                  <a:pt x="1051560" y="577596"/>
                                </a:lnTo>
                                <a:lnTo>
                                  <a:pt x="1051560" y="882777"/>
                                </a:lnTo>
                                <a:lnTo>
                                  <a:pt x="1202436" y="882777"/>
                                </a:lnTo>
                                <a:lnTo>
                                  <a:pt x="1202436" y="577596"/>
                                </a:lnTo>
                                <a:close/>
                              </a:path>
                              <a:path w="3307079" h="883285">
                                <a:moveTo>
                                  <a:pt x="2253996" y="515112"/>
                                </a:moveTo>
                                <a:lnTo>
                                  <a:pt x="2104644" y="515112"/>
                                </a:lnTo>
                                <a:lnTo>
                                  <a:pt x="2104644" y="882777"/>
                                </a:lnTo>
                                <a:lnTo>
                                  <a:pt x="2253996" y="882777"/>
                                </a:lnTo>
                                <a:lnTo>
                                  <a:pt x="2253996" y="515112"/>
                                </a:lnTo>
                                <a:close/>
                              </a:path>
                              <a:path w="3307079" h="883285">
                                <a:moveTo>
                                  <a:pt x="3307080" y="0"/>
                                </a:moveTo>
                                <a:lnTo>
                                  <a:pt x="3156204" y="0"/>
                                </a:lnTo>
                                <a:lnTo>
                                  <a:pt x="3156204" y="882777"/>
                                </a:lnTo>
                                <a:lnTo>
                                  <a:pt x="3307080" y="882777"/>
                                </a:lnTo>
                                <a:lnTo>
                                  <a:pt x="3307080" y="0"/>
                                </a:lnTo>
                                <a:close/>
                              </a:path>
                            </a:pathLst>
                          </a:custGeom>
                          <a:solidFill>
                            <a:srgbClr val="B12070"/>
                          </a:solidFill>
                        </wps:spPr>
                        <wps:bodyPr wrap="square" lIns="0" tIns="0" rIns="0" bIns="0" rtlCol="0">
                          <a:prstTxWarp prst="textNoShape">
                            <a:avLst/>
                          </a:prstTxWarp>
                          <a:noAutofit/>
                        </wps:bodyPr>
                      </wps:wsp>
                      <wps:wsp>
                        <wps:cNvPr id="107" name="Graphic 107"/>
                        <wps:cNvSpPr/>
                        <wps:spPr>
                          <a:xfrm>
                            <a:off x="355600" y="0"/>
                            <a:ext cx="3307079" cy="1137285"/>
                          </a:xfrm>
                          <a:custGeom>
                            <a:avLst/>
                            <a:gdLst/>
                            <a:ahLst/>
                            <a:cxnLst/>
                            <a:rect l="l" t="t" r="r" b="b"/>
                            <a:pathLst>
                              <a:path w="3307079" h="1137285">
                                <a:moveTo>
                                  <a:pt x="150876" y="89916"/>
                                </a:moveTo>
                                <a:lnTo>
                                  <a:pt x="0" y="89916"/>
                                </a:lnTo>
                                <a:lnTo>
                                  <a:pt x="0" y="1137285"/>
                                </a:lnTo>
                                <a:lnTo>
                                  <a:pt x="150876" y="1137285"/>
                                </a:lnTo>
                                <a:lnTo>
                                  <a:pt x="150876" y="89916"/>
                                </a:lnTo>
                                <a:close/>
                              </a:path>
                              <a:path w="3307079" h="1137285">
                                <a:moveTo>
                                  <a:pt x="1202436" y="505968"/>
                                </a:moveTo>
                                <a:lnTo>
                                  <a:pt x="1053084" y="505968"/>
                                </a:lnTo>
                                <a:lnTo>
                                  <a:pt x="1053084" y="1137285"/>
                                </a:lnTo>
                                <a:lnTo>
                                  <a:pt x="1202436" y="1137285"/>
                                </a:lnTo>
                                <a:lnTo>
                                  <a:pt x="1202436" y="505968"/>
                                </a:lnTo>
                                <a:close/>
                              </a:path>
                              <a:path w="3307079" h="1137285">
                                <a:moveTo>
                                  <a:pt x="2255520" y="347472"/>
                                </a:moveTo>
                                <a:lnTo>
                                  <a:pt x="2104644" y="347472"/>
                                </a:lnTo>
                                <a:lnTo>
                                  <a:pt x="2104644" y="1137285"/>
                                </a:lnTo>
                                <a:lnTo>
                                  <a:pt x="2255520" y="1137285"/>
                                </a:lnTo>
                                <a:lnTo>
                                  <a:pt x="2255520" y="347472"/>
                                </a:lnTo>
                                <a:close/>
                              </a:path>
                              <a:path w="3307079" h="1137285">
                                <a:moveTo>
                                  <a:pt x="3307080" y="0"/>
                                </a:moveTo>
                                <a:lnTo>
                                  <a:pt x="3157728" y="0"/>
                                </a:lnTo>
                                <a:lnTo>
                                  <a:pt x="3157728" y="1137285"/>
                                </a:lnTo>
                                <a:lnTo>
                                  <a:pt x="3307080" y="1137285"/>
                                </a:lnTo>
                                <a:lnTo>
                                  <a:pt x="3307080" y="0"/>
                                </a:lnTo>
                                <a:close/>
                              </a:path>
                            </a:pathLst>
                          </a:custGeom>
                          <a:solidFill>
                            <a:srgbClr val="D32986"/>
                          </a:solidFill>
                        </wps:spPr>
                        <wps:bodyPr wrap="square" lIns="0" tIns="0" rIns="0" bIns="0" rtlCol="0">
                          <a:prstTxWarp prst="textNoShape">
                            <a:avLst/>
                          </a:prstTxWarp>
                          <a:noAutofit/>
                        </wps:bodyPr>
                      </wps:wsp>
                      <wps:wsp>
                        <wps:cNvPr id="108" name="Graphic 108"/>
                        <wps:cNvSpPr/>
                        <wps:spPr>
                          <a:xfrm>
                            <a:off x="546100" y="16763"/>
                            <a:ext cx="3308985" cy="1120775"/>
                          </a:xfrm>
                          <a:custGeom>
                            <a:avLst/>
                            <a:gdLst/>
                            <a:ahLst/>
                            <a:cxnLst/>
                            <a:rect l="l" t="t" r="r" b="b"/>
                            <a:pathLst>
                              <a:path w="3308985" h="1120775">
                                <a:moveTo>
                                  <a:pt x="150876" y="274320"/>
                                </a:moveTo>
                                <a:lnTo>
                                  <a:pt x="0" y="274320"/>
                                </a:lnTo>
                                <a:lnTo>
                                  <a:pt x="0" y="1120521"/>
                                </a:lnTo>
                                <a:lnTo>
                                  <a:pt x="150876" y="1120521"/>
                                </a:lnTo>
                                <a:lnTo>
                                  <a:pt x="150876" y="274320"/>
                                </a:lnTo>
                                <a:close/>
                              </a:path>
                              <a:path w="3308985" h="1120775">
                                <a:moveTo>
                                  <a:pt x="1202436" y="480060"/>
                                </a:moveTo>
                                <a:lnTo>
                                  <a:pt x="1053084" y="480060"/>
                                </a:lnTo>
                                <a:lnTo>
                                  <a:pt x="1053084" y="1120521"/>
                                </a:lnTo>
                                <a:lnTo>
                                  <a:pt x="1202436" y="1120521"/>
                                </a:lnTo>
                                <a:lnTo>
                                  <a:pt x="1202436" y="480060"/>
                                </a:lnTo>
                                <a:close/>
                              </a:path>
                              <a:path w="3308985" h="1120775">
                                <a:moveTo>
                                  <a:pt x="2255520" y="278892"/>
                                </a:moveTo>
                                <a:lnTo>
                                  <a:pt x="2104644" y="278892"/>
                                </a:lnTo>
                                <a:lnTo>
                                  <a:pt x="2104644" y="1120521"/>
                                </a:lnTo>
                                <a:lnTo>
                                  <a:pt x="2255520" y="1120521"/>
                                </a:lnTo>
                                <a:lnTo>
                                  <a:pt x="2255520" y="278892"/>
                                </a:lnTo>
                                <a:close/>
                              </a:path>
                              <a:path w="3308985" h="1120775">
                                <a:moveTo>
                                  <a:pt x="3308604" y="0"/>
                                </a:moveTo>
                                <a:lnTo>
                                  <a:pt x="3157728" y="0"/>
                                </a:lnTo>
                                <a:lnTo>
                                  <a:pt x="3157728" y="1120521"/>
                                </a:lnTo>
                                <a:lnTo>
                                  <a:pt x="3308604" y="1120521"/>
                                </a:lnTo>
                                <a:lnTo>
                                  <a:pt x="3308604" y="0"/>
                                </a:lnTo>
                                <a:close/>
                              </a:path>
                            </a:pathLst>
                          </a:custGeom>
                          <a:solidFill>
                            <a:srgbClr val="E76FA6"/>
                          </a:solidFill>
                        </wps:spPr>
                        <wps:bodyPr wrap="square" lIns="0" tIns="0" rIns="0" bIns="0" rtlCol="0">
                          <a:prstTxWarp prst="textNoShape">
                            <a:avLst/>
                          </a:prstTxWarp>
                          <a:noAutofit/>
                        </wps:bodyPr>
                      </wps:wsp>
                      <wps:wsp>
                        <wps:cNvPr id="109" name="Graphic 109"/>
                        <wps:cNvSpPr/>
                        <wps:spPr>
                          <a:xfrm>
                            <a:off x="738124" y="7619"/>
                            <a:ext cx="3307079" cy="1129665"/>
                          </a:xfrm>
                          <a:custGeom>
                            <a:avLst/>
                            <a:gdLst/>
                            <a:ahLst/>
                            <a:cxnLst/>
                            <a:rect l="l" t="t" r="r" b="b"/>
                            <a:pathLst>
                              <a:path w="3307079" h="1129665">
                                <a:moveTo>
                                  <a:pt x="149352" y="86868"/>
                                </a:moveTo>
                                <a:lnTo>
                                  <a:pt x="0" y="86868"/>
                                </a:lnTo>
                                <a:lnTo>
                                  <a:pt x="0" y="1129665"/>
                                </a:lnTo>
                                <a:lnTo>
                                  <a:pt x="149352" y="1129665"/>
                                </a:lnTo>
                                <a:lnTo>
                                  <a:pt x="149352" y="86868"/>
                                </a:lnTo>
                                <a:close/>
                              </a:path>
                              <a:path w="3307079" h="1129665">
                                <a:moveTo>
                                  <a:pt x="1202436" y="230124"/>
                                </a:moveTo>
                                <a:lnTo>
                                  <a:pt x="1051560" y="230124"/>
                                </a:lnTo>
                                <a:lnTo>
                                  <a:pt x="1051560" y="1129665"/>
                                </a:lnTo>
                                <a:lnTo>
                                  <a:pt x="1202436" y="1129665"/>
                                </a:lnTo>
                                <a:lnTo>
                                  <a:pt x="1202436" y="230124"/>
                                </a:lnTo>
                                <a:close/>
                              </a:path>
                              <a:path w="3307079" h="1129665">
                                <a:moveTo>
                                  <a:pt x="2253996" y="155448"/>
                                </a:moveTo>
                                <a:lnTo>
                                  <a:pt x="2104644" y="155448"/>
                                </a:lnTo>
                                <a:lnTo>
                                  <a:pt x="2104644" y="1129665"/>
                                </a:lnTo>
                                <a:lnTo>
                                  <a:pt x="2253996" y="1129665"/>
                                </a:lnTo>
                                <a:lnTo>
                                  <a:pt x="2253996" y="155448"/>
                                </a:lnTo>
                                <a:close/>
                              </a:path>
                              <a:path w="3307079" h="1129665">
                                <a:moveTo>
                                  <a:pt x="3307080" y="0"/>
                                </a:moveTo>
                                <a:lnTo>
                                  <a:pt x="3156204" y="0"/>
                                </a:lnTo>
                                <a:lnTo>
                                  <a:pt x="3156204" y="1129665"/>
                                </a:lnTo>
                                <a:lnTo>
                                  <a:pt x="3307080" y="1129665"/>
                                </a:lnTo>
                                <a:lnTo>
                                  <a:pt x="3307080" y="0"/>
                                </a:lnTo>
                                <a:close/>
                              </a:path>
                            </a:pathLst>
                          </a:custGeom>
                          <a:solidFill>
                            <a:srgbClr val="EEAFC8"/>
                          </a:solidFill>
                        </wps:spPr>
                        <wps:bodyPr wrap="square" lIns="0" tIns="0" rIns="0" bIns="0" rtlCol="0">
                          <a:prstTxWarp prst="textNoShape">
                            <a:avLst/>
                          </a:prstTxWarp>
                          <a:noAutofit/>
                        </wps:bodyPr>
                      </wps:wsp>
                      <wps:wsp>
                        <wps:cNvPr id="110" name="Graphic 110"/>
                        <wps:cNvSpPr/>
                        <wps:spPr>
                          <a:xfrm>
                            <a:off x="0" y="1137285"/>
                            <a:ext cx="4210050" cy="1270"/>
                          </a:xfrm>
                          <a:custGeom>
                            <a:avLst/>
                            <a:gdLst/>
                            <a:ahLst/>
                            <a:cxnLst/>
                            <a:rect l="l" t="t" r="r" b="b"/>
                            <a:pathLst>
                              <a:path w="4210050">
                                <a:moveTo>
                                  <a:pt x="0" y="0"/>
                                </a:moveTo>
                                <a:lnTo>
                                  <a:pt x="4209669" y="0"/>
                                </a:lnTo>
                              </a:path>
                            </a:pathLst>
                          </a:custGeom>
                          <a:ln w="9525">
                            <a:solidFill>
                              <a:srgbClr val="D9D9D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7E028B" id="Group 105" o:spid="_x0000_s1026" style="position:absolute;margin-left:83pt;margin-top:-21.15pt;width:331.5pt;height:89.95pt;z-index:15751680;mso-wrap-distance-left:0;mso-wrap-distance-right:0;mso-position-horizontal-relative:page;mso-width-relative:margin;mso-height-relative:margin" coordsize="42100,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">
                <v:shape id="Graphic 106" o:spid="_x0000_s1027" style="position:absolute;left:1651;top:2545;width:33070;height:8832;visibility:visible;mso-wrap-style:square;v-text-anchor:top" coordsize="3307079,88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" path="m149352,315468l,315468,,882777r149352,l149352,315468xem1202436,577596r-150876,l1051560,882777r150876,l1202436,577596xem2253996,515112r-149352,l2104644,882777r149352,l2253996,515112xem3307080,l3156204,r,882777l3307080,882777,3307080,xe" fillcolor="#b12070" stroked="f">
                  <v:path arrowok="t"/>
                </v:shape>
                <v:shape id="Graphic 107" o:spid="_x0000_s1028" style="position:absolute;left:3556;width:33070;height:11372;visibility:visible;mso-wrap-style:square;v-text-anchor:top" coordsize="3307079,113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" path="m150876,89916l,89916,,1137285r150876,l150876,89916xem1202436,505968r-149352,l1053084,1137285r149352,l1202436,505968xem2255520,347472r-150876,l2104644,1137285r150876,l2255520,347472xem3307080,l3157728,r,1137285l3307080,1137285,3307080,xe" fillcolor="#d32986" stroked="f">
                  <v:path arrowok="t"/>
                </v:shape>
                <v:shape id="Graphic 108" o:spid="_x0000_s1029" style="position:absolute;left:5461;top:167;width:33089;height:11208;visibility:visible;mso-wrap-style:square;v-text-anchor:top" coordsize="3308985,112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" path="m150876,274320l,274320r,846201l150876,1120521r,-846201xem1202436,480060r-149352,l1053084,1120521r149352,l1202436,480060xem2255520,278892r-150876,l2104644,1120521r150876,l2255520,278892xem3308604,l3157728,r,1120521l3308604,1120521,3308604,xe" fillcolor="#e76fa6" stroked="f">
                  <v:path arrowok="t"/>
                </v:shape>
                <v:shape id="Graphic 109" o:spid="_x0000_s1030" style="position:absolute;left:7381;top:76;width:33071;height:11296;visibility:visible;mso-wrap-style:square;v-text-anchor:top" coordsize="3307079,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" path="m149352,86868l,86868,,1129665r149352,l149352,86868xem1202436,230124r-150876,l1051560,1129665r150876,l1202436,230124xem2253996,155448r-149352,l2104644,1129665r149352,l2253996,155448xem3307080,l3156204,r,1129665l3307080,1129665,3307080,xe" fillcolor="#eeafc8" stroked="f">
                  <v:path arrowok="t"/>
                </v:shape>
                <v:shape id="Graphic 110" o:spid="_x0000_s1031" style="position:absolute;top:11372;width:42100;height:13;visibility:visible;mso-wrap-style:square;v-text-anchor:top" coordsize="4210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" path="m,l4209669,e" filled="f" strokecolor="#d9d9d9">
                  <v:path arrowok="t"/>
                </v:shape>
                <w10:wrap anchorx="page"/>
              </v:group>
            </w:pict>
          </mc:Fallback>
        </mc:AlternateContent>
      </w:r>
      <w:r>
        <w:rPr>
          <w:rFonts w:ascii="Trebuchet MS" w:hAnsi="Trebuchet MS"/>
          <w:noProof/>
          <w:sz w:val="14"/>
        </w:rPr>
        <mc:AlternateContent>
          <mc:Choice Requires="wps">
            <w:drawing>
              <wp:anchor distT="0" distB="0" distL="0" distR="0" simplePos="0" relativeHeight="15752192" behindDoc="0" locked="0" layoutInCell="1" allowOverlap="1" wp14:anchorId="059DF9BF" wp14:editId="1882D3A1">
                <wp:simplePos x="0" y="0"/>
                <wp:positionH relativeFrom="page">
                  <wp:posOffset>1211063</wp:posOffset>
                </wp:positionH>
                <wp:positionV relativeFrom="paragraph">
                  <wp:posOffset>-95499</wp:posOffset>
                </wp:positionV>
                <wp:extent cx="165100" cy="33528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335280"/>
                        </a:xfrm>
                        <a:prstGeom prst="rect">
                          <a:avLst/>
                        </a:prstGeom>
                      </wps:spPr>
                      <wps:txbx>
                        <w:txbxContent>
                          <w:p w14:paraId="62F139EB" w14:textId="77777777" w:rsidR="000E52B0" w:rsidRDefault="00F60D74">
                            <w:pPr>
                              <w:spacing w:before="20"/>
                              <w:ind w:left="20"/>
                              <w:rPr>
                                <w:rFonts w:ascii="Trebuchet MS"/>
                                <w:sz w:val="18"/>
                              </w:rPr>
                            </w:pPr>
                            <w:r>
                              <w:rPr>
                                <w:rFonts w:ascii="Trebuchet MS"/>
                                <w:color w:val="404040"/>
                                <w:spacing w:val="-2"/>
                                <w:w w:val="105"/>
                                <w:sz w:val="18"/>
                              </w:rPr>
                              <w:t>49,9%</w:t>
                            </w:r>
                          </w:p>
                        </w:txbxContent>
                      </wps:txbx>
                      <wps:bodyPr vert="vert270" wrap="square" lIns="0" tIns="0" rIns="0" bIns="0" rtlCol="0">
                        <a:noAutofit/>
                      </wps:bodyPr>
                    </wps:wsp>
                  </a:graphicData>
                </a:graphic>
              </wp:anchor>
            </w:drawing>
          </mc:Choice>
          <mc:Fallback>
            <w:pict>
              <v:shape w14:anchorId="059DF9BF" id="Textbox 111" o:spid="_x0000_s1079" type="#_x0000_t202" style="position:absolute;left:0;text-align:left;margin-left:95.35pt;margin-top:-7.5pt;width:13pt;height:26.4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" filled="f" stroked="f">
                <v:textbox style="layout-flow:vertical;mso-layout-flow-alt:bottom-to-top" inset="0,0,0,0">
                  <w:txbxContent>
                    <w:p w14:paraId="62F139EB" w14:textId="77777777" w:rsidR="000E52B0" w:rsidRDefault="00F60D74">
                      <w:pPr>
                        <w:spacing w:before="20"/>
                        <w:ind w:left="20"/>
                        <w:rPr>
                          <w:rFonts w:ascii="Trebuchet MS"/>
                          <w:sz w:val="18"/>
                        </w:rPr>
                      </w:pPr>
                      <w:r>
                        <w:rPr>
                          <w:rFonts w:ascii="Trebuchet MS"/>
                          <w:color w:val="404040"/>
                          <w:spacing w:val="-2"/>
                          <w:w w:val="105"/>
                          <w:sz w:val="18"/>
                        </w:rPr>
                        <w:t>49,9%</w:t>
                      </w:r>
                    </w:p>
                  </w:txbxContent>
                </v:textbox>
                <w10:wrap anchorx="page"/>
              </v:shape>
            </w:pict>
          </mc:Fallback>
        </mc:AlternateContent>
      </w:r>
      <w:r>
        <w:rPr>
          <w:rFonts w:ascii="Trebuchet MS" w:hAnsi="Trebuchet MS"/>
          <w:noProof/>
          <w:sz w:val="14"/>
        </w:rPr>
        <mc:AlternateContent>
          <mc:Choice Requires="wps">
            <w:drawing>
              <wp:anchor distT="0" distB="0" distL="0" distR="0" simplePos="0" relativeHeight="15752704" behindDoc="0" locked="0" layoutInCell="1" allowOverlap="1" wp14:anchorId="6DFD86A6" wp14:editId="3223933B">
                <wp:simplePos x="0" y="0"/>
                <wp:positionH relativeFrom="page">
                  <wp:posOffset>1402198</wp:posOffset>
                </wp:positionH>
                <wp:positionV relativeFrom="paragraph">
                  <wp:posOffset>-576829</wp:posOffset>
                </wp:positionV>
                <wp:extent cx="547370" cy="53784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370" cy="537845"/>
                        </a:xfrm>
                        <a:prstGeom prst="rect">
                          <a:avLst/>
                        </a:prstGeom>
                      </wps:spPr>
                      <wps:txbx>
                        <w:txbxContent>
                          <w:p w14:paraId="6CBF6973" w14:textId="77777777" w:rsidR="000E52B0" w:rsidRDefault="00F60D74">
                            <w:pPr>
                              <w:spacing w:before="20"/>
                              <w:ind w:left="338"/>
                              <w:rPr>
                                <w:rFonts w:ascii="Trebuchet MS"/>
                                <w:sz w:val="18"/>
                              </w:rPr>
                            </w:pPr>
                            <w:r>
                              <w:rPr>
                                <w:rFonts w:ascii="Trebuchet MS"/>
                                <w:color w:val="404040"/>
                                <w:spacing w:val="-2"/>
                                <w:w w:val="105"/>
                                <w:sz w:val="18"/>
                              </w:rPr>
                              <w:t>92,2%</w:t>
                            </w:r>
                          </w:p>
                          <w:p w14:paraId="063D4D94" w14:textId="77777777" w:rsidR="000E52B0" w:rsidRDefault="00F60D74">
                            <w:pPr>
                              <w:spacing w:before="91"/>
                              <w:ind w:left="20"/>
                              <w:rPr>
                                <w:rFonts w:ascii="Trebuchet MS"/>
                                <w:sz w:val="18"/>
                              </w:rPr>
                            </w:pPr>
                            <w:r>
                              <w:rPr>
                                <w:rFonts w:ascii="Trebuchet MS"/>
                                <w:color w:val="404040"/>
                                <w:spacing w:val="-2"/>
                                <w:w w:val="105"/>
                                <w:sz w:val="18"/>
                              </w:rPr>
                              <w:t>74,4%</w:t>
                            </w:r>
                          </w:p>
                          <w:p w14:paraId="78D5D059" w14:textId="77777777" w:rsidR="000E52B0" w:rsidRDefault="00F60D74">
                            <w:pPr>
                              <w:spacing w:before="92"/>
                              <w:ind w:left="331"/>
                              <w:rPr>
                                <w:rFonts w:ascii="Trebuchet MS"/>
                                <w:sz w:val="18"/>
                              </w:rPr>
                            </w:pPr>
                            <w:r>
                              <w:rPr>
                                <w:rFonts w:ascii="Trebuchet MS"/>
                                <w:color w:val="404040"/>
                                <w:spacing w:val="-2"/>
                                <w:w w:val="105"/>
                                <w:sz w:val="18"/>
                              </w:rPr>
                              <w:t>91,8%</w:t>
                            </w:r>
                          </w:p>
                        </w:txbxContent>
                      </wps:txbx>
                      <wps:bodyPr vert="vert270" wrap="square" lIns="0" tIns="0" rIns="0" bIns="0" rtlCol="0">
                        <a:noAutofit/>
                      </wps:bodyPr>
                    </wps:wsp>
                  </a:graphicData>
                </a:graphic>
              </wp:anchor>
            </w:drawing>
          </mc:Choice>
          <mc:Fallback>
            <w:pict>
              <v:shape w14:anchorId="6DFD86A6" id="Textbox 112" o:spid="_x0000_s1080" type="#_x0000_t202" style="position:absolute;left:0;text-align:left;margin-left:110.4pt;margin-top:-45.4pt;width:43.1pt;height:42.35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" filled="f" stroked="f">
                <v:textbox style="layout-flow:vertical;mso-layout-flow-alt:bottom-to-top" inset="0,0,0,0">
                  <w:txbxContent>
                    <w:p w14:paraId="6CBF6973" w14:textId="77777777" w:rsidR="000E52B0" w:rsidRDefault="00F60D74">
                      <w:pPr>
                        <w:spacing w:before="20"/>
                        <w:ind w:left="338"/>
                        <w:rPr>
                          <w:rFonts w:ascii="Trebuchet MS"/>
                          <w:sz w:val="18"/>
                        </w:rPr>
                      </w:pPr>
                      <w:r>
                        <w:rPr>
                          <w:rFonts w:ascii="Trebuchet MS"/>
                          <w:color w:val="404040"/>
                          <w:spacing w:val="-2"/>
                          <w:w w:val="105"/>
                          <w:sz w:val="18"/>
                        </w:rPr>
                        <w:t>92,2%</w:t>
                      </w:r>
                    </w:p>
                    <w:p w14:paraId="063D4D94" w14:textId="77777777" w:rsidR="000E52B0" w:rsidRDefault="00F60D74">
                      <w:pPr>
                        <w:spacing w:before="91"/>
                        <w:ind w:left="20"/>
                        <w:rPr>
                          <w:rFonts w:ascii="Trebuchet MS"/>
                          <w:sz w:val="18"/>
                        </w:rPr>
                      </w:pPr>
                      <w:r>
                        <w:rPr>
                          <w:rFonts w:ascii="Trebuchet MS"/>
                          <w:color w:val="404040"/>
                          <w:spacing w:val="-2"/>
                          <w:w w:val="105"/>
                          <w:sz w:val="18"/>
                        </w:rPr>
                        <w:t>74,4%</w:t>
                      </w:r>
                    </w:p>
                    <w:p w14:paraId="78D5D059" w14:textId="77777777" w:rsidR="000E52B0" w:rsidRDefault="00F60D74">
                      <w:pPr>
                        <w:spacing w:before="92"/>
                        <w:ind w:left="331"/>
                        <w:rPr>
                          <w:rFonts w:ascii="Trebuchet MS"/>
                          <w:sz w:val="18"/>
                        </w:rPr>
                      </w:pPr>
                      <w:r>
                        <w:rPr>
                          <w:rFonts w:ascii="Trebuchet MS"/>
                          <w:color w:val="404040"/>
                          <w:spacing w:val="-2"/>
                          <w:w w:val="105"/>
                          <w:sz w:val="18"/>
                        </w:rPr>
                        <w:t>91,8%</w:t>
                      </w:r>
                    </w:p>
                  </w:txbxContent>
                </v:textbox>
                <w10:wrap anchorx="page"/>
              </v:shape>
            </w:pict>
          </mc:Fallback>
        </mc:AlternateContent>
      </w:r>
      <w:r>
        <w:rPr>
          <w:rFonts w:ascii="Trebuchet MS" w:hAnsi="Trebuchet MS"/>
          <w:noProof/>
          <w:sz w:val="14"/>
        </w:rPr>
        <mc:AlternateContent>
          <mc:Choice Requires="wps">
            <w:drawing>
              <wp:anchor distT="0" distB="0" distL="0" distR="0" simplePos="0" relativeHeight="15753216" behindDoc="0" locked="0" layoutInCell="1" allowOverlap="1" wp14:anchorId="19D3FAE7" wp14:editId="744D39CB">
                <wp:simplePos x="0" y="0"/>
                <wp:positionH relativeFrom="page">
                  <wp:posOffset>2263766</wp:posOffset>
                </wp:positionH>
                <wp:positionV relativeFrom="paragraph">
                  <wp:posOffset>165612</wp:posOffset>
                </wp:positionV>
                <wp:extent cx="165100" cy="33528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335280"/>
                        </a:xfrm>
                        <a:prstGeom prst="rect">
                          <a:avLst/>
                        </a:prstGeom>
                      </wps:spPr>
                      <wps:txbx>
                        <w:txbxContent>
                          <w:p w14:paraId="45D01423" w14:textId="77777777" w:rsidR="000E52B0" w:rsidRDefault="00F60D74">
                            <w:pPr>
                              <w:spacing w:before="20"/>
                              <w:ind w:left="20"/>
                              <w:rPr>
                                <w:rFonts w:ascii="Trebuchet MS"/>
                                <w:sz w:val="18"/>
                              </w:rPr>
                            </w:pPr>
                            <w:r>
                              <w:rPr>
                                <w:rFonts w:ascii="Trebuchet MS"/>
                                <w:color w:val="404040"/>
                                <w:spacing w:val="-2"/>
                                <w:w w:val="105"/>
                                <w:sz w:val="18"/>
                              </w:rPr>
                              <w:t>26,9%</w:t>
                            </w:r>
                          </w:p>
                        </w:txbxContent>
                      </wps:txbx>
                      <wps:bodyPr vert="vert270" wrap="square" lIns="0" tIns="0" rIns="0" bIns="0" rtlCol="0">
                        <a:noAutofit/>
                      </wps:bodyPr>
                    </wps:wsp>
                  </a:graphicData>
                </a:graphic>
              </wp:anchor>
            </w:drawing>
          </mc:Choice>
          <mc:Fallback>
            <w:pict>
              <v:shape w14:anchorId="19D3FAE7" id="Textbox 113" o:spid="_x0000_s1081" type="#_x0000_t202" style="position:absolute;left:0;text-align:left;margin-left:178.25pt;margin-top:13.05pt;width:13pt;height:26.4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" filled="f" stroked="f">
                <v:textbox style="layout-flow:vertical;mso-layout-flow-alt:bottom-to-top" inset="0,0,0,0">
                  <w:txbxContent>
                    <w:p w14:paraId="45D01423" w14:textId="77777777" w:rsidR="000E52B0" w:rsidRDefault="00F60D74">
                      <w:pPr>
                        <w:spacing w:before="20"/>
                        <w:ind w:left="20"/>
                        <w:rPr>
                          <w:rFonts w:ascii="Trebuchet MS"/>
                          <w:sz w:val="18"/>
                        </w:rPr>
                      </w:pPr>
                      <w:r>
                        <w:rPr>
                          <w:rFonts w:ascii="Trebuchet MS"/>
                          <w:color w:val="404040"/>
                          <w:spacing w:val="-2"/>
                          <w:w w:val="105"/>
                          <w:sz w:val="18"/>
                        </w:rPr>
                        <w:t>26,9%</w:t>
                      </w:r>
                    </w:p>
                  </w:txbxContent>
                </v:textbox>
                <w10:wrap anchorx="page"/>
              </v:shape>
            </w:pict>
          </mc:Fallback>
        </mc:AlternateContent>
      </w:r>
      <w:r>
        <w:rPr>
          <w:rFonts w:ascii="Trebuchet MS" w:hAnsi="Trebuchet MS"/>
          <w:noProof/>
          <w:sz w:val="14"/>
        </w:rPr>
        <mc:AlternateContent>
          <mc:Choice Requires="wps">
            <w:drawing>
              <wp:anchor distT="0" distB="0" distL="0" distR="0" simplePos="0" relativeHeight="15753728" behindDoc="0" locked="0" layoutInCell="1" allowOverlap="1" wp14:anchorId="51AF24B2" wp14:editId="471F958F">
                <wp:simplePos x="0" y="0"/>
                <wp:positionH relativeFrom="page">
                  <wp:posOffset>2454647</wp:posOffset>
                </wp:positionH>
                <wp:positionV relativeFrom="paragraph">
                  <wp:posOffset>-428991</wp:posOffset>
                </wp:positionV>
                <wp:extent cx="547370" cy="60388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370" cy="603885"/>
                        </a:xfrm>
                        <a:prstGeom prst="rect">
                          <a:avLst/>
                        </a:prstGeom>
                      </wps:spPr>
                      <wps:txbx>
                        <w:txbxContent>
                          <w:p w14:paraId="7A183463" w14:textId="77777777" w:rsidR="000E52B0" w:rsidRDefault="00F60D74">
                            <w:pPr>
                              <w:spacing w:before="20"/>
                              <w:ind w:left="20"/>
                              <w:rPr>
                                <w:rFonts w:ascii="Trebuchet MS"/>
                                <w:sz w:val="18"/>
                              </w:rPr>
                            </w:pPr>
                            <w:r>
                              <w:rPr>
                                <w:rFonts w:ascii="Trebuchet MS"/>
                                <w:color w:val="404040"/>
                                <w:spacing w:val="-2"/>
                                <w:w w:val="105"/>
                                <w:sz w:val="18"/>
                              </w:rPr>
                              <w:t>55,5%</w:t>
                            </w:r>
                          </w:p>
                          <w:p w14:paraId="0D9EA929" w14:textId="77777777" w:rsidR="000E52B0" w:rsidRDefault="00F60D74">
                            <w:pPr>
                              <w:spacing w:before="92"/>
                              <w:ind w:left="33"/>
                              <w:rPr>
                                <w:rFonts w:ascii="Trebuchet MS"/>
                                <w:sz w:val="18"/>
                              </w:rPr>
                            </w:pPr>
                            <w:r>
                              <w:rPr>
                                <w:rFonts w:ascii="Trebuchet MS"/>
                                <w:color w:val="404040"/>
                                <w:spacing w:val="-2"/>
                                <w:w w:val="105"/>
                                <w:sz w:val="18"/>
                              </w:rPr>
                              <w:t>56,3%</w:t>
                            </w:r>
                          </w:p>
                          <w:p w14:paraId="1ACC52A7" w14:textId="77777777" w:rsidR="000E52B0" w:rsidRDefault="00F60D74">
                            <w:pPr>
                              <w:spacing w:before="91"/>
                              <w:ind w:left="442"/>
                              <w:rPr>
                                <w:rFonts w:ascii="Trebuchet MS"/>
                                <w:sz w:val="18"/>
                              </w:rPr>
                            </w:pPr>
                            <w:r>
                              <w:rPr>
                                <w:rFonts w:ascii="Trebuchet MS"/>
                                <w:color w:val="404040"/>
                                <w:spacing w:val="-2"/>
                                <w:w w:val="105"/>
                                <w:sz w:val="18"/>
                              </w:rPr>
                              <w:t>79,2%</w:t>
                            </w:r>
                          </w:p>
                        </w:txbxContent>
                      </wps:txbx>
                      <wps:bodyPr vert="vert270" wrap="square" lIns="0" tIns="0" rIns="0" bIns="0" rtlCol="0">
                        <a:noAutofit/>
                      </wps:bodyPr>
                    </wps:wsp>
                  </a:graphicData>
                </a:graphic>
              </wp:anchor>
            </w:drawing>
          </mc:Choice>
          <mc:Fallback>
            <w:pict>
              <v:shape w14:anchorId="51AF24B2" id="Textbox 114" o:spid="_x0000_s1082" type="#_x0000_t202" style="position:absolute;left:0;text-align:left;margin-left:193.3pt;margin-top:-33.8pt;width:43.1pt;height:47.55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" filled="f" stroked="f">
                <v:textbox style="layout-flow:vertical;mso-layout-flow-alt:bottom-to-top" inset="0,0,0,0">
                  <w:txbxContent>
                    <w:p w14:paraId="7A183463" w14:textId="77777777" w:rsidR="000E52B0" w:rsidRDefault="00F60D74">
                      <w:pPr>
                        <w:spacing w:before="20"/>
                        <w:ind w:left="20"/>
                        <w:rPr>
                          <w:rFonts w:ascii="Trebuchet MS"/>
                          <w:sz w:val="18"/>
                        </w:rPr>
                      </w:pPr>
                      <w:r>
                        <w:rPr>
                          <w:rFonts w:ascii="Trebuchet MS"/>
                          <w:color w:val="404040"/>
                          <w:spacing w:val="-2"/>
                          <w:w w:val="105"/>
                          <w:sz w:val="18"/>
                        </w:rPr>
                        <w:t>55,5%</w:t>
                      </w:r>
                    </w:p>
                    <w:p w14:paraId="0D9EA929" w14:textId="77777777" w:rsidR="000E52B0" w:rsidRDefault="00F60D74">
                      <w:pPr>
                        <w:spacing w:before="92"/>
                        <w:ind w:left="33"/>
                        <w:rPr>
                          <w:rFonts w:ascii="Trebuchet MS"/>
                          <w:sz w:val="18"/>
                        </w:rPr>
                      </w:pPr>
                      <w:r>
                        <w:rPr>
                          <w:rFonts w:ascii="Trebuchet MS"/>
                          <w:color w:val="404040"/>
                          <w:spacing w:val="-2"/>
                          <w:w w:val="105"/>
                          <w:sz w:val="18"/>
                        </w:rPr>
                        <w:t>56,3%</w:t>
                      </w:r>
                    </w:p>
                    <w:p w14:paraId="1ACC52A7" w14:textId="77777777" w:rsidR="000E52B0" w:rsidRDefault="00F60D74">
                      <w:pPr>
                        <w:spacing w:before="91"/>
                        <w:ind w:left="442"/>
                        <w:rPr>
                          <w:rFonts w:ascii="Trebuchet MS"/>
                          <w:sz w:val="18"/>
                        </w:rPr>
                      </w:pPr>
                      <w:r>
                        <w:rPr>
                          <w:rFonts w:ascii="Trebuchet MS"/>
                          <w:color w:val="404040"/>
                          <w:spacing w:val="-2"/>
                          <w:w w:val="105"/>
                          <w:sz w:val="18"/>
                        </w:rPr>
                        <w:t>79,2%</w:t>
                      </w:r>
                    </w:p>
                  </w:txbxContent>
                </v:textbox>
                <w10:wrap anchorx="page"/>
              </v:shape>
            </w:pict>
          </mc:Fallback>
        </mc:AlternateContent>
      </w:r>
      <w:r>
        <w:rPr>
          <w:rFonts w:ascii="Trebuchet MS" w:hAnsi="Trebuchet MS"/>
          <w:noProof/>
          <w:sz w:val="14"/>
        </w:rPr>
        <mc:AlternateContent>
          <mc:Choice Requires="wps">
            <w:drawing>
              <wp:anchor distT="0" distB="0" distL="0" distR="0" simplePos="0" relativeHeight="15754240" behindDoc="0" locked="0" layoutInCell="1" allowOverlap="1" wp14:anchorId="21B96113" wp14:editId="5FCDCC60">
                <wp:simplePos x="0" y="0"/>
                <wp:positionH relativeFrom="page">
                  <wp:posOffset>3316342</wp:posOffset>
                </wp:positionH>
                <wp:positionV relativeFrom="paragraph">
                  <wp:posOffset>103763</wp:posOffset>
                </wp:positionV>
                <wp:extent cx="165100" cy="33528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335280"/>
                        </a:xfrm>
                        <a:prstGeom prst="rect">
                          <a:avLst/>
                        </a:prstGeom>
                      </wps:spPr>
                      <wps:txbx>
                        <w:txbxContent>
                          <w:p w14:paraId="247E586A" w14:textId="77777777" w:rsidR="000E52B0" w:rsidRDefault="00F60D74">
                            <w:pPr>
                              <w:spacing w:before="20"/>
                              <w:ind w:left="20"/>
                              <w:rPr>
                                <w:rFonts w:ascii="Trebuchet MS"/>
                                <w:sz w:val="18"/>
                              </w:rPr>
                            </w:pPr>
                            <w:r>
                              <w:rPr>
                                <w:rFonts w:ascii="Trebuchet MS"/>
                                <w:color w:val="404040"/>
                                <w:spacing w:val="-2"/>
                                <w:w w:val="105"/>
                                <w:sz w:val="18"/>
                              </w:rPr>
                              <w:t>32,3%</w:t>
                            </w:r>
                          </w:p>
                        </w:txbxContent>
                      </wps:txbx>
                      <wps:bodyPr vert="vert270" wrap="square" lIns="0" tIns="0" rIns="0" bIns="0" rtlCol="0">
                        <a:noAutofit/>
                      </wps:bodyPr>
                    </wps:wsp>
                  </a:graphicData>
                </a:graphic>
              </wp:anchor>
            </w:drawing>
          </mc:Choice>
          <mc:Fallback>
            <w:pict>
              <v:shape w14:anchorId="21B96113" id="Textbox 115" o:spid="_x0000_s1083" type="#_x0000_t202" style="position:absolute;left:0;text-align:left;margin-left:261.15pt;margin-top:8.15pt;width:13pt;height:26.4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" filled="f" stroked="f">
                <v:textbox style="layout-flow:vertical;mso-layout-flow-alt:bottom-to-top" inset="0,0,0,0">
                  <w:txbxContent>
                    <w:p w14:paraId="247E586A" w14:textId="77777777" w:rsidR="000E52B0" w:rsidRDefault="00F60D74">
                      <w:pPr>
                        <w:spacing w:before="20"/>
                        <w:ind w:left="20"/>
                        <w:rPr>
                          <w:rFonts w:ascii="Trebuchet MS"/>
                          <w:sz w:val="18"/>
                        </w:rPr>
                      </w:pPr>
                      <w:r>
                        <w:rPr>
                          <w:rFonts w:ascii="Trebuchet MS"/>
                          <w:color w:val="404040"/>
                          <w:spacing w:val="-2"/>
                          <w:w w:val="105"/>
                          <w:sz w:val="18"/>
                        </w:rPr>
                        <w:t>32,3%</w:t>
                      </w:r>
                    </w:p>
                  </w:txbxContent>
                </v:textbox>
                <w10:wrap anchorx="page"/>
              </v:shape>
            </w:pict>
          </mc:Fallback>
        </mc:AlternateContent>
      </w:r>
      <w:r>
        <w:rPr>
          <w:rFonts w:ascii="Trebuchet MS" w:hAnsi="Trebuchet MS"/>
          <w:noProof/>
          <w:sz w:val="14"/>
        </w:rPr>
        <mc:AlternateContent>
          <mc:Choice Requires="wps">
            <w:drawing>
              <wp:anchor distT="0" distB="0" distL="0" distR="0" simplePos="0" relativeHeight="15754752" behindDoc="0" locked="0" layoutInCell="1" allowOverlap="1" wp14:anchorId="75265ABC" wp14:editId="5B73D2A9">
                <wp:simplePos x="0" y="0"/>
                <wp:positionH relativeFrom="page">
                  <wp:posOffset>3507350</wp:posOffset>
                </wp:positionH>
                <wp:positionV relativeFrom="paragraph">
                  <wp:posOffset>-502407</wp:posOffset>
                </wp:positionV>
                <wp:extent cx="547370" cy="51943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370" cy="519430"/>
                        </a:xfrm>
                        <a:prstGeom prst="rect">
                          <a:avLst/>
                        </a:prstGeom>
                      </wps:spPr>
                      <wps:txbx>
                        <w:txbxContent>
                          <w:p w14:paraId="4B928F0D" w14:textId="77777777" w:rsidR="000E52B0" w:rsidRDefault="00F60D74">
                            <w:pPr>
                              <w:spacing w:before="20"/>
                              <w:ind w:left="20"/>
                              <w:rPr>
                                <w:rFonts w:ascii="Trebuchet MS"/>
                                <w:sz w:val="18"/>
                              </w:rPr>
                            </w:pPr>
                            <w:r>
                              <w:rPr>
                                <w:rFonts w:ascii="Trebuchet MS"/>
                                <w:color w:val="404040"/>
                                <w:spacing w:val="-2"/>
                                <w:w w:val="105"/>
                                <w:sz w:val="18"/>
                              </w:rPr>
                              <w:t>69,4%</w:t>
                            </w:r>
                          </w:p>
                          <w:p w14:paraId="5086C362" w14:textId="77777777" w:rsidR="000E52B0" w:rsidRDefault="00F60D74">
                            <w:pPr>
                              <w:spacing w:before="91"/>
                              <w:ind w:left="103"/>
                              <w:rPr>
                                <w:rFonts w:ascii="Trebuchet MS"/>
                                <w:sz w:val="18"/>
                              </w:rPr>
                            </w:pPr>
                            <w:r>
                              <w:rPr>
                                <w:rFonts w:ascii="Trebuchet MS"/>
                                <w:color w:val="404040"/>
                                <w:spacing w:val="-2"/>
                                <w:w w:val="105"/>
                                <w:sz w:val="18"/>
                              </w:rPr>
                              <w:t>74,1%</w:t>
                            </w:r>
                          </w:p>
                          <w:p w14:paraId="5D026263" w14:textId="77777777" w:rsidR="000E52B0" w:rsidRDefault="00F60D74">
                            <w:pPr>
                              <w:spacing w:before="92"/>
                              <w:ind w:left="310"/>
                              <w:rPr>
                                <w:rFonts w:ascii="Trebuchet MS"/>
                                <w:sz w:val="18"/>
                              </w:rPr>
                            </w:pPr>
                            <w:r>
                              <w:rPr>
                                <w:rFonts w:ascii="Trebuchet MS"/>
                                <w:color w:val="404040"/>
                                <w:spacing w:val="-2"/>
                                <w:w w:val="105"/>
                                <w:sz w:val="18"/>
                              </w:rPr>
                              <w:t>85,7%</w:t>
                            </w:r>
                          </w:p>
                        </w:txbxContent>
                      </wps:txbx>
                      <wps:bodyPr vert="vert270" wrap="square" lIns="0" tIns="0" rIns="0" bIns="0" rtlCol="0">
                        <a:noAutofit/>
                      </wps:bodyPr>
                    </wps:wsp>
                  </a:graphicData>
                </a:graphic>
              </wp:anchor>
            </w:drawing>
          </mc:Choice>
          <mc:Fallback>
            <w:pict>
              <v:shape w14:anchorId="75265ABC" id="Textbox 116" o:spid="_x0000_s1084" type="#_x0000_t202" style="position:absolute;left:0;text-align:left;margin-left:276.15pt;margin-top:-39.55pt;width:43.1pt;height:40.9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" filled="f" stroked="f">
                <v:textbox style="layout-flow:vertical;mso-layout-flow-alt:bottom-to-top" inset="0,0,0,0">
                  <w:txbxContent>
                    <w:p w14:paraId="4B928F0D" w14:textId="77777777" w:rsidR="000E52B0" w:rsidRDefault="00F60D74">
                      <w:pPr>
                        <w:spacing w:before="20"/>
                        <w:ind w:left="20"/>
                        <w:rPr>
                          <w:rFonts w:ascii="Trebuchet MS"/>
                          <w:sz w:val="18"/>
                        </w:rPr>
                      </w:pPr>
                      <w:r>
                        <w:rPr>
                          <w:rFonts w:ascii="Trebuchet MS"/>
                          <w:color w:val="404040"/>
                          <w:spacing w:val="-2"/>
                          <w:w w:val="105"/>
                          <w:sz w:val="18"/>
                        </w:rPr>
                        <w:t>69,4%</w:t>
                      </w:r>
                    </w:p>
                    <w:p w14:paraId="5086C362" w14:textId="77777777" w:rsidR="000E52B0" w:rsidRDefault="00F60D74">
                      <w:pPr>
                        <w:spacing w:before="91"/>
                        <w:ind w:left="103"/>
                        <w:rPr>
                          <w:rFonts w:ascii="Trebuchet MS"/>
                          <w:sz w:val="18"/>
                        </w:rPr>
                      </w:pPr>
                      <w:r>
                        <w:rPr>
                          <w:rFonts w:ascii="Trebuchet MS"/>
                          <w:color w:val="404040"/>
                          <w:spacing w:val="-2"/>
                          <w:w w:val="105"/>
                          <w:sz w:val="18"/>
                        </w:rPr>
                        <w:t>74,1%</w:t>
                      </w:r>
                    </w:p>
                    <w:p w14:paraId="5D026263" w14:textId="77777777" w:rsidR="000E52B0" w:rsidRDefault="00F60D74">
                      <w:pPr>
                        <w:spacing w:before="92"/>
                        <w:ind w:left="310"/>
                        <w:rPr>
                          <w:rFonts w:ascii="Trebuchet MS"/>
                          <w:sz w:val="18"/>
                        </w:rPr>
                      </w:pPr>
                      <w:r>
                        <w:rPr>
                          <w:rFonts w:ascii="Trebuchet MS"/>
                          <w:color w:val="404040"/>
                          <w:spacing w:val="-2"/>
                          <w:w w:val="105"/>
                          <w:sz w:val="18"/>
                        </w:rPr>
                        <w:t>85,7%</w:t>
                      </w:r>
                    </w:p>
                  </w:txbxContent>
                </v:textbox>
                <w10:wrap anchorx="page"/>
              </v:shape>
            </w:pict>
          </mc:Fallback>
        </mc:AlternateContent>
      </w:r>
      <w:r>
        <w:rPr>
          <w:rFonts w:ascii="Trebuchet MS" w:hAnsi="Trebuchet MS"/>
          <w:noProof/>
          <w:sz w:val="14"/>
        </w:rPr>
        <mc:AlternateContent>
          <mc:Choice Requires="wps">
            <w:drawing>
              <wp:anchor distT="0" distB="0" distL="0" distR="0" simplePos="0" relativeHeight="15755264" behindDoc="0" locked="0" layoutInCell="1" allowOverlap="1" wp14:anchorId="05657AAF" wp14:editId="21204486">
                <wp:simplePos x="0" y="0"/>
                <wp:positionH relativeFrom="page">
                  <wp:posOffset>4369045</wp:posOffset>
                </wp:positionH>
                <wp:positionV relativeFrom="paragraph">
                  <wp:posOffset>-608259</wp:posOffset>
                </wp:positionV>
                <wp:extent cx="738505" cy="53149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8505" cy="531495"/>
                        </a:xfrm>
                        <a:prstGeom prst="rect">
                          <a:avLst/>
                        </a:prstGeom>
                      </wps:spPr>
                      <wps:txbx>
                        <w:txbxContent>
                          <w:p w14:paraId="7A5B73C0" w14:textId="77777777" w:rsidR="000E52B0" w:rsidRDefault="00F60D74">
                            <w:pPr>
                              <w:spacing w:before="20"/>
                              <w:ind w:left="20"/>
                              <w:rPr>
                                <w:rFonts w:ascii="Trebuchet MS"/>
                                <w:sz w:val="18"/>
                              </w:rPr>
                            </w:pPr>
                            <w:r>
                              <w:rPr>
                                <w:rFonts w:ascii="Trebuchet MS"/>
                                <w:color w:val="404040"/>
                                <w:spacing w:val="-2"/>
                                <w:w w:val="105"/>
                                <w:sz w:val="18"/>
                              </w:rPr>
                              <w:t>77,7%</w:t>
                            </w:r>
                          </w:p>
                          <w:p w14:paraId="21748B15" w14:textId="77777777" w:rsidR="000E52B0" w:rsidRDefault="00F60D74">
                            <w:pPr>
                              <w:spacing w:before="91"/>
                              <w:ind w:left="232"/>
                              <w:rPr>
                                <w:rFonts w:ascii="Trebuchet MS"/>
                                <w:sz w:val="18"/>
                              </w:rPr>
                            </w:pPr>
                            <w:r>
                              <w:rPr>
                                <w:rFonts w:ascii="Trebuchet MS"/>
                                <w:color w:val="404040"/>
                                <w:spacing w:val="-2"/>
                                <w:w w:val="105"/>
                                <w:sz w:val="18"/>
                              </w:rPr>
                              <w:t>100,0%</w:t>
                            </w:r>
                          </w:p>
                          <w:p w14:paraId="0F0861B3" w14:textId="77777777" w:rsidR="000E52B0" w:rsidRDefault="00F60D74">
                            <w:pPr>
                              <w:spacing w:before="92"/>
                              <w:ind w:left="328"/>
                              <w:rPr>
                                <w:rFonts w:ascii="Trebuchet MS"/>
                                <w:sz w:val="18"/>
                              </w:rPr>
                            </w:pPr>
                            <w:r>
                              <w:rPr>
                                <w:rFonts w:ascii="Trebuchet MS"/>
                                <w:color w:val="404040"/>
                                <w:spacing w:val="-2"/>
                                <w:w w:val="105"/>
                                <w:sz w:val="18"/>
                              </w:rPr>
                              <w:t>98,6%</w:t>
                            </w:r>
                          </w:p>
                          <w:p w14:paraId="4F98C4ED" w14:textId="77777777" w:rsidR="000E52B0" w:rsidRDefault="00F60D74">
                            <w:pPr>
                              <w:spacing w:before="92"/>
                              <w:ind w:left="328"/>
                              <w:rPr>
                                <w:rFonts w:ascii="Trebuchet MS"/>
                                <w:sz w:val="18"/>
                              </w:rPr>
                            </w:pPr>
                            <w:r>
                              <w:rPr>
                                <w:rFonts w:ascii="Trebuchet MS"/>
                                <w:color w:val="404040"/>
                                <w:spacing w:val="-2"/>
                                <w:w w:val="105"/>
                                <w:sz w:val="18"/>
                              </w:rPr>
                              <w:t>99,4%</w:t>
                            </w:r>
                          </w:p>
                        </w:txbxContent>
                      </wps:txbx>
                      <wps:bodyPr vert="vert270" wrap="square" lIns="0" tIns="0" rIns="0" bIns="0" rtlCol="0">
                        <a:noAutofit/>
                      </wps:bodyPr>
                    </wps:wsp>
                  </a:graphicData>
                </a:graphic>
              </wp:anchor>
            </w:drawing>
          </mc:Choice>
          <mc:Fallback>
            <w:pict>
              <v:shape w14:anchorId="05657AAF" id="Textbox 117" o:spid="_x0000_s1085" type="#_x0000_t202" style="position:absolute;left:0;text-align:left;margin-left:344pt;margin-top:-47.9pt;width:58.15pt;height:41.85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" filled="f" stroked="f">
                <v:textbox style="layout-flow:vertical;mso-layout-flow-alt:bottom-to-top" inset="0,0,0,0">
                  <w:txbxContent>
                    <w:p w14:paraId="7A5B73C0" w14:textId="77777777" w:rsidR="000E52B0" w:rsidRDefault="00F60D74">
                      <w:pPr>
                        <w:spacing w:before="20"/>
                        <w:ind w:left="20"/>
                        <w:rPr>
                          <w:rFonts w:ascii="Trebuchet MS"/>
                          <w:sz w:val="18"/>
                        </w:rPr>
                      </w:pPr>
                      <w:r>
                        <w:rPr>
                          <w:rFonts w:ascii="Trebuchet MS"/>
                          <w:color w:val="404040"/>
                          <w:spacing w:val="-2"/>
                          <w:w w:val="105"/>
                          <w:sz w:val="18"/>
                        </w:rPr>
                        <w:t>77,7%</w:t>
                      </w:r>
                    </w:p>
                    <w:p w14:paraId="21748B15" w14:textId="77777777" w:rsidR="000E52B0" w:rsidRDefault="00F60D74">
                      <w:pPr>
                        <w:spacing w:before="91"/>
                        <w:ind w:left="232"/>
                        <w:rPr>
                          <w:rFonts w:ascii="Trebuchet MS"/>
                          <w:sz w:val="18"/>
                        </w:rPr>
                      </w:pPr>
                      <w:r>
                        <w:rPr>
                          <w:rFonts w:ascii="Trebuchet MS"/>
                          <w:color w:val="404040"/>
                          <w:spacing w:val="-2"/>
                          <w:w w:val="105"/>
                          <w:sz w:val="18"/>
                        </w:rPr>
                        <w:t>100,0%</w:t>
                      </w:r>
                    </w:p>
                    <w:p w14:paraId="0F0861B3" w14:textId="77777777" w:rsidR="000E52B0" w:rsidRDefault="00F60D74">
                      <w:pPr>
                        <w:spacing w:before="92"/>
                        <w:ind w:left="328"/>
                        <w:rPr>
                          <w:rFonts w:ascii="Trebuchet MS"/>
                          <w:sz w:val="18"/>
                        </w:rPr>
                      </w:pPr>
                      <w:r>
                        <w:rPr>
                          <w:rFonts w:ascii="Trebuchet MS"/>
                          <w:color w:val="404040"/>
                          <w:spacing w:val="-2"/>
                          <w:w w:val="105"/>
                          <w:sz w:val="18"/>
                        </w:rPr>
                        <w:t>98,6%</w:t>
                      </w:r>
                    </w:p>
                    <w:p w14:paraId="4F98C4ED" w14:textId="77777777" w:rsidR="000E52B0" w:rsidRDefault="00F60D74">
                      <w:pPr>
                        <w:spacing w:before="92"/>
                        <w:ind w:left="328"/>
                        <w:rPr>
                          <w:rFonts w:ascii="Trebuchet MS"/>
                          <w:sz w:val="18"/>
                        </w:rPr>
                      </w:pPr>
                      <w:r>
                        <w:rPr>
                          <w:rFonts w:ascii="Trebuchet MS"/>
                          <w:color w:val="404040"/>
                          <w:spacing w:val="-2"/>
                          <w:w w:val="105"/>
                          <w:sz w:val="18"/>
                        </w:rPr>
                        <w:t>99,4%</w:t>
                      </w:r>
                    </w:p>
                  </w:txbxContent>
                </v:textbox>
                <w10:wrap anchorx="page"/>
              </v:shape>
            </w:pict>
          </mc:Fallback>
        </mc:AlternateContent>
      </w:r>
      <w:r>
        <w:rPr>
          <w:noProof/>
        </w:rPr>
        <w:drawing>
          <wp:inline distT="0" distB="0" distL="0" distR="0" wp14:anchorId="6DF17DF4" wp14:editId="6479D919">
            <wp:extent cx="48834" cy="48834"/>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56" cstate="print"/>
                    <a:stretch>
                      <a:fillRect/>
                    </a:stretch>
                  </pic:blipFill>
                  <pic:spPr>
                    <a:xfrm>
                      <a:off x="0" y="0"/>
                      <a:ext cx="48834" cy="48834"/>
                    </a:xfrm>
                    <a:prstGeom prst="rect">
                      <a:avLst/>
                    </a:prstGeom>
                  </pic:spPr>
                </pic:pic>
              </a:graphicData>
            </a:graphic>
          </wp:inline>
        </w:drawing>
      </w:r>
      <w:r>
        <w:rPr>
          <w:rFonts w:ascii="Times New Roman" w:hAnsi="Times New Roman"/>
          <w:spacing w:val="31"/>
          <w:sz w:val="20"/>
        </w:rPr>
        <w:t xml:space="preserve">  </w:t>
      </w:r>
      <w:r>
        <w:rPr>
          <w:rFonts w:ascii="Trebuchet MS" w:hAnsi="Trebuchet MS"/>
          <w:color w:val="585858"/>
          <w:sz w:val="14"/>
        </w:rPr>
        <w:t>Indígena</w:t>
      </w:r>
      <w:r>
        <w:rPr>
          <w:rFonts w:ascii="Trebuchet MS" w:hAnsi="Trebuchet MS"/>
          <w:color w:val="585858"/>
          <w:spacing w:val="80"/>
          <w:sz w:val="14"/>
        </w:rPr>
        <w:t xml:space="preserve"> </w:t>
      </w:r>
      <w:r>
        <w:rPr>
          <w:rFonts w:ascii="Trebuchet MS" w:hAnsi="Trebuchet MS"/>
          <w:noProof/>
          <w:color w:val="585858"/>
          <w:sz w:val="14"/>
        </w:rPr>
        <w:drawing>
          <wp:inline distT="0" distB="0" distL="0" distR="0" wp14:anchorId="318A7DCF" wp14:editId="29092CFE">
            <wp:extent cx="48834" cy="48834"/>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57" cstate="print"/>
                    <a:stretch>
                      <a:fillRect/>
                    </a:stretch>
                  </pic:blipFill>
                  <pic:spPr>
                    <a:xfrm>
                      <a:off x="0" y="0"/>
                      <a:ext cx="48834" cy="48834"/>
                    </a:xfrm>
                    <a:prstGeom prst="rect">
                      <a:avLst/>
                    </a:prstGeom>
                  </pic:spPr>
                </pic:pic>
              </a:graphicData>
            </a:graphic>
          </wp:inline>
        </w:drawing>
      </w:r>
      <w:r>
        <w:rPr>
          <w:rFonts w:ascii="Times New Roman" w:hAnsi="Times New Roman"/>
          <w:color w:val="585858"/>
          <w:spacing w:val="-9"/>
          <w:sz w:val="14"/>
        </w:rPr>
        <w:t xml:space="preserve"> </w:t>
      </w:r>
      <w:r>
        <w:rPr>
          <w:rFonts w:ascii="Trebuchet MS" w:hAnsi="Trebuchet MS"/>
          <w:color w:val="585858"/>
          <w:spacing w:val="-2"/>
          <w:sz w:val="14"/>
        </w:rPr>
        <w:t>Gitano</w:t>
      </w:r>
      <w:r>
        <w:rPr>
          <w:rFonts w:ascii="Trebuchet MS" w:hAnsi="Trebuchet MS"/>
          <w:color w:val="585858"/>
          <w:spacing w:val="-14"/>
          <w:sz w:val="14"/>
        </w:rPr>
        <w:t xml:space="preserve"> </w:t>
      </w:r>
      <w:r>
        <w:rPr>
          <w:rFonts w:ascii="Trebuchet MS" w:hAnsi="Trebuchet MS"/>
          <w:color w:val="585858"/>
          <w:spacing w:val="-2"/>
          <w:sz w:val="14"/>
        </w:rPr>
        <w:t>(Rom)</w:t>
      </w:r>
    </w:p>
    <w:p w14:paraId="6D1A2C3D" w14:textId="77777777" w:rsidR="000E52B0" w:rsidRDefault="00F60D74">
      <w:pPr>
        <w:spacing w:line="427" w:lineRule="auto"/>
        <w:ind w:left="7873" w:right="810"/>
        <w:rPr>
          <w:rFonts w:ascii="Trebuchet MS"/>
          <w:sz w:val="14"/>
        </w:rPr>
      </w:pPr>
      <w:r>
        <w:rPr>
          <w:noProof/>
        </w:rPr>
        <w:drawing>
          <wp:inline distT="0" distB="0" distL="0" distR="0" wp14:anchorId="600FC7FD" wp14:editId="58782C32">
            <wp:extent cx="48834" cy="48834"/>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58" cstate="print"/>
                    <a:stretch>
                      <a:fillRect/>
                    </a:stretch>
                  </pic:blipFill>
                  <pic:spPr>
                    <a:xfrm>
                      <a:off x="0" y="0"/>
                      <a:ext cx="48834" cy="48834"/>
                    </a:xfrm>
                    <a:prstGeom prst="rect">
                      <a:avLst/>
                    </a:prstGeom>
                  </pic:spPr>
                </pic:pic>
              </a:graphicData>
            </a:graphic>
          </wp:inline>
        </w:drawing>
      </w:r>
      <w:r>
        <w:rPr>
          <w:rFonts w:ascii="Times New Roman"/>
          <w:spacing w:val="-18"/>
          <w:sz w:val="20"/>
        </w:rPr>
        <w:t xml:space="preserve"> </w:t>
      </w:r>
      <w:r>
        <w:rPr>
          <w:rFonts w:ascii="Trebuchet MS"/>
          <w:color w:val="585858"/>
          <w:sz w:val="14"/>
        </w:rPr>
        <w:t>Pueblos</w:t>
      </w:r>
      <w:r>
        <w:rPr>
          <w:rFonts w:ascii="Trebuchet MS"/>
          <w:color w:val="585858"/>
          <w:spacing w:val="-14"/>
          <w:sz w:val="14"/>
        </w:rPr>
        <w:t xml:space="preserve"> </w:t>
      </w:r>
      <w:r>
        <w:rPr>
          <w:rFonts w:ascii="Trebuchet MS"/>
          <w:color w:val="585858"/>
          <w:sz w:val="14"/>
        </w:rPr>
        <w:t xml:space="preserve">afrodescendientes </w:t>
      </w:r>
      <w:r>
        <w:rPr>
          <w:rFonts w:ascii="Trebuchet MS"/>
          <w:noProof/>
          <w:color w:val="585858"/>
          <w:sz w:val="14"/>
        </w:rPr>
        <w:drawing>
          <wp:inline distT="0" distB="0" distL="0" distR="0" wp14:anchorId="15445A9A" wp14:editId="7A5470A7">
            <wp:extent cx="48834" cy="48834"/>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9" cstate="print"/>
                    <a:stretch>
                      <a:fillRect/>
                    </a:stretch>
                  </pic:blipFill>
                  <pic:spPr>
                    <a:xfrm>
                      <a:off x="0" y="0"/>
                      <a:ext cx="48834" cy="48834"/>
                    </a:xfrm>
                    <a:prstGeom prst="rect">
                      <a:avLst/>
                    </a:prstGeom>
                  </pic:spPr>
                </pic:pic>
              </a:graphicData>
            </a:graphic>
          </wp:inline>
        </w:drawing>
      </w:r>
      <w:r>
        <w:rPr>
          <w:rFonts w:ascii="Times New Roman"/>
          <w:color w:val="585858"/>
          <w:sz w:val="14"/>
        </w:rPr>
        <w:t xml:space="preserve"> </w:t>
      </w:r>
      <w:r>
        <w:rPr>
          <w:rFonts w:ascii="Trebuchet MS"/>
          <w:color w:val="585858"/>
          <w:sz w:val="14"/>
        </w:rPr>
        <w:t>Ninguno de los anteriores</w:t>
      </w:r>
    </w:p>
    <w:p w14:paraId="20200F5B" w14:textId="77777777" w:rsidR="000E52B0" w:rsidRDefault="000E52B0">
      <w:pPr>
        <w:pStyle w:val="Textoindependiente"/>
        <w:spacing w:before="3"/>
        <w:ind w:left="0"/>
        <w:rPr>
          <w:rFonts w:ascii="Trebuchet MS"/>
          <w:sz w:val="19"/>
        </w:rPr>
      </w:pPr>
    </w:p>
    <w:p w14:paraId="08F9DED1" w14:textId="77777777" w:rsidR="000E52B0" w:rsidRDefault="000E52B0">
      <w:pPr>
        <w:pStyle w:val="Textoindependiente"/>
        <w:rPr>
          <w:rFonts w:ascii="Trebuchet MS"/>
          <w:sz w:val="19"/>
        </w:rPr>
        <w:sectPr w:rsidR="000E52B0">
          <w:pgSz w:w="11910" w:h="16840"/>
          <w:pgMar w:top="1340" w:right="720" w:bottom="1180" w:left="720" w:header="0" w:footer="995" w:gutter="0"/>
          <w:cols w:space="720"/>
        </w:sectPr>
      </w:pPr>
    </w:p>
    <w:p w14:paraId="74E5B9B6" w14:textId="77777777" w:rsidR="000E52B0" w:rsidRDefault="00F60D74">
      <w:pPr>
        <w:tabs>
          <w:tab w:val="left" w:pos="2882"/>
          <w:tab w:val="left" w:pos="4483"/>
        </w:tabs>
        <w:spacing w:before="100"/>
        <w:ind w:left="1344"/>
        <w:rPr>
          <w:rFonts w:ascii="Trebuchet MS" w:hAnsi="Trebuchet MS"/>
          <w:sz w:val="18"/>
        </w:rPr>
      </w:pPr>
      <w:r>
        <w:rPr>
          <w:rFonts w:ascii="Trebuchet MS" w:hAnsi="Trebuchet MS"/>
          <w:color w:val="585858"/>
          <w:spacing w:val="-2"/>
          <w:sz w:val="18"/>
        </w:rPr>
        <w:t>Acueducto</w:t>
      </w:r>
      <w:r>
        <w:rPr>
          <w:rFonts w:ascii="Trebuchet MS" w:hAnsi="Trebuchet MS"/>
          <w:color w:val="585858"/>
          <w:sz w:val="18"/>
        </w:rPr>
        <w:tab/>
      </w:r>
      <w:r>
        <w:rPr>
          <w:rFonts w:ascii="Trebuchet MS" w:hAnsi="Trebuchet MS"/>
          <w:color w:val="585858"/>
          <w:spacing w:val="-2"/>
          <w:sz w:val="18"/>
        </w:rPr>
        <w:t>Alcantarillado</w:t>
      </w:r>
      <w:r>
        <w:rPr>
          <w:rFonts w:ascii="Trebuchet MS" w:hAnsi="Trebuchet MS"/>
          <w:color w:val="585858"/>
          <w:sz w:val="18"/>
        </w:rPr>
        <w:tab/>
      </w:r>
      <w:r>
        <w:rPr>
          <w:rFonts w:ascii="Trebuchet MS" w:hAnsi="Trebuchet MS"/>
          <w:color w:val="585858"/>
          <w:spacing w:val="-2"/>
          <w:sz w:val="18"/>
        </w:rPr>
        <w:t>Recolección</w:t>
      </w:r>
      <w:r>
        <w:rPr>
          <w:rFonts w:ascii="Trebuchet MS" w:hAnsi="Trebuchet MS"/>
          <w:color w:val="585858"/>
          <w:sz w:val="18"/>
        </w:rPr>
        <w:t xml:space="preserve"> </w:t>
      </w:r>
      <w:r>
        <w:rPr>
          <w:rFonts w:ascii="Trebuchet MS" w:hAnsi="Trebuchet MS"/>
          <w:color w:val="585858"/>
          <w:spacing w:val="-5"/>
          <w:sz w:val="18"/>
        </w:rPr>
        <w:t>de</w:t>
      </w:r>
    </w:p>
    <w:p w14:paraId="2C126764" w14:textId="77777777" w:rsidR="000E52B0" w:rsidRDefault="00F60D74">
      <w:pPr>
        <w:spacing w:before="11"/>
        <w:ind w:left="4766"/>
        <w:rPr>
          <w:rFonts w:ascii="Trebuchet MS"/>
          <w:sz w:val="18"/>
        </w:rPr>
      </w:pPr>
      <w:r>
        <w:rPr>
          <w:rFonts w:ascii="Trebuchet MS"/>
          <w:color w:val="585858"/>
          <w:spacing w:val="-2"/>
          <w:w w:val="105"/>
          <w:sz w:val="18"/>
        </w:rPr>
        <w:t>Basuras</w:t>
      </w:r>
    </w:p>
    <w:p w14:paraId="59152CEF" w14:textId="77777777" w:rsidR="000E52B0" w:rsidRDefault="00F60D74">
      <w:pPr>
        <w:spacing w:before="100"/>
        <w:ind w:left="368"/>
        <w:rPr>
          <w:rFonts w:ascii="Trebuchet MS" w:hAnsi="Trebuchet MS"/>
          <w:sz w:val="18"/>
        </w:rPr>
      </w:pPr>
      <w:r>
        <w:br w:type="column"/>
      </w:r>
      <w:r>
        <w:rPr>
          <w:rFonts w:ascii="Trebuchet MS" w:hAnsi="Trebuchet MS"/>
          <w:color w:val="585858"/>
          <w:spacing w:val="-5"/>
          <w:sz w:val="18"/>
        </w:rPr>
        <w:t>Energía</w:t>
      </w:r>
      <w:r>
        <w:rPr>
          <w:rFonts w:ascii="Trebuchet MS" w:hAnsi="Trebuchet MS"/>
          <w:color w:val="585858"/>
          <w:spacing w:val="-10"/>
          <w:sz w:val="18"/>
        </w:rPr>
        <w:t xml:space="preserve"> </w:t>
      </w:r>
      <w:r>
        <w:rPr>
          <w:rFonts w:ascii="Trebuchet MS" w:hAnsi="Trebuchet MS"/>
          <w:color w:val="585858"/>
          <w:spacing w:val="-2"/>
          <w:sz w:val="18"/>
        </w:rPr>
        <w:t>eléctrica</w:t>
      </w:r>
    </w:p>
    <w:p w14:paraId="1C69C337" w14:textId="77777777" w:rsidR="000E52B0" w:rsidRDefault="000E52B0">
      <w:pPr>
        <w:rPr>
          <w:rFonts w:ascii="Trebuchet MS" w:hAnsi="Trebuchet MS"/>
          <w:sz w:val="18"/>
        </w:rPr>
        <w:sectPr w:rsidR="000E52B0">
          <w:type w:val="continuous"/>
          <w:pgSz w:w="11910" w:h="16840"/>
          <w:pgMar w:top="1340" w:right="720" w:bottom="1280" w:left="720" w:header="0" w:footer="995" w:gutter="0"/>
          <w:cols w:num="2" w:space="720" w:equalWidth="0">
            <w:col w:w="5684" w:space="40"/>
            <w:col w:w="4746"/>
          </w:cols>
        </w:sectPr>
      </w:pPr>
    </w:p>
    <w:p w14:paraId="6E7582B1" w14:textId="77777777" w:rsidR="000E52B0" w:rsidRDefault="00F60D74">
      <w:pPr>
        <w:ind w:right="1"/>
        <w:jc w:val="center"/>
        <w:rPr>
          <w:i/>
          <w:sz w:val="18"/>
        </w:rPr>
      </w:pPr>
      <w:r>
        <w:rPr>
          <w:i/>
          <w:color w:val="454551"/>
          <w:sz w:val="18"/>
        </w:rPr>
        <w:t>Fuente</w:t>
      </w:r>
      <w:r>
        <w:rPr>
          <w:i/>
          <w:color w:val="454551"/>
          <w:spacing w:val="-3"/>
          <w:sz w:val="18"/>
        </w:rPr>
        <w:t xml:space="preserve"> </w:t>
      </w:r>
      <w:r>
        <w:rPr>
          <w:i/>
          <w:color w:val="454551"/>
          <w:sz w:val="18"/>
        </w:rPr>
        <w:t>8.</w:t>
      </w:r>
      <w:r>
        <w:rPr>
          <w:i/>
          <w:color w:val="454551"/>
          <w:spacing w:val="-4"/>
          <w:sz w:val="18"/>
        </w:rPr>
        <w:t xml:space="preserve"> </w:t>
      </w:r>
      <w:r>
        <w:rPr>
          <w:i/>
          <w:color w:val="454551"/>
          <w:sz w:val="18"/>
        </w:rPr>
        <w:t>Elaboración</w:t>
      </w:r>
      <w:r>
        <w:rPr>
          <w:i/>
          <w:color w:val="454551"/>
          <w:spacing w:val="-1"/>
          <w:sz w:val="18"/>
        </w:rPr>
        <w:t xml:space="preserve"> </w:t>
      </w:r>
      <w:r>
        <w:rPr>
          <w:i/>
          <w:color w:val="454551"/>
          <w:sz w:val="18"/>
        </w:rPr>
        <w:t>propia.</w:t>
      </w:r>
      <w:r>
        <w:rPr>
          <w:i/>
          <w:color w:val="454551"/>
          <w:spacing w:val="-4"/>
          <w:sz w:val="18"/>
        </w:rPr>
        <w:t xml:space="preserve"> </w:t>
      </w:r>
      <w:r>
        <w:rPr>
          <w:i/>
          <w:color w:val="454551"/>
          <w:sz w:val="18"/>
        </w:rPr>
        <w:t>Datos</w:t>
      </w:r>
      <w:r>
        <w:rPr>
          <w:i/>
          <w:color w:val="454551"/>
          <w:spacing w:val="-2"/>
          <w:sz w:val="18"/>
        </w:rPr>
        <w:t xml:space="preserve"> </w:t>
      </w:r>
      <w:r>
        <w:rPr>
          <w:i/>
          <w:color w:val="454551"/>
          <w:sz w:val="18"/>
        </w:rPr>
        <w:t>de</w:t>
      </w:r>
      <w:r>
        <w:rPr>
          <w:i/>
          <w:color w:val="454551"/>
          <w:spacing w:val="-3"/>
          <w:sz w:val="18"/>
        </w:rPr>
        <w:t xml:space="preserve"> </w:t>
      </w:r>
      <w:r>
        <w:rPr>
          <w:i/>
          <w:color w:val="454551"/>
          <w:sz w:val="18"/>
        </w:rPr>
        <w:t>ECV</w:t>
      </w:r>
      <w:r>
        <w:rPr>
          <w:i/>
          <w:color w:val="454551"/>
          <w:spacing w:val="-4"/>
          <w:sz w:val="18"/>
        </w:rPr>
        <w:t xml:space="preserve"> </w:t>
      </w:r>
      <w:r>
        <w:rPr>
          <w:i/>
          <w:color w:val="454551"/>
          <w:sz w:val="18"/>
        </w:rPr>
        <w:t>2022 -</w:t>
      </w:r>
      <w:r>
        <w:rPr>
          <w:i/>
          <w:color w:val="454551"/>
          <w:spacing w:val="-2"/>
          <w:sz w:val="18"/>
        </w:rPr>
        <w:t xml:space="preserve"> </w:t>
      </w:r>
      <w:r>
        <w:rPr>
          <w:i/>
          <w:color w:val="454551"/>
          <w:spacing w:val="-4"/>
          <w:sz w:val="18"/>
        </w:rPr>
        <w:t>DANE</w:t>
      </w:r>
    </w:p>
    <w:p w14:paraId="2D23AA2D" w14:textId="77777777" w:rsidR="000E52B0" w:rsidRDefault="00F60D74">
      <w:pPr>
        <w:pStyle w:val="Textoindependiente"/>
        <w:spacing w:before="201"/>
        <w:ind w:right="717"/>
        <w:jc w:val="both"/>
      </w:pPr>
      <w:r>
        <w:t>El país tiene una estructura de minifundio y latifundio (bipolar) y extremadamente desigual en la tenencia de la tierra.</w:t>
      </w:r>
      <w:r>
        <w:rPr>
          <w:spacing w:val="40"/>
        </w:rPr>
        <w:t xml:space="preserve"> </w:t>
      </w:r>
      <w:r>
        <w:t>El 1% de las explotaciones de mayor tamaño maneja el 80% de la tierra. El índice de Gini</w:t>
      </w:r>
      <w:r>
        <w:rPr>
          <w:spacing w:val="-2"/>
        </w:rPr>
        <w:t xml:space="preserve"> </w:t>
      </w:r>
      <w:r>
        <w:t>de tierras es</w:t>
      </w:r>
      <w:r>
        <w:rPr>
          <w:spacing w:val="-1"/>
        </w:rPr>
        <w:t xml:space="preserve"> </w:t>
      </w:r>
      <w:r>
        <w:t>de 0,89 lo que ubica</w:t>
      </w:r>
      <w:r>
        <w:rPr>
          <w:spacing w:val="-1"/>
        </w:rPr>
        <w:t xml:space="preserve"> </w:t>
      </w:r>
      <w:r>
        <w:t>a</w:t>
      </w:r>
      <w:r>
        <w:rPr>
          <w:spacing w:val="-1"/>
        </w:rPr>
        <w:t xml:space="preserve"> </w:t>
      </w:r>
      <w:r>
        <w:t>Colombia</w:t>
      </w:r>
      <w:r>
        <w:rPr>
          <w:spacing w:val="-1"/>
        </w:rPr>
        <w:t xml:space="preserve"> </w:t>
      </w:r>
      <w:r>
        <w:t>como el</w:t>
      </w:r>
      <w:r>
        <w:rPr>
          <w:spacing w:val="-2"/>
        </w:rPr>
        <w:t xml:space="preserve"> </w:t>
      </w:r>
      <w:r>
        <w:t>país</w:t>
      </w:r>
      <w:r>
        <w:rPr>
          <w:spacing w:val="-1"/>
        </w:rPr>
        <w:t xml:space="preserve"> </w:t>
      </w:r>
      <w:r>
        <w:t>con</w:t>
      </w:r>
      <w:r>
        <w:rPr>
          <w:spacing w:val="-1"/>
        </w:rPr>
        <w:t xml:space="preserve"> </w:t>
      </w:r>
      <w:r>
        <w:t>mayor concentración de tierras en América Latina y uno de los cinco más desiguales</w:t>
      </w:r>
      <w:r>
        <w:rPr>
          <w:spacing w:val="48"/>
          <w:w w:val="150"/>
        </w:rPr>
        <w:t xml:space="preserve"> </w:t>
      </w:r>
      <w:r>
        <w:t>del</w:t>
      </w:r>
      <w:r>
        <w:rPr>
          <w:spacing w:val="47"/>
          <w:w w:val="150"/>
        </w:rPr>
        <w:t xml:space="preserve"> </w:t>
      </w:r>
      <w:r>
        <w:t>mundo</w:t>
      </w:r>
      <w:hyperlink w:anchor="_bookmark19" w:history="1">
        <w:r w:rsidR="000E52B0">
          <w:rPr>
            <w:position w:val="8"/>
            <w:sz w:val="16"/>
          </w:rPr>
          <w:t>14</w:t>
        </w:r>
      </w:hyperlink>
      <w:r>
        <w:t>.</w:t>
      </w:r>
      <w:r>
        <w:rPr>
          <w:spacing w:val="47"/>
          <w:w w:val="150"/>
        </w:rPr>
        <w:t xml:space="preserve"> </w:t>
      </w:r>
      <w:r>
        <w:t>De</w:t>
      </w:r>
      <w:r>
        <w:rPr>
          <w:spacing w:val="49"/>
          <w:w w:val="150"/>
        </w:rPr>
        <w:t xml:space="preserve"> </w:t>
      </w:r>
      <w:r>
        <w:t>acuerdo</w:t>
      </w:r>
      <w:r>
        <w:rPr>
          <w:spacing w:val="46"/>
          <w:w w:val="150"/>
        </w:rPr>
        <w:t xml:space="preserve"> </w:t>
      </w:r>
      <w:r>
        <w:t>con</w:t>
      </w:r>
      <w:r>
        <w:rPr>
          <w:spacing w:val="48"/>
          <w:w w:val="150"/>
        </w:rPr>
        <w:t xml:space="preserve"> </w:t>
      </w:r>
      <w:r>
        <w:t>los</w:t>
      </w:r>
      <w:r>
        <w:rPr>
          <w:spacing w:val="48"/>
          <w:w w:val="150"/>
        </w:rPr>
        <w:t xml:space="preserve"> </w:t>
      </w:r>
      <w:r>
        <w:t>datos</w:t>
      </w:r>
      <w:r>
        <w:rPr>
          <w:spacing w:val="48"/>
          <w:w w:val="150"/>
        </w:rPr>
        <w:t xml:space="preserve"> </w:t>
      </w:r>
      <w:r>
        <w:t>del</w:t>
      </w:r>
      <w:r>
        <w:rPr>
          <w:spacing w:val="47"/>
          <w:w w:val="150"/>
        </w:rPr>
        <w:t xml:space="preserve"> </w:t>
      </w:r>
      <w:r>
        <w:t>último</w:t>
      </w:r>
      <w:r>
        <w:rPr>
          <w:spacing w:val="49"/>
          <w:w w:val="150"/>
        </w:rPr>
        <w:t xml:space="preserve"> </w:t>
      </w:r>
      <w:r>
        <w:rPr>
          <w:spacing w:val="-2"/>
        </w:rPr>
        <w:t>censo</w:t>
      </w:r>
    </w:p>
    <w:p w14:paraId="73508B9C" w14:textId="77777777" w:rsidR="000E52B0" w:rsidRDefault="000E52B0">
      <w:pPr>
        <w:pStyle w:val="Textoindependiente"/>
        <w:ind w:left="0"/>
        <w:rPr>
          <w:sz w:val="20"/>
        </w:rPr>
      </w:pPr>
    </w:p>
    <w:p w14:paraId="7408D395" w14:textId="77777777" w:rsidR="000E52B0" w:rsidRDefault="00F60D74">
      <w:pPr>
        <w:pStyle w:val="Textoindependiente"/>
        <w:spacing w:before="95"/>
        <w:ind w:left="0"/>
        <w:rPr>
          <w:sz w:val="20"/>
        </w:rPr>
      </w:pPr>
      <w:r>
        <w:rPr>
          <w:noProof/>
          <w:sz w:val="20"/>
        </w:rPr>
        <mc:AlternateContent>
          <mc:Choice Requires="wps">
            <w:drawing>
              <wp:anchor distT="0" distB="0" distL="0" distR="0" simplePos="0" relativeHeight="487610368" behindDoc="1" locked="0" layoutInCell="1" allowOverlap="1" wp14:anchorId="1472A50A" wp14:editId="0D32398B">
                <wp:simplePos x="0" y="0"/>
                <wp:positionH relativeFrom="page">
                  <wp:posOffset>914704</wp:posOffset>
                </wp:positionH>
                <wp:positionV relativeFrom="paragraph">
                  <wp:posOffset>230534</wp:posOffset>
                </wp:positionV>
                <wp:extent cx="1829435" cy="762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6FEA90" id="Graphic 122" o:spid="_x0000_s1026" style="position:absolute;margin-left:1in;margin-top:18.15pt;width:144.05pt;height:.6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" path="m1829054,l,,,7619r1829054,l1829054,xe" fillcolor="black" stroked="f">
                <v:path arrowok="t"/>
                <w10:wrap type="topAndBottom" anchorx="page"/>
              </v:shape>
            </w:pict>
          </mc:Fallback>
        </mc:AlternateContent>
      </w:r>
    </w:p>
    <w:p w14:paraId="11A9FB56" w14:textId="77777777" w:rsidR="000E52B0" w:rsidRDefault="00F60D74">
      <w:pPr>
        <w:spacing w:before="96" w:line="209" w:lineRule="exact"/>
        <w:ind w:left="720"/>
        <w:jc w:val="both"/>
        <w:rPr>
          <w:rFonts w:ascii="Arial MT"/>
          <w:sz w:val="18"/>
        </w:rPr>
      </w:pPr>
      <w:bookmarkStart w:id="18" w:name="_bookmark18"/>
      <w:bookmarkEnd w:id="18"/>
      <w:r>
        <w:rPr>
          <w:rFonts w:ascii="Arial MT"/>
          <w:spacing w:val="-2"/>
          <w:position w:val="6"/>
          <w:sz w:val="12"/>
        </w:rPr>
        <w:t>13</w:t>
      </w:r>
      <w:r>
        <w:rPr>
          <w:rFonts w:ascii="Arial MT"/>
          <w:spacing w:val="40"/>
          <w:position w:val="6"/>
          <w:sz w:val="12"/>
        </w:rPr>
        <w:t xml:space="preserve">  </w:t>
      </w:r>
      <w:bookmarkStart w:id="19" w:name="_bookmark19"/>
      <w:bookmarkEnd w:id="19"/>
      <w:r>
        <w:fldChar w:fldCharType="begin"/>
      </w:r>
      <w:r>
        <w:instrText>HYPERLINK "https://www.dane.gov.co/files/operaciones/GEIH/bol-GEIHMLPC-ene-mar2024.pdf" \h</w:instrText>
      </w:r>
      <w:r>
        <w:fldChar w:fldCharType="separate"/>
      </w:r>
      <w:r>
        <w:rPr>
          <w:rFonts w:ascii="Arial MT"/>
          <w:color w:val="E22C91"/>
          <w:spacing w:val="-2"/>
          <w:sz w:val="18"/>
          <w:u w:val="single" w:color="E22C91"/>
        </w:rPr>
        <w:t>https://www.dane.gov.co/files/operaciones/GEIH/bol-GEIHMLPC-ene-mar2024.pdf</w:t>
      </w:r>
      <w:r>
        <w:fldChar w:fldCharType="end"/>
      </w:r>
    </w:p>
    <w:p w14:paraId="411BBDA0" w14:textId="77777777" w:rsidR="000E52B0" w:rsidRDefault="00F60D74">
      <w:pPr>
        <w:tabs>
          <w:tab w:val="left" w:pos="1547"/>
          <w:tab w:val="left" w:pos="2641"/>
          <w:tab w:val="left" w:pos="3526"/>
          <w:tab w:val="left" w:pos="5026"/>
          <w:tab w:val="left" w:pos="6164"/>
          <w:tab w:val="left" w:pos="7179"/>
        </w:tabs>
        <w:ind w:left="720" w:right="710"/>
        <w:jc w:val="both"/>
        <w:rPr>
          <w:rFonts w:ascii="Arial MT" w:hAnsi="Arial MT"/>
          <w:sz w:val="18"/>
        </w:rPr>
      </w:pPr>
      <w:r>
        <w:rPr>
          <w:rFonts w:ascii="Arial MT" w:hAnsi="Arial MT"/>
          <w:position w:val="6"/>
          <w:sz w:val="12"/>
        </w:rPr>
        <w:t>14</w:t>
      </w:r>
      <w:r>
        <w:rPr>
          <w:rFonts w:ascii="Arial MT" w:hAnsi="Arial MT"/>
          <w:spacing w:val="20"/>
          <w:position w:val="6"/>
          <w:sz w:val="12"/>
        </w:rPr>
        <w:t xml:space="preserve"> </w:t>
      </w:r>
      <w:r>
        <w:rPr>
          <w:rFonts w:ascii="Arial MT" w:hAnsi="Arial MT"/>
          <w:sz w:val="18"/>
        </w:rPr>
        <w:t xml:space="preserve">OXFAM. Radiografía de la desigualdad. Lo que nos dice el último censo agropecuario sobre la distribución de </w:t>
      </w:r>
      <w:r>
        <w:rPr>
          <w:rFonts w:ascii="Arial MT" w:hAnsi="Arial MT"/>
          <w:spacing w:val="-6"/>
          <w:sz w:val="18"/>
        </w:rPr>
        <w:t>la</w:t>
      </w:r>
      <w:r>
        <w:rPr>
          <w:rFonts w:ascii="Arial MT" w:hAnsi="Arial MT"/>
          <w:sz w:val="18"/>
        </w:rPr>
        <w:tab/>
      </w:r>
      <w:r>
        <w:rPr>
          <w:rFonts w:ascii="Arial MT" w:hAnsi="Arial MT"/>
          <w:spacing w:val="-2"/>
          <w:sz w:val="18"/>
        </w:rPr>
        <w:t>tierra</w:t>
      </w:r>
      <w:r>
        <w:rPr>
          <w:rFonts w:ascii="Arial MT" w:hAnsi="Arial MT"/>
          <w:sz w:val="18"/>
        </w:rPr>
        <w:tab/>
      </w:r>
      <w:r>
        <w:rPr>
          <w:rFonts w:ascii="Arial MT" w:hAnsi="Arial MT"/>
          <w:spacing w:val="-6"/>
          <w:sz w:val="18"/>
        </w:rPr>
        <w:t>en</w:t>
      </w:r>
      <w:r>
        <w:rPr>
          <w:rFonts w:ascii="Arial MT" w:hAnsi="Arial MT"/>
          <w:sz w:val="18"/>
        </w:rPr>
        <w:tab/>
      </w:r>
      <w:r>
        <w:rPr>
          <w:rFonts w:ascii="Arial MT" w:hAnsi="Arial MT"/>
          <w:spacing w:val="-2"/>
          <w:sz w:val="18"/>
        </w:rPr>
        <w:t>Colombia.</w:t>
      </w:r>
      <w:r>
        <w:rPr>
          <w:rFonts w:ascii="Arial MT" w:hAnsi="Arial MT"/>
          <w:sz w:val="18"/>
        </w:rPr>
        <w:tab/>
      </w:r>
      <w:r>
        <w:rPr>
          <w:rFonts w:ascii="Arial MT" w:hAnsi="Arial MT"/>
          <w:spacing w:val="-4"/>
          <w:sz w:val="18"/>
        </w:rPr>
        <w:t>2017.</w:t>
      </w:r>
      <w:r>
        <w:rPr>
          <w:rFonts w:ascii="Arial MT" w:hAnsi="Arial MT"/>
          <w:sz w:val="18"/>
        </w:rPr>
        <w:tab/>
      </w:r>
      <w:r>
        <w:rPr>
          <w:rFonts w:ascii="Arial MT" w:hAnsi="Arial MT"/>
          <w:spacing w:val="-4"/>
          <w:sz w:val="18"/>
        </w:rPr>
        <w:t>Ver:</w:t>
      </w:r>
      <w:r>
        <w:rPr>
          <w:rFonts w:ascii="Arial MT" w:hAnsi="Arial MT"/>
          <w:sz w:val="18"/>
        </w:rPr>
        <w:tab/>
      </w:r>
      <w:hyperlink r:id="rId60">
        <w:r w:rsidR="000E52B0">
          <w:rPr>
            <w:rFonts w:ascii="Arial MT" w:hAnsi="Arial MT"/>
            <w:color w:val="E22C91"/>
            <w:spacing w:val="-2"/>
            <w:sz w:val="18"/>
            <w:u w:val="single" w:color="E22C91"/>
          </w:rPr>
          <w:t>https://www-cdn.oxfam.org/s3fs-</w:t>
        </w:r>
      </w:hyperlink>
      <w:r>
        <w:rPr>
          <w:rFonts w:ascii="Arial MT" w:hAnsi="Arial MT"/>
          <w:color w:val="E22C91"/>
          <w:spacing w:val="-2"/>
          <w:sz w:val="18"/>
        </w:rPr>
        <w:t xml:space="preserve"> </w:t>
      </w:r>
      <w:hyperlink r:id="rId61">
        <w:proofErr w:type="spellStart"/>
        <w:r w:rsidR="000E52B0">
          <w:rPr>
            <w:rFonts w:ascii="Arial MT" w:hAnsi="Arial MT"/>
            <w:color w:val="E22C91"/>
            <w:spacing w:val="-2"/>
            <w:sz w:val="18"/>
            <w:u w:val="single" w:color="E22C91"/>
          </w:rPr>
          <w:t>public</w:t>
        </w:r>
        <w:proofErr w:type="spellEnd"/>
        <w:r w:rsidR="000E52B0">
          <w:rPr>
            <w:rFonts w:ascii="Arial MT" w:hAnsi="Arial MT"/>
            <w:color w:val="E22C91"/>
            <w:spacing w:val="-2"/>
            <w:sz w:val="18"/>
            <w:u w:val="single" w:color="E22C91"/>
          </w:rPr>
          <w:t>/</w:t>
        </w:r>
        <w:proofErr w:type="spellStart"/>
        <w:r w:rsidR="000E52B0">
          <w:rPr>
            <w:rFonts w:ascii="Arial MT" w:hAnsi="Arial MT"/>
            <w:color w:val="E22C91"/>
            <w:spacing w:val="-2"/>
            <w:sz w:val="18"/>
            <w:u w:val="single" w:color="E22C91"/>
          </w:rPr>
          <w:t>file_attachments</w:t>
        </w:r>
        <w:proofErr w:type="spellEnd"/>
        <w:r w:rsidR="000E52B0">
          <w:rPr>
            <w:rFonts w:ascii="Arial MT" w:hAnsi="Arial MT"/>
            <w:color w:val="E22C91"/>
            <w:spacing w:val="-2"/>
            <w:sz w:val="18"/>
            <w:u w:val="single" w:color="E22C91"/>
          </w:rPr>
          <w:t>/radiografia_de_la_desigualdad.pdf</w:t>
        </w:r>
      </w:hyperlink>
    </w:p>
    <w:p w14:paraId="6046837B" w14:textId="77777777" w:rsidR="000E52B0" w:rsidRDefault="000E52B0">
      <w:pPr>
        <w:jc w:val="both"/>
        <w:rPr>
          <w:rFonts w:ascii="Arial MT" w:hAnsi="Arial MT"/>
          <w:sz w:val="18"/>
        </w:rPr>
        <w:sectPr w:rsidR="000E52B0">
          <w:type w:val="continuous"/>
          <w:pgSz w:w="11910" w:h="16840"/>
          <w:pgMar w:top="1340" w:right="720" w:bottom="1280" w:left="720" w:header="0" w:footer="995" w:gutter="0"/>
          <w:cols w:space="720"/>
        </w:sectPr>
      </w:pPr>
    </w:p>
    <w:p w14:paraId="0C2EF628" w14:textId="77777777" w:rsidR="000E52B0" w:rsidRDefault="00F60D74">
      <w:pPr>
        <w:pStyle w:val="Textoindependiente"/>
        <w:spacing w:before="83"/>
        <w:ind w:right="724"/>
        <w:jc w:val="both"/>
      </w:pPr>
      <w:r>
        <w:lastRenderedPageBreak/>
        <w:t>agropecuario las unidades de producción agropecuaria (UPAS) de menos de 10 has representan el 81% del total de las explotaciones (1.658.450).</w:t>
      </w:r>
    </w:p>
    <w:p w14:paraId="00A6024D" w14:textId="77777777" w:rsidR="000E52B0" w:rsidRDefault="00F60D74">
      <w:pPr>
        <w:pStyle w:val="Textoindependiente"/>
        <w:spacing w:before="158"/>
        <w:ind w:right="716"/>
        <w:jc w:val="both"/>
      </w:pPr>
      <w:r>
        <w:t>De acuerdo con la información del CNPV</w:t>
      </w:r>
      <w:hyperlink w:anchor="_bookmark20" w:history="1">
        <w:r w:rsidR="000E52B0">
          <w:rPr>
            <w:position w:val="8"/>
            <w:sz w:val="16"/>
          </w:rPr>
          <w:t>15</w:t>
        </w:r>
      </w:hyperlink>
      <w:r>
        <w:t>, el 34% de las mujeres con jefatura de hogar tiene tres o más personas que dependen de ella. Esta cifra contrasta con el 29% de los hogares con un hombre como jefe de hogar</w:t>
      </w:r>
      <w:r>
        <w:rPr>
          <w:spacing w:val="-21"/>
        </w:rPr>
        <w:t xml:space="preserve"> </w:t>
      </w:r>
      <w:r>
        <w:t>que</w:t>
      </w:r>
      <w:r>
        <w:rPr>
          <w:spacing w:val="-20"/>
        </w:rPr>
        <w:t xml:space="preserve"> </w:t>
      </w:r>
      <w:r>
        <w:t>tienen</w:t>
      </w:r>
      <w:r>
        <w:rPr>
          <w:spacing w:val="-22"/>
        </w:rPr>
        <w:t xml:space="preserve"> </w:t>
      </w:r>
      <w:r>
        <w:t>tres</w:t>
      </w:r>
      <w:r>
        <w:rPr>
          <w:spacing w:val="-21"/>
        </w:rPr>
        <w:t xml:space="preserve"> </w:t>
      </w:r>
      <w:r>
        <w:t>o</w:t>
      </w:r>
      <w:r>
        <w:rPr>
          <w:spacing w:val="-20"/>
        </w:rPr>
        <w:t xml:space="preserve"> </w:t>
      </w:r>
      <w:r>
        <w:t>más</w:t>
      </w:r>
      <w:r>
        <w:rPr>
          <w:spacing w:val="-21"/>
        </w:rPr>
        <w:t xml:space="preserve"> </w:t>
      </w:r>
      <w:r>
        <w:t>personas</w:t>
      </w:r>
      <w:r>
        <w:rPr>
          <w:spacing w:val="-21"/>
        </w:rPr>
        <w:t xml:space="preserve"> </w:t>
      </w:r>
      <w:r>
        <w:t>como</w:t>
      </w:r>
      <w:r>
        <w:rPr>
          <w:spacing w:val="-20"/>
        </w:rPr>
        <w:t xml:space="preserve"> </w:t>
      </w:r>
      <w:r>
        <w:t>dependientes</w:t>
      </w:r>
      <w:r>
        <w:rPr>
          <w:spacing w:val="-22"/>
        </w:rPr>
        <w:t xml:space="preserve"> </w:t>
      </w:r>
      <w:r>
        <w:t>económicos.</w:t>
      </w:r>
      <w:r>
        <w:rPr>
          <w:spacing w:val="-21"/>
        </w:rPr>
        <w:t xml:space="preserve"> </w:t>
      </w:r>
      <w:r>
        <w:t>Esta brecha se amplía entre mujeres étnicas y hombres sin pertenencia étnica, en escenarios rurales y entre la población joven.</w:t>
      </w:r>
    </w:p>
    <w:p w14:paraId="7BB2E610" w14:textId="77777777" w:rsidR="000E52B0" w:rsidRDefault="00F60D74">
      <w:pPr>
        <w:spacing w:before="161" w:line="219" w:lineRule="exact"/>
        <w:jc w:val="center"/>
        <w:rPr>
          <w:i/>
          <w:sz w:val="18"/>
        </w:rPr>
      </w:pPr>
      <w:r>
        <w:rPr>
          <w:i/>
          <w:color w:val="454551"/>
          <w:sz w:val="18"/>
        </w:rPr>
        <w:t>Ilustración</w:t>
      </w:r>
      <w:r>
        <w:rPr>
          <w:i/>
          <w:color w:val="454551"/>
          <w:spacing w:val="-4"/>
          <w:sz w:val="18"/>
        </w:rPr>
        <w:t xml:space="preserve"> </w:t>
      </w:r>
      <w:r>
        <w:rPr>
          <w:i/>
          <w:color w:val="454551"/>
          <w:sz w:val="18"/>
        </w:rPr>
        <w:t>19.</w:t>
      </w:r>
      <w:r>
        <w:rPr>
          <w:i/>
          <w:color w:val="454551"/>
          <w:spacing w:val="-4"/>
          <w:sz w:val="18"/>
        </w:rPr>
        <w:t xml:space="preserve"> </w:t>
      </w:r>
      <w:r>
        <w:rPr>
          <w:i/>
          <w:color w:val="454551"/>
          <w:sz w:val="18"/>
        </w:rPr>
        <w:t>Proporción</w:t>
      </w:r>
      <w:r>
        <w:rPr>
          <w:i/>
          <w:color w:val="454551"/>
          <w:spacing w:val="-5"/>
          <w:sz w:val="18"/>
        </w:rPr>
        <w:t xml:space="preserve"> </w:t>
      </w:r>
      <w:r>
        <w:rPr>
          <w:i/>
          <w:color w:val="454551"/>
          <w:sz w:val="18"/>
        </w:rPr>
        <w:t>de</w:t>
      </w:r>
      <w:r>
        <w:rPr>
          <w:i/>
          <w:color w:val="454551"/>
          <w:spacing w:val="-3"/>
          <w:sz w:val="18"/>
        </w:rPr>
        <w:t xml:space="preserve"> </w:t>
      </w:r>
      <w:r>
        <w:rPr>
          <w:i/>
          <w:color w:val="454551"/>
          <w:sz w:val="18"/>
        </w:rPr>
        <w:t>personas</w:t>
      </w:r>
      <w:r>
        <w:rPr>
          <w:i/>
          <w:color w:val="454551"/>
          <w:spacing w:val="-4"/>
          <w:sz w:val="18"/>
        </w:rPr>
        <w:t xml:space="preserve"> </w:t>
      </w:r>
      <w:r>
        <w:rPr>
          <w:i/>
          <w:color w:val="454551"/>
          <w:sz w:val="18"/>
        </w:rPr>
        <w:t>por</w:t>
      </w:r>
      <w:r>
        <w:rPr>
          <w:i/>
          <w:color w:val="454551"/>
          <w:spacing w:val="-3"/>
          <w:sz w:val="18"/>
        </w:rPr>
        <w:t xml:space="preserve"> </w:t>
      </w:r>
      <w:r>
        <w:rPr>
          <w:i/>
          <w:color w:val="454551"/>
          <w:sz w:val="18"/>
        </w:rPr>
        <w:t>IPM</w:t>
      </w:r>
      <w:r>
        <w:rPr>
          <w:i/>
          <w:color w:val="454551"/>
          <w:spacing w:val="-1"/>
          <w:sz w:val="18"/>
        </w:rPr>
        <w:t xml:space="preserve"> </w:t>
      </w:r>
      <w:r>
        <w:rPr>
          <w:i/>
          <w:color w:val="454551"/>
          <w:sz w:val="18"/>
        </w:rPr>
        <w:t>-</w:t>
      </w:r>
      <w:r>
        <w:rPr>
          <w:i/>
          <w:color w:val="454551"/>
          <w:spacing w:val="-4"/>
          <w:sz w:val="18"/>
        </w:rPr>
        <w:t xml:space="preserve"> </w:t>
      </w:r>
      <w:r>
        <w:rPr>
          <w:i/>
          <w:color w:val="454551"/>
          <w:sz w:val="18"/>
        </w:rPr>
        <w:t>dimensión</w:t>
      </w:r>
      <w:r>
        <w:rPr>
          <w:i/>
          <w:color w:val="454551"/>
          <w:spacing w:val="-2"/>
          <w:sz w:val="18"/>
        </w:rPr>
        <w:t xml:space="preserve"> </w:t>
      </w:r>
      <w:r>
        <w:rPr>
          <w:i/>
          <w:color w:val="454551"/>
          <w:sz w:val="18"/>
        </w:rPr>
        <w:t>dependencia</w:t>
      </w:r>
      <w:r>
        <w:rPr>
          <w:i/>
          <w:color w:val="454551"/>
          <w:spacing w:val="-3"/>
          <w:sz w:val="18"/>
        </w:rPr>
        <w:t xml:space="preserve"> </w:t>
      </w:r>
      <w:r>
        <w:rPr>
          <w:i/>
          <w:color w:val="454551"/>
          <w:sz w:val="18"/>
        </w:rPr>
        <w:t>económica</w:t>
      </w:r>
      <w:r>
        <w:rPr>
          <w:i/>
          <w:color w:val="454551"/>
          <w:spacing w:val="-4"/>
          <w:sz w:val="18"/>
        </w:rPr>
        <w:t xml:space="preserve"> </w:t>
      </w:r>
      <w:r>
        <w:rPr>
          <w:i/>
          <w:color w:val="454551"/>
          <w:sz w:val="18"/>
        </w:rPr>
        <w:t>(</w:t>
      </w:r>
      <w:proofErr w:type="gramStart"/>
      <w:r>
        <w:rPr>
          <w:i/>
          <w:color w:val="454551"/>
          <w:sz w:val="18"/>
        </w:rPr>
        <w:t>Jefa</w:t>
      </w:r>
      <w:proofErr w:type="gramEnd"/>
      <w:r>
        <w:rPr>
          <w:i/>
          <w:color w:val="454551"/>
          <w:spacing w:val="-3"/>
          <w:sz w:val="18"/>
        </w:rPr>
        <w:t xml:space="preserve"> </w:t>
      </w:r>
      <w:r>
        <w:rPr>
          <w:i/>
          <w:color w:val="454551"/>
          <w:sz w:val="18"/>
        </w:rPr>
        <w:t>de</w:t>
      </w:r>
      <w:r>
        <w:rPr>
          <w:i/>
          <w:color w:val="454551"/>
          <w:spacing w:val="-3"/>
          <w:sz w:val="18"/>
        </w:rPr>
        <w:t xml:space="preserve"> </w:t>
      </w:r>
      <w:r>
        <w:rPr>
          <w:i/>
          <w:color w:val="454551"/>
          <w:spacing w:val="-2"/>
          <w:sz w:val="18"/>
        </w:rPr>
        <w:t>hogar</w:t>
      </w:r>
    </w:p>
    <w:p w14:paraId="1930E675" w14:textId="77777777" w:rsidR="000E52B0" w:rsidRDefault="00F60D74">
      <w:pPr>
        <w:jc w:val="center"/>
        <w:rPr>
          <w:i/>
          <w:sz w:val="18"/>
        </w:rPr>
      </w:pPr>
      <w:r>
        <w:rPr>
          <w:i/>
          <w:color w:val="454551"/>
          <w:sz w:val="18"/>
        </w:rPr>
        <w:t>-</w:t>
      </w:r>
      <w:r>
        <w:rPr>
          <w:i/>
          <w:color w:val="454551"/>
          <w:spacing w:val="-1"/>
          <w:sz w:val="18"/>
        </w:rPr>
        <w:t xml:space="preserve"> </w:t>
      </w:r>
      <w:r>
        <w:rPr>
          <w:i/>
          <w:color w:val="454551"/>
          <w:spacing w:val="-2"/>
          <w:sz w:val="18"/>
        </w:rPr>
        <w:t>Mujer)</w:t>
      </w:r>
    </w:p>
    <w:p w14:paraId="0405D213" w14:textId="77777777" w:rsidR="000E52B0" w:rsidRDefault="000E52B0">
      <w:pPr>
        <w:pStyle w:val="Textoindependiente"/>
        <w:spacing w:before="123"/>
        <w:ind w:left="0"/>
        <w:rPr>
          <w:i/>
          <w:sz w:val="18"/>
        </w:rPr>
      </w:pPr>
    </w:p>
    <w:p w14:paraId="6E58E5E3" w14:textId="77777777" w:rsidR="000E52B0" w:rsidRDefault="00F60D74">
      <w:pPr>
        <w:spacing w:line="180" w:lineRule="exact"/>
        <w:ind w:left="1688"/>
        <w:rPr>
          <w:rFonts w:ascii="Trebuchet MS"/>
          <w:sz w:val="18"/>
        </w:rPr>
      </w:pPr>
      <w:r>
        <w:rPr>
          <w:rFonts w:ascii="Trebuchet MS"/>
          <w:color w:val="404040"/>
          <w:spacing w:val="-2"/>
          <w:w w:val="105"/>
          <w:sz w:val="18"/>
        </w:rPr>
        <w:t>59,5%</w:t>
      </w:r>
    </w:p>
    <w:p w14:paraId="63781E23" w14:textId="77777777" w:rsidR="000E52B0" w:rsidRDefault="00F60D74">
      <w:pPr>
        <w:spacing w:line="167" w:lineRule="exact"/>
        <w:ind w:left="2787"/>
        <w:rPr>
          <w:rFonts w:ascii="Trebuchet MS"/>
          <w:sz w:val="18"/>
        </w:rPr>
      </w:pPr>
      <w:r>
        <w:rPr>
          <w:rFonts w:ascii="Trebuchet MS"/>
          <w:noProof/>
          <w:sz w:val="18"/>
        </w:rPr>
        <mc:AlternateContent>
          <mc:Choice Requires="wpg">
            <w:drawing>
              <wp:anchor distT="0" distB="0" distL="0" distR="0" simplePos="0" relativeHeight="482259456" behindDoc="1" locked="0" layoutInCell="1" allowOverlap="1" wp14:anchorId="5AD632DB" wp14:editId="6669DF96">
                <wp:simplePos x="0" y="0"/>
                <wp:positionH relativeFrom="page">
                  <wp:posOffset>1335405</wp:posOffset>
                </wp:positionH>
                <wp:positionV relativeFrom="paragraph">
                  <wp:posOffset>83477</wp:posOffset>
                </wp:positionV>
                <wp:extent cx="4885690" cy="84201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5690" cy="842010"/>
                          <a:chOff x="0" y="0"/>
                          <a:chExt cx="4885690" cy="842010"/>
                        </a:xfrm>
                      </wpg:grpSpPr>
                      <wps:wsp>
                        <wps:cNvPr id="124" name="Graphic 124"/>
                        <wps:cNvSpPr/>
                        <wps:spPr>
                          <a:xfrm>
                            <a:off x="4318634" y="433819"/>
                            <a:ext cx="436245" cy="403860"/>
                          </a:xfrm>
                          <a:custGeom>
                            <a:avLst/>
                            <a:gdLst/>
                            <a:ahLst/>
                            <a:cxnLst/>
                            <a:rect l="l" t="t" r="r" b="b"/>
                            <a:pathLst>
                              <a:path w="436245" h="403860">
                                <a:moveTo>
                                  <a:pt x="436219" y="0"/>
                                </a:moveTo>
                                <a:lnTo>
                                  <a:pt x="0" y="0"/>
                                </a:lnTo>
                                <a:lnTo>
                                  <a:pt x="0" y="403364"/>
                                </a:lnTo>
                                <a:lnTo>
                                  <a:pt x="436219" y="403364"/>
                                </a:lnTo>
                                <a:lnTo>
                                  <a:pt x="436219" y="0"/>
                                </a:lnTo>
                                <a:close/>
                              </a:path>
                            </a:pathLst>
                          </a:custGeom>
                          <a:solidFill>
                            <a:srgbClr val="D44673"/>
                          </a:solidFill>
                        </wps:spPr>
                        <wps:bodyPr wrap="square" lIns="0" tIns="0" rIns="0" bIns="0" rtlCol="0">
                          <a:prstTxWarp prst="textNoShape">
                            <a:avLst/>
                          </a:prstTxWarp>
                          <a:noAutofit/>
                        </wps:bodyPr>
                      </wps:wsp>
                      <wps:wsp>
                        <wps:cNvPr id="125" name="Graphic 125"/>
                        <wps:cNvSpPr/>
                        <wps:spPr>
                          <a:xfrm>
                            <a:off x="130683" y="0"/>
                            <a:ext cx="3926204" cy="837565"/>
                          </a:xfrm>
                          <a:custGeom>
                            <a:avLst/>
                            <a:gdLst/>
                            <a:ahLst/>
                            <a:cxnLst/>
                            <a:rect l="l" t="t" r="r" b="b"/>
                            <a:pathLst>
                              <a:path w="3926204" h="837565">
                                <a:moveTo>
                                  <a:pt x="435864" y="0"/>
                                </a:moveTo>
                                <a:lnTo>
                                  <a:pt x="0" y="0"/>
                                </a:lnTo>
                                <a:lnTo>
                                  <a:pt x="0" y="837196"/>
                                </a:lnTo>
                                <a:lnTo>
                                  <a:pt x="435864" y="837196"/>
                                </a:lnTo>
                                <a:lnTo>
                                  <a:pt x="435864" y="0"/>
                                </a:lnTo>
                                <a:close/>
                              </a:path>
                              <a:path w="3926204" h="837565">
                                <a:moveTo>
                                  <a:pt x="1133856" y="94488"/>
                                </a:moveTo>
                                <a:lnTo>
                                  <a:pt x="697992" y="94488"/>
                                </a:lnTo>
                                <a:lnTo>
                                  <a:pt x="697992" y="837196"/>
                                </a:lnTo>
                                <a:lnTo>
                                  <a:pt x="1133856" y="837196"/>
                                </a:lnTo>
                                <a:lnTo>
                                  <a:pt x="1133856" y="94488"/>
                                </a:lnTo>
                                <a:close/>
                              </a:path>
                              <a:path w="3926204" h="837565">
                                <a:moveTo>
                                  <a:pt x="1831848" y="211836"/>
                                </a:moveTo>
                                <a:lnTo>
                                  <a:pt x="1395984" y="211836"/>
                                </a:lnTo>
                                <a:lnTo>
                                  <a:pt x="1395984" y="837196"/>
                                </a:lnTo>
                                <a:lnTo>
                                  <a:pt x="1831848" y="837196"/>
                                </a:lnTo>
                                <a:lnTo>
                                  <a:pt x="1831848" y="211836"/>
                                </a:lnTo>
                                <a:close/>
                              </a:path>
                              <a:path w="3926204" h="837565">
                                <a:moveTo>
                                  <a:pt x="2529840" y="254508"/>
                                </a:moveTo>
                                <a:lnTo>
                                  <a:pt x="2093976" y="254508"/>
                                </a:lnTo>
                                <a:lnTo>
                                  <a:pt x="2093976" y="837196"/>
                                </a:lnTo>
                                <a:lnTo>
                                  <a:pt x="2529840" y="837196"/>
                                </a:lnTo>
                                <a:lnTo>
                                  <a:pt x="2529840" y="254508"/>
                                </a:lnTo>
                                <a:close/>
                              </a:path>
                              <a:path w="3926204" h="837565">
                                <a:moveTo>
                                  <a:pt x="3227832" y="333756"/>
                                </a:moveTo>
                                <a:lnTo>
                                  <a:pt x="2791968" y="333756"/>
                                </a:lnTo>
                                <a:lnTo>
                                  <a:pt x="2791968" y="837196"/>
                                </a:lnTo>
                                <a:lnTo>
                                  <a:pt x="3227832" y="837196"/>
                                </a:lnTo>
                                <a:lnTo>
                                  <a:pt x="3227832" y="333756"/>
                                </a:lnTo>
                                <a:close/>
                              </a:path>
                              <a:path w="3926204" h="837565">
                                <a:moveTo>
                                  <a:pt x="3925824" y="361188"/>
                                </a:moveTo>
                                <a:lnTo>
                                  <a:pt x="3489960" y="361188"/>
                                </a:lnTo>
                                <a:lnTo>
                                  <a:pt x="3489960" y="837196"/>
                                </a:lnTo>
                                <a:lnTo>
                                  <a:pt x="3925824" y="837196"/>
                                </a:lnTo>
                                <a:lnTo>
                                  <a:pt x="3925824" y="361188"/>
                                </a:lnTo>
                                <a:close/>
                              </a:path>
                            </a:pathLst>
                          </a:custGeom>
                          <a:solidFill>
                            <a:srgbClr val="FFC000"/>
                          </a:solidFill>
                        </wps:spPr>
                        <wps:bodyPr wrap="square" lIns="0" tIns="0" rIns="0" bIns="0" rtlCol="0">
                          <a:prstTxWarp prst="textNoShape">
                            <a:avLst/>
                          </a:prstTxWarp>
                          <a:noAutofit/>
                        </wps:bodyPr>
                      </wps:wsp>
                      <wps:wsp>
                        <wps:cNvPr id="126" name="Graphic 126"/>
                        <wps:cNvSpPr/>
                        <wps:spPr>
                          <a:xfrm>
                            <a:off x="0" y="837183"/>
                            <a:ext cx="4885690" cy="1270"/>
                          </a:xfrm>
                          <a:custGeom>
                            <a:avLst/>
                            <a:gdLst/>
                            <a:ahLst/>
                            <a:cxnLst/>
                            <a:rect l="l" t="t" r="r" b="b"/>
                            <a:pathLst>
                              <a:path w="4885690">
                                <a:moveTo>
                                  <a:pt x="0" y="0"/>
                                </a:moveTo>
                                <a:lnTo>
                                  <a:pt x="4885690"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641EFE5E" id="Group 123" o:spid="_x0000_s1026" style="position:absolute;margin-left:105.15pt;margin-top:6.55pt;width:384.7pt;height:66.3pt;z-index:-21057024;mso-wrap-distance-left:0;mso-wrap-distance-right:0;mso-position-horizontal-relative:page" coordsize="48856,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">
                <v:shape id="Graphic 124" o:spid="_x0000_s1027" style="position:absolute;left:43186;top:4338;width:4362;height:4038;visibility:visible;mso-wrap-style:square;v-text-anchor:top" coordsize="43624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" path="m436219,l,,,403364r436219,l436219,xe" fillcolor="#d44673" stroked="f">
                  <v:path arrowok="t"/>
                </v:shape>
                <v:shape id="Graphic 125" o:spid="_x0000_s1028" style="position:absolute;left:1306;width:39262;height:8375;visibility:visible;mso-wrap-style:square;v-text-anchor:top" coordsize="3926204,83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" path="m435864,l,,,837196r435864,l435864,xem1133856,94488r-435864,l697992,837196r435864,l1133856,94488xem1831848,211836r-435864,l1395984,837196r435864,l1831848,211836xem2529840,254508r-435864,l2093976,837196r435864,l2529840,254508xem3227832,333756r-435864,l2791968,837196r435864,l3227832,333756xem3925824,361188r-435864,l3489960,837196r435864,l3925824,361188xe" fillcolor="#ffc000" stroked="f">
                  <v:path arrowok="t"/>
                </v:shape>
                <v:shape id="Graphic 126" o:spid="_x0000_s1029" style="position:absolute;top:8371;width:48856;height:13;visibility:visible;mso-wrap-style:square;v-text-anchor:top" coordsize="4885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" path="m,l4885690,e" filled="f" strokecolor="#d9d9d9">
                  <v:path arrowok="t"/>
                </v:shape>
                <w10:wrap anchorx="page"/>
              </v:group>
            </w:pict>
          </mc:Fallback>
        </mc:AlternateContent>
      </w:r>
      <w:r>
        <w:rPr>
          <w:rFonts w:ascii="Trebuchet MS"/>
          <w:color w:val="404040"/>
          <w:spacing w:val="-2"/>
          <w:w w:val="105"/>
          <w:sz w:val="18"/>
        </w:rPr>
        <w:t>52,7%</w:t>
      </w:r>
    </w:p>
    <w:p w14:paraId="12291B7B" w14:textId="77777777" w:rsidR="000E52B0" w:rsidRDefault="00F60D74">
      <w:pPr>
        <w:tabs>
          <w:tab w:val="left" w:pos="1099"/>
        </w:tabs>
        <w:spacing w:before="26" w:line="146" w:lineRule="auto"/>
        <w:ind w:right="1103"/>
        <w:jc w:val="center"/>
        <w:rPr>
          <w:rFonts w:ascii="Trebuchet MS"/>
          <w:position w:val="-6"/>
          <w:sz w:val="18"/>
        </w:rPr>
      </w:pPr>
      <w:r>
        <w:rPr>
          <w:rFonts w:ascii="Trebuchet MS"/>
          <w:color w:val="404040"/>
          <w:spacing w:val="-2"/>
          <w:w w:val="105"/>
          <w:sz w:val="18"/>
        </w:rPr>
        <w:t>44,5%</w:t>
      </w:r>
      <w:r>
        <w:rPr>
          <w:rFonts w:ascii="Trebuchet MS"/>
          <w:color w:val="404040"/>
          <w:sz w:val="18"/>
        </w:rPr>
        <w:tab/>
      </w:r>
      <w:r>
        <w:rPr>
          <w:rFonts w:ascii="Trebuchet MS"/>
          <w:color w:val="404040"/>
          <w:spacing w:val="-2"/>
          <w:w w:val="105"/>
          <w:position w:val="-6"/>
          <w:sz w:val="18"/>
        </w:rPr>
        <w:t>41,4%</w:t>
      </w:r>
    </w:p>
    <w:p w14:paraId="4E0FED56" w14:textId="77777777" w:rsidR="000E52B0" w:rsidRDefault="00F60D74">
      <w:pPr>
        <w:tabs>
          <w:tab w:val="left" w:pos="7185"/>
          <w:tab w:val="left" w:pos="8284"/>
        </w:tabs>
        <w:spacing w:line="177" w:lineRule="auto"/>
        <w:ind w:left="6086"/>
        <w:rPr>
          <w:rFonts w:ascii="Trebuchet MS"/>
          <w:position w:val="-15"/>
          <w:sz w:val="18"/>
        </w:rPr>
      </w:pPr>
      <w:r>
        <w:rPr>
          <w:rFonts w:ascii="Trebuchet MS"/>
          <w:color w:val="404040"/>
          <w:spacing w:val="-2"/>
          <w:w w:val="105"/>
          <w:sz w:val="18"/>
        </w:rPr>
        <w:t>35,7%</w:t>
      </w:r>
      <w:r>
        <w:rPr>
          <w:rFonts w:ascii="Trebuchet MS"/>
          <w:color w:val="404040"/>
          <w:sz w:val="18"/>
        </w:rPr>
        <w:tab/>
      </w:r>
      <w:r>
        <w:rPr>
          <w:rFonts w:ascii="Trebuchet MS"/>
          <w:color w:val="404040"/>
          <w:spacing w:val="-2"/>
          <w:w w:val="105"/>
          <w:position w:val="-3"/>
          <w:sz w:val="18"/>
        </w:rPr>
        <w:t>33,8%</w:t>
      </w:r>
      <w:r>
        <w:rPr>
          <w:rFonts w:ascii="Trebuchet MS"/>
          <w:color w:val="404040"/>
          <w:position w:val="-3"/>
          <w:sz w:val="18"/>
        </w:rPr>
        <w:tab/>
      </w:r>
      <w:r>
        <w:rPr>
          <w:rFonts w:ascii="Trebuchet MS"/>
          <w:color w:val="404040"/>
          <w:spacing w:val="-4"/>
          <w:w w:val="105"/>
          <w:position w:val="-15"/>
          <w:sz w:val="18"/>
        </w:rPr>
        <w:t>28,7%</w:t>
      </w:r>
    </w:p>
    <w:p w14:paraId="5410EA29" w14:textId="77777777" w:rsidR="000E52B0" w:rsidRDefault="000E52B0">
      <w:pPr>
        <w:pStyle w:val="Textoindependiente"/>
        <w:ind w:left="0"/>
        <w:rPr>
          <w:rFonts w:ascii="Trebuchet MS"/>
          <w:sz w:val="20"/>
        </w:rPr>
      </w:pPr>
    </w:p>
    <w:p w14:paraId="27F412A5" w14:textId="77777777" w:rsidR="000E52B0" w:rsidRDefault="000E52B0">
      <w:pPr>
        <w:pStyle w:val="Textoindependiente"/>
        <w:ind w:left="0"/>
        <w:rPr>
          <w:rFonts w:ascii="Trebuchet MS"/>
          <w:sz w:val="20"/>
        </w:rPr>
      </w:pPr>
    </w:p>
    <w:p w14:paraId="597BFF0F" w14:textId="77777777" w:rsidR="000E52B0" w:rsidRDefault="00F60D74">
      <w:pPr>
        <w:pStyle w:val="Textoindependiente"/>
        <w:spacing w:before="183"/>
        <w:ind w:left="0"/>
        <w:rPr>
          <w:rFonts w:ascii="Trebuchet MS"/>
          <w:sz w:val="20"/>
        </w:rPr>
      </w:pPr>
      <w:r>
        <w:rPr>
          <w:rFonts w:ascii="Trebuchet MS"/>
          <w:noProof/>
          <w:sz w:val="20"/>
        </w:rPr>
        <w:drawing>
          <wp:anchor distT="0" distB="0" distL="0" distR="0" simplePos="0" relativeHeight="487614976" behindDoc="1" locked="0" layoutInCell="1" allowOverlap="1" wp14:anchorId="06B36A24" wp14:editId="2BFBA917">
            <wp:simplePos x="0" y="0"/>
            <wp:positionH relativeFrom="page">
              <wp:posOffset>1364996</wp:posOffset>
            </wp:positionH>
            <wp:positionV relativeFrom="paragraph">
              <wp:posOffset>297410</wp:posOffset>
            </wp:positionV>
            <wp:extent cx="339936" cy="319087"/>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62" cstate="print"/>
                    <a:stretch>
                      <a:fillRect/>
                    </a:stretch>
                  </pic:blipFill>
                  <pic:spPr>
                    <a:xfrm>
                      <a:off x="0" y="0"/>
                      <a:ext cx="339936" cy="319087"/>
                    </a:xfrm>
                    <a:prstGeom prst="rect">
                      <a:avLst/>
                    </a:prstGeom>
                  </pic:spPr>
                </pic:pic>
              </a:graphicData>
            </a:graphic>
          </wp:anchor>
        </w:drawing>
      </w:r>
      <w:r>
        <w:rPr>
          <w:rFonts w:ascii="Trebuchet MS"/>
          <w:noProof/>
          <w:sz w:val="20"/>
        </w:rPr>
        <w:drawing>
          <wp:anchor distT="0" distB="0" distL="0" distR="0" simplePos="0" relativeHeight="487615488" behindDoc="1" locked="0" layoutInCell="1" allowOverlap="1" wp14:anchorId="7092B22A" wp14:editId="46C9FB28">
            <wp:simplePos x="0" y="0"/>
            <wp:positionH relativeFrom="page">
              <wp:posOffset>1858010</wp:posOffset>
            </wp:positionH>
            <wp:positionV relativeFrom="paragraph">
              <wp:posOffset>299061</wp:posOffset>
            </wp:positionV>
            <wp:extent cx="534774" cy="519112"/>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63" cstate="print"/>
                    <a:stretch>
                      <a:fillRect/>
                    </a:stretch>
                  </pic:blipFill>
                  <pic:spPr>
                    <a:xfrm>
                      <a:off x="0" y="0"/>
                      <a:ext cx="534774" cy="519112"/>
                    </a:xfrm>
                    <a:prstGeom prst="rect">
                      <a:avLst/>
                    </a:prstGeom>
                  </pic:spPr>
                </pic:pic>
              </a:graphicData>
            </a:graphic>
          </wp:anchor>
        </w:drawing>
      </w:r>
      <w:r>
        <w:rPr>
          <w:rFonts w:ascii="Trebuchet MS"/>
          <w:noProof/>
          <w:sz w:val="20"/>
        </w:rPr>
        <w:drawing>
          <wp:anchor distT="0" distB="0" distL="0" distR="0" simplePos="0" relativeHeight="487616000" behindDoc="1" locked="0" layoutInCell="1" allowOverlap="1" wp14:anchorId="4DB4F7C9" wp14:editId="3292B416">
            <wp:simplePos x="0" y="0"/>
            <wp:positionH relativeFrom="page">
              <wp:posOffset>2452751</wp:posOffset>
            </wp:positionH>
            <wp:positionV relativeFrom="paragraph">
              <wp:posOffset>297664</wp:posOffset>
            </wp:positionV>
            <wp:extent cx="644391" cy="647700"/>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64" cstate="print"/>
                    <a:stretch>
                      <a:fillRect/>
                    </a:stretch>
                  </pic:blipFill>
                  <pic:spPr>
                    <a:xfrm>
                      <a:off x="0" y="0"/>
                      <a:ext cx="644391" cy="647700"/>
                    </a:xfrm>
                    <a:prstGeom prst="rect">
                      <a:avLst/>
                    </a:prstGeom>
                  </pic:spPr>
                </pic:pic>
              </a:graphicData>
            </a:graphic>
          </wp:anchor>
        </w:drawing>
      </w:r>
      <w:r>
        <w:rPr>
          <w:rFonts w:ascii="Trebuchet MS"/>
          <w:noProof/>
          <w:sz w:val="20"/>
        </w:rPr>
        <mc:AlternateContent>
          <mc:Choice Requires="wps">
            <w:drawing>
              <wp:anchor distT="0" distB="0" distL="0" distR="0" simplePos="0" relativeHeight="487616512" behindDoc="1" locked="0" layoutInCell="1" allowOverlap="1" wp14:anchorId="41137035" wp14:editId="21C46E48">
                <wp:simplePos x="0" y="0"/>
                <wp:positionH relativeFrom="page">
                  <wp:posOffset>3487928</wp:posOffset>
                </wp:positionH>
                <wp:positionV relativeFrom="paragraph">
                  <wp:posOffset>297283</wp:posOffset>
                </wp:positionV>
                <wp:extent cx="306070" cy="30226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 cy="302260"/>
                        </a:xfrm>
                        <a:custGeom>
                          <a:avLst/>
                          <a:gdLst/>
                          <a:ahLst/>
                          <a:cxnLst/>
                          <a:rect l="l" t="t" r="r" b="b"/>
                          <a:pathLst>
                            <a:path w="306070" h="302260">
                              <a:moveTo>
                                <a:pt x="6985" y="229870"/>
                              </a:moveTo>
                              <a:lnTo>
                                <a:pt x="0" y="237489"/>
                              </a:lnTo>
                              <a:lnTo>
                                <a:pt x="40767" y="278130"/>
                              </a:lnTo>
                              <a:lnTo>
                                <a:pt x="42672" y="281939"/>
                              </a:lnTo>
                              <a:lnTo>
                                <a:pt x="43052" y="284480"/>
                              </a:lnTo>
                              <a:lnTo>
                                <a:pt x="43307" y="287020"/>
                              </a:lnTo>
                              <a:lnTo>
                                <a:pt x="41656" y="290830"/>
                              </a:lnTo>
                              <a:lnTo>
                                <a:pt x="35433" y="297180"/>
                              </a:lnTo>
                              <a:lnTo>
                                <a:pt x="41401" y="302260"/>
                              </a:lnTo>
                              <a:lnTo>
                                <a:pt x="48513" y="295910"/>
                              </a:lnTo>
                              <a:lnTo>
                                <a:pt x="50926" y="292100"/>
                              </a:lnTo>
                              <a:lnTo>
                                <a:pt x="52197" y="288289"/>
                              </a:lnTo>
                              <a:lnTo>
                                <a:pt x="53339" y="285750"/>
                              </a:lnTo>
                              <a:lnTo>
                                <a:pt x="53212" y="281939"/>
                              </a:lnTo>
                              <a:lnTo>
                                <a:pt x="51943" y="278130"/>
                              </a:lnTo>
                              <a:lnTo>
                                <a:pt x="50546" y="275589"/>
                              </a:lnTo>
                              <a:lnTo>
                                <a:pt x="48006" y="271780"/>
                              </a:lnTo>
                              <a:lnTo>
                                <a:pt x="6985" y="229870"/>
                              </a:lnTo>
                              <a:close/>
                            </a:path>
                            <a:path w="306070" h="302260">
                              <a:moveTo>
                                <a:pt x="70358" y="207010"/>
                              </a:moveTo>
                              <a:lnTo>
                                <a:pt x="66039" y="207010"/>
                              </a:lnTo>
                              <a:lnTo>
                                <a:pt x="57404" y="209550"/>
                              </a:lnTo>
                              <a:lnTo>
                                <a:pt x="41021" y="232410"/>
                              </a:lnTo>
                              <a:lnTo>
                                <a:pt x="41190" y="234950"/>
                              </a:lnTo>
                              <a:lnTo>
                                <a:pt x="41275" y="236220"/>
                              </a:lnTo>
                              <a:lnTo>
                                <a:pt x="42925" y="241300"/>
                              </a:lnTo>
                              <a:lnTo>
                                <a:pt x="44450" y="245110"/>
                              </a:lnTo>
                              <a:lnTo>
                                <a:pt x="47371" y="250189"/>
                              </a:lnTo>
                              <a:lnTo>
                                <a:pt x="51562" y="254000"/>
                              </a:lnTo>
                              <a:lnTo>
                                <a:pt x="55625" y="257810"/>
                              </a:lnTo>
                              <a:lnTo>
                                <a:pt x="59817" y="260350"/>
                              </a:lnTo>
                              <a:lnTo>
                                <a:pt x="64262" y="261620"/>
                              </a:lnTo>
                              <a:lnTo>
                                <a:pt x="68580" y="264160"/>
                              </a:lnTo>
                              <a:lnTo>
                                <a:pt x="72898" y="264160"/>
                              </a:lnTo>
                              <a:lnTo>
                                <a:pt x="81407" y="261620"/>
                              </a:lnTo>
                              <a:lnTo>
                                <a:pt x="85471" y="259080"/>
                              </a:lnTo>
                              <a:lnTo>
                                <a:pt x="89281" y="255270"/>
                              </a:lnTo>
                              <a:lnTo>
                                <a:pt x="69850" y="255270"/>
                              </a:lnTo>
                              <a:lnTo>
                                <a:pt x="66929" y="252730"/>
                              </a:lnTo>
                              <a:lnTo>
                                <a:pt x="49657" y="232410"/>
                              </a:lnTo>
                              <a:lnTo>
                                <a:pt x="50419" y="226060"/>
                              </a:lnTo>
                              <a:lnTo>
                                <a:pt x="51943" y="223520"/>
                              </a:lnTo>
                              <a:lnTo>
                                <a:pt x="54610" y="220980"/>
                              </a:lnTo>
                              <a:lnTo>
                                <a:pt x="60451" y="215900"/>
                              </a:lnTo>
                              <a:lnTo>
                                <a:pt x="86317" y="215900"/>
                              </a:lnTo>
                              <a:lnTo>
                                <a:pt x="83566" y="213360"/>
                              </a:lnTo>
                              <a:lnTo>
                                <a:pt x="79248" y="210820"/>
                              </a:lnTo>
                              <a:lnTo>
                                <a:pt x="70358" y="207010"/>
                              </a:lnTo>
                              <a:close/>
                            </a:path>
                            <a:path w="306070" h="302260">
                              <a:moveTo>
                                <a:pt x="86317" y="215900"/>
                              </a:moveTo>
                              <a:lnTo>
                                <a:pt x="69342" y="215900"/>
                              </a:lnTo>
                              <a:lnTo>
                                <a:pt x="72262" y="217170"/>
                              </a:lnTo>
                              <a:lnTo>
                                <a:pt x="75184" y="219710"/>
                              </a:lnTo>
                              <a:lnTo>
                                <a:pt x="89281" y="238760"/>
                              </a:lnTo>
                              <a:lnTo>
                                <a:pt x="88519" y="245110"/>
                              </a:lnTo>
                              <a:lnTo>
                                <a:pt x="86868" y="247650"/>
                              </a:lnTo>
                              <a:lnTo>
                                <a:pt x="83947" y="250189"/>
                              </a:lnTo>
                              <a:lnTo>
                                <a:pt x="81280" y="252730"/>
                              </a:lnTo>
                              <a:lnTo>
                                <a:pt x="78359" y="254000"/>
                              </a:lnTo>
                              <a:lnTo>
                                <a:pt x="72644" y="255270"/>
                              </a:lnTo>
                              <a:lnTo>
                                <a:pt x="89281" y="255270"/>
                              </a:lnTo>
                              <a:lnTo>
                                <a:pt x="93091" y="251460"/>
                              </a:lnTo>
                              <a:lnTo>
                                <a:pt x="95631" y="247650"/>
                              </a:lnTo>
                              <a:lnTo>
                                <a:pt x="96647" y="243839"/>
                              </a:lnTo>
                              <a:lnTo>
                                <a:pt x="97789" y="238760"/>
                              </a:lnTo>
                              <a:lnTo>
                                <a:pt x="97662" y="234950"/>
                              </a:lnTo>
                              <a:lnTo>
                                <a:pt x="96138" y="229870"/>
                              </a:lnTo>
                              <a:lnTo>
                                <a:pt x="94614" y="226060"/>
                              </a:lnTo>
                              <a:lnTo>
                                <a:pt x="91821" y="220980"/>
                              </a:lnTo>
                              <a:lnTo>
                                <a:pt x="86317" y="215900"/>
                              </a:lnTo>
                              <a:close/>
                            </a:path>
                            <a:path w="306070" h="302260">
                              <a:moveTo>
                                <a:pt x="79248" y="187960"/>
                              </a:moveTo>
                              <a:lnTo>
                                <a:pt x="72262" y="194310"/>
                              </a:lnTo>
                              <a:lnTo>
                                <a:pt x="125475" y="218439"/>
                              </a:lnTo>
                              <a:lnTo>
                                <a:pt x="132714" y="210820"/>
                              </a:lnTo>
                              <a:lnTo>
                                <a:pt x="131578" y="208280"/>
                              </a:lnTo>
                              <a:lnTo>
                                <a:pt x="122555" y="208280"/>
                              </a:lnTo>
                              <a:lnTo>
                                <a:pt x="79248" y="187960"/>
                              </a:lnTo>
                              <a:close/>
                            </a:path>
                            <a:path w="306070" h="302260">
                              <a:moveTo>
                                <a:pt x="46355" y="187960"/>
                              </a:moveTo>
                              <a:lnTo>
                                <a:pt x="38608" y="195580"/>
                              </a:lnTo>
                              <a:lnTo>
                                <a:pt x="41275" y="214630"/>
                              </a:lnTo>
                              <a:lnTo>
                                <a:pt x="46355" y="209550"/>
                              </a:lnTo>
                              <a:lnTo>
                                <a:pt x="46355" y="187960"/>
                              </a:lnTo>
                              <a:close/>
                            </a:path>
                            <a:path w="306070" h="302260">
                              <a:moveTo>
                                <a:pt x="108838" y="157480"/>
                              </a:moveTo>
                              <a:lnTo>
                                <a:pt x="102108" y="165100"/>
                              </a:lnTo>
                              <a:lnTo>
                                <a:pt x="122555" y="208280"/>
                              </a:lnTo>
                              <a:lnTo>
                                <a:pt x="131578" y="208280"/>
                              </a:lnTo>
                              <a:lnTo>
                                <a:pt x="108838" y="157480"/>
                              </a:lnTo>
                              <a:close/>
                            </a:path>
                            <a:path w="306070" h="302260">
                              <a:moveTo>
                                <a:pt x="152908" y="128270"/>
                              </a:moveTo>
                              <a:lnTo>
                                <a:pt x="140716" y="128270"/>
                              </a:lnTo>
                              <a:lnTo>
                                <a:pt x="135000" y="130810"/>
                              </a:lnTo>
                              <a:lnTo>
                                <a:pt x="125857" y="139700"/>
                              </a:lnTo>
                              <a:lnTo>
                                <a:pt x="123444" y="143510"/>
                              </a:lnTo>
                              <a:lnTo>
                                <a:pt x="122555" y="147320"/>
                              </a:lnTo>
                              <a:lnTo>
                                <a:pt x="121666" y="152400"/>
                              </a:lnTo>
                              <a:lnTo>
                                <a:pt x="121920" y="154939"/>
                              </a:lnTo>
                              <a:lnTo>
                                <a:pt x="122047" y="156210"/>
                              </a:lnTo>
                              <a:lnTo>
                                <a:pt x="123825" y="160020"/>
                              </a:lnTo>
                              <a:lnTo>
                                <a:pt x="125602" y="165100"/>
                              </a:lnTo>
                              <a:lnTo>
                                <a:pt x="128397" y="168910"/>
                              </a:lnTo>
                              <a:lnTo>
                                <a:pt x="132334" y="172720"/>
                              </a:lnTo>
                              <a:lnTo>
                                <a:pt x="136017" y="176530"/>
                              </a:lnTo>
                              <a:lnTo>
                                <a:pt x="140081" y="179070"/>
                              </a:lnTo>
                              <a:lnTo>
                                <a:pt x="144399" y="180339"/>
                              </a:lnTo>
                              <a:lnTo>
                                <a:pt x="148717" y="182880"/>
                              </a:lnTo>
                              <a:lnTo>
                                <a:pt x="153035" y="182880"/>
                              </a:lnTo>
                              <a:lnTo>
                                <a:pt x="157480" y="181610"/>
                              </a:lnTo>
                              <a:lnTo>
                                <a:pt x="161925" y="181610"/>
                              </a:lnTo>
                              <a:lnTo>
                                <a:pt x="166243" y="179070"/>
                              </a:lnTo>
                              <a:lnTo>
                                <a:pt x="170434" y="173989"/>
                              </a:lnTo>
                              <a:lnTo>
                                <a:pt x="150875" y="173989"/>
                              </a:lnTo>
                              <a:lnTo>
                                <a:pt x="147955" y="172720"/>
                              </a:lnTo>
                              <a:lnTo>
                                <a:pt x="145161" y="171450"/>
                              </a:lnTo>
                              <a:lnTo>
                                <a:pt x="142494" y="170180"/>
                              </a:lnTo>
                              <a:lnTo>
                                <a:pt x="139954" y="167639"/>
                              </a:lnTo>
                              <a:lnTo>
                                <a:pt x="144918" y="162560"/>
                              </a:lnTo>
                              <a:lnTo>
                                <a:pt x="135127" y="162560"/>
                              </a:lnTo>
                              <a:lnTo>
                                <a:pt x="131825" y="158750"/>
                              </a:lnTo>
                              <a:lnTo>
                                <a:pt x="130175" y="154939"/>
                              </a:lnTo>
                              <a:lnTo>
                                <a:pt x="130048" y="147320"/>
                              </a:lnTo>
                              <a:lnTo>
                                <a:pt x="131572" y="143510"/>
                              </a:lnTo>
                              <a:lnTo>
                                <a:pt x="134874" y="140970"/>
                              </a:lnTo>
                              <a:lnTo>
                                <a:pt x="138049" y="137160"/>
                              </a:lnTo>
                              <a:lnTo>
                                <a:pt x="141477" y="135889"/>
                              </a:lnTo>
                              <a:lnTo>
                                <a:pt x="163982" y="135889"/>
                              </a:lnTo>
                              <a:lnTo>
                                <a:pt x="159004" y="130810"/>
                              </a:lnTo>
                              <a:lnTo>
                                <a:pt x="152908" y="128270"/>
                              </a:lnTo>
                              <a:close/>
                            </a:path>
                            <a:path w="306070" h="302260">
                              <a:moveTo>
                                <a:pt x="173227" y="144780"/>
                              </a:moveTo>
                              <a:lnTo>
                                <a:pt x="166750" y="152400"/>
                              </a:lnTo>
                              <a:lnTo>
                                <a:pt x="169291" y="154939"/>
                              </a:lnTo>
                              <a:lnTo>
                                <a:pt x="170434" y="157480"/>
                              </a:lnTo>
                              <a:lnTo>
                                <a:pt x="170052" y="161289"/>
                              </a:lnTo>
                              <a:lnTo>
                                <a:pt x="169925" y="162560"/>
                              </a:lnTo>
                              <a:lnTo>
                                <a:pt x="169799" y="163830"/>
                              </a:lnTo>
                              <a:lnTo>
                                <a:pt x="168275" y="166370"/>
                              </a:lnTo>
                              <a:lnTo>
                                <a:pt x="165226" y="168910"/>
                              </a:lnTo>
                              <a:lnTo>
                                <a:pt x="162560" y="172720"/>
                              </a:lnTo>
                              <a:lnTo>
                                <a:pt x="159638" y="173989"/>
                              </a:lnTo>
                              <a:lnTo>
                                <a:pt x="170434" y="173989"/>
                              </a:lnTo>
                              <a:lnTo>
                                <a:pt x="178816" y="157480"/>
                              </a:lnTo>
                              <a:lnTo>
                                <a:pt x="177546" y="151130"/>
                              </a:lnTo>
                              <a:lnTo>
                                <a:pt x="175895" y="148589"/>
                              </a:lnTo>
                              <a:lnTo>
                                <a:pt x="173227" y="144780"/>
                              </a:lnTo>
                              <a:close/>
                            </a:path>
                            <a:path w="306070" h="302260">
                              <a:moveTo>
                                <a:pt x="163982" y="135889"/>
                              </a:moveTo>
                              <a:lnTo>
                                <a:pt x="148844" y="135889"/>
                              </a:lnTo>
                              <a:lnTo>
                                <a:pt x="152526" y="138430"/>
                              </a:lnTo>
                              <a:lnTo>
                                <a:pt x="156083" y="140970"/>
                              </a:lnTo>
                              <a:lnTo>
                                <a:pt x="135127" y="162560"/>
                              </a:lnTo>
                              <a:lnTo>
                                <a:pt x="144918" y="162560"/>
                              </a:lnTo>
                              <a:lnTo>
                                <a:pt x="167259" y="139700"/>
                              </a:lnTo>
                              <a:lnTo>
                                <a:pt x="166750" y="138430"/>
                              </a:lnTo>
                              <a:lnTo>
                                <a:pt x="165735" y="138430"/>
                              </a:lnTo>
                              <a:lnTo>
                                <a:pt x="165226" y="137160"/>
                              </a:lnTo>
                              <a:lnTo>
                                <a:pt x="163982" y="135889"/>
                              </a:lnTo>
                              <a:close/>
                            </a:path>
                            <a:path w="306070" h="302260">
                              <a:moveTo>
                                <a:pt x="164719" y="101600"/>
                              </a:moveTo>
                              <a:lnTo>
                                <a:pt x="158369" y="107950"/>
                              </a:lnTo>
                              <a:lnTo>
                                <a:pt x="196850" y="146050"/>
                              </a:lnTo>
                              <a:lnTo>
                                <a:pt x="203326" y="139700"/>
                              </a:lnTo>
                              <a:lnTo>
                                <a:pt x="176149" y="113030"/>
                              </a:lnTo>
                              <a:lnTo>
                                <a:pt x="175768" y="110489"/>
                              </a:lnTo>
                              <a:lnTo>
                                <a:pt x="175852" y="107950"/>
                              </a:lnTo>
                              <a:lnTo>
                                <a:pt x="170814" y="107950"/>
                              </a:lnTo>
                              <a:lnTo>
                                <a:pt x="164719" y="101600"/>
                              </a:lnTo>
                              <a:close/>
                            </a:path>
                            <a:path w="306070" h="302260">
                              <a:moveTo>
                                <a:pt x="205519" y="91439"/>
                              </a:moveTo>
                              <a:lnTo>
                                <a:pt x="191135" y="91439"/>
                              </a:lnTo>
                              <a:lnTo>
                                <a:pt x="193039" y="92710"/>
                              </a:lnTo>
                              <a:lnTo>
                                <a:pt x="194818" y="93980"/>
                              </a:lnTo>
                              <a:lnTo>
                                <a:pt x="196723" y="95250"/>
                              </a:lnTo>
                              <a:lnTo>
                                <a:pt x="222376" y="120650"/>
                              </a:lnTo>
                              <a:lnTo>
                                <a:pt x="228981" y="114300"/>
                              </a:lnTo>
                              <a:lnTo>
                                <a:pt x="205519" y="91439"/>
                              </a:lnTo>
                              <a:close/>
                            </a:path>
                            <a:path w="306070" h="302260">
                              <a:moveTo>
                                <a:pt x="186436" y="81280"/>
                              </a:moveTo>
                              <a:lnTo>
                                <a:pt x="182118" y="83820"/>
                              </a:lnTo>
                              <a:lnTo>
                                <a:pt x="174498" y="91439"/>
                              </a:lnTo>
                              <a:lnTo>
                                <a:pt x="172338" y="93980"/>
                              </a:lnTo>
                              <a:lnTo>
                                <a:pt x="171576" y="97789"/>
                              </a:lnTo>
                              <a:lnTo>
                                <a:pt x="170687" y="101600"/>
                              </a:lnTo>
                              <a:lnTo>
                                <a:pt x="170434" y="105410"/>
                              </a:lnTo>
                              <a:lnTo>
                                <a:pt x="170814" y="107950"/>
                              </a:lnTo>
                              <a:lnTo>
                                <a:pt x="175852" y="107950"/>
                              </a:lnTo>
                              <a:lnTo>
                                <a:pt x="175895" y="106680"/>
                              </a:lnTo>
                              <a:lnTo>
                                <a:pt x="177164" y="100330"/>
                              </a:lnTo>
                              <a:lnTo>
                                <a:pt x="178943" y="97789"/>
                              </a:lnTo>
                              <a:lnTo>
                                <a:pt x="183769" y="92710"/>
                              </a:lnTo>
                              <a:lnTo>
                                <a:pt x="185674" y="91439"/>
                              </a:lnTo>
                              <a:lnTo>
                                <a:pt x="205519" y="91439"/>
                              </a:lnTo>
                              <a:lnTo>
                                <a:pt x="204216" y="90170"/>
                              </a:lnTo>
                              <a:lnTo>
                                <a:pt x="199771" y="85089"/>
                              </a:lnTo>
                              <a:lnTo>
                                <a:pt x="195199" y="82550"/>
                              </a:lnTo>
                              <a:lnTo>
                                <a:pt x="190881" y="82550"/>
                              </a:lnTo>
                              <a:lnTo>
                                <a:pt x="186436" y="81280"/>
                              </a:lnTo>
                              <a:close/>
                            </a:path>
                            <a:path w="306070" h="302260">
                              <a:moveTo>
                                <a:pt x="240284" y="40639"/>
                              </a:moveTo>
                              <a:lnTo>
                                <a:pt x="227964" y="40639"/>
                              </a:lnTo>
                              <a:lnTo>
                                <a:pt x="222250" y="43180"/>
                              </a:lnTo>
                              <a:lnTo>
                                <a:pt x="213106" y="52070"/>
                              </a:lnTo>
                              <a:lnTo>
                                <a:pt x="210693" y="55880"/>
                              </a:lnTo>
                              <a:lnTo>
                                <a:pt x="209804" y="60960"/>
                              </a:lnTo>
                              <a:lnTo>
                                <a:pt x="208914" y="64770"/>
                              </a:lnTo>
                              <a:lnTo>
                                <a:pt x="235966" y="95250"/>
                              </a:lnTo>
                              <a:lnTo>
                                <a:pt x="244729" y="95250"/>
                              </a:lnTo>
                              <a:lnTo>
                                <a:pt x="249174" y="93980"/>
                              </a:lnTo>
                              <a:lnTo>
                                <a:pt x="253492" y="91439"/>
                              </a:lnTo>
                              <a:lnTo>
                                <a:pt x="257683" y="87630"/>
                              </a:lnTo>
                              <a:lnTo>
                                <a:pt x="241046" y="87630"/>
                              </a:lnTo>
                              <a:lnTo>
                                <a:pt x="238125" y="86360"/>
                              </a:lnTo>
                              <a:lnTo>
                                <a:pt x="235331" y="85089"/>
                              </a:lnTo>
                              <a:lnTo>
                                <a:pt x="232410" y="83820"/>
                              </a:lnTo>
                              <a:lnTo>
                                <a:pt x="229743" y="82550"/>
                              </a:lnTo>
                              <a:lnTo>
                                <a:pt x="227202" y="80010"/>
                              </a:lnTo>
                              <a:lnTo>
                                <a:pt x="232190" y="74930"/>
                              </a:lnTo>
                              <a:lnTo>
                                <a:pt x="222376" y="74930"/>
                              </a:lnTo>
                              <a:lnTo>
                                <a:pt x="219075" y="71120"/>
                              </a:lnTo>
                              <a:lnTo>
                                <a:pt x="217424" y="67310"/>
                              </a:lnTo>
                              <a:lnTo>
                                <a:pt x="217297" y="59689"/>
                              </a:lnTo>
                              <a:lnTo>
                                <a:pt x="218948" y="55880"/>
                              </a:lnTo>
                              <a:lnTo>
                                <a:pt x="225298" y="49530"/>
                              </a:lnTo>
                              <a:lnTo>
                                <a:pt x="228726" y="48260"/>
                              </a:lnTo>
                              <a:lnTo>
                                <a:pt x="251015" y="48260"/>
                              </a:lnTo>
                              <a:lnTo>
                                <a:pt x="246252" y="44450"/>
                              </a:lnTo>
                              <a:lnTo>
                                <a:pt x="240284" y="40639"/>
                              </a:lnTo>
                              <a:close/>
                            </a:path>
                            <a:path w="306070" h="302260">
                              <a:moveTo>
                                <a:pt x="260604" y="58420"/>
                              </a:moveTo>
                              <a:lnTo>
                                <a:pt x="254000" y="64770"/>
                              </a:lnTo>
                              <a:lnTo>
                                <a:pt x="256539" y="67310"/>
                              </a:lnTo>
                              <a:lnTo>
                                <a:pt x="257683" y="69850"/>
                              </a:lnTo>
                              <a:lnTo>
                                <a:pt x="257378" y="73660"/>
                              </a:lnTo>
                              <a:lnTo>
                                <a:pt x="257276" y="74930"/>
                              </a:lnTo>
                              <a:lnTo>
                                <a:pt x="257175" y="76200"/>
                              </a:lnTo>
                              <a:lnTo>
                                <a:pt x="255524" y="78739"/>
                              </a:lnTo>
                              <a:lnTo>
                                <a:pt x="249809" y="85089"/>
                              </a:lnTo>
                              <a:lnTo>
                                <a:pt x="247014" y="86360"/>
                              </a:lnTo>
                              <a:lnTo>
                                <a:pt x="243967" y="86360"/>
                              </a:lnTo>
                              <a:lnTo>
                                <a:pt x="241046" y="87630"/>
                              </a:lnTo>
                              <a:lnTo>
                                <a:pt x="257683" y="87630"/>
                              </a:lnTo>
                              <a:lnTo>
                                <a:pt x="260858" y="83820"/>
                              </a:lnTo>
                              <a:lnTo>
                                <a:pt x="266064" y="69850"/>
                              </a:lnTo>
                              <a:lnTo>
                                <a:pt x="264795" y="63500"/>
                              </a:lnTo>
                              <a:lnTo>
                                <a:pt x="263144" y="60960"/>
                              </a:lnTo>
                              <a:lnTo>
                                <a:pt x="260604" y="58420"/>
                              </a:lnTo>
                              <a:close/>
                            </a:path>
                            <a:path w="306070" h="302260">
                              <a:moveTo>
                                <a:pt x="251015" y="48260"/>
                              </a:moveTo>
                              <a:lnTo>
                                <a:pt x="236093" y="48260"/>
                              </a:lnTo>
                              <a:lnTo>
                                <a:pt x="239775" y="50800"/>
                              </a:lnTo>
                              <a:lnTo>
                                <a:pt x="243459" y="54610"/>
                              </a:lnTo>
                              <a:lnTo>
                                <a:pt x="222376" y="74930"/>
                              </a:lnTo>
                              <a:lnTo>
                                <a:pt x="232190" y="74930"/>
                              </a:lnTo>
                              <a:lnTo>
                                <a:pt x="254635" y="52070"/>
                              </a:lnTo>
                              <a:lnTo>
                                <a:pt x="254381" y="52070"/>
                              </a:lnTo>
                              <a:lnTo>
                                <a:pt x="252602" y="49530"/>
                              </a:lnTo>
                              <a:lnTo>
                                <a:pt x="251015" y="48260"/>
                              </a:lnTo>
                              <a:close/>
                            </a:path>
                            <a:path w="306070" h="302260">
                              <a:moveTo>
                                <a:pt x="274700" y="44450"/>
                              </a:moveTo>
                              <a:lnTo>
                                <a:pt x="268350" y="50800"/>
                              </a:lnTo>
                              <a:lnTo>
                                <a:pt x="270637" y="53339"/>
                              </a:lnTo>
                              <a:lnTo>
                                <a:pt x="273176" y="54610"/>
                              </a:lnTo>
                              <a:lnTo>
                                <a:pt x="275589" y="54610"/>
                              </a:lnTo>
                              <a:lnTo>
                                <a:pt x="278130" y="55880"/>
                              </a:lnTo>
                              <a:lnTo>
                                <a:pt x="285623" y="55880"/>
                              </a:lnTo>
                              <a:lnTo>
                                <a:pt x="292862" y="52070"/>
                              </a:lnTo>
                              <a:lnTo>
                                <a:pt x="295148" y="49530"/>
                              </a:lnTo>
                              <a:lnTo>
                                <a:pt x="296227" y="48260"/>
                              </a:lnTo>
                              <a:lnTo>
                                <a:pt x="280670" y="48260"/>
                              </a:lnTo>
                              <a:lnTo>
                                <a:pt x="277622" y="46989"/>
                              </a:lnTo>
                              <a:lnTo>
                                <a:pt x="274700" y="44450"/>
                              </a:lnTo>
                              <a:close/>
                            </a:path>
                            <a:path w="306070" h="302260">
                              <a:moveTo>
                                <a:pt x="304419" y="25400"/>
                              </a:moveTo>
                              <a:lnTo>
                                <a:pt x="293116" y="25400"/>
                              </a:lnTo>
                              <a:lnTo>
                                <a:pt x="297180" y="30480"/>
                              </a:lnTo>
                              <a:lnTo>
                                <a:pt x="297942" y="31750"/>
                              </a:lnTo>
                              <a:lnTo>
                                <a:pt x="296672" y="36830"/>
                              </a:lnTo>
                              <a:lnTo>
                                <a:pt x="295148" y="40639"/>
                              </a:lnTo>
                              <a:lnTo>
                                <a:pt x="289813" y="45720"/>
                              </a:lnTo>
                              <a:lnTo>
                                <a:pt x="286893" y="46989"/>
                              </a:lnTo>
                              <a:lnTo>
                                <a:pt x="283845" y="46989"/>
                              </a:lnTo>
                              <a:lnTo>
                                <a:pt x="280670" y="48260"/>
                              </a:lnTo>
                              <a:lnTo>
                                <a:pt x="296227" y="48260"/>
                              </a:lnTo>
                              <a:lnTo>
                                <a:pt x="297307" y="46989"/>
                              </a:lnTo>
                              <a:lnTo>
                                <a:pt x="299466" y="45720"/>
                              </a:lnTo>
                              <a:lnTo>
                                <a:pt x="301244" y="43180"/>
                              </a:lnTo>
                              <a:lnTo>
                                <a:pt x="304038" y="38100"/>
                              </a:lnTo>
                              <a:lnTo>
                                <a:pt x="305054" y="36830"/>
                              </a:lnTo>
                              <a:lnTo>
                                <a:pt x="305435" y="34289"/>
                              </a:lnTo>
                              <a:lnTo>
                                <a:pt x="305943" y="31750"/>
                              </a:lnTo>
                              <a:lnTo>
                                <a:pt x="305816" y="29210"/>
                              </a:lnTo>
                              <a:lnTo>
                                <a:pt x="305054" y="26670"/>
                              </a:lnTo>
                              <a:lnTo>
                                <a:pt x="304419" y="25400"/>
                              </a:lnTo>
                              <a:close/>
                            </a:path>
                            <a:path w="306070" h="302260">
                              <a:moveTo>
                                <a:pt x="275082" y="0"/>
                              </a:moveTo>
                              <a:lnTo>
                                <a:pt x="272796" y="0"/>
                              </a:lnTo>
                              <a:lnTo>
                                <a:pt x="268097" y="1270"/>
                              </a:lnTo>
                              <a:lnTo>
                                <a:pt x="265684" y="2539"/>
                              </a:lnTo>
                              <a:lnTo>
                                <a:pt x="263525" y="2539"/>
                              </a:lnTo>
                              <a:lnTo>
                                <a:pt x="261238" y="5080"/>
                              </a:lnTo>
                              <a:lnTo>
                                <a:pt x="259080" y="6350"/>
                              </a:lnTo>
                              <a:lnTo>
                                <a:pt x="255016" y="10160"/>
                              </a:lnTo>
                              <a:lnTo>
                                <a:pt x="253364" y="12700"/>
                              </a:lnTo>
                              <a:lnTo>
                                <a:pt x="251968" y="15239"/>
                              </a:lnTo>
                              <a:lnTo>
                                <a:pt x="250698" y="16510"/>
                              </a:lnTo>
                              <a:lnTo>
                                <a:pt x="249809" y="19050"/>
                              </a:lnTo>
                              <a:lnTo>
                                <a:pt x="249300" y="21589"/>
                              </a:lnTo>
                              <a:lnTo>
                                <a:pt x="248920" y="22860"/>
                              </a:lnTo>
                              <a:lnTo>
                                <a:pt x="249047" y="25400"/>
                              </a:lnTo>
                              <a:lnTo>
                                <a:pt x="249555" y="27939"/>
                              </a:lnTo>
                              <a:lnTo>
                                <a:pt x="250189" y="29210"/>
                              </a:lnTo>
                              <a:lnTo>
                                <a:pt x="251333" y="31750"/>
                              </a:lnTo>
                              <a:lnTo>
                                <a:pt x="255143" y="35560"/>
                              </a:lnTo>
                              <a:lnTo>
                                <a:pt x="257556" y="36830"/>
                              </a:lnTo>
                              <a:lnTo>
                                <a:pt x="265175" y="36830"/>
                              </a:lnTo>
                              <a:lnTo>
                                <a:pt x="268097" y="35560"/>
                              </a:lnTo>
                              <a:lnTo>
                                <a:pt x="271145" y="34289"/>
                              </a:lnTo>
                              <a:lnTo>
                                <a:pt x="274447" y="33020"/>
                              </a:lnTo>
                              <a:lnTo>
                                <a:pt x="278130" y="30480"/>
                              </a:lnTo>
                              <a:lnTo>
                                <a:pt x="282701" y="27939"/>
                              </a:lnTo>
                              <a:lnTo>
                                <a:pt x="260350" y="27939"/>
                              </a:lnTo>
                              <a:lnTo>
                                <a:pt x="257556" y="24130"/>
                              </a:lnTo>
                              <a:lnTo>
                                <a:pt x="256921" y="22860"/>
                              </a:lnTo>
                              <a:lnTo>
                                <a:pt x="258191" y="17780"/>
                              </a:lnTo>
                              <a:lnTo>
                                <a:pt x="259714" y="15239"/>
                              </a:lnTo>
                              <a:lnTo>
                                <a:pt x="262000" y="12700"/>
                              </a:lnTo>
                              <a:lnTo>
                                <a:pt x="264413" y="10160"/>
                              </a:lnTo>
                              <a:lnTo>
                                <a:pt x="266954" y="8889"/>
                              </a:lnTo>
                              <a:lnTo>
                                <a:pt x="281813" y="8889"/>
                              </a:lnTo>
                              <a:lnTo>
                                <a:pt x="284352" y="6350"/>
                              </a:lnTo>
                              <a:lnTo>
                                <a:pt x="282194" y="3810"/>
                              </a:lnTo>
                              <a:lnTo>
                                <a:pt x="279908" y="2539"/>
                              </a:lnTo>
                              <a:lnTo>
                                <a:pt x="275082" y="0"/>
                              </a:lnTo>
                              <a:close/>
                            </a:path>
                            <a:path w="306070" h="302260">
                              <a:moveTo>
                                <a:pt x="296418" y="16510"/>
                              </a:moveTo>
                              <a:lnTo>
                                <a:pt x="288798" y="16510"/>
                              </a:lnTo>
                              <a:lnTo>
                                <a:pt x="285876" y="17780"/>
                              </a:lnTo>
                              <a:lnTo>
                                <a:pt x="282956" y="17780"/>
                              </a:lnTo>
                              <a:lnTo>
                                <a:pt x="279781" y="20320"/>
                              </a:lnTo>
                              <a:lnTo>
                                <a:pt x="272923" y="24130"/>
                              </a:lnTo>
                              <a:lnTo>
                                <a:pt x="270256" y="25400"/>
                              </a:lnTo>
                              <a:lnTo>
                                <a:pt x="265938" y="27939"/>
                              </a:lnTo>
                              <a:lnTo>
                                <a:pt x="282701" y="27939"/>
                              </a:lnTo>
                              <a:lnTo>
                                <a:pt x="286258" y="26670"/>
                              </a:lnTo>
                              <a:lnTo>
                                <a:pt x="288544" y="25400"/>
                              </a:lnTo>
                              <a:lnTo>
                                <a:pt x="304419" y="25400"/>
                              </a:lnTo>
                              <a:lnTo>
                                <a:pt x="303022" y="22860"/>
                              </a:lnTo>
                              <a:lnTo>
                                <a:pt x="301117" y="20320"/>
                              </a:lnTo>
                              <a:lnTo>
                                <a:pt x="298704" y="19050"/>
                              </a:lnTo>
                              <a:lnTo>
                                <a:pt x="296418" y="16510"/>
                              </a:lnTo>
                              <a:close/>
                            </a:path>
                            <a:path w="306070" h="302260">
                              <a:moveTo>
                                <a:pt x="281813" y="8889"/>
                              </a:moveTo>
                              <a:lnTo>
                                <a:pt x="275209" y="8889"/>
                              </a:lnTo>
                              <a:lnTo>
                                <a:pt x="278002" y="12700"/>
                              </a:lnTo>
                              <a:lnTo>
                                <a:pt x="281813" y="8889"/>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1CEE0398" id="Graphic 130" o:spid="_x0000_s1026" style="position:absolute;margin-left:274.65pt;margin-top:23.4pt;width:24.1pt;height:23.8pt;z-index:-15699968;visibility:visible;mso-wrap-style:square;mso-wrap-distance-left:0;mso-wrap-distance-top:0;mso-wrap-distance-right:0;mso-wrap-distance-bottom:0;mso-position-horizontal:absolute;mso-position-horizontal-relative:page;mso-position-vertical:absolute;mso-position-vertical-relative:text;v-text-anchor:top" coordsize="306070,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" path="m6985,229870l,237489r40767,40641l42672,281939r380,2541l43307,287020r-1651,3810l35433,297180r5968,5080l48513,295910r2413,-3810l52197,288289r1142,-2539l53212,281939r-1269,-3809l50546,275589r-2540,-3809l6985,229870xem70358,207010r-4319,l57404,209550,41021,232410r169,2540l41275,236220r1650,5080l44450,245110r2921,5079l51562,254000r4063,3810l59817,260350r4445,1270l68580,264160r4318,l81407,261620r4064,-2540l89281,255270r-19431,l66929,252730,49657,232410r762,-6350l51943,223520r2667,-2540l60451,215900r25866,l83566,213360r-4318,-2540l70358,207010xem86317,215900r-16975,l72262,217170r2922,2540l89281,238760r-762,6350l86868,247650r-2921,2539l81280,252730r-2921,1270l72644,255270r16637,l93091,251460r2540,-3810l96647,243839r1142,-5079l97662,234950r-1524,-5080l94614,226060r-2793,-5080l86317,215900xem79248,187960r-6986,6350l125475,218439r7239,-7619l131578,208280r-9023,l79248,187960xem46355,187960r-7747,7620l41275,214630r5080,-5080l46355,187960xem108838,157480r-6730,7620l122555,208280r9023,l108838,157480xem152908,128270r-12192,l135000,130810r-9143,8890l123444,143510r-889,3810l121666,152400r254,2539l122047,156210r1778,3810l125602,165100r2795,3810l132334,172720r3683,3810l140081,179070r4318,1269l148717,182880r4318,l157480,181610r4445,l166243,179070r4191,-5081l150875,173989r-2920,-1269l145161,171450r-2667,-1270l139954,167639r4964,-5079l135127,162560r-3302,-3810l130175,154939r-127,-7619l131572,143510r3302,-2540l138049,137160r3428,-1271l163982,135889r-4978,-5079l152908,128270xem173227,144780r-6477,7620l169291,154939r1143,2541l170052,161289r-127,1271l169799,163830r-1524,2540l165226,168910r-2666,3810l159638,173989r10796,l178816,157480r-1270,-6350l175895,148589r-2668,-3809xem163982,135889r-15138,l152526,138430r3557,2540l135127,162560r9791,l167259,139700r-509,-1270l165735,138430r-509,-1270l163982,135889xem164719,101600r-6350,6350l196850,146050r6476,-6350l176149,113030r-381,-2541l175852,107950r-5038,l164719,101600xem205519,91439r-14384,l193039,92710r1779,1270l196723,95250r25653,25400l228981,114300,205519,91439xem186436,81280r-4318,2540l174498,91439r-2160,2541l171576,97789r-889,3811l170434,105410r380,2540l175852,107950r43,-1270l177164,100330r1779,-2541l183769,92710r1905,-1271l205519,91439r-1303,-1269l199771,85089r-4572,-2539l190881,82550r-4445,-1270xem240284,40639r-12320,l222250,43180r-9144,8890l210693,55880r-889,5080l208914,64770r27052,30480l244729,95250r4445,-1270l253492,91439r4191,-3809l241046,87630r-2921,-1270l235331,85089r-2921,-1269l229743,82550r-2541,-2540l232190,74930r-9814,l219075,71120r-1651,-3810l217297,59689r1651,-3809l225298,49530r3428,-1270l251015,48260r-4763,-3810l240284,40639xem260604,58420r-6604,6350l256539,67310r1144,2540l257378,73660r-102,1270l257175,76200r-1651,2539l249809,85089r-2795,1271l243967,86360r-2921,1270l257683,87630r3175,-3810l266064,69850r-1269,-6350l263144,60960r-2540,-2540xem251015,48260r-14922,l239775,50800r3684,3810l222376,74930r9814,l254635,52070r-254,l252602,49530r-1587,-1270xem274700,44450r-6350,6350l270637,53339r2539,1271l275589,54610r2541,1270l285623,55880r7239,-3810l295148,49530r1079,-1270l280670,48260r-3048,-1271l274700,44450xem304419,25400r-11303,l297180,30480r762,1270l296672,36830r-1524,3809l289813,45720r-2920,1269l283845,46989r-3175,1271l296227,48260r1080,-1271l299466,45720r1778,-2540l304038,38100r1016,-1270l305435,34289r508,-2539l305816,29210r-762,-2540l304419,25400xem275082,r-2286,l268097,1270r-2413,1269l263525,2539r-2287,2541l259080,6350r-4064,3810l253364,12700r-1396,2539l250698,16510r-889,2540l249300,21589r-380,1271l249047,25400r508,2539l250189,29210r1144,2540l255143,35560r2413,1270l265175,36830r2922,-1270l271145,34289r3302,-1269l278130,30480r4571,-2541l260350,27939r-2794,-3809l256921,22860r1270,-5080l259714,15239r2286,-2539l264413,10160r2541,-1271l281813,8889r2539,-2539l282194,3810,279908,2539,275082,xem296418,16510r-7620,l285876,17780r-2920,l279781,20320r-6858,3810l270256,25400r-4318,2539l282701,27939r3557,-1269l288544,25400r15875,l303022,22860r-1905,-2540l298704,19050r-2286,-2540xem281813,8889r-6604,l278002,12700r3811,-3811xe" fillcolor="#585858" stroked="f">
                <v:path arrowok="t"/>
                <w10:wrap type="topAndBottom" anchorx="page"/>
              </v:shape>
            </w:pict>
          </mc:Fallback>
        </mc:AlternateContent>
      </w:r>
      <w:r>
        <w:rPr>
          <w:rFonts w:ascii="Trebuchet MS"/>
          <w:noProof/>
          <w:sz w:val="20"/>
        </w:rPr>
        <w:drawing>
          <wp:anchor distT="0" distB="0" distL="0" distR="0" simplePos="0" relativeHeight="487617024" behindDoc="1" locked="0" layoutInCell="1" allowOverlap="1" wp14:anchorId="07C78F82" wp14:editId="0DD92F6B">
            <wp:simplePos x="0" y="0"/>
            <wp:positionH relativeFrom="page">
              <wp:posOffset>4266437</wp:posOffset>
            </wp:positionH>
            <wp:positionV relativeFrom="paragraph">
              <wp:posOffset>296521</wp:posOffset>
            </wp:positionV>
            <wp:extent cx="229719" cy="209550"/>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65" cstate="print"/>
                    <a:stretch>
                      <a:fillRect/>
                    </a:stretch>
                  </pic:blipFill>
                  <pic:spPr>
                    <a:xfrm>
                      <a:off x="0" y="0"/>
                      <a:ext cx="229719" cy="209550"/>
                    </a:xfrm>
                    <a:prstGeom prst="rect">
                      <a:avLst/>
                    </a:prstGeom>
                  </pic:spPr>
                </pic:pic>
              </a:graphicData>
            </a:graphic>
          </wp:anchor>
        </w:drawing>
      </w:r>
      <w:r>
        <w:rPr>
          <w:rFonts w:ascii="Trebuchet MS"/>
          <w:noProof/>
          <w:sz w:val="20"/>
        </w:rPr>
        <w:drawing>
          <wp:anchor distT="0" distB="0" distL="0" distR="0" simplePos="0" relativeHeight="487617536" behindDoc="1" locked="0" layoutInCell="1" allowOverlap="1" wp14:anchorId="5FFCD065" wp14:editId="00D39933">
            <wp:simplePos x="0" y="0"/>
            <wp:positionH relativeFrom="page">
              <wp:posOffset>4974463</wp:posOffset>
            </wp:positionH>
            <wp:positionV relativeFrom="paragraph">
              <wp:posOffset>279503</wp:posOffset>
            </wp:positionV>
            <wp:extent cx="897384" cy="804862"/>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66" cstate="print"/>
                    <a:stretch>
                      <a:fillRect/>
                    </a:stretch>
                  </pic:blipFill>
                  <pic:spPr>
                    <a:xfrm>
                      <a:off x="0" y="0"/>
                      <a:ext cx="897384" cy="804862"/>
                    </a:xfrm>
                    <a:prstGeom prst="rect">
                      <a:avLst/>
                    </a:prstGeom>
                  </pic:spPr>
                </pic:pic>
              </a:graphicData>
            </a:graphic>
          </wp:anchor>
        </w:drawing>
      </w:r>
    </w:p>
    <w:p w14:paraId="04F4C85B" w14:textId="77777777" w:rsidR="000E52B0" w:rsidRDefault="000E52B0">
      <w:pPr>
        <w:pStyle w:val="Textoindependiente"/>
        <w:spacing w:before="117"/>
        <w:ind w:left="0"/>
        <w:rPr>
          <w:rFonts w:ascii="Trebuchet MS"/>
          <w:sz w:val="18"/>
        </w:rPr>
      </w:pPr>
    </w:p>
    <w:p w14:paraId="3DB6FFBC" w14:textId="77777777" w:rsidR="000E52B0" w:rsidRDefault="00F60D74">
      <w:pPr>
        <w:jc w:val="center"/>
        <w:rPr>
          <w:i/>
          <w:sz w:val="18"/>
        </w:rPr>
      </w:pPr>
      <w:r>
        <w:rPr>
          <w:i/>
          <w:color w:val="454551"/>
          <w:sz w:val="18"/>
        </w:rPr>
        <w:t>Fuente</w:t>
      </w:r>
      <w:r>
        <w:rPr>
          <w:i/>
          <w:color w:val="454551"/>
          <w:spacing w:val="-5"/>
          <w:sz w:val="18"/>
        </w:rPr>
        <w:t xml:space="preserve"> </w:t>
      </w:r>
      <w:r>
        <w:rPr>
          <w:i/>
          <w:color w:val="454551"/>
          <w:sz w:val="18"/>
        </w:rPr>
        <w:t>9.</w:t>
      </w:r>
      <w:r>
        <w:rPr>
          <w:i/>
          <w:color w:val="454551"/>
          <w:spacing w:val="-4"/>
          <w:sz w:val="18"/>
        </w:rPr>
        <w:t xml:space="preserve"> </w:t>
      </w:r>
      <w:r>
        <w:rPr>
          <w:i/>
          <w:color w:val="454551"/>
          <w:sz w:val="18"/>
        </w:rPr>
        <w:t>Elaboración</w:t>
      </w:r>
      <w:r>
        <w:rPr>
          <w:i/>
          <w:color w:val="454551"/>
          <w:spacing w:val="-2"/>
          <w:sz w:val="18"/>
        </w:rPr>
        <w:t xml:space="preserve"> </w:t>
      </w:r>
      <w:r>
        <w:rPr>
          <w:i/>
          <w:color w:val="454551"/>
          <w:sz w:val="18"/>
        </w:rPr>
        <w:t>propia</w:t>
      </w:r>
      <w:r>
        <w:rPr>
          <w:i/>
          <w:color w:val="454551"/>
          <w:spacing w:val="-3"/>
          <w:sz w:val="18"/>
        </w:rPr>
        <w:t xml:space="preserve"> </w:t>
      </w:r>
      <w:r>
        <w:rPr>
          <w:i/>
          <w:color w:val="454551"/>
          <w:sz w:val="18"/>
        </w:rPr>
        <w:t>con</w:t>
      </w:r>
      <w:r>
        <w:rPr>
          <w:i/>
          <w:color w:val="454551"/>
          <w:spacing w:val="-2"/>
          <w:sz w:val="18"/>
        </w:rPr>
        <w:t xml:space="preserve"> </w:t>
      </w:r>
      <w:r>
        <w:rPr>
          <w:i/>
          <w:color w:val="454551"/>
          <w:sz w:val="18"/>
        </w:rPr>
        <w:t>base</w:t>
      </w:r>
      <w:r>
        <w:rPr>
          <w:i/>
          <w:color w:val="454551"/>
          <w:spacing w:val="-3"/>
          <w:sz w:val="18"/>
        </w:rPr>
        <w:t xml:space="preserve"> </w:t>
      </w:r>
      <w:r>
        <w:rPr>
          <w:i/>
          <w:color w:val="454551"/>
          <w:sz w:val="18"/>
        </w:rPr>
        <w:t>en</w:t>
      </w:r>
      <w:r>
        <w:rPr>
          <w:i/>
          <w:color w:val="454551"/>
          <w:spacing w:val="-2"/>
          <w:sz w:val="18"/>
        </w:rPr>
        <w:t xml:space="preserve"> </w:t>
      </w:r>
      <w:r>
        <w:rPr>
          <w:i/>
          <w:color w:val="454551"/>
          <w:sz w:val="18"/>
        </w:rPr>
        <w:t>CNPV,</w:t>
      </w:r>
      <w:r>
        <w:rPr>
          <w:i/>
          <w:color w:val="454551"/>
          <w:spacing w:val="-4"/>
          <w:sz w:val="18"/>
        </w:rPr>
        <w:t xml:space="preserve"> </w:t>
      </w:r>
      <w:r>
        <w:rPr>
          <w:i/>
          <w:color w:val="454551"/>
          <w:spacing w:val="-2"/>
          <w:sz w:val="18"/>
        </w:rPr>
        <w:t>2018.</w:t>
      </w:r>
    </w:p>
    <w:p w14:paraId="307D9D60" w14:textId="77777777" w:rsidR="000E52B0" w:rsidRDefault="00F60D74">
      <w:pPr>
        <w:pStyle w:val="Textoindependiente"/>
        <w:spacing w:before="202"/>
        <w:ind w:right="717"/>
        <w:jc w:val="both"/>
      </w:pPr>
      <w:r>
        <w:t>De acuerdo con la Encuesta de Uso del Tiempo (DANE 2020), las mujeres son las que con mayor frecuencia proveen para sus madres y padres, y cuidan</w:t>
      </w:r>
      <w:r>
        <w:rPr>
          <w:spacing w:val="-2"/>
        </w:rPr>
        <w:t xml:space="preserve"> </w:t>
      </w:r>
      <w:r>
        <w:t>de</w:t>
      </w:r>
      <w:r>
        <w:rPr>
          <w:spacing w:val="-3"/>
        </w:rPr>
        <w:t xml:space="preserve"> </w:t>
      </w:r>
      <w:r>
        <w:t>ellos</w:t>
      </w:r>
      <w:r>
        <w:rPr>
          <w:spacing w:val="-3"/>
        </w:rPr>
        <w:t xml:space="preserve"> </w:t>
      </w:r>
      <w:r>
        <w:t>y</w:t>
      </w:r>
      <w:r>
        <w:rPr>
          <w:spacing w:val="-2"/>
        </w:rPr>
        <w:t xml:space="preserve"> </w:t>
      </w:r>
      <w:r>
        <w:t>ellas.</w:t>
      </w:r>
      <w:r>
        <w:rPr>
          <w:spacing w:val="-5"/>
        </w:rPr>
        <w:t xml:space="preserve"> </w:t>
      </w:r>
      <w:r>
        <w:t>El</w:t>
      </w:r>
      <w:r>
        <w:rPr>
          <w:spacing w:val="-3"/>
        </w:rPr>
        <w:t xml:space="preserve"> </w:t>
      </w:r>
      <w:r>
        <w:t>16%</w:t>
      </w:r>
      <w:r>
        <w:rPr>
          <w:spacing w:val="-3"/>
        </w:rPr>
        <w:t xml:space="preserve"> </w:t>
      </w:r>
      <w:r>
        <w:t>de</w:t>
      </w:r>
      <w:r>
        <w:rPr>
          <w:spacing w:val="-3"/>
        </w:rPr>
        <w:t xml:space="preserve"> </w:t>
      </w:r>
      <w:r>
        <w:t>las</w:t>
      </w:r>
      <w:r>
        <w:rPr>
          <w:spacing w:val="-4"/>
        </w:rPr>
        <w:t xml:space="preserve"> </w:t>
      </w:r>
      <w:r>
        <w:t>mujeres</w:t>
      </w:r>
      <w:r>
        <w:rPr>
          <w:spacing w:val="-4"/>
        </w:rPr>
        <w:t xml:space="preserve"> </w:t>
      </w:r>
      <w:r>
        <w:t>se</w:t>
      </w:r>
      <w:r>
        <w:rPr>
          <w:spacing w:val="-3"/>
        </w:rPr>
        <w:t xml:space="preserve"> </w:t>
      </w:r>
      <w:r>
        <w:t>ocupan</w:t>
      </w:r>
      <w:r>
        <w:rPr>
          <w:spacing w:val="-4"/>
        </w:rPr>
        <w:t xml:space="preserve"> </w:t>
      </w:r>
      <w:r>
        <w:t>sin</w:t>
      </w:r>
      <w:r>
        <w:rPr>
          <w:spacing w:val="-4"/>
        </w:rPr>
        <w:t xml:space="preserve"> </w:t>
      </w:r>
      <w:r>
        <w:t>remuneración del</w:t>
      </w:r>
      <w:r>
        <w:rPr>
          <w:spacing w:val="-6"/>
        </w:rPr>
        <w:t xml:space="preserve"> </w:t>
      </w:r>
      <w:r>
        <w:t>cuidado</w:t>
      </w:r>
      <w:r>
        <w:rPr>
          <w:spacing w:val="-5"/>
        </w:rPr>
        <w:t xml:space="preserve"> </w:t>
      </w:r>
      <w:r>
        <w:t>físico</w:t>
      </w:r>
      <w:r>
        <w:rPr>
          <w:spacing w:val="-2"/>
        </w:rPr>
        <w:t xml:space="preserve"> </w:t>
      </w:r>
      <w:r>
        <w:t>de</w:t>
      </w:r>
      <w:r>
        <w:rPr>
          <w:spacing w:val="-4"/>
        </w:rPr>
        <w:t xml:space="preserve"> </w:t>
      </w:r>
      <w:r>
        <w:t>otra</w:t>
      </w:r>
      <w:r>
        <w:rPr>
          <w:spacing w:val="-5"/>
        </w:rPr>
        <w:t xml:space="preserve"> </w:t>
      </w:r>
      <w:r>
        <w:t>persona</w:t>
      </w:r>
      <w:r>
        <w:rPr>
          <w:spacing w:val="-5"/>
        </w:rPr>
        <w:t xml:space="preserve"> </w:t>
      </w:r>
      <w:r>
        <w:t>en</w:t>
      </w:r>
      <w:r>
        <w:rPr>
          <w:spacing w:val="-6"/>
        </w:rPr>
        <w:t xml:space="preserve"> </w:t>
      </w:r>
      <w:r>
        <w:t>el</w:t>
      </w:r>
      <w:r>
        <w:rPr>
          <w:spacing w:val="-4"/>
        </w:rPr>
        <w:t xml:space="preserve"> </w:t>
      </w:r>
      <w:r>
        <w:t>hogar,</w:t>
      </w:r>
      <w:r>
        <w:rPr>
          <w:spacing w:val="-6"/>
        </w:rPr>
        <w:t xml:space="preserve"> </w:t>
      </w:r>
      <w:r>
        <w:t>y</w:t>
      </w:r>
      <w:r>
        <w:rPr>
          <w:spacing w:val="-6"/>
        </w:rPr>
        <w:t xml:space="preserve"> </w:t>
      </w:r>
      <w:r>
        <w:t>en</w:t>
      </w:r>
      <w:r>
        <w:rPr>
          <w:spacing w:val="-6"/>
        </w:rPr>
        <w:t xml:space="preserve"> </w:t>
      </w:r>
      <w:r>
        <w:t>el</w:t>
      </w:r>
      <w:r>
        <w:rPr>
          <w:spacing w:val="-4"/>
        </w:rPr>
        <w:t xml:space="preserve"> </w:t>
      </w:r>
      <w:r>
        <w:t>caso</w:t>
      </w:r>
      <w:r>
        <w:rPr>
          <w:spacing w:val="-2"/>
        </w:rPr>
        <w:t xml:space="preserve"> </w:t>
      </w:r>
      <w:r>
        <w:t>de</w:t>
      </w:r>
      <w:r>
        <w:rPr>
          <w:spacing w:val="-4"/>
        </w:rPr>
        <w:t xml:space="preserve"> </w:t>
      </w:r>
      <w:r>
        <w:t>los</w:t>
      </w:r>
      <w:r>
        <w:rPr>
          <w:spacing w:val="-5"/>
        </w:rPr>
        <w:t xml:space="preserve"> </w:t>
      </w:r>
      <w:r>
        <w:t>hombres solo el 2,8% lo hace. Las mujeres rurales (20,4%) y las mujeres jóvenes entre 18 y 29 años (31%), son las que dedican más tiempo al cuidado de otras personas.</w:t>
      </w:r>
    </w:p>
    <w:p w14:paraId="5E0B29B0" w14:textId="77777777" w:rsidR="000E52B0" w:rsidRDefault="00F60D74">
      <w:pPr>
        <w:pStyle w:val="Textoindependiente"/>
        <w:spacing w:before="161"/>
        <w:ind w:right="718"/>
        <w:jc w:val="both"/>
      </w:pPr>
      <w:r>
        <w:t>Asimismo,</w:t>
      </w:r>
      <w:r>
        <w:rPr>
          <w:spacing w:val="-10"/>
        </w:rPr>
        <w:t xml:space="preserve"> </w:t>
      </w:r>
      <w:r>
        <w:t>el</w:t>
      </w:r>
      <w:r>
        <w:rPr>
          <w:spacing w:val="-10"/>
        </w:rPr>
        <w:t xml:space="preserve"> </w:t>
      </w:r>
      <w:r>
        <w:t>embarazo</w:t>
      </w:r>
      <w:r>
        <w:rPr>
          <w:spacing w:val="-8"/>
        </w:rPr>
        <w:t xml:space="preserve"> </w:t>
      </w:r>
      <w:r>
        <w:t>y</w:t>
      </w:r>
      <w:r>
        <w:rPr>
          <w:spacing w:val="-9"/>
        </w:rPr>
        <w:t xml:space="preserve"> </w:t>
      </w:r>
      <w:r>
        <w:t>las</w:t>
      </w:r>
      <w:r>
        <w:rPr>
          <w:spacing w:val="-9"/>
        </w:rPr>
        <w:t xml:space="preserve"> </w:t>
      </w:r>
      <w:r>
        <w:t>uniones</w:t>
      </w:r>
      <w:r>
        <w:rPr>
          <w:spacing w:val="-8"/>
        </w:rPr>
        <w:t xml:space="preserve"> </w:t>
      </w:r>
      <w:r>
        <w:t>tempranas</w:t>
      </w:r>
      <w:r>
        <w:rPr>
          <w:spacing w:val="-9"/>
        </w:rPr>
        <w:t xml:space="preserve"> </w:t>
      </w:r>
      <w:r>
        <w:t>impactan</w:t>
      </w:r>
      <w:r>
        <w:rPr>
          <w:spacing w:val="-10"/>
        </w:rPr>
        <w:t xml:space="preserve"> </w:t>
      </w:r>
      <w:r>
        <w:t>la</w:t>
      </w:r>
      <w:r>
        <w:rPr>
          <w:spacing w:val="-9"/>
        </w:rPr>
        <w:t xml:space="preserve"> </w:t>
      </w:r>
      <w:r>
        <w:t>posibilidad</w:t>
      </w:r>
      <w:r>
        <w:rPr>
          <w:spacing w:val="-7"/>
        </w:rPr>
        <w:t xml:space="preserve"> </w:t>
      </w:r>
      <w:r>
        <w:t>de tomar</w:t>
      </w:r>
      <w:r>
        <w:rPr>
          <w:spacing w:val="-13"/>
        </w:rPr>
        <w:t xml:space="preserve"> </w:t>
      </w:r>
      <w:r>
        <w:t>decisiones</w:t>
      </w:r>
      <w:r>
        <w:rPr>
          <w:spacing w:val="-14"/>
        </w:rPr>
        <w:t xml:space="preserve"> </w:t>
      </w:r>
      <w:r>
        <w:t>libres</w:t>
      </w:r>
      <w:r>
        <w:rPr>
          <w:spacing w:val="-14"/>
        </w:rPr>
        <w:t xml:space="preserve"> </w:t>
      </w:r>
      <w:r>
        <w:t>y</w:t>
      </w:r>
      <w:r>
        <w:rPr>
          <w:spacing w:val="-14"/>
        </w:rPr>
        <w:t xml:space="preserve"> </w:t>
      </w:r>
      <w:r>
        <w:t>autónomas</w:t>
      </w:r>
      <w:r>
        <w:rPr>
          <w:spacing w:val="-14"/>
        </w:rPr>
        <w:t xml:space="preserve"> </w:t>
      </w:r>
      <w:r>
        <w:t>sobre</w:t>
      </w:r>
      <w:r>
        <w:rPr>
          <w:spacing w:val="-12"/>
        </w:rPr>
        <w:t xml:space="preserve"> </w:t>
      </w:r>
      <w:r>
        <w:t>las</w:t>
      </w:r>
      <w:r>
        <w:rPr>
          <w:spacing w:val="-14"/>
        </w:rPr>
        <w:t xml:space="preserve"> </w:t>
      </w:r>
      <w:r>
        <w:t>trayectorias</w:t>
      </w:r>
      <w:r>
        <w:rPr>
          <w:spacing w:val="-14"/>
        </w:rPr>
        <w:t xml:space="preserve"> </w:t>
      </w:r>
      <w:r>
        <w:t>de</w:t>
      </w:r>
      <w:r>
        <w:rPr>
          <w:spacing w:val="-13"/>
        </w:rPr>
        <w:t xml:space="preserve"> </w:t>
      </w:r>
      <w:r>
        <w:t>vida,</w:t>
      </w:r>
      <w:r>
        <w:rPr>
          <w:spacing w:val="-15"/>
        </w:rPr>
        <w:t xml:space="preserve"> </w:t>
      </w:r>
      <w:r>
        <w:t>y</w:t>
      </w:r>
      <w:r>
        <w:rPr>
          <w:spacing w:val="-14"/>
        </w:rPr>
        <w:t xml:space="preserve"> </w:t>
      </w:r>
      <w:r>
        <w:t>sobre la forma en la que obtienen y distribuyen los recursos. De acuerdo con el CNPV, 48 de cada 1000 adolescentes menores de 18 años están o han estado en unión marital o matrimonio, y 15 de cada 1000 niñas menores de</w:t>
      </w:r>
      <w:r>
        <w:rPr>
          <w:spacing w:val="-9"/>
        </w:rPr>
        <w:t xml:space="preserve"> </w:t>
      </w:r>
      <w:r>
        <w:t>14</w:t>
      </w:r>
      <w:r>
        <w:rPr>
          <w:spacing w:val="-9"/>
        </w:rPr>
        <w:t xml:space="preserve"> </w:t>
      </w:r>
      <w:r>
        <w:t>años</w:t>
      </w:r>
      <w:r>
        <w:rPr>
          <w:spacing w:val="-10"/>
        </w:rPr>
        <w:t xml:space="preserve"> </w:t>
      </w:r>
      <w:r>
        <w:t>habrían</w:t>
      </w:r>
      <w:r>
        <w:rPr>
          <w:spacing w:val="-8"/>
        </w:rPr>
        <w:t xml:space="preserve"> </w:t>
      </w:r>
      <w:r>
        <w:t>estado</w:t>
      </w:r>
      <w:r>
        <w:rPr>
          <w:spacing w:val="-10"/>
        </w:rPr>
        <w:t xml:space="preserve"> </w:t>
      </w:r>
      <w:r>
        <w:t>en</w:t>
      </w:r>
      <w:r>
        <w:rPr>
          <w:spacing w:val="-11"/>
        </w:rPr>
        <w:t xml:space="preserve"> </w:t>
      </w:r>
      <w:r>
        <w:t>una</w:t>
      </w:r>
      <w:r>
        <w:rPr>
          <w:spacing w:val="-10"/>
        </w:rPr>
        <w:t xml:space="preserve"> </w:t>
      </w:r>
      <w:r>
        <w:t>situación</w:t>
      </w:r>
      <w:r>
        <w:rPr>
          <w:spacing w:val="-11"/>
        </w:rPr>
        <w:t xml:space="preserve"> </w:t>
      </w:r>
      <w:r>
        <w:t>equivalente.</w:t>
      </w:r>
      <w:r>
        <w:rPr>
          <w:spacing w:val="-11"/>
        </w:rPr>
        <w:t xml:space="preserve"> </w:t>
      </w:r>
      <w:r>
        <w:t>Este</w:t>
      </w:r>
      <w:r>
        <w:rPr>
          <w:spacing w:val="-9"/>
        </w:rPr>
        <w:t xml:space="preserve"> </w:t>
      </w:r>
      <w:r>
        <w:t>panorama</w:t>
      </w:r>
      <w:r>
        <w:rPr>
          <w:spacing w:val="-10"/>
        </w:rPr>
        <w:t xml:space="preserve"> </w:t>
      </w:r>
      <w:r>
        <w:t>es más</w:t>
      </w:r>
      <w:r>
        <w:rPr>
          <w:spacing w:val="-10"/>
        </w:rPr>
        <w:t xml:space="preserve"> </w:t>
      </w:r>
      <w:r>
        <w:t>crítico</w:t>
      </w:r>
      <w:r>
        <w:rPr>
          <w:spacing w:val="-9"/>
        </w:rPr>
        <w:t xml:space="preserve"> </w:t>
      </w:r>
      <w:r>
        <w:t>entre</w:t>
      </w:r>
      <w:r>
        <w:rPr>
          <w:spacing w:val="-8"/>
        </w:rPr>
        <w:t xml:space="preserve"> </w:t>
      </w:r>
      <w:r>
        <w:t>las</w:t>
      </w:r>
      <w:r>
        <w:rPr>
          <w:spacing w:val="-8"/>
        </w:rPr>
        <w:t xml:space="preserve"> </w:t>
      </w:r>
      <w:r>
        <w:t>niñas</w:t>
      </w:r>
      <w:r>
        <w:rPr>
          <w:spacing w:val="-10"/>
        </w:rPr>
        <w:t xml:space="preserve"> </w:t>
      </w:r>
      <w:r>
        <w:t>y</w:t>
      </w:r>
      <w:r>
        <w:rPr>
          <w:spacing w:val="-10"/>
        </w:rPr>
        <w:t xml:space="preserve"> </w:t>
      </w:r>
      <w:r>
        <w:t>adolescentes</w:t>
      </w:r>
      <w:r>
        <w:rPr>
          <w:spacing w:val="-10"/>
        </w:rPr>
        <w:t xml:space="preserve"> </w:t>
      </w:r>
      <w:r>
        <w:t>indígenas</w:t>
      </w:r>
      <w:r>
        <w:rPr>
          <w:spacing w:val="-10"/>
        </w:rPr>
        <w:t xml:space="preserve"> </w:t>
      </w:r>
      <w:r>
        <w:t>y</w:t>
      </w:r>
      <w:r>
        <w:rPr>
          <w:spacing w:val="-10"/>
        </w:rPr>
        <w:t xml:space="preserve"> </w:t>
      </w:r>
      <w:r>
        <w:t>afrodescendientes,</w:t>
      </w:r>
      <w:r>
        <w:rPr>
          <w:spacing w:val="-11"/>
        </w:rPr>
        <w:t xml:space="preserve"> </w:t>
      </w:r>
      <w:r>
        <w:t>y aquellas que viven en ámbitos rurales y las migrantes.</w:t>
      </w:r>
    </w:p>
    <w:p w14:paraId="6D4B3F85" w14:textId="77777777" w:rsidR="000E52B0" w:rsidRDefault="000E52B0">
      <w:pPr>
        <w:pStyle w:val="Textoindependiente"/>
        <w:ind w:left="0"/>
        <w:rPr>
          <w:sz w:val="20"/>
        </w:rPr>
      </w:pPr>
    </w:p>
    <w:p w14:paraId="7AD0B172" w14:textId="77777777" w:rsidR="000E52B0" w:rsidRDefault="000E52B0">
      <w:pPr>
        <w:pStyle w:val="Textoindependiente"/>
        <w:ind w:left="0"/>
        <w:rPr>
          <w:sz w:val="20"/>
        </w:rPr>
      </w:pPr>
    </w:p>
    <w:p w14:paraId="3334646A" w14:textId="77777777" w:rsidR="000E52B0" w:rsidRDefault="000E52B0">
      <w:pPr>
        <w:pStyle w:val="Textoindependiente"/>
        <w:ind w:left="0"/>
        <w:rPr>
          <w:sz w:val="20"/>
        </w:rPr>
      </w:pPr>
    </w:p>
    <w:p w14:paraId="7BFD160A" w14:textId="77777777" w:rsidR="000E52B0" w:rsidRDefault="000E52B0">
      <w:pPr>
        <w:pStyle w:val="Textoindependiente"/>
        <w:ind w:left="0"/>
        <w:rPr>
          <w:sz w:val="20"/>
        </w:rPr>
      </w:pPr>
    </w:p>
    <w:p w14:paraId="37436E2D" w14:textId="77777777" w:rsidR="000E52B0" w:rsidRDefault="000E52B0">
      <w:pPr>
        <w:pStyle w:val="Textoindependiente"/>
        <w:ind w:left="0"/>
        <w:rPr>
          <w:sz w:val="20"/>
        </w:rPr>
      </w:pPr>
    </w:p>
    <w:p w14:paraId="30E68798" w14:textId="77777777" w:rsidR="000E52B0" w:rsidRDefault="000E52B0">
      <w:pPr>
        <w:pStyle w:val="Textoindependiente"/>
        <w:ind w:left="0"/>
        <w:rPr>
          <w:sz w:val="20"/>
        </w:rPr>
      </w:pPr>
    </w:p>
    <w:p w14:paraId="16ECA47E" w14:textId="77777777" w:rsidR="000E52B0" w:rsidRDefault="00F60D74">
      <w:pPr>
        <w:pStyle w:val="Textoindependiente"/>
        <w:spacing w:before="141"/>
        <w:ind w:left="0"/>
        <w:rPr>
          <w:sz w:val="20"/>
        </w:rPr>
      </w:pPr>
      <w:r>
        <w:rPr>
          <w:noProof/>
          <w:sz w:val="20"/>
        </w:rPr>
        <mc:AlternateContent>
          <mc:Choice Requires="wps">
            <w:drawing>
              <wp:anchor distT="0" distB="0" distL="0" distR="0" simplePos="0" relativeHeight="487618048" behindDoc="1" locked="0" layoutInCell="1" allowOverlap="1" wp14:anchorId="50A8D939" wp14:editId="78A2332D">
                <wp:simplePos x="0" y="0"/>
                <wp:positionH relativeFrom="page">
                  <wp:posOffset>914704</wp:posOffset>
                </wp:positionH>
                <wp:positionV relativeFrom="paragraph">
                  <wp:posOffset>259119</wp:posOffset>
                </wp:positionV>
                <wp:extent cx="1829435" cy="762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5D0C36" id="Graphic 133" o:spid="_x0000_s1026" style="position:absolute;margin-left:1in;margin-top:20.4pt;width:144.05pt;height:.6pt;z-index:-156984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" path="m1829054,l,,,7619r1829054,l1829054,xe" fillcolor="black" stroked="f">
                <v:path arrowok="t"/>
                <w10:wrap type="topAndBottom" anchorx="page"/>
              </v:shape>
            </w:pict>
          </mc:Fallback>
        </mc:AlternateContent>
      </w:r>
    </w:p>
    <w:p w14:paraId="0F6F3A30" w14:textId="77777777" w:rsidR="000E52B0" w:rsidRDefault="00F60D74">
      <w:pPr>
        <w:spacing w:before="96"/>
        <w:ind w:left="720"/>
        <w:rPr>
          <w:rFonts w:ascii="Arial MT" w:hAnsi="Arial MT"/>
          <w:sz w:val="18"/>
        </w:rPr>
      </w:pPr>
      <w:bookmarkStart w:id="20" w:name="_bookmark20"/>
      <w:bookmarkEnd w:id="20"/>
      <w:r>
        <w:rPr>
          <w:rFonts w:ascii="Arial MT" w:hAnsi="Arial MT"/>
          <w:position w:val="6"/>
          <w:sz w:val="12"/>
        </w:rPr>
        <w:t>15</w:t>
      </w:r>
      <w:r>
        <w:rPr>
          <w:rFonts w:ascii="Arial MT" w:hAnsi="Arial MT"/>
          <w:spacing w:val="13"/>
          <w:position w:val="6"/>
          <w:sz w:val="12"/>
        </w:rPr>
        <w:t xml:space="preserve"> </w:t>
      </w:r>
      <w:r>
        <w:rPr>
          <w:rFonts w:ascii="Arial MT" w:hAnsi="Arial MT"/>
          <w:sz w:val="18"/>
        </w:rPr>
        <w:t>DANE.</w:t>
      </w:r>
      <w:r>
        <w:rPr>
          <w:rFonts w:ascii="Arial MT" w:hAnsi="Arial MT"/>
          <w:spacing w:val="-3"/>
          <w:sz w:val="18"/>
        </w:rPr>
        <w:t xml:space="preserve"> </w:t>
      </w:r>
      <w:r>
        <w:rPr>
          <w:rFonts w:ascii="Arial MT" w:hAnsi="Arial MT"/>
          <w:sz w:val="18"/>
        </w:rPr>
        <w:t>Censo</w:t>
      </w:r>
      <w:r>
        <w:rPr>
          <w:rFonts w:ascii="Arial MT" w:hAnsi="Arial MT"/>
          <w:spacing w:val="-3"/>
          <w:sz w:val="18"/>
        </w:rPr>
        <w:t xml:space="preserve"> </w:t>
      </w:r>
      <w:r>
        <w:rPr>
          <w:rFonts w:ascii="Arial MT" w:hAnsi="Arial MT"/>
          <w:sz w:val="18"/>
        </w:rPr>
        <w:t>Nacional</w:t>
      </w:r>
      <w:r>
        <w:rPr>
          <w:rFonts w:ascii="Arial MT" w:hAnsi="Arial MT"/>
          <w:spacing w:val="-3"/>
          <w:sz w:val="18"/>
        </w:rPr>
        <w:t xml:space="preserve"> </w:t>
      </w:r>
      <w:r>
        <w:rPr>
          <w:rFonts w:ascii="Arial MT" w:hAnsi="Arial MT"/>
          <w:sz w:val="18"/>
        </w:rPr>
        <w:t>de</w:t>
      </w:r>
      <w:r>
        <w:rPr>
          <w:rFonts w:ascii="Arial MT" w:hAnsi="Arial MT"/>
          <w:spacing w:val="-3"/>
          <w:sz w:val="18"/>
        </w:rPr>
        <w:t xml:space="preserve"> </w:t>
      </w:r>
      <w:r>
        <w:rPr>
          <w:rFonts w:ascii="Arial MT" w:hAnsi="Arial MT"/>
          <w:sz w:val="18"/>
        </w:rPr>
        <w:t>Población</w:t>
      </w:r>
      <w:r>
        <w:rPr>
          <w:rFonts w:ascii="Arial MT" w:hAnsi="Arial MT"/>
          <w:spacing w:val="-5"/>
          <w:sz w:val="18"/>
        </w:rPr>
        <w:t xml:space="preserve"> </w:t>
      </w:r>
      <w:r>
        <w:rPr>
          <w:rFonts w:ascii="Arial MT" w:hAnsi="Arial MT"/>
          <w:sz w:val="18"/>
        </w:rPr>
        <w:t>y</w:t>
      </w:r>
      <w:r>
        <w:rPr>
          <w:rFonts w:ascii="Arial MT" w:hAnsi="Arial MT"/>
          <w:spacing w:val="-2"/>
          <w:sz w:val="18"/>
        </w:rPr>
        <w:t xml:space="preserve"> Vivienda.</w:t>
      </w:r>
    </w:p>
    <w:p w14:paraId="3917F0B2" w14:textId="77777777" w:rsidR="000E52B0" w:rsidRDefault="000E52B0">
      <w:pPr>
        <w:rPr>
          <w:rFonts w:ascii="Arial MT" w:hAnsi="Arial MT"/>
          <w:sz w:val="18"/>
        </w:rPr>
        <w:sectPr w:rsidR="000E52B0">
          <w:pgSz w:w="11910" w:h="16840"/>
          <w:pgMar w:top="1340" w:right="720" w:bottom="1180" w:left="720" w:header="0" w:footer="995" w:gutter="0"/>
          <w:cols w:space="720"/>
        </w:sectPr>
      </w:pPr>
    </w:p>
    <w:p w14:paraId="6679AB69" w14:textId="77777777" w:rsidR="000E52B0" w:rsidRDefault="00F60D74">
      <w:pPr>
        <w:spacing w:before="80"/>
        <w:ind w:left="727"/>
        <w:rPr>
          <w:i/>
          <w:sz w:val="18"/>
        </w:rPr>
      </w:pPr>
      <w:r>
        <w:rPr>
          <w:i/>
          <w:color w:val="454551"/>
          <w:sz w:val="18"/>
        </w:rPr>
        <w:lastRenderedPageBreak/>
        <w:t>Ilustración</w:t>
      </w:r>
      <w:r>
        <w:rPr>
          <w:i/>
          <w:color w:val="454551"/>
          <w:spacing w:val="-1"/>
          <w:sz w:val="18"/>
        </w:rPr>
        <w:t xml:space="preserve"> </w:t>
      </w:r>
      <w:r>
        <w:rPr>
          <w:i/>
          <w:color w:val="454551"/>
          <w:sz w:val="18"/>
        </w:rPr>
        <w:t>20.</w:t>
      </w:r>
      <w:r>
        <w:rPr>
          <w:i/>
          <w:color w:val="454551"/>
          <w:spacing w:val="-4"/>
          <w:sz w:val="18"/>
        </w:rPr>
        <w:t xml:space="preserve"> </w:t>
      </w:r>
      <w:r>
        <w:rPr>
          <w:i/>
          <w:color w:val="454551"/>
          <w:sz w:val="18"/>
        </w:rPr>
        <w:t>Niñas</w:t>
      </w:r>
      <w:r>
        <w:rPr>
          <w:i/>
          <w:color w:val="454551"/>
          <w:spacing w:val="-3"/>
          <w:sz w:val="18"/>
        </w:rPr>
        <w:t xml:space="preserve"> </w:t>
      </w:r>
      <w:r>
        <w:rPr>
          <w:i/>
          <w:color w:val="454551"/>
          <w:sz w:val="18"/>
        </w:rPr>
        <w:t>y</w:t>
      </w:r>
      <w:r>
        <w:rPr>
          <w:i/>
          <w:color w:val="454551"/>
          <w:spacing w:val="-4"/>
          <w:sz w:val="18"/>
        </w:rPr>
        <w:t xml:space="preserve"> </w:t>
      </w:r>
      <w:r>
        <w:rPr>
          <w:i/>
          <w:color w:val="454551"/>
          <w:sz w:val="18"/>
        </w:rPr>
        <w:t>adolescentes</w:t>
      </w:r>
      <w:r>
        <w:rPr>
          <w:i/>
          <w:color w:val="454551"/>
          <w:spacing w:val="-2"/>
          <w:sz w:val="18"/>
        </w:rPr>
        <w:t xml:space="preserve"> </w:t>
      </w:r>
      <w:r>
        <w:rPr>
          <w:i/>
          <w:color w:val="454551"/>
          <w:sz w:val="18"/>
        </w:rPr>
        <w:t>que</w:t>
      </w:r>
      <w:r>
        <w:rPr>
          <w:i/>
          <w:color w:val="454551"/>
          <w:spacing w:val="-3"/>
          <w:sz w:val="18"/>
        </w:rPr>
        <w:t xml:space="preserve"> </w:t>
      </w:r>
      <w:r>
        <w:rPr>
          <w:i/>
          <w:color w:val="454551"/>
          <w:sz w:val="18"/>
        </w:rPr>
        <w:t>están</w:t>
      </w:r>
      <w:r>
        <w:rPr>
          <w:i/>
          <w:color w:val="454551"/>
          <w:spacing w:val="-1"/>
          <w:sz w:val="18"/>
        </w:rPr>
        <w:t xml:space="preserve"> </w:t>
      </w:r>
      <w:r>
        <w:rPr>
          <w:i/>
          <w:color w:val="454551"/>
          <w:sz w:val="18"/>
        </w:rPr>
        <w:t>o</w:t>
      </w:r>
      <w:r>
        <w:rPr>
          <w:i/>
          <w:color w:val="454551"/>
          <w:spacing w:val="-2"/>
          <w:sz w:val="18"/>
        </w:rPr>
        <w:t xml:space="preserve"> </w:t>
      </w:r>
      <w:r>
        <w:rPr>
          <w:i/>
          <w:color w:val="454551"/>
          <w:sz w:val="18"/>
        </w:rPr>
        <w:t>han</w:t>
      </w:r>
      <w:r>
        <w:rPr>
          <w:i/>
          <w:color w:val="454551"/>
          <w:spacing w:val="-4"/>
          <w:sz w:val="18"/>
        </w:rPr>
        <w:t xml:space="preserve"> </w:t>
      </w:r>
      <w:r>
        <w:rPr>
          <w:i/>
          <w:color w:val="454551"/>
          <w:sz w:val="18"/>
        </w:rPr>
        <w:t>estado</w:t>
      </w:r>
      <w:r>
        <w:rPr>
          <w:i/>
          <w:color w:val="454551"/>
          <w:spacing w:val="-2"/>
          <w:sz w:val="18"/>
        </w:rPr>
        <w:t xml:space="preserve"> </w:t>
      </w:r>
      <w:r>
        <w:rPr>
          <w:i/>
          <w:color w:val="454551"/>
          <w:sz w:val="18"/>
        </w:rPr>
        <w:t>en</w:t>
      </w:r>
      <w:r>
        <w:rPr>
          <w:i/>
          <w:color w:val="454551"/>
          <w:spacing w:val="-2"/>
          <w:sz w:val="18"/>
        </w:rPr>
        <w:t xml:space="preserve"> </w:t>
      </w:r>
      <w:r>
        <w:rPr>
          <w:i/>
          <w:color w:val="454551"/>
          <w:sz w:val="18"/>
        </w:rPr>
        <w:t>una</w:t>
      </w:r>
      <w:r>
        <w:rPr>
          <w:i/>
          <w:color w:val="454551"/>
          <w:spacing w:val="-2"/>
          <w:sz w:val="18"/>
        </w:rPr>
        <w:t xml:space="preserve"> </w:t>
      </w:r>
      <w:r>
        <w:rPr>
          <w:i/>
          <w:color w:val="454551"/>
          <w:sz w:val="18"/>
        </w:rPr>
        <w:t>unión</w:t>
      </w:r>
      <w:r>
        <w:rPr>
          <w:i/>
          <w:color w:val="454551"/>
          <w:spacing w:val="-2"/>
          <w:sz w:val="18"/>
        </w:rPr>
        <w:t xml:space="preserve"> </w:t>
      </w:r>
      <w:r>
        <w:rPr>
          <w:i/>
          <w:color w:val="454551"/>
          <w:sz w:val="18"/>
        </w:rPr>
        <w:t>marital</w:t>
      </w:r>
      <w:r>
        <w:rPr>
          <w:i/>
          <w:color w:val="454551"/>
          <w:spacing w:val="-2"/>
          <w:sz w:val="18"/>
        </w:rPr>
        <w:t xml:space="preserve"> </w:t>
      </w:r>
      <w:r>
        <w:rPr>
          <w:i/>
          <w:color w:val="454551"/>
          <w:sz w:val="18"/>
        </w:rPr>
        <w:t>(Por</w:t>
      </w:r>
      <w:r>
        <w:rPr>
          <w:i/>
          <w:color w:val="454551"/>
          <w:spacing w:val="-3"/>
          <w:sz w:val="18"/>
        </w:rPr>
        <w:t xml:space="preserve"> </w:t>
      </w:r>
      <w:r>
        <w:rPr>
          <w:i/>
          <w:color w:val="454551"/>
          <w:sz w:val="18"/>
        </w:rPr>
        <w:t>cada</w:t>
      </w:r>
      <w:r>
        <w:rPr>
          <w:i/>
          <w:color w:val="454551"/>
          <w:spacing w:val="-2"/>
          <w:sz w:val="18"/>
        </w:rPr>
        <w:t xml:space="preserve"> 1,000)</w:t>
      </w:r>
    </w:p>
    <w:p w14:paraId="64B1D7AC" w14:textId="77777777" w:rsidR="000E52B0" w:rsidRDefault="000E52B0">
      <w:pPr>
        <w:pStyle w:val="Textoindependiente"/>
        <w:spacing w:before="12"/>
        <w:ind w:left="0"/>
        <w:rPr>
          <w:i/>
          <w:sz w:val="18"/>
        </w:rPr>
      </w:pPr>
    </w:p>
    <w:p w14:paraId="15ABDD58" w14:textId="77777777" w:rsidR="000E52B0" w:rsidRDefault="00F60D74">
      <w:pPr>
        <w:tabs>
          <w:tab w:val="left" w:pos="1126"/>
        </w:tabs>
        <w:ind w:right="4505"/>
        <w:jc w:val="center"/>
        <w:rPr>
          <w:rFonts w:ascii="Trebuchet MS"/>
          <w:sz w:val="18"/>
        </w:rPr>
      </w:pPr>
      <w:r>
        <w:rPr>
          <w:rFonts w:ascii="Trebuchet MS"/>
          <w:color w:val="404040"/>
          <w:spacing w:val="-4"/>
          <w:sz w:val="18"/>
        </w:rPr>
        <w:t>85,2</w:t>
      </w:r>
      <w:r>
        <w:rPr>
          <w:rFonts w:ascii="Trebuchet MS"/>
          <w:color w:val="404040"/>
          <w:sz w:val="18"/>
        </w:rPr>
        <w:tab/>
      </w:r>
      <w:r>
        <w:rPr>
          <w:rFonts w:ascii="Trebuchet MS"/>
          <w:color w:val="404040"/>
          <w:spacing w:val="-4"/>
          <w:sz w:val="18"/>
        </w:rPr>
        <w:t>84,6</w:t>
      </w:r>
    </w:p>
    <w:p w14:paraId="7D57361B" w14:textId="77777777" w:rsidR="000E52B0" w:rsidRDefault="00F60D74">
      <w:pPr>
        <w:tabs>
          <w:tab w:val="left" w:pos="1126"/>
        </w:tabs>
        <w:spacing w:before="19"/>
        <w:jc w:val="center"/>
        <w:rPr>
          <w:rFonts w:ascii="Trebuchet MS"/>
          <w:sz w:val="18"/>
        </w:rPr>
      </w:pPr>
      <w:r>
        <w:rPr>
          <w:rFonts w:ascii="Trebuchet MS"/>
          <w:noProof/>
          <w:sz w:val="18"/>
        </w:rPr>
        <mc:AlternateContent>
          <mc:Choice Requires="wpg">
            <w:drawing>
              <wp:anchor distT="0" distB="0" distL="0" distR="0" simplePos="0" relativeHeight="482263040" behindDoc="1" locked="0" layoutInCell="1" allowOverlap="1" wp14:anchorId="019237FE" wp14:editId="617ABB73">
                <wp:simplePos x="0" y="0"/>
                <wp:positionH relativeFrom="page">
                  <wp:posOffset>1633854</wp:posOffset>
                </wp:positionH>
                <wp:positionV relativeFrom="paragraph">
                  <wp:posOffset>59865</wp:posOffset>
                </wp:positionV>
                <wp:extent cx="4292600" cy="1202055"/>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2600" cy="1202055"/>
                          <a:chOff x="0" y="0"/>
                          <a:chExt cx="4292600" cy="1202055"/>
                        </a:xfrm>
                      </wpg:grpSpPr>
                      <wps:wsp>
                        <wps:cNvPr id="135" name="Graphic 135"/>
                        <wps:cNvSpPr/>
                        <wps:spPr>
                          <a:xfrm>
                            <a:off x="133985" y="798575"/>
                            <a:ext cx="4025265" cy="398145"/>
                          </a:xfrm>
                          <a:custGeom>
                            <a:avLst/>
                            <a:gdLst/>
                            <a:ahLst/>
                            <a:cxnLst/>
                            <a:rect l="l" t="t" r="r" b="b"/>
                            <a:pathLst>
                              <a:path w="4025265" h="398145">
                                <a:moveTo>
                                  <a:pt x="448056" y="123444"/>
                                </a:moveTo>
                                <a:lnTo>
                                  <a:pt x="0" y="123444"/>
                                </a:lnTo>
                                <a:lnTo>
                                  <a:pt x="0" y="398145"/>
                                </a:lnTo>
                                <a:lnTo>
                                  <a:pt x="448056" y="398145"/>
                                </a:lnTo>
                                <a:lnTo>
                                  <a:pt x="448056" y="123444"/>
                                </a:lnTo>
                                <a:close/>
                              </a:path>
                              <a:path w="4025265" h="398145">
                                <a:moveTo>
                                  <a:pt x="1162812" y="0"/>
                                </a:moveTo>
                                <a:lnTo>
                                  <a:pt x="716280" y="0"/>
                                </a:lnTo>
                                <a:lnTo>
                                  <a:pt x="716280" y="398145"/>
                                </a:lnTo>
                                <a:lnTo>
                                  <a:pt x="1162812" y="398145"/>
                                </a:lnTo>
                                <a:lnTo>
                                  <a:pt x="1162812" y="0"/>
                                </a:lnTo>
                                <a:close/>
                              </a:path>
                              <a:path w="4025265" h="398145">
                                <a:moveTo>
                                  <a:pt x="1877568" y="217932"/>
                                </a:moveTo>
                                <a:lnTo>
                                  <a:pt x="1431036" y="217932"/>
                                </a:lnTo>
                                <a:lnTo>
                                  <a:pt x="1431036" y="398145"/>
                                </a:lnTo>
                                <a:lnTo>
                                  <a:pt x="1877568" y="398145"/>
                                </a:lnTo>
                                <a:lnTo>
                                  <a:pt x="1877568" y="217932"/>
                                </a:lnTo>
                                <a:close/>
                              </a:path>
                              <a:path w="4025265" h="398145">
                                <a:moveTo>
                                  <a:pt x="2593848" y="135636"/>
                                </a:moveTo>
                                <a:lnTo>
                                  <a:pt x="2145792" y="135636"/>
                                </a:lnTo>
                                <a:lnTo>
                                  <a:pt x="2145792" y="398145"/>
                                </a:lnTo>
                                <a:lnTo>
                                  <a:pt x="2593848" y="398145"/>
                                </a:lnTo>
                                <a:lnTo>
                                  <a:pt x="2593848" y="135636"/>
                                </a:lnTo>
                                <a:close/>
                              </a:path>
                              <a:path w="4025265" h="398145">
                                <a:moveTo>
                                  <a:pt x="3308604" y="143256"/>
                                </a:moveTo>
                                <a:lnTo>
                                  <a:pt x="2862072" y="143256"/>
                                </a:lnTo>
                                <a:lnTo>
                                  <a:pt x="2862072" y="398145"/>
                                </a:lnTo>
                                <a:lnTo>
                                  <a:pt x="3308604" y="398145"/>
                                </a:lnTo>
                                <a:lnTo>
                                  <a:pt x="3308604" y="143256"/>
                                </a:lnTo>
                                <a:close/>
                              </a:path>
                              <a:path w="4025265" h="398145">
                                <a:moveTo>
                                  <a:pt x="4024884" y="193548"/>
                                </a:moveTo>
                                <a:lnTo>
                                  <a:pt x="3576828" y="193548"/>
                                </a:lnTo>
                                <a:lnTo>
                                  <a:pt x="3576828" y="398145"/>
                                </a:lnTo>
                                <a:lnTo>
                                  <a:pt x="4024884" y="398145"/>
                                </a:lnTo>
                                <a:lnTo>
                                  <a:pt x="4024884" y="193548"/>
                                </a:lnTo>
                                <a:close/>
                              </a:path>
                            </a:pathLst>
                          </a:custGeom>
                          <a:solidFill>
                            <a:srgbClr val="E22C91"/>
                          </a:solidFill>
                        </wps:spPr>
                        <wps:bodyPr wrap="square" lIns="0" tIns="0" rIns="0" bIns="0" rtlCol="0">
                          <a:prstTxWarp prst="textNoShape">
                            <a:avLst/>
                          </a:prstTxWarp>
                          <a:noAutofit/>
                        </wps:bodyPr>
                      </wps:wsp>
                      <wps:wsp>
                        <wps:cNvPr id="136" name="Graphic 136"/>
                        <wps:cNvSpPr/>
                        <wps:spPr>
                          <a:xfrm>
                            <a:off x="0" y="1196721"/>
                            <a:ext cx="4292600" cy="1270"/>
                          </a:xfrm>
                          <a:custGeom>
                            <a:avLst/>
                            <a:gdLst/>
                            <a:ahLst/>
                            <a:cxnLst/>
                            <a:rect l="l" t="t" r="r" b="b"/>
                            <a:pathLst>
                              <a:path w="4292600">
                                <a:moveTo>
                                  <a:pt x="0" y="0"/>
                                </a:moveTo>
                                <a:lnTo>
                                  <a:pt x="4292600" y="0"/>
                                </a:lnTo>
                              </a:path>
                            </a:pathLst>
                          </a:custGeom>
                          <a:ln w="9525">
                            <a:solidFill>
                              <a:srgbClr val="D9D9D9"/>
                            </a:solidFill>
                            <a:prstDash val="solid"/>
                          </a:ln>
                        </wps:spPr>
                        <wps:bodyPr wrap="square" lIns="0" tIns="0" rIns="0" bIns="0" rtlCol="0">
                          <a:prstTxWarp prst="textNoShape">
                            <a:avLst/>
                          </a:prstTxWarp>
                          <a:noAutofit/>
                        </wps:bodyPr>
                      </wps:wsp>
                      <wps:wsp>
                        <wps:cNvPr id="137" name="Textbox 137"/>
                        <wps:cNvSpPr txBox="1"/>
                        <wps:spPr>
                          <a:xfrm>
                            <a:off x="3710813" y="519683"/>
                            <a:ext cx="448309" cy="485140"/>
                          </a:xfrm>
                          <a:prstGeom prst="rect">
                            <a:avLst/>
                          </a:prstGeom>
                          <a:solidFill>
                            <a:srgbClr val="FFC000"/>
                          </a:solidFill>
                        </wps:spPr>
                        <wps:txbx>
                          <w:txbxContent>
                            <w:p w14:paraId="2E952615" w14:textId="77777777" w:rsidR="000E52B0" w:rsidRDefault="000E52B0">
                              <w:pPr>
                                <w:spacing w:before="214"/>
                                <w:rPr>
                                  <w:color w:val="000000"/>
                                  <w:sz w:val="18"/>
                                </w:rPr>
                              </w:pPr>
                            </w:p>
                            <w:p w14:paraId="2AE2C8F9" w14:textId="77777777" w:rsidR="000E52B0" w:rsidRDefault="00F60D74">
                              <w:pPr>
                                <w:ind w:left="184"/>
                                <w:rPr>
                                  <w:rFonts w:ascii="Trebuchet MS"/>
                                  <w:b/>
                                  <w:color w:val="000000"/>
                                  <w:sz w:val="18"/>
                                </w:rPr>
                              </w:pPr>
                              <w:r>
                                <w:rPr>
                                  <w:rFonts w:ascii="Trebuchet MS"/>
                                  <w:b/>
                                  <w:color w:val="D44673"/>
                                  <w:spacing w:val="-4"/>
                                  <w:sz w:val="18"/>
                                </w:rPr>
                                <w:t>14,5</w:t>
                              </w:r>
                            </w:p>
                          </w:txbxContent>
                        </wps:txbx>
                        <wps:bodyPr wrap="square" lIns="0" tIns="0" rIns="0" bIns="0" rtlCol="0">
                          <a:noAutofit/>
                        </wps:bodyPr>
                      </wps:wsp>
                      <wps:wsp>
                        <wps:cNvPr id="138" name="Textbox 138"/>
                        <wps:cNvSpPr txBox="1"/>
                        <wps:spPr>
                          <a:xfrm>
                            <a:off x="2996057" y="345947"/>
                            <a:ext cx="447040" cy="589280"/>
                          </a:xfrm>
                          <a:prstGeom prst="rect">
                            <a:avLst/>
                          </a:prstGeom>
                          <a:solidFill>
                            <a:srgbClr val="FFC000"/>
                          </a:solidFill>
                        </wps:spPr>
                        <wps:txbx>
                          <w:txbxContent>
                            <w:p w14:paraId="3FA0A6A7" w14:textId="77777777" w:rsidR="000E52B0" w:rsidRDefault="000E52B0">
                              <w:pPr>
                                <w:rPr>
                                  <w:color w:val="000000"/>
                                  <w:sz w:val="18"/>
                                </w:rPr>
                              </w:pPr>
                            </w:p>
                            <w:p w14:paraId="112632C8" w14:textId="77777777" w:rsidR="000E52B0" w:rsidRDefault="000E52B0">
                              <w:pPr>
                                <w:spacing w:before="191"/>
                                <w:rPr>
                                  <w:color w:val="000000"/>
                                  <w:sz w:val="18"/>
                                </w:rPr>
                              </w:pPr>
                            </w:p>
                            <w:p w14:paraId="0176DB88" w14:textId="77777777" w:rsidR="000E52B0" w:rsidRDefault="00F60D74">
                              <w:pPr>
                                <w:ind w:left="182"/>
                                <w:rPr>
                                  <w:rFonts w:ascii="Trebuchet MS"/>
                                  <w:b/>
                                  <w:color w:val="000000"/>
                                  <w:sz w:val="18"/>
                                </w:rPr>
                              </w:pPr>
                              <w:r>
                                <w:rPr>
                                  <w:rFonts w:ascii="Trebuchet MS"/>
                                  <w:b/>
                                  <w:color w:val="D44673"/>
                                  <w:spacing w:val="-4"/>
                                  <w:sz w:val="18"/>
                                </w:rPr>
                                <w:t>18,0</w:t>
                              </w:r>
                            </w:p>
                          </w:txbxContent>
                        </wps:txbx>
                        <wps:bodyPr wrap="square" lIns="0" tIns="0" rIns="0" bIns="0" rtlCol="0">
                          <a:noAutofit/>
                        </wps:bodyPr>
                      </wps:wsp>
                      <wps:wsp>
                        <wps:cNvPr id="139" name="Textbox 139"/>
                        <wps:cNvSpPr txBox="1"/>
                        <wps:spPr>
                          <a:xfrm>
                            <a:off x="2279776" y="152400"/>
                            <a:ext cx="448309" cy="782955"/>
                          </a:xfrm>
                          <a:prstGeom prst="rect">
                            <a:avLst/>
                          </a:prstGeom>
                          <a:solidFill>
                            <a:srgbClr val="FFC000"/>
                          </a:solidFill>
                        </wps:spPr>
                        <wps:txbx>
                          <w:txbxContent>
                            <w:p w14:paraId="29658FB3" w14:textId="77777777" w:rsidR="000E52B0" w:rsidRDefault="000E52B0">
                              <w:pPr>
                                <w:rPr>
                                  <w:color w:val="000000"/>
                                  <w:sz w:val="18"/>
                                </w:rPr>
                              </w:pPr>
                            </w:p>
                            <w:p w14:paraId="38469454" w14:textId="77777777" w:rsidR="000E52B0" w:rsidRDefault="000E52B0">
                              <w:pPr>
                                <w:rPr>
                                  <w:color w:val="000000"/>
                                  <w:sz w:val="18"/>
                                </w:rPr>
                              </w:pPr>
                            </w:p>
                            <w:p w14:paraId="06B52D3E" w14:textId="77777777" w:rsidR="000E52B0" w:rsidRDefault="000E52B0">
                              <w:pPr>
                                <w:rPr>
                                  <w:color w:val="000000"/>
                                  <w:sz w:val="18"/>
                                </w:rPr>
                              </w:pPr>
                            </w:p>
                            <w:p w14:paraId="6F954504" w14:textId="77777777" w:rsidR="000E52B0" w:rsidRDefault="000E52B0">
                              <w:pPr>
                                <w:spacing w:before="46"/>
                                <w:rPr>
                                  <w:color w:val="000000"/>
                                  <w:sz w:val="18"/>
                                </w:rPr>
                              </w:pPr>
                            </w:p>
                            <w:p w14:paraId="4C858BB6" w14:textId="77777777" w:rsidR="000E52B0" w:rsidRDefault="00F60D74">
                              <w:pPr>
                                <w:spacing w:before="1"/>
                                <w:ind w:left="183"/>
                                <w:rPr>
                                  <w:rFonts w:ascii="Trebuchet MS"/>
                                  <w:b/>
                                  <w:color w:val="000000"/>
                                  <w:sz w:val="18"/>
                                </w:rPr>
                              </w:pPr>
                              <w:r>
                                <w:rPr>
                                  <w:rFonts w:ascii="Trebuchet MS"/>
                                  <w:b/>
                                  <w:color w:val="D44673"/>
                                  <w:spacing w:val="-4"/>
                                  <w:sz w:val="18"/>
                                </w:rPr>
                                <w:t>18,6</w:t>
                              </w:r>
                            </w:p>
                          </w:txbxContent>
                        </wps:txbx>
                        <wps:bodyPr wrap="square" lIns="0" tIns="0" rIns="0" bIns="0" rtlCol="0">
                          <a:noAutofit/>
                        </wps:bodyPr>
                      </wps:wsp>
                      <wps:wsp>
                        <wps:cNvPr id="140" name="Textbox 140"/>
                        <wps:cNvSpPr txBox="1"/>
                        <wps:spPr>
                          <a:xfrm>
                            <a:off x="1565021" y="152400"/>
                            <a:ext cx="447040" cy="852169"/>
                          </a:xfrm>
                          <a:prstGeom prst="rect">
                            <a:avLst/>
                          </a:prstGeom>
                          <a:solidFill>
                            <a:srgbClr val="FFC000"/>
                          </a:solidFill>
                        </wps:spPr>
                        <wps:txbx>
                          <w:txbxContent>
                            <w:p w14:paraId="4D8A7DAD" w14:textId="77777777" w:rsidR="000E52B0" w:rsidRDefault="000E52B0">
                              <w:pPr>
                                <w:rPr>
                                  <w:color w:val="000000"/>
                                  <w:sz w:val="18"/>
                                </w:rPr>
                              </w:pPr>
                            </w:p>
                            <w:p w14:paraId="550440EB" w14:textId="77777777" w:rsidR="000E52B0" w:rsidRDefault="000E52B0">
                              <w:pPr>
                                <w:rPr>
                                  <w:color w:val="000000"/>
                                  <w:sz w:val="18"/>
                                </w:rPr>
                              </w:pPr>
                            </w:p>
                            <w:p w14:paraId="1F3B66DE" w14:textId="77777777" w:rsidR="000E52B0" w:rsidRDefault="000E52B0">
                              <w:pPr>
                                <w:rPr>
                                  <w:color w:val="000000"/>
                                  <w:sz w:val="18"/>
                                </w:rPr>
                              </w:pPr>
                            </w:p>
                            <w:p w14:paraId="44E610EA" w14:textId="77777777" w:rsidR="000E52B0" w:rsidRDefault="000E52B0">
                              <w:pPr>
                                <w:spacing w:before="174"/>
                                <w:rPr>
                                  <w:color w:val="000000"/>
                                  <w:sz w:val="18"/>
                                </w:rPr>
                              </w:pPr>
                            </w:p>
                            <w:p w14:paraId="4923B8AC" w14:textId="77777777" w:rsidR="000E52B0" w:rsidRDefault="00F60D74">
                              <w:pPr>
                                <w:ind w:left="182"/>
                                <w:rPr>
                                  <w:rFonts w:ascii="Trebuchet MS"/>
                                  <w:b/>
                                  <w:color w:val="000000"/>
                                  <w:sz w:val="18"/>
                                </w:rPr>
                              </w:pPr>
                              <w:r>
                                <w:rPr>
                                  <w:rFonts w:ascii="Trebuchet MS"/>
                                  <w:b/>
                                  <w:color w:val="D44673"/>
                                  <w:spacing w:val="-4"/>
                                  <w:sz w:val="18"/>
                                </w:rPr>
                                <w:t>12,8</w:t>
                              </w:r>
                            </w:p>
                          </w:txbxContent>
                        </wps:txbx>
                        <wps:bodyPr wrap="square" lIns="0" tIns="0" rIns="0" bIns="0" rtlCol="0">
                          <a:noAutofit/>
                        </wps:bodyPr>
                      </wps:wsp>
                      <wps:wsp>
                        <wps:cNvPr id="141" name="Textbox 141"/>
                        <wps:cNvSpPr txBox="1"/>
                        <wps:spPr>
                          <a:xfrm>
                            <a:off x="850264" y="0"/>
                            <a:ext cx="447040" cy="798830"/>
                          </a:xfrm>
                          <a:prstGeom prst="rect">
                            <a:avLst/>
                          </a:prstGeom>
                          <a:solidFill>
                            <a:srgbClr val="FFC000"/>
                          </a:solidFill>
                        </wps:spPr>
                        <wps:txbx>
                          <w:txbxContent>
                            <w:p w14:paraId="4AC1776C" w14:textId="77777777" w:rsidR="000E52B0" w:rsidRDefault="000E52B0">
                              <w:pPr>
                                <w:rPr>
                                  <w:color w:val="000000"/>
                                  <w:sz w:val="18"/>
                                </w:rPr>
                              </w:pPr>
                            </w:p>
                            <w:p w14:paraId="7B0F53F4" w14:textId="77777777" w:rsidR="000E52B0" w:rsidRDefault="000E52B0">
                              <w:pPr>
                                <w:rPr>
                                  <w:color w:val="000000"/>
                                  <w:sz w:val="18"/>
                                </w:rPr>
                              </w:pPr>
                            </w:p>
                            <w:p w14:paraId="1614C329" w14:textId="77777777" w:rsidR="000E52B0" w:rsidRDefault="000E52B0">
                              <w:pPr>
                                <w:rPr>
                                  <w:color w:val="000000"/>
                                  <w:sz w:val="18"/>
                                </w:rPr>
                              </w:pPr>
                            </w:p>
                            <w:p w14:paraId="358FB7C3" w14:textId="77777777" w:rsidR="000E52B0" w:rsidRDefault="000E52B0">
                              <w:pPr>
                                <w:spacing w:before="72"/>
                                <w:rPr>
                                  <w:color w:val="000000"/>
                                  <w:sz w:val="18"/>
                                </w:rPr>
                              </w:pPr>
                            </w:p>
                            <w:p w14:paraId="658992B2" w14:textId="77777777" w:rsidR="000E52B0" w:rsidRDefault="00F60D74">
                              <w:pPr>
                                <w:ind w:left="181"/>
                                <w:rPr>
                                  <w:rFonts w:ascii="Trebuchet MS"/>
                                  <w:b/>
                                  <w:color w:val="000000"/>
                                  <w:sz w:val="18"/>
                                </w:rPr>
                              </w:pPr>
                              <w:r>
                                <w:rPr>
                                  <w:rFonts w:ascii="Trebuchet MS"/>
                                  <w:b/>
                                  <w:color w:val="D44673"/>
                                  <w:spacing w:val="-4"/>
                                  <w:sz w:val="18"/>
                                </w:rPr>
                                <w:t>28,2</w:t>
                              </w:r>
                            </w:p>
                          </w:txbxContent>
                        </wps:txbx>
                        <wps:bodyPr wrap="square" lIns="0" tIns="0" rIns="0" bIns="0" rtlCol="0">
                          <a:noAutofit/>
                        </wps:bodyPr>
                      </wps:wsp>
                      <wps:wsp>
                        <wps:cNvPr id="142" name="Textbox 142"/>
                        <wps:cNvSpPr txBox="1"/>
                        <wps:spPr>
                          <a:xfrm>
                            <a:off x="133985" y="0"/>
                            <a:ext cx="448309" cy="928369"/>
                          </a:xfrm>
                          <a:prstGeom prst="rect">
                            <a:avLst/>
                          </a:prstGeom>
                          <a:solidFill>
                            <a:srgbClr val="FFC000"/>
                          </a:solidFill>
                        </wps:spPr>
                        <wps:txbx>
                          <w:txbxContent>
                            <w:p w14:paraId="13ADF72B" w14:textId="77777777" w:rsidR="000E52B0" w:rsidRDefault="000E52B0">
                              <w:pPr>
                                <w:rPr>
                                  <w:color w:val="000000"/>
                                  <w:sz w:val="18"/>
                                </w:rPr>
                              </w:pPr>
                            </w:p>
                            <w:p w14:paraId="13EFED96" w14:textId="77777777" w:rsidR="000E52B0" w:rsidRDefault="000E52B0">
                              <w:pPr>
                                <w:rPr>
                                  <w:color w:val="000000"/>
                                  <w:sz w:val="18"/>
                                </w:rPr>
                              </w:pPr>
                            </w:p>
                            <w:p w14:paraId="767A5979" w14:textId="77777777" w:rsidR="000E52B0" w:rsidRDefault="000E52B0">
                              <w:pPr>
                                <w:rPr>
                                  <w:color w:val="000000"/>
                                  <w:sz w:val="18"/>
                                </w:rPr>
                              </w:pPr>
                            </w:p>
                            <w:p w14:paraId="4EC769D2" w14:textId="77777777" w:rsidR="000E52B0" w:rsidRDefault="000E52B0">
                              <w:pPr>
                                <w:rPr>
                                  <w:color w:val="000000"/>
                                  <w:sz w:val="18"/>
                                </w:rPr>
                              </w:pPr>
                            </w:p>
                            <w:p w14:paraId="533388A9" w14:textId="77777777" w:rsidR="000E52B0" w:rsidRDefault="000E52B0">
                              <w:pPr>
                                <w:spacing w:before="47"/>
                                <w:rPr>
                                  <w:color w:val="000000"/>
                                  <w:sz w:val="18"/>
                                </w:rPr>
                              </w:pPr>
                            </w:p>
                            <w:p w14:paraId="7B0EA065" w14:textId="77777777" w:rsidR="000E52B0" w:rsidRDefault="00F60D74">
                              <w:pPr>
                                <w:ind w:left="182"/>
                                <w:rPr>
                                  <w:rFonts w:ascii="Trebuchet MS"/>
                                  <w:b/>
                                  <w:color w:val="000000"/>
                                  <w:sz w:val="18"/>
                                </w:rPr>
                              </w:pPr>
                              <w:r>
                                <w:rPr>
                                  <w:rFonts w:ascii="Trebuchet MS"/>
                                  <w:b/>
                                  <w:color w:val="D44673"/>
                                  <w:spacing w:val="-4"/>
                                  <w:w w:val="95"/>
                                  <w:sz w:val="18"/>
                                </w:rPr>
                                <w:t>1G,5</w:t>
                              </w:r>
                            </w:p>
                          </w:txbxContent>
                        </wps:txbx>
                        <wps:bodyPr wrap="square" lIns="0" tIns="0" rIns="0" bIns="0" rtlCol="0">
                          <a:noAutofit/>
                        </wps:bodyPr>
                      </wps:wsp>
                    </wpg:wgp>
                  </a:graphicData>
                </a:graphic>
              </wp:anchor>
            </w:drawing>
          </mc:Choice>
          <mc:Fallback>
            <w:pict>
              <v:group w14:anchorId="019237FE" id="Group 134" o:spid="_x0000_s1086" style="position:absolute;left:0;text-align:left;margin-left:128.65pt;margin-top:4.7pt;width:338pt;height:94.65pt;z-index:-21053440;mso-wrap-distance-left:0;mso-wrap-distance-right:0;mso-position-horizontal-relative:page;mso-position-vertical-relative:text" coordsize="42926,1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">
                <v:shape id="Graphic 135" o:spid="_x0000_s1087" style="position:absolute;left:1339;top:7985;width:40253;height:3982;visibility:visible;mso-wrap-style:square;v-text-anchor:top" coordsize="4025265,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" path="m448056,123444l,123444,,398145r448056,l448056,123444xem1162812,l716280,r,398145l1162812,398145,1162812,xem1877568,217932r-446532,l1431036,398145r446532,l1877568,217932xem2593848,135636r-448056,l2145792,398145r448056,l2593848,135636xem3308604,143256r-446532,l2862072,398145r446532,l3308604,143256xem4024884,193548r-448056,l3576828,398145r448056,l4024884,193548xe" fillcolor="#e22c91" stroked="f">
                  <v:path arrowok="t"/>
                </v:shape>
                <v:shape id="Graphic 136" o:spid="_x0000_s1088" style="position:absolute;top:11967;width:42926;height:12;visibility:visible;mso-wrap-style:square;v-text-anchor:top" coordsize="4292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" path="m,l4292600,e" filled="f" strokecolor="#d9d9d9">
                  <v:path arrowok="t"/>
                </v:shape>
                <v:shape id="Textbox 137" o:spid="_x0000_s1089" type="#_x0000_t202" style="position:absolute;left:37108;top:5196;width:4483;height: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" fillcolor="#ffc000" stroked="f">
                  <v:textbox inset="0,0,0,0">
                    <w:txbxContent>
                      <w:p w14:paraId="2E952615" w14:textId="77777777" w:rsidR="000E52B0" w:rsidRDefault="000E52B0">
                        <w:pPr>
                          <w:spacing w:before="214"/>
                          <w:rPr>
                            <w:color w:val="000000"/>
                            <w:sz w:val="18"/>
                          </w:rPr>
                        </w:pPr>
                      </w:p>
                      <w:p w14:paraId="2AE2C8F9" w14:textId="77777777" w:rsidR="000E52B0" w:rsidRDefault="00F60D74">
                        <w:pPr>
                          <w:ind w:left="184"/>
                          <w:rPr>
                            <w:rFonts w:ascii="Trebuchet MS"/>
                            <w:b/>
                            <w:color w:val="000000"/>
                            <w:sz w:val="18"/>
                          </w:rPr>
                        </w:pPr>
                        <w:r>
                          <w:rPr>
                            <w:rFonts w:ascii="Trebuchet MS"/>
                            <w:b/>
                            <w:color w:val="D44673"/>
                            <w:spacing w:val="-4"/>
                            <w:sz w:val="18"/>
                          </w:rPr>
                          <w:t>14,5</w:t>
                        </w:r>
                      </w:p>
                    </w:txbxContent>
                  </v:textbox>
                </v:shape>
                <v:shape id="Textbox 138" o:spid="_x0000_s1090" type="#_x0000_t202" style="position:absolute;left:29960;top:3459;width:4470;height:5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" fillcolor="#ffc000" stroked="f">
                  <v:textbox inset="0,0,0,0">
                    <w:txbxContent>
                      <w:p w14:paraId="3FA0A6A7" w14:textId="77777777" w:rsidR="000E52B0" w:rsidRDefault="000E52B0">
                        <w:pPr>
                          <w:rPr>
                            <w:color w:val="000000"/>
                            <w:sz w:val="18"/>
                          </w:rPr>
                        </w:pPr>
                      </w:p>
                      <w:p w14:paraId="112632C8" w14:textId="77777777" w:rsidR="000E52B0" w:rsidRDefault="000E52B0">
                        <w:pPr>
                          <w:spacing w:before="191"/>
                          <w:rPr>
                            <w:color w:val="000000"/>
                            <w:sz w:val="18"/>
                          </w:rPr>
                        </w:pPr>
                      </w:p>
                      <w:p w14:paraId="0176DB88" w14:textId="77777777" w:rsidR="000E52B0" w:rsidRDefault="00F60D74">
                        <w:pPr>
                          <w:ind w:left="182"/>
                          <w:rPr>
                            <w:rFonts w:ascii="Trebuchet MS"/>
                            <w:b/>
                            <w:color w:val="000000"/>
                            <w:sz w:val="18"/>
                          </w:rPr>
                        </w:pPr>
                        <w:r>
                          <w:rPr>
                            <w:rFonts w:ascii="Trebuchet MS"/>
                            <w:b/>
                            <w:color w:val="D44673"/>
                            <w:spacing w:val="-4"/>
                            <w:sz w:val="18"/>
                          </w:rPr>
                          <w:t>18,0</w:t>
                        </w:r>
                      </w:p>
                    </w:txbxContent>
                  </v:textbox>
                </v:shape>
                <v:shape id="Textbox 139" o:spid="_x0000_s1091" type="#_x0000_t202" style="position:absolute;left:22797;top:1524;width:4483;height:7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" fillcolor="#ffc000" stroked="f">
                  <v:textbox inset="0,0,0,0">
                    <w:txbxContent>
                      <w:p w14:paraId="29658FB3" w14:textId="77777777" w:rsidR="000E52B0" w:rsidRDefault="000E52B0">
                        <w:pPr>
                          <w:rPr>
                            <w:color w:val="000000"/>
                            <w:sz w:val="18"/>
                          </w:rPr>
                        </w:pPr>
                      </w:p>
                      <w:p w14:paraId="38469454" w14:textId="77777777" w:rsidR="000E52B0" w:rsidRDefault="000E52B0">
                        <w:pPr>
                          <w:rPr>
                            <w:color w:val="000000"/>
                            <w:sz w:val="18"/>
                          </w:rPr>
                        </w:pPr>
                      </w:p>
                      <w:p w14:paraId="06B52D3E" w14:textId="77777777" w:rsidR="000E52B0" w:rsidRDefault="000E52B0">
                        <w:pPr>
                          <w:rPr>
                            <w:color w:val="000000"/>
                            <w:sz w:val="18"/>
                          </w:rPr>
                        </w:pPr>
                      </w:p>
                      <w:p w14:paraId="6F954504" w14:textId="77777777" w:rsidR="000E52B0" w:rsidRDefault="000E52B0">
                        <w:pPr>
                          <w:spacing w:before="46"/>
                          <w:rPr>
                            <w:color w:val="000000"/>
                            <w:sz w:val="18"/>
                          </w:rPr>
                        </w:pPr>
                      </w:p>
                      <w:p w14:paraId="4C858BB6" w14:textId="77777777" w:rsidR="000E52B0" w:rsidRDefault="00F60D74">
                        <w:pPr>
                          <w:spacing w:before="1"/>
                          <w:ind w:left="183"/>
                          <w:rPr>
                            <w:rFonts w:ascii="Trebuchet MS"/>
                            <w:b/>
                            <w:color w:val="000000"/>
                            <w:sz w:val="18"/>
                          </w:rPr>
                        </w:pPr>
                        <w:r>
                          <w:rPr>
                            <w:rFonts w:ascii="Trebuchet MS"/>
                            <w:b/>
                            <w:color w:val="D44673"/>
                            <w:spacing w:val="-4"/>
                            <w:sz w:val="18"/>
                          </w:rPr>
                          <w:t>18,6</w:t>
                        </w:r>
                      </w:p>
                    </w:txbxContent>
                  </v:textbox>
                </v:shape>
                <v:shape id="Textbox 140" o:spid="_x0000_s1092" type="#_x0000_t202" style="position:absolute;left:15650;top:1524;width:4470;height:8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" fillcolor="#ffc000" stroked="f">
                  <v:textbox inset="0,0,0,0">
                    <w:txbxContent>
                      <w:p w14:paraId="4D8A7DAD" w14:textId="77777777" w:rsidR="000E52B0" w:rsidRDefault="000E52B0">
                        <w:pPr>
                          <w:rPr>
                            <w:color w:val="000000"/>
                            <w:sz w:val="18"/>
                          </w:rPr>
                        </w:pPr>
                      </w:p>
                      <w:p w14:paraId="550440EB" w14:textId="77777777" w:rsidR="000E52B0" w:rsidRDefault="000E52B0">
                        <w:pPr>
                          <w:rPr>
                            <w:color w:val="000000"/>
                            <w:sz w:val="18"/>
                          </w:rPr>
                        </w:pPr>
                      </w:p>
                      <w:p w14:paraId="1F3B66DE" w14:textId="77777777" w:rsidR="000E52B0" w:rsidRDefault="000E52B0">
                        <w:pPr>
                          <w:rPr>
                            <w:color w:val="000000"/>
                            <w:sz w:val="18"/>
                          </w:rPr>
                        </w:pPr>
                      </w:p>
                      <w:p w14:paraId="44E610EA" w14:textId="77777777" w:rsidR="000E52B0" w:rsidRDefault="000E52B0">
                        <w:pPr>
                          <w:spacing w:before="174"/>
                          <w:rPr>
                            <w:color w:val="000000"/>
                            <w:sz w:val="18"/>
                          </w:rPr>
                        </w:pPr>
                      </w:p>
                      <w:p w14:paraId="4923B8AC" w14:textId="77777777" w:rsidR="000E52B0" w:rsidRDefault="00F60D74">
                        <w:pPr>
                          <w:ind w:left="182"/>
                          <w:rPr>
                            <w:rFonts w:ascii="Trebuchet MS"/>
                            <w:b/>
                            <w:color w:val="000000"/>
                            <w:sz w:val="18"/>
                          </w:rPr>
                        </w:pPr>
                        <w:r>
                          <w:rPr>
                            <w:rFonts w:ascii="Trebuchet MS"/>
                            <w:b/>
                            <w:color w:val="D44673"/>
                            <w:spacing w:val="-4"/>
                            <w:sz w:val="18"/>
                          </w:rPr>
                          <w:t>12,8</w:t>
                        </w:r>
                      </w:p>
                    </w:txbxContent>
                  </v:textbox>
                </v:shape>
                <v:shape id="Textbox 141" o:spid="_x0000_s1093" type="#_x0000_t202" style="position:absolute;left:8502;width:4471;height:7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" fillcolor="#ffc000" stroked="f">
                  <v:textbox inset="0,0,0,0">
                    <w:txbxContent>
                      <w:p w14:paraId="4AC1776C" w14:textId="77777777" w:rsidR="000E52B0" w:rsidRDefault="000E52B0">
                        <w:pPr>
                          <w:rPr>
                            <w:color w:val="000000"/>
                            <w:sz w:val="18"/>
                          </w:rPr>
                        </w:pPr>
                      </w:p>
                      <w:p w14:paraId="7B0F53F4" w14:textId="77777777" w:rsidR="000E52B0" w:rsidRDefault="000E52B0">
                        <w:pPr>
                          <w:rPr>
                            <w:color w:val="000000"/>
                            <w:sz w:val="18"/>
                          </w:rPr>
                        </w:pPr>
                      </w:p>
                      <w:p w14:paraId="1614C329" w14:textId="77777777" w:rsidR="000E52B0" w:rsidRDefault="000E52B0">
                        <w:pPr>
                          <w:rPr>
                            <w:color w:val="000000"/>
                            <w:sz w:val="18"/>
                          </w:rPr>
                        </w:pPr>
                      </w:p>
                      <w:p w14:paraId="358FB7C3" w14:textId="77777777" w:rsidR="000E52B0" w:rsidRDefault="000E52B0">
                        <w:pPr>
                          <w:spacing w:before="72"/>
                          <w:rPr>
                            <w:color w:val="000000"/>
                            <w:sz w:val="18"/>
                          </w:rPr>
                        </w:pPr>
                      </w:p>
                      <w:p w14:paraId="658992B2" w14:textId="77777777" w:rsidR="000E52B0" w:rsidRDefault="00F60D74">
                        <w:pPr>
                          <w:ind w:left="181"/>
                          <w:rPr>
                            <w:rFonts w:ascii="Trebuchet MS"/>
                            <w:b/>
                            <w:color w:val="000000"/>
                            <w:sz w:val="18"/>
                          </w:rPr>
                        </w:pPr>
                        <w:r>
                          <w:rPr>
                            <w:rFonts w:ascii="Trebuchet MS"/>
                            <w:b/>
                            <w:color w:val="D44673"/>
                            <w:spacing w:val="-4"/>
                            <w:sz w:val="18"/>
                          </w:rPr>
                          <w:t>28,2</w:t>
                        </w:r>
                      </w:p>
                    </w:txbxContent>
                  </v:textbox>
                </v:shape>
                <v:shape id="Textbox 142" o:spid="_x0000_s1094" type="#_x0000_t202" style="position:absolute;left:1339;width:4483;height:9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" fillcolor="#ffc000" stroked="f">
                  <v:textbox inset="0,0,0,0">
                    <w:txbxContent>
                      <w:p w14:paraId="13ADF72B" w14:textId="77777777" w:rsidR="000E52B0" w:rsidRDefault="000E52B0">
                        <w:pPr>
                          <w:rPr>
                            <w:color w:val="000000"/>
                            <w:sz w:val="18"/>
                          </w:rPr>
                        </w:pPr>
                      </w:p>
                      <w:p w14:paraId="13EFED96" w14:textId="77777777" w:rsidR="000E52B0" w:rsidRDefault="000E52B0">
                        <w:pPr>
                          <w:rPr>
                            <w:color w:val="000000"/>
                            <w:sz w:val="18"/>
                          </w:rPr>
                        </w:pPr>
                      </w:p>
                      <w:p w14:paraId="767A5979" w14:textId="77777777" w:rsidR="000E52B0" w:rsidRDefault="000E52B0">
                        <w:pPr>
                          <w:rPr>
                            <w:color w:val="000000"/>
                            <w:sz w:val="18"/>
                          </w:rPr>
                        </w:pPr>
                      </w:p>
                      <w:p w14:paraId="4EC769D2" w14:textId="77777777" w:rsidR="000E52B0" w:rsidRDefault="000E52B0">
                        <w:pPr>
                          <w:rPr>
                            <w:color w:val="000000"/>
                            <w:sz w:val="18"/>
                          </w:rPr>
                        </w:pPr>
                      </w:p>
                      <w:p w14:paraId="533388A9" w14:textId="77777777" w:rsidR="000E52B0" w:rsidRDefault="000E52B0">
                        <w:pPr>
                          <w:spacing w:before="47"/>
                          <w:rPr>
                            <w:color w:val="000000"/>
                            <w:sz w:val="18"/>
                          </w:rPr>
                        </w:pPr>
                      </w:p>
                      <w:p w14:paraId="7B0EA065" w14:textId="77777777" w:rsidR="000E52B0" w:rsidRDefault="00F60D74">
                        <w:pPr>
                          <w:ind w:left="182"/>
                          <w:rPr>
                            <w:rFonts w:ascii="Trebuchet MS"/>
                            <w:b/>
                            <w:color w:val="000000"/>
                            <w:sz w:val="18"/>
                          </w:rPr>
                        </w:pPr>
                        <w:r>
                          <w:rPr>
                            <w:rFonts w:ascii="Trebuchet MS"/>
                            <w:b/>
                            <w:color w:val="D44673"/>
                            <w:spacing w:val="-4"/>
                            <w:w w:val="95"/>
                            <w:sz w:val="18"/>
                          </w:rPr>
                          <w:t>1G,5</w:t>
                        </w:r>
                      </w:p>
                    </w:txbxContent>
                  </v:textbox>
                </v:shape>
                <w10:wrap anchorx="page"/>
              </v:group>
            </w:pict>
          </mc:Fallback>
        </mc:AlternateContent>
      </w:r>
      <w:r>
        <w:rPr>
          <w:rFonts w:ascii="Trebuchet MS"/>
          <w:color w:val="404040"/>
          <w:spacing w:val="-4"/>
          <w:position w:val="1"/>
          <w:sz w:val="18"/>
        </w:rPr>
        <w:t>74,3</w:t>
      </w:r>
      <w:r>
        <w:rPr>
          <w:rFonts w:ascii="Trebuchet MS"/>
          <w:color w:val="404040"/>
          <w:position w:val="1"/>
          <w:sz w:val="18"/>
        </w:rPr>
        <w:tab/>
      </w:r>
      <w:r>
        <w:rPr>
          <w:rFonts w:ascii="Trebuchet MS"/>
          <w:color w:val="404040"/>
          <w:spacing w:val="-4"/>
          <w:sz w:val="18"/>
        </w:rPr>
        <w:t>73,9</w:t>
      </w:r>
    </w:p>
    <w:p w14:paraId="15C3B268" w14:textId="77777777" w:rsidR="000E52B0" w:rsidRDefault="00F60D74">
      <w:pPr>
        <w:spacing w:before="90"/>
        <w:ind w:left="3380"/>
        <w:jc w:val="center"/>
        <w:rPr>
          <w:rFonts w:ascii="Trebuchet MS"/>
          <w:sz w:val="18"/>
        </w:rPr>
      </w:pPr>
      <w:r>
        <w:rPr>
          <w:rFonts w:ascii="Trebuchet MS"/>
          <w:color w:val="404040"/>
          <w:spacing w:val="-4"/>
          <w:sz w:val="18"/>
        </w:rPr>
        <w:t>60,4</w:t>
      </w:r>
    </w:p>
    <w:p w14:paraId="0F9FF85B" w14:textId="77777777" w:rsidR="000E52B0" w:rsidRDefault="00F60D74">
      <w:pPr>
        <w:spacing w:before="66"/>
        <w:ind w:left="6541" w:right="907"/>
        <w:jc w:val="center"/>
        <w:rPr>
          <w:rFonts w:ascii="Trebuchet MS"/>
          <w:sz w:val="18"/>
        </w:rPr>
      </w:pPr>
      <w:r>
        <w:rPr>
          <w:rFonts w:ascii="Trebuchet MS"/>
          <w:color w:val="404040"/>
          <w:spacing w:val="-4"/>
          <w:sz w:val="18"/>
        </w:rPr>
        <w:t>48,0</w:t>
      </w:r>
    </w:p>
    <w:p w14:paraId="070773DC" w14:textId="77777777" w:rsidR="000E52B0" w:rsidRDefault="000E52B0">
      <w:pPr>
        <w:pStyle w:val="Textoindependiente"/>
        <w:ind w:left="0"/>
        <w:rPr>
          <w:rFonts w:ascii="Trebuchet MS"/>
          <w:sz w:val="20"/>
        </w:rPr>
      </w:pPr>
    </w:p>
    <w:p w14:paraId="43F46642" w14:textId="77777777" w:rsidR="000E52B0" w:rsidRDefault="000E52B0">
      <w:pPr>
        <w:pStyle w:val="Textoindependiente"/>
        <w:ind w:left="0"/>
        <w:rPr>
          <w:rFonts w:ascii="Trebuchet MS"/>
          <w:sz w:val="20"/>
        </w:rPr>
      </w:pPr>
    </w:p>
    <w:p w14:paraId="1203D9AE" w14:textId="77777777" w:rsidR="000E52B0" w:rsidRDefault="000E52B0">
      <w:pPr>
        <w:pStyle w:val="Textoindependiente"/>
        <w:ind w:left="0"/>
        <w:rPr>
          <w:rFonts w:ascii="Trebuchet MS"/>
          <w:sz w:val="20"/>
        </w:rPr>
      </w:pPr>
    </w:p>
    <w:p w14:paraId="38C2AAAC" w14:textId="77777777" w:rsidR="000E52B0" w:rsidRDefault="000E52B0">
      <w:pPr>
        <w:pStyle w:val="Textoindependiente"/>
        <w:ind w:left="0"/>
        <w:rPr>
          <w:rFonts w:ascii="Trebuchet MS"/>
          <w:sz w:val="20"/>
        </w:rPr>
      </w:pPr>
    </w:p>
    <w:p w14:paraId="1F1A66BF" w14:textId="77777777" w:rsidR="000E52B0" w:rsidRDefault="00F60D74">
      <w:pPr>
        <w:pStyle w:val="Textoindependiente"/>
        <w:spacing w:before="143"/>
        <w:ind w:left="0"/>
        <w:rPr>
          <w:rFonts w:ascii="Trebuchet MS"/>
          <w:sz w:val="20"/>
        </w:rPr>
      </w:pPr>
      <w:r>
        <w:rPr>
          <w:rFonts w:ascii="Trebuchet MS"/>
          <w:noProof/>
          <w:sz w:val="20"/>
        </w:rPr>
        <w:drawing>
          <wp:anchor distT="0" distB="0" distL="0" distR="0" simplePos="0" relativeHeight="487619072" behindDoc="1" locked="0" layoutInCell="1" allowOverlap="1" wp14:anchorId="3C76231D" wp14:editId="1B2DE9E7">
            <wp:simplePos x="0" y="0"/>
            <wp:positionH relativeFrom="page">
              <wp:posOffset>1665985</wp:posOffset>
            </wp:positionH>
            <wp:positionV relativeFrom="paragraph">
              <wp:posOffset>272769</wp:posOffset>
            </wp:positionV>
            <wp:extent cx="340613" cy="323850"/>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67" cstate="print"/>
                    <a:stretch>
                      <a:fillRect/>
                    </a:stretch>
                  </pic:blipFill>
                  <pic:spPr>
                    <a:xfrm>
                      <a:off x="0" y="0"/>
                      <a:ext cx="340613" cy="323850"/>
                    </a:xfrm>
                    <a:prstGeom prst="rect">
                      <a:avLst/>
                    </a:prstGeom>
                  </pic:spPr>
                </pic:pic>
              </a:graphicData>
            </a:graphic>
          </wp:anchor>
        </w:drawing>
      </w:r>
      <w:r>
        <w:rPr>
          <w:rFonts w:ascii="Trebuchet MS"/>
          <w:noProof/>
          <w:sz w:val="20"/>
        </w:rPr>
        <w:drawing>
          <wp:anchor distT="0" distB="0" distL="0" distR="0" simplePos="0" relativeHeight="487619584" behindDoc="1" locked="0" layoutInCell="1" allowOverlap="1" wp14:anchorId="4B72F8A4" wp14:editId="14B98E7D">
            <wp:simplePos x="0" y="0"/>
            <wp:positionH relativeFrom="page">
              <wp:posOffset>2387600</wp:posOffset>
            </wp:positionH>
            <wp:positionV relativeFrom="paragraph">
              <wp:posOffset>271626</wp:posOffset>
            </wp:positionV>
            <wp:extent cx="339936" cy="319087"/>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68" cstate="print"/>
                    <a:stretch>
                      <a:fillRect/>
                    </a:stretch>
                  </pic:blipFill>
                  <pic:spPr>
                    <a:xfrm>
                      <a:off x="0" y="0"/>
                      <a:ext cx="339936" cy="319087"/>
                    </a:xfrm>
                    <a:prstGeom prst="rect">
                      <a:avLst/>
                    </a:prstGeom>
                  </pic:spPr>
                </pic:pic>
              </a:graphicData>
            </a:graphic>
          </wp:anchor>
        </w:drawing>
      </w:r>
      <w:r>
        <w:rPr>
          <w:rFonts w:ascii="Trebuchet MS"/>
          <w:noProof/>
          <w:sz w:val="20"/>
        </w:rPr>
        <w:drawing>
          <wp:anchor distT="0" distB="0" distL="0" distR="0" simplePos="0" relativeHeight="487620096" behindDoc="1" locked="0" layoutInCell="1" allowOverlap="1" wp14:anchorId="2D9BFBE5" wp14:editId="541B59A8">
            <wp:simplePos x="0" y="0"/>
            <wp:positionH relativeFrom="page">
              <wp:posOffset>2820416</wp:posOffset>
            </wp:positionH>
            <wp:positionV relativeFrom="paragraph">
              <wp:posOffset>272388</wp:posOffset>
            </wp:positionV>
            <wp:extent cx="621134" cy="600075"/>
            <wp:effectExtent l="0" t="0" r="0" b="0"/>
            <wp:wrapTopAndBottom/>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69" cstate="print"/>
                    <a:stretch>
                      <a:fillRect/>
                    </a:stretch>
                  </pic:blipFill>
                  <pic:spPr>
                    <a:xfrm>
                      <a:off x="0" y="0"/>
                      <a:ext cx="621134" cy="600075"/>
                    </a:xfrm>
                    <a:prstGeom prst="rect">
                      <a:avLst/>
                    </a:prstGeom>
                  </pic:spPr>
                </pic:pic>
              </a:graphicData>
            </a:graphic>
          </wp:anchor>
        </w:drawing>
      </w:r>
      <w:r>
        <w:rPr>
          <w:rFonts w:ascii="Trebuchet MS"/>
          <w:noProof/>
          <w:sz w:val="20"/>
        </w:rPr>
        <w:drawing>
          <wp:anchor distT="0" distB="0" distL="0" distR="0" simplePos="0" relativeHeight="487620608" behindDoc="1" locked="0" layoutInCell="1" allowOverlap="1" wp14:anchorId="384B573A" wp14:editId="3D5E13B4">
            <wp:simplePos x="0" y="0"/>
            <wp:positionH relativeFrom="page">
              <wp:posOffset>3613530</wp:posOffset>
            </wp:positionH>
            <wp:positionV relativeFrom="paragraph">
              <wp:posOffset>273404</wp:posOffset>
            </wp:positionV>
            <wp:extent cx="539680" cy="523875"/>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70" cstate="print"/>
                    <a:stretch>
                      <a:fillRect/>
                    </a:stretch>
                  </pic:blipFill>
                  <pic:spPr>
                    <a:xfrm>
                      <a:off x="0" y="0"/>
                      <a:ext cx="539680" cy="523875"/>
                    </a:xfrm>
                    <a:prstGeom prst="rect">
                      <a:avLst/>
                    </a:prstGeom>
                  </pic:spPr>
                </pic:pic>
              </a:graphicData>
            </a:graphic>
          </wp:anchor>
        </w:drawing>
      </w:r>
      <w:r>
        <w:rPr>
          <w:rFonts w:ascii="Trebuchet MS"/>
          <w:noProof/>
          <w:sz w:val="20"/>
        </w:rPr>
        <w:drawing>
          <wp:anchor distT="0" distB="0" distL="0" distR="0" simplePos="0" relativeHeight="487621120" behindDoc="1" locked="0" layoutInCell="1" allowOverlap="1" wp14:anchorId="5D26ACBE" wp14:editId="2FBDD263">
            <wp:simplePos x="0" y="0"/>
            <wp:positionH relativeFrom="page">
              <wp:posOffset>4225797</wp:posOffset>
            </wp:positionH>
            <wp:positionV relativeFrom="paragraph">
              <wp:posOffset>272007</wp:posOffset>
            </wp:positionV>
            <wp:extent cx="639653" cy="642937"/>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71" cstate="print"/>
                    <a:stretch>
                      <a:fillRect/>
                    </a:stretch>
                  </pic:blipFill>
                  <pic:spPr>
                    <a:xfrm>
                      <a:off x="0" y="0"/>
                      <a:ext cx="639653" cy="642937"/>
                    </a:xfrm>
                    <a:prstGeom prst="rect">
                      <a:avLst/>
                    </a:prstGeom>
                  </pic:spPr>
                </pic:pic>
              </a:graphicData>
            </a:graphic>
          </wp:anchor>
        </w:drawing>
      </w:r>
      <w:r>
        <w:rPr>
          <w:rFonts w:ascii="Trebuchet MS"/>
          <w:noProof/>
          <w:sz w:val="20"/>
        </w:rPr>
        <w:drawing>
          <wp:anchor distT="0" distB="0" distL="0" distR="0" simplePos="0" relativeHeight="487621632" behindDoc="1" locked="0" layoutInCell="1" allowOverlap="1" wp14:anchorId="203CDFE2" wp14:editId="5A659241">
            <wp:simplePos x="0" y="0"/>
            <wp:positionH relativeFrom="page">
              <wp:posOffset>5369052</wp:posOffset>
            </wp:positionH>
            <wp:positionV relativeFrom="paragraph">
              <wp:posOffset>253846</wp:posOffset>
            </wp:positionV>
            <wp:extent cx="222194" cy="200025"/>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72" cstate="print"/>
                    <a:stretch>
                      <a:fillRect/>
                    </a:stretch>
                  </pic:blipFill>
                  <pic:spPr>
                    <a:xfrm>
                      <a:off x="0" y="0"/>
                      <a:ext cx="222194" cy="200025"/>
                    </a:xfrm>
                    <a:prstGeom prst="rect">
                      <a:avLst/>
                    </a:prstGeom>
                  </pic:spPr>
                </pic:pic>
              </a:graphicData>
            </a:graphic>
          </wp:anchor>
        </w:drawing>
      </w:r>
    </w:p>
    <w:p w14:paraId="52E47431" w14:textId="77777777" w:rsidR="000E52B0" w:rsidRDefault="000E52B0">
      <w:pPr>
        <w:pStyle w:val="Textoindependiente"/>
        <w:spacing w:before="12"/>
        <w:ind w:left="0"/>
        <w:rPr>
          <w:rFonts w:ascii="Trebuchet MS"/>
          <w:sz w:val="18"/>
        </w:rPr>
      </w:pPr>
    </w:p>
    <w:p w14:paraId="214A6E98" w14:textId="77777777" w:rsidR="000E52B0" w:rsidRDefault="00F60D74">
      <w:pPr>
        <w:tabs>
          <w:tab w:val="left" w:pos="3281"/>
        </w:tabs>
        <w:ind w:left="72"/>
        <w:jc w:val="center"/>
        <w:rPr>
          <w:rFonts w:ascii="Trebuchet MS" w:hAnsi="Trebuchet MS"/>
          <w:sz w:val="18"/>
        </w:rPr>
      </w:pPr>
      <w:r>
        <w:rPr>
          <w:noProof/>
        </w:rPr>
        <w:drawing>
          <wp:inline distT="0" distB="0" distL="0" distR="0" wp14:anchorId="05A8A773" wp14:editId="322CA678">
            <wp:extent cx="62779" cy="62779"/>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73" cstate="print"/>
                    <a:stretch>
                      <a:fillRect/>
                    </a:stretch>
                  </pic:blipFill>
                  <pic:spPr>
                    <a:xfrm>
                      <a:off x="0" y="0"/>
                      <a:ext cx="62779" cy="62779"/>
                    </a:xfrm>
                    <a:prstGeom prst="rect">
                      <a:avLst/>
                    </a:prstGeom>
                  </pic:spPr>
                </pic:pic>
              </a:graphicData>
            </a:graphic>
          </wp:inline>
        </w:drawing>
      </w:r>
      <w:r>
        <w:rPr>
          <w:rFonts w:ascii="Times New Roman" w:hAnsi="Times New Roman"/>
          <w:spacing w:val="2"/>
          <w:sz w:val="20"/>
        </w:rPr>
        <w:t xml:space="preserve"> </w:t>
      </w:r>
      <w:r>
        <w:rPr>
          <w:rFonts w:ascii="Trebuchet MS" w:hAnsi="Trebuchet MS"/>
          <w:color w:val="585858"/>
          <w:spacing w:val="-2"/>
          <w:sz w:val="18"/>
        </w:rPr>
        <w:t>Adolescentes</w:t>
      </w:r>
      <w:r>
        <w:rPr>
          <w:rFonts w:ascii="Trebuchet MS" w:hAnsi="Trebuchet MS"/>
          <w:color w:val="585858"/>
          <w:spacing w:val="-10"/>
          <w:sz w:val="18"/>
        </w:rPr>
        <w:t xml:space="preserve"> </w:t>
      </w:r>
      <w:r>
        <w:rPr>
          <w:rFonts w:ascii="Trebuchet MS" w:hAnsi="Trebuchet MS"/>
          <w:color w:val="585858"/>
          <w:spacing w:val="-2"/>
          <w:sz w:val="18"/>
        </w:rPr>
        <w:t>menores</w:t>
      </w:r>
      <w:r>
        <w:rPr>
          <w:rFonts w:ascii="Trebuchet MS" w:hAnsi="Trebuchet MS"/>
          <w:color w:val="585858"/>
          <w:spacing w:val="-12"/>
          <w:sz w:val="18"/>
        </w:rPr>
        <w:t xml:space="preserve"> </w:t>
      </w:r>
      <w:r>
        <w:rPr>
          <w:rFonts w:ascii="Trebuchet MS" w:hAnsi="Trebuchet MS"/>
          <w:color w:val="585858"/>
          <w:spacing w:val="-2"/>
          <w:sz w:val="18"/>
        </w:rPr>
        <w:t>de</w:t>
      </w:r>
      <w:r>
        <w:rPr>
          <w:rFonts w:ascii="Trebuchet MS" w:hAnsi="Trebuchet MS"/>
          <w:color w:val="585858"/>
          <w:spacing w:val="-10"/>
          <w:sz w:val="18"/>
        </w:rPr>
        <w:t xml:space="preserve"> </w:t>
      </w:r>
      <w:r>
        <w:rPr>
          <w:rFonts w:ascii="Trebuchet MS" w:hAnsi="Trebuchet MS"/>
          <w:color w:val="585858"/>
          <w:spacing w:val="-2"/>
          <w:sz w:val="18"/>
        </w:rPr>
        <w:t>18</w:t>
      </w:r>
      <w:r>
        <w:rPr>
          <w:rFonts w:ascii="Trebuchet MS" w:hAnsi="Trebuchet MS"/>
          <w:color w:val="585858"/>
          <w:spacing w:val="-11"/>
          <w:sz w:val="18"/>
        </w:rPr>
        <w:t xml:space="preserve"> </w:t>
      </w:r>
      <w:r>
        <w:rPr>
          <w:rFonts w:ascii="Trebuchet MS" w:hAnsi="Trebuchet MS"/>
          <w:color w:val="585858"/>
          <w:spacing w:val="-2"/>
          <w:sz w:val="18"/>
        </w:rPr>
        <w:t>años</w:t>
      </w:r>
      <w:r>
        <w:rPr>
          <w:rFonts w:ascii="Trebuchet MS" w:hAnsi="Trebuchet MS"/>
          <w:color w:val="585858"/>
          <w:sz w:val="18"/>
        </w:rPr>
        <w:tab/>
      </w:r>
      <w:r>
        <w:rPr>
          <w:rFonts w:ascii="Trebuchet MS" w:hAnsi="Trebuchet MS"/>
          <w:noProof/>
          <w:color w:val="585858"/>
          <w:sz w:val="18"/>
        </w:rPr>
        <w:drawing>
          <wp:inline distT="0" distB="0" distL="0" distR="0" wp14:anchorId="75FB0C34" wp14:editId="3B101316">
            <wp:extent cx="62779" cy="62779"/>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74" cstate="print"/>
                    <a:stretch>
                      <a:fillRect/>
                    </a:stretch>
                  </pic:blipFill>
                  <pic:spPr>
                    <a:xfrm>
                      <a:off x="0" y="0"/>
                      <a:ext cx="62779" cy="62779"/>
                    </a:xfrm>
                    <a:prstGeom prst="rect">
                      <a:avLst/>
                    </a:prstGeom>
                  </pic:spPr>
                </pic:pic>
              </a:graphicData>
            </a:graphic>
          </wp:inline>
        </w:drawing>
      </w:r>
      <w:r>
        <w:rPr>
          <w:rFonts w:ascii="Times New Roman" w:hAnsi="Times New Roman"/>
          <w:color w:val="585858"/>
          <w:sz w:val="18"/>
        </w:rPr>
        <w:t xml:space="preserve"> </w:t>
      </w:r>
      <w:r>
        <w:rPr>
          <w:rFonts w:ascii="Trebuchet MS" w:hAnsi="Trebuchet MS"/>
          <w:color w:val="585858"/>
          <w:sz w:val="18"/>
        </w:rPr>
        <w:t>Niñas</w:t>
      </w:r>
      <w:r>
        <w:rPr>
          <w:rFonts w:ascii="Trebuchet MS" w:hAnsi="Trebuchet MS"/>
          <w:color w:val="585858"/>
          <w:spacing w:val="-15"/>
          <w:sz w:val="18"/>
        </w:rPr>
        <w:t xml:space="preserve"> </w:t>
      </w:r>
      <w:r>
        <w:rPr>
          <w:rFonts w:ascii="Trebuchet MS" w:hAnsi="Trebuchet MS"/>
          <w:color w:val="585858"/>
          <w:sz w:val="18"/>
        </w:rPr>
        <w:t>menores</w:t>
      </w:r>
      <w:r>
        <w:rPr>
          <w:rFonts w:ascii="Trebuchet MS" w:hAnsi="Trebuchet MS"/>
          <w:color w:val="585858"/>
          <w:spacing w:val="-17"/>
          <w:sz w:val="18"/>
        </w:rPr>
        <w:t xml:space="preserve"> </w:t>
      </w:r>
      <w:r>
        <w:rPr>
          <w:rFonts w:ascii="Trebuchet MS" w:hAnsi="Trebuchet MS"/>
          <w:color w:val="585858"/>
          <w:sz w:val="18"/>
        </w:rPr>
        <w:t>de</w:t>
      </w:r>
      <w:r>
        <w:rPr>
          <w:rFonts w:ascii="Trebuchet MS" w:hAnsi="Trebuchet MS"/>
          <w:color w:val="585858"/>
          <w:spacing w:val="-15"/>
          <w:sz w:val="18"/>
        </w:rPr>
        <w:t xml:space="preserve"> </w:t>
      </w:r>
      <w:r>
        <w:rPr>
          <w:rFonts w:ascii="Trebuchet MS" w:hAnsi="Trebuchet MS"/>
          <w:color w:val="585858"/>
          <w:sz w:val="18"/>
        </w:rPr>
        <w:t>14</w:t>
      </w:r>
      <w:r>
        <w:rPr>
          <w:rFonts w:ascii="Trebuchet MS" w:hAnsi="Trebuchet MS"/>
          <w:color w:val="585858"/>
          <w:spacing w:val="-16"/>
          <w:sz w:val="18"/>
        </w:rPr>
        <w:t xml:space="preserve"> </w:t>
      </w:r>
      <w:r>
        <w:rPr>
          <w:rFonts w:ascii="Trebuchet MS" w:hAnsi="Trebuchet MS"/>
          <w:color w:val="585858"/>
          <w:sz w:val="18"/>
        </w:rPr>
        <w:t>años</w:t>
      </w:r>
    </w:p>
    <w:p w14:paraId="3F817B2F" w14:textId="77777777" w:rsidR="000E52B0" w:rsidRDefault="000E52B0">
      <w:pPr>
        <w:pStyle w:val="Textoindependiente"/>
        <w:spacing w:before="151"/>
        <w:ind w:left="0"/>
        <w:rPr>
          <w:rFonts w:ascii="Trebuchet MS"/>
          <w:sz w:val="18"/>
        </w:rPr>
      </w:pPr>
    </w:p>
    <w:p w14:paraId="655F9C3A" w14:textId="77777777" w:rsidR="000E52B0" w:rsidRDefault="00F60D74">
      <w:pPr>
        <w:spacing w:before="1"/>
        <w:ind w:right="1"/>
        <w:jc w:val="center"/>
        <w:rPr>
          <w:i/>
          <w:sz w:val="18"/>
        </w:rPr>
      </w:pPr>
      <w:r>
        <w:rPr>
          <w:i/>
          <w:color w:val="454551"/>
          <w:sz w:val="18"/>
        </w:rPr>
        <w:t>Fuente</w:t>
      </w:r>
      <w:r>
        <w:rPr>
          <w:i/>
          <w:color w:val="454551"/>
          <w:spacing w:val="-4"/>
          <w:sz w:val="18"/>
        </w:rPr>
        <w:t xml:space="preserve"> </w:t>
      </w:r>
      <w:r>
        <w:rPr>
          <w:i/>
          <w:color w:val="454551"/>
          <w:sz w:val="18"/>
        </w:rPr>
        <w:t>10.</w:t>
      </w:r>
      <w:r>
        <w:rPr>
          <w:i/>
          <w:color w:val="454551"/>
          <w:spacing w:val="-4"/>
          <w:sz w:val="18"/>
        </w:rPr>
        <w:t xml:space="preserve"> </w:t>
      </w:r>
      <w:r>
        <w:rPr>
          <w:i/>
          <w:color w:val="454551"/>
          <w:sz w:val="18"/>
        </w:rPr>
        <w:t>Elaboración</w:t>
      </w:r>
      <w:r>
        <w:rPr>
          <w:i/>
          <w:color w:val="454551"/>
          <w:spacing w:val="-2"/>
          <w:sz w:val="18"/>
        </w:rPr>
        <w:t xml:space="preserve"> </w:t>
      </w:r>
      <w:r>
        <w:rPr>
          <w:i/>
          <w:color w:val="454551"/>
          <w:sz w:val="18"/>
        </w:rPr>
        <w:t>propia</w:t>
      </w:r>
      <w:r>
        <w:rPr>
          <w:i/>
          <w:color w:val="454551"/>
          <w:spacing w:val="-2"/>
          <w:sz w:val="18"/>
        </w:rPr>
        <w:t xml:space="preserve"> </w:t>
      </w:r>
      <w:r>
        <w:rPr>
          <w:i/>
          <w:color w:val="454551"/>
          <w:sz w:val="18"/>
        </w:rPr>
        <w:t>con</w:t>
      </w:r>
      <w:r>
        <w:rPr>
          <w:i/>
          <w:color w:val="454551"/>
          <w:spacing w:val="-2"/>
          <w:sz w:val="18"/>
        </w:rPr>
        <w:t xml:space="preserve"> </w:t>
      </w:r>
      <w:r>
        <w:rPr>
          <w:i/>
          <w:color w:val="454551"/>
          <w:sz w:val="18"/>
        </w:rPr>
        <w:t>base</w:t>
      </w:r>
      <w:r>
        <w:rPr>
          <w:i/>
          <w:color w:val="454551"/>
          <w:spacing w:val="-3"/>
          <w:sz w:val="18"/>
        </w:rPr>
        <w:t xml:space="preserve"> </w:t>
      </w:r>
      <w:r>
        <w:rPr>
          <w:i/>
          <w:color w:val="454551"/>
          <w:sz w:val="18"/>
        </w:rPr>
        <w:t>en</w:t>
      </w:r>
      <w:r>
        <w:rPr>
          <w:i/>
          <w:color w:val="454551"/>
          <w:spacing w:val="-2"/>
          <w:sz w:val="18"/>
        </w:rPr>
        <w:t xml:space="preserve"> </w:t>
      </w:r>
      <w:r>
        <w:rPr>
          <w:i/>
          <w:color w:val="454551"/>
          <w:sz w:val="18"/>
        </w:rPr>
        <w:t>CNPV,</w:t>
      </w:r>
      <w:r>
        <w:rPr>
          <w:i/>
          <w:color w:val="454551"/>
          <w:spacing w:val="-3"/>
          <w:sz w:val="18"/>
        </w:rPr>
        <w:t xml:space="preserve"> </w:t>
      </w:r>
      <w:r>
        <w:rPr>
          <w:i/>
          <w:color w:val="454551"/>
          <w:spacing w:val="-2"/>
          <w:sz w:val="18"/>
        </w:rPr>
        <w:t>2018.</w:t>
      </w:r>
    </w:p>
    <w:p w14:paraId="1FF95B54" w14:textId="77777777" w:rsidR="000E52B0" w:rsidRDefault="00F60D74">
      <w:pPr>
        <w:pStyle w:val="Textoindependiente"/>
        <w:spacing w:before="201"/>
        <w:ind w:right="717"/>
        <w:jc w:val="both"/>
      </w:pPr>
      <w:r>
        <w:t>En</w:t>
      </w:r>
      <w:r>
        <w:rPr>
          <w:spacing w:val="-22"/>
        </w:rPr>
        <w:t xml:space="preserve"> </w:t>
      </w:r>
      <w:r>
        <w:t>2022,</w:t>
      </w:r>
      <w:r>
        <w:rPr>
          <w:spacing w:val="-21"/>
        </w:rPr>
        <w:t xml:space="preserve"> </w:t>
      </w:r>
      <w:r>
        <w:t>en</w:t>
      </w:r>
      <w:r>
        <w:rPr>
          <w:spacing w:val="-21"/>
        </w:rPr>
        <w:t xml:space="preserve"> </w:t>
      </w:r>
      <w:r>
        <w:t>Colombia,</w:t>
      </w:r>
      <w:r>
        <w:rPr>
          <w:spacing w:val="-21"/>
        </w:rPr>
        <w:t xml:space="preserve"> </w:t>
      </w:r>
      <w:r>
        <w:t>967</w:t>
      </w:r>
      <w:r>
        <w:rPr>
          <w:spacing w:val="-21"/>
        </w:rPr>
        <w:t xml:space="preserve"> </w:t>
      </w:r>
      <w:r>
        <w:t>bebés</w:t>
      </w:r>
      <w:r>
        <w:rPr>
          <w:spacing w:val="-21"/>
        </w:rPr>
        <w:t xml:space="preserve"> </w:t>
      </w:r>
      <w:r>
        <w:t>nacidos</w:t>
      </w:r>
      <w:r>
        <w:rPr>
          <w:spacing w:val="-21"/>
        </w:rPr>
        <w:t xml:space="preserve"> </w:t>
      </w:r>
      <w:r>
        <w:t>vivos</w:t>
      </w:r>
      <w:r>
        <w:rPr>
          <w:spacing w:val="-21"/>
        </w:rPr>
        <w:t xml:space="preserve"> </w:t>
      </w:r>
      <w:r>
        <w:t>nacieron</w:t>
      </w:r>
      <w:r>
        <w:rPr>
          <w:spacing w:val="-21"/>
        </w:rPr>
        <w:t xml:space="preserve"> </w:t>
      </w:r>
      <w:r>
        <w:t>de</w:t>
      </w:r>
      <w:r>
        <w:rPr>
          <w:spacing w:val="-21"/>
        </w:rPr>
        <w:t xml:space="preserve"> </w:t>
      </w:r>
      <w:r>
        <w:t>una</w:t>
      </w:r>
      <w:r>
        <w:rPr>
          <w:spacing w:val="-22"/>
        </w:rPr>
        <w:t xml:space="preserve"> </w:t>
      </w:r>
      <w:r>
        <w:t>niña</w:t>
      </w:r>
      <w:r>
        <w:rPr>
          <w:spacing w:val="-21"/>
        </w:rPr>
        <w:t xml:space="preserve"> </w:t>
      </w:r>
      <w:r>
        <w:t>menor de 14 años, 46 mil nacieron de una adolescente menor de 18 años y 255 mil</w:t>
      </w:r>
      <w:r>
        <w:rPr>
          <w:spacing w:val="-13"/>
        </w:rPr>
        <w:t xml:space="preserve"> </w:t>
      </w:r>
      <w:r>
        <w:t>nacieron</w:t>
      </w:r>
      <w:r>
        <w:rPr>
          <w:spacing w:val="-14"/>
        </w:rPr>
        <w:t xml:space="preserve"> </w:t>
      </w:r>
      <w:r>
        <w:t>de</w:t>
      </w:r>
      <w:r>
        <w:rPr>
          <w:spacing w:val="-13"/>
        </w:rPr>
        <w:t xml:space="preserve"> </w:t>
      </w:r>
      <w:r>
        <w:t>una</w:t>
      </w:r>
      <w:r>
        <w:rPr>
          <w:spacing w:val="-11"/>
        </w:rPr>
        <w:t xml:space="preserve"> </w:t>
      </w:r>
      <w:r>
        <w:t>mujer</w:t>
      </w:r>
      <w:r>
        <w:rPr>
          <w:spacing w:val="-13"/>
        </w:rPr>
        <w:t xml:space="preserve"> </w:t>
      </w:r>
      <w:r>
        <w:t>joven</w:t>
      </w:r>
      <w:r>
        <w:rPr>
          <w:spacing w:val="-14"/>
        </w:rPr>
        <w:t xml:space="preserve"> </w:t>
      </w:r>
      <w:r>
        <w:t>menor</w:t>
      </w:r>
      <w:r>
        <w:rPr>
          <w:spacing w:val="-10"/>
        </w:rPr>
        <w:t xml:space="preserve"> </w:t>
      </w:r>
      <w:r>
        <w:t>de</w:t>
      </w:r>
      <w:r>
        <w:rPr>
          <w:spacing w:val="-13"/>
        </w:rPr>
        <w:t xml:space="preserve"> </w:t>
      </w:r>
      <w:r>
        <w:t>25</w:t>
      </w:r>
      <w:r>
        <w:rPr>
          <w:spacing w:val="-13"/>
        </w:rPr>
        <w:t xml:space="preserve"> </w:t>
      </w:r>
      <w:r>
        <w:t>años.</w:t>
      </w:r>
      <w:r>
        <w:rPr>
          <w:spacing w:val="-15"/>
        </w:rPr>
        <w:t xml:space="preserve"> </w:t>
      </w:r>
      <w:r>
        <w:t>Si</w:t>
      </w:r>
      <w:r>
        <w:rPr>
          <w:spacing w:val="-12"/>
        </w:rPr>
        <w:t xml:space="preserve"> </w:t>
      </w:r>
      <w:r>
        <w:t>bien</w:t>
      </w:r>
      <w:r>
        <w:rPr>
          <w:spacing w:val="-11"/>
        </w:rPr>
        <w:t xml:space="preserve"> </w:t>
      </w:r>
      <w:r>
        <w:t>la</w:t>
      </w:r>
      <w:r>
        <w:rPr>
          <w:spacing w:val="-14"/>
        </w:rPr>
        <w:t xml:space="preserve"> </w:t>
      </w:r>
      <w:r>
        <w:t>reproducción tiene un contenido simbólico y colectivo entre los pueblos étnicos, las responsabilidades de cuidado y provisión también afectan de forma desproporcional a las mujeres indígenas, negras-afrodescendientes, raizales,</w:t>
      </w:r>
      <w:r>
        <w:rPr>
          <w:spacing w:val="-7"/>
        </w:rPr>
        <w:t xml:space="preserve"> </w:t>
      </w:r>
      <w:r>
        <w:t>palenqueras</w:t>
      </w:r>
      <w:r>
        <w:rPr>
          <w:spacing w:val="-5"/>
        </w:rPr>
        <w:t xml:space="preserve"> </w:t>
      </w:r>
      <w:r>
        <w:t>y</w:t>
      </w:r>
      <w:r>
        <w:rPr>
          <w:spacing w:val="-6"/>
        </w:rPr>
        <w:t xml:space="preserve"> </w:t>
      </w:r>
      <w:proofErr w:type="spellStart"/>
      <w:r>
        <w:t>Rrom</w:t>
      </w:r>
      <w:proofErr w:type="spellEnd"/>
      <w:r>
        <w:t>.</w:t>
      </w:r>
      <w:r>
        <w:rPr>
          <w:spacing w:val="-6"/>
        </w:rPr>
        <w:t xml:space="preserve"> </w:t>
      </w:r>
      <w:r>
        <w:t>Especialmente,</w:t>
      </w:r>
      <w:r>
        <w:rPr>
          <w:spacing w:val="-6"/>
        </w:rPr>
        <w:t xml:space="preserve"> </w:t>
      </w:r>
      <w:r>
        <w:t>resulta</w:t>
      </w:r>
      <w:r>
        <w:rPr>
          <w:spacing w:val="-4"/>
        </w:rPr>
        <w:t xml:space="preserve"> </w:t>
      </w:r>
      <w:r>
        <w:t>problemático</w:t>
      </w:r>
      <w:r>
        <w:rPr>
          <w:spacing w:val="-5"/>
        </w:rPr>
        <w:t xml:space="preserve"> </w:t>
      </w:r>
      <w:r>
        <w:t>cuando en estas edades se configuran las condiciones determinantes para la generación de ingresos dignos, como culminar la educación secundaria, media y superior; y el acceso a las trayectorias laborales.</w:t>
      </w:r>
    </w:p>
    <w:p w14:paraId="3C315B77" w14:textId="77777777" w:rsidR="000E52B0" w:rsidRDefault="00F60D74">
      <w:pPr>
        <w:pStyle w:val="Textoindependiente"/>
        <w:spacing w:before="160"/>
        <w:ind w:right="716"/>
        <w:jc w:val="both"/>
      </w:pPr>
      <w:r>
        <w:t>A pesar de las transformaciones culturales y del reconocimiento simbólico y económico del cuidado realizado por las mujeres a la sociedad; la responsabilidad de esta importante tarea sigue recayendo en ellas. El tiempo que las mujeres ocupan en el cuidado de los hogares y de otras personas equivale a tiempo que no puede ser destinado a actividades orientadas a las motivaciones personales –ocupacionales o no– de las mujeres,</w:t>
      </w:r>
      <w:r>
        <w:rPr>
          <w:spacing w:val="-14"/>
        </w:rPr>
        <w:t xml:space="preserve"> </w:t>
      </w:r>
      <w:r>
        <w:t>al</w:t>
      </w:r>
      <w:r>
        <w:rPr>
          <w:spacing w:val="-12"/>
        </w:rPr>
        <w:t xml:space="preserve"> </w:t>
      </w:r>
      <w:r>
        <w:t>autocuidado</w:t>
      </w:r>
      <w:r>
        <w:rPr>
          <w:spacing w:val="-12"/>
        </w:rPr>
        <w:t xml:space="preserve"> </w:t>
      </w:r>
      <w:r>
        <w:t>y</w:t>
      </w:r>
      <w:r>
        <w:rPr>
          <w:spacing w:val="-13"/>
        </w:rPr>
        <w:t xml:space="preserve"> </w:t>
      </w:r>
      <w:r>
        <w:t>el</w:t>
      </w:r>
      <w:r>
        <w:rPr>
          <w:spacing w:val="-11"/>
        </w:rPr>
        <w:t xml:space="preserve"> </w:t>
      </w:r>
      <w:r>
        <w:t>ocio.</w:t>
      </w:r>
      <w:r>
        <w:rPr>
          <w:spacing w:val="-11"/>
        </w:rPr>
        <w:t xml:space="preserve"> </w:t>
      </w:r>
      <w:r>
        <w:t>De</w:t>
      </w:r>
      <w:r>
        <w:rPr>
          <w:spacing w:val="-12"/>
        </w:rPr>
        <w:t xml:space="preserve"> </w:t>
      </w:r>
      <w:r>
        <w:t>acuerdo</w:t>
      </w:r>
      <w:r>
        <w:rPr>
          <w:spacing w:val="-12"/>
        </w:rPr>
        <w:t xml:space="preserve"> </w:t>
      </w:r>
      <w:r>
        <w:t>con</w:t>
      </w:r>
      <w:r>
        <w:rPr>
          <w:spacing w:val="-13"/>
        </w:rPr>
        <w:t xml:space="preserve"> </w:t>
      </w:r>
      <w:r>
        <w:t>la</w:t>
      </w:r>
      <w:r>
        <w:rPr>
          <w:spacing w:val="-11"/>
        </w:rPr>
        <w:t xml:space="preserve"> </w:t>
      </w:r>
      <w:r>
        <w:t>ENUT,</w:t>
      </w:r>
      <w:r>
        <w:rPr>
          <w:spacing w:val="-11"/>
        </w:rPr>
        <w:t xml:space="preserve"> </w:t>
      </w:r>
      <w:r>
        <w:t>el</w:t>
      </w:r>
      <w:r>
        <w:rPr>
          <w:spacing w:val="-14"/>
        </w:rPr>
        <w:t xml:space="preserve"> </w:t>
      </w:r>
      <w:r>
        <w:t>90,3%</w:t>
      </w:r>
      <w:r>
        <w:rPr>
          <w:spacing w:val="-12"/>
        </w:rPr>
        <w:t xml:space="preserve"> </w:t>
      </w:r>
      <w:r>
        <w:t>de</w:t>
      </w:r>
      <w:r>
        <w:rPr>
          <w:spacing w:val="-12"/>
        </w:rPr>
        <w:t xml:space="preserve"> </w:t>
      </w:r>
      <w:r>
        <w:t>las mujeres</w:t>
      </w:r>
      <w:r>
        <w:rPr>
          <w:spacing w:val="-11"/>
        </w:rPr>
        <w:t xml:space="preserve"> </w:t>
      </w:r>
      <w:r>
        <w:t>desarrolla</w:t>
      </w:r>
      <w:r>
        <w:rPr>
          <w:spacing w:val="-7"/>
        </w:rPr>
        <w:t xml:space="preserve"> </w:t>
      </w:r>
      <w:r>
        <w:t>actividades</w:t>
      </w:r>
      <w:r>
        <w:rPr>
          <w:spacing w:val="-9"/>
        </w:rPr>
        <w:t xml:space="preserve"> </w:t>
      </w:r>
      <w:r>
        <w:t>de</w:t>
      </w:r>
      <w:r>
        <w:rPr>
          <w:spacing w:val="-10"/>
        </w:rPr>
        <w:t xml:space="preserve"> </w:t>
      </w:r>
      <w:r>
        <w:t>cuidado,</w:t>
      </w:r>
      <w:r>
        <w:rPr>
          <w:spacing w:val="-12"/>
        </w:rPr>
        <w:t xml:space="preserve"> </w:t>
      </w:r>
      <w:r>
        <w:t>en</w:t>
      </w:r>
      <w:r>
        <w:rPr>
          <w:spacing w:val="-12"/>
        </w:rPr>
        <w:t xml:space="preserve"> </w:t>
      </w:r>
      <w:r>
        <w:t>contraste</w:t>
      </w:r>
      <w:r>
        <w:rPr>
          <w:spacing w:val="-10"/>
        </w:rPr>
        <w:t xml:space="preserve"> </w:t>
      </w:r>
      <w:r>
        <w:t>con</w:t>
      </w:r>
      <w:r>
        <w:rPr>
          <w:spacing w:val="-12"/>
        </w:rPr>
        <w:t xml:space="preserve"> </w:t>
      </w:r>
      <w:r>
        <w:t>un</w:t>
      </w:r>
      <w:r>
        <w:rPr>
          <w:spacing w:val="-10"/>
        </w:rPr>
        <w:t xml:space="preserve"> </w:t>
      </w:r>
      <w:r>
        <w:t>63%</w:t>
      </w:r>
      <w:r>
        <w:rPr>
          <w:spacing w:val="-10"/>
        </w:rPr>
        <w:t xml:space="preserve"> </w:t>
      </w:r>
      <w:r>
        <w:t>de</w:t>
      </w:r>
      <w:r>
        <w:rPr>
          <w:spacing w:val="-10"/>
        </w:rPr>
        <w:t xml:space="preserve"> </w:t>
      </w:r>
      <w:r>
        <w:t>los hombres.</w:t>
      </w:r>
      <w:r>
        <w:rPr>
          <w:spacing w:val="-18"/>
        </w:rPr>
        <w:t xml:space="preserve"> </w:t>
      </w:r>
      <w:r>
        <w:t>En</w:t>
      </w:r>
      <w:r>
        <w:rPr>
          <w:spacing w:val="-16"/>
        </w:rPr>
        <w:t xml:space="preserve"> </w:t>
      </w:r>
      <w:r>
        <w:t>el</w:t>
      </w:r>
      <w:r>
        <w:rPr>
          <w:spacing w:val="-16"/>
        </w:rPr>
        <w:t xml:space="preserve"> </w:t>
      </w:r>
      <w:r>
        <w:t>mismo</w:t>
      </w:r>
      <w:r>
        <w:rPr>
          <w:spacing w:val="-17"/>
        </w:rPr>
        <w:t xml:space="preserve"> </w:t>
      </w:r>
      <w:r>
        <w:t>sentido,</w:t>
      </w:r>
      <w:r>
        <w:rPr>
          <w:spacing w:val="-16"/>
        </w:rPr>
        <w:t xml:space="preserve"> </w:t>
      </w:r>
      <w:r>
        <w:t>las</w:t>
      </w:r>
      <w:r>
        <w:rPr>
          <w:spacing w:val="-15"/>
        </w:rPr>
        <w:t xml:space="preserve"> </w:t>
      </w:r>
      <w:r>
        <w:t>mujeres</w:t>
      </w:r>
      <w:r>
        <w:rPr>
          <w:spacing w:val="-18"/>
        </w:rPr>
        <w:t xml:space="preserve"> </w:t>
      </w:r>
      <w:r>
        <w:t>ocupan</w:t>
      </w:r>
      <w:r>
        <w:rPr>
          <w:spacing w:val="-18"/>
        </w:rPr>
        <w:t xml:space="preserve"> </w:t>
      </w:r>
      <w:r>
        <w:t>en</w:t>
      </w:r>
      <w:r>
        <w:rPr>
          <w:spacing w:val="-16"/>
        </w:rPr>
        <w:t xml:space="preserve"> </w:t>
      </w:r>
      <w:r>
        <w:t>promedio</w:t>
      </w:r>
      <w:r>
        <w:rPr>
          <w:spacing w:val="-17"/>
        </w:rPr>
        <w:t xml:space="preserve"> </w:t>
      </w:r>
      <w:r>
        <w:t>7,73</w:t>
      </w:r>
      <w:r>
        <w:rPr>
          <w:spacing w:val="-16"/>
        </w:rPr>
        <w:t xml:space="preserve"> </w:t>
      </w:r>
      <w:r>
        <w:t>horas al día en el cuidado del hogar y de otras personas, mientras los hombres ocupan en promedio 3,10 horas en estas labores.</w:t>
      </w:r>
    </w:p>
    <w:p w14:paraId="4C8EB5AD" w14:textId="77777777" w:rsidR="000E52B0" w:rsidRDefault="000E52B0">
      <w:pPr>
        <w:pStyle w:val="Textoindependiente"/>
        <w:jc w:val="both"/>
        <w:sectPr w:rsidR="000E52B0">
          <w:pgSz w:w="11910" w:h="16840"/>
          <w:pgMar w:top="1340" w:right="720" w:bottom="1180" w:left="720" w:header="0" w:footer="995" w:gutter="0"/>
          <w:cols w:space="720"/>
        </w:sectPr>
      </w:pPr>
    </w:p>
    <w:p w14:paraId="19DC98B3" w14:textId="77777777" w:rsidR="000E52B0" w:rsidRDefault="00F60D74">
      <w:pPr>
        <w:spacing w:before="80"/>
        <w:ind w:left="4642" w:hanging="3654"/>
        <w:rPr>
          <w:i/>
          <w:sz w:val="18"/>
        </w:rPr>
      </w:pPr>
      <w:r>
        <w:rPr>
          <w:i/>
          <w:color w:val="454551"/>
          <w:sz w:val="18"/>
        </w:rPr>
        <w:lastRenderedPageBreak/>
        <w:t>Ilustración</w:t>
      </w:r>
      <w:r>
        <w:rPr>
          <w:i/>
          <w:color w:val="454551"/>
          <w:spacing w:val="-2"/>
          <w:sz w:val="18"/>
        </w:rPr>
        <w:t xml:space="preserve"> </w:t>
      </w:r>
      <w:r>
        <w:rPr>
          <w:i/>
          <w:color w:val="454551"/>
          <w:sz w:val="18"/>
        </w:rPr>
        <w:t>21.</w:t>
      </w:r>
      <w:r>
        <w:rPr>
          <w:i/>
          <w:color w:val="454551"/>
          <w:spacing w:val="-5"/>
          <w:sz w:val="18"/>
        </w:rPr>
        <w:t xml:space="preserve"> </w:t>
      </w:r>
      <w:r>
        <w:rPr>
          <w:i/>
          <w:color w:val="454551"/>
          <w:sz w:val="18"/>
        </w:rPr>
        <w:t>Porcentaje</w:t>
      </w:r>
      <w:r>
        <w:rPr>
          <w:i/>
          <w:color w:val="454551"/>
          <w:spacing w:val="-4"/>
          <w:sz w:val="18"/>
        </w:rPr>
        <w:t xml:space="preserve"> </w:t>
      </w:r>
      <w:r>
        <w:rPr>
          <w:i/>
          <w:color w:val="454551"/>
          <w:sz w:val="18"/>
        </w:rPr>
        <w:t>de</w:t>
      </w:r>
      <w:r>
        <w:rPr>
          <w:i/>
          <w:color w:val="454551"/>
          <w:spacing w:val="-4"/>
          <w:sz w:val="18"/>
        </w:rPr>
        <w:t xml:space="preserve"> </w:t>
      </w:r>
      <w:r>
        <w:rPr>
          <w:i/>
          <w:color w:val="454551"/>
          <w:sz w:val="18"/>
        </w:rPr>
        <w:t>personas</w:t>
      </w:r>
      <w:r>
        <w:rPr>
          <w:i/>
          <w:color w:val="454551"/>
          <w:spacing w:val="-5"/>
          <w:sz w:val="18"/>
        </w:rPr>
        <w:t xml:space="preserve"> </w:t>
      </w:r>
      <w:r>
        <w:rPr>
          <w:i/>
          <w:color w:val="454551"/>
          <w:sz w:val="18"/>
        </w:rPr>
        <w:t>que</w:t>
      </w:r>
      <w:r>
        <w:rPr>
          <w:i/>
          <w:color w:val="454551"/>
          <w:spacing w:val="-1"/>
          <w:sz w:val="18"/>
        </w:rPr>
        <w:t xml:space="preserve"> </w:t>
      </w:r>
      <w:r>
        <w:rPr>
          <w:i/>
          <w:color w:val="454551"/>
          <w:sz w:val="18"/>
        </w:rPr>
        <w:t>realizan</w:t>
      </w:r>
      <w:r>
        <w:rPr>
          <w:i/>
          <w:color w:val="454551"/>
          <w:spacing w:val="-3"/>
          <w:sz w:val="18"/>
        </w:rPr>
        <w:t xml:space="preserve"> </w:t>
      </w:r>
      <w:r>
        <w:rPr>
          <w:i/>
          <w:color w:val="454551"/>
          <w:sz w:val="18"/>
        </w:rPr>
        <w:t>actividades</w:t>
      </w:r>
      <w:r>
        <w:rPr>
          <w:i/>
          <w:color w:val="454551"/>
          <w:spacing w:val="-4"/>
          <w:sz w:val="18"/>
        </w:rPr>
        <w:t xml:space="preserve"> </w:t>
      </w:r>
      <w:r>
        <w:rPr>
          <w:i/>
          <w:color w:val="454551"/>
          <w:sz w:val="18"/>
        </w:rPr>
        <w:t>de</w:t>
      </w:r>
      <w:r>
        <w:rPr>
          <w:i/>
          <w:color w:val="454551"/>
          <w:spacing w:val="-4"/>
          <w:sz w:val="18"/>
        </w:rPr>
        <w:t xml:space="preserve"> </w:t>
      </w:r>
      <w:r>
        <w:rPr>
          <w:i/>
          <w:color w:val="454551"/>
          <w:sz w:val="18"/>
        </w:rPr>
        <w:t>cuidado</w:t>
      </w:r>
      <w:r>
        <w:rPr>
          <w:i/>
          <w:color w:val="454551"/>
          <w:spacing w:val="-3"/>
          <w:sz w:val="18"/>
        </w:rPr>
        <w:t xml:space="preserve"> </w:t>
      </w:r>
      <w:r>
        <w:rPr>
          <w:i/>
          <w:color w:val="454551"/>
          <w:sz w:val="18"/>
        </w:rPr>
        <w:t>(remunerado</w:t>
      </w:r>
      <w:r>
        <w:rPr>
          <w:i/>
          <w:color w:val="454551"/>
          <w:spacing w:val="-3"/>
          <w:sz w:val="18"/>
        </w:rPr>
        <w:t xml:space="preserve"> </w:t>
      </w:r>
      <w:r>
        <w:rPr>
          <w:i/>
          <w:color w:val="454551"/>
          <w:sz w:val="18"/>
        </w:rPr>
        <w:t>y</w:t>
      </w:r>
      <w:r>
        <w:rPr>
          <w:i/>
          <w:color w:val="454551"/>
          <w:spacing w:val="-5"/>
          <w:sz w:val="18"/>
        </w:rPr>
        <w:t xml:space="preserve"> </w:t>
      </w:r>
      <w:r>
        <w:rPr>
          <w:i/>
          <w:color w:val="454551"/>
          <w:sz w:val="18"/>
        </w:rPr>
        <w:t xml:space="preserve">no </w:t>
      </w:r>
      <w:r>
        <w:rPr>
          <w:i/>
          <w:color w:val="454551"/>
          <w:spacing w:val="-2"/>
          <w:sz w:val="18"/>
        </w:rPr>
        <w:t>remunerado)</w:t>
      </w:r>
    </w:p>
    <w:p w14:paraId="3EDABF41" w14:textId="77777777" w:rsidR="000E52B0" w:rsidRDefault="000E52B0">
      <w:pPr>
        <w:pStyle w:val="Textoindependiente"/>
        <w:spacing w:before="4"/>
        <w:ind w:left="0"/>
        <w:rPr>
          <w:i/>
          <w:sz w:val="14"/>
        </w:rPr>
      </w:pPr>
    </w:p>
    <w:p w14:paraId="68E7EB3D" w14:textId="77777777" w:rsidR="000E52B0" w:rsidRDefault="000E52B0">
      <w:pPr>
        <w:pStyle w:val="Textoindependiente"/>
        <w:rPr>
          <w:i/>
          <w:sz w:val="14"/>
        </w:rPr>
        <w:sectPr w:rsidR="000E52B0">
          <w:pgSz w:w="11910" w:h="16840"/>
          <w:pgMar w:top="1340" w:right="720" w:bottom="1180" w:left="720" w:header="0" w:footer="995" w:gutter="0"/>
          <w:cols w:space="720"/>
        </w:sectPr>
      </w:pPr>
    </w:p>
    <w:p w14:paraId="24388011" w14:textId="77777777" w:rsidR="000E52B0" w:rsidRDefault="00F60D74">
      <w:pPr>
        <w:tabs>
          <w:tab w:val="left" w:pos="3631"/>
          <w:tab w:val="left" w:pos="4838"/>
          <w:tab w:val="left" w:pos="6142"/>
        </w:tabs>
        <w:spacing w:before="97"/>
        <w:ind w:left="2376"/>
        <w:rPr>
          <w:rFonts w:ascii="Trebuchet MS"/>
          <w:position w:val="10"/>
          <w:sz w:val="18"/>
        </w:rPr>
      </w:pPr>
      <w:r>
        <w:rPr>
          <w:rFonts w:ascii="Trebuchet MS"/>
          <w:color w:val="404040"/>
          <w:spacing w:val="-4"/>
          <w:sz w:val="18"/>
        </w:rPr>
        <w:t>90,3</w:t>
      </w:r>
      <w:r>
        <w:rPr>
          <w:rFonts w:ascii="Trebuchet MS"/>
          <w:color w:val="404040"/>
          <w:sz w:val="18"/>
        </w:rPr>
        <w:tab/>
      </w:r>
      <w:r>
        <w:rPr>
          <w:rFonts w:ascii="Trebuchet MS"/>
          <w:color w:val="404040"/>
          <w:spacing w:val="-4"/>
          <w:position w:val="9"/>
          <w:sz w:val="18"/>
        </w:rPr>
        <w:t>93,5</w:t>
      </w:r>
      <w:r>
        <w:rPr>
          <w:rFonts w:ascii="Trebuchet MS"/>
          <w:color w:val="404040"/>
          <w:position w:val="9"/>
          <w:sz w:val="18"/>
        </w:rPr>
        <w:tab/>
      </w:r>
      <w:r>
        <w:rPr>
          <w:rFonts w:ascii="Trebuchet MS"/>
          <w:color w:val="404040"/>
          <w:spacing w:val="-2"/>
          <w:sz w:val="18"/>
        </w:rPr>
        <w:t>90,32</w:t>
      </w:r>
      <w:r>
        <w:rPr>
          <w:rFonts w:ascii="Trebuchet MS"/>
          <w:color w:val="404040"/>
          <w:sz w:val="18"/>
        </w:rPr>
        <w:tab/>
      </w:r>
      <w:r>
        <w:rPr>
          <w:rFonts w:ascii="Trebuchet MS"/>
          <w:color w:val="404040"/>
          <w:spacing w:val="-6"/>
          <w:position w:val="10"/>
          <w:sz w:val="18"/>
        </w:rPr>
        <w:t>93,9</w:t>
      </w:r>
    </w:p>
    <w:p w14:paraId="2695DE26" w14:textId="77777777" w:rsidR="000E52B0" w:rsidRDefault="00F60D74">
      <w:pPr>
        <w:spacing w:before="197"/>
        <w:ind w:left="656"/>
        <w:jc w:val="center"/>
        <w:rPr>
          <w:rFonts w:ascii="Trebuchet MS"/>
          <w:sz w:val="18"/>
        </w:rPr>
      </w:pPr>
      <w:r>
        <w:br w:type="column"/>
      </w:r>
      <w:r>
        <w:rPr>
          <w:rFonts w:ascii="Trebuchet MS"/>
          <w:color w:val="404040"/>
          <w:spacing w:val="-4"/>
          <w:sz w:val="18"/>
        </w:rPr>
        <w:t>90,3</w:t>
      </w:r>
    </w:p>
    <w:p w14:paraId="5E7826B4" w14:textId="77777777" w:rsidR="000E52B0" w:rsidRDefault="000E52B0">
      <w:pPr>
        <w:jc w:val="center"/>
        <w:rPr>
          <w:rFonts w:ascii="Trebuchet MS"/>
          <w:sz w:val="18"/>
        </w:rPr>
        <w:sectPr w:rsidR="000E52B0">
          <w:type w:val="continuous"/>
          <w:pgSz w:w="11910" w:h="16840"/>
          <w:pgMar w:top="1340" w:right="720" w:bottom="1280" w:left="720" w:header="0" w:footer="995" w:gutter="0"/>
          <w:cols w:num="2" w:space="720" w:equalWidth="0">
            <w:col w:w="6482" w:space="40"/>
            <w:col w:w="3948"/>
          </w:cols>
        </w:sectPr>
      </w:pPr>
    </w:p>
    <w:p w14:paraId="4271AB7F" w14:textId="77777777" w:rsidR="000E52B0" w:rsidRDefault="00F60D74">
      <w:pPr>
        <w:pStyle w:val="Textoindependiente"/>
        <w:ind w:left="932"/>
        <w:rPr>
          <w:rFonts w:ascii="Trebuchet MS"/>
          <w:sz w:val="20"/>
        </w:rPr>
      </w:pPr>
      <w:r>
        <w:rPr>
          <w:rFonts w:ascii="Trebuchet MS"/>
          <w:noProof/>
          <w:sz w:val="20"/>
        </w:rPr>
        <mc:AlternateContent>
          <mc:Choice Requires="wpg">
            <w:drawing>
              <wp:inline distT="0" distB="0" distL="0" distR="0" wp14:anchorId="72B917EB" wp14:editId="66991ECD">
                <wp:extent cx="5553075" cy="1276350"/>
                <wp:effectExtent l="0" t="0" r="28575" b="19050"/>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3075" cy="1276350"/>
                          <a:chOff x="0" y="0"/>
                          <a:chExt cx="5578475" cy="1605915"/>
                        </a:xfrm>
                      </wpg:grpSpPr>
                      <wps:wsp>
                        <wps:cNvPr id="152" name="Graphic 152"/>
                        <wps:cNvSpPr/>
                        <wps:spPr>
                          <a:xfrm>
                            <a:off x="82804" y="0"/>
                            <a:ext cx="5059680" cy="1600835"/>
                          </a:xfrm>
                          <a:custGeom>
                            <a:avLst/>
                            <a:gdLst/>
                            <a:ahLst/>
                            <a:cxnLst/>
                            <a:rect l="l" t="t" r="r" b="b"/>
                            <a:pathLst>
                              <a:path w="5059680" h="1600835">
                                <a:moveTo>
                                  <a:pt x="278892" y="525780"/>
                                </a:moveTo>
                                <a:lnTo>
                                  <a:pt x="0" y="525780"/>
                                </a:lnTo>
                                <a:lnTo>
                                  <a:pt x="0" y="1600581"/>
                                </a:lnTo>
                                <a:lnTo>
                                  <a:pt x="278892" y="1600581"/>
                                </a:lnTo>
                                <a:lnTo>
                                  <a:pt x="278892" y="525780"/>
                                </a:lnTo>
                                <a:close/>
                              </a:path>
                              <a:path w="5059680" h="1600835">
                                <a:moveTo>
                                  <a:pt x="1074420" y="60960"/>
                                </a:moveTo>
                                <a:lnTo>
                                  <a:pt x="797052" y="60960"/>
                                </a:lnTo>
                                <a:lnTo>
                                  <a:pt x="797052" y="1600581"/>
                                </a:lnTo>
                                <a:lnTo>
                                  <a:pt x="1074420" y="1600581"/>
                                </a:lnTo>
                                <a:lnTo>
                                  <a:pt x="1074420" y="60960"/>
                                </a:lnTo>
                                <a:close/>
                              </a:path>
                              <a:path w="5059680" h="1600835">
                                <a:moveTo>
                                  <a:pt x="1871472" y="6096"/>
                                </a:moveTo>
                                <a:lnTo>
                                  <a:pt x="1594104" y="6096"/>
                                </a:lnTo>
                                <a:lnTo>
                                  <a:pt x="1594104" y="1600581"/>
                                </a:lnTo>
                                <a:lnTo>
                                  <a:pt x="1871472" y="1600581"/>
                                </a:lnTo>
                                <a:lnTo>
                                  <a:pt x="1871472" y="6096"/>
                                </a:lnTo>
                                <a:close/>
                              </a:path>
                              <a:path w="5059680" h="1600835">
                                <a:moveTo>
                                  <a:pt x="2668524" y="60960"/>
                                </a:moveTo>
                                <a:lnTo>
                                  <a:pt x="2391156" y="60960"/>
                                </a:lnTo>
                                <a:lnTo>
                                  <a:pt x="2391156" y="1600581"/>
                                </a:lnTo>
                                <a:lnTo>
                                  <a:pt x="2668524" y="1600581"/>
                                </a:lnTo>
                                <a:lnTo>
                                  <a:pt x="2668524" y="60960"/>
                                </a:lnTo>
                                <a:close/>
                              </a:path>
                              <a:path w="5059680" h="1600835">
                                <a:moveTo>
                                  <a:pt x="3465576" y="0"/>
                                </a:moveTo>
                                <a:lnTo>
                                  <a:pt x="3188208" y="0"/>
                                </a:lnTo>
                                <a:lnTo>
                                  <a:pt x="3188208" y="1600581"/>
                                </a:lnTo>
                                <a:lnTo>
                                  <a:pt x="3465576" y="1600581"/>
                                </a:lnTo>
                                <a:lnTo>
                                  <a:pt x="3465576" y="0"/>
                                </a:lnTo>
                                <a:close/>
                              </a:path>
                              <a:path w="5059680" h="1600835">
                                <a:moveTo>
                                  <a:pt x="4262628" y="239268"/>
                                </a:moveTo>
                                <a:lnTo>
                                  <a:pt x="3985260" y="239268"/>
                                </a:lnTo>
                                <a:lnTo>
                                  <a:pt x="3985260" y="1600581"/>
                                </a:lnTo>
                                <a:lnTo>
                                  <a:pt x="4262628" y="1600581"/>
                                </a:lnTo>
                                <a:lnTo>
                                  <a:pt x="4262628" y="239268"/>
                                </a:lnTo>
                                <a:close/>
                              </a:path>
                              <a:path w="5059680" h="1600835">
                                <a:moveTo>
                                  <a:pt x="5059680" y="60960"/>
                                </a:moveTo>
                                <a:lnTo>
                                  <a:pt x="4782312" y="60960"/>
                                </a:lnTo>
                                <a:lnTo>
                                  <a:pt x="4782312" y="1600581"/>
                                </a:lnTo>
                                <a:lnTo>
                                  <a:pt x="5059680" y="1600581"/>
                                </a:lnTo>
                                <a:lnTo>
                                  <a:pt x="5059680" y="60960"/>
                                </a:lnTo>
                                <a:close/>
                              </a:path>
                            </a:pathLst>
                          </a:custGeom>
                          <a:solidFill>
                            <a:srgbClr val="E22C91"/>
                          </a:solidFill>
                        </wps:spPr>
                        <wps:bodyPr wrap="square" lIns="0" tIns="0" rIns="0" bIns="0" rtlCol="0">
                          <a:prstTxWarp prst="textNoShape">
                            <a:avLst/>
                          </a:prstTxWarp>
                          <a:noAutofit/>
                        </wps:bodyPr>
                      </wps:wsp>
                      <wps:wsp>
                        <wps:cNvPr id="153" name="Graphic 153"/>
                        <wps:cNvSpPr/>
                        <wps:spPr>
                          <a:xfrm>
                            <a:off x="436372" y="691895"/>
                            <a:ext cx="5058410" cy="908685"/>
                          </a:xfrm>
                          <a:custGeom>
                            <a:avLst/>
                            <a:gdLst/>
                            <a:ahLst/>
                            <a:cxnLst/>
                            <a:rect l="l" t="t" r="r" b="b"/>
                            <a:pathLst>
                              <a:path w="5058410" h="908685">
                                <a:moveTo>
                                  <a:pt x="277368" y="0"/>
                                </a:moveTo>
                                <a:lnTo>
                                  <a:pt x="0" y="0"/>
                                </a:lnTo>
                                <a:lnTo>
                                  <a:pt x="0" y="908685"/>
                                </a:lnTo>
                                <a:lnTo>
                                  <a:pt x="277368" y="908685"/>
                                </a:lnTo>
                                <a:lnTo>
                                  <a:pt x="277368" y="0"/>
                                </a:lnTo>
                                <a:close/>
                              </a:path>
                              <a:path w="5058410" h="908685">
                                <a:moveTo>
                                  <a:pt x="1074420" y="397764"/>
                                </a:moveTo>
                                <a:lnTo>
                                  <a:pt x="797052" y="397764"/>
                                </a:lnTo>
                                <a:lnTo>
                                  <a:pt x="797052" y="908685"/>
                                </a:lnTo>
                                <a:lnTo>
                                  <a:pt x="1074420" y="908685"/>
                                </a:lnTo>
                                <a:lnTo>
                                  <a:pt x="1074420" y="397764"/>
                                </a:lnTo>
                                <a:close/>
                              </a:path>
                              <a:path w="5058410" h="908685">
                                <a:moveTo>
                                  <a:pt x="1871472" y="288036"/>
                                </a:moveTo>
                                <a:lnTo>
                                  <a:pt x="1594104" y="288036"/>
                                </a:lnTo>
                                <a:lnTo>
                                  <a:pt x="1594104" y="908685"/>
                                </a:lnTo>
                                <a:lnTo>
                                  <a:pt x="1871472" y="908685"/>
                                </a:lnTo>
                                <a:lnTo>
                                  <a:pt x="1871472" y="288036"/>
                                </a:lnTo>
                                <a:close/>
                              </a:path>
                              <a:path w="5058410" h="908685">
                                <a:moveTo>
                                  <a:pt x="2668524" y="428244"/>
                                </a:moveTo>
                                <a:lnTo>
                                  <a:pt x="2389632" y="428244"/>
                                </a:lnTo>
                                <a:lnTo>
                                  <a:pt x="2389632" y="908685"/>
                                </a:lnTo>
                                <a:lnTo>
                                  <a:pt x="2668524" y="908685"/>
                                </a:lnTo>
                                <a:lnTo>
                                  <a:pt x="2668524" y="428244"/>
                                </a:lnTo>
                                <a:close/>
                              </a:path>
                              <a:path w="5058410" h="908685">
                                <a:moveTo>
                                  <a:pt x="3465576" y="388620"/>
                                </a:moveTo>
                                <a:lnTo>
                                  <a:pt x="3186684" y="388620"/>
                                </a:lnTo>
                                <a:lnTo>
                                  <a:pt x="3186684" y="908685"/>
                                </a:lnTo>
                                <a:lnTo>
                                  <a:pt x="3465576" y="908685"/>
                                </a:lnTo>
                                <a:lnTo>
                                  <a:pt x="3465576" y="388620"/>
                                </a:lnTo>
                                <a:close/>
                              </a:path>
                              <a:path w="5058410" h="908685">
                                <a:moveTo>
                                  <a:pt x="4262628" y="842772"/>
                                </a:moveTo>
                                <a:lnTo>
                                  <a:pt x="3983736" y="842772"/>
                                </a:lnTo>
                                <a:lnTo>
                                  <a:pt x="3983736" y="908685"/>
                                </a:lnTo>
                                <a:lnTo>
                                  <a:pt x="4262628" y="908685"/>
                                </a:lnTo>
                                <a:lnTo>
                                  <a:pt x="4262628" y="842772"/>
                                </a:lnTo>
                                <a:close/>
                              </a:path>
                              <a:path w="5058410" h="908685">
                                <a:moveTo>
                                  <a:pt x="5058156" y="348996"/>
                                </a:moveTo>
                                <a:lnTo>
                                  <a:pt x="4780788" y="348996"/>
                                </a:lnTo>
                                <a:lnTo>
                                  <a:pt x="4780788" y="908685"/>
                                </a:lnTo>
                                <a:lnTo>
                                  <a:pt x="5058156" y="908685"/>
                                </a:lnTo>
                                <a:lnTo>
                                  <a:pt x="5058156" y="348996"/>
                                </a:lnTo>
                                <a:close/>
                              </a:path>
                            </a:pathLst>
                          </a:custGeom>
                          <a:solidFill>
                            <a:srgbClr val="FFC000"/>
                          </a:solidFill>
                        </wps:spPr>
                        <wps:bodyPr wrap="square" lIns="0" tIns="0" rIns="0" bIns="0" rtlCol="0">
                          <a:prstTxWarp prst="textNoShape">
                            <a:avLst/>
                          </a:prstTxWarp>
                          <a:noAutofit/>
                        </wps:bodyPr>
                      </wps:wsp>
                      <wps:wsp>
                        <wps:cNvPr id="154" name="Graphic 154"/>
                        <wps:cNvSpPr/>
                        <wps:spPr>
                          <a:xfrm>
                            <a:off x="0" y="1600580"/>
                            <a:ext cx="5578475" cy="1270"/>
                          </a:xfrm>
                          <a:custGeom>
                            <a:avLst/>
                            <a:gdLst/>
                            <a:ahLst/>
                            <a:cxnLst/>
                            <a:rect l="l" t="t" r="r" b="b"/>
                            <a:pathLst>
                              <a:path w="5578475">
                                <a:moveTo>
                                  <a:pt x="0" y="0"/>
                                </a:moveTo>
                                <a:lnTo>
                                  <a:pt x="5578475" y="0"/>
                                </a:lnTo>
                              </a:path>
                            </a:pathLst>
                          </a:custGeom>
                          <a:ln w="9525">
                            <a:solidFill>
                              <a:srgbClr val="D9D9D9"/>
                            </a:solidFill>
                            <a:prstDash val="solid"/>
                          </a:ln>
                        </wps:spPr>
                        <wps:bodyPr wrap="square" lIns="0" tIns="0" rIns="0" bIns="0" rtlCol="0">
                          <a:prstTxWarp prst="textNoShape">
                            <a:avLst/>
                          </a:prstTxWarp>
                          <a:noAutofit/>
                        </wps:bodyPr>
                      </wps:wsp>
                      <wps:wsp>
                        <wps:cNvPr id="155" name="Textbox 155"/>
                        <wps:cNvSpPr txBox="1"/>
                        <wps:spPr>
                          <a:xfrm>
                            <a:off x="4100703" y="42663"/>
                            <a:ext cx="227965" cy="139700"/>
                          </a:xfrm>
                          <a:prstGeom prst="rect">
                            <a:avLst/>
                          </a:prstGeom>
                        </wps:spPr>
                        <wps:txbx>
                          <w:txbxContent>
                            <w:p w14:paraId="6B34A6C4" w14:textId="77777777" w:rsidR="000E52B0" w:rsidRDefault="00F60D74">
                              <w:pPr>
                                <w:rPr>
                                  <w:rFonts w:ascii="Trebuchet MS"/>
                                  <w:sz w:val="18"/>
                                </w:rPr>
                              </w:pPr>
                              <w:r>
                                <w:rPr>
                                  <w:rFonts w:ascii="Trebuchet MS"/>
                                  <w:color w:val="404040"/>
                                  <w:spacing w:val="-4"/>
                                  <w:sz w:val="18"/>
                                </w:rPr>
                                <w:t>79,8</w:t>
                              </w:r>
                            </w:p>
                          </w:txbxContent>
                        </wps:txbx>
                        <wps:bodyPr wrap="square" lIns="0" tIns="0" rIns="0" bIns="0" rtlCol="0">
                          <a:noAutofit/>
                        </wps:bodyPr>
                      </wps:wsp>
                      <wps:wsp>
                        <wps:cNvPr id="156" name="Textbox 156"/>
                        <wps:cNvSpPr txBox="1"/>
                        <wps:spPr>
                          <a:xfrm>
                            <a:off x="160832" y="329175"/>
                            <a:ext cx="134620" cy="139700"/>
                          </a:xfrm>
                          <a:prstGeom prst="rect">
                            <a:avLst/>
                          </a:prstGeom>
                        </wps:spPr>
                        <wps:txbx>
                          <w:txbxContent>
                            <w:p w14:paraId="24ADEC80" w14:textId="77777777" w:rsidR="000E52B0" w:rsidRDefault="00F60D74">
                              <w:pPr>
                                <w:rPr>
                                  <w:rFonts w:ascii="Trebuchet MS"/>
                                  <w:sz w:val="18"/>
                                </w:rPr>
                              </w:pPr>
                              <w:r>
                                <w:rPr>
                                  <w:rFonts w:ascii="Trebuchet MS"/>
                                  <w:color w:val="404040"/>
                                  <w:spacing w:val="-5"/>
                                  <w:sz w:val="18"/>
                                </w:rPr>
                                <w:t>63</w:t>
                              </w:r>
                            </w:p>
                          </w:txbxContent>
                        </wps:txbx>
                        <wps:bodyPr wrap="square" lIns="0" tIns="0" rIns="0" bIns="0" rtlCol="0">
                          <a:noAutofit/>
                        </wps:bodyPr>
                      </wps:wsp>
                      <wps:wsp>
                        <wps:cNvPr id="157" name="Textbox 157"/>
                        <wps:cNvSpPr txBox="1"/>
                        <wps:spPr>
                          <a:xfrm>
                            <a:off x="467741" y="494656"/>
                            <a:ext cx="227965" cy="139700"/>
                          </a:xfrm>
                          <a:prstGeom prst="rect">
                            <a:avLst/>
                          </a:prstGeom>
                        </wps:spPr>
                        <wps:txbx>
                          <w:txbxContent>
                            <w:p w14:paraId="7CF3C394" w14:textId="77777777" w:rsidR="000E52B0" w:rsidRDefault="00F60D74">
                              <w:pPr>
                                <w:rPr>
                                  <w:rFonts w:ascii="Trebuchet MS"/>
                                  <w:sz w:val="18"/>
                                </w:rPr>
                              </w:pPr>
                              <w:r>
                                <w:rPr>
                                  <w:rFonts w:ascii="Trebuchet MS"/>
                                  <w:color w:val="404040"/>
                                  <w:spacing w:val="-4"/>
                                  <w:sz w:val="18"/>
                                </w:rPr>
                                <w:t>53,3</w:t>
                              </w:r>
                            </w:p>
                          </w:txbxContent>
                        </wps:txbx>
                        <wps:bodyPr wrap="square" lIns="0" tIns="0" rIns="0" bIns="0" rtlCol="0">
                          <a:noAutofit/>
                        </wps:bodyPr>
                      </wps:wsp>
                      <wps:wsp>
                        <wps:cNvPr id="158" name="Textbox 158"/>
                        <wps:cNvSpPr txBox="1"/>
                        <wps:spPr>
                          <a:xfrm>
                            <a:off x="1310513" y="892166"/>
                            <a:ext cx="135255" cy="139700"/>
                          </a:xfrm>
                          <a:prstGeom prst="rect">
                            <a:avLst/>
                          </a:prstGeom>
                        </wps:spPr>
                        <wps:txbx>
                          <w:txbxContent>
                            <w:p w14:paraId="3E2AD977" w14:textId="77777777" w:rsidR="000E52B0" w:rsidRDefault="00F60D74">
                              <w:pPr>
                                <w:rPr>
                                  <w:rFonts w:ascii="Trebuchet MS"/>
                                  <w:sz w:val="18"/>
                                </w:rPr>
                              </w:pPr>
                              <w:r>
                                <w:rPr>
                                  <w:rFonts w:ascii="Trebuchet MS"/>
                                  <w:color w:val="404040"/>
                                  <w:spacing w:val="-5"/>
                                  <w:sz w:val="18"/>
                                </w:rPr>
                                <w:t>30</w:t>
                              </w:r>
                            </w:p>
                          </w:txbxContent>
                        </wps:txbx>
                        <wps:bodyPr wrap="square" lIns="0" tIns="0" rIns="0" bIns="0" rtlCol="0">
                          <a:noAutofit/>
                        </wps:bodyPr>
                      </wps:wsp>
                      <wps:wsp>
                        <wps:cNvPr id="159" name="Textbox 159"/>
                        <wps:cNvSpPr txBox="1"/>
                        <wps:spPr>
                          <a:xfrm>
                            <a:off x="2062226" y="782946"/>
                            <a:ext cx="227965" cy="139700"/>
                          </a:xfrm>
                          <a:prstGeom prst="rect">
                            <a:avLst/>
                          </a:prstGeom>
                        </wps:spPr>
                        <wps:txbx>
                          <w:txbxContent>
                            <w:p w14:paraId="5C4A953C" w14:textId="77777777" w:rsidR="000E52B0" w:rsidRDefault="00F60D74">
                              <w:pPr>
                                <w:rPr>
                                  <w:rFonts w:ascii="Trebuchet MS"/>
                                  <w:sz w:val="18"/>
                                </w:rPr>
                              </w:pPr>
                              <w:r>
                                <w:rPr>
                                  <w:rFonts w:ascii="Trebuchet MS"/>
                                  <w:color w:val="404040"/>
                                  <w:spacing w:val="-4"/>
                                  <w:sz w:val="18"/>
                                </w:rPr>
                                <w:t>36,4</w:t>
                              </w:r>
                            </w:p>
                          </w:txbxContent>
                        </wps:txbx>
                        <wps:bodyPr wrap="square" lIns="0" tIns="0" rIns="0" bIns="0" rtlCol="0">
                          <a:noAutofit/>
                        </wps:bodyPr>
                      </wps:wsp>
                      <wps:wsp>
                        <wps:cNvPr id="160" name="Textbox 160"/>
                        <wps:cNvSpPr txBox="1"/>
                        <wps:spPr>
                          <a:xfrm>
                            <a:off x="2859277" y="922900"/>
                            <a:ext cx="227965" cy="139700"/>
                          </a:xfrm>
                          <a:prstGeom prst="rect">
                            <a:avLst/>
                          </a:prstGeom>
                        </wps:spPr>
                        <wps:txbx>
                          <w:txbxContent>
                            <w:p w14:paraId="6488149D" w14:textId="77777777" w:rsidR="000E52B0" w:rsidRDefault="00F60D74">
                              <w:pPr>
                                <w:rPr>
                                  <w:rFonts w:ascii="Trebuchet MS"/>
                                  <w:sz w:val="18"/>
                                </w:rPr>
                              </w:pPr>
                              <w:r>
                                <w:rPr>
                                  <w:rFonts w:ascii="Trebuchet MS"/>
                                  <w:color w:val="404040"/>
                                  <w:spacing w:val="-4"/>
                                  <w:sz w:val="18"/>
                                </w:rPr>
                                <w:t>28,2</w:t>
                              </w:r>
                            </w:p>
                          </w:txbxContent>
                        </wps:txbx>
                        <wps:bodyPr wrap="square" lIns="0" tIns="0" rIns="0" bIns="0" rtlCol="0">
                          <a:noAutofit/>
                        </wps:bodyPr>
                      </wps:wsp>
                      <wps:wsp>
                        <wps:cNvPr id="161" name="Textbox 161"/>
                        <wps:cNvSpPr txBox="1"/>
                        <wps:spPr>
                          <a:xfrm>
                            <a:off x="3656329" y="883530"/>
                            <a:ext cx="227965" cy="139700"/>
                          </a:xfrm>
                          <a:prstGeom prst="rect">
                            <a:avLst/>
                          </a:prstGeom>
                        </wps:spPr>
                        <wps:txbx>
                          <w:txbxContent>
                            <w:p w14:paraId="32407485" w14:textId="77777777" w:rsidR="000E52B0" w:rsidRDefault="00F60D74">
                              <w:pPr>
                                <w:rPr>
                                  <w:rFonts w:ascii="Trebuchet MS"/>
                                  <w:sz w:val="18"/>
                                </w:rPr>
                              </w:pPr>
                              <w:r>
                                <w:rPr>
                                  <w:rFonts w:ascii="Trebuchet MS"/>
                                  <w:color w:val="404040"/>
                                  <w:spacing w:val="-4"/>
                                  <w:sz w:val="18"/>
                                </w:rPr>
                                <w:t>30,5</w:t>
                              </w:r>
                            </w:p>
                          </w:txbxContent>
                        </wps:txbx>
                        <wps:bodyPr wrap="square" lIns="0" tIns="0" rIns="0" bIns="0" rtlCol="0">
                          <a:noAutofit/>
                        </wps:bodyPr>
                      </wps:wsp>
                      <wps:wsp>
                        <wps:cNvPr id="162" name="Textbox 162"/>
                        <wps:cNvSpPr txBox="1"/>
                        <wps:spPr>
                          <a:xfrm>
                            <a:off x="5250434" y="844287"/>
                            <a:ext cx="227965" cy="139700"/>
                          </a:xfrm>
                          <a:prstGeom prst="rect">
                            <a:avLst/>
                          </a:prstGeom>
                        </wps:spPr>
                        <wps:txbx>
                          <w:txbxContent>
                            <w:p w14:paraId="65EE1A1D" w14:textId="77777777" w:rsidR="000E52B0" w:rsidRDefault="00F60D74">
                              <w:pPr>
                                <w:rPr>
                                  <w:rFonts w:ascii="Trebuchet MS"/>
                                  <w:sz w:val="18"/>
                                </w:rPr>
                              </w:pPr>
                              <w:r>
                                <w:rPr>
                                  <w:rFonts w:ascii="Trebuchet MS"/>
                                  <w:color w:val="404040"/>
                                  <w:spacing w:val="-4"/>
                                  <w:sz w:val="18"/>
                                </w:rPr>
                                <w:t>32,8</w:t>
                              </w:r>
                            </w:p>
                          </w:txbxContent>
                        </wps:txbx>
                        <wps:bodyPr wrap="square" lIns="0" tIns="0" rIns="0" bIns="0" rtlCol="0">
                          <a:noAutofit/>
                        </wps:bodyPr>
                      </wps:wsp>
                      <wps:wsp>
                        <wps:cNvPr id="163" name="Textbox 163"/>
                        <wps:cNvSpPr txBox="1"/>
                        <wps:spPr>
                          <a:xfrm>
                            <a:off x="4483861" y="1337174"/>
                            <a:ext cx="167005" cy="139700"/>
                          </a:xfrm>
                          <a:prstGeom prst="rect">
                            <a:avLst/>
                          </a:prstGeom>
                        </wps:spPr>
                        <wps:txbx>
                          <w:txbxContent>
                            <w:p w14:paraId="35A2C045" w14:textId="77777777" w:rsidR="000E52B0" w:rsidRDefault="00F60D74">
                              <w:pPr>
                                <w:rPr>
                                  <w:rFonts w:ascii="Trebuchet MS"/>
                                  <w:sz w:val="18"/>
                                </w:rPr>
                              </w:pPr>
                              <w:r>
                                <w:rPr>
                                  <w:rFonts w:ascii="Trebuchet MS"/>
                                  <w:color w:val="404040"/>
                                  <w:spacing w:val="-5"/>
                                  <w:sz w:val="18"/>
                                </w:rPr>
                                <w:t>3,9</w:t>
                              </w:r>
                            </w:p>
                          </w:txbxContent>
                        </wps:txbx>
                        <wps:bodyPr wrap="square" lIns="0" tIns="0" rIns="0" bIns="0" rtlCol="0">
                          <a:noAutofit/>
                        </wps:bodyPr>
                      </wps:wsp>
                    </wpg:wgp>
                  </a:graphicData>
                </a:graphic>
              </wp:inline>
            </w:drawing>
          </mc:Choice>
          <mc:Fallback>
            <w:pict>
              <v:group w14:anchorId="72B917EB" id="Group 151" o:spid="_x0000_s1095" style="width:437.25pt;height:100.5pt;mso-position-horizontal-relative:char;mso-position-vertical-relative:line" coordsize="55784,1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">
                <v:shape id="Graphic 152" o:spid="_x0000_s1096" style="position:absolute;left:828;width:50596;height:16008;visibility:visible;mso-wrap-style:square;v-text-anchor:top" coordsize="5059680,160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" path="m278892,525780l,525780,,1600581r278892,l278892,525780xem1074420,60960r-277368,l797052,1600581r277368,l1074420,60960xem1871472,6096r-277368,l1594104,1600581r277368,l1871472,6096xem2668524,60960r-277368,l2391156,1600581r277368,l2668524,60960xem3465576,l3188208,r,1600581l3465576,1600581,3465576,xem4262628,239268r-277368,l3985260,1600581r277368,l4262628,239268xem5059680,60960r-277368,l4782312,1600581r277368,l5059680,60960xe" fillcolor="#e22c91" stroked="f">
                  <v:path arrowok="t"/>
                </v:shape>
                <v:shape id="Graphic 153" o:spid="_x0000_s1097" style="position:absolute;left:4363;top:6918;width:50584;height:9087;visibility:visible;mso-wrap-style:square;v-text-anchor:top" coordsize="505841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" path="m277368,l,,,908685r277368,l277368,xem1074420,397764r-277368,l797052,908685r277368,l1074420,397764xem1871472,288036r-277368,l1594104,908685r277368,l1871472,288036xem2668524,428244r-278892,l2389632,908685r278892,l2668524,428244xem3465576,388620r-278892,l3186684,908685r278892,l3465576,388620xem4262628,842772r-278892,l3983736,908685r278892,l4262628,842772xem5058156,348996r-277368,l4780788,908685r277368,l5058156,348996xe" fillcolor="#ffc000" stroked="f">
                  <v:path arrowok="t"/>
                </v:shape>
                <v:shape id="Graphic 154" o:spid="_x0000_s1098" style="position:absolute;top:16005;width:55784;height:13;visibility:visible;mso-wrap-style:square;v-text-anchor:top" coordsize="5578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" path="m,l5578475,e" filled="f" strokecolor="#d9d9d9">
                  <v:path arrowok="t"/>
                </v:shape>
                <v:shape id="Textbox 155" o:spid="_x0000_s1099" type="#_x0000_t202" style="position:absolute;left:41007;top:426;width:227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6B34A6C4" w14:textId="77777777" w:rsidR="000E52B0" w:rsidRDefault="00F60D74">
                        <w:pPr>
                          <w:rPr>
                            <w:rFonts w:ascii="Trebuchet MS"/>
                            <w:sz w:val="18"/>
                          </w:rPr>
                        </w:pPr>
                        <w:r>
                          <w:rPr>
                            <w:rFonts w:ascii="Trebuchet MS"/>
                            <w:color w:val="404040"/>
                            <w:spacing w:val="-4"/>
                            <w:sz w:val="18"/>
                          </w:rPr>
                          <w:t>79,8</w:t>
                        </w:r>
                      </w:p>
                    </w:txbxContent>
                  </v:textbox>
                </v:shape>
                <v:shape id="Textbox 156" o:spid="_x0000_s1100" type="#_x0000_t202" style="position:absolute;left:1608;top:3291;width:134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24ADEC80" w14:textId="77777777" w:rsidR="000E52B0" w:rsidRDefault="00F60D74">
                        <w:pPr>
                          <w:rPr>
                            <w:rFonts w:ascii="Trebuchet MS"/>
                            <w:sz w:val="18"/>
                          </w:rPr>
                        </w:pPr>
                        <w:r>
                          <w:rPr>
                            <w:rFonts w:ascii="Trebuchet MS"/>
                            <w:color w:val="404040"/>
                            <w:spacing w:val="-5"/>
                            <w:sz w:val="18"/>
                          </w:rPr>
                          <w:t>63</w:t>
                        </w:r>
                      </w:p>
                    </w:txbxContent>
                  </v:textbox>
                </v:shape>
                <v:shape id="Textbox 157" o:spid="_x0000_s1101" type="#_x0000_t202" style="position:absolute;left:4677;top:4946;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7CF3C394" w14:textId="77777777" w:rsidR="000E52B0" w:rsidRDefault="00F60D74">
                        <w:pPr>
                          <w:rPr>
                            <w:rFonts w:ascii="Trebuchet MS"/>
                            <w:sz w:val="18"/>
                          </w:rPr>
                        </w:pPr>
                        <w:r>
                          <w:rPr>
                            <w:rFonts w:ascii="Trebuchet MS"/>
                            <w:color w:val="404040"/>
                            <w:spacing w:val="-4"/>
                            <w:sz w:val="18"/>
                          </w:rPr>
                          <w:t>53,3</w:t>
                        </w:r>
                      </w:p>
                    </w:txbxContent>
                  </v:textbox>
                </v:shape>
                <v:shape id="Textbox 158" o:spid="_x0000_s1102" type="#_x0000_t202" style="position:absolute;left:13105;top:8921;width:135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3E2AD977" w14:textId="77777777" w:rsidR="000E52B0" w:rsidRDefault="00F60D74">
                        <w:pPr>
                          <w:rPr>
                            <w:rFonts w:ascii="Trebuchet MS"/>
                            <w:sz w:val="18"/>
                          </w:rPr>
                        </w:pPr>
                        <w:r>
                          <w:rPr>
                            <w:rFonts w:ascii="Trebuchet MS"/>
                            <w:color w:val="404040"/>
                            <w:spacing w:val="-5"/>
                            <w:sz w:val="18"/>
                          </w:rPr>
                          <w:t>30</w:t>
                        </w:r>
                      </w:p>
                    </w:txbxContent>
                  </v:textbox>
                </v:shape>
                <v:shape id="Textbox 159" o:spid="_x0000_s1103" type="#_x0000_t202" style="position:absolute;left:20622;top:7829;width:227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5C4A953C" w14:textId="77777777" w:rsidR="000E52B0" w:rsidRDefault="00F60D74">
                        <w:pPr>
                          <w:rPr>
                            <w:rFonts w:ascii="Trebuchet MS"/>
                            <w:sz w:val="18"/>
                          </w:rPr>
                        </w:pPr>
                        <w:r>
                          <w:rPr>
                            <w:rFonts w:ascii="Trebuchet MS"/>
                            <w:color w:val="404040"/>
                            <w:spacing w:val="-4"/>
                            <w:sz w:val="18"/>
                          </w:rPr>
                          <w:t>36,4</w:t>
                        </w:r>
                      </w:p>
                    </w:txbxContent>
                  </v:textbox>
                </v:shape>
                <v:shape id="Textbox 160" o:spid="_x0000_s1104" type="#_x0000_t202" style="position:absolute;left:28592;top:9229;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6488149D" w14:textId="77777777" w:rsidR="000E52B0" w:rsidRDefault="00F60D74">
                        <w:pPr>
                          <w:rPr>
                            <w:rFonts w:ascii="Trebuchet MS"/>
                            <w:sz w:val="18"/>
                          </w:rPr>
                        </w:pPr>
                        <w:r>
                          <w:rPr>
                            <w:rFonts w:ascii="Trebuchet MS"/>
                            <w:color w:val="404040"/>
                            <w:spacing w:val="-4"/>
                            <w:sz w:val="18"/>
                          </w:rPr>
                          <w:t>28,2</w:t>
                        </w:r>
                      </w:p>
                    </w:txbxContent>
                  </v:textbox>
                </v:shape>
                <v:shape id="Textbox 161" o:spid="_x0000_s1105" type="#_x0000_t202" style="position:absolute;left:36563;top:8835;width:227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32407485" w14:textId="77777777" w:rsidR="000E52B0" w:rsidRDefault="00F60D74">
                        <w:pPr>
                          <w:rPr>
                            <w:rFonts w:ascii="Trebuchet MS"/>
                            <w:sz w:val="18"/>
                          </w:rPr>
                        </w:pPr>
                        <w:r>
                          <w:rPr>
                            <w:rFonts w:ascii="Trebuchet MS"/>
                            <w:color w:val="404040"/>
                            <w:spacing w:val="-4"/>
                            <w:sz w:val="18"/>
                          </w:rPr>
                          <w:t>30,5</w:t>
                        </w:r>
                      </w:p>
                    </w:txbxContent>
                  </v:textbox>
                </v:shape>
                <v:shape id="Textbox 162" o:spid="_x0000_s1106" type="#_x0000_t202" style="position:absolute;left:52504;top:8442;width:227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65EE1A1D" w14:textId="77777777" w:rsidR="000E52B0" w:rsidRDefault="00F60D74">
                        <w:pPr>
                          <w:rPr>
                            <w:rFonts w:ascii="Trebuchet MS"/>
                            <w:sz w:val="18"/>
                          </w:rPr>
                        </w:pPr>
                        <w:r>
                          <w:rPr>
                            <w:rFonts w:ascii="Trebuchet MS"/>
                            <w:color w:val="404040"/>
                            <w:spacing w:val="-4"/>
                            <w:sz w:val="18"/>
                          </w:rPr>
                          <w:t>32,8</w:t>
                        </w:r>
                      </w:p>
                    </w:txbxContent>
                  </v:textbox>
                </v:shape>
                <v:shape id="Textbox 163" o:spid="_x0000_s1107" type="#_x0000_t202" style="position:absolute;left:44838;top:13371;width:167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35A2C045" w14:textId="77777777" w:rsidR="000E52B0" w:rsidRDefault="00F60D74">
                        <w:pPr>
                          <w:rPr>
                            <w:rFonts w:ascii="Trebuchet MS"/>
                            <w:sz w:val="18"/>
                          </w:rPr>
                        </w:pPr>
                        <w:r>
                          <w:rPr>
                            <w:rFonts w:ascii="Trebuchet MS"/>
                            <w:color w:val="404040"/>
                            <w:spacing w:val="-5"/>
                            <w:sz w:val="18"/>
                          </w:rPr>
                          <w:t>3,9</w:t>
                        </w:r>
                      </w:p>
                    </w:txbxContent>
                  </v:textbox>
                </v:shape>
                <w10:anchorlock/>
              </v:group>
            </w:pict>
          </mc:Fallback>
        </mc:AlternateContent>
      </w:r>
    </w:p>
    <w:p w14:paraId="1DCCF464" w14:textId="77777777" w:rsidR="000E52B0" w:rsidRDefault="00F60D74">
      <w:pPr>
        <w:tabs>
          <w:tab w:val="left" w:pos="2580"/>
          <w:tab w:val="left" w:pos="3529"/>
          <w:tab w:val="left" w:pos="5091"/>
          <w:tab w:val="left" w:pos="5961"/>
        </w:tabs>
        <w:spacing w:before="61"/>
        <w:ind w:left="1286"/>
        <w:rPr>
          <w:rFonts w:ascii="Trebuchet MS" w:hAnsi="Trebuchet MS"/>
          <w:sz w:val="14"/>
        </w:rPr>
      </w:pPr>
      <w:r>
        <w:rPr>
          <w:rFonts w:ascii="Trebuchet MS" w:hAnsi="Trebuchet MS"/>
          <w:color w:val="585858"/>
          <w:spacing w:val="-2"/>
          <w:sz w:val="14"/>
        </w:rPr>
        <w:t>Hombres</w:t>
      </w:r>
      <w:r>
        <w:rPr>
          <w:rFonts w:ascii="Trebuchet MS" w:hAnsi="Trebuchet MS"/>
          <w:color w:val="585858"/>
          <w:sz w:val="14"/>
        </w:rPr>
        <w:tab/>
      </w:r>
      <w:r>
        <w:rPr>
          <w:rFonts w:ascii="Trebuchet MS" w:hAnsi="Trebuchet MS"/>
          <w:color w:val="585858"/>
          <w:spacing w:val="-2"/>
          <w:sz w:val="14"/>
        </w:rPr>
        <w:t>Mujeres</w:t>
      </w:r>
      <w:r>
        <w:rPr>
          <w:rFonts w:ascii="Trebuchet MS" w:hAnsi="Trebuchet MS"/>
          <w:color w:val="585858"/>
          <w:sz w:val="14"/>
        </w:rPr>
        <w:tab/>
      </w:r>
      <w:r>
        <w:rPr>
          <w:rFonts w:ascii="Trebuchet MS" w:hAnsi="Trebuchet MS"/>
          <w:color w:val="585858"/>
          <w:spacing w:val="-2"/>
          <w:sz w:val="14"/>
        </w:rPr>
        <w:t>Mujeres</w:t>
      </w:r>
      <w:r>
        <w:rPr>
          <w:rFonts w:ascii="Trebuchet MS" w:hAnsi="Trebuchet MS"/>
          <w:color w:val="585858"/>
          <w:spacing w:val="-11"/>
          <w:sz w:val="14"/>
        </w:rPr>
        <w:t xml:space="preserve"> </w:t>
      </w:r>
      <w:r>
        <w:rPr>
          <w:rFonts w:ascii="Trebuchet MS" w:hAnsi="Trebuchet MS"/>
          <w:color w:val="585858"/>
          <w:spacing w:val="-2"/>
          <w:sz w:val="14"/>
        </w:rPr>
        <w:t>indígenas</w:t>
      </w:r>
      <w:r>
        <w:rPr>
          <w:rFonts w:ascii="Trebuchet MS" w:hAnsi="Trebuchet MS"/>
          <w:color w:val="585858"/>
          <w:sz w:val="14"/>
        </w:rPr>
        <w:tab/>
      </w:r>
      <w:r>
        <w:rPr>
          <w:rFonts w:ascii="Trebuchet MS" w:hAnsi="Trebuchet MS"/>
          <w:color w:val="585858"/>
          <w:spacing w:val="-2"/>
          <w:sz w:val="14"/>
        </w:rPr>
        <w:t>Mujeres</w:t>
      </w:r>
      <w:r>
        <w:rPr>
          <w:rFonts w:ascii="Trebuchet MS" w:hAnsi="Trebuchet MS"/>
          <w:color w:val="585858"/>
          <w:sz w:val="14"/>
        </w:rPr>
        <w:tab/>
      </w:r>
      <w:r>
        <w:rPr>
          <w:rFonts w:ascii="Trebuchet MS" w:hAnsi="Trebuchet MS"/>
          <w:color w:val="585858"/>
          <w:spacing w:val="-2"/>
          <w:sz w:val="14"/>
        </w:rPr>
        <w:t>Mujeres</w:t>
      </w:r>
      <w:r>
        <w:rPr>
          <w:rFonts w:ascii="Trebuchet MS" w:hAnsi="Trebuchet MS"/>
          <w:color w:val="585858"/>
          <w:spacing w:val="-11"/>
          <w:sz w:val="14"/>
        </w:rPr>
        <w:t xml:space="preserve"> </w:t>
      </w:r>
      <w:r>
        <w:rPr>
          <w:rFonts w:ascii="Trebuchet MS" w:hAnsi="Trebuchet MS"/>
          <w:color w:val="585858"/>
          <w:spacing w:val="-2"/>
          <w:sz w:val="14"/>
        </w:rPr>
        <w:t>campesinas</w:t>
      </w:r>
      <w:r>
        <w:rPr>
          <w:rFonts w:ascii="Trebuchet MS" w:hAnsi="Trebuchet MS"/>
          <w:color w:val="585858"/>
          <w:spacing w:val="17"/>
          <w:sz w:val="14"/>
        </w:rPr>
        <w:t xml:space="preserve"> </w:t>
      </w:r>
      <w:r>
        <w:rPr>
          <w:rFonts w:ascii="Trebuchet MS" w:hAnsi="Trebuchet MS"/>
          <w:color w:val="585858"/>
          <w:spacing w:val="-2"/>
          <w:sz w:val="14"/>
        </w:rPr>
        <w:t>Mujeres</w:t>
      </w:r>
      <w:r>
        <w:rPr>
          <w:rFonts w:ascii="Trebuchet MS" w:hAnsi="Trebuchet MS"/>
          <w:color w:val="585858"/>
          <w:spacing w:val="-11"/>
          <w:sz w:val="14"/>
        </w:rPr>
        <w:t xml:space="preserve"> </w:t>
      </w:r>
      <w:r>
        <w:rPr>
          <w:rFonts w:ascii="Trebuchet MS" w:hAnsi="Trebuchet MS"/>
          <w:color w:val="585858"/>
          <w:spacing w:val="-2"/>
          <w:sz w:val="14"/>
        </w:rPr>
        <w:t>jóvenes</w:t>
      </w:r>
      <w:r>
        <w:rPr>
          <w:rFonts w:ascii="Trebuchet MS" w:hAnsi="Trebuchet MS"/>
          <w:color w:val="585858"/>
          <w:spacing w:val="-10"/>
          <w:sz w:val="14"/>
        </w:rPr>
        <w:t xml:space="preserve"> </w:t>
      </w:r>
      <w:r>
        <w:rPr>
          <w:rFonts w:ascii="Trebuchet MS" w:hAnsi="Trebuchet MS"/>
          <w:color w:val="585858"/>
          <w:spacing w:val="-2"/>
          <w:sz w:val="14"/>
        </w:rPr>
        <w:t>10</w:t>
      </w:r>
      <w:r>
        <w:rPr>
          <w:rFonts w:ascii="Trebuchet MS" w:hAnsi="Trebuchet MS"/>
          <w:color w:val="585858"/>
          <w:spacing w:val="71"/>
          <w:sz w:val="14"/>
        </w:rPr>
        <w:t xml:space="preserve"> </w:t>
      </w:r>
      <w:r>
        <w:rPr>
          <w:rFonts w:ascii="Trebuchet MS" w:hAnsi="Trebuchet MS"/>
          <w:color w:val="585858"/>
          <w:spacing w:val="-2"/>
          <w:sz w:val="14"/>
        </w:rPr>
        <w:t>Mujeres</w:t>
      </w:r>
      <w:r>
        <w:rPr>
          <w:rFonts w:ascii="Trebuchet MS" w:hAnsi="Trebuchet MS"/>
          <w:color w:val="585858"/>
          <w:spacing w:val="-10"/>
          <w:sz w:val="14"/>
        </w:rPr>
        <w:t xml:space="preserve"> </w:t>
      </w:r>
      <w:r>
        <w:rPr>
          <w:rFonts w:ascii="Trebuchet MS" w:hAnsi="Trebuchet MS"/>
          <w:color w:val="585858"/>
          <w:spacing w:val="-2"/>
          <w:sz w:val="14"/>
        </w:rPr>
        <w:t>jóvenes</w:t>
      </w:r>
      <w:r>
        <w:rPr>
          <w:rFonts w:ascii="Trebuchet MS" w:hAnsi="Trebuchet MS"/>
          <w:color w:val="585858"/>
          <w:spacing w:val="-10"/>
          <w:sz w:val="14"/>
        </w:rPr>
        <w:t xml:space="preserve"> </w:t>
      </w:r>
      <w:r>
        <w:rPr>
          <w:rFonts w:ascii="Trebuchet MS" w:hAnsi="Trebuchet MS"/>
          <w:color w:val="585858"/>
          <w:spacing w:val="-5"/>
          <w:sz w:val="14"/>
        </w:rPr>
        <w:t>18</w:t>
      </w:r>
    </w:p>
    <w:p w14:paraId="5AC85E38" w14:textId="77777777" w:rsidR="000E52B0" w:rsidRDefault="000E52B0">
      <w:pPr>
        <w:rPr>
          <w:rFonts w:ascii="Trebuchet MS" w:hAnsi="Trebuchet MS"/>
          <w:sz w:val="14"/>
        </w:rPr>
        <w:sectPr w:rsidR="000E52B0">
          <w:type w:val="continuous"/>
          <w:pgSz w:w="11910" w:h="16840"/>
          <w:pgMar w:top="1340" w:right="720" w:bottom="1280" w:left="720" w:header="0" w:footer="995" w:gutter="0"/>
          <w:cols w:space="720"/>
        </w:sectPr>
      </w:pPr>
    </w:p>
    <w:p w14:paraId="53D36588" w14:textId="77777777" w:rsidR="000E52B0" w:rsidRDefault="00F60D74">
      <w:pPr>
        <w:spacing w:before="8"/>
        <w:jc w:val="right"/>
        <w:rPr>
          <w:rFonts w:ascii="Trebuchet MS"/>
          <w:sz w:val="14"/>
        </w:rPr>
      </w:pPr>
      <w:r>
        <w:rPr>
          <w:rFonts w:ascii="Trebuchet MS"/>
          <w:color w:val="585858"/>
          <w:spacing w:val="-2"/>
          <w:sz w:val="14"/>
        </w:rPr>
        <w:t>afrodescendientes</w:t>
      </w:r>
    </w:p>
    <w:p w14:paraId="6FEAEE6A" w14:textId="77777777" w:rsidR="000E52B0" w:rsidRDefault="00F60D74">
      <w:pPr>
        <w:spacing w:before="8"/>
        <w:jc w:val="right"/>
        <w:rPr>
          <w:rFonts w:ascii="Trebuchet MS" w:hAnsi="Trebuchet MS"/>
          <w:sz w:val="14"/>
        </w:rPr>
      </w:pPr>
      <w:r>
        <w:br w:type="column"/>
      </w:r>
      <w:r>
        <w:rPr>
          <w:rFonts w:ascii="Trebuchet MS" w:hAnsi="Trebuchet MS"/>
          <w:color w:val="585858"/>
          <w:sz w:val="14"/>
        </w:rPr>
        <w:t>a</w:t>
      </w:r>
      <w:r>
        <w:rPr>
          <w:rFonts w:ascii="Trebuchet MS" w:hAnsi="Trebuchet MS"/>
          <w:color w:val="585858"/>
          <w:spacing w:val="-13"/>
          <w:sz w:val="14"/>
        </w:rPr>
        <w:t xml:space="preserve"> </w:t>
      </w:r>
      <w:r>
        <w:rPr>
          <w:rFonts w:ascii="Trebuchet MS" w:hAnsi="Trebuchet MS"/>
          <w:color w:val="585858"/>
          <w:sz w:val="14"/>
        </w:rPr>
        <w:t>17</w:t>
      </w:r>
      <w:r>
        <w:rPr>
          <w:rFonts w:ascii="Trebuchet MS" w:hAnsi="Trebuchet MS"/>
          <w:color w:val="585858"/>
          <w:spacing w:val="-13"/>
          <w:sz w:val="14"/>
        </w:rPr>
        <w:t xml:space="preserve"> </w:t>
      </w:r>
      <w:r>
        <w:rPr>
          <w:rFonts w:ascii="Trebuchet MS" w:hAnsi="Trebuchet MS"/>
          <w:color w:val="585858"/>
          <w:spacing w:val="-4"/>
          <w:sz w:val="14"/>
        </w:rPr>
        <w:t>años</w:t>
      </w:r>
    </w:p>
    <w:p w14:paraId="22C95ACF" w14:textId="77777777" w:rsidR="000E52B0" w:rsidRDefault="00F60D74">
      <w:pPr>
        <w:spacing w:before="8"/>
        <w:ind w:left="637"/>
        <w:rPr>
          <w:rFonts w:ascii="Trebuchet MS" w:hAnsi="Trebuchet MS"/>
          <w:sz w:val="14"/>
        </w:rPr>
      </w:pPr>
      <w:r>
        <w:br w:type="column"/>
      </w:r>
      <w:r>
        <w:rPr>
          <w:rFonts w:ascii="Trebuchet MS" w:hAnsi="Trebuchet MS"/>
          <w:color w:val="585858"/>
          <w:sz w:val="14"/>
        </w:rPr>
        <w:t>a</w:t>
      </w:r>
      <w:r>
        <w:rPr>
          <w:rFonts w:ascii="Trebuchet MS" w:hAnsi="Trebuchet MS"/>
          <w:color w:val="585858"/>
          <w:spacing w:val="-14"/>
          <w:sz w:val="14"/>
        </w:rPr>
        <w:t xml:space="preserve"> </w:t>
      </w:r>
      <w:r>
        <w:rPr>
          <w:rFonts w:ascii="Trebuchet MS" w:hAnsi="Trebuchet MS"/>
          <w:color w:val="585858"/>
          <w:sz w:val="14"/>
        </w:rPr>
        <w:t>29</w:t>
      </w:r>
      <w:r>
        <w:rPr>
          <w:rFonts w:ascii="Trebuchet MS" w:hAnsi="Trebuchet MS"/>
          <w:color w:val="585858"/>
          <w:spacing w:val="-14"/>
          <w:sz w:val="14"/>
        </w:rPr>
        <w:t xml:space="preserve"> </w:t>
      </w:r>
      <w:r>
        <w:rPr>
          <w:rFonts w:ascii="Trebuchet MS" w:hAnsi="Trebuchet MS"/>
          <w:color w:val="585858"/>
          <w:spacing w:val="-4"/>
          <w:sz w:val="14"/>
        </w:rPr>
        <w:t>años</w:t>
      </w:r>
    </w:p>
    <w:p w14:paraId="21AD8C3F" w14:textId="77777777" w:rsidR="000E52B0" w:rsidRDefault="000E52B0">
      <w:pPr>
        <w:rPr>
          <w:rFonts w:ascii="Trebuchet MS" w:hAnsi="Trebuchet MS"/>
          <w:sz w:val="14"/>
        </w:rPr>
        <w:sectPr w:rsidR="000E52B0">
          <w:type w:val="continuous"/>
          <w:pgSz w:w="11910" w:h="16840"/>
          <w:pgMar w:top="1340" w:right="720" w:bottom="1280" w:left="720" w:header="0" w:footer="995" w:gutter="0"/>
          <w:cols w:num="3" w:space="720" w:equalWidth="0">
            <w:col w:w="5901" w:space="40"/>
            <w:col w:w="2194" w:space="39"/>
            <w:col w:w="2296"/>
          </w:cols>
        </w:sectPr>
      </w:pPr>
    </w:p>
    <w:p w14:paraId="19EA0696" w14:textId="77777777" w:rsidR="000E52B0" w:rsidRDefault="00F60D74">
      <w:pPr>
        <w:spacing w:before="186" w:line="388" w:lineRule="auto"/>
        <w:ind w:left="2362" w:right="2059"/>
        <w:rPr>
          <w:rFonts w:ascii="Trebuchet MS"/>
          <w:sz w:val="18"/>
        </w:rPr>
      </w:pPr>
      <w:r>
        <w:rPr>
          <w:noProof/>
        </w:rPr>
        <w:drawing>
          <wp:inline distT="0" distB="0" distL="0" distR="0" wp14:anchorId="04391916" wp14:editId="1D840183">
            <wp:extent cx="62779" cy="62779"/>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74" cstate="print"/>
                    <a:stretch>
                      <a:fillRect/>
                    </a:stretch>
                  </pic:blipFill>
                  <pic:spPr>
                    <a:xfrm>
                      <a:off x="0" y="0"/>
                      <a:ext cx="62779" cy="62779"/>
                    </a:xfrm>
                    <a:prstGeom prst="rect">
                      <a:avLst/>
                    </a:prstGeom>
                  </pic:spPr>
                </pic:pic>
              </a:graphicData>
            </a:graphic>
          </wp:inline>
        </w:drawing>
      </w:r>
      <w:r>
        <w:rPr>
          <w:rFonts w:ascii="Times New Roman"/>
          <w:spacing w:val="-6"/>
          <w:sz w:val="20"/>
        </w:rPr>
        <w:t xml:space="preserve"> </w:t>
      </w:r>
      <w:r>
        <w:rPr>
          <w:rFonts w:ascii="Trebuchet MS"/>
          <w:color w:val="585858"/>
          <w:spacing w:val="-2"/>
          <w:sz w:val="18"/>
        </w:rPr>
        <w:t>Porcentaje</w:t>
      </w:r>
      <w:r>
        <w:rPr>
          <w:rFonts w:ascii="Trebuchet MS"/>
          <w:color w:val="585858"/>
          <w:spacing w:val="-16"/>
          <w:sz w:val="18"/>
        </w:rPr>
        <w:t xml:space="preserve"> </w:t>
      </w:r>
      <w:r>
        <w:rPr>
          <w:rFonts w:ascii="Trebuchet MS"/>
          <w:color w:val="585858"/>
          <w:spacing w:val="-2"/>
          <w:sz w:val="18"/>
        </w:rPr>
        <w:t>de</w:t>
      </w:r>
      <w:r>
        <w:rPr>
          <w:rFonts w:ascii="Trebuchet MS"/>
          <w:color w:val="585858"/>
          <w:spacing w:val="-16"/>
          <w:sz w:val="18"/>
        </w:rPr>
        <w:t xml:space="preserve"> </w:t>
      </w:r>
      <w:r>
        <w:rPr>
          <w:rFonts w:ascii="Trebuchet MS"/>
          <w:color w:val="585858"/>
          <w:spacing w:val="-2"/>
          <w:sz w:val="18"/>
        </w:rPr>
        <w:t>personas</w:t>
      </w:r>
      <w:r>
        <w:rPr>
          <w:rFonts w:ascii="Trebuchet MS"/>
          <w:color w:val="585858"/>
          <w:spacing w:val="-15"/>
          <w:sz w:val="18"/>
        </w:rPr>
        <w:t xml:space="preserve"> </w:t>
      </w:r>
      <w:r>
        <w:rPr>
          <w:rFonts w:ascii="Trebuchet MS"/>
          <w:color w:val="585858"/>
          <w:spacing w:val="-2"/>
          <w:sz w:val="18"/>
        </w:rPr>
        <w:t>que</w:t>
      </w:r>
      <w:r>
        <w:rPr>
          <w:rFonts w:ascii="Trebuchet MS"/>
          <w:color w:val="585858"/>
          <w:spacing w:val="-16"/>
          <w:sz w:val="18"/>
        </w:rPr>
        <w:t xml:space="preserve"> </w:t>
      </w:r>
      <w:r>
        <w:rPr>
          <w:rFonts w:ascii="Trebuchet MS"/>
          <w:color w:val="585858"/>
          <w:spacing w:val="-2"/>
          <w:sz w:val="18"/>
        </w:rPr>
        <w:t>realiza</w:t>
      </w:r>
      <w:r>
        <w:rPr>
          <w:rFonts w:ascii="Trebuchet MS"/>
          <w:color w:val="585858"/>
          <w:spacing w:val="-16"/>
          <w:sz w:val="18"/>
        </w:rPr>
        <w:t xml:space="preserve"> </w:t>
      </w:r>
      <w:r>
        <w:rPr>
          <w:rFonts w:ascii="Trebuchet MS"/>
          <w:color w:val="585858"/>
          <w:spacing w:val="-2"/>
          <w:sz w:val="18"/>
        </w:rPr>
        <w:t>actividades</w:t>
      </w:r>
      <w:r>
        <w:rPr>
          <w:rFonts w:ascii="Trebuchet MS"/>
          <w:color w:val="585858"/>
          <w:spacing w:val="-16"/>
          <w:sz w:val="18"/>
        </w:rPr>
        <w:t xml:space="preserve"> </w:t>
      </w:r>
      <w:r>
        <w:rPr>
          <w:rFonts w:ascii="Trebuchet MS"/>
          <w:color w:val="585858"/>
          <w:spacing w:val="-2"/>
          <w:sz w:val="18"/>
        </w:rPr>
        <w:t>de</w:t>
      </w:r>
      <w:r>
        <w:rPr>
          <w:rFonts w:ascii="Trebuchet MS"/>
          <w:color w:val="585858"/>
          <w:spacing w:val="-18"/>
          <w:sz w:val="18"/>
        </w:rPr>
        <w:t xml:space="preserve"> </w:t>
      </w:r>
      <w:r>
        <w:rPr>
          <w:rFonts w:ascii="Trebuchet MS"/>
          <w:color w:val="585858"/>
          <w:spacing w:val="-2"/>
          <w:sz w:val="18"/>
        </w:rPr>
        <w:t>cuidado</w:t>
      </w:r>
      <w:r>
        <w:rPr>
          <w:rFonts w:ascii="Trebuchet MS"/>
          <w:color w:val="585858"/>
          <w:spacing w:val="-17"/>
          <w:sz w:val="18"/>
        </w:rPr>
        <w:t xml:space="preserve"> </w:t>
      </w:r>
      <w:r>
        <w:rPr>
          <w:rFonts w:ascii="Trebuchet MS"/>
          <w:color w:val="585858"/>
          <w:spacing w:val="-2"/>
          <w:sz w:val="18"/>
        </w:rPr>
        <w:t>no</w:t>
      </w:r>
      <w:r>
        <w:rPr>
          <w:rFonts w:ascii="Trebuchet MS"/>
          <w:color w:val="585858"/>
          <w:spacing w:val="-15"/>
          <w:sz w:val="18"/>
        </w:rPr>
        <w:t xml:space="preserve"> </w:t>
      </w:r>
      <w:r>
        <w:rPr>
          <w:rFonts w:ascii="Trebuchet MS"/>
          <w:color w:val="585858"/>
          <w:spacing w:val="-2"/>
          <w:sz w:val="18"/>
        </w:rPr>
        <w:t xml:space="preserve">remuneradas </w:t>
      </w:r>
      <w:r>
        <w:rPr>
          <w:rFonts w:ascii="Trebuchet MS"/>
          <w:noProof/>
          <w:color w:val="585858"/>
          <w:sz w:val="18"/>
        </w:rPr>
        <w:drawing>
          <wp:inline distT="0" distB="0" distL="0" distR="0" wp14:anchorId="6C3AD1FC" wp14:editId="279690C2">
            <wp:extent cx="62779" cy="62779"/>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73" cstate="print"/>
                    <a:stretch>
                      <a:fillRect/>
                    </a:stretch>
                  </pic:blipFill>
                  <pic:spPr>
                    <a:xfrm>
                      <a:off x="0" y="0"/>
                      <a:ext cx="62779" cy="62779"/>
                    </a:xfrm>
                    <a:prstGeom prst="rect">
                      <a:avLst/>
                    </a:prstGeom>
                  </pic:spPr>
                </pic:pic>
              </a:graphicData>
            </a:graphic>
          </wp:inline>
        </w:drawing>
      </w:r>
      <w:r>
        <w:rPr>
          <w:rFonts w:ascii="Times New Roman"/>
          <w:color w:val="585858"/>
          <w:sz w:val="18"/>
        </w:rPr>
        <w:t xml:space="preserve"> </w:t>
      </w:r>
      <w:r>
        <w:rPr>
          <w:rFonts w:ascii="Trebuchet MS"/>
          <w:color w:val="585858"/>
          <w:sz w:val="18"/>
        </w:rPr>
        <w:t>Porcentaje</w:t>
      </w:r>
      <w:r>
        <w:rPr>
          <w:rFonts w:ascii="Trebuchet MS"/>
          <w:color w:val="585858"/>
          <w:spacing w:val="-4"/>
          <w:sz w:val="18"/>
        </w:rPr>
        <w:t xml:space="preserve"> </w:t>
      </w:r>
      <w:r>
        <w:rPr>
          <w:rFonts w:ascii="Trebuchet MS"/>
          <w:color w:val="585858"/>
          <w:sz w:val="18"/>
        </w:rPr>
        <w:t>de</w:t>
      </w:r>
      <w:r>
        <w:rPr>
          <w:rFonts w:ascii="Trebuchet MS"/>
          <w:color w:val="585858"/>
          <w:spacing w:val="-4"/>
          <w:sz w:val="18"/>
        </w:rPr>
        <w:t xml:space="preserve"> </w:t>
      </w:r>
      <w:r>
        <w:rPr>
          <w:rFonts w:ascii="Trebuchet MS"/>
          <w:color w:val="585858"/>
          <w:sz w:val="18"/>
        </w:rPr>
        <w:t>personas</w:t>
      </w:r>
      <w:r>
        <w:rPr>
          <w:rFonts w:ascii="Trebuchet MS"/>
          <w:color w:val="585858"/>
          <w:spacing w:val="-3"/>
          <w:sz w:val="18"/>
        </w:rPr>
        <w:t xml:space="preserve"> </w:t>
      </w:r>
      <w:r>
        <w:rPr>
          <w:rFonts w:ascii="Trebuchet MS"/>
          <w:color w:val="585858"/>
          <w:sz w:val="18"/>
        </w:rPr>
        <w:t>actividades</w:t>
      </w:r>
      <w:r>
        <w:rPr>
          <w:rFonts w:ascii="Trebuchet MS"/>
          <w:color w:val="585858"/>
          <w:spacing w:val="-6"/>
          <w:sz w:val="18"/>
        </w:rPr>
        <w:t xml:space="preserve"> </w:t>
      </w:r>
      <w:r>
        <w:rPr>
          <w:rFonts w:ascii="Trebuchet MS"/>
          <w:color w:val="585858"/>
          <w:sz w:val="18"/>
        </w:rPr>
        <w:t>de</w:t>
      </w:r>
      <w:r>
        <w:rPr>
          <w:rFonts w:ascii="Trebuchet MS"/>
          <w:color w:val="585858"/>
          <w:spacing w:val="-3"/>
          <w:sz w:val="18"/>
        </w:rPr>
        <w:t xml:space="preserve"> </w:t>
      </w:r>
      <w:r>
        <w:rPr>
          <w:rFonts w:ascii="Trebuchet MS"/>
          <w:color w:val="585858"/>
          <w:sz w:val="18"/>
        </w:rPr>
        <w:t>cuidado</w:t>
      </w:r>
      <w:r>
        <w:rPr>
          <w:rFonts w:ascii="Trebuchet MS"/>
          <w:color w:val="585858"/>
          <w:spacing w:val="-4"/>
          <w:sz w:val="18"/>
        </w:rPr>
        <w:t xml:space="preserve"> </w:t>
      </w:r>
      <w:r>
        <w:rPr>
          <w:rFonts w:ascii="Trebuchet MS"/>
          <w:color w:val="585858"/>
          <w:sz w:val="18"/>
        </w:rPr>
        <w:t>remuneradas</w:t>
      </w:r>
    </w:p>
    <w:p w14:paraId="420B56B9" w14:textId="77777777" w:rsidR="000E52B0" w:rsidRDefault="00F60D74">
      <w:pPr>
        <w:spacing w:before="199"/>
        <w:jc w:val="center"/>
        <w:rPr>
          <w:i/>
          <w:sz w:val="18"/>
        </w:rPr>
      </w:pPr>
      <w:r>
        <w:rPr>
          <w:i/>
          <w:color w:val="454551"/>
          <w:sz w:val="18"/>
        </w:rPr>
        <w:t>Fuente</w:t>
      </w:r>
      <w:r>
        <w:rPr>
          <w:i/>
          <w:color w:val="454551"/>
          <w:spacing w:val="-4"/>
          <w:sz w:val="18"/>
        </w:rPr>
        <w:t xml:space="preserve"> </w:t>
      </w:r>
      <w:r>
        <w:rPr>
          <w:i/>
          <w:color w:val="454551"/>
          <w:sz w:val="18"/>
        </w:rPr>
        <w:t>11.</w:t>
      </w:r>
      <w:r>
        <w:rPr>
          <w:i/>
          <w:color w:val="454551"/>
          <w:spacing w:val="-3"/>
          <w:sz w:val="18"/>
        </w:rPr>
        <w:t xml:space="preserve"> </w:t>
      </w:r>
      <w:r>
        <w:rPr>
          <w:i/>
          <w:color w:val="454551"/>
          <w:sz w:val="18"/>
        </w:rPr>
        <w:t>Elaboración</w:t>
      </w:r>
      <w:r>
        <w:rPr>
          <w:i/>
          <w:color w:val="454551"/>
          <w:spacing w:val="-2"/>
          <w:sz w:val="18"/>
        </w:rPr>
        <w:t xml:space="preserve"> </w:t>
      </w:r>
      <w:r>
        <w:rPr>
          <w:i/>
          <w:color w:val="454551"/>
          <w:sz w:val="18"/>
        </w:rPr>
        <w:t>propia</w:t>
      </w:r>
      <w:r>
        <w:rPr>
          <w:i/>
          <w:color w:val="454551"/>
          <w:spacing w:val="-3"/>
          <w:sz w:val="18"/>
        </w:rPr>
        <w:t xml:space="preserve"> </w:t>
      </w:r>
      <w:r>
        <w:rPr>
          <w:i/>
          <w:color w:val="454551"/>
          <w:sz w:val="18"/>
        </w:rPr>
        <w:t>con</w:t>
      </w:r>
      <w:r>
        <w:rPr>
          <w:i/>
          <w:color w:val="454551"/>
          <w:spacing w:val="-1"/>
          <w:sz w:val="18"/>
        </w:rPr>
        <w:t xml:space="preserve"> </w:t>
      </w:r>
      <w:r>
        <w:rPr>
          <w:i/>
          <w:color w:val="454551"/>
          <w:sz w:val="18"/>
        </w:rPr>
        <w:t>base</w:t>
      </w:r>
      <w:r>
        <w:rPr>
          <w:i/>
          <w:color w:val="454551"/>
          <w:spacing w:val="-3"/>
          <w:sz w:val="18"/>
        </w:rPr>
        <w:t xml:space="preserve"> </w:t>
      </w:r>
      <w:r>
        <w:rPr>
          <w:i/>
          <w:color w:val="454551"/>
          <w:sz w:val="18"/>
        </w:rPr>
        <w:t>en</w:t>
      </w:r>
      <w:r>
        <w:rPr>
          <w:i/>
          <w:color w:val="454551"/>
          <w:spacing w:val="-1"/>
          <w:sz w:val="18"/>
        </w:rPr>
        <w:t xml:space="preserve"> </w:t>
      </w:r>
      <w:r>
        <w:rPr>
          <w:i/>
          <w:color w:val="454551"/>
          <w:sz w:val="18"/>
        </w:rPr>
        <w:t>ENUT,</w:t>
      </w:r>
      <w:r>
        <w:rPr>
          <w:i/>
          <w:color w:val="454551"/>
          <w:spacing w:val="-4"/>
          <w:sz w:val="18"/>
        </w:rPr>
        <w:t xml:space="preserve"> 2020</w:t>
      </w:r>
    </w:p>
    <w:p w14:paraId="480AD3D1" w14:textId="77777777" w:rsidR="000E52B0" w:rsidRDefault="00F60D74">
      <w:pPr>
        <w:pStyle w:val="Textoindependiente"/>
        <w:spacing w:before="201"/>
        <w:ind w:right="714"/>
        <w:jc w:val="both"/>
      </w:pPr>
      <w:r>
        <w:t>En Colombia, no se dispone actualmente de cifras oficiales que permita visibilizar el endeudamiento de las mujeres. De acuerdo con la Superintendencia</w:t>
      </w:r>
      <w:r>
        <w:rPr>
          <w:spacing w:val="-4"/>
        </w:rPr>
        <w:t xml:space="preserve"> </w:t>
      </w:r>
      <w:r>
        <w:t>Financiera</w:t>
      </w:r>
      <w:r>
        <w:rPr>
          <w:spacing w:val="-4"/>
        </w:rPr>
        <w:t xml:space="preserve"> </w:t>
      </w:r>
      <w:r>
        <w:t>de</w:t>
      </w:r>
      <w:r>
        <w:rPr>
          <w:spacing w:val="-4"/>
        </w:rPr>
        <w:t xml:space="preserve"> </w:t>
      </w:r>
      <w:r>
        <w:t>Colombia</w:t>
      </w:r>
      <w:r>
        <w:rPr>
          <w:spacing w:val="-5"/>
        </w:rPr>
        <w:t xml:space="preserve"> </w:t>
      </w:r>
      <w:r>
        <w:t>(2022),</w:t>
      </w:r>
      <w:r>
        <w:rPr>
          <w:spacing w:val="-5"/>
        </w:rPr>
        <w:t xml:space="preserve"> </w:t>
      </w:r>
      <w:r>
        <w:t>el</w:t>
      </w:r>
      <w:r>
        <w:rPr>
          <w:spacing w:val="-5"/>
        </w:rPr>
        <w:t xml:space="preserve"> </w:t>
      </w:r>
      <w:r>
        <w:t>34,2%</w:t>
      </w:r>
      <w:r>
        <w:rPr>
          <w:spacing w:val="-6"/>
        </w:rPr>
        <w:t xml:space="preserve"> </w:t>
      </w:r>
      <w:r>
        <w:t>de</w:t>
      </w:r>
      <w:r>
        <w:rPr>
          <w:spacing w:val="-4"/>
        </w:rPr>
        <w:t xml:space="preserve"> </w:t>
      </w:r>
      <w:r>
        <w:t>las</w:t>
      </w:r>
      <w:r>
        <w:rPr>
          <w:spacing w:val="-5"/>
        </w:rPr>
        <w:t xml:space="preserve"> </w:t>
      </w:r>
      <w:r>
        <w:t>mujeres tiene productos de crédito en Colombia</w:t>
      </w:r>
      <w:hyperlink w:anchor="_bookmark21" w:history="1">
        <w:r w:rsidR="000E52B0">
          <w:rPr>
            <w:position w:val="8"/>
            <w:sz w:val="16"/>
          </w:rPr>
          <w:t>16</w:t>
        </w:r>
      </w:hyperlink>
      <w:r>
        <w:rPr>
          <w:spacing w:val="40"/>
          <w:position w:val="8"/>
          <w:sz w:val="16"/>
        </w:rPr>
        <w:t xml:space="preserve"> </w:t>
      </w:r>
      <w:r>
        <w:t>, sin embargo, las posibilidades de</w:t>
      </w:r>
      <w:r>
        <w:rPr>
          <w:spacing w:val="-17"/>
        </w:rPr>
        <w:t xml:space="preserve"> </w:t>
      </w:r>
      <w:r>
        <w:t>acceso</w:t>
      </w:r>
      <w:r>
        <w:rPr>
          <w:spacing w:val="-18"/>
        </w:rPr>
        <w:t xml:space="preserve"> </w:t>
      </w:r>
      <w:r>
        <w:t>a</w:t>
      </w:r>
      <w:r>
        <w:rPr>
          <w:spacing w:val="-18"/>
        </w:rPr>
        <w:t xml:space="preserve"> </w:t>
      </w:r>
      <w:r>
        <w:t>créditos</w:t>
      </w:r>
      <w:r>
        <w:rPr>
          <w:spacing w:val="-19"/>
        </w:rPr>
        <w:t xml:space="preserve"> </w:t>
      </w:r>
      <w:r>
        <w:t>de</w:t>
      </w:r>
      <w:r>
        <w:rPr>
          <w:spacing w:val="-17"/>
        </w:rPr>
        <w:t xml:space="preserve"> </w:t>
      </w:r>
      <w:r>
        <w:t>entidades</w:t>
      </w:r>
      <w:r>
        <w:rPr>
          <w:spacing w:val="-19"/>
        </w:rPr>
        <w:t xml:space="preserve"> </w:t>
      </w:r>
      <w:r>
        <w:t>financieras</w:t>
      </w:r>
      <w:r>
        <w:rPr>
          <w:spacing w:val="-19"/>
        </w:rPr>
        <w:t xml:space="preserve"> </w:t>
      </w:r>
      <w:r>
        <w:t>son</w:t>
      </w:r>
      <w:r>
        <w:rPr>
          <w:spacing w:val="-17"/>
        </w:rPr>
        <w:t xml:space="preserve"> </w:t>
      </w:r>
      <w:r>
        <w:t>limitado</w:t>
      </w:r>
      <w:r>
        <w:rPr>
          <w:spacing w:val="-18"/>
        </w:rPr>
        <w:t xml:space="preserve"> </w:t>
      </w:r>
      <w:r>
        <w:t>y,</w:t>
      </w:r>
      <w:r>
        <w:rPr>
          <w:spacing w:val="-17"/>
        </w:rPr>
        <w:t xml:space="preserve"> </w:t>
      </w:r>
      <w:r>
        <w:t>generalmente, las mujeres con mayores vulnerabilidades recurren a mecanismos informales de deuda, lo que conlleva a la imposibilidad de liberar recursos durante</w:t>
      </w:r>
      <w:r>
        <w:rPr>
          <w:spacing w:val="-22"/>
        </w:rPr>
        <w:t xml:space="preserve"> </w:t>
      </w:r>
      <w:r>
        <w:t>su</w:t>
      </w:r>
      <w:r>
        <w:rPr>
          <w:spacing w:val="-21"/>
        </w:rPr>
        <w:t xml:space="preserve"> </w:t>
      </w:r>
      <w:r>
        <w:t>vida.</w:t>
      </w:r>
      <w:r>
        <w:rPr>
          <w:spacing w:val="-21"/>
        </w:rPr>
        <w:t xml:space="preserve"> </w:t>
      </w:r>
      <w:r>
        <w:t>Esto</w:t>
      </w:r>
      <w:r>
        <w:rPr>
          <w:spacing w:val="-21"/>
        </w:rPr>
        <w:t xml:space="preserve"> </w:t>
      </w:r>
      <w:r>
        <w:t>implica</w:t>
      </w:r>
      <w:r>
        <w:rPr>
          <w:spacing w:val="-21"/>
        </w:rPr>
        <w:t xml:space="preserve"> </w:t>
      </w:r>
      <w:r>
        <w:t>la</w:t>
      </w:r>
      <w:r>
        <w:rPr>
          <w:spacing w:val="-21"/>
        </w:rPr>
        <w:t xml:space="preserve"> </w:t>
      </w:r>
      <w:r>
        <w:t>reproducción</w:t>
      </w:r>
      <w:r>
        <w:rPr>
          <w:spacing w:val="-21"/>
        </w:rPr>
        <w:t xml:space="preserve"> </w:t>
      </w:r>
      <w:r>
        <w:t>de</w:t>
      </w:r>
      <w:r>
        <w:rPr>
          <w:spacing w:val="-21"/>
        </w:rPr>
        <w:t xml:space="preserve"> </w:t>
      </w:r>
      <w:r>
        <w:t>deudas</w:t>
      </w:r>
      <w:r>
        <w:rPr>
          <w:spacing w:val="-21"/>
        </w:rPr>
        <w:t xml:space="preserve"> </w:t>
      </w:r>
      <w:r>
        <w:t>intergeneracionales para</w:t>
      </w:r>
      <w:r>
        <w:rPr>
          <w:spacing w:val="-22"/>
        </w:rPr>
        <w:t xml:space="preserve"> </w:t>
      </w:r>
      <w:r>
        <w:t>la</w:t>
      </w:r>
      <w:r>
        <w:rPr>
          <w:spacing w:val="-21"/>
        </w:rPr>
        <w:t xml:space="preserve"> </w:t>
      </w:r>
      <w:r>
        <w:t>siguiente</w:t>
      </w:r>
      <w:r>
        <w:rPr>
          <w:spacing w:val="-21"/>
        </w:rPr>
        <w:t xml:space="preserve"> </w:t>
      </w:r>
      <w:r>
        <w:t>generación</w:t>
      </w:r>
      <w:r>
        <w:rPr>
          <w:spacing w:val="-21"/>
        </w:rPr>
        <w:t xml:space="preserve"> </w:t>
      </w:r>
      <w:r>
        <w:t>de</w:t>
      </w:r>
      <w:r>
        <w:rPr>
          <w:spacing w:val="-21"/>
        </w:rPr>
        <w:t xml:space="preserve"> </w:t>
      </w:r>
      <w:r>
        <w:t>mujeres.</w:t>
      </w:r>
      <w:r>
        <w:rPr>
          <w:spacing w:val="-21"/>
        </w:rPr>
        <w:t xml:space="preserve"> </w:t>
      </w:r>
      <w:r>
        <w:t>Al</w:t>
      </w:r>
      <w:r>
        <w:rPr>
          <w:spacing w:val="-21"/>
        </w:rPr>
        <w:t xml:space="preserve"> </w:t>
      </w:r>
      <w:r>
        <w:t>respecto,</w:t>
      </w:r>
      <w:r>
        <w:rPr>
          <w:spacing w:val="-21"/>
        </w:rPr>
        <w:t xml:space="preserve"> </w:t>
      </w:r>
      <w:r>
        <w:t>el</w:t>
      </w:r>
      <w:r>
        <w:rPr>
          <w:spacing w:val="-21"/>
        </w:rPr>
        <w:t xml:space="preserve"> </w:t>
      </w:r>
      <w:r>
        <w:t>27%</w:t>
      </w:r>
      <w:r>
        <w:rPr>
          <w:spacing w:val="-21"/>
        </w:rPr>
        <w:t xml:space="preserve"> </w:t>
      </w:r>
      <w:r>
        <w:t>de</w:t>
      </w:r>
      <w:r>
        <w:rPr>
          <w:spacing w:val="-22"/>
        </w:rPr>
        <w:t xml:space="preserve"> </w:t>
      </w:r>
      <w:r>
        <w:t>las</w:t>
      </w:r>
      <w:r>
        <w:rPr>
          <w:spacing w:val="-21"/>
        </w:rPr>
        <w:t xml:space="preserve"> </w:t>
      </w:r>
      <w:r>
        <w:t>mujeres en Colombia no tiene planes de jubilación, en contraste con el 15% de los hombres que está en esta situación</w:t>
      </w:r>
      <w:hyperlink w:anchor="_bookmark22" w:history="1">
        <w:r w:rsidR="000E52B0">
          <w:rPr>
            <w:position w:val="8"/>
            <w:sz w:val="16"/>
          </w:rPr>
          <w:t>17</w:t>
        </w:r>
      </w:hyperlink>
      <w:r>
        <w:t>. Esto no significa que deba ser responsabilidad</w:t>
      </w:r>
      <w:r>
        <w:rPr>
          <w:spacing w:val="-12"/>
        </w:rPr>
        <w:t xml:space="preserve"> </w:t>
      </w:r>
      <w:r>
        <w:t>de</w:t>
      </w:r>
      <w:r>
        <w:rPr>
          <w:spacing w:val="-13"/>
        </w:rPr>
        <w:t xml:space="preserve"> </w:t>
      </w:r>
      <w:r>
        <w:t>las</w:t>
      </w:r>
      <w:r>
        <w:rPr>
          <w:spacing w:val="-14"/>
        </w:rPr>
        <w:t xml:space="preserve"> </w:t>
      </w:r>
      <w:r>
        <w:t>mujeres</w:t>
      </w:r>
      <w:r>
        <w:rPr>
          <w:spacing w:val="-14"/>
        </w:rPr>
        <w:t xml:space="preserve"> </w:t>
      </w:r>
      <w:r>
        <w:t>romper</w:t>
      </w:r>
      <w:r>
        <w:rPr>
          <w:spacing w:val="-13"/>
        </w:rPr>
        <w:t xml:space="preserve"> </w:t>
      </w:r>
      <w:r>
        <w:t>con</w:t>
      </w:r>
      <w:r>
        <w:rPr>
          <w:spacing w:val="-14"/>
        </w:rPr>
        <w:t xml:space="preserve"> </w:t>
      </w:r>
      <w:r>
        <w:t>las</w:t>
      </w:r>
      <w:r>
        <w:rPr>
          <w:spacing w:val="-14"/>
        </w:rPr>
        <w:t xml:space="preserve"> </w:t>
      </w:r>
      <w:r>
        <w:t>deudas</w:t>
      </w:r>
      <w:r>
        <w:rPr>
          <w:spacing w:val="-14"/>
        </w:rPr>
        <w:t xml:space="preserve"> </w:t>
      </w:r>
      <w:r>
        <w:t>intergeneracionales, sino</w:t>
      </w:r>
      <w:r>
        <w:rPr>
          <w:spacing w:val="-7"/>
        </w:rPr>
        <w:t xml:space="preserve"> </w:t>
      </w:r>
      <w:r>
        <w:t>que</w:t>
      </w:r>
      <w:r>
        <w:rPr>
          <w:spacing w:val="-3"/>
        </w:rPr>
        <w:t xml:space="preserve"> </w:t>
      </w:r>
      <w:r>
        <w:t>es</w:t>
      </w:r>
      <w:r>
        <w:rPr>
          <w:spacing w:val="-6"/>
        </w:rPr>
        <w:t xml:space="preserve"> </w:t>
      </w:r>
      <w:r>
        <w:t>deber</w:t>
      </w:r>
      <w:r>
        <w:rPr>
          <w:spacing w:val="-3"/>
        </w:rPr>
        <w:t xml:space="preserve"> </w:t>
      </w:r>
      <w:r>
        <w:t>del</w:t>
      </w:r>
      <w:r>
        <w:rPr>
          <w:spacing w:val="-6"/>
        </w:rPr>
        <w:t xml:space="preserve"> </w:t>
      </w:r>
      <w:r>
        <w:t>Estado</w:t>
      </w:r>
      <w:r>
        <w:rPr>
          <w:spacing w:val="-4"/>
        </w:rPr>
        <w:t xml:space="preserve"> </w:t>
      </w:r>
      <w:r>
        <w:t>facilitar</w:t>
      </w:r>
      <w:r>
        <w:rPr>
          <w:spacing w:val="-1"/>
        </w:rPr>
        <w:t xml:space="preserve"> </w:t>
      </w:r>
      <w:r>
        <w:t>las</w:t>
      </w:r>
      <w:r>
        <w:rPr>
          <w:spacing w:val="-6"/>
        </w:rPr>
        <w:t xml:space="preserve"> </w:t>
      </w:r>
      <w:r>
        <w:t>condiciones</w:t>
      </w:r>
      <w:r>
        <w:rPr>
          <w:spacing w:val="-1"/>
        </w:rPr>
        <w:t xml:space="preserve"> </w:t>
      </w:r>
      <w:r>
        <w:t>para</w:t>
      </w:r>
      <w:r>
        <w:rPr>
          <w:spacing w:val="-2"/>
        </w:rPr>
        <w:t xml:space="preserve"> </w:t>
      </w:r>
      <w:r>
        <w:t>que</w:t>
      </w:r>
      <w:r>
        <w:rPr>
          <w:spacing w:val="-3"/>
        </w:rPr>
        <w:t xml:space="preserve"> </w:t>
      </w:r>
      <w:r>
        <w:t>esto</w:t>
      </w:r>
      <w:r>
        <w:rPr>
          <w:spacing w:val="-4"/>
        </w:rPr>
        <w:t xml:space="preserve"> </w:t>
      </w:r>
      <w:r>
        <w:rPr>
          <w:spacing w:val="-2"/>
        </w:rPr>
        <w:t>ocurra.</w:t>
      </w:r>
    </w:p>
    <w:p w14:paraId="626CE63F" w14:textId="77777777" w:rsidR="000E52B0" w:rsidRDefault="00F60D74">
      <w:pPr>
        <w:pStyle w:val="Textoindependiente"/>
        <w:spacing w:before="159"/>
        <w:ind w:right="719"/>
        <w:jc w:val="both"/>
      </w:pPr>
      <w:r>
        <w:t>Las exclusiones y desigualdades que experimentan las mujeres en la economía no son iguales para todas, las mujeres con pertenencia étnica a comunidades</w:t>
      </w:r>
      <w:r>
        <w:rPr>
          <w:spacing w:val="-5"/>
        </w:rPr>
        <w:t xml:space="preserve"> </w:t>
      </w:r>
      <w:r>
        <w:t>negras,</w:t>
      </w:r>
      <w:r>
        <w:rPr>
          <w:spacing w:val="-6"/>
        </w:rPr>
        <w:t xml:space="preserve"> </w:t>
      </w:r>
      <w:r>
        <w:t>afrocolombianas,</w:t>
      </w:r>
      <w:r>
        <w:rPr>
          <w:spacing w:val="-2"/>
        </w:rPr>
        <w:t xml:space="preserve"> </w:t>
      </w:r>
      <w:r>
        <w:t>raizales</w:t>
      </w:r>
      <w:r>
        <w:rPr>
          <w:spacing w:val="-5"/>
        </w:rPr>
        <w:t xml:space="preserve"> </w:t>
      </w:r>
      <w:r>
        <w:t>y</w:t>
      </w:r>
      <w:r>
        <w:rPr>
          <w:spacing w:val="-5"/>
        </w:rPr>
        <w:t xml:space="preserve"> </w:t>
      </w:r>
      <w:r>
        <w:t>palenqueras</w:t>
      </w:r>
      <w:r>
        <w:rPr>
          <w:spacing w:val="-5"/>
        </w:rPr>
        <w:t xml:space="preserve"> </w:t>
      </w:r>
      <w:r>
        <w:t>son</w:t>
      </w:r>
      <w:r>
        <w:rPr>
          <w:spacing w:val="-3"/>
        </w:rPr>
        <w:t xml:space="preserve"> </w:t>
      </w:r>
      <w:r>
        <w:t>quienes tuvieron</w:t>
      </w:r>
      <w:r>
        <w:rPr>
          <w:spacing w:val="-16"/>
        </w:rPr>
        <w:t xml:space="preserve"> </w:t>
      </w:r>
      <w:r>
        <w:t>las</w:t>
      </w:r>
      <w:r>
        <w:rPr>
          <w:spacing w:val="-15"/>
        </w:rPr>
        <w:t xml:space="preserve"> </w:t>
      </w:r>
      <w:r>
        <w:t>mayores</w:t>
      </w:r>
      <w:r>
        <w:rPr>
          <w:spacing w:val="-15"/>
        </w:rPr>
        <w:t xml:space="preserve"> </w:t>
      </w:r>
      <w:r>
        <w:t>tasas</w:t>
      </w:r>
      <w:r>
        <w:rPr>
          <w:spacing w:val="-13"/>
        </w:rPr>
        <w:t xml:space="preserve"> </w:t>
      </w:r>
      <w:r>
        <w:t>de</w:t>
      </w:r>
      <w:r>
        <w:rPr>
          <w:spacing w:val="-14"/>
        </w:rPr>
        <w:t xml:space="preserve"> </w:t>
      </w:r>
      <w:r>
        <w:t>desempleo</w:t>
      </w:r>
      <w:r>
        <w:rPr>
          <w:spacing w:val="-14"/>
        </w:rPr>
        <w:t xml:space="preserve"> </w:t>
      </w:r>
      <w:r>
        <w:t>en</w:t>
      </w:r>
      <w:r>
        <w:rPr>
          <w:spacing w:val="-16"/>
        </w:rPr>
        <w:t xml:space="preserve"> </w:t>
      </w:r>
      <w:r>
        <w:t>el</w:t>
      </w:r>
      <w:r>
        <w:rPr>
          <w:spacing w:val="-16"/>
        </w:rPr>
        <w:t xml:space="preserve"> </w:t>
      </w:r>
      <w:r>
        <w:t>año</w:t>
      </w:r>
      <w:r>
        <w:rPr>
          <w:spacing w:val="-14"/>
        </w:rPr>
        <w:t xml:space="preserve"> </w:t>
      </w:r>
      <w:r>
        <w:t>2021.</w:t>
      </w:r>
      <w:r>
        <w:rPr>
          <w:spacing w:val="-16"/>
        </w:rPr>
        <w:t xml:space="preserve"> </w:t>
      </w:r>
      <w:r>
        <w:t>En</w:t>
      </w:r>
      <w:r>
        <w:rPr>
          <w:spacing w:val="-16"/>
        </w:rPr>
        <w:t xml:space="preserve"> </w:t>
      </w:r>
      <w:r>
        <w:t>el</w:t>
      </w:r>
      <w:r>
        <w:rPr>
          <w:spacing w:val="-16"/>
        </w:rPr>
        <w:t xml:space="preserve"> </w:t>
      </w:r>
      <w:r>
        <w:t>mismo</w:t>
      </w:r>
      <w:r>
        <w:rPr>
          <w:spacing w:val="-14"/>
        </w:rPr>
        <w:t xml:space="preserve"> </w:t>
      </w:r>
      <w:r>
        <w:t>año, la población con pertenencia étnica indígena es la que tiene una mayor participación</w:t>
      </w:r>
      <w:r>
        <w:rPr>
          <w:spacing w:val="-5"/>
        </w:rPr>
        <w:t xml:space="preserve"> </w:t>
      </w:r>
      <w:r>
        <w:t>en</w:t>
      </w:r>
      <w:r>
        <w:rPr>
          <w:spacing w:val="-7"/>
        </w:rPr>
        <w:t xml:space="preserve"> </w:t>
      </w:r>
      <w:r>
        <w:t>trabajos</w:t>
      </w:r>
      <w:r>
        <w:rPr>
          <w:spacing w:val="-7"/>
        </w:rPr>
        <w:t xml:space="preserve"> </w:t>
      </w:r>
      <w:r>
        <w:t>sin</w:t>
      </w:r>
      <w:r>
        <w:rPr>
          <w:spacing w:val="-7"/>
        </w:rPr>
        <w:t xml:space="preserve"> </w:t>
      </w:r>
      <w:r>
        <w:t>remuneración</w:t>
      </w:r>
      <w:r>
        <w:rPr>
          <w:spacing w:val="-6"/>
        </w:rPr>
        <w:t xml:space="preserve"> </w:t>
      </w:r>
      <w:r>
        <w:t>y</w:t>
      </w:r>
      <w:r>
        <w:rPr>
          <w:spacing w:val="-7"/>
        </w:rPr>
        <w:t xml:space="preserve"> </w:t>
      </w:r>
      <w:r>
        <w:t>en</w:t>
      </w:r>
      <w:r>
        <w:rPr>
          <w:spacing w:val="-7"/>
        </w:rPr>
        <w:t xml:space="preserve"> </w:t>
      </w:r>
      <w:r>
        <w:t>trabajos</w:t>
      </w:r>
      <w:r>
        <w:rPr>
          <w:spacing w:val="-7"/>
        </w:rPr>
        <w:t xml:space="preserve"> </w:t>
      </w:r>
      <w:r>
        <w:t>por</w:t>
      </w:r>
      <w:r>
        <w:rPr>
          <w:spacing w:val="-5"/>
        </w:rPr>
        <w:t xml:space="preserve"> </w:t>
      </w:r>
      <w:r>
        <w:t>cuenta</w:t>
      </w:r>
      <w:r>
        <w:rPr>
          <w:spacing w:val="-6"/>
        </w:rPr>
        <w:t xml:space="preserve"> </w:t>
      </w:r>
      <w:r>
        <w:t>propia (DANE, 2023). En el caso de las mujeres con pertenencia étnica indígena las</w:t>
      </w:r>
      <w:r>
        <w:rPr>
          <w:spacing w:val="-22"/>
        </w:rPr>
        <w:t xml:space="preserve"> </w:t>
      </w:r>
      <w:r>
        <w:t>brechas</w:t>
      </w:r>
      <w:r>
        <w:rPr>
          <w:spacing w:val="-21"/>
        </w:rPr>
        <w:t xml:space="preserve"> </w:t>
      </w:r>
      <w:r>
        <w:t>en</w:t>
      </w:r>
      <w:r>
        <w:rPr>
          <w:spacing w:val="-21"/>
        </w:rPr>
        <w:t xml:space="preserve"> </w:t>
      </w:r>
      <w:r>
        <w:t>la</w:t>
      </w:r>
      <w:r>
        <w:rPr>
          <w:spacing w:val="-21"/>
        </w:rPr>
        <w:t xml:space="preserve"> </w:t>
      </w:r>
      <w:r>
        <w:t>tasa</w:t>
      </w:r>
      <w:r>
        <w:rPr>
          <w:spacing w:val="-21"/>
        </w:rPr>
        <w:t xml:space="preserve"> </w:t>
      </w:r>
      <w:r>
        <w:t>de</w:t>
      </w:r>
      <w:r>
        <w:rPr>
          <w:spacing w:val="-21"/>
        </w:rPr>
        <w:t xml:space="preserve"> </w:t>
      </w:r>
      <w:r>
        <w:t>ocupación</w:t>
      </w:r>
      <w:r>
        <w:rPr>
          <w:spacing w:val="-21"/>
        </w:rPr>
        <w:t xml:space="preserve"> </w:t>
      </w:r>
      <w:r>
        <w:t>son</w:t>
      </w:r>
      <w:r>
        <w:rPr>
          <w:spacing w:val="-21"/>
        </w:rPr>
        <w:t xml:space="preserve"> </w:t>
      </w:r>
      <w:r>
        <w:t>de</w:t>
      </w:r>
      <w:r>
        <w:rPr>
          <w:spacing w:val="-21"/>
        </w:rPr>
        <w:t xml:space="preserve"> </w:t>
      </w:r>
      <w:r>
        <w:t>24,5</w:t>
      </w:r>
      <w:r>
        <w:rPr>
          <w:spacing w:val="-21"/>
        </w:rPr>
        <w:t xml:space="preserve"> </w:t>
      </w:r>
      <w:r>
        <w:t>puntos</w:t>
      </w:r>
      <w:r>
        <w:rPr>
          <w:spacing w:val="-22"/>
        </w:rPr>
        <w:t xml:space="preserve"> </w:t>
      </w:r>
      <w:r>
        <w:t>porcentuales</w:t>
      </w:r>
      <w:r>
        <w:rPr>
          <w:spacing w:val="-21"/>
        </w:rPr>
        <w:t xml:space="preserve"> </w:t>
      </w:r>
      <w:r>
        <w:t>a</w:t>
      </w:r>
      <w:r>
        <w:rPr>
          <w:spacing w:val="-21"/>
        </w:rPr>
        <w:t xml:space="preserve"> </w:t>
      </w:r>
      <w:r>
        <w:t>favor de</w:t>
      </w:r>
      <w:r>
        <w:rPr>
          <w:spacing w:val="-7"/>
        </w:rPr>
        <w:t xml:space="preserve"> </w:t>
      </w:r>
      <w:r>
        <w:t>los</w:t>
      </w:r>
      <w:r>
        <w:rPr>
          <w:spacing w:val="-8"/>
        </w:rPr>
        <w:t xml:space="preserve"> </w:t>
      </w:r>
      <w:r>
        <w:t>hombres</w:t>
      </w:r>
      <w:r>
        <w:rPr>
          <w:spacing w:val="-8"/>
        </w:rPr>
        <w:t xml:space="preserve"> </w:t>
      </w:r>
      <w:r>
        <w:t>indígenas,</w:t>
      </w:r>
      <w:r>
        <w:rPr>
          <w:spacing w:val="-9"/>
        </w:rPr>
        <w:t xml:space="preserve"> </w:t>
      </w:r>
      <w:r>
        <w:t>mientras</w:t>
      </w:r>
      <w:r>
        <w:rPr>
          <w:spacing w:val="-5"/>
        </w:rPr>
        <w:t xml:space="preserve"> </w:t>
      </w:r>
      <w:r>
        <w:t>que,</w:t>
      </w:r>
      <w:r>
        <w:rPr>
          <w:spacing w:val="-9"/>
        </w:rPr>
        <w:t xml:space="preserve"> </w:t>
      </w:r>
      <w:r>
        <w:t>en</w:t>
      </w:r>
      <w:r>
        <w:rPr>
          <w:spacing w:val="-8"/>
        </w:rPr>
        <w:t xml:space="preserve"> </w:t>
      </w:r>
      <w:r>
        <w:t>el</w:t>
      </w:r>
      <w:r>
        <w:rPr>
          <w:spacing w:val="-9"/>
        </w:rPr>
        <w:t xml:space="preserve"> </w:t>
      </w:r>
      <w:r>
        <w:t>caso</w:t>
      </w:r>
      <w:r>
        <w:rPr>
          <w:spacing w:val="-7"/>
        </w:rPr>
        <w:t xml:space="preserve"> </w:t>
      </w:r>
      <w:r>
        <w:t>de</w:t>
      </w:r>
      <w:r>
        <w:rPr>
          <w:spacing w:val="-4"/>
        </w:rPr>
        <w:t xml:space="preserve"> </w:t>
      </w:r>
      <w:r>
        <w:t>las</w:t>
      </w:r>
      <w:r>
        <w:rPr>
          <w:spacing w:val="-6"/>
        </w:rPr>
        <w:t xml:space="preserve"> </w:t>
      </w:r>
      <w:r>
        <w:t>mujeres</w:t>
      </w:r>
      <w:r>
        <w:rPr>
          <w:spacing w:val="-8"/>
        </w:rPr>
        <w:t xml:space="preserve"> </w:t>
      </w:r>
      <w:r>
        <w:t>negras, afrocolombianas, raizales y palenqueras, la brecha es de 29,4 puntos porcentuales</w:t>
      </w:r>
      <w:r>
        <w:rPr>
          <w:spacing w:val="48"/>
        </w:rPr>
        <w:t xml:space="preserve"> </w:t>
      </w:r>
      <w:r>
        <w:t>a</w:t>
      </w:r>
      <w:r>
        <w:rPr>
          <w:spacing w:val="52"/>
        </w:rPr>
        <w:t xml:space="preserve"> </w:t>
      </w:r>
      <w:r>
        <w:t>favor</w:t>
      </w:r>
      <w:r>
        <w:rPr>
          <w:spacing w:val="51"/>
        </w:rPr>
        <w:t xml:space="preserve"> </w:t>
      </w:r>
      <w:r>
        <w:t>de</w:t>
      </w:r>
      <w:r>
        <w:rPr>
          <w:spacing w:val="51"/>
        </w:rPr>
        <w:t xml:space="preserve"> </w:t>
      </w:r>
      <w:r>
        <w:t>los</w:t>
      </w:r>
      <w:r>
        <w:rPr>
          <w:spacing w:val="51"/>
        </w:rPr>
        <w:t xml:space="preserve"> </w:t>
      </w:r>
      <w:r>
        <w:t>hombres</w:t>
      </w:r>
      <w:r>
        <w:rPr>
          <w:spacing w:val="50"/>
        </w:rPr>
        <w:t xml:space="preserve"> </w:t>
      </w:r>
      <w:r>
        <w:t>con</w:t>
      </w:r>
      <w:r>
        <w:rPr>
          <w:spacing w:val="53"/>
        </w:rPr>
        <w:t xml:space="preserve"> </w:t>
      </w:r>
      <w:r>
        <w:t>la</w:t>
      </w:r>
      <w:r>
        <w:rPr>
          <w:spacing w:val="50"/>
        </w:rPr>
        <w:t xml:space="preserve"> </w:t>
      </w:r>
      <w:r>
        <w:t>misma</w:t>
      </w:r>
      <w:r>
        <w:rPr>
          <w:spacing w:val="52"/>
        </w:rPr>
        <w:t xml:space="preserve"> </w:t>
      </w:r>
      <w:r>
        <w:t>pertenencia</w:t>
      </w:r>
      <w:r>
        <w:rPr>
          <w:spacing w:val="51"/>
        </w:rPr>
        <w:t xml:space="preserve"> </w:t>
      </w:r>
      <w:r>
        <w:rPr>
          <w:spacing w:val="-2"/>
        </w:rPr>
        <w:t>étnica.</w:t>
      </w:r>
    </w:p>
    <w:p w14:paraId="06C9D941" w14:textId="77777777" w:rsidR="000E52B0" w:rsidRDefault="00F60D74">
      <w:pPr>
        <w:pStyle w:val="Textoindependiente"/>
        <w:spacing w:before="146"/>
        <w:ind w:left="0"/>
        <w:rPr>
          <w:sz w:val="20"/>
        </w:rPr>
      </w:pPr>
      <w:r>
        <w:rPr>
          <w:noProof/>
          <w:sz w:val="20"/>
        </w:rPr>
        <mc:AlternateContent>
          <mc:Choice Requires="wps">
            <w:drawing>
              <wp:anchor distT="0" distB="0" distL="0" distR="0" simplePos="0" relativeHeight="487623168" behindDoc="1" locked="0" layoutInCell="1" allowOverlap="1" wp14:anchorId="563C1EA5" wp14:editId="5B70744F">
                <wp:simplePos x="0" y="0"/>
                <wp:positionH relativeFrom="page">
                  <wp:posOffset>914704</wp:posOffset>
                </wp:positionH>
                <wp:positionV relativeFrom="paragraph">
                  <wp:posOffset>262361</wp:posOffset>
                </wp:positionV>
                <wp:extent cx="1829435" cy="7620"/>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2EFDEF" id="Graphic 166" o:spid="_x0000_s1026" style="position:absolute;margin-left:1in;margin-top:20.65pt;width:144.05pt;height:.6pt;z-index:-156933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" path="m1829054,l,,,7619r1829054,l1829054,xe" fillcolor="black" stroked="f">
                <v:path arrowok="t"/>
                <w10:wrap type="topAndBottom" anchorx="page"/>
              </v:shape>
            </w:pict>
          </mc:Fallback>
        </mc:AlternateContent>
      </w:r>
    </w:p>
    <w:p w14:paraId="08A04857" w14:textId="77777777" w:rsidR="000E52B0" w:rsidRDefault="00F60D74">
      <w:pPr>
        <w:tabs>
          <w:tab w:val="left" w:pos="1109"/>
          <w:tab w:val="left" w:pos="2763"/>
          <w:tab w:val="left" w:pos="3859"/>
          <w:tab w:val="left" w:pos="4312"/>
          <w:tab w:val="left" w:pos="5376"/>
          <w:tab w:val="left" w:pos="6268"/>
          <w:tab w:val="left" w:pos="6722"/>
          <w:tab w:val="left" w:pos="7676"/>
          <w:tab w:val="left" w:pos="8709"/>
          <w:tab w:val="left" w:pos="9411"/>
        </w:tabs>
        <w:spacing w:before="96"/>
        <w:ind w:left="720" w:right="724"/>
        <w:rPr>
          <w:rFonts w:ascii="Arial MT" w:hAnsi="Arial MT"/>
          <w:sz w:val="18"/>
        </w:rPr>
      </w:pPr>
      <w:bookmarkStart w:id="21" w:name="_bookmark21"/>
      <w:bookmarkEnd w:id="21"/>
      <w:r>
        <w:rPr>
          <w:rFonts w:ascii="Arial MT" w:hAnsi="Arial MT"/>
          <w:spacing w:val="-6"/>
          <w:position w:val="6"/>
          <w:sz w:val="12"/>
        </w:rPr>
        <w:t>16</w:t>
      </w:r>
      <w:r>
        <w:rPr>
          <w:rFonts w:ascii="Arial MT" w:hAnsi="Arial MT"/>
          <w:position w:val="6"/>
          <w:sz w:val="12"/>
        </w:rPr>
        <w:tab/>
      </w:r>
      <w:proofErr w:type="gramStart"/>
      <w:r>
        <w:rPr>
          <w:rFonts w:ascii="Arial MT" w:hAnsi="Arial MT"/>
          <w:spacing w:val="-2"/>
          <w:sz w:val="18"/>
        </w:rPr>
        <w:t>Superintendencia</w:t>
      </w:r>
      <w:proofErr w:type="gramEnd"/>
      <w:r>
        <w:rPr>
          <w:rFonts w:ascii="Arial MT" w:hAnsi="Arial MT"/>
          <w:sz w:val="18"/>
        </w:rPr>
        <w:tab/>
      </w:r>
      <w:r>
        <w:rPr>
          <w:rFonts w:ascii="Arial MT" w:hAnsi="Arial MT"/>
          <w:spacing w:val="-2"/>
          <w:sz w:val="18"/>
        </w:rPr>
        <w:t>Financiera</w:t>
      </w:r>
      <w:r>
        <w:rPr>
          <w:rFonts w:ascii="Arial MT" w:hAnsi="Arial MT"/>
          <w:sz w:val="18"/>
        </w:rPr>
        <w:tab/>
      </w:r>
      <w:r>
        <w:rPr>
          <w:rFonts w:ascii="Arial MT" w:hAnsi="Arial MT"/>
          <w:spacing w:val="-6"/>
          <w:sz w:val="18"/>
        </w:rPr>
        <w:t>de</w:t>
      </w:r>
      <w:r>
        <w:rPr>
          <w:rFonts w:ascii="Arial MT" w:hAnsi="Arial MT"/>
          <w:sz w:val="18"/>
        </w:rPr>
        <w:tab/>
      </w:r>
      <w:r>
        <w:rPr>
          <w:rFonts w:ascii="Arial MT" w:hAnsi="Arial MT"/>
          <w:spacing w:val="-2"/>
          <w:sz w:val="18"/>
        </w:rPr>
        <w:t>Colombia.</w:t>
      </w:r>
      <w:r>
        <w:rPr>
          <w:rFonts w:ascii="Arial MT" w:hAnsi="Arial MT"/>
          <w:sz w:val="18"/>
        </w:rPr>
        <w:tab/>
      </w:r>
      <w:r>
        <w:rPr>
          <w:rFonts w:ascii="Arial MT" w:hAnsi="Arial MT"/>
          <w:spacing w:val="-2"/>
          <w:sz w:val="18"/>
        </w:rPr>
        <w:t>Reporte</w:t>
      </w:r>
      <w:r>
        <w:rPr>
          <w:rFonts w:ascii="Arial MT" w:hAnsi="Arial MT"/>
          <w:sz w:val="18"/>
        </w:rPr>
        <w:tab/>
      </w:r>
      <w:r>
        <w:rPr>
          <w:rFonts w:ascii="Arial MT" w:hAnsi="Arial MT"/>
          <w:spacing w:val="-6"/>
          <w:sz w:val="18"/>
        </w:rPr>
        <w:t>de</w:t>
      </w:r>
      <w:r>
        <w:rPr>
          <w:rFonts w:ascii="Arial MT" w:hAnsi="Arial MT"/>
          <w:sz w:val="18"/>
        </w:rPr>
        <w:tab/>
      </w:r>
      <w:r>
        <w:rPr>
          <w:rFonts w:ascii="Arial MT" w:hAnsi="Arial MT"/>
          <w:spacing w:val="-2"/>
          <w:sz w:val="18"/>
        </w:rPr>
        <w:t>inclusión</w:t>
      </w:r>
      <w:r>
        <w:rPr>
          <w:rFonts w:ascii="Arial MT" w:hAnsi="Arial MT"/>
          <w:sz w:val="18"/>
        </w:rPr>
        <w:tab/>
      </w:r>
      <w:r>
        <w:rPr>
          <w:rFonts w:ascii="Arial MT" w:hAnsi="Arial MT"/>
          <w:spacing w:val="-2"/>
          <w:sz w:val="18"/>
        </w:rPr>
        <w:t>financiera</w:t>
      </w:r>
      <w:r>
        <w:rPr>
          <w:rFonts w:ascii="Arial MT" w:hAnsi="Arial MT"/>
          <w:sz w:val="18"/>
        </w:rPr>
        <w:tab/>
      </w:r>
      <w:r>
        <w:rPr>
          <w:rFonts w:ascii="Arial MT" w:hAnsi="Arial MT"/>
          <w:spacing w:val="-2"/>
          <w:sz w:val="18"/>
        </w:rPr>
        <w:t>2022.</w:t>
      </w:r>
      <w:r>
        <w:rPr>
          <w:rFonts w:ascii="Arial MT" w:hAnsi="Arial MT"/>
          <w:sz w:val="18"/>
        </w:rPr>
        <w:tab/>
      </w:r>
      <w:r>
        <w:rPr>
          <w:rFonts w:ascii="Arial MT" w:hAnsi="Arial MT"/>
          <w:spacing w:val="-4"/>
          <w:sz w:val="18"/>
        </w:rPr>
        <w:t xml:space="preserve">Ver: </w:t>
      </w:r>
      <w:hyperlink r:id="rId75">
        <w:r w:rsidR="000E52B0">
          <w:rPr>
            <w:rFonts w:ascii="Arial MT" w:hAnsi="Arial MT"/>
            <w:color w:val="E22C91"/>
            <w:spacing w:val="-2"/>
            <w:sz w:val="18"/>
            <w:u w:val="single" w:color="E22C91"/>
          </w:rPr>
          <w:t>https://www.superfinanciera.gov.co/inicio/informes-y-cifras/informes/inclusion-financiera/reporte-de-inclusion-</w:t>
        </w:r>
      </w:hyperlink>
      <w:r>
        <w:rPr>
          <w:rFonts w:ascii="Arial MT" w:hAnsi="Arial MT"/>
          <w:color w:val="E22C91"/>
          <w:spacing w:val="-2"/>
          <w:sz w:val="18"/>
        </w:rPr>
        <w:t xml:space="preserve"> </w:t>
      </w:r>
      <w:hyperlink r:id="rId76">
        <w:r w:rsidR="000E52B0">
          <w:rPr>
            <w:rFonts w:ascii="Arial MT" w:hAnsi="Arial MT"/>
            <w:color w:val="E22C91"/>
            <w:spacing w:val="-2"/>
            <w:sz w:val="18"/>
            <w:u w:val="single" w:color="E22C91"/>
          </w:rPr>
          <w:t>financiera/reporte-de-</w:t>
        </w:r>
        <w:proofErr w:type="spellStart"/>
        <w:r w:rsidR="000E52B0">
          <w:rPr>
            <w:rFonts w:ascii="Arial MT" w:hAnsi="Arial MT"/>
            <w:color w:val="E22C91"/>
            <w:spacing w:val="-2"/>
            <w:sz w:val="18"/>
            <w:u w:val="single" w:color="E22C91"/>
          </w:rPr>
          <w:t>inclusion</w:t>
        </w:r>
        <w:proofErr w:type="spellEnd"/>
        <w:r w:rsidR="000E52B0">
          <w:rPr>
            <w:rFonts w:ascii="Arial MT" w:hAnsi="Arial MT"/>
            <w:color w:val="E22C91"/>
            <w:spacing w:val="-2"/>
            <w:sz w:val="18"/>
            <w:u w:val="single" w:color="E22C91"/>
          </w:rPr>
          <w:t>-financiera--10113783</w:t>
        </w:r>
      </w:hyperlink>
    </w:p>
    <w:p w14:paraId="0803EE27" w14:textId="77777777" w:rsidR="000E52B0" w:rsidRDefault="00F60D74">
      <w:pPr>
        <w:spacing w:line="208" w:lineRule="exact"/>
        <w:ind w:left="720"/>
        <w:rPr>
          <w:rFonts w:ascii="Arial MT" w:hAnsi="Arial MT"/>
          <w:sz w:val="18"/>
        </w:rPr>
      </w:pPr>
      <w:bookmarkStart w:id="22" w:name="_bookmark22"/>
      <w:bookmarkEnd w:id="22"/>
      <w:r>
        <w:rPr>
          <w:rFonts w:ascii="Arial MT" w:hAnsi="Arial MT"/>
          <w:position w:val="6"/>
          <w:sz w:val="12"/>
        </w:rPr>
        <w:t>17</w:t>
      </w:r>
      <w:r>
        <w:rPr>
          <w:rFonts w:ascii="Arial MT" w:hAnsi="Arial MT"/>
          <w:spacing w:val="15"/>
          <w:position w:val="6"/>
          <w:sz w:val="12"/>
        </w:rPr>
        <w:t xml:space="preserve"> </w:t>
      </w:r>
      <w:proofErr w:type="spellStart"/>
      <w:r>
        <w:rPr>
          <w:rFonts w:ascii="Arial MT" w:hAnsi="Arial MT"/>
          <w:spacing w:val="-2"/>
          <w:sz w:val="18"/>
        </w:rPr>
        <w:t>Ibíd</w:t>
      </w:r>
      <w:proofErr w:type="spellEnd"/>
      <w:r>
        <w:rPr>
          <w:rFonts w:ascii="Arial MT" w:hAnsi="Arial MT"/>
          <w:spacing w:val="-2"/>
          <w:sz w:val="18"/>
        </w:rPr>
        <w:t>.</w:t>
      </w:r>
    </w:p>
    <w:p w14:paraId="19D3F8A8" w14:textId="77777777" w:rsidR="000E52B0" w:rsidRDefault="000E52B0">
      <w:pPr>
        <w:spacing w:line="208" w:lineRule="exact"/>
        <w:rPr>
          <w:rFonts w:ascii="Arial MT" w:hAnsi="Arial MT"/>
          <w:sz w:val="18"/>
        </w:rPr>
        <w:sectPr w:rsidR="000E52B0">
          <w:type w:val="continuous"/>
          <w:pgSz w:w="11910" w:h="16840"/>
          <w:pgMar w:top="1340" w:right="720" w:bottom="1280" w:left="720" w:header="0" w:footer="995" w:gutter="0"/>
          <w:cols w:space="720"/>
        </w:sectPr>
      </w:pPr>
    </w:p>
    <w:p w14:paraId="73F6F821" w14:textId="77777777" w:rsidR="000E52B0" w:rsidRDefault="00F60D74">
      <w:pPr>
        <w:pStyle w:val="Textoindependiente"/>
        <w:spacing w:before="83"/>
        <w:ind w:right="721"/>
        <w:jc w:val="both"/>
      </w:pPr>
      <w:r>
        <w:lastRenderedPageBreak/>
        <w:t>Respecto</w:t>
      </w:r>
      <w:r>
        <w:rPr>
          <w:spacing w:val="-11"/>
        </w:rPr>
        <w:t xml:space="preserve"> </w:t>
      </w:r>
      <w:r>
        <w:t>a</w:t>
      </w:r>
      <w:r>
        <w:rPr>
          <w:spacing w:val="-11"/>
        </w:rPr>
        <w:t xml:space="preserve"> </w:t>
      </w:r>
      <w:r>
        <w:t>la</w:t>
      </w:r>
      <w:r>
        <w:rPr>
          <w:spacing w:val="-12"/>
        </w:rPr>
        <w:t xml:space="preserve"> </w:t>
      </w:r>
      <w:r>
        <w:t>relación</w:t>
      </w:r>
      <w:r>
        <w:rPr>
          <w:spacing w:val="-12"/>
        </w:rPr>
        <w:t xml:space="preserve"> </w:t>
      </w:r>
      <w:r>
        <w:t>entre</w:t>
      </w:r>
      <w:r>
        <w:rPr>
          <w:spacing w:val="-10"/>
        </w:rPr>
        <w:t xml:space="preserve"> </w:t>
      </w:r>
      <w:r>
        <w:t>las</w:t>
      </w:r>
      <w:r>
        <w:rPr>
          <w:spacing w:val="-11"/>
        </w:rPr>
        <w:t xml:space="preserve"> </w:t>
      </w:r>
      <w:r>
        <w:t>mujeres</w:t>
      </w:r>
      <w:r>
        <w:rPr>
          <w:spacing w:val="-11"/>
        </w:rPr>
        <w:t xml:space="preserve"> </w:t>
      </w:r>
      <w:r>
        <w:t>con</w:t>
      </w:r>
      <w:r>
        <w:rPr>
          <w:spacing w:val="-11"/>
        </w:rPr>
        <w:t xml:space="preserve"> </w:t>
      </w:r>
      <w:r>
        <w:t>pertenencia</w:t>
      </w:r>
      <w:r>
        <w:rPr>
          <w:spacing w:val="-11"/>
        </w:rPr>
        <w:t xml:space="preserve"> </w:t>
      </w:r>
      <w:r>
        <w:t>étnica</w:t>
      </w:r>
      <w:r>
        <w:rPr>
          <w:spacing w:val="-11"/>
        </w:rPr>
        <w:t xml:space="preserve"> </w:t>
      </w:r>
      <w:r>
        <w:t>frente</w:t>
      </w:r>
      <w:r>
        <w:rPr>
          <w:spacing w:val="-10"/>
        </w:rPr>
        <w:t xml:space="preserve"> </w:t>
      </w:r>
      <w:r>
        <w:t>a</w:t>
      </w:r>
      <w:r>
        <w:rPr>
          <w:spacing w:val="-11"/>
        </w:rPr>
        <w:t xml:space="preserve"> </w:t>
      </w:r>
      <w:r>
        <w:t>los hombres sin pertenencia étnica, cabe resaltar que la brecha salarial es de 58% para las mujeres negras, afrocolombianas, raizales y palenqueras (</w:t>
      </w:r>
      <w:hyperlink w:anchor="_bookmark16" w:history="1">
        <w:r w:rsidR="000E52B0">
          <w:t>Ilustración 15</w:t>
        </w:r>
      </w:hyperlink>
      <w:r>
        <w:t>).</w:t>
      </w:r>
    </w:p>
    <w:p w14:paraId="649A058B" w14:textId="77777777" w:rsidR="000E52B0" w:rsidRDefault="00F60D74">
      <w:pPr>
        <w:pStyle w:val="Textoindependiente"/>
        <w:spacing w:before="158"/>
        <w:ind w:right="718"/>
        <w:jc w:val="both"/>
      </w:pPr>
      <w:r>
        <w:t>En el caso de las mujeres migrantes, de acuerdo con la Encuesta Pulso de la Migración (DANE, 2023), de la población migrante venezolana en Colombia,</w:t>
      </w:r>
      <w:r>
        <w:rPr>
          <w:spacing w:val="-6"/>
        </w:rPr>
        <w:t xml:space="preserve"> </w:t>
      </w:r>
      <w:r>
        <w:t>solo</w:t>
      </w:r>
      <w:r>
        <w:rPr>
          <w:spacing w:val="-5"/>
        </w:rPr>
        <w:t xml:space="preserve"> </w:t>
      </w:r>
      <w:r>
        <w:t>el</w:t>
      </w:r>
      <w:r>
        <w:rPr>
          <w:spacing w:val="-6"/>
        </w:rPr>
        <w:t xml:space="preserve"> </w:t>
      </w:r>
      <w:r>
        <w:t>3,6%</w:t>
      </w:r>
      <w:r>
        <w:rPr>
          <w:spacing w:val="-5"/>
        </w:rPr>
        <w:t xml:space="preserve"> </w:t>
      </w:r>
      <w:r>
        <w:t>de</w:t>
      </w:r>
      <w:r>
        <w:rPr>
          <w:spacing w:val="-4"/>
        </w:rPr>
        <w:t xml:space="preserve"> </w:t>
      </w:r>
      <w:r>
        <w:t>los</w:t>
      </w:r>
      <w:r>
        <w:rPr>
          <w:spacing w:val="-5"/>
        </w:rPr>
        <w:t xml:space="preserve"> </w:t>
      </w:r>
      <w:r>
        <w:t>hombres</w:t>
      </w:r>
      <w:r>
        <w:rPr>
          <w:spacing w:val="-6"/>
        </w:rPr>
        <w:t xml:space="preserve"> </w:t>
      </w:r>
      <w:r>
        <w:t>ocupó</w:t>
      </w:r>
      <w:r>
        <w:rPr>
          <w:spacing w:val="-5"/>
        </w:rPr>
        <w:t xml:space="preserve"> </w:t>
      </w:r>
      <w:r>
        <w:t>la</w:t>
      </w:r>
      <w:r>
        <w:rPr>
          <w:spacing w:val="-6"/>
        </w:rPr>
        <w:t xml:space="preserve"> </w:t>
      </w:r>
      <w:r>
        <w:t>mayor</w:t>
      </w:r>
      <w:r>
        <w:rPr>
          <w:spacing w:val="-4"/>
        </w:rPr>
        <w:t xml:space="preserve"> </w:t>
      </w:r>
      <w:r>
        <w:t>parte</w:t>
      </w:r>
      <w:r>
        <w:rPr>
          <w:spacing w:val="-4"/>
        </w:rPr>
        <w:t xml:space="preserve"> </w:t>
      </w:r>
      <w:r>
        <w:t>de</w:t>
      </w:r>
      <w:r>
        <w:rPr>
          <w:spacing w:val="-4"/>
        </w:rPr>
        <w:t xml:space="preserve"> </w:t>
      </w:r>
      <w:r>
        <w:t>su</w:t>
      </w:r>
      <w:r>
        <w:rPr>
          <w:spacing w:val="-6"/>
        </w:rPr>
        <w:t xml:space="preserve"> </w:t>
      </w:r>
      <w:r>
        <w:t>tiempo en una semana a oficios del hogar, en contraste con el 39,5% de las mujeres. En el caso de la población migrante venezolana que ocupó la mayor parte de su tiempo en una semana trabajando, el 76,3% fueron hombres</w:t>
      </w:r>
      <w:r>
        <w:rPr>
          <w:spacing w:val="-2"/>
        </w:rPr>
        <w:t xml:space="preserve"> </w:t>
      </w:r>
      <w:r>
        <w:t>y</w:t>
      </w:r>
      <w:r>
        <w:rPr>
          <w:spacing w:val="-2"/>
        </w:rPr>
        <w:t xml:space="preserve"> </w:t>
      </w:r>
      <w:r>
        <w:t>el</w:t>
      </w:r>
      <w:r>
        <w:rPr>
          <w:spacing w:val="-3"/>
        </w:rPr>
        <w:t xml:space="preserve"> </w:t>
      </w:r>
      <w:r>
        <w:t>40,7%</w:t>
      </w:r>
      <w:r>
        <w:rPr>
          <w:spacing w:val="-1"/>
        </w:rPr>
        <w:t xml:space="preserve"> </w:t>
      </w:r>
      <w:r>
        <w:t>mujeres,</w:t>
      </w:r>
      <w:r>
        <w:rPr>
          <w:spacing w:val="-3"/>
        </w:rPr>
        <w:t xml:space="preserve"> </w:t>
      </w:r>
      <w:r>
        <w:t>es</w:t>
      </w:r>
      <w:r>
        <w:rPr>
          <w:spacing w:val="-2"/>
        </w:rPr>
        <w:t xml:space="preserve"> </w:t>
      </w:r>
      <w:r>
        <w:t>decir,</w:t>
      </w:r>
      <w:r>
        <w:rPr>
          <w:spacing w:val="-3"/>
        </w:rPr>
        <w:t xml:space="preserve"> </w:t>
      </w:r>
      <w:r>
        <w:t>se</w:t>
      </w:r>
      <w:r>
        <w:rPr>
          <w:spacing w:val="-1"/>
        </w:rPr>
        <w:t xml:space="preserve"> </w:t>
      </w:r>
      <w:r>
        <w:t>presentó</w:t>
      </w:r>
      <w:r>
        <w:rPr>
          <w:spacing w:val="-1"/>
        </w:rPr>
        <w:t xml:space="preserve"> </w:t>
      </w:r>
      <w:r>
        <w:t>una</w:t>
      </w:r>
      <w:r>
        <w:rPr>
          <w:spacing w:val="-2"/>
        </w:rPr>
        <w:t xml:space="preserve"> </w:t>
      </w:r>
      <w:r>
        <w:t>diferencia</w:t>
      </w:r>
      <w:r>
        <w:rPr>
          <w:spacing w:val="-2"/>
        </w:rPr>
        <w:t xml:space="preserve"> </w:t>
      </w:r>
      <w:r>
        <w:t>de</w:t>
      </w:r>
      <w:r>
        <w:rPr>
          <w:spacing w:val="-1"/>
        </w:rPr>
        <w:t xml:space="preserve"> </w:t>
      </w:r>
      <w:r>
        <w:t>35,6 puntos porcentuales en favor de los hombres.</w:t>
      </w:r>
    </w:p>
    <w:p w14:paraId="03D39392" w14:textId="77777777" w:rsidR="000E52B0" w:rsidRDefault="00F60D74">
      <w:pPr>
        <w:pStyle w:val="Textoindependiente"/>
        <w:spacing w:before="161"/>
        <w:ind w:right="713"/>
        <w:jc w:val="both"/>
      </w:pPr>
      <w:r>
        <w:t>Esto contrasta, además, con el hecho de que las mujeres representan el 55% del total de la población que se gradúa de un pregrado y el 56% de quienes culminan un posgrado en el país</w:t>
      </w:r>
      <w:hyperlink w:anchor="_bookmark23" w:history="1">
        <w:r w:rsidR="000E52B0">
          <w:rPr>
            <w:position w:val="8"/>
            <w:sz w:val="16"/>
          </w:rPr>
          <w:t>18</w:t>
        </w:r>
      </w:hyperlink>
      <w:r>
        <w:t>. Además, son las mujeres quienes</w:t>
      </w:r>
      <w:r>
        <w:rPr>
          <w:spacing w:val="-6"/>
        </w:rPr>
        <w:t xml:space="preserve"> </w:t>
      </w:r>
      <w:r>
        <w:t>lideran</w:t>
      </w:r>
      <w:r>
        <w:rPr>
          <w:spacing w:val="-6"/>
        </w:rPr>
        <w:t xml:space="preserve"> </w:t>
      </w:r>
      <w:r>
        <w:t>la</w:t>
      </w:r>
      <w:r>
        <w:rPr>
          <w:spacing w:val="-7"/>
        </w:rPr>
        <w:t xml:space="preserve"> </w:t>
      </w:r>
      <w:r>
        <w:t>creación</w:t>
      </w:r>
      <w:r>
        <w:rPr>
          <w:spacing w:val="-7"/>
        </w:rPr>
        <w:t xml:space="preserve"> </w:t>
      </w:r>
      <w:r>
        <w:t>de</w:t>
      </w:r>
      <w:r>
        <w:rPr>
          <w:spacing w:val="-5"/>
        </w:rPr>
        <w:t xml:space="preserve"> </w:t>
      </w:r>
      <w:r>
        <w:t>empresas</w:t>
      </w:r>
      <w:r>
        <w:rPr>
          <w:spacing w:val="-7"/>
        </w:rPr>
        <w:t xml:space="preserve"> </w:t>
      </w:r>
      <w:r>
        <w:t>en</w:t>
      </w:r>
      <w:r>
        <w:rPr>
          <w:spacing w:val="-7"/>
        </w:rPr>
        <w:t xml:space="preserve"> </w:t>
      </w:r>
      <w:r>
        <w:t>Colombia,</w:t>
      </w:r>
      <w:r>
        <w:rPr>
          <w:spacing w:val="-7"/>
        </w:rPr>
        <w:t xml:space="preserve"> </w:t>
      </w:r>
      <w:r>
        <w:t>pues</w:t>
      </w:r>
      <w:r>
        <w:rPr>
          <w:spacing w:val="-4"/>
        </w:rPr>
        <w:t xml:space="preserve"> </w:t>
      </w:r>
      <w:r>
        <w:t>en</w:t>
      </w:r>
      <w:r>
        <w:rPr>
          <w:spacing w:val="-7"/>
        </w:rPr>
        <w:t xml:space="preserve"> </w:t>
      </w:r>
      <w:r>
        <w:t>el</w:t>
      </w:r>
      <w:r>
        <w:rPr>
          <w:spacing w:val="-7"/>
        </w:rPr>
        <w:t xml:space="preserve"> </w:t>
      </w:r>
      <w:r>
        <w:t>año</w:t>
      </w:r>
      <w:r>
        <w:rPr>
          <w:spacing w:val="-6"/>
        </w:rPr>
        <w:t xml:space="preserve"> </w:t>
      </w:r>
      <w:r>
        <w:t>2022 el 62,5% del total de empresas fueron creadas por mujeres</w:t>
      </w:r>
      <w:hyperlink w:anchor="_bookmark24" w:history="1">
        <w:r w:rsidR="000E52B0">
          <w:rPr>
            <w:position w:val="8"/>
            <w:sz w:val="16"/>
          </w:rPr>
          <w:t>19</w:t>
        </w:r>
      </w:hyperlink>
      <w:r>
        <w:t>. Pese a ello, solo</w:t>
      </w:r>
      <w:r>
        <w:rPr>
          <w:spacing w:val="-22"/>
        </w:rPr>
        <w:t xml:space="preserve"> </w:t>
      </w:r>
      <w:r>
        <w:t>el</w:t>
      </w:r>
      <w:r>
        <w:rPr>
          <w:spacing w:val="-21"/>
        </w:rPr>
        <w:t xml:space="preserve"> </w:t>
      </w:r>
      <w:r>
        <w:t>46,7%</w:t>
      </w:r>
      <w:r>
        <w:rPr>
          <w:spacing w:val="-21"/>
        </w:rPr>
        <w:t xml:space="preserve"> </w:t>
      </w:r>
      <w:r>
        <w:t>de</w:t>
      </w:r>
      <w:r>
        <w:rPr>
          <w:spacing w:val="-21"/>
        </w:rPr>
        <w:t xml:space="preserve"> </w:t>
      </w:r>
      <w:r>
        <w:t>las</w:t>
      </w:r>
      <w:r>
        <w:rPr>
          <w:spacing w:val="-21"/>
        </w:rPr>
        <w:t xml:space="preserve"> </w:t>
      </w:r>
      <w:r>
        <w:t>mujeres</w:t>
      </w:r>
      <w:r>
        <w:rPr>
          <w:spacing w:val="-21"/>
        </w:rPr>
        <w:t xml:space="preserve"> </w:t>
      </w:r>
      <w:r>
        <w:t>en</w:t>
      </w:r>
      <w:r>
        <w:rPr>
          <w:spacing w:val="-21"/>
        </w:rPr>
        <w:t xml:space="preserve"> </w:t>
      </w:r>
      <w:r>
        <w:t>Colombia</w:t>
      </w:r>
      <w:r>
        <w:rPr>
          <w:spacing w:val="-21"/>
        </w:rPr>
        <w:t xml:space="preserve"> </w:t>
      </w:r>
      <w:r>
        <w:t>tienen</w:t>
      </w:r>
      <w:r>
        <w:rPr>
          <w:spacing w:val="-21"/>
        </w:rPr>
        <w:t xml:space="preserve"> </w:t>
      </w:r>
      <w:r>
        <w:t>ingresos</w:t>
      </w:r>
      <w:r>
        <w:rPr>
          <w:spacing w:val="-21"/>
        </w:rPr>
        <w:t xml:space="preserve"> </w:t>
      </w:r>
      <w:r>
        <w:t>propios,</w:t>
      </w:r>
      <w:r>
        <w:rPr>
          <w:spacing w:val="-22"/>
        </w:rPr>
        <w:t xml:space="preserve"> </w:t>
      </w:r>
      <w:r>
        <w:t>mientras que el 70,1% de los hombres los tiene.</w:t>
      </w:r>
    </w:p>
    <w:p w14:paraId="66D0F4FE" w14:textId="77777777" w:rsidR="000E52B0" w:rsidRDefault="00F60D74">
      <w:pPr>
        <w:pStyle w:val="Textoindependiente"/>
        <w:spacing w:before="161"/>
        <w:ind w:right="714"/>
        <w:jc w:val="both"/>
      </w:pPr>
      <w:r>
        <w:t>Al no encontrar empleo o un salario digno en el mercado laboral, las mujeres</w:t>
      </w:r>
      <w:r>
        <w:rPr>
          <w:spacing w:val="-1"/>
        </w:rPr>
        <w:t xml:space="preserve"> </w:t>
      </w:r>
      <w:r>
        <w:t>encuentran en la informalidad una</w:t>
      </w:r>
      <w:r>
        <w:rPr>
          <w:spacing w:val="-1"/>
        </w:rPr>
        <w:t xml:space="preserve"> </w:t>
      </w:r>
      <w:r>
        <w:t>opción</w:t>
      </w:r>
      <w:r>
        <w:rPr>
          <w:spacing w:val="-1"/>
        </w:rPr>
        <w:t xml:space="preserve"> </w:t>
      </w:r>
      <w:r>
        <w:t>económica,</w:t>
      </w:r>
      <w:r>
        <w:rPr>
          <w:spacing w:val="-2"/>
        </w:rPr>
        <w:t xml:space="preserve"> </w:t>
      </w:r>
      <w:r>
        <w:t>siendo esta la mejor alternativa para seguir realizando las tareas de cuidado mientras obtienen ingresos, lo que pone de relieve la carga desproporcionada de trabajo</w:t>
      </w:r>
      <w:r>
        <w:rPr>
          <w:spacing w:val="-10"/>
        </w:rPr>
        <w:t xml:space="preserve"> </w:t>
      </w:r>
      <w:r>
        <w:t>remunerado</w:t>
      </w:r>
      <w:r>
        <w:rPr>
          <w:spacing w:val="-10"/>
        </w:rPr>
        <w:t xml:space="preserve"> </w:t>
      </w:r>
      <w:r>
        <w:t>y</w:t>
      </w:r>
      <w:r>
        <w:rPr>
          <w:spacing w:val="-10"/>
        </w:rPr>
        <w:t xml:space="preserve"> </w:t>
      </w:r>
      <w:r>
        <w:t>de</w:t>
      </w:r>
      <w:r>
        <w:rPr>
          <w:spacing w:val="-9"/>
        </w:rPr>
        <w:t xml:space="preserve"> </w:t>
      </w:r>
      <w:r>
        <w:t>cuidado</w:t>
      </w:r>
      <w:r>
        <w:rPr>
          <w:spacing w:val="-10"/>
        </w:rPr>
        <w:t xml:space="preserve"> </w:t>
      </w:r>
      <w:r>
        <w:t>que</w:t>
      </w:r>
      <w:r>
        <w:rPr>
          <w:spacing w:val="-9"/>
        </w:rPr>
        <w:t xml:space="preserve"> </w:t>
      </w:r>
      <w:r>
        <w:t>soportan.</w:t>
      </w:r>
      <w:r>
        <w:rPr>
          <w:spacing w:val="-11"/>
        </w:rPr>
        <w:t xml:space="preserve"> </w:t>
      </w:r>
      <w:r>
        <w:t>A</w:t>
      </w:r>
      <w:r>
        <w:rPr>
          <w:spacing w:val="-9"/>
        </w:rPr>
        <w:t xml:space="preserve"> </w:t>
      </w:r>
      <w:r>
        <w:t>esto</w:t>
      </w:r>
      <w:r>
        <w:rPr>
          <w:spacing w:val="-10"/>
        </w:rPr>
        <w:t xml:space="preserve"> </w:t>
      </w:r>
      <w:r>
        <w:t>se</w:t>
      </w:r>
      <w:r>
        <w:rPr>
          <w:spacing w:val="-9"/>
        </w:rPr>
        <w:t xml:space="preserve"> </w:t>
      </w:r>
      <w:r>
        <w:t>le</w:t>
      </w:r>
      <w:r>
        <w:rPr>
          <w:spacing w:val="-9"/>
        </w:rPr>
        <w:t xml:space="preserve"> </w:t>
      </w:r>
      <w:r>
        <w:t>suma</w:t>
      </w:r>
      <w:r>
        <w:rPr>
          <w:spacing w:val="-10"/>
        </w:rPr>
        <w:t xml:space="preserve"> </w:t>
      </w:r>
      <w:r>
        <w:t>que</w:t>
      </w:r>
      <w:r>
        <w:rPr>
          <w:spacing w:val="-9"/>
        </w:rPr>
        <w:t xml:space="preserve"> </w:t>
      </w:r>
      <w:r>
        <w:t>solo el</w:t>
      </w:r>
      <w:r>
        <w:rPr>
          <w:spacing w:val="-5"/>
        </w:rPr>
        <w:t xml:space="preserve"> </w:t>
      </w:r>
      <w:r>
        <w:t>22,4%</w:t>
      </w:r>
      <w:r>
        <w:rPr>
          <w:spacing w:val="-4"/>
        </w:rPr>
        <w:t xml:space="preserve"> </w:t>
      </w:r>
      <w:r>
        <w:t>de</w:t>
      </w:r>
      <w:r>
        <w:rPr>
          <w:spacing w:val="-3"/>
        </w:rPr>
        <w:t xml:space="preserve"> </w:t>
      </w:r>
      <w:r>
        <w:t>las</w:t>
      </w:r>
      <w:r>
        <w:rPr>
          <w:spacing w:val="-5"/>
        </w:rPr>
        <w:t xml:space="preserve"> </w:t>
      </w:r>
      <w:r>
        <w:t>mujeres</w:t>
      </w:r>
      <w:r>
        <w:rPr>
          <w:spacing w:val="-5"/>
        </w:rPr>
        <w:t xml:space="preserve"> </w:t>
      </w:r>
      <w:r>
        <w:t>mayores</w:t>
      </w:r>
      <w:r>
        <w:rPr>
          <w:spacing w:val="-5"/>
        </w:rPr>
        <w:t xml:space="preserve"> </w:t>
      </w:r>
      <w:r>
        <w:t>de</w:t>
      </w:r>
      <w:r>
        <w:rPr>
          <w:spacing w:val="-3"/>
        </w:rPr>
        <w:t xml:space="preserve"> </w:t>
      </w:r>
      <w:r>
        <w:t>57</w:t>
      </w:r>
      <w:r>
        <w:rPr>
          <w:spacing w:val="-6"/>
        </w:rPr>
        <w:t xml:space="preserve"> </w:t>
      </w:r>
      <w:r>
        <w:t>años</w:t>
      </w:r>
      <w:r>
        <w:rPr>
          <w:spacing w:val="-5"/>
        </w:rPr>
        <w:t xml:space="preserve"> </w:t>
      </w:r>
      <w:r>
        <w:t>tienen</w:t>
      </w:r>
      <w:r>
        <w:rPr>
          <w:spacing w:val="-4"/>
        </w:rPr>
        <w:t xml:space="preserve"> </w:t>
      </w:r>
      <w:r>
        <w:t>acceso</w:t>
      </w:r>
      <w:r>
        <w:rPr>
          <w:spacing w:val="-4"/>
        </w:rPr>
        <w:t xml:space="preserve"> </w:t>
      </w:r>
      <w:r>
        <w:t>a</w:t>
      </w:r>
      <w:r>
        <w:rPr>
          <w:spacing w:val="-4"/>
        </w:rPr>
        <w:t xml:space="preserve"> </w:t>
      </w:r>
      <w:r>
        <w:t>la</w:t>
      </w:r>
      <w:r>
        <w:rPr>
          <w:spacing w:val="-5"/>
        </w:rPr>
        <w:t xml:space="preserve"> </w:t>
      </w:r>
      <w:r>
        <w:t>pensión</w:t>
      </w:r>
      <w:hyperlink w:anchor="_bookmark25" w:history="1">
        <w:r w:rsidR="000E52B0">
          <w:rPr>
            <w:position w:val="8"/>
            <w:sz w:val="16"/>
          </w:rPr>
          <w:t>20</w:t>
        </w:r>
      </w:hyperlink>
      <w:r>
        <w:t>. Además, muchas de ellas recurren al acceso a créditos, entre los que se incluyen los microcréditos, que han derivado en la precarización de la situación</w:t>
      </w:r>
      <w:r>
        <w:rPr>
          <w:spacing w:val="-15"/>
        </w:rPr>
        <w:t xml:space="preserve"> </w:t>
      </w:r>
      <w:r>
        <w:t>económica</w:t>
      </w:r>
      <w:r>
        <w:rPr>
          <w:spacing w:val="-13"/>
        </w:rPr>
        <w:t xml:space="preserve"> </w:t>
      </w:r>
      <w:r>
        <w:t>de</w:t>
      </w:r>
      <w:r>
        <w:rPr>
          <w:spacing w:val="-14"/>
        </w:rPr>
        <w:t xml:space="preserve"> </w:t>
      </w:r>
      <w:r>
        <w:t>las</w:t>
      </w:r>
      <w:r>
        <w:rPr>
          <w:spacing w:val="-13"/>
        </w:rPr>
        <w:t xml:space="preserve"> </w:t>
      </w:r>
      <w:r>
        <w:t>mujeres</w:t>
      </w:r>
      <w:r>
        <w:rPr>
          <w:spacing w:val="-15"/>
        </w:rPr>
        <w:t xml:space="preserve"> </w:t>
      </w:r>
      <w:r>
        <w:t>mediante</w:t>
      </w:r>
      <w:r>
        <w:rPr>
          <w:spacing w:val="-14"/>
        </w:rPr>
        <w:t xml:space="preserve"> </w:t>
      </w:r>
      <w:r>
        <w:t>el</w:t>
      </w:r>
      <w:r>
        <w:rPr>
          <w:spacing w:val="-16"/>
        </w:rPr>
        <w:t xml:space="preserve"> </w:t>
      </w:r>
      <w:r>
        <w:t>endeudamiento.</w:t>
      </w:r>
      <w:r>
        <w:rPr>
          <w:spacing w:val="-16"/>
        </w:rPr>
        <w:t xml:space="preserve"> </w:t>
      </w:r>
      <w:r>
        <w:t>En</w:t>
      </w:r>
      <w:r>
        <w:rPr>
          <w:spacing w:val="-16"/>
        </w:rPr>
        <w:t xml:space="preserve"> </w:t>
      </w:r>
      <w:r>
        <w:t>el</w:t>
      </w:r>
      <w:r>
        <w:rPr>
          <w:spacing w:val="-16"/>
        </w:rPr>
        <w:t xml:space="preserve"> </w:t>
      </w:r>
      <w:r>
        <w:t>caso del sector informal, la proporción de mujeres ocupadas en este sector fue del 53% del total de mujeres ocupadas durante el trimestre de julio a septiembre de 2023</w:t>
      </w:r>
      <w:hyperlink w:anchor="_bookmark26" w:history="1">
        <w:r w:rsidR="000E52B0">
          <w:rPr>
            <w:position w:val="8"/>
            <w:sz w:val="16"/>
          </w:rPr>
          <w:t>21</w:t>
        </w:r>
      </w:hyperlink>
      <w:r>
        <w:t>.</w:t>
      </w:r>
    </w:p>
    <w:p w14:paraId="7953B3E0" w14:textId="77777777" w:rsidR="000E52B0" w:rsidRDefault="00F60D74">
      <w:pPr>
        <w:pStyle w:val="Textoindependiente"/>
        <w:spacing w:before="160"/>
        <w:ind w:right="719"/>
        <w:jc w:val="both"/>
      </w:pPr>
      <w:r>
        <w:t>Además, según la Encuesta Nacional de Uso del Tiempo</w:t>
      </w:r>
      <w:hyperlink w:anchor="_bookmark27" w:history="1">
        <w:r w:rsidR="000E52B0">
          <w:rPr>
            <w:position w:val="8"/>
            <w:sz w:val="16"/>
          </w:rPr>
          <w:t>22</w:t>
        </w:r>
      </w:hyperlink>
      <w:r>
        <w:rPr>
          <w:spacing w:val="40"/>
          <w:position w:val="8"/>
          <w:sz w:val="16"/>
        </w:rPr>
        <w:t xml:space="preserve"> </w:t>
      </w:r>
      <w:r>
        <w:t>la participación de mujeres en actividades de trabajo no remunerado entre septiembre de 2020</w:t>
      </w:r>
      <w:r>
        <w:rPr>
          <w:spacing w:val="-4"/>
        </w:rPr>
        <w:t xml:space="preserve"> </w:t>
      </w:r>
      <w:r>
        <w:t>y</w:t>
      </w:r>
      <w:r>
        <w:rPr>
          <w:spacing w:val="-6"/>
        </w:rPr>
        <w:t xml:space="preserve"> </w:t>
      </w:r>
      <w:r>
        <w:t>agosto</w:t>
      </w:r>
      <w:r>
        <w:rPr>
          <w:spacing w:val="-2"/>
        </w:rPr>
        <w:t xml:space="preserve"> </w:t>
      </w:r>
      <w:r>
        <w:t>de</w:t>
      </w:r>
      <w:r>
        <w:rPr>
          <w:spacing w:val="-4"/>
        </w:rPr>
        <w:t xml:space="preserve"> </w:t>
      </w:r>
      <w:r>
        <w:t>2021</w:t>
      </w:r>
      <w:r>
        <w:rPr>
          <w:spacing w:val="-4"/>
        </w:rPr>
        <w:t xml:space="preserve"> </w:t>
      </w:r>
      <w:r>
        <w:t>fue</w:t>
      </w:r>
      <w:r>
        <w:rPr>
          <w:spacing w:val="-4"/>
        </w:rPr>
        <w:t xml:space="preserve"> </w:t>
      </w:r>
      <w:r>
        <w:t>del</w:t>
      </w:r>
      <w:r>
        <w:rPr>
          <w:spacing w:val="-6"/>
        </w:rPr>
        <w:t xml:space="preserve"> </w:t>
      </w:r>
      <w:r>
        <w:t>90,3%,</w:t>
      </w:r>
      <w:r>
        <w:rPr>
          <w:spacing w:val="-3"/>
        </w:rPr>
        <w:t xml:space="preserve"> </w:t>
      </w:r>
      <w:r>
        <w:t>mientras</w:t>
      </w:r>
      <w:r>
        <w:rPr>
          <w:spacing w:val="-2"/>
        </w:rPr>
        <w:t xml:space="preserve"> </w:t>
      </w:r>
      <w:r>
        <w:t>que</w:t>
      </w:r>
      <w:r>
        <w:rPr>
          <w:spacing w:val="-2"/>
        </w:rPr>
        <w:t xml:space="preserve"> </w:t>
      </w:r>
      <w:r>
        <w:t>la</w:t>
      </w:r>
      <w:r>
        <w:rPr>
          <w:spacing w:val="-2"/>
        </w:rPr>
        <w:t xml:space="preserve"> </w:t>
      </w:r>
      <w:r>
        <w:t>de</w:t>
      </w:r>
      <w:r>
        <w:rPr>
          <w:spacing w:val="-4"/>
        </w:rPr>
        <w:t xml:space="preserve"> </w:t>
      </w:r>
      <w:r>
        <w:t>los</w:t>
      </w:r>
      <w:r>
        <w:rPr>
          <w:spacing w:val="-6"/>
        </w:rPr>
        <w:t xml:space="preserve"> </w:t>
      </w:r>
      <w:r>
        <w:t>hombres</w:t>
      </w:r>
      <w:r>
        <w:rPr>
          <w:spacing w:val="-6"/>
        </w:rPr>
        <w:t xml:space="preserve"> </w:t>
      </w:r>
      <w:r>
        <w:t>fue del 63%. En este mismo periodo, las mujeres destinaron en promedio 7 horas</w:t>
      </w:r>
      <w:r>
        <w:rPr>
          <w:spacing w:val="-17"/>
        </w:rPr>
        <w:t xml:space="preserve"> </w:t>
      </w:r>
      <w:r>
        <w:t>y</w:t>
      </w:r>
      <w:r>
        <w:rPr>
          <w:spacing w:val="-17"/>
        </w:rPr>
        <w:t xml:space="preserve"> </w:t>
      </w:r>
      <w:r>
        <w:t>44</w:t>
      </w:r>
      <w:r>
        <w:rPr>
          <w:spacing w:val="-18"/>
        </w:rPr>
        <w:t xml:space="preserve"> </w:t>
      </w:r>
      <w:r>
        <w:t>minutos</w:t>
      </w:r>
      <w:r>
        <w:rPr>
          <w:spacing w:val="-15"/>
        </w:rPr>
        <w:t xml:space="preserve"> </w:t>
      </w:r>
      <w:r>
        <w:t>en</w:t>
      </w:r>
      <w:r>
        <w:rPr>
          <w:spacing w:val="-18"/>
        </w:rPr>
        <w:t xml:space="preserve"> </w:t>
      </w:r>
      <w:r>
        <w:t>actividades</w:t>
      </w:r>
      <w:r>
        <w:rPr>
          <w:spacing w:val="-17"/>
        </w:rPr>
        <w:t xml:space="preserve"> </w:t>
      </w:r>
      <w:r>
        <w:t>de</w:t>
      </w:r>
      <w:r>
        <w:rPr>
          <w:spacing w:val="-16"/>
        </w:rPr>
        <w:t xml:space="preserve"> </w:t>
      </w:r>
      <w:r>
        <w:t>trabajo</w:t>
      </w:r>
      <w:r>
        <w:rPr>
          <w:spacing w:val="-16"/>
        </w:rPr>
        <w:t xml:space="preserve"> </w:t>
      </w:r>
      <w:r>
        <w:t>no</w:t>
      </w:r>
      <w:r>
        <w:rPr>
          <w:spacing w:val="-16"/>
        </w:rPr>
        <w:t xml:space="preserve"> </w:t>
      </w:r>
      <w:r>
        <w:t>remunerado,</w:t>
      </w:r>
      <w:r>
        <w:rPr>
          <w:spacing w:val="-17"/>
        </w:rPr>
        <w:t xml:space="preserve"> </w:t>
      </w:r>
      <w:r>
        <w:t>mientras</w:t>
      </w:r>
      <w:r>
        <w:rPr>
          <w:spacing w:val="-17"/>
        </w:rPr>
        <w:t xml:space="preserve"> </w:t>
      </w:r>
      <w:r>
        <w:t>que los</w:t>
      </w:r>
      <w:r>
        <w:rPr>
          <w:spacing w:val="12"/>
        </w:rPr>
        <w:t xml:space="preserve"> </w:t>
      </w:r>
      <w:r>
        <w:t>hombres</w:t>
      </w:r>
      <w:r>
        <w:rPr>
          <w:spacing w:val="12"/>
        </w:rPr>
        <w:t xml:space="preserve"> </w:t>
      </w:r>
      <w:r>
        <w:t>apenas</w:t>
      </w:r>
      <w:r>
        <w:rPr>
          <w:spacing w:val="15"/>
        </w:rPr>
        <w:t xml:space="preserve"> </w:t>
      </w:r>
      <w:r>
        <w:t>3</w:t>
      </w:r>
      <w:r>
        <w:rPr>
          <w:spacing w:val="13"/>
        </w:rPr>
        <w:t xml:space="preserve"> </w:t>
      </w:r>
      <w:r>
        <w:t>horas</w:t>
      </w:r>
      <w:r>
        <w:rPr>
          <w:spacing w:val="14"/>
        </w:rPr>
        <w:t xml:space="preserve"> </w:t>
      </w:r>
      <w:r>
        <w:t>y</w:t>
      </w:r>
      <w:r>
        <w:rPr>
          <w:spacing w:val="14"/>
        </w:rPr>
        <w:t xml:space="preserve"> </w:t>
      </w:r>
      <w:r>
        <w:t>6</w:t>
      </w:r>
      <w:r>
        <w:rPr>
          <w:spacing w:val="14"/>
        </w:rPr>
        <w:t xml:space="preserve"> </w:t>
      </w:r>
      <w:r>
        <w:t>minutos.</w:t>
      </w:r>
      <w:r>
        <w:rPr>
          <w:spacing w:val="11"/>
        </w:rPr>
        <w:t xml:space="preserve"> </w:t>
      </w:r>
      <w:r>
        <w:t>En</w:t>
      </w:r>
      <w:r>
        <w:rPr>
          <w:spacing w:val="14"/>
        </w:rPr>
        <w:t xml:space="preserve"> </w:t>
      </w:r>
      <w:r>
        <w:t>los</w:t>
      </w:r>
      <w:r>
        <w:rPr>
          <w:spacing w:val="14"/>
        </w:rPr>
        <w:t xml:space="preserve"> </w:t>
      </w:r>
      <w:r>
        <w:t>centros</w:t>
      </w:r>
      <w:r>
        <w:rPr>
          <w:spacing w:val="13"/>
        </w:rPr>
        <w:t xml:space="preserve"> </w:t>
      </w:r>
      <w:r>
        <w:t>poblados</w:t>
      </w:r>
      <w:r>
        <w:rPr>
          <w:spacing w:val="12"/>
        </w:rPr>
        <w:t xml:space="preserve"> </w:t>
      </w:r>
      <w:r>
        <w:t>y</w:t>
      </w:r>
      <w:r>
        <w:rPr>
          <w:spacing w:val="15"/>
        </w:rPr>
        <w:t xml:space="preserve"> </w:t>
      </w:r>
      <w:r>
        <w:rPr>
          <w:spacing w:val="-2"/>
        </w:rPr>
        <w:t>rural</w:t>
      </w:r>
    </w:p>
    <w:p w14:paraId="1B287F08" w14:textId="77777777" w:rsidR="000E52B0" w:rsidRDefault="00F60D74">
      <w:pPr>
        <w:pStyle w:val="Textoindependiente"/>
        <w:spacing w:before="75"/>
        <w:ind w:left="0"/>
        <w:rPr>
          <w:sz w:val="20"/>
        </w:rPr>
      </w:pPr>
      <w:r>
        <w:rPr>
          <w:noProof/>
          <w:sz w:val="20"/>
        </w:rPr>
        <mc:AlternateContent>
          <mc:Choice Requires="wps">
            <w:drawing>
              <wp:anchor distT="0" distB="0" distL="0" distR="0" simplePos="0" relativeHeight="487623680" behindDoc="1" locked="0" layoutInCell="1" allowOverlap="1" wp14:anchorId="042AE8C6" wp14:editId="7D30A0E2">
                <wp:simplePos x="0" y="0"/>
                <wp:positionH relativeFrom="page">
                  <wp:posOffset>914704</wp:posOffset>
                </wp:positionH>
                <wp:positionV relativeFrom="paragraph">
                  <wp:posOffset>217710</wp:posOffset>
                </wp:positionV>
                <wp:extent cx="1829435" cy="762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9C023D" id="Graphic 167" o:spid="_x0000_s1026" style="position:absolute;margin-left:1in;margin-top:17.15pt;width:144.05pt;height:.6pt;z-index:-156928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" path="m1829054,l,,,7620r1829054,l1829054,xe" fillcolor="black" stroked="f">
                <v:path arrowok="t"/>
                <w10:wrap type="topAndBottom" anchorx="page"/>
              </v:shape>
            </w:pict>
          </mc:Fallback>
        </mc:AlternateContent>
      </w:r>
    </w:p>
    <w:p w14:paraId="7B9E03AF" w14:textId="77777777" w:rsidR="000E52B0" w:rsidRDefault="00F60D74">
      <w:pPr>
        <w:spacing w:before="96" w:line="210" w:lineRule="exact"/>
        <w:ind w:left="720"/>
        <w:rPr>
          <w:rFonts w:ascii="Arial MT" w:hAnsi="Arial MT"/>
          <w:sz w:val="18"/>
        </w:rPr>
      </w:pPr>
      <w:bookmarkStart w:id="23" w:name="_bookmark23"/>
      <w:bookmarkEnd w:id="23"/>
      <w:r>
        <w:rPr>
          <w:rFonts w:ascii="Arial MT" w:hAnsi="Arial MT"/>
          <w:position w:val="6"/>
          <w:sz w:val="12"/>
        </w:rPr>
        <w:t>18</w:t>
      </w:r>
      <w:r>
        <w:rPr>
          <w:rFonts w:ascii="Arial MT" w:hAnsi="Arial MT"/>
          <w:spacing w:val="13"/>
          <w:position w:val="6"/>
          <w:sz w:val="12"/>
        </w:rPr>
        <w:t xml:space="preserve"> </w:t>
      </w:r>
      <w:proofErr w:type="gramStart"/>
      <w:r>
        <w:rPr>
          <w:rFonts w:ascii="Arial MT" w:hAnsi="Arial MT"/>
          <w:sz w:val="18"/>
        </w:rPr>
        <w:t>Observatorio</w:t>
      </w:r>
      <w:proofErr w:type="gramEnd"/>
      <w:r>
        <w:rPr>
          <w:rFonts w:ascii="Arial MT" w:hAnsi="Arial MT"/>
          <w:spacing w:val="-4"/>
          <w:sz w:val="18"/>
        </w:rPr>
        <w:t xml:space="preserve"> </w:t>
      </w:r>
      <w:r>
        <w:rPr>
          <w:rFonts w:ascii="Arial MT" w:hAnsi="Arial MT"/>
          <w:sz w:val="18"/>
        </w:rPr>
        <w:t>Laboral</w:t>
      </w:r>
      <w:r>
        <w:rPr>
          <w:rFonts w:ascii="Arial MT" w:hAnsi="Arial MT"/>
          <w:spacing w:val="-3"/>
          <w:sz w:val="18"/>
        </w:rPr>
        <w:t xml:space="preserve"> </w:t>
      </w:r>
      <w:r>
        <w:rPr>
          <w:rFonts w:ascii="Arial MT" w:hAnsi="Arial MT"/>
          <w:sz w:val="18"/>
        </w:rPr>
        <w:t>para</w:t>
      </w:r>
      <w:r>
        <w:rPr>
          <w:rFonts w:ascii="Arial MT" w:hAnsi="Arial MT"/>
          <w:spacing w:val="-4"/>
          <w:sz w:val="18"/>
        </w:rPr>
        <w:t xml:space="preserve"> </w:t>
      </w:r>
      <w:r>
        <w:rPr>
          <w:rFonts w:ascii="Arial MT" w:hAnsi="Arial MT"/>
          <w:sz w:val="18"/>
        </w:rPr>
        <w:t>la</w:t>
      </w:r>
      <w:r>
        <w:rPr>
          <w:rFonts w:ascii="Arial MT" w:hAnsi="Arial MT"/>
          <w:spacing w:val="-5"/>
          <w:sz w:val="18"/>
        </w:rPr>
        <w:t xml:space="preserve"> </w:t>
      </w:r>
      <w:r>
        <w:rPr>
          <w:rFonts w:ascii="Arial MT" w:hAnsi="Arial MT"/>
          <w:sz w:val="18"/>
        </w:rPr>
        <w:t>Educación,</w:t>
      </w:r>
      <w:r>
        <w:rPr>
          <w:rFonts w:ascii="Arial MT" w:hAnsi="Arial MT"/>
          <w:spacing w:val="-4"/>
          <w:sz w:val="18"/>
        </w:rPr>
        <w:t xml:space="preserve"> </w:t>
      </w:r>
      <w:r>
        <w:rPr>
          <w:rFonts w:ascii="Arial MT" w:hAnsi="Arial MT"/>
          <w:spacing w:val="-2"/>
          <w:sz w:val="18"/>
        </w:rPr>
        <w:t>2022.</w:t>
      </w:r>
    </w:p>
    <w:p w14:paraId="78005019" w14:textId="77777777" w:rsidR="000E52B0" w:rsidRDefault="00F60D74">
      <w:pPr>
        <w:spacing w:line="208" w:lineRule="exact"/>
        <w:ind w:left="720"/>
        <w:rPr>
          <w:rFonts w:ascii="Arial MT" w:hAnsi="Arial MT"/>
          <w:sz w:val="18"/>
        </w:rPr>
      </w:pPr>
      <w:bookmarkStart w:id="24" w:name="_bookmark24"/>
      <w:bookmarkEnd w:id="24"/>
      <w:r>
        <w:rPr>
          <w:rFonts w:ascii="Arial MT" w:hAnsi="Arial MT"/>
          <w:position w:val="6"/>
          <w:sz w:val="12"/>
        </w:rPr>
        <w:t>19</w:t>
      </w:r>
      <w:r>
        <w:rPr>
          <w:rFonts w:ascii="Arial MT" w:hAnsi="Arial MT"/>
          <w:spacing w:val="11"/>
          <w:position w:val="6"/>
          <w:sz w:val="12"/>
        </w:rPr>
        <w:t xml:space="preserve"> </w:t>
      </w:r>
      <w:r>
        <w:rPr>
          <w:rFonts w:ascii="Arial MT" w:hAnsi="Arial MT"/>
          <w:sz w:val="18"/>
        </w:rPr>
        <w:t>Confecámaras,</w:t>
      </w:r>
      <w:r>
        <w:rPr>
          <w:rFonts w:ascii="Arial MT" w:hAnsi="Arial MT"/>
          <w:spacing w:val="-5"/>
          <w:sz w:val="18"/>
        </w:rPr>
        <w:t xml:space="preserve"> </w:t>
      </w:r>
      <w:r>
        <w:rPr>
          <w:rFonts w:ascii="Arial MT" w:hAnsi="Arial MT"/>
          <w:spacing w:val="-4"/>
          <w:sz w:val="18"/>
        </w:rPr>
        <w:t>2023.</w:t>
      </w:r>
    </w:p>
    <w:p w14:paraId="3F0DD547" w14:textId="77777777" w:rsidR="000E52B0" w:rsidRDefault="00F60D74">
      <w:pPr>
        <w:ind w:left="720" w:right="724"/>
        <w:rPr>
          <w:rFonts w:ascii="Arial MT" w:hAnsi="Arial MT"/>
          <w:sz w:val="18"/>
        </w:rPr>
      </w:pPr>
      <w:bookmarkStart w:id="25" w:name="_bookmark25"/>
      <w:bookmarkEnd w:id="25"/>
      <w:r>
        <w:rPr>
          <w:rFonts w:ascii="Arial MT" w:hAnsi="Arial MT"/>
          <w:position w:val="6"/>
          <w:sz w:val="12"/>
        </w:rPr>
        <w:t>20</w:t>
      </w:r>
      <w:r>
        <w:rPr>
          <w:rFonts w:ascii="Arial MT" w:hAnsi="Arial MT"/>
          <w:spacing w:val="66"/>
          <w:position w:val="6"/>
          <w:sz w:val="12"/>
        </w:rPr>
        <w:t xml:space="preserve"> </w:t>
      </w:r>
      <w:r>
        <w:rPr>
          <w:rFonts w:ascii="Arial MT" w:hAnsi="Arial MT"/>
          <w:sz w:val="18"/>
        </w:rPr>
        <w:t>DANE.</w:t>
      </w:r>
      <w:r>
        <w:rPr>
          <w:rFonts w:ascii="Arial MT" w:hAnsi="Arial MT"/>
          <w:spacing w:val="40"/>
          <w:sz w:val="18"/>
        </w:rPr>
        <w:t xml:space="preserve"> </w:t>
      </w:r>
      <w:r>
        <w:rPr>
          <w:rFonts w:ascii="Arial MT" w:hAnsi="Arial MT"/>
          <w:sz w:val="18"/>
        </w:rPr>
        <w:t>(2021).</w:t>
      </w:r>
      <w:r>
        <w:rPr>
          <w:rFonts w:ascii="Arial MT" w:hAnsi="Arial MT"/>
          <w:spacing w:val="40"/>
          <w:sz w:val="18"/>
        </w:rPr>
        <w:t xml:space="preserve"> </w:t>
      </w:r>
      <w:r>
        <w:rPr>
          <w:rFonts w:ascii="Arial MT" w:hAnsi="Arial MT"/>
          <w:sz w:val="18"/>
        </w:rPr>
        <w:t>Personas</w:t>
      </w:r>
      <w:r>
        <w:rPr>
          <w:rFonts w:ascii="Arial MT" w:hAnsi="Arial MT"/>
          <w:spacing w:val="40"/>
          <w:sz w:val="18"/>
        </w:rPr>
        <w:t xml:space="preserve"> </w:t>
      </w:r>
      <w:r>
        <w:rPr>
          <w:rFonts w:ascii="Arial MT" w:hAnsi="Arial MT"/>
          <w:sz w:val="18"/>
        </w:rPr>
        <w:t>mayores</w:t>
      </w:r>
      <w:r>
        <w:rPr>
          <w:rFonts w:ascii="Arial MT" w:hAnsi="Arial MT"/>
          <w:spacing w:val="40"/>
          <w:sz w:val="18"/>
        </w:rPr>
        <w:t xml:space="preserve"> </w:t>
      </w:r>
      <w:r>
        <w:rPr>
          <w:rFonts w:ascii="Arial MT" w:hAnsi="Arial MT"/>
          <w:sz w:val="18"/>
        </w:rPr>
        <w:t>en</w:t>
      </w:r>
      <w:r>
        <w:rPr>
          <w:rFonts w:ascii="Arial MT" w:hAnsi="Arial MT"/>
          <w:spacing w:val="40"/>
          <w:sz w:val="18"/>
        </w:rPr>
        <w:t xml:space="preserve"> </w:t>
      </w:r>
      <w:r>
        <w:rPr>
          <w:rFonts w:ascii="Arial MT" w:hAnsi="Arial MT"/>
          <w:sz w:val="18"/>
        </w:rPr>
        <w:t>Colombia:</w:t>
      </w:r>
      <w:r>
        <w:rPr>
          <w:rFonts w:ascii="Arial MT" w:hAnsi="Arial MT"/>
          <w:spacing w:val="40"/>
          <w:sz w:val="18"/>
        </w:rPr>
        <w:t xml:space="preserve"> </w:t>
      </w:r>
      <w:r>
        <w:rPr>
          <w:rFonts w:ascii="Arial MT" w:hAnsi="Arial MT"/>
          <w:sz w:val="18"/>
        </w:rPr>
        <w:t>Hacia</w:t>
      </w:r>
      <w:r>
        <w:rPr>
          <w:rFonts w:ascii="Arial MT" w:hAnsi="Arial MT"/>
          <w:spacing w:val="40"/>
          <w:sz w:val="18"/>
        </w:rPr>
        <w:t xml:space="preserve"> </w:t>
      </w:r>
      <w:r>
        <w:rPr>
          <w:rFonts w:ascii="Arial MT" w:hAnsi="Arial MT"/>
          <w:sz w:val="18"/>
        </w:rPr>
        <w:t>la</w:t>
      </w:r>
      <w:r>
        <w:rPr>
          <w:rFonts w:ascii="Arial MT" w:hAnsi="Arial MT"/>
          <w:spacing w:val="40"/>
          <w:sz w:val="18"/>
        </w:rPr>
        <w:t xml:space="preserve"> </w:t>
      </w:r>
      <w:r>
        <w:rPr>
          <w:rFonts w:ascii="Arial MT" w:hAnsi="Arial MT"/>
          <w:sz w:val="18"/>
        </w:rPr>
        <w:t>inclusión</w:t>
      </w:r>
      <w:r>
        <w:rPr>
          <w:rFonts w:ascii="Arial MT" w:hAnsi="Arial MT"/>
          <w:spacing w:val="40"/>
          <w:sz w:val="18"/>
        </w:rPr>
        <w:t xml:space="preserve"> </w:t>
      </w:r>
      <w:r>
        <w:rPr>
          <w:rFonts w:ascii="Arial MT" w:hAnsi="Arial MT"/>
          <w:sz w:val="18"/>
        </w:rPr>
        <w:t>y</w:t>
      </w:r>
      <w:r>
        <w:rPr>
          <w:rFonts w:ascii="Arial MT" w:hAnsi="Arial MT"/>
          <w:spacing w:val="40"/>
          <w:sz w:val="18"/>
        </w:rPr>
        <w:t xml:space="preserve"> </w:t>
      </w:r>
      <w:r>
        <w:rPr>
          <w:rFonts w:ascii="Arial MT" w:hAnsi="Arial MT"/>
          <w:sz w:val="18"/>
        </w:rPr>
        <w:t>la</w:t>
      </w:r>
      <w:r>
        <w:rPr>
          <w:rFonts w:ascii="Arial MT" w:hAnsi="Arial MT"/>
          <w:spacing w:val="40"/>
          <w:sz w:val="18"/>
        </w:rPr>
        <w:t xml:space="preserve"> </w:t>
      </w:r>
      <w:r>
        <w:rPr>
          <w:rFonts w:ascii="Arial MT" w:hAnsi="Arial MT"/>
          <w:sz w:val="18"/>
        </w:rPr>
        <w:t>participación.</w:t>
      </w:r>
      <w:r>
        <w:rPr>
          <w:rFonts w:ascii="Arial MT" w:hAnsi="Arial MT"/>
          <w:spacing w:val="40"/>
          <w:sz w:val="18"/>
        </w:rPr>
        <w:t xml:space="preserve"> </w:t>
      </w:r>
      <w:r>
        <w:rPr>
          <w:rFonts w:ascii="Arial MT" w:hAnsi="Arial MT"/>
          <w:sz w:val="18"/>
        </w:rPr>
        <w:t>Nota</w:t>
      </w:r>
      <w:r>
        <w:rPr>
          <w:rFonts w:ascii="Arial MT" w:hAnsi="Arial MT"/>
          <w:spacing w:val="40"/>
          <w:sz w:val="18"/>
        </w:rPr>
        <w:t xml:space="preserve"> </w:t>
      </w:r>
      <w:r>
        <w:rPr>
          <w:rFonts w:ascii="Arial MT" w:hAnsi="Arial MT"/>
          <w:sz w:val="18"/>
        </w:rPr>
        <w:t xml:space="preserve">estadística. </w:t>
      </w:r>
      <w:hyperlink r:id="rId77">
        <w:r w:rsidR="000E52B0">
          <w:rPr>
            <w:rFonts w:ascii="Arial MT" w:hAnsi="Arial MT"/>
            <w:color w:val="E22C91"/>
            <w:spacing w:val="-2"/>
            <w:sz w:val="18"/>
            <w:u w:val="single" w:color="E22C91"/>
          </w:rPr>
          <w:t>https://www.dane.gov.co/files/investigaciones/notas-estadisticas/nov-2021-nota-estadistica-personas-mayores-</w:t>
        </w:r>
      </w:hyperlink>
      <w:r>
        <w:rPr>
          <w:rFonts w:ascii="Arial MT" w:hAnsi="Arial MT"/>
          <w:color w:val="E22C91"/>
          <w:spacing w:val="80"/>
          <w:sz w:val="18"/>
        </w:rPr>
        <w:t xml:space="preserve">  </w:t>
      </w:r>
      <w:hyperlink r:id="rId78">
        <w:r w:rsidR="000E52B0">
          <w:rPr>
            <w:rFonts w:ascii="Arial MT" w:hAnsi="Arial MT"/>
            <w:color w:val="E22C91"/>
            <w:spacing w:val="-2"/>
            <w:sz w:val="18"/>
            <w:u w:val="single" w:color="E22C91"/>
          </w:rPr>
          <w:t>en-colombia.pdf</w:t>
        </w:r>
      </w:hyperlink>
    </w:p>
    <w:p w14:paraId="10BBEAEC" w14:textId="77777777" w:rsidR="000E52B0" w:rsidRDefault="00F60D74">
      <w:pPr>
        <w:tabs>
          <w:tab w:val="left" w:pos="1255"/>
          <w:tab w:val="left" w:pos="2205"/>
          <w:tab w:val="left" w:pos="3177"/>
          <w:tab w:val="left" w:pos="4625"/>
          <w:tab w:val="left" w:pos="5225"/>
          <w:tab w:val="left" w:pos="6294"/>
          <w:tab w:val="left" w:pos="7501"/>
          <w:tab w:val="left" w:pos="8001"/>
          <w:tab w:val="left" w:pos="9300"/>
        </w:tabs>
        <w:spacing w:line="207" w:lineRule="exact"/>
        <w:ind w:left="720"/>
        <w:rPr>
          <w:rFonts w:ascii="Arial MT" w:hAnsi="Arial MT"/>
          <w:sz w:val="18"/>
        </w:rPr>
      </w:pPr>
      <w:bookmarkStart w:id="26" w:name="_bookmark26"/>
      <w:bookmarkEnd w:id="26"/>
      <w:r>
        <w:rPr>
          <w:rFonts w:ascii="Arial MT" w:hAnsi="Arial MT"/>
          <w:spacing w:val="-5"/>
          <w:position w:val="6"/>
          <w:sz w:val="12"/>
        </w:rPr>
        <w:t>21</w:t>
      </w:r>
      <w:r>
        <w:rPr>
          <w:rFonts w:ascii="Arial MT" w:hAnsi="Arial MT"/>
          <w:position w:val="6"/>
          <w:sz w:val="12"/>
        </w:rPr>
        <w:tab/>
      </w:r>
      <w:r>
        <w:rPr>
          <w:rFonts w:ascii="Arial MT" w:hAnsi="Arial MT"/>
          <w:spacing w:val="-2"/>
          <w:sz w:val="18"/>
        </w:rPr>
        <w:t>DANE.</w:t>
      </w:r>
      <w:r>
        <w:rPr>
          <w:rFonts w:ascii="Arial MT" w:hAnsi="Arial MT"/>
          <w:sz w:val="18"/>
        </w:rPr>
        <w:tab/>
      </w:r>
      <w:r>
        <w:rPr>
          <w:rFonts w:ascii="Arial MT" w:hAnsi="Arial MT"/>
          <w:spacing w:val="-2"/>
          <w:sz w:val="18"/>
        </w:rPr>
        <w:t>(2023).</w:t>
      </w:r>
      <w:r>
        <w:rPr>
          <w:rFonts w:ascii="Arial MT" w:hAnsi="Arial MT"/>
          <w:sz w:val="18"/>
        </w:rPr>
        <w:tab/>
      </w:r>
      <w:r>
        <w:rPr>
          <w:rFonts w:ascii="Arial MT" w:hAnsi="Arial MT"/>
          <w:spacing w:val="-2"/>
          <w:sz w:val="18"/>
        </w:rPr>
        <w:t>Presentación</w:t>
      </w:r>
      <w:r>
        <w:rPr>
          <w:rFonts w:ascii="Arial MT" w:hAnsi="Arial MT"/>
          <w:sz w:val="18"/>
        </w:rPr>
        <w:tab/>
      </w:r>
      <w:r>
        <w:rPr>
          <w:rFonts w:ascii="Arial MT" w:hAnsi="Arial MT"/>
          <w:spacing w:val="-5"/>
          <w:sz w:val="18"/>
        </w:rPr>
        <w:t>de</w:t>
      </w:r>
      <w:r>
        <w:rPr>
          <w:rFonts w:ascii="Arial MT" w:hAnsi="Arial MT"/>
          <w:sz w:val="18"/>
        </w:rPr>
        <w:tab/>
      </w:r>
      <w:r>
        <w:rPr>
          <w:rFonts w:ascii="Arial MT" w:hAnsi="Arial MT"/>
          <w:spacing w:val="-2"/>
          <w:sz w:val="18"/>
        </w:rPr>
        <w:t>Pobreza</w:t>
      </w:r>
      <w:r>
        <w:rPr>
          <w:rFonts w:ascii="Arial MT" w:hAnsi="Arial MT"/>
          <w:sz w:val="18"/>
        </w:rPr>
        <w:tab/>
      </w:r>
      <w:r>
        <w:rPr>
          <w:rFonts w:ascii="Arial MT" w:hAnsi="Arial MT"/>
          <w:spacing w:val="-2"/>
          <w:sz w:val="18"/>
        </w:rPr>
        <w:t>Monetaria</w:t>
      </w:r>
      <w:r>
        <w:rPr>
          <w:rFonts w:ascii="Arial MT" w:hAnsi="Arial MT"/>
          <w:sz w:val="18"/>
        </w:rPr>
        <w:tab/>
      </w:r>
      <w:r>
        <w:rPr>
          <w:rFonts w:ascii="Arial MT" w:hAnsi="Arial MT"/>
          <w:spacing w:val="-10"/>
          <w:sz w:val="18"/>
        </w:rPr>
        <w:t>–</w:t>
      </w:r>
      <w:r>
        <w:rPr>
          <w:rFonts w:ascii="Arial MT" w:hAnsi="Arial MT"/>
          <w:sz w:val="18"/>
        </w:rPr>
        <w:tab/>
      </w:r>
      <w:r>
        <w:rPr>
          <w:rFonts w:ascii="Arial MT" w:hAnsi="Arial MT"/>
          <w:spacing w:val="-2"/>
          <w:sz w:val="18"/>
        </w:rPr>
        <w:t>Resultados</w:t>
      </w:r>
      <w:r>
        <w:rPr>
          <w:rFonts w:ascii="Arial MT" w:hAnsi="Arial MT"/>
          <w:sz w:val="18"/>
        </w:rPr>
        <w:tab/>
      </w:r>
      <w:r>
        <w:rPr>
          <w:rFonts w:ascii="Arial MT" w:hAnsi="Arial MT"/>
          <w:spacing w:val="-2"/>
          <w:sz w:val="18"/>
        </w:rPr>
        <w:t>2022.</w:t>
      </w:r>
    </w:p>
    <w:bookmarkStart w:id="27" w:name="_bookmark27"/>
    <w:bookmarkEnd w:id="27"/>
    <w:p w14:paraId="14302951" w14:textId="77777777" w:rsidR="000E52B0" w:rsidRDefault="00F60D74">
      <w:pPr>
        <w:spacing w:line="204" w:lineRule="exact"/>
        <w:ind w:left="720"/>
        <w:rPr>
          <w:rFonts w:ascii="Arial MT"/>
          <w:sz w:val="18"/>
        </w:rPr>
      </w:pPr>
      <w:r>
        <w:fldChar w:fldCharType="begin"/>
      </w:r>
      <w:r>
        <w:instrText>HYPERLINK "https://www.dane.gov.co/files/operaciones/PM/pres-PM-2022.pdf" \h</w:instrText>
      </w:r>
      <w:r>
        <w:fldChar w:fldCharType="separate"/>
      </w:r>
      <w:r>
        <w:rPr>
          <w:rFonts w:ascii="Arial MT"/>
          <w:color w:val="E22C91"/>
          <w:spacing w:val="-2"/>
          <w:sz w:val="18"/>
          <w:u w:val="single" w:color="E22C91"/>
        </w:rPr>
        <w:t>https://www.dane.gov.co/files/operaciones/PM/pres-PM-2022.pdf</w:t>
      </w:r>
      <w:r>
        <w:fldChar w:fldCharType="end"/>
      </w:r>
    </w:p>
    <w:p w14:paraId="16ADCA24" w14:textId="77777777" w:rsidR="000E52B0" w:rsidRDefault="00F60D74">
      <w:pPr>
        <w:tabs>
          <w:tab w:val="left" w:pos="4155"/>
          <w:tab w:val="left" w:pos="9004"/>
          <w:tab w:val="left" w:pos="9301"/>
        </w:tabs>
        <w:spacing w:line="208" w:lineRule="exact"/>
        <w:ind w:left="720"/>
        <w:rPr>
          <w:rFonts w:ascii="Arial MT" w:hAnsi="Arial MT"/>
          <w:sz w:val="18"/>
        </w:rPr>
      </w:pPr>
      <w:proofErr w:type="gramStart"/>
      <w:r>
        <w:rPr>
          <w:rFonts w:ascii="Arial MT" w:hAnsi="Arial MT"/>
          <w:position w:val="6"/>
          <w:sz w:val="12"/>
        </w:rPr>
        <w:t>22</w:t>
      </w:r>
      <w:r>
        <w:rPr>
          <w:rFonts w:ascii="Arial MT" w:hAnsi="Arial MT"/>
          <w:spacing w:val="63"/>
          <w:position w:val="6"/>
          <w:sz w:val="12"/>
        </w:rPr>
        <w:t xml:space="preserve">  </w:t>
      </w:r>
      <w:r>
        <w:rPr>
          <w:rFonts w:ascii="Arial MT" w:hAnsi="Arial MT"/>
          <w:sz w:val="18"/>
        </w:rPr>
        <w:t>DANE</w:t>
      </w:r>
      <w:proofErr w:type="gramEnd"/>
      <w:r>
        <w:rPr>
          <w:rFonts w:ascii="Arial MT" w:hAnsi="Arial MT"/>
          <w:sz w:val="18"/>
        </w:rPr>
        <w:t>.</w:t>
      </w:r>
      <w:r>
        <w:rPr>
          <w:rFonts w:ascii="Arial MT" w:hAnsi="Arial MT"/>
          <w:spacing w:val="46"/>
          <w:sz w:val="18"/>
        </w:rPr>
        <w:t xml:space="preserve">  </w:t>
      </w:r>
      <w:r>
        <w:rPr>
          <w:rFonts w:ascii="Arial MT" w:hAnsi="Arial MT"/>
          <w:sz w:val="18"/>
        </w:rPr>
        <w:t>(2022).</w:t>
      </w:r>
      <w:r>
        <w:rPr>
          <w:rFonts w:ascii="Arial MT" w:hAnsi="Arial MT"/>
          <w:spacing w:val="47"/>
          <w:sz w:val="18"/>
        </w:rPr>
        <w:t xml:space="preserve">  </w:t>
      </w:r>
      <w:proofErr w:type="gramStart"/>
      <w:r>
        <w:rPr>
          <w:rFonts w:ascii="Arial MT" w:hAnsi="Arial MT"/>
          <w:sz w:val="18"/>
        </w:rPr>
        <w:t>Boletín</w:t>
      </w:r>
      <w:r>
        <w:rPr>
          <w:rFonts w:ascii="Arial MT" w:hAnsi="Arial MT"/>
          <w:spacing w:val="45"/>
          <w:sz w:val="18"/>
        </w:rPr>
        <w:t xml:space="preserve">  </w:t>
      </w:r>
      <w:r>
        <w:rPr>
          <w:rFonts w:ascii="Arial MT" w:hAnsi="Arial MT"/>
          <w:spacing w:val="-2"/>
          <w:sz w:val="18"/>
        </w:rPr>
        <w:t>Técnico</w:t>
      </w:r>
      <w:proofErr w:type="gramEnd"/>
      <w:r>
        <w:rPr>
          <w:rFonts w:ascii="Arial MT" w:hAnsi="Arial MT"/>
          <w:sz w:val="18"/>
        </w:rPr>
        <w:tab/>
      </w:r>
      <w:proofErr w:type="gramStart"/>
      <w:r>
        <w:rPr>
          <w:rFonts w:ascii="Arial MT" w:hAnsi="Arial MT"/>
          <w:sz w:val="18"/>
        </w:rPr>
        <w:t>-</w:t>
      </w:r>
      <w:r>
        <w:rPr>
          <w:rFonts w:ascii="Arial MT" w:hAnsi="Arial MT"/>
          <w:spacing w:val="46"/>
          <w:sz w:val="18"/>
        </w:rPr>
        <w:t xml:space="preserve">  </w:t>
      </w:r>
      <w:r>
        <w:rPr>
          <w:rFonts w:ascii="Arial MT" w:hAnsi="Arial MT"/>
          <w:sz w:val="18"/>
        </w:rPr>
        <w:t>Encuesta</w:t>
      </w:r>
      <w:proofErr w:type="gramEnd"/>
      <w:r>
        <w:rPr>
          <w:rFonts w:ascii="Arial MT" w:hAnsi="Arial MT"/>
          <w:spacing w:val="47"/>
          <w:sz w:val="18"/>
        </w:rPr>
        <w:t xml:space="preserve">  </w:t>
      </w:r>
      <w:proofErr w:type="gramStart"/>
      <w:r>
        <w:rPr>
          <w:rFonts w:ascii="Arial MT" w:hAnsi="Arial MT"/>
          <w:sz w:val="18"/>
        </w:rPr>
        <w:t>Nacional</w:t>
      </w:r>
      <w:r>
        <w:rPr>
          <w:rFonts w:ascii="Arial MT" w:hAnsi="Arial MT"/>
          <w:spacing w:val="47"/>
          <w:sz w:val="18"/>
        </w:rPr>
        <w:t xml:space="preserve">  </w:t>
      </w:r>
      <w:r>
        <w:rPr>
          <w:rFonts w:ascii="Arial MT" w:hAnsi="Arial MT"/>
          <w:sz w:val="18"/>
        </w:rPr>
        <w:t>de</w:t>
      </w:r>
      <w:proofErr w:type="gramEnd"/>
      <w:r>
        <w:rPr>
          <w:rFonts w:ascii="Arial MT" w:hAnsi="Arial MT"/>
          <w:spacing w:val="47"/>
          <w:sz w:val="18"/>
        </w:rPr>
        <w:t xml:space="preserve">  </w:t>
      </w:r>
      <w:proofErr w:type="gramStart"/>
      <w:r>
        <w:rPr>
          <w:rFonts w:ascii="Arial MT" w:hAnsi="Arial MT"/>
          <w:sz w:val="18"/>
        </w:rPr>
        <w:t>Uso</w:t>
      </w:r>
      <w:r>
        <w:rPr>
          <w:rFonts w:ascii="Arial MT" w:hAnsi="Arial MT"/>
          <w:spacing w:val="48"/>
          <w:sz w:val="18"/>
        </w:rPr>
        <w:t xml:space="preserve">  </w:t>
      </w:r>
      <w:r>
        <w:rPr>
          <w:rFonts w:ascii="Arial MT" w:hAnsi="Arial MT"/>
          <w:sz w:val="18"/>
        </w:rPr>
        <w:t>del</w:t>
      </w:r>
      <w:proofErr w:type="gramEnd"/>
      <w:r>
        <w:rPr>
          <w:rFonts w:ascii="Arial MT" w:hAnsi="Arial MT"/>
          <w:spacing w:val="47"/>
          <w:sz w:val="18"/>
        </w:rPr>
        <w:t xml:space="preserve">  </w:t>
      </w:r>
      <w:proofErr w:type="gramStart"/>
      <w:r>
        <w:rPr>
          <w:rFonts w:ascii="Arial MT" w:hAnsi="Arial MT"/>
          <w:sz w:val="18"/>
        </w:rPr>
        <w:t>Tiempo</w:t>
      </w:r>
      <w:r>
        <w:rPr>
          <w:rFonts w:ascii="Arial MT" w:hAnsi="Arial MT"/>
          <w:spacing w:val="47"/>
          <w:sz w:val="18"/>
        </w:rPr>
        <w:t xml:space="preserve">  </w:t>
      </w:r>
      <w:r>
        <w:rPr>
          <w:rFonts w:ascii="Arial MT" w:hAnsi="Arial MT"/>
          <w:spacing w:val="-4"/>
          <w:sz w:val="18"/>
        </w:rPr>
        <w:t>2020</w:t>
      </w:r>
      <w:proofErr w:type="gramEnd"/>
      <w:r>
        <w:rPr>
          <w:rFonts w:ascii="Arial MT" w:hAnsi="Arial MT"/>
          <w:sz w:val="18"/>
        </w:rPr>
        <w:tab/>
      </w:r>
      <w:r>
        <w:rPr>
          <w:rFonts w:ascii="Arial MT" w:hAnsi="Arial MT"/>
          <w:spacing w:val="-10"/>
          <w:sz w:val="18"/>
        </w:rPr>
        <w:t>–</w:t>
      </w:r>
      <w:r>
        <w:rPr>
          <w:rFonts w:ascii="Times New Roman" w:hAnsi="Times New Roman"/>
          <w:sz w:val="18"/>
        </w:rPr>
        <w:tab/>
      </w:r>
      <w:r>
        <w:rPr>
          <w:rFonts w:ascii="Arial MT" w:hAnsi="Arial MT"/>
          <w:spacing w:val="-2"/>
          <w:sz w:val="18"/>
        </w:rPr>
        <w:t>2021.</w:t>
      </w:r>
    </w:p>
    <w:p w14:paraId="24308605" w14:textId="77777777" w:rsidR="000E52B0" w:rsidRDefault="000E52B0">
      <w:pPr>
        <w:ind w:left="720" w:right="794"/>
        <w:rPr>
          <w:rFonts w:ascii="Arial MT"/>
          <w:sz w:val="18"/>
        </w:rPr>
      </w:pPr>
      <w:hyperlink r:id="rId79">
        <w:r>
          <w:rPr>
            <w:rFonts w:ascii="Arial MT"/>
            <w:color w:val="E22C91"/>
            <w:spacing w:val="-2"/>
            <w:sz w:val="18"/>
            <w:u w:val="single" w:color="E22C91"/>
          </w:rPr>
          <w:t>https://www.dane.gov.co/index.php/estadisticas-por-tema/pobreza-y-condiciones-de-vida/encuesta-nacional-del-</w:t>
        </w:r>
      </w:hyperlink>
      <w:r>
        <w:rPr>
          <w:rFonts w:ascii="Arial MT"/>
          <w:color w:val="E22C91"/>
          <w:spacing w:val="-2"/>
          <w:sz w:val="18"/>
        </w:rPr>
        <w:t xml:space="preserve"> </w:t>
      </w:r>
      <w:hyperlink r:id="rId80">
        <w:r>
          <w:rPr>
            <w:rFonts w:ascii="Arial MT"/>
            <w:color w:val="E22C91"/>
            <w:spacing w:val="-2"/>
            <w:sz w:val="18"/>
            <w:u w:val="single" w:color="E22C91"/>
          </w:rPr>
          <w:t>uso-del-tiempo-</w:t>
        </w:r>
        <w:proofErr w:type="spellStart"/>
        <w:r>
          <w:rPr>
            <w:rFonts w:ascii="Arial MT"/>
            <w:color w:val="E22C91"/>
            <w:spacing w:val="-2"/>
            <w:sz w:val="18"/>
            <w:u w:val="single" w:color="E22C91"/>
          </w:rPr>
          <w:t>enut</w:t>
        </w:r>
        <w:proofErr w:type="spellEnd"/>
      </w:hyperlink>
    </w:p>
    <w:p w14:paraId="74923778" w14:textId="77777777" w:rsidR="000E52B0" w:rsidRDefault="000E52B0">
      <w:pPr>
        <w:rPr>
          <w:rFonts w:ascii="Arial MT"/>
          <w:sz w:val="18"/>
        </w:rPr>
        <w:sectPr w:rsidR="000E52B0">
          <w:pgSz w:w="11910" w:h="16840"/>
          <w:pgMar w:top="1340" w:right="720" w:bottom="1180" w:left="720" w:header="0" w:footer="995" w:gutter="0"/>
          <w:cols w:space="720"/>
        </w:sectPr>
      </w:pPr>
    </w:p>
    <w:p w14:paraId="2866E5A4" w14:textId="77777777" w:rsidR="000E52B0" w:rsidRDefault="00F60D74">
      <w:pPr>
        <w:pStyle w:val="Textoindependiente"/>
        <w:spacing w:before="83"/>
        <w:ind w:right="720"/>
        <w:jc w:val="both"/>
      </w:pPr>
      <w:r>
        <w:lastRenderedPageBreak/>
        <w:t>disperso la brecha es mayor, ya que las mujeres emplean 8 horas y 33 minutos en actividades de trabajo no remunerado, mientras los hombres emplean 3 horas.</w:t>
      </w:r>
    </w:p>
    <w:p w14:paraId="0E847F8D" w14:textId="77777777" w:rsidR="000E52B0" w:rsidRDefault="00F60D74">
      <w:pPr>
        <w:pStyle w:val="Textoindependiente"/>
        <w:spacing w:before="159"/>
        <w:ind w:right="716"/>
        <w:jc w:val="both"/>
      </w:pPr>
      <w:r>
        <w:t>Además,</w:t>
      </w:r>
      <w:r>
        <w:rPr>
          <w:spacing w:val="-5"/>
        </w:rPr>
        <w:t xml:space="preserve"> </w:t>
      </w:r>
      <w:r>
        <w:t>respecto</w:t>
      </w:r>
      <w:r>
        <w:rPr>
          <w:spacing w:val="-6"/>
        </w:rPr>
        <w:t xml:space="preserve"> </w:t>
      </w:r>
      <w:r>
        <w:t>a</w:t>
      </w:r>
      <w:r>
        <w:rPr>
          <w:spacing w:val="-4"/>
        </w:rPr>
        <w:t xml:space="preserve"> </w:t>
      </w:r>
      <w:r>
        <w:t>las</w:t>
      </w:r>
      <w:r>
        <w:rPr>
          <w:spacing w:val="-4"/>
        </w:rPr>
        <w:t xml:space="preserve"> </w:t>
      </w:r>
      <w:r>
        <w:t>actividades</w:t>
      </w:r>
      <w:r>
        <w:rPr>
          <w:spacing w:val="-4"/>
        </w:rPr>
        <w:t xml:space="preserve"> </w:t>
      </w:r>
      <w:r>
        <w:t>de</w:t>
      </w:r>
      <w:r>
        <w:rPr>
          <w:spacing w:val="-5"/>
        </w:rPr>
        <w:t xml:space="preserve"> </w:t>
      </w:r>
      <w:r>
        <w:t>cuidado</w:t>
      </w:r>
      <w:r>
        <w:rPr>
          <w:spacing w:val="-3"/>
        </w:rPr>
        <w:t xml:space="preserve"> </w:t>
      </w:r>
      <w:r>
        <w:t>remunerado,</w:t>
      </w:r>
      <w:r>
        <w:rPr>
          <w:spacing w:val="-7"/>
        </w:rPr>
        <w:t xml:space="preserve"> </w:t>
      </w:r>
      <w:r>
        <w:t>según</w:t>
      </w:r>
      <w:r>
        <w:rPr>
          <w:spacing w:val="-5"/>
        </w:rPr>
        <w:t xml:space="preserve"> </w:t>
      </w:r>
      <w:r>
        <w:t>la</w:t>
      </w:r>
      <w:r>
        <w:rPr>
          <w:spacing w:val="-5"/>
        </w:rPr>
        <w:t xml:space="preserve"> </w:t>
      </w:r>
      <w:r>
        <w:t>Gran Encuesta Integrada de Hogares, en el 2019 las mujeres representaban el 94%</w:t>
      </w:r>
      <w:r>
        <w:rPr>
          <w:spacing w:val="-8"/>
        </w:rPr>
        <w:t xml:space="preserve"> </w:t>
      </w:r>
      <w:r>
        <w:t>del</w:t>
      </w:r>
      <w:r>
        <w:rPr>
          <w:spacing w:val="-10"/>
        </w:rPr>
        <w:t xml:space="preserve"> </w:t>
      </w:r>
      <w:r>
        <w:t>total</w:t>
      </w:r>
      <w:r>
        <w:rPr>
          <w:spacing w:val="-8"/>
        </w:rPr>
        <w:t xml:space="preserve"> </w:t>
      </w:r>
      <w:r>
        <w:t>de</w:t>
      </w:r>
      <w:r>
        <w:rPr>
          <w:spacing w:val="-5"/>
        </w:rPr>
        <w:t xml:space="preserve"> </w:t>
      </w:r>
      <w:r>
        <w:t>la</w:t>
      </w:r>
      <w:r>
        <w:rPr>
          <w:spacing w:val="-7"/>
        </w:rPr>
        <w:t xml:space="preserve"> </w:t>
      </w:r>
      <w:r>
        <w:t>población</w:t>
      </w:r>
      <w:r>
        <w:rPr>
          <w:spacing w:val="-7"/>
        </w:rPr>
        <w:t xml:space="preserve"> </w:t>
      </w:r>
      <w:r>
        <w:t>que</w:t>
      </w:r>
      <w:r>
        <w:rPr>
          <w:spacing w:val="-5"/>
        </w:rPr>
        <w:t xml:space="preserve"> </w:t>
      </w:r>
      <w:r>
        <w:t>se</w:t>
      </w:r>
      <w:r>
        <w:rPr>
          <w:spacing w:val="-8"/>
        </w:rPr>
        <w:t xml:space="preserve"> </w:t>
      </w:r>
      <w:r>
        <w:t>dedica</w:t>
      </w:r>
      <w:r>
        <w:rPr>
          <w:spacing w:val="-6"/>
        </w:rPr>
        <w:t xml:space="preserve"> </w:t>
      </w:r>
      <w:r>
        <w:t>al</w:t>
      </w:r>
      <w:r>
        <w:rPr>
          <w:spacing w:val="-8"/>
        </w:rPr>
        <w:t xml:space="preserve"> </w:t>
      </w:r>
      <w:r>
        <w:t>servicio</w:t>
      </w:r>
      <w:r>
        <w:rPr>
          <w:spacing w:val="-6"/>
        </w:rPr>
        <w:t xml:space="preserve"> </w:t>
      </w:r>
      <w:r>
        <w:t>doméstico.</w:t>
      </w:r>
      <w:r>
        <w:rPr>
          <w:spacing w:val="-10"/>
        </w:rPr>
        <w:t xml:space="preserve"> </w:t>
      </w:r>
      <w:r>
        <w:t>Del</w:t>
      </w:r>
      <w:r>
        <w:rPr>
          <w:spacing w:val="-7"/>
        </w:rPr>
        <w:t xml:space="preserve"> </w:t>
      </w:r>
      <w:r>
        <w:t>total de mujeres que son trabajadoras domésticas, el 62% gana un salario mínimo o menos, y apenas el 17 % tiene seguridad social</w:t>
      </w:r>
      <w:hyperlink w:anchor="_bookmark28" w:history="1">
        <w:r w:rsidR="000E52B0">
          <w:rPr>
            <w:position w:val="8"/>
            <w:sz w:val="16"/>
          </w:rPr>
          <w:t>23</w:t>
        </w:r>
      </w:hyperlink>
      <w:r>
        <w:t>. A esto se le añade que el trabajo doméstico lo suelen asumir mujeres racializadas en condiciones de desventaja, con bajos ingresos, víctimas del conflicto armado y migrantes</w:t>
      </w:r>
      <w:hyperlink w:anchor="_bookmark29" w:history="1">
        <w:r w:rsidR="000E52B0">
          <w:rPr>
            <w:position w:val="8"/>
            <w:sz w:val="16"/>
          </w:rPr>
          <w:t>24</w:t>
        </w:r>
      </w:hyperlink>
      <w:r>
        <w:t>.</w:t>
      </w:r>
    </w:p>
    <w:p w14:paraId="0C1DF5D4" w14:textId="77777777" w:rsidR="000E52B0" w:rsidRDefault="00F60D74">
      <w:pPr>
        <w:pStyle w:val="Textoindependiente"/>
        <w:spacing w:before="161"/>
        <w:ind w:right="714"/>
        <w:jc w:val="both"/>
      </w:pPr>
      <w:r>
        <w:t>Respecto</w:t>
      </w:r>
      <w:r>
        <w:rPr>
          <w:spacing w:val="-12"/>
        </w:rPr>
        <w:t xml:space="preserve"> </w:t>
      </w:r>
      <w:r>
        <w:t>a</w:t>
      </w:r>
      <w:r>
        <w:rPr>
          <w:spacing w:val="-13"/>
        </w:rPr>
        <w:t xml:space="preserve"> </w:t>
      </w:r>
      <w:r>
        <w:t>la</w:t>
      </w:r>
      <w:r>
        <w:rPr>
          <w:spacing w:val="-13"/>
        </w:rPr>
        <w:t xml:space="preserve"> </w:t>
      </w:r>
      <w:r>
        <w:t>situación</w:t>
      </w:r>
      <w:r>
        <w:rPr>
          <w:spacing w:val="-13"/>
        </w:rPr>
        <w:t xml:space="preserve"> </w:t>
      </w:r>
      <w:r>
        <w:t>de</w:t>
      </w:r>
      <w:r>
        <w:rPr>
          <w:spacing w:val="-12"/>
        </w:rPr>
        <w:t xml:space="preserve"> </w:t>
      </w:r>
      <w:r>
        <w:t>las</w:t>
      </w:r>
      <w:r>
        <w:rPr>
          <w:spacing w:val="-11"/>
        </w:rPr>
        <w:t xml:space="preserve"> </w:t>
      </w:r>
      <w:r>
        <w:t>mujeres</w:t>
      </w:r>
      <w:r>
        <w:rPr>
          <w:spacing w:val="-13"/>
        </w:rPr>
        <w:t xml:space="preserve"> </w:t>
      </w:r>
      <w:r>
        <w:t>rurales</w:t>
      </w:r>
      <w:r>
        <w:rPr>
          <w:spacing w:val="-13"/>
        </w:rPr>
        <w:t xml:space="preserve"> </w:t>
      </w:r>
      <w:r>
        <w:t>en</w:t>
      </w:r>
      <w:r>
        <w:rPr>
          <w:spacing w:val="-13"/>
        </w:rPr>
        <w:t xml:space="preserve"> </w:t>
      </w:r>
      <w:r>
        <w:t>Colombia,</w:t>
      </w:r>
      <w:r>
        <w:rPr>
          <w:spacing w:val="-11"/>
        </w:rPr>
        <w:t xml:space="preserve"> </w:t>
      </w:r>
      <w:r>
        <w:t>según</w:t>
      </w:r>
      <w:r>
        <w:rPr>
          <w:spacing w:val="-13"/>
        </w:rPr>
        <w:t xml:space="preserve"> </w:t>
      </w:r>
      <w:r>
        <w:t>el</w:t>
      </w:r>
      <w:r>
        <w:rPr>
          <w:spacing w:val="-11"/>
        </w:rPr>
        <w:t xml:space="preserve"> </w:t>
      </w:r>
      <w:r>
        <w:t>Censo Nacional de Población y Vivienda 2018, en Colombia las mujeres rurales representan</w:t>
      </w:r>
      <w:r>
        <w:rPr>
          <w:spacing w:val="-13"/>
        </w:rPr>
        <w:t xml:space="preserve"> </w:t>
      </w:r>
      <w:r>
        <w:t>el</w:t>
      </w:r>
      <w:r>
        <w:rPr>
          <w:spacing w:val="-14"/>
        </w:rPr>
        <w:t xml:space="preserve"> </w:t>
      </w:r>
      <w:r>
        <w:t>10,9%</w:t>
      </w:r>
      <w:r>
        <w:rPr>
          <w:spacing w:val="-12"/>
        </w:rPr>
        <w:t xml:space="preserve"> </w:t>
      </w:r>
      <w:r>
        <w:t>del</w:t>
      </w:r>
      <w:r>
        <w:rPr>
          <w:spacing w:val="-14"/>
        </w:rPr>
        <w:t xml:space="preserve"> </w:t>
      </w:r>
      <w:r>
        <w:t>total</w:t>
      </w:r>
      <w:r>
        <w:rPr>
          <w:spacing w:val="-12"/>
        </w:rPr>
        <w:t xml:space="preserve"> </w:t>
      </w:r>
      <w:r>
        <w:t>de</w:t>
      </w:r>
      <w:r>
        <w:rPr>
          <w:spacing w:val="-12"/>
        </w:rPr>
        <w:t xml:space="preserve"> </w:t>
      </w:r>
      <w:r>
        <w:t>la</w:t>
      </w:r>
      <w:r>
        <w:rPr>
          <w:spacing w:val="-11"/>
        </w:rPr>
        <w:t xml:space="preserve"> </w:t>
      </w:r>
      <w:r>
        <w:t>población</w:t>
      </w:r>
      <w:r>
        <w:rPr>
          <w:spacing w:val="-11"/>
        </w:rPr>
        <w:t xml:space="preserve"> </w:t>
      </w:r>
      <w:r>
        <w:t>censada</w:t>
      </w:r>
      <w:r>
        <w:rPr>
          <w:spacing w:val="-13"/>
        </w:rPr>
        <w:t xml:space="preserve"> </w:t>
      </w:r>
      <w:r>
        <w:t>y</w:t>
      </w:r>
      <w:r>
        <w:rPr>
          <w:spacing w:val="-11"/>
        </w:rPr>
        <w:t xml:space="preserve"> </w:t>
      </w:r>
      <w:r>
        <w:t>el</w:t>
      </w:r>
      <w:r>
        <w:rPr>
          <w:spacing w:val="-11"/>
        </w:rPr>
        <w:t xml:space="preserve"> </w:t>
      </w:r>
      <w:r>
        <w:t>47,8%</w:t>
      </w:r>
      <w:r>
        <w:rPr>
          <w:spacing w:val="-12"/>
        </w:rPr>
        <w:t xml:space="preserve"> </w:t>
      </w:r>
      <w:r>
        <w:t>del</w:t>
      </w:r>
      <w:r>
        <w:rPr>
          <w:spacing w:val="-14"/>
        </w:rPr>
        <w:t xml:space="preserve"> </w:t>
      </w:r>
      <w:r>
        <w:t>total de</w:t>
      </w:r>
      <w:r>
        <w:rPr>
          <w:spacing w:val="-18"/>
        </w:rPr>
        <w:t xml:space="preserve"> </w:t>
      </w:r>
      <w:r>
        <w:t>la</w:t>
      </w:r>
      <w:r>
        <w:rPr>
          <w:spacing w:val="-20"/>
        </w:rPr>
        <w:t xml:space="preserve"> </w:t>
      </w:r>
      <w:r>
        <w:t>población</w:t>
      </w:r>
      <w:r>
        <w:rPr>
          <w:spacing w:val="-20"/>
        </w:rPr>
        <w:t xml:space="preserve"> </w:t>
      </w:r>
      <w:r>
        <w:t>rural</w:t>
      </w:r>
      <w:r>
        <w:rPr>
          <w:spacing w:val="-18"/>
        </w:rPr>
        <w:t xml:space="preserve"> </w:t>
      </w:r>
      <w:r>
        <w:t>(Departamento</w:t>
      </w:r>
      <w:r>
        <w:rPr>
          <w:spacing w:val="-19"/>
        </w:rPr>
        <w:t xml:space="preserve"> </w:t>
      </w:r>
      <w:r>
        <w:t>Nacional</w:t>
      </w:r>
      <w:r>
        <w:rPr>
          <w:spacing w:val="-20"/>
        </w:rPr>
        <w:t xml:space="preserve"> </w:t>
      </w:r>
      <w:r>
        <w:t>de</w:t>
      </w:r>
      <w:r>
        <w:rPr>
          <w:spacing w:val="-18"/>
        </w:rPr>
        <w:t xml:space="preserve"> </w:t>
      </w:r>
      <w:r>
        <w:t>Estadística</w:t>
      </w:r>
      <w:r>
        <w:rPr>
          <w:spacing w:val="-17"/>
        </w:rPr>
        <w:t xml:space="preserve"> </w:t>
      </w:r>
      <w:r>
        <w:t>-</w:t>
      </w:r>
      <w:r>
        <w:rPr>
          <w:spacing w:val="-20"/>
        </w:rPr>
        <w:t xml:space="preserve"> </w:t>
      </w:r>
      <w:r>
        <w:t>DANE,</w:t>
      </w:r>
      <w:r>
        <w:rPr>
          <w:spacing w:val="-20"/>
        </w:rPr>
        <w:t xml:space="preserve"> </w:t>
      </w:r>
      <w:r>
        <w:t>2019). Según</w:t>
      </w:r>
      <w:r>
        <w:rPr>
          <w:spacing w:val="-4"/>
        </w:rPr>
        <w:t xml:space="preserve"> </w:t>
      </w:r>
      <w:r>
        <w:t>datos</w:t>
      </w:r>
      <w:r>
        <w:rPr>
          <w:spacing w:val="-4"/>
        </w:rPr>
        <w:t xml:space="preserve"> </w:t>
      </w:r>
      <w:r>
        <w:t>de</w:t>
      </w:r>
      <w:r>
        <w:rPr>
          <w:spacing w:val="-5"/>
        </w:rPr>
        <w:t xml:space="preserve"> </w:t>
      </w:r>
      <w:r>
        <w:t>la</w:t>
      </w:r>
      <w:r>
        <w:rPr>
          <w:spacing w:val="-5"/>
        </w:rPr>
        <w:t xml:space="preserve"> </w:t>
      </w:r>
      <w:r>
        <w:t>Gran</w:t>
      </w:r>
      <w:r>
        <w:rPr>
          <w:spacing w:val="-6"/>
        </w:rPr>
        <w:t xml:space="preserve"> </w:t>
      </w:r>
      <w:r>
        <w:t>Encuesta</w:t>
      </w:r>
      <w:r>
        <w:rPr>
          <w:spacing w:val="-5"/>
        </w:rPr>
        <w:t xml:space="preserve"> </w:t>
      </w:r>
      <w:r>
        <w:t>Integrada</w:t>
      </w:r>
      <w:r>
        <w:rPr>
          <w:spacing w:val="-6"/>
        </w:rPr>
        <w:t xml:space="preserve"> </w:t>
      </w:r>
      <w:r>
        <w:t>de</w:t>
      </w:r>
      <w:r>
        <w:rPr>
          <w:spacing w:val="-3"/>
        </w:rPr>
        <w:t xml:space="preserve"> </w:t>
      </w:r>
      <w:r>
        <w:t>Hogares</w:t>
      </w:r>
      <w:hyperlink w:anchor="_bookmark30" w:history="1">
        <w:r w:rsidR="000E52B0">
          <w:rPr>
            <w:position w:val="8"/>
            <w:sz w:val="16"/>
          </w:rPr>
          <w:t>25</w:t>
        </w:r>
      </w:hyperlink>
      <w:r>
        <w:rPr>
          <w:spacing w:val="23"/>
          <w:position w:val="8"/>
          <w:sz w:val="16"/>
        </w:rPr>
        <w:t xml:space="preserve"> </w:t>
      </w:r>
      <w:r>
        <w:t>para</w:t>
      </w:r>
      <w:r>
        <w:rPr>
          <w:spacing w:val="-5"/>
        </w:rPr>
        <w:t xml:space="preserve"> </w:t>
      </w:r>
      <w:r>
        <w:t>el</w:t>
      </w:r>
      <w:r>
        <w:rPr>
          <w:spacing w:val="-5"/>
        </w:rPr>
        <w:t xml:space="preserve"> </w:t>
      </w:r>
      <w:r>
        <w:t>trimestre de</w:t>
      </w:r>
      <w:r>
        <w:rPr>
          <w:spacing w:val="-13"/>
        </w:rPr>
        <w:t xml:space="preserve"> </w:t>
      </w:r>
      <w:r>
        <w:t>julio</w:t>
      </w:r>
      <w:r>
        <w:rPr>
          <w:spacing w:val="-13"/>
        </w:rPr>
        <w:t xml:space="preserve"> </w:t>
      </w:r>
      <w:r>
        <w:t>a</w:t>
      </w:r>
      <w:r>
        <w:rPr>
          <w:spacing w:val="-14"/>
        </w:rPr>
        <w:t xml:space="preserve"> </w:t>
      </w:r>
      <w:r>
        <w:t>septiembre</w:t>
      </w:r>
      <w:r>
        <w:rPr>
          <w:spacing w:val="-13"/>
        </w:rPr>
        <w:t xml:space="preserve"> </w:t>
      </w:r>
      <w:r>
        <w:t>de</w:t>
      </w:r>
      <w:r>
        <w:rPr>
          <w:spacing w:val="-15"/>
        </w:rPr>
        <w:t xml:space="preserve"> </w:t>
      </w:r>
      <w:r>
        <w:t>2023,</w:t>
      </w:r>
      <w:r>
        <w:rPr>
          <w:spacing w:val="-14"/>
        </w:rPr>
        <w:t xml:space="preserve"> </w:t>
      </w:r>
      <w:r>
        <w:t>del</w:t>
      </w:r>
      <w:r>
        <w:rPr>
          <w:spacing w:val="-15"/>
        </w:rPr>
        <w:t xml:space="preserve"> </w:t>
      </w:r>
      <w:r>
        <w:t>total</w:t>
      </w:r>
      <w:r>
        <w:rPr>
          <w:spacing w:val="-15"/>
        </w:rPr>
        <w:t xml:space="preserve"> </w:t>
      </w:r>
      <w:r>
        <w:t>de</w:t>
      </w:r>
      <w:r>
        <w:rPr>
          <w:spacing w:val="-13"/>
        </w:rPr>
        <w:t xml:space="preserve"> </w:t>
      </w:r>
      <w:r>
        <w:t>mujeres</w:t>
      </w:r>
      <w:r>
        <w:rPr>
          <w:spacing w:val="-14"/>
        </w:rPr>
        <w:t xml:space="preserve"> </w:t>
      </w:r>
      <w:r>
        <w:t>que</w:t>
      </w:r>
      <w:r>
        <w:rPr>
          <w:spacing w:val="-13"/>
        </w:rPr>
        <w:t xml:space="preserve"> </w:t>
      </w:r>
      <w:r>
        <w:t>se</w:t>
      </w:r>
      <w:r>
        <w:rPr>
          <w:spacing w:val="-15"/>
        </w:rPr>
        <w:t xml:space="preserve"> </w:t>
      </w:r>
      <w:r>
        <w:t>identifican</w:t>
      </w:r>
      <w:r>
        <w:rPr>
          <w:spacing w:val="-14"/>
        </w:rPr>
        <w:t xml:space="preserve"> </w:t>
      </w:r>
      <w:r>
        <w:t>como campesinas, un 38,8% se encontraba trabajando, mientras que la tasa de ocupación de hombres campesinos fue del 74,6%.</w:t>
      </w:r>
    </w:p>
    <w:p w14:paraId="746C82EE" w14:textId="77777777" w:rsidR="000E52B0" w:rsidRDefault="00F60D74">
      <w:pPr>
        <w:pStyle w:val="Textoindependiente"/>
        <w:spacing w:before="160"/>
        <w:ind w:right="714"/>
        <w:jc w:val="both"/>
      </w:pPr>
      <w:r>
        <w:t>En materia agraria, se evidencian rezagos en la adjudicación y formalización de tierras a mujeres. Al ser la tierra el principal medio de producción y de generación de ingresos de las mujeres campesinas, estas brechas constituyen barreras para su autonomía económica. Por ejemplo, del</w:t>
      </w:r>
      <w:r>
        <w:rPr>
          <w:spacing w:val="-3"/>
        </w:rPr>
        <w:t xml:space="preserve"> </w:t>
      </w:r>
      <w:r>
        <w:t>total</w:t>
      </w:r>
      <w:r>
        <w:rPr>
          <w:spacing w:val="-1"/>
        </w:rPr>
        <w:t xml:space="preserve"> </w:t>
      </w:r>
      <w:r>
        <w:t>de</w:t>
      </w:r>
      <w:r>
        <w:rPr>
          <w:spacing w:val="-1"/>
        </w:rPr>
        <w:t xml:space="preserve"> </w:t>
      </w:r>
      <w:r>
        <w:t>personas</w:t>
      </w:r>
      <w:r>
        <w:rPr>
          <w:spacing w:val="-2"/>
        </w:rPr>
        <w:t xml:space="preserve"> </w:t>
      </w:r>
      <w:r>
        <w:t>naturales</w:t>
      </w:r>
      <w:r>
        <w:rPr>
          <w:spacing w:val="-2"/>
        </w:rPr>
        <w:t xml:space="preserve"> </w:t>
      </w:r>
      <w:r>
        <w:t>beneficiarias</w:t>
      </w:r>
      <w:r>
        <w:rPr>
          <w:spacing w:val="-2"/>
        </w:rPr>
        <w:t xml:space="preserve"> </w:t>
      </w:r>
      <w:r>
        <w:t>por</w:t>
      </w:r>
      <w:r>
        <w:rPr>
          <w:spacing w:val="-1"/>
        </w:rPr>
        <w:t xml:space="preserve"> </w:t>
      </w:r>
      <w:r>
        <w:t>la</w:t>
      </w:r>
      <w:r>
        <w:rPr>
          <w:spacing w:val="-2"/>
        </w:rPr>
        <w:t xml:space="preserve"> </w:t>
      </w:r>
      <w:r>
        <w:t>adjudicación</w:t>
      </w:r>
      <w:r>
        <w:rPr>
          <w:spacing w:val="-2"/>
        </w:rPr>
        <w:t xml:space="preserve"> </w:t>
      </w:r>
      <w:r>
        <w:t>de</w:t>
      </w:r>
      <w:r>
        <w:rPr>
          <w:spacing w:val="-1"/>
        </w:rPr>
        <w:t xml:space="preserve"> </w:t>
      </w:r>
      <w:r>
        <w:t>baldíos entre 2016 y 2021, el 41,8% fueron mujeres y el 58,1% hombres</w:t>
      </w:r>
      <w:hyperlink w:anchor="_bookmark31" w:history="1">
        <w:r w:rsidR="000E52B0">
          <w:rPr>
            <w:position w:val="8"/>
            <w:sz w:val="16"/>
          </w:rPr>
          <w:t>26</w:t>
        </w:r>
      </w:hyperlink>
      <w:r>
        <w:t>. Además,</w:t>
      </w:r>
      <w:r>
        <w:rPr>
          <w:spacing w:val="-17"/>
        </w:rPr>
        <w:t xml:space="preserve"> </w:t>
      </w:r>
      <w:r>
        <w:t>a</w:t>
      </w:r>
      <w:r>
        <w:rPr>
          <w:spacing w:val="-14"/>
        </w:rPr>
        <w:t xml:space="preserve"> </w:t>
      </w:r>
      <w:r>
        <w:t>cada</w:t>
      </w:r>
      <w:r>
        <w:rPr>
          <w:spacing w:val="-14"/>
        </w:rPr>
        <w:t xml:space="preserve"> </w:t>
      </w:r>
      <w:r>
        <w:t>hombre</w:t>
      </w:r>
      <w:r>
        <w:rPr>
          <w:spacing w:val="-14"/>
        </w:rPr>
        <w:t xml:space="preserve"> </w:t>
      </w:r>
      <w:r>
        <w:t>beneficiario</w:t>
      </w:r>
      <w:r>
        <w:rPr>
          <w:spacing w:val="-13"/>
        </w:rPr>
        <w:t xml:space="preserve"> </w:t>
      </w:r>
      <w:r>
        <w:t>le</w:t>
      </w:r>
      <w:r>
        <w:rPr>
          <w:spacing w:val="-13"/>
        </w:rPr>
        <w:t xml:space="preserve"> </w:t>
      </w:r>
      <w:r>
        <w:t>fue</w:t>
      </w:r>
      <w:r>
        <w:rPr>
          <w:spacing w:val="-15"/>
        </w:rPr>
        <w:t xml:space="preserve"> </w:t>
      </w:r>
      <w:r>
        <w:t>adjudicada</w:t>
      </w:r>
      <w:r>
        <w:rPr>
          <w:spacing w:val="-16"/>
        </w:rPr>
        <w:t xml:space="preserve"> </w:t>
      </w:r>
      <w:r>
        <w:t>un</w:t>
      </w:r>
      <w:r>
        <w:rPr>
          <w:spacing w:val="-17"/>
        </w:rPr>
        <w:t xml:space="preserve"> </w:t>
      </w:r>
      <w:r>
        <w:t>área</w:t>
      </w:r>
      <w:r>
        <w:rPr>
          <w:spacing w:val="-16"/>
        </w:rPr>
        <w:t xml:space="preserve"> </w:t>
      </w:r>
      <w:r>
        <w:t>promedio</w:t>
      </w:r>
      <w:r>
        <w:rPr>
          <w:spacing w:val="-16"/>
        </w:rPr>
        <w:t xml:space="preserve"> </w:t>
      </w:r>
      <w:r>
        <w:t>de 27,5 hectáreas, mientras que a cada mujer se le otorgaron en promedio 17,3 hectáreas</w:t>
      </w:r>
      <w:hyperlink w:anchor="_bookmark32" w:history="1">
        <w:r w:rsidR="000E52B0">
          <w:rPr>
            <w:position w:val="8"/>
            <w:sz w:val="16"/>
          </w:rPr>
          <w:t>27</w:t>
        </w:r>
      </w:hyperlink>
      <w:r>
        <w:t>. De manera similar, pese a que es mayor el número de mujeres</w:t>
      </w:r>
      <w:r>
        <w:rPr>
          <w:spacing w:val="-11"/>
        </w:rPr>
        <w:t xml:space="preserve"> </w:t>
      </w:r>
      <w:r>
        <w:t>beneficiarias</w:t>
      </w:r>
      <w:r>
        <w:rPr>
          <w:spacing w:val="-11"/>
        </w:rPr>
        <w:t xml:space="preserve"> </w:t>
      </w:r>
      <w:r>
        <w:t>por</w:t>
      </w:r>
      <w:r>
        <w:rPr>
          <w:spacing w:val="-10"/>
        </w:rPr>
        <w:t xml:space="preserve"> </w:t>
      </w:r>
      <w:r>
        <w:t>los</w:t>
      </w:r>
      <w:r>
        <w:rPr>
          <w:spacing w:val="-11"/>
        </w:rPr>
        <w:t xml:space="preserve"> </w:t>
      </w:r>
      <w:r>
        <w:t>subsidios</w:t>
      </w:r>
      <w:r>
        <w:rPr>
          <w:spacing w:val="-10"/>
        </w:rPr>
        <w:t xml:space="preserve"> </w:t>
      </w:r>
      <w:r>
        <w:t>integrales</w:t>
      </w:r>
      <w:r>
        <w:rPr>
          <w:spacing w:val="-11"/>
        </w:rPr>
        <w:t xml:space="preserve"> </w:t>
      </w:r>
      <w:r>
        <w:t>de</w:t>
      </w:r>
      <w:r>
        <w:rPr>
          <w:spacing w:val="-10"/>
        </w:rPr>
        <w:t xml:space="preserve"> </w:t>
      </w:r>
      <w:r>
        <w:t>tierra,</w:t>
      </w:r>
      <w:r>
        <w:rPr>
          <w:spacing w:val="-11"/>
        </w:rPr>
        <w:t xml:space="preserve"> </w:t>
      </w:r>
      <w:r>
        <w:t>el</w:t>
      </w:r>
      <w:r>
        <w:rPr>
          <w:spacing w:val="-12"/>
        </w:rPr>
        <w:t xml:space="preserve"> </w:t>
      </w:r>
      <w:r>
        <w:t>51.6%</w:t>
      </w:r>
      <w:r>
        <w:rPr>
          <w:spacing w:val="-13"/>
        </w:rPr>
        <w:t xml:space="preserve"> </w:t>
      </w:r>
      <w:r>
        <w:t>de</w:t>
      </w:r>
      <w:r>
        <w:rPr>
          <w:spacing w:val="-10"/>
        </w:rPr>
        <w:t xml:space="preserve"> </w:t>
      </w:r>
      <w:r>
        <w:t>las hectáreas regularizadas por estos subsidios son de los hombres.</w:t>
      </w:r>
    </w:p>
    <w:p w14:paraId="01E7D828" w14:textId="77777777" w:rsidR="000E52B0" w:rsidRDefault="00F60D74">
      <w:pPr>
        <w:pStyle w:val="Textoindependiente"/>
        <w:spacing w:before="159"/>
        <w:ind w:right="718"/>
        <w:jc w:val="both"/>
      </w:pPr>
      <w:r>
        <w:t>En el caso de las mujeres con discapacidad, que también suelen ser excluidas de las actividades productivas por no ser consideradas “funcionales”</w:t>
      </w:r>
      <w:r>
        <w:rPr>
          <w:spacing w:val="-19"/>
        </w:rPr>
        <w:t xml:space="preserve"> </w:t>
      </w:r>
      <w:r>
        <w:t>al</w:t>
      </w:r>
      <w:r>
        <w:rPr>
          <w:spacing w:val="-21"/>
        </w:rPr>
        <w:t xml:space="preserve"> </w:t>
      </w:r>
      <w:r>
        <w:t>modelo</w:t>
      </w:r>
      <w:r>
        <w:rPr>
          <w:spacing w:val="-19"/>
        </w:rPr>
        <w:t xml:space="preserve"> </w:t>
      </w:r>
      <w:r>
        <w:t>de</w:t>
      </w:r>
      <w:r>
        <w:rPr>
          <w:spacing w:val="-18"/>
        </w:rPr>
        <w:t xml:space="preserve"> </w:t>
      </w:r>
      <w:r>
        <w:t>producción</w:t>
      </w:r>
      <w:r>
        <w:rPr>
          <w:spacing w:val="-20"/>
        </w:rPr>
        <w:t xml:space="preserve"> </w:t>
      </w:r>
      <w:r>
        <w:t>capitalista,</w:t>
      </w:r>
      <w:r>
        <w:rPr>
          <w:spacing w:val="-20"/>
        </w:rPr>
        <w:t xml:space="preserve"> </w:t>
      </w:r>
      <w:r>
        <w:t>se</w:t>
      </w:r>
      <w:r>
        <w:rPr>
          <w:spacing w:val="-18"/>
        </w:rPr>
        <w:t xml:space="preserve"> </w:t>
      </w:r>
      <w:r>
        <w:t>mantienen</w:t>
      </w:r>
      <w:r>
        <w:rPr>
          <w:spacing w:val="-20"/>
        </w:rPr>
        <w:t xml:space="preserve"> </w:t>
      </w:r>
      <w:r>
        <w:t>las</w:t>
      </w:r>
      <w:r>
        <w:rPr>
          <w:spacing w:val="-20"/>
        </w:rPr>
        <w:t xml:space="preserve"> </w:t>
      </w:r>
      <w:r>
        <w:t>brechas respecto</w:t>
      </w:r>
      <w:r>
        <w:rPr>
          <w:spacing w:val="44"/>
        </w:rPr>
        <w:t xml:space="preserve"> </w:t>
      </w:r>
      <w:r>
        <w:t>al</w:t>
      </w:r>
      <w:r>
        <w:rPr>
          <w:spacing w:val="44"/>
        </w:rPr>
        <w:t xml:space="preserve"> </w:t>
      </w:r>
      <w:r>
        <w:t>acceso</w:t>
      </w:r>
      <w:r>
        <w:rPr>
          <w:spacing w:val="49"/>
        </w:rPr>
        <w:t xml:space="preserve"> </w:t>
      </w:r>
      <w:r>
        <w:t>al</w:t>
      </w:r>
      <w:r>
        <w:rPr>
          <w:spacing w:val="44"/>
        </w:rPr>
        <w:t xml:space="preserve"> </w:t>
      </w:r>
      <w:r>
        <w:t>mercado</w:t>
      </w:r>
      <w:r>
        <w:rPr>
          <w:spacing w:val="46"/>
        </w:rPr>
        <w:t xml:space="preserve"> </w:t>
      </w:r>
      <w:r>
        <w:t>laboral,</w:t>
      </w:r>
      <w:r>
        <w:rPr>
          <w:spacing w:val="48"/>
        </w:rPr>
        <w:t xml:space="preserve"> </w:t>
      </w:r>
      <w:r>
        <w:t>ya</w:t>
      </w:r>
      <w:r>
        <w:rPr>
          <w:spacing w:val="45"/>
        </w:rPr>
        <w:t xml:space="preserve"> </w:t>
      </w:r>
      <w:r>
        <w:t>que</w:t>
      </w:r>
      <w:r>
        <w:rPr>
          <w:spacing w:val="46"/>
        </w:rPr>
        <w:t xml:space="preserve"> </w:t>
      </w:r>
      <w:r>
        <w:t>apenas</w:t>
      </w:r>
      <w:r>
        <w:rPr>
          <w:spacing w:val="46"/>
        </w:rPr>
        <w:t xml:space="preserve"> </w:t>
      </w:r>
      <w:r>
        <w:t>el</w:t>
      </w:r>
      <w:r>
        <w:rPr>
          <w:spacing w:val="47"/>
        </w:rPr>
        <w:t xml:space="preserve"> </w:t>
      </w:r>
      <w:r>
        <w:t>31,5%</w:t>
      </w:r>
      <w:r>
        <w:rPr>
          <w:spacing w:val="46"/>
        </w:rPr>
        <w:t xml:space="preserve"> </w:t>
      </w:r>
      <w:r>
        <w:t>de</w:t>
      </w:r>
      <w:r>
        <w:rPr>
          <w:spacing w:val="47"/>
        </w:rPr>
        <w:t xml:space="preserve"> </w:t>
      </w:r>
      <w:r>
        <w:rPr>
          <w:spacing w:val="-5"/>
        </w:rPr>
        <w:t>las</w:t>
      </w:r>
    </w:p>
    <w:p w14:paraId="365C1507" w14:textId="77777777" w:rsidR="000E52B0" w:rsidRDefault="000E52B0">
      <w:pPr>
        <w:pStyle w:val="Textoindependiente"/>
        <w:ind w:left="0"/>
        <w:rPr>
          <w:sz w:val="20"/>
        </w:rPr>
      </w:pPr>
    </w:p>
    <w:p w14:paraId="059F849E" w14:textId="77777777" w:rsidR="000E52B0" w:rsidRDefault="000E52B0">
      <w:pPr>
        <w:pStyle w:val="Textoindependiente"/>
        <w:ind w:left="0"/>
        <w:rPr>
          <w:sz w:val="20"/>
        </w:rPr>
      </w:pPr>
    </w:p>
    <w:p w14:paraId="53AF4810" w14:textId="77777777" w:rsidR="000E52B0" w:rsidRDefault="000E52B0">
      <w:pPr>
        <w:pStyle w:val="Textoindependiente"/>
        <w:ind w:left="0"/>
        <w:rPr>
          <w:sz w:val="20"/>
        </w:rPr>
      </w:pPr>
    </w:p>
    <w:p w14:paraId="066C5D2A" w14:textId="77777777" w:rsidR="000E52B0" w:rsidRDefault="00F60D74">
      <w:pPr>
        <w:pStyle w:val="Textoindependiente"/>
        <w:spacing w:before="16"/>
        <w:ind w:left="0"/>
        <w:rPr>
          <w:sz w:val="20"/>
        </w:rPr>
      </w:pPr>
      <w:r>
        <w:rPr>
          <w:noProof/>
          <w:sz w:val="20"/>
        </w:rPr>
        <mc:AlternateContent>
          <mc:Choice Requires="wps">
            <w:drawing>
              <wp:anchor distT="0" distB="0" distL="0" distR="0" simplePos="0" relativeHeight="487624192" behindDoc="1" locked="0" layoutInCell="1" allowOverlap="1" wp14:anchorId="4D98FDB4" wp14:editId="0149C91F">
                <wp:simplePos x="0" y="0"/>
                <wp:positionH relativeFrom="page">
                  <wp:posOffset>914704</wp:posOffset>
                </wp:positionH>
                <wp:positionV relativeFrom="paragraph">
                  <wp:posOffset>179890</wp:posOffset>
                </wp:positionV>
                <wp:extent cx="1829435" cy="762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5C8DF7" id="Graphic 168" o:spid="_x0000_s1026" style="position:absolute;margin-left:1in;margin-top:14.15pt;width:144.05pt;height:.6pt;z-index:-1569228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" path="m1829054,l,,,7619r1829054,l1829054,xe" fillcolor="black" stroked="f">
                <v:path arrowok="t"/>
                <w10:wrap type="topAndBottom" anchorx="page"/>
              </v:shape>
            </w:pict>
          </mc:Fallback>
        </mc:AlternateContent>
      </w:r>
    </w:p>
    <w:p w14:paraId="063ED573" w14:textId="77777777" w:rsidR="000E52B0" w:rsidRDefault="00F60D74">
      <w:pPr>
        <w:tabs>
          <w:tab w:val="left" w:pos="1089"/>
          <w:tab w:val="left" w:pos="1824"/>
          <w:tab w:val="left" w:pos="2150"/>
          <w:tab w:val="left" w:pos="2783"/>
          <w:tab w:val="left" w:pos="3709"/>
          <w:tab w:val="left" w:pos="4512"/>
          <w:tab w:val="left" w:pos="5347"/>
          <w:tab w:val="left" w:pos="5781"/>
          <w:tab w:val="left" w:pos="6785"/>
          <w:tab w:val="left" w:pos="7251"/>
          <w:tab w:val="left" w:pos="7912"/>
          <w:tab w:val="left" w:pos="8349"/>
          <w:tab w:val="left" w:pos="8723"/>
        </w:tabs>
        <w:spacing w:before="96"/>
        <w:ind w:left="720" w:right="722"/>
        <w:rPr>
          <w:rFonts w:ascii="Arial MT"/>
          <w:sz w:val="18"/>
        </w:rPr>
      </w:pPr>
      <w:bookmarkStart w:id="28" w:name="_bookmark28"/>
      <w:bookmarkEnd w:id="28"/>
      <w:r>
        <w:rPr>
          <w:rFonts w:ascii="Arial MT"/>
          <w:spacing w:val="-6"/>
          <w:position w:val="6"/>
          <w:sz w:val="12"/>
        </w:rPr>
        <w:t>23</w:t>
      </w:r>
      <w:r>
        <w:rPr>
          <w:rFonts w:ascii="Arial MT"/>
          <w:position w:val="6"/>
          <w:sz w:val="12"/>
        </w:rPr>
        <w:tab/>
      </w:r>
      <w:r>
        <w:rPr>
          <w:rFonts w:ascii="Arial MT"/>
          <w:spacing w:val="-4"/>
          <w:sz w:val="18"/>
        </w:rPr>
        <w:t>DANE</w:t>
      </w:r>
      <w:r>
        <w:rPr>
          <w:rFonts w:ascii="Arial MT"/>
          <w:sz w:val="18"/>
        </w:rPr>
        <w:tab/>
      </w:r>
      <w:r>
        <w:rPr>
          <w:rFonts w:ascii="Arial MT"/>
          <w:spacing w:val="-10"/>
          <w:sz w:val="18"/>
        </w:rPr>
        <w:t>y</w:t>
      </w:r>
      <w:r>
        <w:rPr>
          <w:rFonts w:ascii="Arial MT"/>
          <w:sz w:val="18"/>
        </w:rPr>
        <w:tab/>
      </w:r>
      <w:r>
        <w:rPr>
          <w:rFonts w:ascii="Arial MT"/>
          <w:spacing w:val="-4"/>
          <w:sz w:val="18"/>
        </w:rPr>
        <w:t>ONU</w:t>
      </w:r>
      <w:r>
        <w:rPr>
          <w:rFonts w:ascii="Arial MT"/>
          <w:sz w:val="18"/>
        </w:rPr>
        <w:tab/>
      </w:r>
      <w:r>
        <w:rPr>
          <w:rFonts w:ascii="Arial MT"/>
          <w:spacing w:val="-2"/>
          <w:sz w:val="18"/>
        </w:rPr>
        <w:t>Mujeres.</w:t>
      </w:r>
      <w:r>
        <w:rPr>
          <w:rFonts w:ascii="Arial MT"/>
          <w:sz w:val="18"/>
        </w:rPr>
        <w:tab/>
      </w:r>
      <w:r>
        <w:rPr>
          <w:rFonts w:ascii="Arial MT"/>
          <w:spacing w:val="-2"/>
          <w:sz w:val="18"/>
        </w:rPr>
        <w:t>(2020).</w:t>
      </w:r>
      <w:r>
        <w:rPr>
          <w:rFonts w:ascii="Arial MT"/>
          <w:sz w:val="18"/>
        </w:rPr>
        <w:tab/>
      </w:r>
      <w:r>
        <w:rPr>
          <w:rFonts w:ascii="Arial MT"/>
          <w:spacing w:val="-2"/>
          <w:sz w:val="18"/>
        </w:rPr>
        <w:t>Tiempo</w:t>
      </w:r>
      <w:r>
        <w:rPr>
          <w:rFonts w:ascii="Arial MT"/>
          <w:sz w:val="18"/>
        </w:rPr>
        <w:tab/>
      </w:r>
      <w:r>
        <w:rPr>
          <w:rFonts w:ascii="Arial MT"/>
          <w:spacing w:val="-6"/>
          <w:sz w:val="18"/>
        </w:rPr>
        <w:t>de</w:t>
      </w:r>
      <w:r>
        <w:rPr>
          <w:rFonts w:ascii="Arial MT"/>
          <w:sz w:val="18"/>
        </w:rPr>
        <w:tab/>
      </w:r>
      <w:r>
        <w:rPr>
          <w:rFonts w:ascii="Arial MT"/>
          <w:spacing w:val="-2"/>
          <w:sz w:val="18"/>
        </w:rPr>
        <w:t>cuidados:</w:t>
      </w:r>
      <w:r>
        <w:rPr>
          <w:rFonts w:ascii="Arial MT"/>
          <w:sz w:val="18"/>
        </w:rPr>
        <w:tab/>
      </w:r>
      <w:r>
        <w:rPr>
          <w:rFonts w:ascii="Arial MT"/>
          <w:spacing w:val="-4"/>
          <w:sz w:val="18"/>
        </w:rPr>
        <w:t>las</w:t>
      </w:r>
      <w:r>
        <w:rPr>
          <w:rFonts w:ascii="Arial MT"/>
          <w:sz w:val="18"/>
        </w:rPr>
        <w:tab/>
      </w:r>
      <w:r>
        <w:rPr>
          <w:rFonts w:ascii="Arial MT"/>
          <w:spacing w:val="-2"/>
          <w:sz w:val="18"/>
        </w:rPr>
        <w:t>cifras</w:t>
      </w:r>
      <w:r>
        <w:rPr>
          <w:rFonts w:ascii="Arial MT"/>
          <w:sz w:val="18"/>
        </w:rPr>
        <w:tab/>
      </w:r>
      <w:r>
        <w:rPr>
          <w:rFonts w:ascii="Arial MT"/>
          <w:spacing w:val="-6"/>
          <w:sz w:val="18"/>
        </w:rPr>
        <w:t>de</w:t>
      </w:r>
      <w:r>
        <w:rPr>
          <w:rFonts w:ascii="Arial MT"/>
          <w:sz w:val="18"/>
        </w:rPr>
        <w:tab/>
      </w:r>
      <w:r>
        <w:rPr>
          <w:rFonts w:ascii="Arial MT"/>
          <w:spacing w:val="-6"/>
          <w:sz w:val="18"/>
        </w:rPr>
        <w:t>la</w:t>
      </w:r>
      <w:r>
        <w:rPr>
          <w:rFonts w:ascii="Arial MT"/>
          <w:sz w:val="18"/>
        </w:rPr>
        <w:tab/>
      </w:r>
      <w:r>
        <w:rPr>
          <w:rFonts w:ascii="Arial MT"/>
          <w:spacing w:val="-2"/>
          <w:sz w:val="18"/>
        </w:rPr>
        <w:t xml:space="preserve">desigualdad. </w:t>
      </w:r>
      <w:hyperlink r:id="rId81">
        <w:r w:rsidR="000E52B0">
          <w:rPr>
            <w:rFonts w:ascii="Arial MT"/>
            <w:color w:val="E22C91"/>
            <w:spacing w:val="-2"/>
            <w:sz w:val="18"/>
            <w:u w:val="single" w:color="E22C91"/>
          </w:rPr>
          <w:t>https://www.dane.gov.co/files/investigaciones/genero/publicaciones/tiempo-de-cuidados-cifras-desigualdad-</w:t>
        </w:r>
      </w:hyperlink>
      <w:r>
        <w:rPr>
          <w:rFonts w:ascii="Arial MT"/>
          <w:color w:val="E22C91"/>
          <w:spacing w:val="-2"/>
          <w:sz w:val="18"/>
        </w:rPr>
        <w:t xml:space="preserve"> </w:t>
      </w:r>
      <w:hyperlink r:id="rId82">
        <w:r w:rsidR="000E52B0">
          <w:rPr>
            <w:rFonts w:ascii="Arial MT"/>
            <w:color w:val="E22C91"/>
            <w:spacing w:val="-2"/>
            <w:sz w:val="18"/>
            <w:u w:val="single" w:color="E22C91"/>
          </w:rPr>
          <w:t>informe.pdf</w:t>
        </w:r>
      </w:hyperlink>
    </w:p>
    <w:p w14:paraId="338F514E" w14:textId="77777777" w:rsidR="000E52B0" w:rsidRDefault="00F60D74">
      <w:pPr>
        <w:ind w:left="720" w:right="713"/>
        <w:rPr>
          <w:rFonts w:ascii="Arial MT" w:hAnsi="Arial MT"/>
          <w:sz w:val="18"/>
        </w:rPr>
      </w:pPr>
      <w:bookmarkStart w:id="29" w:name="_bookmark29"/>
      <w:bookmarkEnd w:id="29"/>
      <w:r>
        <w:rPr>
          <w:rFonts w:ascii="Arial MT" w:hAnsi="Arial MT"/>
          <w:position w:val="6"/>
          <w:sz w:val="12"/>
        </w:rPr>
        <w:t>24</w:t>
      </w:r>
      <w:r>
        <w:rPr>
          <w:rFonts w:ascii="Arial MT" w:hAnsi="Arial MT"/>
          <w:spacing w:val="7"/>
          <w:position w:val="6"/>
          <w:sz w:val="12"/>
        </w:rPr>
        <w:t xml:space="preserve"> </w:t>
      </w:r>
      <w:proofErr w:type="gramStart"/>
      <w:r>
        <w:rPr>
          <w:rFonts w:ascii="Arial MT" w:hAnsi="Arial MT"/>
          <w:sz w:val="18"/>
        </w:rPr>
        <w:t>Escuela</w:t>
      </w:r>
      <w:proofErr w:type="gramEnd"/>
      <w:r>
        <w:rPr>
          <w:rFonts w:ascii="Arial MT" w:hAnsi="Arial MT"/>
          <w:spacing w:val="-10"/>
          <w:sz w:val="18"/>
        </w:rPr>
        <w:t xml:space="preserve"> </w:t>
      </w:r>
      <w:r>
        <w:rPr>
          <w:rFonts w:ascii="Arial MT" w:hAnsi="Arial MT"/>
          <w:sz w:val="18"/>
        </w:rPr>
        <w:t>Nacional</w:t>
      </w:r>
      <w:r>
        <w:rPr>
          <w:rFonts w:ascii="Arial MT" w:hAnsi="Arial MT"/>
          <w:spacing w:val="-10"/>
          <w:sz w:val="18"/>
        </w:rPr>
        <w:t xml:space="preserve"> </w:t>
      </w:r>
      <w:r>
        <w:rPr>
          <w:rFonts w:ascii="Arial MT" w:hAnsi="Arial MT"/>
          <w:sz w:val="18"/>
        </w:rPr>
        <w:t>Sindical.</w:t>
      </w:r>
      <w:r>
        <w:rPr>
          <w:rFonts w:ascii="Arial MT" w:hAnsi="Arial MT"/>
          <w:spacing w:val="-10"/>
          <w:sz w:val="18"/>
        </w:rPr>
        <w:t xml:space="preserve"> </w:t>
      </w:r>
      <w:r>
        <w:rPr>
          <w:rFonts w:ascii="Arial MT" w:hAnsi="Arial MT"/>
          <w:sz w:val="18"/>
        </w:rPr>
        <w:t>(2022).</w:t>
      </w:r>
      <w:r>
        <w:rPr>
          <w:rFonts w:ascii="Arial MT" w:hAnsi="Arial MT"/>
          <w:spacing w:val="-10"/>
          <w:sz w:val="18"/>
        </w:rPr>
        <w:t xml:space="preserve"> </w:t>
      </w:r>
      <w:r>
        <w:rPr>
          <w:rFonts w:ascii="Arial MT" w:hAnsi="Arial MT"/>
          <w:sz w:val="18"/>
        </w:rPr>
        <w:t>XV</w:t>
      </w:r>
      <w:r>
        <w:rPr>
          <w:rFonts w:ascii="Arial MT" w:hAnsi="Arial MT"/>
          <w:spacing w:val="-10"/>
          <w:sz w:val="18"/>
        </w:rPr>
        <w:t xml:space="preserve"> </w:t>
      </w:r>
      <w:r>
        <w:rPr>
          <w:rFonts w:ascii="Arial MT" w:hAnsi="Arial MT"/>
          <w:sz w:val="18"/>
        </w:rPr>
        <w:t>Informe</w:t>
      </w:r>
      <w:r>
        <w:rPr>
          <w:rFonts w:ascii="Arial MT" w:hAnsi="Arial MT"/>
          <w:spacing w:val="-10"/>
          <w:sz w:val="18"/>
        </w:rPr>
        <w:t xml:space="preserve"> </w:t>
      </w:r>
      <w:r>
        <w:rPr>
          <w:rFonts w:ascii="Arial MT" w:hAnsi="Arial MT"/>
          <w:sz w:val="18"/>
        </w:rPr>
        <w:t>Nacional</w:t>
      </w:r>
      <w:r>
        <w:rPr>
          <w:rFonts w:ascii="Arial MT" w:hAnsi="Arial MT"/>
          <w:spacing w:val="-10"/>
          <w:sz w:val="18"/>
        </w:rPr>
        <w:t xml:space="preserve"> </w:t>
      </w:r>
      <w:r>
        <w:rPr>
          <w:rFonts w:ascii="Arial MT" w:hAnsi="Arial MT"/>
          <w:sz w:val="18"/>
        </w:rPr>
        <w:t>de</w:t>
      </w:r>
      <w:r>
        <w:rPr>
          <w:rFonts w:ascii="Arial MT" w:hAnsi="Arial MT"/>
          <w:spacing w:val="-10"/>
          <w:sz w:val="18"/>
        </w:rPr>
        <w:t xml:space="preserve"> </w:t>
      </w:r>
      <w:r>
        <w:rPr>
          <w:rFonts w:ascii="Arial MT" w:hAnsi="Arial MT"/>
          <w:sz w:val="18"/>
        </w:rPr>
        <w:t>Trabajo</w:t>
      </w:r>
      <w:r>
        <w:rPr>
          <w:rFonts w:ascii="Arial MT" w:hAnsi="Arial MT"/>
          <w:spacing w:val="-12"/>
          <w:sz w:val="18"/>
        </w:rPr>
        <w:t xml:space="preserve"> </w:t>
      </w:r>
      <w:r>
        <w:rPr>
          <w:rFonts w:ascii="Arial MT" w:hAnsi="Arial MT"/>
          <w:sz w:val="18"/>
        </w:rPr>
        <w:t>Decente</w:t>
      </w:r>
      <w:r>
        <w:rPr>
          <w:rFonts w:ascii="Arial MT" w:hAnsi="Arial MT"/>
          <w:spacing w:val="-6"/>
          <w:sz w:val="18"/>
        </w:rPr>
        <w:t xml:space="preserve"> </w:t>
      </w:r>
      <w:r>
        <w:rPr>
          <w:rFonts w:ascii="Arial MT" w:hAnsi="Arial MT"/>
          <w:sz w:val="18"/>
        </w:rPr>
        <w:t>–</w:t>
      </w:r>
      <w:r>
        <w:rPr>
          <w:rFonts w:ascii="Arial MT" w:hAnsi="Arial MT"/>
          <w:spacing w:val="-10"/>
          <w:sz w:val="18"/>
        </w:rPr>
        <w:t xml:space="preserve"> </w:t>
      </w:r>
      <w:r>
        <w:rPr>
          <w:rFonts w:ascii="Arial MT" w:hAnsi="Arial MT"/>
          <w:sz w:val="18"/>
        </w:rPr>
        <w:t>2022.</w:t>
      </w:r>
      <w:r>
        <w:rPr>
          <w:rFonts w:ascii="Arial MT" w:hAnsi="Arial MT"/>
          <w:spacing w:val="-9"/>
          <w:sz w:val="18"/>
        </w:rPr>
        <w:t xml:space="preserve"> </w:t>
      </w:r>
      <w:hyperlink r:id="rId83">
        <w:r w:rsidR="000E52B0">
          <w:rPr>
            <w:rFonts w:ascii="Arial MT" w:hAnsi="Arial MT"/>
            <w:color w:val="E22C91"/>
            <w:sz w:val="18"/>
            <w:u w:val="single" w:color="E22C91"/>
          </w:rPr>
          <w:t>https://www.ens.org.co/wp-</w:t>
        </w:r>
      </w:hyperlink>
      <w:r>
        <w:rPr>
          <w:rFonts w:ascii="Arial MT" w:hAnsi="Arial MT"/>
          <w:color w:val="E22C91"/>
          <w:sz w:val="18"/>
        </w:rPr>
        <w:t xml:space="preserve"> </w:t>
      </w:r>
      <w:hyperlink r:id="rId84">
        <w:proofErr w:type="spellStart"/>
        <w:r w:rsidR="000E52B0">
          <w:rPr>
            <w:rFonts w:ascii="Arial MT" w:hAnsi="Arial MT"/>
            <w:color w:val="E22C91"/>
            <w:spacing w:val="-2"/>
            <w:sz w:val="18"/>
            <w:u w:val="single" w:color="E22C91"/>
          </w:rPr>
          <w:t>content</w:t>
        </w:r>
        <w:proofErr w:type="spellEnd"/>
        <w:r w:rsidR="000E52B0">
          <w:rPr>
            <w:rFonts w:ascii="Arial MT" w:hAnsi="Arial MT"/>
            <w:color w:val="E22C91"/>
            <w:spacing w:val="-2"/>
            <w:sz w:val="18"/>
            <w:u w:val="single" w:color="E22C91"/>
          </w:rPr>
          <w:t>/</w:t>
        </w:r>
        <w:proofErr w:type="spellStart"/>
        <w:r w:rsidR="000E52B0">
          <w:rPr>
            <w:rFonts w:ascii="Arial MT" w:hAnsi="Arial MT"/>
            <w:color w:val="E22C91"/>
            <w:spacing w:val="-2"/>
            <w:sz w:val="18"/>
            <w:u w:val="single" w:color="E22C91"/>
          </w:rPr>
          <w:t>uploads</w:t>
        </w:r>
        <w:proofErr w:type="spellEnd"/>
        <w:r w:rsidR="000E52B0">
          <w:rPr>
            <w:rFonts w:ascii="Arial MT" w:hAnsi="Arial MT"/>
            <w:color w:val="E22C91"/>
            <w:spacing w:val="-2"/>
            <w:sz w:val="18"/>
            <w:u w:val="single" w:color="E22C91"/>
          </w:rPr>
          <w:t>/2022/10/XV-INFORME-DE-TRABAJO-DECENTE-2022.pdf</w:t>
        </w:r>
      </w:hyperlink>
    </w:p>
    <w:p w14:paraId="1C2EDD7A" w14:textId="77777777" w:rsidR="000E52B0" w:rsidRDefault="00F60D74">
      <w:pPr>
        <w:spacing w:line="242" w:lineRule="auto"/>
        <w:ind w:left="720" w:right="715"/>
        <w:rPr>
          <w:rFonts w:ascii="Arial MT" w:hAnsi="Arial MT"/>
          <w:sz w:val="18"/>
        </w:rPr>
      </w:pPr>
      <w:bookmarkStart w:id="30" w:name="_bookmark30"/>
      <w:bookmarkEnd w:id="30"/>
      <w:r>
        <w:rPr>
          <w:rFonts w:ascii="Arial MT" w:hAnsi="Arial MT"/>
          <w:position w:val="6"/>
          <w:sz w:val="12"/>
        </w:rPr>
        <w:t>25</w:t>
      </w:r>
      <w:r>
        <w:rPr>
          <w:rFonts w:ascii="Arial MT" w:hAnsi="Arial MT"/>
          <w:spacing w:val="9"/>
          <w:position w:val="6"/>
          <w:sz w:val="12"/>
        </w:rPr>
        <w:t xml:space="preserve"> </w:t>
      </w:r>
      <w:r>
        <w:rPr>
          <w:rFonts w:ascii="Arial MT" w:hAnsi="Arial MT"/>
          <w:sz w:val="18"/>
        </w:rPr>
        <w:t>DANE.</w:t>
      </w:r>
      <w:r>
        <w:rPr>
          <w:rFonts w:ascii="Arial MT" w:hAnsi="Arial MT"/>
          <w:spacing w:val="-8"/>
          <w:sz w:val="18"/>
        </w:rPr>
        <w:t xml:space="preserve"> </w:t>
      </w:r>
      <w:r>
        <w:rPr>
          <w:rFonts w:ascii="Arial MT" w:hAnsi="Arial MT"/>
          <w:sz w:val="18"/>
        </w:rPr>
        <w:t>(2023).</w:t>
      </w:r>
      <w:r>
        <w:rPr>
          <w:rFonts w:ascii="Arial MT" w:hAnsi="Arial MT"/>
          <w:spacing w:val="-7"/>
          <w:sz w:val="18"/>
        </w:rPr>
        <w:t xml:space="preserve"> </w:t>
      </w:r>
      <w:r>
        <w:rPr>
          <w:rFonts w:ascii="Arial MT" w:hAnsi="Arial MT"/>
          <w:sz w:val="18"/>
        </w:rPr>
        <w:t>Boletín</w:t>
      </w:r>
      <w:r>
        <w:rPr>
          <w:rFonts w:ascii="Arial MT" w:hAnsi="Arial MT"/>
          <w:spacing w:val="-7"/>
          <w:sz w:val="18"/>
        </w:rPr>
        <w:t xml:space="preserve"> </w:t>
      </w:r>
      <w:r>
        <w:rPr>
          <w:rFonts w:ascii="Arial MT" w:hAnsi="Arial MT"/>
          <w:sz w:val="18"/>
        </w:rPr>
        <w:t>Técnico</w:t>
      </w:r>
      <w:r>
        <w:rPr>
          <w:rFonts w:ascii="Arial MT" w:hAnsi="Arial MT"/>
          <w:spacing w:val="-5"/>
          <w:sz w:val="18"/>
        </w:rPr>
        <w:t xml:space="preserve"> </w:t>
      </w:r>
      <w:r>
        <w:rPr>
          <w:rFonts w:ascii="Arial MT" w:hAnsi="Arial MT"/>
          <w:sz w:val="18"/>
        </w:rPr>
        <w:t>-</w:t>
      </w:r>
      <w:r>
        <w:rPr>
          <w:rFonts w:ascii="Arial MT" w:hAnsi="Arial MT"/>
          <w:spacing w:val="-8"/>
          <w:sz w:val="18"/>
        </w:rPr>
        <w:t xml:space="preserve"> </w:t>
      </w:r>
      <w:r>
        <w:rPr>
          <w:rFonts w:ascii="Arial MT" w:hAnsi="Arial MT"/>
          <w:sz w:val="18"/>
        </w:rPr>
        <w:t>Mercado</w:t>
      </w:r>
      <w:r>
        <w:rPr>
          <w:rFonts w:ascii="Arial MT" w:hAnsi="Arial MT"/>
          <w:spacing w:val="-7"/>
          <w:sz w:val="18"/>
        </w:rPr>
        <w:t xml:space="preserve"> </w:t>
      </w:r>
      <w:r>
        <w:rPr>
          <w:rFonts w:ascii="Arial MT" w:hAnsi="Arial MT"/>
          <w:sz w:val="18"/>
        </w:rPr>
        <w:t>laboral</w:t>
      </w:r>
      <w:r>
        <w:rPr>
          <w:rFonts w:ascii="Arial MT" w:hAnsi="Arial MT"/>
          <w:spacing w:val="-10"/>
          <w:sz w:val="18"/>
        </w:rPr>
        <w:t xml:space="preserve"> </w:t>
      </w:r>
      <w:r>
        <w:rPr>
          <w:rFonts w:ascii="Arial MT" w:hAnsi="Arial MT"/>
          <w:sz w:val="18"/>
        </w:rPr>
        <w:t>de</w:t>
      </w:r>
      <w:r>
        <w:rPr>
          <w:rFonts w:ascii="Arial MT" w:hAnsi="Arial MT"/>
          <w:spacing w:val="-7"/>
          <w:sz w:val="18"/>
        </w:rPr>
        <w:t xml:space="preserve"> </w:t>
      </w:r>
      <w:r>
        <w:rPr>
          <w:rFonts w:ascii="Arial MT" w:hAnsi="Arial MT"/>
          <w:sz w:val="18"/>
        </w:rPr>
        <w:t>la</w:t>
      </w:r>
      <w:r>
        <w:rPr>
          <w:rFonts w:ascii="Arial MT" w:hAnsi="Arial MT"/>
          <w:spacing w:val="-7"/>
          <w:sz w:val="18"/>
        </w:rPr>
        <w:t xml:space="preserve"> </w:t>
      </w:r>
      <w:r>
        <w:rPr>
          <w:rFonts w:ascii="Arial MT" w:hAnsi="Arial MT"/>
          <w:sz w:val="18"/>
        </w:rPr>
        <w:t>población</w:t>
      </w:r>
      <w:r>
        <w:rPr>
          <w:rFonts w:ascii="Arial MT" w:hAnsi="Arial MT"/>
          <w:spacing w:val="-10"/>
          <w:sz w:val="18"/>
        </w:rPr>
        <w:t xml:space="preserve"> </w:t>
      </w:r>
      <w:r>
        <w:rPr>
          <w:rFonts w:ascii="Arial MT" w:hAnsi="Arial MT"/>
          <w:sz w:val="18"/>
        </w:rPr>
        <w:t>campesina.</w:t>
      </w:r>
      <w:r>
        <w:rPr>
          <w:rFonts w:ascii="Arial MT" w:hAnsi="Arial MT"/>
          <w:spacing w:val="-8"/>
          <w:sz w:val="18"/>
        </w:rPr>
        <w:t xml:space="preserve"> </w:t>
      </w:r>
      <w:r>
        <w:rPr>
          <w:rFonts w:ascii="Arial MT" w:hAnsi="Arial MT"/>
          <w:sz w:val="18"/>
        </w:rPr>
        <w:t>Trimestre</w:t>
      </w:r>
      <w:r>
        <w:rPr>
          <w:rFonts w:ascii="Arial MT" w:hAnsi="Arial MT"/>
          <w:spacing w:val="-9"/>
          <w:sz w:val="18"/>
        </w:rPr>
        <w:t xml:space="preserve"> </w:t>
      </w:r>
      <w:r>
        <w:rPr>
          <w:rFonts w:ascii="Arial MT" w:hAnsi="Arial MT"/>
          <w:sz w:val="18"/>
        </w:rPr>
        <w:t>julio</w:t>
      </w:r>
      <w:r>
        <w:rPr>
          <w:rFonts w:ascii="Arial MT" w:hAnsi="Arial MT"/>
          <w:spacing w:val="-1"/>
          <w:sz w:val="18"/>
        </w:rPr>
        <w:t xml:space="preserve"> </w:t>
      </w:r>
      <w:r>
        <w:rPr>
          <w:rFonts w:ascii="Arial MT" w:hAnsi="Arial MT"/>
          <w:sz w:val="18"/>
        </w:rPr>
        <w:t>–</w:t>
      </w:r>
      <w:r>
        <w:rPr>
          <w:rFonts w:ascii="Arial MT" w:hAnsi="Arial MT"/>
          <w:spacing w:val="-7"/>
          <w:sz w:val="18"/>
        </w:rPr>
        <w:t xml:space="preserve"> </w:t>
      </w:r>
      <w:r>
        <w:rPr>
          <w:rFonts w:ascii="Arial MT" w:hAnsi="Arial MT"/>
          <w:sz w:val="18"/>
        </w:rPr>
        <w:t>septiembre</w:t>
      </w:r>
      <w:r>
        <w:rPr>
          <w:rFonts w:ascii="Arial MT" w:hAnsi="Arial MT"/>
          <w:spacing w:val="-7"/>
          <w:sz w:val="18"/>
        </w:rPr>
        <w:t xml:space="preserve"> </w:t>
      </w:r>
      <w:r>
        <w:rPr>
          <w:rFonts w:ascii="Arial MT" w:hAnsi="Arial MT"/>
          <w:sz w:val="18"/>
        </w:rPr>
        <w:t xml:space="preserve">2023. </w:t>
      </w:r>
      <w:hyperlink r:id="rId85">
        <w:r w:rsidR="000E52B0">
          <w:rPr>
            <w:rFonts w:ascii="Arial MT" w:hAnsi="Arial MT"/>
            <w:color w:val="E22C91"/>
            <w:spacing w:val="-2"/>
            <w:sz w:val="18"/>
            <w:u w:val="single" w:color="E22C91"/>
          </w:rPr>
          <w:t>https://www.dane.gov.co/files/operaciones/GEIH/bol-GEIHMLPC-jul-sep2023.pdf</w:t>
        </w:r>
      </w:hyperlink>
    </w:p>
    <w:p w14:paraId="4CF35761" w14:textId="77777777" w:rsidR="000E52B0" w:rsidRDefault="00F60D74">
      <w:pPr>
        <w:ind w:left="720" w:right="713"/>
        <w:rPr>
          <w:rFonts w:ascii="Arial MT"/>
          <w:sz w:val="18"/>
        </w:rPr>
      </w:pPr>
      <w:bookmarkStart w:id="31" w:name="_bookmark31"/>
      <w:bookmarkEnd w:id="31"/>
      <w:r>
        <w:rPr>
          <w:rFonts w:ascii="Arial MT"/>
          <w:position w:val="6"/>
          <w:sz w:val="12"/>
        </w:rPr>
        <w:t xml:space="preserve">26 </w:t>
      </w:r>
      <w:proofErr w:type="gramStart"/>
      <w:r>
        <w:rPr>
          <w:rFonts w:ascii="Arial MT"/>
          <w:sz w:val="18"/>
        </w:rPr>
        <w:t>Agencia</w:t>
      </w:r>
      <w:proofErr w:type="gramEnd"/>
      <w:r>
        <w:rPr>
          <w:rFonts w:ascii="Arial MT"/>
          <w:spacing w:val="-11"/>
          <w:sz w:val="18"/>
        </w:rPr>
        <w:t xml:space="preserve"> </w:t>
      </w:r>
      <w:r>
        <w:rPr>
          <w:rFonts w:ascii="Arial MT"/>
          <w:sz w:val="18"/>
        </w:rPr>
        <w:t>Nacional</w:t>
      </w:r>
      <w:r>
        <w:rPr>
          <w:rFonts w:ascii="Arial MT"/>
          <w:spacing w:val="-13"/>
          <w:sz w:val="18"/>
        </w:rPr>
        <w:t xml:space="preserve"> </w:t>
      </w:r>
      <w:r>
        <w:rPr>
          <w:rFonts w:ascii="Arial MT"/>
          <w:sz w:val="18"/>
        </w:rPr>
        <w:t>de</w:t>
      </w:r>
      <w:r>
        <w:rPr>
          <w:rFonts w:ascii="Arial MT"/>
          <w:spacing w:val="-11"/>
          <w:sz w:val="18"/>
        </w:rPr>
        <w:t xml:space="preserve"> </w:t>
      </w:r>
      <w:r>
        <w:rPr>
          <w:rFonts w:ascii="Arial MT"/>
          <w:sz w:val="18"/>
        </w:rPr>
        <w:t>Tierras</w:t>
      </w:r>
      <w:r>
        <w:rPr>
          <w:rFonts w:ascii="Arial MT"/>
          <w:spacing w:val="-12"/>
          <w:sz w:val="18"/>
        </w:rPr>
        <w:t xml:space="preserve"> </w:t>
      </w:r>
      <w:r>
        <w:rPr>
          <w:rFonts w:ascii="Arial MT"/>
          <w:sz w:val="18"/>
        </w:rPr>
        <w:t>(2022).</w:t>
      </w:r>
      <w:r>
        <w:rPr>
          <w:rFonts w:ascii="Arial MT"/>
          <w:spacing w:val="-9"/>
          <w:sz w:val="18"/>
        </w:rPr>
        <w:t xml:space="preserve"> </w:t>
      </w:r>
      <w:r>
        <w:rPr>
          <w:rFonts w:ascii="Arial MT"/>
          <w:sz w:val="18"/>
        </w:rPr>
        <w:t>Acceso</w:t>
      </w:r>
      <w:r>
        <w:rPr>
          <w:rFonts w:ascii="Arial MT"/>
          <w:spacing w:val="-13"/>
          <w:sz w:val="18"/>
        </w:rPr>
        <w:t xml:space="preserve"> </w:t>
      </w:r>
      <w:r>
        <w:rPr>
          <w:rFonts w:ascii="Arial MT"/>
          <w:sz w:val="18"/>
        </w:rPr>
        <w:t>a</w:t>
      </w:r>
      <w:r>
        <w:rPr>
          <w:rFonts w:ascii="Arial MT"/>
          <w:spacing w:val="-11"/>
          <w:sz w:val="18"/>
        </w:rPr>
        <w:t xml:space="preserve"> </w:t>
      </w:r>
      <w:r>
        <w:rPr>
          <w:rFonts w:ascii="Arial MT"/>
          <w:sz w:val="18"/>
        </w:rPr>
        <w:t>tierras</w:t>
      </w:r>
      <w:r>
        <w:rPr>
          <w:rFonts w:ascii="Arial MT"/>
          <w:spacing w:val="-13"/>
          <w:sz w:val="18"/>
        </w:rPr>
        <w:t xml:space="preserve"> </w:t>
      </w:r>
      <w:r>
        <w:rPr>
          <w:rFonts w:ascii="Arial MT"/>
          <w:sz w:val="18"/>
        </w:rPr>
        <w:t>para</w:t>
      </w:r>
      <w:r>
        <w:rPr>
          <w:rFonts w:ascii="Arial MT"/>
          <w:spacing w:val="-12"/>
          <w:sz w:val="18"/>
        </w:rPr>
        <w:t xml:space="preserve"> </w:t>
      </w:r>
      <w:r>
        <w:rPr>
          <w:rFonts w:ascii="Arial MT"/>
          <w:sz w:val="18"/>
        </w:rPr>
        <w:t>mujeres</w:t>
      </w:r>
      <w:r>
        <w:rPr>
          <w:rFonts w:ascii="Arial MT"/>
          <w:spacing w:val="-12"/>
          <w:sz w:val="18"/>
        </w:rPr>
        <w:t xml:space="preserve"> </w:t>
      </w:r>
      <w:r>
        <w:rPr>
          <w:rFonts w:ascii="Arial MT"/>
          <w:sz w:val="18"/>
        </w:rPr>
        <w:t>campesinas.</w:t>
      </w:r>
      <w:r>
        <w:rPr>
          <w:rFonts w:ascii="Arial MT"/>
          <w:spacing w:val="-12"/>
          <w:sz w:val="18"/>
        </w:rPr>
        <w:t xml:space="preserve"> </w:t>
      </w:r>
      <w:r>
        <w:rPr>
          <w:rFonts w:ascii="Arial MT"/>
          <w:sz w:val="18"/>
        </w:rPr>
        <w:t>Ver:</w:t>
      </w:r>
      <w:r>
        <w:rPr>
          <w:rFonts w:ascii="Arial MT"/>
          <w:spacing w:val="-10"/>
          <w:sz w:val="18"/>
        </w:rPr>
        <w:t xml:space="preserve"> </w:t>
      </w:r>
      <w:hyperlink r:id="rId86">
        <w:r w:rsidR="000E52B0">
          <w:rPr>
            <w:rFonts w:ascii="Arial MT"/>
            <w:color w:val="E22C91"/>
            <w:sz w:val="18"/>
            <w:u w:val="single" w:color="E22C91"/>
          </w:rPr>
          <w:t>https://www.ant.gov.co/wp-</w:t>
        </w:r>
      </w:hyperlink>
      <w:r>
        <w:rPr>
          <w:rFonts w:ascii="Arial MT"/>
          <w:color w:val="E22C91"/>
          <w:sz w:val="18"/>
        </w:rPr>
        <w:t xml:space="preserve"> </w:t>
      </w:r>
      <w:hyperlink r:id="rId87">
        <w:proofErr w:type="spellStart"/>
        <w:r w:rsidR="000E52B0">
          <w:rPr>
            <w:rFonts w:ascii="Arial MT"/>
            <w:color w:val="E22C91"/>
            <w:spacing w:val="-2"/>
            <w:sz w:val="18"/>
            <w:u w:val="single" w:color="E22C91"/>
          </w:rPr>
          <w:t>content</w:t>
        </w:r>
        <w:proofErr w:type="spellEnd"/>
        <w:r w:rsidR="000E52B0">
          <w:rPr>
            <w:rFonts w:ascii="Arial MT"/>
            <w:color w:val="E22C91"/>
            <w:spacing w:val="-2"/>
            <w:sz w:val="18"/>
            <w:u w:val="single" w:color="E22C91"/>
          </w:rPr>
          <w:t>/</w:t>
        </w:r>
        <w:proofErr w:type="spellStart"/>
        <w:r w:rsidR="000E52B0">
          <w:rPr>
            <w:rFonts w:ascii="Arial MT"/>
            <w:color w:val="E22C91"/>
            <w:spacing w:val="-2"/>
            <w:sz w:val="18"/>
            <w:u w:val="single" w:color="E22C91"/>
          </w:rPr>
          <w:t>uploads</w:t>
        </w:r>
        <w:proofErr w:type="spellEnd"/>
        <w:r w:rsidR="000E52B0">
          <w:rPr>
            <w:rFonts w:ascii="Arial MT"/>
            <w:color w:val="E22C91"/>
            <w:spacing w:val="-2"/>
            <w:sz w:val="18"/>
            <w:u w:val="single" w:color="E22C91"/>
          </w:rPr>
          <w:t>/2022/08/Mujer-rural2_web.pdf</w:t>
        </w:r>
      </w:hyperlink>
    </w:p>
    <w:p w14:paraId="2E6BF7B6" w14:textId="77777777" w:rsidR="000E52B0" w:rsidRDefault="00F60D74">
      <w:pPr>
        <w:spacing w:line="242" w:lineRule="auto"/>
        <w:ind w:left="720" w:right="713"/>
        <w:rPr>
          <w:rFonts w:ascii="Arial MT"/>
          <w:sz w:val="18"/>
        </w:rPr>
      </w:pPr>
      <w:bookmarkStart w:id="32" w:name="_bookmark32"/>
      <w:bookmarkEnd w:id="32"/>
      <w:r>
        <w:rPr>
          <w:rFonts w:ascii="Arial MT"/>
          <w:position w:val="6"/>
          <w:sz w:val="12"/>
        </w:rPr>
        <w:t xml:space="preserve">27 </w:t>
      </w:r>
      <w:proofErr w:type="gramStart"/>
      <w:r>
        <w:rPr>
          <w:rFonts w:ascii="Arial MT"/>
          <w:sz w:val="18"/>
        </w:rPr>
        <w:t>Agencia</w:t>
      </w:r>
      <w:proofErr w:type="gramEnd"/>
      <w:r>
        <w:rPr>
          <w:rFonts w:ascii="Arial MT"/>
          <w:spacing w:val="-12"/>
          <w:sz w:val="18"/>
        </w:rPr>
        <w:t xml:space="preserve"> </w:t>
      </w:r>
      <w:r>
        <w:rPr>
          <w:rFonts w:ascii="Arial MT"/>
          <w:sz w:val="18"/>
        </w:rPr>
        <w:t>Nacional</w:t>
      </w:r>
      <w:r>
        <w:rPr>
          <w:rFonts w:ascii="Arial MT"/>
          <w:spacing w:val="-13"/>
          <w:sz w:val="18"/>
        </w:rPr>
        <w:t xml:space="preserve"> </w:t>
      </w:r>
      <w:r>
        <w:rPr>
          <w:rFonts w:ascii="Arial MT"/>
          <w:sz w:val="18"/>
        </w:rPr>
        <w:t>de</w:t>
      </w:r>
      <w:r>
        <w:rPr>
          <w:rFonts w:ascii="Arial MT"/>
          <w:spacing w:val="-11"/>
          <w:sz w:val="18"/>
        </w:rPr>
        <w:t xml:space="preserve"> </w:t>
      </w:r>
      <w:r>
        <w:rPr>
          <w:rFonts w:ascii="Arial MT"/>
          <w:sz w:val="18"/>
        </w:rPr>
        <w:t>Tierras</w:t>
      </w:r>
      <w:r>
        <w:rPr>
          <w:rFonts w:ascii="Arial MT"/>
          <w:spacing w:val="-12"/>
          <w:sz w:val="18"/>
        </w:rPr>
        <w:t xml:space="preserve"> </w:t>
      </w:r>
      <w:r>
        <w:rPr>
          <w:rFonts w:ascii="Arial MT"/>
          <w:sz w:val="18"/>
        </w:rPr>
        <w:t>(2022).</w:t>
      </w:r>
      <w:r>
        <w:rPr>
          <w:rFonts w:ascii="Arial MT"/>
          <w:spacing w:val="-9"/>
          <w:sz w:val="18"/>
        </w:rPr>
        <w:t xml:space="preserve"> </w:t>
      </w:r>
      <w:r>
        <w:rPr>
          <w:rFonts w:ascii="Arial MT"/>
          <w:sz w:val="18"/>
        </w:rPr>
        <w:t>Acceso</w:t>
      </w:r>
      <w:r>
        <w:rPr>
          <w:rFonts w:ascii="Arial MT"/>
          <w:spacing w:val="-13"/>
          <w:sz w:val="18"/>
        </w:rPr>
        <w:t xml:space="preserve"> </w:t>
      </w:r>
      <w:r>
        <w:rPr>
          <w:rFonts w:ascii="Arial MT"/>
          <w:sz w:val="18"/>
        </w:rPr>
        <w:t>a</w:t>
      </w:r>
      <w:r>
        <w:rPr>
          <w:rFonts w:ascii="Arial MT"/>
          <w:spacing w:val="-11"/>
          <w:sz w:val="18"/>
        </w:rPr>
        <w:t xml:space="preserve"> </w:t>
      </w:r>
      <w:r>
        <w:rPr>
          <w:rFonts w:ascii="Arial MT"/>
          <w:sz w:val="18"/>
        </w:rPr>
        <w:t>tierras</w:t>
      </w:r>
      <w:r>
        <w:rPr>
          <w:rFonts w:ascii="Arial MT"/>
          <w:spacing w:val="-13"/>
          <w:sz w:val="18"/>
        </w:rPr>
        <w:t xml:space="preserve"> </w:t>
      </w:r>
      <w:r>
        <w:rPr>
          <w:rFonts w:ascii="Arial MT"/>
          <w:sz w:val="18"/>
        </w:rPr>
        <w:t>para</w:t>
      </w:r>
      <w:r>
        <w:rPr>
          <w:rFonts w:ascii="Arial MT"/>
          <w:spacing w:val="-12"/>
          <w:sz w:val="18"/>
        </w:rPr>
        <w:t xml:space="preserve"> </w:t>
      </w:r>
      <w:r>
        <w:rPr>
          <w:rFonts w:ascii="Arial MT"/>
          <w:sz w:val="18"/>
        </w:rPr>
        <w:t>mujeres</w:t>
      </w:r>
      <w:r>
        <w:rPr>
          <w:rFonts w:ascii="Arial MT"/>
          <w:spacing w:val="-12"/>
          <w:sz w:val="18"/>
        </w:rPr>
        <w:t xml:space="preserve"> </w:t>
      </w:r>
      <w:r>
        <w:rPr>
          <w:rFonts w:ascii="Arial MT"/>
          <w:sz w:val="18"/>
        </w:rPr>
        <w:t>campesinas.</w:t>
      </w:r>
      <w:r>
        <w:rPr>
          <w:rFonts w:ascii="Arial MT"/>
          <w:spacing w:val="-8"/>
          <w:sz w:val="18"/>
        </w:rPr>
        <w:t xml:space="preserve"> </w:t>
      </w:r>
      <w:r>
        <w:rPr>
          <w:rFonts w:ascii="Arial MT"/>
          <w:sz w:val="18"/>
        </w:rPr>
        <w:t>Ver:</w:t>
      </w:r>
      <w:r>
        <w:rPr>
          <w:rFonts w:ascii="Arial MT"/>
          <w:spacing w:val="-13"/>
          <w:sz w:val="18"/>
        </w:rPr>
        <w:t xml:space="preserve"> </w:t>
      </w:r>
      <w:hyperlink r:id="rId88">
        <w:r w:rsidR="000E52B0">
          <w:rPr>
            <w:rFonts w:ascii="Arial MT"/>
            <w:color w:val="E22C91"/>
            <w:sz w:val="18"/>
            <w:u w:val="single" w:color="E22C91"/>
          </w:rPr>
          <w:t>https://www.ant.gov.co/wp-</w:t>
        </w:r>
      </w:hyperlink>
      <w:r>
        <w:rPr>
          <w:rFonts w:ascii="Arial MT"/>
          <w:color w:val="E22C91"/>
          <w:sz w:val="18"/>
        </w:rPr>
        <w:t xml:space="preserve"> </w:t>
      </w:r>
      <w:hyperlink r:id="rId89">
        <w:proofErr w:type="spellStart"/>
        <w:r w:rsidR="000E52B0">
          <w:rPr>
            <w:rFonts w:ascii="Arial MT"/>
            <w:color w:val="E22C91"/>
            <w:spacing w:val="-2"/>
            <w:sz w:val="18"/>
            <w:u w:val="single" w:color="E22C91"/>
          </w:rPr>
          <w:t>content</w:t>
        </w:r>
        <w:proofErr w:type="spellEnd"/>
        <w:r w:rsidR="000E52B0">
          <w:rPr>
            <w:rFonts w:ascii="Arial MT"/>
            <w:color w:val="E22C91"/>
            <w:spacing w:val="-2"/>
            <w:sz w:val="18"/>
            <w:u w:val="single" w:color="E22C91"/>
          </w:rPr>
          <w:t>/</w:t>
        </w:r>
        <w:proofErr w:type="spellStart"/>
        <w:r w:rsidR="000E52B0">
          <w:rPr>
            <w:rFonts w:ascii="Arial MT"/>
            <w:color w:val="E22C91"/>
            <w:spacing w:val="-2"/>
            <w:sz w:val="18"/>
            <w:u w:val="single" w:color="E22C91"/>
          </w:rPr>
          <w:t>uploads</w:t>
        </w:r>
        <w:proofErr w:type="spellEnd"/>
        <w:r w:rsidR="000E52B0">
          <w:rPr>
            <w:rFonts w:ascii="Arial MT"/>
            <w:color w:val="E22C91"/>
            <w:spacing w:val="-2"/>
            <w:sz w:val="18"/>
            <w:u w:val="single" w:color="E22C91"/>
          </w:rPr>
          <w:t>/2022/08/Mujer-rural2_web.pdf</w:t>
        </w:r>
      </w:hyperlink>
    </w:p>
    <w:p w14:paraId="7F0AC1ED" w14:textId="77777777" w:rsidR="000E52B0" w:rsidRDefault="000E52B0">
      <w:pPr>
        <w:spacing w:line="242" w:lineRule="auto"/>
        <w:rPr>
          <w:rFonts w:ascii="Arial MT"/>
          <w:sz w:val="18"/>
        </w:rPr>
        <w:sectPr w:rsidR="000E52B0">
          <w:pgSz w:w="11910" w:h="16840"/>
          <w:pgMar w:top="1340" w:right="720" w:bottom="1180" w:left="720" w:header="0" w:footer="995" w:gutter="0"/>
          <w:cols w:space="720"/>
        </w:sectPr>
      </w:pPr>
    </w:p>
    <w:p w14:paraId="5ABEA5DF" w14:textId="77777777" w:rsidR="000E52B0" w:rsidRDefault="00F60D74">
      <w:pPr>
        <w:pStyle w:val="Textoindependiente"/>
        <w:spacing w:before="83"/>
        <w:ind w:right="716"/>
        <w:jc w:val="both"/>
      </w:pPr>
      <w:r>
        <w:lastRenderedPageBreak/>
        <w:t>mujeres</w:t>
      </w:r>
      <w:r>
        <w:rPr>
          <w:spacing w:val="-12"/>
        </w:rPr>
        <w:t xml:space="preserve"> </w:t>
      </w:r>
      <w:r>
        <w:t>con</w:t>
      </w:r>
      <w:r>
        <w:rPr>
          <w:spacing w:val="-12"/>
        </w:rPr>
        <w:t xml:space="preserve"> </w:t>
      </w:r>
      <w:r>
        <w:t>discapacidad</w:t>
      </w:r>
      <w:r>
        <w:rPr>
          <w:spacing w:val="-13"/>
        </w:rPr>
        <w:t xml:space="preserve"> </w:t>
      </w:r>
      <w:r>
        <w:t>reportó</w:t>
      </w:r>
      <w:r>
        <w:rPr>
          <w:spacing w:val="-12"/>
        </w:rPr>
        <w:t xml:space="preserve"> </w:t>
      </w:r>
      <w:r>
        <w:t>estar</w:t>
      </w:r>
      <w:r>
        <w:rPr>
          <w:spacing w:val="-12"/>
        </w:rPr>
        <w:t xml:space="preserve"> </w:t>
      </w:r>
      <w:r>
        <w:t>trabajando</w:t>
      </w:r>
      <w:hyperlink w:anchor="_bookmark33" w:history="1">
        <w:r w:rsidR="000E52B0">
          <w:rPr>
            <w:position w:val="8"/>
            <w:sz w:val="16"/>
          </w:rPr>
          <w:t>28</w:t>
        </w:r>
      </w:hyperlink>
      <w:r>
        <w:t>.</w:t>
      </w:r>
      <w:r>
        <w:rPr>
          <w:spacing w:val="-13"/>
        </w:rPr>
        <w:t xml:space="preserve"> </w:t>
      </w:r>
      <w:r>
        <w:t>Esto</w:t>
      </w:r>
      <w:r>
        <w:rPr>
          <w:spacing w:val="-12"/>
        </w:rPr>
        <w:t xml:space="preserve"> </w:t>
      </w:r>
      <w:r>
        <w:t>resulta</w:t>
      </w:r>
      <w:r>
        <w:rPr>
          <w:spacing w:val="-12"/>
        </w:rPr>
        <w:t xml:space="preserve"> </w:t>
      </w:r>
      <w:r>
        <w:t>negativo ante</w:t>
      </w:r>
      <w:r>
        <w:rPr>
          <w:spacing w:val="-16"/>
        </w:rPr>
        <w:t xml:space="preserve"> </w:t>
      </w:r>
      <w:r>
        <w:t>un</w:t>
      </w:r>
      <w:r>
        <w:rPr>
          <w:spacing w:val="-18"/>
        </w:rPr>
        <w:t xml:space="preserve"> </w:t>
      </w:r>
      <w:r>
        <w:t>escenario</w:t>
      </w:r>
      <w:r>
        <w:rPr>
          <w:spacing w:val="-17"/>
        </w:rPr>
        <w:t xml:space="preserve"> </w:t>
      </w:r>
      <w:r>
        <w:t>en</w:t>
      </w:r>
      <w:r>
        <w:rPr>
          <w:spacing w:val="-18"/>
        </w:rPr>
        <w:t xml:space="preserve"> </w:t>
      </w:r>
      <w:r>
        <w:t>el</w:t>
      </w:r>
      <w:r>
        <w:rPr>
          <w:spacing w:val="-18"/>
        </w:rPr>
        <w:t xml:space="preserve"> </w:t>
      </w:r>
      <w:r>
        <w:t>que</w:t>
      </w:r>
      <w:r>
        <w:rPr>
          <w:spacing w:val="-16"/>
        </w:rPr>
        <w:t xml:space="preserve"> </w:t>
      </w:r>
      <w:r>
        <w:t>las</w:t>
      </w:r>
      <w:r>
        <w:rPr>
          <w:spacing w:val="-18"/>
        </w:rPr>
        <w:t xml:space="preserve"> </w:t>
      </w:r>
      <w:r>
        <w:t>mujeres</w:t>
      </w:r>
      <w:r>
        <w:rPr>
          <w:spacing w:val="-18"/>
        </w:rPr>
        <w:t xml:space="preserve"> </w:t>
      </w:r>
      <w:r>
        <w:t>representan</w:t>
      </w:r>
      <w:r>
        <w:rPr>
          <w:spacing w:val="-18"/>
        </w:rPr>
        <w:t xml:space="preserve"> </w:t>
      </w:r>
      <w:r>
        <w:t>el</w:t>
      </w:r>
      <w:r>
        <w:rPr>
          <w:spacing w:val="-18"/>
        </w:rPr>
        <w:t xml:space="preserve"> </w:t>
      </w:r>
      <w:r>
        <w:t>56%</w:t>
      </w:r>
      <w:r>
        <w:rPr>
          <w:spacing w:val="-19"/>
        </w:rPr>
        <w:t xml:space="preserve"> </w:t>
      </w:r>
      <w:r>
        <w:t>de</w:t>
      </w:r>
      <w:r>
        <w:rPr>
          <w:spacing w:val="-16"/>
        </w:rPr>
        <w:t xml:space="preserve"> </w:t>
      </w:r>
      <w:r>
        <w:t>la</w:t>
      </w:r>
      <w:r>
        <w:rPr>
          <w:spacing w:val="-18"/>
        </w:rPr>
        <w:t xml:space="preserve"> </w:t>
      </w:r>
      <w:r>
        <w:t>población en edad de trabajar con discapacidad</w:t>
      </w:r>
      <w:hyperlink w:anchor="_bookmark34" w:history="1">
        <w:r w:rsidR="000E52B0">
          <w:rPr>
            <w:position w:val="8"/>
            <w:sz w:val="16"/>
          </w:rPr>
          <w:t>29</w:t>
        </w:r>
      </w:hyperlink>
      <w:r>
        <w:t>.</w:t>
      </w:r>
    </w:p>
    <w:p w14:paraId="5EEE30C1" w14:textId="77777777" w:rsidR="000E52B0" w:rsidRDefault="00F60D74">
      <w:pPr>
        <w:pStyle w:val="Textoindependiente"/>
        <w:spacing w:before="159"/>
        <w:ind w:right="715"/>
        <w:jc w:val="both"/>
      </w:pPr>
      <w:r>
        <w:t>Respecto</w:t>
      </w:r>
      <w:r>
        <w:rPr>
          <w:spacing w:val="-11"/>
        </w:rPr>
        <w:t xml:space="preserve"> </w:t>
      </w:r>
      <w:r>
        <w:t>a</w:t>
      </w:r>
      <w:r>
        <w:rPr>
          <w:spacing w:val="-12"/>
        </w:rPr>
        <w:t xml:space="preserve"> </w:t>
      </w:r>
      <w:r>
        <w:t>las</w:t>
      </w:r>
      <w:r>
        <w:rPr>
          <w:spacing w:val="-12"/>
        </w:rPr>
        <w:t xml:space="preserve"> </w:t>
      </w:r>
      <w:r>
        <w:t>mujeres</w:t>
      </w:r>
      <w:r>
        <w:rPr>
          <w:spacing w:val="-12"/>
        </w:rPr>
        <w:t xml:space="preserve"> </w:t>
      </w:r>
      <w:r>
        <w:t>rurales,</w:t>
      </w:r>
      <w:r>
        <w:rPr>
          <w:spacing w:val="-13"/>
        </w:rPr>
        <w:t xml:space="preserve"> </w:t>
      </w:r>
      <w:r>
        <w:t>y</w:t>
      </w:r>
      <w:r>
        <w:rPr>
          <w:spacing w:val="-12"/>
        </w:rPr>
        <w:t xml:space="preserve"> </w:t>
      </w:r>
      <w:r>
        <w:t>el</w:t>
      </w:r>
      <w:r>
        <w:rPr>
          <w:spacing w:val="-13"/>
        </w:rPr>
        <w:t xml:space="preserve"> </w:t>
      </w:r>
      <w:r>
        <w:t>acceso</w:t>
      </w:r>
      <w:r>
        <w:rPr>
          <w:spacing w:val="-11"/>
        </w:rPr>
        <w:t xml:space="preserve"> </w:t>
      </w:r>
      <w:r>
        <w:t>a</w:t>
      </w:r>
      <w:r>
        <w:rPr>
          <w:spacing w:val="-12"/>
        </w:rPr>
        <w:t xml:space="preserve"> </w:t>
      </w:r>
      <w:r>
        <w:t>la</w:t>
      </w:r>
      <w:r>
        <w:rPr>
          <w:spacing w:val="-12"/>
        </w:rPr>
        <w:t xml:space="preserve"> </w:t>
      </w:r>
      <w:r>
        <w:t>tierra</w:t>
      </w:r>
      <w:r>
        <w:rPr>
          <w:spacing w:val="-11"/>
        </w:rPr>
        <w:t xml:space="preserve"> </w:t>
      </w:r>
      <w:r>
        <w:t>como</w:t>
      </w:r>
      <w:r>
        <w:rPr>
          <w:spacing w:val="-10"/>
        </w:rPr>
        <w:t xml:space="preserve"> </w:t>
      </w:r>
      <w:r>
        <w:t>principal</w:t>
      </w:r>
      <w:r>
        <w:rPr>
          <w:spacing w:val="-11"/>
        </w:rPr>
        <w:t xml:space="preserve"> </w:t>
      </w:r>
      <w:r>
        <w:t>medio de producción del total de personas naturales beneficiarias por la adjudicación de baldíos entre 2016 y 2021, el 41,8% fueron mujeres y el 58,1% hombres</w:t>
      </w:r>
      <w:hyperlink w:anchor="_bookmark35" w:history="1">
        <w:r w:rsidR="000E52B0">
          <w:rPr>
            <w:position w:val="8"/>
            <w:sz w:val="16"/>
          </w:rPr>
          <w:t>30</w:t>
        </w:r>
      </w:hyperlink>
      <w:r>
        <w:t>. Además, a cada hombre beneficiario le fue adjudicada un área promedio de 27,5 hectáreas, mientras que a cada mujer se le otorgaron</w:t>
      </w:r>
      <w:r>
        <w:rPr>
          <w:spacing w:val="-12"/>
        </w:rPr>
        <w:t xml:space="preserve"> </w:t>
      </w:r>
      <w:r>
        <w:t>en</w:t>
      </w:r>
      <w:r>
        <w:rPr>
          <w:spacing w:val="-12"/>
        </w:rPr>
        <w:t xml:space="preserve"> </w:t>
      </w:r>
      <w:r>
        <w:t>promedio</w:t>
      </w:r>
      <w:r>
        <w:rPr>
          <w:spacing w:val="-11"/>
        </w:rPr>
        <w:t xml:space="preserve"> </w:t>
      </w:r>
      <w:r>
        <w:t>17,3</w:t>
      </w:r>
      <w:r>
        <w:rPr>
          <w:spacing w:val="-10"/>
        </w:rPr>
        <w:t xml:space="preserve"> </w:t>
      </w:r>
      <w:r>
        <w:t>hectáreas</w:t>
      </w:r>
      <w:hyperlink w:anchor="_bookmark36" w:history="1">
        <w:r w:rsidR="000E52B0">
          <w:rPr>
            <w:position w:val="8"/>
            <w:sz w:val="16"/>
          </w:rPr>
          <w:t>31</w:t>
        </w:r>
      </w:hyperlink>
      <w:r>
        <w:t>.</w:t>
      </w:r>
      <w:r>
        <w:rPr>
          <w:spacing w:val="-10"/>
        </w:rPr>
        <w:t xml:space="preserve"> </w:t>
      </w:r>
      <w:r>
        <w:t>De</w:t>
      </w:r>
      <w:r>
        <w:rPr>
          <w:spacing w:val="-10"/>
        </w:rPr>
        <w:t xml:space="preserve"> </w:t>
      </w:r>
      <w:r>
        <w:t>manera</w:t>
      </w:r>
      <w:r>
        <w:rPr>
          <w:spacing w:val="-10"/>
        </w:rPr>
        <w:t xml:space="preserve"> </w:t>
      </w:r>
      <w:r>
        <w:t>similar,</w:t>
      </w:r>
      <w:r>
        <w:rPr>
          <w:spacing w:val="-9"/>
        </w:rPr>
        <w:t xml:space="preserve"> </w:t>
      </w:r>
      <w:r>
        <w:t>pese</w:t>
      </w:r>
      <w:r>
        <w:rPr>
          <w:spacing w:val="-10"/>
        </w:rPr>
        <w:t xml:space="preserve"> </w:t>
      </w:r>
      <w:r>
        <w:t>a</w:t>
      </w:r>
      <w:r>
        <w:rPr>
          <w:spacing w:val="-11"/>
        </w:rPr>
        <w:t xml:space="preserve"> </w:t>
      </w:r>
      <w:r>
        <w:t>que</w:t>
      </w:r>
      <w:r>
        <w:rPr>
          <w:spacing w:val="-10"/>
        </w:rPr>
        <w:t xml:space="preserve"> </w:t>
      </w:r>
      <w:r>
        <w:t>es mayor el número de mujeres beneficiarias por los subsidios integrales de tierra, el 51.6% de las hectáreas regularizadas por estos subsidios son de los hombres.</w:t>
      </w:r>
    </w:p>
    <w:p w14:paraId="72D146A9" w14:textId="77777777" w:rsidR="000E52B0" w:rsidRDefault="00F60D74">
      <w:pPr>
        <w:pStyle w:val="Textoindependiente"/>
        <w:spacing w:before="160"/>
        <w:ind w:right="720"/>
        <w:jc w:val="both"/>
        <w:rPr>
          <w:position w:val="8"/>
          <w:sz w:val="16"/>
        </w:rPr>
      </w:pPr>
      <w:r>
        <w:t>De</w:t>
      </w:r>
      <w:r>
        <w:rPr>
          <w:spacing w:val="-18"/>
        </w:rPr>
        <w:t xml:space="preserve"> </w:t>
      </w:r>
      <w:r>
        <w:t>igual</w:t>
      </w:r>
      <w:r>
        <w:rPr>
          <w:spacing w:val="-21"/>
        </w:rPr>
        <w:t xml:space="preserve"> </w:t>
      </w:r>
      <w:r>
        <w:t>forma,</w:t>
      </w:r>
      <w:r>
        <w:rPr>
          <w:spacing w:val="-18"/>
        </w:rPr>
        <w:t xml:space="preserve"> </w:t>
      </w:r>
      <w:r>
        <w:t>la</w:t>
      </w:r>
      <w:r>
        <w:rPr>
          <w:spacing w:val="-20"/>
        </w:rPr>
        <w:t xml:space="preserve"> </w:t>
      </w:r>
      <w:r>
        <w:t>distribución</w:t>
      </w:r>
      <w:r>
        <w:rPr>
          <w:spacing w:val="-20"/>
        </w:rPr>
        <w:t xml:space="preserve"> </w:t>
      </w:r>
      <w:r>
        <w:t>de</w:t>
      </w:r>
      <w:r>
        <w:rPr>
          <w:spacing w:val="-18"/>
        </w:rPr>
        <w:t xml:space="preserve"> </w:t>
      </w:r>
      <w:r>
        <w:t>la</w:t>
      </w:r>
      <w:r>
        <w:rPr>
          <w:spacing w:val="-20"/>
        </w:rPr>
        <w:t xml:space="preserve"> </w:t>
      </w:r>
      <w:r>
        <w:t>propiedad</w:t>
      </w:r>
      <w:r>
        <w:rPr>
          <w:spacing w:val="-20"/>
        </w:rPr>
        <w:t xml:space="preserve"> </w:t>
      </w:r>
      <w:r>
        <w:t>rural</w:t>
      </w:r>
      <w:r>
        <w:rPr>
          <w:spacing w:val="-20"/>
        </w:rPr>
        <w:t xml:space="preserve"> </w:t>
      </w:r>
      <w:r>
        <w:t>se</w:t>
      </w:r>
      <w:r>
        <w:rPr>
          <w:spacing w:val="-18"/>
        </w:rPr>
        <w:t xml:space="preserve"> </w:t>
      </w:r>
      <w:r>
        <w:t>concentra</w:t>
      </w:r>
      <w:r>
        <w:rPr>
          <w:spacing w:val="-19"/>
        </w:rPr>
        <w:t xml:space="preserve"> </w:t>
      </w:r>
      <w:r>
        <w:t>cualitativa y cuantitativamente en los hombres, para el total nacional rural el 63,7% de los predios de único propietario tienen a un hombre como titular, y el restante 36,3% tiene a una mujer como titula.</w:t>
      </w:r>
      <w:hyperlink w:anchor="_bookmark37" w:history="1">
        <w:r w:rsidR="000E52B0">
          <w:rPr>
            <w:position w:val="8"/>
            <w:sz w:val="16"/>
          </w:rPr>
          <w:t>32</w:t>
        </w:r>
      </w:hyperlink>
    </w:p>
    <w:p w14:paraId="6190A679" w14:textId="77777777" w:rsidR="000E52B0" w:rsidRDefault="00F60D74">
      <w:pPr>
        <w:pStyle w:val="Textoindependiente"/>
        <w:spacing w:before="160"/>
        <w:ind w:right="719"/>
        <w:jc w:val="both"/>
      </w:pPr>
      <w:r>
        <w:t>Respecto</w:t>
      </w:r>
      <w:r>
        <w:rPr>
          <w:spacing w:val="-15"/>
        </w:rPr>
        <w:t xml:space="preserve"> </w:t>
      </w:r>
      <w:r>
        <w:t>al</w:t>
      </w:r>
      <w:r>
        <w:rPr>
          <w:spacing w:val="-17"/>
        </w:rPr>
        <w:t xml:space="preserve"> </w:t>
      </w:r>
      <w:r>
        <w:t>control</w:t>
      </w:r>
      <w:r>
        <w:rPr>
          <w:spacing w:val="-15"/>
        </w:rPr>
        <w:t xml:space="preserve"> </w:t>
      </w:r>
      <w:r>
        <w:t>sobre</w:t>
      </w:r>
      <w:r>
        <w:rPr>
          <w:spacing w:val="-15"/>
        </w:rPr>
        <w:t xml:space="preserve"> </w:t>
      </w:r>
      <w:r>
        <w:t>su</w:t>
      </w:r>
      <w:r>
        <w:rPr>
          <w:spacing w:val="-17"/>
        </w:rPr>
        <w:t xml:space="preserve"> </w:t>
      </w:r>
      <w:r>
        <w:t>patrimonio,</w:t>
      </w:r>
      <w:r>
        <w:rPr>
          <w:spacing w:val="-17"/>
        </w:rPr>
        <w:t xml:space="preserve"> </w:t>
      </w:r>
      <w:r>
        <w:t>la</w:t>
      </w:r>
      <w:r>
        <w:rPr>
          <w:spacing w:val="-14"/>
        </w:rPr>
        <w:t xml:space="preserve"> </w:t>
      </w:r>
      <w:r>
        <w:t>Encuesta</w:t>
      </w:r>
      <w:r>
        <w:rPr>
          <w:spacing w:val="-16"/>
        </w:rPr>
        <w:t xml:space="preserve"> </w:t>
      </w:r>
      <w:r>
        <w:t>Nacional</w:t>
      </w:r>
      <w:r>
        <w:rPr>
          <w:spacing w:val="-17"/>
        </w:rPr>
        <w:t xml:space="preserve"> </w:t>
      </w:r>
      <w:r>
        <w:t>Agropecuaria ENA</w:t>
      </w:r>
      <w:r>
        <w:rPr>
          <w:spacing w:val="-4"/>
        </w:rPr>
        <w:t xml:space="preserve"> </w:t>
      </w:r>
      <w:r>
        <w:t>(2019),</w:t>
      </w:r>
      <w:r>
        <w:rPr>
          <w:spacing w:val="-4"/>
        </w:rPr>
        <w:t xml:space="preserve"> </w:t>
      </w:r>
      <w:r>
        <w:t>da</w:t>
      </w:r>
      <w:r>
        <w:rPr>
          <w:spacing w:val="-4"/>
        </w:rPr>
        <w:t xml:space="preserve"> </w:t>
      </w:r>
      <w:r>
        <w:t>cuenta</w:t>
      </w:r>
      <w:r>
        <w:rPr>
          <w:spacing w:val="-4"/>
        </w:rPr>
        <w:t xml:space="preserve"> </w:t>
      </w:r>
      <w:r>
        <w:t>que</w:t>
      </w:r>
      <w:r>
        <w:rPr>
          <w:spacing w:val="-4"/>
        </w:rPr>
        <w:t xml:space="preserve"> </w:t>
      </w:r>
      <w:r>
        <w:t>para</w:t>
      </w:r>
      <w:r>
        <w:rPr>
          <w:spacing w:val="-2"/>
        </w:rPr>
        <w:t xml:space="preserve"> </w:t>
      </w:r>
      <w:r>
        <w:t>todos</w:t>
      </w:r>
      <w:r>
        <w:rPr>
          <w:spacing w:val="-4"/>
        </w:rPr>
        <w:t xml:space="preserve"> </w:t>
      </w:r>
      <w:r>
        <w:t>los</w:t>
      </w:r>
      <w:r>
        <w:rPr>
          <w:spacing w:val="-4"/>
        </w:rPr>
        <w:t xml:space="preserve"> </w:t>
      </w:r>
      <w:r>
        <w:t>departamentos</w:t>
      </w:r>
      <w:r>
        <w:rPr>
          <w:spacing w:val="-4"/>
        </w:rPr>
        <w:t xml:space="preserve"> </w:t>
      </w:r>
      <w:r>
        <w:t>el</w:t>
      </w:r>
      <w:r>
        <w:rPr>
          <w:spacing w:val="-5"/>
        </w:rPr>
        <w:t xml:space="preserve"> </w:t>
      </w:r>
      <w:r>
        <w:t>porcentaje</w:t>
      </w:r>
      <w:r>
        <w:rPr>
          <w:spacing w:val="-4"/>
        </w:rPr>
        <w:t xml:space="preserve"> </w:t>
      </w:r>
      <w:r>
        <w:t>de propietarias</w:t>
      </w:r>
      <w:r>
        <w:rPr>
          <w:spacing w:val="-5"/>
        </w:rPr>
        <w:t xml:space="preserve"> </w:t>
      </w:r>
      <w:r>
        <w:t>es</w:t>
      </w:r>
      <w:r>
        <w:rPr>
          <w:spacing w:val="-5"/>
        </w:rPr>
        <w:t xml:space="preserve"> </w:t>
      </w:r>
      <w:r>
        <w:t>superior</w:t>
      </w:r>
      <w:r>
        <w:rPr>
          <w:spacing w:val="-4"/>
        </w:rPr>
        <w:t xml:space="preserve"> </w:t>
      </w:r>
      <w:r>
        <w:t>al</w:t>
      </w:r>
      <w:r>
        <w:rPr>
          <w:spacing w:val="-6"/>
        </w:rPr>
        <w:t xml:space="preserve"> </w:t>
      </w:r>
      <w:r>
        <w:t>porcentaje</w:t>
      </w:r>
      <w:r>
        <w:rPr>
          <w:spacing w:val="-4"/>
        </w:rPr>
        <w:t xml:space="preserve"> </w:t>
      </w:r>
      <w:r>
        <w:t>de</w:t>
      </w:r>
      <w:r>
        <w:rPr>
          <w:spacing w:val="-4"/>
        </w:rPr>
        <w:t xml:space="preserve"> </w:t>
      </w:r>
      <w:r>
        <w:t>mujeres</w:t>
      </w:r>
      <w:r>
        <w:rPr>
          <w:spacing w:val="-5"/>
        </w:rPr>
        <w:t xml:space="preserve"> </w:t>
      </w:r>
      <w:r>
        <w:t>tomadoras</w:t>
      </w:r>
      <w:r>
        <w:rPr>
          <w:spacing w:val="-4"/>
        </w:rPr>
        <w:t xml:space="preserve"> </w:t>
      </w:r>
      <w:r>
        <w:t>de</w:t>
      </w:r>
      <w:r>
        <w:rPr>
          <w:spacing w:val="-4"/>
        </w:rPr>
        <w:t xml:space="preserve"> </w:t>
      </w:r>
      <w:r>
        <w:t>decisiones en</w:t>
      </w:r>
      <w:r>
        <w:rPr>
          <w:spacing w:val="-2"/>
        </w:rPr>
        <w:t xml:space="preserve"> </w:t>
      </w:r>
      <w:r>
        <w:t>las</w:t>
      </w:r>
      <w:r>
        <w:rPr>
          <w:spacing w:val="-2"/>
        </w:rPr>
        <w:t xml:space="preserve"> </w:t>
      </w:r>
      <w:r>
        <w:t>unidades</w:t>
      </w:r>
      <w:r>
        <w:rPr>
          <w:spacing w:val="-2"/>
        </w:rPr>
        <w:t xml:space="preserve"> </w:t>
      </w:r>
      <w:r>
        <w:t>productivas.</w:t>
      </w:r>
      <w:r>
        <w:rPr>
          <w:spacing w:val="-1"/>
        </w:rPr>
        <w:t xml:space="preserve"> </w:t>
      </w:r>
      <w:r>
        <w:t>Es</w:t>
      </w:r>
      <w:r>
        <w:rPr>
          <w:spacing w:val="-2"/>
        </w:rPr>
        <w:t xml:space="preserve"> </w:t>
      </w:r>
      <w:r>
        <w:t>decir,</w:t>
      </w:r>
      <w:r>
        <w:rPr>
          <w:spacing w:val="-2"/>
        </w:rPr>
        <w:t xml:space="preserve"> </w:t>
      </w:r>
      <w:r>
        <w:t>son</w:t>
      </w:r>
      <w:r>
        <w:rPr>
          <w:spacing w:val="-2"/>
        </w:rPr>
        <w:t xml:space="preserve"> </w:t>
      </w:r>
      <w:r>
        <w:t>los</w:t>
      </w:r>
      <w:r>
        <w:rPr>
          <w:spacing w:val="-2"/>
        </w:rPr>
        <w:t xml:space="preserve"> </w:t>
      </w:r>
      <w:r>
        <w:t>hombres</w:t>
      </w:r>
      <w:r>
        <w:rPr>
          <w:spacing w:val="-2"/>
        </w:rPr>
        <w:t xml:space="preserve"> </w:t>
      </w:r>
      <w:r>
        <w:t>quienes</w:t>
      </w:r>
      <w:r>
        <w:rPr>
          <w:spacing w:val="-2"/>
        </w:rPr>
        <w:t xml:space="preserve"> </w:t>
      </w:r>
      <w:r>
        <w:t>toman</w:t>
      </w:r>
      <w:r>
        <w:rPr>
          <w:spacing w:val="-3"/>
        </w:rPr>
        <w:t xml:space="preserve"> </w:t>
      </w:r>
      <w:r>
        <w:t>con más</w:t>
      </w:r>
      <w:r>
        <w:rPr>
          <w:spacing w:val="-19"/>
        </w:rPr>
        <w:t xml:space="preserve"> </w:t>
      </w:r>
      <w:r>
        <w:t>frecuencia</w:t>
      </w:r>
      <w:r>
        <w:rPr>
          <w:spacing w:val="-16"/>
        </w:rPr>
        <w:t xml:space="preserve"> </w:t>
      </w:r>
      <w:r>
        <w:t>las</w:t>
      </w:r>
      <w:r>
        <w:rPr>
          <w:spacing w:val="-19"/>
        </w:rPr>
        <w:t xml:space="preserve"> </w:t>
      </w:r>
      <w:r>
        <w:t>decisiones</w:t>
      </w:r>
      <w:r>
        <w:rPr>
          <w:spacing w:val="-19"/>
        </w:rPr>
        <w:t xml:space="preserve"> </w:t>
      </w:r>
      <w:r>
        <w:t>sobre</w:t>
      </w:r>
      <w:r>
        <w:rPr>
          <w:spacing w:val="-17"/>
        </w:rPr>
        <w:t xml:space="preserve"> </w:t>
      </w:r>
      <w:r>
        <w:t>el</w:t>
      </w:r>
      <w:r>
        <w:rPr>
          <w:spacing w:val="-19"/>
        </w:rPr>
        <w:t xml:space="preserve"> </w:t>
      </w:r>
      <w:r>
        <w:t>uso</w:t>
      </w:r>
      <w:r>
        <w:rPr>
          <w:spacing w:val="-18"/>
        </w:rPr>
        <w:t xml:space="preserve"> </w:t>
      </w:r>
      <w:r>
        <w:t>de</w:t>
      </w:r>
      <w:r>
        <w:rPr>
          <w:spacing w:val="-17"/>
        </w:rPr>
        <w:t xml:space="preserve"> </w:t>
      </w:r>
      <w:r>
        <w:t>sus</w:t>
      </w:r>
      <w:r>
        <w:rPr>
          <w:spacing w:val="-19"/>
        </w:rPr>
        <w:t xml:space="preserve"> </w:t>
      </w:r>
      <w:r>
        <w:t>predios,</w:t>
      </w:r>
      <w:r>
        <w:rPr>
          <w:spacing w:val="-17"/>
        </w:rPr>
        <w:t xml:space="preserve"> </w:t>
      </w:r>
      <w:r>
        <w:t>las</w:t>
      </w:r>
      <w:r>
        <w:rPr>
          <w:spacing w:val="-16"/>
        </w:rPr>
        <w:t xml:space="preserve"> </w:t>
      </w:r>
      <w:r>
        <w:t>brechas</w:t>
      </w:r>
      <w:r>
        <w:rPr>
          <w:spacing w:val="-19"/>
        </w:rPr>
        <w:t xml:space="preserve"> </w:t>
      </w:r>
      <w:r>
        <w:t xml:space="preserve">entre las mujeres propietarias y su participación en la de decisiones, con diferencias superiores a los 20 </w:t>
      </w:r>
      <w:proofErr w:type="spellStart"/>
      <w:r>
        <w:t>p.p</w:t>
      </w:r>
      <w:proofErr w:type="spellEnd"/>
      <w:r>
        <w:t xml:space="preserve"> en los departamentos de San Andrés y Providencia (40,93 p.p.) (en este departamento ninguna de las mujeres toma decisiones productivas sobre su predio), Atlántico (27,95 p.p.), Vichada</w:t>
      </w:r>
      <w:r>
        <w:rPr>
          <w:spacing w:val="-14"/>
        </w:rPr>
        <w:t xml:space="preserve"> </w:t>
      </w:r>
      <w:r>
        <w:t>(26,98</w:t>
      </w:r>
      <w:r>
        <w:rPr>
          <w:spacing w:val="-13"/>
        </w:rPr>
        <w:t xml:space="preserve"> </w:t>
      </w:r>
      <w:r>
        <w:t>p.p.),</w:t>
      </w:r>
      <w:r>
        <w:rPr>
          <w:spacing w:val="-14"/>
        </w:rPr>
        <w:t xml:space="preserve"> </w:t>
      </w:r>
      <w:r>
        <w:t>Meta</w:t>
      </w:r>
      <w:r>
        <w:rPr>
          <w:spacing w:val="-14"/>
        </w:rPr>
        <w:t xml:space="preserve"> </w:t>
      </w:r>
      <w:r>
        <w:t>(21,82</w:t>
      </w:r>
      <w:r>
        <w:rPr>
          <w:spacing w:val="-13"/>
        </w:rPr>
        <w:t xml:space="preserve"> </w:t>
      </w:r>
      <w:r>
        <w:t>p.p.)</w:t>
      </w:r>
      <w:r>
        <w:rPr>
          <w:spacing w:val="-12"/>
        </w:rPr>
        <w:t xml:space="preserve"> </w:t>
      </w:r>
      <w:r>
        <w:t>y</w:t>
      </w:r>
      <w:r>
        <w:rPr>
          <w:spacing w:val="-14"/>
        </w:rPr>
        <w:t xml:space="preserve"> </w:t>
      </w:r>
      <w:r>
        <w:t>Guainía</w:t>
      </w:r>
      <w:r>
        <w:rPr>
          <w:spacing w:val="-14"/>
        </w:rPr>
        <w:t xml:space="preserve"> </w:t>
      </w:r>
      <w:r>
        <w:t>(21,75</w:t>
      </w:r>
      <w:r>
        <w:rPr>
          <w:spacing w:val="-13"/>
        </w:rPr>
        <w:t xml:space="preserve"> </w:t>
      </w:r>
      <w:r>
        <w:t>p.p.),</w:t>
      </w:r>
      <w:r>
        <w:rPr>
          <w:spacing w:val="-12"/>
        </w:rPr>
        <w:t xml:space="preserve"> </w:t>
      </w:r>
      <w:r>
        <w:t>y</w:t>
      </w:r>
      <w:r>
        <w:rPr>
          <w:spacing w:val="-14"/>
        </w:rPr>
        <w:t xml:space="preserve"> </w:t>
      </w:r>
      <w:r>
        <w:t>en</w:t>
      </w:r>
      <w:r>
        <w:rPr>
          <w:spacing w:val="-14"/>
        </w:rPr>
        <w:t xml:space="preserve"> </w:t>
      </w:r>
      <w:r>
        <w:t>menor distancia</w:t>
      </w:r>
      <w:r>
        <w:rPr>
          <w:spacing w:val="-15"/>
        </w:rPr>
        <w:t xml:space="preserve"> </w:t>
      </w:r>
      <w:r>
        <w:t>por</w:t>
      </w:r>
      <w:r>
        <w:rPr>
          <w:spacing w:val="-14"/>
        </w:rPr>
        <w:t xml:space="preserve"> </w:t>
      </w:r>
      <w:r>
        <w:t>debajo</w:t>
      </w:r>
      <w:r>
        <w:rPr>
          <w:spacing w:val="-12"/>
        </w:rPr>
        <w:t xml:space="preserve"> </w:t>
      </w:r>
      <w:r>
        <w:t>de</w:t>
      </w:r>
      <w:r>
        <w:rPr>
          <w:spacing w:val="-14"/>
        </w:rPr>
        <w:t xml:space="preserve"> </w:t>
      </w:r>
      <w:r>
        <w:t>los</w:t>
      </w:r>
      <w:r>
        <w:rPr>
          <w:spacing w:val="-14"/>
        </w:rPr>
        <w:t xml:space="preserve"> </w:t>
      </w:r>
      <w:r>
        <w:t>8</w:t>
      </w:r>
      <w:r>
        <w:rPr>
          <w:spacing w:val="-14"/>
        </w:rPr>
        <w:t xml:space="preserve"> </w:t>
      </w:r>
      <w:r>
        <w:t>p.p.</w:t>
      </w:r>
      <w:r>
        <w:rPr>
          <w:spacing w:val="-15"/>
        </w:rPr>
        <w:t xml:space="preserve"> </w:t>
      </w:r>
      <w:r>
        <w:t>en</w:t>
      </w:r>
      <w:r>
        <w:rPr>
          <w:spacing w:val="-15"/>
        </w:rPr>
        <w:t xml:space="preserve"> </w:t>
      </w:r>
      <w:r>
        <w:t>los</w:t>
      </w:r>
      <w:r>
        <w:rPr>
          <w:spacing w:val="-16"/>
        </w:rPr>
        <w:t xml:space="preserve"> </w:t>
      </w:r>
      <w:r>
        <w:t>departamentos</w:t>
      </w:r>
      <w:r>
        <w:rPr>
          <w:spacing w:val="-15"/>
        </w:rPr>
        <w:t xml:space="preserve"> </w:t>
      </w:r>
      <w:r>
        <w:t>de</w:t>
      </w:r>
      <w:r>
        <w:rPr>
          <w:spacing w:val="-14"/>
        </w:rPr>
        <w:t xml:space="preserve"> </w:t>
      </w:r>
      <w:r>
        <w:t>Putumayo</w:t>
      </w:r>
      <w:r>
        <w:rPr>
          <w:spacing w:val="-14"/>
        </w:rPr>
        <w:t xml:space="preserve"> </w:t>
      </w:r>
      <w:r>
        <w:t>(1,11 p.p.), Arauca (5,42 p.p.), Caquetá (7,37 p.p.) y Boyacá (7,55 p.p.)</w:t>
      </w:r>
      <w:r>
        <w:rPr>
          <w:spacing w:val="-17"/>
        </w:rPr>
        <w:t xml:space="preserve"> </w:t>
      </w:r>
      <w:hyperlink w:anchor="_bookmark38" w:history="1">
        <w:r w:rsidR="000E52B0">
          <w:rPr>
            <w:position w:val="8"/>
            <w:sz w:val="16"/>
          </w:rPr>
          <w:t>33</w:t>
        </w:r>
      </w:hyperlink>
      <w:r>
        <w:t>.</w:t>
      </w:r>
    </w:p>
    <w:p w14:paraId="054F4B26" w14:textId="77777777" w:rsidR="000E52B0" w:rsidRDefault="00F60D74">
      <w:pPr>
        <w:pStyle w:val="Textoindependiente"/>
        <w:spacing w:before="160"/>
        <w:ind w:right="717"/>
        <w:jc w:val="both"/>
      </w:pPr>
      <w:r>
        <w:t>Respecto a la situación de las juventudes, la desigualdad económica se manifiesta</w:t>
      </w:r>
      <w:r>
        <w:rPr>
          <w:spacing w:val="-14"/>
        </w:rPr>
        <w:t xml:space="preserve"> </w:t>
      </w:r>
      <w:r>
        <w:t>a</w:t>
      </w:r>
      <w:r>
        <w:rPr>
          <w:spacing w:val="-14"/>
        </w:rPr>
        <w:t xml:space="preserve"> </w:t>
      </w:r>
      <w:r>
        <w:t>través</w:t>
      </w:r>
      <w:r>
        <w:rPr>
          <w:spacing w:val="-12"/>
        </w:rPr>
        <w:t xml:space="preserve"> </w:t>
      </w:r>
      <w:r>
        <w:t>de</w:t>
      </w:r>
      <w:r>
        <w:rPr>
          <w:spacing w:val="-13"/>
        </w:rPr>
        <w:t xml:space="preserve"> </w:t>
      </w:r>
      <w:r>
        <w:t>la</w:t>
      </w:r>
      <w:r>
        <w:rPr>
          <w:spacing w:val="-14"/>
        </w:rPr>
        <w:t xml:space="preserve"> </w:t>
      </w:r>
      <w:r>
        <w:t>concentración</w:t>
      </w:r>
      <w:r>
        <w:rPr>
          <w:spacing w:val="-12"/>
        </w:rPr>
        <w:t xml:space="preserve"> </w:t>
      </w:r>
      <w:r>
        <w:t>de</w:t>
      </w:r>
      <w:r>
        <w:rPr>
          <w:spacing w:val="-13"/>
        </w:rPr>
        <w:t xml:space="preserve"> </w:t>
      </w:r>
      <w:r>
        <w:t>la</w:t>
      </w:r>
      <w:r>
        <w:rPr>
          <w:spacing w:val="-14"/>
        </w:rPr>
        <w:t xml:space="preserve"> </w:t>
      </w:r>
      <w:r>
        <w:t>pobreza</w:t>
      </w:r>
      <w:r>
        <w:rPr>
          <w:spacing w:val="-14"/>
        </w:rPr>
        <w:t xml:space="preserve"> </w:t>
      </w:r>
      <w:r>
        <w:t>en</w:t>
      </w:r>
      <w:r>
        <w:rPr>
          <w:spacing w:val="-14"/>
        </w:rPr>
        <w:t xml:space="preserve"> </w:t>
      </w:r>
      <w:r>
        <w:t>estas</w:t>
      </w:r>
      <w:r>
        <w:rPr>
          <w:spacing w:val="-14"/>
        </w:rPr>
        <w:t xml:space="preserve"> </w:t>
      </w:r>
      <w:r>
        <w:t>poblaciones. Según</w:t>
      </w:r>
      <w:r>
        <w:rPr>
          <w:spacing w:val="-21"/>
        </w:rPr>
        <w:t xml:space="preserve"> </w:t>
      </w:r>
      <w:r>
        <w:t>el</w:t>
      </w:r>
      <w:r>
        <w:rPr>
          <w:spacing w:val="-20"/>
        </w:rPr>
        <w:t xml:space="preserve"> </w:t>
      </w:r>
      <w:r>
        <w:t>DANE</w:t>
      </w:r>
      <w:r>
        <w:rPr>
          <w:spacing w:val="-19"/>
        </w:rPr>
        <w:t xml:space="preserve"> </w:t>
      </w:r>
      <w:r>
        <w:t>con</w:t>
      </w:r>
      <w:r>
        <w:rPr>
          <w:spacing w:val="-18"/>
        </w:rPr>
        <w:t xml:space="preserve"> </w:t>
      </w:r>
      <w:r>
        <w:t>datos</w:t>
      </w:r>
      <w:r>
        <w:rPr>
          <w:spacing w:val="-21"/>
        </w:rPr>
        <w:t xml:space="preserve"> </w:t>
      </w:r>
      <w:r>
        <w:t>de</w:t>
      </w:r>
      <w:r>
        <w:rPr>
          <w:spacing w:val="-17"/>
        </w:rPr>
        <w:t xml:space="preserve"> </w:t>
      </w:r>
      <w:r>
        <w:t>la</w:t>
      </w:r>
      <w:r>
        <w:rPr>
          <w:spacing w:val="-21"/>
        </w:rPr>
        <w:t xml:space="preserve"> </w:t>
      </w:r>
      <w:r>
        <w:t>Gran</w:t>
      </w:r>
      <w:r>
        <w:rPr>
          <w:spacing w:val="-19"/>
        </w:rPr>
        <w:t xml:space="preserve"> </w:t>
      </w:r>
      <w:r>
        <w:t>Encuesta</w:t>
      </w:r>
      <w:r>
        <w:rPr>
          <w:spacing w:val="-21"/>
        </w:rPr>
        <w:t xml:space="preserve"> </w:t>
      </w:r>
      <w:r>
        <w:t>Integrada</w:t>
      </w:r>
      <w:r>
        <w:rPr>
          <w:spacing w:val="-19"/>
        </w:rPr>
        <w:t xml:space="preserve"> </w:t>
      </w:r>
      <w:r>
        <w:t>de</w:t>
      </w:r>
      <w:r>
        <w:rPr>
          <w:spacing w:val="-17"/>
        </w:rPr>
        <w:t xml:space="preserve"> </w:t>
      </w:r>
      <w:r>
        <w:t>Hogares</w:t>
      </w:r>
      <w:r>
        <w:rPr>
          <w:spacing w:val="-21"/>
        </w:rPr>
        <w:t xml:space="preserve"> </w:t>
      </w:r>
      <w:r>
        <w:t>(GEIH) 2022, la incidencia de pobreza monetaria en las juventudes es mayor a la del</w:t>
      </w:r>
      <w:r>
        <w:rPr>
          <w:spacing w:val="-2"/>
        </w:rPr>
        <w:t xml:space="preserve"> </w:t>
      </w:r>
      <w:r>
        <w:t>total</w:t>
      </w:r>
      <w:r>
        <w:rPr>
          <w:spacing w:val="-2"/>
        </w:rPr>
        <w:t xml:space="preserve"> </w:t>
      </w:r>
      <w:r>
        <w:t>nacional.</w:t>
      </w:r>
      <w:r>
        <w:rPr>
          <w:spacing w:val="-2"/>
        </w:rPr>
        <w:t xml:space="preserve"> </w:t>
      </w:r>
      <w:r>
        <w:t>Mientras que el</w:t>
      </w:r>
      <w:r>
        <w:rPr>
          <w:spacing w:val="-2"/>
        </w:rPr>
        <w:t xml:space="preserve"> </w:t>
      </w:r>
      <w:r>
        <w:t>36,6% de las</w:t>
      </w:r>
      <w:r>
        <w:rPr>
          <w:spacing w:val="-1"/>
        </w:rPr>
        <w:t xml:space="preserve"> </w:t>
      </w:r>
      <w:r>
        <w:t>personas a</w:t>
      </w:r>
      <w:r>
        <w:rPr>
          <w:spacing w:val="-1"/>
        </w:rPr>
        <w:t xml:space="preserve"> </w:t>
      </w:r>
      <w:r>
        <w:t>nivel nacional, están</w:t>
      </w:r>
      <w:r>
        <w:rPr>
          <w:spacing w:val="22"/>
        </w:rPr>
        <w:t xml:space="preserve"> </w:t>
      </w:r>
      <w:r>
        <w:t>en</w:t>
      </w:r>
      <w:r>
        <w:rPr>
          <w:spacing w:val="24"/>
        </w:rPr>
        <w:t xml:space="preserve"> </w:t>
      </w:r>
      <w:r>
        <w:t>situación</w:t>
      </w:r>
      <w:r>
        <w:rPr>
          <w:spacing w:val="25"/>
        </w:rPr>
        <w:t xml:space="preserve"> </w:t>
      </w:r>
      <w:r>
        <w:t>de</w:t>
      </w:r>
      <w:r>
        <w:rPr>
          <w:spacing w:val="24"/>
        </w:rPr>
        <w:t xml:space="preserve"> </w:t>
      </w:r>
      <w:r>
        <w:t>pobreza</w:t>
      </w:r>
      <w:r>
        <w:rPr>
          <w:spacing w:val="24"/>
        </w:rPr>
        <w:t xml:space="preserve"> </w:t>
      </w:r>
      <w:r>
        <w:t>monetaria</w:t>
      </w:r>
      <w:r>
        <w:rPr>
          <w:spacing w:val="23"/>
        </w:rPr>
        <w:t xml:space="preserve"> </w:t>
      </w:r>
      <w:r>
        <w:t>y</w:t>
      </w:r>
      <w:r>
        <w:rPr>
          <w:spacing w:val="24"/>
        </w:rPr>
        <w:t xml:space="preserve"> </w:t>
      </w:r>
      <w:r>
        <w:t>13,8%</w:t>
      </w:r>
      <w:r>
        <w:rPr>
          <w:spacing w:val="23"/>
        </w:rPr>
        <w:t xml:space="preserve"> </w:t>
      </w:r>
      <w:r>
        <w:t>en</w:t>
      </w:r>
      <w:r>
        <w:rPr>
          <w:spacing w:val="23"/>
        </w:rPr>
        <w:t xml:space="preserve"> </w:t>
      </w:r>
      <w:r>
        <w:t>pobreza</w:t>
      </w:r>
      <w:r>
        <w:rPr>
          <w:spacing w:val="24"/>
        </w:rPr>
        <w:t xml:space="preserve"> </w:t>
      </w:r>
      <w:r>
        <w:rPr>
          <w:spacing w:val="-2"/>
        </w:rPr>
        <w:t>monetaria</w:t>
      </w:r>
    </w:p>
    <w:p w14:paraId="4E02A674" w14:textId="77777777" w:rsidR="000E52B0" w:rsidRDefault="00F60D74">
      <w:pPr>
        <w:pStyle w:val="Textoindependiente"/>
        <w:spacing w:before="2"/>
        <w:ind w:left="0"/>
        <w:rPr>
          <w:sz w:val="13"/>
        </w:rPr>
      </w:pPr>
      <w:r>
        <w:rPr>
          <w:noProof/>
          <w:sz w:val="13"/>
        </w:rPr>
        <mc:AlternateContent>
          <mc:Choice Requires="wps">
            <w:drawing>
              <wp:anchor distT="0" distB="0" distL="0" distR="0" simplePos="0" relativeHeight="487624704" behindDoc="1" locked="0" layoutInCell="1" allowOverlap="1" wp14:anchorId="06B55EDD" wp14:editId="77050B64">
                <wp:simplePos x="0" y="0"/>
                <wp:positionH relativeFrom="page">
                  <wp:posOffset>914704</wp:posOffset>
                </wp:positionH>
                <wp:positionV relativeFrom="paragraph">
                  <wp:posOffset>117151</wp:posOffset>
                </wp:positionV>
                <wp:extent cx="1829435" cy="7620"/>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74FCC5" id="Graphic 169" o:spid="_x0000_s1026" style="position:absolute;margin-left:1in;margin-top:9.2pt;width:144.05pt;height:.6pt;z-index:-156917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" path="m1829054,l,,,7619r1829054,l1829054,xe" fillcolor="black" stroked="f">
                <v:path arrowok="t"/>
                <w10:wrap type="topAndBottom" anchorx="page"/>
              </v:shape>
            </w:pict>
          </mc:Fallback>
        </mc:AlternateContent>
      </w:r>
    </w:p>
    <w:p w14:paraId="56B88C14" w14:textId="77777777" w:rsidR="000E52B0" w:rsidRDefault="00F60D74">
      <w:pPr>
        <w:tabs>
          <w:tab w:val="left" w:pos="1293"/>
          <w:tab w:val="left" w:pos="2282"/>
          <w:tab w:val="left" w:pos="3287"/>
          <w:tab w:val="left" w:pos="4556"/>
          <w:tab w:val="left" w:pos="5594"/>
          <w:tab w:val="left" w:pos="6232"/>
          <w:tab w:val="left" w:pos="6810"/>
          <w:tab w:val="left" w:pos="8297"/>
          <w:tab w:val="left" w:pos="8935"/>
        </w:tabs>
        <w:spacing w:before="96"/>
        <w:ind w:left="720" w:right="720"/>
        <w:rPr>
          <w:rFonts w:ascii="Arial MT"/>
          <w:sz w:val="18"/>
        </w:rPr>
      </w:pPr>
      <w:bookmarkStart w:id="33" w:name="_bookmark33"/>
      <w:bookmarkEnd w:id="33"/>
      <w:r>
        <w:rPr>
          <w:rFonts w:ascii="Arial MT"/>
          <w:spacing w:val="-6"/>
          <w:position w:val="6"/>
          <w:sz w:val="12"/>
        </w:rPr>
        <w:t>28</w:t>
      </w:r>
      <w:r>
        <w:rPr>
          <w:rFonts w:ascii="Arial MT"/>
          <w:position w:val="6"/>
          <w:sz w:val="12"/>
        </w:rPr>
        <w:tab/>
      </w:r>
      <w:r>
        <w:rPr>
          <w:rFonts w:ascii="Arial MT"/>
          <w:spacing w:val="-2"/>
          <w:sz w:val="18"/>
        </w:rPr>
        <w:t>DANE.</w:t>
      </w:r>
      <w:r>
        <w:rPr>
          <w:rFonts w:ascii="Arial MT"/>
          <w:sz w:val="18"/>
        </w:rPr>
        <w:tab/>
      </w:r>
      <w:r>
        <w:rPr>
          <w:rFonts w:ascii="Arial MT"/>
          <w:spacing w:val="-2"/>
          <w:sz w:val="18"/>
        </w:rPr>
        <w:t>(2020).</w:t>
      </w:r>
      <w:r>
        <w:rPr>
          <w:rFonts w:ascii="Arial MT"/>
          <w:sz w:val="18"/>
        </w:rPr>
        <w:tab/>
      </w:r>
      <w:r>
        <w:rPr>
          <w:rFonts w:ascii="Arial MT"/>
          <w:spacing w:val="-2"/>
          <w:sz w:val="18"/>
        </w:rPr>
        <w:t>Panorama</w:t>
      </w:r>
      <w:r>
        <w:rPr>
          <w:rFonts w:ascii="Arial MT"/>
          <w:sz w:val="18"/>
        </w:rPr>
        <w:tab/>
      </w:r>
      <w:r>
        <w:rPr>
          <w:rFonts w:ascii="Arial MT"/>
          <w:spacing w:val="-2"/>
          <w:sz w:val="18"/>
        </w:rPr>
        <w:t>general</w:t>
      </w:r>
      <w:r>
        <w:rPr>
          <w:rFonts w:ascii="Arial MT"/>
          <w:sz w:val="18"/>
        </w:rPr>
        <w:tab/>
      </w:r>
      <w:r>
        <w:rPr>
          <w:rFonts w:ascii="Arial MT"/>
          <w:spacing w:val="-6"/>
          <w:sz w:val="18"/>
        </w:rPr>
        <w:t>de</w:t>
      </w:r>
      <w:r>
        <w:rPr>
          <w:rFonts w:ascii="Arial MT"/>
          <w:sz w:val="18"/>
        </w:rPr>
        <w:tab/>
      </w:r>
      <w:r>
        <w:rPr>
          <w:rFonts w:ascii="Arial MT"/>
          <w:spacing w:val="-6"/>
          <w:sz w:val="18"/>
        </w:rPr>
        <w:t>la</w:t>
      </w:r>
      <w:r>
        <w:rPr>
          <w:rFonts w:ascii="Arial MT"/>
          <w:sz w:val="18"/>
        </w:rPr>
        <w:tab/>
      </w:r>
      <w:r>
        <w:rPr>
          <w:rFonts w:ascii="Arial MT"/>
          <w:spacing w:val="-2"/>
          <w:sz w:val="18"/>
        </w:rPr>
        <w:t>discapacidad</w:t>
      </w:r>
      <w:r>
        <w:rPr>
          <w:rFonts w:ascii="Arial MT"/>
          <w:sz w:val="18"/>
        </w:rPr>
        <w:tab/>
      </w:r>
      <w:r>
        <w:rPr>
          <w:rFonts w:ascii="Arial MT"/>
          <w:spacing w:val="-6"/>
          <w:sz w:val="18"/>
        </w:rPr>
        <w:t>en</w:t>
      </w:r>
      <w:r>
        <w:rPr>
          <w:rFonts w:ascii="Arial MT"/>
          <w:sz w:val="18"/>
        </w:rPr>
        <w:tab/>
      </w:r>
      <w:r>
        <w:rPr>
          <w:rFonts w:ascii="Arial MT"/>
          <w:spacing w:val="-2"/>
          <w:sz w:val="18"/>
        </w:rPr>
        <w:t xml:space="preserve">Colombia. </w:t>
      </w:r>
      <w:hyperlink r:id="rId90">
        <w:r w:rsidR="000E52B0">
          <w:rPr>
            <w:rFonts w:ascii="Arial MT"/>
            <w:color w:val="E22C91"/>
            <w:spacing w:val="-2"/>
            <w:sz w:val="18"/>
            <w:u w:val="single" w:color="E22C91"/>
          </w:rPr>
          <w:t>https://www.dane.gov.co/files/investigaciones/discapacidad/Panorama-general-de-la-discapacidad-en-</w:t>
        </w:r>
      </w:hyperlink>
      <w:r>
        <w:rPr>
          <w:rFonts w:ascii="Arial MT"/>
          <w:color w:val="E22C91"/>
          <w:spacing w:val="40"/>
          <w:sz w:val="18"/>
        </w:rPr>
        <w:t xml:space="preserve"> </w:t>
      </w:r>
      <w:hyperlink r:id="rId91">
        <w:r w:rsidR="000E52B0">
          <w:rPr>
            <w:rFonts w:ascii="Arial MT"/>
            <w:color w:val="E22C91"/>
            <w:spacing w:val="-2"/>
            <w:sz w:val="18"/>
            <w:u w:val="single" w:color="E22C91"/>
          </w:rPr>
          <w:t>Colombia.pdf</w:t>
        </w:r>
      </w:hyperlink>
    </w:p>
    <w:p w14:paraId="00E2B03D" w14:textId="77777777" w:rsidR="000E52B0" w:rsidRDefault="00F60D74">
      <w:pPr>
        <w:ind w:left="720" w:right="723"/>
        <w:rPr>
          <w:rFonts w:ascii="Arial MT" w:hAnsi="Arial MT"/>
          <w:sz w:val="18"/>
        </w:rPr>
      </w:pPr>
      <w:bookmarkStart w:id="34" w:name="_bookmark34"/>
      <w:bookmarkEnd w:id="34"/>
      <w:r>
        <w:rPr>
          <w:rFonts w:ascii="Arial MT" w:hAnsi="Arial MT"/>
          <w:position w:val="6"/>
          <w:sz w:val="12"/>
        </w:rPr>
        <w:t>29</w:t>
      </w:r>
      <w:r>
        <w:rPr>
          <w:rFonts w:ascii="Arial MT" w:hAnsi="Arial MT"/>
          <w:spacing w:val="16"/>
          <w:position w:val="6"/>
          <w:sz w:val="12"/>
        </w:rPr>
        <w:t xml:space="preserve"> </w:t>
      </w:r>
      <w:r>
        <w:rPr>
          <w:rFonts w:ascii="Arial MT" w:hAnsi="Arial MT"/>
          <w:sz w:val="18"/>
        </w:rPr>
        <w:t>ONU</w:t>
      </w:r>
      <w:r>
        <w:rPr>
          <w:rFonts w:ascii="Arial MT" w:hAnsi="Arial MT"/>
          <w:spacing w:val="-2"/>
          <w:sz w:val="18"/>
        </w:rPr>
        <w:t xml:space="preserve"> </w:t>
      </w:r>
      <w:r>
        <w:rPr>
          <w:rFonts w:ascii="Arial MT" w:hAnsi="Arial MT"/>
          <w:sz w:val="18"/>
        </w:rPr>
        <w:t>Mujeres,</w:t>
      </w:r>
      <w:r>
        <w:rPr>
          <w:rFonts w:ascii="Arial MT" w:hAnsi="Arial MT"/>
          <w:spacing w:val="-1"/>
          <w:sz w:val="18"/>
        </w:rPr>
        <w:t xml:space="preserve"> </w:t>
      </w:r>
      <w:r>
        <w:rPr>
          <w:rFonts w:ascii="Arial MT" w:hAnsi="Arial MT"/>
          <w:sz w:val="18"/>
        </w:rPr>
        <w:t>UNFPA, UNICEF. Análisis</w:t>
      </w:r>
      <w:r>
        <w:rPr>
          <w:rFonts w:ascii="Arial MT" w:hAnsi="Arial MT"/>
          <w:spacing w:val="-2"/>
          <w:sz w:val="18"/>
        </w:rPr>
        <w:t xml:space="preserve"> </w:t>
      </w:r>
      <w:r>
        <w:rPr>
          <w:rFonts w:ascii="Arial MT" w:hAnsi="Arial MT"/>
          <w:sz w:val="18"/>
        </w:rPr>
        <w:t>de</w:t>
      </w:r>
      <w:r>
        <w:rPr>
          <w:rFonts w:ascii="Arial MT" w:hAnsi="Arial MT"/>
          <w:spacing w:val="-3"/>
          <w:sz w:val="18"/>
        </w:rPr>
        <w:t xml:space="preserve"> </w:t>
      </w:r>
      <w:r>
        <w:rPr>
          <w:rFonts w:ascii="Arial MT" w:hAnsi="Arial MT"/>
          <w:sz w:val="18"/>
        </w:rPr>
        <w:t>la</w:t>
      </w:r>
      <w:r>
        <w:rPr>
          <w:rFonts w:ascii="Arial MT" w:hAnsi="Arial MT"/>
          <w:spacing w:val="-3"/>
          <w:sz w:val="18"/>
        </w:rPr>
        <w:t xml:space="preserve"> </w:t>
      </w:r>
      <w:r>
        <w:rPr>
          <w:rFonts w:ascii="Arial MT" w:hAnsi="Arial MT"/>
          <w:sz w:val="18"/>
        </w:rPr>
        <w:t>situación de</w:t>
      </w:r>
      <w:r>
        <w:rPr>
          <w:rFonts w:ascii="Arial MT" w:hAnsi="Arial MT"/>
          <w:spacing w:val="-3"/>
          <w:sz w:val="18"/>
        </w:rPr>
        <w:t xml:space="preserve"> </w:t>
      </w:r>
      <w:r>
        <w:rPr>
          <w:rFonts w:ascii="Arial MT" w:hAnsi="Arial MT"/>
          <w:sz w:val="18"/>
        </w:rPr>
        <w:t>las personas</w:t>
      </w:r>
      <w:r>
        <w:rPr>
          <w:rFonts w:ascii="Arial MT" w:hAnsi="Arial MT"/>
          <w:spacing w:val="-2"/>
          <w:sz w:val="18"/>
        </w:rPr>
        <w:t xml:space="preserve"> </w:t>
      </w:r>
      <w:r>
        <w:rPr>
          <w:rFonts w:ascii="Arial MT" w:hAnsi="Arial MT"/>
          <w:sz w:val="18"/>
        </w:rPr>
        <w:t>con</w:t>
      </w:r>
      <w:r>
        <w:rPr>
          <w:rFonts w:ascii="Arial MT" w:hAnsi="Arial MT"/>
          <w:spacing w:val="-3"/>
          <w:sz w:val="18"/>
        </w:rPr>
        <w:t xml:space="preserve"> </w:t>
      </w:r>
      <w:r>
        <w:rPr>
          <w:rFonts w:ascii="Arial MT" w:hAnsi="Arial MT"/>
          <w:sz w:val="18"/>
        </w:rPr>
        <w:t>discapacidad en</w:t>
      </w:r>
      <w:r>
        <w:rPr>
          <w:rFonts w:ascii="Arial MT" w:hAnsi="Arial MT"/>
          <w:spacing w:val="-3"/>
          <w:sz w:val="18"/>
        </w:rPr>
        <w:t xml:space="preserve"> </w:t>
      </w:r>
      <w:r>
        <w:rPr>
          <w:rFonts w:ascii="Arial MT" w:hAnsi="Arial MT"/>
          <w:sz w:val="18"/>
        </w:rPr>
        <w:t>Colombia</w:t>
      </w:r>
      <w:r>
        <w:rPr>
          <w:rFonts w:ascii="Arial MT" w:hAnsi="Arial MT"/>
          <w:spacing w:val="-3"/>
          <w:sz w:val="18"/>
        </w:rPr>
        <w:t xml:space="preserve"> </w:t>
      </w:r>
      <w:r>
        <w:rPr>
          <w:rFonts w:ascii="Arial MT" w:hAnsi="Arial MT"/>
          <w:sz w:val="18"/>
        </w:rPr>
        <w:t xml:space="preserve">2021. Ver: </w:t>
      </w:r>
      <w:hyperlink r:id="rId92">
        <w:r w:rsidR="000E52B0">
          <w:rPr>
            <w:rFonts w:ascii="Arial MT" w:hAnsi="Arial MT"/>
            <w:color w:val="E22C91"/>
            <w:sz w:val="18"/>
            <w:u w:val="single" w:color="E22C91"/>
          </w:rPr>
          <w:t>https://colombia.unwomen.org/sites/default/files/2022-05/Discapacidad.pdf</w:t>
        </w:r>
      </w:hyperlink>
    </w:p>
    <w:p w14:paraId="138FC6E4" w14:textId="77777777" w:rsidR="000E52B0" w:rsidRDefault="00F60D74">
      <w:pPr>
        <w:spacing w:line="242" w:lineRule="auto"/>
        <w:ind w:left="720" w:right="713"/>
        <w:rPr>
          <w:rFonts w:ascii="Arial MT"/>
          <w:sz w:val="18"/>
        </w:rPr>
      </w:pPr>
      <w:bookmarkStart w:id="35" w:name="_bookmark35"/>
      <w:bookmarkEnd w:id="35"/>
      <w:r>
        <w:rPr>
          <w:rFonts w:ascii="Arial MT"/>
          <w:position w:val="6"/>
          <w:sz w:val="12"/>
        </w:rPr>
        <w:t xml:space="preserve">30 </w:t>
      </w:r>
      <w:proofErr w:type="gramStart"/>
      <w:r>
        <w:rPr>
          <w:rFonts w:ascii="Arial MT"/>
          <w:sz w:val="18"/>
        </w:rPr>
        <w:t>Agencia</w:t>
      </w:r>
      <w:proofErr w:type="gramEnd"/>
      <w:r>
        <w:rPr>
          <w:rFonts w:ascii="Arial MT"/>
          <w:spacing w:val="-11"/>
          <w:sz w:val="18"/>
        </w:rPr>
        <w:t xml:space="preserve"> </w:t>
      </w:r>
      <w:r>
        <w:rPr>
          <w:rFonts w:ascii="Arial MT"/>
          <w:sz w:val="18"/>
        </w:rPr>
        <w:t>Nacional</w:t>
      </w:r>
      <w:r>
        <w:rPr>
          <w:rFonts w:ascii="Arial MT"/>
          <w:spacing w:val="-13"/>
          <w:sz w:val="18"/>
        </w:rPr>
        <w:t xml:space="preserve"> </w:t>
      </w:r>
      <w:r>
        <w:rPr>
          <w:rFonts w:ascii="Arial MT"/>
          <w:sz w:val="18"/>
        </w:rPr>
        <w:t>de</w:t>
      </w:r>
      <w:r>
        <w:rPr>
          <w:rFonts w:ascii="Arial MT"/>
          <w:spacing w:val="-11"/>
          <w:sz w:val="18"/>
        </w:rPr>
        <w:t xml:space="preserve"> </w:t>
      </w:r>
      <w:r>
        <w:rPr>
          <w:rFonts w:ascii="Arial MT"/>
          <w:sz w:val="18"/>
        </w:rPr>
        <w:t>Tierras</w:t>
      </w:r>
      <w:r>
        <w:rPr>
          <w:rFonts w:ascii="Arial MT"/>
          <w:spacing w:val="-12"/>
          <w:sz w:val="18"/>
        </w:rPr>
        <w:t xml:space="preserve"> </w:t>
      </w:r>
      <w:r>
        <w:rPr>
          <w:rFonts w:ascii="Arial MT"/>
          <w:sz w:val="18"/>
        </w:rPr>
        <w:t>(2022).</w:t>
      </w:r>
      <w:r>
        <w:rPr>
          <w:rFonts w:ascii="Arial MT"/>
          <w:spacing w:val="-9"/>
          <w:sz w:val="18"/>
        </w:rPr>
        <w:t xml:space="preserve"> </w:t>
      </w:r>
      <w:r>
        <w:rPr>
          <w:rFonts w:ascii="Arial MT"/>
          <w:sz w:val="18"/>
        </w:rPr>
        <w:t>Acceso</w:t>
      </w:r>
      <w:r>
        <w:rPr>
          <w:rFonts w:ascii="Arial MT"/>
          <w:spacing w:val="-13"/>
          <w:sz w:val="18"/>
        </w:rPr>
        <w:t xml:space="preserve"> </w:t>
      </w:r>
      <w:r>
        <w:rPr>
          <w:rFonts w:ascii="Arial MT"/>
          <w:sz w:val="18"/>
        </w:rPr>
        <w:t>a</w:t>
      </w:r>
      <w:r>
        <w:rPr>
          <w:rFonts w:ascii="Arial MT"/>
          <w:spacing w:val="-11"/>
          <w:sz w:val="18"/>
        </w:rPr>
        <w:t xml:space="preserve"> </w:t>
      </w:r>
      <w:r>
        <w:rPr>
          <w:rFonts w:ascii="Arial MT"/>
          <w:sz w:val="18"/>
        </w:rPr>
        <w:t>tierras</w:t>
      </w:r>
      <w:r>
        <w:rPr>
          <w:rFonts w:ascii="Arial MT"/>
          <w:spacing w:val="-13"/>
          <w:sz w:val="18"/>
        </w:rPr>
        <w:t xml:space="preserve"> </w:t>
      </w:r>
      <w:r>
        <w:rPr>
          <w:rFonts w:ascii="Arial MT"/>
          <w:sz w:val="18"/>
        </w:rPr>
        <w:t>para</w:t>
      </w:r>
      <w:r>
        <w:rPr>
          <w:rFonts w:ascii="Arial MT"/>
          <w:spacing w:val="-12"/>
          <w:sz w:val="18"/>
        </w:rPr>
        <w:t xml:space="preserve"> </w:t>
      </w:r>
      <w:r>
        <w:rPr>
          <w:rFonts w:ascii="Arial MT"/>
          <w:sz w:val="18"/>
        </w:rPr>
        <w:t>mujeres</w:t>
      </w:r>
      <w:r>
        <w:rPr>
          <w:rFonts w:ascii="Arial MT"/>
          <w:spacing w:val="-12"/>
          <w:sz w:val="18"/>
        </w:rPr>
        <w:t xml:space="preserve"> </w:t>
      </w:r>
      <w:r>
        <w:rPr>
          <w:rFonts w:ascii="Arial MT"/>
          <w:sz w:val="18"/>
        </w:rPr>
        <w:t>campesinas.</w:t>
      </w:r>
      <w:r>
        <w:rPr>
          <w:rFonts w:ascii="Arial MT"/>
          <w:spacing w:val="-12"/>
          <w:sz w:val="18"/>
        </w:rPr>
        <w:t xml:space="preserve"> </w:t>
      </w:r>
      <w:r>
        <w:rPr>
          <w:rFonts w:ascii="Arial MT"/>
          <w:sz w:val="18"/>
        </w:rPr>
        <w:t>Ver:</w:t>
      </w:r>
      <w:r>
        <w:rPr>
          <w:rFonts w:ascii="Arial MT"/>
          <w:spacing w:val="-10"/>
          <w:sz w:val="18"/>
        </w:rPr>
        <w:t xml:space="preserve"> </w:t>
      </w:r>
      <w:hyperlink r:id="rId93">
        <w:r w:rsidR="000E52B0">
          <w:rPr>
            <w:rFonts w:ascii="Arial MT"/>
            <w:color w:val="E22C91"/>
            <w:sz w:val="18"/>
            <w:u w:val="single" w:color="E22C91"/>
          </w:rPr>
          <w:t>https://www.ant.gov.co/wp-</w:t>
        </w:r>
      </w:hyperlink>
      <w:r>
        <w:rPr>
          <w:rFonts w:ascii="Arial MT"/>
          <w:color w:val="E22C91"/>
          <w:sz w:val="18"/>
        </w:rPr>
        <w:t xml:space="preserve"> </w:t>
      </w:r>
      <w:hyperlink r:id="rId94">
        <w:proofErr w:type="spellStart"/>
        <w:r w:rsidR="000E52B0">
          <w:rPr>
            <w:rFonts w:ascii="Arial MT"/>
            <w:color w:val="E22C91"/>
            <w:spacing w:val="-2"/>
            <w:sz w:val="18"/>
            <w:u w:val="single" w:color="E22C91"/>
          </w:rPr>
          <w:t>content</w:t>
        </w:r>
        <w:proofErr w:type="spellEnd"/>
        <w:r w:rsidR="000E52B0">
          <w:rPr>
            <w:rFonts w:ascii="Arial MT"/>
            <w:color w:val="E22C91"/>
            <w:spacing w:val="-2"/>
            <w:sz w:val="18"/>
            <w:u w:val="single" w:color="E22C91"/>
          </w:rPr>
          <w:t>/</w:t>
        </w:r>
        <w:proofErr w:type="spellStart"/>
        <w:r w:rsidR="000E52B0">
          <w:rPr>
            <w:rFonts w:ascii="Arial MT"/>
            <w:color w:val="E22C91"/>
            <w:spacing w:val="-2"/>
            <w:sz w:val="18"/>
            <w:u w:val="single" w:color="E22C91"/>
          </w:rPr>
          <w:t>uploads</w:t>
        </w:r>
        <w:proofErr w:type="spellEnd"/>
        <w:r w:rsidR="000E52B0">
          <w:rPr>
            <w:rFonts w:ascii="Arial MT"/>
            <w:color w:val="E22C91"/>
            <w:spacing w:val="-2"/>
            <w:sz w:val="18"/>
            <w:u w:val="single" w:color="E22C91"/>
          </w:rPr>
          <w:t>/2022/08/Mujer-rural2_web.pdf</w:t>
        </w:r>
      </w:hyperlink>
    </w:p>
    <w:p w14:paraId="0DCDCB2F" w14:textId="77777777" w:rsidR="000E52B0" w:rsidRDefault="00F60D74">
      <w:pPr>
        <w:ind w:left="720" w:right="713"/>
        <w:rPr>
          <w:rFonts w:ascii="Arial MT"/>
          <w:sz w:val="18"/>
        </w:rPr>
      </w:pPr>
      <w:bookmarkStart w:id="36" w:name="_bookmark36"/>
      <w:bookmarkEnd w:id="36"/>
      <w:r>
        <w:rPr>
          <w:rFonts w:ascii="Arial MT"/>
          <w:position w:val="6"/>
          <w:sz w:val="12"/>
        </w:rPr>
        <w:t xml:space="preserve">31 </w:t>
      </w:r>
      <w:proofErr w:type="gramStart"/>
      <w:r>
        <w:rPr>
          <w:rFonts w:ascii="Arial MT"/>
          <w:sz w:val="18"/>
        </w:rPr>
        <w:t>Agencia</w:t>
      </w:r>
      <w:proofErr w:type="gramEnd"/>
      <w:r>
        <w:rPr>
          <w:rFonts w:ascii="Arial MT"/>
          <w:spacing w:val="-11"/>
          <w:sz w:val="18"/>
        </w:rPr>
        <w:t xml:space="preserve"> </w:t>
      </w:r>
      <w:r>
        <w:rPr>
          <w:rFonts w:ascii="Arial MT"/>
          <w:sz w:val="18"/>
        </w:rPr>
        <w:t>Nacional</w:t>
      </w:r>
      <w:r>
        <w:rPr>
          <w:rFonts w:ascii="Arial MT"/>
          <w:spacing w:val="-13"/>
          <w:sz w:val="18"/>
        </w:rPr>
        <w:t xml:space="preserve"> </w:t>
      </w:r>
      <w:r>
        <w:rPr>
          <w:rFonts w:ascii="Arial MT"/>
          <w:sz w:val="18"/>
        </w:rPr>
        <w:t>de</w:t>
      </w:r>
      <w:r>
        <w:rPr>
          <w:rFonts w:ascii="Arial MT"/>
          <w:spacing w:val="-11"/>
          <w:sz w:val="18"/>
        </w:rPr>
        <w:t xml:space="preserve"> </w:t>
      </w:r>
      <w:r>
        <w:rPr>
          <w:rFonts w:ascii="Arial MT"/>
          <w:sz w:val="18"/>
        </w:rPr>
        <w:t>Tierras</w:t>
      </w:r>
      <w:r>
        <w:rPr>
          <w:rFonts w:ascii="Arial MT"/>
          <w:spacing w:val="-12"/>
          <w:sz w:val="18"/>
        </w:rPr>
        <w:t xml:space="preserve"> </w:t>
      </w:r>
      <w:r>
        <w:rPr>
          <w:rFonts w:ascii="Arial MT"/>
          <w:sz w:val="18"/>
        </w:rPr>
        <w:t>(2022).</w:t>
      </w:r>
      <w:r>
        <w:rPr>
          <w:rFonts w:ascii="Arial MT"/>
          <w:spacing w:val="-9"/>
          <w:sz w:val="18"/>
        </w:rPr>
        <w:t xml:space="preserve"> </w:t>
      </w:r>
      <w:r>
        <w:rPr>
          <w:rFonts w:ascii="Arial MT"/>
          <w:sz w:val="18"/>
        </w:rPr>
        <w:t>Acceso</w:t>
      </w:r>
      <w:r>
        <w:rPr>
          <w:rFonts w:ascii="Arial MT"/>
          <w:spacing w:val="-13"/>
          <w:sz w:val="18"/>
        </w:rPr>
        <w:t xml:space="preserve"> </w:t>
      </w:r>
      <w:r>
        <w:rPr>
          <w:rFonts w:ascii="Arial MT"/>
          <w:sz w:val="18"/>
        </w:rPr>
        <w:t>a</w:t>
      </w:r>
      <w:r>
        <w:rPr>
          <w:rFonts w:ascii="Arial MT"/>
          <w:spacing w:val="-11"/>
          <w:sz w:val="18"/>
        </w:rPr>
        <w:t xml:space="preserve"> </w:t>
      </w:r>
      <w:r>
        <w:rPr>
          <w:rFonts w:ascii="Arial MT"/>
          <w:sz w:val="18"/>
        </w:rPr>
        <w:t>tierras</w:t>
      </w:r>
      <w:r>
        <w:rPr>
          <w:rFonts w:ascii="Arial MT"/>
          <w:spacing w:val="-13"/>
          <w:sz w:val="18"/>
        </w:rPr>
        <w:t xml:space="preserve"> </w:t>
      </w:r>
      <w:r>
        <w:rPr>
          <w:rFonts w:ascii="Arial MT"/>
          <w:sz w:val="18"/>
        </w:rPr>
        <w:t>para</w:t>
      </w:r>
      <w:r>
        <w:rPr>
          <w:rFonts w:ascii="Arial MT"/>
          <w:spacing w:val="-12"/>
          <w:sz w:val="18"/>
        </w:rPr>
        <w:t xml:space="preserve"> </w:t>
      </w:r>
      <w:r>
        <w:rPr>
          <w:rFonts w:ascii="Arial MT"/>
          <w:sz w:val="18"/>
        </w:rPr>
        <w:t>mujeres</w:t>
      </w:r>
      <w:r>
        <w:rPr>
          <w:rFonts w:ascii="Arial MT"/>
          <w:spacing w:val="-12"/>
          <w:sz w:val="18"/>
        </w:rPr>
        <w:t xml:space="preserve"> </w:t>
      </w:r>
      <w:r>
        <w:rPr>
          <w:rFonts w:ascii="Arial MT"/>
          <w:sz w:val="18"/>
        </w:rPr>
        <w:t>campesinas.</w:t>
      </w:r>
      <w:r>
        <w:rPr>
          <w:rFonts w:ascii="Arial MT"/>
          <w:spacing w:val="-12"/>
          <w:sz w:val="18"/>
        </w:rPr>
        <w:t xml:space="preserve"> </w:t>
      </w:r>
      <w:r>
        <w:rPr>
          <w:rFonts w:ascii="Arial MT"/>
          <w:sz w:val="18"/>
        </w:rPr>
        <w:t>Ver:</w:t>
      </w:r>
      <w:r>
        <w:rPr>
          <w:rFonts w:ascii="Arial MT"/>
          <w:spacing w:val="-10"/>
          <w:sz w:val="18"/>
        </w:rPr>
        <w:t xml:space="preserve"> </w:t>
      </w:r>
      <w:hyperlink r:id="rId95">
        <w:r w:rsidR="000E52B0">
          <w:rPr>
            <w:rFonts w:ascii="Arial MT"/>
            <w:color w:val="E22C91"/>
            <w:sz w:val="18"/>
            <w:u w:val="single" w:color="E22C91"/>
          </w:rPr>
          <w:t>https://www.ant.gov.co/wp-</w:t>
        </w:r>
      </w:hyperlink>
      <w:r>
        <w:rPr>
          <w:rFonts w:ascii="Arial MT"/>
          <w:color w:val="E22C91"/>
          <w:sz w:val="18"/>
        </w:rPr>
        <w:t xml:space="preserve"> </w:t>
      </w:r>
      <w:hyperlink r:id="rId96">
        <w:proofErr w:type="spellStart"/>
        <w:r w:rsidR="000E52B0">
          <w:rPr>
            <w:rFonts w:ascii="Arial MT"/>
            <w:color w:val="E22C91"/>
            <w:spacing w:val="-2"/>
            <w:sz w:val="18"/>
            <w:u w:val="single" w:color="E22C91"/>
          </w:rPr>
          <w:t>content</w:t>
        </w:r>
        <w:proofErr w:type="spellEnd"/>
        <w:r w:rsidR="000E52B0">
          <w:rPr>
            <w:rFonts w:ascii="Arial MT"/>
            <w:color w:val="E22C91"/>
            <w:spacing w:val="-2"/>
            <w:sz w:val="18"/>
            <w:u w:val="single" w:color="E22C91"/>
          </w:rPr>
          <w:t>/</w:t>
        </w:r>
        <w:proofErr w:type="spellStart"/>
        <w:r w:rsidR="000E52B0">
          <w:rPr>
            <w:rFonts w:ascii="Arial MT"/>
            <w:color w:val="E22C91"/>
            <w:spacing w:val="-2"/>
            <w:sz w:val="18"/>
            <w:u w:val="single" w:color="E22C91"/>
          </w:rPr>
          <w:t>uploads</w:t>
        </w:r>
        <w:proofErr w:type="spellEnd"/>
        <w:r w:rsidR="000E52B0">
          <w:rPr>
            <w:rFonts w:ascii="Arial MT"/>
            <w:color w:val="E22C91"/>
            <w:spacing w:val="-2"/>
            <w:sz w:val="18"/>
            <w:u w:val="single" w:color="E22C91"/>
          </w:rPr>
          <w:t>/2022/08/Mujer-rural2_web.pdf</w:t>
        </w:r>
      </w:hyperlink>
    </w:p>
    <w:p w14:paraId="2AF88B73" w14:textId="77777777" w:rsidR="000E52B0" w:rsidRDefault="00F60D74">
      <w:pPr>
        <w:tabs>
          <w:tab w:val="left" w:pos="1089"/>
          <w:tab w:val="left" w:pos="1824"/>
          <w:tab w:val="left" w:pos="2150"/>
          <w:tab w:val="left" w:pos="2783"/>
          <w:tab w:val="left" w:pos="3709"/>
          <w:tab w:val="left" w:pos="4512"/>
          <w:tab w:val="left" w:pos="5347"/>
          <w:tab w:val="left" w:pos="5781"/>
          <w:tab w:val="left" w:pos="6785"/>
          <w:tab w:val="left" w:pos="7251"/>
          <w:tab w:val="left" w:pos="7912"/>
          <w:tab w:val="left" w:pos="8349"/>
          <w:tab w:val="left" w:pos="8723"/>
        </w:tabs>
        <w:ind w:left="720" w:right="722"/>
        <w:rPr>
          <w:rFonts w:ascii="Arial MT"/>
          <w:sz w:val="18"/>
        </w:rPr>
      </w:pPr>
      <w:bookmarkStart w:id="37" w:name="_bookmark37"/>
      <w:bookmarkEnd w:id="37"/>
      <w:r>
        <w:rPr>
          <w:rFonts w:ascii="Arial MT"/>
          <w:spacing w:val="-6"/>
          <w:position w:val="6"/>
          <w:sz w:val="12"/>
        </w:rPr>
        <w:t>32</w:t>
      </w:r>
      <w:r>
        <w:rPr>
          <w:rFonts w:ascii="Arial MT"/>
          <w:position w:val="6"/>
          <w:sz w:val="12"/>
        </w:rPr>
        <w:tab/>
      </w:r>
      <w:r>
        <w:rPr>
          <w:rFonts w:ascii="Arial MT"/>
          <w:spacing w:val="-4"/>
          <w:sz w:val="18"/>
        </w:rPr>
        <w:t>DANE</w:t>
      </w:r>
      <w:r>
        <w:rPr>
          <w:rFonts w:ascii="Arial MT"/>
          <w:sz w:val="18"/>
        </w:rPr>
        <w:tab/>
      </w:r>
      <w:r>
        <w:rPr>
          <w:rFonts w:ascii="Arial MT"/>
          <w:spacing w:val="-10"/>
          <w:sz w:val="18"/>
        </w:rPr>
        <w:t>y</w:t>
      </w:r>
      <w:r>
        <w:rPr>
          <w:rFonts w:ascii="Arial MT"/>
          <w:sz w:val="18"/>
        </w:rPr>
        <w:tab/>
      </w:r>
      <w:r>
        <w:rPr>
          <w:rFonts w:ascii="Arial MT"/>
          <w:spacing w:val="-4"/>
          <w:sz w:val="18"/>
        </w:rPr>
        <w:t>ONU</w:t>
      </w:r>
      <w:r>
        <w:rPr>
          <w:rFonts w:ascii="Arial MT"/>
          <w:sz w:val="18"/>
        </w:rPr>
        <w:tab/>
      </w:r>
      <w:r>
        <w:rPr>
          <w:rFonts w:ascii="Arial MT"/>
          <w:spacing w:val="-2"/>
          <w:sz w:val="18"/>
        </w:rPr>
        <w:t>Mujeres.</w:t>
      </w:r>
      <w:r>
        <w:rPr>
          <w:rFonts w:ascii="Arial MT"/>
          <w:sz w:val="18"/>
        </w:rPr>
        <w:tab/>
      </w:r>
      <w:r>
        <w:rPr>
          <w:rFonts w:ascii="Arial MT"/>
          <w:spacing w:val="-2"/>
          <w:sz w:val="18"/>
        </w:rPr>
        <w:t>(2020).</w:t>
      </w:r>
      <w:r>
        <w:rPr>
          <w:rFonts w:ascii="Arial MT"/>
          <w:sz w:val="18"/>
        </w:rPr>
        <w:tab/>
      </w:r>
      <w:r>
        <w:rPr>
          <w:rFonts w:ascii="Arial MT"/>
          <w:spacing w:val="-2"/>
          <w:sz w:val="18"/>
        </w:rPr>
        <w:t>Tiempo</w:t>
      </w:r>
      <w:r>
        <w:rPr>
          <w:rFonts w:ascii="Arial MT"/>
          <w:sz w:val="18"/>
        </w:rPr>
        <w:tab/>
      </w:r>
      <w:r>
        <w:rPr>
          <w:rFonts w:ascii="Arial MT"/>
          <w:spacing w:val="-6"/>
          <w:sz w:val="18"/>
        </w:rPr>
        <w:t>de</w:t>
      </w:r>
      <w:r>
        <w:rPr>
          <w:rFonts w:ascii="Arial MT"/>
          <w:sz w:val="18"/>
        </w:rPr>
        <w:tab/>
      </w:r>
      <w:r>
        <w:rPr>
          <w:rFonts w:ascii="Arial MT"/>
          <w:spacing w:val="-2"/>
          <w:sz w:val="18"/>
        </w:rPr>
        <w:t>cuidados:</w:t>
      </w:r>
      <w:r>
        <w:rPr>
          <w:rFonts w:ascii="Arial MT"/>
          <w:sz w:val="18"/>
        </w:rPr>
        <w:tab/>
      </w:r>
      <w:r>
        <w:rPr>
          <w:rFonts w:ascii="Arial MT"/>
          <w:spacing w:val="-4"/>
          <w:sz w:val="18"/>
        </w:rPr>
        <w:t>las</w:t>
      </w:r>
      <w:r>
        <w:rPr>
          <w:rFonts w:ascii="Arial MT"/>
          <w:sz w:val="18"/>
        </w:rPr>
        <w:tab/>
      </w:r>
      <w:r>
        <w:rPr>
          <w:rFonts w:ascii="Arial MT"/>
          <w:spacing w:val="-2"/>
          <w:sz w:val="18"/>
        </w:rPr>
        <w:t>cifras</w:t>
      </w:r>
      <w:r>
        <w:rPr>
          <w:rFonts w:ascii="Arial MT"/>
          <w:sz w:val="18"/>
        </w:rPr>
        <w:tab/>
      </w:r>
      <w:r>
        <w:rPr>
          <w:rFonts w:ascii="Arial MT"/>
          <w:spacing w:val="-6"/>
          <w:sz w:val="18"/>
        </w:rPr>
        <w:t>de</w:t>
      </w:r>
      <w:r>
        <w:rPr>
          <w:rFonts w:ascii="Arial MT"/>
          <w:sz w:val="18"/>
        </w:rPr>
        <w:tab/>
      </w:r>
      <w:r>
        <w:rPr>
          <w:rFonts w:ascii="Arial MT"/>
          <w:spacing w:val="-6"/>
          <w:sz w:val="18"/>
        </w:rPr>
        <w:t>la</w:t>
      </w:r>
      <w:r>
        <w:rPr>
          <w:rFonts w:ascii="Arial MT"/>
          <w:sz w:val="18"/>
        </w:rPr>
        <w:tab/>
      </w:r>
      <w:r>
        <w:rPr>
          <w:rFonts w:ascii="Arial MT"/>
          <w:spacing w:val="-2"/>
          <w:sz w:val="18"/>
        </w:rPr>
        <w:t>desigualdad. https:/</w:t>
      </w:r>
      <w:hyperlink r:id="rId97">
        <w:r w:rsidR="000E52B0">
          <w:rPr>
            <w:rFonts w:ascii="Arial MT"/>
            <w:spacing w:val="-2"/>
            <w:sz w:val="18"/>
          </w:rPr>
          <w:t>/www.dane.gov.co/files/investigaciones/genero/publicaciones/tiempo-de-cuidados-cifras-desigualdad-</w:t>
        </w:r>
      </w:hyperlink>
      <w:r>
        <w:rPr>
          <w:rFonts w:ascii="Arial MT"/>
          <w:spacing w:val="-2"/>
          <w:sz w:val="18"/>
        </w:rPr>
        <w:t xml:space="preserve"> </w:t>
      </w:r>
      <w:bookmarkStart w:id="38" w:name="_bookmark38"/>
      <w:bookmarkEnd w:id="38"/>
      <w:r>
        <w:rPr>
          <w:rFonts w:ascii="Arial MT"/>
          <w:spacing w:val="-2"/>
          <w:sz w:val="18"/>
        </w:rPr>
        <w:t>informe.pdf</w:t>
      </w:r>
    </w:p>
    <w:p w14:paraId="1C0A93E8" w14:textId="77777777" w:rsidR="000E52B0" w:rsidRDefault="00F60D74">
      <w:pPr>
        <w:tabs>
          <w:tab w:val="left" w:pos="1089"/>
          <w:tab w:val="left" w:pos="1824"/>
          <w:tab w:val="left" w:pos="2150"/>
          <w:tab w:val="left" w:pos="2783"/>
          <w:tab w:val="left" w:pos="3709"/>
          <w:tab w:val="left" w:pos="4512"/>
          <w:tab w:val="left" w:pos="5347"/>
          <w:tab w:val="left" w:pos="5781"/>
          <w:tab w:val="left" w:pos="6785"/>
          <w:tab w:val="left" w:pos="7251"/>
          <w:tab w:val="left" w:pos="7912"/>
          <w:tab w:val="left" w:pos="8349"/>
          <w:tab w:val="left" w:pos="8723"/>
        </w:tabs>
        <w:ind w:left="720" w:right="722"/>
        <w:rPr>
          <w:rFonts w:ascii="Arial MT"/>
          <w:sz w:val="18"/>
        </w:rPr>
      </w:pPr>
      <w:r>
        <w:rPr>
          <w:rFonts w:ascii="Arial MT"/>
          <w:spacing w:val="-6"/>
          <w:position w:val="6"/>
          <w:sz w:val="12"/>
        </w:rPr>
        <w:t>33</w:t>
      </w:r>
      <w:r>
        <w:rPr>
          <w:rFonts w:ascii="Arial MT"/>
          <w:position w:val="6"/>
          <w:sz w:val="12"/>
        </w:rPr>
        <w:tab/>
      </w:r>
      <w:r>
        <w:rPr>
          <w:rFonts w:ascii="Arial MT"/>
          <w:spacing w:val="-4"/>
          <w:sz w:val="18"/>
        </w:rPr>
        <w:t>DANE</w:t>
      </w:r>
      <w:r>
        <w:rPr>
          <w:rFonts w:ascii="Arial MT"/>
          <w:sz w:val="18"/>
        </w:rPr>
        <w:tab/>
      </w:r>
      <w:r>
        <w:rPr>
          <w:rFonts w:ascii="Arial MT"/>
          <w:spacing w:val="-10"/>
          <w:sz w:val="18"/>
        </w:rPr>
        <w:t>y</w:t>
      </w:r>
      <w:r>
        <w:rPr>
          <w:rFonts w:ascii="Arial MT"/>
          <w:sz w:val="18"/>
        </w:rPr>
        <w:tab/>
      </w:r>
      <w:r>
        <w:rPr>
          <w:rFonts w:ascii="Arial MT"/>
          <w:spacing w:val="-4"/>
          <w:sz w:val="18"/>
        </w:rPr>
        <w:t>ONU</w:t>
      </w:r>
      <w:r>
        <w:rPr>
          <w:rFonts w:ascii="Arial MT"/>
          <w:sz w:val="18"/>
        </w:rPr>
        <w:tab/>
      </w:r>
      <w:r>
        <w:rPr>
          <w:rFonts w:ascii="Arial MT"/>
          <w:spacing w:val="-2"/>
          <w:sz w:val="18"/>
        </w:rPr>
        <w:t>Mujeres.</w:t>
      </w:r>
      <w:r>
        <w:rPr>
          <w:rFonts w:ascii="Arial MT"/>
          <w:sz w:val="18"/>
        </w:rPr>
        <w:tab/>
      </w:r>
      <w:r>
        <w:rPr>
          <w:rFonts w:ascii="Arial MT"/>
          <w:spacing w:val="-2"/>
          <w:sz w:val="18"/>
        </w:rPr>
        <w:t>(2020).</w:t>
      </w:r>
      <w:r>
        <w:rPr>
          <w:rFonts w:ascii="Arial MT"/>
          <w:sz w:val="18"/>
        </w:rPr>
        <w:tab/>
      </w:r>
      <w:r>
        <w:rPr>
          <w:rFonts w:ascii="Arial MT"/>
          <w:spacing w:val="-2"/>
          <w:sz w:val="18"/>
        </w:rPr>
        <w:t>Tiempo</w:t>
      </w:r>
      <w:r>
        <w:rPr>
          <w:rFonts w:ascii="Arial MT"/>
          <w:sz w:val="18"/>
        </w:rPr>
        <w:tab/>
      </w:r>
      <w:r>
        <w:rPr>
          <w:rFonts w:ascii="Arial MT"/>
          <w:spacing w:val="-6"/>
          <w:sz w:val="18"/>
        </w:rPr>
        <w:t>de</w:t>
      </w:r>
      <w:r>
        <w:rPr>
          <w:rFonts w:ascii="Arial MT"/>
          <w:sz w:val="18"/>
        </w:rPr>
        <w:tab/>
      </w:r>
      <w:r>
        <w:rPr>
          <w:rFonts w:ascii="Arial MT"/>
          <w:spacing w:val="-2"/>
          <w:sz w:val="18"/>
        </w:rPr>
        <w:t>cuidados:</w:t>
      </w:r>
      <w:r>
        <w:rPr>
          <w:rFonts w:ascii="Arial MT"/>
          <w:sz w:val="18"/>
        </w:rPr>
        <w:tab/>
      </w:r>
      <w:r>
        <w:rPr>
          <w:rFonts w:ascii="Arial MT"/>
          <w:spacing w:val="-4"/>
          <w:sz w:val="18"/>
        </w:rPr>
        <w:t>las</w:t>
      </w:r>
      <w:r>
        <w:rPr>
          <w:rFonts w:ascii="Arial MT"/>
          <w:sz w:val="18"/>
        </w:rPr>
        <w:tab/>
      </w:r>
      <w:r>
        <w:rPr>
          <w:rFonts w:ascii="Arial MT"/>
          <w:spacing w:val="-2"/>
          <w:sz w:val="18"/>
        </w:rPr>
        <w:t>cifras</w:t>
      </w:r>
      <w:r>
        <w:rPr>
          <w:rFonts w:ascii="Arial MT"/>
          <w:sz w:val="18"/>
        </w:rPr>
        <w:tab/>
      </w:r>
      <w:r>
        <w:rPr>
          <w:rFonts w:ascii="Arial MT"/>
          <w:spacing w:val="-6"/>
          <w:sz w:val="18"/>
        </w:rPr>
        <w:t>de</w:t>
      </w:r>
      <w:r>
        <w:rPr>
          <w:rFonts w:ascii="Arial MT"/>
          <w:sz w:val="18"/>
        </w:rPr>
        <w:tab/>
      </w:r>
      <w:r>
        <w:rPr>
          <w:rFonts w:ascii="Arial MT"/>
          <w:spacing w:val="-6"/>
          <w:sz w:val="18"/>
        </w:rPr>
        <w:t>la</w:t>
      </w:r>
      <w:r>
        <w:rPr>
          <w:rFonts w:ascii="Arial MT"/>
          <w:sz w:val="18"/>
        </w:rPr>
        <w:tab/>
      </w:r>
      <w:r>
        <w:rPr>
          <w:rFonts w:ascii="Arial MT"/>
          <w:spacing w:val="-2"/>
          <w:sz w:val="18"/>
        </w:rPr>
        <w:t>desigualdad. https:/</w:t>
      </w:r>
      <w:hyperlink r:id="rId98">
        <w:r w:rsidR="000E52B0">
          <w:rPr>
            <w:rFonts w:ascii="Arial MT"/>
            <w:spacing w:val="-2"/>
            <w:sz w:val="18"/>
          </w:rPr>
          <w:t>/www.dane.gov.co/files/investigaciones/genero/publicaciones/tiempo-de-cuidados-cifras-desigualdad-</w:t>
        </w:r>
      </w:hyperlink>
      <w:r>
        <w:rPr>
          <w:rFonts w:ascii="Arial MT"/>
          <w:spacing w:val="-2"/>
          <w:sz w:val="18"/>
        </w:rPr>
        <w:t xml:space="preserve"> informe.pdf</w:t>
      </w:r>
    </w:p>
    <w:p w14:paraId="5CD8F44C" w14:textId="77777777" w:rsidR="000E52B0" w:rsidRDefault="000E52B0">
      <w:pPr>
        <w:rPr>
          <w:rFonts w:ascii="Arial MT"/>
          <w:sz w:val="18"/>
        </w:rPr>
        <w:sectPr w:rsidR="000E52B0">
          <w:pgSz w:w="11910" w:h="16840"/>
          <w:pgMar w:top="1340" w:right="720" w:bottom="1180" w:left="720" w:header="0" w:footer="995" w:gutter="0"/>
          <w:cols w:space="720"/>
        </w:sectPr>
      </w:pPr>
    </w:p>
    <w:p w14:paraId="0A20F4F9" w14:textId="77777777" w:rsidR="000E52B0" w:rsidRDefault="00F60D74">
      <w:pPr>
        <w:pStyle w:val="Textoindependiente"/>
        <w:spacing w:before="83"/>
        <w:ind w:right="717"/>
        <w:jc w:val="both"/>
      </w:pPr>
      <w:r>
        <w:lastRenderedPageBreak/>
        <w:t xml:space="preserve">extrema, entre las personas de 14 a 28 años los porcentajes fueron de 38,7% y 14,3% respectivamente, es decir brechas de 2,1 y 0,5 puntos porcentuales (p.p.). Estas brechas por grupos poblacionales también se observan al comparar zonas urbanas y rurales y son levemente más </w:t>
      </w:r>
      <w:r>
        <w:rPr>
          <w:spacing w:val="-2"/>
        </w:rPr>
        <w:t>amplias.</w:t>
      </w:r>
    </w:p>
    <w:p w14:paraId="2D6298B9" w14:textId="77777777" w:rsidR="000E52B0" w:rsidRDefault="00F60D74">
      <w:pPr>
        <w:spacing w:before="157"/>
        <w:ind w:left="869"/>
        <w:rPr>
          <w:i/>
          <w:sz w:val="18"/>
        </w:rPr>
      </w:pPr>
      <w:r>
        <w:rPr>
          <w:i/>
          <w:color w:val="454551"/>
          <w:sz w:val="18"/>
        </w:rPr>
        <w:t>Ilustración</w:t>
      </w:r>
      <w:r>
        <w:rPr>
          <w:i/>
          <w:color w:val="454551"/>
          <w:spacing w:val="-3"/>
          <w:sz w:val="18"/>
        </w:rPr>
        <w:t xml:space="preserve"> </w:t>
      </w:r>
      <w:r>
        <w:rPr>
          <w:i/>
          <w:color w:val="454551"/>
          <w:sz w:val="18"/>
        </w:rPr>
        <w:t>22.</w:t>
      </w:r>
      <w:r>
        <w:rPr>
          <w:i/>
          <w:color w:val="454551"/>
          <w:spacing w:val="-4"/>
          <w:sz w:val="18"/>
        </w:rPr>
        <w:t xml:space="preserve"> </w:t>
      </w:r>
      <w:r>
        <w:rPr>
          <w:i/>
          <w:color w:val="454551"/>
          <w:sz w:val="18"/>
        </w:rPr>
        <w:t>Incidencia</w:t>
      </w:r>
      <w:r>
        <w:rPr>
          <w:i/>
          <w:color w:val="454551"/>
          <w:spacing w:val="-5"/>
          <w:sz w:val="18"/>
        </w:rPr>
        <w:t xml:space="preserve"> </w:t>
      </w:r>
      <w:r>
        <w:rPr>
          <w:i/>
          <w:color w:val="454551"/>
          <w:sz w:val="18"/>
        </w:rPr>
        <w:t>de</w:t>
      </w:r>
      <w:r>
        <w:rPr>
          <w:i/>
          <w:color w:val="454551"/>
          <w:spacing w:val="-2"/>
          <w:sz w:val="18"/>
        </w:rPr>
        <w:t xml:space="preserve"> </w:t>
      </w:r>
      <w:r>
        <w:rPr>
          <w:i/>
          <w:color w:val="454551"/>
          <w:sz w:val="18"/>
        </w:rPr>
        <w:t>pobreza</w:t>
      </w:r>
      <w:r>
        <w:rPr>
          <w:i/>
          <w:color w:val="454551"/>
          <w:spacing w:val="-3"/>
          <w:sz w:val="18"/>
        </w:rPr>
        <w:t xml:space="preserve"> </w:t>
      </w:r>
      <w:r>
        <w:rPr>
          <w:i/>
          <w:color w:val="454551"/>
          <w:sz w:val="18"/>
        </w:rPr>
        <w:t>monetaria</w:t>
      </w:r>
      <w:r>
        <w:rPr>
          <w:i/>
          <w:color w:val="454551"/>
          <w:spacing w:val="-2"/>
          <w:sz w:val="18"/>
        </w:rPr>
        <w:t xml:space="preserve"> </w:t>
      </w:r>
      <w:r>
        <w:rPr>
          <w:i/>
          <w:color w:val="454551"/>
          <w:sz w:val="18"/>
        </w:rPr>
        <w:t>y</w:t>
      </w:r>
      <w:r>
        <w:rPr>
          <w:i/>
          <w:color w:val="454551"/>
          <w:spacing w:val="-4"/>
          <w:sz w:val="18"/>
        </w:rPr>
        <w:t xml:space="preserve"> </w:t>
      </w:r>
      <w:r>
        <w:rPr>
          <w:i/>
          <w:color w:val="454551"/>
          <w:sz w:val="18"/>
        </w:rPr>
        <w:t>monetaria</w:t>
      </w:r>
      <w:r>
        <w:rPr>
          <w:i/>
          <w:color w:val="454551"/>
          <w:spacing w:val="-2"/>
          <w:sz w:val="18"/>
        </w:rPr>
        <w:t xml:space="preserve"> </w:t>
      </w:r>
      <w:r>
        <w:rPr>
          <w:i/>
          <w:color w:val="454551"/>
          <w:sz w:val="18"/>
        </w:rPr>
        <w:t>extrema</w:t>
      </w:r>
      <w:r>
        <w:rPr>
          <w:i/>
          <w:color w:val="454551"/>
          <w:spacing w:val="-3"/>
          <w:sz w:val="18"/>
        </w:rPr>
        <w:t xml:space="preserve"> </w:t>
      </w:r>
      <w:r>
        <w:rPr>
          <w:i/>
          <w:color w:val="454551"/>
          <w:sz w:val="18"/>
        </w:rPr>
        <w:t>por</w:t>
      </w:r>
      <w:r>
        <w:rPr>
          <w:i/>
          <w:color w:val="454551"/>
          <w:spacing w:val="-3"/>
          <w:sz w:val="18"/>
        </w:rPr>
        <w:t xml:space="preserve"> </w:t>
      </w:r>
      <w:r>
        <w:rPr>
          <w:i/>
          <w:color w:val="454551"/>
          <w:sz w:val="18"/>
        </w:rPr>
        <w:t>clase</w:t>
      </w:r>
      <w:r>
        <w:rPr>
          <w:i/>
          <w:color w:val="454551"/>
          <w:spacing w:val="-4"/>
          <w:sz w:val="18"/>
        </w:rPr>
        <w:t xml:space="preserve"> </w:t>
      </w:r>
      <w:r>
        <w:rPr>
          <w:i/>
          <w:color w:val="454551"/>
          <w:sz w:val="18"/>
        </w:rPr>
        <w:t>y</w:t>
      </w:r>
      <w:r>
        <w:rPr>
          <w:i/>
          <w:color w:val="454551"/>
          <w:spacing w:val="-3"/>
          <w:sz w:val="18"/>
        </w:rPr>
        <w:t xml:space="preserve"> </w:t>
      </w:r>
      <w:r>
        <w:rPr>
          <w:i/>
          <w:color w:val="454551"/>
          <w:sz w:val="18"/>
        </w:rPr>
        <w:t>grupo</w:t>
      </w:r>
      <w:r>
        <w:rPr>
          <w:i/>
          <w:color w:val="454551"/>
          <w:spacing w:val="-2"/>
          <w:sz w:val="18"/>
        </w:rPr>
        <w:t xml:space="preserve"> </w:t>
      </w:r>
      <w:r>
        <w:rPr>
          <w:i/>
          <w:color w:val="454551"/>
          <w:sz w:val="18"/>
        </w:rPr>
        <w:t>de</w:t>
      </w:r>
      <w:r>
        <w:rPr>
          <w:i/>
          <w:color w:val="454551"/>
          <w:spacing w:val="-2"/>
          <w:sz w:val="18"/>
        </w:rPr>
        <w:t xml:space="preserve"> </w:t>
      </w:r>
      <w:r>
        <w:rPr>
          <w:i/>
          <w:color w:val="454551"/>
          <w:spacing w:val="-4"/>
          <w:sz w:val="18"/>
        </w:rPr>
        <w:t>edad</w:t>
      </w:r>
    </w:p>
    <w:p w14:paraId="3A89C7C0" w14:textId="77777777" w:rsidR="000E52B0" w:rsidRDefault="000E52B0">
      <w:pPr>
        <w:pStyle w:val="Textoindependiente"/>
        <w:spacing w:before="152"/>
        <w:ind w:left="0"/>
        <w:rPr>
          <w:i/>
          <w:sz w:val="18"/>
        </w:rPr>
      </w:pPr>
    </w:p>
    <w:p w14:paraId="52C0E2B9" w14:textId="77777777" w:rsidR="000E52B0" w:rsidRDefault="00F60D74">
      <w:pPr>
        <w:tabs>
          <w:tab w:val="left" w:pos="1995"/>
        </w:tabs>
        <w:ind w:left="72"/>
        <w:jc w:val="center"/>
        <w:rPr>
          <w:rFonts w:ascii="Trebuchet MS"/>
          <w:sz w:val="18"/>
        </w:rPr>
      </w:pPr>
      <w:r>
        <w:rPr>
          <w:noProof/>
        </w:rPr>
        <w:drawing>
          <wp:inline distT="0" distB="0" distL="0" distR="0" wp14:anchorId="1792EF22" wp14:editId="7AECA784">
            <wp:extent cx="62779" cy="62779"/>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99" cstate="print"/>
                    <a:stretch>
                      <a:fillRect/>
                    </a:stretch>
                  </pic:blipFill>
                  <pic:spPr>
                    <a:xfrm>
                      <a:off x="0" y="0"/>
                      <a:ext cx="62779" cy="62779"/>
                    </a:xfrm>
                    <a:prstGeom prst="rect">
                      <a:avLst/>
                    </a:prstGeom>
                  </pic:spPr>
                </pic:pic>
              </a:graphicData>
            </a:graphic>
          </wp:inline>
        </w:drawing>
      </w:r>
      <w:r>
        <w:rPr>
          <w:rFonts w:ascii="Times New Roman"/>
          <w:spacing w:val="-3"/>
          <w:sz w:val="20"/>
        </w:rPr>
        <w:t xml:space="preserve"> </w:t>
      </w:r>
      <w:r>
        <w:rPr>
          <w:rFonts w:ascii="Trebuchet MS"/>
          <w:color w:val="585858"/>
          <w:spacing w:val="-4"/>
          <w:sz w:val="18"/>
        </w:rPr>
        <w:t>Pobreza</w:t>
      </w:r>
      <w:r>
        <w:rPr>
          <w:rFonts w:ascii="Trebuchet MS"/>
          <w:color w:val="585858"/>
          <w:spacing w:val="-13"/>
          <w:sz w:val="18"/>
        </w:rPr>
        <w:t xml:space="preserve"> </w:t>
      </w:r>
      <w:r>
        <w:rPr>
          <w:rFonts w:ascii="Trebuchet MS"/>
          <w:color w:val="585858"/>
          <w:sz w:val="18"/>
        </w:rPr>
        <w:t>Monetaria</w:t>
      </w:r>
      <w:r>
        <w:rPr>
          <w:rFonts w:ascii="Trebuchet MS"/>
          <w:color w:val="585858"/>
          <w:sz w:val="18"/>
        </w:rPr>
        <w:tab/>
      </w:r>
      <w:r>
        <w:rPr>
          <w:rFonts w:ascii="Trebuchet MS"/>
          <w:noProof/>
          <w:color w:val="585858"/>
          <w:sz w:val="18"/>
        </w:rPr>
        <w:drawing>
          <wp:inline distT="0" distB="0" distL="0" distR="0" wp14:anchorId="63E36DAF" wp14:editId="26F3C0CC">
            <wp:extent cx="62779" cy="62779"/>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00" cstate="print"/>
                    <a:stretch>
                      <a:fillRect/>
                    </a:stretch>
                  </pic:blipFill>
                  <pic:spPr>
                    <a:xfrm>
                      <a:off x="0" y="0"/>
                      <a:ext cx="62779" cy="62779"/>
                    </a:xfrm>
                    <a:prstGeom prst="rect">
                      <a:avLst/>
                    </a:prstGeom>
                  </pic:spPr>
                </pic:pic>
              </a:graphicData>
            </a:graphic>
          </wp:inline>
        </w:drawing>
      </w:r>
      <w:r>
        <w:rPr>
          <w:rFonts w:ascii="Times New Roman"/>
          <w:color w:val="585858"/>
          <w:spacing w:val="6"/>
          <w:sz w:val="18"/>
        </w:rPr>
        <w:t xml:space="preserve"> </w:t>
      </w:r>
      <w:r>
        <w:rPr>
          <w:rFonts w:ascii="Trebuchet MS"/>
          <w:color w:val="585858"/>
          <w:spacing w:val="-4"/>
          <w:sz w:val="18"/>
        </w:rPr>
        <w:t>Pobreza</w:t>
      </w:r>
      <w:r>
        <w:rPr>
          <w:rFonts w:ascii="Trebuchet MS"/>
          <w:color w:val="585858"/>
          <w:spacing w:val="-11"/>
          <w:sz w:val="18"/>
        </w:rPr>
        <w:t xml:space="preserve"> </w:t>
      </w:r>
      <w:r>
        <w:rPr>
          <w:rFonts w:ascii="Trebuchet MS"/>
          <w:color w:val="585858"/>
          <w:spacing w:val="-4"/>
          <w:sz w:val="18"/>
        </w:rPr>
        <w:t>Monetaria</w:t>
      </w:r>
      <w:r>
        <w:rPr>
          <w:rFonts w:ascii="Trebuchet MS"/>
          <w:color w:val="585858"/>
          <w:spacing w:val="-11"/>
          <w:sz w:val="18"/>
        </w:rPr>
        <w:t xml:space="preserve"> </w:t>
      </w:r>
      <w:r>
        <w:rPr>
          <w:rFonts w:ascii="Trebuchet MS"/>
          <w:color w:val="585858"/>
          <w:spacing w:val="-4"/>
          <w:sz w:val="18"/>
        </w:rPr>
        <w:t>Extrema</w:t>
      </w:r>
    </w:p>
    <w:p w14:paraId="7B45C9E9" w14:textId="77777777" w:rsidR="000E52B0" w:rsidRDefault="00F60D74">
      <w:pPr>
        <w:tabs>
          <w:tab w:val="left" w:pos="7876"/>
        </w:tabs>
        <w:ind w:left="5750"/>
        <w:rPr>
          <w:rFonts w:ascii="Trebuchet MS"/>
          <w:position w:val="1"/>
          <w:sz w:val="18"/>
        </w:rPr>
      </w:pPr>
      <w:r>
        <w:rPr>
          <w:rFonts w:ascii="Trebuchet MS"/>
          <w:noProof/>
          <w:position w:val="1"/>
          <w:sz w:val="18"/>
        </w:rPr>
        <mc:AlternateContent>
          <mc:Choice Requires="wpg">
            <w:drawing>
              <wp:anchor distT="0" distB="0" distL="0" distR="0" simplePos="0" relativeHeight="487625216" behindDoc="1" locked="0" layoutInCell="1" allowOverlap="1" wp14:anchorId="70380D00" wp14:editId="4FCB65C5">
                <wp:simplePos x="0" y="0"/>
                <wp:positionH relativeFrom="page">
                  <wp:posOffset>1076325</wp:posOffset>
                </wp:positionH>
                <wp:positionV relativeFrom="paragraph">
                  <wp:posOffset>165100</wp:posOffset>
                </wp:positionV>
                <wp:extent cx="5419725" cy="704850"/>
                <wp:effectExtent l="0" t="0" r="28575" b="1905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9725" cy="704850"/>
                          <a:chOff x="0" y="0"/>
                          <a:chExt cx="5399405" cy="828675"/>
                        </a:xfrm>
                      </wpg:grpSpPr>
                      <wps:wsp>
                        <wps:cNvPr id="173" name="Graphic 173"/>
                        <wps:cNvSpPr/>
                        <wps:spPr>
                          <a:xfrm>
                            <a:off x="330771" y="27821"/>
                            <a:ext cx="4352925" cy="796290"/>
                          </a:xfrm>
                          <a:custGeom>
                            <a:avLst/>
                            <a:gdLst/>
                            <a:ahLst/>
                            <a:cxnLst/>
                            <a:rect l="l" t="t" r="r" b="b"/>
                            <a:pathLst>
                              <a:path w="4352925" h="796290">
                                <a:moveTo>
                                  <a:pt x="303276" y="213360"/>
                                </a:moveTo>
                                <a:lnTo>
                                  <a:pt x="0" y="213360"/>
                                </a:lnTo>
                                <a:lnTo>
                                  <a:pt x="0" y="796036"/>
                                </a:lnTo>
                                <a:lnTo>
                                  <a:pt x="303276" y="796036"/>
                                </a:lnTo>
                                <a:lnTo>
                                  <a:pt x="303276" y="213360"/>
                                </a:lnTo>
                                <a:close/>
                              </a:path>
                              <a:path w="4352925" h="796290">
                                <a:moveTo>
                                  <a:pt x="1653540" y="169164"/>
                                </a:moveTo>
                                <a:lnTo>
                                  <a:pt x="1350264" y="169164"/>
                                </a:lnTo>
                                <a:lnTo>
                                  <a:pt x="1350264" y="796036"/>
                                </a:lnTo>
                                <a:lnTo>
                                  <a:pt x="1653540" y="796036"/>
                                </a:lnTo>
                                <a:lnTo>
                                  <a:pt x="1653540" y="169164"/>
                                </a:lnTo>
                                <a:close/>
                              </a:path>
                              <a:path w="4352925" h="796290">
                                <a:moveTo>
                                  <a:pt x="3002280" y="6096"/>
                                </a:moveTo>
                                <a:lnTo>
                                  <a:pt x="2700528" y="6096"/>
                                </a:lnTo>
                                <a:lnTo>
                                  <a:pt x="2700528" y="796036"/>
                                </a:lnTo>
                                <a:lnTo>
                                  <a:pt x="3002280" y="796036"/>
                                </a:lnTo>
                                <a:lnTo>
                                  <a:pt x="3002280" y="6096"/>
                                </a:lnTo>
                                <a:close/>
                              </a:path>
                              <a:path w="4352925" h="796290">
                                <a:moveTo>
                                  <a:pt x="4352544" y="0"/>
                                </a:moveTo>
                                <a:lnTo>
                                  <a:pt x="4050792" y="0"/>
                                </a:lnTo>
                                <a:lnTo>
                                  <a:pt x="4050792" y="796036"/>
                                </a:lnTo>
                                <a:lnTo>
                                  <a:pt x="4352544" y="796036"/>
                                </a:lnTo>
                                <a:lnTo>
                                  <a:pt x="4352544" y="0"/>
                                </a:lnTo>
                                <a:close/>
                              </a:path>
                            </a:pathLst>
                          </a:custGeom>
                          <a:solidFill>
                            <a:srgbClr val="E22C91"/>
                          </a:solidFill>
                        </wps:spPr>
                        <wps:bodyPr wrap="square" lIns="0" tIns="0" rIns="0" bIns="0" rtlCol="0">
                          <a:prstTxWarp prst="textNoShape">
                            <a:avLst/>
                          </a:prstTxWarp>
                          <a:noAutofit/>
                        </wps:bodyPr>
                      </wps:wsp>
                      <wps:wsp>
                        <wps:cNvPr id="174" name="Graphic 174"/>
                        <wps:cNvSpPr/>
                        <wps:spPr>
                          <a:xfrm>
                            <a:off x="716343" y="419489"/>
                            <a:ext cx="4351020" cy="404495"/>
                          </a:xfrm>
                          <a:custGeom>
                            <a:avLst/>
                            <a:gdLst/>
                            <a:ahLst/>
                            <a:cxnLst/>
                            <a:rect l="l" t="t" r="r" b="b"/>
                            <a:pathLst>
                              <a:path w="4351020" h="404495">
                                <a:moveTo>
                                  <a:pt x="301752" y="216408"/>
                                </a:moveTo>
                                <a:lnTo>
                                  <a:pt x="0" y="216408"/>
                                </a:lnTo>
                                <a:lnTo>
                                  <a:pt x="0" y="404368"/>
                                </a:lnTo>
                                <a:lnTo>
                                  <a:pt x="301752" y="404368"/>
                                </a:lnTo>
                                <a:lnTo>
                                  <a:pt x="301752" y="216408"/>
                                </a:lnTo>
                                <a:close/>
                              </a:path>
                              <a:path w="4351020" h="404495">
                                <a:moveTo>
                                  <a:pt x="1652016" y="205740"/>
                                </a:moveTo>
                                <a:lnTo>
                                  <a:pt x="1348740" y="205740"/>
                                </a:lnTo>
                                <a:lnTo>
                                  <a:pt x="1348740" y="404368"/>
                                </a:lnTo>
                                <a:lnTo>
                                  <a:pt x="1652016" y="404368"/>
                                </a:lnTo>
                                <a:lnTo>
                                  <a:pt x="1652016" y="205740"/>
                                </a:lnTo>
                                <a:close/>
                              </a:path>
                              <a:path w="4351020" h="404495">
                                <a:moveTo>
                                  <a:pt x="3002280" y="4572"/>
                                </a:moveTo>
                                <a:lnTo>
                                  <a:pt x="2699004" y="4572"/>
                                </a:lnTo>
                                <a:lnTo>
                                  <a:pt x="2699004" y="404368"/>
                                </a:lnTo>
                                <a:lnTo>
                                  <a:pt x="3002280" y="404368"/>
                                </a:lnTo>
                                <a:lnTo>
                                  <a:pt x="3002280" y="4572"/>
                                </a:lnTo>
                                <a:close/>
                              </a:path>
                              <a:path w="4351020" h="404495">
                                <a:moveTo>
                                  <a:pt x="4351020" y="0"/>
                                </a:moveTo>
                                <a:lnTo>
                                  <a:pt x="4049268" y="0"/>
                                </a:lnTo>
                                <a:lnTo>
                                  <a:pt x="4049268" y="404368"/>
                                </a:lnTo>
                                <a:lnTo>
                                  <a:pt x="4351020" y="404368"/>
                                </a:lnTo>
                                <a:lnTo>
                                  <a:pt x="4351020" y="0"/>
                                </a:lnTo>
                                <a:close/>
                              </a:path>
                            </a:pathLst>
                          </a:custGeom>
                          <a:solidFill>
                            <a:srgbClr val="FFC000"/>
                          </a:solidFill>
                        </wps:spPr>
                        <wps:bodyPr wrap="square" lIns="0" tIns="0" rIns="0" bIns="0" rtlCol="0">
                          <a:prstTxWarp prst="textNoShape">
                            <a:avLst/>
                          </a:prstTxWarp>
                          <a:noAutofit/>
                        </wps:bodyPr>
                      </wps:wsp>
                      <wps:wsp>
                        <wps:cNvPr id="175" name="Graphic 175"/>
                        <wps:cNvSpPr/>
                        <wps:spPr>
                          <a:xfrm>
                            <a:off x="0" y="823857"/>
                            <a:ext cx="5399405" cy="1270"/>
                          </a:xfrm>
                          <a:custGeom>
                            <a:avLst/>
                            <a:gdLst/>
                            <a:ahLst/>
                            <a:cxnLst/>
                            <a:rect l="l" t="t" r="r" b="b"/>
                            <a:pathLst>
                              <a:path w="5399405">
                                <a:moveTo>
                                  <a:pt x="0" y="0"/>
                                </a:moveTo>
                                <a:lnTo>
                                  <a:pt x="5399341" y="0"/>
                                </a:lnTo>
                              </a:path>
                            </a:pathLst>
                          </a:custGeom>
                          <a:ln w="9525">
                            <a:solidFill>
                              <a:srgbClr val="D9D9D9"/>
                            </a:solidFill>
                            <a:prstDash val="solid"/>
                          </a:ln>
                        </wps:spPr>
                        <wps:bodyPr wrap="square" lIns="0" tIns="0" rIns="0" bIns="0" rtlCol="0">
                          <a:prstTxWarp prst="textNoShape">
                            <a:avLst/>
                          </a:prstTxWarp>
                          <a:noAutofit/>
                        </wps:bodyPr>
                      </wps:wsp>
                      <wps:wsp>
                        <wps:cNvPr id="176" name="Textbox 176"/>
                        <wps:cNvSpPr txBox="1"/>
                        <wps:spPr>
                          <a:xfrm>
                            <a:off x="328358" y="44830"/>
                            <a:ext cx="322580" cy="139700"/>
                          </a:xfrm>
                          <a:prstGeom prst="rect">
                            <a:avLst/>
                          </a:prstGeom>
                        </wps:spPr>
                        <wps:txbx>
                          <w:txbxContent>
                            <w:p w14:paraId="68F13E31" w14:textId="77777777" w:rsidR="000E52B0" w:rsidRDefault="00F60D74">
                              <w:pPr>
                                <w:rPr>
                                  <w:rFonts w:ascii="Trebuchet MS"/>
                                  <w:sz w:val="18"/>
                                </w:rPr>
                              </w:pPr>
                              <w:r>
                                <w:rPr>
                                  <w:rFonts w:ascii="Trebuchet MS"/>
                                  <w:color w:val="404040"/>
                                  <w:spacing w:val="-2"/>
                                  <w:w w:val="105"/>
                                  <w:sz w:val="18"/>
                                </w:rPr>
                                <w:t>33,8%</w:t>
                              </w:r>
                            </w:p>
                          </w:txbxContent>
                        </wps:txbx>
                        <wps:bodyPr wrap="square" lIns="0" tIns="0" rIns="0" bIns="0" rtlCol="0">
                          <a:noAutofit/>
                        </wps:bodyPr>
                      </wps:wsp>
                      <wps:wsp>
                        <wps:cNvPr id="177" name="Textbox 177"/>
                        <wps:cNvSpPr txBox="1"/>
                        <wps:spPr>
                          <a:xfrm>
                            <a:off x="1678241" y="0"/>
                            <a:ext cx="322580" cy="139700"/>
                          </a:xfrm>
                          <a:prstGeom prst="rect">
                            <a:avLst/>
                          </a:prstGeom>
                        </wps:spPr>
                        <wps:txbx>
                          <w:txbxContent>
                            <w:p w14:paraId="360FFC4C" w14:textId="77777777" w:rsidR="000E52B0" w:rsidRDefault="00F60D74">
                              <w:pPr>
                                <w:rPr>
                                  <w:rFonts w:ascii="Trebuchet MS"/>
                                  <w:sz w:val="18"/>
                                </w:rPr>
                              </w:pPr>
                              <w:r>
                                <w:rPr>
                                  <w:rFonts w:ascii="Trebuchet MS"/>
                                  <w:color w:val="404040"/>
                                  <w:spacing w:val="-2"/>
                                  <w:w w:val="105"/>
                                  <w:sz w:val="18"/>
                                </w:rPr>
                                <w:t>36,5%</w:t>
                              </w:r>
                            </w:p>
                          </w:txbxContent>
                        </wps:txbx>
                        <wps:bodyPr wrap="square" lIns="0" tIns="0" rIns="0" bIns="0" rtlCol="0">
                          <a:noAutofit/>
                        </wps:bodyPr>
                      </wps:wsp>
                      <wps:wsp>
                        <wps:cNvPr id="178" name="Textbox 178"/>
                        <wps:cNvSpPr txBox="1"/>
                        <wps:spPr>
                          <a:xfrm>
                            <a:off x="3412934" y="226822"/>
                            <a:ext cx="322580" cy="139700"/>
                          </a:xfrm>
                          <a:prstGeom prst="rect">
                            <a:avLst/>
                          </a:prstGeom>
                        </wps:spPr>
                        <wps:txbx>
                          <w:txbxContent>
                            <w:p w14:paraId="504B0A2C" w14:textId="77777777" w:rsidR="000E52B0" w:rsidRDefault="00F60D74">
                              <w:pPr>
                                <w:rPr>
                                  <w:rFonts w:ascii="Trebuchet MS"/>
                                  <w:sz w:val="18"/>
                                </w:rPr>
                              </w:pPr>
                              <w:r>
                                <w:rPr>
                                  <w:rFonts w:ascii="Trebuchet MS"/>
                                  <w:color w:val="404040"/>
                                  <w:spacing w:val="-2"/>
                                  <w:w w:val="105"/>
                                  <w:sz w:val="18"/>
                                </w:rPr>
                                <w:t>23,3%</w:t>
                              </w:r>
                            </w:p>
                          </w:txbxContent>
                        </wps:txbx>
                        <wps:bodyPr wrap="square" lIns="0" tIns="0" rIns="0" bIns="0" rtlCol="0">
                          <a:noAutofit/>
                        </wps:bodyPr>
                      </wps:wsp>
                      <wps:wsp>
                        <wps:cNvPr id="179" name="Textbox 179"/>
                        <wps:cNvSpPr txBox="1"/>
                        <wps:spPr>
                          <a:xfrm>
                            <a:off x="4763198" y="222884"/>
                            <a:ext cx="322580" cy="139700"/>
                          </a:xfrm>
                          <a:prstGeom prst="rect">
                            <a:avLst/>
                          </a:prstGeom>
                        </wps:spPr>
                        <wps:txbx>
                          <w:txbxContent>
                            <w:p w14:paraId="3BF60FD3" w14:textId="77777777" w:rsidR="000E52B0" w:rsidRDefault="00F60D74">
                              <w:pPr>
                                <w:rPr>
                                  <w:rFonts w:ascii="Trebuchet MS"/>
                                  <w:sz w:val="18"/>
                                </w:rPr>
                              </w:pPr>
                              <w:r>
                                <w:rPr>
                                  <w:rFonts w:ascii="Trebuchet MS"/>
                                  <w:color w:val="404040"/>
                                  <w:spacing w:val="-2"/>
                                  <w:w w:val="105"/>
                                  <w:sz w:val="18"/>
                                </w:rPr>
                                <w:t>23,5%</w:t>
                              </w:r>
                            </w:p>
                          </w:txbxContent>
                        </wps:txbx>
                        <wps:bodyPr wrap="square" lIns="0" tIns="0" rIns="0" bIns="0" rtlCol="0">
                          <a:noAutofit/>
                        </wps:bodyPr>
                      </wps:wsp>
                      <wps:wsp>
                        <wps:cNvPr id="180" name="Textbox 180"/>
                        <wps:cNvSpPr txBox="1"/>
                        <wps:spPr>
                          <a:xfrm>
                            <a:off x="712660" y="438658"/>
                            <a:ext cx="322580" cy="139700"/>
                          </a:xfrm>
                          <a:prstGeom prst="rect">
                            <a:avLst/>
                          </a:prstGeom>
                        </wps:spPr>
                        <wps:txbx>
                          <w:txbxContent>
                            <w:p w14:paraId="00F7A27C" w14:textId="77777777" w:rsidR="000E52B0" w:rsidRDefault="00F60D74">
                              <w:pPr>
                                <w:rPr>
                                  <w:rFonts w:ascii="Trebuchet MS"/>
                                  <w:sz w:val="18"/>
                                </w:rPr>
                              </w:pPr>
                              <w:r>
                                <w:rPr>
                                  <w:rFonts w:ascii="Trebuchet MS"/>
                                  <w:color w:val="404040"/>
                                  <w:spacing w:val="-2"/>
                                  <w:w w:val="105"/>
                                  <w:sz w:val="18"/>
                                </w:rPr>
                                <w:t>11,0%</w:t>
                              </w:r>
                            </w:p>
                          </w:txbxContent>
                        </wps:txbx>
                        <wps:bodyPr wrap="square" lIns="0" tIns="0" rIns="0" bIns="0" rtlCol="0">
                          <a:noAutofit/>
                        </wps:bodyPr>
                      </wps:wsp>
                      <wps:wsp>
                        <wps:cNvPr id="181" name="Textbox 181"/>
                        <wps:cNvSpPr txBox="1"/>
                        <wps:spPr>
                          <a:xfrm>
                            <a:off x="2062670" y="428625"/>
                            <a:ext cx="322580" cy="139700"/>
                          </a:xfrm>
                          <a:prstGeom prst="rect">
                            <a:avLst/>
                          </a:prstGeom>
                        </wps:spPr>
                        <wps:txbx>
                          <w:txbxContent>
                            <w:p w14:paraId="0EFC6BEC" w14:textId="77777777" w:rsidR="000E52B0" w:rsidRDefault="00F60D74">
                              <w:pPr>
                                <w:rPr>
                                  <w:rFonts w:ascii="Trebuchet MS"/>
                                  <w:sz w:val="18"/>
                                </w:rPr>
                              </w:pPr>
                              <w:r>
                                <w:rPr>
                                  <w:rFonts w:ascii="Trebuchet MS"/>
                                  <w:color w:val="404040"/>
                                  <w:spacing w:val="-2"/>
                                  <w:w w:val="105"/>
                                  <w:sz w:val="18"/>
                                </w:rPr>
                                <w:t>11,5%</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0380D00" id="Group 172" o:spid="_x0000_s1108" style="position:absolute;left:0;text-align:left;margin-left:84.75pt;margin-top:13pt;width:426.75pt;height:55.5pt;z-index:-15691264;mso-wrap-distance-left:0;mso-wrap-distance-right:0;mso-position-horizontal-relative:page;mso-position-vertical-relative:text;mso-width-relative:margin;mso-height-relative:margin" coordsize="5399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">
                <v:shape id="Graphic 173" o:spid="_x0000_s1109" style="position:absolute;left:3307;top:278;width:43529;height:7963;visibility:visible;mso-wrap-style:square;v-text-anchor:top" coordsize="4352925,79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" path="m303276,213360l,213360,,796036r303276,l303276,213360xem1653540,169164r-303276,l1350264,796036r303276,l1653540,169164xem3002280,6096r-301752,l2700528,796036r301752,l3002280,6096xem4352544,l4050792,r,796036l4352544,796036,4352544,xe" fillcolor="#e22c91" stroked="f">
                  <v:path arrowok="t"/>
                </v:shape>
                <v:shape id="Graphic 174" o:spid="_x0000_s1110" style="position:absolute;left:7163;top:4194;width:43510;height:4045;visibility:visible;mso-wrap-style:square;v-text-anchor:top" coordsize="435102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" path="m301752,216408l,216408,,404368r301752,l301752,216408xem1652016,205740r-303276,l1348740,404368r303276,l1652016,205740xem3002280,4572r-303276,l2699004,404368r303276,l3002280,4572xem4351020,l4049268,r,404368l4351020,404368,4351020,xe" fillcolor="#ffc000" stroked="f">
                  <v:path arrowok="t"/>
                </v:shape>
                <v:shape id="Graphic 175" o:spid="_x0000_s1111" style="position:absolute;top:8238;width:53994;height:13;visibility:visible;mso-wrap-style:square;v-text-anchor:top" coordsize="539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" path="m,l5399341,e" filled="f" strokecolor="#d9d9d9">
                  <v:path arrowok="t"/>
                </v:shape>
                <v:shape id="Textbox 176" o:spid="_x0000_s1112" type="#_x0000_t202" style="position:absolute;left:3283;top:448;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68F13E31" w14:textId="77777777" w:rsidR="000E52B0" w:rsidRDefault="00F60D74">
                        <w:pPr>
                          <w:rPr>
                            <w:rFonts w:ascii="Trebuchet MS"/>
                            <w:sz w:val="18"/>
                          </w:rPr>
                        </w:pPr>
                        <w:r>
                          <w:rPr>
                            <w:rFonts w:ascii="Trebuchet MS"/>
                            <w:color w:val="404040"/>
                            <w:spacing w:val="-2"/>
                            <w:w w:val="105"/>
                            <w:sz w:val="18"/>
                          </w:rPr>
                          <w:t>33,8%</w:t>
                        </w:r>
                      </w:p>
                    </w:txbxContent>
                  </v:textbox>
                </v:shape>
                <v:shape id="Textbox 177" o:spid="_x0000_s1113" type="#_x0000_t202" style="position:absolute;left:16782;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360FFC4C" w14:textId="77777777" w:rsidR="000E52B0" w:rsidRDefault="00F60D74">
                        <w:pPr>
                          <w:rPr>
                            <w:rFonts w:ascii="Trebuchet MS"/>
                            <w:sz w:val="18"/>
                          </w:rPr>
                        </w:pPr>
                        <w:r>
                          <w:rPr>
                            <w:rFonts w:ascii="Trebuchet MS"/>
                            <w:color w:val="404040"/>
                            <w:spacing w:val="-2"/>
                            <w:w w:val="105"/>
                            <w:sz w:val="18"/>
                          </w:rPr>
                          <w:t>36,5%</w:t>
                        </w:r>
                      </w:p>
                    </w:txbxContent>
                  </v:textbox>
                </v:shape>
                <v:shape id="Textbox 178" o:spid="_x0000_s1114" type="#_x0000_t202" style="position:absolute;left:34129;top:2268;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04B0A2C" w14:textId="77777777" w:rsidR="000E52B0" w:rsidRDefault="00F60D74">
                        <w:pPr>
                          <w:rPr>
                            <w:rFonts w:ascii="Trebuchet MS"/>
                            <w:sz w:val="18"/>
                          </w:rPr>
                        </w:pPr>
                        <w:r>
                          <w:rPr>
                            <w:rFonts w:ascii="Trebuchet MS"/>
                            <w:color w:val="404040"/>
                            <w:spacing w:val="-2"/>
                            <w:w w:val="105"/>
                            <w:sz w:val="18"/>
                          </w:rPr>
                          <w:t>23,3%</w:t>
                        </w:r>
                      </w:p>
                    </w:txbxContent>
                  </v:textbox>
                </v:shape>
                <v:shape id="Textbox 179" o:spid="_x0000_s1115" type="#_x0000_t202" style="position:absolute;left:47631;top:2228;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3BF60FD3" w14:textId="77777777" w:rsidR="000E52B0" w:rsidRDefault="00F60D74">
                        <w:pPr>
                          <w:rPr>
                            <w:rFonts w:ascii="Trebuchet MS"/>
                            <w:sz w:val="18"/>
                          </w:rPr>
                        </w:pPr>
                        <w:r>
                          <w:rPr>
                            <w:rFonts w:ascii="Trebuchet MS"/>
                            <w:color w:val="404040"/>
                            <w:spacing w:val="-2"/>
                            <w:w w:val="105"/>
                            <w:sz w:val="18"/>
                          </w:rPr>
                          <w:t>23,5%</w:t>
                        </w:r>
                      </w:p>
                    </w:txbxContent>
                  </v:textbox>
                </v:shape>
                <v:shape id="Textbox 180" o:spid="_x0000_s1116" type="#_x0000_t202" style="position:absolute;left:7126;top:4386;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00F7A27C" w14:textId="77777777" w:rsidR="000E52B0" w:rsidRDefault="00F60D74">
                        <w:pPr>
                          <w:rPr>
                            <w:rFonts w:ascii="Trebuchet MS"/>
                            <w:sz w:val="18"/>
                          </w:rPr>
                        </w:pPr>
                        <w:r>
                          <w:rPr>
                            <w:rFonts w:ascii="Trebuchet MS"/>
                            <w:color w:val="404040"/>
                            <w:spacing w:val="-2"/>
                            <w:w w:val="105"/>
                            <w:sz w:val="18"/>
                          </w:rPr>
                          <w:t>11,0%</w:t>
                        </w:r>
                      </w:p>
                    </w:txbxContent>
                  </v:textbox>
                </v:shape>
                <v:shape id="Textbox 181" o:spid="_x0000_s1117" type="#_x0000_t202" style="position:absolute;left:20626;top:4286;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0EFC6BEC" w14:textId="77777777" w:rsidR="000E52B0" w:rsidRDefault="00F60D74">
                        <w:pPr>
                          <w:rPr>
                            <w:rFonts w:ascii="Trebuchet MS"/>
                            <w:sz w:val="18"/>
                          </w:rPr>
                        </w:pPr>
                        <w:r>
                          <w:rPr>
                            <w:rFonts w:ascii="Trebuchet MS"/>
                            <w:color w:val="404040"/>
                            <w:spacing w:val="-2"/>
                            <w:w w:val="105"/>
                            <w:sz w:val="18"/>
                          </w:rPr>
                          <w:t>11,5%</w:t>
                        </w:r>
                      </w:p>
                    </w:txbxContent>
                  </v:textbox>
                </v:shape>
                <w10:wrap type="topAndBottom" anchorx="page"/>
              </v:group>
            </w:pict>
          </mc:Fallback>
        </mc:AlternateContent>
      </w:r>
      <w:r>
        <w:rPr>
          <w:rFonts w:ascii="Trebuchet MS"/>
          <w:color w:val="404040"/>
          <w:spacing w:val="-2"/>
          <w:w w:val="105"/>
          <w:sz w:val="18"/>
        </w:rPr>
        <w:t>45,9%</w:t>
      </w:r>
      <w:r>
        <w:rPr>
          <w:rFonts w:ascii="Trebuchet MS"/>
          <w:color w:val="404040"/>
          <w:sz w:val="18"/>
        </w:rPr>
        <w:tab/>
      </w:r>
      <w:r>
        <w:rPr>
          <w:rFonts w:ascii="Trebuchet MS"/>
          <w:color w:val="404040"/>
          <w:spacing w:val="-4"/>
          <w:w w:val="105"/>
          <w:position w:val="1"/>
          <w:sz w:val="18"/>
        </w:rPr>
        <w:t>46,3%</w:t>
      </w:r>
    </w:p>
    <w:p w14:paraId="3F5FE342" w14:textId="77777777" w:rsidR="000E52B0" w:rsidRDefault="000E52B0">
      <w:pPr>
        <w:pStyle w:val="Textoindependiente"/>
        <w:ind w:left="0"/>
        <w:rPr>
          <w:rFonts w:ascii="Trebuchet MS"/>
          <w:sz w:val="6"/>
        </w:rPr>
      </w:pPr>
    </w:p>
    <w:p w14:paraId="5C9E3F4E" w14:textId="77777777" w:rsidR="000E52B0" w:rsidRDefault="000E52B0">
      <w:pPr>
        <w:pStyle w:val="Textoindependiente"/>
        <w:rPr>
          <w:rFonts w:ascii="Trebuchet MS"/>
          <w:sz w:val="6"/>
        </w:rPr>
        <w:sectPr w:rsidR="000E52B0">
          <w:pgSz w:w="11910" w:h="16840"/>
          <w:pgMar w:top="1340" w:right="720" w:bottom="1180" w:left="720" w:header="0" w:footer="995" w:gutter="0"/>
          <w:cols w:space="720"/>
        </w:sectPr>
      </w:pPr>
    </w:p>
    <w:p w14:paraId="3DEF757E" w14:textId="77777777" w:rsidR="000E52B0" w:rsidRPr="00203383" w:rsidRDefault="00F60D74">
      <w:pPr>
        <w:spacing w:before="35" w:line="252" w:lineRule="auto"/>
        <w:ind w:left="1774" w:right="-4" w:hanging="277"/>
        <w:rPr>
          <w:rFonts w:ascii="Trebuchet MS"/>
          <w:sz w:val="18"/>
          <w:lang w:val="pt-PT"/>
        </w:rPr>
      </w:pPr>
      <w:r w:rsidRPr="00203383">
        <w:rPr>
          <w:rFonts w:ascii="Trebuchet MS"/>
          <w:color w:val="585858"/>
          <w:spacing w:val="-4"/>
          <w:sz w:val="18"/>
          <w:lang w:val="pt-PT"/>
        </w:rPr>
        <w:t>Total</w:t>
      </w:r>
      <w:r w:rsidRPr="00203383">
        <w:rPr>
          <w:rFonts w:ascii="Trebuchet MS"/>
          <w:color w:val="585858"/>
          <w:spacing w:val="-19"/>
          <w:sz w:val="18"/>
          <w:lang w:val="pt-PT"/>
        </w:rPr>
        <w:t xml:space="preserve"> </w:t>
      </w:r>
      <w:r w:rsidRPr="00203383">
        <w:rPr>
          <w:rFonts w:ascii="Trebuchet MS"/>
          <w:color w:val="585858"/>
          <w:spacing w:val="-4"/>
          <w:sz w:val="18"/>
          <w:lang w:val="pt-PT"/>
        </w:rPr>
        <w:t xml:space="preserve">nacional </w:t>
      </w:r>
      <w:r w:rsidRPr="00203383">
        <w:rPr>
          <w:rFonts w:ascii="Trebuchet MS"/>
          <w:color w:val="585858"/>
          <w:spacing w:val="-2"/>
          <w:sz w:val="18"/>
          <w:lang w:val="pt-PT"/>
        </w:rPr>
        <w:t>Urbano</w:t>
      </w:r>
    </w:p>
    <w:p w14:paraId="267B3AAB" w14:textId="77777777" w:rsidR="000E52B0" w:rsidRPr="00203383" w:rsidRDefault="00F60D74">
      <w:pPr>
        <w:spacing w:before="35" w:line="252" w:lineRule="auto"/>
        <w:ind w:left="1250" w:hanging="150"/>
        <w:rPr>
          <w:rFonts w:ascii="Trebuchet MS"/>
          <w:sz w:val="18"/>
          <w:lang w:val="pt-PT"/>
        </w:rPr>
      </w:pPr>
      <w:r w:rsidRPr="00203383">
        <w:rPr>
          <w:lang w:val="pt-PT"/>
        </w:rPr>
        <w:br w:type="column"/>
      </w:r>
      <w:r w:rsidRPr="00203383">
        <w:rPr>
          <w:rFonts w:ascii="Trebuchet MS"/>
          <w:color w:val="585858"/>
          <w:spacing w:val="-6"/>
          <w:sz w:val="18"/>
          <w:lang w:val="pt-PT"/>
        </w:rPr>
        <w:t xml:space="preserve">Juventudes </w:t>
      </w:r>
      <w:r w:rsidRPr="00203383">
        <w:rPr>
          <w:rFonts w:ascii="Trebuchet MS"/>
          <w:color w:val="585858"/>
          <w:spacing w:val="-2"/>
          <w:sz w:val="18"/>
          <w:lang w:val="pt-PT"/>
        </w:rPr>
        <w:t>Urbano</w:t>
      </w:r>
    </w:p>
    <w:p w14:paraId="60866811" w14:textId="77777777" w:rsidR="000E52B0" w:rsidRPr="00203383" w:rsidRDefault="00F60D74">
      <w:pPr>
        <w:spacing w:before="35" w:line="252" w:lineRule="auto"/>
        <w:ind w:left="1460" w:hanging="361"/>
        <w:rPr>
          <w:rFonts w:ascii="Trebuchet MS"/>
          <w:sz w:val="18"/>
          <w:lang w:val="pt-PT"/>
        </w:rPr>
      </w:pPr>
      <w:r w:rsidRPr="00203383">
        <w:rPr>
          <w:lang w:val="pt-PT"/>
        </w:rPr>
        <w:br w:type="column"/>
      </w:r>
      <w:r w:rsidRPr="00203383">
        <w:rPr>
          <w:rFonts w:ascii="Trebuchet MS"/>
          <w:color w:val="585858"/>
          <w:spacing w:val="-4"/>
          <w:sz w:val="18"/>
          <w:lang w:val="pt-PT"/>
        </w:rPr>
        <w:t>Total</w:t>
      </w:r>
      <w:r w:rsidRPr="00203383">
        <w:rPr>
          <w:rFonts w:ascii="Trebuchet MS"/>
          <w:color w:val="585858"/>
          <w:spacing w:val="-19"/>
          <w:sz w:val="18"/>
          <w:lang w:val="pt-PT"/>
        </w:rPr>
        <w:t xml:space="preserve"> </w:t>
      </w:r>
      <w:r w:rsidRPr="00203383">
        <w:rPr>
          <w:rFonts w:ascii="Trebuchet MS"/>
          <w:color w:val="585858"/>
          <w:spacing w:val="-4"/>
          <w:sz w:val="18"/>
          <w:lang w:val="pt-PT"/>
        </w:rPr>
        <w:t>nacional Rural</w:t>
      </w:r>
    </w:p>
    <w:p w14:paraId="5996ED65" w14:textId="35E74BD9" w:rsidR="000E52B0" w:rsidRDefault="00F60D74" w:rsidP="00203383">
      <w:pPr>
        <w:spacing w:before="35" w:line="252" w:lineRule="auto"/>
        <w:ind w:left="1100" w:right="1604"/>
        <w:jc w:val="center"/>
        <w:rPr>
          <w:rFonts w:ascii="Trebuchet MS"/>
          <w:sz w:val="18"/>
        </w:rPr>
        <w:sectPr w:rsidR="000E52B0">
          <w:type w:val="continuous"/>
          <w:pgSz w:w="11910" w:h="16840"/>
          <w:pgMar w:top="1340" w:right="720" w:bottom="1280" w:left="720" w:header="0" w:footer="995" w:gutter="0"/>
          <w:cols w:num="4" w:space="720" w:equalWidth="0">
            <w:col w:w="2593" w:space="40"/>
            <w:col w:w="1977" w:space="39"/>
            <w:col w:w="2196" w:space="40"/>
            <w:col w:w="3585"/>
          </w:cols>
        </w:sectPr>
      </w:pPr>
      <w:r w:rsidRPr="00203383">
        <w:rPr>
          <w:lang w:val="es-CO"/>
        </w:rPr>
        <w:br w:type="column"/>
      </w:r>
      <w:r>
        <w:rPr>
          <w:rFonts w:ascii="Trebuchet MS"/>
          <w:color w:val="585858"/>
          <w:spacing w:val="-4"/>
          <w:sz w:val="18"/>
        </w:rPr>
        <w:t xml:space="preserve">Juventudes </w:t>
      </w:r>
      <w:r>
        <w:rPr>
          <w:rFonts w:ascii="Trebuchet MS"/>
          <w:color w:val="585858"/>
          <w:spacing w:val="-2"/>
          <w:sz w:val="18"/>
        </w:rPr>
        <w:t>Rural</w:t>
      </w:r>
    </w:p>
    <w:p w14:paraId="0E1E1648" w14:textId="77777777" w:rsidR="000E52B0" w:rsidRDefault="000E52B0">
      <w:pPr>
        <w:pStyle w:val="Textoindependiente"/>
        <w:spacing w:before="81"/>
        <w:ind w:left="0"/>
        <w:rPr>
          <w:rFonts w:ascii="Trebuchet MS"/>
          <w:sz w:val="18"/>
        </w:rPr>
      </w:pPr>
    </w:p>
    <w:p w14:paraId="334992C9" w14:textId="77777777" w:rsidR="000E52B0" w:rsidRDefault="00F60D74">
      <w:pPr>
        <w:ind w:left="3"/>
        <w:jc w:val="center"/>
        <w:rPr>
          <w:i/>
          <w:sz w:val="18"/>
        </w:rPr>
      </w:pPr>
      <w:r>
        <w:rPr>
          <w:i/>
          <w:color w:val="454551"/>
          <w:sz w:val="18"/>
        </w:rPr>
        <w:t>Fuente</w:t>
      </w:r>
      <w:r>
        <w:rPr>
          <w:i/>
          <w:color w:val="454551"/>
          <w:spacing w:val="-3"/>
          <w:sz w:val="18"/>
        </w:rPr>
        <w:t xml:space="preserve"> </w:t>
      </w:r>
      <w:r>
        <w:rPr>
          <w:i/>
          <w:color w:val="454551"/>
          <w:sz w:val="18"/>
        </w:rPr>
        <w:t>12.</w:t>
      </w:r>
      <w:r>
        <w:rPr>
          <w:i/>
          <w:color w:val="454551"/>
          <w:spacing w:val="-4"/>
          <w:sz w:val="18"/>
        </w:rPr>
        <w:t xml:space="preserve"> </w:t>
      </w:r>
      <w:r>
        <w:rPr>
          <w:i/>
          <w:color w:val="454551"/>
          <w:sz w:val="18"/>
        </w:rPr>
        <w:t>Elaboración</w:t>
      </w:r>
      <w:r>
        <w:rPr>
          <w:i/>
          <w:color w:val="454551"/>
          <w:spacing w:val="-2"/>
          <w:sz w:val="18"/>
        </w:rPr>
        <w:t xml:space="preserve"> </w:t>
      </w:r>
      <w:r>
        <w:rPr>
          <w:i/>
          <w:color w:val="454551"/>
          <w:sz w:val="18"/>
        </w:rPr>
        <w:t>propia.</w:t>
      </w:r>
      <w:r>
        <w:rPr>
          <w:i/>
          <w:color w:val="454551"/>
          <w:spacing w:val="-4"/>
          <w:sz w:val="18"/>
        </w:rPr>
        <w:t xml:space="preserve"> </w:t>
      </w:r>
      <w:r>
        <w:rPr>
          <w:i/>
          <w:color w:val="454551"/>
          <w:sz w:val="18"/>
        </w:rPr>
        <w:t>Datos:</w:t>
      </w:r>
      <w:r>
        <w:rPr>
          <w:i/>
          <w:color w:val="454551"/>
          <w:spacing w:val="-3"/>
          <w:sz w:val="18"/>
        </w:rPr>
        <w:t xml:space="preserve"> </w:t>
      </w:r>
      <w:r>
        <w:rPr>
          <w:i/>
          <w:color w:val="454551"/>
          <w:sz w:val="18"/>
        </w:rPr>
        <w:t>Pobreza</w:t>
      </w:r>
      <w:r>
        <w:rPr>
          <w:i/>
          <w:color w:val="454551"/>
          <w:spacing w:val="-3"/>
          <w:sz w:val="18"/>
        </w:rPr>
        <w:t xml:space="preserve"> </w:t>
      </w:r>
      <w:r>
        <w:rPr>
          <w:i/>
          <w:color w:val="454551"/>
          <w:sz w:val="18"/>
        </w:rPr>
        <w:t>GEIH</w:t>
      </w:r>
      <w:r>
        <w:rPr>
          <w:i/>
          <w:color w:val="454551"/>
          <w:spacing w:val="-2"/>
          <w:sz w:val="18"/>
        </w:rPr>
        <w:t xml:space="preserve"> </w:t>
      </w:r>
      <w:r>
        <w:rPr>
          <w:i/>
          <w:color w:val="454551"/>
          <w:sz w:val="18"/>
        </w:rPr>
        <w:t>2022</w:t>
      </w:r>
      <w:r>
        <w:rPr>
          <w:i/>
          <w:color w:val="454551"/>
          <w:spacing w:val="1"/>
          <w:sz w:val="18"/>
        </w:rPr>
        <w:t xml:space="preserve"> </w:t>
      </w:r>
      <w:r>
        <w:rPr>
          <w:i/>
          <w:color w:val="454551"/>
          <w:sz w:val="18"/>
        </w:rPr>
        <w:t>–</w:t>
      </w:r>
      <w:r>
        <w:rPr>
          <w:i/>
          <w:color w:val="454551"/>
          <w:spacing w:val="-2"/>
          <w:sz w:val="18"/>
        </w:rPr>
        <w:t xml:space="preserve"> </w:t>
      </w:r>
      <w:r>
        <w:rPr>
          <w:i/>
          <w:color w:val="454551"/>
          <w:spacing w:val="-4"/>
          <w:sz w:val="18"/>
        </w:rPr>
        <w:t>DANE</w:t>
      </w:r>
    </w:p>
    <w:p w14:paraId="2890FF90" w14:textId="77777777" w:rsidR="000E52B0" w:rsidRDefault="00F60D74">
      <w:pPr>
        <w:pStyle w:val="Textoindependiente"/>
        <w:spacing w:before="201"/>
        <w:ind w:right="717"/>
        <w:jc w:val="both"/>
      </w:pPr>
      <w:r>
        <w:t>Desde la premisa de la movilidad social, la posibilidad estructural de superar la pobreza está en la posibilidad de acceder a escenarios educativos,</w:t>
      </w:r>
      <w:r>
        <w:rPr>
          <w:spacing w:val="-5"/>
        </w:rPr>
        <w:t xml:space="preserve"> </w:t>
      </w:r>
      <w:r>
        <w:t>especialmente</w:t>
      </w:r>
      <w:r>
        <w:rPr>
          <w:spacing w:val="-4"/>
        </w:rPr>
        <w:t xml:space="preserve"> </w:t>
      </w:r>
      <w:r>
        <w:t>en</w:t>
      </w:r>
      <w:r>
        <w:rPr>
          <w:spacing w:val="-5"/>
        </w:rPr>
        <w:t xml:space="preserve"> </w:t>
      </w:r>
      <w:r>
        <w:t>las</w:t>
      </w:r>
      <w:r>
        <w:rPr>
          <w:spacing w:val="-2"/>
        </w:rPr>
        <w:t xml:space="preserve"> </w:t>
      </w:r>
      <w:r>
        <w:t>en</w:t>
      </w:r>
      <w:r>
        <w:rPr>
          <w:spacing w:val="-5"/>
        </w:rPr>
        <w:t xml:space="preserve"> </w:t>
      </w:r>
      <w:r>
        <w:t>las</w:t>
      </w:r>
      <w:r>
        <w:rPr>
          <w:spacing w:val="-4"/>
        </w:rPr>
        <w:t xml:space="preserve"> </w:t>
      </w:r>
      <w:r>
        <w:t>juventudes.</w:t>
      </w:r>
      <w:r>
        <w:rPr>
          <w:spacing w:val="-6"/>
        </w:rPr>
        <w:t xml:space="preserve"> </w:t>
      </w:r>
      <w:r>
        <w:t>No</w:t>
      </w:r>
      <w:r>
        <w:rPr>
          <w:spacing w:val="-4"/>
        </w:rPr>
        <w:t xml:space="preserve"> </w:t>
      </w:r>
      <w:r>
        <w:t>obstante,</w:t>
      </w:r>
      <w:r>
        <w:rPr>
          <w:spacing w:val="-5"/>
        </w:rPr>
        <w:t xml:space="preserve"> </w:t>
      </w:r>
      <w:r>
        <w:t>además, estas</w:t>
      </w:r>
      <w:r>
        <w:rPr>
          <w:spacing w:val="-9"/>
        </w:rPr>
        <w:t xml:space="preserve"> </w:t>
      </w:r>
      <w:r>
        <w:t>brechas</w:t>
      </w:r>
      <w:r>
        <w:rPr>
          <w:spacing w:val="-7"/>
        </w:rPr>
        <w:t xml:space="preserve"> </w:t>
      </w:r>
      <w:r>
        <w:t>de</w:t>
      </w:r>
      <w:r>
        <w:rPr>
          <w:spacing w:val="-8"/>
        </w:rPr>
        <w:t xml:space="preserve"> </w:t>
      </w:r>
      <w:r>
        <w:t>desigualdad</w:t>
      </w:r>
      <w:r>
        <w:rPr>
          <w:spacing w:val="-7"/>
        </w:rPr>
        <w:t xml:space="preserve"> </w:t>
      </w:r>
      <w:r>
        <w:t>entre</w:t>
      </w:r>
      <w:r>
        <w:rPr>
          <w:spacing w:val="-7"/>
        </w:rPr>
        <w:t xml:space="preserve"> </w:t>
      </w:r>
      <w:r>
        <w:t>la</w:t>
      </w:r>
      <w:r>
        <w:rPr>
          <w:spacing w:val="-7"/>
        </w:rPr>
        <w:t xml:space="preserve"> </w:t>
      </w:r>
      <w:r>
        <w:t>población</w:t>
      </w:r>
      <w:r>
        <w:rPr>
          <w:spacing w:val="-7"/>
        </w:rPr>
        <w:t xml:space="preserve"> </w:t>
      </w:r>
      <w:r>
        <w:t>joven</w:t>
      </w:r>
      <w:r>
        <w:rPr>
          <w:spacing w:val="-9"/>
        </w:rPr>
        <w:t xml:space="preserve"> </w:t>
      </w:r>
      <w:r>
        <w:t>se</w:t>
      </w:r>
      <w:r>
        <w:rPr>
          <w:spacing w:val="-6"/>
        </w:rPr>
        <w:t xml:space="preserve"> </w:t>
      </w:r>
      <w:r>
        <w:t>ven</w:t>
      </w:r>
      <w:r>
        <w:rPr>
          <w:spacing w:val="-9"/>
        </w:rPr>
        <w:t xml:space="preserve"> </w:t>
      </w:r>
      <w:r>
        <w:t>reflejadas</w:t>
      </w:r>
      <w:r>
        <w:rPr>
          <w:spacing w:val="-7"/>
        </w:rPr>
        <w:t xml:space="preserve"> </w:t>
      </w:r>
      <w:r>
        <w:t>en la limitación de derechos a nivel de educación, acceso a escenarios laborales</w:t>
      </w:r>
      <w:r>
        <w:rPr>
          <w:spacing w:val="-4"/>
        </w:rPr>
        <w:t xml:space="preserve"> </w:t>
      </w:r>
      <w:r>
        <w:t>en</w:t>
      </w:r>
      <w:r>
        <w:rPr>
          <w:spacing w:val="-4"/>
        </w:rPr>
        <w:t xml:space="preserve"> </w:t>
      </w:r>
      <w:r>
        <w:t>condiciones</w:t>
      </w:r>
      <w:r>
        <w:rPr>
          <w:spacing w:val="-4"/>
        </w:rPr>
        <w:t xml:space="preserve"> </w:t>
      </w:r>
      <w:r>
        <w:t>de</w:t>
      </w:r>
      <w:r>
        <w:rPr>
          <w:spacing w:val="-3"/>
        </w:rPr>
        <w:t xml:space="preserve"> </w:t>
      </w:r>
      <w:r>
        <w:t>dignidad,</w:t>
      </w:r>
      <w:r>
        <w:rPr>
          <w:spacing w:val="-4"/>
        </w:rPr>
        <w:t xml:space="preserve"> </w:t>
      </w:r>
      <w:r>
        <w:t>esperanza</w:t>
      </w:r>
      <w:r>
        <w:rPr>
          <w:spacing w:val="-3"/>
        </w:rPr>
        <w:t xml:space="preserve"> </w:t>
      </w:r>
      <w:r>
        <w:t>de</w:t>
      </w:r>
      <w:r>
        <w:rPr>
          <w:spacing w:val="-3"/>
        </w:rPr>
        <w:t xml:space="preserve"> </w:t>
      </w:r>
      <w:r>
        <w:t>vida</w:t>
      </w:r>
      <w:r>
        <w:rPr>
          <w:spacing w:val="-3"/>
        </w:rPr>
        <w:t xml:space="preserve"> </w:t>
      </w:r>
      <w:r>
        <w:t>y</w:t>
      </w:r>
      <w:r>
        <w:rPr>
          <w:spacing w:val="-3"/>
        </w:rPr>
        <w:t xml:space="preserve"> </w:t>
      </w:r>
      <w:r>
        <w:t>posibilidades</w:t>
      </w:r>
      <w:r>
        <w:rPr>
          <w:spacing w:val="-4"/>
        </w:rPr>
        <w:t xml:space="preserve"> </w:t>
      </w:r>
      <w:r>
        <w:t>de las juventudes en desarrollar proyectos individuales, colectivos y fortalecimiento de identidades culturales, y étnico-raciales.</w:t>
      </w:r>
    </w:p>
    <w:p w14:paraId="5DA90948" w14:textId="77777777" w:rsidR="000E52B0" w:rsidRDefault="00F60D74">
      <w:pPr>
        <w:pStyle w:val="Textoindependiente"/>
        <w:spacing w:before="161"/>
        <w:ind w:right="719"/>
        <w:jc w:val="both"/>
      </w:pPr>
      <w:r>
        <w:t>Frente</w:t>
      </w:r>
      <w:r>
        <w:rPr>
          <w:spacing w:val="-10"/>
        </w:rPr>
        <w:t xml:space="preserve"> </w:t>
      </w:r>
      <w:r>
        <w:t>al</w:t>
      </w:r>
      <w:r>
        <w:rPr>
          <w:spacing w:val="-12"/>
        </w:rPr>
        <w:t xml:space="preserve"> </w:t>
      </w:r>
      <w:r>
        <w:t>acceso</w:t>
      </w:r>
      <w:r>
        <w:rPr>
          <w:spacing w:val="-11"/>
        </w:rPr>
        <w:t xml:space="preserve"> </w:t>
      </w:r>
      <w:r>
        <w:t>a</w:t>
      </w:r>
      <w:r>
        <w:rPr>
          <w:spacing w:val="-11"/>
        </w:rPr>
        <w:t xml:space="preserve"> </w:t>
      </w:r>
      <w:r>
        <w:t>educación,</w:t>
      </w:r>
      <w:r>
        <w:rPr>
          <w:spacing w:val="-12"/>
        </w:rPr>
        <w:t xml:space="preserve"> </w:t>
      </w:r>
      <w:r>
        <w:t>se</w:t>
      </w:r>
      <w:r>
        <w:rPr>
          <w:spacing w:val="-10"/>
        </w:rPr>
        <w:t xml:space="preserve"> </w:t>
      </w:r>
      <w:r>
        <w:t>encuentran</w:t>
      </w:r>
      <w:r>
        <w:rPr>
          <w:spacing w:val="-11"/>
        </w:rPr>
        <w:t xml:space="preserve"> </w:t>
      </w:r>
      <w:r>
        <w:t>brechas</w:t>
      </w:r>
      <w:r>
        <w:rPr>
          <w:spacing w:val="-9"/>
        </w:rPr>
        <w:t xml:space="preserve"> </w:t>
      </w:r>
      <w:r>
        <w:t>por</w:t>
      </w:r>
      <w:r>
        <w:rPr>
          <w:spacing w:val="-10"/>
        </w:rPr>
        <w:t xml:space="preserve"> </w:t>
      </w:r>
      <w:r>
        <w:t>sexo,</w:t>
      </w:r>
      <w:r>
        <w:rPr>
          <w:spacing w:val="-12"/>
        </w:rPr>
        <w:t xml:space="preserve"> </w:t>
      </w:r>
      <w:r>
        <w:t>pertenencia étnica o el lugar donde viven. De acuerdo con la Encuesta de Calidad de Vida</w:t>
      </w:r>
      <w:r>
        <w:rPr>
          <w:spacing w:val="-8"/>
        </w:rPr>
        <w:t xml:space="preserve"> </w:t>
      </w:r>
      <w:r>
        <w:t>2022</w:t>
      </w:r>
      <w:r>
        <w:rPr>
          <w:spacing w:val="-7"/>
        </w:rPr>
        <w:t xml:space="preserve"> </w:t>
      </w:r>
      <w:r>
        <w:t>(ECV</w:t>
      </w:r>
      <w:r>
        <w:rPr>
          <w:spacing w:val="-9"/>
        </w:rPr>
        <w:t xml:space="preserve"> </w:t>
      </w:r>
      <w:r>
        <w:t>2022),</w:t>
      </w:r>
      <w:r>
        <w:rPr>
          <w:spacing w:val="-9"/>
        </w:rPr>
        <w:t xml:space="preserve"> </w:t>
      </w:r>
      <w:r>
        <w:t>el</w:t>
      </w:r>
      <w:r>
        <w:rPr>
          <w:spacing w:val="-9"/>
        </w:rPr>
        <w:t xml:space="preserve"> </w:t>
      </w:r>
      <w:r>
        <w:t>47,8%</w:t>
      </w:r>
      <w:r>
        <w:rPr>
          <w:spacing w:val="-7"/>
        </w:rPr>
        <w:t xml:space="preserve"> </w:t>
      </w:r>
      <w:r>
        <w:t>de</w:t>
      </w:r>
      <w:r>
        <w:rPr>
          <w:spacing w:val="-7"/>
        </w:rPr>
        <w:t xml:space="preserve"> </w:t>
      </w:r>
      <w:r>
        <w:t>las</w:t>
      </w:r>
      <w:r>
        <w:rPr>
          <w:spacing w:val="-8"/>
        </w:rPr>
        <w:t xml:space="preserve"> </w:t>
      </w:r>
      <w:r>
        <w:t>personas</w:t>
      </w:r>
      <w:r>
        <w:rPr>
          <w:spacing w:val="-8"/>
        </w:rPr>
        <w:t xml:space="preserve"> </w:t>
      </w:r>
      <w:r>
        <w:t>jóvenes</w:t>
      </w:r>
      <w:r>
        <w:rPr>
          <w:spacing w:val="-8"/>
        </w:rPr>
        <w:t xml:space="preserve"> </w:t>
      </w:r>
      <w:r>
        <w:t>entre</w:t>
      </w:r>
      <w:r>
        <w:rPr>
          <w:spacing w:val="-6"/>
        </w:rPr>
        <w:t xml:space="preserve"> </w:t>
      </w:r>
      <w:r>
        <w:t>los</w:t>
      </w:r>
      <w:r>
        <w:rPr>
          <w:spacing w:val="-8"/>
        </w:rPr>
        <w:t xml:space="preserve"> </w:t>
      </w:r>
      <w:r>
        <w:t>14</w:t>
      </w:r>
      <w:r>
        <w:rPr>
          <w:spacing w:val="-7"/>
        </w:rPr>
        <w:t xml:space="preserve"> </w:t>
      </w:r>
      <w:r>
        <w:t>y</w:t>
      </w:r>
      <w:r>
        <w:rPr>
          <w:spacing w:val="-8"/>
        </w:rPr>
        <w:t xml:space="preserve"> </w:t>
      </w:r>
      <w:r>
        <w:t>28 años ha alcanzado la educación media (10° a 13°), seguido por un 18% con educación segundaria (6° a 9°). Sin embargo, las mujeres tienen un nivel</w:t>
      </w:r>
      <w:r>
        <w:rPr>
          <w:spacing w:val="-12"/>
        </w:rPr>
        <w:t xml:space="preserve"> </w:t>
      </w:r>
      <w:r>
        <w:t>educativo</w:t>
      </w:r>
      <w:r>
        <w:rPr>
          <w:spacing w:val="-11"/>
        </w:rPr>
        <w:t xml:space="preserve"> </w:t>
      </w:r>
      <w:r>
        <w:t>más</w:t>
      </w:r>
      <w:r>
        <w:rPr>
          <w:spacing w:val="-9"/>
        </w:rPr>
        <w:t xml:space="preserve"> </w:t>
      </w:r>
      <w:r>
        <w:t>alto,</w:t>
      </w:r>
      <w:r>
        <w:rPr>
          <w:spacing w:val="-10"/>
        </w:rPr>
        <w:t xml:space="preserve"> </w:t>
      </w:r>
      <w:r>
        <w:t>hay</w:t>
      </w:r>
      <w:r>
        <w:rPr>
          <w:spacing w:val="-9"/>
        </w:rPr>
        <w:t xml:space="preserve"> </w:t>
      </w:r>
      <w:r>
        <w:t>una</w:t>
      </w:r>
      <w:r>
        <w:rPr>
          <w:spacing w:val="-9"/>
        </w:rPr>
        <w:t xml:space="preserve"> </w:t>
      </w:r>
      <w:r>
        <w:t>diferencia</w:t>
      </w:r>
      <w:r>
        <w:rPr>
          <w:spacing w:val="-11"/>
        </w:rPr>
        <w:t xml:space="preserve"> </w:t>
      </w:r>
      <w:r>
        <w:t>de</w:t>
      </w:r>
      <w:r>
        <w:rPr>
          <w:spacing w:val="-10"/>
        </w:rPr>
        <w:t xml:space="preserve"> </w:t>
      </w:r>
      <w:r>
        <w:t>6</w:t>
      </w:r>
      <w:r>
        <w:rPr>
          <w:spacing w:val="-8"/>
        </w:rPr>
        <w:t xml:space="preserve"> </w:t>
      </w:r>
      <w:r>
        <w:t>p.p.</w:t>
      </w:r>
      <w:r>
        <w:rPr>
          <w:spacing w:val="-12"/>
        </w:rPr>
        <w:t xml:space="preserve"> </w:t>
      </w:r>
      <w:r>
        <w:t>en</w:t>
      </w:r>
      <w:r>
        <w:rPr>
          <w:spacing w:val="-12"/>
        </w:rPr>
        <w:t xml:space="preserve"> </w:t>
      </w:r>
      <w:r>
        <w:t>educación</w:t>
      </w:r>
      <w:r>
        <w:rPr>
          <w:spacing w:val="-9"/>
        </w:rPr>
        <w:t xml:space="preserve"> </w:t>
      </w:r>
      <w:r>
        <w:t>técnica o tecnológica (17%), mientras que en los hombres aumenta el porcentaje de educación primaria, 3,5 p.p. más que en las mujeres, lo que ocurre también en educación básica secundaria, con 3,4 p.p. más.</w:t>
      </w:r>
    </w:p>
    <w:p w14:paraId="38D6046B" w14:textId="77777777" w:rsidR="000E52B0" w:rsidRDefault="00F60D74">
      <w:pPr>
        <w:pStyle w:val="Textoindependiente"/>
        <w:spacing w:before="162"/>
        <w:ind w:right="716"/>
        <w:jc w:val="both"/>
      </w:pPr>
      <w:r>
        <w:t>De acuerdo con la CEPAL</w:t>
      </w:r>
      <w:hyperlink w:anchor="_bookmark39" w:history="1">
        <w:r w:rsidR="000E52B0">
          <w:rPr>
            <w:position w:val="8"/>
            <w:sz w:val="16"/>
          </w:rPr>
          <w:t>34</w:t>
        </w:r>
      </w:hyperlink>
      <w:r>
        <w:rPr>
          <w:spacing w:val="40"/>
          <w:position w:val="8"/>
          <w:sz w:val="16"/>
        </w:rPr>
        <w:t xml:space="preserve"> </w:t>
      </w:r>
      <w:r>
        <w:t>los jóvenes latinoamericanos, a pesar de detentar mejores credenciales educativas que sus padres y de estar más familiarizados con los nuevos recursos y dinámicas de la sociedad de la información, se hallan más expuestos a los riesgos de la exclusión, a la segregación</w:t>
      </w:r>
      <w:r>
        <w:rPr>
          <w:spacing w:val="-15"/>
        </w:rPr>
        <w:t xml:space="preserve"> </w:t>
      </w:r>
      <w:r>
        <w:t>socioeconómica</w:t>
      </w:r>
      <w:r>
        <w:rPr>
          <w:spacing w:val="-15"/>
        </w:rPr>
        <w:t xml:space="preserve"> </w:t>
      </w:r>
      <w:r>
        <w:t>y</w:t>
      </w:r>
      <w:r>
        <w:rPr>
          <w:spacing w:val="-15"/>
        </w:rPr>
        <w:t xml:space="preserve"> </w:t>
      </w:r>
      <w:r>
        <w:t>a</w:t>
      </w:r>
      <w:r>
        <w:rPr>
          <w:spacing w:val="-12"/>
        </w:rPr>
        <w:t xml:space="preserve"> </w:t>
      </w:r>
      <w:r>
        <w:t>la</w:t>
      </w:r>
      <w:r>
        <w:rPr>
          <w:spacing w:val="-15"/>
        </w:rPr>
        <w:t xml:space="preserve"> </w:t>
      </w:r>
      <w:r>
        <w:t>no</w:t>
      </w:r>
      <w:r>
        <w:rPr>
          <w:spacing w:val="-9"/>
        </w:rPr>
        <w:t xml:space="preserve"> </w:t>
      </w:r>
      <w:r>
        <w:t>-</w:t>
      </w:r>
      <w:r>
        <w:rPr>
          <w:spacing w:val="-11"/>
        </w:rPr>
        <w:t xml:space="preserve"> </w:t>
      </w:r>
      <w:r>
        <w:t>participación</w:t>
      </w:r>
      <w:r>
        <w:rPr>
          <w:spacing w:val="-13"/>
        </w:rPr>
        <w:t xml:space="preserve"> </w:t>
      </w:r>
      <w:r>
        <w:t>dentro</w:t>
      </w:r>
      <w:r>
        <w:rPr>
          <w:spacing w:val="-13"/>
        </w:rPr>
        <w:t xml:space="preserve"> </w:t>
      </w:r>
      <w:r>
        <w:t>de</w:t>
      </w:r>
      <w:r>
        <w:rPr>
          <w:spacing w:val="-14"/>
        </w:rPr>
        <w:t xml:space="preserve"> </w:t>
      </w:r>
      <w:r>
        <w:t>los</w:t>
      </w:r>
      <w:r>
        <w:rPr>
          <w:spacing w:val="-14"/>
        </w:rPr>
        <w:t xml:space="preserve"> </w:t>
      </w:r>
      <w:r>
        <w:t>espacios políticos e institucionales de toma de decisión (...). En un contexto caracterizado por el progresivo impacto de una economía de mercado, la transformación</w:t>
      </w:r>
      <w:r>
        <w:rPr>
          <w:spacing w:val="70"/>
          <w:w w:val="150"/>
        </w:rPr>
        <w:t xml:space="preserve"> </w:t>
      </w:r>
      <w:r>
        <w:t>estructural</w:t>
      </w:r>
      <w:r>
        <w:rPr>
          <w:spacing w:val="71"/>
          <w:w w:val="150"/>
        </w:rPr>
        <w:t xml:space="preserve"> </w:t>
      </w:r>
      <w:r>
        <w:t>de</w:t>
      </w:r>
      <w:r>
        <w:rPr>
          <w:spacing w:val="74"/>
          <w:w w:val="150"/>
        </w:rPr>
        <w:t xml:space="preserve"> </w:t>
      </w:r>
      <w:r>
        <w:t>los</w:t>
      </w:r>
      <w:r>
        <w:rPr>
          <w:spacing w:val="71"/>
          <w:w w:val="150"/>
        </w:rPr>
        <w:t xml:space="preserve"> </w:t>
      </w:r>
      <w:r>
        <w:t>dispositivos</w:t>
      </w:r>
      <w:r>
        <w:rPr>
          <w:spacing w:val="71"/>
          <w:w w:val="150"/>
        </w:rPr>
        <w:t xml:space="preserve"> </w:t>
      </w:r>
      <w:r>
        <w:t>y</w:t>
      </w:r>
      <w:r>
        <w:rPr>
          <w:spacing w:val="73"/>
          <w:w w:val="150"/>
        </w:rPr>
        <w:t xml:space="preserve"> </w:t>
      </w:r>
      <w:r>
        <w:t>los</w:t>
      </w:r>
      <w:r>
        <w:rPr>
          <w:spacing w:val="74"/>
          <w:w w:val="150"/>
        </w:rPr>
        <w:t xml:space="preserve"> </w:t>
      </w:r>
      <w:r>
        <w:t>mecanismos</w:t>
      </w:r>
      <w:r>
        <w:rPr>
          <w:spacing w:val="71"/>
          <w:w w:val="150"/>
        </w:rPr>
        <w:t xml:space="preserve"> </w:t>
      </w:r>
      <w:r>
        <w:rPr>
          <w:spacing w:val="-5"/>
        </w:rPr>
        <w:t>de</w:t>
      </w:r>
    </w:p>
    <w:p w14:paraId="057460FB" w14:textId="77777777" w:rsidR="000E52B0" w:rsidRDefault="00F60D74">
      <w:pPr>
        <w:pStyle w:val="Textoindependiente"/>
        <w:spacing w:before="10"/>
        <w:ind w:left="0"/>
        <w:rPr>
          <w:sz w:val="15"/>
        </w:rPr>
      </w:pPr>
      <w:r>
        <w:rPr>
          <w:noProof/>
          <w:sz w:val="15"/>
        </w:rPr>
        <mc:AlternateContent>
          <mc:Choice Requires="wps">
            <w:drawing>
              <wp:anchor distT="0" distB="0" distL="0" distR="0" simplePos="0" relativeHeight="487625728" behindDoc="1" locked="0" layoutInCell="1" allowOverlap="1" wp14:anchorId="0C15A0E7" wp14:editId="34CA6B7A">
                <wp:simplePos x="0" y="0"/>
                <wp:positionH relativeFrom="page">
                  <wp:posOffset>914704</wp:posOffset>
                </wp:positionH>
                <wp:positionV relativeFrom="paragraph">
                  <wp:posOffset>137470</wp:posOffset>
                </wp:positionV>
                <wp:extent cx="1829435" cy="762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C3A023" id="Graphic 182" o:spid="_x0000_s1026" style="position:absolute;margin-left:1in;margin-top:10.8pt;width:144.05pt;height:.6pt;z-index:-1569075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" path="m1829054,l,,,7619r1829054,l1829054,xe" fillcolor="black" stroked="f">
                <v:path arrowok="t"/>
                <w10:wrap type="topAndBottom" anchorx="page"/>
              </v:shape>
            </w:pict>
          </mc:Fallback>
        </mc:AlternateContent>
      </w:r>
    </w:p>
    <w:p w14:paraId="5CB92412" w14:textId="77777777" w:rsidR="000E52B0" w:rsidRDefault="00F60D74">
      <w:pPr>
        <w:spacing w:before="96"/>
        <w:ind w:left="720" w:right="723"/>
        <w:rPr>
          <w:rFonts w:ascii="Arial MT" w:hAnsi="Arial MT"/>
          <w:sz w:val="18"/>
        </w:rPr>
      </w:pPr>
      <w:bookmarkStart w:id="39" w:name="_bookmark39"/>
      <w:bookmarkEnd w:id="39"/>
      <w:r>
        <w:rPr>
          <w:rFonts w:ascii="Arial MT" w:hAnsi="Arial MT"/>
          <w:position w:val="6"/>
          <w:sz w:val="12"/>
        </w:rPr>
        <w:t>34</w:t>
      </w:r>
      <w:r>
        <w:rPr>
          <w:rFonts w:ascii="Arial MT" w:hAnsi="Arial MT"/>
          <w:spacing w:val="26"/>
          <w:position w:val="6"/>
          <w:sz w:val="12"/>
        </w:rPr>
        <w:t xml:space="preserve"> </w:t>
      </w:r>
      <w:r>
        <w:rPr>
          <w:rFonts w:ascii="Arial MT" w:hAnsi="Arial MT"/>
          <w:sz w:val="18"/>
        </w:rPr>
        <w:t>CEPAL, N. (2019). Nudos críticos del desarrollo social inclusivo en América Latina y el Caribe: antecedentes para una agenda regional.</w:t>
      </w:r>
    </w:p>
    <w:p w14:paraId="45A9AACB" w14:textId="77777777" w:rsidR="000E52B0" w:rsidRDefault="000E52B0">
      <w:pPr>
        <w:rPr>
          <w:rFonts w:ascii="Arial MT" w:hAnsi="Arial MT"/>
          <w:sz w:val="18"/>
        </w:rPr>
        <w:sectPr w:rsidR="000E52B0">
          <w:type w:val="continuous"/>
          <w:pgSz w:w="11910" w:h="16840"/>
          <w:pgMar w:top="1340" w:right="720" w:bottom="1280" w:left="720" w:header="0" w:footer="995" w:gutter="0"/>
          <w:cols w:space="720"/>
        </w:sectPr>
      </w:pPr>
    </w:p>
    <w:p w14:paraId="190A08F0" w14:textId="77777777" w:rsidR="000E52B0" w:rsidRDefault="00F60D74">
      <w:pPr>
        <w:pStyle w:val="Textoindependiente"/>
        <w:spacing w:before="83"/>
        <w:ind w:right="718"/>
        <w:jc w:val="both"/>
      </w:pPr>
      <w:r>
        <w:lastRenderedPageBreak/>
        <w:t>intervención pública, y la globalización cultural y económica, las instituciones tradicionales de socialización como la familia y la escuela se ven seriamente interpeladas. La incidencia de estos cambios altera las condiciones</w:t>
      </w:r>
      <w:r>
        <w:rPr>
          <w:spacing w:val="-4"/>
        </w:rPr>
        <w:t xml:space="preserve"> </w:t>
      </w:r>
      <w:r>
        <w:t>de</w:t>
      </w:r>
      <w:r>
        <w:rPr>
          <w:spacing w:val="-4"/>
        </w:rPr>
        <w:t xml:space="preserve"> </w:t>
      </w:r>
      <w:r>
        <w:t>vida</w:t>
      </w:r>
      <w:r>
        <w:rPr>
          <w:spacing w:val="-3"/>
        </w:rPr>
        <w:t xml:space="preserve"> </w:t>
      </w:r>
      <w:r>
        <w:t>y</w:t>
      </w:r>
      <w:r>
        <w:rPr>
          <w:spacing w:val="-5"/>
        </w:rPr>
        <w:t xml:space="preserve"> </w:t>
      </w:r>
      <w:r>
        <w:t>el</w:t>
      </w:r>
      <w:r>
        <w:rPr>
          <w:spacing w:val="-6"/>
        </w:rPr>
        <w:t xml:space="preserve"> </w:t>
      </w:r>
      <w:r>
        <w:t>sentido</w:t>
      </w:r>
      <w:r>
        <w:rPr>
          <w:spacing w:val="-4"/>
        </w:rPr>
        <w:t xml:space="preserve"> </w:t>
      </w:r>
      <w:r>
        <w:t>de</w:t>
      </w:r>
      <w:r>
        <w:rPr>
          <w:spacing w:val="-4"/>
        </w:rPr>
        <w:t xml:space="preserve"> </w:t>
      </w:r>
      <w:r>
        <w:t>los</w:t>
      </w:r>
      <w:r>
        <w:rPr>
          <w:spacing w:val="-5"/>
        </w:rPr>
        <w:t xml:space="preserve"> </w:t>
      </w:r>
      <w:r>
        <w:t>proyectos</w:t>
      </w:r>
      <w:r>
        <w:rPr>
          <w:spacing w:val="-5"/>
        </w:rPr>
        <w:t xml:space="preserve"> </w:t>
      </w:r>
      <w:r>
        <w:t>personales</w:t>
      </w:r>
      <w:r>
        <w:rPr>
          <w:spacing w:val="-7"/>
        </w:rPr>
        <w:t xml:space="preserve"> </w:t>
      </w:r>
      <w:r>
        <w:t>gestados</w:t>
      </w:r>
      <w:r>
        <w:rPr>
          <w:spacing w:val="-5"/>
        </w:rPr>
        <w:t xml:space="preserve"> </w:t>
      </w:r>
      <w:r>
        <w:t>en</w:t>
      </w:r>
      <w:r>
        <w:rPr>
          <w:spacing w:val="-5"/>
        </w:rPr>
        <w:t xml:space="preserve"> </w:t>
      </w:r>
      <w:r>
        <w:t>y a través de la participación en el sistema educativo</w:t>
      </w:r>
      <w:hyperlink w:anchor="_bookmark40" w:history="1">
        <w:r w:rsidR="000E52B0">
          <w:rPr>
            <w:position w:val="8"/>
            <w:sz w:val="16"/>
          </w:rPr>
          <w:t>35</w:t>
        </w:r>
      </w:hyperlink>
      <w:r>
        <w:t>.</w:t>
      </w:r>
    </w:p>
    <w:p w14:paraId="310594D6" w14:textId="77777777" w:rsidR="000E52B0" w:rsidRDefault="00F60D74">
      <w:pPr>
        <w:spacing w:before="157"/>
        <w:ind w:left="720"/>
        <w:jc w:val="both"/>
        <w:rPr>
          <w:i/>
          <w:sz w:val="18"/>
        </w:rPr>
      </w:pPr>
      <w:r>
        <w:rPr>
          <w:i/>
          <w:color w:val="454551"/>
          <w:sz w:val="18"/>
        </w:rPr>
        <w:t>Ilustración</w:t>
      </w:r>
      <w:r>
        <w:rPr>
          <w:i/>
          <w:color w:val="454551"/>
          <w:spacing w:val="-3"/>
          <w:sz w:val="18"/>
        </w:rPr>
        <w:t xml:space="preserve"> </w:t>
      </w:r>
      <w:r>
        <w:rPr>
          <w:i/>
          <w:color w:val="454551"/>
          <w:sz w:val="18"/>
        </w:rPr>
        <w:t>23.</w:t>
      </w:r>
      <w:r>
        <w:rPr>
          <w:i/>
          <w:color w:val="454551"/>
          <w:spacing w:val="-4"/>
          <w:sz w:val="18"/>
        </w:rPr>
        <w:t xml:space="preserve"> </w:t>
      </w:r>
      <w:r>
        <w:rPr>
          <w:i/>
          <w:color w:val="454551"/>
          <w:sz w:val="18"/>
        </w:rPr>
        <w:t>Nivel</w:t>
      </w:r>
      <w:r>
        <w:rPr>
          <w:i/>
          <w:color w:val="454551"/>
          <w:spacing w:val="-2"/>
          <w:sz w:val="18"/>
        </w:rPr>
        <w:t xml:space="preserve"> </w:t>
      </w:r>
      <w:r>
        <w:rPr>
          <w:i/>
          <w:color w:val="454551"/>
          <w:sz w:val="18"/>
        </w:rPr>
        <w:t>educativo</w:t>
      </w:r>
      <w:r>
        <w:rPr>
          <w:i/>
          <w:color w:val="454551"/>
          <w:spacing w:val="-2"/>
          <w:sz w:val="18"/>
        </w:rPr>
        <w:t xml:space="preserve"> </w:t>
      </w:r>
      <w:r>
        <w:rPr>
          <w:i/>
          <w:color w:val="454551"/>
          <w:sz w:val="18"/>
        </w:rPr>
        <w:t>más</w:t>
      </w:r>
      <w:r>
        <w:rPr>
          <w:i/>
          <w:color w:val="454551"/>
          <w:spacing w:val="-4"/>
          <w:sz w:val="18"/>
        </w:rPr>
        <w:t xml:space="preserve"> </w:t>
      </w:r>
      <w:r>
        <w:rPr>
          <w:i/>
          <w:color w:val="454551"/>
          <w:sz w:val="18"/>
        </w:rPr>
        <w:t>alto</w:t>
      </w:r>
      <w:r>
        <w:rPr>
          <w:i/>
          <w:color w:val="454551"/>
          <w:spacing w:val="-4"/>
          <w:sz w:val="18"/>
        </w:rPr>
        <w:t xml:space="preserve"> </w:t>
      </w:r>
      <w:r>
        <w:rPr>
          <w:i/>
          <w:color w:val="454551"/>
          <w:sz w:val="18"/>
        </w:rPr>
        <w:t>total</w:t>
      </w:r>
      <w:r>
        <w:rPr>
          <w:i/>
          <w:color w:val="454551"/>
          <w:spacing w:val="-2"/>
          <w:sz w:val="18"/>
        </w:rPr>
        <w:t xml:space="preserve"> </w:t>
      </w:r>
      <w:r>
        <w:rPr>
          <w:i/>
          <w:color w:val="454551"/>
          <w:sz w:val="18"/>
        </w:rPr>
        <w:t>nacional</w:t>
      </w:r>
      <w:r>
        <w:rPr>
          <w:i/>
          <w:color w:val="454551"/>
          <w:spacing w:val="-2"/>
          <w:sz w:val="18"/>
        </w:rPr>
        <w:t xml:space="preserve"> </w:t>
      </w:r>
      <w:r>
        <w:rPr>
          <w:i/>
          <w:color w:val="454551"/>
          <w:sz w:val="18"/>
        </w:rPr>
        <w:t>y</w:t>
      </w:r>
      <w:r>
        <w:rPr>
          <w:i/>
          <w:color w:val="454551"/>
          <w:spacing w:val="-4"/>
          <w:sz w:val="18"/>
        </w:rPr>
        <w:t xml:space="preserve"> </w:t>
      </w:r>
      <w:r>
        <w:rPr>
          <w:i/>
          <w:color w:val="454551"/>
          <w:sz w:val="18"/>
        </w:rPr>
        <w:t>juventudes</w:t>
      </w:r>
      <w:r>
        <w:rPr>
          <w:i/>
          <w:color w:val="454551"/>
          <w:spacing w:val="-3"/>
          <w:sz w:val="18"/>
        </w:rPr>
        <w:t xml:space="preserve"> </w:t>
      </w:r>
      <w:r>
        <w:rPr>
          <w:i/>
          <w:color w:val="454551"/>
          <w:sz w:val="18"/>
        </w:rPr>
        <w:t>(personas</w:t>
      </w:r>
      <w:r>
        <w:rPr>
          <w:i/>
          <w:color w:val="454551"/>
          <w:spacing w:val="-3"/>
          <w:sz w:val="18"/>
        </w:rPr>
        <w:t xml:space="preserve"> </w:t>
      </w:r>
      <w:r>
        <w:rPr>
          <w:i/>
          <w:color w:val="454551"/>
          <w:sz w:val="18"/>
        </w:rPr>
        <w:t>entre</w:t>
      </w:r>
      <w:r>
        <w:rPr>
          <w:i/>
          <w:color w:val="454551"/>
          <w:spacing w:val="-3"/>
          <w:sz w:val="18"/>
        </w:rPr>
        <w:t xml:space="preserve"> </w:t>
      </w:r>
      <w:r>
        <w:rPr>
          <w:i/>
          <w:color w:val="454551"/>
          <w:sz w:val="18"/>
        </w:rPr>
        <w:t>14</w:t>
      </w:r>
      <w:r>
        <w:rPr>
          <w:i/>
          <w:color w:val="454551"/>
          <w:spacing w:val="-3"/>
          <w:sz w:val="18"/>
        </w:rPr>
        <w:t xml:space="preserve"> </w:t>
      </w:r>
      <w:r>
        <w:rPr>
          <w:i/>
          <w:color w:val="454551"/>
          <w:sz w:val="18"/>
        </w:rPr>
        <w:t>y</w:t>
      </w:r>
      <w:r>
        <w:rPr>
          <w:i/>
          <w:color w:val="454551"/>
          <w:spacing w:val="-4"/>
          <w:sz w:val="18"/>
        </w:rPr>
        <w:t xml:space="preserve"> </w:t>
      </w:r>
      <w:r>
        <w:rPr>
          <w:i/>
          <w:color w:val="454551"/>
          <w:sz w:val="18"/>
        </w:rPr>
        <w:t>28</w:t>
      </w:r>
      <w:r>
        <w:rPr>
          <w:i/>
          <w:color w:val="454551"/>
          <w:spacing w:val="-2"/>
          <w:sz w:val="18"/>
        </w:rPr>
        <w:t xml:space="preserve"> años).</w:t>
      </w:r>
    </w:p>
    <w:p w14:paraId="3E2BB1AE" w14:textId="77777777" w:rsidR="000E52B0" w:rsidRDefault="000E52B0">
      <w:pPr>
        <w:pStyle w:val="Textoindependiente"/>
        <w:spacing w:before="152"/>
        <w:ind w:left="0"/>
        <w:rPr>
          <w:i/>
          <w:sz w:val="18"/>
        </w:rPr>
      </w:pPr>
    </w:p>
    <w:p w14:paraId="2D4C352E" w14:textId="77777777" w:rsidR="000E52B0" w:rsidRPr="00203383" w:rsidRDefault="00F60D74">
      <w:pPr>
        <w:tabs>
          <w:tab w:val="left" w:pos="1732"/>
          <w:tab w:val="left" w:pos="3038"/>
          <w:tab w:val="left" w:pos="5020"/>
        </w:tabs>
        <w:ind w:left="207"/>
        <w:jc w:val="center"/>
        <w:rPr>
          <w:rFonts w:ascii="Trebuchet MS"/>
          <w:sz w:val="18"/>
          <w:lang w:val="pt-PT"/>
        </w:rPr>
      </w:pPr>
      <w:r>
        <w:rPr>
          <w:noProof/>
        </w:rPr>
        <w:drawing>
          <wp:inline distT="0" distB="0" distL="0" distR="0" wp14:anchorId="5489EB94" wp14:editId="4A1F78D0">
            <wp:extent cx="62779" cy="62779"/>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99" cstate="print"/>
                    <a:stretch>
                      <a:fillRect/>
                    </a:stretch>
                  </pic:blipFill>
                  <pic:spPr>
                    <a:xfrm>
                      <a:off x="0" y="0"/>
                      <a:ext cx="62779" cy="62779"/>
                    </a:xfrm>
                    <a:prstGeom prst="rect">
                      <a:avLst/>
                    </a:prstGeom>
                  </pic:spPr>
                </pic:pic>
              </a:graphicData>
            </a:graphic>
          </wp:inline>
        </w:drawing>
      </w:r>
      <w:r w:rsidRPr="00203383">
        <w:rPr>
          <w:rFonts w:ascii="Times New Roman"/>
          <w:spacing w:val="-5"/>
          <w:sz w:val="20"/>
          <w:lang w:val="pt-PT"/>
        </w:rPr>
        <w:t xml:space="preserve"> </w:t>
      </w:r>
      <w:r w:rsidRPr="00203383">
        <w:rPr>
          <w:rFonts w:ascii="Trebuchet MS"/>
          <w:color w:val="585858"/>
          <w:w w:val="90"/>
          <w:sz w:val="18"/>
          <w:lang w:val="pt-PT"/>
        </w:rPr>
        <w:t>Total</w:t>
      </w:r>
      <w:r w:rsidRPr="00203383">
        <w:rPr>
          <w:rFonts w:ascii="Trebuchet MS"/>
          <w:color w:val="585858"/>
          <w:spacing w:val="-9"/>
          <w:w w:val="90"/>
          <w:sz w:val="18"/>
          <w:lang w:val="pt-PT"/>
        </w:rPr>
        <w:t xml:space="preserve"> </w:t>
      </w:r>
      <w:r w:rsidRPr="00203383">
        <w:rPr>
          <w:rFonts w:ascii="Trebuchet MS"/>
          <w:color w:val="585858"/>
          <w:sz w:val="18"/>
          <w:lang w:val="pt-PT"/>
        </w:rPr>
        <w:t>nacional</w:t>
      </w:r>
      <w:r w:rsidRPr="00203383">
        <w:rPr>
          <w:rFonts w:ascii="Trebuchet MS"/>
          <w:color w:val="585858"/>
          <w:sz w:val="18"/>
          <w:lang w:val="pt-PT"/>
        </w:rPr>
        <w:tab/>
      </w:r>
      <w:r>
        <w:rPr>
          <w:rFonts w:ascii="Trebuchet MS"/>
          <w:noProof/>
          <w:color w:val="585858"/>
          <w:sz w:val="18"/>
        </w:rPr>
        <w:drawing>
          <wp:inline distT="0" distB="0" distL="0" distR="0" wp14:anchorId="346A9A8E" wp14:editId="78B80F00">
            <wp:extent cx="62779" cy="62779"/>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01" cstate="print"/>
                    <a:stretch>
                      <a:fillRect/>
                    </a:stretch>
                  </pic:blipFill>
                  <pic:spPr>
                    <a:xfrm>
                      <a:off x="0" y="0"/>
                      <a:ext cx="62779" cy="62779"/>
                    </a:xfrm>
                    <a:prstGeom prst="rect">
                      <a:avLst/>
                    </a:prstGeom>
                  </pic:spPr>
                </pic:pic>
              </a:graphicData>
            </a:graphic>
          </wp:inline>
        </w:drawing>
      </w:r>
      <w:r w:rsidRPr="00203383">
        <w:rPr>
          <w:rFonts w:ascii="Times New Roman"/>
          <w:color w:val="585858"/>
          <w:spacing w:val="-2"/>
          <w:sz w:val="18"/>
          <w:lang w:val="pt-PT"/>
        </w:rPr>
        <w:t xml:space="preserve"> </w:t>
      </w:r>
      <w:r w:rsidRPr="00203383">
        <w:rPr>
          <w:rFonts w:ascii="Trebuchet MS"/>
          <w:color w:val="585858"/>
          <w:sz w:val="18"/>
          <w:lang w:val="pt-PT"/>
        </w:rPr>
        <w:t>Juventudes</w:t>
      </w:r>
      <w:r w:rsidRPr="00203383">
        <w:rPr>
          <w:rFonts w:ascii="Trebuchet MS"/>
          <w:color w:val="585858"/>
          <w:sz w:val="18"/>
          <w:lang w:val="pt-PT"/>
        </w:rPr>
        <w:tab/>
      </w:r>
      <w:r>
        <w:rPr>
          <w:rFonts w:ascii="Trebuchet MS"/>
          <w:noProof/>
          <w:color w:val="585858"/>
          <w:sz w:val="18"/>
        </w:rPr>
        <w:drawing>
          <wp:inline distT="0" distB="0" distL="0" distR="0" wp14:anchorId="482475E6" wp14:editId="39CBDEFB">
            <wp:extent cx="62779" cy="62779"/>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02" cstate="print"/>
                    <a:stretch>
                      <a:fillRect/>
                    </a:stretch>
                  </pic:blipFill>
                  <pic:spPr>
                    <a:xfrm>
                      <a:off x="0" y="0"/>
                      <a:ext cx="62779" cy="62779"/>
                    </a:xfrm>
                    <a:prstGeom prst="rect">
                      <a:avLst/>
                    </a:prstGeom>
                  </pic:spPr>
                </pic:pic>
              </a:graphicData>
            </a:graphic>
          </wp:inline>
        </w:drawing>
      </w:r>
      <w:r w:rsidRPr="00203383">
        <w:rPr>
          <w:rFonts w:ascii="Times New Roman"/>
          <w:color w:val="585858"/>
          <w:sz w:val="18"/>
          <w:lang w:val="pt-PT"/>
        </w:rPr>
        <w:t xml:space="preserve"> </w:t>
      </w:r>
      <w:r w:rsidRPr="00203383">
        <w:rPr>
          <w:rFonts w:ascii="Trebuchet MS"/>
          <w:color w:val="585858"/>
          <w:w w:val="95"/>
          <w:sz w:val="18"/>
          <w:lang w:val="pt-PT"/>
        </w:rPr>
        <w:t>Juventudes</w:t>
      </w:r>
      <w:r w:rsidRPr="00203383">
        <w:rPr>
          <w:rFonts w:ascii="Trebuchet MS"/>
          <w:color w:val="585858"/>
          <w:spacing w:val="-12"/>
          <w:w w:val="95"/>
          <w:sz w:val="18"/>
          <w:lang w:val="pt-PT"/>
        </w:rPr>
        <w:t xml:space="preserve"> </w:t>
      </w:r>
      <w:r w:rsidRPr="00203383">
        <w:rPr>
          <w:rFonts w:ascii="Trebuchet MS"/>
          <w:color w:val="585858"/>
          <w:sz w:val="18"/>
          <w:lang w:val="pt-PT"/>
        </w:rPr>
        <w:t>urbanas</w:t>
      </w:r>
      <w:r w:rsidRPr="00203383">
        <w:rPr>
          <w:rFonts w:ascii="Trebuchet MS"/>
          <w:color w:val="585858"/>
          <w:sz w:val="18"/>
          <w:lang w:val="pt-PT"/>
        </w:rPr>
        <w:tab/>
      </w:r>
      <w:r>
        <w:rPr>
          <w:rFonts w:ascii="Trebuchet MS"/>
          <w:noProof/>
          <w:color w:val="585858"/>
          <w:sz w:val="18"/>
        </w:rPr>
        <w:drawing>
          <wp:inline distT="0" distB="0" distL="0" distR="0" wp14:anchorId="5D3628A3" wp14:editId="01C1CCCF">
            <wp:extent cx="62779" cy="62779"/>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03" cstate="print"/>
                    <a:stretch>
                      <a:fillRect/>
                    </a:stretch>
                  </pic:blipFill>
                  <pic:spPr>
                    <a:xfrm>
                      <a:off x="0" y="0"/>
                      <a:ext cx="62779" cy="62779"/>
                    </a:xfrm>
                    <a:prstGeom prst="rect">
                      <a:avLst/>
                    </a:prstGeom>
                  </pic:spPr>
                </pic:pic>
              </a:graphicData>
            </a:graphic>
          </wp:inline>
        </w:drawing>
      </w:r>
      <w:r w:rsidRPr="00203383">
        <w:rPr>
          <w:rFonts w:ascii="Times New Roman"/>
          <w:color w:val="585858"/>
          <w:sz w:val="18"/>
          <w:lang w:val="pt-PT"/>
        </w:rPr>
        <w:t xml:space="preserve"> </w:t>
      </w:r>
      <w:r w:rsidRPr="00203383">
        <w:rPr>
          <w:rFonts w:ascii="Trebuchet MS"/>
          <w:color w:val="585858"/>
          <w:w w:val="95"/>
          <w:sz w:val="18"/>
          <w:lang w:val="pt-PT"/>
        </w:rPr>
        <w:t>Juventudes</w:t>
      </w:r>
      <w:r w:rsidRPr="00203383">
        <w:rPr>
          <w:rFonts w:ascii="Trebuchet MS"/>
          <w:color w:val="585858"/>
          <w:spacing w:val="-12"/>
          <w:w w:val="95"/>
          <w:sz w:val="18"/>
          <w:lang w:val="pt-PT"/>
        </w:rPr>
        <w:t xml:space="preserve"> </w:t>
      </w:r>
      <w:r w:rsidRPr="00203383">
        <w:rPr>
          <w:rFonts w:ascii="Trebuchet MS"/>
          <w:color w:val="585858"/>
          <w:sz w:val="18"/>
          <w:lang w:val="pt-PT"/>
        </w:rPr>
        <w:t>rurales</w:t>
      </w:r>
    </w:p>
    <w:p w14:paraId="5FA0FECD" w14:textId="77777777" w:rsidR="000E52B0" w:rsidRPr="00203383" w:rsidRDefault="000E52B0">
      <w:pPr>
        <w:pStyle w:val="Textoindependiente"/>
        <w:spacing w:before="193"/>
        <w:ind w:left="0"/>
        <w:rPr>
          <w:rFonts w:ascii="Trebuchet MS"/>
          <w:sz w:val="18"/>
          <w:lang w:val="pt-PT"/>
        </w:rPr>
      </w:pPr>
    </w:p>
    <w:p w14:paraId="3E5BD730" w14:textId="77777777" w:rsidR="000E52B0" w:rsidRPr="00203383" w:rsidRDefault="00F60D74">
      <w:pPr>
        <w:ind w:left="1989" w:right="907"/>
        <w:jc w:val="center"/>
        <w:rPr>
          <w:rFonts w:ascii="Trebuchet MS"/>
          <w:sz w:val="18"/>
          <w:lang w:val="pt-PT"/>
        </w:rPr>
      </w:pPr>
      <w:r>
        <w:rPr>
          <w:rFonts w:ascii="Trebuchet MS"/>
          <w:noProof/>
          <w:sz w:val="18"/>
        </w:rPr>
        <mc:AlternateContent>
          <mc:Choice Requires="wpg">
            <w:drawing>
              <wp:anchor distT="0" distB="0" distL="0" distR="0" simplePos="0" relativeHeight="487626240" behindDoc="1" locked="0" layoutInCell="1" allowOverlap="1" wp14:anchorId="02DAE1A4" wp14:editId="113F8AF5">
                <wp:simplePos x="0" y="0"/>
                <wp:positionH relativeFrom="page">
                  <wp:posOffset>1057275</wp:posOffset>
                </wp:positionH>
                <wp:positionV relativeFrom="paragraph">
                  <wp:posOffset>157480</wp:posOffset>
                </wp:positionV>
                <wp:extent cx="5467350" cy="1940560"/>
                <wp:effectExtent l="0" t="0" r="19050" b="21590"/>
                <wp:wrapTopAndBottom/>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7350" cy="1940560"/>
                          <a:chOff x="0" y="0"/>
                          <a:chExt cx="5537835" cy="2137410"/>
                        </a:xfrm>
                      </wpg:grpSpPr>
                      <wps:wsp>
                        <wps:cNvPr id="188" name="Graphic 188"/>
                        <wps:cNvSpPr/>
                        <wps:spPr>
                          <a:xfrm>
                            <a:off x="172720" y="831477"/>
                            <a:ext cx="4589145" cy="1301115"/>
                          </a:xfrm>
                          <a:custGeom>
                            <a:avLst/>
                            <a:gdLst/>
                            <a:ahLst/>
                            <a:cxnLst/>
                            <a:rect l="l" t="t" r="r" b="b"/>
                            <a:pathLst>
                              <a:path w="4589145" h="1301115">
                                <a:moveTo>
                                  <a:pt x="158496" y="1141476"/>
                                </a:moveTo>
                                <a:lnTo>
                                  <a:pt x="0" y="1141476"/>
                                </a:lnTo>
                                <a:lnTo>
                                  <a:pt x="0" y="1300861"/>
                                </a:lnTo>
                                <a:lnTo>
                                  <a:pt x="158496" y="1300861"/>
                                </a:lnTo>
                                <a:lnTo>
                                  <a:pt x="158496" y="1141476"/>
                                </a:lnTo>
                                <a:close/>
                              </a:path>
                              <a:path w="4589145" h="1301115">
                                <a:moveTo>
                                  <a:pt x="1266444" y="556260"/>
                                </a:moveTo>
                                <a:lnTo>
                                  <a:pt x="1107948" y="556260"/>
                                </a:lnTo>
                                <a:lnTo>
                                  <a:pt x="1107948" y="1300861"/>
                                </a:lnTo>
                                <a:lnTo>
                                  <a:pt x="1266444" y="1300861"/>
                                </a:lnTo>
                                <a:lnTo>
                                  <a:pt x="1266444" y="556260"/>
                                </a:lnTo>
                                <a:close/>
                              </a:path>
                              <a:path w="4589145" h="1301115">
                                <a:moveTo>
                                  <a:pt x="2374392" y="0"/>
                                </a:moveTo>
                                <a:lnTo>
                                  <a:pt x="2215896" y="0"/>
                                </a:lnTo>
                                <a:lnTo>
                                  <a:pt x="2215896" y="1300861"/>
                                </a:lnTo>
                                <a:lnTo>
                                  <a:pt x="2374392" y="1300861"/>
                                </a:lnTo>
                                <a:lnTo>
                                  <a:pt x="2374392" y="0"/>
                                </a:lnTo>
                                <a:close/>
                              </a:path>
                              <a:path w="4589145" h="1301115">
                                <a:moveTo>
                                  <a:pt x="3480816" y="973836"/>
                                </a:moveTo>
                                <a:lnTo>
                                  <a:pt x="3323844" y="973836"/>
                                </a:lnTo>
                                <a:lnTo>
                                  <a:pt x="3323844" y="1300861"/>
                                </a:lnTo>
                                <a:lnTo>
                                  <a:pt x="3480816" y="1300861"/>
                                </a:lnTo>
                                <a:lnTo>
                                  <a:pt x="3480816" y="973836"/>
                                </a:lnTo>
                                <a:close/>
                              </a:path>
                              <a:path w="4589145" h="1301115">
                                <a:moveTo>
                                  <a:pt x="4588764" y="893064"/>
                                </a:moveTo>
                                <a:lnTo>
                                  <a:pt x="4430268" y="893064"/>
                                </a:lnTo>
                                <a:lnTo>
                                  <a:pt x="4430268" y="1300861"/>
                                </a:lnTo>
                                <a:lnTo>
                                  <a:pt x="4588764" y="1300861"/>
                                </a:lnTo>
                                <a:lnTo>
                                  <a:pt x="4588764" y="893064"/>
                                </a:lnTo>
                                <a:close/>
                              </a:path>
                            </a:pathLst>
                          </a:custGeom>
                          <a:solidFill>
                            <a:srgbClr val="E22C91"/>
                          </a:solidFill>
                        </wps:spPr>
                        <wps:bodyPr wrap="square" lIns="0" tIns="0" rIns="0" bIns="0" rtlCol="0">
                          <a:prstTxWarp prst="textNoShape">
                            <a:avLst/>
                          </a:prstTxWarp>
                          <a:noAutofit/>
                        </wps:bodyPr>
                      </wps:wsp>
                      <wps:wsp>
                        <wps:cNvPr id="189" name="Graphic 189"/>
                        <wps:cNvSpPr/>
                        <wps:spPr>
                          <a:xfrm>
                            <a:off x="373888" y="197493"/>
                            <a:ext cx="4589145" cy="1934845"/>
                          </a:xfrm>
                          <a:custGeom>
                            <a:avLst/>
                            <a:gdLst/>
                            <a:ahLst/>
                            <a:cxnLst/>
                            <a:rect l="l" t="t" r="r" b="b"/>
                            <a:pathLst>
                              <a:path w="4589145" h="1934845">
                                <a:moveTo>
                                  <a:pt x="158496" y="1885188"/>
                                </a:moveTo>
                                <a:lnTo>
                                  <a:pt x="0" y="1885188"/>
                                </a:lnTo>
                                <a:lnTo>
                                  <a:pt x="0" y="1934845"/>
                                </a:lnTo>
                                <a:lnTo>
                                  <a:pt x="158496" y="1934845"/>
                                </a:lnTo>
                                <a:lnTo>
                                  <a:pt x="158496" y="1885188"/>
                                </a:lnTo>
                                <a:close/>
                              </a:path>
                              <a:path w="4589145" h="1934845">
                                <a:moveTo>
                                  <a:pt x="1266444" y="1687068"/>
                                </a:moveTo>
                                <a:lnTo>
                                  <a:pt x="1107948" y="1687068"/>
                                </a:lnTo>
                                <a:lnTo>
                                  <a:pt x="1107948" y="1934845"/>
                                </a:lnTo>
                                <a:lnTo>
                                  <a:pt x="1266444" y="1934845"/>
                                </a:lnTo>
                                <a:lnTo>
                                  <a:pt x="1266444" y="1687068"/>
                                </a:lnTo>
                                <a:close/>
                              </a:path>
                              <a:path w="4589145" h="1934845">
                                <a:moveTo>
                                  <a:pt x="2374392" y="0"/>
                                </a:moveTo>
                                <a:lnTo>
                                  <a:pt x="2215896" y="0"/>
                                </a:lnTo>
                                <a:lnTo>
                                  <a:pt x="2215896" y="1934845"/>
                                </a:lnTo>
                                <a:lnTo>
                                  <a:pt x="2374392" y="1934845"/>
                                </a:lnTo>
                                <a:lnTo>
                                  <a:pt x="2374392" y="0"/>
                                </a:lnTo>
                                <a:close/>
                              </a:path>
                              <a:path w="4589145" h="1934845">
                                <a:moveTo>
                                  <a:pt x="3480816" y="1524000"/>
                                </a:moveTo>
                                <a:lnTo>
                                  <a:pt x="3322320" y="1524000"/>
                                </a:lnTo>
                                <a:lnTo>
                                  <a:pt x="3322320" y="1934845"/>
                                </a:lnTo>
                                <a:lnTo>
                                  <a:pt x="3480816" y="1934845"/>
                                </a:lnTo>
                                <a:lnTo>
                                  <a:pt x="3480816" y="1524000"/>
                                </a:lnTo>
                                <a:close/>
                              </a:path>
                              <a:path w="4589145" h="1934845">
                                <a:moveTo>
                                  <a:pt x="4588764" y="1638300"/>
                                </a:moveTo>
                                <a:lnTo>
                                  <a:pt x="4430268" y="1638300"/>
                                </a:lnTo>
                                <a:lnTo>
                                  <a:pt x="4430268" y="1934845"/>
                                </a:lnTo>
                                <a:lnTo>
                                  <a:pt x="4588764" y="1934845"/>
                                </a:lnTo>
                                <a:lnTo>
                                  <a:pt x="4588764" y="1638300"/>
                                </a:lnTo>
                                <a:close/>
                              </a:path>
                            </a:pathLst>
                          </a:custGeom>
                          <a:solidFill>
                            <a:srgbClr val="36C7C5"/>
                          </a:solidFill>
                        </wps:spPr>
                        <wps:bodyPr wrap="square" lIns="0" tIns="0" rIns="0" bIns="0" rtlCol="0">
                          <a:prstTxWarp prst="textNoShape">
                            <a:avLst/>
                          </a:prstTxWarp>
                          <a:noAutofit/>
                        </wps:bodyPr>
                      </wps:wsp>
                      <wps:wsp>
                        <wps:cNvPr id="190" name="Graphic 190"/>
                        <wps:cNvSpPr/>
                        <wps:spPr>
                          <a:xfrm>
                            <a:off x="575056" y="320937"/>
                            <a:ext cx="4589145" cy="1811655"/>
                          </a:xfrm>
                          <a:custGeom>
                            <a:avLst/>
                            <a:gdLst/>
                            <a:ahLst/>
                            <a:cxnLst/>
                            <a:rect l="l" t="t" r="r" b="b"/>
                            <a:pathLst>
                              <a:path w="4589145" h="1811655">
                                <a:moveTo>
                                  <a:pt x="158496" y="1804416"/>
                                </a:moveTo>
                                <a:lnTo>
                                  <a:pt x="0" y="1804416"/>
                                </a:lnTo>
                                <a:lnTo>
                                  <a:pt x="0" y="1811401"/>
                                </a:lnTo>
                                <a:lnTo>
                                  <a:pt x="158496" y="1811401"/>
                                </a:lnTo>
                                <a:lnTo>
                                  <a:pt x="158496" y="1804416"/>
                                </a:lnTo>
                                <a:close/>
                              </a:path>
                              <a:path w="4589145" h="1811655">
                                <a:moveTo>
                                  <a:pt x="1266444" y="1676400"/>
                                </a:moveTo>
                                <a:lnTo>
                                  <a:pt x="1107948" y="1676400"/>
                                </a:lnTo>
                                <a:lnTo>
                                  <a:pt x="1107948" y="1811401"/>
                                </a:lnTo>
                                <a:lnTo>
                                  <a:pt x="1266444" y="1811401"/>
                                </a:lnTo>
                                <a:lnTo>
                                  <a:pt x="1266444" y="1676400"/>
                                </a:lnTo>
                                <a:close/>
                              </a:path>
                              <a:path w="4589145" h="1811655">
                                <a:moveTo>
                                  <a:pt x="2372868" y="0"/>
                                </a:moveTo>
                                <a:lnTo>
                                  <a:pt x="2215896" y="0"/>
                                </a:lnTo>
                                <a:lnTo>
                                  <a:pt x="2215896" y="1811401"/>
                                </a:lnTo>
                                <a:lnTo>
                                  <a:pt x="2372868" y="1811401"/>
                                </a:lnTo>
                                <a:lnTo>
                                  <a:pt x="2372868" y="0"/>
                                </a:lnTo>
                                <a:close/>
                              </a:path>
                              <a:path w="4589145" h="1811655">
                                <a:moveTo>
                                  <a:pt x="3480816" y="1222248"/>
                                </a:moveTo>
                                <a:lnTo>
                                  <a:pt x="3322320" y="1222248"/>
                                </a:lnTo>
                                <a:lnTo>
                                  <a:pt x="3322320" y="1811401"/>
                                </a:lnTo>
                                <a:lnTo>
                                  <a:pt x="3480816" y="1811401"/>
                                </a:lnTo>
                                <a:lnTo>
                                  <a:pt x="3480816" y="1222248"/>
                                </a:lnTo>
                                <a:close/>
                              </a:path>
                              <a:path w="4589145" h="1811655">
                                <a:moveTo>
                                  <a:pt x="4588764" y="1412748"/>
                                </a:moveTo>
                                <a:lnTo>
                                  <a:pt x="4430268" y="1412748"/>
                                </a:lnTo>
                                <a:lnTo>
                                  <a:pt x="4430268" y="1811401"/>
                                </a:lnTo>
                                <a:lnTo>
                                  <a:pt x="4588764" y="1811401"/>
                                </a:lnTo>
                                <a:lnTo>
                                  <a:pt x="4588764" y="1412748"/>
                                </a:lnTo>
                                <a:close/>
                              </a:path>
                            </a:pathLst>
                          </a:custGeom>
                          <a:solidFill>
                            <a:srgbClr val="6B9F24"/>
                          </a:solidFill>
                        </wps:spPr>
                        <wps:bodyPr wrap="square" lIns="0" tIns="0" rIns="0" bIns="0" rtlCol="0">
                          <a:prstTxWarp prst="textNoShape">
                            <a:avLst/>
                          </a:prstTxWarp>
                          <a:noAutofit/>
                        </wps:bodyPr>
                      </wps:wsp>
                      <wps:wsp>
                        <wps:cNvPr id="191" name="Graphic 191"/>
                        <wps:cNvSpPr/>
                        <wps:spPr>
                          <a:xfrm>
                            <a:off x="776224" y="42045"/>
                            <a:ext cx="4589145" cy="2090420"/>
                          </a:xfrm>
                          <a:custGeom>
                            <a:avLst/>
                            <a:gdLst/>
                            <a:ahLst/>
                            <a:cxnLst/>
                            <a:rect l="l" t="t" r="r" b="b"/>
                            <a:pathLst>
                              <a:path w="4589145" h="2090420">
                                <a:moveTo>
                                  <a:pt x="158496" y="2014728"/>
                                </a:moveTo>
                                <a:lnTo>
                                  <a:pt x="0" y="2014728"/>
                                </a:lnTo>
                                <a:lnTo>
                                  <a:pt x="0" y="2090293"/>
                                </a:lnTo>
                                <a:lnTo>
                                  <a:pt x="158496" y="2090293"/>
                                </a:lnTo>
                                <a:lnTo>
                                  <a:pt x="158496" y="2014728"/>
                                </a:lnTo>
                                <a:close/>
                              </a:path>
                              <a:path w="4589145" h="2090420">
                                <a:moveTo>
                                  <a:pt x="1264920" y="1517904"/>
                                </a:moveTo>
                                <a:lnTo>
                                  <a:pt x="1107948" y="1517904"/>
                                </a:lnTo>
                                <a:lnTo>
                                  <a:pt x="1107948" y="2090293"/>
                                </a:lnTo>
                                <a:lnTo>
                                  <a:pt x="1264920" y="2090293"/>
                                </a:lnTo>
                                <a:lnTo>
                                  <a:pt x="1264920" y="1517904"/>
                                </a:lnTo>
                                <a:close/>
                              </a:path>
                              <a:path w="4589145" h="2090420">
                                <a:moveTo>
                                  <a:pt x="2372868" y="0"/>
                                </a:moveTo>
                                <a:lnTo>
                                  <a:pt x="2214372" y="0"/>
                                </a:lnTo>
                                <a:lnTo>
                                  <a:pt x="2214372" y="2090293"/>
                                </a:lnTo>
                                <a:lnTo>
                                  <a:pt x="2372868" y="2090293"/>
                                </a:lnTo>
                                <a:lnTo>
                                  <a:pt x="2372868" y="0"/>
                                </a:lnTo>
                                <a:close/>
                              </a:path>
                              <a:path w="4589145" h="2090420">
                                <a:moveTo>
                                  <a:pt x="3480816" y="1927860"/>
                                </a:moveTo>
                                <a:lnTo>
                                  <a:pt x="3322320" y="1927860"/>
                                </a:lnTo>
                                <a:lnTo>
                                  <a:pt x="3322320" y="2090293"/>
                                </a:lnTo>
                                <a:lnTo>
                                  <a:pt x="3480816" y="2090293"/>
                                </a:lnTo>
                                <a:lnTo>
                                  <a:pt x="3480816" y="1927860"/>
                                </a:lnTo>
                                <a:close/>
                              </a:path>
                              <a:path w="4589145" h="2090420">
                                <a:moveTo>
                                  <a:pt x="4588764" y="2048256"/>
                                </a:moveTo>
                                <a:lnTo>
                                  <a:pt x="4430268" y="2048256"/>
                                </a:lnTo>
                                <a:lnTo>
                                  <a:pt x="4430268" y="2090293"/>
                                </a:lnTo>
                                <a:lnTo>
                                  <a:pt x="4588764" y="2090293"/>
                                </a:lnTo>
                                <a:lnTo>
                                  <a:pt x="4588764" y="2048256"/>
                                </a:lnTo>
                                <a:close/>
                              </a:path>
                            </a:pathLst>
                          </a:custGeom>
                          <a:solidFill>
                            <a:srgbClr val="901257"/>
                          </a:solidFill>
                        </wps:spPr>
                        <wps:bodyPr wrap="square" lIns="0" tIns="0" rIns="0" bIns="0" rtlCol="0">
                          <a:prstTxWarp prst="textNoShape">
                            <a:avLst/>
                          </a:prstTxWarp>
                          <a:noAutofit/>
                        </wps:bodyPr>
                      </wps:wsp>
                      <wps:wsp>
                        <wps:cNvPr id="192" name="Graphic 192"/>
                        <wps:cNvSpPr/>
                        <wps:spPr>
                          <a:xfrm>
                            <a:off x="0" y="2132338"/>
                            <a:ext cx="5537835" cy="1270"/>
                          </a:xfrm>
                          <a:custGeom>
                            <a:avLst/>
                            <a:gdLst/>
                            <a:ahLst/>
                            <a:cxnLst/>
                            <a:rect l="l" t="t" r="r" b="b"/>
                            <a:pathLst>
                              <a:path w="5537835">
                                <a:moveTo>
                                  <a:pt x="0" y="0"/>
                                </a:moveTo>
                                <a:lnTo>
                                  <a:pt x="5537834" y="0"/>
                                </a:lnTo>
                              </a:path>
                            </a:pathLst>
                          </a:custGeom>
                          <a:ln w="9525">
                            <a:solidFill>
                              <a:srgbClr val="D9D9D9"/>
                            </a:solidFill>
                            <a:prstDash val="solid"/>
                          </a:ln>
                        </wps:spPr>
                        <wps:bodyPr wrap="square" lIns="0" tIns="0" rIns="0" bIns="0" rtlCol="0">
                          <a:prstTxWarp prst="textNoShape">
                            <a:avLst/>
                          </a:prstTxWarp>
                          <a:noAutofit/>
                        </wps:bodyPr>
                      </wps:wsp>
                      <wps:wsp>
                        <wps:cNvPr id="193" name="Textbox 193"/>
                        <wps:cNvSpPr txBox="1"/>
                        <wps:spPr>
                          <a:xfrm>
                            <a:off x="2559939" y="0"/>
                            <a:ext cx="430530" cy="263525"/>
                          </a:xfrm>
                          <a:prstGeom prst="rect">
                            <a:avLst/>
                          </a:prstGeom>
                        </wps:spPr>
                        <wps:txbx>
                          <w:txbxContent>
                            <w:p w14:paraId="140EE478" w14:textId="77777777" w:rsidR="000E52B0" w:rsidRDefault="00F60D74">
                              <w:pPr>
                                <w:spacing w:line="202" w:lineRule="exact"/>
                                <w:rPr>
                                  <w:rFonts w:ascii="Trebuchet MS"/>
                                  <w:sz w:val="18"/>
                                </w:rPr>
                              </w:pPr>
                              <w:r>
                                <w:rPr>
                                  <w:rFonts w:ascii="Trebuchet MS"/>
                                  <w:color w:val="404040"/>
                                  <w:spacing w:val="-5"/>
                                  <w:w w:val="115"/>
                                  <w:sz w:val="18"/>
                                </w:rPr>
                                <w:t>66%</w:t>
                              </w:r>
                            </w:p>
                            <w:p w14:paraId="1A5F9DAC" w14:textId="77777777" w:rsidR="000E52B0" w:rsidRDefault="00F60D74">
                              <w:pPr>
                                <w:spacing w:line="202" w:lineRule="exact"/>
                                <w:ind w:left="316"/>
                                <w:rPr>
                                  <w:rFonts w:ascii="Trebuchet MS"/>
                                  <w:sz w:val="18"/>
                                </w:rPr>
                              </w:pPr>
                              <w:r>
                                <w:rPr>
                                  <w:rFonts w:ascii="Trebuchet MS"/>
                                  <w:color w:val="404040"/>
                                  <w:spacing w:val="-5"/>
                                  <w:w w:val="115"/>
                                  <w:sz w:val="18"/>
                                </w:rPr>
                                <w:t>62%</w:t>
                              </w:r>
                            </w:p>
                          </w:txbxContent>
                        </wps:txbx>
                        <wps:bodyPr wrap="square" lIns="0" tIns="0" rIns="0" bIns="0" rtlCol="0">
                          <a:noAutofit/>
                        </wps:bodyPr>
                      </wps:wsp>
                      <wps:wsp>
                        <wps:cNvPr id="194" name="Textbox 194"/>
                        <wps:cNvSpPr txBox="1"/>
                        <wps:spPr>
                          <a:xfrm>
                            <a:off x="2359025" y="634237"/>
                            <a:ext cx="229235" cy="139700"/>
                          </a:xfrm>
                          <a:prstGeom prst="rect">
                            <a:avLst/>
                          </a:prstGeom>
                        </wps:spPr>
                        <wps:txbx>
                          <w:txbxContent>
                            <w:p w14:paraId="1EA99732" w14:textId="77777777" w:rsidR="000E52B0" w:rsidRDefault="00F60D74">
                              <w:pPr>
                                <w:rPr>
                                  <w:rFonts w:ascii="Trebuchet MS"/>
                                  <w:sz w:val="18"/>
                                </w:rPr>
                              </w:pPr>
                              <w:r>
                                <w:rPr>
                                  <w:rFonts w:ascii="Trebuchet MS"/>
                                  <w:color w:val="404040"/>
                                  <w:spacing w:val="-5"/>
                                  <w:w w:val="115"/>
                                  <w:sz w:val="18"/>
                                </w:rPr>
                                <w:t>44%</w:t>
                              </w:r>
                            </w:p>
                          </w:txbxContent>
                        </wps:txbx>
                        <wps:bodyPr wrap="square" lIns="0" tIns="0" rIns="0" bIns="0" rtlCol="0">
                          <a:noAutofit/>
                        </wps:bodyPr>
                      </wps:wsp>
                      <wps:wsp>
                        <wps:cNvPr id="195" name="Textbox 195"/>
                        <wps:cNvSpPr txBox="1"/>
                        <wps:spPr>
                          <a:xfrm>
                            <a:off x="1251077" y="1190846"/>
                            <a:ext cx="229235" cy="140335"/>
                          </a:xfrm>
                          <a:prstGeom prst="rect">
                            <a:avLst/>
                          </a:prstGeom>
                        </wps:spPr>
                        <wps:txbx>
                          <w:txbxContent>
                            <w:p w14:paraId="62553663" w14:textId="77777777" w:rsidR="000E52B0" w:rsidRDefault="00F60D74">
                              <w:pPr>
                                <w:rPr>
                                  <w:rFonts w:ascii="Trebuchet MS"/>
                                  <w:sz w:val="18"/>
                                </w:rPr>
                              </w:pPr>
                              <w:r>
                                <w:rPr>
                                  <w:rFonts w:ascii="Trebuchet MS"/>
                                  <w:color w:val="404040"/>
                                  <w:spacing w:val="-5"/>
                                  <w:w w:val="115"/>
                                  <w:sz w:val="18"/>
                                </w:rPr>
                                <w:t>25%</w:t>
                              </w:r>
                            </w:p>
                          </w:txbxContent>
                        </wps:txbx>
                        <wps:bodyPr wrap="square" lIns="0" tIns="0" rIns="0" bIns="0" rtlCol="0">
                          <a:noAutofit/>
                        </wps:bodyPr>
                      </wps:wsp>
                      <wps:wsp>
                        <wps:cNvPr id="196" name="Textbox 196"/>
                        <wps:cNvSpPr txBox="1"/>
                        <wps:spPr>
                          <a:xfrm>
                            <a:off x="1853945" y="1363980"/>
                            <a:ext cx="229870" cy="139700"/>
                          </a:xfrm>
                          <a:prstGeom prst="rect">
                            <a:avLst/>
                          </a:prstGeom>
                        </wps:spPr>
                        <wps:txbx>
                          <w:txbxContent>
                            <w:p w14:paraId="77CBAB93" w14:textId="77777777" w:rsidR="000E52B0" w:rsidRDefault="00F60D74">
                              <w:pPr>
                                <w:rPr>
                                  <w:rFonts w:ascii="Trebuchet MS"/>
                                  <w:sz w:val="18"/>
                                </w:rPr>
                              </w:pPr>
                              <w:r>
                                <w:rPr>
                                  <w:rFonts w:ascii="Trebuchet MS"/>
                                  <w:color w:val="404040"/>
                                  <w:spacing w:val="-5"/>
                                  <w:w w:val="115"/>
                                  <w:sz w:val="18"/>
                                </w:rPr>
                                <w:t>19%</w:t>
                              </w:r>
                            </w:p>
                          </w:txbxContent>
                        </wps:txbx>
                        <wps:bodyPr wrap="square" lIns="0" tIns="0" rIns="0" bIns="0" rtlCol="0">
                          <a:noAutofit/>
                        </wps:bodyPr>
                      </wps:wsp>
                      <wps:wsp>
                        <wps:cNvPr id="197" name="Textbox 197"/>
                        <wps:cNvSpPr txBox="1"/>
                        <wps:spPr>
                          <a:xfrm>
                            <a:off x="3868673" y="1345946"/>
                            <a:ext cx="229235" cy="139700"/>
                          </a:xfrm>
                          <a:prstGeom prst="rect">
                            <a:avLst/>
                          </a:prstGeom>
                        </wps:spPr>
                        <wps:txbx>
                          <w:txbxContent>
                            <w:p w14:paraId="29666D33" w14:textId="77777777" w:rsidR="000E52B0" w:rsidRDefault="00F60D74">
                              <w:pPr>
                                <w:rPr>
                                  <w:rFonts w:ascii="Trebuchet MS"/>
                                  <w:sz w:val="18"/>
                                </w:rPr>
                              </w:pPr>
                              <w:r>
                                <w:rPr>
                                  <w:rFonts w:ascii="Trebuchet MS"/>
                                  <w:color w:val="404040"/>
                                  <w:spacing w:val="-5"/>
                                  <w:w w:val="115"/>
                                  <w:sz w:val="18"/>
                                </w:rPr>
                                <w:t>20%</w:t>
                              </w:r>
                            </w:p>
                          </w:txbxContent>
                        </wps:txbx>
                        <wps:bodyPr wrap="square" lIns="0" tIns="0" rIns="0" bIns="0" rtlCol="0">
                          <a:noAutofit/>
                        </wps:bodyPr>
                      </wps:wsp>
                      <wps:wsp>
                        <wps:cNvPr id="198" name="Textbox 198"/>
                        <wps:cNvSpPr txBox="1"/>
                        <wps:spPr>
                          <a:xfrm>
                            <a:off x="3466719" y="1608963"/>
                            <a:ext cx="229235" cy="139700"/>
                          </a:xfrm>
                          <a:prstGeom prst="rect">
                            <a:avLst/>
                          </a:prstGeom>
                        </wps:spPr>
                        <wps:txbx>
                          <w:txbxContent>
                            <w:p w14:paraId="69CA2082" w14:textId="77777777" w:rsidR="000E52B0" w:rsidRDefault="00F60D74">
                              <w:pPr>
                                <w:rPr>
                                  <w:rFonts w:ascii="Trebuchet MS"/>
                                  <w:sz w:val="18"/>
                                </w:rPr>
                              </w:pPr>
                              <w:r>
                                <w:rPr>
                                  <w:rFonts w:ascii="Trebuchet MS"/>
                                  <w:color w:val="404040"/>
                                  <w:spacing w:val="-5"/>
                                  <w:w w:val="115"/>
                                  <w:sz w:val="18"/>
                                </w:rPr>
                                <w:t>11%</w:t>
                              </w:r>
                            </w:p>
                          </w:txbxContent>
                        </wps:txbx>
                        <wps:bodyPr wrap="square" lIns="0" tIns="0" rIns="0" bIns="0" rtlCol="0">
                          <a:noAutofit/>
                        </wps:bodyPr>
                      </wps:wsp>
                      <wps:wsp>
                        <wps:cNvPr id="199" name="Textbox 199"/>
                        <wps:cNvSpPr txBox="1"/>
                        <wps:spPr>
                          <a:xfrm>
                            <a:off x="3667886" y="1524602"/>
                            <a:ext cx="229235" cy="140335"/>
                          </a:xfrm>
                          <a:prstGeom prst="rect">
                            <a:avLst/>
                          </a:prstGeom>
                        </wps:spPr>
                        <wps:txbx>
                          <w:txbxContent>
                            <w:p w14:paraId="6D0FAFB7" w14:textId="77777777" w:rsidR="000E52B0" w:rsidRDefault="00F60D74">
                              <w:pPr>
                                <w:rPr>
                                  <w:rFonts w:ascii="Trebuchet MS"/>
                                  <w:sz w:val="18"/>
                                </w:rPr>
                              </w:pPr>
                              <w:r>
                                <w:rPr>
                                  <w:rFonts w:ascii="Trebuchet MS"/>
                                  <w:color w:val="404040"/>
                                  <w:spacing w:val="-5"/>
                                  <w:w w:val="115"/>
                                  <w:sz w:val="18"/>
                                </w:rPr>
                                <w:t>14%</w:t>
                              </w:r>
                            </w:p>
                          </w:txbxContent>
                        </wps:txbx>
                        <wps:bodyPr wrap="square" lIns="0" tIns="0" rIns="0" bIns="0" rtlCol="0">
                          <a:noAutofit/>
                        </wps:bodyPr>
                      </wps:wsp>
                      <wps:wsp>
                        <wps:cNvPr id="200" name="Textbox 200"/>
                        <wps:cNvSpPr txBox="1"/>
                        <wps:spPr>
                          <a:xfrm>
                            <a:off x="4574666" y="1527555"/>
                            <a:ext cx="229235" cy="139700"/>
                          </a:xfrm>
                          <a:prstGeom prst="rect">
                            <a:avLst/>
                          </a:prstGeom>
                        </wps:spPr>
                        <wps:txbx>
                          <w:txbxContent>
                            <w:p w14:paraId="3C0BF4CE" w14:textId="77777777" w:rsidR="000E52B0" w:rsidRDefault="00F60D74">
                              <w:pPr>
                                <w:rPr>
                                  <w:rFonts w:ascii="Trebuchet MS"/>
                                  <w:sz w:val="18"/>
                                </w:rPr>
                              </w:pPr>
                              <w:r>
                                <w:rPr>
                                  <w:rFonts w:ascii="Trebuchet MS"/>
                                  <w:color w:val="404040"/>
                                  <w:spacing w:val="-5"/>
                                  <w:w w:val="115"/>
                                  <w:sz w:val="18"/>
                                </w:rPr>
                                <w:t>14%</w:t>
                              </w:r>
                            </w:p>
                          </w:txbxContent>
                        </wps:txbx>
                        <wps:bodyPr wrap="square" lIns="0" tIns="0" rIns="0" bIns="0" rtlCol="0">
                          <a:noAutofit/>
                        </wps:bodyPr>
                      </wps:wsp>
                      <wps:wsp>
                        <wps:cNvPr id="201" name="Textbox 201"/>
                        <wps:cNvSpPr txBox="1"/>
                        <wps:spPr>
                          <a:xfrm>
                            <a:off x="4775453" y="1638554"/>
                            <a:ext cx="229235" cy="139700"/>
                          </a:xfrm>
                          <a:prstGeom prst="rect">
                            <a:avLst/>
                          </a:prstGeom>
                        </wps:spPr>
                        <wps:txbx>
                          <w:txbxContent>
                            <w:p w14:paraId="7D57B993" w14:textId="77777777" w:rsidR="000E52B0" w:rsidRDefault="00F60D74">
                              <w:pPr>
                                <w:rPr>
                                  <w:rFonts w:ascii="Trebuchet MS"/>
                                  <w:sz w:val="18"/>
                                </w:rPr>
                              </w:pPr>
                              <w:r>
                                <w:rPr>
                                  <w:rFonts w:ascii="Trebuchet MS"/>
                                  <w:color w:val="404040"/>
                                  <w:spacing w:val="-5"/>
                                  <w:w w:val="115"/>
                                  <w:sz w:val="18"/>
                                </w:rPr>
                                <w:t>10%</w:t>
                              </w:r>
                            </w:p>
                          </w:txbxContent>
                        </wps:txbx>
                        <wps:bodyPr wrap="square" lIns="0" tIns="0" rIns="0" bIns="0" rtlCol="0">
                          <a:noAutofit/>
                        </wps:bodyPr>
                      </wps:wsp>
                      <wps:wsp>
                        <wps:cNvPr id="202" name="Textbox 202"/>
                        <wps:cNvSpPr txBox="1"/>
                        <wps:spPr>
                          <a:xfrm>
                            <a:off x="4976621" y="1537080"/>
                            <a:ext cx="229235" cy="139700"/>
                          </a:xfrm>
                          <a:prstGeom prst="rect">
                            <a:avLst/>
                          </a:prstGeom>
                        </wps:spPr>
                        <wps:txbx>
                          <w:txbxContent>
                            <w:p w14:paraId="5DE13D8A" w14:textId="77777777" w:rsidR="000E52B0" w:rsidRDefault="00F60D74">
                              <w:pPr>
                                <w:rPr>
                                  <w:rFonts w:ascii="Trebuchet MS"/>
                                  <w:sz w:val="18"/>
                                </w:rPr>
                              </w:pPr>
                              <w:r>
                                <w:rPr>
                                  <w:rFonts w:ascii="Trebuchet MS"/>
                                  <w:color w:val="404040"/>
                                  <w:spacing w:val="-5"/>
                                  <w:w w:val="115"/>
                                  <w:sz w:val="18"/>
                                </w:rPr>
                                <w:t>14%</w:t>
                              </w:r>
                            </w:p>
                          </w:txbxContent>
                        </wps:txbx>
                        <wps:bodyPr wrap="square" lIns="0" tIns="0" rIns="0" bIns="0" rtlCol="0">
                          <a:noAutofit/>
                        </wps:bodyPr>
                      </wps:wsp>
                      <wps:wsp>
                        <wps:cNvPr id="203" name="Textbox 203"/>
                        <wps:cNvSpPr txBox="1"/>
                        <wps:spPr>
                          <a:xfrm>
                            <a:off x="173939" y="1775967"/>
                            <a:ext cx="168275" cy="139700"/>
                          </a:xfrm>
                          <a:prstGeom prst="rect">
                            <a:avLst/>
                          </a:prstGeom>
                        </wps:spPr>
                        <wps:txbx>
                          <w:txbxContent>
                            <w:p w14:paraId="76CA09E8" w14:textId="77777777" w:rsidR="000E52B0" w:rsidRDefault="00F60D74">
                              <w:pPr>
                                <w:rPr>
                                  <w:rFonts w:ascii="Trebuchet MS"/>
                                  <w:sz w:val="18"/>
                                </w:rPr>
                              </w:pPr>
                              <w:r>
                                <w:rPr>
                                  <w:rFonts w:ascii="Trebuchet MS"/>
                                  <w:color w:val="404040"/>
                                  <w:spacing w:val="-5"/>
                                  <w:w w:val="120"/>
                                  <w:sz w:val="18"/>
                                </w:rPr>
                                <w:t>5%</w:t>
                              </w:r>
                            </w:p>
                          </w:txbxContent>
                        </wps:txbx>
                        <wps:bodyPr wrap="square" lIns="0" tIns="0" rIns="0" bIns="0" rtlCol="0">
                          <a:noAutofit/>
                        </wps:bodyPr>
                      </wps:wsp>
                      <wps:wsp>
                        <wps:cNvPr id="204" name="Textbox 204"/>
                        <wps:cNvSpPr txBox="1"/>
                        <wps:spPr>
                          <a:xfrm>
                            <a:off x="1482725" y="1688592"/>
                            <a:ext cx="168275" cy="139700"/>
                          </a:xfrm>
                          <a:prstGeom prst="rect">
                            <a:avLst/>
                          </a:prstGeom>
                        </wps:spPr>
                        <wps:txbx>
                          <w:txbxContent>
                            <w:p w14:paraId="346DA786" w14:textId="77777777" w:rsidR="000E52B0" w:rsidRDefault="00F60D74">
                              <w:pPr>
                                <w:rPr>
                                  <w:rFonts w:ascii="Trebuchet MS"/>
                                  <w:sz w:val="18"/>
                                </w:rPr>
                              </w:pPr>
                              <w:r>
                                <w:rPr>
                                  <w:rFonts w:ascii="Trebuchet MS"/>
                                  <w:color w:val="404040"/>
                                  <w:spacing w:val="-5"/>
                                  <w:w w:val="120"/>
                                  <w:sz w:val="18"/>
                                </w:rPr>
                                <w:t>8%</w:t>
                              </w:r>
                            </w:p>
                          </w:txbxContent>
                        </wps:txbx>
                        <wps:bodyPr wrap="square" lIns="0" tIns="0" rIns="0" bIns="0" rtlCol="0">
                          <a:noAutofit/>
                        </wps:bodyPr>
                      </wps:wsp>
                      <wps:wsp>
                        <wps:cNvPr id="205" name="Textbox 205"/>
                        <wps:cNvSpPr txBox="1"/>
                        <wps:spPr>
                          <a:xfrm>
                            <a:off x="374777" y="1860423"/>
                            <a:ext cx="570230" cy="208279"/>
                          </a:xfrm>
                          <a:prstGeom prst="rect">
                            <a:avLst/>
                          </a:prstGeom>
                        </wps:spPr>
                        <wps:txbx>
                          <w:txbxContent>
                            <w:p w14:paraId="1149EF6E" w14:textId="77777777" w:rsidR="000E52B0" w:rsidRDefault="00F60D74">
                              <w:pPr>
                                <w:rPr>
                                  <w:rFonts w:ascii="Trebuchet MS"/>
                                  <w:sz w:val="18"/>
                                </w:rPr>
                              </w:pPr>
                              <w:r>
                                <w:rPr>
                                  <w:rFonts w:ascii="Trebuchet MS"/>
                                  <w:color w:val="404040"/>
                                  <w:w w:val="120"/>
                                  <w:position w:val="-3"/>
                                  <w:sz w:val="18"/>
                                </w:rPr>
                                <w:t>2%</w:t>
                              </w:r>
                              <w:r>
                                <w:rPr>
                                  <w:rFonts w:ascii="Trebuchet MS"/>
                                  <w:color w:val="404040"/>
                                  <w:spacing w:val="5"/>
                                  <w:w w:val="120"/>
                                  <w:position w:val="-3"/>
                                  <w:sz w:val="18"/>
                                </w:rPr>
                                <w:t xml:space="preserve"> </w:t>
                              </w:r>
                              <w:r>
                                <w:rPr>
                                  <w:rFonts w:ascii="Trebuchet MS"/>
                                  <w:color w:val="404040"/>
                                  <w:w w:val="120"/>
                                  <w:position w:val="-10"/>
                                  <w:sz w:val="18"/>
                                </w:rPr>
                                <w:t>0%</w:t>
                              </w:r>
                              <w:r>
                                <w:rPr>
                                  <w:rFonts w:ascii="Trebuchet MS"/>
                                  <w:color w:val="404040"/>
                                  <w:spacing w:val="5"/>
                                  <w:w w:val="120"/>
                                  <w:position w:val="-10"/>
                                  <w:sz w:val="18"/>
                                </w:rPr>
                                <w:t xml:space="preserve"> </w:t>
                              </w:r>
                              <w:r>
                                <w:rPr>
                                  <w:rFonts w:ascii="Trebuchet MS"/>
                                  <w:color w:val="404040"/>
                                  <w:spacing w:val="-7"/>
                                  <w:w w:val="120"/>
                                  <w:sz w:val="18"/>
                                </w:rPr>
                                <w:t>3%</w:t>
                              </w:r>
                            </w:p>
                          </w:txbxContent>
                        </wps:txbx>
                        <wps:bodyPr wrap="square" lIns="0" tIns="0" rIns="0" bIns="0" rtlCol="0">
                          <a:noAutofit/>
                        </wps:bodyPr>
                      </wps:wsp>
                      <wps:wsp>
                        <wps:cNvPr id="206" name="Textbox 206"/>
                        <wps:cNvSpPr txBox="1"/>
                        <wps:spPr>
                          <a:xfrm>
                            <a:off x="1683639" y="1801367"/>
                            <a:ext cx="168275" cy="139700"/>
                          </a:xfrm>
                          <a:prstGeom prst="rect">
                            <a:avLst/>
                          </a:prstGeom>
                        </wps:spPr>
                        <wps:txbx>
                          <w:txbxContent>
                            <w:p w14:paraId="45537BCA" w14:textId="77777777" w:rsidR="000E52B0" w:rsidRDefault="00F60D74">
                              <w:pPr>
                                <w:rPr>
                                  <w:rFonts w:ascii="Trebuchet MS"/>
                                  <w:sz w:val="18"/>
                                </w:rPr>
                              </w:pPr>
                              <w:r>
                                <w:rPr>
                                  <w:rFonts w:ascii="Trebuchet MS"/>
                                  <w:color w:val="404040"/>
                                  <w:spacing w:val="-5"/>
                                  <w:w w:val="120"/>
                                  <w:sz w:val="18"/>
                                </w:rPr>
                                <w:t>5%</w:t>
                              </w:r>
                            </w:p>
                          </w:txbxContent>
                        </wps:txbx>
                        <wps:bodyPr wrap="square" lIns="0" tIns="0" rIns="0" bIns="0" rtlCol="0">
                          <a:noAutofit/>
                        </wps:bodyPr>
                      </wps:wsp>
                      <wps:wsp>
                        <wps:cNvPr id="207" name="Textbox 207"/>
                        <wps:cNvSpPr txBox="1"/>
                        <wps:spPr>
                          <a:xfrm>
                            <a:off x="4100067" y="1773554"/>
                            <a:ext cx="168910" cy="139700"/>
                          </a:xfrm>
                          <a:prstGeom prst="rect">
                            <a:avLst/>
                          </a:prstGeom>
                        </wps:spPr>
                        <wps:txbx>
                          <w:txbxContent>
                            <w:p w14:paraId="33474E50" w14:textId="77777777" w:rsidR="000E52B0" w:rsidRDefault="00F60D74">
                              <w:pPr>
                                <w:rPr>
                                  <w:rFonts w:ascii="Trebuchet MS"/>
                                  <w:sz w:val="18"/>
                                </w:rPr>
                              </w:pPr>
                              <w:r>
                                <w:rPr>
                                  <w:rFonts w:ascii="Trebuchet MS"/>
                                  <w:color w:val="404040"/>
                                  <w:spacing w:val="-5"/>
                                  <w:w w:val="120"/>
                                  <w:sz w:val="18"/>
                                </w:rPr>
                                <w:t>6%</w:t>
                              </w:r>
                            </w:p>
                          </w:txbxContent>
                        </wps:txbx>
                        <wps:bodyPr wrap="square" lIns="0" tIns="0" rIns="0" bIns="0" rtlCol="0">
                          <a:noAutofit/>
                        </wps:bodyPr>
                      </wps:wsp>
                      <wps:wsp>
                        <wps:cNvPr id="208" name="Textbox 208"/>
                        <wps:cNvSpPr txBox="1"/>
                        <wps:spPr>
                          <a:xfrm>
                            <a:off x="5208015" y="1893697"/>
                            <a:ext cx="168275" cy="139700"/>
                          </a:xfrm>
                          <a:prstGeom prst="rect">
                            <a:avLst/>
                          </a:prstGeom>
                        </wps:spPr>
                        <wps:txbx>
                          <w:txbxContent>
                            <w:p w14:paraId="3DA51EEB" w14:textId="77777777" w:rsidR="000E52B0" w:rsidRDefault="00F60D74">
                              <w:pPr>
                                <w:rPr>
                                  <w:rFonts w:ascii="Trebuchet MS"/>
                                  <w:sz w:val="18"/>
                                </w:rPr>
                              </w:pPr>
                              <w:r>
                                <w:rPr>
                                  <w:rFonts w:ascii="Trebuchet MS"/>
                                  <w:color w:val="404040"/>
                                  <w:spacing w:val="-5"/>
                                  <w:w w:val="120"/>
                                  <w:sz w:val="18"/>
                                </w:rPr>
                                <w:t>1%</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2DAE1A4" id="Group 187" o:spid="_x0000_s1118" style="position:absolute;left:0;text-align:left;margin-left:83.25pt;margin-top:12.4pt;width:430.5pt;height:152.8pt;z-index:-15690240;mso-wrap-distance-left:0;mso-wrap-distance-right:0;mso-position-horizontal-relative:page;mso-position-vertical-relative:text;mso-width-relative:margin;mso-height-relative:margin" coordsize="55378,21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">
                <v:shape id="Graphic 188" o:spid="_x0000_s1119" style="position:absolute;left:1727;top:8314;width:45891;height:13011;visibility:visible;mso-wrap-style:square;v-text-anchor:top" coordsize="4589145,130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" path="m158496,1141476l,1141476r,159385l158496,1300861r,-159385xem1266444,556260r-158496,l1107948,1300861r158496,l1266444,556260xem2374392,l2215896,r,1300861l2374392,1300861,2374392,xem3480816,973836r-156972,l3323844,1300861r156972,l3480816,973836xem4588764,893064r-158496,l4430268,1300861r158496,l4588764,893064xe" fillcolor="#e22c91" stroked="f">
                  <v:path arrowok="t"/>
                </v:shape>
                <v:shape id="Graphic 189" o:spid="_x0000_s1120" style="position:absolute;left:3738;top:1974;width:45892;height:19349;visibility:visible;mso-wrap-style:square;v-text-anchor:top" coordsize="4589145,193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" path="m158496,1885188l,1885188r,49657l158496,1934845r,-49657xem1266444,1687068r-158496,l1107948,1934845r158496,l1266444,1687068xem2374392,l2215896,r,1934845l2374392,1934845,2374392,xem3480816,1524000r-158496,l3322320,1934845r158496,l3480816,1524000xem4588764,1638300r-158496,l4430268,1934845r158496,l4588764,1638300xe" fillcolor="#36c7c5" stroked="f">
                  <v:path arrowok="t"/>
                </v:shape>
                <v:shape id="Graphic 190" o:spid="_x0000_s1121" style="position:absolute;left:5750;top:3209;width:45892;height:18116;visibility:visible;mso-wrap-style:square;v-text-anchor:top" coordsize="4589145,181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" path="m158496,1804416l,1804416r,6985l158496,1811401r,-6985xem1266444,1676400r-158496,l1107948,1811401r158496,l1266444,1676400xem2372868,l2215896,r,1811401l2372868,1811401,2372868,xem3480816,1222248r-158496,l3322320,1811401r158496,l3480816,1222248xem4588764,1412748r-158496,l4430268,1811401r158496,l4588764,1412748xe" fillcolor="#6b9f24" stroked="f">
                  <v:path arrowok="t"/>
                </v:shape>
                <v:shape id="Graphic 191" o:spid="_x0000_s1122" style="position:absolute;left:7762;top:420;width:45891;height:20904;visibility:visible;mso-wrap-style:square;v-text-anchor:top" coordsize="4589145,209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" path="m158496,2014728l,2014728r,75565l158496,2090293r,-75565xem1264920,1517904r-156972,l1107948,2090293r156972,l1264920,1517904xem2372868,l2214372,r,2090293l2372868,2090293,2372868,xem3480816,1927860r-158496,l3322320,2090293r158496,l3480816,1927860xem4588764,2048256r-158496,l4430268,2090293r158496,l4588764,2048256xe" fillcolor="#901257" stroked="f">
                  <v:path arrowok="t"/>
                </v:shape>
                <v:shape id="Graphic 192" o:spid="_x0000_s1123" style="position:absolute;top:21323;width:55378;height:13;visibility:visible;mso-wrap-style:square;v-text-anchor:top" coordsize="5537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" path="m,l5537834,e" filled="f" strokecolor="#d9d9d9">
                  <v:path arrowok="t"/>
                </v:shape>
                <v:shape id="Textbox 193" o:spid="_x0000_s1124" type="#_x0000_t202" style="position:absolute;left:25599;width:4305;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140EE478" w14:textId="77777777" w:rsidR="000E52B0" w:rsidRDefault="00F60D74">
                        <w:pPr>
                          <w:spacing w:line="202" w:lineRule="exact"/>
                          <w:rPr>
                            <w:rFonts w:ascii="Trebuchet MS"/>
                            <w:sz w:val="18"/>
                          </w:rPr>
                        </w:pPr>
                        <w:r>
                          <w:rPr>
                            <w:rFonts w:ascii="Trebuchet MS"/>
                            <w:color w:val="404040"/>
                            <w:spacing w:val="-5"/>
                            <w:w w:val="115"/>
                            <w:sz w:val="18"/>
                          </w:rPr>
                          <w:t>66%</w:t>
                        </w:r>
                      </w:p>
                      <w:p w14:paraId="1A5F9DAC" w14:textId="77777777" w:rsidR="000E52B0" w:rsidRDefault="00F60D74">
                        <w:pPr>
                          <w:spacing w:line="202" w:lineRule="exact"/>
                          <w:ind w:left="316"/>
                          <w:rPr>
                            <w:rFonts w:ascii="Trebuchet MS"/>
                            <w:sz w:val="18"/>
                          </w:rPr>
                        </w:pPr>
                        <w:r>
                          <w:rPr>
                            <w:rFonts w:ascii="Trebuchet MS"/>
                            <w:color w:val="404040"/>
                            <w:spacing w:val="-5"/>
                            <w:w w:val="115"/>
                            <w:sz w:val="18"/>
                          </w:rPr>
                          <w:t>62%</w:t>
                        </w:r>
                      </w:p>
                    </w:txbxContent>
                  </v:textbox>
                </v:shape>
                <v:shape id="Textbox 194" o:spid="_x0000_s1125" type="#_x0000_t202" style="position:absolute;left:23590;top:6342;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1EA99732" w14:textId="77777777" w:rsidR="000E52B0" w:rsidRDefault="00F60D74">
                        <w:pPr>
                          <w:rPr>
                            <w:rFonts w:ascii="Trebuchet MS"/>
                            <w:sz w:val="18"/>
                          </w:rPr>
                        </w:pPr>
                        <w:r>
                          <w:rPr>
                            <w:rFonts w:ascii="Trebuchet MS"/>
                            <w:color w:val="404040"/>
                            <w:spacing w:val="-5"/>
                            <w:w w:val="115"/>
                            <w:sz w:val="18"/>
                          </w:rPr>
                          <w:t>44%</w:t>
                        </w:r>
                      </w:p>
                    </w:txbxContent>
                  </v:textbox>
                </v:shape>
                <v:shape id="Textbox 195" o:spid="_x0000_s1126" type="#_x0000_t202" style="position:absolute;left:12510;top:11908;width:229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62553663" w14:textId="77777777" w:rsidR="000E52B0" w:rsidRDefault="00F60D74">
                        <w:pPr>
                          <w:rPr>
                            <w:rFonts w:ascii="Trebuchet MS"/>
                            <w:sz w:val="18"/>
                          </w:rPr>
                        </w:pPr>
                        <w:r>
                          <w:rPr>
                            <w:rFonts w:ascii="Trebuchet MS"/>
                            <w:color w:val="404040"/>
                            <w:spacing w:val="-5"/>
                            <w:w w:val="115"/>
                            <w:sz w:val="18"/>
                          </w:rPr>
                          <w:t>25%</w:t>
                        </w:r>
                      </w:p>
                    </w:txbxContent>
                  </v:textbox>
                </v:shape>
                <v:shape id="Textbox 196" o:spid="_x0000_s1127" type="#_x0000_t202" style="position:absolute;left:18539;top:13639;width:229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77CBAB93" w14:textId="77777777" w:rsidR="000E52B0" w:rsidRDefault="00F60D74">
                        <w:pPr>
                          <w:rPr>
                            <w:rFonts w:ascii="Trebuchet MS"/>
                            <w:sz w:val="18"/>
                          </w:rPr>
                        </w:pPr>
                        <w:r>
                          <w:rPr>
                            <w:rFonts w:ascii="Trebuchet MS"/>
                            <w:color w:val="404040"/>
                            <w:spacing w:val="-5"/>
                            <w:w w:val="115"/>
                            <w:sz w:val="18"/>
                          </w:rPr>
                          <w:t>19%</w:t>
                        </w:r>
                      </w:p>
                    </w:txbxContent>
                  </v:textbox>
                </v:shape>
                <v:shape id="Textbox 197" o:spid="_x0000_s1128" type="#_x0000_t202" style="position:absolute;left:38686;top:13459;width:229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29666D33" w14:textId="77777777" w:rsidR="000E52B0" w:rsidRDefault="00F60D74">
                        <w:pPr>
                          <w:rPr>
                            <w:rFonts w:ascii="Trebuchet MS"/>
                            <w:sz w:val="18"/>
                          </w:rPr>
                        </w:pPr>
                        <w:r>
                          <w:rPr>
                            <w:rFonts w:ascii="Trebuchet MS"/>
                            <w:color w:val="404040"/>
                            <w:spacing w:val="-5"/>
                            <w:w w:val="115"/>
                            <w:sz w:val="18"/>
                          </w:rPr>
                          <w:t>20%</w:t>
                        </w:r>
                      </w:p>
                    </w:txbxContent>
                  </v:textbox>
                </v:shape>
                <v:shape id="Textbox 198" o:spid="_x0000_s1129" type="#_x0000_t202" style="position:absolute;left:34667;top:16089;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69CA2082" w14:textId="77777777" w:rsidR="000E52B0" w:rsidRDefault="00F60D74">
                        <w:pPr>
                          <w:rPr>
                            <w:rFonts w:ascii="Trebuchet MS"/>
                            <w:sz w:val="18"/>
                          </w:rPr>
                        </w:pPr>
                        <w:r>
                          <w:rPr>
                            <w:rFonts w:ascii="Trebuchet MS"/>
                            <w:color w:val="404040"/>
                            <w:spacing w:val="-5"/>
                            <w:w w:val="115"/>
                            <w:sz w:val="18"/>
                          </w:rPr>
                          <w:t>11%</w:t>
                        </w:r>
                      </w:p>
                    </w:txbxContent>
                  </v:textbox>
                </v:shape>
                <v:shape id="Textbox 199" o:spid="_x0000_s1130" type="#_x0000_t202" style="position:absolute;left:36678;top:15246;width:229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D0FAFB7" w14:textId="77777777" w:rsidR="000E52B0" w:rsidRDefault="00F60D74">
                        <w:pPr>
                          <w:rPr>
                            <w:rFonts w:ascii="Trebuchet MS"/>
                            <w:sz w:val="18"/>
                          </w:rPr>
                        </w:pPr>
                        <w:r>
                          <w:rPr>
                            <w:rFonts w:ascii="Trebuchet MS"/>
                            <w:color w:val="404040"/>
                            <w:spacing w:val="-5"/>
                            <w:w w:val="115"/>
                            <w:sz w:val="18"/>
                          </w:rPr>
                          <w:t>14%</w:t>
                        </w:r>
                      </w:p>
                    </w:txbxContent>
                  </v:textbox>
                </v:shape>
                <v:shape id="Textbox 200" o:spid="_x0000_s1131" type="#_x0000_t202" style="position:absolute;left:45746;top:15275;width:229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3C0BF4CE" w14:textId="77777777" w:rsidR="000E52B0" w:rsidRDefault="00F60D74">
                        <w:pPr>
                          <w:rPr>
                            <w:rFonts w:ascii="Trebuchet MS"/>
                            <w:sz w:val="18"/>
                          </w:rPr>
                        </w:pPr>
                        <w:r>
                          <w:rPr>
                            <w:rFonts w:ascii="Trebuchet MS"/>
                            <w:color w:val="404040"/>
                            <w:spacing w:val="-5"/>
                            <w:w w:val="115"/>
                            <w:sz w:val="18"/>
                          </w:rPr>
                          <w:t>14%</w:t>
                        </w:r>
                      </w:p>
                    </w:txbxContent>
                  </v:textbox>
                </v:shape>
                <v:shape id="Textbox 201" o:spid="_x0000_s1132" type="#_x0000_t202" style="position:absolute;left:47754;top:16385;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7D57B993" w14:textId="77777777" w:rsidR="000E52B0" w:rsidRDefault="00F60D74">
                        <w:pPr>
                          <w:rPr>
                            <w:rFonts w:ascii="Trebuchet MS"/>
                            <w:sz w:val="18"/>
                          </w:rPr>
                        </w:pPr>
                        <w:r>
                          <w:rPr>
                            <w:rFonts w:ascii="Trebuchet MS"/>
                            <w:color w:val="404040"/>
                            <w:spacing w:val="-5"/>
                            <w:w w:val="115"/>
                            <w:sz w:val="18"/>
                          </w:rPr>
                          <w:t>10%</w:t>
                        </w:r>
                      </w:p>
                    </w:txbxContent>
                  </v:textbox>
                </v:shape>
                <v:shape id="Textbox 202" o:spid="_x0000_s1133" type="#_x0000_t202" style="position:absolute;left:49766;top:15370;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5DE13D8A" w14:textId="77777777" w:rsidR="000E52B0" w:rsidRDefault="00F60D74">
                        <w:pPr>
                          <w:rPr>
                            <w:rFonts w:ascii="Trebuchet MS"/>
                            <w:sz w:val="18"/>
                          </w:rPr>
                        </w:pPr>
                        <w:r>
                          <w:rPr>
                            <w:rFonts w:ascii="Trebuchet MS"/>
                            <w:color w:val="404040"/>
                            <w:spacing w:val="-5"/>
                            <w:w w:val="115"/>
                            <w:sz w:val="18"/>
                          </w:rPr>
                          <w:t>14%</w:t>
                        </w:r>
                      </w:p>
                    </w:txbxContent>
                  </v:textbox>
                </v:shape>
                <v:shape id="Textbox 203" o:spid="_x0000_s1134" type="#_x0000_t202" style="position:absolute;left:1739;top:17759;width:168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76CA09E8" w14:textId="77777777" w:rsidR="000E52B0" w:rsidRDefault="00F60D74">
                        <w:pPr>
                          <w:rPr>
                            <w:rFonts w:ascii="Trebuchet MS"/>
                            <w:sz w:val="18"/>
                          </w:rPr>
                        </w:pPr>
                        <w:r>
                          <w:rPr>
                            <w:rFonts w:ascii="Trebuchet MS"/>
                            <w:color w:val="404040"/>
                            <w:spacing w:val="-5"/>
                            <w:w w:val="120"/>
                            <w:sz w:val="18"/>
                          </w:rPr>
                          <w:t>5%</w:t>
                        </w:r>
                      </w:p>
                    </w:txbxContent>
                  </v:textbox>
                </v:shape>
                <v:shape id="Textbox 204" o:spid="_x0000_s1135" type="#_x0000_t202" style="position:absolute;left:14827;top:16885;width:168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346DA786" w14:textId="77777777" w:rsidR="000E52B0" w:rsidRDefault="00F60D74">
                        <w:pPr>
                          <w:rPr>
                            <w:rFonts w:ascii="Trebuchet MS"/>
                            <w:sz w:val="18"/>
                          </w:rPr>
                        </w:pPr>
                        <w:r>
                          <w:rPr>
                            <w:rFonts w:ascii="Trebuchet MS"/>
                            <w:color w:val="404040"/>
                            <w:spacing w:val="-5"/>
                            <w:w w:val="120"/>
                            <w:sz w:val="18"/>
                          </w:rPr>
                          <w:t>8%</w:t>
                        </w:r>
                      </w:p>
                    </w:txbxContent>
                  </v:textbox>
                </v:shape>
                <v:shape id="Textbox 205" o:spid="_x0000_s1136" type="#_x0000_t202" style="position:absolute;left:3747;top:18604;width:5703;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1149EF6E" w14:textId="77777777" w:rsidR="000E52B0" w:rsidRDefault="00F60D74">
                        <w:pPr>
                          <w:rPr>
                            <w:rFonts w:ascii="Trebuchet MS"/>
                            <w:sz w:val="18"/>
                          </w:rPr>
                        </w:pPr>
                        <w:r>
                          <w:rPr>
                            <w:rFonts w:ascii="Trebuchet MS"/>
                            <w:color w:val="404040"/>
                            <w:w w:val="120"/>
                            <w:position w:val="-3"/>
                            <w:sz w:val="18"/>
                          </w:rPr>
                          <w:t>2%</w:t>
                        </w:r>
                        <w:r>
                          <w:rPr>
                            <w:rFonts w:ascii="Trebuchet MS"/>
                            <w:color w:val="404040"/>
                            <w:spacing w:val="5"/>
                            <w:w w:val="120"/>
                            <w:position w:val="-3"/>
                            <w:sz w:val="18"/>
                          </w:rPr>
                          <w:t xml:space="preserve"> </w:t>
                        </w:r>
                        <w:r>
                          <w:rPr>
                            <w:rFonts w:ascii="Trebuchet MS"/>
                            <w:color w:val="404040"/>
                            <w:w w:val="120"/>
                            <w:position w:val="-10"/>
                            <w:sz w:val="18"/>
                          </w:rPr>
                          <w:t>0%</w:t>
                        </w:r>
                        <w:r>
                          <w:rPr>
                            <w:rFonts w:ascii="Trebuchet MS"/>
                            <w:color w:val="404040"/>
                            <w:spacing w:val="5"/>
                            <w:w w:val="120"/>
                            <w:position w:val="-10"/>
                            <w:sz w:val="18"/>
                          </w:rPr>
                          <w:t xml:space="preserve"> </w:t>
                        </w:r>
                        <w:r>
                          <w:rPr>
                            <w:rFonts w:ascii="Trebuchet MS"/>
                            <w:color w:val="404040"/>
                            <w:spacing w:val="-7"/>
                            <w:w w:val="120"/>
                            <w:sz w:val="18"/>
                          </w:rPr>
                          <w:t>3%</w:t>
                        </w:r>
                      </w:p>
                    </w:txbxContent>
                  </v:textbox>
                </v:shape>
                <v:shape id="Textbox 206" o:spid="_x0000_s1137" type="#_x0000_t202" style="position:absolute;left:16836;top:18013;width:168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45537BCA" w14:textId="77777777" w:rsidR="000E52B0" w:rsidRDefault="00F60D74">
                        <w:pPr>
                          <w:rPr>
                            <w:rFonts w:ascii="Trebuchet MS"/>
                            <w:sz w:val="18"/>
                          </w:rPr>
                        </w:pPr>
                        <w:r>
                          <w:rPr>
                            <w:rFonts w:ascii="Trebuchet MS"/>
                            <w:color w:val="404040"/>
                            <w:spacing w:val="-5"/>
                            <w:w w:val="120"/>
                            <w:sz w:val="18"/>
                          </w:rPr>
                          <w:t>5%</w:t>
                        </w:r>
                      </w:p>
                    </w:txbxContent>
                  </v:textbox>
                </v:shape>
                <v:shape id="Textbox 207" o:spid="_x0000_s1138" type="#_x0000_t202" style="position:absolute;left:41000;top:17735;width:168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33474E50" w14:textId="77777777" w:rsidR="000E52B0" w:rsidRDefault="00F60D74">
                        <w:pPr>
                          <w:rPr>
                            <w:rFonts w:ascii="Trebuchet MS"/>
                            <w:sz w:val="18"/>
                          </w:rPr>
                        </w:pPr>
                        <w:r>
                          <w:rPr>
                            <w:rFonts w:ascii="Trebuchet MS"/>
                            <w:color w:val="404040"/>
                            <w:spacing w:val="-5"/>
                            <w:w w:val="120"/>
                            <w:sz w:val="18"/>
                          </w:rPr>
                          <w:t>6%</w:t>
                        </w:r>
                      </w:p>
                    </w:txbxContent>
                  </v:textbox>
                </v:shape>
                <v:shape id="Textbox 208" o:spid="_x0000_s1139" type="#_x0000_t202" style="position:absolute;left:52080;top:18936;width:168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3DA51EEB" w14:textId="77777777" w:rsidR="000E52B0" w:rsidRDefault="00F60D74">
                        <w:pPr>
                          <w:rPr>
                            <w:rFonts w:ascii="Trebuchet MS"/>
                            <w:sz w:val="18"/>
                          </w:rPr>
                        </w:pPr>
                        <w:r>
                          <w:rPr>
                            <w:rFonts w:ascii="Trebuchet MS"/>
                            <w:color w:val="404040"/>
                            <w:spacing w:val="-5"/>
                            <w:w w:val="120"/>
                            <w:sz w:val="18"/>
                          </w:rPr>
                          <w:t>1%</w:t>
                        </w:r>
                      </w:p>
                    </w:txbxContent>
                  </v:textbox>
                </v:shape>
                <w10:wrap type="topAndBottom" anchorx="page"/>
              </v:group>
            </w:pict>
          </mc:Fallback>
        </mc:AlternateContent>
      </w:r>
      <w:r w:rsidRPr="00203383">
        <w:rPr>
          <w:rFonts w:ascii="Trebuchet MS"/>
          <w:color w:val="404040"/>
          <w:spacing w:val="-5"/>
          <w:w w:val="115"/>
          <w:sz w:val="18"/>
          <w:lang w:val="pt-PT"/>
        </w:rPr>
        <w:t>71%</w:t>
      </w:r>
    </w:p>
    <w:p w14:paraId="645B28AC" w14:textId="77777777" w:rsidR="000E52B0" w:rsidRPr="00203383" w:rsidRDefault="000E52B0">
      <w:pPr>
        <w:pStyle w:val="Textoindependiente"/>
        <w:ind w:left="0"/>
        <w:rPr>
          <w:rFonts w:ascii="Trebuchet MS"/>
          <w:sz w:val="6"/>
          <w:lang w:val="pt-PT"/>
        </w:rPr>
      </w:pPr>
    </w:p>
    <w:p w14:paraId="18343F54" w14:textId="77777777" w:rsidR="000E52B0" w:rsidRPr="00203383" w:rsidRDefault="000E52B0">
      <w:pPr>
        <w:pStyle w:val="Textoindependiente"/>
        <w:rPr>
          <w:rFonts w:ascii="Trebuchet MS"/>
          <w:sz w:val="6"/>
          <w:lang w:val="pt-PT"/>
        </w:rPr>
        <w:sectPr w:rsidR="000E52B0" w:rsidRPr="00203383">
          <w:pgSz w:w="11910" w:h="16840"/>
          <w:pgMar w:top="1340" w:right="720" w:bottom="1180" w:left="720" w:header="0" w:footer="995" w:gutter="0"/>
          <w:cols w:space="720"/>
        </w:sectPr>
      </w:pPr>
    </w:p>
    <w:p w14:paraId="276E421F" w14:textId="77777777" w:rsidR="000E52B0" w:rsidRPr="00203383" w:rsidRDefault="00F60D74">
      <w:pPr>
        <w:tabs>
          <w:tab w:val="left" w:pos="2793"/>
        </w:tabs>
        <w:spacing w:before="35" w:line="252" w:lineRule="auto"/>
        <w:ind w:left="3230" w:hanging="1747"/>
        <w:rPr>
          <w:rFonts w:ascii="Trebuchet MS" w:hAnsi="Trebuchet MS"/>
          <w:sz w:val="18"/>
          <w:lang w:val="pt-PT"/>
        </w:rPr>
      </w:pPr>
      <w:r w:rsidRPr="00203383">
        <w:rPr>
          <w:rFonts w:ascii="Trebuchet MS" w:hAnsi="Trebuchet MS"/>
          <w:color w:val="585858"/>
          <w:spacing w:val="-2"/>
          <w:sz w:val="18"/>
          <w:lang w:val="pt-PT"/>
        </w:rPr>
        <w:t>Ninguno</w:t>
      </w:r>
      <w:r w:rsidRPr="00203383">
        <w:rPr>
          <w:rFonts w:ascii="Trebuchet MS" w:hAnsi="Trebuchet MS"/>
          <w:color w:val="585858"/>
          <w:sz w:val="18"/>
          <w:lang w:val="pt-PT"/>
        </w:rPr>
        <w:tab/>
        <w:t>Preescolar</w:t>
      </w:r>
      <w:r w:rsidRPr="00203383">
        <w:rPr>
          <w:rFonts w:ascii="Trebuchet MS" w:hAnsi="Trebuchet MS"/>
          <w:color w:val="585858"/>
          <w:spacing w:val="-18"/>
          <w:sz w:val="18"/>
          <w:lang w:val="pt-PT"/>
        </w:rPr>
        <w:t xml:space="preserve"> </w:t>
      </w:r>
      <w:r w:rsidRPr="00203383">
        <w:rPr>
          <w:rFonts w:ascii="Trebuchet MS" w:hAnsi="Trebuchet MS"/>
          <w:color w:val="585858"/>
          <w:sz w:val="18"/>
          <w:lang w:val="pt-PT"/>
        </w:rPr>
        <w:t>o</w:t>
      </w:r>
      <w:r w:rsidRPr="00203383">
        <w:rPr>
          <w:rFonts w:ascii="Trebuchet MS" w:hAnsi="Trebuchet MS"/>
          <w:color w:val="585858"/>
          <w:spacing w:val="-17"/>
          <w:sz w:val="18"/>
          <w:lang w:val="pt-PT"/>
        </w:rPr>
        <w:t xml:space="preserve"> </w:t>
      </w:r>
      <w:r w:rsidRPr="00203383">
        <w:rPr>
          <w:rFonts w:ascii="Trebuchet MS" w:hAnsi="Trebuchet MS"/>
          <w:color w:val="585858"/>
          <w:sz w:val="18"/>
          <w:lang w:val="pt-PT"/>
        </w:rPr>
        <w:t xml:space="preserve">básica </w:t>
      </w:r>
      <w:r w:rsidRPr="00203383">
        <w:rPr>
          <w:rFonts w:ascii="Trebuchet MS" w:hAnsi="Trebuchet MS"/>
          <w:color w:val="585858"/>
          <w:spacing w:val="-2"/>
          <w:sz w:val="18"/>
          <w:lang w:val="pt-PT"/>
        </w:rPr>
        <w:t>primaria</w:t>
      </w:r>
    </w:p>
    <w:p w14:paraId="4BEB797A" w14:textId="77777777" w:rsidR="000E52B0" w:rsidRPr="00203383" w:rsidRDefault="00F60D74">
      <w:pPr>
        <w:spacing w:before="35" w:line="252" w:lineRule="auto"/>
        <w:ind w:left="696" w:hanging="541"/>
        <w:rPr>
          <w:rFonts w:ascii="Trebuchet MS" w:hAnsi="Trebuchet MS"/>
          <w:sz w:val="18"/>
          <w:lang w:val="pt-PT"/>
        </w:rPr>
      </w:pPr>
      <w:r w:rsidRPr="00203383">
        <w:rPr>
          <w:lang w:val="pt-PT"/>
        </w:rPr>
        <w:br w:type="column"/>
      </w:r>
      <w:r w:rsidRPr="00203383">
        <w:rPr>
          <w:rFonts w:ascii="Trebuchet MS" w:hAnsi="Trebuchet MS"/>
          <w:color w:val="585858"/>
          <w:sz w:val="18"/>
          <w:lang w:val="pt-PT"/>
        </w:rPr>
        <w:t>Básica</w:t>
      </w:r>
      <w:r w:rsidRPr="00203383">
        <w:rPr>
          <w:rFonts w:ascii="Trebuchet MS" w:hAnsi="Trebuchet MS"/>
          <w:color w:val="585858"/>
          <w:spacing w:val="-18"/>
          <w:sz w:val="18"/>
          <w:lang w:val="pt-PT"/>
        </w:rPr>
        <w:t xml:space="preserve"> </w:t>
      </w:r>
      <w:r w:rsidRPr="00203383">
        <w:rPr>
          <w:rFonts w:ascii="Trebuchet MS" w:hAnsi="Trebuchet MS"/>
          <w:color w:val="585858"/>
          <w:sz w:val="18"/>
          <w:lang w:val="pt-PT"/>
        </w:rPr>
        <w:t>secundaria</w:t>
      </w:r>
      <w:r w:rsidRPr="00203383">
        <w:rPr>
          <w:rFonts w:ascii="Trebuchet MS" w:hAnsi="Trebuchet MS"/>
          <w:color w:val="585858"/>
          <w:spacing w:val="-18"/>
          <w:sz w:val="18"/>
          <w:lang w:val="pt-PT"/>
        </w:rPr>
        <w:t xml:space="preserve"> </w:t>
      </w:r>
      <w:r w:rsidRPr="00203383">
        <w:rPr>
          <w:rFonts w:ascii="Trebuchet MS" w:hAnsi="Trebuchet MS"/>
          <w:color w:val="585858"/>
          <w:sz w:val="18"/>
          <w:lang w:val="pt-PT"/>
        </w:rPr>
        <w:t xml:space="preserve">o </w:t>
      </w:r>
      <w:r w:rsidRPr="00203383">
        <w:rPr>
          <w:rFonts w:ascii="Trebuchet MS" w:hAnsi="Trebuchet MS"/>
          <w:color w:val="585858"/>
          <w:spacing w:val="-2"/>
          <w:sz w:val="18"/>
          <w:lang w:val="pt-PT"/>
        </w:rPr>
        <w:t>media</w:t>
      </w:r>
    </w:p>
    <w:p w14:paraId="23A00B79" w14:textId="77777777" w:rsidR="000E52B0" w:rsidRPr="00203383" w:rsidRDefault="00F60D74">
      <w:pPr>
        <w:tabs>
          <w:tab w:val="left" w:pos="2104"/>
        </w:tabs>
        <w:spacing w:before="35"/>
        <w:ind w:left="72"/>
        <w:rPr>
          <w:rFonts w:ascii="Trebuchet MS" w:hAnsi="Trebuchet MS"/>
          <w:sz w:val="18"/>
          <w:lang w:val="pt-PT"/>
        </w:rPr>
      </w:pPr>
      <w:r w:rsidRPr="00203383">
        <w:rPr>
          <w:lang w:val="pt-PT"/>
        </w:rPr>
        <w:br w:type="column"/>
      </w:r>
      <w:r w:rsidRPr="00203383">
        <w:rPr>
          <w:rFonts w:ascii="Trebuchet MS" w:hAnsi="Trebuchet MS"/>
          <w:color w:val="585858"/>
          <w:spacing w:val="-4"/>
          <w:sz w:val="18"/>
          <w:lang w:val="pt-PT"/>
        </w:rPr>
        <w:t>Técnico</w:t>
      </w:r>
      <w:r w:rsidRPr="00203383">
        <w:rPr>
          <w:rFonts w:ascii="Trebuchet MS" w:hAnsi="Trebuchet MS"/>
          <w:color w:val="585858"/>
          <w:spacing w:val="-12"/>
          <w:sz w:val="18"/>
          <w:lang w:val="pt-PT"/>
        </w:rPr>
        <w:t xml:space="preserve"> </w:t>
      </w:r>
      <w:r w:rsidRPr="00203383">
        <w:rPr>
          <w:rFonts w:ascii="Trebuchet MS" w:hAnsi="Trebuchet MS"/>
          <w:color w:val="585858"/>
          <w:spacing w:val="-4"/>
          <w:sz w:val="18"/>
          <w:lang w:val="pt-PT"/>
        </w:rPr>
        <w:t>o</w:t>
      </w:r>
      <w:r w:rsidRPr="00203383">
        <w:rPr>
          <w:rFonts w:ascii="Trebuchet MS" w:hAnsi="Trebuchet MS"/>
          <w:color w:val="585858"/>
          <w:spacing w:val="-12"/>
          <w:sz w:val="18"/>
          <w:lang w:val="pt-PT"/>
        </w:rPr>
        <w:t xml:space="preserve"> </w:t>
      </w:r>
      <w:r w:rsidRPr="00203383">
        <w:rPr>
          <w:rFonts w:ascii="Trebuchet MS" w:hAnsi="Trebuchet MS"/>
          <w:color w:val="585858"/>
          <w:spacing w:val="-4"/>
          <w:sz w:val="18"/>
          <w:lang w:val="pt-PT"/>
        </w:rPr>
        <w:t>tecnológico</w:t>
      </w:r>
      <w:r w:rsidRPr="00203383">
        <w:rPr>
          <w:rFonts w:ascii="Trebuchet MS" w:hAnsi="Trebuchet MS"/>
          <w:color w:val="585858"/>
          <w:sz w:val="18"/>
          <w:lang w:val="pt-PT"/>
        </w:rPr>
        <w:tab/>
      </w:r>
      <w:r w:rsidRPr="00203383">
        <w:rPr>
          <w:rFonts w:ascii="Trebuchet MS" w:hAnsi="Trebuchet MS"/>
          <w:color w:val="585858"/>
          <w:spacing w:val="-5"/>
          <w:sz w:val="18"/>
          <w:lang w:val="pt-PT"/>
        </w:rPr>
        <w:t>Universitario</w:t>
      </w:r>
      <w:r w:rsidRPr="00203383">
        <w:rPr>
          <w:rFonts w:ascii="Trebuchet MS" w:hAnsi="Trebuchet MS"/>
          <w:color w:val="585858"/>
          <w:spacing w:val="-3"/>
          <w:sz w:val="18"/>
          <w:lang w:val="pt-PT"/>
        </w:rPr>
        <w:t xml:space="preserve"> </w:t>
      </w:r>
      <w:r w:rsidRPr="00203383">
        <w:rPr>
          <w:rFonts w:ascii="Trebuchet MS" w:hAnsi="Trebuchet MS"/>
          <w:color w:val="585858"/>
          <w:spacing w:val="-10"/>
          <w:sz w:val="18"/>
          <w:lang w:val="pt-PT"/>
        </w:rPr>
        <w:t>o</w:t>
      </w:r>
    </w:p>
    <w:p w14:paraId="4DE4E5BE" w14:textId="77777777" w:rsidR="000E52B0" w:rsidRPr="00203383" w:rsidRDefault="00F60D74">
      <w:pPr>
        <w:spacing w:before="11"/>
        <w:ind w:left="2272"/>
        <w:rPr>
          <w:rFonts w:ascii="Trebuchet MS"/>
          <w:sz w:val="18"/>
          <w:lang w:val="pt-PT"/>
        </w:rPr>
      </w:pPr>
      <w:r w:rsidRPr="00203383">
        <w:rPr>
          <w:rFonts w:ascii="Trebuchet MS"/>
          <w:color w:val="585858"/>
          <w:spacing w:val="-2"/>
          <w:sz w:val="18"/>
          <w:lang w:val="pt-PT"/>
        </w:rPr>
        <w:t>postgrado</w:t>
      </w:r>
    </w:p>
    <w:p w14:paraId="614E7A1F" w14:textId="77777777" w:rsidR="000E52B0" w:rsidRPr="00203383" w:rsidRDefault="000E52B0">
      <w:pPr>
        <w:rPr>
          <w:rFonts w:ascii="Trebuchet MS"/>
          <w:sz w:val="18"/>
          <w:lang w:val="pt-PT"/>
        </w:rPr>
        <w:sectPr w:rsidR="000E52B0" w:rsidRPr="00203383">
          <w:type w:val="continuous"/>
          <w:pgSz w:w="11910" w:h="16840"/>
          <w:pgMar w:top="1340" w:right="720" w:bottom="1280" w:left="720" w:header="0" w:footer="995" w:gutter="0"/>
          <w:cols w:num="3" w:space="720" w:equalWidth="0">
            <w:col w:w="4322" w:space="40"/>
            <w:col w:w="1724" w:space="39"/>
            <w:col w:w="4345"/>
          </w:cols>
        </w:sectPr>
      </w:pPr>
    </w:p>
    <w:p w14:paraId="1AAFD7C6" w14:textId="77777777" w:rsidR="000E52B0" w:rsidRPr="00203383" w:rsidRDefault="000E52B0">
      <w:pPr>
        <w:pStyle w:val="Textoindependiente"/>
        <w:spacing w:before="88"/>
        <w:ind w:left="0"/>
        <w:rPr>
          <w:rFonts w:ascii="Trebuchet MS"/>
          <w:sz w:val="18"/>
          <w:lang w:val="pt-PT"/>
        </w:rPr>
      </w:pPr>
    </w:p>
    <w:p w14:paraId="66F5789B" w14:textId="77777777" w:rsidR="000E52B0" w:rsidRPr="00203383" w:rsidRDefault="00F60D74">
      <w:pPr>
        <w:ind w:right="1"/>
        <w:jc w:val="center"/>
        <w:rPr>
          <w:i/>
          <w:sz w:val="18"/>
          <w:lang w:val="pt-PT"/>
        </w:rPr>
      </w:pPr>
      <w:r w:rsidRPr="00203383">
        <w:rPr>
          <w:i/>
          <w:color w:val="454551"/>
          <w:sz w:val="18"/>
          <w:lang w:val="pt-PT"/>
        </w:rPr>
        <w:t>Fuente</w:t>
      </w:r>
      <w:r w:rsidRPr="00203383">
        <w:rPr>
          <w:i/>
          <w:color w:val="454551"/>
          <w:spacing w:val="-1"/>
          <w:sz w:val="18"/>
          <w:lang w:val="pt-PT"/>
        </w:rPr>
        <w:t xml:space="preserve"> </w:t>
      </w:r>
      <w:r w:rsidRPr="00203383">
        <w:rPr>
          <w:i/>
          <w:color w:val="454551"/>
          <w:sz w:val="18"/>
          <w:lang w:val="pt-PT"/>
        </w:rPr>
        <w:t>13.</w:t>
      </w:r>
      <w:r w:rsidRPr="00203383">
        <w:rPr>
          <w:i/>
          <w:color w:val="454551"/>
          <w:spacing w:val="-4"/>
          <w:sz w:val="18"/>
          <w:lang w:val="pt-PT"/>
        </w:rPr>
        <w:t xml:space="preserve"> </w:t>
      </w:r>
      <w:r w:rsidRPr="00203383">
        <w:rPr>
          <w:i/>
          <w:color w:val="454551"/>
          <w:sz w:val="18"/>
          <w:lang w:val="pt-PT"/>
        </w:rPr>
        <w:t>Elaboración</w:t>
      </w:r>
      <w:r w:rsidRPr="00203383">
        <w:rPr>
          <w:i/>
          <w:color w:val="454551"/>
          <w:spacing w:val="-2"/>
          <w:sz w:val="18"/>
          <w:lang w:val="pt-PT"/>
        </w:rPr>
        <w:t xml:space="preserve"> </w:t>
      </w:r>
      <w:r w:rsidRPr="00203383">
        <w:rPr>
          <w:i/>
          <w:color w:val="454551"/>
          <w:sz w:val="18"/>
          <w:lang w:val="pt-PT"/>
        </w:rPr>
        <w:t>propia.</w:t>
      </w:r>
      <w:r w:rsidRPr="00203383">
        <w:rPr>
          <w:i/>
          <w:color w:val="454551"/>
          <w:spacing w:val="-3"/>
          <w:sz w:val="18"/>
          <w:lang w:val="pt-PT"/>
        </w:rPr>
        <w:t xml:space="preserve"> </w:t>
      </w:r>
      <w:r w:rsidRPr="00203383">
        <w:rPr>
          <w:i/>
          <w:color w:val="454551"/>
          <w:sz w:val="18"/>
          <w:lang w:val="pt-PT"/>
        </w:rPr>
        <w:t>Datos:</w:t>
      </w:r>
      <w:r w:rsidRPr="00203383">
        <w:rPr>
          <w:i/>
          <w:color w:val="454551"/>
          <w:spacing w:val="-4"/>
          <w:sz w:val="18"/>
          <w:lang w:val="pt-PT"/>
        </w:rPr>
        <w:t xml:space="preserve"> </w:t>
      </w:r>
      <w:r w:rsidRPr="00203383">
        <w:rPr>
          <w:i/>
          <w:color w:val="454551"/>
          <w:sz w:val="18"/>
          <w:lang w:val="pt-PT"/>
        </w:rPr>
        <w:t>ECV</w:t>
      </w:r>
      <w:r w:rsidRPr="00203383">
        <w:rPr>
          <w:i/>
          <w:color w:val="454551"/>
          <w:spacing w:val="-4"/>
          <w:sz w:val="18"/>
          <w:lang w:val="pt-PT"/>
        </w:rPr>
        <w:t xml:space="preserve"> </w:t>
      </w:r>
      <w:r w:rsidRPr="00203383">
        <w:rPr>
          <w:i/>
          <w:color w:val="454551"/>
          <w:sz w:val="18"/>
          <w:lang w:val="pt-PT"/>
        </w:rPr>
        <w:t>2022 –</w:t>
      </w:r>
      <w:r w:rsidRPr="00203383">
        <w:rPr>
          <w:i/>
          <w:color w:val="454551"/>
          <w:spacing w:val="-1"/>
          <w:sz w:val="18"/>
          <w:lang w:val="pt-PT"/>
        </w:rPr>
        <w:t xml:space="preserve"> </w:t>
      </w:r>
      <w:r w:rsidRPr="00203383">
        <w:rPr>
          <w:i/>
          <w:color w:val="454551"/>
          <w:spacing w:val="-4"/>
          <w:sz w:val="18"/>
          <w:lang w:val="pt-PT"/>
        </w:rPr>
        <w:t>DANE</w:t>
      </w:r>
    </w:p>
    <w:p w14:paraId="7220BC8E" w14:textId="77777777" w:rsidR="000E52B0" w:rsidRDefault="00F60D74">
      <w:pPr>
        <w:pStyle w:val="Textoindependiente"/>
        <w:spacing w:before="201"/>
        <w:ind w:right="718"/>
        <w:jc w:val="both"/>
      </w:pPr>
      <w:r>
        <w:t>Las</w:t>
      </w:r>
      <w:r>
        <w:rPr>
          <w:spacing w:val="-12"/>
        </w:rPr>
        <w:t xml:space="preserve"> </w:t>
      </w:r>
      <w:r>
        <w:t>brechas</w:t>
      </w:r>
      <w:r>
        <w:rPr>
          <w:spacing w:val="-12"/>
        </w:rPr>
        <w:t xml:space="preserve"> </w:t>
      </w:r>
      <w:r>
        <w:t>en</w:t>
      </w:r>
      <w:r>
        <w:rPr>
          <w:spacing w:val="-12"/>
        </w:rPr>
        <w:t xml:space="preserve"> </w:t>
      </w:r>
      <w:r>
        <w:t>acceso</w:t>
      </w:r>
      <w:r>
        <w:rPr>
          <w:spacing w:val="-11"/>
        </w:rPr>
        <w:t xml:space="preserve"> </w:t>
      </w:r>
      <w:r>
        <w:t>a</w:t>
      </w:r>
      <w:r>
        <w:rPr>
          <w:spacing w:val="-11"/>
        </w:rPr>
        <w:t xml:space="preserve"> </w:t>
      </w:r>
      <w:r>
        <w:t>educación</w:t>
      </w:r>
      <w:r>
        <w:rPr>
          <w:spacing w:val="-12"/>
        </w:rPr>
        <w:t xml:space="preserve"> </w:t>
      </w:r>
      <w:r>
        <w:t>son</w:t>
      </w:r>
      <w:r>
        <w:rPr>
          <w:spacing w:val="-9"/>
        </w:rPr>
        <w:t xml:space="preserve"> </w:t>
      </w:r>
      <w:r>
        <w:t>más</w:t>
      </w:r>
      <w:r>
        <w:rPr>
          <w:spacing w:val="-12"/>
        </w:rPr>
        <w:t xml:space="preserve"> </w:t>
      </w:r>
      <w:r>
        <w:t>visibles</w:t>
      </w:r>
      <w:r>
        <w:rPr>
          <w:spacing w:val="-11"/>
        </w:rPr>
        <w:t xml:space="preserve"> </w:t>
      </w:r>
      <w:r>
        <w:t>entre</w:t>
      </w:r>
      <w:r>
        <w:rPr>
          <w:spacing w:val="-10"/>
        </w:rPr>
        <w:t xml:space="preserve"> </w:t>
      </w:r>
      <w:r>
        <w:t>quienes</w:t>
      </w:r>
      <w:r>
        <w:rPr>
          <w:spacing w:val="-11"/>
        </w:rPr>
        <w:t xml:space="preserve"> </w:t>
      </w:r>
      <w:r>
        <w:t>viven</w:t>
      </w:r>
      <w:r>
        <w:rPr>
          <w:spacing w:val="-11"/>
        </w:rPr>
        <w:t xml:space="preserve"> </w:t>
      </w:r>
      <w:r>
        <w:t>en centros</w:t>
      </w:r>
      <w:r>
        <w:rPr>
          <w:spacing w:val="-8"/>
        </w:rPr>
        <w:t xml:space="preserve"> </w:t>
      </w:r>
      <w:r>
        <w:t>urbanos,</w:t>
      </w:r>
      <w:r>
        <w:rPr>
          <w:spacing w:val="-9"/>
        </w:rPr>
        <w:t xml:space="preserve"> </w:t>
      </w:r>
      <w:r>
        <w:t>y</w:t>
      </w:r>
      <w:r>
        <w:rPr>
          <w:spacing w:val="-4"/>
        </w:rPr>
        <w:t xml:space="preserve"> </w:t>
      </w:r>
      <w:r>
        <w:t>quienes</w:t>
      </w:r>
      <w:r>
        <w:rPr>
          <w:spacing w:val="-7"/>
        </w:rPr>
        <w:t xml:space="preserve"> </w:t>
      </w:r>
      <w:r>
        <w:t>viven</w:t>
      </w:r>
      <w:r>
        <w:rPr>
          <w:spacing w:val="-8"/>
        </w:rPr>
        <w:t xml:space="preserve"> </w:t>
      </w:r>
      <w:r>
        <w:t>en</w:t>
      </w:r>
      <w:r>
        <w:rPr>
          <w:spacing w:val="-8"/>
        </w:rPr>
        <w:t xml:space="preserve"> </w:t>
      </w:r>
      <w:r>
        <w:t>centros</w:t>
      </w:r>
      <w:r>
        <w:rPr>
          <w:spacing w:val="-8"/>
        </w:rPr>
        <w:t xml:space="preserve"> </w:t>
      </w:r>
      <w:r>
        <w:t>poblados</w:t>
      </w:r>
      <w:r>
        <w:rPr>
          <w:spacing w:val="-8"/>
        </w:rPr>
        <w:t xml:space="preserve"> </w:t>
      </w:r>
      <w:r>
        <w:t>y</w:t>
      </w:r>
      <w:r>
        <w:rPr>
          <w:spacing w:val="-8"/>
        </w:rPr>
        <w:t xml:space="preserve"> </w:t>
      </w:r>
      <w:r>
        <w:t>áreas</w:t>
      </w:r>
      <w:r>
        <w:rPr>
          <w:spacing w:val="-8"/>
        </w:rPr>
        <w:t xml:space="preserve"> </w:t>
      </w:r>
      <w:r>
        <w:t>rurales:</w:t>
      </w:r>
      <w:r>
        <w:rPr>
          <w:spacing w:val="-9"/>
        </w:rPr>
        <w:t xml:space="preserve"> </w:t>
      </w:r>
      <w:r>
        <w:t>solo 1% de las personas entre 14 y 28 años de cabeceras y territorios rurales dispersos tienen educación superior, en comparación con un 14% en los territorios urbanos. En los territorios rurales también hay diferencias por sexo, las mujeres jóvenes tienen más nivel educativo, que los hombres jóvenes, el 28% de las mujeres jóvenes tienen educación técnica, tecnológica o superior en comparación con un 20% en los hombres. Sin embargo, las diferencias por sexo son mayores. La diferencia de hombres con educación preescolar básica y primaria en zonas rurales y mujeres de zonas rurales con estos niveles educativos es de 10 p.p., siendo más frecuente en ellos, mientras que en zonas urbanas es solo de 2,3 p.p.</w:t>
      </w:r>
    </w:p>
    <w:p w14:paraId="6CEE8327" w14:textId="77777777" w:rsidR="000E52B0" w:rsidRDefault="000E52B0">
      <w:pPr>
        <w:pStyle w:val="Textoindependiente"/>
        <w:ind w:left="0"/>
        <w:rPr>
          <w:sz w:val="20"/>
        </w:rPr>
      </w:pPr>
    </w:p>
    <w:p w14:paraId="152A5AD8" w14:textId="77777777" w:rsidR="000E52B0" w:rsidRDefault="000E52B0">
      <w:pPr>
        <w:pStyle w:val="Textoindependiente"/>
        <w:ind w:left="0"/>
        <w:rPr>
          <w:sz w:val="20"/>
        </w:rPr>
      </w:pPr>
    </w:p>
    <w:p w14:paraId="14EBC4B2" w14:textId="77777777" w:rsidR="000E52B0" w:rsidRDefault="000E52B0">
      <w:pPr>
        <w:pStyle w:val="Textoindependiente"/>
        <w:ind w:left="0"/>
        <w:rPr>
          <w:sz w:val="20"/>
        </w:rPr>
      </w:pPr>
    </w:p>
    <w:p w14:paraId="33E5AB4B" w14:textId="77777777" w:rsidR="000E52B0" w:rsidRDefault="000E52B0">
      <w:pPr>
        <w:pStyle w:val="Textoindependiente"/>
        <w:ind w:left="0"/>
        <w:rPr>
          <w:sz w:val="20"/>
        </w:rPr>
      </w:pPr>
    </w:p>
    <w:p w14:paraId="0CE932CB" w14:textId="77777777" w:rsidR="000E52B0" w:rsidRDefault="000E52B0">
      <w:pPr>
        <w:pStyle w:val="Textoindependiente"/>
        <w:ind w:left="0"/>
        <w:rPr>
          <w:sz w:val="20"/>
        </w:rPr>
      </w:pPr>
    </w:p>
    <w:p w14:paraId="694E415A" w14:textId="77777777" w:rsidR="000E52B0" w:rsidRDefault="000E52B0">
      <w:pPr>
        <w:pStyle w:val="Textoindependiente"/>
        <w:ind w:left="0"/>
        <w:rPr>
          <w:sz w:val="20"/>
        </w:rPr>
      </w:pPr>
    </w:p>
    <w:p w14:paraId="7A2E0EF4" w14:textId="77777777" w:rsidR="000E52B0" w:rsidRDefault="000E52B0">
      <w:pPr>
        <w:pStyle w:val="Textoindependiente"/>
        <w:ind w:left="0"/>
        <w:rPr>
          <w:sz w:val="20"/>
        </w:rPr>
      </w:pPr>
    </w:p>
    <w:p w14:paraId="5400B11B" w14:textId="77777777" w:rsidR="000E52B0" w:rsidRDefault="00F60D74">
      <w:pPr>
        <w:pStyle w:val="Textoindependiente"/>
        <w:spacing w:before="70"/>
        <w:ind w:left="0"/>
        <w:rPr>
          <w:sz w:val="20"/>
        </w:rPr>
      </w:pPr>
      <w:r>
        <w:rPr>
          <w:noProof/>
          <w:sz w:val="20"/>
        </w:rPr>
        <mc:AlternateContent>
          <mc:Choice Requires="wps">
            <w:drawing>
              <wp:anchor distT="0" distB="0" distL="0" distR="0" simplePos="0" relativeHeight="487626752" behindDoc="1" locked="0" layoutInCell="1" allowOverlap="1" wp14:anchorId="3651E7CA" wp14:editId="7F360858">
                <wp:simplePos x="0" y="0"/>
                <wp:positionH relativeFrom="page">
                  <wp:posOffset>914704</wp:posOffset>
                </wp:positionH>
                <wp:positionV relativeFrom="paragraph">
                  <wp:posOffset>214337</wp:posOffset>
                </wp:positionV>
                <wp:extent cx="1829435" cy="7620"/>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F4053A" id="Graphic 209" o:spid="_x0000_s1026" style="position:absolute;margin-left:1in;margin-top:16.9pt;width:144.05pt;height:.6pt;z-index:-156897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" path="m1829054,l,,,7619r1829054,l1829054,xe" fillcolor="black" stroked="f">
                <v:path arrowok="t"/>
                <w10:wrap type="topAndBottom" anchorx="page"/>
              </v:shape>
            </w:pict>
          </mc:Fallback>
        </mc:AlternateContent>
      </w:r>
    </w:p>
    <w:p w14:paraId="39974C6C" w14:textId="77777777" w:rsidR="000E52B0" w:rsidRDefault="00F60D74">
      <w:pPr>
        <w:spacing w:before="96"/>
        <w:ind w:left="720" w:right="722"/>
        <w:jc w:val="both"/>
        <w:rPr>
          <w:rFonts w:ascii="Arial MT" w:hAnsi="Arial MT"/>
          <w:sz w:val="18"/>
        </w:rPr>
      </w:pPr>
      <w:bookmarkStart w:id="40" w:name="_bookmark40"/>
      <w:bookmarkEnd w:id="40"/>
      <w:r>
        <w:rPr>
          <w:rFonts w:ascii="Arial MT" w:hAnsi="Arial MT"/>
          <w:position w:val="6"/>
          <w:sz w:val="12"/>
        </w:rPr>
        <w:t>35</w:t>
      </w:r>
      <w:r>
        <w:rPr>
          <w:rFonts w:ascii="Arial MT" w:hAnsi="Arial MT"/>
          <w:spacing w:val="35"/>
          <w:position w:val="6"/>
          <w:sz w:val="12"/>
        </w:rPr>
        <w:t xml:space="preserve"> </w:t>
      </w:r>
      <w:r>
        <w:rPr>
          <w:rFonts w:ascii="Arial MT" w:hAnsi="Arial MT"/>
          <w:sz w:val="18"/>
        </w:rPr>
        <w:t xml:space="preserve">Aparicio, Pablo Christian. Educación y jóvenes en contextos de desigualdad socioeconómica. Tendencias y perspectivas en América Latina </w:t>
      </w:r>
      <w:proofErr w:type="spellStart"/>
      <w:r>
        <w:rPr>
          <w:rFonts w:ascii="Arial MT" w:hAnsi="Arial MT"/>
          <w:sz w:val="18"/>
        </w:rPr>
        <w:t>Education</w:t>
      </w:r>
      <w:proofErr w:type="spellEnd"/>
      <w:r>
        <w:rPr>
          <w:rFonts w:ascii="Arial MT" w:hAnsi="Arial MT"/>
          <w:sz w:val="18"/>
        </w:rPr>
        <w:t xml:space="preserve"> </w:t>
      </w:r>
      <w:proofErr w:type="spellStart"/>
      <w:r>
        <w:rPr>
          <w:rFonts w:ascii="Arial MT" w:hAnsi="Arial MT"/>
          <w:sz w:val="18"/>
        </w:rPr>
        <w:t>Policy</w:t>
      </w:r>
      <w:proofErr w:type="spellEnd"/>
      <w:r>
        <w:rPr>
          <w:rFonts w:ascii="Arial MT" w:hAnsi="Arial MT"/>
          <w:sz w:val="18"/>
        </w:rPr>
        <w:t xml:space="preserve"> </w:t>
      </w:r>
      <w:proofErr w:type="spellStart"/>
      <w:r>
        <w:rPr>
          <w:rFonts w:ascii="Arial MT" w:hAnsi="Arial MT"/>
          <w:sz w:val="18"/>
        </w:rPr>
        <w:t>Analysis</w:t>
      </w:r>
      <w:proofErr w:type="spellEnd"/>
      <w:r>
        <w:rPr>
          <w:rFonts w:ascii="Arial MT" w:hAnsi="Arial MT"/>
          <w:sz w:val="18"/>
        </w:rPr>
        <w:t xml:space="preserve"> Archives/Archivos Analíticos de Políticas Educativas, vol. 17, enero-diciembre, 2009, pp. 1-35. Disponible en: https:/</w:t>
      </w:r>
      <w:hyperlink r:id="rId104">
        <w:r w:rsidR="000E52B0">
          <w:rPr>
            <w:rFonts w:ascii="Arial MT" w:hAnsi="Arial MT"/>
            <w:sz w:val="18"/>
          </w:rPr>
          <w:t>/www.redalyc.org/pdf/2750/275019727012.pdf</w:t>
        </w:r>
      </w:hyperlink>
    </w:p>
    <w:p w14:paraId="7C5BAF7C" w14:textId="77777777" w:rsidR="000E52B0" w:rsidRDefault="000E52B0">
      <w:pPr>
        <w:jc w:val="both"/>
        <w:rPr>
          <w:rFonts w:ascii="Arial MT" w:hAnsi="Arial MT"/>
          <w:sz w:val="18"/>
        </w:rPr>
        <w:sectPr w:rsidR="000E52B0">
          <w:type w:val="continuous"/>
          <w:pgSz w:w="11910" w:h="16840"/>
          <w:pgMar w:top="1340" w:right="720" w:bottom="1280" w:left="720" w:header="0" w:footer="995" w:gutter="0"/>
          <w:cols w:space="720"/>
        </w:sectPr>
      </w:pPr>
    </w:p>
    <w:p w14:paraId="64682999" w14:textId="77777777" w:rsidR="000E52B0" w:rsidRDefault="00F60D74">
      <w:pPr>
        <w:spacing w:before="80"/>
        <w:ind w:left="720"/>
        <w:rPr>
          <w:i/>
          <w:sz w:val="18"/>
        </w:rPr>
      </w:pPr>
      <w:r>
        <w:rPr>
          <w:i/>
          <w:color w:val="454551"/>
          <w:sz w:val="18"/>
        </w:rPr>
        <w:lastRenderedPageBreak/>
        <w:t>Ilustración</w:t>
      </w:r>
      <w:r>
        <w:rPr>
          <w:i/>
          <w:color w:val="454551"/>
          <w:spacing w:val="-3"/>
          <w:sz w:val="18"/>
        </w:rPr>
        <w:t xml:space="preserve"> </w:t>
      </w:r>
      <w:r>
        <w:rPr>
          <w:i/>
          <w:color w:val="454551"/>
          <w:sz w:val="18"/>
        </w:rPr>
        <w:t>24.</w:t>
      </w:r>
      <w:r>
        <w:rPr>
          <w:i/>
          <w:color w:val="454551"/>
          <w:spacing w:val="-4"/>
          <w:sz w:val="18"/>
        </w:rPr>
        <w:t xml:space="preserve"> </w:t>
      </w:r>
      <w:r>
        <w:rPr>
          <w:i/>
          <w:color w:val="454551"/>
          <w:sz w:val="18"/>
        </w:rPr>
        <w:t>Nivel</w:t>
      </w:r>
      <w:r>
        <w:rPr>
          <w:i/>
          <w:color w:val="454551"/>
          <w:spacing w:val="-2"/>
          <w:sz w:val="18"/>
        </w:rPr>
        <w:t xml:space="preserve"> </w:t>
      </w:r>
      <w:r>
        <w:rPr>
          <w:i/>
          <w:color w:val="454551"/>
          <w:sz w:val="18"/>
        </w:rPr>
        <w:t>educativo</w:t>
      </w:r>
      <w:r>
        <w:rPr>
          <w:i/>
          <w:color w:val="454551"/>
          <w:spacing w:val="-2"/>
          <w:sz w:val="18"/>
        </w:rPr>
        <w:t xml:space="preserve"> </w:t>
      </w:r>
      <w:r>
        <w:rPr>
          <w:i/>
          <w:color w:val="454551"/>
          <w:sz w:val="18"/>
        </w:rPr>
        <w:t>más</w:t>
      </w:r>
      <w:r>
        <w:rPr>
          <w:i/>
          <w:color w:val="454551"/>
          <w:spacing w:val="-3"/>
          <w:sz w:val="18"/>
        </w:rPr>
        <w:t xml:space="preserve"> </w:t>
      </w:r>
      <w:r>
        <w:rPr>
          <w:i/>
          <w:color w:val="454551"/>
          <w:sz w:val="18"/>
        </w:rPr>
        <w:t>alto</w:t>
      </w:r>
      <w:r>
        <w:rPr>
          <w:i/>
          <w:color w:val="454551"/>
          <w:spacing w:val="-2"/>
          <w:sz w:val="18"/>
        </w:rPr>
        <w:t xml:space="preserve"> </w:t>
      </w:r>
      <w:r>
        <w:rPr>
          <w:i/>
          <w:color w:val="454551"/>
          <w:sz w:val="18"/>
        </w:rPr>
        <w:t>por</w:t>
      </w:r>
      <w:r>
        <w:rPr>
          <w:i/>
          <w:color w:val="454551"/>
          <w:spacing w:val="-3"/>
          <w:sz w:val="18"/>
        </w:rPr>
        <w:t xml:space="preserve"> </w:t>
      </w:r>
      <w:r>
        <w:rPr>
          <w:i/>
          <w:color w:val="454551"/>
          <w:sz w:val="18"/>
        </w:rPr>
        <w:t>sexo</w:t>
      </w:r>
      <w:r>
        <w:rPr>
          <w:i/>
          <w:color w:val="454551"/>
          <w:spacing w:val="-3"/>
          <w:sz w:val="18"/>
        </w:rPr>
        <w:t xml:space="preserve"> </w:t>
      </w:r>
      <w:r>
        <w:rPr>
          <w:i/>
          <w:color w:val="454551"/>
          <w:sz w:val="18"/>
        </w:rPr>
        <w:t>y</w:t>
      </w:r>
      <w:r>
        <w:rPr>
          <w:i/>
          <w:color w:val="454551"/>
          <w:spacing w:val="-3"/>
          <w:sz w:val="18"/>
        </w:rPr>
        <w:t xml:space="preserve"> </w:t>
      </w:r>
      <w:r>
        <w:rPr>
          <w:i/>
          <w:color w:val="454551"/>
          <w:sz w:val="18"/>
        </w:rPr>
        <w:t>clase</w:t>
      </w:r>
      <w:r>
        <w:rPr>
          <w:i/>
          <w:color w:val="454551"/>
          <w:spacing w:val="-3"/>
          <w:sz w:val="18"/>
        </w:rPr>
        <w:t xml:space="preserve"> </w:t>
      </w:r>
      <w:r>
        <w:rPr>
          <w:i/>
          <w:color w:val="454551"/>
          <w:sz w:val="18"/>
        </w:rPr>
        <w:t>territorial</w:t>
      </w:r>
      <w:r>
        <w:rPr>
          <w:i/>
          <w:color w:val="454551"/>
          <w:spacing w:val="-2"/>
          <w:sz w:val="18"/>
        </w:rPr>
        <w:t xml:space="preserve"> </w:t>
      </w:r>
      <w:r>
        <w:rPr>
          <w:i/>
          <w:color w:val="454551"/>
          <w:sz w:val="18"/>
        </w:rPr>
        <w:t>para</w:t>
      </w:r>
      <w:r>
        <w:rPr>
          <w:i/>
          <w:color w:val="454551"/>
          <w:spacing w:val="-4"/>
          <w:sz w:val="18"/>
        </w:rPr>
        <w:t xml:space="preserve"> </w:t>
      </w:r>
      <w:r>
        <w:rPr>
          <w:i/>
          <w:color w:val="454551"/>
          <w:sz w:val="18"/>
        </w:rPr>
        <w:t>personas</w:t>
      </w:r>
      <w:r>
        <w:rPr>
          <w:i/>
          <w:color w:val="454551"/>
          <w:spacing w:val="-3"/>
          <w:sz w:val="18"/>
        </w:rPr>
        <w:t xml:space="preserve"> </w:t>
      </w:r>
      <w:r>
        <w:rPr>
          <w:i/>
          <w:color w:val="454551"/>
          <w:sz w:val="18"/>
        </w:rPr>
        <w:t>de</w:t>
      </w:r>
      <w:r>
        <w:rPr>
          <w:i/>
          <w:color w:val="454551"/>
          <w:spacing w:val="-3"/>
          <w:sz w:val="18"/>
        </w:rPr>
        <w:t xml:space="preserve"> </w:t>
      </w:r>
      <w:r>
        <w:rPr>
          <w:i/>
          <w:color w:val="454551"/>
          <w:sz w:val="18"/>
        </w:rPr>
        <w:t>14</w:t>
      </w:r>
      <w:r>
        <w:rPr>
          <w:i/>
          <w:color w:val="454551"/>
          <w:spacing w:val="-3"/>
          <w:sz w:val="18"/>
        </w:rPr>
        <w:t xml:space="preserve"> </w:t>
      </w:r>
      <w:r>
        <w:rPr>
          <w:i/>
          <w:color w:val="454551"/>
          <w:sz w:val="18"/>
        </w:rPr>
        <w:t>a</w:t>
      </w:r>
      <w:r>
        <w:rPr>
          <w:i/>
          <w:color w:val="454551"/>
          <w:spacing w:val="-3"/>
          <w:sz w:val="18"/>
        </w:rPr>
        <w:t xml:space="preserve"> </w:t>
      </w:r>
      <w:r>
        <w:rPr>
          <w:i/>
          <w:color w:val="454551"/>
          <w:sz w:val="18"/>
        </w:rPr>
        <w:t>28</w:t>
      </w:r>
      <w:r>
        <w:rPr>
          <w:i/>
          <w:color w:val="454551"/>
          <w:spacing w:val="-2"/>
          <w:sz w:val="18"/>
        </w:rPr>
        <w:t xml:space="preserve"> años.</w:t>
      </w:r>
    </w:p>
    <w:p w14:paraId="0B10AEAC" w14:textId="77777777" w:rsidR="000E52B0" w:rsidRDefault="000E52B0">
      <w:pPr>
        <w:pStyle w:val="Textoindependiente"/>
        <w:ind w:left="0"/>
        <w:rPr>
          <w:i/>
          <w:sz w:val="18"/>
        </w:rPr>
      </w:pPr>
    </w:p>
    <w:p w14:paraId="1A09B907" w14:textId="77777777" w:rsidR="000E52B0" w:rsidRDefault="000E52B0">
      <w:pPr>
        <w:pStyle w:val="Textoindependiente"/>
        <w:spacing w:before="186"/>
        <w:ind w:left="0"/>
        <w:rPr>
          <w:i/>
          <w:sz w:val="18"/>
        </w:rPr>
      </w:pPr>
    </w:p>
    <w:p w14:paraId="020C1265" w14:textId="77777777" w:rsidR="000E52B0" w:rsidRDefault="00F60D74">
      <w:pPr>
        <w:spacing w:before="1"/>
        <w:ind w:right="1427"/>
        <w:jc w:val="right"/>
        <w:rPr>
          <w:rFonts w:ascii="Trebuchet MS"/>
          <w:sz w:val="18"/>
        </w:rPr>
      </w:pPr>
      <w:r>
        <w:rPr>
          <w:rFonts w:ascii="Trebuchet MS"/>
          <w:noProof/>
          <w:sz w:val="18"/>
        </w:rPr>
        <mc:AlternateContent>
          <mc:Choice Requires="wpg">
            <w:drawing>
              <wp:anchor distT="0" distB="0" distL="0" distR="0" simplePos="0" relativeHeight="15768576" behindDoc="0" locked="0" layoutInCell="1" allowOverlap="1" wp14:anchorId="56EB219C" wp14:editId="15755170">
                <wp:simplePos x="0" y="0"/>
                <wp:positionH relativeFrom="page">
                  <wp:posOffset>1027074</wp:posOffset>
                </wp:positionH>
                <wp:positionV relativeFrom="paragraph">
                  <wp:posOffset>-88823</wp:posOffset>
                </wp:positionV>
                <wp:extent cx="4492625" cy="1456055"/>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2625" cy="1456055"/>
                          <a:chOff x="0" y="0"/>
                          <a:chExt cx="4492625" cy="1456055"/>
                        </a:xfrm>
                      </wpg:grpSpPr>
                      <wps:wsp>
                        <wps:cNvPr id="211" name="Graphic 211"/>
                        <wps:cNvSpPr/>
                        <wps:spPr>
                          <a:xfrm>
                            <a:off x="149453" y="1395983"/>
                            <a:ext cx="3503929" cy="55244"/>
                          </a:xfrm>
                          <a:custGeom>
                            <a:avLst/>
                            <a:gdLst/>
                            <a:ahLst/>
                            <a:cxnLst/>
                            <a:rect l="l" t="t" r="r" b="b"/>
                            <a:pathLst>
                              <a:path w="3503929" h="55244">
                                <a:moveTo>
                                  <a:pt x="135636" y="50292"/>
                                </a:moveTo>
                                <a:lnTo>
                                  <a:pt x="0" y="50292"/>
                                </a:lnTo>
                                <a:lnTo>
                                  <a:pt x="0" y="54864"/>
                                </a:lnTo>
                                <a:lnTo>
                                  <a:pt x="135636" y="54864"/>
                                </a:lnTo>
                                <a:lnTo>
                                  <a:pt x="135636" y="50292"/>
                                </a:lnTo>
                                <a:close/>
                              </a:path>
                              <a:path w="3503929" h="55244">
                                <a:moveTo>
                                  <a:pt x="1257300" y="50292"/>
                                </a:moveTo>
                                <a:lnTo>
                                  <a:pt x="1121664" y="50292"/>
                                </a:lnTo>
                                <a:lnTo>
                                  <a:pt x="1121664" y="54864"/>
                                </a:lnTo>
                                <a:lnTo>
                                  <a:pt x="1257300" y="54864"/>
                                </a:lnTo>
                                <a:lnTo>
                                  <a:pt x="1257300" y="50292"/>
                                </a:lnTo>
                                <a:close/>
                              </a:path>
                              <a:path w="3503929" h="55244">
                                <a:moveTo>
                                  <a:pt x="2380488" y="0"/>
                                </a:moveTo>
                                <a:lnTo>
                                  <a:pt x="2244852" y="0"/>
                                </a:lnTo>
                                <a:lnTo>
                                  <a:pt x="2244852" y="54864"/>
                                </a:lnTo>
                                <a:lnTo>
                                  <a:pt x="2380488" y="54864"/>
                                </a:lnTo>
                                <a:lnTo>
                                  <a:pt x="2380488" y="0"/>
                                </a:lnTo>
                                <a:close/>
                              </a:path>
                              <a:path w="3503929" h="55244">
                                <a:moveTo>
                                  <a:pt x="3503676" y="15240"/>
                                </a:moveTo>
                                <a:lnTo>
                                  <a:pt x="3368040" y="15240"/>
                                </a:lnTo>
                                <a:lnTo>
                                  <a:pt x="3368040" y="54864"/>
                                </a:lnTo>
                                <a:lnTo>
                                  <a:pt x="3503676" y="54864"/>
                                </a:lnTo>
                                <a:lnTo>
                                  <a:pt x="3503676" y="15240"/>
                                </a:lnTo>
                                <a:close/>
                              </a:path>
                            </a:pathLst>
                          </a:custGeom>
                          <a:solidFill>
                            <a:srgbClr val="E22C91"/>
                          </a:solidFill>
                        </wps:spPr>
                        <wps:bodyPr wrap="square" lIns="0" tIns="0" rIns="0" bIns="0" rtlCol="0">
                          <a:prstTxWarp prst="textNoShape">
                            <a:avLst/>
                          </a:prstTxWarp>
                          <a:noAutofit/>
                        </wps:bodyPr>
                      </wps:wsp>
                      <wps:wsp>
                        <wps:cNvPr id="212" name="Graphic 212"/>
                        <wps:cNvSpPr/>
                        <wps:spPr>
                          <a:xfrm>
                            <a:off x="321665" y="999743"/>
                            <a:ext cx="3503929" cy="451484"/>
                          </a:xfrm>
                          <a:custGeom>
                            <a:avLst/>
                            <a:gdLst/>
                            <a:ahLst/>
                            <a:cxnLst/>
                            <a:rect l="l" t="t" r="r" b="b"/>
                            <a:pathLst>
                              <a:path w="3503929" h="451484">
                                <a:moveTo>
                                  <a:pt x="135636" y="341376"/>
                                </a:moveTo>
                                <a:lnTo>
                                  <a:pt x="0" y="341376"/>
                                </a:lnTo>
                                <a:lnTo>
                                  <a:pt x="0" y="451104"/>
                                </a:lnTo>
                                <a:lnTo>
                                  <a:pt x="135636" y="451104"/>
                                </a:lnTo>
                                <a:lnTo>
                                  <a:pt x="135636" y="341376"/>
                                </a:lnTo>
                                <a:close/>
                              </a:path>
                              <a:path w="3503929" h="451484">
                                <a:moveTo>
                                  <a:pt x="1258824" y="385572"/>
                                </a:moveTo>
                                <a:lnTo>
                                  <a:pt x="1123188" y="385572"/>
                                </a:lnTo>
                                <a:lnTo>
                                  <a:pt x="1123188" y="451104"/>
                                </a:lnTo>
                                <a:lnTo>
                                  <a:pt x="1258824" y="451104"/>
                                </a:lnTo>
                                <a:lnTo>
                                  <a:pt x="1258824" y="385572"/>
                                </a:lnTo>
                                <a:close/>
                              </a:path>
                              <a:path w="3503929" h="451484">
                                <a:moveTo>
                                  <a:pt x="2382012" y="0"/>
                                </a:moveTo>
                                <a:lnTo>
                                  <a:pt x="2244852" y="0"/>
                                </a:lnTo>
                                <a:lnTo>
                                  <a:pt x="2244852" y="451104"/>
                                </a:lnTo>
                                <a:lnTo>
                                  <a:pt x="2382012" y="451104"/>
                                </a:lnTo>
                                <a:lnTo>
                                  <a:pt x="2382012" y="0"/>
                                </a:lnTo>
                                <a:close/>
                              </a:path>
                              <a:path w="3503929" h="451484">
                                <a:moveTo>
                                  <a:pt x="3503676" y="190500"/>
                                </a:moveTo>
                                <a:lnTo>
                                  <a:pt x="3368040" y="190500"/>
                                </a:lnTo>
                                <a:lnTo>
                                  <a:pt x="3368040" y="451104"/>
                                </a:lnTo>
                                <a:lnTo>
                                  <a:pt x="3503676" y="451104"/>
                                </a:lnTo>
                                <a:lnTo>
                                  <a:pt x="3503676" y="190500"/>
                                </a:lnTo>
                                <a:close/>
                              </a:path>
                            </a:pathLst>
                          </a:custGeom>
                          <a:solidFill>
                            <a:srgbClr val="FFC000"/>
                          </a:solidFill>
                        </wps:spPr>
                        <wps:bodyPr wrap="square" lIns="0" tIns="0" rIns="0" bIns="0" rtlCol="0">
                          <a:prstTxWarp prst="textNoShape">
                            <a:avLst/>
                          </a:prstTxWarp>
                          <a:noAutofit/>
                        </wps:bodyPr>
                      </wps:wsp>
                      <wps:wsp>
                        <wps:cNvPr id="213" name="Graphic 213"/>
                        <wps:cNvSpPr/>
                        <wps:spPr>
                          <a:xfrm>
                            <a:off x="493877" y="0"/>
                            <a:ext cx="3505200" cy="1450975"/>
                          </a:xfrm>
                          <a:custGeom>
                            <a:avLst/>
                            <a:gdLst/>
                            <a:ahLst/>
                            <a:cxnLst/>
                            <a:rect l="l" t="t" r="r" b="b"/>
                            <a:pathLst>
                              <a:path w="3505200" h="1450975">
                                <a:moveTo>
                                  <a:pt x="135636" y="233172"/>
                                </a:moveTo>
                                <a:lnTo>
                                  <a:pt x="0" y="233172"/>
                                </a:lnTo>
                                <a:lnTo>
                                  <a:pt x="0" y="1450848"/>
                                </a:lnTo>
                                <a:lnTo>
                                  <a:pt x="135636" y="1450848"/>
                                </a:lnTo>
                                <a:lnTo>
                                  <a:pt x="135636" y="233172"/>
                                </a:lnTo>
                                <a:close/>
                              </a:path>
                              <a:path w="3505200" h="1450975">
                                <a:moveTo>
                                  <a:pt x="1258824" y="315468"/>
                                </a:moveTo>
                                <a:lnTo>
                                  <a:pt x="1123188" y="315468"/>
                                </a:lnTo>
                                <a:lnTo>
                                  <a:pt x="1123188" y="1450848"/>
                                </a:lnTo>
                                <a:lnTo>
                                  <a:pt x="1258824" y="1450848"/>
                                </a:lnTo>
                                <a:lnTo>
                                  <a:pt x="1258824" y="315468"/>
                                </a:lnTo>
                                <a:close/>
                              </a:path>
                              <a:path w="3505200" h="1450975">
                                <a:moveTo>
                                  <a:pt x="2382012" y="160020"/>
                                </a:moveTo>
                                <a:lnTo>
                                  <a:pt x="2246376" y="160020"/>
                                </a:lnTo>
                                <a:lnTo>
                                  <a:pt x="2246376" y="1450848"/>
                                </a:lnTo>
                                <a:lnTo>
                                  <a:pt x="2382012" y="1450848"/>
                                </a:lnTo>
                                <a:lnTo>
                                  <a:pt x="2382012" y="160020"/>
                                </a:lnTo>
                                <a:close/>
                              </a:path>
                              <a:path w="3505200" h="1450975">
                                <a:moveTo>
                                  <a:pt x="3505200" y="0"/>
                                </a:moveTo>
                                <a:lnTo>
                                  <a:pt x="3368040" y="0"/>
                                </a:lnTo>
                                <a:lnTo>
                                  <a:pt x="3368040" y="1450848"/>
                                </a:lnTo>
                                <a:lnTo>
                                  <a:pt x="3505200" y="1450848"/>
                                </a:lnTo>
                                <a:lnTo>
                                  <a:pt x="3505200" y="0"/>
                                </a:lnTo>
                                <a:close/>
                              </a:path>
                            </a:pathLst>
                          </a:custGeom>
                          <a:solidFill>
                            <a:srgbClr val="36C7C5"/>
                          </a:solidFill>
                        </wps:spPr>
                        <wps:bodyPr wrap="square" lIns="0" tIns="0" rIns="0" bIns="0" rtlCol="0">
                          <a:prstTxWarp prst="textNoShape">
                            <a:avLst/>
                          </a:prstTxWarp>
                          <a:noAutofit/>
                        </wps:bodyPr>
                      </wps:wsp>
                      <wps:wsp>
                        <wps:cNvPr id="214" name="Graphic 214"/>
                        <wps:cNvSpPr/>
                        <wps:spPr>
                          <a:xfrm>
                            <a:off x="666089" y="1002791"/>
                            <a:ext cx="3505200" cy="448309"/>
                          </a:xfrm>
                          <a:custGeom>
                            <a:avLst/>
                            <a:gdLst/>
                            <a:ahLst/>
                            <a:cxnLst/>
                            <a:rect l="l" t="t" r="r" b="b"/>
                            <a:pathLst>
                              <a:path w="3505200" h="448309">
                                <a:moveTo>
                                  <a:pt x="135636" y="129540"/>
                                </a:moveTo>
                                <a:lnTo>
                                  <a:pt x="0" y="129540"/>
                                </a:lnTo>
                                <a:lnTo>
                                  <a:pt x="0" y="448056"/>
                                </a:lnTo>
                                <a:lnTo>
                                  <a:pt x="135636" y="448056"/>
                                </a:lnTo>
                                <a:lnTo>
                                  <a:pt x="135636" y="129540"/>
                                </a:lnTo>
                                <a:close/>
                              </a:path>
                              <a:path w="3505200" h="448309">
                                <a:moveTo>
                                  <a:pt x="1258824" y="0"/>
                                </a:moveTo>
                                <a:lnTo>
                                  <a:pt x="1123188" y="0"/>
                                </a:lnTo>
                                <a:lnTo>
                                  <a:pt x="1123188" y="448056"/>
                                </a:lnTo>
                                <a:lnTo>
                                  <a:pt x="1258824" y="448056"/>
                                </a:lnTo>
                                <a:lnTo>
                                  <a:pt x="1258824" y="0"/>
                                </a:lnTo>
                                <a:close/>
                              </a:path>
                              <a:path w="3505200" h="448309">
                                <a:moveTo>
                                  <a:pt x="2382012" y="358140"/>
                                </a:moveTo>
                                <a:lnTo>
                                  <a:pt x="2246376" y="358140"/>
                                </a:lnTo>
                                <a:lnTo>
                                  <a:pt x="2246376" y="448056"/>
                                </a:lnTo>
                                <a:lnTo>
                                  <a:pt x="2382012" y="448056"/>
                                </a:lnTo>
                                <a:lnTo>
                                  <a:pt x="2382012" y="358140"/>
                                </a:lnTo>
                                <a:close/>
                              </a:path>
                              <a:path w="3505200" h="448309">
                                <a:moveTo>
                                  <a:pt x="3505200" y="320040"/>
                                </a:moveTo>
                                <a:lnTo>
                                  <a:pt x="3369564" y="320040"/>
                                </a:lnTo>
                                <a:lnTo>
                                  <a:pt x="3369564" y="448056"/>
                                </a:lnTo>
                                <a:lnTo>
                                  <a:pt x="3505200" y="448056"/>
                                </a:lnTo>
                                <a:lnTo>
                                  <a:pt x="3505200" y="320040"/>
                                </a:lnTo>
                                <a:close/>
                              </a:path>
                            </a:pathLst>
                          </a:custGeom>
                          <a:solidFill>
                            <a:srgbClr val="4675E7"/>
                          </a:solidFill>
                        </wps:spPr>
                        <wps:bodyPr wrap="square" lIns="0" tIns="0" rIns="0" bIns="0" rtlCol="0">
                          <a:prstTxWarp prst="textNoShape">
                            <a:avLst/>
                          </a:prstTxWarp>
                          <a:noAutofit/>
                        </wps:bodyPr>
                      </wps:wsp>
                      <wps:wsp>
                        <wps:cNvPr id="215" name="Graphic 215"/>
                        <wps:cNvSpPr/>
                        <wps:spPr>
                          <a:xfrm>
                            <a:off x="838301" y="1191767"/>
                            <a:ext cx="3505200" cy="259079"/>
                          </a:xfrm>
                          <a:custGeom>
                            <a:avLst/>
                            <a:gdLst/>
                            <a:ahLst/>
                            <a:cxnLst/>
                            <a:rect l="l" t="t" r="r" b="b"/>
                            <a:pathLst>
                              <a:path w="3505200" h="259079">
                                <a:moveTo>
                                  <a:pt x="135636" y="0"/>
                                </a:moveTo>
                                <a:lnTo>
                                  <a:pt x="0" y="0"/>
                                </a:lnTo>
                                <a:lnTo>
                                  <a:pt x="0" y="259080"/>
                                </a:lnTo>
                                <a:lnTo>
                                  <a:pt x="135636" y="259080"/>
                                </a:lnTo>
                                <a:lnTo>
                                  <a:pt x="135636" y="0"/>
                                </a:lnTo>
                                <a:close/>
                              </a:path>
                              <a:path w="3505200" h="259079">
                                <a:moveTo>
                                  <a:pt x="1258824" y="1524"/>
                                </a:moveTo>
                                <a:lnTo>
                                  <a:pt x="1123188" y="1524"/>
                                </a:lnTo>
                                <a:lnTo>
                                  <a:pt x="1123188" y="259080"/>
                                </a:lnTo>
                                <a:lnTo>
                                  <a:pt x="1258824" y="259080"/>
                                </a:lnTo>
                                <a:lnTo>
                                  <a:pt x="1258824" y="1524"/>
                                </a:lnTo>
                                <a:close/>
                              </a:path>
                              <a:path w="3505200" h="259079">
                                <a:moveTo>
                                  <a:pt x="2382012" y="236220"/>
                                </a:moveTo>
                                <a:lnTo>
                                  <a:pt x="2246376" y="236220"/>
                                </a:lnTo>
                                <a:lnTo>
                                  <a:pt x="2246376" y="259080"/>
                                </a:lnTo>
                                <a:lnTo>
                                  <a:pt x="2382012" y="259080"/>
                                </a:lnTo>
                                <a:lnTo>
                                  <a:pt x="2382012" y="236220"/>
                                </a:lnTo>
                                <a:close/>
                              </a:path>
                              <a:path w="3505200" h="259079">
                                <a:moveTo>
                                  <a:pt x="3505200" y="227076"/>
                                </a:moveTo>
                                <a:lnTo>
                                  <a:pt x="3369564" y="227076"/>
                                </a:lnTo>
                                <a:lnTo>
                                  <a:pt x="3369564" y="259080"/>
                                </a:lnTo>
                                <a:lnTo>
                                  <a:pt x="3505200" y="259080"/>
                                </a:lnTo>
                                <a:lnTo>
                                  <a:pt x="3505200" y="227076"/>
                                </a:lnTo>
                                <a:close/>
                              </a:path>
                            </a:pathLst>
                          </a:custGeom>
                          <a:solidFill>
                            <a:srgbClr val="6B9F24"/>
                          </a:solidFill>
                        </wps:spPr>
                        <wps:bodyPr wrap="square" lIns="0" tIns="0" rIns="0" bIns="0" rtlCol="0">
                          <a:prstTxWarp prst="textNoShape">
                            <a:avLst/>
                          </a:prstTxWarp>
                          <a:noAutofit/>
                        </wps:bodyPr>
                      </wps:wsp>
                      <wps:wsp>
                        <wps:cNvPr id="216" name="Graphic 216"/>
                        <wps:cNvSpPr/>
                        <wps:spPr>
                          <a:xfrm>
                            <a:off x="0" y="1450847"/>
                            <a:ext cx="4492625" cy="1270"/>
                          </a:xfrm>
                          <a:custGeom>
                            <a:avLst/>
                            <a:gdLst/>
                            <a:ahLst/>
                            <a:cxnLst/>
                            <a:rect l="l" t="t" r="r" b="b"/>
                            <a:pathLst>
                              <a:path w="4492625">
                                <a:moveTo>
                                  <a:pt x="0" y="0"/>
                                </a:moveTo>
                                <a:lnTo>
                                  <a:pt x="4492091"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0ED7E14D" id="Group 210" o:spid="_x0000_s1026" style="position:absolute;margin-left:80.85pt;margin-top:-7pt;width:353.75pt;height:114.65pt;z-index:15768576;mso-wrap-distance-left:0;mso-wrap-distance-right:0;mso-position-horizontal-relative:page" coordsize="44926,1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">
                <v:shape id="Graphic 211" o:spid="_x0000_s1027" style="position:absolute;left:1494;top:13959;width:35039;height:553;visibility:visible;mso-wrap-style:square;v-text-anchor:top" coordsize="3503929,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" path="m135636,50292l,50292r,4572l135636,54864r,-4572xem1257300,50292r-135636,l1121664,54864r135636,l1257300,50292xem2380488,l2244852,r,54864l2380488,54864r,-54864xem3503676,15240r-135636,l3368040,54864r135636,l3503676,15240xe" fillcolor="#e22c91" stroked="f">
                  <v:path arrowok="t"/>
                </v:shape>
                <v:shape id="Graphic 212" o:spid="_x0000_s1028" style="position:absolute;left:3216;top:9997;width:35039;height:4515;visibility:visible;mso-wrap-style:square;v-text-anchor:top" coordsize="3503929,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" path="m135636,341376l,341376,,451104r135636,l135636,341376xem1258824,385572r-135636,l1123188,451104r135636,l1258824,385572xem2382012,l2244852,r,451104l2382012,451104,2382012,xem3503676,190500r-135636,l3368040,451104r135636,l3503676,190500xe" fillcolor="#ffc000" stroked="f">
                  <v:path arrowok="t"/>
                </v:shape>
                <v:shape id="Graphic 213" o:spid="_x0000_s1029" style="position:absolute;left:4938;width:35052;height:14509;visibility:visible;mso-wrap-style:square;v-text-anchor:top" coordsize="3505200,145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" path="m135636,233172l,233172,,1450848r135636,l135636,233172xem1258824,315468r-135636,l1123188,1450848r135636,l1258824,315468xem2382012,160020r-135636,l2246376,1450848r135636,l2382012,160020xem3505200,l3368040,r,1450848l3505200,1450848,3505200,xe" fillcolor="#36c7c5" stroked="f">
                  <v:path arrowok="t"/>
                </v:shape>
                <v:shape id="Graphic 214" o:spid="_x0000_s1030" style="position:absolute;left:6660;top:10027;width:35052;height:4484;visibility:visible;mso-wrap-style:square;v-text-anchor:top" coordsize="3505200,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" path="m135636,129540l,129540,,448056r135636,l135636,129540xem1258824,l1123188,r,448056l1258824,448056,1258824,xem2382012,358140r-135636,l2246376,448056r135636,l2382012,358140xem3505200,320040r-135636,l3369564,448056r135636,l3505200,320040xe" fillcolor="#4675e7" stroked="f">
                  <v:path arrowok="t"/>
                </v:shape>
                <v:shape id="Graphic 215" o:spid="_x0000_s1031" style="position:absolute;left:8383;top:11917;width:35052;height:2591;visibility:visible;mso-wrap-style:square;v-text-anchor:top" coordsize="350520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" path="m135636,l,,,259080r135636,l135636,xem1258824,1524r-135636,l1123188,259080r135636,l1258824,1524xem2382012,236220r-135636,l2246376,259080r135636,l2382012,236220xem3505200,227076r-135636,l3369564,259080r135636,l3505200,227076xe" fillcolor="#6b9f24" stroked="f">
                  <v:path arrowok="t"/>
                </v:shape>
                <v:shape id="Graphic 216" o:spid="_x0000_s1032" style="position:absolute;top:14508;width:44926;height:13;visibility:visible;mso-wrap-style:square;v-text-anchor:top" coordsize="4492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" path="m,l4492091,e" filled="f" strokecolor="#d9d9d9">
                  <v:path arrowok="t"/>
                </v:shape>
                <w10:wrap anchorx="page"/>
              </v:group>
            </w:pict>
          </mc:Fallback>
        </mc:AlternateContent>
      </w:r>
      <w:r>
        <w:rPr>
          <w:rFonts w:ascii="Trebuchet MS"/>
          <w:noProof/>
          <w:sz w:val="18"/>
        </w:rPr>
        <mc:AlternateContent>
          <mc:Choice Requires="wps">
            <w:drawing>
              <wp:anchor distT="0" distB="0" distL="0" distR="0" simplePos="0" relativeHeight="15769600" behindDoc="0" locked="0" layoutInCell="1" allowOverlap="1" wp14:anchorId="50C20184" wp14:editId="3DC0F7E6">
                <wp:simplePos x="0" y="0"/>
                <wp:positionH relativeFrom="page">
                  <wp:posOffset>1505830</wp:posOffset>
                </wp:positionH>
                <wp:positionV relativeFrom="paragraph">
                  <wp:posOffset>-241892</wp:posOffset>
                </wp:positionV>
                <wp:extent cx="165100" cy="33528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335280"/>
                        </a:xfrm>
                        <a:prstGeom prst="rect">
                          <a:avLst/>
                        </a:prstGeom>
                      </wps:spPr>
                      <wps:txbx>
                        <w:txbxContent>
                          <w:p w14:paraId="4AC247FC" w14:textId="77777777" w:rsidR="000E52B0" w:rsidRDefault="00F60D74">
                            <w:pPr>
                              <w:spacing w:before="20"/>
                              <w:ind w:left="20"/>
                              <w:rPr>
                                <w:rFonts w:ascii="Trebuchet MS"/>
                                <w:sz w:val="18"/>
                              </w:rPr>
                            </w:pPr>
                            <w:r>
                              <w:rPr>
                                <w:rFonts w:ascii="Trebuchet MS"/>
                                <w:color w:val="404040"/>
                                <w:spacing w:val="-2"/>
                                <w:w w:val="105"/>
                                <w:sz w:val="18"/>
                              </w:rPr>
                              <w:t>63,7%</w:t>
                            </w:r>
                          </w:p>
                        </w:txbxContent>
                      </wps:txbx>
                      <wps:bodyPr vert="vert270" wrap="square" lIns="0" tIns="0" rIns="0" bIns="0" rtlCol="0">
                        <a:noAutofit/>
                      </wps:bodyPr>
                    </wps:wsp>
                  </a:graphicData>
                </a:graphic>
              </wp:anchor>
            </w:drawing>
          </mc:Choice>
          <mc:Fallback>
            <w:pict>
              <v:shape w14:anchorId="50C20184" id="Textbox 217" o:spid="_x0000_s1140" type="#_x0000_t202" style="position:absolute;left:0;text-align:left;margin-left:118.55pt;margin-top:-19.05pt;width:13pt;height:26.4pt;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" filled="f" stroked="f">
                <v:textbox style="layout-flow:vertical;mso-layout-flow-alt:bottom-to-top" inset="0,0,0,0">
                  <w:txbxContent>
                    <w:p w14:paraId="4AC247FC" w14:textId="77777777" w:rsidR="000E52B0" w:rsidRDefault="00F60D74">
                      <w:pPr>
                        <w:spacing w:before="20"/>
                        <w:ind w:left="20"/>
                        <w:rPr>
                          <w:rFonts w:ascii="Trebuchet MS"/>
                          <w:sz w:val="18"/>
                        </w:rPr>
                      </w:pPr>
                      <w:r>
                        <w:rPr>
                          <w:rFonts w:ascii="Trebuchet MS"/>
                          <w:color w:val="404040"/>
                          <w:spacing w:val="-2"/>
                          <w:w w:val="105"/>
                          <w:sz w:val="18"/>
                        </w:rPr>
                        <w:t>63,7%</w:t>
                      </w:r>
                    </w:p>
                  </w:txbxContent>
                </v:textbox>
                <w10:wrap anchorx="page"/>
              </v:shape>
            </w:pict>
          </mc:Fallback>
        </mc:AlternateContent>
      </w:r>
      <w:r>
        <w:rPr>
          <w:rFonts w:ascii="Trebuchet MS"/>
          <w:noProof/>
          <w:sz w:val="18"/>
        </w:rPr>
        <mc:AlternateContent>
          <mc:Choice Requires="wps">
            <w:drawing>
              <wp:anchor distT="0" distB="0" distL="0" distR="0" simplePos="0" relativeHeight="15771136" behindDoc="0" locked="0" layoutInCell="1" allowOverlap="1" wp14:anchorId="2EF30F51" wp14:editId="3D9F6B52">
                <wp:simplePos x="0" y="0"/>
                <wp:positionH relativeFrom="page">
                  <wp:posOffset>2629018</wp:posOffset>
                </wp:positionH>
                <wp:positionV relativeFrom="paragraph">
                  <wp:posOffset>-172423</wp:posOffset>
                </wp:positionV>
                <wp:extent cx="165100" cy="33528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335280"/>
                        </a:xfrm>
                        <a:prstGeom prst="rect">
                          <a:avLst/>
                        </a:prstGeom>
                      </wps:spPr>
                      <wps:txbx>
                        <w:txbxContent>
                          <w:p w14:paraId="17AADEB2" w14:textId="77777777" w:rsidR="000E52B0" w:rsidRDefault="00F60D74">
                            <w:pPr>
                              <w:spacing w:before="20"/>
                              <w:ind w:left="20"/>
                              <w:rPr>
                                <w:rFonts w:ascii="Trebuchet MS"/>
                                <w:sz w:val="18"/>
                              </w:rPr>
                            </w:pPr>
                            <w:r>
                              <w:rPr>
                                <w:rFonts w:ascii="Trebuchet MS"/>
                                <w:color w:val="404040"/>
                                <w:spacing w:val="-2"/>
                                <w:w w:val="105"/>
                                <w:sz w:val="18"/>
                              </w:rPr>
                              <w:t>59,5%</w:t>
                            </w:r>
                          </w:p>
                        </w:txbxContent>
                      </wps:txbx>
                      <wps:bodyPr vert="vert270" wrap="square" lIns="0" tIns="0" rIns="0" bIns="0" rtlCol="0">
                        <a:noAutofit/>
                      </wps:bodyPr>
                    </wps:wsp>
                  </a:graphicData>
                </a:graphic>
              </wp:anchor>
            </w:drawing>
          </mc:Choice>
          <mc:Fallback>
            <w:pict>
              <v:shape w14:anchorId="2EF30F51" id="Textbox 218" o:spid="_x0000_s1141" type="#_x0000_t202" style="position:absolute;left:0;text-align:left;margin-left:207pt;margin-top:-13.6pt;width:13pt;height:26.4pt;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" filled="f" stroked="f">
                <v:textbox style="layout-flow:vertical;mso-layout-flow-alt:bottom-to-top" inset="0,0,0,0">
                  <w:txbxContent>
                    <w:p w14:paraId="17AADEB2" w14:textId="77777777" w:rsidR="000E52B0" w:rsidRDefault="00F60D74">
                      <w:pPr>
                        <w:spacing w:before="20"/>
                        <w:ind w:left="20"/>
                        <w:rPr>
                          <w:rFonts w:ascii="Trebuchet MS"/>
                          <w:sz w:val="18"/>
                        </w:rPr>
                      </w:pPr>
                      <w:r>
                        <w:rPr>
                          <w:rFonts w:ascii="Trebuchet MS"/>
                          <w:color w:val="404040"/>
                          <w:spacing w:val="-2"/>
                          <w:w w:val="105"/>
                          <w:sz w:val="18"/>
                        </w:rPr>
                        <w:t>59,5%</w:t>
                      </w:r>
                    </w:p>
                  </w:txbxContent>
                </v:textbox>
                <w10:wrap anchorx="page"/>
              </v:shape>
            </w:pict>
          </mc:Fallback>
        </mc:AlternateContent>
      </w:r>
      <w:r>
        <w:rPr>
          <w:rFonts w:ascii="Trebuchet MS"/>
          <w:noProof/>
          <w:sz w:val="18"/>
        </w:rPr>
        <mc:AlternateContent>
          <mc:Choice Requires="wps">
            <w:drawing>
              <wp:anchor distT="0" distB="0" distL="0" distR="0" simplePos="0" relativeHeight="15773184" behindDoc="0" locked="0" layoutInCell="1" allowOverlap="1" wp14:anchorId="27E4FAEA" wp14:editId="167A997C">
                <wp:simplePos x="0" y="0"/>
                <wp:positionH relativeFrom="page">
                  <wp:posOffset>3752460</wp:posOffset>
                </wp:positionH>
                <wp:positionV relativeFrom="paragraph">
                  <wp:posOffset>-241892</wp:posOffset>
                </wp:positionV>
                <wp:extent cx="165100" cy="33528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335280"/>
                        </a:xfrm>
                        <a:prstGeom prst="rect">
                          <a:avLst/>
                        </a:prstGeom>
                      </wps:spPr>
                      <wps:txbx>
                        <w:txbxContent>
                          <w:p w14:paraId="31E45441" w14:textId="77777777" w:rsidR="000E52B0" w:rsidRDefault="00F60D74">
                            <w:pPr>
                              <w:spacing w:before="20"/>
                              <w:ind w:left="20"/>
                              <w:rPr>
                                <w:rFonts w:ascii="Trebuchet MS"/>
                                <w:sz w:val="18"/>
                              </w:rPr>
                            </w:pPr>
                            <w:r>
                              <w:rPr>
                                <w:rFonts w:ascii="Trebuchet MS"/>
                                <w:color w:val="404040"/>
                                <w:spacing w:val="-2"/>
                                <w:w w:val="105"/>
                                <w:sz w:val="18"/>
                              </w:rPr>
                              <w:t>67,6%</w:t>
                            </w:r>
                          </w:p>
                        </w:txbxContent>
                      </wps:txbx>
                      <wps:bodyPr vert="vert270" wrap="square" lIns="0" tIns="0" rIns="0" bIns="0" rtlCol="0">
                        <a:noAutofit/>
                      </wps:bodyPr>
                    </wps:wsp>
                  </a:graphicData>
                </a:graphic>
              </wp:anchor>
            </w:drawing>
          </mc:Choice>
          <mc:Fallback>
            <w:pict>
              <v:shape w14:anchorId="27E4FAEA" id="Textbox 219" o:spid="_x0000_s1142" type="#_x0000_t202" style="position:absolute;left:0;text-align:left;margin-left:295.45pt;margin-top:-19.05pt;width:13pt;height:26.4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" filled="f" stroked="f">
                <v:textbox style="layout-flow:vertical;mso-layout-flow-alt:bottom-to-top" inset="0,0,0,0">
                  <w:txbxContent>
                    <w:p w14:paraId="31E45441" w14:textId="77777777" w:rsidR="000E52B0" w:rsidRDefault="00F60D74">
                      <w:pPr>
                        <w:spacing w:before="20"/>
                        <w:ind w:left="20"/>
                        <w:rPr>
                          <w:rFonts w:ascii="Trebuchet MS"/>
                          <w:sz w:val="18"/>
                        </w:rPr>
                      </w:pPr>
                      <w:r>
                        <w:rPr>
                          <w:rFonts w:ascii="Trebuchet MS"/>
                          <w:color w:val="404040"/>
                          <w:spacing w:val="-2"/>
                          <w:w w:val="105"/>
                          <w:sz w:val="18"/>
                        </w:rPr>
                        <w:t>67,6%</w:t>
                      </w:r>
                    </w:p>
                  </w:txbxContent>
                </v:textbox>
                <w10:wrap anchorx="page"/>
              </v:shape>
            </w:pict>
          </mc:Fallback>
        </mc:AlternateContent>
      </w:r>
      <w:r>
        <w:rPr>
          <w:rFonts w:ascii="Trebuchet MS"/>
          <w:noProof/>
          <w:sz w:val="18"/>
        </w:rPr>
        <mc:AlternateContent>
          <mc:Choice Requires="wps">
            <w:drawing>
              <wp:anchor distT="0" distB="0" distL="0" distR="0" simplePos="0" relativeHeight="15774720" behindDoc="0" locked="0" layoutInCell="1" allowOverlap="1" wp14:anchorId="785EDF8B" wp14:editId="6AB2CBDC">
                <wp:simplePos x="0" y="0"/>
                <wp:positionH relativeFrom="page">
                  <wp:posOffset>4875648</wp:posOffset>
                </wp:positionH>
                <wp:positionV relativeFrom="paragraph">
                  <wp:posOffset>-241892</wp:posOffset>
                </wp:positionV>
                <wp:extent cx="165100" cy="33528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335280"/>
                        </a:xfrm>
                        <a:prstGeom prst="rect">
                          <a:avLst/>
                        </a:prstGeom>
                      </wps:spPr>
                      <wps:txbx>
                        <w:txbxContent>
                          <w:p w14:paraId="3554F657" w14:textId="77777777" w:rsidR="000E52B0" w:rsidRDefault="00F60D74">
                            <w:pPr>
                              <w:spacing w:before="20"/>
                              <w:ind w:left="20"/>
                              <w:rPr>
                                <w:rFonts w:ascii="Trebuchet MS"/>
                                <w:sz w:val="18"/>
                              </w:rPr>
                            </w:pPr>
                            <w:r>
                              <w:rPr>
                                <w:rFonts w:ascii="Trebuchet MS"/>
                                <w:color w:val="404040"/>
                                <w:spacing w:val="-2"/>
                                <w:w w:val="105"/>
                                <w:sz w:val="18"/>
                              </w:rPr>
                              <w:t>75,9%</w:t>
                            </w:r>
                          </w:p>
                        </w:txbxContent>
                      </wps:txbx>
                      <wps:bodyPr vert="vert270" wrap="square" lIns="0" tIns="0" rIns="0" bIns="0" rtlCol="0">
                        <a:noAutofit/>
                      </wps:bodyPr>
                    </wps:wsp>
                  </a:graphicData>
                </a:graphic>
              </wp:anchor>
            </w:drawing>
          </mc:Choice>
          <mc:Fallback>
            <w:pict>
              <v:shape w14:anchorId="785EDF8B" id="Textbox 220" o:spid="_x0000_s1143" type="#_x0000_t202" style="position:absolute;left:0;text-align:left;margin-left:383.9pt;margin-top:-19.05pt;width:13pt;height:26.4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" filled="f" stroked="f">
                <v:textbox style="layout-flow:vertical;mso-layout-flow-alt:bottom-to-top" inset="0,0,0,0">
                  <w:txbxContent>
                    <w:p w14:paraId="3554F657" w14:textId="77777777" w:rsidR="000E52B0" w:rsidRDefault="00F60D74">
                      <w:pPr>
                        <w:spacing w:before="20"/>
                        <w:ind w:left="20"/>
                        <w:rPr>
                          <w:rFonts w:ascii="Trebuchet MS"/>
                          <w:sz w:val="18"/>
                        </w:rPr>
                      </w:pPr>
                      <w:r>
                        <w:rPr>
                          <w:rFonts w:ascii="Trebuchet MS"/>
                          <w:color w:val="404040"/>
                          <w:spacing w:val="-2"/>
                          <w:w w:val="105"/>
                          <w:sz w:val="18"/>
                        </w:rPr>
                        <w:t>75,9%</w:t>
                      </w:r>
                    </w:p>
                  </w:txbxContent>
                </v:textbox>
                <w10:wrap anchorx="page"/>
              </v:shape>
            </w:pict>
          </mc:Fallback>
        </mc:AlternateContent>
      </w:r>
      <w:r>
        <w:rPr>
          <w:noProof/>
        </w:rPr>
        <w:drawing>
          <wp:inline distT="0" distB="0" distL="0" distR="0" wp14:anchorId="68439435" wp14:editId="03999491">
            <wp:extent cx="62779" cy="62779"/>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99" cstate="print"/>
                    <a:stretch>
                      <a:fillRect/>
                    </a:stretch>
                  </pic:blipFill>
                  <pic:spPr>
                    <a:xfrm>
                      <a:off x="0" y="0"/>
                      <a:ext cx="62779" cy="62779"/>
                    </a:xfrm>
                    <a:prstGeom prst="rect">
                      <a:avLst/>
                    </a:prstGeom>
                  </pic:spPr>
                </pic:pic>
              </a:graphicData>
            </a:graphic>
          </wp:inline>
        </w:drawing>
      </w:r>
      <w:r>
        <w:rPr>
          <w:rFonts w:ascii="Times New Roman"/>
          <w:spacing w:val="-5"/>
          <w:sz w:val="20"/>
        </w:rPr>
        <w:t xml:space="preserve"> </w:t>
      </w:r>
      <w:r>
        <w:rPr>
          <w:rFonts w:ascii="Trebuchet MS"/>
          <w:color w:val="585858"/>
          <w:sz w:val="18"/>
        </w:rPr>
        <w:t>Ninguno</w:t>
      </w:r>
    </w:p>
    <w:p w14:paraId="242A5FCB" w14:textId="77777777" w:rsidR="000E52B0" w:rsidRDefault="000E52B0">
      <w:pPr>
        <w:pStyle w:val="Textoindependiente"/>
        <w:ind w:left="0"/>
        <w:rPr>
          <w:rFonts w:ascii="Trebuchet MS"/>
          <w:sz w:val="18"/>
        </w:rPr>
      </w:pPr>
    </w:p>
    <w:p w14:paraId="08A9C3F2" w14:textId="77777777" w:rsidR="000E52B0" w:rsidRDefault="000E52B0">
      <w:pPr>
        <w:pStyle w:val="Textoindependiente"/>
        <w:spacing w:before="6"/>
        <w:ind w:left="0"/>
        <w:rPr>
          <w:rFonts w:ascii="Trebuchet MS"/>
          <w:sz w:val="18"/>
        </w:rPr>
      </w:pPr>
    </w:p>
    <w:p w14:paraId="73CED32F" w14:textId="77777777" w:rsidR="000E52B0" w:rsidRDefault="00F60D74">
      <w:pPr>
        <w:spacing w:line="252" w:lineRule="auto"/>
        <w:ind w:left="8378" w:right="723" w:hanging="143"/>
        <w:rPr>
          <w:rFonts w:ascii="Trebuchet MS" w:hAnsi="Trebuchet MS"/>
          <w:sz w:val="18"/>
        </w:rPr>
      </w:pPr>
      <w:r>
        <w:rPr>
          <w:rFonts w:ascii="Trebuchet MS" w:hAnsi="Trebuchet MS"/>
          <w:noProof/>
          <w:sz w:val="18"/>
        </w:rPr>
        <mc:AlternateContent>
          <mc:Choice Requires="wps">
            <w:drawing>
              <wp:anchor distT="0" distB="0" distL="0" distR="0" simplePos="0" relativeHeight="15770112" behindDoc="0" locked="0" layoutInCell="1" allowOverlap="1" wp14:anchorId="35E533F3" wp14:editId="3506D0BD">
                <wp:simplePos x="0" y="0"/>
                <wp:positionH relativeFrom="page">
                  <wp:posOffset>1678296</wp:posOffset>
                </wp:positionH>
                <wp:positionV relativeFrom="paragraph">
                  <wp:posOffset>241842</wp:posOffset>
                </wp:positionV>
                <wp:extent cx="337820" cy="39497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394970"/>
                        </a:xfrm>
                        <a:prstGeom prst="rect">
                          <a:avLst/>
                        </a:prstGeom>
                      </wps:spPr>
                      <wps:txbx>
                        <w:txbxContent>
                          <w:p w14:paraId="6FBE163F" w14:textId="77777777" w:rsidR="000E52B0" w:rsidRDefault="00F60D74">
                            <w:pPr>
                              <w:spacing w:before="20"/>
                              <w:ind w:left="113"/>
                              <w:rPr>
                                <w:rFonts w:ascii="Trebuchet MS"/>
                                <w:sz w:val="18"/>
                              </w:rPr>
                            </w:pPr>
                            <w:r>
                              <w:rPr>
                                <w:rFonts w:ascii="Trebuchet MS"/>
                                <w:color w:val="404040"/>
                                <w:spacing w:val="-2"/>
                                <w:w w:val="105"/>
                                <w:sz w:val="18"/>
                              </w:rPr>
                              <w:t>16,7%</w:t>
                            </w:r>
                          </w:p>
                          <w:p w14:paraId="6A685BAE" w14:textId="77777777" w:rsidR="000E52B0" w:rsidRDefault="00F60D74">
                            <w:pPr>
                              <w:spacing w:before="62"/>
                              <w:ind w:left="20"/>
                              <w:rPr>
                                <w:rFonts w:ascii="Trebuchet MS"/>
                                <w:sz w:val="18"/>
                              </w:rPr>
                            </w:pPr>
                            <w:r>
                              <w:rPr>
                                <w:rFonts w:ascii="Trebuchet MS"/>
                                <w:color w:val="404040"/>
                                <w:spacing w:val="-2"/>
                                <w:w w:val="105"/>
                                <w:sz w:val="18"/>
                              </w:rPr>
                              <w:t>13,6%</w:t>
                            </w:r>
                          </w:p>
                        </w:txbxContent>
                      </wps:txbx>
                      <wps:bodyPr vert="vert270" wrap="square" lIns="0" tIns="0" rIns="0" bIns="0" rtlCol="0">
                        <a:noAutofit/>
                      </wps:bodyPr>
                    </wps:wsp>
                  </a:graphicData>
                </a:graphic>
              </wp:anchor>
            </w:drawing>
          </mc:Choice>
          <mc:Fallback>
            <w:pict>
              <v:shape w14:anchorId="35E533F3" id="Textbox 222" o:spid="_x0000_s1144" type="#_x0000_t202" style="position:absolute;left:0;text-align:left;margin-left:132.15pt;margin-top:19.05pt;width:26.6pt;height:31.1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" filled="f" stroked="f">
                <v:textbox style="layout-flow:vertical;mso-layout-flow-alt:bottom-to-top" inset="0,0,0,0">
                  <w:txbxContent>
                    <w:p w14:paraId="6FBE163F" w14:textId="77777777" w:rsidR="000E52B0" w:rsidRDefault="00F60D74">
                      <w:pPr>
                        <w:spacing w:before="20"/>
                        <w:ind w:left="113"/>
                        <w:rPr>
                          <w:rFonts w:ascii="Trebuchet MS"/>
                          <w:sz w:val="18"/>
                        </w:rPr>
                      </w:pPr>
                      <w:r>
                        <w:rPr>
                          <w:rFonts w:ascii="Trebuchet MS"/>
                          <w:color w:val="404040"/>
                          <w:spacing w:val="-2"/>
                          <w:w w:val="105"/>
                          <w:sz w:val="18"/>
                        </w:rPr>
                        <w:t>16,7%</w:t>
                      </w:r>
                    </w:p>
                    <w:p w14:paraId="6A685BAE" w14:textId="77777777" w:rsidR="000E52B0" w:rsidRDefault="00F60D74">
                      <w:pPr>
                        <w:spacing w:before="62"/>
                        <w:ind w:left="20"/>
                        <w:rPr>
                          <w:rFonts w:ascii="Trebuchet MS"/>
                          <w:sz w:val="18"/>
                        </w:rPr>
                      </w:pPr>
                      <w:r>
                        <w:rPr>
                          <w:rFonts w:ascii="Trebuchet MS"/>
                          <w:color w:val="404040"/>
                          <w:spacing w:val="-2"/>
                          <w:w w:val="105"/>
                          <w:sz w:val="18"/>
                        </w:rPr>
                        <w:t>13,6%</w:t>
                      </w:r>
                    </w:p>
                  </w:txbxContent>
                </v:textbox>
                <w10:wrap anchorx="page"/>
              </v:shape>
            </w:pict>
          </mc:Fallback>
        </mc:AlternateContent>
      </w:r>
      <w:r>
        <w:rPr>
          <w:rFonts w:ascii="Trebuchet MS" w:hAnsi="Trebuchet MS"/>
          <w:noProof/>
          <w:sz w:val="18"/>
        </w:rPr>
        <mc:AlternateContent>
          <mc:Choice Requires="wps">
            <w:drawing>
              <wp:anchor distT="0" distB="0" distL="0" distR="0" simplePos="0" relativeHeight="15771648" behindDoc="0" locked="0" layoutInCell="1" allowOverlap="1" wp14:anchorId="6182A5DE" wp14:editId="6C22333A">
                <wp:simplePos x="0" y="0"/>
                <wp:positionH relativeFrom="page">
                  <wp:posOffset>2801484</wp:posOffset>
                </wp:positionH>
                <wp:positionV relativeFrom="paragraph">
                  <wp:posOffset>112937</wp:posOffset>
                </wp:positionV>
                <wp:extent cx="337820" cy="52578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525780"/>
                        </a:xfrm>
                        <a:prstGeom prst="rect">
                          <a:avLst/>
                        </a:prstGeom>
                      </wps:spPr>
                      <wps:txbx>
                        <w:txbxContent>
                          <w:p w14:paraId="3FC39F40" w14:textId="77777777" w:rsidR="000E52B0" w:rsidRDefault="00F60D74">
                            <w:pPr>
                              <w:spacing w:before="20"/>
                              <w:ind w:left="320"/>
                              <w:rPr>
                                <w:rFonts w:ascii="Trebuchet MS"/>
                                <w:sz w:val="18"/>
                              </w:rPr>
                            </w:pPr>
                            <w:r>
                              <w:rPr>
                                <w:rFonts w:ascii="Trebuchet MS"/>
                                <w:color w:val="404040"/>
                                <w:spacing w:val="-2"/>
                                <w:w w:val="105"/>
                                <w:sz w:val="18"/>
                              </w:rPr>
                              <w:t>23,4%</w:t>
                            </w:r>
                          </w:p>
                          <w:p w14:paraId="4EC13A88" w14:textId="77777777" w:rsidR="000E52B0" w:rsidRDefault="00F60D74">
                            <w:pPr>
                              <w:spacing w:before="62"/>
                              <w:ind w:left="20"/>
                              <w:rPr>
                                <w:rFonts w:ascii="Trebuchet MS"/>
                                <w:sz w:val="18"/>
                              </w:rPr>
                            </w:pPr>
                            <w:r>
                              <w:rPr>
                                <w:rFonts w:ascii="Trebuchet MS"/>
                                <w:color w:val="404040"/>
                                <w:spacing w:val="-2"/>
                                <w:w w:val="105"/>
                                <w:sz w:val="18"/>
                              </w:rPr>
                              <w:t>13,5%</w:t>
                            </w:r>
                          </w:p>
                        </w:txbxContent>
                      </wps:txbx>
                      <wps:bodyPr vert="vert270" wrap="square" lIns="0" tIns="0" rIns="0" bIns="0" rtlCol="0">
                        <a:noAutofit/>
                      </wps:bodyPr>
                    </wps:wsp>
                  </a:graphicData>
                </a:graphic>
              </wp:anchor>
            </w:drawing>
          </mc:Choice>
          <mc:Fallback>
            <w:pict>
              <v:shape w14:anchorId="6182A5DE" id="Textbox 223" o:spid="_x0000_s1145" type="#_x0000_t202" style="position:absolute;left:0;text-align:left;margin-left:220.6pt;margin-top:8.9pt;width:26.6pt;height:41.4pt;z-index:1577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" filled="f" stroked="f">
                <v:textbox style="layout-flow:vertical;mso-layout-flow-alt:bottom-to-top" inset="0,0,0,0">
                  <w:txbxContent>
                    <w:p w14:paraId="3FC39F40" w14:textId="77777777" w:rsidR="000E52B0" w:rsidRDefault="00F60D74">
                      <w:pPr>
                        <w:spacing w:before="20"/>
                        <w:ind w:left="320"/>
                        <w:rPr>
                          <w:rFonts w:ascii="Trebuchet MS"/>
                          <w:sz w:val="18"/>
                        </w:rPr>
                      </w:pPr>
                      <w:r>
                        <w:rPr>
                          <w:rFonts w:ascii="Trebuchet MS"/>
                          <w:color w:val="404040"/>
                          <w:spacing w:val="-2"/>
                          <w:w w:val="105"/>
                          <w:sz w:val="18"/>
                        </w:rPr>
                        <w:t>23,4%</w:t>
                      </w:r>
                    </w:p>
                    <w:p w14:paraId="4EC13A88" w14:textId="77777777" w:rsidR="000E52B0" w:rsidRDefault="00F60D74">
                      <w:pPr>
                        <w:spacing w:before="62"/>
                        <w:ind w:left="20"/>
                        <w:rPr>
                          <w:rFonts w:ascii="Trebuchet MS"/>
                          <w:sz w:val="18"/>
                        </w:rPr>
                      </w:pPr>
                      <w:r>
                        <w:rPr>
                          <w:rFonts w:ascii="Trebuchet MS"/>
                          <w:color w:val="404040"/>
                          <w:spacing w:val="-2"/>
                          <w:w w:val="105"/>
                          <w:sz w:val="18"/>
                        </w:rPr>
                        <w:t>13,5%</w:t>
                      </w:r>
                    </w:p>
                  </w:txbxContent>
                </v:textbox>
                <w10:wrap anchorx="page"/>
              </v:shape>
            </w:pict>
          </mc:Fallback>
        </mc:AlternateContent>
      </w:r>
      <w:r>
        <w:rPr>
          <w:rFonts w:ascii="Trebuchet MS" w:hAnsi="Trebuchet MS"/>
          <w:noProof/>
          <w:sz w:val="18"/>
        </w:rPr>
        <mc:AlternateContent>
          <mc:Choice Requires="wps">
            <w:drawing>
              <wp:anchor distT="0" distB="0" distL="0" distR="0" simplePos="0" relativeHeight="15772672" behindDoc="0" locked="0" layoutInCell="1" allowOverlap="1" wp14:anchorId="77142264" wp14:editId="5A784CF0">
                <wp:simplePos x="0" y="0"/>
                <wp:positionH relativeFrom="page">
                  <wp:posOffset>3579994</wp:posOffset>
                </wp:positionH>
                <wp:positionV relativeFrom="paragraph">
                  <wp:posOffset>110143</wp:posOffset>
                </wp:positionV>
                <wp:extent cx="165100" cy="33528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335280"/>
                        </a:xfrm>
                        <a:prstGeom prst="rect">
                          <a:avLst/>
                        </a:prstGeom>
                      </wps:spPr>
                      <wps:txbx>
                        <w:txbxContent>
                          <w:p w14:paraId="2ACC0088" w14:textId="77777777" w:rsidR="000E52B0" w:rsidRDefault="00F60D74">
                            <w:pPr>
                              <w:spacing w:before="20"/>
                              <w:ind w:left="20"/>
                              <w:rPr>
                                <w:rFonts w:ascii="Trebuchet MS"/>
                                <w:sz w:val="18"/>
                              </w:rPr>
                            </w:pPr>
                            <w:r>
                              <w:rPr>
                                <w:rFonts w:ascii="Trebuchet MS"/>
                                <w:color w:val="404040"/>
                                <w:spacing w:val="-2"/>
                                <w:w w:val="105"/>
                                <w:sz w:val="18"/>
                              </w:rPr>
                              <w:t>23,6%</w:t>
                            </w:r>
                          </w:p>
                        </w:txbxContent>
                      </wps:txbx>
                      <wps:bodyPr vert="vert270" wrap="square" lIns="0" tIns="0" rIns="0" bIns="0" rtlCol="0">
                        <a:noAutofit/>
                      </wps:bodyPr>
                    </wps:wsp>
                  </a:graphicData>
                </a:graphic>
              </wp:anchor>
            </w:drawing>
          </mc:Choice>
          <mc:Fallback>
            <w:pict>
              <v:shape w14:anchorId="77142264" id="Textbox 224" o:spid="_x0000_s1146" type="#_x0000_t202" style="position:absolute;left:0;text-align:left;margin-left:281.9pt;margin-top:8.65pt;width:13pt;height:26.4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" filled="f" stroked="f">
                <v:textbox style="layout-flow:vertical;mso-layout-flow-alt:bottom-to-top" inset="0,0,0,0">
                  <w:txbxContent>
                    <w:p w14:paraId="2ACC0088" w14:textId="77777777" w:rsidR="000E52B0" w:rsidRDefault="00F60D74">
                      <w:pPr>
                        <w:spacing w:before="20"/>
                        <w:ind w:left="20"/>
                        <w:rPr>
                          <w:rFonts w:ascii="Trebuchet MS"/>
                          <w:sz w:val="18"/>
                        </w:rPr>
                      </w:pPr>
                      <w:r>
                        <w:rPr>
                          <w:rFonts w:ascii="Trebuchet MS"/>
                          <w:color w:val="404040"/>
                          <w:spacing w:val="-2"/>
                          <w:w w:val="105"/>
                          <w:sz w:val="18"/>
                        </w:rPr>
                        <w:t>23,6%</w:t>
                      </w:r>
                    </w:p>
                  </w:txbxContent>
                </v:textbox>
                <w10:wrap anchorx="page"/>
              </v:shape>
            </w:pict>
          </mc:Fallback>
        </mc:AlternateContent>
      </w:r>
      <w:r>
        <w:rPr>
          <w:rFonts w:ascii="Trebuchet MS" w:hAnsi="Trebuchet MS"/>
          <w:noProof/>
          <w:sz w:val="18"/>
        </w:rPr>
        <mc:AlternateContent>
          <mc:Choice Requires="wps">
            <w:drawing>
              <wp:anchor distT="0" distB="0" distL="0" distR="0" simplePos="0" relativeHeight="15774208" behindDoc="0" locked="0" layoutInCell="1" allowOverlap="1" wp14:anchorId="542C81B5" wp14:editId="4A78D385">
                <wp:simplePos x="0" y="0"/>
                <wp:positionH relativeFrom="page">
                  <wp:posOffset>4530589</wp:posOffset>
                </wp:positionH>
                <wp:positionV relativeFrom="paragraph">
                  <wp:posOffset>300643</wp:posOffset>
                </wp:positionV>
                <wp:extent cx="337820" cy="55562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555625"/>
                        </a:xfrm>
                        <a:prstGeom prst="rect">
                          <a:avLst/>
                        </a:prstGeom>
                      </wps:spPr>
                      <wps:txbx>
                        <w:txbxContent>
                          <w:p w14:paraId="186D7036" w14:textId="77777777" w:rsidR="000E52B0" w:rsidRDefault="00F60D74">
                            <w:pPr>
                              <w:spacing w:before="20"/>
                              <w:ind w:left="20"/>
                              <w:rPr>
                                <w:rFonts w:ascii="Trebuchet MS"/>
                                <w:sz w:val="18"/>
                              </w:rPr>
                            </w:pPr>
                            <w:r>
                              <w:rPr>
                                <w:rFonts w:ascii="Trebuchet MS"/>
                                <w:color w:val="404040"/>
                                <w:spacing w:val="-4"/>
                                <w:w w:val="105"/>
                                <w:sz w:val="18"/>
                              </w:rPr>
                              <w:t>2,1%</w:t>
                            </w:r>
                          </w:p>
                          <w:p w14:paraId="39768C54" w14:textId="77777777" w:rsidR="000E52B0" w:rsidRDefault="00F60D74">
                            <w:pPr>
                              <w:spacing w:before="62"/>
                              <w:ind w:left="367"/>
                              <w:rPr>
                                <w:rFonts w:ascii="Trebuchet MS"/>
                                <w:sz w:val="18"/>
                              </w:rPr>
                            </w:pPr>
                            <w:r>
                              <w:rPr>
                                <w:rFonts w:ascii="Trebuchet MS"/>
                                <w:color w:val="404040"/>
                                <w:spacing w:val="-2"/>
                                <w:w w:val="105"/>
                                <w:sz w:val="18"/>
                              </w:rPr>
                              <w:t>13,6%</w:t>
                            </w:r>
                          </w:p>
                        </w:txbxContent>
                      </wps:txbx>
                      <wps:bodyPr vert="vert270" wrap="square" lIns="0" tIns="0" rIns="0" bIns="0" rtlCol="0">
                        <a:noAutofit/>
                      </wps:bodyPr>
                    </wps:wsp>
                  </a:graphicData>
                </a:graphic>
              </wp:anchor>
            </w:drawing>
          </mc:Choice>
          <mc:Fallback>
            <w:pict>
              <v:shape w14:anchorId="542C81B5" id="Textbox 225" o:spid="_x0000_s1147" type="#_x0000_t202" style="position:absolute;left:0;text-align:left;margin-left:356.75pt;margin-top:23.65pt;width:26.6pt;height:43.75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" filled="f" stroked="f">
                <v:textbox style="layout-flow:vertical;mso-layout-flow-alt:bottom-to-top" inset="0,0,0,0">
                  <w:txbxContent>
                    <w:p w14:paraId="186D7036" w14:textId="77777777" w:rsidR="000E52B0" w:rsidRDefault="00F60D74">
                      <w:pPr>
                        <w:spacing w:before="20"/>
                        <w:ind w:left="20"/>
                        <w:rPr>
                          <w:rFonts w:ascii="Trebuchet MS"/>
                          <w:sz w:val="18"/>
                        </w:rPr>
                      </w:pPr>
                      <w:r>
                        <w:rPr>
                          <w:rFonts w:ascii="Trebuchet MS"/>
                          <w:color w:val="404040"/>
                          <w:spacing w:val="-4"/>
                          <w:w w:val="105"/>
                          <w:sz w:val="18"/>
                        </w:rPr>
                        <w:t>2,1%</w:t>
                      </w:r>
                    </w:p>
                    <w:p w14:paraId="39768C54" w14:textId="77777777" w:rsidR="000E52B0" w:rsidRDefault="00F60D74">
                      <w:pPr>
                        <w:spacing w:before="62"/>
                        <w:ind w:left="367"/>
                        <w:rPr>
                          <w:rFonts w:ascii="Trebuchet MS"/>
                          <w:sz w:val="18"/>
                        </w:rPr>
                      </w:pPr>
                      <w:r>
                        <w:rPr>
                          <w:rFonts w:ascii="Trebuchet MS"/>
                          <w:color w:val="404040"/>
                          <w:spacing w:val="-2"/>
                          <w:w w:val="105"/>
                          <w:sz w:val="18"/>
                        </w:rPr>
                        <w:t>13,6%</w:t>
                      </w:r>
                    </w:p>
                  </w:txbxContent>
                </v:textbox>
                <w10:wrap anchorx="page"/>
              </v:shape>
            </w:pict>
          </mc:Fallback>
        </mc:AlternateContent>
      </w:r>
      <w:r>
        <w:rPr>
          <w:noProof/>
        </w:rPr>
        <w:drawing>
          <wp:inline distT="0" distB="0" distL="0" distR="0" wp14:anchorId="18577C32" wp14:editId="6F444CB3">
            <wp:extent cx="62779" cy="62779"/>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73" cstate="print"/>
                    <a:stretch>
                      <a:fillRect/>
                    </a:stretch>
                  </pic:blipFill>
                  <pic:spPr>
                    <a:xfrm>
                      <a:off x="0" y="0"/>
                      <a:ext cx="62779" cy="62779"/>
                    </a:xfrm>
                    <a:prstGeom prst="rect">
                      <a:avLst/>
                    </a:prstGeom>
                  </pic:spPr>
                </pic:pic>
              </a:graphicData>
            </a:graphic>
          </wp:inline>
        </w:drawing>
      </w:r>
      <w:r>
        <w:rPr>
          <w:rFonts w:ascii="Times New Roman" w:hAnsi="Times New Roman"/>
          <w:sz w:val="20"/>
        </w:rPr>
        <w:t xml:space="preserve"> </w:t>
      </w:r>
      <w:r>
        <w:rPr>
          <w:rFonts w:ascii="Trebuchet MS" w:hAnsi="Trebuchet MS"/>
          <w:color w:val="585858"/>
          <w:sz w:val="18"/>
        </w:rPr>
        <w:t>Preescolar</w:t>
      </w:r>
      <w:r>
        <w:rPr>
          <w:rFonts w:ascii="Trebuchet MS" w:hAnsi="Trebuchet MS"/>
          <w:color w:val="585858"/>
          <w:spacing w:val="-2"/>
          <w:sz w:val="18"/>
        </w:rPr>
        <w:t xml:space="preserve"> </w:t>
      </w:r>
      <w:r>
        <w:rPr>
          <w:rFonts w:ascii="Trebuchet MS" w:hAnsi="Trebuchet MS"/>
          <w:color w:val="585858"/>
          <w:sz w:val="18"/>
        </w:rPr>
        <w:t xml:space="preserve">o </w:t>
      </w:r>
      <w:r>
        <w:rPr>
          <w:rFonts w:ascii="Trebuchet MS" w:hAnsi="Trebuchet MS"/>
          <w:color w:val="585858"/>
          <w:spacing w:val="-2"/>
          <w:sz w:val="18"/>
        </w:rPr>
        <w:t>básica</w:t>
      </w:r>
      <w:r>
        <w:rPr>
          <w:rFonts w:ascii="Trebuchet MS" w:hAnsi="Trebuchet MS"/>
          <w:color w:val="585858"/>
          <w:spacing w:val="-18"/>
          <w:sz w:val="18"/>
        </w:rPr>
        <w:t xml:space="preserve"> </w:t>
      </w:r>
      <w:r>
        <w:rPr>
          <w:rFonts w:ascii="Trebuchet MS" w:hAnsi="Trebuchet MS"/>
          <w:color w:val="585858"/>
          <w:spacing w:val="-2"/>
          <w:sz w:val="18"/>
        </w:rPr>
        <w:t>primaria</w:t>
      </w:r>
    </w:p>
    <w:p w14:paraId="60889BB9" w14:textId="77777777" w:rsidR="000E52B0" w:rsidRDefault="00F60D74">
      <w:pPr>
        <w:spacing w:before="195" w:line="252" w:lineRule="auto"/>
        <w:ind w:left="8378" w:right="1069" w:hanging="143"/>
        <w:rPr>
          <w:rFonts w:ascii="Trebuchet MS" w:hAnsi="Trebuchet MS"/>
          <w:sz w:val="18"/>
        </w:rPr>
      </w:pPr>
      <w:r>
        <w:rPr>
          <w:rFonts w:ascii="Trebuchet MS" w:hAnsi="Trebuchet MS"/>
          <w:noProof/>
          <w:sz w:val="18"/>
        </w:rPr>
        <mc:AlternateContent>
          <mc:Choice Requires="wps">
            <w:drawing>
              <wp:anchor distT="0" distB="0" distL="0" distR="0" simplePos="0" relativeHeight="15769088" behindDoc="0" locked="0" layoutInCell="1" allowOverlap="1" wp14:anchorId="2A3F5442" wp14:editId="5A902ABD">
                <wp:simplePos x="0" y="0"/>
                <wp:positionH relativeFrom="page">
                  <wp:posOffset>1160771</wp:posOffset>
                </wp:positionH>
                <wp:positionV relativeFrom="paragraph">
                  <wp:posOffset>234291</wp:posOffset>
                </wp:positionV>
                <wp:extent cx="337820" cy="37782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377825"/>
                        </a:xfrm>
                        <a:prstGeom prst="rect">
                          <a:avLst/>
                        </a:prstGeom>
                      </wps:spPr>
                      <wps:txbx>
                        <w:txbxContent>
                          <w:p w14:paraId="4EE70D92" w14:textId="77777777" w:rsidR="000E52B0" w:rsidRDefault="00F60D74">
                            <w:pPr>
                              <w:spacing w:before="20"/>
                              <w:ind w:left="20"/>
                              <w:rPr>
                                <w:rFonts w:ascii="Trebuchet MS"/>
                                <w:sz w:val="18"/>
                              </w:rPr>
                            </w:pPr>
                            <w:r>
                              <w:rPr>
                                <w:rFonts w:ascii="Trebuchet MS"/>
                                <w:color w:val="404040"/>
                                <w:spacing w:val="-4"/>
                                <w:w w:val="105"/>
                                <w:sz w:val="18"/>
                              </w:rPr>
                              <w:t>0,3%</w:t>
                            </w:r>
                          </w:p>
                          <w:p w14:paraId="110071B5" w14:textId="77777777" w:rsidR="000E52B0" w:rsidRDefault="00F60D74">
                            <w:pPr>
                              <w:spacing w:before="62"/>
                              <w:ind w:left="183"/>
                              <w:rPr>
                                <w:rFonts w:ascii="Trebuchet MS"/>
                                <w:sz w:val="18"/>
                              </w:rPr>
                            </w:pPr>
                            <w:r>
                              <w:rPr>
                                <w:rFonts w:ascii="Trebuchet MS"/>
                                <w:color w:val="404040"/>
                                <w:spacing w:val="-4"/>
                                <w:w w:val="105"/>
                                <w:sz w:val="18"/>
                              </w:rPr>
                              <w:t>5,7%</w:t>
                            </w:r>
                          </w:p>
                        </w:txbxContent>
                      </wps:txbx>
                      <wps:bodyPr vert="vert270" wrap="square" lIns="0" tIns="0" rIns="0" bIns="0" rtlCol="0">
                        <a:noAutofit/>
                      </wps:bodyPr>
                    </wps:wsp>
                  </a:graphicData>
                </a:graphic>
              </wp:anchor>
            </w:drawing>
          </mc:Choice>
          <mc:Fallback>
            <w:pict>
              <v:shape w14:anchorId="2A3F5442" id="Textbox 227" o:spid="_x0000_s1148" type="#_x0000_t202" style="position:absolute;left:0;text-align:left;margin-left:91.4pt;margin-top:18.45pt;width:26.6pt;height:29.75pt;z-index:1576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" filled="f" stroked="f">
                <v:textbox style="layout-flow:vertical;mso-layout-flow-alt:bottom-to-top" inset="0,0,0,0">
                  <w:txbxContent>
                    <w:p w14:paraId="4EE70D92" w14:textId="77777777" w:rsidR="000E52B0" w:rsidRDefault="00F60D74">
                      <w:pPr>
                        <w:spacing w:before="20"/>
                        <w:ind w:left="20"/>
                        <w:rPr>
                          <w:rFonts w:ascii="Trebuchet MS"/>
                          <w:sz w:val="18"/>
                        </w:rPr>
                      </w:pPr>
                      <w:r>
                        <w:rPr>
                          <w:rFonts w:ascii="Trebuchet MS"/>
                          <w:color w:val="404040"/>
                          <w:spacing w:val="-4"/>
                          <w:w w:val="105"/>
                          <w:sz w:val="18"/>
                        </w:rPr>
                        <w:t>0,3%</w:t>
                      </w:r>
                    </w:p>
                    <w:p w14:paraId="110071B5" w14:textId="77777777" w:rsidR="000E52B0" w:rsidRDefault="00F60D74">
                      <w:pPr>
                        <w:spacing w:before="62"/>
                        <w:ind w:left="183"/>
                        <w:rPr>
                          <w:rFonts w:ascii="Trebuchet MS"/>
                          <w:sz w:val="18"/>
                        </w:rPr>
                      </w:pPr>
                      <w:r>
                        <w:rPr>
                          <w:rFonts w:ascii="Trebuchet MS"/>
                          <w:color w:val="404040"/>
                          <w:spacing w:val="-4"/>
                          <w:w w:val="105"/>
                          <w:sz w:val="18"/>
                        </w:rPr>
                        <w:t>5,7%</w:t>
                      </w:r>
                    </w:p>
                  </w:txbxContent>
                </v:textbox>
                <w10:wrap anchorx="page"/>
              </v:shape>
            </w:pict>
          </mc:Fallback>
        </mc:AlternateContent>
      </w:r>
      <w:r>
        <w:rPr>
          <w:rFonts w:ascii="Trebuchet MS" w:hAnsi="Trebuchet MS"/>
          <w:noProof/>
          <w:sz w:val="18"/>
        </w:rPr>
        <mc:AlternateContent>
          <mc:Choice Requires="wps">
            <w:drawing>
              <wp:anchor distT="0" distB="0" distL="0" distR="0" simplePos="0" relativeHeight="15770624" behindDoc="0" locked="0" layoutInCell="1" allowOverlap="1" wp14:anchorId="67C4686E" wp14:editId="74E720A5">
                <wp:simplePos x="0" y="0"/>
                <wp:positionH relativeFrom="page">
                  <wp:posOffset>2284213</wp:posOffset>
                </wp:positionH>
                <wp:positionV relativeFrom="paragraph">
                  <wp:posOffset>277673</wp:posOffset>
                </wp:positionV>
                <wp:extent cx="337820" cy="33591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335915"/>
                        </a:xfrm>
                        <a:prstGeom prst="rect">
                          <a:avLst/>
                        </a:prstGeom>
                      </wps:spPr>
                      <wps:txbx>
                        <w:txbxContent>
                          <w:p w14:paraId="60A1A6B4" w14:textId="77777777" w:rsidR="000E52B0" w:rsidRDefault="00F60D74">
                            <w:pPr>
                              <w:spacing w:before="20"/>
                              <w:ind w:left="20"/>
                              <w:rPr>
                                <w:rFonts w:ascii="Trebuchet MS"/>
                                <w:sz w:val="18"/>
                              </w:rPr>
                            </w:pPr>
                            <w:r>
                              <w:rPr>
                                <w:rFonts w:ascii="Trebuchet MS"/>
                                <w:color w:val="404040"/>
                                <w:spacing w:val="-4"/>
                                <w:w w:val="105"/>
                                <w:sz w:val="18"/>
                              </w:rPr>
                              <w:t>0,2%</w:t>
                            </w:r>
                          </w:p>
                          <w:p w14:paraId="3485311E" w14:textId="77777777" w:rsidR="000E52B0" w:rsidRDefault="00F60D74">
                            <w:pPr>
                              <w:spacing w:before="62"/>
                              <w:ind w:left="116"/>
                              <w:rPr>
                                <w:rFonts w:ascii="Trebuchet MS"/>
                                <w:sz w:val="18"/>
                              </w:rPr>
                            </w:pPr>
                            <w:r>
                              <w:rPr>
                                <w:rFonts w:ascii="Trebuchet MS"/>
                                <w:color w:val="404040"/>
                                <w:spacing w:val="-4"/>
                                <w:w w:val="105"/>
                                <w:sz w:val="18"/>
                              </w:rPr>
                              <w:t>3,4%</w:t>
                            </w:r>
                          </w:p>
                        </w:txbxContent>
                      </wps:txbx>
                      <wps:bodyPr vert="vert270" wrap="square" lIns="0" tIns="0" rIns="0" bIns="0" rtlCol="0">
                        <a:noAutofit/>
                      </wps:bodyPr>
                    </wps:wsp>
                  </a:graphicData>
                </a:graphic>
              </wp:anchor>
            </w:drawing>
          </mc:Choice>
          <mc:Fallback>
            <w:pict>
              <v:shape w14:anchorId="67C4686E" id="Textbox 228" o:spid="_x0000_s1149" type="#_x0000_t202" style="position:absolute;left:0;text-align:left;margin-left:179.85pt;margin-top:21.85pt;width:26.6pt;height:26.45pt;z-index:1577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" filled="f" stroked="f">
                <v:textbox style="layout-flow:vertical;mso-layout-flow-alt:bottom-to-top" inset="0,0,0,0">
                  <w:txbxContent>
                    <w:p w14:paraId="60A1A6B4" w14:textId="77777777" w:rsidR="000E52B0" w:rsidRDefault="00F60D74">
                      <w:pPr>
                        <w:spacing w:before="20"/>
                        <w:ind w:left="20"/>
                        <w:rPr>
                          <w:rFonts w:ascii="Trebuchet MS"/>
                          <w:sz w:val="18"/>
                        </w:rPr>
                      </w:pPr>
                      <w:r>
                        <w:rPr>
                          <w:rFonts w:ascii="Trebuchet MS"/>
                          <w:color w:val="404040"/>
                          <w:spacing w:val="-4"/>
                          <w:w w:val="105"/>
                          <w:sz w:val="18"/>
                        </w:rPr>
                        <w:t>0,2%</w:t>
                      </w:r>
                    </w:p>
                    <w:p w14:paraId="3485311E" w14:textId="77777777" w:rsidR="000E52B0" w:rsidRDefault="00F60D74">
                      <w:pPr>
                        <w:spacing w:before="62"/>
                        <w:ind w:left="116"/>
                        <w:rPr>
                          <w:rFonts w:ascii="Trebuchet MS"/>
                          <w:sz w:val="18"/>
                        </w:rPr>
                      </w:pPr>
                      <w:r>
                        <w:rPr>
                          <w:rFonts w:ascii="Trebuchet MS"/>
                          <w:color w:val="404040"/>
                          <w:spacing w:val="-4"/>
                          <w:w w:val="105"/>
                          <w:sz w:val="18"/>
                        </w:rPr>
                        <w:t>3,4%</w:t>
                      </w:r>
                    </w:p>
                  </w:txbxContent>
                </v:textbox>
                <w10:wrap anchorx="page"/>
              </v:shape>
            </w:pict>
          </mc:Fallback>
        </mc:AlternateContent>
      </w:r>
      <w:r>
        <w:rPr>
          <w:rFonts w:ascii="Trebuchet MS" w:hAnsi="Trebuchet MS"/>
          <w:noProof/>
          <w:sz w:val="18"/>
        </w:rPr>
        <mc:AlternateContent>
          <mc:Choice Requires="wps">
            <w:drawing>
              <wp:anchor distT="0" distB="0" distL="0" distR="0" simplePos="0" relativeHeight="15772160" behindDoc="0" locked="0" layoutInCell="1" allowOverlap="1" wp14:anchorId="61DC4E3A" wp14:editId="5BB203AD">
                <wp:simplePos x="0" y="0"/>
                <wp:positionH relativeFrom="page">
                  <wp:posOffset>3407401</wp:posOffset>
                </wp:positionH>
                <wp:positionV relativeFrom="paragraph">
                  <wp:posOffset>287885</wp:posOffset>
                </wp:positionV>
                <wp:extent cx="165100" cy="27432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274320"/>
                        </a:xfrm>
                        <a:prstGeom prst="rect">
                          <a:avLst/>
                        </a:prstGeom>
                      </wps:spPr>
                      <wps:txbx>
                        <w:txbxContent>
                          <w:p w14:paraId="2038E405" w14:textId="77777777" w:rsidR="000E52B0" w:rsidRDefault="00F60D74">
                            <w:pPr>
                              <w:spacing w:before="20"/>
                              <w:ind w:left="20"/>
                              <w:rPr>
                                <w:rFonts w:ascii="Trebuchet MS"/>
                                <w:sz w:val="18"/>
                              </w:rPr>
                            </w:pPr>
                            <w:r>
                              <w:rPr>
                                <w:rFonts w:ascii="Trebuchet MS"/>
                                <w:color w:val="404040"/>
                                <w:spacing w:val="-4"/>
                                <w:w w:val="105"/>
                                <w:sz w:val="18"/>
                              </w:rPr>
                              <w:t>2,9%</w:t>
                            </w:r>
                          </w:p>
                        </w:txbxContent>
                      </wps:txbx>
                      <wps:bodyPr vert="vert270" wrap="square" lIns="0" tIns="0" rIns="0" bIns="0" rtlCol="0">
                        <a:noAutofit/>
                      </wps:bodyPr>
                    </wps:wsp>
                  </a:graphicData>
                </a:graphic>
              </wp:anchor>
            </w:drawing>
          </mc:Choice>
          <mc:Fallback>
            <w:pict>
              <v:shape w14:anchorId="61DC4E3A" id="Textbox 229" o:spid="_x0000_s1150" type="#_x0000_t202" style="position:absolute;left:0;text-align:left;margin-left:268.3pt;margin-top:22.65pt;width:13pt;height:21.6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" filled="f" stroked="f">
                <v:textbox style="layout-flow:vertical;mso-layout-flow-alt:bottom-to-top" inset="0,0,0,0">
                  <w:txbxContent>
                    <w:p w14:paraId="2038E405" w14:textId="77777777" w:rsidR="000E52B0" w:rsidRDefault="00F60D74">
                      <w:pPr>
                        <w:spacing w:before="20"/>
                        <w:ind w:left="20"/>
                        <w:rPr>
                          <w:rFonts w:ascii="Trebuchet MS"/>
                          <w:sz w:val="18"/>
                        </w:rPr>
                      </w:pPr>
                      <w:r>
                        <w:rPr>
                          <w:rFonts w:ascii="Trebuchet MS"/>
                          <w:color w:val="404040"/>
                          <w:spacing w:val="-4"/>
                          <w:w w:val="105"/>
                          <w:sz w:val="18"/>
                        </w:rPr>
                        <w:t>2,9%</w:t>
                      </w:r>
                    </w:p>
                  </w:txbxContent>
                </v:textbox>
                <w10:wrap anchorx="page"/>
              </v:shape>
            </w:pict>
          </mc:Fallback>
        </mc:AlternateContent>
      </w:r>
      <w:r>
        <w:rPr>
          <w:rFonts w:ascii="Trebuchet MS" w:hAnsi="Trebuchet MS"/>
          <w:noProof/>
          <w:sz w:val="18"/>
        </w:rPr>
        <mc:AlternateContent>
          <mc:Choice Requires="wps">
            <w:drawing>
              <wp:anchor distT="0" distB="0" distL="0" distR="0" simplePos="0" relativeHeight="15773696" behindDoc="0" locked="0" layoutInCell="1" allowOverlap="1" wp14:anchorId="5743E04F" wp14:editId="62011615">
                <wp:simplePos x="0" y="0"/>
                <wp:positionH relativeFrom="page">
                  <wp:posOffset>3924926</wp:posOffset>
                </wp:positionH>
                <wp:positionV relativeFrom="paragraph">
                  <wp:posOffset>254103</wp:posOffset>
                </wp:positionV>
                <wp:extent cx="337820" cy="33972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339725"/>
                        </a:xfrm>
                        <a:prstGeom prst="rect">
                          <a:avLst/>
                        </a:prstGeom>
                      </wps:spPr>
                      <wps:txbx>
                        <w:txbxContent>
                          <w:p w14:paraId="5B7866F6" w14:textId="77777777" w:rsidR="000E52B0" w:rsidRDefault="00F60D74">
                            <w:pPr>
                              <w:spacing w:before="20"/>
                              <w:ind w:left="123"/>
                              <w:rPr>
                                <w:rFonts w:ascii="Trebuchet MS"/>
                                <w:sz w:val="18"/>
                              </w:rPr>
                            </w:pPr>
                            <w:r>
                              <w:rPr>
                                <w:rFonts w:ascii="Trebuchet MS"/>
                                <w:color w:val="404040"/>
                                <w:spacing w:val="-4"/>
                                <w:w w:val="105"/>
                                <w:sz w:val="18"/>
                              </w:rPr>
                              <w:t>4,7%</w:t>
                            </w:r>
                          </w:p>
                          <w:p w14:paraId="3512DEAF" w14:textId="77777777" w:rsidR="000E52B0" w:rsidRDefault="00F60D74">
                            <w:pPr>
                              <w:spacing w:before="62"/>
                              <w:ind w:left="20"/>
                              <w:rPr>
                                <w:rFonts w:ascii="Trebuchet MS"/>
                                <w:sz w:val="18"/>
                              </w:rPr>
                            </w:pPr>
                            <w:r>
                              <w:rPr>
                                <w:rFonts w:ascii="Trebuchet MS"/>
                                <w:color w:val="404040"/>
                                <w:spacing w:val="-4"/>
                                <w:w w:val="105"/>
                                <w:sz w:val="18"/>
                              </w:rPr>
                              <w:t>1,2%</w:t>
                            </w:r>
                          </w:p>
                        </w:txbxContent>
                      </wps:txbx>
                      <wps:bodyPr vert="vert270" wrap="square" lIns="0" tIns="0" rIns="0" bIns="0" rtlCol="0">
                        <a:noAutofit/>
                      </wps:bodyPr>
                    </wps:wsp>
                  </a:graphicData>
                </a:graphic>
              </wp:anchor>
            </w:drawing>
          </mc:Choice>
          <mc:Fallback>
            <w:pict>
              <v:shape w14:anchorId="5743E04F" id="Textbox 230" o:spid="_x0000_s1151" type="#_x0000_t202" style="position:absolute;left:0;text-align:left;margin-left:309.05pt;margin-top:20pt;width:26.6pt;height:26.75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" filled="f" stroked="f">
                <v:textbox style="layout-flow:vertical;mso-layout-flow-alt:bottom-to-top" inset="0,0,0,0">
                  <w:txbxContent>
                    <w:p w14:paraId="5B7866F6" w14:textId="77777777" w:rsidR="000E52B0" w:rsidRDefault="00F60D74">
                      <w:pPr>
                        <w:spacing w:before="20"/>
                        <w:ind w:left="123"/>
                        <w:rPr>
                          <w:rFonts w:ascii="Trebuchet MS"/>
                          <w:sz w:val="18"/>
                        </w:rPr>
                      </w:pPr>
                      <w:r>
                        <w:rPr>
                          <w:rFonts w:ascii="Trebuchet MS"/>
                          <w:color w:val="404040"/>
                          <w:spacing w:val="-4"/>
                          <w:w w:val="105"/>
                          <w:sz w:val="18"/>
                        </w:rPr>
                        <w:t>4,7%</w:t>
                      </w:r>
                    </w:p>
                    <w:p w14:paraId="3512DEAF" w14:textId="77777777" w:rsidR="000E52B0" w:rsidRDefault="00F60D74">
                      <w:pPr>
                        <w:spacing w:before="62"/>
                        <w:ind w:left="20"/>
                        <w:rPr>
                          <w:rFonts w:ascii="Trebuchet MS"/>
                          <w:sz w:val="18"/>
                        </w:rPr>
                      </w:pPr>
                      <w:r>
                        <w:rPr>
                          <w:rFonts w:ascii="Trebuchet MS"/>
                          <w:color w:val="404040"/>
                          <w:spacing w:val="-4"/>
                          <w:w w:val="105"/>
                          <w:sz w:val="18"/>
                        </w:rPr>
                        <w:t>1,2%</w:t>
                      </w:r>
                    </w:p>
                  </w:txbxContent>
                </v:textbox>
                <w10:wrap anchorx="page"/>
              </v:shape>
            </w:pict>
          </mc:Fallback>
        </mc:AlternateContent>
      </w:r>
      <w:r>
        <w:rPr>
          <w:rFonts w:ascii="Trebuchet MS" w:hAnsi="Trebuchet MS"/>
          <w:noProof/>
          <w:sz w:val="18"/>
        </w:rPr>
        <mc:AlternateContent>
          <mc:Choice Requires="wps">
            <w:drawing>
              <wp:anchor distT="0" distB="0" distL="0" distR="0" simplePos="0" relativeHeight="15775232" behindDoc="0" locked="0" layoutInCell="1" allowOverlap="1" wp14:anchorId="5EB9063C" wp14:editId="7B310722">
                <wp:simplePos x="0" y="0"/>
                <wp:positionH relativeFrom="page">
                  <wp:posOffset>5048114</wp:posOffset>
                </wp:positionH>
                <wp:positionV relativeFrom="paragraph">
                  <wp:posOffset>215368</wp:posOffset>
                </wp:positionV>
                <wp:extent cx="337820" cy="37020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20" cy="370205"/>
                        </a:xfrm>
                        <a:prstGeom prst="rect">
                          <a:avLst/>
                        </a:prstGeom>
                      </wps:spPr>
                      <wps:txbx>
                        <w:txbxContent>
                          <w:p w14:paraId="7E39274F" w14:textId="77777777" w:rsidR="000E52B0" w:rsidRDefault="00F60D74">
                            <w:pPr>
                              <w:spacing w:before="20"/>
                              <w:ind w:left="171"/>
                              <w:rPr>
                                <w:rFonts w:ascii="Trebuchet MS"/>
                                <w:sz w:val="18"/>
                              </w:rPr>
                            </w:pPr>
                            <w:r>
                              <w:rPr>
                                <w:rFonts w:ascii="Trebuchet MS"/>
                                <w:color w:val="404040"/>
                                <w:spacing w:val="-4"/>
                                <w:w w:val="105"/>
                                <w:sz w:val="18"/>
                              </w:rPr>
                              <w:t>6,7%</w:t>
                            </w:r>
                          </w:p>
                          <w:p w14:paraId="71A60293" w14:textId="77777777" w:rsidR="000E52B0" w:rsidRDefault="00F60D74">
                            <w:pPr>
                              <w:spacing w:before="62"/>
                              <w:ind w:left="20"/>
                              <w:rPr>
                                <w:rFonts w:ascii="Trebuchet MS"/>
                                <w:sz w:val="18"/>
                              </w:rPr>
                            </w:pPr>
                            <w:r>
                              <w:rPr>
                                <w:rFonts w:ascii="Trebuchet MS"/>
                                <w:color w:val="404040"/>
                                <w:spacing w:val="-4"/>
                                <w:w w:val="105"/>
                                <w:sz w:val="18"/>
                              </w:rPr>
                              <w:t>1,7%</w:t>
                            </w:r>
                          </w:p>
                        </w:txbxContent>
                      </wps:txbx>
                      <wps:bodyPr vert="vert270" wrap="square" lIns="0" tIns="0" rIns="0" bIns="0" rtlCol="0">
                        <a:noAutofit/>
                      </wps:bodyPr>
                    </wps:wsp>
                  </a:graphicData>
                </a:graphic>
              </wp:anchor>
            </w:drawing>
          </mc:Choice>
          <mc:Fallback>
            <w:pict>
              <v:shape w14:anchorId="5EB9063C" id="Textbox 231" o:spid="_x0000_s1152" type="#_x0000_t202" style="position:absolute;left:0;text-align:left;margin-left:397.5pt;margin-top:16.95pt;width:26.6pt;height:29.15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" filled="f" stroked="f">
                <v:textbox style="layout-flow:vertical;mso-layout-flow-alt:bottom-to-top" inset="0,0,0,0">
                  <w:txbxContent>
                    <w:p w14:paraId="7E39274F" w14:textId="77777777" w:rsidR="000E52B0" w:rsidRDefault="00F60D74">
                      <w:pPr>
                        <w:spacing w:before="20"/>
                        <w:ind w:left="171"/>
                        <w:rPr>
                          <w:rFonts w:ascii="Trebuchet MS"/>
                          <w:sz w:val="18"/>
                        </w:rPr>
                      </w:pPr>
                      <w:r>
                        <w:rPr>
                          <w:rFonts w:ascii="Trebuchet MS"/>
                          <w:color w:val="404040"/>
                          <w:spacing w:val="-4"/>
                          <w:w w:val="105"/>
                          <w:sz w:val="18"/>
                        </w:rPr>
                        <w:t>6,7%</w:t>
                      </w:r>
                    </w:p>
                    <w:p w14:paraId="71A60293" w14:textId="77777777" w:rsidR="000E52B0" w:rsidRDefault="00F60D74">
                      <w:pPr>
                        <w:spacing w:before="62"/>
                        <w:ind w:left="20"/>
                        <w:rPr>
                          <w:rFonts w:ascii="Trebuchet MS"/>
                          <w:sz w:val="18"/>
                        </w:rPr>
                      </w:pPr>
                      <w:r>
                        <w:rPr>
                          <w:rFonts w:ascii="Trebuchet MS"/>
                          <w:color w:val="404040"/>
                          <w:spacing w:val="-4"/>
                          <w:w w:val="105"/>
                          <w:sz w:val="18"/>
                        </w:rPr>
                        <w:t>1,7%</w:t>
                      </w:r>
                    </w:p>
                  </w:txbxContent>
                </v:textbox>
                <w10:wrap anchorx="page"/>
              </v:shape>
            </w:pict>
          </mc:Fallback>
        </mc:AlternateContent>
      </w:r>
      <w:r>
        <w:rPr>
          <w:noProof/>
        </w:rPr>
        <w:drawing>
          <wp:inline distT="0" distB="0" distL="0" distR="0" wp14:anchorId="22EB8D4D" wp14:editId="419896D1">
            <wp:extent cx="62779" cy="62779"/>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01" cstate="print"/>
                    <a:stretch>
                      <a:fillRect/>
                    </a:stretch>
                  </pic:blipFill>
                  <pic:spPr>
                    <a:xfrm>
                      <a:off x="0" y="0"/>
                      <a:ext cx="62779" cy="62779"/>
                    </a:xfrm>
                    <a:prstGeom prst="rect">
                      <a:avLst/>
                    </a:prstGeom>
                  </pic:spPr>
                </pic:pic>
              </a:graphicData>
            </a:graphic>
          </wp:inline>
        </w:drawing>
      </w:r>
      <w:r>
        <w:rPr>
          <w:rFonts w:ascii="Times New Roman" w:hAnsi="Times New Roman"/>
          <w:spacing w:val="-5"/>
          <w:sz w:val="20"/>
        </w:rPr>
        <w:t xml:space="preserve"> </w:t>
      </w:r>
      <w:r>
        <w:rPr>
          <w:rFonts w:ascii="Trebuchet MS" w:hAnsi="Trebuchet MS"/>
          <w:color w:val="585858"/>
          <w:sz w:val="18"/>
        </w:rPr>
        <w:t>Básica secundaria</w:t>
      </w:r>
      <w:r>
        <w:rPr>
          <w:rFonts w:ascii="Trebuchet MS" w:hAnsi="Trebuchet MS"/>
          <w:color w:val="585858"/>
          <w:spacing w:val="-16"/>
          <w:sz w:val="18"/>
        </w:rPr>
        <w:t xml:space="preserve"> </w:t>
      </w:r>
      <w:r>
        <w:rPr>
          <w:rFonts w:ascii="Trebuchet MS" w:hAnsi="Trebuchet MS"/>
          <w:color w:val="585858"/>
          <w:sz w:val="18"/>
        </w:rPr>
        <w:t xml:space="preserve">o </w:t>
      </w:r>
      <w:r>
        <w:rPr>
          <w:rFonts w:ascii="Trebuchet MS" w:hAnsi="Trebuchet MS"/>
          <w:color w:val="585858"/>
          <w:spacing w:val="-2"/>
          <w:sz w:val="18"/>
        </w:rPr>
        <w:t>media</w:t>
      </w:r>
    </w:p>
    <w:p w14:paraId="73CAE68A" w14:textId="77777777" w:rsidR="000E52B0" w:rsidRDefault="000E52B0">
      <w:pPr>
        <w:pStyle w:val="Textoindependiente"/>
        <w:spacing w:before="121"/>
        <w:ind w:left="0"/>
        <w:rPr>
          <w:rFonts w:ascii="Trebuchet MS"/>
          <w:sz w:val="18"/>
        </w:rPr>
      </w:pPr>
    </w:p>
    <w:p w14:paraId="49FB3045" w14:textId="77777777" w:rsidR="000E52B0" w:rsidRDefault="00F60D74">
      <w:pPr>
        <w:tabs>
          <w:tab w:val="left" w:pos="2883"/>
          <w:tab w:val="left" w:pos="4684"/>
          <w:tab w:val="left" w:pos="6503"/>
        </w:tabs>
        <w:spacing w:before="1"/>
        <w:ind w:left="1064"/>
        <w:rPr>
          <w:rFonts w:ascii="Trebuchet MS"/>
          <w:sz w:val="18"/>
        </w:rPr>
      </w:pPr>
      <w:r>
        <w:rPr>
          <w:rFonts w:ascii="Trebuchet MS"/>
          <w:color w:val="585858"/>
          <w:sz w:val="18"/>
        </w:rPr>
        <w:t>Hombres</w:t>
      </w:r>
      <w:r>
        <w:rPr>
          <w:rFonts w:ascii="Trebuchet MS"/>
          <w:color w:val="585858"/>
          <w:spacing w:val="-15"/>
          <w:sz w:val="18"/>
        </w:rPr>
        <w:t xml:space="preserve"> </w:t>
      </w:r>
      <w:r>
        <w:rPr>
          <w:rFonts w:ascii="Trebuchet MS"/>
          <w:color w:val="585858"/>
          <w:sz w:val="18"/>
        </w:rPr>
        <w:t>-</w:t>
      </w:r>
      <w:r>
        <w:rPr>
          <w:rFonts w:ascii="Trebuchet MS"/>
          <w:color w:val="585858"/>
          <w:spacing w:val="-16"/>
          <w:sz w:val="18"/>
        </w:rPr>
        <w:t xml:space="preserve"> </w:t>
      </w:r>
      <w:r>
        <w:rPr>
          <w:rFonts w:ascii="Trebuchet MS"/>
          <w:color w:val="585858"/>
          <w:spacing w:val="-2"/>
          <w:sz w:val="18"/>
        </w:rPr>
        <w:t>Urbano</w:t>
      </w:r>
      <w:r>
        <w:rPr>
          <w:rFonts w:ascii="Trebuchet MS"/>
          <w:color w:val="585858"/>
          <w:sz w:val="18"/>
        </w:rPr>
        <w:tab/>
      </w:r>
      <w:r>
        <w:rPr>
          <w:rFonts w:ascii="Trebuchet MS"/>
          <w:color w:val="585858"/>
          <w:spacing w:val="-4"/>
          <w:sz w:val="18"/>
        </w:rPr>
        <w:t>Mujeres</w:t>
      </w:r>
      <w:r>
        <w:rPr>
          <w:rFonts w:ascii="Trebuchet MS"/>
          <w:color w:val="585858"/>
          <w:spacing w:val="-11"/>
          <w:sz w:val="18"/>
        </w:rPr>
        <w:t xml:space="preserve"> </w:t>
      </w:r>
      <w:r>
        <w:rPr>
          <w:rFonts w:ascii="Trebuchet MS"/>
          <w:color w:val="585858"/>
          <w:spacing w:val="-4"/>
          <w:sz w:val="18"/>
        </w:rPr>
        <w:t>-</w:t>
      </w:r>
      <w:r>
        <w:rPr>
          <w:rFonts w:ascii="Trebuchet MS"/>
          <w:color w:val="585858"/>
          <w:spacing w:val="-11"/>
          <w:sz w:val="18"/>
        </w:rPr>
        <w:t xml:space="preserve"> </w:t>
      </w:r>
      <w:r>
        <w:rPr>
          <w:rFonts w:ascii="Trebuchet MS"/>
          <w:color w:val="585858"/>
          <w:spacing w:val="-4"/>
          <w:sz w:val="18"/>
        </w:rPr>
        <w:t>Urbano</w:t>
      </w:r>
      <w:r>
        <w:rPr>
          <w:rFonts w:ascii="Trebuchet MS"/>
          <w:color w:val="585858"/>
          <w:sz w:val="18"/>
        </w:rPr>
        <w:tab/>
        <w:t>Hombres</w:t>
      </w:r>
      <w:r>
        <w:rPr>
          <w:rFonts w:ascii="Trebuchet MS"/>
          <w:color w:val="585858"/>
          <w:spacing w:val="-15"/>
          <w:sz w:val="18"/>
        </w:rPr>
        <w:t xml:space="preserve"> </w:t>
      </w:r>
      <w:r>
        <w:rPr>
          <w:rFonts w:ascii="Trebuchet MS"/>
          <w:color w:val="585858"/>
          <w:sz w:val="18"/>
        </w:rPr>
        <w:t>-</w:t>
      </w:r>
      <w:r>
        <w:rPr>
          <w:rFonts w:ascii="Trebuchet MS"/>
          <w:color w:val="585858"/>
          <w:spacing w:val="-16"/>
          <w:sz w:val="18"/>
        </w:rPr>
        <w:t xml:space="preserve"> </w:t>
      </w:r>
      <w:r>
        <w:rPr>
          <w:rFonts w:ascii="Trebuchet MS"/>
          <w:color w:val="585858"/>
          <w:spacing w:val="-2"/>
          <w:sz w:val="18"/>
        </w:rPr>
        <w:t>Rural</w:t>
      </w:r>
      <w:r>
        <w:rPr>
          <w:rFonts w:ascii="Trebuchet MS"/>
          <w:color w:val="585858"/>
          <w:sz w:val="18"/>
        </w:rPr>
        <w:tab/>
      </w:r>
      <w:r>
        <w:rPr>
          <w:rFonts w:ascii="Trebuchet MS"/>
          <w:color w:val="585858"/>
          <w:spacing w:val="-4"/>
          <w:sz w:val="18"/>
        </w:rPr>
        <w:t>Mujeres</w:t>
      </w:r>
      <w:r>
        <w:rPr>
          <w:rFonts w:ascii="Trebuchet MS"/>
          <w:color w:val="585858"/>
          <w:spacing w:val="-11"/>
          <w:sz w:val="18"/>
        </w:rPr>
        <w:t xml:space="preserve"> </w:t>
      </w:r>
      <w:r>
        <w:rPr>
          <w:rFonts w:ascii="Trebuchet MS"/>
          <w:color w:val="585858"/>
          <w:spacing w:val="-4"/>
          <w:sz w:val="18"/>
        </w:rPr>
        <w:t>-</w:t>
      </w:r>
      <w:r>
        <w:rPr>
          <w:rFonts w:ascii="Trebuchet MS"/>
          <w:color w:val="585858"/>
          <w:spacing w:val="-11"/>
          <w:sz w:val="18"/>
        </w:rPr>
        <w:t xml:space="preserve"> </w:t>
      </w:r>
      <w:r>
        <w:rPr>
          <w:rFonts w:ascii="Trebuchet MS"/>
          <w:color w:val="585858"/>
          <w:spacing w:val="-4"/>
          <w:sz w:val="18"/>
        </w:rPr>
        <w:t>Rural</w:t>
      </w:r>
    </w:p>
    <w:p w14:paraId="4477B5E3" w14:textId="77777777" w:rsidR="000E52B0" w:rsidRDefault="00F60D74">
      <w:pPr>
        <w:spacing w:before="182"/>
        <w:ind w:right="1"/>
        <w:jc w:val="center"/>
        <w:rPr>
          <w:i/>
          <w:sz w:val="18"/>
        </w:rPr>
      </w:pPr>
      <w:r>
        <w:rPr>
          <w:i/>
          <w:color w:val="454551"/>
          <w:sz w:val="18"/>
        </w:rPr>
        <w:t>Fuente</w:t>
      </w:r>
      <w:r>
        <w:rPr>
          <w:i/>
          <w:color w:val="454551"/>
          <w:spacing w:val="-1"/>
          <w:sz w:val="18"/>
        </w:rPr>
        <w:t xml:space="preserve"> </w:t>
      </w:r>
      <w:r>
        <w:rPr>
          <w:i/>
          <w:color w:val="454551"/>
          <w:sz w:val="18"/>
        </w:rPr>
        <w:t>14.</w:t>
      </w:r>
      <w:r>
        <w:rPr>
          <w:i/>
          <w:color w:val="454551"/>
          <w:spacing w:val="-4"/>
          <w:sz w:val="18"/>
        </w:rPr>
        <w:t xml:space="preserve"> </w:t>
      </w:r>
      <w:r>
        <w:rPr>
          <w:i/>
          <w:color w:val="454551"/>
          <w:sz w:val="18"/>
        </w:rPr>
        <w:t>Elaboración</w:t>
      </w:r>
      <w:r>
        <w:rPr>
          <w:i/>
          <w:color w:val="454551"/>
          <w:spacing w:val="-2"/>
          <w:sz w:val="18"/>
        </w:rPr>
        <w:t xml:space="preserve"> </w:t>
      </w:r>
      <w:r>
        <w:rPr>
          <w:i/>
          <w:color w:val="454551"/>
          <w:sz w:val="18"/>
        </w:rPr>
        <w:t>propia.</w:t>
      </w:r>
      <w:r>
        <w:rPr>
          <w:i/>
          <w:color w:val="454551"/>
          <w:spacing w:val="-3"/>
          <w:sz w:val="18"/>
        </w:rPr>
        <w:t xml:space="preserve"> </w:t>
      </w:r>
      <w:r>
        <w:rPr>
          <w:i/>
          <w:color w:val="454551"/>
          <w:sz w:val="18"/>
        </w:rPr>
        <w:t>Datos:</w:t>
      </w:r>
      <w:r>
        <w:rPr>
          <w:i/>
          <w:color w:val="454551"/>
          <w:spacing w:val="-4"/>
          <w:sz w:val="18"/>
        </w:rPr>
        <w:t xml:space="preserve"> </w:t>
      </w:r>
      <w:r>
        <w:rPr>
          <w:i/>
          <w:color w:val="454551"/>
          <w:sz w:val="18"/>
        </w:rPr>
        <w:t>ECV</w:t>
      </w:r>
      <w:r>
        <w:rPr>
          <w:i/>
          <w:color w:val="454551"/>
          <w:spacing w:val="-4"/>
          <w:sz w:val="18"/>
        </w:rPr>
        <w:t xml:space="preserve"> </w:t>
      </w:r>
      <w:r>
        <w:rPr>
          <w:i/>
          <w:color w:val="454551"/>
          <w:sz w:val="18"/>
        </w:rPr>
        <w:t>2022 –</w:t>
      </w:r>
      <w:r>
        <w:rPr>
          <w:i/>
          <w:color w:val="454551"/>
          <w:spacing w:val="-1"/>
          <w:sz w:val="18"/>
        </w:rPr>
        <w:t xml:space="preserve"> </w:t>
      </w:r>
      <w:r>
        <w:rPr>
          <w:i/>
          <w:color w:val="454551"/>
          <w:spacing w:val="-4"/>
          <w:sz w:val="18"/>
        </w:rPr>
        <w:t>DANE</w:t>
      </w:r>
    </w:p>
    <w:p w14:paraId="3F8991BE" w14:textId="77777777" w:rsidR="000E52B0" w:rsidRDefault="00F60D74">
      <w:pPr>
        <w:pStyle w:val="Textoindependiente"/>
        <w:spacing w:before="201"/>
        <w:ind w:right="712"/>
        <w:jc w:val="both"/>
      </w:pPr>
      <w:r>
        <w:t>A</w:t>
      </w:r>
      <w:r>
        <w:rPr>
          <w:spacing w:val="-17"/>
        </w:rPr>
        <w:t xml:space="preserve"> </w:t>
      </w:r>
      <w:r>
        <w:t>nivel</w:t>
      </w:r>
      <w:r>
        <w:rPr>
          <w:spacing w:val="-15"/>
        </w:rPr>
        <w:t xml:space="preserve"> </w:t>
      </w:r>
      <w:r>
        <w:t>de</w:t>
      </w:r>
      <w:r>
        <w:rPr>
          <w:spacing w:val="-15"/>
        </w:rPr>
        <w:t xml:space="preserve"> </w:t>
      </w:r>
      <w:r>
        <w:t>ubicación</w:t>
      </w:r>
      <w:r>
        <w:rPr>
          <w:spacing w:val="-14"/>
        </w:rPr>
        <w:t xml:space="preserve"> </w:t>
      </w:r>
      <w:r>
        <w:t>geográfica,</w:t>
      </w:r>
      <w:r>
        <w:rPr>
          <w:spacing w:val="-17"/>
        </w:rPr>
        <w:t xml:space="preserve"> </w:t>
      </w:r>
      <w:r>
        <w:t>Bogotá</w:t>
      </w:r>
      <w:r>
        <w:rPr>
          <w:spacing w:val="-16"/>
        </w:rPr>
        <w:t xml:space="preserve"> </w:t>
      </w:r>
      <w:r>
        <w:t>registra</w:t>
      </w:r>
      <w:r>
        <w:rPr>
          <w:spacing w:val="-15"/>
        </w:rPr>
        <w:t xml:space="preserve"> </w:t>
      </w:r>
      <w:r>
        <w:t>el</w:t>
      </w:r>
      <w:r>
        <w:rPr>
          <w:spacing w:val="-17"/>
        </w:rPr>
        <w:t xml:space="preserve"> </w:t>
      </w:r>
      <w:r>
        <w:t>mayor</w:t>
      </w:r>
      <w:r>
        <w:rPr>
          <w:spacing w:val="-15"/>
        </w:rPr>
        <w:t xml:space="preserve"> </w:t>
      </w:r>
      <w:r>
        <w:t>promedio</w:t>
      </w:r>
      <w:r>
        <w:rPr>
          <w:spacing w:val="-16"/>
        </w:rPr>
        <w:t xml:space="preserve"> </w:t>
      </w:r>
      <w:r>
        <w:t>de</w:t>
      </w:r>
      <w:r>
        <w:rPr>
          <w:spacing w:val="-15"/>
        </w:rPr>
        <w:t xml:space="preserve"> </w:t>
      </w:r>
      <w:r>
        <w:t>años de educación para las juventudes (11,5 años), seguido de Atlántico (10,8 años) y Quindío (10,7 años). Los departamentos donde las juventudes tienen menos años de estudio, estando en promedio tres (3) años por debajo</w:t>
      </w:r>
      <w:r>
        <w:rPr>
          <w:spacing w:val="-21"/>
        </w:rPr>
        <w:t xml:space="preserve"> </w:t>
      </w:r>
      <w:r>
        <w:t>de</w:t>
      </w:r>
      <w:r>
        <w:rPr>
          <w:spacing w:val="-19"/>
        </w:rPr>
        <w:t xml:space="preserve"> </w:t>
      </w:r>
      <w:r>
        <w:t>la</w:t>
      </w:r>
      <w:r>
        <w:rPr>
          <w:spacing w:val="-20"/>
        </w:rPr>
        <w:t xml:space="preserve"> </w:t>
      </w:r>
      <w:r>
        <w:t>media</w:t>
      </w:r>
      <w:r>
        <w:rPr>
          <w:spacing w:val="-18"/>
        </w:rPr>
        <w:t xml:space="preserve"> </w:t>
      </w:r>
      <w:r>
        <w:t>nacional</w:t>
      </w:r>
      <w:r>
        <w:rPr>
          <w:spacing w:val="-21"/>
        </w:rPr>
        <w:t xml:space="preserve"> </w:t>
      </w:r>
      <w:r>
        <w:t>son:</w:t>
      </w:r>
      <w:r>
        <w:rPr>
          <w:spacing w:val="-21"/>
        </w:rPr>
        <w:t xml:space="preserve"> </w:t>
      </w:r>
      <w:r>
        <w:t>Guainía</w:t>
      </w:r>
      <w:r>
        <w:rPr>
          <w:spacing w:val="-19"/>
        </w:rPr>
        <w:t xml:space="preserve"> </w:t>
      </w:r>
      <w:r>
        <w:t>(7,6</w:t>
      </w:r>
      <w:r>
        <w:rPr>
          <w:spacing w:val="-19"/>
        </w:rPr>
        <w:t xml:space="preserve"> </w:t>
      </w:r>
      <w:r>
        <w:t>años)</w:t>
      </w:r>
      <w:r>
        <w:rPr>
          <w:spacing w:val="-21"/>
        </w:rPr>
        <w:t xml:space="preserve"> </w:t>
      </w:r>
      <w:r>
        <w:t>y</w:t>
      </w:r>
      <w:r>
        <w:rPr>
          <w:spacing w:val="-20"/>
        </w:rPr>
        <w:t xml:space="preserve"> </w:t>
      </w:r>
      <w:r>
        <w:t>Vichada</w:t>
      </w:r>
      <w:r>
        <w:rPr>
          <w:spacing w:val="-20"/>
        </w:rPr>
        <w:t xml:space="preserve"> </w:t>
      </w:r>
      <w:r>
        <w:t>(6,5</w:t>
      </w:r>
      <w:r>
        <w:rPr>
          <w:spacing w:val="-18"/>
        </w:rPr>
        <w:t xml:space="preserve"> </w:t>
      </w:r>
      <w:r>
        <w:rPr>
          <w:spacing w:val="-2"/>
        </w:rPr>
        <w:t>años)</w:t>
      </w:r>
      <w:hyperlink w:anchor="_bookmark41" w:history="1">
        <w:r w:rsidR="000E52B0">
          <w:rPr>
            <w:spacing w:val="-2"/>
            <w:position w:val="8"/>
            <w:sz w:val="16"/>
          </w:rPr>
          <w:t>36</w:t>
        </w:r>
      </w:hyperlink>
      <w:r>
        <w:rPr>
          <w:spacing w:val="-2"/>
        </w:rPr>
        <w:t>.</w:t>
      </w:r>
    </w:p>
    <w:p w14:paraId="1BA8FC6B" w14:textId="77777777" w:rsidR="000E52B0" w:rsidRDefault="00F60D74">
      <w:pPr>
        <w:pStyle w:val="Textoindependiente"/>
        <w:spacing w:before="159"/>
        <w:ind w:right="718"/>
        <w:jc w:val="both"/>
      </w:pPr>
      <w:r>
        <w:t>Cabe recordar que, en estos últimos dos departamentos, los jóvenes representan un porcentaje mayor de la población total, en relación con el conglomerado de departamentos del país, al igual que en aquellos territorios marginados y excluidos y territorios colectivos y étnicos.</w:t>
      </w:r>
    </w:p>
    <w:p w14:paraId="3CE858E8" w14:textId="77777777" w:rsidR="000E52B0" w:rsidRDefault="00F60D74">
      <w:pPr>
        <w:pStyle w:val="Textoindependiente"/>
        <w:spacing w:before="161"/>
        <w:ind w:right="715"/>
        <w:jc w:val="both"/>
      </w:pPr>
      <w:r>
        <w:t>En</w:t>
      </w:r>
      <w:r>
        <w:rPr>
          <w:spacing w:val="-9"/>
        </w:rPr>
        <w:t xml:space="preserve"> </w:t>
      </w:r>
      <w:r>
        <w:t>relación</w:t>
      </w:r>
      <w:r>
        <w:rPr>
          <w:spacing w:val="-8"/>
        </w:rPr>
        <w:t xml:space="preserve"> </w:t>
      </w:r>
      <w:r>
        <w:t>con</w:t>
      </w:r>
      <w:r>
        <w:rPr>
          <w:spacing w:val="-5"/>
        </w:rPr>
        <w:t xml:space="preserve"> </w:t>
      </w:r>
      <w:r>
        <w:t>la</w:t>
      </w:r>
      <w:r>
        <w:rPr>
          <w:spacing w:val="-8"/>
        </w:rPr>
        <w:t xml:space="preserve"> </w:t>
      </w:r>
      <w:r>
        <w:t>deserción</w:t>
      </w:r>
      <w:r>
        <w:rPr>
          <w:spacing w:val="-8"/>
        </w:rPr>
        <w:t xml:space="preserve"> </w:t>
      </w:r>
      <w:r>
        <w:t>en</w:t>
      </w:r>
      <w:r>
        <w:rPr>
          <w:spacing w:val="-8"/>
        </w:rPr>
        <w:t xml:space="preserve"> </w:t>
      </w:r>
      <w:r>
        <w:t>la</w:t>
      </w:r>
      <w:r>
        <w:rPr>
          <w:spacing w:val="-8"/>
        </w:rPr>
        <w:t xml:space="preserve"> </w:t>
      </w:r>
      <w:r>
        <w:t>educación</w:t>
      </w:r>
      <w:r>
        <w:rPr>
          <w:spacing w:val="-8"/>
        </w:rPr>
        <w:t xml:space="preserve"> </w:t>
      </w:r>
      <w:r>
        <w:t>básica</w:t>
      </w:r>
      <w:r>
        <w:rPr>
          <w:spacing w:val="-8"/>
        </w:rPr>
        <w:t xml:space="preserve"> </w:t>
      </w:r>
      <w:r>
        <w:t>y</w:t>
      </w:r>
      <w:r>
        <w:rPr>
          <w:spacing w:val="-8"/>
        </w:rPr>
        <w:t xml:space="preserve"> </w:t>
      </w:r>
      <w:r>
        <w:t>media</w:t>
      </w:r>
      <w:r>
        <w:rPr>
          <w:spacing w:val="-8"/>
        </w:rPr>
        <w:t xml:space="preserve"> </w:t>
      </w:r>
      <w:r>
        <w:t>a</w:t>
      </w:r>
      <w:r>
        <w:rPr>
          <w:spacing w:val="-8"/>
        </w:rPr>
        <w:t xml:space="preserve"> </w:t>
      </w:r>
      <w:r>
        <w:t>pesar</w:t>
      </w:r>
      <w:r>
        <w:rPr>
          <w:spacing w:val="-7"/>
        </w:rPr>
        <w:t xml:space="preserve"> </w:t>
      </w:r>
      <w:r>
        <w:t>de</w:t>
      </w:r>
      <w:r>
        <w:rPr>
          <w:spacing w:val="-7"/>
        </w:rPr>
        <w:t xml:space="preserve"> </w:t>
      </w:r>
      <w:r>
        <w:t>que la</w:t>
      </w:r>
      <w:r>
        <w:rPr>
          <w:spacing w:val="-15"/>
        </w:rPr>
        <w:t xml:space="preserve"> </w:t>
      </w:r>
      <w:r>
        <w:t>brecha</w:t>
      </w:r>
      <w:r>
        <w:rPr>
          <w:spacing w:val="-15"/>
        </w:rPr>
        <w:t xml:space="preserve"> </w:t>
      </w:r>
      <w:r>
        <w:t>rural</w:t>
      </w:r>
      <w:r>
        <w:rPr>
          <w:spacing w:val="-13"/>
        </w:rPr>
        <w:t xml:space="preserve"> </w:t>
      </w:r>
      <w:r>
        <w:t>–</w:t>
      </w:r>
      <w:r>
        <w:rPr>
          <w:spacing w:val="-13"/>
        </w:rPr>
        <w:t xml:space="preserve"> </w:t>
      </w:r>
      <w:r>
        <w:t>urbano</w:t>
      </w:r>
      <w:r>
        <w:rPr>
          <w:spacing w:val="-14"/>
        </w:rPr>
        <w:t xml:space="preserve"> </w:t>
      </w:r>
      <w:r>
        <w:t>ha</w:t>
      </w:r>
      <w:r>
        <w:rPr>
          <w:spacing w:val="-15"/>
        </w:rPr>
        <w:t xml:space="preserve"> </w:t>
      </w:r>
      <w:r>
        <w:t>venido</w:t>
      </w:r>
      <w:r>
        <w:rPr>
          <w:spacing w:val="-14"/>
        </w:rPr>
        <w:t xml:space="preserve"> </w:t>
      </w:r>
      <w:r>
        <w:t>cerrando,</w:t>
      </w:r>
      <w:r>
        <w:rPr>
          <w:spacing w:val="-15"/>
        </w:rPr>
        <w:t xml:space="preserve"> </w:t>
      </w:r>
      <w:r>
        <w:t>es</w:t>
      </w:r>
      <w:r>
        <w:rPr>
          <w:spacing w:val="-15"/>
        </w:rPr>
        <w:t xml:space="preserve"> </w:t>
      </w:r>
      <w:r>
        <w:t>importante</w:t>
      </w:r>
      <w:r>
        <w:rPr>
          <w:spacing w:val="-11"/>
        </w:rPr>
        <w:t xml:space="preserve"> </w:t>
      </w:r>
      <w:r>
        <w:t>considerar,</w:t>
      </w:r>
      <w:r>
        <w:rPr>
          <w:spacing w:val="-15"/>
        </w:rPr>
        <w:t xml:space="preserve"> </w:t>
      </w:r>
      <w:r>
        <w:t>que en contextos rurales es mayor. Entre los años 2019 y 2020 tuvo un aumento, pero analizando un periodo más amplio se tiene que para 2015, la tasa de abandono en las zonas rurales fue de 10,3%, y en 2020, de 5,4%, lo que significa una reducción de 4,9 pp. Por su parte, la reducción de la tasa de abandono en las zonas urbanas fue de 4,8 p.p., al pasar de 8,4% en 2015 a 3,6% en 2020</w:t>
      </w:r>
      <w:hyperlink w:anchor="_bookmark42" w:history="1">
        <w:r w:rsidR="000E52B0">
          <w:rPr>
            <w:position w:val="8"/>
            <w:sz w:val="16"/>
          </w:rPr>
          <w:t>37</w:t>
        </w:r>
      </w:hyperlink>
      <w:r>
        <w:t>.</w:t>
      </w:r>
    </w:p>
    <w:p w14:paraId="38A7936C" w14:textId="77777777" w:rsidR="000E52B0" w:rsidRDefault="00F60D74">
      <w:pPr>
        <w:pStyle w:val="Textoindependiente"/>
        <w:spacing w:before="161"/>
        <w:ind w:right="717"/>
        <w:jc w:val="both"/>
      </w:pPr>
      <w:r>
        <w:t>En el caso de la deserción escolar, entre 2010 y 2020 se encontraba una disminución,</w:t>
      </w:r>
      <w:r>
        <w:rPr>
          <w:spacing w:val="-10"/>
        </w:rPr>
        <w:t xml:space="preserve"> </w:t>
      </w:r>
      <w:r>
        <w:t>sin</w:t>
      </w:r>
      <w:r>
        <w:rPr>
          <w:spacing w:val="-10"/>
        </w:rPr>
        <w:t xml:space="preserve"> </w:t>
      </w:r>
      <w:r>
        <w:t>embargo,</w:t>
      </w:r>
      <w:r>
        <w:rPr>
          <w:spacing w:val="-9"/>
        </w:rPr>
        <w:t xml:space="preserve"> </w:t>
      </w:r>
      <w:r>
        <w:t>en</w:t>
      </w:r>
      <w:r>
        <w:rPr>
          <w:spacing w:val="-9"/>
        </w:rPr>
        <w:t xml:space="preserve"> </w:t>
      </w:r>
      <w:r>
        <w:t>2021</w:t>
      </w:r>
      <w:r>
        <w:rPr>
          <w:spacing w:val="-8"/>
        </w:rPr>
        <w:t xml:space="preserve"> </w:t>
      </w:r>
      <w:r>
        <w:t>hubo</w:t>
      </w:r>
      <w:r>
        <w:rPr>
          <w:spacing w:val="-8"/>
        </w:rPr>
        <w:t xml:space="preserve"> </w:t>
      </w:r>
      <w:r>
        <w:t>un</w:t>
      </w:r>
      <w:r>
        <w:rPr>
          <w:spacing w:val="-9"/>
        </w:rPr>
        <w:t xml:space="preserve"> </w:t>
      </w:r>
      <w:r>
        <w:t>aumento</w:t>
      </w:r>
      <w:r>
        <w:rPr>
          <w:spacing w:val="-8"/>
        </w:rPr>
        <w:t xml:space="preserve"> </w:t>
      </w:r>
      <w:r>
        <w:t>de</w:t>
      </w:r>
      <w:r>
        <w:rPr>
          <w:spacing w:val="-8"/>
        </w:rPr>
        <w:t xml:space="preserve"> </w:t>
      </w:r>
      <w:r>
        <w:t>33,8%</w:t>
      </w:r>
      <w:r>
        <w:rPr>
          <w:spacing w:val="-8"/>
        </w:rPr>
        <w:t xml:space="preserve"> </w:t>
      </w:r>
      <w:r>
        <w:t>respecto</w:t>
      </w:r>
      <w:r>
        <w:rPr>
          <w:spacing w:val="-8"/>
        </w:rPr>
        <w:t xml:space="preserve"> </w:t>
      </w:r>
      <w:r>
        <w:t>a 2020.</w:t>
      </w:r>
      <w:r>
        <w:rPr>
          <w:spacing w:val="-18"/>
        </w:rPr>
        <w:t xml:space="preserve"> </w:t>
      </w:r>
      <w:r>
        <w:t>De</w:t>
      </w:r>
      <w:r>
        <w:rPr>
          <w:spacing w:val="-16"/>
        </w:rPr>
        <w:t xml:space="preserve"> </w:t>
      </w:r>
      <w:r>
        <w:t>acuerdo</w:t>
      </w:r>
      <w:r>
        <w:rPr>
          <w:spacing w:val="-17"/>
        </w:rPr>
        <w:t xml:space="preserve"> </w:t>
      </w:r>
      <w:r>
        <w:t>con</w:t>
      </w:r>
      <w:r>
        <w:rPr>
          <w:spacing w:val="-18"/>
        </w:rPr>
        <w:t xml:space="preserve"> </w:t>
      </w:r>
      <w:r>
        <w:t>el</w:t>
      </w:r>
      <w:r>
        <w:rPr>
          <w:spacing w:val="-16"/>
        </w:rPr>
        <w:t xml:space="preserve"> </w:t>
      </w:r>
      <w:r>
        <w:t>MEN,</w:t>
      </w:r>
      <w:r>
        <w:rPr>
          <w:spacing w:val="-16"/>
        </w:rPr>
        <w:t xml:space="preserve"> </w:t>
      </w:r>
      <w:r>
        <w:t>los</w:t>
      </w:r>
      <w:r>
        <w:rPr>
          <w:spacing w:val="-17"/>
        </w:rPr>
        <w:t xml:space="preserve"> </w:t>
      </w:r>
      <w:r>
        <w:t>estudiantes</w:t>
      </w:r>
      <w:r>
        <w:rPr>
          <w:spacing w:val="-15"/>
        </w:rPr>
        <w:t xml:space="preserve"> </w:t>
      </w:r>
      <w:r>
        <w:t>de</w:t>
      </w:r>
      <w:r>
        <w:rPr>
          <w:spacing w:val="-16"/>
        </w:rPr>
        <w:t xml:space="preserve"> </w:t>
      </w:r>
      <w:r>
        <w:t>las</w:t>
      </w:r>
      <w:r>
        <w:rPr>
          <w:spacing w:val="-18"/>
        </w:rPr>
        <w:t xml:space="preserve"> </w:t>
      </w:r>
      <w:r>
        <w:t>zonas</w:t>
      </w:r>
      <w:r>
        <w:rPr>
          <w:spacing w:val="-16"/>
        </w:rPr>
        <w:t xml:space="preserve"> </w:t>
      </w:r>
      <w:r>
        <w:t>rurales</w:t>
      </w:r>
      <w:r>
        <w:rPr>
          <w:spacing w:val="-18"/>
        </w:rPr>
        <w:t xml:space="preserve"> </w:t>
      </w:r>
      <w:r>
        <w:t>desertan en mayor proporción que los estudiantes de las zonas urbanas, aunque la brecha se había venido cerrando, entre los años 2019 y 2020 volvió a crecer.</w:t>
      </w:r>
      <w:r>
        <w:rPr>
          <w:spacing w:val="-6"/>
        </w:rPr>
        <w:t xml:space="preserve"> </w:t>
      </w:r>
      <w:r>
        <w:t>En</w:t>
      </w:r>
      <w:r>
        <w:rPr>
          <w:spacing w:val="-6"/>
        </w:rPr>
        <w:t xml:space="preserve"> </w:t>
      </w:r>
      <w:r>
        <w:t>2015,</w:t>
      </w:r>
      <w:r>
        <w:rPr>
          <w:spacing w:val="-6"/>
        </w:rPr>
        <w:t xml:space="preserve"> </w:t>
      </w:r>
      <w:r>
        <w:t>la</w:t>
      </w:r>
      <w:r>
        <w:rPr>
          <w:spacing w:val="-6"/>
        </w:rPr>
        <w:t xml:space="preserve"> </w:t>
      </w:r>
      <w:r>
        <w:t>tasa</w:t>
      </w:r>
      <w:r>
        <w:rPr>
          <w:spacing w:val="-6"/>
        </w:rPr>
        <w:t xml:space="preserve"> </w:t>
      </w:r>
      <w:r>
        <w:t>de</w:t>
      </w:r>
      <w:r>
        <w:rPr>
          <w:spacing w:val="-4"/>
        </w:rPr>
        <w:t xml:space="preserve"> </w:t>
      </w:r>
      <w:r>
        <w:t>abandono</w:t>
      </w:r>
      <w:r>
        <w:rPr>
          <w:spacing w:val="-5"/>
        </w:rPr>
        <w:t xml:space="preserve"> </w:t>
      </w:r>
      <w:r>
        <w:t>en</w:t>
      </w:r>
      <w:r>
        <w:rPr>
          <w:spacing w:val="-6"/>
        </w:rPr>
        <w:t xml:space="preserve"> </w:t>
      </w:r>
      <w:r>
        <w:t>las</w:t>
      </w:r>
      <w:r>
        <w:rPr>
          <w:spacing w:val="-6"/>
        </w:rPr>
        <w:t xml:space="preserve"> </w:t>
      </w:r>
      <w:r>
        <w:t>zonas</w:t>
      </w:r>
      <w:r>
        <w:rPr>
          <w:spacing w:val="-6"/>
        </w:rPr>
        <w:t xml:space="preserve"> </w:t>
      </w:r>
      <w:r>
        <w:t>rurales</w:t>
      </w:r>
      <w:r>
        <w:rPr>
          <w:spacing w:val="-6"/>
        </w:rPr>
        <w:t xml:space="preserve"> </w:t>
      </w:r>
      <w:r>
        <w:t>fue</w:t>
      </w:r>
      <w:r>
        <w:rPr>
          <w:spacing w:val="-4"/>
        </w:rPr>
        <w:t xml:space="preserve"> </w:t>
      </w:r>
      <w:r>
        <w:t>de</w:t>
      </w:r>
      <w:r>
        <w:rPr>
          <w:spacing w:val="-4"/>
        </w:rPr>
        <w:t xml:space="preserve"> </w:t>
      </w:r>
      <w:r>
        <w:t>10,3%,</w:t>
      </w:r>
      <w:r>
        <w:rPr>
          <w:spacing w:val="-6"/>
        </w:rPr>
        <w:t xml:space="preserve"> </w:t>
      </w:r>
      <w:r>
        <w:t>y en 2020, de 5,4%2. A nivel territorial, los departamentos con mayor tasa de deserción para 2022 fueron: Arauca (7,3%), Cesar (6,7%), Vichada (6,6%) y Putumayo (6,5%).</w:t>
      </w:r>
    </w:p>
    <w:p w14:paraId="0FCF7998" w14:textId="77777777" w:rsidR="000E52B0" w:rsidRDefault="000E52B0">
      <w:pPr>
        <w:pStyle w:val="Textoindependiente"/>
        <w:ind w:left="0"/>
        <w:rPr>
          <w:sz w:val="20"/>
        </w:rPr>
      </w:pPr>
    </w:p>
    <w:p w14:paraId="25786A27" w14:textId="77777777" w:rsidR="000E52B0" w:rsidRDefault="00F60D74">
      <w:pPr>
        <w:pStyle w:val="Textoindependiente"/>
        <w:spacing w:before="120"/>
        <w:ind w:left="0"/>
        <w:rPr>
          <w:sz w:val="20"/>
        </w:rPr>
      </w:pPr>
      <w:r>
        <w:rPr>
          <w:noProof/>
          <w:sz w:val="20"/>
        </w:rPr>
        <mc:AlternateContent>
          <mc:Choice Requires="wps">
            <w:drawing>
              <wp:anchor distT="0" distB="0" distL="0" distR="0" simplePos="0" relativeHeight="487627264" behindDoc="1" locked="0" layoutInCell="1" allowOverlap="1" wp14:anchorId="15DEB395" wp14:editId="1B9C24F0">
                <wp:simplePos x="0" y="0"/>
                <wp:positionH relativeFrom="page">
                  <wp:posOffset>914704</wp:posOffset>
                </wp:positionH>
                <wp:positionV relativeFrom="paragraph">
                  <wp:posOffset>246337</wp:posOffset>
                </wp:positionV>
                <wp:extent cx="1829435" cy="762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11EDB5" id="Graphic 233" o:spid="_x0000_s1026" style="position:absolute;margin-left:1in;margin-top:19.4pt;width:144.05pt;height:.6pt;z-index:-156892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" path="m1829054,l,,,7619r1829054,l1829054,xe" fillcolor="black" stroked="f">
                <v:path arrowok="t"/>
                <w10:wrap type="topAndBottom" anchorx="page"/>
              </v:shape>
            </w:pict>
          </mc:Fallback>
        </mc:AlternateContent>
      </w:r>
    </w:p>
    <w:p w14:paraId="178D1AE9" w14:textId="77777777" w:rsidR="000E52B0" w:rsidRDefault="00F60D74">
      <w:pPr>
        <w:spacing w:before="96"/>
        <w:ind w:left="720" w:right="710"/>
        <w:jc w:val="both"/>
        <w:rPr>
          <w:rFonts w:ascii="Arial MT" w:hAnsi="Arial MT"/>
          <w:sz w:val="18"/>
        </w:rPr>
      </w:pPr>
      <w:bookmarkStart w:id="41" w:name="_bookmark41"/>
      <w:bookmarkEnd w:id="41"/>
      <w:r>
        <w:rPr>
          <w:rFonts w:ascii="Arial MT" w:hAnsi="Arial MT"/>
          <w:position w:val="6"/>
          <w:sz w:val="12"/>
        </w:rPr>
        <w:t>36</w:t>
      </w:r>
      <w:r>
        <w:rPr>
          <w:rFonts w:ascii="Arial MT" w:hAnsi="Arial MT"/>
          <w:spacing w:val="12"/>
          <w:position w:val="6"/>
          <w:sz w:val="12"/>
        </w:rPr>
        <w:t xml:space="preserve"> </w:t>
      </w:r>
      <w:proofErr w:type="gramStart"/>
      <w:r>
        <w:rPr>
          <w:rFonts w:ascii="Arial MT" w:hAnsi="Arial MT"/>
          <w:sz w:val="18"/>
        </w:rPr>
        <w:t>Departamento</w:t>
      </w:r>
      <w:proofErr w:type="gramEnd"/>
      <w:r>
        <w:rPr>
          <w:rFonts w:ascii="Arial MT" w:hAnsi="Arial MT"/>
          <w:spacing w:val="-5"/>
          <w:sz w:val="18"/>
        </w:rPr>
        <w:t xml:space="preserve"> </w:t>
      </w:r>
      <w:r>
        <w:rPr>
          <w:rFonts w:ascii="Arial MT" w:hAnsi="Arial MT"/>
          <w:sz w:val="18"/>
        </w:rPr>
        <w:t>Administrativo</w:t>
      </w:r>
      <w:r>
        <w:rPr>
          <w:rFonts w:ascii="Arial MT" w:hAnsi="Arial MT"/>
          <w:spacing w:val="-7"/>
          <w:sz w:val="18"/>
        </w:rPr>
        <w:t xml:space="preserve"> </w:t>
      </w:r>
      <w:r>
        <w:rPr>
          <w:rFonts w:ascii="Arial MT" w:hAnsi="Arial MT"/>
          <w:sz w:val="18"/>
        </w:rPr>
        <w:t>Nacional</w:t>
      </w:r>
      <w:r>
        <w:rPr>
          <w:rFonts w:ascii="Arial MT" w:hAnsi="Arial MT"/>
          <w:spacing w:val="-7"/>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Estadísticas -DANE</w:t>
      </w:r>
      <w:r>
        <w:rPr>
          <w:rFonts w:ascii="Arial MT" w:hAnsi="Arial MT"/>
          <w:spacing w:val="-6"/>
          <w:sz w:val="18"/>
        </w:rPr>
        <w:t xml:space="preserve"> </w:t>
      </w:r>
      <w:r>
        <w:rPr>
          <w:rFonts w:ascii="Arial MT" w:hAnsi="Arial MT"/>
          <w:sz w:val="18"/>
        </w:rPr>
        <w:t>(2021).</w:t>
      </w:r>
      <w:r>
        <w:rPr>
          <w:rFonts w:ascii="Arial MT" w:hAnsi="Arial MT"/>
          <w:spacing w:val="39"/>
          <w:sz w:val="18"/>
        </w:rPr>
        <w:t xml:space="preserve"> </w:t>
      </w:r>
      <w:r>
        <w:rPr>
          <w:rFonts w:ascii="Arial MT" w:hAnsi="Arial MT"/>
          <w:sz w:val="18"/>
        </w:rPr>
        <w:t>Nota</w:t>
      </w:r>
      <w:r>
        <w:rPr>
          <w:rFonts w:ascii="Arial MT" w:hAnsi="Arial MT"/>
          <w:spacing w:val="-7"/>
          <w:sz w:val="18"/>
        </w:rPr>
        <w:t xml:space="preserve"> </w:t>
      </w:r>
      <w:r>
        <w:rPr>
          <w:rFonts w:ascii="Arial MT" w:hAnsi="Arial MT"/>
          <w:sz w:val="18"/>
        </w:rPr>
        <w:t>Estadística</w:t>
      </w:r>
      <w:r>
        <w:rPr>
          <w:rFonts w:ascii="Arial MT" w:hAnsi="Arial MT"/>
          <w:spacing w:val="-5"/>
          <w:sz w:val="18"/>
        </w:rPr>
        <w:t xml:space="preserve"> </w:t>
      </w:r>
      <w:r>
        <w:rPr>
          <w:rFonts w:ascii="Arial MT" w:hAnsi="Arial MT"/>
          <w:sz w:val="18"/>
        </w:rPr>
        <w:t>Juventud</w:t>
      </w:r>
      <w:r>
        <w:rPr>
          <w:rFonts w:ascii="Arial MT" w:hAnsi="Arial MT"/>
          <w:spacing w:val="-5"/>
          <w:sz w:val="18"/>
        </w:rPr>
        <w:t xml:space="preserve"> </w:t>
      </w:r>
      <w:r>
        <w:rPr>
          <w:rFonts w:ascii="Arial MT" w:hAnsi="Arial MT"/>
          <w:sz w:val="18"/>
        </w:rPr>
        <w:t>en</w:t>
      </w:r>
      <w:r>
        <w:rPr>
          <w:rFonts w:ascii="Arial MT" w:hAnsi="Arial MT"/>
          <w:spacing w:val="-5"/>
          <w:sz w:val="18"/>
        </w:rPr>
        <w:t xml:space="preserve"> </w:t>
      </w:r>
      <w:r>
        <w:rPr>
          <w:rFonts w:ascii="Arial MT" w:hAnsi="Arial MT"/>
          <w:sz w:val="18"/>
        </w:rPr>
        <w:t xml:space="preserve">Colombia, 2021. </w:t>
      </w:r>
      <w:hyperlink r:id="rId105">
        <w:r w:rsidR="000E52B0">
          <w:rPr>
            <w:rFonts w:ascii="Arial MT" w:hAnsi="Arial MT"/>
            <w:color w:val="E22C91"/>
            <w:sz w:val="18"/>
            <w:u w:val="single" w:color="E22C91"/>
          </w:rPr>
          <w:t>https://www.dane.gov.co/files/investigaciones/notas-estadisticas/dic-2021-nota-estadistica-juventud-en-</w:t>
        </w:r>
      </w:hyperlink>
      <w:r>
        <w:rPr>
          <w:rFonts w:ascii="Arial MT" w:hAnsi="Arial MT"/>
          <w:color w:val="E22C91"/>
          <w:sz w:val="18"/>
        </w:rPr>
        <w:t xml:space="preserve"> </w:t>
      </w:r>
      <w:bookmarkStart w:id="42" w:name="_bookmark42"/>
      <w:bookmarkEnd w:id="42"/>
      <w:r>
        <w:fldChar w:fldCharType="begin"/>
      </w:r>
      <w:r>
        <w:instrText>HYPERLINK "https://www.dane.gov.co/files/investigaciones/notas-estadisticas/dic-2021-nota-estadistica-juventud-en-colombia.pdf" \h</w:instrText>
      </w:r>
      <w:r>
        <w:fldChar w:fldCharType="separate"/>
      </w:r>
      <w:r>
        <w:rPr>
          <w:rFonts w:ascii="Arial MT" w:hAnsi="Arial MT"/>
          <w:color w:val="E22C91"/>
          <w:spacing w:val="-2"/>
          <w:sz w:val="18"/>
          <w:u w:val="single" w:color="E22C91"/>
        </w:rPr>
        <w:t>colombia.pdf</w:t>
      </w:r>
      <w:r>
        <w:fldChar w:fldCharType="end"/>
      </w:r>
    </w:p>
    <w:p w14:paraId="1B4E0DBA" w14:textId="77777777" w:rsidR="000E52B0" w:rsidRDefault="00F60D74">
      <w:pPr>
        <w:ind w:left="720"/>
        <w:rPr>
          <w:rFonts w:ascii="Arial MT" w:hAnsi="Arial MT"/>
          <w:sz w:val="18"/>
        </w:rPr>
      </w:pPr>
      <w:r>
        <w:rPr>
          <w:rFonts w:ascii="Arial MT" w:hAnsi="Arial MT"/>
          <w:position w:val="6"/>
          <w:sz w:val="12"/>
        </w:rPr>
        <w:t>37</w:t>
      </w:r>
      <w:r>
        <w:rPr>
          <w:rFonts w:ascii="Arial MT" w:hAnsi="Arial MT"/>
          <w:spacing w:val="72"/>
          <w:position w:val="6"/>
          <w:sz w:val="12"/>
        </w:rPr>
        <w:t xml:space="preserve"> </w:t>
      </w:r>
      <w:proofErr w:type="gramStart"/>
      <w:r>
        <w:rPr>
          <w:rFonts w:ascii="Arial MT" w:hAnsi="Arial MT"/>
          <w:sz w:val="18"/>
        </w:rPr>
        <w:t>Ministerio</w:t>
      </w:r>
      <w:proofErr w:type="gramEnd"/>
      <w:r>
        <w:rPr>
          <w:rFonts w:ascii="Arial MT" w:hAnsi="Arial MT"/>
          <w:spacing w:val="40"/>
          <w:sz w:val="18"/>
        </w:rPr>
        <w:t xml:space="preserve"> </w:t>
      </w:r>
      <w:r>
        <w:rPr>
          <w:rFonts w:ascii="Arial MT" w:hAnsi="Arial MT"/>
          <w:sz w:val="18"/>
        </w:rPr>
        <w:t>de</w:t>
      </w:r>
      <w:r>
        <w:rPr>
          <w:rFonts w:ascii="Arial MT" w:hAnsi="Arial MT"/>
          <w:spacing w:val="40"/>
          <w:sz w:val="18"/>
        </w:rPr>
        <w:t xml:space="preserve"> </w:t>
      </w:r>
      <w:r>
        <w:rPr>
          <w:rFonts w:ascii="Arial MT" w:hAnsi="Arial MT"/>
          <w:sz w:val="18"/>
        </w:rPr>
        <w:t>Educación</w:t>
      </w:r>
      <w:r>
        <w:rPr>
          <w:rFonts w:ascii="Arial MT" w:hAnsi="Arial MT"/>
          <w:spacing w:val="40"/>
          <w:sz w:val="18"/>
        </w:rPr>
        <w:t xml:space="preserve"> </w:t>
      </w:r>
      <w:r>
        <w:rPr>
          <w:rFonts w:ascii="Arial MT" w:hAnsi="Arial MT"/>
          <w:sz w:val="18"/>
        </w:rPr>
        <w:t>Nacional</w:t>
      </w:r>
      <w:r>
        <w:rPr>
          <w:rFonts w:ascii="Arial MT" w:hAnsi="Arial MT"/>
          <w:spacing w:val="40"/>
          <w:sz w:val="18"/>
        </w:rPr>
        <w:t xml:space="preserve"> </w:t>
      </w:r>
      <w:r>
        <w:rPr>
          <w:rFonts w:ascii="Arial MT" w:hAnsi="Arial MT"/>
          <w:sz w:val="18"/>
        </w:rPr>
        <w:t>-</w:t>
      </w:r>
      <w:r>
        <w:rPr>
          <w:rFonts w:ascii="Arial MT" w:hAnsi="Arial MT"/>
          <w:spacing w:val="40"/>
          <w:sz w:val="18"/>
        </w:rPr>
        <w:t xml:space="preserve"> </w:t>
      </w:r>
      <w:r>
        <w:rPr>
          <w:rFonts w:ascii="Arial MT" w:hAnsi="Arial MT"/>
          <w:sz w:val="18"/>
        </w:rPr>
        <w:t>MEN</w:t>
      </w:r>
      <w:r>
        <w:rPr>
          <w:rFonts w:ascii="Arial MT" w:hAnsi="Arial MT"/>
          <w:spacing w:val="40"/>
          <w:sz w:val="18"/>
        </w:rPr>
        <w:t xml:space="preserve"> </w:t>
      </w:r>
      <w:r>
        <w:rPr>
          <w:rFonts w:ascii="Arial MT" w:hAnsi="Arial MT"/>
          <w:sz w:val="18"/>
        </w:rPr>
        <w:t>(2022).</w:t>
      </w:r>
      <w:r>
        <w:rPr>
          <w:rFonts w:ascii="Arial MT" w:hAnsi="Arial MT"/>
          <w:spacing w:val="40"/>
          <w:sz w:val="18"/>
        </w:rPr>
        <w:t xml:space="preserve"> </w:t>
      </w:r>
      <w:r>
        <w:rPr>
          <w:rFonts w:ascii="Arial MT" w:hAnsi="Arial MT"/>
          <w:sz w:val="18"/>
        </w:rPr>
        <w:t>DESERCIÓN</w:t>
      </w:r>
      <w:r>
        <w:rPr>
          <w:rFonts w:ascii="Arial MT" w:hAnsi="Arial MT"/>
          <w:spacing w:val="40"/>
          <w:sz w:val="18"/>
        </w:rPr>
        <w:t xml:space="preserve"> </w:t>
      </w:r>
      <w:r>
        <w:rPr>
          <w:rFonts w:ascii="Arial MT" w:hAnsi="Arial MT"/>
          <w:sz w:val="18"/>
        </w:rPr>
        <w:t>ESCOLAR</w:t>
      </w:r>
      <w:r>
        <w:rPr>
          <w:rFonts w:ascii="Arial MT" w:hAnsi="Arial MT"/>
          <w:spacing w:val="40"/>
          <w:sz w:val="18"/>
        </w:rPr>
        <w:t xml:space="preserve"> </w:t>
      </w:r>
      <w:r>
        <w:rPr>
          <w:rFonts w:ascii="Arial MT" w:hAnsi="Arial MT"/>
          <w:sz w:val="18"/>
        </w:rPr>
        <w:t>EN</w:t>
      </w:r>
      <w:r>
        <w:rPr>
          <w:rFonts w:ascii="Arial MT" w:hAnsi="Arial MT"/>
          <w:spacing w:val="40"/>
          <w:sz w:val="18"/>
        </w:rPr>
        <w:t xml:space="preserve"> </w:t>
      </w:r>
      <w:r>
        <w:rPr>
          <w:rFonts w:ascii="Arial MT" w:hAnsi="Arial MT"/>
          <w:sz w:val="18"/>
        </w:rPr>
        <w:t>COLOMBIA:</w:t>
      </w:r>
      <w:r>
        <w:rPr>
          <w:rFonts w:ascii="Arial MT" w:hAnsi="Arial MT"/>
          <w:spacing w:val="40"/>
          <w:sz w:val="18"/>
        </w:rPr>
        <w:t xml:space="preserve"> </w:t>
      </w:r>
      <w:r>
        <w:rPr>
          <w:rFonts w:ascii="Arial MT" w:hAnsi="Arial MT"/>
          <w:sz w:val="18"/>
        </w:rPr>
        <w:t>ANÁLISIS, DETERMINANTES</w:t>
      </w:r>
      <w:r>
        <w:rPr>
          <w:rFonts w:ascii="Arial MT" w:hAnsi="Arial MT"/>
          <w:spacing w:val="27"/>
          <w:sz w:val="18"/>
        </w:rPr>
        <w:t xml:space="preserve"> </w:t>
      </w:r>
      <w:r>
        <w:rPr>
          <w:rFonts w:ascii="Arial MT" w:hAnsi="Arial MT"/>
          <w:sz w:val="18"/>
        </w:rPr>
        <w:t>Y</w:t>
      </w:r>
      <w:r>
        <w:rPr>
          <w:rFonts w:ascii="Arial MT" w:hAnsi="Arial MT"/>
          <w:spacing w:val="28"/>
          <w:sz w:val="18"/>
        </w:rPr>
        <w:t xml:space="preserve"> </w:t>
      </w:r>
      <w:r>
        <w:rPr>
          <w:rFonts w:ascii="Arial MT" w:hAnsi="Arial MT"/>
          <w:sz w:val="18"/>
        </w:rPr>
        <w:t>POLÍTICA</w:t>
      </w:r>
      <w:r>
        <w:rPr>
          <w:rFonts w:ascii="Arial MT" w:hAnsi="Arial MT"/>
          <w:spacing w:val="28"/>
          <w:sz w:val="18"/>
        </w:rPr>
        <w:t xml:space="preserve"> </w:t>
      </w:r>
      <w:r>
        <w:rPr>
          <w:rFonts w:ascii="Arial MT" w:hAnsi="Arial MT"/>
          <w:sz w:val="18"/>
        </w:rPr>
        <w:t>DE</w:t>
      </w:r>
      <w:r>
        <w:rPr>
          <w:rFonts w:ascii="Arial MT" w:hAnsi="Arial MT"/>
          <w:spacing w:val="29"/>
          <w:sz w:val="18"/>
        </w:rPr>
        <w:t xml:space="preserve"> </w:t>
      </w:r>
      <w:r>
        <w:rPr>
          <w:rFonts w:ascii="Arial MT" w:hAnsi="Arial MT"/>
          <w:sz w:val="18"/>
        </w:rPr>
        <w:t>ACOGIDA,</w:t>
      </w:r>
      <w:r>
        <w:rPr>
          <w:rFonts w:ascii="Arial MT" w:hAnsi="Arial MT"/>
          <w:spacing w:val="30"/>
          <w:sz w:val="18"/>
        </w:rPr>
        <w:t xml:space="preserve"> </w:t>
      </w:r>
      <w:r>
        <w:rPr>
          <w:rFonts w:ascii="Arial MT" w:hAnsi="Arial MT"/>
          <w:sz w:val="18"/>
        </w:rPr>
        <w:t>BIENESTAR</w:t>
      </w:r>
      <w:r>
        <w:rPr>
          <w:rFonts w:ascii="Arial MT" w:hAnsi="Arial MT"/>
          <w:spacing w:val="29"/>
          <w:sz w:val="18"/>
        </w:rPr>
        <w:t xml:space="preserve"> </w:t>
      </w:r>
      <w:r>
        <w:rPr>
          <w:rFonts w:ascii="Arial MT" w:hAnsi="Arial MT"/>
          <w:sz w:val="18"/>
        </w:rPr>
        <w:t>Y</w:t>
      </w:r>
      <w:r>
        <w:rPr>
          <w:rFonts w:ascii="Arial MT" w:hAnsi="Arial MT"/>
          <w:spacing w:val="29"/>
          <w:sz w:val="18"/>
        </w:rPr>
        <w:t xml:space="preserve"> </w:t>
      </w:r>
      <w:r>
        <w:rPr>
          <w:rFonts w:ascii="Arial MT" w:hAnsi="Arial MT"/>
          <w:sz w:val="18"/>
        </w:rPr>
        <w:t>PERMANENCIA.</w:t>
      </w:r>
      <w:r>
        <w:rPr>
          <w:rFonts w:ascii="Arial MT" w:hAnsi="Arial MT"/>
          <w:spacing w:val="30"/>
          <w:sz w:val="18"/>
        </w:rPr>
        <w:t xml:space="preserve"> </w:t>
      </w:r>
      <w:r>
        <w:rPr>
          <w:rFonts w:ascii="Arial MT" w:hAnsi="Arial MT"/>
          <w:sz w:val="18"/>
        </w:rPr>
        <w:t>Nota</w:t>
      </w:r>
      <w:r>
        <w:rPr>
          <w:rFonts w:ascii="Arial MT" w:hAnsi="Arial MT"/>
          <w:spacing w:val="30"/>
          <w:sz w:val="18"/>
        </w:rPr>
        <w:t xml:space="preserve"> </w:t>
      </w:r>
      <w:r>
        <w:rPr>
          <w:rFonts w:ascii="Arial MT" w:hAnsi="Arial MT"/>
          <w:sz w:val="18"/>
        </w:rPr>
        <w:t>técnica.</w:t>
      </w:r>
      <w:r>
        <w:rPr>
          <w:rFonts w:ascii="Arial MT" w:hAnsi="Arial MT"/>
          <w:spacing w:val="30"/>
          <w:sz w:val="18"/>
        </w:rPr>
        <w:t xml:space="preserve"> </w:t>
      </w:r>
      <w:r>
        <w:rPr>
          <w:rFonts w:ascii="Arial MT" w:hAnsi="Arial MT"/>
          <w:sz w:val="18"/>
        </w:rPr>
        <w:t>Bogotá,</w:t>
      </w:r>
      <w:r>
        <w:rPr>
          <w:rFonts w:ascii="Arial MT" w:hAnsi="Arial MT"/>
          <w:spacing w:val="30"/>
          <w:sz w:val="18"/>
        </w:rPr>
        <w:t xml:space="preserve"> </w:t>
      </w:r>
      <w:r>
        <w:rPr>
          <w:rFonts w:ascii="Arial MT" w:hAnsi="Arial MT"/>
          <w:spacing w:val="-4"/>
          <w:sz w:val="18"/>
        </w:rPr>
        <w:t>D.C.</w:t>
      </w:r>
    </w:p>
    <w:p w14:paraId="1C714B13" w14:textId="77777777" w:rsidR="000E52B0" w:rsidRDefault="000E52B0">
      <w:pPr>
        <w:ind w:left="720"/>
        <w:rPr>
          <w:rFonts w:ascii="Arial MT"/>
          <w:sz w:val="18"/>
        </w:rPr>
      </w:pPr>
      <w:hyperlink r:id="rId106">
        <w:r>
          <w:rPr>
            <w:rFonts w:ascii="Arial MT"/>
            <w:color w:val="E22C91"/>
            <w:spacing w:val="-2"/>
            <w:sz w:val="18"/>
            <w:u w:val="single" w:color="E22C91"/>
          </w:rPr>
          <w:t>https://www.mineducacion.gov.co/1780/articles-363488_recurso_34.pdf</w:t>
        </w:r>
      </w:hyperlink>
    </w:p>
    <w:p w14:paraId="4159DBB6" w14:textId="77777777" w:rsidR="000E52B0" w:rsidRDefault="000E52B0">
      <w:pPr>
        <w:rPr>
          <w:rFonts w:ascii="Arial MT"/>
          <w:sz w:val="18"/>
        </w:rPr>
        <w:sectPr w:rsidR="000E52B0">
          <w:pgSz w:w="11910" w:h="16840"/>
          <w:pgMar w:top="1340" w:right="720" w:bottom="1180" w:left="720" w:header="0" w:footer="995" w:gutter="0"/>
          <w:cols w:space="720"/>
        </w:sectPr>
      </w:pPr>
    </w:p>
    <w:p w14:paraId="2F4EBDB8" w14:textId="77777777" w:rsidR="000E52B0" w:rsidRDefault="00F60D74">
      <w:pPr>
        <w:spacing w:before="80"/>
        <w:jc w:val="center"/>
        <w:rPr>
          <w:i/>
          <w:sz w:val="18"/>
        </w:rPr>
      </w:pPr>
      <w:r>
        <w:rPr>
          <w:i/>
          <w:color w:val="454551"/>
          <w:sz w:val="18"/>
        </w:rPr>
        <w:lastRenderedPageBreak/>
        <w:t>Ilustración</w:t>
      </w:r>
      <w:r>
        <w:rPr>
          <w:i/>
          <w:color w:val="454551"/>
          <w:spacing w:val="-3"/>
          <w:sz w:val="18"/>
        </w:rPr>
        <w:t xml:space="preserve"> </w:t>
      </w:r>
      <w:r>
        <w:rPr>
          <w:i/>
          <w:color w:val="454551"/>
          <w:sz w:val="18"/>
        </w:rPr>
        <w:t>25.</w:t>
      </w:r>
      <w:r>
        <w:rPr>
          <w:i/>
          <w:color w:val="454551"/>
          <w:spacing w:val="-5"/>
          <w:sz w:val="18"/>
        </w:rPr>
        <w:t xml:space="preserve"> </w:t>
      </w:r>
      <w:r>
        <w:rPr>
          <w:i/>
          <w:color w:val="454551"/>
          <w:sz w:val="18"/>
        </w:rPr>
        <w:t>Tasa</w:t>
      </w:r>
      <w:r>
        <w:rPr>
          <w:i/>
          <w:color w:val="454551"/>
          <w:spacing w:val="-4"/>
          <w:sz w:val="18"/>
        </w:rPr>
        <w:t xml:space="preserve"> </w:t>
      </w:r>
      <w:r>
        <w:rPr>
          <w:i/>
          <w:color w:val="454551"/>
          <w:sz w:val="18"/>
        </w:rPr>
        <w:t>de</w:t>
      </w:r>
      <w:r>
        <w:rPr>
          <w:i/>
          <w:color w:val="454551"/>
          <w:spacing w:val="-4"/>
          <w:sz w:val="18"/>
        </w:rPr>
        <w:t xml:space="preserve"> </w:t>
      </w:r>
      <w:r>
        <w:rPr>
          <w:i/>
          <w:color w:val="454551"/>
          <w:sz w:val="18"/>
        </w:rPr>
        <w:t>deserción</w:t>
      </w:r>
      <w:r>
        <w:rPr>
          <w:i/>
          <w:color w:val="454551"/>
          <w:spacing w:val="-2"/>
          <w:sz w:val="18"/>
        </w:rPr>
        <w:t xml:space="preserve"> </w:t>
      </w:r>
      <w:r>
        <w:rPr>
          <w:i/>
          <w:color w:val="454551"/>
          <w:sz w:val="18"/>
        </w:rPr>
        <w:t>interanual</w:t>
      </w:r>
      <w:r>
        <w:rPr>
          <w:i/>
          <w:color w:val="454551"/>
          <w:spacing w:val="-4"/>
          <w:sz w:val="18"/>
        </w:rPr>
        <w:t xml:space="preserve"> </w:t>
      </w:r>
      <w:r>
        <w:rPr>
          <w:i/>
          <w:color w:val="454551"/>
          <w:sz w:val="18"/>
        </w:rPr>
        <w:t>en</w:t>
      </w:r>
      <w:r>
        <w:rPr>
          <w:i/>
          <w:color w:val="454551"/>
          <w:spacing w:val="-2"/>
          <w:sz w:val="18"/>
        </w:rPr>
        <w:t xml:space="preserve"> </w:t>
      </w:r>
      <w:r>
        <w:rPr>
          <w:i/>
          <w:color w:val="454551"/>
          <w:sz w:val="18"/>
        </w:rPr>
        <w:t>el</w:t>
      </w:r>
      <w:r>
        <w:rPr>
          <w:i/>
          <w:color w:val="454551"/>
          <w:spacing w:val="-3"/>
          <w:sz w:val="18"/>
        </w:rPr>
        <w:t xml:space="preserve"> </w:t>
      </w:r>
      <w:r>
        <w:rPr>
          <w:i/>
          <w:color w:val="454551"/>
          <w:sz w:val="18"/>
        </w:rPr>
        <w:t>sector</w:t>
      </w:r>
      <w:r>
        <w:rPr>
          <w:i/>
          <w:color w:val="454551"/>
          <w:spacing w:val="-3"/>
          <w:sz w:val="18"/>
        </w:rPr>
        <w:t xml:space="preserve"> </w:t>
      </w:r>
      <w:r>
        <w:rPr>
          <w:i/>
          <w:color w:val="454551"/>
          <w:spacing w:val="-2"/>
          <w:sz w:val="18"/>
        </w:rPr>
        <w:t>oficial</w:t>
      </w:r>
    </w:p>
    <w:p w14:paraId="7AD10532" w14:textId="77777777" w:rsidR="000E52B0" w:rsidRDefault="000E52B0">
      <w:pPr>
        <w:pStyle w:val="Textoindependiente"/>
        <w:ind w:left="0"/>
        <w:rPr>
          <w:i/>
          <w:sz w:val="20"/>
        </w:rPr>
      </w:pPr>
    </w:p>
    <w:p w14:paraId="3FC148B3" w14:textId="77777777" w:rsidR="000E52B0" w:rsidRDefault="000E52B0">
      <w:pPr>
        <w:pStyle w:val="Textoindependiente"/>
        <w:spacing w:before="133"/>
        <w:ind w:left="0"/>
        <w:rPr>
          <w:i/>
          <w:sz w:val="20"/>
        </w:rPr>
      </w:pPr>
    </w:p>
    <w:p w14:paraId="750EC67A" w14:textId="77777777" w:rsidR="000E52B0" w:rsidRDefault="000E52B0">
      <w:pPr>
        <w:pStyle w:val="Textoindependiente"/>
        <w:rPr>
          <w:i/>
          <w:sz w:val="20"/>
        </w:rPr>
        <w:sectPr w:rsidR="000E52B0">
          <w:pgSz w:w="11910" w:h="16840"/>
          <w:pgMar w:top="1340" w:right="720" w:bottom="1180" w:left="720" w:header="0" w:footer="995" w:gutter="0"/>
          <w:cols w:space="720"/>
        </w:sectPr>
      </w:pPr>
    </w:p>
    <w:p w14:paraId="52E13326" w14:textId="77777777" w:rsidR="000E52B0" w:rsidRDefault="00F60D74">
      <w:pPr>
        <w:spacing w:before="100"/>
        <w:jc w:val="right"/>
        <w:rPr>
          <w:rFonts w:ascii="Trebuchet MS"/>
          <w:sz w:val="18"/>
        </w:rPr>
      </w:pPr>
      <w:r>
        <w:rPr>
          <w:rFonts w:ascii="Trebuchet MS"/>
          <w:color w:val="404040"/>
          <w:spacing w:val="-4"/>
          <w:w w:val="105"/>
          <w:sz w:val="18"/>
        </w:rPr>
        <w:t>4,8%</w:t>
      </w:r>
    </w:p>
    <w:p w14:paraId="24742A53" w14:textId="77777777" w:rsidR="000E52B0" w:rsidRDefault="00F60D74">
      <w:pPr>
        <w:spacing w:before="78"/>
        <w:rPr>
          <w:rFonts w:ascii="Trebuchet MS"/>
          <w:sz w:val="18"/>
        </w:rPr>
      </w:pPr>
      <w:r>
        <w:br w:type="column"/>
      </w:r>
    </w:p>
    <w:p w14:paraId="17886CC0" w14:textId="77777777" w:rsidR="000E52B0" w:rsidRDefault="00F60D74">
      <w:pPr>
        <w:tabs>
          <w:tab w:val="left" w:pos="973"/>
        </w:tabs>
        <w:ind w:left="270"/>
        <w:rPr>
          <w:rFonts w:ascii="Trebuchet MS"/>
          <w:position w:val="-9"/>
          <w:sz w:val="18"/>
        </w:rPr>
      </w:pPr>
      <w:r>
        <w:rPr>
          <w:rFonts w:ascii="Trebuchet MS"/>
          <w:noProof/>
          <w:position w:val="-9"/>
          <w:sz w:val="18"/>
        </w:rPr>
        <mc:AlternateContent>
          <mc:Choice Requires="wpg">
            <w:drawing>
              <wp:anchor distT="0" distB="0" distL="0" distR="0" simplePos="0" relativeHeight="482276864" behindDoc="1" locked="0" layoutInCell="1" allowOverlap="1" wp14:anchorId="5041BB71" wp14:editId="04C0B6FF">
                <wp:simplePos x="0" y="0"/>
                <wp:positionH relativeFrom="page">
                  <wp:posOffset>1240345</wp:posOffset>
                </wp:positionH>
                <wp:positionV relativeFrom="paragraph">
                  <wp:posOffset>75186</wp:posOffset>
                </wp:positionV>
                <wp:extent cx="4979670" cy="919480"/>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9670" cy="919480"/>
                          <a:chOff x="0" y="0"/>
                          <a:chExt cx="4979670" cy="919480"/>
                        </a:xfrm>
                      </wpg:grpSpPr>
                      <wps:wsp>
                        <wps:cNvPr id="235" name="Graphic 235"/>
                        <wps:cNvSpPr/>
                        <wps:spPr>
                          <a:xfrm>
                            <a:off x="36766" y="35242"/>
                            <a:ext cx="4905375" cy="847090"/>
                          </a:xfrm>
                          <a:custGeom>
                            <a:avLst/>
                            <a:gdLst/>
                            <a:ahLst/>
                            <a:cxnLst/>
                            <a:rect l="l" t="t" r="r" b="b"/>
                            <a:pathLst>
                              <a:path w="4905375" h="847090">
                                <a:moveTo>
                                  <a:pt x="0" y="0"/>
                                </a:moveTo>
                                <a:lnTo>
                                  <a:pt x="446531" y="118109"/>
                                </a:lnTo>
                                <a:lnTo>
                                  <a:pt x="891539" y="180593"/>
                                </a:lnTo>
                                <a:lnTo>
                                  <a:pt x="1338071" y="410717"/>
                                </a:lnTo>
                                <a:lnTo>
                                  <a:pt x="1783080" y="602741"/>
                                </a:lnTo>
                                <a:lnTo>
                                  <a:pt x="2229612" y="537209"/>
                                </a:lnTo>
                                <a:lnTo>
                                  <a:pt x="2676143" y="375665"/>
                                </a:lnTo>
                                <a:lnTo>
                                  <a:pt x="3121152" y="599693"/>
                                </a:lnTo>
                                <a:lnTo>
                                  <a:pt x="3567684" y="616457"/>
                                </a:lnTo>
                                <a:lnTo>
                                  <a:pt x="4012691" y="581405"/>
                                </a:lnTo>
                                <a:lnTo>
                                  <a:pt x="4459224" y="846835"/>
                                </a:lnTo>
                                <a:lnTo>
                                  <a:pt x="4905121" y="424433"/>
                                </a:lnTo>
                              </a:path>
                            </a:pathLst>
                          </a:custGeom>
                          <a:ln w="28574">
                            <a:solidFill>
                              <a:srgbClr val="E22C91"/>
                            </a:solidFill>
                            <a:prstDash val="solid"/>
                          </a:ln>
                        </wps:spPr>
                        <wps:bodyPr wrap="square" lIns="0" tIns="0" rIns="0" bIns="0" rtlCol="0">
                          <a:prstTxWarp prst="textNoShape">
                            <a:avLst/>
                          </a:prstTxWarp>
                          <a:noAutofit/>
                        </wps:bodyPr>
                      </wps:wsp>
                      <pic:pic xmlns:pic="http://schemas.openxmlformats.org/drawingml/2006/picture">
                        <pic:nvPicPr>
                          <pic:cNvPr id="236" name="Image 236"/>
                          <pic:cNvPicPr/>
                        </pic:nvPicPr>
                        <pic:blipFill>
                          <a:blip r:embed="rId107" cstate="print"/>
                          <a:stretch>
                            <a:fillRect/>
                          </a:stretch>
                        </pic:blipFill>
                        <pic:spPr>
                          <a:xfrm>
                            <a:off x="0" y="0"/>
                            <a:ext cx="73532" cy="73533"/>
                          </a:xfrm>
                          <a:prstGeom prst="rect">
                            <a:avLst/>
                          </a:prstGeom>
                        </pic:spPr>
                      </pic:pic>
                      <pic:pic xmlns:pic="http://schemas.openxmlformats.org/drawingml/2006/picture">
                        <pic:nvPicPr>
                          <pic:cNvPr id="237" name="Image 237"/>
                          <pic:cNvPicPr/>
                        </pic:nvPicPr>
                        <pic:blipFill>
                          <a:blip r:embed="rId108" cstate="print"/>
                          <a:stretch>
                            <a:fillRect/>
                          </a:stretch>
                        </pic:blipFill>
                        <pic:spPr>
                          <a:xfrm>
                            <a:off x="446531" y="117347"/>
                            <a:ext cx="73533" cy="73533"/>
                          </a:xfrm>
                          <a:prstGeom prst="rect">
                            <a:avLst/>
                          </a:prstGeom>
                        </pic:spPr>
                      </pic:pic>
                      <pic:pic xmlns:pic="http://schemas.openxmlformats.org/drawingml/2006/picture">
                        <pic:nvPicPr>
                          <pic:cNvPr id="238" name="Image 238"/>
                          <pic:cNvPicPr/>
                        </pic:nvPicPr>
                        <pic:blipFill>
                          <a:blip r:embed="rId109" cstate="print"/>
                          <a:stretch>
                            <a:fillRect/>
                          </a:stretch>
                        </pic:blipFill>
                        <pic:spPr>
                          <a:xfrm>
                            <a:off x="891539" y="179831"/>
                            <a:ext cx="73532" cy="73532"/>
                          </a:xfrm>
                          <a:prstGeom prst="rect">
                            <a:avLst/>
                          </a:prstGeom>
                        </pic:spPr>
                      </pic:pic>
                      <pic:pic xmlns:pic="http://schemas.openxmlformats.org/drawingml/2006/picture">
                        <pic:nvPicPr>
                          <pic:cNvPr id="239" name="Image 239"/>
                          <pic:cNvPicPr/>
                        </pic:nvPicPr>
                        <pic:blipFill>
                          <a:blip r:embed="rId110" cstate="print"/>
                          <a:stretch>
                            <a:fillRect/>
                          </a:stretch>
                        </pic:blipFill>
                        <pic:spPr>
                          <a:xfrm>
                            <a:off x="1338072" y="409955"/>
                            <a:ext cx="73532" cy="73532"/>
                          </a:xfrm>
                          <a:prstGeom prst="rect">
                            <a:avLst/>
                          </a:prstGeom>
                        </pic:spPr>
                      </pic:pic>
                      <pic:pic xmlns:pic="http://schemas.openxmlformats.org/drawingml/2006/picture">
                        <pic:nvPicPr>
                          <pic:cNvPr id="240" name="Image 240"/>
                          <pic:cNvPicPr/>
                        </pic:nvPicPr>
                        <pic:blipFill>
                          <a:blip r:embed="rId111" cstate="print"/>
                          <a:stretch>
                            <a:fillRect/>
                          </a:stretch>
                        </pic:blipFill>
                        <pic:spPr>
                          <a:xfrm>
                            <a:off x="1783079" y="601980"/>
                            <a:ext cx="73532" cy="73532"/>
                          </a:xfrm>
                          <a:prstGeom prst="rect">
                            <a:avLst/>
                          </a:prstGeom>
                        </pic:spPr>
                      </pic:pic>
                      <pic:pic xmlns:pic="http://schemas.openxmlformats.org/drawingml/2006/picture">
                        <pic:nvPicPr>
                          <pic:cNvPr id="241" name="Image 241"/>
                          <pic:cNvPicPr/>
                        </pic:nvPicPr>
                        <pic:blipFill>
                          <a:blip r:embed="rId109" cstate="print"/>
                          <a:stretch>
                            <a:fillRect/>
                          </a:stretch>
                        </pic:blipFill>
                        <pic:spPr>
                          <a:xfrm>
                            <a:off x="2229611" y="536448"/>
                            <a:ext cx="73532" cy="73533"/>
                          </a:xfrm>
                          <a:prstGeom prst="rect">
                            <a:avLst/>
                          </a:prstGeom>
                        </pic:spPr>
                      </pic:pic>
                      <pic:pic xmlns:pic="http://schemas.openxmlformats.org/drawingml/2006/picture">
                        <pic:nvPicPr>
                          <pic:cNvPr id="242" name="Image 242"/>
                          <pic:cNvPicPr/>
                        </pic:nvPicPr>
                        <pic:blipFill>
                          <a:blip r:embed="rId108" cstate="print"/>
                          <a:stretch>
                            <a:fillRect/>
                          </a:stretch>
                        </pic:blipFill>
                        <pic:spPr>
                          <a:xfrm>
                            <a:off x="2676144" y="374904"/>
                            <a:ext cx="73533" cy="73533"/>
                          </a:xfrm>
                          <a:prstGeom prst="rect">
                            <a:avLst/>
                          </a:prstGeom>
                        </pic:spPr>
                      </pic:pic>
                      <pic:pic xmlns:pic="http://schemas.openxmlformats.org/drawingml/2006/picture">
                        <pic:nvPicPr>
                          <pic:cNvPr id="243" name="Image 243"/>
                          <pic:cNvPicPr/>
                        </pic:nvPicPr>
                        <pic:blipFill>
                          <a:blip r:embed="rId109" cstate="print"/>
                          <a:stretch>
                            <a:fillRect/>
                          </a:stretch>
                        </pic:blipFill>
                        <pic:spPr>
                          <a:xfrm>
                            <a:off x="3121151" y="598931"/>
                            <a:ext cx="73532" cy="73532"/>
                          </a:xfrm>
                          <a:prstGeom prst="rect">
                            <a:avLst/>
                          </a:prstGeom>
                        </pic:spPr>
                      </pic:pic>
                      <pic:pic xmlns:pic="http://schemas.openxmlformats.org/drawingml/2006/picture">
                        <pic:nvPicPr>
                          <pic:cNvPr id="244" name="Image 244"/>
                          <pic:cNvPicPr/>
                        </pic:nvPicPr>
                        <pic:blipFill>
                          <a:blip r:embed="rId111" cstate="print"/>
                          <a:stretch>
                            <a:fillRect/>
                          </a:stretch>
                        </pic:blipFill>
                        <pic:spPr>
                          <a:xfrm>
                            <a:off x="3567684" y="615695"/>
                            <a:ext cx="73533" cy="73532"/>
                          </a:xfrm>
                          <a:prstGeom prst="rect">
                            <a:avLst/>
                          </a:prstGeom>
                        </pic:spPr>
                      </pic:pic>
                      <pic:pic xmlns:pic="http://schemas.openxmlformats.org/drawingml/2006/picture">
                        <pic:nvPicPr>
                          <pic:cNvPr id="245" name="Image 245"/>
                          <pic:cNvPicPr/>
                        </pic:nvPicPr>
                        <pic:blipFill>
                          <a:blip r:embed="rId109" cstate="print"/>
                          <a:stretch>
                            <a:fillRect/>
                          </a:stretch>
                        </pic:blipFill>
                        <pic:spPr>
                          <a:xfrm>
                            <a:off x="4012691" y="580644"/>
                            <a:ext cx="73533" cy="73532"/>
                          </a:xfrm>
                          <a:prstGeom prst="rect">
                            <a:avLst/>
                          </a:prstGeom>
                        </pic:spPr>
                      </pic:pic>
                      <pic:pic xmlns:pic="http://schemas.openxmlformats.org/drawingml/2006/picture">
                        <pic:nvPicPr>
                          <pic:cNvPr id="246" name="Image 246"/>
                          <pic:cNvPicPr/>
                        </pic:nvPicPr>
                        <pic:blipFill>
                          <a:blip r:embed="rId111" cstate="print"/>
                          <a:stretch>
                            <a:fillRect/>
                          </a:stretch>
                        </pic:blipFill>
                        <pic:spPr>
                          <a:xfrm>
                            <a:off x="4459223" y="845819"/>
                            <a:ext cx="73532" cy="73532"/>
                          </a:xfrm>
                          <a:prstGeom prst="rect">
                            <a:avLst/>
                          </a:prstGeom>
                        </pic:spPr>
                      </pic:pic>
                      <pic:pic xmlns:pic="http://schemas.openxmlformats.org/drawingml/2006/picture">
                        <pic:nvPicPr>
                          <pic:cNvPr id="247" name="Image 247"/>
                          <pic:cNvPicPr/>
                        </pic:nvPicPr>
                        <pic:blipFill>
                          <a:blip r:embed="rId109" cstate="print"/>
                          <a:stretch>
                            <a:fillRect/>
                          </a:stretch>
                        </pic:blipFill>
                        <pic:spPr>
                          <a:xfrm>
                            <a:off x="4905755" y="423672"/>
                            <a:ext cx="73533" cy="73533"/>
                          </a:xfrm>
                          <a:prstGeom prst="rect">
                            <a:avLst/>
                          </a:prstGeom>
                        </pic:spPr>
                      </pic:pic>
                    </wpg:wgp>
                  </a:graphicData>
                </a:graphic>
              </wp:anchor>
            </w:drawing>
          </mc:Choice>
          <mc:Fallback>
            <w:pict>
              <v:group w14:anchorId="16850D63" id="Group 234" o:spid="_x0000_s1026" style="position:absolute;margin-left:97.65pt;margin-top:5.9pt;width:392.1pt;height:72.4pt;z-index:-21039616;mso-wrap-distance-left:0;mso-wrap-distance-right:0;mso-position-horizontal-relative:page" coordsize="49796,9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">
                <v:shape id="Graphic 235" o:spid="_x0000_s1027" style="position:absolute;left:367;top:352;width:49054;height:8471;visibility:visible;mso-wrap-style:square;v-text-anchor:top" coordsize="4905375,84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" path="m,l446531,118109r445008,62484l1338071,410717r445009,192024l2229612,537209,2676143,375665r445009,224028l3567684,616457r445007,-35052l4459224,846835,4905121,424433e" filled="f" strokecolor="#e22c91" strokeweight=".79372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6" o:spid="_x0000_s1028" type="#_x0000_t75" style="position:absolute;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">
                  <v:imagedata r:id="rId112" o:title=""/>
                </v:shape>
                <v:shape id="Image 237" o:spid="_x0000_s1029" type="#_x0000_t75" style="position:absolute;left:4465;top:1173;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">
                  <v:imagedata r:id="rId113" o:title=""/>
                </v:shape>
                <v:shape id="Image 238" o:spid="_x0000_s1030" type="#_x0000_t75" style="position:absolute;left:8915;top:1798;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">
                  <v:imagedata r:id="rId114" o:title=""/>
                </v:shape>
                <v:shape id="Image 239" o:spid="_x0000_s1031" type="#_x0000_t75" style="position:absolute;left:13380;top:4099;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">
                  <v:imagedata r:id="rId115" o:title=""/>
                </v:shape>
                <v:shape id="Image 240" o:spid="_x0000_s1032" type="#_x0000_t75" style="position:absolute;left:17830;top:6019;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">
                  <v:imagedata r:id="rId116" o:title=""/>
                </v:shape>
                <v:shape id="Image 241" o:spid="_x0000_s1033" type="#_x0000_t75" style="position:absolute;left:22296;top:5364;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">
                  <v:imagedata r:id="rId114" o:title=""/>
                </v:shape>
                <v:shape id="Image 242" o:spid="_x0000_s1034" type="#_x0000_t75" style="position:absolute;left:26761;top:3749;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">
                  <v:imagedata r:id="rId113" o:title=""/>
                </v:shape>
                <v:shape id="Image 243" o:spid="_x0000_s1035" type="#_x0000_t75" style="position:absolute;left:31211;top:5989;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">
                  <v:imagedata r:id="rId114" o:title=""/>
                </v:shape>
                <v:shape id="Image 244" o:spid="_x0000_s1036" type="#_x0000_t75" style="position:absolute;left:35676;top:6156;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">
                  <v:imagedata r:id="rId116" o:title=""/>
                </v:shape>
                <v:shape id="Image 245" o:spid="_x0000_s1037" type="#_x0000_t75" style="position:absolute;left:40126;top:5806;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">
                  <v:imagedata r:id="rId114" o:title=""/>
                </v:shape>
                <v:shape id="Image 246" o:spid="_x0000_s1038" type="#_x0000_t75" style="position:absolute;left:44592;top:8458;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">
                  <v:imagedata r:id="rId116" o:title=""/>
                </v:shape>
                <v:shape id="Image 247" o:spid="_x0000_s1039" type="#_x0000_t75" style="position:absolute;left:49057;top:4236;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">
                  <v:imagedata r:id="rId114" o:title=""/>
                </v:shape>
                <w10:wrap anchorx="page"/>
              </v:group>
            </w:pict>
          </mc:Fallback>
        </mc:AlternateContent>
      </w:r>
      <w:r>
        <w:rPr>
          <w:rFonts w:ascii="Trebuchet MS"/>
          <w:color w:val="404040"/>
          <w:spacing w:val="-4"/>
          <w:w w:val="105"/>
          <w:sz w:val="18"/>
        </w:rPr>
        <w:t>4,5%</w:t>
      </w:r>
      <w:r>
        <w:rPr>
          <w:rFonts w:ascii="Trebuchet MS"/>
          <w:color w:val="404040"/>
          <w:sz w:val="18"/>
        </w:rPr>
        <w:tab/>
      </w:r>
      <w:r>
        <w:rPr>
          <w:rFonts w:ascii="Trebuchet MS"/>
          <w:color w:val="404040"/>
          <w:spacing w:val="-4"/>
          <w:w w:val="105"/>
          <w:position w:val="-9"/>
          <w:sz w:val="18"/>
        </w:rPr>
        <w:t>4,3%</w:t>
      </w:r>
    </w:p>
    <w:p w14:paraId="67C0B6DF" w14:textId="77777777" w:rsidR="000E52B0" w:rsidRDefault="00F60D74">
      <w:pPr>
        <w:rPr>
          <w:rFonts w:ascii="Trebuchet MS"/>
          <w:sz w:val="18"/>
        </w:rPr>
      </w:pPr>
      <w:r>
        <w:br w:type="column"/>
      </w:r>
    </w:p>
    <w:p w14:paraId="673480E5" w14:textId="77777777" w:rsidR="000E52B0" w:rsidRDefault="000E52B0">
      <w:pPr>
        <w:pStyle w:val="Textoindependiente"/>
        <w:ind w:left="0"/>
        <w:rPr>
          <w:rFonts w:ascii="Trebuchet MS"/>
          <w:sz w:val="18"/>
        </w:rPr>
      </w:pPr>
    </w:p>
    <w:p w14:paraId="6441C301" w14:textId="77777777" w:rsidR="000E52B0" w:rsidRDefault="000E52B0">
      <w:pPr>
        <w:pStyle w:val="Textoindependiente"/>
        <w:spacing w:before="67"/>
        <w:ind w:left="0"/>
        <w:rPr>
          <w:rFonts w:ascii="Trebuchet MS"/>
          <w:sz w:val="18"/>
        </w:rPr>
      </w:pPr>
    </w:p>
    <w:p w14:paraId="49E2FA32" w14:textId="77777777" w:rsidR="000E52B0" w:rsidRDefault="00F60D74">
      <w:pPr>
        <w:tabs>
          <w:tab w:val="left" w:pos="2378"/>
        </w:tabs>
        <w:spacing w:line="235" w:lineRule="auto"/>
        <w:ind w:left="270"/>
        <w:rPr>
          <w:rFonts w:ascii="Trebuchet MS"/>
          <w:sz w:val="18"/>
        </w:rPr>
      </w:pPr>
      <w:r>
        <w:rPr>
          <w:rFonts w:ascii="Trebuchet MS"/>
          <w:color w:val="404040"/>
          <w:spacing w:val="-4"/>
          <w:w w:val="105"/>
          <w:position w:val="-4"/>
          <w:sz w:val="18"/>
        </w:rPr>
        <w:t>3,6%</w:t>
      </w:r>
      <w:r>
        <w:rPr>
          <w:rFonts w:ascii="Trebuchet MS"/>
          <w:color w:val="404040"/>
          <w:position w:val="-4"/>
          <w:sz w:val="18"/>
        </w:rPr>
        <w:tab/>
      </w:r>
      <w:r>
        <w:rPr>
          <w:rFonts w:ascii="Trebuchet MS"/>
          <w:color w:val="404040"/>
          <w:spacing w:val="-4"/>
          <w:w w:val="105"/>
          <w:sz w:val="18"/>
        </w:rPr>
        <w:t>3,7%</w:t>
      </w:r>
    </w:p>
    <w:p w14:paraId="23A51B2B" w14:textId="77777777" w:rsidR="000E52B0" w:rsidRDefault="00F60D74">
      <w:pPr>
        <w:tabs>
          <w:tab w:val="left" w:pos="1675"/>
          <w:tab w:val="left" w:pos="3080"/>
          <w:tab w:val="left" w:pos="3783"/>
          <w:tab w:val="left" w:pos="4485"/>
        </w:tabs>
        <w:spacing w:line="327" w:lineRule="exact"/>
        <w:ind w:left="973"/>
        <w:rPr>
          <w:rFonts w:ascii="Trebuchet MS"/>
          <w:position w:val="3"/>
          <w:sz w:val="18"/>
        </w:rPr>
      </w:pPr>
      <w:r>
        <w:rPr>
          <w:rFonts w:ascii="Trebuchet MS"/>
          <w:color w:val="404040"/>
          <w:spacing w:val="-4"/>
          <w:w w:val="105"/>
          <w:sz w:val="18"/>
        </w:rPr>
        <w:t>3,1%</w:t>
      </w:r>
      <w:r>
        <w:rPr>
          <w:rFonts w:ascii="Trebuchet MS"/>
          <w:color w:val="404040"/>
          <w:sz w:val="18"/>
        </w:rPr>
        <w:tab/>
      </w:r>
      <w:r>
        <w:rPr>
          <w:rFonts w:ascii="Trebuchet MS"/>
          <w:color w:val="404040"/>
          <w:spacing w:val="-4"/>
          <w:w w:val="105"/>
          <w:position w:val="10"/>
          <w:sz w:val="18"/>
        </w:rPr>
        <w:t>3,3%</w:t>
      </w:r>
      <w:r>
        <w:rPr>
          <w:rFonts w:ascii="Trebuchet MS"/>
          <w:color w:val="404040"/>
          <w:position w:val="10"/>
          <w:sz w:val="18"/>
        </w:rPr>
        <w:tab/>
      </w:r>
      <w:r>
        <w:rPr>
          <w:rFonts w:ascii="Trebuchet MS"/>
          <w:color w:val="404040"/>
          <w:spacing w:val="-4"/>
          <w:w w:val="105"/>
          <w:position w:val="1"/>
          <w:sz w:val="18"/>
        </w:rPr>
        <w:t>3,1%</w:t>
      </w:r>
      <w:r>
        <w:rPr>
          <w:rFonts w:ascii="Trebuchet MS"/>
          <w:color w:val="404040"/>
          <w:position w:val="1"/>
          <w:sz w:val="18"/>
        </w:rPr>
        <w:tab/>
      </w:r>
      <w:r>
        <w:rPr>
          <w:rFonts w:ascii="Trebuchet MS"/>
          <w:color w:val="404040"/>
          <w:spacing w:val="-4"/>
          <w:w w:val="105"/>
          <w:position w:val="-1"/>
          <w:sz w:val="18"/>
        </w:rPr>
        <w:t>3,0%</w:t>
      </w:r>
      <w:r>
        <w:rPr>
          <w:rFonts w:ascii="Trebuchet MS"/>
          <w:color w:val="404040"/>
          <w:position w:val="-1"/>
          <w:sz w:val="18"/>
        </w:rPr>
        <w:tab/>
      </w:r>
      <w:r>
        <w:rPr>
          <w:rFonts w:ascii="Trebuchet MS"/>
          <w:color w:val="404040"/>
          <w:spacing w:val="-4"/>
          <w:w w:val="105"/>
          <w:position w:val="3"/>
          <w:sz w:val="18"/>
        </w:rPr>
        <w:t>3,1%</w:t>
      </w:r>
    </w:p>
    <w:p w14:paraId="101013A5" w14:textId="77777777" w:rsidR="000E52B0" w:rsidRDefault="00F60D74">
      <w:pPr>
        <w:rPr>
          <w:rFonts w:ascii="Trebuchet MS"/>
          <w:sz w:val="18"/>
        </w:rPr>
      </w:pPr>
      <w:r>
        <w:br w:type="column"/>
      </w:r>
    </w:p>
    <w:p w14:paraId="53CE5E4F" w14:textId="77777777" w:rsidR="000E52B0" w:rsidRDefault="000E52B0">
      <w:pPr>
        <w:pStyle w:val="Textoindependiente"/>
        <w:ind w:left="0"/>
        <w:rPr>
          <w:rFonts w:ascii="Trebuchet MS"/>
          <w:sz w:val="18"/>
        </w:rPr>
      </w:pPr>
    </w:p>
    <w:p w14:paraId="2F04CD79" w14:textId="77777777" w:rsidR="000E52B0" w:rsidRDefault="000E52B0">
      <w:pPr>
        <w:pStyle w:val="Textoindependiente"/>
        <w:ind w:left="0"/>
        <w:rPr>
          <w:rFonts w:ascii="Trebuchet MS"/>
          <w:sz w:val="18"/>
        </w:rPr>
      </w:pPr>
    </w:p>
    <w:p w14:paraId="664B6D73" w14:textId="77777777" w:rsidR="000E52B0" w:rsidRDefault="000E52B0">
      <w:pPr>
        <w:pStyle w:val="Textoindependiente"/>
        <w:ind w:left="0"/>
        <w:rPr>
          <w:rFonts w:ascii="Trebuchet MS"/>
          <w:sz w:val="18"/>
        </w:rPr>
      </w:pPr>
    </w:p>
    <w:p w14:paraId="76B2D474" w14:textId="77777777" w:rsidR="000E52B0" w:rsidRDefault="000E52B0">
      <w:pPr>
        <w:pStyle w:val="Textoindependiente"/>
        <w:ind w:left="0"/>
        <w:rPr>
          <w:rFonts w:ascii="Trebuchet MS"/>
          <w:sz w:val="18"/>
        </w:rPr>
      </w:pPr>
    </w:p>
    <w:p w14:paraId="458D53C3" w14:textId="77777777" w:rsidR="000E52B0" w:rsidRDefault="000E52B0">
      <w:pPr>
        <w:pStyle w:val="Textoindependiente"/>
        <w:spacing w:before="180"/>
        <w:ind w:left="0"/>
        <w:rPr>
          <w:rFonts w:ascii="Trebuchet MS"/>
          <w:sz w:val="18"/>
        </w:rPr>
      </w:pPr>
    </w:p>
    <w:p w14:paraId="59D32FC9" w14:textId="77777777" w:rsidR="000E52B0" w:rsidRDefault="00F60D74">
      <w:pPr>
        <w:ind w:left="271"/>
        <w:rPr>
          <w:rFonts w:ascii="Trebuchet MS"/>
          <w:sz w:val="18"/>
        </w:rPr>
      </w:pPr>
      <w:r>
        <w:rPr>
          <w:rFonts w:ascii="Trebuchet MS"/>
          <w:color w:val="404040"/>
          <w:spacing w:val="-4"/>
          <w:w w:val="105"/>
          <w:sz w:val="18"/>
        </w:rPr>
        <w:t>2,4%</w:t>
      </w:r>
    </w:p>
    <w:p w14:paraId="15DD2AF5" w14:textId="77777777" w:rsidR="000E52B0" w:rsidRDefault="00F60D74">
      <w:pPr>
        <w:rPr>
          <w:rFonts w:ascii="Trebuchet MS"/>
          <w:sz w:val="18"/>
        </w:rPr>
      </w:pPr>
      <w:r>
        <w:br w:type="column"/>
      </w:r>
    </w:p>
    <w:p w14:paraId="60C5B2EC" w14:textId="77777777" w:rsidR="000E52B0" w:rsidRDefault="000E52B0">
      <w:pPr>
        <w:pStyle w:val="Textoindependiente"/>
        <w:ind w:left="0"/>
        <w:rPr>
          <w:rFonts w:ascii="Trebuchet MS"/>
          <w:sz w:val="18"/>
        </w:rPr>
      </w:pPr>
    </w:p>
    <w:p w14:paraId="1B6DF13C" w14:textId="77777777" w:rsidR="000E52B0" w:rsidRDefault="000E52B0">
      <w:pPr>
        <w:pStyle w:val="Textoindependiente"/>
        <w:spacing w:before="143"/>
        <w:ind w:left="0"/>
        <w:rPr>
          <w:rFonts w:ascii="Trebuchet MS"/>
          <w:sz w:val="18"/>
        </w:rPr>
      </w:pPr>
    </w:p>
    <w:p w14:paraId="63CC5B0B" w14:textId="77777777" w:rsidR="000E52B0" w:rsidRDefault="00F60D74">
      <w:pPr>
        <w:ind w:left="270"/>
        <w:rPr>
          <w:rFonts w:ascii="Trebuchet MS"/>
          <w:sz w:val="18"/>
        </w:rPr>
      </w:pPr>
      <w:r>
        <w:rPr>
          <w:rFonts w:ascii="Trebuchet MS"/>
          <w:color w:val="404040"/>
          <w:spacing w:val="-4"/>
          <w:w w:val="105"/>
          <w:sz w:val="18"/>
        </w:rPr>
        <w:t>3,6%</w:t>
      </w:r>
    </w:p>
    <w:p w14:paraId="31CDA371" w14:textId="77777777" w:rsidR="000E52B0" w:rsidRDefault="000E52B0">
      <w:pPr>
        <w:rPr>
          <w:rFonts w:ascii="Trebuchet MS"/>
          <w:sz w:val="18"/>
        </w:rPr>
        <w:sectPr w:rsidR="000E52B0">
          <w:type w:val="continuous"/>
          <w:pgSz w:w="11910" w:h="16840"/>
          <w:pgMar w:top="1340" w:right="720" w:bottom="1280" w:left="720" w:header="0" w:footer="995" w:gutter="0"/>
          <w:cols w:num="5" w:space="720" w:equalWidth="0">
            <w:col w:w="1488" w:space="40"/>
            <w:col w:w="1365" w:space="39"/>
            <w:col w:w="4877" w:space="40"/>
            <w:col w:w="663" w:space="39"/>
            <w:col w:w="1919"/>
          </w:cols>
        </w:sectPr>
      </w:pPr>
    </w:p>
    <w:p w14:paraId="3903F5DA" w14:textId="77777777" w:rsidR="000E52B0" w:rsidRDefault="000E52B0">
      <w:pPr>
        <w:pStyle w:val="Textoindependiente"/>
        <w:ind w:left="0"/>
        <w:rPr>
          <w:rFonts w:ascii="Trebuchet MS"/>
          <w:sz w:val="20"/>
        </w:rPr>
      </w:pPr>
    </w:p>
    <w:p w14:paraId="67FB70D4" w14:textId="77777777" w:rsidR="000E52B0" w:rsidRDefault="000E52B0">
      <w:pPr>
        <w:pStyle w:val="Textoindependiente"/>
        <w:ind w:left="0"/>
        <w:rPr>
          <w:rFonts w:ascii="Trebuchet MS"/>
          <w:sz w:val="20"/>
        </w:rPr>
      </w:pPr>
    </w:p>
    <w:p w14:paraId="34245D8B" w14:textId="77777777" w:rsidR="000E52B0" w:rsidRDefault="000E52B0">
      <w:pPr>
        <w:pStyle w:val="Textoindependiente"/>
        <w:ind w:left="0"/>
        <w:rPr>
          <w:rFonts w:ascii="Trebuchet MS"/>
          <w:sz w:val="20"/>
        </w:rPr>
      </w:pPr>
    </w:p>
    <w:p w14:paraId="72255FE1" w14:textId="77777777" w:rsidR="000E52B0" w:rsidRDefault="000E52B0">
      <w:pPr>
        <w:pStyle w:val="Textoindependiente"/>
        <w:ind w:left="0"/>
        <w:rPr>
          <w:rFonts w:ascii="Trebuchet MS"/>
          <w:sz w:val="20"/>
        </w:rPr>
      </w:pPr>
    </w:p>
    <w:p w14:paraId="1EDC3865" w14:textId="77777777" w:rsidR="000E52B0" w:rsidRDefault="000E52B0">
      <w:pPr>
        <w:pStyle w:val="Textoindependiente"/>
        <w:ind w:left="0"/>
        <w:rPr>
          <w:rFonts w:ascii="Trebuchet MS"/>
          <w:sz w:val="20"/>
        </w:rPr>
      </w:pPr>
    </w:p>
    <w:p w14:paraId="016C45B3" w14:textId="77777777" w:rsidR="000E52B0" w:rsidRDefault="000E52B0">
      <w:pPr>
        <w:pStyle w:val="Textoindependiente"/>
        <w:spacing w:before="58"/>
        <w:ind w:left="0"/>
        <w:rPr>
          <w:rFonts w:ascii="Trebuchet MS"/>
          <w:sz w:val="20"/>
        </w:rPr>
      </w:pPr>
    </w:p>
    <w:p w14:paraId="31BA90B0" w14:textId="77777777" w:rsidR="000E52B0" w:rsidRDefault="00F60D74">
      <w:pPr>
        <w:pStyle w:val="Textoindependiente"/>
        <w:spacing w:line="20" w:lineRule="exact"/>
        <w:ind w:left="940"/>
        <w:rPr>
          <w:rFonts w:ascii="Trebuchet MS"/>
          <w:sz w:val="2"/>
        </w:rPr>
      </w:pPr>
      <w:r>
        <w:rPr>
          <w:rFonts w:ascii="Trebuchet MS"/>
          <w:noProof/>
          <w:sz w:val="2"/>
        </w:rPr>
        <mc:AlternateContent>
          <mc:Choice Requires="wpg">
            <w:drawing>
              <wp:inline distT="0" distB="0" distL="0" distR="0" wp14:anchorId="7038F90D" wp14:editId="54B74C33">
                <wp:extent cx="5351145" cy="9525"/>
                <wp:effectExtent l="9525" t="0" r="1904" b="0"/>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1145" cy="9525"/>
                          <a:chOff x="0" y="0"/>
                          <a:chExt cx="5351145" cy="9525"/>
                        </a:xfrm>
                      </wpg:grpSpPr>
                      <wps:wsp>
                        <wps:cNvPr id="249" name="Graphic 249"/>
                        <wps:cNvSpPr/>
                        <wps:spPr>
                          <a:xfrm>
                            <a:off x="0" y="4762"/>
                            <a:ext cx="5351145" cy="1270"/>
                          </a:xfrm>
                          <a:custGeom>
                            <a:avLst/>
                            <a:gdLst/>
                            <a:ahLst/>
                            <a:cxnLst/>
                            <a:rect l="l" t="t" r="r" b="b"/>
                            <a:pathLst>
                              <a:path w="5351145">
                                <a:moveTo>
                                  <a:pt x="0" y="0"/>
                                </a:moveTo>
                                <a:lnTo>
                                  <a:pt x="5351145" y="0"/>
                                </a:lnTo>
                              </a:path>
                            </a:pathLst>
                          </a:custGeom>
                          <a:ln w="9525">
                            <a:solidFill>
                              <a:srgbClr val="D9D9D9"/>
                            </a:solidFill>
                            <a:prstDash val="solid"/>
                          </a:ln>
                        </wps:spPr>
                        <wps:bodyPr wrap="square" lIns="0" tIns="0" rIns="0" bIns="0" rtlCol="0">
                          <a:prstTxWarp prst="textNoShape">
                            <a:avLst/>
                          </a:prstTxWarp>
                          <a:noAutofit/>
                        </wps:bodyPr>
                      </wps:wsp>
                    </wpg:wgp>
                  </a:graphicData>
                </a:graphic>
              </wp:inline>
            </w:drawing>
          </mc:Choice>
          <mc:Fallback>
            <w:pict>
              <v:group w14:anchorId="22D213F2" id="Group 248" o:spid="_x0000_s1026" style="width:421.35pt;height:.75pt;mso-position-horizontal-relative:char;mso-position-vertical-relative:line" coordsize="535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">
                <v:shape id="Graphic 249" o:spid="_x0000_s1027" style="position:absolute;top:47;width:53511;height:13;visibility:visible;mso-wrap-style:square;v-text-anchor:top" coordsize="5351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" path="m,l5351145,e" filled="f" strokecolor="#d9d9d9">
                  <v:path arrowok="t"/>
                </v:shape>
                <w10:anchorlock/>
              </v:group>
            </w:pict>
          </mc:Fallback>
        </mc:AlternateContent>
      </w:r>
    </w:p>
    <w:p w14:paraId="5D4D6D4E" w14:textId="77777777" w:rsidR="000E52B0" w:rsidRDefault="00F60D74">
      <w:pPr>
        <w:tabs>
          <w:tab w:val="left" w:pos="1801"/>
          <w:tab w:val="left" w:pos="2503"/>
          <w:tab w:val="left" w:pos="3206"/>
          <w:tab w:val="left" w:pos="3908"/>
          <w:tab w:val="left" w:pos="4610"/>
          <w:tab w:val="left" w:pos="5313"/>
          <w:tab w:val="left" w:pos="6015"/>
          <w:tab w:val="left" w:pos="6717"/>
          <w:tab w:val="left" w:pos="7420"/>
          <w:tab w:val="left" w:pos="8122"/>
          <w:tab w:val="left" w:pos="8825"/>
        </w:tabs>
        <w:spacing w:before="92"/>
        <w:ind w:left="1099"/>
        <w:rPr>
          <w:rFonts w:ascii="Trebuchet MS"/>
          <w:sz w:val="18"/>
        </w:rPr>
      </w:pPr>
      <w:r>
        <w:rPr>
          <w:rFonts w:ascii="Trebuchet MS"/>
          <w:color w:val="585858"/>
          <w:spacing w:val="-4"/>
          <w:sz w:val="18"/>
        </w:rPr>
        <w:t>2010</w:t>
      </w:r>
      <w:r>
        <w:rPr>
          <w:rFonts w:ascii="Trebuchet MS"/>
          <w:color w:val="585858"/>
          <w:sz w:val="18"/>
        </w:rPr>
        <w:tab/>
      </w:r>
      <w:r>
        <w:rPr>
          <w:rFonts w:ascii="Trebuchet MS"/>
          <w:color w:val="585858"/>
          <w:spacing w:val="-4"/>
          <w:sz w:val="18"/>
        </w:rPr>
        <w:t>2011</w:t>
      </w:r>
      <w:r>
        <w:rPr>
          <w:rFonts w:ascii="Trebuchet MS"/>
          <w:color w:val="585858"/>
          <w:sz w:val="18"/>
        </w:rPr>
        <w:tab/>
      </w:r>
      <w:r>
        <w:rPr>
          <w:rFonts w:ascii="Trebuchet MS"/>
          <w:color w:val="585858"/>
          <w:spacing w:val="-4"/>
          <w:sz w:val="18"/>
        </w:rPr>
        <w:t>2012</w:t>
      </w:r>
      <w:r>
        <w:rPr>
          <w:rFonts w:ascii="Trebuchet MS"/>
          <w:color w:val="585858"/>
          <w:sz w:val="18"/>
        </w:rPr>
        <w:tab/>
      </w:r>
      <w:r>
        <w:rPr>
          <w:rFonts w:ascii="Trebuchet MS"/>
          <w:color w:val="585858"/>
          <w:spacing w:val="-4"/>
          <w:sz w:val="18"/>
        </w:rPr>
        <w:t>2013</w:t>
      </w:r>
      <w:r>
        <w:rPr>
          <w:rFonts w:ascii="Trebuchet MS"/>
          <w:color w:val="585858"/>
          <w:sz w:val="18"/>
        </w:rPr>
        <w:tab/>
      </w:r>
      <w:r>
        <w:rPr>
          <w:rFonts w:ascii="Trebuchet MS"/>
          <w:color w:val="585858"/>
          <w:spacing w:val="-4"/>
          <w:sz w:val="18"/>
        </w:rPr>
        <w:t>2014</w:t>
      </w:r>
      <w:r>
        <w:rPr>
          <w:rFonts w:ascii="Trebuchet MS"/>
          <w:color w:val="585858"/>
          <w:sz w:val="18"/>
        </w:rPr>
        <w:tab/>
      </w:r>
      <w:r>
        <w:rPr>
          <w:rFonts w:ascii="Trebuchet MS"/>
          <w:color w:val="585858"/>
          <w:spacing w:val="-4"/>
          <w:sz w:val="18"/>
        </w:rPr>
        <w:t>2015</w:t>
      </w:r>
      <w:r>
        <w:rPr>
          <w:rFonts w:ascii="Trebuchet MS"/>
          <w:color w:val="585858"/>
          <w:sz w:val="18"/>
        </w:rPr>
        <w:tab/>
      </w:r>
      <w:r>
        <w:rPr>
          <w:rFonts w:ascii="Trebuchet MS"/>
          <w:color w:val="585858"/>
          <w:spacing w:val="-4"/>
          <w:sz w:val="18"/>
        </w:rPr>
        <w:t>2016</w:t>
      </w:r>
      <w:r>
        <w:rPr>
          <w:rFonts w:ascii="Trebuchet MS"/>
          <w:color w:val="585858"/>
          <w:sz w:val="18"/>
        </w:rPr>
        <w:tab/>
      </w:r>
      <w:r>
        <w:rPr>
          <w:rFonts w:ascii="Trebuchet MS"/>
          <w:color w:val="585858"/>
          <w:spacing w:val="-4"/>
          <w:sz w:val="18"/>
        </w:rPr>
        <w:t>2017</w:t>
      </w:r>
      <w:r>
        <w:rPr>
          <w:rFonts w:ascii="Trebuchet MS"/>
          <w:color w:val="585858"/>
          <w:sz w:val="18"/>
        </w:rPr>
        <w:tab/>
      </w:r>
      <w:r>
        <w:rPr>
          <w:rFonts w:ascii="Trebuchet MS"/>
          <w:color w:val="585858"/>
          <w:spacing w:val="-4"/>
          <w:sz w:val="18"/>
        </w:rPr>
        <w:t>2018</w:t>
      </w:r>
      <w:r>
        <w:rPr>
          <w:rFonts w:ascii="Trebuchet MS"/>
          <w:color w:val="585858"/>
          <w:sz w:val="18"/>
        </w:rPr>
        <w:tab/>
      </w:r>
      <w:r>
        <w:rPr>
          <w:rFonts w:ascii="Trebuchet MS"/>
          <w:color w:val="585858"/>
          <w:spacing w:val="-4"/>
          <w:sz w:val="18"/>
        </w:rPr>
        <w:t>2019</w:t>
      </w:r>
      <w:r>
        <w:rPr>
          <w:rFonts w:ascii="Trebuchet MS"/>
          <w:color w:val="585858"/>
          <w:sz w:val="18"/>
        </w:rPr>
        <w:tab/>
      </w:r>
      <w:r>
        <w:rPr>
          <w:rFonts w:ascii="Trebuchet MS"/>
          <w:color w:val="585858"/>
          <w:spacing w:val="-4"/>
          <w:sz w:val="18"/>
        </w:rPr>
        <w:t>2020</w:t>
      </w:r>
      <w:r>
        <w:rPr>
          <w:rFonts w:ascii="Trebuchet MS"/>
          <w:color w:val="585858"/>
          <w:sz w:val="18"/>
        </w:rPr>
        <w:tab/>
      </w:r>
      <w:r>
        <w:rPr>
          <w:rFonts w:ascii="Trebuchet MS"/>
          <w:color w:val="585858"/>
          <w:spacing w:val="-4"/>
          <w:sz w:val="18"/>
        </w:rPr>
        <w:t>2021</w:t>
      </w:r>
    </w:p>
    <w:p w14:paraId="7E67259B" w14:textId="77777777" w:rsidR="000E52B0" w:rsidRDefault="000E52B0">
      <w:pPr>
        <w:pStyle w:val="Textoindependiente"/>
        <w:spacing w:before="96"/>
        <w:ind w:left="0"/>
        <w:rPr>
          <w:rFonts w:ascii="Trebuchet MS"/>
          <w:sz w:val="18"/>
        </w:rPr>
      </w:pPr>
    </w:p>
    <w:p w14:paraId="561AB2C7" w14:textId="77777777" w:rsidR="000E52B0" w:rsidRDefault="00F60D74">
      <w:pPr>
        <w:ind w:left="720"/>
        <w:jc w:val="both"/>
        <w:rPr>
          <w:i/>
          <w:sz w:val="18"/>
        </w:rPr>
      </w:pPr>
      <w:r>
        <w:rPr>
          <w:i/>
          <w:color w:val="454551"/>
          <w:sz w:val="18"/>
        </w:rPr>
        <w:t>Fuente</w:t>
      </w:r>
      <w:r>
        <w:rPr>
          <w:i/>
          <w:color w:val="454551"/>
          <w:spacing w:val="-2"/>
          <w:sz w:val="18"/>
        </w:rPr>
        <w:t xml:space="preserve"> </w:t>
      </w:r>
      <w:r>
        <w:rPr>
          <w:i/>
          <w:color w:val="454551"/>
          <w:sz w:val="18"/>
        </w:rPr>
        <w:t>15.</w:t>
      </w:r>
      <w:r>
        <w:rPr>
          <w:i/>
          <w:color w:val="454551"/>
          <w:spacing w:val="-4"/>
          <w:sz w:val="18"/>
        </w:rPr>
        <w:t xml:space="preserve"> </w:t>
      </w:r>
      <w:r>
        <w:rPr>
          <w:i/>
          <w:color w:val="454551"/>
          <w:sz w:val="18"/>
        </w:rPr>
        <w:t>MEN</w:t>
      </w:r>
      <w:r>
        <w:rPr>
          <w:i/>
          <w:color w:val="454551"/>
          <w:spacing w:val="-3"/>
          <w:sz w:val="18"/>
        </w:rPr>
        <w:t xml:space="preserve"> </w:t>
      </w:r>
      <w:r>
        <w:rPr>
          <w:i/>
          <w:color w:val="454551"/>
          <w:sz w:val="18"/>
        </w:rPr>
        <w:t>Nota</w:t>
      </w:r>
      <w:r>
        <w:rPr>
          <w:i/>
          <w:color w:val="454551"/>
          <w:spacing w:val="-3"/>
          <w:sz w:val="18"/>
        </w:rPr>
        <w:t xml:space="preserve"> </w:t>
      </w:r>
      <w:r>
        <w:rPr>
          <w:i/>
          <w:color w:val="454551"/>
          <w:sz w:val="18"/>
        </w:rPr>
        <w:t>técnica</w:t>
      </w:r>
      <w:r>
        <w:rPr>
          <w:i/>
          <w:color w:val="454551"/>
          <w:spacing w:val="-4"/>
          <w:sz w:val="18"/>
        </w:rPr>
        <w:t xml:space="preserve"> </w:t>
      </w:r>
      <w:r>
        <w:rPr>
          <w:i/>
          <w:color w:val="454551"/>
          <w:sz w:val="18"/>
        </w:rPr>
        <w:t>sobre</w:t>
      </w:r>
      <w:r>
        <w:rPr>
          <w:i/>
          <w:color w:val="454551"/>
          <w:spacing w:val="-2"/>
          <w:sz w:val="18"/>
        </w:rPr>
        <w:t xml:space="preserve"> </w:t>
      </w:r>
      <w:r>
        <w:rPr>
          <w:i/>
          <w:color w:val="454551"/>
          <w:sz w:val="18"/>
        </w:rPr>
        <w:t>Deserción</w:t>
      </w:r>
      <w:r>
        <w:rPr>
          <w:i/>
          <w:color w:val="454551"/>
          <w:spacing w:val="-2"/>
          <w:sz w:val="18"/>
        </w:rPr>
        <w:t xml:space="preserve"> </w:t>
      </w:r>
      <w:r>
        <w:rPr>
          <w:i/>
          <w:color w:val="454551"/>
          <w:sz w:val="18"/>
        </w:rPr>
        <w:t>escolar</w:t>
      </w:r>
      <w:r>
        <w:rPr>
          <w:i/>
          <w:color w:val="454551"/>
          <w:spacing w:val="-6"/>
          <w:sz w:val="18"/>
        </w:rPr>
        <w:t xml:space="preserve"> </w:t>
      </w:r>
      <w:r>
        <w:rPr>
          <w:i/>
          <w:color w:val="454551"/>
          <w:sz w:val="18"/>
        </w:rPr>
        <w:t>en</w:t>
      </w:r>
      <w:r>
        <w:rPr>
          <w:i/>
          <w:color w:val="454551"/>
          <w:spacing w:val="-1"/>
          <w:sz w:val="18"/>
        </w:rPr>
        <w:t xml:space="preserve"> </w:t>
      </w:r>
      <w:r>
        <w:rPr>
          <w:i/>
          <w:color w:val="454551"/>
          <w:spacing w:val="-2"/>
          <w:sz w:val="18"/>
        </w:rPr>
        <w:t>Colombia</w:t>
      </w:r>
    </w:p>
    <w:p w14:paraId="594965B7" w14:textId="77777777" w:rsidR="000E52B0" w:rsidRDefault="00F60D74">
      <w:pPr>
        <w:pStyle w:val="Textoindependiente"/>
        <w:spacing w:before="201"/>
        <w:ind w:right="720"/>
        <w:jc w:val="both"/>
      </w:pPr>
      <w:r>
        <w:t>En</w:t>
      </w:r>
      <w:r>
        <w:rPr>
          <w:spacing w:val="-3"/>
        </w:rPr>
        <w:t xml:space="preserve"> </w:t>
      </w:r>
      <w:r>
        <w:t>el</w:t>
      </w:r>
      <w:r>
        <w:rPr>
          <w:spacing w:val="-1"/>
        </w:rPr>
        <w:t xml:space="preserve"> </w:t>
      </w:r>
      <w:r>
        <w:t>análisis</w:t>
      </w:r>
      <w:r>
        <w:rPr>
          <w:spacing w:val="-2"/>
        </w:rPr>
        <w:t xml:space="preserve"> </w:t>
      </w:r>
      <w:r>
        <w:t>de la deserción</w:t>
      </w:r>
      <w:r>
        <w:rPr>
          <w:spacing w:val="-2"/>
        </w:rPr>
        <w:t xml:space="preserve"> </w:t>
      </w:r>
      <w:r>
        <w:t>escolar</w:t>
      </w:r>
      <w:r>
        <w:rPr>
          <w:spacing w:val="-1"/>
        </w:rPr>
        <w:t xml:space="preserve"> </w:t>
      </w:r>
      <w:r>
        <w:t>también se</w:t>
      </w:r>
      <w:r>
        <w:rPr>
          <w:spacing w:val="-1"/>
        </w:rPr>
        <w:t xml:space="preserve"> </w:t>
      </w:r>
      <w:r>
        <w:t>encuentra diferencias por sexo,</w:t>
      </w:r>
      <w:r>
        <w:rPr>
          <w:spacing w:val="-15"/>
        </w:rPr>
        <w:t xml:space="preserve"> </w:t>
      </w:r>
      <w:r>
        <w:t>evidenciando</w:t>
      </w:r>
      <w:r>
        <w:rPr>
          <w:spacing w:val="-12"/>
        </w:rPr>
        <w:t xml:space="preserve"> </w:t>
      </w:r>
      <w:r>
        <w:t>que</w:t>
      </w:r>
      <w:r>
        <w:rPr>
          <w:spacing w:val="-14"/>
        </w:rPr>
        <w:t xml:space="preserve"> </w:t>
      </w:r>
      <w:r>
        <w:t>los</w:t>
      </w:r>
      <w:r>
        <w:rPr>
          <w:spacing w:val="-14"/>
        </w:rPr>
        <w:t xml:space="preserve"> </w:t>
      </w:r>
      <w:r>
        <w:t>hombres</w:t>
      </w:r>
      <w:r>
        <w:rPr>
          <w:spacing w:val="-15"/>
        </w:rPr>
        <w:t xml:space="preserve"> </w:t>
      </w:r>
      <w:r>
        <w:t>tienen</w:t>
      </w:r>
      <w:r>
        <w:rPr>
          <w:spacing w:val="-15"/>
        </w:rPr>
        <w:t xml:space="preserve"> </w:t>
      </w:r>
      <w:r>
        <w:t>mayor</w:t>
      </w:r>
      <w:r>
        <w:rPr>
          <w:spacing w:val="-14"/>
        </w:rPr>
        <w:t xml:space="preserve"> </w:t>
      </w:r>
      <w:r>
        <w:t>probabilidad</w:t>
      </w:r>
      <w:r>
        <w:rPr>
          <w:spacing w:val="-15"/>
        </w:rPr>
        <w:t xml:space="preserve"> </w:t>
      </w:r>
      <w:r>
        <w:t>de</w:t>
      </w:r>
      <w:r>
        <w:rPr>
          <w:spacing w:val="-11"/>
        </w:rPr>
        <w:t xml:space="preserve"> </w:t>
      </w:r>
      <w:r>
        <w:t>desertar que las mujeres, lo cual puede explicar que ellas tengan mayores niveles educativos. La serie histórica muestra en ambos grupos una reducción de la deserción, sin embargo, en ellos es más lenta. Para 2015, la tasa de abandono</w:t>
      </w:r>
      <w:r>
        <w:rPr>
          <w:spacing w:val="-12"/>
        </w:rPr>
        <w:t xml:space="preserve"> </w:t>
      </w:r>
      <w:r>
        <w:t>de</w:t>
      </w:r>
      <w:r>
        <w:rPr>
          <w:spacing w:val="-14"/>
        </w:rPr>
        <w:t xml:space="preserve"> </w:t>
      </w:r>
      <w:r>
        <w:t>las</w:t>
      </w:r>
      <w:r>
        <w:rPr>
          <w:spacing w:val="-13"/>
        </w:rPr>
        <w:t xml:space="preserve"> </w:t>
      </w:r>
      <w:r>
        <w:t>mujeres</w:t>
      </w:r>
      <w:r>
        <w:rPr>
          <w:spacing w:val="-15"/>
        </w:rPr>
        <w:t xml:space="preserve"> </w:t>
      </w:r>
      <w:r>
        <w:t>fue</w:t>
      </w:r>
      <w:r>
        <w:rPr>
          <w:spacing w:val="-14"/>
        </w:rPr>
        <w:t xml:space="preserve"> </w:t>
      </w:r>
      <w:r>
        <w:t>de</w:t>
      </w:r>
      <w:r>
        <w:rPr>
          <w:spacing w:val="-14"/>
        </w:rPr>
        <w:t xml:space="preserve"> </w:t>
      </w:r>
      <w:r>
        <w:t>8,4%,</w:t>
      </w:r>
      <w:r>
        <w:rPr>
          <w:spacing w:val="-16"/>
        </w:rPr>
        <w:t xml:space="preserve"> </w:t>
      </w:r>
      <w:r>
        <w:t>y</w:t>
      </w:r>
      <w:r>
        <w:rPr>
          <w:spacing w:val="-13"/>
        </w:rPr>
        <w:t xml:space="preserve"> </w:t>
      </w:r>
      <w:r>
        <w:t>en</w:t>
      </w:r>
      <w:r>
        <w:rPr>
          <w:spacing w:val="-16"/>
        </w:rPr>
        <w:t xml:space="preserve"> </w:t>
      </w:r>
      <w:r>
        <w:t>2020,</w:t>
      </w:r>
      <w:r>
        <w:rPr>
          <w:spacing w:val="-16"/>
        </w:rPr>
        <w:t xml:space="preserve"> </w:t>
      </w:r>
      <w:r>
        <w:t>de</w:t>
      </w:r>
      <w:r>
        <w:rPr>
          <w:spacing w:val="-14"/>
        </w:rPr>
        <w:t xml:space="preserve"> </w:t>
      </w:r>
      <w:r>
        <w:t>4,4%,</w:t>
      </w:r>
      <w:r>
        <w:rPr>
          <w:spacing w:val="-16"/>
        </w:rPr>
        <w:t xml:space="preserve"> </w:t>
      </w:r>
      <w:r>
        <w:t>lo</w:t>
      </w:r>
      <w:r>
        <w:rPr>
          <w:spacing w:val="-14"/>
        </w:rPr>
        <w:t xml:space="preserve"> </w:t>
      </w:r>
      <w:r>
        <w:t>que</w:t>
      </w:r>
      <w:r>
        <w:rPr>
          <w:spacing w:val="-14"/>
        </w:rPr>
        <w:t xml:space="preserve"> </w:t>
      </w:r>
      <w:r>
        <w:t>significa una reducción de 4 p.p., mientras que la reducción en los hombres, en el periodo analizado, fue de 3,5 p.p., al pasar de 9,3% en 2015 a 5,7% en 2020. En el boletín técnico del DANE sobre educación formal para 2021 la tasa de deserción nacional fue de 3,7% y la tasa de deserción de los hombres fue mayor en todos los niveles educativos.</w:t>
      </w:r>
    </w:p>
    <w:p w14:paraId="6FD00D1F" w14:textId="77777777" w:rsidR="000E52B0" w:rsidRDefault="00F60D74">
      <w:pPr>
        <w:spacing w:before="159"/>
        <w:jc w:val="center"/>
        <w:rPr>
          <w:i/>
          <w:sz w:val="18"/>
        </w:rPr>
      </w:pPr>
      <w:r>
        <w:rPr>
          <w:i/>
          <w:color w:val="454551"/>
          <w:sz w:val="18"/>
        </w:rPr>
        <w:t>Ilustración</w:t>
      </w:r>
      <w:r>
        <w:rPr>
          <w:i/>
          <w:color w:val="454551"/>
          <w:spacing w:val="-3"/>
          <w:sz w:val="18"/>
        </w:rPr>
        <w:t xml:space="preserve"> </w:t>
      </w:r>
      <w:r>
        <w:rPr>
          <w:i/>
          <w:color w:val="454551"/>
          <w:sz w:val="18"/>
        </w:rPr>
        <w:t>26.</w:t>
      </w:r>
      <w:r>
        <w:rPr>
          <w:i/>
          <w:color w:val="454551"/>
          <w:spacing w:val="-4"/>
          <w:sz w:val="18"/>
        </w:rPr>
        <w:t xml:space="preserve"> </w:t>
      </w:r>
      <w:r>
        <w:rPr>
          <w:i/>
          <w:color w:val="454551"/>
          <w:sz w:val="18"/>
        </w:rPr>
        <w:t>Tasa</w:t>
      </w:r>
      <w:r>
        <w:rPr>
          <w:i/>
          <w:color w:val="454551"/>
          <w:spacing w:val="-4"/>
          <w:sz w:val="18"/>
        </w:rPr>
        <w:t xml:space="preserve"> </w:t>
      </w:r>
      <w:r>
        <w:rPr>
          <w:i/>
          <w:color w:val="454551"/>
          <w:sz w:val="18"/>
        </w:rPr>
        <w:t>de</w:t>
      </w:r>
      <w:r>
        <w:rPr>
          <w:i/>
          <w:color w:val="454551"/>
          <w:spacing w:val="-3"/>
          <w:sz w:val="18"/>
        </w:rPr>
        <w:t xml:space="preserve"> </w:t>
      </w:r>
      <w:r>
        <w:rPr>
          <w:i/>
          <w:color w:val="454551"/>
          <w:sz w:val="18"/>
        </w:rPr>
        <w:t>deserción</w:t>
      </w:r>
      <w:r>
        <w:rPr>
          <w:i/>
          <w:color w:val="454551"/>
          <w:spacing w:val="-2"/>
          <w:sz w:val="18"/>
        </w:rPr>
        <w:t xml:space="preserve"> </w:t>
      </w:r>
      <w:r>
        <w:rPr>
          <w:i/>
          <w:color w:val="454551"/>
          <w:sz w:val="18"/>
        </w:rPr>
        <w:t>por</w:t>
      </w:r>
      <w:r>
        <w:rPr>
          <w:i/>
          <w:color w:val="454551"/>
          <w:spacing w:val="-3"/>
          <w:sz w:val="18"/>
        </w:rPr>
        <w:t xml:space="preserve"> </w:t>
      </w:r>
      <w:r>
        <w:rPr>
          <w:i/>
          <w:color w:val="454551"/>
          <w:sz w:val="18"/>
        </w:rPr>
        <w:t>nivel</w:t>
      </w:r>
      <w:r>
        <w:rPr>
          <w:i/>
          <w:color w:val="454551"/>
          <w:spacing w:val="-2"/>
          <w:sz w:val="18"/>
        </w:rPr>
        <w:t xml:space="preserve"> </w:t>
      </w:r>
      <w:r>
        <w:rPr>
          <w:i/>
          <w:color w:val="454551"/>
          <w:sz w:val="18"/>
        </w:rPr>
        <w:t>educativo</w:t>
      </w:r>
      <w:r>
        <w:rPr>
          <w:i/>
          <w:color w:val="454551"/>
          <w:spacing w:val="-2"/>
          <w:sz w:val="18"/>
        </w:rPr>
        <w:t xml:space="preserve"> </w:t>
      </w:r>
      <w:r>
        <w:rPr>
          <w:i/>
          <w:color w:val="454551"/>
          <w:sz w:val="18"/>
        </w:rPr>
        <w:t>y</w:t>
      </w:r>
      <w:r>
        <w:rPr>
          <w:i/>
          <w:color w:val="454551"/>
          <w:spacing w:val="-4"/>
          <w:sz w:val="18"/>
        </w:rPr>
        <w:t xml:space="preserve"> </w:t>
      </w:r>
      <w:r>
        <w:rPr>
          <w:i/>
          <w:color w:val="454551"/>
          <w:sz w:val="18"/>
        </w:rPr>
        <w:t>sexo.</w:t>
      </w:r>
      <w:r>
        <w:rPr>
          <w:i/>
          <w:color w:val="454551"/>
          <w:spacing w:val="-4"/>
          <w:sz w:val="18"/>
        </w:rPr>
        <w:t xml:space="preserve"> </w:t>
      </w:r>
      <w:r>
        <w:rPr>
          <w:i/>
          <w:color w:val="454551"/>
          <w:sz w:val="18"/>
        </w:rPr>
        <w:t>Total</w:t>
      </w:r>
      <w:r>
        <w:rPr>
          <w:i/>
          <w:color w:val="454551"/>
          <w:spacing w:val="-3"/>
          <w:sz w:val="18"/>
        </w:rPr>
        <w:t xml:space="preserve"> </w:t>
      </w:r>
      <w:r>
        <w:rPr>
          <w:i/>
          <w:color w:val="454551"/>
          <w:spacing w:val="-2"/>
          <w:sz w:val="18"/>
        </w:rPr>
        <w:t>nacional</w:t>
      </w:r>
    </w:p>
    <w:p w14:paraId="1B9450D4" w14:textId="77777777" w:rsidR="000E52B0" w:rsidRDefault="000E52B0">
      <w:pPr>
        <w:pStyle w:val="Textoindependiente"/>
        <w:spacing w:before="151"/>
        <w:ind w:left="0"/>
        <w:rPr>
          <w:i/>
          <w:sz w:val="18"/>
        </w:rPr>
      </w:pPr>
    </w:p>
    <w:p w14:paraId="23EDA484" w14:textId="77777777" w:rsidR="000E52B0" w:rsidRDefault="00F60D74">
      <w:pPr>
        <w:spacing w:before="1"/>
        <w:ind w:left="39"/>
        <w:jc w:val="center"/>
        <w:rPr>
          <w:rFonts w:ascii="Trebuchet MS"/>
          <w:sz w:val="18"/>
        </w:rPr>
      </w:pPr>
      <w:r>
        <w:rPr>
          <w:noProof/>
        </w:rPr>
        <w:drawing>
          <wp:inline distT="0" distB="0" distL="0" distR="0" wp14:anchorId="16F330B3" wp14:editId="0A9FF349">
            <wp:extent cx="62779" cy="62779"/>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99" cstate="print"/>
                    <a:stretch>
                      <a:fillRect/>
                    </a:stretch>
                  </pic:blipFill>
                  <pic:spPr>
                    <a:xfrm>
                      <a:off x="0" y="0"/>
                      <a:ext cx="62779" cy="62779"/>
                    </a:xfrm>
                    <a:prstGeom prst="rect">
                      <a:avLst/>
                    </a:prstGeom>
                  </pic:spPr>
                </pic:pic>
              </a:graphicData>
            </a:graphic>
          </wp:inline>
        </w:drawing>
      </w:r>
      <w:r>
        <w:rPr>
          <w:rFonts w:ascii="Times New Roman"/>
          <w:spacing w:val="-5"/>
          <w:sz w:val="20"/>
        </w:rPr>
        <w:t xml:space="preserve"> </w:t>
      </w:r>
      <w:r>
        <w:rPr>
          <w:rFonts w:ascii="Trebuchet MS"/>
          <w:color w:val="585858"/>
          <w:sz w:val="18"/>
        </w:rPr>
        <w:t>Hombres</w:t>
      </w:r>
      <w:r>
        <w:rPr>
          <w:rFonts w:ascii="Trebuchet MS"/>
          <w:color w:val="585858"/>
          <w:spacing w:val="35"/>
          <w:sz w:val="18"/>
        </w:rPr>
        <w:t xml:space="preserve">  </w:t>
      </w:r>
      <w:r>
        <w:rPr>
          <w:rFonts w:ascii="Trebuchet MS"/>
          <w:noProof/>
          <w:color w:val="585858"/>
          <w:spacing w:val="9"/>
          <w:sz w:val="18"/>
        </w:rPr>
        <w:drawing>
          <wp:inline distT="0" distB="0" distL="0" distR="0" wp14:anchorId="3544EA19" wp14:editId="2FD58BDD">
            <wp:extent cx="62779" cy="62779"/>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100" cstate="print"/>
                    <a:stretch>
                      <a:fillRect/>
                    </a:stretch>
                  </pic:blipFill>
                  <pic:spPr>
                    <a:xfrm>
                      <a:off x="0" y="0"/>
                      <a:ext cx="62779" cy="62779"/>
                    </a:xfrm>
                    <a:prstGeom prst="rect">
                      <a:avLst/>
                    </a:prstGeom>
                  </pic:spPr>
                </pic:pic>
              </a:graphicData>
            </a:graphic>
          </wp:inline>
        </w:drawing>
      </w:r>
      <w:r>
        <w:rPr>
          <w:rFonts w:ascii="Times New Roman"/>
          <w:color w:val="585858"/>
          <w:spacing w:val="-10"/>
          <w:sz w:val="18"/>
        </w:rPr>
        <w:t xml:space="preserve"> </w:t>
      </w:r>
      <w:r>
        <w:rPr>
          <w:rFonts w:ascii="Trebuchet MS"/>
          <w:color w:val="585858"/>
          <w:sz w:val="18"/>
        </w:rPr>
        <w:t>Mujeres</w:t>
      </w:r>
    </w:p>
    <w:p w14:paraId="6ECD2B13" w14:textId="77777777" w:rsidR="000E52B0" w:rsidRDefault="00F60D74">
      <w:pPr>
        <w:spacing w:before="189"/>
        <w:ind w:left="6816"/>
        <w:rPr>
          <w:rFonts w:ascii="Trebuchet MS"/>
          <w:sz w:val="18"/>
        </w:rPr>
      </w:pPr>
      <w:r>
        <w:rPr>
          <w:rFonts w:ascii="Trebuchet MS"/>
          <w:color w:val="585858"/>
          <w:spacing w:val="-2"/>
          <w:w w:val="105"/>
          <w:sz w:val="18"/>
        </w:rPr>
        <w:t>10,90%</w:t>
      </w:r>
    </w:p>
    <w:p w14:paraId="4FFA70E9" w14:textId="77777777" w:rsidR="000E52B0" w:rsidRDefault="00F60D74">
      <w:pPr>
        <w:pStyle w:val="Textoindependiente"/>
        <w:ind w:left="932"/>
        <w:rPr>
          <w:rFonts w:ascii="Trebuchet MS"/>
          <w:sz w:val="20"/>
        </w:rPr>
      </w:pPr>
      <w:r>
        <w:rPr>
          <w:rFonts w:ascii="Trebuchet MS"/>
          <w:noProof/>
          <w:sz w:val="20"/>
        </w:rPr>
        <mc:AlternateContent>
          <mc:Choice Requires="wpg">
            <w:drawing>
              <wp:inline distT="0" distB="0" distL="0" distR="0" wp14:anchorId="2E635B67" wp14:editId="34B64826">
                <wp:extent cx="5431155" cy="1327785"/>
                <wp:effectExtent l="9525" t="0" r="0" b="5715"/>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1155" cy="1327785"/>
                          <a:chOff x="0" y="0"/>
                          <a:chExt cx="5431155" cy="1327785"/>
                        </a:xfrm>
                      </wpg:grpSpPr>
                      <wps:wsp>
                        <wps:cNvPr id="253" name="Graphic 253"/>
                        <wps:cNvSpPr/>
                        <wps:spPr>
                          <a:xfrm>
                            <a:off x="157480" y="70144"/>
                            <a:ext cx="4800600" cy="1252855"/>
                          </a:xfrm>
                          <a:custGeom>
                            <a:avLst/>
                            <a:gdLst/>
                            <a:ahLst/>
                            <a:cxnLst/>
                            <a:rect l="l" t="t" r="r" b="b"/>
                            <a:pathLst>
                              <a:path w="4800600" h="1252855">
                                <a:moveTo>
                                  <a:pt x="274320" y="896112"/>
                                </a:moveTo>
                                <a:lnTo>
                                  <a:pt x="0" y="896112"/>
                                </a:lnTo>
                                <a:lnTo>
                                  <a:pt x="0" y="1252347"/>
                                </a:lnTo>
                                <a:lnTo>
                                  <a:pt x="274320" y="1252347"/>
                                </a:lnTo>
                                <a:lnTo>
                                  <a:pt x="274320" y="896112"/>
                                </a:lnTo>
                                <a:close/>
                              </a:path>
                              <a:path w="4800600" h="1252855">
                                <a:moveTo>
                                  <a:pt x="1179576" y="896112"/>
                                </a:moveTo>
                                <a:lnTo>
                                  <a:pt x="905256" y="896112"/>
                                </a:lnTo>
                                <a:lnTo>
                                  <a:pt x="905256" y="1252347"/>
                                </a:lnTo>
                                <a:lnTo>
                                  <a:pt x="1179576" y="1252347"/>
                                </a:lnTo>
                                <a:lnTo>
                                  <a:pt x="1179576" y="896112"/>
                                </a:lnTo>
                                <a:close/>
                              </a:path>
                              <a:path w="4800600" h="1252855">
                                <a:moveTo>
                                  <a:pt x="2084832" y="758952"/>
                                </a:moveTo>
                                <a:lnTo>
                                  <a:pt x="1810512" y="758952"/>
                                </a:lnTo>
                                <a:lnTo>
                                  <a:pt x="1810512" y="1252347"/>
                                </a:lnTo>
                                <a:lnTo>
                                  <a:pt x="2084832" y="1252347"/>
                                </a:lnTo>
                                <a:lnTo>
                                  <a:pt x="2084832" y="758952"/>
                                </a:lnTo>
                                <a:close/>
                              </a:path>
                              <a:path w="4800600" h="1252855">
                                <a:moveTo>
                                  <a:pt x="2990088" y="873252"/>
                                </a:moveTo>
                                <a:lnTo>
                                  <a:pt x="2715768" y="873252"/>
                                </a:lnTo>
                                <a:lnTo>
                                  <a:pt x="2715768" y="1252347"/>
                                </a:lnTo>
                                <a:lnTo>
                                  <a:pt x="2990088" y="1252347"/>
                                </a:lnTo>
                                <a:lnTo>
                                  <a:pt x="2990088" y="873252"/>
                                </a:lnTo>
                                <a:close/>
                              </a:path>
                              <a:path w="4800600" h="1252855">
                                <a:moveTo>
                                  <a:pt x="3895344" y="0"/>
                                </a:moveTo>
                                <a:lnTo>
                                  <a:pt x="3621024" y="0"/>
                                </a:lnTo>
                                <a:lnTo>
                                  <a:pt x="3621024" y="1252347"/>
                                </a:lnTo>
                                <a:lnTo>
                                  <a:pt x="3895344" y="1252347"/>
                                </a:lnTo>
                                <a:lnTo>
                                  <a:pt x="3895344" y="0"/>
                                </a:lnTo>
                                <a:close/>
                              </a:path>
                              <a:path w="4800600" h="1252855">
                                <a:moveTo>
                                  <a:pt x="4800600" y="723900"/>
                                </a:moveTo>
                                <a:lnTo>
                                  <a:pt x="4526280" y="723900"/>
                                </a:lnTo>
                                <a:lnTo>
                                  <a:pt x="4526280" y="1252347"/>
                                </a:lnTo>
                                <a:lnTo>
                                  <a:pt x="4800600" y="1252347"/>
                                </a:lnTo>
                                <a:lnTo>
                                  <a:pt x="4800600" y="723900"/>
                                </a:lnTo>
                                <a:close/>
                              </a:path>
                            </a:pathLst>
                          </a:custGeom>
                          <a:solidFill>
                            <a:srgbClr val="E22C91"/>
                          </a:solidFill>
                        </wps:spPr>
                        <wps:bodyPr wrap="square" lIns="0" tIns="0" rIns="0" bIns="0" rtlCol="0">
                          <a:prstTxWarp prst="textNoShape">
                            <a:avLst/>
                          </a:prstTxWarp>
                          <a:noAutofit/>
                        </wps:bodyPr>
                      </wps:wsp>
                      <wps:wsp>
                        <wps:cNvPr id="254" name="Graphic 254"/>
                        <wps:cNvSpPr/>
                        <wps:spPr>
                          <a:xfrm>
                            <a:off x="472948" y="196636"/>
                            <a:ext cx="4800600" cy="1125855"/>
                          </a:xfrm>
                          <a:custGeom>
                            <a:avLst/>
                            <a:gdLst/>
                            <a:ahLst/>
                            <a:cxnLst/>
                            <a:rect l="l" t="t" r="r" b="b"/>
                            <a:pathLst>
                              <a:path w="4800600" h="1125855">
                                <a:moveTo>
                                  <a:pt x="274320" y="804672"/>
                                </a:moveTo>
                                <a:lnTo>
                                  <a:pt x="0" y="804672"/>
                                </a:lnTo>
                                <a:lnTo>
                                  <a:pt x="0" y="1125855"/>
                                </a:lnTo>
                                <a:lnTo>
                                  <a:pt x="274320" y="1125855"/>
                                </a:lnTo>
                                <a:lnTo>
                                  <a:pt x="274320" y="804672"/>
                                </a:lnTo>
                                <a:close/>
                              </a:path>
                              <a:path w="4800600" h="1125855">
                                <a:moveTo>
                                  <a:pt x="1179576" y="815340"/>
                                </a:moveTo>
                                <a:lnTo>
                                  <a:pt x="905256" y="815340"/>
                                </a:lnTo>
                                <a:lnTo>
                                  <a:pt x="905256" y="1125855"/>
                                </a:lnTo>
                                <a:lnTo>
                                  <a:pt x="1179576" y="1125855"/>
                                </a:lnTo>
                                <a:lnTo>
                                  <a:pt x="1179576" y="815340"/>
                                </a:lnTo>
                                <a:close/>
                              </a:path>
                              <a:path w="4800600" h="1125855">
                                <a:moveTo>
                                  <a:pt x="2084832" y="746760"/>
                                </a:moveTo>
                                <a:lnTo>
                                  <a:pt x="1810512" y="746760"/>
                                </a:lnTo>
                                <a:lnTo>
                                  <a:pt x="1810512" y="1125855"/>
                                </a:lnTo>
                                <a:lnTo>
                                  <a:pt x="2084832" y="1125855"/>
                                </a:lnTo>
                                <a:lnTo>
                                  <a:pt x="2084832" y="746760"/>
                                </a:lnTo>
                                <a:close/>
                              </a:path>
                              <a:path w="4800600" h="1125855">
                                <a:moveTo>
                                  <a:pt x="2990088" y="850392"/>
                                </a:moveTo>
                                <a:lnTo>
                                  <a:pt x="2715768" y="850392"/>
                                </a:lnTo>
                                <a:lnTo>
                                  <a:pt x="2715768" y="1125855"/>
                                </a:lnTo>
                                <a:lnTo>
                                  <a:pt x="2990088" y="1125855"/>
                                </a:lnTo>
                                <a:lnTo>
                                  <a:pt x="2990088" y="850392"/>
                                </a:lnTo>
                                <a:close/>
                              </a:path>
                              <a:path w="4800600" h="1125855">
                                <a:moveTo>
                                  <a:pt x="3895344" y="0"/>
                                </a:moveTo>
                                <a:lnTo>
                                  <a:pt x="3621024" y="0"/>
                                </a:lnTo>
                                <a:lnTo>
                                  <a:pt x="3621024" y="1125855"/>
                                </a:lnTo>
                                <a:lnTo>
                                  <a:pt x="3895344" y="1125855"/>
                                </a:lnTo>
                                <a:lnTo>
                                  <a:pt x="3895344" y="0"/>
                                </a:lnTo>
                                <a:close/>
                              </a:path>
                              <a:path w="4800600" h="1125855">
                                <a:moveTo>
                                  <a:pt x="4800600" y="723900"/>
                                </a:moveTo>
                                <a:lnTo>
                                  <a:pt x="4526280" y="723900"/>
                                </a:lnTo>
                                <a:lnTo>
                                  <a:pt x="4526280" y="1125855"/>
                                </a:lnTo>
                                <a:lnTo>
                                  <a:pt x="4800600" y="1125855"/>
                                </a:lnTo>
                                <a:lnTo>
                                  <a:pt x="4800600" y="723900"/>
                                </a:lnTo>
                                <a:close/>
                              </a:path>
                            </a:pathLst>
                          </a:custGeom>
                          <a:solidFill>
                            <a:srgbClr val="FFC000"/>
                          </a:solidFill>
                        </wps:spPr>
                        <wps:bodyPr wrap="square" lIns="0" tIns="0" rIns="0" bIns="0" rtlCol="0">
                          <a:prstTxWarp prst="textNoShape">
                            <a:avLst/>
                          </a:prstTxWarp>
                          <a:noAutofit/>
                        </wps:bodyPr>
                      </wps:wsp>
                      <wps:wsp>
                        <wps:cNvPr id="255" name="Graphic 255"/>
                        <wps:cNvSpPr/>
                        <wps:spPr>
                          <a:xfrm>
                            <a:off x="0" y="1322491"/>
                            <a:ext cx="5431155" cy="1270"/>
                          </a:xfrm>
                          <a:custGeom>
                            <a:avLst/>
                            <a:gdLst/>
                            <a:ahLst/>
                            <a:cxnLst/>
                            <a:rect l="l" t="t" r="r" b="b"/>
                            <a:pathLst>
                              <a:path w="5431155">
                                <a:moveTo>
                                  <a:pt x="0" y="0"/>
                                </a:moveTo>
                                <a:lnTo>
                                  <a:pt x="5431155" y="0"/>
                                </a:lnTo>
                              </a:path>
                            </a:pathLst>
                          </a:custGeom>
                          <a:ln w="9525">
                            <a:solidFill>
                              <a:srgbClr val="D9D9D9"/>
                            </a:solidFill>
                            <a:prstDash val="solid"/>
                          </a:ln>
                        </wps:spPr>
                        <wps:bodyPr wrap="square" lIns="0" tIns="0" rIns="0" bIns="0" rtlCol="0">
                          <a:prstTxWarp prst="textNoShape">
                            <a:avLst/>
                          </a:prstTxWarp>
                          <a:noAutofit/>
                        </wps:bodyPr>
                      </wps:wsp>
                      <wps:wsp>
                        <wps:cNvPr id="256" name="Textbox 256"/>
                        <wps:cNvSpPr txBox="1"/>
                        <wps:spPr>
                          <a:xfrm>
                            <a:off x="4077208" y="0"/>
                            <a:ext cx="322580" cy="140335"/>
                          </a:xfrm>
                          <a:prstGeom prst="rect">
                            <a:avLst/>
                          </a:prstGeom>
                        </wps:spPr>
                        <wps:txbx>
                          <w:txbxContent>
                            <w:p w14:paraId="6F664F55" w14:textId="77777777" w:rsidR="000E52B0" w:rsidRDefault="00F60D74">
                              <w:pPr>
                                <w:rPr>
                                  <w:rFonts w:ascii="Trebuchet MS"/>
                                  <w:sz w:val="18"/>
                                </w:rPr>
                              </w:pPr>
                              <w:r>
                                <w:rPr>
                                  <w:rFonts w:ascii="Trebuchet MS"/>
                                  <w:color w:val="585858"/>
                                  <w:spacing w:val="-2"/>
                                  <w:w w:val="105"/>
                                  <w:sz w:val="18"/>
                                </w:rPr>
                                <w:t>9,80%</w:t>
                              </w:r>
                            </w:p>
                          </w:txbxContent>
                        </wps:txbx>
                        <wps:bodyPr wrap="square" lIns="0" tIns="0" rIns="0" bIns="0" rtlCol="0">
                          <a:noAutofit/>
                        </wps:bodyPr>
                      </wps:wsp>
                      <wps:wsp>
                        <wps:cNvPr id="257" name="Textbox 257"/>
                        <wps:cNvSpPr txBox="1"/>
                        <wps:spPr>
                          <a:xfrm>
                            <a:off x="1950973" y="632492"/>
                            <a:ext cx="322580" cy="139700"/>
                          </a:xfrm>
                          <a:prstGeom prst="rect">
                            <a:avLst/>
                          </a:prstGeom>
                        </wps:spPr>
                        <wps:txbx>
                          <w:txbxContent>
                            <w:p w14:paraId="35EDC9A6" w14:textId="77777777" w:rsidR="000E52B0" w:rsidRDefault="00F60D74">
                              <w:pPr>
                                <w:rPr>
                                  <w:rFonts w:ascii="Trebuchet MS"/>
                                  <w:sz w:val="18"/>
                                </w:rPr>
                              </w:pPr>
                              <w:r>
                                <w:rPr>
                                  <w:rFonts w:ascii="Trebuchet MS"/>
                                  <w:color w:val="585858"/>
                                  <w:spacing w:val="-2"/>
                                  <w:w w:val="105"/>
                                  <w:sz w:val="18"/>
                                </w:rPr>
                                <w:t>4,30%</w:t>
                              </w:r>
                            </w:p>
                          </w:txbxContent>
                        </wps:txbx>
                        <wps:bodyPr wrap="square" lIns="0" tIns="0" rIns="0" bIns="0" rtlCol="0">
                          <a:noAutofit/>
                        </wps:bodyPr>
                      </wps:wsp>
                      <wps:wsp>
                        <wps:cNvPr id="258" name="Textbox 258"/>
                        <wps:cNvSpPr txBox="1"/>
                        <wps:spPr>
                          <a:xfrm>
                            <a:off x="4666996" y="597408"/>
                            <a:ext cx="322580" cy="140335"/>
                          </a:xfrm>
                          <a:prstGeom prst="rect">
                            <a:avLst/>
                          </a:prstGeom>
                        </wps:spPr>
                        <wps:txbx>
                          <w:txbxContent>
                            <w:p w14:paraId="6E805458" w14:textId="77777777" w:rsidR="000E52B0" w:rsidRDefault="00F60D74">
                              <w:pPr>
                                <w:rPr>
                                  <w:rFonts w:ascii="Trebuchet MS"/>
                                  <w:sz w:val="18"/>
                                </w:rPr>
                              </w:pPr>
                              <w:r>
                                <w:rPr>
                                  <w:rFonts w:ascii="Trebuchet MS"/>
                                  <w:color w:val="585858"/>
                                  <w:spacing w:val="-2"/>
                                  <w:w w:val="105"/>
                                  <w:sz w:val="18"/>
                                </w:rPr>
                                <w:t>4,60%</w:t>
                              </w:r>
                            </w:p>
                          </w:txbxContent>
                        </wps:txbx>
                        <wps:bodyPr wrap="square" lIns="0" tIns="0" rIns="0" bIns="0" rtlCol="0">
                          <a:noAutofit/>
                        </wps:bodyPr>
                      </wps:wsp>
                      <wps:wsp>
                        <wps:cNvPr id="259" name="Textbox 259"/>
                        <wps:cNvSpPr txBox="1"/>
                        <wps:spPr>
                          <a:xfrm>
                            <a:off x="140106" y="770287"/>
                            <a:ext cx="638175" cy="173990"/>
                          </a:xfrm>
                          <a:prstGeom prst="rect">
                            <a:avLst/>
                          </a:prstGeom>
                        </wps:spPr>
                        <wps:txbx>
                          <w:txbxContent>
                            <w:p w14:paraId="7EF941B7" w14:textId="77777777" w:rsidR="000E52B0" w:rsidRDefault="00F60D74">
                              <w:pPr>
                                <w:rPr>
                                  <w:rFonts w:ascii="Trebuchet MS"/>
                                  <w:position w:val="-4"/>
                                  <w:sz w:val="18"/>
                                </w:rPr>
                              </w:pPr>
                              <w:r>
                                <w:rPr>
                                  <w:rFonts w:ascii="Trebuchet MS"/>
                                  <w:color w:val="585858"/>
                                  <w:spacing w:val="-2"/>
                                  <w:w w:val="105"/>
                                  <w:sz w:val="18"/>
                                </w:rPr>
                                <w:t>3,10%</w:t>
                              </w:r>
                              <w:r>
                                <w:rPr>
                                  <w:rFonts w:ascii="Trebuchet MS"/>
                                  <w:color w:val="585858"/>
                                  <w:spacing w:val="-2"/>
                                  <w:w w:val="105"/>
                                  <w:position w:val="-4"/>
                                  <w:sz w:val="18"/>
                                </w:rPr>
                                <w:t>2,80%</w:t>
                              </w:r>
                            </w:p>
                          </w:txbxContent>
                        </wps:txbx>
                        <wps:bodyPr wrap="square" lIns="0" tIns="0" rIns="0" bIns="0" rtlCol="0">
                          <a:noAutofit/>
                        </wps:bodyPr>
                      </wps:wsp>
                      <wps:wsp>
                        <wps:cNvPr id="260" name="Textbox 260"/>
                        <wps:cNvSpPr txBox="1"/>
                        <wps:spPr>
                          <a:xfrm>
                            <a:off x="1045717" y="770287"/>
                            <a:ext cx="638175" cy="186055"/>
                          </a:xfrm>
                          <a:prstGeom prst="rect">
                            <a:avLst/>
                          </a:prstGeom>
                        </wps:spPr>
                        <wps:txbx>
                          <w:txbxContent>
                            <w:p w14:paraId="309798D7" w14:textId="77777777" w:rsidR="000E52B0" w:rsidRDefault="00F60D74">
                              <w:pPr>
                                <w:rPr>
                                  <w:rFonts w:ascii="Trebuchet MS"/>
                                  <w:position w:val="-6"/>
                                  <w:sz w:val="18"/>
                                </w:rPr>
                              </w:pPr>
                              <w:r>
                                <w:rPr>
                                  <w:rFonts w:ascii="Trebuchet MS"/>
                                  <w:color w:val="585858"/>
                                  <w:spacing w:val="-2"/>
                                  <w:w w:val="105"/>
                                  <w:sz w:val="18"/>
                                </w:rPr>
                                <w:t>3,10%</w:t>
                              </w:r>
                              <w:r>
                                <w:rPr>
                                  <w:rFonts w:ascii="Trebuchet MS"/>
                                  <w:color w:val="585858"/>
                                  <w:spacing w:val="-2"/>
                                  <w:w w:val="105"/>
                                  <w:position w:val="-6"/>
                                  <w:sz w:val="18"/>
                                </w:rPr>
                                <w:t>2,70%</w:t>
                              </w:r>
                            </w:p>
                          </w:txbxContent>
                        </wps:txbx>
                        <wps:bodyPr wrap="square" lIns="0" tIns="0" rIns="0" bIns="0" rtlCol="0">
                          <a:noAutofit/>
                        </wps:bodyPr>
                      </wps:wsp>
                      <wps:wsp>
                        <wps:cNvPr id="261" name="Textbox 261"/>
                        <wps:cNvSpPr txBox="1"/>
                        <wps:spPr>
                          <a:xfrm>
                            <a:off x="2266442" y="747046"/>
                            <a:ext cx="322580" cy="139700"/>
                          </a:xfrm>
                          <a:prstGeom prst="rect">
                            <a:avLst/>
                          </a:prstGeom>
                        </wps:spPr>
                        <wps:txbx>
                          <w:txbxContent>
                            <w:p w14:paraId="22B6D8B9" w14:textId="77777777" w:rsidR="000E52B0" w:rsidRDefault="00F60D74">
                              <w:pPr>
                                <w:rPr>
                                  <w:rFonts w:ascii="Trebuchet MS"/>
                                  <w:sz w:val="18"/>
                                </w:rPr>
                              </w:pPr>
                              <w:r>
                                <w:rPr>
                                  <w:rFonts w:ascii="Trebuchet MS"/>
                                  <w:color w:val="585858"/>
                                  <w:spacing w:val="-2"/>
                                  <w:w w:val="105"/>
                                  <w:sz w:val="18"/>
                                </w:rPr>
                                <w:t>3,30%</w:t>
                              </w:r>
                            </w:p>
                          </w:txbxContent>
                        </wps:txbx>
                        <wps:bodyPr wrap="square" lIns="0" tIns="0" rIns="0" bIns="0" rtlCol="0">
                          <a:noAutofit/>
                        </wps:bodyPr>
                      </wps:wsp>
                      <wps:wsp>
                        <wps:cNvPr id="262" name="Textbox 262"/>
                        <wps:cNvSpPr txBox="1"/>
                        <wps:spPr>
                          <a:xfrm>
                            <a:off x="2856229" y="747046"/>
                            <a:ext cx="638175" cy="243204"/>
                          </a:xfrm>
                          <a:prstGeom prst="rect">
                            <a:avLst/>
                          </a:prstGeom>
                        </wps:spPr>
                        <wps:txbx>
                          <w:txbxContent>
                            <w:p w14:paraId="5FFFBE15" w14:textId="77777777" w:rsidR="000E52B0" w:rsidRDefault="00F60D74">
                              <w:pPr>
                                <w:spacing w:line="186" w:lineRule="exact"/>
                                <w:rPr>
                                  <w:rFonts w:ascii="Trebuchet MS"/>
                                  <w:sz w:val="18"/>
                                </w:rPr>
                              </w:pPr>
                              <w:r>
                                <w:rPr>
                                  <w:rFonts w:ascii="Trebuchet MS"/>
                                  <w:color w:val="585858"/>
                                  <w:spacing w:val="-2"/>
                                  <w:w w:val="105"/>
                                  <w:sz w:val="18"/>
                                </w:rPr>
                                <w:t>3,30%</w:t>
                              </w:r>
                            </w:p>
                            <w:p w14:paraId="712C064A" w14:textId="77777777" w:rsidR="000E52B0" w:rsidRDefault="00F60D74">
                              <w:pPr>
                                <w:spacing w:line="186" w:lineRule="exact"/>
                                <w:ind w:left="497"/>
                                <w:rPr>
                                  <w:rFonts w:ascii="Trebuchet MS"/>
                                  <w:sz w:val="18"/>
                                </w:rPr>
                              </w:pPr>
                              <w:r>
                                <w:rPr>
                                  <w:rFonts w:ascii="Trebuchet MS"/>
                                  <w:color w:val="585858"/>
                                  <w:spacing w:val="-2"/>
                                  <w:w w:val="105"/>
                                  <w:sz w:val="18"/>
                                </w:rPr>
                                <w:t>2,40%</w:t>
                              </w:r>
                            </w:p>
                          </w:txbxContent>
                        </wps:txbx>
                        <wps:bodyPr wrap="square" lIns="0" tIns="0" rIns="0" bIns="0" rtlCol="0">
                          <a:noAutofit/>
                        </wps:bodyPr>
                      </wps:wsp>
                      <wps:wsp>
                        <wps:cNvPr id="263" name="Textbox 263"/>
                        <wps:cNvSpPr txBox="1"/>
                        <wps:spPr>
                          <a:xfrm>
                            <a:off x="4982464" y="724186"/>
                            <a:ext cx="322580" cy="139700"/>
                          </a:xfrm>
                          <a:prstGeom prst="rect">
                            <a:avLst/>
                          </a:prstGeom>
                        </wps:spPr>
                        <wps:txbx>
                          <w:txbxContent>
                            <w:p w14:paraId="5AFCFCF7" w14:textId="77777777" w:rsidR="000E52B0" w:rsidRDefault="00F60D74">
                              <w:pPr>
                                <w:rPr>
                                  <w:rFonts w:ascii="Trebuchet MS"/>
                                  <w:sz w:val="18"/>
                                </w:rPr>
                              </w:pPr>
                              <w:r>
                                <w:rPr>
                                  <w:rFonts w:ascii="Trebuchet MS"/>
                                  <w:color w:val="585858"/>
                                  <w:spacing w:val="-2"/>
                                  <w:w w:val="105"/>
                                  <w:sz w:val="18"/>
                                </w:rPr>
                                <w:t>3,50%</w:t>
                              </w:r>
                            </w:p>
                          </w:txbxContent>
                        </wps:txbx>
                        <wps:bodyPr wrap="square" lIns="0" tIns="0" rIns="0" bIns="0" rtlCol="0">
                          <a:noAutofit/>
                        </wps:bodyPr>
                      </wps:wsp>
                    </wpg:wgp>
                  </a:graphicData>
                </a:graphic>
              </wp:inline>
            </w:drawing>
          </mc:Choice>
          <mc:Fallback>
            <w:pict>
              <v:group w14:anchorId="2E635B67" id="Group 252" o:spid="_x0000_s1153" style="width:427.65pt;height:104.55pt;mso-position-horizontal-relative:char;mso-position-vertical-relative:line" coordsize="54311,1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">
                <v:shape id="Graphic 253" o:spid="_x0000_s1154" style="position:absolute;left:1574;top:701;width:48006;height:12528;visibility:visible;mso-wrap-style:square;v-text-anchor:top" coordsize="4800600,125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" path="m274320,896112l,896112r,356235l274320,1252347r,-356235xem1179576,896112r-274320,l905256,1252347r274320,l1179576,896112xem2084832,758952r-274320,l1810512,1252347r274320,l2084832,758952xem2990088,873252r-274320,l2715768,1252347r274320,l2990088,873252xem3895344,l3621024,r,1252347l3895344,1252347,3895344,xem4800600,723900r-274320,l4526280,1252347r274320,l4800600,723900xe" fillcolor="#e22c91" stroked="f">
                  <v:path arrowok="t"/>
                </v:shape>
                <v:shape id="Graphic 254" o:spid="_x0000_s1155" style="position:absolute;left:4729;top:1966;width:48006;height:11258;visibility:visible;mso-wrap-style:square;v-text-anchor:top" coordsize="4800600,112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" path="m274320,804672l,804672r,321183l274320,1125855r,-321183xem1179576,815340r-274320,l905256,1125855r274320,l1179576,815340xem2084832,746760r-274320,l1810512,1125855r274320,l2084832,746760xem2990088,850392r-274320,l2715768,1125855r274320,l2990088,850392xem3895344,l3621024,r,1125855l3895344,1125855,3895344,xem4800600,723900r-274320,l4526280,1125855r274320,l4800600,723900xe" fillcolor="#ffc000" stroked="f">
                  <v:path arrowok="t"/>
                </v:shape>
                <v:shape id="Graphic 255" o:spid="_x0000_s1156" style="position:absolute;top:13224;width:54311;height:13;visibility:visible;mso-wrap-style:square;v-text-anchor:top" coordsize="5431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" path="m,l5431155,e" filled="f" strokecolor="#d9d9d9">
                  <v:path arrowok="t"/>
                </v:shape>
                <v:shape id="Textbox 256" o:spid="_x0000_s1157" type="#_x0000_t202" style="position:absolute;left:40772;width:322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6F664F55" w14:textId="77777777" w:rsidR="000E52B0" w:rsidRDefault="00F60D74">
                        <w:pPr>
                          <w:rPr>
                            <w:rFonts w:ascii="Trebuchet MS"/>
                            <w:sz w:val="18"/>
                          </w:rPr>
                        </w:pPr>
                        <w:r>
                          <w:rPr>
                            <w:rFonts w:ascii="Trebuchet MS"/>
                            <w:color w:val="585858"/>
                            <w:spacing w:val="-2"/>
                            <w:w w:val="105"/>
                            <w:sz w:val="18"/>
                          </w:rPr>
                          <w:t>9,80%</w:t>
                        </w:r>
                      </w:p>
                    </w:txbxContent>
                  </v:textbox>
                </v:shape>
                <v:shape id="Textbox 257" o:spid="_x0000_s1158" type="#_x0000_t202" style="position:absolute;left:19509;top:6324;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35EDC9A6" w14:textId="77777777" w:rsidR="000E52B0" w:rsidRDefault="00F60D74">
                        <w:pPr>
                          <w:rPr>
                            <w:rFonts w:ascii="Trebuchet MS"/>
                            <w:sz w:val="18"/>
                          </w:rPr>
                        </w:pPr>
                        <w:r>
                          <w:rPr>
                            <w:rFonts w:ascii="Trebuchet MS"/>
                            <w:color w:val="585858"/>
                            <w:spacing w:val="-2"/>
                            <w:w w:val="105"/>
                            <w:sz w:val="18"/>
                          </w:rPr>
                          <w:t>4,30%</w:t>
                        </w:r>
                      </w:p>
                    </w:txbxContent>
                  </v:textbox>
                </v:shape>
                <v:shape id="Textbox 258" o:spid="_x0000_s1159" type="#_x0000_t202" style="position:absolute;left:46669;top:5974;width:322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6E805458" w14:textId="77777777" w:rsidR="000E52B0" w:rsidRDefault="00F60D74">
                        <w:pPr>
                          <w:rPr>
                            <w:rFonts w:ascii="Trebuchet MS"/>
                            <w:sz w:val="18"/>
                          </w:rPr>
                        </w:pPr>
                        <w:r>
                          <w:rPr>
                            <w:rFonts w:ascii="Trebuchet MS"/>
                            <w:color w:val="585858"/>
                            <w:spacing w:val="-2"/>
                            <w:w w:val="105"/>
                            <w:sz w:val="18"/>
                          </w:rPr>
                          <w:t>4,60%</w:t>
                        </w:r>
                      </w:p>
                    </w:txbxContent>
                  </v:textbox>
                </v:shape>
                <v:shape id="Textbox 259" o:spid="_x0000_s1160" type="#_x0000_t202" style="position:absolute;left:1401;top:7702;width:6381;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7EF941B7" w14:textId="77777777" w:rsidR="000E52B0" w:rsidRDefault="00F60D74">
                        <w:pPr>
                          <w:rPr>
                            <w:rFonts w:ascii="Trebuchet MS"/>
                            <w:position w:val="-4"/>
                            <w:sz w:val="18"/>
                          </w:rPr>
                        </w:pPr>
                        <w:r>
                          <w:rPr>
                            <w:rFonts w:ascii="Trebuchet MS"/>
                            <w:color w:val="585858"/>
                            <w:spacing w:val="-2"/>
                            <w:w w:val="105"/>
                            <w:sz w:val="18"/>
                          </w:rPr>
                          <w:t>3,10%</w:t>
                        </w:r>
                        <w:r>
                          <w:rPr>
                            <w:rFonts w:ascii="Trebuchet MS"/>
                            <w:color w:val="585858"/>
                            <w:spacing w:val="-2"/>
                            <w:w w:val="105"/>
                            <w:position w:val="-4"/>
                            <w:sz w:val="18"/>
                          </w:rPr>
                          <w:t>2,80%</w:t>
                        </w:r>
                      </w:p>
                    </w:txbxContent>
                  </v:textbox>
                </v:shape>
                <v:shape id="Textbox 260" o:spid="_x0000_s1161" type="#_x0000_t202" style="position:absolute;left:10457;top:7702;width:6381;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309798D7" w14:textId="77777777" w:rsidR="000E52B0" w:rsidRDefault="00F60D74">
                        <w:pPr>
                          <w:rPr>
                            <w:rFonts w:ascii="Trebuchet MS"/>
                            <w:position w:val="-6"/>
                            <w:sz w:val="18"/>
                          </w:rPr>
                        </w:pPr>
                        <w:r>
                          <w:rPr>
                            <w:rFonts w:ascii="Trebuchet MS"/>
                            <w:color w:val="585858"/>
                            <w:spacing w:val="-2"/>
                            <w:w w:val="105"/>
                            <w:sz w:val="18"/>
                          </w:rPr>
                          <w:t>3,10%</w:t>
                        </w:r>
                        <w:r>
                          <w:rPr>
                            <w:rFonts w:ascii="Trebuchet MS"/>
                            <w:color w:val="585858"/>
                            <w:spacing w:val="-2"/>
                            <w:w w:val="105"/>
                            <w:position w:val="-6"/>
                            <w:sz w:val="18"/>
                          </w:rPr>
                          <w:t>2,70%</w:t>
                        </w:r>
                      </w:p>
                    </w:txbxContent>
                  </v:textbox>
                </v:shape>
                <v:shape id="Textbox 261" o:spid="_x0000_s1162" type="#_x0000_t202" style="position:absolute;left:22664;top:7470;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22B6D8B9" w14:textId="77777777" w:rsidR="000E52B0" w:rsidRDefault="00F60D74">
                        <w:pPr>
                          <w:rPr>
                            <w:rFonts w:ascii="Trebuchet MS"/>
                            <w:sz w:val="18"/>
                          </w:rPr>
                        </w:pPr>
                        <w:r>
                          <w:rPr>
                            <w:rFonts w:ascii="Trebuchet MS"/>
                            <w:color w:val="585858"/>
                            <w:spacing w:val="-2"/>
                            <w:w w:val="105"/>
                            <w:sz w:val="18"/>
                          </w:rPr>
                          <w:t>3,30%</w:t>
                        </w:r>
                      </w:p>
                    </w:txbxContent>
                  </v:textbox>
                </v:shape>
                <v:shape id="Textbox 262" o:spid="_x0000_s1163" type="#_x0000_t202" style="position:absolute;left:28562;top:7470;width:638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5FFFBE15" w14:textId="77777777" w:rsidR="000E52B0" w:rsidRDefault="00F60D74">
                        <w:pPr>
                          <w:spacing w:line="186" w:lineRule="exact"/>
                          <w:rPr>
                            <w:rFonts w:ascii="Trebuchet MS"/>
                            <w:sz w:val="18"/>
                          </w:rPr>
                        </w:pPr>
                        <w:r>
                          <w:rPr>
                            <w:rFonts w:ascii="Trebuchet MS"/>
                            <w:color w:val="585858"/>
                            <w:spacing w:val="-2"/>
                            <w:w w:val="105"/>
                            <w:sz w:val="18"/>
                          </w:rPr>
                          <w:t>3,30%</w:t>
                        </w:r>
                      </w:p>
                      <w:p w14:paraId="712C064A" w14:textId="77777777" w:rsidR="000E52B0" w:rsidRDefault="00F60D74">
                        <w:pPr>
                          <w:spacing w:line="186" w:lineRule="exact"/>
                          <w:ind w:left="497"/>
                          <w:rPr>
                            <w:rFonts w:ascii="Trebuchet MS"/>
                            <w:sz w:val="18"/>
                          </w:rPr>
                        </w:pPr>
                        <w:r>
                          <w:rPr>
                            <w:rFonts w:ascii="Trebuchet MS"/>
                            <w:color w:val="585858"/>
                            <w:spacing w:val="-2"/>
                            <w:w w:val="105"/>
                            <w:sz w:val="18"/>
                          </w:rPr>
                          <w:t>2,40%</w:t>
                        </w:r>
                      </w:p>
                    </w:txbxContent>
                  </v:textbox>
                </v:shape>
                <v:shape id="Textbox 263" o:spid="_x0000_s1164" type="#_x0000_t202" style="position:absolute;left:49824;top:7241;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5AFCFCF7" w14:textId="77777777" w:rsidR="000E52B0" w:rsidRDefault="00F60D74">
                        <w:pPr>
                          <w:rPr>
                            <w:rFonts w:ascii="Trebuchet MS"/>
                            <w:sz w:val="18"/>
                          </w:rPr>
                        </w:pPr>
                        <w:r>
                          <w:rPr>
                            <w:rFonts w:ascii="Trebuchet MS"/>
                            <w:color w:val="585858"/>
                            <w:spacing w:val="-2"/>
                            <w:w w:val="105"/>
                            <w:sz w:val="18"/>
                          </w:rPr>
                          <w:t>3,50%</w:t>
                        </w:r>
                      </w:p>
                    </w:txbxContent>
                  </v:textbox>
                </v:shape>
                <w10:anchorlock/>
              </v:group>
            </w:pict>
          </mc:Fallback>
        </mc:AlternateContent>
      </w:r>
    </w:p>
    <w:p w14:paraId="55CA81F8" w14:textId="77777777" w:rsidR="000E52B0" w:rsidRDefault="000E52B0">
      <w:pPr>
        <w:pStyle w:val="Textoindependiente"/>
        <w:rPr>
          <w:rFonts w:ascii="Trebuchet MS"/>
          <w:sz w:val="20"/>
        </w:rPr>
        <w:sectPr w:rsidR="000E52B0">
          <w:type w:val="continuous"/>
          <w:pgSz w:w="11910" w:h="16840"/>
          <w:pgMar w:top="1340" w:right="720" w:bottom="1280" w:left="720" w:header="0" w:footer="995" w:gutter="0"/>
          <w:cols w:space="720"/>
        </w:sectPr>
      </w:pPr>
    </w:p>
    <w:p w14:paraId="54E8F370" w14:textId="77777777" w:rsidR="000E52B0" w:rsidRDefault="00F60D74">
      <w:pPr>
        <w:tabs>
          <w:tab w:val="left" w:pos="2470"/>
          <w:tab w:val="left" w:pos="4242"/>
        </w:tabs>
        <w:spacing w:before="65"/>
        <w:ind w:left="1234"/>
        <w:rPr>
          <w:rFonts w:ascii="Trebuchet MS" w:hAnsi="Trebuchet MS"/>
          <w:sz w:val="18"/>
        </w:rPr>
      </w:pPr>
      <w:r>
        <w:rPr>
          <w:rFonts w:ascii="Trebuchet MS" w:hAnsi="Trebuchet MS"/>
          <w:color w:val="585858"/>
          <w:spacing w:val="-2"/>
          <w:sz w:val="18"/>
        </w:rPr>
        <w:t>Preescolar</w:t>
      </w:r>
      <w:r>
        <w:rPr>
          <w:rFonts w:ascii="Trebuchet MS" w:hAnsi="Trebuchet MS"/>
          <w:color w:val="585858"/>
          <w:sz w:val="18"/>
        </w:rPr>
        <w:tab/>
        <w:t>Básica</w:t>
      </w:r>
      <w:r>
        <w:rPr>
          <w:rFonts w:ascii="Trebuchet MS" w:hAnsi="Trebuchet MS"/>
          <w:color w:val="585858"/>
          <w:spacing w:val="-2"/>
          <w:sz w:val="18"/>
        </w:rPr>
        <w:t xml:space="preserve"> Primaria</w:t>
      </w:r>
      <w:r>
        <w:rPr>
          <w:rFonts w:ascii="Trebuchet MS" w:hAnsi="Trebuchet MS"/>
          <w:color w:val="585858"/>
          <w:sz w:val="18"/>
        </w:rPr>
        <w:tab/>
      </w:r>
      <w:r>
        <w:rPr>
          <w:rFonts w:ascii="Trebuchet MS" w:hAnsi="Trebuchet MS"/>
          <w:color w:val="585858"/>
          <w:spacing w:val="-2"/>
          <w:sz w:val="18"/>
        </w:rPr>
        <w:t>Básica</w:t>
      </w:r>
    </w:p>
    <w:p w14:paraId="07D0028E" w14:textId="77777777" w:rsidR="000E52B0" w:rsidRDefault="00F60D74">
      <w:pPr>
        <w:spacing w:before="11"/>
        <w:ind w:left="4061"/>
        <w:rPr>
          <w:rFonts w:ascii="Trebuchet MS"/>
          <w:sz w:val="18"/>
        </w:rPr>
      </w:pPr>
      <w:r>
        <w:rPr>
          <w:rFonts w:ascii="Trebuchet MS"/>
          <w:color w:val="585858"/>
          <w:spacing w:val="-2"/>
          <w:sz w:val="18"/>
        </w:rPr>
        <w:t>Secundaria</w:t>
      </w:r>
    </w:p>
    <w:p w14:paraId="51FEC685" w14:textId="77777777" w:rsidR="000E52B0" w:rsidRDefault="00F60D74">
      <w:pPr>
        <w:tabs>
          <w:tab w:val="left" w:pos="2189"/>
          <w:tab w:val="left" w:pos="3460"/>
        </w:tabs>
        <w:spacing w:before="65" w:line="252" w:lineRule="auto"/>
        <w:ind w:left="3365" w:right="1252" w:hanging="2660"/>
        <w:rPr>
          <w:rFonts w:ascii="Trebuchet MS"/>
          <w:sz w:val="18"/>
        </w:rPr>
      </w:pPr>
      <w:r>
        <w:br w:type="column"/>
      </w:r>
      <w:r>
        <w:rPr>
          <w:rFonts w:ascii="Trebuchet MS"/>
          <w:color w:val="585858"/>
          <w:spacing w:val="-2"/>
          <w:sz w:val="18"/>
        </w:rPr>
        <w:t>Media</w:t>
      </w:r>
      <w:r>
        <w:rPr>
          <w:rFonts w:ascii="Trebuchet MS"/>
          <w:color w:val="585858"/>
          <w:sz w:val="18"/>
        </w:rPr>
        <w:tab/>
      </w:r>
      <w:r>
        <w:rPr>
          <w:rFonts w:ascii="Trebuchet MS"/>
          <w:color w:val="585858"/>
          <w:spacing w:val="-4"/>
          <w:sz w:val="18"/>
        </w:rPr>
        <w:t>CLEI</w:t>
      </w:r>
      <w:r>
        <w:rPr>
          <w:rFonts w:ascii="Trebuchet MS"/>
          <w:color w:val="585858"/>
          <w:sz w:val="18"/>
        </w:rPr>
        <w:tab/>
      </w:r>
      <w:r>
        <w:rPr>
          <w:rFonts w:ascii="Trebuchet MS"/>
          <w:color w:val="585858"/>
          <w:sz w:val="18"/>
        </w:rPr>
        <w:tab/>
      </w:r>
      <w:r>
        <w:rPr>
          <w:rFonts w:ascii="Trebuchet MS"/>
          <w:color w:val="585858"/>
          <w:spacing w:val="-2"/>
          <w:sz w:val="18"/>
        </w:rPr>
        <w:t>Modelos Educativos Flexibles</w:t>
      </w:r>
    </w:p>
    <w:p w14:paraId="3612BA5A" w14:textId="77777777" w:rsidR="000E52B0" w:rsidRDefault="000E52B0">
      <w:pPr>
        <w:spacing w:line="252" w:lineRule="auto"/>
        <w:rPr>
          <w:rFonts w:ascii="Trebuchet MS"/>
          <w:sz w:val="18"/>
        </w:rPr>
        <w:sectPr w:rsidR="000E52B0">
          <w:type w:val="continuous"/>
          <w:pgSz w:w="11910" w:h="16840"/>
          <w:pgMar w:top="1340" w:right="720" w:bottom="1280" w:left="720" w:header="0" w:footer="995" w:gutter="0"/>
          <w:cols w:num="2" w:space="720" w:equalWidth="0">
            <w:col w:w="4947" w:space="40"/>
            <w:col w:w="5483"/>
          </w:cols>
        </w:sectPr>
      </w:pPr>
    </w:p>
    <w:p w14:paraId="0783E6F7" w14:textId="77777777" w:rsidR="000E52B0" w:rsidRDefault="000E52B0">
      <w:pPr>
        <w:pStyle w:val="Textoindependiente"/>
        <w:spacing w:before="81"/>
        <w:ind w:left="0"/>
        <w:rPr>
          <w:rFonts w:ascii="Trebuchet MS"/>
          <w:sz w:val="18"/>
        </w:rPr>
      </w:pPr>
    </w:p>
    <w:p w14:paraId="6A404428" w14:textId="77777777" w:rsidR="000E52B0" w:rsidRDefault="00F60D74">
      <w:pPr>
        <w:spacing w:before="1"/>
        <w:ind w:left="4"/>
        <w:jc w:val="center"/>
        <w:rPr>
          <w:i/>
          <w:sz w:val="18"/>
        </w:rPr>
      </w:pPr>
      <w:r>
        <w:rPr>
          <w:i/>
          <w:color w:val="454551"/>
          <w:sz w:val="18"/>
        </w:rPr>
        <w:t>Fuente</w:t>
      </w:r>
      <w:r>
        <w:rPr>
          <w:i/>
          <w:color w:val="454551"/>
          <w:spacing w:val="-4"/>
          <w:sz w:val="18"/>
        </w:rPr>
        <w:t xml:space="preserve"> </w:t>
      </w:r>
      <w:r>
        <w:rPr>
          <w:i/>
          <w:color w:val="454551"/>
          <w:sz w:val="18"/>
        </w:rPr>
        <w:t>16.</w:t>
      </w:r>
      <w:r>
        <w:rPr>
          <w:i/>
          <w:color w:val="454551"/>
          <w:spacing w:val="-5"/>
          <w:sz w:val="18"/>
        </w:rPr>
        <w:t xml:space="preserve"> </w:t>
      </w:r>
      <w:r>
        <w:rPr>
          <w:i/>
          <w:color w:val="454551"/>
          <w:sz w:val="18"/>
        </w:rPr>
        <w:t>Boletín</w:t>
      </w:r>
      <w:r>
        <w:rPr>
          <w:i/>
          <w:color w:val="454551"/>
          <w:spacing w:val="-3"/>
          <w:sz w:val="18"/>
        </w:rPr>
        <w:t xml:space="preserve"> </w:t>
      </w:r>
      <w:r>
        <w:rPr>
          <w:i/>
          <w:color w:val="454551"/>
          <w:sz w:val="18"/>
        </w:rPr>
        <w:t>Técnico</w:t>
      </w:r>
      <w:r>
        <w:rPr>
          <w:i/>
          <w:color w:val="454551"/>
          <w:spacing w:val="-6"/>
          <w:sz w:val="18"/>
        </w:rPr>
        <w:t xml:space="preserve"> </w:t>
      </w:r>
      <w:r>
        <w:rPr>
          <w:i/>
          <w:color w:val="454551"/>
          <w:sz w:val="18"/>
        </w:rPr>
        <w:t>Educación</w:t>
      </w:r>
      <w:r>
        <w:rPr>
          <w:i/>
          <w:color w:val="454551"/>
          <w:spacing w:val="-3"/>
          <w:sz w:val="18"/>
        </w:rPr>
        <w:t xml:space="preserve"> </w:t>
      </w:r>
      <w:r>
        <w:rPr>
          <w:i/>
          <w:color w:val="454551"/>
          <w:sz w:val="18"/>
        </w:rPr>
        <w:t>Formal</w:t>
      </w:r>
      <w:r>
        <w:rPr>
          <w:i/>
          <w:color w:val="454551"/>
          <w:spacing w:val="-2"/>
          <w:sz w:val="18"/>
        </w:rPr>
        <w:t xml:space="preserve"> </w:t>
      </w:r>
      <w:r>
        <w:rPr>
          <w:i/>
          <w:color w:val="454551"/>
          <w:sz w:val="18"/>
        </w:rPr>
        <w:t>(EDUC)</w:t>
      </w:r>
      <w:r>
        <w:rPr>
          <w:i/>
          <w:color w:val="454551"/>
          <w:spacing w:val="1"/>
          <w:sz w:val="18"/>
        </w:rPr>
        <w:t xml:space="preserve"> </w:t>
      </w:r>
      <w:r>
        <w:rPr>
          <w:i/>
          <w:color w:val="454551"/>
          <w:spacing w:val="-4"/>
          <w:sz w:val="18"/>
        </w:rPr>
        <w:t>2022</w:t>
      </w:r>
    </w:p>
    <w:p w14:paraId="3E8395BD" w14:textId="77777777" w:rsidR="000E52B0" w:rsidRDefault="00F60D74">
      <w:pPr>
        <w:spacing w:before="201"/>
        <w:ind w:left="376" w:right="373"/>
        <w:jc w:val="center"/>
        <w:rPr>
          <w:sz w:val="24"/>
        </w:rPr>
      </w:pPr>
      <w:r>
        <w:rPr>
          <w:sz w:val="24"/>
        </w:rPr>
        <w:t>La Encuesta de Calidad de Vida (ECV)</w:t>
      </w:r>
      <w:r>
        <w:rPr>
          <w:spacing w:val="24"/>
          <w:sz w:val="24"/>
        </w:rPr>
        <w:t xml:space="preserve"> </w:t>
      </w:r>
      <w:r>
        <w:rPr>
          <w:sz w:val="24"/>
        </w:rPr>
        <w:t>con la pregunta</w:t>
      </w:r>
      <w:r>
        <w:rPr>
          <w:spacing w:val="29"/>
          <w:sz w:val="24"/>
        </w:rPr>
        <w:t xml:space="preserve"> </w:t>
      </w:r>
      <w:r>
        <w:rPr>
          <w:i/>
          <w:sz w:val="24"/>
        </w:rPr>
        <w:t>¿Cuál es la razón</w:t>
      </w:r>
      <w:r>
        <w:rPr>
          <w:i/>
          <w:spacing w:val="40"/>
          <w:sz w:val="24"/>
        </w:rPr>
        <w:t xml:space="preserve"> </w:t>
      </w:r>
      <w:r>
        <w:rPr>
          <w:i/>
          <w:sz w:val="24"/>
        </w:rPr>
        <w:t>principal</w:t>
      </w:r>
      <w:r>
        <w:rPr>
          <w:i/>
          <w:spacing w:val="22"/>
          <w:sz w:val="24"/>
        </w:rPr>
        <w:t xml:space="preserve"> </w:t>
      </w:r>
      <w:r>
        <w:rPr>
          <w:i/>
          <w:sz w:val="24"/>
        </w:rPr>
        <w:t>para</w:t>
      </w:r>
      <w:r>
        <w:rPr>
          <w:i/>
          <w:spacing w:val="24"/>
          <w:sz w:val="24"/>
        </w:rPr>
        <w:t xml:space="preserve"> </w:t>
      </w:r>
      <w:r>
        <w:rPr>
          <w:i/>
          <w:sz w:val="24"/>
        </w:rPr>
        <w:t>que</w:t>
      </w:r>
      <w:r>
        <w:rPr>
          <w:i/>
          <w:spacing w:val="24"/>
          <w:sz w:val="24"/>
        </w:rPr>
        <w:t xml:space="preserve"> </w:t>
      </w:r>
      <w:r>
        <w:rPr>
          <w:i/>
          <w:sz w:val="24"/>
        </w:rPr>
        <w:t>...</w:t>
      </w:r>
      <w:r>
        <w:rPr>
          <w:i/>
          <w:spacing w:val="22"/>
          <w:sz w:val="24"/>
        </w:rPr>
        <w:t xml:space="preserve"> </w:t>
      </w:r>
      <w:r>
        <w:rPr>
          <w:i/>
          <w:sz w:val="24"/>
        </w:rPr>
        <w:t>no</w:t>
      </w:r>
      <w:r>
        <w:rPr>
          <w:i/>
          <w:spacing w:val="24"/>
          <w:sz w:val="24"/>
        </w:rPr>
        <w:t xml:space="preserve"> </w:t>
      </w:r>
      <w:r>
        <w:rPr>
          <w:i/>
          <w:sz w:val="24"/>
        </w:rPr>
        <w:t>estudie?,</w:t>
      </w:r>
      <w:r>
        <w:rPr>
          <w:i/>
          <w:spacing w:val="27"/>
          <w:sz w:val="24"/>
        </w:rPr>
        <w:t xml:space="preserve"> </w:t>
      </w:r>
      <w:r>
        <w:rPr>
          <w:sz w:val="24"/>
        </w:rPr>
        <w:t>aplicada</w:t>
      </w:r>
      <w:r>
        <w:rPr>
          <w:spacing w:val="23"/>
          <w:sz w:val="24"/>
        </w:rPr>
        <w:t xml:space="preserve"> </w:t>
      </w:r>
      <w:r>
        <w:rPr>
          <w:sz w:val="24"/>
        </w:rPr>
        <w:t>a</w:t>
      </w:r>
      <w:r>
        <w:rPr>
          <w:spacing w:val="23"/>
          <w:sz w:val="24"/>
        </w:rPr>
        <w:t xml:space="preserve"> </w:t>
      </w:r>
      <w:r>
        <w:rPr>
          <w:sz w:val="24"/>
        </w:rPr>
        <w:t>las</w:t>
      </w:r>
      <w:r>
        <w:rPr>
          <w:spacing w:val="23"/>
          <w:sz w:val="24"/>
        </w:rPr>
        <w:t xml:space="preserve"> </w:t>
      </w:r>
      <w:r>
        <w:rPr>
          <w:sz w:val="24"/>
        </w:rPr>
        <w:t>personas</w:t>
      </w:r>
      <w:r>
        <w:rPr>
          <w:spacing w:val="23"/>
          <w:sz w:val="24"/>
        </w:rPr>
        <w:t xml:space="preserve"> </w:t>
      </w:r>
      <w:r>
        <w:rPr>
          <w:sz w:val="24"/>
        </w:rPr>
        <w:t>entre</w:t>
      </w:r>
      <w:r>
        <w:rPr>
          <w:spacing w:val="25"/>
          <w:sz w:val="24"/>
        </w:rPr>
        <w:t xml:space="preserve"> </w:t>
      </w:r>
      <w:r>
        <w:rPr>
          <w:sz w:val="24"/>
        </w:rPr>
        <w:t>14</w:t>
      </w:r>
      <w:r>
        <w:rPr>
          <w:spacing w:val="22"/>
          <w:sz w:val="24"/>
        </w:rPr>
        <w:t xml:space="preserve"> </w:t>
      </w:r>
      <w:r>
        <w:rPr>
          <w:sz w:val="24"/>
        </w:rPr>
        <w:t>y</w:t>
      </w:r>
      <w:r>
        <w:rPr>
          <w:spacing w:val="24"/>
          <w:sz w:val="24"/>
        </w:rPr>
        <w:t xml:space="preserve"> </w:t>
      </w:r>
      <w:r>
        <w:rPr>
          <w:spacing w:val="-7"/>
          <w:sz w:val="24"/>
        </w:rPr>
        <w:t>24</w:t>
      </w:r>
    </w:p>
    <w:p w14:paraId="59143A04" w14:textId="77777777" w:rsidR="000E52B0" w:rsidRDefault="000E52B0">
      <w:pPr>
        <w:jc w:val="center"/>
        <w:rPr>
          <w:sz w:val="24"/>
        </w:rPr>
        <w:sectPr w:rsidR="000E52B0">
          <w:type w:val="continuous"/>
          <w:pgSz w:w="11910" w:h="16840"/>
          <w:pgMar w:top="1340" w:right="720" w:bottom="1280" w:left="720" w:header="0" w:footer="995" w:gutter="0"/>
          <w:cols w:space="720"/>
        </w:sectPr>
      </w:pPr>
    </w:p>
    <w:p w14:paraId="78029ACB" w14:textId="77777777" w:rsidR="000E52B0" w:rsidRDefault="00F60D74">
      <w:pPr>
        <w:pStyle w:val="Textoindependiente"/>
        <w:spacing w:before="83"/>
        <w:ind w:right="716"/>
        <w:jc w:val="both"/>
      </w:pPr>
      <w:r>
        <w:lastRenderedPageBreak/>
        <w:t>años</w:t>
      </w:r>
      <w:r>
        <w:rPr>
          <w:spacing w:val="-1"/>
        </w:rPr>
        <w:t xml:space="preserve"> </w:t>
      </w:r>
      <w:r>
        <w:t>que no han</w:t>
      </w:r>
      <w:r>
        <w:rPr>
          <w:spacing w:val="-2"/>
        </w:rPr>
        <w:t xml:space="preserve"> </w:t>
      </w:r>
      <w:r>
        <w:t>terminado el</w:t>
      </w:r>
      <w:r>
        <w:rPr>
          <w:spacing w:val="-2"/>
        </w:rPr>
        <w:t xml:space="preserve"> </w:t>
      </w:r>
      <w:r>
        <w:t>nivel</w:t>
      </w:r>
      <w:r>
        <w:rPr>
          <w:spacing w:val="-2"/>
        </w:rPr>
        <w:t xml:space="preserve"> </w:t>
      </w:r>
      <w:r>
        <w:t>de educación media</w:t>
      </w:r>
      <w:r>
        <w:rPr>
          <w:spacing w:val="-1"/>
        </w:rPr>
        <w:t xml:space="preserve"> </w:t>
      </w:r>
      <w:r>
        <w:t>y</w:t>
      </w:r>
      <w:r>
        <w:rPr>
          <w:spacing w:val="-1"/>
        </w:rPr>
        <w:t xml:space="preserve"> </w:t>
      </w:r>
      <w:r>
        <w:t>que no estudian actualmente, permite tener una aproximación a los factores que pueden generar deserción escolar. Para 2023, la opción más frecuente fue “necesidad de trabajar” con un 29%, seguida por falta de dinero o costos educativos</w:t>
      </w:r>
      <w:r>
        <w:rPr>
          <w:spacing w:val="-6"/>
        </w:rPr>
        <w:t xml:space="preserve"> </w:t>
      </w:r>
      <w:r>
        <w:t>elevados</w:t>
      </w:r>
      <w:r>
        <w:rPr>
          <w:spacing w:val="-4"/>
        </w:rPr>
        <w:t xml:space="preserve"> </w:t>
      </w:r>
      <w:r>
        <w:t>(24,3%)</w:t>
      </w:r>
      <w:r>
        <w:rPr>
          <w:spacing w:val="-6"/>
        </w:rPr>
        <w:t xml:space="preserve"> </w:t>
      </w:r>
      <w:r>
        <w:t>o</w:t>
      </w:r>
      <w:r>
        <w:rPr>
          <w:spacing w:val="-6"/>
        </w:rPr>
        <w:t xml:space="preserve"> </w:t>
      </w:r>
      <w:r>
        <w:t>porque</w:t>
      </w:r>
      <w:r>
        <w:rPr>
          <w:spacing w:val="-2"/>
        </w:rPr>
        <w:t xml:space="preserve"> </w:t>
      </w:r>
      <w:r>
        <w:t>considera</w:t>
      </w:r>
      <w:r>
        <w:rPr>
          <w:spacing w:val="-6"/>
        </w:rPr>
        <w:t xml:space="preserve"> </w:t>
      </w:r>
      <w:r>
        <w:t>que</w:t>
      </w:r>
      <w:r>
        <w:rPr>
          <w:spacing w:val="-4"/>
        </w:rPr>
        <w:t xml:space="preserve"> </w:t>
      </w:r>
      <w:r>
        <w:t>ya</w:t>
      </w:r>
      <w:r>
        <w:rPr>
          <w:spacing w:val="-6"/>
        </w:rPr>
        <w:t xml:space="preserve"> </w:t>
      </w:r>
      <w:r>
        <w:t>terminó</w:t>
      </w:r>
      <w:r>
        <w:rPr>
          <w:spacing w:val="-5"/>
        </w:rPr>
        <w:t xml:space="preserve"> </w:t>
      </w:r>
      <w:r>
        <w:rPr>
          <w:spacing w:val="-2"/>
        </w:rPr>
        <w:t>(16,3%).</w:t>
      </w:r>
    </w:p>
    <w:p w14:paraId="16F95ACE" w14:textId="77777777" w:rsidR="000E52B0" w:rsidRDefault="00F60D74">
      <w:pPr>
        <w:pStyle w:val="Textoindependiente"/>
        <w:spacing w:before="159"/>
        <w:ind w:right="715"/>
        <w:jc w:val="both"/>
      </w:pPr>
      <w:r>
        <w:t>Estas razones son las principales en hombres jóvenes, pero no en las mujeres jóvenes, en ellas la necesidad de trabajar no es la principal, sino que sobresale la carga de cuidado, de otros niños, niñas u otras personas del</w:t>
      </w:r>
      <w:r>
        <w:rPr>
          <w:spacing w:val="-12"/>
        </w:rPr>
        <w:t xml:space="preserve"> </w:t>
      </w:r>
      <w:r>
        <w:t>hogar</w:t>
      </w:r>
      <w:r>
        <w:rPr>
          <w:spacing w:val="-11"/>
        </w:rPr>
        <w:t xml:space="preserve"> </w:t>
      </w:r>
      <w:r>
        <w:t>o</w:t>
      </w:r>
      <w:r>
        <w:rPr>
          <w:spacing w:val="-11"/>
        </w:rPr>
        <w:t xml:space="preserve"> </w:t>
      </w:r>
      <w:r>
        <w:t>por</w:t>
      </w:r>
      <w:r>
        <w:rPr>
          <w:spacing w:val="-10"/>
        </w:rPr>
        <w:t xml:space="preserve"> </w:t>
      </w:r>
      <w:r>
        <w:t>embarazo.</w:t>
      </w:r>
      <w:r>
        <w:rPr>
          <w:spacing w:val="-12"/>
        </w:rPr>
        <w:t xml:space="preserve"> </w:t>
      </w:r>
      <w:r>
        <w:t>En</w:t>
      </w:r>
      <w:r>
        <w:rPr>
          <w:spacing w:val="-12"/>
        </w:rPr>
        <w:t xml:space="preserve"> </w:t>
      </w:r>
      <w:r>
        <w:t>los</w:t>
      </w:r>
      <w:r>
        <w:rPr>
          <w:spacing w:val="-11"/>
        </w:rPr>
        <w:t xml:space="preserve"> </w:t>
      </w:r>
      <w:r>
        <w:t>Pueblos</w:t>
      </w:r>
      <w:r>
        <w:rPr>
          <w:spacing w:val="-11"/>
        </w:rPr>
        <w:t xml:space="preserve"> </w:t>
      </w:r>
      <w:r>
        <w:t>étnicos</w:t>
      </w:r>
      <w:r>
        <w:rPr>
          <w:spacing w:val="-11"/>
        </w:rPr>
        <w:t xml:space="preserve"> </w:t>
      </w:r>
      <w:r>
        <w:t>el</w:t>
      </w:r>
      <w:r>
        <w:rPr>
          <w:spacing w:val="-12"/>
        </w:rPr>
        <w:t xml:space="preserve"> </w:t>
      </w:r>
      <w:r>
        <w:t>porcentaje</w:t>
      </w:r>
      <w:r>
        <w:rPr>
          <w:spacing w:val="-10"/>
        </w:rPr>
        <w:t xml:space="preserve"> </w:t>
      </w:r>
      <w:r>
        <w:t>que</w:t>
      </w:r>
      <w:r>
        <w:rPr>
          <w:spacing w:val="-10"/>
        </w:rPr>
        <w:t xml:space="preserve"> </w:t>
      </w:r>
      <w:r>
        <w:t>reporta limitaciones económicas es menor, pero sobresalen las cargas de cuidado o falta de interés en el estudio: 19,4% en indígenas no estudian porque deben encargarse de los oficios del hogar, en comparación con 13,9% en personas</w:t>
      </w:r>
      <w:r>
        <w:rPr>
          <w:spacing w:val="-17"/>
        </w:rPr>
        <w:t xml:space="preserve"> </w:t>
      </w:r>
      <w:r>
        <w:t>afrodescendientes</w:t>
      </w:r>
      <w:r>
        <w:rPr>
          <w:spacing w:val="-14"/>
        </w:rPr>
        <w:t xml:space="preserve"> </w:t>
      </w:r>
      <w:r>
        <w:t>y</w:t>
      </w:r>
      <w:r>
        <w:rPr>
          <w:spacing w:val="-16"/>
        </w:rPr>
        <w:t xml:space="preserve"> </w:t>
      </w:r>
      <w:r>
        <w:t>8,7%</w:t>
      </w:r>
      <w:r>
        <w:rPr>
          <w:spacing w:val="-15"/>
        </w:rPr>
        <w:t xml:space="preserve"> </w:t>
      </w:r>
      <w:r>
        <w:t>en</w:t>
      </w:r>
      <w:r>
        <w:rPr>
          <w:spacing w:val="-14"/>
        </w:rPr>
        <w:t xml:space="preserve"> </w:t>
      </w:r>
      <w:r>
        <w:t>personas</w:t>
      </w:r>
      <w:r>
        <w:rPr>
          <w:spacing w:val="-16"/>
        </w:rPr>
        <w:t xml:space="preserve"> </w:t>
      </w:r>
      <w:r>
        <w:t>sin</w:t>
      </w:r>
      <w:r>
        <w:rPr>
          <w:spacing w:val="-17"/>
        </w:rPr>
        <w:t xml:space="preserve"> </w:t>
      </w:r>
      <w:r>
        <w:t>reconocimiento</w:t>
      </w:r>
      <w:r>
        <w:rPr>
          <w:spacing w:val="-15"/>
        </w:rPr>
        <w:t xml:space="preserve"> </w:t>
      </w:r>
      <w:r>
        <w:t>étnico. En los Pueblos étnicos también resalta la proporción de jóvenes que no estudian porque no les gusta o no les interesa el estudio, 10,8% en indígenas, 10,6% en afrodescendientes en comparación con 7,5% en personas sin reconocimiento étnico.</w:t>
      </w:r>
    </w:p>
    <w:p w14:paraId="771D4A74" w14:textId="77777777" w:rsidR="000E52B0" w:rsidRDefault="00F60D74">
      <w:pPr>
        <w:spacing w:before="158"/>
        <w:jc w:val="center"/>
        <w:rPr>
          <w:i/>
          <w:sz w:val="18"/>
        </w:rPr>
      </w:pPr>
      <w:r>
        <w:rPr>
          <w:i/>
          <w:color w:val="454551"/>
          <w:sz w:val="18"/>
        </w:rPr>
        <w:t>Ilustración 27.</w:t>
      </w:r>
      <w:r>
        <w:rPr>
          <w:i/>
          <w:color w:val="454551"/>
          <w:spacing w:val="-4"/>
          <w:sz w:val="18"/>
        </w:rPr>
        <w:t xml:space="preserve"> </w:t>
      </w:r>
      <w:r>
        <w:rPr>
          <w:i/>
          <w:color w:val="454551"/>
          <w:sz w:val="18"/>
        </w:rPr>
        <w:t>¿Cuál</w:t>
      </w:r>
      <w:r>
        <w:rPr>
          <w:i/>
          <w:color w:val="454551"/>
          <w:spacing w:val="-3"/>
          <w:sz w:val="18"/>
        </w:rPr>
        <w:t xml:space="preserve"> </w:t>
      </w:r>
      <w:r>
        <w:rPr>
          <w:i/>
          <w:color w:val="454551"/>
          <w:sz w:val="18"/>
        </w:rPr>
        <w:t>es</w:t>
      </w:r>
      <w:r>
        <w:rPr>
          <w:i/>
          <w:color w:val="454551"/>
          <w:spacing w:val="-2"/>
          <w:sz w:val="18"/>
        </w:rPr>
        <w:t xml:space="preserve"> </w:t>
      </w:r>
      <w:r>
        <w:rPr>
          <w:i/>
          <w:color w:val="454551"/>
          <w:sz w:val="18"/>
        </w:rPr>
        <w:t>la</w:t>
      </w:r>
      <w:r>
        <w:rPr>
          <w:i/>
          <w:color w:val="454551"/>
          <w:spacing w:val="-6"/>
          <w:sz w:val="18"/>
        </w:rPr>
        <w:t xml:space="preserve"> </w:t>
      </w:r>
      <w:r>
        <w:rPr>
          <w:i/>
          <w:color w:val="454551"/>
          <w:sz w:val="18"/>
        </w:rPr>
        <w:t>razón</w:t>
      </w:r>
      <w:r>
        <w:rPr>
          <w:i/>
          <w:color w:val="454551"/>
          <w:spacing w:val="-2"/>
          <w:sz w:val="18"/>
        </w:rPr>
        <w:t xml:space="preserve"> </w:t>
      </w:r>
      <w:r>
        <w:rPr>
          <w:i/>
          <w:color w:val="454551"/>
          <w:sz w:val="18"/>
        </w:rPr>
        <w:t>principal</w:t>
      </w:r>
      <w:r>
        <w:rPr>
          <w:i/>
          <w:color w:val="454551"/>
          <w:spacing w:val="-3"/>
          <w:sz w:val="18"/>
        </w:rPr>
        <w:t xml:space="preserve"> </w:t>
      </w:r>
      <w:r>
        <w:rPr>
          <w:i/>
          <w:color w:val="454551"/>
          <w:sz w:val="18"/>
        </w:rPr>
        <w:t>para</w:t>
      </w:r>
      <w:r>
        <w:rPr>
          <w:i/>
          <w:color w:val="454551"/>
          <w:spacing w:val="-3"/>
          <w:sz w:val="18"/>
        </w:rPr>
        <w:t xml:space="preserve"> </w:t>
      </w:r>
      <w:r>
        <w:rPr>
          <w:i/>
          <w:color w:val="454551"/>
          <w:sz w:val="18"/>
        </w:rPr>
        <w:t>que</w:t>
      </w:r>
      <w:r>
        <w:rPr>
          <w:i/>
          <w:color w:val="454551"/>
          <w:spacing w:val="-3"/>
          <w:sz w:val="18"/>
        </w:rPr>
        <w:t xml:space="preserve"> </w:t>
      </w:r>
      <w:r>
        <w:rPr>
          <w:i/>
          <w:color w:val="454551"/>
          <w:sz w:val="18"/>
        </w:rPr>
        <w:t>...</w:t>
      </w:r>
      <w:r>
        <w:rPr>
          <w:i/>
          <w:color w:val="454551"/>
          <w:spacing w:val="-4"/>
          <w:sz w:val="18"/>
        </w:rPr>
        <w:t xml:space="preserve"> </w:t>
      </w:r>
      <w:r>
        <w:rPr>
          <w:i/>
          <w:color w:val="454551"/>
          <w:sz w:val="18"/>
        </w:rPr>
        <w:t>no</w:t>
      </w:r>
      <w:r>
        <w:rPr>
          <w:i/>
          <w:color w:val="454551"/>
          <w:spacing w:val="-1"/>
          <w:sz w:val="18"/>
        </w:rPr>
        <w:t xml:space="preserve"> </w:t>
      </w:r>
      <w:r>
        <w:rPr>
          <w:i/>
          <w:color w:val="454551"/>
          <w:spacing w:val="-2"/>
          <w:sz w:val="18"/>
        </w:rPr>
        <w:t>estudie?</w:t>
      </w:r>
    </w:p>
    <w:p w14:paraId="39BE3821" w14:textId="77777777" w:rsidR="000E52B0" w:rsidRDefault="000E52B0">
      <w:pPr>
        <w:pStyle w:val="Textoindependiente"/>
        <w:spacing w:before="151"/>
        <w:ind w:left="0"/>
        <w:rPr>
          <w:i/>
          <w:sz w:val="18"/>
        </w:rPr>
      </w:pPr>
    </w:p>
    <w:p w14:paraId="517C2AB8" w14:textId="77777777" w:rsidR="000E52B0" w:rsidRDefault="00F60D74">
      <w:pPr>
        <w:spacing w:before="1"/>
        <w:ind w:right="8"/>
        <w:jc w:val="center"/>
        <w:rPr>
          <w:rFonts w:ascii="Trebuchet MS"/>
          <w:sz w:val="18"/>
        </w:rPr>
      </w:pPr>
      <w:r>
        <w:rPr>
          <w:noProof/>
        </w:rPr>
        <w:drawing>
          <wp:inline distT="0" distB="0" distL="0" distR="0" wp14:anchorId="4FFAA974" wp14:editId="5E43A433">
            <wp:extent cx="62779" cy="62779"/>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99" cstate="print"/>
                    <a:stretch>
                      <a:fillRect/>
                    </a:stretch>
                  </pic:blipFill>
                  <pic:spPr>
                    <a:xfrm>
                      <a:off x="0" y="0"/>
                      <a:ext cx="62779" cy="62779"/>
                    </a:xfrm>
                    <a:prstGeom prst="rect">
                      <a:avLst/>
                    </a:prstGeom>
                  </pic:spPr>
                </pic:pic>
              </a:graphicData>
            </a:graphic>
          </wp:inline>
        </w:drawing>
      </w:r>
      <w:r>
        <w:rPr>
          <w:rFonts w:ascii="Times New Roman"/>
          <w:spacing w:val="-5"/>
          <w:sz w:val="20"/>
        </w:rPr>
        <w:t xml:space="preserve"> </w:t>
      </w:r>
      <w:r>
        <w:rPr>
          <w:rFonts w:ascii="Trebuchet MS"/>
          <w:color w:val="585858"/>
          <w:sz w:val="18"/>
        </w:rPr>
        <w:t>Hombres</w:t>
      </w:r>
      <w:r>
        <w:rPr>
          <w:rFonts w:ascii="Trebuchet MS"/>
          <w:color w:val="585858"/>
          <w:spacing w:val="35"/>
          <w:sz w:val="18"/>
        </w:rPr>
        <w:t xml:space="preserve">  </w:t>
      </w:r>
      <w:r>
        <w:rPr>
          <w:rFonts w:ascii="Trebuchet MS"/>
          <w:noProof/>
          <w:color w:val="585858"/>
          <w:spacing w:val="9"/>
          <w:sz w:val="18"/>
        </w:rPr>
        <w:drawing>
          <wp:inline distT="0" distB="0" distL="0" distR="0" wp14:anchorId="63FF294B" wp14:editId="4EE00A3F">
            <wp:extent cx="62779" cy="62779"/>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17" cstate="print"/>
                    <a:stretch>
                      <a:fillRect/>
                    </a:stretch>
                  </pic:blipFill>
                  <pic:spPr>
                    <a:xfrm>
                      <a:off x="0" y="0"/>
                      <a:ext cx="62779" cy="62779"/>
                    </a:xfrm>
                    <a:prstGeom prst="rect">
                      <a:avLst/>
                    </a:prstGeom>
                  </pic:spPr>
                </pic:pic>
              </a:graphicData>
            </a:graphic>
          </wp:inline>
        </w:drawing>
      </w:r>
      <w:r>
        <w:rPr>
          <w:rFonts w:ascii="Times New Roman"/>
          <w:color w:val="585858"/>
          <w:spacing w:val="-10"/>
          <w:sz w:val="18"/>
        </w:rPr>
        <w:t xml:space="preserve"> </w:t>
      </w:r>
      <w:r>
        <w:rPr>
          <w:rFonts w:ascii="Trebuchet MS"/>
          <w:color w:val="585858"/>
          <w:sz w:val="18"/>
        </w:rPr>
        <w:t>Mujeres</w:t>
      </w:r>
    </w:p>
    <w:p w14:paraId="237FC1CB" w14:textId="77777777" w:rsidR="000E52B0" w:rsidRDefault="000E52B0">
      <w:pPr>
        <w:pStyle w:val="Textoindependiente"/>
        <w:spacing w:before="182"/>
        <w:ind w:left="0"/>
        <w:rPr>
          <w:rFonts w:ascii="Trebuchet MS"/>
          <w:sz w:val="18"/>
        </w:rPr>
      </w:pPr>
    </w:p>
    <w:p w14:paraId="773A4044" w14:textId="77777777" w:rsidR="000E52B0" w:rsidRDefault="00F60D74">
      <w:pPr>
        <w:ind w:left="943"/>
        <w:jc w:val="center"/>
        <w:rPr>
          <w:rFonts w:ascii="Trebuchet MS"/>
          <w:sz w:val="18"/>
        </w:rPr>
      </w:pPr>
      <w:r>
        <w:rPr>
          <w:rFonts w:ascii="Trebuchet MS"/>
          <w:color w:val="404040"/>
          <w:spacing w:val="-2"/>
          <w:w w:val="105"/>
          <w:sz w:val="18"/>
        </w:rPr>
        <w:t>40,0%</w:t>
      </w:r>
    </w:p>
    <w:p w14:paraId="10C06166" w14:textId="77777777" w:rsidR="000E52B0" w:rsidRDefault="000E52B0">
      <w:pPr>
        <w:pStyle w:val="Textoindependiente"/>
        <w:spacing w:before="6" w:after="1"/>
        <w:ind w:left="0"/>
        <w:rPr>
          <w:rFonts w:ascii="Trebuchet MS"/>
          <w:sz w:val="8"/>
        </w:rPr>
      </w:pPr>
    </w:p>
    <w:p w14:paraId="3F6540B9" w14:textId="77777777" w:rsidR="000E52B0" w:rsidRDefault="00F60D74">
      <w:pPr>
        <w:pStyle w:val="Textoindependiente"/>
        <w:ind w:left="885"/>
        <w:rPr>
          <w:rFonts w:ascii="Trebuchet MS"/>
          <w:sz w:val="20"/>
        </w:rPr>
      </w:pPr>
      <w:r>
        <w:rPr>
          <w:rFonts w:ascii="Trebuchet MS"/>
          <w:noProof/>
          <w:sz w:val="20"/>
        </w:rPr>
        <mc:AlternateContent>
          <mc:Choice Requires="wpg">
            <w:drawing>
              <wp:inline distT="0" distB="0" distL="0" distR="0" wp14:anchorId="03F5F13A" wp14:editId="0D33E57C">
                <wp:extent cx="5458460" cy="920750"/>
                <wp:effectExtent l="9525" t="0" r="0" b="3175"/>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8460" cy="920750"/>
                          <a:chOff x="0" y="0"/>
                          <a:chExt cx="5458460" cy="920750"/>
                        </a:xfrm>
                      </wpg:grpSpPr>
                      <wps:wsp>
                        <wps:cNvPr id="267" name="Graphic 267"/>
                        <wps:cNvSpPr/>
                        <wps:spPr>
                          <a:xfrm>
                            <a:off x="223570" y="0"/>
                            <a:ext cx="4752340" cy="915669"/>
                          </a:xfrm>
                          <a:custGeom>
                            <a:avLst/>
                            <a:gdLst/>
                            <a:ahLst/>
                            <a:cxnLst/>
                            <a:rect l="l" t="t" r="r" b="b"/>
                            <a:pathLst>
                              <a:path w="4752340" h="915669">
                                <a:moveTo>
                                  <a:pt x="204216" y="519684"/>
                                </a:moveTo>
                                <a:lnTo>
                                  <a:pt x="0" y="519684"/>
                                </a:lnTo>
                                <a:lnTo>
                                  <a:pt x="0" y="915670"/>
                                </a:lnTo>
                                <a:lnTo>
                                  <a:pt x="204216" y="915670"/>
                                </a:lnTo>
                                <a:lnTo>
                                  <a:pt x="204216" y="519684"/>
                                </a:lnTo>
                                <a:close/>
                              </a:path>
                              <a:path w="4752340" h="915669">
                                <a:moveTo>
                                  <a:pt x="1114044" y="461772"/>
                                </a:moveTo>
                                <a:lnTo>
                                  <a:pt x="909828" y="461772"/>
                                </a:lnTo>
                                <a:lnTo>
                                  <a:pt x="909828" y="915670"/>
                                </a:lnTo>
                                <a:lnTo>
                                  <a:pt x="1114044" y="915670"/>
                                </a:lnTo>
                                <a:lnTo>
                                  <a:pt x="1114044" y="461772"/>
                                </a:lnTo>
                                <a:close/>
                              </a:path>
                              <a:path w="4752340" h="915669">
                                <a:moveTo>
                                  <a:pt x="2023872" y="902208"/>
                                </a:moveTo>
                                <a:lnTo>
                                  <a:pt x="1819656" y="902208"/>
                                </a:lnTo>
                                <a:lnTo>
                                  <a:pt x="1819656" y="915670"/>
                                </a:lnTo>
                                <a:lnTo>
                                  <a:pt x="2023872" y="915670"/>
                                </a:lnTo>
                                <a:lnTo>
                                  <a:pt x="2023872" y="902208"/>
                                </a:lnTo>
                                <a:close/>
                              </a:path>
                              <a:path w="4752340" h="915669">
                                <a:moveTo>
                                  <a:pt x="2933700" y="0"/>
                                </a:moveTo>
                                <a:lnTo>
                                  <a:pt x="2729484" y="0"/>
                                </a:lnTo>
                                <a:lnTo>
                                  <a:pt x="2729484" y="915670"/>
                                </a:lnTo>
                                <a:lnTo>
                                  <a:pt x="2933700" y="915670"/>
                                </a:lnTo>
                                <a:lnTo>
                                  <a:pt x="2933700" y="0"/>
                                </a:lnTo>
                                <a:close/>
                              </a:path>
                              <a:path w="4752340" h="915669">
                                <a:moveTo>
                                  <a:pt x="3842004" y="649224"/>
                                </a:moveTo>
                                <a:lnTo>
                                  <a:pt x="3639312" y="649224"/>
                                </a:lnTo>
                                <a:lnTo>
                                  <a:pt x="3639312" y="915670"/>
                                </a:lnTo>
                                <a:lnTo>
                                  <a:pt x="3842004" y="915670"/>
                                </a:lnTo>
                                <a:lnTo>
                                  <a:pt x="3842004" y="649224"/>
                                </a:lnTo>
                                <a:close/>
                              </a:path>
                              <a:path w="4752340" h="915669">
                                <a:moveTo>
                                  <a:pt x="4751832" y="914146"/>
                                </a:moveTo>
                                <a:lnTo>
                                  <a:pt x="4549140" y="914146"/>
                                </a:lnTo>
                                <a:lnTo>
                                  <a:pt x="4549140" y="915670"/>
                                </a:lnTo>
                                <a:lnTo>
                                  <a:pt x="4751832" y="915670"/>
                                </a:lnTo>
                                <a:lnTo>
                                  <a:pt x="4751832" y="914146"/>
                                </a:lnTo>
                                <a:close/>
                              </a:path>
                            </a:pathLst>
                          </a:custGeom>
                          <a:solidFill>
                            <a:srgbClr val="E22C91"/>
                          </a:solidFill>
                        </wps:spPr>
                        <wps:bodyPr wrap="square" lIns="0" tIns="0" rIns="0" bIns="0" rtlCol="0">
                          <a:prstTxWarp prst="textNoShape">
                            <a:avLst/>
                          </a:prstTxWarp>
                          <a:noAutofit/>
                        </wps:bodyPr>
                      </wps:wsp>
                      <wps:wsp>
                        <wps:cNvPr id="268" name="Graphic 268"/>
                        <wps:cNvSpPr/>
                        <wps:spPr>
                          <a:xfrm>
                            <a:off x="482650" y="382523"/>
                            <a:ext cx="4752340" cy="533400"/>
                          </a:xfrm>
                          <a:custGeom>
                            <a:avLst/>
                            <a:gdLst/>
                            <a:ahLst/>
                            <a:cxnLst/>
                            <a:rect l="l" t="t" r="r" b="b"/>
                            <a:pathLst>
                              <a:path w="4752340" h="533400">
                                <a:moveTo>
                                  <a:pt x="204216" y="150876"/>
                                </a:moveTo>
                                <a:lnTo>
                                  <a:pt x="0" y="150876"/>
                                </a:lnTo>
                                <a:lnTo>
                                  <a:pt x="0" y="533146"/>
                                </a:lnTo>
                                <a:lnTo>
                                  <a:pt x="204216" y="533146"/>
                                </a:lnTo>
                                <a:lnTo>
                                  <a:pt x="204216" y="150876"/>
                                </a:lnTo>
                                <a:close/>
                              </a:path>
                              <a:path w="4752340" h="533400">
                                <a:moveTo>
                                  <a:pt x="1114044" y="3048"/>
                                </a:moveTo>
                                <a:lnTo>
                                  <a:pt x="909828" y="3048"/>
                                </a:lnTo>
                                <a:lnTo>
                                  <a:pt x="909828" y="533146"/>
                                </a:lnTo>
                                <a:lnTo>
                                  <a:pt x="1114044" y="533146"/>
                                </a:lnTo>
                                <a:lnTo>
                                  <a:pt x="1114044" y="3048"/>
                                </a:lnTo>
                                <a:close/>
                              </a:path>
                              <a:path w="4752340" h="533400">
                                <a:moveTo>
                                  <a:pt x="2023872" y="108204"/>
                                </a:moveTo>
                                <a:lnTo>
                                  <a:pt x="1819643" y="108204"/>
                                </a:lnTo>
                                <a:lnTo>
                                  <a:pt x="1819643" y="533146"/>
                                </a:lnTo>
                                <a:lnTo>
                                  <a:pt x="2023872" y="533146"/>
                                </a:lnTo>
                                <a:lnTo>
                                  <a:pt x="2023872" y="108204"/>
                                </a:lnTo>
                                <a:close/>
                              </a:path>
                              <a:path w="4752340" h="533400">
                                <a:moveTo>
                                  <a:pt x="2933700" y="0"/>
                                </a:moveTo>
                                <a:lnTo>
                                  <a:pt x="2729484" y="0"/>
                                </a:lnTo>
                                <a:lnTo>
                                  <a:pt x="2729484" y="533146"/>
                                </a:lnTo>
                                <a:lnTo>
                                  <a:pt x="2933700" y="533146"/>
                                </a:lnTo>
                                <a:lnTo>
                                  <a:pt x="2933700" y="0"/>
                                </a:lnTo>
                                <a:close/>
                              </a:path>
                              <a:path w="4752340" h="533400">
                                <a:moveTo>
                                  <a:pt x="3842004" y="434340"/>
                                </a:moveTo>
                                <a:lnTo>
                                  <a:pt x="3639312" y="434340"/>
                                </a:lnTo>
                                <a:lnTo>
                                  <a:pt x="3639312" y="533146"/>
                                </a:lnTo>
                                <a:lnTo>
                                  <a:pt x="3842004" y="533146"/>
                                </a:lnTo>
                                <a:lnTo>
                                  <a:pt x="3842004" y="434340"/>
                                </a:lnTo>
                                <a:close/>
                              </a:path>
                              <a:path w="4752340" h="533400">
                                <a:moveTo>
                                  <a:pt x="4751832" y="411480"/>
                                </a:moveTo>
                                <a:lnTo>
                                  <a:pt x="4549140" y="411480"/>
                                </a:lnTo>
                                <a:lnTo>
                                  <a:pt x="4549140" y="533146"/>
                                </a:lnTo>
                                <a:lnTo>
                                  <a:pt x="4751832" y="533146"/>
                                </a:lnTo>
                                <a:lnTo>
                                  <a:pt x="4751832" y="411480"/>
                                </a:lnTo>
                                <a:close/>
                              </a:path>
                            </a:pathLst>
                          </a:custGeom>
                          <a:solidFill>
                            <a:srgbClr val="741A36"/>
                          </a:solidFill>
                        </wps:spPr>
                        <wps:bodyPr wrap="square" lIns="0" tIns="0" rIns="0" bIns="0" rtlCol="0">
                          <a:prstTxWarp prst="textNoShape">
                            <a:avLst/>
                          </a:prstTxWarp>
                          <a:noAutofit/>
                        </wps:bodyPr>
                      </wps:wsp>
                      <wps:wsp>
                        <wps:cNvPr id="269" name="Graphic 269"/>
                        <wps:cNvSpPr/>
                        <wps:spPr>
                          <a:xfrm>
                            <a:off x="0" y="915669"/>
                            <a:ext cx="5458460" cy="1270"/>
                          </a:xfrm>
                          <a:custGeom>
                            <a:avLst/>
                            <a:gdLst/>
                            <a:ahLst/>
                            <a:cxnLst/>
                            <a:rect l="l" t="t" r="r" b="b"/>
                            <a:pathLst>
                              <a:path w="5458460">
                                <a:moveTo>
                                  <a:pt x="0" y="0"/>
                                </a:moveTo>
                                <a:lnTo>
                                  <a:pt x="5458383" y="0"/>
                                </a:lnTo>
                              </a:path>
                            </a:pathLst>
                          </a:custGeom>
                          <a:ln w="9525">
                            <a:solidFill>
                              <a:srgbClr val="D9D9D9"/>
                            </a:solidFill>
                            <a:prstDash val="solid"/>
                          </a:ln>
                        </wps:spPr>
                        <wps:bodyPr wrap="square" lIns="0" tIns="0" rIns="0" bIns="0" rtlCol="0">
                          <a:prstTxWarp prst="textNoShape">
                            <a:avLst/>
                          </a:prstTxWarp>
                          <a:noAutofit/>
                        </wps:bodyPr>
                      </wps:wsp>
                      <wps:wsp>
                        <wps:cNvPr id="270" name="Textbox 270"/>
                        <wps:cNvSpPr txBox="1"/>
                        <wps:spPr>
                          <a:xfrm>
                            <a:off x="170840" y="323079"/>
                            <a:ext cx="581660" cy="154305"/>
                          </a:xfrm>
                          <a:prstGeom prst="rect">
                            <a:avLst/>
                          </a:prstGeom>
                        </wps:spPr>
                        <wps:txbx>
                          <w:txbxContent>
                            <w:p w14:paraId="1DA7B89E" w14:textId="77777777" w:rsidR="000E52B0" w:rsidRDefault="00F60D74">
                              <w:pPr>
                                <w:rPr>
                                  <w:rFonts w:ascii="Trebuchet MS"/>
                                  <w:position w:val="-1"/>
                                  <w:sz w:val="18"/>
                                </w:rPr>
                              </w:pPr>
                              <w:r>
                                <w:rPr>
                                  <w:rFonts w:ascii="Trebuchet MS"/>
                                  <w:color w:val="404040"/>
                                  <w:spacing w:val="-7"/>
                                  <w:w w:val="105"/>
                                  <w:sz w:val="18"/>
                                </w:rPr>
                                <w:t>17,3%</w:t>
                              </w:r>
                              <w:r>
                                <w:rPr>
                                  <w:rFonts w:ascii="Trebuchet MS"/>
                                  <w:color w:val="404040"/>
                                  <w:spacing w:val="-7"/>
                                  <w:w w:val="105"/>
                                  <w:position w:val="-1"/>
                                  <w:sz w:val="18"/>
                                </w:rPr>
                                <w:t>16,7%</w:t>
                              </w:r>
                            </w:p>
                          </w:txbxContent>
                        </wps:txbx>
                        <wps:bodyPr wrap="square" lIns="0" tIns="0" rIns="0" bIns="0" rtlCol="0">
                          <a:noAutofit/>
                        </wps:bodyPr>
                      </wps:wsp>
                      <wps:wsp>
                        <wps:cNvPr id="271" name="Textbox 271"/>
                        <wps:cNvSpPr txBox="1"/>
                        <wps:spPr>
                          <a:xfrm>
                            <a:off x="1080693" y="264532"/>
                            <a:ext cx="322580" cy="139700"/>
                          </a:xfrm>
                          <a:prstGeom prst="rect">
                            <a:avLst/>
                          </a:prstGeom>
                        </wps:spPr>
                        <wps:txbx>
                          <w:txbxContent>
                            <w:p w14:paraId="456E2A08" w14:textId="77777777" w:rsidR="000E52B0" w:rsidRDefault="00F60D74">
                              <w:pPr>
                                <w:rPr>
                                  <w:rFonts w:ascii="Trebuchet MS"/>
                                  <w:sz w:val="18"/>
                                </w:rPr>
                              </w:pPr>
                              <w:r>
                                <w:rPr>
                                  <w:rFonts w:ascii="Trebuchet MS"/>
                                  <w:color w:val="404040"/>
                                  <w:spacing w:val="-2"/>
                                  <w:w w:val="105"/>
                                  <w:sz w:val="18"/>
                                </w:rPr>
                                <w:t>19,9%</w:t>
                              </w:r>
                            </w:p>
                          </w:txbxContent>
                        </wps:txbx>
                        <wps:bodyPr wrap="square" lIns="0" tIns="0" rIns="0" bIns="0" rtlCol="0">
                          <a:noAutofit/>
                        </wps:bodyPr>
                      </wps:wsp>
                      <wps:wsp>
                        <wps:cNvPr id="272" name="Textbox 272"/>
                        <wps:cNvSpPr txBox="1"/>
                        <wps:spPr>
                          <a:xfrm>
                            <a:off x="1339773" y="189602"/>
                            <a:ext cx="322580" cy="139700"/>
                          </a:xfrm>
                          <a:prstGeom prst="rect">
                            <a:avLst/>
                          </a:prstGeom>
                        </wps:spPr>
                        <wps:txbx>
                          <w:txbxContent>
                            <w:p w14:paraId="352214D3" w14:textId="77777777" w:rsidR="000E52B0" w:rsidRDefault="00F60D74">
                              <w:pPr>
                                <w:rPr>
                                  <w:rFonts w:ascii="Trebuchet MS"/>
                                  <w:sz w:val="18"/>
                                </w:rPr>
                              </w:pPr>
                              <w:r>
                                <w:rPr>
                                  <w:rFonts w:ascii="Trebuchet MS"/>
                                  <w:color w:val="404040"/>
                                  <w:spacing w:val="-2"/>
                                  <w:w w:val="105"/>
                                  <w:sz w:val="18"/>
                                </w:rPr>
                                <w:t>23,2%</w:t>
                              </w:r>
                            </w:p>
                          </w:txbxContent>
                        </wps:txbx>
                        <wps:bodyPr wrap="square" lIns="0" tIns="0" rIns="0" bIns="0" rtlCol="0">
                          <a:noAutofit/>
                        </wps:bodyPr>
                      </wps:wsp>
                      <wps:wsp>
                        <wps:cNvPr id="273" name="Textbox 273"/>
                        <wps:cNvSpPr txBox="1"/>
                        <wps:spPr>
                          <a:xfrm>
                            <a:off x="2249601" y="294123"/>
                            <a:ext cx="322580" cy="139700"/>
                          </a:xfrm>
                          <a:prstGeom prst="rect">
                            <a:avLst/>
                          </a:prstGeom>
                        </wps:spPr>
                        <wps:txbx>
                          <w:txbxContent>
                            <w:p w14:paraId="5FB429EB" w14:textId="77777777" w:rsidR="000E52B0" w:rsidRDefault="00F60D74">
                              <w:pPr>
                                <w:rPr>
                                  <w:rFonts w:ascii="Trebuchet MS"/>
                                  <w:sz w:val="18"/>
                                </w:rPr>
                              </w:pPr>
                              <w:r>
                                <w:rPr>
                                  <w:rFonts w:ascii="Trebuchet MS"/>
                                  <w:color w:val="404040"/>
                                  <w:spacing w:val="-2"/>
                                  <w:w w:val="105"/>
                                  <w:sz w:val="18"/>
                                </w:rPr>
                                <w:t>18,6%</w:t>
                              </w:r>
                            </w:p>
                          </w:txbxContent>
                        </wps:txbx>
                        <wps:bodyPr wrap="square" lIns="0" tIns="0" rIns="0" bIns="0" rtlCol="0">
                          <a:noAutofit/>
                        </wps:bodyPr>
                      </wps:wsp>
                      <wps:wsp>
                        <wps:cNvPr id="274" name="Textbox 274"/>
                        <wps:cNvSpPr txBox="1"/>
                        <wps:spPr>
                          <a:xfrm>
                            <a:off x="3159683" y="185284"/>
                            <a:ext cx="322580" cy="139700"/>
                          </a:xfrm>
                          <a:prstGeom prst="rect">
                            <a:avLst/>
                          </a:prstGeom>
                        </wps:spPr>
                        <wps:txbx>
                          <w:txbxContent>
                            <w:p w14:paraId="5FC3D982" w14:textId="77777777" w:rsidR="000E52B0" w:rsidRDefault="00F60D74">
                              <w:pPr>
                                <w:rPr>
                                  <w:rFonts w:ascii="Trebuchet MS"/>
                                  <w:sz w:val="18"/>
                                </w:rPr>
                              </w:pPr>
                              <w:r>
                                <w:rPr>
                                  <w:rFonts w:ascii="Trebuchet MS"/>
                                  <w:color w:val="404040"/>
                                  <w:spacing w:val="-2"/>
                                  <w:w w:val="105"/>
                                  <w:sz w:val="18"/>
                                </w:rPr>
                                <w:t>23,4%</w:t>
                              </w:r>
                            </w:p>
                          </w:txbxContent>
                        </wps:txbx>
                        <wps:bodyPr wrap="square" lIns="0" tIns="0" rIns="0" bIns="0" rtlCol="0">
                          <a:noAutofit/>
                        </wps:bodyPr>
                      </wps:wsp>
                      <wps:wsp>
                        <wps:cNvPr id="275" name="Textbox 275"/>
                        <wps:cNvSpPr txBox="1"/>
                        <wps:spPr>
                          <a:xfrm>
                            <a:off x="2021001" y="705603"/>
                            <a:ext cx="261620" cy="139700"/>
                          </a:xfrm>
                          <a:prstGeom prst="rect">
                            <a:avLst/>
                          </a:prstGeom>
                        </wps:spPr>
                        <wps:txbx>
                          <w:txbxContent>
                            <w:p w14:paraId="712D226E" w14:textId="77777777" w:rsidR="000E52B0" w:rsidRDefault="00F60D74">
                              <w:pPr>
                                <w:rPr>
                                  <w:rFonts w:ascii="Trebuchet MS"/>
                                  <w:sz w:val="18"/>
                                </w:rPr>
                              </w:pPr>
                              <w:r>
                                <w:rPr>
                                  <w:rFonts w:ascii="Trebuchet MS"/>
                                  <w:color w:val="404040"/>
                                  <w:spacing w:val="-4"/>
                                  <w:w w:val="105"/>
                                  <w:sz w:val="18"/>
                                </w:rPr>
                                <w:t>0,6%</w:t>
                              </w:r>
                            </w:p>
                          </w:txbxContent>
                        </wps:txbx>
                        <wps:bodyPr wrap="square" lIns="0" tIns="0" rIns="0" bIns="0" rtlCol="0">
                          <a:noAutofit/>
                        </wps:bodyPr>
                      </wps:wsp>
                      <wps:wsp>
                        <wps:cNvPr id="276" name="Textbox 276"/>
                        <wps:cNvSpPr txBox="1"/>
                        <wps:spPr>
                          <a:xfrm>
                            <a:off x="3810431" y="452873"/>
                            <a:ext cx="551180" cy="307340"/>
                          </a:xfrm>
                          <a:prstGeom prst="rect">
                            <a:avLst/>
                          </a:prstGeom>
                        </wps:spPr>
                        <wps:txbx>
                          <w:txbxContent>
                            <w:p w14:paraId="6289D1B1" w14:textId="77777777" w:rsidR="000E52B0" w:rsidRDefault="00F60D74">
                              <w:pPr>
                                <w:rPr>
                                  <w:rFonts w:ascii="Trebuchet MS"/>
                                  <w:sz w:val="18"/>
                                </w:rPr>
                              </w:pPr>
                              <w:r>
                                <w:rPr>
                                  <w:rFonts w:ascii="Trebuchet MS"/>
                                  <w:color w:val="404040"/>
                                  <w:spacing w:val="-2"/>
                                  <w:w w:val="105"/>
                                  <w:sz w:val="18"/>
                                </w:rPr>
                                <w:t>11,6%</w:t>
                              </w:r>
                            </w:p>
                            <w:p w14:paraId="5C3E5DEC" w14:textId="77777777" w:rsidR="000E52B0" w:rsidRDefault="00F60D74">
                              <w:pPr>
                                <w:spacing w:before="55"/>
                                <w:ind w:left="456"/>
                                <w:rPr>
                                  <w:rFonts w:ascii="Trebuchet MS"/>
                                  <w:sz w:val="18"/>
                                </w:rPr>
                              </w:pPr>
                              <w:r>
                                <w:rPr>
                                  <w:rFonts w:ascii="Trebuchet MS"/>
                                  <w:color w:val="404040"/>
                                  <w:spacing w:val="-4"/>
                                  <w:w w:val="105"/>
                                  <w:sz w:val="18"/>
                                </w:rPr>
                                <w:t>4,3%</w:t>
                              </w:r>
                            </w:p>
                          </w:txbxContent>
                        </wps:txbx>
                        <wps:bodyPr wrap="square" lIns="0" tIns="0" rIns="0" bIns="0" rtlCol="0">
                          <a:noAutofit/>
                        </wps:bodyPr>
                      </wps:wsp>
                      <wps:wsp>
                        <wps:cNvPr id="277" name="Textbox 277"/>
                        <wps:cNvSpPr txBox="1"/>
                        <wps:spPr>
                          <a:xfrm>
                            <a:off x="4750739" y="598288"/>
                            <a:ext cx="520700" cy="259715"/>
                          </a:xfrm>
                          <a:prstGeom prst="rect">
                            <a:avLst/>
                          </a:prstGeom>
                        </wps:spPr>
                        <wps:txbx>
                          <w:txbxContent>
                            <w:p w14:paraId="012B59A7" w14:textId="77777777" w:rsidR="000E52B0" w:rsidRDefault="00F60D74">
                              <w:pPr>
                                <w:spacing w:line="199" w:lineRule="exact"/>
                                <w:ind w:left="407"/>
                                <w:rPr>
                                  <w:rFonts w:ascii="Trebuchet MS"/>
                                  <w:sz w:val="18"/>
                                </w:rPr>
                              </w:pPr>
                              <w:r>
                                <w:rPr>
                                  <w:rFonts w:ascii="Trebuchet MS"/>
                                  <w:color w:val="404040"/>
                                  <w:spacing w:val="-4"/>
                                  <w:w w:val="105"/>
                                  <w:sz w:val="18"/>
                                </w:rPr>
                                <w:t>5,3%</w:t>
                              </w:r>
                            </w:p>
                            <w:p w14:paraId="771B0AB8" w14:textId="77777777" w:rsidR="000E52B0" w:rsidRDefault="00F60D74">
                              <w:pPr>
                                <w:spacing w:line="199" w:lineRule="exact"/>
                                <w:rPr>
                                  <w:rFonts w:ascii="Trebuchet MS"/>
                                  <w:sz w:val="18"/>
                                </w:rPr>
                              </w:pPr>
                              <w:r>
                                <w:rPr>
                                  <w:rFonts w:ascii="Trebuchet MS"/>
                                  <w:color w:val="404040"/>
                                  <w:spacing w:val="-4"/>
                                  <w:w w:val="105"/>
                                  <w:sz w:val="18"/>
                                </w:rPr>
                                <w:t>0,0%</w:t>
                              </w:r>
                            </w:p>
                          </w:txbxContent>
                        </wps:txbx>
                        <wps:bodyPr wrap="square" lIns="0" tIns="0" rIns="0" bIns="0" rtlCol="0">
                          <a:noAutofit/>
                        </wps:bodyPr>
                      </wps:wsp>
                    </wpg:wgp>
                  </a:graphicData>
                </a:graphic>
              </wp:inline>
            </w:drawing>
          </mc:Choice>
          <mc:Fallback>
            <w:pict>
              <v:group w14:anchorId="03F5F13A" id="Group 266" o:spid="_x0000_s1165" style="width:429.8pt;height:72.5pt;mso-position-horizontal-relative:char;mso-position-vertical-relative:line" coordsize="54584,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">
                <v:shape id="Graphic 267" o:spid="_x0000_s1166" style="position:absolute;left:2235;width:47524;height:9156;visibility:visible;mso-wrap-style:square;v-text-anchor:top" coordsize="4752340,9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" path="m204216,519684l,519684,,915670r204216,l204216,519684xem1114044,461772r-204216,l909828,915670r204216,l1114044,461772xem2023872,902208r-204216,l1819656,915670r204216,l2023872,902208xem2933700,l2729484,r,915670l2933700,915670,2933700,xem3842004,649224r-202692,l3639312,915670r202692,l3842004,649224xem4751832,914146r-202692,l4549140,915670r202692,l4751832,914146xe" fillcolor="#e22c91" stroked="f">
                  <v:path arrowok="t"/>
                </v:shape>
                <v:shape id="Graphic 268" o:spid="_x0000_s1167" style="position:absolute;left:4826;top:3825;width:47523;height:5334;visibility:visible;mso-wrap-style:square;v-text-anchor:top" coordsize="475234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" path="m204216,150876l,150876,,533146r204216,l204216,150876xem1114044,3048r-204216,l909828,533146r204216,l1114044,3048xem2023872,108204r-204229,l1819643,533146r204229,l2023872,108204xem2933700,l2729484,r,533146l2933700,533146,2933700,xem3842004,434340r-202692,l3639312,533146r202692,l3842004,434340xem4751832,411480r-202692,l4549140,533146r202692,l4751832,411480xe" fillcolor="#741a36" stroked="f">
                  <v:path arrowok="t"/>
                </v:shape>
                <v:shape id="Graphic 269" o:spid="_x0000_s1168" style="position:absolute;top:9156;width:54584;height:13;visibility:visible;mso-wrap-style:square;v-text-anchor:top" coordsize="5458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" path="m,l5458383,e" filled="f" strokecolor="#d9d9d9">
                  <v:path arrowok="t"/>
                </v:shape>
                <v:shape id="Textbox 270" o:spid="_x0000_s1169" type="#_x0000_t202" style="position:absolute;left:1708;top:3230;width:5817;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1DA7B89E" w14:textId="77777777" w:rsidR="000E52B0" w:rsidRDefault="00F60D74">
                        <w:pPr>
                          <w:rPr>
                            <w:rFonts w:ascii="Trebuchet MS"/>
                            <w:position w:val="-1"/>
                            <w:sz w:val="18"/>
                          </w:rPr>
                        </w:pPr>
                        <w:r>
                          <w:rPr>
                            <w:rFonts w:ascii="Trebuchet MS"/>
                            <w:color w:val="404040"/>
                            <w:spacing w:val="-7"/>
                            <w:w w:val="105"/>
                            <w:sz w:val="18"/>
                          </w:rPr>
                          <w:t>17,3%</w:t>
                        </w:r>
                        <w:r>
                          <w:rPr>
                            <w:rFonts w:ascii="Trebuchet MS"/>
                            <w:color w:val="404040"/>
                            <w:spacing w:val="-7"/>
                            <w:w w:val="105"/>
                            <w:position w:val="-1"/>
                            <w:sz w:val="18"/>
                          </w:rPr>
                          <w:t>16,7%</w:t>
                        </w:r>
                      </w:p>
                    </w:txbxContent>
                  </v:textbox>
                </v:shape>
                <v:shape id="Textbox 271" o:spid="_x0000_s1170" type="#_x0000_t202" style="position:absolute;left:10806;top:2645;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456E2A08" w14:textId="77777777" w:rsidR="000E52B0" w:rsidRDefault="00F60D74">
                        <w:pPr>
                          <w:rPr>
                            <w:rFonts w:ascii="Trebuchet MS"/>
                            <w:sz w:val="18"/>
                          </w:rPr>
                        </w:pPr>
                        <w:r>
                          <w:rPr>
                            <w:rFonts w:ascii="Trebuchet MS"/>
                            <w:color w:val="404040"/>
                            <w:spacing w:val="-2"/>
                            <w:w w:val="105"/>
                            <w:sz w:val="18"/>
                          </w:rPr>
                          <w:t>19,9%</w:t>
                        </w:r>
                      </w:p>
                    </w:txbxContent>
                  </v:textbox>
                </v:shape>
                <v:shape id="Textbox 272" o:spid="_x0000_s1171" type="#_x0000_t202" style="position:absolute;left:13397;top:1896;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352214D3" w14:textId="77777777" w:rsidR="000E52B0" w:rsidRDefault="00F60D74">
                        <w:pPr>
                          <w:rPr>
                            <w:rFonts w:ascii="Trebuchet MS"/>
                            <w:sz w:val="18"/>
                          </w:rPr>
                        </w:pPr>
                        <w:r>
                          <w:rPr>
                            <w:rFonts w:ascii="Trebuchet MS"/>
                            <w:color w:val="404040"/>
                            <w:spacing w:val="-2"/>
                            <w:w w:val="105"/>
                            <w:sz w:val="18"/>
                          </w:rPr>
                          <w:t>23,2%</w:t>
                        </w:r>
                      </w:p>
                    </w:txbxContent>
                  </v:textbox>
                </v:shape>
                <v:shape id="Textbox 273" o:spid="_x0000_s1172" type="#_x0000_t202" style="position:absolute;left:22496;top:2941;width:322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5FB429EB" w14:textId="77777777" w:rsidR="000E52B0" w:rsidRDefault="00F60D74">
                        <w:pPr>
                          <w:rPr>
                            <w:rFonts w:ascii="Trebuchet MS"/>
                            <w:sz w:val="18"/>
                          </w:rPr>
                        </w:pPr>
                        <w:r>
                          <w:rPr>
                            <w:rFonts w:ascii="Trebuchet MS"/>
                            <w:color w:val="404040"/>
                            <w:spacing w:val="-2"/>
                            <w:w w:val="105"/>
                            <w:sz w:val="18"/>
                          </w:rPr>
                          <w:t>18,6%</w:t>
                        </w:r>
                      </w:p>
                    </w:txbxContent>
                  </v:textbox>
                </v:shape>
                <v:shape id="Textbox 274" o:spid="_x0000_s1173" type="#_x0000_t202" style="position:absolute;left:31596;top:1852;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5FC3D982" w14:textId="77777777" w:rsidR="000E52B0" w:rsidRDefault="00F60D74">
                        <w:pPr>
                          <w:rPr>
                            <w:rFonts w:ascii="Trebuchet MS"/>
                            <w:sz w:val="18"/>
                          </w:rPr>
                        </w:pPr>
                        <w:r>
                          <w:rPr>
                            <w:rFonts w:ascii="Trebuchet MS"/>
                            <w:color w:val="404040"/>
                            <w:spacing w:val="-2"/>
                            <w:w w:val="105"/>
                            <w:sz w:val="18"/>
                          </w:rPr>
                          <w:t>23,4%</w:t>
                        </w:r>
                      </w:p>
                    </w:txbxContent>
                  </v:textbox>
                </v:shape>
                <v:shape id="Textbox 275" o:spid="_x0000_s1174" type="#_x0000_t202" style="position:absolute;left:20210;top:7056;width:261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712D226E" w14:textId="77777777" w:rsidR="000E52B0" w:rsidRDefault="00F60D74">
                        <w:pPr>
                          <w:rPr>
                            <w:rFonts w:ascii="Trebuchet MS"/>
                            <w:sz w:val="18"/>
                          </w:rPr>
                        </w:pPr>
                        <w:r>
                          <w:rPr>
                            <w:rFonts w:ascii="Trebuchet MS"/>
                            <w:color w:val="404040"/>
                            <w:spacing w:val="-4"/>
                            <w:w w:val="105"/>
                            <w:sz w:val="18"/>
                          </w:rPr>
                          <w:t>0,6%</w:t>
                        </w:r>
                      </w:p>
                    </w:txbxContent>
                  </v:textbox>
                </v:shape>
                <v:shape id="Textbox 276" o:spid="_x0000_s1175" type="#_x0000_t202" style="position:absolute;left:38104;top:4528;width:5512;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6289D1B1" w14:textId="77777777" w:rsidR="000E52B0" w:rsidRDefault="00F60D74">
                        <w:pPr>
                          <w:rPr>
                            <w:rFonts w:ascii="Trebuchet MS"/>
                            <w:sz w:val="18"/>
                          </w:rPr>
                        </w:pPr>
                        <w:r>
                          <w:rPr>
                            <w:rFonts w:ascii="Trebuchet MS"/>
                            <w:color w:val="404040"/>
                            <w:spacing w:val="-2"/>
                            <w:w w:val="105"/>
                            <w:sz w:val="18"/>
                          </w:rPr>
                          <w:t>11,6%</w:t>
                        </w:r>
                      </w:p>
                      <w:p w14:paraId="5C3E5DEC" w14:textId="77777777" w:rsidR="000E52B0" w:rsidRDefault="00F60D74">
                        <w:pPr>
                          <w:spacing w:before="55"/>
                          <w:ind w:left="456"/>
                          <w:rPr>
                            <w:rFonts w:ascii="Trebuchet MS"/>
                            <w:sz w:val="18"/>
                          </w:rPr>
                        </w:pPr>
                        <w:r>
                          <w:rPr>
                            <w:rFonts w:ascii="Trebuchet MS"/>
                            <w:color w:val="404040"/>
                            <w:spacing w:val="-4"/>
                            <w:w w:val="105"/>
                            <w:sz w:val="18"/>
                          </w:rPr>
                          <w:t>4,3%</w:t>
                        </w:r>
                      </w:p>
                    </w:txbxContent>
                  </v:textbox>
                </v:shape>
                <v:shape id="Textbox 277" o:spid="_x0000_s1176" type="#_x0000_t202" style="position:absolute;left:47507;top:5982;width:5207;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012B59A7" w14:textId="77777777" w:rsidR="000E52B0" w:rsidRDefault="00F60D74">
                        <w:pPr>
                          <w:spacing w:line="199" w:lineRule="exact"/>
                          <w:ind w:left="407"/>
                          <w:rPr>
                            <w:rFonts w:ascii="Trebuchet MS"/>
                            <w:sz w:val="18"/>
                          </w:rPr>
                        </w:pPr>
                        <w:r>
                          <w:rPr>
                            <w:rFonts w:ascii="Trebuchet MS"/>
                            <w:color w:val="404040"/>
                            <w:spacing w:val="-4"/>
                            <w:w w:val="105"/>
                            <w:sz w:val="18"/>
                          </w:rPr>
                          <w:t>5,3%</w:t>
                        </w:r>
                      </w:p>
                      <w:p w14:paraId="771B0AB8" w14:textId="77777777" w:rsidR="000E52B0" w:rsidRDefault="00F60D74">
                        <w:pPr>
                          <w:spacing w:line="199" w:lineRule="exact"/>
                          <w:rPr>
                            <w:rFonts w:ascii="Trebuchet MS"/>
                            <w:sz w:val="18"/>
                          </w:rPr>
                        </w:pPr>
                        <w:r>
                          <w:rPr>
                            <w:rFonts w:ascii="Trebuchet MS"/>
                            <w:color w:val="404040"/>
                            <w:spacing w:val="-4"/>
                            <w:w w:val="105"/>
                            <w:sz w:val="18"/>
                          </w:rPr>
                          <w:t>0,0%</w:t>
                        </w:r>
                      </w:p>
                    </w:txbxContent>
                  </v:textbox>
                </v:shape>
                <w10:anchorlock/>
              </v:group>
            </w:pict>
          </mc:Fallback>
        </mc:AlternateContent>
      </w:r>
    </w:p>
    <w:p w14:paraId="2A70DBAA" w14:textId="77777777" w:rsidR="000E52B0" w:rsidRDefault="000E52B0">
      <w:pPr>
        <w:pStyle w:val="Textoindependiente"/>
        <w:rPr>
          <w:rFonts w:ascii="Trebuchet MS"/>
          <w:sz w:val="20"/>
        </w:rPr>
        <w:sectPr w:rsidR="000E52B0">
          <w:pgSz w:w="11910" w:h="16840"/>
          <w:pgMar w:top="1340" w:right="720" w:bottom="1180" w:left="720" w:header="0" w:footer="995" w:gutter="0"/>
          <w:cols w:space="720"/>
        </w:sectPr>
      </w:pPr>
    </w:p>
    <w:p w14:paraId="46A7D629" w14:textId="77777777" w:rsidR="000E52B0" w:rsidRDefault="00F60D74">
      <w:pPr>
        <w:spacing w:before="69"/>
        <w:ind w:left="1009"/>
        <w:jc w:val="center"/>
        <w:rPr>
          <w:rFonts w:ascii="Trebuchet MS"/>
          <w:sz w:val="16"/>
        </w:rPr>
      </w:pPr>
      <w:r>
        <w:rPr>
          <w:rFonts w:ascii="Trebuchet MS"/>
          <w:color w:val="585858"/>
          <w:sz w:val="16"/>
        </w:rPr>
        <w:t>Considera</w:t>
      </w:r>
      <w:r>
        <w:rPr>
          <w:rFonts w:ascii="Trebuchet MS"/>
          <w:color w:val="585858"/>
          <w:spacing w:val="-15"/>
          <w:sz w:val="16"/>
        </w:rPr>
        <w:t xml:space="preserve"> </w:t>
      </w:r>
      <w:r>
        <w:rPr>
          <w:rFonts w:ascii="Trebuchet MS"/>
          <w:color w:val="585858"/>
          <w:sz w:val="16"/>
        </w:rPr>
        <w:t>que</w:t>
      </w:r>
      <w:r>
        <w:rPr>
          <w:rFonts w:ascii="Trebuchet MS"/>
          <w:color w:val="585858"/>
          <w:spacing w:val="-14"/>
          <w:sz w:val="16"/>
        </w:rPr>
        <w:t xml:space="preserve"> </w:t>
      </w:r>
      <w:r>
        <w:rPr>
          <w:rFonts w:ascii="Trebuchet MS"/>
          <w:color w:val="585858"/>
          <w:spacing w:val="-5"/>
          <w:sz w:val="16"/>
        </w:rPr>
        <w:t>ya</w:t>
      </w:r>
    </w:p>
    <w:p w14:paraId="2FCFAEB9" w14:textId="77777777" w:rsidR="000E52B0" w:rsidRDefault="00F60D74">
      <w:pPr>
        <w:spacing w:before="9"/>
        <w:ind w:left="1012"/>
        <w:jc w:val="center"/>
        <w:rPr>
          <w:rFonts w:ascii="Trebuchet MS" w:hAnsi="Trebuchet MS"/>
          <w:sz w:val="16"/>
        </w:rPr>
      </w:pPr>
      <w:r>
        <w:rPr>
          <w:rFonts w:ascii="Trebuchet MS" w:hAnsi="Trebuchet MS"/>
          <w:color w:val="585858"/>
          <w:spacing w:val="-2"/>
          <w:sz w:val="16"/>
        </w:rPr>
        <w:t>terminó</w:t>
      </w:r>
    </w:p>
    <w:p w14:paraId="4D6EC227" w14:textId="77777777" w:rsidR="000E52B0" w:rsidRDefault="00F60D74">
      <w:pPr>
        <w:spacing w:before="69" w:line="252" w:lineRule="auto"/>
        <w:ind w:left="162" w:hanging="2"/>
        <w:jc w:val="center"/>
        <w:rPr>
          <w:rFonts w:ascii="Trebuchet MS"/>
          <w:sz w:val="16"/>
        </w:rPr>
      </w:pPr>
      <w:r>
        <w:br w:type="column"/>
      </w:r>
      <w:r>
        <w:rPr>
          <w:rFonts w:ascii="Trebuchet MS"/>
          <w:color w:val="585858"/>
          <w:sz w:val="16"/>
        </w:rPr>
        <w:t>Falta</w:t>
      </w:r>
      <w:r>
        <w:rPr>
          <w:rFonts w:ascii="Trebuchet MS"/>
          <w:color w:val="585858"/>
          <w:spacing w:val="-1"/>
          <w:sz w:val="16"/>
        </w:rPr>
        <w:t xml:space="preserve"> </w:t>
      </w:r>
      <w:r>
        <w:rPr>
          <w:rFonts w:ascii="Trebuchet MS"/>
          <w:color w:val="585858"/>
          <w:sz w:val="16"/>
        </w:rPr>
        <w:t>de</w:t>
      </w:r>
      <w:r>
        <w:rPr>
          <w:rFonts w:ascii="Trebuchet MS"/>
          <w:color w:val="585858"/>
          <w:spacing w:val="-2"/>
          <w:sz w:val="16"/>
        </w:rPr>
        <w:t xml:space="preserve"> </w:t>
      </w:r>
      <w:r>
        <w:rPr>
          <w:rFonts w:ascii="Trebuchet MS"/>
          <w:color w:val="585858"/>
          <w:sz w:val="16"/>
        </w:rPr>
        <w:t>dinero</w:t>
      </w:r>
      <w:r>
        <w:rPr>
          <w:rFonts w:ascii="Trebuchet MS"/>
          <w:color w:val="585858"/>
          <w:spacing w:val="-1"/>
          <w:sz w:val="16"/>
        </w:rPr>
        <w:t xml:space="preserve"> </w:t>
      </w:r>
      <w:r>
        <w:rPr>
          <w:rFonts w:ascii="Trebuchet MS"/>
          <w:color w:val="585858"/>
          <w:sz w:val="16"/>
        </w:rPr>
        <w:t>o costos</w:t>
      </w:r>
      <w:r>
        <w:rPr>
          <w:rFonts w:ascii="Trebuchet MS"/>
          <w:color w:val="585858"/>
          <w:spacing w:val="-19"/>
          <w:sz w:val="16"/>
        </w:rPr>
        <w:t xml:space="preserve"> </w:t>
      </w:r>
      <w:r>
        <w:rPr>
          <w:rFonts w:ascii="Trebuchet MS"/>
          <w:color w:val="585858"/>
          <w:sz w:val="16"/>
        </w:rPr>
        <w:t xml:space="preserve">educativos </w:t>
      </w:r>
      <w:r>
        <w:rPr>
          <w:rFonts w:ascii="Trebuchet MS"/>
          <w:color w:val="585858"/>
          <w:spacing w:val="-2"/>
          <w:sz w:val="16"/>
        </w:rPr>
        <w:t>elevados</w:t>
      </w:r>
    </w:p>
    <w:p w14:paraId="2D1B2EEE" w14:textId="77777777" w:rsidR="000E52B0" w:rsidRDefault="00F60D74">
      <w:pPr>
        <w:spacing w:before="69" w:line="252" w:lineRule="auto"/>
        <w:ind w:left="68" w:firstLine="2"/>
        <w:jc w:val="center"/>
        <w:rPr>
          <w:rFonts w:ascii="Trebuchet MS" w:hAnsi="Trebuchet MS"/>
          <w:sz w:val="16"/>
        </w:rPr>
      </w:pPr>
      <w:r>
        <w:br w:type="column"/>
      </w:r>
      <w:r>
        <w:rPr>
          <w:rFonts w:ascii="Trebuchet MS" w:hAnsi="Trebuchet MS"/>
          <w:color w:val="585858"/>
          <w:spacing w:val="-2"/>
          <w:sz w:val="16"/>
        </w:rPr>
        <w:t>Debe</w:t>
      </w:r>
      <w:r>
        <w:rPr>
          <w:rFonts w:ascii="Trebuchet MS" w:hAnsi="Trebuchet MS"/>
          <w:color w:val="585858"/>
          <w:spacing w:val="-16"/>
          <w:sz w:val="16"/>
        </w:rPr>
        <w:t xml:space="preserve"> </w:t>
      </w:r>
      <w:r>
        <w:rPr>
          <w:rFonts w:ascii="Trebuchet MS" w:hAnsi="Trebuchet MS"/>
          <w:color w:val="585858"/>
          <w:spacing w:val="-2"/>
          <w:sz w:val="16"/>
        </w:rPr>
        <w:t>encargarse</w:t>
      </w:r>
      <w:r>
        <w:rPr>
          <w:rFonts w:ascii="Trebuchet MS" w:hAnsi="Trebuchet MS"/>
          <w:color w:val="585858"/>
          <w:spacing w:val="-16"/>
          <w:sz w:val="16"/>
        </w:rPr>
        <w:t xml:space="preserve"> </w:t>
      </w:r>
      <w:r>
        <w:rPr>
          <w:rFonts w:ascii="Trebuchet MS" w:hAnsi="Trebuchet MS"/>
          <w:color w:val="585858"/>
          <w:spacing w:val="-2"/>
          <w:sz w:val="16"/>
        </w:rPr>
        <w:t>de los</w:t>
      </w:r>
      <w:r>
        <w:rPr>
          <w:rFonts w:ascii="Trebuchet MS" w:hAnsi="Trebuchet MS"/>
          <w:color w:val="585858"/>
          <w:spacing w:val="-17"/>
          <w:sz w:val="16"/>
        </w:rPr>
        <w:t xml:space="preserve"> </w:t>
      </w:r>
      <w:r>
        <w:rPr>
          <w:rFonts w:ascii="Trebuchet MS" w:hAnsi="Trebuchet MS"/>
          <w:color w:val="585858"/>
          <w:spacing w:val="-2"/>
          <w:sz w:val="16"/>
        </w:rPr>
        <w:t>oficios</w:t>
      </w:r>
      <w:r>
        <w:rPr>
          <w:rFonts w:ascii="Trebuchet MS" w:hAnsi="Trebuchet MS"/>
          <w:color w:val="585858"/>
          <w:spacing w:val="-19"/>
          <w:sz w:val="16"/>
        </w:rPr>
        <w:t xml:space="preserve"> </w:t>
      </w:r>
      <w:r>
        <w:rPr>
          <w:rFonts w:ascii="Trebuchet MS" w:hAnsi="Trebuchet MS"/>
          <w:color w:val="585858"/>
          <w:spacing w:val="-2"/>
          <w:sz w:val="16"/>
        </w:rPr>
        <w:t>del</w:t>
      </w:r>
      <w:r>
        <w:rPr>
          <w:rFonts w:ascii="Trebuchet MS" w:hAnsi="Trebuchet MS"/>
          <w:color w:val="585858"/>
          <w:spacing w:val="-16"/>
          <w:sz w:val="16"/>
        </w:rPr>
        <w:t xml:space="preserve"> </w:t>
      </w:r>
      <w:r>
        <w:rPr>
          <w:rFonts w:ascii="Trebuchet MS" w:hAnsi="Trebuchet MS"/>
          <w:color w:val="585858"/>
          <w:spacing w:val="-2"/>
          <w:sz w:val="16"/>
        </w:rPr>
        <w:t>hogar (cuidado</w:t>
      </w:r>
      <w:r>
        <w:rPr>
          <w:rFonts w:ascii="Trebuchet MS" w:hAnsi="Trebuchet MS"/>
          <w:color w:val="585858"/>
          <w:spacing w:val="-17"/>
          <w:sz w:val="16"/>
        </w:rPr>
        <w:t xml:space="preserve"> </w:t>
      </w:r>
      <w:r>
        <w:rPr>
          <w:rFonts w:ascii="Trebuchet MS" w:hAnsi="Trebuchet MS"/>
          <w:color w:val="585858"/>
          <w:spacing w:val="-2"/>
          <w:sz w:val="16"/>
        </w:rPr>
        <w:t>de</w:t>
      </w:r>
      <w:r>
        <w:rPr>
          <w:rFonts w:ascii="Trebuchet MS" w:hAnsi="Trebuchet MS"/>
          <w:color w:val="585858"/>
          <w:spacing w:val="-18"/>
          <w:sz w:val="16"/>
        </w:rPr>
        <w:t xml:space="preserve"> </w:t>
      </w:r>
      <w:r>
        <w:rPr>
          <w:rFonts w:ascii="Trebuchet MS" w:hAnsi="Trebuchet MS"/>
          <w:color w:val="585858"/>
          <w:spacing w:val="-2"/>
          <w:sz w:val="16"/>
        </w:rPr>
        <w:t>niño/as y</w:t>
      </w:r>
      <w:r>
        <w:rPr>
          <w:rFonts w:ascii="Trebuchet MS" w:hAnsi="Trebuchet MS"/>
          <w:color w:val="585858"/>
          <w:spacing w:val="-16"/>
          <w:sz w:val="16"/>
        </w:rPr>
        <w:t xml:space="preserve"> </w:t>
      </w:r>
      <w:r>
        <w:rPr>
          <w:rFonts w:ascii="Trebuchet MS" w:hAnsi="Trebuchet MS"/>
          <w:color w:val="585858"/>
          <w:spacing w:val="-2"/>
          <w:sz w:val="16"/>
        </w:rPr>
        <w:t>otras</w:t>
      </w:r>
      <w:r>
        <w:rPr>
          <w:rFonts w:ascii="Trebuchet MS" w:hAnsi="Trebuchet MS"/>
          <w:color w:val="585858"/>
          <w:spacing w:val="-17"/>
          <w:sz w:val="16"/>
        </w:rPr>
        <w:t xml:space="preserve"> </w:t>
      </w:r>
      <w:r>
        <w:rPr>
          <w:rFonts w:ascii="Trebuchet MS" w:hAnsi="Trebuchet MS"/>
          <w:color w:val="585858"/>
          <w:spacing w:val="-2"/>
          <w:sz w:val="16"/>
        </w:rPr>
        <w:t>personas</w:t>
      </w:r>
      <w:r>
        <w:rPr>
          <w:rFonts w:ascii="Trebuchet MS" w:hAnsi="Trebuchet MS"/>
          <w:color w:val="585858"/>
          <w:spacing w:val="-17"/>
          <w:sz w:val="16"/>
        </w:rPr>
        <w:t xml:space="preserve"> </w:t>
      </w:r>
      <w:r>
        <w:rPr>
          <w:rFonts w:ascii="Trebuchet MS" w:hAnsi="Trebuchet MS"/>
          <w:color w:val="585858"/>
          <w:spacing w:val="-2"/>
          <w:sz w:val="16"/>
        </w:rPr>
        <w:t>del hogar)</w:t>
      </w:r>
    </w:p>
    <w:p w14:paraId="06E4355C" w14:textId="77777777" w:rsidR="000E52B0" w:rsidRDefault="00F60D74">
      <w:pPr>
        <w:tabs>
          <w:tab w:val="left" w:pos="1398"/>
        </w:tabs>
        <w:spacing w:before="69"/>
        <w:ind w:right="3"/>
        <w:jc w:val="right"/>
        <w:rPr>
          <w:rFonts w:ascii="Trebuchet MS"/>
          <w:sz w:val="16"/>
        </w:rPr>
      </w:pPr>
      <w:r>
        <w:br w:type="column"/>
      </w:r>
      <w:r>
        <w:rPr>
          <w:rFonts w:ascii="Trebuchet MS"/>
          <w:color w:val="585858"/>
          <w:spacing w:val="-2"/>
          <w:sz w:val="16"/>
        </w:rPr>
        <w:t>Necesita</w:t>
      </w:r>
      <w:r>
        <w:rPr>
          <w:rFonts w:ascii="Trebuchet MS"/>
          <w:color w:val="585858"/>
          <w:spacing w:val="-3"/>
          <w:sz w:val="16"/>
        </w:rPr>
        <w:t xml:space="preserve"> </w:t>
      </w:r>
      <w:r>
        <w:rPr>
          <w:rFonts w:ascii="Trebuchet MS"/>
          <w:color w:val="585858"/>
          <w:spacing w:val="-2"/>
          <w:sz w:val="16"/>
        </w:rPr>
        <w:t>trabajar</w:t>
      </w:r>
      <w:r>
        <w:rPr>
          <w:rFonts w:ascii="Trebuchet MS"/>
          <w:color w:val="585858"/>
          <w:sz w:val="16"/>
        </w:rPr>
        <w:tab/>
        <w:t>No</w:t>
      </w:r>
      <w:r>
        <w:rPr>
          <w:rFonts w:ascii="Trebuchet MS"/>
          <w:color w:val="585858"/>
          <w:spacing w:val="-16"/>
          <w:sz w:val="16"/>
        </w:rPr>
        <w:t xml:space="preserve"> </w:t>
      </w:r>
      <w:r>
        <w:rPr>
          <w:rFonts w:ascii="Trebuchet MS"/>
          <w:color w:val="585858"/>
          <w:sz w:val="16"/>
        </w:rPr>
        <w:t>le</w:t>
      </w:r>
      <w:r>
        <w:rPr>
          <w:rFonts w:ascii="Trebuchet MS"/>
          <w:color w:val="585858"/>
          <w:spacing w:val="-16"/>
          <w:sz w:val="16"/>
        </w:rPr>
        <w:t xml:space="preserve"> </w:t>
      </w:r>
      <w:r>
        <w:rPr>
          <w:rFonts w:ascii="Trebuchet MS"/>
          <w:color w:val="585858"/>
          <w:sz w:val="16"/>
        </w:rPr>
        <w:t>gusta</w:t>
      </w:r>
      <w:r>
        <w:rPr>
          <w:rFonts w:ascii="Trebuchet MS"/>
          <w:color w:val="585858"/>
          <w:spacing w:val="-15"/>
          <w:sz w:val="16"/>
        </w:rPr>
        <w:t xml:space="preserve"> </w:t>
      </w:r>
      <w:r>
        <w:rPr>
          <w:rFonts w:ascii="Trebuchet MS"/>
          <w:color w:val="585858"/>
          <w:sz w:val="16"/>
        </w:rPr>
        <w:t>o</w:t>
      </w:r>
      <w:r>
        <w:rPr>
          <w:rFonts w:ascii="Trebuchet MS"/>
          <w:color w:val="585858"/>
          <w:spacing w:val="-15"/>
          <w:sz w:val="16"/>
        </w:rPr>
        <w:t xml:space="preserve"> </w:t>
      </w:r>
      <w:r>
        <w:rPr>
          <w:rFonts w:ascii="Trebuchet MS"/>
          <w:color w:val="585858"/>
          <w:sz w:val="16"/>
        </w:rPr>
        <w:t>no</w:t>
      </w:r>
      <w:r>
        <w:rPr>
          <w:rFonts w:ascii="Trebuchet MS"/>
          <w:color w:val="585858"/>
          <w:spacing w:val="-16"/>
          <w:sz w:val="16"/>
        </w:rPr>
        <w:t xml:space="preserve"> </w:t>
      </w:r>
      <w:r>
        <w:rPr>
          <w:rFonts w:ascii="Trebuchet MS"/>
          <w:color w:val="585858"/>
          <w:spacing w:val="-5"/>
          <w:sz w:val="16"/>
        </w:rPr>
        <w:t>le</w:t>
      </w:r>
    </w:p>
    <w:p w14:paraId="7BDFB62D" w14:textId="77777777" w:rsidR="000E52B0" w:rsidRDefault="00F60D74">
      <w:pPr>
        <w:spacing w:before="9"/>
        <w:jc w:val="right"/>
        <w:rPr>
          <w:rFonts w:ascii="Trebuchet MS"/>
          <w:sz w:val="16"/>
        </w:rPr>
      </w:pPr>
      <w:r>
        <w:rPr>
          <w:rFonts w:ascii="Trebuchet MS"/>
          <w:color w:val="585858"/>
          <w:spacing w:val="-4"/>
          <w:sz w:val="16"/>
        </w:rPr>
        <w:t>interesa</w:t>
      </w:r>
      <w:r>
        <w:rPr>
          <w:rFonts w:ascii="Trebuchet MS"/>
          <w:color w:val="585858"/>
          <w:spacing w:val="-15"/>
          <w:sz w:val="16"/>
        </w:rPr>
        <w:t xml:space="preserve"> </w:t>
      </w:r>
      <w:r>
        <w:rPr>
          <w:rFonts w:ascii="Trebuchet MS"/>
          <w:color w:val="585858"/>
          <w:spacing w:val="-4"/>
          <w:sz w:val="16"/>
        </w:rPr>
        <w:t>el</w:t>
      </w:r>
      <w:r>
        <w:rPr>
          <w:rFonts w:ascii="Trebuchet MS"/>
          <w:color w:val="585858"/>
          <w:spacing w:val="-13"/>
          <w:sz w:val="16"/>
        </w:rPr>
        <w:t xml:space="preserve"> </w:t>
      </w:r>
      <w:r>
        <w:rPr>
          <w:rFonts w:ascii="Trebuchet MS"/>
          <w:color w:val="585858"/>
          <w:spacing w:val="-4"/>
          <w:sz w:val="16"/>
        </w:rPr>
        <w:t>estudio</w:t>
      </w:r>
    </w:p>
    <w:p w14:paraId="505CDF8C" w14:textId="77777777" w:rsidR="000E52B0" w:rsidRDefault="00F60D74">
      <w:pPr>
        <w:spacing w:before="69"/>
        <w:ind w:left="276"/>
        <w:rPr>
          <w:rFonts w:ascii="Trebuchet MS"/>
          <w:sz w:val="16"/>
        </w:rPr>
      </w:pPr>
      <w:r>
        <w:br w:type="column"/>
      </w:r>
      <w:r>
        <w:rPr>
          <w:rFonts w:ascii="Trebuchet MS"/>
          <w:color w:val="585858"/>
          <w:spacing w:val="-2"/>
          <w:sz w:val="16"/>
        </w:rPr>
        <w:t>Por</w:t>
      </w:r>
      <w:r>
        <w:rPr>
          <w:rFonts w:ascii="Trebuchet MS"/>
          <w:color w:val="585858"/>
          <w:spacing w:val="-16"/>
          <w:sz w:val="16"/>
        </w:rPr>
        <w:t xml:space="preserve"> </w:t>
      </w:r>
      <w:r>
        <w:rPr>
          <w:rFonts w:ascii="Trebuchet MS"/>
          <w:color w:val="585858"/>
          <w:spacing w:val="-2"/>
          <w:sz w:val="16"/>
        </w:rPr>
        <w:t>embarazo</w:t>
      </w:r>
    </w:p>
    <w:p w14:paraId="15F8D9CD" w14:textId="77777777" w:rsidR="000E52B0" w:rsidRDefault="000E52B0">
      <w:pPr>
        <w:rPr>
          <w:rFonts w:ascii="Trebuchet MS"/>
          <w:sz w:val="16"/>
        </w:rPr>
        <w:sectPr w:rsidR="000E52B0">
          <w:type w:val="continuous"/>
          <w:pgSz w:w="11910" w:h="16840"/>
          <w:pgMar w:top="1340" w:right="720" w:bottom="1280" w:left="720" w:header="0" w:footer="995" w:gutter="0"/>
          <w:cols w:num="5" w:space="720" w:equalWidth="0">
            <w:col w:w="2211" w:space="40"/>
            <w:col w:w="1425" w:space="39"/>
            <w:col w:w="1453" w:space="39"/>
            <w:col w:w="2773" w:space="40"/>
            <w:col w:w="2450"/>
          </w:cols>
        </w:sectPr>
      </w:pPr>
    </w:p>
    <w:p w14:paraId="06C83C15" w14:textId="77777777" w:rsidR="000E52B0" w:rsidRDefault="000E52B0">
      <w:pPr>
        <w:pStyle w:val="Textoindependiente"/>
        <w:spacing w:before="154"/>
        <w:ind w:left="0"/>
        <w:rPr>
          <w:rFonts w:ascii="Trebuchet MS"/>
          <w:sz w:val="18"/>
        </w:rPr>
      </w:pPr>
    </w:p>
    <w:p w14:paraId="4AB5A45B" w14:textId="77777777" w:rsidR="000E52B0" w:rsidRDefault="00F60D74">
      <w:pPr>
        <w:ind w:left="1"/>
        <w:jc w:val="center"/>
        <w:rPr>
          <w:i/>
          <w:sz w:val="18"/>
        </w:rPr>
      </w:pPr>
      <w:r>
        <w:rPr>
          <w:i/>
          <w:color w:val="454551"/>
          <w:sz w:val="18"/>
        </w:rPr>
        <w:t>Fuente</w:t>
      </w:r>
      <w:r>
        <w:rPr>
          <w:i/>
          <w:color w:val="454551"/>
          <w:spacing w:val="-4"/>
          <w:sz w:val="18"/>
        </w:rPr>
        <w:t xml:space="preserve"> </w:t>
      </w:r>
      <w:r>
        <w:rPr>
          <w:i/>
          <w:color w:val="454551"/>
          <w:sz w:val="18"/>
        </w:rPr>
        <w:t>17.</w:t>
      </w:r>
      <w:r>
        <w:rPr>
          <w:i/>
          <w:color w:val="454551"/>
          <w:spacing w:val="-4"/>
          <w:sz w:val="18"/>
        </w:rPr>
        <w:t xml:space="preserve"> </w:t>
      </w:r>
      <w:r>
        <w:rPr>
          <w:i/>
          <w:color w:val="454551"/>
          <w:sz w:val="18"/>
        </w:rPr>
        <w:t>Elaboración</w:t>
      </w:r>
      <w:r>
        <w:rPr>
          <w:i/>
          <w:color w:val="454551"/>
          <w:spacing w:val="-2"/>
          <w:sz w:val="18"/>
        </w:rPr>
        <w:t xml:space="preserve"> </w:t>
      </w:r>
      <w:r>
        <w:rPr>
          <w:i/>
          <w:color w:val="454551"/>
          <w:sz w:val="18"/>
        </w:rPr>
        <w:t>propia.</w:t>
      </w:r>
      <w:r>
        <w:rPr>
          <w:i/>
          <w:color w:val="454551"/>
          <w:spacing w:val="-3"/>
          <w:sz w:val="18"/>
        </w:rPr>
        <w:t xml:space="preserve"> </w:t>
      </w:r>
      <w:r>
        <w:rPr>
          <w:i/>
          <w:color w:val="454551"/>
          <w:sz w:val="18"/>
        </w:rPr>
        <w:t>Datos:</w:t>
      </w:r>
      <w:r>
        <w:rPr>
          <w:i/>
          <w:color w:val="454551"/>
          <w:spacing w:val="-4"/>
          <w:sz w:val="18"/>
        </w:rPr>
        <w:t xml:space="preserve"> </w:t>
      </w:r>
      <w:r>
        <w:rPr>
          <w:i/>
          <w:color w:val="454551"/>
          <w:sz w:val="18"/>
        </w:rPr>
        <w:t>ECV</w:t>
      </w:r>
      <w:r>
        <w:rPr>
          <w:i/>
          <w:color w:val="454551"/>
          <w:spacing w:val="-4"/>
          <w:sz w:val="18"/>
        </w:rPr>
        <w:t xml:space="preserve"> </w:t>
      </w:r>
      <w:r>
        <w:rPr>
          <w:i/>
          <w:color w:val="454551"/>
          <w:sz w:val="18"/>
        </w:rPr>
        <w:t>2022 -</w:t>
      </w:r>
      <w:r>
        <w:rPr>
          <w:i/>
          <w:color w:val="454551"/>
          <w:spacing w:val="-2"/>
          <w:sz w:val="18"/>
        </w:rPr>
        <w:t xml:space="preserve"> </w:t>
      </w:r>
      <w:r>
        <w:rPr>
          <w:i/>
          <w:color w:val="454551"/>
          <w:spacing w:val="-4"/>
          <w:sz w:val="18"/>
        </w:rPr>
        <w:t>DANE</w:t>
      </w:r>
    </w:p>
    <w:p w14:paraId="356F0FC6" w14:textId="77777777" w:rsidR="000E52B0" w:rsidRDefault="00F60D74">
      <w:pPr>
        <w:pStyle w:val="Textoindependiente"/>
        <w:spacing w:before="201"/>
        <w:ind w:right="725"/>
        <w:jc w:val="both"/>
      </w:pPr>
      <w:r>
        <w:t>Los</w:t>
      </w:r>
      <w:r>
        <w:rPr>
          <w:spacing w:val="-2"/>
        </w:rPr>
        <w:t xml:space="preserve"> </w:t>
      </w:r>
      <w:r>
        <w:t>roles</w:t>
      </w:r>
      <w:r>
        <w:rPr>
          <w:spacing w:val="-1"/>
        </w:rPr>
        <w:t xml:space="preserve"> </w:t>
      </w:r>
      <w:r>
        <w:t>de</w:t>
      </w:r>
      <w:r>
        <w:rPr>
          <w:spacing w:val="-1"/>
        </w:rPr>
        <w:t xml:space="preserve"> </w:t>
      </w:r>
      <w:r>
        <w:t>género</w:t>
      </w:r>
      <w:r>
        <w:rPr>
          <w:spacing w:val="-3"/>
        </w:rPr>
        <w:t xml:space="preserve"> </w:t>
      </w:r>
      <w:r>
        <w:t>que</w:t>
      </w:r>
      <w:r>
        <w:rPr>
          <w:spacing w:val="-1"/>
        </w:rPr>
        <w:t xml:space="preserve"> </w:t>
      </w:r>
      <w:r>
        <w:t>le</w:t>
      </w:r>
      <w:r>
        <w:rPr>
          <w:spacing w:val="-1"/>
        </w:rPr>
        <w:t xml:space="preserve"> </w:t>
      </w:r>
      <w:r>
        <w:t>asignan</w:t>
      </w:r>
      <w:r>
        <w:rPr>
          <w:spacing w:val="-3"/>
        </w:rPr>
        <w:t xml:space="preserve"> </w:t>
      </w:r>
      <w:r>
        <w:t>a los</w:t>
      </w:r>
      <w:r>
        <w:rPr>
          <w:spacing w:val="-2"/>
        </w:rPr>
        <w:t xml:space="preserve"> </w:t>
      </w:r>
      <w:r>
        <w:t>hombres</w:t>
      </w:r>
      <w:r>
        <w:rPr>
          <w:spacing w:val="-2"/>
        </w:rPr>
        <w:t xml:space="preserve"> </w:t>
      </w:r>
      <w:r>
        <w:t>desde</w:t>
      </w:r>
      <w:r>
        <w:rPr>
          <w:spacing w:val="-1"/>
        </w:rPr>
        <w:t xml:space="preserve"> </w:t>
      </w:r>
      <w:r>
        <w:t>temprana</w:t>
      </w:r>
      <w:r>
        <w:rPr>
          <w:spacing w:val="-2"/>
        </w:rPr>
        <w:t xml:space="preserve"> </w:t>
      </w:r>
      <w:r>
        <w:t>edad</w:t>
      </w:r>
      <w:r>
        <w:rPr>
          <w:spacing w:val="-3"/>
        </w:rPr>
        <w:t xml:space="preserve"> </w:t>
      </w:r>
      <w:r>
        <w:t>el rol de proveedor y a las mujeres, el rol de cuidadora, siguen siendo las principales causas para abandonar los ciclos educativos.</w:t>
      </w:r>
    </w:p>
    <w:p w14:paraId="00BCFB2C" w14:textId="77777777" w:rsidR="000E52B0" w:rsidRDefault="00F60D74">
      <w:pPr>
        <w:pStyle w:val="Textoindependiente"/>
        <w:spacing w:before="160"/>
        <w:ind w:right="717"/>
        <w:jc w:val="both"/>
      </w:pPr>
      <w:r>
        <w:t>En la educación superior también hay diferencias interesantes por género. Las</w:t>
      </w:r>
      <w:r>
        <w:rPr>
          <w:spacing w:val="20"/>
        </w:rPr>
        <w:t xml:space="preserve"> </w:t>
      </w:r>
      <w:r>
        <w:t>mujeres</w:t>
      </w:r>
      <w:r>
        <w:rPr>
          <w:spacing w:val="22"/>
        </w:rPr>
        <w:t xml:space="preserve"> </w:t>
      </w:r>
      <w:r>
        <w:t>tienen</w:t>
      </w:r>
      <w:r>
        <w:rPr>
          <w:spacing w:val="22"/>
        </w:rPr>
        <w:t xml:space="preserve"> </w:t>
      </w:r>
      <w:r>
        <w:t>un</w:t>
      </w:r>
      <w:r>
        <w:rPr>
          <w:spacing w:val="23"/>
        </w:rPr>
        <w:t xml:space="preserve"> </w:t>
      </w:r>
      <w:r>
        <w:t>nivel</w:t>
      </w:r>
      <w:r>
        <w:rPr>
          <w:spacing w:val="21"/>
        </w:rPr>
        <w:t xml:space="preserve"> </w:t>
      </w:r>
      <w:r>
        <w:t>educativo</w:t>
      </w:r>
      <w:r>
        <w:rPr>
          <w:spacing w:val="22"/>
        </w:rPr>
        <w:t xml:space="preserve"> </w:t>
      </w:r>
      <w:r>
        <w:t>más</w:t>
      </w:r>
      <w:r>
        <w:rPr>
          <w:spacing w:val="23"/>
        </w:rPr>
        <w:t xml:space="preserve"> </w:t>
      </w:r>
      <w:r>
        <w:t>alto,</w:t>
      </w:r>
      <w:r>
        <w:rPr>
          <w:spacing w:val="21"/>
        </w:rPr>
        <w:t xml:space="preserve"> </w:t>
      </w:r>
      <w:r>
        <w:t>hay</w:t>
      </w:r>
      <w:r>
        <w:rPr>
          <w:spacing w:val="21"/>
        </w:rPr>
        <w:t xml:space="preserve"> </w:t>
      </w:r>
      <w:r>
        <w:t>una</w:t>
      </w:r>
      <w:r>
        <w:rPr>
          <w:spacing w:val="24"/>
        </w:rPr>
        <w:t xml:space="preserve"> </w:t>
      </w:r>
      <w:r>
        <w:t>diferencia</w:t>
      </w:r>
      <w:r>
        <w:rPr>
          <w:spacing w:val="24"/>
        </w:rPr>
        <w:t xml:space="preserve"> </w:t>
      </w:r>
      <w:r>
        <w:t>de</w:t>
      </w:r>
      <w:r>
        <w:rPr>
          <w:spacing w:val="23"/>
        </w:rPr>
        <w:t xml:space="preserve"> </w:t>
      </w:r>
      <w:r>
        <w:rPr>
          <w:spacing w:val="-10"/>
        </w:rPr>
        <w:t>6</w:t>
      </w:r>
    </w:p>
    <w:p w14:paraId="6CFC6B19" w14:textId="77777777" w:rsidR="000E52B0" w:rsidRDefault="00F60D74">
      <w:pPr>
        <w:pStyle w:val="Textoindependiente"/>
        <w:ind w:right="719"/>
        <w:jc w:val="both"/>
      </w:pPr>
      <w:r>
        <w:t>p.p. en educación técnica o tecnológica (17%), mientras que en los hombres aumenta el porcentaje de educación primaria, 3,5 p.p. más que en</w:t>
      </w:r>
      <w:r>
        <w:rPr>
          <w:spacing w:val="-8"/>
        </w:rPr>
        <w:t xml:space="preserve"> </w:t>
      </w:r>
      <w:r>
        <w:t>las</w:t>
      </w:r>
      <w:r>
        <w:rPr>
          <w:spacing w:val="-5"/>
        </w:rPr>
        <w:t xml:space="preserve"> </w:t>
      </w:r>
      <w:r>
        <w:t>mujeres,</w:t>
      </w:r>
      <w:r>
        <w:rPr>
          <w:spacing w:val="-8"/>
        </w:rPr>
        <w:t xml:space="preserve"> </w:t>
      </w:r>
      <w:r>
        <w:t>lo</w:t>
      </w:r>
      <w:r>
        <w:rPr>
          <w:spacing w:val="-6"/>
        </w:rPr>
        <w:t xml:space="preserve"> </w:t>
      </w:r>
      <w:r>
        <w:t>que</w:t>
      </w:r>
      <w:r>
        <w:rPr>
          <w:spacing w:val="-6"/>
        </w:rPr>
        <w:t xml:space="preserve"> </w:t>
      </w:r>
      <w:r>
        <w:t>ocurre</w:t>
      </w:r>
      <w:r>
        <w:rPr>
          <w:spacing w:val="-7"/>
        </w:rPr>
        <w:t xml:space="preserve"> </w:t>
      </w:r>
      <w:r>
        <w:t>también</w:t>
      </w:r>
      <w:r>
        <w:rPr>
          <w:spacing w:val="-5"/>
        </w:rPr>
        <w:t xml:space="preserve"> </w:t>
      </w:r>
      <w:r>
        <w:t>en</w:t>
      </w:r>
      <w:r>
        <w:rPr>
          <w:spacing w:val="-7"/>
        </w:rPr>
        <w:t xml:space="preserve"> </w:t>
      </w:r>
      <w:r>
        <w:t>educación</w:t>
      </w:r>
      <w:r>
        <w:rPr>
          <w:spacing w:val="-5"/>
        </w:rPr>
        <w:t xml:space="preserve"> </w:t>
      </w:r>
      <w:r>
        <w:t>básica</w:t>
      </w:r>
      <w:r>
        <w:rPr>
          <w:spacing w:val="-2"/>
        </w:rPr>
        <w:t xml:space="preserve"> </w:t>
      </w:r>
      <w:r>
        <w:t>secundaria,</w:t>
      </w:r>
      <w:r>
        <w:rPr>
          <w:spacing w:val="-6"/>
        </w:rPr>
        <w:t xml:space="preserve"> </w:t>
      </w:r>
      <w:r>
        <w:rPr>
          <w:spacing w:val="-5"/>
        </w:rPr>
        <w:t>3,4</w:t>
      </w:r>
    </w:p>
    <w:p w14:paraId="2AA58D0E" w14:textId="77777777" w:rsidR="000E52B0" w:rsidRDefault="00F60D74">
      <w:pPr>
        <w:pStyle w:val="Textoindependiente"/>
        <w:spacing w:before="1"/>
        <w:ind w:right="719"/>
        <w:jc w:val="both"/>
      </w:pPr>
      <w:r>
        <w:t>p.p. más. Sin embargo, con más frecuencia las mujeres acceden a programas relacionados con el cuidado de otras personas, y los hombres con</w:t>
      </w:r>
      <w:r>
        <w:rPr>
          <w:spacing w:val="48"/>
          <w:w w:val="150"/>
        </w:rPr>
        <w:t xml:space="preserve"> </w:t>
      </w:r>
      <w:r>
        <w:t>más</w:t>
      </w:r>
      <w:r>
        <w:rPr>
          <w:spacing w:val="49"/>
          <w:w w:val="150"/>
        </w:rPr>
        <w:t xml:space="preserve"> </w:t>
      </w:r>
      <w:r>
        <w:t>frecuencia</w:t>
      </w:r>
      <w:r>
        <w:rPr>
          <w:spacing w:val="48"/>
          <w:w w:val="150"/>
        </w:rPr>
        <w:t xml:space="preserve"> </w:t>
      </w:r>
      <w:r>
        <w:t>en</w:t>
      </w:r>
      <w:r>
        <w:rPr>
          <w:spacing w:val="48"/>
          <w:w w:val="150"/>
        </w:rPr>
        <w:t xml:space="preserve"> </w:t>
      </w:r>
      <w:r>
        <w:t>programas</w:t>
      </w:r>
      <w:r>
        <w:rPr>
          <w:spacing w:val="47"/>
          <w:w w:val="150"/>
        </w:rPr>
        <w:t xml:space="preserve"> </w:t>
      </w:r>
      <w:r>
        <w:t>relacionados</w:t>
      </w:r>
      <w:r>
        <w:rPr>
          <w:spacing w:val="49"/>
          <w:w w:val="150"/>
        </w:rPr>
        <w:t xml:space="preserve"> </w:t>
      </w:r>
      <w:r>
        <w:t>con</w:t>
      </w:r>
      <w:r>
        <w:rPr>
          <w:spacing w:val="51"/>
          <w:w w:val="150"/>
        </w:rPr>
        <w:t xml:space="preserve"> </w:t>
      </w:r>
      <w:r>
        <w:t>la</w:t>
      </w:r>
      <w:r>
        <w:rPr>
          <w:spacing w:val="50"/>
          <w:w w:val="150"/>
        </w:rPr>
        <w:t xml:space="preserve"> </w:t>
      </w:r>
      <w:r>
        <w:t>tecnología,</w:t>
      </w:r>
      <w:r>
        <w:rPr>
          <w:spacing w:val="48"/>
          <w:w w:val="150"/>
        </w:rPr>
        <w:t xml:space="preserve"> </w:t>
      </w:r>
      <w:r>
        <w:rPr>
          <w:spacing w:val="-5"/>
        </w:rPr>
        <w:t>la</w:t>
      </w:r>
    </w:p>
    <w:p w14:paraId="2C21118D" w14:textId="77777777" w:rsidR="000E52B0" w:rsidRDefault="000E52B0">
      <w:pPr>
        <w:pStyle w:val="Textoindependiente"/>
        <w:jc w:val="both"/>
        <w:sectPr w:rsidR="000E52B0">
          <w:type w:val="continuous"/>
          <w:pgSz w:w="11910" w:h="16840"/>
          <w:pgMar w:top="1340" w:right="720" w:bottom="1280" w:left="720" w:header="0" w:footer="995" w:gutter="0"/>
          <w:cols w:space="720"/>
        </w:sectPr>
      </w:pPr>
    </w:p>
    <w:p w14:paraId="0BAB224C" w14:textId="77777777" w:rsidR="000E52B0" w:rsidRDefault="00F60D74">
      <w:pPr>
        <w:pStyle w:val="Textoindependiente"/>
        <w:spacing w:before="83"/>
        <w:ind w:right="716"/>
        <w:jc w:val="both"/>
      </w:pPr>
      <w:r>
        <w:lastRenderedPageBreak/>
        <w:t>innovación y la ciencia</w:t>
      </w:r>
      <w:hyperlink w:anchor="_bookmark43" w:history="1">
        <w:r w:rsidR="000E52B0">
          <w:rPr>
            <w:position w:val="8"/>
            <w:sz w:val="16"/>
          </w:rPr>
          <w:t>38</w:t>
        </w:r>
      </w:hyperlink>
      <w:r>
        <w:t>. Sin embargo, pese a que las mujeres tienen mayor participación en el campo educativo, el rezago en el campo laboral y de ingresos es desproporcional con respecto a los hombres, como veremos más adelante en el Ítem de mercado laboral y desempleo</w:t>
      </w:r>
      <w:hyperlink w:anchor="_bookmark44" w:history="1">
        <w:r w:rsidR="000E52B0">
          <w:rPr>
            <w:position w:val="8"/>
            <w:sz w:val="16"/>
          </w:rPr>
          <w:t>39</w:t>
        </w:r>
      </w:hyperlink>
      <w:r>
        <w:t>.</w:t>
      </w:r>
    </w:p>
    <w:p w14:paraId="3F4F6971" w14:textId="77777777" w:rsidR="000E52B0" w:rsidRDefault="00F60D74">
      <w:pPr>
        <w:pStyle w:val="Textoindependiente"/>
        <w:spacing w:before="158"/>
        <w:ind w:right="715"/>
        <w:jc w:val="both"/>
      </w:pPr>
      <w:r>
        <w:t>Según el DANE, en el trimestre enero-marzo de 2024, la tasa de participación (TGP)</w:t>
      </w:r>
      <w:hyperlink w:anchor="_bookmark45" w:history="1">
        <w:r w:rsidR="000E52B0">
          <w:rPr>
            <w:position w:val="8"/>
            <w:sz w:val="16"/>
          </w:rPr>
          <w:t>40</w:t>
        </w:r>
      </w:hyperlink>
      <w:r>
        <w:rPr>
          <w:spacing w:val="32"/>
          <w:position w:val="8"/>
          <w:sz w:val="16"/>
        </w:rPr>
        <w:t xml:space="preserve"> </w:t>
      </w:r>
      <w:r>
        <w:t>de las juventudes fue del 54,9%, mientras que la de desocupación (TD) fue del 20%, uno de cada cinco personas jóvenes participantes en el mercado laboral está desempleado. Esto sugiere la existencia de barreras significativas que dificultan que las juventudes accedan a un empleo digno</w:t>
      </w:r>
      <w:hyperlink w:anchor="_bookmark46" w:history="1">
        <w:r w:rsidR="000E52B0">
          <w:rPr>
            <w:position w:val="8"/>
            <w:sz w:val="16"/>
          </w:rPr>
          <w:t>41</w:t>
        </w:r>
      </w:hyperlink>
      <w:r>
        <w:t>. Respecto al mismo trimestre del 2023 se tiene un aumento de la tasa de desocupación (TD)</w:t>
      </w:r>
      <w:hyperlink w:anchor="_bookmark47" w:history="1">
        <w:r w:rsidR="000E52B0">
          <w:rPr>
            <w:position w:val="8"/>
            <w:sz w:val="16"/>
          </w:rPr>
          <w:t>42</w:t>
        </w:r>
      </w:hyperlink>
      <w:r>
        <w:rPr>
          <w:spacing w:val="40"/>
          <w:position w:val="8"/>
          <w:sz w:val="16"/>
        </w:rPr>
        <w:t xml:space="preserve"> </w:t>
      </w:r>
      <w:r>
        <w:t xml:space="preserve">de un punto </w:t>
      </w:r>
      <w:r>
        <w:rPr>
          <w:spacing w:val="-2"/>
        </w:rPr>
        <w:t>porcentual.</w:t>
      </w:r>
    </w:p>
    <w:p w14:paraId="648CF7DA" w14:textId="77777777" w:rsidR="000E52B0" w:rsidRDefault="00F60D74">
      <w:pPr>
        <w:pStyle w:val="Textoindependiente"/>
        <w:spacing w:before="161"/>
        <w:ind w:right="717"/>
        <w:jc w:val="both"/>
      </w:pPr>
      <w:r>
        <w:t>En</w:t>
      </w:r>
      <w:r>
        <w:rPr>
          <w:spacing w:val="-5"/>
        </w:rPr>
        <w:t xml:space="preserve"> </w:t>
      </w:r>
      <w:r>
        <w:t>cuanto</w:t>
      </w:r>
      <w:r>
        <w:rPr>
          <w:spacing w:val="-3"/>
        </w:rPr>
        <w:t xml:space="preserve"> </w:t>
      </w:r>
      <w:r>
        <w:t>a</w:t>
      </w:r>
      <w:r>
        <w:rPr>
          <w:spacing w:val="-4"/>
        </w:rPr>
        <w:t xml:space="preserve"> </w:t>
      </w:r>
      <w:r>
        <w:t>la</w:t>
      </w:r>
      <w:r>
        <w:rPr>
          <w:spacing w:val="-2"/>
        </w:rPr>
        <w:t xml:space="preserve"> </w:t>
      </w:r>
      <w:r>
        <w:t>tasa</w:t>
      </w:r>
      <w:r>
        <w:rPr>
          <w:spacing w:val="-2"/>
        </w:rPr>
        <w:t xml:space="preserve"> </w:t>
      </w:r>
      <w:r>
        <w:t>de</w:t>
      </w:r>
      <w:r>
        <w:rPr>
          <w:spacing w:val="-3"/>
        </w:rPr>
        <w:t xml:space="preserve"> </w:t>
      </w:r>
      <w:r>
        <w:t>ocupación</w:t>
      </w:r>
      <w:r>
        <w:rPr>
          <w:spacing w:val="-4"/>
        </w:rPr>
        <w:t xml:space="preserve"> </w:t>
      </w:r>
      <w:r>
        <w:t>(TO)</w:t>
      </w:r>
      <w:hyperlink w:anchor="_bookmark48" w:history="1">
        <w:r w:rsidR="000E52B0">
          <w:rPr>
            <w:position w:val="8"/>
            <w:sz w:val="16"/>
          </w:rPr>
          <w:t>43</w:t>
        </w:r>
      </w:hyperlink>
      <w:r>
        <w:rPr>
          <w:spacing w:val="25"/>
          <w:position w:val="8"/>
          <w:sz w:val="16"/>
        </w:rPr>
        <w:t xml:space="preserve"> </w:t>
      </w:r>
      <w:r>
        <w:t>para</w:t>
      </w:r>
      <w:r>
        <w:rPr>
          <w:spacing w:val="-3"/>
        </w:rPr>
        <w:t xml:space="preserve"> </w:t>
      </w:r>
      <w:r>
        <w:t>el</w:t>
      </w:r>
      <w:r>
        <w:rPr>
          <w:spacing w:val="-5"/>
        </w:rPr>
        <w:t xml:space="preserve"> </w:t>
      </w:r>
      <w:r>
        <w:t>total</w:t>
      </w:r>
      <w:r>
        <w:rPr>
          <w:spacing w:val="-5"/>
        </w:rPr>
        <w:t xml:space="preserve"> </w:t>
      </w:r>
      <w:r>
        <w:t>de</w:t>
      </w:r>
      <w:r>
        <w:rPr>
          <w:spacing w:val="-3"/>
        </w:rPr>
        <w:t xml:space="preserve"> </w:t>
      </w:r>
      <w:r>
        <w:t>personas</w:t>
      </w:r>
      <w:r>
        <w:rPr>
          <w:spacing w:val="-4"/>
        </w:rPr>
        <w:t xml:space="preserve"> </w:t>
      </w:r>
      <w:r>
        <w:t>entre</w:t>
      </w:r>
      <w:r>
        <w:rPr>
          <w:spacing w:val="-2"/>
        </w:rPr>
        <w:t xml:space="preserve"> </w:t>
      </w:r>
      <w:r>
        <w:t xml:space="preserve">15 y 28 años fue 43,9%, lo cual representa una disminución de 1,4 p.p. comparada con el trimestre enero - marzo de 2023 (45,3%). Estas cifras muestran una brecha alrededor de los 10 p.p., en la población en edad de trabajar a nivel nacional la TGP es de 63,7%, la TO de 56,1% y la TD de </w:t>
      </w:r>
      <w:r>
        <w:rPr>
          <w:spacing w:val="-2"/>
        </w:rPr>
        <w:t>11,9%.</w:t>
      </w:r>
    </w:p>
    <w:p w14:paraId="0F0D644E" w14:textId="77777777" w:rsidR="000E52B0" w:rsidRDefault="00F60D74">
      <w:pPr>
        <w:pStyle w:val="Textoindependiente"/>
        <w:spacing w:before="160"/>
        <w:ind w:right="721"/>
        <w:jc w:val="both"/>
      </w:pPr>
      <w:r>
        <w:t>Es</w:t>
      </w:r>
      <w:r>
        <w:rPr>
          <w:spacing w:val="-7"/>
        </w:rPr>
        <w:t xml:space="preserve"> </w:t>
      </w:r>
      <w:r>
        <w:t>necesario</w:t>
      </w:r>
      <w:r>
        <w:rPr>
          <w:spacing w:val="-6"/>
        </w:rPr>
        <w:t xml:space="preserve"> </w:t>
      </w:r>
      <w:r>
        <w:t>resaltar</w:t>
      </w:r>
      <w:r>
        <w:rPr>
          <w:spacing w:val="-5"/>
        </w:rPr>
        <w:t xml:space="preserve"> </w:t>
      </w:r>
      <w:r>
        <w:t>que</w:t>
      </w:r>
      <w:r>
        <w:rPr>
          <w:spacing w:val="-5"/>
        </w:rPr>
        <w:t xml:space="preserve"> </w:t>
      </w:r>
      <w:r>
        <w:t>la</w:t>
      </w:r>
      <w:r>
        <w:rPr>
          <w:spacing w:val="-5"/>
        </w:rPr>
        <w:t xml:space="preserve"> </w:t>
      </w:r>
      <w:r>
        <w:t>rama</w:t>
      </w:r>
      <w:r>
        <w:rPr>
          <w:spacing w:val="-4"/>
        </w:rPr>
        <w:t xml:space="preserve"> </w:t>
      </w:r>
      <w:r>
        <w:t>de</w:t>
      </w:r>
      <w:r>
        <w:rPr>
          <w:spacing w:val="-5"/>
        </w:rPr>
        <w:t xml:space="preserve"> </w:t>
      </w:r>
      <w:r>
        <w:t>actividad</w:t>
      </w:r>
      <w:r>
        <w:rPr>
          <w:spacing w:val="-7"/>
        </w:rPr>
        <w:t xml:space="preserve"> </w:t>
      </w:r>
      <w:r>
        <w:t>económica</w:t>
      </w:r>
      <w:r>
        <w:rPr>
          <w:spacing w:val="-6"/>
        </w:rPr>
        <w:t xml:space="preserve"> </w:t>
      </w:r>
      <w:r>
        <w:t>que</w:t>
      </w:r>
      <w:r>
        <w:rPr>
          <w:spacing w:val="-5"/>
        </w:rPr>
        <w:t xml:space="preserve"> </w:t>
      </w:r>
      <w:r>
        <w:t>concentró</w:t>
      </w:r>
      <w:r>
        <w:rPr>
          <w:spacing w:val="-5"/>
        </w:rPr>
        <w:t xml:space="preserve"> </w:t>
      </w:r>
      <w:r>
        <w:t>el mayor número de juventudes ocupadas fue Comercio y reparación de vehículos (19,1%), seguida de Agricultura, ganadería, caza, silvicultura y pesca (14,8%). Llama la atención que las posiciones ocupacionales donde las juventudes en Colombia tuvieron mayor participación de población ocupada fueron en el rol de obrero, empleado particular y trabajador por cuenta</w:t>
      </w:r>
      <w:r>
        <w:rPr>
          <w:spacing w:val="-19"/>
        </w:rPr>
        <w:t xml:space="preserve"> </w:t>
      </w:r>
      <w:r>
        <w:t>propia,</w:t>
      </w:r>
      <w:r>
        <w:rPr>
          <w:spacing w:val="-20"/>
        </w:rPr>
        <w:t xml:space="preserve"> </w:t>
      </w:r>
      <w:r>
        <w:t>siendo</w:t>
      </w:r>
      <w:r>
        <w:rPr>
          <w:spacing w:val="-21"/>
        </w:rPr>
        <w:t xml:space="preserve"> </w:t>
      </w:r>
      <w:r>
        <w:t>esta</w:t>
      </w:r>
      <w:r>
        <w:rPr>
          <w:spacing w:val="-22"/>
        </w:rPr>
        <w:t xml:space="preserve"> </w:t>
      </w:r>
      <w:r>
        <w:t>última</w:t>
      </w:r>
      <w:r>
        <w:rPr>
          <w:spacing w:val="-18"/>
        </w:rPr>
        <w:t xml:space="preserve"> </w:t>
      </w:r>
      <w:r>
        <w:t>la</w:t>
      </w:r>
      <w:r>
        <w:rPr>
          <w:spacing w:val="-20"/>
        </w:rPr>
        <w:t xml:space="preserve"> </w:t>
      </w:r>
      <w:r>
        <w:t>que</w:t>
      </w:r>
      <w:r>
        <w:rPr>
          <w:spacing w:val="-18"/>
        </w:rPr>
        <w:t xml:space="preserve"> </w:t>
      </w:r>
      <w:r>
        <w:t>aportó</w:t>
      </w:r>
      <w:r>
        <w:rPr>
          <w:spacing w:val="-21"/>
        </w:rPr>
        <w:t xml:space="preserve"> </w:t>
      </w:r>
      <w:r>
        <w:t>de</w:t>
      </w:r>
      <w:r>
        <w:rPr>
          <w:spacing w:val="-21"/>
        </w:rPr>
        <w:t xml:space="preserve"> </w:t>
      </w:r>
      <w:r>
        <w:t>manera</w:t>
      </w:r>
      <w:r>
        <w:rPr>
          <w:spacing w:val="-19"/>
        </w:rPr>
        <w:t xml:space="preserve"> </w:t>
      </w:r>
      <w:r>
        <w:t>más</w:t>
      </w:r>
      <w:r>
        <w:rPr>
          <w:spacing w:val="-22"/>
        </w:rPr>
        <w:t xml:space="preserve"> </w:t>
      </w:r>
      <w:r>
        <w:t>significativa a la disminución de la ocupación.</w:t>
      </w:r>
    </w:p>
    <w:p w14:paraId="0FCDAC5A" w14:textId="77777777" w:rsidR="000E52B0" w:rsidRDefault="00F60D74">
      <w:pPr>
        <w:pStyle w:val="Textoindependiente"/>
        <w:spacing w:before="161"/>
        <w:ind w:right="717"/>
        <w:jc w:val="both"/>
      </w:pPr>
      <w:r>
        <w:t>Al analizar históricamente la tasa de desocupación en personas jóvenes, tomando el trimestre móvil de enero a marzo, el valor más alto en los últimos</w:t>
      </w:r>
      <w:r>
        <w:rPr>
          <w:spacing w:val="-11"/>
        </w:rPr>
        <w:t xml:space="preserve"> </w:t>
      </w:r>
      <w:r>
        <w:t>10</w:t>
      </w:r>
      <w:r>
        <w:rPr>
          <w:spacing w:val="-10"/>
        </w:rPr>
        <w:t xml:space="preserve"> </w:t>
      </w:r>
      <w:r>
        <w:t>años,</w:t>
      </w:r>
      <w:r>
        <w:rPr>
          <w:spacing w:val="-12"/>
        </w:rPr>
        <w:t xml:space="preserve"> </w:t>
      </w:r>
      <w:r>
        <w:t>excluyendo</w:t>
      </w:r>
      <w:r>
        <w:rPr>
          <w:spacing w:val="-11"/>
        </w:rPr>
        <w:t xml:space="preserve"> </w:t>
      </w:r>
      <w:r>
        <w:t>claro</w:t>
      </w:r>
      <w:r>
        <w:rPr>
          <w:spacing w:val="-10"/>
        </w:rPr>
        <w:t xml:space="preserve"> </w:t>
      </w:r>
      <w:r>
        <w:t>el</w:t>
      </w:r>
      <w:r>
        <w:rPr>
          <w:spacing w:val="-12"/>
        </w:rPr>
        <w:t xml:space="preserve"> </w:t>
      </w:r>
      <w:r>
        <w:t>pico</w:t>
      </w:r>
      <w:r>
        <w:rPr>
          <w:spacing w:val="-11"/>
        </w:rPr>
        <w:t xml:space="preserve"> </w:t>
      </w:r>
      <w:r>
        <w:t>de</w:t>
      </w:r>
      <w:r>
        <w:rPr>
          <w:spacing w:val="-10"/>
        </w:rPr>
        <w:t xml:space="preserve"> </w:t>
      </w:r>
      <w:r>
        <w:t>desempleo</w:t>
      </w:r>
      <w:r>
        <w:rPr>
          <w:spacing w:val="-10"/>
        </w:rPr>
        <w:t xml:space="preserve"> </w:t>
      </w:r>
      <w:r>
        <w:t>de</w:t>
      </w:r>
      <w:r>
        <w:rPr>
          <w:spacing w:val="-12"/>
        </w:rPr>
        <w:t xml:space="preserve"> </w:t>
      </w:r>
      <w:r>
        <w:t>la</w:t>
      </w:r>
      <w:r>
        <w:rPr>
          <w:spacing w:val="-12"/>
        </w:rPr>
        <w:t xml:space="preserve"> </w:t>
      </w:r>
      <w:r>
        <w:t>pandemia</w:t>
      </w:r>
      <w:r>
        <w:rPr>
          <w:spacing w:val="-12"/>
        </w:rPr>
        <w:t xml:space="preserve"> </w:t>
      </w:r>
      <w:r>
        <w:t>del COVID-19 y el efecto rezagado de 2021, estuvo en 2020 con un 21,5%, justo</w:t>
      </w:r>
      <w:r>
        <w:rPr>
          <w:spacing w:val="-6"/>
        </w:rPr>
        <w:t xml:space="preserve"> </w:t>
      </w:r>
      <w:r>
        <w:t>al</w:t>
      </w:r>
      <w:r>
        <w:rPr>
          <w:spacing w:val="-8"/>
        </w:rPr>
        <w:t xml:space="preserve"> </w:t>
      </w:r>
      <w:r>
        <w:t>declarar</w:t>
      </w:r>
      <w:r>
        <w:rPr>
          <w:spacing w:val="-5"/>
        </w:rPr>
        <w:t xml:space="preserve"> </w:t>
      </w:r>
      <w:r>
        <w:t>la</w:t>
      </w:r>
      <w:r>
        <w:rPr>
          <w:spacing w:val="-7"/>
        </w:rPr>
        <w:t xml:space="preserve"> </w:t>
      </w:r>
      <w:r>
        <w:t>cuarentena</w:t>
      </w:r>
      <w:r>
        <w:rPr>
          <w:spacing w:val="-6"/>
        </w:rPr>
        <w:t xml:space="preserve"> </w:t>
      </w:r>
      <w:r>
        <w:t>en</w:t>
      </w:r>
      <w:r>
        <w:rPr>
          <w:spacing w:val="-7"/>
        </w:rPr>
        <w:t xml:space="preserve"> </w:t>
      </w:r>
      <w:r>
        <w:t>el</w:t>
      </w:r>
      <w:r>
        <w:rPr>
          <w:spacing w:val="-7"/>
        </w:rPr>
        <w:t xml:space="preserve"> </w:t>
      </w:r>
      <w:r>
        <w:t>país.</w:t>
      </w:r>
      <w:r>
        <w:rPr>
          <w:spacing w:val="-7"/>
        </w:rPr>
        <w:t xml:space="preserve"> </w:t>
      </w:r>
      <w:r>
        <w:t>Para</w:t>
      </w:r>
      <w:r>
        <w:rPr>
          <w:spacing w:val="-6"/>
        </w:rPr>
        <w:t xml:space="preserve"> </w:t>
      </w:r>
      <w:r>
        <w:t>el</w:t>
      </w:r>
      <w:r>
        <w:rPr>
          <w:spacing w:val="-7"/>
        </w:rPr>
        <w:t xml:space="preserve"> </w:t>
      </w:r>
      <w:r>
        <w:t>primer</w:t>
      </w:r>
      <w:r>
        <w:rPr>
          <w:spacing w:val="-5"/>
        </w:rPr>
        <w:t xml:space="preserve"> </w:t>
      </w:r>
      <w:r>
        <w:t>trimestre</w:t>
      </w:r>
      <w:r>
        <w:rPr>
          <w:spacing w:val="-5"/>
        </w:rPr>
        <w:t xml:space="preserve"> </w:t>
      </w:r>
      <w:r>
        <w:t>de</w:t>
      </w:r>
      <w:r>
        <w:rPr>
          <w:spacing w:val="-5"/>
        </w:rPr>
        <w:t xml:space="preserve"> </w:t>
      </w:r>
      <w:r>
        <w:t>2024 la</w:t>
      </w:r>
      <w:r>
        <w:rPr>
          <w:spacing w:val="-14"/>
        </w:rPr>
        <w:t xml:space="preserve"> </w:t>
      </w:r>
      <w:r>
        <w:t>tasa</w:t>
      </w:r>
      <w:r>
        <w:rPr>
          <w:spacing w:val="-14"/>
        </w:rPr>
        <w:t xml:space="preserve"> </w:t>
      </w:r>
      <w:r>
        <w:t>de</w:t>
      </w:r>
      <w:r>
        <w:rPr>
          <w:spacing w:val="-10"/>
        </w:rPr>
        <w:t xml:space="preserve"> </w:t>
      </w:r>
      <w:r>
        <w:t>desocupación</w:t>
      </w:r>
      <w:r>
        <w:rPr>
          <w:spacing w:val="-14"/>
        </w:rPr>
        <w:t xml:space="preserve"> </w:t>
      </w:r>
      <w:r>
        <w:t>aumenta</w:t>
      </w:r>
      <w:r>
        <w:rPr>
          <w:spacing w:val="-11"/>
        </w:rPr>
        <w:t xml:space="preserve"> </w:t>
      </w:r>
      <w:r>
        <w:t>un</w:t>
      </w:r>
      <w:r>
        <w:rPr>
          <w:spacing w:val="-12"/>
        </w:rPr>
        <w:t xml:space="preserve"> </w:t>
      </w:r>
      <w:r>
        <w:t>punto</w:t>
      </w:r>
      <w:r>
        <w:rPr>
          <w:spacing w:val="-13"/>
        </w:rPr>
        <w:t xml:space="preserve"> </w:t>
      </w:r>
      <w:r>
        <w:t>porcentual</w:t>
      </w:r>
      <w:r>
        <w:rPr>
          <w:spacing w:val="-15"/>
        </w:rPr>
        <w:t xml:space="preserve"> </w:t>
      </w:r>
      <w:r>
        <w:t>entre</w:t>
      </w:r>
      <w:r>
        <w:rPr>
          <w:spacing w:val="-10"/>
        </w:rPr>
        <w:t xml:space="preserve"> </w:t>
      </w:r>
      <w:r>
        <w:t>las</w:t>
      </w:r>
      <w:r>
        <w:rPr>
          <w:spacing w:val="-11"/>
        </w:rPr>
        <w:t xml:space="preserve"> </w:t>
      </w:r>
      <w:r>
        <w:t>juventudes y</w:t>
      </w:r>
      <w:r>
        <w:rPr>
          <w:spacing w:val="-1"/>
        </w:rPr>
        <w:t xml:space="preserve"> </w:t>
      </w:r>
      <w:r>
        <w:t>la brecha de desocupación juvenil</w:t>
      </w:r>
      <w:r>
        <w:rPr>
          <w:spacing w:val="-2"/>
        </w:rPr>
        <w:t xml:space="preserve"> </w:t>
      </w:r>
      <w:r>
        <w:t>y total nacional</w:t>
      </w:r>
      <w:r>
        <w:rPr>
          <w:spacing w:val="-2"/>
        </w:rPr>
        <w:t xml:space="preserve"> </w:t>
      </w:r>
      <w:r>
        <w:t>se mantiene en 8 p.p. de diferencia, como muestra la ilustración 10.</w:t>
      </w:r>
    </w:p>
    <w:p w14:paraId="6059AC05" w14:textId="77777777" w:rsidR="000E52B0" w:rsidRDefault="000E52B0">
      <w:pPr>
        <w:pStyle w:val="Textoindependiente"/>
        <w:ind w:left="0"/>
        <w:rPr>
          <w:sz w:val="20"/>
        </w:rPr>
      </w:pPr>
    </w:p>
    <w:p w14:paraId="6B2925EA" w14:textId="77777777" w:rsidR="000E52B0" w:rsidRDefault="00F60D74">
      <w:pPr>
        <w:pStyle w:val="Textoindependiente"/>
        <w:spacing w:before="88"/>
        <w:ind w:left="0"/>
        <w:rPr>
          <w:sz w:val="20"/>
        </w:rPr>
      </w:pPr>
      <w:r>
        <w:rPr>
          <w:noProof/>
          <w:sz w:val="20"/>
        </w:rPr>
        <mc:AlternateContent>
          <mc:Choice Requires="wps">
            <w:drawing>
              <wp:anchor distT="0" distB="0" distL="0" distR="0" simplePos="0" relativeHeight="487636992" behindDoc="1" locked="0" layoutInCell="1" allowOverlap="1" wp14:anchorId="1AF78E5B" wp14:editId="261CF767">
                <wp:simplePos x="0" y="0"/>
                <wp:positionH relativeFrom="page">
                  <wp:posOffset>914704</wp:posOffset>
                </wp:positionH>
                <wp:positionV relativeFrom="paragraph">
                  <wp:posOffset>225821</wp:posOffset>
                </wp:positionV>
                <wp:extent cx="1829435" cy="7620"/>
                <wp:effectExtent l="0" t="0" r="0" b="0"/>
                <wp:wrapTopAndBottom/>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AC7105" id="Graphic 278" o:spid="_x0000_s1026" style="position:absolute;margin-left:1in;margin-top:17.8pt;width:144.05pt;height:.6pt;z-index:-1567948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" path="m1829054,l,,,7619r1829054,l1829054,xe" fillcolor="black" stroked="f">
                <v:path arrowok="t"/>
                <w10:wrap type="topAndBottom" anchorx="page"/>
              </v:shape>
            </w:pict>
          </mc:Fallback>
        </mc:AlternateContent>
      </w:r>
    </w:p>
    <w:p w14:paraId="24A063A4" w14:textId="77777777" w:rsidR="000E52B0" w:rsidRDefault="00F60D74">
      <w:pPr>
        <w:spacing w:before="96"/>
        <w:ind w:left="720" w:right="714"/>
        <w:jc w:val="both"/>
        <w:rPr>
          <w:rFonts w:ascii="Arial MT" w:hAnsi="Arial MT"/>
          <w:sz w:val="18"/>
        </w:rPr>
      </w:pPr>
      <w:bookmarkStart w:id="43" w:name="_bookmark43"/>
      <w:bookmarkEnd w:id="43"/>
      <w:r>
        <w:rPr>
          <w:rFonts w:ascii="Arial MT" w:hAnsi="Arial MT"/>
          <w:position w:val="6"/>
          <w:sz w:val="12"/>
        </w:rPr>
        <w:t>38</w:t>
      </w:r>
      <w:r>
        <w:rPr>
          <w:rFonts w:ascii="Arial MT" w:hAnsi="Arial MT"/>
          <w:spacing w:val="40"/>
          <w:position w:val="6"/>
          <w:sz w:val="12"/>
        </w:rPr>
        <w:t xml:space="preserve"> </w:t>
      </w:r>
      <w:r>
        <w:rPr>
          <w:rFonts w:ascii="Arial MT" w:hAnsi="Arial MT"/>
          <w:sz w:val="18"/>
        </w:rPr>
        <w:t xml:space="preserve">UNFPA (2023). Análisis de Situación de Población (ASP Colombia 2023). Género. Ver: </w:t>
      </w:r>
      <w:hyperlink r:id="rId118">
        <w:r w:rsidR="000E52B0">
          <w:rPr>
            <w:rFonts w:ascii="Arial MT" w:hAnsi="Arial MT"/>
            <w:color w:val="E22C91"/>
            <w:spacing w:val="-2"/>
            <w:sz w:val="18"/>
            <w:u w:val="single" w:color="E22C91"/>
          </w:rPr>
          <w:t>https://colombia.unfpa.org/es/publications</w:t>
        </w:r>
      </w:hyperlink>
    </w:p>
    <w:p w14:paraId="381B5821" w14:textId="77777777" w:rsidR="000E52B0" w:rsidRDefault="00F60D74">
      <w:pPr>
        <w:ind w:left="720" w:right="710"/>
        <w:jc w:val="both"/>
        <w:rPr>
          <w:rFonts w:ascii="Arial MT" w:hAnsi="Arial MT"/>
          <w:sz w:val="18"/>
        </w:rPr>
      </w:pPr>
      <w:bookmarkStart w:id="44" w:name="_bookmark44"/>
      <w:bookmarkEnd w:id="44"/>
      <w:r>
        <w:rPr>
          <w:rFonts w:ascii="Arial MT" w:hAnsi="Arial MT"/>
          <w:position w:val="6"/>
          <w:sz w:val="12"/>
        </w:rPr>
        <w:t>39</w:t>
      </w:r>
      <w:r>
        <w:rPr>
          <w:rFonts w:ascii="Arial MT" w:hAnsi="Arial MT"/>
          <w:spacing w:val="12"/>
          <w:position w:val="6"/>
          <w:sz w:val="12"/>
        </w:rPr>
        <w:t xml:space="preserve"> </w:t>
      </w:r>
      <w:proofErr w:type="gramStart"/>
      <w:r>
        <w:rPr>
          <w:rFonts w:ascii="Arial MT" w:hAnsi="Arial MT"/>
          <w:sz w:val="18"/>
        </w:rPr>
        <w:t>Departamento</w:t>
      </w:r>
      <w:proofErr w:type="gramEnd"/>
      <w:r>
        <w:rPr>
          <w:rFonts w:ascii="Arial MT" w:hAnsi="Arial MT"/>
          <w:spacing w:val="-5"/>
          <w:sz w:val="18"/>
        </w:rPr>
        <w:t xml:space="preserve"> </w:t>
      </w:r>
      <w:r>
        <w:rPr>
          <w:rFonts w:ascii="Arial MT" w:hAnsi="Arial MT"/>
          <w:sz w:val="18"/>
        </w:rPr>
        <w:t>Administrativo</w:t>
      </w:r>
      <w:r>
        <w:rPr>
          <w:rFonts w:ascii="Arial MT" w:hAnsi="Arial MT"/>
          <w:spacing w:val="-7"/>
          <w:sz w:val="18"/>
        </w:rPr>
        <w:t xml:space="preserve"> </w:t>
      </w:r>
      <w:r>
        <w:rPr>
          <w:rFonts w:ascii="Arial MT" w:hAnsi="Arial MT"/>
          <w:sz w:val="18"/>
        </w:rPr>
        <w:t>Nacional</w:t>
      </w:r>
      <w:r>
        <w:rPr>
          <w:rFonts w:ascii="Arial MT" w:hAnsi="Arial MT"/>
          <w:spacing w:val="-7"/>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Estadísticas -DANE</w:t>
      </w:r>
      <w:r>
        <w:rPr>
          <w:rFonts w:ascii="Arial MT" w:hAnsi="Arial MT"/>
          <w:spacing w:val="-6"/>
          <w:sz w:val="18"/>
        </w:rPr>
        <w:t xml:space="preserve"> </w:t>
      </w:r>
      <w:r>
        <w:rPr>
          <w:rFonts w:ascii="Arial MT" w:hAnsi="Arial MT"/>
          <w:sz w:val="18"/>
        </w:rPr>
        <w:t>(2021).</w:t>
      </w:r>
      <w:r>
        <w:rPr>
          <w:rFonts w:ascii="Arial MT" w:hAnsi="Arial MT"/>
          <w:spacing w:val="39"/>
          <w:sz w:val="18"/>
        </w:rPr>
        <w:t xml:space="preserve"> </w:t>
      </w:r>
      <w:r>
        <w:rPr>
          <w:rFonts w:ascii="Arial MT" w:hAnsi="Arial MT"/>
          <w:sz w:val="18"/>
        </w:rPr>
        <w:t>Nota</w:t>
      </w:r>
      <w:r>
        <w:rPr>
          <w:rFonts w:ascii="Arial MT" w:hAnsi="Arial MT"/>
          <w:spacing w:val="-7"/>
          <w:sz w:val="18"/>
        </w:rPr>
        <w:t xml:space="preserve"> </w:t>
      </w:r>
      <w:r>
        <w:rPr>
          <w:rFonts w:ascii="Arial MT" w:hAnsi="Arial MT"/>
          <w:sz w:val="18"/>
        </w:rPr>
        <w:t>Estadística</w:t>
      </w:r>
      <w:r>
        <w:rPr>
          <w:rFonts w:ascii="Arial MT" w:hAnsi="Arial MT"/>
          <w:spacing w:val="-5"/>
          <w:sz w:val="18"/>
        </w:rPr>
        <w:t xml:space="preserve"> </w:t>
      </w:r>
      <w:r>
        <w:rPr>
          <w:rFonts w:ascii="Arial MT" w:hAnsi="Arial MT"/>
          <w:sz w:val="18"/>
        </w:rPr>
        <w:t>Juventud</w:t>
      </w:r>
      <w:r>
        <w:rPr>
          <w:rFonts w:ascii="Arial MT" w:hAnsi="Arial MT"/>
          <w:spacing w:val="-5"/>
          <w:sz w:val="18"/>
        </w:rPr>
        <w:t xml:space="preserve"> </w:t>
      </w:r>
      <w:r>
        <w:rPr>
          <w:rFonts w:ascii="Arial MT" w:hAnsi="Arial MT"/>
          <w:sz w:val="18"/>
        </w:rPr>
        <w:t>en</w:t>
      </w:r>
      <w:r>
        <w:rPr>
          <w:rFonts w:ascii="Arial MT" w:hAnsi="Arial MT"/>
          <w:spacing w:val="-5"/>
          <w:sz w:val="18"/>
        </w:rPr>
        <w:t xml:space="preserve"> </w:t>
      </w:r>
      <w:r>
        <w:rPr>
          <w:rFonts w:ascii="Arial MT" w:hAnsi="Arial MT"/>
          <w:sz w:val="18"/>
        </w:rPr>
        <w:t xml:space="preserve">Colombia, 2021. </w:t>
      </w:r>
      <w:hyperlink r:id="rId119">
        <w:r w:rsidR="000E52B0">
          <w:rPr>
            <w:rFonts w:ascii="Arial MT" w:hAnsi="Arial MT"/>
            <w:color w:val="E22C91"/>
            <w:sz w:val="18"/>
            <w:u w:val="single" w:color="E22C91"/>
          </w:rPr>
          <w:t>https://www.dane.gov.co/files/investigaciones/notas-estadisticas/dic-2021-nota-estadistica-juventud-en-</w:t>
        </w:r>
      </w:hyperlink>
      <w:r>
        <w:rPr>
          <w:rFonts w:ascii="Arial MT" w:hAnsi="Arial MT"/>
          <w:color w:val="E22C91"/>
          <w:sz w:val="18"/>
        </w:rPr>
        <w:t xml:space="preserve"> </w:t>
      </w:r>
      <w:hyperlink r:id="rId120">
        <w:r w:rsidR="000E52B0">
          <w:rPr>
            <w:rFonts w:ascii="Arial MT" w:hAnsi="Arial MT"/>
            <w:color w:val="E22C91"/>
            <w:spacing w:val="-2"/>
            <w:sz w:val="18"/>
            <w:u w:val="single" w:color="E22C91"/>
          </w:rPr>
          <w:t>colombia.pdf</w:t>
        </w:r>
      </w:hyperlink>
    </w:p>
    <w:p w14:paraId="0C10C3C2" w14:textId="77777777" w:rsidR="000E52B0" w:rsidRDefault="00F60D74">
      <w:pPr>
        <w:ind w:left="720" w:right="723"/>
        <w:jc w:val="both"/>
        <w:rPr>
          <w:rFonts w:ascii="Arial MT" w:hAnsi="Arial MT"/>
          <w:sz w:val="18"/>
        </w:rPr>
      </w:pPr>
      <w:bookmarkStart w:id="45" w:name="_bookmark45"/>
      <w:bookmarkEnd w:id="45"/>
      <w:r>
        <w:rPr>
          <w:rFonts w:ascii="Arial MT" w:hAnsi="Arial MT"/>
          <w:position w:val="6"/>
          <w:sz w:val="12"/>
        </w:rPr>
        <w:t>40</w:t>
      </w:r>
      <w:r>
        <w:rPr>
          <w:rFonts w:ascii="Arial MT" w:hAnsi="Arial MT"/>
          <w:spacing w:val="27"/>
          <w:position w:val="6"/>
          <w:sz w:val="12"/>
        </w:rPr>
        <w:t xml:space="preserve"> </w:t>
      </w:r>
      <w:proofErr w:type="gramStart"/>
      <w:r>
        <w:rPr>
          <w:rFonts w:ascii="Arial MT" w:hAnsi="Arial MT"/>
          <w:sz w:val="18"/>
        </w:rPr>
        <w:t>Tasa</w:t>
      </w:r>
      <w:proofErr w:type="gramEnd"/>
      <w:r>
        <w:rPr>
          <w:rFonts w:ascii="Arial MT" w:hAnsi="Arial MT"/>
          <w:sz w:val="18"/>
        </w:rPr>
        <w:t xml:space="preserve"> global de participación –TGP-: Es la relación porcentual entre la población económicamente activa y la población en edad de trabajar. Este indicador refleja la presión de la población en edad de trabajar sobre el mercado laboral.</w:t>
      </w:r>
    </w:p>
    <w:p w14:paraId="7A328DD0" w14:textId="77777777" w:rsidR="000E52B0" w:rsidRDefault="00F60D74">
      <w:pPr>
        <w:spacing w:line="205" w:lineRule="exact"/>
        <w:ind w:left="720"/>
        <w:jc w:val="both"/>
        <w:rPr>
          <w:rFonts w:ascii="Arial MT"/>
          <w:sz w:val="18"/>
        </w:rPr>
      </w:pPr>
      <w:bookmarkStart w:id="46" w:name="_bookmark46"/>
      <w:bookmarkEnd w:id="46"/>
      <w:r>
        <w:rPr>
          <w:rFonts w:ascii="Arial MT"/>
          <w:position w:val="6"/>
          <w:sz w:val="12"/>
        </w:rPr>
        <w:t>41</w:t>
      </w:r>
      <w:r>
        <w:rPr>
          <w:rFonts w:ascii="Arial MT"/>
          <w:spacing w:val="14"/>
          <w:position w:val="6"/>
          <w:sz w:val="12"/>
        </w:rPr>
        <w:t xml:space="preserve"> </w:t>
      </w:r>
      <w:r>
        <w:rPr>
          <w:rFonts w:ascii="Arial MT"/>
          <w:sz w:val="18"/>
        </w:rPr>
        <w:t>DANE.</w:t>
      </w:r>
      <w:r>
        <w:rPr>
          <w:rFonts w:ascii="Arial MT"/>
          <w:spacing w:val="-3"/>
          <w:sz w:val="18"/>
        </w:rPr>
        <w:t xml:space="preserve"> </w:t>
      </w:r>
      <w:r>
        <w:rPr>
          <w:rFonts w:ascii="Arial MT"/>
          <w:sz w:val="18"/>
        </w:rPr>
        <w:t>(2024)</w:t>
      </w:r>
      <w:r>
        <w:rPr>
          <w:rFonts w:ascii="Arial MT"/>
          <w:spacing w:val="-5"/>
          <w:sz w:val="18"/>
        </w:rPr>
        <w:t xml:space="preserve"> </w:t>
      </w:r>
      <w:r>
        <w:rPr>
          <w:rFonts w:ascii="Arial MT"/>
          <w:sz w:val="18"/>
        </w:rPr>
        <w:t>Mercado</w:t>
      </w:r>
      <w:r>
        <w:rPr>
          <w:rFonts w:ascii="Arial MT"/>
          <w:spacing w:val="-3"/>
          <w:sz w:val="18"/>
        </w:rPr>
        <w:t xml:space="preserve"> </w:t>
      </w:r>
      <w:r>
        <w:rPr>
          <w:rFonts w:ascii="Arial MT"/>
          <w:sz w:val="18"/>
        </w:rPr>
        <w:t>Laboral</w:t>
      </w:r>
      <w:r>
        <w:rPr>
          <w:rFonts w:ascii="Arial MT"/>
          <w:spacing w:val="-3"/>
          <w:sz w:val="18"/>
        </w:rPr>
        <w:t xml:space="preserve"> </w:t>
      </w:r>
      <w:r>
        <w:rPr>
          <w:rFonts w:ascii="Arial MT"/>
          <w:sz w:val="18"/>
        </w:rPr>
        <w:t>de</w:t>
      </w:r>
      <w:r>
        <w:rPr>
          <w:rFonts w:ascii="Arial MT"/>
          <w:spacing w:val="-5"/>
          <w:sz w:val="18"/>
        </w:rPr>
        <w:t xml:space="preserve"> </w:t>
      </w:r>
      <w:r>
        <w:rPr>
          <w:rFonts w:ascii="Arial MT"/>
          <w:sz w:val="18"/>
        </w:rPr>
        <w:t>la</w:t>
      </w:r>
      <w:r>
        <w:rPr>
          <w:rFonts w:ascii="Arial MT"/>
          <w:spacing w:val="-5"/>
          <w:sz w:val="18"/>
        </w:rPr>
        <w:t xml:space="preserve"> </w:t>
      </w:r>
      <w:r>
        <w:rPr>
          <w:rFonts w:ascii="Arial MT"/>
          <w:sz w:val="18"/>
        </w:rPr>
        <w:t>Juventud.</w:t>
      </w:r>
      <w:r>
        <w:rPr>
          <w:rFonts w:ascii="Arial MT"/>
          <w:spacing w:val="-4"/>
          <w:sz w:val="18"/>
        </w:rPr>
        <w:t xml:space="preserve"> </w:t>
      </w:r>
      <w:r>
        <w:rPr>
          <w:rFonts w:ascii="Arial MT"/>
          <w:sz w:val="18"/>
        </w:rPr>
        <w:t>Mercado</w:t>
      </w:r>
      <w:r>
        <w:rPr>
          <w:rFonts w:ascii="Arial MT"/>
          <w:spacing w:val="-5"/>
          <w:sz w:val="18"/>
        </w:rPr>
        <w:t xml:space="preserve"> </w:t>
      </w:r>
      <w:r>
        <w:rPr>
          <w:rFonts w:ascii="Arial MT"/>
          <w:sz w:val="18"/>
        </w:rPr>
        <w:t>laboral</w:t>
      </w:r>
      <w:r>
        <w:rPr>
          <w:rFonts w:ascii="Arial MT"/>
          <w:spacing w:val="-3"/>
          <w:sz w:val="18"/>
        </w:rPr>
        <w:t xml:space="preserve"> </w:t>
      </w:r>
      <w:r>
        <w:rPr>
          <w:rFonts w:ascii="Arial MT"/>
          <w:sz w:val="18"/>
        </w:rPr>
        <w:t>de</w:t>
      </w:r>
      <w:r>
        <w:rPr>
          <w:rFonts w:ascii="Arial MT"/>
          <w:spacing w:val="-2"/>
          <w:sz w:val="18"/>
        </w:rPr>
        <w:t xml:space="preserve"> </w:t>
      </w:r>
      <w:r>
        <w:rPr>
          <w:rFonts w:ascii="Arial MT"/>
          <w:sz w:val="18"/>
        </w:rPr>
        <w:t>la</w:t>
      </w:r>
      <w:r>
        <w:rPr>
          <w:rFonts w:ascii="Arial MT"/>
          <w:spacing w:val="-5"/>
          <w:sz w:val="18"/>
        </w:rPr>
        <w:t xml:space="preserve"> </w:t>
      </w:r>
      <w:r>
        <w:rPr>
          <w:rFonts w:ascii="Arial MT"/>
          <w:sz w:val="18"/>
        </w:rPr>
        <w:t>Juventud</w:t>
      </w:r>
      <w:r>
        <w:rPr>
          <w:rFonts w:ascii="Arial MT"/>
          <w:spacing w:val="-3"/>
          <w:sz w:val="18"/>
        </w:rPr>
        <w:t xml:space="preserve"> </w:t>
      </w:r>
      <w:r>
        <w:rPr>
          <w:rFonts w:ascii="Arial MT"/>
          <w:spacing w:val="-2"/>
          <w:sz w:val="18"/>
        </w:rPr>
        <w:t>(dane.gov.co)</w:t>
      </w:r>
    </w:p>
    <w:p w14:paraId="00776871" w14:textId="77777777" w:rsidR="000E52B0" w:rsidRDefault="00F60D74">
      <w:pPr>
        <w:ind w:left="720" w:right="716"/>
        <w:jc w:val="both"/>
        <w:rPr>
          <w:rFonts w:ascii="Arial MT" w:hAnsi="Arial MT"/>
          <w:sz w:val="18"/>
        </w:rPr>
      </w:pPr>
      <w:bookmarkStart w:id="47" w:name="_bookmark47"/>
      <w:bookmarkEnd w:id="47"/>
      <w:r>
        <w:rPr>
          <w:rFonts w:ascii="Arial MT" w:hAnsi="Arial MT"/>
          <w:position w:val="6"/>
          <w:sz w:val="12"/>
        </w:rPr>
        <w:t>42</w:t>
      </w:r>
      <w:r>
        <w:rPr>
          <w:rFonts w:ascii="Arial MT" w:hAnsi="Arial MT"/>
          <w:spacing w:val="39"/>
          <w:position w:val="6"/>
          <w:sz w:val="12"/>
        </w:rPr>
        <w:t xml:space="preserve"> </w:t>
      </w:r>
      <w:proofErr w:type="gramStart"/>
      <w:r>
        <w:rPr>
          <w:rFonts w:ascii="Arial MT" w:hAnsi="Arial MT"/>
          <w:sz w:val="18"/>
        </w:rPr>
        <w:t>Es</w:t>
      </w:r>
      <w:proofErr w:type="gramEnd"/>
      <w:r>
        <w:rPr>
          <w:rFonts w:ascii="Arial MT" w:hAnsi="Arial MT"/>
          <w:sz w:val="18"/>
        </w:rPr>
        <w:t xml:space="preserve"> la relación porcentual entre el número de personas que están buscando trabajo –DS</w:t>
      </w:r>
      <w:proofErr w:type="gramStart"/>
      <w:r>
        <w:rPr>
          <w:rFonts w:ascii="Arial MT" w:hAnsi="Arial MT"/>
          <w:sz w:val="18"/>
        </w:rPr>
        <w:t>-:,</w:t>
      </w:r>
      <w:proofErr w:type="gramEnd"/>
      <w:r>
        <w:rPr>
          <w:rFonts w:ascii="Arial MT" w:hAnsi="Arial MT"/>
          <w:sz w:val="18"/>
        </w:rPr>
        <w:t xml:space="preserve"> y el número de personas que integran la fuerza laboral -PEA-.</w:t>
      </w:r>
    </w:p>
    <w:p w14:paraId="7FEE5E89" w14:textId="77777777" w:rsidR="000E52B0" w:rsidRDefault="00F60D74">
      <w:pPr>
        <w:spacing w:line="242" w:lineRule="auto"/>
        <w:ind w:left="720" w:right="724"/>
        <w:jc w:val="both"/>
        <w:rPr>
          <w:rFonts w:ascii="Arial MT" w:hAnsi="Arial MT"/>
          <w:sz w:val="18"/>
        </w:rPr>
      </w:pPr>
      <w:bookmarkStart w:id="48" w:name="_bookmark48"/>
      <w:bookmarkEnd w:id="48"/>
      <w:r>
        <w:rPr>
          <w:rFonts w:ascii="Arial MT" w:hAnsi="Arial MT"/>
          <w:position w:val="6"/>
          <w:sz w:val="12"/>
        </w:rPr>
        <w:t>43</w:t>
      </w:r>
      <w:r>
        <w:rPr>
          <w:rFonts w:ascii="Arial MT" w:hAnsi="Arial MT"/>
          <w:spacing w:val="8"/>
          <w:position w:val="6"/>
          <w:sz w:val="12"/>
        </w:rPr>
        <w:t xml:space="preserve"> </w:t>
      </w:r>
      <w:proofErr w:type="gramStart"/>
      <w:r>
        <w:rPr>
          <w:rFonts w:ascii="Arial MT" w:hAnsi="Arial MT"/>
          <w:sz w:val="18"/>
        </w:rPr>
        <w:t>Es</w:t>
      </w:r>
      <w:proofErr w:type="gramEnd"/>
      <w:r>
        <w:rPr>
          <w:rFonts w:ascii="Arial MT" w:hAnsi="Arial MT"/>
          <w:spacing w:val="-8"/>
          <w:sz w:val="18"/>
        </w:rPr>
        <w:t xml:space="preserve"> </w:t>
      </w:r>
      <w:r>
        <w:rPr>
          <w:rFonts w:ascii="Arial MT" w:hAnsi="Arial MT"/>
          <w:sz w:val="18"/>
        </w:rPr>
        <w:t>la</w:t>
      </w:r>
      <w:r>
        <w:rPr>
          <w:rFonts w:ascii="Arial MT" w:hAnsi="Arial MT"/>
          <w:spacing w:val="-9"/>
          <w:sz w:val="18"/>
        </w:rPr>
        <w:t xml:space="preserve"> </w:t>
      </w:r>
      <w:r>
        <w:rPr>
          <w:rFonts w:ascii="Arial MT" w:hAnsi="Arial MT"/>
          <w:sz w:val="18"/>
        </w:rPr>
        <w:t>relación</w:t>
      </w:r>
      <w:r>
        <w:rPr>
          <w:rFonts w:ascii="Arial MT" w:hAnsi="Arial MT"/>
          <w:spacing w:val="-9"/>
          <w:sz w:val="18"/>
        </w:rPr>
        <w:t xml:space="preserve"> </w:t>
      </w:r>
      <w:r>
        <w:rPr>
          <w:rFonts w:ascii="Arial MT" w:hAnsi="Arial MT"/>
          <w:sz w:val="18"/>
        </w:rPr>
        <w:t>porcentual</w:t>
      </w:r>
      <w:r>
        <w:rPr>
          <w:rFonts w:ascii="Arial MT" w:hAnsi="Arial MT"/>
          <w:spacing w:val="-9"/>
          <w:sz w:val="18"/>
        </w:rPr>
        <w:t xml:space="preserve"> </w:t>
      </w:r>
      <w:r>
        <w:rPr>
          <w:rFonts w:ascii="Arial MT" w:hAnsi="Arial MT"/>
          <w:sz w:val="18"/>
        </w:rPr>
        <w:t>entre</w:t>
      </w:r>
      <w:r>
        <w:rPr>
          <w:rFonts w:ascii="Arial MT" w:hAnsi="Arial MT"/>
          <w:spacing w:val="-11"/>
          <w:sz w:val="18"/>
        </w:rPr>
        <w:t xml:space="preserve"> </w:t>
      </w:r>
      <w:r>
        <w:rPr>
          <w:rFonts w:ascii="Arial MT" w:hAnsi="Arial MT"/>
          <w:sz w:val="18"/>
        </w:rPr>
        <w:t>la</w:t>
      </w:r>
      <w:r>
        <w:rPr>
          <w:rFonts w:ascii="Arial MT" w:hAnsi="Arial MT"/>
          <w:spacing w:val="-9"/>
          <w:sz w:val="18"/>
        </w:rPr>
        <w:t xml:space="preserve"> </w:t>
      </w:r>
      <w:r>
        <w:rPr>
          <w:rFonts w:ascii="Arial MT" w:hAnsi="Arial MT"/>
          <w:sz w:val="18"/>
        </w:rPr>
        <w:t>población</w:t>
      </w:r>
      <w:r>
        <w:rPr>
          <w:rFonts w:ascii="Arial MT" w:hAnsi="Arial MT"/>
          <w:spacing w:val="-9"/>
          <w:sz w:val="18"/>
        </w:rPr>
        <w:t xml:space="preserve"> </w:t>
      </w:r>
      <w:r>
        <w:rPr>
          <w:rFonts w:ascii="Arial MT" w:hAnsi="Arial MT"/>
          <w:sz w:val="18"/>
        </w:rPr>
        <w:t>ocupada</w:t>
      </w:r>
      <w:r>
        <w:rPr>
          <w:rFonts w:ascii="Arial MT" w:hAnsi="Arial MT"/>
          <w:spacing w:val="-11"/>
          <w:sz w:val="18"/>
        </w:rPr>
        <w:t xml:space="preserve"> </w:t>
      </w:r>
      <w:r>
        <w:rPr>
          <w:rFonts w:ascii="Arial MT" w:hAnsi="Arial MT"/>
          <w:sz w:val="18"/>
        </w:rPr>
        <w:t>y</w:t>
      </w:r>
      <w:r>
        <w:rPr>
          <w:rFonts w:ascii="Arial MT" w:hAnsi="Arial MT"/>
          <w:spacing w:val="-8"/>
          <w:sz w:val="18"/>
        </w:rPr>
        <w:t xml:space="preserve"> </w:t>
      </w:r>
      <w:r>
        <w:rPr>
          <w:rFonts w:ascii="Arial MT" w:hAnsi="Arial MT"/>
          <w:sz w:val="18"/>
        </w:rPr>
        <w:t>el</w:t>
      </w:r>
      <w:r>
        <w:rPr>
          <w:rFonts w:ascii="Arial MT" w:hAnsi="Arial MT"/>
          <w:spacing w:val="-11"/>
          <w:sz w:val="18"/>
        </w:rPr>
        <w:t xml:space="preserve"> </w:t>
      </w:r>
      <w:r>
        <w:rPr>
          <w:rFonts w:ascii="Arial MT" w:hAnsi="Arial MT"/>
          <w:sz w:val="18"/>
        </w:rPr>
        <w:t>número</w:t>
      </w:r>
      <w:r>
        <w:rPr>
          <w:rFonts w:ascii="Arial MT" w:hAnsi="Arial MT"/>
          <w:spacing w:val="-9"/>
          <w:sz w:val="18"/>
        </w:rPr>
        <w:t xml:space="preserve"> </w:t>
      </w:r>
      <w:r>
        <w:rPr>
          <w:rFonts w:ascii="Arial MT" w:hAnsi="Arial MT"/>
          <w:sz w:val="18"/>
        </w:rPr>
        <w:t>de</w:t>
      </w:r>
      <w:r>
        <w:rPr>
          <w:rFonts w:ascii="Arial MT" w:hAnsi="Arial MT"/>
          <w:spacing w:val="-11"/>
          <w:sz w:val="18"/>
        </w:rPr>
        <w:t xml:space="preserve"> </w:t>
      </w:r>
      <w:r>
        <w:rPr>
          <w:rFonts w:ascii="Arial MT" w:hAnsi="Arial MT"/>
          <w:sz w:val="18"/>
        </w:rPr>
        <w:t>personas</w:t>
      </w:r>
      <w:r>
        <w:rPr>
          <w:rFonts w:ascii="Arial MT" w:hAnsi="Arial MT"/>
          <w:spacing w:val="-8"/>
          <w:sz w:val="18"/>
        </w:rPr>
        <w:t xml:space="preserve"> </w:t>
      </w:r>
      <w:r>
        <w:rPr>
          <w:rFonts w:ascii="Arial MT" w:hAnsi="Arial MT"/>
          <w:sz w:val="18"/>
        </w:rPr>
        <w:t>que</w:t>
      </w:r>
      <w:r>
        <w:rPr>
          <w:rFonts w:ascii="Arial MT" w:hAnsi="Arial MT"/>
          <w:spacing w:val="-9"/>
          <w:sz w:val="18"/>
        </w:rPr>
        <w:t xml:space="preserve"> </w:t>
      </w:r>
      <w:r>
        <w:rPr>
          <w:rFonts w:ascii="Arial MT" w:hAnsi="Arial MT"/>
          <w:sz w:val="18"/>
        </w:rPr>
        <w:t>integran</w:t>
      </w:r>
      <w:r>
        <w:rPr>
          <w:rFonts w:ascii="Arial MT" w:hAnsi="Arial MT"/>
          <w:spacing w:val="-9"/>
          <w:sz w:val="18"/>
        </w:rPr>
        <w:t xml:space="preserve"> </w:t>
      </w:r>
      <w:r>
        <w:rPr>
          <w:rFonts w:ascii="Arial MT" w:hAnsi="Arial MT"/>
          <w:sz w:val="18"/>
        </w:rPr>
        <w:t>la</w:t>
      </w:r>
      <w:r>
        <w:rPr>
          <w:rFonts w:ascii="Arial MT" w:hAnsi="Arial MT"/>
          <w:spacing w:val="-9"/>
          <w:sz w:val="18"/>
        </w:rPr>
        <w:t xml:space="preserve"> </w:t>
      </w:r>
      <w:r>
        <w:rPr>
          <w:rFonts w:ascii="Arial MT" w:hAnsi="Arial MT"/>
          <w:sz w:val="18"/>
        </w:rPr>
        <w:t>población</w:t>
      </w:r>
      <w:r>
        <w:rPr>
          <w:rFonts w:ascii="Arial MT" w:hAnsi="Arial MT"/>
          <w:spacing w:val="-11"/>
          <w:sz w:val="18"/>
        </w:rPr>
        <w:t xml:space="preserve"> </w:t>
      </w:r>
      <w:r>
        <w:rPr>
          <w:rFonts w:ascii="Arial MT" w:hAnsi="Arial MT"/>
          <w:sz w:val="18"/>
        </w:rPr>
        <w:t>en</w:t>
      </w:r>
      <w:r>
        <w:rPr>
          <w:rFonts w:ascii="Arial MT" w:hAnsi="Arial MT"/>
          <w:spacing w:val="-9"/>
          <w:sz w:val="18"/>
        </w:rPr>
        <w:t xml:space="preserve"> </w:t>
      </w:r>
      <w:r>
        <w:rPr>
          <w:rFonts w:ascii="Arial MT" w:hAnsi="Arial MT"/>
          <w:sz w:val="18"/>
        </w:rPr>
        <w:t>edad de trabajar.</w:t>
      </w:r>
    </w:p>
    <w:p w14:paraId="76ADA368" w14:textId="77777777" w:rsidR="000E52B0" w:rsidRDefault="000E52B0">
      <w:pPr>
        <w:spacing w:line="242" w:lineRule="auto"/>
        <w:jc w:val="both"/>
        <w:rPr>
          <w:rFonts w:ascii="Arial MT" w:hAnsi="Arial MT"/>
          <w:sz w:val="18"/>
        </w:rPr>
        <w:sectPr w:rsidR="000E52B0">
          <w:pgSz w:w="11910" w:h="16840"/>
          <w:pgMar w:top="1340" w:right="720" w:bottom="1180" w:left="720" w:header="0" w:footer="995" w:gutter="0"/>
          <w:cols w:space="720"/>
        </w:sectPr>
      </w:pPr>
    </w:p>
    <w:p w14:paraId="7E62B8E6" w14:textId="77777777" w:rsidR="000E52B0" w:rsidRDefault="00F60D74">
      <w:pPr>
        <w:spacing w:before="72"/>
        <w:ind w:left="5005" w:right="723" w:hanging="4247"/>
        <w:rPr>
          <w:i/>
          <w:sz w:val="18"/>
        </w:rPr>
      </w:pPr>
      <w:r>
        <w:rPr>
          <w:i/>
          <w:color w:val="454551"/>
          <w:sz w:val="18"/>
        </w:rPr>
        <w:lastRenderedPageBreak/>
        <w:t>Ilustración</w:t>
      </w:r>
      <w:r>
        <w:rPr>
          <w:i/>
          <w:color w:val="454551"/>
          <w:spacing w:val="-1"/>
          <w:sz w:val="18"/>
        </w:rPr>
        <w:t xml:space="preserve"> </w:t>
      </w:r>
      <w:r>
        <w:rPr>
          <w:i/>
          <w:color w:val="454551"/>
          <w:sz w:val="18"/>
        </w:rPr>
        <w:t>28.</w:t>
      </w:r>
      <w:r>
        <w:rPr>
          <w:i/>
          <w:color w:val="454551"/>
          <w:spacing w:val="-4"/>
          <w:sz w:val="18"/>
        </w:rPr>
        <w:t xml:space="preserve"> </w:t>
      </w:r>
      <w:r>
        <w:rPr>
          <w:i/>
          <w:color w:val="454551"/>
          <w:sz w:val="18"/>
        </w:rPr>
        <w:t>Tasa</w:t>
      </w:r>
      <w:r>
        <w:rPr>
          <w:i/>
          <w:color w:val="454551"/>
          <w:spacing w:val="-4"/>
          <w:sz w:val="18"/>
        </w:rPr>
        <w:t xml:space="preserve"> </w:t>
      </w:r>
      <w:r>
        <w:rPr>
          <w:i/>
          <w:color w:val="454551"/>
          <w:sz w:val="18"/>
        </w:rPr>
        <w:t>de</w:t>
      </w:r>
      <w:r>
        <w:rPr>
          <w:i/>
          <w:color w:val="454551"/>
          <w:spacing w:val="-3"/>
          <w:sz w:val="18"/>
        </w:rPr>
        <w:t xml:space="preserve"> </w:t>
      </w:r>
      <w:r>
        <w:rPr>
          <w:i/>
          <w:color w:val="454551"/>
          <w:sz w:val="18"/>
        </w:rPr>
        <w:t>desocupación</w:t>
      </w:r>
      <w:r>
        <w:rPr>
          <w:i/>
          <w:color w:val="454551"/>
          <w:spacing w:val="-2"/>
          <w:sz w:val="18"/>
        </w:rPr>
        <w:t xml:space="preserve"> </w:t>
      </w:r>
      <w:r>
        <w:rPr>
          <w:i/>
          <w:color w:val="454551"/>
          <w:sz w:val="18"/>
        </w:rPr>
        <w:t>total</w:t>
      </w:r>
      <w:r>
        <w:rPr>
          <w:i/>
          <w:color w:val="454551"/>
          <w:spacing w:val="-3"/>
          <w:sz w:val="18"/>
        </w:rPr>
        <w:t xml:space="preserve"> </w:t>
      </w:r>
      <w:r>
        <w:rPr>
          <w:i/>
          <w:color w:val="454551"/>
          <w:sz w:val="18"/>
        </w:rPr>
        <w:t>y</w:t>
      </w:r>
      <w:r>
        <w:rPr>
          <w:i/>
          <w:color w:val="454551"/>
          <w:spacing w:val="-4"/>
          <w:sz w:val="18"/>
        </w:rPr>
        <w:t xml:space="preserve"> </w:t>
      </w:r>
      <w:r>
        <w:rPr>
          <w:i/>
          <w:color w:val="454551"/>
          <w:sz w:val="18"/>
        </w:rPr>
        <w:t>juvenil</w:t>
      </w:r>
      <w:r>
        <w:rPr>
          <w:i/>
          <w:color w:val="454551"/>
          <w:spacing w:val="-2"/>
          <w:sz w:val="18"/>
        </w:rPr>
        <w:t xml:space="preserve"> </w:t>
      </w:r>
      <w:r>
        <w:rPr>
          <w:i/>
          <w:color w:val="454551"/>
          <w:sz w:val="18"/>
        </w:rPr>
        <w:t>(nacional),</w:t>
      </w:r>
      <w:r>
        <w:rPr>
          <w:i/>
          <w:color w:val="454551"/>
          <w:spacing w:val="-4"/>
          <w:sz w:val="18"/>
        </w:rPr>
        <w:t xml:space="preserve"> </w:t>
      </w:r>
      <w:r>
        <w:rPr>
          <w:i/>
          <w:color w:val="454551"/>
          <w:sz w:val="18"/>
        </w:rPr>
        <w:t>trimestre</w:t>
      </w:r>
      <w:r>
        <w:rPr>
          <w:i/>
          <w:color w:val="454551"/>
          <w:spacing w:val="-3"/>
          <w:sz w:val="18"/>
        </w:rPr>
        <w:t xml:space="preserve"> </w:t>
      </w:r>
      <w:r>
        <w:rPr>
          <w:i/>
          <w:color w:val="454551"/>
          <w:sz w:val="18"/>
        </w:rPr>
        <w:t>móvil</w:t>
      </w:r>
      <w:r>
        <w:rPr>
          <w:i/>
          <w:color w:val="454551"/>
          <w:spacing w:val="-5"/>
          <w:sz w:val="18"/>
        </w:rPr>
        <w:t xml:space="preserve"> </w:t>
      </w:r>
      <w:r>
        <w:rPr>
          <w:i/>
          <w:color w:val="454551"/>
          <w:sz w:val="18"/>
        </w:rPr>
        <w:t>junio-agosto</w:t>
      </w:r>
      <w:r>
        <w:rPr>
          <w:i/>
          <w:color w:val="454551"/>
          <w:spacing w:val="-2"/>
          <w:sz w:val="18"/>
        </w:rPr>
        <w:t xml:space="preserve"> </w:t>
      </w:r>
      <w:r>
        <w:rPr>
          <w:i/>
          <w:color w:val="454551"/>
          <w:sz w:val="18"/>
        </w:rPr>
        <w:t xml:space="preserve">2014- </w:t>
      </w:r>
      <w:r>
        <w:rPr>
          <w:i/>
          <w:color w:val="454551"/>
          <w:spacing w:val="-4"/>
          <w:sz w:val="18"/>
        </w:rPr>
        <w:t>2024</w:t>
      </w:r>
    </w:p>
    <w:p w14:paraId="2C5C53F4" w14:textId="77777777" w:rsidR="000E52B0" w:rsidRDefault="000E52B0">
      <w:pPr>
        <w:pStyle w:val="Textoindependiente"/>
        <w:ind w:left="0"/>
        <w:rPr>
          <w:i/>
          <w:sz w:val="18"/>
        </w:rPr>
      </w:pPr>
    </w:p>
    <w:p w14:paraId="6D0D8FFB" w14:textId="77777777" w:rsidR="000E52B0" w:rsidRDefault="000E52B0">
      <w:pPr>
        <w:pStyle w:val="Textoindependiente"/>
        <w:spacing w:before="72"/>
        <w:ind w:left="0"/>
        <w:rPr>
          <w:i/>
          <w:sz w:val="18"/>
        </w:rPr>
      </w:pPr>
    </w:p>
    <w:p w14:paraId="3C596FF1" w14:textId="77777777" w:rsidR="000E52B0" w:rsidRDefault="00F60D74">
      <w:pPr>
        <w:ind w:right="161"/>
        <w:jc w:val="center"/>
        <w:rPr>
          <w:rFonts w:ascii="Trebuchet MS"/>
          <w:sz w:val="18"/>
        </w:rPr>
      </w:pPr>
      <w:r>
        <w:rPr>
          <w:rFonts w:ascii="Trebuchet MS"/>
          <w:color w:val="404040"/>
          <w:spacing w:val="-4"/>
          <w:sz w:val="18"/>
        </w:rPr>
        <w:t>24,6</w:t>
      </w:r>
    </w:p>
    <w:p w14:paraId="4E284FC9" w14:textId="77777777" w:rsidR="000E52B0" w:rsidRDefault="000E52B0">
      <w:pPr>
        <w:pStyle w:val="Textoindependiente"/>
        <w:ind w:left="0"/>
        <w:rPr>
          <w:rFonts w:ascii="Trebuchet MS"/>
          <w:sz w:val="16"/>
        </w:rPr>
      </w:pPr>
    </w:p>
    <w:p w14:paraId="7B89A6AF" w14:textId="77777777" w:rsidR="000E52B0" w:rsidRDefault="000E52B0">
      <w:pPr>
        <w:pStyle w:val="Textoindependiente"/>
        <w:ind w:left="0"/>
        <w:rPr>
          <w:rFonts w:ascii="Trebuchet MS"/>
          <w:sz w:val="16"/>
        </w:rPr>
      </w:pPr>
    </w:p>
    <w:p w14:paraId="6ACC9184" w14:textId="77777777" w:rsidR="000E52B0" w:rsidRDefault="000E52B0">
      <w:pPr>
        <w:pStyle w:val="Textoindependiente"/>
        <w:spacing w:before="179"/>
        <w:ind w:left="0"/>
        <w:rPr>
          <w:rFonts w:ascii="Trebuchet MS"/>
          <w:sz w:val="16"/>
        </w:rPr>
      </w:pPr>
    </w:p>
    <w:p w14:paraId="44F75E3A" w14:textId="77777777" w:rsidR="000E52B0" w:rsidRDefault="00F60D74">
      <w:pPr>
        <w:spacing w:before="1" w:line="252" w:lineRule="auto"/>
        <w:ind w:left="7900" w:right="723" w:hanging="427"/>
        <w:rPr>
          <w:rFonts w:ascii="Trebuchet MS" w:hAnsi="Trebuchet MS"/>
          <w:sz w:val="16"/>
        </w:rPr>
      </w:pPr>
      <w:r>
        <w:rPr>
          <w:rFonts w:ascii="Trebuchet MS" w:hAnsi="Trebuchet MS"/>
          <w:noProof/>
          <w:sz w:val="16"/>
        </w:rPr>
        <mc:AlternateContent>
          <mc:Choice Requires="wpg">
            <w:drawing>
              <wp:anchor distT="0" distB="0" distL="0" distR="0" simplePos="0" relativeHeight="15779328" behindDoc="0" locked="0" layoutInCell="1" allowOverlap="1" wp14:anchorId="404BE2B0" wp14:editId="3A446396">
                <wp:simplePos x="0" y="0"/>
                <wp:positionH relativeFrom="page">
                  <wp:posOffset>1112215</wp:posOffset>
                </wp:positionH>
                <wp:positionV relativeFrom="paragraph">
                  <wp:posOffset>-410845</wp:posOffset>
                </wp:positionV>
                <wp:extent cx="3812540" cy="939800"/>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2540" cy="939800"/>
                          <a:chOff x="0" y="0"/>
                          <a:chExt cx="3812540" cy="939800"/>
                        </a:xfrm>
                      </wpg:grpSpPr>
                      <wps:wsp>
                        <wps:cNvPr id="280" name="Graphic 280"/>
                        <wps:cNvSpPr/>
                        <wps:spPr>
                          <a:xfrm>
                            <a:off x="107695" y="557792"/>
                            <a:ext cx="3583940" cy="344805"/>
                          </a:xfrm>
                          <a:custGeom>
                            <a:avLst/>
                            <a:gdLst/>
                            <a:ahLst/>
                            <a:cxnLst/>
                            <a:rect l="l" t="t" r="r" b="b"/>
                            <a:pathLst>
                              <a:path w="3583940" h="344805">
                                <a:moveTo>
                                  <a:pt x="0" y="305435"/>
                                </a:moveTo>
                                <a:lnTo>
                                  <a:pt x="358952" y="344677"/>
                                </a:lnTo>
                                <a:lnTo>
                                  <a:pt x="717092" y="294767"/>
                                </a:lnTo>
                                <a:lnTo>
                                  <a:pt x="1075232" y="300863"/>
                                </a:lnTo>
                                <a:lnTo>
                                  <a:pt x="1433372" y="293243"/>
                                </a:lnTo>
                                <a:lnTo>
                                  <a:pt x="1791512" y="227711"/>
                                </a:lnTo>
                                <a:lnTo>
                                  <a:pt x="2149652" y="166750"/>
                                </a:lnTo>
                                <a:lnTo>
                                  <a:pt x="2507792" y="0"/>
                                </a:lnTo>
                                <a:lnTo>
                                  <a:pt x="2865932" y="162178"/>
                                </a:lnTo>
                                <a:lnTo>
                                  <a:pt x="3225596" y="253619"/>
                                </a:lnTo>
                                <a:lnTo>
                                  <a:pt x="3583355" y="242950"/>
                                </a:lnTo>
                              </a:path>
                            </a:pathLst>
                          </a:custGeom>
                          <a:ln w="28575">
                            <a:solidFill>
                              <a:srgbClr val="E22C91"/>
                            </a:solidFill>
                            <a:prstDash val="solid"/>
                          </a:ln>
                        </wps:spPr>
                        <wps:bodyPr wrap="square" lIns="0" tIns="0" rIns="0" bIns="0" rtlCol="0">
                          <a:prstTxWarp prst="textNoShape">
                            <a:avLst/>
                          </a:prstTxWarp>
                          <a:noAutofit/>
                        </wps:bodyPr>
                      </wps:wsp>
                      <pic:pic xmlns:pic="http://schemas.openxmlformats.org/drawingml/2006/picture">
                        <pic:nvPicPr>
                          <pic:cNvPr id="281" name="Image 281"/>
                          <pic:cNvPicPr/>
                        </pic:nvPicPr>
                        <pic:blipFill>
                          <a:blip r:embed="rId121" cstate="print"/>
                          <a:stretch>
                            <a:fillRect/>
                          </a:stretch>
                        </pic:blipFill>
                        <pic:spPr>
                          <a:xfrm>
                            <a:off x="69710" y="826207"/>
                            <a:ext cx="73533" cy="73533"/>
                          </a:xfrm>
                          <a:prstGeom prst="rect">
                            <a:avLst/>
                          </a:prstGeom>
                        </pic:spPr>
                      </pic:pic>
                      <pic:pic xmlns:pic="http://schemas.openxmlformats.org/drawingml/2006/picture">
                        <pic:nvPicPr>
                          <pic:cNvPr id="282" name="Image 282"/>
                          <pic:cNvPicPr/>
                        </pic:nvPicPr>
                        <pic:blipFill>
                          <a:blip r:embed="rId111" cstate="print"/>
                          <a:stretch>
                            <a:fillRect/>
                          </a:stretch>
                        </pic:blipFill>
                        <pic:spPr>
                          <a:xfrm>
                            <a:off x="429374" y="865831"/>
                            <a:ext cx="73532" cy="73533"/>
                          </a:xfrm>
                          <a:prstGeom prst="rect">
                            <a:avLst/>
                          </a:prstGeom>
                        </pic:spPr>
                      </pic:pic>
                      <pic:pic xmlns:pic="http://schemas.openxmlformats.org/drawingml/2006/picture">
                        <pic:nvPicPr>
                          <pic:cNvPr id="283" name="Image 283"/>
                          <pic:cNvPicPr/>
                        </pic:nvPicPr>
                        <pic:blipFill>
                          <a:blip r:embed="rId109" cstate="print"/>
                          <a:stretch>
                            <a:fillRect/>
                          </a:stretch>
                        </pic:blipFill>
                        <pic:spPr>
                          <a:xfrm>
                            <a:off x="787514" y="815539"/>
                            <a:ext cx="73532" cy="73532"/>
                          </a:xfrm>
                          <a:prstGeom prst="rect">
                            <a:avLst/>
                          </a:prstGeom>
                        </pic:spPr>
                      </pic:pic>
                      <pic:pic xmlns:pic="http://schemas.openxmlformats.org/drawingml/2006/picture">
                        <pic:nvPicPr>
                          <pic:cNvPr id="284" name="Image 284"/>
                          <pic:cNvPicPr/>
                        </pic:nvPicPr>
                        <pic:blipFill>
                          <a:blip r:embed="rId110" cstate="print"/>
                          <a:stretch>
                            <a:fillRect/>
                          </a:stretch>
                        </pic:blipFill>
                        <pic:spPr>
                          <a:xfrm>
                            <a:off x="1145654" y="821635"/>
                            <a:ext cx="73532" cy="73532"/>
                          </a:xfrm>
                          <a:prstGeom prst="rect">
                            <a:avLst/>
                          </a:prstGeom>
                        </pic:spPr>
                      </pic:pic>
                      <pic:pic xmlns:pic="http://schemas.openxmlformats.org/drawingml/2006/picture">
                        <pic:nvPicPr>
                          <pic:cNvPr id="285" name="Image 285"/>
                          <pic:cNvPicPr/>
                        </pic:nvPicPr>
                        <pic:blipFill>
                          <a:blip r:embed="rId110" cstate="print"/>
                          <a:stretch>
                            <a:fillRect/>
                          </a:stretch>
                        </pic:blipFill>
                        <pic:spPr>
                          <a:xfrm>
                            <a:off x="1503794" y="814015"/>
                            <a:ext cx="73532" cy="73532"/>
                          </a:xfrm>
                          <a:prstGeom prst="rect">
                            <a:avLst/>
                          </a:prstGeom>
                        </pic:spPr>
                      </pic:pic>
                      <pic:pic xmlns:pic="http://schemas.openxmlformats.org/drawingml/2006/picture">
                        <pic:nvPicPr>
                          <pic:cNvPr id="286" name="Image 286"/>
                          <pic:cNvPicPr/>
                        </pic:nvPicPr>
                        <pic:blipFill>
                          <a:blip r:embed="rId108" cstate="print"/>
                          <a:stretch>
                            <a:fillRect/>
                          </a:stretch>
                        </pic:blipFill>
                        <pic:spPr>
                          <a:xfrm>
                            <a:off x="1861934" y="748483"/>
                            <a:ext cx="73532" cy="73533"/>
                          </a:xfrm>
                          <a:prstGeom prst="rect">
                            <a:avLst/>
                          </a:prstGeom>
                        </pic:spPr>
                      </pic:pic>
                      <pic:pic xmlns:pic="http://schemas.openxmlformats.org/drawingml/2006/picture">
                        <pic:nvPicPr>
                          <pic:cNvPr id="287" name="Image 287"/>
                          <pic:cNvPicPr/>
                        </pic:nvPicPr>
                        <pic:blipFill>
                          <a:blip r:embed="rId109" cstate="print"/>
                          <a:stretch>
                            <a:fillRect/>
                          </a:stretch>
                        </pic:blipFill>
                        <pic:spPr>
                          <a:xfrm>
                            <a:off x="2220074" y="687523"/>
                            <a:ext cx="73533" cy="73532"/>
                          </a:xfrm>
                          <a:prstGeom prst="rect">
                            <a:avLst/>
                          </a:prstGeom>
                        </pic:spPr>
                      </pic:pic>
                      <pic:pic xmlns:pic="http://schemas.openxmlformats.org/drawingml/2006/picture">
                        <pic:nvPicPr>
                          <pic:cNvPr id="288" name="Image 288"/>
                          <pic:cNvPicPr/>
                        </pic:nvPicPr>
                        <pic:blipFill>
                          <a:blip r:embed="rId109" cstate="print"/>
                          <a:stretch>
                            <a:fillRect/>
                          </a:stretch>
                        </pic:blipFill>
                        <pic:spPr>
                          <a:xfrm>
                            <a:off x="2578214" y="521407"/>
                            <a:ext cx="73533" cy="73533"/>
                          </a:xfrm>
                          <a:prstGeom prst="rect">
                            <a:avLst/>
                          </a:prstGeom>
                        </pic:spPr>
                      </pic:pic>
                      <pic:pic xmlns:pic="http://schemas.openxmlformats.org/drawingml/2006/picture">
                        <pic:nvPicPr>
                          <pic:cNvPr id="289" name="Image 289"/>
                          <pic:cNvPicPr/>
                        </pic:nvPicPr>
                        <pic:blipFill>
                          <a:blip r:embed="rId108" cstate="print"/>
                          <a:stretch>
                            <a:fillRect/>
                          </a:stretch>
                        </pic:blipFill>
                        <pic:spPr>
                          <a:xfrm>
                            <a:off x="2936354" y="682951"/>
                            <a:ext cx="73532" cy="73532"/>
                          </a:xfrm>
                          <a:prstGeom prst="rect">
                            <a:avLst/>
                          </a:prstGeom>
                        </pic:spPr>
                      </pic:pic>
                      <pic:pic xmlns:pic="http://schemas.openxmlformats.org/drawingml/2006/picture">
                        <pic:nvPicPr>
                          <pic:cNvPr id="290" name="Image 290"/>
                          <pic:cNvPicPr/>
                        </pic:nvPicPr>
                        <pic:blipFill>
                          <a:blip r:embed="rId111" cstate="print"/>
                          <a:stretch>
                            <a:fillRect/>
                          </a:stretch>
                        </pic:blipFill>
                        <pic:spPr>
                          <a:xfrm>
                            <a:off x="3296018" y="774391"/>
                            <a:ext cx="73532" cy="73532"/>
                          </a:xfrm>
                          <a:prstGeom prst="rect">
                            <a:avLst/>
                          </a:prstGeom>
                        </pic:spPr>
                      </pic:pic>
                      <pic:pic xmlns:pic="http://schemas.openxmlformats.org/drawingml/2006/picture">
                        <pic:nvPicPr>
                          <pic:cNvPr id="291" name="Image 291"/>
                          <pic:cNvPicPr/>
                        </pic:nvPicPr>
                        <pic:blipFill>
                          <a:blip r:embed="rId109" cstate="print"/>
                          <a:stretch>
                            <a:fillRect/>
                          </a:stretch>
                        </pic:blipFill>
                        <pic:spPr>
                          <a:xfrm>
                            <a:off x="3654158" y="763723"/>
                            <a:ext cx="73533" cy="73532"/>
                          </a:xfrm>
                          <a:prstGeom prst="rect">
                            <a:avLst/>
                          </a:prstGeom>
                        </pic:spPr>
                      </pic:pic>
                      <wps:wsp>
                        <wps:cNvPr id="292" name="Graphic 292"/>
                        <wps:cNvSpPr/>
                        <wps:spPr>
                          <a:xfrm>
                            <a:off x="107695" y="39378"/>
                            <a:ext cx="3583940" cy="467995"/>
                          </a:xfrm>
                          <a:custGeom>
                            <a:avLst/>
                            <a:gdLst/>
                            <a:ahLst/>
                            <a:cxnLst/>
                            <a:rect l="l" t="t" r="r" b="b"/>
                            <a:pathLst>
                              <a:path w="3583940" h="467995">
                                <a:moveTo>
                                  <a:pt x="0" y="357504"/>
                                </a:moveTo>
                                <a:lnTo>
                                  <a:pt x="358952" y="467613"/>
                                </a:lnTo>
                                <a:lnTo>
                                  <a:pt x="717092" y="354456"/>
                                </a:lnTo>
                                <a:lnTo>
                                  <a:pt x="1075232" y="381888"/>
                                </a:lnTo>
                                <a:lnTo>
                                  <a:pt x="1433372" y="307212"/>
                                </a:lnTo>
                                <a:lnTo>
                                  <a:pt x="1791512" y="261492"/>
                                </a:lnTo>
                                <a:lnTo>
                                  <a:pt x="2149652" y="189864"/>
                                </a:lnTo>
                                <a:lnTo>
                                  <a:pt x="2507792" y="0"/>
                                </a:lnTo>
                                <a:lnTo>
                                  <a:pt x="2865932" y="200532"/>
                                </a:lnTo>
                                <a:lnTo>
                                  <a:pt x="3225596" y="339216"/>
                                </a:lnTo>
                                <a:lnTo>
                                  <a:pt x="3583355" y="279780"/>
                                </a:lnTo>
                              </a:path>
                            </a:pathLst>
                          </a:custGeom>
                          <a:ln w="28575">
                            <a:solidFill>
                              <a:srgbClr val="FFC000"/>
                            </a:solidFill>
                            <a:prstDash val="solid"/>
                          </a:ln>
                        </wps:spPr>
                        <wps:bodyPr wrap="square" lIns="0" tIns="0" rIns="0" bIns="0" rtlCol="0">
                          <a:prstTxWarp prst="textNoShape">
                            <a:avLst/>
                          </a:prstTxWarp>
                          <a:noAutofit/>
                        </wps:bodyPr>
                      </wps:wsp>
                      <pic:pic xmlns:pic="http://schemas.openxmlformats.org/drawingml/2006/picture">
                        <pic:nvPicPr>
                          <pic:cNvPr id="293" name="Image 293"/>
                          <pic:cNvPicPr/>
                        </pic:nvPicPr>
                        <pic:blipFill>
                          <a:blip r:embed="rId122" cstate="print"/>
                          <a:stretch>
                            <a:fillRect/>
                          </a:stretch>
                        </pic:blipFill>
                        <pic:spPr>
                          <a:xfrm>
                            <a:off x="69710" y="359863"/>
                            <a:ext cx="73533" cy="73532"/>
                          </a:xfrm>
                          <a:prstGeom prst="rect">
                            <a:avLst/>
                          </a:prstGeom>
                        </pic:spPr>
                      </pic:pic>
                      <pic:pic xmlns:pic="http://schemas.openxmlformats.org/drawingml/2006/picture">
                        <pic:nvPicPr>
                          <pic:cNvPr id="294" name="Image 294"/>
                          <pic:cNvPicPr/>
                        </pic:nvPicPr>
                        <pic:blipFill>
                          <a:blip r:embed="rId123" cstate="print"/>
                          <a:stretch>
                            <a:fillRect/>
                          </a:stretch>
                        </pic:blipFill>
                        <pic:spPr>
                          <a:xfrm>
                            <a:off x="429374" y="469591"/>
                            <a:ext cx="73532" cy="73532"/>
                          </a:xfrm>
                          <a:prstGeom prst="rect">
                            <a:avLst/>
                          </a:prstGeom>
                        </pic:spPr>
                      </pic:pic>
                      <pic:pic xmlns:pic="http://schemas.openxmlformats.org/drawingml/2006/picture">
                        <pic:nvPicPr>
                          <pic:cNvPr id="295" name="Image 295"/>
                          <pic:cNvPicPr/>
                        </pic:nvPicPr>
                        <pic:blipFill>
                          <a:blip r:embed="rId123" cstate="print"/>
                          <a:stretch>
                            <a:fillRect/>
                          </a:stretch>
                        </pic:blipFill>
                        <pic:spPr>
                          <a:xfrm>
                            <a:off x="787514" y="356815"/>
                            <a:ext cx="73532" cy="73532"/>
                          </a:xfrm>
                          <a:prstGeom prst="rect">
                            <a:avLst/>
                          </a:prstGeom>
                        </pic:spPr>
                      </pic:pic>
                      <pic:pic xmlns:pic="http://schemas.openxmlformats.org/drawingml/2006/picture">
                        <pic:nvPicPr>
                          <pic:cNvPr id="296" name="Image 296"/>
                          <pic:cNvPicPr/>
                        </pic:nvPicPr>
                        <pic:blipFill>
                          <a:blip r:embed="rId124" cstate="print"/>
                          <a:stretch>
                            <a:fillRect/>
                          </a:stretch>
                        </pic:blipFill>
                        <pic:spPr>
                          <a:xfrm>
                            <a:off x="1145654" y="384247"/>
                            <a:ext cx="73532" cy="73532"/>
                          </a:xfrm>
                          <a:prstGeom prst="rect">
                            <a:avLst/>
                          </a:prstGeom>
                        </pic:spPr>
                      </pic:pic>
                      <pic:pic xmlns:pic="http://schemas.openxmlformats.org/drawingml/2006/picture">
                        <pic:nvPicPr>
                          <pic:cNvPr id="297" name="Image 297"/>
                          <pic:cNvPicPr/>
                        </pic:nvPicPr>
                        <pic:blipFill>
                          <a:blip r:embed="rId124" cstate="print"/>
                          <a:stretch>
                            <a:fillRect/>
                          </a:stretch>
                        </pic:blipFill>
                        <pic:spPr>
                          <a:xfrm>
                            <a:off x="1503794" y="309571"/>
                            <a:ext cx="73532" cy="73532"/>
                          </a:xfrm>
                          <a:prstGeom prst="rect">
                            <a:avLst/>
                          </a:prstGeom>
                        </pic:spPr>
                      </pic:pic>
                      <pic:pic xmlns:pic="http://schemas.openxmlformats.org/drawingml/2006/picture">
                        <pic:nvPicPr>
                          <pic:cNvPr id="298" name="Image 298"/>
                          <pic:cNvPicPr/>
                        </pic:nvPicPr>
                        <pic:blipFill>
                          <a:blip r:embed="rId125" cstate="print"/>
                          <a:stretch>
                            <a:fillRect/>
                          </a:stretch>
                        </pic:blipFill>
                        <pic:spPr>
                          <a:xfrm>
                            <a:off x="1861934" y="263851"/>
                            <a:ext cx="73532" cy="73532"/>
                          </a:xfrm>
                          <a:prstGeom prst="rect">
                            <a:avLst/>
                          </a:prstGeom>
                        </pic:spPr>
                      </pic:pic>
                      <pic:pic xmlns:pic="http://schemas.openxmlformats.org/drawingml/2006/picture">
                        <pic:nvPicPr>
                          <pic:cNvPr id="299" name="Image 299"/>
                          <pic:cNvPicPr/>
                        </pic:nvPicPr>
                        <pic:blipFill>
                          <a:blip r:embed="rId126" cstate="print"/>
                          <a:stretch>
                            <a:fillRect/>
                          </a:stretch>
                        </pic:blipFill>
                        <pic:spPr>
                          <a:xfrm>
                            <a:off x="2220074" y="192223"/>
                            <a:ext cx="73533" cy="73532"/>
                          </a:xfrm>
                          <a:prstGeom prst="rect">
                            <a:avLst/>
                          </a:prstGeom>
                        </pic:spPr>
                      </pic:pic>
                      <pic:pic xmlns:pic="http://schemas.openxmlformats.org/drawingml/2006/picture">
                        <pic:nvPicPr>
                          <pic:cNvPr id="300" name="Image 300"/>
                          <pic:cNvPicPr/>
                        </pic:nvPicPr>
                        <pic:blipFill>
                          <a:blip r:embed="rId126" cstate="print"/>
                          <a:stretch>
                            <a:fillRect/>
                          </a:stretch>
                        </pic:blipFill>
                        <pic:spPr>
                          <a:xfrm>
                            <a:off x="2578214" y="1723"/>
                            <a:ext cx="73533" cy="73532"/>
                          </a:xfrm>
                          <a:prstGeom prst="rect">
                            <a:avLst/>
                          </a:prstGeom>
                        </pic:spPr>
                      </pic:pic>
                      <pic:pic xmlns:pic="http://schemas.openxmlformats.org/drawingml/2006/picture">
                        <pic:nvPicPr>
                          <pic:cNvPr id="301" name="Image 301"/>
                          <pic:cNvPicPr/>
                        </pic:nvPicPr>
                        <pic:blipFill>
                          <a:blip r:embed="rId124" cstate="print"/>
                          <a:stretch>
                            <a:fillRect/>
                          </a:stretch>
                        </pic:blipFill>
                        <pic:spPr>
                          <a:xfrm>
                            <a:off x="2936354" y="202891"/>
                            <a:ext cx="73532" cy="73532"/>
                          </a:xfrm>
                          <a:prstGeom prst="rect">
                            <a:avLst/>
                          </a:prstGeom>
                        </pic:spPr>
                      </pic:pic>
                      <pic:pic xmlns:pic="http://schemas.openxmlformats.org/drawingml/2006/picture">
                        <pic:nvPicPr>
                          <pic:cNvPr id="302" name="Image 302"/>
                          <pic:cNvPicPr/>
                        </pic:nvPicPr>
                        <pic:blipFill>
                          <a:blip r:embed="rId123" cstate="print"/>
                          <a:stretch>
                            <a:fillRect/>
                          </a:stretch>
                        </pic:blipFill>
                        <pic:spPr>
                          <a:xfrm>
                            <a:off x="3296018" y="341575"/>
                            <a:ext cx="73532" cy="73532"/>
                          </a:xfrm>
                          <a:prstGeom prst="rect">
                            <a:avLst/>
                          </a:prstGeom>
                        </pic:spPr>
                      </pic:pic>
                      <pic:pic xmlns:pic="http://schemas.openxmlformats.org/drawingml/2006/picture">
                        <pic:nvPicPr>
                          <pic:cNvPr id="303" name="Image 303"/>
                          <pic:cNvPicPr/>
                        </pic:nvPicPr>
                        <pic:blipFill>
                          <a:blip r:embed="rId126" cstate="print"/>
                          <a:stretch>
                            <a:fillRect/>
                          </a:stretch>
                        </pic:blipFill>
                        <pic:spPr>
                          <a:xfrm>
                            <a:off x="3654158" y="282139"/>
                            <a:ext cx="73533" cy="73532"/>
                          </a:xfrm>
                          <a:prstGeom prst="rect">
                            <a:avLst/>
                          </a:prstGeom>
                        </pic:spPr>
                      </pic:pic>
                      <wps:wsp>
                        <wps:cNvPr id="304" name="Textbox 304"/>
                        <wps:cNvSpPr txBox="1"/>
                        <wps:spPr>
                          <a:xfrm>
                            <a:off x="0" y="167894"/>
                            <a:ext cx="227965" cy="139700"/>
                          </a:xfrm>
                          <a:prstGeom prst="rect">
                            <a:avLst/>
                          </a:prstGeom>
                        </wps:spPr>
                        <wps:txbx>
                          <w:txbxContent>
                            <w:p w14:paraId="6FA265FD" w14:textId="77777777" w:rsidR="000E52B0" w:rsidRDefault="00F60D74">
                              <w:pPr>
                                <w:rPr>
                                  <w:rFonts w:ascii="Trebuchet MS"/>
                                  <w:sz w:val="18"/>
                                </w:rPr>
                              </w:pPr>
                              <w:r>
                                <w:rPr>
                                  <w:rFonts w:ascii="Trebuchet MS"/>
                                  <w:color w:val="404040"/>
                                  <w:spacing w:val="-4"/>
                                  <w:sz w:val="18"/>
                                </w:rPr>
                                <w:t>18,6</w:t>
                              </w:r>
                            </w:p>
                          </w:txbxContent>
                        </wps:txbx>
                        <wps:bodyPr wrap="square" lIns="0" tIns="0" rIns="0" bIns="0" rtlCol="0">
                          <a:noAutofit/>
                        </wps:bodyPr>
                      </wps:wsp>
                      <wps:wsp>
                        <wps:cNvPr id="305" name="Textbox 305"/>
                        <wps:cNvSpPr txBox="1"/>
                        <wps:spPr>
                          <a:xfrm>
                            <a:off x="358444" y="278256"/>
                            <a:ext cx="227965" cy="139700"/>
                          </a:xfrm>
                          <a:prstGeom prst="rect">
                            <a:avLst/>
                          </a:prstGeom>
                        </wps:spPr>
                        <wps:txbx>
                          <w:txbxContent>
                            <w:p w14:paraId="6D34092F" w14:textId="77777777" w:rsidR="000E52B0" w:rsidRDefault="00F60D74">
                              <w:pPr>
                                <w:rPr>
                                  <w:rFonts w:ascii="Trebuchet MS"/>
                                  <w:sz w:val="18"/>
                                </w:rPr>
                              </w:pPr>
                              <w:r>
                                <w:rPr>
                                  <w:rFonts w:ascii="Trebuchet MS"/>
                                  <w:color w:val="404040"/>
                                  <w:spacing w:val="-4"/>
                                  <w:sz w:val="18"/>
                                </w:rPr>
                                <w:t>16,8</w:t>
                              </w:r>
                            </w:p>
                          </w:txbxContent>
                        </wps:txbx>
                        <wps:bodyPr wrap="square" lIns="0" tIns="0" rIns="0" bIns="0" rtlCol="0">
                          <a:noAutofit/>
                        </wps:bodyPr>
                      </wps:wsp>
                      <wps:wsp>
                        <wps:cNvPr id="306" name="Textbox 306"/>
                        <wps:cNvSpPr txBox="1"/>
                        <wps:spPr>
                          <a:xfrm>
                            <a:off x="716838" y="165862"/>
                            <a:ext cx="227965" cy="139700"/>
                          </a:xfrm>
                          <a:prstGeom prst="rect">
                            <a:avLst/>
                          </a:prstGeom>
                        </wps:spPr>
                        <wps:txbx>
                          <w:txbxContent>
                            <w:p w14:paraId="4998B017" w14:textId="77777777" w:rsidR="000E52B0" w:rsidRDefault="00F60D74">
                              <w:pPr>
                                <w:rPr>
                                  <w:rFonts w:ascii="Trebuchet MS"/>
                                  <w:sz w:val="18"/>
                                </w:rPr>
                              </w:pPr>
                              <w:r>
                                <w:rPr>
                                  <w:rFonts w:ascii="Trebuchet MS"/>
                                  <w:color w:val="404040"/>
                                  <w:spacing w:val="-4"/>
                                  <w:sz w:val="18"/>
                                </w:rPr>
                                <w:t>18,7</w:t>
                              </w:r>
                            </w:p>
                          </w:txbxContent>
                        </wps:txbx>
                        <wps:bodyPr wrap="square" lIns="0" tIns="0" rIns="0" bIns="0" rtlCol="0">
                          <a:noAutofit/>
                        </wps:bodyPr>
                      </wps:wsp>
                      <wps:wsp>
                        <wps:cNvPr id="307" name="Textbox 307"/>
                        <wps:cNvSpPr txBox="1"/>
                        <wps:spPr>
                          <a:xfrm>
                            <a:off x="1075359" y="192659"/>
                            <a:ext cx="227965" cy="139700"/>
                          </a:xfrm>
                          <a:prstGeom prst="rect">
                            <a:avLst/>
                          </a:prstGeom>
                        </wps:spPr>
                        <wps:txbx>
                          <w:txbxContent>
                            <w:p w14:paraId="2E67C6BB" w14:textId="77777777" w:rsidR="000E52B0" w:rsidRDefault="00F60D74">
                              <w:pPr>
                                <w:rPr>
                                  <w:rFonts w:ascii="Trebuchet MS"/>
                                  <w:sz w:val="18"/>
                                </w:rPr>
                              </w:pPr>
                              <w:r>
                                <w:rPr>
                                  <w:rFonts w:ascii="Trebuchet MS"/>
                                  <w:color w:val="404040"/>
                                  <w:spacing w:val="-4"/>
                                  <w:sz w:val="18"/>
                                </w:rPr>
                                <w:t>18,2</w:t>
                              </w:r>
                            </w:p>
                          </w:txbxContent>
                        </wps:txbx>
                        <wps:bodyPr wrap="square" lIns="0" tIns="0" rIns="0" bIns="0" rtlCol="0">
                          <a:noAutofit/>
                        </wps:bodyPr>
                      </wps:wsp>
                      <wps:wsp>
                        <wps:cNvPr id="308" name="Textbox 308"/>
                        <wps:cNvSpPr txBox="1"/>
                        <wps:spPr>
                          <a:xfrm>
                            <a:off x="1433753" y="118237"/>
                            <a:ext cx="227965" cy="139700"/>
                          </a:xfrm>
                          <a:prstGeom prst="rect">
                            <a:avLst/>
                          </a:prstGeom>
                        </wps:spPr>
                        <wps:txbx>
                          <w:txbxContent>
                            <w:p w14:paraId="508F648F" w14:textId="77777777" w:rsidR="000E52B0" w:rsidRDefault="00F60D74">
                              <w:pPr>
                                <w:rPr>
                                  <w:rFonts w:ascii="Trebuchet MS"/>
                                  <w:sz w:val="18"/>
                                </w:rPr>
                              </w:pPr>
                              <w:r>
                                <w:rPr>
                                  <w:rFonts w:ascii="Trebuchet MS"/>
                                  <w:color w:val="404040"/>
                                  <w:spacing w:val="-4"/>
                                  <w:sz w:val="18"/>
                                </w:rPr>
                                <w:t>19,5</w:t>
                              </w:r>
                            </w:p>
                          </w:txbxContent>
                        </wps:txbx>
                        <wps:bodyPr wrap="square" lIns="0" tIns="0" rIns="0" bIns="0" rtlCol="0">
                          <a:noAutofit/>
                        </wps:bodyPr>
                      </wps:wsp>
                      <wps:wsp>
                        <wps:cNvPr id="309" name="Textbox 309"/>
                        <wps:cNvSpPr txBox="1"/>
                        <wps:spPr>
                          <a:xfrm>
                            <a:off x="1792274" y="72517"/>
                            <a:ext cx="227965" cy="139700"/>
                          </a:xfrm>
                          <a:prstGeom prst="rect">
                            <a:avLst/>
                          </a:prstGeom>
                        </wps:spPr>
                        <wps:txbx>
                          <w:txbxContent>
                            <w:p w14:paraId="48F0EAC4" w14:textId="77777777" w:rsidR="000E52B0" w:rsidRDefault="00F60D74">
                              <w:pPr>
                                <w:rPr>
                                  <w:rFonts w:ascii="Trebuchet MS"/>
                                  <w:sz w:val="18"/>
                                </w:rPr>
                              </w:pPr>
                              <w:r>
                                <w:rPr>
                                  <w:rFonts w:ascii="Trebuchet MS"/>
                                  <w:color w:val="404040"/>
                                  <w:spacing w:val="-4"/>
                                  <w:sz w:val="18"/>
                                </w:rPr>
                                <w:t>20,2</w:t>
                              </w:r>
                            </w:p>
                          </w:txbxContent>
                        </wps:txbx>
                        <wps:bodyPr wrap="square" lIns="0" tIns="0" rIns="0" bIns="0" rtlCol="0">
                          <a:noAutofit/>
                        </wps:bodyPr>
                      </wps:wsp>
                      <wps:wsp>
                        <wps:cNvPr id="310" name="Textbox 310"/>
                        <wps:cNvSpPr txBox="1"/>
                        <wps:spPr>
                          <a:xfrm>
                            <a:off x="2150668" y="0"/>
                            <a:ext cx="227965" cy="139700"/>
                          </a:xfrm>
                          <a:prstGeom prst="rect">
                            <a:avLst/>
                          </a:prstGeom>
                        </wps:spPr>
                        <wps:txbx>
                          <w:txbxContent>
                            <w:p w14:paraId="779F3153" w14:textId="77777777" w:rsidR="000E52B0" w:rsidRDefault="00F60D74">
                              <w:pPr>
                                <w:rPr>
                                  <w:rFonts w:ascii="Trebuchet MS"/>
                                  <w:sz w:val="18"/>
                                </w:rPr>
                              </w:pPr>
                              <w:r>
                                <w:rPr>
                                  <w:rFonts w:ascii="Trebuchet MS"/>
                                  <w:color w:val="404040"/>
                                  <w:spacing w:val="-4"/>
                                  <w:sz w:val="18"/>
                                </w:rPr>
                                <w:t>21,5</w:t>
                              </w:r>
                            </w:p>
                          </w:txbxContent>
                        </wps:txbx>
                        <wps:bodyPr wrap="square" lIns="0" tIns="0" rIns="0" bIns="0" rtlCol="0">
                          <a:noAutofit/>
                        </wps:bodyPr>
                      </wps:wsp>
                      <wps:wsp>
                        <wps:cNvPr id="311" name="Textbox 311"/>
                        <wps:cNvSpPr txBox="1"/>
                        <wps:spPr>
                          <a:xfrm>
                            <a:off x="2867202" y="11937"/>
                            <a:ext cx="228600" cy="139700"/>
                          </a:xfrm>
                          <a:prstGeom prst="rect">
                            <a:avLst/>
                          </a:prstGeom>
                        </wps:spPr>
                        <wps:txbx>
                          <w:txbxContent>
                            <w:p w14:paraId="3DA6AC6C" w14:textId="77777777" w:rsidR="000E52B0" w:rsidRDefault="00F60D74">
                              <w:pPr>
                                <w:rPr>
                                  <w:rFonts w:ascii="Trebuchet MS"/>
                                  <w:sz w:val="18"/>
                                </w:rPr>
                              </w:pPr>
                              <w:r>
                                <w:rPr>
                                  <w:rFonts w:ascii="Trebuchet MS"/>
                                  <w:color w:val="404040"/>
                                  <w:spacing w:val="-4"/>
                                  <w:sz w:val="18"/>
                                </w:rPr>
                                <w:t>21,3</w:t>
                              </w:r>
                            </w:p>
                          </w:txbxContent>
                        </wps:txbx>
                        <wps:bodyPr wrap="square" lIns="0" tIns="0" rIns="0" bIns="0" rtlCol="0">
                          <a:noAutofit/>
                        </wps:bodyPr>
                      </wps:wsp>
                      <wps:wsp>
                        <wps:cNvPr id="312" name="Textbox 312"/>
                        <wps:cNvSpPr txBox="1"/>
                        <wps:spPr>
                          <a:xfrm>
                            <a:off x="3225723" y="149987"/>
                            <a:ext cx="227965" cy="139700"/>
                          </a:xfrm>
                          <a:prstGeom prst="rect">
                            <a:avLst/>
                          </a:prstGeom>
                        </wps:spPr>
                        <wps:txbx>
                          <w:txbxContent>
                            <w:p w14:paraId="0BEDA589" w14:textId="77777777" w:rsidR="000E52B0" w:rsidRDefault="00F60D74">
                              <w:pPr>
                                <w:rPr>
                                  <w:rFonts w:ascii="Trebuchet MS"/>
                                  <w:sz w:val="18"/>
                                </w:rPr>
                              </w:pPr>
                              <w:r>
                                <w:rPr>
                                  <w:rFonts w:ascii="Trebuchet MS"/>
                                  <w:color w:val="404040"/>
                                  <w:spacing w:val="-4"/>
                                  <w:sz w:val="18"/>
                                </w:rPr>
                                <w:t>19,0</w:t>
                              </w:r>
                            </w:p>
                          </w:txbxContent>
                        </wps:txbx>
                        <wps:bodyPr wrap="square" lIns="0" tIns="0" rIns="0" bIns="0" rtlCol="0">
                          <a:noAutofit/>
                        </wps:bodyPr>
                      </wps:wsp>
                      <wps:wsp>
                        <wps:cNvPr id="313" name="Textbox 313"/>
                        <wps:cNvSpPr txBox="1"/>
                        <wps:spPr>
                          <a:xfrm>
                            <a:off x="3584117" y="89915"/>
                            <a:ext cx="227965" cy="139700"/>
                          </a:xfrm>
                          <a:prstGeom prst="rect">
                            <a:avLst/>
                          </a:prstGeom>
                        </wps:spPr>
                        <wps:txbx>
                          <w:txbxContent>
                            <w:p w14:paraId="51D08D5C" w14:textId="77777777" w:rsidR="000E52B0" w:rsidRDefault="00F60D74">
                              <w:pPr>
                                <w:rPr>
                                  <w:rFonts w:ascii="Trebuchet MS"/>
                                  <w:sz w:val="18"/>
                                </w:rPr>
                              </w:pPr>
                              <w:r>
                                <w:rPr>
                                  <w:rFonts w:ascii="Trebuchet MS"/>
                                  <w:color w:val="404040"/>
                                  <w:spacing w:val="-4"/>
                                  <w:sz w:val="18"/>
                                </w:rPr>
                                <w:t>20,0</w:t>
                              </w:r>
                            </w:p>
                          </w:txbxContent>
                        </wps:txbx>
                        <wps:bodyPr wrap="square" lIns="0" tIns="0" rIns="0" bIns="0" rtlCol="0">
                          <a:noAutofit/>
                        </wps:bodyPr>
                      </wps:wsp>
                      <wps:wsp>
                        <wps:cNvPr id="314" name="Textbox 314"/>
                        <wps:cNvSpPr txBox="1"/>
                        <wps:spPr>
                          <a:xfrm>
                            <a:off x="2509062" y="329184"/>
                            <a:ext cx="227965" cy="139700"/>
                          </a:xfrm>
                          <a:prstGeom prst="rect">
                            <a:avLst/>
                          </a:prstGeom>
                        </wps:spPr>
                        <wps:txbx>
                          <w:txbxContent>
                            <w:p w14:paraId="4E15FBCC" w14:textId="77777777" w:rsidR="000E52B0" w:rsidRDefault="00F60D74">
                              <w:pPr>
                                <w:rPr>
                                  <w:rFonts w:ascii="Trebuchet MS"/>
                                  <w:sz w:val="18"/>
                                </w:rPr>
                              </w:pPr>
                              <w:r>
                                <w:rPr>
                                  <w:rFonts w:ascii="Trebuchet MS"/>
                                  <w:color w:val="404040"/>
                                  <w:spacing w:val="-4"/>
                                  <w:sz w:val="18"/>
                                </w:rPr>
                                <w:t>15,9</w:t>
                              </w:r>
                            </w:p>
                          </w:txbxContent>
                        </wps:txbx>
                        <wps:bodyPr wrap="square" lIns="0" tIns="0" rIns="0" bIns="0" rtlCol="0">
                          <a:noAutofit/>
                        </wps:bodyPr>
                      </wps:wsp>
                      <wps:wsp>
                        <wps:cNvPr id="315" name="Textbox 315"/>
                        <wps:cNvSpPr txBox="1"/>
                        <wps:spPr>
                          <a:xfrm>
                            <a:off x="0" y="634619"/>
                            <a:ext cx="227965" cy="139700"/>
                          </a:xfrm>
                          <a:prstGeom prst="rect">
                            <a:avLst/>
                          </a:prstGeom>
                        </wps:spPr>
                        <wps:txbx>
                          <w:txbxContent>
                            <w:p w14:paraId="3CD9F1E3" w14:textId="77777777" w:rsidR="000E52B0" w:rsidRDefault="00F60D74">
                              <w:pPr>
                                <w:rPr>
                                  <w:rFonts w:ascii="Trebuchet MS"/>
                                  <w:sz w:val="18"/>
                                </w:rPr>
                              </w:pPr>
                              <w:r>
                                <w:rPr>
                                  <w:rFonts w:ascii="Trebuchet MS"/>
                                  <w:color w:val="404040"/>
                                  <w:spacing w:val="-4"/>
                                  <w:sz w:val="18"/>
                                </w:rPr>
                                <w:t>10,8</w:t>
                              </w:r>
                            </w:p>
                          </w:txbxContent>
                        </wps:txbx>
                        <wps:bodyPr wrap="square" lIns="0" tIns="0" rIns="0" bIns="0" rtlCol="0">
                          <a:noAutofit/>
                        </wps:bodyPr>
                      </wps:wsp>
                      <wps:wsp>
                        <wps:cNvPr id="316" name="Textbox 316"/>
                        <wps:cNvSpPr txBox="1"/>
                        <wps:spPr>
                          <a:xfrm>
                            <a:off x="1792274" y="557530"/>
                            <a:ext cx="227965" cy="139700"/>
                          </a:xfrm>
                          <a:prstGeom prst="rect">
                            <a:avLst/>
                          </a:prstGeom>
                        </wps:spPr>
                        <wps:txbx>
                          <w:txbxContent>
                            <w:p w14:paraId="6B441658" w14:textId="77777777" w:rsidR="000E52B0" w:rsidRDefault="00F60D74">
                              <w:pPr>
                                <w:rPr>
                                  <w:rFonts w:ascii="Trebuchet MS"/>
                                  <w:sz w:val="18"/>
                                </w:rPr>
                              </w:pPr>
                              <w:r>
                                <w:rPr>
                                  <w:rFonts w:ascii="Trebuchet MS"/>
                                  <w:color w:val="404040"/>
                                  <w:spacing w:val="-4"/>
                                  <w:sz w:val="18"/>
                                </w:rPr>
                                <w:t>12,1</w:t>
                              </w:r>
                            </w:p>
                          </w:txbxContent>
                        </wps:txbx>
                        <wps:bodyPr wrap="square" lIns="0" tIns="0" rIns="0" bIns="0" rtlCol="0">
                          <a:noAutofit/>
                        </wps:bodyPr>
                      </wps:wsp>
                      <wps:wsp>
                        <wps:cNvPr id="317" name="Textbox 317"/>
                        <wps:cNvSpPr txBox="1"/>
                        <wps:spPr>
                          <a:xfrm>
                            <a:off x="2150668" y="495934"/>
                            <a:ext cx="227965" cy="139700"/>
                          </a:xfrm>
                          <a:prstGeom prst="rect">
                            <a:avLst/>
                          </a:prstGeom>
                        </wps:spPr>
                        <wps:txbx>
                          <w:txbxContent>
                            <w:p w14:paraId="3BC392AB" w14:textId="77777777" w:rsidR="000E52B0" w:rsidRDefault="00F60D74">
                              <w:pPr>
                                <w:rPr>
                                  <w:rFonts w:ascii="Trebuchet MS"/>
                                  <w:sz w:val="18"/>
                                </w:rPr>
                              </w:pPr>
                              <w:r>
                                <w:rPr>
                                  <w:rFonts w:ascii="Trebuchet MS"/>
                                  <w:color w:val="404040"/>
                                  <w:spacing w:val="-4"/>
                                  <w:sz w:val="18"/>
                                </w:rPr>
                                <w:t>13,2</w:t>
                              </w:r>
                            </w:p>
                          </w:txbxContent>
                        </wps:txbx>
                        <wps:bodyPr wrap="square" lIns="0" tIns="0" rIns="0" bIns="0" rtlCol="0">
                          <a:noAutofit/>
                        </wps:bodyPr>
                      </wps:wsp>
                      <wps:wsp>
                        <wps:cNvPr id="318" name="Textbox 318"/>
                        <wps:cNvSpPr txBox="1"/>
                        <wps:spPr>
                          <a:xfrm>
                            <a:off x="2867202" y="491998"/>
                            <a:ext cx="228600" cy="139700"/>
                          </a:xfrm>
                          <a:prstGeom prst="rect">
                            <a:avLst/>
                          </a:prstGeom>
                        </wps:spPr>
                        <wps:txbx>
                          <w:txbxContent>
                            <w:p w14:paraId="6A3474A7" w14:textId="77777777" w:rsidR="000E52B0" w:rsidRDefault="00F60D74">
                              <w:pPr>
                                <w:rPr>
                                  <w:rFonts w:ascii="Trebuchet MS"/>
                                  <w:sz w:val="18"/>
                                </w:rPr>
                              </w:pPr>
                              <w:r>
                                <w:rPr>
                                  <w:rFonts w:ascii="Trebuchet MS"/>
                                  <w:color w:val="404040"/>
                                  <w:spacing w:val="-4"/>
                                  <w:sz w:val="18"/>
                                </w:rPr>
                                <w:t>13,2</w:t>
                              </w:r>
                            </w:p>
                          </w:txbxContent>
                        </wps:txbx>
                        <wps:bodyPr wrap="square" lIns="0" tIns="0" rIns="0" bIns="0" rtlCol="0">
                          <a:noAutofit/>
                        </wps:bodyPr>
                      </wps:wsp>
                      <wps:wsp>
                        <wps:cNvPr id="319" name="Textbox 319"/>
                        <wps:cNvSpPr txBox="1"/>
                        <wps:spPr>
                          <a:xfrm>
                            <a:off x="358444" y="673862"/>
                            <a:ext cx="227965" cy="139700"/>
                          </a:xfrm>
                          <a:prstGeom prst="rect">
                            <a:avLst/>
                          </a:prstGeom>
                        </wps:spPr>
                        <wps:txbx>
                          <w:txbxContent>
                            <w:p w14:paraId="40B0987E" w14:textId="77777777" w:rsidR="000E52B0" w:rsidRDefault="00F60D74">
                              <w:pPr>
                                <w:rPr>
                                  <w:rFonts w:ascii="Trebuchet MS"/>
                                  <w:sz w:val="18"/>
                                </w:rPr>
                              </w:pPr>
                              <w:r>
                                <w:rPr>
                                  <w:rFonts w:ascii="Trebuchet MS"/>
                                  <w:color w:val="404040"/>
                                  <w:spacing w:val="-4"/>
                                  <w:sz w:val="18"/>
                                </w:rPr>
                                <w:t>10,2</w:t>
                              </w:r>
                            </w:p>
                          </w:txbxContent>
                        </wps:txbx>
                        <wps:bodyPr wrap="square" lIns="0" tIns="0" rIns="0" bIns="0" rtlCol="0">
                          <a:noAutofit/>
                        </wps:bodyPr>
                      </wps:wsp>
                      <wps:wsp>
                        <wps:cNvPr id="320" name="Textbox 320"/>
                        <wps:cNvSpPr txBox="1"/>
                        <wps:spPr>
                          <a:xfrm>
                            <a:off x="716838" y="623569"/>
                            <a:ext cx="227965" cy="139700"/>
                          </a:xfrm>
                          <a:prstGeom prst="rect">
                            <a:avLst/>
                          </a:prstGeom>
                        </wps:spPr>
                        <wps:txbx>
                          <w:txbxContent>
                            <w:p w14:paraId="3E581F31" w14:textId="77777777" w:rsidR="000E52B0" w:rsidRDefault="00F60D74">
                              <w:pPr>
                                <w:rPr>
                                  <w:rFonts w:ascii="Trebuchet MS"/>
                                  <w:sz w:val="18"/>
                                </w:rPr>
                              </w:pPr>
                              <w:r>
                                <w:rPr>
                                  <w:rFonts w:ascii="Trebuchet MS"/>
                                  <w:color w:val="404040"/>
                                  <w:spacing w:val="-4"/>
                                  <w:sz w:val="18"/>
                                </w:rPr>
                                <w:t>11,0</w:t>
                              </w:r>
                            </w:p>
                          </w:txbxContent>
                        </wps:txbx>
                        <wps:bodyPr wrap="square" lIns="0" tIns="0" rIns="0" bIns="0" rtlCol="0">
                          <a:noAutofit/>
                        </wps:bodyPr>
                      </wps:wsp>
                      <wps:wsp>
                        <wps:cNvPr id="321" name="Textbox 321"/>
                        <wps:cNvSpPr txBox="1"/>
                        <wps:spPr>
                          <a:xfrm>
                            <a:off x="1075359" y="629412"/>
                            <a:ext cx="227965" cy="139700"/>
                          </a:xfrm>
                          <a:prstGeom prst="rect">
                            <a:avLst/>
                          </a:prstGeom>
                        </wps:spPr>
                        <wps:txbx>
                          <w:txbxContent>
                            <w:p w14:paraId="114AE67B" w14:textId="77777777" w:rsidR="000E52B0" w:rsidRDefault="00F60D74">
                              <w:pPr>
                                <w:rPr>
                                  <w:rFonts w:ascii="Trebuchet MS"/>
                                  <w:sz w:val="18"/>
                                </w:rPr>
                              </w:pPr>
                              <w:r>
                                <w:rPr>
                                  <w:rFonts w:ascii="Trebuchet MS"/>
                                  <w:color w:val="404040"/>
                                  <w:spacing w:val="-4"/>
                                  <w:sz w:val="18"/>
                                </w:rPr>
                                <w:t>10,9</w:t>
                              </w:r>
                            </w:p>
                          </w:txbxContent>
                        </wps:txbx>
                        <wps:bodyPr wrap="square" lIns="0" tIns="0" rIns="0" bIns="0" rtlCol="0">
                          <a:noAutofit/>
                        </wps:bodyPr>
                      </wps:wsp>
                      <wps:wsp>
                        <wps:cNvPr id="322" name="Textbox 322"/>
                        <wps:cNvSpPr txBox="1"/>
                        <wps:spPr>
                          <a:xfrm>
                            <a:off x="1433753" y="622045"/>
                            <a:ext cx="227965" cy="139700"/>
                          </a:xfrm>
                          <a:prstGeom prst="rect">
                            <a:avLst/>
                          </a:prstGeom>
                        </wps:spPr>
                        <wps:txbx>
                          <w:txbxContent>
                            <w:p w14:paraId="0F91D4FB" w14:textId="77777777" w:rsidR="000E52B0" w:rsidRDefault="00F60D74">
                              <w:pPr>
                                <w:rPr>
                                  <w:rFonts w:ascii="Trebuchet MS"/>
                                  <w:sz w:val="18"/>
                                </w:rPr>
                              </w:pPr>
                              <w:r>
                                <w:rPr>
                                  <w:rFonts w:ascii="Trebuchet MS"/>
                                  <w:color w:val="404040"/>
                                  <w:spacing w:val="-4"/>
                                  <w:sz w:val="18"/>
                                </w:rPr>
                                <w:t>11,0</w:t>
                              </w:r>
                            </w:p>
                          </w:txbxContent>
                        </wps:txbx>
                        <wps:bodyPr wrap="square" lIns="0" tIns="0" rIns="0" bIns="0" rtlCol="0">
                          <a:noAutofit/>
                        </wps:bodyPr>
                      </wps:wsp>
                      <wps:wsp>
                        <wps:cNvPr id="323" name="Textbox 323"/>
                        <wps:cNvSpPr txBox="1"/>
                        <wps:spPr>
                          <a:xfrm>
                            <a:off x="3225723" y="572388"/>
                            <a:ext cx="586740" cy="150495"/>
                          </a:xfrm>
                          <a:prstGeom prst="rect">
                            <a:avLst/>
                          </a:prstGeom>
                        </wps:spPr>
                        <wps:txbx>
                          <w:txbxContent>
                            <w:p w14:paraId="057E5B7C" w14:textId="77777777" w:rsidR="000E52B0" w:rsidRDefault="00F60D74">
                              <w:pPr>
                                <w:tabs>
                                  <w:tab w:val="left" w:pos="564"/>
                                </w:tabs>
                                <w:spacing w:line="226" w:lineRule="exact"/>
                                <w:rPr>
                                  <w:rFonts w:ascii="Trebuchet MS"/>
                                  <w:position w:val="2"/>
                                  <w:sz w:val="18"/>
                                </w:rPr>
                              </w:pPr>
                              <w:r>
                                <w:rPr>
                                  <w:rFonts w:ascii="Trebuchet MS"/>
                                  <w:color w:val="404040"/>
                                  <w:spacing w:val="-4"/>
                                  <w:sz w:val="18"/>
                                </w:rPr>
                                <w:t>11,7</w:t>
                              </w:r>
                              <w:r>
                                <w:rPr>
                                  <w:rFonts w:ascii="Trebuchet MS"/>
                                  <w:color w:val="404040"/>
                                  <w:sz w:val="18"/>
                                </w:rPr>
                                <w:tab/>
                              </w:r>
                              <w:r>
                                <w:rPr>
                                  <w:rFonts w:ascii="Trebuchet MS"/>
                                  <w:color w:val="404040"/>
                                  <w:spacing w:val="-4"/>
                                  <w:position w:val="2"/>
                                  <w:sz w:val="18"/>
                                </w:rPr>
                                <w:t>11,9</w:t>
                              </w:r>
                            </w:p>
                          </w:txbxContent>
                        </wps:txbx>
                        <wps:bodyPr wrap="square" lIns="0" tIns="0" rIns="0" bIns="0" rtlCol="0">
                          <a:noAutofit/>
                        </wps:bodyPr>
                      </wps:wsp>
                    </wpg:wgp>
                  </a:graphicData>
                </a:graphic>
              </wp:anchor>
            </w:drawing>
          </mc:Choice>
          <mc:Fallback>
            <w:pict>
              <v:group w14:anchorId="404BE2B0" id="Group 279" o:spid="_x0000_s1177" style="position:absolute;left:0;text-align:left;margin-left:87.6pt;margin-top:-32.35pt;width:300.2pt;height:74pt;z-index:15779328;mso-wrap-distance-left:0;mso-wrap-distance-right:0;mso-position-horizontal-relative:page;mso-position-vertical-relative:text" coordsize="38125,9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">
                <v:shape id="Graphic 280" o:spid="_x0000_s1178" style="position:absolute;left:1076;top:5577;width:35840;height:3448;visibility:visible;mso-wrap-style:square;v-text-anchor:top" coordsize="358394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" path="m,305435r358952,39242l717092,294767r358140,6096l1433372,293243r358140,-65532l2149652,166750,2507792,r358140,162178l3225596,253619r357759,-10669e" filled="f" strokecolor="#e22c91" strokeweight="2.25pt">
                  <v:path arrowok="t"/>
                </v:shape>
                <v:shape id="Image 281" o:spid="_x0000_s1179" type="#_x0000_t75" style="position:absolute;left:697;top:8262;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">
                  <v:imagedata r:id="rId127" o:title=""/>
                </v:shape>
                <v:shape id="Image 282" o:spid="_x0000_s1180" type="#_x0000_t75" style="position:absolute;left:4293;top:8658;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">
                  <v:imagedata r:id="rId116" o:title=""/>
                </v:shape>
                <v:shape id="Image 283" o:spid="_x0000_s1181" type="#_x0000_t75" style="position:absolute;left:7875;top:8155;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">
                  <v:imagedata r:id="rId114" o:title=""/>
                </v:shape>
                <v:shape id="Image 284" o:spid="_x0000_s1182" type="#_x0000_t75" style="position:absolute;left:11456;top:8216;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">
                  <v:imagedata r:id="rId115" o:title=""/>
                </v:shape>
                <v:shape id="Image 285" o:spid="_x0000_s1183" type="#_x0000_t75" style="position:absolute;left:15037;top:8140;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">
                  <v:imagedata r:id="rId115" o:title=""/>
                </v:shape>
                <v:shape id="Image 286" o:spid="_x0000_s1184" type="#_x0000_t75" style="position:absolute;left:18619;top:7484;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">
                  <v:imagedata r:id="rId113" o:title=""/>
                </v:shape>
                <v:shape id="Image 287" o:spid="_x0000_s1185" type="#_x0000_t75" style="position:absolute;left:22200;top:6875;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">
                  <v:imagedata r:id="rId114" o:title=""/>
                </v:shape>
                <v:shape id="Image 288" o:spid="_x0000_s1186" type="#_x0000_t75" style="position:absolute;left:25782;top:5214;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">
                  <v:imagedata r:id="rId114" o:title=""/>
                </v:shape>
                <v:shape id="Image 289" o:spid="_x0000_s1187" type="#_x0000_t75" style="position:absolute;left:29363;top:6829;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">
                  <v:imagedata r:id="rId113" o:title=""/>
                </v:shape>
                <v:shape id="Image 290" o:spid="_x0000_s1188" type="#_x0000_t75" style="position:absolute;left:32960;top:7743;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">
                  <v:imagedata r:id="rId116" o:title=""/>
                </v:shape>
                <v:shape id="Image 291" o:spid="_x0000_s1189" type="#_x0000_t75" style="position:absolute;left:36541;top:7637;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">
                  <v:imagedata r:id="rId114" o:title=""/>
                </v:shape>
                <v:shape id="Graphic 292" o:spid="_x0000_s1190" style="position:absolute;left:1076;top:393;width:35840;height:4680;visibility:visible;mso-wrap-style:square;v-text-anchor:top" coordsize="358394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" path="m,357504l358952,467613,717092,354456r358140,27432l1433372,307212r358140,-45720l2149652,189864,2507792,r358140,200532l3225596,339216r357759,-59436e" filled="f" strokecolor="#ffc000" strokeweight="2.25pt">
                  <v:path arrowok="t"/>
                </v:shape>
                <v:shape id="Image 293" o:spid="_x0000_s1191" type="#_x0000_t75" style="position:absolute;left:697;top:3598;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">
                  <v:imagedata r:id="rId128" o:title=""/>
                </v:shape>
                <v:shape id="Image 294" o:spid="_x0000_s1192" type="#_x0000_t75" style="position:absolute;left:4293;top:4695;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">
                  <v:imagedata r:id="rId129" o:title=""/>
                </v:shape>
                <v:shape id="Image 295" o:spid="_x0000_s1193" type="#_x0000_t75" style="position:absolute;left:7875;top:3568;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">
                  <v:imagedata r:id="rId129" o:title=""/>
                </v:shape>
                <v:shape id="Image 296" o:spid="_x0000_s1194" type="#_x0000_t75" style="position:absolute;left:11456;top:3842;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">
                  <v:imagedata r:id="rId130" o:title=""/>
                </v:shape>
                <v:shape id="Image 297" o:spid="_x0000_s1195" type="#_x0000_t75" style="position:absolute;left:15037;top:3095;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">
                  <v:imagedata r:id="rId130" o:title=""/>
                </v:shape>
                <v:shape id="Image 298" o:spid="_x0000_s1196" type="#_x0000_t75" style="position:absolute;left:18619;top:2638;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">
                  <v:imagedata r:id="rId131" o:title=""/>
                </v:shape>
                <v:shape id="Image 299" o:spid="_x0000_s1197" type="#_x0000_t75" style="position:absolute;left:22200;top:1922;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">
                  <v:imagedata r:id="rId132" o:title=""/>
                </v:shape>
                <v:shape id="Image 300" o:spid="_x0000_s1198" type="#_x0000_t75" style="position:absolute;left:25782;top:17;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">
                  <v:imagedata r:id="rId132" o:title=""/>
                </v:shape>
                <v:shape id="Image 301" o:spid="_x0000_s1199" type="#_x0000_t75" style="position:absolute;left:29363;top:2028;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">
                  <v:imagedata r:id="rId130" o:title=""/>
                </v:shape>
                <v:shape id="Image 302" o:spid="_x0000_s1200" type="#_x0000_t75" style="position:absolute;left:32960;top:3415;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">
                  <v:imagedata r:id="rId129" o:title=""/>
                </v:shape>
                <v:shape id="Image 303" o:spid="_x0000_s1201" type="#_x0000_t75" style="position:absolute;left:36541;top:282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">
                  <v:imagedata r:id="rId132" o:title=""/>
                </v:shape>
                <v:shape id="Textbox 304" o:spid="_x0000_s1202" type="#_x0000_t202" style="position:absolute;top:1678;width:227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6FA265FD" w14:textId="77777777" w:rsidR="000E52B0" w:rsidRDefault="00F60D74">
                        <w:pPr>
                          <w:rPr>
                            <w:rFonts w:ascii="Trebuchet MS"/>
                            <w:sz w:val="18"/>
                          </w:rPr>
                        </w:pPr>
                        <w:r>
                          <w:rPr>
                            <w:rFonts w:ascii="Trebuchet MS"/>
                            <w:color w:val="404040"/>
                            <w:spacing w:val="-4"/>
                            <w:sz w:val="18"/>
                          </w:rPr>
                          <w:t>18,6</w:t>
                        </w:r>
                      </w:p>
                    </w:txbxContent>
                  </v:textbox>
                </v:shape>
                <v:shape id="Textbox 305" o:spid="_x0000_s1203" type="#_x0000_t202" style="position:absolute;left:3584;top:2782;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6D34092F" w14:textId="77777777" w:rsidR="000E52B0" w:rsidRDefault="00F60D74">
                        <w:pPr>
                          <w:rPr>
                            <w:rFonts w:ascii="Trebuchet MS"/>
                            <w:sz w:val="18"/>
                          </w:rPr>
                        </w:pPr>
                        <w:r>
                          <w:rPr>
                            <w:rFonts w:ascii="Trebuchet MS"/>
                            <w:color w:val="404040"/>
                            <w:spacing w:val="-4"/>
                            <w:sz w:val="18"/>
                          </w:rPr>
                          <w:t>16,8</w:t>
                        </w:r>
                      </w:p>
                    </w:txbxContent>
                  </v:textbox>
                </v:shape>
                <v:shape id="Textbox 306" o:spid="_x0000_s1204" type="#_x0000_t202" style="position:absolute;left:7168;top:1658;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4998B017" w14:textId="77777777" w:rsidR="000E52B0" w:rsidRDefault="00F60D74">
                        <w:pPr>
                          <w:rPr>
                            <w:rFonts w:ascii="Trebuchet MS"/>
                            <w:sz w:val="18"/>
                          </w:rPr>
                        </w:pPr>
                        <w:r>
                          <w:rPr>
                            <w:rFonts w:ascii="Trebuchet MS"/>
                            <w:color w:val="404040"/>
                            <w:spacing w:val="-4"/>
                            <w:sz w:val="18"/>
                          </w:rPr>
                          <w:t>18,7</w:t>
                        </w:r>
                      </w:p>
                    </w:txbxContent>
                  </v:textbox>
                </v:shape>
                <v:shape id="Textbox 307" o:spid="_x0000_s1205" type="#_x0000_t202" style="position:absolute;left:10753;top:1926;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2E67C6BB" w14:textId="77777777" w:rsidR="000E52B0" w:rsidRDefault="00F60D74">
                        <w:pPr>
                          <w:rPr>
                            <w:rFonts w:ascii="Trebuchet MS"/>
                            <w:sz w:val="18"/>
                          </w:rPr>
                        </w:pPr>
                        <w:r>
                          <w:rPr>
                            <w:rFonts w:ascii="Trebuchet MS"/>
                            <w:color w:val="404040"/>
                            <w:spacing w:val="-4"/>
                            <w:sz w:val="18"/>
                          </w:rPr>
                          <w:t>18,2</w:t>
                        </w:r>
                      </w:p>
                    </w:txbxContent>
                  </v:textbox>
                </v:shape>
                <v:shape id="Textbox 308" o:spid="_x0000_s1206" type="#_x0000_t202" style="position:absolute;left:14337;top:1182;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508F648F" w14:textId="77777777" w:rsidR="000E52B0" w:rsidRDefault="00F60D74">
                        <w:pPr>
                          <w:rPr>
                            <w:rFonts w:ascii="Trebuchet MS"/>
                            <w:sz w:val="18"/>
                          </w:rPr>
                        </w:pPr>
                        <w:r>
                          <w:rPr>
                            <w:rFonts w:ascii="Trebuchet MS"/>
                            <w:color w:val="404040"/>
                            <w:spacing w:val="-4"/>
                            <w:sz w:val="18"/>
                          </w:rPr>
                          <w:t>19,5</w:t>
                        </w:r>
                      </w:p>
                    </w:txbxContent>
                  </v:textbox>
                </v:shape>
                <v:shape id="Textbox 309" o:spid="_x0000_s1207" type="#_x0000_t202" style="position:absolute;left:17922;top:725;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48F0EAC4" w14:textId="77777777" w:rsidR="000E52B0" w:rsidRDefault="00F60D74">
                        <w:pPr>
                          <w:rPr>
                            <w:rFonts w:ascii="Trebuchet MS"/>
                            <w:sz w:val="18"/>
                          </w:rPr>
                        </w:pPr>
                        <w:r>
                          <w:rPr>
                            <w:rFonts w:ascii="Trebuchet MS"/>
                            <w:color w:val="404040"/>
                            <w:spacing w:val="-4"/>
                            <w:sz w:val="18"/>
                          </w:rPr>
                          <w:t>20,2</w:t>
                        </w:r>
                      </w:p>
                    </w:txbxContent>
                  </v:textbox>
                </v:shape>
                <v:shape id="Textbox 310" o:spid="_x0000_s1208" type="#_x0000_t202" style="position:absolute;left:21506;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779F3153" w14:textId="77777777" w:rsidR="000E52B0" w:rsidRDefault="00F60D74">
                        <w:pPr>
                          <w:rPr>
                            <w:rFonts w:ascii="Trebuchet MS"/>
                            <w:sz w:val="18"/>
                          </w:rPr>
                        </w:pPr>
                        <w:r>
                          <w:rPr>
                            <w:rFonts w:ascii="Trebuchet MS"/>
                            <w:color w:val="404040"/>
                            <w:spacing w:val="-4"/>
                            <w:sz w:val="18"/>
                          </w:rPr>
                          <w:t>21,5</w:t>
                        </w:r>
                      </w:p>
                    </w:txbxContent>
                  </v:textbox>
                </v:shape>
                <v:shape id="Textbox 311" o:spid="_x0000_s1209" type="#_x0000_t202" style="position:absolute;left:28672;top:119;width:228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3DA6AC6C" w14:textId="77777777" w:rsidR="000E52B0" w:rsidRDefault="00F60D74">
                        <w:pPr>
                          <w:rPr>
                            <w:rFonts w:ascii="Trebuchet MS"/>
                            <w:sz w:val="18"/>
                          </w:rPr>
                        </w:pPr>
                        <w:r>
                          <w:rPr>
                            <w:rFonts w:ascii="Trebuchet MS"/>
                            <w:color w:val="404040"/>
                            <w:spacing w:val="-4"/>
                            <w:sz w:val="18"/>
                          </w:rPr>
                          <w:t>21,3</w:t>
                        </w:r>
                      </w:p>
                    </w:txbxContent>
                  </v:textbox>
                </v:shape>
                <v:shape id="Textbox 312" o:spid="_x0000_s1210" type="#_x0000_t202" style="position:absolute;left:32257;top:1499;width:227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0BEDA589" w14:textId="77777777" w:rsidR="000E52B0" w:rsidRDefault="00F60D74">
                        <w:pPr>
                          <w:rPr>
                            <w:rFonts w:ascii="Trebuchet MS"/>
                            <w:sz w:val="18"/>
                          </w:rPr>
                        </w:pPr>
                        <w:r>
                          <w:rPr>
                            <w:rFonts w:ascii="Trebuchet MS"/>
                            <w:color w:val="404040"/>
                            <w:spacing w:val="-4"/>
                            <w:sz w:val="18"/>
                          </w:rPr>
                          <w:t>19,0</w:t>
                        </w:r>
                      </w:p>
                    </w:txbxContent>
                  </v:textbox>
                </v:shape>
                <v:shape id="Textbox 313" o:spid="_x0000_s1211" type="#_x0000_t202" style="position:absolute;left:35841;top:899;width:227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51D08D5C" w14:textId="77777777" w:rsidR="000E52B0" w:rsidRDefault="00F60D74">
                        <w:pPr>
                          <w:rPr>
                            <w:rFonts w:ascii="Trebuchet MS"/>
                            <w:sz w:val="18"/>
                          </w:rPr>
                        </w:pPr>
                        <w:r>
                          <w:rPr>
                            <w:rFonts w:ascii="Trebuchet MS"/>
                            <w:color w:val="404040"/>
                            <w:spacing w:val="-4"/>
                            <w:sz w:val="18"/>
                          </w:rPr>
                          <w:t>20,0</w:t>
                        </w:r>
                      </w:p>
                    </w:txbxContent>
                  </v:textbox>
                </v:shape>
                <v:shape id="Textbox 314" o:spid="_x0000_s1212" type="#_x0000_t202" style="position:absolute;left:25090;top:3291;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4E15FBCC" w14:textId="77777777" w:rsidR="000E52B0" w:rsidRDefault="00F60D74">
                        <w:pPr>
                          <w:rPr>
                            <w:rFonts w:ascii="Trebuchet MS"/>
                            <w:sz w:val="18"/>
                          </w:rPr>
                        </w:pPr>
                        <w:r>
                          <w:rPr>
                            <w:rFonts w:ascii="Trebuchet MS"/>
                            <w:color w:val="404040"/>
                            <w:spacing w:val="-4"/>
                            <w:sz w:val="18"/>
                          </w:rPr>
                          <w:t>15,9</w:t>
                        </w:r>
                      </w:p>
                    </w:txbxContent>
                  </v:textbox>
                </v:shape>
                <v:shape id="Textbox 315" o:spid="_x0000_s1213" type="#_x0000_t202" style="position:absolute;top:6346;width:227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3CD9F1E3" w14:textId="77777777" w:rsidR="000E52B0" w:rsidRDefault="00F60D74">
                        <w:pPr>
                          <w:rPr>
                            <w:rFonts w:ascii="Trebuchet MS"/>
                            <w:sz w:val="18"/>
                          </w:rPr>
                        </w:pPr>
                        <w:r>
                          <w:rPr>
                            <w:rFonts w:ascii="Trebuchet MS"/>
                            <w:color w:val="404040"/>
                            <w:spacing w:val="-4"/>
                            <w:sz w:val="18"/>
                          </w:rPr>
                          <w:t>10,8</w:t>
                        </w:r>
                      </w:p>
                    </w:txbxContent>
                  </v:textbox>
                </v:shape>
                <v:shape id="Textbox 316" o:spid="_x0000_s1214" type="#_x0000_t202" style="position:absolute;left:17922;top:5575;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6B441658" w14:textId="77777777" w:rsidR="000E52B0" w:rsidRDefault="00F60D74">
                        <w:pPr>
                          <w:rPr>
                            <w:rFonts w:ascii="Trebuchet MS"/>
                            <w:sz w:val="18"/>
                          </w:rPr>
                        </w:pPr>
                        <w:r>
                          <w:rPr>
                            <w:rFonts w:ascii="Trebuchet MS"/>
                            <w:color w:val="404040"/>
                            <w:spacing w:val="-4"/>
                            <w:sz w:val="18"/>
                          </w:rPr>
                          <w:t>12,1</w:t>
                        </w:r>
                      </w:p>
                    </w:txbxContent>
                  </v:textbox>
                </v:shape>
                <v:shape id="Textbox 317" o:spid="_x0000_s1215" type="#_x0000_t202" style="position:absolute;left:21506;top:4959;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3BC392AB" w14:textId="77777777" w:rsidR="000E52B0" w:rsidRDefault="00F60D74">
                        <w:pPr>
                          <w:rPr>
                            <w:rFonts w:ascii="Trebuchet MS"/>
                            <w:sz w:val="18"/>
                          </w:rPr>
                        </w:pPr>
                        <w:r>
                          <w:rPr>
                            <w:rFonts w:ascii="Trebuchet MS"/>
                            <w:color w:val="404040"/>
                            <w:spacing w:val="-4"/>
                            <w:sz w:val="18"/>
                          </w:rPr>
                          <w:t>13,2</w:t>
                        </w:r>
                      </w:p>
                    </w:txbxContent>
                  </v:textbox>
                </v:shape>
                <v:shape id="Textbox 318" o:spid="_x0000_s1216" type="#_x0000_t202" style="position:absolute;left:28672;top:4919;width:228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6A3474A7" w14:textId="77777777" w:rsidR="000E52B0" w:rsidRDefault="00F60D74">
                        <w:pPr>
                          <w:rPr>
                            <w:rFonts w:ascii="Trebuchet MS"/>
                            <w:sz w:val="18"/>
                          </w:rPr>
                        </w:pPr>
                        <w:r>
                          <w:rPr>
                            <w:rFonts w:ascii="Trebuchet MS"/>
                            <w:color w:val="404040"/>
                            <w:spacing w:val="-4"/>
                            <w:sz w:val="18"/>
                          </w:rPr>
                          <w:t>13,2</w:t>
                        </w:r>
                      </w:p>
                    </w:txbxContent>
                  </v:textbox>
                </v:shape>
                <v:shape id="Textbox 319" o:spid="_x0000_s1217" type="#_x0000_t202" style="position:absolute;left:3584;top:6738;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40B0987E" w14:textId="77777777" w:rsidR="000E52B0" w:rsidRDefault="00F60D74">
                        <w:pPr>
                          <w:rPr>
                            <w:rFonts w:ascii="Trebuchet MS"/>
                            <w:sz w:val="18"/>
                          </w:rPr>
                        </w:pPr>
                        <w:r>
                          <w:rPr>
                            <w:rFonts w:ascii="Trebuchet MS"/>
                            <w:color w:val="404040"/>
                            <w:spacing w:val="-4"/>
                            <w:sz w:val="18"/>
                          </w:rPr>
                          <w:t>10,2</w:t>
                        </w:r>
                      </w:p>
                    </w:txbxContent>
                  </v:textbox>
                </v:shape>
                <v:shape id="Textbox 320" o:spid="_x0000_s1218" type="#_x0000_t202" style="position:absolute;left:7168;top:6235;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3E581F31" w14:textId="77777777" w:rsidR="000E52B0" w:rsidRDefault="00F60D74">
                        <w:pPr>
                          <w:rPr>
                            <w:rFonts w:ascii="Trebuchet MS"/>
                            <w:sz w:val="18"/>
                          </w:rPr>
                        </w:pPr>
                        <w:r>
                          <w:rPr>
                            <w:rFonts w:ascii="Trebuchet MS"/>
                            <w:color w:val="404040"/>
                            <w:spacing w:val="-4"/>
                            <w:sz w:val="18"/>
                          </w:rPr>
                          <w:t>11,0</w:t>
                        </w:r>
                      </w:p>
                    </w:txbxContent>
                  </v:textbox>
                </v:shape>
                <v:shape id="Textbox 321" o:spid="_x0000_s1219" type="#_x0000_t202" style="position:absolute;left:10753;top:6294;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114AE67B" w14:textId="77777777" w:rsidR="000E52B0" w:rsidRDefault="00F60D74">
                        <w:pPr>
                          <w:rPr>
                            <w:rFonts w:ascii="Trebuchet MS"/>
                            <w:sz w:val="18"/>
                          </w:rPr>
                        </w:pPr>
                        <w:r>
                          <w:rPr>
                            <w:rFonts w:ascii="Trebuchet MS"/>
                            <w:color w:val="404040"/>
                            <w:spacing w:val="-4"/>
                            <w:sz w:val="18"/>
                          </w:rPr>
                          <w:t>10,9</w:t>
                        </w:r>
                      </w:p>
                    </w:txbxContent>
                  </v:textbox>
                </v:shape>
                <v:shape id="Textbox 322" o:spid="_x0000_s1220" type="#_x0000_t202" style="position:absolute;left:14337;top:6220;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0F91D4FB" w14:textId="77777777" w:rsidR="000E52B0" w:rsidRDefault="00F60D74">
                        <w:pPr>
                          <w:rPr>
                            <w:rFonts w:ascii="Trebuchet MS"/>
                            <w:sz w:val="18"/>
                          </w:rPr>
                        </w:pPr>
                        <w:r>
                          <w:rPr>
                            <w:rFonts w:ascii="Trebuchet MS"/>
                            <w:color w:val="404040"/>
                            <w:spacing w:val="-4"/>
                            <w:sz w:val="18"/>
                          </w:rPr>
                          <w:t>11,0</w:t>
                        </w:r>
                      </w:p>
                    </w:txbxContent>
                  </v:textbox>
                </v:shape>
                <v:shape id="Textbox 323" o:spid="_x0000_s1221" type="#_x0000_t202" style="position:absolute;left:32257;top:5723;width:5867;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057E5B7C" w14:textId="77777777" w:rsidR="000E52B0" w:rsidRDefault="00F60D74">
                        <w:pPr>
                          <w:tabs>
                            <w:tab w:val="left" w:pos="564"/>
                          </w:tabs>
                          <w:spacing w:line="226" w:lineRule="exact"/>
                          <w:rPr>
                            <w:rFonts w:ascii="Trebuchet MS"/>
                            <w:position w:val="2"/>
                            <w:sz w:val="18"/>
                          </w:rPr>
                        </w:pPr>
                        <w:r>
                          <w:rPr>
                            <w:rFonts w:ascii="Trebuchet MS"/>
                            <w:color w:val="404040"/>
                            <w:spacing w:val="-4"/>
                            <w:sz w:val="18"/>
                          </w:rPr>
                          <w:t>11,7</w:t>
                        </w:r>
                        <w:r>
                          <w:rPr>
                            <w:rFonts w:ascii="Trebuchet MS"/>
                            <w:color w:val="404040"/>
                            <w:sz w:val="18"/>
                          </w:rPr>
                          <w:tab/>
                        </w:r>
                        <w:r>
                          <w:rPr>
                            <w:rFonts w:ascii="Trebuchet MS"/>
                            <w:color w:val="404040"/>
                            <w:spacing w:val="-4"/>
                            <w:position w:val="2"/>
                            <w:sz w:val="18"/>
                          </w:rPr>
                          <w:t>11,9</w:t>
                        </w:r>
                      </w:p>
                    </w:txbxContent>
                  </v:textbox>
                </v:shape>
                <w10:wrap anchorx="page"/>
              </v:group>
            </w:pict>
          </mc:Fallback>
        </mc:AlternateContent>
      </w:r>
      <w:r>
        <w:rPr>
          <w:noProof/>
        </w:rPr>
        <w:drawing>
          <wp:inline distT="0" distB="0" distL="0" distR="0" wp14:anchorId="6CAD4FAD" wp14:editId="4FD6860D">
            <wp:extent cx="243839" cy="59816"/>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133" cstate="print"/>
                    <a:stretch>
                      <a:fillRect/>
                    </a:stretch>
                  </pic:blipFill>
                  <pic:spPr>
                    <a:xfrm>
                      <a:off x="0" y="0"/>
                      <a:ext cx="243839" cy="59816"/>
                    </a:xfrm>
                    <a:prstGeom prst="rect">
                      <a:avLst/>
                    </a:prstGeom>
                  </pic:spPr>
                </pic:pic>
              </a:graphicData>
            </a:graphic>
          </wp:inline>
        </w:drawing>
      </w:r>
      <w:r>
        <w:rPr>
          <w:rFonts w:ascii="Times New Roman" w:hAnsi="Times New Roman"/>
          <w:spacing w:val="-13"/>
          <w:sz w:val="20"/>
        </w:rPr>
        <w:t xml:space="preserve"> </w:t>
      </w:r>
      <w:r>
        <w:rPr>
          <w:rFonts w:ascii="Trebuchet MS" w:hAnsi="Trebuchet MS"/>
          <w:color w:val="585858"/>
          <w:sz w:val="16"/>
        </w:rPr>
        <w:t>Tasa</w:t>
      </w:r>
      <w:r>
        <w:rPr>
          <w:rFonts w:ascii="Trebuchet MS" w:hAnsi="Trebuchet MS"/>
          <w:color w:val="585858"/>
          <w:spacing w:val="-17"/>
          <w:sz w:val="16"/>
        </w:rPr>
        <w:t xml:space="preserve"> </w:t>
      </w:r>
      <w:r>
        <w:rPr>
          <w:rFonts w:ascii="Trebuchet MS" w:hAnsi="Trebuchet MS"/>
          <w:color w:val="585858"/>
          <w:sz w:val="16"/>
        </w:rPr>
        <w:t>de</w:t>
      </w:r>
      <w:r>
        <w:rPr>
          <w:rFonts w:ascii="Trebuchet MS" w:hAnsi="Trebuchet MS"/>
          <w:color w:val="585858"/>
          <w:spacing w:val="-16"/>
          <w:sz w:val="16"/>
        </w:rPr>
        <w:t xml:space="preserve"> </w:t>
      </w:r>
      <w:r>
        <w:rPr>
          <w:rFonts w:ascii="Trebuchet MS" w:hAnsi="Trebuchet MS"/>
          <w:color w:val="585858"/>
          <w:sz w:val="16"/>
        </w:rPr>
        <w:t>desocupación total</w:t>
      </w:r>
      <w:r>
        <w:rPr>
          <w:rFonts w:ascii="Trebuchet MS" w:hAnsi="Trebuchet MS"/>
          <w:color w:val="585858"/>
          <w:spacing w:val="-14"/>
          <w:sz w:val="16"/>
        </w:rPr>
        <w:t xml:space="preserve"> </w:t>
      </w:r>
      <w:r>
        <w:rPr>
          <w:rFonts w:ascii="Trebuchet MS" w:hAnsi="Trebuchet MS"/>
          <w:color w:val="585858"/>
          <w:sz w:val="16"/>
        </w:rPr>
        <w:t>-</w:t>
      </w:r>
      <w:r>
        <w:rPr>
          <w:rFonts w:ascii="Trebuchet MS" w:hAnsi="Trebuchet MS"/>
          <w:color w:val="585858"/>
          <w:spacing w:val="21"/>
          <w:sz w:val="16"/>
        </w:rPr>
        <w:t xml:space="preserve"> </w:t>
      </w:r>
      <w:r>
        <w:rPr>
          <w:rFonts w:ascii="Trebuchet MS" w:hAnsi="Trebuchet MS"/>
          <w:color w:val="585858"/>
          <w:sz w:val="16"/>
        </w:rPr>
        <w:t>Total</w:t>
      </w:r>
      <w:r>
        <w:rPr>
          <w:rFonts w:ascii="Trebuchet MS" w:hAnsi="Trebuchet MS"/>
          <w:color w:val="585858"/>
          <w:spacing w:val="-14"/>
          <w:sz w:val="16"/>
        </w:rPr>
        <w:t xml:space="preserve"> </w:t>
      </w:r>
      <w:r>
        <w:rPr>
          <w:rFonts w:ascii="Trebuchet MS" w:hAnsi="Trebuchet MS"/>
          <w:color w:val="585858"/>
          <w:sz w:val="16"/>
        </w:rPr>
        <w:t>nacional</w:t>
      </w:r>
    </w:p>
    <w:p w14:paraId="60E6B8DA" w14:textId="77777777" w:rsidR="000E52B0" w:rsidRDefault="00F60D74">
      <w:pPr>
        <w:spacing w:before="27" w:line="252" w:lineRule="auto"/>
        <w:ind w:left="7900" w:right="723" w:hanging="427"/>
        <w:rPr>
          <w:rFonts w:ascii="Trebuchet MS" w:hAnsi="Trebuchet MS"/>
          <w:sz w:val="16"/>
        </w:rPr>
      </w:pPr>
      <w:r>
        <w:rPr>
          <w:noProof/>
        </w:rPr>
        <w:drawing>
          <wp:inline distT="0" distB="0" distL="0" distR="0" wp14:anchorId="73E17145" wp14:editId="2AC34806">
            <wp:extent cx="243839" cy="59816"/>
            <wp:effectExtent l="0" t="0" r="0" b="0"/>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34" cstate="print"/>
                    <a:stretch>
                      <a:fillRect/>
                    </a:stretch>
                  </pic:blipFill>
                  <pic:spPr>
                    <a:xfrm>
                      <a:off x="0" y="0"/>
                      <a:ext cx="243839" cy="59816"/>
                    </a:xfrm>
                    <a:prstGeom prst="rect">
                      <a:avLst/>
                    </a:prstGeom>
                  </pic:spPr>
                </pic:pic>
              </a:graphicData>
            </a:graphic>
          </wp:inline>
        </w:drawing>
      </w:r>
      <w:r>
        <w:rPr>
          <w:rFonts w:ascii="Times New Roman" w:hAnsi="Times New Roman"/>
          <w:spacing w:val="-13"/>
          <w:sz w:val="20"/>
        </w:rPr>
        <w:t xml:space="preserve"> </w:t>
      </w:r>
      <w:r>
        <w:rPr>
          <w:rFonts w:ascii="Trebuchet MS" w:hAnsi="Trebuchet MS"/>
          <w:color w:val="585858"/>
          <w:sz w:val="16"/>
        </w:rPr>
        <w:t>Tasa</w:t>
      </w:r>
      <w:r>
        <w:rPr>
          <w:rFonts w:ascii="Trebuchet MS" w:hAnsi="Trebuchet MS"/>
          <w:color w:val="585858"/>
          <w:spacing w:val="-17"/>
          <w:sz w:val="16"/>
        </w:rPr>
        <w:t xml:space="preserve"> </w:t>
      </w:r>
      <w:r>
        <w:rPr>
          <w:rFonts w:ascii="Trebuchet MS" w:hAnsi="Trebuchet MS"/>
          <w:color w:val="585858"/>
          <w:sz w:val="16"/>
        </w:rPr>
        <w:t>de</w:t>
      </w:r>
      <w:r>
        <w:rPr>
          <w:rFonts w:ascii="Trebuchet MS" w:hAnsi="Trebuchet MS"/>
          <w:color w:val="585858"/>
          <w:spacing w:val="-16"/>
          <w:sz w:val="16"/>
        </w:rPr>
        <w:t xml:space="preserve"> </w:t>
      </w:r>
      <w:r>
        <w:rPr>
          <w:rFonts w:ascii="Trebuchet MS" w:hAnsi="Trebuchet MS"/>
          <w:color w:val="585858"/>
          <w:sz w:val="16"/>
        </w:rPr>
        <w:t xml:space="preserve">desocupación </w:t>
      </w:r>
      <w:r>
        <w:rPr>
          <w:rFonts w:ascii="Trebuchet MS" w:hAnsi="Trebuchet MS"/>
          <w:color w:val="585858"/>
          <w:w w:val="90"/>
          <w:sz w:val="16"/>
        </w:rPr>
        <w:t>juvenil</w:t>
      </w:r>
      <w:r>
        <w:rPr>
          <w:rFonts w:ascii="Trebuchet MS" w:hAnsi="Trebuchet MS"/>
          <w:color w:val="585858"/>
          <w:spacing w:val="-10"/>
          <w:w w:val="90"/>
          <w:sz w:val="16"/>
        </w:rPr>
        <w:t xml:space="preserve"> </w:t>
      </w:r>
      <w:r>
        <w:rPr>
          <w:rFonts w:ascii="Trebuchet MS" w:hAnsi="Trebuchet MS"/>
          <w:color w:val="585858"/>
          <w:w w:val="90"/>
          <w:sz w:val="16"/>
        </w:rPr>
        <w:t>-</w:t>
      </w:r>
      <w:r>
        <w:rPr>
          <w:rFonts w:ascii="Trebuchet MS" w:hAnsi="Trebuchet MS"/>
          <w:color w:val="585858"/>
          <w:spacing w:val="-10"/>
          <w:w w:val="90"/>
          <w:sz w:val="16"/>
        </w:rPr>
        <w:t xml:space="preserve"> </w:t>
      </w:r>
      <w:r>
        <w:rPr>
          <w:rFonts w:ascii="Trebuchet MS" w:hAnsi="Trebuchet MS"/>
          <w:color w:val="585858"/>
          <w:w w:val="90"/>
          <w:sz w:val="16"/>
        </w:rPr>
        <w:t>Total</w:t>
      </w:r>
      <w:r>
        <w:rPr>
          <w:rFonts w:ascii="Trebuchet MS" w:hAnsi="Trebuchet MS"/>
          <w:color w:val="585858"/>
          <w:spacing w:val="-9"/>
          <w:w w:val="90"/>
          <w:sz w:val="16"/>
        </w:rPr>
        <w:t xml:space="preserve"> </w:t>
      </w:r>
      <w:r>
        <w:rPr>
          <w:rFonts w:ascii="Trebuchet MS" w:hAnsi="Trebuchet MS"/>
          <w:color w:val="585858"/>
          <w:spacing w:val="-2"/>
          <w:w w:val="90"/>
          <w:sz w:val="16"/>
        </w:rPr>
        <w:t>nacional</w:t>
      </w:r>
    </w:p>
    <w:p w14:paraId="0E4E5E9C" w14:textId="77777777" w:rsidR="000E52B0" w:rsidRDefault="000E52B0">
      <w:pPr>
        <w:pStyle w:val="Textoindependiente"/>
        <w:ind w:left="0"/>
        <w:rPr>
          <w:rFonts w:ascii="Trebuchet MS"/>
          <w:sz w:val="20"/>
        </w:rPr>
      </w:pPr>
    </w:p>
    <w:p w14:paraId="6F905139" w14:textId="77777777" w:rsidR="000E52B0" w:rsidRDefault="000E52B0">
      <w:pPr>
        <w:pStyle w:val="Textoindependiente"/>
        <w:ind w:left="0"/>
        <w:rPr>
          <w:rFonts w:ascii="Trebuchet MS"/>
          <w:sz w:val="20"/>
        </w:rPr>
      </w:pPr>
    </w:p>
    <w:p w14:paraId="0E88EDA6" w14:textId="77777777" w:rsidR="000E52B0" w:rsidRDefault="00F60D74">
      <w:pPr>
        <w:pStyle w:val="Textoindependiente"/>
        <w:spacing w:before="199"/>
        <w:ind w:left="0"/>
        <w:rPr>
          <w:rFonts w:ascii="Trebuchet MS"/>
          <w:sz w:val="20"/>
        </w:rPr>
      </w:pPr>
      <w:r>
        <w:rPr>
          <w:rFonts w:ascii="Trebuchet MS"/>
          <w:noProof/>
          <w:sz w:val="20"/>
        </w:rPr>
        <mc:AlternateContent>
          <mc:Choice Requires="wps">
            <w:drawing>
              <wp:anchor distT="0" distB="0" distL="0" distR="0" simplePos="0" relativeHeight="487637504" behindDoc="1" locked="0" layoutInCell="1" allowOverlap="1" wp14:anchorId="20AECDA5" wp14:editId="6D140702">
                <wp:simplePos x="0" y="0"/>
                <wp:positionH relativeFrom="page">
                  <wp:posOffset>1040752</wp:posOffset>
                </wp:positionH>
                <wp:positionV relativeFrom="paragraph">
                  <wp:posOffset>289610</wp:posOffset>
                </wp:positionV>
                <wp:extent cx="3942079" cy="1270"/>
                <wp:effectExtent l="0" t="0" r="0" b="0"/>
                <wp:wrapTopAndBottom/>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2079" cy="1270"/>
                        </a:xfrm>
                        <a:custGeom>
                          <a:avLst/>
                          <a:gdLst/>
                          <a:ahLst/>
                          <a:cxnLst/>
                          <a:rect l="l" t="t" r="r" b="b"/>
                          <a:pathLst>
                            <a:path w="3942079">
                              <a:moveTo>
                                <a:pt x="0" y="0"/>
                              </a:moveTo>
                              <a:lnTo>
                                <a:pt x="3941711"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61DFD1E4" id="Graphic 326" o:spid="_x0000_s1026" style="position:absolute;margin-left:81.95pt;margin-top:22.8pt;width:310.4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39420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" path="m,l3941711,e" filled="f" strokecolor="#d9d9d9">
                <v:path arrowok="t"/>
                <w10:wrap type="topAndBottom" anchorx="page"/>
              </v:shape>
            </w:pict>
          </mc:Fallback>
        </mc:AlternateContent>
      </w:r>
    </w:p>
    <w:p w14:paraId="3611A92F" w14:textId="77777777" w:rsidR="000E52B0" w:rsidRDefault="00F60D74">
      <w:pPr>
        <w:spacing w:before="105"/>
        <w:ind w:left="1008"/>
        <w:rPr>
          <w:rFonts w:ascii="Trebuchet MS"/>
          <w:sz w:val="18"/>
        </w:rPr>
      </w:pPr>
      <w:proofErr w:type="gramStart"/>
      <w:r>
        <w:rPr>
          <w:rFonts w:ascii="Trebuchet MS"/>
          <w:color w:val="585858"/>
          <w:sz w:val="18"/>
        </w:rPr>
        <w:t>2014</w:t>
      </w:r>
      <w:r>
        <w:rPr>
          <w:rFonts w:ascii="Trebuchet MS"/>
          <w:color w:val="585858"/>
          <w:spacing w:val="35"/>
          <w:sz w:val="18"/>
        </w:rPr>
        <w:t xml:space="preserve">  </w:t>
      </w:r>
      <w:r>
        <w:rPr>
          <w:rFonts w:ascii="Trebuchet MS"/>
          <w:color w:val="585858"/>
          <w:sz w:val="18"/>
        </w:rPr>
        <w:t>2015</w:t>
      </w:r>
      <w:proofErr w:type="gramEnd"/>
      <w:r>
        <w:rPr>
          <w:rFonts w:ascii="Trebuchet MS"/>
          <w:color w:val="585858"/>
          <w:spacing w:val="36"/>
          <w:sz w:val="18"/>
        </w:rPr>
        <w:t xml:space="preserve">  </w:t>
      </w:r>
      <w:proofErr w:type="gramStart"/>
      <w:r>
        <w:rPr>
          <w:rFonts w:ascii="Trebuchet MS"/>
          <w:color w:val="585858"/>
          <w:sz w:val="18"/>
        </w:rPr>
        <w:t>2016</w:t>
      </w:r>
      <w:r>
        <w:rPr>
          <w:rFonts w:ascii="Trebuchet MS"/>
          <w:color w:val="585858"/>
          <w:spacing w:val="36"/>
          <w:sz w:val="18"/>
        </w:rPr>
        <w:t xml:space="preserve">  </w:t>
      </w:r>
      <w:r>
        <w:rPr>
          <w:rFonts w:ascii="Trebuchet MS"/>
          <w:color w:val="585858"/>
          <w:sz w:val="18"/>
        </w:rPr>
        <w:t>2017</w:t>
      </w:r>
      <w:proofErr w:type="gramEnd"/>
      <w:r>
        <w:rPr>
          <w:rFonts w:ascii="Trebuchet MS"/>
          <w:color w:val="585858"/>
          <w:spacing w:val="36"/>
          <w:sz w:val="18"/>
        </w:rPr>
        <w:t xml:space="preserve">  </w:t>
      </w:r>
      <w:proofErr w:type="gramStart"/>
      <w:r>
        <w:rPr>
          <w:rFonts w:ascii="Trebuchet MS"/>
          <w:color w:val="585858"/>
          <w:sz w:val="18"/>
        </w:rPr>
        <w:t>2018</w:t>
      </w:r>
      <w:r>
        <w:rPr>
          <w:rFonts w:ascii="Trebuchet MS"/>
          <w:color w:val="585858"/>
          <w:spacing w:val="35"/>
          <w:sz w:val="18"/>
        </w:rPr>
        <w:t xml:space="preserve">  </w:t>
      </w:r>
      <w:r>
        <w:rPr>
          <w:rFonts w:ascii="Trebuchet MS"/>
          <w:color w:val="585858"/>
          <w:sz w:val="18"/>
        </w:rPr>
        <w:t>2019</w:t>
      </w:r>
      <w:proofErr w:type="gramEnd"/>
      <w:r>
        <w:rPr>
          <w:rFonts w:ascii="Trebuchet MS"/>
          <w:color w:val="585858"/>
          <w:spacing w:val="36"/>
          <w:sz w:val="18"/>
        </w:rPr>
        <w:t xml:space="preserve">  </w:t>
      </w:r>
      <w:proofErr w:type="gramStart"/>
      <w:r>
        <w:rPr>
          <w:rFonts w:ascii="Trebuchet MS"/>
          <w:color w:val="585858"/>
          <w:sz w:val="18"/>
        </w:rPr>
        <w:t>2020</w:t>
      </w:r>
      <w:r>
        <w:rPr>
          <w:rFonts w:ascii="Trebuchet MS"/>
          <w:color w:val="585858"/>
          <w:spacing w:val="36"/>
          <w:sz w:val="18"/>
        </w:rPr>
        <w:t xml:space="preserve">  </w:t>
      </w:r>
      <w:r>
        <w:rPr>
          <w:rFonts w:ascii="Trebuchet MS"/>
          <w:color w:val="585858"/>
          <w:sz w:val="18"/>
        </w:rPr>
        <w:t>2021</w:t>
      </w:r>
      <w:proofErr w:type="gramEnd"/>
      <w:r>
        <w:rPr>
          <w:rFonts w:ascii="Trebuchet MS"/>
          <w:color w:val="585858"/>
          <w:spacing w:val="36"/>
          <w:sz w:val="18"/>
        </w:rPr>
        <w:t xml:space="preserve">  </w:t>
      </w:r>
      <w:proofErr w:type="gramStart"/>
      <w:r>
        <w:rPr>
          <w:rFonts w:ascii="Trebuchet MS"/>
          <w:color w:val="585858"/>
          <w:sz w:val="18"/>
        </w:rPr>
        <w:t>2022</w:t>
      </w:r>
      <w:r>
        <w:rPr>
          <w:rFonts w:ascii="Trebuchet MS"/>
          <w:color w:val="585858"/>
          <w:spacing w:val="35"/>
          <w:sz w:val="18"/>
        </w:rPr>
        <w:t xml:space="preserve">  </w:t>
      </w:r>
      <w:r>
        <w:rPr>
          <w:rFonts w:ascii="Trebuchet MS"/>
          <w:color w:val="585858"/>
          <w:sz w:val="18"/>
        </w:rPr>
        <w:t>2023</w:t>
      </w:r>
      <w:proofErr w:type="gramEnd"/>
      <w:r>
        <w:rPr>
          <w:rFonts w:ascii="Trebuchet MS"/>
          <w:color w:val="585858"/>
          <w:spacing w:val="36"/>
          <w:sz w:val="18"/>
        </w:rPr>
        <w:t xml:space="preserve">  </w:t>
      </w:r>
      <w:r>
        <w:rPr>
          <w:rFonts w:ascii="Trebuchet MS"/>
          <w:color w:val="585858"/>
          <w:spacing w:val="-4"/>
          <w:sz w:val="18"/>
        </w:rPr>
        <w:t>2024</w:t>
      </w:r>
    </w:p>
    <w:p w14:paraId="5E944C89" w14:textId="77777777" w:rsidR="000E52B0" w:rsidRDefault="00F60D74">
      <w:pPr>
        <w:spacing w:before="186"/>
        <w:ind w:left="907" w:right="907"/>
        <w:jc w:val="center"/>
        <w:rPr>
          <w:i/>
          <w:sz w:val="18"/>
        </w:rPr>
      </w:pPr>
      <w:r>
        <w:rPr>
          <w:i/>
          <w:color w:val="454551"/>
          <w:sz w:val="18"/>
        </w:rPr>
        <w:t>Fuente</w:t>
      </w:r>
      <w:r>
        <w:rPr>
          <w:i/>
          <w:color w:val="454551"/>
          <w:spacing w:val="-2"/>
          <w:sz w:val="18"/>
        </w:rPr>
        <w:t xml:space="preserve"> </w:t>
      </w:r>
      <w:r>
        <w:rPr>
          <w:i/>
          <w:color w:val="454551"/>
          <w:sz w:val="18"/>
        </w:rPr>
        <w:t>18.</w:t>
      </w:r>
      <w:r>
        <w:rPr>
          <w:i/>
          <w:color w:val="454551"/>
          <w:spacing w:val="-4"/>
          <w:sz w:val="18"/>
        </w:rPr>
        <w:t xml:space="preserve"> </w:t>
      </w:r>
      <w:r>
        <w:rPr>
          <w:i/>
          <w:color w:val="454551"/>
          <w:sz w:val="18"/>
        </w:rPr>
        <w:t>Elaboración</w:t>
      </w:r>
      <w:r>
        <w:rPr>
          <w:i/>
          <w:color w:val="454551"/>
          <w:spacing w:val="-2"/>
          <w:sz w:val="18"/>
        </w:rPr>
        <w:t xml:space="preserve"> </w:t>
      </w:r>
      <w:r>
        <w:rPr>
          <w:i/>
          <w:color w:val="454551"/>
          <w:sz w:val="18"/>
        </w:rPr>
        <w:t>propia</w:t>
      </w:r>
      <w:r>
        <w:rPr>
          <w:i/>
          <w:color w:val="454551"/>
          <w:spacing w:val="-3"/>
          <w:sz w:val="18"/>
        </w:rPr>
        <w:t xml:space="preserve"> </w:t>
      </w:r>
      <w:r>
        <w:rPr>
          <w:i/>
          <w:color w:val="454551"/>
          <w:sz w:val="18"/>
        </w:rPr>
        <w:t>con</w:t>
      </w:r>
      <w:r>
        <w:rPr>
          <w:i/>
          <w:color w:val="454551"/>
          <w:spacing w:val="-2"/>
          <w:sz w:val="18"/>
        </w:rPr>
        <w:t xml:space="preserve"> </w:t>
      </w:r>
      <w:r>
        <w:rPr>
          <w:i/>
          <w:color w:val="454551"/>
          <w:sz w:val="18"/>
        </w:rPr>
        <w:t>base</w:t>
      </w:r>
      <w:r>
        <w:rPr>
          <w:i/>
          <w:color w:val="454551"/>
          <w:spacing w:val="-3"/>
          <w:sz w:val="18"/>
        </w:rPr>
        <w:t xml:space="preserve"> </w:t>
      </w:r>
      <w:r>
        <w:rPr>
          <w:i/>
          <w:color w:val="454551"/>
          <w:sz w:val="18"/>
        </w:rPr>
        <w:t>en</w:t>
      </w:r>
      <w:r>
        <w:rPr>
          <w:i/>
          <w:color w:val="454551"/>
          <w:spacing w:val="-2"/>
          <w:sz w:val="18"/>
        </w:rPr>
        <w:t xml:space="preserve"> </w:t>
      </w:r>
      <w:r>
        <w:rPr>
          <w:i/>
          <w:color w:val="454551"/>
          <w:sz w:val="18"/>
        </w:rPr>
        <w:t>información</w:t>
      </w:r>
      <w:r>
        <w:rPr>
          <w:i/>
          <w:color w:val="454551"/>
          <w:spacing w:val="-2"/>
          <w:sz w:val="18"/>
        </w:rPr>
        <w:t xml:space="preserve"> </w:t>
      </w:r>
      <w:r>
        <w:rPr>
          <w:i/>
          <w:color w:val="454551"/>
          <w:sz w:val="18"/>
        </w:rPr>
        <w:t>de</w:t>
      </w:r>
      <w:r>
        <w:rPr>
          <w:i/>
          <w:color w:val="454551"/>
          <w:spacing w:val="-3"/>
          <w:sz w:val="18"/>
        </w:rPr>
        <w:t xml:space="preserve"> </w:t>
      </w:r>
      <w:r>
        <w:rPr>
          <w:i/>
          <w:color w:val="454551"/>
          <w:sz w:val="18"/>
        </w:rPr>
        <w:t>la</w:t>
      </w:r>
      <w:r>
        <w:rPr>
          <w:i/>
          <w:color w:val="454551"/>
          <w:spacing w:val="-3"/>
          <w:sz w:val="18"/>
        </w:rPr>
        <w:t xml:space="preserve"> </w:t>
      </w:r>
      <w:r>
        <w:rPr>
          <w:i/>
          <w:color w:val="454551"/>
          <w:sz w:val="18"/>
        </w:rPr>
        <w:t>GEIH</w:t>
      </w:r>
      <w:r>
        <w:rPr>
          <w:i/>
          <w:color w:val="454551"/>
          <w:spacing w:val="-4"/>
          <w:sz w:val="18"/>
        </w:rPr>
        <w:t xml:space="preserve"> </w:t>
      </w:r>
      <w:r>
        <w:rPr>
          <w:i/>
          <w:color w:val="454551"/>
          <w:sz w:val="18"/>
        </w:rPr>
        <w:t>del</w:t>
      </w:r>
      <w:r>
        <w:rPr>
          <w:i/>
          <w:color w:val="454551"/>
          <w:spacing w:val="-2"/>
          <w:sz w:val="18"/>
        </w:rPr>
        <w:t xml:space="preserve"> </w:t>
      </w:r>
      <w:r>
        <w:rPr>
          <w:i/>
          <w:color w:val="454551"/>
          <w:sz w:val="18"/>
        </w:rPr>
        <w:t>DANE,</w:t>
      </w:r>
      <w:r>
        <w:rPr>
          <w:i/>
          <w:color w:val="454551"/>
          <w:spacing w:val="-2"/>
          <w:sz w:val="18"/>
        </w:rPr>
        <w:t xml:space="preserve"> </w:t>
      </w:r>
      <w:r>
        <w:rPr>
          <w:i/>
          <w:color w:val="454551"/>
          <w:sz w:val="18"/>
        </w:rPr>
        <w:t>Anexos</w:t>
      </w:r>
      <w:r>
        <w:rPr>
          <w:i/>
          <w:color w:val="454551"/>
          <w:spacing w:val="-3"/>
          <w:sz w:val="18"/>
        </w:rPr>
        <w:t xml:space="preserve"> </w:t>
      </w:r>
      <w:r>
        <w:rPr>
          <w:i/>
          <w:color w:val="454551"/>
          <w:sz w:val="18"/>
        </w:rPr>
        <w:t xml:space="preserve">GEIHMLJ- </w:t>
      </w:r>
      <w:r>
        <w:rPr>
          <w:i/>
          <w:color w:val="454551"/>
          <w:spacing w:val="-2"/>
          <w:sz w:val="18"/>
        </w:rPr>
        <w:t>ene-mar2024</w:t>
      </w:r>
    </w:p>
    <w:p w14:paraId="7A490326" w14:textId="77777777" w:rsidR="000E52B0" w:rsidRDefault="00F60D74">
      <w:pPr>
        <w:pStyle w:val="Textoindependiente"/>
        <w:spacing w:before="200"/>
        <w:ind w:right="714"/>
        <w:jc w:val="both"/>
      </w:pPr>
      <w:r>
        <w:t>Al analizar la desocupación por sexo, las mujeres jóvenes tienen, y han tenido</w:t>
      </w:r>
      <w:r>
        <w:rPr>
          <w:spacing w:val="-14"/>
        </w:rPr>
        <w:t xml:space="preserve"> </w:t>
      </w:r>
      <w:r>
        <w:t>históricamente,</w:t>
      </w:r>
      <w:r>
        <w:rPr>
          <w:spacing w:val="-15"/>
        </w:rPr>
        <w:t xml:space="preserve"> </w:t>
      </w:r>
      <w:r>
        <w:t>una</w:t>
      </w:r>
      <w:r>
        <w:rPr>
          <w:spacing w:val="-12"/>
        </w:rPr>
        <w:t xml:space="preserve"> </w:t>
      </w:r>
      <w:r>
        <w:t>tasa</w:t>
      </w:r>
      <w:r>
        <w:rPr>
          <w:spacing w:val="-15"/>
        </w:rPr>
        <w:t xml:space="preserve"> </w:t>
      </w:r>
      <w:r>
        <w:t>de</w:t>
      </w:r>
      <w:r>
        <w:rPr>
          <w:spacing w:val="-11"/>
        </w:rPr>
        <w:t xml:space="preserve"> </w:t>
      </w:r>
      <w:r>
        <w:t>desocupación</w:t>
      </w:r>
      <w:r>
        <w:rPr>
          <w:spacing w:val="-13"/>
        </w:rPr>
        <w:t xml:space="preserve"> </w:t>
      </w:r>
      <w:r>
        <w:t>más</w:t>
      </w:r>
      <w:r>
        <w:rPr>
          <w:spacing w:val="-15"/>
        </w:rPr>
        <w:t xml:space="preserve"> </w:t>
      </w:r>
      <w:r>
        <w:t>alta</w:t>
      </w:r>
      <w:r>
        <w:rPr>
          <w:spacing w:val="-12"/>
        </w:rPr>
        <w:t xml:space="preserve"> </w:t>
      </w:r>
      <w:r>
        <w:t>que</w:t>
      </w:r>
      <w:r>
        <w:rPr>
          <w:spacing w:val="-14"/>
        </w:rPr>
        <w:t xml:space="preserve"> </w:t>
      </w:r>
      <w:r>
        <w:t>los</w:t>
      </w:r>
      <w:r>
        <w:rPr>
          <w:spacing w:val="-14"/>
        </w:rPr>
        <w:t xml:space="preserve"> </w:t>
      </w:r>
      <w:r>
        <w:t>hombres jóvenes, en promedio ha estado 10,7 p.p. por encima de los hombres. La desocupación en hombres jóvenes termina siendo 5 p.p. más alta que la tasa de desocupación del total nacional. Además, el incremento de la tasa de desocupación</w:t>
      </w:r>
      <w:r>
        <w:rPr>
          <w:spacing w:val="-1"/>
        </w:rPr>
        <w:t xml:space="preserve"> </w:t>
      </w:r>
      <w:r>
        <w:t>en el</w:t>
      </w:r>
      <w:r>
        <w:rPr>
          <w:spacing w:val="-2"/>
        </w:rPr>
        <w:t xml:space="preserve"> </w:t>
      </w:r>
      <w:r>
        <w:t>primer trimestre de 2023 y</w:t>
      </w:r>
      <w:r>
        <w:rPr>
          <w:spacing w:val="-1"/>
        </w:rPr>
        <w:t xml:space="preserve"> </w:t>
      </w:r>
      <w:r>
        <w:t>el</w:t>
      </w:r>
      <w:r>
        <w:rPr>
          <w:spacing w:val="-2"/>
        </w:rPr>
        <w:t xml:space="preserve"> </w:t>
      </w:r>
      <w:r>
        <w:t>de 2024 es</w:t>
      </w:r>
      <w:r>
        <w:rPr>
          <w:spacing w:val="-1"/>
        </w:rPr>
        <w:t xml:space="preserve"> </w:t>
      </w:r>
      <w:r>
        <w:t xml:space="preserve">mayor en los hombres, y aunque signifique una reducción en la brecha por género, también alerta la situación que pueden estar viviendo los hombres </w:t>
      </w:r>
      <w:r>
        <w:rPr>
          <w:spacing w:val="-2"/>
        </w:rPr>
        <w:t>jóvenes.</w:t>
      </w:r>
    </w:p>
    <w:p w14:paraId="5E0AD1C6" w14:textId="77777777" w:rsidR="000E52B0" w:rsidRDefault="00F60D74">
      <w:pPr>
        <w:spacing w:before="160"/>
        <w:ind w:left="929" w:right="927"/>
        <w:jc w:val="center"/>
        <w:rPr>
          <w:i/>
          <w:sz w:val="18"/>
        </w:rPr>
      </w:pPr>
      <w:r>
        <w:rPr>
          <w:i/>
          <w:color w:val="454551"/>
          <w:sz w:val="18"/>
        </w:rPr>
        <w:t>Ilustración</w:t>
      </w:r>
      <w:r>
        <w:rPr>
          <w:i/>
          <w:color w:val="454551"/>
          <w:spacing w:val="-1"/>
          <w:sz w:val="18"/>
        </w:rPr>
        <w:t xml:space="preserve"> </w:t>
      </w:r>
      <w:r>
        <w:rPr>
          <w:i/>
          <w:color w:val="454551"/>
          <w:sz w:val="18"/>
        </w:rPr>
        <w:t>29.</w:t>
      </w:r>
      <w:r>
        <w:rPr>
          <w:i/>
          <w:color w:val="454551"/>
          <w:spacing w:val="-4"/>
          <w:sz w:val="18"/>
        </w:rPr>
        <w:t xml:space="preserve"> </w:t>
      </w:r>
      <w:r>
        <w:rPr>
          <w:i/>
          <w:color w:val="454551"/>
          <w:sz w:val="18"/>
        </w:rPr>
        <w:t>Tasa</w:t>
      </w:r>
      <w:r>
        <w:rPr>
          <w:i/>
          <w:color w:val="454551"/>
          <w:spacing w:val="-4"/>
          <w:sz w:val="18"/>
        </w:rPr>
        <w:t xml:space="preserve"> </w:t>
      </w:r>
      <w:r>
        <w:rPr>
          <w:i/>
          <w:color w:val="454551"/>
          <w:sz w:val="18"/>
        </w:rPr>
        <w:t>de</w:t>
      </w:r>
      <w:r>
        <w:rPr>
          <w:i/>
          <w:color w:val="454551"/>
          <w:spacing w:val="-3"/>
          <w:sz w:val="18"/>
        </w:rPr>
        <w:t xml:space="preserve"> </w:t>
      </w:r>
      <w:r>
        <w:rPr>
          <w:i/>
          <w:color w:val="454551"/>
          <w:sz w:val="18"/>
        </w:rPr>
        <w:t>desempleo</w:t>
      </w:r>
      <w:r>
        <w:rPr>
          <w:i/>
          <w:color w:val="454551"/>
          <w:spacing w:val="-2"/>
          <w:sz w:val="18"/>
        </w:rPr>
        <w:t xml:space="preserve"> </w:t>
      </w:r>
      <w:r>
        <w:rPr>
          <w:i/>
          <w:color w:val="454551"/>
          <w:sz w:val="18"/>
        </w:rPr>
        <w:t>hombres</w:t>
      </w:r>
      <w:r>
        <w:rPr>
          <w:i/>
          <w:color w:val="454551"/>
          <w:spacing w:val="-3"/>
          <w:sz w:val="18"/>
        </w:rPr>
        <w:t xml:space="preserve"> </w:t>
      </w:r>
      <w:r>
        <w:rPr>
          <w:i/>
          <w:color w:val="454551"/>
          <w:sz w:val="18"/>
        </w:rPr>
        <w:t>jóvenes</w:t>
      </w:r>
      <w:r>
        <w:rPr>
          <w:i/>
          <w:color w:val="454551"/>
          <w:spacing w:val="-3"/>
          <w:sz w:val="18"/>
        </w:rPr>
        <w:t xml:space="preserve"> </w:t>
      </w:r>
      <w:r>
        <w:rPr>
          <w:i/>
          <w:color w:val="454551"/>
          <w:sz w:val="18"/>
        </w:rPr>
        <w:t>vs</w:t>
      </w:r>
      <w:r>
        <w:rPr>
          <w:i/>
          <w:color w:val="454551"/>
          <w:spacing w:val="-3"/>
          <w:sz w:val="18"/>
        </w:rPr>
        <w:t xml:space="preserve"> </w:t>
      </w:r>
      <w:r>
        <w:rPr>
          <w:i/>
          <w:color w:val="454551"/>
          <w:sz w:val="18"/>
        </w:rPr>
        <w:t>mujeres</w:t>
      </w:r>
      <w:r>
        <w:rPr>
          <w:i/>
          <w:color w:val="454551"/>
          <w:spacing w:val="-3"/>
          <w:sz w:val="18"/>
        </w:rPr>
        <w:t xml:space="preserve"> </w:t>
      </w:r>
      <w:r>
        <w:rPr>
          <w:i/>
          <w:color w:val="454551"/>
          <w:sz w:val="18"/>
        </w:rPr>
        <w:t>jóvenes</w:t>
      </w:r>
      <w:r>
        <w:rPr>
          <w:i/>
          <w:color w:val="454551"/>
          <w:spacing w:val="-3"/>
          <w:sz w:val="18"/>
        </w:rPr>
        <w:t xml:space="preserve"> </w:t>
      </w:r>
      <w:r>
        <w:rPr>
          <w:i/>
          <w:color w:val="454551"/>
          <w:sz w:val="18"/>
        </w:rPr>
        <w:t>(total</w:t>
      </w:r>
      <w:r>
        <w:rPr>
          <w:i/>
          <w:color w:val="454551"/>
          <w:spacing w:val="-3"/>
          <w:sz w:val="18"/>
        </w:rPr>
        <w:t xml:space="preserve"> </w:t>
      </w:r>
      <w:r>
        <w:rPr>
          <w:i/>
          <w:color w:val="454551"/>
          <w:sz w:val="18"/>
        </w:rPr>
        <w:t>nacional)</w:t>
      </w:r>
      <w:r>
        <w:rPr>
          <w:i/>
          <w:color w:val="454551"/>
          <w:spacing w:val="-4"/>
          <w:sz w:val="18"/>
        </w:rPr>
        <w:t xml:space="preserve"> </w:t>
      </w:r>
      <w:r>
        <w:rPr>
          <w:i/>
          <w:color w:val="454551"/>
          <w:sz w:val="18"/>
        </w:rPr>
        <w:t xml:space="preserve">2014- </w:t>
      </w:r>
      <w:r>
        <w:rPr>
          <w:i/>
          <w:color w:val="454551"/>
          <w:spacing w:val="-4"/>
          <w:sz w:val="18"/>
        </w:rPr>
        <w:t>2024</w:t>
      </w:r>
    </w:p>
    <w:p w14:paraId="601E7444" w14:textId="77777777" w:rsidR="000E52B0" w:rsidRDefault="000E52B0">
      <w:pPr>
        <w:pStyle w:val="Textoindependiente"/>
        <w:spacing w:before="9"/>
        <w:ind w:left="0"/>
        <w:rPr>
          <w:i/>
          <w:sz w:val="14"/>
        </w:rPr>
      </w:pPr>
    </w:p>
    <w:p w14:paraId="0B5F3EA8" w14:textId="77777777" w:rsidR="000E52B0" w:rsidRDefault="000E52B0">
      <w:pPr>
        <w:pStyle w:val="Textoindependiente"/>
        <w:rPr>
          <w:i/>
          <w:sz w:val="14"/>
        </w:rPr>
        <w:sectPr w:rsidR="000E52B0">
          <w:pgSz w:w="11910" w:h="16840"/>
          <w:pgMar w:top="1800" w:right="720" w:bottom="1180" w:left="720" w:header="0" w:footer="995" w:gutter="0"/>
          <w:cols w:space="720"/>
        </w:sectPr>
      </w:pPr>
    </w:p>
    <w:p w14:paraId="5FF3605C" w14:textId="77777777" w:rsidR="000E52B0" w:rsidRDefault="000E52B0">
      <w:pPr>
        <w:pStyle w:val="Textoindependiente"/>
        <w:ind w:left="0"/>
        <w:rPr>
          <w:i/>
          <w:sz w:val="18"/>
        </w:rPr>
      </w:pPr>
    </w:p>
    <w:p w14:paraId="16C4A582" w14:textId="77777777" w:rsidR="000E52B0" w:rsidRDefault="000E52B0">
      <w:pPr>
        <w:pStyle w:val="Textoindependiente"/>
        <w:spacing w:before="137"/>
        <w:ind w:left="0"/>
        <w:rPr>
          <w:i/>
          <w:sz w:val="18"/>
        </w:rPr>
      </w:pPr>
    </w:p>
    <w:p w14:paraId="110E17EA" w14:textId="77777777" w:rsidR="000E52B0" w:rsidRDefault="00F60D74">
      <w:pPr>
        <w:jc w:val="right"/>
        <w:rPr>
          <w:rFonts w:ascii="Trebuchet MS"/>
          <w:sz w:val="18"/>
        </w:rPr>
      </w:pPr>
      <w:r>
        <w:rPr>
          <w:rFonts w:ascii="Trebuchet MS"/>
          <w:color w:val="404040"/>
          <w:spacing w:val="-4"/>
          <w:sz w:val="18"/>
        </w:rPr>
        <w:t>24,8</w:t>
      </w:r>
    </w:p>
    <w:p w14:paraId="64B81B83" w14:textId="77777777" w:rsidR="000E52B0" w:rsidRDefault="00F60D74">
      <w:pPr>
        <w:rPr>
          <w:rFonts w:ascii="Trebuchet MS"/>
          <w:sz w:val="18"/>
        </w:rPr>
      </w:pPr>
      <w:r>
        <w:br w:type="column"/>
      </w:r>
    </w:p>
    <w:p w14:paraId="06045094" w14:textId="77777777" w:rsidR="000E52B0" w:rsidRDefault="000E52B0">
      <w:pPr>
        <w:pStyle w:val="Textoindependiente"/>
        <w:ind w:left="0"/>
        <w:rPr>
          <w:rFonts w:ascii="Trebuchet MS"/>
          <w:sz w:val="18"/>
        </w:rPr>
      </w:pPr>
    </w:p>
    <w:p w14:paraId="6E93E507" w14:textId="77777777" w:rsidR="000E52B0" w:rsidRDefault="000E52B0">
      <w:pPr>
        <w:pStyle w:val="Textoindependiente"/>
        <w:spacing w:before="109"/>
        <w:ind w:left="0"/>
        <w:rPr>
          <w:rFonts w:ascii="Trebuchet MS"/>
          <w:sz w:val="18"/>
        </w:rPr>
      </w:pPr>
    </w:p>
    <w:p w14:paraId="3AC61E47" w14:textId="77777777" w:rsidR="000E52B0" w:rsidRDefault="00F60D74">
      <w:pPr>
        <w:ind w:left="227"/>
        <w:rPr>
          <w:rFonts w:ascii="Trebuchet MS"/>
          <w:sz w:val="18"/>
        </w:rPr>
      </w:pPr>
      <w:r>
        <w:rPr>
          <w:rFonts w:ascii="Trebuchet MS"/>
          <w:color w:val="404040"/>
          <w:spacing w:val="-6"/>
          <w:sz w:val="18"/>
        </w:rPr>
        <w:t>22,6</w:t>
      </w:r>
    </w:p>
    <w:p w14:paraId="5D845073" w14:textId="77777777" w:rsidR="000E52B0" w:rsidRDefault="00F60D74">
      <w:pPr>
        <w:rPr>
          <w:rFonts w:ascii="Trebuchet MS"/>
          <w:sz w:val="18"/>
        </w:rPr>
      </w:pPr>
      <w:r>
        <w:br w:type="column"/>
      </w:r>
    </w:p>
    <w:p w14:paraId="380F30A2" w14:textId="77777777" w:rsidR="000E52B0" w:rsidRDefault="000E52B0">
      <w:pPr>
        <w:pStyle w:val="Textoindependiente"/>
        <w:spacing w:before="135"/>
        <w:ind w:left="0"/>
        <w:rPr>
          <w:rFonts w:ascii="Trebuchet MS"/>
          <w:sz w:val="18"/>
        </w:rPr>
      </w:pPr>
    </w:p>
    <w:p w14:paraId="39C97D0F" w14:textId="77777777" w:rsidR="000E52B0" w:rsidRDefault="00F60D74">
      <w:pPr>
        <w:ind w:left="227"/>
        <w:rPr>
          <w:rFonts w:ascii="Trebuchet MS"/>
          <w:sz w:val="18"/>
        </w:rPr>
      </w:pPr>
      <w:r>
        <w:rPr>
          <w:rFonts w:ascii="Trebuchet MS"/>
          <w:color w:val="404040"/>
          <w:spacing w:val="-6"/>
          <w:sz w:val="18"/>
        </w:rPr>
        <w:t>25,1</w:t>
      </w:r>
    </w:p>
    <w:p w14:paraId="01CF89DC" w14:textId="77777777" w:rsidR="000E52B0" w:rsidRDefault="00F60D74">
      <w:pPr>
        <w:rPr>
          <w:rFonts w:ascii="Trebuchet MS"/>
          <w:sz w:val="18"/>
        </w:rPr>
      </w:pPr>
      <w:r>
        <w:br w:type="column"/>
      </w:r>
    </w:p>
    <w:p w14:paraId="11E8757F" w14:textId="77777777" w:rsidR="000E52B0" w:rsidRDefault="000E52B0">
      <w:pPr>
        <w:pStyle w:val="Textoindependiente"/>
        <w:spacing w:before="166"/>
        <w:ind w:left="0"/>
        <w:rPr>
          <w:rFonts w:ascii="Trebuchet MS"/>
          <w:sz w:val="18"/>
        </w:rPr>
      </w:pPr>
    </w:p>
    <w:p w14:paraId="1DF041F0" w14:textId="77777777" w:rsidR="000E52B0" w:rsidRDefault="00F60D74">
      <w:pPr>
        <w:ind w:left="228"/>
        <w:rPr>
          <w:rFonts w:ascii="Trebuchet MS"/>
          <w:sz w:val="18"/>
        </w:rPr>
      </w:pPr>
      <w:r>
        <w:rPr>
          <w:rFonts w:ascii="Trebuchet MS"/>
          <w:color w:val="404040"/>
          <w:spacing w:val="-6"/>
          <w:sz w:val="18"/>
        </w:rPr>
        <w:t>24,7</w:t>
      </w:r>
    </w:p>
    <w:p w14:paraId="251E5288" w14:textId="77777777" w:rsidR="000E52B0" w:rsidRDefault="00F60D74">
      <w:pPr>
        <w:spacing w:before="155"/>
        <w:rPr>
          <w:rFonts w:ascii="Trebuchet MS"/>
          <w:sz w:val="18"/>
        </w:rPr>
      </w:pPr>
      <w:r>
        <w:br w:type="column"/>
      </w:r>
    </w:p>
    <w:p w14:paraId="1750E3AE" w14:textId="77777777" w:rsidR="000E52B0" w:rsidRDefault="00F60D74">
      <w:pPr>
        <w:tabs>
          <w:tab w:val="left" w:pos="834"/>
          <w:tab w:val="left" w:pos="1441"/>
        </w:tabs>
        <w:ind w:left="227"/>
        <w:rPr>
          <w:rFonts w:ascii="Trebuchet MS"/>
          <w:sz w:val="18"/>
        </w:rPr>
      </w:pPr>
      <w:r>
        <w:rPr>
          <w:rFonts w:ascii="Trebuchet MS"/>
          <w:color w:val="404040"/>
          <w:spacing w:val="-4"/>
          <w:position w:val="-14"/>
          <w:sz w:val="18"/>
        </w:rPr>
        <w:t>25,6</w:t>
      </w:r>
      <w:r>
        <w:rPr>
          <w:rFonts w:ascii="Trebuchet MS"/>
          <w:color w:val="404040"/>
          <w:position w:val="-14"/>
          <w:sz w:val="18"/>
        </w:rPr>
        <w:tab/>
      </w:r>
      <w:r>
        <w:rPr>
          <w:rFonts w:ascii="Trebuchet MS"/>
          <w:color w:val="404040"/>
          <w:spacing w:val="-4"/>
          <w:position w:val="-8"/>
          <w:sz w:val="18"/>
        </w:rPr>
        <w:t>26,5</w:t>
      </w:r>
      <w:r>
        <w:rPr>
          <w:rFonts w:ascii="Trebuchet MS"/>
          <w:color w:val="404040"/>
          <w:position w:val="-8"/>
          <w:sz w:val="18"/>
        </w:rPr>
        <w:tab/>
      </w:r>
      <w:r>
        <w:rPr>
          <w:rFonts w:ascii="Trebuchet MS"/>
          <w:color w:val="404040"/>
          <w:spacing w:val="-6"/>
          <w:sz w:val="18"/>
        </w:rPr>
        <w:t>27,7</w:t>
      </w:r>
    </w:p>
    <w:p w14:paraId="153B4D80" w14:textId="77777777" w:rsidR="000E52B0" w:rsidRDefault="00F60D74">
      <w:pPr>
        <w:spacing w:before="100"/>
        <w:ind w:left="227"/>
        <w:rPr>
          <w:rFonts w:ascii="Trebuchet MS"/>
          <w:sz w:val="18"/>
        </w:rPr>
      </w:pPr>
      <w:r>
        <w:br w:type="column"/>
      </w:r>
      <w:r>
        <w:rPr>
          <w:rFonts w:ascii="Trebuchet MS"/>
          <w:color w:val="404040"/>
          <w:spacing w:val="-6"/>
          <w:sz w:val="18"/>
        </w:rPr>
        <w:t>31,3</w:t>
      </w:r>
    </w:p>
    <w:p w14:paraId="1F18DF53" w14:textId="77777777" w:rsidR="000E52B0" w:rsidRDefault="000E52B0">
      <w:pPr>
        <w:pStyle w:val="Textoindependiente"/>
        <w:ind w:left="0"/>
        <w:rPr>
          <w:rFonts w:ascii="Trebuchet MS"/>
          <w:sz w:val="18"/>
        </w:rPr>
      </w:pPr>
    </w:p>
    <w:p w14:paraId="183C32FE" w14:textId="77777777" w:rsidR="000E52B0" w:rsidRDefault="000E52B0">
      <w:pPr>
        <w:pStyle w:val="Textoindependiente"/>
        <w:spacing w:before="196"/>
        <w:ind w:left="0"/>
        <w:rPr>
          <w:rFonts w:ascii="Trebuchet MS"/>
          <w:sz w:val="18"/>
        </w:rPr>
      </w:pPr>
    </w:p>
    <w:p w14:paraId="587D0AD2" w14:textId="77777777" w:rsidR="000E52B0" w:rsidRDefault="00F60D74">
      <w:pPr>
        <w:spacing w:before="1"/>
        <w:ind w:left="227"/>
        <w:rPr>
          <w:rFonts w:ascii="Trebuchet MS"/>
          <w:sz w:val="18"/>
        </w:rPr>
      </w:pPr>
      <w:r>
        <w:rPr>
          <w:rFonts w:ascii="Trebuchet MS"/>
          <w:noProof/>
          <w:sz w:val="18"/>
        </w:rPr>
        <mc:AlternateContent>
          <mc:Choice Requires="wpg">
            <w:drawing>
              <wp:anchor distT="0" distB="0" distL="0" distR="0" simplePos="0" relativeHeight="482279936" behindDoc="1" locked="0" layoutInCell="1" allowOverlap="1" wp14:anchorId="345DD04A" wp14:editId="0E0C6467">
                <wp:simplePos x="0" y="0"/>
                <wp:positionH relativeFrom="page">
                  <wp:posOffset>1184211</wp:posOffset>
                </wp:positionH>
                <wp:positionV relativeFrom="paragraph">
                  <wp:posOffset>192075</wp:posOffset>
                </wp:positionV>
                <wp:extent cx="3926204" cy="408940"/>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6204" cy="408940"/>
                          <a:chOff x="0" y="0"/>
                          <a:chExt cx="3926204" cy="408940"/>
                        </a:xfrm>
                      </wpg:grpSpPr>
                      <wps:wsp>
                        <wps:cNvPr id="328" name="Graphic 328"/>
                        <wps:cNvSpPr/>
                        <wps:spPr>
                          <a:xfrm>
                            <a:off x="37160" y="36639"/>
                            <a:ext cx="3853179" cy="335915"/>
                          </a:xfrm>
                          <a:custGeom>
                            <a:avLst/>
                            <a:gdLst/>
                            <a:ahLst/>
                            <a:cxnLst/>
                            <a:rect l="l" t="t" r="r" b="b"/>
                            <a:pathLst>
                              <a:path w="3853179" h="335915">
                                <a:moveTo>
                                  <a:pt x="0" y="270255"/>
                                </a:moveTo>
                                <a:lnTo>
                                  <a:pt x="384924" y="335660"/>
                                </a:lnTo>
                                <a:lnTo>
                                  <a:pt x="770496" y="283971"/>
                                </a:lnTo>
                                <a:lnTo>
                                  <a:pt x="1156068" y="299211"/>
                                </a:lnTo>
                                <a:lnTo>
                                  <a:pt x="1541640" y="233679"/>
                                </a:lnTo>
                                <a:lnTo>
                                  <a:pt x="1925688" y="201675"/>
                                </a:lnTo>
                                <a:lnTo>
                                  <a:pt x="2311260" y="134619"/>
                                </a:lnTo>
                                <a:lnTo>
                                  <a:pt x="2696832" y="0"/>
                                </a:lnTo>
                                <a:lnTo>
                                  <a:pt x="3082404" y="160527"/>
                                </a:lnTo>
                                <a:lnTo>
                                  <a:pt x="3467976" y="233679"/>
                                </a:lnTo>
                                <a:lnTo>
                                  <a:pt x="3852786" y="168147"/>
                                </a:lnTo>
                              </a:path>
                            </a:pathLst>
                          </a:custGeom>
                          <a:ln w="28575">
                            <a:solidFill>
                              <a:srgbClr val="E22C91"/>
                            </a:solidFill>
                            <a:prstDash val="solid"/>
                          </a:ln>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135" cstate="print"/>
                          <a:stretch>
                            <a:fillRect/>
                          </a:stretch>
                        </pic:blipFill>
                        <pic:spPr>
                          <a:xfrm>
                            <a:off x="0" y="269747"/>
                            <a:ext cx="73532" cy="73533"/>
                          </a:xfrm>
                          <a:prstGeom prst="rect">
                            <a:avLst/>
                          </a:prstGeom>
                        </pic:spPr>
                      </pic:pic>
                      <pic:pic xmlns:pic="http://schemas.openxmlformats.org/drawingml/2006/picture">
                        <pic:nvPicPr>
                          <pic:cNvPr id="330" name="Image 330"/>
                          <pic:cNvPicPr/>
                        </pic:nvPicPr>
                        <pic:blipFill>
                          <a:blip r:embed="rId111" cstate="print"/>
                          <a:stretch>
                            <a:fillRect/>
                          </a:stretch>
                        </pic:blipFill>
                        <pic:spPr>
                          <a:xfrm>
                            <a:off x="385572" y="335279"/>
                            <a:ext cx="73533" cy="73532"/>
                          </a:xfrm>
                          <a:prstGeom prst="rect">
                            <a:avLst/>
                          </a:prstGeom>
                        </pic:spPr>
                      </pic:pic>
                      <pic:pic xmlns:pic="http://schemas.openxmlformats.org/drawingml/2006/picture">
                        <pic:nvPicPr>
                          <pic:cNvPr id="331" name="Image 331"/>
                          <pic:cNvPicPr/>
                        </pic:nvPicPr>
                        <pic:blipFill>
                          <a:blip r:embed="rId111" cstate="print"/>
                          <a:stretch>
                            <a:fillRect/>
                          </a:stretch>
                        </pic:blipFill>
                        <pic:spPr>
                          <a:xfrm>
                            <a:off x="771144" y="283463"/>
                            <a:ext cx="73532" cy="73532"/>
                          </a:xfrm>
                          <a:prstGeom prst="rect">
                            <a:avLst/>
                          </a:prstGeom>
                        </pic:spPr>
                      </pic:pic>
                      <pic:pic xmlns:pic="http://schemas.openxmlformats.org/drawingml/2006/picture">
                        <pic:nvPicPr>
                          <pic:cNvPr id="332" name="Image 332"/>
                          <pic:cNvPicPr/>
                        </pic:nvPicPr>
                        <pic:blipFill>
                          <a:blip r:embed="rId109" cstate="print"/>
                          <a:stretch>
                            <a:fillRect/>
                          </a:stretch>
                        </pic:blipFill>
                        <pic:spPr>
                          <a:xfrm>
                            <a:off x="1156716" y="298704"/>
                            <a:ext cx="73533" cy="73533"/>
                          </a:xfrm>
                          <a:prstGeom prst="rect">
                            <a:avLst/>
                          </a:prstGeom>
                        </pic:spPr>
                      </pic:pic>
                      <pic:pic xmlns:pic="http://schemas.openxmlformats.org/drawingml/2006/picture">
                        <pic:nvPicPr>
                          <pic:cNvPr id="333" name="Image 333"/>
                          <pic:cNvPicPr/>
                        </pic:nvPicPr>
                        <pic:blipFill>
                          <a:blip r:embed="rId108" cstate="print"/>
                          <a:stretch>
                            <a:fillRect/>
                          </a:stretch>
                        </pic:blipFill>
                        <pic:spPr>
                          <a:xfrm>
                            <a:off x="1542288" y="233172"/>
                            <a:ext cx="73532" cy="73533"/>
                          </a:xfrm>
                          <a:prstGeom prst="rect">
                            <a:avLst/>
                          </a:prstGeom>
                        </pic:spPr>
                      </pic:pic>
                      <pic:pic xmlns:pic="http://schemas.openxmlformats.org/drawingml/2006/picture">
                        <pic:nvPicPr>
                          <pic:cNvPr id="334" name="Image 334"/>
                          <pic:cNvPicPr/>
                        </pic:nvPicPr>
                        <pic:blipFill>
                          <a:blip r:embed="rId110" cstate="print"/>
                          <a:stretch>
                            <a:fillRect/>
                          </a:stretch>
                        </pic:blipFill>
                        <pic:spPr>
                          <a:xfrm>
                            <a:off x="1926335" y="201168"/>
                            <a:ext cx="73532" cy="73532"/>
                          </a:xfrm>
                          <a:prstGeom prst="rect">
                            <a:avLst/>
                          </a:prstGeom>
                        </pic:spPr>
                      </pic:pic>
                      <pic:pic xmlns:pic="http://schemas.openxmlformats.org/drawingml/2006/picture">
                        <pic:nvPicPr>
                          <pic:cNvPr id="335" name="Image 335"/>
                          <pic:cNvPicPr/>
                        </pic:nvPicPr>
                        <pic:blipFill>
                          <a:blip r:embed="rId110" cstate="print"/>
                          <a:stretch>
                            <a:fillRect/>
                          </a:stretch>
                        </pic:blipFill>
                        <pic:spPr>
                          <a:xfrm>
                            <a:off x="2311907" y="134112"/>
                            <a:ext cx="73532" cy="73533"/>
                          </a:xfrm>
                          <a:prstGeom prst="rect">
                            <a:avLst/>
                          </a:prstGeom>
                        </pic:spPr>
                      </pic:pic>
                      <pic:pic xmlns:pic="http://schemas.openxmlformats.org/drawingml/2006/picture">
                        <pic:nvPicPr>
                          <pic:cNvPr id="336" name="Image 336"/>
                          <pic:cNvPicPr/>
                        </pic:nvPicPr>
                        <pic:blipFill>
                          <a:blip r:embed="rId109" cstate="print"/>
                          <a:stretch>
                            <a:fillRect/>
                          </a:stretch>
                        </pic:blipFill>
                        <pic:spPr>
                          <a:xfrm>
                            <a:off x="2697479" y="0"/>
                            <a:ext cx="73533" cy="73533"/>
                          </a:xfrm>
                          <a:prstGeom prst="rect">
                            <a:avLst/>
                          </a:prstGeom>
                        </pic:spPr>
                      </pic:pic>
                      <pic:pic xmlns:pic="http://schemas.openxmlformats.org/drawingml/2006/picture">
                        <pic:nvPicPr>
                          <pic:cNvPr id="337" name="Image 337"/>
                          <pic:cNvPicPr/>
                        </pic:nvPicPr>
                        <pic:blipFill>
                          <a:blip r:embed="rId111" cstate="print"/>
                          <a:stretch>
                            <a:fillRect/>
                          </a:stretch>
                        </pic:blipFill>
                        <pic:spPr>
                          <a:xfrm>
                            <a:off x="3083051" y="160020"/>
                            <a:ext cx="73533" cy="73533"/>
                          </a:xfrm>
                          <a:prstGeom prst="rect">
                            <a:avLst/>
                          </a:prstGeom>
                        </pic:spPr>
                      </pic:pic>
                      <pic:pic xmlns:pic="http://schemas.openxmlformats.org/drawingml/2006/picture">
                        <pic:nvPicPr>
                          <pic:cNvPr id="338" name="Image 338"/>
                          <pic:cNvPicPr/>
                        </pic:nvPicPr>
                        <pic:blipFill>
                          <a:blip r:embed="rId109" cstate="print"/>
                          <a:stretch>
                            <a:fillRect/>
                          </a:stretch>
                        </pic:blipFill>
                        <pic:spPr>
                          <a:xfrm>
                            <a:off x="3468623" y="233172"/>
                            <a:ext cx="73532" cy="73533"/>
                          </a:xfrm>
                          <a:prstGeom prst="rect">
                            <a:avLst/>
                          </a:prstGeom>
                        </pic:spPr>
                      </pic:pic>
                      <pic:pic xmlns:pic="http://schemas.openxmlformats.org/drawingml/2006/picture">
                        <pic:nvPicPr>
                          <pic:cNvPr id="339" name="Image 339"/>
                          <pic:cNvPicPr/>
                        </pic:nvPicPr>
                        <pic:blipFill>
                          <a:blip r:embed="rId111" cstate="print"/>
                          <a:stretch>
                            <a:fillRect/>
                          </a:stretch>
                        </pic:blipFill>
                        <pic:spPr>
                          <a:xfrm>
                            <a:off x="3852671" y="167639"/>
                            <a:ext cx="73532" cy="73532"/>
                          </a:xfrm>
                          <a:prstGeom prst="rect">
                            <a:avLst/>
                          </a:prstGeom>
                        </pic:spPr>
                      </pic:pic>
                    </wpg:wgp>
                  </a:graphicData>
                </a:graphic>
              </wp:anchor>
            </w:drawing>
          </mc:Choice>
          <mc:Fallback>
            <w:pict>
              <v:group w14:anchorId="5546A169" id="Group 327" o:spid="_x0000_s1026" style="position:absolute;margin-left:93.25pt;margin-top:15.1pt;width:309.15pt;height:32.2pt;z-index:-21036544;mso-wrap-distance-left:0;mso-wrap-distance-right:0;mso-position-horizontal-relative:page" coordsize="39262,4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">
                <v:shape id="Graphic 328" o:spid="_x0000_s1027" style="position:absolute;left:371;top:366;width:38532;height:3359;visibility:visible;mso-wrap-style:square;v-text-anchor:top" coordsize="3853179,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" path="m,270255r384924,65405l770496,283971r385572,15240l1541640,233679r384048,-32004l2311260,134619,2696832,r385572,160527l3467976,233679r384810,-65532e" filled="f" strokecolor="#e22c91" strokeweight="2.25pt">
                  <v:path arrowok="t"/>
                </v:shape>
                <v:shape id="Image 329" o:spid="_x0000_s1028" type="#_x0000_t75" style="position:absolute;top:2697;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">
                  <v:imagedata r:id="rId136" o:title=""/>
                </v:shape>
                <v:shape id="Image 330" o:spid="_x0000_s1029" type="#_x0000_t75" style="position:absolute;left:3855;top:3352;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">
                  <v:imagedata r:id="rId116" o:title=""/>
                </v:shape>
                <v:shape id="Image 331" o:spid="_x0000_s1030" type="#_x0000_t75" style="position:absolute;left:7711;top:2834;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">
                  <v:imagedata r:id="rId116" o:title=""/>
                </v:shape>
                <v:shape id="Image 332" o:spid="_x0000_s1031" type="#_x0000_t75" style="position:absolute;left:11567;top:2987;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">
                  <v:imagedata r:id="rId114" o:title=""/>
                </v:shape>
                <v:shape id="Image 333" o:spid="_x0000_s1032" type="#_x0000_t75" style="position:absolute;left:15422;top:2331;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">
                  <v:imagedata r:id="rId113" o:title=""/>
                </v:shape>
                <v:shape id="Image 334" o:spid="_x0000_s1033" type="#_x0000_t75" style="position:absolute;left:19263;top:2011;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">
                  <v:imagedata r:id="rId115" o:title=""/>
                </v:shape>
                <v:shape id="Image 335" o:spid="_x0000_s1034" type="#_x0000_t75" style="position:absolute;left:23119;top:134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">
                  <v:imagedata r:id="rId115" o:title=""/>
                </v:shape>
                <v:shape id="Image 336" o:spid="_x0000_s1035" type="#_x0000_t75" style="position:absolute;left:26974;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">
                  <v:imagedata r:id="rId114" o:title=""/>
                </v:shape>
                <v:shape id="Image 337" o:spid="_x0000_s1036" type="#_x0000_t75" style="position:absolute;left:30830;top:1600;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">
                  <v:imagedata r:id="rId116" o:title=""/>
                </v:shape>
                <v:shape id="Image 338" o:spid="_x0000_s1037" type="#_x0000_t75" style="position:absolute;left:34686;top:2331;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">
                  <v:imagedata r:id="rId114" o:title=""/>
                </v:shape>
                <v:shape id="Image 339" o:spid="_x0000_s1038" type="#_x0000_t75" style="position:absolute;left:38526;top:1676;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">
                  <v:imagedata r:id="rId116" o:title=""/>
                </v:shape>
                <w10:wrap anchorx="page"/>
              </v:group>
            </w:pict>
          </mc:Fallback>
        </mc:AlternateContent>
      </w:r>
      <w:r>
        <w:rPr>
          <w:rFonts w:ascii="Trebuchet MS"/>
          <w:noProof/>
          <w:sz w:val="18"/>
        </w:rPr>
        <mc:AlternateContent>
          <mc:Choice Requires="wpg">
            <w:drawing>
              <wp:anchor distT="0" distB="0" distL="0" distR="0" simplePos="0" relativeHeight="482280448" behindDoc="1" locked="0" layoutInCell="1" allowOverlap="1" wp14:anchorId="0C747BC4" wp14:editId="6BBCD874">
                <wp:simplePos x="0" y="0"/>
                <wp:positionH relativeFrom="page">
                  <wp:posOffset>1184211</wp:posOffset>
                </wp:positionH>
                <wp:positionV relativeFrom="paragraph">
                  <wp:posOffset>-332180</wp:posOffset>
                </wp:positionV>
                <wp:extent cx="3926204" cy="479425"/>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6204" cy="479425"/>
                          <a:chOff x="0" y="0"/>
                          <a:chExt cx="3926204" cy="479425"/>
                        </a:xfrm>
                      </wpg:grpSpPr>
                      <wps:wsp>
                        <wps:cNvPr id="341" name="Graphic 341"/>
                        <wps:cNvSpPr/>
                        <wps:spPr>
                          <a:xfrm>
                            <a:off x="37160" y="37782"/>
                            <a:ext cx="3853179" cy="404495"/>
                          </a:xfrm>
                          <a:custGeom>
                            <a:avLst/>
                            <a:gdLst/>
                            <a:ahLst/>
                            <a:cxnLst/>
                            <a:rect l="l" t="t" r="r" b="b"/>
                            <a:pathLst>
                              <a:path w="3853179" h="404495">
                                <a:moveTo>
                                  <a:pt x="0" y="301116"/>
                                </a:moveTo>
                                <a:lnTo>
                                  <a:pt x="384924" y="404240"/>
                                </a:lnTo>
                                <a:lnTo>
                                  <a:pt x="770496" y="288925"/>
                                </a:lnTo>
                                <a:lnTo>
                                  <a:pt x="1156068" y="307213"/>
                                </a:lnTo>
                                <a:lnTo>
                                  <a:pt x="1541640" y="261492"/>
                                </a:lnTo>
                                <a:lnTo>
                                  <a:pt x="1925688" y="223392"/>
                                </a:lnTo>
                                <a:lnTo>
                                  <a:pt x="2311260" y="168528"/>
                                </a:lnTo>
                                <a:lnTo>
                                  <a:pt x="2696832" y="0"/>
                                </a:lnTo>
                                <a:lnTo>
                                  <a:pt x="3082404" y="173100"/>
                                </a:lnTo>
                                <a:lnTo>
                                  <a:pt x="3467976" y="322452"/>
                                </a:lnTo>
                                <a:lnTo>
                                  <a:pt x="3852786" y="304164"/>
                                </a:lnTo>
                              </a:path>
                            </a:pathLst>
                          </a:custGeom>
                          <a:ln w="28575">
                            <a:solidFill>
                              <a:srgbClr val="FFC000"/>
                            </a:solidFill>
                            <a:prstDash val="solid"/>
                          </a:ln>
                        </wps:spPr>
                        <wps:bodyPr wrap="square" lIns="0" tIns="0" rIns="0" bIns="0" rtlCol="0">
                          <a:prstTxWarp prst="textNoShape">
                            <a:avLst/>
                          </a:prstTxWarp>
                          <a:noAutofit/>
                        </wps:bodyPr>
                      </wps:wsp>
                      <pic:pic xmlns:pic="http://schemas.openxmlformats.org/drawingml/2006/picture">
                        <pic:nvPicPr>
                          <pic:cNvPr id="342" name="Image 342"/>
                          <pic:cNvPicPr/>
                        </pic:nvPicPr>
                        <pic:blipFill>
                          <a:blip r:embed="rId137" cstate="print"/>
                          <a:stretch>
                            <a:fillRect/>
                          </a:stretch>
                        </pic:blipFill>
                        <pic:spPr>
                          <a:xfrm>
                            <a:off x="0" y="301752"/>
                            <a:ext cx="73532" cy="73533"/>
                          </a:xfrm>
                          <a:prstGeom prst="rect">
                            <a:avLst/>
                          </a:prstGeom>
                        </pic:spPr>
                      </pic:pic>
                      <pic:pic xmlns:pic="http://schemas.openxmlformats.org/drawingml/2006/picture">
                        <pic:nvPicPr>
                          <pic:cNvPr id="343" name="Image 343"/>
                          <pic:cNvPicPr/>
                        </pic:nvPicPr>
                        <pic:blipFill>
                          <a:blip r:embed="rId126" cstate="print"/>
                          <a:stretch>
                            <a:fillRect/>
                          </a:stretch>
                        </pic:blipFill>
                        <pic:spPr>
                          <a:xfrm>
                            <a:off x="385572" y="405384"/>
                            <a:ext cx="73533" cy="73532"/>
                          </a:xfrm>
                          <a:prstGeom prst="rect">
                            <a:avLst/>
                          </a:prstGeom>
                        </pic:spPr>
                      </pic:pic>
                      <pic:pic xmlns:pic="http://schemas.openxmlformats.org/drawingml/2006/picture">
                        <pic:nvPicPr>
                          <pic:cNvPr id="344" name="Image 344"/>
                          <pic:cNvPicPr/>
                        </pic:nvPicPr>
                        <pic:blipFill>
                          <a:blip r:embed="rId126" cstate="print"/>
                          <a:stretch>
                            <a:fillRect/>
                          </a:stretch>
                        </pic:blipFill>
                        <pic:spPr>
                          <a:xfrm>
                            <a:off x="771144" y="289559"/>
                            <a:ext cx="73532" cy="73532"/>
                          </a:xfrm>
                          <a:prstGeom prst="rect">
                            <a:avLst/>
                          </a:prstGeom>
                        </pic:spPr>
                      </pic:pic>
                      <pic:pic xmlns:pic="http://schemas.openxmlformats.org/drawingml/2006/picture">
                        <pic:nvPicPr>
                          <pic:cNvPr id="345" name="Image 345"/>
                          <pic:cNvPicPr/>
                        </pic:nvPicPr>
                        <pic:blipFill>
                          <a:blip r:embed="rId123" cstate="print"/>
                          <a:stretch>
                            <a:fillRect/>
                          </a:stretch>
                        </pic:blipFill>
                        <pic:spPr>
                          <a:xfrm>
                            <a:off x="1156716" y="307847"/>
                            <a:ext cx="73533" cy="73532"/>
                          </a:xfrm>
                          <a:prstGeom prst="rect">
                            <a:avLst/>
                          </a:prstGeom>
                        </pic:spPr>
                      </pic:pic>
                      <pic:pic xmlns:pic="http://schemas.openxmlformats.org/drawingml/2006/picture">
                        <pic:nvPicPr>
                          <pic:cNvPr id="346" name="Image 346"/>
                          <pic:cNvPicPr/>
                        </pic:nvPicPr>
                        <pic:blipFill>
                          <a:blip r:embed="rId125" cstate="print"/>
                          <a:stretch>
                            <a:fillRect/>
                          </a:stretch>
                        </pic:blipFill>
                        <pic:spPr>
                          <a:xfrm>
                            <a:off x="1542288" y="262127"/>
                            <a:ext cx="73532" cy="73533"/>
                          </a:xfrm>
                          <a:prstGeom prst="rect">
                            <a:avLst/>
                          </a:prstGeom>
                        </pic:spPr>
                      </pic:pic>
                      <pic:pic xmlns:pic="http://schemas.openxmlformats.org/drawingml/2006/picture">
                        <pic:nvPicPr>
                          <pic:cNvPr id="347" name="Image 347"/>
                          <pic:cNvPicPr/>
                        </pic:nvPicPr>
                        <pic:blipFill>
                          <a:blip r:embed="rId125" cstate="print"/>
                          <a:stretch>
                            <a:fillRect/>
                          </a:stretch>
                        </pic:blipFill>
                        <pic:spPr>
                          <a:xfrm>
                            <a:off x="1926335" y="224027"/>
                            <a:ext cx="73532" cy="73533"/>
                          </a:xfrm>
                          <a:prstGeom prst="rect">
                            <a:avLst/>
                          </a:prstGeom>
                        </pic:spPr>
                      </pic:pic>
                      <pic:pic xmlns:pic="http://schemas.openxmlformats.org/drawingml/2006/picture">
                        <pic:nvPicPr>
                          <pic:cNvPr id="348" name="Image 348"/>
                          <pic:cNvPicPr/>
                        </pic:nvPicPr>
                        <pic:blipFill>
                          <a:blip r:embed="rId124" cstate="print"/>
                          <a:stretch>
                            <a:fillRect/>
                          </a:stretch>
                        </pic:blipFill>
                        <pic:spPr>
                          <a:xfrm>
                            <a:off x="2311907" y="169163"/>
                            <a:ext cx="73532" cy="73533"/>
                          </a:xfrm>
                          <a:prstGeom prst="rect">
                            <a:avLst/>
                          </a:prstGeom>
                        </pic:spPr>
                      </pic:pic>
                      <pic:pic xmlns:pic="http://schemas.openxmlformats.org/drawingml/2006/picture">
                        <pic:nvPicPr>
                          <pic:cNvPr id="349" name="Image 349"/>
                          <pic:cNvPicPr/>
                        </pic:nvPicPr>
                        <pic:blipFill>
                          <a:blip r:embed="rId126" cstate="print"/>
                          <a:stretch>
                            <a:fillRect/>
                          </a:stretch>
                        </pic:blipFill>
                        <pic:spPr>
                          <a:xfrm>
                            <a:off x="2697479" y="0"/>
                            <a:ext cx="73533" cy="73533"/>
                          </a:xfrm>
                          <a:prstGeom prst="rect">
                            <a:avLst/>
                          </a:prstGeom>
                        </pic:spPr>
                      </pic:pic>
                      <pic:pic xmlns:pic="http://schemas.openxmlformats.org/drawingml/2006/picture">
                        <pic:nvPicPr>
                          <pic:cNvPr id="350" name="Image 350"/>
                          <pic:cNvPicPr/>
                        </pic:nvPicPr>
                        <pic:blipFill>
                          <a:blip r:embed="rId123" cstate="print"/>
                          <a:stretch>
                            <a:fillRect/>
                          </a:stretch>
                        </pic:blipFill>
                        <pic:spPr>
                          <a:xfrm>
                            <a:off x="3083051" y="173736"/>
                            <a:ext cx="73533" cy="73532"/>
                          </a:xfrm>
                          <a:prstGeom prst="rect">
                            <a:avLst/>
                          </a:prstGeom>
                        </pic:spPr>
                      </pic:pic>
                      <pic:pic xmlns:pic="http://schemas.openxmlformats.org/drawingml/2006/picture">
                        <pic:nvPicPr>
                          <pic:cNvPr id="351" name="Image 351"/>
                          <pic:cNvPicPr/>
                        </pic:nvPicPr>
                        <pic:blipFill>
                          <a:blip r:embed="rId126" cstate="print"/>
                          <a:stretch>
                            <a:fillRect/>
                          </a:stretch>
                        </pic:blipFill>
                        <pic:spPr>
                          <a:xfrm>
                            <a:off x="3468623" y="323088"/>
                            <a:ext cx="73532" cy="73533"/>
                          </a:xfrm>
                          <a:prstGeom prst="rect">
                            <a:avLst/>
                          </a:prstGeom>
                        </pic:spPr>
                      </pic:pic>
                      <pic:pic xmlns:pic="http://schemas.openxmlformats.org/drawingml/2006/picture">
                        <pic:nvPicPr>
                          <pic:cNvPr id="352" name="Image 352"/>
                          <pic:cNvPicPr/>
                        </pic:nvPicPr>
                        <pic:blipFill>
                          <a:blip r:embed="rId126" cstate="print"/>
                          <a:stretch>
                            <a:fillRect/>
                          </a:stretch>
                        </pic:blipFill>
                        <pic:spPr>
                          <a:xfrm>
                            <a:off x="3852671" y="304800"/>
                            <a:ext cx="73532" cy="73533"/>
                          </a:xfrm>
                          <a:prstGeom prst="rect">
                            <a:avLst/>
                          </a:prstGeom>
                        </pic:spPr>
                      </pic:pic>
                    </wpg:wgp>
                  </a:graphicData>
                </a:graphic>
              </wp:anchor>
            </w:drawing>
          </mc:Choice>
          <mc:Fallback>
            <w:pict>
              <v:group w14:anchorId="54B86670" id="Group 340" o:spid="_x0000_s1026" style="position:absolute;margin-left:93.25pt;margin-top:-26.15pt;width:309.15pt;height:37.75pt;z-index:-21036032;mso-wrap-distance-left:0;mso-wrap-distance-right:0;mso-position-horizontal-relative:page" coordsize="39262,4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">
                <v:shape id="Graphic 341" o:spid="_x0000_s1027" style="position:absolute;left:371;top:377;width:38532;height:4045;visibility:visible;mso-wrap-style:square;v-text-anchor:top" coordsize="3853179,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" path="m,301116l384924,404240,770496,288925r385572,18288l1541640,261492r384048,-38100l2311260,168528,2696832,r385572,173100l3467976,322452r384810,-18288e" filled="f" strokecolor="#ffc000" strokeweight="2.25pt">
                  <v:path arrowok="t"/>
                </v:shape>
                <v:shape id="Image 342" o:spid="_x0000_s1028" type="#_x0000_t75" style="position:absolute;top:3017;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">
                  <v:imagedata r:id="rId138" o:title=""/>
                </v:shape>
                <v:shape id="Image 343" o:spid="_x0000_s1029" type="#_x0000_t75" style="position:absolute;left:3855;top:4053;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">
                  <v:imagedata r:id="rId132" o:title=""/>
                </v:shape>
                <v:shape id="Image 344" o:spid="_x0000_s1030" type="#_x0000_t75" style="position:absolute;left:7711;top:2895;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">
                  <v:imagedata r:id="rId132" o:title=""/>
                </v:shape>
                <v:shape id="Image 345" o:spid="_x0000_s1031" type="#_x0000_t75" style="position:absolute;left:11567;top:3078;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">
                  <v:imagedata r:id="rId129" o:title=""/>
                </v:shape>
                <v:shape id="Image 346" o:spid="_x0000_s1032" type="#_x0000_t75" style="position:absolute;left:15422;top:2621;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">
                  <v:imagedata r:id="rId131" o:title=""/>
                </v:shape>
                <v:shape id="Image 347" o:spid="_x0000_s1033" type="#_x0000_t75" style="position:absolute;left:19263;top:2240;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">
                  <v:imagedata r:id="rId131" o:title=""/>
                </v:shape>
                <v:shape id="Image 348" o:spid="_x0000_s1034" type="#_x0000_t75" style="position:absolute;left:23119;top:169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">
                  <v:imagedata r:id="rId130" o:title=""/>
                </v:shape>
                <v:shape id="Image 349" o:spid="_x0000_s1035" type="#_x0000_t75" style="position:absolute;left:26974;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">
                  <v:imagedata r:id="rId132" o:title=""/>
                </v:shape>
                <v:shape id="Image 350" o:spid="_x0000_s1036" type="#_x0000_t75" style="position:absolute;left:30830;top:1737;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">
                  <v:imagedata r:id="rId129" o:title=""/>
                </v:shape>
                <v:shape id="Image 351" o:spid="_x0000_s1037" type="#_x0000_t75" style="position:absolute;left:34686;top:3230;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">
                  <v:imagedata r:id="rId132" o:title=""/>
                </v:shape>
                <v:shape id="Image 352" o:spid="_x0000_s1038" type="#_x0000_t75" style="position:absolute;left:38526;top:3048;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">
                  <v:imagedata r:id="rId132" o:title=""/>
                </v:shape>
                <w10:wrap anchorx="page"/>
              </v:group>
            </w:pict>
          </mc:Fallback>
        </mc:AlternateContent>
      </w:r>
      <w:r>
        <w:rPr>
          <w:rFonts w:ascii="Trebuchet MS"/>
          <w:color w:val="404040"/>
          <w:spacing w:val="-6"/>
          <w:sz w:val="18"/>
        </w:rPr>
        <w:t>20,0</w:t>
      </w:r>
    </w:p>
    <w:p w14:paraId="5014FE3E" w14:textId="77777777" w:rsidR="000E52B0" w:rsidRDefault="00F60D74">
      <w:pPr>
        <w:spacing w:before="164"/>
        <w:rPr>
          <w:rFonts w:ascii="Trebuchet MS"/>
          <w:sz w:val="18"/>
        </w:rPr>
      </w:pPr>
      <w:r>
        <w:br w:type="column"/>
      </w:r>
    </w:p>
    <w:p w14:paraId="506A7633" w14:textId="77777777" w:rsidR="000E52B0" w:rsidRDefault="00F60D74">
      <w:pPr>
        <w:ind w:left="227"/>
        <w:rPr>
          <w:rFonts w:ascii="Trebuchet MS"/>
          <w:sz w:val="18"/>
        </w:rPr>
      </w:pPr>
      <w:r>
        <w:rPr>
          <w:rFonts w:ascii="Trebuchet MS"/>
          <w:color w:val="404040"/>
          <w:spacing w:val="-6"/>
          <w:sz w:val="18"/>
        </w:rPr>
        <w:t>27,5</w:t>
      </w:r>
    </w:p>
    <w:p w14:paraId="1F456F07" w14:textId="77777777" w:rsidR="000E52B0" w:rsidRDefault="00F60D74">
      <w:pPr>
        <w:rPr>
          <w:rFonts w:ascii="Trebuchet MS"/>
          <w:sz w:val="18"/>
        </w:rPr>
      </w:pPr>
      <w:r>
        <w:br w:type="column"/>
      </w:r>
    </w:p>
    <w:p w14:paraId="45C1139E" w14:textId="77777777" w:rsidR="000E52B0" w:rsidRDefault="000E52B0">
      <w:pPr>
        <w:pStyle w:val="Textoindependiente"/>
        <w:spacing w:before="190"/>
        <w:ind w:left="0"/>
        <w:rPr>
          <w:rFonts w:ascii="Trebuchet MS"/>
          <w:sz w:val="18"/>
        </w:rPr>
      </w:pPr>
    </w:p>
    <w:p w14:paraId="1B1A7775" w14:textId="77777777" w:rsidR="000E52B0" w:rsidRDefault="00F60D74">
      <w:pPr>
        <w:ind w:left="227"/>
        <w:rPr>
          <w:rFonts w:ascii="Trebuchet MS"/>
          <w:sz w:val="18"/>
        </w:rPr>
      </w:pPr>
      <w:r>
        <w:rPr>
          <w:rFonts w:ascii="Trebuchet MS"/>
          <w:color w:val="404040"/>
          <w:spacing w:val="-6"/>
          <w:sz w:val="18"/>
        </w:rPr>
        <w:t>24,3</w:t>
      </w:r>
    </w:p>
    <w:p w14:paraId="61657BEC" w14:textId="77777777" w:rsidR="000E52B0" w:rsidRDefault="00F60D74">
      <w:pPr>
        <w:rPr>
          <w:rFonts w:ascii="Trebuchet MS"/>
          <w:sz w:val="18"/>
        </w:rPr>
      </w:pPr>
      <w:r>
        <w:br w:type="column"/>
      </w:r>
    </w:p>
    <w:p w14:paraId="0D500453" w14:textId="77777777" w:rsidR="000E52B0" w:rsidRDefault="000E52B0">
      <w:pPr>
        <w:pStyle w:val="Textoindependiente"/>
        <w:spacing w:before="161"/>
        <w:ind w:left="0"/>
        <w:rPr>
          <w:rFonts w:ascii="Trebuchet MS"/>
          <w:sz w:val="18"/>
        </w:rPr>
      </w:pPr>
    </w:p>
    <w:p w14:paraId="51C293BB" w14:textId="77777777" w:rsidR="000E52B0" w:rsidRDefault="00F60D74">
      <w:pPr>
        <w:ind w:left="228"/>
        <w:rPr>
          <w:rFonts w:ascii="Trebuchet MS"/>
          <w:sz w:val="18"/>
        </w:rPr>
      </w:pPr>
      <w:r>
        <w:rPr>
          <w:rFonts w:ascii="Trebuchet MS"/>
          <w:color w:val="404040"/>
          <w:spacing w:val="-6"/>
          <w:sz w:val="18"/>
        </w:rPr>
        <w:t>24,7</w:t>
      </w:r>
    </w:p>
    <w:p w14:paraId="30AA53E3" w14:textId="77777777" w:rsidR="000E52B0" w:rsidRDefault="00F60D74">
      <w:pPr>
        <w:rPr>
          <w:rFonts w:ascii="Trebuchet MS"/>
          <w:sz w:val="16"/>
        </w:rPr>
      </w:pPr>
      <w:r>
        <w:br w:type="column"/>
      </w:r>
    </w:p>
    <w:p w14:paraId="1160F4F9" w14:textId="77777777" w:rsidR="000E52B0" w:rsidRDefault="000E52B0">
      <w:pPr>
        <w:pStyle w:val="Textoindependiente"/>
        <w:ind w:left="0"/>
        <w:rPr>
          <w:rFonts w:ascii="Trebuchet MS"/>
          <w:sz w:val="16"/>
        </w:rPr>
      </w:pPr>
    </w:p>
    <w:p w14:paraId="4FA2AF33" w14:textId="77777777" w:rsidR="000E52B0" w:rsidRDefault="000E52B0">
      <w:pPr>
        <w:pStyle w:val="Textoindependiente"/>
        <w:ind w:left="0"/>
        <w:rPr>
          <w:rFonts w:ascii="Trebuchet MS"/>
          <w:sz w:val="16"/>
        </w:rPr>
      </w:pPr>
    </w:p>
    <w:p w14:paraId="2F2820F4" w14:textId="77777777" w:rsidR="000E52B0" w:rsidRDefault="000E52B0">
      <w:pPr>
        <w:pStyle w:val="Textoindependiente"/>
        <w:ind w:left="0"/>
        <w:rPr>
          <w:rFonts w:ascii="Trebuchet MS"/>
          <w:sz w:val="16"/>
        </w:rPr>
      </w:pPr>
    </w:p>
    <w:p w14:paraId="3184F9EC" w14:textId="77777777" w:rsidR="000E52B0" w:rsidRDefault="000E52B0">
      <w:pPr>
        <w:pStyle w:val="Textoindependiente"/>
        <w:spacing w:before="9"/>
        <w:ind w:left="0"/>
        <w:rPr>
          <w:rFonts w:ascii="Trebuchet MS"/>
          <w:sz w:val="16"/>
        </w:rPr>
      </w:pPr>
    </w:p>
    <w:p w14:paraId="55749EEF" w14:textId="77777777" w:rsidR="000E52B0" w:rsidRDefault="00F60D74">
      <w:pPr>
        <w:ind w:left="207"/>
        <w:rPr>
          <w:rFonts w:ascii="Trebuchet MS" w:hAnsi="Trebuchet MS"/>
          <w:sz w:val="16"/>
        </w:rPr>
      </w:pPr>
      <w:r>
        <w:rPr>
          <w:noProof/>
        </w:rPr>
        <w:drawing>
          <wp:inline distT="0" distB="0" distL="0" distR="0" wp14:anchorId="46C8DA91" wp14:editId="2275D368">
            <wp:extent cx="243839" cy="59816"/>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139" cstate="print"/>
                    <a:stretch>
                      <a:fillRect/>
                    </a:stretch>
                  </pic:blipFill>
                  <pic:spPr>
                    <a:xfrm>
                      <a:off x="0" y="0"/>
                      <a:ext cx="243839" cy="59816"/>
                    </a:xfrm>
                    <a:prstGeom prst="rect">
                      <a:avLst/>
                    </a:prstGeom>
                  </pic:spPr>
                </pic:pic>
              </a:graphicData>
            </a:graphic>
          </wp:inline>
        </w:drawing>
      </w:r>
      <w:r>
        <w:rPr>
          <w:rFonts w:ascii="Times New Roman" w:hAnsi="Times New Roman"/>
          <w:spacing w:val="-7"/>
          <w:sz w:val="20"/>
        </w:rPr>
        <w:t xml:space="preserve"> </w:t>
      </w:r>
      <w:r>
        <w:rPr>
          <w:rFonts w:ascii="Trebuchet MS" w:hAnsi="Trebuchet MS"/>
          <w:color w:val="585858"/>
          <w:sz w:val="16"/>
        </w:rPr>
        <w:t>TD</w:t>
      </w:r>
      <w:r>
        <w:rPr>
          <w:rFonts w:ascii="Trebuchet MS" w:hAnsi="Trebuchet MS"/>
          <w:color w:val="585858"/>
          <w:spacing w:val="-18"/>
          <w:sz w:val="16"/>
        </w:rPr>
        <w:t xml:space="preserve"> </w:t>
      </w:r>
      <w:r>
        <w:rPr>
          <w:rFonts w:ascii="Trebuchet MS" w:hAnsi="Trebuchet MS"/>
          <w:color w:val="585858"/>
          <w:sz w:val="16"/>
        </w:rPr>
        <w:t>hombres</w:t>
      </w:r>
      <w:r>
        <w:rPr>
          <w:rFonts w:ascii="Trebuchet MS" w:hAnsi="Trebuchet MS"/>
          <w:color w:val="585858"/>
          <w:spacing w:val="-17"/>
          <w:sz w:val="16"/>
        </w:rPr>
        <w:t xml:space="preserve"> </w:t>
      </w:r>
      <w:r>
        <w:rPr>
          <w:rFonts w:ascii="Trebuchet MS" w:hAnsi="Trebuchet MS"/>
          <w:color w:val="585858"/>
          <w:sz w:val="16"/>
        </w:rPr>
        <w:t>jóvenes</w:t>
      </w:r>
    </w:p>
    <w:p w14:paraId="76022C9C" w14:textId="77777777" w:rsidR="000E52B0" w:rsidRDefault="000E52B0">
      <w:pPr>
        <w:rPr>
          <w:rFonts w:ascii="Trebuchet MS" w:hAnsi="Trebuchet MS"/>
          <w:sz w:val="16"/>
        </w:rPr>
        <w:sectPr w:rsidR="000E52B0">
          <w:type w:val="continuous"/>
          <w:pgSz w:w="11910" w:h="16840"/>
          <w:pgMar w:top="1340" w:right="720" w:bottom="1280" w:left="720" w:header="0" w:footer="995" w:gutter="0"/>
          <w:cols w:num="10" w:space="720" w:equalWidth="0">
            <w:col w:w="1375" w:space="40"/>
            <w:col w:w="567" w:space="39"/>
            <w:col w:w="567" w:space="39"/>
            <w:col w:w="568" w:space="40"/>
            <w:col w:w="1781" w:space="39"/>
            <w:col w:w="567" w:space="40"/>
            <w:col w:w="567" w:space="40"/>
            <w:col w:w="567" w:space="39"/>
            <w:col w:w="568" w:space="40"/>
            <w:col w:w="2987"/>
          </w:cols>
        </w:sectPr>
      </w:pPr>
    </w:p>
    <w:p w14:paraId="4C764B31" w14:textId="77777777" w:rsidR="000E52B0" w:rsidRDefault="000E52B0">
      <w:pPr>
        <w:pStyle w:val="Textoindependiente"/>
        <w:spacing w:before="8"/>
        <w:ind w:left="0"/>
        <w:rPr>
          <w:rFonts w:ascii="Trebuchet MS"/>
          <w:sz w:val="18"/>
        </w:rPr>
      </w:pPr>
    </w:p>
    <w:p w14:paraId="712F6DA4" w14:textId="77777777" w:rsidR="000E52B0" w:rsidRDefault="00F60D74">
      <w:pPr>
        <w:tabs>
          <w:tab w:val="left" w:pos="1641"/>
          <w:tab w:val="left" w:pos="2248"/>
          <w:tab w:val="left" w:pos="2855"/>
        </w:tabs>
        <w:ind w:left="1035"/>
        <w:rPr>
          <w:rFonts w:ascii="Trebuchet MS"/>
          <w:position w:val="-1"/>
          <w:sz w:val="18"/>
        </w:rPr>
      </w:pPr>
      <w:r>
        <w:rPr>
          <w:rFonts w:ascii="Trebuchet MS"/>
          <w:color w:val="404040"/>
          <w:spacing w:val="-4"/>
          <w:position w:val="2"/>
          <w:sz w:val="18"/>
        </w:rPr>
        <w:t>14,2</w:t>
      </w:r>
      <w:r>
        <w:rPr>
          <w:rFonts w:ascii="Trebuchet MS"/>
          <w:color w:val="404040"/>
          <w:position w:val="2"/>
          <w:sz w:val="18"/>
        </w:rPr>
        <w:tab/>
      </w:r>
      <w:r>
        <w:rPr>
          <w:rFonts w:ascii="Trebuchet MS"/>
          <w:color w:val="404040"/>
          <w:spacing w:val="-4"/>
          <w:position w:val="-7"/>
          <w:sz w:val="18"/>
        </w:rPr>
        <w:t>12,8</w:t>
      </w:r>
      <w:r>
        <w:rPr>
          <w:rFonts w:ascii="Trebuchet MS"/>
          <w:color w:val="404040"/>
          <w:position w:val="-7"/>
          <w:sz w:val="18"/>
        </w:rPr>
        <w:tab/>
      </w:r>
      <w:r>
        <w:rPr>
          <w:rFonts w:ascii="Trebuchet MS"/>
          <w:color w:val="404040"/>
          <w:spacing w:val="-4"/>
          <w:sz w:val="18"/>
        </w:rPr>
        <w:t>13,9</w:t>
      </w:r>
      <w:r>
        <w:rPr>
          <w:rFonts w:ascii="Trebuchet MS"/>
          <w:color w:val="404040"/>
          <w:sz w:val="18"/>
        </w:rPr>
        <w:tab/>
      </w:r>
      <w:r>
        <w:rPr>
          <w:rFonts w:ascii="Trebuchet MS"/>
          <w:color w:val="404040"/>
          <w:spacing w:val="-6"/>
          <w:position w:val="-1"/>
          <w:sz w:val="18"/>
        </w:rPr>
        <w:t>13,6</w:t>
      </w:r>
    </w:p>
    <w:p w14:paraId="438E1A6C" w14:textId="77777777" w:rsidR="000E52B0" w:rsidRDefault="00F60D74">
      <w:pPr>
        <w:tabs>
          <w:tab w:val="left" w:pos="834"/>
          <w:tab w:val="left" w:pos="1441"/>
        </w:tabs>
        <w:spacing w:before="2"/>
        <w:ind w:left="227"/>
        <w:rPr>
          <w:rFonts w:ascii="Trebuchet MS"/>
          <w:sz w:val="18"/>
        </w:rPr>
      </w:pPr>
      <w:r>
        <w:br w:type="column"/>
      </w:r>
      <w:r>
        <w:rPr>
          <w:rFonts w:ascii="Trebuchet MS"/>
          <w:color w:val="404040"/>
          <w:spacing w:val="-4"/>
          <w:position w:val="-15"/>
          <w:sz w:val="18"/>
        </w:rPr>
        <w:t>15,0</w:t>
      </w:r>
      <w:r>
        <w:rPr>
          <w:rFonts w:ascii="Trebuchet MS"/>
          <w:color w:val="404040"/>
          <w:position w:val="-15"/>
          <w:sz w:val="18"/>
        </w:rPr>
        <w:tab/>
      </w:r>
      <w:r>
        <w:rPr>
          <w:rFonts w:ascii="Trebuchet MS"/>
          <w:color w:val="404040"/>
          <w:spacing w:val="-4"/>
          <w:position w:val="-10"/>
          <w:sz w:val="18"/>
        </w:rPr>
        <w:t>15,7</w:t>
      </w:r>
      <w:r>
        <w:rPr>
          <w:rFonts w:ascii="Trebuchet MS"/>
          <w:color w:val="404040"/>
          <w:position w:val="-10"/>
          <w:sz w:val="18"/>
        </w:rPr>
        <w:tab/>
      </w:r>
      <w:r>
        <w:rPr>
          <w:rFonts w:ascii="Trebuchet MS"/>
          <w:color w:val="404040"/>
          <w:spacing w:val="-6"/>
          <w:sz w:val="18"/>
        </w:rPr>
        <w:t>17,1</w:t>
      </w:r>
    </w:p>
    <w:p w14:paraId="3D98862A" w14:textId="77777777" w:rsidR="000E52B0" w:rsidRDefault="00F60D74">
      <w:pPr>
        <w:tabs>
          <w:tab w:val="left" w:pos="1441"/>
          <w:tab w:val="left" w:pos="2048"/>
        </w:tabs>
        <w:spacing w:before="45"/>
        <w:ind w:left="834"/>
        <w:rPr>
          <w:rFonts w:ascii="Trebuchet MS"/>
          <w:sz w:val="18"/>
        </w:rPr>
      </w:pPr>
      <w:r>
        <w:br w:type="column"/>
      </w:r>
      <w:r>
        <w:rPr>
          <w:rFonts w:ascii="Trebuchet MS"/>
          <w:color w:val="404040"/>
          <w:spacing w:val="-4"/>
          <w:position w:val="1"/>
          <w:sz w:val="18"/>
        </w:rPr>
        <w:t>16,6</w:t>
      </w:r>
      <w:r>
        <w:rPr>
          <w:rFonts w:ascii="Trebuchet MS"/>
          <w:color w:val="404040"/>
          <w:position w:val="1"/>
          <w:sz w:val="18"/>
        </w:rPr>
        <w:tab/>
      </w:r>
      <w:r>
        <w:rPr>
          <w:rFonts w:ascii="Trebuchet MS"/>
          <w:color w:val="404040"/>
          <w:spacing w:val="-4"/>
          <w:position w:val="-9"/>
          <w:sz w:val="18"/>
        </w:rPr>
        <w:t>15,0</w:t>
      </w:r>
      <w:r>
        <w:rPr>
          <w:rFonts w:ascii="Trebuchet MS"/>
          <w:color w:val="404040"/>
          <w:position w:val="-9"/>
          <w:sz w:val="18"/>
        </w:rPr>
        <w:tab/>
      </w:r>
      <w:r>
        <w:rPr>
          <w:rFonts w:ascii="Trebuchet MS"/>
          <w:color w:val="404040"/>
          <w:spacing w:val="-6"/>
          <w:sz w:val="18"/>
        </w:rPr>
        <w:t>16,4</w:t>
      </w:r>
    </w:p>
    <w:p w14:paraId="1F5FC670" w14:textId="77777777" w:rsidR="000E52B0" w:rsidRDefault="00F60D74">
      <w:pPr>
        <w:ind w:left="84" w:right="706"/>
        <w:jc w:val="center"/>
        <w:rPr>
          <w:rFonts w:ascii="Trebuchet MS"/>
          <w:sz w:val="16"/>
        </w:rPr>
      </w:pPr>
      <w:r>
        <w:br w:type="column"/>
      </w:r>
      <w:r>
        <w:rPr>
          <w:rFonts w:ascii="Trebuchet MS"/>
          <w:color w:val="585858"/>
          <w:spacing w:val="-4"/>
          <w:sz w:val="16"/>
        </w:rPr>
        <w:t>-</w:t>
      </w:r>
      <w:r>
        <w:rPr>
          <w:rFonts w:ascii="Trebuchet MS"/>
          <w:color w:val="585858"/>
          <w:spacing w:val="-2"/>
          <w:sz w:val="16"/>
        </w:rPr>
        <w:t xml:space="preserve"> </w:t>
      </w:r>
      <w:r>
        <w:rPr>
          <w:rFonts w:ascii="Trebuchet MS"/>
          <w:color w:val="585858"/>
          <w:spacing w:val="-4"/>
          <w:sz w:val="16"/>
        </w:rPr>
        <w:t>Total</w:t>
      </w:r>
      <w:r>
        <w:rPr>
          <w:rFonts w:ascii="Trebuchet MS"/>
          <w:color w:val="585858"/>
          <w:spacing w:val="-16"/>
          <w:sz w:val="16"/>
        </w:rPr>
        <w:t xml:space="preserve"> </w:t>
      </w:r>
      <w:r>
        <w:rPr>
          <w:rFonts w:ascii="Trebuchet MS"/>
          <w:color w:val="585858"/>
          <w:spacing w:val="-4"/>
          <w:sz w:val="16"/>
        </w:rPr>
        <w:t>nacional</w:t>
      </w:r>
    </w:p>
    <w:p w14:paraId="384C6D9C" w14:textId="77777777" w:rsidR="000E52B0" w:rsidRDefault="00F60D74">
      <w:pPr>
        <w:spacing w:before="68"/>
        <w:ind w:right="706"/>
        <w:jc w:val="center"/>
        <w:rPr>
          <w:rFonts w:ascii="Trebuchet MS" w:hAnsi="Trebuchet MS"/>
          <w:sz w:val="16"/>
        </w:rPr>
      </w:pPr>
      <w:r>
        <w:rPr>
          <w:noProof/>
        </w:rPr>
        <w:drawing>
          <wp:inline distT="0" distB="0" distL="0" distR="0" wp14:anchorId="1D3BF162" wp14:editId="1FA803B6">
            <wp:extent cx="243839" cy="59816"/>
            <wp:effectExtent l="0" t="0" r="0" b="0"/>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140" cstate="print"/>
                    <a:stretch>
                      <a:fillRect/>
                    </a:stretch>
                  </pic:blipFill>
                  <pic:spPr>
                    <a:xfrm>
                      <a:off x="0" y="0"/>
                      <a:ext cx="243839" cy="59816"/>
                    </a:xfrm>
                    <a:prstGeom prst="rect">
                      <a:avLst/>
                    </a:prstGeom>
                  </pic:spPr>
                </pic:pic>
              </a:graphicData>
            </a:graphic>
          </wp:inline>
        </w:drawing>
      </w:r>
      <w:r>
        <w:rPr>
          <w:rFonts w:ascii="Times New Roman" w:hAnsi="Times New Roman"/>
          <w:spacing w:val="-1"/>
          <w:sz w:val="20"/>
        </w:rPr>
        <w:t xml:space="preserve"> </w:t>
      </w:r>
      <w:r>
        <w:rPr>
          <w:rFonts w:ascii="Trebuchet MS" w:hAnsi="Trebuchet MS"/>
          <w:color w:val="585858"/>
          <w:spacing w:val="-4"/>
          <w:sz w:val="16"/>
        </w:rPr>
        <w:t>TD</w:t>
      </w:r>
      <w:r>
        <w:rPr>
          <w:rFonts w:ascii="Trebuchet MS" w:hAnsi="Trebuchet MS"/>
          <w:color w:val="585858"/>
          <w:spacing w:val="-13"/>
          <w:sz w:val="16"/>
        </w:rPr>
        <w:t xml:space="preserve"> </w:t>
      </w:r>
      <w:r>
        <w:rPr>
          <w:rFonts w:ascii="Trebuchet MS" w:hAnsi="Trebuchet MS"/>
          <w:color w:val="585858"/>
          <w:spacing w:val="-4"/>
          <w:sz w:val="16"/>
        </w:rPr>
        <w:t>mujeres</w:t>
      </w:r>
      <w:r>
        <w:rPr>
          <w:rFonts w:ascii="Trebuchet MS" w:hAnsi="Trebuchet MS"/>
          <w:color w:val="585858"/>
          <w:spacing w:val="-12"/>
          <w:sz w:val="16"/>
        </w:rPr>
        <w:t xml:space="preserve"> </w:t>
      </w:r>
      <w:r>
        <w:rPr>
          <w:rFonts w:ascii="Trebuchet MS" w:hAnsi="Trebuchet MS"/>
          <w:color w:val="585858"/>
          <w:spacing w:val="-4"/>
          <w:sz w:val="16"/>
        </w:rPr>
        <w:t>jóvenes</w:t>
      </w:r>
      <w:r>
        <w:rPr>
          <w:rFonts w:ascii="Trebuchet MS" w:hAnsi="Trebuchet MS"/>
          <w:color w:val="585858"/>
          <w:spacing w:val="-15"/>
          <w:sz w:val="16"/>
        </w:rPr>
        <w:t xml:space="preserve"> </w:t>
      </w:r>
      <w:r>
        <w:rPr>
          <w:rFonts w:ascii="Trebuchet MS" w:hAnsi="Trebuchet MS"/>
          <w:color w:val="585858"/>
          <w:spacing w:val="-4"/>
          <w:sz w:val="16"/>
        </w:rPr>
        <w:t>-</w:t>
      </w:r>
    </w:p>
    <w:p w14:paraId="6715D8FB" w14:textId="77777777" w:rsidR="000E52B0" w:rsidRDefault="00F60D74">
      <w:pPr>
        <w:spacing w:before="9"/>
        <w:ind w:right="739"/>
        <w:jc w:val="center"/>
        <w:rPr>
          <w:rFonts w:ascii="Trebuchet MS"/>
          <w:sz w:val="16"/>
        </w:rPr>
      </w:pPr>
      <w:r>
        <w:rPr>
          <w:rFonts w:ascii="Trebuchet MS"/>
          <w:color w:val="585858"/>
          <w:w w:val="90"/>
          <w:sz w:val="16"/>
        </w:rPr>
        <w:t>Total</w:t>
      </w:r>
      <w:r>
        <w:rPr>
          <w:rFonts w:ascii="Trebuchet MS"/>
          <w:color w:val="585858"/>
          <w:spacing w:val="-8"/>
          <w:w w:val="90"/>
          <w:sz w:val="16"/>
        </w:rPr>
        <w:t xml:space="preserve"> </w:t>
      </w:r>
      <w:r>
        <w:rPr>
          <w:rFonts w:ascii="Trebuchet MS"/>
          <w:color w:val="585858"/>
          <w:spacing w:val="-2"/>
          <w:sz w:val="16"/>
        </w:rPr>
        <w:t>nacional</w:t>
      </w:r>
    </w:p>
    <w:p w14:paraId="4C31F0D2" w14:textId="77777777" w:rsidR="000E52B0" w:rsidRDefault="000E52B0">
      <w:pPr>
        <w:jc w:val="center"/>
        <w:rPr>
          <w:rFonts w:ascii="Trebuchet MS"/>
          <w:sz w:val="16"/>
        </w:rPr>
        <w:sectPr w:rsidR="000E52B0">
          <w:type w:val="continuous"/>
          <w:pgSz w:w="11910" w:h="16840"/>
          <w:pgMar w:top="1340" w:right="720" w:bottom="1280" w:left="720" w:header="0" w:footer="995" w:gutter="0"/>
          <w:cols w:num="4" w:space="720" w:equalWidth="0">
            <w:col w:w="3195" w:space="40"/>
            <w:col w:w="1781" w:space="39"/>
            <w:col w:w="2388" w:space="40"/>
            <w:col w:w="2987"/>
          </w:cols>
        </w:sectPr>
      </w:pPr>
    </w:p>
    <w:p w14:paraId="32F087C0" w14:textId="77777777" w:rsidR="000E52B0" w:rsidRDefault="000E52B0">
      <w:pPr>
        <w:pStyle w:val="Textoindependiente"/>
        <w:ind w:left="0"/>
        <w:rPr>
          <w:rFonts w:ascii="Trebuchet MS"/>
          <w:sz w:val="20"/>
        </w:rPr>
      </w:pPr>
    </w:p>
    <w:p w14:paraId="509493F6" w14:textId="77777777" w:rsidR="000E52B0" w:rsidRDefault="000E52B0">
      <w:pPr>
        <w:pStyle w:val="Textoindependiente"/>
        <w:ind w:left="0"/>
        <w:rPr>
          <w:rFonts w:ascii="Trebuchet MS"/>
          <w:sz w:val="20"/>
        </w:rPr>
      </w:pPr>
    </w:p>
    <w:p w14:paraId="6EFD1B95" w14:textId="77777777" w:rsidR="000E52B0" w:rsidRDefault="000E52B0">
      <w:pPr>
        <w:pStyle w:val="Textoindependiente"/>
        <w:ind w:left="0"/>
        <w:rPr>
          <w:rFonts w:ascii="Trebuchet MS"/>
          <w:sz w:val="20"/>
        </w:rPr>
      </w:pPr>
    </w:p>
    <w:p w14:paraId="7F180D73" w14:textId="77777777" w:rsidR="000E52B0" w:rsidRDefault="000E52B0">
      <w:pPr>
        <w:pStyle w:val="Textoindependiente"/>
        <w:spacing w:before="52"/>
        <w:ind w:left="0"/>
        <w:rPr>
          <w:rFonts w:ascii="Trebuchet MS"/>
          <w:sz w:val="20"/>
        </w:rPr>
      </w:pPr>
    </w:p>
    <w:p w14:paraId="58C8EB63" w14:textId="77777777" w:rsidR="000E52B0" w:rsidRDefault="00F60D74">
      <w:pPr>
        <w:pStyle w:val="Textoindependiente"/>
        <w:spacing w:line="20" w:lineRule="exact"/>
        <w:ind w:left="900"/>
        <w:rPr>
          <w:rFonts w:ascii="Trebuchet MS"/>
          <w:sz w:val="2"/>
        </w:rPr>
      </w:pPr>
      <w:r>
        <w:rPr>
          <w:rFonts w:ascii="Trebuchet MS"/>
          <w:noProof/>
          <w:sz w:val="2"/>
        </w:rPr>
        <mc:AlternateContent>
          <mc:Choice Requires="wpg">
            <w:drawing>
              <wp:inline distT="0" distB="0" distL="0" distR="0" wp14:anchorId="0BA31F0F" wp14:editId="0BEB2FEF">
                <wp:extent cx="4238625" cy="9525"/>
                <wp:effectExtent l="9525" t="0" r="0" b="0"/>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8625" cy="9525"/>
                          <a:chOff x="0" y="0"/>
                          <a:chExt cx="4238625" cy="9525"/>
                        </a:xfrm>
                      </wpg:grpSpPr>
                      <wps:wsp>
                        <wps:cNvPr id="356" name="Graphic 356"/>
                        <wps:cNvSpPr/>
                        <wps:spPr>
                          <a:xfrm>
                            <a:off x="0" y="4762"/>
                            <a:ext cx="4238625" cy="1270"/>
                          </a:xfrm>
                          <a:custGeom>
                            <a:avLst/>
                            <a:gdLst/>
                            <a:ahLst/>
                            <a:cxnLst/>
                            <a:rect l="l" t="t" r="r" b="b"/>
                            <a:pathLst>
                              <a:path w="4238625">
                                <a:moveTo>
                                  <a:pt x="0" y="0"/>
                                </a:moveTo>
                                <a:lnTo>
                                  <a:pt x="4238078" y="0"/>
                                </a:lnTo>
                              </a:path>
                            </a:pathLst>
                          </a:custGeom>
                          <a:ln w="9525">
                            <a:solidFill>
                              <a:srgbClr val="D9D9D9"/>
                            </a:solidFill>
                            <a:prstDash val="solid"/>
                          </a:ln>
                        </wps:spPr>
                        <wps:bodyPr wrap="square" lIns="0" tIns="0" rIns="0" bIns="0" rtlCol="0">
                          <a:prstTxWarp prst="textNoShape">
                            <a:avLst/>
                          </a:prstTxWarp>
                          <a:noAutofit/>
                        </wps:bodyPr>
                      </wps:wsp>
                    </wpg:wgp>
                  </a:graphicData>
                </a:graphic>
              </wp:inline>
            </w:drawing>
          </mc:Choice>
          <mc:Fallback>
            <w:pict>
              <v:group w14:anchorId="7269430D" id="Group 355" o:spid="_x0000_s1026" style="width:333.75pt;height:.75pt;mso-position-horizontal-relative:char;mso-position-vertical-relative:line" coordsize="4238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">
                <v:shape id="Graphic 356" o:spid="_x0000_s1027" style="position:absolute;top:47;width:42386;height:13;visibility:visible;mso-wrap-style:square;v-text-anchor:top" coordsize="4238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" path="m,l4238078,e" filled="f" strokecolor="#d9d9d9">
                  <v:path arrowok="t"/>
                </v:shape>
                <w10:anchorlock/>
              </v:group>
            </w:pict>
          </mc:Fallback>
        </mc:AlternateContent>
      </w:r>
    </w:p>
    <w:p w14:paraId="2EFB237C" w14:textId="77777777" w:rsidR="000E52B0" w:rsidRDefault="00F60D74">
      <w:pPr>
        <w:tabs>
          <w:tab w:val="left" w:pos="1617"/>
          <w:tab w:val="left" w:pos="2225"/>
          <w:tab w:val="left" w:pos="2831"/>
          <w:tab w:val="left" w:pos="3438"/>
          <w:tab w:val="left" w:pos="4045"/>
          <w:tab w:val="left" w:pos="4652"/>
          <w:tab w:val="left" w:pos="5259"/>
          <w:tab w:val="left" w:pos="5865"/>
          <w:tab w:val="left" w:pos="6473"/>
          <w:tab w:val="left" w:pos="7079"/>
        </w:tabs>
        <w:spacing w:before="93"/>
        <w:ind w:left="1011"/>
        <w:rPr>
          <w:rFonts w:ascii="Trebuchet MS"/>
          <w:sz w:val="18"/>
        </w:rPr>
      </w:pPr>
      <w:r>
        <w:rPr>
          <w:rFonts w:ascii="Trebuchet MS"/>
          <w:color w:val="585858"/>
          <w:spacing w:val="-4"/>
          <w:sz w:val="18"/>
        </w:rPr>
        <w:t>2014</w:t>
      </w:r>
      <w:r>
        <w:rPr>
          <w:rFonts w:ascii="Trebuchet MS"/>
          <w:color w:val="585858"/>
          <w:sz w:val="18"/>
        </w:rPr>
        <w:tab/>
      </w:r>
      <w:r>
        <w:rPr>
          <w:rFonts w:ascii="Trebuchet MS"/>
          <w:color w:val="585858"/>
          <w:spacing w:val="-4"/>
          <w:sz w:val="18"/>
        </w:rPr>
        <w:t>2015</w:t>
      </w:r>
      <w:r>
        <w:rPr>
          <w:rFonts w:ascii="Trebuchet MS"/>
          <w:color w:val="585858"/>
          <w:sz w:val="18"/>
        </w:rPr>
        <w:tab/>
      </w:r>
      <w:r>
        <w:rPr>
          <w:rFonts w:ascii="Trebuchet MS"/>
          <w:color w:val="585858"/>
          <w:spacing w:val="-4"/>
          <w:sz w:val="18"/>
        </w:rPr>
        <w:t>2016</w:t>
      </w:r>
      <w:r>
        <w:rPr>
          <w:rFonts w:ascii="Trebuchet MS"/>
          <w:color w:val="585858"/>
          <w:sz w:val="18"/>
        </w:rPr>
        <w:tab/>
      </w:r>
      <w:r>
        <w:rPr>
          <w:rFonts w:ascii="Trebuchet MS"/>
          <w:color w:val="585858"/>
          <w:spacing w:val="-4"/>
          <w:sz w:val="18"/>
        </w:rPr>
        <w:t>2017</w:t>
      </w:r>
      <w:r>
        <w:rPr>
          <w:rFonts w:ascii="Trebuchet MS"/>
          <w:color w:val="585858"/>
          <w:sz w:val="18"/>
        </w:rPr>
        <w:tab/>
      </w:r>
      <w:r>
        <w:rPr>
          <w:rFonts w:ascii="Trebuchet MS"/>
          <w:color w:val="585858"/>
          <w:spacing w:val="-4"/>
          <w:sz w:val="18"/>
        </w:rPr>
        <w:t>2018</w:t>
      </w:r>
      <w:r>
        <w:rPr>
          <w:rFonts w:ascii="Trebuchet MS"/>
          <w:color w:val="585858"/>
          <w:sz w:val="18"/>
        </w:rPr>
        <w:tab/>
      </w:r>
      <w:r>
        <w:rPr>
          <w:rFonts w:ascii="Trebuchet MS"/>
          <w:color w:val="585858"/>
          <w:spacing w:val="-4"/>
          <w:sz w:val="18"/>
        </w:rPr>
        <w:t>2019</w:t>
      </w:r>
      <w:r>
        <w:rPr>
          <w:rFonts w:ascii="Trebuchet MS"/>
          <w:color w:val="585858"/>
          <w:sz w:val="18"/>
        </w:rPr>
        <w:tab/>
      </w:r>
      <w:r>
        <w:rPr>
          <w:rFonts w:ascii="Trebuchet MS"/>
          <w:color w:val="585858"/>
          <w:spacing w:val="-4"/>
          <w:sz w:val="18"/>
        </w:rPr>
        <w:t>2020</w:t>
      </w:r>
      <w:r>
        <w:rPr>
          <w:rFonts w:ascii="Trebuchet MS"/>
          <w:color w:val="585858"/>
          <w:sz w:val="18"/>
        </w:rPr>
        <w:tab/>
      </w:r>
      <w:r>
        <w:rPr>
          <w:rFonts w:ascii="Trebuchet MS"/>
          <w:color w:val="585858"/>
          <w:spacing w:val="-4"/>
          <w:sz w:val="18"/>
        </w:rPr>
        <w:t>2021</w:t>
      </w:r>
      <w:r>
        <w:rPr>
          <w:rFonts w:ascii="Trebuchet MS"/>
          <w:color w:val="585858"/>
          <w:sz w:val="18"/>
        </w:rPr>
        <w:tab/>
      </w:r>
      <w:r>
        <w:rPr>
          <w:rFonts w:ascii="Trebuchet MS"/>
          <w:color w:val="585858"/>
          <w:spacing w:val="-4"/>
          <w:sz w:val="18"/>
        </w:rPr>
        <w:t>2022</w:t>
      </w:r>
      <w:r>
        <w:rPr>
          <w:rFonts w:ascii="Trebuchet MS"/>
          <w:color w:val="585858"/>
          <w:sz w:val="18"/>
        </w:rPr>
        <w:tab/>
      </w:r>
      <w:r>
        <w:rPr>
          <w:rFonts w:ascii="Trebuchet MS"/>
          <w:color w:val="585858"/>
          <w:spacing w:val="-4"/>
          <w:sz w:val="18"/>
        </w:rPr>
        <w:t>2023</w:t>
      </w:r>
      <w:r>
        <w:rPr>
          <w:rFonts w:ascii="Trebuchet MS"/>
          <w:color w:val="585858"/>
          <w:sz w:val="18"/>
        </w:rPr>
        <w:tab/>
      </w:r>
      <w:r>
        <w:rPr>
          <w:rFonts w:ascii="Trebuchet MS"/>
          <w:color w:val="585858"/>
          <w:spacing w:val="-4"/>
          <w:sz w:val="18"/>
        </w:rPr>
        <w:t>2024</w:t>
      </w:r>
    </w:p>
    <w:p w14:paraId="738D22D0" w14:textId="77777777" w:rsidR="000E52B0" w:rsidRDefault="00F60D74">
      <w:pPr>
        <w:spacing w:before="187"/>
        <w:ind w:left="4618" w:right="907" w:hanging="3711"/>
        <w:rPr>
          <w:i/>
          <w:sz w:val="18"/>
        </w:rPr>
      </w:pPr>
      <w:r>
        <w:rPr>
          <w:i/>
          <w:color w:val="454551"/>
          <w:sz w:val="18"/>
        </w:rPr>
        <w:t>Fuente</w:t>
      </w:r>
      <w:r>
        <w:rPr>
          <w:i/>
          <w:color w:val="454551"/>
          <w:spacing w:val="-2"/>
          <w:sz w:val="18"/>
        </w:rPr>
        <w:t xml:space="preserve"> </w:t>
      </w:r>
      <w:r>
        <w:rPr>
          <w:i/>
          <w:color w:val="454551"/>
          <w:sz w:val="18"/>
        </w:rPr>
        <w:t>19.</w:t>
      </w:r>
      <w:r>
        <w:rPr>
          <w:i/>
          <w:color w:val="454551"/>
          <w:spacing w:val="-4"/>
          <w:sz w:val="18"/>
        </w:rPr>
        <w:t xml:space="preserve"> </w:t>
      </w:r>
      <w:r>
        <w:rPr>
          <w:i/>
          <w:color w:val="454551"/>
          <w:sz w:val="18"/>
        </w:rPr>
        <w:t>Elaboración</w:t>
      </w:r>
      <w:r>
        <w:rPr>
          <w:i/>
          <w:color w:val="454551"/>
          <w:spacing w:val="-2"/>
          <w:sz w:val="18"/>
        </w:rPr>
        <w:t xml:space="preserve"> </w:t>
      </w:r>
      <w:r>
        <w:rPr>
          <w:i/>
          <w:color w:val="454551"/>
          <w:sz w:val="18"/>
        </w:rPr>
        <w:t>propia</w:t>
      </w:r>
      <w:r>
        <w:rPr>
          <w:i/>
          <w:color w:val="454551"/>
          <w:spacing w:val="-3"/>
          <w:sz w:val="18"/>
        </w:rPr>
        <w:t xml:space="preserve"> </w:t>
      </w:r>
      <w:r>
        <w:rPr>
          <w:i/>
          <w:color w:val="454551"/>
          <w:sz w:val="18"/>
        </w:rPr>
        <w:t>con</w:t>
      </w:r>
      <w:r>
        <w:rPr>
          <w:i/>
          <w:color w:val="454551"/>
          <w:spacing w:val="-2"/>
          <w:sz w:val="18"/>
        </w:rPr>
        <w:t xml:space="preserve"> </w:t>
      </w:r>
      <w:r>
        <w:rPr>
          <w:i/>
          <w:color w:val="454551"/>
          <w:sz w:val="18"/>
        </w:rPr>
        <w:t>base</w:t>
      </w:r>
      <w:r>
        <w:rPr>
          <w:i/>
          <w:color w:val="454551"/>
          <w:spacing w:val="-3"/>
          <w:sz w:val="18"/>
        </w:rPr>
        <w:t xml:space="preserve"> </w:t>
      </w:r>
      <w:r>
        <w:rPr>
          <w:i/>
          <w:color w:val="454551"/>
          <w:sz w:val="18"/>
        </w:rPr>
        <w:t>en</w:t>
      </w:r>
      <w:r>
        <w:rPr>
          <w:i/>
          <w:color w:val="454551"/>
          <w:spacing w:val="-2"/>
          <w:sz w:val="18"/>
        </w:rPr>
        <w:t xml:space="preserve"> </w:t>
      </w:r>
      <w:r>
        <w:rPr>
          <w:i/>
          <w:color w:val="454551"/>
          <w:sz w:val="18"/>
        </w:rPr>
        <w:t>información</w:t>
      </w:r>
      <w:r>
        <w:rPr>
          <w:i/>
          <w:color w:val="454551"/>
          <w:spacing w:val="-2"/>
          <w:sz w:val="18"/>
        </w:rPr>
        <w:t xml:space="preserve"> </w:t>
      </w:r>
      <w:r>
        <w:rPr>
          <w:i/>
          <w:color w:val="454551"/>
          <w:sz w:val="18"/>
        </w:rPr>
        <w:t>de</w:t>
      </w:r>
      <w:r>
        <w:rPr>
          <w:i/>
          <w:color w:val="454551"/>
          <w:spacing w:val="-3"/>
          <w:sz w:val="18"/>
        </w:rPr>
        <w:t xml:space="preserve"> </w:t>
      </w:r>
      <w:r>
        <w:rPr>
          <w:i/>
          <w:color w:val="454551"/>
          <w:sz w:val="18"/>
        </w:rPr>
        <w:t>la</w:t>
      </w:r>
      <w:r>
        <w:rPr>
          <w:i/>
          <w:color w:val="454551"/>
          <w:spacing w:val="-3"/>
          <w:sz w:val="18"/>
        </w:rPr>
        <w:t xml:space="preserve"> </w:t>
      </w:r>
      <w:r>
        <w:rPr>
          <w:i/>
          <w:color w:val="454551"/>
          <w:sz w:val="18"/>
        </w:rPr>
        <w:t>GEIH</w:t>
      </w:r>
      <w:r>
        <w:rPr>
          <w:i/>
          <w:color w:val="454551"/>
          <w:spacing w:val="-4"/>
          <w:sz w:val="18"/>
        </w:rPr>
        <w:t xml:space="preserve"> </w:t>
      </w:r>
      <w:r>
        <w:rPr>
          <w:i/>
          <w:color w:val="454551"/>
          <w:sz w:val="18"/>
        </w:rPr>
        <w:t>del</w:t>
      </w:r>
      <w:r>
        <w:rPr>
          <w:i/>
          <w:color w:val="454551"/>
          <w:spacing w:val="-2"/>
          <w:sz w:val="18"/>
        </w:rPr>
        <w:t xml:space="preserve"> </w:t>
      </w:r>
      <w:r>
        <w:rPr>
          <w:i/>
          <w:color w:val="454551"/>
          <w:sz w:val="18"/>
        </w:rPr>
        <w:t>DANE,</w:t>
      </w:r>
      <w:r>
        <w:rPr>
          <w:i/>
          <w:color w:val="454551"/>
          <w:spacing w:val="-2"/>
          <w:sz w:val="18"/>
        </w:rPr>
        <w:t xml:space="preserve"> </w:t>
      </w:r>
      <w:r>
        <w:rPr>
          <w:i/>
          <w:color w:val="454551"/>
          <w:sz w:val="18"/>
        </w:rPr>
        <w:t>Anexos</w:t>
      </w:r>
      <w:r>
        <w:rPr>
          <w:i/>
          <w:color w:val="454551"/>
          <w:spacing w:val="-3"/>
          <w:sz w:val="18"/>
        </w:rPr>
        <w:t xml:space="preserve"> </w:t>
      </w:r>
      <w:r>
        <w:rPr>
          <w:i/>
          <w:color w:val="454551"/>
          <w:sz w:val="18"/>
        </w:rPr>
        <w:t xml:space="preserve">GEIHMLJ- </w:t>
      </w:r>
      <w:r>
        <w:rPr>
          <w:i/>
          <w:color w:val="454551"/>
          <w:spacing w:val="-2"/>
          <w:sz w:val="18"/>
        </w:rPr>
        <w:t>ene-mar2024</w:t>
      </w:r>
    </w:p>
    <w:p w14:paraId="087D6C71" w14:textId="77777777" w:rsidR="000E52B0" w:rsidRDefault="00F60D74">
      <w:pPr>
        <w:pStyle w:val="Textoindependiente"/>
        <w:spacing w:before="200"/>
        <w:ind w:right="721"/>
        <w:jc w:val="both"/>
      </w:pPr>
      <w:r>
        <w:t>Según el DANE, la máxima brecha de género en la tasa de desempleo juvenil,</w:t>
      </w:r>
      <w:r>
        <w:rPr>
          <w:spacing w:val="-19"/>
        </w:rPr>
        <w:t xml:space="preserve"> </w:t>
      </w:r>
      <w:r>
        <w:t>antes</w:t>
      </w:r>
      <w:r>
        <w:rPr>
          <w:spacing w:val="-18"/>
        </w:rPr>
        <w:t xml:space="preserve"> </w:t>
      </w:r>
      <w:r>
        <w:t>de</w:t>
      </w:r>
      <w:r>
        <w:rPr>
          <w:spacing w:val="-19"/>
        </w:rPr>
        <w:t xml:space="preserve"> </w:t>
      </w:r>
      <w:r>
        <w:t>2020,</w:t>
      </w:r>
      <w:r>
        <w:rPr>
          <w:spacing w:val="-21"/>
        </w:rPr>
        <w:t xml:space="preserve"> </w:t>
      </w:r>
      <w:r>
        <w:t>se</w:t>
      </w:r>
      <w:r>
        <w:rPr>
          <w:spacing w:val="-19"/>
        </w:rPr>
        <w:t xml:space="preserve"> </w:t>
      </w:r>
      <w:r>
        <w:t>había</w:t>
      </w:r>
      <w:r>
        <w:rPr>
          <w:spacing w:val="-20"/>
        </w:rPr>
        <w:t xml:space="preserve"> </w:t>
      </w:r>
      <w:r>
        <w:t>registrado</w:t>
      </w:r>
      <w:r>
        <w:rPr>
          <w:spacing w:val="-19"/>
        </w:rPr>
        <w:t xml:space="preserve"> </w:t>
      </w:r>
      <w:r>
        <w:t>en</w:t>
      </w:r>
      <w:r>
        <w:rPr>
          <w:spacing w:val="-20"/>
        </w:rPr>
        <w:t xml:space="preserve"> </w:t>
      </w:r>
      <w:r>
        <w:t>2010,</w:t>
      </w:r>
      <w:r>
        <w:rPr>
          <w:spacing w:val="-21"/>
        </w:rPr>
        <w:t xml:space="preserve"> </w:t>
      </w:r>
      <w:r>
        <w:t>con</w:t>
      </w:r>
      <w:r>
        <w:rPr>
          <w:spacing w:val="-20"/>
        </w:rPr>
        <w:t xml:space="preserve"> </w:t>
      </w:r>
      <w:r>
        <w:t>11,0</w:t>
      </w:r>
      <w:r>
        <w:rPr>
          <w:spacing w:val="-19"/>
        </w:rPr>
        <w:t xml:space="preserve"> </w:t>
      </w:r>
      <w:r>
        <w:t>p.p.;</w:t>
      </w:r>
      <w:r>
        <w:rPr>
          <w:spacing w:val="-18"/>
        </w:rPr>
        <w:t xml:space="preserve"> </w:t>
      </w:r>
      <w:r>
        <w:t>en</w:t>
      </w:r>
      <w:r>
        <w:rPr>
          <w:spacing w:val="-20"/>
        </w:rPr>
        <w:t xml:space="preserve"> </w:t>
      </w:r>
      <w:r>
        <w:t>2020 esta brecha alcanzó los 12,9 p.p. y el 43,8% de las mujeres jóvenes que se encontraban</w:t>
      </w:r>
      <w:r>
        <w:rPr>
          <w:spacing w:val="2"/>
        </w:rPr>
        <w:t xml:space="preserve"> </w:t>
      </w:r>
      <w:r>
        <w:t>fuera</w:t>
      </w:r>
      <w:r>
        <w:rPr>
          <w:spacing w:val="2"/>
        </w:rPr>
        <w:t xml:space="preserve"> </w:t>
      </w:r>
      <w:r>
        <w:t>de</w:t>
      </w:r>
      <w:r>
        <w:rPr>
          <w:spacing w:val="3"/>
        </w:rPr>
        <w:t xml:space="preserve"> </w:t>
      </w:r>
      <w:r>
        <w:t>la</w:t>
      </w:r>
      <w:r>
        <w:rPr>
          <w:spacing w:val="1"/>
        </w:rPr>
        <w:t xml:space="preserve"> </w:t>
      </w:r>
      <w:r>
        <w:t>fuerza</w:t>
      </w:r>
      <w:r>
        <w:rPr>
          <w:spacing w:val="3"/>
        </w:rPr>
        <w:t xml:space="preserve"> </w:t>
      </w:r>
      <w:r>
        <w:t>laboral</w:t>
      </w:r>
      <w:r>
        <w:rPr>
          <w:spacing w:val="5"/>
        </w:rPr>
        <w:t xml:space="preserve"> </w:t>
      </w:r>
      <w:r>
        <w:t>se</w:t>
      </w:r>
      <w:r>
        <w:rPr>
          <w:spacing w:val="2"/>
        </w:rPr>
        <w:t xml:space="preserve"> </w:t>
      </w:r>
      <w:r>
        <w:t>dedicaron</w:t>
      </w:r>
      <w:r>
        <w:rPr>
          <w:spacing w:val="2"/>
        </w:rPr>
        <w:t xml:space="preserve"> </w:t>
      </w:r>
      <w:r>
        <w:t>a</w:t>
      </w:r>
      <w:r>
        <w:rPr>
          <w:spacing w:val="2"/>
        </w:rPr>
        <w:t xml:space="preserve"> </w:t>
      </w:r>
      <w:r>
        <w:t>oficios</w:t>
      </w:r>
      <w:r>
        <w:rPr>
          <w:spacing w:val="2"/>
        </w:rPr>
        <w:t xml:space="preserve"> </w:t>
      </w:r>
      <w:r>
        <w:t>del</w:t>
      </w:r>
      <w:r>
        <w:rPr>
          <w:spacing w:val="2"/>
        </w:rPr>
        <w:t xml:space="preserve"> </w:t>
      </w:r>
      <w:r>
        <w:rPr>
          <w:spacing w:val="-2"/>
        </w:rPr>
        <w:t>hogar,</w:t>
      </w:r>
    </w:p>
    <w:p w14:paraId="4EB5EDA9" w14:textId="77777777" w:rsidR="000E52B0" w:rsidRDefault="000E52B0">
      <w:pPr>
        <w:pStyle w:val="Textoindependiente"/>
        <w:jc w:val="both"/>
        <w:sectPr w:rsidR="000E52B0">
          <w:type w:val="continuous"/>
          <w:pgSz w:w="11910" w:h="16840"/>
          <w:pgMar w:top="1340" w:right="720" w:bottom="1280" w:left="720" w:header="0" w:footer="995" w:gutter="0"/>
          <w:cols w:space="720"/>
        </w:sectPr>
      </w:pPr>
    </w:p>
    <w:p w14:paraId="346B5898" w14:textId="77777777" w:rsidR="000E52B0" w:rsidRDefault="00F60D74">
      <w:pPr>
        <w:pStyle w:val="Textoindependiente"/>
        <w:spacing w:before="83"/>
        <w:ind w:right="717"/>
        <w:jc w:val="both"/>
      </w:pPr>
      <w:r>
        <w:lastRenderedPageBreak/>
        <w:t>mientras</w:t>
      </w:r>
      <w:r>
        <w:rPr>
          <w:spacing w:val="-2"/>
        </w:rPr>
        <w:t xml:space="preserve"> </w:t>
      </w:r>
      <w:r>
        <w:t>que</w:t>
      </w:r>
      <w:r>
        <w:rPr>
          <w:spacing w:val="-2"/>
        </w:rPr>
        <w:t xml:space="preserve"> </w:t>
      </w:r>
      <w:r>
        <w:t>este</w:t>
      </w:r>
      <w:r>
        <w:rPr>
          <w:spacing w:val="-2"/>
        </w:rPr>
        <w:t xml:space="preserve"> </w:t>
      </w:r>
      <w:r>
        <w:t>porcentaje</w:t>
      </w:r>
      <w:r>
        <w:rPr>
          <w:spacing w:val="-2"/>
        </w:rPr>
        <w:t xml:space="preserve"> </w:t>
      </w:r>
      <w:r>
        <w:t>es</w:t>
      </w:r>
      <w:r>
        <w:rPr>
          <w:spacing w:val="-3"/>
        </w:rPr>
        <w:t xml:space="preserve"> </w:t>
      </w:r>
      <w:r>
        <w:t>de</w:t>
      </w:r>
      <w:r>
        <w:rPr>
          <w:spacing w:val="-4"/>
        </w:rPr>
        <w:t xml:space="preserve"> </w:t>
      </w:r>
      <w:r>
        <w:t>7,8%</w:t>
      </w:r>
      <w:r>
        <w:rPr>
          <w:spacing w:val="-2"/>
        </w:rPr>
        <w:t xml:space="preserve"> </w:t>
      </w:r>
      <w:r>
        <w:t>entre</w:t>
      </w:r>
      <w:r>
        <w:rPr>
          <w:spacing w:val="-3"/>
        </w:rPr>
        <w:t xml:space="preserve"> </w:t>
      </w:r>
      <w:r>
        <w:t>los</w:t>
      </w:r>
      <w:r>
        <w:rPr>
          <w:spacing w:val="-3"/>
        </w:rPr>
        <w:t xml:space="preserve"> </w:t>
      </w:r>
      <w:r>
        <w:t>hombres</w:t>
      </w:r>
      <w:r>
        <w:rPr>
          <w:spacing w:val="-3"/>
        </w:rPr>
        <w:t xml:space="preserve"> </w:t>
      </w:r>
      <w:r>
        <w:t>jóvenes</w:t>
      </w:r>
      <w:r>
        <w:rPr>
          <w:spacing w:val="-3"/>
        </w:rPr>
        <w:t xml:space="preserve"> </w:t>
      </w:r>
      <w:r>
        <w:t>fuera de</w:t>
      </w:r>
      <w:r>
        <w:rPr>
          <w:spacing w:val="-10"/>
        </w:rPr>
        <w:t xml:space="preserve"> </w:t>
      </w:r>
      <w:r>
        <w:t>la</w:t>
      </w:r>
      <w:r>
        <w:rPr>
          <w:spacing w:val="-12"/>
        </w:rPr>
        <w:t xml:space="preserve"> </w:t>
      </w:r>
      <w:r>
        <w:t>fuerza</w:t>
      </w:r>
      <w:r>
        <w:rPr>
          <w:spacing w:val="-11"/>
        </w:rPr>
        <w:t xml:space="preserve"> </w:t>
      </w:r>
      <w:r>
        <w:t>laboral.</w:t>
      </w:r>
      <w:r>
        <w:rPr>
          <w:spacing w:val="-10"/>
        </w:rPr>
        <w:t xml:space="preserve"> </w:t>
      </w:r>
      <w:r>
        <w:t>Es</w:t>
      </w:r>
      <w:r>
        <w:rPr>
          <w:spacing w:val="-9"/>
        </w:rPr>
        <w:t xml:space="preserve"> </w:t>
      </w:r>
      <w:r>
        <w:t>importante</w:t>
      </w:r>
      <w:r>
        <w:rPr>
          <w:spacing w:val="-10"/>
        </w:rPr>
        <w:t xml:space="preserve"> </w:t>
      </w:r>
      <w:r>
        <w:t>destacar</w:t>
      </w:r>
      <w:r>
        <w:rPr>
          <w:spacing w:val="-10"/>
        </w:rPr>
        <w:t xml:space="preserve"> </w:t>
      </w:r>
      <w:r>
        <w:t>que</w:t>
      </w:r>
      <w:r>
        <w:rPr>
          <w:spacing w:val="-10"/>
        </w:rPr>
        <w:t xml:space="preserve"> </w:t>
      </w:r>
      <w:r>
        <w:t>esta</w:t>
      </w:r>
      <w:r>
        <w:rPr>
          <w:spacing w:val="-9"/>
        </w:rPr>
        <w:t xml:space="preserve"> </w:t>
      </w:r>
      <w:r>
        <w:t>brecha</w:t>
      </w:r>
      <w:r>
        <w:rPr>
          <w:spacing w:val="-11"/>
        </w:rPr>
        <w:t xml:space="preserve"> </w:t>
      </w:r>
      <w:r>
        <w:t>también</w:t>
      </w:r>
      <w:r>
        <w:rPr>
          <w:spacing w:val="-11"/>
        </w:rPr>
        <w:t xml:space="preserve"> </w:t>
      </w:r>
      <w:r>
        <w:t>se</w:t>
      </w:r>
      <w:r>
        <w:rPr>
          <w:spacing w:val="-8"/>
        </w:rPr>
        <w:t xml:space="preserve"> </w:t>
      </w:r>
      <w:r>
        <w:t>ve evidenciada en el uso del tiempo. Los resultados de la Encuesta Nacional de Uso del Tiempo (ENUT) reiteran que los hombres dedican más tiempo que las mujeres a actividades de trabajo remunerado, tendencia que se mantiene</w:t>
      </w:r>
      <w:r>
        <w:rPr>
          <w:spacing w:val="-20"/>
        </w:rPr>
        <w:t xml:space="preserve"> </w:t>
      </w:r>
      <w:r>
        <w:t>en</w:t>
      </w:r>
      <w:r>
        <w:rPr>
          <w:spacing w:val="-19"/>
        </w:rPr>
        <w:t xml:space="preserve"> </w:t>
      </w:r>
      <w:r>
        <w:t>todos</w:t>
      </w:r>
      <w:r>
        <w:rPr>
          <w:spacing w:val="-19"/>
        </w:rPr>
        <w:t xml:space="preserve"> </w:t>
      </w:r>
      <w:r>
        <w:t>los</w:t>
      </w:r>
      <w:r>
        <w:rPr>
          <w:spacing w:val="-21"/>
        </w:rPr>
        <w:t xml:space="preserve"> </w:t>
      </w:r>
      <w:r>
        <w:t>grupos</w:t>
      </w:r>
      <w:r>
        <w:rPr>
          <w:spacing w:val="-19"/>
        </w:rPr>
        <w:t xml:space="preserve"> </w:t>
      </w:r>
      <w:r>
        <w:t>de</w:t>
      </w:r>
      <w:r>
        <w:rPr>
          <w:spacing w:val="-20"/>
        </w:rPr>
        <w:t xml:space="preserve"> </w:t>
      </w:r>
      <w:r>
        <w:t>edad;</w:t>
      </w:r>
      <w:r>
        <w:rPr>
          <w:spacing w:val="-17"/>
        </w:rPr>
        <w:t xml:space="preserve"> </w:t>
      </w:r>
      <w:r>
        <w:t>pero</w:t>
      </w:r>
      <w:r>
        <w:rPr>
          <w:spacing w:val="-19"/>
        </w:rPr>
        <w:t xml:space="preserve"> </w:t>
      </w:r>
      <w:r>
        <w:t>se</w:t>
      </w:r>
      <w:r>
        <w:rPr>
          <w:spacing w:val="-20"/>
        </w:rPr>
        <w:t xml:space="preserve"> </w:t>
      </w:r>
      <w:r>
        <w:t>profundiza</w:t>
      </w:r>
      <w:r>
        <w:rPr>
          <w:spacing w:val="-18"/>
        </w:rPr>
        <w:t xml:space="preserve"> </w:t>
      </w:r>
      <w:r>
        <w:t>para</w:t>
      </w:r>
      <w:r>
        <w:rPr>
          <w:spacing w:val="-20"/>
        </w:rPr>
        <w:t xml:space="preserve"> </w:t>
      </w:r>
      <w:r>
        <w:t>la</w:t>
      </w:r>
      <w:r>
        <w:rPr>
          <w:spacing w:val="-19"/>
        </w:rPr>
        <w:t xml:space="preserve"> </w:t>
      </w:r>
      <w:r>
        <w:t>población de 18 a</w:t>
      </w:r>
      <w:r>
        <w:rPr>
          <w:spacing w:val="-1"/>
        </w:rPr>
        <w:t xml:space="preserve"> </w:t>
      </w:r>
      <w:r>
        <w:t>24 años:</w:t>
      </w:r>
      <w:r>
        <w:rPr>
          <w:spacing w:val="-2"/>
        </w:rPr>
        <w:t xml:space="preserve"> </w:t>
      </w:r>
      <w:r>
        <w:t>en 2016-2017 las</w:t>
      </w:r>
      <w:r>
        <w:rPr>
          <w:spacing w:val="-1"/>
        </w:rPr>
        <w:t xml:space="preserve"> </w:t>
      </w:r>
      <w:r>
        <w:t>jóvenes</w:t>
      </w:r>
      <w:r>
        <w:rPr>
          <w:spacing w:val="-1"/>
        </w:rPr>
        <w:t xml:space="preserve"> </w:t>
      </w:r>
      <w:r>
        <w:t>dedicaron</w:t>
      </w:r>
      <w:r>
        <w:rPr>
          <w:spacing w:val="-1"/>
        </w:rPr>
        <w:t xml:space="preserve"> </w:t>
      </w:r>
      <w:r>
        <w:t>5 horas 11 minutos diarios más que los jóvenes a actividades de trabajo no remunerado.</w:t>
      </w:r>
    </w:p>
    <w:p w14:paraId="15327DC9" w14:textId="77777777" w:rsidR="000E52B0" w:rsidRDefault="00F60D74">
      <w:pPr>
        <w:pStyle w:val="Textoindependiente"/>
        <w:spacing w:before="158"/>
        <w:ind w:right="713"/>
        <w:jc w:val="both"/>
      </w:pPr>
      <w:r>
        <w:t xml:space="preserve">Según datos del Banco Mundial con base a los Indicadores de </w:t>
      </w:r>
      <w:r>
        <w:rPr>
          <w:i/>
        </w:rPr>
        <w:t>Clave del Mercado de Trabajo de la Organización Internacional del Trabajo</w:t>
      </w:r>
      <w:r>
        <w:t>, en Colombia, para el 2022 había un 31,7% de población de mujeres jóvenes sin</w:t>
      </w:r>
      <w:r>
        <w:rPr>
          <w:spacing w:val="-6"/>
        </w:rPr>
        <w:t xml:space="preserve"> </w:t>
      </w:r>
      <w:r>
        <w:t>educación,</w:t>
      </w:r>
      <w:r>
        <w:rPr>
          <w:spacing w:val="-7"/>
        </w:rPr>
        <w:t xml:space="preserve"> </w:t>
      </w:r>
      <w:r>
        <w:t>empleo</w:t>
      </w:r>
      <w:r>
        <w:rPr>
          <w:spacing w:val="-5"/>
        </w:rPr>
        <w:t xml:space="preserve"> </w:t>
      </w:r>
      <w:r>
        <w:t>ni</w:t>
      </w:r>
      <w:r>
        <w:rPr>
          <w:spacing w:val="-6"/>
        </w:rPr>
        <w:t xml:space="preserve"> </w:t>
      </w:r>
      <w:r>
        <w:t>capacitación.</w:t>
      </w:r>
      <w:r>
        <w:rPr>
          <w:spacing w:val="-4"/>
        </w:rPr>
        <w:t xml:space="preserve"> </w:t>
      </w:r>
      <w:r>
        <w:t>Al</w:t>
      </w:r>
      <w:r>
        <w:rPr>
          <w:spacing w:val="-6"/>
        </w:rPr>
        <w:t xml:space="preserve"> </w:t>
      </w:r>
      <w:r>
        <w:t>momento</w:t>
      </w:r>
      <w:r>
        <w:rPr>
          <w:spacing w:val="-5"/>
        </w:rPr>
        <w:t xml:space="preserve"> </w:t>
      </w:r>
      <w:r>
        <w:t>de</w:t>
      </w:r>
      <w:r>
        <w:rPr>
          <w:spacing w:val="-4"/>
        </w:rPr>
        <w:t xml:space="preserve"> </w:t>
      </w:r>
      <w:r>
        <w:t>analizar</w:t>
      </w:r>
      <w:r>
        <w:rPr>
          <w:spacing w:val="-4"/>
        </w:rPr>
        <w:t xml:space="preserve"> </w:t>
      </w:r>
      <w:r>
        <w:t>estos</w:t>
      </w:r>
      <w:r>
        <w:rPr>
          <w:spacing w:val="-6"/>
        </w:rPr>
        <w:t xml:space="preserve"> </w:t>
      </w:r>
      <w:r>
        <w:t>datos en perspectiva de género nos damos cuenta de la brecha de desigualdad de género que recae en el empobrecimiento, exclusión y limitaciones de oportunidades para las mujeres jóvenes.</w:t>
      </w:r>
    </w:p>
    <w:p w14:paraId="4D105532" w14:textId="77777777" w:rsidR="000E52B0" w:rsidRDefault="00F60D74">
      <w:pPr>
        <w:pStyle w:val="Textoindependiente"/>
        <w:spacing w:before="162"/>
        <w:ind w:right="719"/>
        <w:jc w:val="both"/>
      </w:pPr>
      <w:r>
        <w:t>En relación con los datos del censo del DANE, existe una relación directa entre la pobreza monetaria y multidimensional de las juventudes. Ahora a nivel geográfico y situándonos en los porcentajes más altos de desempleo en juventudes, el análisis estadístico del DANE (2021) demuestra que las dinámicas territoriales de exclusión laboral en la región del Caribe son mayores siendo el departamento del Atlántico con la mayor tasa de desempleo</w:t>
      </w:r>
      <w:r>
        <w:rPr>
          <w:spacing w:val="-22"/>
        </w:rPr>
        <w:t xml:space="preserve"> </w:t>
      </w:r>
      <w:r>
        <w:t>para</w:t>
      </w:r>
      <w:r>
        <w:rPr>
          <w:spacing w:val="-21"/>
        </w:rPr>
        <w:t xml:space="preserve"> </w:t>
      </w:r>
      <w:r>
        <w:t>la</w:t>
      </w:r>
      <w:r>
        <w:rPr>
          <w:spacing w:val="-21"/>
        </w:rPr>
        <w:t xml:space="preserve"> </w:t>
      </w:r>
      <w:r>
        <w:t>población</w:t>
      </w:r>
      <w:r>
        <w:rPr>
          <w:spacing w:val="-20"/>
        </w:rPr>
        <w:t xml:space="preserve"> </w:t>
      </w:r>
      <w:r>
        <w:t>joven</w:t>
      </w:r>
      <w:r>
        <w:rPr>
          <w:spacing w:val="-21"/>
        </w:rPr>
        <w:t xml:space="preserve"> </w:t>
      </w:r>
      <w:r>
        <w:t>con</w:t>
      </w:r>
      <w:r>
        <w:rPr>
          <w:spacing w:val="-21"/>
        </w:rPr>
        <w:t xml:space="preserve"> </w:t>
      </w:r>
      <w:r>
        <w:t>un</w:t>
      </w:r>
      <w:r>
        <w:rPr>
          <w:spacing w:val="-21"/>
        </w:rPr>
        <w:t xml:space="preserve"> </w:t>
      </w:r>
      <w:r>
        <w:t>37,0%</w:t>
      </w:r>
      <w:r>
        <w:rPr>
          <w:spacing w:val="-20"/>
        </w:rPr>
        <w:t xml:space="preserve"> </w:t>
      </w:r>
      <w:r>
        <w:t>durante</w:t>
      </w:r>
      <w:r>
        <w:rPr>
          <w:spacing w:val="-20"/>
        </w:rPr>
        <w:t xml:space="preserve"> </w:t>
      </w:r>
      <w:r>
        <w:t>el</w:t>
      </w:r>
      <w:r>
        <w:rPr>
          <w:spacing w:val="-22"/>
        </w:rPr>
        <w:t xml:space="preserve"> </w:t>
      </w:r>
      <w:r>
        <w:t>2020,</w:t>
      </w:r>
      <w:r>
        <w:rPr>
          <w:spacing w:val="-21"/>
        </w:rPr>
        <w:t xml:space="preserve"> </w:t>
      </w:r>
      <w:r>
        <w:t>mientras que la menor tasa se presentó en el departamento de Nariño (14,7%).</w:t>
      </w:r>
    </w:p>
    <w:p w14:paraId="06A13C74" w14:textId="77777777" w:rsidR="000E52B0" w:rsidRDefault="00F60D74">
      <w:pPr>
        <w:pStyle w:val="Textoindependiente"/>
        <w:spacing w:before="160"/>
        <w:ind w:right="714"/>
        <w:jc w:val="both"/>
      </w:pPr>
      <w:r>
        <w:t xml:space="preserve">Pero también se </w:t>
      </w:r>
      <w:proofErr w:type="spellStart"/>
      <w:r>
        <w:t>interseccionan</w:t>
      </w:r>
      <w:proofErr w:type="spellEnd"/>
      <w:r>
        <w:t>, por ejemplo, para 2021, la brecha de ingreso</w:t>
      </w:r>
      <w:r>
        <w:rPr>
          <w:spacing w:val="-22"/>
        </w:rPr>
        <w:t xml:space="preserve"> </w:t>
      </w:r>
      <w:r>
        <w:t>promedio</w:t>
      </w:r>
      <w:r>
        <w:rPr>
          <w:spacing w:val="-21"/>
        </w:rPr>
        <w:t xml:space="preserve"> </w:t>
      </w:r>
      <w:r>
        <w:t>por</w:t>
      </w:r>
      <w:r>
        <w:rPr>
          <w:spacing w:val="-21"/>
        </w:rPr>
        <w:t xml:space="preserve"> </w:t>
      </w:r>
      <w:r>
        <w:t>género</w:t>
      </w:r>
      <w:r>
        <w:rPr>
          <w:spacing w:val="-21"/>
        </w:rPr>
        <w:t xml:space="preserve"> </w:t>
      </w:r>
      <w:r>
        <w:t>era</w:t>
      </w:r>
      <w:r>
        <w:rPr>
          <w:spacing w:val="-21"/>
        </w:rPr>
        <w:t xml:space="preserve"> </w:t>
      </w:r>
      <w:r>
        <w:t>6.3,</w:t>
      </w:r>
      <w:r>
        <w:rPr>
          <w:spacing w:val="-21"/>
        </w:rPr>
        <w:t xml:space="preserve"> </w:t>
      </w:r>
      <w:r>
        <w:t>mientras</w:t>
      </w:r>
      <w:r>
        <w:rPr>
          <w:spacing w:val="-21"/>
        </w:rPr>
        <w:t xml:space="preserve"> </w:t>
      </w:r>
      <w:r>
        <w:t>que,</w:t>
      </w:r>
      <w:r>
        <w:rPr>
          <w:spacing w:val="-21"/>
        </w:rPr>
        <w:t xml:space="preserve"> </w:t>
      </w:r>
      <w:r>
        <w:t>la</w:t>
      </w:r>
      <w:r>
        <w:rPr>
          <w:spacing w:val="-21"/>
        </w:rPr>
        <w:t xml:space="preserve"> </w:t>
      </w:r>
      <w:r>
        <w:t>diferencia</w:t>
      </w:r>
      <w:r>
        <w:rPr>
          <w:spacing w:val="-21"/>
        </w:rPr>
        <w:t xml:space="preserve"> </w:t>
      </w:r>
      <w:r>
        <w:t>porcentual entre hombres y mujeres jóvenes total es de 28%, no obstante, entre los hombres</w:t>
      </w:r>
      <w:r>
        <w:rPr>
          <w:spacing w:val="-4"/>
        </w:rPr>
        <w:t xml:space="preserve"> </w:t>
      </w:r>
      <w:r>
        <w:t>entre</w:t>
      </w:r>
      <w:r>
        <w:rPr>
          <w:spacing w:val="-2"/>
        </w:rPr>
        <w:t xml:space="preserve"> </w:t>
      </w:r>
      <w:r>
        <w:t>29</w:t>
      </w:r>
      <w:r>
        <w:rPr>
          <w:spacing w:val="-3"/>
        </w:rPr>
        <w:t xml:space="preserve"> </w:t>
      </w:r>
      <w:r>
        <w:t>y</w:t>
      </w:r>
      <w:r>
        <w:rPr>
          <w:spacing w:val="-4"/>
        </w:rPr>
        <w:t xml:space="preserve"> </w:t>
      </w:r>
      <w:r>
        <w:t>59</w:t>
      </w:r>
      <w:r>
        <w:rPr>
          <w:spacing w:val="-2"/>
        </w:rPr>
        <w:t xml:space="preserve"> </w:t>
      </w:r>
      <w:r>
        <w:t>años</w:t>
      </w:r>
      <w:r>
        <w:rPr>
          <w:spacing w:val="-4"/>
        </w:rPr>
        <w:t xml:space="preserve"> </w:t>
      </w:r>
      <w:r>
        <w:t>urbanos,</w:t>
      </w:r>
      <w:r>
        <w:rPr>
          <w:spacing w:val="-5"/>
        </w:rPr>
        <w:t xml:space="preserve"> </w:t>
      </w:r>
      <w:r>
        <w:t>y</w:t>
      </w:r>
      <w:r>
        <w:rPr>
          <w:spacing w:val="-4"/>
        </w:rPr>
        <w:t xml:space="preserve"> </w:t>
      </w:r>
      <w:r>
        <w:t>las</w:t>
      </w:r>
      <w:r>
        <w:rPr>
          <w:spacing w:val="-4"/>
        </w:rPr>
        <w:t xml:space="preserve"> </w:t>
      </w:r>
      <w:r>
        <w:t>mujeres</w:t>
      </w:r>
      <w:r>
        <w:rPr>
          <w:spacing w:val="-4"/>
        </w:rPr>
        <w:t xml:space="preserve"> </w:t>
      </w:r>
      <w:r>
        <w:t>jóvenes</w:t>
      </w:r>
      <w:r>
        <w:rPr>
          <w:spacing w:val="-4"/>
        </w:rPr>
        <w:t xml:space="preserve"> </w:t>
      </w:r>
      <w:r>
        <w:t>rurales,</w:t>
      </w:r>
      <w:r>
        <w:rPr>
          <w:spacing w:val="-5"/>
        </w:rPr>
        <w:t xml:space="preserve"> </w:t>
      </w:r>
      <w:r>
        <w:t xml:space="preserve">es de </w:t>
      </w:r>
      <w:r>
        <w:rPr>
          <w:spacing w:val="-4"/>
        </w:rPr>
        <w:t>91%.</w:t>
      </w:r>
    </w:p>
    <w:p w14:paraId="7298E715" w14:textId="77777777" w:rsidR="000E52B0" w:rsidRDefault="00F60D74">
      <w:pPr>
        <w:spacing w:before="160"/>
        <w:ind w:left="720" w:right="727"/>
        <w:jc w:val="both"/>
        <w:rPr>
          <w:i/>
          <w:sz w:val="18"/>
        </w:rPr>
      </w:pPr>
      <w:r>
        <w:rPr>
          <w:i/>
          <w:color w:val="454551"/>
          <w:sz w:val="18"/>
        </w:rPr>
        <w:t xml:space="preserve">Ilustración 30. Media del ingreso total por grupo etario y brecha salarial entre hombres y mujeres, </w:t>
      </w:r>
      <w:r>
        <w:rPr>
          <w:i/>
          <w:color w:val="454551"/>
          <w:spacing w:val="-4"/>
          <w:sz w:val="18"/>
        </w:rPr>
        <w:t>2022</w:t>
      </w:r>
    </w:p>
    <w:p w14:paraId="6EE612A1" w14:textId="77777777" w:rsidR="000E52B0" w:rsidRDefault="000E52B0">
      <w:pPr>
        <w:pStyle w:val="Textoindependiente"/>
        <w:spacing w:before="5"/>
        <w:ind w:left="0"/>
        <w:rPr>
          <w:i/>
          <w:sz w:val="16"/>
        </w:rPr>
      </w:pPr>
    </w:p>
    <w:tbl>
      <w:tblPr>
        <w:tblStyle w:val="TableNormal"/>
        <w:tblW w:w="0" w:type="auto"/>
        <w:tblInd w:w="73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529"/>
        <w:gridCol w:w="1318"/>
        <w:gridCol w:w="1205"/>
        <w:gridCol w:w="1325"/>
        <w:gridCol w:w="1215"/>
        <w:gridCol w:w="1214"/>
        <w:gridCol w:w="1212"/>
      </w:tblGrid>
      <w:tr w:rsidR="000E52B0" w14:paraId="55FF6385" w14:textId="77777777">
        <w:trPr>
          <w:trHeight w:val="359"/>
        </w:trPr>
        <w:tc>
          <w:tcPr>
            <w:tcW w:w="1529" w:type="dxa"/>
            <w:tcBorders>
              <w:bottom w:val="single" w:sz="12" w:space="0" w:color="ED80BB"/>
            </w:tcBorders>
            <w:shd w:val="clear" w:color="auto" w:fill="D44673"/>
          </w:tcPr>
          <w:p w14:paraId="0B658A07" w14:textId="77777777" w:rsidR="000E52B0" w:rsidRDefault="000E52B0">
            <w:pPr>
              <w:pStyle w:val="TableParagraph"/>
              <w:rPr>
                <w:rFonts w:ascii="Times New Roman"/>
              </w:rPr>
            </w:pPr>
          </w:p>
        </w:tc>
        <w:tc>
          <w:tcPr>
            <w:tcW w:w="2523" w:type="dxa"/>
            <w:gridSpan w:val="2"/>
            <w:tcBorders>
              <w:bottom w:val="single" w:sz="12" w:space="0" w:color="ED80BB"/>
            </w:tcBorders>
            <w:shd w:val="clear" w:color="auto" w:fill="D44673"/>
          </w:tcPr>
          <w:p w14:paraId="516CD26F" w14:textId="77777777" w:rsidR="000E52B0" w:rsidRDefault="00F60D74">
            <w:pPr>
              <w:pStyle w:val="TableParagraph"/>
              <w:spacing w:before="83"/>
              <w:ind w:left="102"/>
              <w:rPr>
                <w:b/>
                <w:sz w:val="16"/>
              </w:rPr>
            </w:pPr>
            <w:r>
              <w:rPr>
                <w:b/>
                <w:color w:val="FFFFFF"/>
                <w:sz w:val="16"/>
              </w:rPr>
              <w:t>Total</w:t>
            </w:r>
            <w:r>
              <w:rPr>
                <w:b/>
                <w:color w:val="FFFFFF"/>
                <w:spacing w:val="-6"/>
                <w:sz w:val="16"/>
              </w:rPr>
              <w:t xml:space="preserve"> </w:t>
            </w:r>
            <w:r>
              <w:rPr>
                <w:b/>
                <w:color w:val="FFFFFF"/>
                <w:spacing w:val="-2"/>
                <w:sz w:val="16"/>
              </w:rPr>
              <w:t>nacional</w:t>
            </w:r>
          </w:p>
        </w:tc>
        <w:tc>
          <w:tcPr>
            <w:tcW w:w="2540" w:type="dxa"/>
            <w:gridSpan w:val="2"/>
            <w:tcBorders>
              <w:bottom w:val="single" w:sz="12" w:space="0" w:color="ED80BB"/>
            </w:tcBorders>
            <w:shd w:val="clear" w:color="auto" w:fill="D44673"/>
          </w:tcPr>
          <w:p w14:paraId="56D1C663" w14:textId="77777777" w:rsidR="000E52B0" w:rsidRDefault="00F60D74">
            <w:pPr>
              <w:pStyle w:val="TableParagraph"/>
              <w:spacing w:before="83"/>
              <w:ind w:left="105"/>
              <w:rPr>
                <w:b/>
                <w:sz w:val="16"/>
              </w:rPr>
            </w:pPr>
            <w:r>
              <w:rPr>
                <w:b/>
                <w:color w:val="FFFFFF"/>
                <w:spacing w:val="-2"/>
                <w:sz w:val="16"/>
              </w:rPr>
              <w:t>Urbano</w:t>
            </w:r>
          </w:p>
        </w:tc>
        <w:tc>
          <w:tcPr>
            <w:tcW w:w="2426" w:type="dxa"/>
            <w:gridSpan w:val="2"/>
            <w:tcBorders>
              <w:bottom w:val="single" w:sz="12" w:space="0" w:color="ED80BB"/>
            </w:tcBorders>
            <w:shd w:val="clear" w:color="auto" w:fill="D44673"/>
          </w:tcPr>
          <w:p w14:paraId="48B4AA8B" w14:textId="77777777" w:rsidR="000E52B0" w:rsidRDefault="00F60D74">
            <w:pPr>
              <w:pStyle w:val="TableParagraph"/>
              <w:spacing w:before="83"/>
              <w:ind w:left="105"/>
              <w:rPr>
                <w:b/>
                <w:sz w:val="16"/>
              </w:rPr>
            </w:pPr>
            <w:r>
              <w:rPr>
                <w:b/>
                <w:color w:val="FFFFFF"/>
                <w:spacing w:val="-2"/>
                <w:sz w:val="16"/>
              </w:rPr>
              <w:t>Rural</w:t>
            </w:r>
          </w:p>
        </w:tc>
      </w:tr>
      <w:tr w:rsidR="000E52B0" w14:paraId="2A97E4F9" w14:textId="77777777">
        <w:trPr>
          <w:trHeight w:val="390"/>
        </w:trPr>
        <w:tc>
          <w:tcPr>
            <w:tcW w:w="1529" w:type="dxa"/>
            <w:tcBorders>
              <w:top w:val="single" w:sz="12" w:space="0" w:color="ED80BB"/>
            </w:tcBorders>
            <w:shd w:val="clear" w:color="auto" w:fill="D7D7DE"/>
          </w:tcPr>
          <w:p w14:paraId="4199DB07" w14:textId="77777777" w:rsidR="000E52B0" w:rsidRDefault="00F60D74">
            <w:pPr>
              <w:pStyle w:val="TableParagraph"/>
              <w:spacing w:before="97"/>
              <w:ind w:left="105"/>
              <w:rPr>
                <w:b/>
                <w:sz w:val="16"/>
              </w:rPr>
            </w:pPr>
            <w:r>
              <w:rPr>
                <w:b/>
                <w:spacing w:val="-4"/>
                <w:sz w:val="16"/>
              </w:rPr>
              <w:t>Edad</w:t>
            </w:r>
          </w:p>
        </w:tc>
        <w:tc>
          <w:tcPr>
            <w:tcW w:w="1318" w:type="dxa"/>
            <w:tcBorders>
              <w:top w:val="single" w:sz="12" w:space="0" w:color="ED80BB"/>
            </w:tcBorders>
            <w:shd w:val="clear" w:color="auto" w:fill="D7D7DE"/>
          </w:tcPr>
          <w:p w14:paraId="46748318" w14:textId="77777777" w:rsidR="000E52B0" w:rsidRDefault="00F60D74">
            <w:pPr>
              <w:pStyle w:val="TableParagraph"/>
              <w:tabs>
                <w:tab w:val="left" w:pos="939"/>
              </w:tabs>
              <w:spacing w:line="190" w:lineRule="atLeast"/>
              <w:ind w:left="102" w:right="92"/>
              <w:rPr>
                <w:b/>
                <w:sz w:val="16"/>
              </w:rPr>
            </w:pPr>
            <w:r>
              <w:rPr>
                <w:b/>
                <w:spacing w:val="-2"/>
                <w:sz w:val="16"/>
              </w:rPr>
              <w:t>Media</w:t>
            </w:r>
            <w:r>
              <w:rPr>
                <w:b/>
                <w:sz w:val="16"/>
              </w:rPr>
              <w:tab/>
            </w:r>
            <w:r>
              <w:rPr>
                <w:b/>
                <w:spacing w:val="-4"/>
                <w:sz w:val="16"/>
              </w:rPr>
              <w:t xml:space="preserve">del </w:t>
            </w:r>
            <w:r>
              <w:rPr>
                <w:b/>
                <w:spacing w:val="-2"/>
                <w:sz w:val="16"/>
              </w:rPr>
              <w:t>ingreso</w:t>
            </w:r>
          </w:p>
        </w:tc>
        <w:tc>
          <w:tcPr>
            <w:tcW w:w="1205" w:type="dxa"/>
            <w:tcBorders>
              <w:top w:val="single" w:sz="12" w:space="0" w:color="ED80BB"/>
            </w:tcBorders>
            <w:shd w:val="clear" w:color="auto" w:fill="D7D7DE"/>
          </w:tcPr>
          <w:p w14:paraId="7ED60A9A" w14:textId="77777777" w:rsidR="000E52B0" w:rsidRDefault="00F60D74">
            <w:pPr>
              <w:pStyle w:val="TableParagraph"/>
              <w:spacing w:line="190" w:lineRule="atLeast"/>
              <w:ind w:left="105"/>
              <w:rPr>
                <w:b/>
                <w:sz w:val="16"/>
              </w:rPr>
            </w:pPr>
            <w:r>
              <w:rPr>
                <w:b/>
                <w:sz w:val="16"/>
              </w:rPr>
              <w:t>Brecha</w:t>
            </w:r>
            <w:r>
              <w:rPr>
                <w:b/>
                <w:spacing w:val="-9"/>
                <w:sz w:val="16"/>
              </w:rPr>
              <w:t xml:space="preserve"> </w:t>
            </w:r>
            <w:r>
              <w:rPr>
                <w:b/>
                <w:sz w:val="16"/>
              </w:rPr>
              <w:t xml:space="preserve">por </w:t>
            </w:r>
            <w:r>
              <w:rPr>
                <w:b/>
                <w:spacing w:val="-2"/>
                <w:sz w:val="16"/>
              </w:rPr>
              <w:t>género</w:t>
            </w:r>
          </w:p>
        </w:tc>
        <w:tc>
          <w:tcPr>
            <w:tcW w:w="1325" w:type="dxa"/>
            <w:tcBorders>
              <w:top w:val="single" w:sz="12" w:space="0" w:color="ED80BB"/>
            </w:tcBorders>
            <w:shd w:val="clear" w:color="auto" w:fill="D7D7DE"/>
          </w:tcPr>
          <w:p w14:paraId="7461C2CF" w14:textId="77777777" w:rsidR="000E52B0" w:rsidRDefault="00F60D74">
            <w:pPr>
              <w:pStyle w:val="TableParagraph"/>
              <w:tabs>
                <w:tab w:val="left" w:pos="949"/>
              </w:tabs>
              <w:spacing w:line="190" w:lineRule="atLeast"/>
              <w:ind w:left="105" w:right="90"/>
              <w:rPr>
                <w:b/>
                <w:sz w:val="16"/>
              </w:rPr>
            </w:pPr>
            <w:r>
              <w:rPr>
                <w:b/>
                <w:spacing w:val="-2"/>
                <w:sz w:val="16"/>
              </w:rPr>
              <w:t>Media</w:t>
            </w:r>
            <w:r>
              <w:rPr>
                <w:b/>
                <w:sz w:val="16"/>
              </w:rPr>
              <w:tab/>
            </w:r>
            <w:r>
              <w:rPr>
                <w:b/>
                <w:spacing w:val="-4"/>
                <w:sz w:val="16"/>
              </w:rPr>
              <w:t xml:space="preserve">del </w:t>
            </w:r>
            <w:r>
              <w:rPr>
                <w:b/>
                <w:spacing w:val="-2"/>
                <w:sz w:val="16"/>
              </w:rPr>
              <w:t>ingreso</w:t>
            </w:r>
          </w:p>
        </w:tc>
        <w:tc>
          <w:tcPr>
            <w:tcW w:w="1215" w:type="dxa"/>
            <w:tcBorders>
              <w:top w:val="single" w:sz="12" w:space="0" w:color="ED80BB"/>
            </w:tcBorders>
            <w:shd w:val="clear" w:color="auto" w:fill="D7D7DE"/>
          </w:tcPr>
          <w:p w14:paraId="657B6B9E" w14:textId="77777777" w:rsidR="000E52B0" w:rsidRDefault="00F60D74">
            <w:pPr>
              <w:pStyle w:val="TableParagraph"/>
              <w:spacing w:line="190" w:lineRule="atLeast"/>
              <w:ind w:left="105"/>
              <w:rPr>
                <w:b/>
                <w:sz w:val="16"/>
              </w:rPr>
            </w:pPr>
            <w:r>
              <w:rPr>
                <w:b/>
                <w:sz w:val="16"/>
              </w:rPr>
              <w:t>Brecha</w:t>
            </w:r>
            <w:r>
              <w:rPr>
                <w:b/>
                <w:spacing w:val="-4"/>
                <w:sz w:val="16"/>
              </w:rPr>
              <w:t xml:space="preserve"> </w:t>
            </w:r>
            <w:r>
              <w:rPr>
                <w:b/>
                <w:sz w:val="16"/>
              </w:rPr>
              <w:t xml:space="preserve">por </w:t>
            </w:r>
            <w:r>
              <w:rPr>
                <w:b/>
                <w:spacing w:val="-2"/>
                <w:sz w:val="16"/>
              </w:rPr>
              <w:t>género</w:t>
            </w:r>
          </w:p>
        </w:tc>
        <w:tc>
          <w:tcPr>
            <w:tcW w:w="1214" w:type="dxa"/>
            <w:tcBorders>
              <w:top w:val="single" w:sz="12" w:space="0" w:color="ED80BB"/>
            </w:tcBorders>
            <w:shd w:val="clear" w:color="auto" w:fill="D7D7DE"/>
          </w:tcPr>
          <w:p w14:paraId="4ADC864E" w14:textId="77777777" w:rsidR="000E52B0" w:rsidRDefault="00F60D74">
            <w:pPr>
              <w:pStyle w:val="TableParagraph"/>
              <w:spacing w:line="190" w:lineRule="atLeast"/>
              <w:ind w:left="105"/>
              <w:rPr>
                <w:b/>
                <w:sz w:val="16"/>
              </w:rPr>
            </w:pPr>
            <w:r>
              <w:rPr>
                <w:b/>
                <w:sz w:val="16"/>
              </w:rPr>
              <w:t>Media</w:t>
            </w:r>
            <w:r>
              <w:rPr>
                <w:b/>
                <w:spacing w:val="80"/>
                <w:sz w:val="16"/>
              </w:rPr>
              <w:t xml:space="preserve"> </w:t>
            </w:r>
            <w:r>
              <w:rPr>
                <w:b/>
                <w:sz w:val="16"/>
              </w:rPr>
              <w:t xml:space="preserve">del </w:t>
            </w:r>
            <w:r>
              <w:rPr>
                <w:b/>
                <w:spacing w:val="-2"/>
                <w:sz w:val="16"/>
              </w:rPr>
              <w:t>ingreso</w:t>
            </w:r>
          </w:p>
        </w:tc>
        <w:tc>
          <w:tcPr>
            <w:tcW w:w="1212" w:type="dxa"/>
            <w:tcBorders>
              <w:top w:val="single" w:sz="12" w:space="0" w:color="ED80BB"/>
            </w:tcBorders>
            <w:shd w:val="clear" w:color="auto" w:fill="D7D7DE"/>
          </w:tcPr>
          <w:p w14:paraId="09194C7C" w14:textId="77777777" w:rsidR="000E52B0" w:rsidRDefault="00F60D74">
            <w:pPr>
              <w:pStyle w:val="TableParagraph"/>
              <w:spacing w:line="190" w:lineRule="atLeast"/>
              <w:ind w:left="103"/>
              <w:rPr>
                <w:b/>
                <w:sz w:val="16"/>
              </w:rPr>
            </w:pPr>
            <w:r>
              <w:rPr>
                <w:b/>
                <w:sz w:val="16"/>
              </w:rPr>
              <w:t>Brecha</w:t>
            </w:r>
            <w:r>
              <w:rPr>
                <w:b/>
                <w:spacing w:val="-4"/>
                <w:sz w:val="16"/>
              </w:rPr>
              <w:t xml:space="preserve"> </w:t>
            </w:r>
            <w:r>
              <w:rPr>
                <w:b/>
                <w:sz w:val="16"/>
              </w:rPr>
              <w:t xml:space="preserve">por </w:t>
            </w:r>
            <w:r>
              <w:rPr>
                <w:b/>
                <w:spacing w:val="-2"/>
                <w:sz w:val="16"/>
              </w:rPr>
              <w:t>género</w:t>
            </w:r>
          </w:p>
        </w:tc>
      </w:tr>
      <w:tr w:rsidR="000E52B0" w14:paraId="6579D49F" w14:textId="77777777">
        <w:trPr>
          <w:trHeight w:val="193"/>
        </w:trPr>
        <w:tc>
          <w:tcPr>
            <w:tcW w:w="1529" w:type="dxa"/>
          </w:tcPr>
          <w:p w14:paraId="2037F994" w14:textId="77777777" w:rsidR="000E52B0" w:rsidRDefault="00F60D74">
            <w:pPr>
              <w:pStyle w:val="TableParagraph"/>
              <w:spacing w:line="174" w:lineRule="exact"/>
              <w:ind w:right="93"/>
              <w:jc w:val="right"/>
              <w:rPr>
                <w:b/>
                <w:sz w:val="16"/>
              </w:rPr>
            </w:pPr>
            <w:r>
              <w:rPr>
                <w:b/>
                <w:sz w:val="16"/>
              </w:rPr>
              <w:t>14</w:t>
            </w:r>
            <w:r>
              <w:rPr>
                <w:b/>
                <w:spacing w:val="-2"/>
                <w:sz w:val="16"/>
              </w:rPr>
              <w:t xml:space="preserve"> </w:t>
            </w:r>
            <w:r>
              <w:rPr>
                <w:b/>
                <w:sz w:val="16"/>
              </w:rPr>
              <w:t>a</w:t>
            </w:r>
            <w:r>
              <w:rPr>
                <w:b/>
                <w:spacing w:val="-2"/>
                <w:sz w:val="16"/>
              </w:rPr>
              <w:t xml:space="preserve"> </w:t>
            </w:r>
            <w:r>
              <w:rPr>
                <w:b/>
                <w:sz w:val="16"/>
              </w:rPr>
              <w:t>28</w:t>
            </w:r>
            <w:r>
              <w:rPr>
                <w:b/>
                <w:spacing w:val="-2"/>
                <w:sz w:val="16"/>
              </w:rPr>
              <w:t xml:space="preserve"> </w:t>
            </w:r>
            <w:r>
              <w:rPr>
                <w:b/>
                <w:spacing w:val="-4"/>
                <w:sz w:val="16"/>
              </w:rPr>
              <w:t>años</w:t>
            </w:r>
          </w:p>
        </w:tc>
        <w:tc>
          <w:tcPr>
            <w:tcW w:w="1318" w:type="dxa"/>
          </w:tcPr>
          <w:p w14:paraId="1E6E636E" w14:textId="77777777" w:rsidR="000E52B0" w:rsidRDefault="00F60D74">
            <w:pPr>
              <w:pStyle w:val="TableParagraph"/>
              <w:spacing w:line="174" w:lineRule="exact"/>
              <w:ind w:left="102"/>
              <w:rPr>
                <w:sz w:val="16"/>
              </w:rPr>
            </w:pPr>
            <w:r>
              <w:rPr>
                <w:sz w:val="16"/>
              </w:rPr>
              <w:t>$</w:t>
            </w:r>
            <w:r>
              <w:rPr>
                <w:spacing w:val="-1"/>
                <w:sz w:val="16"/>
              </w:rPr>
              <w:t xml:space="preserve"> </w:t>
            </w:r>
            <w:r>
              <w:rPr>
                <w:spacing w:val="-2"/>
                <w:sz w:val="16"/>
              </w:rPr>
              <w:t>527.444</w:t>
            </w:r>
          </w:p>
        </w:tc>
        <w:tc>
          <w:tcPr>
            <w:tcW w:w="1205" w:type="dxa"/>
            <w:vMerge w:val="restart"/>
          </w:tcPr>
          <w:p w14:paraId="0BE94370" w14:textId="77777777" w:rsidR="000E52B0" w:rsidRDefault="000E52B0">
            <w:pPr>
              <w:pStyle w:val="TableParagraph"/>
              <w:spacing w:before="9"/>
              <w:rPr>
                <w:i/>
                <w:sz w:val="16"/>
              </w:rPr>
            </w:pPr>
          </w:p>
          <w:p w14:paraId="0ECCD650" w14:textId="77777777" w:rsidR="000E52B0" w:rsidRDefault="00F60D74">
            <w:pPr>
              <w:pStyle w:val="TableParagraph"/>
              <w:ind w:left="105"/>
              <w:rPr>
                <w:sz w:val="16"/>
              </w:rPr>
            </w:pPr>
            <w:r>
              <w:rPr>
                <w:spacing w:val="-2"/>
                <w:sz w:val="16"/>
              </w:rPr>
              <w:t>27,8%</w:t>
            </w:r>
          </w:p>
        </w:tc>
        <w:tc>
          <w:tcPr>
            <w:tcW w:w="1325" w:type="dxa"/>
          </w:tcPr>
          <w:p w14:paraId="63467E7F" w14:textId="77777777" w:rsidR="000E52B0" w:rsidRDefault="00F60D74">
            <w:pPr>
              <w:pStyle w:val="TableParagraph"/>
              <w:spacing w:line="174" w:lineRule="exact"/>
              <w:ind w:left="105"/>
              <w:rPr>
                <w:sz w:val="16"/>
              </w:rPr>
            </w:pPr>
            <w:r>
              <w:rPr>
                <w:sz w:val="16"/>
              </w:rPr>
              <w:t>$</w:t>
            </w:r>
            <w:r>
              <w:rPr>
                <w:spacing w:val="-1"/>
                <w:sz w:val="16"/>
              </w:rPr>
              <w:t xml:space="preserve"> </w:t>
            </w:r>
            <w:r>
              <w:rPr>
                <w:spacing w:val="-2"/>
                <w:sz w:val="16"/>
              </w:rPr>
              <w:t>596.572</w:t>
            </w:r>
          </w:p>
        </w:tc>
        <w:tc>
          <w:tcPr>
            <w:tcW w:w="1215" w:type="dxa"/>
            <w:vMerge w:val="restart"/>
          </w:tcPr>
          <w:p w14:paraId="226FBA43" w14:textId="77777777" w:rsidR="000E52B0" w:rsidRDefault="000E52B0">
            <w:pPr>
              <w:pStyle w:val="TableParagraph"/>
              <w:spacing w:before="9"/>
              <w:rPr>
                <w:i/>
                <w:sz w:val="16"/>
              </w:rPr>
            </w:pPr>
          </w:p>
          <w:p w14:paraId="334953F0" w14:textId="77777777" w:rsidR="000E52B0" w:rsidRDefault="00F60D74">
            <w:pPr>
              <w:pStyle w:val="TableParagraph"/>
              <w:ind w:left="105"/>
              <w:rPr>
                <w:sz w:val="16"/>
              </w:rPr>
            </w:pPr>
            <w:r>
              <w:rPr>
                <w:spacing w:val="-2"/>
                <w:sz w:val="16"/>
              </w:rPr>
              <w:t>22,2%</w:t>
            </w:r>
          </w:p>
        </w:tc>
        <w:tc>
          <w:tcPr>
            <w:tcW w:w="1214" w:type="dxa"/>
          </w:tcPr>
          <w:p w14:paraId="1F25EF7D" w14:textId="77777777" w:rsidR="000E52B0" w:rsidRDefault="00F60D74">
            <w:pPr>
              <w:pStyle w:val="TableParagraph"/>
              <w:spacing w:line="174" w:lineRule="exact"/>
              <w:ind w:right="164"/>
              <w:jc w:val="center"/>
              <w:rPr>
                <w:sz w:val="16"/>
              </w:rPr>
            </w:pPr>
            <w:r>
              <w:rPr>
                <w:sz w:val="16"/>
              </w:rPr>
              <w:t>$</w:t>
            </w:r>
            <w:r>
              <w:rPr>
                <w:spacing w:val="-1"/>
                <w:sz w:val="16"/>
              </w:rPr>
              <w:t xml:space="preserve"> </w:t>
            </w:r>
            <w:r>
              <w:rPr>
                <w:spacing w:val="-2"/>
                <w:sz w:val="16"/>
              </w:rPr>
              <w:t>296.360</w:t>
            </w:r>
          </w:p>
        </w:tc>
        <w:tc>
          <w:tcPr>
            <w:tcW w:w="1212" w:type="dxa"/>
            <w:vMerge w:val="restart"/>
          </w:tcPr>
          <w:p w14:paraId="0D6144F6" w14:textId="77777777" w:rsidR="000E52B0" w:rsidRDefault="000E52B0">
            <w:pPr>
              <w:pStyle w:val="TableParagraph"/>
              <w:spacing w:before="9"/>
              <w:rPr>
                <w:i/>
                <w:sz w:val="16"/>
              </w:rPr>
            </w:pPr>
          </w:p>
          <w:p w14:paraId="679F4DD5" w14:textId="77777777" w:rsidR="000E52B0" w:rsidRDefault="00F60D74">
            <w:pPr>
              <w:pStyle w:val="TableParagraph"/>
              <w:ind w:left="103"/>
              <w:rPr>
                <w:sz w:val="16"/>
              </w:rPr>
            </w:pPr>
            <w:r>
              <w:rPr>
                <w:spacing w:val="-2"/>
                <w:sz w:val="16"/>
              </w:rPr>
              <w:t>61,6%</w:t>
            </w:r>
          </w:p>
        </w:tc>
      </w:tr>
      <w:tr w:rsidR="000E52B0" w14:paraId="56130B31" w14:textId="77777777">
        <w:trPr>
          <w:trHeight w:val="193"/>
        </w:trPr>
        <w:tc>
          <w:tcPr>
            <w:tcW w:w="1529" w:type="dxa"/>
          </w:tcPr>
          <w:p w14:paraId="0DDEB55A" w14:textId="77777777" w:rsidR="000E52B0" w:rsidRDefault="00F60D74">
            <w:pPr>
              <w:pStyle w:val="TableParagraph"/>
              <w:spacing w:line="174" w:lineRule="exact"/>
              <w:ind w:left="105"/>
              <w:rPr>
                <w:b/>
                <w:sz w:val="16"/>
              </w:rPr>
            </w:pPr>
            <w:r>
              <w:rPr>
                <w:b/>
                <w:spacing w:val="-2"/>
                <w:sz w:val="16"/>
              </w:rPr>
              <w:t>Hombres</w:t>
            </w:r>
          </w:p>
        </w:tc>
        <w:tc>
          <w:tcPr>
            <w:tcW w:w="1318" w:type="dxa"/>
          </w:tcPr>
          <w:p w14:paraId="33DFEC27" w14:textId="77777777" w:rsidR="000E52B0" w:rsidRDefault="00F60D74">
            <w:pPr>
              <w:pStyle w:val="TableParagraph"/>
              <w:spacing w:line="174" w:lineRule="exact"/>
              <w:ind w:left="102"/>
              <w:rPr>
                <w:sz w:val="16"/>
              </w:rPr>
            </w:pPr>
            <w:r>
              <w:rPr>
                <w:sz w:val="16"/>
              </w:rPr>
              <w:t>$</w:t>
            </w:r>
            <w:r>
              <w:rPr>
                <w:spacing w:val="-1"/>
                <w:sz w:val="16"/>
              </w:rPr>
              <w:t xml:space="preserve"> </w:t>
            </w:r>
            <w:r>
              <w:rPr>
                <w:spacing w:val="-2"/>
                <w:sz w:val="16"/>
              </w:rPr>
              <w:t>611.777</w:t>
            </w:r>
          </w:p>
        </w:tc>
        <w:tc>
          <w:tcPr>
            <w:tcW w:w="1205" w:type="dxa"/>
            <w:vMerge/>
            <w:tcBorders>
              <w:top w:val="nil"/>
            </w:tcBorders>
          </w:tcPr>
          <w:p w14:paraId="30735F53" w14:textId="77777777" w:rsidR="000E52B0" w:rsidRDefault="000E52B0">
            <w:pPr>
              <w:rPr>
                <w:sz w:val="2"/>
                <w:szCs w:val="2"/>
              </w:rPr>
            </w:pPr>
          </w:p>
        </w:tc>
        <w:tc>
          <w:tcPr>
            <w:tcW w:w="1325" w:type="dxa"/>
          </w:tcPr>
          <w:p w14:paraId="551CADBF" w14:textId="77777777" w:rsidR="000E52B0" w:rsidRDefault="00F60D74">
            <w:pPr>
              <w:pStyle w:val="TableParagraph"/>
              <w:spacing w:line="174" w:lineRule="exact"/>
              <w:ind w:left="105"/>
              <w:rPr>
                <w:sz w:val="16"/>
              </w:rPr>
            </w:pPr>
            <w:r>
              <w:rPr>
                <w:sz w:val="16"/>
              </w:rPr>
              <w:t>$</w:t>
            </w:r>
            <w:r>
              <w:rPr>
                <w:spacing w:val="-1"/>
                <w:sz w:val="16"/>
              </w:rPr>
              <w:t xml:space="preserve"> </w:t>
            </w:r>
            <w:r>
              <w:rPr>
                <w:spacing w:val="-2"/>
                <w:sz w:val="16"/>
              </w:rPr>
              <w:t>671.505</w:t>
            </w:r>
          </w:p>
        </w:tc>
        <w:tc>
          <w:tcPr>
            <w:tcW w:w="1215" w:type="dxa"/>
            <w:vMerge/>
            <w:tcBorders>
              <w:top w:val="nil"/>
            </w:tcBorders>
          </w:tcPr>
          <w:p w14:paraId="484253E0" w14:textId="77777777" w:rsidR="000E52B0" w:rsidRDefault="000E52B0">
            <w:pPr>
              <w:rPr>
                <w:sz w:val="2"/>
                <w:szCs w:val="2"/>
              </w:rPr>
            </w:pPr>
          </w:p>
        </w:tc>
        <w:tc>
          <w:tcPr>
            <w:tcW w:w="1214" w:type="dxa"/>
          </w:tcPr>
          <w:p w14:paraId="339889E6" w14:textId="77777777" w:rsidR="000E52B0" w:rsidRDefault="00F60D74">
            <w:pPr>
              <w:pStyle w:val="TableParagraph"/>
              <w:spacing w:line="174" w:lineRule="exact"/>
              <w:ind w:right="164"/>
              <w:jc w:val="center"/>
              <w:rPr>
                <w:sz w:val="16"/>
              </w:rPr>
            </w:pPr>
            <w:r>
              <w:rPr>
                <w:sz w:val="16"/>
              </w:rPr>
              <w:t>$</w:t>
            </w:r>
            <w:r>
              <w:rPr>
                <w:spacing w:val="-1"/>
                <w:sz w:val="16"/>
              </w:rPr>
              <w:t xml:space="preserve"> </w:t>
            </w:r>
            <w:r>
              <w:rPr>
                <w:spacing w:val="-2"/>
                <w:sz w:val="16"/>
              </w:rPr>
              <w:t>420.468</w:t>
            </w:r>
          </w:p>
        </w:tc>
        <w:tc>
          <w:tcPr>
            <w:tcW w:w="1212" w:type="dxa"/>
            <w:vMerge/>
            <w:tcBorders>
              <w:top w:val="nil"/>
            </w:tcBorders>
          </w:tcPr>
          <w:p w14:paraId="7DEF0801" w14:textId="77777777" w:rsidR="000E52B0" w:rsidRDefault="000E52B0">
            <w:pPr>
              <w:rPr>
                <w:sz w:val="2"/>
                <w:szCs w:val="2"/>
              </w:rPr>
            </w:pPr>
          </w:p>
        </w:tc>
      </w:tr>
      <w:tr w:rsidR="000E52B0" w14:paraId="11853A90" w14:textId="77777777">
        <w:trPr>
          <w:trHeight w:val="197"/>
        </w:trPr>
        <w:tc>
          <w:tcPr>
            <w:tcW w:w="1529" w:type="dxa"/>
          </w:tcPr>
          <w:p w14:paraId="33A14851" w14:textId="77777777" w:rsidR="000E52B0" w:rsidRDefault="00F60D74">
            <w:pPr>
              <w:pStyle w:val="TableParagraph"/>
              <w:spacing w:line="177" w:lineRule="exact"/>
              <w:ind w:left="105"/>
              <w:rPr>
                <w:b/>
                <w:sz w:val="16"/>
              </w:rPr>
            </w:pPr>
            <w:r>
              <w:rPr>
                <w:b/>
                <w:spacing w:val="-2"/>
                <w:sz w:val="16"/>
              </w:rPr>
              <w:t>Mujeres</w:t>
            </w:r>
          </w:p>
        </w:tc>
        <w:tc>
          <w:tcPr>
            <w:tcW w:w="1318" w:type="dxa"/>
          </w:tcPr>
          <w:p w14:paraId="4D602C62" w14:textId="77777777" w:rsidR="000E52B0" w:rsidRDefault="00F60D74">
            <w:pPr>
              <w:pStyle w:val="TableParagraph"/>
              <w:spacing w:line="177" w:lineRule="exact"/>
              <w:ind w:left="102"/>
              <w:rPr>
                <w:sz w:val="16"/>
              </w:rPr>
            </w:pPr>
            <w:r>
              <w:rPr>
                <w:sz w:val="16"/>
              </w:rPr>
              <w:t>$</w:t>
            </w:r>
            <w:r>
              <w:rPr>
                <w:spacing w:val="-1"/>
                <w:sz w:val="16"/>
              </w:rPr>
              <w:t xml:space="preserve"> </w:t>
            </w:r>
            <w:r>
              <w:rPr>
                <w:spacing w:val="-2"/>
                <w:sz w:val="16"/>
              </w:rPr>
              <w:t>441.820</w:t>
            </w:r>
          </w:p>
        </w:tc>
        <w:tc>
          <w:tcPr>
            <w:tcW w:w="1205" w:type="dxa"/>
            <w:vMerge/>
            <w:tcBorders>
              <w:top w:val="nil"/>
            </w:tcBorders>
          </w:tcPr>
          <w:p w14:paraId="7D938716" w14:textId="77777777" w:rsidR="000E52B0" w:rsidRDefault="000E52B0">
            <w:pPr>
              <w:rPr>
                <w:sz w:val="2"/>
                <w:szCs w:val="2"/>
              </w:rPr>
            </w:pPr>
          </w:p>
        </w:tc>
        <w:tc>
          <w:tcPr>
            <w:tcW w:w="1325" w:type="dxa"/>
          </w:tcPr>
          <w:p w14:paraId="1FB24EE1" w14:textId="77777777" w:rsidR="000E52B0" w:rsidRDefault="00F60D74">
            <w:pPr>
              <w:pStyle w:val="TableParagraph"/>
              <w:spacing w:line="177" w:lineRule="exact"/>
              <w:ind w:left="105"/>
              <w:rPr>
                <w:sz w:val="16"/>
              </w:rPr>
            </w:pPr>
            <w:r>
              <w:rPr>
                <w:sz w:val="16"/>
              </w:rPr>
              <w:t>$</w:t>
            </w:r>
            <w:r>
              <w:rPr>
                <w:spacing w:val="-1"/>
                <w:sz w:val="16"/>
              </w:rPr>
              <w:t xml:space="preserve"> </w:t>
            </w:r>
            <w:r>
              <w:rPr>
                <w:spacing w:val="-2"/>
                <w:sz w:val="16"/>
              </w:rPr>
              <w:t>522.002</w:t>
            </w:r>
          </w:p>
        </w:tc>
        <w:tc>
          <w:tcPr>
            <w:tcW w:w="1215" w:type="dxa"/>
            <w:vMerge/>
            <w:tcBorders>
              <w:top w:val="nil"/>
            </w:tcBorders>
          </w:tcPr>
          <w:p w14:paraId="1688D932" w14:textId="77777777" w:rsidR="000E52B0" w:rsidRDefault="000E52B0">
            <w:pPr>
              <w:rPr>
                <w:sz w:val="2"/>
                <w:szCs w:val="2"/>
              </w:rPr>
            </w:pPr>
          </w:p>
        </w:tc>
        <w:tc>
          <w:tcPr>
            <w:tcW w:w="1214" w:type="dxa"/>
            <w:shd w:val="clear" w:color="auto" w:fill="FFC000"/>
          </w:tcPr>
          <w:p w14:paraId="1B010345" w14:textId="77777777" w:rsidR="000E52B0" w:rsidRDefault="00F60D74">
            <w:pPr>
              <w:pStyle w:val="TableParagraph"/>
              <w:spacing w:line="177" w:lineRule="exact"/>
              <w:ind w:left="84" w:right="164"/>
              <w:jc w:val="center"/>
              <w:rPr>
                <w:b/>
                <w:sz w:val="16"/>
              </w:rPr>
            </w:pPr>
            <w:r>
              <w:rPr>
                <w:b/>
                <w:sz w:val="16"/>
              </w:rPr>
              <w:t xml:space="preserve">$ </w:t>
            </w:r>
            <w:r>
              <w:rPr>
                <w:b/>
                <w:spacing w:val="-2"/>
                <w:sz w:val="16"/>
              </w:rPr>
              <w:t>161.607</w:t>
            </w:r>
          </w:p>
        </w:tc>
        <w:tc>
          <w:tcPr>
            <w:tcW w:w="1212" w:type="dxa"/>
            <w:vMerge/>
            <w:tcBorders>
              <w:top w:val="nil"/>
            </w:tcBorders>
          </w:tcPr>
          <w:p w14:paraId="10E73913" w14:textId="77777777" w:rsidR="000E52B0" w:rsidRDefault="000E52B0">
            <w:pPr>
              <w:rPr>
                <w:sz w:val="2"/>
                <w:szCs w:val="2"/>
              </w:rPr>
            </w:pPr>
          </w:p>
        </w:tc>
      </w:tr>
      <w:tr w:rsidR="000E52B0" w14:paraId="6986D84F" w14:textId="77777777">
        <w:trPr>
          <w:trHeight w:val="193"/>
        </w:trPr>
        <w:tc>
          <w:tcPr>
            <w:tcW w:w="1529" w:type="dxa"/>
          </w:tcPr>
          <w:p w14:paraId="3F2463AE" w14:textId="77777777" w:rsidR="000E52B0" w:rsidRDefault="00F60D74">
            <w:pPr>
              <w:pStyle w:val="TableParagraph"/>
              <w:spacing w:line="174" w:lineRule="exact"/>
              <w:ind w:right="93"/>
              <w:jc w:val="right"/>
              <w:rPr>
                <w:b/>
                <w:sz w:val="16"/>
              </w:rPr>
            </w:pPr>
            <w:r>
              <w:rPr>
                <w:b/>
                <w:sz w:val="16"/>
              </w:rPr>
              <w:t>29</w:t>
            </w:r>
            <w:r>
              <w:rPr>
                <w:b/>
                <w:spacing w:val="-2"/>
                <w:sz w:val="16"/>
              </w:rPr>
              <w:t xml:space="preserve"> </w:t>
            </w:r>
            <w:r>
              <w:rPr>
                <w:b/>
                <w:sz w:val="16"/>
              </w:rPr>
              <w:t>a</w:t>
            </w:r>
            <w:r>
              <w:rPr>
                <w:b/>
                <w:spacing w:val="-2"/>
                <w:sz w:val="16"/>
              </w:rPr>
              <w:t xml:space="preserve"> </w:t>
            </w:r>
            <w:r>
              <w:rPr>
                <w:b/>
                <w:sz w:val="16"/>
              </w:rPr>
              <w:t>59</w:t>
            </w:r>
            <w:r>
              <w:rPr>
                <w:b/>
                <w:spacing w:val="-2"/>
                <w:sz w:val="16"/>
              </w:rPr>
              <w:t xml:space="preserve"> </w:t>
            </w:r>
            <w:r>
              <w:rPr>
                <w:b/>
                <w:spacing w:val="-4"/>
                <w:sz w:val="16"/>
              </w:rPr>
              <w:t>años</w:t>
            </w:r>
          </w:p>
        </w:tc>
        <w:tc>
          <w:tcPr>
            <w:tcW w:w="1318" w:type="dxa"/>
          </w:tcPr>
          <w:p w14:paraId="7210DAFB" w14:textId="77777777" w:rsidR="000E52B0" w:rsidRDefault="00F60D74">
            <w:pPr>
              <w:pStyle w:val="TableParagraph"/>
              <w:spacing w:line="174" w:lineRule="exact"/>
              <w:ind w:left="102"/>
              <w:rPr>
                <w:sz w:val="16"/>
              </w:rPr>
            </w:pPr>
            <w:r>
              <w:rPr>
                <w:sz w:val="16"/>
              </w:rPr>
              <w:t>$</w:t>
            </w:r>
            <w:r>
              <w:rPr>
                <w:spacing w:val="-1"/>
                <w:sz w:val="16"/>
              </w:rPr>
              <w:t xml:space="preserve"> </w:t>
            </w:r>
            <w:r>
              <w:rPr>
                <w:spacing w:val="-2"/>
                <w:sz w:val="16"/>
              </w:rPr>
              <w:t>1.359.720</w:t>
            </w:r>
          </w:p>
        </w:tc>
        <w:tc>
          <w:tcPr>
            <w:tcW w:w="1205" w:type="dxa"/>
            <w:vMerge w:val="restart"/>
          </w:tcPr>
          <w:p w14:paraId="0BADC80C" w14:textId="77777777" w:rsidR="000E52B0" w:rsidRDefault="000E52B0">
            <w:pPr>
              <w:pStyle w:val="TableParagraph"/>
              <w:spacing w:before="9"/>
              <w:rPr>
                <w:i/>
                <w:sz w:val="16"/>
              </w:rPr>
            </w:pPr>
          </w:p>
          <w:p w14:paraId="24E02763" w14:textId="77777777" w:rsidR="000E52B0" w:rsidRDefault="00F60D74">
            <w:pPr>
              <w:pStyle w:val="TableParagraph"/>
              <w:ind w:left="105"/>
              <w:rPr>
                <w:sz w:val="16"/>
              </w:rPr>
            </w:pPr>
            <w:r>
              <w:rPr>
                <w:spacing w:val="-2"/>
                <w:sz w:val="16"/>
              </w:rPr>
              <w:t>35,7%</w:t>
            </w:r>
          </w:p>
        </w:tc>
        <w:tc>
          <w:tcPr>
            <w:tcW w:w="1325" w:type="dxa"/>
          </w:tcPr>
          <w:p w14:paraId="4653CF31" w14:textId="77777777" w:rsidR="000E52B0" w:rsidRDefault="00F60D74">
            <w:pPr>
              <w:pStyle w:val="TableParagraph"/>
              <w:spacing w:line="174" w:lineRule="exact"/>
              <w:ind w:left="105"/>
              <w:rPr>
                <w:sz w:val="16"/>
              </w:rPr>
            </w:pPr>
            <w:r>
              <w:rPr>
                <w:sz w:val="16"/>
              </w:rPr>
              <w:t>$</w:t>
            </w:r>
            <w:r>
              <w:rPr>
                <w:spacing w:val="-1"/>
                <w:sz w:val="16"/>
              </w:rPr>
              <w:t xml:space="preserve"> </w:t>
            </w:r>
            <w:r>
              <w:rPr>
                <w:spacing w:val="-2"/>
                <w:sz w:val="16"/>
              </w:rPr>
              <w:t>1.555.831</w:t>
            </w:r>
          </w:p>
        </w:tc>
        <w:tc>
          <w:tcPr>
            <w:tcW w:w="1215" w:type="dxa"/>
            <w:vMerge w:val="restart"/>
          </w:tcPr>
          <w:p w14:paraId="1840568E" w14:textId="77777777" w:rsidR="000E52B0" w:rsidRDefault="000E52B0">
            <w:pPr>
              <w:pStyle w:val="TableParagraph"/>
              <w:spacing w:before="9"/>
              <w:rPr>
                <w:i/>
                <w:sz w:val="16"/>
              </w:rPr>
            </w:pPr>
          </w:p>
          <w:p w14:paraId="7745518F" w14:textId="77777777" w:rsidR="000E52B0" w:rsidRDefault="00F60D74">
            <w:pPr>
              <w:pStyle w:val="TableParagraph"/>
              <w:ind w:left="105"/>
              <w:rPr>
                <w:sz w:val="16"/>
              </w:rPr>
            </w:pPr>
            <w:r>
              <w:rPr>
                <w:spacing w:val="-2"/>
                <w:sz w:val="16"/>
              </w:rPr>
              <w:t>34,7%</w:t>
            </w:r>
          </w:p>
        </w:tc>
        <w:tc>
          <w:tcPr>
            <w:tcW w:w="1214" w:type="dxa"/>
          </w:tcPr>
          <w:p w14:paraId="3956E232" w14:textId="77777777" w:rsidR="000E52B0" w:rsidRDefault="00F60D74">
            <w:pPr>
              <w:pStyle w:val="TableParagraph"/>
              <w:spacing w:line="174" w:lineRule="exact"/>
              <w:ind w:right="164"/>
              <w:jc w:val="center"/>
              <w:rPr>
                <w:sz w:val="16"/>
              </w:rPr>
            </w:pPr>
            <w:r>
              <w:rPr>
                <w:sz w:val="16"/>
              </w:rPr>
              <w:t>$</w:t>
            </w:r>
            <w:r>
              <w:rPr>
                <w:spacing w:val="-1"/>
                <w:sz w:val="16"/>
              </w:rPr>
              <w:t xml:space="preserve"> </w:t>
            </w:r>
            <w:r>
              <w:rPr>
                <w:spacing w:val="-2"/>
                <w:sz w:val="16"/>
              </w:rPr>
              <w:t>613.973</w:t>
            </w:r>
          </w:p>
        </w:tc>
        <w:tc>
          <w:tcPr>
            <w:tcW w:w="1212" w:type="dxa"/>
            <w:vMerge w:val="restart"/>
          </w:tcPr>
          <w:p w14:paraId="55306CC2" w14:textId="77777777" w:rsidR="000E52B0" w:rsidRDefault="000E52B0">
            <w:pPr>
              <w:pStyle w:val="TableParagraph"/>
              <w:spacing w:before="9"/>
              <w:rPr>
                <w:i/>
                <w:sz w:val="16"/>
              </w:rPr>
            </w:pPr>
          </w:p>
          <w:p w14:paraId="3DC92B17" w14:textId="77777777" w:rsidR="000E52B0" w:rsidRDefault="00F60D74">
            <w:pPr>
              <w:pStyle w:val="TableParagraph"/>
              <w:ind w:left="103"/>
              <w:rPr>
                <w:sz w:val="16"/>
              </w:rPr>
            </w:pPr>
            <w:r>
              <w:rPr>
                <w:spacing w:val="-2"/>
                <w:sz w:val="16"/>
              </w:rPr>
              <w:t>57,6%</w:t>
            </w:r>
          </w:p>
        </w:tc>
      </w:tr>
      <w:tr w:rsidR="000E52B0" w14:paraId="41ACECCC" w14:textId="77777777">
        <w:trPr>
          <w:trHeight w:val="194"/>
        </w:trPr>
        <w:tc>
          <w:tcPr>
            <w:tcW w:w="1529" w:type="dxa"/>
          </w:tcPr>
          <w:p w14:paraId="75254F6C" w14:textId="77777777" w:rsidR="000E52B0" w:rsidRDefault="00F60D74">
            <w:pPr>
              <w:pStyle w:val="TableParagraph"/>
              <w:spacing w:line="174" w:lineRule="exact"/>
              <w:ind w:left="105"/>
              <w:rPr>
                <w:b/>
                <w:sz w:val="16"/>
              </w:rPr>
            </w:pPr>
            <w:r>
              <w:rPr>
                <w:b/>
                <w:spacing w:val="-2"/>
                <w:sz w:val="16"/>
              </w:rPr>
              <w:t>Hombres</w:t>
            </w:r>
          </w:p>
        </w:tc>
        <w:tc>
          <w:tcPr>
            <w:tcW w:w="1318" w:type="dxa"/>
          </w:tcPr>
          <w:p w14:paraId="3364E4B0" w14:textId="77777777" w:rsidR="000E52B0" w:rsidRDefault="00F60D74">
            <w:pPr>
              <w:pStyle w:val="TableParagraph"/>
              <w:spacing w:line="174" w:lineRule="exact"/>
              <w:ind w:left="102"/>
              <w:rPr>
                <w:sz w:val="16"/>
              </w:rPr>
            </w:pPr>
            <w:r>
              <w:rPr>
                <w:sz w:val="16"/>
              </w:rPr>
              <w:t>$</w:t>
            </w:r>
            <w:r>
              <w:rPr>
                <w:spacing w:val="-1"/>
                <w:sz w:val="16"/>
              </w:rPr>
              <w:t xml:space="preserve"> </w:t>
            </w:r>
            <w:r>
              <w:rPr>
                <w:spacing w:val="-2"/>
                <w:sz w:val="16"/>
              </w:rPr>
              <w:t>1.670.874</w:t>
            </w:r>
          </w:p>
        </w:tc>
        <w:tc>
          <w:tcPr>
            <w:tcW w:w="1205" w:type="dxa"/>
            <w:vMerge/>
            <w:tcBorders>
              <w:top w:val="nil"/>
            </w:tcBorders>
          </w:tcPr>
          <w:p w14:paraId="40A5F08E" w14:textId="77777777" w:rsidR="000E52B0" w:rsidRDefault="000E52B0">
            <w:pPr>
              <w:rPr>
                <w:sz w:val="2"/>
                <w:szCs w:val="2"/>
              </w:rPr>
            </w:pPr>
          </w:p>
        </w:tc>
        <w:tc>
          <w:tcPr>
            <w:tcW w:w="1325" w:type="dxa"/>
            <w:shd w:val="clear" w:color="auto" w:fill="A9DB64"/>
          </w:tcPr>
          <w:p w14:paraId="390A4F67" w14:textId="77777777" w:rsidR="000E52B0" w:rsidRDefault="00F60D74">
            <w:pPr>
              <w:pStyle w:val="TableParagraph"/>
              <w:spacing w:line="174" w:lineRule="exact"/>
              <w:ind w:left="105"/>
              <w:rPr>
                <w:b/>
                <w:sz w:val="16"/>
              </w:rPr>
            </w:pPr>
            <w:r>
              <w:rPr>
                <w:b/>
                <w:sz w:val="16"/>
              </w:rPr>
              <w:t xml:space="preserve">$ </w:t>
            </w:r>
            <w:r>
              <w:rPr>
                <w:b/>
                <w:spacing w:val="-2"/>
                <w:sz w:val="16"/>
              </w:rPr>
              <w:t>1.907.627</w:t>
            </w:r>
          </w:p>
        </w:tc>
        <w:tc>
          <w:tcPr>
            <w:tcW w:w="1215" w:type="dxa"/>
            <w:vMerge/>
            <w:tcBorders>
              <w:top w:val="nil"/>
            </w:tcBorders>
          </w:tcPr>
          <w:p w14:paraId="5B94F7C3" w14:textId="77777777" w:rsidR="000E52B0" w:rsidRDefault="000E52B0">
            <w:pPr>
              <w:rPr>
                <w:sz w:val="2"/>
                <w:szCs w:val="2"/>
              </w:rPr>
            </w:pPr>
          </w:p>
        </w:tc>
        <w:tc>
          <w:tcPr>
            <w:tcW w:w="1214" w:type="dxa"/>
          </w:tcPr>
          <w:p w14:paraId="7CF1C968" w14:textId="77777777" w:rsidR="000E52B0" w:rsidRDefault="00F60D74">
            <w:pPr>
              <w:pStyle w:val="TableParagraph"/>
              <w:spacing w:line="174" w:lineRule="exact"/>
              <w:ind w:right="164"/>
              <w:jc w:val="center"/>
              <w:rPr>
                <w:sz w:val="16"/>
              </w:rPr>
            </w:pPr>
            <w:r>
              <w:rPr>
                <w:sz w:val="16"/>
              </w:rPr>
              <w:t>$</w:t>
            </w:r>
            <w:r>
              <w:rPr>
                <w:spacing w:val="-1"/>
                <w:sz w:val="16"/>
              </w:rPr>
              <w:t xml:space="preserve"> </w:t>
            </w:r>
            <w:r>
              <w:rPr>
                <w:spacing w:val="-2"/>
                <w:sz w:val="16"/>
              </w:rPr>
              <w:t>851.975</w:t>
            </w:r>
          </w:p>
        </w:tc>
        <w:tc>
          <w:tcPr>
            <w:tcW w:w="1212" w:type="dxa"/>
            <w:vMerge/>
            <w:tcBorders>
              <w:top w:val="nil"/>
            </w:tcBorders>
          </w:tcPr>
          <w:p w14:paraId="62C88541" w14:textId="77777777" w:rsidR="000E52B0" w:rsidRDefault="000E52B0">
            <w:pPr>
              <w:rPr>
                <w:sz w:val="2"/>
                <w:szCs w:val="2"/>
              </w:rPr>
            </w:pPr>
          </w:p>
        </w:tc>
      </w:tr>
      <w:tr w:rsidR="000E52B0" w14:paraId="72E07F9D" w14:textId="77777777">
        <w:trPr>
          <w:trHeight w:val="193"/>
        </w:trPr>
        <w:tc>
          <w:tcPr>
            <w:tcW w:w="1529" w:type="dxa"/>
          </w:tcPr>
          <w:p w14:paraId="22053450" w14:textId="77777777" w:rsidR="000E52B0" w:rsidRDefault="00F60D74">
            <w:pPr>
              <w:pStyle w:val="TableParagraph"/>
              <w:spacing w:line="174" w:lineRule="exact"/>
              <w:ind w:left="105"/>
              <w:rPr>
                <w:b/>
                <w:sz w:val="16"/>
              </w:rPr>
            </w:pPr>
            <w:r>
              <w:rPr>
                <w:b/>
                <w:spacing w:val="-2"/>
                <w:sz w:val="16"/>
              </w:rPr>
              <w:t>Mujeres</w:t>
            </w:r>
          </w:p>
        </w:tc>
        <w:tc>
          <w:tcPr>
            <w:tcW w:w="1318" w:type="dxa"/>
          </w:tcPr>
          <w:p w14:paraId="3CB4B19C" w14:textId="77777777" w:rsidR="000E52B0" w:rsidRDefault="00F60D74">
            <w:pPr>
              <w:pStyle w:val="TableParagraph"/>
              <w:spacing w:line="174" w:lineRule="exact"/>
              <w:ind w:left="102"/>
              <w:rPr>
                <w:sz w:val="16"/>
              </w:rPr>
            </w:pPr>
            <w:r>
              <w:rPr>
                <w:sz w:val="16"/>
              </w:rPr>
              <w:t>$</w:t>
            </w:r>
            <w:r>
              <w:rPr>
                <w:spacing w:val="-1"/>
                <w:sz w:val="16"/>
              </w:rPr>
              <w:t xml:space="preserve"> </w:t>
            </w:r>
            <w:r>
              <w:rPr>
                <w:spacing w:val="-2"/>
                <w:sz w:val="16"/>
              </w:rPr>
              <w:t>1.074.333</w:t>
            </w:r>
          </w:p>
        </w:tc>
        <w:tc>
          <w:tcPr>
            <w:tcW w:w="1205" w:type="dxa"/>
            <w:vMerge/>
            <w:tcBorders>
              <w:top w:val="nil"/>
            </w:tcBorders>
          </w:tcPr>
          <w:p w14:paraId="7B0E919F" w14:textId="77777777" w:rsidR="000E52B0" w:rsidRDefault="000E52B0">
            <w:pPr>
              <w:rPr>
                <w:sz w:val="2"/>
                <w:szCs w:val="2"/>
              </w:rPr>
            </w:pPr>
          </w:p>
        </w:tc>
        <w:tc>
          <w:tcPr>
            <w:tcW w:w="1325" w:type="dxa"/>
          </w:tcPr>
          <w:p w14:paraId="78F58CCD" w14:textId="77777777" w:rsidR="000E52B0" w:rsidRDefault="00F60D74">
            <w:pPr>
              <w:pStyle w:val="TableParagraph"/>
              <w:spacing w:line="174" w:lineRule="exact"/>
              <w:ind w:left="105"/>
              <w:rPr>
                <w:sz w:val="16"/>
              </w:rPr>
            </w:pPr>
            <w:r>
              <w:rPr>
                <w:sz w:val="16"/>
              </w:rPr>
              <w:t>$</w:t>
            </w:r>
            <w:r>
              <w:rPr>
                <w:spacing w:val="-1"/>
                <w:sz w:val="16"/>
              </w:rPr>
              <w:t xml:space="preserve"> </w:t>
            </w:r>
            <w:r>
              <w:rPr>
                <w:spacing w:val="-2"/>
                <w:sz w:val="16"/>
              </w:rPr>
              <w:t>1.245.482</w:t>
            </w:r>
          </w:p>
        </w:tc>
        <w:tc>
          <w:tcPr>
            <w:tcW w:w="1215" w:type="dxa"/>
            <w:vMerge/>
            <w:tcBorders>
              <w:top w:val="nil"/>
            </w:tcBorders>
          </w:tcPr>
          <w:p w14:paraId="7F27810A" w14:textId="77777777" w:rsidR="000E52B0" w:rsidRDefault="000E52B0">
            <w:pPr>
              <w:rPr>
                <w:sz w:val="2"/>
                <w:szCs w:val="2"/>
              </w:rPr>
            </w:pPr>
          </w:p>
        </w:tc>
        <w:tc>
          <w:tcPr>
            <w:tcW w:w="1214" w:type="dxa"/>
          </w:tcPr>
          <w:p w14:paraId="298E647B" w14:textId="77777777" w:rsidR="000E52B0" w:rsidRDefault="00F60D74">
            <w:pPr>
              <w:pStyle w:val="TableParagraph"/>
              <w:spacing w:line="174" w:lineRule="exact"/>
              <w:ind w:right="164"/>
              <w:jc w:val="center"/>
              <w:rPr>
                <w:sz w:val="16"/>
              </w:rPr>
            </w:pPr>
            <w:r>
              <w:rPr>
                <w:sz w:val="16"/>
              </w:rPr>
              <w:t>$</w:t>
            </w:r>
            <w:r>
              <w:rPr>
                <w:spacing w:val="-1"/>
                <w:sz w:val="16"/>
              </w:rPr>
              <w:t xml:space="preserve"> </w:t>
            </w:r>
            <w:r>
              <w:rPr>
                <w:spacing w:val="-2"/>
                <w:sz w:val="16"/>
              </w:rPr>
              <w:t>360.956</w:t>
            </w:r>
          </w:p>
        </w:tc>
        <w:tc>
          <w:tcPr>
            <w:tcW w:w="1212" w:type="dxa"/>
            <w:vMerge/>
            <w:tcBorders>
              <w:top w:val="nil"/>
            </w:tcBorders>
          </w:tcPr>
          <w:p w14:paraId="56B1824C" w14:textId="77777777" w:rsidR="000E52B0" w:rsidRDefault="000E52B0">
            <w:pPr>
              <w:rPr>
                <w:sz w:val="2"/>
                <w:szCs w:val="2"/>
              </w:rPr>
            </w:pPr>
          </w:p>
        </w:tc>
      </w:tr>
      <w:tr w:rsidR="000E52B0" w14:paraId="37C185EC" w14:textId="77777777">
        <w:trPr>
          <w:trHeight w:val="359"/>
        </w:trPr>
        <w:tc>
          <w:tcPr>
            <w:tcW w:w="1529" w:type="dxa"/>
          </w:tcPr>
          <w:p w14:paraId="298C9A5B" w14:textId="77777777" w:rsidR="000E52B0" w:rsidRDefault="00F60D74">
            <w:pPr>
              <w:pStyle w:val="TableParagraph"/>
              <w:spacing w:before="83"/>
              <w:ind w:left="124"/>
              <w:rPr>
                <w:b/>
                <w:sz w:val="16"/>
              </w:rPr>
            </w:pPr>
            <w:r>
              <w:rPr>
                <w:b/>
                <w:sz w:val="16"/>
              </w:rPr>
              <w:t>55</w:t>
            </w:r>
            <w:r>
              <w:rPr>
                <w:b/>
                <w:spacing w:val="-3"/>
                <w:sz w:val="16"/>
              </w:rPr>
              <w:t xml:space="preserve"> </w:t>
            </w:r>
            <w:r>
              <w:rPr>
                <w:b/>
                <w:sz w:val="16"/>
              </w:rPr>
              <w:t>años</w:t>
            </w:r>
            <w:r>
              <w:rPr>
                <w:b/>
                <w:spacing w:val="-2"/>
                <w:sz w:val="16"/>
              </w:rPr>
              <w:t xml:space="preserve"> </w:t>
            </w:r>
            <w:r>
              <w:rPr>
                <w:b/>
                <w:sz w:val="16"/>
              </w:rPr>
              <w:t>o</w:t>
            </w:r>
            <w:r>
              <w:rPr>
                <w:b/>
                <w:spacing w:val="-2"/>
                <w:sz w:val="16"/>
              </w:rPr>
              <w:t xml:space="preserve"> </w:t>
            </w:r>
            <w:r>
              <w:rPr>
                <w:b/>
                <w:spacing w:val="-5"/>
                <w:sz w:val="16"/>
              </w:rPr>
              <w:t>más</w:t>
            </w:r>
          </w:p>
        </w:tc>
        <w:tc>
          <w:tcPr>
            <w:tcW w:w="1318" w:type="dxa"/>
          </w:tcPr>
          <w:p w14:paraId="120A5354" w14:textId="77777777" w:rsidR="000E52B0" w:rsidRDefault="00F60D74">
            <w:pPr>
              <w:pStyle w:val="TableParagraph"/>
              <w:spacing w:before="83"/>
              <w:ind w:left="102"/>
              <w:rPr>
                <w:sz w:val="16"/>
              </w:rPr>
            </w:pPr>
            <w:r>
              <w:rPr>
                <w:sz w:val="16"/>
              </w:rPr>
              <w:t>$</w:t>
            </w:r>
            <w:r>
              <w:rPr>
                <w:spacing w:val="-1"/>
                <w:sz w:val="16"/>
              </w:rPr>
              <w:t xml:space="preserve"> </w:t>
            </w:r>
            <w:r>
              <w:rPr>
                <w:spacing w:val="-2"/>
                <w:sz w:val="16"/>
              </w:rPr>
              <w:t>1.168.951</w:t>
            </w:r>
          </w:p>
        </w:tc>
        <w:tc>
          <w:tcPr>
            <w:tcW w:w="1205" w:type="dxa"/>
            <w:vMerge w:val="restart"/>
          </w:tcPr>
          <w:p w14:paraId="312B6ED2" w14:textId="77777777" w:rsidR="000E52B0" w:rsidRDefault="000E52B0">
            <w:pPr>
              <w:pStyle w:val="TableParagraph"/>
              <w:spacing w:before="93"/>
              <w:rPr>
                <w:i/>
                <w:sz w:val="16"/>
              </w:rPr>
            </w:pPr>
          </w:p>
          <w:p w14:paraId="6A4735B2" w14:textId="77777777" w:rsidR="000E52B0" w:rsidRDefault="00F60D74">
            <w:pPr>
              <w:pStyle w:val="TableParagraph"/>
              <w:ind w:left="105"/>
              <w:rPr>
                <w:sz w:val="16"/>
              </w:rPr>
            </w:pPr>
            <w:r>
              <w:rPr>
                <w:spacing w:val="-2"/>
                <w:sz w:val="16"/>
              </w:rPr>
              <w:t>39,6%</w:t>
            </w:r>
          </w:p>
        </w:tc>
        <w:tc>
          <w:tcPr>
            <w:tcW w:w="1325" w:type="dxa"/>
          </w:tcPr>
          <w:p w14:paraId="48E3CB79" w14:textId="77777777" w:rsidR="000E52B0" w:rsidRDefault="00F60D74">
            <w:pPr>
              <w:pStyle w:val="TableParagraph"/>
              <w:spacing w:line="194" w:lineRule="exact"/>
              <w:ind w:left="105"/>
              <w:rPr>
                <w:sz w:val="16"/>
              </w:rPr>
            </w:pPr>
            <w:r>
              <w:rPr>
                <w:sz w:val="16"/>
              </w:rPr>
              <w:t>$</w:t>
            </w:r>
            <w:r>
              <w:rPr>
                <w:spacing w:val="-1"/>
                <w:sz w:val="16"/>
              </w:rPr>
              <w:t xml:space="preserve"> </w:t>
            </w:r>
            <w:r>
              <w:rPr>
                <w:spacing w:val="-2"/>
                <w:sz w:val="16"/>
              </w:rPr>
              <w:t>1.349.270</w:t>
            </w:r>
          </w:p>
        </w:tc>
        <w:tc>
          <w:tcPr>
            <w:tcW w:w="1215" w:type="dxa"/>
            <w:vMerge w:val="restart"/>
          </w:tcPr>
          <w:p w14:paraId="6601CAAE" w14:textId="77777777" w:rsidR="000E52B0" w:rsidRDefault="000E52B0">
            <w:pPr>
              <w:pStyle w:val="TableParagraph"/>
              <w:spacing w:before="93"/>
              <w:rPr>
                <w:i/>
                <w:sz w:val="16"/>
              </w:rPr>
            </w:pPr>
          </w:p>
          <w:p w14:paraId="6DC95A5D" w14:textId="77777777" w:rsidR="000E52B0" w:rsidRDefault="00F60D74">
            <w:pPr>
              <w:pStyle w:val="TableParagraph"/>
              <w:ind w:left="105"/>
              <w:rPr>
                <w:sz w:val="16"/>
              </w:rPr>
            </w:pPr>
            <w:r>
              <w:rPr>
                <w:spacing w:val="-2"/>
                <w:sz w:val="16"/>
              </w:rPr>
              <w:t>41,6%</w:t>
            </w:r>
          </w:p>
        </w:tc>
        <w:tc>
          <w:tcPr>
            <w:tcW w:w="1214" w:type="dxa"/>
          </w:tcPr>
          <w:p w14:paraId="609C83DD" w14:textId="77777777" w:rsidR="000E52B0" w:rsidRDefault="00F60D74">
            <w:pPr>
              <w:pStyle w:val="TableParagraph"/>
              <w:spacing w:line="194" w:lineRule="exact"/>
              <w:ind w:right="164"/>
              <w:jc w:val="center"/>
              <w:rPr>
                <w:sz w:val="16"/>
              </w:rPr>
            </w:pPr>
            <w:r>
              <w:rPr>
                <w:sz w:val="16"/>
              </w:rPr>
              <w:t>$</w:t>
            </w:r>
            <w:r>
              <w:rPr>
                <w:spacing w:val="-1"/>
                <w:sz w:val="16"/>
              </w:rPr>
              <w:t xml:space="preserve"> </w:t>
            </w:r>
            <w:r>
              <w:rPr>
                <w:spacing w:val="-2"/>
                <w:sz w:val="16"/>
              </w:rPr>
              <w:t>524.787</w:t>
            </w:r>
          </w:p>
        </w:tc>
        <w:tc>
          <w:tcPr>
            <w:tcW w:w="1212" w:type="dxa"/>
            <w:vMerge w:val="restart"/>
          </w:tcPr>
          <w:p w14:paraId="6F7BACA5" w14:textId="77777777" w:rsidR="000E52B0" w:rsidRDefault="000E52B0">
            <w:pPr>
              <w:pStyle w:val="TableParagraph"/>
              <w:spacing w:before="93"/>
              <w:rPr>
                <w:i/>
                <w:sz w:val="16"/>
              </w:rPr>
            </w:pPr>
          </w:p>
          <w:p w14:paraId="769B1D57" w14:textId="77777777" w:rsidR="000E52B0" w:rsidRDefault="00F60D74">
            <w:pPr>
              <w:pStyle w:val="TableParagraph"/>
              <w:ind w:left="103"/>
              <w:rPr>
                <w:sz w:val="16"/>
              </w:rPr>
            </w:pPr>
            <w:r>
              <w:rPr>
                <w:spacing w:val="-2"/>
                <w:sz w:val="16"/>
              </w:rPr>
              <w:t>50,9%</w:t>
            </w:r>
          </w:p>
        </w:tc>
      </w:tr>
      <w:tr w:rsidR="000E52B0" w14:paraId="4EC7368E" w14:textId="77777777">
        <w:trPr>
          <w:trHeight w:val="194"/>
        </w:trPr>
        <w:tc>
          <w:tcPr>
            <w:tcW w:w="1529" w:type="dxa"/>
          </w:tcPr>
          <w:p w14:paraId="163B7731" w14:textId="77777777" w:rsidR="000E52B0" w:rsidRDefault="00F60D74">
            <w:pPr>
              <w:pStyle w:val="TableParagraph"/>
              <w:spacing w:line="174" w:lineRule="exact"/>
              <w:ind w:left="105"/>
              <w:rPr>
                <w:b/>
                <w:sz w:val="16"/>
              </w:rPr>
            </w:pPr>
            <w:r>
              <w:rPr>
                <w:b/>
                <w:spacing w:val="-2"/>
                <w:sz w:val="16"/>
              </w:rPr>
              <w:t>Hombres</w:t>
            </w:r>
          </w:p>
        </w:tc>
        <w:tc>
          <w:tcPr>
            <w:tcW w:w="1318" w:type="dxa"/>
          </w:tcPr>
          <w:p w14:paraId="02585F15" w14:textId="77777777" w:rsidR="000E52B0" w:rsidRDefault="00F60D74">
            <w:pPr>
              <w:pStyle w:val="TableParagraph"/>
              <w:spacing w:line="174" w:lineRule="exact"/>
              <w:ind w:left="102"/>
              <w:rPr>
                <w:sz w:val="16"/>
              </w:rPr>
            </w:pPr>
            <w:r>
              <w:rPr>
                <w:sz w:val="16"/>
              </w:rPr>
              <w:t>$</w:t>
            </w:r>
            <w:r>
              <w:rPr>
                <w:spacing w:val="-1"/>
                <w:sz w:val="16"/>
              </w:rPr>
              <w:t xml:space="preserve"> </w:t>
            </w:r>
            <w:r>
              <w:rPr>
                <w:spacing w:val="-2"/>
                <w:sz w:val="16"/>
              </w:rPr>
              <w:t>1.495.813</w:t>
            </w:r>
          </w:p>
        </w:tc>
        <w:tc>
          <w:tcPr>
            <w:tcW w:w="1205" w:type="dxa"/>
            <w:vMerge/>
            <w:tcBorders>
              <w:top w:val="nil"/>
            </w:tcBorders>
          </w:tcPr>
          <w:p w14:paraId="134458A9" w14:textId="77777777" w:rsidR="000E52B0" w:rsidRDefault="000E52B0">
            <w:pPr>
              <w:rPr>
                <w:sz w:val="2"/>
                <w:szCs w:val="2"/>
              </w:rPr>
            </w:pPr>
          </w:p>
        </w:tc>
        <w:tc>
          <w:tcPr>
            <w:tcW w:w="1325" w:type="dxa"/>
          </w:tcPr>
          <w:p w14:paraId="400A0F6F" w14:textId="77777777" w:rsidR="000E52B0" w:rsidRDefault="00F60D74">
            <w:pPr>
              <w:pStyle w:val="TableParagraph"/>
              <w:spacing w:line="174" w:lineRule="exact"/>
              <w:ind w:left="105"/>
              <w:rPr>
                <w:sz w:val="16"/>
              </w:rPr>
            </w:pPr>
            <w:r>
              <w:rPr>
                <w:sz w:val="16"/>
              </w:rPr>
              <w:t>$</w:t>
            </w:r>
            <w:r>
              <w:rPr>
                <w:spacing w:val="-1"/>
                <w:sz w:val="16"/>
              </w:rPr>
              <w:t xml:space="preserve"> </w:t>
            </w:r>
            <w:r>
              <w:rPr>
                <w:spacing w:val="-2"/>
                <w:sz w:val="16"/>
              </w:rPr>
              <w:t>1.771.716</w:t>
            </w:r>
          </w:p>
        </w:tc>
        <w:tc>
          <w:tcPr>
            <w:tcW w:w="1215" w:type="dxa"/>
            <w:vMerge/>
            <w:tcBorders>
              <w:top w:val="nil"/>
            </w:tcBorders>
          </w:tcPr>
          <w:p w14:paraId="5CFEDD1B" w14:textId="77777777" w:rsidR="000E52B0" w:rsidRDefault="000E52B0">
            <w:pPr>
              <w:rPr>
                <w:sz w:val="2"/>
                <w:szCs w:val="2"/>
              </w:rPr>
            </w:pPr>
          </w:p>
        </w:tc>
        <w:tc>
          <w:tcPr>
            <w:tcW w:w="1214" w:type="dxa"/>
          </w:tcPr>
          <w:p w14:paraId="38752F19" w14:textId="77777777" w:rsidR="000E52B0" w:rsidRDefault="00F60D74">
            <w:pPr>
              <w:pStyle w:val="TableParagraph"/>
              <w:spacing w:line="174" w:lineRule="exact"/>
              <w:ind w:right="164"/>
              <w:jc w:val="center"/>
              <w:rPr>
                <w:sz w:val="16"/>
              </w:rPr>
            </w:pPr>
            <w:r>
              <w:rPr>
                <w:sz w:val="16"/>
              </w:rPr>
              <w:t>$</w:t>
            </w:r>
            <w:r>
              <w:rPr>
                <w:spacing w:val="-1"/>
                <w:sz w:val="16"/>
              </w:rPr>
              <w:t xml:space="preserve"> </w:t>
            </w:r>
            <w:r>
              <w:rPr>
                <w:spacing w:val="-2"/>
                <w:sz w:val="16"/>
              </w:rPr>
              <w:t>692.552</w:t>
            </w:r>
          </w:p>
        </w:tc>
        <w:tc>
          <w:tcPr>
            <w:tcW w:w="1212" w:type="dxa"/>
            <w:vMerge/>
            <w:tcBorders>
              <w:top w:val="nil"/>
            </w:tcBorders>
          </w:tcPr>
          <w:p w14:paraId="029CA734" w14:textId="77777777" w:rsidR="000E52B0" w:rsidRDefault="000E52B0">
            <w:pPr>
              <w:rPr>
                <w:sz w:val="2"/>
                <w:szCs w:val="2"/>
              </w:rPr>
            </w:pPr>
          </w:p>
        </w:tc>
      </w:tr>
      <w:tr w:rsidR="000E52B0" w14:paraId="21A18461" w14:textId="77777777">
        <w:trPr>
          <w:trHeight w:val="196"/>
        </w:trPr>
        <w:tc>
          <w:tcPr>
            <w:tcW w:w="1529" w:type="dxa"/>
          </w:tcPr>
          <w:p w14:paraId="4B84B610" w14:textId="77777777" w:rsidR="000E52B0" w:rsidRDefault="00F60D74">
            <w:pPr>
              <w:pStyle w:val="TableParagraph"/>
              <w:spacing w:before="2" w:line="174" w:lineRule="exact"/>
              <w:ind w:left="105"/>
              <w:rPr>
                <w:b/>
                <w:sz w:val="16"/>
              </w:rPr>
            </w:pPr>
            <w:r>
              <w:rPr>
                <w:b/>
                <w:spacing w:val="-2"/>
                <w:sz w:val="16"/>
              </w:rPr>
              <w:t>Mujeres</w:t>
            </w:r>
          </w:p>
        </w:tc>
        <w:tc>
          <w:tcPr>
            <w:tcW w:w="1318" w:type="dxa"/>
          </w:tcPr>
          <w:p w14:paraId="3D495170" w14:textId="77777777" w:rsidR="000E52B0" w:rsidRDefault="00F60D74">
            <w:pPr>
              <w:pStyle w:val="TableParagraph"/>
              <w:spacing w:before="2" w:line="174" w:lineRule="exact"/>
              <w:ind w:left="102"/>
              <w:rPr>
                <w:sz w:val="16"/>
              </w:rPr>
            </w:pPr>
            <w:r>
              <w:rPr>
                <w:sz w:val="16"/>
              </w:rPr>
              <w:t>$</w:t>
            </w:r>
            <w:r>
              <w:rPr>
                <w:spacing w:val="-1"/>
                <w:sz w:val="16"/>
              </w:rPr>
              <w:t xml:space="preserve"> </w:t>
            </w:r>
            <w:r>
              <w:rPr>
                <w:spacing w:val="-2"/>
                <w:sz w:val="16"/>
              </w:rPr>
              <w:t>903.202</w:t>
            </w:r>
          </w:p>
        </w:tc>
        <w:tc>
          <w:tcPr>
            <w:tcW w:w="1205" w:type="dxa"/>
            <w:vMerge/>
            <w:tcBorders>
              <w:top w:val="nil"/>
            </w:tcBorders>
          </w:tcPr>
          <w:p w14:paraId="40C6166C" w14:textId="77777777" w:rsidR="000E52B0" w:rsidRDefault="000E52B0">
            <w:pPr>
              <w:rPr>
                <w:sz w:val="2"/>
                <w:szCs w:val="2"/>
              </w:rPr>
            </w:pPr>
          </w:p>
        </w:tc>
        <w:tc>
          <w:tcPr>
            <w:tcW w:w="1325" w:type="dxa"/>
          </w:tcPr>
          <w:p w14:paraId="0A56F3D2" w14:textId="77777777" w:rsidR="000E52B0" w:rsidRDefault="00F60D74">
            <w:pPr>
              <w:pStyle w:val="TableParagraph"/>
              <w:spacing w:before="2" w:line="174" w:lineRule="exact"/>
              <w:ind w:left="105"/>
              <w:rPr>
                <w:sz w:val="16"/>
              </w:rPr>
            </w:pPr>
            <w:r>
              <w:rPr>
                <w:sz w:val="16"/>
              </w:rPr>
              <w:t>$</w:t>
            </w:r>
            <w:r>
              <w:rPr>
                <w:spacing w:val="-1"/>
                <w:sz w:val="16"/>
              </w:rPr>
              <w:t xml:space="preserve"> </w:t>
            </w:r>
            <w:r>
              <w:rPr>
                <w:spacing w:val="-2"/>
                <w:sz w:val="16"/>
              </w:rPr>
              <w:t>1.034.173</w:t>
            </w:r>
          </w:p>
        </w:tc>
        <w:tc>
          <w:tcPr>
            <w:tcW w:w="1215" w:type="dxa"/>
            <w:vMerge/>
            <w:tcBorders>
              <w:top w:val="nil"/>
            </w:tcBorders>
          </w:tcPr>
          <w:p w14:paraId="44D476D0" w14:textId="77777777" w:rsidR="000E52B0" w:rsidRDefault="000E52B0">
            <w:pPr>
              <w:rPr>
                <w:sz w:val="2"/>
                <w:szCs w:val="2"/>
              </w:rPr>
            </w:pPr>
          </w:p>
        </w:tc>
        <w:tc>
          <w:tcPr>
            <w:tcW w:w="1214" w:type="dxa"/>
          </w:tcPr>
          <w:p w14:paraId="25DED3E5" w14:textId="77777777" w:rsidR="000E52B0" w:rsidRDefault="00F60D74">
            <w:pPr>
              <w:pStyle w:val="TableParagraph"/>
              <w:spacing w:before="2" w:line="174" w:lineRule="exact"/>
              <w:ind w:right="164"/>
              <w:jc w:val="center"/>
              <w:rPr>
                <w:sz w:val="16"/>
              </w:rPr>
            </w:pPr>
            <w:r>
              <w:rPr>
                <w:sz w:val="16"/>
              </w:rPr>
              <w:t>$</w:t>
            </w:r>
            <w:r>
              <w:rPr>
                <w:spacing w:val="-1"/>
                <w:sz w:val="16"/>
              </w:rPr>
              <w:t xml:space="preserve"> </w:t>
            </w:r>
            <w:r>
              <w:rPr>
                <w:spacing w:val="-2"/>
                <w:sz w:val="16"/>
              </w:rPr>
              <w:t>339.942</w:t>
            </w:r>
          </w:p>
        </w:tc>
        <w:tc>
          <w:tcPr>
            <w:tcW w:w="1212" w:type="dxa"/>
            <w:vMerge/>
            <w:tcBorders>
              <w:top w:val="nil"/>
            </w:tcBorders>
          </w:tcPr>
          <w:p w14:paraId="7073B2DC" w14:textId="77777777" w:rsidR="000E52B0" w:rsidRDefault="000E52B0">
            <w:pPr>
              <w:rPr>
                <w:sz w:val="2"/>
                <w:szCs w:val="2"/>
              </w:rPr>
            </w:pPr>
          </w:p>
        </w:tc>
      </w:tr>
    </w:tbl>
    <w:p w14:paraId="4C604ACA" w14:textId="77777777" w:rsidR="000E52B0" w:rsidRDefault="00F60D74">
      <w:pPr>
        <w:spacing w:before="4"/>
        <w:ind w:right="2"/>
        <w:jc w:val="center"/>
        <w:rPr>
          <w:i/>
          <w:sz w:val="18"/>
        </w:rPr>
      </w:pPr>
      <w:r>
        <w:rPr>
          <w:i/>
          <w:color w:val="454551"/>
          <w:sz w:val="18"/>
        </w:rPr>
        <w:t>Fuente</w:t>
      </w:r>
      <w:r>
        <w:rPr>
          <w:i/>
          <w:color w:val="454551"/>
          <w:spacing w:val="-3"/>
          <w:sz w:val="18"/>
        </w:rPr>
        <w:t xml:space="preserve"> </w:t>
      </w:r>
      <w:r>
        <w:rPr>
          <w:i/>
          <w:color w:val="454551"/>
          <w:sz w:val="18"/>
        </w:rPr>
        <w:t>20.</w:t>
      </w:r>
      <w:r>
        <w:rPr>
          <w:i/>
          <w:color w:val="454551"/>
          <w:spacing w:val="-4"/>
          <w:sz w:val="18"/>
        </w:rPr>
        <w:t xml:space="preserve"> </w:t>
      </w:r>
      <w:r>
        <w:rPr>
          <w:i/>
          <w:color w:val="454551"/>
          <w:sz w:val="18"/>
        </w:rPr>
        <w:t>Elaboración</w:t>
      </w:r>
      <w:r>
        <w:rPr>
          <w:i/>
          <w:color w:val="454551"/>
          <w:spacing w:val="-1"/>
          <w:sz w:val="18"/>
        </w:rPr>
        <w:t xml:space="preserve"> </w:t>
      </w:r>
      <w:r>
        <w:rPr>
          <w:i/>
          <w:color w:val="454551"/>
          <w:sz w:val="18"/>
        </w:rPr>
        <w:t>propia.</w:t>
      </w:r>
      <w:r>
        <w:rPr>
          <w:i/>
          <w:color w:val="454551"/>
          <w:spacing w:val="56"/>
          <w:sz w:val="18"/>
        </w:rPr>
        <w:t xml:space="preserve"> </w:t>
      </w:r>
      <w:r>
        <w:rPr>
          <w:i/>
          <w:color w:val="454551"/>
          <w:sz w:val="18"/>
        </w:rPr>
        <w:t>Datos:</w:t>
      </w:r>
      <w:r>
        <w:rPr>
          <w:i/>
          <w:color w:val="454551"/>
          <w:spacing w:val="-3"/>
          <w:sz w:val="18"/>
        </w:rPr>
        <w:t xml:space="preserve"> </w:t>
      </w:r>
      <w:r>
        <w:rPr>
          <w:i/>
          <w:color w:val="454551"/>
          <w:sz w:val="18"/>
        </w:rPr>
        <w:t>Pobreza</w:t>
      </w:r>
      <w:r>
        <w:rPr>
          <w:i/>
          <w:color w:val="454551"/>
          <w:spacing w:val="-3"/>
          <w:sz w:val="18"/>
        </w:rPr>
        <w:t xml:space="preserve"> </w:t>
      </w:r>
      <w:r>
        <w:rPr>
          <w:i/>
          <w:color w:val="454551"/>
          <w:sz w:val="18"/>
        </w:rPr>
        <w:t>2022</w:t>
      </w:r>
      <w:r>
        <w:rPr>
          <w:i/>
          <w:color w:val="454551"/>
          <w:spacing w:val="-2"/>
          <w:sz w:val="18"/>
        </w:rPr>
        <w:t xml:space="preserve"> </w:t>
      </w:r>
      <w:r>
        <w:rPr>
          <w:i/>
          <w:color w:val="454551"/>
          <w:spacing w:val="-4"/>
          <w:sz w:val="18"/>
        </w:rPr>
        <w:t>DANE</w:t>
      </w:r>
    </w:p>
    <w:p w14:paraId="25220126" w14:textId="77777777" w:rsidR="000E52B0" w:rsidRDefault="00F60D74">
      <w:pPr>
        <w:pStyle w:val="Textoindependiente"/>
        <w:spacing w:before="201"/>
        <w:ind w:right="719"/>
        <w:jc w:val="both"/>
      </w:pPr>
      <w:r>
        <w:t>La</w:t>
      </w:r>
      <w:r>
        <w:rPr>
          <w:spacing w:val="-9"/>
        </w:rPr>
        <w:t xml:space="preserve"> </w:t>
      </w:r>
      <w:r>
        <w:t>brecha</w:t>
      </w:r>
      <w:r>
        <w:rPr>
          <w:spacing w:val="-9"/>
        </w:rPr>
        <w:t xml:space="preserve"> </w:t>
      </w:r>
      <w:r>
        <w:t>de</w:t>
      </w:r>
      <w:r>
        <w:rPr>
          <w:spacing w:val="-8"/>
        </w:rPr>
        <w:t xml:space="preserve"> </w:t>
      </w:r>
      <w:r>
        <w:t>ingresos</w:t>
      </w:r>
      <w:r>
        <w:rPr>
          <w:spacing w:val="-9"/>
        </w:rPr>
        <w:t xml:space="preserve"> </w:t>
      </w:r>
      <w:r>
        <w:t>por</w:t>
      </w:r>
      <w:r>
        <w:rPr>
          <w:spacing w:val="-8"/>
        </w:rPr>
        <w:t xml:space="preserve"> </w:t>
      </w:r>
      <w:r>
        <w:t>sexo</w:t>
      </w:r>
      <w:r>
        <w:rPr>
          <w:spacing w:val="-10"/>
        </w:rPr>
        <w:t xml:space="preserve"> </w:t>
      </w:r>
      <w:r>
        <w:t>en</w:t>
      </w:r>
      <w:r>
        <w:rPr>
          <w:spacing w:val="-9"/>
        </w:rPr>
        <w:t xml:space="preserve"> </w:t>
      </w:r>
      <w:r>
        <w:t>las</w:t>
      </w:r>
      <w:r>
        <w:rPr>
          <w:spacing w:val="-9"/>
        </w:rPr>
        <w:t xml:space="preserve"> </w:t>
      </w:r>
      <w:r>
        <w:t>juventudes</w:t>
      </w:r>
      <w:r>
        <w:rPr>
          <w:spacing w:val="-9"/>
        </w:rPr>
        <w:t xml:space="preserve"> </w:t>
      </w:r>
      <w:r>
        <w:t>es</w:t>
      </w:r>
      <w:r>
        <w:rPr>
          <w:spacing w:val="-9"/>
        </w:rPr>
        <w:t xml:space="preserve"> </w:t>
      </w:r>
      <w:r>
        <w:t>mayor</w:t>
      </w:r>
      <w:r>
        <w:rPr>
          <w:spacing w:val="-8"/>
        </w:rPr>
        <w:t xml:space="preserve"> </w:t>
      </w:r>
      <w:r>
        <w:t>si</w:t>
      </w:r>
      <w:r>
        <w:rPr>
          <w:spacing w:val="-10"/>
        </w:rPr>
        <w:t xml:space="preserve"> </w:t>
      </w:r>
      <w:r>
        <w:t>se</w:t>
      </w:r>
      <w:r>
        <w:rPr>
          <w:spacing w:val="-8"/>
        </w:rPr>
        <w:t xml:space="preserve"> </w:t>
      </w:r>
      <w:r>
        <w:t>comparan los ingresos de hombres y mujeres que son jefes o jefas de hogar. La brecha</w:t>
      </w:r>
      <w:r>
        <w:rPr>
          <w:spacing w:val="-17"/>
        </w:rPr>
        <w:t xml:space="preserve"> </w:t>
      </w:r>
      <w:r>
        <w:t>entre</w:t>
      </w:r>
      <w:r>
        <w:rPr>
          <w:spacing w:val="-12"/>
        </w:rPr>
        <w:t xml:space="preserve"> </w:t>
      </w:r>
      <w:r>
        <w:t>quienes</w:t>
      </w:r>
      <w:r>
        <w:rPr>
          <w:spacing w:val="-15"/>
        </w:rPr>
        <w:t xml:space="preserve"> </w:t>
      </w:r>
      <w:r>
        <w:t>no</w:t>
      </w:r>
      <w:r>
        <w:rPr>
          <w:spacing w:val="-13"/>
        </w:rPr>
        <w:t xml:space="preserve"> </w:t>
      </w:r>
      <w:r>
        <w:t>son</w:t>
      </w:r>
      <w:r>
        <w:rPr>
          <w:spacing w:val="-11"/>
        </w:rPr>
        <w:t xml:space="preserve"> </w:t>
      </w:r>
      <w:r>
        <w:t>jefes</w:t>
      </w:r>
      <w:r>
        <w:rPr>
          <w:spacing w:val="-15"/>
        </w:rPr>
        <w:t xml:space="preserve"> </w:t>
      </w:r>
      <w:r>
        <w:t>o</w:t>
      </w:r>
      <w:r>
        <w:rPr>
          <w:spacing w:val="-13"/>
        </w:rPr>
        <w:t xml:space="preserve"> </w:t>
      </w:r>
      <w:r>
        <w:t>jefas</w:t>
      </w:r>
      <w:r>
        <w:rPr>
          <w:spacing w:val="-15"/>
        </w:rPr>
        <w:t xml:space="preserve"> </w:t>
      </w:r>
      <w:r>
        <w:t>de</w:t>
      </w:r>
      <w:r>
        <w:rPr>
          <w:spacing w:val="-13"/>
        </w:rPr>
        <w:t xml:space="preserve"> </w:t>
      </w:r>
      <w:r>
        <w:t>hogar</w:t>
      </w:r>
      <w:r>
        <w:rPr>
          <w:spacing w:val="-11"/>
        </w:rPr>
        <w:t xml:space="preserve"> </w:t>
      </w:r>
      <w:r>
        <w:t>de</w:t>
      </w:r>
      <w:r>
        <w:rPr>
          <w:spacing w:val="-14"/>
        </w:rPr>
        <w:t xml:space="preserve"> </w:t>
      </w:r>
      <w:r>
        <w:t>23,7%,</w:t>
      </w:r>
      <w:r>
        <w:rPr>
          <w:spacing w:val="-15"/>
        </w:rPr>
        <w:t xml:space="preserve"> </w:t>
      </w:r>
      <w:r>
        <w:t>mientras</w:t>
      </w:r>
      <w:r>
        <w:rPr>
          <w:spacing w:val="-11"/>
        </w:rPr>
        <w:t xml:space="preserve"> </w:t>
      </w:r>
      <w:r>
        <w:rPr>
          <w:spacing w:val="-5"/>
        </w:rPr>
        <w:t>que</w:t>
      </w:r>
    </w:p>
    <w:p w14:paraId="2492D983" w14:textId="77777777" w:rsidR="000E52B0" w:rsidRDefault="000E52B0">
      <w:pPr>
        <w:pStyle w:val="Textoindependiente"/>
        <w:jc w:val="both"/>
        <w:sectPr w:rsidR="000E52B0">
          <w:pgSz w:w="11910" w:h="16840"/>
          <w:pgMar w:top="1340" w:right="720" w:bottom="1180" w:left="720" w:header="0" w:footer="995" w:gutter="0"/>
          <w:cols w:space="720"/>
        </w:sectPr>
      </w:pPr>
    </w:p>
    <w:p w14:paraId="30AF2DBD" w14:textId="77777777" w:rsidR="000E52B0" w:rsidRDefault="00F60D74">
      <w:pPr>
        <w:pStyle w:val="Textoindependiente"/>
        <w:spacing w:before="83"/>
        <w:ind w:right="723"/>
        <w:jc w:val="both"/>
      </w:pPr>
      <w:r>
        <w:lastRenderedPageBreak/>
        <w:t>en los que sí es de 28%, siendo el ingreso de una mujer joven cabeza de hogar de $929.235 y de un hombre joven de $1.291.463.</w:t>
      </w:r>
    </w:p>
    <w:p w14:paraId="4B7A7983" w14:textId="77777777" w:rsidR="000E52B0" w:rsidRDefault="00F60D74">
      <w:pPr>
        <w:pStyle w:val="Textoindependiente"/>
        <w:spacing w:before="158"/>
        <w:ind w:right="721"/>
        <w:jc w:val="both"/>
      </w:pPr>
      <w:r>
        <w:t>Entre las personas jóvenes hay un subgrupo de especial atención, corresponden a los jóvenes que ni estudian ni trabajan, dado que en ellos las barreras de pobreza, deserción escolar, inserción laboral entre otras problemáticas se intensifican (ICBF, 2021). Se debe tener en cuenta que entre</w:t>
      </w:r>
      <w:r>
        <w:rPr>
          <w:spacing w:val="-11"/>
        </w:rPr>
        <w:t xml:space="preserve"> </w:t>
      </w:r>
      <w:r>
        <w:t>los</w:t>
      </w:r>
      <w:r>
        <w:rPr>
          <w:spacing w:val="-12"/>
        </w:rPr>
        <w:t xml:space="preserve"> </w:t>
      </w:r>
      <w:r>
        <w:t>jóvenes</w:t>
      </w:r>
      <w:r>
        <w:rPr>
          <w:spacing w:val="-13"/>
        </w:rPr>
        <w:t xml:space="preserve"> </w:t>
      </w:r>
      <w:r>
        <w:t>que</w:t>
      </w:r>
      <w:r>
        <w:rPr>
          <w:spacing w:val="-12"/>
        </w:rPr>
        <w:t xml:space="preserve"> </w:t>
      </w:r>
      <w:r>
        <w:t>ni</w:t>
      </w:r>
      <w:r>
        <w:rPr>
          <w:spacing w:val="-14"/>
        </w:rPr>
        <w:t xml:space="preserve"> </w:t>
      </w:r>
      <w:r>
        <w:t>estudian</w:t>
      </w:r>
      <w:r>
        <w:rPr>
          <w:spacing w:val="-13"/>
        </w:rPr>
        <w:t xml:space="preserve"> </w:t>
      </w:r>
      <w:r>
        <w:t>ni</w:t>
      </w:r>
      <w:r>
        <w:rPr>
          <w:spacing w:val="-14"/>
        </w:rPr>
        <w:t xml:space="preserve"> </w:t>
      </w:r>
      <w:r>
        <w:t>trabajan</w:t>
      </w:r>
      <w:r>
        <w:rPr>
          <w:spacing w:val="-13"/>
        </w:rPr>
        <w:t xml:space="preserve"> </w:t>
      </w:r>
      <w:r>
        <w:t>dos</w:t>
      </w:r>
      <w:r>
        <w:rPr>
          <w:spacing w:val="-13"/>
        </w:rPr>
        <w:t xml:space="preserve"> </w:t>
      </w:r>
      <w:r>
        <w:t>de</w:t>
      </w:r>
      <w:r>
        <w:rPr>
          <w:spacing w:val="-12"/>
        </w:rPr>
        <w:t xml:space="preserve"> </w:t>
      </w:r>
      <w:r>
        <w:t>cada</w:t>
      </w:r>
      <w:r>
        <w:rPr>
          <w:spacing w:val="-13"/>
        </w:rPr>
        <w:t xml:space="preserve"> </w:t>
      </w:r>
      <w:r>
        <w:t>tres</w:t>
      </w:r>
      <w:r>
        <w:rPr>
          <w:spacing w:val="-13"/>
        </w:rPr>
        <w:t xml:space="preserve"> </w:t>
      </w:r>
      <w:r>
        <w:t>son</w:t>
      </w:r>
      <w:r>
        <w:rPr>
          <w:spacing w:val="-13"/>
        </w:rPr>
        <w:t xml:space="preserve"> </w:t>
      </w:r>
      <w:r>
        <w:t>mujeres, especialmente</w:t>
      </w:r>
      <w:r>
        <w:rPr>
          <w:spacing w:val="-10"/>
        </w:rPr>
        <w:t xml:space="preserve"> </w:t>
      </w:r>
      <w:r>
        <w:t>entre</w:t>
      </w:r>
      <w:r>
        <w:rPr>
          <w:spacing w:val="-10"/>
        </w:rPr>
        <w:t xml:space="preserve"> </w:t>
      </w:r>
      <w:r>
        <w:t>los</w:t>
      </w:r>
      <w:r>
        <w:rPr>
          <w:spacing w:val="-11"/>
        </w:rPr>
        <w:t xml:space="preserve"> </w:t>
      </w:r>
      <w:r>
        <w:t>18</w:t>
      </w:r>
      <w:r>
        <w:rPr>
          <w:spacing w:val="-10"/>
        </w:rPr>
        <w:t xml:space="preserve"> </w:t>
      </w:r>
      <w:r>
        <w:t>y</w:t>
      </w:r>
      <w:r>
        <w:rPr>
          <w:spacing w:val="-9"/>
        </w:rPr>
        <w:t xml:space="preserve"> </w:t>
      </w:r>
      <w:r>
        <w:t>23</w:t>
      </w:r>
      <w:r>
        <w:rPr>
          <w:spacing w:val="-10"/>
        </w:rPr>
        <w:t xml:space="preserve"> </w:t>
      </w:r>
      <w:r>
        <w:t>años,</w:t>
      </w:r>
      <w:r>
        <w:rPr>
          <w:spacing w:val="-10"/>
        </w:rPr>
        <w:t xml:space="preserve"> </w:t>
      </w:r>
      <w:r>
        <w:t>con</w:t>
      </w:r>
      <w:r>
        <w:rPr>
          <w:spacing w:val="-12"/>
        </w:rPr>
        <w:t xml:space="preserve"> </w:t>
      </w:r>
      <w:r>
        <w:t>una</w:t>
      </w:r>
      <w:r>
        <w:rPr>
          <w:spacing w:val="-9"/>
        </w:rPr>
        <w:t xml:space="preserve"> </w:t>
      </w:r>
      <w:r>
        <w:t>alta</w:t>
      </w:r>
      <w:r>
        <w:rPr>
          <w:spacing w:val="-9"/>
        </w:rPr>
        <w:t xml:space="preserve"> </w:t>
      </w:r>
      <w:r>
        <w:t>proporción</w:t>
      </w:r>
      <w:r>
        <w:rPr>
          <w:spacing w:val="-11"/>
        </w:rPr>
        <w:t xml:space="preserve"> </w:t>
      </w:r>
      <w:r>
        <w:t>de</w:t>
      </w:r>
      <w:r>
        <w:rPr>
          <w:spacing w:val="-10"/>
        </w:rPr>
        <w:t xml:space="preserve"> </w:t>
      </w:r>
      <w:r>
        <w:t>personas casadas o en unión libre (45,4%) (</w:t>
      </w:r>
      <w:proofErr w:type="spellStart"/>
      <w:r>
        <w:t>Idem</w:t>
      </w:r>
      <w:proofErr w:type="spellEnd"/>
      <w:r>
        <w:t>).</w:t>
      </w:r>
    </w:p>
    <w:p w14:paraId="349465DD" w14:textId="77777777" w:rsidR="000E52B0" w:rsidRDefault="00F60D74">
      <w:pPr>
        <w:pStyle w:val="Textoindependiente"/>
        <w:spacing w:before="161"/>
        <w:ind w:right="717"/>
        <w:jc w:val="both"/>
      </w:pPr>
      <w:r>
        <w:t>Para el total nacional en el trimestre junio – agosto 2023 la población de jóvenes</w:t>
      </w:r>
      <w:r>
        <w:rPr>
          <w:spacing w:val="-11"/>
        </w:rPr>
        <w:t xml:space="preserve"> </w:t>
      </w:r>
      <w:r>
        <w:t>entre</w:t>
      </w:r>
      <w:r>
        <w:rPr>
          <w:spacing w:val="-10"/>
        </w:rPr>
        <w:t xml:space="preserve"> </w:t>
      </w:r>
      <w:r>
        <w:t>15</w:t>
      </w:r>
      <w:r>
        <w:rPr>
          <w:spacing w:val="-10"/>
        </w:rPr>
        <w:t xml:space="preserve"> </w:t>
      </w:r>
      <w:r>
        <w:t>y</w:t>
      </w:r>
      <w:r>
        <w:rPr>
          <w:spacing w:val="-14"/>
        </w:rPr>
        <w:t xml:space="preserve"> </w:t>
      </w:r>
      <w:r>
        <w:t>28</w:t>
      </w:r>
      <w:r>
        <w:rPr>
          <w:spacing w:val="-10"/>
        </w:rPr>
        <w:t xml:space="preserve"> </w:t>
      </w:r>
      <w:r>
        <w:t>años</w:t>
      </w:r>
      <w:r>
        <w:rPr>
          <w:spacing w:val="-11"/>
        </w:rPr>
        <w:t xml:space="preserve"> </w:t>
      </w:r>
      <w:r>
        <w:t>que</w:t>
      </w:r>
      <w:r>
        <w:rPr>
          <w:spacing w:val="-10"/>
        </w:rPr>
        <w:t xml:space="preserve"> </w:t>
      </w:r>
      <w:r>
        <w:t>no</w:t>
      </w:r>
      <w:r>
        <w:rPr>
          <w:spacing w:val="-11"/>
        </w:rPr>
        <w:t xml:space="preserve"> </w:t>
      </w:r>
      <w:r>
        <w:t>estudiaba</w:t>
      </w:r>
      <w:r>
        <w:rPr>
          <w:spacing w:val="-9"/>
        </w:rPr>
        <w:t xml:space="preserve"> </w:t>
      </w:r>
      <w:r>
        <w:t>ni</w:t>
      </w:r>
      <w:r>
        <w:rPr>
          <w:spacing w:val="-12"/>
        </w:rPr>
        <w:t xml:space="preserve"> </w:t>
      </w:r>
      <w:r>
        <w:t>se</w:t>
      </w:r>
      <w:r>
        <w:rPr>
          <w:spacing w:val="-10"/>
        </w:rPr>
        <w:t xml:space="preserve"> </w:t>
      </w:r>
      <w:r>
        <w:t>encontraba</w:t>
      </w:r>
      <w:r>
        <w:rPr>
          <w:spacing w:val="-11"/>
        </w:rPr>
        <w:t xml:space="preserve"> </w:t>
      </w:r>
      <w:r>
        <w:t>ocupada</w:t>
      </w:r>
      <w:r>
        <w:rPr>
          <w:spacing w:val="-9"/>
        </w:rPr>
        <w:t xml:space="preserve"> </w:t>
      </w:r>
      <w:r>
        <w:t>fue de 2.488 miles de personas. Esto representó el 22,2% de las personas en edad de trabajar para dicho rango de edad. Por sexo, se observa que la proporción es mayor en las mujeres y siempre lo ha sido. Para el primer trimestre</w:t>
      </w:r>
      <w:r>
        <w:rPr>
          <w:spacing w:val="-13"/>
        </w:rPr>
        <w:t xml:space="preserve"> </w:t>
      </w:r>
      <w:r>
        <w:t>de</w:t>
      </w:r>
      <w:r>
        <w:rPr>
          <w:spacing w:val="-14"/>
        </w:rPr>
        <w:t xml:space="preserve"> </w:t>
      </w:r>
      <w:r>
        <w:t>2024,</w:t>
      </w:r>
      <w:r>
        <w:rPr>
          <w:spacing w:val="-16"/>
        </w:rPr>
        <w:t xml:space="preserve"> </w:t>
      </w:r>
      <w:r>
        <w:t>en</w:t>
      </w:r>
      <w:r>
        <w:rPr>
          <w:spacing w:val="-16"/>
        </w:rPr>
        <w:t xml:space="preserve"> </w:t>
      </w:r>
      <w:r>
        <w:t>los</w:t>
      </w:r>
      <w:r>
        <w:rPr>
          <w:spacing w:val="-15"/>
        </w:rPr>
        <w:t xml:space="preserve"> </w:t>
      </w:r>
      <w:r>
        <w:t>hombres</w:t>
      </w:r>
      <w:r>
        <w:rPr>
          <w:spacing w:val="-15"/>
        </w:rPr>
        <w:t xml:space="preserve"> </w:t>
      </w:r>
      <w:r>
        <w:t>fue</w:t>
      </w:r>
      <w:r>
        <w:rPr>
          <w:spacing w:val="-12"/>
        </w:rPr>
        <w:t xml:space="preserve"> </w:t>
      </w:r>
      <w:r>
        <w:t>9,4%</w:t>
      </w:r>
      <w:r>
        <w:rPr>
          <w:spacing w:val="-14"/>
        </w:rPr>
        <w:t xml:space="preserve"> </w:t>
      </w:r>
      <w:r>
        <w:t>y</w:t>
      </w:r>
      <w:r>
        <w:rPr>
          <w:spacing w:val="-15"/>
        </w:rPr>
        <w:t xml:space="preserve"> </w:t>
      </w:r>
      <w:r>
        <w:t>para</w:t>
      </w:r>
      <w:r>
        <w:rPr>
          <w:spacing w:val="-15"/>
        </w:rPr>
        <w:t xml:space="preserve"> </w:t>
      </w:r>
      <w:r>
        <w:t>las</w:t>
      </w:r>
      <w:r>
        <w:rPr>
          <w:spacing w:val="-15"/>
        </w:rPr>
        <w:t xml:space="preserve"> </w:t>
      </w:r>
      <w:r>
        <w:t>mujeres</w:t>
      </w:r>
      <w:r>
        <w:rPr>
          <w:spacing w:val="-15"/>
        </w:rPr>
        <w:t xml:space="preserve"> </w:t>
      </w:r>
      <w:r>
        <w:t>fue</w:t>
      </w:r>
      <w:r>
        <w:rPr>
          <w:spacing w:val="-14"/>
        </w:rPr>
        <w:t xml:space="preserve"> </w:t>
      </w:r>
      <w:r>
        <w:t>17,0%, lo que equivale a una brecha de 7,7 p.p., menor valor en el trimestre de los últimos 10 años.</w:t>
      </w:r>
    </w:p>
    <w:p w14:paraId="3C14AFDE" w14:textId="77777777" w:rsidR="000E52B0" w:rsidRDefault="00F60D74">
      <w:pPr>
        <w:spacing w:before="159"/>
        <w:ind w:left="720"/>
        <w:jc w:val="both"/>
        <w:rPr>
          <w:i/>
          <w:sz w:val="18"/>
        </w:rPr>
      </w:pPr>
      <w:r>
        <w:rPr>
          <w:i/>
          <w:color w:val="454551"/>
          <w:sz w:val="18"/>
        </w:rPr>
        <w:t>Ilustración</w:t>
      </w:r>
      <w:r>
        <w:rPr>
          <w:i/>
          <w:color w:val="454551"/>
          <w:spacing w:val="-1"/>
          <w:sz w:val="18"/>
        </w:rPr>
        <w:t xml:space="preserve"> </w:t>
      </w:r>
      <w:r>
        <w:rPr>
          <w:i/>
          <w:color w:val="454551"/>
          <w:sz w:val="18"/>
        </w:rPr>
        <w:t>31.</w:t>
      </w:r>
      <w:r>
        <w:rPr>
          <w:i/>
          <w:color w:val="454551"/>
          <w:spacing w:val="-4"/>
          <w:sz w:val="18"/>
        </w:rPr>
        <w:t xml:space="preserve"> </w:t>
      </w:r>
      <w:r>
        <w:rPr>
          <w:i/>
          <w:color w:val="454551"/>
          <w:sz w:val="18"/>
        </w:rPr>
        <w:t>Colombia.</w:t>
      </w:r>
      <w:r>
        <w:rPr>
          <w:i/>
          <w:color w:val="454551"/>
          <w:spacing w:val="-3"/>
          <w:sz w:val="18"/>
        </w:rPr>
        <w:t xml:space="preserve"> </w:t>
      </w:r>
      <w:r>
        <w:rPr>
          <w:i/>
          <w:color w:val="454551"/>
          <w:sz w:val="18"/>
        </w:rPr>
        <w:t>Proporción</w:t>
      </w:r>
      <w:r>
        <w:rPr>
          <w:i/>
          <w:color w:val="454551"/>
          <w:spacing w:val="-2"/>
          <w:sz w:val="18"/>
        </w:rPr>
        <w:t xml:space="preserve"> </w:t>
      </w:r>
      <w:r>
        <w:rPr>
          <w:i/>
          <w:color w:val="454551"/>
          <w:sz w:val="18"/>
        </w:rPr>
        <w:t>de</w:t>
      </w:r>
      <w:r>
        <w:rPr>
          <w:i/>
          <w:color w:val="454551"/>
          <w:spacing w:val="-3"/>
          <w:sz w:val="18"/>
        </w:rPr>
        <w:t xml:space="preserve"> </w:t>
      </w:r>
      <w:r>
        <w:rPr>
          <w:i/>
          <w:color w:val="454551"/>
          <w:sz w:val="18"/>
        </w:rPr>
        <w:t>jóvenes</w:t>
      </w:r>
      <w:r>
        <w:rPr>
          <w:i/>
          <w:color w:val="454551"/>
          <w:spacing w:val="-3"/>
          <w:sz w:val="18"/>
        </w:rPr>
        <w:t xml:space="preserve"> </w:t>
      </w:r>
      <w:r>
        <w:rPr>
          <w:i/>
          <w:color w:val="454551"/>
          <w:sz w:val="18"/>
        </w:rPr>
        <w:t>que</w:t>
      </w:r>
      <w:r>
        <w:rPr>
          <w:i/>
          <w:color w:val="454551"/>
          <w:spacing w:val="-2"/>
          <w:sz w:val="18"/>
        </w:rPr>
        <w:t xml:space="preserve"> </w:t>
      </w:r>
      <w:r>
        <w:rPr>
          <w:i/>
          <w:color w:val="454551"/>
          <w:sz w:val="18"/>
        </w:rPr>
        <w:t>no</w:t>
      </w:r>
      <w:r>
        <w:rPr>
          <w:i/>
          <w:color w:val="454551"/>
          <w:spacing w:val="-2"/>
          <w:sz w:val="18"/>
        </w:rPr>
        <w:t xml:space="preserve"> </w:t>
      </w:r>
      <w:r>
        <w:rPr>
          <w:i/>
          <w:color w:val="454551"/>
          <w:sz w:val="18"/>
        </w:rPr>
        <w:t>estudian</w:t>
      </w:r>
      <w:r>
        <w:rPr>
          <w:i/>
          <w:color w:val="454551"/>
          <w:spacing w:val="-2"/>
          <w:sz w:val="18"/>
        </w:rPr>
        <w:t xml:space="preserve"> </w:t>
      </w:r>
      <w:r>
        <w:rPr>
          <w:i/>
          <w:color w:val="454551"/>
          <w:sz w:val="18"/>
        </w:rPr>
        <w:t>y</w:t>
      </w:r>
      <w:r>
        <w:rPr>
          <w:i/>
          <w:color w:val="454551"/>
          <w:spacing w:val="-3"/>
          <w:sz w:val="18"/>
        </w:rPr>
        <w:t xml:space="preserve"> </w:t>
      </w:r>
      <w:r>
        <w:rPr>
          <w:i/>
          <w:color w:val="454551"/>
          <w:sz w:val="18"/>
        </w:rPr>
        <w:t>no</w:t>
      </w:r>
      <w:r>
        <w:rPr>
          <w:i/>
          <w:color w:val="454551"/>
          <w:spacing w:val="-2"/>
          <w:sz w:val="18"/>
        </w:rPr>
        <w:t xml:space="preserve"> </w:t>
      </w:r>
      <w:r>
        <w:rPr>
          <w:i/>
          <w:color w:val="454551"/>
          <w:sz w:val="18"/>
        </w:rPr>
        <w:t>trabajan,</w:t>
      </w:r>
      <w:r>
        <w:rPr>
          <w:i/>
          <w:color w:val="454551"/>
          <w:spacing w:val="-5"/>
          <w:sz w:val="18"/>
        </w:rPr>
        <w:t xml:space="preserve"> </w:t>
      </w:r>
      <w:r>
        <w:rPr>
          <w:i/>
          <w:color w:val="454551"/>
          <w:sz w:val="18"/>
        </w:rPr>
        <w:t>2014-</w:t>
      </w:r>
      <w:r>
        <w:rPr>
          <w:i/>
          <w:color w:val="454551"/>
          <w:spacing w:val="-4"/>
          <w:sz w:val="18"/>
        </w:rPr>
        <w:t>2022</w:t>
      </w:r>
    </w:p>
    <w:p w14:paraId="00ABB6A9" w14:textId="77777777" w:rsidR="000E52B0" w:rsidRDefault="000E52B0">
      <w:pPr>
        <w:pStyle w:val="Textoindependiente"/>
        <w:spacing w:before="47"/>
        <w:ind w:left="0"/>
        <w:rPr>
          <w:i/>
          <w:sz w:val="20"/>
        </w:rPr>
      </w:pPr>
    </w:p>
    <w:p w14:paraId="568B3128" w14:textId="77777777" w:rsidR="000E52B0" w:rsidRDefault="000E52B0">
      <w:pPr>
        <w:pStyle w:val="Textoindependiente"/>
        <w:rPr>
          <w:i/>
          <w:sz w:val="20"/>
        </w:rPr>
        <w:sectPr w:rsidR="000E52B0">
          <w:pgSz w:w="11910" w:h="16840"/>
          <w:pgMar w:top="1340" w:right="720" w:bottom="1180" w:left="720" w:header="0" w:footer="995" w:gutter="0"/>
          <w:cols w:space="720"/>
        </w:sectPr>
      </w:pPr>
    </w:p>
    <w:p w14:paraId="34E9BB7A" w14:textId="77777777" w:rsidR="000E52B0" w:rsidRDefault="000E52B0">
      <w:pPr>
        <w:pStyle w:val="Textoindependiente"/>
        <w:ind w:left="0"/>
        <w:rPr>
          <w:i/>
          <w:sz w:val="18"/>
        </w:rPr>
      </w:pPr>
    </w:p>
    <w:p w14:paraId="05CA0480" w14:textId="77777777" w:rsidR="000E52B0" w:rsidRDefault="000E52B0">
      <w:pPr>
        <w:pStyle w:val="Textoindependiente"/>
        <w:spacing w:before="90"/>
        <w:ind w:left="0"/>
        <w:rPr>
          <w:i/>
          <w:sz w:val="18"/>
        </w:rPr>
      </w:pPr>
    </w:p>
    <w:p w14:paraId="321B596C" w14:textId="77777777" w:rsidR="000E52B0" w:rsidRDefault="00F60D74">
      <w:pPr>
        <w:spacing w:before="1"/>
        <w:jc w:val="right"/>
        <w:rPr>
          <w:rFonts w:ascii="Trebuchet MS"/>
          <w:sz w:val="18"/>
        </w:rPr>
      </w:pPr>
      <w:r>
        <w:rPr>
          <w:rFonts w:ascii="Trebuchet MS"/>
          <w:noProof/>
          <w:sz w:val="18"/>
        </w:rPr>
        <w:drawing>
          <wp:anchor distT="0" distB="0" distL="0" distR="0" simplePos="0" relativeHeight="482282496" behindDoc="1" locked="0" layoutInCell="1" allowOverlap="1" wp14:anchorId="589AA11D" wp14:editId="3F23C5B4">
            <wp:simplePos x="0" y="0"/>
            <wp:positionH relativeFrom="page">
              <wp:posOffset>2081593</wp:posOffset>
            </wp:positionH>
            <wp:positionV relativeFrom="paragraph">
              <wp:posOffset>293877</wp:posOffset>
            </wp:positionV>
            <wp:extent cx="73532" cy="73533"/>
            <wp:effectExtent l="0" t="0" r="0" b="0"/>
            <wp:wrapNone/>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141" cstate="print"/>
                    <a:stretch>
                      <a:fillRect/>
                    </a:stretch>
                  </pic:blipFill>
                  <pic:spPr>
                    <a:xfrm>
                      <a:off x="0" y="0"/>
                      <a:ext cx="73532" cy="73533"/>
                    </a:xfrm>
                    <a:prstGeom prst="rect">
                      <a:avLst/>
                    </a:prstGeom>
                  </pic:spPr>
                </pic:pic>
              </a:graphicData>
            </a:graphic>
          </wp:anchor>
        </w:drawing>
      </w:r>
      <w:r>
        <w:rPr>
          <w:rFonts w:ascii="Trebuchet MS"/>
          <w:noProof/>
          <w:sz w:val="18"/>
        </w:rPr>
        <w:drawing>
          <wp:anchor distT="0" distB="0" distL="0" distR="0" simplePos="0" relativeHeight="15782912" behindDoc="0" locked="0" layoutInCell="1" allowOverlap="1" wp14:anchorId="5A646102" wp14:editId="57EA62AA">
            <wp:simplePos x="0" y="0"/>
            <wp:positionH relativeFrom="page">
              <wp:posOffset>2689669</wp:posOffset>
            </wp:positionH>
            <wp:positionV relativeFrom="paragraph">
              <wp:posOffset>293877</wp:posOffset>
            </wp:positionV>
            <wp:extent cx="73532" cy="73533"/>
            <wp:effectExtent l="0" t="0" r="0" b="0"/>
            <wp:wrapNone/>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42" cstate="print"/>
                    <a:stretch>
                      <a:fillRect/>
                    </a:stretch>
                  </pic:blipFill>
                  <pic:spPr>
                    <a:xfrm>
                      <a:off x="0" y="0"/>
                      <a:ext cx="73532" cy="73533"/>
                    </a:xfrm>
                    <a:prstGeom prst="rect">
                      <a:avLst/>
                    </a:prstGeom>
                  </pic:spPr>
                </pic:pic>
              </a:graphicData>
            </a:graphic>
          </wp:anchor>
        </w:drawing>
      </w:r>
      <w:r>
        <w:rPr>
          <w:rFonts w:ascii="Trebuchet MS"/>
          <w:noProof/>
          <w:sz w:val="18"/>
        </w:rPr>
        <mc:AlternateContent>
          <mc:Choice Requires="wps">
            <w:drawing>
              <wp:anchor distT="0" distB="0" distL="0" distR="0" simplePos="0" relativeHeight="15783424" behindDoc="0" locked="0" layoutInCell="1" allowOverlap="1" wp14:anchorId="55D804E6" wp14:editId="5B40D008">
                <wp:simplePos x="0" y="0"/>
                <wp:positionH relativeFrom="page">
                  <wp:posOffset>1059433</wp:posOffset>
                </wp:positionH>
                <wp:positionV relativeFrom="paragraph">
                  <wp:posOffset>562</wp:posOffset>
                </wp:positionV>
                <wp:extent cx="1845310" cy="73342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5310" cy="7334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87"/>
                              <w:gridCol w:w="503"/>
                              <w:gridCol w:w="479"/>
                              <w:gridCol w:w="479"/>
                              <w:gridCol w:w="479"/>
                              <w:gridCol w:w="459"/>
                            </w:tblGrid>
                            <w:tr w:rsidR="000E52B0" w14:paraId="6BF0AB55" w14:textId="77777777">
                              <w:trPr>
                                <w:trHeight w:val="631"/>
                              </w:trPr>
                              <w:tc>
                                <w:tcPr>
                                  <w:tcW w:w="387" w:type="dxa"/>
                                </w:tcPr>
                                <w:p w14:paraId="15DDC086" w14:textId="77777777" w:rsidR="000E52B0" w:rsidRDefault="00F60D74">
                                  <w:pPr>
                                    <w:pStyle w:val="TableParagraph"/>
                                    <w:spacing w:before="27"/>
                                    <w:ind w:right="42"/>
                                    <w:jc w:val="center"/>
                                    <w:rPr>
                                      <w:rFonts w:ascii="Trebuchet MS"/>
                                      <w:sz w:val="18"/>
                                    </w:rPr>
                                  </w:pPr>
                                  <w:r>
                                    <w:rPr>
                                      <w:rFonts w:ascii="Trebuchet MS"/>
                                      <w:color w:val="404040"/>
                                      <w:spacing w:val="-5"/>
                                      <w:sz w:val="18"/>
                                    </w:rPr>
                                    <w:t>16,2</w:t>
                                  </w:r>
                                </w:p>
                              </w:tc>
                              <w:tc>
                                <w:tcPr>
                                  <w:tcW w:w="503" w:type="dxa"/>
                                </w:tcPr>
                                <w:p w14:paraId="772F836F" w14:textId="77777777" w:rsidR="000E52B0" w:rsidRDefault="00F60D74">
                                  <w:pPr>
                                    <w:pStyle w:val="TableParagraph"/>
                                    <w:spacing w:before="107"/>
                                    <w:ind w:left="23"/>
                                    <w:jc w:val="center"/>
                                    <w:rPr>
                                      <w:rFonts w:ascii="Trebuchet MS"/>
                                      <w:sz w:val="18"/>
                                    </w:rPr>
                                  </w:pPr>
                                  <w:r>
                                    <w:rPr>
                                      <w:rFonts w:ascii="Trebuchet MS"/>
                                      <w:color w:val="404040"/>
                                      <w:spacing w:val="-4"/>
                                      <w:sz w:val="18"/>
                                    </w:rPr>
                                    <w:t>15,3</w:t>
                                  </w:r>
                                </w:p>
                              </w:tc>
                              <w:tc>
                                <w:tcPr>
                                  <w:tcW w:w="479" w:type="dxa"/>
                                </w:tcPr>
                                <w:p w14:paraId="74D22059" w14:textId="77777777" w:rsidR="000E52B0" w:rsidRDefault="00F60D74">
                                  <w:pPr>
                                    <w:pStyle w:val="TableParagraph"/>
                                    <w:spacing w:before="151"/>
                                    <w:jc w:val="center"/>
                                    <w:rPr>
                                      <w:rFonts w:ascii="Trebuchet MS"/>
                                      <w:sz w:val="18"/>
                                    </w:rPr>
                                  </w:pPr>
                                  <w:r>
                                    <w:rPr>
                                      <w:rFonts w:ascii="Trebuchet MS"/>
                                      <w:color w:val="404040"/>
                                      <w:spacing w:val="-4"/>
                                      <w:sz w:val="18"/>
                                    </w:rPr>
                                    <w:t>14,8</w:t>
                                  </w:r>
                                </w:p>
                              </w:tc>
                              <w:tc>
                                <w:tcPr>
                                  <w:tcW w:w="479" w:type="dxa"/>
                                </w:tcPr>
                                <w:p w14:paraId="3C2FED3E" w14:textId="77777777" w:rsidR="000E52B0" w:rsidRDefault="00F60D74">
                                  <w:pPr>
                                    <w:pStyle w:val="TableParagraph"/>
                                    <w:spacing w:before="160"/>
                                    <w:jc w:val="center"/>
                                    <w:rPr>
                                      <w:rFonts w:ascii="Trebuchet MS"/>
                                      <w:sz w:val="18"/>
                                    </w:rPr>
                                  </w:pPr>
                                  <w:r>
                                    <w:rPr>
                                      <w:rFonts w:ascii="Trebuchet MS"/>
                                      <w:color w:val="404040"/>
                                      <w:spacing w:val="-4"/>
                                      <w:sz w:val="18"/>
                                    </w:rPr>
                                    <w:t>14,7</w:t>
                                  </w:r>
                                </w:p>
                                <w:p w14:paraId="15AD478E" w14:textId="77777777" w:rsidR="000E52B0" w:rsidRDefault="000E52B0">
                                  <w:pPr>
                                    <w:pStyle w:val="TableParagraph"/>
                                    <w:spacing w:before="7" w:after="1"/>
                                    <w:rPr>
                                      <w:sz w:val="7"/>
                                    </w:rPr>
                                  </w:pPr>
                                </w:p>
                                <w:p w14:paraId="339ED8DF" w14:textId="77777777" w:rsidR="000E52B0" w:rsidRDefault="00F60D74">
                                  <w:pPr>
                                    <w:pStyle w:val="TableParagraph"/>
                                    <w:spacing w:line="114" w:lineRule="exact"/>
                                    <w:ind w:left="180"/>
                                    <w:rPr>
                                      <w:position w:val="-1"/>
                                      <w:sz w:val="11"/>
                                    </w:rPr>
                                  </w:pPr>
                                  <w:r>
                                    <w:rPr>
                                      <w:noProof/>
                                      <w:position w:val="-1"/>
                                      <w:sz w:val="11"/>
                                    </w:rPr>
                                    <w:drawing>
                                      <wp:inline distT="0" distB="0" distL="0" distR="0" wp14:anchorId="38E90BD1" wp14:editId="5F772A04">
                                        <wp:extent cx="72866" cy="72866"/>
                                        <wp:effectExtent l="0" t="0" r="0" b="0"/>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141" cstate="print"/>
                                                <a:stretch>
                                                  <a:fillRect/>
                                                </a:stretch>
                                              </pic:blipFill>
                                              <pic:spPr>
                                                <a:xfrm>
                                                  <a:off x="0" y="0"/>
                                                  <a:ext cx="72866" cy="72866"/>
                                                </a:xfrm>
                                                <a:prstGeom prst="rect">
                                                  <a:avLst/>
                                                </a:prstGeom>
                                              </pic:spPr>
                                            </pic:pic>
                                          </a:graphicData>
                                        </a:graphic>
                                      </wp:inline>
                                    </w:drawing>
                                  </w:r>
                                </w:p>
                              </w:tc>
                              <w:tc>
                                <w:tcPr>
                                  <w:tcW w:w="479" w:type="dxa"/>
                                </w:tcPr>
                                <w:p w14:paraId="6FF2A505" w14:textId="77777777" w:rsidR="000E52B0" w:rsidRDefault="00F60D74">
                                  <w:pPr>
                                    <w:pStyle w:val="TableParagraph"/>
                                    <w:spacing w:before="142"/>
                                    <w:jc w:val="center"/>
                                    <w:rPr>
                                      <w:rFonts w:ascii="Trebuchet MS"/>
                                      <w:sz w:val="18"/>
                                    </w:rPr>
                                  </w:pPr>
                                  <w:r>
                                    <w:rPr>
                                      <w:rFonts w:ascii="Trebuchet MS"/>
                                      <w:color w:val="404040"/>
                                      <w:spacing w:val="-4"/>
                                      <w:sz w:val="18"/>
                                    </w:rPr>
                                    <w:t>14,9</w:t>
                                  </w:r>
                                </w:p>
                              </w:tc>
                              <w:tc>
                                <w:tcPr>
                                  <w:tcW w:w="459" w:type="dxa"/>
                                </w:tcPr>
                                <w:p w14:paraId="4AB1B1FE" w14:textId="77777777" w:rsidR="000E52B0" w:rsidRDefault="00F60D74">
                                  <w:pPr>
                                    <w:pStyle w:val="TableParagraph"/>
                                    <w:spacing w:before="160"/>
                                    <w:ind w:left="20"/>
                                    <w:jc w:val="center"/>
                                    <w:rPr>
                                      <w:rFonts w:ascii="Trebuchet MS"/>
                                      <w:sz w:val="18"/>
                                    </w:rPr>
                                  </w:pPr>
                                  <w:r>
                                    <w:rPr>
                                      <w:rFonts w:ascii="Trebuchet MS"/>
                                      <w:color w:val="404040"/>
                                      <w:spacing w:val="-4"/>
                                      <w:sz w:val="18"/>
                                    </w:rPr>
                                    <w:t>14,7</w:t>
                                  </w:r>
                                </w:p>
                                <w:p w14:paraId="1E063CCF" w14:textId="77777777" w:rsidR="000E52B0" w:rsidRDefault="000E52B0">
                                  <w:pPr>
                                    <w:pStyle w:val="TableParagraph"/>
                                    <w:spacing w:before="7" w:after="1"/>
                                    <w:rPr>
                                      <w:sz w:val="7"/>
                                    </w:rPr>
                                  </w:pPr>
                                </w:p>
                                <w:p w14:paraId="70579B60" w14:textId="77777777" w:rsidR="000E52B0" w:rsidRDefault="00F60D74">
                                  <w:pPr>
                                    <w:pStyle w:val="TableParagraph"/>
                                    <w:spacing w:line="114" w:lineRule="exact"/>
                                    <w:ind w:left="180"/>
                                    <w:rPr>
                                      <w:position w:val="-1"/>
                                      <w:sz w:val="11"/>
                                    </w:rPr>
                                  </w:pPr>
                                  <w:r>
                                    <w:rPr>
                                      <w:noProof/>
                                      <w:position w:val="-1"/>
                                      <w:sz w:val="11"/>
                                    </w:rPr>
                                    <w:drawing>
                                      <wp:inline distT="0" distB="0" distL="0" distR="0" wp14:anchorId="7993B42A" wp14:editId="3273B1DC">
                                        <wp:extent cx="72866" cy="72866"/>
                                        <wp:effectExtent l="0" t="0" r="0" b="0"/>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42" cstate="print"/>
                                                <a:stretch>
                                                  <a:fillRect/>
                                                </a:stretch>
                                              </pic:blipFill>
                                              <pic:spPr>
                                                <a:xfrm>
                                                  <a:off x="0" y="0"/>
                                                  <a:ext cx="72866" cy="72866"/>
                                                </a:xfrm>
                                                <a:prstGeom prst="rect">
                                                  <a:avLst/>
                                                </a:prstGeom>
                                              </pic:spPr>
                                            </pic:pic>
                                          </a:graphicData>
                                        </a:graphic>
                                      </wp:inline>
                                    </w:drawing>
                                  </w:r>
                                </w:p>
                              </w:tc>
                            </w:tr>
                            <w:tr w:rsidR="000E52B0" w14:paraId="2D26DC20" w14:textId="77777777">
                              <w:trPr>
                                <w:trHeight w:val="524"/>
                              </w:trPr>
                              <w:tc>
                                <w:tcPr>
                                  <w:tcW w:w="387" w:type="dxa"/>
                                </w:tcPr>
                                <w:p w14:paraId="0AE9C6A8" w14:textId="77777777" w:rsidR="000E52B0" w:rsidRDefault="000E52B0">
                                  <w:pPr>
                                    <w:pStyle w:val="TableParagraph"/>
                                    <w:spacing w:before="67"/>
                                    <w:rPr>
                                      <w:sz w:val="18"/>
                                    </w:rPr>
                                  </w:pPr>
                                </w:p>
                                <w:p w14:paraId="4576C85D" w14:textId="77777777" w:rsidR="000E52B0" w:rsidRDefault="00F60D74">
                                  <w:pPr>
                                    <w:pStyle w:val="TableParagraph"/>
                                    <w:spacing w:before="1"/>
                                    <w:ind w:right="42"/>
                                    <w:jc w:val="center"/>
                                    <w:rPr>
                                      <w:rFonts w:ascii="Trebuchet MS"/>
                                      <w:sz w:val="18"/>
                                    </w:rPr>
                                  </w:pPr>
                                  <w:r>
                                    <w:rPr>
                                      <w:rFonts w:ascii="Trebuchet MS"/>
                                      <w:color w:val="404040"/>
                                      <w:spacing w:val="-5"/>
                                      <w:sz w:val="18"/>
                                    </w:rPr>
                                    <w:t>6,2</w:t>
                                  </w:r>
                                </w:p>
                              </w:tc>
                              <w:tc>
                                <w:tcPr>
                                  <w:tcW w:w="503" w:type="dxa"/>
                                </w:tcPr>
                                <w:p w14:paraId="78F16D80" w14:textId="77777777" w:rsidR="000E52B0" w:rsidRDefault="000E52B0">
                                  <w:pPr>
                                    <w:pStyle w:val="TableParagraph"/>
                                    <w:spacing w:before="76"/>
                                    <w:rPr>
                                      <w:sz w:val="18"/>
                                    </w:rPr>
                                  </w:pPr>
                                </w:p>
                                <w:p w14:paraId="6102BFE8" w14:textId="77777777" w:rsidR="000E52B0" w:rsidRDefault="00F60D74">
                                  <w:pPr>
                                    <w:pStyle w:val="TableParagraph"/>
                                    <w:spacing w:before="1" w:line="208" w:lineRule="exact"/>
                                    <w:ind w:left="23"/>
                                    <w:jc w:val="center"/>
                                    <w:rPr>
                                      <w:rFonts w:ascii="Trebuchet MS"/>
                                      <w:sz w:val="18"/>
                                    </w:rPr>
                                  </w:pPr>
                                  <w:r>
                                    <w:rPr>
                                      <w:rFonts w:ascii="Trebuchet MS"/>
                                      <w:color w:val="404040"/>
                                      <w:spacing w:val="-5"/>
                                      <w:sz w:val="18"/>
                                    </w:rPr>
                                    <w:t>6,1</w:t>
                                  </w:r>
                                </w:p>
                              </w:tc>
                              <w:tc>
                                <w:tcPr>
                                  <w:tcW w:w="479" w:type="dxa"/>
                                </w:tcPr>
                                <w:p w14:paraId="41892396" w14:textId="77777777" w:rsidR="000E52B0" w:rsidRDefault="000E52B0">
                                  <w:pPr>
                                    <w:pStyle w:val="TableParagraph"/>
                                    <w:spacing w:before="32"/>
                                    <w:rPr>
                                      <w:sz w:val="18"/>
                                    </w:rPr>
                                  </w:pPr>
                                </w:p>
                                <w:p w14:paraId="45271872" w14:textId="77777777" w:rsidR="000E52B0" w:rsidRDefault="00F60D74">
                                  <w:pPr>
                                    <w:pStyle w:val="TableParagraph"/>
                                    <w:jc w:val="center"/>
                                    <w:rPr>
                                      <w:rFonts w:ascii="Trebuchet MS"/>
                                      <w:sz w:val="18"/>
                                    </w:rPr>
                                  </w:pPr>
                                  <w:r>
                                    <w:rPr>
                                      <w:rFonts w:ascii="Trebuchet MS"/>
                                      <w:color w:val="404040"/>
                                      <w:spacing w:val="-5"/>
                                      <w:sz w:val="18"/>
                                    </w:rPr>
                                    <w:t>6,6</w:t>
                                  </w:r>
                                </w:p>
                              </w:tc>
                              <w:tc>
                                <w:tcPr>
                                  <w:tcW w:w="479" w:type="dxa"/>
                                </w:tcPr>
                                <w:p w14:paraId="07E196EC" w14:textId="77777777" w:rsidR="000E52B0" w:rsidRDefault="000E52B0">
                                  <w:pPr>
                                    <w:pStyle w:val="TableParagraph"/>
                                    <w:spacing w:before="85"/>
                                    <w:rPr>
                                      <w:sz w:val="18"/>
                                    </w:rPr>
                                  </w:pPr>
                                </w:p>
                                <w:p w14:paraId="7467967A" w14:textId="77777777" w:rsidR="000E52B0" w:rsidRDefault="00F60D74">
                                  <w:pPr>
                                    <w:pStyle w:val="TableParagraph"/>
                                    <w:spacing w:line="200" w:lineRule="exact"/>
                                    <w:jc w:val="center"/>
                                    <w:rPr>
                                      <w:rFonts w:ascii="Trebuchet MS"/>
                                      <w:sz w:val="18"/>
                                    </w:rPr>
                                  </w:pPr>
                                  <w:r>
                                    <w:rPr>
                                      <w:rFonts w:ascii="Trebuchet MS"/>
                                      <w:color w:val="404040"/>
                                      <w:spacing w:val="-10"/>
                                      <w:sz w:val="18"/>
                                    </w:rPr>
                                    <w:t>6</w:t>
                                  </w:r>
                                </w:p>
                              </w:tc>
                              <w:tc>
                                <w:tcPr>
                                  <w:tcW w:w="479" w:type="dxa"/>
                                </w:tcPr>
                                <w:p w14:paraId="4504AFBF" w14:textId="77777777" w:rsidR="000E52B0" w:rsidRDefault="000E52B0">
                                  <w:pPr>
                                    <w:pStyle w:val="TableParagraph"/>
                                    <w:spacing w:before="50"/>
                                    <w:rPr>
                                      <w:sz w:val="18"/>
                                    </w:rPr>
                                  </w:pPr>
                                </w:p>
                                <w:p w14:paraId="5FD6FBBD" w14:textId="77777777" w:rsidR="000E52B0" w:rsidRDefault="00F60D74">
                                  <w:pPr>
                                    <w:pStyle w:val="TableParagraph"/>
                                    <w:jc w:val="center"/>
                                    <w:rPr>
                                      <w:rFonts w:ascii="Trebuchet MS"/>
                                      <w:sz w:val="18"/>
                                    </w:rPr>
                                  </w:pPr>
                                  <w:r>
                                    <w:rPr>
                                      <w:rFonts w:ascii="Trebuchet MS"/>
                                      <w:color w:val="404040"/>
                                      <w:spacing w:val="-5"/>
                                      <w:sz w:val="18"/>
                                    </w:rPr>
                                    <w:t>6,4</w:t>
                                  </w:r>
                                </w:p>
                              </w:tc>
                              <w:tc>
                                <w:tcPr>
                                  <w:tcW w:w="459" w:type="dxa"/>
                                </w:tcPr>
                                <w:p w14:paraId="55847B31" w14:textId="77777777" w:rsidR="000E52B0" w:rsidRDefault="000E52B0">
                                  <w:pPr>
                                    <w:pStyle w:val="TableParagraph"/>
                                    <w:spacing w:before="59"/>
                                    <w:rPr>
                                      <w:sz w:val="18"/>
                                    </w:rPr>
                                  </w:pPr>
                                </w:p>
                                <w:p w14:paraId="5676F877" w14:textId="77777777" w:rsidR="000E52B0" w:rsidRDefault="00F60D74">
                                  <w:pPr>
                                    <w:pStyle w:val="TableParagraph"/>
                                    <w:ind w:left="20" w:right="1"/>
                                    <w:jc w:val="center"/>
                                    <w:rPr>
                                      <w:rFonts w:ascii="Trebuchet MS"/>
                                      <w:sz w:val="18"/>
                                    </w:rPr>
                                  </w:pPr>
                                  <w:r>
                                    <w:rPr>
                                      <w:rFonts w:ascii="Trebuchet MS"/>
                                      <w:color w:val="404040"/>
                                      <w:spacing w:val="-5"/>
                                      <w:sz w:val="18"/>
                                    </w:rPr>
                                    <w:t>6,3</w:t>
                                  </w:r>
                                </w:p>
                              </w:tc>
                            </w:tr>
                          </w:tbl>
                          <w:p w14:paraId="46D78ADF" w14:textId="77777777" w:rsidR="000E52B0" w:rsidRDefault="000E52B0">
                            <w:pPr>
                              <w:pStyle w:val="Textoindependiente"/>
                              <w:ind w:left="0"/>
                            </w:pPr>
                          </w:p>
                        </w:txbxContent>
                      </wps:txbx>
                      <wps:bodyPr wrap="square" lIns="0" tIns="0" rIns="0" bIns="0" rtlCol="0">
                        <a:noAutofit/>
                      </wps:bodyPr>
                    </wps:wsp>
                  </a:graphicData>
                </a:graphic>
              </wp:anchor>
            </w:drawing>
          </mc:Choice>
          <mc:Fallback>
            <w:pict>
              <v:shape w14:anchorId="55D804E6" id="Textbox 359" o:spid="_x0000_s1222" type="#_x0000_t202" style="position:absolute;left:0;text-align:left;margin-left:83.4pt;margin-top:.05pt;width:145.3pt;height:57.75pt;z-index:1578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" filled="f" stroked="f">
                <v:textbox inset="0,0,0,0">
                  <w:txbxContent>
                    <w:tbl>
                      <w:tblPr>
                        <w:tblStyle w:val="TableNormal"/>
                        <w:tblW w:w="0" w:type="auto"/>
                        <w:tblInd w:w="67" w:type="dxa"/>
                        <w:tblLayout w:type="fixed"/>
                        <w:tblLook w:val="01E0" w:firstRow="1" w:lastRow="1" w:firstColumn="1" w:lastColumn="1" w:noHBand="0" w:noVBand="0"/>
                      </w:tblPr>
                      <w:tblGrid>
                        <w:gridCol w:w="387"/>
                        <w:gridCol w:w="503"/>
                        <w:gridCol w:w="479"/>
                        <w:gridCol w:w="479"/>
                        <w:gridCol w:w="479"/>
                        <w:gridCol w:w="459"/>
                      </w:tblGrid>
                      <w:tr w:rsidR="000E52B0" w14:paraId="6BF0AB55" w14:textId="77777777">
                        <w:trPr>
                          <w:trHeight w:val="631"/>
                        </w:trPr>
                        <w:tc>
                          <w:tcPr>
                            <w:tcW w:w="387" w:type="dxa"/>
                          </w:tcPr>
                          <w:p w14:paraId="15DDC086" w14:textId="77777777" w:rsidR="000E52B0" w:rsidRDefault="00F60D74">
                            <w:pPr>
                              <w:pStyle w:val="TableParagraph"/>
                              <w:spacing w:before="27"/>
                              <w:ind w:right="42"/>
                              <w:jc w:val="center"/>
                              <w:rPr>
                                <w:rFonts w:ascii="Trebuchet MS"/>
                                <w:sz w:val="18"/>
                              </w:rPr>
                            </w:pPr>
                            <w:r>
                              <w:rPr>
                                <w:rFonts w:ascii="Trebuchet MS"/>
                                <w:color w:val="404040"/>
                                <w:spacing w:val="-5"/>
                                <w:sz w:val="18"/>
                              </w:rPr>
                              <w:t>16,2</w:t>
                            </w:r>
                          </w:p>
                        </w:tc>
                        <w:tc>
                          <w:tcPr>
                            <w:tcW w:w="503" w:type="dxa"/>
                          </w:tcPr>
                          <w:p w14:paraId="772F836F" w14:textId="77777777" w:rsidR="000E52B0" w:rsidRDefault="00F60D74">
                            <w:pPr>
                              <w:pStyle w:val="TableParagraph"/>
                              <w:spacing w:before="107"/>
                              <w:ind w:left="23"/>
                              <w:jc w:val="center"/>
                              <w:rPr>
                                <w:rFonts w:ascii="Trebuchet MS"/>
                                <w:sz w:val="18"/>
                              </w:rPr>
                            </w:pPr>
                            <w:r>
                              <w:rPr>
                                <w:rFonts w:ascii="Trebuchet MS"/>
                                <w:color w:val="404040"/>
                                <w:spacing w:val="-4"/>
                                <w:sz w:val="18"/>
                              </w:rPr>
                              <w:t>15,3</w:t>
                            </w:r>
                          </w:p>
                        </w:tc>
                        <w:tc>
                          <w:tcPr>
                            <w:tcW w:w="479" w:type="dxa"/>
                          </w:tcPr>
                          <w:p w14:paraId="74D22059" w14:textId="77777777" w:rsidR="000E52B0" w:rsidRDefault="00F60D74">
                            <w:pPr>
                              <w:pStyle w:val="TableParagraph"/>
                              <w:spacing w:before="151"/>
                              <w:jc w:val="center"/>
                              <w:rPr>
                                <w:rFonts w:ascii="Trebuchet MS"/>
                                <w:sz w:val="18"/>
                              </w:rPr>
                            </w:pPr>
                            <w:r>
                              <w:rPr>
                                <w:rFonts w:ascii="Trebuchet MS"/>
                                <w:color w:val="404040"/>
                                <w:spacing w:val="-4"/>
                                <w:sz w:val="18"/>
                              </w:rPr>
                              <w:t>14,8</w:t>
                            </w:r>
                          </w:p>
                        </w:tc>
                        <w:tc>
                          <w:tcPr>
                            <w:tcW w:w="479" w:type="dxa"/>
                          </w:tcPr>
                          <w:p w14:paraId="3C2FED3E" w14:textId="77777777" w:rsidR="000E52B0" w:rsidRDefault="00F60D74">
                            <w:pPr>
                              <w:pStyle w:val="TableParagraph"/>
                              <w:spacing w:before="160"/>
                              <w:jc w:val="center"/>
                              <w:rPr>
                                <w:rFonts w:ascii="Trebuchet MS"/>
                                <w:sz w:val="18"/>
                              </w:rPr>
                            </w:pPr>
                            <w:r>
                              <w:rPr>
                                <w:rFonts w:ascii="Trebuchet MS"/>
                                <w:color w:val="404040"/>
                                <w:spacing w:val="-4"/>
                                <w:sz w:val="18"/>
                              </w:rPr>
                              <w:t>14,7</w:t>
                            </w:r>
                          </w:p>
                          <w:p w14:paraId="15AD478E" w14:textId="77777777" w:rsidR="000E52B0" w:rsidRDefault="000E52B0">
                            <w:pPr>
                              <w:pStyle w:val="TableParagraph"/>
                              <w:spacing w:before="7" w:after="1"/>
                              <w:rPr>
                                <w:sz w:val="7"/>
                              </w:rPr>
                            </w:pPr>
                          </w:p>
                          <w:p w14:paraId="339ED8DF" w14:textId="77777777" w:rsidR="000E52B0" w:rsidRDefault="00F60D74">
                            <w:pPr>
                              <w:pStyle w:val="TableParagraph"/>
                              <w:spacing w:line="114" w:lineRule="exact"/>
                              <w:ind w:left="180"/>
                              <w:rPr>
                                <w:position w:val="-1"/>
                                <w:sz w:val="11"/>
                              </w:rPr>
                            </w:pPr>
                            <w:r>
                              <w:rPr>
                                <w:noProof/>
                                <w:position w:val="-1"/>
                                <w:sz w:val="11"/>
                              </w:rPr>
                              <w:drawing>
                                <wp:inline distT="0" distB="0" distL="0" distR="0" wp14:anchorId="38E90BD1" wp14:editId="5F772A04">
                                  <wp:extent cx="72866" cy="72866"/>
                                  <wp:effectExtent l="0" t="0" r="0" b="0"/>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141" cstate="print"/>
                                          <a:stretch>
                                            <a:fillRect/>
                                          </a:stretch>
                                        </pic:blipFill>
                                        <pic:spPr>
                                          <a:xfrm>
                                            <a:off x="0" y="0"/>
                                            <a:ext cx="72866" cy="72866"/>
                                          </a:xfrm>
                                          <a:prstGeom prst="rect">
                                            <a:avLst/>
                                          </a:prstGeom>
                                        </pic:spPr>
                                      </pic:pic>
                                    </a:graphicData>
                                  </a:graphic>
                                </wp:inline>
                              </w:drawing>
                            </w:r>
                          </w:p>
                        </w:tc>
                        <w:tc>
                          <w:tcPr>
                            <w:tcW w:w="479" w:type="dxa"/>
                          </w:tcPr>
                          <w:p w14:paraId="6FF2A505" w14:textId="77777777" w:rsidR="000E52B0" w:rsidRDefault="00F60D74">
                            <w:pPr>
                              <w:pStyle w:val="TableParagraph"/>
                              <w:spacing w:before="142"/>
                              <w:jc w:val="center"/>
                              <w:rPr>
                                <w:rFonts w:ascii="Trebuchet MS"/>
                                <w:sz w:val="18"/>
                              </w:rPr>
                            </w:pPr>
                            <w:r>
                              <w:rPr>
                                <w:rFonts w:ascii="Trebuchet MS"/>
                                <w:color w:val="404040"/>
                                <w:spacing w:val="-4"/>
                                <w:sz w:val="18"/>
                              </w:rPr>
                              <w:t>14,9</w:t>
                            </w:r>
                          </w:p>
                        </w:tc>
                        <w:tc>
                          <w:tcPr>
                            <w:tcW w:w="459" w:type="dxa"/>
                          </w:tcPr>
                          <w:p w14:paraId="4AB1B1FE" w14:textId="77777777" w:rsidR="000E52B0" w:rsidRDefault="00F60D74">
                            <w:pPr>
                              <w:pStyle w:val="TableParagraph"/>
                              <w:spacing w:before="160"/>
                              <w:ind w:left="20"/>
                              <w:jc w:val="center"/>
                              <w:rPr>
                                <w:rFonts w:ascii="Trebuchet MS"/>
                                <w:sz w:val="18"/>
                              </w:rPr>
                            </w:pPr>
                            <w:r>
                              <w:rPr>
                                <w:rFonts w:ascii="Trebuchet MS"/>
                                <w:color w:val="404040"/>
                                <w:spacing w:val="-4"/>
                                <w:sz w:val="18"/>
                              </w:rPr>
                              <w:t>14,7</w:t>
                            </w:r>
                          </w:p>
                          <w:p w14:paraId="1E063CCF" w14:textId="77777777" w:rsidR="000E52B0" w:rsidRDefault="000E52B0">
                            <w:pPr>
                              <w:pStyle w:val="TableParagraph"/>
                              <w:spacing w:before="7" w:after="1"/>
                              <w:rPr>
                                <w:sz w:val="7"/>
                              </w:rPr>
                            </w:pPr>
                          </w:p>
                          <w:p w14:paraId="70579B60" w14:textId="77777777" w:rsidR="000E52B0" w:rsidRDefault="00F60D74">
                            <w:pPr>
                              <w:pStyle w:val="TableParagraph"/>
                              <w:spacing w:line="114" w:lineRule="exact"/>
                              <w:ind w:left="180"/>
                              <w:rPr>
                                <w:position w:val="-1"/>
                                <w:sz w:val="11"/>
                              </w:rPr>
                            </w:pPr>
                            <w:r>
                              <w:rPr>
                                <w:noProof/>
                                <w:position w:val="-1"/>
                                <w:sz w:val="11"/>
                              </w:rPr>
                              <w:drawing>
                                <wp:inline distT="0" distB="0" distL="0" distR="0" wp14:anchorId="7993B42A" wp14:editId="3273B1DC">
                                  <wp:extent cx="72866" cy="72866"/>
                                  <wp:effectExtent l="0" t="0" r="0" b="0"/>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42" cstate="print"/>
                                          <a:stretch>
                                            <a:fillRect/>
                                          </a:stretch>
                                        </pic:blipFill>
                                        <pic:spPr>
                                          <a:xfrm>
                                            <a:off x="0" y="0"/>
                                            <a:ext cx="72866" cy="72866"/>
                                          </a:xfrm>
                                          <a:prstGeom prst="rect">
                                            <a:avLst/>
                                          </a:prstGeom>
                                        </pic:spPr>
                                      </pic:pic>
                                    </a:graphicData>
                                  </a:graphic>
                                </wp:inline>
                              </w:drawing>
                            </w:r>
                          </w:p>
                        </w:tc>
                      </w:tr>
                      <w:tr w:rsidR="000E52B0" w14:paraId="2D26DC20" w14:textId="77777777">
                        <w:trPr>
                          <w:trHeight w:val="524"/>
                        </w:trPr>
                        <w:tc>
                          <w:tcPr>
                            <w:tcW w:w="387" w:type="dxa"/>
                          </w:tcPr>
                          <w:p w14:paraId="0AE9C6A8" w14:textId="77777777" w:rsidR="000E52B0" w:rsidRDefault="000E52B0">
                            <w:pPr>
                              <w:pStyle w:val="TableParagraph"/>
                              <w:spacing w:before="67"/>
                              <w:rPr>
                                <w:sz w:val="18"/>
                              </w:rPr>
                            </w:pPr>
                          </w:p>
                          <w:p w14:paraId="4576C85D" w14:textId="77777777" w:rsidR="000E52B0" w:rsidRDefault="00F60D74">
                            <w:pPr>
                              <w:pStyle w:val="TableParagraph"/>
                              <w:spacing w:before="1"/>
                              <w:ind w:right="42"/>
                              <w:jc w:val="center"/>
                              <w:rPr>
                                <w:rFonts w:ascii="Trebuchet MS"/>
                                <w:sz w:val="18"/>
                              </w:rPr>
                            </w:pPr>
                            <w:r>
                              <w:rPr>
                                <w:rFonts w:ascii="Trebuchet MS"/>
                                <w:color w:val="404040"/>
                                <w:spacing w:val="-5"/>
                                <w:sz w:val="18"/>
                              </w:rPr>
                              <w:t>6,2</w:t>
                            </w:r>
                          </w:p>
                        </w:tc>
                        <w:tc>
                          <w:tcPr>
                            <w:tcW w:w="503" w:type="dxa"/>
                          </w:tcPr>
                          <w:p w14:paraId="78F16D80" w14:textId="77777777" w:rsidR="000E52B0" w:rsidRDefault="000E52B0">
                            <w:pPr>
                              <w:pStyle w:val="TableParagraph"/>
                              <w:spacing w:before="76"/>
                              <w:rPr>
                                <w:sz w:val="18"/>
                              </w:rPr>
                            </w:pPr>
                          </w:p>
                          <w:p w14:paraId="6102BFE8" w14:textId="77777777" w:rsidR="000E52B0" w:rsidRDefault="00F60D74">
                            <w:pPr>
                              <w:pStyle w:val="TableParagraph"/>
                              <w:spacing w:before="1" w:line="208" w:lineRule="exact"/>
                              <w:ind w:left="23"/>
                              <w:jc w:val="center"/>
                              <w:rPr>
                                <w:rFonts w:ascii="Trebuchet MS"/>
                                <w:sz w:val="18"/>
                              </w:rPr>
                            </w:pPr>
                            <w:r>
                              <w:rPr>
                                <w:rFonts w:ascii="Trebuchet MS"/>
                                <w:color w:val="404040"/>
                                <w:spacing w:val="-5"/>
                                <w:sz w:val="18"/>
                              </w:rPr>
                              <w:t>6,1</w:t>
                            </w:r>
                          </w:p>
                        </w:tc>
                        <w:tc>
                          <w:tcPr>
                            <w:tcW w:w="479" w:type="dxa"/>
                          </w:tcPr>
                          <w:p w14:paraId="41892396" w14:textId="77777777" w:rsidR="000E52B0" w:rsidRDefault="000E52B0">
                            <w:pPr>
                              <w:pStyle w:val="TableParagraph"/>
                              <w:spacing w:before="32"/>
                              <w:rPr>
                                <w:sz w:val="18"/>
                              </w:rPr>
                            </w:pPr>
                          </w:p>
                          <w:p w14:paraId="45271872" w14:textId="77777777" w:rsidR="000E52B0" w:rsidRDefault="00F60D74">
                            <w:pPr>
                              <w:pStyle w:val="TableParagraph"/>
                              <w:jc w:val="center"/>
                              <w:rPr>
                                <w:rFonts w:ascii="Trebuchet MS"/>
                                <w:sz w:val="18"/>
                              </w:rPr>
                            </w:pPr>
                            <w:r>
                              <w:rPr>
                                <w:rFonts w:ascii="Trebuchet MS"/>
                                <w:color w:val="404040"/>
                                <w:spacing w:val="-5"/>
                                <w:sz w:val="18"/>
                              </w:rPr>
                              <w:t>6,6</w:t>
                            </w:r>
                          </w:p>
                        </w:tc>
                        <w:tc>
                          <w:tcPr>
                            <w:tcW w:w="479" w:type="dxa"/>
                          </w:tcPr>
                          <w:p w14:paraId="07E196EC" w14:textId="77777777" w:rsidR="000E52B0" w:rsidRDefault="000E52B0">
                            <w:pPr>
                              <w:pStyle w:val="TableParagraph"/>
                              <w:spacing w:before="85"/>
                              <w:rPr>
                                <w:sz w:val="18"/>
                              </w:rPr>
                            </w:pPr>
                          </w:p>
                          <w:p w14:paraId="7467967A" w14:textId="77777777" w:rsidR="000E52B0" w:rsidRDefault="00F60D74">
                            <w:pPr>
                              <w:pStyle w:val="TableParagraph"/>
                              <w:spacing w:line="200" w:lineRule="exact"/>
                              <w:jc w:val="center"/>
                              <w:rPr>
                                <w:rFonts w:ascii="Trebuchet MS"/>
                                <w:sz w:val="18"/>
                              </w:rPr>
                            </w:pPr>
                            <w:r>
                              <w:rPr>
                                <w:rFonts w:ascii="Trebuchet MS"/>
                                <w:color w:val="404040"/>
                                <w:spacing w:val="-10"/>
                                <w:sz w:val="18"/>
                              </w:rPr>
                              <w:t>6</w:t>
                            </w:r>
                          </w:p>
                        </w:tc>
                        <w:tc>
                          <w:tcPr>
                            <w:tcW w:w="479" w:type="dxa"/>
                          </w:tcPr>
                          <w:p w14:paraId="4504AFBF" w14:textId="77777777" w:rsidR="000E52B0" w:rsidRDefault="000E52B0">
                            <w:pPr>
                              <w:pStyle w:val="TableParagraph"/>
                              <w:spacing w:before="50"/>
                              <w:rPr>
                                <w:sz w:val="18"/>
                              </w:rPr>
                            </w:pPr>
                          </w:p>
                          <w:p w14:paraId="5FD6FBBD" w14:textId="77777777" w:rsidR="000E52B0" w:rsidRDefault="00F60D74">
                            <w:pPr>
                              <w:pStyle w:val="TableParagraph"/>
                              <w:jc w:val="center"/>
                              <w:rPr>
                                <w:rFonts w:ascii="Trebuchet MS"/>
                                <w:sz w:val="18"/>
                              </w:rPr>
                            </w:pPr>
                            <w:r>
                              <w:rPr>
                                <w:rFonts w:ascii="Trebuchet MS"/>
                                <w:color w:val="404040"/>
                                <w:spacing w:val="-5"/>
                                <w:sz w:val="18"/>
                              </w:rPr>
                              <w:t>6,4</w:t>
                            </w:r>
                          </w:p>
                        </w:tc>
                        <w:tc>
                          <w:tcPr>
                            <w:tcW w:w="459" w:type="dxa"/>
                          </w:tcPr>
                          <w:p w14:paraId="55847B31" w14:textId="77777777" w:rsidR="000E52B0" w:rsidRDefault="000E52B0">
                            <w:pPr>
                              <w:pStyle w:val="TableParagraph"/>
                              <w:spacing w:before="59"/>
                              <w:rPr>
                                <w:sz w:val="18"/>
                              </w:rPr>
                            </w:pPr>
                          </w:p>
                          <w:p w14:paraId="5676F877" w14:textId="77777777" w:rsidR="000E52B0" w:rsidRDefault="00F60D74">
                            <w:pPr>
                              <w:pStyle w:val="TableParagraph"/>
                              <w:ind w:left="20" w:right="1"/>
                              <w:jc w:val="center"/>
                              <w:rPr>
                                <w:rFonts w:ascii="Trebuchet MS"/>
                                <w:sz w:val="18"/>
                              </w:rPr>
                            </w:pPr>
                            <w:r>
                              <w:rPr>
                                <w:rFonts w:ascii="Trebuchet MS"/>
                                <w:color w:val="404040"/>
                                <w:spacing w:val="-5"/>
                                <w:sz w:val="18"/>
                              </w:rPr>
                              <w:t>6,3</w:t>
                            </w:r>
                          </w:p>
                        </w:tc>
                      </w:tr>
                    </w:tbl>
                    <w:p w14:paraId="46D78ADF" w14:textId="77777777" w:rsidR="000E52B0" w:rsidRDefault="000E52B0">
                      <w:pPr>
                        <w:pStyle w:val="Textoindependiente"/>
                        <w:ind w:left="0"/>
                      </w:pPr>
                    </w:p>
                  </w:txbxContent>
                </v:textbox>
                <w10:wrap anchorx="page"/>
              </v:shape>
            </w:pict>
          </mc:Fallback>
        </mc:AlternateContent>
      </w:r>
      <w:r>
        <w:rPr>
          <w:rFonts w:ascii="Trebuchet MS"/>
          <w:color w:val="404040"/>
          <w:position w:val="-8"/>
          <w:sz w:val="18"/>
        </w:rPr>
        <w:t>15,5</w:t>
      </w:r>
      <w:r>
        <w:rPr>
          <w:rFonts w:ascii="Trebuchet MS"/>
          <w:color w:val="404040"/>
          <w:spacing w:val="71"/>
          <w:position w:val="-8"/>
          <w:sz w:val="18"/>
        </w:rPr>
        <w:t xml:space="preserve"> </w:t>
      </w:r>
      <w:r>
        <w:rPr>
          <w:rFonts w:ascii="Trebuchet MS"/>
          <w:color w:val="404040"/>
          <w:spacing w:val="-4"/>
          <w:sz w:val="18"/>
        </w:rPr>
        <w:t>16,5</w:t>
      </w:r>
    </w:p>
    <w:p w14:paraId="5E42638B" w14:textId="77777777" w:rsidR="000E52B0" w:rsidRDefault="000E52B0">
      <w:pPr>
        <w:pStyle w:val="Textoindependiente"/>
        <w:spacing w:before="5"/>
        <w:ind w:left="0"/>
        <w:rPr>
          <w:rFonts w:ascii="Trebuchet MS"/>
          <w:sz w:val="2"/>
        </w:rPr>
      </w:pPr>
    </w:p>
    <w:p w14:paraId="33F1A722" w14:textId="77777777" w:rsidR="000E52B0" w:rsidRDefault="00F60D74">
      <w:pPr>
        <w:tabs>
          <w:tab w:val="left" w:pos="1600"/>
          <w:tab w:val="left" w:pos="2080"/>
          <w:tab w:val="left" w:pos="3038"/>
        </w:tabs>
        <w:spacing w:line="225" w:lineRule="exact"/>
        <w:ind w:left="1120"/>
        <w:rPr>
          <w:rFonts w:ascii="Trebuchet MS"/>
          <w:position w:val="-4"/>
          <w:sz w:val="11"/>
        </w:rPr>
      </w:pPr>
      <w:r>
        <w:rPr>
          <w:rFonts w:ascii="Trebuchet MS"/>
          <w:noProof/>
          <w:position w:val="7"/>
          <w:sz w:val="11"/>
        </w:rPr>
        <w:drawing>
          <wp:inline distT="0" distB="0" distL="0" distR="0" wp14:anchorId="6079B2FF" wp14:editId="37D4D6A6">
            <wp:extent cx="72866" cy="72866"/>
            <wp:effectExtent l="0" t="0" r="0" b="0"/>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143" cstate="print"/>
                    <a:stretch>
                      <a:fillRect/>
                    </a:stretch>
                  </pic:blipFill>
                  <pic:spPr>
                    <a:xfrm>
                      <a:off x="0" y="0"/>
                      <a:ext cx="72866" cy="72866"/>
                    </a:xfrm>
                    <a:prstGeom prst="rect">
                      <a:avLst/>
                    </a:prstGeom>
                  </pic:spPr>
                </pic:pic>
              </a:graphicData>
            </a:graphic>
          </wp:inline>
        </w:drawing>
      </w:r>
      <w:r>
        <w:rPr>
          <w:rFonts w:ascii="Trebuchet MS"/>
          <w:position w:val="7"/>
          <w:sz w:val="11"/>
        </w:rPr>
        <w:tab/>
      </w:r>
      <w:r>
        <w:rPr>
          <w:rFonts w:ascii="Trebuchet MS"/>
          <w:noProof/>
          <w:sz w:val="11"/>
        </w:rPr>
        <w:drawing>
          <wp:inline distT="0" distB="0" distL="0" distR="0" wp14:anchorId="7B3B7B5D" wp14:editId="33F88F8E">
            <wp:extent cx="73152" cy="73151"/>
            <wp:effectExtent l="0" t="0" r="0" b="0"/>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144" cstate="print"/>
                    <a:stretch>
                      <a:fillRect/>
                    </a:stretch>
                  </pic:blipFill>
                  <pic:spPr>
                    <a:xfrm>
                      <a:off x="0" y="0"/>
                      <a:ext cx="73152" cy="73151"/>
                    </a:xfrm>
                    <a:prstGeom prst="rect">
                      <a:avLst/>
                    </a:prstGeom>
                  </pic:spPr>
                </pic:pic>
              </a:graphicData>
            </a:graphic>
          </wp:inline>
        </w:drawing>
      </w:r>
      <w:r>
        <w:rPr>
          <w:rFonts w:ascii="Trebuchet MS"/>
          <w:sz w:val="11"/>
        </w:rPr>
        <w:tab/>
      </w:r>
      <w:r>
        <w:rPr>
          <w:rFonts w:ascii="Trebuchet MS"/>
          <w:noProof/>
          <w:position w:val="-3"/>
          <w:sz w:val="9"/>
        </w:rPr>
        <w:drawing>
          <wp:inline distT="0" distB="0" distL="0" distR="0" wp14:anchorId="61A7FC4C" wp14:editId="0486D4EB">
            <wp:extent cx="72015" cy="62864"/>
            <wp:effectExtent l="0" t="0" r="0" b="0"/>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141" cstate="print"/>
                    <a:stretch>
                      <a:fillRect/>
                    </a:stretch>
                  </pic:blipFill>
                  <pic:spPr>
                    <a:xfrm>
                      <a:off x="0" y="0"/>
                      <a:ext cx="72015" cy="62864"/>
                    </a:xfrm>
                    <a:prstGeom prst="rect">
                      <a:avLst/>
                    </a:prstGeom>
                  </pic:spPr>
                </pic:pic>
              </a:graphicData>
            </a:graphic>
          </wp:inline>
        </w:drawing>
      </w:r>
      <w:r>
        <w:rPr>
          <w:rFonts w:ascii="Trebuchet MS"/>
          <w:position w:val="-3"/>
          <w:sz w:val="9"/>
        </w:rPr>
        <w:tab/>
      </w:r>
      <w:r>
        <w:rPr>
          <w:rFonts w:ascii="Trebuchet MS"/>
          <w:noProof/>
          <w:position w:val="-4"/>
          <w:sz w:val="11"/>
        </w:rPr>
        <w:drawing>
          <wp:inline distT="0" distB="0" distL="0" distR="0" wp14:anchorId="43A2DEAA" wp14:editId="5A44E870">
            <wp:extent cx="73342" cy="70103"/>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144" cstate="print"/>
                    <a:stretch>
                      <a:fillRect/>
                    </a:stretch>
                  </pic:blipFill>
                  <pic:spPr>
                    <a:xfrm>
                      <a:off x="0" y="0"/>
                      <a:ext cx="73342" cy="70103"/>
                    </a:xfrm>
                    <a:prstGeom prst="rect">
                      <a:avLst/>
                    </a:prstGeom>
                  </pic:spPr>
                </pic:pic>
              </a:graphicData>
            </a:graphic>
          </wp:inline>
        </w:drawing>
      </w:r>
    </w:p>
    <w:p w14:paraId="58A5A2CF" w14:textId="77777777" w:rsidR="000E52B0" w:rsidRDefault="00F60D74">
      <w:pPr>
        <w:spacing w:before="100"/>
        <w:ind w:left="100"/>
        <w:rPr>
          <w:rFonts w:ascii="Trebuchet MS"/>
          <w:sz w:val="18"/>
        </w:rPr>
      </w:pPr>
      <w:r>
        <w:br w:type="column"/>
      </w:r>
      <w:r>
        <w:rPr>
          <w:rFonts w:ascii="Trebuchet MS"/>
          <w:color w:val="404040"/>
          <w:spacing w:val="-6"/>
          <w:sz w:val="18"/>
        </w:rPr>
        <w:t>21,3</w:t>
      </w:r>
    </w:p>
    <w:p w14:paraId="6563C8C5" w14:textId="77777777" w:rsidR="000E52B0" w:rsidRDefault="000E52B0">
      <w:pPr>
        <w:pStyle w:val="Textoindependiente"/>
        <w:ind w:left="0"/>
        <w:rPr>
          <w:rFonts w:ascii="Trebuchet MS"/>
          <w:sz w:val="18"/>
        </w:rPr>
      </w:pPr>
    </w:p>
    <w:p w14:paraId="401A2B26" w14:textId="77777777" w:rsidR="000E52B0" w:rsidRDefault="000E52B0">
      <w:pPr>
        <w:pStyle w:val="Textoindependiente"/>
        <w:ind w:left="0"/>
        <w:rPr>
          <w:rFonts w:ascii="Trebuchet MS"/>
          <w:sz w:val="18"/>
        </w:rPr>
      </w:pPr>
    </w:p>
    <w:p w14:paraId="46F614C4" w14:textId="77777777" w:rsidR="000E52B0" w:rsidRDefault="000E52B0">
      <w:pPr>
        <w:pStyle w:val="Textoindependiente"/>
        <w:spacing w:before="46"/>
        <w:ind w:left="0"/>
        <w:rPr>
          <w:rFonts w:ascii="Trebuchet MS"/>
          <w:sz w:val="18"/>
        </w:rPr>
      </w:pPr>
    </w:p>
    <w:p w14:paraId="69877360" w14:textId="77777777" w:rsidR="000E52B0" w:rsidRDefault="00F60D74">
      <w:pPr>
        <w:spacing w:before="1" w:line="99" w:lineRule="exact"/>
        <w:ind w:left="100"/>
        <w:rPr>
          <w:rFonts w:ascii="Trebuchet MS"/>
          <w:sz w:val="18"/>
        </w:rPr>
      </w:pPr>
      <w:r>
        <w:rPr>
          <w:rFonts w:ascii="Trebuchet MS"/>
          <w:noProof/>
          <w:sz w:val="18"/>
        </w:rPr>
        <mc:AlternateContent>
          <mc:Choice Requires="wpg">
            <w:drawing>
              <wp:anchor distT="0" distB="0" distL="0" distR="0" simplePos="0" relativeHeight="482281472" behindDoc="1" locked="0" layoutInCell="1" allowOverlap="1" wp14:anchorId="2095F1DF" wp14:editId="336CC20B">
                <wp:simplePos x="0" y="0"/>
                <wp:positionH relativeFrom="page">
                  <wp:posOffset>1168717</wp:posOffset>
                </wp:positionH>
                <wp:positionV relativeFrom="paragraph">
                  <wp:posOffset>191200</wp:posOffset>
                </wp:positionV>
                <wp:extent cx="3418840" cy="380365"/>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8840" cy="380365"/>
                          <a:chOff x="0" y="0"/>
                          <a:chExt cx="3418840" cy="380365"/>
                        </a:xfrm>
                      </wpg:grpSpPr>
                      <wps:wsp>
                        <wps:cNvPr id="369" name="Graphic 369"/>
                        <wps:cNvSpPr/>
                        <wps:spPr>
                          <a:xfrm>
                            <a:off x="37439" y="37655"/>
                            <a:ext cx="3345179" cy="306070"/>
                          </a:xfrm>
                          <a:custGeom>
                            <a:avLst/>
                            <a:gdLst/>
                            <a:ahLst/>
                            <a:cxnLst/>
                            <a:rect l="l" t="t" r="r" b="b"/>
                            <a:pathLst>
                              <a:path w="3345179" h="306070">
                                <a:moveTo>
                                  <a:pt x="0" y="293877"/>
                                </a:moveTo>
                                <a:lnTo>
                                  <a:pt x="304126" y="299974"/>
                                </a:lnTo>
                                <a:lnTo>
                                  <a:pt x="608926" y="271017"/>
                                </a:lnTo>
                                <a:lnTo>
                                  <a:pt x="912202" y="305562"/>
                                </a:lnTo>
                                <a:lnTo>
                                  <a:pt x="1217002" y="283209"/>
                                </a:lnTo>
                                <a:lnTo>
                                  <a:pt x="1520278" y="287781"/>
                                </a:lnTo>
                                <a:lnTo>
                                  <a:pt x="1825078" y="266445"/>
                                </a:lnTo>
                                <a:lnTo>
                                  <a:pt x="2128354" y="214629"/>
                                </a:lnTo>
                                <a:lnTo>
                                  <a:pt x="2433154" y="0"/>
                                </a:lnTo>
                                <a:lnTo>
                                  <a:pt x="2736430" y="147574"/>
                                </a:lnTo>
                                <a:lnTo>
                                  <a:pt x="3041230" y="197865"/>
                                </a:lnTo>
                                <a:lnTo>
                                  <a:pt x="3345141" y="214629"/>
                                </a:lnTo>
                              </a:path>
                            </a:pathLst>
                          </a:custGeom>
                          <a:ln w="28574">
                            <a:solidFill>
                              <a:srgbClr val="FFC000"/>
                            </a:solidFill>
                            <a:prstDash val="solid"/>
                          </a:ln>
                        </wps:spPr>
                        <wps:bodyPr wrap="square" lIns="0" tIns="0" rIns="0" bIns="0" rtlCol="0">
                          <a:prstTxWarp prst="textNoShape">
                            <a:avLst/>
                          </a:prstTxWarp>
                          <a:noAutofit/>
                        </wps:bodyPr>
                      </wps:wsp>
                      <pic:pic xmlns:pic="http://schemas.openxmlformats.org/drawingml/2006/picture">
                        <pic:nvPicPr>
                          <pic:cNvPr id="370" name="Image 370"/>
                          <pic:cNvPicPr/>
                        </pic:nvPicPr>
                        <pic:blipFill>
                          <a:blip r:embed="rId145" cstate="print"/>
                          <a:stretch>
                            <a:fillRect/>
                          </a:stretch>
                        </pic:blipFill>
                        <pic:spPr>
                          <a:xfrm>
                            <a:off x="0" y="294131"/>
                            <a:ext cx="73532" cy="73532"/>
                          </a:xfrm>
                          <a:prstGeom prst="rect">
                            <a:avLst/>
                          </a:prstGeom>
                        </pic:spPr>
                      </pic:pic>
                      <pic:pic xmlns:pic="http://schemas.openxmlformats.org/drawingml/2006/picture">
                        <pic:nvPicPr>
                          <pic:cNvPr id="371" name="Image 371"/>
                          <pic:cNvPicPr/>
                        </pic:nvPicPr>
                        <pic:blipFill>
                          <a:blip r:embed="rId146" cstate="print"/>
                          <a:stretch>
                            <a:fillRect/>
                          </a:stretch>
                        </pic:blipFill>
                        <pic:spPr>
                          <a:xfrm>
                            <a:off x="304800" y="300227"/>
                            <a:ext cx="73532" cy="73533"/>
                          </a:xfrm>
                          <a:prstGeom prst="rect">
                            <a:avLst/>
                          </a:prstGeom>
                        </pic:spPr>
                      </pic:pic>
                      <pic:pic xmlns:pic="http://schemas.openxmlformats.org/drawingml/2006/picture">
                        <pic:nvPicPr>
                          <pic:cNvPr id="372" name="Image 372"/>
                          <pic:cNvPicPr/>
                        </pic:nvPicPr>
                        <pic:blipFill>
                          <a:blip r:embed="rId146" cstate="print"/>
                          <a:stretch>
                            <a:fillRect/>
                          </a:stretch>
                        </pic:blipFill>
                        <pic:spPr>
                          <a:xfrm>
                            <a:off x="609600" y="271272"/>
                            <a:ext cx="73532" cy="73533"/>
                          </a:xfrm>
                          <a:prstGeom prst="rect">
                            <a:avLst/>
                          </a:prstGeom>
                        </pic:spPr>
                      </pic:pic>
                      <pic:pic xmlns:pic="http://schemas.openxmlformats.org/drawingml/2006/picture">
                        <pic:nvPicPr>
                          <pic:cNvPr id="373" name="Image 373"/>
                          <pic:cNvPicPr/>
                        </pic:nvPicPr>
                        <pic:blipFill>
                          <a:blip r:embed="rId147" cstate="print"/>
                          <a:stretch>
                            <a:fillRect/>
                          </a:stretch>
                        </pic:blipFill>
                        <pic:spPr>
                          <a:xfrm>
                            <a:off x="912875" y="306324"/>
                            <a:ext cx="73532" cy="73533"/>
                          </a:xfrm>
                          <a:prstGeom prst="rect">
                            <a:avLst/>
                          </a:prstGeom>
                        </pic:spPr>
                      </pic:pic>
                      <pic:pic xmlns:pic="http://schemas.openxmlformats.org/drawingml/2006/picture">
                        <pic:nvPicPr>
                          <pic:cNvPr id="374" name="Image 374"/>
                          <pic:cNvPicPr/>
                        </pic:nvPicPr>
                        <pic:blipFill>
                          <a:blip r:embed="rId147" cstate="print"/>
                          <a:stretch>
                            <a:fillRect/>
                          </a:stretch>
                        </pic:blipFill>
                        <pic:spPr>
                          <a:xfrm>
                            <a:off x="1217675" y="283463"/>
                            <a:ext cx="73532" cy="73533"/>
                          </a:xfrm>
                          <a:prstGeom prst="rect">
                            <a:avLst/>
                          </a:prstGeom>
                        </pic:spPr>
                      </pic:pic>
                      <pic:pic xmlns:pic="http://schemas.openxmlformats.org/drawingml/2006/picture">
                        <pic:nvPicPr>
                          <pic:cNvPr id="375" name="Image 375"/>
                          <pic:cNvPicPr/>
                        </pic:nvPicPr>
                        <pic:blipFill>
                          <a:blip r:embed="rId148" cstate="print"/>
                          <a:stretch>
                            <a:fillRect/>
                          </a:stretch>
                        </pic:blipFill>
                        <pic:spPr>
                          <a:xfrm>
                            <a:off x="1520952" y="288036"/>
                            <a:ext cx="73532" cy="73533"/>
                          </a:xfrm>
                          <a:prstGeom prst="rect">
                            <a:avLst/>
                          </a:prstGeom>
                        </pic:spPr>
                      </pic:pic>
                      <pic:pic xmlns:pic="http://schemas.openxmlformats.org/drawingml/2006/picture">
                        <pic:nvPicPr>
                          <pic:cNvPr id="376" name="Image 376"/>
                          <pic:cNvPicPr/>
                        </pic:nvPicPr>
                        <pic:blipFill>
                          <a:blip r:embed="rId149" cstate="print"/>
                          <a:stretch>
                            <a:fillRect/>
                          </a:stretch>
                        </pic:blipFill>
                        <pic:spPr>
                          <a:xfrm>
                            <a:off x="1825751" y="266700"/>
                            <a:ext cx="73532" cy="73533"/>
                          </a:xfrm>
                          <a:prstGeom prst="rect">
                            <a:avLst/>
                          </a:prstGeom>
                        </pic:spPr>
                      </pic:pic>
                      <pic:pic xmlns:pic="http://schemas.openxmlformats.org/drawingml/2006/picture">
                        <pic:nvPicPr>
                          <pic:cNvPr id="377" name="Image 377"/>
                          <pic:cNvPicPr/>
                        </pic:nvPicPr>
                        <pic:blipFill>
                          <a:blip r:embed="rId146" cstate="print"/>
                          <a:stretch>
                            <a:fillRect/>
                          </a:stretch>
                        </pic:blipFill>
                        <pic:spPr>
                          <a:xfrm>
                            <a:off x="2129027" y="214884"/>
                            <a:ext cx="73532" cy="73533"/>
                          </a:xfrm>
                          <a:prstGeom prst="rect">
                            <a:avLst/>
                          </a:prstGeom>
                        </pic:spPr>
                      </pic:pic>
                      <pic:pic xmlns:pic="http://schemas.openxmlformats.org/drawingml/2006/picture">
                        <pic:nvPicPr>
                          <pic:cNvPr id="378" name="Image 378"/>
                          <pic:cNvPicPr/>
                        </pic:nvPicPr>
                        <pic:blipFill>
                          <a:blip r:embed="rId146" cstate="print"/>
                          <a:stretch>
                            <a:fillRect/>
                          </a:stretch>
                        </pic:blipFill>
                        <pic:spPr>
                          <a:xfrm>
                            <a:off x="2433827" y="0"/>
                            <a:ext cx="73532" cy="73533"/>
                          </a:xfrm>
                          <a:prstGeom prst="rect">
                            <a:avLst/>
                          </a:prstGeom>
                        </pic:spPr>
                      </pic:pic>
                      <pic:pic xmlns:pic="http://schemas.openxmlformats.org/drawingml/2006/picture">
                        <pic:nvPicPr>
                          <pic:cNvPr id="379" name="Image 379"/>
                          <pic:cNvPicPr/>
                        </pic:nvPicPr>
                        <pic:blipFill>
                          <a:blip r:embed="rId146" cstate="print"/>
                          <a:stretch>
                            <a:fillRect/>
                          </a:stretch>
                        </pic:blipFill>
                        <pic:spPr>
                          <a:xfrm>
                            <a:off x="2737104" y="147828"/>
                            <a:ext cx="73532" cy="73533"/>
                          </a:xfrm>
                          <a:prstGeom prst="rect">
                            <a:avLst/>
                          </a:prstGeom>
                        </pic:spPr>
                      </pic:pic>
                      <pic:pic xmlns:pic="http://schemas.openxmlformats.org/drawingml/2006/picture">
                        <pic:nvPicPr>
                          <pic:cNvPr id="380" name="Image 380"/>
                          <pic:cNvPicPr/>
                        </pic:nvPicPr>
                        <pic:blipFill>
                          <a:blip r:embed="rId147" cstate="print"/>
                          <a:stretch>
                            <a:fillRect/>
                          </a:stretch>
                        </pic:blipFill>
                        <pic:spPr>
                          <a:xfrm>
                            <a:off x="3041904" y="198120"/>
                            <a:ext cx="73532" cy="73532"/>
                          </a:xfrm>
                          <a:prstGeom prst="rect">
                            <a:avLst/>
                          </a:prstGeom>
                        </pic:spPr>
                      </pic:pic>
                      <pic:pic xmlns:pic="http://schemas.openxmlformats.org/drawingml/2006/picture">
                        <pic:nvPicPr>
                          <pic:cNvPr id="381" name="Image 381"/>
                          <pic:cNvPicPr/>
                        </pic:nvPicPr>
                        <pic:blipFill>
                          <a:blip r:embed="rId149" cstate="print"/>
                          <a:stretch>
                            <a:fillRect/>
                          </a:stretch>
                        </pic:blipFill>
                        <pic:spPr>
                          <a:xfrm>
                            <a:off x="3345179" y="214884"/>
                            <a:ext cx="73532" cy="73533"/>
                          </a:xfrm>
                          <a:prstGeom prst="rect">
                            <a:avLst/>
                          </a:prstGeom>
                        </pic:spPr>
                      </pic:pic>
                    </wpg:wgp>
                  </a:graphicData>
                </a:graphic>
              </wp:anchor>
            </w:drawing>
          </mc:Choice>
          <mc:Fallback>
            <w:pict>
              <v:group w14:anchorId="4E9C7A97" id="Group 368" o:spid="_x0000_s1026" style="position:absolute;margin-left:92pt;margin-top:15.05pt;width:269.2pt;height:29.95pt;z-index:-21035008;mso-wrap-distance-left:0;mso-wrap-distance-right:0;mso-position-horizontal-relative:page" coordsize="34188,3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">
                <v:shape id="Graphic 369" o:spid="_x0000_s1027" style="position:absolute;left:374;top:376;width:33452;height:3061;visibility:visible;mso-wrap-style:square;v-text-anchor:top" coordsize="3345179,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" path="m,293877r304126,6097l608926,271017r303276,34545l1217002,283209r303276,4572l1825078,266445r303276,-51816l2433154,r303276,147574l3041230,197865r303911,16764e" filled="f" strokecolor="#ffc000" strokeweight=".79372mm">
                  <v:path arrowok="t"/>
                </v:shape>
                <v:shape id="Image 370" o:spid="_x0000_s1028" type="#_x0000_t75" style="position:absolute;top:294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">
                  <v:imagedata r:id="rId150" o:title=""/>
                </v:shape>
                <v:shape id="Image 371" o:spid="_x0000_s1029" type="#_x0000_t75" style="position:absolute;left:3048;top:3002;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">
                  <v:imagedata r:id="rId151" o:title=""/>
                </v:shape>
                <v:shape id="Image 372" o:spid="_x0000_s1030" type="#_x0000_t75" style="position:absolute;left:6096;top:2712;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">
                  <v:imagedata r:id="rId151" o:title=""/>
                </v:shape>
                <v:shape id="Image 373" o:spid="_x0000_s1031" type="#_x0000_t75" style="position:absolute;left:9128;top:3063;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">
                  <v:imagedata r:id="rId152" o:title=""/>
                </v:shape>
                <v:shape id="Image 374" o:spid="_x0000_s1032" type="#_x0000_t75" style="position:absolute;left:12176;top:2834;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">
                  <v:imagedata r:id="rId152" o:title=""/>
                </v:shape>
                <v:shape id="Image 375" o:spid="_x0000_s1033" type="#_x0000_t75" style="position:absolute;left:15209;top:2880;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">
                  <v:imagedata r:id="rId153" o:title=""/>
                </v:shape>
                <v:shape id="Image 376" o:spid="_x0000_s1034" type="#_x0000_t75" style="position:absolute;left:18257;top:2667;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">
                  <v:imagedata r:id="rId154" o:title=""/>
                </v:shape>
                <v:shape id="Image 377" o:spid="_x0000_s1035" type="#_x0000_t75" style="position:absolute;left:21290;top:2148;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">
                  <v:imagedata r:id="rId151" o:title=""/>
                </v:shape>
                <v:shape id="Image 378" o:spid="_x0000_s1036" type="#_x0000_t75" style="position:absolute;left:24338;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">
                  <v:imagedata r:id="rId151" o:title=""/>
                </v:shape>
                <v:shape id="Image 379" o:spid="_x0000_s1037" type="#_x0000_t75" style="position:absolute;left:27371;top:1478;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">
                  <v:imagedata r:id="rId151" o:title=""/>
                </v:shape>
                <v:shape id="Image 380" o:spid="_x0000_s1038" type="#_x0000_t75" style="position:absolute;left:30419;top:198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">
                  <v:imagedata r:id="rId152" o:title=""/>
                </v:shape>
                <v:shape id="Image 381" o:spid="_x0000_s1039" type="#_x0000_t75" style="position:absolute;left:33451;top:2148;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">
                  <v:imagedata r:id="rId154" o:title=""/>
                </v:shape>
                <w10:wrap anchorx="page"/>
              </v:group>
            </w:pict>
          </mc:Fallback>
        </mc:AlternateContent>
      </w:r>
      <w:r>
        <w:rPr>
          <w:rFonts w:ascii="Trebuchet MS"/>
          <w:noProof/>
          <w:sz w:val="18"/>
        </w:rPr>
        <mc:AlternateContent>
          <mc:Choice Requires="wpg">
            <w:drawing>
              <wp:anchor distT="0" distB="0" distL="0" distR="0" simplePos="0" relativeHeight="482281984" behindDoc="1" locked="0" layoutInCell="1" allowOverlap="1" wp14:anchorId="6E5CE527" wp14:editId="7CCFFC1B">
                <wp:simplePos x="0" y="0"/>
                <wp:positionH relativeFrom="page">
                  <wp:posOffset>1191869</wp:posOffset>
                </wp:positionH>
                <wp:positionV relativeFrom="paragraph">
                  <wp:posOffset>-368107</wp:posOffset>
                </wp:positionV>
                <wp:extent cx="3395979" cy="451484"/>
                <wp:effectExtent l="0" t="0" r="0" b="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5979" cy="451484"/>
                          <a:chOff x="0" y="0"/>
                          <a:chExt cx="3395979" cy="451484"/>
                        </a:xfrm>
                      </wpg:grpSpPr>
                      <wps:wsp>
                        <wps:cNvPr id="383" name="Graphic 383"/>
                        <wps:cNvSpPr/>
                        <wps:spPr>
                          <a:xfrm>
                            <a:off x="14287" y="36766"/>
                            <a:ext cx="3345179" cy="379095"/>
                          </a:xfrm>
                          <a:custGeom>
                            <a:avLst/>
                            <a:gdLst/>
                            <a:ahLst/>
                            <a:cxnLst/>
                            <a:rect l="l" t="t" r="r" b="b"/>
                            <a:pathLst>
                              <a:path w="3345179" h="379095">
                                <a:moveTo>
                                  <a:pt x="0" y="288671"/>
                                </a:moveTo>
                                <a:lnTo>
                                  <a:pt x="304126" y="338963"/>
                                </a:lnTo>
                                <a:lnTo>
                                  <a:pt x="608926" y="367918"/>
                                </a:lnTo>
                                <a:lnTo>
                                  <a:pt x="912202" y="374014"/>
                                </a:lnTo>
                                <a:lnTo>
                                  <a:pt x="1217002" y="361823"/>
                                </a:lnTo>
                                <a:lnTo>
                                  <a:pt x="1520278" y="374014"/>
                                </a:lnTo>
                                <a:lnTo>
                                  <a:pt x="1825078" y="328294"/>
                                </a:lnTo>
                                <a:lnTo>
                                  <a:pt x="2128354" y="271906"/>
                                </a:lnTo>
                                <a:lnTo>
                                  <a:pt x="2433154" y="0"/>
                                </a:lnTo>
                                <a:lnTo>
                                  <a:pt x="2736430" y="153035"/>
                                </a:lnTo>
                                <a:lnTo>
                                  <a:pt x="3041230" y="299338"/>
                                </a:lnTo>
                                <a:lnTo>
                                  <a:pt x="3345141" y="379094"/>
                                </a:lnTo>
                              </a:path>
                            </a:pathLst>
                          </a:custGeom>
                          <a:ln w="28575">
                            <a:solidFill>
                              <a:srgbClr val="36C7C5"/>
                            </a:solidFill>
                            <a:prstDash val="solid"/>
                          </a:ln>
                        </wps:spPr>
                        <wps:bodyPr wrap="square" lIns="0" tIns="0" rIns="0" bIns="0" rtlCol="0">
                          <a:prstTxWarp prst="textNoShape">
                            <a:avLst/>
                          </a:prstTxWarp>
                          <a:noAutofit/>
                        </wps:bodyPr>
                      </wps:wsp>
                      <pic:pic xmlns:pic="http://schemas.openxmlformats.org/drawingml/2006/picture">
                        <pic:nvPicPr>
                          <pic:cNvPr id="384" name="Image 384"/>
                          <pic:cNvPicPr/>
                        </pic:nvPicPr>
                        <pic:blipFill>
                          <a:blip r:embed="rId155" cstate="print"/>
                          <a:stretch>
                            <a:fillRect/>
                          </a:stretch>
                        </pic:blipFill>
                        <pic:spPr>
                          <a:xfrm>
                            <a:off x="1802599" y="327659"/>
                            <a:ext cx="73532" cy="73533"/>
                          </a:xfrm>
                          <a:prstGeom prst="rect">
                            <a:avLst/>
                          </a:prstGeom>
                        </pic:spPr>
                      </pic:pic>
                      <pic:pic xmlns:pic="http://schemas.openxmlformats.org/drawingml/2006/picture">
                        <pic:nvPicPr>
                          <pic:cNvPr id="385" name="Image 385"/>
                          <pic:cNvPicPr/>
                        </pic:nvPicPr>
                        <pic:blipFill>
                          <a:blip r:embed="rId144" cstate="print"/>
                          <a:stretch>
                            <a:fillRect/>
                          </a:stretch>
                        </pic:blipFill>
                        <pic:spPr>
                          <a:xfrm>
                            <a:off x="2105875" y="271272"/>
                            <a:ext cx="73532" cy="73533"/>
                          </a:xfrm>
                          <a:prstGeom prst="rect">
                            <a:avLst/>
                          </a:prstGeom>
                        </pic:spPr>
                      </pic:pic>
                      <pic:pic xmlns:pic="http://schemas.openxmlformats.org/drawingml/2006/picture">
                        <pic:nvPicPr>
                          <pic:cNvPr id="386" name="Image 386"/>
                          <pic:cNvPicPr/>
                        </pic:nvPicPr>
                        <pic:blipFill>
                          <a:blip r:embed="rId144" cstate="print"/>
                          <a:stretch>
                            <a:fillRect/>
                          </a:stretch>
                        </pic:blipFill>
                        <pic:spPr>
                          <a:xfrm>
                            <a:off x="2410675" y="0"/>
                            <a:ext cx="73532" cy="73532"/>
                          </a:xfrm>
                          <a:prstGeom prst="rect">
                            <a:avLst/>
                          </a:prstGeom>
                        </pic:spPr>
                      </pic:pic>
                      <pic:pic xmlns:pic="http://schemas.openxmlformats.org/drawingml/2006/picture">
                        <pic:nvPicPr>
                          <pic:cNvPr id="387" name="Image 387"/>
                          <pic:cNvPicPr/>
                        </pic:nvPicPr>
                        <pic:blipFill>
                          <a:blip r:embed="rId144" cstate="print"/>
                          <a:stretch>
                            <a:fillRect/>
                          </a:stretch>
                        </pic:blipFill>
                        <pic:spPr>
                          <a:xfrm>
                            <a:off x="2713951" y="152400"/>
                            <a:ext cx="73532" cy="73532"/>
                          </a:xfrm>
                          <a:prstGeom prst="rect">
                            <a:avLst/>
                          </a:prstGeom>
                        </pic:spPr>
                      </pic:pic>
                      <pic:pic xmlns:pic="http://schemas.openxmlformats.org/drawingml/2006/picture">
                        <pic:nvPicPr>
                          <pic:cNvPr id="388" name="Image 388"/>
                          <pic:cNvPicPr/>
                        </pic:nvPicPr>
                        <pic:blipFill>
                          <a:blip r:embed="rId144" cstate="print"/>
                          <a:stretch>
                            <a:fillRect/>
                          </a:stretch>
                        </pic:blipFill>
                        <pic:spPr>
                          <a:xfrm>
                            <a:off x="3018751" y="298704"/>
                            <a:ext cx="73532" cy="73533"/>
                          </a:xfrm>
                          <a:prstGeom prst="rect">
                            <a:avLst/>
                          </a:prstGeom>
                        </pic:spPr>
                      </pic:pic>
                      <pic:pic xmlns:pic="http://schemas.openxmlformats.org/drawingml/2006/picture">
                        <pic:nvPicPr>
                          <pic:cNvPr id="389" name="Image 389"/>
                          <pic:cNvPicPr/>
                        </pic:nvPicPr>
                        <pic:blipFill>
                          <a:blip r:embed="rId142" cstate="print"/>
                          <a:stretch>
                            <a:fillRect/>
                          </a:stretch>
                        </pic:blipFill>
                        <pic:spPr>
                          <a:xfrm>
                            <a:off x="3322027" y="377952"/>
                            <a:ext cx="73532" cy="73532"/>
                          </a:xfrm>
                          <a:prstGeom prst="rect">
                            <a:avLst/>
                          </a:prstGeom>
                        </pic:spPr>
                      </pic:pic>
                    </wpg:wgp>
                  </a:graphicData>
                </a:graphic>
              </wp:anchor>
            </w:drawing>
          </mc:Choice>
          <mc:Fallback>
            <w:pict>
              <v:group w14:anchorId="69E28885" id="Group 382" o:spid="_x0000_s1026" style="position:absolute;margin-left:93.85pt;margin-top:-29pt;width:267.4pt;height:35.55pt;z-index:-21034496;mso-wrap-distance-left:0;mso-wrap-distance-right:0;mso-position-horizontal-relative:page" coordsize="33959,4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">
                <v:shape id="Graphic 383" o:spid="_x0000_s1027" style="position:absolute;left:142;top:367;width:33452;height:3791;visibility:visible;mso-wrap-style:square;v-text-anchor:top" coordsize="3345179,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" path="m,288671r304126,50292l608926,367918r303276,6096l1217002,361823r303276,12191l1825078,328294r303276,-56388l2433154,r303276,153035l3041230,299338r303911,79756e" filled="f" strokecolor="#36c7c5" strokeweight="2.25pt">
                  <v:path arrowok="t"/>
                </v:shape>
                <v:shape id="Image 384" o:spid="_x0000_s1028" type="#_x0000_t75" style="position:absolute;left:18025;top:3276;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">
                  <v:imagedata r:id="rId156" o:title=""/>
                </v:shape>
                <v:shape id="Image 385" o:spid="_x0000_s1029" type="#_x0000_t75" style="position:absolute;left:21058;top:2712;width:736;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">
                  <v:imagedata r:id="rId157" o:title=""/>
                </v:shape>
                <v:shape id="Image 386" o:spid="_x0000_s1030" type="#_x0000_t75" style="position:absolute;left:24106;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">
                  <v:imagedata r:id="rId157" o:title=""/>
                </v:shape>
                <v:shape id="Image 387" o:spid="_x0000_s1031" type="#_x0000_t75" style="position:absolute;left:27139;top:1524;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">
                  <v:imagedata r:id="rId157" o:title=""/>
                </v:shape>
                <v:shape id="Image 388" o:spid="_x0000_s1032" type="#_x0000_t75" style="position:absolute;left:30187;top:2987;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">
                  <v:imagedata r:id="rId157" o:title=""/>
                </v:shape>
                <v:shape id="Image 389" o:spid="_x0000_s1033" type="#_x0000_t75" style="position:absolute;left:33220;top:3779;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">
                  <v:imagedata r:id="rId158" o:title=""/>
                </v:shape>
                <w10:wrap anchorx="page"/>
              </v:group>
            </w:pict>
          </mc:Fallback>
        </mc:AlternateContent>
      </w:r>
      <w:r>
        <w:rPr>
          <w:rFonts w:ascii="Trebuchet MS"/>
          <w:color w:val="404040"/>
          <w:spacing w:val="-6"/>
          <w:sz w:val="18"/>
        </w:rPr>
        <w:t>11,4</w:t>
      </w:r>
    </w:p>
    <w:p w14:paraId="0C62115B" w14:textId="77777777" w:rsidR="000E52B0" w:rsidRDefault="00F60D74">
      <w:pPr>
        <w:spacing w:before="132"/>
        <w:rPr>
          <w:rFonts w:ascii="Trebuchet MS"/>
          <w:sz w:val="18"/>
        </w:rPr>
      </w:pPr>
      <w:r>
        <w:br w:type="column"/>
      </w:r>
    </w:p>
    <w:p w14:paraId="29407D9E" w14:textId="77777777" w:rsidR="000E52B0" w:rsidRDefault="00F60D74">
      <w:pPr>
        <w:ind w:left="99"/>
        <w:rPr>
          <w:rFonts w:ascii="Trebuchet MS"/>
          <w:sz w:val="18"/>
        </w:rPr>
      </w:pPr>
      <w:r>
        <w:rPr>
          <w:rFonts w:ascii="Trebuchet MS"/>
          <w:color w:val="404040"/>
          <w:spacing w:val="-4"/>
          <w:sz w:val="18"/>
        </w:rPr>
        <w:t>18,6</w:t>
      </w:r>
    </w:p>
    <w:p w14:paraId="2A1FDAA9" w14:textId="77777777" w:rsidR="000E52B0" w:rsidRDefault="00F60D74">
      <w:pPr>
        <w:tabs>
          <w:tab w:val="left" w:pos="1057"/>
        </w:tabs>
        <w:spacing w:before="27"/>
        <w:ind w:left="650"/>
        <w:rPr>
          <w:rFonts w:ascii="Trebuchet MS"/>
          <w:sz w:val="18"/>
        </w:rPr>
      </w:pPr>
      <w:r>
        <w:rPr>
          <w:rFonts w:ascii="Trebuchet MS"/>
          <w:color w:val="404040"/>
          <w:spacing w:val="-5"/>
          <w:position w:val="12"/>
          <w:sz w:val="18"/>
        </w:rPr>
        <w:t>16</w:t>
      </w:r>
      <w:r>
        <w:rPr>
          <w:rFonts w:ascii="Trebuchet MS"/>
          <w:color w:val="404040"/>
          <w:position w:val="12"/>
          <w:sz w:val="18"/>
        </w:rPr>
        <w:tab/>
      </w:r>
      <w:r>
        <w:rPr>
          <w:rFonts w:ascii="Trebuchet MS"/>
          <w:color w:val="404040"/>
          <w:spacing w:val="-6"/>
          <w:sz w:val="18"/>
        </w:rPr>
        <w:t>14,6</w:t>
      </w:r>
    </w:p>
    <w:p w14:paraId="23144B14" w14:textId="77777777" w:rsidR="000E52B0" w:rsidRDefault="00F60D74">
      <w:pPr>
        <w:rPr>
          <w:rFonts w:ascii="Trebuchet MS"/>
          <w:sz w:val="18"/>
        </w:rPr>
      </w:pPr>
      <w:r>
        <w:br w:type="column"/>
      </w:r>
    </w:p>
    <w:p w14:paraId="5C911542" w14:textId="77777777" w:rsidR="000E52B0" w:rsidRDefault="000E52B0">
      <w:pPr>
        <w:pStyle w:val="Textoindependiente"/>
        <w:ind w:left="0"/>
        <w:rPr>
          <w:rFonts w:ascii="Trebuchet MS"/>
          <w:sz w:val="18"/>
        </w:rPr>
      </w:pPr>
    </w:p>
    <w:p w14:paraId="44E95A65" w14:textId="77777777" w:rsidR="000E52B0" w:rsidRDefault="000E52B0">
      <w:pPr>
        <w:pStyle w:val="Textoindependiente"/>
        <w:spacing w:before="11"/>
        <w:ind w:left="0"/>
        <w:rPr>
          <w:rFonts w:ascii="Trebuchet MS"/>
          <w:sz w:val="18"/>
        </w:rPr>
      </w:pPr>
    </w:p>
    <w:p w14:paraId="473DB13A" w14:textId="77777777" w:rsidR="000E52B0" w:rsidRDefault="00F60D74">
      <w:pPr>
        <w:spacing w:line="254" w:lineRule="auto"/>
        <w:ind w:left="767" w:right="1030" w:hanging="427"/>
        <w:rPr>
          <w:rFonts w:ascii="Trebuchet MS" w:hAnsi="Trebuchet MS"/>
          <w:sz w:val="18"/>
        </w:rPr>
      </w:pPr>
      <w:r>
        <w:rPr>
          <w:noProof/>
        </w:rPr>
        <w:drawing>
          <wp:inline distT="0" distB="0" distL="0" distR="0" wp14:anchorId="52078A39" wp14:editId="064E94A3">
            <wp:extent cx="243839" cy="73533"/>
            <wp:effectExtent l="0" t="0" r="0" b="0"/>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59" cstate="print"/>
                    <a:stretch>
                      <a:fillRect/>
                    </a:stretch>
                  </pic:blipFill>
                  <pic:spPr>
                    <a:xfrm>
                      <a:off x="0" y="0"/>
                      <a:ext cx="243839" cy="73533"/>
                    </a:xfrm>
                    <a:prstGeom prst="rect">
                      <a:avLst/>
                    </a:prstGeom>
                  </pic:spPr>
                </pic:pic>
              </a:graphicData>
            </a:graphic>
          </wp:inline>
        </w:drawing>
      </w:r>
      <w:r>
        <w:rPr>
          <w:rFonts w:ascii="Times New Roman" w:hAnsi="Times New Roman"/>
          <w:position w:val="1"/>
          <w:sz w:val="20"/>
        </w:rPr>
        <w:t xml:space="preserve"> </w:t>
      </w:r>
      <w:r>
        <w:rPr>
          <w:rFonts w:ascii="Trebuchet MS" w:hAnsi="Trebuchet MS"/>
          <w:color w:val="585858"/>
          <w:position w:val="1"/>
          <w:sz w:val="18"/>
        </w:rPr>
        <w:t>Hombres</w:t>
      </w:r>
      <w:r>
        <w:rPr>
          <w:rFonts w:ascii="Trebuchet MS" w:hAnsi="Trebuchet MS"/>
          <w:color w:val="585858"/>
          <w:spacing w:val="-5"/>
          <w:position w:val="1"/>
          <w:sz w:val="18"/>
        </w:rPr>
        <w:t xml:space="preserve"> </w:t>
      </w:r>
      <w:r>
        <w:rPr>
          <w:rFonts w:ascii="Trebuchet MS" w:hAnsi="Trebuchet MS"/>
          <w:color w:val="585858"/>
          <w:position w:val="1"/>
          <w:sz w:val="18"/>
        </w:rPr>
        <w:t>jóvenes</w:t>
      </w:r>
      <w:r>
        <w:rPr>
          <w:rFonts w:ascii="Trebuchet MS" w:hAnsi="Trebuchet MS"/>
          <w:color w:val="585858"/>
          <w:spacing w:val="-5"/>
          <w:position w:val="1"/>
          <w:sz w:val="18"/>
        </w:rPr>
        <w:t xml:space="preserve"> </w:t>
      </w:r>
      <w:r>
        <w:rPr>
          <w:rFonts w:ascii="Trebuchet MS" w:hAnsi="Trebuchet MS"/>
          <w:color w:val="585858"/>
          <w:position w:val="1"/>
          <w:sz w:val="18"/>
        </w:rPr>
        <w:t>que</w:t>
      </w:r>
      <w:r>
        <w:rPr>
          <w:rFonts w:ascii="Trebuchet MS" w:hAnsi="Trebuchet MS"/>
          <w:color w:val="585858"/>
          <w:spacing w:val="-7"/>
          <w:position w:val="1"/>
          <w:sz w:val="18"/>
        </w:rPr>
        <w:t xml:space="preserve"> </w:t>
      </w:r>
      <w:r>
        <w:rPr>
          <w:rFonts w:ascii="Trebuchet MS" w:hAnsi="Trebuchet MS"/>
          <w:color w:val="585858"/>
          <w:position w:val="1"/>
          <w:sz w:val="18"/>
        </w:rPr>
        <w:t xml:space="preserve">no </w:t>
      </w:r>
      <w:r>
        <w:rPr>
          <w:rFonts w:ascii="Trebuchet MS" w:hAnsi="Trebuchet MS"/>
          <w:color w:val="585858"/>
          <w:spacing w:val="-2"/>
          <w:sz w:val="18"/>
        </w:rPr>
        <w:t>estudian</w:t>
      </w:r>
      <w:r>
        <w:rPr>
          <w:rFonts w:ascii="Trebuchet MS" w:hAnsi="Trebuchet MS"/>
          <w:color w:val="585858"/>
          <w:spacing w:val="-19"/>
          <w:sz w:val="18"/>
        </w:rPr>
        <w:t xml:space="preserve"> </w:t>
      </w:r>
      <w:r>
        <w:rPr>
          <w:rFonts w:ascii="Trebuchet MS" w:hAnsi="Trebuchet MS"/>
          <w:color w:val="585858"/>
          <w:spacing w:val="-2"/>
          <w:sz w:val="18"/>
        </w:rPr>
        <w:t>ni</w:t>
      </w:r>
      <w:r>
        <w:rPr>
          <w:rFonts w:ascii="Trebuchet MS" w:hAnsi="Trebuchet MS"/>
          <w:color w:val="585858"/>
          <w:spacing w:val="-18"/>
          <w:sz w:val="18"/>
        </w:rPr>
        <w:t xml:space="preserve"> </w:t>
      </w:r>
      <w:r>
        <w:rPr>
          <w:rFonts w:ascii="Trebuchet MS" w:hAnsi="Trebuchet MS"/>
          <w:color w:val="585858"/>
          <w:spacing w:val="-2"/>
          <w:sz w:val="18"/>
        </w:rPr>
        <w:t>se</w:t>
      </w:r>
      <w:r>
        <w:rPr>
          <w:rFonts w:ascii="Trebuchet MS" w:hAnsi="Trebuchet MS"/>
          <w:color w:val="585858"/>
          <w:spacing w:val="-17"/>
          <w:sz w:val="18"/>
        </w:rPr>
        <w:t xml:space="preserve"> </w:t>
      </w:r>
      <w:r>
        <w:rPr>
          <w:rFonts w:ascii="Trebuchet MS" w:hAnsi="Trebuchet MS"/>
          <w:color w:val="585858"/>
          <w:spacing w:val="-2"/>
          <w:sz w:val="18"/>
        </w:rPr>
        <w:t>encuentran</w:t>
      </w:r>
    </w:p>
    <w:p w14:paraId="24C4E46D" w14:textId="77777777" w:rsidR="000E52B0" w:rsidRDefault="000E52B0">
      <w:pPr>
        <w:spacing w:line="254" w:lineRule="auto"/>
        <w:rPr>
          <w:rFonts w:ascii="Trebuchet MS" w:hAnsi="Trebuchet MS"/>
          <w:sz w:val="18"/>
        </w:rPr>
        <w:sectPr w:rsidR="000E52B0">
          <w:type w:val="continuous"/>
          <w:pgSz w:w="11910" w:h="16840"/>
          <w:pgMar w:top="1340" w:right="720" w:bottom="1280" w:left="720" w:header="0" w:footer="995" w:gutter="0"/>
          <w:cols w:num="4" w:space="720" w:equalWidth="0">
            <w:col w:w="4703" w:space="40"/>
            <w:col w:w="440" w:space="39"/>
            <w:col w:w="1397" w:space="39"/>
            <w:col w:w="3812"/>
          </w:cols>
        </w:sectPr>
      </w:pPr>
    </w:p>
    <w:p w14:paraId="307BE1B8" w14:textId="77777777" w:rsidR="000E52B0" w:rsidRDefault="000E52B0">
      <w:pPr>
        <w:pStyle w:val="Textoindependiente"/>
        <w:spacing w:before="30"/>
        <w:ind w:left="0"/>
        <w:rPr>
          <w:rFonts w:ascii="Trebuchet MS"/>
          <w:sz w:val="18"/>
        </w:rPr>
      </w:pPr>
    </w:p>
    <w:p w14:paraId="1B8F2B8F" w14:textId="77777777" w:rsidR="000E52B0" w:rsidRDefault="00F60D74">
      <w:pPr>
        <w:tabs>
          <w:tab w:val="left" w:pos="478"/>
        </w:tabs>
        <w:jc w:val="right"/>
        <w:rPr>
          <w:rFonts w:ascii="Trebuchet MS"/>
          <w:sz w:val="18"/>
        </w:rPr>
      </w:pPr>
      <w:r>
        <w:rPr>
          <w:rFonts w:ascii="Trebuchet MS"/>
          <w:color w:val="404040"/>
          <w:spacing w:val="-5"/>
          <w:position w:val="-7"/>
          <w:sz w:val="18"/>
        </w:rPr>
        <w:t>6,7</w:t>
      </w:r>
      <w:r>
        <w:rPr>
          <w:rFonts w:ascii="Trebuchet MS"/>
          <w:color w:val="404040"/>
          <w:position w:val="-7"/>
          <w:sz w:val="18"/>
        </w:rPr>
        <w:tab/>
      </w:r>
      <w:r>
        <w:rPr>
          <w:rFonts w:ascii="Trebuchet MS"/>
          <w:color w:val="404040"/>
          <w:spacing w:val="-5"/>
          <w:sz w:val="18"/>
        </w:rPr>
        <w:t>7,6</w:t>
      </w:r>
    </w:p>
    <w:p w14:paraId="5E86CD03" w14:textId="77777777" w:rsidR="000E52B0" w:rsidRDefault="00F60D74">
      <w:pPr>
        <w:tabs>
          <w:tab w:val="left" w:pos="1154"/>
        </w:tabs>
        <w:spacing w:before="133"/>
        <w:ind w:left="675"/>
        <w:rPr>
          <w:rFonts w:ascii="Trebuchet MS"/>
          <w:position w:val="-7"/>
          <w:sz w:val="18"/>
        </w:rPr>
      </w:pPr>
      <w:r>
        <w:br w:type="column"/>
      </w:r>
      <w:r>
        <w:rPr>
          <w:rFonts w:ascii="Trebuchet MS"/>
          <w:color w:val="404040"/>
          <w:spacing w:val="-5"/>
          <w:sz w:val="18"/>
        </w:rPr>
        <w:t>8,8</w:t>
      </w:r>
      <w:r>
        <w:rPr>
          <w:rFonts w:ascii="Trebuchet MS"/>
          <w:color w:val="404040"/>
          <w:sz w:val="18"/>
        </w:rPr>
        <w:tab/>
      </w:r>
      <w:r>
        <w:rPr>
          <w:rFonts w:ascii="Trebuchet MS"/>
          <w:color w:val="404040"/>
          <w:spacing w:val="-9"/>
          <w:position w:val="-7"/>
          <w:sz w:val="18"/>
        </w:rPr>
        <w:t>7,9</w:t>
      </w:r>
    </w:p>
    <w:p w14:paraId="7473D18A" w14:textId="77777777" w:rsidR="000E52B0" w:rsidRDefault="00F60D74">
      <w:pPr>
        <w:spacing w:before="30"/>
        <w:rPr>
          <w:rFonts w:ascii="Trebuchet MS"/>
          <w:sz w:val="18"/>
        </w:rPr>
      </w:pPr>
      <w:r>
        <w:br w:type="column"/>
      </w:r>
    </w:p>
    <w:p w14:paraId="1A3A9917" w14:textId="77777777" w:rsidR="000E52B0" w:rsidRDefault="00F60D74">
      <w:pPr>
        <w:ind w:left="196"/>
        <w:rPr>
          <w:rFonts w:ascii="Trebuchet MS"/>
          <w:sz w:val="18"/>
        </w:rPr>
      </w:pPr>
      <w:r>
        <w:rPr>
          <w:rFonts w:ascii="Trebuchet MS"/>
          <w:color w:val="404040"/>
          <w:spacing w:val="-9"/>
          <w:sz w:val="18"/>
        </w:rPr>
        <w:t>7,6</w:t>
      </w:r>
    </w:p>
    <w:p w14:paraId="550FC7DE" w14:textId="77777777" w:rsidR="000E52B0" w:rsidRDefault="00F60D74">
      <w:pPr>
        <w:ind w:left="816"/>
        <w:rPr>
          <w:rFonts w:ascii="Trebuchet MS"/>
          <w:sz w:val="18"/>
        </w:rPr>
      </w:pPr>
      <w:r>
        <w:br w:type="column"/>
      </w:r>
      <w:r>
        <w:rPr>
          <w:rFonts w:ascii="Trebuchet MS"/>
          <w:color w:val="585858"/>
          <w:spacing w:val="-2"/>
          <w:w w:val="105"/>
          <w:sz w:val="18"/>
        </w:rPr>
        <w:t>ocupados</w:t>
      </w:r>
    </w:p>
    <w:p w14:paraId="5973788C" w14:textId="77777777" w:rsidR="000E52B0" w:rsidRDefault="00F60D74">
      <w:pPr>
        <w:spacing w:before="122" w:line="254" w:lineRule="auto"/>
        <w:ind w:left="816" w:right="484" w:hanging="427"/>
        <w:rPr>
          <w:rFonts w:ascii="Trebuchet MS" w:hAnsi="Trebuchet MS"/>
          <w:sz w:val="18"/>
        </w:rPr>
      </w:pPr>
      <w:r>
        <w:rPr>
          <w:noProof/>
        </w:rPr>
        <w:drawing>
          <wp:inline distT="0" distB="0" distL="0" distR="0" wp14:anchorId="0FA8E239" wp14:editId="5CFB503D">
            <wp:extent cx="243839" cy="73532"/>
            <wp:effectExtent l="0" t="0" r="0" b="0"/>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160" cstate="print"/>
                    <a:stretch>
                      <a:fillRect/>
                    </a:stretch>
                  </pic:blipFill>
                  <pic:spPr>
                    <a:xfrm>
                      <a:off x="0" y="0"/>
                      <a:ext cx="243839" cy="73532"/>
                    </a:xfrm>
                    <a:prstGeom prst="rect">
                      <a:avLst/>
                    </a:prstGeom>
                  </pic:spPr>
                </pic:pic>
              </a:graphicData>
            </a:graphic>
          </wp:inline>
        </w:drawing>
      </w:r>
      <w:r>
        <w:rPr>
          <w:rFonts w:ascii="Times New Roman" w:hAnsi="Times New Roman"/>
          <w:position w:val="1"/>
          <w:sz w:val="20"/>
        </w:rPr>
        <w:t xml:space="preserve"> </w:t>
      </w:r>
      <w:r>
        <w:rPr>
          <w:rFonts w:ascii="Trebuchet MS" w:hAnsi="Trebuchet MS"/>
          <w:color w:val="585858"/>
          <w:position w:val="1"/>
          <w:sz w:val="18"/>
        </w:rPr>
        <w:t xml:space="preserve">Mujeres jóvenes que no </w:t>
      </w:r>
      <w:r>
        <w:rPr>
          <w:rFonts w:ascii="Trebuchet MS" w:hAnsi="Trebuchet MS"/>
          <w:color w:val="585858"/>
          <w:spacing w:val="-2"/>
          <w:sz w:val="18"/>
        </w:rPr>
        <w:t>estudian</w:t>
      </w:r>
      <w:r>
        <w:rPr>
          <w:rFonts w:ascii="Trebuchet MS" w:hAnsi="Trebuchet MS"/>
          <w:color w:val="585858"/>
          <w:spacing w:val="-19"/>
          <w:sz w:val="18"/>
        </w:rPr>
        <w:t xml:space="preserve"> </w:t>
      </w:r>
      <w:r>
        <w:rPr>
          <w:rFonts w:ascii="Trebuchet MS" w:hAnsi="Trebuchet MS"/>
          <w:color w:val="585858"/>
          <w:spacing w:val="-2"/>
          <w:sz w:val="18"/>
        </w:rPr>
        <w:t>ni</w:t>
      </w:r>
      <w:r>
        <w:rPr>
          <w:rFonts w:ascii="Trebuchet MS" w:hAnsi="Trebuchet MS"/>
          <w:color w:val="585858"/>
          <w:spacing w:val="-18"/>
          <w:sz w:val="18"/>
        </w:rPr>
        <w:t xml:space="preserve"> </w:t>
      </w:r>
      <w:r>
        <w:rPr>
          <w:rFonts w:ascii="Trebuchet MS" w:hAnsi="Trebuchet MS"/>
          <w:color w:val="585858"/>
          <w:spacing w:val="-2"/>
          <w:sz w:val="18"/>
        </w:rPr>
        <w:t>se</w:t>
      </w:r>
      <w:r>
        <w:rPr>
          <w:rFonts w:ascii="Trebuchet MS" w:hAnsi="Trebuchet MS"/>
          <w:color w:val="585858"/>
          <w:spacing w:val="-17"/>
          <w:sz w:val="18"/>
        </w:rPr>
        <w:t xml:space="preserve"> </w:t>
      </w:r>
      <w:r>
        <w:rPr>
          <w:rFonts w:ascii="Trebuchet MS" w:hAnsi="Trebuchet MS"/>
          <w:color w:val="585858"/>
          <w:spacing w:val="-2"/>
          <w:sz w:val="18"/>
        </w:rPr>
        <w:t>encuentran ocupados</w:t>
      </w:r>
    </w:p>
    <w:p w14:paraId="3DE47817" w14:textId="77777777" w:rsidR="000E52B0" w:rsidRDefault="000E52B0">
      <w:pPr>
        <w:spacing w:line="254" w:lineRule="auto"/>
        <w:rPr>
          <w:rFonts w:ascii="Trebuchet MS" w:hAnsi="Trebuchet MS"/>
          <w:sz w:val="18"/>
        </w:rPr>
        <w:sectPr w:rsidR="000E52B0">
          <w:type w:val="continuous"/>
          <w:pgSz w:w="11910" w:h="16840"/>
          <w:pgMar w:top="1340" w:right="720" w:bottom="1280" w:left="720" w:header="0" w:footer="995" w:gutter="0"/>
          <w:cols w:num="4" w:space="720" w:equalWidth="0">
            <w:col w:w="4655" w:space="40"/>
            <w:col w:w="1397" w:space="39"/>
            <w:col w:w="439" w:space="39"/>
            <w:col w:w="3861"/>
          </w:cols>
        </w:sectPr>
      </w:pPr>
    </w:p>
    <w:p w14:paraId="00DFCD0C" w14:textId="77777777" w:rsidR="000E52B0" w:rsidRDefault="000E52B0">
      <w:pPr>
        <w:pStyle w:val="Textoindependiente"/>
        <w:spacing w:before="48"/>
        <w:ind w:left="0"/>
        <w:rPr>
          <w:rFonts w:ascii="Trebuchet MS"/>
          <w:sz w:val="20"/>
        </w:rPr>
      </w:pPr>
    </w:p>
    <w:p w14:paraId="24C9EBCD" w14:textId="77777777" w:rsidR="000E52B0" w:rsidRDefault="00F60D74">
      <w:pPr>
        <w:pStyle w:val="Textoindependiente"/>
        <w:spacing w:line="20" w:lineRule="exact"/>
        <w:ind w:left="940"/>
        <w:rPr>
          <w:rFonts w:ascii="Trebuchet MS"/>
          <w:sz w:val="2"/>
        </w:rPr>
      </w:pPr>
      <w:r>
        <w:rPr>
          <w:rFonts w:ascii="Trebuchet MS"/>
          <w:noProof/>
          <w:sz w:val="2"/>
        </w:rPr>
        <mc:AlternateContent>
          <mc:Choice Requires="wpg">
            <w:drawing>
              <wp:inline distT="0" distB="0" distL="0" distR="0" wp14:anchorId="30422275" wp14:editId="7430A45D">
                <wp:extent cx="3649345" cy="9525"/>
                <wp:effectExtent l="9525" t="0" r="0" b="0"/>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9345" cy="9525"/>
                          <a:chOff x="0" y="0"/>
                          <a:chExt cx="3649345" cy="9525"/>
                        </a:xfrm>
                      </wpg:grpSpPr>
                      <wps:wsp>
                        <wps:cNvPr id="393" name="Graphic 393"/>
                        <wps:cNvSpPr/>
                        <wps:spPr>
                          <a:xfrm>
                            <a:off x="0" y="4762"/>
                            <a:ext cx="3649345" cy="1270"/>
                          </a:xfrm>
                          <a:custGeom>
                            <a:avLst/>
                            <a:gdLst/>
                            <a:ahLst/>
                            <a:cxnLst/>
                            <a:rect l="l" t="t" r="r" b="b"/>
                            <a:pathLst>
                              <a:path w="3649345">
                                <a:moveTo>
                                  <a:pt x="0" y="0"/>
                                </a:moveTo>
                                <a:lnTo>
                                  <a:pt x="3649217" y="0"/>
                                </a:lnTo>
                              </a:path>
                            </a:pathLst>
                          </a:custGeom>
                          <a:ln w="9525">
                            <a:solidFill>
                              <a:srgbClr val="D9D9D9"/>
                            </a:solidFill>
                            <a:prstDash val="solid"/>
                          </a:ln>
                        </wps:spPr>
                        <wps:bodyPr wrap="square" lIns="0" tIns="0" rIns="0" bIns="0" rtlCol="0">
                          <a:prstTxWarp prst="textNoShape">
                            <a:avLst/>
                          </a:prstTxWarp>
                          <a:noAutofit/>
                        </wps:bodyPr>
                      </wps:wsp>
                    </wpg:wgp>
                  </a:graphicData>
                </a:graphic>
              </wp:inline>
            </w:drawing>
          </mc:Choice>
          <mc:Fallback>
            <w:pict>
              <v:group w14:anchorId="0DA789F6" id="Group 392" o:spid="_x0000_s1026" style="width:287.35pt;height:.75pt;mso-position-horizontal-relative:char;mso-position-vertical-relative:line" coordsize="364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">
                <v:shape id="Graphic 393" o:spid="_x0000_s1027" style="position:absolute;top:47;width:36493;height:13;visibility:visible;mso-wrap-style:square;v-text-anchor:top" coordsize="3649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" path="m,l3649217,e" filled="f" strokecolor="#d9d9d9">
                  <v:path arrowok="t"/>
                </v:shape>
                <w10:anchorlock/>
              </v:group>
            </w:pict>
          </mc:Fallback>
        </mc:AlternateContent>
      </w:r>
    </w:p>
    <w:p w14:paraId="7167D1EA" w14:textId="77777777" w:rsidR="000E52B0" w:rsidRDefault="00F60D74">
      <w:pPr>
        <w:spacing w:before="93"/>
        <w:ind w:left="987"/>
        <w:rPr>
          <w:rFonts w:ascii="Trebuchet MS"/>
          <w:sz w:val="18"/>
        </w:rPr>
      </w:pPr>
      <w:r>
        <w:rPr>
          <w:rFonts w:ascii="Trebuchet MS"/>
          <w:color w:val="585858"/>
          <w:sz w:val="18"/>
        </w:rPr>
        <w:t>2012</w:t>
      </w:r>
      <w:r>
        <w:rPr>
          <w:rFonts w:ascii="Trebuchet MS"/>
          <w:color w:val="585858"/>
          <w:spacing w:val="41"/>
          <w:sz w:val="18"/>
        </w:rPr>
        <w:t xml:space="preserve"> </w:t>
      </w:r>
      <w:r>
        <w:rPr>
          <w:rFonts w:ascii="Trebuchet MS"/>
          <w:color w:val="585858"/>
          <w:sz w:val="18"/>
        </w:rPr>
        <w:t>2013</w:t>
      </w:r>
      <w:r>
        <w:rPr>
          <w:rFonts w:ascii="Trebuchet MS"/>
          <w:color w:val="585858"/>
          <w:spacing w:val="41"/>
          <w:sz w:val="18"/>
        </w:rPr>
        <w:t xml:space="preserve"> </w:t>
      </w:r>
      <w:r>
        <w:rPr>
          <w:rFonts w:ascii="Trebuchet MS"/>
          <w:color w:val="585858"/>
          <w:sz w:val="18"/>
        </w:rPr>
        <w:t>2014</w:t>
      </w:r>
      <w:r>
        <w:rPr>
          <w:rFonts w:ascii="Trebuchet MS"/>
          <w:color w:val="585858"/>
          <w:spacing w:val="41"/>
          <w:sz w:val="18"/>
        </w:rPr>
        <w:t xml:space="preserve"> </w:t>
      </w:r>
      <w:r>
        <w:rPr>
          <w:rFonts w:ascii="Trebuchet MS"/>
          <w:color w:val="585858"/>
          <w:sz w:val="18"/>
        </w:rPr>
        <w:t>2015</w:t>
      </w:r>
      <w:r>
        <w:rPr>
          <w:rFonts w:ascii="Trebuchet MS"/>
          <w:color w:val="585858"/>
          <w:spacing w:val="41"/>
          <w:sz w:val="18"/>
        </w:rPr>
        <w:t xml:space="preserve"> </w:t>
      </w:r>
      <w:r>
        <w:rPr>
          <w:rFonts w:ascii="Trebuchet MS"/>
          <w:color w:val="585858"/>
          <w:sz w:val="18"/>
        </w:rPr>
        <w:t>2016</w:t>
      </w:r>
      <w:r>
        <w:rPr>
          <w:rFonts w:ascii="Trebuchet MS"/>
          <w:color w:val="585858"/>
          <w:spacing w:val="41"/>
          <w:sz w:val="18"/>
        </w:rPr>
        <w:t xml:space="preserve"> </w:t>
      </w:r>
      <w:r>
        <w:rPr>
          <w:rFonts w:ascii="Trebuchet MS"/>
          <w:color w:val="585858"/>
          <w:sz w:val="18"/>
        </w:rPr>
        <w:t>2017</w:t>
      </w:r>
      <w:r>
        <w:rPr>
          <w:rFonts w:ascii="Trebuchet MS"/>
          <w:color w:val="585858"/>
          <w:spacing w:val="41"/>
          <w:sz w:val="18"/>
        </w:rPr>
        <w:t xml:space="preserve"> </w:t>
      </w:r>
      <w:r>
        <w:rPr>
          <w:rFonts w:ascii="Trebuchet MS"/>
          <w:color w:val="585858"/>
          <w:sz w:val="18"/>
        </w:rPr>
        <w:t>2018</w:t>
      </w:r>
      <w:r>
        <w:rPr>
          <w:rFonts w:ascii="Trebuchet MS"/>
          <w:color w:val="585858"/>
          <w:spacing w:val="41"/>
          <w:sz w:val="18"/>
        </w:rPr>
        <w:t xml:space="preserve"> </w:t>
      </w:r>
      <w:r>
        <w:rPr>
          <w:rFonts w:ascii="Trebuchet MS"/>
          <w:color w:val="585858"/>
          <w:sz w:val="18"/>
        </w:rPr>
        <w:t>2019</w:t>
      </w:r>
      <w:r>
        <w:rPr>
          <w:rFonts w:ascii="Trebuchet MS"/>
          <w:color w:val="585858"/>
          <w:spacing w:val="41"/>
          <w:sz w:val="18"/>
        </w:rPr>
        <w:t xml:space="preserve"> </w:t>
      </w:r>
      <w:r>
        <w:rPr>
          <w:rFonts w:ascii="Trebuchet MS"/>
          <w:color w:val="585858"/>
          <w:sz w:val="18"/>
        </w:rPr>
        <w:t>2020</w:t>
      </w:r>
      <w:r>
        <w:rPr>
          <w:rFonts w:ascii="Trebuchet MS"/>
          <w:color w:val="585858"/>
          <w:spacing w:val="39"/>
          <w:sz w:val="18"/>
        </w:rPr>
        <w:t xml:space="preserve"> </w:t>
      </w:r>
      <w:r>
        <w:rPr>
          <w:rFonts w:ascii="Trebuchet MS"/>
          <w:color w:val="585858"/>
          <w:sz w:val="18"/>
        </w:rPr>
        <w:t>2021</w:t>
      </w:r>
      <w:r>
        <w:rPr>
          <w:rFonts w:ascii="Trebuchet MS"/>
          <w:color w:val="585858"/>
          <w:spacing w:val="41"/>
          <w:sz w:val="18"/>
        </w:rPr>
        <w:t xml:space="preserve"> </w:t>
      </w:r>
      <w:r>
        <w:rPr>
          <w:rFonts w:ascii="Trebuchet MS"/>
          <w:color w:val="585858"/>
          <w:sz w:val="18"/>
        </w:rPr>
        <w:t>2022</w:t>
      </w:r>
      <w:r>
        <w:rPr>
          <w:rFonts w:ascii="Trebuchet MS"/>
          <w:color w:val="585858"/>
          <w:spacing w:val="41"/>
          <w:sz w:val="18"/>
        </w:rPr>
        <w:t xml:space="preserve"> </w:t>
      </w:r>
      <w:r>
        <w:rPr>
          <w:rFonts w:ascii="Trebuchet MS"/>
          <w:color w:val="585858"/>
          <w:spacing w:val="-4"/>
          <w:sz w:val="18"/>
        </w:rPr>
        <w:t>2023</w:t>
      </w:r>
    </w:p>
    <w:p w14:paraId="36ECFD6D" w14:textId="77777777" w:rsidR="000E52B0" w:rsidRDefault="000E52B0">
      <w:pPr>
        <w:pStyle w:val="Textoindependiente"/>
        <w:spacing w:before="92"/>
        <w:ind w:left="0"/>
        <w:rPr>
          <w:rFonts w:ascii="Trebuchet MS"/>
          <w:sz w:val="18"/>
        </w:rPr>
      </w:pPr>
    </w:p>
    <w:p w14:paraId="3CC300C3" w14:textId="77777777" w:rsidR="000E52B0" w:rsidRDefault="00F60D74">
      <w:pPr>
        <w:ind w:left="720" w:right="713"/>
        <w:jc w:val="both"/>
        <w:rPr>
          <w:i/>
          <w:sz w:val="18"/>
        </w:rPr>
      </w:pPr>
      <w:r>
        <w:rPr>
          <w:i/>
          <w:color w:val="454551"/>
          <w:sz w:val="18"/>
        </w:rPr>
        <w:t>Fuente</w:t>
      </w:r>
      <w:r>
        <w:rPr>
          <w:i/>
          <w:color w:val="454551"/>
          <w:spacing w:val="-2"/>
          <w:sz w:val="18"/>
        </w:rPr>
        <w:t xml:space="preserve"> </w:t>
      </w:r>
      <w:r>
        <w:rPr>
          <w:i/>
          <w:color w:val="454551"/>
          <w:sz w:val="18"/>
        </w:rPr>
        <w:t>21.</w:t>
      </w:r>
      <w:r>
        <w:rPr>
          <w:i/>
          <w:color w:val="454551"/>
          <w:spacing w:val="-4"/>
          <w:sz w:val="18"/>
        </w:rPr>
        <w:t xml:space="preserve"> </w:t>
      </w:r>
      <w:r>
        <w:rPr>
          <w:i/>
          <w:color w:val="454551"/>
          <w:sz w:val="18"/>
        </w:rPr>
        <w:t>Elaboración</w:t>
      </w:r>
      <w:r>
        <w:rPr>
          <w:i/>
          <w:color w:val="454551"/>
          <w:spacing w:val="-2"/>
          <w:sz w:val="18"/>
        </w:rPr>
        <w:t xml:space="preserve"> </w:t>
      </w:r>
      <w:r>
        <w:rPr>
          <w:i/>
          <w:color w:val="454551"/>
          <w:sz w:val="18"/>
        </w:rPr>
        <w:t>propia</w:t>
      </w:r>
      <w:r>
        <w:rPr>
          <w:i/>
          <w:color w:val="454551"/>
          <w:spacing w:val="-3"/>
          <w:sz w:val="18"/>
        </w:rPr>
        <w:t xml:space="preserve"> </w:t>
      </w:r>
      <w:r>
        <w:rPr>
          <w:i/>
          <w:color w:val="454551"/>
          <w:sz w:val="18"/>
        </w:rPr>
        <w:t>con</w:t>
      </w:r>
      <w:r>
        <w:rPr>
          <w:i/>
          <w:color w:val="454551"/>
          <w:spacing w:val="-2"/>
          <w:sz w:val="18"/>
        </w:rPr>
        <w:t xml:space="preserve"> </w:t>
      </w:r>
      <w:r>
        <w:rPr>
          <w:i/>
          <w:color w:val="454551"/>
          <w:sz w:val="18"/>
        </w:rPr>
        <w:t>base</w:t>
      </w:r>
      <w:r>
        <w:rPr>
          <w:i/>
          <w:color w:val="454551"/>
          <w:spacing w:val="-3"/>
          <w:sz w:val="18"/>
        </w:rPr>
        <w:t xml:space="preserve"> </w:t>
      </w:r>
      <w:r>
        <w:rPr>
          <w:i/>
          <w:color w:val="454551"/>
          <w:sz w:val="18"/>
        </w:rPr>
        <w:t>en</w:t>
      </w:r>
      <w:r>
        <w:rPr>
          <w:i/>
          <w:color w:val="454551"/>
          <w:spacing w:val="-2"/>
          <w:sz w:val="18"/>
        </w:rPr>
        <w:t xml:space="preserve"> </w:t>
      </w:r>
      <w:r>
        <w:rPr>
          <w:i/>
          <w:color w:val="454551"/>
          <w:sz w:val="18"/>
        </w:rPr>
        <w:t>información</w:t>
      </w:r>
      <w:r>
        <w:rPr>
          <w:i/>
          <w:color w:val="454551"/>
          <w:spacing w:val="-2"/>
          <w:sz w:val="18"/>
        </w:rPr>
        <w:t xml:space="preserve"> </w:t>
      </w:r>
      <w:r>
        <w:rPr>
          <w:i/>
          <w:color w:val="454551"/>
          <w:sz w:val="18"/>
        </w:rPr>
        <w:t>de</w:t>
      </w:r>
      <w:r>
        <w:rPr>
          <w:i/>
          <w:color w:val="454551"/>
          <w:spacing w:val="-3"/>
          <w:sz w:val="18"/>
        </w:rPr>
        <w:t xml:space="preserve"> </w:t>
      </w:r>
      <w:r>
        <w:rPr>
          <w:i/>
          <w:color w:val="454551"/>
          <w:sz w:val="18"/>
        </w:rPr>
        <w:t>la</w:t>
      </w:r>
      <w:r>
        <w:rPr>
          <w:i/>
          <w:color w:val="454551"/>
          <w:spacing w:val="-3"/>
          <w:sz w:val="18"/>
        </w:rPr>
        <w:t xml:space="preserve"> </w:t>
      </w:r>
      <w:r>
        <w:rPr>
          <w:i/>
          <w:color w:val="454551"/>
          <w:sz w:val="18"/>
        </w:rPr>
        <w:t>GEIH</w:t>
      </w:r>
      <w:r>
        <w:rPr>
          <w:i/>
          <w:color w:val="454551"/>
          <w:spacing w:val="-4"/>
          <w:sz w:val="18"/>
        </w:rPr>
        <w:t xml:space="preserve"> </w:t>
      </w:r>
      <w:r>
        <w:rPr>
          <w:i/>
          <w:color w:val="454551"/>
          <w:sz w:val="18"/>
        </w:rPr>
        <w:t>del</w:t>
      </w:r>
      <w:r>
        <w:rPr>
          <w:i/>
          <w:color w:val="454551"/>
          <w:spacing w:val="-2"/>
          <w:sz w:val="18"/>
        </w:rPr>
        <w:t xml:space="preserve"> </w:t>
      </w:r>
      <w:r>
        <w:rPr>
          <w:i/>
          <w:color w:val="454551"/>
          <w:sz w:val="18"/>
        </w:rPr>
        <w:t>DANE,</w:t>
      </w:r>
      <w:r>
        <w:rPr>
          <w:i/>
          <w:color w:val="454551"/>
          <w:spacing w:val="-2"/>
          <w:sz w:val="18"/>
        </w:rPr>
        <w:t xml:space="preserve"> </w:t>
      </w:r>
      <w:r>
        <w:rPr>
          <w:i/>
          <w:color w:val="454551"/>
          <w:sz w:val="18"/>
        </w:rPr>
        <w:t>trimestre</w:t>
      </w:r>
      <w:r>
        <w:rPr>
          <w:i/>
          <w:color w:val="454551"/>
          <w:spacing w:val="-3"/>
          <w:sz w:val="18"/>
        </w:rPr>
        <w:t xml:space="preserve"> </w:t>
      </w:r>
      <w:r>
        <w:rPr>
          <w:i/>
          <w:color w:val="454551"/>
          <w:sz w:val="18"/>
        </w:rPr>
        <w:t>móvil</w:t>
      </w:r>
      <w:r>
        <w:rPr>
          <w:i/>
          <w:color w:val="454551"/>
          <w:spacing w:val="-2"/>
          <w:sz w:val="18"/>
        </w:rPr>
        <w:t xml:space="preserve"> </w:t>
      </w:r>
      <w:r>
        <w:rPr>
          <w:i/>
          <w:color w:val="454551"/>
          <w:sz w:val="18"/>
        </w:rPr>
        <w:t xml:space="preserve">junio- </w:t>
      </w:r>
      <w:r>
        <w:rPr>
          <w:i/>
          <w:color w:val="454551"/>
          <w:spacing w:val="-2"/>
          <w:sz w:val="18"/>
        </w:rPr>
        <w:t>agosto.</w:t>
      </w:r>
    </w:p>
    <w:p w14:paraId="2000FB3B" w14:textId="77777777" w:rsidR="000E52B0" w:rsidRDefault="00F60D74">
      <w:pPr>
        <w:pStyle w:val="Textoindependiente"/>
        <w:spacing w:before="201"/>
        <w:ind w:right="716"/>
        <w:jc w:val="both"/>
      </w:pPr>
      <w:r>
        <w:t>En</w:t>
      </w:r>
      <w:r>
        <w:rPr>
          <w:spacing w:val="-22"/>
        </w:rPr>
        <w:t xml:space="preserve"> </w:t>
      </w:r>
      <w:r>
        <w:t>contraste,</w:t>
      </w:r>
      <w:r>
        <w:rPr>
          <w:spacing w:val="-21"/>
        </w:rPr>
        <w:t xml:space="preserve"> </w:t>
      </w:r>
      <w:r>
        <w:t>las</w:t>
      </w:r>
      <w:r>
        <w:rPr>
          <w:spacing w:val="-21"/>
        </w:rPr>
        <w:t xml:space="preserve"> </w:t>
      </w:r>
      <w:r>
        <w:t>personas</w:t>
      </w:r>
      <w:r>
        <w:rPr>
          <w:spacing w:val="-21"/>
        </w:rPr>
        <w:t xml:space="preserve"> </w:t>
      </w:r>
      <w:r>
        <w:t>mayores,</w:t>
      </w:r>
      <w:r>
        <w:rPr>
          <w:spacing w:val="-21"/>
        </w:rPr>
        <w:t xml:space="preserve"> </w:t>
      </w:r>
      <w:r>
        <w:t>De</w:t>
      </w:r>
      <w:r>
        <w:rPr>
          <w:spacing w:val="-21"/>
        </w:rPr>
        <w:t xml:space="preserve"> </w:t>
      </w:r>
      <w:r>
        <w:t>acuerdo</w:t>
      </w:r>
      <w:r>
        <w:rPr>
          <w:spacing w:val="-21"/>
        </w:rPr>
        <w:t xml:space="preserve"> </w:t>
      </w:r>
      <w:r>
        <w:t>con</w:t>
      </w:r>
      <w:r>
        <w:rPr>
          <w:spacing w:val="-21"/>
        </w:rPr>
        <w:t xml:space="preserve"> </w:t>
      </w:r>
      <w:r>
        <w:t>la</w:t>
      </w:r>
      <w:r>
        <w:rPr>
          <w:spacing w:val="-21"/>
        </w:rPr>
        <w:t xml:space="preserve"> </w:t>
      </w:r>
      <w:r>
        <w:t>medición</w:t>
      </w:r>
      <w:r>
        <w:rPr>
          <w:spacing w:val="-21"/>
        </w:rPr>
        <w:t xml:space="preserve"> </w:t>
      </w:r>
      <w:r>
        <w:t>de</w:t>
      </w:r>
      <w:r>
        <w:rPr>
          <w:spacing w:val="-22"/>
        </w:rPr>
        <w:t xml:space="preserve"> </w:t>
      </w:r>
      <w:r>
        <w:t>pobreza monetaria</w:t>
      </w:r>
      <w:r>
        <w:rPr>
          <w:spacing w:val="-5"/>
        </w:rPr>
        <w:t xml:space="preserve"> </w:t>
      </w:r>
      <w:r>
        <w:t>de</w:t>
      </w:r>
      <w:r>
        <w:rPr>
          <w:spacing w:val="-2"/>
        </w:rPr>
        <w:t xml:space="preserve"> </w:t>
      </w:r>
      <w:r>
        <w:t>la</w:t>
      </w:r>
      <w:r>
        <w:rPr>
          <w:spacing w:val="-5"/>
        </w:rPr>
        <w:t xml:space="preserve"> </w:t>
      </w:r>
      <w:r>
        <w:t>GEIH,</w:t>
      </w:r>
      <w:r>
        <w:rPr>
          <w:spacing w:val="-6"/>
        </w:rPr>
        <w:t xml:space="preserve"> </w:t>
      </w:r>
      <w:r>
        <w:t>en</w:t>
      </w:r>
      <w:r>
        <w:rPr>
          <w:spacing w:val="-6"/>
        </w:rPr>
        <w:t xml:space="preserve"> </w:t>
      </w:r>
      <w:r>
        <w:t>Colombia</w:t>
      </w:r>
      <w:r>
        <w:rPr>
          <w:spacing w:val="-6"/>
        </w:rPr>
        <w:t xml:space="preserve"> </w:t>
      </w:r>
      <w:r>
        <w:t>el</w:t>
      </w:r>
      <w:r>
        <w:rPr>
          <w:spacing w:val="-4"/>
        </w:rPr>
        <w:t xml:space="preserve"> </w:t>
      </w:r>
      <w:r>
        <w:t>36,6%</w:t>
      </w:r>
      <w:r>
        <w:rPr>
          <w:spacing w:val="-5"/>
        </w:rPr>
        <w:t xml:space="preserve"> </w:t>
      </w:r>
      <w:r>
        <w:t>de</w:t>
      </w:r>
      <w:r>
        <w:rPr>
          <w:spacing w:val="-4"/>
        </w:rPr>
        <w:t xml:space="preserve"> </w:t>
      </w:r>
      <w:r>
        <w:t>las</w:t>
      </w:r>
      <w:r>
        <w:rPr>
          <w:spacing w:val="-6"/>
        </w:rPr>
        <w:t xml:space="preserve"> </w:t>
      </w:r>
      <w:r>
        <w:t>personas</w:t>
      </w:r>
      <w:r>
        <w:rPr>
          <w:spacing w:val="-6"/>
        </w:rPr>
        <w:t xml:space="preserve"> </w:t>
      </w:r>
      <w:r>
        <w:t>son</w:t>
      </w:r>
      <w:r>
        <w:rPr>
          <w:spacing w:val="-5"/>
        </w:rPr>
        <w:t xml:space="preserve"> </w:t>
      </w:r>
      <w:r>
        <w:t>pobres</w:t>
      </w:r>
      <w:r>
        <w:rPr>
          <w:spacing w:val="-6"/>
        </w:rPr>
        <w:t xml:space="preserve"> </w:t>
      </w:r>
      <w:r>
        <w:t>y 13,8%</w:t>
      </w:r>
      <w:r>
        <w:rPr>
          <w:spacing w:val="-13"/>
        </w:rPr>
        <w:t xml:space="preserve"> </w:t>
      </w:r>
      <w:r>
        <w:t>de</w:t>
      </w:r>
      <w:r>
        <w:rPr>
          <w:spacing w:val="-13"/>
        </w:rPr>
        <w:t xml:space="preserve"> </w:t>
      </w:r>
      <w:r>
        <w:t>las</w:t>
      </w:r>
      <w:r>
        <w:rPr>
          <w:spacing w:val="-14"/>
        </w:rPr>
        <w:t xml:space="preserve"> </w:t>
      </w:r>
      <w:r>
        <w:t>personas</w:t>
      </w:r>
      <w:r>
        <w:rPr>
          <w:spacing w:val="-14"/>
        </w:rPr>
        <w:t xml:space="preserve"> </w:t>
      </w:r>
      <w:r>
        <w:t>están</w:t>
      </w:r>
      <w:r>
        <w:rPr>
          <w:spacing w:val="-14"/>
        </w:rPr>
        <w:t xml:space="preserve"> </w:t>
      </w:r>
      <w:r>
        <w:t>en</w:t>
      </w:r>
      <w:r>
        <w:rPr>
          <w:spacing w:val="-14"/>
        </w:rPr>
        <w:t xml:space="preserve"> </w:t>
      </w:r>
      <w:r>
        <w:t>situación</w:t>
      </w:r>
      <w:r>
        <w:rPr>
          <w:spacing w:val="-14"/>
        </w:rPr>
        <w:t xml:space="preserve"> </w:t>
      </w:r>
      <w:r>
        <w:t>de</w:t>
      </w:r>
      <w:r>
        <w:rPr>
          <w:spacing w:val="-13"/>
        </w:rPr>
        <w:t xml:space="preserve"> </w:t>
      </w:r>
      <w:r>
        <w:t>pobreza</w:t>
      </w:r>
      <w:r>
        <w:rPr>
          <w:spacing w:val="-14"/>
        </w:rPr>
        <w:t xml:space="preserve"> </w:t>
      </w:r>
      <w:r>
        <w:t>extrema</w:t>
      </w:r>
      <w:r>
        <w:rPr>
          <w:spacing w:val="-14"/>
        </w:rPr>
        <w:t xml:space="preserve"> </w:t>
      </w:r>
      <w:r>
        <w:t>(13,8%).</w:t>
      </w:r>
      <w:r>
        <w:rPr>
          <w:spacing w:val="-14"/>
        </w:rPr>
        <w:t xml:space="preserve"> </w:t>
      </w:r>
      <w:r>
        <w:t xml:space="preserve">En el caso de la población mayor, se estima que hay 1.882.967 personas mayores en pobreza y 681.380 en pobreza extrema. Si bien las personas mayores son con menos frecuencia (13 </w:t>
      </w:r>
      <w:proofErr w:type="spellStart"/>
      <w:r>
        <w:t>p.p</w:t>
      </w:r>
      <w:proofErr w:type="spellEnd"/>
      <w:r>
        <w:t xml:space="preserve">) pobres que el resto de la población, esto varía en algunos grupos de la población. De igual forma, por la manera en la que se calculó la pobreza monetaria en el país (el cálculo a partir de los ingresos del hogar), lo que esto indica, es que los hogares con personas mayores son con frecuencia menos pobres </w:t>
      </w:r>
      <w:r>
        <w:rPr>
          <w:spacing w:val="-2"/>
        </w:rPr>
        <w:t>monetariamente.</w:t>
      </w:r>
    </w:p>
    <w:p w14:paraId="60B2B75C" w14:textId="77777777" w:rsidR="000E52B0" w:rsidRDefault="00F60D74">
      <w:pPr>
        <w:pStyle w:val="Textoindependiente"/>
        <w:spacing w:before="159"/>
        <w:ind w:right="720"/>
        <w:jc w:val="both"/>
      </w:pPr>
      <w:r>
        <w:t>Existen diferencias importantes entre las personas mayores, por ejemplo, entre</w:t>
      </w:r>
      <w:r>
        <w:rPr>
          <w:spacing w:val="-7"/>
        </w:rPr>
        <w:t xml:space="preserve"> </w:t>
      </w:r>
      <w:r>
        <w:t>quienes</w:t>
      </w:r>
      <w:r>
        <w:rPr>
          <w:spacing w:val="-8"/>
        </w:rPr>
        <w:t xml:space="preserve"> </w:t>
      </w:r>
      <w:r>
        <w:t>viven</w:t>
      </w:r>
      <w:r>
        <w:rPr>
          <w:spacing w:val="-9"/>
        </w:rPr>
        <w:t xml:space="preserve"> </w:t>
      </w:r>
      <w:r>
        <w:t>en</w:t>
      </w:r>
      <w:r>
        <w:rPr>
          <w:spacing w:val="-9"/>
        </w:rPr>
        <w:t xml:space="preserve"> </w:t>
      </w:r>
      <w:r>
        <w:t>áreas</w:t>
      </w:r>
      <w:r>
        <w:rPr>
          <w:spacing w:val="-9"/>
        </w:rPr>
        <w:t xml:space="preserve"> </w:t>
      </w:r>
      <w:r>
        <w:t>rurales,</w:t>
      </w:r>
      <w:r>
        <w:rPr>
          <w:spacing w:val="-10"/>
        </w:rPr>
        <w:t xml:space="preserve"> </w:t>
      </w:r>
      <w:r>
        <w:t>el</w:t>
      </w:r>
      <w:r>
        <w:rPr>
          <w:spacing w:val="-12"/>
        </w:rPr>
        <w:t xml:space="preserve"> </w:t>
      </w:r>
      <w:r>
        <w:t>36,6%</w:t>
      </w:r>
      <w:r>
        <w:rPr>
          <w:spacing w:val="-10"/>
        </w:rPr>
        <w:t xml:space="preserve"> </w:t>
      </w:r>
      <w:r>
        <w:t>están</w:t>
      </w:r>
      <w:r>
        <w:rPr>
          <w:spacing w:val="-10"/>
        </w:rPr>
        <w:t xml:space="preserve"> </w:t>
      </w:r>
      <w:r>
        <w:t>en</w:t>
      </w:r>
      <w:r>
        <w:rPr>
          <w:spacing w:val="-9"/>
        </w:rPr>
        <w:t xml:space="preserve"> </w:t>
      </w:r>
      <w:r>
        <w:t>pobreza,</w:t>
      </w:r>
      <w:r>
        <w:rPr>
          <w:spacing w:val="-10"/>
        </w:rPr>
        <w:t xml:space="preserve"> </w:t>
      </w:r>
      <w:r>
        <w:t>mientras que</w:t>
      </w:r>
      <w:r>
        <w:rPr>
          <w:spacing w:val="-8"/>
        </w:rPr>
        <w:t xml:space="preserve"> </w:t>
      </w:r>
      <w:r>
        <w:t>en</w:t>
      </w:r>
      <w:r>
        <w:rPr>
          <w:spacing w:val="-5"/>
        </w:rPr>
        <w:t xml:space="preserve"> </w:t>
      </w:r>
      <w:r>
        <w:t>las</w:t>
      </w:r>
      <w:r>
        <w:rPr>
          <w:spacing w:val="-5"/>
        </w:rPr>
        <w:t xml:space="preserve"> </w:t>
      </w:r>
      <w:r>
        <w:t>personas</w:t>
      </w:r>
      <w:r>
        <w:rPr>
          <w:spacing w:val="-7"/>
        </w:rPr>
        <w:t xml:space="preserve"> </w:t>
      </w:r>
      <w:r>
        <w:t>mayores</w:t>
      </w:r>
      <w:r>
        <w:rPr>
          <w:spacing w:val="-7"/>
        </w:rPr>
        <w:t xml:space="preserve"> </w:t>
      </w:r>
      <w:r>
        <w:t>de</w:t>
      </w:r>
      <w:r>
        <w:rPr>
          <w:spacing w:val="-6"/>
        </w:rPr>
        <w:t xml:space="preserve"> </w:t>
      </w:r>
      <w:r>
        <w:t>áreas</w:t>
      </w:r>
      <w:r>
        <w:rPr>
          <w:spacing w:val="-5"/>
        </w:rPr>
        <w:t xml:space="preserve"> </w:t>
      </w:r>
      <w:r>
        <w:t>urbanas</w:t>
      </w:r>
      <w:r>
        <w:rPr>
          <w:spacing w:val="-7"/>
        </w:rPr>
        <w:t xml:space="preserve"> </w:t>
      </w:r>
      <w:r>
        <w:t>el</w:t>
      </w:r>
      <w:r>
        <w:rPr>
          <w:spacing w:val="-6"/>
        </w:rPr>
        <w:t xml:space="preserve"> </w:t>
      </w:r>
      <w:r>
        <w:t>porcentaje</w:t>
      </w:r>
      <w:r>
        <w:rPr>
          <w:spacing w:val="-6"/>
        </w:rPr>
        <w:t xml:space="preserve"> </w:t>
      </w:r>
      <w:r>
        <w:t>es</w:t>
      </w:r>
      <w:r>
        <w:rPr>
          <w:spacing w:val="-7"/>
        </w:rPr>
        <w:t xml:space="preserve"> </w:t>
      </w:r>
      <w:r>
        <w:t>de</w:t>
      </w:r>
      <w:r>
        <w:rPr>
          <w:spacing w:val="-5"/>
        </w:rPr>
        <w:t xml:space="preserve"> </w:t>
      </w:r>
      <w:r>
        <w:rPr>
          <w:spacing w:val="-2"/>
        </w:rPr>
        <w:t>22,7%,</w:t>
      </w:r>
    </w:p>
    <w:p w14:paraId="433135B7" w14:textId="77777777" w:rsidR="000E52B0" w:rsidRDefault="000E52B0">
      <w:pPr>
        <w:pStyle w:val="Textoindependiente"/>
        <w:jc w:val="both"/>
        <w:sectPr w:rsidR="000E52B0">
          <w:type w:val="continuous"/>
          <w:pgSz w:w="11910" w:h="16840"/>
          <w:pgMar w:top="1340" w:right="720" w:bottom="1280" w:left="720" w:header="0" w:footer="995" w:gutter="0"/>
          <w:cols w:space="720"/>
        </w:sectPr>
      </w:pPr>
    </w:p>
    <w:p w14:paraId="51E67988" w14:textId="77777777" w:rsidR="000E52B0" w:rsidRDefault="00F60D74">
      <w:pPr>
        <w:pStyle w:val="Textoindependiente"/>
        <w:spacing w:before="83"/>
        <w:ind w:right="714"/>
        <w:jc w:val="both"/>
      </w:pPr>
      <w:r>
        <w:lastRenderedPageBreak/>
        <w:t xml:space="preserve">una brecha de 13,9 p.p. mientras que en la población total la brecha por zona es de 12,1. Las brechas por Pueblos étnicos, aunque son menores a las de la población total, muestran cómo hay más personas mayores indígenas en pobreza monetaria que personas mayores en centros </w:t>
      </w:r>
      <w:r>
        <w:rPr>
          <w:spacing w:val="-2"/>
        </w:rPr>
        <w:t>poblados.</w:t>
      </w:r>
    </w:p>
    <w:p w14:paraId="11D13E43" w14:textId="77777777" w:rsidR="000E52B0" w:rsidRDefault="00F60D74">
      <w:pPr>
        <w:spacing w:before="157"/>
        <w:ind w:left="720" w:right="715"/>
        <w:jc w:val="both"/>
        <w:rPr>
          <w:i/>
          <w:sz w:val="18"/>
        </w:rPr>
      </w:pPr>
      <w:bookmarkStart w:id="49" w:name="_bookmark49"/>
      <w:bookmarkEnd w:id="49"/>
      <w:r>
        <w:rPr>
          <w:i/>
          <w:color w:val="454551"/>
          <w:sz w:val="18"/>
        </w:rPr>
        <w:t>Ilustración 32.</w:t>
      </w:r>
      <w:r>
        <w:rPr>
          <w:i/>
          <w:color w:val="454551"/>
          <w:spacing w:val="-2"/>
          <w:sz w:val="18"/>
        </w:rPr>
        <w:t xml:space="preserve"> </w:t>
      </w:r>
      <w:r>
        <w:rPr>
          <w:i/>
          <w:color w:val="454551"/>
          <w:sz w:val="18"/>
        </w:rPr>
        <w:t>Porcentaje</w:t>
      </w:r>
      <w:r>
        <w:rPr>
          <w:i/>
          <w:color w:val="454551"/>
          <w:spacing w:val="-1"/>
          <w:sz w:val="18"/>
        </w:rPr>
        <w:t xml:space="preserve"> </w:t>
      </w:r>
      <w:r>
        <w:rPr>
          <w:i/>
          <w:color w:val="454551"/>
          <w:sz w:val="18"/>
        </w:rPr>
        <w:t>de</w:t>
      </w:r>
      <w:r>
        <w:rPr>
          <w:i/>
          <w:color w:val="454551"/>
          <w:spacing w:val="-1"/>
          <w:sz w:val="18"/>
        </w:rPr>
        <w:t xml:space="preserve"> </w:t>
      </w:r>
      <w:r>
        <w:rPr>
          <w:i/>
          <w:color w:val="454551"/>
          <w:sz w:val="18"/>
        </w:rPr>
        <w:t>personas</w:t>
      </w:r>
      <w:r>
        <w:rPr>
          <w:i/>
          <w:color w:val="454551"/>
          <w:spacing w:val="-2"/>
          <w:sz w:val="18"/>
        </w:rPr>
        <w:t xml:space="preserve"> </w:t>
      </w:r>
      <w:r>
        <w:rPr>
          <w:i/>
          <w:color w:val="454551"/>
          <w:sz w:val="18"/>
        </w:rPr>
        <w:t>en pobreza</w:t>
      </w:r>
      <w:r>
        <w:rPr>
          <w:i/>
          <w:color w:val="454551"/>
          <w:spacing w:val="-1"/>
          <w:sz w:val="18"/>
        </w:rPr>
        <w:t xml:space="preserve"> </w:t>
      </w:r>
      <w:r>
        <w:rPr>
          <w:i/>
          <w:color w:val="454551"/>
          <w:sz w:val="18"/>
        </w:rPr>
        <w:t>monetaria</w:t>
      </w:r>
      <w:r>
        <w:rPr>
          <w:i/>
          <w:color w:val="454551"/>
          <w:spacing w:val="-1"/>
          <w:sz w:val="18"/>
        </w:rPr>
        <w:t xml:space="preserve"> </w:t>
      </w:r>
      <w:r>
        <w:rPr>
          <w:i/>
          <w:color w:val="454551"/>
          <w:sz w:val="18"/>
        </w:rPr>
        <w:t>según variables</w:t>
      </w:r>
      <w:r>
        <w:rPr>
          <w:i/>
          <w:color w:val="454551"/>
          <w:spacing w:val="-1"/>
          <w:sz w:val="18"/>
        </w:rPr>
        <w:t xml:space="preserve"> </w:t>
      </w:r>
      <w:r>
        <w:rPr>
          <w:i/>
          <w:color w:val="454551"/>
          <w:sz w:val="18"/>
        </w:rPr>
        <w:t>de</w:t>
      </w:r>
      <w:r>
        <w:rPr>
          <w:i/>
          <w:color w:val="454551"/>
          <w:spacing w:val="-1"/>
          <w:sz w:val="18"/>
        </w:rPr>
        <w:t xml:space="preserve"> </w:t>
      </w:r>
      <w:r>
        <w:rPr>
          <w:i/>
          <w:color w:val="454551"/>
          <w:sz w:val="18"/>
        </w:rPr>
        <w:t>clase geográfica</w:t>
      </w:r>
      <w:r>
        <w:rPr>
          <w:i/>
          <w:color w:val="454551"/>
          <w:spacing w:val="-1"/>
          <w:sz w:val="18"/>
        </w:rPr>
        <w:t xml:space="preserve"> </w:t>
      </w:r>
      <w:r>
        <w:rPr>
          <w:i/>
          <w:color w:val="454551"/>
          <w:sz w:val="18"/>
        </w:rPr>
        <w:t>y pertenencia étnica</w:t>
      </w:r>
    </w:p>
    <w:p w14:paraId="234E3A60" w14:textId="77777777" w:rsidR="000E52B0" w:rsidRDefault="000E52B0">
      <w:pPr>
        <w:pStyle w:val="Textoindependiente"/>
        <w:spacing w:before="7"/>
        <w:ind w:left="0"/>
        <w:rPr>
          <w:i/>
          <w:sz w:val="16"/>
        </w:r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646"/>
        <w:gridCol w:w="1141"/>
        <w:gridCol w:w="1042"/>
        <w:gridCol w:w="1143"/>
        <w:gridCol w:w="1870"/>
        <w:gridCol w:w="677"/>
        <w:gridCol w:w="1333"/>
      </w:tblGrid>
      <w:tr w:rsidR="000E52B0" w14:paraId="295783DC" w14:textId="77777777">
        <w:trPr>
          <w:trHeight w:val="1094"/>
        </w:trPr>
        <w:tc>
          <w:tcPr>
            <w:tcW w:w="1169" w:type="dxa"/>
          </w:tcPr>
          <w:p w14:paraId="0B224AE5" w14:textId="77777777" w:rsidR="000E52B0" w:rsidRDefault="000E52B0">
            <w:pPr>
              <w:pStyle w:val="TableParagraph"/>
              <w:spacing w:before="108"/>
              <w:rPr>
                <w:i/>
                <w:sz w:val="18"/>
              </w:rPr>
            </w:pPr>
          </w:p>
          <w:p w14:paraId="3D9FFAC0" w14:textId="77777777" w:rsidR="000E52B0" w:rsidRDefault="00F60D74">
            <w:pPr>
              <w:pStyle w:val="TableParagraph"/>
              <w:spacing w:before="1"/>
              <w:ind w:left="69" w:right="91" w:firstLine="62"/>
              <w:rPr>
                <w:b/>
                <w:sz w:val="18"/>
              </w:rPr>
            </w:pPr>
            <w:proofErr w:type="spellStart"/>
            <w:r>
              <w:rPr>
                <w:b/>
                <w:spacing w:val="-2"/>
                <w:sz w:val="18"/>
              </w:rPr>
              <w:t>Població</w:t>
            </w:r>
            <w:proofErr w:type="spellEnd"/>
            <w:r>
              <w:rPr>
                <w:b/>
                <w:spacing w:val="-2"/>
                <w:sz w:val="18"/>
              </w:rPr>
              <w:t xml:space="preserve"> </w:t>
            </w:r>
            <w:r>
              <w:rPr>
                <w:b/>
                <w:spacing w:val="-10"/>
                <w:sz w:val="18"/>
              </w:rPr>
              <w:t>n</w:t>
            </w:r>
          </w:p>
        </w:tc>
        <w:tc>
          <w:tcPr>
            <w:tcW w:w="646" w:type="dxa"/>
          </w:tcPr>
          <w:p w14:paraId="3D635D22" w14:textId="77777777" w:rsidR="000E52B0" w:rsidRDefault="000E52B0">
            <w:pPr>
              <w:pStyle w:val="TableParagraph"/>
              <w:spacing w:before="108"/>
              <w:rPr>
                <w:i/>
                <w:sz w:val="18"/>
              </w:rPr>
            </w:pPr>
          </w:p>
          <w:p w14:paraId="27F8C2D6" w14:textId="77777777" w:rsidR="000E52B0" w:rsidRDefault="00F60D74">
            <w:pPr>
              <w:pStyle w:val="TableParagraph"/>
              <w:spacing w:before="1"/>
              <w:ind w:left="289" w:right="77" w:hanging="195"/>
              <w:rPr>
                <w:b/>
                <w:sz w:val="18"/>
              </w:rPr>
            </w:pPr>
            <w:r>
              <w:rPr>
                <w:b/>
                <w:spacing w:val="-4"/>
                <w:sz w:val="18"/>
              </w:rPr>
              <w:t xml:space="preserve">Tota </w:t>
            </w:r>
            <w:r>
              <w:rPr>
                <w:b/>
                <w:spacing w:val="-10"/>
                <w:sz w:val="18"/>
              </w:rPr>
              <w:t>l</w:t>
            </w:r>
          </w:p>
        </w:tc>
        <w:tc>
          <w:tcPr>
            <w:tcW w:w="1141" w:type="dxa"/>
          </w:tcPr>
          <w:p w14:paraId="0D574B49" w14:textId="77777777" w:rsidR="000E52B0" w:rsidRDefault="00F60D74">
            <w:pPr>
              <w:pStyle w:val="TableParagraph"/>
              <w:spacing w:before="217"/>
              <w:ind w:left="114" w:right="109" w:firstLine="4"/>
              <w:jc w:val="center"/>
              <w:rPr>
                <w:b/>
                <w:sz w:val="18"/>
              </w:rPr>
            </w:pPr>
            <w:r>
              <w:rPr>
                <w:b/>
                <w:spacing w:val="-6"/>
                <w:sz w:val="18"/>
              </w:rPr>
              <w:t xml:space="preserve">En </w:t>
            </w:r>
            <w:r>
              <w:rPr>
                <w:b/>
                <w:spacing w:val="-2"/>
                <w:sz w:val="18"/>
              </w:rPr>
              <w:t xml:space="preserve">cabecera </w:t>
            </w:r>
            <w:r>
              <w:rPr>
                <w:b/>
                <w:spacing w:val="-10"/>
                <w:sz w:val="18"/>
              </w:rPr>
              <w:t>s</w:t>
            </w:r>
          </w:p>
        </w:tc>
        <w:tc>
          <w:tcPr>
            <w:tcW w:w="1042" w:type="dxa"/>
          </w:tcPr>
          <w:p w14:paraId="68EFE431" w14:textId="77777777" w:rsidR="000E52B0" w:rsidRDefault="00F60D74">
            <w:pPr>
              <w:pStyle w:val="TableParagraph"/>
              <w:ind w:left="99" w:right="93" w:firstLine="4"/>
              <w:jc w:val="center"/>
              <w:rPr>
                <w:b/>
                <w:sz w:val="18"/>
              </w:rPr>
            </w:pPr>
            <w:r>
              <w:rPr>
                <w:b/>
                <w:spacing w:val="-6"/>
                <w:sz w:val="18"/>
              </w:rPr>
              <w:t xml:space="preserve">En </w:t>
            </w:r>
            <w:r>
              <w:rPr>
                <w:b/>
                <w:spacing w:val="-2"/>
                <w:sz w:val="18"/>
              </w:rPr>
              <w:t xml:space="preserve">centros poblado </w:t>
            </w:r>
            <w:r>
              <w:rPr>
                <w:b/>
                <w:sz w:val="18"/>
              </w:rPr>
              <w:t>s</w:t>
            </w:r>
            <w:r>
              <w:rPr>
                <w:b/>
                <w:spacing w:val="1"/>
                <w:sz w:val="18"/>
              </w:rPr>
              <w:t xml:space="preserve"> </w:t>
            </w:r>
            <w:r>
              <w:rPr>
                <w:b/>
                <w:sz w:val="18"/>
              </w:rPr>
              <w:t>y</w:t>
            </w:r>
            <w:r>
              <w:rPr>
                <w:b/>
                <w:spacing w:val="1"/>
                <w:sz w:val="18"/>
              </w:rPr>
              <w:t xml:space="preserve"> </w:t>
            </w:r>
            <w:r>
              <w:rPr>
                <w:b/>
                <w:spacing w:val="-2"/>
                <w:sz w:val="18"/>
              </w:rPr>
              <w:t>rural</w:t>
            </w:r>
          </w:p>
          <w:p w14:paraId="5612203D" w14:textId="77777777" w:rsidR="000E52B0" w:rsidRDefault="00F60D74">
            <w:pPr>
              <w:pStyle w:val="TableParagraph"/>
              <w:spacing w:line="199" w:lineRule="exact"/>
              <w:ind w:left="8" w:right="1"/>
              <w:jc w:val="center"/>
              <w:rPr>
                <w:b/>
                <w:sz w:val="18"/>
              </w:rPr>
            </w:pPr>
            <w:r>
              <w:rPr>
                <w:b/>
                <w:spacing w:val="-2"/>
                <w:sz w:val="18"/>
              </w:rPr>
              <w:t>disperso</w:t>
            </w:r>
          </w:p>
        </w:tc>
        <w:tc>
          <w:tcPr>
            <w:tcW w:w="1143" w:type="dxa"/>
          </w:tcPr>
          <w:p w14:paraId="106BA858" w14:textId="77777777" w:rsidR="000E52B0" w:rsidRDefault="000E52B0">
            <w:pPr>
              <w:pStyle w:val="TableParagraph"/>
              <w:spacing w:before="108"/>
              <w:rPr>
                <w:i/>
                <w:sz w:val="18"/>
              </w:rPr>
            </w:pPr>
          </w:p>
          <w:p w14:paraId="0D25E5D4" w14:textId="77777777" w:rsidR="000E52B0" w:rsidRDefault="00F60D74">
            <w:pPr>
              <w:pStyle w:val="TableParagraph"/>
              <w:spacing w:before="1"/>
              <w:ind w:left="517" w:right="106" w:hanging="402"/>
              <w:rPr>
                <w:b/>
                <w:sz w:val="18"/>
              </w:rPr>
            </w:pPr>
            <w:r>
              <w:rPr>
                <w:b/>
                <w:spacing w:val="-2"/>
                <w:sz w:val="18"/>
              </w:rPr>
              <w:t xml:space="preserve">Indígena </w:t>
            </w:r>
            <w:r>
              <w:rPr>
                <w:b/>
                <w:spacing w:val="-10"/>
                <w:sz w:val="18"/>
              </w:rPr>
              <w:t>s</w:t>
            </w:r>
          </w:p>
        </w:tc>
        <w:tc>
          <w:tcPr>
            <w:tcW w:w="1870" w:type="dxa"/>
          </w:tcPr>
          <w:p w14:paraId="01EEAFCA" w14:textId="77777777" w:rsidR="000E52B0" w:rsidRDefault="00F60D74">
            <w:pPr>
              <w:pStyle w:val="TableParagraph"/>
              <w:spacing w:before="217"/>
              <w:ind w:left="96" w:right="91"/>
              <w:jc w:val="center"/>
              <w:rPr>
                <w:b/>
                <w:sz w:val="18"/>
              </w:rPr>
            </w:pPr>
            <w:r>
              <w:rPr>
                <w:b/>
                <w:spacing w:val="-2"/>
                <w:sz w:val="18"/>
              </w:rPr>
              <w:t xml:space="preserve">Población </w:t>
            </w:r>
            <w:proofErr w:type="spellStart"/>
            <w:r>
              <w:rPr>
                <w:b/>
                <w:spacing w:val="-2"/>
                <w:sz w:val="18"/>
              </w:rPr>
              <w:t>afrodescendient</w:t>
            </w:r>
            <w:proofErr w:type="spellEnd"/>
            <w:r>
              <w:rPr>
                <w:b/>
                <w:spacing w:val="-2"/>
                <w:sz w:val="18"/>
              </w:rPr>
              <w:t xml:space="preserve"> </w:t>
            </w:r>
            <w:r>
              <w:rPr>
                <w:b/>
                <w:spacing w:val="-10"/>
                <w:sz w:val="18"/>
              </w:rPr>
              <w:t>e</w:t>
            </w:r>
          </w:p>
        </w:tc>
        <w:tc>
          <w:tcPr>
            <w:tcW w:w="677" w:type="dxa"/>
          </w:tcPr>
          <w:p w14:paraId="3CDA8D95" w14:textId="77777777" w:rsidR="000E52B0" w:rsidRDefault="000E52B0">
            <w:pPr>
              <w:pStyle w:val="TableParagraph"/>
              <w:spacing w:before="108"/>
              <w:rPr>
                <w:i/>
                <w:sz w:val="18"/>
              </w:rPr>
            </w:pPr>
          </w:p>
          <w:p w14:paraId="277665A0" w14:textId="77777777" w:rsidR="000E52B0" w:rsidRDefault="00F60D74">
            <w:pPr>
              <w:pStyle w:val="TableParagraph"/>
              <w:spacing w:before="1"/>
              <w:ind w:left="240" w:right="147" w:hanging="82"/>
              <w:rPr>
                <w:b/>
                <w:sz w:val="18"/>
              </w:rPr>
            </w:pPr>
            <w:proofErr w:type="spellStart"/>
            <w:r>
              <w:rPr>
                <w:b/>
                <w:spacing w:val="-4"/>
                <w:sz w:val="18"/>
              </w:rPr>
              <w:t>Rro</w:t>
            </w:r>
            <w:proofErr w:type="spellEnd"/>
            <w:r>
              <w:rPr>
                <w:b/>
                <w:spacing w:val="-4"/>
                <w:sz w:val="18"/>
              </w:rPr>
              <w:t xml:space="preserve"> </w:t>
            </w:r>
            <w:r>
              <w:rPr>
                <w:b/>
                <w:spacing w:val="-10"/>
                <w:sz w:val="18"/>
              </w:rPr>
              <w:t>m</w:t>
            </w:r>
          </w:p>
        </w:tc>
        <w:tc>
          <w:tcPr>
            <w:tcW w:w="1333" w:type="dxa"/>
          </w:tcPr>
          <w:p w14:paraId="0425631A" w14:textId="77777777" w:rsidR="000E52B0" w:rsidRDefault="00F60D74">
            <w:pPr>
              <w:pStyle w:val="TableParagraph"/>
              <w:spacing w:before="217"/>
              <w:ind w:left="120" w:right="117" w:firstLine="2"/>
              <w:jc w:val="center"/>
              <w:rPr>
                <w:b/>
                <w:sz w:val="18"/>
              </w:rPr>
            </w:pPr>
            <w:r>
              <w:rPr>
                <w:b/>
                <w:spacing w:val="-4"/>
                <w:sz w:val="18"/>
              </w:rPr>
              <w:t xml:space="preserve">Sin </w:t>
            </w:r>
            <w:proofErr w:type="spellStart"/>
            <w:r>
              <w:rPr>
                <w:b/>
                <w:spacing w:val="-2"/>
                <w:sz w:val="18"/>
              </w:rPr>
              <w:t>Pertenenci</w:t>
            </w:r>
            <w:proofErr w:type="spellEnd"/>
            <w:r>
              <w:rPr>
                <w:b/>
                <w:spacing w:val="-2"/>
                <w:sz w:val="18"/>
              </w:rPr>
              <w:t xml:space="preserve"> </w:t>
            </w:r>
            <w:r>
              <w:rPr>
                <w:b/>
                <w:sz w:val="18"/>
              </w:rPr>
              <w:t>a étnica</w:t>
            </w:r>
          </w:p>
        </w:tc>
      </w:tr>
      <w:tr w:rsidR="000E52B0" w14:paraId="7A3C225E" w14:textId="77777777">
        <w:trPr>
          <w:trHeight w:val="576"/>
        </w:trPr>
        <w:tc>
          <w:tcPr>
            <w:tcW w:w="1169" w:type="dxa"/>
          </w:tcPr>
          <w:p w14:paraId="1D6A573B" w14:textId="77777777" w:rsidR="000E52B0" w:rsidRDefault="00F60D74">
            <w:pPr>
              <w:pStyle w:val="TableParagraph"/>
              <w:spacing w:before="68"/>
              <w:ind w:left="69" w:right="91"/>
              <w:rPr>
                <w:sz w:val="18"/>
              </w:rPr>
            </w:pPr>
            <w:r>
              <w:rPr>
                <w:spacing w:val="-2"/>
                <w:sz w:val="18"/>
              </w:rPr>
              <w:t>Población general</w:t>
            </w:r>
          </w:p>
        </w:tc>
        <w:tc>
          <w:tcPr>
            <w:tcW w:w="646" w:type="dxa"/>
            <w:shd w:val="clear" w:color="auto" w:fill="FFCC00"/>
          </w:tcPr>
          <w:p w14:paraId="13A130C7" w14:textId="77777777" w:rsidR="000E52B0" w:rsidRDefault="00F60D74">
            <w:pPr>
              <w:pStyle w:val="TableParagraph"/>
              <w:spacing w:before="177"/>
              <w:ind w:left="7"/>
              <w:jc w:val="center"/>
              <w:rPr>
                <w:sz w:val="18"/>
              </w:rPr>
            </w:pPr>
            <w:r>
              <w:rPr>
                <w:spacing w:val="-4"/>
                <w:sz w:val="18"/>
              </w:rPr>
              <w:t>36,6</w:t>
            </w:r>
          </w:p>
        </w:tc>
        <w:tc>
          <w:tcPr>
            <w:tcW w:w="1141" w:type="dxa"/>
            <w:shd w:val="clear" w:color="auto" w:fill="FFFF00"/>
          </w:tcPr>
          <w:p w14:paraId="29D8FA91" w14:textId="77777777" w:rsidR="000E52B0" w:rsidRDefault="00F60D74">
            <w:pPr>
              <w:pStyle w:val="TableParagraph"/>
              <w:spacing w:before="177"/>
              <w:ind w:left="7"/>
              <w:jc w:val="center"/>
              <w:rPr>
                <w:sz w:val="18"/>
              </w:rPr>
            </w:pPr>
            <w:r>
              <w:rPr>
                <w:spacing w:val="-4"/>
                <w:sz w:val="18"/>
              </w:rPr>
              <w:t>33,8</w:t>
            </w:r>
          </w:p>
        </w:tc>
        <w:tc>
          <w:tcPr>
            <w:tcW w:w="1042" w:type="dxa"/>
            <w:shd w:val="clear" w:color="auto" w:fill="FF9933"/>
          </w:tcPr>
          <w:p w14:paraId="04114FF7" w14:textId="77777777" w:rsidR="000E52B0" w:rsidRDefault="00F60D74">
            <w:pPr>
              <w:pStyle w:val="TableParagraph"/>
              <w:spacing w:before="177"/>
              <w:ind w:left="8"/>
              <w:jc w:val="center"/>
              <w:rPr>
                <w:sz w:val="18"/>
              </w:rPr>
            </w:pPr>
            <w:r>
              <w:rPr>
                <w:spacing w:val="-4"/>
                <w:sz w:val="18"/>
              </w:rPr>
              <w:t>45,9</w:t>
            </w:r>
          </w:p>
        </w:tc>
        <w:tc>
          <w:tcPr>
            <w:tcW w:w="1143" w:type="dxa"/>
            <w:shd w:val="clear" w:color="auto" w:fill="FF3300"/>
          </w:tcPr>
          <w:p w14:paraId="27356E8E" w14:textId="77777777" w:rsidR="000E52B0" w:rsidRDefault="00F60D74">
            <w:pPr>
              <w:pStyle w:val="TableParagraph"/>
              <w:spacing w:before="177"/>
              <w:ind w:left="8"/>
              <w:jc w:val="center"/>
              <w:rPr>
                <w:sz w:val="18"/>
              </w:rPr>
            </w:pPr>
            <w:r>
              <w:rPr>
                <w:spacing w:val="-4"/>
                <w:sz w:val="18"/>
              </w:rPr>
              <w:t>63,6</w:t>
            </w:r>
          </w:p>
        </w:tc>
        <w:tc>
          <w:tcPr>
            <w:tcW w:w="1870" w:type="dxa"/>
            <w:shd w:val="clear" w:color="auto" w:fill="FF9933"/>
          </w:tcPr>
          <w:p w14:paraId="47DEFD6D" w14:textId="77777777" w:rsidR="000E52B0" w:rsidRDefault="00F60D74">
            <w:pPr>
              <w:pStyle w:val="TableParagraph"/>
              <w:spacing w:before="177"/>
              <w:ind w:left="96" w:right="92"/>
              <w:jc w:val="center"/>
              <w:rPr>
                <w:sz w:val="18"/>
              </w:rPr>
            </w:pPr>
            <w:r>
              <w:rPr>
                <w:spacing w:val="-4"/>
                <w:sz w:val="18"/>
              </w:rPr>
              <w:t>46,9</w:t>
            </w:r>
          </w:p>
        </w:tc>
        <w:tc>
          <w:tcPr>
            <w:tcW w:w="677" w:type="dxa"/>
            <w:shd w:val="clear" w:color="auto" w:fill="CCFF33"/>
          </w:tcPr>
          <w:p w14:paraId="50AD0F25" w14:textId="77777777" w:rsidR="000E52B0" w:rsidRDefault="00F60D74">
            <w:pPr>
              <w:pStyle w:val="TableParagraph"/>
              <w:spacing w:before="177"/>
              <w:ind w:left="7"/>
              <w:jc w:val="center"/>
              <w:rPr>
                <w:sz w:val="18"/>
              </w:rPr>
            </w:pPr>
            <w:r>
              <w:rPr>
                <w:spacing w:val="-4"/>
                <w:sz w:val="18"/>
              </w:rPr>
              <w:t>32,7</w:t>
            </w:r>
          </w:p>
        </w:tc>
        <w:tc>
          <w:tcPr>
            <w:tcW w:w="1333" w:type="dxa"/>
            <w:shd w:val="clear" w:color="auto" w:fill="FFFF00"/>
          </w:tcPr>
          <w:p w14:paraId="1A2AE266" w14:textId="77777777" w:rsidR="000E52B0" w:rsidRDefault="00F60D74">
            <w:pPr>
              <w:pStyle w:val="TableParagraph"/>
              <w:spacing w:before="177"/>
              <w:ind w:left="4"/>
              <w:jc w:val="center"/>
              <w:rPr>
                <w:sz w:val="18"/>
              </w:rPr>
            </w:pPr>
            <w:r>
              <w:rPr>
                <w:spacing w:val="-4"/>
                <w:sz w:val="18"/>
              </w:rPr>
              <w:t>34,6</w:t>
            </w:r>
          </w:p>
        </w:tc>
      </w:tr>
      <w:tr w:rsidR="000E52B0" w14:paraId="4D6DE839" w14:textId="77777777">
        <w:trPr>
          <w:trHeight w:val="575"/>
        </w:trPr>
        <w:tc>
          <w:tcPr>
            <w:tcW w:w="1169" w:type="dxa"/>
          </w:tcPr>
          <w:p w14:paraId="6FFF5CA4" w14:textId="77777777" w:rsidR="000E52B0" w:rsidRDefault="00F60D74">
            <w:pPr>
              <w:pStyle w:val="TableParagraph"/>
              <w:spacing w:before="68"/>
              <w:ind w:left="69" w:right="91"/>
              <w:rPr>
                <w:sz w:val="18"/>
              </w:rPr>
            </w:pPr>
            <w:r>
              <w:rPr>
                <w:spacing w:val="-2"/>
                <w:sz w:val="18"/>
              </w:rPr>
              <w:t>Personas mayores</w:t>
            </w:r>
          </w:p>
        </w:tc>
        <w:tc>
          <w:tcPr>
            <w:tcW w:w="646" w:type="dxa"/>
            <w:shd w:val="clear" w:color="auto" w:fill="CCFF33"/>
          </w:tcPr>
          <w:p w14:paraId="32920062" w14:textId="77777777" w:rsidR="000E52B0" w:rsidRDefault="00F60D74">
            <w:pPr>
              <w:pStyle w:val="TableParagraph"/>
              <w:spacing w:before="179"/>
              <w:ind w:left="7" w:right="1"/>
              <w:jc w:val="center"/>
              <w:rPr>
                <w:sz w:val="18"/>
              </w:rPr>
            </w:pPr>
            <w:r>
              <w:rPr>
                <w:spacing w:val="-5"/>
                <w:sz w:val="18"/>
              </w:rPr>
              <w:t>26</w:t>
            </w:r>
          </w:p>
        </w:tc>
        <w:tc>
          <w:tcPr>
            <w:tcW w:w="1141" w:type="dxa"/>
            <w:shd w:val="clear" w:color="auto" w:fill="00CC66"/>
          </w:tcPr>
          <w:p w14:paraId="26256C5F" w14:textId="77777777" w:rsidR="000E52B0" w:rsidRDefault="00F60D74">
            <w:pPr>
              <w:pStyle w:val="TableParagraph"/>
              <w:spacing w:before="179"/>
              <w:ind w:left="7"/>
              <w:jc w:val="center"/>
              <w:rPr>
                <w:sz w:val="18"/>
              </w:rPr>
            </w:pPr>
            <w:r>
              <w:rPr>
                <w:spacing w:val="-4"/>
                <w:sz w:val="18"/>
              </w:rPr>
              <w:t>22,7</w:t>
            </w:r>
          </w:p>
        </w:tc>
        <w:tc>
          <w:tcPr>
            <w:tcW w:w="1042" w:type="dxa"/>
            <w:shd w:val="clear" w:color="auto" w:fill="FFCC00"/>
          </w:tcPr>
          <w:p w14:paraId="04BB37E8" w14:textId="77777777" w:rsidR="000E52B0" w:rsidRDefault="00F60D74">
            <w:pPr>
              <w:pStyle w:val="TableParagraph"/>
              <w:spacing w:before="179"/>
              <w:ind w:left="8"/>
              <w:jc w:val="center"/>
              <w:rPr>
                <w:sz w:val="18"/>
              </w:rPr>
            </w:pPr>
            <w:r>
              <w:rPr>
                <w:spacing w:val="-4"/>
                <w:sz w:val="18"/>
              </w:rPr>
              <w:t>36,6</w:t>
            </w:r>
          </w:p>
        </w:tc>
        <w:tc>
          <w:tcPr>
            <w:tcW w:w="1143" w:type="dxa"/>
            <w:shd w:val="clear" w:color="auto" w:fill="FF9933"/>
          </w:tcPr>
          <w:p w14:paraId="1D5C6606" w14:textId="77777777" w:rsidR="000E52B0" w:rsidRDefault="00F60D74">
            <w:pPr>
              <w:pStyle w:val="TableParagraph"/>
              <w:spacing w:before="179"/>
              <w:ind w:left="8"/>
              <w:jc w:val="center"/>
              <w:rPr>
                <w:sz w:val="18"/>
              </w:rPr>
            </w:pPr>
            <w:r>
              <w:rPr>
                <w:spacing w:val="-4"/>
                <w:sz w:val="18"/>
              </w:rPr>
              <w:t>48,1</w:t>
            </w:r>
          </w:p>
        </w:tc>
        <w:tc>
          <w:tcPr>
            <w:tcW w:w="1870" w:type="dxa"/>
            <w:shd w:val="clear" w:color="auto" w:fill="CCFF33"/>
          </w:tcPr>
          <w:p w14:paraId="7CC2A421" w14:textId="77777777" w:rsidR="000E52B0" w:rsidRDefault="00F60D74">
            <w:pPr>
              <w:pStyle w:val="TableParagraph"/>
              <w:spacing w:before="179"/>
              <w:ind w:left="96" w:right="92"/>
              <w:jc w:val="center"/>
              <w:rPr>
                <w:sz w:val="18"/>
              </w:rPr>
            </w:pPr>
            <w:r>
              <w:rPr>
                <w:spacing w:val="-4"/>
                <w:sz w:val="18"/>
              </w:rPr>
              <w:t>32,4</w:t>
            </w:r>
          </w:p>
        </w:tc>
        <w:tc>
          <w:tcPr>
            <w:tcW w:w="677" w:type="dxa"/>
            <w:shd w:val="clear" w:color="auto" w:fill="FF6600"/>
          </w:tcPr>
          <w:p w14:paraId="521F8FC8" w14:textId="77777777" w:rsidR="000E52B0" w:rsidRDefault="00F60D74">
            <w:pPr>
              <w:pStyle w:val="TableParagraph"/>
              <w:spacing w:before="179"/>
              <w:ind w:left="7" w:right="1"/>
              <w:jc w:val="center"/>
              <w:rPr>
                <w:sz w:val="18"/>
              </w:rPr>
            </w:pPr>
            <w:r>
              <w:rPr>
                <w:spacing w:val="-5"/>
                <w:sz w:val="18"/>
              </w:rPr>
              <w:t>51</w:t>
            </w:r>
          </w:p>
        </w:tc>
        <w:tc>
          <w:tcPr>
            <w:tcW w:w="1333" w:type="dxa"/>
            <w:shd w:val="clear" w:color="auto" w:fill="33CC33"/>
          </w:tcPr>
          <w:p w14:paraId="1FDBC6FF" w14:textId="77777777" w:rsidR="000E52B0" w:rsidRDefault="00F60D74">
            <w:pPr>
              <w:pStyle w:val="TableParagraph"/>
              <w:spacing w:before="179"/>
              <w:ind w:left="4"/>
              <w:jc w:val="center"/>
              <w:rPr>
                <w:sz w:val="18"/>
              </w:rPr>
            </w:pPr>
            <w:r>
              <w:rPr>
                <w:spacing w:val="-4"/>
                <w:sz w:val="18"/>
              </w:rPr>
              <w:t>24,7</w:t>
            </w:r>
          </w:p>
        </w:tc>
      </w:tr>
    </w:tbl>
    <w:p w14:paraId="0C72A668" w14:textId="77777777" w:rsidR="000E52B0" w:rsidRDefault="00F60D74">
      <w:pPr>
        <w:ind w:right="1"/>
        <w:jc w:val="center"/>
        <w:rPr>
          <w:i/>
          <w:sz w:val="18"/>
        </w:rPr>
      </w:pPr>
      <w:r>
        <w:rPr>
          <w:i/>
          <w:color w:val="454551"/>
          <w:sz w:val="18"/>
        </w:rPr>
        <w:t>Fuente</w:t>
      </w:r>
      <w:r>
        <w:rPr>
          <w:i/>
          <w:color w:val="454551"/>
          <w:spacing w:val="-4"/>
          <w:sz w:val="18"/>
        </w:rPr>
        <w:t xml:space="preserve"> </w:t>
      </w:r>
      <w:r>
        <w:rPr>
          <w:i/>
          <w:color w:val="454551"/>
          <w:sz w:val="18"/>
        </w:rPr>
        <w:t>22.</w:t>
      </w:r>
      <w:r>
        <w:rPr>
          <w:i/>
          <w:color w:val="454551"/>
          <w:spacing w:val="-4"/>
          <w:sz w:val="18"/>
        </w:rPr>
        <w:t xml:space="preserve"> </w:t>
      </w:r>
      <w:r>
        <w:rPr>
          <w:i/>
          <w:color w:val="454551"/>
          <w:sz w:val="18"/>
        </w:rPr>
        <w:t>Ministerio</w:t>
      </w:r>
      <w:r>
        <w:rPr>
          <w:i/>
          <w:color w:val="454551"/>
          <w:spacing w:val="-2"/>
          <w:sz w:val="18"/>
        </w:rPr>
        <w:t xml:space="preserve"> </w:t>
      </w:r>
      <w:r>
        <w:rPr>
          <w:i/>
          <w:color w:val="454551"/>
          <w:sz w:val="18"/>
        </w:rPr>
        <w:t>de</w:t>
      </w:r>
      <w:r>
        <w:rPr>
          <w:i/>
          <w:color w:val="454551"/>
          <w:spacing w:val="-2"/>
          <w:sz w:val="18"/>
        </w:rPr>
        <w:t xml:space="preserve"> </w:t>
      </w:r>
      <w:r>
        <w:rPr>
          <w:i/>
          <w:color w:val="454551"/>
          <w:sz w:val="18"/>
        </w:rPr>
        <w:t>igualdad</w:t>
      </w:r>
      <w:r>
        <w:rPr>
          <w:i/>
          <w:color w:val="454551"/>
          <w:spacing w:val="-2"/>
          <w:sz w:val="18"/>
        </w:rPr>
        <w:t xml:space="preserve"> </w:t>
      </w:r>
      <w:r>
        <w:rPr>
          <w:i/>
          <w:color w:val="454551"/>
          <w:sz w:val="18"/>
        </w:rPr>
        <w:t>y</w:t>
      </w:r>
      <w:r>
        <w:rPr>
          <w:i/>
          <w:color w:val="454551"/>
          <w:spacing w:val="-5"/>
          <w:sz w:val="18"/>
        </w:rPr>
        <w:t xml:space="preserve"> </w:t>
      </w:r>
      <w:r>
        <w:rPr>
          <w:i/>
          <w:color w:val="454551"/>
          <w:sz w:val="18"/>
        </w:rPr>
        <w:t>equidad,</w:t>
      </w:r>
      <w:r>
        <w:rPr>
          <w:i/>
          <w:color w:val="454551"/>
          <w:spacing w:val="-4"/>
          <w:sz w:val="18"/>
        </w:rPr>
        <w:t xml:space="preserve"> </w:t>
      </w:r>
      <w:r>
        <w:rPr>
          <w:i/>
          <w:color w:val="454551"/>
          <w:sz w:val="18"/>
        </w:rPr>
        <w:t>con</w:t>
      </w:r>
      <w:r>
        <w:rPr>
          <w:i/>
          <w:color w:val="454551"/>
          <w:spacing w:val="-1"/>
          <w:sz w:val="18"/>
        </w:rPr>
        <w:t xml:space="preserve"> </w:t>
      </w:r>
      <w:r>
        <w:rPr>
          <w:i/>
          <w:color w:val="454551"/>
          <w:sz w:val="18"/>
        </w:rPr>
        <w:t>datos</w:t>
      </w:r>
      <w:r>
        <w:rPr>
          <w:i/>
          <w:color w:val="454551"/>
          <w:spacing w:val="-3"/>
          <w:sz w:val="18"/>
        </w:rPr>
        <w:t xml:space="preserve"> </w:t>
      </w:r>
      <w:r>
        <w:rPr>
          <w:i/>
          <w:color w:val="454551"/>
          <w:sz w:val="18"/>
        </w:rPr>
        <w:t>DANE</w:t>
      </w:r>
      <w:r>
        <w:rPr>
          <w:i/>
          <w:color w:val="454551"/>
          <w:spacing w:val="2"/>
          <w:sz w:val="18"/>
        </w:rPr>
        <w:t xml:space="preserve"> </w:t>
      </w:r>
      <w:r>
        <w:rPr>
          <w:i/>
          <w:color w:val="454551"/>
          <w:sz w:val="18"/>
        </w:rPr>
        <w:t>-</w:t>
      </w:r>
      <w:r>
        <w:rPr>
          <w:i/>
          <w:color w:val="454551"/>
          <w:spacing w:val="-4"/>
          <w:sz w:val="18"/>
        </w:rPr>
        <w:t xml:space="preserve"> </w:t>
      </w:r>
      <w:r>
        <w:rPr>
          <w:i/>
          <w:color w:val="454551"/>
          <w:sz w:val="18"/>
        </w:rPr>
        <w:t>GEIH</w:t>
      </w:r>
      <w:r>
        <w:rPr>
          <w:i/>
          <w:color w:val="454551"/>
          <w:spacing w:val="-3"/>
          <w:sz w:val="18"/>
        </w:rPr>
        <w:t xml:space="preserve"> </w:t>
      </w:r>
      <w:r>
        <w:rPr>
          <w:i/>
          <w:color w:val="454551"/>
          <w:spacing w:val="-4"/>
          <w:sz w:val="18"/>
        </w:rPr>
        <w:t>2022</w:t>
      </w:r>
    </w:p>
    <w:p w14:paraId="25669323" w14:textId="3CF5AC73" w:rsidR="000E52B0" w:rsidRDefault="00F60D74">
      <w:pPr>
        <w:pStyle w:val="Textoindependiente"/>
        <w:spacing w:before="200"/>
        <w:ind w:right="716"/>
        <w:jc w:val="both"/>
      </w:pPr>
      <w:r>
        <w:t xml:space="preserve">La </w:t>
      </w:r>
      <w:hyperlink w:anchor="_bookmark49" w:history="1">
        <w:r w:rsidR="000E52B0">
          <w:t>Ilustración</w:t>
        </w:r>
        <w:r w:rsidR="000E52B0">
          <w:rPr>
            <w:spacing w:val="-1"/>
          </w:rPr>
          <w:t xml:space="preserve"> </w:t>
        </w:r>
        <w:r w:rsidR="000E52B0">
          <w:t>32</w:t>
        </w:r>
      </w:hyperlink>
      <w:r>
        <w:t xml:space="preserve"> representa como la población indígena en</w:t>
      </w:r>
      <w:r>
        <w:rPr>
          <w:spacing w:val="-1"/>
        </w:rPr>
        <w:t xml:space="preserve"> </w:t>
      </w:r>
      <w:r>
        <w:t>general</w:t>
      </w:r>
      <w:r>
        <w:rPr>
          <w:spacing w:val="-1"/>
        </w:rPr>
        <w:t xml:space="preserve"> </w:t>
      </w:r>
      <w:r>
        <w:t>es</w:t>
      </w:r>
      <w:r>
        <w:rPr>
          <w:spacing w:val="-1"/>
        </w:rPr>
        <w:t xml:space="preserve"> </w:t>
      </w:r>
      <w:r>
        <w:t>con más frecuencia pobre, seguida de la población afrodescendiente y la población</w:t>
      </w:r>
      <w:r>
        <w:rPr>
          <w:spacing w:val="-22"/>
        </w:rPr>
        <w:t xml:space="preserve"> </w:t>
      </w:r>
      <w:r>
        <w:t>rural.</w:t>
      </w:r>
      <w:r>
        <w:rPr>
          <w:spacing w:val="-21"/>
        </w:rPr>
        <w:t xml:space="preserve"> </w:t>
      </w:r>
      <w:r>
        <w:t>No</w:t>
      </w:r>
      <w:r>
        <w:rPr>
          <w:spacing w:val="-20"/>
        </w:rPr>
        <w:t xml:space="preserve"> </w:t>
      </w:r>
      <w:r>
        <w:t>obstante,</w:t>
      </w:r>
      <w:r>
        <w:rPr>
          <w:spacing w:val="-21"/>
        </w:rPr>
        <w:t xml:space="preserve"> </w:t>
      </w:r>
      <w:r>
        <w:t>entre</w:t>
      </w:r>
      <w:r>
        <w:rPr>
          <w:spacing w:val="-19"/>
        </w:rPr>
        <w:t xml:space="preserve"> </w:t>
      </w:r>
      <w:r>
        <w:t>las</w:t>
      </w:r>
      <w:r>
        <w:rPr>
          <w:spacing w:val="-20"/>
        </w:rPr>
        <w:t xml:space="preserve"> </w:t>
      </w:r>
      <w:r>
        <w:t>personas</w:t>
      </w:r>
      <w:r>
        <w:rPr>
          <w:spacing w:val="-22"/>
        </w:rPr>
        <w:t xml:space="preserve"> </w:t>
      </w:r>
      <w:r>
        <w:t>mayores</w:t>
      </w:r>
      <w:r>
        <w:rPr>
          <w:spacing w:val="-18"/>
        </w:rPr>
        <w:t xml:space="preserve"> </w:t>
      </w:r>
      <w:r>
        <w:t>–</w:t>
      </w:r>
      <w:r>
        <w:rPr>
          <w:spacing w:val="-22"/>
        </w:rPr>
        <w:t xml:space="preserve"> </w:t>
      </w:r>
      <w:r>
        <w:t>que</w:t>
      </w:r>
      <w:r>
        <w:rPr>
          <w:spacing w:val="-20"/>
        </w:rPr>
        <w:t xml:space="preserve"> </w:t>
      </w:r>
      <w:r>
        <w:t>usualmente son</w:t>
      </w:r>
      <w:r>
        <w:rPr>
          <w:spacing w:val="-9"/>
        </w:rPr>
        <w:t xml:space="preserve"> </w:t>
      </w:r>
      <w:r>
        <w:t>menos</w:t>
      </w:r>
      <w:r>
        <w:rPr>
          <w:spacing w:val="-9"/>
        </w:rPr>
        <w:t xml:space="preserve"> </w:t>
      </w:r>
      <w:r>
        <w:t>pobres</w:t>
      </w:r>
      <w:r>
        <w:rPr>
          <w:spacing w:val="-9"/>
        </w:rPr>
        <w:t xml:space="preserve"> </w:t>
      </w:r>
      <w:r>
        <w:t>en</w:t>
      </w:r>
      <w:r>
        <w:rPr>
          <w:spacing w:val="-9"/>
        </w:rPr>
        <w:t xml:space="preserve"> </w:t>
      </w:r>
      <w:r>
        <w:t>relación</w:t>
      </w:r>
      <w:r>
        <w:rPr>
          <w:spacing w:val="-9"/>
        </w:rPr>
        <w:t xml:space="preserve"> </w:t>
      </w:r>
      <w:r>
        <w:t>con</w:t>
      </w:r>
      <w:r>
        <w:rPr>
          <w:spacing w:val="-9"/>
        </w:rPr>
        <w:t xml:space="preserve"> </w:t>
      </w:r>
      <w:r>
        <w:t>el</w:t>
      </w:r>
      <w:r>
        <w:rPr>
          <w:spacing w:val="-10"/>
        </w:rPr>
        <w:t xml:space="preserve"> </w:t>
      </w:r>
      <w:r>
        <w:t>resto</w:t>
      </w:r>
      <w:r>
        <w:rPr>
          <w:spacing w:val="-8"/>
        </w:rPr>
        <w:t xml:space="preserve"> </w:t>
      </w:r>
      <w:r>
        <w:t>de</w:t>
      </w:r>
      <w:r>
        <w:rPr>
          <w:spacing w:val="-8"/>
        </w:rPr>
        <w:t xml:space="preserve"> </w:t>
      </w:r>
      <w:r>
        <w:t>la</w:t>
      </w:r>
      <w:r>
        <w:rPr>
          <w:spacing w:val="-9"/>
        </w:rPr>
        <w:t xml:space="preserve"> </w:t>
      </w:r>
      <w:r>
        <w:t>población-</w:t>
      </w:r>
      <w:r>
        <w:rPr>
          <w:spacing w:val="-10"/>
        </w:rPr>
        <w:t xml:space="preserve"> </w:t>
      </w:r>
      <w:r>
        <w:t>es</w:t>
      </w:r>
      <w:r>
        <w:rPr>
          <w:spacing w:val="-9"/>
        </w:rPr>
        <w:t xml:space="preserve"> </w:t>
      </w:r>
      <w:r>
        <w:t>más</w:t>
      </w:r>
      <w:r>
        <w:rPr>
          <w:spacing w:val="-9"/>
        </w:rPr>
        <w:t xml:space="preserve"> </w:t>
      </w:r>
      <w:r>
        <w:t>pobre</w:t>
      </w:r>
      <w:r>
        <w:rPr>
          <w:spacing w:val="-7"/>
        </w:rPr>
        <w:t xml:space="preserve"> </w:t>
      </w:r>
      <w:r>
        <w:t xml:space="preserve">si es del Pueblo </w:t>
      </w:r>
      <w:proofErr w:type="spellStart"/>
      <w:r>
        <w:t>Rrom</w:t>
      </w:r>
      <w:proofErr w:type="spellEnd"/>
      <w:r>
        <w:t xml:space="preserve">. Entre las personas pobres, las personas </w:t>
      </w:r>
      <w:proofErr w:type="spellStart"/>
      <w:r w:rsidR="00203383">
        <w:t>R</w:t>
      </w:r>
      <w:r>
        <w:t>rom</w:t>
      </w:r>
      <w:proofErr w:type="spellEnd"/>
      <w:r>
        <w:t>, indígenas y en entornos rurales tienen con frecuencia menos acceso a recursos financieros suficientes.</w:t>
      </w:r>
    </w:p>
    <w:p w14:paraId="6B2777C2" w14:textId="77777777" w:rsidR="000E52B0" w:rsidRDefault="00F60D74">
      <w:pPr>
        <w:pStyle w:val="Textoindependiente"/>
        <w:spacing w:before="162"/>
        <w:ind w:right="716"/>
        <w:jc w:val="both"/>
      </w:pPr>
      <w:r>
        <w:t>El desafío para las personas mayores más allá de los ingresos de los que dispone su hogar, es la posibilidad de contar con recursos propios, y mantener su autonomía. De acuerdo con la GEIH 2022, la brecha de personas trabajando entre las personas mayores (25%) y las personas entre 29 y 59 años (65%), es de 40 puntos porcentuales. Con más frecuencia que el resto de los grupos poblacionales por curso de vida las personas</w:t>
      </w:r>
      <w:r>
        <w:rPr>
          <w:spacing w:val="-2"/>
        </w:rPr>
        <w:t xml:space="preserve"> </w:t>
      </w:r>
      <w:r>
        <w:t>mayores</w:t>
      </w:r>
      <w:r>
        <w:rPr>
          <w:spacing w:val="-2"/>
        </w:rPr>
        <w:t xml:space="preserve"> </w:t>
      </w:r>
      <w:r>
        <w:t>asumen</w:t>
      </w:r>
      <w:r>
        <w:rPr>
          <w:spacing w:val="-2"/>
        </w:rPr>
        <w:t xml:space="preserve"> </w:t>
      </w:r>
      <w:r>
        <w:t>actividades</w:t>
      </w:r>
      <w:r>
        <w:rPr>
          <w:spacing w:val="-2"/>
        </w:rPr>
        <w:t xml:space="preserve"> </w:t>
      </w:r>
      <w:r>
        <w:t>del</w:t>
      </w:r>
      <w:r>
        <w:rPr>
          <w:spacing w:val="-3"/>
        </w:rPr>
        <w:t xml:space="preserve"> </w:t>
      </w:r>
      <w:r>
        <w:t>cuidado</w:t>
      </w:r>
      <w:r>
        <w:rPr>
          <w:spacing w:val="-1"/>
        </w:rPr>
        <w:t xml:space="preserve"> </w:t>
      </w:r>
      <w:r>
        <w:t>de</w:t>
      </w:r>
      <w:r>
        <w:rPr>
          <w:spacing w:val="-1"/>
        </w:rPr>
        <w:t xml:space="preserve"> </w:t>
      </w:r>
      <w:r>
        <w:t>los</w:t>
      </w:r>
      <w:r>
        <w:rPr>
          <w:spacing w:val="-2"/>
        </w:rPr>
        <w:t xml:space="preserve"> </w:t>
      </w:r>
      <w:r>
        <w:t>hogares.</w:t>
      </w:r>
      <w:r>
        <w:rPr>
          <w:spacing w:val="-3"/>
        </w:rPr>
        <w:t xml:space="preserve"> </w:t>
      </w:r>
      <w:r>
        <w:t>El</w:t>
      </w:r>
      <w:r>
        <w:rPr>
          <w:spacing w:val="-3"/>
        </w:rPr>
        <w:t xml:space="preserve"> </w:t>
      </w:r>
      <w:r>
        <w:t>47% de</w:t>
      </w:r>
      <w:r>
        <w:rPr>
          <w:spacing w:val="-22"/>
        </w:rPr>
        <w:t xml:space="preserve"> </w:t>
      </w:r>
      <w:r>
        <w:t>las</w:t>
      </w:r>
      <w:r>
        <w:rPr>
          <w:spacing w:val="-21"/>
        </w:rPr>
        <w:t xml:space="preserve"> </w:t>
      </w:r>
      <w:r>
        <w:t>personas</w:t>
      </w:r>
      <w:r>
        <w:rPr>
          <w:spacing w:val="-21"/>
        </w:rPr>
        <w:t xml:space="preserve"> </w:t>
      </w:r>
      <w:r>
        <w:t>mayores</w:t>
      </w:r>
      <w:r>
        <w:rPr>
          <w:spacing w:val="-21"/>
        </w:rPr>
        <w:t xml:space="preserve"> </w:t>
      </w:r>
      <w:r>
        <w:t>(Cerca</w:t>
      </w:r>
      <w:r>
        <w:rPr>
          <w:spacing w:val="-21"/>
        </w:rPr>
        <w:t xml:space="preserve"> </w:t>
      </w:r>
      <w:r>
        <w:t>de</w:t>
      </w:r>
      <w:r>
        <w:rPr>
          <w:spacing w:val="-21"/>
        </w:rPr>
        <w:t xml:space="preserve"> </w:t>
      </w:r>
      <w:r>
        <w:t>la</w:t>
      </w:r>
      <w:r>
        <w:rPr>
          <w:spacing w:val="-21"/>
        </w:rPr>
        <w:t xml:space="preserve"> </w:t>
      </w:r>
      <w:r>
        <w:t>mitad),</w:t>
      </w:r>
      <w:r>
        <w:rPr>
          <w:spacing w:val="-21"/>
        </w:rPr>
        <w:t xml:space="preserve"> </w:t>
      </w:r>
      <w:r>
        <w:t>se</w:t>
      </w:r>
      <w:r>
        <w:rPr>
          <w:spacing w:val="-19"/>
        </w:rPr>
        <w:t xml:space="preserve"> </w:t>
      </w:r>
      <w:r>
        <w:t>dedican</w:t>
      </w:r>
      <w:r>
        <w:rPr>
          <w:spacing w:val="-21"/>
        </w:rPr>
        <w:t xml:space="preserve"> </w:t>
      </w:r>
      <w:r>
        <w:t>a</w:t>
      </w:r>
      <w:r>
        <w:rPr>
          <w:spacing w:val="-20"/>
        </w:rPr>
        <w:t xml:space="preserve"> </w:t>
      </w:r>
      <w:r>
        <w:t>oficios</w:t>
      </w:r>
      <w:r>
        <w:rPr>
          <w:spacing w:val="-20"/>
        </w:rPr>
        <w:t xml:space="preserve"> </w:t>
      </w:r>
      <w:r>
        <w:t>del</w:t>
      </w:r>
      <w:r>
        <w:rPr>
          <w:spacing w:val="-21"/>
        </w:rPr>
        <w:t xml:space="preserve"> </w:t>
      </w:r>
      <w:r>
        <w:t>hogar, mientras</w:t>
      </w:r>
      <w:r>
        <w:rPr>
          <w:spacing w:val="-1"/>
        </w:rPr>
        <w:t xml:space="preserve"> </w:t>
      </w:r>
      <w:r>
        <w:t>entre la</w:t>
      </w:r>
      <w:r>
        <w:rPr>
          <w:spacing w:val="-2"/>
        </w:rPr>
        <w:t xml:space="preserve"> </w:t>
      </w:r>
      <w:r>
        <w:t>población</w:t>
      </w:r>
      <w:r>
        <w:rPr>
          <w:spacing w:val="-2"/>
        </w:rPr>
        <w:t xml:space="preserve"> </w:t>
      </w:r>
      <w:r>
        <w:t>adulta</w:t>
      </w:r>
      <w:r>
        <w:rPr>
          <w:spacing w:val="-2"/>
        </w:rPr>
        <w:t xml:space="preserve"> </w:t>
      </w:r>
      <w:r>
        <w:t>el</w:t>
      </w:r>
      <w:r>
        <w:rPr>
          <w:spacing w:val="-3"/>
        </w:rPr>
        <w:t xml:space="preserve"> </w:t>
      </w:r>
      <w:r>
        <w:t>25%</w:t>
      </w:r>
      <w:r>
        <w:rPr>
          <w:spacing w:val="-1"/>
        </w:rPr>
        <w:t xml:space="preserve"> </w:t>
      </w:r>
      <w:r>
        <w:t>se</w:t>
      </w:r>
      <w:r>
        <w:rPr>
          <w:spacing w:val="-3"/>
        </w:rPr>
        <w:t xml:space="preserve"> </w:t>
      </w:r>
      <w:r>
        <w:t>dedica</w:t>
      </w:r>
      <w:r>
        <w:rPr>
          <w:spacing w:val="-2"/>
        </w:rPr>
        <w:t xml:space="preserve"> </w:t>
      </w:r>
      <w:r>
        <w:t>a</w:t>
      </w:r>
      <w:r>
        <w:rPr>
          <w:spacing w:val="-2"/>
        </w:rPr>
        <w:t xml:space="preserve"> </w:t>
      </w:r>
      <w:r>
        <w:t>esta</w:t>
      </w:r>
      <w:r>
        <w:rPr>
          <w:spacing w:val="-2"/>
        </w:rPr>
        <w:t xml:space="preserve"> </w:t>
      </w:r>
      <w:r>
        <w:t>como</w:t>
      </w:r>
      <w:r>
        <w:rPr>
          <w:spacing w:val="-1"/>
        </w:rPr>
        <w:t xml:space="preserve"> </w:t>
      </w:r>
      <w:r>
        <w:t>actividad principal, y entre las juventudes, el18%.</w:t>
      </w:r>
    </w:p>
    <w:p w14:paraId="642A49B5" w14:textId="77777777" w:rsidR="000E52B0" w:rsidRDefault="000E52B0">
      <w:pPr>
        <w:pStyle w:val="Textoindependiente"/>
        <w:jc w:val="both"/>
        <w:sectPr w:rsidR="000E52B0">
          <w:pgSz w:w="11910" w:h="16840"/>
          <w:pgMar w:top="1340" w:right="720" w:bottom="1180" w:left="720" w:header="0" w:footer="995" w:gutter="0"/>
          <w:cols w:space="720"/>
        </w:sectPr>
      </w:pPr>
    </w:p>
    <w:p w14:paraId="455A84E3" w14:textId="77777777" w:rsidR="000E52B0" w:rsidRDefault="00F60D74">
      <w:pPr>
        <w:spacing w:before="80"/>
        <w:jc w:val="center"/>
        <w:rPr>
          <w:i/>
          <w:sz w:val="18"/>
        </w:rPr>
      </w:pPr>
      <w:r>
        <w:rPr>
          <w:i/>
          <w:color w:val="454551"/>
          <w:sz w:val="18"/>
        </w:rPr>
        <w:lastRenderedPageBreak/>
        <w:t>Ilustración</w:t>
      </w:r>
      <w:r>
        <w:rPr>
          <w:i/>
          <w:color w:val="454551"/>
          <w:spacing w:val="-4"/>
          <w:sz w:val="18"/>
        </w:rPr>
        <w:t xml:space="preserve"> </w:t>
      </w:r>
      <w:r>
        <w:rPr>
          <w:i/>
          <w:color w:val="454551"/>
          <w:sz w:val="18"/>
        </w:rPr>
        <w:t>33.</w:t>
      </w:r>
      <w:r>
        <w:rPr>
          <w:i/>
          <w:color w:val="454551"/>
          <w:spacing w:val="-5"/>
          <w:sz w:val="18"/>
        </w:rPr>
        <w:t xml:space="preserve"> </w:t>
      </w:r>
      <w:r>
        <w:rPr>
          <w:i/>
          <w:color w:val="454551"/>
          <w:sz w:val="18"/>
        </w:rPr>
        <w:t>Actividad</w:t>
      </w:r>
      <w:r>
        <w:rPr>
          <w:i/>
          <w:color w:val="454551"/>
          <w:spacing w:val="-3"/>
          <w:sz w:val="18"/>
        </w:rPr>
        <w:t xml:space="preserve"> </w:t>
      </w:r>
      <w:r>
        <w:rPr>
          <w:i/>
          <w:color w:val="454551"/>
          <w:sz w:val="18"/>
        </w:rPr>
        <w:t>principal</w:t>
      </w:r>
      <w:r>
        <w:rPr>
          <w:i/>
          <w:color w:val="454551"/>
          <w:spacing w:val="-3"/>
          <w:sz w:val="18"/>
        </w:rPr>
        <w:t xml:space="preserve"> </w:t>
      </w:r>
      <w:r>
        <w:rPr>
          <w:i/>
          <w:color w:val="454551"/>
          <w:sz w:val="18"/>
        </w:rPr>
        <w:t>por</w:t>
      </w:r>
      <w:r>
        <w:rPr>
          <w:i/>
          <w:color w:val="454551"/>
          <w:spacing w:val="-4"/>
          <w:sz w:val="18"/>
        </w:rPr>
        <w:t xml:space="preserve"> </w:t>
      </w:r>
      <w:r>
        <w:rPr>
          <w:i/>
          <w:color w:val="454551"/>
          <w:sz w:val="18"/>
        </w:rPr>
        <w:t>rangos</w:t>
      </w:r>
      <w:r>
        <w:rPr>
          <w:i/>
          <w:color w:val="454551"/>
          <w:spacing w:val="-4"/>
          <w:sz w:val="18"/>
        </w:rPr>
        <w:t xml:space="preserve"> </w:t>
      </w:r>
      <w:r>
        <w:rPr>
          <w:i/>
          <w:color w:val="454551"/>
          <w:sz w:val="18"/>
        </w:rPr>
        <w:t>de</w:t>
      </w:r>
      <w:r>
        <w:rPr>
          <w:i/>
          <w:color w:val="454551"/>
          <w:spacing w:val="-3"/>
          <w:sz w:val="18"/>
        </w:rPr>
        <w:t xml:space="preserve"> </w:t>
      </w:r>
      <w:r>
        <w:rPr>
          <w:i/>
          <w:color w:val="454551"/>
          <w:spacing w:val="-4"/>
          <w:sz w:val="18"/>
        </w:rPr>
        <w:t>edad</w:t>
      </w:r>
    </w:p>
    <w:p w14:paraId="3CA8D407" w14:textId="77777777" w:rsidR="000E52B0" w:rsidRDefault="000E52B0">
      <w:pPr>
        <w:pStyle w:val="Textoindependiente"/>
        <w:spacing w:before="152"/>
        <w:ind w:left="0"/>
        <w:rPr>
          <w:i/>
          <w:sz w:val="18"/>
        </w:rPr>
      </w:pPr>
    </w:p>
    <w:p w14:paraId="33DAE909" w14:textId="77777777" w:rsidR="000E52B0" w:rsidRDefault="00F60D74">
      <w:pPr>
        <w:tabs>
          <w:tab w:val="left" w:pos="1467"/>
          <w:tab w:val="left" w:pos="2820"/>
        </w:tabs>
        <w:ind w:left="115"/>
        <w:jc w:val="center"/>
        <w:rPr>
          <w:rFonts w:ascii="Trebuchet MS" w:hAnsi="Trebuchet MS"/>
          <w:sz w:val="18"/>
        </w:rPr>
      </w:pPr>
      <w:r>
        <w:rPr>
          <w:noProof/>
        </w:rPr>
        <w:drawing>
          <wp:inline distT="0" distB="0" distL="0" distR="0" wp14:anchorId="091E7707" wp14:editId="70C9091A">
            <wp:extent cx="62779" cy="62779"/>
            <wp:effectExtent l="0" t="0" r="0" b="0"/>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161" cstate="print"/>
                    <a:stretch>
                      <a:fillRect/>
                    </a:stretch>
                  </pic:blipFill>
                  <pic:spPr>
                    <a:xfrm>
                      <a:off x="0" y="0"/>
                      <a:ext cx="62779" cy="62779"/>
                    </a:xfrm>
                    <a:prstGeom prst="rect">
                      <a:avLst/>
                    </a:prstGeom>
                  </pic:spPr>
                </pic:pic>
              </a:graphicData>
            </a:graphic>
          </wp:inline>
        </w:drawing>
      </w:r>
      <w:r>
        <w:rPr>
          <w:rFonts w:ascii="Times New Roman" w:hAnsi="Times New Roman"/>
          <w:spacing w:val="-6"/>
          <w:sz w:val="20"/>
        </w:rPr>
        <w:t xml:space="preserve"> </w:t>
      </w:r>
      <w:r>
        <w:rPr>
          <w:rFonts w:ascii="Trebuchet MS" w:hAnsi="Trebuchet MS"/>
          <w:color w:val="585858"/>
          <w:sz w:val="18"/>
        </w:rPr>
        <w:t>14</w:t>
      </w:r>
      <w:r>
        <w:rPr>
          <w:rFonts w:ascii="Trebuchet MS" w:hAnsi="Trebuchet MS"/>
          <w:color w:val="585858"/>
          <w:spacing w:val="-18"/>
          <w:sz w:val="18"/>
        </w:rPr>
        <w:t xml:space="preserve"> </w:t>
      </w:r>
      <w:r>
        <w:rPr>
          <w:rFonts w:ascii="Trebuchet MS" w:hAnsi="Trebuchet MS"/>
          <w:color w:val="585858"/>
          <w:sz w:val="18"/>
        </w:rPr>
        <w:t>a</w:t>
      </w:r>
      <w:r>
        <w:rPr>
          <w:rFonts w:ascii="Trebuchet MS" w:hAnsi="Trebuchet MS"/>
          <w:color w:val="585858"/>
          <w:spacing w:val="-15"/>
          <w:sz w:val="18"/>
        </w:rPr>
        <w:t xml:space="preserve"> </w:t>
      </w:r>
      <w:r>
        <w:rPr>
          <w:rFonts w:ascii="Trebuchet MS" w:hAnsi="Trebuchet MS"/>
          <w:color w:val="585858"/>
          <w:sz w:val="18"/>
        </w:rPr>
        <w:t>28</w:t>
      </w:r>
      <w:r>
        <w:rPr>
          <w:rFonts w:ascii="Trebuchet MS" w:hAnsi="Trebuchet MS"/>
          <w:color w:val="585858"/>
          <w:spacing w:val="-18"/>
          <w:sz w:val="18"/>
        </w:rPr>
        <w:t xml:space="preserve"> </w:t>
      </w:r>
      <w:r>
        <w:rPr>
          <w:rFonts w:ascii="Trebuchet MS" w:hAnsi="Trebuchet MS"/>
          <w:color w:val="585858"/>
          <w:sz w:val="18"/>
        </w:rPr>
        <w:t>años</w:t>
      </w:r>
      <w:r>
        <w:rPr>
          <w:rFonts w:ascii="Trebuchet MS" w:hAnsi="Trebuchet MS"/>
          <w:color w:val="585858"/>
          <w:sz w:val="18"/>
        </w:rPr>
        <w:tab/>
      </w:r>
      <w:r>
        <w:rPr>
          <w:rFonts w:ascii="Trebuchet MS" w:hAnsi="Trebuchet MS"/>
          <w:noProof/>
          <w:color w:val="585858"/>
          <w:sz w:val="18"/>
        </w:rPr>
        <w:drawing>
          <wp:inline distT="0" distB="0" distL="0" distR="0" wp14:anchorId="6B6F282C" wp14:editId="22651865">
            <wp:extent cx="62779" cy="62779"/>
            <wp:effectExtent l="0" t="0" r="0" b="0"/>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162" cstate="print"/>
                    <a:stretch>
                      <a:fillRect/>
                    </a:stretch>
                  </pic:blipFill>
                  <pic:spPr>
                    <a:xfrm>
                      <a:off x="0" y="0"/>
                      <a:ext cx="62779" cy="62779"/>
                    </a:xfrm>
                    <a:prstGeom prst="rect">
                      <a:avLst/>
                    </a:prstGeom>
                  </pic:spPr>
                </pic:pic>
              </a:graphicData>
            </a:graphic>
          </wp:inline>
        </w:drawing>
      </w:r>
      <w:r>
        <w:rPr>
          <w:rFonts w:ascii="Times New Roman" w:hAnsi="Times New Roman"/>
          <w:color w:val="585858"/>
          <w:spacing w:val="-1"/>
          <w:sz w:val="18"/>
        </w:rPr>
        <w:t xml:space="preserve"> </w:t>
      </w:r>
      <w:r>
        <w:rPr>
          <w:rFonts w:ascii="Trebuchet MS" w:hAnsi="Trebuchet MS"/>
          <w:color w:val="585858"/>
          <w:sz w:val="18"/>
        </w:rPr>
        <w:t>29</w:t>
      </w:r>
      <w:r>
        <w:rPr>
          <w:rFonts w:ascii="Trebuchet MS" w:hAnsi="Trebuchet MS"/>
          <w:color w:val="585858"/>
          <w:spacing w:val="-18"/>
          <w:sz w:val="18"/>
        </w:rPr>
        <w:t xml:space="preserve"> </w:t>
      </w:r>
      <w:r>
        <w:rPr>
          <w:rFonts w:ascii="Trebuchet MS" w:hAnsi="Trebuchet MS"/>
          <w:color w:val="585858"/>
          <w:sz w:val="18"/>
        </w:rPr>
        <w:t>a</w:t>
      </w:r>
      <w:r>
        <w:rPr>
          <w:rFonts w:ascii="Trebuchet MS" w:hAnsi="Trebuchet MS"/>
          <w:color w:val="585858"/>
          <w:spacing w:val="-15"/>
          <w:sz w:val="18"/>
        </w:rPr>
        <w:t xml:space="preserve"> </w:t>
      </w:r>
      <w:r>
        <w:rPr>
          <w:rFonts w:ascii="Trebuchet MS" w:hAnsi="Trebuchet MS"/>
          <w:color w:val="585858"/>
          <w:sz w:val="18"/>
        </w:rPr>
        <w:t>59</w:t>
      </w:r>
      <w:r>
        <w:rPr>
          <w:rFonts w:ascii="Trebuchet MS" w:hAnsi="Trebuchet MS"/>
          <w:color w:val="585858"/>
          <w:spacing w:val="-18"/>
          <w:sz w:val="18"/>
        </w:rPr>
        <w:t xml:space="preserve"> </w:t>
      </w:r>
      <w:r>
        <w:rPr>
          <w:rFonts w:ascii="Trebuchet MS" w:hAnsi="Trebuchet MS"/>
          <w:color w:val="585858"/>
          <w:sz w:val="18"/>
        </w:rPr>
        <w:t>años</w:t>
      </w:r>
      <w:r>
        <w:rPr>
          <w:rFonts w:ascii="Trebuchet MS" w:hAnsi="Trebuchet MS"/>
          <w:color w:val="585858"/>
          <w:sz w:val="18"/>
        </w:rPr>
        <w:tab/>
      </w:r>
      <w:r>
        <w:rPr>
          <w:rFonts w:ascii="Trebuchet MS" w:hAnsi="Trebuchet MS"/>
          <w:noProof/>
          <w:color w:val="585858"/>
          <w:sz w:val="18"/>
        </w:rPr>
        <w:drawing>
          <wp:inline distT="0" distB="0" distL="0" distR="0" wp14:anchorId="1B65B0A3" wp14:editId="27361DCE">
            <wp:extent cx="62779" cy="62779"/>
            <wp:effectExtent l="0" t="0" r="0" b="0"/>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163" cstate="print"/>
                    <a:stretch>
                      <a:fillRect/>
                    </a:stretch>
                  </pic:blipFill>
                  <pic:spPr>
                    <a:xfrm>
                      <a:off x="0" y="0"/>
                      <a:ext cx="62779" cy="62779"/>
                    </a:xfrm>
                    <a:prstGeom prst="rect">
                      <a:avLst/>
                    </a:prstGeom>
                  </pic:spPr>
                </pic:pic>
              </a:graphicData>
            </a:graphic>
          </wp:inline>
        </w:drawing>
      </w:r>
      <w:r>
        <w:rPr>
          <w:rFonts w:ascii="Times New Roman" w:hAnsi="Times New Roman"/>
          <w:color w:val="585858"/>
          <w:spacing w:val="4"/>
          <w:sz w:val="18"/>
        </w:rPr>
        <w:t xml:space="preserve"> </w:t>
      </w:r>
      <w:r>
        <w:rPr>
          <w:rFonts w:ascii="Trebuchet MS" w:hAnsi="Trebuchet MS"/>
          <w:color w:val="585858"/>
          <w:sz w:val="18"/>
        </w:rPr>
        <w:t>60</w:t>
      </w:r>
      <w:r>
        <w:rPr>
          <w:rFonts w:ascii="Trebuchet MS" w:hAnsi="Trebuchet MS"/>
          <w:color w:val="585858"/>
          <w:spacing w:val="-14"/>
          <w:sz w:val="18"/>
        </w:rPr>
        <w:t xml:space="preserve"> </w:t>
      </w:r>
      <w:r>
        <w:rPr>
          <w:rFonts w:ascii="Trebuchet MS" w:hAnsi="Trebuchet MS"/>
          <w:color w:val="585858"/>
          <w:sz w:val="18"/>
        </w:rPr>
        <w:t>o</w:t>
      </w:r>
      <w:r>
        <w:rPr>
          <w:rFonts w:ascii="Trebuchet MS" w:hAnsi="Trebuchet MS"/>
          <w:color w:val="585858"/>
          <w:spacing w:val="-11"/>
          <w:sz w:val="18"/>
        </w:rPr>
        <w:t xml:space="preserve"> </w:t>
      </w:r>
      <w:r>
        <w:rPr>
          <w:rFonts w:ascii="Trebuchet MS" w:hAnsi="Trebuchet MS"/>
          <w:color w:val="585858"/>
          <w:sz w:val="18"/>
        </w:rPr>
        <w:t>más</w:t>
      </w:r>
      <w:r>
        <w:rPr>
          <w:rFonts w:ascii="Trebuchet MS" w:hAnsi="Trebuchet MS"/>
          <w:color w:val="585858"/>
          <w:spacing w:val="-13"/>
          <w:sz w:val="18"/>
        </w:rPr>
        <w:t xml:space="preserve"> </w:t>
      </w:r>
      <w:r>
        <w:rPr>
          <w:rFonts w:ascii="Trebuchet MS" w:hAnsi="Trebuchet MS"/>
          <w:color w:val="585858"/>
          <w:sz w:val="18"/>
        </w:rPr>
        <w:t>años</w:t>
      </w:r>
    </w:p>
    <w:p w14:paraId="702AC599" w14:textId="77777777" w:rsidR="000E52B0" w:rsidRDefault="00F60D74">
      <w:pPr>
        <w:spacing w:before="163"/>
        <w:ind w:left="1415"/>
        <w:rPr>
          <w:rFonts w:ascii="Trebuchet MS"/>
          <w:sz w:val="18"/>
        </w:rPr>
      </w:pPr>
      <w:r>
        <w:rPr>
          <w:rFonts w:ascii="Trebuchet MS"/>
          <w:color w:val="404040"/>
          <w:spacing w:val="-2"/>
          <w:w w:val="105"/>
          <w:sz w:val="18"/>
        </w:rPr>
        <w:t>65,2%</w:t>
      </w:r>
    </w:p>
    <w:p w14:paraId="33EB7BCA" w14:textId="77777777" w:rsidR="000E52B0" w:rsidRDefault="00F60D74">
      <w:pPr>
        <w:pStyle w:val="Textoindependiente"/>
        <w:spacing w:before="9"/>
        <w:ind w:left="0"/>
        <w:rPr>
          <w:rFonts w:ascii="Trebuchet MS"/>
          <w:sz w:val="6"/>
        </w:rPr>
      </w:pPr>
      <w:r>
        <w:rPr>
          <w:rFonts w:ascii="Trebuchet MS"/>
          <w:noProof/>
          <w:sz w:val="6"/>
        </w:rPr>
        <mc:AlternateContent>
          <mc:Choice Requires="wpg">
            <w:drawing>
              <wp:anchor distT="0" distB="0" distL="0" distR="0" simplePos="0" relativeHeight="487643136" behindDoc="1" locked="0" layoutInCell="1" allowOverlap="1" wp14:anchorId="62223157" wp14:editId="54CBB7B6">
                <wp:simplePos x="0" y="0"/>
                <wp:positionH relativeFrom="page">
                  <wp:posOffset>1054100</wp:posOffset>
                </wp:positionH>
                <wp:positionV relativeFrom="paragraph">
                  <wp:posOffset>65451</wp:posOffset>
                </wp:positionV>
                <wp:extent cx="5479415" cy="1516380"/>
                <wp:effectExtent l="0" t="0" r="0" b="0"/>
                <wp:wrapTopAndBottom/>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9415" cy="1516380"/>
                          <a:chOff x="0" y="0"/>
                          <a:chExt cx="5479415" cy="1516380"/>
                        </a:xfrm>
                      </wpg:grpSpPr>
                      <wps:wsp>
                        <wps:cNvPr id="398" name="Graphic 398"/>
                        <wps:cNvSpPr/>
                        <wps:spPr>
                          <a:xfrm>
                            <a:off x="66040" y="611123"/>
                            <a:ext cx="4787265" cy="900430"/>
                          </a:xfrm>
                          <a:custGeom>
                            <a:avLst/>
                            <a:gdLst/>
                            <a:ahLst/>
                            <a:cxnLst/>
                            <a:rect l="l" t="t" r="r" b="b"/>
                            <a:pathLst>
                              <a:path w="4787265" h="900430">
                                <a:moveTo>
                                  <a:pt x="220980" y="0"/>
                                </a:moveTo>
                                <a:lnTo>
                                  <a:pt x="0" y="0"/>
                                </a:lnTo>
                                <a:lnTo>
                                  <a:pt x="0" y="900176"/>
                                </a:lnTo>
                                <a:lnTo>
                                  <a:pt x="220980" y="900176"/>
                                </a:lnTo>
                                <a:lnTo>
                                  <a:pt x="220980" y="0"/>
                                </a:lnTo>
                                <a:close/>
                              </a:path>
                              <a:path w="4787265" h="900430">
                                <a:moveTo>
                                  <a:pt x="1133856" y="751332"/>
                                </a:moveTo>
                                <a:lnTo>
                                  <a:pt x="912876" y="751332"/>
                                </a:lnTo>
                                <a:lnTo>
                                  <a:pt x="912876" y="900176"/>
                                </a:lnTo>
                                <a:lnTo>
                                  <a:pt x="1133856" y="900176"/>
                                </a:lnTo>
                                <a:lnTo>
                                  <a:pt x="1133856" y="751332"/>
                                </a:lnTo>
                                <a:close/>
                              </a:path>
                              <a:path w="4787265" h="900430">
                                <a:moveTo>
                                  <a:pt x="2046732" y="182880"/>
                                </a:moveTo>
                                <a:lnTo>
                                  <a:pt x="1827276" y="182880"/>
                                </a:lnTo>
                                <a:lnTo>
                                  <a:pt x="1827276" y="900176"/>
                                </a:lnTo>
                                <a:lnTo>
                                  <a:pt x="2046732" y="900176"/>
                                </a:lnTo>
                                <a:lnTo>
                                  <a:pt x="2046732" y="182880"/>
                                </a:lnTo>
                                <a:close/>
                              </a:path>
                              <a:path w="4787265" h="900430">
                                <a:moveTo>
                                  <a:pt x="2961132" y="481584"/>
                                </a:moveTo>
                                <a:lnTo>
                                  <a:pt x="2740152" y="481584"/>
                                </a:lnTo>
                                <a:lnTo>
                                  <a:pt x="2740152" y="900176"/>
                                </a:lnTo>
                                <a:lnTo>
                                  <a:pt x="2961132" y="900176"/>
                                </a:lnTo>
                                <a:lnTo>
                                  <a:pt x="2961132" y="481584"/>
                                </a:lnTo>
                                <a:close/>
                              </a:path>
                              <a:path w="4787265" h="900430">
                                <a:moveTo>
                                  <a:pt x="3874008" y="883920"/>
                                </a:moveTo>
                                <a:lnTo>
                                  <a:pt x="3653028" y="883920"/>
                                </a:lnTo>
                                <a:lnTo>
                                  <a:pt x="3653028" y="900176"/>
                                </a:lnTo>
                                <a:lnTo>
                                  <a:pt x="3874008" y="900176"/>
                                </a:lnTo>
                                <a:lnTo>
                                  <a:pt x="3874008" y="883920"/>
                                </a:lnTo>
                                <a:close/>
                              </a:path>
                              <a:path w="4787265" h="900430">
                                <a:moveTo>
                                  <a:pt x="4786884" y="781812"/>
                                </a:moveTo>
                                <a:lnTo>
                                  <a:pt x="4565904" y="781812"/>
                                </a:lnTo>
                                <a:lnTo>
                                  <a:pt x="4565904" y="900176"/>
                                </a:lnTo>
                                <a:lnTo>
                                  <a:pt x="4786884" y="900176"/>
                                </a:lnTo>
                                <a:lnTo>
                                  <a:pt x="4786884" y="781812"/>
                                </a:lnTo>
                                <a:close/>
                              </a:path>
                            </a:pathLst>
                          </a:custGeom>
                          <a:solidFill>
                            <a:srgbClr val="9FA0A8"/>
                          </a:solidFill>
                        </wps:spPr>
                        <wps:bodyPr wrap="square" lIns="0" tIns="0" rIns="0" bIns="0" rtlCol="0">
                          <a:prstTxWarp prst="textNoShape">
                            <a:avLst/>
                          </a:prstTxWarp>
                          <a:noAutofit/>
                        </wps:bodyPr>
                      </wps:wsp>
                      <wps:wsp>
                        <wps:cNvPr id="399" name="Graphic 399"/>
                        <wps:cNvSpPr/>
                        <wps:spPr>
                          <a:xfrm>
                            <a:off x="346456" y="0"/>
                            <a:ext cx="4787265" cy="1511300"/>
                          </a:xfrm>
                          <a:custGeom>
                            <a:avLst/>
                            <a:gdLst/>
                            <a:ahLst/>
                            <a:cxnLst/>
                            <a:rect l="l" t="t" r="r" b="b"/>
                            <a:pathLst>
                              <a:path w="4787265" h="1511300">
                                <a:moveTo>
                                  <a:pt x="220980" y="0"/>
                                </a:moveTo>
                                <a:lnTo>
                                  <a:pt x="0" y="0"/>
                                </a:lnTo>
                                <a:lnTo>
                                  <a:pt x="0" y="1511300"/>
                                </a:lnTo>
                                <a:lnTo>
                                  <a:pt x="220980" y="1511300"/>
                                </a:lnTo>
                                <a:lnTo>
                                  <a:pt x="220980" y="0"/>
                                </a:lnTo>
                                <a:close/>
                              </a:path>
                              <a:path w="4787265" h="1511300">
                                <a:moveTo>
                                  <a:pt x="1133856" y="1406652"/>
                                </a:moveTo>
                                <a:lnTo>
                                  <a:pt x="912876" y="1406652"/>
                                </a:lnTo>
                                <a:lnTo>
                                  <a:pt x="912876" y="1511300"/>
                                </a:lnTo>
                                <a:lnTo>
                                  <a:pt x="1133856" y="1511300"/>
                                </a:lnTo>
                                <a:lnTo>
                                  <a:pt x="1133856" y="1406652"/>
                                </a:lnTo>
                                <a:close/>
                              </a:path>
                              <a:path w="4787265" h="1511300">
                                <a:moveTo>
                                  <a:pt x="2046732" y="1499616"/>
                                </a:moveTo>
                                <a:lnTo>
                                  <a:pt x="1825752" y="1499616"/>
                                </a:lnTo>
                                <a:lnTo>
                                  <a:pt x="1825752" y="1511300"/>
                                </a:lnTo>
                                <a:lnTo>
                                  <a:pt x="2046732" y="1511300"/>
                                </a:lnTo>
                                <a:lnTo>
                                  <a:pt x="2046732" y="1499616"/>
                                </a:lnTo>
                                <a:close/>
                              </a:path>
                              <a:path w="4787265" h="1511300">
                                <a:moveTo>
                                  <a:pt x="2959608" y="928116"/>
                                </a:moveTo>
                                <a:lnTo>
                                  <a:pt x="2740152" y="928116"/>
                                </a:lnTo>
                                <a:lnTo>
                                  <a:pt x="2740152" y="1511300"/>
                                </a:lnTo>
                                <a:lnTo>
                                  <a:pt x="2959608" y="1511300"/>
                                </a:lnTo>
                                <a:lnTo>
                                  <a:pt x="2959608" y="928116"/>
                                </a:lnTo>
                                <a:close/>
                              </a:path>
                              <a:path w="4787265" h="1511300">
                                <a:moveTo>
                                  <a:pt x="3874008" y="1482852"/>
                                </a:moveTo>
                                <a:lnTo>
                                  <a:pt x="3653028" y="1482852"/>
                                </a:lnTo>
                                <a:lnTo>
                                  <a:pt x="3653028" y="1511300"/>
                                </a:lnTo>
                                <a:lnTo>
                                  <a:pt x="3874008" y="1511300"/>
                                </a:lnTo>
                                <a:lnTo>
                                  <a:pt x="3874008" y="1482852"/>
                                </a:lnTo>
                                <a:close/>
                              </a:path>
                              <a:path w="4787265" h="1511300">
                                <a:moveTo>
                                  <a:pt x="4786884" y="1432560"/>
                                </a:moveTo>
                                <a:lnTo>
                                  <a:pt x="4565904" y="1432560"/>
                                </a:lnTo>
                                <a:lnTo>
                                  <a:pt x="4565904" y="1511300"/>
                                </a:lnTo>
                                <a:lnTo>
                                  <a:pt x="4786884" y="1511300"/>
                                </a:lnTo>
                                <a:lnTo>
                                  <a:pt x="4786884" y="1432560"/>
                                </a:lnTo>
                                <a:close/>
                              </a:path>
                            </a:pathLst>
                          </a:custGeom>
                          <a:solidFill>
                            <a:srgbClr val="741A36"/>
                          </a:solidFill>
                        </wps:spPr>
                        <wps:bodyPr wrap="square" lIns="0" tIns="0" rIns="0" bIns="0" rtlCol="0">
                          <a:prstTxWarp prst="textNoShape">
                            <a:avLst/>
                          </a:prstTxWarp>
                          <a:noAutofit/>
                        </wps:bodyPr>
                      </wps:wsp>
                      <wps:wsp>
                        <wps:cNvPr id="400" name="Graphic 400"/>
                        <wps:cNvSpPr/>
                        <wps:spPr>
                          <a:xfrm>
                            <a:off x="626872" y="414527"/>
                            <a:ext cx="4787265" cy="1097280"/>
                          </a:xfrm>
                          <a:custGeom>
                            <a:avLst/>
                            <a:gdLst/>
                            <a:ahLst/>
                            <a:cxnLst/>
                            <a:rect l="l" t="t" r="r" b="b"/>
                            <a:pathLst>
                              <a:path w="4787265" h="1097280">
                                <a:moveTo>
                                  <a:pt x="219456" y="513588"/>
                                </a:moveTo>
                                <a:lnTo>
                                  <a:pt x="0" y="513588"/>
                                </a:lnTo>
                                <a:lnTo>
                                  <a:pt x="0" y="1096772"/>
                                </a:lnTo>
                                <a:lnTo>
                                  <a:pt x="219456" y="1096772"/>
                                </a:lnTo>
                                <a:lnTo>
                                  <a:pt x="219456" y="513588"/>
                                </a:lnTo>
                                <a:close/>
                              </a:path>
                              <a:path w="4787265" h="1097280">
                                <a:moveTo>
                                  <a:pt x="1133856" y="1066800"/>
                                </a:moveTo>
                                <a:lnTo>
                                  <a:pt x="912876" y="1066800"/>
                                </a:lnTo>
                                <a:lnTo>
                                  <a:pt x="912876" y="1096772"/>
                                </a:lnTo>
                                <a:lnTo>
                                  <a:pt x="1133856" y="1096772"/>
                                </a:lnTo>
                                <a:lnTo>
                                  <a:pt x="1133856" y="1066800"/>
                                </a:lnTo>
                                <a:close/>
                              </a:path>
                              <a:path w="4787265" h="1097280">
                                <a:moveTo>
                                  <a:pt x="2046732" y="1095248"/>
                                </a:moveTo>
                                <a:lnTo>
                                  <a:pt x="1825752" y="1095248"/>
                                </a:lnTo>
                                <a:lnTo>
                                  <a:pt x="1825752" y="1096772"/>
                                </a:lnTo>
                                <a:lnTo>
                                  <a:pt x="2046732" y="1096772"/>
                                </a:lnTo>
                                <a:lnTo>
                                  <a:pt x="2046732" y="1095248"/>
                                </a:lnTo>
                                <a:close/>
                              </a:path>
                              <a:path w="4787265" h="1097280">
                                <a:moveTo>
                                  <a:pt x="2959608" y="0"/>
                                </a:moveTo>
                                <a:lnTo>
                                  <a:pt x="2738628" y="0"/>
                                </a:lnTo>
                                <a:lnTo>
                                  <a:pt x="2738628" y="1096772"/>
                                </a:lnTo>
                                <a:lnTo>
                                  <a:pt x="2959608" y="1096772"/>
                                </a:lnTo>
                                <a:lnTo>
                                  <a:pt x="2959608" y="0"/>
                                </a:lnTo>
                                <a:close/>
                              </a:path>
                              <a:path w="4787265" h="1097280">
                                <a:moveTo>
                                  <a:pt x="3872484" y="897636"/>
                                </a:moveTo>
                                <a:lnTo>
                                  <a:pt x="3653028" y="897636"/>
                                </a:lnTo>
                                <a:lnTo>
                                  <a:pt x="3653028" y="1096772"/>
                                </a:lnTo>
                                <a:lnTo>
                                  <a:pt x="3872484" y="1096772"/>
                                </a:lnTo>
                                <a:lnTo>
                                  <a:pt x="3872484" y="897636"/>
                                </a:lnTo>
                                <a:close/>
                              </a:path>
                              <a:path w="4787265" h="1097280">
                                <a:moveTo>
                                  <a:pt x="4786884" y="687324"/>
                                </a:moveTo>
                                <a:lnTo>
                                  <a:pt x="4565904" y="687324"/>
                                </a:lnTo>
                                <a:lnTo>
                                  <a:pt x="4565904" y="1096772"/>
                                </a:lnTo>
                                <a:lnTo>
                                  <a:pt x="4786884" y="1096772"/>
                                </a:lnTo>
                                <a:lnTo>
                                  <a:pt x="4786884" y="687324"/>
                                </a:lnTo>
                                <a:close/>
                              </a:path>
                            </a:pathLst>
                          </a:custGeom>
                          <a:solidFill>
                            <a:srgbClr val="D44673"/>
                          </a:solidFill>
                        </wps:spPr>
                        <wps:bodyPr wrap="square" lIns="0" tIns="0" rIns="0" bIns="0" rtlCol="0">
                          <a:prstTxWarp prst="textNoShape">
                            <a:avLst/>
                          </a:prstTxWarp>
                          <a:noAutofit/>
                        </wps:bodyPr>
                      </wps:wsp>
                      <wps:wsp>
                        <wps:cNvPr id="401" name="Graphic 401"/>
                        <wps:cNvSpPr/>
                        <wps:spPr>
                          <a:xfrm>
                            <a:off x="0" y="1511300"/>
                            <a:ext cx="5479415" cy="1270"/>
                          </a:xfrm>
                          <a:custGeom>
                            <a:avLst/>
                            <a:gdLst/>
                            <a:ahLst/>
                            <a:cxnLst/>
                            <a:rect l="l" t="t" r="r" b="b"/>
                            <a:pathLst>
                              <a:path w="5479415">
                                <a:moveTo>
                                  <a:pt x="0" y="0"/>
                                </a:moveTo>
                                <a:lnTo>
                                  <a:pt x="5479415" y="0"/>
                                </a:lnTo>
                              </a:path>
                            </a:pathLst>
                          </a:custGeom>
                          <a:ln w="9525">
                            <a:solidFill>
                              <a:srgbClr val="D9D9D9"/>
                            </a:solidFill>
                            <a:prstDash val="solid"/>
                          </a:ln>
                        </wps:spPr>
                        <wps:bodyPr wrap="square" lIns="0" tIns="0" rIns="0" bIns="0" rtlCol="0">
                          <a:prstTxWarp prst="textNoShape">
                            <a:avLst/>
                          </a:prstTxWarp>
                          <a:noAutofit/>
                        </wps:bodyPr>
                      </wps:wsp>
                      <wps:wsp>
                        <wps:cNvPr id="402" name="Textbox 402"/>
                        <wps:cNvSpPr txBox="1"/>
                        <wps:spPr>
                          <a:xfrm>
                            <a:off x="3322192" y="218177"/>
                            <a:ext cx="322580" cy="139700"/>
                          </a:xfrm>
                          <a:prstGeom prst="rect">
                            <a:avLst/>
                          </a:prstGeom>
                        </wps:spPr>
                        <wps:txbx>
                          <w:txbxContent>
                            <w:p w14:paraId="0E0F37EF" w14:textId="77777777" w:rsidR="000E52B0" w:rsidRDefault="00F60D74">
                              <w:pPr>
                                <w:rPr>
                                  <w:rFonts w:ascii="Trebuchet MS"/>
                                  <w:sz w:val="18"/>
                                </w:rPr>
                              </w:pPr>
                              <w:r>
                                <w:rPr>
                                  <w:rFonts w:ascii="Trebuchet MS"/>
                                  <w:color w:val="404040"/>
                                  <w:spacing w:val="-2"/>
                                  <w:w w:val="105"/>
                                  <w:sz w:val="18"/>
                                </w:rPr>
                                <w:t>47,3%</w:t>
                              </w:r>
                            </w:p>
                          </w:txbxContent>
                        </wps:txbx>
                        <wps:bodyPr wrap="square" lIns="0" tIns="0" rIns="0" bIns="0" rtlCol="0">
                          <a:noAutofit/>
                        </wps:bodyPr>
                      </wps:wsp>
                      <wps:wsp>
                        <wps:cNvPr id="403" name="Textbox 403"/>
                        <wps:cNvSpPr txBox="1"/>
                        <wps:spPr>
                          <a:xfrm>
                            <a:off x="21539" y="414519"/>
                            <a:ext cx="322580" cy="139700"/>
                          </a:xfrm>
                          <a:prstGeom prst="rect">
                            <a:avLst/>
                          </a:prstGeom>
                        </wps:spPr>
                        <wps:txbx>
                          <w:txbxContent>
                            <w:p w14:paraId="7CEEE960" w14:textId="77777777" w:rsidR="000E52B0" w:rsidRDefault="00F60D74">
                              <w:pPr>
                                <w:rPr>
                                  <w:rFonts w:ascii="Trebuchet MS"/>
                                  <w:sz w:val="18"/>
                                </w:rPr>
                              </w:pPr>
                              <w:r>
                                <w:rPr>
                                  <w:rFonts w:ascii="Trebuchet MS"/>
                                  <w:color w:val="404040"/>
                                  <w:spacing w:val="-2"/>
                                  <w:w w:val="105"/>
                                  <w:sz w:val="18"/>
                                </w:rPr>
                                <w:t>38,8%</w:t>
                              </w:r>
                            </w:p>
                          </w:txbxContent>
                        </wps:txbx>
                        <wps:bodyPr wrap="square" lIns="0" tIns="0" rIns="0" bIns="0" rtlCol="0">
                          <a:noAutofit/>
                        </wps:bodyPr>
                      </wps:wsp>
                      <wps:wsp>
                        <wps:cNvPr id="404" name="Textbox 404"/>
                        <wps:cNvSpPr txBox="1"/>
                        <wps:spPr>
                          <a:xfrm>
                            <a:off x="1848230" y="596224"/>
                            <a:ext cx="322580" cy="140335"/>
                          </a:xfrm>
                          <a:prstGeom prst="rect">
                            <a:avLst/>
                          </a:prstGeom>
                        </wps:spPr>
                        <wps:txbx>
                          <w:txbxContent>
                            <w:p w14:paraId="54C4BF38" w14:textId="77777777" w:rsidR="000E52B0" w:rsidRDefault="00F60D74">
                              <w:pPr>
                                <w:rPr>
                                  <w:rFonts w:ascii="Trebuchet MS"/>
                                  <w:sz w:val="18"/>
                                </w:rPr>
                              </w:pPr>
                              <w:r>
                                <w:rPr>
                                  <w:rFonts w:ascii="Trebuchet MS"/>
                                  <w:color w:val="404040"/>
                                  <w:spacing w:val="-2"/>
                                  <w:w w:val="105"/>
                                  <w:sz w:val="18"/>
                                </w:rPr>
                                <w:t>31,0%</w:t>
                              </w:r>
                            </w:p>
                          </w:txbxContent>
                        </wps:txbx>
                        <wps:bodyPr wrap="square" lIns="0" tIns="0" rIns="0" bIns="0" rtlCol="0">
                          <a:noAutofit/>
                        </wps:bodyPr>
                      </wps:wsp>
                      <wps:wsp>
                        <wps:cNvPr id="405" name="Textbox 405"/>
                        <wps:cNvSpPr txBox="1"/>
                        <wps:spPr>
                          <a:xfrm>
                            <a:off x="581787" y="731511"/>
                            <a:ext cx="322580" cy="139700"/>
                          </a:xfrm>
                          <a:prstGeom prst="rect">
                            <a:avLst/>
                          </a:prstGeom>
                        </wps:spPr>
                        <wps:txbx>
                          <w:txbxContent>
                            <w:p w14:paraId="6B5F4404" w14:textId="77777777" w:rsidR="000E52B0" w:rsidRDefault="00F60D74">
                              <w:pPr>
                                <w:rPr>
                                  <w:rFonts w:ascii="Trebuchet MS"/>
                                  <w:sz w:val="18"/>
                                </w:rPr>
                              </w:pPr>
                              <w:r>
                                <w:rPr>
                                  <w:rFonts w:ascii="Trebuchet MS"/>
                                  <w:color w:val="404040"/>
                                  <w:spacing w:val="-2"/>
                                  <w:w w:val="105"/>
                                  <w:sz w:val="18"/>
                                </w:rPr>
                                <w:t>25,1%</w:t>
                              </w:r>
                            </w:p>
                          </w:txbxContent>
                        </wps:txbx>
                        <wps:bodyPr wrap="square" lIns="0" tIns="0" rIns="0" bIns="0" rtlCol="0">
                          <a:noAutofit/>
                        </wps:bodyPr>
                      </wps:wsp>
                      <wps:wsp>
                        <wps:cNvPr id="406" name="Textbox 406"/>
                        <wps:cNvSpPr txBox="1"/>
                        <wps:spPr>
                          <a:xfrm>
                            <a:off x="2761742" y="730622"/>
                            <a:ext cx="603250" cy="305435"/>
                          </a:xfrm>
                          <a:prstGeom prst="rect">
                            <a:avLst/>
                          </a:prstGeom>
                        </wps:spPr>
                        <wps:txbx>
                          <w:txbxContent>
                            <w:p w14:paraId="5276BBA8" w14:textId="77777777" w:rsidR="000E52B0" w:rsidRDefault="00F60D74">
                              <w:pPr>
                                <w:ind w:left="441"/>
                                <w:rPr>
                                  <w:rFonts w:ascii="Trebuchet MS"/>
                                  <w:sz w:val="18"/>
                                </w:rPr>
                              </w:pPr>
                              <w:r>
                                <w:rPr>
                                  <w:rFonts w:ascii="Trebuchet MS"/>
                                  <w:color w:val="404040"/>
                                  <w:spacing w:val="-2"/>
                                  <w:w w:val="105"/>
                                  <w:sz w:val="18"/>
                                </w:rPr>
                                <w:t>25,2%</w:t>
                              </w:r>
                            </w:p>
                            <w:p w14:paraId="300A04EF" w14:textId="77777777" w:rsidR="000E52B0" w:rsidRDefault="00F60D74">
                              <w:pPr>
                                <w:spacing w:before="52"/>
                                <w:rPr>
                                  <w:rFonts w:ascii="Trebuchet MS"/>
                                  <w:sz w:val="18"/>
                                </w:rPr>
                              </w:pPr>
                              <w:r>
                                <w:rPr>
                                  <w:rFonts w:ascii="Trebuchet MS"/>
                                  <w:color w:val="404040"/>
                                  <w:spacing w:val="-2"/>
                                  <w:w w:val="105"/>
                                  <w:sz w:val="18"/>
                                </w:rPr>
                                <w:t>18,0%</w:t>
                              </w:r>
                            </w:p>
                          </w:txbxContent>
                        </wps:txbx>
                        <wps:bodyPr wrap="square" lIns="0" tIns="0" rIns="0" bIns="0" rtlCol="0">
                          <a:noAutofit/>
                        </wps:bodyPr>
                      </wps:wsp>
                      <wps:wsp>
                        <wps:cNvPr id="407" name="Textbox 407"/>
                        <wps:cNvSpPr txBox="1"/>
                        <wps:spPr>
                          <a:xfrm>
                            <a:off x="5148834" y="905247"/>
                            <a:ext cx="322580" cy="139700"/>
                          </a:xfrm>
                          <a:prstGeom prst="rect">
                            <a:avLst/>
                          </a:prstGeom>
                        </wps:spPr>
                        <wps:txbx>
                          <w:txbxContent>
                            <w:p w14:paraId="49D65FFD" w14:textId="77777777" w:rsidR="000E52B0" w:rsidRDefault="00F60D74">
                              <w:pPr>
                                <w:rPr>
                                  <w:rFonts w:ascii="Trebuchet MS"/>
                                  <w:sz w:val="18"/>
                                </w:rPr>
                              </w:pPr>
                              <w:r>
                                <w:rPr>
                                  <w:rFonts w:ascii="Trebuchet MS"/>
                                  <w:color w:val="404040"/>
                                  <w:spacing w:val="-2"/>
                                  <w:w w:val="105"/>
                                  <w:sz w:val="18"/>
                                </w:rPr>
                                <w:t>17,7%</w:t>
                              </w:r>
                            </w:p>
                          </w:txbxContent>
                        </wps:txbx>
                        <wps:bodyPr wrap="square" lIns="0" tIns="0" rIns="0" bIns="0" rtlCol="0">
                          <a:noAutofit/>
                        </wps:bodyPr>
                      </wps:wsp>
                      <wps:wsp>
                        <wps:cNvPr id="408" name="Textbox 408"/>
                        <wps:cNvSpPr txBox="1"/>
                        <wps:spPr>
                          <a:xfrm>
                            <a:off x="965453" y="1165851"/>
                            <a:ext cx="821690" cy="258445"/>
                          </a:xfrm>
                          <a:prstGeom prst="rect">
                            <a:avLst/>
                          </a:prstGeom>
                        </wps:spPr>
                        <wps:txbx>
                          <w:txbxContent>
                            <w:p w14:paraId="220BDBED" w14:textId="77777777" w:rsidR="000E52B0" w:rsidRDefault="00F60D74">
                              <w:pPr>
                                <w:rPr>
                                  <w:rFonts w:ascii="Trebuchet MS"/>
                                  <w:position w:val="-18"/>
                                  <w:sz w:val="18"/>
                                </w:rPr>
                              </w:pPr>
                              <w:r>
                                <w:rPr>
                                  <w:rFonts w:ascii="Trebuchet MS"/>
                                  <w:color w:val="404040"/>
                                  <w:w w:val="105"/>
                                  <w:sz w:val="18"/>
                                </w:rPr>
                                <w:t>6,4%</w:t>
                              </w:r>
                              <w:r>
                                <w:rPr>
                                  <w:rFonts w:ascii="Trebuchet MS"/>
                                  <w:color w:val="404040"/>
                                  <w:spacing w:val="-3"/>
                                  <w:w w:val="105"/>
                                  <w:sz w:val="18"/>
                                </w:rPr>
                                <w:t xml:space="preserve"> </w:t>
                              </w:r>
                              <w:r>
                                <w:rPr>
                                  <w:rFonts w:ascii="Trebuchet MS"/>
                                  <w:color w:val="404040"/>
                                  <w:w w:val="105"/>
                                  <w:position w:val="-6"/>
                                  <w:sz w:val="18"/>
                                </w:rPr>
                                <w:t>4,5%</w:t>
                              </w:r>
                              <w:r>
                                <w:rPr>
                                  <w:rFonts w:ascii="Trebuchet MS"/>
                                  <w:color w:val="404040"/>
                                  <w:spacing w:val="-3"/>
                                  <w:w w:val="105"/>
                                  <w:position w:val="-6"/>
                                  <w:sz w:val="18"/>
                                </w:rPr>
                                <w:t xml:space="preserve"> </w:t>
                              </w:r>
                              <w:r>
                                <w:rPr>
                                  <w:rFonts w:ascii="Trebuchet MS"/>
                                  <w:color w:val="404040"/>
                                  <w:spacing w:val="-4"/>
                                  <w:w w:val="105"/>
                                  <w:position w:val="-18"/>
                                  <w:sz w:val="18"/>
                                </w:rPr>
                                <w:t>1,3%</w:t>
                              </w:r>
                            </w:p>
                          </w:txbxContent>
                        </wps:txbx>
                        <wps:bodyPr wrap="square" lIns="0" tIns="0" rIns="0" bIns="0" rtlCol="0">
                          <a:noAutofit/>
                        </wps:bodyPr>
                      </wps:wsp>
                      <wps:wsp>
                        <wps:cNvPr id="409" name="Textbox 409"/>
                        <wps:cNvSpPr txBox="1"/>
                        <wps:spPr>
                          <a:xfrm>
                            <a:off x="4266184" y="1114924"/>
                            <a:ext cx="261620" cy="139700"/>
                          </a:xfrm>
                          <a:prstGeom prst="rect">
                            <a:avLst/>
                          </a:prstGeom>
                        </wps:spPr>
                        <wps:txbx>
                          <w:txbxContent>
                            <w:p w14:paraId="08B71A13" w14:textId="77777777" w:rsidR="000E52B0" w:rsidRDefault="00F60D74">
                              <w:pPr>
                                <w:rPr>
                                  <w:rFonts w:ascii="Trebuchet MS"/>
                                  <w:sz w:val="18"/>
                                </w:rPr>
                              </w:pPr>
                              <w:r>
                                <w:rPr>
                                  <w:rFonts w:ascii="Trebuchet MS"/>
                                  <w:color w:val="404040"/>
                                  <w:spacing w:val="-4"/>
                                  <w:w w:val="105"/>
                                  <w:sz w:val="18"/>
                                </w:rPr>
                                <w:t>8,6%</w:t>
                              </w:r>
                            </w:p>
                          </w:txbxContent>
                        </wps:txbx>
                        <wps:bodyPr wrap="square" lIns="0" tIns="0" rIns="0" bIns="0" rtlCol="0">
                          <a:noAutofit/>
                        </wps:bodyPr>
                      </wps:wsp>
                      <wps:wsp>
                        <wps:cNvPr id="410" name="Textbox 410"/>
                        <wps:cNvSpPr txBox="1"/>
                        <wps:spPr>
                          <a:xfrm>
                            <a:off x="2159126" y="1303011"/>
                            <a:ext cx="261620" cy="139700"/>
                          </a:xfrm>
                          <a:prstGeom prst="rect">
                            <a:avLst/>
                          </a:prstGeom>
                        </wps:spPr>
                        <wps:txbx>
                          <w:txbxContent>
                            <w:p w14:paraId="2839FB09" w14:textId="77777777" w:rsidR="000E52B0" w:rsidRDefault="00F60D74">
                              <w:pPr>
                                <w:rPr>
                                  <w:rFonts w:ascii="Trebuchet MS"/>
                                  <w:sz w:val="18"/>
                                </w:rPr>
                              </w:pPr>
                              <w:r>
                                <w:rPr>
                                  <w:rFonts w:ascii="Trebuchet MS"/>
                                  <w:color w:val="404040"/>
                                  <w:spacing w:val="-4"/>
                                  <w:w w:val="105"/>
                                  <w:sz w:val="18"/>
                                </w:rPr>
                                <w:t>0,5%</w:t>
                              </w:r>
                            </w:p>
                          </w:txbxContent>
                        </wps:txbx>
                        <wps:bodyPr wrap="square" lIns="0" tIns="0" rIns="0" bIns="0" rtlCol="0">
                          <a:noAutofit/>
                        </wps:bodyPr>
                      </wps:wsp>
                      <wps:wsp>
                        <wps:cNvPr id="411" name="Textbox 411"/>
                        <wps:cNvSpPr txBox="1"/>
                        <wps:spPr>
                          <a:xfrm>
                            <a:off x="2439161" y="1313679"/>
                            <a:ext cx="261620" cy="139700"/>
                          </a:xfrm>
                          <a:prstGeom prst="rect">
                            <a:avLst/>
                          </a:prstGeom>
                        </wps:spPr>
                        <wps:txbx>
                          <w:txbxContent>
                            <w:p w14:paraId="31D4B289" w14:textId="77777777" w:rsidR="000E52B0" w:rsidRDefault="00F60D74">
                              <w:pPr>
                                <w:rPr>
                                  <w:rFonts w:ascii="Trebuchet MS"/>
                                  <w:sz w:val="18"/>
                                </w:rPr>
                              </w:pPr>
                              <w:r>
                                <w:rPr>
                                  <w:rFonts w:ascii="Trebuchet MS"/>
                                  <w:color w:val="404040"/>
                                  <w:spacing w:val="-4"/>
                                  <w:w w:val="105"/>
                                  <w:sz w:val="18"/>
                                </w:rPr>
                                <w:t>0,0%</w:t>
                              </w:r>
                            </w:p>
                          </w:txbxContent>
                        </wps:txbx>
                        <wps:bodyPr wrap="square" lIns="0" tIns="0" rIns="0" bIns="0" rtlCol="0">
                          <a:noAutofit/>
                        </wps:bodyPr>
                      </wps:wsp>
                      <wps:wsp>
                        <wps:cNvPr id="412" name="Textbox 412"/>
                        <wps:cNvSpPr txBox="1"/>
                        <wps:spPr>
                          <a:xfrm>
                            <a:off x="3705605" y="1286882"/>
                            <a:ext cx="541655" cy="151130"/>
                          </a:xfrm>
                          <a:prstGeom prst="rect">
                            <a:avLst/>
                          </a:prstGeom>
                        </wps:spPr>
                        <wps:txbx>
                          <w:txbxContent>
                            <w:p w14:paraId="6116E5B4" w14:textId="77777777" w:rsidR="000E52B0" w:rsidRDefault="00F60D74">
                              <w:pPr>
                                <w:spacing w:line="227" w:lineRule="exact"/>
                                <w:rPr>
                                  <w:rFonts w:ascii="Trebuchet MS"/>
                                  <w:position w:val="2"/>
                                  <w:sz w:val="18"/>
                                </w:rPr>
                              </w:pPr>
                              <w:r>
                                <w:rPr>
                                  <w:rFonts w:ascii="Trebuchet MS"/>
                                  <w:color w:val="404040"/>
                                  <w:w w:val="105"/>
                                  <w:sz w:val="18"/>
                                </w:rPr>
                                <w:t>0,7%</w:t>
                              </w:r>
                              <w:r>
                                <w:rPr>
                                  <w:rFonts w:ascii="Trebuchet MS"/>
                                  <w:color w:val="404040"/>
                                  <w:spacing w:val="-3"/>
                                  <w:w w:val="105"/>
                                  <w:sz w:val="18"/>
                                </w:rPr>
                                <w:t xml:space="preserve"> </w:t>
                              </w:r>
                              <w:r>
                                <w:rPr>
                                  <w:rFonts w:ascii="Trebuchet MS"/>
                                  <w:color w:val="404040"/>
                                  <w:spacing w:val="-4"/>
                                  <w:w w:val="105"/>
                                  <w:position w:val="2"/>
                                  <w:sz w:val="18"/>
                                </w:rPr>
                                <w:t>1,2%</w:t>
                              </w:r>
                            </w:p>
                          </w:txbxContent>
                        </wps:txbx>
                        <wps:bodyPr wrap="square" lIns="0" tIns="0" rIns="0" bIns="0" rtlCol="0">
                          <a:noAutofit/>
                        </wps:bodyPr>
                      </wps:wsp>
                      <wps:wsp>
                        <wps:cNvPr id="413" name="Textbox 413"/>
                        <wps:cNvSpPr txBox="1"/>
                        <wps:spPr>
                          <a:xfrm>
                            <a:off x="4619116" y="1196331"/>
                            <a:ext cx="541655" cy="179705"/>
                          </a:xfrm>
                          <a:prstGeom prst="rect">
                            <a:avLst/>
                          </a:prstGeom>
                        </wps:spPr>
                        <wps:txbx>
                          <w:txbxContent>
                            <w:p w14:paraId="60C187E5" w14:textId="77777777" w:rsidR="000E52B0" w:rsidRDefault="00F60D74">
                              <w:pPr>
                                <w:rPr>
                                  <w:rFonts w:ascii="Trebuchet MS"/>
                                  <w:position w:val="-5"/>
                                  <w:sz w:val="18"/>
                                </w:rPr>
                              </w:pPr>
                              <w:r>
                                <w:rPr>
                                  <w:rFonts w:ascii="Trebuchet MS"/>
                                  <w:color w:val="404040"/>
                                  <w:w w:val="105"/>
                                  <w:sz w:val="18"/>
                                </w:rPr>
                                <w:t>5,1%</w:t>
                              </w:r>
                              <w:r>
                                <w:rPr>
                                  <w:rFonts w:ascii="Trebuchet MS"/>
                                  <w:color w:val="404040"/>
                                  <w:spacing w:val="-3"/>
                                  <w:w w:val="105"/>
                                  <w:sz w:val="18"/>
                                </w:rPr>
                                <w:t xml:space="preserve"> </w:t>
                              </w:r>
                              <w:r>
                                <w:rPr>
                                  <w:rFonts w:ascii="Trebuchet MS"/>
                                  <w:color w:val="404040"/>
                                  <w:spacing w:val="-4"/>
                                  <w:w w:val="105"/>
                                  <w:position w:val="-5"/>
                                  <w:sz w:val="18"/>
                                </w:rPr>
                                <w:t>3,4%</w:t>
                              </w:r>
                            </w:p>
                          </w:txbxContent>
                        </wps:txbx>
                        <wps:bodyPr wrap="square" lIns="0" tIns="0" rIns="0" bIns="0" rtlCol="0">
                          <a:noAutofit/>
                        </wps:bodyPr>
                      </wps:wsp>
                    </wpg:wgp>
                  </a:graphicData>
                </a:graphic>
              </wp:anchor>
            </w:drawing>
          </mc:Choice>
          <mc:Fallback>
            <w:pict>
              <v:group w14:anchorId="62223157" id="Group 397" o:spid="_x0000_s1223" style="position:absolute;margin-left:83pt;margin-top:5.15pt;width:431.45pt;height:119.4pt;z-index:-15673344;mso-wrap-distance-left:0;mso-wrap-distance-right:0;mso-position-horizontal-relative:page;mso-position-vertical-relative:text" coordsize="54794,1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">
                <v:shape id="Graphic 398" o:spid="_x0000_s1224" style="position:absolute;left:660;top:6111;width:47873;height:9004;visibility:visible;mso-wrap-style:square;v-text-anchor:top" coordsize="478726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" path="m220980,l,,,900176r220980,l220980,xem1133856,751332r-220980,l912876,900176r220980,l1133856,751332xem2046732,182880r-219456,l1827276,900176r219456,l2046732,182880xem2961132,481584r-220980,l2740152,900176r220980,l2961132,481584xem3874008,883920r-220980,l3653028,900176r220980,l3874008,883920xem4786884,781812r-220980,l4565904,900176r220980,l4786884,781812xe" fillcolor="#9fa0a8" stroked="f">
                  <v:path arrowok="t"/>
                </v:shape>
                <v:shape id="Graphic 399" o:spid="_x0000_s1225" style="position:absolute;left:3464;width:47873;height:15113;visibility:visible;mso-wrap-style:square;v-text-anchor:top" coordsize="4787265,151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" path="m220980,l,,,1511300r220980,l220980,xem1133856,1406652r-220980,l912876,1511300r220980,l1133856,1406652xem2046732,1499616r-220980,l1825752,1511300r220980,l2046732,1499616xem2959608,928116r-219456,l2740152,1511300r219456,l2959608,928116xem3874008,1482852r-220980,l3653028,1511300r220980,l3874008,1482852xem4786884,1432560r-220980,l4565904,1511300r220980,l4786884,1432560xe" fillcolor="#741a36" stroked="f">
                  <v:path arrowok="t"/>
                </v:shape>
                <v:shape id="Graphic 400" o:spid="_x0000_s1226" style="position:absolute;left:6268;top:4145;width:47873;height:10973;visibility:visible;mso-wrap-style:square;v-text-anchor:top" coordsize="4787265,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" path="m219456,513588l,513588r,583184l219456,1096772r,-583184xem1133856,1066800r-220980,l912876,1096772r220980,l1133856,1066800xem2046732,1095248r-220980,l1825752,1096772r220980,l2046732,1095248xem2959608,l2738628,r,1096772l2959608,1096772,2959608,xem3872484,897636r-219456,l3653028,1096772r219456,l3872484,897636xem4786884,687324r-220980,l4565904,1096772r220980,l4786884,687324xe" fillcolor="#d44673" stroked="f">
                  <v:path arrowok="t"/>
                </v:shape>
                <v:shape id="Graphic 401" o:spid="_x0000_s1227" style="position:absolute;top:15113;width:54794;height:12;visibility:visible;mso-wrap-style:square;v-text-anchor:top" coordsize="5479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" path="m,l5479415,e" filled="f" strokecolor="#d9d9d9">
                  <v:path arrowok="t"/>
                </v:shape>
                <v:shape id="Textbox 402" o:spid="_x0000_s1228" type="#_x0000_t202" style="position:absolute;left:33221;top:2181;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0E0F37EF" w14:textId="77777777" w:rsidR="000E52B0" w:rsidRDefault="00F60D74">
                        <w:pPr>
                          <w:rPr>
                            <w:rFonts w:ascii="Trebuchet MS"/>
                            <w:sz w:val="18"/>
                          </w:rPr>
                        </w:pPr>
                        <w:r>
                          <w:rPr>
                            <w:rFonts w:ascii="Trebuchet MS"/>
                            <w:color w:val="404040"/>
                            <w:spacing w:val="-2"/>
                            <w:w w:val="105"/>
                            <w:sz w:val="18"/>
                          </w:rPr>
                          <w:t>47,3%</w:t>
                        </w:r>
                      </w:p>
                    </w:txbxContent>
                  </v:textbox>
                </v:shape>
                <v:shape id="Textbox 403" o:spid="_x0000_s1229" type="#_x0000_t202" style="position:absolute;left:215;top:4145;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7CEEE960" w14:textId="77777777" w:rsidR="000E52B0" w:rsidRDefault="00F60D74">
                        <w:pPr>
                          <w:rPr>
                            <w:rFonts w:ascii="Trebuchet MS"/>
                            <w:sz w:val="18"/>
                          </w:rPr>
                        </w:pPr>
                        <w:r>
                          <w:rPr>
                            <w:rFonts w:ascii="Trebuchet MS"/>
                            <w:color w:val="404040"/>
                            <w:spacing w:val="-2"/>
                            <w:w w:val="105"/>
                            <w:sz w:val="18"/>
                          </w:rPr>
                          <w:t>38,8%</w:t>
                        </w:r>
                      </w:p>
                    </w:txbxContent>
                  </v:textbox>
                </v:shape>
                <v:shape id="Textbox 404" o:spid="_x0000_s1230" type="#_x0000_t202" style="position:absolute;left:18482;top:5962;width:322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54C4BF38" w14:textId="77777777" w:rsidR="000E52B0" w:rsidRDefault="00F60D74">
                        <w:pPr>
                          <w:rPr>
                            <w:rFonts w:ascii="Trebuchet MS"/>
                            <w:sz w:val="18"/>
                          </w:rPr>
                        </w:pPr>
                        <w:r>
                          <w:rPr>
                            <w:rFonts w:ascii="Trebuchet MS"/>
                            <w:color w:val="404040"/>
                            <w:spacing w:val="-2"/>
                            <w:w w:val="105"/>
                            <w:sz w:val="18"/>
                          </w:rPr>
                          <w:t>31,0%</w:t>
                        </w:r>
                      </w:p>
                    </w:txbxContent>
                  </v:textbox>
                </v:shape>
                <v:shape id="Textbox 405" o:spid="_x0000_s1231" type="#_x0000_t202" style="position:absolute;left:5817;top:7315;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6B5F4404" w14:textId="77777777" w:rsidR="000E52B0" w:rsidRDefault="00F60D74">
                        <w:pPr>
                          <w:rPr>
                            <w:rFonts w:ascii="Trebuchet MS"/>
                            <w:sz w:val="18"/>
                          </w:rPr>
                        </w:pPr>
                        <w:r>
                          <w:rPr>
                            <w:rFonts w:ascii="Trebuchet MS"/>
                            <w:color w:val="404040"/>
                            <w:spacing w:val="-2"/>
                            <w:w w:val="105"/>
                            <w:sz w:val="18"/>
                          </w:rPr>
                          <w:t>25,1%</w:t>
                        </w:r>
                      </w:p>
                    </w:txbxContent>
                  </v:textbox>
                </v:shape>
                <v:shape id="Textbox 406" o:spid="_x0000_s1232" type="#_x0000_t202" style="position:absolute;left:27617;top:7306;width:6032;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5276BBA8" w14:textId="77777777" w:rsidR="000E52B0" w:rsidRDefault="00F60D74">
                        <w:pPr>
                          <w:ind w:left="441"/>
                          <w:rPr>
                            <w:rFonts w:ascii="Trebuchet MS"/>
                            <w:sz w:val="18"/>
                          </w:rPr>
                        </w:pPr>
                        <w:r>
                          <w:rPr>
                            <w:rFonts w:ascii="Trebuchet MS"/>
                            <w:color w:val="404040"/>
                            <w:spacing w:val="-2"/>
                            <w:w w:val="105"/>
                            <w:sz w:val="18"/>
                          </w:rPr>
                          <w:t>25,2%</w:t>
                        </w:r>
                      </w:p>
                      <w:p w14:paraId="300A04EF" w14:textId="77777777" w:rsidR="000E52B0" w:rsidRDefault="00F60D74">
                        <w:pPr>
                          <w:spacing w:before="52"/>
                          <w:rPr>
                            <w:rFonts w:ascii="Trebuchet MS"/>
                            <w:sz w:val="18"/>
                          </w:rPr>
                        </w:pPr>
                        <w:r>
                          <w:rPr>
                            <w:rFonts w:ascii="Trebuchet MS"/>
                            <w:color w:val="404040"/>
                            <w:spacing w:val="-2"/>
                            <w:w w:val="105"/>
                            <w:sz w:val="18"/>
                          </w:rPr>
                          <w:t>18,0%</w:t>
                        </w:r>
                      </w:p>
                    </w:txbxContent>
                  </v:textbox>
                </v:shape>
                <v:shape id="Textbox 407" o:spid="_x0000_s1233" type="#_x0000_t202" style="position:absolute;left:51488;top:9052;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49D65FFD" w14:textId="77777777" w:rsidR="000E52B0" w:rsidRDefault="00F60D74">
                        <w:pPr>
                          <w:rPr>
                            <w:rFonts w:ascii="Trebuchet MS"/>
                            <w:sz w:val="18"/>
                          </w:rPr>
                        </w:pPr>
                        <w:r>
                          <w:rPr>
                            <w:rFonts w:ascii="Trebuchet MS"/>
                            <w:color w:val="404040"/>
                            <w:spacing w:val="-2"/>
                            <w:w w:val="105"/>
                            <w:sz w:val="18"/>
                          </w:rPr>
                          <w:t>17,7%</w:t>
                        </w:r>
                      </w:p>
                    </w:txbxContent>
                  </v:textbox>
                </v:shape>
                <v:shape id="Textbox 408" o:spid="_x0000_s1234" type="#_x0000_t202" style="position:absolute;left:9654;top:11658;width:8217;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220BDBED" w14:textId="77777777" w:rsidR="000E52B0" w:rsidRDefault="00F60D74">
                        <w:pPr>
                          <w:rPr>
                            <w:rFonts w:ascii="Trebuchet MS"/>
                            <w:position w:val="-18"/>
                            <w:sz w:val="18"/>
                          </w:rPr>
                        </w:pPr>
                        <w:r>
                          <w:rPr>
                            <w:rFonts w:ascii="Trebuchet MS"/>
                            <w:color w:val="404040"/>
                            <w:w w:val="105"/>
                            <w:sz w:val="18"/>
                          </w:rPr>
                          <w:t>6,4%</w:t>
                        </w:r>
                        <w:r>
                          <w:rPr>
                            <w:rFonts w:ascii="Trebuchet MS"/>
                            <w:color w:val="404040"/>
                            <w:spacing w:val="-3"/>
                            <w:w w:val="105"/>
                            <w:sz w:val="18"/>
                          </w:rPr>
                          <w:t xml:space="preserve"> </w:t>
                        </w:r>
                        <w:r>
                          <w:rPr>
                            <w:rFonts w:ascii="Trebuchet MS"/>
                            <w:color w:val="404040"/>
                            <w:w w:val="105"/>
                            <w:position w:val="-6"/>
                            <w:sz w:val="18"/>
                          </w:rPr>
                          <w:t>4,5%</w:t>
                        </w:r>
                        <w:r>
                          <w:rPr>
                            <w:rFonts w:ascii="Trebuchet MS"/>
                            <w:color w:val="404040"/>
                            <w:spacing w:val="-3"/>
                            <w:w w:val="105"/>
                            <w:position w:val="-6"/>
                            <w:sz w:val="18"/>
                          </w:rPr>
                          <w:t xml:space="preserve"> </w:t>
                        </w:r>
                        <w:r>
                          <w:rPr>
                            <w:rFonts w:ascii="Trebuchet MS"/>
                            <w:color w:val="404040"/>
                            <w:spacing w:val="-4"/>
                            <w:w w:val="105"/>
                            <w:position w:val="-18"/>
                            <w:sz w:val="18"/>
                          </w:rPr>
                          <w:t>1,3%</w:t>
                        </w:r>
                      </w:p>
                    </w:txbxContent>
                  </v:textbox>
                </v:shape>
                <v:shape id="Textbox 409" o:spid="_x0000_s1235" type="#_x0000_t202" style="position:absolute;left:42661;top:11149;width:261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08B71A13" w14:textId="77777777" w:rsidR="000E52B0" w:rsidRDefault="00F60D74">
                        <w:pPr>
                          <w:rPr>
                            <w:rFonts w:ascii="Trebuchet MS"/>
                            <w:sz w:val="18"/>
                          </w:rPr>
                        </w:pPr>
                        <w:r>
                          <w:rPr>
                            <w:rFonts w:ascii="Trebuchet MS"/>
                            <w:color w:val="404040"/>
                            <w:spacing w:val="-4"/>
                            <w:w w:val="105"/>
                            <w:sz w:val="18"/>
                          </w:rPr>
                          <w:t>8,6%</w:t>
                        </w:r>
                      </w:p>
                    </w:txbxContent>
                  </v:textbox>
                </v:shape>
                <v:shape id="Textbox 410" o:spid="_x0000_s1236" type="#_x0000_t202" style="position:absolute;left:21591;top:13030;width:261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2839FB09" w14:textId="77777777" w:rsidR="000E52B0" w:rsidRDefault="00F60D74">
                        <w:pPr>
                          <w:rPr>
                            <w:rFonts w:ascii="Trebuchet MS"/>
                            <w:sz w:val="18"/>
                          </w:rPr>
                        </w:pPr>
                        <w:r>
                          <w:rPr>
                            <w:rFonts w:ascii="Trebuchet MS"/>
                            <w:color w:val="404040"/>
                            <w:spacing w:val="-4"/>
                            <w:w w:val="105"/>
                            <w:sz w:val="18"/>
                          </w:rPr>
                          <w:t>0,5%</w:t>
                        </w:r>
                      </w:p>
                    </w:txbxContent>
                  </v:textbox>
                </v:shape>
                <v:shape id="Textbox 411" o:spid="_x0000_s1237" type="#_x0000_t202" style="position:absolute;left:24391;top:13136;width:261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31D4B289" w14:textId="77777777" w:rsidR="000E52B0" w:rsidRDefault="00F60D74">
                        <w:pPr>
                          <w:rPr>
                            <w:rFonts w:ascii="Trebuchet MS"/>
                            <w:sz w:val="18"/>
                          </w:rPr>
                        </w:pPr>
                        <w:r>
                          <w:rPr>
                            <w:rFonts w:ascii="Trebuchet MS"/>
                            <w:color w:val="404040"/>
                            <w:spacing w:val="-4"/>
                            <w:w w:val="105"/>
                            <w:sz w:val="18"/>
                          </w:rPr>
                          <w:t>0,0%</w:t>
                        </w:r>
                      </w:p>
                    </w:txbxContent>
                  </v:textbox>
                </v:shape>
                <v:shape id="Textbox 412" o:spid="_x0000_s1238" type="#_x0000_t202" style="position:absolute;left:37056;top:12868;width:5416;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6116E5B4" w14:textId="77777777" w:rsidR="000E52B0" w:rsidRDefault="00F60D74">
                        <w:pPr>
                          <w:spacing w:line="227" w:lineRule="exact"/>
                          <w:rPr>
                            <w:rFonts w:ascii="Trebuchet MS"/>
                            <w:position w:val="2"/>
                            <w:sz w:val="18"/>
                          </w:rPr>
                        </w:pPr>
                        <w:r>
                          <w:rPr>
                            <w:rFonts w:ascii="Trebuchet MS"/>
                            <w:color w:val="404040"/>
                            <w:w w:val="105"/>
                            <w:sz w:val="18"/>
                          </w:rPr>
                          <w:t>0,7%</w:t>
                        </w:r>
                        <w:r>
                          <w:rPr>
                            <w:rFonts w:ascii="Trebuchet MS"/>
                            <w:color w:val="404040"/>
                            <w:spacing w:val="-3"/>
                            <w:w w:val="105"/>
                            <w:sz w:val="18"/>
                          </w:rPr>
                          <w:t xml:space="preserve"> </w:t>
                        </w:r>
                        <w:r>
                          <w:rPr>
                            <w:rFonts w:ascii="Trebuchet MS"/>
                            <w:color w:val="404040"/>
                            <w:spacing w:val="-4"/>
                            <w:w w:val="105"/>
                            <w:position w:val="2"/>
                            <w:sz w:val="18"/>
                          </w:rPr>
                          <w:t>1,2%</w:t>
                        </w:r>
                      </w:p>
                    </w:txbxContent>
                  </v:textbox>
                </v:shape>
                <v:shape id="Textbox 413" o:spid="_x0000_s1239" type="#_x0000_t202" style="position:absolute;left:46191;top:11963;width:5416;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60C187E5" w14:textId="77777777" w:rsidR="000E52B0" w:rsidRDefault="00F60D74">
                        <w:pPr>
                          <w:rPr>
                            <w:rFonts w:ascii="Trebuchet MS"/>
                            <w:position w:val="-5"/>
                            <w:sz w:val="18"/>
                          </w:rPr>
                        </w:pPr>
                        <w:r>
                          <w:rPr>
                            <w:rFonts w:ascii="Trebuchet MS"/>
                            <w:color w:val="404040"/>
                            <w:w w:val="105"/>
                            <w:sz w:val="18"/>
                          </w:rPr>
                          <w:t>5,1%</w:t>
                        </w:r>
                        <w:r>
                          <w:rPr>
                            <w:rFonts w:ascii="Trebuchet MS"/>
                            <w:color w:val="404040"/>
                            <w:spacing w:val="-3"/>
                            <w:w w:val="105"/>
                            <w:sz w:val="18"/>
                          </w:rPr>
                          <w:t xml:space="preserve"> </w:t>
                        </w:r>
                        <w:r>
                          <w:rPr>
                            <w:rFonts w:ascii="Trebuchet MS"/>
                            <w:color w:val="404040"/>
                            <w:spacing w:val="-4"/>
                            <w:w w:val="105"/>
                            <w:position w:val="-5"/>
                            <w:sz w:val="18"/>
                          </w:rPr>
                          <w:t>3,4%</w:t>
                        </w:r>
                      </w:p>
                    </w:txbxContent>
                  </v:textbox>
                </v:shape>
                <w10:wrap type="topAndBottom" anchorx="page"/>
              </v:group>
            </w:pict>
          </mc:Fallback>
        </mc:AlternateContent>
      </w:r>
    </w:p>
    <w:p w14:paraId="6BF8BBF0" w14:textId="77777777" w:rsidR="000E52B0" w:rsidRDefault="000E52B0">
      <w:pPr>
        <w:pStyle w:val="Textoindependiente"/>
        <w:ind w:left="0"/>
        <w:rPr>
          <w:rFonts w:ascii="Trebuchet MS"/>
          <w:sz w:val="6"/>
        </w:rPr>
      </w:pPr>
    </w:p>
    <w:p w14:paraId="404ED1EF" w14:textId="77777777" w:rsidR="000E52B0" w:rsidRDefault="000E52B0">
      <w:pPr>
        <w:pStyle w:val="Textoindependiente"/>
        <w:rPr>
          <w:rFonts w:ascii="Trebuchet MS"/>
          <w:sz w:val="6"/>
        </w:rPr>
        <w:sectPr w:rsidR="000E52B0">
          <w:pgSz w:w="11910" w:h="16840"/>
          <w:pgMar w:top="1340" w:right="720" w:bottom="1180" w:left="720" w:header="0" w:footer="995" w:gutter="0"/>
          <w:cols w:space="720"/>
        </w:sectPr>
      </w:pPr>
    </w:p>
    <w:p w14:paraId="2AD89F75" w14:textId="77777777" w:rsidR="000E52B0" w:rsidRDefault="00F60D74">
      <w:pPr>
        <w:tabs>
          <w:tab w:val="left" w:pos="2409"/>
          <w:tab w:val="left" w:pos="4093"/>
          <w:tab w:val="left" w:pos="5319"/>
          <w:tab w:val="left" w:pos="6901"/>
        </w:tabs>
        <w:spacing w:before="35"/>
        <w:ind w:left="1221"/>
        <w:rPr>
          <w:rFonts w:ascii="Trebuchet MS"/>
          <w:sz w:val="18"/>
        </w:rPr>
      </w:pPr>
      <w:proofErr w:type="gramStart"/>
      <w:r>
        <w:rPr>
          <w:rFonts w:ascii="Trebuchet MS"/>
          <w:color w:val="585858"/>
          <w:spacing w:val="-2"/>
          <w:sz w:val="18"/>
        </w:rPr>
        <w:t>Trabajando</w:t>
      </w:r>
      <w:r>
        <w:rPr>
          <w:rFonts w:ascii="Trebuchet MS"/>
          <w:color w:val="585858"/>
          <w:sz w:val="18"/>
        </w:rPr>
        <w:tab/>
        <w:t>Buscando</w:t>
      </w:r>
      <w:proofErr w:type="gramEnd"/>
      <w:r>
        <w:rPr>
          <w:rFonts w:ascii="Trebuchet MS"/>
          <w:color w:val="585858"/>
          <w:spacing w:val="12"/>
          <w:sz w:val="18"/>
        </w:rPr>
        <w:t xml:space="preserve"> </w:t>
      </w:r>
      <w:r>
        <w:rPr>
          <w:rFonts w:ascii="Trebuchet MS"/>
          <w:color w:val="585858"/>
          <w:spacing w:val="-2"/>
          <w:sz w:val="18"/>
        </w:rPr>
        <w:t>trabajo</w:t>
      </w:r>
      <w:r>
        <w:rPr>
          <w:rFonts w:ascii="Trebuchet MS"/>
          <w:color w:val="585858"/>
          <w:sz w:val="18"/>
        </w:rPr>
        <w:tab/>
      </w:r>
      <w:r>
        <w:rPr>
          <w:rFonts w:ascii="Trebuchet MS"/>
          <w:color w:val="585858"/>
          <w:spacing w:val="-2"/>
          <w:sz w:val="18"/>
        </w:rPr>
        <w:t>Estudiando</w:t>
      </w:r>
      <w:r>
        <w:rPr>
          <w:rFonts w:ascii="Trebuchet MS"/>
          <w:color w:val="585858"/>
          <w:sz w:val="18"/>
        </w:rPr>
        <w:tab/>
      </w:r>
      <w:r>
        <w:rPr>
          <w:rFonts w:ascii="Trebuchet MS"/>
          <w:color w:val="585858"/>
          <w:spacing w:val="-2"/>
          <w:sz w:val="18"/>
        </w:rPr>
        <w:t>Oficios</w:t>
      </w:r>
      <w:r>
        <w:rPr>
          <w:rFonts w:ascii="Trebuchet MS"/>
          <w:color w:val="585858"/>
          <w:spacing w:val="-14"/>
          <w:sz w:val="18"/>
        </w:rPr>
        <w:t xml:space="preserve"> </w:t>
      </w:r>
      <w:r>
        <w:rPr>
          <w:rFonts w:ascii="Trebuchet MS"/>
          <w:color w:val="585858"/>
          <w:spacing w:val="-2"/>
          <w:sz w:val="18"/>
        </w:rPr>
        <w:t>del</w:t>
      </w:r>
      <w:r>
        <w:rPr>
          <w:rFonts w:ascii="Trebuchet MS"/>
          <w:color w:val="585858"/>
          <w:spacing w:val="-13"/>
          <w:sz w:val="18"/>
        </w:rPr>
        <w:t xml:space="preserve"> </w:t>
      </w:r>
      <w:r>
        <w:rPr>
          <w:rFonts w:ascii="Trebuchet MS"/>
          <w:color w:val="585858"/>
          <w:spacing w:val="-2"/>
          <w:sz w:val="18"/>
        </w:rPr>
        <w:t>hogar</w:t>
      </w:r>
      <w:r>
        <w:rPr>
          <w:rFonts w:ascii="Trebuchet MS"/>
          <w:color w:val="585858"/>
          <w:sz w:val="18"/>
        </w:rPr>
        <w:tab/>
      </w:r>
      <w:r>
        <w:rPr>
          <w:rFonts w:ascii="Trebuchet MS"/>
          <w:color w:val="585858"/>
          <w:spacing w:val="-2"/>
          <w:sz w:val="18"/>
        </w:rPr>
        <w:t>Incapacitado</w:t>
      </w:r>
    </w:p>
    <w:p w14:paraId="536A18FB" w14:textId="77777777" w:rsidR="000E52B0" w:rsidRDefault="00F60D74">
      <w:pPr>
        <w:spacing w:before="11" w:line="252" w:lineRule="auto"/>
        <w:ind w:left="7108" w:hanging="366"/>
        <w:rPr>
          <w:rFonts w:ascii="Trebuchet MS"/>
          <w:sz w:val="18"/>
        </w:rPr>
      </w:pPr>
      <w:r>
        <w:rPr>
          <w:rFonts w:ascii="Trebuchet MS"/>
          <w:color w:val="585858"/>
          <w:spacing w:val="-4"/>
          <w:sz w:val="18"/>
        </w:rPr>
        <w:t>permanente</w:t>
      </w:r>
      <w:r>
        <w:rPr>
          <w:rFonts w:ascii="Trebuchet MS"/>
          <w:color w:val="585858"/>
          <w:spacing w:val="-18"/>
          <w:sz w:val="18"/>
        </w:rPr>
        <w:t xml:space="preserve"> </w:t>
      </w:r>
      <w:r>
        <w:rPr>
          <w:rFonts w:ascii="Trebuchet MS"/>
          <w:color w:val="585858"/>
          <w:spacing w:val="-4"/>
          <w:sz w:val="18"/>
        </w:rPr>
        <w:t xml:space="preserve">para </w:t>
      </w:r>
      <w:r>
        <w:rPr>
          <w:rFonts w:ascii="Trebuchet MS"/>
          <w:color w:val="585858"/>
          <w:spacing w:val="-2"/>
          <w:sz w:val="18"/>
        </w:rPr>
        <w:t>trabajar</w:t>
      </w:r>
    </w:p>
    <w:p w14:paraId="284D27FB" w14:textId="77777777" w:rsidR="000E52B0" w:rsidRDefault="00F60D74">
      <w:pPr>
        <w:spacing w:before="35"/>
        <w:ind w:left="180"/>
        <w:rPr>
          <w:rFonts w:ascii="Trebuchet MS"/>
          <w:sz w:val="18"/>
        </w:rPr>
      </w:pPr>
      <w:r>
        <w:br w:type="column"/>
      </w:r>
      <w:r>
        <w:rPr>
          <w:rFonts w:ascii="Trebuchet MS"/>
          <w:color w:val="585858"/>
          <w:spacing w:val="-6"/>
          <w:sz w:val="18"/>
        </w:rPr>
        <w:t>Otra</w:t>
      </w:r>
      <w:r>
        <w:rPr>
          <w:rFonts w:ascii="Trebuchet MS"/>
          <w:color w:val="585858"/>
          <w:spacing w:val="-13"/>
          <w:sz w:val="18"/>
        </w:rPr>
        <w:t xml:space="preserve"> </w:t>
      </w:r>
      <w:r>
        <w:rPr>
          <w:rFonts w:ascii="Trebuchet MS"/>
          <w:color w:val="585858"/>
          <w:spacing w:val="-2"/>
          <w:sz w:val="18"/>
        </w:rPr>
        <w:t>actividad</w:t>
      </w:r>
    </w:p>
    <w:p w14:paraId="33039702" w14:textId="77777777" w:rsidR="000E52B0" w:rsidRDefault="000E52B0">
      <w:pPr>
        <w:rPr>
          <w:rFonts w:ascii="Trebuchet MS"/>
          <w:sz w:val="18"/>
        </w:rPr>
        <w:sectPr w:rsidR="000E52B0">
          <w:type w:val="continuous"/>
          <w:pgSz w:w="11910" w:h="16840"/>
          <w:pgMar w:top="1340" w:right="720" w:bottom="1280" w:left="720" w:header="0" w:footer="995" w:gutter="0"/>
          <w:cols w:num="2" w:space="720" w:equalWidth="0">
            <w:col w:w="8084" w:space="40"/>
            <w:col w:w="2346"/>
          </w:cols>
        </w:sectPr>
      </w:pPr>
    </w:p>
    <w:p w14:paraId="2BC504DD" w14:textId="77777777" w:rsidR="000E52B0" w:rsidRDefault="00F60D74">
      <w:pPr>
        <w:spacing w:before="134"/>
        <w:ind w:right="1"/>
        <w:jc w:val="center"/>
        <w:rPr>
          <w:i/>
          <w:sz w:val="18"/>
        </w:rPr>
      </w:pPr>
      <w:r>
        <w:rPr>
          <w:i/>
          <w:color w:val="454551"/>
          <w:sz w:val="18"/>
        </w:rPr>
        <w:t>Fuente</w:t>
      </w:r>
      <w:r>
        <w:rPr>
          <w:i/>
          <w:color w:val="454551"/>
          <w:spacing w:val="-4"/>
          <w:sz w:val="18"/>
        </w:rPr>
        <w:t xml:space="preserve"> </w:t>
      </w:r>
      <w:r>
        <w:rPr>
          <w:i/>
          <w:color w:val="454551"/>
          <w:sz w:val="18"/>
        </w:rPr>
        <w:t>23.</w:t>
      </w:r>
      <w:r>
        <w:rPr>
          <w:i/>
          <w:color w:val="454551"/>
          <w:spacing w:val="-4"/>
          <w:sz w:val="18"/>
        </w:rPr>
        <w:t xml:space="preserve"> </w:t>
      </w:r>
      <w:r>
        <w:rPr>
          <w:i/>
          <w:color w:val="454551"/>
          <w:sz w:val="18"/>
        </w:rPr>
        <w:t>Ministerio</w:t>
      </w:r>
      <w:r>
        <w:rPr>
          <w:i/>
          <w:color w:val="454551"/>
          <w:spacing w:val="-2"/>
          <w:sz w:val="18"/>
        </w:rPr>
        <w:t xml:space="preserve"> </w:t>
      </w:r>
      <w:r>
        <w:rPr>
          <w:i/>
          <w:color w:val="454551"/>
          <w:sz w:val="18"/>
        </w:rPr>
        <w:t>de</w:t>
      </w:r>
      <w:r>
        <w:rPr>
          <w:i/>
          <w:color w:val="454551"/>
          <w:spacing w:val="-2"/>
          <w:sz w:val="18"/>
        </w:rPr>
        <w:t xml:space="preserve"> </w:t>
      </w:r>
      <w:r>
        <w:rPr>
          <w:i/>
          <w:color w:val="454551"/>
          <w:sz w:val="18"/>
        </w:rPr>
        <w:t>igualdad</w:t>
      </w:r>
      <w:r>
        <w:rPr>
          <w:i/>
          <w:color w:val="454551"/>
          <w:spacing w:val="-2"/>
          <w:sz w:val="18"/>
        </w:rPr>
        <w:t xml:space="preserve"> </w:t>
      </w:r>
      <w:r>
        <w:rPr>
          <w:i/>
          <w:color w:val="454551"/>
          <w:sz w:val="18"/>
        </w:rPr>
        <w:t>y</w:t>
      </w:r>
      <w:r>
        <w:rPr>
          <w:i/>
          <w:color w:val="454551"/>
          <w:spacing w:val="-5"/>
          <w:sz w:val="18"/>
        </w:rPr>
        <w:t xml:space="preserve"> </w:t>
      </w:r>
      <w:r>
        <w:rPr>
          <w:i/>
          <w:color w:val="454551"/>
          <w:sz w:val="18"/>
        </w:rPr>
        <w:t>equidad,</w:t>
      </w:r>
      <w:r>
        <w:rPr>
          <w:i/>
          <w:color w:val="454551"/>
          <w:spacing w:val="-4"/>
          <w:sz w:val="18"/>
        </w:rPr>
        <w:t xml:space="preserve"> </w:t>
      </w:r>
      <w:r>
        <w:rPr>
          <w:i/>
          <w:color w:val="454551"/>
          <w:sz w:val="18"/>
        </w:rPr>
        <w:t>con</w:t>
      </w:r>
      <w:r>
        <w:rPr>
          <w:i/>
          <w:color w:val="454551"/>
          <w:spacing w:val="-1"/>
          <w:sz w:val="18"/>
        </w:rPr>
        <w:t xml:space="preserve"> </w:t>
      </w:r>
      <w:r>
        <w:rPr>
          <w:i/>
          <w:color w:val="454551"/>
          <w:sz w:val="18"/>
        </w:rPr>
        <w:t>datos</w:t>
      </w:r>
      <w:r>
        <w:rPr>
          <w:i/>
          <w:color w:val="454551"/>
          <w:spacing w:val="-3"/>
          <w:sz w:val="18"/>
        </w:rPr>
        <w:t xml:space="preserve"> </w:t>
      </w:r>
      <w:r>
        <w:rPr>
          <w:i/>
          <w:color w:val="454551"/>
          <w:sz w:val="18"/>
        </w:rPr>
        <w:t>DANE</w:t>
      </w:r>
      <w:r>
        <w:rPr>
          <w:i/>
          <w:color w:val="454551"/>
          <w:spacing w:val="2"/>
          <w:sz w:val="18"/>
        </w:rPr>
        <w:t xml:space="preserve"> </w:t>
      </w:r>
      <w:r>
        <w:rPr>
          <w:i/>
          <w:color w:val="454551"/>
          <w:sz w:val="18"/>
        </w:rPr>
        <w:t>-</w:t>
      </w:r>
      <w:r>
        <w:rPr>
          <w:i/>
          <w:color w:val="454551"/>
          <w:spacing w:val="-4"/>
          <w:sz w:val="18"/>
        </w:rPr>
        <w:t xml:space="preserve"> </w:t>
      </w:r>
      <w:r>
        <w:rPr>
          <w:i/>
          <w:color w:val="454551"/>
          <w:sz w:val="18"/>
        </w:rPr>
        <w:t>GEIH</w:t>
      </w:r>
      <w:r>
        <w:rPr>
          <w:i/>
          <w:color w:val="454551"/>
          <w:spacing w:val="-3"/>
          <w:sz w:val="18"/>
        </w:rPr>
        <w:t xml:space="preserve"> </w:t>
      </w:r>
      <w:r>
        <w:rPr>
          <w:i/>
          <w:color w:val="454551"/>
          <w:spacing w:val="-4"/>
          <w:sz w:val="18"/>
        </w:rPr>
        <w:t>2022</w:t>
      </w:r>
    </w:p>
    <w:p w14:paraId="405863A8" w14:textId="77777777" w:rsidR="000E52B0" w:rsidRDefault="00F60D74">
      <w:pPr>
        <w:pStyle w:val="Textoindependiente"/>
        <w:spacing w:before="201"/>
        <w:ind w:right="715"/>
        <w:jc w:val="both"/>
      </w:pPr>
      <w:r>
        <w:t>Esto</w:t>
      </w:r>
      <w:r>
        <w:rPr>
          <w:spacing w:val="-20"/>
        </w:rPr>
        <w:t xml:space="preserve"> </w:t>
      </w:r>
      <w:r>
        <w:t>sin</w:t>
      </w:r>
      <w:r>
        <w:rPr>
          <w:spacing w:val="-21"/>
        </w:rPr>
        <w:t xml:space="preserve"> </w:t>
      </w:r>
      <w:r>
        <w:t>duda</w:t>
      </w:r>
      <w:r>
        <w:rPr>
          <w:spacing w:val="-21"/>
        </w:rPr>
        <w:t xml:space="preserve"> </w:t>
      </w:r>
      <w:r>
        <w:t>también</w:t>
      </w:r>
      <w:r>
        <w:rPr>
          <w:spacing w:val="-21"/>
        </w:rPr>
        <w:t xml:space="preserve"> </w:t>
      </w:r>
      <w:r>
        <w:t>está</w:t>
      </w:r>
      <w:r>
        <w:rPr>
          <w:spacing w:val="-21"/>
        </w:rPr>
        <w:t xml:space="preserve"> </w:t>
      </w:r>
      <w:r>
        <w:t>asociado</w:t>
      </w:r>
      <w:r>
        <w:rPr>
          <w:spacing w:val="-20"/>
        </w:rPr>
        <w:t xml:space="preserve"> </w:t>
      </w:r>
      <w:r>
        <w:t>a</w:t>
      </w:r>
      <w:r>
        <w:rPr>
          <w:spacing w:val="-21"/>
        </w:rPr>
        <w:t xml:space="preserve"> </w:t>
      </w:r>
      <w:r>
        <w:t>la</w:t>
      </w:r>
      <w:r>
        <w:rPr>
          <w:spacing w:val="-21"/>
        </w:rPr>
        <w:t xml:space="preserve"> </w:t>
      </w:r>
      <w:r>
        <w:t>distribución</w:t>
      </w:r>
      <w:r>
        <w:rPr>
          <w:spacing w:val="-21"/>
        </w:rPr>
        <w:t xml:space="preserve"> </w:t>
      </w:r>
      <w:r>
        <w:t>de</w:t>
      </w:r>
      <w:r>
        <w:rPr>
          <w:spacing w:val="-20"/>
        </w:rPr>
        <w:t xml:space="preserve"> </w:t>
      </w:r>
      <w:r>
        <w:t>los</w:t>
      </w:r>
      <w:r>
        <w:rPr>
          <w:spacing w:val="-21"/>
        </w:rPr>
        <w:t xml:space="preserve"> </w:t>
      </w:r>
      <w:r>
        <w:t>roles</w:t>
      </w:r>
      <w:r>
        <w:rPr>
          <w:spacing w:val="-20"/>
        </w:rPr>
        <w:t xml:space="preserve"> </w:t>
      </w:r>
      <w:r>
        <w:t>de</w:t>
      </w:r>
      <w:r>
        <w:rPr>
          <w:spacing w:val="-20"/>
        </w:rPr>
        <w:t xml:space="preserve"> </w:t>
      </w:r>
      <w:r>
        <w:t>género. Entre las mayoras el 68% se dedica principalmente al cuidado de los hogares</w:t>
      </w:r>
      <w:r>
        <w:rPr>
          <w:spacing w:val="-18"/>
        </w:rPr>
        <w:t xml:space="preserve"> </w:t>
      </w:r>
      <w:r>
        <w:t>(oficios</w:t>
      </w:r>
      <w:r>
        <w:rPr>
          <w:spacing w:val="-18"/>
        </w:rPr>
        <w:t xml:space="preserve"> </w:t>
      </w:r>
      <w:r>
        <w:t>del</w:t>
      </w:r>
      <w:r>
        <w:rPr>
          <w:spacing w:val="-14"/>
        </w:rPr>
        <w:t xml:space="preserve"> </w:t>
      </w:r>
      <w:r>
        <w:t>hogar)</w:t>
      </w:r>
      <w:r>
        <w:rPr>
          <w:spacing w:val="-18"/>
        </w:rPr>
        <w:t xml:space="preserve"> </w:t>
      </w:r>
      <w:r>
        <w:t>y</w:t>
      </w:r>
      <w:r>
        <w:rPr>
          <w:spacing w:val="-18"/>
        </w:rPr>
        <w:t xml:space="preserve"> </w:t>
      </w:r>
      <w:r>
        <w:t>mientras</w:t>
      </w:r>
      <w:r>
        <w:rPr>
          <w:spacing w:val="-17"/>
        </w:rPr>
        <w:t xml:space="preserve"> </w:t>
      </w:r>
      <w:r>
        <w:t>el</w:t>
      </w:r>
      <w:r>
        <w:rPr>
          <w:spacing w:val="-16"/>
        </w:rPr>
        <w:t xml:space="preserve"> </w:t>
      </w:r>
      <w:r>
        <w:t>41%</w:t>
      </w:r>
      <w:r>
        <w:rPr>
          <w:spacing w:val="-17"/>
        </w:rPr>
        <w:t xml:space="preserve"> </w:t>
      </w:r>
      <w:r>
        <w:t>de</w:t>
      </w:r>
      <w:r>
        <w:rPr>
          <w:spacing w:val="-16"/>
        </w:rPr>
        <w:t xml:space="preserve"> </w:t>
      </w:r>
      <w:r>
        <w:t>los</w:t>
      </w:r>
      <w:r>
        <w:rPr>
          <w:spacing w:val="-17"/>
        </w:rPr>
        <w:t xml:space="preserve"> </w:t>
      </w:r>
      <w:r>
        <w:t>hombres</w:t>
      </w:r>
      <w:r>
        <w:rPr>
          <w:spacing w:val="-18"/>
        </w:rPr>
        <w:t xml:space="preserve"> </w:t>
      </w:r>
      <w:r>
        <w:t>mayores</w:t>
      </w:r>
      <w:r>
        <w:rPr>
          <w:spacing w:val="-18"/>
        </w:rPr>
        <w:t xml:space="preserve"> </w:t>
      </w:r>
      <w:r>
        <w:t>está trabajando, en el caso de las mujeres solo el 12% tiene un trabajo remunerado. Lo que implica que si bien las personas mayores tienen limitaciones frente a su autonomía económica esto 29 p.p. más frecuente para las mayoras.</w:t>
      </w:r>
    </w:p>
    <w:p w14:paraId="19F407EA" w14:textId="77777777" w:rsidR="000E52B0" w:rsidRDefault="00F60D74">
      <w:pPr>
        <w:spacing w:before="160"/>
        <w:jc w:val="center"/>
        <w:rPr>
          <w:i/>
          <w:sz w:val="18"/>
        </w:rPr>
      </w:pPr>
      <w:r>
        <w:rPr>
          <w:i/>
          <w:color w:val="454551"/>
          <w:sz w:val="18"/>
        </w:rPr>
        <w:t>Ilustración</w:t>
      </w:r>
      <w:r>
        <w:rPr>
          <w:i/>
          <w:color w:val="454551"/>
          <w:spacing w:val="-3"/>
          <w:sz w:val="18"/>
        </w:rPr>
        <w:t xml:space="preserve"> </w:t>
      </w:r>
      <w:r>
        <w:rPr>
          <w:i/>
          <w:color w:val="454551"/>
          <w:sz w:val="18"/>
        </w:rPr>
        <w:t>34.</w:t>
      </w:r>
      <w:r>
        <w:rPr>
          <w:i/>
          <w:color w:val="454551"/>
          <w:spacing w:val="-4"/>
          <w:sz w:val="18"/>
        </w:rPr>
        <w:t xml:space="preserve"> </w:t>
      </w:r>
      <w:r>
        <w:rPr>
          <w:i/>
          <w:color w:val="454551"/>
          <w:sz w:val="18"/>
        </w:rPr>
        <w:t>Ocupación</w:t>
      </w:r>
      <w:r>
        <w:rPr>
          <w:i/>
          <w:color w:val="454551"/>
          <w:spacing w:val="-2"/>
          <w:sz w:val="18"/>
        </w:rPr>
        <w:t xml:space="preserve"> </w:t>
      </w:r>
      <w:r>
        <w:rPr>
          <w:i/>
          <w:color w:val="454551"/>
          <w:sz w:val="18"/>
        </w:rPr>
        <w:t>por</w:t>
      </w:r>
      <w:r>
        <w:rPr>
          <w:i/>
          <w:color w:val="454551"/>
          <w:spacing w:val="-3"/>
          <w:sz w:val="18"/>
        </w:rPr>
        <w:t xml:space="preserve"> </w:t>
      </w:r>
      <w:r>
        <w:rPr>
          <w:i/>
          <w:color w:val="454551"/>
          <w:sz w:val="18"/>
        </w:rPr>
        <w:t>sexo</w:t>
      </w:r>
      <w:r>
        <w:rPr>
          <w:i/>
          <w:color w:val="454551"/>
          <w:spacing w:val="-3"/>
          <w:sz w:val="18"/>
        </w:rPr>
        <w:t xml:space="preserve"> </w:t>
      </w:r>
      <w:r>
        <w:rPr>
          <w:i/>
          <w:color w:val="454551"/>
          <w:sz w:val="18"/>
        </w:rPr>
        <w:t>para</w:t>
      </w:r>
      <w:r>
        <w:rPr>
          <w:i/>
          <w:color w:val="454551"/>
          <w:spacing w:val="-4"/>
          <w:sz w:val="18"/>
        </w:rPr>
        <w:t xml:space="preserve"> </w:t>
      </w:r>
      <w:r>
        <w:rPr>
          <w:i/>
          <w:color w:val="454551"/>
          <w:sz w:val="18"/>
        </w:rPr>
        <w:t>población</w:t>
      </w:r>
      <w:r>
        <w:rPr>
          <w:i/>
          <w:color w:val="454551"/>
          <w:spacing w:val="-2"/>
          <w:sz w:val="18"/>
        </w:rPr>
        <w:t xml:space="preserve"> </w:t>
      </w:r>
      <w:r>
        <w:rPr>
          <w:i/>
          <w:color w:val="454551"/>
          <w:sz w:val="18"/>
        </w:rPr>
        <w:t>total</w:t>
      </w:r>
      <w:r>
        <w:rPr>
          <w:i/>
          <w:color w:val="454551"/>
          <w:spacing w:val="-3"/>
          <w:sz w:val="18"/>
        </w:rPr>
        <w:t xml:space="preserve"> </w:t>
      </w:r>
      <w:r>
        <w:rPr>
          <w:i/>
          <w:color w:val="454551"/>
          <w:sz w:val="18"/>
        </w:rPr>
        <w:t>y</w:t>
      </w:r>
      <w:r>
        <w:rPr>
          <w:i/>
          <w:color w:val="454551"/>
          <w:spacing w:val="-4"/>
          <w:sz w:val="18"/>
        </w:rPr>
        <w:t xml:space="preserve"> </w:t>
      </w:r>
      <w:r>
        <w:rPr>
          <w:i/>
          <w:color w:val="454551"/>
          <w:sz w:val="18"/>
        </w:rPr>
        <w:t>personas</w:t>
      </w:r>
      <w:r>
        <w:rPr>
          <w:i/>
          <w:color w:val="454551"/>
          <w:spacing w:val="-3"/>
          <w:sz w:val="18"/>
        </w:rPr>
        <w:t xml:space="preserve"> </w:t>
      </w:r>
      <w:r>
        <w:rPr>
          <w:i/>
          <w:color w:val="454551"/>
          <w:spacing w:val="-2"/>
          <w:sz w:val="18"/>
        </w:rPr>
        <w:t>mayores</w:t>
      </w:r>
    </w:p>
    <w:p w14:paraId="41E0545B" w14:textId="77777777" w:rsidR="000E52B0" w:rsidRDefault="000E52B0">
      <w:pPr>
        <w:pStyle w:val="Textoindependiente"/>
        <w:spacing w:before="7" w:after="1"/>
        <w:ind w:left="0"/>
        <w:rPr>
          <w:i/>
          <w:sz w:val="16"/>
        </w:rPr>
      </w:pPr>
    </w:p>
    <w:tbl>
      <w:tblPr>
        <w:tblStyle w:val="TableNormal"/>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1172"/>
        <w:gridCol w:w="1021"/>
        <w:gridCol w:w="929"/>
        <w:gridCol w:w="1126"/>
        <w:gridCol w:w="1185"/>
        <w:gridCol w:w="1063"/>
      </w:tblGrid>
      <w:tr w:rsidR="000E52B0" w14:paraId="78A397B8" w14:textId="77777777">
        <w:trPr>
          <w:trHeight w:val="378"/>
        </w:trPr>
        <w:tc>
          <w:tcPr>
            <w:tcW w:w="2701" w:type="dxa"/>
            <w:vMerge w:val="restart"/>
            <w:shd w:val="clear" w:color="auto" w:fill="D44673"/>
          </w:tcPr>
          <w:p w14:paraId="5610F150" w14:textId="77777777" w:rsidR="000E52B0" w:rsidRDefault="000E52B0">
            <w:pPr>
              <w:pStyle w:val="TableParagraph"/>
              <w:spacing w:before="122"/>
              <w:rPr>
                <w:i/>
                <w:sz w:val="20"/>
              </w:rPr>
            </w:pPr>
          </w:p>
          <w:p w14:paraId="63066420" w14:textId="77777777" w:rsidR="000E52B0" w:rsidRDefault="00F60D74">
            <w:pPr>
              <w:pStyle w:val="TableParagraph"/>
              <w:ind w:left="304"/>
              <w:rPr>
                <w:b/>
                <w:sz w:val="20"/>
              </w:rPr>
            </w:pPr>
            <w:r>
              <w:rPr>
                <w:b/>
                <w:color w:val="FFFFFF"/>
                <w:sz w:val="20"/>
              </w:rPr>
              <w:t>Actividad</w:t>
            </w:r>
            <w:r>
              <w:rPr>
                <w:b/>
                <w:color w:val="FFFFFF"/>
                <w:spacing w:val="-12"/>
                <w:sz w:val="20"/>
              </w:rPr>
              <w:t xml:space="preserve"> </w:t>
            </w:r>
            <w:r>
              <w:rPr>
                <w:b/>
                <w:color w:val="FFFFFF"/>
                <w:spacing w:val="-2"/>
                <w:sz w:val="20"/>
              </w:rPr>
              <w:t>principal</w:t>
            </w:r>
          </w:p>
        </w:tc>
        <w:tc>
          <w:tcPr>
            <w:tcW w:w="3122" w:type="dxa"/>
            <w:gridSpan w:val="3"/>
            <w:shd w:val="clear" w:color="auto" w:fill="D44673"/>
          </w:tcPr>
          <w:p w14:paraId="073C0635" w14:textId="77777777" w:rsidR="000E52B0" w:rsidRDefault="00F60D74">
            <w:pPr>
              <w:pStyle w:val="TableParagraph"/>
              <w:spacing w:line="218" w:lineRule="exact"/>
              <w:ind w:left="3"/>
              <w:jc w:val="center"/>
              <w:rPr>
                <w:b/>
                <w:sz w:val="18"/>
              </w:rPr>
            </w:pPr>
            <w:r>
              <w:rPr>
                <w:b/>
                <w:color w:val="FFFFFF"/>
                <w:spacing w:val="-2"/>
                <w:sz w:val="18"/>
              </w:rPr>
              <w:t>Total</w:t>
            </w:r>
          </w:p>
        </w:tc>
        <w:tc>
          <w:tcPr>
            <w:tcW w:w="3374" w:type="dxa"/>
            <w:gridSpan w:val="3"/>
            <w:shd w:val="clear" w:color="auto" w:fill="D44673"/>
          </w:tcPr>
          <w:p w14:paraId="24C6C5EB" w14:textId="77777777" w:rsidR="000E52B0" w:rsidRDefault="00F60D74">
            <w:pPr>
              <w:pStyle w:val="TableParagraph"/>
              <w:spacing w:line="218" w:lineRule="exact"/>
              <w:ind w:left="756"/>
              <w:rPr>
                <w:b/>
                <w:sz w:val="18"/>
              </w:rPr>
            </w:pPr>
            <w:r>
              <w:rPr>
                <w:b/>
                <w:color w:val="FFFFFF"/>
                <w:sz w:val="18"/>
              </w:rPr>
              <w:t>Personas</w:t>
            </w:r>
            <w:r>
              <w:rPr>
                <w:b/>
                <w:color w:val="FFFFFF"/>
                <w:spacing w:val="-2"/>
                <w:sz w:val="18"/>
              </w:rPr>
              <w:t xml:space="preserve"> mayores</w:t>
            </w:r>
          </w:p>
        </w:tc>
      </w:tr>
      <w:tr w:rsidR="000E52B0" w14:paraId="733F7D46" w14:textId="77777777">
        <w:trPr>
          <w:trHeight w:val="378"/>
        </w:trPr>
        <w:tc>
          <w:tcPr>
            <w:tcW w:w="2701" w:type="dxa"/>
            <w:vMerge/>
            <w:tcBorders>
              <w:top w:val="nil"/>
            </w:tcBorders>
            <w:shd w:val="clear" w:color="auto" w:fill="D44673"/>
          </w:tcPr>
          <w:p w14:paraId="37005565" w14:textId="77777777" w:rsidR="000E52B0" w:rsidRDefault="000E52B0">
            <w:pPr>
              <w:rPr>
                <w:sz w:val="2"/>
                <w:szCs w:val="2"/>
              </w:rPr>
            </w:pPr>
          </w:p>
        </w:tc>
        <w:tc>
          <w:tcPr>
            <w:tcW w:w="1172" w:type="dxa"/>
            <w:shd w:val="clear" w:color="auto" w:fill="D44673"/>
          </w:tcPr>
          <w:p w14:paraId="22D8DEBB" w14:textId="77777777" w:rsidR="000E52B0" w:rsidRDefault="00F60D74">
            <w:pPr>
              <w:pStyle w:val="TableParagraph"/>
              <w:spacing w:line="218" w:lineRule="exact"/>
              <w:ind w:left="6" w:right="5"/>
              <w:jc w:val="center"/>
              <w:rPr>
                <w:b/>
                <w:sz w:val="18"/>
              </w:rPr>
            </w:pPr>
            <w:r>
              <w:rPr>
                <w:b/>
                <w:color w:val="FFFFFF"/>
                <w:spacing w:val="-2"/>
                <w:sz w:val="18"/>
              </w:rPr>
              <w:t>Hombres</w:t>
            </w:r>
          </w:p>
        </w:tc>
        <w:tc>
          <w:tcPr>
            <w:tcW w:w="1021" w:type="dxa"/>
            <w:shd w:val="clear" w:color="auto" w:fill="D44673"/>
          </w:tcPr>
          <w:p w14:paraId="74E57A02" w14:textId="77777777" w:rsidR="000E52B0" w:rsidRDefault="00F60D74">
            <w:pPr>
              <w:pStyle w:val="TableParagraph"/>
              <w:spacing w:line="218" w:lineRule="exact"/>
              <w:ind w:left="2" w:right="3"/>
              <w:jc w:val="center"/>
              <w:rPr>
                <w:b/>
                <w:sz w:val="18"/>
              </w:rPr>
            </w:pPr>
            <w:r>
              <w:rPr>
                <w:b/>
                <w:color w:val="FFFFFF"/>
                <w:spacing w:val="-2"/>
                <w:sz w:val="18"/>
              </w:rPr>
              <w:t>Mujeres</w:t>
            </w:r>
          </w:p>
        </w:tc>
        <w:tc>
          <w:tcPr>
            <w:tcW w:w="929" w:type="dxa"/>
            <w:shd w:val="clear" w:color="auto" w:fill="D44673"/>
          </w:tcPr>
          <w:p w14:paraId="228682E8" w14:textId="77777777" w:rsidR="000E52B0" w:rsidRDefault="00F60D74">
            <w:pPr>
              <w:pStyle w:val="TableParagraph"/>
              <w:spacing w:line="218" w:lineRule="exact"/>
              <w:ind w:right="1"/>
              <w:jc w:val="center"/>
              <w:rPr>
                <w:b/>
                <w:sz w:val="18"/>
              </w:rPr>
            </w:pPr>
            <w:r>
              <w:rPr>
                <w:b/>
                <w:color w:val="FFFFFF"/>
                <w:spacing w:val="-2"/>
                <w:sz w:val="18"/>
              </w:rPr>
              <w:t>Brecha</w:t>
            </w:r>
          </w:p>
        </w:tc>
        <w:tc>
          <w:tcPr>
            <w:tcW w:w="1126" w:type="dxa"/>
            <w:shd w:val="clear" w:color="auto" w:fill="D44673"/>
          </w:tcPr>
          <w:p w14:paraId="1D58D294" w14:textId="77777777" w:rsidR="000E52B0" w:rsidRDefault="00F60D74">
            <w:pPr>
              <w:pStyle w:val="TableParagraph"/>
              <w:spacing w:line="218" w:lineRule="exact"/>
              <w:ind w:left="1" w:right="1"/>
              <w:jc w:val="center"/>
              <w:rPr>
                <w:b/>
                <w:sz w:val="18"/>
              </w:rPr>
            </w:pPr>
            <w:r>
              <w:rPr>
                <w:b/>
                <w:color w:val="FFFFFF"/>
                <w:spacing w:val="-2"/>
                <w:sz w:val="18"/>
              </w:rPr>
              <w:t>Hombres</w:t>
            </w:r>
          </w:p>
        </w:tc>
        <w:tc>
          <w:tcPr>
            <w:tcW w:w="1185" w:type="dxa"/>
            <w:shd w:val="clear" w:color="auto" w:fill="D44673"/>
          </w:tcPr>
          <w:p w14:paraId="73933880" w14:textId="77777777" w:rsidR="000E52B0" w:rsidRDefault="00F60D74">
            <w:pPr>
              <w:pStyle w:val="TableParagraph"/>
              <w:spacing w:line="218" w:lineRule="exact"/>
              <w:ind w:left="5" w:right="5"/>
              <w:jc w:val="center"/>
              <w:rPr>
                <w:b/>
                <w:sz w:val="18"/>
              </w:rPr>
            </w:pPr>
            <w:r>
              <w:rPr>
                <w:b/>
                <w:color w:val="FFFFFF"/>
                <w:spacing w:val="-2"/>
                <w:sz w:val="18"/>
              </w:rPr>
              <w:t>Mujeres</w:t>
            </w:r>
          </w:p>
        </w:tc>
        <w:tc>
          <w:tcPr>
            <w:tcW w:w="1063" w:type="dxa"/>
            <w:shd w:val="clear" w:color="auto" w:fill="D44673"/>
          </w:tcPr>
          <w:p w14:paraId="71EB844D" w14:textId="77777777" w:rsidR="000E52B0" w:rsidRDefault="00F60D74">
            <w:pPr>
              <w:pStyle w:val="TableParagraph"/>
              <w:spacing w:line="218" w:lineRule="exact"/>
              <w:ind w:left="1" w:right="1"/>
              <w:jc w:val="center"/>
              <w:rPr>
                <w:b/>
                <w:sz w:val="18"/>
              </w:rPr>
            </w:pPr>
            <w:r>
              <w:rPr>
                <w:b/>
                <w:color w:val="FFFFFF"/>
                <w:spacing w:val="-2"/>
                <w:sz w:val="18"/>
              </w:rPr>
              <w:t>Brecha</w:t>
            </w:r>
          </w:p>
        </w:tc>
      </w:tr>
      <w:tr w:rsidR="000E52B0" w14:paraId="6DDDBE60" w14:textId="77777777">
        <w:trPr>
          <w:trHeight w:val="287"/>
        </w:trPr>
        <w:tc>
          <w:tcPr>
            <w:tcW w:w="2701" w:type="dxa"/>
          </w:tcPr>
          <w:p w14:paraId="65B5D7A5" w14:textId="77777777" w:rsidR="000E52B0" w:rsidRDefault="00F60D74">
            <w:pPr>
              <w:pStyle w:val="TableParagraph"/>
              <w:spacing w:before="22"/>
              <w:ind w:right="61"/>
              <w:jc w:val="right"/>
              <w:rPr>
                <w:sz w:val="20"/>
              </w:rPr>
            </w:pPr>
            <w:r>
              <w:rPr>
                <w:color w:val="333333"/>
                <w:spacing w:val="-2"/>
                <w:sz w:val="20"/>
              </w:rPr>
              <w:t>Trabajando</w:t>
            </w:r>
          </w:p>
        </w:tc>
        <w:tc>
          <w:tcPr>
            <w:tcW w:w="1172" w:type="dxa"/>
          </w:tcPr>
          <w:p w14:paraId="0C1EC078" w14:textId="77777777" w:rsidR="000E52B0" w:rsidRDefault="00F60D74">
            <w:pPr>
              <w:pStyle w:val="TableParagraph"/>
              <w:spacing w:before="32"/>
              <w:ind w:left="6"/>
              <w:jc w:val="center"/>
              <w:rPr>
                <w:sz w:val="18"/>
              </w:rPr>
            </w:pPr>
            <w:r>
              <w:rPr>
                <w:spacing w:val="-2"/>
                <w:sz w:val="18"/>
              </w:rPr>
              <w:t>65,4%</w:t>
            </w:r>
          </w:p>
        </w:tc>
        <w:tc>
          <w:tcPr>
            <w:tcW w:w="1021" w:type="dxa"/>
          </w:tcPr>
          <w:p w14:paraId="12CA61CF" w14:textId="77777777" w:rsidR="000E52B0" w:rsidRDefault="00F60D74">
            <w:pPr>
              <w:pStyle w:val="TableParagraph"/>
              <w:spacing w:before="32"/>
              <w:ind w:left="3" w:right="1"/>
              <w:jc w:val="center"/>
              <w:rPr>
                <w:sz w:val="18"/>
              </w:rPr>
            </w:pPr>
            <w:r>
              <w:rPr>
                <w:spacing w:val="-2"/>
                <w:sz w:val="18"/>
              </w:rPr>
              <w:t>35,7%</w:t>
            </w:r>
          </w:p>
        </w:tc>
        <w:tc>
          <w:tcPr>
            <w:tcW w:w="929" w:type="dxa"/>
          </w:tcPr>
          <w:p w14:paraId="79170E19" w14:textId="77777777" w:rsidR="000E52B0" w:rsidRDefault="00F60D74">
            <w:pPr>
              <w:pStyle w:val="TableParagraph"/>
              <w:spacing w:before="32"/>
              <w:ind w:left="1" w:right="1"/>
              <w:jc w:val="center"/>
              <w:rPr>
                <w:sz w:val="18"/>
              </w:rPr>
            </w:pPr>
            <w:r>
              <w:rPr>
                <w:spacing w:val="-2"/>
                <w:sz w:val="18"/>
              </w:rPr>
              <w:t>-</w:t>
            </w:r>
            <w:r>
              <w:rPr>
                <w:spacing w:val="-4"/>
                <w:sz w:val="18"/>
              </w:rPr>
              <w:t>29,7</w:t>
            </w:r>
          </w:p>
        </w:tc>
        <w:tc>
          <w:tcPr>
            <w:tcW w:w="1126" w:type="dxa"/>
          </w:tcPr>
          <w:p w14:paraId="0484D55D" w14:textId="77777777" w:rsidR="000E52B0" w:rsidRDefault="00F60D74">
            <w:pPr>
              <w:pStyle w:val="TableParagraph"/>
              <w:spacing w:before="32"/>
              <w:ind w:left="1"/>
              <w:jc w:val="center"/>
              <w:rPr>
                <w:sz w:val="18"/>
              </w:rPr>
            </w:pPr>
            <w:r>
              <w:rPr>
                <w:spacing w:val="-2"/>
                <w:sz w:val="18"/>
              </w:rPr>
              <w:t>41,1%</w:t>
            </w:r>
          </w:p>
        </w:tc>
        <w:tc>
          <w:tcPr>
            <w:tcW w:w="1185" w:type="dxa"/>
          </w:tcPr>
          <w:p w14:paraId="76FA030F" w14:textId="77777777" w:rsidR="000E52B0" w:rsidRDefault="00F60D74">
            <w:pPr>
              <w:pStyle w:val="TableParagraph"/>
              <w:spacing w:before="32"/>
              <w:ind w:left="5"/>
              <w:jc w:val="center"/>
              <w:rPr>
                <w:sz w:val="18"/>
              </w:rPr>
            </w:pPr>
            <w:r>
              <w:rPr>
                <w:spacing w:val="-2"/>
                <w:sz w:val="18"/>
              </w:rPr>
              <w:t>12,1%</w:t>
            </w:r>
          </w:p>
        </w:tc>
        <w:tc>
          <w:tcPr>
            <w:tcW w:w="1063" w:type="dxa"/>
          </w:tcPr>
          <w:p w14:paraId="70545214" w14:textId="77777777" w:rsidR="000E52B0" w:rsidRDefault="00F60D74">
            <w:pPr>
              <w:pStyle w:val="TableParagraph"/>
              <w:spacing w:before="32"/>
              <w:ind w:left="1"/>
              <w:jc w:val="center"/>
              <w:rPr>
                <w:sz w:val="18"/>
              </w:rPr>
            </w:pPr>
            <w:r>
              <w:rPr>
                <w:spacing w:val="-2"/>
                <w:sz w:val="18"/>
              </w:rPr>
              <w:t>-</w:t>
            </w:r>
            <w:r>
              <w:rPr>
                <w:spacing w:val="-4"/>
                <w:sz w:val="18"/>
              </w:rPr>
              <w:t>29,0</w:t>
            </w:r>
          </w:p>
        </w:tc>
      </w:tr>
      <w:tr w:rsidR="000E52B0" w14:paraId="3AAFEEF2" w14:textId="77777777">
        <w:trPr>
          <w:trHeight w:val="287"/>
        </w:trPr>
        <w:tc>
          <w:tcPr>
            <w:tcW w:w="2701" w:type="dxa"/>
          </w:tcPr>
          <w:p w14:paraId="6EDD657A" w14:textId="77777777" w:rsidR="000E52B0" w:rsidRDefault="00F60D74">
            <w:pPr>
              <w:pStyle w:val="TableParagraph"/>
              <w:spacing w:before="24"/>
              <w:ind w:right="61"/>
              <w:jc w:val="right"/>
              <w:rPr>
                <w:sz w:val="20"/>
              </w:rPr>
            </w:pPr>
            <w:r>
              <w:rPr>
                <w:color w:val="333333"/>
                <w:sz w:val="20"/>
              </w:rPr>
              <w:t>Buscando</w:t>
            </w:r>
            <w:r>
              <w:rPr>
                <w:color w:val="333333"/>
                <w:spacing w:val="-12"/>
                <w:sz w:val="20"/>
              </w:rPr>
              <w:t xml:space="preserve"> </w:t>
            </w:r>
            <w:r>
              <w:rPr>
                <w:color w:val="333333"/>
                <w:spacing w:val="-2"/>
                <w:sz w:val="20"/>
              </w:rPr>
              <w:t>trabajo</w:t>
            </w:r>
          </w:p>
        </w:tc>
        <w:tc>
          <w:tcPr>
            <w:tcW w:w="1172" w:type="dxa"/>
          </w:tcPr>
          <w:p w14:paraId="3E8AFC38" w14:textId="77777777" w:rsidR="000E52B0" w:rsidRDefault="00F60D74">
            <w:pPr>
              <w:pStyle w:val="TableParagraph"/>
              <w:spacing w:before="35"/>
              <w:ind w:left="6"/>
              <w:jc w:val="center"/>
              <w:rPr>
                <w:sz w:val="18"/>
              </w:rPr>
            </w:pPr>
            <w:r>
              <w:rPr>
                <w:spacing w:val="-4"/>
                <w:sz w:val="18"/>
              </w:rPr>
              <w:t>5,7%</w:t>
            </w:r>
          </w:p>
        </w:tc>
        <w:tc>
          <w:tcPr>
            <w:tcW w:w="1021" w:type="dxa"/>
          </w:tcPr>
          <w:p w14:paraId="74FAD6C5" w14:textId="77777777" w:rsidR="000E52B0" w:rsidRDefault="00F60D74">
            <w:pPr>
              <w:pStyle w:val="TableParagraph"/>
              <w:spacing w:before="35"/>
              <w:ind w:left="3" w:right="1"/>
              <w:jc w:val="center"/>
              <w:rPr>
                <w:sz w:val="18"/>
              </w:rPr>
            </w:pPr>
            <w:r>
              <w:rPr>
                <w:spacing w:val="-4"/>
                <w:sz w:val="18"/>
              </w:rPr>
              <w:t>3,3%</w:t>
            </w:r>
          </w:p>
        </w:tc>
        <w:tc>
          <w:tcPr>
            <w:tcW w:w="929" w:type="dxa"/>
          </w:tcPr>
          <w:p w14:paraId="560E2905" w14:textId="77777777" w:rsidR="000E52B0" w:rsidRDefault="00F60D74">
            <w:pPr>
              <w:pStyle w:val="TableParagraph"/>
              <w:spacing w:before="35"/>
              <w:ind w:left="1" w:right="1"/>
              <w:jc w:val="center"/>
              <w:rPr>
                <w:sz w:val="18"/>
              </w:rPr>
            </w:pPr>
            <w:r>
              <w:rPr>
                <w:spacing w:val="-2"/>
                <w:sz w:val="18"/>
              </w:rPr>
              <w:t>-</w:t>
            </w:r>
            <w:r>
              <w:rPr>
                <w:spacing w:val="-5"/>
                <w:sz w:val="18"/>
              </w:rPr>
              <w:t>2,4</w:t>
            </w:r>
          </w:p>
        </w:tc>
        <w:tc>
          <w:tcPr>
            <w:tcW w:w="1126" w:type="dxa"/>
          </w:tcPr>
          <w:p w14:paraId="78487C8E" w14:textId="77777777" w:rsidR="000E52B0" w:rsidRDefault="00F60D74">
            <w:pPr>
              <w:pStyle w:val="TableParagraph"/>
              <w:spacing w:before="35"/>
              <w:ind w:left="1"/>
              <w:jc w:val="center"/>
              <w:rPr>
                <w:sz w:val="18"/>
              </w:rPr>
            </w:pPr>
            <w:r>
              <w:rPr>
                <w:spacing w:val="-4"/>
                <w:sz w:val="18"/>
              </w:rPr>
              <w:t>2,6%</w:t>
            </w:r>
          </w:p>
        </w:tc>
        <w:tc>
          <w:tcPr>
            <w:tcW w:w="1185" w:type="dxa"/>
          </w:tcPr>
          <w:p w14:paraId="0FDF4854" w14:textId="77777777" w:rsidR="000E52B0" w:rsidRDefault="00F60D74">
            <w:pPr>
              <w:pStyle w:val="TableParagraph"/>
              <w:spacing w:before="35"/>
              <w:ind w:left="5"/>
              <w:jc w:val="center"/>
              <w:rPr>
                <w:sz w:val="18"/>
              </w:rPr>
            </w:pPr>
            <w:r>
              <w:rPr>
                <w:spacing w:val="-4"/>
                <w:sz w:val="18"/>
              </w:rPr>
              <w:t>0,2%</w:t>
            </w:r>
          </w:p>
        </w:tc>
        <w:tc>
          <w:tcPr>
            <w:tcW w:w="1063" w:type="dxa"/>
          </w:tcPr>
          <w:p w14:paraId="03E671FF" w14:textId="77777777" w:rsidR="000E52B0" w:rsidRDefault="00F60D74">
            <w:pPr>
              <w:pStyle w:val="TableParagraph"/>
              <w:spacing w:before="35"/>
              <w:ind w:left="1"/>
              <w:jc w:val="center"/>
              <w:rPr>
                <w:sz w:val="18"/>
              </w:rPr>
            </w:pPr>
            <w:r>
              <w:rPr>
                <w:spacing w:val="-2"/>
                <w:sz w:val="18"/>
              </w:rPr>
              <w:t>-</w:t>
            </w:r>
            <w:r>
              <w:rPr>
                <w:spacing w:val="-5"/>
                <w:sz w:val="18"/>
              </w:rPr>
              <w:t>2,3</w:t>
            </w:r>
          </w:p>
        </w:tc>
      </w:tr>
      <w:tr w:rsidR="000E52B0" w14:paraId="5BBCCDC6" w14:textId="77777777">
        <w:trPr>
          <w:trHeight w:val="287"/>
        </w:trPr>
        <w:tc>
          <w:tcPr>
            <w:tcW w:w="2701" w:type="dxa"/>
          </w:tcPr>
          <w:p w14:paraId="0A6E934F" w14:textId="77777777" w:rsidR="000E52B0" w:rsidRDefault="00F60D74">
            <w:pPr>
              <w:pStyle w:val="TableParagraph"/>
              <w:spacing w:before="24"/>
              <w:ind w:right="58"/>
              <w:jc w:val="right"/>
              <w:rPr>
                <w:sz w:val="20"/>
              </w:rPr>
            </w:pPr>
            <w:r>
              <w:rPr>
                <w:color w:val="333333"/>
                <w:spacing w:val="-2"/>
                <w:sz w:val="20"/>
              </w:rPr>
              <w:t>Estudiando</w:t>
            </w:r>
          </w:p>
        </w:tc>
        <w:tc>
          <w:tcPr>
            <w:tcW w:w="1172" w:type="dxa"/>
          </w:tcPr>
          <w:p w14:paraId="4F15E58F" w14:textId="77777777" w:rsidR="000E52B0" w:rsidRDefault="00F60D74">
            <w:pPr>
              <w:pStyle w:val="TableParagraph"/>
              <w:spacing w:before="35"/>
              <w:ind w:left="6"/>
              <w:jc w:val="center"/>
              <w:rPr>
                <w:sz w:val="18"/>
              </w:rPr>
            </w:pPr>
            <w:r>
              <w:rPr>
                <w:spacing w:val="-4"/>
                <w:sz w:val="18"/>
              </w:rPr>
              <w:t>9,8%</w:t>
            </w:r>
          </w:p>
        </w:tc>
        <w:tc>
          <w:tcPr>
            <w:tcW w:w="1021" w:type="dxa"/>
          </w:tcPr>
          <w:p w14:paraId="16149111" w14:textId="77777777" w:rsidR="000E52B0" w:rsidRDefault="00F60D74">
            <w:pPr>
              <w:pStyle w:val="TableParagraph"/>
              <w:spacing w:before="35"/>
              <w:ind w:left="3" w:right="1"/>
              <w:jc w:val="center"/>
              <w:rPr>
                <w:sz w:val="18"/>
              </w:rPr>
            </w:pPr>
            <w:r>
              <w:rPr>
                <w:spacing w:val="-4"/>
                <w:sz w:val="18"/>
              </w:rPr>
              <w:t>8,8%</w:t>
            </w:r>
          </w:p>
        </w:tc>
        <w:tc>
          <w:tcPr>
            <w:tcW w:w="929" w:type="dxa"/>
          </w:tcPr>
          <w:p w14:paraId="2E0E0528" w14:textId="77777777" w:rsidR="000E52B0" w:rsidRDefault="00F60D74">
            <w:pPr>
              <w:pStyle w:val="TableParagraph"/>
              <w:spacing w:before="35"/>
              <w:ind w:left="1" w:right="1"/>
              <w:jc w:val="center"/>
              <w:rPr>
                <w:sz w:val="18"/>
              </w:rPr>
            </w:pPr>
            <w:r>
              <w:rPr>
                <w:spacing w:val="-2"/>
                <w:sz w:val="18"/>
              </w:rPr>
              <w:t>-</w:t>
            </w:r>
            <w:r>
              <w:rPr>
                <w:spacing w:val="-5"/>
                <w:sz w:val="18"/>
              </w:rPr>
              <w:t>1,0</w:t>
            </w:r>
          </w:p>
        </w:tc>
        <w:tc>
          <w:tcPr>
            <w:tcW w:w="1126" w:type="dxa"/>
          </w:tcPr>
          <w:p w14:paraId="6AE88A0C" w14:textId="77777777" w:rsidR="000E52B0" w:rsidRDefault="00F60D74">
            <w:pPr>
              <w:pStyle w:val="TableParagraph"/>
              <w:spacing w:before="35"/>
              <w:ind w:left="1"/>
              <w:jc w:val="center"/>
              <w:rPr>
                <w:sz w:val="18"/>
              </w:rPr>
            </w:pPr>
            <w:r>
              <w:rPr>
                <w:spacing w:val="-4"/>
                <w:sz w:val="18"/>
              </w:rPr>
              <w:t>0,0%</w:t>
            </w:r>
          </w:p>
        </w:tc>
        <w:tc>
          <w:tcPr>
            <w:tcW w:w="1185" w:type="dxa"/>
          </w:tcPr>
          <w:p w14:paraId="7604E93D" w14:textId="77777777" w:rsidR="000E52B0" w:rsidRDefault="00F60D74">
            <w:pPr>
              <w:pStyle w:val="TableParagraph"/>
              <w:spacing w:before="35"/>
              <w:ind w:left="5"/>
              <w:jc w:val="center"/>
              <w:rPr>
                <w:sz w:val="18"/>
              </w:rPr>
            </w:pPr>
            <w:r>
              <w:rPr>
                <w:spacing w:val="-4"/>
                <w:sz w:val="18"/>
              </w:rPr>
              <w:t>0,0%</w:t>
            </w:r>
          </w:p>
        </w:tc>
        <w:tc>
          <w:tcPr>
            <w:tcW w:w="1063" w:type="dxa"/>
          </w:tcPr>
          <w:p w14:paraId="3574C52B" w14:textId="77777777" w:rsidR="000E52B0" w:rsidRDefault="00F60D74">
            <w:pPr>
              <w:pStyle w:val="TableParagraph"/>
              <w:spacing w:before="35"/>
              <w:ind w:left="1"/>
              <w:jc w:val="center"/>
              <w:rPr>
                <w:sz w:val="18"/>
              </w:rPr>
            </w:pPr>
            <w:r>
              <w:rPr>
                <w:spacing w:val="-5"/>
                <w:sz w:val="18"/>
              </w:rPr>
              <w:t>0,0</w:t>
            </w:r>
          </w:p>
        </w:tc>
      </w:tr>
      <w:tr w:rsidR="000E52B0" w14:paraId="0A214D3F" w14:textId="77777777">
        <w:trPr>
          <w:trHeight w:val="287"/>
        </w:trPr>
        <w:tc>
          <w:tcPr>
            <w:tcW w:w="2701" w:type="dxa"/>
          </w:tcPr>
          <w:p w14:paraId="752F05E2" w14:textId="77777777" w:rsidR="000E52B0" w:rsidRDefault="00F60D74">
            <w:pPr>
              <w:pStyle w:val="TableParagraph"/>
              <w:spacing w:before="24"/>
              <w:ind w:right="62"/>
              <w:jc w:val="right"/>
              <w:rPr>
                <w:sz w:val="20"/>
              </w:rPr>
            </w:pPr>
            <w:r>
              <w:rPr>
                <w:color w:val="333333"/>
                <w:sz w:val="20"/>
              </w:rPr>
              <w:t>Oficios</w:t>
            </w:r>
            <w:r>
              <w:rPr>
                <w:color w:val="333333"/>
                <w:spacing w:val="-9"/>
                <w:sz w:val="20"/>
              </w:rPr>
              <w:t xml:space="preserve"> </w:t>
            </w:r>
            <w:r>
              <w:rPr>
                <w:color w:val="333333"/>
                <w:sz w:val="20"/>
              </w:rPr>
              <w:t>del</w:t>
            </w:r>
            <w:r>
              <w:rPr>
                <w:color w:val="333333"/>
                <w:spacing w:val="-6"/>
                <w:sz w:val="20"/>
              </w:rPr>
              <w:t xml:space="preserve"> </w:t>
            </w:r>
            <w:r>
              <w:rPr>
                <w:color w:val="333333"/>
                <w:spacing w:val="-4"/>
                <w:sz w:val="20"/>
              </w:rPr>
              <w:t>hogar</w:t>
            </w:r>
          </w:p>
        </w:tc>
        <w:tc>
          <w:tcPr>
            <w:tcW w:w="1172" w:type="dxa"/>
          </w:tcPr>
          <w:p w14:paraId="2801B0F4" w14:textId="77777777" w:rsidR="000E52B0" w:rsidRDefault="00F60D74">
            <w:pPr>
              <w:pStyle w:val="TableParagraph"/>
              <w:spacing w:before="35"/>
              <w:ind w:left="6"/>
              <w:jc w:val="center"/>
              <w:rPr>
                <w:sz w:val="18"/>
              </w:rPr>
            </w:pPr>
            <w:r>
              <w:rPr>
                <w:spacing w:val="-4"/>
                <w:sz w:val="18"/>
              </w:rPr>
              <w:t>7,6%</w:t>
            </w:r>
          </w:p>
        </w:tc>
        <w:tc>
          <w:tcPr>
            <w:tcW w:w="1021" w:type="dxa"/>
          </w:tcPr>
          <w:p w14:paraId="63EE523C" w14:textId="77777777" w:rsidR="000E52B0" w:rsidRDefault="00F60D74">
            <w:pPr>
              <w:pStyle w:val="TableParagraph"/>
              <w:spacing w:before="35"/>
              <w:ind w:left="3" w:right="1"/>
              <w:jc w:val="center"/>
              <w:rPr>
                <w:sz w:val="18"/>
              </w:rPr>
            </w:pPr>
            <w:r>
              <w:rPr>
                <w:spacing w:val="-2"/>
                <w:sz w:val="18"/>
              </w:rPr>
              <w:t>45,4%</w:t>
            </w:r>
          </w:p>
        </w:tc>
        <w:tc>
          <w:tcPr>
            <w:tcW w:w="929" w:type="dxa"/>
            <w:shd w:val="clear" w:color="auto" w:fill="FFC000"/>
          </w:tcPr>
          <w:p w14:paraId="48D5C095" w14:textId="77777777" w:rsidR="000E52B0" w:rsidRDefault="00F60D74">
            <w:pPr>
              <w:pStyle w:val="TableParagraph"/>
              <w:spacing w:before="35"/>
              <w:ind w:left="1" w:right="1"/>
              <w:jc w:val="center"/>
              <w:rPr>
                <w:b/>
                <w:sz w:val="18"/>
              </w:rPr>
            </w:pPr>
            <w:r>
              <w:rPr>
                <w:b/>
                <w:spacing w:val="-4"/>
                <w:sz w:val="18"/>
              </w:rPr>
              <w:t>37,8</w:t>
            </w:r>
          </w:p>
        </w:tc>
        <w:tc>
          <w:tcPr>
            <w:tcW w:w="1126" w:type="dxa"/>
          </w:tcPr>
          <w:p w14:paraId="4B49E67A" w14:textId="77777777" w:rsidR="000E52B0" w:rsidRDefault="00F60D74">
            <w:pPr>
              <w:pStyle w:val="TableParagraph"/>
              <w:spacing w:before="35"/>
              <w:ind w:left="1"/>
              <w:jc w:val="center"/>
              <w:rPr>
                <w:sz w:val="18"/>
              </w:rPr>
            </w:pPr>
            <w:r>
              <w:rPr>
                <w:spacing w:val="-2"/>
                <w:sz w:val="18"/>
              </w:rPr>
              <w:t>21,2%</w:t>
            </w:r>
          </w:p>
        </w:tc>
        <w:tc>
          <w:tcPr>
            <w:tcW w:w="1185" w:type="dxa"/>
          </w:tcPr>
          <w:p w14:paraId="6D1BA1B2" w14:textId="77777777" w:rsidR="000E52B0" w:rsidRDefault="00F60D74">
            <w:pPr>
              <w:pStyle w:val="TableParagraph"/>
              <w:spacing w:before="35"/>
              <w:ind w:left="5"/>
              <w:jc w:val="center"/>
              <w:rPr>
                <w:sz w:val="18"/>
              </w:rPr>
            </w:pPr>
            <w:r>
              <w:rPr>
                <w:spacing w:val="-2"/>
                <w:sz w:val="18"/>
              </w:rPr>
              <w:t>68,5%</w:t>
            </w:r>
          </w:p>
        </w:tc>
        <w:tc>
          <w:tcPr>
            <w:tcW w:w="1063" w:type="dxa"/>
            <w:shd w:val="clear" w:color="auto" w:fill="FFC000"/>
          </w:tcPr>
          <w:p w14:paraId="58171F86" w14:textId="77777777" w:rsidR="000E52B0" w:rsidRDefault="00F60D74">
            <w:pPr>
              <w:pStyle w:val="TableParagraph"/>
              <w:spacing w:before="35"/>
              <w:ind w:left="1"/>
              <w:jc w:val="center"/>
              <w:rPr>
                <w:b/>
                <w:sz w:val="18"/>
              </w:rPr>
            </w:pPr>
            <w:r>
              <w:rPr>
                <w:b/>
                <w:spacing w:val="-4"/>
                <w:sz w:val="18"/>
              </w:rPr>
              <w:t>47,4</w:t>
            </w:r>
          </w:p>
        </w:tc>
      </w:tr>
      <w:tr w:rsidR="000E52B0" w14:paraId="6BF3B9BC" w14:textId="77777777">
        <w:trPr>
          <w:trHeight w:val="729"/>
        </w:trPr>
        <w:tc>
          <w:tcPr>
            <w:tcW w:w="2701" w:type="dxa"/>
          </w:tcPr>
          <w:p w14:paraId="3A9D1D23" w14:textId="77777777" w:rsidR="000E52B0" w:rsidRDefault="00F60D74">
            <w:pPr>
              <w:pStyle w:val="TableParagraph"/>
              <w:spacing w:before="2"/>
              <w:ind w:left="897" w:right="58" w:firstLine="451"/>
              <w:jc w:val="right"/>
              <w:rPr>
                <w:sz w:val="20"/>
              </w:rPr>
            </w:pPr>
            <w:r>
              <w:rPr>
                <w:color w:val="333333"/>
                <w:spacing w:val="-2"/>
                <w:sz w:val="20"/>
              </w:rPr>
              <w:t xml:space="preserve">Incapacitado </w:t>
            </w:r>
            <w:r>
              <w:rPr>
                <w:color w:val="333333"/>
                <w:sz w:val="20"/>
              </w:rPr>
              <w:t>permanente</w:t>
            </w:r>
            <w:r>
              <w:rPr>
                <w:color w:val="333333"/>
                <w:spacing w:val="-16"/>
                <w:sz w:val="20"/>
              </w:rPr>
              <w:t xml:space="preserve"> </w:t>
            </w:r>
            <w:r>
              <w:rPr>
                <w:color w:val="333333"/>
                <w:spacing w:val="-4"/>
                <w:sz w:val="20"/>
              </w:rPr>
              <w:t>para</w:t>
            </w:r>
          </w:p>
          <w:p w14:paraId="3873AAD9" w14:textId="77777777" w:rsidR="000E52B0" w:rsidRDefault="00F60D74">
            <w:pPr>
              <w:pStyle w:val="TableParagraph"/>
              <w:spacing w:line="220" w:lineRule="exact"/>
              <w:ind w:right="61"/>
              <w:jc w:val="right"/>
              <w:rPr>
                <w:sz w:val="20"/>
              </w:rPr>
            </w:pPr>
            <w:r>
              <w:rPr>
                <w:color w:val="333333"/>
                <w:spacing w:val="-2"/>
                <w:sz w:val="20"/>
              </w:rPr>
              <w:t>trabajar</w:t>
            </w:r>
          </w:p>
        </w:tc>
        <w:tc>
          <w:tcPr>
            <w:tcW w:w="1172" w:type="dxa"/>
          </w:tcPr>
          <w:p w14:paraId="486E0639" w14:textId="77777777" w:rsidR="000E52B0" w:rsidRDefault="000E52B0">
            <w:pPr>
              <w:pStyle w:val="TableParagraph"/>
              <w:spacing w:before="36"/>
              <w:rPr>
                <w:i/>
                <w:sz w:val="18"/>
              </w:rPr>
            </w:pPr>
          </w:p>
          <w:p w14:paraId="3FF185CF" w14:textId="77777777" w:rsidR="000E52B0" w:rsidRDefault="00F60D74">
            <w:pPr>
              <w:pStyle w:val="TableParagraph"/>
              <w:spacing w:before="1"/>
              <w:ind w:left="6"/>
              <w:jc w:val="center"/>
              <w:rPr>
                <w:sz w:val="18"/>
              </w:rPr>
            </w:pPr>
            <w:r>
              <w:rPr>
                <w:spacing w:val="-4"/>
                <w:sz w:val="18"/>
              </w:rPr>
              <w:t>2,8%</w:t>
            </w:r>
          </w:p>
        </w:tc>
        <w:tc>
          <w:tcPr>
            <w:tcW w:w="1021" w:type="dxa"/>
          </w:tcPr>
          <w:p w14:paraId="2FA72C85" w14:textId="77777777" w:rsidR="000E52B0" w:rsidRDefault="000E52B0">
            <w:pPr>
              <w:pStyle w:val="TableParagraph"/>
              <w:spacing w:before="36"/>
              <w:rPr>
                <w:i/>
                <w:sz w:val="18"/>
              </w:rPr>
            </w:pPr>
          </w:p>
          <w:p w14:paraId="3B63A762" w14:textId="77777777" w:rsidR="000E52B0" w:rsidRDefault="00F60D74">
            <w:pPr>
              <w:pStyle w:val="TableParagraph"/>
              <w:spacing w:before="1"/>
              <w:ind w:left="3" w:right="1"/>
              <w:jc w:val="center"/>
              <w:rPr>
                <w:sz w:val="18"/>
              </w:rPr>
            </w:pPr>
            <w:r>
              <w:rPr>
                <w:spacing w:val="-4"/>
                <w:sz w:val="18"/>
              </w:rPr>
              <w:t>2,1%</w:t>
            </w:r>
          </w:p>
        </w:tc>
        <w:tc>
          <w:tcPr>
            <w:tcW w:w="929" w:type="dxa"/>
          </w:tcPr>
          <w:p w14:paraId="791935DC" w14:textId="77777777" w:rsidR="000E52B0" w:rsidRDefault="000E52B0">
            <w:pPr>
              <w:pStyle w:val="TableParagraph"/>
              <w:spacing w:before="36"/>
              <w:rPr>
                <w:i/>
                <w:sz w:val="18"/>
              </w:rPr>
            </w:pPr>
          </w:p>
          <w:p w14:paraId="57344244" w14:textId="77777777" w:rsidR="000E52B0" w:rsidRDefault="00F60D74">
            <w:pPr>
              <w:pStyle w:val="TableParagraph"/>
              <w:spacing w:before="1"/>
              <w:ind w:left="1" w:right="1"/>
              <w:jc w:val="center"/>
              <w:rPr>
                <w:sz w:val="18"/>
              </w:rPr>
            </w:pPr>
            <w:r>
              <w:rPr>
                <w:spacing w:val="-2"/>
                <w:sz w:val="18"/>
              </w:rPr>
              <w:t>-</w:t>
            </w:r>
            <w:r>
              <w:rPr>
                <w:spacing w:val="-5"/>
                <w:sz w:val="18"/>
              </w:rPr>
              <w:t>0,8</w:t>
            </w:r>
          </w:p>
        </w:tc>
        <w:tc>
          <w:tcPr>
            <w:tcW w:w="1126" w:type="dxa"/>
          </w:tcPr>
          <w:p w14:paraId="0ADF0299" w14:textId="77777777" w:rsidR="000E52B0" w:rsidRDefault="000E52B0">
            <w:pPr>
              <w:pStyle w:val="TableParagraph"/>
              <w:spacing w:before="36"/>
              <w:rPr>
                <w:i/>
                <w:sz w:val="18"/>
              </w:rPr>
            </w:pPr>
          </w:p>
          <w:p w14:paraId="28735D88" w14:textId="77777777" w:rsidR="000E52B0" w:rsidRDefault="00F60D74">
            <w:pPr>
              <w:pStyle w:val="TableParagraph"/>
              <w:spacing w:before="1"/>
              <w:ind w:left="1"/>
              <w:jc w:val="center"/>
              <w:rPr>
                <w:sz w:val="18"/>
              </w:rPr>
            </w:pPr>
            <w:r>
              <w:rPr>
                <w:spacing w:val="-2"/>
                <w:sz w:val="18"/>
              </w:rPr>
              <w:t>10,0%</w:t>
            </w:r>
          </w:p>
        </w:tc>
        <w:tc>
          <w:tcPr>
            <w:tcW w:w="1185" w:type="dxa"/>
          </w:tcPr>
          <w:p w14:paraId="6CD7FBDA" w14:textId="77777777" w:rsidR="000E52B0" w:rsidRDefault="000E52B0">
            <w:pPr>
              <w:pStyle w:val="TableParagraph"/>
              <w:spacing w:before="36"/>
              <w:rPr>
                <w:i/>
                <w:sz w:val="18"/>
              </w:rPr>
            </w:pPr>
          </w:p>
          <w:p w14:paraId="34E5C50B" w14:textId="77777777" w:rsidR="000E52B0" w:rsidRDefault="00F60D74">
            <w:pPr>
              <w:pStyle w:val="TableParagraph"/>
              <w:spacing w:before="1"/>
              <w:ind w:left="5"/>
              <w:jc w:val="center"/>
              <w:rPr>
                <w:sz w:val="18"/>
              </w:rPr>
            </w:pPr>
            <w:r>
              <w:rPr>
                <w:spacing w:val="-4"/>
                <w:sz w:val="18"/>
              </w:rPr>
              <w:t>7,4%</w:t>
            </w:r>
          </w:p>
        </w:tc>
        <w:tc>
          <w:tcPr>
            <w:tcW w:w="1063" w:type="dxa"/>
          </w:tcPr>
          <w:p w14:paraId="6DC511BB" w14:textId="77777777" w:rsidR="000E52B0" w:rsidRDefault="000E52B0">
            <w:pPr>
              <w:pStyle w:val="TableParagraph"/>
              <w:spacing w:before="36"/>
              <w:rPr>
                <w:i/>
                <w:sz w:val="18"/>
              </w:rPr>
            </w:pPr>
          </w:p>
          <w:p w14:paraId="3C4631DD" w14:textId="77777777" w:rsidR="000E52B0" w:rsidRDefault="00F60D74">
            <w:pPr>
              <w:pStyle w:val="TableParagraph"/>
              <w:spacing w:before="1"/>
              <w:ind w:left="1"/>
              <w:jc w:val="center"/>
              <w:rPr>
                <w:sz w:val="18"/>
              </w:rPr>
            </w:pPr>
            <w:r>
              <w:rPr>
                <w:spacing w:val="-2"/>
                <w:sz w:val="18"/>
              </w:rPr>
              <w:t>-</w:t>
            </w:r>
            <w:r>
              <w:rPr>
                <w:spacing w:val="-5"/>
                <w:sz w:val="18"/>
              </w:rPr>
              <w:t>2,6</w:t>
            </w:r>
          </w:p>
        </w:tc>
      </w:tr>
      <w:tr w:rsidR="000E52B0" w14:paraId="6072334E" w14:textId="77777777">
        <w:trPr>
          <w:trHeight w:val="290"/>
        </w:trPr>
        <w:tc>
          <w:tcPr>
            <w:tcW w:w="2701" w:type="dxa"/>
          </w:tcPr>
          <w:p w14:paraId="002941F5" w14:textId="77777777" w:rsidR="000E52B0" w:rsidRDefault="00F60D74">
            <w:pPr>
              <w:pStyle w:val="TableParagraph"/>
              <w:spacing w:before="24"/>
              <w:ind w:right="64"/>
              <w:jc w:val="right"/>
              <w:rPr>
                <w:sz w:val="20"/>
              </w:rPr>
            </w:pPr>
            <w:r>
              <w:rPr>
                <w:color w:val="333333"/>
                <w:sz w:val="20"/>
              </w:rPr>
              <w:t>Otra</w:t>
            </w:r>
            <w:r>
              <w:rPr>
                <w:color w:val="333333"/>
                <w:spacing w:val="-8"/>
                <w:sz w:val="20"/>
              </w:rPr>
              <w:t xml:space="preserve"> </w:t>
            </w:r>
            <w:r>
              <w:rPr>
                <w:color w:val="333333"/>
                <w:spacing w:val="-2"/>
                <w:sz w:val="20"/>
              </w:rPr>
              <w:t>actividad</w:t>
            </w:r>
          </w:p>
        </w:tc>
        <w:tc>
          <w:tcPr>
            <w:tcW w:w="1172" w:type="dxa"/>
          </w:tcPr>
          <w:p w14:paraId="49D413C5" w14:textId="77777777" w:rsidR="000E52B0" w:rsidRDefault="00F60D74">
            <w:pPr>
              <w:pStyle w:val="TableParagraph"/>
              <w:spacing w:before="35"/>
              <w:ind w:left="6"/>
              <w:jc w:val="center"/>
              <w:rPr>
                <w:sz w:val="18"/>
              </w:rPr>
            </w:pPr>
            <w:r>
              <w:rPr>
                <w:spacing w:val="-4"/>
                <w:sz w:val="18"/>
              </w:rPr>
              <w:t>8,6%</w:t>
            </w:r>
          </w:p>
        </w:tc>
        <w:tc>
          <w:tcPr>
            <w:tcW w:w="1021" w:type="dxa"/>
          </w:tcPr>
          <w:p w14:paraId="68073625" w14:textId="77777777" w:rsidR="000E52B0" w:rsidRDefault="00F60D74">
            <w:pPr>
              <w:pStyle w:val="TableParagraph"/>
              <w:spacing w:before="35"/>
              <w:ind w:left="3" w:right="1"/>
              <w:jc w:val="center"/>
              <w:rPr>
                <w:sz w:val="18"/>
              </w:rPr>
            </w:pPr>
            <w:r>
              <w:rPr>
                <w:spacing w:val="-4"/>
                <w:sz w:val="18"/>
              </w:rPr>
              <w:t>4,7%</w:t>
            </w:r>
          </w:p>
        </w:tc>
        <w:tc>
          <w:tcPr>
            <w:tcW w:w="929" w:type="dxa"/>
          </w:tcPr>
          <w:p w14:paraId="77B51FE6" w14:textId="77777777" w:rsidR="000E52B0" w:rsidRDefault="00F60D74">
            <w:pPr>
              <w:pStyle w:val="TableParagraph"/>
              <w:spacing w:before="35"/>
              <w:ind w:left="1" w:right="1"/>
              <w:jc w:val="center"/>
              <w:rPr>
                <w:sz w:val="18"/>
              </w:rPr>
            </w:pPr>
            <w:r>
              <w:rPr>
                <w:spacing w:val="-2"/>
                <w:sz w:val="18"/>
              </w:rPr>
              <w:t>-</w:t>
            </w:r>
            <w:r>
              <w:rPr>
                <w:spacing w:val="-5"/>
                <w:sz w:val="18"/>
              </w:rPr>
              <w:t>3,8</w:t>
            </w:r>
          </w:p>
        </w:tc>
        <w:tc>
          <w:tcPr>
            <w:tcW w:w="1126" w:type="dxa"/>
          </w:tcPr>
          <w:p w14:paraId="7A95C16C" w14:textId="77777777" w:rsidR="000E52B0" w:rsidRDefault="00F60D74">
            <w:pPr>
              <w:pStyle w:val="TableParagraph"/>
              <w:spacing w:before="35"/>
              <w:ind w:left="1"/>
              <w:jc w:val="center"/>
              <w:rPr>
                <w:sz w:val="18"/>
              </w:rPr>
            </w:pPr>
            <w:r>
              <w:rPr>
                <w:spacing w:val="-2"/>
                <w:sz w:val="18"/>
              </w:rPr>
              <w:t>25,0%</w:t>
            </w:r>
          </w:p>
        </w:tc>
        <w:tc>
          <w:tcPr>
            <w:tcW w:w="1185" w:type="dxa"/>
          </w:tcPr>
          <w:p w14:paraId="5E2A4AA3" w14:textId="77777777" w:rsidR="000E52B0" w:rsidRDefault="00F60D74">
            <w:pPr>
              <w:pStyle w:val="TableParagraph"/>
              <w:spacing w:before="35"/>
              <w:ind w:left="5"/>
              <w:jc w:val="center"/>
              <w:rPr>
                <w:sz w:val="18"/>
              </w:rPr>
            </w:pPr>
            <w:r>
              <w:rPr>
                <w:spacing w:val="-2"/>
                <w:sz w:val="18"/>
              </w:rPr>
              <w:t>11,6%</w:t>
            </w:r>
          </w:p>
        </w:tc>
        <w:tc>
          <w:tcPr>
            <w:tcW w:w="1063" w:type="dxa"/>
          </w:tcPr>
          <w:p w14:paraId="177E398A" w14:textId="77777777" w:rsidR="000E52B0" w:rsidRDefault="00F60D74">
            <w:pPr>
              <w:pStyle w:val="TableParagraph"/>
              <w:spacing w:before="35"/>
              <w:ind w:left="1"/>
              <w:jc w:val="center"/>
              <w:rPr>
                <w:sz w:val="18"/>
              </w:rPr>
            </w:pPr>
            <w:r>
              <w:rPr>
                <w:spacing w:val="-2"/>
                <w:sz w:val="18"/>
              </w:rPr>
              <w:t>-</w:t>
            </w:r>
            <w:r>
              <w:rPr>
                <w:spacing w:val="-4"/>
                <w:sz w:val="18"/>
              </w:rPr>
              <w:t>13,4</w:t>
            </w:r>
          </w:p>
        </w:tc>
      </w:tr>
    </w:tbl>
    <w:p w14:paraId="18271ED1" w14:textId="77777777" w:rsidR="000E52B0" w:rsidRDefault="00F60D74">
      <w:pPr>
        <w:spacing w:before="3"/>
        <w:ind w:right="1"/>
        <w:jc w:val="center"/>
        <w:rPr>
          <w:i/>
          <w:sz w:val="18"/>
        </w:rPr>
      </w:pPr>
      <w:r>
        <w:rPr>
          <w:i/>
          <w:color w:val="454551"/>
          <w:sz w:val="18"/>
        </w:rPr>
        <w:t>Fuente</w:t>
      </w:r>
      <w:r>
        <w:rPr>
          <w:i/>
          <w:color w:val="454551"/>
          <w:spacing w:val="-4"/>
          <w:sz w:val="18"/>
        </w:rPr>
        <w:t xml:space="preserve"> </w:t>
      </w:r>
      <w:r>
        <w:rPr>
          <w:i/>
          <w:color w:val="454551"/>
          <w:sz w:val="18"/>
        </w:rPr>
        <w:t>24.</w:t>
      </w:r>
      <w:r>
        <w:rPr>
          <w:i/>
          <w:color w:val="454551"/>
          <w:spacing w:val="-4"/>
          <w:sz w:val="18"/>
        </w:rPr>
        <w:t xml:space="preserve"> </w:t>
      </w:r>
      <w:r>
        <w:rPr>
          <w:i/>
          <w:color w:val="454551"/>
          <w:sz w:val="18"/>
        </w:rPr>
        <w:t>Ministerio</w:t>
      </w:r>
      <w:r>
        <w:rPr>
          <w:i/>
          <w:color w:val="454551"/>
          <w:spacing w:val="-2"/>
          <w:sz w:val="18"/>
        </w:rPr>
        <w:t xml:space="preserve"> </w:t>
      </w:r>
      <w:r>
        <w:rPr>
          <w:i/>
          <w:color w:val="454551"/>
          <w:sz w:val="18"/>
        </w:rPr>
        <w:t>de</w:t>
      </w:r>
      <w:r>
        <w:rPr>
          <w:i/>
          <w:color w:val="454551"/>
          <w:spacing w:val="-2"/>
          <w:sz w:val="18"/>
        </w:rPr>
        <w:t xml:space="preserve"> </w:t>
      </w:r>
      <w:r>
        <w:rPr>
          <w:i/>
          <w:color w:val="454551"/>
          <w:sz w:val="18"/>
        </w:rPr>
        <w:t>igualdad</w:t>
      </w:r>
      <w:r>
        <w:rPr>
          <w:i/>
          <w:color w:val="454551"/>
          <w:spacing w:val="-2"/>
          <w:sz w:val="18"/>
        </w:rPr>
        <w:t xml:space="preserve"> </w:t>
      </w:r>
      <w:r>
        <w:rPr>
          <w:i/>
          <w:color w:val="454551"/>
          <w:sz w:val="18"/>
        </w:rPr>
        <w:t>y</w:t>
      </w:r>
      <w:r>
        <w:rPr>
          <w:i/>
          <w:color w:val="454551"/>
          <w:spacing w:val="-5"/>
          <w:sz w:val="18"/>
        </w:rPr>
        <w:t xml:space="preserve"> </w:t>
      </w:r>
      <w:r>
        <w:rPr>
          <w:i/>
          <w:color w:val="454551"/>
          <w:sz w:val="18"/>
        </w:rPr>
        <w:t>equidad,</w:t>
      </w:r>
      <w:r>
        <w:rPr>
          <w:i/>
          <w:color w:val="454551"/>
          <w:spacing w:val="-4"/>
          <w:sz w:val="18"/>
        </w:rPr>
        <w:t xml:space="preserve"> </w:t>
      </w:r>
      <w:r>
        <w:rPr>
          <w:i/>
          <w:color w:val="454551"/>
          <w:sz w:val="18"/>
        </w:rPr>
        <w:t>con</w:t>
      </w:r>
      <w:r>
        <w:rPr>
          <w:i/>
          <w:color w:val="454551"/>
          <w:spacing w:val="-1"/>
          <w:sz w:val="18"/>
        </w:rPr>
        <w:t xml:space="preserve"> </w:t>
      </w:r>
      <w:r>
        <w:rPr>
          <w:i/>
          <w:color w:val="454551"/>
          <w:sz w:val="18"/>
        </w:rPr>
        <w:t>datos</w:t>
      </w:r>
      <w:r>
        <w:rPr>
          <w:i/>
          <w:color w:val="454551"/>
          <w:spacing w:val="-3"/>
          <w:sz w:val="18"/>
        </w:rPr>
        <w:t xml:space="preserve"> </w:t>
      </w:r>
      <w:r>
        <w:rPr>
          <w:i/>
          <w:color w:val="454551"/>
          <w:sz w:val="18"/>
        </w:rPr>
        <w:t>DANE</w:t>
      </w:r>
      <w:r>
        <w:rPr>
          <w:i/>
          <w:color w:val="454551"/>
          <w:spacing w:val="2"/>
          <w:sz w:val="18"/>
        </w:rPr>
        <w:t xml:space="preserve"> </w:t>
      </w:r>
      <w:r>
        <w:rPr>
          <w:i/>
          <w:color w:val="454551"/>
          <w:sz w:val="18"/>
        </w:rPr>
        <w:t>-</w:t>
      </w:r>
      <w:r>
        <w:rPr>
          <w:i/>
          <w:color w:val="454551"/>
          <w:spacing w:val="-4"/>
          <w:sz w:val="18"/>
        </w:rPr>
        <w:t xml:space="preserve"> </w:t>
      </w:r>
      <w:r>
        <w:rPr>
          <w:i/>
          <w:color w:val="454551"/>
          <w:sz w:val="18"/>
        </w:rPr>
        <w:t>GEIH</w:t>
      </w:r>
      <w:r>
        <w:rPr>
          <w:i/>
          <w:color w:val="454551"/>
          <w:spacing w:val="-3"/>
          <w:sz w:val="18"/>
        </w:rPr>
        <w:t xml:space="preserve"> </w:t>
      </w:r>
      <w:r>
        <w:rPr>
          <w:i/>
          <w:color w:val="454551"/>
          <w:spacing w:val="-4"/>
          <w:sz w:val="18"/>
        </w:rPr>
        <w:t>2022</w:t>
      </w:r>
    </w:p>
    <w:p w14:paraId="2FD5E57C" w14:textId="77777777" w:rsidR="000E52B0" w:rsidRDefault="00F60D74">
      <w:pPr>
        <w:pStyle w:val="Textoindependiente"/>
        <w:spacing w:before="201"/>
        <w:ind w:right="718"/>
        <w:jc w:val="both"/>
      </w:pPr>
      <w:r>
        <w:t>Sumado</w:t>
      </w:r>
      <w:r>
        <w:rPr>
          <w:spacing w:val="-1"/>
        </w:rPr>
        <w:t xml:space="preserve"> </w:t>
      </w:r>
      <w:r>
        <w:t>a lo</w:t>
      </w:r>
      <w:r>
        <w:rPr>
          <w:spacing w:val="-1"/>
        </w:rPr>
        <w:t xml:space="preserve"> </w:t>
      </w:r>
      <w:r>
        <w:t>anterior,</w:t>
      </w:r>
      <w:r>
        <w:rPr>
          <w:spacing w:val="-2"/>
        </w:rPr>
        <w:t xml:space="preserve"> </w:t>
      </w:r>
      <w:r>
        <w:t>de</w:t>
      </w:r>
      <w:r>
        <w:rPr>
          <w:spacing w:val="-1"/>
        </w:rPr>
        <w:t xml:space="preserve"> </w:t>
      </w:r>
      <w:r>
        <w:t>acuerdo</w:t>
      </w:r>
      <w:r>
        <w:rPr>
          <w:spacing w:val="-1"/>
        </w:rPr>
        <w:t xml:space="preserve"> </w:t>
      </w:r>
      <w:r>
        <w:t>con</w:t>
      </w:r>
      <w:r>
        <w:rPr>
          <w:spacing w:val="-2"/>
        </w:rPr>
        <w:t xml:space="preserve"> </w:t>
      </w:r>
      <w:r>
        <w:t>la</w:t>
      </w:r>
      <w:r>
        <w:rPr>
          <w:spacing w:val="-2"/>
        </w:rPr>
        <w:t xml:space="preserve"> </w:t>
      </w:r>
      <w:r>
        <w:t>Encuesta</w:t>
      </w:r>
      <w:r>
        <w:rPr>
          <w:spacing w:val="-2"/>
        </w:rPr>
        <w:t xml:space="preserve"> </w:t>
      </w:r>
      <w:r>
        <w:t>de</w:t>
      </w:r>
      <w:r>
        <w:rPr>
          <w:spacing w:val="-1"/>
        </w:rPr>
        <w:t xml:space="preserve"> </w:t>
      </w:r>
      <w:r>
        <w:t>Calidad</w:t>
      </w:r>
      <w:r>
        <w:rPr>
          <w:spacing w:val="-2"/>
        </w:rPr>
        <w:t xml:space="preserve"> </w:t>
      </w:r>
      <w:r>
        <w:t>Vida</w:t>
      </w:r>
      <w:r>
        <w:rPr>
          <w:spacing w:val="-2"/>
        </w:rPr>
        <w:t xml:space="preserve"> </w:t>
      </w:r>
      <w:r>
        <w:t xml:space="preserve">(ECV) y la Escala de Experiencia de inseguridad Alimentaria (FIES) para el año 2023, el 26,1% de los hogares. Las barreras para acceder a alimentos suficientes se perciben con menor frecuencia en los hogares con personas mayores (25,1%) que en los hogares donde no viven personas mayores (27%). Esto es coherente con la información respecto a pobreza, pero también da cuenta, más allá de las brechas de desigualdad poblacionales, de la importancia del rol de las personas mayores en el cuidado de los </w:t>
      </w:r>
      <w:r>
        <w:rPr>
          <w:spacing w:val="-2"/>
        </w:rPr>
        <w:t>hogares.</w:t>
      </w:r>
    </w:p>
    <w:p w14:paraId="3BD18A4F" w14:textId="77777777" w:rsidR="000E52B0" w:rsidRDefault="000E52B0">
      <w:pPr>
        <w:pStyle w:val="Textoindependiente"/>
        <w:jc w:val="both"/>
        <w:sectPr w:rsidR="000E52B0">
          <w:type w:val="continuous"/>
          <w:pgSz w:w="11910" w:h="16840"/>
          <w:pgMar w:top="1340" w:right="720" w:bottom="1280" w:left="720" w:header="0" w:footer="995" w:gutter="0"/>
          <w:cols w:space="720"/>
        </w:sectPr>
      </w:pPr>
    </w:p>
    <w:p w14:paraId="70B3BE61" w14:textId="77777777" w:rsidR="000E52B0" w:rsidRDefault="00F60D74">
      <w:pPr>
        <w:pStyle w:val="Textoindependiente"/>
        <w:spacing w:before="83"/>
        <w:ind w:right="715"/>
        <w:jc w:val="both"/>
      </w:pPr>
      <w:r>
        <w:lastRenderedPageBreak/>
        <w:t xml:space="preserve">Las dinámicas de conflicto y dificultades para acceder a la tierra, ha sustituido sistemas agroalimentarios propios, en donde no sólo se han reemplazados saberes alrededor de los cultivos, sino que la vocación del territorio ha cambiado. Esto, ha traído consigo una afectación significativa en los Pueblos étnicos. La misma ECV, encuentra que a nivel nacional los </w:t>
      </w:r>
      <w:r>
        <w:rPr>
          <w:b/>
        </w:rPr>
        <w:t>hogares</w:t>
      </w:r>
      <w:r>
        <w:rPr>
          <w:b/>
          <w:spacing w:val="-3"/>
        </w:rPr>
        <w:t xml:space="preserve"> </w:t>
      </w:r>
      <w:r>
        <w:rPr>
          <w:b/>
        </w:rPr>
        <w:t>según</w:t>
      </w:r>
      <w:r>
        <w:rPr>
          <w:b/>
          <w:spacing w:val="-2"/>
        </w:rPr>
        <w:t xml:space="preserve"> </w:t>
      </w:r>
      <w:r>
        <w:rPr>
          <w:b/>
        </w:rPr>
        <w:t>prevalencia</w:t>
      </w:r>
      <w:r>
        <w:rPr>
          <w:b/>
          <w:spacing w:val="-2"/>
        </w:rPr>
        <w:t xml:space="preserve"> </w:t>
      </w:r>
      <w:r>
        <w:rPr>
          <w:b/>
        </w:rPr>
        <w:t>de</w:t>
      </w:r>
      <w:r>
        <w:rPr>
          <w:b/>
          <w:spacing w:val="-3"/>
        </w:rPr>
        <w:t xml:space="preserve"> </w:t>
      </w:r>
      <w:r>
        <w:rPr>
          <w:b/>
        </w:rPr>
        <w:t>inseguridad</w:t>
      </w:r>
      <w:r>
        <w:rPr>
          <w:b/>
          <w:spacing w:val="-2"/>
        </w:rPr>
        <w:t xml:space="preserve"> </w:t>
      </w:r>
      <w:r>
        <w:rPr>
          <w:b/>
        </w:rPr>
        <w:t>alimentaria</w:t>
      </w:r>
      <w:r>
        <w:rPr>
          <w:b/>
          <w:spacing w:val="-1"/>
        </w:rPr>
        <w:t xml:space="preserve"> </w:t>
      </w:r>
      <w:r>
        <w:rPr>
          <w:b/>
        </w:rPr>
        <w:t>moderada</w:t>
      </w:r>
      <w:r>
        <w:rPr>
          <w:b/>
          <w:spacing w:val="-1"/>
        </w:rPr>
        <w:t xml:space="preserve"> </w:t>
      </w:r>
      <w:r>
        <w:rPr>
          <w:b/>
        </w:rPr>
        <w:t>o grave</w:t>
      </w:r>
      <w:r>
        <w:rPr>
          <w:b/>
          <w:spacing w:val="-5"/>
        </w:rPr>
        <w:t xml:space="preserve"> </w:t>
      </w:r>
      <w:r>
        <w:rPr>
          <w:b/>
        </w:rPr>
        <w:t>por</w:t>
      </w:r>
      <w:r>
        <w:rPr>
          <w:b/>
          <w:spacing w:val="-4"/>
        </w:rPr>
        <w:t xml:space="preserve"> </w:t>
      </w:r>
      <w:r>
        <w:rPr>
          <w:b/>
        </w:rPr>
        <w:t>autorreconocimiento</w:t>
      </w:r>
      <w:r>
        <w:rPr>
          <w:b/>
          <w:spacing w:val="-3"/>
        </w:rPr>
        <w:t xml:space="preserve"> </w:t>
      </w:r>
      <w:r>
        <w:rPr>
          <w:b/>
        </w:rPr>
        <w:t>étnico-racial</w:t>
      </w:r>
      <w:r>
        <w:rPr>
          <w:b/>
          <w:spacing w:val="-4"/>
        </w:rPr>
        <w:t xml:space="preserve"> </w:t>
      </w:r>
      <w:r>
        <w:rPr>
          <w:b/>
        </w:rPr>
        <w:t>del</w:t>
      </w:r>
      <w:r>
        <w:rPr>
          <w:b/>
          <w:spacing w:val="-5"/>
        </w:rPr>
        <w:t xml:space="preserve"> </w:t>
      </w:r>
      <w:r>
        <w:rPr>
          <w:b/>
        </w:rPr>
        <w:t>jefe/a</w:t>
      </w:r>
      <w:r>
        <w:rPr>
          <w:b/>
          <w:spacing w:val="-4"/>
        </w:rPr>
        <w:t xml:space="preserve"> </w:t>
      </w:r>
      <w:r>
        <w:rPr>
          <w:b/>
        </w:rPr>
        <w:t>del</w:t>
      </w:r>
      <w:r>
        <w:rPr>
          <w:b/>
          <w:spacing w:val="-6"/>
        </w:rPr>
        <w:t xml:space="preserve"> </w:t>
      </w:r>
      <w:r>
        <w:rPr>
          <w:b/>
        </w:rPr>
        <w:t xml:space="preserve">hogar </w:t>
      </w:r>
      <w:r>
        <w:t>el 39,3% son Indígenas, 37,5% Negro/a, afrocolombiano/a, raizal, palenquero/a y el 24,6% Ningún grupo étnico-racial (DANE, 2023). Teniendo en cuenta las barreras geográficas, institucionales, sociales y culturales que se presentan en los entornos rurales donde se ubica parte de la población para acceder a alimentos, pero también las barreras en el contexto urbano por ser, en algunos casos, contextos ajenos a las dinámicas</w:t>
      </w:r>
      <w:r>
        <w:rPr>
          <w:spacing w:val="-6"/>
        </w:rPr>
        <w:t xml:space="preserve"> </w:t>
      </w:r>
      <w:r>
        <w:t>propias</w:t>
      </w:r>
      <w:r>
        <w:rPr>
          <w:spacing w:val="-2"/>
        </w:rPr>
        <w:t xml:space="preserve"> </w:t>
      </w:r>
      <w:r>
        <w:t>de</w:t>
      </w:r>
      <w:r>
        <w:rPr>
          <w:spacing w:val="-4"/>
        </w:rPr>
        <w:t xml:space="preserve"> </w:t>
      </w:r>
      <w:r>
        <w:t>los</w:t>
      </w:r>
      <w:r>
        <w:rPr>
          <w:spacing w:val="-4"/>
        </w:rPr>
        <w:t xml:space="preserve"> </w:t>
      </w:r>
      <w:r>
        <w:t>pueblos</w:t>
      </w:r>
      <w:r>
        <w:rPr>
          <w:spacing w:val="-4"/>
        </w:rPr>
        <w:t xml:space="preserve"> </w:t>
      </w:r>
      <w:r>
        <w:t>esto</w:t>
      </w:r>
      <w:r>
        <w:rPr>
          <w:spacing w:val="-4"/>
        </w:rPr>
        <w:t xml:space="preserve"> </w:t>
      </w:r>
      <w:r>
        <w:t>es</w:t>
      </w:r>
      <w:r>
        <w:rPr>
          <w:spacing w:val="-6"/>
        </w:rPr>
        <w:t xml:space="preserve"> </w:t>
      </w:r>
      <w:r>
        <w:t>algo</w:t>
      </w:r>
      <w:r>
        <w:rPr>
          <w:spacing w:val="-1"/>
        </w:rPr>
        <w:t xml:space="preserve"> </w:t>
      </w:r>
      <w:r>
        <w:t>que</w:t>
      </w:r>
      <w:r>
        <w:rPr>
          <w:spacing w:val="-2"/>
        </w:rPr>
        <w:t xml:space="preserve"> </w:t>
      </w:r>
      <w:r>
        <w:t>debe</w:t>
      </w:r>
      <w:r>
        <w:rPr>
          <w:spacing w:val="-3"/>
        </w:rPr>
        <w:t xml:space="preserve"> </w:t>
      </w:r>
      <w:r>
        <w:t>llamar</w:t>
      </w:r>
      <w:r>
        <w:rPr>
          <w:spacing w:val="-4"/>
        </w:rPr>
        <w:t xml:space="preserve"> </w:t>
      </w:r>
      <w:r>
        <w:t>la</w:t>
      </w:r>
      <w:r>
        <w:rPr>
          <w:spacing w:val="-3"/>
        </w:rPr>
        <w:t xml:space="preserve"> </w:t>
      </w:r>
      <w:r>
        <w:rPr>
          <w:spacing w:val="-2"/>
        </w:rPr>
        <w:t>atención.</w:t>
      </w:r>
    </w:p>
    <w:p w14:paraId="3A9B8C98" w14:textId="77777777" w:rsidR="000E52B0" w:rsidRDefault="00F60D74">
      <w:pPr>
        <w:pStyle w:val="Textoindependiente"/>
        <w:spacing w:before="160"/>
        <w:ind w:right="719"/>
        <w:jc w:val="both"/>
      </w:pPr>
      <w:r>
        <w:t>Ahora bien, entre los hogares con personas mayores e indígenas, la prevalencia de inseguridad alimentaria moderada o grave es mayor (39,9%),</w:t>
      </w:r>
      <w:r>
        <w:rPr>
          <w:spacing w:val="-22"/>
        </w:rPr>
        <w:t xml:space="preserve"> </w:t>
      </w:r>
      <w:r>
        <w:t>en</w:t>
      </w:r>
      <w:r>
        <w:rPr>
          <w:spacing w:val="-21"/>
        </w:rPr>
        <w:t xml:space="preserve"> </w:t>
      </w:r>
      <w:r>
        <w:t>comparación</w:t>
      </w:r>
      <w:r>
        <w:rPr>
          <w:spacing w:val="-21"/>
        </w:rPr>
        <w:t xml:space="preserve"> </w:t>
      </w:r>
      <w:r>
        <w:t>con</w:t>
      </w:r>
      <w:r>
        <w:rPr>
          <w:spacing w:val="-21"/>
        </w:rPr>
        <w:t xml:space="preserve"> </w:t>
      </w:r>
      <w:r>
        <w:t>un</w:t>
      </w:r>
      <w:r>
        <w:rPr>
          <w:spacing w:val="-21"/>
        </w:rPr>
        <w:t xml:space="preserve"> </w:t>
      </w:r>
      <w:r>
        <w:t>24,7%</w:t>
      </w:r>
      <w:r>
        <w:rPr>
          <w:spacing w:val="-20"/>
        </w:rPr>
        <w:t xml:space="preserve"> </w:t>
      </w:r>
      <w:r>
        <w:t>en</w:t>
      </w:r>
      <w:r>
        <w:rPr>
          <w:spacing w:val="-21"/>
        </w:rPr>
        <w:t xml:space="preserve"> </w:t>
      </w:r>
      <w:r>
        <w:t>hogares</w:t>
      </w:r>
      <w:r>
        <w:rPr>
          <w:spacing w:val="-21"/>
        </w:rPr>
        <w:t xml:space="preserve"> </w:t>
      </w:r>
      <w:r>
        <w:t>con</w:t>
      </w:r>
      <w:r>
        <w:rPr>
          <w:spacing w:val="-21"/>
        </w:rPr>
        <w:t xml:space="preserve"> </w:t>
      </w:r>
      <w:r>
        <w:t>personas</w:t>
      </w:r>
      <w:r>
        <w:rPr>
          <w:spacing w:val="-21"/>
        </w:rPr>
        <w:t xml:space="preserve"> </w:t>
      </w:r>
      <w:r>
        <w:t>mayores, pero sin personas indígenas.</w:t>
      </w:r>
    </w:p>
    <w:p w14:paraId="7C6D78B5" w14:textId="77777777" w:rsidR="000E52B0" w:rsidRDefault="00F60D74">
      <w:pPr>
        <w:pStyle w:val="Textoindependiente"/>
        <w:spacing w:before="158"/>
        <w:ind w:right="722"/>
        <w:jc w:val="both"/>
      </w:pPr>
      <w:r>
        <w:t>En</w:t>
      </w:r>
      <w:r>
        <w:rPr>
          <w:spacing w:val="-10"/>
        </w:rPr>
        <w:t xml:space="preserve"> </w:t>
      </w:r>
      <w:r>
        <w:t>el</w:t>
      </w:r>
      <w:r>
        <w:rPr>
          <w:spacing w:val="-10"/>
        </w:rPr>
        <w:t xml:space="preserve"> </w:t>
      </w:r>
      <w:r>
        <w:t>caso</w:t>
      </w:r>
      <w:r>
        <w:rPr>
          <w:spacing w:val="-8"/>
        </w:rPr>
        <w:t xml:space="preserve"> </w:t>
      </w:r>
      <w:r>
        <w:t>de</w:t>
      </w:r>
      <w:r>
        <w:rPr>
          <w:spacing w:val="-8"/>
        </w:rPr>
        <w:t xml:space="preserve"> </w:t>
      </w:r>
      <w:r>
        <w:t>los</w:t>
      </w:r>
      <w:r>
        <w:rPr>
          <w:spacing w:val="-9"/>
        </w:rPr>
        <w:t xml:space="preserve"> </w:t>
      </w:r>
      <w:r>
        <w:t>hogares</w:t>
      </w:r>
      <w:r>
        <w:rPr>
          <w:spacing w:val="-9"/>
        </w:rPr>
        <w:t xml:space="preserve"> </w:t>
      </w:r>
      <w:r>
        <w:t>con</w:t>
      </w:r>
      <w:r>
        <w:rPr>
          <w:spacing w:val="-9"/>
        </w:rPr>
        <w:t xml:space="preserve"> </w:t>
      </w:r>
      <w:r>
        <w:t>presencia</w:t>
      </w:r>
      <w:r>
        <w:rPr>
          <w:spacing w:val="-9"/>
        </w:rPr>
        <w:t xml:space="preserve"> </w:t>
      </w:r>
      <w:r>
        <w:t>de</w:t>
      </w:r>
      <w:r>
        <w:rPr>
          <w:spacing w:val="-8"/>
        </w:rPr>
        <w:t xml:space="preserve"> </w:t>
      </w:r>
      <w:r>
        <w:t>personas</w:t>
      </w:r>
      <w:r>
        <w:rPr>
          <w:spacing w:val="-9"/>
        </w:rPr>
        <w:t xml:space="preserve"> </w:t>
      </w:r>
      <w:r>
        <w:t>mayores</w:t>
      </w:r>
      <w:r>
        <w:rPr>
          <w:spacing w:val="-9"/>
        </w:rPr>
        <w:t xml:space="preserve"> </w:t>
      </w:r>
      <w:r>
        <w:t>y</w:t>
      </w:r>
      <w:r>
        <w:rPr>
          <w:spacing w:val="-9"/>
        </w:rPr>
        <w:t xml:space="preserve"> </w:t>
      </w:r>
      <w:r>
        <w:t>de</w:t>
      </w:r>
      <w:r>
        <w:rPr>
          <w:spacing w:val="-8"/>
        </w:rPr>
        <w:t xml:space="preserve"> </w:t>
      </w:r>
      <w:r>
        <w:t>pueblos afrodescendientes</w:t>
      </w:r>
      <w:r>
        <w:rPr>
          <w:spacing w:val="-14"/>
        </w:rPr>
        <w:t xml:space="preserve"> </w:t>
      </w:r>
      <w:r>
        <w:t>la</w:t>
      </w:r>
      <w:r>
        <w:rPr>
          <w:spacing w:val="-14"/>
        </w:rPr>
        <w:t xml:space="preserve"> </w:t>
      </w:r>
      <w:r>
        <w:t>tasa</w:t>
      </w:r>
      <w:r>
        <w:rPr>
          <w:spacing w:val="-12"/>
        </w:rPr>
        <w:t xml:space="preserve"> </w:t>
      </w:r>
      <w:r>
        <w:t>de</w:t>
      </w:r>
      <w:r>
        <w:rPr>
          <w:spacing w:val="-13"/>
        </w:rPr>
        <w:t xml:space="preserve"> </w:t>
      </w:r>
      <w:r>
        <w:t>prevalencia</w:t>
      </w:r>
      <w:r>
        <w:rPr>
          <w:spacing w:val="-14"/>
        </w:rPr>
        <w:t xml:space="preserve"> </w:t>
      </w:r>
      <w:r>
        <w:t>es</w:t>
      </w:r>
      <w:r>
        <w:rPr>
          <w:spacing w:val="-14"/>
        </w:rPr>
        <w:t xml:space="preserve"> </w:t>
      </w:r>
      <w:r>
        <w:t>de</w:t>
      </w:r>
      <w:r>
        <w:rPr>
          <w:spacing w:val="-13"/>
        </w:rPr>
        <w:t xml:space="preserve"> </w:t>
      </w:r>
      <w:r>
        <w:t>34,6%,</w:t>
      </w:r>
      <w:r>
        <w:rPr>
          <w:spacing w:val="-14"/>
        </w:rPr>
        <w:t xml:space="preserve"> </w:t>
      </w:r>
      <w:r>
        <w:t>en</w:t>
      </w:r>
      <w:r>
        <w:rPr>
          <w:spacing w:val="-14"/>
        </w:rPr>
        <w:t xml:space="preserve"> </w:t>
      </w:r>
      <w:r>
        <w:t>comparación</w:t>
      </w:r>
      <w:r>
        <w:rPr>
          <w:spacing w:val="-14"/>
        </w:rPr>
        <w:t xml:space="preserve"> </w:t>
      </w:r>
      <w:r>
        <w:t>con un 24,3% de solo personas mayores sin afrodescendiente.</w:t>
      </w:r>
    </w:p>
    <w:p w14:paraId="0EBCC1A0" w14:textId="77777777" w:rsidR="000E52B0" w:rsidRDefault="00F60D74">
      <w:pPr>
        <w:spacing w:before="162"/>
        <w:ind w:left="720" w:right="715"/>
        <w:jc w:val="both"/>
        <w:rPr>
          <w:b/>
          <w:sz w:val="24"/>
        </w:rPr>
      </w:pPr>
      <w:r>
        <w:rPr>
          <w:sz w:val="24"/>
        </w:rPr>
        <w:t xml:space="preserve">Respecto a las personas con discapacidad, y de acuerdo con el RLCPD, el 35% de quienes son mayores de 15 años, se encuentran incapacitadas permanentemente para trabajar, y </w:t>
      </w:r>
      <w:r>
        <w:rPr>
          <w:b/>
          <w:sz w:val="24"/>
        </w:rPr>
        <w:t>9 de cada 10 personas incapacitadas permanentemente para trabajar no tiene pensión.</w:t>
      </w:r>
    </w:p>
    <w:p w14:paraId="7A5CD2FD" w14:textId="77777777" w:rsidR="000E52B0" w:rsidRDefault="00F60D74">
      <w:pPr>
        <w:pStyle w:val="Textoindependiente"/>
        <w:spacing w:before="161"/>
        <w:ind w:right="717"/>
        <w:jc w:val="both"/>
      </w:pPr>
      <w:r>
        <w:t xml:space="preserve">El 17% de las personas con discapacidad mayores de 15 años, realiza actividades de cuidado del hogar sin remuneración como actividad principal, el 11% está estudiando, el 15% se dedica a otra actividad, </w:t>
      </w:r>
      <w:r>
        <w:rPr>
          <w:b/>
        </w:rPr>
        <w:t>el 12%</w:t>
      </w:r>
      <w:r>
        <w:rPr>
          <w:b/>
          <w:spacing w:val="-14"/>
        </w:rPr>
        <w:t xml:space="preserve"> </w:t>
      </w:r>
      <w:r>
        <w:rPr>
          <w:b/>
        </w:rPr>
        <w:t>se</w:t>
      </w:r>
      <w:r>
        <w:rPr>
          <w:b/>
          <w:spacing w:val="-15"/>
        </w:rPr>
        <w:t xml:space="preserve"> </w:t>
      </w:r>
      <w:r>
        <w:rPr>
          <w:b/>
        </w:rPr>
        <w:t>encuentra</w:t>
      </w:r>
      <w:r>
        <w:rPr>
          <w:b/>
          <w:spacing w:val="-13"/>
        </w:rPr>
        <w:t xml:space="preserve"> </w:t>
      </w:r>
      <w:r>
        <w:rPr>
          <w:b/>
        </w:rPr>
        <w:t>trabajando</w:t>
      </w:r>
      <w:r>
        <w:t>,</w:t>
      </w:r>
      <w:r>
        <w:rPr>
          <w:spacing w:val="-17"/>
        </w:rPr>
        <w:t xml:space="preserve"> </w:t>
      </w:r>
      <w:r>
        <w:t>el</w:t>
      </w:r>
      <w:r>
        <w:rPr>
          <w:spacing w:val="-15"/>
        </w:rPr>
        <w:t xml:space="preserve"> </w:t>
      </w:r>
      <w:r>
        <w:t>4%</w:t>
      </w:r>
      <w:r>
        <w:rPr>
          <w:spacing w:val="-15"/>
        </w:rPr>
        <w:t xml:space="preserve"> </w:t>
      </w:r>
      <w:r>
        <w:t>está</w:t>
      </w:r>
      <w:r>
        <w:rPr>
          <w:spacing w:val="-14"/>
        </w:rPr>
        <w:t xml:space="preserve"> </w:t>
      </w:r>
      <w:r>
        <w:t>buscando</w:t>
      </w:r>
      <w:r>
        <w:rPr>
          <w:spacing w:val="-13"/>
        </w:rPr>
        <w:t xml:space="preserve"> </w:t>
      </w:r>
      <w:r>
        <w:t>trabajo,</w:t>
      </w:r>
      <w:r>
        <w:rPr>
          <w:spacing w:val="-14"/>
        </w:rPr>
        <w:t xml:space="preserve"> </w:t>
      </w:r>
      <w:r>
        <w:t>el</w:t>
      </w:r>
      <w:r>
        <w:rPr>
          <w:spacing w:val="-15"/>
        </w:rPr>
        <w:t xml:space="preserve"> </w:t>
      </w:r>
      <w:r>
        <w:t>2%</w:t>
      </w:r>
      <w:r>
        <w:rPr>
          <w:spacing w:val="-13"/>
        </w:rPr>
        <w:t xml:space="preserve"> </w:t>
      </w:r>
      <w:r>
        <w:t>está pensionado y otro 2% realiza trabajo para el autoconsumo.</w:t>
      </w:r>
    </w:p>
    <w:p w14:paraId="56173922" w14:textId="77777777" w:rsidR="000E52B0" w:rsidRDefault="00F60D74">
      <w:pPr>
        <w:pStyle w:val="Textoindependiente"/>
        <w:spacing w:before="159"/>
        <w:ind w:right="719"/>
        <w:jc w:val="both"/>
      </w:pPr>
      <w:r>
        <w:t>En</w:t>
      </w:r>
      <w:r>
        <w:rPr>
          <w:spacing w:val="-3"/>
        </w:rPr>
        <w:t xml:space="preserve"> </w:t>
      </w:r>
      <w:r>
        <w:t>este</w:t>
      </w:r>
      <w:r>
        <w:rPr>
          <w:spacing w:val="-1"/>
        </w:rPr>
        <w:t xml:space="preserve"> </w:t>
      </w:r>
      <w:r>
        <w:t>escenario</w:t>
      </w:r>
      <w:r>
        <w:rPr>
          <w:spacing w:val="-1"/>
        </w:rPr>
        <w:t xml:space="preserve"> </w:t>
      </w:r>
      <w:r>
        <w:t>también las mujeres enfrentan</w:t>
      </w:r>
      <w:r>
        <w:rPr>
          <w:spacing w:val="-3"/>
        </w:rPr>
        <w:t xml:space="preserve"> </w:t>
      </w:r>
      <w:r>
        <w:t>situaciones</w:t>
      </w:r>
      <w:r>
        <w:rPr>
          <w:spacing w:val="-2"/>
        </w:rPr>
        <w:t xml:space="preserve"> </w:t>
      </w:r>
      <w:r>
        <w:t>diferentes,</w:t>
      </w:r>
      <w:r>
        <w:rPr>
          <w:spacing w:val="-3"/>
        </w:rPr>
        <w:t xml:space="preserve"> </w:t>
      </w:r>
      <w:r>
        <w:t>si bien, con más frecuencia las mujeres incapacitadas permanentemente reciben pensión (38%), respecto a los hombres en la misma situación (32%); las mujeres con discapacidad mayores de 15 años, con mayor frecuencia (28%) que los hombres (6%) realizan actividades de cuidado del hogar de forma no remunerada, y en contraste los hombres con más frecuencia reportan estar trabajando (16%), en comparación con las mujeres (8%).</w:t>
      </w:r>
    </w:p>
    <w:p w14:paraId="53F7A5B1" w14:textId="77777777" w:rsidR="000E52B0" w:rsidRDefault="00F60D74">
      <w:pPr>
        <w:pStyle w:val="Textoindependiente"/>
        <w:spacing w:before="161"/>
        <w:ind w:right="717"/>
        <w:jc w:val="both"/>
      </w:pPr>
      <w:r>
        <w:t>La ECV identificó que, la brecha en el porcentaje de personas que realizan actividades remuneradas entre personas con discapacidad y sin discapacidad también aumentó entre 2020 y 2022. Para 2020 el 28% de las personas con discapacidad realizaban una actividad remunerada, en comparación con el 50% de la población sin discapacidad que recibe remuneración</w:t>
      </w:r>
      <w:r>
        <w:rPr>
          <w:spacing w:val="9"/>
        </w:rPr>
        <w:t xml:space="preserve"> </w:t>
      </w:r>
      <w:r>
        <w:t>por</w:t>
      </w:r>
      <w:r>
        <w:rPr>
          <w:spacing w:val="13"/>
        </w:rPr>
        <w:t xml:space="preserve"> </w:t>
      </w:r>
      <w:r>
        <w:t>sus</w:t>
      </w:r>
      <w:r>
        <w:rPr>
          <w:spacing w:val="11"/>
        </w:rPr>
        <w:t xml:space="preserve"> </w:t>
      </w:r>
      <w:r>
        <w:t>actividades,</w:t>
      </w:r>
      <w:r>
        <w:rPr>
          <w:spacing w:val="11"/>
        </w:rPr>
        <w:t xml:space="preserve"> </w:t>
      </w:r>
      <w:r>
        <w:t>esta</w:t>
      </w:r>
      <w:r>
        <w:rPr>
          <w:spacing w:val="13"/>
        </w:rPr>
        <w:t xml:space="preserve"> </w:t>
      </w:r>
      <w:r>
        <w:t>brecha</w:t>
      </w:r>
      <w:r>
        <w:rPr>
          <w:spacing w:val="12"/>
        </w:rPr>
        <w:t xml:space="preserve"> </w:t>
      </w:r>
      <w:r>
        <w:t>de</w:t>
      </w:r>
      <w:r>
        <w:rPr>
          <w:spacing w:val="12"/>
        </w:rPr>
        <w:t xml:space="preserve"> </w:t>
      </w:r>
      <w:r>
        <w:t>22</w:t>
      </w:r>
      <w:r>
        <w:rPr>
          <w:spacing w:val="13"/>
        </w:rPr>
        <w:t xml:space="preserve"> </w:t>
      </w:r>
      <w:r>
        <w:t>p.p.</w:t>
      </w:r>
      <w:r>
        <w:rPr>
          <w:spacing w:val="13"/>
        </w:rPr>
        <w:t xml:space="preserve"> </w:t>
      </w:r>
      <w:r>
        <w:t>pasó</w:t>
      </w:r>
      <w:r>
        <w:rPr>
          <w:spacing w:val="12"/>
        </w:rPr>
        <w:t xml:space="preserve"> </w:t>
      </w:r>
      <w:r>
        <w:t>a</w:t>
      </w:r>
      <w:r>
        <w:rPr>
          <w:spacing w:val="12"/>
        </w:rPr>
        <w:t xml:space="preserve"> </w:t>
      </w:r>
      <w:r>
        <w:t>2022,</w:t>
      </w:r>
      <w:r>
        <w:rPr>
          <w:spacing w:val="11"/>
        </w:rPr>
        <w:t xml:space="preserve"> </w:t>
      </w:r>
      <w:r>
        <w:rPr>
          <w:spacing w:val="-10"/>
        </w:rPr>
        <w:t>a</w:t>
      </w:r>
    </w:p>
    <w:p w14:paraId="5E9C570F" w14:textId="77777777" w:rsidR="000E52B0" w:rsidRDefault="000E52B0">
      <w:pPr>
        <w:pStyle w:val="Textoindependiente"/>
        <w:jc w:val="both"/>
        <w:sectPr w:rsidR="000E52B0">
          <w:pgSz w:w="11910" w:h="16840"/>
          <w:pgMar w:top="1340" w:right="720" w:bottom="1180" w:left="720" w:header="0" w:footer="995" w:gutter="0"/>
          <w:cols w:space="720"/>
        </w:sectPr>
      </w:pPr>
    </w:p>
    <w:p w14:paraId="2EC4B989" w14:textId="77777777" w:rsidR="000E52B0" w:rsidRDefault="00F60D74">
      <w:pPr>
        <w:pStyle w:val="Textoindependiente"/>
        <w:spacing w:before="83"/>
        <w:ind w:right="720"/>
        <w:jc w:val="both"/>
      </w:pPr>
      <w:r>
        <w:lastRenderedPageBreak/>
        <w:t>28</w:t>
      </w:r>
      <w:r>
        <w:rPr>
          <w:spacing w:val="-11"/>
        </w:rPr>
        <w:t xml:space="preserve"> </w:t>
      </w:r>
      <w:r>
        <w:t>p.p.,</w:t>
      </w:r>
      <w:r>
        <w:rPr>
          <w:spacing w:val="-12"/>
        </w:rPr>
        <w:t xml:space="preserve"> </w:t>
      </w:r>
      <w:r>
        <w:t>pues</w:t>
      </w:r>
      <w:r>
        <w:rPr>
          <w:spacing w:val="-11"/>
        </w:rPr>
        <w:t xml:space="preserve"> </w:t>
      </w:r>
      <w:r>
        <w:t>el</w:t>
      </w:r>
      <w:r>
        <w:rPr>
          <w:spacing w:val="-12"/>
        </w:rPr>
        <w:t xml:space="preserve"> </w:t>
      </w:r>
      <w:r>
        <w:t>porcentaje</w:t>
      </w:r>
      <w:r>
        <w:rPr>
          <w:spacing w:val="-11"/>
        </w:rPr>
        <w:t xml:space="preserve"> </w:t>
      </w:r>
      <w:r>
        <w:t>de</w:t>
      </w:r>
      <w:r>
        <w:rPr>
          <w:spacing w:val="-11"/>
        </w:rPr>
        <w:t xml:space="preserve"> </w:t>
      </w:r>
      <w:r>
        <w:t>personas</w:t>
      </w:r>
      <w:r>
        <w:rPr>
          <w:spacing w:val="-12"/>
        </w:rPr>
        <w:t xml:space="preserve"> </w:t>
      </w:r>
      <w:r>
        <w:t>sin</w:t>
      </w:r>
      <w:r>
        <w:rPr>
          <w:spacing w:val="-12"/>
        </w:rPr>
        <w:t xml:space="preserve"> </w:t>
      </w:r>
      <w:r>
        <w:t>discapacidad</w:t>
      </w:r>
      <w:r>
        <w:rPr>
          <w:spacing w:val="-11"/>
        </w:rPr>
        <w:t xml:space="preserve"> </w:t>
      </w:r>
      <w:r>
        <w:t>se</w:t>
      </w:r>
      <w:r>
        <w:rPr>
          <w:spacing w:val="-11"/>
        </w:rPr>
        <w:t xml:space="preserve"> </w:t>
      </w:r>
      <w:r>
        <w:t>mantuvo</w:t>
      </w:r>
      <w:r>
        <w:rPr>
          <w:spacing w:val="-11"/>
        </w:rPr>
        <w:t xml:space="preserve"> </w:t>
      </w:r>
      <w:r>
        <w:t>igual, pero en el caso de las personas con discapacidad ahora el 22% realiza actividades remuneradas.</w:t>
      </w:r>
    </w:p>
    <w:p w14:paraId="4C0E8380" w14:textId="77777777" w:rsidR="000E52B0" w:rsidRDefault="00F60D74">
      <w:pPr>
        <w:pStyle w:val="Textoindependiente"/>
        <w:spacing w:before="159"/>
        <w:ind w:right="717"/>
        <w:jc w:val="both"/>
      </w:pPr>
      <w:r>
        <w:t>Esto da cuenta el deterioro de las condiciones económicas de la población con</w:t>
      </w:r>
      <w:r>
        <w:rPr>
          <w:spacing w:val="-7"/>
        </w:rPr>
        <w:t xml:space="preserve"> </w:t>
      </w:r>
      <w:r>
        <w:t>discapacidad,</w:t>
      </w:r>
      <w:r>
        <w:rPr>
          <w:spacing w:val="-5"/>
        </w:rPr>
        <w:t xml:space="preserve"> </w:t>
      </w:r>
      <w:r>
        <w:t>y</w:t>
      </w:r>
      <w:r>
        <w:rPr>
          <w:spacing w:val="-5"/>
        </w:rPr>
        <w:t xml:space="preserve"> </w:t>
      </w:r>
      <w:r>
        <w:t>la</w:t>
      </w:r>
      <w:r>
        <w:rPr>
          <w:spacing w:val="-7"/>
        </w:rPr>
        <w:t xml:space="preserve"> </w:t>
      </w:r>
      <w:r>
        <w:t>necesidad</w:t>
      </w:r>
      <w:r>
        <w:rPr>
          <w:spacing w:val="-6"/>
        </w:rPr>
        <w:t xml:space="preserve"> </w:t>
      </w:r>
      <w:r>
        <w:t>de</w:t>
      </w:r>
      <w:r>
        <w:rPr>
          <w:spacing w:val="-6"/>
        </w:rPr>
        <w:t xml:space="preserve"> </w:t>
      </w:r>
      <w:r>
        <w:t>contar</w:t>
      </w:r>
      <w:r>
        <w:rPr>
          <w:spacing w:val="-7"/>
        </w:rPr>
        <w:t xml:space="preserve"> </w:t>
      </w:r>
      <w:r>
        <w:t>con</w:t>
      </w:r>
      <w:r>
        <w:rPr>
          <w:spacing w:val="-7"/>
        </w:rPr>
        <w:t xml:space="preserve"> </w:t>
      </w:r>
      <w:r>
        <w:t>un</w:t>
      </w:r>
      <w:r>
        <w:rPr>
          <w:spacing w:val="-5"/>
        </w:rPr>
        <w:t xml:space="preserve"> </w:t>
      </w:r>
      <w:r>
        <w:t>mecanismo</w:t>
      </w:r>
      <w:r>
        <w:rPr>
          <w:spacing w:val="-7"/>
        </w:rPr>
        <w:t xml:space="preserve"> </w:t>
      </w:r>
      <w:r>
        <w:t>que</w:t>
      </w:r>
      <w:r>
        <w:rPr>
          <w:spacing w:val="-6"/>
        </w:rPr>
        <w:t xml:space="preserve"> </w:t>
      </w:r>
      <w:r>
        <w:t>permita la</w:t>
      </w:r>
      <w:r>
        <w:rPr>
          <w:spacing w:val="-10"/>
        </w:rPr>
        <w:t xml:space="preserve"> </w:t>
      </w:r>
      <w:r>
        <w:t>implementación</w:t>
      </w:r>
      <w:r>
        <w:rPr>
          <w:spacing w:val="-10"/>
        </w:rPr>
        <w:t xml:space="preserve"> </w:t>
      </w:r>
      <w:r>
        <w:t>de</w:t>
      </w:r>
      <w:r>
        <w:rPr>
          <w:spacing w:val="-9"/>
        </w:rPr>
        <w:t xml:space="preserve"> </w:t>
      </w:r>
      <w:r>
        <w:t>acciones</w:t>
      </w:r>
      <w:r>
        <w:rPr>
          <w:spacing w:val="-9"/>
        </w:rPr>
        <w:t xml:space="preserve"> </w:t>
      </w:r>
      <w:r>
        <w:t>concretas,</w:t>
      </w:r>
      <w:r>
        <w:rPr>
          <w:spacing w:val="-11"/>
        </w:rPr>
        <w:t xml:space="preserve"> </w:t>
      </w:r>
      <w:r>
        <w:t>pues</w:t>
      </w:r>
      <w:r>
        <w:rPr>
          <w:spacing w:val="-10"/>
        </w:rPr>
        <w:t xml:space="preserve"> </w:t>
      </w:r>
      <w:r>
        <w:t>la</w:t>
      </w:r>
      <w:r>
        <w:rPr>
          <w:spacing w:val="-10"/>
        </w:rPr>
        <w:t xml:space="preserve"> </w:t>
      </w:r>
      <w:r>
        <w:t>producción</w:t>
      </w:r>
      <w:r>
        <w:rPr>
          <w:spacing w:val="-10"/>
        </w:rPr>
        <w:t xml:space="preserve"> </w:t>
      </w:r>
      <w:r>
        <w:t>normativa</w:t>
      </w:r>
      <w:r>
        <w:rPr>
          <w:spacing w:val="-8"/>
        </w:rPr>
        <w:t xml:space="preserve"> </w:t>
      </w:r>
      <w:r>
        <w:t>-el reconocimiento-</w:t>
      </w:r>
      <w:r>
        <w:rPr>
          <w:spacing w:val="-10"/>
        </w:rPr>
        <w:t xml:space="preserve"> </w:t>
      </w:r>
      <w:r>
        <w:t>resulta</w:t>
      </w:r>
      <w:r>
        <w:rPr>
          <w:spacing w:val="-10"/>
        </w:rPr>
        <w:t xml:space="preserve"> </w:t>
      </w:r>
      <w:r>
        <w:t>insuficiente</w:t>
      </w:r>
      <w:r>
        <w:rPr>
          <w:spacing w:val="-9"/>
        </w:rPr>
        <w:t xml:space="preserve"> </w:t>
      </w:r>
      <w:r>
        <w:t>si</w:t>
      </w:r>
      <w:r>
        <w:rPr>
          <w:spacing w:val="-11"/>
        </w:rPr>
        <w:t xml:space="preserve"> </w:t>
      </w:r>
      <w:r>
        <w:t>no</w:t>
      </w:r>
      <w:r>
        <w:rPr>
          <w:spacing w:val="-9"/>
        </w:rPr>
        <w:t xml:space="preserve"> </w:t>
      </w:r>
      <w:r>
        <w:t>se</w:t>
      </w:r>
      <w:r>
        <w:rPr>
          <w:spacing w:val="-9"/>
        </w:rPr>
        <w:t xml:space="preserve"> </w:t>
      </w:r>
      <w:r>
        <w:t>logra</w:t>
      </w:r>
      <w:r>
        <w:rPr>
          <w:spacing w:val="-10"/>
        </w:rPr>
        <w:t xml:space="preserve"> </w:t>
      </w:r>
      <w:r>
        <w:t>concretar</w:t>
      </w:r>
      <w:r>
        <w:rPr>
          <w:spacing w:val="-12"/>
        </w:rPr>
        <w:t xml:space="preserve"> </w:t>
      </w:r>
      <w:r>
        <w:t>en</w:t>
      </w:r>
      <w:r>
        <w:rPr>
          <w:spacing w:val="-10"/>
        </w:rPr>
        <w:t xml:space="preserve"> </w:t>
      </w:r>
      <w:r>
        <w:t>medias</w:t>
      </w:r>
      <w:r>
        <w:rPr>
          <w:spacing w:val="-10"/>
        </w:rPr>
        <w:t xml:space="preserve"> </w:t>
      </w:r>
      <w:r>
        <w:t>que permitan avanzar en la garantía de derechos.</w:t>
      </w:r>
    </w:p>
    <w:p w14:paraId="63D7B152" w14:textId="77777777" w:rsidR="000E52B0" w:rsidRDefault="00F60D74">
      <w:pPr>
        <w:spacing w:before="160"/>
        <w:ind w:left="4657" w:right="723" w:hanging="3337"/>
        <w:rPr>
          <w:i/>
          <w:sz w:val="18"/>
        </w:rPr>
      </w:pPr>
      <w:r>
        <w:rPr>
          <w:i/>
          <w:color w:val="454551"/>
          <w:sz w:val="18"/>
        </w:rPr>
        <w:t>Ilustración</w:t>
      </w:r>
      <w:r>
        <w:rPr>
          <w:i/>
          <w:color w:val="454551"/>
          <w:spacing w:val="-2"/>
          <w:sz w:val="18"/>
        </w:rPr>
        <w:t xml:space="preserve"> </w:t>
      </w:r>
      <w:r>
        <w:rPr>
          <w:i/>
          <w:color w:val="454551"/>
          <w:sz w:val="18"/>
        </w:rPr>
        <w:t>35.</w:t>
      </w:r>
      <w:r>
        <w:rPr>
          <w:i/>
          <w:color w:val="454551"/>
          <w:spacing w:val="-5"/>
          <w:sz w:val="18"/>
        </w:rPr>
        <w:t xml:space="preserve"> </w:t>
      </w:r>
      <w:r>
        <w:rPr>
          <w:i/>
          <w:color w:val="454551"/>
          <w:sz w:val="18"/>
        </w:rPr>
        <w:t>Acceso</w:t>
      </w:r>
      <w:r>
        <w:rPr>
          <w:i/>
          <w:color w:val="454551"/>
          <w:spacing w:val="-3"/>
          <w:sz w:val="18"/>
        </w:rPr>
        <w:t xml:space="preserve"> </w:t>
      </w:r>
      <w:r>
        <w:rPr>
          <w:i/>
          <w:color w:val="454551"/>
          <w:sz w:val="18"/>
        </w:rPr>
        <w:t>a</w:t>
      </w:r>
      <w:r>
        <w:rPr>
          <w:i/>
          <w:color w:val="454551"/>
          <w:spacing w:val="-4"/>
          <w:sz w:val="18"/>
        </w:rPr>
        <w:t xml:space="preserve"> </w:t>
      </w:r>
      <w:r>
        <w:rPr>
          <w:i/>
          <w:color w:val="454551"/>
          <w:sz w:val="18"/>
        </w:rPr>
        <w:t>remuneración</w:t>
      </w:r>
      <w:r>
        <w:rPr>
          <w:i/>
          <w:color w:val="454551"/>
          <w:spacing w:val="-3"/>
          <w:sz w:val="18"/>
        </w:rPr>
        <w:t xml:space="preserve"> </w:t>
      </w:r>
      <w:r>
        <w:rPr>
          <w:i/>
          <w:color w:val="454551"/>
          <w:sz w:val="18"/>
        </w:rPr>
        <w:t>y</w:t>
      </w:r>
      <w:r>
        <w:rPr>
          <w:i/>
          <w:color w:val="454551"/>
          <w:spacing w:val="-5"/>
          <w:sz w:val="18"/>
        </w:rPr>
        <w:t xml:space="preserve"> </w:t>
      </w:r>
      <w:r>
        <w:rPr>
          <w:i/>
          <w:color w:val="454551"/>
          <w:sz w:val="18"/>
        </w:rPr>
        <w:t>cotización</w:t>
      </w:r>
      <w:r>
        <w:rPr>
          <w:i/>
          <w:color w:val="454551"/>
          <w:spacing w:val="-3"/>
          <w:sz w:val="18"/>
        </w:rPr>
        <w:t xml:space="preserve"> </w:t>
      </w:r>
      <w:r>
        <w:rPr>
          <w:i/>
          <w:color w:val="454551"/>
          <w:sz w:val="18"/>
        </w:rPr>
        <w:t>a</w:t>
      </w:r>
      <w:r>
        <w:rPr>
          <w:i/>
          <w:color w:val="454551"/>
          <w:spacing w:val="-4"/>
          <w:sz w:val="18"/>
        </w:rPr>
        <w:t xml:space="preserve"> </w:t>
      </w:r>
      <w:r>
        <w:rPr>
          <w:i/>
          <w:color w:val="454551"/>
          <w:sz w:val="18"/>
        </w:rPr>
        <w:t>pensión</w:t>
      </w:r>
      <w:r>
        <w:rPr>
          <w:i/>
          <w:color w:val="454551"/>
          <w:spacing w:val="-3"/>
          <w:sz w:val="18"/>
        </w:rPr>
        <w:t xml:space="preserve"> </w:t>
      </w:r>
      <w:r>
        <w:rPr>
          <w:i/>
          <w:color w:val="454551"/>
          <w:sz w:val="18"/>
        </w:rPr>
        <w:t>entre</w:t>
      </w:r>
      <w:r>
        <w:rPr>
          <w:i/>
          <w:color w:val="454551"/>
          <w:spacing w:val="-4"/>
          <w:sz w:val="18"/>
        </w:rPr>
        <w:t xml:space="preserve"> </w:t>
      </w:r>
      <w:r>
        <w:rPr>
          <w:i/>
          <w:color w:val="454551"/>
          <w:sz w:val="18"/>
        </w:rPr>
        <w:t>personas</w:t>
      </w:r>
      <w:r>
        <w:rPr>
          <w:i/>
          <w:color w:val="454551"/>
          <w:spacing w:val="-5"/>
          <w:sz w:val="18"/>
        </w:rPr>
        <w:t xml:space="preserve"> </w:t>
      </w:r>
      <w:r>
        <w:rPr>
          <w:i/>
          <w:color w:val="454551"/>
          <w:sz w:val="18"/>
        </w:rPr>
        <w:t>con</w:t>
      </w:r>
      <w:r>
        <w:rPr>
          <w:i/>
          <w:color w:val="454551"/>
          <w:spacing w:val="-3"/>
          <w:sz w:val="18"/>
        </w:rPr>
        <w:t xml:space="preserve"> </w:t>
      </w:r>
      <w:r>
        <w:rPr>
          <w:i/>
          <w:color w:val="454551"/>
          <w:sz w:val="18"/>
        </w:rPr>
        <w:t>y</w:t>
      </w:r>
      <w:r>
        <w:rPr>
          <w:i/>
          <w:color w:val="454551"/>
          <w:spacing w:val="-5"/>
          <w:sz w:val="18"/>
        </w:rPr>
        <w:t xml:space="preserve"> </w:t>
      </w:r>
      <w:r>
        <w:rPr>
          <w:i/>
          <w:color w:val="454551"/>
          <w:sz w:val="18"/>
        </w:rPr>
        <w:t xml:space="preserve">sin </w:t>
      </w:r>
      <w:r>
        <w:rPr>
          <w:i/>
          <w:color w:val="454551"/>
          <w:spacing w:val="-2"/>
          <w:sz w:val="18"/>
        </w:rPr>
        <w:t>discapacidad</w:t>
      </w:r>
    </w:p>
    <w:p w14:paraId="64BA7F3D" w14:textId="77777777" w:rsidR="000E52B0" w:rsidRDefault="000E52B0">
      <w:pPr>
        <w:pStyle w:val="Textoindependiente"/>
        <w:spacing w:before="207"/>
        <w:ind w:left="0"/>
        <w:rPr>
          <w:i/>
          <w:sz w:val="18"/>
        </w:rPr>
      </w:pPr>
    </w:p>
    <w:p w14:paraId="61B028F1" w14:textId="77777777" w:rsidR="000E52B0" w:rsidRDefault="00F60D74">
      <w:pPr>
        <w:tabs>
          <w:tab w:val="left" w:pos="7211"/>
        </w:tabs>
        <w:ind w:left="4048"/>
        <w:rPr>
          <w:rFonts w:ascii="Trebuchet MS"/>
          <w:sz w:val="18"/>
        </w:rPr>
      </w:pPr>
      <w:r>
        <w:rPr>
          <w:rFonts w:ascii="Trebuchet MS"/>
          <w:color w:val="404040"/>
          <w:spacing w:val="-5"/>
          <w:w w:val="115"/>
          <w:position w:val="1"/>
          <w:sz w:val="18"/>
        </w:rPr>
        <w:t>50%</w:t>
      </w:r>
      <w:r>
        <w:rPr>
          <w:rFonts w:ascii="Trebuchet MS"/>
          <w:color w:val="404040"/>
          <w:position w:val="1"/>
          <w:sz w:val="18"/>
        </w:rPr>
        <w:tab/>
      </w:r>
      <w:r>
        <w:rPr>
          <w:rFonts w:ascii="Trebuchet MS"/>
          <w:color w:val="404040"/>
          <w:spacing w:val="-5"/>
          <w:w w:val="115"/>
          <w:sz w:val="18"/>
        </w:rPr>
        <w:t>50%</w:t>
      </w:r>
    </w:p>
    <w:p w14:paraId="3E1F80F7" w14:textId="77777777" w:rsidR="000E52B0" w:rsidRDefault="00F60D74">
      <w:pPr>
        <w:pStyle w:val="Textoindependiente"/>
        <w:spacing w:before="9"/>
        <w:ind w:left="0"/>
        <w:rPr>
          <w:rFonts w:ascii="Trebuchet MS"/>
          <w:sz w:val="5"/>
        </w:rPr>
      </w:pPr>
      <w:r>
        <w:rPr>
          <w:rFonts w:ascii="Trebuchet MS"/>
          <w:noProof/>
          <w:sz w:val="5"/>
        </w:rPr>
        <mc:AlternateContent>
          <mc:Choice Requires="wpg">
            <w:drawing>
              <wp:anchor distT="0" distB="0" distL="0" distR="0" simplePos="0" relativeHeight="487643648" behindDoc="1" locked="0" layoutInCell="1" allowOverlap="1" wp14:anchorId="2653AA8B" wp14:editId="72C25FC6">
                <wp:simplePos x="0" y="0"/>
                <wp:positionH relativeFrom="page">
                  <wp:posOffset>1767141</wp:posOffset>
                </wp:positionH>
                <wp:positionV relativeFrom="paragraph">
                  <wp:posOffset>58343</wp:posOffset>
                </wp:positionV>
                <wp:extent cx="4025900" cy="1471930"/>
                <wp:effectExtent l="0" t="0" r="0" b="0"/>
                <wp:wrapTopAndBottom/>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0" cy="1471930"/>
                          <a:chOff x="0" y="0"/>
                          <a:chExt cx="4025900" cy="1471930"/>
                        </a:xfrm>
                      </wpg:grpSpPr>
                      <wps:wsp>
                        <wps:cNvPr id="415" name="Graphic 415"/>
                        <wps:cNvSpPr/>
                        <wps:spPr>
                          <a:xfrm>
                            <a:off x="250634" y="0"/>
                            <a:ext cx="3238500" cy="1031240"/>
                          </a:xfrm>
                          <a:custGeom>
                            <a:avLst/>
                            <a:gdLst/>
                            <a:ahLst/>
                            <a:cxnLst/>
                            <a:rect l="l" t="t" r="r" b="b"/>
                            <a:pathLst>
                              <a:path w="3238500" h="1031240">
                                <a:moveTo>
                                  <a:pt x="225552" y="463296"/>
                                </a:moveTo>
                                <a:lnTo>
                                  <a:pt x="0" y="463296"/>
                                </a:lnTo>
                                <a:lnTo>
                                  <a:pt x="0" y="1030732"/>
                                </a:lnTo>
                                <a:lnTo>
                                  <a:pt x="225552" y="1030732"/>
                                </a:lnTo>
                                <a:lnTo>
                                  <a:pt x="225552" y="463296"/>
                                </a:lnTo>
                                <a:close/>
                              </a:path>
                              <a:path w="3238500" h="1031240">
                                <a:moveTo>
                                  <a:pt x="1229868" y="0"/>
                                </a:moveTo>
                                <a:lnTo>
                                  <a:pt x="1004316" y="0"/>
                                </a:lnTo>
                                <a:lnTo>
                                  <a:pt x="1004316" y="1030732"/>
                                </a:lnTo>
                                <a:lnTo>
                                  <a:pt x="1229868" y="1030732"/>
                                </a:lnTo>
                                <a:lnTo>
                                  <a:pt x="1229868" y="0"/>
                                </a:lnTo>
                                <a:close/>
                              </a:path>
                              <a:path w="3238500" h="1031240">
                                <a:moveTo>
                                  <a:pt x="2234184" y="574548"/>
                                </a:moveTo>
                                <a:lnTo>
                                  <a:pt x="2008632" y="574548"/>
                                </a:lnTo>
                                <a:lnTo>
                                  <a:pt x="2008632" y="1030732"/>
                                </a:lnTo>
                                <a:lnTo>
                                  <a:pt x="2234184" y="1030732"/>
                                </a:lnTo>
                                <a:lnTo>
                                  <a:pt x="2234184" y="574548"/>
                                </a:lnTo>
                                <a:close/>
                              </a:path>
                              <a:path w="3238500" h="1031240">
                                <a:moveTo>
                                  <a:pt x="3238500" y="6096"/>
                                </a:moveTo>
                                <a:lnTo>
                                  <a:pt x="3012948" y="6096"/>
                                </a:lnTo>
                                <a:lnTo>
                                  <a:pt x="3012948" y="1030732"/>
                                </a:lnTo>
                                <a:lnTo>
                                  <a:pt x="3238500" y="1030732"/>
                                </a:lnTo>
                                <a:lnTo>
                                  <a:pt x="3238500" y="6096"/>
                                </a:lnTo>
                                <a:close/>
                              </a:path>
                            </a:pathLst>
                          </a:custGeom>
                          <a:solidFill>
                            <a:srgbClr val="E22C91"/>
                          </a:solidFill>
                        </wps:spPr>
                        <wps:bodyPr wrap="square" lIns="0" tIns="0" rIns="0" bIns="0" rtlCol="0">
                          <a:prstTxWarp prst="textNoShape">
                            <a:avLst/>
                          </a:prstTxWarp>
                          <a:noAutofit/>
                        </wps:bodyPr>
                      </wps:wsp>
                      <wps:wsp>
                        <wps:cNvPr id="416" name="Graphic 416"/>
                        <wps:cNvSpPr/>
                        <wps:spPr>
                          <a:xfrm>
                            <a:off x="537146" y="562355"/>
                            <a:ext cx="3237230" cy="468630"/>
                          </a:xfrm>
                          <a:custGeom>
                            <a:avLst/>
                            <a:gdLst/>
                            <a:ahLst/>
                            <a:cxnLst/>
                            <a:rect l="l" t="t" r="r" b="b"/>
                            <a:pathLst>
                              <a:path w="3237230" h="468630">
                                <a:moveTo>
                                  <a:pt x="225552" y="263652"/>
                                </a:moveTo>
                                <a:lnTo>
                                  <a:pt x="0" y="263652"/>
                                </a:lnTo>
                                <a:lnTo>
                                  <a:pt x="0" y="468376"/>
                                </a:lnTo>
                                <a:lnTo>
                                  <a:pt x="225552" y="468376"/>
                                </a:lnTo>
                                <a:lnTo>
                                  <a:pt x="225552" y="263652"/>
                                </a:lnTo>
                                <a:close/>
                              </a:path>
                              <a:path w="3237230" h="468630">
                                <a:moveTo>
                                  <a:pt x="1229868" y="21336"/>
                                </a:moveTo>
                                <a:lnTo>
                                  <a:pt x="1004303" y="21336"/>
                                </a:lnTo>
                                <a:lnTo>
                                  <a:pt x="1004303" y="468376"/>
                                </a:lnTo>
                                <a:lnTo>
                                  <a:pt x="1229868" y="468376"/>
                                </a:lnTo>
                                <a:lnTo>
                                  <a:pt x="1229868" y="21336"/>
                                </a:lnTo>
                                <a:close/>
                              </a:path>
                              <a:path w="3237230" h="468630">
                                <a:moveTo>
                                  <a:pt x="2234184" y="265176"/>
                                </a:moveTo>
                                <a:lnTo>
                                  <a:pt x="2008632" y="265176"/>
                                </a:lnTo>
                                <a:lnTo>
                                  <a:pt x="2008632" y="468376"/>
                                </a:lnTo>
                                <a:lnTo>
                                  <a:pt x="2234184" y="468376"/>
                                </a:lnTo>
                                <a:lnTo>
                                  <a:pt x="2234184" y="265176"/>
                                </a:lnTo>
                                <a:close/>
                              </a:path>
                              <a:path w="3237230" h="468630">
                                <a:moveTo>
                                  <a:pt x="3236976" y="0"/>
                                </a:moveTo>
                                <a:lnTo>
                                  <a:pt x="3012948" y="0"/>
                                </a:lnTo>
                                <a:lnTo>
                                  <a:pt x="3012948" y="468376"/>
                                </a:lnTo>
                                <a:lnTo>
                                  <a:pt x="3236976" y="468376"/>
                                </a:lnTo>
                                <a:lnTo>
                                  <a:pt x="3236976" y="0"/>
                                </a:lnTo>
                                <a:close/>
                              </a:path>
                            </a:pathLst>
                          </a:custGeom>
                          <a:solidFill>
                            <a:srgbClr val="FFC000"/>
                          </a:solidFill>
                        </wps:spPr>
                        <wps:bodyPr wrap="square" lIns="0" tIns="0" rIns="0" bIns="0" rtlCol="0">
                          <a:prstTxWarp prst="textNoShape">
                            <a:avLst/>
                          </a:prstTxWarp>
                          <a:noAutofit/>
                        </wps:bodyPr>
                      </wps:wsp>
                      <wps:wsp>
                        <wps:cNvPr id="417" name="Graphic 417"/>
                        <wps:cNvSpPr/>
                        <wps:spPr>
                          <a:xfrm>
                            <a:off x="4762" y="1030732"/>
                            <a:ext cx="4016375" cy="441325"/>
                          </a:xfrm>
                          <a:custGeom>
                            <a:avLst/>
                            <a:gdLst/>
                            <a:ahLst/>
                            <a:cxnLst/>
                            <a:rect l="l" t="t" r="r" b="b"/>
                            <a:pathLst>
                              <a:path w="4016375" h="441325">
                                <a:moveTo>
                                  <a:pt x="0" y="0"/>
                                </a:moveTo>
                                <a:lnTo>
                                  <a:pt x="4016375" y="0"/>
                                </a:lnTo>
                              </a:path>
                              <a:path w="4016375" h="441325">
                                <a:moveTo>
                                  <a:pt x="0" y="0"/>
                                </a:moveTo>
                                <a:lnTo>
                                  <a:pt x="0" y="220599"/>
                                </a:lnTo>
                              </a:path>
                              <a:path w="4016375" h="441325">
                                <a:moveTo>
                                  <a:pt x="2007616" y="0"/>
                                </a:moveTo>
                                <a:lnTo>
                                  <a:pt x="2007616" y="220599"/>
                                </a:lnTo>
                              </a:path>
                              <a:path w="4016375" h="441325">
                                <a:moveTo>
                                  <a:pt x="4016375" y="0"/>
                                </a:moveTo>
                                <a:lnTo>
                                  <a:pt x="4016375" y="220599"/>
                                </a:lnTo>
                              </a:path>
                              <a:path w="4016375" h="441325">
                                <a:moveTo>
                                  <a:pt x="0" y="220599"/>
                                </a:moveTo>
                                <a:lnTo>
                                  <a:pt x="0" y="441198"/>
                                </a:lnTo>
                              </a:path>
                              <a:path w="4016375" h="441325">
                                <a:moveTo>
                                  <a:pt x="2007616" y="220599"/>
                                </a:moveTo>
                                <a:lnTo>
                                  <a:pt x="2007616" y="441198"/>
                                </a:lnTo>
                              </a:path>
                              <a:path w="4016375" h="441325">
                                <a:moveTo>
                                  <a:pt x="4016375" y="220599"/>
                                </a:moveTo>
                                <a:lnTo>
                                  <a:pt x="4016375" y="441198"/>
                                </a:lnTo>
                              </a:path>
                            </a:pathLst>
                          </a:custGeom>
                          <a:ln w="9525">
                            <a:solidFill>
                              <a:srgbClr val="D9D9D9"/>
                            </a:solidFill>
                            <a:prstDash val="solid"/>
                          </a:ln>
                        </wps:spPr>
                        <wps:bodyPr wrap="square" lIns="0" tIns="0" rIns="0" bIns="0" rtlCol="0">
                          <a:prstTxWarp prst="textNoShape">
                            <a:avLst/>
                          </a:prstTxWarp>
                          <a:noAutofit/>
                        </wps:bodyPr>
                      </wps:wsp>
                      <wps:wsp>
                        <wps:cNvPr id="418" name="Textbox 418"/>
                        <wps:cNvSpPr txBox="1"/>
                        <wps:spPr>
                          <a:xfrm>
                            <a:off x="256476" y="267326"/>
                            <a:ext cx="229235" cy="139700"/>
                          </a:xfrm>
                          <a:prstGeom prst="rect">
                            <a:avLst/>
                          </a:prstGeom>
                        </wps:spPr>
                        <wps:txbx>
                          <w:txbxContent>
                            <w:p w14:paraId="0F52CA02" w14:textId="77777777" w:rsidR="000E52B0" w:rsidRDefault="00F60D74">
                              <w:pPr>
                                <w:rPr>
                                  <w:rFonts w:ascii="Trebuchet MS"/>
                                  <w:sz w:val="18"/>
                                </w:rPr>
                              </w:pPr>
                              <w:r>
                                <w:rPr>
                                  <w:rFonts w:ascii="Trebuchet MS"/>
                                  <w:color w:val="404040"/>
                                  <w:spacing w:val="-5"/>
                                  <w:w w:val="115"/>
                                  <w:sz w:val="18"/>
                                </w:rPr>
                                <w:t>28%</w:t>
                              </w:r>
                            </w:p>
                          </w:txbxContent>
                        </wps:txbx>
                        <wps:bodyPr wrap="square" lIns="0" tIns="0" rIns="0" bIns="0" rtlCol="0">
                          <a:noAutofit/>
                        </wps:bodyPr>
                      </wps:wsp>
                      <wps:wsp>
                        <wps:cNvPr id="419" name="Textbox 419"/>
                        <wps:cNvSpPr txBox="1"/>
                        <wps:spPr>
                          <a:xfrm>
                            <a:off x="1546669" y="386452"/>
                            <a:ext cx="229235" cy="139700"/>
                          </a:xfrm>
                          <a:prstGeom prst="rect">
                            <a:avLst/>
                          </a:prstGeom>
                        </wps:spPr>
                        <wps:txbx>
                          <w:txbxContent>
                            <w:p w14:paraId="3D431048" w14:textId="77777777" w:rsidR="000E52B0" w:rsidRDefault="00F60D74">
                              <w:pPr>
                                <w:rPr>
                                  <w:rFonts w:ascii="Trebuchet MS"/>
                                  <w:sz w:val="18"/>
                                </w:rPr>
                              </w:pPr>
                              <w:r>
                                <w:rPr>
                                  <w:rFonts w:ascii="Trebuchet MS"/>
                                  <w:color w:val="404040"/>
                                  <w:spacing w:val="-5"/>
                                  <w:w w:val="115"/>
                                  <w:sz w:val="18"/>
                                </w:rPr>
                                <w:t>22%</w:t>
                              </w:r>
                            </w:p>
                          </w:txbxContent>
                        </wps:txbx>
                        <wps:bodyPr wrap="square" lIns="0" tIns="0" rIns="0" bIns="0" rtlCol="0">
                          <a:noAutofit/>
                        </wps:bodyPr>
                      </wps:wsp>
                      <wps:wsp>
                        <wps:cNvPr id="420" name="Textbox 420"/>
                        <wps:cNvSpPr txBox="1"/>
                        <wps:spPr>
                          <a:xfrm>
                            <a:off x="2265108" y="378197"/>
                            <a:ext cx="229235" cy="139700"/>
                          </a:xfrm>
                          <a:prstGeom prst="rect">
                            <a:avLst/>
                          </a:prstGeom>
                        </wps:spPr>
                        <wps:txbx>
                          <w:txbxContent>
                            <w:p w14:paraId="02924261" w14:textId="77777777" w:rsidR="000E52B0" w:rsidRDefault="00F60D74">
                              <w:pPr>
                                <w:rPr>
                                  <w:rFonts w:ascii="Trebuchet MS"/>
                                  <w:sz w:val="18"/>
                                </w:rPr>
                              </w:pPr>
                              <w:r>
                                <w:rPr>
                                  <w:rFonts w:ascii="Trebuchet MS"/>
                                  <w:color w:val="404040"/>
                                  <w:spacing w:val="-5"/>
                                  <w:w w:val="115"/>
                                  <w:sz w:val="18"/>
                                </w:rPr>
                                <w:t>22%</w:t>
                              </w:r>
                            </w:p>
                          </w:txbxContent>
                        </wps:txbx>
                        <wps:bodyPr wrap="square" lIns="0" tIns="0" rIns="0" bIns="0" rtlCol="0">
                          <a:noAutofit/>
                        </wps:bodyPr>
                      </wps:wsp>
                      <wps:wsp>
                        <wps:cNvPr id="421" name="Textbox 421"/>
                        <wps:cNvSpPr txBox="1"/>
                        <wps:spPr>
                          <a:xfrm>
                            <a:off x="3555301" y="365751"/>
                            <a:ext cx="229235" cy="139700"/>
                          </a:xfrm>
                          <a:prstGeom prst="rect">
                            <a:avLst/>
                          </a:prstGeom>
                        </wps:spPr>
                        <wps:txbx>
                          <w:txbxContent>
                            <w:p w14:paraId="3DEF0BDC" w14:textId="77777777" w:rsidR="000E52B0" w:rsidRDefault="00F60D74">
                              <w:pPr>
                                <w:rPr>
                                  <w:rFonts w:ascii="Trebuchet MS"/>
                                  <w:sz w:val="18"/>
                                </w:rPr>
                              </w:pPr>
                              <w:r>
                                <w:rPr>
                                  <w:rFonts w:ascii="Trebuchet MS"/>
                                  <w:color w:val="404040"/>
                                  <w:spacing w:val="-5"/>
                                  <w:w w:val="115"/>
                                  <w:sz w:val="18"/>
                                </w:rPr>
                                <w:t>23%</w:t>
                              </w:r>
                            </w:p>
                          </w:txbxContent>
                        </wps:txbx>
                        <wps:bodyPr wrap="square" lIns="0" tIns="0" rIns="0" bIns="0" rtlCol="0">
                          <a:noAutofit/>
                        </wps:bodyPr>
                      </wps:wsp>
                      <wps:wsp>
                        <wps:cNvPr id="422" name="Textbox 422"/>
                        <wps:cNvSpPr txBox="1"/>
                        <wps:spPr>
                          <a:xfrm>
                            <a:off x="542353" y="628768"/>
                            <a:ext cx="229235" cy="139700"/>
                          </a:xfrm>
                          <a:prstGeom prst="rect">
                            <a:avLst/>
                          </a:prstGeom>
                        </wps:spPr>
                        <wps:txbx>
                          <w:txbxContent>
                            <w:p w14:paraId="18F13706" w14:textId="77777777" w:rsidR="000E52B0" w:rsidRDefault="00F60D74">
                              <w:pPr>
                                <w:rPr>
                                  <w:rFonts w:ascii="Trebuchet MS"/>
                                  <w:sz w:val="18"/>
                                </w:rPr>
                              </w:pPr>
                              <w:r>
                                <w:rPr>
                                  <w:rFonts w:ascii="Trebuchet MS"/>
                                  <w:color w:val="404040"/>
                                  <w:spacing w:val="-5"/>
                                  <w:w w:val="115"/>
                                  <w:sz w:val="18"/>
                                </w:rPr>
                                <w:t>10%</w:t>
                              </w:r>
                            </w:p>
                          </w:txbxContent>
                        </wps:txbx>
                        <wps:bodyPr wrap="square" lIns="0" tIns="0" rIns="0" bIns="0" rtlCol="0">
                          <a:noAutofit/>
                        </wps:bodyPr>
                      </wps:wsp>
                      <wps:wsp>
                        <wps:cNvPr id="423" name="Textbox 423"/>
                        <wps:cNvSpPr txBox="1"/>
                        <wps:spPr>
                          <a:xfrm>
                            <a:off x="2550985" y="630546"/>
                            <a:ext cx="229235" cy="139700"/>
                          </a:xfrm>
                          <a:prstGeom prst="rect">
                            <a:avLst/>
                          </a:prstGeom>
                        </wps:spPr>
                        <wps:txbx>
                          <w:txbxContent>
                            <w:p w14:paraId="284D1CE3" w14:textId="77777777" w:rsidR="000E52B0" w:rsidRDefault="00F60D74">
                              <w:pPr>
                                <w:rPr>
                                  <w:rFonts w:ascii="Trebuchet MS"/>
                                  <w:sz w:val="18"/>
                                </w:rPr>
                              </w:pPr>
                              <w:r>
                                <w:rPr>
                                  <w:rFonts w:ascii="Trebuchet MS"/>
                                  <w:color w:val="404040"/>
                                  <w:spacing w:val="-5"/>
                                  <w:w w:val="115"/>
                                  <w:sz w:val="18"/>
                                </w:rPr>
                                <w:t>10%</w:t>
                              </w:r>
                            </w:p>
                          </w:txbxContent>
                        </wps:txbx>
                        <wps:bodyPr wrap="square" lIns="0" tIns="0" rIns="0" bIns="0" rtlCol="0">
                          <a:noAutofit/>
                        </wps:bodyPr>
                      </wps:wsp>
                      <wps:wsp>
                        <wps:cNvPr id="424" name="Textbox 424"/>
                        <wps:cNvSpPr txBox="1"/>
                        <wps:spPr>
                          <a:xfrm>
                            <a:off x="58610" y="1102478"/>
                            <a:ext cx="3898265" cy="360045"/>
                          </a:xfrm>
                          <a:prstGeom prst="rect">
                            <a:avLst/>
                          </a:prstGeom>
                        </wps:spPr>
                        <wps:txbx>
                          <w:txbxContent>
                            <w:p w14:paraId="61705BE0" w14:textId="77777777" w:rsidR="000E52B0" w:rsidRDefault="00F60D74">
                              <w:pPr>
                                <w:tabs>
                                  <w:tab w:val="left" w:pos="1621"/>
                                  <w:tab w:val="left" w:pos="3163"/>
                                  <w:tab w:val="left" w:pos="4784"/>
                                </w:tabs>
                                <w:ind w:right="18"/>
                                <w:jc w:val="center"/>
                                <w:rPr>
                                  <w:rFonts w:ascii="Trebuchet MS"/>
                                  <w:sz w:val="18"/>
                                </w:rPr>
                              </w:pPr>
                              <w:r>
                                <w:rPr>
                                  <w:rFonts w:ascii="Trebuchet MS"/>
                                  <w:color w:val="585858"/>
                                  <w:sz w:val="18"/>
                                </w:rPr>
                                <w:t xml:space="preserve">Con </w:t>
                              </w:r>
                              <w:r>
                                <w:rPr>
                                  <w:rFonts w:ascii="Trebuchet MS"/>
                                  <w:color w:val="585858"/>
                                  <w:spacing w:val="-2"/>
                                  <w:sz w:val="18"/>
                                </w:rPr>
                                <w:t>discapacidad</w:t>
                              </w:r>
                              <w:r>
                                <w:rPr>
                                  <w:rFonts w:ascii="Trebuchet MS"/>
                                  <w:color w:val="585858"/>
                                  <w:sz w:val="18"/>
                                </w:rPr>
                                <w:tab/>
                                <w:t>Sin</w:t>
                              </w:r>
                              <w:r>
                                <w:rPr>
                                  <w:rFonts w:ascii="Trebuchet MS"/>
                                  <w:color w:val="585858"/>
                                  <w:spacing w:val="-13"/>
                                  <w:sz w:val="18"/>
                                </w:rPr>
                                <w:t xml:space="preserve"> </w:t>
                              </w:r>
                              <w:r>
                                <w:rPr>
                                  <w:rFonts w:ascii="Trebuchet MS"/>
                                  <w:color w:val="585858"/>
                                  <w:spacing w:val="-2"/>
                                  <w:sz w:val="18"/>
                                </w:rPr>
                                <w:t>discapacidad</w:t>
                              </w:r>
                              <w:r>
                                <w:rPr>
                                  <w:rFonts w:ascii="Trebuchet MS"/>
                                  <w:color w:val="585858"/>
                                  <w:sz w:val="18"/>
                                </w:rPr>
                                <w:tab/>
                                <w:t xml:space="preserve">Con </w:t>
                              </w:r>
                              <w:r>
                                <w:rPr>
                                  <w:rFonts w:ascii="Trebuchet MS"/>
                                  <w:color w:val="585858"/>
                                  <w:spacing w:val="-2"/>
                                  <w:sz w:val="18"/>
                                </w:rPr>
                                <w:t>discapacidad</w:t>
                              </w:r>
                              <w:r>
                                <w:rPr>
                                  <w:rFonts w:ascii="Trebuchet MS"/>
                                  <w:color w:val="585858"/>
                                  <w:sz w:val="18"/>
                                </w:rPr>
                                <w:tab/>
                                <w:t>Sin</w:t>
                              </w:r>
                              <w:r>
                                <w:rPr>
                                  <w:rFonts w:ascii="Trebuchet MS"/>
                                  <w:color w:val="585858"/>
                                  <w:spacing w:val="-13"/>
                                  <w:sz w:val="18"/>
                                </w:rPr>
                                <w:t xml:space="preserve"> </w:t>
                              </w:r>
                              <w:r>
                                <w:rPr>
                                  <w:rFonts w:ascii="Trebuchet MS"/>
                                  <w:color w:val="585858"/>
                                  <w:spacing w:val="-2"/>
                                  <w:sz w:val="18"/>
                                </w:rPr>
                                <w:t>discapacidad</w:t>
                              </w:r>
                            </w:p>
                            <w:p w14:paraId="2E81895A" w14:textId="77777777" w:rsidR="000E52B0" w:rsidRDefault="00F60D74">
                              <w:pPr>
                                <w:tabs>
                                  <w:tab w:val="left" w:pos="3182"/>
                                </w:tabs>
                                <w:spacing w:before="138"/>
                                <w:ind w:left="19"/>
                                <w:jc w:val="center"/>
                                <w:rPr>
                                  <w:rFonts w:ascii="Trebuchet MS"/>
                                  <w:sz w:val="18"/>
                                </w:rPr>
                              </w:pPr>
                              <w:r>
                                <w:rPr>
                                  <w:rFonts w:ascii="Trebuchet MS"/>
                                  <w:color w:val="585858"/>
                                  <w:w w:val="105"/>
                                  <w:sz w:val="18"/>
                                </w:rPr>
                                <w:t>ECV</w:t>
                              </w:r>
                              <w:r>
                                <w:rPr>
                                  <w:rFonts w:ascii="Trebuchet MS"/>
                                  <w:color w:val="585858"/>
                                  <w:spacing w:val="-20"/>
                                  <w:w w:val="105"/>
                                  <w:sz w:val="18"/>
                                </w:rPr>
                                <w:t xml:space="preserve"> </w:t>
                              </w:r>
                              <w:r>
                                <w:rPr>
                                  <w:rFonts w:ascii="Trebuchet MS"/>
                                  <w:color w:val="585858"/>
                                  <w:spacing w:val="-4"/>
                                  <w:w w:val="105"/>
                                  <w:sz w:val="18"/>
                                </w:rPr>
                                <w:t>2020</w:t>
                              </w:r>
                              <w:r>
                                <w:rPr>
                                  <w:rFonts w:ascii="Trebuchet MS"/>
                                  <w:color w:val="585858"/>
                                  <w:sz w:val="18"/>
                                </w:rPr>
                                <w:tab/>
                              </w:r>
                              <w:r>
                                <w:rPr>
                                  <w:rFonts w:ascii="Trebuchet MS"/>
                                  <w:color w:val="585858"/>
                                  <w:w w:val="105"/>
                                  <w:sz w:val="18"/>
                                </w:rPr>
                                <w:t>ECV</w:t>
                              </w:r>
                              <w:r>
                                <w:rPr>
                                  <w:rFonts w:ascii="Trebuchet MS"/>
                                  <w:color w:val="585858"/>
                                  <w:spacing w:val="-20"/>
                                  <w:w w:val="105"/>
                                  <w:sz w:val="18"/>
                                </w:rPr>
                                <w:t xml:space="preserve"> </w:t>
                              </w:r>
                              <w:r>
                                <w:rPr>
                                  <w:rFonts w:ascii="Trebuchet MS"/>
                                  <w:color w:val="585858"/>
                                  <w:spacing w:val="-4"/>
                                  <w:w w:val="105"/>
                                  <w:sz w:val="18"/>
                                </w:rPr>
                                <w:t>2022</w:t>
                              </w:r>
                            </w:p>
                          </w:txbxContent>
                        </wps:txbx>
                        <wps:bodyPr wrap="square" lIns="0" tIns="0" rIns="0" bIns="0" rtlCol="0">
                          <a:noAutofit/>
                        </wps:bodyPr>
                      </wps:wsp>
                    </wpg:wgp>
                  </a:graphicData>
                </a:graphic>
              </wp:anchor>
            </w:drawing>
          </mc:Choice>
          <mc:Fallback>
            <w:pict>
              <v:group w14:anchorId="2653AA8B" id="Group 414" o:spid="_x0000_s1240" style="position:absolute;margin-left:139.15pt;margin-top:4.6pt;width:317pt;height:115.9pt;z-index:-15672832;mso-wrap-distance-left:0;mso-wrap-distance-right:0;mso-position-horizontal-relative:page;mso-position-vertical-relative:text" coordsize="40259,1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">
                <v:shape id="Graphic 415" o:spid="_x0000_s1241" style="position:absolute;left:2506;width:32385;height:10312;visibility:visible;mso-wrap-style:square;v-text-anchor:top" coordsize="3238500,10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" path="m225552,463296l,463296r,567436l225552,1030732r,-567436xem1229868,l1004316,r,1030732l1229868,1030732,1229868,xem2234184,574548r-225552,l2008632,1030732r225552,l2234184,574548xem3238500,6096r-225552,l3012948,1030732r225552,l3238500,6096xe" fillcolor="#e22c91" stroked="f">
                  <v:path arrowok="t"/>
                </v:shape>
                <v:shape id="Graphic 416" o:spid="_x0000_s1242" style="position:absolute;left:5371;top:5623;width:32372;height:4686;visibility:visible;mso-wrap-style:square;v-text-anchor:top" coordsize="3237230,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" path="m225552,263652l,263652,,468376r225552,l225552,263652xem1229868,21336r-225565,l1004303,468376r225565,l1229868,21336xem2234184,265176r-225552,l2008632,468376r225552,l2234184,265176xem3236976,l3012948,r,468376l3236976,468376,3236976,xe" fillcolor="#ffc000" stroked="f">
                  <v:path arrowok="t"/>
                </v:shape>
                <v:shape id="Graphic 417" o:spid="_x0000_s1243" style="position:absolute;left:47;top:10307;width:40164;height:4413;visibility:visible;mso-wrap-style:square;v-text-anchor:top" coordsize="4016375,44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" path="m,l4016375,em,l,220599em2007616,r,220599em4016375,r,220599em,220599l,441198em2007616,220599r,220599em4016375,220599r,220599e" filled="f" strokecolor="#d9d9d9">
                  <v:path arrowok="t"/>
                </v:shape>
                <v:shape id="Textbox 418" o:spid="_x0000_s1244" type="#_x0000_t202" style="position:absolute;left:2564;top:2673;width:229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0F52CA02" w14:textId="77777777" w:rsidR="000E52B0" w:rsidRDefault="00F60D74">
                        <w:pPr>
                          <w:rPr>
                            <w:rFonts w:ascii="Trebuchet MS"/>
                            <w:sz w:val="18"/>
                          </w:rPr>
                        </w:pPr>
                        <w:r>
                          <w:rPr>
                            <w:rFonts w:ascii="Trebuchet MS"/>
                            <w:color w:val="404040"/>
                            <w:spacing w:val="-5"/>
                            <w:w w:val="115"/>
                            <w:sz w:val="18"/>
                          </w:rPr>
                          <w:t>28%</w:t>
                        </w:r>
                      </w:p>
                    </w:txbxContent>
                  </v:textbox>
                </v:shape>
                <v:shape id="Textbox 419" o:spid="_x0000_s1245" type="#_x0000_t202" style="position:absolute;left:15466;top:3864;width:229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3D431048" w14:textId="77777777" w:rsidR="000E52B0" w:rsidRDefault="00F60D74">
                        <w:pPr>
                          <w:rPr>
                            <w:rFonts w:ascii="Trebuchet MS"/>
                            <w:sz w:val="18"/>
                          </w:rPr>
                        </w:pPr>
                        <w:r>
                          <w:rPr>
                            <w:rFonts w:ascii="Trebuchet MS"/>
                            <w:color w:val="404040"/>
                            <w:spacing w:val="-5"/>
                            <w:w w:val="115"/>
                            <w:sz w:val="18"/>
                          </w:rPr>
                          <w:t>22%</w:t>
                        </w:r>
                      </w:p>
                    </w:txbxContent>
                  </v:textbox>
                </v:shape>
                <v:shape id="Textbox 420" o:spid="_x0000_s1246" type="#_x0000_t202" style="position:absolute;left:22651;top:3781;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02924261" w14:textId="77777777" w:rsidR="000E52B0" w:rsidRDefault="00F60D74">
                        <w:pPr>
                          <w:rPr>
                            <w:rFonts w:ascii="Trebuchet MS"/>
                            <w:sz w:val="18"/>
                          </w:rPr>
                        </w:pPr>
                        <w:r>
                          <w:rPr>
                            <w:rFonts w:ascii="Trebuchet MS"/>
                            <w:color w:val="404040"/>
                            <w:spacing w:val="-5"/>
                            <w:w w:val="115"/>
                            <w:sz w:val="18"/>
                          </w:rPr>
                          <w:t>22%</w:t>
                        </w:r>
                      </w:p>
                    </w:txbxContent>
                  </v:textbox>
                </v:shape>
                <v:shape id="Textbox 421" o:spid="_x0000_s1247" type="#_x0000_t202" style="position:absolute;left:35553;top:3657;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3DEF0BDC" w14:textId="77777777" w:rsidR="000E52B0" w:rsidRDefault="00F60D74">
                        <w:pPr>
                          <w:rPr>
                            <w:rFonts w:ascii="Trebuchet MS"/>
                            <w:sz w:val="18"/>
                          </w:rPr>
                        </w:pPr>
                        <w:r>
                          <w:rPr>
                            <w:rFonts w:ascii="Trebuchet MS"/>
                            <w:color w:val="404040"/>
                            <w:spacing w:val="-5"/>
                            <w:w w:val="115"/>
                            <w:sz w:val="18"/>
                          </w:rPr>
                          <w:t>23%</w:t>
                        </w:r>
                      </w:p>
                    </w:txbxContent>
                  </v:textbox>
                </v:shape>
                <v:shape id="Textbox 422" o:spid="_x0000_s1248" type="#_x0000_t202" style="position:absolute;left:5423;top:6287;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18F13706" w14:textId="77777777" w:rsidR="000E52B0" w:rsidRDefault="00F60D74">
                        <w:pPr>
                          <w:rPr>
                            <w:rFonts w:ascii="Trebuchet MS"/>
                            <w:sz w:val="18"/>
                          </w:rPr>
                        </w:pPr>
                        <w:r>
                          <w:rPr>
                            <w:rFonts w:ascii="Trebuchet MS"/>
                            <w:color w:val="404040"/>
                            <w:spacing w:val="-5"/>
                            <w:w w:val="115"/>
                            <w:sz w:val="18"/>
                          </w:rPr>
                          <w:t>10%</w:t>
                        </w:r>
                      </w:p>
                    </w:txbxContent>
                  </v:textbox>
                </v:shape>
                <v:shape id="Textbox 423" o:spid="_x0000_s1249" type="#_x0000_t202" style="position:absolute;left:25509;top:6305;width:229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284D1CE3" w14:textId="77777777" w:rsidR="000E52B0" w:rsidRDefault="00F60D74">
                        <w:pPr>
                          <w:rPr>
                            <w:rFonts w:ascii="Trebuchet MS"/>
                            <w:sz w:val="18"/>
                          </w:rPr>
                        </w:pPr>
                        <w:r>
                          <w:rPr>
                            <w:rFonts w:ascii="Trebuchet MS"/>
                            <w:color w:val="404040"/>
                            <w:spacing w:val="-5"/>
                            <w:w w:val="115"/>
                            <w:sz w:val="18"/>
                          </w:rPr>
                          <w:t>10%</w:t>
                        </w:r>
                      </w:p>
                    </w:txbxContent>
                  </v:textbox>
                </v:shape>
                <v:shape id="Textbox 424" o:spid="_x0000_s1250" type="#_x0000_t202" style="position:absolute;left:586;top:11024;width:38982;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61705BE0" w14:textId="77777777" w:rsidR="000E52B0" w:rsidRDefault="00F60D74">
                        <w:pPr>
                          <w:tabs>
                            <w:tab w:val="left" w:pos="1621"/>
                            <w:tab w:val="left" w:pos="3163"/>
                            <w:tab w:val="left" w:pos="4784"/>
                          </w:tabs>
                          <w:ind w:right="18"/>
                          <w:jc w:val="center"/>
                          <w:rPr>
                            <w:rFonts w:ascii="Trebuchet MS"/>
                            <w:sz w:val="18"/>
                          </w:rPr>
                        </w:pPr>
                        <w:r>
                          <w:rPr>
                            <w:rFonts w:ascii="Trebuchet MS"/>
                            <w:color w:val="585858"/>
                            <w:sz w:val="18"/>
                          </w:rPr>
                          <w:t xml:space="preserve">Con </w:t>
                        </w:r>
                        <w:r>
                          <w:rPr>
                            <w:rFonts w:ascii="Trebuchet MS"/>
                            <w:color w:val="585858"/>
                            <w:spacing w:val="-2"/>
                            <w:sz w:val="18"/>
                          </w:rPr>
                          <w:t>discapacidad</w:t>
                        </w:r>
                        <w:r>
                          <w:rPr>
                            <w:rFonts w:ascii="Trebuchet MS"/>
                            <w:color w:val="585858"/>
                            <w:sz w:val="18"/>
                          </w:rPr>
                          <w:tab/>
                          <w:t>Sin</w:t>
                        </w:r>
                        <w:r>
                          <w:rPr>
                            <w:rFonts w:ascii="Trebuchet MS"/>
                            <w:color w:val="585858"/>
                            <w:spacing w:val="-13"/>
                            <w:sz w:val="18"/>
                          </w:rPr>
                          <w:t xml:space="preserve"> </w:t>
                        </w:r>
                        <w:r>
                          <w:rPr>
                            <w:rFonts w:ascii="Trebuchet MS"/>
                            <w:color w:val="585858"/>
                            <w:spacing w:val="-2"/>
                            <w:sz w:val="18"/>
                          </w:rPr>
                          <w:t>discapacidad</w:t>
                        </w:r>
                        <w:r>
                          <w:rPr>
                            <w:rFonts w:ascii="Trebuchet MS"/>
                            <w:color w:val="585858"/>
                            <w:sz w:val="18"/>
                          </w:rPr>
                          <w:tab/>
                          <w:t xml:space="preserve">Con </w:t>
                        </w:r>
                        <w:r>
                          <w:rPr>
                            <w:rFonts w:ascii="Trebuchet MS"/>
                            <w:color w:val="585858"/>
                            <w:spacing w:val="-2"/>
                            <w:sz w:val="18"/>
                          </w:rPr>
                          <w:t>discapacidad</w:t>
                        </w:r>
                        <w:r>
                          <w:rPr>
                            <w:rFonts w:ascii="Trebuchet MS"/>
                            <w:color w:val="585858"/>
                            <w:sz w:val="18"/>
                          </w:rPr>
                          <w:tab/>
                          <w:t>Sin</w:t>
                        </w:r>
                        <w:r>
                          <w:rPr>
                            <w:rFonts w:ascii="Trebuchet MS"/>
                            <w:color w:val="585858"/>
                            <w:spacing w:val="-13"/>
                            <w:sz w:val="18"/>
                          </w:rPr>
                          <w:t xml:space="preserve"> </w:t>
                        </w:r>
                        <w:r>
                          <w:rPr>
                            <w:rFonts w:ascii="Trebuchet MS"/>
                            <w:color w:val="585858"/>
                            <w:spacing w:val="-2"/>
                            <w:sz w:val="18"/>
                          </w:rPr>
                          <w:t>discapacidad</w:t>
                        </w:r>
                      </w:p>
                      <w:p w14:paraId="2E81895A" w14:textId="77777777" w:rsidR="000E52B0" w:rsidRDefault="00F60D74">
                        <w:pPr>
                          <w:tabs>
                            <w:tab w:val="left" w:pos="3182"/>
                          </w:tabs>
                          <w:spacing w:before="138"/>
                          <w:ind w:left="19"/>
                          <w:jc w:val="center"/>
                          <w:rPr>
                            <w:rFonts w:ascii="Trebuchet MS"/>
                            <w:sz w:val="18"/>
                          </w:rPr>
                        </w:pPr>
                        <w:r>
                          <w:rPr>
                            <w:rFonts w:ascii="Trebuchet MS"/>
                            <w:color w:val="585858"/>
                            <w:w w:val="105"/>
                            <w:sz w:val="18"/>
                          </w:rPr>
                          <w:t>ECV</w:t>
                        </w:r>
                        <w:r>
                          <w:rPr>
                            <w:rFonts w:ascii="Trebuchet MS"/>
                            <w:color w:val="585858"/>
                            <w:spacing w:val="-20"/>
                            <w:w w:val="105"/>
                            <w:sz w:val="18"/>
                          </w:rPr>
                          <w:t xml:space="preserve"> </w:t>
                        </w:r>
                        <w:r>
                          <w:rPr>
                            <w:rFonts w:ascii="Trebuchet MS"/>
                            <w:color w:val="585858"/>
                            <w:spacing w:val="-4"/>
                            <w:w w:val="105"/>
                            <w:sz w:val="18"/>
                          </w:rPr>
                          <w:t>2020</w:t>
                        </w:r>
                        <w:r>
                          <w:rPr>
                            <w:rFonts w:ascii="Trebuchet MS"/>
                            <w:color w:val="585858"/>
                            <w:sz w:val="18"/>
                          </w:rPr>
                          <w:tab/>
                        </w:r>
                        <w:r>
                          <w:rPr>
                            <w:rFonts w:ascii="Trebuchet MS"/>
                            <w:color w:val="585858"/>
                            <w:w w:val="105"/>
                            <w:sz w:val="18"/>
                          </w:rPr>
                          <w:t>ECV</w:t>
                        </w:r>
                        <w:r>
                          <w:rPr>
                            <w:rFonts w:ascii="Trebuchet MS"/>
                            <w:color w:val="585858"/>
                            <w:spacing w:val="-20"/>
                            <w:w w:val="105"/>
                            <w:sz w:val="18"/>
                          </w:rPr>
                          <w:t xml:space="preserve"> </w:t>
                        </w:r>
                        <w:r>
                          <w:rPr>
                            <w:rFonts w:ascii="Trebuchet MS"/>
                            <w:color w:val="585858"/>
                            <w:spacing w:val="-4"/>
                            <w:w w:val="105"/>
                            <w:sz w:val="18"/>
                          </w:rPr>
                          <w:t>2022</w:t>
                        </w:r>
                      </w:p>
                    </w:txbxContent>
                  </v:textbox>
                </v:shape>
                <w10:wrap type="topAndBottom" anchorx="page"/>
              </v:group>
            </w:pict>
          </mc:Fallback>
        </mc:AlternateContent>
      </w:r>
    </w:p>
    <w:p w14:paraId="59A34E48" w14:textId="77777777" w:rsidR="000E52B0" w:rsidRDefault="00F60D74">
      <w:pPr>
        <w:spacing w:before="149" w:line="386" w:lineRule="auto"/>
        <w:ind w:left="2782" w:right="2673"/>
        <w:rPr>
          <w:rFonts w:ascii="Trebuchet MS" w:hAnsi="Trebuchet MS"/>
          <w:sz w:val="18"/>
        </w:rPr>
      </w:pPr>
      <w:r>
        <w:rPr>
          <w:noProof/>
        </w:rPr>
        <w:drawing>
          <wp:inline distT="0" distB="0" distL="0" distR="0" wp14:anchorId="25E1217F" wp14:editId="48CED4A3">
            <wp:extent cx="62779" cy="62779"/>
            <wp:effectExtent l="0" t="0" r="0" b="0"/>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74" cstate="print"/>
                    <a:stretch>
                      <a:fillRect/>
                    </a:stretch>
                  </pic:blipFill>
                  <pic:spPr>
                    <a:xfrm>
                      <a:off x="0" y="0"/>
                      <a:ext cx="62779" cy="62779"/>
                    </a:xfrm>
                    <a:prstGeom prst="rect">
                      <a:avLst/>
                    </a:prstGeom>
                  </pic:spPr>
                </pic:pic>
              </a:graphicData>
            </a:graphic>
          </wp:inline>
        </w:drawing>
      </w:r>
      <w:r>
        <w:rPr>
          <w:rFonts w:ascii="Times New Roman" w:hAnsi="Times New Roman"/>
          <w:spacing w:val="-11"/>
          <w:sz w:val="20"/>
        </w:rPr>
        <w:t xml:space="preserve"> </w:t>
      </w:r>
      <w:r>
        <w:rPr>
          <w:rFonts w:ascii="Trebuchet MS" w:hAnsi="Trebuchet MS"/>
          <w:color w:val="585858"/>
          <w:spacing w:val="-2"/>
          <w:sz w:val="18"/>
        </w:rPr>
        <w:t>Porcentaje</w:t>
      </w:r>
      <w:r>
        <w:rPr>
          <w:rFonts w:ascii="Trebuchet MS" w:hAnsi="Trebuchet MS"/>
          <w:color w:val="585858"/>
          <w:spacing w:val="-18"/>
          <w:sz w:val="18"/>
        </w:rPr>
        <w:t xml:space="preserve"> </w:t>
      </w:r>
      <w:r>
        <w:rPr>
          <w:rFonts w:ascii="Trebuchet MS" w:hAnsi="Trebuchet MS"/>
          <w:color w:val="585858"/>
          <w:spacing w:val="-2"/>
          <w:sz w:val="18"/>
        </w:rPr>
        <w:t>de</w:t>
      </w:r>
      <w:r>
        <w:rPr>
          <w:rFonts w:ascii="Trebuchet MS" w:hAnsi="Trebuchet MS"/>
          <w:color w:val="585858"/>
          <w:spacing w:val="-18"/>
          <w:sz w:val="18"/>
        </w:rPr>
        <w:t xml:space="preserve"> </w:t>
      </w:r>
      <w:r>
        <w:rPr>
          <w:rFonts w:ascii="Trebuchet MS" w:hAnsi="Trebuchet MS"/>
          <w:color w:val="585858"/>
          <w:spacing w:val="-2"/>
          <w:sz w:val="18"/>
        </w:rPr>
        <w:t>personas</w:t>
      </w:r>
      <w:r>
        <w:rPr>
          <w:rFonts w:ascii="Trebuchet MS" w:hAnsi="Trebuchet MS"/>
          <w:color w:val="585858"/>
          <w:spacing w:val="-17"/>
          <w:sz w:val="18"/>
        </w:rPr>
        <w:t xml:space="preserve"> </w:t>
      </w:r>
      <w:r>
        <w:rPr>
          <w:rFonts w:ascii="Trebuchet MS" w:hAnsi="Trebuchet MS"/>
          <w:color w:val="585858"/>
          <w:spacing w:val="-2"/>
          <w:sz w:val="18"/>
        </w:rPr>
        <w:t>que</w:t>
      </w:r>
      <w:r>
        <w:rPr>
          <w:rFonts w:ascii="Trebuchet MS" w:hAnsi="Trebuchet MS"/>
          <w:color w:val="585858"/>
          <w:spacing w:val="-18"/>
          <w:sz w:val="18"/>
        </w:rPr>
        <w:t xml:space="preserve"> </w:t>
      </w:r>
      <w:r>
        <w:rPr>
          <w:rFonts w:ascii="Trebuchet MS" w:hAnsi="Trebuchet MS"/>
          <w:color w:val="585858"/>
          <w:spacing w:val="-2"/>
          <w:sz w:val="18"/>
        </w:rPr>
        <w:t>realizan</w:t>
      </w:r>
      <w:r>
        <w:rPr>
          <w:rFonts w:ascii="Trebuchet MS" w:hAnsi="Trebuchet MS"/>
          <w:color w:val="585858"/>
          <w:spacing w:val="-17"/>
          <w:sz w:val="18"/>
        </w:rPr>
        <w:t xml:space="preserve"> </w:t>
      </w:r>
      <w:r>
        <w:rPr>
          <w:rFonts w:ascii="Trebuchet MS" w:hAnsi="Trebuchet MS"/>
          <w:color w:val="585858"/>
          <w:spacing w:val="-2"/>
          <w:sz w:val="18"/>
        </w:rPr>
        <w:t>actividades</w:t>
      </w:r>
      <w:r>
        <w:rPr>
          <w:rFonts w:ascii="Trebuchet MS" w:hAnsi="Trebuchet MS"/>
          <w:color w:val="585858"/>
          <w:spacing w:val="-17"/>
          <w:sz w:val="18"/>
        </w:rPr>
        <w:t xml:space="preserve"> </w:t>
      </w:r>
      <w:r>
        <w:rPr>
          <w:rFonts w:ascii="Trebuchet MS" w:hAnsi="Trebuchet MS"/>
          <w:color w:val="585858"/>
          <w:spacing w:val="-2"/>
          <w:sz w:val="18"/>
        </w:rPr>
        <w:t xml:space="preserve">remuneradas </w:t>
      </w:r>
      <w:r>
        <w:rPr>
          <w:rFonts w:ascii="Trebuchet MS" w:hAnsi="Trebuchet MS"/>
          <w:noProof/>
          <w:color w:val="585858"/>
          <w:sz w:val="18"/>
        </w:rPr>
        <w:drawing>
          <wp:inline distT="0" distB="0" distL="0" distR="0" wp14:anchorId="41C04057" wp14:editId="07711C41">
            <wp:extent cx="62779" cy="62779"/>
            <wp:effectExtent l="0" t="0" r="0" b="0"/>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73" cstate="print"/>
                    <a:stretch>
                      <a:fillRect/>
                    </a:stretch>
                  </pic:blipFill>
                  <pic:spPr>
                    <a:xfrm>
                      <a:off x="0" y="0"/>
                      <a:ext cx="62779" cy="62779"/>
                    </a:xfrm>
                    <a:prstGeom prst="rect">
                      <a:avLst/>
                    </a:prstGeom>
                  </pic:spPr>
                </pic:pic>
              </a:graphicData>
            </a:graphic>
          </wp:inline>
        </w:drawing>
      </w:r>
      <w:r>
        <w:rPr>
          <w:rFonts w:ascii="Times New Roman" w:hAnsi="Times New Roman"/>
          <w:color w:val="585858"/>
          <w:sz w:val="18"/>
        </w:rPr>
        <w:t xml:space="preserve"> </w:t>
      </w:r>
      <w:r>
        <w:rPr>
          <w:rFonts w:ascii="Trebuchet MS" w:hAnsi="Trebuchet MS"/>
          <w:color w:val="585858"/>
          <w:sz w:val="18"/>
        </w:rPr>
        <w:t>Porcentaje</w:t>
      </w:r>
      <w:r>
        <w:rPr>
          <w:rFonts w:ascii="Trebuchet MS" w:hAnsi="Trebuchet MS"/>
          <w:color w:val="585858"/>
          <w:spacing w:val="-4"/>
          <w:sz w:val="18"/>
        </w:rPr>
        <w:t xml:space="preserve"> </w:t>
      </w:r>
      <w:r>
        <w:rPr>
          <w:rFonts w:ascii="Trebuchet MS" w:hAnsi="Trebuchet MS"/>
          <w:color w:val="585858"/>
          <w:sz w:val="18"/>
        </w:rPr>
        <w:t>de</w:t>
      </w:r>
      <w:r>
        <w:rPr>
          <w:rFonts w:ascii="Trebuchet MS" w:hAnsi="Trebuchet MS"/>
          <w:color w:val="585858"/>
          <w:spacing w:val="-5"/>
          <w:sz w:val="18"/>
        </w:rPr>
        <w:t xml:space="preserve"> </w:t>
      </w:r>
      <w:r>
        <w:rPr>
          <w:rFonts w:ascii="Trebuchet MS" w:hAnsi="Trebuchet MS"/>
          <w:color w:val="585858"/>
          <w:sz w:val="18"/>
        </w:rPr>
        <w:t>personas</w:t>
      </w:r>
      <w:r>
        <w:rPr>
          <w:rFonts w:ascii="Trebuchet MS" w:hAnsi="Trebuchet MS"/>
          <w:color w:val="585858"/>
          <w:spacing w:val="-3"/>
          <w:sz w:val="18"/>
        </w:rPr>
        <w:t xml:space="preserve"> </w:t>
      </w:r>
      <w:r>
        <w:rPr>
          <w:rFonts w:ascii="Trebuchet MS" w:hAnsi="Trebuchet MS"/>
          <w:color w:val="585858"/>
          <w:sz w:val="18"/>
        </w:rPr>
        <w:t>que</w:t>
      </w:r>
      <w:r>
        <w:rPr>
          <w:rFonts w:ascii="Trebuchet MS" w:hAnsi="Trebuchet MS"/>
          <w:color w:val="585858"/>
          <w:spacing w:val="-4"/>
          <w:sz w:val="18"/>
        </w:rPr>
        <w:t xml:space="preserve"> </w:t>
      </w:r>
      <w:r>
        <w:rPr>
          <w:rFonts w:ascii="Trebuchet MS" w:hAnsi="Trebuchet MS"/>
          <w:color w:val="585858"/>
          <w:sz w:val="18"/>
        </w:rPr>
        <w:t>cotizan</w:t>
      </w:r>
      <w:r>
        <w:rPr>
          <w:rFonts w:ascii="Trebuchet MS" w:hAnsi="Trebuchet MS"/>
          <w:color w:val="585858"/>
          <w:spacing w:val="-3"/>
          <w:sz w:val="18"/>
        </w:rPr>
        <w:t xml:space="preserve"> </w:t>
      </w:r>
      <w:r>
        <w:rPr>
          <w:rFonts w:ascii="Trebuchet MS" w:hAnsi="Trebuchet MS"/>
          <w:color w:val="585858"/>
          <w:sz w:val="18"/>
        </w:rPr>
        <w:t>para</w:t>
      </w:r>
      <w:r>
        <w:rPr>
          <w:rFonts w:ascii="Trebuchet MS" w:hAnsi="Trebuchet MS"/>
          <w:color w:val="585858"/>
          <w:spacing w:val="-4"/>
          <w:sz w:val="18"/>
        </w:rPr>
        <w:t xml:space="preserve"> </w:t>
      </w:r>
      <w:r>
        <w:rPr>
          <w:rFonts w:ascii="Trebuchet MS" w:hAnsi="Trebuchet MS"/>
          <w:color w:val="585858"/>
          <w:sz w:val="18"/>
        </w:rPr>
        <w:t>pensión</w:t>
      </w:r>
    </w:p>
    <w:p w14:paraId="68FF1617" w14:textId="77777777" w:rsidR="000E52B0" w:rsidRDefault="00F60D74">
      <w:pPr>
        <w:pStyle w:val="Textoindependiente"/>
        <w:spacing w:before="203"/>
        <w:ind w:right="721"/>
        <w:jc w:val="both"/>
      </w:pPr>
      <w:r>
        <w:t>En</w:t>
      </w:r>
      <w:r>
        <w:rPr>
          <w:spacing w:val="-7"/>
        </w:rPr>
        <w:t xml:space="preserve"> </w:t>
      </w:r>
      <w:r>
        <w:t>relación</w:t>
      </w:r>
      <w:r>
        <w:rPr>
          <w:spacing w:val="-7"/>
        </w:rPr>
        <w:t xml:space="preserve"> </w:t>
      </w:r>
      <w:r>
        <w:t>con</w:t>
      </w:r>
      <w:r>
        <w:rPr>
          <w:spacing w:val="-6"/>
        </w:rPr>
        <w:t xml:space="preserve"> </w:t>
      </w:r>
      <w:r>
        <w:t>las</w:t>
      </w:r>
      <w:r>
        <w:rPr>
          <w:spacing w:val="-5"/>
        </w:rPr>
        <w:t xml:space="preserve"> </w:t>
      </w:r>
      <w:r>
        <w:t>personas</w:t>
      </w:r>
      <w:r>
        <w:rPr>
          <w:spacing w:val="-7"/>
        </w:rPr>
        <w:t xml:space="preserve"> </w:t>
      </w:r>
      <w:r>
        <w:t>que</w:t>
      </w:r>
      <w:r>
        <w:rPr>
          <w:spacing w:val="-6"/>
        </w:rPr>
        <w:t xml:space="preserve"> </w:t>
      </w:r>
      <w:r>
        <w:t>cotizan</w:t>
      </w:r>
      <w:r>
        <w:rPr>
          <w:spacing w:val="-7"/>
        </w:rPr>
        <w:t xml:space="preserve"> </w:t>
      </w:r>
      <w:r>
        <w:t>a</w:t>
      </w:r>
      <w:r>
        <w:rPr>
          <w:spacing w:val="-6"/>
        </w:rPr>
        <w:t xml:space="preserve"> </w:t>
      </w:r>
      <w:r>
        <w:t>pensión,</w:t>
      </w:r>
      <w:r>
        <w:rPr>
          <w:spacing w:val="-5"/>
        </w:rPr>
        <w:t xml:space="preserve"> </w:t>
      </w:r>
      <w:r>
        <w:t>la</w:t>
      </w:r>
      <w:r>
        <w:rPr>
          <w:spacing w:val="-6"/>
        </w:rPr>
        <w:t xml:space="preserve"> </w:t>
      </w:r>
      <w:r>
        <w:t>brecha</w:t>
      </w:r>
      <w:r>
        <w:rPr>
          <w:spacing w:val="-6"/>
        </w:rPr>
        <w:t xml:space="preserve"> </w:t>
      </w:r>
      <w:r>
        <w:t>entre</w:t>
      </w:r>
      <w:r>
        <w:rPr>
          <w:spacing w:val="-6"/>
        </w:rPr>
        <w:t xml:space="preserve"> </w:t>
      </w:r>
      <w:r>
        <w:t>2020</w:t>
      </w:r>
      <w:r>
        <w:rPr>
          <w:spacing w:val="-6"/>
        </w:rPr>
        <w:t xml:space="preserve"> </w:t>
      </w:r>
      <w:r>
        <w:t>y 2022 se mantuvo, porque no aumentó significativamente el porcentaje de personas sin discapacidad que cotiza a pensión.</w:t>
      </w:r>
    </w:p>
    <w:p w14:paraId="1CFF6CD0" w14:textId="77777777" w:rsidR="000E52B0" w:rsidRDefault="00F60D74">
      <w:pPr>
        <w:pStyle w:val="Textoindependiente"/>
        <w:spacing w:before="162"/>
        <w:ind w:right="718"/>
        <w:jc w:val="both"/>
      </w:pPr>
      <w:r>
        <w:t>Asimismo, respecto a las condiciones para estar en un empleo digno, las medidas de apoyo, ajustes razonables y la accesibilidad son insuficientes frente</w:t>
      </w:r>
      <w:r>
        <w:rPr>
          <w:spacing w:val="-21"/>
        </w:rPr>
        <w:t xml:space="preserve"> </w:t>
      </w:r>
      <w:r>
        <w:t>a</w:t>
      </w:r>
      <w:r>
        <w:rPr>
          <w:spacing w:val="-20"/>
        </w:rPr>
        <w:t xml:space="preserve"> </w:t>
      </w:r>
      <w:r>
        <w:t>la</w:t>
      </w:r>
      <w:r>
        <w:rPr>
          <w:spacing w:val="-21"/>
        </w:rPr>
        <w:t xml:space="preserve"> </w:t>
      </w:r>
      <w:r>
        <w:t>garantía</w:t>
      </w:r>
      <w:r>
        <w:rPr>
          <w:spacing w:val="-19"/>
        </w:rPr>
        <w:t xml:space="preserve"> </w:t>
      </w:r>
      <w:r>
        <w:t>del</w:t>
      </w:r>
      <w:r>
        <w:rPr>
          <w:spacing w:val="-22"/>
        </w:rPr>
        <w:t xml:space="preserve"> </w:t>
      </w:r>
      <w:r>
        <w:t>derecho.</w:t>
      </w:r>
      <w:r>
        <w:rPr>
          <w:spacing w:val="-21"/>
        </w:rPr>
        <w:t xml:space="preserve"> </w:t>
      </w:r>
      <w:r>
        <w:t>La</w:t>
      </w:r>
      <w:r>
        <w:rPr>
          <w:spacing w:val="-20"/>
        </w:rPr>
        <w:t xml:space="preserve"> </w:t>
      </w:r>
      <w:r>
        <w:t>ausencia</w:t>
      </w:r>
      <w:r>
        <w:rPr>
          <w:spacing w:val="-21"/>
        </w:rPr>
        <w:t xml:space="preserve"> </w:t>
      </w:r>
      <w:r>
        <w:t>de</w:t>
      </w:r>
      <w:r>
        <w:rPr>
          <w:spacing w:val="-20"/>
        </w:rPr>
        <w:t xml:space="preserve"> </w:t>
      </w:r>
      <w:r>
        <w:t>tecnologías</w:t>
      </w:r>
      <w:r>
        <w:rPr>
          <w:spacing w:val="-19"/>
        </w:rPr>
        <w:t xml:space="preserve"> </w:t>
      </w:r>
      <w:r>
        <w:t>accesibles,</w:t>
      </w:r>
      <w:r>
        <w:rPr>
          <w:spacing w:val="-21"/>
        </w:rPr>
        <w:t xml:space="preserve"> </w:t>
      </w:r>
      <w:r>
        <w:t>falta de acceso a información suficiente, infraestructura inaccesible en los lugares de trabajo, situaciones de acoso y discriminación entre otras barreras implican que, las personas con discapacidad prefieran o accedan más</w:t>
      </w:r>
      <w:r>
        <w:rPr>
          <w:spacing w:val="-6"/>
        </w:rPr>
        <w:t xml:space="preserve"> </w:t>
      </w:r>
      <w:r>
        <w:t>fácilmente</w:t>
      </w:r>
      <w:r>
        <w:rPr>
          <w:spacing w:val="-5"/>
        </w:rPr>
        <w:t xml:space="preserve"> </w:t>
      </w:r>
      <w:r>
        <w:t>a</w:t>
      </w:r>
      <w:r>
        <w:rPr>
          <w:spacing w:val="-6"/>
        </w:rPr>
        <w:t xml:space="preserve"> </w:t>
      </w:r>
      <w:r>
        <w:t>empleos</w:t>
      </w:r>
      <w:r>
        <w:rPr>
          <w:spacing w:val="-6"/>
        </w:rPr>
        <w:t xml:space="preserve"> </w:t>
      </w:r>
      <w:r>
        <w:t>informales</w:t>
      </w:r>
      <w:r>
        <w:rPr>
          <w:spacing w:val="-6"/>
        </w:rPr>
        <w:t xml:space="preserve"> </w:t>
      </w:r>
      <w:r>
        <w:t>o</w:t>
      </w:r>
      <w:r>
        <w:rPr>
          <w:spacing w:val="-2"/>
        </w:rPr>
        <w:t xml:space="preserve"> </w:t>
      </w:r>
      <w:r>
        <w:t>actividades</w:t>
      </w:r>
      <w:r>
        <w:rPr>
          <w:spacing w:val="-6"/>
        </w:rPr>
        <w:t xml:space="preserve"> </w:t>
      </w:r>
      <w:r>
        <w:t>económicas</w:t>
      </w:r>
      <w:r>
        <w:rPr>
          <w:spacing w:val="-6"/>
        </w:rPr>
        <w:t xml:space="preserve"> </w:t>
      </w:r>
      <w:r>
        <w:t>por</w:t>
      </w:r>
      <w:r>
        <w:rPr>
          <w:spacing w:val="-5"/>
        </w:rPr>
        <w:t xml:space="preserve"> </w:t>
      </w:r>
      <w:r>
        <w:t xml:space="preserve">cuenta </w:t>
      </w:r>
      <w:r>
        <w:rPr>
          <w:spacing w:val="-2"/>
        </w:rPr>
        <w:t>propia.</w:t>
      </w:r>
    </w:p>
    <w:p w14:paraId="0DFE3617" w14:textId="77777777" w:rsidR="000E52B0" w:rsidRDefault="00F60D74">
      <w:pPr>
        <w:pStyle w:val="Textoindependiente"/>
        <w:spacing w:before="161"/>
        <w:ind w:right="716"/>
        <w:jc w:val="both"/>
      </w:pPr>
      <w:r>
        <w:t>De acuerdo con la ECV 2022, el 50.6 % de personas con discapacidad trabajan</w:t>
      </w:r>
      <w:r>
        <w:rPr>
          <w:spacing w:val="-3"/>
        </w:rPr>
        <w:t xml:space="preserve"> </w:t>
      </w:r>
      <w:r>
        <w:t>de</w:t>
      </w:r>
      <w:r>
        <w:rPr>
          <w:spacing w:val="-1"/>
        </w:rPr>
        <w:t xml:space="preserve"> </w:t>
      </w:r>
      <w:r>
        <w:t>forma</w:t>
      </w:r>
      <w:r>
        <w:rPr>
          <w:spacing w:val="-2"/>
        </w:rPr>
        <w:t xml:space="preserve"> </w:t>
      </w:r>
      <w:r>
        <w:t>independiente</w:t>
      </w:r>
      <w:r>
        <w:rPr>
          <w:spacing w:val="-1"/>
        </w:rPr>
        <w:t xml:space="preserve"> </w:t>
      </w:r>
      <w:r>
        <w:t>o</w:t>
      </w:r>
      <w:r>
        <w:rPr>
          <w:spacing w:val="-1"/>
        </w:rPr>
        <w:t xml:space="preserve"> </w:t>
      </w:r>
      <w:r>
        <w:t>por</w:t>
      </w:r>
      <w:r>
        <w:rPr>
          <w:spacing w:val="-1"/>
        </w:rPr>
        <w:t xml:space="preserve"> </w:t>
      </w:r>
      <w:r>
        <w:t>cuenta</w:t>
      </w:r>
      <w:r>
        <w:rPr>
          <w:spacing w:val="-2"/>
        </w:rPr>
        <w:t xml:space="preserve"> </w:t>
      </w:r>
      <w:r>
        <w:t>propia,</w:t>
      </w:r>
      <w:r>
        <w:rPr>
          <w:spacing w:val="-3"/>
        </w:rPr>
        <w:t xml:space="preserve"> </w:t>
      </w:r>
      <w:r>
        <w:t>en</w:t>
      </w:r>
      <w:r>
        <w:rPr>
          <w:spacing w:val="-2"/>
        </w:rPr>
        <w:t xml:space="preserve"> </w:t>
      </w:r>
      <w:r>
        <w:t>comparación</w:t>
      </w:r>
      <w:r>
        <w:rPr>
          <w:spacing w:val="-2"/>
        </w:rPr>
        <w:t xml:space="preserve"> </w:t>
      </w:r>
      <w:r>
        <w:t>con un 44,4 % que reportan las personas sin discapacidad. Aunque las características</w:t>
      </w:r>
      <w:r>
        <w:rPr>
          <w:spacing w:val="-6"/>
        </w:rPr>
        <w:t xml:space="preserve"> </w:t>
      </w:r>
      <w:r>
        <w:t>de</w:t>
      </w:r>
      <w:r>
        <w:rPr>
          <w:spacing w:val="-6"/>
        </w:rPr>
        <w:t xml:space="preserve"> </w:t>
      </w:r>
      <w:r>
        <w:t>los</w:t>
      </w:r>
      <w:r>
        <w:rPr>
          <w:spacing w:val="-7"/>
        </w:rPr>
        <w:t xml:space="preserve"> </w:t>
      </w:r>
      <w:r>
        <w:t>tipos</w:t>
      </w:r>
      <w:r>
        <w:rPr>
          <w:spacing w:val="-5"/>
        </w:rPr>
        <w:t xml:space="preserve"> </w:t>
      </w:r>
      <w:r>
        <w:t>de</w:t>
      </w:r>
      <w:r>
        <w:rPr>
          <w:spacing w:val="-6"/>
        </w:rPr>
        <w:t xml:space="preserve"> </w:t>
      </w:r>
      <w:r>
        <w:t>contratos</w:t>
      </w:r>
      <w:r>
        <w:rPr>
          <w:spacing w:val="-4"/>
        </w:rPr>
        <w:t xml:space="preserve"> </w:t>
      </w:r>
      <w:r>
        <w:t>laborales</w:t>
      </w:r>
      <w:r>
        <w:rPr>
          <w:spacing w:val="-7"/>
        </w:rPr>
        <w:t xml:space="preserve"> </w:t>
      </w:r>
      <w:r>
        <w:t>son</w:t>
      </w:r>
      <w:r>
        <w:rPr>
          <w:spacing w:val="-7"/>
        </w:rPr>
        <w:t xml:space="preserve"> </w:t>
      </w:r>
      <w:r>
        <w:t>similares</w:t>
      </w:r>
      <w:r>
        <w:rPr>
          <w:spacing w:val="-7"/>
        </w:rPr>
        <w:t xml:space="preserve"> </w:t>
      </w:r>
      <w:r>
        <w:t>entre</w:t>
      </w:r>
      <w:r>
        <w:rPr>
          <w:spacing w:val="-6"/>
        </w:rPr>
        <w:t xml:space="preserve"> </w:t>
      </w:r>
      <w:r>
        <w:t xml:space="preserve">estos </w:t>
      </w:r>
      <w:r>
        <w:rPr>
          <w:spacing w:val="-2"/>
        </w:rPr>
        <w:t>grupos.</w:t>
      </w:r>
    </w:p>
    <w:p w14:paraId="6C6DD19E" w14:textId="77777777" w:rsidR="000E52B0" w:rsidRDefault="00F60D74">
      <w:pPr>
        <w:pStyle w:val="Textoindependiente"/>
        <w:spacing w:before="159"/>
        <w:ind w:right="720"/>
        <w:jc w:val="both"/>
      </w:pPr>
      <w:r>
        <w:t>Respecto a las condiciones dignas de trabajo, de acuerdo ECV 2022, el porcentaje de personas</w:t>
      </w:r>
      <w:r>
        <w:rPr>
          <w:spacing w:val="-1"/>
        </w:rPr>
        <w:t xml:space="preserve"> </w:t>
      </w:r>
      <w:r>
        <w:t>con</w:t>
      </w:r>
      <w:r>
        <w:rPr>
          <w:spacing w:val="-1"/>
        </w:rPr>
        <w:t xml:space="preserve"> </w:t>
      </w:r>
      <w:r>
        <w:t>discapacidad</w:t>
      </w:r>
      <w:r>
        <w:rPr>
          <w:spacing w:val="-1"/>
        </w:rPr>
        <w:t xml:space="preserve"> </w:t>
      </w:r>
      <w:r>
        <w:t>que tienen contratos</w:t>
      </w:r>
      <w:r>
        <w:rPr>
          <w:spacing w:val="-1"/>
        </w:rPr>
        <w:t xml:space="preserve"> </w:t>
      </w:r>
      <w:r>
        <w:t>verbales</w:t>
      </w:r>
      <w:r>
        <w:rPr>
          <w:spacing w:val="-1"/>
        </w:rPr>
        <w:t xml:space="preserve"> </w:t>
      </w:r>
      <w:r>
        <w:t>es del 36.7% mientras que para las personas sin discapacidad es del 30.9%, lo que refleja una brecha de 5.8 puntos porcentuales (</w:t>
      </w:r>
      <w:proofErr w:type="spellStart"/>
      <w:r>
        <w:t>pp</w:t>
      </w:r>
      <w:proofErr w:type="spellEnd"/>
      <w:r>
        <w:t>). Asimismo, respecto</w:t>
      </w:r>
      <w:r>
        <w:rPr>
          <w:spacing w:val="54"/>
        </w:rPr>
        <w:t xml:space="preserve"> </w:t>
      </w:r>
      <w:r>
        <w:t>a</w:t>
      </w:r>
      <w:r>
        <w:rPr>
          <w:spacing w:val="54"/>
        </w:rPr>
        <w:t xml:space="preserve"> </w:t>
      </w:r>
      <w:r>
        <w:t>la</w:t>
      </w:r>
      <w:r>
        <w:rPr>
          <w:spacing w:val="53"/>
        </w:rPr>
        <w:t xml:space="preserve"> </w:t>
      </w:r>
      <w:r>
        <w:t>afiliación</w:t>
      </w:r>
      <w:r>
        <w:rPr>
          <w:spacing w:val="53"/>
        </w:rPr>
        <w:t xml:space="preserve"> </w:t>
      </w:r>
      <w:r>
        <w:t>de</w:t>
      </w:r>
      <w:r>
        <w:rPr>
          <w:spacing w:val="54"/>
        </w:rPr>
        <w:t xml:space="preserve"> </w:t>
      </w:r>
      <w:r>
        <w:t>personas</w:t>
      </w:r>
      <w:r>
        <w:rPr>
          <w:spacing w:val="54"/>
        </w:rPr>
        <w:t xml:space="preserve"> </w:t>
      </w:r>
      <w:r>
        <w:t>trabajadoras</w:t>
      </w:r>
      <w:r>
        <w:rPr>
          <w:spacing w:val="54"/>
        </w:rPr>
        <w:t xml:space="preserve"> </w:t>
      </w:r>
      <w:r>
        <w:t>a</w:t>
      </w:r>
      <w:r>
        <w:rPr>
          <w:spacing w:val="54"/>
        </w:rPr>
        <w:t xml:space="preserve"> </w:t>
      </w:r>
      <w:r>
        <w:t>Administradoras</w:t>
      </w:r>
      <w:r>
        <w:rPr>
          <w:spacing w:val="54"/>
        </w:rPr>
        <w:t xml:space="preserve"> </w:t>
      </w:r>
      <w:r>
        <w:rPr>
          <w:spacing w:val="-5"/>
        </w:rPr>
        <w:t>de</w:t>
      </w:r>
    </w:p>
    <w:p w14:paraId="4C0F7C41" w14:textId="77777777" w:rsidR="000E52B0" w:rsidRDefault="000E52B0">
      <w:pPr>
        <w:pStyle w:val="Textoindependiente"/>
        <w:jc w:val="both"/>
        <w:sectPr w:rsidR="000E52B0">
          <w:pgSz w:w="11910" w:h="16840"/>
          <w:pgMar w:top="1340" w:right="720" w:bottom="1180" w:left="720" w:header="0" w:footer="995" w:gutter="0"/>
          <w:cols w:space="720"/>
        </w:sectPr>
      </w:pPr>
    </w:p>
    <w:p w14:paraId="091EAC26" w14:textId="77777777" w:rsidR="000E52B0" w:rsidRDefault="00F60D74">
      <w:pPr>
        <w:pStyle w:val="Textoindependiente"/>
        <w:spacing w:before="83"/>
        <w:ind w:right="719"/>
        <w:jc w:val="both"/>
      </w:pPr>
      <w:r>
        <w:lastRenderedPageBreak/>
        <w:t>Riesgos Laborales (ARL), se observa que el 30.0% de las personas con discapacidad</w:t>
      </w:r>
      <w:r>
        <w:rPr>
          <w:spacing w:val="-13"/>
        </w:rPr>
        <w:t xml:space="preserve"> </w:t>
      </w:r>
      <w:r>
        <w:t>no</w:t>
      </w:r>
      <w:r>
        <w:rPr>
          <w:spacing w:val="-14"/>
        </w:rPr>
        <w:t xml:space="preserve"> </w:t>
      </w:r>
      <w:r>
        <w:t>están</w:t>
      </w:r>
      <w:r>
        <w:rPr>
          <w:spacing w:val="-16"/>
        </w:rPr>
        <w:t xml:space="preserve"> </w:t>
      </w:r>
      <w:r>
        <w:t>afiliadas</w:t>
      </w:r>
      <w:r>
        <w:rPr>
          <w:spacing w:val="-13"/>
        </w:rPr>
        <w:t xml:space="preserve"> </w:t>
      </w:r>
      <w:r>
        <w:t>y</w:t>
      </w:r>
      <w:r>
        <w:rPr>
          <w:spacing w:val="-15"/>
        </w:rPr>
        <w:t xml:space="preserve"> </w:t>
      </w:r>
      <w:r>
        <w:t>esta</w:t>
      </w:r>
      <w:r>
        <w:rPr>
          <w:spacing w:val="-13"/>
        </w:rPr>
        <w:t xml:space="preserve"> </w:t>
      </w:r>
      <w:r>
        <w:t>proporción</w:t>
      </w:r>
      <w:r>
        <w:rPr>
          <w:spacing w:val="-15"/>
        </w:rPr>
        <w:t xml:space="preserve"> </w:t>
      </w:r>
      <w:r>
        <w:t>es</w:t>
      </w:r>
      <w:r>
        <w:rPr>
          <w:spacing w:val="-15"/>
        </w:rPr>
        <w:t xml:space="preserve"> </w:t>
      </w:r>
      <w:r>
        <w:t>del</w:t>
      </w:r>
      <w:r>
        <w:rPr>
          <w:spacing w:val="-14"/>
        </w:rPr>
        <w:t xml:space="preserve"> </w:t>
      </w:r>
      <w:r>
        <w:t>y</w:t>
      </w:r>
      <w:r>
        <w:rPr>
          <w:spacing w:val="-15"/>
        </w:rPr>
        <w:t xml:space="preserve"> </w:t>
      </w:r>
      <w:r>
        <w:t>el</w:t>
      </w:r>
      <w:r>
        <w:rPr>
          <w:spacing w:val="-14"/>
        </w:rPr>
        <w:t xml:space="preserve"> </w:t>
      </w:r>
      <w:r>
        <w:t>27.6%</w:t>
      </w:r>
      <w:r>
        <w:rPr>
          <w:spacing w:val="-14"/>
        </w:rPr>
        <w:t xml:space="preserve"> </w:t>
      </w:r>
      <w:r>
        <w:t>para</w:t>
      </w:r>
      <w:r>
        <w:rPr>
          <w:spacing w:val="-15"/>
        </w:rPr>
        <w:t xml:space="preserve"> </w:t>
      </w:r>
      <w:r>
        <w:t>las personas sin discapacidad.</w:t>
      </w:r>
    </w:p>
    <w:p w14:paraId="78BEDBCF" w14:textId="77777777" w:rsidR="000E52B0" w:rsidRDefault="00F60D74">
      <w:pPr>
        <w:pStyle w:val="Textoindependiente"/>
        <w:spacing w:before="159"/>
        <w:ind w:right="721"/>
        <w:jc w:val="both"/>
      </w:pPr>
      <w:r>
        <w:t>De acuerdo con el RLCPD, el 79% de las personas con discapacidad que reportan estar trabajando no tienen ningún tipo de contrato (probablemente es un contrato verbal), el 11% tienen un contrato a término indefinido y el 7% un contrato a término fijo.</w:t>
      </w:r>
    </w:p>
    <w:p w14:paraId="4D038245" w14:textId="77777777" w:rsidR="000E52B0" w:rsidRDefault="00F60D74">
      <w:pPr>
        <w:pStyle w:val="Textoindependiente"/>
        <w:spacing w:before="161"/>
        <w:ind w:right="716"/>
        <w:jc w:val="both"/>
      </w:pPr>
      <w:r>
        <w:t>Como consecuencia, para el año 2020, el 18,9% de las personas con discapacidad se encontraban en situación de pobreza multidimensional (DANE,</w:t>
      </w:r>
      <w:r>
        <w:rPr>
          <w:spacing w:val="-6"/>
        </w:rPr>
        <w:t xml:space="preserve"> </w:t>
      </w:r>
      <w:r>
        <w:t>ECV);</w:t>
      </w:r>
      <w:r>
        <w:rPr>
          <w:spacing w:val="-9"/>
        </w:rPr>
        <w:t xml:space="preserve"> </w:t>
      </w:r>
      <w:r>
        <w:t>el</w:t>
      </w:r>
      <w:r>
        <w:rPr>
          <w:spacing w:val="-9"/>
        </w:rPr>
        <w:t xml:space="preserve"> </w:t>
      </w:r>
      <w:r>
        <w:t>64%</w:t>
      </w:r>
      <w:r>
        <w:rPr>
          <w:spacing w:val="-7"/>
        </w:rPr>
        <w:t xml:space="preserve"> </w:t>
      </w:r>
      <w:r>
        <w:t>de</w:t>
      </w:r>
      <w:r>
        <w:rPr>
          <w:spacing w:val="-7"/>
        </w:rPr>
        <w:t xml:space="preserve"> </w:t>
      </w:r>
      <w:r>
        <w:t>la</w:t>
      </w:r>
      <w:r>
        <w:rPr>
          <w:spacing w:val="-8"/>
        </w:rPr>
        <w:t xml:space="preserve"> </w:t>
      </w:r>
      <w:r>
        <w:t>población</w:t>
      </w:r>
      <w:r>
        <w:rPr>
          <w:spacing w:val="-6"/>
        </w:rPr>
        <w:t xml:space="preserve"> </w:t>
      </w:r>
      <w:r>
        <w:t>en</w:t>
      </w:r>
      <w:r>
        <w:rPr>
          <w:spacing w:val="-8"/>
        </w:rPr>
        <w:t xml:space="preserve"> </w:t>
      </w:r>
      <w:r>
        <w:t>el</w:t>
      </w:r>
      <w:r>
        <w:rPr>
          <w:spacing w:val="-9"/>
        </w:rPr>
        <w:t xml:space="preserve"> </w:t>
      </w:r>
      <w:r>
        <w:t>RLCPD</w:t>
      </w:r>
      <w:r>
        <w:rPr>
          <w:spacing w:val="-8"/>
        </w:rPr>
        <w:t xml:space="preserve"> </w:t>
      </w:r>
      <w:r>
        <w:t>no</w:t>
      </w:r>
      <w:r>
        <w:rPr>
          <w:spacing w:val="-7"/>
        </w:rPr>
        <w:t xml:space="preserve"> </w:t>
      </w:r>
      <w:r>
        <w:t>tiene</w:t>
      </w:r>
      <w:r>
        <w:rPr>
          <w:spacing w:val="-4"/>
        </w:rPr>
        <w:t xml:space="preserve"> </w:t>
      </w:r>
      <w:r>
        <w:t>ningún</w:t>
      </w:r>
      <w:r>
        <w:rPr>
          <w:spacing w:val="-6"/>
        </w:rPr>
        <w:t xml:space="preserve"> </w:t>
      </w:r>
      <w:r>
        <w:t>ingreso, y</w:t>
      </w:r>
      <w:r>
        <w:rPr>
          <w:spacing w:val="-6"/>
        </w:rPr>
        <w:t xml:space="preserve"> </w:t>
      </w:r>
      <w:r>
        <w:t>el</w:t>
      </w:r>
      <w:r>
        <w:rPr>
          <w:spacing w:val="-6"/>
        </w:rPr>
        <w:t xml:space="preserve"> </w:t>
      </w:r>
      <w:r>
        <w:t>28%</w:t>
      </w:r>
      <w:r>
        <w:rPr>
          <w:spacing w:val="-5"/>
        </w:rPr>
        <w:t xml:space="preserve"> </w:t>
      </w:r>
      <w:r>
        <w:t>tiene</w:t>
      </w:r>
      <w:r>
        <w:rPr>
          <w:spacing w:val="-4"/>
        </w:rPr>
        <w:t xml:space="preserve"> </w:t>
      </w:r>
      <w:r>
        <w:t>ingresos</w:t>
      </w:r>
      <w:r>
        <w:rPr>
          <w:spacing w:val="-5"/>
        </w:rPr>
        <w:t xml:space="preserve"> </w:t>
      </w:r>
      <w:r>
        <w:t>de</w:t>
      </w:r>
      <w:r>
        <w:rPr>
          <w:spacing w:val="-4"/>
        </w:rPr>
        <w:t xml:space="preserve"> </w:t>
      </w:r>
      <w:r>
        <w:t>menos</w:t>
      </w:r>
      <w:r>
        <w:rPr>
          <w:spacing w:val="-6"/>
        </w:rPr>
        <w:t xml:space="preserve"> </w:t>
      </w:r>
      <w:r>
        <w:t>de</w:t>
      </w:r>
      <w:r>
        <w:rPr>
          <w:spacing w:val="-4"/>
        </w:rPr>
        <w:t xml:space="preserve"> </w:t>
      </w:r>
      <w:r>
        <w:t>$500</w:t>
      </w:r>
      <w:r>
        <w:rPr>
          <w:spacing w:val="-4"/>
        </w:rPr>
        <w:t xml:space="preserve"> </w:t>
      </w:r>
      <w:r>
        <w:t>mil</w:t>
      </w:r>
      <w:r>
        <w:rPr>
          <w:spacing w:val="-7"/>
        </w:rPr>
        <w:t xml:space="preserve"> </w:t>
      </w:r>
      <w:r>
        <w:t>pesos,</w:t>
      </w:r>
      <w:r>
        <w:rPr>
          <w:spacing w:val="-6"/>
        </w:rPr>
        <w:t xml:space="preserve"> </w:t>
      </w:r>
      <w:r>
        <w:t>el</w:t>
      </w:r>
      <w:r>
        <w:rPr>
          <w:spacing w:val="-6"/>
        </w:rPr>
        <w:t xml:space="preserve"> </w:t>
      </w:r>
      <w:r>
        <w:t>4%</w:t>
      </w:r>
      <w:r>
        <w:rPr>
          <w:spacing w:val="-5"/>
        </w:rPr>
        <w:t xml:space="preserve"> </w:t>
      </w:r>
      <w:r>
        <w:t>tiene</w:t>
      </w:r>
      <w:r>
        <w:rPr>
          <w:spacing w:val="-4"/>
        </w:rPr>
        <w:t xml:space="preserve"> </w:t>
      </w:r>
      <w:r>
        <w:t>ingresos entre $501 mil y $1 millón de pesos. Solo el 5% gana por encima de $1 millón</w:t>
      </w:r>
      <w:r>
        <w:rPr>
          <w:spacing w:val="-11"/>
        </w:rPr>
        <w:t xml:space="preserve"> </w:t>
      </w:r>
      <w:r>
        <w:t>de</w:t>
      </w:r>
      <w:r>
        <w:rPr>
          <w:spacing w:val="-9"/>
        </w:rPr>
        <w:t xml:space="preserve"> </w:t>
      </w:r>
      <w:r>
        <w:t>pesos.</w:t>
      </w:r>
      <w:r>
        <w:rPr>
          <w:spacing w:val="-9"/>
        </w:rPr>
        <w:t xml:space="preserve"> </w:t>
      </w:r>
      <w:r>
        <w:t>La</w:t>
      </w:r>
      <w:r>
        <w:rPr>
          <w:spacing w:val="-8"/>
        </w:rPr>
        <w:t xml:space="preserve"> </w:t>
      </w:r>
      <w:r>
        <w:t>situación</w:t>
      </w:r>
      <w:r>
        <w:rPr>
          <w:spacing w:val="-11"/>
        </w:rPr>
        <w:t xml:space="preserve"> </w:t>
      </w:r>
      <w:r>
        <w:t>es</w:t>
      </w:r>
      <w:r>
        <w:rPr>
          <w:spacing w:val="-10"/>
        </w:rPr>
        <w:t xml:space="preserve"> </w:t>
      </w:r>
      <w:r>
        <w:t>más</w:t>
      </w:r>
      <w:r>
        <w:rPr>
          <w:spacing w:val="-10"/>
        </w:rPr>
        <w:t xml:space="preserve"> </w:t>
      </w:r>
      <w:r>
        <w:t>crítica</w:t>
      </w:r>
      <w:r>
        <w:rPr>
          <w:spacing w:val="-10"/>
        </w:rPr>
        <w:t xml:space="preserve"> </w:t>
      </w:r>
      <w:r>
        <w:t>entre</w:t>
      </w:r>
      <w:r>
        <w:rPr>
          <w:spacing w:val="-9"/>
        </w:rPr>
        <w:t xml:space="preserve"> </w:t>
      </w:r>
      <w:r>
        <w:t>las</w:t>
      </w:r>
      <w:r>
        <w:rPr>
          <w:spacing w:val="-10"/>
        </w:rPr>
        <w:t xml:space="preserve"> </w:t>
      </w:r>
      <w:r>
        <w:t>mujeres,</w:t>
      </w:r>
      <w:r>
        <w:rPr>
          <w:spacing w:val="-11"/>
        </w:rPr>
        <w:t xml:space="preserve"> </w:t>
      </w:r>
      <w:r>
        <w:t>pues</w:t>
      </w:r>
      <w:r>
        <w:rPr>
          <w:spacing w:val="-10"/>
        </w:rPr>
        <w:t xml:space="preserve"> </w:t>
      </w:r>
      <w:r>
        <w:t>el</w:t>
      </w:r>
      <w:r>
        <w:rPr>
          <w:spacing w:val="-11"/>
        </w:rPr>
        <w:t xml:space="preserve"> </w:t>
      </w:r>
      <w:r>
        <w:t>70% no tiene ingresos, y entre las personas indígenas (69%) y afrodescendientes (67%) que no tienen ingresos.</w:t>
      </w:r>
    </w:p>
    <w:p w14:paraId="1AA96477" w14:textId="77777777" w:rsidR="000E52B0" w:rsidRDefault="00F60D74">
      <w:pPr>
        <w:pStyle w:val="Textoindependiente"/>
        <w:spacing w:before="160"/>
        <w:ind w:right="717"/>
        <w:jc w:val="both"/>
      </w:pPr>
      <w:r>
        <w:t>Esto</w:t>
      </w:r>
      <w:r>
        <w:rPr>
          <w:spacing w:val="-13"/>
        </w:rPr>
        <w:t xml:space="preserve"> </w:t>
      </w:r>
      <w:r>
        <w:t>hace</w:t>
      </w:r>
      <w:r>
        <w:rPr>
          <w:spacing w:val="-13"/>
        </w:rPr>
        <w:t xml:space="preserve"> </w:t>
      </w:r>
      <w:r>
        <w:t>que</w:t>
      </w:r>
      <w:r>
        <w:rPr>
          <w:spacing w:val="-13"/>
        </w:rPr>
        <w:t xml:space="preserve"> </w:t>
      </w:r>
      <w:r>
        <w:t>la</w:t>
      </w:r>
      <w:r>
        <w:rPr>
          <w:spacing w:val="-14"/>
        </w:rPr>
        <w:t xml:space="preserve"> </w:t>
      </w:r>
      <w:r>
        <w:t>situación</w:t>
      </w:r>
      <w:r>
        <w:rPr>
          <w:spacing w:val="-14"/>
        </w:rPr>
        <w:t xml:space="preserve"> </w:t>
      </w:r>
      <w:r>
        <w:t>de</w:t>
      </w:r>
      <w:r>
        <w:rPr>
          <w:spacing w:val="-13"/>
        </w:rPr>
        <w:t xml:space="preserve"> </w:t>
      </w:r>
      <w:r>
        <w:t>pobreza</w:t>
      </w:r>
      <w:r>
        <w:rPr>
          <w:spacing w:val="-14"/>
        </w:rPr>
        <w:t xml:space="preserve"> </w:t>
      </w:r>
      <w:r>
        <w:t>se</w:t>
      </w:r>
      <w:r>
        <w:rPr>
          <w:spacing w:val="-13"/>
        </w:rPr>
        <w:t xml:space="preserve"> </w:t>
      </w:r>
      <w:r>
        <w:t>intensifique</w:t>
      </w:r>
      <w:r>
        <w:rPr>
          <w:spacing w:val="-13"/>
        </w:rPr>
        <w:t xml:space="preserve"> </w:t>
      </w:r>
      <w:r>
        <w:t>entre</w:t>
      </w:r>
      <w:r>
        <w:rPr>
          <w:spacing w:val="-10"/>
        </w:rPr>
        <w:t xml:space="preserve"> </w:t>
      </w:r>
      <w:r>
        <w:t>la</w:t>
      </w:r>
      <w:r>
        <w:rPr>
          <w:spacing w:val="-14"/>
        </w:rPr>
        <w:t xml:space="preserve"> </w:t>
      </w:r>
      <w:r>
        <w:t>población</w:t>
      </w:r>
      <w:r>
        <w:rPr>
          <w:spacing w:val="-14"/>
        </w:rPr>
        <w:t xml:space="preserve"> </w:t>
      </w:r>
      <w:r>
        <w:t>con discapacidad,</w:t>
      </w:r>
      <w:r>
        <w:rPr>
          <w:spacing w:val="-22"/>
        </w:rPr>
        <w:t xml:space="preserve"> </w:t>
      </w:r>
      <w:r>
        <w:t>reconociendo</w:t>
      </w:r>
      <w:r>
        <w:rPr>
          <w:spacing w:val="-21"/>
        </w:rPr>
        <w:t xml:space="preserve"> </w:t>
      </w:r>
      <w:r>
        <w:t>que</w:t>
      </w:r>
      <w:r>
        <w:rPr>
          <w:spacing w:val="-21"/>
        </w:rPr>
        <w:t xml:space="preserve"> </w:t>
      </w:r>
      <w:r>
        <w:t>la</w:t>
      </w:r>
      <w:r>
        <w:rPr>
          <w:spacing w:val="-21"/>
        </w:rPr>
        <w:t xml:space="preserve"> </w:t>
      </w:r>
      <w:r>
        <w:t>falta</w:t>
      </w:r>
      <w:r>
        <w:rPr>
          <w:spacing w:val="-21"/>
        </w:rPr>
        <w:t xml:space="preserve"> </w:t>
      </w:r>
      <w:r>
        <w:t>de</w:t>
      </w:r>
      <w:r>
        <w:rPr>
          <w:spacing w:val="-21"/>
        </w:rPr>
        <w:t xml:space="preserve"> </w:t>
      </w:r>
      <w:r>
        <w:t>ingresos</w:t>
      </w:r>
      <w:r>
        <w:rPr>
          <w:spacing w:val="-21"/>
        </w:rPr>
        <w:t xml:space="preserve"> </w:t>
      </w:r>
      <w:r>
        <w:t>limita</w:t>
      </w:r>
      <w:r>
        <w:rPr>
          <w:spacing w:val="-21"/>
        </w:rPr>
        <w:t xml:space="preserve"> </w:t>
      </w:r>
      <w:r>
        <w:t>el</w:t>
      </w:r>
      <w:r>
        <w:rPr>
          <w:spacing w:val="-21"/>
        </w:rPr>
        <w:t xml:space="preserve"> </w:t>
      </w:r>
      <w:r>
        <w:t>acceso</w:t>
      </w:r>
      <w:r>
        <w:rPr>
          <w:spacing w:val="-21"/>
        </w:rPr>
        <w:t xml:space="preserve"> </w:t>
      </w:r>
      <w:r>
        <w:t>a</w:t>
      </w:r>
      <w:r>
        <w:rPr>
          <w:spacing w:val="-22"/>
        </w:rPr>
        <w:t xml:space="preserve"> </w:t>
      </w:r>
      <w:r>
        <w:t>bienes y servicios que pueden facilitar su acceso a educación, trabajo y apoyos, entre otras. Entre las personas con discapacidad en el RLCPD, se identificaron 2.776 personas en habitabilidad de calle.</w:t>
      </w:r>
    </w:p>
    <w:p w14:paraId="6F7FE313" w14:textId="77777777" w:rsidR="000E52B0" w:rsidRDefault="00F60D74">
      <w:pPr>
        <w:pStyle w:val="Textoindependiente"/>
        <w:spacing w:before="160"/>
        <w:ind w:right="715"/>
        <w:jc w:val="both"/>
      </w:pPr>
      <w:r>
        <w:t>Frente al acceso efectivo a la educación como mecanismo para acceder a mejores ingresos, las barreras comunicativas, físicas y actitudinales impiden</w:t>
      </w:r>
      <w:r>
        <w:rPr>
          <w:spacing w:val="-8"/>
        </w:rPr>
        <w:t xml:space="preserve"> </w:t>
      </w:r>
      <w:r>
        <w:t>el</w:t>
      </w:r>
      <w:r>
        <w:rPr>
          <w:spacing w:val="-9"/>
        </w:rPr>
        <w:t xml:space="preserve"> </w:t>
      </w:r>
      <w:r>
        <w:t>goce</w:t>
      </w:r>
      <w:r>
        <w:rPr>
          <w:spacing w:val="-7"/>
        </w:rPr>
        <w:t xml:space="preserve"> </w:t>
      </w:r>
      <w:r>
        <w:t>efectivo</w:t>
      </w:r>
      <w:r>
        <w:rPr>
          <w:spacing w:val="-7"/>
        </w:rPr>
        <w:t xml:space="preserve"> </w:t>
      </w:r>
      <w:r>
        <w:t>de</w:t>
      </w:r>
      <w:r>
        <w:rPr>
          <w:spacing w:val="-7"/>
        </w:rPr>
        <w:t xml:space="preserve"> </w:t>
      </w:r>
      <w:r>
        <w:t>este</w:t>
      </w:r>
      <w:r>
        <w:rPr>
          <w:spacing w:val="-7"/>
        </w:rPr>
        <w:t xml:space="preserve"> </w:t>
      </w:r>
      <w:r>
        <w:t>derecho.</w:t>
      </w:r>
      <w:r>
        <w:rPr>
          <w:spacing w:val="-9"/>
        </w:rPr>
        <w:t xml:space="preserve"> </w:t>
      </w:r>
      <w:r>
        <w:t>De</w:t>
      </w:r>
      <w:r>
        <w:rPr>
          <w:spacing w:val="-7"/>
        </w:rPr>
        <w:t xml:space="preserve"> </w:t>
      </w:r>
      <w:r>
        <w:t>acuerdo</w:t>
      </w:r>
      <w:r>
        <w:rPr>
          <w:spacing w:val="-7"/>
        </w:rPr>
        <w:t xml:space="preserve"> </w:t>
      </w:r>
      <w:r>
        <w:t>con</w:t>
      </w:r>
      <w:r>
        <w:rPr>
          <w:spacing w:val="-8"/>
        </w:rPr>
        <w:t xml:space="preserve"> </w:t>
      </w:r>
      <w:r>
        <w:t>la</w:t>
      </w:r>
      <w:r>
        <w:rPr>
          <w:spacing w:val="-8"/>
        </w:rPr>
        <w:t xml:space="preserve"> </w:t>
      </w:r>
      <w:r>
        <w:t>Encuesta</w:t>
      </w:r>
      <w:r>
        <w:rPr>
          <w:spacing w:val="-6"/>
        </w:rPr>
        <w:t xml:space="preserve"> </w:t>
      </w:r>
      <w:r>
        <w:t>para la</w:t>
      </w:r>
      <w:r>
        <w:rPr>
          <w:spacing w:val="-4"/>
        </w:rPr>
        <w:t xml:space="preserve"> </w:t>
      </w:r>
      <w:r>
        <w:t>evaluación</w:t>
      </w:r>
      <w:r>
        <w:rPr>
          <w:spacing w:val="-4"/>
        </w:rPr>
        <w:t xml:space="preserve"> </w:t>
      </w:r>
      <w:r>
        <w:t>de</w:t>
      </w:r>
      <w:r>
        <w:rPr>
          <w:spacing w:val="-3"/>
        </w:rPr>
        <w:t xml:space="preserve"> </w:t>
      </w:r>
      <w:r>
        <w:t>resultados</w:t>
      </w:r>
      <w:r>
        <w:rPr>
          <w:spacing w:val="-4"/>
        </w:rPr>
        <w:t xml:space="preserve"> </w:t>
      </w:r>
      <w:r>
        <w:t>de</w:t>
      </w:r>
      <w:r>
        <w:rPr>
          <w:spacing w:val="-3"/>
        </w:rPr>
        <w:t xml:space="preserve"> </w:t>
      </w:r>
      <w:r>
        <w:t>la</w:t>
      </w:r>
      <w:r>
        <w:rPr>
          <w:spacing w:val="-2"/>
        </w:rPr>
        <w:t xml:space="preserve"> </w:t>
      </w:r>
      <w:r>
        <w:t>Política</w:t>
      </w:r>
      <w:r>
        <w:rPr>
          <w:spacing w:val="-3"/>
        </w:rPr>
        <w:t xml:space="preserve"> </w:t>
      </w:r>
      <w:r>
        <w:t>Pública</w:t>
      </w:r>
      <w:r>
        <w:rPr>
          <w:spacing w:val="-2"/>
        </w:rPr>
        <w:t xml:space="preserve"> </w:t>
      </w:r>
      <w:r>
        <w:t>de</w:t>
      </w:r>
      <w:r>
        <w:rPr>
          <w:spacing w:val="-3"/>
        </w:rPr>
        <w:t xml:space="preserve"> </w:t>
      </w:r>
      <w:r>
        <w:t>Discapacidad</w:t>
      </w:r>
      <w:r>
        <w:rPr>
          <w:spacing w:val="-2"/>
        </w:rPr>
        <w:t xml:space="preserve"> </w:t>
      </w:r>
      <w:r>
        <w:t>realizada por</w:t>
      </w:r>
      <w:r>
        <w:rPr>
          <w:spacing w:val="-16"/>
        </w:rPr>
        <w:t xml:space="preserve"> </w:t>
      </w:r>
      <w:r>
        <w:t>UT</w:t>
      </w:r>
      <w:r>
        <w:rPr>
          <w:spacing w:val="-16"/>
        </w:rPr>
        <w:t xml:space="preserve"> </w:t>
      </w:r>
      <w:r>
        <w:t>Econometría–SEI</w:t>
      </w:r>
      <w:r>
        <w:rPr>
          <w:spacing w:val="-17"/>
        </w:rPr>
        <w:t xml:space="preserve"> </w:t>
      </w:r>
      <w:r>
        <w:t>a</w:t>
      </w:r>
      <w:r>
        <w:rPr>
          <w:spacing w:val="-16"/>
        </w:rPr>
        <w:t xml:space="preserve"> </w:t>
      </w:r>
      <w:r>
        <w:t>cargo</w:t>
      </w:r>
      <w:r>
        <w:rPr>
          <w:spacing w:val="-17"/>
        </w:rPr>
        <w:t xml:space="preserve"> </w:t>
      </w:r>
      <w:r>
        <w:t>del</w:t>
      </w:r>
      <w:r>
        <w:rPr>
          <w:spacing w:val="-17"/>
        </w:rPr>
        <w:t xml:space="preserve"> </w:t>
      </w:r>
      <w:r>
        <w:t>Departamento</w:t>
      </w:r>
      <w:r>
        <w:rPr>
          <w:spacing w:val="-16"/>
        </w:rPr>
        <w:t xml:space="preserve"> </w:t>
      </w:r>
      <w:r>
        <w:t>Nacional</w:t>
      </w:r>
      <w:r>
        <w:rPr>
          <w:spacing w:val="-17"/>
        </w:rPr>
        <w:t xml:space="preserve"> </w:t>
      </w:r>
      <w:r>
        <w:t>de</w:t>
      </w:r>
      <w:r>
        <w:rPr>
          <w:spacing w:val="-16"/>
        </w:rPr>
        <w:t xml:space="preserve"> </w:t>
      </w:r>
      <w:r>
        <w:t>Planeación, el 23% de las personas con discapacidad en edad escolar que no están inscritas a una institución educativa, no lo hacen por falta de ajustes razonables</w:t>
      </w:r>
      <w:r>
        <w:rPr>
          <w:spacing w:val="-3"/>
        </w:rPr>
        <w:t xml:space="preserve"> </w:t>
      </w:r>
      <w:r>
        <w:t>y</w:t>
      </w:r>
      <w:r>
        <w:rPr>
          <w:spacing w:val="-4"/>
        </w:rPr>
        <w:t xml:space="preserve"> </w:t>
      </w:r>
      <w:r>
        <w:t>es</w:t>
      </w:r>
      <w:r>
        <w:rPr>
          <w:spacing w:val="-4"/>
        </w:rPr>
        <w:t xml:space="preserve"> </w:t>
      </w:r>
      <w:r>
        <w:t>más</w:t>
      </w:r>
      <w:r>
        <w:rPr>
          <w:spacing w:val="-4"/>
        </w:rPr>
        <w:t xml:space="preserve"> </w:t>
      </w:r>
      <w:r>
        <w:t>frecuente</w:t>
      </w:r>
      <w:r>
        <w:rPr>
          <w:spacing w:val="-3"/>
        </w:rPr>
        <w:t xml:space="preserve"> </w:t>
      </w:r>
      <w:r>
        <w:t>entre</w:t>
      </w:r>
      <w:r>
        <w:rPr>
          <w:spacing w:val="-2"/>
        </w:rPr>
        <w:t xml:space="preserve"> </w:t>
      </w:r>
      <w:r>
        <w:t>quienes</w:t>
      </w:r>
      <w:r>
        <w:rPr>
          <w:spacing w:val="-3"/>
        </w:rPr>
        <w:t xml:space="preserve"> </w:t>
      </w:r>
      <w:r>
        <w:t>tienen</w:t>
      </w:r>
      <w:r>
        <w:rPr>
          <w:spacing w:val="-3"/>
        </w:rPr>
        <w:t xml:space="preserve"> </w:t>
      </w:r>
      <w:r>
        <w:t>discapacidad</w:t>
      </w:r>
      <w:r>
        <w:rPr>
          <w:spacing w:val="-3"/>
        </w:rPr>
        <w:t xml:space="preserve"> </w:t>
      </w:r>
      <w:r>
        <w:t>múltiple.</w:t>
      </w:r>
    </w:p>
    <w:p w14:paraId="18373270" w14:textId="7BC59AF0" w:rsidR="000E52B0" w:rsidRDefault="00F60D74">
      <w:pPr>
        <w:pStyle w:val="Textoindependiente"/>
        <w:spacing w:before="160"/>
        <w:ind w:right="715"/>
        <w:jc w:val="both"/>
      </w:pPr>
      <w:r>
        <w:t>No obstante, de acuerdo con el RLCPD</w:t>
      </w:r>
      <w:hyperlink w:anchor="_bookmark50" w:history="1">
        <w:r w:rsidR="000E52B0">
          <w:rPr>
            <w:position w:val="8"/>
            <w:sz w:val="16"/>
          </w:rPr>
          <w:t>44</w:t>
        </w:r>
      </w:hyperlink>
      <w:r>
        <w:t xml:space="preserve">, entre las personas con discapacidad que han tenido acceso al registro, el 43% de las personas entre 5 y 26 años no asisten a una institución educativa. Esta brecha se amplía entre quienes además son indígenas, el 53% de las personas indígenas con discapacidad, no asisten a una institución educativa, igualmente el 48% de las personas afrodescendientes y el 48% de las personas </w:t>
      </w:r>
      <w:proofErr w:type="spellStart"/>
      <w:r w:rsidR="00203383">
        <w:t>R</w:t>
      </w:r>
      <w:r>
        <w:t>rom</w:t>
      </w:r>
      <w:proofErr w:type="spellEnd"/>
      <w:r>
        <w:t xml:space="preserve"> con discapacidad tampoco asisten a una institución </w:t>
      </w:r>
      <w:r>
        <w:rPr>
          <w:spacing w:val="-2"/>
        </w:rPr>
        <w:t>educativa.</w:t>
      </w:r>
    </w:p>
    <w:p w14:paraId="1896A0C5" w14:textId="77777777" w:rsidR="000E52B0" w:rsidRDefault="00F60D74">
      <w:pPr>
        <w:pStyle w:val="Textoindependiente"/>
        <w:spacing w:before="161"/>
        <w:ind w:right="717"/>
        <w:jc w:val="both"/>
      </w:pPr>
      <w:r>
        <w:t>Entre quienes no asisten a una institución educativa y están en edad escolar,</w:t>
      </w:r>
      <w:r>
        <w:rPr>
          <w:spacing w:val="-12"/>
        </w:rPr>
        <w:t xml:space="preserve"> </w:t>
      </w:r>
      <w:r>
        <w:t>la</w:t>
      </w:r>
      <w:r>
        <w:rPr>
          <w:spacing w:val="-12"/>
        </w:rPr>
        <w:t xml:space="preserve"> </w:t>
      </w:r>
      <w:r>
        <w:t>principal</w:t>
      </w:r>
      <w:r>
        <w:rPr>
          <w:spacing w:val="-10"/>
        </w:rPr>
        <w:t xml:space="preserve"> </w:t>
      </w:r>
      <w:r>
        <w:t>razón</w:t>
      </w:r>
      <w:r>
        <w:rPr>
          <w:spacing w:val="-12"/>
        </w:rPr>
        <w:t xml:space="preserve"> </w:t>
      </w:r>
      <w:r>
        <w:t>(65%)</w:t>
      </w:r>
      <w:r>
        <w:rPr>
          <w:spacing w:val="-12"/>
        </w:rPr>
        <w:t xml:space="preserve"> </w:t>
      </w:r>
      <w:r>
        <w:t>es</w:t>
      </w:r>
      <w:r>
        <w:rPr>
          <w:spacing w:val="-11"/>
        </w:rPr>
        <w:t xml:space="preserve"> </w:t>
      </w:r>
      <w:r>
        <w:t>su</w:t>
      </w:r>
      <w:r>
        <w:rPr>
          <w:spacing w:val="-12"/>
        </w:rPr>
        <w:t xml:space="preserve"> </w:t>
      </w:r>
      <w:r>
        <w:t>discapacidad</w:t>
      </w:r>
      <w:r>
        <w:rPr>
          <w:spacing w:val="-11"/>
        </w:rPr>
        <w:t xml:space="preserve"> </w:t>
      </w:r>
      <w:r>
        <w:t>–</w:t>
      </w:r>
      <w:r>
        <w:rPr>
          <w:spacing w:val="-10"/>
        </w:rPr>
        <w:t xml:space="preserve"> </w:t>
      </w:r>
      <w:r>
        <w:t>lo</w:t>
      </w:r>
      <w:r>
        <w:rPr>
          <w:spacing w:val="-11"/>
        </w:rPr>
        <w:t xml:space="preserve"> </w:t>
      </w:r>
      <w:r>
        <w:t>que</w:t>
      </w:r>
      <w:r>
        <w:rPr>
          <w:spacing w:val="-10"/>
        </w:rPr>
        <w:t xml:space="preserve"> </w:t>
      </w:r>
      <w:r>
        <w:t>en</w:t>
      </w:r>
      <w:r>
        <w:rPr>
          <w:spacing w:val="-12"/>
        </w:rPr>
        <w:t xml:space="preserve"> </w:t>
      </w:r>
      <w:r>
        <w:t>realidad</w:t>
      </w:r>
      <w:r>
        <w:rPr>
          <w:spacing w:val="-12"/>
        </w:rPr>
        <w:t xml:space="preserve"> </w:t>
      </w:r>
      <w:r>
        <w:t>se traduce</w:t>
      </w:r>
      <w:r>
        <w:rPr>
          <w:spacing w:val="-14"/>
        </w:rPr>
        <w:t xml:space="preserve"> </w:t>
      </w:r>
      <w:r>
        <w:t>en</w:t>
      </w:r>
      <w:r>
        <w:rPr>
          <w:spacing w:val="-15"/>
        </w:rPr>
        <w:t xml:space="preserve"> </w:t>
      </w:r>
      <w:r>
        <w:t>la</w:t>
      </w:r>
      <w:r>
        <w:rPr>
          <w:spacing w:val="-15"/>
        </w:rPr>
        <w:t xml:space="preserve"> </w:t>
      </w:r>
      <w:r>
        <w:t>ausencia</w:t>
      </w:r>
      <w:r>
        <w:rPr>
          <w:spacing w:val="-15"/>
        </w:rPr>
        <w:t xml:space="preserve"> </w:t>
      </w:r>
      <w:r>
        <w:t>de</w:t>
      </w:r>
      <w:r>
        <w:rPr>
          <w:spacing w:val="-14"/>
        </w:rPr>
        <w:t xml:space="preserve"> </w:t>
      </w:r>
      <w:r>
        <w:t>ajustes</w:t>
      </w:r>
      <w:r>
        <w:rPr>
          <w:spacing w:val="-15"/>
        </w:rPr>
        <w:t xml:space="preserve"> </w:t>
      </w:r>
      <w:r>
        <w:t>razonables</w:t>
      </w:r>
      <w:r>
        <w:rPr>
          <w:spacing w:val="-14"/>
        </w:rPr>
        <w:t xml:space="preserve"> </w:t>
      </w:r>
      <w:r>
        <w:t>para</w:t>
      </w:r>
      <w:r>
        <w:rPr>
          <w:spacing w:val="-14"/>
        </w:rPr>
        <w:t xml:space="preserve"> </w:t>
      </w:r>
      <w:r>
        <w:t>poder</w:t>
      </w:r>
      <w:r>
        <w:rPr>
          <w:spacing w:val="-14"/>
        </w:rPr>
        <w:t xml:space="preserve"> </w:t>
      </w:r>
      <w:r>
        <w:t>acceder</w:t>
      </w:r>
      <w:r>
        <w:rPr>
          <w:spacing w:val="-9"/>
        </w:rPr>
        <w:t xml:space="preserve"> </w:t>
      </w:r>
      <w:r>
        <w:t>-,</w:t>
      </w:r>
      <w:r>
        <w:rPr>
          <w:spacing w:val="-15"/>
        </w:rPr>
        <w:t xml:space="preserve"> </w:t>
      </w:r>
      <w:r>
        <w:t>seguida de otras razones (19%), el 6% considera que ya no está en edad escolar, el</w:t>
      </w:r>
      <w:r>
        <w:rPr>
          <w:spacing w:val="-12"/>
        </w:rPr>
        <w:t xml:space="preserve"> </w:t>
      </w:r>
      <w:r>
        <w:t>4%</w:t>
      </w:r>
      <w:r>
        <w:rPr>
          <w:spacing w:val="-10"/>
        </w:rPr>
        <w:t xml:space="preserve"> </w:t>
      </w:r>
      <w:r>
        <w:t>considera</w:t>
      </w:r>
      <w:r>
        <w:rPr>
          <w:spacing w:val="-10"/>
        </w:rPr>
        <w:t xml:space="preserve"> </w:t>
      </w:r>
      <w:r>
        <w:t>que</w:t>
      </w:r>
      <w:r>
        <w:rPr>
          <w:spacing w:val="-10"/>
        </w:rPr>
        <w:t xml:space="preserve"> </w:t>
      </w:r>
      <w:r>
        <w:t>los</w:t>
      </w:r>
      <w:r>
        <w:rPr>
          <w:spacing w:val="-11"/>
        </w:rPr>
        <w:t xml:space="preserve"> </w:t>
      </w:r>
      <w:r>
        <w:t>costos</w:t>
      </w:r>
      <w:r>
        <w:rPr>
          <w:spacing w:val="-11"/>
        </w:rPr>
        <w:t xml:space="preserve"> </w:t>
      </w:r>
      <w:r>
        <w:t>educativos</w:t>
      </w:r>
      <w:r>
        <w:rPr>
          <w:spacing w:val="-11"/>
        </w:rPr>
        <w:t xml:space="preserve"> </w:t>
      </w:r>
      <w:r>
        <w:t>son</w:t>
      </w:r>
      <w:r>
        <w:rPr>
          <w:spacing w:val="-11"/>
        </w:rPr>
        <w:t xml:space="preserve"> </w:t>
      </w:r>
      <w:r>
        <w:t>muy</w:t>
      </w:r>
      <w:r>
        <w:rPr>
          <w:spacing w:val="-11"/>
        </w:rPr>
        <w:t xml:space="preserve"> </w:t>
      </w:r>
      <w:r>
        <w:t>altos</w:t>
      </w:r>
      <w:r>
        <w:rPr>
          <w:spacing w:val="-11"/>
        </w:rPr>
        <w:t xml:space="preserve"> </w:t>
      </w:r>
      <w:r>
        <w:t>entre</w:t>
      </w:r>
      <w:r>
        <w:rPr>
          <w:spacing w:val="-10"/>
        </w:rPr>
        <w:t xml:space="preserve"> </w:t>
      </w:r>
      <w:r>
        <w:t>otras.</w:t>
      </w:r>
      <w:r>
        <w:rPr>
          <w:spacing w:val="-12"/>
        </w:rPr>
        <w:t xml:space="preserve"> </w:t>
      </w:r>
      <w:r>
        <w:t>Entre estas</w:t>
      </w:r>
      <w:r>
        <w:rPr>
          <w:spacing w:val="13"/>
        </w:rPr>
        <w:t xml:space="preserve"> </w:t>
      </w:r>
      <w:r>
        <w:t>personas,</w:t>
      </w:r>
      <w:r>
        <w:rPr>
          <w:spacing w:val="15"/>
        </w:rPr>
        <w:t xml:space="preserve"> </w:t>
      </w:r>
      <w:r>
        <w:t>el</w:t>
      </w:r>
      <w:r>
        <w:rPr>
          <w:spacing w:val="19"/>
        </w:rPr>
        <w:t xml:space="preserve"> </w:t>
      </w:r>
      <w:r>
        <w:t>nivel</w:t>
      </w:r>
      <w:r>
        <w:rPr>
          <w:spacing w:val="15"/>
        </w:rPr>
        <w:t xml:space="preserve"> </w:t>
      </w:r>
      <w:r>
        <w:t>educativo</w:t>
      </w:r>
      <w:r>
        <w:rPr>
          <w:spacing w:val="16"/>
        </w:rPr>
        <w:t xml:space="preserve"> </w:t>
      </w:r>
      <w:r>
        <w:t>más</w:t>
      </w:r>
      <w:r>
        <w:rPr>
          <w:spacing w:val="18"/>
        </w:rPr>
        <w:t xml:space="preserve"> </w:t>
      </w:r>
      <w:r>
        <w:t>alto</w:t>
      </w:r>
      <w:r>
        <w:rPr>
          <w:spacing w:val="18"/>
        </w:rPr>
        <w:t xml:space="preserve"> </w:t>
      </w:r>
      <w:r>
        <w:t>alcanzado</w:t>
      </w:r>
      <w:r>
        <w:rPr>
          <w:spacing w:val="17"/>
        </w:rPr>
        <w:t xml:space="preserve"> </w:t>
      </w:r>
      <w:r>
        <w:t>es</w:t>
      </w:r>
      <w:r>
        <w:rPr>
          <w:spacing w:val="19"/>
        </w:rPr>
        <w:t xml:space="preserve"> </w:t>
      </w:r>
      <w:r>
        <w:t>ninguno</w:t>
      </w:r>
      <w:r>
        <w:rPr>
          <w:spacing w:val="17"/>
        </w:rPr>
        <w:t xml:space="preserve"> </w:t>
      </w:r>
      <w:r>
        <w:t>para</w:t>
      </w:r>
      <w:r>
        <w:rPr>
          <w:spacing w:val="19"/>
        </w:rPr>
        <w:t xml:space="preserve"> </w:t>
      </w:r>
      <w:r>
        <w:rPr>
          <w:spacing w:val="-5"/>
        </w:rPr>
        <w:t>el</w:t>
      </w:r>
    </w:p>
    <w:p w14:paraId="65A2743D" w14:textId="77777777" w:rsidR="000E52B0" w:rsidRDefault="00F60D74">
      <w:pPr>
        <w:pStyle w:val="Textoindependiente"/>
        <w:ind w:left="0"/>
        <w:rPr>
          <w:sz w:val="16"/>
        </w:rPr>
      </w:pPr>
      <w:r>
        <w:rPr>
          <w:noProof/>
          <w:sz w:val="16"/>
        </w:rPr>
        <mc:AlternateContent>
          <mc:Choice Requires="wps">
            <w:drawing>
              <wp:anchor distT="0" distB="0" distL="0" distR="0" simplePos="0" relativeHeight="487644160" behindDoc="1" locked="0" layoutInCell="1" allowOverlap="1" wp14:anchorId="1955AA81" wp14:editId="067AD5E2">
                <wp:simplePos x="0" y="0"/>
                <wp:positionH relativeFrom="page">
                  <wp:posOffset>914704</wp:posOffset>
                </wp:positionH>
                <wp:positionV relativeFrom="paragraph">
                  <wp:posOffset>139302</wp:posOffset>
                </wp:positionV>
                <wp:extent cx="1829435" cy="7620"/>
                <wp:effectExtent l="0" t="0" r="0" b="0"/>
                <wp:wrapTopAndBottom/>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CD48BF" id="Graphic 427" o:spid="_x0000_s1026" style="position:absolute;margin-left:1in;margin-top:10.95pt;width:144.05pt;height:.6pt;z-index:-156723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" path="m1829054,l,,,7619r1829054,l1829054,xe" fillcolor="black" stroked="f">
                <v:path arrowok="t"/>
                <w10:wrap type="topAndBottom" anchorx="page"/>
              </v:shape>
            </w:pict>
          </mc:Fallback>
        </mc:AlternateContent>
      </w:r>
    </w:p>
    <w:p w14:paraId="24523DBA" w14:textId="77777777" w:rsidR="000E52B0" w:rsidRDefault="00F60D74">
      <w:pPr>
        <w:spacing w:before="96"/>
        <w:ind w:left="720" w:right="723"/>
        <w:rPr>
          <w:rFonts w:ascii="Arial MT" w:hAnsi="Arial MT"/>
          <w:sz w:val="18"/>
        </w:rPr>
      </w:pPr>
      <w:bookmarkStart w:id="50" w:name="_bookmark50"/>
      <w:bookmarkEnd w:id="50"/>
      <w:r>
        <w:rPr>
          <w:rFonts w:ascii="Arial MT" w:hAnsi="Arial MT"/>
          <w:position w:val="6"/>
          <w:sz w:val="12"/>
        </w:rPr>
        <w:t>44</w:t>
      </w:r>
      <w:r>
        <w:rPr>
          <w:rFonts w:ascii="Arial MT" w:hAnsi="Arial MT"/>
          <w:spacing w:val="31"/>
          <w:position w:val="6"/>
          <w:sz w:val="12"/>
        </w:rPr>
        <w:t xml:space="preserve"> </w:t>
      </w:r>
      <w:proofErr w:type="gramStart"/>
      <w:r>
        <w:rPr>
          <w:rFonts w:ascii="Arial MT" w:hAnsi="Arial MT"/>
          <w:sz w:val="18"/>
        </w:rPr>
        <w:t>Registro</w:t>
      </w:r>
      <w:proofErr w:type="gramEnd"/>
      <w:r>
        <w:rPr>
          <w:rFonts w:ascii="Arial MT" w:hAnsi="Arial MT"/>
          <w:sz w:val="18"/>
        </w:rPr>
        <w:t xml:space="preserve"> de Localización y Caracterización de Personas con Discapacidad. Ministerio de Salud y Protección Social. Consultado a través de SISPRO en mayo de 2024.</w:t>
      </w:r>
    </w:p>
    <w:p w14:paraId="0216BBD3" w14:textId="77777777" w:rsidR="000E52B0" w:rsidRDefault="000E52B0">
      <w:pPr>
        <w:rPr>
          <w:rFonts w:ascii="Arial MT" w:hAnsi="Arial MT"/>
          <w:sz w:val="18"/>
        </w:rPr>
        <w:sectPr w:rsidR="000E52B0">
          <w:pgSz w:w="11910" w:h="16840"/>
          <w:pgMar w:top="1340" w:right="720" w:bottom="1180" w:left="720" w:header="0" w:footer="995" w:gutter="0"/>
          <w:cols w:space="720"/>
        </w:sectPr>
      </w:pPr>
    </w:p>
    <w:p w14:paraId="3D304A6B" w14:textId="77777777" w:rsidR="000E52B0" w:rsidRDefault="00F60D74">
      <w:pPr>
        <w:pStyle w:val="Textoindependiente"/>
        <w:spacing w:before="83"/>
        <w:ind w:right="721"/>
        <w:jc w:val="both"/>
      </w:pPr>
      <w:r>
        <w:lastRenderedPageBreak/>
        <w:t>72%, básica primaria para el 14%, básica secundaria el 8%, y preescolar para el 6% según datos del RLCPD.</w:t>
      </w:r>
    </w:p>
    <w:p w14:paraId="00A3D0A1" w14:textId="77777777" w:rsidR="000E52B0" w:rsidRDefault="00F60D74">
      <w:pPr>
        <w:pStyle w:val="Textoindependiente"/>
        <w:spacing w:before="158"/>
        <w:ind w:right="717"/>
        <w:jc w:val="both"/>
      </w:pPr>
      <w:r>
        <w:t>Adicionalmente, la experiencia educativa ligada al acceso a recursos financieros</w:t>
      </w:r>
      <w:r>
        <w:rPr>
          <w:spacing w:val="-8"/>
        </w:rPr>
        <w:t xml:space="preserve"> </w:t>
      </w:r>
      <w:r>
        <w:t>profundiza</w:t>
      </w:r>
      <w:r>
        <w:rPr>
          <w:spacing w:val="-7"/>
        </w:rPr>
        <w:t xml:space="preserve"> </w:t>
      </w:r>
      <w:r>
        <w:t>las</w:t>
      </w:r>
      <w:r>
        <w:rPr>
          <w:spacing w:val="-8"/>
        </w:rPr>
        <w:t xml:space="preserve"> </w:t>
      </w:r>
      <w:r>
        <w:t>brechas</w:t>
      </w:r>
      <w:r>
        <w:rPr>
          <w:spacing w:val="-8"/>
        </w:rPr>
        <w:t xml:space="preserve"> </w:t>
      </w:r>
      <w:r>
        <w:t>de</w:t>
      </w:r>
      <w:r>
        <w:rPr>
          <w:spacing w:val="-6"/>
        </w:rPr>
        <w:t xml:space="preserve"> </w:t>
      </w:r>
      <w:r>
        <w:t>desigualdad</w:t>
      </w:r>
      <w:r>
        <w:rPr>
          <w:spacing w:val="-8"/>
        </w:rPr>
        <w:t xml:space="preserve"> </w:t>
      </w:r>
      <w:r>
        <w:t>basadas</w:t>
      </w:r>
      <w:r>
        <w:rPr>
          <w:spacing w:val="-5"/>
        </w:rPr>
        <w:t xml:space="preserve"> </w:t>
      </w:r>
      <w:r>
        <w:t>en</w:t>
      </w:r>
      <w:r>
        <w:rPr>
          <w:spacing w:val="-8"/>
        </w:rPr>
        <w:t xml:space="preserve"> </w:t>
      </w:r>
      <w:r>
        <w:t>la</w:t>
      </w:r>
      <w:r>
        <w:rPr>
          <w:spacing w:val="-8"/>
        </w:rPr>
        <w:t xml:space="preserve"> </w:t>
      </w:r>
      <w:r>
        <w:t>clase</w:t>
      </w:r>
      <w:r>
        <w:rPr>
          <w:spacing w:val="-7"/>
        </w:rPr>
        <w:t xml:space="preserve"> </w:t>
      </w:r>
      <w:r>
        <w:t>para las</w:t>
      </w:r>
      <w:r>
        <w:rPr>
          <w:spacing w:val="-11"/>
        </w:rPr>
        <w:t xml:space="preserve"> </w:t>
      </w:r>
      <w:r>
        <w:t>personas</w:t>
      </w:r>
      <w:r>
        <w:rPr>
          <w:spacing w:val="-12"/>
        </w:rPr>
        <w:t xml:space="preserve"> </w:t>
      </w:r>
      <w:r>
        <w:t>con</w:t>
      </w:r>
      <w:r>
        <w:rPr>
          <w:spacing w:val="-11"/>
        </w:rPr>
        <w:t xml:space="preserve"> </w:t>
      </w:r>
      <w:r>
        <w:t>discapacidad.</w:t>
      </w:r>
      <w:r>
        <w:rPr>
          <w:spacing w:val="-12"/>
        </w:rPr>
        <w:t xml:space="preserve"> </w:t>
      </w:r>
      <w:r>
        <w:t>De</w:t>
      </w:r>
      <w:r>
        <w:rPr>
          <w:spacing w:val="-10"/>
        </w:rPr>
        <w:t xml:space="preserve"> </w:t>
      </w:r>
      <w:r>
        <w:t>acuerdo</w:t>
      </w:r>
      <w:r>
        <w:rPr>
          <w:spacing w:val="-11"/>
        </w:rPr>
        <w:t xml:space="preserve"> </w:t>
      </w:r>
      <w:r>
        <w:t>con</w:t>
      </w:r>
      <w:r>
        <w:rPr>
          <w:spacing w:val="-11"/>
        </w:rPr>
        <w:t xml:space="preserve"> </w:t>
      </w:r>
      <w:r>
        <w:t>los</w:t>
      </w:r>
      <w:r>
        <w:rPr>
          <w:spacing w:val="-11"/>
        </w:rPr>
        <w:t xml:space="preserve"> </w:t>
      </w:r>
      <w:r>
        <w:t>datos</w:t>
      </w:r>
      <w:r>
        <w:rPr>
          <w:spacing w:val="-11"/>
        </w:rPr>
        <w:t xml:space="preserve"> </w:t>
      </w:r>
      <w:r>
        <w:t>del</w:t>
      </w:r>
      <w:r>
        <w:rPr>
          <w:spacing w:val="-10"/>
        </w:rPr>
        <w:t xml:space="preserve"> </w:t>
      </w:r>
      <w:r>
        <w:t>RLCPD</w:t>
      </w:r>
      <w:r>
        <w:rPr>
          <w:spacing w:val="-11"/>
        </w:rPr>
        <w:t xml:space="preserve"> </w:t>
      </w:r>
      <w:r>
        <w:t>el</w:t>
      </w:r>
      <w:r>
        <w:rPr>
          <w:spacing w:val="-12"/>
        </w:rPr>
        <w:t xml:space="preserve"> </w:t>
      </w:r>
      <w:r>
        <w:t>83% de las personas que se encuentra en instituciones educativas privadas reportan que el personal docente responde a sus necesidades, en el caso de</w:t>
      </w:r>
      <w:r>
        <w:rPr>
          <w:spacing w:val="-22"/>
        </w:rPr>
        <w:t xml:space="preserve"> </w:t>
      </w:r>
      <w:r>
        <w:t>quienes</w:t>
      </w:r>
      <w:r>
        <w:rPr>
          <w:spacing w:val="-21"/>
        </w:rPr>
        <w:t xml:space="preserve"> </w:t>
      </w:r>
      <w:r>
        <w:t>asisten</w:t>
      </w:r>
      <w:r>
        <w:rPr>
          <w:spacing w:val="-21"/>
        </w:rPr>
        <w:t xml:space="preserve"> </w:t>
      </w:r>
      <w:r>
        <w:t>a</w:t>
      </w:r>
      <w:r>
        <w:rPr>
          <w:spacing w:val="-21"/>
        </w:rPr>
        <w:t xml:space="preserve"> </w:t>
      </w:r>
      <w:r>
        <w:t>instituciones</w:t>
      </w:r>
      <w:r>
        <w:rPr>
          <w:spacing w:val="-21"/>
        </w:rPr>
        <w:t xml:space="preserve"> </w:t>
      </w:r>
      <w:r>
        <w:t>pública,</w:t>
      </w:r>
      <w:r>
        <w:rPr>
          <w:spacing w:val="-21"/>
        </w:rPr>
        <w:t xml:space="preserve"> </w:t>
      </w:r>
      <w:r>
        <w:t>solo</w:t>
      </w:r>
      <w:r>
        <w:rPr>
          <w:spacing w:val="-21"/>
        </w:rPr>
        <w:t xml:space="preserve"> </w:t>
      </w:r>
      <w:r>
        <w:t>el</w:t>
      </w:r>
      <w:r>
        <w:rPr>
          <w:spacing w:val="-21"/>
        </w:rPr>
        <w:t xml:space="preserve"> </w:t>
      </w:r>
      <w:r>
        <w:t>68%</w:t>
      </w:r>
      <w:r>
        <w:rPr>
          <w:spacing w:val="-21"/>
        </w:rPr>
        <w:t xml:space="preserve"> </w:t>
      </w:r>
      <w:r>
        <w:t>considera</w:t>
      </w:r>
      <w:r>
        <w:rPr>
          <w:spacing w:val="-21"/>
        </w:rPr>
        <w:t xml:space="preserve"> </w:t>
      </w:r>
      <w:r>
        <w:t>el</w:t>
      </w:r>
      <w:r>
        <w:rPr>
          <w:spacing w:val="-22"/>
        </w:rPr>
        <w:t xml:space="preserve"> </w:t>
      </w:r>
      <w:r>
        <w:t>personal docente responde a esas necesidades.</w:t>
      </w:r>
    </w:p>
    <w:p w14:paraId="27876E3B" w14:textId="77777777" w:rsidR="000E52B0" w:rsidRDefault="00F60D74">
      <w:pPr>
        <w:pStyle w:val="Textoindependiente"/>
        <w:spacing w:before="161"/>
        <w:ind w:right="721"/>
        <w:jc w:val="both"/>
      </w:pPr>
      <w:r>
        <w:t>Asimismo,</w:t>
      </w:r>
      <w:r>
        <w:rPr>
          <w:spacing w:val="-17"/>
        </w:rPr>
        <w:t xml:space="preserve"> </w:t>
      </w:r>
      <w:r>
        <w:t>quienes</w:t>
      </w:r>
      <w:r>
        <w:rPr>
          <w:spacing w:val="-15"/>
        </w:rPr>
        <w:t xml:space="preserve"> </w:t>
      </w:r>
      <w:r>
        <w:t>saben</w:t>
      </w:r>
      <w:r>
        <w:rPr>
          <w:spacing w:val="-17"/>
        </w:rPr>
        <w:t xml:space="preserve"> </w:t>
      </w:r>
      <w:r>
        <w:t>leer</w:t>
      </w:r>
      <w:r>
        <w:rPr>
          <w:spacing w:val="-15"/>
        </w:rPr>
        <w:t xml:space="preserve"> </w:t>
      </w:r>
      <w:r>
        <w:t>y</w:t>
      </w:r>
      <w:r>
        <w:rPr>
          <w:spacing w:val="-16"/>
        </w:rPr>
        <w:t xml:space="preserve"> </w:t>
      </w:r>
      <w:r>
        <w:t>escribir</w:t>
      </w:r>
      <w:r>
        <w:rPr>
          <w:spacing w:val="-16"/>
        </w:rPr>
        <w:t xml:space="preserve"> </w:t>
      </w:r>
      <w:r>
        <w:t>asisten</w:t>
      </w:r>
      <w:r>
        <w:rPr>
          <w:spacing w:val="-17"/>
        </w:rPr>
        <w:t xml:space="preserve"> </w:t>
      </w:r>
      <w:r>
        <w:t>con</w:t>
      </w:r>
      <w:r>
        <w:rPr>
          <w:spacing w:val="-16"/>
        </w:rPr>
        <w:t xml:space="preserve"> </w:t>
      </w:r>
      <w:r>
        <w:t>mayor</w:t>
      </w:r>
      <w:r>
        <w:rPr>
          <w:spacing w:val="-15"/>
        </w:rPr>
        <w:t xml:space="preserve"> </w:t>
      </w:r>
      <w:r>
        <w:t>frecuencia</w:t>
      </w:r>
      <w:r>
        <w:rPr>
          <w:spacing w:val="-16"/>
        </w:rPr>
        <w:t xml:space="preserve"> </w:t>
      </w:r>
      <w:r>
        <w:t>a</w:t>
      </w:r>
      <w:r>
        <w:rPr>
          <w:spacing w:val="-16"/>
        </w:rPr>
        <w:t xml:space="preserve"> </w:t>
      </w:r>
      <w:r>
        <w:t>una institución</w:t>
      </w:r>
      <w:r>
        <w:rPr>
          <w:spacing w:val="-17"/>
        </w:rPr>
        <w:t xml:space="preserve"> </w:t>
      </w:r>
      <w:r>
        <w:t>pública</w:t>
      </w:r>
      <w:r>
        <w:rPr>
          <w:spacing w:val="-17"/>
        </w:rPr>
        <w:t xml:space="preserve"> </w:t>
      </w:r>
      <w:r>
        <w:t>(72%),</w:t>
      </w:r>
      <w:r>
        <w:rPr>
          <w:spacing w:val="-19"/>
        </w:rPr>
        <w:t xml:space="preserve"> </w:t>
      </w:r>
      <w:r>
        <w:t>frente</w:t>
      </w:r>
      <w:r>
        <w:rPr>
          <w:spacing w:val="-18"/>
        </w:rPr>
        <w:t xml:space="preserve"> </w:t>
      </w:r>
      <w:r>
        <w:t>a</w:t>
      </w:r>
      <w:r>
        <w:rPr>
          <w:spacing w:val="-18"/>
        </w:rPr>
        <w:t xml:space="preserve"> </w:t>
      </w:r>
      <w:r>
        <w:t>quienes</w:t>
      </w:r>
      <w:r>
        <w:rPr>
          <w:spacing w:val="-19"/>
        </w:rPr>
        <w:t xml:space="preserve"> </w:t>
      </w:r>
      <w:r>
        <w:t>asisten</w:t>
      </w:r>
      <w:r>
        <w:rPr>
          <w:spacing w:val="-19"/>
        </w:rPr>
        <w:t xml:space="preserve"> </w:t>
      </w:r>
      <w:r>
        <w:t>a</w:t>
      </w:r>
      <w:r>
        <w:rPr>
          <w:spacing w:val="-17"/>
        </w:rPr>
        <w:t xml:space="preserve"> </w:t>
      </w:r>
      <w:r>
        <w:t>una</w:t>
      </w:r>
      <w:r>
        <w:rPr>
          <w:spacing w:val="-17"/>
        </w:rPr>
        <w:t xml:space="preserve"> </w:t>
      </w:r>
      <w:r>
        <w:t>privada</w:t>
      </w:r>
      <w:r>
        <w:rPr>
          <w:spacing w:val="-17"/>
        </w:rPr>
        <w:t xml:space="preserve"> </w:t>
      </w:r>
      <w:r>
        <w:t>que</w:t>
      </w:r>
      <w:r>
        <w:rPr>
          <w:spacing w:val="-18"/>
        </w:rPr>
        <w:t xml:space="preserve"> </w:t>
      </w:r>
      <w:r>
        <w:t>saben leer y escribir (58%).</w:t>
      </w:r>
    </w:p>
    <w:p w14:paraId="119C9AB0" w14:textId="77777777" w:rsidR="000E52B0" w:rsidRDefault="00F60D74">
      <w:pPr>
        <w:pStyle w:val="Textoindependiente"/>
        <w:spacing w:before="160"/>
        <w:ind w:right="718"/>
        <w:jc w:val="both"/>
      </w:pPr>
      <w:r>
        <w:t>Como</w:t>
      </w:r>
      <w:r>
        <w:rPr>
          <w:spacing w:val="-21"/>
        </w:rPr>
        <w:t xml:space="preserve"> </w:t>
      </w:r>
      <w:r>
        <w:t>consecuencia</w:t>
      </w:r>
      <w:r>
        <w:rPr>
          <w:spacing w:val="-18"/>
        </w:rPr>
        <w:t xml:space="preserve"> </w:t>
      </w:r>
      <w:r>
        <w:t>de</w:t>
      </w:r>
      <w:r>
        <w:rPr>
          <w:spacing w:val="-20"/>
        </w:rPr>
        <w:t xml:space="preserve"> </w:t>
      </w:r>
      <w:r>
        <w:t>las</w:t>
      </w:r>
      <w:r>
        <w:rPr>
          <w:spacing w:val="-19"/>
        </w:rPr>
        <w:t xml:space="preserve"> </w:t>
      </w:r>
      <w:r>
        <w:t>barreras,</w:t>
      </w:r>
      <w:r>
        <w:rPr>
          <w:spacing w:val="-21"/>
        </w:rPr>
        <w:t xml:space="preserve"> </w:t>
      </w:r>
      <w:r>
        <w:t>las</w:t>
      </w:r>
      <w:r>
        <w:rPr>
          <w:spacing w:val="-19"/>
        </w:rPr>
        <w:t xml:space="preserve"> </w:t>
      </w:r>
      <w:r>
        <w:t>brechas</w:t>
      </w:r>
      <w:r>
        <w:rPr>
          <w:spacing w:val="-21"/>
        </w:rPr>
        <w:t xml:space="preserve"> </w:t>
      </w:r>
      <w:r>
        <w:t>de</w:t>
      </w:r>
      <w:r>
        <w:rPr>
          <w:spacing w:val="-17"/>
        </w:rPr>
        <w:t xml:space="preserve"> </w:t>
      </w:r>
      <w:r>
        <w:t>desigualdad</w:t>
      </w:r>
      <w:r>
        <w:rPr>
          <w:spacing w:val="-22"/>
        </w:rPr>
        <w:t xml:space="preserve"> </w:t>
      </w:r>
      <w:r>
        <w:t>e</w:t>
      </w:r>
      <w:r>
        <w:rPr>
          <w:spacing w:val="-16"/>
        </w:rPr>
        <w:t xml:space="preserve"> </w:t>
      </w:r>
      <w:r>
        <w:t>inequidad para la población con discapacidad han aumentado en términos de acceso a</w:t>
      </w:r>
      <w:r>
        <w:rPr>
          <w:spacing w:val="-18"/>
        </w:rPr>
        <w:t xml:space="preserve"> </w:t>
      </w:r>
      <w:r>
        <w:t>educación</w:t>
      </w:r>
      <w:r>
        <w:rPr>
          <w:spacing w:val="-19"/>
        </w:rPr>
        <w:t xml:space="preserve"> </w:t>
      </w:r>
      <w:r>
        <w:t>en</w:t>
      </w:r>
      <w:r>
        <w:rPr>
          <w:spacing w:val="-19"/>
        </w:rPr>
        <w:t xml:space="preserve"> </w:t>
      </w:r>
      <w:r>
        <w:t>los</w:t>
      </w:r>
      <w:r>
        <w:rPr>
          <w:spacing w:val="-18"/>
        </w:rPr>
        <w:t xml:space="preserve"> </w:t>
      </w:r>
      <w:r>
        <w:t>últimos</w:t>
      </w:r>
      <w:r>
        <w:rPr>
          <w:spacing w:val="-19"/>
        </w:rPr>
        <w:t xml:space="preserve"> </w:t>
      </w:r>
      <w:r>
        <w:t>dos</w:t>
      </w:r>
      <w:r>
        <w:rPr>
          <w:spacing w:val="-19"/>
        </w:rPr>
        <w:t xml:space="preserve"> </w:t>
      </w:r>
      <w:r>
        <w:t>años.</w:t>
      </w:r>
      <w:r>
        <w:rPr>
          <w:spacing w:val="-19"/>
        </w:rPr>
        <w:t xml:space="preserve"> </w:t>
      </w:r>
      <w:r>
        <w:t>De</w:t>
      </w:r>
      <w:r>
        <w:rPr>
          <w:spacing w:val="-17"/>
        </w:rPr>
        <w:t xml:space="preserve"> </w:t>
      </w:r>
      <w:r>
        <w:t>acuerdo</w:t>
      </w:r>
      <w:r>
        <w:rPr>
          <w:spacing w:val="-18"/>
        </w:rPr>
        <w:t xml:space="preserve"> </w:t>
      </w:r>
      <w:r>
        <w:t>con</w:t>
      </w:r>
      <w:r>
        <w:rPr>
          <w:spacing w:val="-18"/>
        </w:rPr>
        <w:t xml:space="preserve"> </w:t>
      </w:r>
      <w:r>
        <w:t>la</w:t>
      </w:r>
      <w:r>
        <w:rPr>
          <w:spacing w:val="-19"/>
        </w:rPr>
        <w:t xml:space="preserve"> </w:t>
      </w:r>
      <w:r>
        <w:t>Encuesta</w:t>
      </w:r>
      <w:r>
        <w:rPr>
          <w:spacing w:val="-18"/>
        </w:rPr>
        <w:t xml:space="preserve"> </w:t>
      </w:r>
      <w:r>
        <w:t>de</w:t>
      </w:r>
      <w:r>
        <w:rPr>
          <w:spacing w:val="-17"/>
        </w:rPr>
        <w:t xml:space="preserve"> </w:t>
      </w:r>
      <w:r>
        <w:t>Calidad de Vida (ECV), las brechas en materia de acceso a educación se han ampliado, como ilustra la gráfica a continuación para 2020, la brecha respecto al porcentaje de personas que no tienen ningún nivel educativo era de 13 puntos porcentuales (13.6 p.p.) y para 2022 fue de 15.5 p.p.</w:t>
      </w:r>
    </w:p>
    <w:p w14:paraId="3FE71B55" w14:textId="77777777" w:rsidR="000E52B0" w:rsidRDefault="00F60D74">
      <w:pPr>
        <w:pStyle w:val="Textoindependiente"/>
        <w:spacing w:before="159"/>
        <w:ind w:right="717"/>
        <w:jc w:val="both"/>
      </w:pPr>
      <w:r>
        <w:t>En relación con la situación de pobreza y desigualdad y económica de las personas</w:t>
      </w:r>
      <w:r>
        <w:rPr>
          <w:spacing w:val="-22"/>
        </w:rPr>
        <w:t xml:space="preserve"> </w:t>
      </w:r>
      <w:r>
        <w:t>LGBTQ+,</w:t>
      </w:r>
      <w:r>
        <w:rPr>
          <w:spacing w:val="-19"/>
        </w:rPr>
        <w:t xml:space="preserve"> </w:t>
      </w:r>
      <w:r>
        <w:t>si</w:t>
      </w:r>
      <w:r>
        <w:rPr>
          <w:spacing w:val="-22"/>
        </w:rPr>
        <w:t xml:space="preserve"> </w:t>
      </w:r>
      <w:r>
        <w:t>bien</w:t>
      </w:r>
      <w:r>
        <w:rPr>
          <w:spacing w:val="-18"/>
        </w:rPr>
        <w:t xml:space="preserve"> </w:t>
      </w:r>
      <w:r>
        <w:t>la</w:t>
      </w:r>
      <w:r>
        <w:rPr>
          <w:spacing w:val="-21"/>
        </w:rPr>
        <w:t xml:space="preserve"> </w:t>
      </w:r>
      <w:r>
        <w:t>tasa</w:t>
      </w:r>
      <w:r>
        <w:rPr>
          <w:spacing w:val="-19"/>
        </w:rPr>
        <w:t xml:space="preserve"> </w:t>
      </w:r>
      <w:r>
        <w:t>global</w:t>
      </w:r>
      <w:r>
        <w:rPr>
          <w:spacing w:val="-19"/>
        </w:rPr>
        <w:t xml:space="preserve"> </w:t>
      </w:r>
      <w:r>
        <w:t>de</w:t>
      </w:r>
      <w:r>
        <w:rPr>
          <w:spacing w:val="-20"/>
        </w:rPr>
        <w:t xml:space="preserve"> </w:t>
      </w:r>
      <w:r>
        <w:t>participación</w:t>
      </w:r>
      <w:r>
        <w:rPr>
          <w:spacing w:val="-19"/>
        </w:rPr>
        <w:t xml:space="preserve"> </w:t>
      </w:r>
      <w:r>
        <w:t>y</w:t>
      </w:r>
      <w:r>
        <w:rPr>
          <w:spacing w:val="-21"/>
        </w:rPr>
        <w:t xml:space="preserve"> </w:t>
      </w:r>
      <w:r>
        <w:t>la</w:t>
      </w:r>
      <w:r>
        <w:rPr>
          <w:spacing w:val="-19"/>
        </w:rPr>
        <w:t xml:space="preserve"> </w:t>
      </w:r>
      <w:r>
        <w:t>tasa</w:t>
      </w:r>
      <w:r>
        <w:rPr>
          <w:spacing w:val="-21"/>
        </w:rPr>
        <w:t xml:space="preserve"> </w:t>
      </w:r>
      <w:r>
        <w:t>ocupación es</w:t>
      </w:r>
      <w:r>
        <w:rPr>
          <w:spacing w:val="-19"/>
        </w:rPr>
        <w:t xml:space="preserve"> </w:t>
      </w:r>
      <w:r>
        <w:t>mayor</w:t>
      </w:r>
      <w:r>
        <w:rPr>
          <w:spacing w:val="-17"/>
        </w:rPr>
        <w:t xml:space="preserve"> </w:t>
      </w:r>
      <w:r>
        <w:t>entre</w:t>
      </w:r>
      <w:r>
        <w:rPr>
          <w:spacing w:val="-17"/>
        </w:rPr>
        <w:t xml:space="preserve"> </w:t>
      </w:r>
      <w:r>
        <w:t>la</w:t>
      </w:r>
      <w:r>
        <w:rPr>
          <w:spacing w:val="-19"/>
        </w:rPr>
        <w:t xml:space="preserve"> </w:t>
      </w:r>
      <w:r>
        <w:t>población</w:t>
      </w:r>
      <w:r>
        <w:rPr>
          <w:spacing w:val="-17"/>
        </w:rPr>
        <w:t xml:space="preserve"> </w:t>
      </w:r>
      <w:r>
        <w:t>LBGTIQ+,</w:t>
      </w:r>
      <w:r>
        <w:rPr>
          <w:spacing w:val="-19"/>
        </w:rPr>
        <w:t xml:space="preserve"> </w:t>
      </w:r>
      <w:r>
        <w:t>la</w:t>
      </w:r>
      <w:r>
        <w:rPr>
          <w:spacing w:val="-19"/>
        </w:rPr>
        <w:t xml:space="preserve"> </w:t>
      </w:r>
      <w:r>
        <w:t>tasa</w:t>
      </w:r>
      <w:r>
        <w:rPr>
          <w:spacing w:val="-16"/>
        </w:rPr>
        <w:t xml:space="preserve"> </w:t>
      </w:r>
      <w:r>
        <w:t>de</w:t>
      </w:r>
      <w:r>
        <w:rPr>
          <w:spacing w:val="-17"/>
        </w:rPr>
        <w:t xml:space="preserve"> </w:t>
      </w:r>
      <w:r>
        <w:t>desempleo</w:t>
      </w:r>
      <w:r>
        <w:rPr>
          <w:spacing w:val="-17"/>
        </w:rPr>
        <w:t xml:space="preserve"> </w:t>
      </w:r>
      <w:r>
        <w:t>de</w:t>
      </w:r>
      <w:r>
        <w:rPr>
          <w:spacing w:val="-17"/>
        </w:rPr>
        <w:t xml:space="preserve"> </w:t>
      </w:r>
      <w:r>
        <w:t>la</w:t>
      </w:r>
      <w:r>
        <w:rPr>
          <w:spacing w:val="-19"/>
        </w:rPr>
        <w:t xml:space="preserve"> </w:t>
      </w:r>
      <w:r>
        <w:t>población con</w:t>
      </w:r>
      <w:r>
        <w:rPr>
          <w:spacing w:val="-14"/>
        </w:rPr>
        <w:t xml:space="preserve"> </w:t>
      </w:r>
      <w:r>
        <w:t>orientaciones</w:t>
      </w:r>
      <w:r>
        <w:rPr>
          <w:spacing w:val="-12"/>
        </w:rPr>
        <w:t xml:space="preserve"> </w:t>
      </w:r>
      <w:r>
        <w:t>sexuales</w:t>
      </w:r>
      <w:r>
        <w:rPr>
          <w:spacing w:val="-13"/>
        </w:rPr>
        <w:t xml:space="preserve"> </w:t>
      </w:r>
      <w:r>
        <w:t>e</w:t>
      </w:r>
      <w:r>
        <w:rPr>
          <w:spacing w:val="-10"/>
        </w:rPr>
        <w:t xml:space="preserve"> </w:t>
      </w:r>
      <w:r>
        <w:t>identidades</w:t>
      </w:r>
      <w:r>
        <w:rPr>
          <w:spacing w:val="-14"/>
        </w:rPr>
        <w:t xml:space="preserve"> </w:t>
      </w:r>
      <w:r>
        <w:t>de</w:t>
      </w:r>
      <w:r>
        <w:rPr>
          <w:spacing w:val="-13"/>
        </w:rPr>
        <w:t xml:space="preserve"> </w:t>
      </w:r>
      <w:r>
        <w:t>género</w:t>
      </w:r>
      <w:r>
        <w:rPr>
          <w:spacing w:val="-12"/>
        </w:rPr>
        <w:t xml:space="preserve"> </w:t>
      </w:r>
      <w:r>
        <w:t>no</w:t>
      </w:r>
      <w:r>
        <w:rPr>
          <w:spacing w:val="-11"/>
        </w:rPr>
        <w:t xml:space="preserve"> </w:t>
      </w:r>
      <w:r>
        <w:t>hegemónicas</w:t>
      </w:r>
      <w:r>
        <w:rPr>
          <w:spacing w:val="-12"/>
        </w:rPr>
        <w:t xml:space="preserve"> </w:t>
      </w:r>
      <w:r>
        <w:t>fue</w:t>
      </w:r>
      <w:r>
        <w:rPr>
          <w:spacing w:val="-10"/>
        </w:rPr>
        <w:t xml:space="preserve"> </w:t>
      </w:r>
      <w:r>
        <w:t>de 12,9% para el periodo febrero 2023 y enero 2024, y para la población cisgénero fue de 10%</w:t>
      </w:r>
      <w:hyperlink w:anchor="_bookmark51" w:history="1">
        <w:r w:rsidR="000E52B0">
          <w:rPr>
            <w:position w:val="8"/>
            <w:sz w:val="16"/>
          </w:rPr>
          <w:t>45</w:t>
        </w:r>
      </w:hyperlink>
      <w:r>
        <w:t>.</w:t>
      </w:r>
    </w:p>
    <w:p w14:paraId="20104F5B" w14:textId="77777777" w:rsidR="000E52B0" w:rsidRDefault="00F60D74">
      <w:pPr>
        <w:pStyle w:val="Textoindependiente"/>
        <w:spacing w:before="161"/>
        <w:ind w:right="716"/>
        <w:jc w:val="both"/>
      </w:pPr>
      <w:r>
        <w:t xml:space="preserve">Asimismo, entre quienes tienen un trabajo formal, la brecha entre la población LGBTIQ+ y la población cisgénero </w:t>
      </w:r>
      <w:proofErr w:type="spellStart"/>
      <w:r>
        <w:t>heteronormada</w:t>
      </w:r>
      <w:proofErr w:type="spellEnd"/>
      <w:r>
        <w:t>, la brecha es de</w:t>
      </w:r>
      <w:r>
        <w:rPr>
          <w:spacing w:val="-11"/>
        </w:rPr>
        <w:t xml:space="preserve"> </w:t>
      </w:r>
      <w:r>
        <w:t>12,5</w:t>
      </w:r>
      <w:r>
        <w:rPr>
          <w:spacing w:val="-11"/>
        </w:rPr>
        <w:t xml:space="preserve"> </w:t>
      </w:r>
      <w:r>
        <w:t>puntos</w:t>
      </w:r>
      <w:r>
        <w:rPr>
          <w:spacing w:val="-12"/>
        </w:rPr>
        <w:t xml:space="preserve"> </w:t>
      </w:r>
      <w:r>
        <w:t>porcentuales.</w:t>
      </w:r>
      <w:r>
        <w:rPr>
          <w:spacing w:val="-11"/>
        </w:rPr>
        <w:t xml:space="preserve"> </w:t>
      </w:r>
      <w:r>
        <w:t>Esto</w:t>
      </w:r>
      <w:r>
        <w:rPr>
          <w:spacing w:val="-12"/>
        </w:rPr>
        <w:t xml:space="preserve"> </w:t>
      </w:r>
      <w:r>
        <w:t>implica,</w:t>
      </w:r>
      <w:r>
        <w:rPr>
          <w:spacing w:val="-13"/>
        </w:rPr>
        <w:t xml:space="preserve"> </w:t>
      </w:r>
      <w:r>
        <w:t>que</w:t>
      </w:r>
      <w:r>
        <w:rPr>
          <w:spacing w:val="-9"/>
        </w:rPr>
        <w:t xml:space="preserve"> </w:t>
      </w:r>
      <w:r>
        <w:t>la</w:t>
      </w:r>
      <w:r>
        <w:rPr>
          <w:spacing w:val="-13"/>
        </w:rPr>
        <w:t xml:space="preserve"> </w:t>
      </w:r>
      <w:r>
        <w:t>población</w:t>
      </w:r>
      <w:r>
        <w:rPr>
          <w:spacing w:val="-5"/>
        </w:rPr>
        <w:t xml:space="preserve"> </w:t>
      </w:r>
      <w:r>
        <w:t>LGBTIQ+</w:t>
      </w:r>
      <w:r>
        <w:rPr>
          <w:spacing w:val="-10"/>
        </w:rPr>
        <w:t xml:space="preserve"> </w:t>
      </w:r>
      <w:r>
        <w:t>tiene más barreras para acceder a empleos formales, y en consecuencia, con más frecuencia son personas trabajadoras por cuenta propia (41,9%) que la población cisgénero (34%), con más frecuencia también ocupan otras posiciones que suman actividades domésticas, jornal, trabajo familiar sin remuneración y empleador</w:t>
      </w:r>
      <w:hyperlink w:anchor="_bookmark52" w:history="1">
        <w:r w:rsidR="000E52B0">
          <w:rPr>
            <w:position w:val="8"/>
            <w:sz w:val="16"/>
          </w:rPr>
          <w:t>46</w:t>
        </w:r>
      </w:hyperlink>
      <w:r>
        <w:t>.</w:t>
      </w:r>
    </w:p>
    <w:p w14:paraId="2CC10C29" w14:textId="77777777" w:rsidR="000E52B0" w:rsidRDefault="00F60D74">
      <w:pPr>
        <w:pStyle w:val="Textoindependiente"/>
        <w:spacing w:before="161"/>
        <w:ind w:right="725"/>
        <w:jc w:val="both"/>
      </w:pPr>
      <w:r>
        <w:t>Esto</w:t>
      </w:r>
      <w:r>
        <w:rPr>
          <w:spacing w:val="-22"/>
        </w:rPr>
        <w:t xml:space="preserve"> </w:t>
      </w:r>
      <w:r>
        <w:t>implica</w:t>
      </w:r>
      <w:r>
        <w:rPr>
          <w:spacing w:val="-21"/>
        </w:rPr>
        <w:t xml:space="preserve"> </w:t>
      </w:r>
      <w:r>
        <w:t>mayor</w:t>
      </w:r>
      <w:r>
        <w:rPr>
          <w:spacing w:val="-21"/>
        </w:rPr>
        <w:t xml:space="preserve"> </w:t>
      </w:r>
      <w:r>
        <w:t>informalidad</w:t>
      </w:r>
      <w:r>
        <w:rPr>
          <w:spacing w:val="-21"/>
        </w:rPr>
        <w:t xml:space="preserve"> </w:t>
      </w:r>
      <w:r>
        <w:t>y</w:t>
      </w:r>
      <w:r>
        <w:rPr>
          <w:spacing w:val="-21"/>
        </w:rPr>
        <w:t xml:space="preserve"> </w:t>
      </w:r>
      <w:r>
        <w:t>por</w:t>
      </w:r>
      <w:r>
        <w:rPr>
          <w:spacing w:val="-21"/>
        </w:rPr>
        <w:t xml:space="preserve"> </w:t>
      </w:r>
      <w:r>
        <w:t>tanto</w:t>
      </w:r>
      <w:r>
        <w:rPr>
          <w:spacing w:val="-21"/>
        </w:rPr>
        <w:t xml:space="preserve"> </w:t>
      </w:r>
      <w:r>
        <w:t>una</w:t>
      </w:r>
      <w:r>
        <w:rPr>
          <w:spacing w:val="-21"/>
        </w:rPr>
        <w:t xml:space="preserve"> </w:t>
      </w:r>
      <w:r>
        <w:t>mayor</w:t>
      </w:r>
      <w:r>
        <w:rPr>
          <w:spacing w:val="-21"/>
        </w:rPr>
        <w:t xml:space="preserve"> </w:t>
      </w:r>
      <w:r>
        <w:t>desprotección</w:t>
      </w:r>
      <w:r>
        <w:rPr>
          <w:spacing w:val="-21"/>
        </w:rPr>
        <w:t xml:space="preserve"> </w:t>
      </w:r>
      <w:r>
        <w:t>social de la población LGBTIQ+.</w:t>
      </w:r>
    </w:p>
    <w:p w14:paraId="04FC39EB" w14:textId="77777777" w:rsidR="000E52B0" w:rsidRDefault="000E52B0">
      <w:pPr>
        <w:pStyle w:val="Textoindependiente"/>
        <w:ind w:left="0"/>
        <w:rPr>
          <w:sz w:val="20"/>
        </w:rPr>
      </w:pPr>
    </w:p>
    <w:p w14:paraId="5B46A89D" w14:textId="77777777" w:rsidR="000E52B0" w:rsidRDefault="000E52B0">
      <w:pPr>
        <w:pStyle w:val="Textoindependiente"/>
        <w:ind w:left="0"/>
        <w:rPr>
          <w:sz w:val="20"/>
        </w:rPr>
      </w:pPr>
    </w:p>
    <w:p w14:paraId="40BF6A5F" w14:textId="77777777" w:rsidR="000E52B0" w:rsidRDefault="000E52B0">
      <w:pPr>
        <w:pStyle w:val="Textoindependiente"/>
        <w:ind w:left="0"/>
        <w:rPr>
          <w:sz w:val="20"/>
        </w:rPr>
      </w:pPr>
    </w:p>
    <w:p w14:paraId="0A60A877" w14:textId="77777777" w:rsidR="000E52B0" w:rsidRDefault="000E52B0">
      <w:pPr>
        <w:pStyle w:val="Textoindependiente"/>
        <w:ind w:left="0"/>
        <w:rPr>
          <w:sz w:val="20"/>
        </w:rPr>
      </w:pPr>
    </w:p>
    <w:p w14:paraId="392B8A90" w14:textId="77777777" w:rsidR="000E52B0" w:rsidRDefault="000E52B0">
      <w:pPr>
        <w:pStyle w:val="Textoindependiente"/>
        <w:ind w:left="0"/>
        <w:rPr>
          <w:sz w:val="20"/>
        </w:rPr>
      </w:pPr>
    </w:p>
    <w:p w14:paraId="566F8C08" w14:textId="77777777" w:rsidR="000E52B0" w:rsidRDefault="00F60D74">
      <w:pPr>
        <w:pStyle w:val="Textoindependiente"/>
        <w:spacing w:before="160"/>
        <w:ind w:left="0"/>
        <w:rPr>
          <w:sz w:val="20"/>
        </w:rPr>
      </w:pPr>
      <w:r>
        <w:rPr>
          <w:noProof/>
          <w:sz w:val="20"/>
        </w:rPr>
        <mc:AlternateContent>
          <mc:Choice Requires="wps">
            <w:drawing>
              <wp:anchor distT="0" distB="0" distL="0" distR="0" simplePos="0" relativeHeight="487644672" behindDoc="1" locked="0" layoutInCell="1" allowOverlap="1" wp14:anchorId="316BE95D" wp14:editId="13E45959">
                <wp:simplePos x="0" y="0"/>
                <wp:positionH relativeFrom="page">
                  <wp:posOffset>914704</wp:posOffset>
                </wp:positionH>
                <wp:positionV relativeFrom="paragraph">
                  <wp:posOffset>271576</wp:posOffset>
                </wp:positionV>
                <wp:extent cx="1829435" cy="7620"/>
                <wp:effectExtent l="0" t="0" r="0" b="0"/>
                <wp:wrapTopAndBottom/>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465942" id="Graphic 428" o:spid="_x0000_s1026" style="position:absolute;margin-left:1in;margin-top:21.4pt;width:144.05pt;height:.6pt;z-index:-1567180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" path="m1829054,l,,,7619r1829054,l1829054,xe" fillcolor="black" stroked="f">
                <v:path arrowok="t"/>
                <w10:wrap type="topAndBottom" anchorx="page"/>
              </v:shape>
            </w:pict>
          </mc:Fallback>
        </mc:AlternateContent>
      </w:r>
    </w:p>
    <w:p w14:paraId="105BE0F5" w14:textId="77777777" w:rsidR="000E52B0" w:rsidRDefault="00F60D74">
      <w:pPr>
        <w:spacing w:before="96"/>
        <w:ind w:left="720" w:right="716"/>
        <w:jc w:val="both"/>
        <w:rPr>
          <w:rFonts w:ascii="Arial MT" w:hAnsi="Arial MT"/>
          <w:sz w:val="18"/>
        </w:rPr>
      </w:pPr>
      <w:bookmarkStart w:id="51" w:name="_bookmark51"/>
      <w:bookmarkEnd w:id="51"/>
      <w:r>
        <w:rPr>
          <w:rFonts w:ascii="Arial MT" w:hAnsi="Arial MT"/>
          <w:position w:val="6"/>
          <w:sz w:val="12"/>
        </w:rPr>
        <w:t>45</w:t>
      </w:r>
      <w:r>
        <w:rPr>
          <w:rFonts w:ascii="Arial MT" w:hAnsi="Arial MT"/>
          <w:spacing w:val="15"/>
          <w:position w:val="6"/>
          <w:sz w:val="12"/>
        </w:rPr>
        <w:t xml:space="preserve"> </w:t>
      </w:r>
      <w:proofErr w:type="gramStart"/>
      <w:r>
        <w:rPr>
          <w:rFonts w:ascii="Arial MT" w:hAnsi="Arial MT"/>
          <w:sz w:val="18"/>
        </w:rPr>
        <w:t>Departamento</w:t>
      </w:r>
      <w:proofErr w:type="gramEnd"/>
      <w:r>
        <w:rPr>
          <w:rFonts w:ascii="Arial MT" w:hAnsi="Arial MT"/>
          <w:spacing w:val="-2"/>
          <w:sz w:val="18"/>
        </w:rPr>
        <w:t xml:space="preserve"> </w:t>
      </w:r>
      <w:r>
        <w:rPr>
          <w:rFonts w:ascii="Arial MT" w:hAnsi="Arial MT"/>
          <w:sz w:val="18"/>
        </w:rPr>
        <w:t>Administrativo</w:t>
      </w:r>
      <w:r>
        <w:rPr>
          <w:rFonts w:ascii="Arial MT" w:hAnsi="Arial MT"/>
          <w:spacing w:val="-4"/>
          <w:sz w:val="18"/>
        </w:rPr>
        <w:t xml:space="preserve"> </w:t>
      </w:r>
      <w:r>
        <w:rPr>
          <w:rFonts w:ascii="Arial MT" w:hAnsi="Arial MT"/>
          <w:sz w:val="18"/>
        </w:rPr>
        <w:t>Nacional</w:t>
      </w:r>
      <w:r>
        <w:rPr>
          <w:rFonts w:ascii="Arial MT" w:hAnsi="Arial MT"/>
          <w:spacing w:val="-4"/>
          <w:sz w:val="18"/>
        </w:rPr>
        <w:t xml:space="preserve"> </w:t>
      </w:r>
      <w:r>
        <w:rPr>
          <w:rFonts w:ascii="Arial MT" w:hAnsi="Arial MT"/>
          <w:sz w:val="18"/>
        </w:rPr>
        <w:t>de</w:t>
      </w:r>
      <w:r>
        <w:rPr>
          <w:rFonts w:ascii="Arial MT" w:hAnsi="Arial MT"/>
          <w:spacing w:val="-2"/>
          <w:sz w:val="18"/>
        </w:rPr>
        <w:t xml:space="preserve"> </w:t>
      </w:r>
      <w:r>
        <w:rPr>
          <w:rFonts w:ascii="Arial MT" w:hAnsi="Arial MT"/>
          <w:sz w:val="18"/>
        </w:rPr>
        <w:t>Estadísticas -</w:t>
      </w:r>
      <w:r>
        <w:rPr>
          <w:rFonts w:ascii="Arial MT" w:hAnsi="Arial MT"/>
          <w:spacing w:val="-2"/>
          <w:sz w:val="18"/>
        </w:rPr>
        <w:t xml:space="preserve"> </w:t>
      </w:r>
      <w:r>
        <w:rPr>
          <w:rFonts w:ascii="Arial MT" w:hAnsi="Arial MT"/>
          <w:sz w:val="18"/>
        </w:rPr>
        <w:t>DANE</w:t>
      </w:r>
      <w:r>
        <w:rPr>
          <w:rFonts w:ascii="Arial MT" w:hAnsi="Arial MT"/>
          <w:spacing w:val="-2"/>
          <w:sz w:val="18"/>
        </w:rPr>
        <w:t xml:space="preserve"> </w:t>
      </w:r>
      <w:r>
        <w:rPr>
          <w:rFonts w:ascii="Arial MT" w:hAnsi="Arial MT"/>
          <w:sz w:val="18"/>
        </w:rPr>
        <w:t>(2024a).</w:t>
      </w:r>
      <w:r>
        <w:rPr>
          <w:rFonts w:ascii="Arial MT" w:hAnsi="Arial MT"/>
          <w:spacing w:val="-1"/>
          <w:sz w:val="18"/>
        </w:rPr>
        <w:t xml:space="preserve"> </w:t>
      </w:r>
      <w:r>
        <w:rPr>
          <w:rFonts w:ascii="Arial MT" w:hAnsi="Arial MT"/>
          <w:sz w:val="18"/>
        </w:rPr>
        <w:t>Boletín</w:t>
      </w:r>
      <w:r>
        <w:rPr>
          <w:rFonts w:ascii="Arial MT" w:hAnsi="Arial MT"/>
          <w:spacing w:val="-4"/>
          <w:sz w:val="18"/>
        </w:rPr>
        <w:t xml:space="preserve"> </w:t>
      </w:r>
      <w:r>
        <w:rPr>
          <w:rFonts w:ascii="Arial MT" w:hAnsi="Arial MT"/>
          <w:sz w:val="18"/>
        </w:rPr>
        <w:t>Técnico.</w:t>
      </w:r>
      <w:r>
        <w:rPr>
          <w:rFonts w:ascii="Arial MT" w:hAnsi="Arial MT"/>
          <w:spacing w:val="-4"/>
          <w:sz w:val="18"/>
        </w:rPr>
        <w:t xml:space="preserve"> </w:t>
      </w:r>
      <w:r>
        <w:rPr>
          <w:rFonts w:ascii="Arial MT" w:hAnsi="Arial MT"/>
          <w:sz w:val="18"/>
        </w:rPr>
        <w:t>Mercado</w:t>
      </w:r>
      <w:r>
        <w:rPr>
          <w:rFonts w:ascii="Arial MT" w:hAnsi="Arial MT"/>
          <w:spacing w:val="-4"/>
          <w:sz w:val="18"/>
        </w:rPr>
        <w:t xml:space="preserve"> </w:t>
      </w:r>
      <w:r>
        <w:rPr>
          <w:rFonts w:ascii="Arial MT" w:hAnsi="Arial MT"/>
          <w:sz w:val="18"/>
        </w:rPr>
        <w:t>laboral</w:t>
      </w:r>
      <w:r>
        <w:rPr>
          <w:rFonts w:ascii="Arial MT" w:hAnsi="Arial MT"/>
          <w:spacing w:val="-4"/>
          <w:sz w:val="18"/>
        </w:rPr>
        <w:t xml:space="preserve"> </w:t>
      </w:r>
      <w:r>
        <w:rPr>
          <w:rFonts w:ascii="Arial MT" w:hAnsi="Arial MT"/>
          <w:sz w:val="18"/>
        </w:rPr>
        <w:t>de</w:t>
      </w:r>
      <w:r>
        <w:rPr>
          <w:rFonts w:ascii="Arial MT" w:hAnsi="Arial MT"/>
          <w:spacing w:val="-4"/>
          <w:sz w:val="18"/>
        </w:rPr>
        <w:t xml:space="preserve"> </w:t>
      </w:r>
      <w:r>
        <w:rPr>
          <w:rFonts w:ascii="Arial MT" w:hAnsi="Arial MT"/>
          <w:sz w:val="18"/>
        </w:rPr>
        <w:t xml:space="preserve">la población LGBT año móvil febrero 2023– enero 2024. Recuperado de: </w:t>
      </w:r>
      <w:hyperlink r:id="rId164">
        <w:r w:rsidR="000E52B0">
          <w:rPr>
            <w:rFonts w:ascii="Arial MT" w:hAnsi="Arial MT"/>
            <w:color w:val="E22C91"/>
            <w:spacing w:val="-2"/>
            <w:sz w:val="18"/>
            <w:u w:val="single" w:color="E22C91"/>
          </w:rPr>
          <w:t>https://www.dane.gov.co/files/operaciones/GEIH/bol-GEIHMLLGBT-feb2023-ene2024.pdf</w:t>
        </w:r>
      </w:hyperlink>
    </w:p>
    <w:p w14:paraId="2FD1C682" w14:textId="77777777" w:rsidR="000E52B0" w:rsidRDefault="00F60D74">
      <w:pPr>
        <w:spacing w:line="242" w:lineRule="auto"/>
        <w:ind w:left="720" w:right="726"/>
        <w:jc w:val="both"/>
        <w:rPr>
          <w:rFonts w:ascii="Arial MT" w:hAnsi="Arial MT"/>
          <w:sz w:val="18"/>
        </w:rPr>
      </w:pPr>
      <w:bookmarkStart w:id="52" w:name="_bookmark52"/>
      <w:bookmarkEnd w:id="52"/>
      <w:r>
        <w:rPr>
          <w:rFonts w:ascii="Arial MT" w:hAnsi="Arial MT"/>
          <w:position w:val="6"/>
          <w:sz w:val="12"/>
        </w:rPr>
        <w:t>46</w:t>
      </w:r>
      <w:r>
        <w:rPr>
          <w:rFonts w:ascii="Arial MT" w:hAnsi="Arial MT"/>
          <w:spacing w:val="40"/>
          <w:position w:val="6"/>
          <w:sz w:val="12"/>
        </w:rPr>
        <w:t xml:space="preserve"> </w:t>
      </w:r>
      <w:proofErr w:type="gramStart"/>
      <w:r>
        <w:rPr>
          <w:rFonts w:ascii="Arial MT" w:hAnsi="Arial MT"/>
          <w:sz w:val="18"/>
        </w:rPr>
        <w:t>Incluye</w:t>
      </w:r>
      <w:proofErr w:type="gramEnd"/>
      <w:r>
        <w:rPr>
          <w:rFonts w:ascii="Arial MT" w:hAnsi="Arial MT"/>
          <w:sz w:val="18"/>
        </w:rPr>
        <w:t xml:space="preserve"> las posiciones Empleado doméstico, Jornalero o peón, Trabajador familiar sin remuneración y Patrón </w:t>
      </w:r>
      <w:r>
        <w:rPr>
          <w:rFonts w:ascii="Arial MT" w:hAnsi="Arial MT"/>
          <w:spacing w:val="-2"/>
          <w:sz w:val="18"/>
        </w:rPr>
        <w:t>empleador.</w:t>
      </w:r>
    </w:p>
    <w:p w14:paraId="1DB94936" w14:textId="77777777" w:rsidR="000E52B0" w:rsidRDefault="000E52B0">
      <w:pPr>
        <w:spacing w:line="242" w:lineRule="auto"/>
        <w:jc w:val="both"/>
        <w:rPr>
          <w:rFonts w:ascii="Arial MT" w:hAnsi="Arial MT"/>
          <w:sz w:val="18"/>
        </w:rPr>
        <w:sectPr w:rsidR="000E52B0">
          <w:pgSz w:w="11910" w:h="16840"/>
          <w:pgMar w:top="1340" w:right="720" w:bottom="1180" w:left="720" w:header="0" w:footer="995" w:gutter="0"/>
          <w:cols w:space="720"/>
        </w:sectPr>
      </w:pPr>
    </w:p>
    <w:p w14:paraId="683A6A3E" w14:textId="77777777" w:rsidR="000E52B0" w:rsidRDefault="00F60D74">
      <w:pPr>
        <w:spacing w:before="80"/>
        <w:ind w:left="720"/>
        <w:rPr>
          <w:i/>
          <w:sz w:val="18"/>
        </w:rPr>
      </w:pPr>
      <w:r>
        <w:rPr>
          <w:i/>
          <w:color w:val="454551"/>
          <w:sz w:val="18"/>
        </w:rPr>
        <w:lastRenderedPageBreak/>
        <w:t>Ilustración</w:t>
      </w:r>
      <w:r>
        <w:rPr>
          <w:i/>
          <w:color w:val="454551"/>
          <w:spacing w:val="-1"/>
          <w:sz w:val="18"/>
        </w:rPr>
        <w:t xml:space="preserve"> </w:t>
      </w:r>
      <w:r>
        <w:rPr>
          <w:i/>
          <w:color w:val="454551"/>
          <w:sz w:val="18"/>
        </w:rPr>
        <w:t>36.</w:t>
      </w:r>
      <w:r>
        <w:rPr>
          <w:i/>
          <w:color w:val="454551"/>
          <w:spacing w:val="-3"/>
          <w:sz w:val="18"/>
        </w:rPr>
        <w:t xml:space="preserve"> </w:t>
      </w:r>
      <w:r>
        <w:rPr>
          <w:i/>
          <w:color w:val="454551"/>
          <w:sz w:val="18"/>
        </w:rPr>
        <w:t>Distribución</w:t>
      </w:r>
      <w:r>
        <w:rPr>
          <w:i/>
          <w:color w:val="454551"/>
          <w:spacing w:val="-3"/>
          <w:sz w:val="18"/>
        </w:rPr>
        <w:t xml:space="preserve"> </w:t>
      </w:r>
      <w:r>
        <w:rPr>
          <w:i/>
          <w:color w:val="454551"/>
          <w:sz w:val="18"/>
        </w:rPr>
        <w:t>de</w:t>
      </w:r>
      <w:r>
        <w:rPr>
          <w:i/>
          <w:color w:val="454551"/>
          <w:spacing w:val="-3"/>
          <w:sz w:val="18"/>
        </w:rPr>
        <w:t xml:space="preserve"> </w:t>
      </w:r>
      <w:r>
        <w:rPr>
          <w:i/>
          <w:color w:val="454551"/>
          <w:sz w:val="18"/>
        </w:rPr>
        <w:t>la</w:t>
      </w:r>
      <w:r>
        <w:rPr>
          <w:i/>
          <w:color w:val="454551"/>
          <w:spacing w:val="-3"/>
          <w:sz w:val="18"/>
        </w:rPr>
        <w:t xml:space="preserve"> </w:t>
      </w:r>
      <w:r>
        <w:rPr>
          <w:i/>
          <w:color w:val="454551"/>
          <w:sz w:val="18"/>
        </w:rPr>
        <w:t>población</w:t>
      </w:r>
      <w:r>
        <w:rPr>
          <w:i/>
          <w:color w:val="454551"/>
          <w:spacing w:val="-2"/>
          <w:sz w:val="18"/>
        </w:rPr>
        <w:t xml:space="preserve"> </w:t>
      </w:r>
      <w:r>
        <w:rPr>
          <w:i/>
          <w:color w:val="454551"/>
          <w:sz w:val="18"/>
        </w:rPr>
        <w:t>LGBTIQ+</w:t>
      </w:r>
      <w:r>
        <w:rPr>
          <w:i/>
          <w:color w:val="454551"/>
          <w:spacing w:val="-3"/>
          <w:sz w:val="18"/>
        </w:rPr>
        <w:t xml:space="preserve"> </w:t>
      </w:r>
      <w:r>
        <w:rPr>
          <w:i/>
          <w:color w:val="454551"/>
          <w:sz w:val="18"/>
        </w:rPr>
        <w:t>y</w:t>
      </w:r>
      <w:r>
        <w:rPr>
          <w:i/>
          <w:color w:val="454551"/>
          <w:spacing w:val="-3"/>
          <w:sz w:val="18"/>
        </w:rPr>
        <w:t xml:space="preserve"> </w:t>
      </w:r>
      <w:r>
        <w:rPr>
          <w:i/>
          <w:color w:val="454551"/>
          <w:sz w:val="18"/>
        </w:rPr>
        <w:t>población</w:t>
      </w:r>
      <w:r>
        <w:rPr>
          <w:i/>
          <w:color w:val="454551"/>
          <w:spacing w:val="-2"/>
          <w:sz w:val="18"/>
        </w:rPr>
        <w:t xml:space="preserve"> </w:t>
      </w:r>
      <w:r>
        <w:rPr>
          <w:i/>
          <w:color w:val="454551"/>
          <w:sz w:val="18"/>
        </w:rPr>
        <w:t>cisgénero</w:t>
      </w:r>
      <w:r>
        <w:rPr>
          <w:i/>
          <w:color w:val="454551"/>
          <w:spacing w:val="-2"/>
          <w:sz w:val="18"/>
        </w:rPr>
        <w:t xml:space="preserve"> </w:t>
      </w:r>
      <w:r>
        <w:rPr>
          <w:i/>
          <w:color w:val="454551"/>
          <w:sz w:val="18"/>
        </w:rPr>
        <w:t>ocupada</w:t>
      </w:r>
      <w:r>
        <w:rPr>
          <w:i/>
          <w:color w:val="454551"/>
          <w:spacing w:val="-3"/>
          <w:sz w:val="18"/>
        </w:rPr>
        <w:t xml:space="preserve"> </w:t>
      </w:r>
      <w:r>
        <w:rPr>
          <w:i/>
          <w:color w:val="454551"/>
          <w:sz w:val="18"/>
        </w:rPr>
        <w:t>según</w:t>
      </w:r>
      <w:r>
        <w:rPr>
          <w:i/>
          <w:color w:val="454551"/>
          <w:spacing w:val="-2"/>
          <w:sz w:val="18"/>
        </w:rPr>
        <w:t xml:space="preserve"> </w:t>
      </w:r>
      <w:r>
        <w:rPr>
          <w:i/>
          <w:color w:val="454551"/>
          <w:sz w:val="18"/>
        </w:rPr>
        <w:t xml:space="preserve">posición </w:t>
      </w:r>
      <w:r>
        <w:rPr>
          <w:i/>
          <w:color w:val="454551"/>
          <w:spacing w:val="-2"/>
          <w:sz w:val="18"/>
        </w:rPr>
        <w:t>ocupacional</w:t>
      </w:r>
    </w:p>
    <w:p w14:paraId="240AAD42" w14:textId="77777777" w:rsidR="000E52B0" w:rsidRDefault="000E52B0">
      <w:pPr>
        <w:pStyle w:val="Textoindependiente"/>
        <w:spacing w:before="31"/>
        <w:ind w:left="0"/>
        <w:rPr>
          <w:i/>
          <w:sz w:val="18"/>
        </w:rPr>
      </w:pPr>
    </w:p>
    <w:p w14:paraId="48A5838F" w14:textId="77777777" w:rsidR="000E52B0" w:rsidRDefault="00F60D74">
      <w:pPr>
        <w:spacing w:line="330" w:lineRule="atLeast"/>
        <w:ind w:left="2044" w:right="2154"/>
        <w:rPr>
          <w:rFonts w:ascii="Trebuchet MS" w:hAnsi="Trebuchet MS"/>
          <w:sz w:val="18"/>
        </w:rPr>
      </w:pPr>
      <w:r>
        <w:rPr>
          <w:noProof/>
        </w:rPr>
        <w:drawing>
          <wp:inline distT="0" distB="0" distL="0" distR="0" wp14:anchorId="3A446687" wp14:editId="6D1E0F8C">
            <wp:extent cx="62779" cy="62779"/>
            <wp:effectExtent l="0" t="0" r="0" b="0"/>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74" cstate="print"/>
                    <a:stretch>
                      <a:fillRect/>
                    </a:stretch>
                  </pic:blipFill>
                  <pic:spPr>
                    <a:xfrm>
                      <a:off x="0" y="0"/>
                      <a:ext cx="62779" cy="62779"/>
                    </a:xfrm>
                    <a:prstGeom prst="rect">
                      <a:avLst/>
                    </a:prstGeom>
                  </pic:spPr>
                </pic:pic>
              </a:graphicData>
            </a:graphic>
          </wp:inline>
        </w:drawing>
      </w:r>
      <w:r>
        <w:rPr>
          <w:rFonts w:ascii="Times New Roman" w:hAnsi="Times New Roman"/>
          <w:sz w:val="20"/>
        </w:rPr>
        <w:t xml:space="preserve"> </w:t>
      </w:r>
      <w:r>
        <w:rPr>
          <w:rFonts w:ascii="Trebuchet MS" w:hAnsi="Trebuchet MS"/>
          <w:color w:val="585858"/>
          <w:spacing w:val="-2"/>
          <w:sz w:val="18"/>
        </w:rPr>
        <w:t>Personas</w:t>
      </w:r>
      <w:r>
        <w:rPr>
          <w:rFonts w:ascii="Trebuchet MS" w:hAnsi="Trebuchet MS"/>
          <w:color w:val="585858"/>
          <w:spacing w:val="-9"/>
          <w:sz w:val="18"/>
        </w:rPr>
        <w:t xml:space="preserve"> </w:t>
      </w:r>
      <w:r>
        <w:rPr>
          <w:rFonts w:ascii="Trebuchet MS" w:hAnsi="Trebuchet MS"/>
          <w:color w:val="585858"/>
          <w:spacing w:val="-2"/>
          <w:sz w:val="18"/>
        </w:rPr>
        <w:t>con</w:t>
      </w:r>
      <w:r>
        <w:rPr>
          <w:rFonts w:ascii="Trebuchet MS" w:hAnsi="Trebuchet MS"/>
          <w:color w:val="585858"/>
          <w:spacing w:val="-9"/>
          <w:sz w:val="18"/>
        </w:rPr>
        <w:t xml:space="preserve"> </w:t>
      </w:r>
      <w:r>
        <w:rPr>
          <w:rFonts w:ascii="Trebuchet MS" w:hAnsi="Trebuchet MS"/>
          <w:color w:val="585858"/>
          <w:spacing w:val="-2"/>
          <w:sz w:val="18"/>
        </w:rPr>
        <w:t>orientaciones</w:t>
      </w:r>
      <w:r>
        <w:rPr>
          <w:rFonts w:ascii="Trebuchet MS" w:hAnsi="Trebuchet MS"/>
          <w:color w:val="585858"/>
          <w:spacing w:val="-11"/>
          <w:sz w:val="18"/>
        </w:rPr>
        <w:t xml:space="preserve"> </w:t>
      </w:r>
      <w:r>
        <w:rPr>
          <w:rFonts w:ascii="Trebuchet MS" w:hAnsi="Trebuchet MS"/>
          <w:color w:val="585858"/>
          <w:spacing w:val="-2"/>
          <w:sz w:val="18"/>
        </w:rPr>
        <w:t>sexuales</w:t>
      </w:r>
      <w:r>
        <w:rPr>
          <w:rFonts w:ascii="Trebuchet MS" w:hAnsi="Trebuchet MS"/>
          <w:color w:val="585858"/>
          <w:spacing w:val="-9"/>
          <w:sz w:val="18"/>
        </w:rPr>
        <w:t xml:space="preserve"> </w:t>
      </w:r>
      <w:r>
        <w:rPr>
          <w:rFonts w:ascii="Trebuchet MS" w:hAnsi="Trebuchet MS"/>
          <w:color w:val="585858"/>
          <w:spacing w:val="-2"/>
          <w:sz w:val="18"/>
        </w:rPr>
        <w:t>e</w:t>
      </w:r>
      <w:r>
        <w:rPr>
          <w:rFonts w:ascii="Trebuchet MS" w:hAnsi="Trebuchet MS"/>
          <w:color w:val="585858"/>
          <w:spacing w:val="-10"/>
          <w:sz w:val="18"/>
        </w:rPr>
        <w:t xml:space="preserve"> </w:t>
      </w:r>
      <w:r>
        <w:rPr>
          <w:rFonts w:ascii="Trebuchet MS" w:hAnsi="Trebuchet MS"/>
          <w:color w:val="585858"/>
          <w:spacing w:val="-2"/>
          <w:sz w:val="18"/>
        </w:rPr>
        <w:t>identidades</w:t>
      </w:r>
      <w:r>
        <w:rPr>
          <w:rFonts w:ascii="Trebuchet MS" w:hAnsi="Trebuchet MS"/>
          <w:color w:val="585858"/>
          <w:spacing w:val="-9"/>
          <w:sz w:val="18"/>
        </w:rPr>
        <w:t xml:space="preserve"> </w:t>
      </w:r>
      <w:r>
        <w:rPr>
          <w:rFonts w:ascii="Trebuchet MS" w:hAnsi="Trebuchet MS"/>
          <w:color w:val="585858"/>
          <w:spacing w:val="-2"/>
          <w:sz w:val="18"/>
        </w:rPr>
        <w:t>de</w:t>
      </w:r>
      <w:r>
        <w:rPr>
          <w:rFonts w:ascii="Trebuchet MS" w:hAnsi="Trebuchet MS"/>
          <w:color w:val="585858"/>
          <w:spacing w:val="-10"/>
          <w:sz w:val="18"/>
        </w:rPr>
        <w:t xml:space="preserve"> </w:t>
      </w:r>
      <w:r>
        <w:rPr>
          <w:rFonts w:ascii="Trebuchet MS" w:hAnsi="Trebuchet MS"/>
          <w:color w:val="585858"/>
          <w:spacing w:val="-2"/>
          <w:sz w:val="18"/>
        </w:rPr>
        <w:t>género</w:t>
      </w:r>
      <w:r>
        <w:rPr>
          <w:rFonts w:ascii="Trebuchet MS" w:hAnsi="Trebuchet MS"/>
          <w:color w:val="585858"/>
          <w:spacing w:val="-9"/>
          <w:sz w:val="18"/>
        </w:rPr>
        <w:t xml:space="preserve"> </w:t>
      </w:r>
      <w:r>
        <w:rPr>
          <w:rFonts w:ascii="Trebuchet MS" w:hAnsi="Trebuchet MS"/>
          <w:color w:val="585858"/>
          <w:spacing w:val="-2"/>
          <w:sz w:val="18"/>
        </w:rPr>
        <w:t>no</w:t>
      </w:r>
      <w:r>
        <w:rPr>
          <w:rFonts w:ascii="Trebuchet MS" w:hAnsi="Trebuchet MS"/>
          <w:color w:val="585858"/>
          <w:spacing w:val="-9"/>
          <w:sz w:val="18"/>
        </w:rPr>
        <w:t xml:space="preserve"> </w:t>
      </w:r>
      <w:r>
        <w:rPr>
          <w:rFonts w:ascii="Trebuchet MS" w:hAnsi="Trebuchet MS"/>
          <w:color w:val="585858"/>
          <w:spacing w:val="-2"/>
          <w:sz w:val="18"/>
        </w:rPr>
        <w:t xml:space="preserve">hegemónicas </w:t>
      </w:r>
      <w:r>
        <w:rPr>
          <w:rFonts w:ascii="Trebuchet MS" w:hAnsi="Trebuchet MS"/>
          <w:noProof/>
          <w:color w:val="585858"/>
          <w:sz w:val="18"/>
        </w:rPr>
        <w:drawing>
          <wp:inline distT="0" distB="0" distL="0" distR="0" wp14:anchorId="35476B24" wp14:editId="0FE61288">
            <wp:extent cx="62779" cy="62779"/>
            <wp:effectExtent l="0" t="0" r="0" b="0"/>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73" cstate="print"/>
                    <a:stretch>
                      <a:fillRect/>
                    </a:stretch>
                  </pic:blipFill>
                  <pic:spPr>
                    <a:xfrm>
                      <a:off x="0" y="0"/>
                      <a:ext cx="62779" cy="62779"/>
                    </a:xfrm>
                    <a:prstGeom prst="rect">
                      <a:avLst/>
                    </a:prstGeom>
                  </pic:spPr>
                </pic:pic>
              </a:graphicData>
            </a:graphic>
          </wp:inline>
        </w:drawing>
      </w:r>
      <w:r>
        <w:rPr>
          <w:rFonts w:ascii="Times New Roman" w:hAnsi="Times New Roman"/>
          <w:color w:val="585858"/>
          <w:sz w:val="18"/>
        </w:rPr>
        <w:t xml:space="preserve"> </w:t>
      </w:r>
      <w:r>
        <w:rPr>
          <w:rFonts w:ascii="Trebuchet MS" w:hAnsi="Trebuchet MS"/>
          <w:color w:val="585858"/>
          <w:sz w:val="18"/>
        </w:rPr>
        <w:t xml:space="preserve">Personas cisgénero </w:t>
      </w:r>
      <w:proofErr w:type="spellStart"/>
      <w:r>
        <w:rPr>
          <w:rFonts w:ascii="Trebuchet MS" w:hAnsi="Trebuchet MS"/>
          <w:color w:val="585858"/>
          <w:sz w:val="18"/>
        </w:rPr>
        <w:t>heteronormadas</w:t>
      </w:r>
      <w:proofErr w:type="spellEnd"/>
    </w:p>
    <w:p w14:paraId="10B4E2D6" w14:textId="77777777" w:rsidR="000E52B0" w:rsidRDefault="00F60D74">
      <w:pPr>
        <w:spacing w:before="62"/>
        <w:ind w:left="1446"/>
        <w:rPr>
          <w:rFonts w:ascii="Trebuchet MS"/>
          <w:sz w:val="18"/>
        </w:rPr>
      </w:pPr>
      <w:r>
        <w:rPr>
          <w:rFonts w:ascii="Trebuchet MS"/>
          <w:color w:val="404040"/>
          <w:spacing w:val="-2"/>
          <w:w w:val="105"/>
          <w:sz w:val="18"/>
        </w:rPr>
        <w:t>55,9%</w:t>
      </w:r>
    </w:p>
    <w:p w14:paraId="066EF613" w14:textId="77777777" w:rsidR="000E52B0" w:rsidRDefault="00F60D74">
      <w:pPr>
        <w:pStyle w:val="Textoindependiente"/>
        <w:spacing w:before="3"/>
        <w:ind w:left="0"/>
        <w:rPr>
          <w:rFonts w:ascii="Trebuchet MS"/>
          <w:sz w:val="5"/>
        </w:rPr>
      </w:pPr>
      <w:r>
        <w:rPr>
          <w:rFonts w:ascii="Trebuchet MS"/>
          <w:noProof/>
          <w:sz w:val="5"/>
        </w:rPr>
        <mc:AlternateContent>
          <mc:Choice Requires="wpg">
            <w:drawing>
              <wp:anchor distT="0" distB="0" distL="0" distR="0" simplePos="0" relativeHeight="487645184" behindDoc="1" locked="0" layoutInCell="1" allowOverlap="1" wp14:anchorId="0861A5B4" wp14:editId="083C27B7">
                <wp:simplePos x="0" y="0"/>
                <wp:positionH relativeFrom="page">
                  <wp:posOffset>1057275</wp:posOffset>
                </wp:positionH>
                <wp:positionV relativeFrom="paragraph">
                  <wp:posOffset>52070</wp:posOffset>
                </wp:positionV>
                <wp:extent cx="5391150" cy="723900"/>
                <wp:effectExtent l="0" t="0" r="19050" b="19050"/>
                <wp:wrapTopAndBottom/>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1150" cy="723900"/>
                          <a:chOff x="0" y="0"/>
                          <a:chExt cx="5318760" cy="848360"/>
                        </a:xfrm>
                      </wpg:grpSpPr>
                      <wps:wsp>
                        <wps:cNvPr id="432" name="Graphic 432"/>
                        <wps:cNvSpPr/>
                        <wps:spPr>
                          <a:xfrm>
                            <a:off x="326644" y="10422"/>
                            <a:ext cx="4287520" cy="833119"/>
                          </a:xfrm>
                          <a:custGeom>
                            <a:avLst/>
                            <a:gdLst/>
                            <a:ahLst/>
                            <a:cxnLst/>
                            <a:rect l="l" t="t" r="r" b="b"/>
                            <a:pathLst>
                              <a:path w="4287520" h="833119">
                                <a:moveTo>
                                  <a:pt x="298704" y="0"/>
                                </a:moveTo>
                                <a:lnTo>
                                  <a:pt x="0" y="0"/>
                                </a:lnTo>
                                <a:lnTo>
                                  <a:pt x="0" y="833120"/>
                                </a:lnTo>
                                <a:lnTo>
                                  <a:pt x="298704" y="833120"/>
                                </a:lnTo>
                                <a:lnTo>
                                  <a:pt x="298704" y="0"/>
                                </a:lnTo>
                                <a:close/>
                              </a:path>
                              <a:path w="4287520" h="833119">
                                <a:moveTo>
                                  <a:pt x="1627632" y="326136"/>
                                </a:moveTo>
                                <a:lnTo>
                                  <a:pt x="1328928" y="326136"/>
                                </a:lnTo>
                                <a:lnTo>
                                  <a:pt x="1328928" y="833120"/>
                                </a:lnTo>
                                <a:lnTo>
                                  <a:pt x="1627632" y="833120"/>
                                </a:lnTo>
                                <a:lnTo>
                                  <a:pt x="1627632" y="326136"/>
                                </a:lnTo>
                                <a:close/>
                              </a:path>
                              <a:path w="4287520" h="833119">
                                <a:moveTo>
                                  <a:pt x="2958084" y="740664"/>
                                </a:moveTo>
                                <a:lnTo>
                                  <a:pt x="2659380" y="740664"/>
                                </a:lnTo>
                                <a:lnTo>
                                  <a:pt x="2659380" y="833120"/>
                                </a:lnTo>
                                <a:lnTo>
                                  <a:pt x="2958084" y="833120"/>
                                </a:lnTo>
                                <a:lnTo>
                                  <a:pt x="2958084" y="740664"/>
                                </a:lnTo>
                                <a:close/>
                              </a:path>
                              <a:path w="4287520" h="833119">
                                <a:moveTo>
                                  <a:pt x="4287012" y="780288"/>
                                </a:moveTo>
                                <a:lnTo>
                                  <a:pt x="3988308" y="780288"/>
                                </a:lnTo>
                                <a:lnTo>
                                  <a:pt x="3988308" y="833120"/>
                                </a:lnTo>
                                <a:lnTo>
                                  <a:pt x="4287012" y="833120"/>
                                </a:lnTo>
                                <a:lnTo>
                                  <a:pt x="4287012" y="780288"/>
                                </a:lnTo>
                                <a:close/>
                              </a:path>
                            </a:pathLst>
                          </a:custGeom>
                          <a:solidFill>
                            <a:srgbClr val="E22C91"/>
                          </a:solidFill>
                        </wps:spPr>
                        <wps:bodyPr wrap="square" lIns="0" tIns="0" rIns="0" bIns="0" rtlCol="0">
                          <a:prstTxWarp prst="textNoShape">
                            <a:avLst/>
                          </a:prstTxWarp>
                          <a:noAutofit/>
                        </wps:bodyPr>
                      </wps:wsp>
                      <wps:wsp>
                        <wps:cNvPr id="433" name="Graphic 433"/>
                        <wps:cNvSpPr/>
                        <wps:spPr>
                          <a:xfrm>
                            <a:off x="704596" y="196350"/>
                            <a:ext cx="4287520" cy="647700"/>
                          </a:xfrm>
                          <a:custGeom>
                            <a:avLst/>
                            <a:gdLst/>
                            <a:ahLst/>
                            <a:cxnLst/>
                            <a:rect l="l" t="t" r="r" b="b"/>
                            <a:pathLst>
                              <a:path w="4287520" h="647700">
                                <a:moveTo>
                                  <a:pt x="298704" y="0"/>
                                </a:moveTo>
                                <a:lnTo>
                                  <a:pt x="0" y="0"/>
                                </a:lnTo>
                                <a:lnTo>
                                  <a:pt x="0" y="647192"/>
                                </a:lnTo>
                                <a:lnTo>
                                  <a:pt x="298704" y="647192"/>
                                </a:lnTo>
                                <a:lnTo>
                                  <a:pt x="298704" y="0"/>
                                </a:lnTo>
                                <a:close/>
                              </a:path>
                              <a:path w="4287520" h="647700">
                                <a:moveTo>
                                  <a:pt x="1627632" y="22860"/>
                                </a:moveTo>
                                <a:lnTo>
                                  <a:pt x="1330452" y="22860"/>
                                </a:lnTo>
                                <a:lnTo>
                                  <a:pt x="1330452" y="647192"/>
                                </a:lnTo>
                                <a:lnTo>
                                  <a:pt x="1627632" y="647192"/>
                                </a:lnTo>
                                <a:lnTo>
                                  <a:pt x="1627632" y="22860"/>
                                </a:lnTo>
                                <a:close/>
                              </a:path>
                              <a:path w="4287520" h="647700">
                                <a:moveTo>
                                  <a:pt x="2958084" y="487680"/>
                                </a:moveTo>
                                <a:lnTo>
                                  <a:pt x="2659380" y="487680"/>
                                </a:lnTo>
                                <a:lnTo>
                                  <a:pt x="2659380" y="647192"/>
                                </a:lnTo>
                                <a:lnTo>
                                  <a:pt x="2958084" y="647192"/>
                                </a:lnTo>
                                <a:lnTo>
                                  <a:pt x="2958084" y="487680"/>
                                </a:lnTo>
                                <a:close/>
                              </a:path>
                              <a:path w="4287520" h="647700">
                                <a:moveTo>
                                  <a:pt x="4287012" y="586740"/>
                                </a:moveTo>
                                <a:lnTo>
                                  <a:pt x="3989832" y="586740"/>
                                </a:lnTo>
                                <a:lnTo>
                                  <a:pt x="3989832" y="647192"/>
                                </a:lnTo>
                                <a:lnTo>
                                  <a:pt x="4287012" y="647192"/>
                                </a:lnTo>
                                <a:lnTo>
                                  <a:pt x="4287012" y="586740"/>
                                </a:lnTo>
                                <a:close/>
                              </a:path>
                            </a:pathLst>
                          </a:custGeom>
                          <a:solidFill>
                            <a:srgbClr val="FFC000"/>
                          </a:solidFill>
                        </wps:spPr>
                        <wps:bodyPr wrap="square" lIns="0" tIns="0" rIns="0" bIns="0" rtlCol="0">
                          <a:prstTxWarp prst="textNoShape">
                            <a:avLst/>
                          </a:prstTxWarp>
                          <a:noAutofit/>
                        </wps:bodyPr>
                      </wps:wsp>
                      <wps:wsp>
                        <wps:cNvPr id="434" name="Graphic 434"/>
                        <wps:cNvSpPr/>
                        <wps:spPr>
                          <a:xfrm>
                            <a:off x="0" y="843542"/>
                            <a:ext cx="5318760" cy="1270"/>
                          </a:xfrm>
                          <a:custGeom>
                            <a:avLst/>
                            <a:gdLst/>
                            <a:ahLst/>
                            <a:cxnLst/>
                            <a:rect l="l" t="t" r="r" b="b"/>
                            <a:pathLst>
                              <a:path w="5318760">
                                <a:moveTo>
                                  <a:pt x="0" y="0"/>
                                </a:moveTo>
                                <a:lnTo>
                                  <a:pt x="5318760" y="0"/>
                                </a:lnTo>
                              </a:path>
                            </a:pathLst>
                          </a:custGeom>
                          <a:ln w="9525">
                            <a:solidFill>
                              <a:srgbClr val="D9D9D9"/>
                            </a:solidFill>
                            <a:prstDash val="solid"/>
                          </a:ln>
                        </wps:spPr>
                        <wps:bodyPr wrap="square" lIns="0" tIns="0" rIns="0" bIns="0" rtlCol="0">
                          <a:prstTxWarp prst="textNoShape">
                            <a:avLst/>
                          </a:prstTxWarp>
                          <a:noAutofit/>
                        </wps:bodyPr>
                      </wps:wsp>
                      <wps:wsp>
                        <wps:cNvPr id="435" name="Textbox 435"/>
                        <wps:cNvSpPr txBox="1"/>
                        <wps:spPr>
                          <a:xfrm>
                            <a:off x="700023" y="0"/>
                            <a:ext cx="322580" cy="139700"/>
                          </a:xfrm>
                          <a:prstGeom prst="rect">
                            <a:avLst/>
                          </a:prstGeom>
                        </wps:spPr>
                        <wps:txbx>
                          <w:txbxContent>
                            <w:p w14:paraId="3650AAF9" w14:textId="77777777" w:rsidR="000E52B0" w:rsidRDefault="00F60D74">
                              <w:pPr>
                                <w:rPr>
                                  <w:rFonts w:ascii="Trebuchet MS"/>
                                  <w:sz w:val="18"/>
                                </w:rPr>
                              </w:pPr>
                              <w:r>
                                <w:rPr>
                                  <w:rFonts w:ascii="Trebuchet MS"/>
                                  <w:color w:val="404040"/>
                                  <w:spacing w:val="-2"/>
                                  <w:w w:val="105"/>
                                  <w:sz w:val="18"/>
                                </w:rPr>
                                <w:t>43,4%</w:t>
                              </w:r>
                            </w:p>
                          </w:txbxContent>
                        </wps:txbx>
                        <wps:bodyPr wrap="square" lIns="0" tIns="0" rIns="0" bIns="0" rtlCol="0">
                          <a:noAutofit/>
                        </wps:bodyPr>
                      </wps:wsp>
                      <wps:wsp>
                        <wps:cNvPr id="436" name="Textbox 436"/>
                        <wps:cNvSpPr txBox="1"/>
                        <wps:spPr>
                          <a:xfrm>
                            <a:off x="2030222" y="22225"/>
                            <a:ext cx="322580" cy="139700"/>
                          </a:xfrm>
                          <a:prstGeom prst="rect">
                            <a:avLst/>
                          </a:prstGeom>
                        </wps:spPr>
                        <wps:txbx>
                          <w:txbxContent>
                            <w:p w14:paraId="757F2722" w14:textId="77777777" w:rsidR="000E52B0" w:rsidRDefault="00F60D74">
                              <w:pPr>
                                <w:rPr>
                                  <w:rFonts w:ascii="Trebuchet MS"/>
                                  <w:sz w:val="18"/>
                                </w:rPr>
                              </w:pPr>
                              <w:r>
                                <w:rPr>
                                  <w:rFonts w:ascii="Trebuchet MS"/>
                                  <w:color w:val="404040"/>
                                  <w:spacing w:val="-2"/>
                                  <w:w w:val="105"/>
                                  <w:sz w:val="18"/>
                                </w:rPr>
                                <w:t>41,9%</w:t>
                              </w:r>
                            </w:p>
                          </w:txbxContent>
                        </wps:txbx>
                        <wps:bodyPr wrap="square" lIns="0" tIns="0" rIns="0" bIns="0" rtlCol="0">
                          <a:noAutofit/>
                        </wps:bodyPr>
                      </wps:wsp>
                      <wps:wsp>
                        <wps:cNvPr id="437" name="Textbox 437"/>
                        <wps:cNvSpPr txBox="1"/>
                        <wps:spPr>
                          <a:xfrm>
                            <a:off x="1651254" y="139954"/>
                            <a:ext cx="322580" cy="139700"/>
                          </a:xfrm>
                          <a:prstGeom prst="rect">
                            <a:avLst/>
                          </a:prstGeom>
                        </wps:spPr>
                        <wps:txbx>
                          <w:txbxContent>
                            <w:p w14:paraId="5AB746D1" w14:textId="77777777" w:rsidR="000E52B0" w:rsidRDefault="00F60D74">
                              <w:pPr>
                                <w:rPr>
                                  <w:rFonts w:ascii="Trebuchet MS"/>
                                  <w:sz w:val="18"/>
                                </w:rPr>
                              </w:pPr>
                              <w:r>
                                <w:rPr>
                                  <w:rFonts w:ascii="Trebuchet MS"/>
                                  <w:color w:val="404040"/>
                                  <w:spacing w:val="-2"/>
                                  <w:w w:val="105"/>
                                  <w:sz w:val="18"/>
                                </w:rPr>
                                <w:t>34,0%</w:t>
                              </w:r>
                            </w:p>
                          </w:txbxContent>
                        </wps:txbx>
                        <wps:bodyPr wrap="square" lIns="0" tIns="0" rIns="0" bIns="0" rtlCol="0">
                          <a:noAutofit/>
                        </wps:bodyPr>
                      </wps:wsp>
                      <wps:wsp>
                        <wps:cNvPr id="438" name="Textbox 438"/>
                        <wps:cNvSpPr txBox="1"/>
                        <wps:spPr>
                          <a:xfrm>
                            <a:off x="3011932" y="554101"/>
                            <a:ext cx="261620" cy="139700"/>
                          </a:xfrm>
                          <a:prstGeom prst="rect">
                            <a:avLst/>
                          </a:prstGeom>
                        </wps:spPr>
                        <wps:txbx>
                          <w:txbxContent>
                            <w:p w14:paraId="4C035C2D" w14:textId="77777777" w:rsidR="000E52B0" w:rsidRDefault="00F60D74">
                              <w:pPr>
                                <w:rPr>
                                  <w:rFonts w:ascii="Trebuchet MS"/>
                                  <w:sz w:val="18"/>
                                </w:rPr>
                              </w:pPr>
                              <w:r>
                                <w:rPr>
                                  <w:rFonts w:ascii="Trebuchet MS"/>
                                  <w:color w:val="404040"/>
                                  <w:spacing w:val="-4"/>
                                  <w:w w:val="105"/>
                                  <w:sz w:val="18"/>
                                </w:rPr>
                                <w:t>6,2%</w:t>
                              </w:r>
                            </w:p>
                          </w:txbxContent>
                        </wps:txbx>
                        <wps:bodyPr wrap="square" lIns="0" tIns="0" rIns="0" bIns="0" rtlCol="0">
                          <a:noAutofit/>
                        </wps:bodyPr>
                      </wps:wsp>
                      <wps:wsp>
                        <wps:cNvPr id="439" name="Textbox 439"/>
                        <wps:cNvSpPr txBox="1"/>
                        <wps:spPr>
                          <a:xfrm>
                            <a:off x="3360039" y="487044"/>
                            <a:ext cx="322580" cy="139700"/>
                          </a:xfrm>
                          <a:prstGeom prst="rect">
                            <a:avLst/>
                          </a:prstGeom>
                        </wps:spPr>
                        <wps:txbx>
                          <w:txbxContent>
                            <w:p w14:paraId="26ECDBA3" w14:textId="77777777" w:rsidR="000E52B0" w:rsidRDefault="00F60D74">
                              <w:pPr>
                                <w:rPr>
                                  <w:rFonts w:ascii="Trebuchet MS"/>
                                  <w:sz w:val="18"/>
                                </w:rPr>
                              </w:pPr>
                              <w:r>
                                <w:rPr>
                                  <w:rFonts w:ascii="Trebuchet MS"/>
                                  <w:color w:val="404040"/>
                                  <w:spacing w:val="-2"/>
                                  <w:w w:val="105"/>
                                  <w:sz w:val="18"/>
                                </w:rPr>
                                <w:t>10,7%</w:t>
                              </w:r>
                            </w:p>
                          </w:txbxContent>
                        </wps:txbx>
                        <wps:bodyPr wrap="square" lIns="0" tIns="0" rIns="0" bIns="0" rtlCol="0">
                          <a:noAutofit/>
                        </wps:bodyPr>
                      </wps:wsp>
                      <wps:wsp>
                        <wps:cNvPr id="440" name="Textbox 440"/>
                        <wps:cNvSpPr txBox="1"/>
                        <wps:spPr>
                          <a:xfrm>
                            <a:off x="4341748" y="585597"/>
                            <a:ext cx="640080" cy="148590"/>
                          </a:xfrm>
                          <a:prstGeom prst="rect">
                            <a:avLst/>
                          </a:prstGeom>
                        </wps:spPr>
                        <wps:txbx>
                          <w:txbxContent>
                            <w:p w14:paraId="5157D971" w14:textId="77777777" w:rsidR="000E52B0" w:rsidRDefault="00F60D74">
                              <w:pPr>
                                <w:tabs>
                                  <w:tab w:val="left" w:pos="596"/>
                                </w:tabs>
                                <w:spacing w:before="3"/>
                                <w:rPr>
                                  <w:rFonts w:ascii="Trebuchet MS"/>
                                  <w:position w:val="1"/>
                                  <w:sz w:val="18"/>
                                </w:rPr>
                              </w:pPr>
                              <w:r>
                                <w:rPr>
                                  <w:rFonts w:ascii="Trebuchet MS"/>
                                  <w:color w:val="404040"/>
                                  <w:spacing w:val="-4"/>
                                  <w:w w:val="105"/>
                                  <w:sz w:val="18"/>
                                </w:rPr>
                                <w:t>3,5%</w:t>
                              </w:r>
                              <w:r>
                                <w:rPr>
                                  <w:rFonts w:ascii="Trebuchet MS"/>
                                  <w:color w:val="404040"/>
                                  <w:sz w:val="18"/>
                                </w:rPr>
                                <w:tab/>
                              </w:r>
                              <w:r>
                                <w:rPr>
                                  <w:rFonts w:ascii="Trebuchet MS"/>
                                  <w:color w:val="404040"/>
                                  <w:spacing w:val="-4"/>
                                  <w:w w:val="105"/>
                                  <w:position w:val="1"/>
                                  <w:sz w:val="18"/>
                                </w:rPr>
                                <w:t>4,1%</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861A5B4" id="Group 431" o:spid="_x0000_s1251" style="position:absolute;margin-left:83.25pt;margin-top:4.1pt;width:424.5pt;height:57pt;z-index:-15671296;mso-wrap-distance-left:0;mso-wrap-distance-right:0;mso-position-horizontal-relative:page;mso-position-vertical-relative:text;mso-width-relative:margin;mso-height-relative:margin" coordsize="53187,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">
                <v:shape id="Graphic 432" o:spid="_x0000_s1252" style="position:absolute;left:3266;top:104;width:42875;height:8331;visibility:visible;mso-wrap-style:square;v-text-anchor:top" coordsize="4287520,83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" path="m298704,l,,,833120r298704,l298704,xem1627632,326136r-298704,l1328928,833120r298704,l1627632,326136xem2958084,740664r-298704,l2659380,833120r298704,l2958084,740664xem4287012,780288r-298704,l3988308,833120r298704,l4287012,780288xe" fillcolor="#e22c91" stroked="f">
                  <v:path arrowok="t"/>
                </v:shape>
                <v:shape id="Graphic 433" o:spid="_x0000_s1253" style="position:absolute;left:7045;top:1963;width:42876;height:6477;visibility:visible;mso-wrap-style:square;v-text-anchor:top" coordsize="428752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" path="m298704,l,,,647192r298704,l298704,xem1627632,22860r-297180,l1330452,647192r297180,l1627632,22860xem2958084,487680r-298704,l2659380,647192r298704,l2958084,487680xem4287012,586740r-297180,l3989832,647192r297180,l4287012,586740xe" fillcolor="#ffc000" stroked="f">
                  <v:path arrowok="t"/>
                </v:shape>
                <v:shape id="Graphic 434" o:spid="_x0000_s1254" style="position:absolute;top:8435;width:53187;height:13;visibility:visible;mso-wrap-style:square;v-text-anchor:top" coordsize="5318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" path="m,l5318760,e" filled="f" strokecolor="#d9d9d9">
                  <v:path arrowok="t"/>
                </v:shape>
                <v:shape id="Textbox 435" o:spid="_x0000_s1255" type="#_x0000_t202" style="position:absolute;left:7000;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3650AAF9" w14:textId="77777777" w:rsidR="000E52B0" w:rsidRDefault="00F60D74">
                        <w:pPr>
                          <w:rPr>
                            <w:rFonts w:ascii="Trebuchet MS"/>
                            <w:sz w:val="18"/>
                          </w:rPr>
                        </w:pPr>
                        <w:r>
                          <w:rPr>
                            <w:rFonts w:ascii="Trebuchet MS"/>
                            <w:color w:val="404040"/>
                            <w:spacing w:val="-2"/>
                            <w:w w:val="105"/>
                            <w:sz w:val="18"/>
                          </w:rPr>
                          <w:t>43,4%</w:t>
                        </w:r>
                      </w:p>
                    </w:txbxContent>
                  </v:textbox>
                </v:shape>
                <v:shape id="Textbox 436" o:spid="_x0000_s1256" type="#_x0000_t202" style="position:absolute;left:20302;top:222;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757F2722" w14:textId="77777777" w:rsidR="000E52B0" w:rsidRDefault="00F60D74">
                        <w:pPr>
                          <w:rPr>
                            <w:rFonts w:ascii="Trebuchet MS"/>
                            <w:sz w:val="18"/>
                          </w:rPr>
                        </w:pPr>
                        <w:r>
                          <w:rPr>
                            <w:rFonts w:ascii="Trebuchet MS"/>
                            <w:color w:val="404040"/>
                            <w:spacing w:val="-2"/>
                            <w:w w:val="105"/>
                            <w:sz w:val="18"/>
                          </w:rPr>
                          <w:t>41,9%</w:t>
                        </w:r>
                      </w:p>
                    </w:txbxContent>
                  </v:textbox>
                </v:shape>
                <v:shape id="Textbox 437" o:spid="_x0000_s1257" type="#_x0000_t202" style="position:absolute;left:16512;top:1399;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5AB746D1" w14:textId="77777777" w:rsidR="000E52B0" w:rsidRDefault="00F60D74">
                        <w:pPr>
                          <w:rPr>
                            <w:rFonts w:ascii="Trebuchet MS"/>
                            <w:sz w:val="18"/>
                          </w:rPr>
                        </w:pPr>
                        <w:r>
                          <w:rPr>
                            <w:rFonts w:ascii="Trebuchet MS"/>
                            <w:color w:val="404040"/>
                            <w:spacing w:val="-2"/>
                            <w:w w:val="105"/>
                            <w:sz w:val="18"/>
                          </w:rPr>
                          <w:t>34,0%</w:t>
                        </w:r>
                      </w:p>
                    </w:txbxContent>
                  </v:textbox>
                </v:shape>
                <v:shape id="Textbox 438" o:spid="_x0000_s1258" type="#_x0000_t202" style="position:absolute;left:30119;top:5541;width:261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4C035C2D" w14:textId="77777777" w:rsidR="000E52B0" w:rsidRDefault="00F60D74">
                        <w:pPr>
                          <w:rPr>
                            <w:rFonts w:ascii="Trebuchet MS"/>
                            <w:sz w:val="18"/>
                          </w:rPr>
                        </w:pPr>
                        <w:r>
                          <w:rPr>
                            <w:rFonts w:ascii="Trebuchet MS"/>
                            <w:color w:val="404040"/>
                            <w:spacing w:val="-4"/>
                            <w:w w:val="105"/>
                            <w:sz w:val="18"/>
                          </w:rPr>
                          <w:t>6,2%</w:t>
                        </w:r>
                      </w:p>
                    </w:txbxContent>
                  </v:textbox>
                </v:shape>
                <v:shape id="Textbox 439" o:spid="_x0000_s1259" type="#_x0000_t202" style="position:absolute;left:33600;top:4870;width:322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26ECDBA3" w14:textId="77777777" w:rsidR="000E52B0" w:rsidRDefault="00F60D74">
                        <w:pPr>
                          <w:rPr>
                            <w:rFonts w:ascii="Trebuchet MS"/>
                            <w:sz w:val="18"/>
                          </w:rPr>
                        </w:pPr>
                        <w:r>
                          <w:rPr>
                            <w:rFonts w:ascii="Trebuchet MS"/>
                            <w:color w:val="404040"/>
                            <w:spacing w:val="-2"/>
                            <w:w w:val="105"/>
                            <w:sz w:val="18"/>
                          </w:rPr>
                          <w:t>10,7%</w:t>
                        </w:r>
                      </w:p>
                    </w:txbxContent>
                  </v:textbox>
                </v:shape>
                <v:shape id="Textbox 440" o:spid="_x0000_s1260" type="#_x0000_t202" style="position:absolute;left:43417;top:5855;width:6401;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5157D971" w14:textId="77777777" w:rsidR="000E52B0" w:rsidRDefault="00F60D74">
                        <w:pPr>
                          <w:tabs>
                            <w:tab w:val="left" w:pos="596"/>
                          </w:tabs>
                          <w:spacing w:before="3"/>
                          <w:rPr>
                            <w:rFonts w:ascii="Trebuchet MS"/>
                            <w:position w:val="1"/>
                            <w:sz w:val="18"/>
                          </w:rPr>
                        </w:pPr>
                        <w:r>
                          <w:rPr>
                            <w:rFonts w:ascii="Trebuchet MS"/>
                            <w:color w:val="404040"/>
                            <w:spacing w:val="-4"/>
                            <w:w w:val="105"/>
                            <w:sz w:val="18"/>
                          </w:rPr>
                          <w:t>3,5%</w:t>
                        </w:r>
                        <w:r>
                          <w:rPr>
                            <w:rFonts w:ascii="Trebuchet MS"/>
                            <w:color w:val="404040"/>
                            <w:sz w:val="18"/>
                          </w:rPr>
                          <w:tab/>
                        </w:r>
                        <w:r>
                          <w:rPr>
                            <w:rFonts w:ascii="Trebuchet MS"/>
                            <w:color w:val="404040"/>
                            <w:spacing w:val="-4"/>
                            <w:w w:val="105"/>
                            <w:position w:val="1"/>
                            <w:sz w:val="18"/>
                          </w:rPr>
                          <w:t>4,1%</w:t>
                        </w:r>
                      </w:p>
                    </w:txbxContent>
                  </v:textbox>
                </v:shape>
                <w10:wrap type="topAndBottom" anchorx="page"/>
              </v:group>
            </w:pict>
          </mc:Fallback>
        </mc:AlternateContent>
      </w:r>
    </w:p>
    <w:p w14:paraId="69E2F192" w14:textId="77777777" w:rsidR="000E52B0" w:rsidRDefault="000E52B0">
      <w:pPr>
        <w:pStyle w:val="Textoindependiente"/>
        <w:ind w:left="0"/>
        <w:rPr>
          <w:rFonts w:ascii="Trebuchet MS"/>
          <w:sz w:val="6"/>
        </w:rPr>
      </w:pPr>
    </w:p>
    <w:p w14:paraId="425A507F" w14:textId="77777777" w:rsidR="000E52B0" w:rsidRDefault="000E52B0">
      <w:pPr>
        <w:pStyle w:val="Textoindependiente"/>
        <w:rPr>
          <w:rFonts w:ascii="Trebuchet MS"/>
          <w:sz w:val="6"/>
        </w:rPr>
        <w:sectPr w:rsidR="000E52B0">
          <w:pgSz w:w="11910" w:h="16840"/>
          <w:pgMar w:top="1340" w:right="720" w:bottom="1180" w:left="720" w:header="0" w:footer="995" w:gutter="0"/>
          <w:cols w:space="720"/>
        </w:sectPr>
      </w:pPr>
    </w:p>
    <w:p w14:paraId="1DCEE58A" w14:textId="77777777" w:rsidR="000E52B0" w:rsidRDefault="00F60D74">
      <w:pPr>
        <w:spacing w:before="35" w:line="252" w:lineRule="auto"/>
        <w:ind w:left="1610" w:hanging="334"/>
        <w:rPr>
          <w:rFonts w:ascii="Trebuchet MS"/>
          <w:sz w:val="18"/>
        </w:rPr>
      </w:pPr>
      <w:r>
        <w:rPr>
          <w:rFonts w:ascii="Trebuchet MS"/>
          <w:color w:val="585858"/>
          <w:spacing w:val="-4"/>
          <w:sz w:val="18"/>
        </w:rPr>
        <w:t>Obrero,</w:t>
      </w:r>
      <w:r>
        <w:rPr>
          <w:rFonts w:ascii="Trebuchet MS"/>
          <w:color w:val="585858"/>
          <w:spacing w:val="-18"/>
          <w:sz w:val="18"/>
        </w:rPr>
        <w:t xml:space="preserve"> </w:t>
      </w:r>
      <w:r>
        <w:rPr>
          <w:rFonts w:ascii="Trebuchet MS"/>
          <w:color w:val="585858"/>
          <w:spacing w:val="-4"/>
          <w:sz w:val="18"/>
        </w:rPr>
        <w:t xml:space="preserve">empleado </w:t>
      </w:r>
      <w:r>
        <w:rPr>
          <w:rFonts w:ascii="Trebuchet MS"/>
          <w:color w:val="585858"/>
          <w:spacing w:val="-2"/>
          <w:sz w:val="18"/>
        </w:rPr>
        <w:t>particular</w:t>
      </w:r>
    </w:p>
    <w:p w14:paraId="2548AAF6" w14:textId="77777777" w:rsidR="000E52B0" w:rsidRDefault="00F60D74">
      <w:pPr>
        <w:spacing w:before="35" w:line="252" w:lineRule="auto"/>
        <w:ind w:left="1094" w:hanging="608"/>
        <w:rPr>
          <w:rFonts w:ascii="Trebuchet MS"/>
          <w:sz w:val="18"/>
        </w:rPr>
      </w:pPr>
      <w:r>
        <w:br w:type="column"/>
      </w:r>
      <w:r>
        <w:rPr>
          <w:rFonts w:ascii="Trebuchet MS"/>
          <w:color w:val="585858"/>
          <w:spacing w:val="-4"/>
          <w:sz w:val="18"/>
        </w:rPr>
        <w:t>Trabajador</w:t>
      </w:r>
      <w:r>
        <w:rPr>
          <w:rFonts w:ascii="Trebuchet MS"/>
          <w:color w:val="585858"/>
          <w:spacing w:val="-21"/>
          <w:sz w:val="18"/>
        </w:rPr>
        <w:t xml:space="preserve"> </w:t>
      </w:r>
      <w:r>
        <w:rPr>
          <w:rFonts w:ascii="Trebuchet MS"/>
          <w:color w:val="585858"/>
          <w:spacing w:val="-4"/>
          <w:sz w:val="18"/>
        </w:rPr>
        <w:t>por</w:t>
      </w:r>
      <w:r>
        <w:rPr>
          <w:rFonts w:ascii="Trebuchet MS"/>
          <w:color w:val="585858"/>
          <w:spacing w:val="-19"/>
          <w:sz w:val="18"/>
        </w:rPr>
        <w:t xml:space="preserve"> </w:t>
      </w:r>
      <w:r>
        <w:rPr>
          <w:rFonts w:ascii="Trebuchet MS"/>
          <w:color w:val="585858"/>
          <w:spacing w:val="-4"/>
          <w:sz w:val="18"/>
        </w:rPr>
        <w:t xml:space="preserve">cuenta </w:t>
      </w:r>
      <w:r>
        <w:rPr>
          <w:rFonts w:ascii="Trebuchet MS"/>
          <w:color w:val="585858"/>
          <w:spacing w:val="-2"/>
          <w:sz w:val="18"/>
        </w:rPr>
        <w:t>propia</w:t>
      </w:r>
    </w:p>
    <w:p w14:paraId="6FD3724F" w14:textId="77777777" w:rsidR="000E52B0" w:rsidRDefault="00F60D74">
      <w:pPr>
        <w:tabs>
          <w:tab w:val="left" w:pos="1944"/>
        </w:tabs>
        <w:spacing w:before="35"/>
        <w:ind w:right="845"/>
        <w:jc w:val="center"/>
        <w:rPr>
          <w:rFonts w:ascii="Trebuchet MS"/>
          <w:sz w:val="18"/>
        </w:rPr>
      </w:pPr>
      <w:r>
        <w:br w:type="column"/>
      </w:r>
      <w:r>
        <w:rPr>
          <w:rFonts w:ascii="Trebuchet MS"/>
          <w:color w:val="585858"/>
          <w:sz w:val="18"/>
        </w:rPr>
        <w:t>Otras</w:t>
      </w:r>
      <w:r>
        <w:rPr>
          <w:rFonts w:ascii="Trebuchet MS"/>
          <w:color w:val="585858"/>
          <w:spacing w:val="-17"/>
          <w:sz w:val="18"/>
        </w:rPr>
        <w:t xml:space="preserve"> </w:t>
      </w:r>
      <w:r>
        <w:rPr>
          <w:rFonts w:ascii="Trebuchet MS"/>
          <w:color w:val="585858"/>
          <w:spacing w:val="-2"/>
          <w:sz w:val="18"/>
        </w:rPr>
        <w:t>posiciones*</w:t>
      </w:r>
      <w:r>
        <w:rPr>
          <w:rFonts w:ascii="Trebuchet MS"/>
          <w:color w:val="585858"/>
          <w:sz w:val="18"/>
        </w:rPr>
        <w:tab/>
      </w:r>
      <w:r>
        <w:rPr>
          <w:rFonts w:ascii="Trebuchet MS"/>
          <w:color w:val="585858"/>
          <w:spacing w:val="-4"/>
          <w:sz w:val="18"/>
        </w:rPr>
        <w:t>Obrero,</w:t>
      </w:r>
      <w:r>
        <w:rPr>
          <w:rFonts w:ascii="Trebuchet MS"/>
          <w:color w:val="585858"/>
          <w:spacing w:val="-10"/>
          <w:sz w:val="18"/>
        </w:rPr>
        <w:t xml:space="preserve"> </w:t>
      </w:r>
      <w:r>
        <w:rPr>
          <w:rFonts w:ascii="Trebuchet MS"/>
          <w:color w:val="585858"/>
          <w:spacing w:val="-4"/>
          <w:sz w:val="18"/>
        </w:rPr>
        <w:t>empleado</w:t>
      </w:r>
      <w:r>
        <w:rPr>
          <w:rFonts w:ascii="Trebuchet MS"/>
          <w:color w:val="585858"/>
          <w:spacing w:val="-9"/>
          <w:sz w:val="18"/>
        </w:rPr>
        <w:t xml:space="preserve"> </w:t>
      </w:r>
      <w:r>
        <w:rPr>
          <w:rFonts w:ascii="Trebuchet MS"/>
          <w:color w:val="585858"/>
          <w:spacing w:val="-5"/>
          <w:sz w:val="18"/>
        </w:rPr>
        <w:t>del</w:t>
      </w:r>
    </w:p>
    <w:p w14:paraId="1DD543D3" w14:textId="77777777" w:rsidR="000E52B0" w:rsidRDefault="00F60D74">
      <w:pPr>
        <w:spacing w:before="11"/>
        <w:ind w:left="1943" w:right="845"/>
        <w:jc w:val="center"/>
        <w:rPr>
          <w:rFonts w:ascii="Trebuchet MS"/>
          <w:sz w:val="18"/>
        </w:rPr>
      </w:pPr>
      <w:r>
        <w:rPr>
          <w:rFonts w:ascii="Trebuchet MS"/>
          <w:color w:val="585858"/>
          <w:spacing w:val="-2"/>
          <w:sz w:val="18"/>
        </w:rPr>
        <w:t>gobierno</w:t>
      </w:r>
    </w:p>
    <w:p w14:paraId="1997CAB3" w14:textId="77777777" w:rsidR="000E52B0" w:rsidRDefault="000E52B0">
      <w:pPr>
        <w:jc w:val="center"/>
        <w:rPr>
          <w:rFonts w:ascii="Trebuchet MS"/>
          <w:sz w:val="18"/>
        </w:rPr>
        <w:sectPr w:rsidR="000E52B0">
          <w:type w:val="continuous"/>
          <w:pgSz w:w="11910" w:h="16840"/>
          <w:pgMar w:top="1340" w:right="720" w:bottom="1280" w:left="720" w:header="0" w:footer="995" w:gutter="0"/>
          <w:cols w:num="3" w:space="720" w:equalWidth="0">
            <w:col w:w="2698" w:space="40"/>
            <w:col w:w="2200" w:space="39"/>
            <w:col w:w="5493"/>
          </w:cols>
        </w:sectPr>
      </w:pPr>
    </w:p>
    <w:p w14:paraId="6F47EEB8" w14:textId="77777777" w:rsidR="000E52B0" w:rsidRDefault="000E52B0">
      <w:pPr>
        <w:pStyle w:val="Textoindependiente"/>
        <w:spacing w:before="87"/>
        <w:ind w:left="0"/>
        <w:rPr>
          <w:rFonts w:ascii="Trebuchet MS"/>
          <w:sz w:val="18"/>
        </w:rPr>
      </w:pPr>
    </w:p>
    <w:p w14:paraId="359E03CD" w14:textId="77777777" w:rsidR="000E52B0" w:rsidRDefault="00F60D74">
      <w:pPr>
        <w:spacing w:before="1"/>
        <w:jc w:val="center"/>
        <w:rPr>
          <w:i/>
          <w:sz w:val="18"/>
        </w:rPr>
      </w:pPr>
      <w:r>
        <w:rPr>
          <w:i/>
          <w:color w:val="454551"/>
          <w:sz w:val="18"/>
        </w:rPr>
        <w:t>Fuente</w:t>
      </w:r>
      <w:r>
        <w:rPr>
          <w:i/>
          <w:color w:val="454551"/>
          <w:spacing w:val="-4"/>
          <w:sz w:val="18"/>
        </w:rPr>
        <w:t xml:space="preserve"> </w:t>
      </w:r>
      <w:r>
        <w:rPr>
          <w:i/>
          <w:color w:val="454551"/>
          <w:sz w:val="18"/>
        </w:rPr>
        <w:t>25.</w:t>
      </w:r>
      <w:r>
        <w:rPr>
          <w:i/>
          <w:color w:val="454551"/>
          <w:spacing w:val="-4"/>
          <w:sz w:val="18"/>
        </w:rPr>
        <w:t xml:space="preserve"> </w:t>
      </w:r>
      <w:r>
        <w:rPr>
          <w:i/>
          <w:color w:val="454551"/>
          <w:sz w:val="18"/>
        </w:rPr>
        <w:t>Boletín</w:t>
      </w:r>
      <w:r>
        <w:rPr>
          <w:i/>
          <w:color w:val="454551"/>
          <w:spacing w:val="-2"/>
          <w:sz w:val="18"/>
        </w:rPr>
        <w:t xml:space="preserve"> </w:t>
      </w:r>
      <w:r>
        <w:rPr>
          <w:i/>
          <w:color w:val="454551"/>
          <w:sz w:val="18"/>
        </w:rPr>
        <w:t>técnico</w:t>
      </w:r>
      <w:r>
        <w:rPr>
          <w:i/>
          <w:color w:val="454551"/>
          <w:spacing w:val="-1"/>
          <w:sz w:val="18"/>
        </w:rPr>
        <w:t xml:space="preserve"> </w:t>
      </w:r>
      <w:r>
        <w:rPr>
          <w:i/>
          <w:color w:val="454551"/>
          <w:sz w:val="18"/>
        </w:rPr>
        <w:t>GEIH</w:t>
      </w:r>
      <w:r>
        <w:rPr>
          <w:i/>
          <w:color w:val="454551"/>
          <w:spacing w:val="-4"/>
          <w:sz w:val="18"/>
        </w:rPr>
        <w:t xml:space="preserve"> </w:t>
      </w:r>
      <w:r>
        <w:rPr>
          <w:i/>
          <w:color w:val="454551"/>
          <w:sz w:val="18"/>
        </w:rPr>
        <w:t>2023</w:t>
      </w:r>
      <w:r>
        <w:rPr>
          <w:i/>
          <w:color w:val="454551"/>
          <w:spacing w:val="-3"/>
          <w:sz w:val="18"/>
        </w:rPr>
        <w:t xml:space="preserve"> </w:t>
      </w:r>
      <w:r>
        <w:rPr>
          <w:i/>
          <w:color w:val="454551"/>
          <w:sz w:val="18"/>
        </w:rPr>
        <w:t>año</w:t>
      </w:r>
      <w:r>
        <w:rPr>
          <w:i/>
          <w:color w:val="454551"/>
          <w:spacing w:val="-2"/>
          <w:sz w:val="18"/>
        </w:rPr>
        <w:t xml:space="preserve"> </w:t>
      </w:r>
      <w:r>
        <w:rPr>
          <w:i/>
          <w:color w:val="454551"/>
          <w:sz w:val="18"/>
        </w:rPr>
        <w:t>móvil</w:t>
      </w:r>
      <w:r>
        <w:rPr>
          <w:i/>
          <w:color w:val="454551"/>
          <w:spacing w:val="-1"/>
          <w:sz w:val="18"/>
        </w:rPr>
        <w:t xml:space="preserve"> </w:t>
      </w:r>
      <w:r>
        <w:rPr>
          <w:i/>
          <w:color w:val="454551"/>
          <w:sz w:val="18"/>
        </w:rPr>
        <w:t>febrero</w:t>
      </w:r>
      <w:r>
        <w:rPr>
          <w:i/>
          <w:color w:val="454551"/>
          <w:spacing w:val="-2"/>
          <w:sz w:val="18"/>
        </w:rPr>
        <w:t xml:space="preserve"> </w:t>
      </w:r>
      <w:r>
        <w:rPr>
          <w:i/>
          <w:color w:val="454551"/>
          <w:sz w:val="18"/>
        </w:rPr>
        <w:t>2023</w:t>
      </w:r>
      <w:r>
        <w:rPr>
          <w:i/>
          <w:color w:val="454551"/>
          <w:spacing w:val="2"/>
          <w:sz w:val="18"/>
        </w:rPr>
        <w:t xml:space="preserve"> </w:t>
      </w:r>
      <w:r>
        <w:rPr>
          <w:i/>
          <w:color w:val="454551"/>
          <w:sz w:val="18"/>
        </w:rPr>
        <w:t>–</w:t>
      </w:r>
      <w:r>
        <w:rPr>
          <w:i/>
          <w:color w:val="454551"/>
          <w:spacing w:val="-3"/>
          <w:sz w:val="18"/>
        </w:rPr>
        <w:t xml:space="preserve"> </w:t>
      </w:r>
      <w:r>
        <w:rPr>
          <w:i/>
          <w:color w:val="454551"/>
          <w:sz w:val="18"/>
        </w:rPr>
        <w:t>enero</w:t>
      </w:r>
      <w:r>
        <w:rPr>
          <w:i/>
          <w:color w:val="454551"/>
          <w:spacing w:val="-1"/>
          <w:sz w:val="18"/>
        </w:rPr>
        <w:t xml:space="preserve"> </w:t>
      </w:r>
      <w:r>
        <w:rPr>
          <w:i/>
          <w:color w:val="454551"/>
          <w:spacing w:val="-4"/>
          <w:sz w:val="18"/>
        </w:rPr>
        <w:t>2024</w:t>
      </w:r>
    </w:p>
    <w:p w14:paraId="0A04AC2A" w14:textId="77777777" w:rsidR="000E52B0" w:rsidRDefault="00F60D74">
      <w:pPr>
        <w:pStyle w:val="Textoindependiente"/>
        <w:spacing w:before="201"/>
        <w:ind w:right="717"/>
        <w:jc w:val="both"/>
      </w:pPr>
      <w:r>
        <w:t>A</w:t>
      </w:r>
      <w:r>
        <w:rPr>
          <w:spacing w:val="-3"/>
        </w:rPr>
        <w:t xml:space="preserve"> </w:t>
      </w:r>
      <w:r>
        <w:t>pesar</w:t>
      </w:r>
      <w:r>
        <w:rPr>
          <w:spacing w:val="-1"/>
        </w:rPr>
        <w:t xml:space="preserve"> </w:t>
      </w:r>
      <w:r>
        <w:t>de</w:t>
      </w:r>
      <w:r>
        <w:rPr>
          <w:spacing w:val="-1"/>
        </w:rPr>
        <w:t xml:space="preserve"> </w:t>
      </w:r>
      <w:r>
        <w:t>que</w:t>
      </w:r>
      <w:r>
        <w:rPr>
          <w:spacing w:val="-1"/>
        </w:rPr>
        <w:t xml:space="preserve"> </w:t>
      </w:r>
      <w:r>
        <w:t>los indicadores</w:t>
      </w:r>
      <w:r>
        <w:rPr>
          <w:spacing w:val="-2"/>
        </w:rPr>
        <w:t xml:space="preserve"> </w:t>
      </w:r>
      <w:r>
        <w:t>de</w:t>
      </w:r>
      <w:r>
        <w:rPr>
          <w:spacing w:val="-1"/>
        </w:rPr>
        <w:t xml:space="preserve"> </w:t>
      </w:r>
      <w:r>
        <w:t>pobreza</w:t>
      </w:r>
      <w:r>
        <w:rPr>
          <w:spacing w:val="-2"/>
        </w:rPr>
        <w:t xml:space="preserve"> </w:t>
      </w:r>
      <w:r>
        <w:t>monetaria</w:t>
      </w:r>
      <w:r>
        <w:rPr>
          <w:spacing w:val="-2"/>
        </w:rPr>
        <w:t xml:space="preserve"> </w:t>
      </w:r>
      <w:r>
        <w:t>y</w:t>
      </w:r>
      <w:r>
        <w:rPr>
          <w:spacing w:val="-2"/>
        </w:rPr>
        <w:t xml:space="preserve"> </w:t>
      </w:r>
      <w:r>
        <w:t>pobreza</w:t>
      </w:r>
      <w:r>
        <w:rPr>
          <w:spacing w:val="-2"/>
        </w:rPr>
        <w:t xml:space="preserve"> </w:t>
      </w:r>
      <w:r>
        <w:t>monetaria extrema no permiten identificar las brechas en acceso a medios para la generación de ingresos</w:t>
      </w:r>
      <w:hyperlink w:anchor="_bookmark53" w:history="1">
        <w:r w:rsidR="000E52B0">
          <w:rPr>
            <w:position w:val="8"/>
            <w:sz w:val="16"/>
          </w:rPr>
          <w:t>47</w:t>
        </w:r>
      </w:hyperlink>
      <w:r>
        <w:t>, la información sobre actividad principal de la GEIH</w:t>
      </w:r>
      <w:r>
        <w:rPr>
          <w:spacing w:val="-22"/>
        </w:rPr>
        <w:t xml:space="preserve"> </w:t>
      </w:r>
      <w:r>
        <w:t>2022,</w:t>
      </w:r>
      <w:r>
        <w:rPr>
          <w:spacing w:val="-21"/>
        </w:rPr>
        <w:t xml:space="preserve"> </w:t>
      </w:r>
      <w:r>
        <w:t>da</w:t>
      </w:r>
      <w:r>
        <w:rPr>
          <w:spacing w:val="-21"/>
        </w:rPr>
        <w:t xml:space="preserve"> </w:t>
      </w:r>
      <w:r>
        <w:t>cuenta</w:t>
      </w:r>
      <w:r>
        <w:rPr>
          <w:spacing w:val="-21"/>
        </w:rPr>
        <w:t xml:space="preserve"> </w:t>
      </w:r>
      <w:r>
        <w:t>de</w:t>
      </w:r>
      <w:r>
        <w:rPr>
          <w:spacing w:val="-21"/>
        </w:rPr>
        <w:t xml:space="preserve"> </w:t>
      </w:r>
      <w:r>
        <w:t>las</w:t>
      </w:r>
      <w:r>
        <w:rPr>
          <w:spacing w:val="-21"/>
        </w:rPr>
        <w:t xml:space="preserve"> </w:t>
      </w:r>
      <w:r>
        <w:t>brechas</w:t>
      </w:r>
      <w:r>
        <w:rPr>
          <w:spacing w:val="-21"/>
        </w:rPr>
        <w:t xml:space="preserve"> </w:t>
      </w:r>
      <w:r>
        <w:t>en</w:t>
      </w:r>
      <w:r>
        <w:rPr>
          <w:spacing w:val="-21"/>
        </w:rPr>
        <w:t xml:space="preserve"> </w:t>
      </w:r>
      <w:r>
        <w:t>relación</w:t>
      </w:r>
      <w:r>
        <w:rPr>
          <w:spacing w:val="-21"/>
        </w:rPr>
        <w:t xml:space="preserve"> </w:t>
      </w:r>
      <w:r>
        <w:t>con</w:t>
      </w:r>
      <w:r>
        <w:rPr>
          <w:spacing w:val="-21"/>
        </w:rPr>
        <w:t xml:space="preserve"> </w:t>
      </w:r>
      <w:r>
        <w:t>las</w:t>
      </w:r>
      <w:r>
        <w:rPr>
          <w:spacing w:val="-22"/>
        </w:rPr>
        <w:t xml:space="preserve"> </w:t>
      </w:r>
      <w:r>
        <w:t>personas</w:t>
      </w:r>
      <w:r>
        <w:rPr>
          <w:spacing w:val="-21"/>
        </w:rPr>
        <w:t xml:space="preserve"> </w:t>
      </w:r>
      <w:r>
        <w:t>que</w:t>
      </w:r>
      <w:r>
        <w:rPr>
          <w:spacing w:val="-21"/>
        </w:rPr>
        <w:t xml:space="preserve"> </w:t>
      </w:r>
      <w:r>
        <w:t>están trabajando, y de las personas incapacitadas de forma permanente para trabajar, así mismo con mayor frecuencia se dedican a otra actividad.</w:t>
      </w:r>
    </w:p>
    <w:p w14:paraId="704D6ED1" w14:textId="77777777" w:rsidR="000E52B0" w:rsidRDefault="00F60D74">
      <w:pPr>
        <w:spacing w:before="158"/>
        <w:ind w:left="720"/>
        <w:jc w:val="both"/>
        <w:rPr>
          <w:i/>
          <w:sz w:val="18"/>
        </w:rPr>
      </w:pPr>
      <w:r>
        <w:rPr>
          <w:i/>
          <w:color w:val="454551"/>
          <w:sz w:val="18"/>
        </w:rPr>
        <w:t>Ilustración</w:t>
      </w:r>
      <w:r>
        <w:rPr>
          <w:i/>
          <w:color w:val="454551"/>
          <w:spacing w:val="-1"/>
          <w:sz w:val="18"/>
        </w:rPr>
        <w:t xml:space="preserve"> </w:t>
      </w:r>
      <w:r>
        <w:rPr>
          <w:i/>
          <w:color w:val="454551"/>
          <w:sz w:val="18"/>
        </w:rPr>
        <w:t>37.</w:t>
      </w:r>
      <w:r>
        <w:rPr>
          <w:i/>
          <w:color w:val="454551"/>
          <w:spacing w:val="-4"/>
          <w:sz w:val="18"/>
        </w:rPr>
        <w:t xml:space="preserve"> </w:t>
      </w:r>
      <w:r>
        <w:rPr>
          <w:i/>
          <w:color w:val="454551"/>
          <w:sz w:val="18"/>
        </w:rPr>
        <w:t>¿En</w:t>
      </w:r>
      <w:r>
        <w:rPr>
          <w:i/>
          <w:color w:val="454551"/>
          <w:spacing w:val="-1"/>
          <w:sz w:val="18"/>
        </w:rPr>
        <w:t xml:space="preserve"> </w:t>
      </w:r>
      <w:r>
        <w:rPr>
          <w:i/>
          <w:color w:val="454551"/>
          <w:sz w:val="18"/>
        </w:rPr>
        <w:t>qué</w:t>
      </w:r>
      <w:r>
        <w:rPr>
          <w:i/>
          <w:color w:val="454551"/>
          <w:spacing w:val="-3"/>
          <w:sz w:val="18"/>
        </w:rPr>
        <w:t xml:space="preserve"> </w:t>
      </w:r>
      <w:r>
        <w:rPr>
          <w:i/>
          <w:color w:val="454551"/>
          <w:sz w:val="18"/>
        </w:rPr>
        <w:t>actividad</w:t>
      </w:r>
      <w:r>
        <w:rPr>
          <w:i/>
          <w:color w:val="454551"/>
          <w:spacing w:val="-1"/>
          <w:sz w:val="18"/>
        </w:rPr>
        <w:t xml:space="preserve"> </w:t>
      </w:r>
      <w:r>
        <w:rPr>
          <w:i/>
          <w:color w:val="454551"/>
          <w:sz w:val="18"/>
        </w:rPr>
        <w:t>ocupó</w:t>
      </w:r>
      <w:r>
        <w:rPr>
          <w:i/>
          <w:color w:val="454551"/>
          <w:spacing w:val="52"/>
          <w:w w:val="150"/>
          <w:sz w:val="18"/>
        </w:rPr>
        <w:t xml:space="preserve">   </w:t>
      </w:r>
      <w:r>
        <w:rPr>
          <w:i/>
          <w:color w:val="454551"/>
          <w:sz w:val="18"/>
        </w:rPr>
        <w:t>la</w:t>
      </w:r>
      <w:r>
        <w:rPr>
          <w:i/>
          <w:color w:val="454551"/>
          <w:spacing w:val="-3"/>
          <w:sz w:val="18"/>
        </w:rPr>
        <w:t xml:space="preserve"> </w:t>
      </w:r>
      <w:r>
        <w:rPr>
          <w:i/>
          <w:color w:val="454551"/>
          <w:sz w:val="18"/>
        </w:rPr>
        <w:t>mayor parte</w:t>
      </w:r>
      <w:r>
        <w:rPr>
          <w:i/>
          <w:color w:val="454551"/>
          <w:spacing w:val="-3"/>
          <w:sz w:val="18"/>
        </w:rPr>
        <w:t xml:space="preserve"> </w:t>
      </w:r>
      <w:r>
        <w:rPr>
          <w:i/>
          <w:color w:val="454551"/>
          <w:sz w:val="18"/>
        </w:rPr>
        <w:t>del</w:t>
      </w:r>
      <w:r>
        <w:rPr>
          <w:i/>
          <w:color w:val="454551"/>
          <w:spacing w:val="-1"/>
          <w:sz w:val="18"/>
        </w:rPr>
        <w:t xml:space="preserve"> </w:t>
      </w:r>
      <w:r>
        <w:rPr>
          <w:i/>
          <w:color w:val="454551"/>
          <w:sz w:val="18"/>
        </w:rPr>
        <w:t>tiempo</w:t>
      </w:r>
      <w:r>
        <w:rPr>
          <w:i/>
          <w:color w:val="454551"/>
          <w:spacing w:val="-2"/>
          <w:sz w:val="18"/>
        </w:rPr>
        <w:t xml:space="preserve"> </w:t>
      </w:r>
      <w:r>
        <w:rPr>
          <w:i/>
          <w:color w:val="454551"/>
          <w:sz w:val="18"/>
        </w:rPr>
        <w:t>la</w:t>
      </w:r>
      <w:r>
        <w:rPr>
          <w:i/>
          <w:color w:val="454551"/>
          <w:spacing w:val="-2"/>
          <w:sz w:val="18"/>
        </w:rPr>
        <w:t xml:space="preserve"> </w:t>
      </w:r>
      <w:r>
        <w:rPr>
          <w:i/>
          <w:color w:val="454551"/>
          <w:sz w:val="18"/>
        </w:rPr>
        <w:t>semana</w:t>
      </w:r>
      <w:r>
        <w:rPr>
          <w:i/>
          <w:color w:val="454551"/>
          <w:spacing w:val="-3"/>
          <w:sz w:val="18"/>
        </w:rPr>
        <w:t xml:space="preserve"> </w:t>
      </w:r>
      <w:r>
        <w:rPr>
          <w:i/>
          <w:color w:val="454551"/>
          <w:spacing w:val="-2"/>
          <w:sz w:val="18"/>
        </w:rPr>
        <w:t>pasada?</w:t>
      </w:r>
    </w:p>
    <w:p w14:paraId="65A14488" w14:textId="77777777" w:rsidR="000E52B0" w:rsidRDefault="000E52B0">
      <w:pPr>
        <w:pStyle w:val="Textoindependiente"/>
        <w:spacing w:before="150"/>
        <w:ind w:left="0"/>
        <w:rPr>
          <w:i/>
          <w:sz w:val="18"/>
        </w:rPr>
      </w:pPr>
    </w:p>
    <w:p w14:paraId="76CEF1F1" w14:textId="77777777" w:rsidR="000E52B0" w:rsidRDefault="00F60D74">
      <w:pPr>
        <w:ind w:left="2158"/>
        <w:rPr>
          <w:rFonts w:ascii="Trebuchet MS"/>
          <w:sz w:val="18"/>
        </w:rPr>
      </w:pPr>
      <w:r>
        <w:rPr>
          <w:noProof/>
        </w:rPr>
        <w:drawing>
          <wp:inline distT="0" distB="0" distL="0" distR="0" wp14:anchorId="246CCA5F" wp14:editId="7C9C6876">
            <wp:extent cx="62779" cy="62779"/>
            <wp:effectExtent l="0" t="0" r="0" b="0"/>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73" cstate="print"/>
                    <a:stretch>
                      <a:fillRect/>
                    </a:stretch>
                  </pic:blipFill>
                  <pic:spPr>
                    <a:xfrm>
                      <a:off x="0" y="0"/>
                      <a:ext cx="62779" cy="62779"/>
                    </a:xfrm>
                    <a:prstGeom prst="rect">
                      <a:avLst/>
                    </a:prstGeom>
                  </pic:spPr>
                </pic:pic>
              </a:graphicData>
            </a:graphic>
          </wp:inline>
        </w:drawing>
      </w:r>
      <w:r>
        <w:rPr>
          <w:rFonts w:ascii="Times New Roman"/>
          <w:spacing w:val="-1"/>
          <w:sz w:val="20"/>
        </w:rPr>
        <w:t xml:space="preserve"> </w:t>
      </w:r>
      <w:r>
        <w:rPr>
          <w:rFonts w:ascii="Trebuchet MS"/>
          <w:color w:val="585858"/>
          <w:sz w:val="18"/>
        </w:rPr>
        <w:t>Personas</w:t>
      </w:r>
      <w:r>
        <w:rPr>
          <w:rFonts w:ascii="Trebuchet MS"/>
          <w:color w:val="585858"/>
          <w:spacing w:val="-11"/>
          <w:sz w:val="18"/>
        </w:rPr>
        <w:t xml:space="preserve"> </w:t>
      </w:r>
      <w:proofErr w:type="spellStart"/>
      <w:r>
        <w:rPr>
          <w:rFonts w:ascii="Trebuchet MS"/>
          <w:color w:val="585858"/>
          <w:sz w:val="18"/>
        </w:rPr>
        <w:t>cisgeneros</w:t>
      </w:r>
      <w:proofErr w:type="spellEnd"/>
      <w:r>
        <w:rPr>
          <w:rFonts w:ascii="Trebuchet MS"/>
          <w:color w:val="585858"/>
          <w:spacing w:val="-11"/>
          <w:sz w:val="18"/>
        </w:rPr>
        <w:t xml:space="preserve"> </w:t>
      </w:r>
      <w:proofErr w:type="spellStart"/>
      <w:r>
        <w:rPr>
          <w:rFonts w:ascii="Trebuchet MS"/>
          <w:color w:val="585858"/>
          <w:sz w:val="18"/>
        </w:rPr>
        <w:t>heteronormadas</w:t>
      </w:r>
      <w:proofErr w:type="spellEnd"/>
    </w:p>
    <w:p w14:paraId="7C2490E6" w14:textId="77777777" w:rsidR="000E52B0" w:rsidRDefault="00F60D74">
      <w:pPr>
        <w:spacing w:before="129"/>
        <w:ind w:left="2158"/>
        <w:rPr>
          <w:rFonts w:ascii="Trebuchet MS" w:hAnsi="Trebuchet MS"/>
          <w:sz w:val="18"/>
        </w:rPr>
      </w:pPr>
      <w:r>
        <w:rPr>
          <w:noProof/>
        </w:rPr>
        <w:drawing>
          <wp:inline distT="0" distB="0" distL="0" distR="0" wp14:anchorId="176081C9" wp14:editId="6C5FCCDD">
            <wp:extent cx="62779" cy="62779"/>
            <wp:effectExtent l="0" t="0" r="0" b="0"/>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74" cstate="print"/>
                    <a:stretch>
                      <a:fillRect/>
                    </a:stretch>
                  </pic:blipFill>
                  <pic:spPr>
                    <a:xfrm>
                      <a:off x="0" y="0"/>
                      <a:ext cx="62779" cy="62779"/>
                    </a:xfrm>
                    <a:prstGeom prst="rect">
                      <a:avLst/>
                    </a:prstGeom>
                  </pic:spPr>
                </pic:pic>
              </a:graphicData>
            </a:graphic>
          </wp:inline>
        </w:drawing>
      </w:r>
      <w:r>
        <w:rPr>
          <w:rFonts w:ascii="Times New Roman" w:hAnsi="Times New Roman"/>
          <w:spacing w:val="-4"/>
          <w:sz w:val="20"/>
        </w:rPr>
        <w:t xml:space="preserve"> </w:t>
      </w:r>
      <w:r>
        <w:rPr>
          <w:rFonts w:ascii="Trebuchet MS" w:hAnsi="Trebuchet MS"/>
          <w:color w:val="585858"/>
          <w:spacing w:val="-2"/>
          <w:sz w:val="18"/>
        </w:rPr>
        <w:t>Personas</w:t>
      </w:r>
      <w:r>
        <w:rPr>
          <w:rFonts w:ascii="Trebuchet MS" w:hAnsi="Trebuchet MS"/>
          <w:color w:val="585858"/>
          <w:spacing w:val="-13"/>
          <w:sz w:val="18"/>
        </w:rPr>
        <w:t xml:space="preserve"> </w:t>
      </w:r>
      <w:r>
        <w:rPr>
          <w:rFonts w:ascii="Trebuchet MS" w:hAnsi="Trebuchet MS"/>
          <w:color w:val="585858"/>
          <w:spacing w:val="-2"/>
          <w:sz w:val="18"/>
        </w:rPr>
        <w:t>con</w:t>
      </w:r>
      <w:r>
        <w:rPr>
          <w:rFonts w:ascii="Trebuchet MS" w:hAnsi="Trebuchet MS"/>
          <w:color w:val="585858"/>
          <w:spacing w:val="-13"/>
          <w:sz w:val="18"/>
        </w:rPr>
        <w:t xml:space="preserve"> </w:t>
      </w:r>
      <w:r>
        <w:rPr>
          <w:rFonts w:ascii="Trebuchet MS" w:hAnsi="Trebuchet MS"/>
          <w:color w:val="585858"/>
          <w:spacing w:val="-2"/>
          <w:sz w:val="18"/>
        </w:rPr>
        <w:t>orientaciones</w:t>
      </w:r>
      <w:r>
        <w:rPr>
          <w:rFonts w:ascii="Trebuchet MS" w:hAnsi="Trebuchet MS"/>
          <w:color w:val="585858"/>
          <w:spacing w:val="-15"/>
          <w:sz w:val="18"/>
        </w:rPr>
        <w:t xml:space="preserve"> </w:t>
      </w:r>
      <w:r>
        <w:rPr>
          <w:rFonts w:ascii="Trebuchet MS" w:hAnsi="Trebuchet MS"/>
          <w:color w:val="585858"/>
          <w:spacing w:val="-2"/>
          <w:sz w:val="18"/>
        </w:rPr>
        <w:t>sexuales</w:t>
      </w:r>
      <w:r>
        <w:rPr>
          <w:rFonts w:ascii="Trebuchet MS" w:hAnsi="Trebuchet MS"/>
          <w:color w:val="585858"/>
          <w:spacing w:val="-13"/>
          <w:sz w:val="18"/>
        </w:rPr>
        <w:t xml:space="preserve"> </w:t>
      </w:r>
      <w:r>
        <w:rPr>
          <w:rFonts w:ascii="Trebuchet MS" w:hAnsi="Trebuchet MS"/>
          <w:color w:val="585858"/>
          <w:spacing w:val="-2"/>
          <w:sz w:val="18"/>
        </w:rPr>
        <w:t>e</w:t>
      </w:r>
      <w:r>
        <w:rPr>
          <w:rFonts w:ascii="Trebuchet MS" w:hAnsi="Trebuchet MS"/>
          <w:color w:val="585858"/>
          <w:spacing w:val="-14"/>
          <w:sz w:val="18"/>
        </w:rPr>
        <w:t xml:space="preserve"> </w:t>
      </w:r>
      <w:r>
        <w:rPr>
          <w:rFonts w:ascii="Trebuchet MS" w:hAnsi="Trebuchet MS"/>
          <w:color w:val="585858"/>
          <w:spacing w:val="-2"/>
          <w:sz w:val="18"/>
        </w:rPr>
        <w:t>identidades</w:t>
      </w:r>
      <w:r>
        <w:rPr>
          <w:rFonts w:ascii="Trebuchet MS" w:hAnsi="Trebuchet MS"/>
          <w:color w:val="585858"/>
          <w:spacing w:val="-13"/>
          <w:sz w:val="18"/>
        </w:rPr>
        <w:t xml:space="preserve"> </w:t>
      </w:r>
      <w:r>
        <w:rPr>
          <w:rFonts w:ascii="Trebuchet MS" w:hAnsi="Trebuchet MS"/>
          <w:color w:val="585858"/>
          <w:spacing w:val="-2"/>
          <w:sz w:val="18"/>
        </w:rPr>
        <w:t>de</w:t>
      </w:r>
      <w:r>
        <w:rPr>
          <w:rFonts w:ascii="Trebuchet MS" w:hAnsi="Trebuchet MS"/>
          <w:color w:val="585858"/>
          <w:spacing w:val="-14"/>
          <w:sz w:val="18"/>
        </w:rPr>
        <w:t xml:space="preserve"> </w:t>
      </w:r>
      <w:r>
        <w:rPr>
          <w:rFonts w:ascii="Trebuchet MS" w:hAnsi="Trebuchet MS"/>
          <w:color w:val="585858"/>
          <w:spacing w:val="-2"/>
          <w:sz w:val="18"/>
        </w:rPr>
        <w:t>género</w:t>
      </w:r>
      <w:r>
        <w:rPr>
          <w:rFonts w:ascii="Trebuchet MS" w:hAnsi="Trebuchet MS"/>
          <w:color w:val="585858"/>
          <w:spacing w:val="-13"/>
          <w:sz w:val="18"/>
        </w:rPr>
        <w:t xml:space="preserve"> </w:t>
      </w:r>
      <w:r>
        <w:rPr>
          <w:rFonts w:ascii="Trebuchet MS" w:hAnsi="Trebuchet MS"/>
          <w:color w:val="585858"/>
          <w:spacing w:val="-2"/>
          <w:sz w:val="18"/>
        </w:rPr>
        <w:t>no</w:t>
      </w:r>
      <w:r>
        <w:rPr>
          <w:rFonts w:ascii="Trebuchet MS" w:hAnsi="Trebuchet MS"/>
          <w:color w:val="585858"/>
          <w:spacing w:val="-13"/>
          <w:sz w:val="18"/>
        </w:rPr>
        <w:t xml:space="preserve"> </w:t>
      </w:r>
      <w:r>
        <w:rPr>
          <w:rFonts w:ascii="Trebuchet MS" w:hAnsi="Trebuchet MS"/>
          <w:color w:val="585858"/>
          <w:spacing w:val="-2"/>
          <w:sz w:val="18"/>
        </w:rPr>
        <w:t>hegemónicas</w:t>
      </w:r>
    </w:p>
    <w:p w14:paraId="21D7CC8E" w14:textId="77777777" w:rsidR="000E52B0" w:rsidRDefault="00F60D74">
      <w:pPr>
        <w:spacing w:before="129"/>
        <w:ind w:left="1283"/>
        <w:rPr>
          <w:rFonts w:ascii="Trebuchet MS"/>
          <w:position w:val="-12"/>
          <w:sz w:val="18"/>
        </w:rPr>
      </w:pPr>
      <w:r>
        <w:rPr>
          <w:rFonts w:ascii="Trebuchet MS"/>
          <w:noProof/>
          <w:position w:val="-12"/>
          <w:sz w:val="18"/>
        </w:rPr>
        <mc:AlternateContent>
          <mc:Choice Requires="wpg">
            <w:drawing>
              <wp:anchor distT="0" distB="0" distL="0" distR="0" simplePos="0" relativeHeight="15787008" behindDoc="0" locked="0" layoutInCell="1" allowOverlap="1" wp14:anchorId="32433A1D" wp14:editId="7CF7D2B0">
                <wp:simplePos x="0" y="0"/>
                <wp:positionH relativeFrom="page">
                  <wp:posOffset>1057275</wp:posOffset>
                </wp:positionH>
                <wp:positionV relativeFrom="paragraph">
                  <wp:posOffset>272416</wp:posOffset>
                </wp:positionV>
                <wp:extent cx="5438775" cy="733162"/>
                <wp:effectExtent l="0" t="0" r="28575" b="1016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8775" cy="733162"/>
                          <a:chOff x="0" y="0"/>
                          <a:chExt cx="5464175" cy="833755"/>
                        </a:xfrm>
                      </wpg:grpSpPr>
                      <wps:wsp>
                        <wps:cNvPr id="444" name="Graphic 444"/>
                        <wps:cNvSpPr/>
                        <wps:spPr>
                          <a:xfrm>
                            <a:off x="223012" y="0"/>
                            <a:ext cx="4758055" cy="828675"/>
                          </a:xfrm>
                          <a:custGeom>
                            <a:avLst/>
                            <a:gdLst/>
                            <a:ahLst/>
                            <a:cxnLst/>
                            <a:rect l="l" t="t" r="r" b="b"/>
                            <a:pathLst>
                              <a:path w="4758055" h="828675">
                                <a:moveTo>
                                  <a:pt x="204216" y="0"/>
                                </a:moveTo>
                                <a:lnTo>
                                  <a:pt x="0" y="0"/>
                                </a:lnTo>
                                <a:lnTo>
                                  <a:pt x="0" y="828675"/>
                                </a:lnTo>
                                <a:lnTo>
                                  <a:pt x="204216" y="828675"/>
                                </a:lnTo>
                                <a:lnTo>
                                  <a:pt x="204216" y="0"/>
                                </a:lnTo>
                                <a:close/>
                              </a:path>
                              <a:path w="4758055" h="828675">
                                <a:moveTo>
                                  <a:pt x="1115568" y="755904"/>
                                </a:moveTo>
                                <a:lnTo>
                                  <a:pt x="911352" y="755904"/>
                                </a:lnTo>
                                <a:lnTo>
                                  <a:pt x="911352" y="828675"/>
                                </a:lnTo>
                                <a:lnTo>
                                  <a:pt x="1115568" y="828675"/>
                                </a:lnTo>
                                <a:lnTo>
                                  <a:pt x="1115568" y="755904"/>
                                </a:lnTo>
                                <a:close/>
                              </a:path>
                              <a:path w="4758055" h="828675">
                                <a:moveTo>
                                  <a:pt x="2026920" y="755904"/>
                                </a:moveTo>
                                <a:lnTo>
                                  <a:pt x="1822704" y="755904"/>
                                </a:lnTo>
                                <a:lnTo>
                                  <a:pt x="1822704" y="828675"/>
                                </a:lnTo>
                                <a:lnTo>
                                  <a:pt x="2026920" y="828675"/>
                                </a:lnTo>
                                <a:lnTo>
                                  <a:pt x="2026920" y="755904"/>
                                </a:lnTo>
                                <a:close/>
                              </a:path>
                              <a:path w="4758055" h="828675">
                                <a:moveTo>
                                  <a:pt x="2936748" y="384048"/>
                                </a:moveTo>
                                <a:lnTo>
                                  <a:pt x="2732532" y="384048"/>
                                </a:lnTo>
                                <a:lnTo>
                                  <a:pt x="2732532" y="828675"/>
                                </a:lnTo>
                                <a:lnTo>
                                  <a:pt x="2936748" y="828675"/>
                                </a:lnTo>
                                <a:lnTo>
                                  <a:pt x="2936748" y="384048"/>
                                </a:lnTo>
                                <a:close/>
                              </a:path>
                              <a:path w="4758055" h="828675">
                                <a:moveTo>
                                  <a:pt x="3848100" y="789432"/>
                                </a:moveTo>
                                <a:lnTo>
                                  <a:pt x="3643884" y="789432"/>
                                </a:lnTo>
                                <a:lnTo>
                                  <a:pt x="3643884" y="828675"/>
                                </a:lnTo>
                                <a:lnTo>
                                  <a:pt x="3848100" y="828675"/>
                                </a:lnTo>
                                <a:lnTo>
                                  <a:pt x="3848100" y="789432"/>
                                </a:lnTo>
                                <a:close/>
                              </a:path>
                              <a:path w="4758055" h="828675">
                                <a:moveTo>
                                  <a:pt x="4757928" y="726948"/>
                                </a:moveTo>
                                <a:lnTo>
                                  <a:pt x="4553712" y="726948"/>
                                </a:lnTo>
                                <a:lnTo>
                                  <a:pt x="4553712" y="828675"/>
                                </a:lnTo>
                                <a:lnTo>
                                  <a:pt x="4757928" y="828675"/>
                                </a:lnTo>
                                <a:lnTo>
                                  <a:pt x="4757928" y="726948"/>
                                </a:lnTo>
                                <a:close/>
                              </a:path>
                            </a:pathLst>
                          </a:custGeom>
                          <a:solidFill>
                            <a:srgbClr val="FFC000"/>
                          </a:solidFill>
                        </wps:spPr>
                        <wps:bodyPr wrap="square" lIns="0" tIns="0" rIns="0" bIns="0" rtlCol="0">
                          <a:prstTxWarp prst="textNoShape">
                            <a:avLst/>
                          </a:prstTxWarp>
                          <a:noAutofit/>
                        </wps:bodyPr>
                      </wps:wsp>
                      <wps:wsp>
                        <wps:cNvPr id="445" name="Graphic 445"/>
                        <wps:cNvSpPr/>
                        <wps:spPr>
                          <a:xfrm>
                            <a:off x="483616" y="85343"/>
                            <a:ext cx="4756785" cy="743585"/>
                          </a:xfrm>
                          <a:custGeom>
                            <a:avLst/>
                            <a:gdLst/>
                            <a:ahLst/>
                            <a:cxnLst/>
                            <a:rect l="l" t="t" r="r" b="b"/>
                            <a:pathLst>
                              <a:path w="4756785" h="743585">
                                <a:moveTo>
                                  <a:pt x="204216" y="0"/>
                                </a:moveTo>
                                <a:lnTo>
                                  <a:pt x="0" y="0"/>
                                </a:lnTo>
                                <a:lnTo>
                                  <a:pt x="0" y="743331"/>
                                </a:lnTo>
                                <a:lnTo>
                                  <a:pt x="204216" y="743331"/>
                                </a:lnTo>
                                <a:lnTo>
                                  <a:pt x="204216" y="0"/>
                                </a:lnTo>
                                <a:close/>
                              </a:path>
                              <a:path w="4756785" h="743585">
                                <a:moveTo>
                                  <a:pt x="1114044" y="649224"/>
                                </a:moveTo>
                                <a:lnTo>
                                  <a:pt x="909828" y="649224"/>
                                </a:lnTo>
                                <a:lnTo>
                                  <a:pt x="909828" y="743331"/>
                                </a:lnTo>
                                <a:lnTo>
                                  <a:pt x="1114044" y="743331"/>
                                </a:lnTo>
                                <a:lnTo>
                                  <a:pt x="1114044" y="649224"/>
                                </a:lnTo>
                                <a:close/>
                              </a:path>
                              <a:path w="4756785" h="743585">
                                <a:moveTo>
                                  <a:pt x="2025396" y="627888"/>
                                </a:moveTo>
                                <a:lnTo>
                                  <a:pt x="1821180" y="627888"/>
                                </a:lnTo>
                                <a:lnTo>
                                  <a:pt x="1821180" y="743331"/>
                                </a:lnTo>
                                <a:lnTo>
                                  <a:pt x="2025396" y="743331"/>
                                </a:lnTo>
                                <a:lnTo>
                                  <a:pt x="2025396" y="627888"/>
                                </a:lnTo>
                                <a:close/>
                              </a:path>
                              <a:path w="4756785" h="743585">
                                <a:moveTo>
                                  <a:pt x="2935224" y="399288"/>
                                </a:moveTo>
                                <a:lnTo>
                                  <a:pt x="2731008" y="399288"/>
                                </a:lnTo>
                                <a:lnTo>
                                  <a:pt x="2731008" y="743331"/>
                                </a:lnTo>
                                <a:lnTo>
                                  <a:pt x="2935224" y="743331"/>
                                </a:lnTo>
                                <a:lnTo>
                                  <a:pt x="2935224" y="399288"/>
                                </a:lnTo>
                                <a:close/>
                              </a:path>
                              <a:path w="4756785" h="743585">
                                <a:moveTo>
                                  <a:pt x="3846576" y="629412"/>
                                </a:moveTo>
                                <a:lnTo>
                                  <a:pt x="3642360" y="629412"/>
                                </a:lnTo>
                                <a:lnTo>
                                  <a:pt x="3642360" y="743331"/>
                                </a:lnTo>
                                <a:lnTo>
                                  <a:pt x="3846576" y="743331"/>
                                </a:lnTo>
                                <a:lnTo>
                                  <a:pt x="3846576" y="629412"/>
                                </a:lnTo>
                                <a:close/>
                              </a:path>
                              <a:path w="4756785" h="743585">
                                <a:moveTo>
                                  <a:pt x="4756404" y="597408"/>
                                </a:moveTo>
                                <a:lnTo>
                                  <a:pt x="4552188" y="597408"/>
                                </a:lnTo>
                                <a:lnTo>
                                  <a:pt x="4552188" y="743331"/>
                                </a:lnTo>
                                <a:lnTo>
                                  <a:pt x="4756404" y="743331"/>
                                </a:lnTo>
                                <a:lnTo>
                                  <a:pt x="4756404" y="597408"/>
                                </a:lnTo>
                                <a:close/>
                              </a:path>
                            </a:pathLst>
                          </a:custGeom>
                          <a:solidFill>
                            <a:srgbClr val="E22C91"/>
                          </a:solidFill>
                        </wps:spPr>
                        <wps:bodyPr wrap="square" lIns="0" tIns="0" rIns="0" bIns="0" rtlCol="0">
                          <a:prstTxWarp prst="textNoShape">
                            <a:avLst/>
                          </a:prstTxWarp>
                          <a:noAutofit/>
                        </wps:bodyPr>
                      </wps:wsp>
                      <wps:wsp>
                        <wps:cNvPr id="446" name="Graphic 446"/>
                        <wps:cNvSpPr/>
                        <wps:spPr>
                          <a:xfrm>
                            <a:off x="0" y="828675"/>
                            <a:ext cx="5464175" cy="1270"/>
                          </a:xfrm>
                          <a:custGeom>
                            <a:avLst/>
                            <a:gdLst/>
                            <a:ahLst/>
                            <a:cxnLst/>
                            <a:rect l="l" t="t" r="r" b="b"/>
                            <a:pathLst>
                              <a:path w="5464175">
                                <a:moveTo>
                                  <a:pt x="0" y="0"/>
                                </a:moveTo>
                                <a:lnTo>
                                  <a:pt x="5464175" y="0"/>
                                </a:lnTo>
                              </a:path>
                            </a:pathLst>
                          </a:custGeom>
                          <a:ln w="9525">
                            <a:solidFill>
                              <a:srgbClr val="D9D9D9"/>
                            </a:solidFill>
                            <a:prstDash val="solid"/>
                          </a:ln>
                        </wps:spPr>
                        <wps:bodyPr wrap="square" lIns="0" tIns="0" rIns="0" bIns="0" rtlCol="0">
                          <a:prstTxWarp prst="textNoShape">
                            <a:avLst/>
                          </a:prstTxWarp>
                          <a:noAutofit/>
                        </wps:bodyPr>
                      </wps:wsp>
                      <wps:wsp>
                        <wps:cNvPr id="447" name="Textbox 447"/>
                        <wps:cNvSpPr txBox="1"/>
                        <wps:spPr>
                          <a:xfrm>
                            <a:off x="2950717" y="187697"/>
                            <a:ext cx="229235" cy="139700"/>
                          </a:xfrm>
                          <a:prstGeom prst="rect">
                            <a:avLst/>
                          </a:prstGeom>
                        </wps:spPr>
                        <wps:txbx>
                          <w:txbxContent>
                            <w:p w14:paraId="7FFBEFB7" w14:textId="77777777" w:rsidR="000E52B0" w:rsidRDefault="00F60D74">
                              <w:pPr>
                                <w:rPr>
                                  <w:rFonts w:ascii="Trebuchet MS"/>
                                  <w:sz w:val="18"/>
                                </w:rPr>
                              </w:pPr>
                              <w:r>
                                <w:rPr>
                                  <w:rFonts w:ascii="Trebuchet MS"/>
                                  <w:color w:val="404040"/>
                                  <w:spacing w:val="-5"/>
                                  <w:w w:val="115"/>
                                  <w:sz w:val="18"/>
                                </w:rPr>
                                <w:t>29%</w:t>
                              </w:r>
                            </w:p>
                          </w:txbxContent>
                        </wps:txbx>
                        <wps:bodyPr wrap="square" lIns="0" tIns="0" rIns="0" bIns="0" rtlCol="0">
                          <a:noAutofit/>
                        </wps:bodyPr>
                      </wps:wsp>
                      <wps:wsp>
                        <wps:cNvPr id="448" name="Textbox 448"/>
                        <wps:cNvSpPr txBox="1"/>
                        <wps:spPr>
                          <a:xfrm>
                            <a:off x="3210051" y="287646"/>
                            <a:ext cx="229235" cy="139700"/>
                          </a:xfrm>
                          <a:prstGeom prst="rect">
                            <a:avLst/>
                          </a:prstGeom>
                        </wps:spPr>
                        <wps:txbx>
                          <w:txbxContent>
                            <w:p w14:paraId="431AB12F" w14:textId="77777777" w:rsidR="000E52B0" w:rsidRDefault="00F60D74">
                              <w:pPr>
                                <w:rPr>
                                  <w:rFonts w:ascii="Trebuchet MS"/>
                                  <w:sz w:val="18"/>
                                </w:rPr>
                              </w:pPr>
                              <w:r>
                                <w:rPr>
                                  <w:rFonts w:ascii="Trebuchet MS"/>
                                  <w:color w:val="404040"/>
                                  <w:spacing w:val="-5"/>
                                  <w:w w:val="115"/>
                                  <w:sz w:val="18"/>
                                </w:rPr>
                                <w:t>22%</w:t>
                              </w:r>
                            </w:p>
                          </w:txbxContent>
                        </wps:txbx>
                        <wps:bodyPr wrap="square" lIns="0" tIns="0" rIns="0" bIns="0" rtlCol="0">
                          <a:noAutofit/>
                        </wps:bodyPr>
                      </wps:wsp>
                      <wps:wsp>
                        <wps:cNvPr id="449" name="Textbox 449"/>
                        <wps:cNvSpPr txBox="1"/>
                        <wps:spPr>
                          <a:xfrm>
                            <a:off x="1159383" y="558918"/>
                            <a:ext cx="168275" cy="139700"/>
                          </a:xfrm>
                          <a:prstGeom prst="rect">
                            <a:avLst/>
                          </a:prstGeom>
                        </wps:spPr>
                        <wps:txbx>
                          <w:txbxContent>
                            <w:p w14:paraId="5A539F20" w14:textId="77777777" w:rsidR="000E52B0" w:rsidRDefault="00F60D74">
                              <w:pPr>
                                <w:rPr>
                                  <w:rFonts w:ascii="Trebuchet MS"/>
                                  <w:sz w:val="18"/>
                                </w:rPr>
                              </w:pPr>
                              <w:r>
                                <w:rPr>
                                  <w:rFonts w:ascii="Trebuchet MS"/>
                                  <w:color w:val="404040"/>
                                  <w:spacing w:val="-5"/>
                                  <w:w w:val="120"/>
                                  <w:sz w:val="18"/>
                                </w:rPr>
                                <w:t>5%</w:t>
                              </w:r>
                            </w:p>
                          </w:txbxContent>
                        </wps:txbx>
                        <wps:bodyPr wrap="square" lIns="0" tIns="0" rIns="0" bIns="0" rtlCol="0">
                          <a:noAutofit/>
                        </wps:bodyPr>
                      </wps:wsp>
                      <wps:wsp>
                        <wps:cNvPr id="450" name="Textbox 450"/>
                        <wps:cNvSpPr txBox="1"/>
                        <wps:spPr>
                          <a:xfrm>
                            <a:off x="1418716" y="537963"/>
                            <a:ext cx="168275" cy="139700"/>
                          </a:xfrm>
                          <a:prstGeom prst="rect">
                            <a:avLst/>
                          </a:prstGeom>
                        </wps:spPr>
                        <wps:txbx>
                          <w:txbxContent>
                            <w:p w14:paraId="5974DEDD" w14:textId="77777777" w:rsidR="000E52B0" w:rsidRDefault="00F60D74">
                              <w:pPr>
                                <w:rPr>
                                  <w:rFonts w:ascii="Trebuchet MS"/>
                                  <w:sz w:val="18"/>
                                </w:rPr>
                              </w:pPr>
                              <w:r>
                                <w:rPr>
                                  <w:rFonts w:ascii="Trebuchet MS"/>
                                  <w:color w:val="404040"/>
                                  <w:spacing w:val="-5"/>
                                  <w:w w:val="120"/>
                                  <w:sz w:val="18"/>
                                </w:rPr>
                                <w:t>6%</w:t>
                              </w:r>
                            </w:p>
                          </w:txbxContent>
                        </wps:txbx>
                        <wps:bodyPr wrap="square" lIns="0" tIns="0" rIns="0" bIns="0" rtlCol="0">
                          <a:noAutofit/>
                        </wps:bodyPr>
                      </wps:wsp>
                      <wps:wsp>
                        <wps:cNvPr id="451" name="Textbox 451"/>
                        <wps:cNvSpPr txBox="1"/>
                        <wps:spPr>
                          <a:xfrm>
                            <a:off x="2070100" y="558918"/>
                            <a:ext cx="168910" cy="139700"/>
                          </a:xfrm>
                          <a:prstGeom prst="rect">
                            <a:avLst/>
                          </a:prstGeom>
                        </wps:spPr>
                        <wps:txbx>
                          <w:txbxContent>
                            <w:p w14:paraId="78141710" w14:textId="77777777" w:rsidR="000E52B0" w:rsidRDefault="00F60D74">
                              <w:pPr>
                                <w:rPr>
                                  <w:rFonts w:ascii="Trebuchet MS"/>
                                  <w:sz w:val="18"/>
                                </w:rPr>
                              </w:pPr>
                              <w:r>
                                <w:rPr>
                                  <w:rFonts w:ascii="Trebuchet MS"/>
                                  <w:color w:val="404040"/>
                                  <w:spacing w:val="-5"/>
                                  <w:w w:val="120"/>
                                  <w:sz w:val="18"/>
                                </w:rPr>
                                <w:t>5%</w:t>
                              </w:r>
                            </w:p>
                          </w:txbxContent>
                        </wps:txbx>
                        <wps:bodyPr wrap="square" lIns="0" tIns="0" rIns="0" bIns="0" rtlCol="0">
                          <a:noAutofit/>
                        </wps:bodyPr>
                      </wps:wsp>
                      <wps:wsp>
                        <wps:cNvPr id="452" name="Textbox 452"/>
                        <wps:cNvSpPr txBox="1"/>
                        <wps:spPr>
                          <a:xfrm>
                            <a:off x="2329433" y="516881"/>
                            <a:ext cx="168275" cy="139700"/>
                          </a:xfrm>
                          <a:prstGeom prst="rect">
                            <a:avLst/>
                          </a:prstGeom>
                        </wps:spPr>
                        <wps:txbx>
                          <w:txbxContent>
                            <w:p w14:paraId="7FFA77A5" w14:textId="77777777" w:rsidR="000E52B0" w:rsidRDefault="00F60D74">
                              <w:pPr>
                                <w:rPr>
                                  <w:rFonts w:ascii="Trebuchet MS"/>
                                  <w:sz w:val="18"/>
                                </w:rPr>
                              </w:pPr>
                              <w:r>
                                <w:rPr>
                                  <w:rFonts w:ascii="Trebuchet MS"/>
                                  <w:color w:val="404040"/>
                                  <w:spacing w:val="-5"/>
                                  <w:w w:val="120"/>
                                  <w:sz w:val="18"/>
                                </w:rPr>
                                <w:t>7%</w:t>
                              </w:r>
                            </w:p>
                          </w:txbxContent>
                        </wps:txbx>
                        <wps:bodyPr wrap="square" lIns="0" tIns="0" rIns="0" bIns="0" rtlCol="0">
                          <a:noAutofit/>
                        </wps:bodyPr>
                      </wps:wsp>
                      <wps:wsp>
                        <wps:cNvPr id="453" name="Textbox 453"/>
                        <wps:cNvSpPr txBox="1"/>
                        <wps:spPr>
                          <a:xfrm>
                            <a:off x="3891915" y="593462"/>
                            <a:ext cx="168275" cy="139700"/>
                          </a:xfrm>
                          <a:prstGeom prst="rect">
                            <a:avLst/>
                          </a:prstGeom>
                        </wps:spPr>
                        <wps:txbx>
                          <w:txbxContent>
                            <w:p w14:paraId="3C8FA4AC" w14:textId="77777777" w:rsidR="000E52B0" w:rsidRDefault="00F60D74">
                              <w:pPr>
                                <w:rPr>
                                  <w:rFonts w:ascii="Trebuchet MS"/>
                                  <w:sz w:val="18"/>
                                </w:rPr>
                              </w:pPr>
                              <w:r>
                                <w:rPr>
                                  <w:rFonts w:ascii="Trebuchet MS"/>
                                  <w:color w:val="404040"/>
                                  <w:spacing w:val="-5"/>
                                  <w:w w:val="120"/>
                                  <w:sz w:val="18"/>
                                </w:rPr>
                                <w:t>3%</w:t>
                              </w:r>
                            </w:p>
                          </w:txbxContent>
                        </wps:txbx>
                        <wps:bodyPr wrap="square" lIns="0" tIns="0" rIns="0" bIns="0" rtlCol="0">
                          <a:noAutofit/>
                        </wps:bodyPr>
                      </wps:wsp>
                      <wps:wsp>
                        <wps:cNvPr id="454" name="Textbox 454"/>
                        <wps:cNvSpPr txBox="1"/>
                        <wps:spPr>
                          <a:xfrm>
                            <a:off x="4151248" y="518405"/>
                            <a:ext cx="168275" cy="139700"/>
                          </a:xfrm>
                          <a:prstGeom prst="rect">
                            <a:avLst/>
                          </a:prstGeom>
                        </wps:spPr>
                        <wps:txbx>
                          <w:txbxContent>
                            <w:p w14:paraId="2A35B4E2" w14:textId="77777777" w:rsidR="000E52B0" w:rsidRDefault="00F60D74">
                              <w:pPr>
                                <w:rPr>
                                  <w:rFonts w:ascii="Trebuchet MS"/>
                                  <w:sz w:val="18"/>
                                </w:rPr>
                              </w:pPr>
                              <w:r>
                                <w:rPr>
                                  <w:rFonts w:ascii="Trebuchet MS"/>
                                  <w:color w:val="404040"/>
                                  <w:spacing w:val="-5"/>
                                  <w:w w:val="120"/>
                                  <w:sz w:val="18"/>
                                </w:rPr>
                                <w:t>7%</w:t>
                              </w:r>
                            </w:p>
                          </w:txbxContent>
                        </wps:txbx>
                        <wps:bodyPr wrap="square" lIns="0" tIns="0" rIns="0" bIns="0" rtlCol="0">
                          <a:noAutofit/>
                        </wps:bodyPr>
                      </wps:wsp>
                      <wps:wsp>
                        <wps:cNvPr id="455" name="Textbox 455"/>
                        <wps:cNvSpPr txBox="1"/>
                        <wps:spPr>
                          <a:xfrm>
                            <a:off x="4802885" y="530978"/>
                            <a:ext cx="168275" cy="139700"/>
                          </a:xfrm>
                          <a:prstGeom prst="rect">
                            <a:avLst/>
                          </a:prstGeom>
                        </wps:spPr>
                        <wps:txbx>
                          <w:txbxContent>
                            <w:p w14:paraId="7FE903A7" w14:textId="77777777" w:rsidR="000E52B0" w:rsidRDefault="00F60D74">
                              <w:pPr>
                                <w:rPr>
                                  <w:rFonts w:ascii="Trebuchet MS"/>
                                  <w:sz w:val="18"/>
                                </w:rPr>
                              </w:pPr>
                              <w:r>
                                <w:rPr>
                                  <w:rFonts w:ascii="Trebuchet MS"/>
                                  <w:color w:val="404040"/>
                                  <w:spacing w:val="-5"/>
                                  <w:w w:val="120"/>
                                  <w:sz w:val="18"/>
                                </w:rPr>
                                <w:t>7%</w:t>
                              </w:r>
                            </w:p>
                          </w:txbxContent>
                        </wps:txbx>
                        <wps:bodyPr wrap="square" lIns="0" tIns="0" rIns="0" bIns="0" rtlCol="0">
                          <a:noAutofit/>
                        </wps:bodyPr>
                      </wps:wsp>
                      <wps:wsp>
                        <wps:cNvPr id="456" name="Textbox 456"/>
                        <wps:cNvSpPr txBox="1"/>
                        <wps:spPr>
                          <a:xfrm>
                            <a:off x="5062346" y="485766"/>
                            <a:ext cx="168275" cy="139700"/>
                          </a:xfrm>
                          <a:prstGeom prst="rect">
                            <a:avLst/>
                          </a:prstGeom>
                        </wps:spPr>
                        <wps:txbx>
                          <w:txbxContent>
                            <w:p w14:paraId="4C2CE6DE" w14:textId="77777777" w:rsidR="000E52B0" w:rsidRDefault="00F60D74">
                              <w:pPr>
                                <w:rPr>
                                  <w:rFonts w:ascii="Trebuchet MS"/>
                                  <w:sz w:val="18"/>
                                </w:rPr>
                              </w:pPr>
                              <w:r>
                                <w:rPr>
                                  <w:rFonts w:ascii="Trebuchet MS"/>
                                  <w:color w:val="404040"/>
                                  <w:spacing w:val="-5"/>
                                  <w:w w:val="120"/>
                                  <w:sz w:val="18"/>
                                </w:rPr>
                                <w:t>9%</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2433A1D" id="Group 443" o:spid="_x0000_s1261" style="position:absolute;left:0;text-align:left;margin-left:83.25pt;margin-top:21.45pt;width:428.25pt;height:57.75pt;z-index:15787008;mso-wrap-distance-left:0;mso-wrap-distance-right:0;mso-position-horizontal-relative:page;mso-position-vertical-relative:text;mso-width-relative:margin;mso-height-relative:margin" coordsize="54641,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">
                <v:shape id="Graphic 444" o:spid="_x0000_s1262" style="position:absolute;left:2230;width:47580;height:8286;visibility:visible;mso-wrap-style:square;v-text-anchor:top" coordsize="4758055,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" path="m204216,l,,,828675r204216,l204216,xem1115568,755904r-204216,l911352,828675r204216,l1115568,755904xem2026920,755904r-204216,l1822704,828675r204216,l2026920,755904xem2936748,384048r-204216,l2732532,828675r204216,l2936748,384048xem3848100,789432r-204216,l3643884,828675r204216,l3848100,789432xem4757928,726948r-204216,l4553712,828675r204216,l4757928,726948xe" fillcolor="#ffc000" stroked="f">
                  <v:path arrowok="t"/>
                </v:shape>
                <v:shape id="Graphic 445" o:spid="_x0000_s1263" style="position:absolute;left:4836;top:853;width:47568;height:7436;visibility:visible;mso-wrap-style:square;v-text-anchor:top" coordsize="4756785,74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" path="m204216,l,,,743331r204216,l204216,xem1114044,649224r-204216,l909828,743331r204216,l1114044,649224xem2025396,627888r-204216,l1821180,743331r204216,l2025396,627888xem2935224,399288r-204216,l2731008,743331r204216,l2935224,399288xem3846576,629412r-204216,l3642360,743331r204216,l3846576,629412xem4756404,597408r-204216,l4552188,743331r204216,l4756404,597408xe" fillcolor="#e22c91" stroked="f">
                  <v:path arrowok="t"/>
                </v:shape>
                <v:shape id="Graphic 446" o:spid="_x0000_s1264" style="position:absolute;top:8286;width:54641;height:13;visibility:visible;mso-wrap-style:square;v-text-anchor:top" coordsize="5464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" path="m,l5464175,e" filled="f" strokecolor="#d9d9d9">
                  <v:path arrowok="t"/>
                </v:shape>
                <v:shape id="Textbox 447" o:spid="_x0000_s1265" type="#_x0000_t202" style="position:absolute;left:29507;top:1876;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7FFBEFB7" w14:textId="77777777" w:rsidR="000E52B0" w:rsidRDefault="00F60D74">
                        <w:pPr>
                          <w:rPr>
                            <w:rFonts w:ascii="Trebuchet MS"/>
                            <w:sz w:val="18"/>
                          </w:rPr>
                        </w:pPr>
                        <w:r>
                          <w:rPr>
                            <w:rFonts w:ascii="Trebuchet MS"/>
                            <w:color w:val="404040"/>
                            <w:spacing w:val="-5"/>
                            <w:w w:val="115"/>
                            <w:sz w:val="18"/>
                          </w:rPr>
                          <w:t>29%</w:t>
                        </w:r>
                      </w:p>
                    </w:txbxContent>
                  </v:textbox>
                </v:shape>
                <v:shape id="Textbox 448" o:spid="_x0000_s1266" type="#_x0000_t202" style="position:absolute;left:32100;top:2876;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431AB12F" w14:textId="77777777" w:rsidR="000E52B0" w:rsidRDefault="00F60D74">
                        <w:pPr>
                          <w:rPr>
                            <w:rFonts w:ascii="Trebuchet MS"/>
                            <w:sz w:val="18"/>
                          </w:rPr>
                        </w:pPr>
                        <w:r>
                          <w:rPr>
                            <w:rFonts w:ascii="Trebuchet MS"/>
                            <w:color w:val="404040"/>
                            <w:spacing w:val="-5"/>
                            <w:w w:val="115"/>
                            <w:sz w:val="18"/>
                          </w:rPr>
                          <w:t>22%</w:t>
                        </w:r>
                      </w:p>
                    </w:txbxContent>
                  </v:textbox>
                </v:shape>
                <v:shape id="Textbox 449" o:spid="_x0000_s1267" type="#_x0000_t202" style="position:absolute;left:11593;top:5589;width:168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5A539F20" w14:textId="77777777" w:rsidR="000E52B0" w:rsidRDefault="00F60D74">
                        <w:pPr>
                          <w:rPr>
                            <w:rFonts w:ascii="Trebuchet MS"/>
                            <w:sz w:val="18"/>
                          </w:rPr>
                        </w:pPr>
                        <w:r>
                          <w:rPr>
                            <w:rFonts w:ascii="Trebuchet MS"/>
                            <w:color w:val="404040"/>
                            <w:spacing w:val="-5"/>
                            <w:w w:val="120"/>
                            <w:sz w:val="18"/>
                          </w:rPr>
                          <w:t>5%</w:t>
                        </w:r>
                      </w:p>
                    </w:txbxContent>
                  </v:textbox>
                </v:shape>
                <v:shape id="Textbox 450" o:spid="_x0000_s1268" type="#_x0000_t202" style="position:absolute;left:14187;top:5379;width:168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5974DEDD" w14:textId="77777777" w:rsidR="000E52B0" w:rsidRDefault="00F60D74">
                        <w:pPr>
                          <w:rPr>
                            <w:rFonts w:ascii="Trebuchet MS"/>
                            <w:sz w:val="18"/>
                          </w:rPr>
                        </w:pPr>
                        <w:r>
                          <w:rPr>
                            <w:rFonts w:ascii="Trebuchet MS"/>
                            <w:color w:val="404040"/>
                            <w:spacing w:val="-5"/>
                            <w:w w:val="120"/>
                            <w:sz w:val="18"/>
                          </w:rPr>
                          <w:t>6%</w:t>
                        </w:r>
                      </w:p>
                    </w:txbxContent>
                  </v:textbox>
                </v:shape>
                <v:shape id="Textbox 451" o:spid="_x0000_s1269" type="#_x0000_t202" style="position:absolute;left:20701;top:5589;width:168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78141710" w14:textId="77777777" w:rsidR="000E52B0" w:rsidRDefault="00F60D74">
                        <w:pPr>
                          <w:rPr>
                            <w:rFonts w:ascii="Trebuchet MS"/>
                            <w:sz w:val="18"/>
                          </w:rPr>
                        </w:pPr>
                        <w:r>
                          <w:rPr>
                            <w:rFonts w:ascii="Trebuchet MS"/>
                            <w:color w:val="404040"/>
                            <w:spacing w:val="-5"/>
                            <w:w w:val="120"/>
                            <w:sz w:val="18"/>
                          </w:rPr>
                          <w:t>5%</w:t>
                        </w:r>
                      </w:p>
                    </w:txbxContent>
                  </v:textbox>
                </v:shape>
                <v:shape id="Textbox 452" o:spid="_x0000_s1270" type="#_x0000_t202" style="position:absolute;left:23294;top:5168;width:168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7FFA77A5" w14:textId="77777777" w:rsidR="000E52B0" w:rsidRDefault="00F60D74">
                        <w:pPr>
                          <w:rPr>
                            <w:rFonts w:ascii="Trebuchet MS"/>
                            <w:sz w:val="18"/>
                          </w:rPr>
                        </w:pPr>
                        <w:r>
                          <w:rPr>
                            <w:rFonts w:ascii="Trebuchet MS"/>
                            <w:color w:val="404040"/>
                            <w:spacing w:val="-5"/>
                            <w:w w:val="120"/>
                            <w:sz w:val="18"/>
                          </w:rPr>
                          <w:t>7%</w:t>
                        </w:r>
                      </w:p>
                    </w:txbxContent>
                  </v:textbox>
                </v:shape>
                <v:shape id="Textbox 453" o:spid="_x0000_s1271" type="#_x0000_t202" style="position:absolute;left:38919;top:5934;width:168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3C8FA4AC" w14:textId="77777777" w:rsidR="000E52B0" w:rsidRDefault="00F60D74">
                        <w:pPr>
                          <w:rPr>
                            <w:rFonts w:ascii="Trebuchet MS"/>
                            <w:sz w:val="18"/>
                          </w:rPr>
                        </w:pPr>
                        <w:r>
                          <w:rPr>
                            <w:rFonts w:ascii="Trebuchet MS"/>
                            <w:color w:val="404040"/>
                            <w:spacing w:val="-5"/>
                            <w:w w:val="120"/>
                            <w:sz w:val="18"/>
                          </w:rPr>
                          <w:t>3%</w:t>
                        </w:r>
                      </w:p>
                    </w:txbxContent>
                  </v:textbox>
                </v:shape>
                <v:shape id="Textbox 454" o:spid="_x0000_s1272" type="#_x0000_t202" style="position:absolute;left:41512;top:5184;width:168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2A35B4E2" w14:textId="77777777" w:rsidR="000E52B0" w:rsidRDefault="00F60D74">
                        <w:pPr>
                          <w:rPr>
                            <w:rFonts w:ascii="Trebuchet MS"/>
                            <w:sz w:val="18"/>
                          </w:rPr>
                        </w:pPr>
                        <w:r>
                          <w:rPr>
                            <w:rFonts w:ascii="Trebuchet MS"/>
                            <w:color w:val="404040"/>
                            <w:spacing w:val="-5"/>
                            <w:w w:val="120"/>
                            <w:sz w:val="18"/>
                          </w:rPr>
                          <w:t>7%</w:t>
                        </w:r>
                      </w:p>
                    </w:txbxContent>
                  </v:textbox>
                </v:shape>
                <v:shape id="Textbox 455" o:spid="_x0000_s1273" type="#_x0000_t202" style="position:absolute;left:48028;top:5309;width:168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7FE903A7" w14:textId="77777777" w:rsidR="000E52B0" w:rsidRDefault="00F60D74">
                        <w:pPr>
                          <w:rPr>
                            <w:rFonts w:ascii="Trebuchet MS"/>
                            <w:sz w:val="18"/>
                          </w:rPr>
                        </w:pPr>
                        <w:r>
                          <w:rPr>
                            <w:rFonts w:ascii="Trebuchet MS"/>
                            <w:color w:val="404040"/>
                            <w:spacing w:val="-5"/>
                            <w:w w:val="120"/>
                            <w:sz w:val="18"/>
                          </w:rPr>
                          <w:t>7%</w:t>
                        </w:r>
                      </w:p>
                    </w:txbxContent>
                  </v:textbox>
                </v:shape>
                <v:shape id="Textbox 456" o:spid="_x0000_s1274" type="#_x0000_t202" style="position:absolute;left:50623;top:4857;width:168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4C2CE6DE" w14:textId="77777777" w:rsidR="000E52B0" w:rsidRDefault="00F60D74">
                        <w:pPr>
                          <w:rPr>
                            <w:rFonts w:ascii="Trebuchet MS"/>
                            <w:sz w:val="18"/>
                          </w:rPr>
                        </w:pPr>
                        <w:r>
                          <w:rPr>
                            <w:rFonts w:ascii="Trebuchet MS"/>
                            <w:color w:val="404040"/>
                            <w:spacing w:val="-5"/>
                            <w:w w:val="120"/>
                            <w:sz w:val="18"/>
                          </w:rPr>
                          <w:t>9%</w:t>
                        </w:r>
                      </w:p>
                    </w:txbxContent>
                  </v:textbox>
                </v:shape>
                <w10:wrap anchorx="page"/>
              </v:group>
            </w:pict>
          </mc:Fallback>
        </mc:AlternateContent>
      </w:r>
      <w:r>
        <w:rPr>
          <w:rFonts w:ascii="Trebuchet MS"/>
          <w:color w:val="404040"/>
          <w:w w:val="115"/>
          <w:sz w:val="18"/>
        </w:rPr>
        <w:t xml:space="preserve">53% </w:t>
      </w:r>
      <w:r>
        <w:rPr>
          <w:rFonts w:ascii="Trebuchet MS"/>
          <w:color w:val="404040"/>
          <w:spacing w:val="-5"/>
          <w:w w:val="115"/>
          <w:position w:val="-12"/>
          <w:sz w:val="18"/>
        </w:rPr>
        <w:t>48%</w:t>
      </w:r>
    </w:p>
    <w:p w14:paraId="6ECF26F2" w14:textId="77777777" w:rsidR="000E52B0" w:rsidRDefault="000E52B0">
      <w:pPr>
        <w:pStyle w:val="Textoindependiente"/>
        <w:ind w:left="0"/>
        <w:rPr>
          <w:rFonts w:ascii="Trebuchet MS"/>
          <w:sz w:val="20"/>
        </w:rPr>
      </w:pPr>
    </w:p>
    <w:p w14:paraId="1C15F712" w14:textId="77777777" w:rsidR="000E52B0" w:rsidRDefault="000E52B0">
      <w:pPr>
        <w:pStyle w:val="Textoindependiente"/>
        <w:ind w:left="0"/>
        <w:rPr>
          <w:rFonts w:ascii="Trebuchet MS"/>
          <w:sz w:val="20"/>
        </w:rPr>
      </w:pPr>
    </w:p>
    <w:p w14:paraId="11B42969" w14:textId="77777777" w:rsidR="000E52B0" w:rsidRDefault="000E52B0">
      <w:pPr>
        <w:pStyle w:val="Textoindependiente"/>
        <w:ind w:left="0"/>
        <w:rPr>
          <w:rFonts w:ascii="Trebuchet MS"/>
          <w:sz w:val="20"/>
        </w:rPr>
      </w:pPr>
    </w:p>
    <w:p w14:paraId="47A559A4" w14:textId="77777777" w:rsidR="000E52B0" w:rsidRDefault="000E52B0">
      <w:pPr>
        <w:pStyle w:val="Textoindependiente"/>
        <w:ind w:left="0"/>
        <w:rPr>
          <w:rFonts w:ascii="Trebuchet MS"/>
          <w:sz w:val="20"/>
        </w:rPr>
      </w:pPr>
    </w:p>
    <w:p w14:paraId="2D6CC0C5" w14:textId="77777777" w:rsidR="000E52B0" w:rsidRDefault="000E52B0">
      <w:pPr>
        <w:pStyle w:val="Textoindependiente"/>
        <w:spacing w:before="125"/>
        <w:ind w:left="0"/>
        <w:rPr>
          <w:rFonts w:ascii="Trebuchet MS"/>
          <w:sz w:val="20"/>
        </w:rPr>
      </w:pPr>
    </w:p>
    <w:p w14:paraId="402C1763" w14:textId="77777777" w:rsidR="000E52B0" w:rsidRDefault="000E52B0">
      <w:pPr>
        <w:pStyle w:val="Textoindependiente"/>
        <w:rPr>
          <w:rFonts w:ascii="Trebuchet MS"/>
          <w:sz w:val="20"/>
        </w:rPr>
        <w:sectPr w:rsidR="000E52B0">
          <w:type w:val="continuous"/>
          <w:pgSz w:w="11910" w:h="16840"/>
          <w:pgMar w:top="1340" w:right="720" w:bottom="1280" w:left="720" w:header="0" w:footer="995" w:gutter="0"/>
          <w:cols w:space="720"/>
        </w:sectPr>
      </w:pPr>
    </w:p>
    <w:p w14:paraId="768A184A" w14:textId="77777777" w:rsidR="000E52B0" w:rsidRDefault="00F60D74">
      <w:pPr>
        <w:tabs>
          <w:tab w:val="left" w:pos="2403"/>
          <w:tab w:val="left" w:pos="4083"/>
          <w:tab w:val="left" w:pos="5305"/>
          <w:tab w:val="left" w:pos="6883"/>
        </w:tabs>
        <w:spacing w:before="101"/>
        <w:ind w:left="1219"/>
        <w:rPr>
          <w:rFonts w:ascii="Trebuchet MS"/>
          <w:sz w:val="18"/>
        </w:rPr>
      </w:pPr>
      <w:proofErr w:type="gramStart"/>
      <w:r>
        <w:rPr>
          <w:rFonts w:ascii="Trebuchet MS"/>
          <w:color w:val="585858"/>
          <w:spacing w:val="-2"/>
          <w:sz w:val="18"/>
        </w:rPr>
        <w:t>Trabajando</w:t>
      </w:r>
      <w:r>
        <w:rPr>
          <w:rFonts w:ascii="Trebuchet MS"/>
          <w:color w:val="585858"/>
          <w:sz w:val="18"/>
        </w:rPr>
        <w:tab/>
        <w:t>Buscando</w:t>
      </w:r>
      <w:proofErr w:type="gramEnd"/>
      <w:r>
        <w:rPr>
          <w:rFonts w:ascii="Trebuchet MS"/>
          <w:color w:val="585858"/>
          <w:spacing w:val="13"/>
          <w:sz w:val="18"/>
        </w:rPr>
        <w:t xml:space="preserve"> </w:t>
      </w:r>
      <w:r>
        <w:rPr>
          <w:rFonts w:ascii="Trebuchet MS"/>
          <w:color w:val="585858"/>
          <w:spacing w:val="-2"/>
          <w:sz w:val="18"/>
        </w:rPr>
        <w:t>trabajo</w:t>
      </w:r>
      <w:r>
        <w:rPr>
          <w:rFonts w:ascii="Trebuchet MS"/>
          <w:color w:val="585858"/>
          <w:sz w:val="18"/>
        </w:rPr>
        <w:tab/>
      </w:r>
      <w:r>
        <w:rPr>
          <w:rFonts w:ascii="Trebuchet MS"/>
          <w:color w:val="585858"/>
          <w:spacing w:val="-2"/>
          <w:sz w:val="18"/>
        </w:rPr>
        <w:t>Estudiando</w:t>
      </w:r>
      <w:r>
        <w:rPr>
          <w:rFonts w:ascii="Trebuchet MS"/>
          <w:color w:val="585858"/>
          <w:sz w:val="18"/>
        </w:rPr>
        <w:tab/>
      </w:r>
      <w:r>
        <w:rPr>
          <w:rFonts w:ascii="Trebuchet MS"/>
          <w:color w:val="585858"/>
          <w:spacing w:val="-2"/>
          <w:sz w:val="18"/>
        </w:rPr>
        <w:t>Oficios</w:t>
      </w:r>
      <w:r>
        <w:rPr>
          <w:rFonts w:ascii="Trebuchet MS"/>
          <w:color w:val="585858"/>
          <w:spacing w:val="-15"/>
          <w:sz w:val="18"/>
        </w:rPr>
        <w:t xml:space="preserve"> </w:t>
      </w:r>
      <w:r>
        <w:rPr>
          <w:rFonts w:ascii="Trebuchet MS"/>
          <w:color w:val="585858"/>
          <w:spacing w:val="-2"/>
          <w:sz w:val="18"/>
        </w:rPr>
        <w:t>del</w:t>
      </w:r>
      <w:r>
        <w:rPr>
          <w:rFonts w:ascii="Trebuchet MS"/>
          <w:color w:val="585858"/>
          <w:spacing w:val="-15"/>
          <w:sz w:val="18"/>
        </w:rPr>
        <w:t xml:space="preserve"> </w:t>
      </w:r>
      <w:r>
        <w:rPr>
          <w:rFonts w:ascii="Trebuchet MS"/>
          <w:color w:val="585858"/>
          <w:spacing w:val="-2"/>
          <w:sz w:val="18"/>
        </w:rPr>
        <w:t>hogar</w:t>
      </w:r>
      <w:r>
        <w:rPr>
          <w:rFonts w:ascii="Trebuchet MS"/>
          <w:color w:val="585858"/>
          <w:sz w:val="18"/>
        </w:rPr>
        <w:tab/>
      </w:r>
      <w:r>
        <w:rPr>
          <w:rFonts w:ascii="Trebuchet MS"/>
          <w:color w:val="585858"/>
          <w:spacing w:val="-2"/>
          <w:sz w:val="18"/>
        </w:rPr>
        <w:t>Incapacitado</w:t>
      </w:r>
    </w:p>
    <w:p w14:paraId="2AD2BB3B" w14:textId="77777777" w:rsidR="000E52B0" w:rsidRDefault="00F60D74">
      <w:pPr>
        <w:spacing w:before="11" w:line="252" w:lineRule="auto"/>
        <w:ind w:left="7090" w:hanging="366"/>
        <w:rPr>
          <w:rFonts w:ascii="Trebuchet MS"/>
          <w:sz w:val="18"/>
        </w:rPr>
      </w:pPr>
      <w:r>
        <w:rPr>
          <w:rFonts w:ascii="Trebuchet MS"/>
          <w:color w:val="585858"/>
          <w:spacing w:val="-4"/>
          <w:sz w:val="18"/>
        </w:rPr>
        <w:t>permanente</w:t>
      </w:r>
      <w:r>
        <w:rPr>
          <w:rFonts w:ascii="Trebuchet MS"/>
          <w:color w:val="585858"/>
          <w:spacing w:val="-18"/>
          <w:sz w:val="18"/>
        </w:rPr>
        <w:t xml:space="preserve"> </w:t>
      </w:r>
      <w:r>
        <w:rPr>
          <w:rFonts w:ascii="Trebuchet MS"/>
          <w:color w:val="585858"/>
          <w:spacing w:val="-4"/>
          <w:sz w:val="18"/>
        </w:rPr>
        <w:t xml:space="preserve">para </w:t>
      </w:r>
      <w:r>
        <w:rPr>
          <w:rFonts w:ascii="Trebuchet MS"/>
          <w:color w:val="585858"/>
          <w:spacing w:val="-2"/>
          <w:sz w:val="18"/>
        </w:rPr>
        <w:t>trabajar</w:t>
      </w:r>
    </w:p>
    <w:p w14:paraId="60C885DC" w14:textId="4A5A92E9" w:rsidR="000E52B0" w:rsidRDefault="00F60D74" w:rsidP="00203383">
      <w:pPr>
        <w:spacing w:before="101"/>
        <w:ind w:left="176"/>
        <w:rPr>
          <w:rFonts w:ascii="Trebuchet MS"/>
          <w:sz w:val="18"/>
        </w:rPr>
        <w:sectPr w:rsidR="000E52B0">
          <w:type w:val="continuous"/>
          <w:pgSz w:w="11910" w:h="16840"/>
          <w:pgMar w:top="1340" w:right="720" w:bottom="1280" w:left="720" w:header="0" w:footer="995" w:gutter="0"/>
          <w:cols w:num="2" w:space="720" w:equalWidth="0">
            <w:col w:w="8066" w:space="40"/>
            <w:col w:w="2364"/>
          </w:cols>
        </w:sectPr>
      </w:pPr>
      <w:r>
        <w:br w:type="column"/>
      </w:r>
      <w:r>
        <w:rPr>
          <w:rFonts w:ascii="Trebuchet MS"/>
          <w:color w:val="585858"/>
          <w:spacing w:val="-6"/>
          <w:sz w:val="18"/>
        </w:rPr>
        <w:t>Otra</w:t>
      </w:r>
      <w:r>
        <w:rPr>
          <w:rFonts w:ascii="Trebuchet MS"/>
          <w:color w:val="585858"/>
          <w:spacing w:val="-12"/>
          <w:sz w:val="18"/>
        </w:rPr>
        <w:t xml:space="preserve"> </w:t>
      </w:r>
      <w:r>
        <w:rPr>
          <w:rFonts w:ascii="Trebuchet MS"/>
          <w:color w:val="585858"/>
          <w:spacing w:val="-2"/>
          <w:sz w:val="18"/>
        </w:rPr>
        <w:t>actividad</w:t>
      </w:r>
    </w:p>
    <w:p w14:paraId="0FA0A906" w14:textId="77777777" w:rsidR="000E52B0" w:rsidRDefault="00F60D74" w:rsidP="00203383">
      <w:pPr>
        <w:ind w:right="1"/>
        <w:jc w:val="center"/>
        <w:rPr>
          <w:i/>
          <w:sz w:val="18"/>
        </w:rPr>
      </w:pPr>
      <w:r>
        <w:rPr>
          <w:i/>
          <w:color w:val="454551"/>
          <w:sz w:val="18"/>
        </w:rPr>
        <w:t>Fuente</w:t>
      </w:r>
      <w:r>
        <w:rPr>
          <w:i/>
          <w:color w:val="454551"/>
          <w:spacing w:val="-2"/>
          <w:sz w:val="18"/>
        </w:rPr>
        <w:t xml:space="preserve"> </w:t>
      </w:r>
      <w:r>
        <w:rPr>
          <w:i/>
          <w:color w:val="454551"/>
          <w:sz w:val="18"/>
        </w:rPr>
        <w:t>26.</w:t>
      </w:r>
      <w:r>
        <w:rPr>
          <w:i/>
          <w:color w:val="454551"/>
          <w:spacing w:val="-4"/>
          <w:sz w:val="18"/>
        </w:rPr>
        <w:t xml:space="preserve"> </w:t>
      </w:r>
      <w:r>
        <w:rPr>
          <w:i/>
          <w:color w:val="454551"/>
          <w:sz w:val="18"/>
        </w:rPr>
        <w:t>Elaboración</w:t>
      </w:r>
      <w:r>
        <w:rPr>
          <w:i/>
          <w:color w:val="454551"/>
          <w:spacing w:val="-2"/>
          <w:sz w:val="18"/>
        </w:rPr>
        <w:t xml:space="preserve"> </w:t>
      </w:r>
      <w:r>
        <w:rPr>
          <w:i/>
          <w:color w:val="454551"/>
          <w:sz w:val="18"/>
        </w:rPr>
        <w:t>propia</w:t>
      </w:r>
      <w:r>
        <w:rPr>
          <w:i/>
          <w:color w:val="454551"/>
          <w:spacing w:val="-2"/>
          <w:sz w:val="18"/>
        </w:rPr>
        <w:t xml:space="preserve"> </w:t>
      </w:r>
      <w:r>
        <w:rPr>
          <w:i/>
          <w:color w:val="454551"/>
          <w:sz w:val="18"/>
        </w:rPr>
        <w:t>GEIH</w:t>
      </w:r>
      <w:r>
        <w:rPr>
          <w:i/>
          <w:color w:val="454551"/>
          <w:spacing w:val="-4"/>
          <w:sz w:val="18"/>
        </w:rPr>
        <w:t xml:space="preserve"> </w:t>
      </w:r>
      <w:r>
        <w:rPr>
          <w:i/>
          <w:color w:val="454551"/>
          <w:sz w:val="18"/>
        </w:rPr>
        <w:t>2022</w:t>
      </w:r>
      <w:r>
        <w:rPr>
          <w:i/>
          <w:color w:val="454551"/>
          <w:spacing w:val="-1"/>
          <w:sz w:val="18"/>
        </w:rPr>
        <w:t xml:space="preserve"> </w:t>
      </w:r>
      <w:r>
        <w:rPr>
          <w:i/>
          <w:color w:val="454551"/>
          <w:sz w:val="18"/>
        </w:rPr>
        <w:t>–</w:t>
      </w:r>
      <w:r>
        <w:rPr>
          <w:i/>
          <w:color w:val="454551"/>
          <w:spacing w:val="-2"/>
          <w:sz w:val="18"/>
        </w:rPr>
        <w:t xml:space="preserve"> </w:t>
      </w:r>
      <w:r>
        <w:rPr>
          <w:i/>
          <w:color w:val="454551"/>
          <w:spacing w:val="-4"/>
          <w:sz w:val="18"/>
        </w:rPr>
        <w:t>DANE</w:t>
      </w:r>
    </w:p>
    <w:p w14:paraId="218114B0" w14:textId="77777777" w:rsidR="000E52B0" w:rsidRDefault="00F60D74">
      <w:pPr>
        <w:pStyle w:val="Textoindependiente"/>
        <w:spacing w:before="202"/>
        <w:ind w:right="720"/>
        <w:jc w:val="both"/>
      </w:pPr>
      <w:r>
        <w:t>La</w:t>
      </w:r>
      <w:r>
        <w:rPr>
          <w:spacing w:val="-7"/>
        </w:rPr>
        <w:t xml:space="preserve"> </w:t>
      </w:r>
      <w:r>
        <w:t>discriminación</w:t>
      </w:r>
      <w:r>
        <w:rPr>
          <w:spacing w:val="-8"/>
        </w:rPr>
        <w:t xml:space="preserve"> </w:t>
      </w:r>
      <w:r>
        <w:t>y</w:t>
      </w:r>
      <w:r>
        <w:rPr>
          <w:spacing w:val="-6"/>
        </w:rPr>
        <w:t xml:space="preserve"> </w:t>
      </w:r>
      <w:r>
        <w:t>exclusión</w:t>
      </w:r>
      <w:r>
        <w:rPr>
          <w:spacing w:val="-8"/>
        </w:rPr>
        <w:t xml:space="preserve"> </w:t>
      </w:r>
      <w:r>
        <w:t>estructural</w:t>
      </w:r>
      <w:r>
        <w:rPr>
          <w:spacing w:val="-8"/>
        </w:rPr>
        <w:t xml:space="preserve"> </w:t>
      </w:r>
      <w:r>
        <w:t>que</w:t>
      </w:r>
      <w:r>
        <w:rPr>
          <w:spacing w:val="-6"/>
        </w:rPr>
        <w:t xml:space="preserve"> </w:t>
      </w:r>
      <w:r>
        <w:t>enfrentan</w:t>
      </w:r>
      <w:r>
        <w:rPr>
          <w:spacing w:val="-8"/>
        </w:rPr>
        <w:t xml:space="preserve"> </w:t>
      </w:r>
      <w:r>
        <w:t>las</w:t>
      </w:r>
      <w:r>
        <w:rPr>
          <w:spacing w:val="-6"/>
        </w:rPr>
        <w:t xml:space="preserve"> </w:t>
      </w:r>
      <w:r>
        <w:t>personas</w:t>
      </w:r>
      <w:r>
        <w:rPr>
          <w:spacing w:val="-8"/>
        </w:rPr>
        <w:t xml:space="preserve"> </w:t>
      </w:r>
      <w:r>
        <w:t>trans, especialmente en el mercado laboral, contribuye significativamente a su vulnerabilidad</w:t>
      </w:r>
      <w:r>
        <w:rPr>
          <w:spacing w:val="-3"/>
        </w:rPr>
        <w:t xml:space="preserve"> </w:t>
      </w:r>
      <w:r>
        <w:t>a situaciones</w:t>
      </w:r>
      <w:r>
        <w:rPr>
          <w:spacing w:val="-2"/>
        </w:rPr>
        <w:t xml:space="preserve"> </w:t>
      </w:r>
      <w:r>
        <w:t>de pobreza,</w:t>
      </w:r>
      <w:r>
        <w:rPr>
          <w:spacing w:val="-3"/>
        </w:rPr>
        <w:t xml:space="preserve"> </w:t>
      </w:r>
      <w:r>
        <w:t>lo que</w:t>
      </w:r>
      <w:r>
        <w:rPr>
          <w:spacing w:val="-1"/>
        </w:rPr>
        <w:t xml:space="preserve"> </w:t>
      </w:r>
      <w:r>
        <w:t>a su vez puede</w:t>
      </w:r>
      <w:r>
        <w:rPr>
          <w:spacing w:val="-1"/>
        </w:rPr>
        <w:t xml:space="preserve"> </w:t>
      </w:r>
      <w:r>
        <w:t>someterlas a mayor discriminación. De acuerdo con el informe de la Escuela Nacional Sindical &amp; Corporación Caribe Afirmativo (2013), la población OSIGNH enfrentan diversas formas de discriminación en el ámbito laboral, incluyendo sobrecarga de trabajo, exclusión de ciertas actividades, obstáculos</w:t>
      </w:r>
      <w:r>
        <w:rPr>
          <w:spacing w:val="44"/>
        </w:rPr>
        <w:t xml:space="preserve"> </w:t>
      </w:r>
      <w:r>
        <w:t>en</w:t>
      </w:r>
      <w:r>
        <w:rPr>
          <w:spacing w:val="47"/>
        </w:rPr>
        <w:t xml:space="preserve"> </w:t>
      </w:r>
      <w:r>
        <w:t>el</w:t>
      </w:r>
      <w:r>
        <w:rPr>
          <w:spacing w:val="46"/>
        </w:rPr>
        <w:t xml:space="preserve"> </w:t>
      </w:r>
      <w:r>
        <w:t>desarrollo</w:t>
      </w:r>
      <w:r>
        <w:rPr>
          <w:spacing w:val="47"/>
        </w:rPr>
        <w:t xml:space="preserve"> </w:t>
      </w:r>
      <w:r>
        <w:t>del</w:t>
      </w:r>
      <w:r>
        <w:rPr>
          <w:spacing w:val="46"/>
        </w:rPr>
        <w:t xml:space="preserve"> </w:t>
      </w:r>
      <w:r>
        <w:t>trabajo,</w:t>
      </w:r>
      <w:r>
        <w:rPr>
          <w:spacing w:val="45"/>
        </w:rPr>
        <w:t xml:space="preserve"> </w:t>
      </w:r>
      <w:r>
        <w:t>barreras</w:t>
      </w:r>
      <w:r>
        <w:rPr>
          <w:spacing w:val="47"/>
        </w:rPr>
        <w:t xml:space="preserve"> </w:t>
      </w:r>
      <w:r>
        <w:t>para</w:t>
      </w:r>
      <w:r>
        <w:rPr>
          <w:spacing w:val="47"/>
        </w:rPr>
        <w:t xml:space="preserve"> </w:t>
      </w:r>
      <w:r>
        <w:t>la</w:t>
      </w:r>
      <w:r>
        <w:rPr>
          <w:spacing w:val="46"/>
        </w:rPr>
        <w:t xml:space="preserve"> </w:t>
      </w:r>
      <w:r>
        <w:t>movilidad</w:t>
      </w:r>
      <w:r>
        <w:rPr>
          <w:spacing w:val="46"/>
        </w:rPr>
        <w:t xml:space="preserve"> </w:t>
      </w:r>
      <w:r>
        <w:t>y</w:t>
      </w:r>
      <w:r>
        <w:rPr>
          <w:spacing w:val="46"/>
        </w:rPr>
        <w:t xml:space="preserve"> </w:t>
      </w:r>
      <w:r>
        <w:rPr>
          <w:spacing w:val="-5"/>
        </w:rPr>
        <w:t>el</w:t>
      </w:r>
    </w:p>
    <w:p w14:paraId="70035EAE" w14:textId="77777777" w:rsidR="000E52B0" w:rsidRDefault="00F60D74">
      <w:pPr>
        <w:pStyle w:val="Textoindependiente"/>
        <w:spacing w:before="59"/>
        <w:ind w:left="0"/>
        <w:rPr>
          <w:sz w:val="20"/>
        </w:rPr>
      </w:pPr>
      <w:r>
        <w:rPr>
          <w:noProof/>
          <w:sz w:val="20"/>
        </w:rPr>
        <mc:AlternateContent>
          <mc:Choice Requires="wps">
            <w:drawing>
              <wp:anchor distT="0" distB="0" distL="0" distR="0" simplePos="0" relativeHeight="487645696" behindDoc="1" locked="0" layoutInCell="1" allowOverlap="1" wp14:anchorId="5BB4704E" wp14:editId="34454ACF">
                <wp:simplePos x="0" y="0"/>
                <wp:positionH relativeFrom="page">
                  <wp:posOffset>914704</wp:posOffset>
                </wp:positionH>
                <wp:positionV relativeFrom="paragraph">
                  <wp:posOffset>207584</wp:posOffset>
                </wp:positionV>
                <wp:extent cx="1829435" cy="7620"/>
                <wp:effectExtent l="0" t="0" r="0" b="0"/>
                <wp:wrapTopAndBottom/>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4E45DE" id="Graphic 457" o:spid="_x0000_s1026" style="position:absolute;margin-left:1in;margin-top:16.35pt;width:144.05pt;height:.6pt;z-index:-156707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" path="m1829054,l,,,7619r1829054,l1829054,xe" fillcolor="black" stroked="f">
                <v:path arrowok="t"/>
                <w10:wrap type="topAndBottom" anchorx="page"/>
              </v:shape>
            </w:pict>
          </mc:Fallback>
        </mc:AlternateContent>
      </w:r>
    </w:p>
    <w:p w14:paraId="4C5422A2" w14:textId="77777777" w:rsidR="000E52B0" w:rsidRDefault="00F60D74">
      <w:pPr>
        <w:spacing w:before="96"/>
        <w:ind w:left="720" w:right="724"/>
        <w:jc w:val="both"/>
        <w:rPr>
          <w:rFonts w:ascii="Arial MT" w:hAnsi="Arial MT"/>
          <w:sz w:val="18"/>
        </w:rPr>
      </w:pPr>
      <w:bookmarkStart w:id="53" w:name="_bookmark53"/>
      <w:bookmarkEnd w:id="53"/>
      <w:r>
        <w:rPr>
          <w:rFonts w:ascii="Arial MT" w:hAnsi="Arial MT"/>
          <w:position w:val="6"/>
          <w:sz w:val="12"/>
        </w:rPr>
        <w:t>47</w:t>
      </w:r>
      <w:r>
        <w:rPr>
          <w:rFonts w:ascii="Arial MT" w:hAnsi="Arial MT"/>
          <w:spacing w:val="28"/>
          <w:position w:val="6"/>
          <w:sz w:val="12"/>
        </w:rPr>
        <w:t xml:space="preserve"> </w:t>
      </w:r>
      <w:proofErr w:type="gramStart"/>
      <w:r>
        <w:rPr>
          <w:rFonts w:ascii="Arial MT" w:hAnsi="Arial MT"/>
          <w:sz w:val="18"/>
        </w:rPr>
        <w:t>Al</w:t>
      </w:r>
      <w:proofErr w:type="gramEnd"/>
      <w:r>
        <w:rPr>
          <w:rFonts w:ascii="Arial MT" w:hAnsi="Arial MT"/>
          <w:sz w:val="18"/>
        </w:rPr>
        <w:t xml:space="preserve"> calcular el Índice de Pobreza Monetaria en la población OSIGNH, con los datos de Pobreza y de la GEIH 2022</w:t>
      </w:r>
      <w:r>
        <w:rPr>
          <w:rFonts w:ascii="Arial MT" w:hAnsi="Arial MT"/>
          <w:spacing w:val="-4"/>
          <w:sz w:val="18"/>
        </w:rPr>
        <w:t xml:space="preserve"> </w:t>
      </w:r>
      <w:r>
        <w:rPr>
          <w:rFonts w:ascii="Arial MT" w:hAnsi="Arial MT"/>
          <w:sz w:val="18"/>
        </w:rPr>
        <w:t>del</w:t>
      </w:r>
      <w:r>
        <w:rPr>
          <w:rFonts w:ascii="Arial MT" w:hAnsi="Arial MT"/>
          <w:spacing w:val="-4"/>
          <w:sz w:val="18"/>
        </w:rPr>
        <w:t xml:space="preserve"> </w:t>
      </w:r>
      <w:r>
        <w:rPr>
          <w:rFonts w:ascii="Arial MT" w:hAnsi="Arial MT"/>
          <w:sz w:val="18"/>
        </w:rPr>
        <w:t>DANE,</w:t>
      </w:r>
      <w:r>
        <w:rPr>
          <w:rFonts w:ascii="Arial MT" w:hAnsi="Arial MT"/>
          <w:spacing w:val="-4"/>
          <w:sz w:val="18"/>
        </w:rPr>
        <w:t xml:space="preserve"> </w:t>
      </w:r>
      <w:r>
        <w:rPr>
          <w:rFonts w:ascii="Arial MT" w:hAnsi="Arial MT"/>
          <w:sz w:val="18"/>
        </w:rPr>
        <w:t>se</w:t>
      </w:r>
      <w:r>
        <w:rPr>
          <w:rFonts w:ascii="Arial MT" w:hAnsi="Arial MT"/>
          <w:spacing w:val="-4"/>
          <w:sz w:val="18"/>
        </w:rPr>
        <w:t xml:space="preserve"> </w:t>
      </w:r>
      <w:r>
        <w:rPr>
          <w:rFonts w:ascii="Arial MT" w:hAnsi="Arial MT"/>
          <w:sz w:val="18"/>
        </w:rPr>
        <w:t>obtiene</w:t>
      </w:r>
      <w:r>
        <w:rPr>
          <w:rFonts w:ascii="Arial MT" w:hAnsi="Arial MT"/>
          <w:spacing w:val="-4"/>
          <w:sz w:val="18"/>
        </w:rPr>
        <w:t xml:space="preserve"> </w:t>
      </w:r>
      <w:r>
        <w:rPr>
          <w:rFonts w:ascii="Arial MT" w:hAnsi="Arial MT"/>
          <w:sz w:val="18"/>
        </w:rPr>
        <w:t>que</w:t>
      </w:r>
      <w:r>
        <w:rPr>
          <w:rFonts w:ascii="Arial MT" w:hAnsi="Arial MT"/>
          <w:spacing w:val="-4"/>
          <w:sz w:val="18"/>
        </w:rPr>
        <w:t xml:space="preserve"> </w:t>
      </w:r>
      <w:r>
        <w:rPr>
          <w:rFonts w:ascii="Arial MT" w:hAnsi="Arial MT"/>
          <w:sz w:val="18"/>
        </w:rPr>
        <w:t>el</w:t>
      </w:r>
      <w:r>
        <w:rPr>
          <w:rFonts w:ascii="Arial MT" w:hAnsi="Arial MT"/>
          <w:spacing w:val="-4"/>
          <w:sz w:val="18"/>
        </w:rPr>
        <w:t xml:space="preserve"> </w:t>
      </w:r>
      <w:r>
        <w:rPr>
          <w:rFonts w:ascii="Arial MT" w:hAnsi="Arial MT"/>
          <w:sz w:val="18"/>
        </w:rPr>
        <w:t>21,8%</w:t>
      </w:r>
      <w:r>
        <w:rPr>
          <w:rFonts w:ascii="Arial MT" w:hAnsi="Arial MT"/>
          <w:spacing w:val="-4"/>
          <w:sz w:val="18"/>
        </w:rPr>
        <w:t xml:space="preserve"> </w:t>
      </w:r>
      <w:r>
        <w:rPr>
          <w:rFonts w:ascii="Arial MT" w:hAnsi="Arial MT"/>
          <w:sz w:val="18"/>
        </w:rPr>
        <w:t>está</w:t>
      </w:r>
      <w:r>
        <w:rPr>
          <w:rFonts w:ascii="Arial MT" w:hAnsi="Arial MT"/>
          <w:spacing w:val="-4"/>
          <w:sz w:val="18"/>
        </w:rPr>
        <w:t xml:space="preserve"> </w:t>
      </w:r>
      <w:r>
        <w:rPr>
          <w:rFonts w:ascii="Arial MT" w:hAnsi="Arial MT"/>
          <w:sz w:val="18"/>
        </w:rPr>
        <w:t>en</w:t>
      </w:r>
      <w:r>
        <w:rPr>
          <w:rFonts w:ascii="Arial MT" w:hAnsi="Arial MT"/>
          <w:spacing w:val="-6"/>
          <w:sz w:val="18"/>
        </w:rPr>
        <w:t xml:space="preserve"> </w:t>
      </w:r>
      <w:r>
        <w:rPr>
          <w:rFonts w:ascii="Arial MT" w:hAnsi="Arial MT"/>
          <w:sz w:val="18"/>
        </w:rPr>
        <w:t>pobreza</w:t>
      </w:r>
      <w:r>
        <w:rPr>
          <w:rFonts w:ascii="Arial MT" w:hAnsi="Arial MT"/>
          <w:spacing w:val="-6"/>
          <w:sz w:val="18"/>
        </w:rPr>
        <w:t xml:space="preserve"> </w:t>
      </w:r>
      <w:r>
        <w:rPr>
          <w:rFonts w:ascii="Arial MT" w:hAnsi="Arial MT"/>
          <w:sz w:val="18"/>
        </w:rPr>
        <w:t>monetaria</w:t>
      </w:r>
      <w:r>
        <w:rPr>
          <w:rFonts w:ascii="Arial MT" w:hAnsi="Arial MT"/>
          <w:spacing w:val="-4"/>
          <w:sz w:val="18"/>
        </w:rPr>
        <w:t xml:space="preserve"> </w:t>
      </w:r>
      <w:r>
        <w:rPr>
          <w:rFonts w:ascii="Arial MT" w:hAnsi="Arial MT"/>
          <w:sz w:val="18"/>
        </w:rPr>
        <w:t>y</w:t>
      </w:r>
      <w:r>
        <w:rPr>
          <w:rFonts w:ascii="Arial MT" w:hAnsi="Arial MT"/>
          <w:spacing w:val="-3"/>
          <w:sz w:val="18"/>
        </w:rPr>
        <w:t xml:space="preserve"> </w:t>
      </w:r>
      <w:r>
        <w:rPr>
          <w:rFonts w:ascii="Arial MT" w:hAnsi="Arial MT"/>
          <w:sz w:val="18"/>
        </w:rPr>
        <w:t>8%</w:t>
      </w:r>
      <w:r>
        <w:rPr>
          <w:rFonts w:ascii="Arial MT" w:hAnsi="Arial MT"/>
          <w:spacing w:val="-4"/>
          <w:sz w:val="18"/>
        </w:rPr>
        <w:t xml:space="preserve"> </w:t>
      </w:r>
      <w:r>
        <w:rPr>
          <w:rFonts w:ascii="Arial MT" w:hAnsi="Arial MT"/>
          <w:sz w:val="18"/>
        </w:rPr>
        <w:t>en</w:t>
      </w:r>
      <w:r>
        <w:rPr>
          <w:rFonts w:ascii="Arial MT" w:hAnsi="Arial MT"/>
          <w:spacing w:val="-4"/>
          <w:sz w:val="18"/>
        </w:rPr>
        <w:t xml:space="preserve"> </w:t>
      </w:r>
      <w:r>
        <w:rPr>
          <w:rFonts w:ascii="Arial MT" w:hAnsi="Arial MT"/>
          <w:sz w:val="18"/>
        </w:rPr>
        <w:t>pobreza</w:t>
      </w:r>
      <w:r>
        <w:rPr>
          <w:rFonts w:ascii="Arial MT" w:hAnsi="Arial MT"/>
          <w:spacing w:val="-4"/>
          <w:sz w:val="18"/>
        </w:rPr>
        <w:t xml:space="preserve"> </w:t>
      </w:r>
      <w:r>
        <w:rPr>
          <w:rFonts w:ascii="Arial MT" w:hAnsi="Arial MT"/>
          <w:sz w:val="18"/>
        </w:rPr>
        <w:t>monetaria</w:t>
      </w:r>
      <w:r>
        <w:rPr>
          <w:rFonts w:ascii="Arial MT" w:hAnsi="Arial MT"/>
          <w:spacing w:val="-6"/>
          <w:sz w:val="18"/>
        </w:rPr>
        <w:t xml:space="preserve"> </w:t>
      </w:r>
      <w:r>
        <w:rPr>
          <w:rFonts w:ascii="Arial MT" w:hAnsi="Arial MT"/>
          <w:sz w:val="18"/>
        </w:rPr>
        <w:t>extrema,</w:t>
      </w:r>
      <w:r>
        <w:rPr>
          <w:rFonts w:ascii="Arial MT" w:hAnsi="Arial MT"/>
          <w:spacing w:val="-7"/>
          <w:sz w:val="18"/>
        </w:rPr>
        <w:t xml:space="preserve"> </w:t>
      </w:r>
      <w:r>
        <w:rPr>
          <w:rFonts w:ascii="Arial MT" w:hAnsi="Arial MT"/>
          <w:sz w:val="18"/>
        </w:rPr>
        <w:t>ambos valores por debajo de los resultados nacionales, 36,6% y 13,8% respectivamente.</w:t>
      </w:r>
    </w:p>
    <w:p w14:paraId="52C19092" w14:textId="77777777" w:rsidR="000E52B0" w:rsidRDefault="000E52B0">
      <w:pPr>
        <w:jc w:val="both"/>
        <w:rPr>
          <w:rFonts w:ascii="Arial MT" w:hAnsi="Arial MT"/>
          <w:sz w:val="18"/>
        </w:rPr>
        <w:sectPr w:rsidR="000E52B0">
          <w:type w:val="continuous"/>
          <w:pgSz w:w="11910" w:h="16840"/>
          <w:pgMar w:top="1340" w:right="720" w:bottom="1280" w:left="720" w:header="0" w:footer="995" w:gutter="0"/>
          <w:cols w:space="720"/>
        </w:sectPr>
      </w:pPr>
    </w:p>
    <w:p w14:paraId="66D40435" w14:textId="77777777" w:rsidR="000E52B0" w:rsidRDefault="00F60D74">
      <w:pPr>
        <w:pStyle w:val="Textoindependiente"/>
        <w:spacing w:before="83"/>
        <w:ind w:right="717"/>
        <w:jc w:val="both"/>
      </w:pPr>
      <w:r>
        <w:lastRenderedPageBreak/>
        <w:t>ascenso laboral, despidos y acoso sexual. Según el estudio, aproximadamente el 33% de las personas lesbianas y gais en Bogotá han experimentado la presión de realizar tareas fuera del horario laboral, y cerca del 50% de las lesbianas y gais en las tres ciudades tienen conocimiento</w:t>
      </w:r>
      <w:r>
        <w:rPr>
          <w:spacing w:val="-12"/>
        </w:rPr>
        <w:t xml:space="preserve"> </w:t>
      </w:r>
      <w:r>
        <w:t>de</w:t>
      </w:r>
      <w:r>
        <w:rPr>
          <w:spacing w:val="-11"/>
        </w:rPr>
        <w:t xml:space="preserve"> </w:t>
      </w:r>
      <w:r>
        <w:t>personas</w:t>
      </w:r>
      <w:r>
        <w:rPr>
          <w:spacing w:val="-13"/>
        </w:rPr>
        <w:t xml:space="preserve"> </w:t>
      </w:r>
      <w:r>
        <w:t>que</w:t>
      </w:r>
      <w:r>
        <w:rPr>
          <w:spacing w:val="-11"/>
        </w:rPr>
        <w:t xml:space="preserve"> </w:t>
      </w:r>
      <w:r>
        <w:t>han</w:t>
      </w:r>
      <w:r>
        <w:rPr>
          <w:spacing w:val="-11"/>
        </w:rPr>
        <w:t xml:space="preserve"> </w:t>
      </w:r>
      <w:r>
        <w:t>sido</w:t>
      </w:r>
      <w:r>
        <w:rPr>
          <w:spacing w:val="-9"/>
        </w:rPr>
        <w:t xml:space="preserve"> </w:t>
      </w:r>
      <w:r>
        <w:t>despedidas</w:t>
      </w:r>
      <w:r>
        <w:rPr>
          <w:spacing w:val="-10"/>
        </w:rPr>
        <w:t xml:space="preserve"> </w:t>
      </w:r>
      <w:r>
        <w:t>debido</w:t>
      </w:r>
      <w:r>
        <w:rPr>
          <w:spacing w:val="-12"/>
        </w:rPr>
        <w:t xml:space="preserve"> </w:t>
      </w:r>
      <w:r>
        <w:t>a</w:t>
      </w:r>
      <w:r>
        <w:rPr>
          <w:spacing w:val="-10"/>
        </w:rPr>
        <w:t xml:space="preserve"> </w:t>
      </w:r>
      <w:r>
        <w:t>su</w:t>
      </w:r>
      <w:r>
        <w:rPr>
          <w:spacing w:val="-13"/>
        </w:rPr>
        <w:t xml:space="preserve"> </w:t>
      </w:r>
      <w:r>
        <w:t>orientación sexual o identidad de género</w:t>
      </w:r>
      <w:hyperlink w:anchor="_bookmark54" w:history="1">
        <w:r w:rsidR="000E52B0">
          <w:rPr>
            <w:position w:val="8"/>
            <w:sz w:val="16"/>
          </w:rPr>
          <w:t>48</w:t>
        </w:r>
      </w:hyperlink>
      <w:r>
        <w:t>.</w:t>
      </w:r>
    </w:p>
    <w:p w14:paraId="6EB256EB" w14:textId="77777777" w:rsidR="000E52B0" w:rsidRDefault="00F60D74">
      <w:pPr>
        <w:pStyle w:val="Textoindependiente"/>
        <w:spacing w:before="158"/>
        <w:ind w:right="713"/>
        <w:jc w:val="both"/>
      </w:pPr>
      <w:r>
        <w:t>La Escuela Nacional Sindical &amp; Corporación Caribe Afirmativo (2013)</w:t>
      </w:r>
      <w:hyperlink w:anchor="_bookmark55" w:history="1">
        <w:r w:rsidR="000E52B0">
          <w:rPr>
            <w:position w:val="8"/>
            <w:sz w:val="16"/>
          </w:rPr>
          <w:t>49</w:t>
        </w:r>
      </w:hyperlink>
      <w:r>
        <w:t>, al respecto, afirman que "es común encontrar que las pocas mujeres y hombres</w:t>
      </w:r>
      <w:r>
        <w:rPr>
          <w:spacing w:val="-8"/>
        </w:rPr>
        <w:t xml:space="preserve"> </w:t>
      </w:r>
      <w:r>
        <w:t>trans</w:t>
      </w:r>
      <w:r>
        <w:rPr>
          <w:spacing w:val="-6"/>
        </w:rPr>
        <w:t xml:space="preserve"> </w:t>
      </w:r>
      <w:r>
        <w:t>que</w:t>
      </w:r>
      <w:r>
        <w:rPr>
          <w:spacing w:val="-4"/>
        </w:rPr>
        <w:t xml:space="preserve"> </w:t>
      </w:r>
      <w:r>
        <w:t>estudian</w:t>
      </w:r>
      <w:r>
        <w:rPr>
          <w:spacing w:val="-6"/>
        </w:rPr>
        <w:t xml:space="preserve"> </w:t>
      </w:r>
      <w:r>
        <w:t>y</w:t>
      </w:r>
      <w:r>
        <w:rPr>
          <w:spacing w:val="-6"/>
        </w:rPr>
        <w:t xml:space="preserve"> </w:t>
      </w:r>
      <w:r>
        <w:t>tienen</w:t>
      </w:r>
      <w:r>
        <w:rPr>
          <w:spacing w:val="-8"/>
        </w:rPr>
        <w:t xml:space="preserve"> </w:t>
      </w:r>
      <w:r>
        <w:t>cargos</w:t>
      </w:r>
      <w:r>
        <w:rPr>
          <w:spacing w:val="-8"/>
        </w:rPr>
        <w:t xml:space="preserve"> </w:t>
      </w:r>
      <w:r>
        <w:t>o</w:t>
      </w:r>
      <w:r>
        <w:rPr>
          <w:spacing w:val="-7"/>
        </w:rPr>
        <w:t xml:space="preserve"> </w:t>
      </w:r>
      <w:r>
        <w:t>empleos</w:t>
      </w:r>
      <w:r>
        <w:rPr>
          <w:spacing w:val="-8"/>
        </w:rPr>
        <w:t xml:space="preserve"> </w:t>
      </w:r>
      <w:r>
        <w:t>en</w:t>
      </w:r>
      <w:r>
        <w:rPr>
          <w:spacing w:val="-6"/>
        </w:rPr>
        <w:t xml:space="preserve"> </w:t>
      </w:r>
      <w:r>
        <w:t>sus</w:t>
      </w:r>
      <w:r>
        <w:rPr>
          <w:spacing w:val="-8"/>
        </w:rPr>
        <w:t xml:space="preserve"> </w:t>
      </w:r>
      <w:r>
        <w:t>profesiones, lo han logrado porque aplazaron su transición de género". De acuerdo el Departamento Nacional de Planeación, la Cámara de Comerciantes LGBTIQ+ de Colombia informó que en 2016 solo el 4 % de hombres y mujeres tenían un contrato laboral formal</w:t>
      </w:r>
      <w:hyperlink w:anchor="_bookmark56" w:history="1">
        <w:r w:rsidR="000E52B0">
          <w:rPr>
            <w:position w:val="8"/>
            <w:sz w:val="16"/>
          </w:rPr>
          <w:t>50</w:t>
        </w:r>
      </w:hyperlink>
      <w:r>
        <w:t>.</w:t>
      </w:r>
    </w:p>
    <w:p w14:paraId="4ABD6444" w14:textId="77777777" w:rsidR="000E52B0" w:rsidRDefault="00F60D74">
      <w:pPr>
        <w:pStyle w:val="Textoindependiente"/>
        <w:spacing w:before="162"/>
        <w:ind w:right="716"/>
        <w:jc w:val="both"/>
      </w:pPr>
      <w:r>
        <w:t>En relación con la situación económica de la población migrante, actualmente</w:t>
      </w:r>
      <w:r>
        <w:rPr>
          <w:spacing w:val="-4"/>
        </w:rPr>
        <w:t xml:space="preserve"> </w:t>
      </w:r>
      <w:r>
        <w:t>hay</w:t>
      </w:r>
      <w:r>
        <w:rPr>
          <w:spacing w:val="-5"/>
        </w:rPr>
        <w:t xml:space="preserve"> </w:t>
      </w:r>
      <w:r>
        <w:t>1.052.443</w:t>
      </w:r>
      <w:r>
        <w:rPr>
          <w:spacing w:val="-4"/>
        </w:rPr>
        <w:t xml:space="preserve"> </w:t>
      </w:r>
      <w:r>
        <w:t>personas</w:t>
      </w:r>
      <w:r>
        <w:rPr>
          <w:spacing w:val="-8"/>
        </w:rPr>
        <w:t xml:space="preserve"> </w:t>
      </w:r>
      <w:r>
        <w:t>migrantes</w:t>
      </w:r>
      <w:r>
        <w:rPr>
          <w:spacing w:val="-5"/>
        </w:rPr>
        <w:t xml:space="preserve"> </w:t>
      </w:r>
      <w:r>
        <w:t>inscritas</w:t>
      </w:r>
      <w:r>
        <w:rPr>
          <w:spacing w:val="-3"/>
        </w:rPr>
        <w:t xml:space="preserve"> </w:t>
      </w:r>
      <w:r>
        <w:t>en</w:t>
      </w:r>
      <w:r>
        <w:rPr>
          <w:spacing w:val="-5"/>
        </w:rPr>
        <w:t xml:space="preserve"> </w:t>
      </w:r>
      <w:r>
        <w:t>el</w:t>
      </w:r>
      <w:r>
        <w:rPr>
          <w:spacing w:val="-5"/>
        </w:rPr>
        <w:t xml:space="preserve"> </w:t>
      </w:r>
      <w:r>
        <w:t>SISBEN,</w:t>
      </w:r>
      <w:r>
        <w:rPr>
          <w:spacing w:val="-5"/>
        </w:rPr>
        <w:t xml:space="preserve"> </w:t>
      </w:r>
      <w:r>
        <w:t xml:space="preserve">de estas, 422.353 son personas en pobreza extrema y 371.166 en pobreza moderada, es decir que, </w:t>
      </w:r>
      <w:r>
        <w:rPr>
          <w:b/>
        </w:rPr>
        <w:t>el 75% de la población migrante inscrita en SISBEN</w:t>
      </w:r>
      <w:r>
        <w:rPr>
          <w:b/>
          <w:spacing w:val="-15"/>
        </w:rPr>
        <w:t xml:space="preserve"> </w:t>
      </w:r>
      <w:r>
        <w:rPr>
          <w:b/>
        </w:rPr>
        <w:t>está</w:t>
      </w:r>
      <w:r>
        <w:rPr>
          <w:b/>
          <w:spacing w:val="-15"/>
        </w:rPr>
        <w:t xml:space="preserve"> </w:t>
      </w:r>
      <w:r>
        <w:rPr>
          <w:b/>
        </w:rPr>
        <w:t>en</w:t>
      </w:r>
      <w:r>
        <w:rPr>
          <w:b/>
          <w:spacing w:val="-15"/>
        </w:rPr>
        <w:t xml:space="preserve"> </w:t>
      </w:r>
      <w:r>
        <w:rPr>
          <w:b/>
        </w:rPr>
        <w:t>situación</w:t>
      </w:r>
      <w:r>
        <w:rPr>
          <w:b/>
          <w:spacing w:val="-15"/>
        </w:rPr>
        <w:t xml:space="preserve"> </w:t>
      </w:r>
      <w:r>
        <w:rPr>
          <w:b/>
        </w:rPr>
        <w:t>de</w:t>
      </w:r>
      <w:r>
        <w:rPr>
          <w:b/>
          <w:spacing w:val="-16"/>
        </w:rPr>
        <w:t xml:space="preserve"> </w:t>
      </w:r>
      <w:r>
        <w:rPr>
          <w:b/>
        </w:rPr>
        <w:t>pobreza.</w:t>
      </w:r>
      <w:r>
        <w:rPr>
          <w:b/>
          <w:spacing w:val="-14"/>
        </w:rPr>
        <w:t xml:space="preserve"> </w:t>
      </w:r>
      <w:r>
        <w:t>De</w:t>
      </w:r>
      <w:r>
        <w:rPr>
          <w:spacing w:val="-15"/>
        </w:rPr>
        <w:t xml:space="preserve"> </w:t>
      </w:r>
      <w:r>
        <w:t>acuerdo</w:t>
      </w:r>
      <w:r>
        <w:rPr>
          <w:spacing w:val="-15"/>
        </w:rPr>
        <w:t xml:space="preserve"> </w:t>
      </w:r>
      <w:r>
        <w:t>con</w:t>
      </w:r>
      <w:r>
        <w:rPr>
          <w:spacing w:val="-16"/>
        </w:rPr>
        <w:t xml:space="preserve"> </w:t>
      </w:r>
      <w:r>
        <w:t>el</w:t>
      </w:r>
      <w:r>
        <w:rPr>
          <w:spacing w:val="-17"/>
        </w:rPr>
        <w:t xml:space="preserve"> </w:t>
      </w:r>
      <w:r>
        <w:t>DNP,</w:t>
      </w:r>
      <w:r>
        <w:rPr>
          <w:spacing w:val="-17"/>
        </w:rPr>
        <w:t xml:space="preserve"> </w:t>
      </w:r>
      <w:r>
        <w:t>el</w:t>
      </w:r>
      <w:r>
        <w:rPr>
          <w:spacing w:val="-17"/>
        </w:rPr>
        <w:t xml:space="preserve"> </w:t>
      </w:r>
      <w:r>
        <w:t>30,7% de los hogares migrantes están en situación de pobreza multidimensional.</w:t>
      </w:r>
    </w:p>
    <w:p w14:paraId="5EBC57F2" w14:textId="77777777" w:rsidR="000E52B0" w:rsidRDefault="00F60D74">
      <w:pPr>
        <w:pStyle w:val="Textoindependiente"/>
        <w:spacing w:before="160"/>
        <w:ind w:right="722"/>
        <w:jc w:val="both"/>
      </w:pPr>
      <w:r>
        <w:t xml:space="preserve">De acuerdo con DNP, las brechas de pobreza son más amplias entre migrantes y comunidad de acogida, en Meta, Bogotá, Santander, Caquetá y Cesar, y las menores brechas en, Chocó, Cauca, Huila, Córdoba y </w:t>
      </w:r>
      <w:r>
        <w:rPr>
          <w:spacing w:val="-2"/>
        </w:rPr>
        <w:t>Tolima</w:t>
      </w:r>
      <w:hyperlink w:anchor="_bookmark57" w:history="1">
        <w:r w:rsidR="000E52B0">
          <w:rPr>
            <w:spacing w:val="-2"/>
            <w:position w:val="8"/>
            <w:sz w:val="16"/>
          </w:rPr>
          <w:t>51</w:t>
        </w:r>
      </w:hyperlink>
      <w:r>
        <w:rPr>
          <w:spacing w:val="-2"/>
        </w:rPr>
        <w:t>.</w:t>
      </w:r>
    </w:p>
    <w:p w14:paraId="7A86D78C" w14:textId="77777777" w:rsidR="000E52B0" w:rsidRDefault="00F60D74">
      <w:pPr>
        <w:pStyle w:val="Textoindependiente"/>
        <w:spacing w:before="159"/>
        <w:ind w:right="715"/>
        <w:jc w:val="both"/>
      </w:pPr>
      <w:r>
        <w:t>Según la ECV (2022), aunque el 55,8% de las personas migrantes afirmaron ocupar la mayor parte de su tiempo la semana anterior a trabajar,</w:t>
      </w:r>
      <w:r>
        <w:rPr>
          <w:spacing w:val="-22"/>
        </w:rPr>
        <w:t xml:space="preserve"> </w:t>
      </w:r>
      <w:r>
        <w:t>7,7</w:t>
      </w:r>
      <w:r>
        <w:rPr>
          <w:spacing w:val="-21"/>
        </w:rPr>
        <w:t xml:space="preserve"> </w:t>
      </w:r>
      <w:r>
        <w:t>p.p.</w:t>
      </w:r>
      <w:r>
        <w:rPr>
          <w:spacing w:val="-21"/>
        </w:rPr>
        <w:t xml:space="preserve"> </w:t>
      </w:r>
      <w:r>
        <w:t>más</w:t>
      </w:r>
      <w:r>
        <w:rPr>
          <w:spacing w:val="-21"/>
        </w:rPr>
        <w:t xml:space="preserve"> </w:t>
      </w:r>
      <w:r>
        <w:t>que</w:t>
      </w:r>
      <w:r>
        <w:rPr>
          <w:spacing w:val="-21"/>
        </w:rPr>
        <w:t xml:space="preserve"> </w:t>
      </w:r>
      <w:r>
        <w:t>el</w:t>
      </w:r>
      <w:r>
        <w:rPr>
          <w:spacing w:val="-21"/>
        </w:rPr>
        <w:t xml:space="preserve"> </w:t>
      </w:r>
      <w:r>
        <w:t>grupo</w:t>
      </w:r>
      <w:r>
        <w:rPr>
          <w:spacing w:val="-21"/>
        </w:rPr>
        <w:t xml:space="preserve"> </w:t>
      </w:r>
      <w:r>
        <w:t>de</w:t>
      </w:r>
      <w:r>
        <w:rPr>
          <w:spacing w:val="-21"/>
        </w:rPr>
        <w:t xml:space="preserve"> </w:t>
      </w:r>
      <w:r>
        <w:t>personas</w:t>
      </w:r>
      <w:r>
        <w:rPr>
          <w:spacing w:val="-21"/>
        </w:rPr>
        <w:t xml:space="preserve"> </w:t>
      </w:r>
      <w:r>
        <w:t>no</w:t>
      </w:r>
      <w:r>
        <w:rPr>
          <w:spacing w:val="-21"/>
        </w:rPr>
        <w:t xml:space="preserve"> </w:t>
      </w:r>
      <w:r>
        <w:t>migrantes,</w:t>
      </w:r>
      <w:r>
        <w:rPr>
          <w:spacing w:val="-22"/>
        </w:rPr>
        <w:t xml:space="preserve"> </w:t>
      </w:r>
      <w:r>
        <w:t>la</w:t>
      </w:r>
      <w:r>
        <w:rPr>
          <w:spacing w:val="-21"/>
        </w:rPr>
        <w:t xml:space="preserve"> </w:t>
      </w:r>
      <w:r>
        <w:t>proporción que buscó trabajo también es mayor 5,2% en comparación con un 3,9%; y</w:t>
      </w:r>
      <w:r>
        <w:rPr>
          <w:spacing w:val="-6"/>
        </w:rPr>
        <w:t xml:space="preserve"> </w:t>
      </w:r>
      <w:r>
        <w:t>en</w:t>
      </w:r>
      <w:r>
        <w:rPr>
          <w:spacing w:val="-6"/>
        </w:rPr>
        <w:t xml:space="preserve"> </w:t>
      </w:r>
      <w:r>
        <w:t>más</w:t>
      </w:r>
      <w:r>
        <w:rPr>
          <w:spacing w:val="-6"/>
        </w:rPr>
        <w:t xml:space="preserve"> </w:t>
      </w:r>
      <w:r>
        <w:t>de</w:t>
      </w:r>
      <w:r>
        <w:rPr>
          <w:spacing w:val="-4"/>
        </w:rPr>
        <w:t xml:space="preserve"> </w:t>
      </w:r>
      <w:r>
        <w:t>la</w:t>
      </w:r>
      <w:r>
        <w:rPr>
          <w:spacing w:val="-6"/>
        </w:rPr>
        <w:t xml:space="preserve"> </w:t>
      </w:r>
      <w:r>
        <w:t>mitad</w:t>
      </w:r>
      <w:r>
        <w:rPr>
          <w:spacing w:val="-6"/>
        </w:rPr>
        <w:t xml:space="preserve"> </w:t>
      </w:r>
      <w:r>
        <w:t>de</w:t>
      </w:r>
      <w:r>
        <w:rPr>
          <w:spacing w:val="-4"/>
        </w:rPr>
        <w:t xml:space="preserve"> </w:t>
      </w:r>
      <w:r>
        <w:t>los</w:t>
      </w:r>
      <w:r>
        <w:rPr>
          <w:spacing w:val="-5"/>
        </w:rPr>
        <w:t xml:space="preserve"> </w:t>
      </w:r>
      <w:r>
        <w:t>casos</w:t>
      </w:r>
      <w:r>
        <w:rPr>
          <w:spacing w:val="-6"/>
        </w:rPr>
        <w:t xml:space="preserve"> </w:t>
      </w:r>
      <w:r>
        <w:t>(52%)</w:t>
      </w:r>
      <w:r>
        <w:rPr>
          <w:spacing w:val="-6"/>
        </w:rPr>
        <w:t xml:space="preserve"> </w:t>
      </w:r>
      <w:r>
        <w:t>es</w:t>
      </w:r>
      <w:r>
        <w:rPr>
          <w:spacing w:val="-6"/>
        </w:rPr>
        <w:t xml:space="preserve"> </w:t>
      </w:r>
      <w:r>
        <w:t>un</w:t>
      </w:r>
      <w:r>
        <w:rPr>
          <w:spacing w:val="-6"/>
        </w:rPr>
        <w:t xml:space="preserve"> </w:t>
      </w:r>
      <w:r>
        <w:t>trabajador</w:t>
      </w:r>
      <w:r>
        <w:rPr>
          <w:spacing w:val="-4"/>
        </w:rPr>
        <w:t xml:space="preserve"> </w:t>
      </w:r>
      <w:r>
        <w:t>independiente</w:t>
      </w:r>
      <w:r>
        <w:rPr>
          <w:spacing w:val="-4"/>
        </w:rPr>
        <w:t xml:space="preserve"> </w:t>
      </w:r>
      <w:r>
        <w:t>o por cuenta propia, 8 p.p. más que en el grupo de personas no migrantes. De la población inscrita en SISBEN, el 65% tiene privaciones en términos de informalidad en su trabajo, y el 28% de los hogares ha tenido privaciones por desempleo de larga duración.</w:t>
      </w:r>
    </w:p>
    <w:p w14:paraId="220800A2" w14:textId="77777777" w:rsidR="000E52B0" w:rsidRDefault="00F60D74">
      <w:pPr>
        <w:pStyle w:val="Textoindependiente"/>
        <w:spacing w:before="161"/>
        <w:ind w:right="719"/>
        <w:jc w:val="both"/>
      </w:pPr>
      <w:r>
        <w:t>También se exacerban las brechas de género entre las juventudes, para 2021, el porcentaje de mujeres adolescentes y jóvenes colombianas que no</w:t>
      </w:r>
      <w:r>
        <w:rPr>
          <w:spacing w:val="26"/>
        </w:rPr>
        <w:t xml:space="preserve"> </w:t>
      </w:r>
      <w:r>
        <w:t>estudiaban,</w:t>
      </w:r>
      <w:r>
        <w:rPr>
          <w:spacing w:val="30"/>
        </w:rPr>
        <w:t xml:space="preserve"> </w:t>
      </w:r>
      <w:r>
        <w:t>ni</w:t>
      </w:r>
      <w:r>
        <w:rPr>
          <w:spacing w:val="29"/>
        </w:rPr>
        <w:t xml:space="preserve"> </w:t>
      </w:r>
      <w:r>
        <w:t>trabajaban</w:t>
      </w:r>
      <w:r>
        <w:rPr>
          <w:spacing w:val="27"/>
        </w:rPr>
        <w:t xml:space="preserve"> </w:t>
      </w:r>
      <w:r>
        <w:t>era</w:t>
      </w:r>
      <w:r>
        <w:rPr>
          <w:spacing w:val="28"/>
        </w:rPr>
        <w:t xml:space="preserve"> </w:t>
      </w:r>
      <w:r>
        <w:t>46,8%,</w:t>
      </w:r>
      <w:r>
        <w:rPr>
          <w:spacing w:val="27"/>
        </w:rPr>
        <w:t xml:space="preserve"> </w:t>
      </w:r>
      <w:r>
        <w:t>mientras</w:t>
      </w:r>
      <w:r>
        <w:rPr>
          <w:spacing w:val="28"/>
        </w:rPr>
        <w:t xml:space="preserve"> </w:t>
      </w:r>
      <w:r>
        <w:t>que</w:t>
      </w:r>
      <w:r>
        <w:rPr>
          <w:spacing w:val="29"/>
        </w:rPr>
        <w:t xml:space="preserve"> </w:t>
      </w:r>
      <w:r>
        <w:t>para</w:t>
      </w:r>
      <w:r>
        <w:rPr>
          <w:spacing w:val="28"/>
        </w:rPr>
        <w:t xml:space="preserve"> </w:t>
      </w:r>
      <w:r>
        <w:t>las</w:t>
      </w:r>
      <w:r>
        <w:rPr>
          <w:spacing w:val="28"/>
        </w:rPr>
        <w:t xml:space="preserve"> </w:t>
      </w:r>
      <w:r>
        <w:rPr>
          <w:spacing w:val="-2"/>
        </w:rPr>
        <w:t>mujeres</w:t>
      </w:r>
    </w:p>
    <w:p w14:paraId="280D1A8C" w14:textId="77777777" w:rsidR="000E52B0" w:rsidRDefault="000E52B0">
      <w:pPr>
        <w:pStyle w:val="Textoindependiente"/>
        <w:ind w:left="0"/>
        <w:rPr>
          <w:sz w:val="20"/>
        </w:rPr>
      </w:pPr>
    </w:p>
    <w:p w14:paraId="19C04294" w14:textId="77777777" w:rsidR="000E52B0" w:rsidRDefault="000E52B0">
      <w:pPr>
        <w:pStyle w:val="Textoindependiente"/>
        <w:ind w:left="0"/>
        <w:rPr>
          <w:sz w:val="20"/>
        </w:rPr>
      </w:pPr>
    </w:p>
    <w:p w14:paraId="7FC6F9CF" w14:textId="77777777" w:rsidR="000E52B0" w:rsidRDefault="00F60D74">
      <w:pPr>
        <w:pStyle w:val="Textoindependiente"/>
        <w:spacing w:before="13"/>
        <w:ind w:left="0"/>
        <w:rPr>
          <w:sz w:val="20"/>
        </w:rPr>
      </w:pPr>
      <w:r>
        <w:rPr>
          <w:noProof/>
          <w:sz w:val="20"/>
        </w:rPr>
        <mc:AlternateContent>
          <mc:Choice Requires="wps">
            <w:drawing>
              <wp:anchor distT="0" distB="0" distL="0" distR="0" simplePos="0" relativeHeight="487646720" behindDoc="1" locked="0" layoutInCell="1" allowOverlap="1" wp14:anchorId="6153C54F" wp14:editId="65C546EE">
                <wp:simplePos x="0" y="0"/>
                <wp:positionH relativeFrom="page">
                  <wp:posOffset>914704</wp:posOffset>
                </wp:positionH>
                <wp:positionV relativeFrom="paragraph">
                  <wp:posOffset>177849</wp:posOffset>
                </wp:positionV>
                <wp:extent cx="1829435" cy="7620"/>
                <wp:effectExtent l="0" t="0" r="0" b="0"/>
                <wp:wrapTopAndBottom/>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207C91" id="Graphic 458" o:spid="_x0000_s1026" style="position:absolute;margin-left:1in;margin-top:14pt;width:144.05pt;height:.6pt;z-index:-1566976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" path="m1829054,l,,,7620r1829054,l1829054,xe" fillcolor="black" stroked="f">
                <v:path arrowok="t"/>
                <w10:wrap type="topAndBottom" anchorx="page"/>
              </v:shape>
            </w:pict>
          </mc:Fallback>
        </mc:AlternateContent>
      </w:r>
    </w:p>
    <w:p w14:paraId="0F6A766F" w14:textId="77777777" w:rsidR="000E52B0" w:rsidRDefault="00F60D74">
      <w:pPr>
        <w:spacing w:before="96"/>
        <w:ind w:left="720" w:right="725"/>
        <w:jc w:val="both"/>
        <w:rPr>
          <w:rFonts w:ascii="Arial MT" w:hAnsi="Arial MT"/>
          <w:sz w:val="18"/>
        </w:rPr>
      </w:pPr>
      <w:bookmarkStart w:id="54" w:name="_bookmark54"/>
      <w:bookmarkEnd w:id="54"/>
      <w:r>
        <w:rPr>
          <w:rFonts w:ascii="Arial MT" w:hAnsi="Arial MT"/>
          <w:position w:val="6"/>
          <w:sz w:val="12"/>
        </w:rPr>
        <w:t>48</w:t>
      </w:r>
      <w:r>
        <w:rPr>
          <w:rFonts w:ascii="Arial MT" w:hAnsi="Arial MT"/>
          <w:spacing w:val="40"/>
          <w:position w:val="6"/>
          <w:sz w:val="12"/>
        </w:rPr>
        <w:t xml:space="preserve"> </w:t>
      </w:r>
      <w:proofErr w:type="gramStart"/>
      <w:r>
        <w:rPr>
          <w:rFonts w:ascii="Arial MT" w:hAnsi="Arial MT"/>
          <w:sz w:val="18"/>
        </w:rPr>
        <w:t>Departamento</w:t>
      </w:r>
      <w:proofErr w:type="gramEnd"/>
      <w:r>
        <w:rPr>
          <w:rFonts w:ascii="Arial MT" w:hAnsi="Arial MT"/>
          <w:sz w:val="18"/>
        </w:rPr>
        <w:t xml:space="preserve"> Nacional de Planeación (2021). Situación de las personas Trans en Bogotá. </w:t>
      </w:r>
      <w:hyperlink r:id="rId165">
        <w:r w:rsidR="000E52B0">
          <w:rPr>
            <w:rFonts w:ascii="Arial MT" w:hAnsi="Arial MT"/>
            <w:color w:val="E22C91"/>
            <w:spacing w:val="-2"/>
            <w:sz w:val="18"/>
            <w:u w:val="single" w:color="E22C91"/>
          </w:rPr>
          <w:t>https://colaboracion.dnp.gov.co/CDT/Desarrollo%20Social/Documentos/Investigacion_situacion_de_las_persona</w:t>
        </w:r>
      </w:hyperlink>
      <w:r>
        <w:rPr>
          <w:rFonts w:ascii="Arial MT" w:hAnsi="Arial MT"/>
          <w:color w:val="E22C91"/>
          <w:spacing w:val="-2"/>
          <w:sz w:val="18"/>
        </w:rPr>
        <w:t xml:space="preserve"> </w:t>
      </w:r>
      <w:hyperlink r:id="rId166">
        <w:r w:rsidR="000E52B0">
          <w:rPr>
            <w:rFonts w:ascii="Arial MT" w:hAnsi="Arial MT"/>
            <w:color w:val="E22C91"/>
            <w:spacing w:val="-2"/>
            <w:sz w:val="18"/>
            <w:u w:val="single" w:color="E22C91"/>
          </w:rPr>
          <w:t>s_trans_en_Colombia.pdf</w:t>
        </w:r>
      </w:hyperlink>
    </w:p>
    <w:p w14:paraId="024E3A19" w14:textId="77777777" w:rsidR="000E52B0" w:rsidRDefault="00F60D74">
      <w:pPr>
        <w:spacing w:line="205" w:lineRule="exact"/>
        <w:ind w:left="720"/>
        <w:jc w:val="both"/>
        <w:rPr>
          <w:rFonts w:ascii="Arial MT" w:hAnsi="Arial MT"/>
          <w:sz w:val="18"/>
        </w:rPr>
      </w:pPr>
      <w:bookmarkStart w:id="55" w:name="_bookmark55"/>
      <w:bookmarkEnd w:id="55"/>
      <w:r>
        <w:rPr>
          <w:rFonts w:ascii="Arial MT" w:hAnsi="Arial MT"/>
          <w:position w:val="6"/>
          <w:sz w:val="12"/>
        </w:rPr>
        <w:t>49</w:t>
      </w:r>
      <w:r>
        <w:rPr>
          <w:rFonts w:ascii="Arial MT" w:hAnsi="Arial MT"/>
          <w:spacing w:val="13"/>
          <w:position w:val="6"/>
          <w:sz w:val="12"/>
        </w:rPr>
        <w:t xml:space="preserve"> </w:t>
      </w:r>
      <w:proofErr w:type="spellStart"/>
      <w:r>
        <w:rPr>
          <w:rFonts w:ascii="Arial MT" w:hAnsi="Arial MT"/>
          <w:sz w:val="18"/>
        </w:rPr>
        <w:t>Dejusticia</w:t>
      </w:r>
      <w:proofErr w:type="spellEnd"/>
      <w:r>
        <w:rPr>
          <w:rFonts w:ascii="Arial MT" w:hAnsi="Arial MT"/>
          <w:spacing w:val="-4"/>
          <w:sz w:val="18"/>
        </w:rPr>
        <w:t xml:space="preserve"> </w:t>
      </w:r>
      <w:r>
        <w:rPr>
          <w:rFonts w:ascii="Arial MT" w:hAnsi="Arial MT"/>
          <w:sz w:val="18"/>
        </w:rPr>
        <w:t>(2013).</w:t>
      </w:r>
      <w:r>
        <w:rPr>
          <w:rFonts w:ascii="Arial MT" w:hAnsi="Arial MT"/>
          <w:spacing w:val="-3"/>
          <w:sz w:val="18"/>
        </w:rPr>
        <w:t xml:space="preserve"> </w:t>
      </w:r>
      <w:r>
        <w:rPr>
          <w:rFonts w:ascii="Arial MT" w:hAnsi="Arial MT"/>
          <w:sz w:val="18"/>
        </w:rPr>
        <w:t>La</w:t>
      </w:r>
      <w:r>
        <w:rPr>
          <w:rFonts w:ascii="Arial MT" w:hAnsi="Arial MT"/>
          <w:spacing w:val="-6"/>
          <w:sz w:val="18"/>
        </w:rPr>
        <w:t xml:space="preserve"> </w:t>
      </w:r>
      <w:r>
        <w:rPr>
          <w:rFonts w:ascii="Arial MT" w:hAnsi="Arial MT"/>
          <w:sz w:val="18"/>
        </w:rPr>
        <w:t>discriminación</w:t>
      </w:r>
      <w:r>
        <w:rPr>
          <w:rFonts w:ascii="Arial MT" w:hAnsi="Arial MT"/>
          <w:spacing w:val="-4"/>
          <w:sz w:val="18"/>
        </w:rPr>
        <w:t xml:space="preserve"> </w:t>
      </w:r>
      <w:r>
        <w:rPr>
          <w:rFonts w:ascii="Arial MT" w:hAnsi="Arial MT"/>
          <w:sz w:val="18"/>
        </w:rPr>
        <w:t>racial</w:t>
      </w:r>
      <w:r>
        <w:rPr>
          <w:rFonts w:ascii="Arial MT" w:hAnsi="Arial MT"/>
          <w:spacing w:val="-3"/>
          <w:sz w:val="18"/>
        </w:rPr>
        <w:t xml:space="preserve"> </w:t>
      </w:r>
      <w:r>
        <w:rPr>
          <w:rFonts w:ascii="Arial MT" w:hAnsi="Arial MT"/>
          <w:sz w:val="18"/>
        </w:rPr>
        <w:t>en</w:t>
      </w:r>
      <w:r>
        <w:rPr>
          <w:rFonts w:ascii="Arial MT" w:hAnsi="Arial MT"/>
          <w:spacing w:val="-4"/>
          <w:sz w:val="18"/>
        </w:rPr>
        <w:t xml:space="preserve"> </w:t>
      </w:r>
      <w:r>
        <w:rPr>
          <w:rFonts w:ascii="Arial MT" w:hAnsi="Arial MT"/>
          <w:sz w:val="18"/>
        </w:rPr>
        <w:t>el</w:t>
      </w:r>
      <w:r>
        <w:rPr>
          <w:rFonts w:ascii="Arial MT" w:hAnsi="Arial MT"/>
          <w:spacing w:val="-5"/>
          <w:sz w:val="18"/>
        </w:rPr>
        <w:t xml:space="preserve"> </w:t>
      </w:r>
      <w:r>
        <w:rPr>
          <w:rFonts w:ascii="Arial MT" w:hAnsi="Arial MT"/>
          <w:sz w:val="18"/>
        </w:rPr>
        <w:t>trabajo.</w:t>
      </w:r>
      <w:r>
        <w:rPr>
          <w:rFonts w:ascii="Arial MT" w:hAnsi="Arial MT"/>
          <w:spacing w:val="-6"/>
          <w:sz w:val="18"/>
        </w:rPr>
        <w:t xml:space="preserve"> </w:t>
      </w:r>
      <w:r>
        <w:rPr>
          <w:rFonts w:ascii="Arial MT" w:hAnsi="Arial MT"/>
          <w:sz w:val="18"/>
        </w:rPr>
        <w:t>Un</w:t>
      </w:r>
      <w:r>
        <w:rPr>
          <w:rFonts w:ascii="Arial MT" w:hAnsi="Arial MT"/>
          <w:spacing w:val="-5"/>
          <w:sz w:val="18"/>
        </w:rPr>
        <w:t xml:space="preserve"> </w:t>
      </w:r>
      <w:r>
        <w:rPr>
          <w:rFonts w:ascii="Arial MT" w:hAnsi="Arial MT"/>
          <w:sz w:val="18"/>
        </w:rPr>
        <w:t>estudio</w:t>
      </w:r>
      <w:r>
        <w:rPr>
          <w:rFonts w:ascii="Arial MT" w:hAnsi="Arial MT"/>
          <w:spacing w:val="-6"/>
          <w:sz w:val="18"/>
        </w:rPr>
        <w:t xml:space="preserve"> </w:t>
      </w:r>
      <w:r>
        <w:rPr>
          <w:rFonts w:ascii="Arial MT" w:hAnsi="Arial MT"/>
          <w:sz w:val="18"/>
        </w:rPr>
        <w:t>experimental</w:t>
      </w:r>
      <w:r>
        <w:rPr>
          <w:rFonts w:ascii="Arial MT" w:hAnsi="Arial MT"/>
          <w:spacing w:val="-3"/>
          <w:sz w:val="18"/>
        </w:rPr>
        <w:t xml:space="preserve"> </w:t>
      </w:r>
      <w:r>
        <w:rPr>
          <w:rFonts w:ascii="Arial MT" w:hAnsi="Arial MT"/>
          <w:sz w:val="18"/>
        </w:rPr>
        <w:t>en</w:t>
      </w:r>
      <w:r>
        <w:rPr>
          <w:rFonts w:ascii="Arial MT" w:hAnsi="Arial MT"/>
          <w:spacing w:val="-4"/>
          <w:sz w:val="18"/>
        </w:rPr>
        <w:t xml:space="preserve"> </w:t>
      </w:r>
      <w:r>
        <w:rPr>
          <w:rFonts w:ascii="Arial MT" w:hAnsi="Arial MT"/>
          <w:spacing w:val="-2"/>
          <w:sz w:val="18"/>
        </w:rPr>
        <w:t>Bogotá.</w:t>
      </w:r>
    </w:p>
    <w:p w14:paraId="0E178649" w14:textId="77777777" w:rsidR="000E52B0" w:rsidRDefault="00F60D74">
      <w:pPr>
        <w:ind w:left="720" w:right="720"/>
        <w:rPr>
          <w:rFonts w:ascii="Arial MT" w:hAnsi="Arial MT"/>
          <w:sz w:val="18"/>
        </w:rPr>
      </w:pPr>
      <w:bookmarkStart w:id="56" w:name="_bookmark56"/>
      <w:bookmarkEnd w:id="56"/>
      <w:r>
        <w:rPr>
          <w:rFonts w:ascii="Arial MT" w:hAnsi="Arial MT"/>
          <w:position w:val="6"/>
          <w:sz w:val="12"/>
        </w:rPr>
        <w:t>50</w:t>
      </w:r>
      <w:r>
        <w:rPr>
          <w:rFonts w:ascii="Arial MT" w:hAnsi="Arial MT"/>
          <w:spacing w:val="64"/>
          <w:position w:val="6"/>
          <w:sz w:val="12"/>
        </w:rPr>
        <w:t xml:space="preserve"> </w:t>
      </w:r>
      <w:proofErr w:type="gramStart"/>
      <w:r>
        <w:rPr>
          <w:rFonts w:ascii="Arial MT" w:hAnsi="Arial MT"/>
          <w:sz w:val="18"/>
        </w:rPr>
        <w:t>Departamento</w:t>
      </w:r>
      <w:proofErr w:type="gramEnd"/>
      <w:r>
        <w:rPr>
          <w:rFonts w:ascii="Arial MT" w:hAnsi="Arial MT"/>
          <w:spacing w:val="40"/>
          <w:sz w:val="18"/>
        </w:rPr>
        <w:t xml:space="preserve"> </w:t>
      </w:r>
      <w:r>
        <w:rPr>
          <w:rFonts w:ascii="Arial MT" w:hAnsi="Arial MT"/>
          <w:sz w:val="18"/>
        </w:rPr>
        <w:t>Nacional</w:t>
      </w:r>
      <w:r>
        <w:rPr>
          <w:rFonts w:ascii="Arial MT" w:hAnsi="Arial MT"/>
          <w:spacing w:val="40"/>
          <w:sz w:val="18"/>
        </w:rPr>
        <w:t xml:space="preserve"> </w:t>
      </w:r>
      <w:r>
        <w:rPr>
          <w:rFonts w:ascii="Arial MT" w:hAnsi="Arial MT"/>
          <w:sz w:val="18"/>
        </w:rPr>
        <w:t>de</w:t>
      </w:r>
      <w:r>
        <w:rPr>
          <w:rFonts w:ascii="Arial MT" w:hAnsi="Arial MT"/>
          <w:spacing w:val="40"/>
          <w:sz w:val="18"/>
        </w:rPr>
        <w:t xml:space="preserve"> </w:t>
      </w:r>
      <w:r>
        <w:rPr>
          <w:rFonts w:ascii="Arial MT" w:hAnsi="Arial MT"/>
          <w:sz w:val="18"/>
        </w:rPr>
        <w:t>Planeación</w:t>
      </w:r>
      <w:r>
        <w:rPr>
          <w:rFonts w:ascii="Arial MT" w:hAnsi="Arial MT"/>
          <w:spacing w:val="40"/>
          <w:sz w:val="18"/>
        </w:rPr>
        <w:t xml:space="preserve"> </w:t>
      </w:r>
      <w:r>
        <w:rPr>
          <w:rFonts w:ascii="Arial MT" w:hAnsi="Arial MT"/>
          <w:sz w:val="18"/>
        </w:rPr>
        <w:t>–</w:t>
      </w:r>
      <w:r>
        <w:rPr>
          <w:rFonts w:ascii="Arial MT" w:hAnsi="Arial MT"/>
          <w:spacing w:val="40"/>
          <w:sz w:val="18"/>
        </w:rPr>
        <w:t xml:space="preserve"> </w:t>
      </w:r>
      <w:r>
        <w:rPr>
          <w:rFonts w:ascii="Arial MT" w:hAnsi="Arial MT"/>
          <w:sz w:val="18"/>
        </w:rPr>
        <w:t>DNP</w:t>
      </w:r>
      <w:r>
        <w:rPr>
          <w:rFonts w:ascii="Arial MT" w:hAnsi="Arial MT"/>
          <w:spacing w:val="40"/>
          <w:sz w:val="18"/>
        </w:rPr>
        <w:t xml:space="preserve"> </w:t>
      </w:r>
      <w:r>
        <w:rPr>
          <w:rFonts w:ascii="Arial MT" w:hAnsi="Arial MT"/>
          <w:sz w:val="18"/>
        </w:rPr>
        <w:t>(2020)</w:t>
      </w:r>
      <w:r>
        <w:rPr>
          <w:rFonts w:ascii="Arial MT" w:hAnsi="Arial MT"/>
          <w:spacing w:val="40"/>
          <w:sz w:val="18"/>
        </w:rPr>
        <w:t xml:space="preserve"> </w:t>
      </w:r>
      <w:r>
        <w:rPr>
          <w:rFonts w:ascii="Arial MT" w:hAnsi="Arial MT"/>
          <w:sz w:val="18"/>
        </w:rPr>
        <w:t>Documento</w:t>
      </w:r>
      <w:r>
        <w:rPr>
          <w:rFonts w:ascii="Arial MT" w:hAnsi="Arial MT"/>
          <w:spacing w:val="40"/>
          <w:sz w:val="18"/>
        </w:rPr>
        <w:t xml:space="preserve"> </w:t>
      </w:r>
      <w:r>
        <w:rPr>
          <w:rFonts w:ascii="Arial MT" w:hAnsi="Arial MT"/>
          <w:sz w:val="18"/>
        </w:rPr>
        <w:t>de</w:t>
      </w:r>
      <w:r>
        <w:rPr>
          <w:rFonts w:ascii="Arial MT" w:hAnsi="Arial MT"/>
          <w:spacing w:val="40"/>
          <w:sz w:val="18"/>
        </w:rPr>
        <w:t xml:space="preserve"> </w:t>
      </w:r>
      <w:r>
        <w:rPr>
          <w:rFonts w:ascii="Arial MT" w:hAnsi="Arial MT"/>
          <w:sz w:val="18"/>
        </w:rPr>
        <w:t>Diagnóstico</w:t>
      </w:r>
      <w:r>
        <w:rPr>
          <w:rFonts w:ascii="Arial MT" w:hAnsi="Arial MT"/>
          <w:spacing w:val="40"/>
          <w:sz w:val="18"/>
        </w:rPr>
        <w:t xml:space="preserve"> </w:t>
      </w:r>
      <w:r>
        <w:rPr>
          <w:rFonts w:ascii="Arial MT" w:hAnsi="Arial MT"/>
          <w:sz w:val="18"/>
        </w:rPr>
        <w:t>sobre</w:t>
      </w:r>
      <w:r>
        <w:rPr>
          <w:rFonts w:ascii="Arial MT" w:hAnsi="Arial MT"/>
          <w:spacing w:val="40"/>
          <w:sz w:val="18"/>
        </w:rPr>
        <w:t xml:space="preserve"> </w:t>
      </w:r>
      <w:r>
        <w:rPr>
          <w:rFonts w:ascii="Arial MT" w:hAnsi="Arial MT"/>
          <w:sz w:val="18"/>
        </w:rPr>
        <w:t>la</w:t>
      </w:r>
      <w:r>
        <w:rPr>
          <w:rFonts w:ascii="Arial MT" w:hAnsi="Arial MT"/>
          <w:spacing w:val="40"/>
          <w:sz w:val="18"/>
        </w:rPr>
        <w:t xml:space="preserve"> </w:t>
      </w:r>
      <w:r>
        <w:rPr>
          <w:rFonts w:ascii="Arial MT" w:hAnsi="Arial MT"/>
          <w:sz w:val="18"/>
        </w:rPr>
        <w:t>situación</w:t>
      </w:r>
      <w:r>
        <w:rPr>
          <w:rFonts w:ascii="Arial MT" w:hAnsi="Arial MT"/>
          <w:spacing w:val="40"/>
          <w:sz w:val="18"/>
        </w:rPr>
        <w:t xml:space="preserve"> </w:t>
      </w:r>
      <w:r>
        <w:rPr>
          <w:rFonts w:ascii="Arial MT" w:hAnsi="Arial MT"/>
          <w:sz w:val="18"/>
        </w:rPr>
        <w:t>de discriminación</w:t>
      </w:r>
      <w:r>
        <w:rPr>
          <w:rFonts w:ascii="Arial MT" w:hAnsi="Arial MT"/>
          <w:spacing w:val="80"/>
          <w:w w:val="150"/>
          <w:sz w:val="18"/>
        </w:rPr>
        <w:t xml:space="preserve"> </w:t>
      </w:r>
      <w:r>
        <w:rPr>
          <w:rFonts w:ascii="Arial MT" w:hAnsi="Arial MT"/>
          <w:sz w:val="18"/>
        </w:rPr>
        <w:t>de</w:t>
      </w:r>
      <w:r>
        <w:rPr>
          <w:rFonts w:ascii="Arial MT" w:hAnsi="Arial MT"/>
          <w:spacing w:val="80"/>
          <w:w w:val="150"/>
          <w:sz w:val="18"/>
        </w:rPr>
        <w:t xml:space="preserve"> </w:t>
      </w:r>
      <w:r>
        <w:rPr>
          <w:rFonts w:ascii="Arial MT" w:hAnsi="Arial MT"/>
          <w:sz w:val="18"/>
        </w:rPr>
        <w:t>la</w:t>
      </w:r>
      <w:r>
        <w:rPr>
          <w:rFonts w:ascii="Arial MT" w:hAnsi="Arial MT"/>
          <w:spacing w:val="80"/>
          <w:w w:val="150"/>
          <w:sz w:val="18"/>
        </w:rPr>
        <w:t xml:space="preserve"> </w:t>
      </w:r>
      <w:r>
        <w:rPr>
          <w:rFonts w:ascii="Arial MT" w:hAnsi="Arial MT"/>
          <w:sz w:val="18"/>
        </w:rPr>
        <w:t>población</w:t>
      </w:r>
      <w:r>
        <w:rPr>
          <w:rFonts w:ascii="Arial MT" w:hAnsi="Arial MT"/>
          <w:spacing w:val="80"/>
          <w:w w:val="150"/>
          <w:sz w:val="18"/>
        </w:rPr>
        <w:t xml:space="preserve"> </w:t>
      </w:r>
      <w:r>
        <w:rPr>
          <w:rFonts w:ascii="Arial MT" w:hAnsi="Arial MT"/>
          <w:sz w:val="18"/>
        </w:rPr>
        <w:t>LGBTI</w:t>
      </w:r>
      <w:r>
        <w:rPr>
          <w:rFonts w:ascii="Arial MT" w:hAnsi="Arial MT"/>
          <w:spacing w:val="80"/>
          <w:w w:val="150"/>
          <w:sz w:val="18"/>
        </w:rPr>
        <w:t xml:space="preserve"> </w:t>
      </w:r>
      <w:proofErr w:type="gramStart"/>
      <w:r>
        <w:rPr>
          <w:rFonts w:ascii="Arial MT" w:hAnsi="Arial MT"/>
          <w:sz w:val="18"/>
        </w:rPr>
        <w:t>en</w:t>
      </w:r>
      <w:r>
        <w:rPr>
          <w:rFonts w:ascii="Arial MT" w:hAnsi="Arial MT"/>
          <w:spacing w:val="40"/>
          <w:sz w:val="18"/>
        </w:rPr>
        <w:t xml:space="preserve">  </w:t>
      </w:r>
      <w:r>
        <w:rPr>
          <w:rFonts w:ascii="Arial MT" w:hAnsi="Arial MT"/>
          <w:sz w:val="18"/>
        </w:rPr>
        <w:t>Colombia</w:t>
      </w:r>
      <w:proofErr w:type="gramEnd"/>
      <w:r>
        <w:rPr>
          <w:rFonts w:ascii="Arial MT" w:hAnsi="Arial MT"/>
          <w:sz w:val="18"/>
        </w:rPr>
        <w:t>.</w:t>
      </w:r>
      <w:r>
        <w:rPr>
          <w:rFonts w:ascii="Arial MT" w:hAnsi="Arial MT"/>
          <w:spacing w:val="40"/>
          <w:sz w:val="18"/>
        </w:rPr>
        <w:t xml:space="preserve">  </w:t>
      </w:r>
      <w:r>
        <w:rPr>
          <w:rFonts w:ascii="Arial MT" w:hAnsi="Arial MT"/>
          <w:sz w:val="18"/>
        </w:rPr>
        <w:t>Bogotá.</w:t>
      </w:r>
      <w:r>
        <w:rPr>
          <w:rFonts w:ascii="Arial MT" w:hAnsi="Arial MT"/>
          <w:spacing w:val="40"/>
          <w:sz w:val="18"/>
        </w:rPr>
        <w:t xml:space="preserve">  </w:t>
      </w:r>
      <w:proofErr w:type="gramStart"/>
      <w:r>
        <w:rPr>
          <w:rFonts w:ascii="Arial MT" w:hAnsi="Arial MT"/>
          <w:sz w:val="18"/>
        </w:rPr>
        <w:t>Noviembre</w:t>
      </w:r>
      <w:r>
        <w:rPr>
          <w:rFonts w:ascii="Arial MT" w:hAnsi="Arial MT"/>
          <w:spacing w:val="40"/>
          <w:sz w:val="18"/>
        </w:rPr>
        <w:t xml:space="preserve">  </w:t>
      </w:r>
      <w:r>
        <w:rPr>
          <w:rFonts w:ascii="Arial MT" w:hAnsi="Arial MT"/>
          <w:sz w:val="18"/>
        </w:rPr>
        <w:t>de</w:t>
      </w:r>
      <w:proofErr w:type="gramEnd"/>
      <w:r>
        <w:rPr>
          <w:rFonts w:ascii="Arial MT" w:hAnsi="Arial MT"/>
          <w:spacing w:val="80"/>
          <w:w w:val="150"/>
          <w:sz w:val="18"/>
        </w:rPr>
        <w:t xml:space="preserve"> </w:t>
      </w:r>
      <w:r>
        <w:rPr>
          <w:rFonts w:ascii="Arial MT" w:hAnsi="Arial MT"/>
          <w:sz w:val="18"/>
        </w:rPr>
        <w:t>2020.</w:t>
      </w:r>
      <w:r>
        <w:rPr>
          <w:rFonts w:ascii="Arial MT" w:hAnsi="Arial MT"/>
          <w:spacing w:val="40"/>
          <w:sz w:val="18"/>
        </w:rPr>
        <w:t xml:space="preserve">  </w:t>
      </w:r>
      <w:r>
        <w:rPr>
          <w:rFonts w:ascii="Arial MT" w:hAnsi="Arial MT"/>
          <w:sz w:val="18"/>
        </w:rPr>
        <w:t>Extraído</w:t>
      </w:r>
      <w:r>
        <w:rPr>
          <w:rFonts w:ascii="Arial MT" w:hAnsi="Arial MT"/>
          <w:spacing w:val="80"/>
          <w:w w:val="150"/>
          <w:sz w:val="18"/>
        </w:rPr>
        <w:t xml:space="preserve"> </w:t>
      </w:r>
      <w:r>
        <w:rPr>
          <w:rFonts w:ascii="Arial MT" w:hAnsi="Arial MT"/>
          <w:sz w:val="18"/>
        </w:rPr>
        <w:t xml:space="preserve">de: </w:t>
      </w:r>
      <w:hyperlink r:id="rId167">
        <w:r w:rsidR="000E52B0">
          <w:rPr>
            <w:rFonts w:ascii="Arial MT" w:hAnsi="Arial MT"/>
            <w:color w:val="E22C91"/>
            <w:spacing w:val="-2"/>
            <w:sz w:val="18"/>
            <w:u w:val="single" w:color="E22C91"/>
          </w:rPr>
          <w:t>https://colaboracion.dnp.gov.co/CDT/Desarrollo%20Social/Documentos/Diagnostico-sobre-situacion-</w:t>
        </w:r>
      </w:hyperlink>
      <w:r>
        <w:rPr>
          <w:rFonts w:ascii="Arial MT" w:hAnsi="Arial MT"/>
          <w:color w:val="E22C91"/>
          <w:spacing w:val="40"/>
          <w:sz w:val="18"/>
        </w:rPr>
        <w:t xml:space="preserve"> </w:t>
      </w:r>
      <w:hyperlink r:id="rId168">
        <w:r w:rsidR="000E52B0">
          <w:rPr>
            <w:rFonts w:ascii="Arial MT" w:hAnsi="Arial MT"/>
            <w:color w:val="E22C91"/>
            <w:spacing w:val="-2"/>
            <w:sz w:val="18"/>
            <w:u w:val="single" w:color="E22C91"/>
          </w:rPr>
          <w:t>discriminacion-de-la-Poblacion-LGBTI-en-Colombia.pdf</w:t>
        </w:r>
      </w:hyperlink>
    </w:p>
    <w:p w14:paraId="378750A6" w14:textId="77777777" w:rsidR="000E52B0" w:rsidRDefault="00F60D74">
      <w:pPr>
        <w:spacing w:line="242" w:lineRule="auto"/>
        <w:ind w:left="720" w:right="723"/>
        <w:rPr>
          <w:rFonts w:ascii="Arial MT" w:hAnsi="Arial MT"/>
          <w:sz w:val="18"/>
        </w:rPr>
      </w:pPr>
      <w:bookmarkStart w:id="57" w:name="_bookmark57"/>
      <w:bookmarkEnd w:id="57"/>
      <w:r>
        <w:rPr>
          <w:rFonts w:ascii="Arial MT" w:hAnsi="Arial MT"/>
          <w:position w:val="6"/>
          <w:sz w:val="12"/>
        </w:rPr>
        <w:t>51</w:t>
      </w:r>
      <w:r>
        <w:rPr>
          <w:rFonts w:ascii="Arial MT" w:hAnsi="Arial MT"/>
          <w:spacing w:val="12"/>
          <w:position w:val="6"/>
          <w:sz w:val="12"/>
        </w:rPr>
        <w:t xml:space="preserve"> </w:t>
      </w:r>
      <w:r>
        <w:rPr>
          <w:rFonts w:ascii="Arial MT" w:hAnsi="Arial MT"/>
          <w:sz w:val="18"/>
        </w:rPr>
        <w:t>DNP.</w:t>
      </w:r>
      <w:r>
        <w:rPr>
          <w:rFonts w:ascii="Arial MT" w:hAnsi="Arial MT"/>
          <w:spacing w:val="-5"/>
          <w:sz w:val="18"/>
        </w:rPr>
        <w:t xml:space="preserve"> </w:t>
      </w:r>
      <w:r>
        <w:rPr>
          <w:rFonts w:ascii="Arial MT" w:hAnsi="Arial MT"/>
          <w:sz w:val="18"/>
        </w:rPr>
        <w:t>(2023).</w:t>
      </w:r>
      <w:r>
        <w:rPr>
          <w:rFonts w:ascii="Arial MT" w:hAnsi="Arial MT"/>
          <w:spacing w:val="-7"/>
          <w:sz w:val="18"/>
        </w:rPr>
        <w:t xml:space="preserve"> </w:t>
      </w:r>
      <w:r>
        <w:rPr>
          <w:rFonts w:ascii="Arial MT" w:hAnsi="Arial MT"/>
          <w:sz w:val="18"/>
        </w:rPr>
        <w:t>Informe</w:t>
      </w:r>
      <w:r>
        <w:rPr>
          <w:rFonts w:ascii="Arial MT" w:hAnsi="Arial MT"/>
          <w:spacing w:val="-5"/>
          <w:sz w:val="18"/>
        </w:rPr>
        <w:t xml:space="preserve"> </w:t>
      </w:r>
      <w:r>
        <w:rPr>
          <w:rFonts w:ascii="Arial MT" w:hAnsi="Arial MT"/>
          <w:sz w:val="18"/>
        </w:rPr>
        <w:t>Nacional</w:t>
      </w:r>
      <w:r>
        <w:rPr>
          <w:rFonts w:ascii="Arial MT" w:hAnsi="Arial MT"/>
          <w:spacing w:val="-7"/>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Caracterización</w:t>
      </w:r>
      <w:r>
        <w:rPr>
          <w:rFonts w:ascii="Arial MT" w:hAnsi="Arial MT"/>
          <w:spacing w:val="-7"/>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Población</w:t>
      </w:r>
      <w:r>
        <w:rPr>
          <w:rFonts w:ascii="Arial MT" w:hAnsi="Arial MT"/>
          <w:spacing w:val="-10"/>
          <w:sz w:val="18"/>
        </w:rPr>
        <w:t xml:space="preserve"> </w:t>
      </w:r>
      <w:r>
        <w:rPr>
          <w:rFonts w:ascii="Arial MT" w:hAnsi="Arial MT"/>
          <w:sz w:val="18"/>
        </w:rPr>
        <w:t>Migrante</w:t>
      </w:r>
      <w:r>
        <w:rPr>
          <w:rFonts w:ascii="Arial MT" w:hAnsi="Arial MT"/>
          <w:spacing w:val="-7"/>
          <w:sz w:val="18"/>
        </w:rPr>
        <w:t xml:space="preserve"> </w:t>
      </w:r>
      <w:r>
        <w:rPr>
          <w:rFonts w:ascii="Arial MT" w:hAnsi="Arial MT"/>
          <w:sz w:val="18"/>
        </w:rPr>
        <w:t>de</w:t>
      </w:r>
      <w:r>
        <w:rPr>
          <w:rFonts w:ascii="Arial MT" w:hAnsi="Arial MT"/>
          <w:spacing w:val="-7"/>
          <w:sz w:val="18"/>
        </w:rPr>
        <w:t xml:space="preserve"> </w:t>
      </w:r>
      <w:r>
        <w:rPr>
          <w:rFonts w:ascii="Arial MT" w:hAnsi="Arial MT"/>
          <w:sz w:val="18"/>
        </w:rPr>
        <w:t>Venezuela –</w:t>
      </w:r>
      <w:r>
        <w:rPr>
          <w:rFonts w:ascii="Arial MT" w:hAnsi="Arial MT"/>
          <w:spacing w:val="-10"/>
          <w:sz w:val="18"/>
        </w:rPr>
        <w:t xml:space="preserve"> </w:t>
      </w:r>
      <w:r>
        <w:rPr>
          <w:rFonts w:ascii="Arial MT" w:hAnsi="Arial MT"/>
          <w:sz w:val="18"/>
        </w:rPr>
        <w:t>2022</w:t>
      </w:r>
      <w:r>
        <w:rPr>
          <w:rFonts w:ascii="Arial MT" w:hAnsi="Arial MT"/>
          <w:spacing w:val="-7"/>
          <w:sz w:val="18"/>
        </w:rPr>
        <w:t xml:space="preserve"> </w:t>
      </w:r>
      <w:r>
        <w:rPr>
          <w:rFonts w:ascii="Arial MT" w:hAnsi="Arial MT"/>
          <w:sz w:val="18"/>
        </w:rPr>
        <w:t>.</w:t>
      </w:r>
      <w:r>
        <w:rPr>
          <w:rFonts w:ascii="Arial MT" w:hAnsi="Arial MT"/>
          <w:spacing w:val="-7"/>
          <w:sz w:val="18"/>
        </w:rPr>
        <w:t xml:space="preserve"> </w:t>
      </w:r>
      <w:r>
        <w:rPr>
          <w:rFonts w:ascii="Arial MT" w:hAnsi="Arial MT"/>
          <w:sz w:val="18"/>
        </w:rPr>
        <w:t>Departamento Nacional de Planeación.</w:t>
      </w:r>
    </w:p>
    <w:p w14:paraId="5D2DCEA3" w14:textId="77777777" w:rsidR="000E52B0" w:rsidRDefault="000E52B0">
      <w:pPr>
        <w:spacing w:line="242" w:lineRule="auto"/>
        <w:rPr>
          <w:rFonts w:ascii="Arial MT" w:hAnsi="Arial MT"/>
          <w:sz w:val="18"/>
        </w:rPr>
        <w:sectPr w:rsidR="000E52B0">
          <w:pgSz w:w="11910" w:h="16840"/>
          <w:pgMar w:top="1340" w:right="720" w:bottom="1180" w:left="720" w:header="0" w:footer="995" w:gutter="0"/>
          <w:cols w:space="720"/>
        </w:sectPr>
      </w:pPr>
    </w:p>
    <w:p w14:paraId="415D375B" w14:textId="77777777" w:rsidR="000E52B0" w:rsidRDefault="00F60D74">
      <w:pPr>
        <w:pStyle w:val="Textoindependiente"/>
        <w:spacing w:before="83"/>
        <w:ind w:right="720"/>
        <w:jc w:val="both"/>
      </w:pPr>
      <w:r>
        <w:lastRenderedPageBreak/>
        <w:t>adolescentes y jóvenes venezolanas en Colombia era el 63,3% en el caso de los hombres jóvenes venezolanos esta proporción fue de 23,7%</w:t>
      </w:r>
      <w:hyperlink w:anchor="_bookmark58" w:history="1">
        <w:r w:rsidR="000E52B0">
          <w:rPr>
            <w:position w:val="8"/>
            <w:sz w:val="16"/>
          </w:rPr>
          <w:t>52</w:t>
        </w:r>
      </w:hyperlink>
      <w:r>
        <w:t>.</w:t>
      </w:r>
    </w:p>
    <w:p w14:paraId="3021665E" w14:textId="77777777" w:rsidR="000E52B0" w:rsidRDefault="00F60D74">
      <w:pPr>
        <w:pStyle w:val="Textoindependiente"/>
        <w:spacing w:before="158"/>
        <w:ind w:right="718"/>
        <w:jc w:val="both"/>
      </w:pPr>
      <w:r>
        <w:t>El</w:t>
      </w:r>
      <w:r>
        <w:rPr>
          <w:spacing w:val="-1"/>
        </w:rPr>
        <w:t xml:space="preserve"> </w:t>
      </w:r>
      <w:r>
        <w:t>35% de</w:t>
      </w:r>
      <w:r>
        <w:rPr>
          <w:spacing w:val="-1"/>
        </w:rPr>
        <w:t xml:space="preserve"> </w:t>
      </w:r>
      <w:r>
        <w:t xml:space="preserve">los hogares inscritos en SISBEN, tiene privaciones por no tener acceso a servicios de cuidado. De acuerdo con la ECV, en relación con la situación de </w:t>
      </w:r>
      <w:proofErr w:type="gramStart"/>
      <w:r>
        <w:t>niños y niñas</w:t>
      </w:r>
      <w:proofErr w:type="gramEnd"/>
      <w:r>
        <w:t xml:space="preserve"> se identificó, en la población migrante aumenta la probabilidad de un niño o niña menor de 5 años al cuidado de un/a pariente de 18 años o más, pasando de 9,9% en no migrantes a 14,8%, reduciéndose</w:t>
      </w:r>
      <w:r>
        <w:rPr>
          <w:spacing w:val="-3"/>
        </w:rPr>
        <w:t xml:space="preserve"> </w:t>
      </w:r>
      <w:r>
        <w:t>la</w:t>
      </w:r>
      <w:r>
        <w:rPr>
          <w:spacing w:val="-4"/>
        </w:rPr>
        <w:t xml:space="preserve"> </w:t>
      </w:r>
      <w:r>
        <w:t>cantidad</w:t>
      </w:r>
      <w:r>
        <w:rPr>
          <w:spacing w:val="-4"/>
        </w:rPr>
        <w:t xml:space="preserve"> </w:t>
      </w:r>
      <w:r>
        <w:t>de</w:t>
      </w:r>
      <w:r>
        <w:rPr>
          <w:spacing w:val="-3"/>
        </w:rPr>
        <w:t xml:space="preserve"> </w:t>
      </w:r>
      <w:proofErr w:type="gramStart"/>
      <w:r>
        <w:t>niños</w:t>
      </w:r>
      <w:r>
        <w:rPr>
          <w:spacing w:val="-4"/>
        </w:rPr>
        <w:t xml:space="preserve"> </w:t>
      </w:r>
      <w:r>
        <w:t>y</w:t>
      </w:r>
      <w:r>
        <w:rPr>
          <w:spacing w:val="-2"/>
        </w:rPr>
        <w:t xml:space="preserve"> </w:t>
      </w:r>
      <w:r>
        <w:t>niñas</w:t>
      </w:r>
      <w:proofErr w:type="gramEnd"/>
      <w:r>
        <w:rPr>
          <w:spacing w:val="-4"/>
        </w:rPr>
        <w:t xml:space="preserve"> </w:t>
      </w:r>
      <w:r>
        <w:t>que</w:t>
      </w:r>
      <w:r>
        <w:rPr>
          <w:spacing w:val="-3"/>
        </w:rPr>
        <w:t xml:space="preserve"> </w:t>
      </w:r>
      <w:r>
        <w:t>permanecen</w:t>
      </w:r>
      <w:r>
        <w:rPr>
          <w:spacing w:val="-2"/>
        </w:rPr>
        <w:t xml:space="preserve"> </w:t>
      </w:r>
      <w:r>
        <w:t>con</w:t>
      </w:r>
      <w:r>
        <w:rPr>
          <w:spacing w:val="-4"/>
        </w:rPr>
        <w:t xml:space="preserve"> </w:t>
      </w:r>
      <w:r>
        <w:t>su</w:t>
      </w:r>
      <w:r>
        <w:rPr>
          <w:spacing w:val="-4"/>
        </w:rPr>
        <w:t xml:space="preserve"> </w:t>
      </w:r>
      <w:r>
        <w:t>padre</w:t>
      </w:r>
      <w:r>
        <w:rPr>
          <w:spacing w:val="-2"/>
        </w:rPr>
        <w:t xml:space="preserve"> </w:t>
      </w:r>
      <w:r>
        <w:t>o madre en la casa.</w:t>
      </w:r>
    </w:p>
    <w:p w14:paraId="0C60E27E" w14:textId="77777777" w:rsidR="000E52B0" w:rsidRDefault="00F60D74">
      <w:pPr>
        <w:pStyle w:val="Textoindependiente"/>
        <w:spacing w:before="161"/>
        <w:ind w:right="718"/>
        <w:jc w:val="both"/>
      </w:pPr>
      <w:r>
        <w:t>Esto</w:t>
      </w:r>
      <w:r>
        <w:rPr>
          <w:spacing w:val="-18"/>
        </w:rPr>
        <w:t xml:space="preserve"> </w:t>
      </w:r>
      <w:r>
        <w:t>tiene</w:t>
      </w:r>
      <w:r>
        <w:rPr>
          <w:spacing w:val="-17"/>
        </w:rPr>
        <w:t xml:space="preserve"> </w:t>
      </w:r>
      <w:r>
        <w:t>consecuencias</w:t>
      </w:r>
      <w:r>
        <w:rPr>
          <w:spacing w:val="-19"/>
        </w:rPr>
        <w:t xml:space="preserve"> </w:t>
      </w:r>
      <w:r>
        <w:t>en</w:t>
      </w:r>
      <w:r>
        <w:rPr>
          <w:spacing w:val="-17"/>
        </w:rPr>
        <w:t xml:space="preserve"> </w:t>
      </w:r>
      <w:r>
        <w:t>el</w:t>
      </w:r>
      <w:r>
        <w:rPr>
          <w:spacing w:val="-19"/>
        </w:rPr>
        <w:t xml:space="preserve"> </w:t>
      </w:r>
      <w:r>
        <w:t>acceso</w:t>
      </w:r>
      <w:r>
        <w:rPr>
          <w:spacing w:val="-18"/>
        </w:rPr>
        <w:t xml:space="preserve"> </w:t>
      </w:r>
      <w:r>
        <w:t>a</w:t>
      </w:r>
      <w:r>
        <w:rPr>
          <w:spacing w:val="-14"/>
        </w:rPr>
        <w:t xml:space="preserve"> </w:t>
      </w:r>
      <w:r>
        <w:t>bienes</w:t>
      </w:r>
      <w:r>
        <w:rPr>
          <w:spacing w:val="-18"/>
        </w:rPr>
        <w:t xml:space="preserve"> </w:t>
      </w:r>
      <w:r>
        <w:t>y</w:t>
      </w:r>
      <w:r>
        <w:rPr>
          <w:spacing w:val="-19"/>
        </w:rPr>
        <w:t xml:space="preserve"> </w:t>
      </w:r>
      <w:r>
        <w:t>servicios</w:t>
      </w:r>
      <w:r>
        <w:rPr>
          <w:spacing w:val="-18"/>
        </w:rPr>
        <w:t xml:space="preserve"> </w:t>
      </w:r>
      <w:r>
        <w:t>básicos,</w:t>
      </w:r>
      <w:r>
        <w:rPr>
          <w:spacing w:val="-19"/>
        </w:rPr>
        <w:t xml:space="preserve"> </w:t>
      </w:r>
      <w:r>
        <w:t>respecto a</w:t>
      </w:r>
      <w:r>
        <w:rPr>
          <w:spacing w:val="-22"/>
        </w:rPr>
        <w:t xml:space="preserve"> </w:t>
      </w:r>
      <w:r>
        <w:t>las</w:t>
      </w:r>
      <w:r>
        <w:rPr>
          <w:spacing w:val="-21"/>
        </w:rPr>
        <w:t xml:space="preserve"> </w:t>
      </w:r>
      <w:r>
        <w:t>barreras</w:t>
      </w:r>
      <w:r>
        <w:rPr>
          <w:spacing w:val="-21"/>
        </w:rPr>
        <w:t xml:space="preserve"> </w:t>
      </w:r>
      <w:r>
        <w:t>de</w:t>
      </w:r>
      <w:r>
        <w:rPr>
          <w:spacing w:val="-21"/>
        </w:rPr>
        <w:t xml:space="preserve"> </w:t>
      </w:r>
      <w:r>
        <w:t>acceso</w:t>
      </w:r>
      <w:r>
        <w:rPr>
          <w:spacing w:val="-21"/>
        </w:rPr>
        <w:t xml:space="preserve"> </w:t>
      </w:r>
      <w:r>
        <w:t>a</w:t>
      </w:r>
      <w:r>
        <w:rPr>
          <w:spacing w:val="-21"/>
        </w:rPr>
        <w:t xml:space="preserve"> </w:t>
      </w:r>
      <w:r>
        <w:t>alimentos</w:t>
      </w:r>
      <w:r>
        <w:rPr>
          <w:spacing w:val="-21"/>
        </w:rPr>
        <w:t xml:space="preserve"> </w:t>
      </w:r>
      <w:r>
        <w:t>suficientes,</w:t>
      </w:r>
      <w:r>
        <w:rPr>
          <w:spacing w:val="-21"/>
        </w:rPr>
        <w:t xml:space="preserve"> </w:t>
      </w:r>
      <w:r>
        <w:t>de</w:t>
      </w:r>
      <w:r>
        <w:rPr>
          <w:spacing w:val="-21"/>
        </w:rPr>
        <w:t xml:space="preserve"> </w:t>
      </w:r>
      <w:r>
        <w:t>acuerdo</w:t>
      </w:r>
      <w:r>
        <w:rPr>
          <w:spacing w:val="-21"/>
        </w:rPr>
        <w:t xml:space="preserve"> </w:t>
      </w:r>
      <w:r>
        <w:t>con</w:t>
      </w:r>
      <w:r>
        <w:rPr>
          <w:spacing w:val="-22"/>
        </w:rPr>
        <w:t xml:space="preserve"> </w:t>
      </w:r>
      <w:r>
        <w:t>la</w:t>
      </w:r>
      <w:r>
        <w:rPr>
          <w:spacing w:val="-21"/>
        </w:rPr>
        <w:t xml:space="preserve"> </w:t>
      </w:r>
      <w:r>
        <w:t>Encuesta de Calidad de Vida, se encontró que la probabilidad de inseguridad alimentaria moderada o grave es de 44,9% en los migrantes, en comparación con un 27,5% en los no migrantes y la probabilidad de inseguridad alimentaria grave es 10,6%, 6 p.p. más que en los no migrantes. En todas las situaciones de la escala FIES, el porcentaje de migrantes</w:t>
      </w:r>
      <w:r>
        <w:rPr>
          <w:spacing w:val="18"/>
        </w:rPr>
        <w:t xml:space="preserve"> </w:t>
      </w:r>
      <w:r>
        <w:t>que</w:t>
      </w:r>
      <w:r>
        <w:rPr>
          <w:spacing w:val="19"/>
        </w:rPr>
        <w:t xml:space="preserve"> </w:t>
      </w:r>
      <w:r>
        <w:t>reportaron</w:t>
      </w:r>
      <w:r>
        <w:rPr>
          <w:spacing w:val="18"/>
        </w:rPr>
        <w:t xml:space="preserve"> </w:t>
      </w:r>
      <w:r>
        <w:t>falta</w:t>
      </w:r>
      <w:r>
        <w:rPr>
          <w:spacing w:val="18"/>
        </w:rPr>
        <w:t xml:space="preserve"> </w:t>
      </w:r>
      <w:r>
        <w:t>de</w:t>
      </w:r>
      <w:r>
        <w:rPr>
          <w:spacing w:val="19"/>
        </w:rPr>
        <w:t xml:space="preserve"> </w:t>
      </w:r>
      <w:r>
        <w:t>acceso</w:t>
      </w:r>
      <w:r>
        <w:rPr>
          <w:spacing w:val="18"/>
        </w:rPr>
        <w:t xml:space="preserve"> </w:t>
      </w:r>
      <w:r>
        <w:t>a</w:t>
      </w:r>
      <w:r>
        <w:rPr>
          <w:spacing w:val="18"/>
        </w:rPr>
        <w:t xml:space="preserve"> </w:t>
      </w:r>
      <w:r>
        <w:t>alimentación</w:t>
      </w:r>
      <w:r>
        <w:rPr>
          <w:spacing w:val="18"/>
        </w:rPr>
        <w:t xml:space="preserve"> </w:t>
      </w:r>
      <w:r>
        <w:t>adecuada</w:t>
      </w:r>
      <w:r>
        <w:rPr>
          <w:spacing w:val="19"/>
        </w:rPr>
        <w:t xml:space="preserve"> </w:t>
      </w:r>
      <w:r>
        <w:t>es</w:t>
      </w:r>
      <w:r>
        <w:rPr>
          <w:spacing w:val="18"/>
        </w:rPr>
        <w:t xml:space="preserve"> </w:t>
      </w:r>
      <w:r>
        <w:rPr>
          <w:spacing w:val="-5"/>
        </w:rPr>
        <w:t>10</w:t>
      </w:r>
    </w:p>
    <w:p w14:paraId="7BDDB40B" w14:textId="77777777" w:rsidR="000E52B0" w:rsidRDefault="00F60D74">
      <w:pPr>
        <w:pStyle w:val="Textoindependiente"/>
        <w:ind w:right="722"/>
        <w:jc w:val="both"/>
      </w:pPr>
      <w:r>
        <w:t>p.p. más alto que en</w:t>
      </w:r>
      <w:r>
        <w:rPr>
          <w:spacing w:val="-1"/>
        </w:rPr>
        <w:t xml:space="preserve"> </w:t>
      </w:r>
      <w:r>
        <w:t>el</w:t>
      </w:r>
      <w:r>
        <w:rPr>
          <w:spacing w:val="-2"/>
        </w:rPr>
        <w:t xml:space="preserve"> </w:t>
      </w:r>
      <w:r>
        <w:t>grupo de no migrantes.</w:t>
      </w:r>
      <w:r>
        <w:rPr>
          <w:spacing w:val="-2"/>
        </w:rPr>
        <w:t xml:space="preserve"> </w:t>
      </w:r>
      <w:r>
        <w:t>Las</w:t>
      </w:r>
      <w:r>
        <w:rPr>
          <w:spacing w:val="-1"/>
        </w:rPr>
        <w:t xml:space="preserve"> </w:t>
      </w:r>
      <w:r>
        <w:t>situaciones</w:t>
      </w:r>
      <w:r>
        <w:rPr>
          <w:spacing w:val="-1"/>
        </w:rPr>
        <w:t xml:space="preserve"> </w:t>
      </w:r>
      <w:r>
        <w:t>con</w:t>
      </w:r>
      <w:r>
        <w:rPr>
          <w:spacing w:val="-1"/>
        </w:rPr>
        <w:t xml:space="preserve"> </w:t>
      </w:r>
      <w:r>
        <w:t>mayor brecha son: consumir poca variedad de alimentos (con una diferencia de 19 p.p.) y comer menos de lo que pensaba que debía comer (18 p.p.).</w:t>
      </w:r>
    </w:p>
    <w:p w14:paraId="0350F3A6" w14:textId="77777777" w:rsidR="000E52B0" w:rsidRDefault="00F60D74">
      <w:pPr>
        <w:spacing w:before="160" w:line="219" w:lineRule="exact"/>
        <w:ind w:left="720"/>
        <w:jc w:val="both"/>
        <w:rPr>
          <w:i/>
          <w:sz w:val="18"/>
        </w:rPr>
      </w:pPr>
      <w:r>
        <w:rPr>
          <w:i/>
          <w:color w:val="454551"/>
          <w:sz w:val="18"/>
        </w:rPr>
        <w:t>Ilustración</w:t>
      </w:r>
      <w:r>
        <w:rPr>
          <w:i/>
          <w:color w:val="454551"/>
          <w:spacing w:val="1"/>
          <w:sz w:val="18"/>
        </w:rPr>
        <w:t xml:space="preserve"> </w:t>
      </w:r>
      <w:r>
        <w:rPr>
          <w:i/>
          <w:color w:val="454551"/>
          <w:sz w:val="18"/>
        </w:rPr>
        <w:t>38.</w:t>
      </w:r>
      <w:r>
        <w:rPr>
          <w:i/>
          <w:color w:val="454551"/>
          <w:spacing w:val="1"/>
          <w:sz w:val="18"/>
        </w:rPr>
        <w:t xml:space="preserve"> </w:t>
      </w:r>
      <w:r>
        <w:rPr>
          <w:i/>
          <w:color w:val="454551"/>
          <w:sz w:val="18"/>
        </w:rPr>
        <w:t>Porcentaje de</w:t>
      </w:r>
      <w:r>
        <w:rPr>
          <w:i/>
          <w:color w:val="454551"/>
          <w:spacing w:val="2"/>
          <w:sz w:val="18"/>
        </w:rPr>
        <w:t xml:space="preserve"> </w:t>
      </w:r>
      <w:r>
        <w:rPr>
          <w:i/>
          <w:color w:val="454551"/>
          <w:sz w:val="18"/>
        </w:rPr>
        <w:t>personas</w:t>
      </w:r>
      <w:r>
        <w:rPr>
          <w:i/>
          <w:color w:val="454551"/>
          <w:spacing w:val="1"/>
          <w:sz w:val="18"/>
        </w:rPr>
        <w:t xml:space="preserve"> </w:t>
      </w:r>
      <w:r>
        <w:rPr>
          <w:i/>
          <w:color w:val="454551"/>
          <w:sz w:val="18"/>
        </w:rPr>
        <w:t>que,</w:t>
      </w:r>
      <w:r>
        <w:rPr>
          <w:i/>
          <w:color w:val="454551"/>
          <w:spacing w:val="1"/>
          <w:sz w:val="18"/>
        </w:rPr>
        <w:t xml:space="preserve"> </w:t>
      </w:r>
      <w:r>
        <w:rPr>
          <w:i/>
          <w:color w:val="454551"/>
          <w:sz w:val="18"/>
        </w:rPr>
        <w:t>durante</w:t>
      </w:r>
      <w:r>
        <w:rPr>
          <w:i/>
          <w:color w:val="454551"/>
          <w:spacing w:val="2"/>
          <w:sz w:val="18"/>
        </w:rPr>
        <w:t xml:space="preserve"> </w:t>
      </w:r>
      <w:r>
        <w:rPr>
          <w:i/>
          <w:color w:val="454551"/>
          <w:sz w:val="18"/>
        </w:rPr>
        <w:t>los últimos</w:t>
      </w:r>
      <w:r>
        <w:rPr>
          <w:i/>
          <w:color w:val="454551"/>
          <w:spacing w:val="1"/>
          <w:sz w:val="18"/>
        </w:rPr>
        <w:t xml:space="preserve"> </w:t>
      </w:r>
      <w:r>
        <w:rPr>
          <w:i/>
          <w:color w:val="454551"/>
          <w:sz w:val="18"/>
        </w:rPr>
        <w:t>12</w:t>
      </w:r>
      <w:r>
        <w:rPr>
          <w:i/>
          <w:color w:val="454551"/>
          <w:spacing w:val="2"/>
          <w:sz w:val="18"/>
        </w:rPr>
        <w:t xml:space="preserve"> </w:t>
      </w:r>
      <w:r>
        <w:rPr>
          <w:i/>
          <w:color w:val="454551"/>
          <w:sz w:val="18"/>
        </w:rPr>
        <w:t>meses,</w:t>
      </w:r>
      <w:r>
        <w:rPr>
          <w:i/>
          <w:color w:val="454551"/>
          <w:spacing w:val="1"/>
          <w:sz w:val="18"/>
        </w:rPr>
        <w:t xml:space="preserve"> </w:t>
      </w:r>
      <w:r>
        <w:rPr>
          <w:i/>
          <w:color w:val="454551"/>
          <w:sz w:val="18"/>
        </w:rPr>
        <w:t>DEBIDO</w:t>
      </w:r>
      <w:r>
        <w:rPr>
          <w:i/>
          <w:color w:val="454551"/>
          <w:spacing w:val="1"/>
          <w:sz w:val="18"/>
        </w:rPr>
        <w:t xml:space="preserve"> </w:t>
      </w:r>
      <w:r>
        <w:rPr>
          <w:i/>
          <w:color w:val="454551"/>
          <w:sz w:val="18"/>
        </w:rPr>
        <w:t>A</w:t>
      </w:r>
      <w:r>
        <w:rPr>
          <w:i/>
          <w:color w:val="454551"/>
          <w:spacing w:val="1"/>
          <w:sz w:val="18"/>
        </w:rPr>
        <w:t xml:space="preserve"> </w:t>
      </w:r>
      <w:r>
        <w:rPr>
          <w:i/>
          <w:color w:val="454551"/>
          <w:sz w:val="18"/>
        </w:rPr>
        <w:t>LA</w:t>
      </w:r>
      <w:r>
        <w:rPr>
          <w:i/>
          <w:color w:val="454551"/>
          <w:spacing w:val="1"/>
          <w:sz w:val="18"/>
        </w:rPr>
        <w:t xml:space="preserve"> </w:t>
      </w:r>
      <w:r>
        <w:rPr>
          <w:i/>
          <w:color w:val="454551"/>
          <w:sz w:val="18"/>
        </w:rPr>
        <w:t>FALTA</w:t>
      </w:r>
      <w:r>
        <w:rPr>
          <w:i/>
          <w:color w:val="454551"/>
          <w:spacing w:val="3"/>
          <w:sz w:val="18"/>
        </w:rPr>
        <w:t xml:space="preserve"> </w:t>
      </w:r>
      <w:r>
        <w:rPr>
          <w:i/>
          <w:color w:val="454551"/>
          <w:spacing w:val="-5"/>
          <w:sz w:val="18"/>
        </w:rPr>
        <w:t>DE</w:t>
      </w:r>
    </w:p>
    <w:p w14:paraId="37457492" w14:textId="0FC2E0EB" w:rsidR="000E52B0" w:rsidRDefault="00F60D74" w:rsidP="00203383">
      <w:pPr>
        <w:ind w:left="720"/>
        <w:jc w:val="both"/>
        <w:rPr>
          <w:i/>
          <w:sz w:val="18"/>
        </w:rPr>
      </w:pPr>
      <w:r>
        <w:rPr>
          <w:i/>
          <w:color w:val="454551"/>
          <w:sz w:val="18"/>
        </w:rPr>
        <w:t>DINERO</w:t>
      </w:r>
      <w:r>
        <w:rPr>
          <w:i/>
          <w:color w:val="454551"/>
          <w:spacing w:val="-4"/>
          <w:sz w:val="18"/>
        </w:rPr>
        <w:t xml:space="preserve"> </w:t>
      </w:r>
      <w:r>
        <w:rPr>
          <w:i/>
          <w:color w:val="454551"/>
          <w:sz w:val="18"/>
        </w:rPr>
        <w:t>U</w:t>
      </w:r>
      <w:r>
        <w:rPr>
          <w:i/>
          <w:color w:val="454551"/>
          <w:spacing w:val="-2"/>
          <w:sz w:val="18"/>
        </w:rPr>
        <w:t xml:space="preserve"> </w:t>
      </w:r>
      <w:r>
        <w:rPr>
          <w:i/>
          <w:color w:val="454551"/>
          <w:sz w:val="18"/>
        </w:rPr>
        <w:t>OTROS</w:t>
      </w:r>
      <w:r>
        <w:rPr>
          <w:i/>
          <w:color w:val="454551"/>
          <w:spacing w:val="-1"/>
          <w:sz w:val="18"/>
        </w:rPr>
        <w:t xml:space="preserve"> </w:t>
      </w:r>
      <w:r>
        <w:rPr>
          <w:i/>
          <w:color w:val="454551"/>
          <w:sz w:val="18"/>
        </w:rPr>
        <w:t>RECURSOS</w:t>
      </w:r>
      <w:r>
        <w:rPr>
          <w:i/>
          <w:color w:val="454551"/>
          <w:spacing w:val="-3"/>
          <w:sz w:val="18"/>
        </w:rPr>
        <w:t xml:space="preserve"> </w:t>
      </w:r>
      <w:r>
        <w:rPr>
          <w:i/>
          <w:color w:val="454551"/>
          <w:sz w:val="18"/>
        </w:rPr>
        <w:t>hubo</w:t>
      </w:r>
      <w:r>
        <w:rPr>
          <w:i/>
          <w:color w:val="454551"/>
          <w:spacing w:val="-2"/>
          <w:sz w:val="18"/>
        </w:rPr>
        <w:t xml:space="preserve"> </w:t>
      </w:r>
      <w:r>
        <w:rPr>
          <w:i/>
          <w:color w:val="454551"/>
          <w:sz w:val="18"/>
        </w:rPr>
        <w:t>algún</w:t>
      </w:r>
      <w:r>
        <w:rPr>
          <w:i/>
          <w:color w:val="454551"/>
          <w:spacing w:val="-1"/>
          <w:sz w:val="18"/>
        </w:rPr>
        <w:t xml:space="preserve"> </w:t>
      </w:r>
      <w:r>
        <w:rPr>
          <w:i/>
          <w:color w:val="454551"/>
          <w:sz w:val="18"/>
        </w:rPr>
        <w:t>momento</w:t>
      </w:r>
      <w:r>
        <w:rPr>
          <w:i/>
          <w:color w:val="454551"/>
          <w:spacing w:val="-1"/>
          <w:sz w:val="18"/>
        </w:rPr>
        <w:t xml:space="preserve"> </w:t>
      </w:r>
      <w:r>
        <w:rPr>
          <w:i/>
          <w:color w:val="454551"/>
          <w:sz w:val="18"/>
        </w:rPr>
        <w:t>en</w:t>
      </w:r>
      <w:r>
        <w:rPr>
          <w:i/>
          <w:color w:val="454551"/>
          <w:spacing w:val="-1"/>
          <w:sz w:val="18"/>
        </w:rPr>
        <w:t xml:space="preserve"> </w:t>
      </w:r>
      <w:r>
        <w:rPr>
          <w:i/>
          <w:color w:val="454551"/>
          <w:sz w:val="18"/>
        </w:rPr>
        <w:t>que</w:t>
      </w:r>
      <w:r>
        <w:rPr>
          <w:i/>
          <w:color w:val="454551"/>
          <w:spacing w:val="-2"/>
          <w:sz w:val="18"/>
        </w:rPr>
        <w:t xml:space="preserve"> </w:t>
      </w:r>
      <w:r>
        <w:rPr>
          <w:i/>
          <w:color w:val="454551"/>
          <w:sz w:val="18"/>
        </w:rPr>
        <w:t>ellas</w:t>
      </w:r>
      <w:r>
        <w:rPr>
          <w:i/>
          <w:color w:val="454551"/>
          <w:spacing w:val="-4"/>
          <w:sz w:val="18"/>
        </w:rPr>
        <w:t xml:space="preserve"> </w:t>
      </w:r>
      <w:r>
        <w:rPr>
          <w:i/>
          <w:color w:val="454551"/>
          <w:sz w:val="18"/>
        </w:rPr>
        <w:t>u</w:t>
      </w:r>
      <w:r>
        <w:rPr>
          <w:i/>
          <w:color w:val="454551"/>
          <w:spacing w:val="-1"/>
          <w:sz w:val="18"/>
        </w:rPr>
        <w:t xml:space="preserve"> </w:t>
      </w:r>
      <w:r>
        <w:rPr>
          <w:i/>
          <w:color w:val="454551"/>
          <w:sz w:val="18"/>
        </w:rPr>
        <w:t>otra</w:t>
      </w:r>
      <w:r>
        <w:rPr>
          <w:i/>
          <w:color w:val="454551"/>
          <w:spacing w:val="-3"/>
          <w:sz w:val="18"/>
        </w:rPr>
        <w:t xml:space="preserve"> </w:t>
      </w:r>
      <w:r>
        <w:rPr>
          <w:i/>
          <w:color w:val="454551"/>
          <w:sz w:val="18"/>
        </w:rPr>
        <w:t>persona</w:t>
      </w:r>
      <w:r>
        <w:rPr>
          <w:i/>
          <w:color w:val="454551"/>
          <w:spacing w:val="-2"/>
          <w:sz w:val="18"/>
        </w:rPr>
        <w:t xml:space="preserve"> </w:t>
      </w:r>
      <w:r>
        <w:rPr>
          <w:i/>
          <w:color w:val="454551"/>
          <w:sz w:val="18"/>
        </w:rPr>
        <w:t>del</w:t>
      </w:r>
      <w:r>
        <w:rPr>
          <w:i/>
          <w:color w:val="454551"/>
          <w:spacing w:val="-1"/>
          <w:sz w:val="18"/>
        </w:rPr>
        <w:t xml:space="preserve"> </w:t>
      </w:r>
      <w:r>
        <w:rPr>
          <w:i/>
          <w:color w:val="454551"/>
          <w:spacing w:val="-2"/>
          <w:sz w:val="18"/>
        </w:rPr>
        <w:t>hogar…</w:t>
      </w:r>
    </w:p>
    <w:p w14:paraId="7E95E458" w14:textId="77777777" w:rsidR="000E52B0" w:rsidRDefault="00F60D74">
      <w:pPr>
        <w:tabs>
          <w:tab w:val="left" w:pos="1434"/>
        </w:tabs>
        <w:ind w:left="47"/>
        <w:jc w:val="center"/>
        <w:rPr>
          <w:rFonts w:ascii="Trebuchet MS"/>
          <w:sz w:val="18"/>
        </w:rPr>
      </w:pPr>
      <w:r>
        <w:rPr>
          <w:noProof/>
        </w:rPr>
        <w:drawing>
          <wp:inline distT="0" distB="0" distL="0" distR="0" wp14:anchorId="5C3F137E" wp14:editId="7ADBAC5A">
            <wp:extent cx="62779" cy="62779"/>
            <wp:effectExtent l="0" t="0" r="0" b="0"/>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74" cstate="print"/>
                    <a:stretch>
                      <a:fillRect/>
                    </a:stretch>
                  </pic:blipFill>
                  <pic:spPr>
                    <a:xfrm>
                      <a:off x="0" y="0"/>
                      <a:ext cx="62779" cy="62779"/>
                    </a:xfrm>
                    <a:prstGeom prst="rect">
                      <a:avLst/>
                    </a:prstGeom>
                  </pic:spPr>
                </pic:pic>
              </a:graphicData>
            </a:graphic>
          </wp:inline>
        </w:drawing>
      </w:r>
      <w:r>
        <w:rPr>
          <w:rFonts w:ascii="Times New Roman"/>
          <w:sz w:val="20"/>
        </w:rPr>
        <w:t xml:space="preserve"> </w:t>
      </w:r>
      <w:r>
        <w:rPr>
          <w:rFonts w:ascii="Trebuchet MS"/>
          <w:color w:val="585858"/>
          <w:sz w:val="18"/>
        </w:rPr>
        <w:t>No</w:t>
      </w:r>
      <w:r>
        <w:rPr>
          <w:rFonts w:ascii="Trebuchet MS"/>
          <w:color w:val="585858"/>
          <w:spacing w:val="-10"/>
          <w:sz w:val="18"/>
        </w:rPr>
        <w:t xml:space="preserve"> </w:t>
      </w:r>
      <w:r>
        <w:rPr>
          <w:rFonts w:ascii="Trebuchet MS"/>
          <w:color w:val="585858"/>
          <w:sz w:val="18"/>
        </w:rPr>
        <w:t>migrantes</w:t>
      </w:r>
      <w:r>
        <w:rPr>
          <w:rFonts w:ascii="Trebuchet MS"/>
          <w:color w:val="585858"/>
          <w:sz w:val="18"/>
        </w:rPr>
        <w:tab/>
      </w:r>
      <w:r>
        <w:rPr>
          <w:rFonts w:ascii="Trebuchet MS"/>
          <w:noProof/>
          <w:color w:val="585858"/>
          <w:sz w:val="18"/>
        </w:rPr>
        <w:drawing>
          <wp:inline distT="0" distB="0" distL="0" distR="0" wp14:anchorId="586FE1E5" wp14:editId="5739E8EE">
            <wp:extent cx="62779" cy="62779"/>
            <wp:effectExtent l="0" t="0" r="0" b="0"/>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73" cstate="print"/>
                    <a:stretch>
                      <a:fillRect/>
                    </a:stretch>
                  </pic:blipFill>
                  <pic:spPr>
                    <a:xfrm>
                      <a:off x="0" y="0"/>
                      <a:ext cx="62779" cy="62779"/>
                    </a:xfrm>
                    <a:prstGeom prst="rect">
                      <a:avLst/>
                    </a:prstGeom>
                  </pic:spPr>
                </pic:pic>
              </a:graphicData>
            </a:graphic>
          </wp:inline>
        </w:drawing>
      </w:r>
      <w:r>
        <w:rPr>
          <w:rFonts w:ascii="Times New Roman"/>
          <w:color w:val="585858"/>
          <w:sz w:val="18"/>
        </w:rPr>
        <w:t xml:space="preserve"> </w:t>
      </w:r>
      <w:r>
        <w:rPr>
          <w:rFonts w:ascii="Trebuchet MS"/>
          <w:color w:val="585858"/>
          <w:sz w:val="18"/>
        </w:rPr>
        <w:t>Migrantes</w:t>
      </w:r>
    </w:p>
    <w:p w14:paraId="576605F8" w14:textId="77777777" w:rsidR="000E52B0" w:rsidRDefault="000E52B0">
      <w:pPr>
        <w:pStyle w:val="Textoindependiente"/>
        <w:spacing w:before="40"/>
        <w:ind w:left="0"/>
        <w:rPr>
          <w:rFonts w:ascii="Trebuchet MS"/>
          <w:sz w:val="20"/>
        </w:rPr>
      </w:pPr>
    </w:p>
    <w:tbl>
      <w:tblPr>
        <w:tblStyle w:val="TableNormal"/>
        <w:tblW w:w="0" w:type="auto"/>
        <w:tblInd w:w="1159" w:type="dxa"/>
        <w:tblLayout w:type="fixed"/>
        <w:tblLook w:val="01E0" w:firstRow="1" w:lastRow="1" w:firstColumn="1" w:lastColumn="1" w:noHBand="0" w:noVBand="0"/>
      </w:tblPr>
      <w:tblGrid>
        <w:gridCol w:w="1070"/>
        <w:gridCol w:w="1070"/>
        <w:gridCol w:w="857"/>
        <w:gridCol w:w="1282"/>
        <w:gridCol w:w="1070"/>
        <w:gridCol w:w="1070"/>
        <w:gridCol w:w="882"/>
        <w:gridCol w:w="493"/>
        <w:gridCol w:w="550"/>
      </w:tblGrid>
      <w:tr w:rsidR="000E52B0" w14:paraId="6CEB4D9D" w14:textId="77777777">
        <w:trPr>
          <w:trHeight w:val="1091"/>
        </w:trPr>
        <w:tc>
          <w:tcPr>
            <w:tcW w:w="1070" w:type="dxa"/>
          </w:tcPr>
          <w:p w14:paraId="7FFFDAA0" w14:textId="77777777" w:rsidR="000E52B0" w:rsidRDefault="00F60D74">
            <w:pPr>
              <w:pStyle w:val="TableParagraph"/>
              <w:ind w:left="304"/>
              <w:rPr>
                <w:rFonts w:ascii="Trebuchet MS"/>
                <w:sz w:val="18"/>
              </w:rPr>
            </w:pPr>
            <w:r>
              <w:rPr>
                <w:rFonts w:ascii="Trebuchet MS"/>
                <w:color w:val="404040"/>
                <w:spacing w:val="-5"/>
                <w:w w:val="115"/>
                <w:sz w:val="18"/>
              </w:rPr>
              <w:t>58%</w:t>
            </w:r>
          </w:p>
          <w:p w14:paraId="15731CAC" w14:textId="77777777" w:rsidR="000E52B0" w:rsidRDefault="00F60D74">
            <w:pPr>
              <w:pStyle w:val="TableParagraph"/>
              <w:spacing w:before="169"/>
              <w:rPr>
                <w:rFonts w:ascii="Trebuchet MS"/>
                <w:sz w:val="18"/>
              </w:rPr>
            </w:pPr>
            <w:r>
              <w:rPr>
                <w:rFonts w:ascii="Trebuchet MS"/>
                <w:color w:val="404040"/>
                <w:spacing w:val="-5"/>
                <w:w w:val="115"/>
                <w:sz w:val="18"/>
              </w:rPr>
              <w:t>42%</w:t>
            </w:r>
          </w:p>
        </w:tc>
        <w:tc>
          <w:tcPr>
            <w:tcW w:w="1070" w:type="dxa"/>
          </w:tcPr>
          <w:p w14:paraId="7C1F9F5D" w14:textId="77777777" w:rsidR="000E52B0" w:rsidRDefault="000E52B0">
            <w:pPr>
              <w:pStyle w:val="TableParagraph"/>
              <w:spacing w:before="11"/>
              <w:rPr>
                <w:rFonts w:ascii="Trebuchet MS"/>
                <w:sz w:val="18"/>
              </w:rPr>
            </w:pPr>
          </w:p>
          <w:p w14:paraId="6431AB6B" w14:textId="77777777" w:rsidR="000E52B0" w:rsidRDefault="00F60D74">
            <w:pPr>
              <w:pStyle w:val="TableParagraph"/>
              <w:ind w:left="305"/>
              <w:rPr>
                <w:rFonts w:ascii="Trebuchet MS"/>
                <w:sz w:val="18"/>
              </w:rPr>
            </w:pPr>
            <w:r>
              <w:rPr>
                <w:rFonts w:ascii="Trebuchet MS"/>
                <w:color w:val="404040"/>
                <w:spacing w:val="-5"/>
                <w:w w:val="115"/>
                <w:sz w:val="18"/>
              </w:rPr>
              <w:t>49%</w:t>
            </w:r>
          </w:p>
          <w:p w14:paraId="608A12CB" w14:textId="77777777" w:rsidR="000E52B0" w:rsidRDefault="00F60D74">
            <w:pPr>
              <w:pStyle w:val="TableParagraph"/>
              <w:spacing w:before="166"/>
              <w:rPr>
                <w:rFonts w:ascii="Trebuchet MS"/>
                <w:sz w:val="18"/>
              </w:rPr>
            </w:pPr>
            <w:r>
              <w:rPr>
                <w:rFonts w:ascii="Trebuchet MS"/>
                <w:color w:val="404040"/>
                <w:spacing w:val="-5"/>
                <w:w w:val="115"/>
                <w:sz w:val="18"/>
              </w:rPr>
              <w:t>33%</w:t>
            </w:r>
          </w:p>
        </w:tc>
        <w:tc>
          <w:tcPr>
            <w:tcW w:w="857" w:type="dxa"/>
          </w:tcPr>
          <w:p w14:paraId="2BFFD74E" w14:textId="77777777" w:rsidR="000E52B0" w:rsidRDefault="00F60D74">
            <w:pPr>
              <w:pStyle w:val="TableParagraph"/>
              <w:spacing w:before="45"/>
              <w:ind w:left="305"/>
              <w:rPr>
                <w:rFonts w:ascii="Trebuchet MS"/>
                <w:sz w:val="18"/>
              </w:rPr>
            </w:pPr>
            <w:r>
              <w:rPr>
                <w:rFonts w:ascii="Trebuchet MS"/>
                <w:color w:val="404040"/>
                <w:spacing w:val="-5"/>
                <w:w w:val="115"/>
                <w:sz w:val="18"/>
              </w:rPr>
              <w:t>56%</w:t>
            </w:r>
          </w:p>
          <w:p w14:paraId="10F391D9" w14:textId="77777777" w:rsidR="000E52B0" w:rsidRDefault="000E52B0">
            <w:pPr>
              <w:pStyle w:val="TableParagraph"/>
              <w:spacing w:before="27"/>
              <w:rPr>
                <w:rFonts w:ascii="Trebuchet MS"/>
                <w:sz w:val="18"/>
              </w:rPr>
            </w:pPr>
          </w:p>
          <w:p w14:paraId="6B2EE262" w14:textId="77777777" w:rsidR="000E52B0" w:rsidRDefault="00F60D74">
            <w:pPr>
              <w:pStyle w:val="TableParagraph"/>
              <w:rPr>
                <w:rFonts w:ascii="Trebuchet MS"/>
                <w:sz w:val="18"/>
              </w:rPr>
            </w:pPr>
            <w:r>
              <w:rPr>
                <w:rFonts w:ascii="Trebuchet MS"/>
                <w:color w:val="404040"/>
                <w:spacing w:val="-5"/>
                <w:w w:val="115"/>
                <w:sz w:val="18"/>
              </w:rPr>
              <w:t>37%</w:t>
            </w:r>
          </w:p>
        </w:tc>
        <w:tc>
          <w:tcPr>
            <w:tcW w:w="1282" w:type="dxa"/>
          </w:tcPr>
          <w:p w14:paraId="00AFBE6B" w14:textId="77777777" w:rsidR="000E52B0" w:rsidRDefault="000E52B0">
            <w:pPr>
              <w:pStyle w:val="TableParagraph"/>
              <w:rPr>
                <w:rFonts w:ascii="Trebuchet MS"/>
                <w:sz w:val="18"/>
              </w:rPr>
            </w:pPr>
          </w:p>
          <w:p w14:paraId="7128C93D" w14:textId="77777777" w:rsidR="000E52B0" w:rsidRDefault="000E52B0">
            <w:pPr>
              <w:pStyle w:val="TableParagraph"/>
              <w:spacing w:before="124"/>
              <w:rPr>
                <w:rFonts w:ascii="Trebuchet MS"/>
                <w:sz w:val="18"/>
              </w:rPr>
            </w:pPr>
          </w:p>
          <w:p w14:paraId="44BD161B" w14:textId="77777777" w:rsidR="000E52B0" w:rsidRDefault="00F60D74">
            <w:pPr>
              <w:pStyle w:val="TableParagraph"/>
              <w:ind w:left="518"/>
              <w:rPr>
                <w:rFonts w:ascii="Trebuchet MS"/>
                <w:sz w:val="18"/>
              </w:rPr>
            </w:pPr>
            <w:r>
              <w:rPr>
                <w:rFonts w:ascii="Trebuchet MS"/>
                <w:color w:val="404040"/>
                <w:spacing w:val="-5"/>
                <w:w w:val="115"/>
                <w:sz w:val="18"/>
              </w:rPr>
              <w:t>35%</w:t>
            </w:r>
          </w:p>
          <w:p w14:paraId="2505F33C" w14:textId="77777777" w:rsidR="000E52B0" w:rsidRDefault="00F60D74">
            <w:pPr>
              <w:pStyle w:val="TableParagraph"/>
              <w:spacing w:before="120" w:line="200" w:lineRule="exact"/>
              <w:ind w:left="213"/>
              <w:rPr>
                <w:rFonts w:ascii="Trebuchet MS"/>
                <w:sz w:val="18"/>
              </w:rPr>
            </w:pPr>
            <w:r>
              <w:rPr>
                <w:rFonts w:ascii="Trebuchet MS"/>
                <w:color w:val="404040"/>
                <w:spacing w:val="-5"/>
                <w:w w:val="115"/>
                <w:sz w:val="18"/>
              </w:rPr>
              <w:t>21%</w:t>
            </w:r>
          </w:p>
        </w:tc>
        <w:tc>
          <w:tcPr>
            <w:tcW w:w="1070" w:type="dxa"/>
          </w:tcPr>
          <w:p w14:paraId="70510E13" w14:textId="77777777" w:rsidR="000E52B0" w:rsidRDefault="000E52B0">
            <w:pPr>
              <w:pStyle w:val="TableParagraph"/>
              <w:spacing w:before="61"/>
              <w:rPr>
                <w:rFonts w:ascii="Trebuchet MS"/>
                <w:sz w:val="18"/>
              </w:rPr>
            </w:pPr>
          </w:p>
          <w:p w14:paraId="7095E177" w14:textId="77777777" w:rsidR="000E52B0" w:rsidRDefault="00F60D74">
            <w:pPr>
              <w:pStyle w:val="TableParagraph"/>
              <w:ind w:left="306"/>
              <w:rPr>
                <w:rFonts w:ascii="Trebuchet MS"/>
                <w:sz w:val="18"/>
              </w:rPr>
            </w:pPr>
            <w:r>
              <w:rPr>
                <w:rFonts w:ascii="Trebuchet MS"/>
                <w:color w:val="404040"/>
                <w:spacing w:val="-5"/>
                <w:w w:val="115"/>
                <w:sz w:val="18"/>
              </w:rPr>
              <w:t>47%</w:t>
            </w:r>
          </w:p>
          <w:p w14:paraId="40F78818" w14:textId="77777777" w:rsidR="000E52B0" w:rsidRDefault="000E52B0">
            <w:pPr>
              <w:pStyle w:val="TableParagraph"/>
              <w:spacing w:before="19"/>
              <w:rPr>
                <w:rFonts w:ascii="Trebuchet MS"/>
                <w:sz w:val="18"/>
              </w:rPr>
            </w:pPr>
          </w:p>
          <w:p w14:paraId="732CCFEA" w14:textId="77777777" w:rsidR="000E52B0" w:rsidRDefault="00F60D74">
            <w:pPr>
              <w:pStyle w:val="TableParagraph"/>
              <w:ind w:left="2"/>
              <w:rPr>
                <w:rFonts w:ascii="Trebuchet MS"/>
                <w:sz w:val="18"/>
              </w:rPr>
            </w:pPr>
            <w:r>
              <w:rPr>
                <w:rFonts w:ascii="Trebuchet MS"/>
                <w:color w:val="404040"/>
                <w:spacing w:val="-5"/>
                <w:w w:val="115"/>
                <w:sz w:val="18"/>
              </w:rPr>
              <w:t>28%</w:t>
            </w:r>
          </w:p>
        </w:tc>
        <w:tc>
          <w:tcPr>
            <w:tcW w:w="1070" w:type="dxa"/>
          </w:tcPr>
          <w:p w14:paraId="193143FD" w14:textId="77777777" w:rsidR="000E52B0" w:rsidRDefault="000E52B0">
            <w:pPr>
              <w:pStyle w:val="TableParagraph"/>
              <w:rPr>
                <w:rFonts w:ascii="Trebuchet MS"/>
                <w:sz w:val="18"/>
              </w:rPr>
            </w:pPr>
          </w:p>
          <w:p w14:paraId="1209FDAE" w14:textId="77777777" w:rsidR="000E52B0" w:rsidRDefault="000E52B0">
            <w:pPr>
              <w:pStyle w:val="TableParagraph"/>
              <w:rPr>
                <w:rFonts w:ascii="Trebuchet MS"/>
                <w:sz w:val="18"/>
              </w:rPr>
            </w:pPr>
          </w:p>
          <w:p w14:paraId="2455BB9A" w14:textId="77777777" w:rsidR="000E52B0" w:rsidRDefault="000E52B0">
            <w:pPr>
              <w:pStyle w:val="TableParagraph"/>
              <w:spacing w:before="161"/>
              <w:rPr>
                <w:rFonts w:ascii="Trebuchet MS"/>
                <w:sz w:val="18"/>
              </w:rPr>
            </w:pPr>
          </w:p>
          <w:p w14:paraId="080AD00D" w14:textId="77777777" w:rsidR="000E52B0" w:rsidRDefault="00F60D74">
            <w:pPr>
              <w:pStyle w:val="TableParagraph"/>
              <w:spacing w:before="1"/>
              <w:ind w:left="307"/>
              <w:rPr>
                <w:rFonts w:ascii="Trebuchet MS"/>
                <w:sz w:val="18"/>
              </w:rPr>
            </w:pPr>
            <w:r>
              <w:rPr>
                <w:rFonts w:ascii="Trebuchet MS"/>
                <w:color w:val="404040"/>
                <w:spacing w:val="-5"/>
                <w:w w:val="115"/>
                <w:sz w:val="18"/>
              </w:rPr>
              <w:t>25%</w:t>
            </w:r>
          </w:p>
        </w:tc>
        <w:tc>
          <w:tcPr>
            <w:tcW w:w="882" w:type="dxa"/>
          </w:tcPr>
          <w:p w14:paraId="21DC32AE" w14:textId="77777777" w:rsidR="000E52B0" w:rsidRDefault="000E52B0">
            <w:pPr>
              <w:pStyle w:val="TableParagraph"/>
              <w:rPr>
                <w:rFonts w:ascii="Trebuchet MS"/>
                <w:sz w:val="18"/>
              </w:rPr>
            </w:pPr>
          </w:p>
          <w:p w14:paraId="1790FA48" w14:textId="77777777" w:rsidR="000E52B0" w:rsidRDefault="000E52B0">
            <w:pPr>
              <w:pStyle w:val="TableParagraph"/>
              <w:rPr>
                <w:rFonts w:ascii="Trebuchet MS"/>
                <w:sz w:val="18"/>
              </w:rPr>
            </w:pPr>
          </w:p>
          <w:p w14:paraId="2FDE510F" w14:textId="77777777" w:rsidR="000E52B0" w:rsidRDefault="000E52B0">
            <w:pPr>
              <w:pStyle w:val="TableParagraph"/>
              <w:spacing w:before="122"/>
              <w:rPr>
                <w:rFonts w:ascii="Trebuchet MS"/>
                <w:sz w:val="18"/>
              </w:rPr>
            </w:pPr>
          </w:p>
          <w:p w14:paraId="7ED86910" w14:textId="77777777" w:rsidR="000E52B0" w:rsidRDefault="00F60D74">
            <w:pPr>
              <w:pStyle w:val="TableParagraph"/>
              <w:ind w:left="307"/>
              <w:rPr>
                <w:rFonts w:ascii="Trebuchet MS"/>
                <w:sz w:val="18"/>
              </w:rPr>
            </w:pPr>
            <w:r>
              <w:rPr>
                <w:rFonts w:ascii="Trebuchet MS"/>
                <w:color w:val="404040"/>
                <w:spacing w:val="-5"/>
                <w:w w:val="115"/>
                <w:sz w:val="18"/>
              </w:rPr>
              <w:t>26%</w:t>
            </w:r>
          </w:p>
        </w:tc>
        <w:tc>
          <w:tcPr>
            <w:tcW w:w="1043" w:type="dxa"/>
            <w:gridSpan w:val="2"/>
          </w:tcPr>
          <w:p w14:paraId="4F4388FE" w14:textId="77777777" w:rsidR="000E52B0" w:rsidRDefault="000E52B0">
            <w:pPr>
              <w:pStyle w:val="TableParagraph"/>
              <w:rPr>
                <w:rFonts w:ascii="Times New Roman"/>
                <w:sz w:val="20"/>
              </w:rPr>
            </w:pPr>
          </w:p>
        </w:tc>
      </w:tr>
      <w:tr w:rsidR="000E52B0" w14:paraId="418F42BD" w14:textId="77777777">
        <w:trPr>
          <w:trHeight w:val="594"/>
        </w:trPr>
        <w:tc>
          <w:tcPr>
            <w:tcW w:w="1070" w:type="dxa"/>
          </w:tcPr>
          <w:p w14:paraId="1A0D7BF8" w14:textId="77777777" w:rsidR="000E52B0" w:rsidRDefault="000E52B0">
            <w:pPr>
              <w:pStyle w:val="TableParagraph"/>
              <w:rPr>
                <w:rFonts w:ascii="Times New Roman"/>
                <w:sz w:val="20"/>
              </w:rPr>
            </w:pPr>
          </w:p>
        </w:tc>
        <w:tc>
          <w:tcPr>
            <w:tcW w:w="1070" w:type="dxa"/>
          </w:tcPr>
          <w:p w14:paraId="12599D5B" w14:textId="77777777" w:rsidR="000E52B0" w:rsidRDefault="000E52B0">
            <w:pPr>
              <w:pStyle w:val="TableParagraph"/>
              <w:rPr>
                <w:rFonts w:ascii="Times New Roman"/>
                <w:sz w:val="20"/>
              </w:rPr>
            </w:pPr>
          </w:p>
        </w:tc>
        <w:tc>
          <w:tcPr>
            <w:tcW w:w="857" w:type="dxa"/>
          </w:tcPr>
          <w:p w14:paraId="12F671BF" w14:textId="77777777" w:rsidR="000E52B0" w:rsidRDefault="000E52B0">
            <w:pPr>
              <w:pStyle w:val="TableParagraph"/>
              <w:rPr>
                <w:rFonts w:ascii="Times New Roman"/>
                <w:sz w:val="20"/>
              </w:rPr>
            </w:pPr>
          </w:p>
        </w:tc>
        <w:tc>
          <w:tcPr>
            <w:tcW w:w="1282" w:type="dxa"/>
          </w:tcPr>
          <w:p w14:paraId="13765D05" w14:textId="77777777" w:rsidR="000E52B0" w:rsidRDefault="000E52B0">
            <w:pPr>
              <w:pStyle w:val="TableParagraph"/>
              <w:rPr>
                <w:rFonts w:ascii="Times New Roman"/>
                <w:sz w:val="20"/>
              </w:rPr>
            </w:pPr>
          </w:p>
        </w:tc>
        <w:tc>
          <w:tcPr>
            <w:tcW w:w="1070" w:type="dxa"/>
          </w:tcPr>
          <w:p w14:paraId="3EDB37DF" w14:textId="77777777" w:rsidR="000E52B0" w:rsidRDefault="000E52B0">
            <w:pPr>
              <w:pStyle w:val="TableParagraph"/>
              <w:rPr>
                <w:rFonts w:ascii="Times New Roman"/>
                <w:sz w:val="20"/>
              </w:rPr>
            </w:pPr>
          </w:p>
        </w:tc>
        <w:tc>
          <w:tcPr>
            <w:tcW w:w="1070" w:type="dxa"/>
          </w:tcPr>
          <w:p w14:paraId="7AFB428B" w14:textId="77777777" w:rsidR="000E52B0" w:rsidRDefault="00F60D74">
            <w:pPr>
              <w:pStyle w:val="TableParagraph"/>
              <w:spacing w:line="202" w:lineRule="exact"/>
              <w:ind w:left="2"/>
              <w:rPr>
                <w:rFonts w:ascii="Trebuchet MS"/>
                <w:sz w:val="18"/>
              </w:rPr>
            </w:pPr>
            <w:r>
              <w:rPr>
                <w:rFonts w:ascii="Trebuchet MS"/>
                <w:color w:val="404040"/>
                <w:spacing w:val="-5"/>
                <w:w w:val="115"/>
                <w:sz w:val="18"/>
              </w:rPr>
              <w:t>12%</w:t>
            </w:r>
          </w:p>
        </w:tc>
        <w:tc>
          <w:tcPr>
            <w:tcW w:w="882" w:type="dxa"/>
          </w:tcPr>
          <w:p w14:paraId="1434DB37" w14:textId="77777777" w:rsidR="000E52B0" w:rsidRDefault="00F60D74">
            <w:pPr>
              <w:pStyle w:val="TableParagraph"/>
              <w:spacing w:line="158" w:lineRule="exact"/>
              <w:ind w:left="2"/>
              <w:rPr>
                <w:rFonts w:ascii="Trebuchet MS"/>
                <w:sz w:val="18"/>
              </w:rPr>
            </w:pPr>
            <w:r>
              <w:rPr>
                <w:rFonts w:ascii="Trebuchet MS"/>
                <w:color w:val="404040"/>
                <w:spacing w:val="-5"/>
                <w:w w:val="115"/>
                <w:sz w:val="18"/>
              </w:rPr>
              <w:t>14%</w:t>
            </w:r>
          </w:p>
        </w:tc>
        <w:tc>
          <w:tcPr>
            <w:tcW w:w="493" w:type="dxa"/>
          </w:tcPr>
          <w:p w14:paraId="4ACA8540" w14:textId="77777777" w:rsidR="000E52B0" w:rsidRDefault="00F60D74">
            <w:pPr>
              <w:pStyle w:val="TableParagraph"/>
              <w:spacing w:before="162"/>
              <w:ind w:left="238"/>
              <w:rPr>
                <w:rFonts w:ascii="Trebuchet MS"/>
                <w:sz w:val="18"/>
              </w:rPr>
            </w:pPr>
            <w:r>
              <w:rPr>
                <w:rFonts w:ascii="Trebuchet MS"/>
                <w:color w:val="404040"/>
                <w:spacing w:val="-5"/>
                <w:w w:val="120"/>
                <w:sz w:val="18"/>
              </w:rPr>
              <w:t>5%</w:t>
            </w:r>
          </w:p>
        </w:tc>
        <w:tc>
          <w:tcPr>
            <w:tcW w:w="550" w:type="dxa"/>
          </w:tcPr>
          <w:p w14:paraId="5666D1E6" w14:textId="77777777" w:rsidR="000E52B0" w:rsidRDefault="00F60D74">
            <w:pPr>
              <w:pStyle w:val="TableParagraph"/>
              <w:spacing w:before="3"/>
              <w:ind w:left="2"/>
              <w:rPr>
                <w:rFonts w:ascii="Trebuchet MS"/>
                <w:sz w:val="18"/>
              </w:rPr>
            </w:pPr>
            <w:r>
              <w:rPr>
                <w:rFonts w:ascii="Trebuchet MS"/>
                <w:color w:val="404040"/>
                <w:spacing w:val="-5"/>
                <w:w w:val="115"/>
                <w:sz w:val="18"/>
              </w:rPr>
              <w:t>12%</w:t>
            </w:r>
          </w:p>
        </w:tc>
      </w:tr>
    </w:tbl>
    <w:p w14:paraId="300032DD" w14:textId="77777777" w:rsidR="000E52B0" w:rsidRDefault="000E52B0">
      <w:pPr>
        <w:pStyle w:val="TableParagraph"/>
        <w:rPr>
          <w:rFonts w:ascii="Trebuchet MS"/>
          <w:sz w:val="18"/>
        </w:rPr>
        <w:sectPr w:rsidR="000E52B0">
          <w:pgSz w:w="11910" w:h="16840"/>
          <w:pgMar w:top="1340" w:right="720" w:bottom="1180" w:left="720" w:header="0" w:footer="995" w:gutter="0"/>
          <w:cols w:space="720"/>
        </w:sectPr>
      </w:pPr>
    </w:p>
    <w:p w14:paraId="12AC18D6" w14:textId="77777777" w:rsidR="000E52B0" w:rsidRDefault="00F60D74">
      <w:pPr>
        <w:spacing w:before="90"/>
        <w:ind w:left="977"/>
        <w:rPr>
          <w:rFonts w:ascii="Trebuchet MS" w:hAnsi="Trebuchet MS"/>
          <w:sz w:val="14"/>
        </w:rPr>
      </w:pPr>
      <w:r>
        <w:rPr>
          <w:rFonts w:ascii="Trebuchet MS" w:hAnsi="Trebuchet MS"/>
          <w:noProof/>
          <w:sz w:val="14"/>
        </w:rPr>
        <mc:AlternateContent>
          <mc:Choice Requires="wpg">
            <w:drawing>
              <wp:anchor distT="0" distB="0" distL="0" distR="0" simplePos="0" relativeHeight="482288640" behindDoc="1" locked="0" layoutInCell="1" allowOverlap="1" wp14:anchorId="63A9CB06" wp14:editId="03DE99D9">
                <wp:simplePos x="0" y="0"/>
                <wp:positionH relativeFrom="page">
                  <wp:posOffset>1054100</wp:posOffset>
                </wp:positionH>
                <wp:positionV relativeFrom="paragraph">
                  <wp:posOffset>-874005</wp:posOffset>
                </wp:positionV>
                <wp:extent cx="5435600" cy="879475"/>
                <wp:effectExtent l="0" t="0" r="0" b="0"/>
                <wp:wrapNone/>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5600" cy="879475"/>
                          <a:chOff x="0" y="0"/>
                          <a:chExt cx="5435600" cy="879475"/>
                        </a:xfrm>
                      </wpg:grpSpPr>
                      <wps:wsp>
                        <wps:cNvPr id="462" name="Graphic 462"/>
                        <wps:cNvSpPr/>
                        <wps:spPr>
                          <a:xfrm>
                            <a:off x="166624" y="240791"/>
                            <a:ext cx="4909185" cy="633730"/>
                          </a:xfrm>
                          <a:custGeom>
                            <a:avLst/>
                            <a:gdLst/>
                            <a:ahLst/>
                            <a:cxnLst/>
                            <a:rect l="l" t="t" r="r" b="b"/>
                            <a:pathLst>
                              <a:path w="4909185" h="633730">
                                <a:moveTo>
                                  <a:pt x="152400" y="0"/>
                                </a:moveTo>
                                <a:lnTo>
                                  <a:pt x="0" y="0"/>
                                </a:lnTo>
                                <a:lnTo>
                                  <a:pt x="0" y="633476"/>
                                </a:lnTo>
                                <a:lnTo>
                                  <a:pt x="152400" y="633476"/>
                                </a:lnTo>
                                <a:lnTo>
                                  <a:pt x="152400" y="0"/>
                                </a:lnTo>
                                <a:close/>
                              </a:path>
                              <a:path w="4909185" h="633730">
                                <a:moveTo>
                                  <a:pt x="832104" y="137160"/>
                                </a:moveTo>
                                <a:lnTo>
                                  <a:pt x="679704" y="137160"/>
                                </a:lnTo>
                                <a:lnTo>
                                  <a:pt x="679704" y="633476"/>
                                </a:lnTo>
                                <a:lnTo>
                                  <a:pt x="832104" y="633476"/>
                                </a:lnTo>
                                <a:lnTo>
                                  <a:pt x="832104" y="137160"/>
                                </a:lnTo>
                                <a:close/>
                              </a:path>
                              <a:path w="4909185" h="633730">
                                <a:moveTo>
                                  <a:pt x="1511808" y="71628"/>
                                </a:moveTo>
                                <a:lnTo>
                                  <a:pt x="1359408" y="71628"/>
                                </a:lnTo>
                                <a:lnTo>
                                  <a:pt x="1359408" y="633476"/>
                                </a:lnTo>
                                <a:lnTo>
                                  <a:pt x="1511808" y="633476"/>
                                </a:lnTo>
                                <a:lnTo>
                                  <a:pt x="1511808" y="71628"/>
                                </a:lnTo>
                                <a:close/>
                              </a:path>
                              <a:path w="4909185" h="633730">
                                <a:moveTo>
                                  <a:pt x="2191512" y="312420"/>
                                </a:moveTo>
                                <a:lnTo>
                                  <a:pt x="2039112" y="312420"/>
                                </a:lnTo>
                                <a:lnTo>
                                  <a:pt x="2039112" y="633476"/>
                                </a:lnTo>
                                <a:lnTo>
                                  <a:pt x="2191512" y="633476"/>
                                </a:lnTo>
                                <a:lnTo>
                                  <a:pt x="2191512" y="312420"/>
                                </a:lnTo>
                                <a:close/>
                              </a:path>
                              <a:path w="4909185" h="633730">
                                <a:moveTo>
                                  <a:pt x="2869692" y="208788"/>
                                </a:moveTo>
                                <a:lnTo>
                                  <a:pt x="2717292" y="208788"/>
                                </a:lnTo>
                                <a:lnTo>
                                  <a:pt x="2717292" y="633476"/>
                                </a:lnTo>
                                <a:lnTo>
                                  <a:pt x="2869692" y="633476"/>
                                </a:lnTo>
                                <a:lnTo>
                                  <a:pt x="2869692" y="208788"/>
                                </a:lnTo>
                                <a:close/>
                              </a:path>
                              <a:path w="4909185" h="633730">
                                <a:moveTo>
                                  <a:pt x="3549396" y="448056"/>
                                </a:moveTo>
                                <a:lnTo>
                                  <a:pt x="3396996" y="448056"/>
                                </a:lnTo>
                                <a:lnTo>
                                  <a:pt x="3396996" y="633476"/>
                                </a:lnTo>
                                <a:lnTo>
                                  <a:pt x="3549396" y="633476"/>
                                </a:lnTo>
                                <a:lnTo>
                                  <a:pt x="3549396" y="448056"/>
                                </a:lnTo>
                                <a:close/>
                              </a:path>
                              <a:path w="4909185" h="633730">
                                <a:moveTo>
                                  <a:pt x="4229100" y="420624"/>
                                </a:moveTo>
                                <a:lnTo>
                                  <a:pt x="4076700" y="420624"/>
                                </a:lnTo>
                                <a:lnTo>
                                  <a:pt x="4076700" y="633476"/>
                                </a:lnTo>
                                <a:lnTo>
                                  <a:pt x="4229100" y="633476"/>
                                </a:lnTo>
                                <a:lnTo>
                                  <a:pt x="4229100" y="420624"/>
                                </a:lnTo>
                                <a:close/>
                              </a:path>
                              <a:path w="4909185" h="633730">
                                <a:moveTo>
                                  <a:pt x="4908804" y="554736"/>
                                </a:moveTo>
                                <a:lnTo>
                                  <a:pt x="4756404" y="554736"/>
                                </a:lnTo>
                                <a:lnTo>
                                  <a:pt x="4756404" y="633476"/>
                                </a:lnTo>
                                <a:lnTo>
                                  <a:pt x="4908804" y="633476"/>
                                </a:lnTo>
                                <a:lnTo>
                                  <a:pt x="4908804" y="554736"/>
                                </a:lnTo>
                                <a:close/>
                              </a:path>
                            </a:pathLst>
                          </a:custGeom>
                          <a:solidFill>
                            <a:srgbClr val="E22C91"/>
                          </a:solidFill>
                        </wps:spPr>
                        <wps:bodyPr wrap="square" lIns="0" tIns="0" rIns="0" bIns="0" rtlCol="0">
                          <a:prstTxWarp prst="textNoShape">
                            <a:avLst/>
                          </a:prstTxWarp>
                          <a:noAutofit/>
                        </wps:bodyPr>
                      </wps:wsp>
                      <wps:wsp>
                        <wps:cNvPr id="463" name="Graphic 463"/>
                        <wps:cNvSpPr/>
                        <wps:spPr>
                          <a:xfrm>
                            <a:off x="360172" y="0"/>
                            <a:ext cx="4909185" cy="874394"/>
                          </a:xfrm>
                          <a:custGeom>
                            <a:avLst/>
                            <a:gdLst/>
                            <a:ahLst/>
                            <a:cxnLst/>
                            <a:rect l="l" t="t" r="r" b="b"/>
                            <a:pathLst>
                              <a:path w="4909185" h="874394">
                                <a:moveTo>
                                  <a:pt x="152400" y="0"/>
                                </a:moveTo>
                                <a:lnTo>
                                  <a:pt x="0" y="0"/>
                                </a:lnTo>
                                <a:lnTo>
                                  <a:pt x="0" y="874268"/>
                                </a:lnTo>
                                <a:lnTo>
                                  <a:pt x="152400" y="874268"/>
                                </a:lnTo>
                                <a:lnTo>
                                  <a:pt x="152400" y="0"/>
                                </a:lnTo>
                                <a:close/>
                              </a:path>
                              <a:path w="4909185" h="874394">
                                <a:moveTo>
                                  <a:pt x="832104" y="140208"/>
                                </a:moveTo>
                                <a:lnTo>
                                  <a:pt x="679704" y="140208"/>
                                </a:lnTo>
                                <a:lnTo>
                                  <a:pt x="679704" y="874268"/>
                                </a:lnTo>
                                <a:lnTo>
                                  <a:pt x="832104" y="874268"/>
                                </a:lnTo>
                                <a:lnTo>
                                  <a:pt x="832104" y="140208"/>
                                </a:lnTo>
                                <a:close/>
                              </a:path>
                              <a:path w="4909185" h="874394">
                                <a:moveTo>
                                  <a:pt x="1511808" y="28956"/>
                                </a:moveTo>
                                <a:lnTo>
                                  <a:pt x="1359408" y="28956"/>
                                </a:lnTo>
                                <a:lnTo>
                                  <a:pt x="1359408" y="874268"/>
                                </a:lnTo>
                                <a:lnTo>
                                  <a:pt x="1511808" y="874268"/>
                                </a:lnTo>
                                <a:lnTo>
                                  <a:pt x="1511808" y="28956"/>
                                </a:lnTo>
                                <a:close/>
                              </a:path>
                              <a:path w="4909185" h="874394">
                                <a:moveTo>
                                  <a:pt x="2191512" y="344424"/>
                                </a:moveTo>
                                <a:lnTo>
                                  <a:pt x="2039112" y="344424"/>
                                </a:lnTo>
                                <a:lnTo>
                                  <a:pt x="2039112" y="874268"/>
                                </a:lnTo>
                                <a:lnTo>
                                  <a:pt x="2191512" y="874268"/>
                                </a:lnTo>
                                <a:lnTo>
                                  <a:pt x="2191512" y="344424"/>
                                </a:lnTo>
                                <a:close/>
                              </a:path>
                              <a:path w="4909185" h="874394">
                                <a:moveTo>
                                  <a:pt x="2869692" y="172212"/>
                                </a:moveTo>
                                <a:lnTo>
                                  <a:pt x="2717292" y="172212"/>
                                </a:lnTo>
                                <a:lnTo>
                                  <a:pt x="2717292" y="874268"/>
                                </a:lnTo>
                                <a:lnTo>
                                  <a:pt x="2869692" y="874268"/>
                                </a:lnTo>
                                <a:lnTo>
                                  <a:pt x="2869692" y="172212"/>
                                </a:lnTo>
                                <a:close/>
                              </a:path>
                              <a:path w="4909185" h="874394">
                                <a:moveTo>
                                  <a:pt x="3549396" y="501396"/>
                                </a:moveTo>
                                <a:lnTo>
                                  <a:pt x="3396996" y="501396"/>
                                </a:lnTo>
                                <a:lnTo>
                                  <a:pt x="3396996" y="874268"/>
                                </a:lnTo>
                                <a:lnTo>
                                  <a:pt x="3549396" y="874268"/>
                                </a:lnTo>
                                <a:lnTo>
                                  <a:pt x="3549396" y="501396"/>
                                </a:lnTo>
                                <a:close/>
                              </a:path>
                              <a:path w="4909185" h="874394">
                                <a:moveTo>
                                  <a:pt x="4229100" y="477012"/>
                                </a:moveTo>
                                <a:lnTo>
                                  <a:pt x="4076700" y="477012"/>
                                </a:lnTo>
                                <a:lnTo>
                                  <a:pt x="4076700" y="874268"/>
                                </a:lnTo>
                                <a:lnTo>
                                  <a:pt x="4229100" y="874268"/>
                                </a:lnTo>
                                <a:lnTo>
                                  <a:pt x="4229100" y="477012"/>
                                </a:lnTo>
                                <a:close/>
                              </a:path>
                              <a:path w="4909185" h="874394">
                                <a:moveTo>
                                  <a:pt x="4908804" y="694944"/>
                                </a:moveTo>
                                <a:lnTo>
                                  <a:pt x="4756404" y="694944"/>
                                </a:lnTo>
                                <a:lnTo>
                                  <a:pt x="4756404" y="874268"/>
                                </a:lnTo>
                                <a:lnTo>
                                  <a:pt x="4908804" y="874268"/>
                                </a:lnTo>
                                <a:lnTo>
                                  <a:pt x="4908804" y="694944"/>
                                </a:lnTo>
                                <a:close/>
                              </a:path>
                            </a:pathLst>
                          </a:custGeom>
                          <a:solidFill>
                            <a:srgbClr val="FFC000"/>
                          </a:solidFill>
                        </wps:spPr>
                        <wps:bodyPr wrap="square" lIns="0" tIns="0" rIns="0" bIns="0" rtlCol="0">
                          <a:prstTxWarp prst="textNoShape">
                            <a:avLst/>
                          </a:prstTxWarp>
                          <a:noAutofit/>
                        </wps:bodyPr>
                      </wps:wsp>
                      <wps:wsp>
                        <wps:cNvPr id="464" name="Graphic 464"/>
                        <wps:cNvSpPr/>
                        <wps:spPr>
                          <a:xfrm>
                            <a:off x="0" y="874267"/>
                            <a:ext cx="5435600" cy="1270"/>
                          </a:xfrm>
                          <a:custGeom>
                            <a:avLst/>
                            <a:gdLst/>
                            <a:ahLst/>
                            <a:cxnLst/>
                            <a:rect l="l" t="t" r="r" b="b"/>
                            <a:pathLst>
                              <a:path w="5435600">
                                <a:moveTo>
                                  <a:pt x="0" y="0"/>
                                </a:moveTo>
                                <a:lnTo>
                                  <a:pt x="5435600"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740A63AF" id="Group 461" o:spid="_x0000_s1026" style="position:absolute;margin-left:83pt;margin-top:-68.8pt;width:428pt;height:69.25pt;z-index:-21027840;mso-wrap-distance-left:0;mso-wrap-distance-right:0;mso-position-horizontal-relative:page" coordsize="54356,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">
                <v:shape id="Graphic 462" o:spid="_x0000_s1027" style="position:absolute;left:1666;top:2407;width:49092;height:6338;visibility:visible;mso-wrap-style:square;v-text-anchor:top" coordsize="4909185,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" path="m152400,l,,,633476r152400,l152400,xem832104,137160r-152400,l679704,633476r152400,l832104,137160xem1511808,71628r-152400,l1359408,633476r152400,l1511808,71628xem2191512,312420r-152400,l2039112,633476r152400,l2191512,312420xem2869692,208788r-152400,l2717292,633476r152400,l2869692,208788xem3549396,448056r-152400,l3396996,633476r152400,l3549396,448056xem4229100,420624r-152400,l4076700,633476r152400,l4229100,420624xem4908804,554736r-152400,l4756404,633476r152400,l4908804,554736xe" fillcolor="#e22c91" stroked="f">
                  <v:path arrowok="t"/>
                </v:shape>
                <v:shape id="Graphic 463" o:spid="_x0000_s1028" style="position:absolute;left:3601;width:49092;height:8743;visibility:visible;mso-wrap-style:square;v-text-anchor:top" coordsize="4909185,8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" path="m152400,l,,,874268r152400,l152400,xem832104,140208r-152400,l679704,874268r152400,l832104,140208xem1511808,28956r-152400,l1359408,874268r152400,l1511808,28956xem2191512,344424r-152400,l2039112,874268r152400,l2191512,344424xem2869692,172212r-152400,l2717292,874268r152400,l2869692,172212xem3549396,501396r-152400,l3396996,874268r152400,l3549396,501396xem4229100,477012r-152400,l4076700,874268r152400,l4229100,477012xem4908804,694944r-152400,l4756404,874268r152400,l4908804,694944xe" fillcolor="#ffc000" stroked="f">
                  <v:path arrowok="t"/>
                </v:shape>
                <v:shape id="Graphic 464" o:spid="_x0000_s1029" style="position:absolute;top:8742;width:54356;height:13;visibility:visible;mso-wrap-style:square;v-text-anchor:top" coordsize="543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" path="m,l5435600,e" filled="f" strokecolor="#d9d9d9">
                  <v:path arrowok="t"/>
                </v:shape>
                <w10:wrap anchorx="page"/>
              </v:group>
            </w:pict>
          </mc:Fallback>
        </mc:AlternateContent>
      </w:r>
      <w:r>
        <w:rPr>
          <w:rFonts w:ascii="Trebuchet MS" w:hAnsi="Trebuchet MS"/>
          <w:color w:val="585858"/>
          <w:sz w:val="14"/>
        </w:rPr>
        <w:t>Se</w:t>
      </w:r>
      <w:r>
        <w:rPr>
          <w:rFonts w:ascii="Trebuchet MS" w:hAnsi="Trebuchet MS"/>
          <w:color w:val="585858"/>
          <w:spacing w:val="-13"/>
          <w:sz w:val="14"/>
        </w:rPr>
        <w:t xml:space="preserve"> </w:t>
      </w:r>
      <w:r>
        <w:rPr>
          <w:rFonts w:ascii="Trebuchet MS" w:hAnsi="Trebuchet MS"/>
          <w:color w:val="585858"/>
          <w:sz w:val="14"/>
        </w:rPr>
        <w:t>preocupó</w:t>
      </w:r>
      <w:r>
        <w:rPr>
          <w:rFonts w:ascii="Trebuchet MS" w:hAnsi="Trebuchet MS"/>
          <w:color w:val="585858"/>
          <w:spacing w:val="-13"/>
          <w:sz w:val="14"/>
        </w:rPr>
        <w:t xml:space="preserve"> </w:t>
      </w:r>
      <w:r>
        <w:rPr>
          <w:rFonts w:ascii="Trebuchet MS" w:hAnsi="Trebuchet MS"/>
          <w:color w:val="585858"/>
          <w:sz w:val="14"/>
        </w:rPr>
        <w:t>por</w:t>
      </w:r>
      <w:r>
        <w:rPr>
          <w:rFonts w:ascii="Trebuchet MS" w:hAnsi="Trebuchet MS"/>
          <w:color w:val="585858"/>
          <w:spacing w:val="51"/>
          <w:sz w:val="14"/>
        </w:rPr>
        <w:t xml:space="preserve"> </w:t>
      </w:r>
      <w:r>
        <w:rPr>
          <w:rFonts w:ascii="Trebuchet MS" w:hAnsi="Trebuchet MS"/>
          <w:color w:val="585858"/>
          <w:sz w:val="14"/>
        </w:rPr>
        <w:t>No</w:t>
      </w:r>
      <w:r>
        <w:rPr>
          <w:rFonts w:ascii="Trebuchet MS" w:hAnsi="Trebuchet MS"/>
          <w:color w:val="585858"/>
          <w:spacing w:val="-13"/>
          <w:sz w:val="14"/>
        </w:rPr>
        <w:t xml:space="preserve"> </w:t>
      </w:r>
      <w:r>
        <w:rPr>
          <w:rFonts w:ascii="Trebuchet MS" w:hAnsi="Trebuchet MS"/>
          <w:color w:val="585858"/>
          <w:sz w:val="14"/>
        </w:rPr>
        <w:t>pudo</w:t>
      </w:r>
      <w:r>
        <w:rPr>
          <w:rFonts w:ascii="Trebuchet MS" w:hAnsi="Trebuchet MS"/>
          <w:color w:val="585858"/>
          <w:spacing w:val="-13"/>
          <w:sz w:val="14"/>
        </w:rPr>
        <w:t xml:space="preserve"> </w:t>
      </w:r>
      <w:r>
        <w:rPr>
          <w:rFonts w:ascii="Trebuchet MS" w:hAnsi="Trebuchet MS"/>
          <w:color w:val="585858"/>
          <w:spacing w:val="-4"/>
          <w:sz w:val="14"/>
        </w:rPr>
        <w:t>comer</w:t>
      </w:r>
    </w:p>
    <w:p w14:paraId="6F418755" w14:textId="77777777" w:rsidR="000E52B0" w:rsidRDefault="00F60D74">
      <w:pPr>
        <w:spacing w:before="90"/>
        <w:ind w:left="84"/>
        <w:rPr>
          <w:rFonts w:ascii="Trebuchet MS" w:hAnsi="Trebuchet MS"/>
          <w:sz w:val="14"/>
        </w:rPr>
      </w:pPr>
      <w:r>
        <w:br w:type="column"/>
      </w:r>
      <w:r>
        <w:rPr>
          <w:rFonts w:ascii="Trebuchet MS" w:hAnsi="Trebuchet MS"/>
          <w:color w:val="585858"/>
          <w:sz w:val="14"/>
        </w:rPr>
        <w:t>Consumió</w:t>
      </w:r>
      <w:r>
        <w:rPr>
          <w:rFonts w:ascii="Trebuchet MS" w:hAnsi="Trebuchet MS"/>
          <w:color w:val="585858"/>
          <w:spacing w:val="6"/>
          <w:sz w:val="14"/>
        </w:rPr>
        <w:t xml:space="preserve"> </w:t>
      </w:r>
      <w:r>
        <w:rPr>
          <w:rFonts w:ascii="Trebuchet MS" w:hAnsi="Trebuchet MS"/>
          <w:color w:val="585858"/>
          <w:spacing w:val="-4"/>
          <w:sz w:val="14"/>
        </w:rPr>
        <w:t>poca</w:t>
      </w:r>
    </w:p>
    <w:p w14:paraId="3FF1AD8F" w14:textId="77777777" w:rsidR="000E52B0" w:rsidRDefault="00F60D74">
      <w:pPr>
        <w:spacing w:before="90"/>
        <w:ind w:left="105"/>
        <w:rPr>
          <w:rFonts w:ascii="Trebuchet MS" w:hAnsi="Trebuchet MS"/>
          <w:sz w:val="14"/>
        </w:rPr>
      </w:pPr>
      <w:r>
        <w:br w:type="column"/>
      </w:r>
      <w:r>
        <w:rPr>
          <w:rFonts w:ascii="Trebuchet MS" w:hAnsi="Trebuchet MS"/>
          <w:color w:val="585858"/>
          <w:sz w:val="14"/>
        </w:rPr>
        <w:t>Tuvo</w:t>
      </w:r>
      <w:r>
        <w:rPr>
          <w:rFonts w:ascii="Trebuchet MS" w:hAnsi="Trebuchet MS"/>
          <w:color w:val="585858"/>
          <w:spacing w:val="-14"/>
          <w:sz w:val="14"/>
        </w:rPr>
        <w:t xml:space="preserve"> </w:t>
      </w:r>
      <w:r>
        <w:rPr>
          <w:rFonts w:ascii="Trebuchet MS" w:hAnsi="Trebuchet MS"/>
          <w:color w:val="585858"/>
          <w:sz w:val="14"/>
        </w:rPr>
        <w:t>que</w:t>
      </w:r>
      <w:r>
        <w:rPr>
          <w:rFonts w:ascii="Trebuchet MS" w:hAnsi="Trebuchet MS"/>
          <w:color w:val="585858"/>
          <w:spacing w:val="-13"/>
          <w:sz w:val="14"/>
        </w:rPr>
        <w:t xml:space="preserve"> </w:t>
      </w:r>
      <w:r>
        <w:rPr>
          <w:rFonts w:ascii="Trebuchet MS" w:hAnsi="Trebuchet MS"/>
          <w:color w:val="585858"/>
          <w:sz w:val="14"/>
        </w:rPr>
        <w:t>saltar</w:t>
      </w:r>
      <w:r>
        <w:rPr>
          <w:rFonts w:ascii="Trebuchet MS" w:hAnsi="Trebuchet MS"/>
          <w:color w:val="585858"/>
          <w:spacing w:val="41"/>
          <w:sz w:val="14"/>
        </w:rPr>
        <w:t xml:space="preserve"> </w:t>
      </w:r>
      <w:r>
        <w:rPr>
          <w:rFonts w:ascii="Trebuchet MS" w:hAnsi="Trebuchet MS"/>
          <w:color w:val="585858"/>
          <w:sz w:val="14"/>
        </w:rPr>
        <w:t>Comió</w:t>
      </w:r>
      <w:r>
        <w:rPr>
          <w:rFonts w:ascii="Trebuchet MS" w:hAnsi="Trebuchet MS"/>
          <w:color w:val="585858"/>
          <w:spacing w:val="-14"/>
          <w:sz w:val="14"/>
        </w:rPr>
        <w:t xml:space="preserve"> </w:t>
      </w:r>
      <w:r>
        <w:rPr>
          <w:rFonts w:ascii="Trebuchet MS" w:hAnsi="Trebuchet MS"/>
          <w:color w:val="585858"/>
          <w:sz w:val="14"/>
        </w:rPr>
        <w:t>menos</w:t>
      </w:r>
      <w:r>
        <w:rPr>
          <w:rFonts w:ascii="Trebuchet MS" w:hAnsi="Trebuchet MS"/>
          <w:color w:val="585858"/>
          <w:spacing w:val="-14"/>
          <w:sz w:val="14"/>
        </w:rPr>
        <w:t xml:space="preserve"> </w:t>
      </w:r>
      <w:r>
        <w:rPr>
          <w:rFonts w:ascii="Trebuchet MS" w:hAnsi="Trebuchet MS"/>
          <w:color w:val="585858"/>
          <w:spacing w:val="-5"/>
          <w:sz w:val="14"/>
        </w:rPr>
        <w:t>de</w:t>
      </w:r>
    </w:p>
    <w:p w14:paraId="359C0D28" w14:textId="77777777" w:rsidR="000E52B0" w:rsidRDefault="00F60D74">
      <w:pPr>
        <w:spacing w:before="90"/>
        <w:ind w:left="174"/>
        <w:rPr>
          <w:rFonts w:ascii="Trebuchet MS"/>
          <w:sz w:val="14"/>
        </w:rPr>
      </w:pPr>
      <w:r>
        <w:br w:type="column"/>
      </w:r>
      <w:r>
        <w:rPr>
          <w:rFonts w:ascii="Trebuchet MS"/>
          <w:color w:val="585858"/>
          <w:spacing w:val="-4"/>
          <w:sz w:val="14"/>
        </w:rPr>
        <w:t>El</w:t>
      </w:r>
      <w:r>
        <w:rPr>
          <w:rFonts w:ascii="Trebuchet MS"/>
          <w:color w:val="585858"/>
          <w:spacing w:val="-8"/>
          <w:sz w:val="14"/>
        </w:rPr>
        <w:t xml:space="preserve"> </w:t>
      </w:r>
      <w:r>
        <w:rPr>
          <w:rFonts w:ascii="Trebuchet MS"/>
          <w:color w:val="585858"/>
          <w:spacing w:val="-4"/>
          <w:sz w:val="14"/>
        </w:rPr>
        <w:t>hogar</w:t>
      </w:r>
      <w:r>
        <w:rPr>
          <w:rFonts w:ascii="Trebuchet MS"/>
          <w:color w:val="585858"/>
          <w:spacing w:val="-10"/>
          <w:sz w:val="14"/>
        </w:rPr>
        <w:t xml:space="preserve"> </w:t>
      </w:r>
      <w:r>
        <w:rPr>
          <w:rFonts w:ascii="Trebuchet MS"/>
          <w:color w:val="585858"/>
          <w:spacing w:val="-5"/>
          <w:sz w:val="14"/>
        </w:rPr>
        <w:t>se</w:t>
      </w:r>
    </w:p>
    <w:p w14:paraId="3EB198F0" w14:textId="77777777" w:rsidR="000E52B0" w:rsidRDefault="00F60D74">
      <w:pPr>
        <w:spacing w:before="90"/>
        <w:ind w:left="309"/>
        <w:rPr>
          <w:rFonts w:ascii="Trebuchet MS"/>
          <w:sz w:val="14"/>
        </w:rPr>
      </w:pPr>
      <w:r>
        <w:br w:type="column"/>
      </w:r>
      <w:r>
        <w:rPr>
          <w:rFonts w:ascii="Trebuchet MS"/>
          <w:color w:val="585858"/>
          <w:w w:val="90"/>
          <w:sz w:val="14"/>
        </w:rPr>
        <w:t>Tuvo</w:t>
      </w:r>
      <w:r>
        <w:rPr>
          <w:rFonts w:ascii="Trebuchet MS"/>
          <w:color w:val="585858"/>
          <w:spacing w:val="-4"/>
          <w:sz w:val="14"/>
        </w:rPr>
        <w:t xml:space="preserve"> </w:t>
      </w:r>
      <w:r>
        <w:rPr>
          <w:rFonts w:ascii="Trebuchet MS"/>
          <w:color w:val="585858"/>
          <w:spacing w:val="-2"/>
          <w:sz w:val="14"/>
        </w:rPr>
        <w:t>hambre</w:t>
      </w:r>
    </w:p>
    <w:p w14:paraId="3E450E1F" w14:textId="77777777" w:rsidR="000E52B0" w:rsidRDefault="00F60D74">
      <w:pPr>
        <w:spacing w:before="90"/>
        <w:ind w:left="179"/>
        <w:rPr>
          <w:rFonts w:ascii="Trebuchet MS" w:hAnsi="Trebuchet MS"/>
          <w:sz w:val="14"/>
        </w:rPr>
      </w:pPr>
      <w:r>
        <w:br w:type="column"/>
      </w:r>
      <w:r>
        <w:rPr>
          <w:rFonts w:ascii="Trebuchet MS" w:hAnsi="Trebuchet MS"/>
          <w:color w:val="585858"/>
          <w:sz w:val="14"/>
        </w:rPr>
        <w:t>No</w:t>
      </w:r>
      <w:r>
        <w:rPr>
          <w:rFonts w:ascii="Trebuchet MS" w:hAnsi="Trebuchet MS"/>
          <w:color w:val="585858"/>
          <w:spacing w:val="-12"/>
          <w:sz w:val="14"/>
        </w:rPr>
        <w:t xml:space="preserve"> </w:t>
      </w:r>
      <w:r>
        <w:rPr>
          <w:rFonts w:ascii="Trebuchet MS" w:hAnsi="Trebuchet MS"/>
          <w:color w:val="585858"/>
          <w:sz w:val="14"/>
        </w:rPr>
        <w:t>comió</w:t>
      </w:r>
      <w:r>
        <w:rPr>
          <w:rFonts w:ascii="Trebuchet MS" w:hAnsi="Trebuchet MS"/>
          <w:color w:val="585858"/>
          <w:spacing w:val="-11"/>
          <w:sz w:val="14"/>
        </w:rPr>
        <w:t xml:space="preserve"> </w:t>
      </w:r>
      <w:r>
        <w:rPr>
          <w:rFonts w:ascii="Trebuchet MS" w:hAnsi="Trebuchet MS"/>
          <w:color w:val="585858"/>
          <w:sz w:val="14"/>
        </w:rPr>
        <w:t>en</w:t>
      </w:r>
      <w:r>
        <w:rPr>
          <w:rFonts w:ascii="Trebuchet MS" w:hAnsi="Trebuchet MS"/>
          <w:color w:val="585858"/>
          <w:spacing w:val="-11"/>
          <w:sz w:val="14"/>
        </w:rPr>
        <w:t xml:space="preserve"> </w:t>
      </w:r>
      <w:r>
        <w:rPr>
          <w:rFonts w:ascii="Trebuchet MS" w:hAnsi="Trebuchet MS"/>
          <w:color w:val="585858"/>
          <w:spacing w:val="-5"/>
          <w:sz w:val="14"/>
        </w:rPr>
        <w:t>un</w:t>
      </w:r>
    </w:p>
    <w:p w14:paraId="7A3B9A6B" w14:textId="77777777" w:rsidR="000E52B0" w:rsidRDefault="000E52B0">
      <w:pPr>
        <w:rPr>
          <w:rFonts w:ascii="Trebuchet MS" w:hAnsi="Trebuchet MS"/>
          <w:sz w:val="14"/>
        </w:rPr>
        <w:sectPr w:rsidR="000E52B0">
          <w:type w:val="continuous"/>
          <w:pgSz w:w="11910" w:h="16840"/>
          <w:pgMar w:top="1340" w:right="720" w:bottom="1280" w:left="720" w:header="0" w:footer="995" w:gutter="0"/>
          <w:cols w:num="6" w:space="720" w:equalWidth="0">
            <w:col w:w="2998" w:space="40"/>
            <w:col w:w="1044" w:space="39"/>
            <w:col w:w="2149" w:space="40"/>
            <w:col w:w="831" w:space="39"/>
            <w:col w:w="1093" w:space="40"/>
            <w:col w:w="2157"/>
          </w:cols>
        </w:sectPr>
      </w:pPr>
    </w:p>
    <w:p w14:paraId="5B9FEEEF" w14:textId="77777777" w:rsidR="000E52B0" w:rsidRDefault="00F60D74">
      <w:pPr>
        <w:spacing w:before="8" w:line="252" w:lineRule="auto"/>
        <w:ind w:left="1021" w:firstLine="2"/>
        <w:jc w:val="center"/>
        <w:rPr>
          <w:rFonts w:ascii="Trebuchet MS"/>
          <w:sz w:val="14"/>
        </w:rPr>
      </w:pPr>
      <w:r>
        <w:rPr>
          <w:rFonts w:ascii="Trebuchet MS"/>
          <w:color w:val="585858"/>
          <w:sz w:val="14"/>
        </w:rPr>
        <w:t>no</w:t>
      </w:r>
      <w:r>
        <w:rPr>
          <w:rFonts w:ascii="Trebuchet MS"/>
          <w:color w:val="585858"/>
          <w:spacing w:val="-16"/>
          <w:sz w:val="14"/>
        </w:rPr>
        <w:t xml:space="preserve"> </w:t>
      </w:r>
      <w:r>
        <w:rPr>
          <w:rFonts w:ascii="Trebuchet MS"/>
          <w:color w:val="585858"/>
          <w:sz w:val="14"/>
        </w:rPr>
        <w:t xml:space="preserve">tener </w:t>
      </w:r>
      <w:r>
        <w:rPr>
          <w:rFonts w:ascii="Trebuchet MS"/>
          <w:color w:val="585858"/>
          <w:spacing w:val="-2"/>
          <w:sz w:val="14"/>
        </w:rPr>
        <w:t>suficientes</w:t>
      </w:r>
      <w:r>
        <w:rPr>
          <w:rFonts w:ascii="Trebuchet MS"/>
          <w:color w:val="585858"/>
          <w:sz w:val="14"/>
        </w:rPr>
        <w:t xml:space="preserve"> </w:t>
      </w:r>
      <w:r>
        <w:rPr>
          <w:rFonts w:ascii="Trebuchet MS"/>
          <w:color w:val="585858"/>
          <w:spacing w:val="-2"/>
          <w:sz w:val="14"/>
        </w:rPr>
        <w:t>alimentos</w:t>
      </w:r>
      <w:r>
        <w:rPr>
          <w:rFonts w:ascii="Trebuchet MS"/>
          <w:color w:val="585858"/>
          <w:spacing w:val="-15"/>
          <w:sz w:val="14"/>
        </w:rPr>
        <w:t xml:space="preserve"> </w:t>
      </w:r>
      <w:r>
        <w:rPr>
          <w:rFonts w:ascii="Trebuchet MS"/>
          <w:color w:val="585858"/>
          <w:spacing w:val="-2"/>
          <w:sz w:val="14"/>
        </w:rPr>
        <w:t>para</w:t>
      </w:r>
      <w:r>
        <w:rPr>
          <w:rFonts w:ascii="Trebuchet MS"/>
          <w:color w:val="585858"/>
          <w:sz w:val="14"/>
        </w:rPr>
        <w:t xml:space="preserve"> </w:t>
      </w:r>
      <w:r>
        <w:rPr>
          <w:rFonts w:ascii="Trebuchet MS"/>
          <w:color w:val="585858"/>
          <w:spacing w:val="-2"/>
          <w:sz w:val="14"/>
        </w:rPr>
        <w:t>comer</w:t>
      </w:r>
    </w:p>
    <w:p w14:paraId="219E2E9A" w14:textId="77777777" w:rsidR="000E52B0" w:rsidRDefault="00F60D74">
      <w:pPr>
        <w:spacing w:before="8" w:line="252" w:lineRule="auto"/>
        <w:ind w:left="185" w:firstLine="1"/>
        <w:jc w:val="center"/>
        <w:rPr>
          <w:rFonts w:ascii="Trebuchet MS"/>
          <w:sz w:val="14"/>
        </w:rPr>
      </w:pPr>
      <w:r>
        <w:br w:type="column"/>
      </w:r>
      <w:r>
        <w:rPr>
          <w:rFonts w:ascii="Trebuchet MS"/>
          <w:color w:val="585858"/>
          <w:spacing w:val="-2"/>
          <w:sz w:val="14"/>
        </w:rPr>
        <w:t>alimentos</w:t>
      </w:r>
      <w:r>
        <w:rPr>
          <w:rFonts w:ascii="Trebuchet MS"/>
          <w:color w:val="585858"/>
          <w:sz w:val="14"/>
        </w:rPr>
        <w:t xml:space="preserve"> </w:t>
      </w:r>
      <w:r>
        <w:rPr>
          <w:rFonts w:ascii="Trebuchet MS"/>
          <w:color w:val="585858"/>
          <w:spacing w:val="-2"/>
          <w:sz w:val="14"/>
        </w:rPr>
        <w:t>saludables</w:t>
      </w:r>
      <w:r>
        <w:rPr>
          <w:rFonts w:ascii="Trebuchet MS"/>
          <w:color w:val="585858"/>
          <w:spacing w:val="-12"/>
          <w:sz w:val="14"/>
        </w:rPr>
        <w:t xml:space="preserve"> </w:t>
      </w:r>
      <w:r>
        <w:rPr>
          <w:rFonts w:ascii="Trebuchet MS"/>
          <w:color w:val="585858"/>
          <w:spacing w:val="-2"/>
          <w:sz w:val="14"/>
        </w:rPr>
        <w:t>y</w:t>
      </w:r>
      <w:r>
        <w:rPr>
          <w:rFonts w:ascii="Trebuchet MS"/>
          <w:color w:val="585858"/>
          <w:sz w:val="14"/>
        </w:rPr>
        <w:t xml:space="preserve"> </w:t>
      </w:r>
      <w:r>
        <w:rPr>
          <w:rFonts w:ascii="Trebuchet MS"/>
          <w:color w:val="585858"/>
          <w:spacing w:val="-2"/>
          <w:sz w:val="14"/>
        </w:rPr>
        <w:t>nutritivos</w:t>
      </w:r>
    </w:p>
    <w:p w14:paraId="4C6E9360" w14:textId="77777777" w:rsidR="000E52B0" w:rsidRDefault="00F60D74">
      <w:pPr>
        <w:spacing w:before="8" w:line="252" w:lineRule="auto"/>
        <w:ind w:left="348" w:hanging="50"/>
        <w:rPr>
          <w:rFonts w:ascii="Trebuchet MS"/>
          <w:sz w:val="14"/>
        </w:rPr>
      </w:pPr>
      <w:r>
        <w:br w:type="column"/>
      </w:r>
      <w:r>
        <w:rPr>
          <w:rFonts w:ascii="Trebuchet MS"/>
          <w:color w:val="585858"/>
          <w:spacing w:val="-4"/>
          <w:sz w:val="14"/>
        </w:rPr>
        <w:t>variedad</w:t>
      </w:r>
      <w:r>
        <w:rPr>
          <w:rFonts w:ascii="Trebuchet MS"/>
          <w:color w:val="585858"/>
          <w:spacing w:val="-13"/>
          <w:sz w:val="14"/>
        </w:rPr>
        <w:t xml:space="preserve"> </w:t>
      </w:r>
      <w:r>
        <w:rPr>
          <w:rFonts w:ascii="Trebuchet MS"/>
          <w:color w:val="585858"/>
          <w:spacing w:val="-4"/>
          <w:sz w:val="14"/>
        </w:rPr>
        <w:t>de</w:t>
      </w:r>
      <w:r>
        <w:rPr>
          <w:rFonts w:ascii="Trebuchet MS"/>
          <w:color w:val="585858"/>
          <w:sz w:val="14"/>
        </w:rPr>
        <w:t xml:space="preserve"> </w:t>
      </w:r>
      <w:r>
        <w:rPr>
          <w:rFonts w:ascii="Trebuchet MS"/>
          <w:color w:val="585858"/>
          <w:spacing w:val="-2"/>
          <w:sz w:val="14"/>
        </w:rPr>
        <w:t>alimentos</w:t>
      </w:r>
    </w:p>
    <w:p w14:paraId="4918A403" w14:textId="77777777" w:rsidR="000E52B0" w:rsidRDefault="00F60D74">
      <w:pPr>
        <w:spacing w:before="8" w:line="252" w:lineRule="auto"/>
        <w:ind w:left="228" w:hanging="1"/>
        <w:jc w:val="center"/>
        <w:rPr>
          <w:rFonts w:ascii="Trebuchet MS"/>
          <w:sz w:val="14"/>
        </w:rPr>
      </w:pPr>
      <w:r>
        <w:br w:type="column"/>
      </w:r>
      <w:r>
        <w:rPr>
          <w:rFonts w:ascii="Trebuchet MS"/>
          <w:color w:val="585858"/>
          <w:sz w:val="14"/>
        </w:rPr>
        <w:t>una</w:t>
      </w:r>
      <w:r>
        <w:rPr>
          <w:rFonts w:ascii="Trebuchet MS"/>
          <w:color w:val="585858"/>
          <w:spacing w:val="-14"/>
          <w:sz w:val="14"/>
        </w:rPr>
        <w:t xml:space="preserve"> </w:t>
      </w:r>
      <w:r>
        <w:rPr>
          <w:rFonts w:ascii="Trebuchet MS"/>
          <w:color w:val="585858"/>
          <w:sz w:val="14"/>
        </w:rPr>
        <w:t xml:space="preserve">comida </w:t>
      </w:r>
      <w:r>
        <w:rPr>
          <w:rFonts w:ascii="Trebuchet MS"/>
          <w:color w:val="585858"/>
          <w:spacing w:val="-2"/>
          <w:sz w:val="14"/>
        </w:rPr>
        <w:t>(desayuno,</w:t>
      </w:r>
      <w:r>
        <w:rPr>
          <w:rFonts w:ascii="Trebuchet MS"/>
          <w:color w:val="585858"/>
          <w:sz w:val="14"/>
        </w:rPr>
        <w:t xml:space="preserve"> </w:t>
      </w:r>
      <w:r>
        <w:rPr>
          <w:rFonts w:ascii="Trebuchet MS"/>
          <w:color w:val="585858"/>
          <w:spacing w:val="-2"/>
          <w:sz w:val="14"/>
        </w:rPr>
        <w:t>almuerzo,</w:t>
      </w:r>
      <w:r>
        <w:rPr>
          <w:rFonts w:ascii="Trebuchet MS"/>
          <w:color w:val="585858"/>
          <w:sz w:val="14"/>
        </w:rPr>
        <w:t xml:space="preserve"> </w:t>
      </w:r>
      <w:r>
        <w:rPr>
          <w:rFonts w:ascii="Trebuchet MS"/>
          <w:color w:val="585858"/>
          <w:spacing w:val="-2"/>
          <w:sz w:val="14"/>
        </w:rPr>
        <w:t>comida</w:t>
      </w:r>
      <w:r>
        <w:rPr>
          <w:rFonts w:ascii="Trebuchet MS"/>
          <w:color w:val="585858"/>
          <w:spacing w:val="-14"/>
          <w:sz w:val="14"/>
        </w:rPr>
        <w:t xml:space="preserve"> </w:t>
      </w:r>
      <w:r>
        <w:rPr>
          <w:rFonts w:ascii="Trebuchet MS"/>
          <w:color w:val="585858"/>
          <w:spacing w:val="-2"/>
          <w:sz w:val="14"/>
        </w:rPr>
        <w:t>o</w:t>
      </w:r>
      <w:r>
        <w:rPr>
          <w:rFonts w:ascii="Trebuchet MS"/>
          <w:color w:val="585858"/>
          <w:spacing w:val="-14"/>
          <w:sz w:val="14"/>
        </w:rPr>
        <w:t xml:space="preserve"> </w:t>
      </w:r>
      <w:r>
        <w:rPr>
          <w:rFonts w:ascii="Trebuchet MS"/>
          <w:color w:val="585858"/>
          <w:spacing w:val="-2"/>
          <w:sz w:val="14"/>
        </w:rPr>
        <w:t>cena)</w:t>
      </w:r>
    </w:p>
    <w:p w14:paraId="5158F4A2" w14:textId="77777777" w:rsidR="000E52B0" w:rsidRDefault="00F60D74">
      <w:pPr>
        <w:spacing w:before="8" w:line="252" w:lineRule="auto"/>
        <w:ind w:left="56" w:firstLine="45"/>
        <w:rPr>
          <w:rFonts w:ascii="Trebuchet MS" w:hAnsi="Trebuchet MS"/>
          <w:sz w:val="14"/>
        </w:rPr>
      </w:pPr>
      <w:r>
        <w:br w:type="column"/>
      </w:r>
      <w:r>
        <w:rPr>
          <w:rFonts w:ascii="Trebuchet MS" w:hAnsi="Trebuchet MS"/>
          <w:color w:val="585858"/>
          <w:sz w:val="14"/>
        </w:rPr>
        <w:t>lo</w:t>
      </w:r>
      <w:r>
        <w:rPr>
          <w:rFonts w:ascii="Trebuchet MS" w:hAnsi="Trebuchet MS"/>
          <w:color w:val="585858"/>
          <w:spacing w:val="-8"/>
          <w:sz w:val="14"/>
        </w:rPr>
        <w:t xml:space="preserve"> </w:t>
      </w:r>
      <w:r>
        <w:rPr>
          <w:rFonts w:ascii="Trebuchet MS" w:hAnsi="Trebuchet MS"/>
          <w:color w:val="585858"/>
          <w:sz w:val="14"/>
        </w:rPr>
        <w:t>que</w:t>
      </w:r>
      <w:r>
        <w:rPr>
          <w:rFonts w:ascii="Trebuchet MS" w:hAnsi="Trebuchet MS"/>
          <w:color w:val="585858"/>
          <w:spacing w:val="-7"/>
          <w:sz w:val="14"/>
        </w:rPr>
        <w:t xml:space="preserve"> </w:t>
      </w:r>
      <w:r>
        <w:rPr>
          <w:rFonts w:ascii="Trebuchet MS" w:hAnsi="Trebuchet MS"/>
          <w:color w:val="585858"/>
          <w:sz w:val="14"/>
        </w:rPr>
        <w:t xml:space="preserve">pensaba </w:t>
      </w:r>
      <w:r>
        <w:rPr>
          <w:rFonts w:ascii="Trebuchet MS" w:hAnsi="Trebuchet MS"/>
          <w:color w:val="585858"/>
          <w:spacing w:val="-2"/>
          <w:sz w:val="14"/>
        </w:rPr>
        <w:t>que</w:t>
      </w:r>
      <w:r>
        <w:rPr>
          <w:rFonts w:ascii="Trebuchet MS" w:hAnsi="Trebuchet MS"/>
          <w:color w:val="585858"/>
          <w:spacing w:val="-13"/>
          <w:sz w:val="14"/>
        </w:rPr>
        <w:t xml:space="preserve"> </w:t>
      </w:r>
      <w:r>
        <w:rPr>
          <w:rFonts w:ascii="Trebuchet MS" w:hAnsi="Trebuchet MS"/>
          <w:color w:val="585858"/>
          <w:spacing w:val="-2"/>
          <w:sz w:val="14"/>
        </w:rPr>
        <w:t>debía</w:t>
      </w:r>
      <w:r>
        <w:rPr>
          <w:rFonts w:ascii="Trebuchet MS" w:hAnsi="Trebuchet MS"/>
          <w:color w:val="585858"/>
          <w:spacing w:val="-12"/>
          <w:sz w:val="14"/>
        </w:rPr>
        <w:t xml:space="preserve"> </w:t>
      </w:r>
      <w:r>
        <w:rPr>
          <w:rFonts w:ascii="Trebuchet MS" w:hAnsi="Trebuchet MS"/>
          <w:color w:val="585858"/>
          <w:spacing w:val="-2"/>
          <w:sz w:val="14"/>
        </w:rPr>
        <w:t>comer</w:t>
      </w:r>
    </w:p>
    <w:p w14:paraId="5CADDA1E" w14:textId="77777777" w:rsidR="000E52B0" w:rsidRDefault="00F60D74">
      <w:pPr>
        <w:spacing w:before="8" w:line="252" w:lineRule="auto"/>
        <w:ind w:left="207" w:firstLine="5"/>
        <w:rPr>
          <w:rFonts w:ascii="Trebuchet MS" w:hAnsi="Trebuchet MS"/>
          <w:sz w:val="14"/>
        </w:rPr>
      </w:pPr>
      <w:r>
        <w:br w:type="column"/>
      </w:r>
      <w:r>
        <w:rPr>
          <w:rFonts w:ascii="Trebuchet MS" w:hAnsi="Trebuchet MS"/>
          <w:color w:val="585858"/>
          <w:sz w:val="14"/>
        </w:rPr>
        <w:t>quedó</w:t>
      </w:r>
      <w:r>
        <w:rPr>
          <w:rFonts w:ascii="Trebuchet MS" w:hAnsi="Trebuchet MS"/>
          <w:color w:val="585858"/>
          <w:spacing w:val="-14"/>
          <w:sz w:val="14"/>
        </w:rPr>
        <w:t xml:space="preserve"> </w:t>
      </w:r>
      <w:r>
        <w:rPr>
          <w:rFonts w:ascii="Trebuchet MS" w:hAnsi="Trebuchet MS"/>
          <w:color w:val="585858"/>
          <w:sz w:val="14"/>
        </w:rPr>
        <w:t xml:space="preserve">sin </w:t>
      </w:r>
      <w:r>
        <w:rPr>
          <w:rFonts w:ascii="Trebuchet MS" w:hAnsi="Trebuchet MS"/>
          <w:color w:val="585858"/>
          <w:spacing w:val="-2"/>
          <w:sz w:val="14"/>
        </w:rPr>
        <w:t>alimentos</w:t>
      </w:r>
    </w:p>
    <w:p w14:paraId="1495A6FD" w14:textId="77777777" w:rsidR="000E52B0" w:rsidRDefault="00F60D74">
      <w:pPr>
        <w:spacing w:before="8" w:line="252" w:lineRule="auto"/>
        <w:ind w:left="219" w:firstLine="2"/>
        <w:jc w:val="center"/>
        <w:rPr>
          <w:rFonts w:ascii="Trebuchet MS" w:hAnsi="Trebuchet MS"/>
          <w:sz w:val="14"/>
        </w:rPr>
      </w:pPr>
      <w:r>
        <w:br w:type="column"/>
      </w:r>
      <w:r>
        <w:rPr>
          <w:rFonts w:ascii="Trebuchet MS" w:hAnsi="Trebuchet MS"/>
          <w:color w:val="585858"/>
          <w:sz w:val="14"/>
        </w:rPr>
        <w:t>pero</w:t>
      </w:r>
      <w:r>
        <w:rPr>
          <w:rFonts w:ascii="Trebuchet MS" w:hAnsi="Trebuchet MS"/>
          <w:color w:val="585858"/>
          <w:spacing w:val="-6"/>
          <w:sz w:val="14"/>
        </w:rPr>
        <w:t xml:space="preserve"> </w:t>
      </w:r>
      <w:r>
        <w:rPr>
          <w:rFonts w:ascii="Trebuchet MS" w:hAnsi="Trebuchet MS"/>
          <w:color w:val="585858"/>
          <w:sz w:val="14"/>
        </w:rPr>
        <w:t>no</w:t>
      </w:r>
      <w:r>
        <w:rPr>
          <w:rFonts w:ascii="Trebuchet MS" w:hAnsi="Trebuchet MS"/>
          <w:color w:val="585858"/>
          <w:spacing w:val="-6"/>
          <w:sz w:val="14"/>
        </w:rPr>
        <w:t xml:space="preserve"> </w:t>
      </w:r>
      <w:r>
        <w:rPr>
          <w:rFonts w:ascii="Trebuchet MS" w:hAnsi="Trebuchet MS"/>
          <w:color w:val="585858"/>
          <w:sz w:val="14"/>
        </w:rPr>
        <w:t>comió, debido</w:t>
      </w:r>
      <w:r>
        <w:rPr>
          <w:rFonts w:ascii="Trebuchet MS" w:hAnsi="Trebuchet MS"/>
          <w:color w:val="585858"/>
          <w:spacing w:val="-14"/>
          <w:sz w:val="14"/>
        </w:rPr>
        <w:t xml:space="preserve"> </w:t>
      </w:r>
      <w:r>
        <w:rPr>
          <w:rFonts w:ascii="Trebuchet MS" w:hAnsi="Trebuchet MS"/>
          <w:color w:val="585858"/>
          <w:sz w:val="14"/>
        </w:rPr>
        <w:t>a</w:t>
      </w:r>
      <w:r>
        <w:rPr>
          <w:rFonts w:ascii="Trebuchet MS" w:hAnsi="Trebuchet MS"/>
          <w:color w:val="585858"/>
          <w:spacing w:val="-14"/>
          <w:sz w:val="14"/>
        </w:rPr>
        <w:t xml:space="preserve"> </w:t>
      </w:r>
      <w:r>
        <w:rPr>
          <w:rFonts w:ascii="Trebuchet MS" w:hAnsi="Trebuchet MS"/>
          <w:color w:val="585858"/>
          <w:sz w:val="14"/>
        </w:rPr>
        <w:t>la</w:t>
      </w:r>
      <w:r>
        <w:rPr>
          <w:rFonts w:ascii="Trebuchet MS" w:hAnsi="Trebuchet MS"/>
          <w:color w:val="585858"/>
          <w:spacing w:val="-14"/>
          <w:sz w:val="14"/>
        </w:rPr>
        <w:t xml:space="preserve"> </w:t>
      </w:r>
      <w:r>
        <w:rPr>
          <w:rFonts w:ascii="Trebuchet MS" w:hAnsi="Trebuchet MS"/>
          <w:color w:val="585858"/>
          <w:sz w:val="14"/>
        </w:rPr>
        <w:t xml:space="preserve">falta </w:t>
      </w:r>
      <w:r>
        <w:rPr>
          <w:rFonts w:ascii="Trebuchet MS" w:hAnsi="Trebuchet MS"/>
          <w:color w:val="585858"/>
          <w:spacing w:val="-2"/>
          <w:sz w:val="14"/>
        </w:rPr>
        <w:t>de</w:t>
      </w:r>
      <w:r>
        <w:rPr>
          <w:rFonts w:ascii="Trebuchet MS" w:hAnsi="Trebuchet MS"/>
          <w:color w:val="585858"/>
          <w:spacing w:val="-17"/>
          <w:sz w:val="14"/>
        </w:rPr>
        <w:t xml:space="preserve"> </w:t>
      </w:r>
      <w:r>
        <w:rPr>
          <w:rFonts w:ascii="Trebuchet MS" w:hAnsi="Trebuchet MS"/>
          <w:color w:val="585858"/>
          <w:spacing w:val="-2"/>
          <w:sz w:val="14"/>
        </w:rPr>
        <w:t>dinero</w:t>
      </w:r>
      <w:r>
        <w:rPr>
          <w:rFonts w:ascii="Trebuchet MS" w:hAnsi="Trebuchet MS"/>
          <w:color w:val="585858"/>
          <w:spacing w:val="-14"/>
          <w:sz w:val="14"/>
        </w:rPr>
        <w:t xml:space="preserve"> </w:t>
      </w:r>
      <w:r>
        <w:rPr>
          <w:rFonts w:ascii="Trebuchet MS" w:hAnsi="Trebuchet MS"/>
          <w:color w:val="585858"/>
          <w:spacing w:val="-2"/>
          <w:sz w:val="14"/>
        </w:rPr>
        <w:t>u</w:t>
      </w:r>
      <w:r>
        <w:rPr>
          <w:rFonts w:ascii="Trebuchet MS" w:hAnsi="Trebuchet MS"/>
          <w:color w:val="585858"/>
          <w:spacing w:val="-13"/>
          <w:sz w:val="14"/>
        </w:rPr>
        <w:t xml:space="preserve"> </w:t>
      </w:r>
      <w:r>
        <w:rPr>
          <w:rFonts w:ascii="Trebuchet MS" w:hAnsi="Trebuchet MS"/>
          <w:color w:val="585858"/>
          <w:spacing w:val="-2"/>
          <w:sz w:val="14"/>
        </w:rPr>
        <w:t>otros</w:t>
      </w:r>
      <w:r>
        <w:rPr>
          <w:rFonts w:ascii="Trebuchet MS" w:hAnsi="Trebuchet MS"/>
          <w:color w:val="585858"/>
          <w:sz w:val="14"/>
        </w:rPr>
        <w:t xml:space="preserve"> recursos</w:t>
      </w:r>
      <w:r>
        <w:rPr>
          <w:rFonts w:ascii="Trebuchet MS" w:hAnsi="Trebuchet MS"/>
          <w:color w:val="585858"/>
          <w:spacing w:val="-12"/>
          <w:sz w:val="14"/>
        </w:rPr>
        <w:t xml:space="preserve"> </w:t>
      </w:r>
      <w:r>
        <w:rPr>
          <w:rFonts w:ascii="Trebuchet MS" w:hAnsi="Trebuchet MS"/>
          <w:color w:val="585858"/>
          <w:sz w:val="14"/>
        </w:rPr>
        <w:t xml:space="preserve">para </w:t>
      </w:r>
      <w:r>
        <w:rPr>
          <w:rFonts w:ascii="Trebuchet MS" w:hAnsi="Trebuchet MS"/>
          <w:color w:val="585858"/>
          <w:spacing w:val="-2"/>
          <w:sz w:val="14"/>
        </w:rPr>
        <w:t>conseguir</w:t>
      </w:r>
      <w:r>
        <w:rPr>
          <w:rFonts w:ascii="Trebuchet MS" w:hAnsi="Trebuchet MS"/>
          <w:color w:val="585858"/>
          <w:sz w:val="14"/>
        </w:rPr>
        <w:t xml:space="preserve"> </w:t>
      </w:r>
      <w:r>
        <w:rPr>
          <w:rFonts w:ascii="Trebuchet MS" w:hAnsi="Trebuchet MS"/>
          <w:color w:val="585858"/>
          <w:spacing w:val="-2"/>
          <w:sz w:val="14"/>
        </w:rPr>
        <w:t>alimentos</w:t>
      </w:r>
    </w:p>
    <w:p w14:paraId="4C33F593" w14:textId="77777777" w:rsidR="000E52B0" w:rsidRDefault="00F60D74">
      <w:pPr>
        <w:spacing w:before="8"/>
        <w:ind w:left="234"/>
        <w:rPr>
          <w:rFonts w:ascii="Trebuchet MS" w:hAnsi="Trebuchet MS"/>
          <w:sz w:val="14"/>
        </w:rPr>
      </w:pPr>
      <w:r>
        <w:br w:type="column"/>
      </w:r>
      <w:r>
        <w:rPr>
          <w:rFonts w:ascii="Trebuchet MS" w:hAnsi="Trebuchet MS"/>
          <w:color w:val="585858"/>
          <w:spacing w:val="-4"/>
          <w:sz w:val="14"/>
        </w:rPr>
        <w:t>día</w:t>
      </w:r>
      <w:r>
        <w:rPr>
          <w:rFonts w:ascii="Trebuchet MS" w:hAnsi="Trebuchet MS"/>
          <w:color w:val="585858"/>
          <w:spacing w:val="-11"/>
          <w:sz w:val="14"/>
        </w:rPr>
        <w:t xml:space="preserve"> </w:t>
      </w:r>
      <w:r>
        <w:rPr>
          <w:rFonts w:ascii="Trebuchet MS" w:hAnsi="Trebuchet MS"/>
          <w:color w:val="585858"/>
          <w:spacing w:val="-2"/>
          <w:sz w:val="14"/>
        </w:rPr>
        <w:t>entero</w:t>
      </w:r>
    </w:p>
    <w:p w14:paraId="0060F50D" w14:textId="77777777" w:rsidR="000E52B0" w:rsidRDefault="000E52B0">
      <w:pPr>
        <w:rPr>
          <w:rFonts w:ascii="Trebuchet MS" w:hAnsi="Trebuchet MS"/>
          <w:sz w:val="14"/>
        </w:rPr>
        <w:sectPr w:rsidR="000E52B0">
          <w:type w:val="continuous"/>
          <w:pgSz w:w="11910" w:h="16840"/>
          <w:pgMar w:top="1340" w:right="720" w:bottom="1280" w:left="720" w:header="0" w:footer="995" w:gutter="0"/>
          <w:cols w:num="8" w:space="720" w:equalWidth="0">
            <w:col w:w="1927" w:space="40"/>
            <w:col w:w="944" w:space="39"/>
            <w:col w:w="1003" w:space="40"/>
            <w:col w:w="1158" w:space="40"/>
            <w:col w:w="1072" w:space="39"/>
            <w:col w:w="812" w:space="40"/>
            <w:col w:w="1234" w:space="40"/>
            <w:col w:w="2042"/>
          </w:cols>
        </w:sectPr>
      </w:pPr>
    </w:p>
    <w:p w14:paraId="4A39C81C" w14:textId="77777777" w:rsidR="000E52B0" w:rsidRDefault="00F60D74" w:rsidP="00203383">
      <w:pPr>
        <w:jc w:val="center"/>
        <w:rPr>
          <w:i/>
          <w:sz w:val="18"/>
        </w:rPr>
      </w:pPr>
      <w:r>
        <w:rPr>
          <w:i/>
          <w:color w:val="454551"/>
          <w:sz w:val="18"/>
        </w:rPr>
        <w:t>Fuente</w:t>
      </w:r>
      <w:r>
        <w:rPr>
          <w:i/>
          <w:color w:val="454551"/>
          <w:spacing w:val="-3"/>
          <w:sz w:val="18"/>
        </w:rPr>
        <w:t xml:space="preserve"> </w:t>
      </w:r>
      <w:r>
        <w:rPr>
          <w:i/>
          <w:color w:val="454551"/>
          <w:sz w:val="18"/>
        </w:rPr>
        <w:t>27.</w:t>
      </w:r>
      <w:r>
        <w:rPr>
          <w:i/>
          <w:color w:val="454551"/>
          <w:spacing w:val="-4"/>
          <w:sz w:val="18"/>
        </w:rPr>
        <w:t xml:space="preserve"> </w:t>
      </w:r>
      <w:r>
        <w:rPr>
          <w:i/>
          <w:color w:val="454551"/>
          <w:sz w:val="18"/>
        </w:rPr>
        <w:t>Elaboración</w:t>
      </w:r>
      <w:r>
        <w:rPr>
          <w:i/>
          <w:color w:val="454551"/>
          <w:spacing w:val="-2"/>
          <w:sz w:val="18"/>
        </w:rPr>
        <w:t xml:space="preserve"> </w:t>
      </w:r>
      <w:r>
        <w:rPr>
          <w:i/>
          <w:color w:val="454551"/>
          <w:sz w:val="18"/>
        </w:rPr>
        <w:t>propia.</w:t>
      </w:r>
      <w:r>
        <w:rPr>
          <w:i/>
          <w:color w:val="454551"/>
          <w:spacing w:val="-4"/>
          <w:sz w:val="18"/>
        </w:rPr>
        <w:t xml:space="preserve"> </w:t>
      </w:r>
      <w:r>
        <w:rPr>
          <w:i/>
          <w:color w:val="454551"/>
          <w:sz w:val="18"/>
        </w:rPr>
        <w:t>Datos</w:t>
      </w:r>
      <w:r>
        <w:rPr>
          <w:i/>
          <w:color w:val="454551"/>
          <w:spacing w:val="-3"/>
          <w:sz w:val="18"/>
        </w:rPr>
        <w:t xml:space="preserve"> </w:t>
      </w:r>
      <w:r>
        <w:rPr>
          <w:i/>
          <w:color w:val="454551"/>
          <w:sz w:val="18"/>
        </w:rPr>
        <w:t>de</w:t>
      </w:r>
      <w:r>
        <w:rPr>
          <w:i/>
          <w:color w:val="454551"/>
          <w:spacing w:val="-3"/>
          <w:sz w:val="18"/>
        </w:rPr>
        <w:t xml:space="preserve"> </w:t>
      </w:r>
      <w:r>
        <w:rPr>
          <w:i/>
          <w:color w:val="454551"/>
          <w:sz w:val="18"/>
        </w:rPr>
        <w:t>la</w:t>
      </w:r>
      <w:r>
        <w:rPr>
          <w:i/>
          <w:color w:val="454551"/>
          <w:spacing w:val="-3"/>
          <w:sz w:val="18"/>
        </w:rPr>
        <w:t xml:space="preserve"> </w:t>
      </w:r>
      <w:r>
        <w:rPr>
          <w:i/>
          <w:color w:val="454551"/>
          <w:sz w:val="18"/>
        </w:rPr>
        <w:t>ECV</w:t>
      </w:r>
      <w:r>
        <w:rPr>
          <w:i/>
          <w:color w:val="454551"/>
          <w:spacing w:val="-2"/>
          <w:sz w:val="18"/>
        </w:rPr>
        <w:t xml:space="preserve"> </w:t>
      </w:r>
      <w:r>
        <w:rPr>
          <w:i/>
          <w:color w:val="454551"/>
          <w:sz w:val="18"/>
        </w:rPr>
        <w:t>DANE</w:t>
      </w:r>
      <w:r>
        <w:rPr>
          <w:i/>
          <w:color w:val="454551"/>
          <w:spacing w:val="-1"/>
          <w:sz w:val="18"/>
        </w:rPr>
        <w:t xml:space="preserve"> </w:t>
      </w:r>
      <w:r>
        <w:rPr>
          <w:i/>
          <w:color w:val="454551"/>
          <w:spacing w:val="-4"/>
          <w:sz w:val="18"/>
        </w:rPr>
        <w:t>2022</w:t>
      </w:r>
    </w:p>
    <w:p w14:paraId="25BEC818" w14:textId="77777777" w:rsidR="000E52B0" w:rsidRDefault="00F60D74">
      <w:pPr>
        <w:pStyle w:val="Textoindependiente"/>
        <w:spacing w:before="201"/>
        <w:ind w:right="716"/>
        <w:jc w:val="both"/>
      </w:pPr>
      <w:r>
        <w:t xml:space="preserve">De acuerdo con la evaluación de GIFMM en cuanto a la </w:t>
      </w:r>
      <w:r>
        <w:rPr>
          <w:b/>
        </w:rPr>
        <w:t xml:space="preserve">inseguridad alimentaria </w:t>
      </w:r>
      <w:r>
        <w:t>de la población encuestada en este informe, el 48,7% de los hogares</w:t>
      </w:r>
      <w:r>
        <w:rPr>
          <w:spacing w:val="-22"/>
        </w:rPr>
        <w:t xml:space="preserve"> </w:t>
      </w:r>
      <w:r>
        <w:t>experimentaron</w:t>
      </w:r>
      <w:r>
        <w:rPr>
          <w:spacing w:val="-21"/>
        </w:rPr>
        <w:t xml:space="preserve"> </w:t>
      </w:r>
      <w:r>
        <w:t>inseguridad</w:t>
      </w:r>
      <w:r>
        <w:rPr>
          <w:spacing w:val="-21"/>
        </w:rPr>
        <w:t xml:space="preserve"> </w:t>
      </w:r>
      <w:r>
        <w:t>alimentaria,</w:t>
      </w:r>
      <w:r>
        <w:rPr>
          <w:spacing w:val="-21"/>
        </w:rPr>
        <w:t xml:space="preserve"> </w:t>
      </w:r>
      <w:r>
        <w:t>con</w:t>
      </w:r>
      <w:r>
        <w:rPr>
          <w:spacing w:val="-21"/>
        </w:rPr>
        <w:t xml:space="preserve"> </w:t>
      </w:r>
      <w:r>
        <w:t>un</w:t>
      </w:r>
      <w:r>
        <w:rPr>
          <w:spacing w:val="-21"/>
        </w:rPr>
        <w:t xml:space="preserve"> </w:t>
      </w:r>
      <w:r>
        <w:t>43,4%</w:t>
      </w:r>
      <w:r>
        <w:rPr>
          <w:spacing w:val="-21"/>
        </w:rPr>
        <w:t xml:space="preserve"> </w:t>
      </w:r>
      <w:r>
        <w:t>reportando un nivel moderado y un 5,3% severo.</w:t>
      </w:r>
    </w:p>
    <w:p w14:paraId="230F061B" w14:textId="77777777" w:rsidR="000E52B0" w:rsidRDefault="000E52B0">
      <w:pPr>
        <w:pStyle w:val="Textoindependiente"/>
        <w:ind w:left="0"/>
        <w:rPr>
          <w:sz w:val="20"/>
        </w:rPr>
      </w:pPr>
    </w:p>
    <w:p w14:paraId="1269F4EE" w14:textId="77777777" w:rsidR="000E52B0" w:rsidRDefault="000E52B0">
      <w:pPr>
        <w:pStyle w:val="Textoindependiente"/>
        <w:ind w:left="0"/>
        <w:rPr>
          <w:sz w:val="20"/>
        </w:rPr>
      </w:pPr>
    </w:p>
    <w:p w14:paraId="05E60E01" w14:textId="77777777" w:rsidR="000E52B0" w:rsidRDefault="00F60D74">
      <w:pPr>
        <w:pStyle w:val="Textoindependiente"/>
        <w:spacing w:before="25"/>
        <w:ind w:left="0"/>
        <w:rPr>
          <w:sz w:val="20"/>
        </w:rPr>
      </w:pPr>
      <w:r>
        <w:rPr>
          <w:noProof/>
          <w:sz w:val="20"/>
        </w:rPr>
        <mc:AlternateContent>
          <mc:Choice Requires="wps">
            <w:drawing>
              <wp:anchor distT="0" distB="0" distL="0" distR="0" simplePos="0" relativeHeight="487647232" behindDoc="1" locked="0" layoutInCell="1" allowOverlap="1" wp14:anchorId="0DC0C631" wp14:editId="37800DA8">
                <wp:simplePos x="0" y="0"/>
                <wp:positionH relativeFrom="page">
                  <wp:posOffset>914704</wp:posOffset>
                </wp:positionH>
                <wp:positionV relativeFrom="paragraph">
                  <wp:posOffset>186004</wp:posOffset>
                </wp:positionV>
                <wp:extent cx="1829435" cy="7620"/>
                <wp:effectExtent l="0" t="0" r="0" b="0"/>
                <wp:wrapTopAndBottom/>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A1F2F5" id="Graphic 465" o:spid="_x0000_s1026" style="position:absolute;margin-left:1in;margin-top:14.65pt;width:144.05pt;height:.6pt;z-index:-156692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" path="m1829054,l,,,7619r1829054,l1829054,xe" fillcolor="black" stroked="f">
                <v:path arrowok="t"/>
                <w10:wrap type="topAndBottom" anchorx="page"/>
              </v:shape>
            </w:pict>
          </mc:Fallback>
        </mc:AlternateContent>
      </w:r>
    </w:p>
    <w:p w14:paraId="65B3F109" w14:textId="77777777" w:rsidR="000E52B0" w:rsidRDefault="00F60D74">
      <w:pPr>
        <w:spacing w:before="96"/>
        <w:ind w:left="720" w:right="721"/>
        <w:jc w:val="both"/>
        <w:rPr>
          <w:rFonts w:ascii="Arial MT" w:hAnsi="Arial MT"/>
          <w:sz w:val="18"/>
        </w:rPr>
      </w:pPr>
      <w:bookmarkStart w:id="58" w:name="_bookmark58"/>
      <w:bookmarkEnd w:id="58"/>
      <w:r>
        <w:rPr>
          <w:rFonts w:ascii="Arial MT" w:hAnsi="Arial MT"/>
          <w:position w:val="6"/>
          <w:sz w:val="12"/>
        </w:rPr>
        <w:t>52</w:t>
      </w:r>
      <w:r>
        <w:rPr>
          <w:rFonts w:ascii="Arial MT" w:hAnsi="Arial MT"/>
          <w:spacing w:val="18"/>
          <w:position w:val="6"/>
          <w:sz w:val="12"/>
        </w:rPr>
        <w:t xml:space="preserve"> </w:t>
      </w:r>
      <w:r>
        <w:rPr>
          <w:rFonts w:ascii="Arial MT" w:hAnsi="Arial MT"/>
          <w:sz w:val="18"/>
        </w:rPr>
        <w:t>Fernández, T. O., Gómez, A.</w:t>
      </w:r>
      <w:r>
        <w:rPr>
          <w:rFonts w:ascii="Arial MT" w:hAnsi="Arial MT"/>
          <w:spacing w:val="-1"/>
          <w:sz w:val="18"/>
        </w:rPr>
        <w:t xml:space="preserve"> </w:t>
      </w:r>
      <w:r>
        <w:rPr>
          <w:rFonts w:ascii="Arial MT" w:hAnsi="Arial MT"/>
          <w:sz w:val="18"/>
        </w:rPr>
        <w:t xml:space="preserve">P., </w:t>
      </w:r>
      <w:proofErr w:type="spellStart"/>
      <w:r>
        <w:rPr>
          <w:rFonts w:ascii="Arial MT" w:hAnsi="Arial MT"/>
          <w:sz w:val="18"/>
        </w:rPr>
        <w:t>Solis</w:t>
      </w:r>
      <w:proofErr w:type="spellEnd"/>
      <w:r>
        <w:rPr>
          <w:rFonts w:ascii="Arial MT" w:hAnsi="Arial MT"/>
          <w:sz w:val="18"/>
        </w:rPr>
        <w:t>, K. S.,</w:t>
      </w:r>
      <w:r>
        <w:rPr>
          <w:rFonts w:ascii="Arial MT" w:hAnsi="Arial MT"/>
          <w:spacing w:val="-1"/>
          <w:sz w:val="18"/>
        </w:rPr>
        <w:t xml:space="preserve"> </w:t>
      </w:r>
      <w:r>
        <w:rPr>
          <w:rFonts w:ascii="Arial MT" w:hAnsi="Arial MT"/>
          <w:sz w:val="18"/>
        </w:rPr>
        <w:t>Cortés, L.</w:t>
      </w:r>
      <w:r>
        <w:rPr>
          <w:rFonts w:ascii="Arial MT" w:hAnsi="Arial MT"/>
          <w:spacing w:val="-1"/>
          <w:sz w:val="18"/>
        </w:rPr>
        <w:t xml:space="preserve"> </w:t>
      </w:r>
      <w:r>
        <w:rPr>
          <w:rFonts w:ascii="Arial MT" w:hAnsi="Arial MT"/>
          <w:sz w:val="18"/>
        </w:rPr>
        <w:t>J.,</w:t>
      </w:r>
      <w:r>
        <w:rPr>
          <w:rFonts w:ascii="Arial MT" w:hAnsi="Arial MT"/>
          <w:spacing w:val="-1"/>
          <w:sz w:val="18"/>
        </w:rPr>
        <w:t xml:space="preserve"> </w:t>
      </w:r>
      <w:r>
        <w:rPr>
          <w:rFonts w:ascii="Arial MT" w:hAnsi="Arial MT"/>
          <w:sz w:val="18"/>
        </w:rPr>
        <w:t>González,</w:t>
      </w:r>
      <w:r>
        <w:rPr>
          <w:rFonts w:ascii="Arial MT" w:hAnsi="Arial MT"/>
          <w:spacing w:val="-1"/>
          <w:sz w:val="18"/>
        </w:rPr>
        <w:t xml:space="preserve"> </w:t>
      </w:r>
      <w:r>
        <w:rPr>
          <w:rFonts w:ascii="Arial MT" w:hAnsi="Arial MT"/>
          <w:sz w:val="18"/>
        </w:rPr>
        <w:t>M.</w:t>
      </w:r>
      <w:r>
        <w:rPr>
          <w:rFonts w:ascii="Arial MT" w:hAnsi="Arial MT"/>
          <w:spacing w:val="-1"/>
          <w:sz w:val="18"/>
        </w:rPr>
        <w:t xml:space="preserve"> </w:t>
      </w:r>
      <w:r>
        <w:rPr>
          <w:rFonts w:ascii="Arial MT" w:hAnsi="Arial MT"/>
          <w:sz w:val="18"/>
        </w:rPr>
        <w:t>A., Basto, T. K.</w:t>
      </w:r>
      <w:r>
        <w:rPr>
          <w:rFonts w:ascii="Arial MT" w:hAnsi="Arial MT"/>
          <w:spacing w:val="-1"/>
          <w:sz w:val="18"/>
        </w:rPr>
        <w:t xml:space="preserve"> </w:t>
      </w:r>
      <w:r>
        <w:rPr>
          <w:rFonts w:ascii="Arial MT" w:hAnsi="Arial MT"/>
          <w:sz w:val="18"/>
        </w:rPr>
        <w:t>F., Muñoz,</w:t>
      </w:r>
      <w:r>
        <w:rPr>
          <w:rFonts w:ascii="Arial MT" w:hAnsi="Arial MT"/>
          <w:spacing w:val="-1"/>
          <w:sz w:val="18"/>
        </w:rPr>
        <w:t xml:space="preserve"> </w:t>
      </w:r>
      <w:r>
        <w:rPr>
          <w:rFonts w:ascii="Arial MT" w:hAnsi="Arial MT"/>
          <w:sz w:val="18"/>
        </w:rPr>
        <w:t>M. A.</w:t>
      </w:r>
      <w:r>
        <w:rPr>
          <w:rFonts w:ascii="Arial MT" w:hAnsi="Arial MT"/>
          <w:spacing w:val="-1"/>
          <w:sz w:val="18"/>
        </w:rPr>
        <w:t xml:space="preserve"> </w:t>
      </w:r>
      <w:r>
        <w:rPr>
          <w:rFonts w:ascii="Arial MT" w:hAnsi="Arial MT"/>
          <w:sz w:val="18"/>
        </w:rPr>
        <w:t xml:space="preserve">L., &amp; Porras, </w:t>
      </w:r>
      <w:proofErr w:type="spellStart"/>
      <w:r>
        <w:rPr>
          <w:rFonts w:ascii="Arial MT" w:hAnsi="Arial MT"/>
          <w:sz w:val="18"/>
        </w:rPr>
        <w:t>Ó</w:t>
      </w:r>
      <w:proofErr w:type="spellEnd"/>
      <w:r>
        <w:rPr>
          <w:rFonts w:ascii="Arial MT" w:hAnsi="Arial MT"/>
          <w:sz w:val="18"/>
        </w:rPr>
        <w:t>. J. Q. (s. f.). Todas somos dignas. AGENCIA DE ESTADOS UNIDOS PARA EL DESARROLLO INTERNACIONAL (USAID), A TRAVÉS DEL PROYECTO INTEGRA.</w:t>
      </w:r>
    </w:p>
    <w:p w14:paraId="4332DAB5" w14:textId="77777777" w:rsidR="000E52B0" w:rsidRDefault="000E52B0">
      <w:pPr>
        <w:jc w:val="both"/>
        <w:rPr>
          <w:rFonts w:ascii="Arial MT" w:hAnsi="Arial MT"/>
          <w:sz w:val="18"/>
        </w:rPr>
        <w:sectPr w:rsidR="000E52B0">
          <w:type w:val="continuous"/>
          <w:pgSz w:w="11910" w:h="16840"/>
          <w:pgMar w:top="1340" w:right="720" w:bottom="1280" w:left="720" w:header="0" w:footer="995" w:gutter="0"/>
          <w:cols w:space="720"/>
        </w:sectPr>
      </w:pPr>
    </w:p>
    <w:p w14:paraId="10FD35F0" w14:textId="77777777" w:rsidR="000E52B0" w:rsidRDefault="00F60D74">
      <w:pPr>
        <w:pStyle w:val="Textoindependiente"/>
        <w:spacing w:before="83"/>
        <w:ind w:right="719"/>
        <w:jc w:val="both"/>
      </w:pPr>
      <w:r>
        <w:lastRenderedPageBreak/>
        <w:t>Ahora bien, al analizar al analizar las brechas de genero se encontró que es mayor en mujeres que en hombres (87% vs. 84% en hombres) y la brecha</w:t>
      </w:r>
      <w:r>
        <w:rPr>
          <w:spacing w:val="-3"/>
        </w:rPr>
        <w:t xml:space="preserve"> </w:t>
      </w:r>
      <w:r>
        <w:t>es</w:t>
      </w:r>
      <w:r>
        <w:rPr>
          <w:spacing w:val="-3"/>
        </w:rPr>
        <w:t xml:space="preserve"> </w:t>
      </w:r>
      <w:r>
        <w:t>mayor</w:t>
      </w:r>
      <w:r>
        <w:rPr>
          <w:spacing w:val="-3"/>
        </w:rPr>
        <w:t xml:space="preserve"> </w:t>
      </w:r>
      <w:r>
        <w:t>al</w:t>
      </w:r>
      <w:r>
        <w:rPr>
          <w:spacing w:val="-3"/>
        </w:rPr>
        <w:t xml:space="preserve"> </w:t>
      </w:r>
      <w:r>
        <w:t>analizar</w:t>
      </w:r>
      <w:r>
        <w:rPr>
          <w:spacing w:val="-1"/>
        </w:rPr>
        <w:t xml:space="preserve"> </w:t>
      </w:r>
      <w:r>
        <w:t>los</w:t>
      </w:r>
      <w:r>
        <w:rPr>
          <w:spacing w:val="-3"/>
        </w:rPr>
        <w:t xml:space="preserve"> </w:t>
      </w:r>
      <w:r>
        <w:t>resultados</w:t>
      </w:r>
      <w:r>
        <w:rPr>
          <w:spacing w:val="-4"/>
        </w:rPr>
        <w:t xml:space="preserve"> </w:t>
      </w:r>
      <w:r>
        <w:t>por</w:t>
      </w:r>
      <w:r>
        <w:rPr>
          <w:spacing w:val="-3"/>
        </w:rPr>
        <w:t xml:space="preserve"> </w:t>
      </w:r>
      <w:r>
        <w:t>jefatura</w:t>
      </w:r>
      <w:r>
        <w:rPr>
          <w:spacing w:val="-3"/>
        </w:rPr>
        <w:t xml:space="preserve"> </w:t>
      </w:r>
      <w:r>
        <w:t>del</w:t>
      </w:r>
      <w:r>
        <w:rPr>
          <w:spacing w:val="-1"/>
        </w:rPr>
        <w:t xml:space="preserve"> </w:t>
      </w:r>
      <w:r>
        <w:t>hogar:</w:t>
      </w:r>
      <w:r>
        <w:rPr>
          <w:spacing w:val="-4"/>
        </w:rPr>
        <w:t xml:space="preserve"> </w:t>
      </w:r>
      <w:r>
        <w:t>aquellos encabezados</w:t>
      </w:r>
      <w:r>
        <w:rPr>
          <w:spacing w:val="-17"/>
        </w:rPr>
        <w:t xml:space="preserve"> </w:t>
      </w:r>
      <w:r>
        <w:t>por</w:t>
      </w:r>
      <w:r>
        <w:rPr>
          <w:spacing w:val="-16"/>
        </w:rPr>
        <w:t xml:space="preserve"> </w:t>
      </w:r>
      <w:r>
        <w:t>mujeres</w:t>
      </w:r>
      <w:r>
        <w:rPr>
          <w:spacing w:val="-17"/>
        </w:rPr>
        <w:t xml:space="preserve"> </w:t>
      </w:r>
      <w:r>
        <w:t>presentaron</w:t>
      </w:r>
      <w:r>
        <w:rPr>
          <w:spacing w:val="-18"/>
        </w:rPr>
        <w:t xml:space="preserve"> </w:t>
      </w:r>
      <w:r>
        <w:t>mayores</w:t>
      </w:r>
      <w:r>
        <w:rPr>
          <w:spacing w:val="-17"/>
        </w:rPr>
        <w:t xml:space="preserve"> </w:t>
      </w:r>
      <w:r>
        <w:t>porcentajes</w:t>
      </w:r>
      <w:r>
        <w:rPr>
          <w:spacing w:val="-17"/>
        </w:rPr>
        <w:t xml:space="preserve"> </w:t>
      </w:r>
      <w:r>
        <w:t>de</w:t>
      </w:r>
      <w:r>
        <w:rPr>
          <w:spacing w:val="-16"/>
        </w:rPr>
        <w:t xml:space="preserve"> </w:t>
      </w:r>
      <w:r>
        <w:t>inseguridad alimentaria</w:t>
      </w:r>
      <w:r>
        <w:rPr>
          <w:spacing w:val="-4"/>
        </w:rPr>
        <w:t xml:space="preserve"> </w:t>
      </w:r>
      <w:r>
        <w:t>con</w:t>
      </w:r>
      <w:r>
        <w:rPr>
          <w:spacing w:val="-4"/>
        </w:rPr>
        <w:t xml:space="preserve"> </w:t>
      </w:r>
      <w:r>
        <w:t>51,8%,</w:t>
      </w:r>
      <w:r>
        <w:rPr>
          <w:spacing w:val="-4"/>
        </w:rPr>
        <w:t xml:space="preserve"> </w:t>
      </w:r>
      <w:r>
        <w:t>mientras</w:t>
      </w:r>
      <w:r>
        <w:rPr>
          <w:spacing w:val="-3"/>
        </w:rPr>
        <w:t xml:space="preserve"> </w:t>
      </w:r>
      <w:r>
        <w:t>que</w:t>
      </w:r>
      <w:r>
        <w:rPr>
          <w:spacing w:val="-3"/>
        </w:rPr>
        <w:t xml:space="preserve"> </w:t>
      </w:r>
      <w:r>
        <w:t>en</w:t>
      </w:r>
      <w:r>
        <w:rPr>
          <w:spacing w:val="-4"/>
        </w:rPr>
        <w:t xml:space="preserve"> </w:t>
      </w:r>
      <w:r>
        <w:t>los</w:t>
      </w:r>
      <w:r>
        <w:rPr>
          <w:spacing w:val="-3"/>
        </w:rPr>
        <w:t xml:space="preserve"> </w:t>
      </w:r>
      <w:r>
        <w:t>encabezados</w:t>
      </w:r>
      <w:r>
        <w:rPr>
          <w:spacing w:val="-4"/>
        </w:rPr>
        <w:t xml:space="preserve"> </w:t>
      </w:r>
      <w:r>
        <w:t>por</w:t>
      </w:r>
      <w:r>
        <w:rPr>
          <w:spacing w:val="-3"/>
        </w:rPr>
        <w:t xml:space="preserve"> </w:t>
      </w:r>
      <w:r>
        <w:t>hombres</w:t>
      </w:r>
      <w:r>
        <w:rPr>
          <w:spacing w:val="-4"/>
        </w:rPr>
        <w:t xml:space="preserve"> </w:t>
      </w:r>
      <w:r>
        <w:t>fue de 41,8%. En general, el 48.7% de los hogares entrevistados tuvo inseguridad alimentaria</w:t>
      </w:r>
      <w:hyperlink w:anchor="_bookmark59" w:history="1">
        <w:r w:rsidR="000E52B0">
          <w:rPr>
            <w:position w:val="8"/>
            <w:sz w:val="16"/>
          </w:rPr>
          <w:t>53</w:t>
        </w:r>
      </w:hyperlink>
      <w:r>
        <w:t>.</w:t>
      </w:r>
    </w:p>
    <w:p w14:paraId="5D0AE60B" w14:textId="77777777" w:rsidR="000E52B0" w:rsidRDefault="00F60D74">
      <w:pPr>
        <w:pStyle w:val="Textoindependiente"/>
        <w:spacing w:before="159"/>
        <w:ind w:right="717"/>
        <w:jc w:val="both"/>
      </w:pPr>
      <w:r>
        <w:t xml:space="preserve">De acuerdo con la evaluación, se observó que los hogares con ciertas características presentaron brechas más pronunciadas. Específicamente, aquellos hogares que incluían </w:t>
      </w:r>
      <w:proofErr w:type="gramStart"/>
      <w:r>
        <w:t>niños y niñas</w:t>
      </w:r>
      <w:proofErr w:type="gramEnd"/>
      <w:r>
        <w:t xml:space="preserve"> menores de 5 años (53,2%), adultos mayores (55,3%) y personas gestantes (52,3%) experimentaron mayores niveles de inseguridad alimentaria moderada o severa.</w:t>
      </w:r>
    </w:p>
    <w:p w14:paraId="06281422" w14:textId="77777777" w:rsidR="000E52B0" w:rsidRDefault="00F60D74">
      <w:pPr>
        <w:pStyle w:val="Textoindependiente"/>
        <w:spacing w:before="160"/>
        <w:ind w:right="726"/>
        <w:jc w:val="both"/>
      </w:pPr>
      <w:r>
        <w:t xml:space="preserve">En contraste, los hogares sin personas menores de 18 años (36,0%) y sin adultos mayores (48,6%) tuvieron un menor porcentaje de inseguridad </w:t>
      </w:r>
      <w:r>
        <w:rPr>
          <w:spacing w:val="-2"/>
        </w:rPr>
        <w:t>alimentaria.</w:t>
      </w:r>
    </w:p>
    <w:p w14:paraId="4A99118D" w14:textId="77777777" w:rsidR="000E52B0" w:rsidRDefault="00F60D74">
      <w:pPr>
        <w:pStyle w:val="Textoindependiente"/>
        <w:spacing w:before="161"/>
        <w:ind w:right="715"/>
        <w:jc w:val="both"/>
      </w:pPr>
      <w:r>
        <w:t xml:space="preserve">En el caso de las personas que habitan la calle, se encuentran en una situación de marginación económica, que requiere acciones estructurales. </w:t>
      </w:r>
      <w:r>
        <w:rPr>
          <w:b/>
        </w:rPr>
        <w:t xml:space="preserve">Respecto a las barreras de acceso a bienes y servicios y la imposibilidad de recuperar sus medios de vida es fundamental, tener en consideración que, </w:t>
      </w:r>
      <w:r>
        <w:t>la segunda causa más frecuente para mantenerse en la situación de calle, son las dificultades económicas y la falta</w:t>
      </w:r>
      <w:r>
        <w:rPr>
          <w:spacing w:val="-13"/>
        </w:rPr>
        <w:t xml:space="preserve"> </w:t>
      </w:r>
      <w:r>
        <w:t>de</w:t>
      </w:r>
      <w:r>
        <w:rPr>
          <w:spacing w:val="-14"/>
        </w:rPr>
        <w:t xml:space="preserve"> </w:t>
      </w:r>
      <w:r>
        <w:t>trabajo</w:t>
      </w:r>
      <w:r>
        <w:rPr>
          <w:spacing w:val="-14"/>
        </w:rPr>
        <w:t xml:space="preserve"> </w:t>
      </w:r>
      <w:r>
        <w:t>el</w:t>
      </w:r>
      <w:r>
        <w:rPr>
          <w:spacing w:val="-14"/>
        </w:rPr>
        <w:t xml:space="preserve"> </w:t>
      </w:r>
      <w:r>
        <w:t>24,5%,</w:t>
      </w:r>
      <w:r>
        <w:rPr>
          <w:spacing w:val="-16"/>
        </w:rPr>
        <w:t xml:space="preserve"> </w:t>
      </w:r>
      <w:r>
        <w:t>es</w:t>
      </w:r>
      <w:r>
        <w:rPr>
          <w:spacing w:val="-15"/>
        </w:rPr>
        <w:t xml:space="preserve"> </w:t>
      </w:r>
      <w:r>
        <w:t>decir</w:t>
      </w:r>
      <w:r>
        <w:rPr>
          <w:spacing w:val="-14"/>
        </w:rPr>
        <w:t xml:space="preserve"> </w:t>
      </w:r>
      <w:r>
        <w:t>la</w:t>
      </w:r>
      <w:r>
        <w:rPr>
          <w:spacing w:val="-13"/>
        </w:rPr>
        <w:t xml:space="preserve"> </w:t>
      </w:r>
      <w:r>
        <w:t>imposibilidad</w:t>
      </w:r>
      <w:r>
        <w:rPr>
          <w:spacing w:val="-13"/>
        </w:rPr>
        <w:t xml:space="preserve"> </w:t>
      </w:r>
      <w:r>
        <w:t>de</w:t>
      </w:r>
      <w:r>
        <w:rPr>
          <w:spacing w:val="-14"/>
        </w:rPr>
        <w:t xml:space="preserve"> </w:t>
      </w:r>
      <w:r>
        <w:t>recuperar</w:t>
      </w:r>
      <w:r>
        <w:rPr>
          <w:spacing w:val="-14"/>
        </w:rPr>
        <w:t xml:space="preserve"> </w:t>
      </w:r>
      <w:r>
        <w:t>sus</w:t>
      </w:r>
      <w:r>
        <w:rPr>
          <w:spacing w:val="-15"/>
        </w:rPr>
        <w:t xml:space="preserve"> </w:t>
      </w:r>
      <w:r>
        <w:t xml:space="preserve">medios de vida. Las dinámicas de desarraigo que ocurren dentro del país y en los países vecinos, hacen que la precarización de las condiciones económicas en el modelo económico actual afecte de manera desproporcionada a quienes deben reiniciar sus proyectos de vida, especialmente en las ciudades, que por los procesos de expansión urbana y redensificación generan también territorios de exclusión dentro y en las fronteras de las </w:t>
      </w:r>
      <w:r>
        <w:rPr>
          <w:spacing w:val="-2"/>
        </w:rPr>
        <w:t>ciudades.</w:t>
      </w:r>
    </w:p>
    <w:p w14:paraId="6D4326B6" w14:textId="77777777" w:rsidR="000E52B0" w:rsidRDefault="00F60D74">
      <w:pPr>
        <w:pStyle w:val="Textoindependiente"/>
        <w:spacing w:before="161"/>
        <w:ind w:right="721"/>
        <w:jc w:val="both"/>
      </w:pPr>
      <w:r>
        <w:t>El</w:t>
      </w:r>
      <w:r>
        <w:rPr>
          <w:spacing w:val="-15"/>
        </w:rPr>
        <w:t xml:space="preserve"> </w:t>
      </w:r>
      <w:r>
        <w:t>53%</w:t>
      </w:r>
      <w:r>
        <w:rPr>
          <w:spacing w:val="-13"/>
        </w:rPr>
        <w:t xml:space="preserve"> </w:t>
      </w:r>
      <w:r>
        <w:t>de</w:t>
      </w:r>
      <w:r>
        <w:rPr>
          <w:spacing w:val="-13"/>
        </w:rPr>
        <w:t xml:space="preserve"> </w:t>
      </w:r>
      <w:r>
        <w:t>las</w:t>
      </w:r>
      <w:r>
        <w:rPr>
          <w:spacing w:val="-14"/>
        </w:rPr>
        <w:t xml:space="preserve"> </w:t>
      </w:r>
      <w:r>
        <w:t>personas</w:t>
      </w:r>
      <w:r>
        <w:rPr>
          <w:spacing w:val="-14"/>
        </w:rPr>
        <w:t xml:space="preserve"> </w:t>
      </w:r>
      <w:r>
        <w:t>en</w:t>
      </w:r>
      <w:r>
        <w:rPr>
          <w:spacing w:val="-14"/>
        </w:rPr>
        <w:t xml:space="preserve"> </w:t>
      </w:r>
      <w:r>
        <w:t>situación</w:t>
      </w:r>
      <w:r>
        <w:rPr>
          <w:spacing w:val="-14"/>
        </w:rPr>
        <w:t xml:space="preserve"> </w:t>
      </w:r>
      <w:r>
        <w:t>de</w:t>
      </w:r>
      <w:r>
        <w:rPr>
          <w:spacing w:val="-13"/>
        </w:rPr>
        <w:t xml:space="preserve"> </w:t>
      </w:r>
      <w:r>
        <w:t>calle,</w:t>
      </w:r>
      <w:r>
        <w:rPr>
          <w:spacing w:val="-14"/>
        </w:rPr>
        <w:t xml:space="preserve"> </w:t>
      </w:r>
      <w:r>
        <w:t>reciben</w:t>
      </w:r>
      <w:r>
        <w:rPr>
          <w:spacing w:val="-14"/>
        </w:rPr>
        <w:t xml:space="preserve"> </w:t>
      </w:r>
      <w:r>
        <w:t>algún</w:t>
      </w:r>
      <w:r>
        <w:rPr>
          <w:spacing w:val="-12"/>
        </w:rPr>
        <w:t xml:space="preserve"> </w:t>
      </w:r>
      <w:r>
        <w:t>apoyo,</w:t>
      </w:r>
      <w:r>
        <w:rPr>
          <w:spacing w:val="-14"/>
        </w:rPr>
        <w:t xml:space="preserve"> </w:t>
      </w:r>
      <w:r>
        <w:t>con</w:t>
      </w:r>
      <w:r>
        <w:rPr>
          <w:spacing w:val="-14"/>
        </w:rPr>
        <w:t xml:space="preserve"> </w:t>
      </w:r>
      <w:r>
        <w:t>más frecuencia las mujeres (57%). Entre quienes reciben ayuda, la principal fuente reportada son las instituciones oficiales, (24,6%). Asimismo, 22% de</w:t>
      </w:r>
      <w:r>
        <w:rPr>
          <w:spacing w:val="-22"/>
        </w:rPr>
        <w:t xml:space="preserve"> </w:t>
      </w:r>
      <w:r>
        <w:t>las</w:t>
      </w:r>
      <w:r>
        <w:rPr>
          <w:spacing w:val="-21"/>
        </w:rPr>
        <w:t xml:space="preserve"> </w:t>
      </w:r>
      <w:r>
        <w:t>personas</w:t>
      </w:r>
      <w:r>
        <w:rPr>
          <w:spacing w:val="-21"/>
        </w:rPr>
        <w:t xml:space="preserve"> </w:t>
      </w:r>
      <w:r>
        <w:t>reciben</w:t>
      </w:r>
      <w:r>
        <w:rPr>
          <w:spacing w:val="-21"/>
        </w:rPr>
        <w:t xml:space="preserve"> </w:t>
      </w:r>
      <w:r>
        <w:t>apoyo</w:t>
      </w:r>
      <w:r>
        <w:rPr>
          <w:spacing w:val="-21"/>
        </w:rPr>
        <w:t xml:space="preserve"> </w:t>
      </w:r>
      <w:r>
        <w:t>de</w:t>
      </w:r>
      <w:r>
        <w:rPr>
          <w:spacing w:val="-21"/>
        </w:rPr>
        <w:t xml:space="preserve"> </w:t>
      </w:r>
      <w:r>
        <w:t>un</w:t>
      </w:r>
      <w:r>
        <w:rPr>
          <w:spacing w:val="-21"/>
        </w:rPr>
        <w:t xml:space="preserve"> </w:t>
      </w:r>
      <w:r>
        <w:t>familiar,</w:t>
      </w:r>
      <w:r>
        <w:rPr>
          <w:spacing w:val="-21"/>
        </w:rPr>
        <w:t xml:space="preserve"> </w:t>
      </w:r>
      <w:r>
        <w:t>12%</w:t>
      </w:r>
      <w:r>
        <w:rPr>
          <w:spacing w:val="-21"/>
        </w:rPr>
        <w:t xml:space="preserve"> </w:t>
      </w:r>
      <w:r>
        <w:t>reciben</w:t>
      </w:r>
      <w:r>
        <w:rPr>
          <w:spacing w:val="-21"/>
        </w:rPr>
        <w:t xml:space="preserve"> </w:t>
      </w:r>
      <w:r>
        <w:t>apoyo</w:t>
      </w:r>
      <w:r>
        <w:rPr>
          <w:spacing w:val="-22"/>
        </w:rPr>
        <w:t xml:space="preserve"> </w:t>
      </w:r>
      <w:r>
        <w:t>de</w:t>
      </w:r>
      <w:r>
        <w:rPr>
          <w:spacing w:val="-21"/>
        </w:rPr>
        <w:t xml:space="preserve"> </w:t>
      </w:r>
      <w:proofErr w:type="gramStart"/>
      <w:r>
        <w:t>amigos y amigas</w:t>
      </w:r>
      <w:proofErr w:type="gramEnd"/>
      <w:r>
        <w:t>, y 7,5% de organizaciones religiosas.</w:t>
      </w:r>
    </w:p>
    <w:p w14:paraId="443101D0" w14:textId="77777777" w:rsidR="000E52B0" w:rsidRDefault="000E52B0">
      <w:pPr>
        <w:pStyle w:val="Textoindependiente"/>
        <w:ind w:left="0"/>
        <w:rPr>
          <w:sz w:val="20"/>
        </w:rPr>
      </w:pPr>
    </w:p>
    <w:p w14:paraId="271F5F68" w14:textId="77777777" w:rsidR="000E52B0" w:rsidRDefault="000E52B0">
      <w:pPr>
        <w:pStyle w:val="Textoindependiente"/>
        <w:ind w:left="0"/>
        <w:rPr>
          <w:sz w:val="20"/>
        </w:rPr>
      </w:pPr>
    </w:p>
    <w:p w14:paraId="799BE042" w14:textId="77777777" w:rsidR="000E52B0" w:rsidRDefault="000E52B0">
      <w:pPr>
        <w:pStyle w:val="Textoindependiente"/>
        <w:ind w:left="0"/>
        <w:rPr>
          <w:sz w:val="20"/>
        </w:rPr>
      </w:pPr>
    </w:p>
    <w:p w14:paraId="6BF74F1E" w14:textId="77777777" w:rsidR="000E52B0" w:rsidRDefault="000E52B0">
      <w:pPr>
        <w:pStyle w:val="Textoindependiente"/>
        <w:ind w:left="0"/>
        <w:rPr>
          <w:sz w:val="20"/>
        </w:rPr>
      </w:pPr>
    </w:p>
    <w:p w14:paraId="09A31794" w14:textId="77777777" w:rsidR="000E52B0" w:rsidRDefault="000E52B0">
      <w:pPr>
        <w:pStyle w:val="Textoindependiente"/>
        <w:ind w:left="0"/>
        <w:rPr>
          <w:sz w:val="20"/>
        </w:rPr>
      </w:pPr>
    </w:p>
    <w:p w14:paraId="50CC4EF9" w14:textId="77777777" w:rsidR="000E52B0" w:rsidRDefault="000E52B0">
      <w:pPr>
        <w:pStyle w:val="Textoindependiente"/>
        <w:ind w:left="0"/>
        <w:rPr>
          <w:sz w:val="20"/>
        </w:rPr>
      </w:pPr>
    </w:p>
    <w:p w14:paraId="48FE87DD" w14:textId="77777777" w:rsidR="000E52B0" w:rsidRDefault="000E52B0">
      <w:pPr>
        <w:pStyle w:val="Textoindependiente"/>
        <w:ind w:left="0"/>
        <w:rPr>
          <w:sz w:val="20"/>
        </w:rPr>
      </w:pPr>
    </w:p>
    <w:p w14:paraId="67AF0838" w14:textId="77777777" w:rsidR="000E52B0" w:rsidRDefault="000E52B0">
      <w:pPr>
        <w:pStyle w:val="Textoindependiente"/>
        <w:ind w:left="0"/>
        <w:rPr>
          <w:sz w:val="20"/>
        </w:rPr>
      </w:pPr>
    </w:p>
    <w:p w14:paraId="40DB2B81" w14:textId="77777777" w:rsidR="000E52B0" w:rsidRDefault="000E52B0">
      <w:pPr>
        <w:pStyle w:val="Textoindependiente"/>
        <w:ind w:left="0"/>
        <w:rPr>
          <w:sz w:val="20"/>
        </w:rPr>
      </w:pPr>
    </w:p>
    <w:p w14:paraId="3320C191" w14:textId="77777777" w:rsidR="000E52B0" w:rsidRDefault="00F60D74">
      <w:pPr>
        <w:pStyle w:val="Textoindependiente"/>
        <w:spacing w:before="5"/>
        <w:ind w:left="0"/>
        <w:rPr>
          <w:sz w:val="20"/>
        </w:rPr>
      </w:pPr>
      <w:r>
        <w:rPr>
          <w:noProof/>
          <w:sz w:val="20"/>
        </w:rPr>
        <mc:AlternateContent>
          <mc:Choice Requires="wps">
            <w:drawing>
              <wp:anchor distT="0" distB="0" distL="0" distR="0" simplePos="0" relativeHeight="487648256" behindDoc="1" locked="0" layoutInCell="1" allowOverlap="1" wp14:anchorId="4698C74A" wp14:editId="6E2232E1">
                <wp:simplePos x="0" y="0"/>
                <wp:positionH relativeFrom="page">
                  <wp:posOffset>914704</wp:posOffset>
                </wp:positionH>
                <wp:positionV relativeFrom="paragraph">
                  <wp:posOffset>173033</wp:posOffset>
                </wp:positionV>
                <wp:extent cx="1829435" cy="7620"/>
                <wp:effectExtent l="0" t="0" r="0" b="0"/>
                <wp:wrapTopAndBottom/>
                <wp:docPr id="466"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BF0E0C" id="Graphic 466" o:spid="_x0000_s1026" style="position:absolute;margin-left:1in;margin-top:13.6pt;width:144.05pt;height:.6pt;z-index:-156682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" path="m1829054,l,,,7619r1829054,l1829054,xe" fillcolor="black" stroked="f">
                <v:path arrowok="t"/>
                <w10:wrap type="topAndBottom" anchorx="page"/>
              </v:shape>
            </w:pict>
          </mc:Fallback>
        </mc:AlternateContent>
      </w:r>
    </w:p>
    <w:p w14:paraId="0AAE9904" w14:textId="77777777" w:rsidR="000E52B0" w:rsidRDefault="00F60D74">
      <w:pPr>
        <w:tabs>
          <w:tab w:val="left" w:pos="2027"/>
          <w:tab w:val="left" w:pos="2681"/>
          <w:tab w:val="left" w:pos="3746"/>
          <w:tab w:val="left" w:pos="4331"/>
          <w:tab w:val="left" w:pos="5335"/>
          <w:tab w:val="left" w:pos="5830"/>
          <w:tab w:val="left" w:pos="7174"/>
          <w:tab w:val="left" w:pos="7528"/>
          <w:tab w:val="left" w:pos="8271"/>
          <w:tab w:val="left" w:pos="9547"/>
        </w:tabs>
        <w:spacing w:before="96"/>
        <w:ind w:left="720" w:right="716"/>
        <w:rPr>
          <w:rFonts w:ascii="Arial MT" w:hAnsi="Arial MT"/>
          <w:sz w:val="18"/>
        </w:rPr>
      </w:pPr>
      <w:bookmarkStart w:id="59" w:name="_bookmark59"/>
      <w:bookmarkEnd w:id="59"/>
      <w:r>
        <w:rPr>
          <w:rFonts w:ascii="Arial MT" w:hAnsi="Arial MT"/>
          <w:position w:val="6"/>
          <w:sz w:val="12"/>
        </w:rPr>
        <w:t>53</w:t>
      </w:r>
      <w:r>
        <w:rPr>
          <w:rFonts w:ascii="Arial MT" w:hAnsi="Arial MT"/>
          <w:spacing w:val="40"/>
          <w:position w:val="6"/>
          <w:sz w:val="12"/>
        </w:rPr>
        <w:t xml:space="preserve"> </w:t>
      </w:r>
      <w:proofErr w:type="gramStart"/>
      <w:r>
        <w:rPr>
          <w:rFonts w:ascii="Arial MT" w:hAnsi="Arial MT"/>
          <w:sz w:val="18"/>
        </w:rPr>
        <w:t>Grupo</w:t>
      </w:r>
      <w:proofErr w:type="gramEnd"/>
      <w:r>
        <w:rPr>
          <w:rFonts w:ascii="Arial MT" w:hAnsi="Arial MT"/>
          <w:spacing w:val="40"/>
          <w:sz w:val="18"/>
        </w:rPr>
        <w:t xml:space="preserve"> </w:t>
      </w:r>
      <w:proofErr w:type="spellStart"/>
      <w:r>
        <w:rPr>
          <w:rFonts w:ascii="Arial MT" w:hAnsi="Arial MT"/>
          <w:sz w:val="18"/>
        </w:rPr>
        <w:t>Interagencial</w:t>
      </w:r>
      <w:proofErr w:type="spellEnd"/>
      <w:r>
        <w:rPr>
          <w:rFonts w:ascii="Arial MT" w:hAnsi="Arial MT"/>
          <w:spacing w:val="40"/>
          <w:sz w:val="18"/>
        </w:rPr>
        <w:t xml:space="preserve"> </w:t>
      </w:r>
      <w:r>
        <w:rPr>
          <w:rFonts w:ascii="Arial MT" w:hAnsi="Arial MT"/>
          <w:sz w:val="18"/>
        </w:rPr>
        <w:t>sobre</w:t>
      </w:r>
      <w:r>
        <w:rPr>
          <w:rFonts w:ascii="Arial MT" w:hAnsi="Arial MT"/>
          <w:spacing w:val="40"/>
          <w:sz w:val="18"/>
        </w:rPr>
        <w:t xml:space="preserve"> </w:t>
      </w:r>
      <w:r>
        <w:rPr>
          <w:rFonts w:ascii="Arial MT" w:hAnsi="Arial MT"/>
          <w:sz w:val="18"/>
        </w:rPr>
        <w:t>Flujos</w:t>
      </w:r>
      <w:r>
        <w:rPr>
          <w:rFonts w:ascii="Arial MT" w:hAnsi="Arial MT"/>
          <w:spacing w:val="40"/>
          <w:sz w:val="18"/>
        </w:rPr>
        <w:t xml:space="preserve"> </w:t>
      </w:r>
      <w:r>
        <w:rPr>
          <w:rFonts w:ascii="Arial MT" w:hAnsi="Arial MT"/>
          <w:sz w:val="18"/>
        </w:rPr>
        <w:t>Migratorios</w:t>
      </w:r>
      <w:r>
        <w:rPr>
          <w:rFonts w:ascii="Arial MT" w:hAnsi="Arial MT"/>
          <w:spacing w:val="40"/>
          <w:sz w:val="18"/>
        </w:rPr>
        <w:t xml:space="preserve"> </w:t>
      </w:r>
      <w:r>
        <w:rPr>
          <w:rFonts w:ascii="Arial MT" w:hAnsi="Arial MT"/>
          <w:sz w:val="18"/>
        </w:rPr>
        <w:t>Mixtos</w:t>
      </w:r>
      <w:r>
        <w:rPr>
          <w:rFonts w:ascii="Arial MT" w:hAnsi="Arial MT"/>
          <w:spacing w:val="40"/>
          <w:sz w:val="18"/>
        </w:rPr>
        <w:t xml:space="preserve"> </w:t>
      </w:r>
      <w:r>
        <w:rPr>
          <w:rFonts w:ascii="Arial MT" w:hAnsi="Arial MT"/>
          <w:sz w:val="18"/>
        </w:rPr>
        <w:t>(GIFMM)</w:t>
      </w:r>
      <w:r>
        <w:rPr>
          <w:rFonts w:ascii="Arial MT" w:hAnsi="Arial MT"/>
          <w:spacing w:val="40"/>
          <w:sz w:val="18"/>
        </w:rPr>
        <w:t xml:space="preserve"> </w:t>
      </w:r>
      <w:r>
        <w:rPr>
          <w:rFonts w:ascii="Arial MT" w:hAnsi="Arial MT"/>
          <w:sz w:val="18"/>
        </w:rPr>
        <w:t>Colombia.</w:t>
      </w:r>
      <w:r>
        <w:rPr>
          <w:rFonts w:ascii="Arial MT" w:hAnsi="Arial MT"/>
          <w:spacing w:val="40"/>
          <w:sz w:val="18"/>
        </w:rPr>
        <w:t xml:space="preserve"> </w:t>
      </w:r>
      <w:r>
        <w:rPr>
          <w:rFonts w:ascii="Arial MT" w:hAnsi="Arial MT"/>
          <w:sz w:val="18"/>
        </w:rPr>
        <w:t>(2023).</w:t>
      </w:r>
      <w:r>
        <w:rPr>
          <w:rFonts w:ascii="Arial MT" w:hAnsi="Arial MT"/>
          <w:spacing w:val="40"/>
          <w:sz w:val="18"/>
        </w:rPr>
        <w:t xml:space="preserve"> </w:t>
      </w:r>
      <w:r>
        <w:rPr>
          <w:rFonts w:ascii="Arial MT" w:hAnsi="Arial MT"/>
          <w:sz w:val="18"/>
        </w:rPr>
        <w:t>Evaluación</w:t>
      </w:r>
      <w:r>
        <w:rPr>
          <w:rFonts w:ascii="Arial MT" w:hAnsi="Arial MT"/>
          <w:spacing w:val="40"/>
          <w:sz w:val="18"/>
        </w:rPr>
        <w:t xml:space="preserve"> </w:t>
      </w:r>
      <w:r>
        <w:rPr>
          <w:rFonts w:ascii="Arial MT" w:hAnsi="Arial MT"/>
          <w:sz w:val="18"/>
        </w:rPr>
        <w:t>conjunta</w:t>
      </w:r>
      <w:r>
        <w:rPr>
          <w:rFonts w:ascii="Arial MT" w:hAnsi="Arial MT"/>
          <w:spacing w:val="40"/>
          <w:sz w:val="18"/>
        </w:rPr>
        <w:t xml:space="preserve"> </w:t>
      </w:r>
      <w:r>
        <w:rPr>
          <w:rFonts w:ascii="Arial MT" w:hAnsi="Arial MT"/>
          <w:sz w:val="18"/>
        </w:rPr>
        <w:t xml:space="preserve">de </w:t>
      </w:r>
      <w:r>
        <w:rPr>
          <w:rFonts w:ascii="Arial MT" w:hAnsi="Arial MT"/>
          <w:spacing w:val="-2"/>
          <w:sz w:val="18"/>
        </w:rPr>
        <w:t>necesidades</w:t>
      </w:r>
      <w:r>
        <w:rPr>
          <w:rFonts w:ascii="Arial MT" w:hAnsi="Arial MT"/>
          <w:sz w:val="18"/>
        </w:rPr>
        <w:tab/>
      </w:r>
      <w:r>
        <w:rPr>
          <w:rFonts w:ascii="Arial MT" w:hAnsi="Arial MT"/>
          <w:spacing w:val="-4"/>
          <w:sz w:val="18"/>
        </w:rPr>
        <w:t>para</w:t>
      </w:r>
      <w:r>
        <w:rPr>
          <w:rFonts w:ascii="Arial MT" w:hAnsi="Arial MT"/>
          <w:sz w:val="18"/>
        </w:rPr>
        <w:tab/>
      </w:r>
      <w:r>
        <w:rPr>
          <w:rFonts w:ascii="Arial MT" w:hAnsi="Arial MT"/>
          <w:spacing w:val="-2"/>
          <w:sz w:val="18"/>
        </w:rPr>
        <w:t>población</w:t>
      </w:r>
      <w:r>
        <w:rPr>
          <w:rFonts w:ascii="Arial MT" w:hAnsi="Arial MT"/>
          <w:sz w:val="18"/>
        </w:rPr>
        <w:tab/>
      </w:r>
      <w:r>
        <w:rPr>
          <w:rFonts w:ascii="Arial MT" w:hAnsi="Arial MT"/>
          <w:spacing w:val="-4"/>
          <w:sz w:val="18"/>
        </w:rPr>
        <w:t>con</w:t>
      </w:r>
      <w:r>
        <w:rPr>
          <w:rFonts w:ascii="Arial MT" w:hAnsi="Arial MT"/>
          <w:sz w:val="18"/>
        </w:rPr>
        <w:tab/>
      </w:r>
      <w:r>
        <w:rPr>
          <w:rFonts w:ascii="Arial MT" w:hAnsi="Arial MT"/>
          <w:spacing w:val="-2"/>
          <w:sz w:val="18"/>
        </w:rPr>
        <w:t>vocación</w:t>
      </w:r>
      <w:r>
        <w:rPr>
          <w:rFonts w:ascii="Arial MT" w:hAnsi="Arial MT"/>
          <w:sz w:val="18"/>
        </w:rPr>
        <w:tab/>
      </w:r>
      <w:r>
        <w:rPr>
          <w:rFonts w:ascii="Arial MT" w:hAnsi="Arial MT"/>
          <w:spacing w:val="-6"/>
          <w:sz w:val="18"/>
        </w:rPr>
        <w:t>de</w:t>
      </w:r>
      <w:r>
        <w:rPr>
          <w:rFonts w:ascii="Arial MT" w:hAnsi="Arial MT"/>
          <w:sz w:val="18"/>
        </w:rPr>
        <w:tab/>
      </w:r>
      <w:r>
        <w:rPr>
          <w:rFonts w:ascii="Arial MT" w:hAnsi="Arial MT"/>
          <w:spacing w:val="-2"/>
          <w:sz w:val="18"/>
        </w:rPr>
        <w:t>permanencia</w:t>
      </w:r>
      <w:r>
        <w:rPr>
          <w:rFonts w:ascii="Arial MT" w:hAnsi="Arial MT"/>
          <w:sz w:val="18"/>
        </w:rPr>
        <w:tab/>
      </w:r>
      <w:r>
        <w:rPr>
          <w:rFonts w:ascii="Arial MT" w:hAnsi="Arial MT"/>
          <w:spacing w:val="-10"/>
          <w:sz w:val="18"/>
        </w:rPr>
        <w:t>-</w:t>
      </w:r>
      <w:r>
        <w:rPr>
          <w:rFonts w:ascii="Arial MT" w:hAnsi="Arial MT"/>
          <w:sz w:val="18"/>
        </w:rPr>
        <w:tab/>
      </w:r>
      <w:r>
        <w:rPr>
          <w:rFonts w:ascii="Arial MT" w:hAnsi="Arial MT"/>
          <w:spacing w:val="-2"/>
          <w:sz w:val="18"/>
        </w:rPr>
        <w:t>2023.</w:t>
      </w:r>
      <w:r>
        <w:rPr>
          <w:rFonts w:ascii="Arial MT" w:hAnsi="Arial MT"/>
          <w:sz w:val="18"/>
        </w:rPr>
        <w:tab/>
      </w:r>
      <w:r>
        <w:rPr>
          <w:rFonts w:ascii="Arial MT" w:hAnsi="Arial MT"/>
          <w:spacing w:val="-2"/>
          <w:sz w:val="18"/>
        </w:rPr>
        <w:t>Recuperado</w:t>
      </w:r>
      <w:r>
        <w:rPr>
          <w:rFonts w:ascii="Arial MT" w:hAnsi="Arial MT"/>
          <w:sz w:val="18"/>
        </w:rPr>
        <w:tab/>
      </w:r>
      <w:r>
        <w:rPr>
          <w:rFonts w:ascii="Arial MT" w:hAnsi="Arial MT"/>
          <w:spacing w:val="-6"/>
          <w:sz w:val="18"/>
        </w:rPr>
        <w:t xml:space="preserve">de </w:t>
      </w:r>
      <w:r>
        <w:rPr>
          <w:rFonts w:ascii="Arial MT" w:hAnsi="Arial MT"/>
          <w:spacing w:val="-2"/>
          <w:sz w:val="18"/>
        </w:rPr>
        <w:t>https:/</w:t>
      </w:r>
      <w:hyperlink r:id="rId169">
        <w:r w:rsidR="000E52B0">
          <w:rPr>
            <w:rFonts w:ascii="Arial MT" w:hAnsi="Arial MT"/>
            <w:spacing w:val="-2"/>
            <w:sz w:val="18"/>
          </w:rPr>
          <w:t>/www.r4v.info/es/document/gifmm-colombia-evaluacion-conjunta-de-necesidades-para-poblacion-con-</w:t>
        </w:r>
      </w:hyperlink>
      <w:r>
        <w:rPr>
          <w:rFonts w:ascii="Arial MT" w:hAnsi="Arial MT"/>
          <w:spacing w:val="-2"/>
          <w:sz w:val="18"/>
        </w:rPr>
        <w:t xml:space="preserve"> vocacion-de-0</w:t>
      </w:r>
    </w:p>
    <w:p w14:paraId="6730F0EA" w14:textId="77777777" w:rsidR="000E52B0" w:rsidRDefault="000E52B0">
      <w:pPr>
        <w:rPr>
          <w:rFonts w:ascii="Arial MT" w:hAnsi="Arial MT"/>
          <w:sz w:val="18"/>
        </w:rPr>
        <w:sectPr w:rsidR="000E52B0">
          <w:pgSz w:w="11910" w:h="16840"/>
          <w:pgMar w:top="1340" w:right="720" w:bottom="1180" w:left="720" w:header="0" w:footer="995" w:gutter="0"/>
          <w:cols w:space="720"/>
        </w:sectPr>
      </w:pPr>
    </w:p>
    <w:p w14:paraId="5B971F44" w14:textId="77777777" w:rsidR="000E52B0" w:rsidRDefault="00F60D74">
      <w:pPr>
        <w:spacing w:before="80"/>
        <w:ind w:right="1"/>
        <w:jc w:val="center"/>
        <w:rPr>
          <w:i/>
          <w:sz w:val="18"/>
        </w:rPr>
      </w:pPr>
      <w:r>
        <w:rPr>
          <w:i/>
          <w:color w:val="454551"/>
          <w:sz w:val="18"/>
        </w:rPr>
        <w:lastRenderedPageBreak/>
        <w:t>Ilustración</w:t>
      </w:r>
      <w:r>
        <w:rPr>
          <w:i/>
          <w:color w:val="454551"/>
          <w:spacing w:val="-4"/>
          <w:sz w:val="18"/>
        </w:rPr>
        <w:t xml:space="preserve"> </w:t>
      </w:r>
      <w:r>
        <w:rPr>
          <w:i/>
          <w:color w:val="454551"/>
          <w:sz w:val="18"/>
        </w:rPr>
        <w:t>39.</w:t>
      </w:r>
      <w:r>
        <w:rPr>
          <w:i/>
          <w:color w:val="454551"/>
          <w:spacing w:val="-5"/>
          <w:sz w:val="18"/>
        </w:rPr>
        <w:t xml:space="preserve"> </w:t>
      </w:r>
      <w:r>
        <w:rPr>
          <w:i/>
          <w:color w:val="454551"/>
          <w:sz w:val="18"/>
        </w:rPr>
        <w:t>PRINCIPALMENTE,</w:t>
      </w:r>
      <w:r>
        <w:rPr>
          <w:i/>
          <w:color w:val="454551"/>
          <w:spacing w:val="-5"/>
          <w:sz w:val="18"/>
        </w:rPr>
        <w:t xml:space="preserve"> </w:t>
      </w:r>
      <w:r>
        <w:rPr>
          <w:i/>
          <w:color w:val="454551"/>
          <w:sz w:val="18"/>
        </w:rPr>
        <w:t>¿cómo</w:t>
      </w:r>
      <w:r>
        <w:rPr>
          <w:i/>
          <w:color w:val="454551"/>
          <w:spacing w:val="-3"/>
          <w:sz w:val="18"/>
        </w:rPr>
        <w:t xml:space="preserve"> </w:t>
      </w:r>
      <w:r>
        <w:rPr>
          <w:i/>
          <w:color w:val="454551"/>
          <w:sz w:val="18"/>
        </w:rPr>
        <w:t>consigue</w:t>
      </w:r>
      <w:r>
        <w:rPr>
          <w:i/>
          <w:color w:val="454551"/>
          <w:spacing w:val="-4"/>
          <w:sz w:val="18"/>
        </w:rPr>
        <w:t xml:space="preserve"> </w:t>
      </w:r>
      <w:r>
        <w:rPr>
          <w:i/>
          <w:color w:val="454551"/>
          <w:sz w:val="18"/>
        </w:rPr>
        <w:t>usted</w:t>
      </w:r>
      <w:r>
        <w:rPr>
          <w:i/>
          <w:color w:val="454551"/>
          <w:spacing w:val="-4"/>
          <w:sz w:val="18"/>
        </w:rPr>
        <w:t xml:space="preserve"> </w:t>
      </w:r>
      <w:r>
        <w:rPr>
          <w:i/>
          <w:color w:val="454551"/>
          <w:spacing w:val="-2"/>
          <w:sz w:val="18"/>
        </w:rPr>
        <w:t>dinero?</w:t>
      </w:r>
    </w:p>
    <w:p w14:paraId="4F9760DF" w14:textId="77777777" w:rsidR="000E52B0" w:rsidRDefault="000E52B0">
      <w:pPr>
        <w:pStyle w:val="Textoindependiente"/>
        <w:spacing w:before="129"/>
        <w:ind w:left="0"/>
        <w:rPr>
          <w:i/>
          <w:sz w:val="20"/>
        </w:rPr>
      </w:pPr>
    </w:p>
    <w:p w14:paraId="7D6C3DCC" w14:textId="77777777" w:rsidR="000E52B0" w:rsidRDefault="000E52B0">
      <w:pPr>
        <w:pStyle w:val="Textoindependiente"/>
        <w:rPr>
          <w:i/>
          <w:sz w:val="20"/>
        </w:rPr>
        <w:sectPr w:rsidR="000E52B0">
          <w:pgSz w:w="11910" w:h="16840"/>
          <w:pgMar w:top="1340" w:right="720" w:bottom="1180" w:left="720" w:header="0" w:footer="995" w:gutter="0"/>
          <w:cols w:space="720"/>
        </w:sectPr>
      </w:pPr>
    </w:p>
    <w:p w14:paraId="3C8BC5CD" w14:textId="77777777" w:rsidR="000E52B0" w:rsidRDefault="00F60D74">
      <w:pPr>
        <w:spacing w:before="4" w:line="496" w:lineRule="exact"/>
        <w:ind w:left="1056" w:firstLine="1670"/>
        <w:rPr>
          <w:rFonts w:ascii="Trebuchet MS"/>
          <w:sz w:val="18"/>
        </w:rPr>
      </w:pPr>
      <w:r>
        <w:rPr>
          <w:rFonts w:ascii="Trebuchet MS"/>
          <w:color w:val="585858"/>
          <w:spacing w:val="-4"/>
          <w:sz w:val="18"/>
        </w:rPr>
        <w:t>Recogiendo</w:t>
      </w:r>
      <w:r>
        <w:rPr>
          <w:rFonts w:ascii="Trebuchet MS"/>
          <w:color w:val="585858"/>
          <w:spacing w:val="-13"/>
          <w:sz w:val="18"/>
        </w:rPr>
        <w:t xml:space="preserve"> </w:t>
      </w:r>
      <w:r>
        <w:rPr>
          <w:rFonts w:ascii="Trebuchet MS"/>
          <w:color w:val="585858"/>
          <w:spacing w:val="-4"/>
          <w:sz w:val="18"/>
        </w:rPr>
        <w:t>material</w:t>
      </w:r>
      <w:r>
        <w:rPr>
          <w:rFonts w:ascii="Trebuchet MS"/>
          <w:color w:val="585858"/>
          <w:spacing w:val="-11"/>
          <w:sz w:val="18"/>
        </w:rPr>
        <w:t xml:space="preserve"> </w:t>
      </w:r>
      <w:r>
        <w:rPr>
          <w:rFonts w:ascii="Trebuchet MS"/>
          <w:color w:val="585858"/>
          <w:spacing w:val="-4"/>
          <w:sz w:val="18"/>
        </w:rPr>
        <w:t xml:space="preserve">reciclable </w:t>
      </w:r>
      <w:r>
        <w:rPr>
          <w:rFonts w:ascii="Trebuchet MS"/>
          <w:color w:val="585858"/>
          <w:spacing w:val="-2"/>
          <w:sz w:val="18"/>
        </w:rPr>
        <w:t>Limpiando</w:t>
      </w:r>
      <w:r>
        <w:rPr>
          <w:rFonts w:ascii="Trebuchet MS"/>
          <w:color w:val="585858"/>
          <w:spacing w:val="-18"/>
          <w:sz w:val="18"/>
        </w:rPr>
        <w:t xml:space="preserve"> </w:t>
      </w:r>
      <w:r>
        <w:rPr>
          <w:rFonts w:ascii="Trebuchet MS"/>
          <w:color w:val="585858"/>
          <w:spacing w:val="-2"/>
          <w:sz w:val="18"/>
        </w:rPr>
        <w:t>vidrios,</w:t>
      </w:r>
      <w:r>
        <w:rPr>
          <w:rFonts w:ascii="Trebuchet MS"/>
          <w:color w:val="585858"/>
          <w:spacing w:val="-17"/>
          <w:sz w:val="18"/>
        </w:rPr>
        <w:t xml:space="preserve"> </w:t>
      </w:r>
      <w:r>
        <w:rPr>
          <w:rFonts w:ascii="Trebuchet MS"/>
          <w:color w:val="585858"/>
          <w:spacing w:val="-2"/>
          <w:sz w:val="18"/>
        </w:rPr>
        <w:t>cuidando</w:t>
      </w:r>
      <w:r>
        <w:rPr>
          <w:rFonts w:ascii="Trebuchet MS"/>
          <w:color w:val="585858"/>
          <w:spacing w:val="-17"/>
          <w:sz w:val="18"/>
        </w:rPr>
        <w:t xml:space="preserve"> </w:t>
      </w:r>
      <w:r>
        <w:rPr>
          <w:rFonts w:ascii="Trebuchet MS"/>
          <w:color w:val="585858"/>
          <w:spacing w:val="-2"/>
          <w:sz w:val="18"/>
        </w:rPr>
        <w:t>carros,</w:t>
      </w:r>
      <w:r>
        <w:rPr>
          <w:rFonts w:ascii="Trebuchet MS"/>
          <w:color w:val="585858"/>
          <w:spacing w:val="-18"/>
          <w:sz w:val="18"/>
        </w:rPr>
        <w:t xml:space="preserve"> </w:t>
      </w:r>
      <w:r>
        <w:rPr>
          <w:rFonts w:ascii="Trebuchet MS"/>
          <w:color w:val="585858"/>
          <w:spacing w:val="-2"/>
          <w:sz w:val="18"/>
        </w:rPr>
        <w:t>tocando</w:t>
      </w:r>
      <w:r>
        <w:rPr>
          <w:rFonts w:ascii="Trebuchet MS"/>
          <w:color w:val="585858"/>
          <w:spacing w:val="-18"/>
          <w:sz w:val="18"/>
        </w:rPr>
        <w:t xml:space="preserve"> </w:t>
      </w:r>
      <w:r>
        <w:rPr>
          <w:rFonts w:ascii="Trebuchet MS"/>
          <w:color w:val="585858"/>
          <w:spacing w:val="-2"/>
          <w:sz w:val="18"/>
        </w:rPr>
        <w:t>llantas,</w:t>
      </w:r>
    </w:p>
    <w:p w14:paraId="59302BB4" w14:textId="77777777" w:rsidR="000E52B0" w:rsidRDefault="00F60D74">
      <w:pPr>
        <w:spacing w:line="161" w:lineRule="exact"/>
        <w:ind w:left="1007"/>
        <w:jc w:val="center"/>
        <w:rPr>
          <w:rFonts w:ascii="Trebuchet MS"/>
          <w:sz w:val="18"/>
        </w:rPr>
      </w:pPr>
      <w:proofErr w:type="spellStart"/>
      <w:r>
        <w:rPr>
          <w:rFonts w:ascii="Trebuchet MS"/>
          <w:color w:val="585858"/>
          <w:spacing w:val="-2"/>
          <w:sz w:val="18"/>
        </w:rPr>
        <w:t>vendien</w:t>
      </w:r>
      <w:proofErr w:type="spellEnd"/>
    </w:p>
    <w:p w14:paraId="28097740" w14:textId="77777777" w:rsidR="000E52B0" w:rsidRDefault="000E52B0">
      <w:pPr>
        <w:pStyle w:val="Textoindependiente"/>
        <w:spacing w:before="79"/>
        <w:ind w:left="0"/>
        <w:rPr>
          <w:rFonts w:ascii="Trebuchet MS"/>
          <w:sz w:val="18"/>
        </w:rPr>
      </w:pPr>
    </w:p>
    <w:p w14:paraId="0E30AA72" w14:textId="77777777" w:rsidR="000E52B0" w:rsidRDefault="00F60D74">
      <w:pPr>
        <w:ind w:right="46"/>
        <w:jc w:val="right"/>
        <w:rPr>
          <w:rFonts w:ascii="Trebuchet MS"/>
          <w:sz w:val="18"/>
        </w:rPr>
      </w:pPr>
      <w:r>
        <w:rPr>
          <w:rFonts w:ascii="Trebuchet MS"/>
          <w:color w:val="585858"/>
          <w:spacing w:val="-4"/>
          <w:sz w:val="18"/>
        </w:rPr>
        <w:t>Pidiendo,</w:t>
      </w:r>
      <w:r>
        <w:rPr>
          <w:rFonts w:ascii="Trebuchet MS"/>
          <w:color w:val="585858"/>
          <w:spacing w:val="-16"/>
          <w:sz w:val="18"/>
        </w:rPr>
        <w:t xml:space="preserve"> </w:t>
      </w:r>
      <w:r>
        <w:rPr>
          <w:rFonts w:ascii="Trebuchet MS"/>
          <w:color w:val="585858"/>
          <w:spacing w:val="-4"/>
          <w:sz w:val="18"/>
        </w:rPr>
        <w:t>retacando,</w:t>
      </w:r>
      <w:r>
        <w:rPr>
          <w:rFonts w:ascii="Trebuchet MS"/>
          <w:color w:val="585858"/>
          <w:spacing w:val="-17"/>
          <w:sz w:val="18"/>
        </w:rPr>
        <w:t xml:space="preserve"> </w:t>
      </w:r>
      <w:r>
        <w:rPr>
          <w:rFonts w:ascii="Trebuchet MS"/>
          <w:color w:val="585858"/>
          <w:spacing w:val="-4"/>
          <w:sz w:val="18"/>
        </w:rPr>
        <w:t>mendigando</w:t>
      </w:r>
    </w:p>
    <w:p w14:paraId="7C0782DE" w14:textId="77777777" w:rsidR="000E52B0" w:rsidRDefault="000E52B0">
      <w:pPr>
        <w:pStyle w:val="Textoindependiente"/>
        <w:spacing w:before="188"/>
        <w:ind w:left="0"/>
        <w:rPr>
          <w:rFonts w:ascii="Trebuchet MS"/>
          <w:sz w:val="18"/>
        </w:rPr>
      </w:pPr>
    </w:p>
    <w:p w14:paraId="47348C56" w14:textId="77777777" w:rsidR="000E52B0" w:rsidRDefault="00F60D74">
      <w:pPr>
        <w:spacing w:before="1"/>
        <w:ind w:right="38"/>
        <w:jc w:val="right"/>
        <w:rPr>
          <w:rFonts w:ascii="Trebuchet MS"/>
          <w:sz w:val="18"/>
        </w:rPr>
      </w:pPr>
      <w:r>
        <w:rPr>
          <w:rFonts w:ascii="Trebuchet MS"/>
          <w:color w:val="585858"/>
          <w:spacing w:val="-4"/>
          <w:sz w:val="18"/>
        </w:rPr>
        <w:t>Otra</w:t>
      </w:r>
    </w:p>
    <w:p w14:paraId="45F8ABAA" w14:textId="77777777" w:rsidR="000E52B0" w:rsidRDefault="000E52B0">
      <w:pPr>
        <w:pStyle w:val="Textoindependiente"/>
        <w:spacing w:before="78"/>
        <w:ind w:left="0"/>
        <w:rPr>
          <w:rFonts w:ascii="Trebuchet MS"/>
          <w:sz w:val="18"/>
        </w:rPr>
      </w:pPr>
    </w:p>
    <w:p w14:paraId="6FDE6C3A" w14:textId="77777777" w:rsidR="000E52B0" w:rsidRDefault="00F60D74">
      <w:pPr>
        <w:spacing w:line="252" w:lineRule="auto"/>
        <w:ind w:left="2994" w:hanging="1437"/>
        <w:rPr>
          <w:rFonts w:ascii="Trebuchet MS" w:hAnsi="Trebuchet MS"/>
          <w:sz w:val="18"/>
        </w:rPr>
      </w:pPr>
      <w:r>
        <w:rPr>
          <w:rFonts w:ascii="Trebuchet MS" w:hAnsi="Trebuchet MS"/>
          <w:color w:val="585858"/>
          <w:spacing w:val="-4"/>
          <w:sz w:val="18"/>
        </w:rPr>
        <w:t>Carpintería,</w:t>
      </w:r>
      <w:r>
        <w:rPr>
          <w:rFonts w:ascii="Trebuchet MS" w:hAnsi="Trebuchet MS"/>
          <w:color w:val="585858"/>
          <w:spacing w:val="-7"/>
          <w:sz w:val="18"/>
        </w:rPr>
        <w:t xml:space="preserve"> </w:t>
      </w:r>
      <w:r>
        <w:rPr>
          <w:rFonts w:ascii="Trebuchet MS" w:hAnsi="Trebuchet MS"/>
          <w:color w:val="585858"/>
          <w:spacing w:val="-4"/>
          <w:sz w:val="18"/>
        </w:rPr>
        <w:t>electricidad,</w:t>
      </w:r>
      <w:r>
        <w:rPr>
          <w:rFonts w:ascii="Trebuchet MS" w:hAnsi="Trebuchet MS"/>
          <w:color w:val="585858"/>
          <w:spacing w:val="-7"/>
          <w:sz w:val="18"/>
        </w:rPr>
        <w:t xml:space="preserve"> </w:t>
      </w:r>
      <w:r>
        <w:rPr>
          <w:rFonts w:ascii="Trebuchet MS" w:hAnsi="Trebuchet MS"/>
          <w:color w:val="585858"/>
          <w:spacing w:val="-4"/>
          <w:sz w:val="18"/>
        </w:rPr>
        <w:t>construcción u</w:t>
      </w:r>
      <w:r>
        <w:rPr>
          <w:rFonts w:ascii="Trebuchet MS" w:hAnsi="Trebuchet MS"/>
          <w:color w:val="585858"/>
          <w:spacing w:val="-6"/>
          <w:sz w:val="18"/>
        </w:rPr>
        <w:t xml:space="preserve"> </w:t>
      </w:r>
      <w:r>
        <w:rPr>
          <w:rFonts w:ascii="Trebuchet MS" w:hAnsi="Trebuchet MS"/>
          <w:color w:val="585858"/>
          <w:spacing w:val="-4"/>
          <w:sz w:val="18"/>
        </w:rPr>
        <w:t xml:space="preserve">otras </w:t>
      </w:r>
      <w:r>
        <w:rPr>
          <w:rFonts w:ascii="Trebuchet MS" w:hAnsi="Trebuchet MS"/>
          <w:color w:val="585858"/>
          <w:spacing w:val="-2"/>
          <w:sz w:val="18"/>
        </w:rPr>
        <w:t>similares</w:t>
      </w:r>
    </w:p>
    <w:p w14:paraId="42EAD43F" w14:textId="77777777" w:rsidR="000E52B0" w:rsidRDefault="000E52B0">
      <w:pPr>
        <w:pStyle w:val="Textoindependiente"/>
        <w:spacing w:before="68"/>
        <w:ind w:left="0"/>
        <w:rPr>
          <w:rFonts w:ascii="Trebuchet MS"/>
          <w:sz w:val="18"/>
        </w:rPr>
      </w:pPr>
    </w:p>
    <w:p w14:paraId="45DD535F" w14:textId="77777777" w:rsidR="000E52B0" w:rsidRDefault="00F60D74">
      <w:pPr>
        <w:spacing w:before="1"/>
        <w:ind w:right="45"/>
        <w:jc w:val="right"/>
        <w:rPr>
          <w:rFonts w:ascii="Trebuchet MS"/>
          <w:sz w:val="18"/>
        </w:rPr>
      </w:pPr>
      <w:r>
        <w:rPr>
          <w:rFonts w:ascii="Trebuchet MS"/>
          <w:color w:val="585858"/>
          <w:sz w:val="18"/>
        </w:rPr>
        <w:t>Robando</w:t>
      </w:r>
      <w:r>
        <w:rPr>
          <w:rFonts w:ascii="Trebuchet MS"/>
          <w:color w:val="585858"/>
          <w:spacing w:val="-13"/>
          <w:sz w:val="18"/>
        </w:rPr>
        <w:t xml:space="preserve"> </w:t>
      </w:r>
      <w:r>
        <w:rPr>
          <w:rFonts w:ascii="Trebuchet MS"/>
          <w:color w:val="585858"/>
          <w:sz w:val="18"/>
        </w:rPr>
        <w:t>o</w:t>
      </w:r>
      <w:r>
        <w:rPr>
          <w:rFonts w:ascii="Trebuchet MS"/>
          <w:color w:val="585858"/>
          <w:spacing w:val="-17"/>
          <w:sz w:val="18"/>
        </w:rPr>
        <w:t xml:space="preserve"> </w:t>
      </w:r>
      <w:r>
        <w:rPr>
          <w:rFonts w:ascii="Trebuchet MS"/>
          <w:color w:val="585858"/>
          <w:spacing w:val="-2"/>
          <w:sz w:val="18"/>
        </w:rPr>
        <w:t>atracando</w:t>
      </w:r>
    </w:p>
    <w:p w14:paraId="56D43F39" w14:textId="77777777" w:rsidR="000E52B0" w:rsidRDefault="000E52B0">
      <w:pPr>
        <w:pStyle w:val="Textoindependiente"/>
        <w:spacing w:before="78"/>
        <w:ind w:left="0"/>
        <w:rPr>
          <w:rFonts w:ascii="Trebuchet MS"/>
          <w:sz w:val="18"/>
        </w:rPr>
      </w:pPr>
    </w:p>
    <w:p w14:paraId="278A5423" w14:textId="77777777" w:rsidR="000E52B0" w:rsidRDefault="00F60D74">
      <w:pPr>
        <w:spacing w:line="252" w:lineRule="auto"/>
        <w:ind w:left="1079" w:right="35"/>
        <w:jc w:val="center"/>
        <w:rPr>
          <w:rFonts w:ascii="Trebuchet MS" w:hAnsi="Trebuchet MS"/>
          <w:sz w:val="18"/>
        </w:rPr>
      </w:pPr>
      <w:r>
        <w:rPr>
          <w:rFonts w:ascii="Trebuchet MS" w:hAnsi="Trebuchet MS"/>
          <w:color w:val="585858"/>
          <w:spacing w:val="-2"/>
          <w:sz w:val="18"/>
        </w:rPr>
        <w:t>Cantando,</w:t>
      </w:r>
      <w:r>
        <w:rPr>
          <w:rFonts w:ascii="Trebuchet MS" w:hAnsi="Trebuchet MS"/>
          <w:color w:val="585858"/>
          <w:spacing w:val="-18"/>
          <w:sz w:val="18"/>
        </w:rPr>
        <w:t xml:space="preserve"> </w:t>
      </w:r>
      <w:r>
        <w:rPr>
          <w:rFonts w:ascii="Trebuchet MS" w:hAnsi="Trebuchet MS"/>
          <w:color w:val="585858"/>
          <w:spacing w:val="-2"/>
          <w:sz w:val="18"/>
        </w:rPr>
        <w:t>haciendo</w:t>
      </w:r>
      <w:r>
        <w:rPr>
          <w:rFonts w:ascii="Trebuchet MS" w:hAnsi="Trebuchet MS"/>
          <w:color w:val="585858"/>
          <w:spacing w:val="-18"/>
          <w:sz w:val="18"/>
        </w:rPr>
        <w:t xml:space="preserve"> </w:t>
      </w:r>
      <w:r>
        <w:rPr>
          <w:rFonts w:ascii="Trebuchet MS" w:hAnsi="Trebuchet MS"/>
          <w:color w:val="585858"/>
          <w:spacing w:val="-2"/>
          <w:sz w:val="18"/>
        </w:rPr>
        <w:t>malabares,</w:t>
      </w:r>
      <w:r>
        <w:rPr>
          <w:rFonts w:ascii="Trebuchet MS" w:hAnsi="Trebuchet MS"/>
          <w:color w:val="585858"/>
          <w:spacing w:val="-19"/>
          <w:sz w:val="18"/>
        </w:rPr>
        <w:t xml:space="preserve"> </w:t>
      </w:r>
      <w:proofErr w:type="spellStart"/>
      <w:r>
        <w:rPr>
          <w:rFonts w:ascii="Trebuchet MS" w:hAnsi="Trebuchet MS"/>
          <w:color w:val="585858"/>
          <w:spacing w:val="-2"/>
          <w:sz w:val="18"/>
        </w:rPr>
        <w:t>cuentería</w:t>
      </w:r>
      <w:proofErr w:type="spellEnd"/>
      <w:r>
        <w:rPr>
          <w:rFonts w:ascii="Trebuchet MS" w:hAnsi="Trebuchet MS"/>
          <w:color w:val="585858"/>
          <w:spacing w:val="-18"/>
          <w:sz w:val="18"/>
        </w:rPr>
        <w:t xml:space="preserve"> </w:t>
      </w:r>
      <w:r>
        <w:rPr>
          <w:rFonts w:ascii="Trebuchet MS" w:hAnsi="Trebuchet MS"/>
          <w:color w:val="585858"/>
          <w:spacing w:val="-2"/>
          <w:sz w:val="18"/>
        </w:rPr>
        <w:t xml:space="preserve">artesanía </w:t>
      </w:r>
      <w:r>
        <w:rPr>
          <w:rFonts w:ascii="Trebuchet MS" w:hAnsi="Trebuchet MS"/>
          <w:color w:val="585858"/>
          <w:sz w:val="18"/>
        </w:rPr>
        <w:t>u</w:t>
      </w:r>
      <w:r>
        <w:rPr>
          <w:rFonts w:ascii="Trebuchet MS" w:hAnsi="Trebuchet MS"/>
          <w:color w:val="585858"/>
          <w:spacing w:val="-3"/>
          <w:sz w:val="18"/>
        </w:rPr>
        <w:t xml:space="preserve"> </w:t>
      </w:r>
      <w:proofErr w:type="gramStart"/>
      <w:r>
        <w:rPr>
          <w:rFonts w:ascii="Trebuchet MS" w:hAnsi="Trebuchet MS"/>
          <w:color w:val="585858"/>
          <w:sz w:val="18"/>
        </w:rPr>
        <w:t>otras</w:t>
      </w:r>
      <w:r>
        <w:rPr>
          <w:rFonts w:ascii="Trebuchet MS" w:hAnsi="Trebuchet MS"/>
          <w:color w:val="585858"/>
          <w:spacing w:val="-4"/>
          <w:sz w:val="18"/>
        </w:rPr>
        <w:t xml:space="preserve"> </w:t>
      </w:r>
      <w:r>
        <w:rPr>
          <w:rFonts w:ascii="Trebuchet MS" w:hAnsi="Trebuchet MS"/>
          <w:color w:val="585858"/>
          <w:sz w:val="18"/>
        </w:rPr>
        <w:t>si</w:t>
      </w:r>
      <w:proofErr w:type="gramEnd"/>
    </w:p>
    <w:p w14:paraId="00CA81CF" w14:textId="77777777" w:rsidR="000E52B0" w:rsidRDefault="000E52B0">
      <w:pPr>
        <w:pStyle w:val="Textoindependiente"/>
        <w:spacing w:before="68"/>
        <w:ind w:left="0"/>
        <w:rPr>
          <w:rFonts w:ascii="Trebuchet MS"/>
          <w:sz w:val="18"/>
        </w:rPr>
      </w:pPr>
    </w:p>
    <w:p w14:paraId="73E2936D" w14:textId="77777777" w:rsidR="000E52B0" w:rsidRDefault="00F60D74">
      <w:pPr>
        <w:spacing w:before="1"/>
        <w:ind w:right="45"/>
        <w:jc w:val="right"/>
        <w:rPr>
          <w:rFonts w:ascii="Trebuchet MS" w:hAnsi="Trebuchet MS"/>
          <w:sz w:val="18"/>
        </w:rPr>
      </w:pPr>
      <w:r>
        <w:rPr>
          <w:rFonts w:ascii="Trebuchet MS" w:hAnsi="Trebuchet MS"/>
          <w:color w:val="585858"/>
          <w:spacing w:val="-6"/>
          <w:sz w:val="18"/>
        </w:rPr>
        <w:t>Ejerciendo la</w:t>
      </w:r>
      <w:r>
        <w:rPr>
          <w:rFonts w:ascii="Trebuchet MS" w:hAnsi="Trebuchet MS"/>
          <w:color w:val="585858"/>
          <w:spacing w:val="-8"/>
          <w:sz w:val="18"/>
        </w:rPr>
        <w:t xml:space="preserve"> </w:t>
      </w:r>
      <w:r>
        <w:rPr>
          <w:rFonts w:ascii="Trebuchet MS" w:hAnsi="Trebuchet MS"/>
          <w:color w:val="585858"/>
          <w:spacing w:val="-6"/>
          <w:sz w:val="18"/>
        </w:rPr>
        <w:t>prostitución</w:t>
      </w:r>
    </w:p>
    <w:p w14:paraId="563EA366" w14:textId="77777777" w:rsidR="000E52B0" w:rsidRDefault="000E52B0">
      <w:pPr>
        <w:pStyle w:val="Textoindependiente"/>
        <w:spacing w:before="78"/>
        <w:ind w:left="0"/>
        <w:rPr>
          <w:rFonts w:ascii="Trebuchet MS"/>
          <w:sz w:val="18"/>
        </w:rPr>
      </w:pPr>
    </w:p>
    <w:p w14:paraId="3C0F6D87" w14:textId="77777777" w:rsidR="000E52B0" w:rsidRDefault="00F60D74">
      <w:pPr>
        <w:spacing w:line="252" w:lineRule="auto"/>
        <w:ind w:left="2663" w:right="44" w:hanging="800"/>
        <w:rPr>
          <w:rFonts w:ascii="Trebuchet MS"/>
          <w:sz w:val="18"/>
        </w:rPr>
      </w:pPr>
      <w:r>
        <w:rPr>
          <w:rFonts w:ascii="Trebuchet MS"/>
          <w:color w:val="585858"/>
          <w:spacing w:val="-2"/>
          <w:sz w:val="18"/>
        </w:rPr>
        <w:t>Como</w:t>
      </w:r>
      <w:r>
        <w:rPr>
          <w:rFonts w:ascii="Trebuchet MS"/>
          <w:color w:val="585858"/>
          <w:spacing w:val="-17"/>
          <w:sz w:val="18"/>
        </w:rPr>
        <w:t xml:space="preserve"> </w:t>
      </w:r>
      <w:r>
        <w:rPr>
          <w:rFonts w:ascii="Trebuchet MS"/>
          <w:color w:val="585858"/>
          <w:spacing w:val="-2"/>
          <w:sz w:val="18"/>
        </w:rPr>
        <w:t>campanero,</w:t>
      </w:r>
      <w:r>
        <w:rPr>
          <w:rFonts w:ascii="Trebuchet MS"/>
          <w:color w:val="585858"/>
          <w:spacing w:val="-17"/>
          <w:sz w:val="18"/>
        </w:rPr>
        <w:t xml:space="preserve"> </w:t>
      </w:r>
      <w:r>
        <w:rPr>
          <w:rFonts w:ascii="Trebuchet MS"/>
          <w:color w:val="585858"/>
          <w:spacing w:val="-2"/>
          <w:sz w:val="18"/>
        </w:rPr>
        <w:t>taquillero,</w:t>
      </w:r>
      <w:r>
        <w:rPr>
          <w:rFonts w:ascii="Trebuchet MS"/>
          <w:color w:val="585858"/>
          <w:spacing w:val="-19"/>
          <w:sz w:val="18"/>
        </w:rPr>
        <w:t xml:space="preserve"> </w:t>
      </w:r>
      <w:r>
        <w:rPr>
          <w:rFonts w:ascii="Trebuchet MS"/>
          <w:color w:val="585858"/>
          <w:spacing w:val="-2"/>
          <w:sz w:val="18"/>
        </w:rPr>
        <w:t>vendiendo</w:t>
      </w:r>
      <w:r>
        <w:rPr>
          <w:rFonts w:ascii="Trebuchet MS"/>
          <w:color w:val="585858"/>
          <w:spacing w:val="-18"/>
          <w:sz w:val="18"/>
        </w:rPr>
        <w:t xml:space="preserve"> </w:t>
      </w:r>
      <w:r>
        <w:rPr>
          <w:rFonts w:ascii="Trebuchet MS"/>
          <w:color w:val="585858"/>
          <w:spacing w:val="-2"/>
          <w:sz w:val="18"/>
        </w:rPr>
        <w:t xml:space="preserve">o </w:t>
      </w:r>
      <w:r>
        <w:rPr>
          <w:rFonts w:ascii="Trebuchet MS"/>
          <w:color w:val="585858"/>
          <w:sz w:val="18"/>
        </w:rPr>
        <w:t>transportando</w:t>
      </w:r>
      <w:r>
        <w:rPr>
          <w:rFonts w:ascii="Trebuchet MS"/>
          <w:color w:val="585858"/>
          <w:spacing w:val="-18"/>
          <w:sz w:val="18"/>
        </w:rPr>
        <w:t xml:space="preserve"> </w:t>
      </w:r>
      <w:proofErr w:type="spellStart"/>
      <w:r>
        <w:rPr>
          <w:rFonts w:ascii="Trebuchet MS"/>
          <w:color w:val="585858"/>
          <w:sz w:val="18"/>
        </w:rPr>
        <w:t>sustan</w:t>
      </w:r>
      <w:proofErr w:type="spellEnd"/>
    </w:p>
    <w:p w14:paraId="36E995FB" w14:textId="77777777" w:rsidR="000E52B0" w:rsidRDefault="00F60D74">
      <w:pPr>
        <w:spacing w:before="99"/>
        <w:ind w:left="1067"/>
        <w:rPr>
          <w:rFonts w:ascii="Trebuchet MS"/>
          <w:sz w:val="14"/>
        </w:rPr>
      </w:pPr>
      <w:r>
        <w:br w:type="column"/>
      </w:r>
      <w:r>
        <w:rPr>
          <w:rFonts w:ascii="Trebuchet MS"/>
          <w:color w:val="404040"/>
          <w:spacing w:val="-5"/>
          <w:w w:val="115"/>
          <w:sz w:val="14"/>
        </w:rPr>
        <w:t>41%</w:t>
      </w:r>
    </w:p>
    <w:p w14:paraId="3A2B9207" w14:textId="77777777" w:rsidR="000E52B0" w:rsidRDefault="000E52B0">
      <w:pPr>
        <w:pStyle w:val="Textoindependiente"/>
        <w:spacing w:before="12"/>
        <w:ind w:left="0"/>
        <w:rPr>
          <w:rFonts w:ascii="Trebuchet MS"/>
          <w:sz w:val="14"/>
        </w:rPr>
      </w:pPr>
    </w:p>
    <w:p w14:paraId="348DFA33" w14:textId="77777777" w:rsidR="000E52B0" w:rsidRDefault="00F60D74">
      <w:pPr>
        <w:ind w:left="1056"/>
        <w:rPr>
          <w:rFonts w:ascii="Trebuchet MS"/>
          <w:sz w:val="14"/>
        </w:rPr>
      </w:pPr>
      <w:r>
        <w:rPr>
          <w:rFonts w:ascii="Trebuchet MS"/>
          <w:noProof/>
          <w:sz w:val="14"/>
        </w:rPr>
        <mc:AlternateContent>
          <mc:Choice Requires="wpg">
            <w:drawing>
              <wp:anchor distT="0" distB="0" distL="0" distR="0" simplePos="0" relativeHeight="15789568" behindDoc="0" locked="0" layoutInCell="1" allowOverlap="1" wp14:anchorId="3106C924" wp14:editId="6C5F3707">
                <wp:simplePos x="0" y="0"/>
                <wp:positionH relativeFrom="page">
                  <wp:posOffset>3822636</wp:posOffset>
                </wp:positionH>
                <wp:positionV relativeFrom="paragraph">
                  <wp:posOffset>-245455</wp:posOffset>
                </wp:positionV>
                <wp:extent cx="2415540" cy="3465829"/>
                <wp:effectExtent l="0" t="0" r="0" b="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3465829"/>
                          <a:chOff x="0" y="0"/>
                          <a:chExt cx="2415540" cy="3465829"/>
                        </a:xfrm>
                      </wpg:grpSpPr>
                      <wps:wsp>
                        <wps:cNvPr id="468" name="Graphic 468"/>
                        <wps:cNvSpPr/>
                        <wps:spPr>
                          <a:xfrm>
                            <a:off x="4762" y="31749"/>
                            <a:ext cx="2326640" cy="3188335"/>
                          </a:xfrm>
                          <a:custGeom>
                            <a:avLst/>
                            <a:gdLst/>
                            <a:ahLst/>
                            <a:cxnLst/>
                            <a:rect l="l" t="t" r="r" b="b"/>
                            <a:pathLst>
                              <a:path w="2326640" h="3188335">
                                <a:moveTo>
                                  <a:pt x="10033" y="2695956"/>
                                </a:moveTo>
                                <a:lnTo>
                                  <a:pt x="0" y="2695956"/>
                                </a:lnTo>
                                <a:lnTo>
                                  <a:pt x="0" y="2802648"/>
                                </a:lnTo>
                                <a:lnTo>
                                  <a:pt x="10033" y="2802648"/>
                                </a:lnTo>
                                <a:lnTo>
                                  <a:pt x="10033" y="2695956"/>
                                </a:lnTo>
                                <a:close/>
                              </a:path>
                              <a:path w="2326640" h="3188335">
                                <a:moveTo>
                                  <a:pt x="45085" y="3081528"/>
                                </a:moveTo>
                                <a:lnTo>
                                  <a:pt x="0" y="3081528"/>
                                </a:lnTo>
                                <a:lnTo>
                                  <a:pt x="0" y="3188208"/>
                                </a:lnTo>
                                <a:lnTo>
                                  <a:pt x="45085" y="3188208"/>
                                </a:lnTo>
                                <a:lnTo>
                                  <a:pt x="45085" y="3081528"/>
                                </a:lnTo>
                                <a:close/>
                              </a:path>
                              <a:path w="2326640" h="3188335">
                                <a:moveTo>
                                  <a:pt x="130429" y="2310384"/>
                                </a:moveTo>
                                <a:lnTo>
                                  <a:pt x="0" y="2310384"/>
                                </a:lnTo>
                                <a:lnTo>
                                  <a:pt x="0" y="2417064"/>
                                </a:lnTo>
                                <a:lnTo>
                                  <a:pt x="130429" y="2417064"/>
                                </a:lnTo>
                                <a:lnTo>
                                  <a:pt x="130429" y="2310384"/>
                                </a:lnTo>
                                <a:close/>
                              </a:path>
                              <a:path w="2326640" h="3188335">
                                <a:moveTo>
                                  <a:pt x="142621" y="1926336"/>
                                </a:moveTo>
                                <a:lnTo>
                                  <a:pt x="0" y="1926336"/>
                                </a:lnTo>
                                <a:lnTo>
                                  <a:pt x="0" y="2033016"/>
                                </a:lnTo>
                                <a:lnTo>
                                  <a:pt x="142621" y="2033016"/>
                                </a:lnTo>
                                <a:lnTo>
                                  <a:pt x="142621" y="1926336"/>
                                </a:lnTo>
                                <a:close/>
                              </a:path>
                              <a:path w="2326640" h="3188335">
                                <a:moveTo>
                                  <a:pt x="162433" y="1540764"/>
                                </a:moveTo>
                                <a:lnTo>
                                  <a:pt x="0" y="1540764"/>
                                </a:lnTo>
                                <a:lnTo>
                                  <a:pt x="0" y="1647444"/>
                                </a:lnTo>
                                <a:lnTo>
                                  <a:pt x="162433" y="1647444"/>
                                </a:lnTo>
                                <a:lnTo>
                                  <a:pt x="162433" y="1540764"/>
                                </a:lnTo>
                                <a:close/>
                              </a:path>
                              <a:path w="2326640" h="3188335">
                                <a:moveTo>
                                  <a:pt x="669925" y="1155192"/>
                                </a:moveTo>
                                <a:lnTo>
                                  <a:pt x="0" y="1155192"/>
                                </a:lnTo>
                                <a:lnTo>
                                  <a:pt x="0" y="1261872"/>
                                </a:lnTo>
                                <a:lnTo>
                                  <a:pt x="669925" y="1261872"/>
                                </a:lnTo>
                                <a:lnTo>
                                  <a:pt x="669925" y="1155192"/>
                                </a:lnTo>
                                <a:close/>
                              </a:path>
                              <a:path w="2326640" h="3188335">
                                <a:moveTo>
                                  <a:pt x="976249" y="771144"/>
                                </a:moveTo>
                                <a:lnTo>
                                  <a:pt x="0" y="771144"/>
                                </a:lnTo>
                                <a:lnTo>
                                  <a:pt x="0" y="877824"/>
                                </a:lnTo>
                                <a:lnTo>
                                  <a:pt x="976249" y="877824"/>
                                </a:lnTo>
                                <a:lnTo>
                                  <a:pt x="976249" y="771144"/>
                                </a:lnTo>
                                <a:close/>
                              </a:path>
                              <a:path w="2326640" h="3188335">
                                <a:moveTo>
                                  <a:pt x="1200277" y="385572"/>
                                </a:moveTo>
                                <a:lnTo>
                                  <a:pt x="0" y="385572"/>
                                </a:lnTo>
                                <a:lnTo>
                                  <a:pt x="0" y="492252"/>
                                </a:lnTo>
                                <a:lnTo>
                                  <a:pt x="1200277" y="492252"/>
                                </a:lnTo>
                                <a:lnTo>
                                  <a:pt x="1200277" y="385572"/>
                                </a:lnTo>
                                <a:close/>
                              </a:path>
                              <a:path w="2326640" h="3188335">
                                <a:moveTo>
                                  <a:pt x="2326513" y="0"/>
                                </a:moveTo>
                                <a:lnTo>
                                  <a:pt x="0" y="0"/>
                                </a:lnTo>
                                <a:lnTo>
                                  <a:pt x="0" y="106680"/>
                                </a:lnTo>
                                <a:lnTo>
                                  <a:pt x="2326513" y="106680"/>
                                </a:lnTo>
                                <a:lnTo>
                                  <a:pt x="2326513" y="0"/>
                                </a:lnTo>
                                <a:close/>
                              </a:path>
                            </a:pathLst>
                          </a:custGeom>
                          <a:solidFill>
                            <a:srgbClr val="E22C91"/>
                          </a:solidFill>
                        </wps:spPr>
                        <wps:bodyPr wrap="square" lIns="0" tIns="0" rIns="0" bIns="0" rtlCol="0">
                          <a:prstTxWarp prst="textNoShape">
                            <a:avLst/>
                          </a:prstTxWarp>
                          <a:noAutofit/>
                        </wps:bodyPr>
                      </wps:wsp>
                      <wps:wsp>
                        <wps:cNvPr id="469" name="Graphic 469"/>
                        <wps:cNvSpPr/>
                        <wps:spPr>
                          <a:xfrm>
                            <a:off x="4762" y="138429"/>
                            <a:ext cx="1747520" cy="3188335"/>
                          </a:xfrm>
                          <a:custGeom>
                            <a:avLst/>
                            <a:gdLst/>
                            <a:ahLst/>
                            <a:cxnLst/>
                            <a:rect l="l" t="t" r="r" b="b"/>
                            <a:pathLst>
                              <a:path w="1747520" h="3188335">
                                <a:moveTo>
                                  <a:pt x="19177" y="1540764"/>
                                </a:moveTo>
                                <a:lnTo>
                                  <a:pt x="0" y="1540764"/>
                                </a:lnTo>
                                <a:lnTo>
                                  <a:pt x="0" y="1647444"/>
                                </a:lnTo>
                                <a:lnTo>
                                  <a:pt x="19177" y="1647444"/>
                                </a:lnTo>
                                <a:lnTo>
                                  <a:pt x="19177" y="1540764"/>
                                </a:lnTo>
                                <a:close/>
                              </a:path>
                              <a:path w="1747520" h="3188335">
                                <a:moveTo>
                                  <a:pt x="64897" y="2310384"/>
                                </a:moveTo>
                                <a:lnTo>
                                  <a:pt x="0" y="2310384"/>
                                </a:lnTo>
                                <a:lnTo>
                                  <a:pt x="0" y="2418588"/>
                                </a:lnTo>
                                <a:lnTo>
                                  <a:pt x="64897" y="2418588"/>
                                </a:lnTo>
                                <a:lnTo>
                                  <a:pt x="64897" y="2310384"/>
                                </a:lnTo>
                                <a:close/>
                              </a:path>
                              <a:path w="1747520" h="3188335">
                                <a:moveTo>
                                  <a:pt x="74041" y="3081528"/>
                                </a:moveTo>
                                <a:lnTo>
                                  <a:pt x="0" y="3081528"/>
                                </a:lnTo>
                                <a:lnTo>
                                  <a:pt x="0" y="3188208"/>
                                </a:lnTo>
                                <a:lnTo>
                                  <a:pt x="74041" y="3188208"/>
                                </a:lnTo>
                                <a:lnTo>
                                  <a:pt x="74041" y="3081528"/>
                                </a:lnTo>
                                <a:close/>
                              </a:path>
                              <a:path w="1747520" h="3188335">
                                <a:moveTo>
                                  <a:pt x="156337" y="1926336"/>
                                </a:moveTo>
                                <a:lnTo>
                                  <a:pt x="0" y="1926336"/>
                                </a:lnTo>
                                <a:lnTo>
                                  <a:pt x="0" y="2033016"/>
                                </a:lnTo>
                                <a:lnTo>
                                  <a:pt x="156337" y="2033016"/>
                                </a:lnTo>
                                <a:lnTo>
                                  <a:pt x="156337" y="1926336"/>
                                </a:lnTo>
                                <a:close/>
                              </a:path>
                              <a:path w="1747520" h="3188335">
                                <a:moveTo>
                                  <a:pt x="395605" y="2695968"/>
                                </a:moveTo>
                                <a:lnTo>
                                  <a:pt x="0" y="2695968"/>
                                </a:lnTo>
                                <a:lnTo>
                                  <a:pt x="0" y="2802636"/>
                                </a:lnTo>
                                <a:lnTo>
                                  <a:pt x="395605" y="2802636"/>
                                </a:lnTo>
                                <a:lnTo>
                                  <a:pt x="395605" y="2695968"/>
                                </a:lnTo>
                                <a:close/>
                              </a:path>
                              <a:path w="1747520" h="3188335">
                                <a:moveTo>
                                  <a:pt x="848233" y="1155192"/>
                                </a:moveTo>
                                <a:lnTo>
                                  <a:pt x="0" y="1155192"/>
                                </a:lnTo>
                                <a:lnTo>
                                  <a:pt x="0" y="1263396"/>
                                </a:lnTo>
                                <a:lnTo>
                                  <a:pt x="848233" y="1263396"/>
                                </a:lnTo>
                                <a:lnTo>
                                  <a:pt x="848233" y="1155192"/>
                                </a:lnTo>
                                <a:close/>
                              </a:path>
                              <a:path w="1747520" h="3188335">
                                <a:moveTo>
                                  <a:pt x="884809" y="385572"/>
                                </a:moveTo>
                                <a:lnTo>
                                  <a:pt x="0" y="385572"/>
                                </a:lnTo>
                                <a:lnTo>
                                  <a:pt x="0" y="492252"/>
                                </a:lnTo>
                                <a:lnTo>
                                  <a:pt x="884809" y="492252"/>
                                </a:lnTo>
                                <a:lnTo>
                                  <a:pt x="884809" y="385572"/>
                                </a:lnTo>
                                <a:close/>
                              </a:path>
                              <a:path w="1747520" h="3188335">
                                <a:moveTo>
                                  <a:pt x="1473073" y="0"/>
                                </a:moveTo>
                                <a:lnTo>
                                  <a:pt x="0" y="0"/>
                                </a:lnTo>
                                <a:lnTo>
                                  <a:pt x="0" y="108204"/>
                                </a:lnTo>
                                <a:lnTo>
                                  <a:pt x="1473073" y="108204"/>
                                </a:lnTo>
                                <a:lnTo>
                                  <a:pt x="1473073" y="0"/>
                                </a:lnTo>
                                <a:close/>
                              </a:path>
                              <a:path w="1747520" h="3188335">
                                <a:moveTo>
                                  <a:pt x="1747393" y="771144"/>
                                </a:moveTo>
                                <a:lnTo>
                                  <a:pt x="0" y="771144"/>
                                </a:lnTo>
                                <a:lnTo>
                                  <a:pt x="0" y="877824"/>
                                </a:lnTo>
                                <a:lnTo>
                                  <a:pt x="1747393" y="877824"/>
                                </a:lnTo>
                                <a:lnTo>
                                  <a:pt x="1747393" y="771144"/>
                                </a:lnTo>
                                <a:close/>
                              </a:path>
                            </a:pathLst>
                          </a:custGeom>
                          <a:solidFill>
                            <a:srgbClr val="741A36"/>
                          </a:solidFill>
                        </wps:spPr>
                        <wps:bodyPr wrap="square" lIns="0" tIns="0" rIns="0" bIns="0" rtlCol="0">
                          <a:prstTxWarp prst="textNoShape">
                            <a:avLst/>
                          </a:prstTxWarp>
                          <a:noAutofit/>
                        </wps:bodyPr>
                      </wps:wsp>
                      <wps:wsp>
                        <wps:cNvPr id="470" name="Graphic 470"/>
                        <wps:cNvSpPr/>
                        <wps:spPr>
                          <a:xfrm>
                            <a:off x="4762" y="246633"/>
                            <a:ext cx="2224405" cy="3187065"/>
                          </a:xfrm>
                          <a:custGeom>
                            <a:avLst/>
                            <a:gdLst/>
                            <a:ahLst/>
                            <a:cxnLst/>
                            <a:rect l="l" t="t" r="r" b="b"/>
                            <a:pathLst>
                              <a:path w="2224405" h="3187065">
                                <a:moveTo>
                                  <a:pt x="48133" y="3080004"/>
                                </a:moveTo>
                                <a:lnTo>
                                  <a:pt x="0" y="3080004"/>
                                </a:lnTo>
                                <a:lnTo>
                                  <a:pt x="0" y="3186684"/>
                                </a:lnTo>
                                <a:lnTo>
                                  <a:pt x="48133" y="3186684"/>
                                </a:lnTo>
                                <a:lnTo>
                                  <a:pt x="48133" y="3080004"/>
                                </a:lnTo>
                                <a:close/>
                              </a:path>
                              <a:path w="2224405" h="3187065">
                                <a:moveTo>
                                  <a:pt x="57277" y="2694432"/>
                                </a:moveTo>
                                <a:lnTo>
                                  <a:pt x="0" y="2694432"/>
                                </a:lnTo>
                                <a:lnTo>
                                  <a:pt x="0" y="2801112"/>
                                </a:lnTo>
                                <a:lnTo>
                                  <a:pt x="57277" y="2801112"/>
                                </a:lnTo>
                                <a:lnTo>
                                  <a:pt x="57277" y="2694432"/>
                                </a:lnTo>
                                <a:close/>
                              </a:path>
                              <a:path w="2224405" h="3187065">
                                <a:moveTo>
                                  <a:pt x="122809" y="2310384"/>
                                </a:moveTo>
                                <a:lnTo>
                                  <a:pt x="0" y="2310384"/>
                                </a:lnTo>
                                <a:lnTo>
                                  <a:pt x="0" y="2417064"/>
                                </a:lnTo>
                                <a:lnTo>
                                  <a:pt x="122809" y="2417064"/>
                                </a:lnTo>
                                <a:lnTo>
                                  <a:pt x="122809" y="2310384"/>
                                </a:lnTo>
                                <a:close/>
                              </a:path>
                              <a:path w="2224405" h="3187065">
                                <a:moveTo>
                                  <a:pt x="144145" y="1924812"/>
                                </a:moveTo>
                                <a:lnTo>
                                  <a:pt x="0" y="1924812"/>
                                </a:lnTo>
                                <a:lnTo>
                                  <a:pt x="0" y="2031492"/>
                                </a:lnTo>
                                <a:lnTo>
                                  <a:pt x="144145" y="2031492"/>
                                </a:lnTo>
                                <a:lnTo>
                                  <a:pt x="144145" y="1924812"/>
                                </a:lnTo>
                                <a:close/>
                              </a:path>
                              <a:path w="2224405" h="3187065">
                                <a:moveTo>
                                  <a:pt x="145669" y="1539240"/>
                                </a:moveTo>
                                <a:lnTo>
                                  <a:pt x="0" y="1539240"/>
                                </a:lnTo>
                                <a:lnTo>
                                  <a:pt x="0" y="1645920"/>
                                </a:lnTo>
                                <a:lnTo>
                                  <a:pt x="145669" y="1645920"/>
                                </a:lnTo>
                                <a:lnTo>
                                  <a:pt x="145669" y="1539240"/>
                                </a:lnTo>
                                <a:close/>
                              </a:path>
                              <a:path w="2224405" h="3187065">
                                <a:moveTo>
                                  <a:pt x="691261" y="1155192"/>
                                </a:moveTo>
                                <a:lnTo>
                                  <a:pt x="0" y="1155192"/>
                                </a:lnTo>
                                <a:lnTo>
                                  <a:pt x="0" y="1261872"/>
                                </a:lnTo>
                                <a:lnTo>
                                  <a:pt x="691261" y="1261872"/>
                                </a:lnTo>
                                <a:lnTo>
                                  <a:pt x="691261" y="1155192"/>
                                </a:lnTo>
                                <a:close/>
                              </a:path>
                              <a:path w="2224405" h="3187065">
                                <a:moveTo>
                                  <a:pt x="1067689" y="769620"/>
                                </a:moveTo>
                                <a:lnTo>
                                  <a:pt x="0" y="769620"/>
                                </a:lnTo>
                                <a:lnTo>
                                  <a:pt x="0" y="876300"/>
                                </a:lnTo>
                                <a:lnTo>
                                  <a:pt x="1067689" y="876300"/>
                                </a:lnTo>
                                <a:lnTo>
                                  <a:pt x="1067689" y="769620"/>
                                </a:lnTo>
                                <a:close/>
                              </a:path>
                              <a:path w="2224405" h="3187065">
                                <a:moveTo>
                                  <a:pt x="1162177" y="384048"/>
                                </a:moveTo>
                                <a:lnTo>
                                  <a:pt x="0" y="384048"/>
                                </a:lnTo>
                                <a:lnTo>
                                  <a:pt x="0" y="490728"/>
                                </a:lnTo>
                                <a:lnTo>
                                  <a:pt x="1162177" y="490728"/>
                                </a:lnTo>
                                <a:lnTo>
                                  <a:pt x="1162177" y="384048"/>
                                </a:lnTo>
                                <a:close/>
                              </a:path>
                              <a:path w="2224405" h="3187065">
                                <a:moveTo>
                                  <a:pt x="2224405" y="0"/>
                                </a:moveTo>
                                <a:lnTo>
                                  <a:pt x="0" y="0"/>
                                </a:lnTo>
                                <a:lnTo>
                                  <a:pt x="0" y="106680"/>
                                </a:lnTo>
                                <a:lnTo>
                                  <a:pt x="2224405" y="106680"/>
                                </a:lnTo>
                                <a:lnTo>
                                  <a:pt x="2224405" y="0"/>
                                </a:lnTo>
                                <a:close/>
                              </a:path>
                            </a:pathLst>
                          </a:custGeom>
                          <a:solidFill>
                            <a:srgbClr val="9FA0A8"/>
                          </a:solidFill>
                        </wps:spPr>
                        <wps:bodyPr wrap="square" lIns="0" tIns="0" rIns="0" bIns="0" rtlCol="0">
                          <a:prstTxWarp prst="textNoShape">
                            <a:avLst/>
                          </a:prstTxWarp>
                          <a:noAutofit/>
                        </wps:bodyPr>
                      </wps:wsp>
                      <wps:wsp>
                        <wps:cNvPr id="471" name="Graphic 471"/>
                        <wps:cNvSpPr/>
                        <wps:spPr>
                          <a:xfrm>
                            <a:off x="4762" y="0"/>
                            <a:ext cx="1270" cy="3465829"/>
                          </a:xfrm>
                          <a:custGeom>
                            <a:avLst/>
                            <a:gdLst/>
                            <a:ahLst/>
                            <a:cxnLst/>
                            <a:rect l="l" t="t" r="r" b="b"/>
                            <a:pathLst>
                              <a:path h="3465829">
                                <a:moveTo>
                                  <a:pt x="0" y="0"/>
                                </a:moveTo>
                                <a:lnTo>
                                  <a:pt x="0" y="3465449"/>
                                </a:lnTo>
                              </a:path>
                            </a:pathLst>
                          </a:custGeom>
                          <a:ln w="9525">
                            <a:solidFill>
                              <a:srgbClr val="D9D9D9"/>
                            </a:solidFill>
                            <a:prstDash val="solid"/>
                          </a:ln>
                        </wps:spPr>
                        <wps:bodyPr wrap="square" lIns="0" tIns="0" rIns="0" bIns="0" rtlCol="0">
                          <a:prstTxWarp prst="textNoShape">
                            <a:avLst/>
                          </a:prstTxWarp>
                          <a:noAutofit/>
                        </wps:bodyPr>
                      </wps:wsp>
                      <wps:wsp>
                        <wps:cNvPr id="472" name="Textbox 472"/>
                        <wps:cNvSpPr txBox="1"/>
                        <wps:spPr>
                          <a:xfrm>
                            <a:off x="1555559" y="139253"/>
                            <a:ext cx="181610" cy="107950"/>
                          </a:xfrm>
                          <a:prstGeom prst="rect">
                            <a:avLst/>
                          </a:prstGeom>
                        </wps:spPr>
                        <wps:txbx>
                          <w:txbxContent>
                            <w:p w14:paraId="607D3EF0" w14:textId="77777777" w:rsidR="000E52B0" w:rsidRDefault="00F60D74">
                              <w:pPr>
                                <w:spacing w:line="162" w:lineRule="exact"/>
                                <w:rPr>
                                  <w:rFonts w:ascii="Trebuchet MS"/>
                                  <w:sz w:val="14"/>
                                </w:rPr>
                              </w:pPr>
                              <w:r>
                                <w:rPr>
                                  <w:rFonts w:ascii="Trebuchet MS"/>
                                  <w:color w:val="404040"/>
                                  <w:spacing w:val="-5"/>
                                  <w:w w:val="115"/>
                                  <w:sz w:val="14"/>
                                </w:rPr>
                                <w:t>26%</w:t>
                              </w:r>
                            </w:p>
                          </w:txbxContent>
                        </wps:txbx>
                        <wps:bodyPr wrap="square" lIns="0" tIns="0" rIns="0" bIns="0" rtlCol="0">
                          <a:noAutofit/>
                        </wps:bodyPr>
                      </wps:wsp>
                      <wps:wsp>
                        <wps:cNvPr id="473" name="Textbox 473"/>
                        <wps:cNvSpPr txBox="1"/>
                        <wps:spPr>
                          <a:xfrm>
                            <a:off x="2307780" y="246187"/>
                            <a:ext cx="107314" cy="107950"/>
                          </a:xfrm>
                          <a:prstGeom prst="rect">
                            <a:avLst/>
                          </a:prstGeom>
                        </wps:spPr>
                        <wps:txbx>
                          <w:txbxContent>
                            <w:p w14:paraId="36C02FA5" w14:textId="77777777" w:rsidR="000E52B0" w:rsidRDefault="00F60D74">
                              <w:pPr>
                                <w:spacing w:line="162" w:lineRule="exact"/>
                                <w:rPr>
                                  <w:rFonts w:ascii="Trebuchet MS"/>
                                  <w:sz w:val="14"/>
                                </w:rPr>
                              </w:pPr>
                              <w:r>
                                <w:rPr>
                                  <w:rFonts w:ascii="Trebuchet MS"/>
                                  <w:color w:val="404040"/>
                                  <w:spacing w:val="-5"/>
                                  <w:sz w:val="14"/>
                                </w:rPr>
                                <w:t>39</w:t>
                              </w:r>
                            </w:p>
                          </w:txbxContent>
                        </wps:txbx>
                        <wps:bodyPr wrap="square" lIns="0" tIns="0" rIns="0" bIns="0" rtlCol="0">
                          <a:noAutofit/>
                        </wps:bodyPr>
                      </wps:wsp>
                      <wps:wsp>
                        <wps:cNvPr id="474" name="Textbox 474"/>
                        <wps:cNvSpPr txBox="1"/>
                        <wps:spPr>
                          <a:xfrm>
                            <a:off x="1282509" y="417510"/>
                            <a:ext cx="180340" cy="107950"/>
                          </a:xfrm>
                          <a:prstGeom prst="rect">
                            <a:avLst/>
                          </a:prstGeom>
                        </wps:spPr>
                        <wps:txbx>
                          <w:txbxContent>
                            <w:p w14:paraId="7C7495BD" w14:textId="77777777" w:rsidR="000E52B0" w:rsidRDefault="00F60D74">
                              <w:pPr>
                                <w:spacing w:line="162" w:lineRule="exact"/>
                                <w:rPr>
                                  <w:rFonts w:ascii="Trebuchet MS"/>
                                  <w:sz w:val="14"/>
                                </w:rPr>
                              </w:pPr>
                              <w:r>
                                <w:rPr>
                                  <w:rFonts w:ascii="Trebuchet MS"/>
                                  <w:color w:val="404040"/>
                                  <w:spacing w:val="-5"/>
                                  <w:w w:val="115"/>
                                  <w:sz w:val="14"/>
                                </w:rPr>
                                <w:t>21%</w:t>
                              </w:r>
                            </w:p>
                          </w:txbxContent>
                        </wps:txbx>
                        <wps:bodyPr wrap="square" lIns="0" tIns="0" rIns="0" bIns="0" rtlCol="0">
                          <a:noAutofit/>
                        </wps:bodyPr>
                      </wps:wsp>
                      <wps:wsp>
                        <wps:cNvPr id="475" name="Textbox 475"/>
                        <wps:cNvSpPr txBox="1"/>
                        <wps:spPr>
                          <a:xfrm>
                            <a:off x="967930" y="524571"/>
                            <a:ext cx="180340" cy="107950"/>
                          </a:xfrm>
                          <a:prstGeom prst="rect">
                            <a:avLst/>
                          </a:prstGeom>
                        </wps:spPr>
                        <wps:txbx>
                          <w:txbxContent>
                            <w:p w14:paraId="0EFB01A4" w14:textId="77777777" w:rsidR="000E52B0" w:rsidRDefault="00F60D74">
                              <w:pPr>
                                <w:spacing w:line="162" w:lineRule="exact"/>
                                <w:rPr>
                                  <w:rFonts w:ascii="Trebuchet MS"/>
                                  <w:sz w:val="14"/>
                                </w:rPr>
                              </w:pPr>
                              <w:r>
                                <w:rPr>
                                  <w:rFonts w:ascii="Trebuchet MS"/>
                                  <w:color w:val="404040"/>
                                  <w:spacing w:val="-5"/>
                                  <w:w w:val="115"/>
                                  <w:sz w:val="14"/>
                                </w:rPr>
                                <w:t>16%</w:t>
                              </w:r>
                            </w:p>
                          </w:txbxContent>
                        </wps:txbx>
                        <wps:bodyPr wrap="square" lIns="0" tIns="0" rIns="0" bIns="0" rtlCol="0">
                          <a:noAutofit/>
                        </wps:bodyPr>
                      </wps:wsp>
                      <wps:wsp>
                        <wps:cNvPr id="476" name="Textbox 476"/>
                        <wps:cNvSpPr txBox="1"/>
                        <wps:spPr>
                          <a:xfrm>
                            <a:off x="1244917" y="631505"/>
                            <a:ext cx="180340" cy="107950"/>
                          </a:xfrm>
                          <a:prstGeom prst="rect">
                            <a:avLst/>
                          </a:prstGeom>
                        </wps:spPr>
                        <wps:txbx>
                          <w:txbxContent>
                            <w:p w14:paraId="51D4E02E" w14:textId="77777777" w:rsidR="000E52B0" w:rsidRDefault="00F60D74">
                              <w:pPr>
                                <w:spacing w:line="162" w:lineRule="exact"/>
                                <w:rPr>
                                  <w:rFonts w:ascii="Trebuchet MS"/>
                                  <w:sz w:val="14"/>
                                </w:rPr>
                              </w:pPr>
                              <w:r>
                                <w:rPr>
                                  <w:rFonts w:ascii="Trebuchet MS"/>
                                  <w:color w:val="404040"/>
                                  <w:spacing w:val="-5"/>
                                  <w:w w:val="115"/>
                                  <w:sz w:val="14"/>
                                </w:rPr>
                                <w:t>21%</w:t>
                              </w:r>
                            </w:p>
                          </w:txbxContent>
                        </wps:txbx>
                        <wps:bodyPr wrap="square" lIns="0" tIns="0" rIns="0" bIns="0" rtlCol="0">
                          <a:noAutofit/>
                        </wps:bodyPr>
                      </wps:wsp>
                      <wps:wsp>
                        <wps:cNvPr id="477" name="Textbox 477"/>
                        <wps:cNvSpPr txBox="1"/>
                        <wps:spPr>
                          <a:xfrm>
                            <a:off x="1058735" y="802446"/>
                            <a:ext cx="180340" cy="107950"/>
                          </a:xfrm>
                          <a:prstGeom prst="rect">
                            <a:avLst/>
                          </a:prstGeom>
                        </wps:spPr>
                        <wps:txbx>
                          <w:txbxContent>
                            <w:p w14:paraId="69FFEDA4" w14:textId="77777777" w:rsidR="000E52B0" w:rsidRDefault="00F60D74">
                              <w:pPr>
                                <w:spacing w:line="162" w:lineRule="exact"/>
                                <w:rPr>
                                  <w:rFonts w:ascii="Trebuchet MS"/>
                                  <w:sz w:val="14"/>
                                </w:rPr>
                              </w:pPr>
                              <w:r>
                                <w:rPr>
                                  <w:rFonts w:ascii="Trebuchet MS"/>
                                  <w:color w:val="404040"/>
                                  <w:spacing w:val="-5"/>
                                  <w:w w:val="115"/>
                                  <w:sz w:val="14"/>
                                </w:rPr>
                                <w:t>17%</w:t>
                              </w:r>
                            </w:p>
                          </w:txbxContent>
                        </wps:txbx>
                        <wps:bodyPr wrap="square" lIns="0" tIns="0" rIns="0" bIns="0" rtlCol="0">
                          <a:noAutofit/>
                        </wps:bodyPr>
                      </wps:wsp>
                      <wps:wsp>
                        <wps:cNvPr id="478" name="Textbox 478"/>
                        <wps:cNvSpPr txBox="1"/>
                        <wps:spPr>
                          <a:xfrm>
                            <a:off x="1829879" y="909508"/>
                            <a:ext cx="180340" cy="107950"/>
                          </a:xfrm>
                          <a:prstGeom prst="rect">
                            <a:avLst/>
                          </a:prstGeom>
                        </wps:spPr>
                        <wps:txbx>
                          <w:txbxContent>
                            <w:p w14:paraId="08821DDE" w14:textId="77777777" w:rsidR="000E52B0" w:rsidRDefault="00F60D74">
                              <w:pPr>
                                <w:spacing w:line="162" w:lineRule="exact"/>
                                <w:rPr>
                                  <w:rFonts w:ascii="Trebuchet MS"/>
                                  <w:sz w:val="14"/>
                                </w:rPr>
                              </w:pPr>
                              <w:r>
                                <w:rPr>
                                  <w:rFonts w:ascii="Trebuchet MS"/>
                                  <w:color w:val="404040"/>
                                  <w:spacing w:val="-5"/>
                                  <w:w w:val="115"/>
                                  <w:sz w:val="14"/>
                                </w:rPr>
                                <w:t>31%</w:t>
                              </w:r>
                            </w:p>
                          </w:txbxContent>
                        </wps:txbx>
                        <wps:bodyPr wrap="square" lIns="0" tIns="0" rIns="0" bIns="0" rtlCol="0">
                          <a:noAutofit/>
                        </wps:bodyPr>
                      </wps:wsp>
                      <wps:wsp>
                        <wps:cNvPr id="479" name="Textbox 479"/>
                        <wps:cNvSpPr txBox="1"/>
                        <wps:spPr>
                          <a:xfrm>
                            <a:off x="1150810" y="1016442"/>
                            <a:ext cx="180340" cy="107950"/>
                          </a:xfrm>
                          <a:prstGeom prst="rect">
                            <a:avLst/>
                          </a:prstGeom>
                        </wps:spPr>
                        <wps:txbx>
                          <w:txbxContent>
                            <w:p w14:paraId="313FD69B" w14:textId="77777777" w:rsidR="000E52B0" w:rsidRDefault="00F60D74">
                              <w:pPr>
                                <w:spacing w:line="162" w:lineRule="exact"/>
                                <w:rPr>
                                  <w:rFonts w:ascii="Trebuchet MS"/>
                                  <w:sz w:val="14"/>
                                </w:rPr>
                              </w:pPr>
                              <w:r>
                                <w:rPr>
                                  <w:rFonts w:ascii="Trebuchet MS"/>
                                  <w:color w:val="404040"/>
                                  <w:spacing w:val="-5"/>
                                  <w:w w:val="115"/>
                                  <w:sz w:val="14"/>
                                </w:rPr>
                                <w:t>19%</w:t>
                              </w:r>
                            </w:p>
                          </w:txbxContent>
                        </wps:txbx>
                        <wps:bodyPr wrap="square" lIns="0" tIns="0" rIns="0" bIns="0" rtlCol="0">
                          <a:noAutofit/>
                        </wps:bodyPr>
                      </wps:wsp>
                      <wps:wsp>
                        <wps:cNvPr id="480" name="Textbox 480"/>
                        <wps:cNvSpPr txBox="1"/>
                        <wps:spPr>
                          <a:xfrm>
                            <a:off x="752665" y="1187765"/>
                            <a:ext cx="180340" cy="107950"/>
                          </a:xfrm>
                          <a:prstGeom prst="rect">
                            <a:avLst/>
                          </a:prstGeom>
                        </wps:spPr>
                        <wps:txbx>
                          <w:txbxContent>
                            <w:p w14:paraId="44775031" w14:textId="77777777" w:rsidR="000E52B0" w:rsidRDefault="00F60D74">
                              <w:pPr>
                                <w:spacing w:line="162" w:lineRule="exact"/>
                                <w:rPr>
                                  <w:rFonts w:ascii="Trebuchet MS"/>
                                  <w:sz w:val="14"/>
                                </w:rPr>
                              </w:pPr>
                              <w:r>
                                <w:rPr>
                                  <w:rFonts w:ascii="Trebuchet MS"/>
                                  <w:color w:val="404040"/>
                                  <w:spacing w:val="-5"/>
                                  <w:w w:val="115"/>
                                  <w:sz w:val="14"/>
                                </w:rPr>
                                <w:t>12%</w:t>
                              </w:r>
                            </w:p>
                          </w:txbxContent>
                        </wps:txbx>
                        <wps:bodyPr wrap="square" lIns="0" tIns="0" rIns="0" bIns="0" rtlCol="0">
                          <a:noAutofit/>
                        </wps:bodyPr>
                      </wps:wsp>
                      <wps:wsp>
                        <wps:cNvPr id="481" name="Textbox 481"/>
                        <wps:cNvSpPr txBox="1"/>
                        <wps:spPr>
                          <a:xfrm>
                            <a:off x="930084" y="1294698"/>
                            <a:ext cx="180340" cy="107950"/>
                          </a:xfrm>
                          <a:prstGeom prst="rect">
                            <a:avLst/>
                          </a:prstGeom>
                        </wps:spPr>
                        <wps:txbx>
                          <w:txbxContent>
                            <w:p w14:paraId="78DAFE1C" w14:textId="77777777" w:rsidR="000E52B0" w:rsidRDefault="00F60D74">
                              <w:pPr>
                                <w:spacing w:line="162" w:lineRule="exact"/>
                                <w:rPr>
                                  <w:rFonts w:ascii="Trebuchet MS"/>
                                  <w:sz w:val="14"/>
                                </w:rPr>
                              </w:pPr>
                              <w:r>
                                <w:rPr>
                                  <w:rFonts w:ascii="Trebuchet MS"/>
                                  <w:color w:val="404040"/>
                                  <w:spacing w:val="-5"/>
                                  <w:w w:val="115"/>
                                  <w:sz w:val="14"/>
                                </w:rPr>
                                <w:t>15%</w:t>
                              </w:r>
                            </w:p>
                          </w:txbxContent>
                        </wps:txbx>
                        <wps:bodyPr wrap="square" lIns="0" tIns="0" rIns="0" bIns="0" rtlCol="0">
                          <a:noAutofit/>
                        </wps:bodyPr>
                      </wps:wsp>
                      <wps:wsp>
                        <wps:cNvPr id="482" name="Textbox 482"/>
                        <wps:cNvSpPr txBox="1"/>
                        <wps:spPr>
                          <a:xfrm>
                            <a:off x="773747" y="1401759"/>
                            <a:ext cx="181610" cy="107950"/>
                          </a:xfrm>
                          <a:prstGeom prst="rect">
                            <a:avLst/>
                          </a:prstGeom>
                        </wps:spPr>
                        <wps:txbx>
                          <w:txbxContent>
                            <w:p w14:paraId="0EA8AA5F" w14:textId="77777777" w:rsidR="000E52B0" w:rsidRDefault="00F60D74">
                              <w:pPr>
                                <w:spacing w:line="162" w:lineRule="exact"/>
                                <w:rPr>
                                  <w:rFonts w:ascii="Trebuchet MS"/>
                                  <w:sz w:val="14"/>
                                </w:rPr>
                              </w:pPr>
                              <w:r>
                                <w:rPr>
                                  <w:rFonts w:ascii="Trebuchet MS"/>
                                  <w:color w:val="404040"/>
                                  <w:spacing w:val="-5"/>
                                  <w:w w:val="115"/>
                                  <w:sz w:val="14"/>
                                </w:rPr>
                                <w:t>12%</w:t>
                              </w:r>
                            </w:p>
                          </w:txbxContent>
                        </wps:txbx>
                        <wps:bodyPr wrap="square" lIns="0" tIns="0" rIns="0" bIns="0" rtlCol="0">
                          <a:noAutofit/>
                        </wps:bodyPr>
                      </wps:wsp>
                      <wps:wsp>
                        <wps:cNvPr id="483" name="Textbox 483"/>
                        <wps:cNvSpPr txBox="1"/>
                        <wps:spPr>
                          <a:xfrm>
                            <a:off x="91884" y="1572702"/>
                            <a:ext cx="285115" cy="1263650"/>
                          </a:xfrm>
                          <a:prstGeom prst="rect">
                            <a:avLst/>
                          </a:prstGeom>
                        </wps:spPr>
                        <wps:txbx>
                          <w:txbxContent>
                            <w:p w14:paraId="50AFF0BB" w14:textId="77777777" w:rsidR="000E52B0" w:rsidRDefault="00F60D74">
                              <w:pPr>
                                <w:spacing w:line="162" w:lineRule="exact"/>
                                <w:ind w:left="238"/>
                                <w:rPr>
                                  <w:rFonts w:ascii="Trebuchet MS"/>
                                  <w:sz w:val="14"/>
                                </w:rPr>
                              </w:pPr>
                              <w:r>
                                <w:rPr>
                                  <w:rFonts w:ascii="Trebuchet MS"/>
                                  <w:color w:val="404040"/>
                                  <w:spacing w:val="-5"/>
                                  <w:w w:val="120"/>
                                  <w:sz w:val="14"/>
                                </w:rPr>
                                <w:t>3%</w:t>
                              </w:r>
                            </w:p>
                            <w:p w14:paraId="08B3067C" w14:textId="77777777" w:rsidR="000E52B0" w:rsidRDefault="00F60D74">
                              <w:pPr>
                                <w:spacing w:before="6"/>
                                <w:ind w:left="14"/>
                                <w:rPr>
                                  <w:rFonts w:ascii="Trebuchet MS"/>
                                  <w:sz w:val="14"/>
                                </w:rPr>
                              </w:pPr>
                              <w:r>
                                <w:rPr>
                                  <w:rFonts w:ascii="Trebuchet MS"/>
                                  <w:color w:val="404040"/>
                                  <w:spacing w:val="-5"/>
                                  <w:w w:val="120"/>
                                  <w:sz w:val="14"/>
                                </w:rPr>
                                <w:t>0%</w:t>
                              </w:r>
                            </w:p>
                            <w:p w14:paraId="570C80A3" w14:textId="77777777" w:rsidR="000E52B0" w:rsidRDefault="00F60D74">
                              <w:pPr>
                                <w:spacing w:before="6"/>
                                <w:ind w:left="212"/>
                                <w:rPr>
                                  <w:rFonts w:ascii="Trebuchet MS"/>
                                  <w:sz w:val="14"/>
                                </w:rPr>
                              </w:pPr>
                              <w:r>
                                <w:rPr>
                                  <w:rFonts w:ascii="Trebuchet MS"/>
                                  <w:color w:val="404040"/>
                                  <w:spacing w:val="-5"/>
                                  <w:w w:val="120"/>
                                  <w:sz w:val="14"/>
                                </w:rPr>
                                <w:t>3%</w:t>
                              </w:r>
                            </w:p>
                            <w:p w14:paraId="15AFD2E5" w14:textId="77777777" w:rsidR="000E52B0" w:rsidRDefault="00F60D74">
                              <w:pPr>
                                <w:spacing w:before="107"/>
                                <w:ind w:left="207"/>
                                <w:rPr>
                                  <w:rFonts w:ascii="Trebuchet MS"/>
                                  <w:sz w:val="14"/>
                                </w:rPr>
                              </w:pPr>
                              <w:r>
                                <w:rPr>
                                  <w:rFonts w:ascii="Trebuchet MS"/>
                                  <w:color w:val="404040"/>
                                  <w:spacing w:val="-5"/>
                                  <w:w w:val="120"/>
                                  <w:sz w:val="14"/>
                                </w:rPr>
                                <w:t>3%</w:t>
                              </w:r>
                            </w:p>
                            <w:p w14:paraId="153A6154" w14:textId="77777777" w:rsidR="000E52B0" w:rsidRDefault="00F60D74">
                              <w:pPr>
                                <w:spacing w:before="6"/>
                                <w:ind w:left="228"/>
                                <w:rPr>
                                  <w:rFonts w:ascii="Trebuchet MS"/>
                                  <w:sz w:val="14"/>
                                </w:rPr>
                              </w:pPr>
                              <w:r>
                                <w:rPr>
                                  <w:rFonts w:ascii="Trebuchet MS"/>
                                  <w:color w:val="404040"/>
                                  <w:spacing w:val="-5"/>
                                  <w:w w:val="120"/>
                                  <w:sz w:val="14"/>
                                </w:rPr>
                                <w:t>3%</w:t>
                              </w:r>
                            </w:p>
                            <w:p w14:paraId="7BB48796" w14:textId="77777777" w:rsidR="000E52B0" w:rsidRDefault="00F60D74">
                              <w:pPr>
                                <w:spacing w:before="5"/>
                                <w:ind w:left="209"/>
                                <w:rPr>
                                  <w:rFonts w:ascii="Trebuchet MS"/>
                                  <w:sz w:val="14"/>
                                </w:rPr>
                              </w:pPr>
                              <w:r>
                                <w:rPr>
                                  <w:rFonts w:ascii="Trebuchet MS"/>
                                  <w:color w:val="404040"/>
                                  <w:spacing w:val="-5"/>
                                  <w:w w:val="120"/>
                                  <w:sz w:val="14"/>
                                </w:rPr>
                                <w:t>3%</w:t>
                              </w:r>
                            </w:p>
                            <w:p w14:paraId="57C28EE9" w14:textId="77777777" w:rsidR="000E52B0" w:rsidRDefault="00F60D74">
                              <w:pPr>
                                <w:spacing w:before="107"/>
                                <w:ind w:left="189"/>
                                <w:rPr>
                                  <w:rFonts w:ascii="Trebuchet MS"/>
                                  <w:sz w:val="14"/>
                                </w:rPr>
                              </w:pPr>
                              <w:r>
                                <w:rPr>
                                  <w:rFonts w:ascii="Trebuchet MS"/>
                                  <w:color w:val="404040"/>
                                  <w:spacing w:val="-5"/>
                                  <w:w w:val="120"/>
                                  <w:sz w:val="14"/>
                                </w:rPr>
                                <w:t>2%</w:t>
                              </w:r>
                            </w:p>
                            <w:p w14:paraId="5DF15F94" w14:textId="77777777" w:rsidR="000E52B0" w:rsidRDefault="00F60D74">
                              <w:pPr>
                                <w:spacing w:before="6"/>
                                <w:ind w:left="85"/>
                                <w:rPr>
                                  <w:rFonts w:ascii="Trebuchet MS"/>
                                  <w:sz w:val="14"/>
                                </w:rPr>
                              </w:pPr>
                              <w:r>
                                <w:rPr>
                                  <w:rFonts w:ascii="Trebuchet MS"/>
                                  <w:color w:val="404040"/>
                                  <w:spacing w:val="-5"/>
                                  <w:w w:val="120"/>
                                  <w:sz w:val="14"/>
                                </w:rPr>
                                <w:t>1%</w:t>
                              </w:r>
                            </w:p>
                            <w:p w14:paraId="0FEC8FEE" w14:textId="77777777" w:rsidR="000E52B0" w:rsidRDefault="00F60D74">
                              <w:pPr>
                                <w:spacing w:before="6"/>
                                <w:ind w:left="177"/>
                                <w:rPr>
                                  <w:rFonts w:ascii="Trebuchet MS"/>
                                  <w:sz w:val="14"/>
                                </w:rPr>
                              </w:pPr>
                              <w:r>
                                <w:rPr>
                                  <w:rFonts w:ascii="Trebuchet MS"/>
                                  <w:color w:val="404040"/>
                                  <w:spacing w:val="-5"/>
                                  <w:w w:val="120"/>
                                  <w:sz w:val="14"/>
                                </w:rPr>
                                <w:t>2%</w:t>
                              </w:r>
                            </w:p>
                            <w:p w14:paraId="015A44CD" w14:textId="77777777" w:rsidR="000E52B0" w:rsidRDefault="00F60D74">
                              <w:pPr>
                                <w:spacing w:before="107"/>
                                <w:rPr>
                                  <w:rFonts w:ascii="Trebuchet MS"/>
                                  <w:sz w:val="14"/>
                                </w:rPr>
                              </w:pPr>
                              <w:r>
                                <w:rPr>
                                  <w:rFonts w:ascii="Trebuchet MS"/>
                                  <w:color w:val="404040"/>
                                  <w:spacing w:val="-5"/>
                                  <w:w w:val="120"/>
                                  <w:sz w:val="14"/>
                                </w:rPr>
                                <w:t>0%</w:t>
                              </w:r>
                            </w:p>
                          </w:txbxContent>
                        </wps:txbx>
                        <wps:bodyPr wrap="square" lIns="0" tIns="0" rIns="0" bIns="0" rtlCol="0">
                          <a:noAutofit/>
                        </wps:bodyPr>
                      </wps:wsp>
                      <wps:wsp>
                        <wps:cNvPr id="484" name="Textbox 484"/>
                        <wps:cNvSpPr txBox="1"/>
                        <wps:spPr>
                          <a:xfrm>
                            <a:off x="477456" y="2834668"/>
                            <a:ext cx="133350" cy="108585"/>
                          </a:xfrm>
                          <a:prstGeom prst="rect">
                            <a:avLst/>
                          </a:prstGeom>
                        </wps:spPr>
                        <wps:txbx>
                          <w:txbxContent>
                            <w:p w14:paraId="5E004706" w14:textId="77777777" w:rsidR="000E52B0" w:rsidRDefault="00F60D74">
                              <w:pPr>
                                <w:spacing w:line="162" w:lineRule="exact"/>
                                <w:rPr>
                                  <w:rFonts w:ascii="Trebuchet MS"/>
                                  <w:sz w:val="14"/>
                                </w:rPr>
                              </w:pPr>
                              <w:r>
                                <w:rPr>
                                  <w:rFonts w:ascii="Trebuchet MS"/>
                                  <w:color w:val="404040"/>
                                  <w:spacing w:val="-5"/>
                                  <w:w w:val="120"/>
                                  <w:sz w:val="14"/>
                                </w:rPr>
                                <w:t>7%</w:t>
                              </w:r>
                            </w:p>
                          </w:txbxContent>
                        </wps:txbx>
                        <wps:bodyPr wrap="square" lIns="0" tIns="0" rIns="0" bIns="0" rtlCol="0">
                          <a:noAutofit/>
                        </wps:bodyPr>
                      </wps:wsp>
                      <wps:wsp>
                        <wps:cNvPr id="485" name="Textbox 485"/>
                        <wps:cNvSpPr txBox="1"/>
                        <wps:spPr>
                          <a:xfrm>
                            <a:off x="126047" y="2941602"/>
                            <a:ext cx="162560" cy="494030"/>
                          </a:xfrm>
                          <a:prstGeom prst="rect">
                            <a:avLst/>
                          </a:prstGeom>
                        </wps:spPr>
                        <wps:txbx>
                          <w:txbxContent>
                            <w:p w14:paraId="779634CF" w14:textId="77777777" w:rsidR="000E52B0" w:rsidRDefault="00F60D74">
                              <w:pPr>
                                <w:spacing w:line="162" w:lineRule="exact"/>
                                <w:ind w:left="18"/>
                                <w:rPr>
                                  <w:rFonts w:ascii="Trebuchet MS"/>
                                  <w:sz w:val="14"/>
                                </w:rPr>
                              </w:pPr>
                              <w:r>
                                <w:rPr>
                                  <w:rFonts w:ascii="Trebuchet MS"/>
                                  <w:color w:val="404040"/>
                                  <w:spacing w:val="-5"/>
                                  <w:w w:val="120"/>
                                  <w:sz w:val="14"/>
                                </w:rPr>
                                <w:t>1%</w:t>
                              </w:r>
                            </w:p>
                            <w:p w14:paraId="5874E966" w14:textId="77777777" w:rsidR="000E52B0" w:rsidRDefault="00F60D74">
                              <w:pPr>
                                <w:spacing w:before="107"/>
                                <w:rPr>
                                  <w:rFonts w:ascii="Trebuchet MS"/>
                                  <w:sz w:val="14"/>
                                </w:rPr>
                              </w:pPr>
                              <w:r>
                                <w:rPr>
                                  <w:rFonts w:ascii="Trebuchet MS"/>
                                  <w:color w:val="404040"/>
                                  <w:spacing w:val="-5"/>
                                  <w:w w:val="120"/>
                                  <w:sz w:val="14"/>
                                </w:rPr>
                                <w:t>1%</w:t>
                              </w:r>
                            </w:p>
                            <w:p w14:paraId="182AE62B" w14:textId="77777777" w:rsidR="000E52B0" w:rsidRDefault="00F60D74">
                              <w:pPr>
                                <w:spacing w:before="6"/>
                                <w:ind w:left="45"/>
                                <w:rPr>
                                  <w:rFonts w:ascii="Trebuchet MS"/>
                                  <w:sz w:val="14"/>
                                </w:rPr>
                              </w:pPr>
                              <w:r>
                                <w:rPr>
                                  <w:rFonts w:ascii="Trebuchet MS"/>
                                  <w:color w:val="404040"/>
                                  <w:spacing w:val="-5"/>
                                  <w:w w:val="120"/>
                                  <w:sz w:val="14"/>
                                </w:rPr>
                                <w:t>1%</w:t>
                              </w:r>
                            </w:p>
                            <w:p w14:paraId="40CCB99E" w14:textId="77777777" w:rsidR="000E52B0" w:rsidRDefault="00F60D74">
                              <w:pPr>
                                <w:spacing w:before="6"/>
                                <w:ind w:left="5"/>
                                <w:rPr>
                                  <w:rFonts w:ascii="Trebuchet MS"/>
                                  <w:sz w:val="14"/>
                                </w:rPr>
                              </w:pPr>
                              <w:r>
                                <w:rPr>
                                  <w:rFonts w:ascii="Trebuchet MS"/>
                                  <w:color w:val="404040"/>
                                  <w:spacing w:val="-5"/>
                                  <w:w w:val="120"/>
                                  <w:sz w:val="14"/>
                                </w:rPr>
                                <w:t>1%</w:t>
                              </w:r>
                            </w:p>
                          </w:txbxContent>
                        </wps:txbx>
                        <wps:bodyPr wrap="square" lIns="0" tIns="0" rIns="0" bIns="0" rtlCol="0">
                          <a:noAutofit/>
                        </wps:bodyPr>
                      </wps:wsp>
                    </wpg:wgp>
                  </a:graphicData>
                </a:graphic>
              </wp:anchor>
            </w:drawing>
          </mc:Choice>
          <mc:Fallback>
            <w:pict>
              <v:group w14:anchorId="3106C924" id="Group 467" o:spid="_x0000_s1275" style="position:absolute;left:0;text-align:left;margin-left:301pt;margin-top:-19.35pt;width:190.2pt;height:272.9pt;z-index:15789568;mso-wrap-distance-left:0;mso-wrap-distance-right:0;mso-position-horizontal-relative:page;mso-position-vertical-relative:text" coordsize="24155,3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">
                <v:shape id="Graphic 468" o:spid="_x0000_s1276" style="position:absolute;left:47;top:317;width:23267;height:31883;visibility:visible;mso-wrap-style:square;v-text-anchor:top" coordsize="2326640,318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" path="m10033,2695956r-10033,l,2802648r10033,l10033,2695956xem45085,3081528r-45085,l,3188208r45085,l45085,3081528xem130429,2310384l,2310384r,106680l130429,2417064r,-106680xem142621,1926336l,1926336r,106680l142621,2033016r,-106680xem162433,1540764l,1540764r,106680l162433,1647444r,-106680xem669925,1155192l,1155192r,106680l669925,1261872r,-106680xem976249,771144l,771144,,877824r976249,l976249,771144xem1200277,385572l,385572,,492252r1200277,l1200277,385572xem2326513,l,,,106680r2326513,l2326513,xe" fillcolor="#e22c91" stroked="f">
                  <v:path arrowok="t"/>
                </v:shape>
                <v:shape id="Graphic 469" o:spid="_x0000_s1277" style="position:absolute;left:47;top:1384;width:17475;height:31883;visibility:visible;mso-wrap-style:square;v-text-anchor:top" coordsize="1747520,318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" path="m19177,1540764r-19177,l,1647444r19177,l19177,1540764xem64897,2310384r-64897,l,2418588r64897,l64897,2310384xem74041,3081528r-74041,l,3188208r74041,l74041,3081528xem156337,1926336l,1926336r,106680l156337,2033016r,-106680xem395605,2695968l,2695968r,106668l395605,2802636r,-106668xem848233,1155192l,1155192r,108204l848233,1263396r,-108204xem884809,385572l,385572,,492252r884809,l884809,385572xem1473073,l,,,108204r1473073,l1473073,xem1747393,771144l,771144,,877824r1747393,l1747393,771144xe" fillcolor="#741a36" stroked="f">
                  <v:path arrowok="t"/>
                </v:shape>
                <v:shape id="Graphic 470" o:spid="_x0000_s1278" style="position:absolute;left:47;top:2466;width:22244;height:31870;visibility:visible;mso-wrap-style:square;v-text-anchor:top" coordsize="2224405,318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" path="m48133,3080004r-48133,l,3186684r48133,l48133,3080004xem57277,2694432r-57277,l,2801112r57277,l57277,2694432xem122809,2310384l,2310384r,106680l122809,2417064r,-106680xem144145,1924812l,1924812r,106680l144145,2031492r,-106680xem145669,1539240l,1539240r,106680l145669,1645920r,-106680xem691261,1155192l,1155192r,106680l691261,1261872r,-106680xem1067689,769620l,769620,,876300r1067689,l1067689,769620xem1162177,384048l,384048,,490728r1162177,l1162177,384048xem2224405,l,,,106680r2224405,l2224405,xe" fillcolor="#9fa0a8" stroked="f">
                  <v:path arrowok="t"/>
                </v:shape>
                <v:shape id="Graphic 471" o:spid="_x0000_s1279" style="position:absolute;left:47;width:13;height:34658;visibility:visible;mso-wrap-style:square;v-text-anchor:top" coordsize="1270,3465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" path="m,l,3465449e" filled="f" strokecolor="#d9d9d9">
                  <v:path arrowok="t"/>
                </v:shape>
                <v:shape id="Textbox 472" o:spid="_x0000_s1280" type="#_x0000_t202" style="position:absolute;left:15555;top:1392;width:1816;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607D3EF0" w14:textId="77777777" w:rsidR="000E52B0" w:rsidRDefault="00F60D74">
                        <w:pPr>
                          <w:spacing w:line="162" w:lineRule="exact"/>
                          <w:rPr>
                            <w:rFonts w:ascii="Trebuchet MS"/>
                            <w:sz w:val="14"/>
                          </w:rPr>
                        </w:pPr>
                        <w:r>
                          <w:rPr>
                            <w:rFonts w:ascii="Trebuchet MS"/>
                            <w:color w:val="404040"/>
                            <w:spacing w:val="-5"/>
                            <w:w w:val="115"/>
                            <w:sz w:val="14"/>
                          </w:rPr>
                          <w:t>26%</w:t>
                        </w:r>
                      </w:p>
                    </w:txbxContent>
                  </v:textbox>
                </v:shape>
                <v:shape id="Textbox 473" o:spid="_x0000_s1281" type="#_x0000_t202" style="position:absolute;left:23077;top:2461;width:107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36C02FA5" w14:textId="77777777" w:rsidR="000E52B0" w:rsidRDefault="00F60D74">
                        <w:pPr>
                          <w:spacing w:line="162" w:lineRule="exact"/>
                          <w:rPr>
                            <w:rFonts w:ascii="Trebuchet MS"/>
                            <w:sz w:val="14"/>
                          </w:rPr>
                        </w:pPr>
                        <w:r>
                          <w:rPr>
                            <w:rFonts w:ascii="Trebuchet MS"/>
                            <w:color w:val="404040"/>
                            <w:spacing w:val="-5"/>
                            <w:sz w:val="14"/>
                          </w:rPr>
                          <w:t>39</w:t>
                        </w:r>
                      </w:p>
                    </w:txbxContent>
                  </v:textbox>
                </v:shape>
                <v:shape id="Textbox 474" o:spid="_x0000_s1282" type="#_x0000_t202" style="position:absolute;left:12825;top:4175;width:1803;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7C7495BD" w14:textId="77777777" w:rsidR="000E52B0" w:rsidRDefault="00F60D74">
                        <w:pPr>
                          <w:spacing w:line="162" w:lineRule="exact"/>
                          <w:rPr>
                            <w:rFonts w:ascii="Trebuchet MS"/>
                            <w:sz w:val="14"/>
                          </w:rPr>
                        </w:pPr>
                        <w:r>
                          <w:rPr>
                            <w:rFonts w:ascii="Trebuchet MS"/>
                            <w:color w:val="404040"/>
                            <w:spacing w:val="-5"/>
                            <w:w w:val="115"/>
                            <w:sz w:val="14"/>
                          </w:rPr>
                          <w:t>21%</w:t>
                        </w:r>
                      </w:p>
                    </w:txbxContent>
                  </v:textbox>
                </v:shape>
                <v:shape id="Textbox 475" o:spid="_x0000_s1283" type="#_x0000_t202" style="position:absolute;left:9679;top:5245;width:180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0EFB01A4" w14:textId="77777777" w:rsidR="000E52B0" w:rsidRDefault="00F60D74">
                        <w:pPr>
                          <w:spacing w:line="162" w:lineRule="exact"/>
                          <w:rPr>
                            <w:rFonts w:ascii="Trebuchet MS"/>
                            <w:sz w:val="14"/>
                          </w:rPr>
                        </w:pPr>
                        <w:r>
                          <w:rPr>
                            <w:rFonts w:ascii="Trebuchet MS"/>
                            <w:color w:val="404040"/>
                            <w:spacing w:val="-5"/>
                            <w:w w:val="115"/>
                            <w:sz w:val="14"/>
                          </w:rPr>
                          <w:t>16%</w:t>
                        </w:r>
                      </w:p>
                    </w:txbxContent>
                  </v:textbox>
                </v:shape>
                <v:shape id="Textbox 476" o:spid="_x0000_s1284" type="#_x0000_t202" style="position:absolute;left:12449;top:6315;width:1803;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51D4E02E" w14:textId="77777777" w:rsidR="000E52B0" w:rsidRDefault="00F60D74">
                        <w:pPr>
                          <w:spacing w:line="162" w:lineRule="exact"/>
                          <w:rPr>
                            <w:rFonts w:ascii="Trebuchet MS"/>
                            <w:sz w:val="14"/>
                          </w:rPr>
                        </w:pPr>
                        <w:r>
                          <w:rPr>
                            <w:rFonts w:ascii="Trebuchet MS"/>
                            <w:color w:val="404040"/>
                            <w:spacing w:val="-5"/>
                            <w:w w:val="115"/>
                            <w:sz w:val="14"/>
                          </w:rPr>
                          <w:t>21%</w:t>
                        </w:r>
                      </w:p>
                    </w:txbxContent>
                  </v:textbox>
                </v:shape>
                <v:shape id="Textbox 477" o:spid="_x0000_s1285" type="#_x0000_t202" style="position:absolute;left:10587;top:8024;width:1803;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69FFEDA4" w14:textId="77777777" w:rsidR="000E52B0" w:rsidRDefault="00F60D74">
                        <w:pPr>
                          <w:spacing w:line="162" w:lineRule="exact"/>
                          <w:rPr>
                            <w:rFonts w:ascii="Trebuchet MS"/>
                            <w:sz w:val="14"/>
                          </w:rPr>
                        </w:pPr>
                        <w:r>
                          <w:rPr>
                            <w:rFonts w:ascii="Trebuchet MS"/>
                            <w:color w:val="404040"/>
                            <w:spacing w:val="-5"/>
                            <w:w w:val="115"/>
                            <w:sz w:val="14"/>
                          </w:rPr>
                          <w:t>17%</w:t>
                        </w:r>
                      </w:p>
                    </w:txbxContent>
                  </v:textbox>
                </v:shape>
                <v:shape id="Textbox 478" o:spid="_x0000_s1286" type="#_x0000_t202" style="position:absolute;left:18298;top:9095;width:180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08821DDE" w14:textId="77777777" w:rsidR="000E52B0" w:rsidRDefault="00F60D74">
                        <w:pPr>
                          <w:spacing w:line="162" w:lineRule="exact"/>
                          <w:rPr>
                            <w:rFonts w:ascii="Trebuchet MS"/>
                            <w:sz w:val="14"/>
                          </w:rPr>
                        </w:pPr>
                        <w:r>
                          <w:rPr>
                            <w:rFonts w:ascii="Trebuchet MS"/>
                            <w:color w:val="404040"/>
                            <w:spacing w:val="-5"/>
                            <w:w w:val="115"/>
                            <w:sz w:val="14"/>
                          </w:rPr>
                          <w:t>31%</w:t>
                        </w:r>
                      </w:p>
                    </w:txbxContent>
                  </v:textbox>
                </v:shape>
                <v:shape id="Textbox 479" o:spid="_x0000_s1287" type="#_x0000_t202" style="position:absolute;left:11508;top:10164;width:1803;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313FD69B" w14:textId="77777777" w:rsidR="000E52B0" w:rsidRDefault="00F60D74">
                        <w:pPr>
                          <w:spacing w:line="162" w:lineRule="exact"/>
                          <w:rPr>
                            <w:rFonts w:ascii="Trebuchet MS"/>
                            <w:sz w:val="14"/>
                          </w:rPr>
                        </w:pPr>
                        <w:r>
                          <w:rPr>
                            <w:rFonts w:ascii="Trebuchet MS"/>
                            <w:color w:val="404040"/>
                            <w:spacing w:val="-5"/>
                            <w:w w:val="115"/>
                            <w:sz w:val="14"/>
                          </w:rPr>
                          <w:t>19%</w:t>
                        </w:r>
                      </w:p>
                    </w:txbxContent>
                  </v:textbox>
                </v:shape>
                <v:shape id="Textbox 480" o:spid="_x0000_s1288" type="#_x0000_t202" style="position:absolute;left:7526;top:11877;width:1804;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44775031" w14:textId="77777777" w:rsidR="000E52B0" w:rsidRDefault="00F60D74">
                        <w:pPr>
                          <w:spacing w:line="162" w:lineRule="exact"/>
                          <w:rPr>
                            <w:rFonts w:ascii="Trebuchet MS"/>
                            <w:sz w:val="14"/>
                          </w:rPr>
                        </w:pPr>
                        <w:r>
                          <w:rPr>
                            <w:rFonts w:ascii="Trebuchet MS"/>
                            <w:color w:val="404040"/>
                            <w:spacing w:val="-5"/>
                            <w:w w:val="115"/>
                            <w:sz w:val="14"/>
                          </w:rPr>
                          <w:t>12%</w:t>
                        </w:r>
                      </w:p>
                    </w:txbxContent>
                  </v:textbox>
                </v:shape>
                <v:shape id="Textbox 481" o:spid="_x0000_s1289" type="#_x0000_t202" style="position:absolute;left:9300;top:12946;width:1804;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78DAFE1C" w14:textId="77777777" w:rsidR="000E52B0" w:rsidRDefault="00F60D74">
                        <w:pPr>
                          <w:spacing w:line="162" w:lineRule="exact"/>
                          <w:rPr>
                            <w:rFonts w:ascii="Trebuchet MS"/>
                            <w:sz w:val="14"/>
                          </w:rPr>
                        </w:pPr>
                        <w:r>
                          <w:rPr>
                            <w:rFonts w:ascii="Trebuchet MS"/>
                            <w:color w:val="404040"/>
                            <w:spacing w:val="-5"/>
                            <w:w w:val="115"/>
                            <w:sz w:val="14"/>
                          </w:rPr>
                          <w:t>15%</w:t>
                        </w:r>
                      </w:p>
                    </w:txbxContent>
                  </v:textbox>
                </v:shape>
                <v:shape id="Textbox 482" o:spid="_x0000_s1290" type="#_x0000_t202" style="position:absolute;left:7737;top:14017;width:1816;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0EA8AA5F" w14:textId="77777777" w:rsidR="000E52B0" w:rsidRDefault="00F60D74">
                        <w:pPr>
                          <w:spacing w:line="162" w:lineRule="exact"/>
                          <w:rPr>
                            <w:rFonts w:ascii="Trebuchet MS"/>
                            <w:sz w:val="14"/>
                          </w:rPr>
                        </w:pPr>
                        <w:r>
                          <w:rPr>
                            <w:rFonts w:ascii="Trebuchet MS"/>
                            <w:color w:val="404040"/>
                            <w:spacing w:val="-5"/>
                            <w:w w:val="115"/>
                            <w:sz w:val="14"/>
                          </w:rPr>
                          <w:t>12%</w:t>
                        </w:r>
                      </w:p>
                    </w:txbxContent>
                  </v:textbox>
                </v:shape>
                <v:shape id="Textbox 483" o:spid="_x0000_s1291" type="#_x0000_t202" style="position:absolute;left:918;top:15727;width:2851;height:1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50AFF0BB" w14:textId="77777777" w:rsidR="000E52B0" w:rsidRDefault="00F60D74">
                        <w:pPr>
                          <w:spacing w:line="162" w:lineRule="exact"/>
                          <w:ind w:left="238"/>
                          <w:rPr>
                            <w:rFonts w:ascii="Trebuchet MS"/>
                            <w:sz w:val="14"/>
                          </w:rPr>
                        </w:pPr>
                        <w:r>
                          <w:rPr>
                            <w:rFonts w:ascii="Trebuchet MS"/>
                            <w:color w:val="404040"/>
                            <w:spacing w:val="-5"/>
                            <w:w w:val="120"/>
                            <w:sz w:val="14"/>
                          </w:rPr>
                          <w:t>3%</w:t>
                        </w:r>
                      </w:p>
                      <w:p w14:paraId="08B3067C" w14:textId="77777777" w:rsidR="000E52B0" w:rsidRDefault="00F60D74">
                        <w:pPr>
                          <w:spacing w:before="6"/>
                          <w:ind w:left="14"/>
                          <w:rPr>
                            <w:rFonts w:ascii="Trebuchet MS"/>
                            <w:sz w:val="14"/>
                          </w:rPr>
                        </w:pPr>
                        <w:r>
                          <w:rPr>
                            <w:rFonts w:ascii="Trebuchet MS"/>
                            <w:color w:val="404040"/>
                            <w:spacing w:val="-5"/>
                            <w:w w:val="120"/>
                            <w:sz w:val="14"/>
                          </w:rPr>
                          <w:t>0%</w:t>
                        </w:r>
                      </w:p>
                      <w:p w14:paraId="570C80A3" w14:textId="77777777" w:rsidR="000E52B0" w:rsidRDefault="00F60D74">
                        <w:pPr>
                          <w:spacing w:before="6"/>
                          <w:ind w:left="212"/>
                          <w:rPr>
                            <w:rFonts w:ascii="Trebuchet MS"/>
                            <w:sz w:val="14"/>
                          </w:rPr>
                        </w:pPr>
                        <w:r>
                          <w:rPr>
                            <w:rFonts w:ascii="Trebuchet MS"/>
                            <w:color w:val="404040"/>
                            <w:spacing w:val="-5"/>
                            <w:w w:val="120"/>
                            <w:sz w:val="14"/>
                          </w:rPr>
                          <w:t>3%</w:t>
                        </w:r>
                      </w:p>
                      <w:p w14:paraId="15AFD2E5" w14:textId="77777777" w:rsidR="000E52B0" w:rsidRDefault="00F60D74">
                        <w:pPr>
                          <w:spacing w:before="107"/>
                          <w:ind w:left="207"/>
                          <w:rPr>
                            <w:rFonts w:ascii="Trebuchet MS"/>
                            <w:sz w:val="14"/>
                          </w:rPr>
                        </w:pPr>
                        <w:r>
                          <w:rPr>
                            <w:rFonts w:ascii="Trebuchet MS"/>
                            <w:color w:val="404040"/>
                            <w:spacing w:val="-5"/>
                            <w:w w:val="120"/>
                            <w:sz w:val="14"/>
                          </w:rPr>
                          <w:t>3%</w:t>
                        </w:r>
                      </w:p>
                      <w:p w14:paraId="153A6154" w14:textId="77777777" w:rsidR="000E52B0" w:rsidRDefault="00F60D74">
                        <w:pPr>
                          <w:spacing w:before="6"/>
                          <w:ind w:left="228"/>
                          <w:rPr>
                            <w:rFonts w:ascii="Trebuchet MS"/>
                            <w:sz w:val="14"/>
                          </w:rPr>
                        </w:pPr>
                        <w:r>
                          <w:rPr>
                            <w:rFonts w:ascii="Trebuchet MS"/>
                            <w:color w:val="404040"/>
                            <w:spacing w:val="-5"/>
                            <w:w w:val="120"/>
                            <w:sz w:val="14"/>
                          </w:rPr>
                          <w:t>3%</w:t>
                        </w:r>
                      </w:p>
                      <w:p w14:paraId="7BB48796" w14:textId="77777777" w:rsidR="000E52B0" w:rsidRDefault="00F60D74">
                        <w:pPr>
                          <w:spacing w:before="5"/>
                          <w:ind w:left="209"/>
                          <w:rPr>
                            <w:rFonts w:ascii="Trebuchet MS"/>
                            <w:sz w:val="14"/>
                          </w:rPr>
                        </w:pPr>
                        <w:r>
                          <w:rPr>
                            <w:rFonts w:ascii="Trebuchet MS"/>
                            <w:color w:val="404040"/>
                            <w:spacing w:val="-5"/>
                            <w:w w:val="120"/>
                            <w:sz w:val="14"/>
                          </w:rPr>
                          <w:t>3%</w:t>
                        </w:r>
                      </w:p>
                      <w:p w14:paraId="57C28EE9" w14:textId="77777777" w:rsidR="000E52B0" w:rsidRDefault="00F60D74">
                        <w:pPr>
                          <w:spacing w:before="107"/>
                          <w:ind w:left="189"/>
                          <w:rPr>
                            <w:rFonts w:ascii="Trebuchet MS"/>
                            <w:sz w:val="14"/>
                          </w:rPr>
                        </w:pPr>
                        <w:r>
                          <w:rPr>
                            <w:rFonts w:ascii="Trebuchet MS"/>
                            <w:color w:val="404040"/>
                            <w:spacing w:val="-5"/>
                            <w:w w:val="120"/>
                            <w:sz w:val="14"/>
                          </w:rPr>
                          <w:t>2%</w:t>
                        </w:r>
                      </w:p>
                      <w:p w14:paraId="5DF15F94" w14:textId="77777777" w:rsidR="000E52B0" w:rsidRDefault="00F60D74">
                        <w:pPr>
                          <w:spacing w:before="6"/>
                          <w:ind w:left="85"/>
                          <w:rPr>
                            <w:rFonts w:ascii="Trebuchet MS"/>
                            <w:sz w:val="14"/>
                          </w:rPr>
                        </w:pPr>
                        <w:r>
                          <w:rPr>
                            <w:rFonts w:ascii="Trebuchet MS"/>
                            <w:color w:val="404040"/>
                            <w:spacing w:val="-5"/>
                            <w:w w:val="120"/>
                            <w:sz w:val="14"/>
                          </w:rPr>
                          <w:t>1%</w:t>
                        </w:r>
                      </w:p>
                      <w:p w14:paraId="0FEC8FEE" w14:textId="77777777" w:rsidR="000E52B0" w:rsidRDefault="00F60D74">
                        <w:pPr>
                          <w:spacing w:before="6"/>
                          <w:ind w:left="177"/>
                          <w:rPr>
                            <w:rFonts w:ascii="Trebuchet MS"/>
                            <w:sz w:val="14"/>
                          </w:rPr>
                        </w:pPr>
                        <w:r>
                          <w:rPr>
                            <w:rFonts w:ascii="Trebuchet MS"/>
                            <w:color w:val="404040"/>
                            <w:spacing w:val="-5"/>
                            <w:w w:val="120"/>
                            <w:sz w:val="14"/>
                          </w:rPr>
                          <w:t>2%</w:t>
                        </w:r>
                      </w:p>
                      <w:p w14:paraId="015A44CD" w14:textId="77777777" w:rsidR="000E52B0" w:rsidRDefault="00F60D74">
                        <w:pPr>
                          <w:spacing w:before="107"/>
                          <w:rPr>
                            <w:rFonts w:ascii="Trebuchet MS"/>
                            <w:sz w:val="14"/>
                          </w:rPr>
                        </w:pPr>
                        <w:r>
                          <w:rPr>
                            <w:rFonts w:ascii="Trebuchet MS"/>
                            <w:color w:val="404040"/>
                            <w:spacing w:val="-5"/>
                            <w:w w:val="120"/>
                            <w:sz w:val="14"/>
                          </w:rPr>
                          <w:t>0%</w:t>
                        </w:r>
                      </w:p>
                    </w:txbxContent>
                  </v:textbox>
                </v:shape>
                <v:shape id="Textbox 484" o:spid="_x0000_s1292" type="#_x0000_t202" style="position:absolute;left:4774;top:28346;width:1334;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5E004706" w14:textId="77777777" w:rsidR="000E52B0" w:rsidRDefault="00F60D74">
                        <w:pPr>
                          <w:spacing w:line="162" w:lineRule="exact"/>
                          <w:rPr>
                            <w:rFonts w:ascii="Trebuchet MS"/>
                            <w:sz w:val="14"/>
                          </w:rPr>
                        </w:pPr>
                        <w:r>
                          <w:rPr>
                            <w:rFonts w:ascii="Trebuchet MS"/>
                            <w:color w:val="404040"/>
                            <w:spacing w:val="-5"/>
                            <w:w w:val="120"/>
                            <w:sz w:val="14"/>
                          </w:rPr>
                          <w:t>7%</w:t>
                        </w:r>
                      </w:p>
                    </w:txbxContent>
                  </v:textbox>
                </v:shape>
                <v:shape id="Textbox 485" o:spid="_x0000_s1293" type="#_x0000_t202" style="position:absolute;left:1260;top:29416;width:1626;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779634CF" w14:textId="77777777" w:rsidR="000E52B0" w:rsidRDefault="00F60D74">
                        <w:pPr>
                          <w:spacing w:line="162" w:lineRule="exact"/>
                          <w:ind w:left="18"/>
                          <w:rPr>
                            <w:rFonts w:ascii="Trebuchet MS"/>
                            <w:sz w:val="14"/>
                          </w:rPr>
                        </w:pPr>
                        <w:r>
                          <w:rPr>
                            <w:rFonts w:ascii="Trebuchet MS"/>
                            <w:color w:val="404040"/>
                            <w:spacing w:val="-5"/>
                            <w:w w:val="120"/>
                            <w:sz w:val="14"/>
                          </w:rPr>
                          <w:t>1%</w:t>
                        </w:r>
                      </w:p>
                      <w:p w14:paraId="5874E966" w14:textId="77777777" w:rsidR="000E52B0" w:rsidRDefault="00F60D74">
                        <w:pPr>
                          <w:spacing w:before="107"/>
                          <w:rPr>
                            <w:rFonts w:ascii="Trebuchet MS"/>
                            <w:sz w:val="14"/>
                          </w:rPr>
                        </w:pPr>
                        <w:r>
                          <w:rPr>
                            <w:rFonts w:ascii="Trebuchet MS"/>
                            <w:color w:val="404040"/>
                            <w:spacing w:val="-5"/>
                            <w:w w:val="120"/>
                            <w:sz w:val="14"/>
                          </w:rPr>
                          <w:t>1%</w:t>
                        </w:r>
                      </w:p>
                      <w:p w14:paraId="182AE62B" w14:textId="77777777" w:rsidR="000E52B0" w:rsidRDefault="00F60D74">
                        <w:pPr>
                          <w:spacing w:before="6"/>
                          <w:ind w:left="45"/>
                          <w:rPr>
                            <w:rFonts w:ascii="Trebuchet MS"/>
                            <w:sz w:val="14"/>
                          </w:rPr>
                        </w:pPr>
                        <w:r>
                          <w:rPr>
                            <w:rFonts w:ascii="Trebuchet MS"/>
                            <w:color w:val="404040"/>
                            <w:spacing w:val="-5"/>
                            <w:w w:val="120"/>
                            <w:sz w:val="14"/>
                          </w:rPr>
                          <w:t>1%</w:t>
                        </w:r>
                      </w:p>
                      <w:p w14:paraId="40CCB99E" w14:textId="77777777" w:rsidR="000E52B0" w:rsidRDefault="00F60D74">
                        <w:pPr>
                          <w:spacing w:before="6"/>
                          <w:ind w:left="5"/>
                          <w:rPr>
                            <w:rFonts w:ascii="Trebuchet MS"/>
                            <w:sz w:val="14"/>
                          </w:rPr>
                        </w:pPr>
                        <w:r>
                          <w:rPr>
                            <w:rFonts w:ascii="Trebuchet MS"/>
                            <w:color w:val="404040"/>
                            <w:spacing w:val="-5"/>
                            <w:w w:val="120"/>
                            <w:sz w:val="14"/>
                          </w:rPr>
                          <w:t>1%</w:t>
                        </w:r>
                      </w:p>
                    </w:txbxContent>
                  </v:textbox>
                </v:shape>
                <w10:wrap anchorx="page"/>
              </v:group>
            </w:pict>
          </mc:Fallback>
        </mc:AlternateContent>
      </w:r>
      <w:r>
        <w:rPr>
          <w:rFonts w:ascii="Trebuchet MS"/>
          <w:color w:val="404040"/>
          <w:spacing w:val="-10"/>
          <w:w w:val="135"/>
          <w:sz w:val="14"/>
        </w:rPr>
        <w:t>%</w:t>
      </w:r>
    </w:p>
    <w:p w14:paraId="45C44055" w14:textId="77777777" w:rsidR="000E52B0" w:rsidRDefault="000E52B0">
      <w:pPr>
        <w:rPr>
          <w:rFonts w:ascii="Trebuchet MS"/>
          <w:sz w:val="14"/>
        </w:rPr>
        <w:sectPr w:rsidR="000E52B0">
          <w:type w:val="continuous"/>
          <w:pgSz w:w="11910" w:h="16840"/>
          <w:pgMar w:top="1340" w:right="720" w:bottom="1280" w:left="720" w:header="0" w:footer="995" w:gutter="0"/>
          <w:cols w:num="2" w:space="720" w:equalWidth="0">
            <w:col w:w="5190" w:space="2837"/>
            <w:col w:w="2443"/>
          </w:cols>
        </w:sectPr>
      </w:pPr>
    </w:p>
    <w:p w14:paraId="14E4D380" w14:textId="77777777" w:rsidR="000E52B0" w:rsidRDefault="000E52B0">
      <w:pPr>
        <w:pStyle w:val="Textoindependiente"/>
        <w:spacing w:before="154"/>
        <w:ind w:left="0"/>
        <w:rPr>
          <w:rFonts w:ascii="Trebuchet MS"/>
          <w:sz w:val="18"/>
        </w:rPr>
      </w:pPr>
    </w:p>
    <w:p w14:paraId="29928814" w14:textId="77777777" w:rsidR="000E52B0" w:rsidRDefault="00F60D74">
      <w:pPr>
        <w:ind w:left="71"/>
        <w:jc w:val="center"/>
        <w:rPr>
          <w:rFonts w:ascii="Trebuchet MS"/>
          <w:sz w:val="18"/>
        </w:rPr>
      </w:pPr>
      <w:r>
        <w:rPr>
          <w:noProof/>
        </w:rPr>
        <w:drawing>
          <wp:inline distT="0" distB="0" distL="0" distR="0" wp14:anchorId="1BCEF64A" wp14:editId="6DCB3A57">
            <wp:extent cx="62779" cy="62779"/>
            <wp:effectExtent l="0" t="0" r="0" b="0"/>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74" cstate="print"/>
                    <a:stretch>
                      <a:fillRect/>
                    </a:stretch>
                  </pic:blipFill>
                  <pic:spPr>
                    <a:xfrm>
                      <a:off x="0" y="0"/>
                      <a:ext cx="62779" cy="62779"/>
                    </a:xfrm>
                    <a:prstGeom prst="rect">
                      <a:avLst/>
                    </a:prstGeom>
                  </pic:spPr>
                </pic:pic>
              </a:graphicData>
            </a:graphic>
          </wp:inline>
        </w:drawing>
      </w:r>
      <w:r>
        <w:rPr>
          <w:rFonts w:ascii="Times New Roman"/>
          <w:spacing w:val="-11"/>
          <w:sz w:val="20"/>
        </w:rPr>
        <w:t xml:space="preserve"> </w:t>
      </w:r>
      <w:r>
        <w:rPr>
          <w:rFonts w:ascii="Trebuchet MS"/>
          <w:color w:val="585858"/>
          <w:sz w:val="18"/>
        </w:rPr>
        <w:t>Hombre</w:t>
      </w:r>
      <w:r>
        <w:rPr>
          <w:rFonts w:ascii="Trebuchet MS"/>
          <w:color w:val="585858"/>
          <w:spacing w:val="68"/>
          <w:w w:val="150"/>
          <w:sz w:val="18"/>
        </w:rPr>
        <w:t xml:space="preserve"> </w:t>
      </w:r>
      <w:r>
        <w:rPr>
          <w:rFonts w:ascii="Trebuchet MS"/>
          <w:noProof/>
          <w:color w:val="585858"/>
          <w:spacing w:val="-5"/>
          <w:sz w:val="18"/>
        </w:rPr>
        <w:drawing>
          <wp:inline distT="0" distB="0" distL="0" distR="0" wp14:anchorId="288A040F" wp14:editId="51CA6F04">
            <wp:extent cx="62779" cy="62779"/>
            <wp:effectExtent l="0" t="0" r="0" b="0"/>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162" cstate="print"/>
                    <a:stretch>
                      <a:fillRect/>
                    </a:stretch>
                  </pic:blipFill>
                  <pic:spPr>
                    <a:xfrm>
                      <a:off x="0" y="0"/>
                      <a:ext cx="62779" cy="62779"/>
                    </a:xfrm>
                    <a:prstGeom prst="rect">
                      <a:avLst/>
                    </a:prstGeom>
                  </pic:spPr>
                </pic:pic>
              </a:graphicData>
            </a:graphic>
          </wp:inline>
        </w:drawing>
      </w:r>
      <w:r>
        <w:rPr>
          <w:rFonts w:ascii="Times New Roman"/>
          <w:color w:val="585858"/>
          <w:sz w:val="18"/>
        </w:rPr>
        <w:t xml:space="preserve"> </w:t>
      </w:r>
      <w:r>
        <w:rPr>
          <w:rFonts w:ascii="Trebuchet MS"/>
          <w:color w:val="585858"/>
          <w:sz w:val="18"/>
        </w:rPr>
        <w:t>Mujer</w:t>
      </w:r>
      <w:r>
        <w:rPr>
          <w:rFonts w:ascii="Trebuchet MS"/>
          <w:color w:val="585858"/>
          <w:spacing w:val="67"/>
          <w:w w:val="150"/>
          <w:sz w:val="18"/>
        </w:rPr>
        <w:t xml:space="preserve"> </w:t>
      </w:r>
      <w:r>
        <w:rPr>
          <w:rFonts w:ascii="Trebuchet MS"/>
          <w:noProof/>
          <w:color w:val="585858"/>
          <w:spacing w:val="-6"/>
          <w:sz w:val="18"/>
        </w:rPr>
        <w:drawing>
          <wp:inline distT="0" distB="0" distL="0" distR="0" wp14:anchorId="5E11D5CD" wp14:editId="6D440225">
            <wp:extent cx="62779" cy="62779"/>
            <wp:effectExtent l="0" t="0" r="0" b="0"/>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161" cstate="print"/>
                    <a:stretch>
                      <a:fillRect/>
                    </a:stretch>
                  </pic:blipFill>
                  <pic:spPr>
                    <a:xfrm>
                      <a:off x="0" y="0"/>
                      <a:ext cx="62779" cy="62779"/>
                    </a:xfrm>
                    <a:prstGeom prst="rect">
                      <a:avLst/>
                    </a:prstGeom>
                  </pic:spPr>
                </pic:pic>
              </a:graphicData>
            </a:graphic>
          </wp:inline>
        </w:drawing>
      </w:r>
      <w:r>
        <w:rPr>
          <w:rFonts w:ascii="Times New Roman"/>
          <w:color w:val="585858"/>
          <w:spacing w:val="1"/>
          <w:sz w:val="18"/>
        </w:rPr>
        <w:t xml:space="preserve"> </w:t>
      </w:r>
      <w:r>
        <w:rPr>
          <w:rFonts w:ascii="Trebuchet MS"/>
          <w:color w:val="585858"/>
          <w:sz w:val="18"/>
        </w:rPr>
        <w:t>Total</w:t>
      </w:r>
    </w:p>
    <w:p w14:paraId="757B320B" w14:textId="77777777" w:rsidR="000E52B0" w:rsidRDefault="000E52B0">
      <w:pPr>
        <w:pStyle w:val="Textoindependiente"/>
        <w:spacing w:before="155"/>
        <w:ind w:left="0"/>
        <w:rPr>
          <w:rFonts w:ascii="Trebuchet MS"/>
          <w:sz w:val="18"/>
        </w:rPr>
      </w:pPr>
    </w:p>
    <w:p w14:paraId="123BB47A" w14:textId="77777777" w:rsidR="000E52B0" w:rsidRDefault="00F60D74">
      <w:pPr>
        <w:ind w:left="3"/>
        <w:jc w:val="center"/>
        <w:rPr>
          <w:i/>
          <w:sz w:val="18"/>
        </w:rPr>
      </w:pPr>
      <w:r>
        <w:rPr>
          <w:i/>
          <w:color w:val="454551"/>
          <w:sz w:val="18"/>
        </w:rPr>
        <w:t>Fuente</w:t>
      </w:r>
      <w:r>
        <w:rPr>
          <w:i/>
          <w:color w:val="454551"/>
          <w:spacing w:val="-3"/>
          <w:sz w:val="18"/>
        </w:rPr>
        <w:t xml:space="preserve"> </w:t>
      </w:r>
      <w:r>
        <w:rPr>
          <w:i/>
          <w:color w:val="454551"/>
          <w:sz w:val="18"/>
        </w:rPr>
        <w:t>28.DANE,</w:t>
      </w:r>
      <w:r>
        <w:rPr>
          <w:i/>
          <w:color w:val="454551"/>
          <w:spacing w:val="-3"/>
          <w:sz w:val="18"/>
        </w:rPr>
        <w:t xml:space="preserve"> </w:t>
      </w:r>
      <w:r>
        <w:rPr>
          <w:i/>
          <w:color w:val="454551"/>
          <w:sz w:val="18"/>
        </w:rPr>
        <w:t>CHC</w:t>
      </w:r>
      <w:r>
        <w:rPr>
          <w:i/>
          <w:color w:val="454551"/>
          <w:spacing w:val="-4"/>
          <w:sz w:val="18"/>
        </w:rPr>
        <w:t xml:space="preserve"> </w:t>
      </w:r>
      <w:r>
        <w:rPr>
          <w:i/>
          <w:color w:val="454551"/>
          <w:sz w:val="18"/>
        </w:rPr>
        <w:t>2017</w:t>
      </w:r>
      <w:r>
        <w:rPr>
          <w:i/>
          <w:color w:val="454551"/>
          <w:spacing w:val="-2"/>
          <w:sz w:val="18"/>
        </w:rPr>
        <w:t xml:space="preserve"> </w:t>
      </w:r>
      <w:r>
        <w:rPr>
          <w:i/>
          <w:color w:val="454551"/>
          <w:sz w:val="18"/>
        </w:rPr>
        <w:t>al</w:t>
      </w:r>
      <w:r>
        <w:rPr>
          <w:i/>
          <w:color w:val="454551"/>
          <w:spacing w:val="-3"/>
          <w:sz w:val="18"/>
        </w:rPr>
        <w:t xml:space="preserve"> </w:t>
      </w:r>
      <w:r>
        <w:rPr>
          <w:i/>
          <w:color w:val="454551"/>
          <w:spacing w:val="-4"/>
          <w:sz w:val="18"/>
        </w:rPr>
        <w:t>2021</w:t>
      </w:r>
    </w:p>
    <w:p w14:paraId="17877621" w14:textId="77777777" w:rsidR="000E52B0" w:rsidRDefault="00F60D74">
      <w:pPr>
        <w:pStyle w:val="Textoindependiente"/>
        <w:spacing w:before="202"/>
        <w:ind w:right="719"/>
        <w:jc w:val="both"/>
      </w:pPr>
      <w:r>
        <w:t>Respecto a las fuentes para conseguir dinero, los hombres con más frecuencia consiguen dinero recogiendo material reciclable y las mujeres pidiendo.</w:t>
      </w:r>
      <w:r>
        <w:rPr>
          <w:spacing w:val="-1"/>
        </w:rPr>
        <w:t xml:space="preserve"> </w:t>
      </w:r>
      <w:r>
        <w:t>En general la fuente de ingresos más frecuente es la recolección de material reciclable (39%), limpiando vidrios, cuidando carros, tocando llantas o vendiendo en semáforos (21%), le sigue pedir (19%), otras formas no mencionadas (12%), realizando actividades de carpintería, electricidad, construcción u otras similares (3%), robando o atracando (3%),</w:t>
      </w:r>
      <w:r>
        <w:rPr>
          <w:spacing w:val="-12"/>
        </w:rPr>
        <w:t xml:space="preserve"> </w:t>
      </w:r>
      <w:r>
        <w:t>cantando,</w:t>
      </w:r>
      <w:r>
        <w:rPr>
          <w:spacing w:val="-10"/>
        </w:rPr>
        <w:t xml:space="preserve"> </w:t>
      </w:r>
      <w:r>
        <w:t>haciendo</w:t>
      </w:r>
      <w:r>
        <w:rPr>
          <w:spacing w:val="-11"/>
        </w:rPr>
        <w:t xml:space="preserve"> </w:t>
      </w:r>
      <w:r>
        <w:t>malabares,</w:t>
      </w:r>
      <w:r>
        <w:rPr>
          <w:spacing w:val="-12"/>
        </w:rPr>
        <w:t xml:space="preserve"> </w:t>
      </w:r>
      <w:proofErr w:type="spellStart"/>
      <w:r>
        <w:t>cuentería</w:t>
      </w:r>
      <w:proofErr w:type="spellEnd"/>
      <w:r>
        <w:t>,</w:t>
      </w:r>
      <w:r>
        <w:rPr>
          <w:spacing w:val="-12"/>
        </w:rPr>
        <w:t xml:space="preserve"> </w:t>
      </w:r>
      <w:r>
        <w:t>artesanía</w:t>
      </w:r>
      <w:r>
        <w:rPr>
          <w:spacing w:val="-9"/>
        </w:rPr>
        <w:t xml:space="preserve"> </w:t>
      </w:r>
      <w:r>
        <w:t>y</w:t>
      </w:r>
      <w:r>
        <w:rPr>
          <w:spacing w:val="-11"/>
        </w:rPr>
        <w:t xml:space="preserve"> </w:t>
      </w:r>
      <w:r>
        <w:t>otras</w:t>
      </w:r>
      <w:r>
        <w:rPr>
          <w:spacing w:val="-11"/>
        </w:rPr>
        <w:t xml:space="preserve"> </w:t>
      </w:r>
      <w:r>
        <w:t>(2%),</w:t>
      </w:r>
      <w:r>
        <w:rPr>
          <w:spacing w:val="-12"/>
        </w:rPr>
        <w:t xml:space="preserve"> </w:t>
      </w:r>
      <w:r>
        <w:t>el 1% ejerce actividades sexuales pagas, en el caso de las mujeres es</w:t>
      </w:r>
      <w:r>
        <w:rPr>
          <w:spacing w:val="-2"/>
        </w:rPr>
        <w:t xml:space="preserve"> </w:t>
      </w:r>
      <w:r>
        <w:t>el 7% y</w:t>
      </w:r>
      <w:r>
        <w:rPr>
          <w:spacing w:val="-5"/>
        </w:rPr>
        <w:t xml:space="preserve"> </w:t>
      </w:r>
      <w:r>
        <w:t>el</w:t>
      </w:r>
      <w:r>
        <w:rPr>
          <w:spacing w:val="-4"/>
        </w:rPr>
        <w:t xml:space="preserve"> </w:t>
      </w:r>
      <w:r>
        <w:t>1%</w:t>
      </w:r>
      <w:r>
        <w:rPr>
          <w:spacing w:val="-1"/>
        </w:rPr>
        <w:t xml:space="preserve"> </w:t>
      </w:r>
      <w:r>
        <w:t>en</w:t>
      </w:r>
      <w:r>
        <w:rPr>
          <w:spacing w:val="-3"/>
        </w:rPr>
        <w:t xml:space="preserve"> </w:t>
      </w:r>
      <w:r>
        <w:t>actividades</w:t>
      </w:r>
      <w:r>
        <w:rPr>
          <w:spacing w:val="-2"/>
        </w:rPr>
        <w:t xml:space="preserve"> </w:t>
      </w:r>
      <w:r>
        <w:t>relacionadas</w:t>
      </w:r>
      <w:r>
        <w:rPr>
          <w:spacing w:val="-3"/>
        </w:rPr>
        <w:t xml:space="preserve"> </w:t>
      </w:r>
      <w:r>
        <w:t>con</w:t>
      </w:r>
      <w:r>
        <w:rPr>
          <w:spacing w:val="-3"/>
        </w:rPr>
        <w:t xml:space="preserve"> </w:t>
      </w:r>
      <w:r>
        <w:t>tráfico</w:t>
      </w:r>
      <w:r>
        <w:rPr>
          <w:spacing w:val="-1"/>
        </w:rPr>
        <w:t xml:space="preserve"> </w:t>
      </w:r>
      <w:r>
        <w:t>de</w:t>
      </w:r>
      <w:r>
        <w:rPr>
          <w:spacing w:val="-1"/>
        </w:rPr>
        <w:t xml:space="preserve"> </w:t>
      </w:r>
      <w:r>
        <w:t>sustancias</w:t>
      </w:r>
      <w:r>
        <w:rPr>
          <w:spacing w:val="-2"/>
        </w:rPr>
        <w:t xml:space="preserve"> psicoactivas.</w:t>
      </w:r>
    </w:p>
    <w:p w14:paraId="42CB803E" w14:textId="77777777" w:rsidR="000E52B0" w:rsidRDefault="00F60D74">
      <w:pPr>
        <w:pStyle w:val="Textoindependiente"/>
        <w:spacing w:before="160"/>
        <w:ind w:right="715"/>
        <w:jc w:val="both"/>
      </w:pPr>
      <w:r>
        <w:t>No</w:t>
      </w:r>
      <w:r>
        <w:rPr>
          <w:spacing w:val="-4"/>
        </w:rPr>
        <w:t xml:space="preserve"> </w:t>
      </w:r>
      <w:r>
        <w:t>obstante</w:t>
      </w:r>
      <w:r>
        <w:rPr>
          <w:spacing w:val="-4"/>
        </w:rPr>
        <w:t xml:space="preserve"> </w:t>
      </w:r>
      <w:r>
        <w:t>lo</w:t>
      </w:r>
      <w:r>
        <w:rPr>
          <w:spacing w:val="-5"/>
        </w:rPr>
        <w:t xml:space="preserve"> </w:t>
      </w:r>
      <w:r>
        <w:t>anterior,</w:t>
      </w:r>
      <w:r>
        <w:rPr>
          <w:spacing w:val="-5"/>
        </w:rPr>
        <w:t xml:space="preserve"> </w:t>
      </w:r>
      <w:r>
        <w:t>el</w:t>
      </w:r>
      <w:r>
        <w:rPr>
          <w:spacing w:val="-6"/>
        </w:rPr>
        <w:t xml:space="preserve"> </w:t>
      </w:r>
      <w:r>
        <w:t>86%</w:t>
      </w:r>
      <w:r>
        <w:rPr>
          <w:spacing w:val="-5"/>
        </w:rPr>
        <w:t xml:space="preserve"> </w:t>
      </w:r>
      <w:r>
        <w:t>de</w:t>
      </w:r>
      <w:r>
        <w:rPr>
          <w:spacing w:val="-4"/>
        </w:rPr>
        <w:t xml:space="preserve"> </w:t>
      </w:r>
      <w:r>
        <w:t>las</w:t>
      </w:r>
      <w:r>
        <w:rPr>
          <w:spacing w:val="-6"/>
        </w:rPr>
        <w:t xml:space="preserve"> </w:t>
      </w:r>
      <w:r>
        <w:t>personas</w:t>
      </w:r>
      <w:r>
        <w:rPr>
          <w:spacing w:val="-6"/>
        </w:rPr>
        <w:t xml:space="preserve"> </w:t>
      </w:r>
      <w:r>
        <w:t>en</w:t>
      </w:r>
      <w:r>
        <w:rPr>
          <w:spacing w:val="-6"/>
        </w:rPr>
        <w:t xml:space="preserve"> </w:t>
      </w:r>
      <w:r>
        <w:t>situación</w:t>
      </w:r>
      <w:r>
        <w:rPr>
          <w:spacing w:val="-6"/>
        </w:rPr>
        <w:t xml:space="preserve"> </w:t>
      </w:r>
      <w:r>
        <w:t>de</w:t>
      </w:r>
      <w:r>
        <w:rPr>
          <w:spacing w:val="-4"/>
        </w:rPr>
        <w:t xml:space="preserve"> </w:t>
      </w:r>
      <w:r>
        <w:t>calle,</w:t>
      </w:r>
      <w:r>
        <w:rPr>
          <w:spacing w:val="-3"/>
        </w:rPr>
        <w:t xml:space="preserve"> </w:t>
      </w:r>
      <w:r>
        <w:t>sabe leer</w:t>
      </w:r>
      <w:r>
        <w:rPr>
          <w:spacing w:val="-2"/>
        </w:rPr>
        <w:t xml:space="preserve"> </w:t>
      </w:r>
      <w:r>
        <w:t>y</w:t>
      </w:r>
      <w:r>
        <w:rPr>
          <w:spacing w:val="-3"/>
        </w:rPr>
        <w:t xml:space="preserve"> </w:t>
      </w:r>
      <w:r>
        <w:t>escribir,</w:t>
      </w:r>
      <w:r>
        <w:rPr>
          <w:spacing w:val="-3"/>
        </w:rPr>
        <w:t xml:space="preserve"> </w:t>
      </w:r>
      <w:r>
        <w:t>y</w:t>
      </w:r>
      <w:r>
        <w:rPr>
          <w:spacing w:val="-1"/>
        </w:rPr>
        <w:t xml:space="preserve"> </w:t>
      </w:r>
      <w:r>
        <w:t>el</w:t>
      </w:r>
      <w:r>
        <w:rPr>
          <w:spacing w:val="-1"/>
        </w:rPr>
        <w:t xml:space="preserve"> </w:t>
      </w:r>
      <w:r>
        <w:t>49%</w:t>
      </w:r>
      <w:r>
        <w:rPr>
          <w:spacing w:val="-2"/>
        </w:rPr>
        <w:t xml:space="preserve"> </w:t>
      </w:r>
      <w:r>
        <w:t>tiene</w:t>
      </w:r>
      <w:r>
        <w:rPr>
          <w:spacing w:val="-2"/>
        </w:rPr>
        <w:t xml:space="preserve"> </w:t>
      </w:r>
      <w:r>
        <w:t>un</w:t>
      </w:r>
      <w:r>
        <w:rPr>
          <w:spacing w:val="-4"/>
        </w:rPr>
        <w:t xml:space="preserve"> </w:t>
      </w:r>
      <w:r>
        <w:t>nivel</w:t>
      </w:r>
      <w:r>
        <w:rPr>
          <w:spacing w:val="-1"/>
        </w:rPr>
        <w:t xml:space="preserve"> </w:t>
      </w:r>
      <w:r>
        <w:t>educativo de</w:t>
      </w:r>
      <w:r>
        <w:rPr>
          <w:spacing w:val="-2"/>
        </w:rPr>
        <w:t xml:space="preserve"> </w:t>
      </w:r>
      <w:r>
        <w:t>secundaria</w:t>
      </w:r>
      <w:r>
        <w:rPr>
          <w:spacing w:val="-3"/>
        </w:rPr>
        <w:t xml:space="preserve"> </w:t>
      </w:r>
      <w:r>
        <w:t>o</w:t>
      </w:r>
      <w:r>
        <w:rPr>
          <w:spacing w:val="-2"/>
        </w:rPr>
        <w:t xml:space="preserve"> </w:t>
      </w:r>
      <w:r>
        <w:t>superior. El 35% tiene primaria, y el 5% tiene preescolar. Ahora bien, el estigma asociado al consumo y tráfico de SPA representa la principal barrera para recuperar</w:t>
      </w:r>
      <w:r>
        <w:rPr>
          <w:spacing w:val="-12"/>
        </w:rPr>
        <w:t xml:space="preserve"> </w:t>
      </w:r>
      <w:r>
        <w:t>los</w:t>
      </w:r>
      <w:r>
        <w:rPr>
          <w:spacing w:val="-12"/>
        </w:rPr>
        <w:t xml:space="preserve"> </w:t>
      </w:r>
      <w:r>
        <w:t>medios</w:t>
      </w:r>
      <w:r>
        <w:rPr>
          <w:spacing w:val="-12"/>
        </w:rPr>
        <w:t xml:space="preserve"> </w:t>
      </w:r>
      <w:r>
        <w:t>de</w:t>
      </w:r>
      <w:r>
        <w:rPr>
          <w:spacing w:val="-12"/>
        </w:rPr>
        <w:t xml:space="preserve"> </w:t>
      </w:r>
      <w:r>
        <w:t>vida,</w:t>
      </w:r>
      <w:r>
        <w:rPr>
          <w:spacing w:val="-13"/>
        </w:rPr>
        <w:t xml:space="preserve"> </w:t>
      </w:r>
      <w:r>
        <w:t>de</w:t>
      </w:r>
      <w:r>
        <w:rPr>
          <w:spacing w:val="-12"/>
        </w:rPr>
        <w:t xml:space="preserve"> </w:t>
      </w:r>
      <w:r>
        <w:t>acuerdo</w:t>
      </w:r>
      <w:r>
        <w:rPr>
          <w:spacing w:val="-12"/>
        </w:rPr>
        <w:t xml:space="preserve"> </w:t>
      </w:r>
      <w:r>
        <w:t>con</w:t>
      </w:r>
      <w:r>
        <w:rPr>
          <w:spacing w:val="-13"/>
        </w:rPr>
        <w:t xml:space="preserve"> </w:t>
      </w:r>
      <w:r>
        <w:t>la</w:t>
      </w:r>
      <w:r>
        <w:rPr>
          <w:spacing w:val="-13"/>
        </w:rPr>
        <w:t xml:space="preserve"> </w:t>
      </w:r>
      <w:r>
        <w:t>información</w:t>
      </w:r>
      <w:r>
        <w:rPr>
          <w:spacing w:val="-12"/>
        </w:rPr>
        <w:t xml:space="preserve"> </w:t>
      </w:r>
      <w:r>
        <w:t>de</w:t>
      </w:r>
      <w:r>
        <w:rPr>
          <w:spacing w:val="-12"/>
        </w:rPr>
        <w:t xml:space="preserve"> </w:t>
      </w:r>
      <w:r>
        <w:t>la</w:t>
      </w:r>
      <w:r>
        <w:rPr>
          <w:spacing w:val="-13"/>
        </w:rPr>
        <w:t xml:space="preserve"> </w:t>
      </w:r>
      <w:r>
        <w:t>encuesta de</w:t>
      </w:r>
      <w:r>
        <w:rPr>
          <w:spacing w:val="-4"/>
        </w:rPr>
        <w:t xml:space="preserve"> </w:t>
      </w:r>
      <w:r>
        <w:t>cultura</w:t>
      </w:r>
      <w:r>
        <w:rPr>
          <w:spacing w:val="-5"/>
        </w:rPr>
        <w:t xml:space="preserve"> </w:t>
      </w:r>
      <w:r>
        <w:t>política</w:t>
      </w:r>
      <w:r>
        <w:rPr>
          <w:spacing w:val="-5"/>
        </w:rPr>
        <w:t xml:space="preserve"> </w:t>
      </w:r>
      <w:r>
        <w:t>el</w:t>
      </w:r>
      <w:r>
        <w:rPr>
          <w:spacing w:val="-4"/>
        </w:rPr>
        <w:t xml:space="preserve"> </w:t>
      </w:r>
      <w:r>
        <w:t>56%</w:t>
      </w:r>
      <w:r>
        <w:rPr>
          <w:spacing w:val="-5"/>
        </w:rPr>
        <w:t xml:space="preserve"> </w:t>
      </w:r>
      <w:r>
        <w:t>de</w:t>
      </w:r>
      <w:r>
        <w:rPr>
          <w:spacing w:val="-4"/>
        </w:rPr>
        <w:t xml:space="preserve"> </w:t>
      </w:r>
      <w:r>
        <w:t>las</w:t>
      </w:r>
      <w:r>
        <w:rPr>
          <w:spacing w:val="-6"/>
        </w:rPr>
        <w:t xml:space="preserve"> </w:t>
      </w:r>
      <w:r>
        <w:t>personas</w:t>
      </w:r>
      <w:r>
        <w:rPr>
          <w:spacing w:val="-6"/>
        </w:rPr>
        <w:t xml:space="preserve"> </w:t>
      </w:r>
      <w:r>
        <w:t>en</w:t>
      </w:r>
      <w:r>
        <w:rPr>
          <w:spacing w:val="-6"/>
        </w:rPr>
        <w:t xml:space="preserve"> </w:t>
      </w:r>
      <w:r>
        <w:t>el</w:t>
      </w:r>
      <w:r>
        <w:rPr>
          <w:spacing w:val="-6"/>
        </w:rPr>
        <w:t xml:space="preserve"> </w:t>
      </w:r>
      <w:r>
        <w:t>país,</w:t>
      </w:r>
      <w:r>
        <w:rPr>
          <w:spacing w:val="-4"/>
        </w:rPr>
        <w:t xml:space="preserve"> </w:t>
      </w:r>
      <w:r>
        <w:t>no</w:t>
      </w:r>
      <w:r>
        <w:rPr>
          <w:spacing w:val="-5"/>
        </w:rPr>
        <w:t xml:space="preserve"> </w:t>
      </w:r>
      <w:r>
        <w:t>quisieran</w:t>
      </w:r>
      <w:r>
        <w:rPr>
          <w:spacing w:val="-5"/>
        </w:rPr>
        <w:t xml:space="preserve"> </w:t>
      </w:r>
      <w:r>
        <w:t>tener</w:t>
      </w:r>
      <w:r>
        <w:rPr>
          <w:spacing w:val="-4"/>
        </w:rPr>
        <w:t xml:space="preserve"> </w:t>
      </w:r>
      <w:r>
        <w:t>de vecino a una persona consumidora de SPA, y el 21,4% a una persona en situación de prostitución.</w:t>
      </w:r>
    </w:p>
    <w:p w14:paraId="1403A377" w14:textId="77777777" w:rsidR="000E52B0" w:rsidRDefault="00F60D74">
      <w:pPr>
        <w:pStyle w:val="Textoindependiente"/>
        <w:spacing w:before="160"/>
        <w:ind w:right="721"/>
        <w:jc w:val="both"/>
      </w:pPr>
      <w:r>
        <w:t>Si</w:t>
      </w:r>
      <w:r>
        <w:rPr>
          <w:spacing w:val="-5"/>
        </w:rPr>
        <w:t xml:space="preserve"> </w:t>
      </w:r>
      <w:r>
        <w:t>bien</w:t>
      </w:r>
      <w:r>
        <w:rPr>
          <w:spacing w:val="-4"/>
        </w:rPr>
        <w:t xml:space="preserve"> </w:t>
      </w:r>
      <w:r>
        <w:t>la</w:t>
      </w:r>
      <w:r>
        <w:rPr>
          <w:spacing w:val="-2"/>
        </w:rPr>
        <w:t xml:space="preserve"> </w:t>
      </w:r>
      <w:r>
        <w:t>mayoría</w:t>
      </w:r>
      <w:r>
        <w:rPr>
          <w:spacing w:val="-3"/>
        </w:rPr>
        <w:t xml:space="preserve"> </w:t>
      </w:r>
      <w:r>
        <w:t>de</w:t>
      </w:r>
      <w:r>
        <w:rPr>
          <w:spacing w:val="-3"/>
        </w:rPr>
        <w:t xml:space="preserve"> </w:t>
      </w:r>
      <w:r>
        <w:t>las</w:t>
      </w:r>
      <w:r>
        <w:rPr>
          <w:spacing w:val="-4"/>
        </w:rPr>
        <w:t xml:space="preserve"> </w:t>
      </w:r>
      <w:r>
        <w:t>personas</w:t>
      </w:r>
      <w:r>
        <w:rPr>
          <w:spacing w:val="-4"/>
        </w:rPr>
        <w:t xml:space="preserve"> </w:t>
      </w:r>
      <w:r>
        <w:t>en</w:t>
      </w:r>
      <w:r>
        <w:rPr>
          <w:spacing w:val="-4"/>
        </w:rPr>
        <w:t xml:space="preserve"> </w:t>
      </w:r>
      <w:r>
        <w:t>situación</w:t>
      </w:r>
      <w:r>
        <w:rPr>
          <w:spacing w:val="-2"/>
        </w:rPr>
        <w:t xml:space="preserve"> </w:t>
      </w:r>
      <w:r>
        <w:t>de</w:t>
      </w:r>
      <w:r>
        <w:rPr>
          <w:spacing w:val="-3"/>
        </w:rPr>
        <w:t xml:space="preserve"> </w:t>
      </w:r>
      <w:r>
        <w:t>calle</w:t>
      </w:r>
      <w:r>
        <w:rPr>
          <w:spacing w:val="-3"/>
        </w:rPr>
        <w:t xml:space="preserve"> </w:t>
      </w:r>
      <w:r>
        <w:t>no</w:t>
      </w:r>
      <w:r>
        <w:rPr>
          <w:spacing w:val="-3"/>
        </w:rPr>
        <w:t xml:space="preserve"> </w:t>
      </w:r>
      <w:r>
        <w:t>consumen</w:t>
      </w:r>
      <w:r>
        <w:rPr>
          <w:spacing w:val="-4"/>
        </w:rPr>
        <w:t xml:space="preserve"> </w:t>
      </w:r>
      <w:r>
        <w:t>SPA, ni ejercen actividades sexuales pagas, el estigma basado en las representaciones</w:t>
      </w:r>
      <w:r>
        <w:rPr>
          <w:spacing w:val="16"/>
        </w:rPr>
        <w:t xml:space="preserve"> </w:t>
      </w:r>
      <w:r>
        <w:t>negativas</w:t>
      </w:r>
      <w:r>
        <w:rPr>
          <w:spacing w:val="17"/>
        </w:rPr>
        <w:t xml:space="preserve"> </w:t>
      </w:r>
      <w:r>
        <w:t>constituye</w:t>
      </w:r>
      <w:r>
        <w:rPr>
          <w:spacing w:val="18"/>
        </w:rPr>
        <w:t xml:space="preserve"> </w:t>
      </w:r>
      <w:r>
        <w:t>la</w:t>
      </w:r>
      <w:r>
        <w:rPr>
          <w:spacing w:val="17"/>
        </w:rPr>
        <w:t xml:space="preserve"> </w:t>
      </w:r>
      <w:r>
        <w:t>una</w:t>
      </w:r>
      <w:r>
        <w:rPr>
          <w:spacing w:val="16"/>
        </w:rPr>
        <w:t xml:space="preserve"> </w:t>
      </w:r>
      <w:r>
        <w:t>barrera</w:t>
      </w:r>
      <w:r>
        <w:rPr>
          <w:spacing w:val="18"/>
        </w:rPr>
        <w:t xml:space="preserve"> </w:t>
      </w:r>
      <w:r>
        <w:t>cultural</w:t>
      </w:r>
      <w:r>
        <w:rPr>
          <w:spacing w:val="17"/>
        </w:rPr>
        <w:t xml:space="preserve"> </w:t>
      </w:r>
      <w:r>
        <w:t>con</w:t>
      </w:r>
      <w:r>
        <w:rPr>
          <w:spacing w:val="17"/>
        </w:rPr>
        <w:t xml:space="preserve"> </w:t>
      </w:r>
      <w:r>
        <w:rPr>
          <w:spacing w:val="-2"/>
        </w:rPr>
        <w:t>efectos</w:t>
      </w:r>
    </w:p>
    <w:p w14:paraId="6AA2D702" w14:textId="77777777" w:rsidR="000E52B0" w:rsidRDefault="000E52B0">
      <w:pPr>
        <w:pStyle w:val="Textoindependiente"/>
        <w:jc w:val="both"/>
        <w:sectPr w:rsidR="000E52B0">
          <w:type w:val="continuous"/>
          <w:pgSz w:w="11910" w:h="16840"/>
          <w:pgMar w:top="1340" w:right="720" w:bottom="1280" w:left="720" w:header="0" w:footer="995" w:gutter="0"/>
          <w:cols w:space="720"/>
        </w:sectPr>
      </w:pPr>
    </w:p>
    <w:p w14:paraId="041F4C36" w14:textId="77777777" w:rsidR="000E52B0" w:rsidRDefault="00F60D74">
      <w:pPr>
        <w:pStyle w:val="Textoindependiente"/>
        <w:spacing w:before="83"/>
        <w:ind w:right="718"/>
        <w:jc w:val="both"/>
      </w:pPr>
      <w:r>
        <w:lastRenderedPageBreak/>
        <w:t xml:space="preserve">materiales reales. Las condiciones de higiene por las barreras de acceso a bienes y servicios adecuados hacen parte del </w:t>
      </w:r>
      <w:r>
        <w:rPr>
          <w:i/>
        </w:rPr>
        <w:t xml:space="preserve">continuum </w:t>
      </w:r>
      <w:r>
        <w:t>de exclusión, por el estrecho vínculo con la dignidad y la expectativa social.</w:t>
      </w:r>
    </w:p>
    <w:p w14:paraId="3FBB56FC" w14:textId="77777777" w:rsidR="000E52B0" w:rsidRDefault="00F60D74">
      <w:pPr>
        <w:pStyle w:val="Textoindependiente"/>
        <w:spacing w:before="159"/>
        <w:ind w:right="719"/>
        <w:jc w:val="both"/>
      </w:pPr>
      <w:r>
        <w:t>En</w:t>
      </w:r>
      <w:r>
        <w:rPr>
          <w:spacing w:val="-12"/>
        </w:rPr>
        <w:t xml:space="preserve"> </w:t>
      </w:r>
      <w:r>
        <w:t>Colombia,</w:t>
      </w:r>
      <w:r>
        <w:rPr>
          <w:spacing w:val="-12"/>
        </w:rPr>
        <w:t xml:space="preserve"> </w:t>
      </w:r>
      <w:r>
        <w:t>las</w:t>
      </w:r>
      <w:r>
        <w:rPr>
          <w:spacing w:val="-11"/>
        </w:rPr>
        <w:t xml:space="preserve"> </w:t>
      </w:r>
      <w:r>
        <w:t>personas</w:t>
      </w:r>
      <w:r>
        <w:rPr>
          <w:spacing w:val="-12"/>
        </w:rPr>
        <w:t xml:space="preserve"> </w:t>
      </w:r>
      <w:r>
        <w:t>en</w:t>
      </w:r>
      <w:r>
        <w:rPr>
          <w:spacing w:val="-12"/>
        </w:rPr>
        <w:t xml:space="preserve"> </w:t>
      </w:r>
      <w:r>
        <w:t>situación</w:t>
      </w:r>
      <w:r>
        <w:rPr>
          <w:spacing w:val="-9"/>
        </w:rPr>
        <w:t xml:space="preserve"> </w:t>
      </w:r>
      <w:r>
        <w:t>de</w:t>
      </w:r>
      <w:r>
        <w:rPr>
          <w:spacing w:val="-10"/>
        </w:rPr>
        <w:t xml:space="preserve"> </w:t>
      </w:r>
      <w:r>
        <w:t>calle</w:t>
      </w:r>
      <w:r>
        <w:rPr>
          <w:spacing w:val="-11"/>
        </w:rPr>
        <w:t xml:space="preserve"> </w:t>
      </w:r>
      <w:r>
        <w:t>se</w:t>
      </w:r>
      <w:r>
        <w:rPr>
          <w:spacing w:val="-10"/>
        </w:rPr>
        <w:t xml:space="preserve"> </w:t>
      </w:r>
      <w:r>
        <w:t>enfrentan</w:t>
      </w:r>
      <w:r>
        <w:rPr>
          <w:spacing w:val="-12"/>
        </w:rPr>
        <w:t xml:space="preserve"> </w:t>
      </w:r>
      <w:r>
        <w:t>a</w:t>
      </w:r>
      <w:r>
        <w:rPr>
          <w:spacing w:val="-11"/>
        </w:rPr>
        <w:t xml:space="preserve"> </w:t>
      </w:r>
      <w:r>
        <w:t>una</w:t>
      </w:r>
      <w:r>
        <w:rPr>
          <w:spacing w:val="-11"/>
        </w:rPr>
        <w:t xml:space="preserve"> </w:t>
      </w:r>
      <w:r>
        <w:t>serie</w:t>
      </w:r>
      <w:r>
        <w:rPr>
          <w:spacing w:val="-11"/>
        </w:rPr>
        <w:t xml:space="preserve"> </w:t>
      </w:r>
      <w:r>
        <w:t>de barreras significativas para recuperar sus medios de vida. Estas barreras incluyen</w:t>
      </w:r>
      <w:r>
        <w:rPr>
          <w:spacing w:val="-6"/>
        </w:rPr>
        <w:t xml:space="preserve"> </w:t>
      </w:r>
      <w:r>
        <w:t>la</w:t>
      </w:r>
      <w:r>
        <w:rPr>
          <w:spacing w:val="-9"/>
        </w:rPr>
        <w:t xml:space="preserve"> </w:t>
      </w:r>
      <w:r>
        <w:t>falta</w:t>
      </w:r>
      <w:r>
        <w:rPr>
          <w:spacing w:val="-7"/>
        </w:rPr>
        <w:t xml:space="preserve"> </w:t>
      </w:r>
      <w:r>
        <w:t>de</w:t>
      </w:r>
      <w:r>
        <w:rPr>
          <w:spacing w:val="-5"/>
        </w:rPr>
        <w:t xml:space="preserve"> </w:t>
      </w:r>
      <w:r>
        <w:t>acceso</w:t>
      </w:r>
      <w:r>
        <w:rPr>
          <w:spacing w:val="-8"/>
        </w:rPr>
        <w:t xml:space="preserve"> </w:t>
      </w:r>
      <w:r>
        <w:t>a</w:t>
      </w:r>
      <w:r>
        <w:rPr>
          <w:spacing w:val="-9"/>
        </w:rPr>
        <w:t xml:space="preserve"> </w:t>
      </w:r>
      <w:r>
        <w:t>empleo</w:t>
      </w:r>
      <w:r>
        <w:rPr>
          <w:spacing w:val="-8"/>
        </w:rPr>
        <w:t xml:space="preserve"> </w:t>
      </w:r>
      <w:r>
        <w:t>formal</w:t>
      </w:r>
      <w:r>
        <w:rPr>
          <w:spacing w:val="-8"/>
        </w:rPr>
        <w:t xml:space="preserve"> </w:t>
      </w:r>
      <w:r>
        <w:t>debido</w:t>
      </w:r>
      <w:r>
        <w:rPr>
          <w:spacing w:val="-6"/>
        </w:rPr>
        <w:t xml:space="preserve"> </w:t>
      </w:r>
      <w:r>
        <w:t>a</w:t>
      </w:r>
      <w:r>
        <w:rPr>
          <w:spacing w:val="-6"/>
        </w:rPr>
        <w:t xml:space="preserve"> </w:t>
      </w:r>
      <w:r>
        <w:t>la</w:t>
      </w:r>
      <w:r>
        <w:rPr>
          <w:spacing w:val="-9"/>
        </w:rPr>
        <w:t xml:space="preserve"> </w:t>
      </w:r>
      <w:r>
        <w:t>falta</w:t>
      </w:r>
      <w:r>
        <w:rPr>
          <w:spacing w:val="-7"/>
        </w:rPr>
        <w:t xml:space="preserve"> </w:t>
      </w:r>
      <w:r>
        <w:t>de</w:t>
      </w:r>
      <w:r>
        <w:rPr>
          <w:spacing w:val="-8"/>
        </w:rPr>
        <w:t xml:space="preserve"> </w:t>
      </w:r>
      <w:r>
        <w:t>habilidades laborales y al estigma social, la limitada disponibilidad de vivienda y servicios básicos que dificultan la estabilidad necesaria para mantener un empleo, los problemas de salud física y mental sin tratamiento adecuado, el abuso de sustancias que dificulta la participación en programas de reintegración laboral, la vulnerabilidad a la violencia y la explotación, así como la falta de apoyo familiar y comunitario.</w:t>
      </w:r>
    </w:p>
    <w:p w14:paraId="1104D133" w14:textId="77777777" w:rsidR="000E52B0" w:rsidRDefault="000E52B0">
      <w:pPr>
        <w:pStyle w:val="Textoindependiente"/>
        <w:ind w:left="0"/>
      </w:pPr>
    </w:p>
    <w:p w14:paraId="00DA483B" w14:textId="77777777" w:rsidR="000E52B0" w:rsidRDefault="00F60D74">
      <w:pPr>
        <w:pStyle w:val="Ttulo3"/>
        <w:ind w:right="718"/>
        <w:jc w:val="both"/>
      </w:pPr>
      <w:bookmarkStart w:id="60" w:name="_bookmark60"/>
      <w:bookmarkEnd w:id="60"/>
      <w:r>
        <w:rPr>
          <w:color w:val="770F47"/>
        </w:rPr>
        <w:t xml:space="preserve">Discriminaciones y exclusiones: Desigualdad social, cultural y </w:t>
      </w:r>
      <w:r>
        <w:rPr>
          <w:color w:val="770F47"/>
          <w:spacing w:val="-2"/>
        </w:rPr>
        <w:t>política</w:t>
      </w:r>
    </w:p>
    <w:p w14:paraId="5111A379" w14:textId="77777777" w:rsidR="000E52B0" w:rsidRDefault="000E52B0">
      <w:pPr>
        <w:pStyle w:val="Textoindependiente"/>
        <w:spacing w:before="1"/>
        <w:ind w:left="0"/>
        <w:rPr>
          <w:b/>
        </w:rPr>
      </w:pPr>
    </w:p>
    <w:p w14:paraId="2CB940F6" w14:textId="77777777" w:rsidR="000E52B0" w:rsidRDefault="00F60D74">
      <w:pPr>
        <w:pStyle w:val="Textoindependiente"/>
        <w:ind w:right="718"/>
        <w:jc w:val="both"/>
      </w:pPr>
      <w:r>
        <w:t>Las desigualdades económicas son discriminaciones y exclusiones, sin embargo,</w:t>
      </w:r>
      <w:r>
        <w:rPr>
          <w:spacing w:val="-3"/>
        </w:rPr>
        <w:t xml:space="preserve"> </w:t>
      </w:r>
      <w:r>
        <w:t>las</w:t>
      </w:r>
      <w:r>
        <w:rPr>
          <w:spacing w:val="-3"/>
        </w:rPr>
        <w:t xml:space="preserve"> </w:t>
      </w:r>
      <w:r>
        <w:t>barreras</w:t>
      </w:r>
      <w:r>
        <w:rPr>
          <w:spacing w:val="-2"/>
        </w:rPr>
        <w:t xml:space="preserve"> </w:t>
      </w:r>
      <w:r>
        <w:t>para</w:t>
      </w:r>
      <w:r>
        <w:rPr>
          <w:spacing w:val="-2"/>
        </w:rPr>
        <w:t xml:space="preserve"> </w:t>
      </w:r>
      <w:r>
        <w:t>participar</w:t>
      </w:r>
      <w:r>
        <w:rPr>
          <w:spacing w:val="-2"/>
        </w:rPr>
        <w:t xml:space="preserve"> </w:t>
      </w:r>
      <w:r>
        <w:t>que</w:t>
      </w:r>
      <w:r>
        <w:rPr>
          <w:spacing w:val="-2"/>
        </w:rPr>
        <w:t xml:space="preserve"> </w:t>
      </w:r>
      <w:r>
        <w:t>sufren</w:t>
      </w:r>
      <w:r>
        <w:rPr>
          <w:spacing w:val="-3"/>
        </w:rPr>
        <w:t xml:space="preserve"> </w:t>
      </w:r>
      <w:r>
        <w:t>las</w:t>
      </w:r>
      <w:r>
        <w:rPr>
          <w:spacing w:val="-3"/>
        </w:rPr>
        <w:t xml:space="preserve"> </w:t>
      </w:r>
      <w:r>
        <w:t>poblaciones</w:t>
      </w:r>
      <w:r>
        <w:rPr>
          <w:spacing w:val="-2"/>
        </w:rPr>
        <w:t xml:space="preserve"> </w:t>
      </w:r>
      <w:r>
        <w:t>excluidas implica</w:t>
      </w:r>
      <w:r>
        <w:rPr>
          <w:spacing w:val="-6"/>
        </w:rPr>
        <w:t xml:space="preserve"> </w:t>
      </w:r>
      <w:r>
        <w:t>que</w:t>
      </w:r>
      <w:r>
        <w:rPr>
          <w:spacing w:val="-4"/>
        </w:rPr>
        <w:t xml:space="preserve"> </w:t>
      </w:r>
      <w:r>
        <w:t>no</w:t>
      </w:r>
      <w:r>
        <w:rPr>
          <w:spacing w:val="-7"/>
        </w:rPr>
        <w:t xml:space="preserve"> </w:t>
      </w:r>
      <w:r>
        <w:t>tienen</w:t>
      </w:r>
      <w:r>
        <w:rPr>
          <w:spacing w:val="-8"/>
        </w:rPr>
        <w:t xml:space="preserve"> </w:t>
      </w:r>
      <w:r>
        <w:t>la</w:t>
      </w:r>
      <w:r>
        <w:rPr>
          <w:spacing w:val="-6"/>
        </w:rPr>
        <w:t xml:space="preserve"> </w:t>
      </w:r>
      <w:r>
        <w:t>posibilidad</w:t>
      </w:r>
      <w:r>
        <w:rPr>
          <w:spacing w:val="-6"/>
        </w:rPr>
        <w:t xml:space="preserve"> </w:t>
      </w:r>
      <w:r>
        <w:t>de</w:t>
      </w:r>
      <w:r>
        <w:rPr>
          <w:spacing w:val="-7"/>
        </w:rPr>
        <w:t xml:space="preserve"> </w:t>
      </w:r>
      <w:r>
        <w:t>poner</w:t>
      </w:r>
      <w:r>
        <w:rPr>
          <w:spacing w:val="-7"/>
        </w:rPr>
        <w:t xml:space="preserve"> </w:t>
      </w:r>
      <w:r>
        <w:t>su</w:t>
      </w:r>
      <w:r>
        <w:rPr>
          <w:spacing w:val="-9"/>
        </w:rPr>
        <w:t xml:space="preserve"> </w:t>
      </w:r>
      <w:r>
        <w:t>voz</w:t>
      </w:r>
      <w:r>
        <w:rPr>
          <w:spacing w:val="-7"/>
        </w:rPr>
        <w:t xml:space="preserve"> </w:t>
      </w:r>
      <w:r>
        <w:t>en</w:t>
      </w:r>
      <w:r>
        <w:rPr>
          <w:spacing w:val="-8"/>
        </w:rPr>
        <w:t xml:space="preserve"> </w:t>
      </w:r>
      <w:r>
        <w:t>escenarios</w:t>
      </w:r>
      <w:r>
        <w:rPr>
          <w:spacing w:val="-7"/>
        </w:rPr>
        <w:t xml:space="preserve"> </w:t>
      </w:r>
      <w:r>
        <w:t>de</w:t>
      </w:r>
      <w:r>
        <w:rPr>
          <w:spacing w:val="-4"/>
        </w:rPr>
        <w:t xml:space="preserve"> </w:t>
      </w:r>
      <w:r>
        <w:t>toma de decisión; así mismo, las prácticas de discriminación aguda que se configuran en actos de violencia física, psicológica, económica y sexual, afectan de manera desproporcionada a estas poblaciones.</w:t>
      </w:r>
    </w:p>
    <w:p w14:paraId="59FDE0CD" w14:textId="77777777" w:rsidR="000E52B0" w:rsidRDefault="00F60D74">
      <w:pPr>
        <w:pStyle w:val="Textoindependiente"/>
        <w:ind w:right="727"/>
        <w:jc w:val="both"/>
      </w:pPr>
      <w:r>
        <w:t>Este apartado aborda las barreras para el ejercicio de las derechos civiles y políticos, de las poblaciones discriminadas y excluidas.</w:t>
      </w:r>
    </w:p>
    <w:p w14:paraId="7BA60497" w14:textId="77777777" w:rsidR="000E52B0" w:rsidRDefault="000E52B0">
      <w:pPr>
        <w:pStyle w:val="Textoindependiente"/>
        <w:spacing w:before="1"/>
        <w:ind w:left="0"/>
      </w:pPr>
    </w:p>
    <w:p w14:paraId="2B0B192E" w14:textId="77777777" w:rsidR="000E52B0" w:rsidRDefault="00F60D74">
      <w:pPr>
        <w:ind w:left="720"/>
        <w:jc w:val="both"/>
        <w:rPr>
          <w:i/>
          <w:sz w:val="24"/>
        </w:rPr>
      </w:pPr>
      <w:bookmarkStart w:id="61" w:name="_bookmark61"/>
      <w:bookmarkEnd w:id="61"/>
      <w:r>
        <w:rPr>
          <w:i/>
          <w:color w:val="B3176C"/>
          <w:sz w:val="24"/>
        </w:rPr>
        <w:t>Barreras</w:t>
      </w:r>
      <w:r>
        <w:rPr>
          <w:i/>
          <w:color w:val="B3176C"/>
          <w:spacing w:val="-6"/>
          <w:sz w:val="24"/>
        </w:rPr>
        <w:t xml:space="preserve"> </w:t>
      </w:r>
      <w:r>
        <w:rPr>
          <w:i/>
          <w:color w:val="B3176C"/>
          <w:sz w:val="24"/>
        </w:rPr>
        <w:t>para</w:t>
      </w:r>
      <w:r>
        <w:rPr>
          <w:i/>
          <w:color w:val="B3176C"/>
          <w:spacing w:val="-3"/>
          <w:sz w:val="24"/>
        </w:rPr>
        <w:t xml:space="preserve"> </w:t>
      </w:r>
      <w:r>
        <w:rPr>
          <w:i/>
          <w:color w:val="B3176C"/>
          <w:sz w:val="24"/>
        </w:rPr>
        <w:t>la</w:t>
      </w:r>
      <w:r>
        <w:rPr>
          <w:i/>
          <w:color w:val="B3176C"/>
          <w:spacing w:val="-3"/>
          <w:sz w:val="24"/>
        </w:rPr>
        <w:t xml:space="preserve"> </w:t>
      </w:r>
      <w:r>
        <w:rPr>
          <w:i/>
          <w:color w:val="B3176C"/>
          <w:sz w:val="24"/>
        </w:rPr>
        <w:t>participación</w:t>
      </w:r>
      <w:r>
        <w:rPr>
          <w:i/>
          <w:color w:val="B3176C"/>
          <w:spacing w:val="-2"/>
          <w:sz w:val="24"/>
        </w:rPr>
        <w:t xml:space="preserve"> </w:t>
      </w:r>
      <w:r>
        <w:rPr>
          <w:i/>
          <w:color w:val="B3176C"/>
          <w:sz w:val="24"/>
        </w:rPr>
        <w:t>ciudadana</w:t>
      </w:r>
      <w:r>
        <w:rPr>
          <w:i/>
          <w:color w:val="B3176C"/>
          <w:spacing w:val="-1"/>
          <w:sz w:val="24"/>
        </w:rPr>
        <w:t xml:space="preserve"> </w:t>
      </w:r>
      <w:r>
        <w:rPr>
          <w:i/>
          <w:color w:val="B3176C"/>
          <w:sz w:val="24"/>
        </w:rPr>
        <w:t>y</w:t>
      </w:r>
      <w:r>
        <w:rPr>
          <w:i/>
          <w:color w:val="B3176C"/>
          <w:spacing w:val="-5"/>
          <w:sz w:val="24"/>
        </w:rPr>
        <w:t xml:space="preserve"> </w:t>
      </w:r>
      <w:r>
        <w:rPr>
          <w:i/>
          <w:color w:val="B3176C"/>
          <w:spacing w:val="-2"/>
          <w:sz w:val="24"/>
        </w:rPr>
        <w:t>política</w:t>
      </w:r>
    </w:p>
    <w:p w14:paraId="63D1CB28" w14:textId="77777777" w:rsidR="000E52B0" w:rsidRDefault="00F60D74">
      <w:pPr>
        <w:pStyle w:val="Textoindependiente"/>
        <w:spacing w:before="291"/>
        <w:ind w:right="719"/>
        <w:jc w:val="both"/>
      </w:pPr>
      <w:r>
        <w:t>Las desigualdades en materia de reconocimiento y participación de las mujeres en todas sus diversidades por razones de género, son de las más documentadas, los resultados de la Encuesta de Cultura Política de 2023 sobre la percepción de la garantía del derecho a participar muestran que, aunque las cifras entre mujeres y hombres son similares, hay mayor incertidumbre entre las mujeres sobre sus derechos de participación con un 58.7% de los hombres y un 58.0% de las mujeres afirmando que se garantiza el derecho a participar.</w:t>
      </w:r>
    </w:p>
    <w:p w14:paraId="026BA862" w14:textId="77777777" w:rsidR="000E52B0" w:rsidRDefault="00F60D74">
      <w:pPr>
        <w:pStyle w:val="Textoindependiente"/>
        <w:spacing w:before="291"/>
        <w:ind w:right="719"/>
        <w:jc w:val="both"/>
      </w:pPr>
      <w:r>
        <w:t xml:space="preserve">La proporción de quienes responden que no se garantiza es muy cercana (37.3% en hombres y 37.4% en mujeres). La ligera diferencia que marca una proporción más alta de mujeres que no creen en la percepción del derecho a participar. Aunque las cifras son similares, es preocupante que un 37% de ambos géneros considere que no se garantiza el derecho a </w:t>
      </w:r>
      <w:r>
        <w:rPr>
          <w:spacing w:val="-2"/>
        </w:rPr>
        <w:t>participar.</w:t>
      </w:r>
    </w:p>
    <w:p w14:paraId="77276BD3" w14:textId="77777777" w:rsidR="000E52B0" w:rsidRDefault="00F60D74">
      <w:pPr>
        <w:pStyle w:val="Textoindependiente"/>
        <w:spacing w:before="160"/>
        <w:ind w:right="717"/>
        <w:jc w:val="both"/>
      </w:pPr>
      <w:r>
        <w:t>Aunque sigue siendo pequeña, la diferencia más amplia entre mujeres y hombres</w:t>
      </w:r>
      <w:r>
        <w:rPr>
          <w:spacing w:val="-4"/>
        </w:rPr>
        <w:t xml:space="preserve"> </w:t>
      </w:r>
      <w:r>
        <w:t>está</w:t>
      </w:r>
      <w:r>
        <w:rPr>
          <w:spacing w:val="-3"/>
        </w:rPr>
        <w:t xml:space="preserve"> </w:t>
      </w:r>
      <w:r>
        <w:t>en</w:t>
      </w:r>
      <w:r>
        <w:rPr>
          <w:spacing w:val="-4"/>
        </w:rPr>
        <w:t xml:space="preserve"> </w:t>
      </w:r>
      <w:r>
        <w:t>las</w:t>
      </w:r>
      <w:r>
        <w:rPr>
          <w:spacing w:val="-1"/>
        </w:rPr>
        <w:t xml:space="preserve"> </w:t>
      </w:r>
      <w:r>
        <w:t>personas</w:t>
      </w:r>
      <w:r>
        <w:rPr>
          <w:spacing w:val="-4"/>
        </w:rPr>
        <w:t xml:space="preserve"> </w:t>
      </w:r>
      <w:r>
        <w:t>que</w:t>
      </w:r>
      <w:r>
        <w:rPr>
          <w:spacing w:val="-3"/>
        </w:rPr>
        <w:t xml:space="preserve"> </w:t>
      </w:r>
      <w:r>
        <w:t>reportan</w:t>
      </w:r>
      <w:r>
        <w:rPr>
          <w:spacing w:val="-5"/>
        </w:rPr>
        <w:t xml:space="preserve"> </w:t>
      </w:r>
      <w:r>
        <w:t>"No</w:t>
      </w:r>
      <w:r>
        <w:rPr>
          <w:spacing w:val="-3"/>
        </w:rPr>
        <w:t xml:space="preserve"> </w:t>
      </w:r>
      <w:r>
        <w:t>sabe/No</w:t>
      </w:r>
      <w:r>
        <w:rPr>
          <w:spacing w:val="-2"/>
        </w:rPr>
        <w:t xml:space="preserve"> </w:t>
      </w:r>
      <w:r>
        <w:t>informa"</w:t>
      </w:r>
      <w:r>
        <w:rPr>
          <w:spacing w:val="-3"/>
        </w:rPr>
        <w:t xml:space="preserve"> </w:t>
      </w:r>
      <w:r>
        <w:t>sobre</w:t>
      </w:r>
      <w:r>
        <w:rPr>
          <w:spacing w:val="-2"/>
        </w:rPr>
        <w:t xml:space="preserve"> </w:t>
      </w:r>
      <w:r>
        <w:t>la garantía</w:t>
      </w:r>
      <w:r>
        <w:rPr>
          <w:spacing w:val="-10"/>
        </w:rPr>
        <w:t xml:space="preserve"> </w:t>
      </w:r>
      <w:r>
        <w:t>del</w:t>
      </w:r>
      <w:r>
        <w:rPr>
          <w:spacing w:val="-11"/>
        </w:rPr>
        <w:t xml:space="preserve"> </w:t>
      </w:r>
      <w:r>
        <w:t>derecho</w:t>
      </w:r>
      <w:r>
        <w:rPr>
          <w:spacing w:val="-9"/>
        </w:rPr>
        <w:t xml:space="preserve"> </w:t>
      </w:r>
      <w:r>
        <w:t>a</w:t>
      </w:r>
      <w:r>
        <w:rPr>
          <w:spacing w:val="-10"/>
        </w:rPr>
        <w:t xml:space="preserve"> </w:t>
      </w:r>
      <w:r>
        <w:t>participar.</w:t>
      </w:r>
      <w:r>
        <w:rPr>
          <w:spacing w:val="-10"/>
        </w:rPr>
        <w:t xml:space="preserve"> </w:t>
      </w:r>
      <w:r>
        <w:t>Lo</w:t>
      </w:r>
      <w:r>
        <w:rPr>
          <w:spacing w:val="-9"/>
        </w:rPr>
        <w:t xml:space="preserve"> </w:t>
      </w:r>
      <w:r>
        <w:t>anterior,</w:t>
      </w:r>
      <w:r>
        <w:rPr>
          <w:spacing w:val="-10"/>
        </w:rPr>
        <w:t xml:space="preserve"> </w:t>
      </w:r>
      <w:r>
        <w:t>podría</w:t>
      </w:r>
      <w:r>
        <w:rPr>
          <w:spacing w:val="-10"/>
        </w:rPr>
        <w:t xml:space="preserve"> </w:t>
      </w:r>
      <w:r>
        <w:t>sugerir</w:t>
      </w:r>
      <w:r>
        <w:rPr>
          <w:spacing w:val="-9"/>
        </w:rPr>
        <w:t xml:space="preserve"> </w:t>
      </w:r>
      <w:r>
        <w:t>una</w:t>
      </w:r>
      <w:r>
        <w:rPr>
          <w:spacing w:val="-10"/>
        </w:rPr>
        <w:t xml:space="preserve"> </w:t>
      </w:r>
      <w:r>
        <w:t>brecha</w:t>
      </w:r>
      <w:r>
        <w:rPr>
          <w:spacing w:val="-10"/>
        </w:rPr>
        <w:t xml:space="preserve"> </w:t>
      </w:r>
      <w:r>
        <w:t>en el acceso a la información y la capacidad de participación efectiva.</w:t>
      </w:r>
    </w:p>
    <w:p w14:paraId="3E606EA6" w14:textId="77777777" w:rsidR="000E52B0" w:rsidRDefault="000E52B0">
      <w:pPr>
        <w:pStyle w:val="Textoindependiente"/>
        <w:jc w:val="both"/>
        <w:sectPr w:rsidR="000E52B0">
          <w:pgSz w:w="11910" w:h="16840"/>
          <w:pgMar w:top="1340" w:right="720" w:bottom="1180" w:left="720" w:header="0" w:footer="995" w:gutter="0"/>
          <w:cols w:space="720"/>
        </w:sectPr>
      </w:pPr>
    </w:p>
    <w:p w14:paraId="14819D91" w14:textId="77777777" w:rsidR="000E52B0" w:rsidRDefault="00F60D74">
      <w:pPr>
        <w:spacing w:before="80"/>
        <w:ind w:right="1"/>
        <w:jc w:val="center"/>
        <w:rPr>
          <w:i/>
          <w:sz w:val="18"/>
        </w:rPr>
      </w:pPr>
      <w:bookmarkStart w:id="62" w:name="_bookmark62"/>
      <w:bookmarkEnd w:id="62"/>
      <w:r>
        <w:rPr>
          <w:i/>
          <w:color w:val="454551"/>
          <w:sz w:val="18"/>
        </w:rPr>
        <w:lastRenderedPageBreak/>
        <w:t>Ilustración</w:t>
      </w:r>
      <w:r>
        <w:rPr>
          <w:i/>
          <w:color w:val="454551"/>
          <w:spacing w:val="-2"/>
          <w:sz w:val="18"/>
        </w:rPr>
        <w:t xml:space="preserve"> </w:t>
      </w:r>
      <w:r>
        <w:rPr>
          <w:i/>
          <w:color w:val="454551"/>
          <w:sz w:val="18"/>
        </w:rPr>
        <w:t>40.</w:t>
      </w:r>
      <w:r>
        <w:rPr>
          <w:i/>
          <w:color w:val="454551"/>
          <w:spacing w:val="-4"/>
          <w:sz w:val="18"/>
        </w:rPr>
        <w:t xml:space="preserve"> </w:t>
      </w:r>
      <w:r>
        <w:rPr>
          <w:i/>
          <w:color w:val="454551"/>
          <w:sz w:val="18"/>
        </w:rPr>
        <w:t>Percepción</w:t>
      </w:r>
      <w:r>
        <w:rPr>
          <w:i/>
          <w:color w:val="454551"/>
          <w:spacing w:val="-2"/>
          <w:sz w:val="18"/>
        </w:rPr>
        <w:t xml:space="preserve"> </w:t>
      </w:r>
      <w:r>
        <w:rPr>
          <w:i/>
          <w:color w:val="454551"/>
          <w:sz w:val="18"/>
        </w:rPr>
        <w:t>sobre</w:t>
      </w:r>
      <w:r>
        <w:rPr>
          <w:i/>
          <w:color w:val="454551"/>
          <w:spacing w:val="-3"/>
          <w:sz w:val="18"/>
        </w:rPr>
        <w:t xml:space="preserve"> </w:t>
      </w:r>
      <w:r>
        <w:rPr>
          <w:i/>
          <w:color w:val="454551"/>
          <w:sz w:val="18"/>
        </w:rPr>
        <w:t>la</w:t>
      </w:r>
      <w:r>
        <w:rPr>
          <w:i/>
          <w:color w:val="454551"/>
          <w:spacing w:val="-3"/>
          <w:sz w:val="18"/>
        </w:rPr>
        <w:t xml:space="preserve"> </w:t>
      </w:r>
      <w:r>
        <w:rPr>
          <w:i/>
          <w:color w:val="454551"/>
          <w:sz w:val="18"/>
        </w:rPr>
        <w:t>garantía</w:t>
      </w:r>
      <w:r>
        <w:rPr>
          <w:i/>
          <w:color w:val="454551"/>
          <w:spacing w:val="-2"/>
          <w:sz w:val="18"/>
        </w:rPr>
        <w:t xml:space="preserve"> </w:t>
      </w:r>
      <w:r>
        <w:rPr>
          <w:i/>
          <w:color w:val="454551"/>
          <w:sz w:val="18"/>
        </w:rPr>
        <w:t>del</w:t>
      </w:r>
      <w:r>
        <w:rPr>
          <w:i/>
          <w:color w:val="454551"/>
          <w:spacing w:val="-2"/>
          <w:sz w:val="18"/>
        </w:rPr>
        <w:t xml:space="preserve"> </w:t>
      </w:r>
      <w:r>
        <w:rPr>
          <w:i/>
          <w:color w:val="454551"/>
          <w:sz w:val="18"/>
        </w:rPr>
        <w:t>derecho</w:t>
      </w:r>
      <w:r>
        <w:rPr>
          <w:i/>
          <w:color w:val="454551"/>
          <w:spacing w:val="-2"/>
          <w:sz w:val="18"/>
        </w:rPr>
        <w:t xml:space="preserve"> </w:t>
      </w:r>
      <w:r>
        <w:rPr>
          <w:i/>
          <w:color w:val="454551"/>
          <w:sz w:val="18"/>
        </w:rPr>
        <w:t>a</w:t>
      </w:r>
      <w:r>
        <w:rPr>
          <w:i/>
          <w:color w:val="454551"/>
          <w:spacing w:val="-3"/>
          <w:sz w:val="18"/>
        </w:rPr>
        <w:t xml:space="preserve"> </w:t>
      </w:r>
      <w:r>
        <w:rPr>
          <w:i/>
          <w:color w:val="454551"/>
          <w:sz w:val="18"/>
        </w:rPr>
        <w:t>la</w:t>
      </w:r>
      <w:r>
        <w:rPr>
          <w:i/>
          <w:color w:val="454551"/>
          <w:spacing w:val="-2"/>
          <w:sz w:val="18"/>
        </w:rPr>
        <w:t xml:space="preserve"> participación</w:t>
      </w:r>
    </w:p>
    <w:p w14:paraId="4B866D30" w14:textId="77777777" w:rsidR="000E52B0" w:rsidRDefault="000E52B0">
      <w:pPr>
        <w:pStyle w:val="Textoindependiente"/>
        <w:ind w:left="0"/>
        <w:rPr>
          <w:i/>
          <w:sz w:val="12"/>
        </w:rPr>
      </w:pPr>
    </w:p>
    <w:p w14:paraId="7F179609" w14:textId="77777777" w:rsidR="000E52B0" w:rsidRDefault="000E52B0">
      <w:pPr>
        <w:pStyle w:val="Textoindependiente"/>
        <w:spacing w:before="59"/>
        <w:ind w:left="0"/>
        <w:rPr>
          <w:i/>
          <w:sz w:val="12"/>
        </w:rPr>
      </w:pPr>
    </w:p>
    <w:p w14:paraId="46E3E209" w14:textId="77777777" w:rsidR="000E52B0" w:rsidRDefault="00F60D74">
      <w:pPr>
        <w:ind w:left="4504" w:right="2673" w:hanging="1832"/>
        <w:rPr>
          <w:sz w:val="12"/>
        </w:rPr>
      </w:pPr>
      <w:r>
        <w:rPr>
          <w:color w:val="585858"/>
          <w:sz w:val="12"/>
        </w:rPr>
        <w:t>¿Usted</w:t>
      </w:r>
      <w:r>
        <w:rPr>
          <w:color w:val="585858"/>
          <w:spacing w:val="-3"/>
          <w:sz w:val="12"/>
        </w:rPr>
        <w:t xml:space="preserve"> </w:t>
      </w:r>
      <w:r>
        <w:rPr>
          <w:color w:val="585858"/>
          <w:sz w:val="12"/>
        </w:rPr>
        <w:t>cree que</w:t>
      </w:r>
      <w:r>
        <w:rPr>
          <w:color w:val="585858"/>
          <w:spacing w:val="-2"/>
          <w:sz w:val="12"/>
        </w:rPr>
        <w:t xml:space="preserve"> </w:t>
      </w:r>
      <w:r>
        <w:rPr>
          <w:color w:val="585858"/>
          <w:sz w:val="12"/>
        </w:rPr>
        <w:t>en</w:t>
      </w:r>
      <w:r>
        <w:rPr>
          <w:color w:val="585858"/>
          <w:spacing w:val="-2"/>
          <w:sz w:val="12"/>
        </w:rPr>
        <w:t xml:space="preserve"> </w:t>
      </w:r>
      <w:r>
        <w:rPr>
          <w:color w:val="585858"/>
          <w:sz w:val="12"/>
        </w:rPr>
        <w:t>Colombia:</w:t>
      </w:r>
      <w:r>
        <w:rPr>
          <w:color w:val="585858"/>
          <w:spacing w:val="-7"/>
          <w:sz w:val="12"/>
        </w:rPr>
        <w:t xml:space="preserve"> </w:t>
      </w:r>
      <w:r>
        <w:rPr>
          <w:color w:val="585858"/>
          <w:sz w:val="12"/>
        </w:rPr>
        <w:t>a</w:t>
      </w:r>
      <w:r>
        <w:rPr>
          <w:color w:val="585858"/>
          <w:spacing w:val="-1"/>
          <w:sz w:val="12"/>
        </w:rPr>
        <w:t xml:space="preserve"> </w:t>
      </w:r>
      <w:r>
        <w:rPr>
          <w:color w:val="585858"/>
          <w:sz w:val="12"/>
        </w:rPr>
        <w:t>los(as)</w:t>
      </w:r>
      <w:r>
        <w:rPr>
          <w:color w:val="585858"/>
          <w:spacing w:val="-5"/>
          <w:sz w:val="12"/>
        </w:rPr>
        <w:t xml:space="preserve"> </w:t>
      </w:r>
      <w:r>
        <w:rPr>
          <w:color w:val="585858"/>
          <w:sz w:val="12"/>
        </w:rPr>
        <w:t>ciudadanos(as)</w:t>
      </w:r>
      <w:r>
        <w:rPr>
          <w:color w:val="585858"/>
          <w:spacing w:val="-5"/>
          <w:sz w:val="12"/>
        </w:rPr>
        <w:t xml:space="preserve"> </w:t>
      </w:r>
      <w:r>
        <w:rPr>
          <w:color w:val="585858"/>
          <w:sz w:val="12"/>
        </w:rPr>
        <w:t>se</w:t>
      </w:r>
      <w:r>
        <w:rPr>
          <w:color w:val="585858"/>
          <w:spacing w:val="-2"/>
          <w:sz w:val="12"/>
        </w:rPr>
        <w:t xml:space="preserve"> </w:t>
      </w:r>
      <w:r>
        <w:rPr>
          <w:color w:val="585858"/>
          <w:sz w:val="12"/>
        </w:rPr>
        <w:t>les</w:t>
      </w:r>
      <w:r>
        <w:rPr>
          <w:color w:val="585858"/>
          <w:spacing w:val="-5"/>
          <w:sz w:val="12"/>
        </w:rPr>
        <w:t xml:space="preserve"> </w:t>
      </w:r>
      <w:r>
        <w:rPr>
          <w:color w:val="585858"/>
          <w:sz w:val="12"/>
        </w:rPr>
        <w:t>garantiza</w:t>
      </w:r>
      <w:r>
        <w:rPr>
          <w:color w:val="585858"/>
          <w:spacing w:val="-3"/>
          <w:sz w:val="12"/>
        </w:rPr>
        <w:t xml:space="preserve"> </w:t>
      </w:r>
      <w:r>
        <w:rPr>
          <w:color w:val="585858"/>
          <w:sz w:val="12"/>
        </w:rPr>
        <w:t>el</w:t>
      </w:r>
      <w:r>
        <w:rPr>
          <w:color w:val="585858"/>
          <w:spacing w:val="-2"/>
          <w:sz w:val="12"/>
        </w:rPr>
        <w:t xml:space="preserve"> </w:t>
      </w:r>
      <w:r>
        <w:rPr>
          <w:color w:val="585858"/>
          <w:sz w:val="12"/>
        </w:rPr>
        <w:t>derecho</w:t>
      </w:r>
      <w:r>
        <w:rPr>
          <w:color w:val="585858"/>
          <w:spacing w:val="-4"/>
          <w:sz w:val="12"/>
        </w:rPr>
        <w:t xml:space="preserve"> </w:t>
      </w:r>
      <w:r>
        <w:rPr>
          <w:color w:val="585858"/>
          <w:sz w:val="12"/>
        </w:rPr>
        <w:t>a participar?</w:t>
      </w:r>
      <w:r>
        <w:rPr>
          <w:color w:val="585858"/>
          <w:spacing w:val="40"/>
          <w:sz w:val="12"/>
        </w:rPr>
        <w:t xml:space="preserve"> </w:t>
      </w:r>
      <w:r>
        <w:rPr>
          <w:color w:val="585858"/>
          <w:sz w:val="12"/>
        </w:rPr>
        <w:t>- Porcentaje</w:t>
      </w:r>
    </w:p>
    <w:p w14:paraId="2F635C65" w14:textId="77777777" w:rsidR="000E52B0" w:rsidRDefault="000E52B0">
      <w:pPr>
        <w:pStyle w:val="Textoindependiente"/>
        <w:spacing w:before="155"/>
        <w:ind w:left="0"/>
        <w:rPr>
          <w:sz w:val="18"/>
        </w:rPr>
      </w:pPr>
    </w:p>
    <w:p w14:paraId="11DC6277" w14:textId="77777777" w:rsidR="000E52B0" w:rsidRDefault="00F60D74">
      <w:pPr>
        <w:tabs>
          <w:tab w:val="left" w:pos="4372"/>
          <w:tab w:val="left" w:pos="6700"/>
        </w:tabs>
        <w:spacing w:before="1"/>
        <w:ind w:left="2118"/>
        <w:rPr>
          <w:rFonts w:ascii="Trebuchet MS"/>
          <w:sz w:val="18"/>
        </w:rPr>
      </w:pPr>
      <w:r>
        <w:rPr>
          <w:rFonts w:ascii="Trebuchet MS"/>
          <w:color w:val="404040"/>
          <w:spacing w:val="-4"/>
          <w:position w:val="1"/>
          <w:sz w:val="18"/>
        </w:rPr>
        <w:t>58,3</w:t>
      </w:r>
      <w:r>
        <w:rPr>
          <w:rFonts w:ascii="Trebuchet MS"/>
          <w:color w:val="404040"/>
          <w:position w:val="1"/>
          <w:sz w:val="18"/>
        </w:rPr>
        <w:tab/>
      </w:r>
      <w:r>
        <w:rPr>
          <w:rFonts w:ascii="Trebuchet MS"/>
          <w:color w:val="404040"/>
          <w:spacing w:val="-4"/>
          <w:position w:val="3"/>
          <w:sz w:val="18"/>
        </w:rPr>
        <w:t>58,7</w:t>
      </w:r>
      <w:r>
        <w:rPr>
          <w:rFonts w:ascii="Trebuchet MS"/>
          <w:color w:val="404040"/>
          <w:position w:val="3"/>
          <w:sz w:val="18"/>
        </w:rPr>
        <w:tab/>
      </w:r>
      <w:r>
        <w:rPr>
          <w:rFonts w:ascii="Trebuchet MS"/>
          <w:color w:val="404040"/>
          <w:spacing w:val="-5"/>
          <w:sz w:val="18"/>
        </w:rPr>
        <w:t>58</w:t>
      </w:r>
    </w:p>
    <w:p w14:paraId="4EBA258E" w14:textId="77777777" w:rsidR="000E52B0" w:rsidRDefault="00F60D74">
      <w:pPr>
        <w:pStyle w:val="Textoindependiente"/>
        <w:spacing w:before="4"/>
        <w:ind w:left="0"/>
        <w:rPr>
          <w:rFonts w:ascii="Trebuchet MS"/>
          <w:sz w:val="4"/>
        </w:rPr>
      </w:pPr>
      <w:r>
        <w:rPr>
          <w:rFonts w:ascii="Trebuchet MS"/>
          <w:noProof/>
          <w:sz w:val="4"/>
        </w:rPr>
        <mc:AlternateContent>
          <mc:Choice Requires="wpg">
            <w:drawing>
              <wp:anchor distT="0" distB="0" distL="0" distR="0" simplePos="0" relativeHeight="487649280" behindDoc="1" locked="0" layoutInCell="1" allowOverlap="1" wp14:anchorId="65133C20" wp14:editId="2DF68D0A">
                <wp:simplePos x="0" y="0"/>
                <wp:positionH relativeFrom="page">
                  <wp:posOffset>1629092</wp:posOffset>
                </wp:positionH>
                <wp:positionV relativeFrom="paragraph">
                  <wp:posOffset>47445</wp:posOffset>
                </wp:positionV>
                <wp:extent cx="4302125" cy="1478280"/>
                <wp:effectExtent l="0" t="0" r="0" b="0"/>
                <wp:wrapTopAndBottom/>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2125" cy="1478280"/>
                          <a:chOff x="0" y="0"/>
                          <a:chExt cx="4302125" cy="1478280"/>
                        </a:xfrm>
                      </wpg:grpSpPr>
                      <wps:wsp>
                        <wps:cNvPr id="490" name="Graphic 490"/>
                        <wps:cNvSpPr/>
                        <wps:spPr>
                          <a:xfrm>
                            <a:off x="108267" y="0"/>
                            <a:ext cx="3208020" cy="1442085"/>
                          </a:xfrm>
                          <a:custGeom>
                            <a:avLst/>
                            <a:gdLst/>
                            <a:ahLst/>
                            <a:cxnLst/>
                            <a:rect l="l" t="t" r="r" b="b"/>
                            <a:pathLst>
                              <a:path w="3208020" h="1442085">
                                <a:moveTo>
                                  <a:pt x="345948" y="9144"/>
                                </a:moveTo>
                                <a:lnTo>
                                  <a:pt x="0" y="9144"/>
                                </a:lnTo>
                                <a:lnTo>
                                  <a:pt x="0" y="1441958"/>
                                </a:lnTo>
                                <a:lnTo>
                                  <a:pt x="345948" y="1441958"/>
                                </a:lnTo>
                                <a:lnTo>
                                  <a:pt x="345948" y="9144"/>
                                </a:lnTo>
                                <a:close/>
                              </a:path>
                              <a:path w="3208020" h="1442085">
                                <a:moveTo>
                                  <a:pt x="1776984" y="0"/>
                                </a:moveTo>
                                <a:lnTo>
                                  <a:pt x="1431036" y="0"/>
                                </a:lnTo>
                                <a:lnTo>
                                  <a:pt x="1431036" y="1441958"/>
                                </a:lnTo>
                                <a:lnTo>
                                  <a:pt x="1776984" y="1441958"/>
                                </a:lnTo>
                                <a:lnTo>
                                  <a:pt x="1776984" y="0"/>
                                </a:lnTo>
                                <a:close/>
                              </a:path>
                              <a:path w="3208020" h="1442085">
                                <a:moveTo>
                                  <a:pt x="3208020" y="16764"/>
                                </a:moveTo>
                                <a:lnTo>
                                  <a:pt x="2862072" y="16764"/>
                                </a:lnTo>
                                <a:lnTo>
                                  <a:pt x="2862072" y="1441958"/>
                                </a:lnTo>
                                <a:lnTo>
                                  <a:pt x="3208020" y="1441958"/>
                                </a:lnTo>
                                <a:lnTo>
                                  <a:pt x="3208020" y="16764"/>
                                </a:lnTo>
                                <a:close/>
                              </a:path>
                            </a:pathLst>
                          </a:custGeom>
                          <a:solidFill>
                            <a:srgbClr val="D44673"/>
                          </a:solidFill>
                        </wps:spPr>
                        <wps:bodyPr wrap="square" lIns="0" tIns="0" rIns="0" bIns="0" rtlCol="0">
                          <a:prstTxWarp prst="textNoShape">
                            <a:avLst/>
                          </a:prstTxWarp>
                          <a:noAutofit/>
                        </wps:bodyPr>
                      </wps:wsp>
                      <wps:wsp>
                        <wps:cNvPr id="491" name="Graphic 491"/>
                        <wps:cNvSpPr/>
                        <wps:spPr>
                          <a:xfrm>
                            <a:off x="547179" y="522731"/>
                            <a:ext cx="3208020" cy="919480"/>
                          </a:xfrm>
                          <a:custGeom>
                            <a:avLst/>
                            <a:gdLst/>
                            <a:ahLst/>
                            <a:cxnLst/>
                            <a:rect l="l" t="t" r="r" b="b"/>
                            <a:pathLst>
                              <a:path w="3208020" h="919480">
                                <a:moveTo>
                                  <a:pt x="345948" y="3048"/>
                                </a:moveTo>
                                <a:lnTo>
                                  <a:pt x="0" y="3048"/>
                                </a:lnTo>
                                <a:lnTo>
                                  <a:pt x="0" y="919226"/>
                                </a:lnTo>
                                <a:lnTo>
                                  <a:pt x="345948" y="919226"/>
                                </a:lnTo>
                                <a:lnTo>
                                  <a:pt x="345948" y="3048"/>
                                </a:lnTo>
                                <a:close/>
                              </a:path>
                              <a:path w="3208020" h="919480">
                                <a:moveTo>
                                  <a:pt x="1776984" y="3048"/>
                                </a:moveTo>
                                <a:lnTo>
                                  <a:pt x="1431036" y="3048"/>
                                </a:lnTo>
                                <a:lnTo>
                                  <a:pt x="1431036" y="919226"/>
                                </a:lnTo>
                                <a:lnTo>
                                  <a:pt x="1776984" y="919226"/>
                                </a:lnTo>
                                <a:lnTo>
                                  <a:pt x="1776984" y="3048"/>
                                </a:lnTo>
                                <a:close/>
                              </a:path>
                              <a:path w="3208020" h="919480">
                                <a:moveTo>
                                  <a:pt x="3208020" y="0"/>
                                </a:moveTo>
                                <a:lnTo>
                                  <a:pt x="2862072" y="0"/>
                                </a:lnTo>
                                <a:lnTo>
                                  <a:pt x="2862072" y="919226"/>
                                </a:lnTo>
                                <a:lnTo>
                                  <a:pt x="3208020" y="919226"/>
                                </a:lnTo>
                                <a:lnTo>
                                  <a:pt x="3208020" y="0"/>
                                </a:lnTo>
                                <a:close/>
                              </a:path>
                            </a:pathLst>
                          </a:custGeom>
                          <a:solidFill>
                            <a:srgbClr val="741A36"/>
                          </a:solidFill>
                        </wps:spPr>
                        <wps:bodyPr wrap="square" lIns="0" tIns="0" rIns="0" bIns="0" rtlCol="0">
                          <a:prstTxWarp prst="textNoShape">
                            <a:avLst/>
                          </a:prstTxWarp>
                          <a:noAutofit/>
                        </wps:bodyPr>
                      </wps:wsp>
                      <wps:wsp>
                        <wps:cNvPr id="492" name="Graphic 492"/>
                        <wps:cNvSpPr/>
                        <wps:spPr>
                          <a:xfrm>
                            <a:off x="986091" y="1328927"/>
                            <a:ext cx="3208020" cy="113030"/>
                          </a:xfrm>
                          <a:custGeom>
                            <a:avLst/>
                            <a:gdLst/>
                            <a:ahLst/>
                            <a:cxnLst/>
                            <a:rect l="l" t="t" r="r" b="b"/>
                            <a:pathLst>
                              <a:path w="3208020" h="113030">
                                <a:moveTo>
                                  <a:pt x="345948" y="4572"/>
                                </a:moveTo>
                                <a:lnTo>
                                  <a:pt x="0" y="4572"/>
                                </a:lnTo>
                                <a:lnTo>
                                  <a:pt x="0" y="113030"/>
                                </a:lnTo>
                                <a:lnTo>
                                  <a:pt x="345948" y="113030"/>
                                </a:lnTo>
                                <a:lnTo>
                                  <a:pt x="345948" y="4572"/>
                                </a:lnTo>
                                <a:close/>
                              </a:path>
                              <a:path w="3208020" h="113030">
                                <a:moveTo>
                                  <a:pt x="1776984" y="12192"/>
                                </a:moveTo>
                                <a:lnTo>
                                  <a:pt x="1431036" y="12192"/>
                                </a:lnTo>
                                <a:lnTo>
                                  <a:pt x="1431036" y="113030"/>
                                </a:lnTo>
                                <a:lnTo>
                                  <a:pt x="1776984" y="113030"/>
                                </a:lnTo>
                                <a:lnTo>
                                  <a:pt x="1776984" y="12192"/>
                                </a:lnTo>
                                <a:close/>
                              </a:path>
                              <a:path w="3208020" h="113030">
                                <a:moveTo>
                                  <a:pt x="3208020" y="0"/>
                                </a:moveTo>
                                <a:lnTo>
                                  <a:pt x="2862072" y="0"/>
                                </a:lnTo>
                                <a:lnTo>
                                  <a:pt x="2862072" y="113030"/>
                                </a:lnTo>
                                <a:lnTo>
                                  <a:pt x="3208020" y="113030"/>
                                </a:lnTo>
                                <a:lnTo>
                                  <a:pt x="3208020" y="0"/>
                                </a:lnTo>
                                <a:close/>
                              </a:path>
                            </a:pathLst>
                          </a:custGeom>
                          <a:solidFill>
                            <a:srgbClr val="D9D9D9"/>
                          </a:solidFill>
                        </wps:spPr>
                        <wps:bodyPr wrap="square" lIns="0" tIns="0" rIns="0" bIns="0" rtlCol="0">
                          <a:prstTxWarp prst="textNoShape">
                            <a:avLst/>
                          </a:prstTxWarp>
                          <a:noAutofit/>
                        </wps:bodyPr>
                      </wps:wsp>
                      <wps:wsp>
                        <wps:cNvPr id="493" name="Graphic 493"/>
                        <wps:cNvSpPr/>
                        <wps:spPr>
                          <a:xfrm>
                            <a:off x="4762" y="1441958"/>
                            <a:ext cx="4292600" cy="36195"/>
                          </a:xfrm>
                          <a:custGeom>
                            <a:avLst/>
                            <a:gdLst/>
                            <a:ahLst/>
                            <a:cxnLst/>
                            <a:rect l="l" t="t" r="r" b="b"/>
                            <a:pathLst>
                              <a:path w="4292600" h="36195">
                                <a:moveTo>
                                  <a:pt x="0" y="0"/>
                                </a:moveTo>
                                <a:lnTo>
                                  <a:pt x="4292600" y="0"/>
                                </a:lnTo>
                              </a:path>
                              <a:path w="4292600" h="36195">
                                <a:moveTo>
                                  <a:pt x="0" y="0"/>
                                </a:moveTo>
                                <a:lnTo>
                                  <a:pt x="0" y="35814"/>
                                </a:lnTo>
                              </a:path>
                              <a:path w="4292600" h="36195">
                                <a:moveTo>
                                  <a:pt x="1430908" y="0"/>
                                </a:moveTo>
                                <a:lnTo>
                                  <a:pt x="1430908" y="35814"/>
                                </a:lnTo>
                              </a:path>
                              <a:path w="4292600" h="36195">
                                <a:moveTo>
                                  <a:pt x="2861945" y="0"/>
                                </a:moveTo>
                                <a:lnTo>
                                  <a:pt x="2861945" y="35814"/>
                                </a:lnTo>
                              </a:path>
                              <a:path w="4292600" h="36195">
                                <a:moveTo>
                                  <a:pt x="4292600" y="0"/>
                                </a:moveTo>
                                <a:lnTo>
                                  <a:pt x="4292600" y="35814"/>
                                </a:lnTo>
                              </a:path>
                            </a:pathLst>
                          </a:custGeom>
                          <a:ln w="9525">
                            <a:solidFill>
                              <a:srgbClr val="D9D9D9"/>
                            </a:solidFill>
                            <a:prstDash val="solid"/>
                          </a:ln>
                        </wps:spPr>
                        <wps:bodyPr wrap="square" lIns="0" tIns="0" rIns="0" bIns="0" rtlCol="0">
                          <a:prstTxWarp prst="textNoShape">
                            <a:avLst/>
                          </a:prstTxWarp>
                          <a:noAutofit/>
                        </wps:bodyPr>
                      </wps:wsp>
                      <wps:wsp>
                        <wps:cNvPr id="494" name="Textbox 494"/>
                        <wps:cNvSpPr txBox="1"/>
                        <wps:spPr>
                          <a:xfrm>
                            <a:off x="612457" y="328540"/>
                            <a:ext cx="227965" cy="139700"/>
                          </a:xfrm>
                          <a:prstGeom prst="rect">
                            <a:avLst/>
                          </a:prstGeom>
                        </wps:spPr>
                        <wps:txbx>
                          <w:txbxContent>
                            <w:p w14:paraId="6D5B9CFD" w14:textId="77777777" w:rsidR="000E52B0" w:rsidRDefault="00F60D74">
                              <w:pPr>
                                <w:rPr>
                                  <w:rFonts w:ascii="Trebuchet MS"/>
                                  <w:sz w:val="18"/>
                                </w:rPr>
                              </w:pPr>
                              <w:r>
                                <w:rPr>
                                  <w:rFonts w:ascii="Trebuchet MS"/>
                                  <w:color w:val="404040"/>
                                  <w:spacing w:val="-4"/>
                                  <w:sz w:val="18"/>
                                </w:rPr>
                                <w:t>37,3</w:t>
                              </w:r>
                            </w:p>
                          </w:txbxContent>
                        </wps:txbx>
                        <wps:bodyPr wrap="square" lIns="0" tIns="0" rIns="0" bIns="0" rtlCol="0">
                          <a:noAutofit/>
                        </wps:bodyPr>
                      </wps:wsp>
                      <wps:wsp>
                        <wps:cNvPr id="495" name="Textbox 495"/>
                        <wps:cNvSpPr txBox="1"/>
                        <wps:spPr>
                          <a:xfrm>
                            <a:off x="2043747" y="328540"/>
                            <a:ext cx="227965" cy="139700"/>
                          </a:xfrm>
                          <a:prstGeom prst="rect">
                            <a:avLst/>
                          </a:prstGeom>
                        </wps:spPr>
                        <wps:txbx>
                          <w:txbxContent>
                            <w:p w14:paraId="6BCAC648" w14:textId="77777777" w:rsidR="000E52B0" w:rsidRDefault="00F60D74">
                              <w:pPr>
                                <w:rPr>
                                  <w:rFonts w:ascii="Trebuchet MS"/>
                                  <w:sz w:val="18"/>
                                </w:rPr>
                              </w:pPr>
                              <w:r>
                                <w:rPr>
                                  <w:rFonts w:ascii="Trebuchet MS"/>
                                  <w:color w:val="404040"/>
                                  <w:spacing w:val="-4"/>
                                  <w:sz w:val="18"/>
                                </w:rPr>
                                <w:t>37,3</w:t>
                              </w:r>
                            </w:p>
                          </w:txbxContent>
                        </wps:txbx>
                        <wps:bodyPr wrap="square" lIns="0" tIns="0" rIns="0" bIns="0" rtlCol="0">
                          <a:noAutofit/>
                        </wps:bodyPr>
                      </wps:wsp>
                      <wps:wsp>
                        <wps:cNvPr id="496" name="Textbox 496"/>
                        <wps:cNvSpPr txBox="1"/>
                        <wps:spPr>
                          <a:xfrm>
                            <a:off x="3474783" y="326127"/>
                            <a:ext cx="227965" cy="139700"/>
                          </a:xfrm>
                          <a:prstGeom prst="rect">
                            <a:avLst/>
                          </a:prstGeom>
                        </wps:spPr>
                        <wps:txbx>
                          <w:txbxContent>
                            <w:p w14:paraId="0BA86CF7" w14:textId="77777777" w:rsidR="000E52B0" w:rsidRDefault="00F60D74">
                              <w:pPr>
                                <w:rPr>
                                  <w:rFonts w:ascii="Trebuchet MS"/>
                                  <w:sz w:val="18"/>
                                </w:rPr>
                              </w:pPr>
                              <w:r>
                                <w:rPr>
                                  <w:rFonts w:ascii="Trebuchet MS"/>
                                  <w:color w:val="404040"/>
                                  <w:spacing w:val="-4"/>
                                  <w:sz w:val="18"/>
                                </w:rPr>
                                <w:t>37,4</w:t>
                              </w:r>
                            </w:p>
                          </w:txbxContent>
                        </wps:txbx>
                        <wps:bodyPr wrap="square" lIns="0" tIns="0" rIns="0" bIns="0" rtlCol="0">
                          <a:noAutofit/>
                        </wps:bodyPr>
                      </wps:wsp>
                      <wps:wsp>
                        <wps:cNvPr id="497" name="Textbox 497"/>
                        <wps:cNvSpPr txBox="1"/>
                        <wps:spPr>
                          <a:xfrm>
                            <a:off x="1082103" y="1137149"/>
                            <a:ext cx="167005" cy="139700"/>
                          </a:xfrm>
                          <a:prstGeom prst="rect">
                            <a:avLst/>
                          </a:prstGeom>
                        </wps:spPr>
                        <wps:txbx>
                          <w:txbxContent>
                            <w:p w14:paraId="705B2905" w14:textId="77777777" w:rsidR="000E52B0" w:rsidRDefault="00F60D74">
                              <w:pPr>
                                <w:rPr>
                                  <w:rFonts w:ascii="Trebuchet MS"/>
                                  <w:sz w:val="18"/>
                                </w:rPr>
                              </w:pPr>
                              <w:r>
                                <w:rPr>
                                  <w:rFonts w:ascii="Trebuchet MS"/>
                                  <w:color w:val="404040"/>
                                  <w:spacing w:val="-5"/>
                                  <w:sz w:val="18"/>
                                </w:rPr>
                                <w:t>4,4</w:t>
                              </w:r>
                            </w:p>
                          </w:txbxContent>
                        </wps:txbx>
                        <wps:bodyPr wrap="square" lIns="0" tIns="0" rIns="0" bIns="0" rtlCol="0">
                          <a:noAutofit/>
                        </wps:bodyPr>
                      </wps:wsp>
                      <wps:wsp>
                        <wps:cNvPr id="498" name="Textbox 498"/>
                        <wps:cNvSpPr txBox="1"/>
                        <wps:spPr>
                          <a:xfrm>
                            <a:off x="2513139" y="1144515"/>
                            <a:ext cx="167005" cy="139700"/>
                          </a:xfrm>
                          <a:prstGeom prst="rect">
                            <a:avLst/>
                          </a:prstGeom>
                        </wps:spPr>
                        <wps:txbx>
                          <w:txbxContent>
                            <w:p w14:paraId="1100950F" w14:textId="77777777" w:rsidR="000E52B0" w:rsidRDefault="00F60D74">
                              <w:pPr>
                                <w:rPr>
                                  <w:rFonts w:ascii="Trebuchet MS"/>
                                  <w:sz w:val="18"/>
                                </w:rPr>
                              </w:pPr>
                              <w:r>
                                <w:rPr>
                                  <w:rFonts w:ascii="Trebuchet MS"/>
                                  <w:color w:val="404040"/>
                                  <w:spacing w:val="-5"/>
                                  <w:sz w:val="18"/>
                                </w:rPr>
                                <w:t>4,1</w:t>
                              </w:r>
                            </w:p>
                          </w:txbxContent>
                        </wps:txbx>
                        <wps:bodyPr wrap="square" lIns="0" tIns="0" rIns="0" bIns="0" rtlCol="0">
                          <a:noAutofit/>
                        </wps:bodyPr>
                      </wps:wsp>
                      <wps:wsp>
                        <wps:cNvPr id="499" name="Textbox 499"/>
                        <wps:cNvSpPr txBox="1"/>
                        <wps:spPr>
                          <a:xfrm>
                            <a:off x="3944175" y="1131656"/>
                            <a:ext cx="167640" cy="140335"/>
                          </a:xfrm>
                          <a:prstGeom prst="rect">
                            <a:avLst/>
                          </a:prstGeom>
                        </wps:spPr>
                        <wps:txbx>
                          <w:txbxContent>
                            <w:p w14:paraId="19F4BD4A" w14:textId="77777777" w:rsidR="000E52B0" w:rsidRDefault="00F60D74">
                              <w:pPr>
                                <w:rPr>
                                  <w:rFonts w:ascii="Trebuchet MS"/>
                                  <w:sz w:val="18"/>
                                </w:rPr>
                              </w:pPr>
                              <w:r>
                                <w:rPr>
                                  <w:rFonts w:ascii="Trebuchet MS"/>
                                  <w:color w:val="404040"/>
                                  <w:spacing w:val="-5"/>
                                  <w:sz w:val="18"/>
                                </w:rPr>
                                <w:t>4,6</w:t>
                              </w:r>
                            </w:p>
                          </w:txbxContent>
                        </wps:txbx>
                        <wps:bodyPr wrap="square" lIns="0" tIns="0" rIns="0" bIns="0" rtlCol="0">
                          <a:noAutofit/>
                        </wps:bodyPr>
                      </wps:wsp>
                    </wpg:wgp>
                  </a:graphicData>
                </a:graphic>
              </wp:anchor>
            </w:drawing>
          </mc:Choice>
          <mc:Fallback>
            <w:pict>
              <v:group w14:anchorId="65133C20" id="Group 489" o:spid="_x0000_s1294" style="position:absolute;margin-left:128.25pt;margin-top:3.75pt;width:338.75pt;height:116.4pt;z-index:-15667200;mso-wrap-distance-left:0;mso-wrap-distance-right:0;mso-position-horizontal-relative:page;mso-position-vertical-relative:text" coordsize="43021,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">
                <v:shape id="Graphic 490" o:spid="_x0000_s1295" style="position:absolute;left:1082;width:32080;height:14420;visibility:visible;mso-wrap-style:square;v-text-anchor:top" coordsize="3208020,144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" path="m345948,9144l,9144,,1441958r345948,l345948,9144xem1776984,l1431036,r,1441958l1776984,1441958,1776984,xem3208020,16764r-345948,l2862072,1441958r345948,l3208020,16764xe" fillcolor="#d44673" stroked="f">
                  <v:path arrowok="t"/>
                </v:shape>
                <v:shape id="Graphic 491" o:spid="_x0000_s1296" style="position:absolute;left:5471;top:5227;width:32080;height:9195;visibility:visible;mso-wrap-style:square;v-text-anchor:top" coordsize="3208020,9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" path="m345948,3048l,3048,,919226r345948,l345948,3048xem1776984,3048r-345948,l1431036,919226r345948,l1776984,3048xem3208020,l2862072,r,919226l3208020,919226,3208020,xe" fillcolor="#741a36" stroked="f">
                  <v:path arrowok="t"/>
                </v:shape>
                <v:shape id="Graphic 492" o:spid="_x0000_s1297" style="position:absolute;left:9860;top:13289;width:32081;height:1130;visibility:visible;mso-wrap-style:square;v-text-anchor:top" coordsize="320802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" path="m345948,4572l,4572,,113030r345948,l345948,4572xem1776984,12192r-345948,l1431036,113030r345948,l1776984,12192xem3208020,l2862072,r,113030l3208020,113030,3208020,xe" fillcolor="#d9d9d9" stroked="f">
                  <v:path arrowok="t"/>
                </v:shape>
                <v:shape id="Graphic 493" o:spid="_x0000_s1298" style="position:absolute;left:47;top:14419;width:42926;height:362;visibility:visible;mso-wrap-style:square;v-text-anchor:top" coordsize="429260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" path="m,l4292600,em,l,35814em1430908,r,35814em2861945,r,35814em4292600,r,35814e" filled="f" strokecolor="#d9d9d9">
                  <v:path arrowok="t"/>
                </v:shape>
                <v:shape id="Textbox 494" o:spid="_x0000_s1299" type="#_x0000_t202" style="position:absolute;left:6124;top:3285;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6D5B9CFD" w14:textId="77777777" w:rsidR="000E52B0" w:rsidRDefault="00F60D74">
                        <w:pPr>
                          <w:rPr>
                            <w:rFonts w:ascii="Trebuchet MS"/>
                            <w:sz w:val="18"/>
                          </w:rPr>
                        </w:pPr>
                        <w:r>
                          <w:rPr>
                            <w:rFonts w:ascii="Trebuchet MS"/>
                            <w:color w:val="404040"/>
                            <w:spacing w:val="-4"/>
                            <w:sz w:val="18"/>
                          </w:rPr>
                          <w:t>37,3</w:t>
                        </w:r>
                      </w:p>
                    </w:txbxContent>
                  </v:textbox>
                </v:shape>
                <v:shape id="Textbox 495" o:spid="_x0000_s1300" type="#_x0000_t202" style="position:absolute;left:20437;top:3285;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6BCAC648" w14:textId="77777777" w:rsidR="000E52B0" w:rsidRDefault="00F60D74">
                        <w:pPr>
                          <w:rPr>
                            <w:rFonts w:ascii="Trebuchet MS"/>
                            <w:sz w:val="18"/>
                          </w:rPr>
                        </w:pPr>
                        <w:r>
                          <w:rPr>
                            <w:rFonts w:ascii="Trebuchet MS"/>
                            <w:color w:val="404040"/>
                            <w:spacing w:val="-4"/>
                            <w:sz w:val="18"/>
                          </w:rPr>
                          <w:t>37,3</w:t>
                        </w:r>
                      </w:p>
                    </w:txbxContent>
                  </v:textbox>
                </v:shape>
                <v:shape id="Textbox 496" o:spid="_x0000_s1301" type="#_x0000_t202" style="position:absolute;left:34747;top:3261;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0BA86CF7" w14:textId="77777777" w:rsidR="000E52B0" w:rsidRDefault="00F60D74">
                        <w:pPr>
                          <w:rPr>
                            <w:rFonts w:ascii="Trebuchet MS"/>
                            <w:sz w:val="18"/>
                          </w:rPr>
                        </w:pPr>
                        <w:r>
                          <w:rPr>
                            <w:rFonts w:ascii="Trebuchet MS"/>
                            <w:color w:val="404040"/>
                            <w:spacing w:val="-4"/>
                            <w:sz w:val="18"/>
                          </w:rPr>
                          <w:t>37,4</w:t>
                        </w:r>
                      </w:p>
                    </w:txbxContent>
                  </v:textbox>
                </v:shape>
                <v:shape id="Textbox 497" o:spid="_x0000_s1302" type="#_x0000_t202" style="position:absolute;left:10821;top:11371;width:167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705B2905" w14:textId="77777777" w:rsidR="000E52B0" w:rsidRDefault="00F60D74">
                        <w:pPr>
                          <w:rPr>
                            <w:rFonts w:ascii="Trebuchet MS"/>
                            <w:sz w:val="18"/>
                          </w:rPr>
                        </w:pPr>
                        <w:r>
                          <w:rPr>
                            <w:rFonts w:ascii="Trebuchet MS"/>
                            <w:color w:val="404040"/>
                            <w:spacing w:val="-5"/>
                            <w:sz w:val="18"/>
                          </w:rPr>
                          <w:t>4,4</w:t>
                        </w:r>
                      </w:p>
                    </w:txbxContent>
                  </v:textbox>
                </v:shape>
                <v:shape id="Textbox 498" o:spid="_x0000_s1303" type="#_x0000_t202" style="position:absolute;left:25131;top:11445;width:167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1100950F" w14:textId="77777777" w:rsidR="000E52B0" w:rsidRDefault="00F60D74">
                        <w:pPr>
                          <w:rPr>
                            <w:rFonts w:ascii="Trebuchet MS"/>
                            <w:sz w:val="18"/>
                          </w:rPr>
                        </w:pPr>
                        <w:r>
                          <w:rPr>
                            <w:rFonts w:ascii="Trebuchet MS"/>
                            <w:color w:val="404040"/>
                            <w:spacing w:val="-5"/>
                            <w:sz w:val="18"/>
                          </w:rPr>
                          <w:t>4,1</w:t>
                        </w:r>
                      </w:p>
                    </w:txbxContent>
                  </v:textbox>
                </v:shape>
                <v:shape id="Textbox 499" o:spid="_x0000_s1304" type="#_x0000_t202" style="position:absolute;left:39441;top:11316;width:167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19F4BD4A" w14:textId="77777777" w:rsidR="000E52B0" w:rsidRDefault="00F60D74">
                        <w:pPr>
                          <w:rPr>
                            <w:rFonts w:ascii="Trebuchet MS"/>
                            <w:sz w:val="18"/>
                          </w:rPr>
                        </w:pPr>
                        <w:r>
                          <w:rPr>
                            <w:rFonts w:ascii="Trebuchet MS"/>
                            <w:color w:val="404040"/>
                            <w:spacing w:val="-5"/>
                            <w:sz w:val="18"/>
                          </w:rPr>
                          <w:t>4,6</w:t>
                        </w:r>
                      </w:p>
                    </w:txbxContent>
                  </v:textbox>
                </v:shape>
                <w10:wrap type="topAndBottom" anchorx="page"/>
              </v:group>
            </w:pict>
          </mc:Fallback>
        </mc:AlternateContent>
      </w:r>
    </w:p>
    <w:p w14:paraId="563F8683" w14:textId="77777777" w:rsidR="000E52B0" w:rsidRDefault="00F60D74">
      <w:pPr>
        <w:tabs>
          <w:tab w:val="left" w:pos="4872"/>
          <w:tab w:val="left" w:pos="7176"/>
        </w:tabs>
        <w:spacing w:before="56" w:line="458" w:lineRule="auto"/>
        <w:ind w:left="3903" w:right="2665" w:hanging="1116"/>
        <w:rPr>
          <w:rFonts w:ascii="Trebuchet MS" w:hAnsi="Trebuchet MS"/>
          <w:sz w:val="18"/>
        </w:rPr>
      </w:pPr>
      <w:r>
        <w:rPr>
          <w:rFonts w:ascii="Trebuchet MS" w:hAnsi="Trebuchet MS"/>
          <w:color w:val="585858"/>
          <w:spacing w:val="-2"/>
          <w:sz w:val="18"/>
        </w:rPr>
        <w:t>Total</w:t>
      </w:r>
      <w:r>
        <w:rPr>
          <w:rFonts w:ascii="Trebuchet MS" w:hAnsi="Trebuchet MS"/>
          <w:color w:val="585858"/>
          <w:sz w:val="18"/>
        </w:rPr>
        <w:tab/>
      </w:r>
      <w:r>
        <w:rPr>
          <w:rFonts w:ascii="Trebuchet MS" w:hAnsi="Trebuchet MS"/>
          <w:color w:val="585858"/>
          <w:sz w:val="18"/>
        </w:rPr>
        <w:tab/>
      </w:r>
      <w:r>
        <w:rPr>
          <w:rFonts w:ascii="Trebuchet MS" w:hAnsi="Trebuchet MS"/>
          <w:color w:val="585858"/>
          <w:spacing w:val="-2"/>
          <w:sz w:val="18"/>
        </w:rPr>
        <w:t>Hombres</w:t>
      </w:r>
      <w:r>
        <w:rPr>
          <w:rFonts w:ascii="Trebuchet MS" w:hAnsi="Trebuchet MS"/>
          <w:color w:val="585858"/>
          <w:sz w:val="18"/>
        </w:rPr>
        <w:tab/>
      </w:r>
      <w:r>
        <w:rPr>
          <w:rFonts w:ascii="Trebuchet MS" w:hAnsi="Trebuchet MS"/>
          <w:color w:val="585858"/>
          <w:spacing w:val="-2"/>
          <w:sz w:val="18"/>
        </w:rPr>
        <w:t xml:space="preserve">Mujeres </w:t>
      </w:r>
      <w:r>
        <w:rPr>
          <w:rFonts w:ascii="Trebuchet MS" w:hAnsi="Trebuchet MS"/>
          <w:noProof/>
          <w:color w:val="585858"/>
          <w:sz w:val="18"/>
        </w:rPr>
        <w:drawing>
          <wp:inline distT="0" distB="0" distL="0" distR="0" wp14:anchorId="668D844F" wp14:editId="5E19B612">
            <wp:extent cx="62779" cy="62779"/>
            <wp:effectExtent l="0" t="0" r="0" b="0"/>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170" cstate="print"/>
                    <a:stretch>
                      <a:fillRect/>
                    </a:stretch>
                  </pic:blipFill>
                  <pic:spPr>
                    <a:xfrm>
                      <a:off x="0" y="0"/>
                      <a:ext cx="62779" cy="62779"/>
                    </a:xfrm>
                    <a:prstGeom prst="rect">
                      <a:avLst/>
                    </a:prstGeom>
                  </pic:spPr>
                </pic:pic>
              </a:graphicData>
            </a:graphic>
          </wp:inline>
        </w:drawing>
      </w:r>
      <w:r>
        <w:rPr>
          <w:rFonts w:ascii="Times New Roman" w:hAnsi="Times New Roman"/>
          <w:color w:val="585858"/>
          <w:sz w:val="18"/>
        </w:rPr>
        <w:t xml:space="preserve"> </w:t>
      </w:r>
      <w:r>
        <w:rPr>
          <w:rFonts w:ascii="Trebuchet MS" w:hAnsi="Trebuchet MS"/>
          <w:color w:val="585858"/>
          <w:sz w:val="18"/>
        </w:rPr>
        <w:t>Sí</w:t>
      </w:r>
      <w:r>
        <w:rPr>
          <w:rFonts w:ascii="Trebuchet MS" w:hAnsi="Trebuchet MS"/>
          <w:color w:val="585858"/>
          <w:spacing w:val="80"/>
          <w:w w:val="150"/>
          <w:sz w:val="18"/>
        </w:rPr>
        <w:t xml:space="preserve"> </w:t>
      </w:r>
      <w:r>
        <w:rPr>
          <w:rFonts w:ascii="Trebuchet MS" w:hAnsi="Trebuchet MS"/>
          <w:noProof/>
          <w:color w:val="585858"/>
          <w:spacing w:val="21"/>
          <w:sz w:val="18"/>
        </w:rPr>
        <w:drawing>
          <wp:inline distT="0" distB="0" distL="0" distR="0" wp14:anchorId="1B6AB58C" wp14:editId="67C369A3">
            <wp:extent cx="62779" cy="62779"/>
            <wp:effectExtent l="0" t="0" r="0" b="0"/>
            <wp:docPr id="501" name="Imag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r:embed="rId171" cstate="print"/>
                    <a:stretch>
                      <a:fillRect/>
                    </a:stretch>
                  </pic:blipFill>
                  <pic:spPr>
                    <a:xfrm>
                      <a:off x="0" y="0"/>
                      <a:ext cx="62779" cy="62779"/>
                    </a:xfrm>
                    <a:prstGeom prst="rect">
                      <a:avLst/>
                    </a:prstGeom>
                  </pic:spPr>
                </pic:pic>
              </a:graphicData>
            </a:graphic>
          </wp:inline>
        </w:drawing>
      </w:r>
      <w:r>
        <w:rPr>
          <w:rFonts w:ascii="Times New Roman" w:hAnsi="Times New Roman"/>
          <w:color w:val="585858"/>
          <w:spacing w:val="-17"/>
          <w:sz w:val="18"/>
        </w:rPr>
        <w:t xml:space="preserve"> </w:t>
      </w:r>
      <w:r>
        <w:rPr>
          <w:rFonts w:ascii="Trebuchet MS" w:hAnsi="Trebuchet MS"/>
          <w:color w:val="585858"/>
          <w:sz w:val="18"/>
        </w:rPr>
        <w:t>No</w:t>
      </w:r>
      <w:r>
        <w:rPr>
          <w:rFonts w:ascii="Trebuchet MS" w:hAnsi="Trebuchet MS"/>
          <w:color w:val="585858"/>
          <w:spacing w:val="80"/>
          <w:w w:val="150"/>
          <w:sz w:val="18"/>
        </w:rPr>
        <w:t xml:space="preserve"> </w:t>
      </w:r>
      <w:r>
        <w:rPr>
          <w:rFonts w:ascii="Trebuchet MS" w:hAnsi="Trebuchet MS"/>
          <w:noProof/>
          <w:color w:val="585858"/>
          <w:spacing w:val="19"/>
          <w:sz w:val="18"/>
        </w:rPr>
        <w:drawing>
          <wp:inline distT="0" distB="0" distL="0" distR="0" wp14:anchorId="4EB891BE" wp14:editId="19BC05B6">
            <wp:extent cx="62779" cy="62779"/>
            <wp:effectExtent l="0" t="0" r="0" b="0"/>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172" cstate="print"/>
                    <a:stretch>
                      <a:fillRect/>
                    </a:stretch>
                  </pic:blipFill>
                  <pic:spPr>
                    <a:xfrm>
                      <a:off x="0" y="0"/>
                      <a:ext cx="62779" cy="62779"/>
                    </a:xfrm>
                    <a:prstGeom prst="rect">
                      <a:avLst/>
                    </a:prstGeom>
                  </pic:spPr>
                </pic:pic>
              </a:graphicData>
            </a:graphic>
          </wp:inline>
        </w:drawing>
      </w:r>
      <w:r>
        <w:rPr>
          <w:rFonts w:ascii="Times New Roman" w:hAnsi="Times New Roman"/>
          <w:color w:val="585858"/>
          <w:spacing w:val="-14"/>
          <w:sz w:val="18"/>
        </w:rPr>
        <w:t xml:space="preserve"> </w:t>
      </w:r>
      <w:r>
        <w:rPr>
          <w:rFonts w:ascii="Trebuchet MS" w:hAnsi="Trebuchet MS"/>
          <w:color w:val="585858"/>
          <w:sz w:val="18"/>
        </w:rPr>
        <w:t>No</w:t>
      </w:r>
      <w:r>
        <w:rPr>
          <w:rFonts w:ascii="Trebuchet MS" w:hAnsi="Trebuchet MS"/>
          <w:color w:val="585858"/>
          <w:spacing w:val="-6"/>
          <w:sz w:val="18"/>
        </w:rPr>
        <w:t xml:space="preserve"> </w:t>
      </w:r>
      <w:r>
        <w:rPr>
          <w:rFonts w:ascii="Trebuchet MS" w:hAnsi="Trebuchet MS"/>
          <w:color w:val="585858"/>
          <w:sz w:val="18"/>
        </w:rPr>
        <w:t>sabe/No</w:t>
      </w:r>
      <w:r>
        <w:rPr>
          <w:rFonts w:ascii="Trebuchet MS" w:hAnsi="Trebuchet MS"/>
          <w:color w:val="585858"/>
          <w:spacing w:val="-6"/>
          <w:sz w:val="18"/>
        </w:rPr>
        <w:t xml:space="preserve"> </w:t>
      </w:r>
      <w:r>
        <w:rPr>
          <w:rFonts w:ascii="Trebuchet MS" w:hAnsi="Trebuchet MS"/>
          <w:color w:val="585858"/>
          <w:sz w:val="18"/>
        </w:rPr>
        <w:t>informa</w:t>
      </w:r>
    </w:p>
    <w:p w14:paraId="5E1825D5" w14:textId="77777777" w:rsidR="000E52B0" w:rsidRDefault="00F60D74">
      <w:pPr>
        <w:spacing w:before="169"/>
        <w:ind w:right="1"/>
        <w:jc w:val="center"/>
        <w:rPr>
          <w:i/>
          <w:sz w:val="18"/>
        </w:rPr>
      </w:pPr>
      <w:r>
        <w:rPr>
          <w:i/>
          <w:color w:val="454551"/>
          <w:sz w:val="18"/>
        </w:rPr>
        <w:t>Fuente</w:t>
      </w:r>
      <w:r>
        <w:rPr>
          <w:i/>
          <w:color w:val="454551"/>
          <w:spacing w:val="-2"/>
          <w:sz w:val="18"/>
        </w:rPr>
        <w:t xml:space="preserve"> </w:t>
      </w:r>
      <w:r>
        <w:rPr>
          <w:i/>
          <w:color w:val="454551"/>
          <w:sz w:val="18"/>
        </w:rPr>
        <w:t>29.</w:t>
      </w:r>
      <w:r>
        <w:rPr>
          <w:i/>
          <w:color w:val="454551"/>
          <w:spacing w:val="-4"/>
          <w:sz w:val="18"/>
        </w:rPr>
        <w:t xml:space="preserve"> </w:t>
      </w:r>
      <w:r>
        <w:rPr>
          <w:i/>
          <w:color w:val="454551"/>
          <w:sz w:val="18"/>
        </w:rPr>
        <w:t>Encuesta</w:t>
      </w:r>
      <w:r>
        <w:rPr>
          <w:i/>
          <w:color w:val="454551"/>
          <w:spacing w:val="-3"/>
          <w:sz w:val="18"/>
        </w:rPr>
        <w:t xml:space="preserve"> </w:t>
      </w:r>
      <w:r>
        <w:rPr>
          <w:i/>
          <w:color w:val="454551"/>
          <w:sz w:val="18"/>
        </w:rPr>
        <w:t>de</w:t>
      </w:r>
      <w:r>
        <w:rPr>
          <w:i/>
          <w:color w:val="454551"/>
          <w:spacing w:val="-3"/>
          <w:sz w:val="18"/>
        </w:rPr>
        <w:t xml:space="preserve"> </w:t>
      </w:r>
      <w:r>
        <w:rPr>
          <w:i/>
          <w:color w:val="454551"/>
          <w:sz w:val="18"/>
        </w:rPr>
        <w:t>Cultura</w:t>
      </w:r>
      <w:r>
        <w:rPr>
          <w:i/>
          <w:color w:val="454551"/>
          <w:spacing w:val="-4"/>
          <w:sz w:val="18"/>
        </w:rPr>
        <w:t xml:space="preserve"> </w:t>
      </w:r>
      <w:r>
        <w:rPr>
          <w:i/>
          <w:color w:val="454551"/>
          <w:sz w:val="18"/>
        </w:rPr>
        <w:t>Política,</w:t>
      </w:r>
      <w:r>
        <w:rPr>
          <w:i/>
          <w:color w:val="454551"/>
          <w:spacing w:val="-4"/>
          <w:sz w:val="18"/>
        </w:rPr>
        <w:t xml:space="preserve"> </w:t>
      </w:r>
      <w:r>
        <w:rPr>
          <w:i/>
          <w:color w:val="454551"/>
          <w:sz w:val="18"/>
        </w:rPr>
        <w:t>Elaboración</w:t>
      </w:r>
      <w:r>
        <w:rPr>
          <w:i/>
          <w:color w:val="454551"/>
          <w:spacing w:val="-5"/>
          <w:sz w:val="18"/>
        </w:rPr>
        <w:t xml:space="preserve"> </w:t>
      </w:r>
      <w:r>
        <w:rPr>
          <w:i/>
          <w:color w:val="454551"/>
          <w:spacing w:val="-2"/>
          <w:sz w:val="18"/>
        </w:rPr>
        <w:t>propia.</w:t>
      </w:r>
    </w:p>
    <w:p w14:paraId="5F7038D7" w14:textId="77777777" w:rsidR="000E52B0" w:rsidRDefault="00F60D74">
      <w:pPr>
        <w:pStyle w:val="Textoindependiente"/>
        <w:spacing w:before="200"/>
        <w:ind w:right="717"/>
        <w:jc w:val="both"/>
      </w:pPr>
      <w:r>
        <w:t>Los resultados se alinean con estudios previos que señalan cómo las mujeres,</w:t>
      </w:r>
      <w:r>
        <w:rPr>
          <w:spacing w:val="-11"/>
        </w:rPr>
        <w:t xml:space="preserve"> </w:t>
      </w:r>
      <w:r>
        <w:t>especialmente</w:t>
      </w:r>
      <w:r>
        <w:rPr>
          <w:spacing w:val="-9"/>
        </w:rPr>
        <w:t xml:space="preserve"> </w:t>
      </w:r>
      <w:r>
        <w:t>aquellas</w:t>
      </w:r>
      <w:r>
        <w:rPr>
          <w:spacing w:val="-8"/>
        </w:rPr>
        <w:t xml:space="preserve"> </w:t>
      </w:r>
      <w:r>
        <w:t>en</w:t>
      </w:r>
      <w:r>
        <w:rPr>
          <w:spacing w:val="-10"/>
        </w:rPr>
        <w:t xml:space="preserve"> </w:t>
      </w:r>
      <w:r>
        <w:t>situaciones</w:t>
      </w:r>
      <w:r>
        <w:rPr>
          <w:spacing w:val="-10"/>
        </w:rPr>
        <w:t xml:space="preserve"> </w:t>
      </w:r>
      <w:r>
        <w:t>de</w:t>
      </w:r>
      <w:r>
        <w:rPr>
          <w:spacing w:val="-9"/>
        </w:rPr>
        <w:t xml:space="preserve"> </w:t>
      </w:r>
      <w:r>
        <w:t>vulnerabilidad</w:t>
      </w:r>
      <w:r>
        <w:rPr>
          <w:spacing w:val="-8"/>
        </w:rPr>
        <w:t xml:space="preserve"> </w:t>
      </w:r>
      <w:r>
        <w:t>como</w:t>
      </w:r>
      <w:r>
        <w:rPr>
          <w:spacing w:val="-9"/>
        </w:rPr>
        <w:t xml:space="preserve"> </w:t>
      </w:r>
      <w:r>
        <w:t>las afrodescendientes, indígenas o rurales, enfrentan mayores obstáculos en términos de acceso a la educación cívica y mecanismos de participación democrática</w:t>
      </w:r>
      <w:hyperlink w:anchor="_bookmark63" w:history="1">
        <w:r w:rsidR="000E52B0">
          <w:rPr>
            <w:position w:val="8"/>
            <w:sz w:val="16"/>
          </w:rPr>
          <w:t>54</w:t>
        </w:r>
      </w:hyperlink>
      <w:r>
        <w:t>. Las instituciones no suelen desarrollar políticas diferenciadas</w:t>
      </w:r>
      <w:r>
        <w:rPr>
          <w:spacing w:val="-8"/>
        </w:rPr>
        <w:t xml:space="preserve"> </w:t>
      </w:r>
      <w:r>
        <w:t>que</w:t>
      </w:r>
      <w:r>
        <w:rPr>
          <w:spacing w:val="-6"/>
        </w:rPr>
        <w:t xml:space="preserve"> </w:t>
      </w:r>
      <w:r>
        <w:t>respondan</w:t>
      </w:r>
      <w:r>
        <w:rPr>
          <w:spacing w:val="-8"/>
        </w:rPr>
        <w:t xml:space="preserve"> </w:t>
      </w:r>
      <w:r>
        <w:t>a</w:t>
      </w:r>
      <w:r>
        <w:rPr>
          <w:spacing w:val="-7"/>
        </w:rPr>
        <w:t xml:space="preserve"> </w:t>
      </w:r>
      <w:r>
        <w:t>las</w:t>
      </w:r>
      <w:r>
        <w:rPr>
          <w:spacing w:val="-8"/>
        </w:rPr>
        <w:t xml:space="preserve"> </w:t>
      </w:r>
      <w:r>
        <w:t>realidades</w:t>
      </w:r>
      <w:r>
        <w:rPr>
          <w:spacing w:val="-8"/>
        </w:rPr>
        <w:t xml:space="preserve"> </w:t>
      </w:r>
      <w:r>
        <w:t>diversas</w:t>
      </w:r>
      <w:r>
        <w:rPr>
          <w:spacing w:val="-7"/>
        </w:rPr>
        <w:t xml:space="preserve"> </w:t>
      </w:r>
      <w:r>
        <w:t>de</w:t>
      </w:r>
      <w:r>
        <w:rPr>
          <w:spacing w:val="-6"/>
        </w:rPr>
        <w:t xml:space="preserve"> </w:t>
      </w:r>
      <w:r>
        <w:t>estas</w:t>
      </w:r>
      <w:r>
        <w:rPr>
          <w:spacing w:val="-8"/>
        </w:rPr>
        <w:t xml:space="preserve"> </w:t>
      </w:r>
      <w:r>
        <w:t>mujeres,</w:t>
      </w:r>
      <w:r>
        <w:rPr>
          <w:spacing w:val="-8"/>
        </w:rPr>
        <w:t xml:space="preserve"> </w:t>
      </w:r>
      <w:r>
        <w:t>lo que perpetúa su exclusión de procesos de toma de decisiones.</w:t>
      </w:r>
    </w:p>
    <w:p w14:paraId="6F416F7D" w14:textId="77777777" w:rsidR="000E52B0" w:rsidRDefault="00F60D74">
      <w:pPr>
        <w:spacing w:before="162"/>
        <w:ind w:left="720" w:right="715"/>
        <w:jc w:val="both"/>
        <w:rPr>
          <w:sz w:val="24"/>
        </w:rPr>
      </w:pPr>
      <w:r>
        <w:rPr>
          <w:sz w:val="24"/>
        </w:rPr>
        <w:t xml:space="preserve">De acuerdo con estudios del DANE (2020), </w:t>
      </w:r>
      <w:r>
        <w:rPr>
          <w:i/>
          <w:sz w:val="24"/>
        </w:rPr>
        <w:t>pese a los beneficios de una mayor</w:t>
      </w:r>
      <w:r>
        <w:rPr>
          <w:i/>
          <w:spacing w:val="-4"/>
          <w:sz w:val="24"/>
        </w:rPr>
        <w:t xml:space="preserve"> </w:t>
      </w:r>
      <w:r>
        <w:rPr>
          <w:i/>
          <w:sz w:val="24"/>
        </w:rPr>
        <w:t>autonomía</w:t>
      </w:r>
      <w:r>
        <w:rPr>
          <w:i/>
          <w:spacing w:val="-4"/>
          <w:sz w:val="24"/>
        </w:rPr>
        <w:t xml:space="preserve"> </w:t>
      </w:r>
      <w:r>
        <w:rPr>
          <w:i/>
          <w:sz w:val="24"/>
        </w:rPr>
        <w:t>de</w:t>
      </w:r>
      <w:r>
        <w:rPr>
          <w:i/>
          <w:spacing w:val="-4"/>
          <w:sz w:val="24"/>
        </w:rPr>
        <w:t xml:space="preserve"> </w:t>
      </w:r>
      <w:r>
        <w:rPr>
          <w:i/>
          <w:sz w:val="24"/>
        </w:rPr>
        <w:t>las</w:t>
      </w:r>
      <w:r>
        <w:rPr>
          <w:i/>
          <w:spacing w:val="-6"/>
          <w:sz w:val="24"/>
        </w:rPr>
        <w:t xml:space="preserve"> </w:t>
      </w:r>
      <w:r>
        <w:rPr>
          <w:i/>
          <w:sz w:val="24"/>
        </w:rPr>
        <w:t>mujeres</w:t>
      </w:r>
      <w:r>
        <w:rPr>
          <w:i/>
          <w:spacing w:val="-6"/>
          <w:sz w:val="24"/>
        </w:rPr>
        <w:t xml:space="preserve"> </w:t>
      </w:r>
      <w:r>
        <w:rPr>
          <w:i/>
          <w:sz w:val="24"/>
        </w:rPr>
        <w:t>en</w:t>
      </w:r>
      <w:r>
        <w:rPr>
          <w:i/>
          <w:spacing w:val="-6"/>
          <w:sz w:val="24"/>
        </w:rPr>
        <w:t xml:space="preserve"> </w:t>
      </w:r>
      <w:r>
        <w:rPr>
          <w:i/>
          <w:sz w:val="24"/>
        </w:rPr>
        <w:t>la</w:t>
      </w:r>
      <w:r>
        <w:rPr>
          <w:i/>
          <w:spacing w:val="-3"/>
          <w:sz w:val="24"/>
        </w:rPr>
        <w:t xml:space="preserve"> </w:t>
      </w:r>
      <w:r>
        <w:rPr>
          <w:i/>
          <w:sz w:val="24"/>
        </w:rPr>
        <w:t>toma</w:t>
      </w:r>
      <w:r>
        <w:rPr>
          <w:i/>
          <w:spacing w:val="-5"/>
          <w:sz w:val="24"/>
        </w:rPr>
        <w:t xml:space="preserve"> </w:t>
      </w:r>
      <w:r>
        <w:rPr>
          <w:i/>
          <w:sz w:val="24"/>
        </w:rPr>
        <w:t>de</w:t>
      </w:r>
      <w:r>
        <w:rPr>
          <w:i/>
          <w:spacing w:val="-4"/>
          <w:sz w:val="24"/>
        </w:rPr>
        <w:t xml:space="preserve"> </w:t>
      </w:r>
      <w:r>
        <w:rPr>
          <w:i/>
          <w:sz w:val="24"/>
        </w:rPr>
        <w:t>decisiones</w:t>
      </w:r>
      <w:r>
        <w:rPr>
          <w:i/>
          <w:spacing w:val="-4"/>
          <w:sz w:val="24"/>
        </w:rPr>
        <w:t xml:space="preserve"> </w:t>
      </w:r>
      <w:r>
        <w:rPr>
          <w:i/>
          <w:sz w:val="24"/>
        </w:rPr>
        <w:t>y</w:t>
      </w:r>
      <w:r>
        <w:rPr>
          <w:i/>
          <w:spacing w:val="-5"/>
          <w:sz w:val="24"/>
        </w:rPr>
        <w:t xml:space="preserve"> </w:t>
      </w:r>
      <w:r>
        <w:rPr>
          <w:i/>
          <w:sz w:val="24"/>
        </w:rPr>
        <w:t>de</w:t>
      </w:r>
      <w:r>
        <w:rPr>
          <w:i/>
          <w:spacing w:val="-4"/>
          <w:sz w:val="24"/>
        </w:rPr>
        <w:t xml:space="preserve"> </w:t>
      </w:r>
      <w:r>
        <w:rPr>
          <w:i/>
          <w:sz w:val="24"/>
        </w:rPr>
        <w:t>los</w:t>
      </w:r>
      <w:r>
        <w:rPr>
          <w:i/>
          <w:spacing w:val="-6"/>
          <w:sz w:val="24"/>
        </w:rPr>
        <w:t xml:space="preserve"> </w:t>
      </w:r>
      <w:r>
        <w:rPr>
          <w:i/>
          <w:sz w:val="24"/>
        </w:rPr>
        <w:t>marcos normativos que reconocen y protegen sus derechos político-electorales, la igualdad</w:t>
      </w:r>
      <w:r>
        <w:rPr>
          <w:i/>
          <w:spacing w:val="-19"/>
          <w:sz w:val="24"/>
        </w:rPr>
        <w:t xml:space="preserve"> </w:t>
      </w:r>
      <w:r>
        <w:rPr>
          <w:i/>
          <w:sz w:val="24"/>
        </w:rPr>
        <w:t>en</w:t>
      </w:r>
      <w:r>
        <w:rPr>
          <w:i/>
          <w:spacing w:val="-19"/>
          <w:sz w:val="24"/>
        </w:rPr>
        <w:t xml:space="preserve"> </w:t>
      </w:r>
      <w:r>
        <w:rPr>
          <w:i/>
          <w:sz w:val="24"/>
        </w:rPr>
        <w:t>los</w:t>
      </w:r>
      <w:r>
        <w:rPr>
          <w:i/>
          <w:spacing w:val="-19"/>
          <w:sz w:val="24"/>
        </w:rPr>
        <w:t xml:space="preserve"> </w:t>
      </w:r>
      <w:r>
        <w:rPr>
          <w:i/>
          <w:sz w:val="24"/>
        </w:rPr>
        <w:t>hechos</w:t>
      </w:r>
      <w:r>
        <w:rPr>
          <w:i/>
          <w:spacing w:val="-19"/>
          <w:sz w:val="24"/>
        </w:rPr>
        <w:t xml:space="preserve"> </w:t>
      </w:r>
      <w:r>
        <w:rPr>
          <w:i/>
          <w:sz w:val="24"/>
        </w:rPr>
        <w:t>aún</w:t>
      </w:r>
      <w:r>
        <w:rPr>
          <w:i/>
          <w:spacing w:val="-19"/>
          <w:sz w:val="24"/>
        </w:rPr>
        <w:t xml:space="preserve"> </w:t>
      </w:r>
      <w:r>
        <w:rPr>
          <w:i/>
          <w:sz w:val="24"/>
        </w:rPr>
        <w:t>no</w:t>
      </w:r>
      <w:r>
        <w:rPr>
          <w:i/>
          <w:spacing w:val="-18"/>
          <w:sz w:val="24"/>
        </w:rPr>
        <w:t xml:space="preserve"> </w:t>
      </w:r>
      <w:r>
        <w:rPr>
          <w:i/>
          <w:sz w:val="24"/>
        </w:rPr>
        <w:t>es</w:t>
      </w:r>
      <w:r>
        <w:rPr>
          <w:i/>
          <w:spacing w:val="-19"/>
          <w:sz w:val="24"/>
        </w:rPr>
        <w:t xml:space="preserve"> </w:t>
      </w:r>
      <w:r>
        <w:rPr>
          <w:i/>
          <w:sz w:val="24"/>
        </w:rPr>
        <w:t>una</w:t>
      </w:r>
      <w:r>
        <w:rPr>
          <w:i/>
          <w:spacing w:val="-18"/>
          <w:sz w:val="24"/>
        </w:rPr>
        <w:t xml:space="preserve"> </w:t>
      </w:r>
      <w:r>
        <w:rPr>
          <w:i/>
          <w:sz w:val="24"/>
        </w:rPr>
        <w:t>realidad</w:t>
      </w:r>
      <w:r>
        <w:rPr>
          <w:i/>
          <w:spacing w:val="-19"/>
          <w:sz w:val="24"/>
        </w:rPr>
        <w:t xml:space="preserve"> </w:t>
      </w:r>
      <w:r>
        <w:rPr>
          <w:i/>
          <w:sz w:val="24"/>
        </w:rPr>
        <w:t>para</w:t>
      </w:r>
      <w:r>
        <w:rPr>
          <w:i/>
          <w:spacing w:val="-18"/>
          <w:sz w:val="24"/>
        </w:rPr>
        <w:t xml:space="preserve"> </w:t>
      </w:r>
      <w:r>
        <w:rPr>
          <w:i/>
          <w:sz w:val="24"/>
        </w:rPr>
        <w:t>las</w:t>
      </w:r>
      <w:r>
        <w:rPr>
          <w:i/>
          <w:spacing w:val="-19"/>
          <w:sz w:val="24"/>
        </w:rPr>
        <w:t xml:space="preserve"> </w:t>
      </w:r>
      <w:r>
        <w:rPr>
          <w:i/>
          <w:sz w:val="24"/>
        </w:rPr>
        <w:t>mujeres</w:t>
      </w:r>
      <w:r>
        <w:rPr>
          <w:i/>
          <w:spacing w:val="-19"/>
          <w:sz w:val="24"/>
        </w:rPr>
        <w:t xml:space="preserve"> </w:t>
      </w:r>
      <w:r>
        <w:rPr>
          <w:i/>
          <w:sz w:val="24"/>
        </w:rPr>
        <w:t>que</w:t>
      </w:r>
      <w:r>
        <w:rPr>
          <w:i/>
          <w:spacing w:val="-17"/>
          <w:sz w:val="24"/>
        </w:rPr>
        <w:t xml:space="preserve"> </w:t>
      </w:r>
      <w:r>
        <w:rPr>
          <w:i/>
          <w:sz w:val="24"/>
        </w:rPr>
        <w:t>quieren acceder al poder político y público</w:t>
      </w:r>
      <w:hyperlink w:anchor="_bookmark64" w:history="1">
        <w:r w:rsidR="000E52B0">
          <w:rPr>
            <w:i/>
            <w:position w:val="8"/>
            <w:sz w:val="16"/>
          </w:rPr>
          <w:t>55</w:t>
        </w:r>
      </w:hyperlink>
      <w:r>
        <w:rPr>
          <w:sz w:val="24"/>
        </w:rPr>
        <w:t>. De ahí que en cuanto a lo que se refiere a participación, históricamente las mujeres han enfrentado la exclusión política lo que ha supuesto una grave limitación de sus posibilidades de ejercer sus derechos políticos. Dicha exclusión ha sido producida por las concepciones históricas de qué es lo político, la democracia y la ciudadanía. Estas nociones y sus prácticas se han sustentado</w:t>
      </w:r>
      <w:r>
        <w:rPr>
          <w:spacing w:val="-7"/>
          <w:sz w:val="24"/>
        </w:rPr>
        <w:t xml:space="preserve"> </w:t>
      </w:r>
      <w:r>
        <w:rPr>
          <w:sz w:val="24"/>
        </w:rPr>
        <w:t>en</w:t>
      </w:r>
      <w:r>
        <w:rPr>
          <w:spacing w:val="-8"/>
          <w:sz w:val="24"/>
        </w:rPr>
        <w:t xml:space="preserve"> </w:t>
      </w:r>
      <w:r>
        <w:rPr>
          <w:sz w:val="24"/>
        </w:rPr>
        <w:t>clasificaciones</w:t>
      </w:r>
      <w:r>
        <w:rPr>
          <w:spacing w:val="-6"/>
          <w:sz w:val="24"/>
        </w:rPr>
        <w:t xml:space="preserve"> </w:t>
      </w:r>
      <w:r>
        <w:rPr>
          <w:sz w:val="24"/>
        </w:rPr>
        <w:t>de</w:t>
      </w:r>
      <w:r>
        <w:rPr>
          <w:spacing w:val="-7"/>
          <w:sz w:val="24"/>
        </w:rPr>
        <w:t xml:space="preserve"> </w:t>
      </w:r>
      <w:r>
        <w:rPr>
          <w:sz w:val="24"/>
        </w:rPr>
        <w:t>qué</w:t>
      </w:r>
      <w:r>
        <w:rPr>
          <w:spacing w:val="-7"/>
          <w:sz w:val="24"/>
        </w:rPr>
        <w:t xml:space="preserve"> </w:t>
      </w:r>
      <w:r>
        <w:rPr>
          <w:sz w:val="24"/>
        </w:rPr>
        <w:t>es</w:t>
      </w:r>
      <w:r>
        <w:rPr>
          <w:spacing w:val="-3"/>
          <w:sz w:val="24"/>
        </w:rPr>
        <w:t xml:space="preserve"> </w:t>
      </w:r>
      <w:r>
        <w:rPr>
          <w:sz w:val="24"/>
        </w:rPr>
        <w:t>lo</w:t>
      </w:r>
      <w:r>
        <w:rPr>
          <w:spacing w:val="-7"/>
          <w:sz w:val="24"/>
        </w:rPr>
        <w:t xml:space="preserve"> </w:t>
      </w:r>
      <w:r>
        <w:rPr>
          <w:sz w:val="24"/>
        </w:rPr>
        <w:t>humano,</w:t>
      </w:r>
      <w:r>
        <w:rPr>
          <w:spacing w:val="-6"/>
          <w:sz w:val="24"/>
        </w:rPr>
        <w:t xml:space="preserve"> </w:t>
      </w:r>
      <w:r>
        <w:rPr>
          <w:sz w:val="24"/>
        </w:rPr>
        <w:t>lo</w:t>
      </w:r>
      <w:r>
        <w:rPr>
          <w:spacing w:val="-7"/>
          <w:sz w:val="24"/>
        </w:rPr>
        <w:t xml:space="preserve"> </w:t>
      </w:r>
      <w:r>
        <w:rPr>
          <w:sz w:val="24"/>
        </w:rPr>
        <w:t>racional</w:t>
      </w:r>
      <w:r>
        <w:rPr>
          <w:spacing w:val="-7"/>
          <w:sz w:val="24"/>
        </w:rPr>
        <w:t xml:space="preserve"> </w:t>
      </w:r>
      <w:r>
        <w:rPr>
          <w:sz w:val="24"/>
        </w:rPr>
        <w:t>y</w:t>
      </w:r>
      <w:r>
        <w:rPr>
          <w:spacing w:val="-8"/>
          <w:sz w:val="24"/>
        </w:rPr>
        <w:t xml:space="preserve"> </w:t>
      </w:r>
      <w:r>
        <w:rPr>
          <w:sz w:val="24"/>
        </w:rPr>
        <w:t>lo</w:t>
      </w:r>
      <w:r>
        <w:rPr>
          <w:spacing w:val="-5"/>
          <w:sz w:val="24"/>
        </w:rPr>
        <w:t xml:space="preserve"> </w:t>
      </w:r>
      <w:r>
        <w:rPr>
          <w:sz w:val="24"/>
        </w:rPr>
        <w:t>sano,</w:t>
      </w:r>
      <w:r>
        <w:rPr>
          <w:spacing w:val="-6"/>
          <w:sz w:val="24"/>
        </w:rPr>
        <w:t xml:space="preserve"> </w:t>
      </w:r>
      <w:r>
        <w:rPr>
          <w:sz w:val="24"/>
        </w:rPr>
        <w:t>lo que a su vez ha supuesto el establecimiento de criterios sobre quién es ciudadano,</w:t>
      </w:r>
      <w:r>
        <w:rPr>
          <w:spacing w:val="-12"/>
          <w:sz w:val="24"/>
        </w:rPr>
        <w:t xml:space="preserve"> </w:t>
      </w:r>
      <w:r>
        <w:rPr>
          <w:sz w:val="24"/>
        </w:rPr>
        <w:t>quién</w:t>
      </w:r>
      <w:r>
        <w:rPr>
          <w:spacing w:val="-11"/>
          <w:sz w:val="24"/>
        </w:rPr>
        <w:t xml:space="preserve"> </w:t>
      </w:r>
      <w:r>
        <w:rPr>
          <w:sz w:val="24"/>
        </w:rPr>
        <w:t>ejerce</w:t>
      </w:r>
      <w:r>
        <w:rPr>
          <w:spacing w:val="-10"/>
          <w:sz w:val="24"/>
        </w:rPr>
        <w:t xml:space="preserve"> </w:t>
      </w:r>
      <w:r>
        <w:rPr>
          <w:sz w:val="24"/>
        </w:rPr>
        <w:t>poder</w:t>
      </w:r>
      <w:r>
        <w:rPr>
          <w:spacing w:val="-10"/>
          <w:sz w:val="24"/>
        </w:rPr>
        <w:t xml:space="preserve"> </w:t>
      </w:r>
      <w:r>
        <w:rPr>
          <w:sz w:val="24"/>
        </w:rPr>
        <w:t>político</w:t>
      </w:r>
      <w:r>
        <w:rPr>
          <w:spacing w:val="-11"/>
          <w:sz w:val="24"/>
        </w:rPr>
        <w:t xml:space="preserve"> </w:t>
      </w:r>
      <w:r>
        <w:rPr>
          <w:sz w:val="24"/>
        </w:rPr>
        <w:t>y</w:t>
      </w:r>
      <w:r>
        <w:rPr>
          <w:spacing w:val="-9"/>
          <w:sz w:val="24"/>
        </w:rPr>
        <w:t xml:space="preserve"> </w:t>
      </w:r>
      <w:r>
        <w:rPr>
          <w:sz w:val="24"/>
        </w:rPr>
        <w:t>quién</w:t>
      </w:r>
      <w:r>
        <w:rPr>
          <w:spacing w:val="-9"/>
          <w:sz w:val="24"/>
        </w:rPr>
        <w:t xml:space="preserve"> </w:t>
      </w:r>
      <w:r>
        <w:rPr>
          <w:sz w:val="24"/>
        </w:rPr>
        <w:t>tiene</w:t>
      </w:r>
      <w:r>
        <w:rPr>
          <w:spacing w:val="-10"/>
          <w:sz w:val="24"/>
        </w:rPr>
        <w:t xml:space="preserve"> </w:t>
      </w:r>
      <w:r>
        <w:rPr>
          <w:sz w:val="24"/>
        </w:rPr>
        <w:t>autoridad,</w:t>
      </w:r>
      <w:r>
        <w:rPr>
          <w:spacing w:val="-12"/>
          <w:sz w:val="24"/>
        </w:rPr>
        <w:t xml:space="preserve"> </w:t>
      </w:r>
      <w:r>
        <w:rPr>
          <w:sz w:val="24"/>
        </w:rPr>
        <w:t>que</w:t>
      </w:r>
      <w:r>
        <w:rPr>
          <w:spacing w:val="-10"/>
          <w:sz w:val="24"/>
        </w:rPr>
        <w:t xml:space="preserve"> </w:t>
      </w:r>
      <w:r>
        <w:rPr>
          <w:sz w:val="24"/>
        </w:rPr>
        <w:t>en</w:t>
      </w:r>
      <w:r>
        <w:rPr>
          <w:spacing w:val="-12"/>
          <w:sz w:val="24"/>
        </w:rPr>
        <w:t xml:space="preserve"> </w:t>
      </w:r>
      <w:r>
        <w:rPr>
          <w:sz w:val="24"/>
        </w:rPr>
        <w:t>todo coincide con los varones, racializados como blancos, heterosexuales, urbanos y educados como el estereotipo predominante en la práctica real de la participación política.</w:t>
      </w:r>
    </w:p>
    <w:p w14:paraId="3C5EF104" w14:textId="77777777" w:rsidR="000E52B0" w:rsidRDefault="00F60D74">
      <w:pPr>
        <w:pStyle w:val="Textoindependiente"/>
        <w:spacing w:before="149"/>
        <w:ind w:left="0"/>
        <w:rPr>
          <w:sz w:val="20"/>
        </w:rPr>
      </w:pPr>
      <w:r>
        <w:rPr>
          <w:noProof/>
          <w:sz w:val="20"/>
        </w:rPr>
        <mc:AlternateContent>
          <mc:Choice Requires="wps">
            <w:drawing>
              <wp:anchor distT="0" distB="0" distL="0" distR="0" simplePos="0" relativeHeight="487649792" behindDoc="1" locked="0" layoutInCell="1" allowOverlap="1" wp14:anchorId="5D33C8DE" wp14:editId="26ADDDDE">
                <wp:simplePos x="0" y="0"/>
                <wp:positionH relativeFrom="page">
                  <wp:posOffset>914704</wp:posOffset>
                </wp:positionH>
                <wp:positionV relativeFrom="paragraph">
                  <wp:posOffset>264422</wp:posOffset>
                </wp:positionV>
                <wp:extent cx="1829435" cy="7620"/>
                <wp:effectExtent l="0" t="0" r="0" b="0"/>
                <wp:wrapTopAndBottom/>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7C2DD1" id="Graphic 503" o:spid="_x0000_s1026" style="position:absolute;margin-left:1in;margin-top:20.8pt;width:144.05pt;height:.6pt;z-index:-1566668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" path="m1829054,l,,,7619r1829054,l1829054,xe" fillcolor="black" stroked="f">
                <v:path arrowok="t"/>
                <w10:wrap type="topAndBottom" anchorx="page"/>
              </v:shape>
            </w:pict>
          </mc:Fallback>
        </mc:AlternateContent>
      </w:r>
    </w:p>
    <w:p w14:paraId="215101CB" w14:textId="77777777" w:rsidR="000E52B0" w:rsidRDefault="00F60D74">
      <w:pPr>
        <w:spacing w:before="96"/>
        <w:ind w:left="720" w:right="725"/>
        <w:jc w:val="both"/>
        <w:rPr>
          <w:rFonts w:ascii="Arial MT" w:hAnsi="Arial MT"/>
          <w:sz w:val="18"/>
        </w:rPr>
      </w:pPr>
      <w:bookmarkStart w:id="63" w:name="_bookmark63"/>
      <w:bookmarkEnd w:id="63"/>
      <w:r>
        <w:rPr>
          <w:rFonts w:ascii="Arial MT" w:hAnsi="Arial MT"/>
          <w:position w:val="6"/>
          <w:sz w:val="12"/>
        </w:rPr>
        <w:t>54</w:t>
      </w:r>
      <w:r>
        <w:rPr>
          <w:rFonts w:ascii="Arial MT" w:hAnsi="Arial MT"/>
          <w:spacing w:val="15"/>
          <w:position w:val="6"/>
          <w:sz w:val="12"/>
        </w:rPr>
        <w:t xml:space="preserve"> </w:t>
      </w:r>
      <w:proofErr w:type="gramStart"/>
      <w:r>
        <w:rPr>
          <w:rFonts w:ascii="Arial MT" w:hAnsi="Arial MT"/>
          <w:sz w:val="18"/>
        </w:rPr>
        <w:t>Programa</w:t>
      </w:r>
      <w:proofErr w:type="gramEnd"/>
      <w:r>
        <w:rPr>
          <w:rFonts w:ascii="Arial MT" w:hAnsi="Arial MT"/>
          <w:spacing w:val="-2"/>
          <w:sz w:val="18"/>
        </w:rPr>
        <w:t xml:space="preserve"> </w:t>
      </w:r>
      <w:r>
        <w:rPr>
          <w:rFonts w:ascii="Arial MT" w:hAnsi="Arial MT"/>
          <w:sz w:val="18"/>
        </w:rPr>
        <w:t>de</w:t>
      </w:r>
      <w:r>
        <w:rPr>
          <w:rFonts w:ascii="Arial MT" w:hAnsi="Arial MT"/>
          <w:spacing w:val="-2"/>
          <w:sz w:val="18"/>
        </w:rPr>
        <w:t xml:space="preserve"> </w:t>
      </w:r>
      <w:r>
        <w:rPr>
          <w:rFonts w:ascii="Arial MT" w:hAnsi="Arial MT"/>
          <w:sz w:val="18"/>
        </w:rPr>
        <w:t>las</w:t>
      </w:r>
      <w:r>
        <w:rPr>
          <w:rFonts w:ascii="Arial MT" w:hAnsi="Arial MT"/>
          <w:spacing w:val="-1"/>
          <w:sz w:val="18"/>
        </w:rPr>
        <w:t xml:space="preserve"> </w:t>
      </w:r>
      <w:r>
        <w:rPr>
          <w:rFonts w:ascii="Arial MT" w:hAnsi="Arial MT"/>
          <w:sz w:val="18"/>
        </w:rPr>
        <w:t>Naciones</w:t>
      </w:r>
      <w:r>
        <w:rPr>
          <w:rFonts w:ascii="Arial MT" w:hAnsi="Arial MT"/>
          <w:spacing w:val="-1"/>
          <w:sz w:val="18"/>
        </w:rPr>
        <w:t xml:space="preserve"> </w:t>
      </w:r>
      <w:r>
        <w:rPr>
          <w:rFonts w:ascii="Arial MT" w:hAnsi="Arial MT"/>
          <w:sz w:val="18"/>
        </w:rPr>
        <w:t>Unidas</w:t>
      </w:r>
      <w:r>
        <w:rPr>
          <w:rFonts w:ascii="Arial MT" w:hAnsi="Arial MT"/>
          <w:spacing w:val="-3"/>
          <w:sz w:val="18"/>
        </w:rPr>
        <w:t xml:space="preserve"> </w:t>
      </w:r>
      <w:r>
        <w:rPr>
          <w:rFonts w:ascii="Arial MT" w:hAnsi="Arial MT"/>
          <w:sz w:val="18"/>
        </w:rPr>
        <w:t>para</w:t>
      </w:r>
      <w:r>
        <w:rPr>
          <w:rFonts w:ascii="Arial MT" w:hAnsi="Arial MT"/>
          <w:spacing w:val="-2"/>
          <w:sz w:val="18"/>
        </w:rPr>
        <w:t xml:space="preserve"> </w:t>
      </w:r>
      <w:r>
        <w:rPr>
          <w:rFonts w:ascii="Arial MT" w:hAnsi="Arial MT"/>
          <w:sz w:val="18"/>
        </w:rPr>
        <w:t>el</w:t>
      </w:r>
      <w:r>
        <w:rPr>
          <w:rFonts w:ascii="Arial MT" w:hAnsi="Arial MT"/>
          <w:spacing w:val="-2"/>
          <w:sz w:val="18"/>
        </w:rPr>
        <w:t xml:space="preserve"> </w:t>
      </w:r>
      <w:r>
        <w:rPr>
          <w:rFonts w:ascii="Arial MT" w:hAnsi="Arial MT"/>
          <w:sz w:val="18"/>
        </w:rPr>
        <w:t>Desarrollo</w:t>
      </w:r>
      <w:r>
        <w:rPr>
          <w:rFonts w:ascii="Arial MT" w:hAnsi="Arial MT"/>
          <w:spacing w:val="-2"/>
          <w:sz w:val="18"/>
        </w:rPr>
        <w:t xml:space="preserve"> </w:t>
      </w:r>
      <w:r>
        <w:rPr>
          <w:rFonts w:ascii="Arial MT" w:hAnsi="Arial MT"/>
          <w:sz w:val="18"/>
        </w:rPr>
        <w:t>(2023).</w:t>
      </w:r>
      <w:r>
        <w:rPr>
          <w:rFonts w:ascii="Arial MT" w:hAnsi="Arial MT"/>
          <w:spacing w:val="-4"/>
          <w:sz w:val="18"/>
        </w:rPr>
        <w:t xml:space="preserve"> </w:t>
      </w:r>
      <w:r>
        <w:rPr>
          <w:rFonts w:ascii="Arial MT" w:hAnsi="Arial MT"/>
          <w:sz w:val="18"/>
        </w:rPr>
        <w:t>Participación</w:t>
      </w:r>
      <w:r>
        <w:rPr>
          <w:rFonts w:ascii="Arial MT" w:hAnsi="Arial MT"/>
          <w:spacing w:val="-2"/>
          <w:sz w:val="18"/>
        </w:rPr>
        <w:t xml:space="preserve"> </w:t>
      </w:r>
      <w:r>
        <w:rPr>
          <w:rFonts w:ascii="Arial MT" w:hAnsi="Arial MT"/>
          <w:sz w:val="18"/>
        </w:rPr>
        <w:t>política</w:t>
      </w:r>
      <w:r>
        <w:rPr>
          <w:rFonts w:ascii="Arial MT" w:hAnsi="Arial MT"/>
          <w:spacing w:val="-2"/>
          <w:sz w:val="18"/>
        </w:rPr>
        <w:t xml:space="preserve"> </w:t>
      </w:r>
      <w:r>
        <w:rPr>
          <w:rFonts w:ascii="Arial MT" w:hAnsi="Arial MT"/>
          <w:sz w:val="18"/>
        </w:rPr>
        <w:t>de</w:t>
      </w:r>
      <w:r>
        <w:rPr>
          <w:rFonts w:ascii="Arial MT" w:hAnsi="Arial MT"/>
          <w:spacing w:val="-4"/>
          <w:sz w:val="18"/>
        </w:rPr>
        <w:t xml:space="preserve"> </w:t>
      </w:r>
      <w:r>
        <w:rPr>
          <w:rFonts w:ascii="Arial MT" w:hAnsi="Arial MT"/>
          <w:sz w:val="18"/>
        </w:rPr>
        <w:t>las</w:t>
      </w:r>
      <w:r>
        <w:rPr>
          <w:rFonts w:ascii="Arial MT" w:hAnsi="Arial MT"/>
          <w:spacing w:val="-3"/>
          <w:sz w:val="18"/>
        </w:rPr>
        <w:t xml:space="preserve"> </w:t>
      </w:r>
      <w:r>
        <w:rPr>
          <w:rFonts w:ascii="Arial MT" w:hAnsi="Arial MT"/>
          <w:sz w:val="18"/>
        </w:rPr>
        <w:t>mujeres</w:t>
      </w:r>
      <w:r>
        <w:rPr>
          <w:rFonts w:ascii="Arial MT" w:hAnsi="Arial MT"/>
          <w:spacing w:val="-1"/>
          <w:sz w:val="18"/>
        </w:rPr>
        <w:t xml:space="preserve"> </w:t>
      </w:r>
      <w:r>
        <w:rPr>
          <w:rFonts w:ascii="Arial MT" w:hAnsi="Arial MT"/>
          <w:sz w:val="18"/>
        </w:rPr>
        <w:t>de</w:t>
      </w:r>
      <w:r>
        <w:rPr>
          <w:rFonts w:ascii="Arial MT" w:hAnsi="Arial MT"/>
          <w:spacing w:val="-2"/>
          <w:sz w:val="18"/>
        </w:rPr>
        <w:t xml:space="preserve"> </w:t>
      </w:r>
      <w:r>
        <w:rPr>
          <w:rFonts w:ascii="Arial MT" w:hAnsi="Arial MT"/>
          <w:sz w:val="18"/>
        </w:rPr>
        <w:t>Pueblos</w:t>
      </w:r>
      <w:r>
        <w:rPr>
          <w:rFonts w:ascii="Arial MT" w:hAnsi="Arial MT"/>
          <w:spacing w:val="-3"/>
          <w:sz w:val="18"/>
        </w:rPr>
        <w:t xml:space="preserve"> </w:t>
      </w:r>
      <w:r>
        <w:rPr>
          <w:rFonts w:ascii="Arial MT" w:hAnsi="Arial MT"/>
          <w:sz w:val="18"/>
        </w:rPr>
        <w:t xml:space="preserve">y Nacionalidades Indígenas Afroecuatorianas y Montubias de Ecuador. Proyecto de Apoyo al Ciclo Electoral en </w:t>
      </w:r>
      <w:bookmarkStart w:id="64" w:name="_bookmark64"/>
      <w:bookmarkEnd w:id="64"/>
      <w:r>
        <w:rPr>
          <w:rFonts w:ascii="Arial MT" w:hAnsi="Arial MT"/>
          <w:spacing w:val="-2"/>
          <w:sz w:val="18"/>
        </w:rPr>
        <w:t>Ecuador.</w:t>
      </w:r>
    </w:p>
    <w:p w14:paraId="3BBE8C55" w14:textId="77777777" w:rsidR="000E52B0" w:rsidRDefault="00F60D74">
      <w:pPr>
        <w:ind w:left="720" w:right="715"/>
        <w:jc w:val="both"/>
        <w:rPr>
          <w:rFonts w:ascii="Arial MT" w:hAnsi="Arial MT"/>
          <w:sz w:val="18"/>
        </w:rPr>
      </w:pPr>
      <w:r>
        <w:rPr>
          <w:rFonts w:ascii="Arial MT" w:hAnsi="Arial MT"/>
          <w:position w:val="6"/>
          <w:sz w:val="12"/>
        </w:rPr>
        <w:t>55</w:t>
      </w:r>
      <w:r>
        <w:rPr>
          <w:rFonts w:ascii="Arial MT" w:hAnsi="Arial MT"/>
          <w:spacing w:val="22"/>
          <w:position w:val="6"/>
          <w:sz w:val="12"/>
        </w:rPr>
        <w:t xml:space="preserve"> </w:t>
      </w:r>
      <w:proofErr w:type="gramStart"/>
      <w:r>
        <w:rPr>
          <w:rFonts w:ascii="Arial MT" w:hAnsi="Arial MT"/>
          <w:sz w:val="18"/>
        </w:rPr>
        <w:t>Departamento</w:t>
      </w:r>
      <w:proofErr w:type="gramEnd"/>
      <w:r>
        <w:rPr>
          <w:rFonts w:ascii="Arial MT" w:hAnsi="Arial MT"/>
          <w:sz w:val="18"/>
        </w:rPr>
        <w:t xml:space="preserve"> Administrativo Nacional de Estadística - DANE (2020). Mujeres y Hombres: brechas de género en Colombia. Obtenido de: </w:t>
      </w:r>
      <w:hyperlink r:id="rId173">
        <w:r w:rsidR="000E52B0">
          <w:rPr>
            <w:rFonts w:ascii="Arial MT" w:hAnsi="Arial MT"/>
            <w:color w:val="E22C91"/>
            <w:sz w:val="18"/>
            <w:u w:val="single" w:color="E22C91"/>
          </w:rPr>
          <w:t>https://www.dane.gov.co/files/investigaciones/genero/publicaciones/mujeres-y-</w:t>
        </w:r>
      </w:hyperlink>
      <w:r>
        <w:rPr>
          <w:rFonts w:ascii="Arial MT" w:hAnsi="Arial MT"/>
          <w:color w:val="E22C91"/>
          <w:sz w:val="18"/>
        </w:rPr>
        <w:t xml:space="preserve"> </w:t>
      </w:r>
      <w:hyperlink r:id="rId174">
        <w:r w:rsidR="000E52B0">
          <w:rPr>
            <w:rFonts w:ascii="Arial MT" w:hAnsi="Arial MT"/>
            <w:color w:val="E22C91"/>
            <w:spacing w:val="-2"/>
            <w:sz w:val="18"/>
            <w:u w:val="single" w:color="E22C91"/>
          </w:rPr>
          <w:t>hombre-brechas-de-genero-colombia-informe.pdf</w:t>
        </w:r>
      </w:hyperlink>
    </w:p>
    <w:p w14:paraId="181A6C94" w14:textId="77777777" w:rsidR="000E52B0" w:rsidRDefault="000E52B0">
      <w:pPr>
        <w:jc w:val="both"/>
        <w:rPr>
          <w:rFonts w:ascii="Arial MT" w:hAnsi="Arial MT"/>
          <w:sz w:val="18"/>
        </w:rPr>
        <w:sectPr w:rsidR="000E52B0">
          <w:pgSz w:w="11910" w:h="16840"/>
          <w:pgMar w:top="1340" w:right="720" w:bottom="1180" w:left="720" w:header="0" w:footer="995" w:gutter="0"/>
          <w:cols w:space="720"/>
        </w:sectPr>
      </w:pPr>
    </w:p>
    <w:p w14:paraId="48C4191F" w14:textId="77777777" w:rsidR="000E52B0" w:rsidRDefault="00F60D74">
      <w:pPr>
        <w:pStyle w:val="Textoindependiente"/>
        <w:spacing w:before="83"/>
        <w:ind w:right="717"/>
        <w:jc w:val="both"/>
      </w:pPr>
      <w:r>
        <w:lastRenderedPageBreak/>
        <w:t>Los resultados de la encuesta de Cultura Política realizada en el año 2023 por</w:t>
      </w:r>
      <w:r>
        <w:rPr>
          <w:spacing w:val="-15"/>
        </w:rPr>
        <w:t xml:space="preserve"> </w:t>
      </w:r>
      <w:r>
        <w:t>el</w:t>
      </w:r>
      <w:r>
        <w:rPr>
          <w:spacing w:val="-17"/>
        </w:rPr>
        <w:t xml:space="preserve"> </w:t>
      </w:r>
      <w:r>
        <w:t>DANE</w:t>
      </w:r>
      <w:r>
        <w:rPr>
          <w:spacing w:val="-13"/>
        </w:rPr>
        <w:t xml:space="preserve"> </w:t>
      </w:r>
      <w:r>
        <w:t>arrojan</w:t>
      </w:r>
      <w:r>
        <w:rPr>
          <w:spacing w:val="-14"/>
        </w:rPr>
        <w:t xml:space="preserve"> </w:t>
      </w:r>
      <w:r>
        <w:t>luces</w:t>
      </w:r>
      <w:r>
        <w:rPr>
          <w:spacing w:val="-15"/>
        </w:rPr>
        <w:t xml:space="preserve"> </w:t>
      </w:r>
      <w:r>
        <w:t>sobre</w:t>
      </w:r>
      <w:r>
        <w:rPr>
          <w:spacing w:val="-15"/>
        </w:rPr>
        <w:t xml:space="preserve"> </w:t>
      </w:r>
      <w:r>
        <w:t>la</w:t>
      </w:r>
      <w:r>
        <w:rPr>
          <w:spacing w:val="-14"/>
        </w:rPr>
        <w:t xml:space="preserve"> </w:t>
      </w:r>
      <w:r>
        <w:t>percepción</w:t>
      </w:r>
      <w:r>
        <w:rPr>
          <w:spacing w:val="-14"/>
        </w:rPr>
        <w:t xml:space="preserve"> </w:t>
      </w:r>
      <w:r>
        <w:t>y</w:t>
      </w:r>
      <w:r>
        <w:rPr>
          <w:spacing w:val="-16"/>
        </w:rPr>
        <w:t xml:space="preserve"> </w:t>
      </w:r>
      <w:r>
        <w:t>prácticas</w:t>
      </w:r>
      <w:r>
        <w:rPr>
          <w:spacing w:val="-14"/>
        </w:rPr>
        <w:t xml:space="preserve"> </w:t>
      </w:r>
      <w:r>
        <w:t>de</w:t>
      </w:r>
      <w:r>
        <w:rPr>
          <w:spacing w:val="-13"/>
        </w:rPr>
        <w:t xml:space="preserve"> </w:t>
      </w:r>
      <w:r>
        <w:t>los</w:t>
      </w:r>
      <w:r>
        <w:rPr>
          <w:spacing w:val="-16"/>
        </w:rPr>
        <w:t xml:space="preserve"> </w:t>
      </w:r>
      <w:r>
        <w:t>ciudadanos en cuanto a mecanismos de participación en escenarios comunitarios, políticos y sociales. Si se toma, por ejemplo, las categorías que indagan sobre la consideración de protección y garantía de los derechos de las mujeres, los resultados en las subregiones Caribe, Pacífica, Central, Oriental y Bogotá son inferiores al 30%, es decir, el 70% de las mujeres encuestadas</w:t>
      </w:r>
      <w:r>
        <w:rPr>
          <w:spacing w:val="-2"/>
        </w:rPr>
        <w:t xml:space="preserve"> </w:t>
      </w:r>
      <w:r>
        <w:t>considera</w:t>
      </w:r>
      <w:r>
        <w:rPr>
          <w:spacing w:val="-1"/>
        </w:rPr>
        <w:t xml:space="preserve"> </w:t>
      </w:r>
      <w:r>
        <w:t>que</w:t>
      </w:r>
      <w:r>
        <w:rPr>
          <w:spacing w:val="-1"/>
        </w:rPr>
        <w:t xml:space="preserve"> </w:t>
      </w:r>
      <w:r>
        <w:t>el</w:t>
      </w:r>
      <w:r>
        <w:rPr>
          <w:spacing w:val="-3"/>
        </w:rPr>
        <w:t xml:space="preserve"> </w:t>
      </w:r>
      <w:r>
        <w:t>estado</w:t>
      </w:r>
      <w:r>
        <w:rPr>
          <w:spacing w:val="-1"/>
        </w:rPr>
        <w:t xml:space="preserve"> </w:t>
      </w:r>
      <w:r>
        <w:t>no</w:t>
      </w:r>
      <w:r>
        <w:rPr>
          <w:spacing w:val="-1"/>
        </w:rPr>
        <w:t xml:space="preserve"> </w:t>
      </w:r>
      <w:r>
        <w:t>protege</w:t>
      </w:r>
      <w:r>
        <w:rPr>
          <w:spacing w:val="-1"/>
        </w:rPr>
        <w:t xml:space="preserve"> </w:t>
      </w:r>
      <w:r>
        <w:t>ni</w:t>
      </w:r>
      <w:r>
        <w:rPr>
          <w:spacing w:val="-3"/>
        </w:rPr>
        <w:t xml:space="preserve"> </w:t>
      </w:r>
      <w:r>
        <w:t>garantiza</w:t>
      </w:r>
      <w:r>
        <w:rPr>
          <w:spacing w:val="-2"/>
        </w:rPr>
        <w:t xml:space="preserve"> </w:t>
      </w:r>
      <w:r>
        <w:t>sus</w:t>
      </w:r>
      <w:r>
        <w:rPr>
          <w:spacing w:val="-2"/>
        </w:rPr>
        <w:t xml:space="preserve"> </w:t>
      </w:r>
      <w:r>
        <w:t xml:space="preserve">derechos relacionados con la participación política (ver </w:t>
      </w:r>
      <w:hyperlink w:anchor="_bookmark62" w:history="1">
        <w:r w:rsidR="000E52B0">
          <w:t>Ilustración 40</w:t>
        </w:r>
      </w:hyperlink>
      <w:r>
        <w:t>).</w:t>
      </w:r>
    </w:p>
    <w:p w14:paraId="26048C4F" w14:textId="77777777" w:rsidR="000E52B0" w:rsidRDefault="00F60D74">
      <w:pPr>
        <w:pStyle w:val="Textoindependiente"/>
        <w:spacing w:before="159"/>
        <w:ind w:right="718"/>
        <w:jc w:val="both"/>
      </w:pPr>
      <w:r>
        <w:t>Así</w:t>
      </w:r>
      <w:r>
        <w:rPr>
          <w:spacing w:val="-5"/>
        </w:rPr>
        <w:t xml:space="preserve"> </w:t>
      </w:r>
      <w:r>
        <w:t>las</w:t>
      </w:r>
      <w:r>
        <w:rPr>
          <w:spacing w:val="-4"/>
        </w:rPr>
        <w:t xml:space="preserve"> </w:t>
      </w:r>
      <w:r>
        <w:t>cosas,</w:t>
      </w:r>
      <w:r>
        <w:rPr>
          <w:spacing w:val="-5"/>
        </w:rPr>
        <w:t xml:space="preserve"> </w:t>
      </w:r>
      <w:r>
        <w:t>en</w:t>
      </w:r>
      <w:r>
        <w:rPr>
          <w:spacing w:val="-7"/>
        </w:rPr>
        <w:t xml:space="preserve"> </w:t>
      </w:r>
      <w:r>
        <w:t>el</w:t>
      </w:r>
      <w:r>
        <w:rPr>
          <w:spacing w:val="-1"/>
        </w:rPr>
        <w:t xml:space="preserve"> </w:t>
      </w:r>
      <w:r>
        <w:t>escenario</w:t>
      </w:r>
      <w:r>
        <w:rPr>
          <w:spacing w:val="-6"/>
        </w:rPr>
        <w:t xml:space="preserve"> </w:t>
      </w:r>
      <w:r>
        <w:t>político</w:t>
      </w:r>
      <w:r>
        <w:rPr>
          <w:spacing w:val="-3"/>
        </w:rPr>
        <w:t xml:space="preserve"> </w:t>
      </w:r>
      <w:r>
        <w:t>para</w:t>
      </w:r>
      <w:r>
        <w:rPr>
          <w:spacing w:val="-6"/>
        </w:rPr>
        <w:t xml:space="preserve"> </w:t>
      </w:r>
      <w:r>
        <w:t>el</w:t>
      </w:r>
      <w:r>
        <w:rPr>
          <w:spacing w:val="-7"/>
        </w:rPr>
        <w:t xml:space="preserve"> </w:t>
      </w:r>
      <w:r>
        <w:t>caso</w:t>
      </w:r>
      <w:r>
        <w:rPr>
          <w:spacing w:val="-3"/>
        </w:rPr>
        <w:t xml:space="preserve"> </w:t>
      </w:r>
      <w:r>
        <w:t>colombiano,</w:t>
      </w:r>
      <w:r>
        <w:rPr>
          <w:spacing w:val="-7"/>
        </w:rPr>
        <w:t xml:space="preserve"> </w:t>
      </w:r>
      <w:r>
        <w:t>aunque</w:t>
      </w:r>
      <w:r>
        <w:rPr>
          <w:spacing w:val="-3"/>
        </w:rPr>
        <w:t xml:space="preserve"> </w:t>
      </w:r>
      <w:r>
        <w:t xml:space="preserve">hay avances como la implementación de cuotas de género, la representación de las mujeres continúa siendo insuficiente. En las elecciones legislativas de 2022 (Bernal, Calderón y </w:t>
      </w:r>
      <w:proofErr w:type="spellStart"/>
      <w:r>
        <w:t>Bajonero</w:t>
      </w:r>
      <w:proofErr w:type="spellEnd"/>
      <w:r>
        <w:t>, 2023</w:t>
      </w:r>
      <w:hyperlink w:anchor="_bookmark65" w:history="1">
        <w:r w:rsidR="000E52B0">
          <w:rPr>
            <w:position w:val="6"/>
            <w:sz w:val="12"/>
          </w:rPr>
          <w:t>56</w:t>
        </w:r>
      </w:hyperlink>
      <w:r>
        <w:t>) fueron electas el mayor número de mujeres en la historia del país, aunque representan apenas el 30%, muy lejos de los países con mayores porcentajes de mujeres en sus parlamentos a 2022 que son Ruanda con el 61,3%, Cuba con el 53,4%, Nicaragua con un 50,6% y México con un 50%</w:t>
      </w:r>
      <w:hyperlink w:anchor="_bookmark66" w:history="1">
        <w:r w:rsidR="000E52B0">
          <w:rPr>
            <w:position w:val="8"/>
            <w:sz w:val="16"/>
          </w:rPr>
          <w:t>57</w:t>
        </w:r>
      </w:hyperlink>
      <w:r>
        <w:t>.</w:t>
      </w:r>
    </w:p>
    <w:p w14:paraId="17878892" w14:textId="77777777" w:rsidR="000E52B0" w:rsidRDefault="000E52B0">
      <w:pPr>
        <w:pStyle w:val="Textoindependiente"/>
        <w:spacing w:before="1"/>
        <w:ind w:left="0"/>
      </w:pPr>
    </w:p>
    <w:p w14:paraId="458F02A9" w14:textId="77777777" w:rsidR="000E52B0" w:rsidRDefault="00F60D74">
      <w:pPr>
        <w:pStyle w:val="Textoindependiente"/>
        <w:ind w:right="715"/>
        <w:jc w:val="both"/>
      </w:pPr>
      <w:r>
        <w:t>El lento avance de la presencia de las mujeres en el Congreso colombiano se da en un contexto institucional marcado por la Ley 1475 de 2011, “por la</w:t>
      </w:r>
      <w:r>
        <w:rPr>
          <w:spacing w:val="-3"/>
        </w:rPr>
        <w:t xml:space="preserve"> </w:t>
      </w:r>
      <w:r>
        <w:t>cual</w:t>
      </w:r>
      <w:r>
        <w:rPr>
          <w:spacing w:val="-2"/>
        </w:rPr>
        <w:t xml:space="preserve"> </w:t>
      </w:r>
      <w:r>
        <w:t>se</w:t>
      </w:r>
      <w:r>
        <w:rPr>
          <w:spacing w:val="-2"/>
        </w:rPr>
        <w:t xml:space="preserve"> </w:t>
      </w:r>
      <w:r>
        <w:t>adoptan</w:t>
      </w:r>
      <w:r>
        <w:rPr>
          <w:spacing w:val="-3"/>
        </w:rPr>
        <w:t xml:space="preserve"> </w:t>
      </w:r>
      <w:r>
        <w:t>reglas</w:t>
      </w:r>
      <w:r>
        <w:rPr>
          <w:spacing w:val="-3"/>
        </w:rPr>
        <w:t xml:space="preserve"> </w:t>
      </w:r>
      <w:r>
        <w:t>de</w:t>
      </w:r>
      <w:r>
        <w:rPr>
          <w:spacing w:val="-2"/>
        </w:rPr>
        <w:t xml:space="preserve"> </w:t>
      </w:r>
      <w:r>
        <w:t>organización</w:t>
      </w:r>
      <w:r>
        <w:rPr>
          <w:spacing w:val="-3"/>
        </w:rPr>
        <w:t xml:space="preserve"> </w:t>
      </w:r>
      <w:r>
        <w:t>y</w:t>
      </w:r>
      <w:r>
        <w:rPr>
          <w:spacing w:val="-3"/>
        </w:rPr>
        <w:t xml:space="preserve"> </w:t>
      </w:r>
      <w:r>
        <w:t>funcionamiento</w:t>
      </w:r>
      <w:r>
        <w:rPr>
          <w:spacing w:val="-2"/>
        </w:rPr>
        <w:t xml:space="preserve"> </w:t>
      </w:r>
      <w:r>
        <w:t>de</w:t>
      </w:r>
      <w:r>
        <w:rPr>
          <w:spacing w:val="-2"/>
        </w:rPr>
        <w:t xml:space="preserve"> </w:t>
      </w:r>
      <w:r>
        <w:t>los</w:t>
      </w:r>
      <w:r>
        <w:rPr>
          <w:spacing w:val="-1"/>
        </w:rPr>
        <w:t xml:space="preserve"> </w:t>
      </w:r>
      <w:r>
        <w:t>partidos y</w:t>
      </w:r>
      <w:r>
        <w:rPr>
          <w:spacing w:val="-9"/>
        </w:rPr>
        <w:t xml:space="preserve"> </w:t>
      </w:r>
      <w:r>
        <w:t>movimientos</w:t>
      </w:r>
      <w:r>
        <w:rPr>
          <w:spacing w:val="-9"/>
        </w:rPr>
        <w:t xml:space="preserve"> </w:t>
      </w:r>
      <w:r>
        <w:t>políticos,</w:t>
      </w:r>
      <w:r>
        <w:rPr>
          <w:spacing w:val="-9"/>
        </w:rPr>
        <w:t xml:space="preserve"> </w:t>
      </w:r>
      <w:r>
        <w:t>de</w:t>
      </w:r>
      <w:r>
        <w:rPr>
          <w:spacing w:val="-8"/>
        </w:rPr>
        <w:t xml:space="preserve"> </w:t>
      </w:r>
      <w:r>
        <w:t>los</w:t>
      </w:r>
      <w:r>
        <w:rPr>
          <w:spacing w:val="-9"/>
        </w:rPr>
        <w:t xml:space="preserve"> </w:t>
      </w:r>
      <w:r>
        <w:t>procesos</w:t>
      </w:r>
      <w:r>
        <w:rPr>
          <w:spacing w:val="-9"/>
        </w:rPr>
        <w:t xml:space="preserve"> </w:t>
      </w:r>
      <w:r>
        <w:t>electorales”,</w:t>
      </w:r>
      <w:r>
        <w:rPr>
          <w:spacing w:val="-10"/>
        </w:rPr>
        <w:t xml:space="preserve"> </w:t>
      </w:r>
      <w:r>
        <w:t>que</w:t>
      </w:r>
      <w:r>
        <w:rPr>
          <w:spacing w:val="-8"/>
        </w:rPr>
        <w:t xml:space="preserve"> </w:t>
      </w:r>
      <w:r>
        <w:t>estableció</w:t>
      </w:r>
      <w:r>
        <w:rPr>
          <w:spacing w:val="-8"/>
        </w:rPr>
        <w:t xml:space="preserve"> </w:t>
      </w:r>
      <w:r>
        <w:t>varias medidas orientadas a aumentar la participación política de las mujeres en la competencia electoral.</w:t>
      </w:r>
    </w:p>
    <w:p w14:paraId="1A65DB06" w14:textId="77777777" w:rsidR="000E52B0" w:rsidRDefault="00F60D74">
      <w:pPr>
        <w:spacing w:line="217" w:lineRule="exact"/>
        <w:ind w:left="2"/>
        <w:jc w:val="center"/>
        <w:rPr>
          <w:i/>
          <w:sz w:val="18"/>
        </w:rPr>
      </w:pPr>
      <w:r>
        <w:rPr>
          <w:i/>
          <w:color w:val="454551"/>
          <w:sz w:val="18"/>
        </w:rPr>
        <w:t>Ilustración</w:t>
      </w:r>
      <w:r>
        <w:rPr>
          <w:i/>
          <w:color w:val="454551"/>
          <w:spacing w:val="-2"/>
          <w:sz w:val="18"/>
        </w:rPr>
        <w:t xml:space="preserve"> </w:t>
      </w:r>
      <w:r>
        <w:rPr>
          <w:i/>
          <w:color w:val="454551"/>
          <w:sz w:val="18"/>
        </w:rPr>
        <w:t>41.</w:t>
      </w:r>
      <w:r>
        <w:rPr>
          <w:i/>
          <w:color w:val="454551"/>
          <w:spacing w:val="-4"/>
          <w:sz w:val="18"/>
        </w:rPr>
        <w:t xml:space="preserve"> </w:t>
      </w:r>
      <w:r>
        <w:rPr>
          <w:i/>
          <w:color w:val="454551"/>
          <w:sz w:val="18"/>
        </w:rPr>
        <w:t>Mujeres</w:t>
      </w:r>
      <w:r>
        <w:rPr>
          <w:i/>
          <w:color w:val="454551"/>
          <w:spacing w:val="-2"/>
          <w:sz w:val="18"/>
        </w:rPr>
        <w:t xml:space="preserve"> </w:t>
      </w:r>
      <w:r>
        <w:rPr>
          <w:i/>
          <w:color w:val="454551"/>
          <w:sz w:val="18"/>
        </w:rPr>
        <w:t>en</w:t>
      </w:r>
      <w:r>
        <w:rPr>
          <w:i/>
          <w:color w:val="454551"/>
          <w:spacing w:val="-5"/>
          <w:sz w:val="18"/>
        </w:rPr>
        <w:t xml:space="preserve"> </w:t>
      </w:r>
      <w:r>
        <w:rPr>
          <w:i/>
          <w:color w:val="454551"/>
          <w:sz w:val="18"/>
        </w:rPr>
        <w:t>el</w:t>
      </w:r>
      <w:r>
        <w:rPr>
          <w:i/>
          <w:color w:val="454551"/>
          <w:spacing w:val="-2"/>
          <w:sz w:val="18"/>
        </w:rPr>
        <w:t xml:space="preserve"> </w:t>
      </w:r>
      <w:r>
        <w:rPr>
          <w:i/>
          <w:color w:val="454551"/>
          <w:sz w:val="18"/>
        </w:rPr>
        <w:t>Congreso</w:t>
      </w:r>
      <w:r>
        <w:rPr>
          <w:i/>
          <w:color w:val="454551"/>
          <w:spacing w:val="-2"/>
          <w:sz w:val="18"/>
        </w:rPr>
        <w:t xml:space="preserve"> </w:t>
      </w:r>
      <w:r>
        <w:rPr>
          <w:i/>
          <w:color w:val="454551"/>
          <w:sz w:val="18"/>
        </w:rPr>
        <w:t>de</w:t>
      </w:r>
      <w:r>
        <w:rPr>
          <w:i/>
          <w:color w:val="454551"/>
          <w:spacing w:val="-3"/>
          <w:sz w:val="18"/>
        </w:rPr>
        <w:t xml:space="preserve"> </w:t>
      </w:r>
      <w:r>
        <w:rPr>
          <w:i/>
          <w:color w:val="454551"/>
          <w:sz w:val="18"/>
        </w:rPr>
        <w:t>la</w:t>
      </w:r>
      <w:r>
        <w:rPr>
          <w:i/>
          <w:color w:val="454551"/>
          <w:spacing w:val="-3"/>
          <w:sz w:val="18"/>
        </w:rPr>
        <w:t xml:space="preserve"> </w:t>
      </w:r>
      <w:r>
        <w:rPr>
          <w:i/>
          <w:color w:val="454551"/>
          <w:sz w:val="18"/>
        </w:rPr>
        <w:t>República</w:t>
      </w:r>
      <w:r>
        <w:rPr>
          <w:i/>
          <w:color w:val="454551"/>
          <w:spacing w:val="-2"/>
          <w:sz w:val="18"/>
        </w:rPr>
        <w:t xml:space="preserve"> </w:t>
      </w:r>
      <w:r>
        <w:rPr>
          <w:i/>
          <w:color w:val="454551"/>
          <w:sz w:val="18"/>
        </w:rPr>
        <w:t>1991</w:t>
      </w:r>
      <w:r>
        <w:rPr>
          <w:i/>
          <w:color w:val="454551"/>
          <w:spacing w:val="2"/>
          <w:sz w:val="18"/>
        </w:rPr>
        <w:t xml:space="preserve"> </w:t>
      </w:r>
      <w:r>
        <w:rPr>
          <w:i/>
          <w:color w:val="454551"/>
          <w:sz w:val="18"/>
        </w:rPr>
        <w:t>-</w:t>
      </w:r>
      <w:r>
        <w:rPr>
          <w:i/>
          <w:color w:val="454551"/>
          <w:spacing w:val="-3"/>
          <w:sz w:val="18"/>
        </w:rPr>
        <w:t xml:space="preserve"> </w:t>
      </w:r>
      <w:r>
        <w:rPr>
          <w:i/>
          <w:color w:val="454551"/>
          <w:spacing w:val="-4"/>
          <w:sz w:val="18"/>
        </w:rPr>
        <w:t>2022</w:t>
      </w:r>
    </w:p>
    <w:p w14:paraId="50902F8C" w14:textId="77777777" w:rsidR="000E52B0" w:rsidRDefault="000E52B0">
      <w:pPr>
        <w:pStyle w:val="Textoindependiente"/>
        <w:spacing w:before="82"/>
        <w:ind w:left="0"/>
        <w:rPr>
          <w:i/>
          <w:sz w:val="18"/>
        </w:rPr>
      </w:pPr>
    </w:p>
    <w:p w14:paraId="467CFACE" w14:textId="77777777" w:rsidR="000E52B0" w:rsidRDefault="00F60D74">
      <w:pPr>
        <w:ind w:left="923"/>
        <w:rPr>
          <w:rFonts w:ascii="Trebuchet MS"/>
          <w:sz w:val="18"/>
        </w:rPr>
      </w:pPr>
      <w:r>
        <w:rPr>
          <w:rFonts w:ascii="Trebuchet MS"/>
          <w:noProof/>
          <w:sz w:val="18"/>
        </w:rPr>
        <mc:AlternateContent>
          <mc:Choice Requires="wpg">
            <w:drawing>
              <wp:anchor distT="0" distB="0" distL="0" distR="0" simplePos="0" relativeHeight="15791616" behindDoc="0" locked="0" layoutInCell="1" allowOverlap="1" wp14:anchorId="772552BB" wp14:editId="6DE3BBE7">
                <wp:simplePos x="0" y="0"/>
                <wp:positionH relativeFrom="page">
                  <wp:posOffset>1359979</wp:posOffset>
                </wp:positionH>
                <wp:positionV relativeFrom="paragraph">
                  <wp:posOffset>6674</wp:posOffset>
                </wp:positionV>
                <wp:extent cx="5098415" cy="1478915"/>
                <wp:effectExtent l="0" t="0" r="0" b="0"/>
                <wp:wrapNone/>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8415" cy="1478915"/>
                          <a:chOff x="0" y="0"/>
                          <a:chExt cx="5098415" cy="1478915"/>
                        </a:xfrm>
                      </wpg:grpSpPr>
                      <wps:wsp>
                        <wps:cNvPr id="505" name="Graphic 505"/>
                        <wps:cNvSpPr/>
                        <wps:spPr>
                          <a:xfrm>
                            <a:off x="4762" y="69477"/>
                            <a:ext cx="5088890" cy="1404620"/>
                          </a:xfrm>
                          <a:custGeom>
                            <a:avLst/>
                            <a:gdLst/>
                            <a:ahLst/>
                            <a:cxnLst/>
                            <a:rect l="l" t="t" r="r" b="b"/>
                            <a:pathLst>
                              <a:path w="5088890" h="1404620">
                                <a:moveTo>
                                  <a:pt x="0" y="0"/>
                                </a:moveTo>
                                <a:lnTo>
                                  <a:pt x="0" y="1404112"/>
                                </a:lnTo>
                              </a:path>
                              <a:path w="5088890" h="1404620">
                                <a:moveTo>
                                  <a:pt x="566166" y="0"/>
                                </a:moveTo>
                                <a:lnTo>
                                  <a:pt x="566166" y="1404112"/>
                                </a:lnTo>
                              </a:path>
                              <a:path w="5088890" h="1404620">
                                <a:moveTo>
                                  <a:pt x="1131570" y="0"/>
                                </a:moveTo>
                                <a:lnTo>
                                  <a:pt x="1131570" y="1404112"/>
                                </a:lnTo>
                              </a:path>
                              <a:path w="5088890" h="1404620">
                                <a:moveTo>
                                  <a:pt x="1696974" y="0"/>
                                </a:moveTo>
                                <a:lnTo>
                                  <a:pt x="1696974" y="1404112"/>
                                </a:lnTo>
                              </a:path>
                              <a:path w="5088890" h="1404620">
                                <a:moveTo>
                                  <a:pt x="2262378" y="0"/>
                                </a:moveTo>
                                <a:lnTo>
                                  <a:pt x="2262378" y="1404112"/>
                                </a:lnTo>
                              </a:path>
                              <a:path w="5088890" h="1404620">
                                <a:moveTo>
                                  <a:pt x="2827782" y="0"/>
                                </a:moveTo>
                                <a:lnTo>
                                  <a:pt x="2827782" y="1404112"/>
                                </a:lnTo>
                              </a:path>
                              <a:path w="5088890" h="1404620">
                                <a:moveTo>
                                  <a:pt x="3393186" y="0"/>
                                </a:moveTo>
                                <a:lnTo>
                                  <a:pt x="3393186" y="1404112"/>
                                </a:lnTo>
                              </a:path>
                              <a:path w="5088890" h="1404620">
                                <a:moveTo>
                                  <a:pt x="3958590" y="0"/>
                                </a:moveTo>
                                <a:lnTo>
                                  <a:pt x="3958590" y="1404112"/>
                                </a:lnTo>
                              </a:path>
                              <a:path w="5088890" h="1404620">
                                <a:moveTo>
                                  <a:pt x="4523994" y="0"/>
                                </a:moveTo>
                                <a:lnTo>
                                  <a:pt x="4523994" y="1404112"/>
                                </a:lnTo>
                              </a:path>
                              <a:path w="5088890" h="1404620">
                                <a:moveTo>
                                  <a:pt x="5088763" y="0"/>
                                </a:moveTo>
                                <a:lnTo>
                                  <a:pt x="5088763" y="1404112"/>
                                </a:lnTo>
                              </a:path>
                            </a:pathLst>
                          </a:custGeom>
                          <a:ln w="9525">
                            <a:solidFill>
                              <a:srgbClr val="D9D9D9"/>
                            </a:solidFill>
                            <a:prstDash val="solid"/>
                          </a:ln>
                        </wps:spPr>
                        <wps:bodyPr wrap="square" lIns="0" tIns="0" rIns="0" bIns="0" rtlCol="0">
                          <a:prstTxWarp prst="textNoShape">
                            <a:avLst/>
                          </a:prstTxWarp>
                          <a:noAutofit/>
                        </wps:bodyPr>
                      </wps:wsp>
                      <wps:wsp>
                        <wps:cNvPr id="506" name="Graphic 506"/>
                        <wps:cNvSpPr/>
                        <wps:spPr>
                          <a:xfrm>
                            <a:off x="63436" y="640088"/>
                            <a:ext cx="4721860" cy="833755"/>
                          </a:xfrm>
                          <a:custGeom>
                            <a:avLst/>
                            <a:gdLst/>
                            <a:ahLst/>
                            <a:cxnLst/>
                            <a:rect l="l" t="t" r="r" b="b"/>
                            <a:pathLst>
                              <a:path w="4721860" h="833755">
                                <a:moveTo>
                                  <a:pt x="198120" y="591312"/>
                                </a:moveTo>
                                <a:lnTo>
                                  <a:pt x="0" y="591312"/>
                                </a:lnTo>
                                <a:lnTo>
                                  <a:pt x="0" y="833501"/>
                                </a:lnTo>
                                <a:lnTo>
                                  <a:pt x="198120" y="833501"/>
                                </a:lnTo>
                                <a:lnTo>
                                  <a:pt x="198120" y="591312"/>
                                </a:lnTo>
                                <a:close/>
                              </a:path>
                              <a:path w="4721860" h="833755">
                                <a:moveTo>
                                  <a:pt x="763524" y="477012"/>
                                </a:moveTo>
                                <a:lnTo>
                                  <a:pt x="565404" y="477012"/>
                                </a:lnTo>
                                <a:lnTo>
                                  <a:pt x="565404" y="833501"/>
                                </a:lnTo>
                                <a:lnTo>
                                  <a:pt x="763524" y="833501"/>
                                </a:lnTo>
                                <a:lnTo>
                                  <a:pt x="763524" y="477012"/>
                                </a:lnTo>
                                <a:close/>
                              </a:path>
                              <a:path w="4721860" h="833755">
                                <a:moveTo>
                                  <a:pt x="1328928" y="501396"/>
                                </a:moveTo>
                                <a:lnTo>
                                  <a:pt x="1130808" y="501396"/>
                                </a:lnTo>
                                <a:lnTo>
                                  <a:pt x="1130808" y="833501"/>
                                </a:lnTo>
                                <a:lnTo>
                                  <a:pt x="1328928" y="833501"/>
                                </a:lnTo>
                                <a:lnTo>
                                  <a:pt x="1328928" y="501396"/>
                                </a:lnTo>
                                <a:close/>
                              </a:path>
                              <a:path w="4721860" h="833755">
                                <a:moveTo>
                                  <a:pt x="1894332" y="460248"/>
                                </a:moveTo>
                                <a:lnTo>
                                  <a:pt x="1696212" y="460248"/>
                                </a:lnTo>
                                <a:lnTo>
                                  <a:pt x="1696212" y="833501"/>
                                </a:lnTo>
                                <a:lnTo>
                                  <a:pt x="1894332" y="833501"/>
                                </a:lnTo>
                                <a:lnTo>
                                  <a:pt x="1894332" y="460248"/>
                                </a:lnTo>
                                <a:close/>
                              </a:path>
                              <a:path w="4721860" h="833755">
                                <a:moveTo>
                                  <a:pt x="2459736" y="563880"/>
                                </a:moveTo>
                                <a:lnTo>
                                  <a:pt x="2261616" y="563880"/>
                                </a:lnTo>
                                <a:lnTo>
                                  <a:pt x="2261616" y="833501"/>
                                </a:lnTo>
                                <a:lnTo>
                                  <a:pt x="2459736" y="833501"/>
                                </a:lnTo>
                                <a:lnTo>
                                  <a:pt x="2459736" y="563880"/>
                                </a:lnTo>
                                <a:close/>
                              </a:path>
                              <a:path w="4721860" h="833755">
                                <a:moveTo>
                                  <a:pt x="3025140" y="480060"/>
                                </a:moveTo>
                                <a:lnTo>
                                  <a:pt x="2827020" y="480060"/>
                                </a:lnTo>
                                <a:lnTo>
                                  <a:pt x="2827020" y="833501"/>
                                </a:lnTo>
                                <a:lnTo>
                                  <a:pt x="3025140" y="833501"/>
                                </a:lnTo>
                                <a:lnTo>
                                  <a:pt x="3025140" y="480060"/>
                                </a:lnTo>
                                <a:close/>
                              </a:path>
                              <a:path w="4721860" h="833755">
                                <a:moveTo>
                                  <a:pt x="3590544" y="294132"/>
                                </a:moveTo>
                                <a:lnTo>
                                  <a:pt x="3392424" y="294132"/>
                                </a:lnTo>
                                <a:lnTo>
                                  <a:pt x="3392424" y="833501"/>
                                </a:lnTo>
                                <a:lnTo>
                                  <a:pt x="3590544" y="833501"/>
                                </a:lnTo>
                                <a:lnTo>
                                  <a:pt x="3590544" y="294132"/>
                                </a:lnTo>
                                <a:close/>
                              </a:path>
                              <a:path w="4721860" h="833755">
                                <a:moveTo>
                                  <a:pt x="4155948" y="327660"/>
                                </a:moveTo>
                                <a:lnTo>
                                  <a:pt x="3957828" y="327660"/>
                                </a:lnTo>
                                <a:lnTo>
                                  <a:pt x="3957828" y="833501"/>
                                </a:lnTo>
                                <a:lnTo>
                                  <a:pt x="4155948" y="833501"/>
                                </a:lnTo>
                                <a:lnTo>
                                  <a:pt x="4155948" y="327660"/>
                                </a:lnTo>
                                <a:close/>
                              </a:path>
                              <a:path w="4721860" h="833755">
                                <a:moveTo>
                                  <a:pt x="4721352" y="0"/>
                                </a:moveTo>
                                <a:lnTo>
                                  <a:pt x="4523232" y="0"/>
                                </a:lnTo>
                                <a:lnTo>
                                  <a:pt x="4523232" y="833501"/>
                                </a:lnTo>
                                <a:lnTo>
                                  <a:pt x="4721352" y="833501"/>
                                </a:lnTo>
                                <a:lnTo>
                                  <a:pt x="4721352" y="0"/>
                                </a:lnTo>
                                <a:close/>
                              </a:path>
                            </a:pathLst>
                          </a:custGeom>
                          <a:solidFill>
                            <a:srgbClr val="741A36"/>
                          </a:solidFill>
                        </wps:spPr>
                        <wps:bodyPr wrap="square" lIns="0" tIns="0" rIns="0" bIns="0" rtlCol="0">
                          <a:prstTxWarp prst="textNoShape">
                            <a:avLst/>
                          </a:prstTxWarp>
                          <a:noAutofit/>
                        </wps:bodyPr>
                      </wps:wsp>
                      <wps:wsp>
                        <wps:cNvPr id="507" name="Graphic 507"/>
                        <wps:cNvSpPr/>
                        <wps:spPr>
                          <a:xfrm>
                            <a:off x="313372" y="667520"/>
                            <a:ext cx="4721860" cy="806450"/>
                          </a:xfrm>
                          <a:custGeom>
                            <a:avLst/>
                            <a:gdLst/>
                            <a:ahLst/>
                            <a:cxnLst/>
                            <a:rect l="l" t="t" r="r" b="b"/>
                            <a:pathLst>
                              <a:path w="4721860" h="806450">
                                <a:moveTo>
                                  <a:pt x="198120" y="603504"/>
                                </a:moveTo>
                                <a:lnTo>
                                  <a:pt x="0" y="603504"/>
                                </a:lnTo>
                                <a:lnTo>
                                  <a:pt x="0" y="806069"/>
                                </a:lnTo>
                                <a:lnTo>
                                  <a:pt x="198120" y="806069"/>
                                </a:lnTo>
                                <a:lnTo>
                                  <a:pt x="198120" y="603504"/>
                                </a:lnTo>
                                <a:close/>
                              </a:path>
                              <a:path w="4721860" h="806450">
                                <a:moveTo>
                                  <a:pt x="763524" y="623316"/>
                                </a:moveTo>
                                <a:lnTo>
                                  <a:pt x="565404" y="623316"/>
                                </a:lnTo>
                                <a:lnTo>
                                  <a:pt x="565404" y="806069"/>
                                </a:lnTo>
                                <a:lnTo>
                                  <a:pt x="763524" y="806069"/>
                                </a:lnTo>
                                <a:lnTo>
                                  <a:pt x="763524" y="623316"/>
                                </a:lnTo>
                                <a:close/>
                              </a:path>
                              <a:path w="4721860" h="806450">
                                <a:moveTo>
                                  <a:pt x="1328928" y="429768"/>
                                </a:moveTo>
                                <a:lnTo>
                                  <a:pt x="1130808" y="429768"/>
                                </a:lnTo>
                                <a:lnTo>
                                  <a:pt x="1130808" y="806069"/>
                                </a:lnTo>
                                <a:lnTo>
                                  <a:pt x="1328928" y="806069"/>
                                </a:lnTo>
                                <a:lnTo>
                                  <a:pt x="1328928" y="429768"/>
                                </a:lnTo>
                                <a:close/>
                              </a:path>
                              <a:path w="4721860" h="806450">
                                <a:moveTo>
                                  <a:pt x="1894332" y="530352"/>
                                </a:moveTo>
                                <a:lnTo>
                                  <a:pt x="1696212" y="530352"/>
                                </a:lnTo>
                                <a:lnTo>
                                  <a:pt x="1696212" y="806069"/>
                                </a:lnTo>
                                <a:lnTo>
                                  <a:pt x="1894332" y="806069"/>
                                </a:lnTo>
                                <a:lnTo>
                                  <a:pt x="1894332" y="530352"/>
                                </a:lnTo>
                                <a:close/>
                              </a:path>
                              <a:path w="4721860" h="806450">
                                <a:moveTo>
                                  <a:pt x="2459736" y="469392"/>
                                </a:moveTo>
                                <a:lnTo>
                                  <a:pt x="2261616" y="469392"/>
                                </a:lnTo>
                                <a:lnTo>
                                  <a:pt x="2261616" y="806069"/>
                                </a:lnTo>
                                <a:lnTo>
                                  <a:pt x="2459736" y="806069"/>
                                </a:lnTo>
                                <a:lnTo>
                                  <a:pt x="2459736" y="469392"/>
                                </a:lnTo>
                                <a:close/>
                              </a:path>
                              <a:path w="4721860" h="806450">
                                <a:moveTo>
                                  <a:pt x="3025140" y="339852"/>
                                </a:moveTo>
                                <a:lnTo>
                                  <a:pt x="2827020" y="339852"/>
                                </a:lnTo>
                                <a:lnTo>
                                  <a:pt x="2827020" y="806069"/>
                                </a:lnTo>
                                <a:lnTo>
                                  <a:pt x="3025140" y="806069"/>
                                </a:lnTo>
                                <a:lnTo>
                                  <a:pt x="3025140" y="339852"/>
                                </a:lnTo>
                                <a:close/>
                              </a:path>
                              <a:path w="4721860" h="806450">
                                <a:moveTo>
                                  <a:pt x="3590544" y="202692"/>
                                </a:moveTo>
                                <a:lnTo>
                                  <a:pt x="3393948" y="202692"/>
                                </a:lnTo>
                                <a:lnTo>
                                  <a:pt x="3393948" y="806069"/>
                                </a:lnTo>
                                <a:lnTo>
                                  <a:pt x="3590544" y="806069"/>
                                </a:lnTo>
                                <a:lnTo>
                                  <a:pt x="3590544" y="202692"/>
                                </a:lnTo>
                                <a:close/>
                              </a:path>
                              <a:path w="4721860" h="806450">
                                <a:moveTo>
                                  <a:pt x="4155948" y="160020"/>
                                </a:moveTo>
                                <a:lnTo>
                                  <a:pt x="3959352" y="160020"/>
                                </a:lnTo>
                                <a:lnTo>
                                  <a:pt x="3959352" y="806069"/>
                                </a:lnTo>
                                <a:lnTo>
                                  <a:pt x="4155948" y="806069"/>
                                </a:lnTo>
                                <a:lnTo>
                                  <a:pt x="4155948" y="160020"/>
                                </a:lnTo>
                                <a:close/>
                              </a:path>
                              <a:path w="4721860" h="806450">
                                <a:moveTo>
                                  <a:pt x="4721352" y="0"/>
                                </a:moveTo>
                                <a:lnTo>
                                  <a:pt x="4524756" y="0"/>
                                </a:lnTo>
                                <a:lnTo>
                                  <a:pt x="4524756" y="806069"/>
                                </a:lnTo>
                                <a:lnTo>
                                  <a:pt x="4721352" y="806069"/>
                                </a:lnTo>
                                <a:lnTo>
                                  <a:pt x="4721352" y="0"/>
                                </a:lnTo>
                                <a:close/>
                              </a:path>
                            </a:pathLst>
                          </a:custGeom>
                          <a:solidFill>
                            <a:srgbClr val="D21D78"/>
                          </a:solidFill>
                        </wps:spPr>
                        <wps:bodyPr wrap="square" lIns="0" tIns="0" rIns="0" bIns="0" rtlCol="0">
                          <a:prstTxWarp prst="textNoShape">
                            <a:avLst/>
                          </a:prstTxWarp>
                          <a:noAutofit/>
                        </wps:bodyPr>
                      </wps:wsp>
                      <wps:wsp>
                        <wps:cNvPr id="508" name="Graphic 508"/>
                        <wps:cNvSpPr/>
                        <wps:spPr>
                          <a:xfrm>
                            <a:off x="4762" y="1473589"/>
                            <a:ext cx="5088890" cy="1270"/>
                          </a:xfrm>
                          <a:custGeom>
                            <a:avLst/>
                            <a:gdLst/>
                            <a:ahLst/>
                            <a:cxnLst/>
                            <a:rect l="l" t="t" r="r" b="b"/>
                            <a:pathLst>
                              <a:path w="5088890">
                                <a:moveTo>
                                  <a:pt x="0" y="0"/>
                                </a:moveTo>
                                <a:lnTo>
                                  <a:pt x="5088763" y="0"/>
                                </a:lnTo>
                              </a:path>
                            </a:pathLst>
                          </a:custGeom>
                          <a:ln w="9525">
                            <a:solidFill>
                              <a:srgbClr val="D9D9D9"/>
                            </a:solidFill>
                            <a:prstDash val="solid"/>
                          </a:ln>
                        </wps:spPr>
                        <wps:bodyPr wrap="square" lIns="0" tIns="0" rIns="0" bIns="0" rtlCol="0">
                          <a:prstTxWarp prst="textNoShape">
                            <a:avLst/>
                          </a:prstTxWarp>
                          <a:noAutofit/>
                        </wps:bodyPr>
                      </wps:wsp>
                      <wps:wsp>
                        <wps:cNvPr id="509" name="Graphic 509"/>
                        <wps:cNvSpPr/>
                        <wps:spPr>
                          <a:xfrm>
                            <a:off x="287464" y="69477"/>
                            <a:ext cx="4523740" cy="1270"/>
                          </a:xfrm>
                          <a:custGeom>
                            <a:avLst/>
                            <a:gdLst/>
                            <a:ahLst/>
                            <a:cxnLst/>
                            <a:rect l="l" t="t" r="r" b="b"/>
                            <a:pathLst>
                              <a:path w="4523740">
                                <a:moveTo>
                                  <a:pt x="0" y="0"/>
                                </a:moveTo>
                                <a:lnTo>
                                  <a:pt x="0" y="0"/>
                                </a:lnTo>
                                <a:lnTo>
                                  <a:pt x="3957828" y="0"/>
                                </a:lnTo>
                                <a:lnTo>
                                  <a:pt x="4523358" y="0"/>
                                </a:lnTo>
                              </a:path>
                            </a:pathLst>
                          </a:custGeom>
                          <a:ln w="28575">
                            <a:solidFill>
                              <a:srgbClr val="36C7C5"/>
                            </a:solidFill>
                            <a:prstDash val="solid"/>
                          </a:ln>
                        </wps:spPr>
                        <wps:bodyPr wrap="square" lIns="0" tIns="0" rIns="0" bIns="0" rtlCol="0">
                          <a:prstTxWarp prst="textNoShape">
                            <a:avLst/>
                          </a:prstTxWarp>
                          <a:noAutofit/>
                        </wps:bodyPr>
                      </wps:wsp>
                      <wps:wsp>
                        <wps:cNvPr id="510" name="Textbox 510"/>
                        <wps:cNvSpPr txBox="1"/>
                        <wps:spPr>
                          <a:xfrm>
                            <a:off x="4919154" y="0"/>
                            <a:ext cx="134620" cy="139700"/>
                          </a:xfrm>
                          <a:prstGeom prst="rect">
                            <a:avLst/>
                          </a:prstGeom>
                        </wps:spPr>
                        <wps:txbx>
                          <w:txbxContent>
                            <w:p w14:paraId="10D3866C" w14:textId="77777777" w:rsidR="000E52B0" w:rsidRDefault="00F60D74">
                              <w:pPr>
                                <w:rPr>
                                  <w:rFonts w:ascii="Trebuchet MS"/>
                                  <w:sz w:val="18"/>
                                </w:rPr>
                              </w:pPr>
                              <w:r>
                                <w:rPr>
                                  <w:rFonts w:ascii="Trebuchet MS"/>
                                  <w:color w:val="404040"/>
                                  <w:spacing w:val="-5"/>
                                  <w:sz w:val="18"/>
                                </w:rPr>
                                <w:t>50</w:t>
                              </w:r>
                            </w:p>
                          </w:txbxContent>
                        </wps:txbx>
                        <wps:bodyPr wrap="square" lIns="0" tIns="0" rIns="0" bIns="0" rtlCol="0">
                          <a:noAutofit/>
                        </wps:bodyPr>
                      </wps:wsp>
                      <wps:wsp>
                        <wps:cNvPr id="511" name="Textbox 511"/>
                        <wps:cNvSpPr txBox="1"/>
                        <wps:spPr>
                          <a:xfrm>
                            <a:off x="4602162" y="475684"/>
                            <a:ext cx="431165" cy="136525"/>
                          </a:xfrm>
                          <a:prstGeom prst="rect">
                            <a:avLst/>
                          </a:prstGeom>
                        </wps:spPr>
                        <wps:txbx>
                          <w:txbxContent>
                            <w:p w14:paraId="183467CB" w14:textId="77777777" w:rsidR="000E52B0" w:rsidRDefault="00F60D74">
                              <w:pPr>
                                <w:spacing w:line="237" w:lineRule="auto"/>
                                <w:rPr>
                                  <w:rFonts w:ascii="Trebuchet MS"/>
                                  <w:position w:val="-3"/>
                                  <w:sz w:val="14"/>
                                </w:rPr>
                              </w:pPr>
                              <w:r>
                                <w:rPr>
                                  <w:rFonts w:ascii="Trebuchet MS"/>
                                  <w:color w:val="404040"/>
                                  <w:sz w:val="14"/>
                                </w:rPr>
                                <w:t>29,7</w:t>
                              </w:r>
                              <w:r>
                                <w:rPr>
                                  <w:rFonts w:ascii="Trebuchet MS"/>
                                  <w:color w:val="404040"/>
                                  <w:spacing w:val="78"/>
                                  <w:sz w:val="14"/>
                                </w:rPr>
                                <w:t xml:space="preserve"> </w:t>
                              </w:r>
                              <w:r>
                                <w:rPr>
                                  <w:rFonts w:ascii="Trebuchet MS"/>
                                  <w:color w:val="404040"/>
                                  <w:spacing w:val="-4"/>
                                  <w:position w:val="-3"/>
                                  <w:sz w:val="14"/>
                                </w:rPr>
                                <w:t>28,7</w:t>
                              </w:r>
                            </w:p>
                          </w:txbxContent>
                        </wps:txbx>
                        <wps:bodyPr wrap="square" lIns="0" tIns="0" rIns="0" bIns="0" rtlCol="0">
                          <a:noAutofit/>
                        </wps:bodyPr>
                      </wps:wsp>
                      <wps:wsp>
                        <wps:cNvPr id="512" name="Textbox 512"/>
                        <wps:cNvSpPr txBox="1"/>
                        <wps:spPr>
                          <a:xfrm>
                            <a:off x="3721290" y="705808"/>
                            <a:ext cx="180340" cy="107950"/>
                          </a:xfrm>
                          <a:prstGeom prst="rect">
                            <a:avLst/>
                          </a:prstGeom>
                        </wps:spPr>
                        <wps:txbx>
                          <w:txbxContent>
                            <w:p w14:paraId="6A783F27" w14:textId="77777777" w:rsidR="000E52B0" w:rsidRDefault="00F60D74">
                              <w:pPr>
                                <w:spacing w:line="162" w:lineRule="exact"/>
                                <w:rPr>
                                  <w:rFonts w:ascii="Trebuchet MS"/>
                                  <w:sz w:val="14"/>
                                </w:rPr>
                              </w:pPr>
                              <w:r>
                                <w:rPr>
                                  <w:rFonts w:ascii="Trebuchet MS"/>
                                  <w:color w:val="404040"/>
                                  <w:spacing w:val="-4"/>
                                  <w:sz w:val="14"/>
                                </w:rPr>
                                <w:t>21,5</w:t>
                              </w:r>
                            </w:p>
                          </w:txbxContent>
                        </wps:txbx>
                        <wps:bodyPr wrap="square" lIns="0" tIns="0" rIns="0" bIns="0" rtlCol="0">
                          <a:noAutofit/>
                        </wps:bodyPr>
                      </wps:wsp>
                      <wps:wsp>
                        <wps:cNvPr id="513" name="Textbox 513"/>
                        <wps:cNvSpPr txBox="1"/>
                        <wps:spPr>
                          <a:xfrm>
                            <a:off x="4287075" y="663771"/>
                            <a:ext cx="180340" cy="107950"/>
                          </a:xfrm>
                          <a:prstGeom prst="rect">
                            <a:avLst/>
                          </a:prstGeom>
                        </wps:spPr>
                        <wps:txbx>
                          <w:txbxContent>
                            <w:p w14:paraId="1AD39580" w14:textId="77777777" w:rsidR="000E52B0" w:rsidRDefault="00F60D74">
                              <w:pPr>
                                <w:spacing w:line="162" w:lineRule="exact"/>
                                <w:rPr>
                                  <w:rFonts w:ascii="Trebuchet MS"/>
                                  <w:sz w:val="14"/>
                                </w:rPr>
                              </w:pPr>
                              <w:r>
                                <w:rPr>
                                  <w:rFonts w:ascii="Trebuchet MS"/>
                                  <w:color w:val="404040"/>
                                  <w:spacing w:val="-4"/>
                                  <w:sz w:val="14"/>
                                </w:rPr>
                                <w:t>23,0</w:t>
                              </w:r>
                            </w:p>
                          </w:txbxContent>
                        </wps:txbx>
                        <wps:bodyPr wrap="square" lIns="0" tIns="0" rIns="0" bIns="0" rtlCol="0">
                          <a:noAutofit/>
                        </wps:bodyPr>
                      </wps:wsp>
                      <wps:wsp>
                        <wps:cNvPr id="514" name="Textbox 514"/>
                        <wps:cNvSpPr txBox="1"/>
                        <wps:spPr>
                          <a:xfrm>
                            <a:off x="3155886" y="843603"/>
                            <a:ext cx="180340" cy="107950"/>
                          </a:xfrm>
                          <a:prstGeom prst="rect">
                            <a:avLst/>
                          </a:prstGeom>
                        </wps:spPr>
                        <wps:txbx>
                          <w:txbxContent>
                            <w:p w14:paraId="225C3656" w14:textId="77777777" w:rsidR="000E52B0" w:rsidRDefault="00F60D74">
                              <w:pPr>
                                <w:spacing w:line="162" w:lineRule="exact"/>
                                <w:rPr>
                                  <w:rFonts w:ascii="Trebuchet MS"/>
                                  <w:sz w:val="14"/>
                                </w:rPr>
                              </w:pPr>
                              <w:r>
                                <w:rPr>
                                  <w:rFonts w:ascii="Trebuchet MS"/>
                                  <w:color w:val="404040"/>
                                  <w:spacing w:val="-4"/>
                                  <w:sz w:val="14"/>
                                </w:rPr>
                                <w:t>16,6</w:t>
                              </w:r>
                            </w:p>
                          </w:txbxContent>
                        </wps:txbx>
                        <wps:bodyPr wrap="square" lIns="0" tIns="0" rIns="0" bIns="0" rtlCol="0">
                          <a:noAutofit/>
                        </wps:bodyPr>
                      </wps:wsp>
                      <wps:wsp>
                        <wps:cNvPr id="515" name="Textbox 515"/>
                        <wps:cNvSpPr txBox="1"/>
                        <wps:spPr>
                          <a:xfrm>
                            <a:off x="3471100" y="770451"/>
                            <a:ext cx="180340" cy="107950"/>
                          </a:xfrm>
                          <a:prstGeom prst="rect">
                            <a:avLst/>
                          </a:prstGeom>
                        </wps:spPr>
                        <wps:txbx>
                          <w:txbxContent>
                            <w:p w14:paraId="1D1B0D8C" w14:textId="77777777" w:rsidR="000E52B0" w:rsidRDefault="00F60D74">
                              <w:pPr>
                                <w:spacing w:line="162" w:lineRule="exact"/>
                                <w:rPr>
                                  <w:rFonts w:ascii="Trebuchet MS"/>
                                  <w:sz w:val="14"/>
                                </w:rPr>
                              </w:pPr>
                              <w:r>
                                <w:rPr>
                                  <w:rFonts w:ascii="Trebuchet MS"/>
                                  <w:color w:val="404040"/>
                                  <w:spacing w:val="-4"/>
                                  <w:sz w:val="14"/>
                                </w:rPr>
                                <w:t>19,2</w:t>
                              </w:r>
                            </w:p>
                          </w:txbxContent>
                        </wps:txbx>
                        <wps:bodyPr wrap="square" lIns="0" tIns="0" rIns="0" bIns="0" rtlCol="0">
                          <a:noAutofit/>
                        </wps:bodyPr>
                      </wps:wsp>
                      <wps:wsp>
                        <wps:cNvPr id="516" name="Textbox 516"/>
                        <wps:cNvSpPr txBox="1"/>
                        <wps:spPr>
                          <a:xfrm>
                            <a:off x="4036758" y="804233"/>
                            <a:ext cx="180340" cy="107950"/>
                          </a:xfrm>
                          <a:prstGeom prst="rect">
                            <a:avLst/>
                          </a:prstGeom>
                        </wps:spPr>
                        <wps:txbx>
                          <w:txbxContent>
                            <w:p w14:paraId="7C05DFA7" w14:textId="77777777" w:rsidR="000E52B0" w:rsidRDefault="00F60D74">
                              <w:pPr>
                                <w:spacing w:line="162" w:lineRule="exact"/>
                                <w:rPr>
                                  <w:rFonts w:ascii="Trebuchet MS"/>
                                  <w:sz w:val="14"/>
                                </w:rPr>
                              </w:pPr>
                              <w:r>
                                <w:rPr>
                                  <w:rFonts w:ascii="Trebuchet MS"/>
                                  <w:color w:val="404040"/>
                                  <w:spacing w:val="-4"/>
                                  <w:sz w:val="14"/>
                                </w:rPr>
                                <w:t>18,0</w:t>
                              </w:r>
                            </w:p>
                          </w:txbxContent>
                        </wps:txbx>
                        <wps:bodyPr wrap="square" lIns="0" tIns="0" rIns="0" bIns="0" rtlCol="0">
                          <a:noAutofit/>
                        </wps:bodyPr>
                      </wps:wsp>
                      <wps:wsp>
                        <wps:cNvPr id="517" name="Textbox 517"/>
                        <wps:cNvSpPr txBox="1"/>
                        <wps:spPr>
                          <a:xfrm>
                            <a:off x="643445" y="953077"/>
                            <a:ext cx="180340" cy="107950"/>
                          </a:xfrm>
                          <a:prstGeom prst="rect">
                            <a:avLst/>
                          </a:prstGeom>
                        </wps:spPr>
                        <wps:txbx>
                          <w:txbxContent>
                            <w:p w14:paraId="32D410C3" w14:textId="77777777" w:rsidR="000E52B0" w:rsidRDefault="00F60D74">
                              <w:pPr>
                                <w:spacing w:line="162" w:lineRule="exact"/>
                                <w:rPr>
                                  <w:rFonts w:ascii="Trebuchet MS"/>
                                  <w:sz w:val="14"/>
                                </w:rPr>
                              </w:pPr>
                              <w:r>
                                <w:rPr>
                                  <w:rFonts w:ascii="Trebuchet MS"/>
                                  <w:color w:val="404040"/>
                                  <w:spacing w:val="-4"/>
                                  <w:sz w:val="14"/>
                                </w:rPr>
                                <w:t>12,7</w:t>
                              </w:r>
                            </w:p>
                          </w:txbxContent>
                        </wps:txbx>
                        <wps:bodyPr wrap="square" lIns="0" tIns="0" rIns="0" bIns="0" rtlCol="0">
                          <a:noAutofit/>
                        </wps:bodyPr>
                      </wps:wsp>
                      <wps:wsp>
                        <wps:cNvPr id="518" name="Textbox 518"/>
                        <wps:cNvSpPr txBox="1"/>
                        <wps:spPr>
                          <a:xfrm>
                            <a:off x="1209230" y="933519"/>
                            <a:ext cx="746125" cy="153035"/>
                          </a:xfrm>
                          <a:prstGeom prst="rect">
                            <a:avLst/>
                          </a:prstGeom>
                        </wps:spPr>
                        <wps:txbx>
                          <w:txbxContent>
                            <w:p w14:paraId="1E4CB754" w14:textId="77777777" w:rsidR="000E52B0" w:rsidRDefault="00F60D74">
                              <w:pPr>
                                <w:tabs>
                                  <w:tab w:val="left" w:pos="890"/>
                                </w:tabs>
                                <w:spacing w:before="3"/>
                                <w:rPr>
                                  <w:rFonts w:ascii="Trebuchet MS"/>
                                  <w:sz w:val="14"/>
                                </w:rPr>
                              </w:pPr>
                              <w:r>
                                <w:rPr>
                                  <w:rFonts w:ascii="Trebuchet MS"/>
                                  <w:color w:val="404040"/>
                                  <w:position w:val="-6"/>
                                  <w:sz w:val="14"/>
                                </w:rPr>
                                <w:t>11,8</w:t>
                              </w:r>
                              <w:r>
                                <w:rPr>
                                  <w:rFonts w:ascii="Trebuchet MS"/>
                                  <w:color w:val="404040"/>
                                  <w:spacing w:val="78"/>
                                  <w:position w:val="-6"/>
                                  <w:sz w:val="14"/>
                                </w:rPr>
                                <w:t xml:space="preserve"> </w:t>
                              </w:r>
                              <w:r>
                                <w:rPr>
                                  <w:rFonts w:ascii="Trebuchet MS"/>
                                  <w:color w:val="404040"/>
                                  <w:spacing w:val="-4"/>
                                  <w:sz w:val="14"/>
                                </w:rPr>
                                <w:t>13,4</w:t>
                              </w:r>
                              <w:r>
                                <w:rPr>
                                  <w:rFonts w:ascii="Trebuchet MS"/>
                                  <w:color w:val="404040"/>
                                  <w:sz w:val="14"/>
                                </w:rPr>
                                <w:tab/>
                              </w:r>
                              <w:r>
                                <w:rPr>
                                  <w:rFonts w:ascii="Trebuchet MS"/>
                                  <w:color w:val="404040"/>
                                  <w:spacing w:val="-4"/>
                                  <w:sz w:val="14"/>
                                </w:rPr>
                                <w:t>13,3</w:t>
                              </w:r>
                            </w:p>
                          </w:txbxContent>
                        </wps:txbx>
                        <wps:bodyPr wrap="square" lIns="0" tIns="0" rIns="0" bIns="0" rtlCol="0">
                          <a:noAutofit/>
                        </wps:bodyPr>
                      </wps:wsp>
                      <wps:wsp>
                        <wps:cNvPr id="519" name="Textbox 519"/>
                        <wps:cNvSpPr txBox="1"/>
                        <wps:spPr>
                          <a:xfrm>
                            <a:off x="102425" y="1068266"/>
                            <a:ext cx="133350" cy="107950"/>
                          </a:xfrm>
                          <a:prstGeom prst="rect">
                            <a:avLst/>
                          </a:prstGeom>
                        </wps:spPr>
                        <wps:txbx>
                          <w:txbxContent>
                            <w:p w14:paraId="2C3B62AD" w14:textId="77777777" w:rsidR="000E52B0" w:rsidRDefault="00F60D74">
                              <w:pPr>
                                <w:spacing w:line="162" w:lineRule="exact"/>
                                <w:rPr>
                                  <w:rFonts w:ascii="Trebuchet MS"/>
                                  <w:sz w:val="14"/>
                                </w:rPr>
                              </w:pPr>
                              <w:r>
                                <w:rPr>
                                  <w:rFonts w:ascii="Trebuchet MS"/>
                                  <w:color w:val="404040"/>
                                  <w:spacing w:val="-5"/>
                                  <w:sz w:val="14"/>
                                </w:rPr>
                                <w:t>8,6</w:t>
                              </w:r>
                            </w:p>
                          </w:txbxContent>
                        </wps:txbx>
                        <wps:bodyPr wrap="square" lIns="0" tIns="0" rIns="0" bIns="0" rtlCol="0">
                          <a:noAutofit/>
                        </wps:bodyPr>
                      </wps:wsp>
                      <wps:wsp>
                        <wps:cNvPr id="520" name="Textbox 520"/>
                        <wps:cNvSpPr txBox="1"/>
                        <wps:spPr>
                          <a:xfrm>
                            <a:off x="352742" y="1107509"/>
                            <a:ext cx="133350" cy="107950"/>
                          </a:xfrm>
                          <a:prstGeom prst="rect">
                            <a:avLst/>
                          </a:prstGeom>
                        </wps:spPr>
                        <wps:txbx>
                          <w:txbxContent>
                            <w:p w14:paraId="69814128" w14:textId="77777777" w:rsidR="000E52B0" w:rsidRDefault="00F60D74">
                              <w:pPr>
                                <w:spacing w:line="162" w:lineRule="exact"/>
                                <w:rPr>
                                  <w:rFonts w:ascii="Trebuchet MS"/>
                                  <w:sz w:val="14"/>
                                </w:rPr>
                              </w:pPr>
                              <w:r>
                                <w:rPr>
                                  <w:rFonts w:ascii="Trebuchet MS"/>
                                  <w:color w:val="404040"/>
                                  <w:spacing w:val="-5"/>
                                  <w:sz w:val="14"/>
                                </w:rPr>
                                <w:t>7,2</w:t>
                              </w:r>
                            </w:p>
                          </w:txbxContent>
                        </wps:txbx>
                        <wps:bodyPr wrap="square" lIns="0" tIns="0" rIns="0" bIns="0" rtlCol="0">
                          <a:noAutofit/>
                        </wps:bodyPr>
                      </wps:wsp>
                      <wps:wsp>
                        <wps:cNvPr id="521" name="Textbox 521"/>
                        <wps:cNvSpPr txBox="1"/>
                        <wps:spPr>
                          <a:xfrm>
                            <a:off x="2049208" y="1034357"/>
                            <a:ext cx="133350" cy="107950"/>
                          </a:xfrm>
                          <a:prstGeom prst="rect">
                            <a:avLst/>
                          </a:prstGeom>
                        </wps:spPr>
                        <wps:txbx>
                          <w:txbxContent>
                            <w:p w14:paraId="04451818" w14:textId="77777777" w:rsidR="000E52B0" w:rsidRDefault="00F60D74">
                              <w:pPr>
                                <w:spacing w:line="162" w:lineRule="exact"/>
                                <w:rPr>
                                  <w:rFonts w:ascii="Trebuchet MS"/>
                                  <w:sz w:val="14"/>
                                </w:rPr>
                              </w:pPr>
                              <w:r>
                                <w:rPr>
                                  <w:rFonts w:ascii="Trebuchet MS"/>
                                  <w:color w:val="404040"/>
                                  <w:spacing w:val="-5"/>
                                  <w:sz w:val="14"/>
                                </w:rPr>
                                <w:t>9,8</w:t>
                              </w:r>
                            </w:p>
                          </w:txbxContent>
                        </wps:txbx>
                        <wps:bodyPr wrap="square" lIns="0" tIns="0" rIns="0" bIns="0" rtlCol="0">
                          <a:noAutofit/>
                        </wps:bodyPr>
                      </wps:wsp>
                      <wps:wsp>
                        <wps:cNvPr id="522" name="Textbox 522"/>
                        <wps:cNvSpPr txBox="1"/>
                        <wps:spPr>
                          <a:xfrm>
                            <a:off x="2364422" y="1040199"/>
                            <a:ext cx="133350" cy="107950"/>
                          </a:xfrm>
                          <a:prstGeom prst="rect">
                            <a:avLst/>
                          </a:prstGeom>
                        </wps:spPr>
                        <wps:txbx>
                          <w:txbxContent>
                            <w:p w14:paraId="218D34D6" w14:textId="77777777" w:rsidR="000E52B0" w:rsidRDefault="00F60D74">
                              <w:pPr>
                                <w:spacing w:line="162" w:lineRule="exact"/>
                                <w:rPr>
                                  <w:rFonts w:ascii="Trebuchet MS"/>
                                  <w:sz w:val="14"/>
                                </w:rPr>
                              </w:pPr>
                              <w:r>
                                <w:rPr>
                                  <w:rFonts w:ascii="Trebuchet MS"/>
                                  <w:color w:val="404040"/>
                                  <w:spacing w:val="-5"/>
                                  <w:sz w:val="14"/>
                                </w:rPr>
                                <w:t>9,6</w:t>
                              </w:r>
                            </w:p>
                          </w:txbxContent>
                        </wps:txbx>
                        <wps:bodyPr wrap="square" lIns="0" tIns="0" rIns="0" bIns="0" rtlCol="0">
                          <a:noAutofit/>
                        </wps:bodyPr>
                      </wps:wsp>
                      <wps:wsp>
                        <wps:cNvPr id="523" name="Textbox 523"/>
                        <wps:cNvSpPr txBox="1"/>
                        <wps:spPr>
                          <a:xfrm>
                            <a:off x="2590228" y="955744"/>
                            <a:ext cx="495934" cy="125095"/>
                          </a:xfrm>
                          <a:prstGeom prst="rect">
                            <a:avLst/>
                          </a:prstGeom>
                        </wps:spPr>
                        <wps:txbx>
                          <w:txbxContent>
                            <w:p w14:paraId="05E0B81A" w14:textId="77777777" w:rsidR="000E52B0" w:rsidRDefault="00F60D74">
                              <w:pPr>
                                <w:tabs>
                                  <w:tab w:val="left" w:pos="496"/>
                                </w:tabs>
                                <w:spacing w:line="192" w:lineRule="exact"/>
                                <w:rPr>
                                  <w:rFonts w:ascii="Trebuchet MS"/>
                                  <w:sz w:val="14"/>
                                </w:rPr>
                              </w:pPr>
                              <w:r>
                                <w:rPr>
                                  <w:rFonts w:ascii="Trebuchet MS"/>
                                  <w:color w:val="404040"/>
                                  <w:spacing w:val="-4"/>
                                  <w:position w:val="-2"/>
                                  <w:sz w:val="14"/>
                                </w:rPr>
                                <w:t>12,0</w:t>
                              </w:r>
                              <w:r>
                                <w:rPr>
                                  <w:rFonts w:ascii="Trebuchet MS"/>
                                  <w:color w:val="404040"/>
                                  <w:position w:val="-2"/>
                                  <w:sz w:val="14"/>
                                </w:rPr>
                                <w:tab/>
                              </w:r>
                              <w:r>
                                <w:rPr>
                                  <w:rFonts w:ascii="Trebuchet MS"/>
                                  <w:color w:val="404040"/>
                                  <w:spacing w:val="-4"/>
                                  <w:sz w:val="14"/>
                                </w:rPr>
                                <w:t>12,6</w:t>
                              </w:r>
                            </w:p>
                          </w:txbxContent>
                        </wps:txbx>
                        <wps:bodyPr wrap="square" lIns="0" tIns="0" rIns="0" bIns="0" rtlCol="0">
                          <a:noAutofit/>
                        </wps:bodyPr>
                      </wps:wsp>
                      <wps:wsp>
                        <wps:cNvPr id="524" name="Textbox 524"/>
                        <wps:cNvSpPr txBox="1"/>
                        <wps:spPr>
                          <a:xfrm>
                            <a:off x="918146" y="1127067"/>
                            <a:ext cx="133350" cy="107950"/>
                          </a:xfrm>
                          <a:prstGeom prst="rect">
                            <a:avLst/>
                          </a:prstGeom>
                        </wps:spPr>
                        <wps:txbx>
                          <w:txbxContent>
                            <w:p w14:paraId="33F8E071" w14:textId="77777777" w:rsidR="000E52B0" w:rsidRDefault="00F60D74">
                              <w:pPr>
                                <w:spacing w:line="162" w:lineRule="exact"/>
                                <w:rPr>
                                  <w:rFonts w:ascii="Trebuchet MS"/>
                                  <w:sz w:val="14"/>
                                </w:rPr>
                              </w:pPr>
                              <w:r>
                                <w:rPr>
                                  <w:rFonts w:ascii="Trebuchet MS"/>
                                  <w:color w:val="404040"/>
                                  <w:spacing w:val="-5"/>
                                  <w:sz w:val="14"/>
                                </w:rPr>
                                <w:t>6,5</w:t>
                              </w:r>
                            </w:p>
                          </w:txbxContent>
                        </wps:txbx>
                        <wps:bodyPr wrap="square" lIns="0" tIns="0" rIns="0" bIns="0" rtlCol="0">
                          <a:noAutofit/>
                        </wps:bodyPr>
                      </wps:wsp>
                    </wpg:wgp>
                  </a:graphicData>
                </a:graphic>
              </wp:anchor>
            </w:drawing>
          </mc:Choice>
          <mc:Fallback>
            <w:pict>
              <v:group w14:anchorId="772552BB" id="Group 504" o:spid="_x0000_s1305" style="position:absolute;left:0;text-align:left;margin-left:107.1pt;margin-top:.55pt;width:401.45pt;height:116.45pt;z-index:15791616;mso-wrap-distance-left:0;mso-wrap-distance-right:0;mso-position-horizontal-relative:page;mso-position-vertical-relative:text" coordsize="50984,14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">
                <v:shape id="Graphic 505" o:spid="_x0000_s1306" style="position:absolute;left:47;top:694;width:50889;height:14046;visibility:visible;mso-wrap-style:square;v-text-anchor:top" coordsize="5088890,140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" path="m,l,1404112em566166,r,1404112em1131570,r,1404112em1696974,r,1404112em2262378,r,1404112em2827782,r,1404112em3393186,r,1404112em3958590,r,1404112em4523994,r,1404112em5088763,r,1404112e" filled="f" strokecolor="#d9d9d9">
                  <v:path arrowok="t"/>
                </v:shape>
                <v:shape id="Graphic 506" o:spid="_x0000_s1307" style="position:absolute;left:634;top:6400;width:47218;height:8338;visibility:visible;mso-wrap-style:square;v-text-anchor:top" coordsize="4721860,83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" path="m198120,591312l,591312,,833501r198120,l198120,591312xem763524,477012r-198120,l565404,833501r198120,l763524,477012xem1328928,501396r-198120,l1130808,833501r198120,l1328928,501396xem1894332,460248r-198120,l1696212,833501r198120,l1894332,460248xem2459736,563880r-198120,l2261616,833501r198120,l2459736,563880xem3025140,480060r-198120,l2827020,833501r198120,l3025140,480060xem3590544,294132r-198120,l3392424,833501r198120,l3590544,294132xem4155948,327660r-198120,l3957828,833501r198120,l4155948,327660xem4721352,l4523232,r,833501l4721352,833501,4721352,xe" fillcolor="#741a36" stroked="f">
                  <v:path arrowok="t"/>
                </v:shape>
                <v:shape id="Graphic 507" o:spid="_x0000_s1308" style="position:absolute;left:3133;top:6675;width:47219;height:8064;visibility:visible;mso-wrap-style:square;v-text-anchor:top" coordsize="472186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" path="m198120,603504l,603504,,806069r198120,l198120,603504xem763524,623316r-198120,l565404,806069r198120,l763524,623316xem1328928,429768r-198120,l1130808,806069r198120,l1328928,429768xem1894332,530352r-198120,l1696212,806069r198120,l1894332,530352xem2459736,469392r-198120,l2261616,806069r198120,l2459736,469392xem3025140,339852r-198120,l2827020,806069r198120,l3025140,339852xem3590544,202692r-196596,l3393948,806069r196596,l3590544,202692xem4155948,160020r-196596,l3959352,806069r196596,l4155948,160020xem4721352,l4524756,r,806069l4721352,806069,4721352,xe" fillcolor="#d21d78" stroked="f">
                  <v:path arrowok="t"/>
                </v:shape>
                <v:shape id="Graphic 508" o:spid="_x0000_s1309" style="position:absolute;left:47;top:14735;width:50889;height:13;visibility:visible;mso-wrap-style:square;v-text-anchor:top" coordsize="5088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" path="m,l5088763,e" filled="f" strokecolor="#d9d9d9">
                  <v:path arrowok="t"/>
                </v:shape>
                <v:shape id="Graphic 509" o:spid="_x0000_s1310" style="position:absolute;left:2874;top:694;width:45238;height:13;visibility:visible;mso-wrap-style:square;v-text-anchor:top" coordsize="4523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" path="m,l,,3957828,r565530,e" filled="f" strokecolor="#36c7c5" strokeweight="2.25pt">
                  <v:path arrowok="t"/>
                </v:shape>
                <v:shape id="Textbox 510" o:spid="_x0000_s1311" type="#_x0000_t202" style="position:absolute;left:49191;width:134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10D3866C" w14:textId="77777777" w:rsidR="000E52B0" w:rsidRDefault="00F60D74">
                        <w:pPr>
                          <w:rPr>
                            <w:rFonts w:ascii="Trebuchet MS"/>
                            <w:sz w:val="18"/>
                          </w:rPr>
                        </w:pPr>
                        <w:r>
                          <w:rPr>
                            <w:rFonts w:ascii="Trebuchet MS"/>
                            <w:color w:val="404040"/>
                            <w:spacing w:val="-5"/>
                            <w:sz w:val="18"/>
                          </w:rPr>
                          <w:t>50</w:t>
                        </w:r>
                      </w:p>
                    </w:txbxContent>
                  </v:textbox>
                </v:shape>
                <v:shape id="Textbox 511" o:spid="_x0000_s1312" type="#_x0000_t202" style="position:absolute;left:46021;top:4756;width:4312;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183467CB" w14:textId="77777777" w:rsidR="000E52B0" w:rsidRDefault="00F60D74">
                        <w:pPr>
                          <w:spacing w:line="237" w:lineRule="auto"/>
                          <w:rPr>
                            <w:rFonts w:ascii="Trebuchet MS"/>
                            <w:position w:val="-3"/>
                            <w:sz w:val="14"/>
                          </w:rPr>
                        </w:pPr>
                        <w:r>
                          <w:rPr>
                            <w:rFonts w:ascii="Trebuchet MS"/>
                            <w:color w:val="404040"/>
                            <w:sz w:val="14"/>
                          </w:rPr>
                          <w:t>29,7</w:t>
                        </w:r>
                        <w:r>
                          <w:rPr>
                            <w:rFonts w:ascii="Trebuchet MS"/>
                            <w:color w:val="404040"/>
                            <w:spacing w:val="78"/>
                            <w:sz w:val="14"/>
                          </w:rPr>
                          <w:t xml:space="preserve"> </w:t>
                        </w:r>
                        <w:r>
                          <w:rPr>
                            <w:rFonts w:ascii="Trebuchet MS"/>
                            <w:color w:val="404040"/>
                            <w:spacing w:val="-4"/>
                            <w:position w:val="-3"/>
                            <w:sz w:val="14"/>
                          </w:rPr>
                          <w:t>28,7</w:t>
                        </w:r>
                      </w:p>
                    </w:txbxContent>
                  </v:textbox>
                </v:shape>
                <v:shape id="Textbox 512" o:spid="_x0000_s1313" type="#_x0000_t202" style="position:absolute;left:37212;top:7058;width:180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6A783F27" w14:textId="77777777" w:rsidR="000E52B0" w:rsidRDefault="00F60D74">
                        <w:pPr>
                          <w:spacing w:line="162" w:lineRule="exact"/>
                          <w:rPr>
                            <w:rFonts w:ascii="Trebuchet MS"/>
                            <w:sz w:val="14"/>
                          </w:rPr>
                        </w:pPr>
                        <w:r>
                          <w:rPr>
                            <w:rFonts w:ascii="Trebuchet MS"/>
                            <w:color w:val="404040"/>
                            <w:spacing w:val="-4"/>
                            <w:sz w:val="14"/>
                          </w:rPr>
                          <w:t>21,5</w:t>
                        </w:r>
                      </w:p>
                    </w:txbxContent>
                  </v:textbox>
                </v:shape>
                <v:shape id="Textbox 513" o:spid="_x0000_s1314" type="#_x0000_t202" style="position:absolute;left:42870;top:6637;width:1804;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1AD39580" w14:textId="77777777" w:rsidR="000E52B0" w:rsidRDefault="00F60D74">
                        <w:pPr>
                          <w:spacing w:line="162" w:lineRule="exact"/>
                          <w:rPr>
                            <w:rFonts w:ascii="Trebuchet MS"/>
                            <w:sz w:val="14"/>
                          </w:rPr>
                        </w:pPr>
                        <w:r>
                          <w:rPr>
                            <w:rFonts w:ascii="Trebuchet MS"/>
                            <w:color w:val="404040"/>
                            <w:spacing w:val="-4"/>
                            <w:sz w:val="14"/>
                          </w:rPr>
                          <w:t>23,0</w:t>
                        </w:r>
                      </w:p>
                    </w:txbxContent>
                  </v:textbox>
                </v:shape>
                <v:shape id="Textbox 514" o:spid="_x0000_s1315" type="#_x0000_t202" style="position:absolute;left:31558;top:8436;width:1804;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225C3656" w14:textId="77777777" w:rsidR="000E52B0" w:rsidRDefault="00F60D74">
                        <w:pPr>
                          <w:spacing w:line="162" w:lineRule="exact"/>
                          <w:rPr>
                            <w:rFonts w:ascii="Trebuchet MS"/>
                            <w:sz w:val="14"/>
                          </w:rPr>
                        </w:pPr>
                        <w:r>
                          <w:rPr>
                            <w:rFonts w:ascii="Trebuchet MS"/>
                            <w:color w:val="404040"/>
                            <w:spacing w:val="-4"/>
                            <w:sz w:val="14"/>
                          </w:rPr>
                          <w:t>16,6</w:t>
                        </w:r>
                      </w:p>
                    </w:txbxContent>
                  </v:textbox>
                </v:shape>
                <v:shape id="Textbox 515" o:spid="_x0000_s1316" type="#_x0000_t202" style="position:absolute;left:34711;top:7704;width:180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1D1B0D8C" w14:textId="77777777" w:rsidR="000E52B0" w:rsidRDefault="00F60D74">
                        <w:pPr>
                          <w:spacing w:line="162" w:lineRule="exact"/>
                          <w:rPr>
                            <w:rFonts w:ascii="Trebuchet MS"/>
                            <w:sz w:val="14"/>
                          </w:rPr>
                        </w:pPr>
                        <w:r>
                          <w:rPr>
                            <w:rFonts w:ascii="Trebuchet MS"/>
                            <w:color w:val="404040"/>
                            <w:spacing w:val="-4"/>
                            <w:sz w:val="14"/>
                          </w:rPr>
                          <w:t>19,2</w:t>
                        </w:r>
                      </w:p>
                    </w:txbxContent>
                  </v:textbox>
                </v:shape>
                <v:shape id="Textbox 516" o:spid="_x0000_s1317" type="#_x0000_t202" style="position:absolute;left:40367;top:8042;width:1803;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7C05DFA7" w14:textId="77777777" w:rsidR="000E52B0" w:rsidRDefault="00F60D74">
                        <w:pPr>
                          <w:spacing w:line="162" w:lineRule="exact"/>
                          <w:rPr>
                            <w:rFonts w:ascii="Trebuchet MS"/>
                            <w:sz w:val="14"/>
                          </w:rPr>
                        </w:pPr>
                        <w:r>
                          <w:rPr>
                            <w:rFonts w:ascii="Trebuchet MS"/>
                            <w:color w:val="404040"/>
                            <w:spacing w:val="-4"/>
                            <w:sz w:val="14"/>
                          </w:rPr>
                          <w:t>18,0</w:t>
                        </w:r>
                      </w:p>
                    </w:txbxContent>
                  </v:textbox>
                </v:shape>
                <v:shape id="Textbox 517" o:spid="_x0000_s1318" type="#_x0000_t202" style="position:absolute;left:6434;top:9530;width:180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32D410C3" w14:textId="77777777" w:rsidR="000E52B0" w:rsidRDefault="00F60D74">
                        <w:pPr>
                          <w:spacing w:line="162" w:lineRule="exact"/>
                          <w:rPr>
                            <w:rFonts w:ascii="Trebuchet MS"/>
                            <w:sz w:val="14"/>
                          </w:rPr>
                        </w:pPr>
                        <w:r>
                          <w:rPr>
                            <w:rFonts w:ascii="Trebuchet MS"/>
                            <w:color w:val="404040"/>
                            <w:spacing w:val="-4"/>
                            <w:sz w:val="14"/>
                          </w:rPr>
                          <w:t>12,7</w:t>
                        </w:r>
                      </w:p>
                    </w:txbxContent>
                  </v:textbox>
                </v:shape>
                <v:shape id="Textbox 518" o:spid="_x0000_s1319" type="#_x0000_t202" style="position:absolute;left:12092;top:9335;width:746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1E4CB754" w14:textId="77777777" w:rsidR="000E52B0" w:rsidRDefault="00F60D74">
                        <w:pPr>
                          <w:tabs>
                            <w:tab w:val="left" w:pos="890"/>
                          </w:tabs>
                          <w:spacing w:before="3"/>
                          <w:rPr>
                            <w:rFonts w:ascii="Trebuchet MS"/>
                            <w:sz w:val="14"/>
                          </w:rPr>
                        </w:pPr>
                        <w:r>
                          <w:rPr>
                            <w:rFonts w:ascii="Trebuchet MS"/>
                            <w:color w:val="404040"/>
                            <w:position w:val="-6"/>
                            <w:sz w:val="14"/>
                          </w:rPr>
                          <w:t>11,8</w:t>
                        </w:r>
                        <w:r>
                          <w:rPr>
                            <w:rFonts w:ascii="Trebuchet MS"/>
                            <w:color w:val="404040"/>
                            <w:spacing w:val="78"/>
                            <w:position w:val="-6"/>
                            <w:sz w:val="14"/>
                          </w:rPr>
                          <w:t xml:space="preserve"> </w:t>
                        </w:r>
                        <w:r>
                          <w:rPr>
                            <w:rFonts w:ascii="Trebuchet MS"/>
                            <w:color w:val="404040"/>
                            <w:spacing w:val="-4"/>
                            <w:sz w:val="14"/>
                          </w:rPr>
                          <w:t>13,4</w:t>
                        </w:r>
                        <w:r>
                          <w:rPr>
                            <w:rFonts w:ascii="Trebuchet MS"/>
                            <w:color w:val="404040"/>
                            <w:sz w:val="14"/>
                          </w:rPr>
                          <w:tab/>
                        </w:r>
                        <w:r>
                          <w:rPr>
                            <w:rFonts w:ascii="Trebuchet MS"/>
                            <w:color w:val="404040"/>
                            <w:spacing w:val="-4"/>
                            <w:sz w:val="14"/>
                          </w:rPr>
                          <w:t>13,3</w:t>
                        </w:r>
                      </w:p>
                    </w:txbxContent>
                  </v:textbox>
                </v:shape>
                <v:shape id="Textbox 519" o:spid="_x0000_s1320" type="#_x0000_t202" style="position:absolute;left:1024;top:10682;width:133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2C3B62AD" w14:textId="77777777" w:rsidR="000E52B0" w:rsidRDefault="00F60D74">
                        <w:pPr>
                          <w:spacing w:line="162" w:lineRule="exact"/>
                          <w:rPr>
                            <w:rFonts w:ascii="Trebuchet MS"/>
                            <w:sz w:val="14"/>
                          </w:rPr>
                        </w:pPr>
                        <w:r>
                          <w:rPr>
                            <w:rFonts w:ascii="Trebuchet MS"/>
                            <w:color w:val="404040"/>
                            <w:spacing w:val="-5"/>
                            <w:sz w:val="14"/>
                          </w:rPr>
                          <w:t>8,6</w:t>
                        </w:r>
                      </w:p>
                    </w:txbxContent>
                  </v:textbox>
                </v:shape>
                <v:shape id="Textbox 520" o:spid="_x0000_s1321" type="#_x0000_t202" style="position:absolute;left:3527;top:11075;width:1333;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69814128" w14:textId="77777777" w:rsidR="000E52B0" w:rsidRDefault="00F60D74">
                        <w:pPr>
                          <w:spacing w:line="162" w:lineRule="exact"/>
                          <w:rPr>
                            <w:rFonts w:ascii="Trebuchet MS"/>
                            <w:sz w:val="14"/>
                          </w:rPr>
                        </w:pPr>
                        <w:r>
                          <w:rPr>
                            <w:rFonts w:ascii="Trebuchet MS"/>
                            <w:color w:val="404040"/>
                            <w:spacing w:val="-5"/>
                            <w:sz w:val="14"/>
                          </w:rPr>
                          <w:t>7,2</w:t>
                        </w:r>
                      </w:p>
                    </w:txbxContent>
                  </v:textbox>
                </v:shape>
                <v:shape id="Textbox 521" o:spid="_x0000_s1322" type="#_x0000_t202" style="position:absolute;left:20492;top:10343;width:133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04451818" w14:textId="77777777" w:rsidR="000E52B0" w:rsidRDefault="00F60D74">
                        <w:pPr>
                          <w:spacing w:line="162" w:lineRule="exact"/>
                          <w:rPr>
                            <w:rFonts w:ascii="Trebuchet MS"/>
                            <w:sz w:val="14"/>
                          </w:rPr>
                        </w:pPr>
                        <w:r>
                          <w:rPr>
                            <w:rFonts w:ascii="Trebuchet MS"/>
                            <w:color w:val="404040"/>
                            <w:spacing w:val="-5"/>
                            <w:sz w:val="14"/>
                          </w:rPr>
                          <w:t>9,8</w:t>
                        </w:r>
                      </w:p>
                    </w:txbxContent>
                  </v:textbox>
                </v:shape>
                <v:shape id="Textbox 522" o:spid="_x0000_s1323" type="#_x0000_t202" style="position:absolute;left:23644;top:10401;width:133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218D34D6" w14:textId="77777777" w:rsidR="000E52B0" w:rsidRDefault="00F60D74">
                        <w:pPr>
                          <w:spacing w:line="162" w:lineRule="exact"/>
                          <w:rPr>
                            <w:rFonts w:ascii="Trebuchet MS"/>
                            <w:sz w:val="14"/>
                          </w:rPr>
                        </w:pPr>
                        <w:r>
                          <w:rPr>
                            <w:rFonts w:ascii="Trebuchet MS"/>
                            <w:color w:val="404040"/>
                            <w:spacing w:val="-5"/>
                            <w:sz w:val="14"/>
                          </w:rPr>
                          <w:t>9,6</w:t>
                        </w:r>
                      </w:p>
                    </w:txbxContent>
                  </v:textbox>
                </v:shape>
                <v:shape id="Textbox 523" o:spid="_x0000_s1324" type="#_x0000_t202" style="position:absolute;left:25902;top:9557;width:495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05E0B81A" w14:textId="77777777" w:rsidR="000E52B0" w:rsidRDefault="00F60D74">
                        <w:pPr>
                          <w:tabs>
                            <w:tab w:val="left" w:pos="496"/>
                          </w:tabs>
                          <w:spacing w:line="192" w:lineRule="exact"/>
                          <w:rPr>
                            <w:rFonts w:ascii="Trebuchet MS"/>
                            <w:sz w:val="14"/>
                          </w:rPr>
                        </w:pPr>
                        <w:r>
                          <w:rPr>
                            <w:rFonts w:ascii="Trebuchet MS"/>
                            <w:color w:val="404040"/>
                            <w:spacing w:val="-4"/>
                            <w:position w:val="-2"/>
                            <w:sz w:val="14"/>
                          </w:rPr>
                          <w:t>12,0</w:t>
                        </w:r>
                        <w:r>
                          <w:rPr>
                            <w:rFonts w:ascii="Trebuchet MS"/>
                            <w:color w:val="404040"/>
                            <w:position w:val="-2"/>
                            <w:sz w:val="14"/>
                          </w:rPr>
                          <w:tab/>
                        </w:r>
                        <w:r>
                          <w:rPr>
                            <w:rFonts w:ascii="Trebuchet MS"/>
                            <w:color w:val="404040"/>
                            <w:spacing w:val="-4"/>
                            <w:sz w:val="14"/>
                          </w:rPr>
                          <w:t>12,6</w:t>
                        </w:r>
                      </w:p>
                    </w:txbxContent>
                  </v:textbox>
                </v:shape>
                <v:shape id="Textbox 524" o:spid="_x0000_s1325" type="#_x0000_t202" style="position:absolute;left:9181;top:11270;width:1333;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33F8E071" w14:textId="77777777" w:rsidR="000E52B0" w:rsidRDefault="00F60D74">
                        <w:pPr>
                          <w:spacing w:line="162" w:lineRule="exact"/>
                          <w:rPr>
                            <w:rFonts w:ascii="Trebuchet MS"/>
                            <w:sz w:val="14"/>
                          </w:rPr>
                        </w:pPr>
                        <w:r>
                          <w:rPr>
                            <w:rFonts w:ascii="Trebuchet MS"/>
                            <w:color w:val="404040"/>
                            <w:spacing w:val="-5"/>
                            <w:sz w:val="14"/>
                          </w:rPr>
                          <w:t>6,5</w:t>
                        </w:r>
                      </w:p>
                    </w:txbxContent>
                  </v:textbox>
                </v:shape>
                <w10:wrap anchorx="page"/>
              </v:group>
            </w:pict>
          </mc:Fallback>
        </mc:AlternateContent>
      </w:r>
      <w:r>
        <w:rPr>
          <w:rFonts w:ascii="Trebuchet MS"/>
          <w:color w:val="585858"/>
          <w:spacing w:val="-4"/>
          <w:sz w:val="18"/>
        </w:rPr>
        <w:t>50,0</w:t>
      </w:r>
    </w:p>
    <w:p w14:paraId="43AE8EB9" w14:textId="77777777" w:rsidR="000E52B0" w:rsidRDefault="000E52B0">
      <w:pPr>
        <w:pStyle w:val="Textoindependiente"/>
        <w:spacing w:before="24"/>
        <w:ind w:left="0"/>
        <w:rPr>
          <w:rFonts w:ascii="Trebuchet MS"/>
          <w:sz w:val="18"/>
        </w:rPr>
      </w:pPr>
    </w:p>
    <w:p w14:paraId="1AA6198A" w14:textId="77777777" w:rsidR="000E52B0" w:rsidRDefault="00F60D74">
      <w:pPr>
        <w:spacing w:before="1"/>
        <w:ind w:left="923"/>
        <w:rPr>
          <w:rFonts w:ascii="Trebuchet MS"/>
          <w:sz w:val="18"/>
        </w:rPr>
      </w:pPr>
      <w:r>
        <w:rPr>
          <w:rFonts w:ascii="Trebuchet MS"/>
          <w:color w:val="585858"/>
          <w:spacing w:val="-4"/>
          <w:sz w:val="18"/>
        </w:rPr>
        <w:t>40,0</w:t>
      </w:r>
    </w:p>
    <w:p w14:paraId="712E7DCD" w14:textId="77777777" w:rsidR="000E52B0" w:rsidRDefault="000E52B0">
      <w:pPr>
        <w:pStyle w:val="Textoindependiente"/>
        <w:spacing w:before="24"/>
        <w:ind w:left="0"/>
        <w:rPr>
          <w:rFonts w:ascii="Trebuchet MS"/>
          <w:sz w:val="18"/>
        </w:rPr>
      </w:pPr>
    </w:p>
    <w:p w14:paraId="1F9D03EE" w14:textId="77777777" w:rsidR="000E52B0" w:rsidRDefault="00F60D74">
      <w:pPr>
        <w:ind w:left="923"/>
        <w:rPr>
          <w:rFonts w:ascii="Trebuchet MS"/>
          <w:sz w:val="18"/>
        </w:rPr>
      </w:pPr>
      <w:r>
        <w:rPr>
          <w:rFonts w:ascii="Trebuchet MS"/>
          <w:color w:val="585858"/>
          <w:spacing w:val="-4"/>
          <w:sz w:val="18"/>
        </w:rPr>
        <w:t>30,0</w:t>
      </w:r>
    </w:p>
    <w:p w14:paraId="65AC8F02" w14:textId="77777777" w:rsidR="000E52B0" w:rsidRDefault="000E52B0">
      <w:pPr>
        <w:pStyle w:val="Textoindependiente"/>
        <w:spacing w:before="24"/>
        <w:ind w:left="0"/>
        <w:rPr>
          <w:rFonts w:ascii="Trebuchet MS"/>
          <w:sz w:val="18"/>
        </w:rPr>
      </w:pPr>
    </w:p>
    <w:p w14:paraId="27F73FDB" w14:textId="77777777" w:rsidR="000E52B0" w:rsidRDefault="00F60D74">
      <w:pPr>
        <w:ind w:left="923"/>
        <w:rPr>
          <w:rFonts w:ascii="Trebuchet MS"/>
          <w:sz w:val="18"/>
        </w:rPr>
      </w:pPr>
      <w:r>
        <w:rPr>
          <w:rFonts w:ascii="Trebuchet MS"/>
          <w:color w:val="585858"/>
          <w:spacing w:val="-4"/>
          <w:sz w:val="18"/>
        </w:rPr>
        <w:t>20,0</w:t>
      </w:r>
    </w:p>
    <w:p w14:paraId="53597F43" w14:textId="77777777" w:rsidR="000E52B0" w:rsidRDefault="000E52B0">
      <w:pPr>
        <w:pStyle w:val="Textoindependiente"/>
        <w:spacing w:before="24"/>
        <w:ind w:left="0"/>
        <w:rPr>
          <w:rFonts w:ascii="Trebuchet MS"/>
          <w:sz w:val="18"/>
        </w:rPr>
      </w:pPr>
    </w:p>
    <w:p w14:paraId="2B740ADA" w14:textId="77777777" w:rsidR="000E52B0" w:rsidRDefault="00F60D74">
      <w:pPr>
        <w:ind w:left="923"/>
        <w:rPr>
          <w:rFonts w:ascii="Trebuchet MS"/>
          <w:sz w:val="18"/>
        </w:rPr>
      </w:pPr>
      <w:r>
        <w:rPr>
          <w:rFonts w:ascii="Trebuchet MS"/>
          <w:color w:val="585858"/>
          <w:spacing w:val="-4"/>
          <w:sz w:val="18"/>
        </w:rPr>
        <w:t>10,0</w:t>
      </w:r>
    </w:p>
    <w:p w14:paraId="1DD11B0C" w14:textId="77777777" w:rsidR="000E52B0" w:rsidRDefault="000E52B0">
      <w:pPr>
        <w:pStyle w:val="Textoindependiente"/>
        <w:spacing w:before="24"/>
        <w:ind w:left="0"/>
        <w:rPr>
          <w:rFonts w:ascii="Trebuchet MS"/>
          <w:sz w:val="18"/>
        </w:rPr>
      </w:pPr>
    </w:p>
    <w:p w14:paraId="7A076AA1" w14:textId="77777777" w:rsidR="000E52B0" w:rsidRDefault="00F60D74">
      <w:pPr>
        <w:ind w:left="1019"/>
        <w:rPr>
          <w:rFonts w:ascii="Trebuchet MS"/>
          <w:sz w:val="18"/>
        </w:rPr>
      </w:pPr>
      <w:r>
        <w:rPr>
          <w:rFonts w:ascii="Trebuchet MS"/>
          <w:color w:val="585858"/>
          <w:spacing w:val="-5"/>
          <w:sz w:val="18"/>
        </w:rPr>
        <w:t>0,0</w:t>
      </w:r>
    </w:p>
    <w:p w14:paraId="0992A970" w14:textId="77777777" w:rsidR="000E52B0" w:rsidRDefault="00F60D74">
      <w:pPr>
        <w:spacing w:before="13"/>
        <w:ind w:left="1429"/>
        <w:rPr>
          <w:rFonts w:ascii="Trebuchet MS" w:hAnsi="Trebuchet MS"/>
          <w:sz w:val="16"/>
        </w:rPr>
      </w:pPr>
      <w:r>
        <w:rPr>
          <w:rFonts w:ascii="Trebuchet MS" w:hAnsi="Trebuchet MS"/>
          <w:color w:val="585858"/>
          <w:sz w:val="16"/>
        </w:rPr>
        <w:t>1991</w:t>
      </w:r>
      <w:r>
        <w:rPr>
          <w:rFonts w:ascii="Trebuchet MS" w:hAnsi="Trebuchet MS"/>
          <w:color w:val="585858"/>
          <w:spacing w:val="-14"/>
          <w:sz w:val="16"/>
        </w:rPr>
        <w:t xml:space="preserve"> </w:t>
      </w:r>
      <w:r>
        <w:rPr>
          <w:rFonts w:ascii="Trebuchet MS" w:hAnsi="Trebuchet MS"/>
          <w:color w:val="585858"/>
          <w:sz w:val="16"/>
        </w:rPr>
        <w:t>–</w:t>
      </w:r>
      <w:r>
        <w:rPr>
          <w:rFonts w:ascii="Trebuchet MS" w:hAnsi="Trebuchet MS"/>
          <w:color w:val="585858"/>
          <w:spacing w:val="-12"/>
          <w:sz w:val="16"/>
        </w:rPr>
        <w:t xml:space="preserve"> </w:t>
      </w:r>
      <w:r>
        <w:rPr>
          <w:rFonts w:ascii="Trebuchet MS" w:hAnsi="Trebuchet MS"/>
          <w:color w:val="585858"/>
          <w:sz w:val="16"/>
        </w:rPr>
        <w:t>1994</w:t>
      </w:r>
      <w:r>
        <w:rPr>
          <w:rFonts w:ascii="Trebuchet MS" w:hAnsi="Trebuchet MS"/>
          <w:color w:val="585858"/>
          <w:spacing w:val="48"/>
          <w:sz w:val="16"/>
        </w:rPr>
        <w:t xml:space="preserve"> </w:t>
      </w:r>
      <w:r>
        <w:rPr>
          <w:rFonts w:ascii="Trebuchet MS" w:hAnsi="Trebuchet MS"/>
          <w:color w:val="585858"/>
          <w:sz w:val="16"/>
        </w:rPr>
        <w:t>1994</w:t>
      </w:r>
      <w:r>
        <w:rPr>
          <w:rFonts w:ascii="Trebuchet MS" w:hAnsi="Trebuchet MS"/>
          <w:color w:val="585858"/>
          <w:spacing w:val="-15"/>
          <w:sz w:val="16"/>
        </w:rPr>
        <w:t xml:space="preserve"> </w:t>
      </w:r>
      <w:r>
        <w:rPr>
          <w:rFonts w:ascii="Trebuchet MS" w:hAnsi="Trebuchet MS"/>
          <w:color w:val="585858"/>
          <w:sz w:val="16"/>
        </w:rPr>
        <w:t>–</w:t>
      </w:r>
      <w:r>
        <w:rPr>
          <w:rFonts w:ascii="Trebuchet MS" w:hAnsi="Trebuchet MS"/>
          <w:color w:val="585858"/>
          <w:spacing w:val="-11"/>
          <w:sz w:val="16"/>
        </w:rPr>
        <w:t xml:space="preserve"> </w:t>
      </w:r>
      <w:r>
        <w:rPr>
          <w:rFonts w:ascii="Trebuchet MS" w:hAnsi="Trebuchet MS"/>
          <w:color w:val="585858"/>
          <w:sz w:val="16"/>
        </w:rPr>
        <w:t>1998</w:t>
      </w:r>
      <w:r>
        <w:rPr>
          <w:rFonts w:ascii="Trebuchet MS" w:hAnsi="Trebuchet MS"/>
          <w:color w:val="585858"/>
          <w:spacing w:val="28"/>
          <w:sz w:val="16"/>
        </w:rPr>
        <w:t xml:space="preserve"> </w:t>
      </w:r>
      <w:r>
        <w:rPr>
          <w:rFonts w:ascii="Trebuchet MS" w:hAnsi="Trebuchet MS"/>
          <w:color w:val="585858"/>
          <w:sz w:val="16"/>
        </w:rPr>
        <w:t>1998</w:t>
      </w:r>
      <w:r>
        <w:rPr>
          <w:rFonts w:ascii="Trebuchet MS" w:hAnsi="Trebuchet MS"/>
          <w:color w:val="585858"/>
          <w:spacing w:val="-15"/>
          <w:sz w:val="16"/>
        </w:rPr>
        <w:t xml:space="preserve"> </w:t>
      </w:r>
      <w:r>
        <w:rPr>
          <w:rFonts w:ascii="Trebuchet MS" w:hAnsi="Trebuchet MS"/>
          <w:color w:val="585858"/>
          <w:sz w:val="16"/>
        </w:rPr>
        <w:t>–</w:t>
      </w:r>
      <w:r>
        <w:rPr>
          <w:rFonts w:ascii="Trebuchet MS" w:hAnsi="Trebuchet MS"/>
          <w:color w:val="585858"/>
          <w:spacing w:val="-12"/>
          <w:sz w:val="16"/>
        </w:rPr>
        <w:t xml:space="preserve"> </w:t>
      </w:r>
      <w:r>
        <w:rPr>
          <w:rFonts w:ascii="Trebuchet MS" w:hAnsi="Trebuchet MS"/>
          <w:color w:val="585858"/>
          <w:sz w:val="16"/>
        </w:rPr>
        <w:t>2002</w:t>
      </w:r>
      <w:r>
        <w:rPr>
          <w:rFonts w:ascii="Trebuchet MS" w:hAnsi="Trebuchet MS"/>
          <w:color w:val="585858"/>
          <w:spacing w:val="28"/>
          <w:sz w:val="16"/>
        </w:rPr>
        <w:t xml:space="preserve"> </w:t>
      </w:r>
      <w:r>
        <w:rPr>
          <w:rFonts w:ascii="Trebuchet MS" w:hAnsi="Trebuchet MS"/>
          <w:color w:val="585858"/>
          <w:sz w:val="16"/>
        </w:rPr>
        <w:t>2002</w:t>
      </w:r>
      <w:r>
        <w:rPr>
          <w:rFonts w:ascii="Trebuchet MS" w:hAnsi="Trebuchet MS"/>
          <w:color w:val="585858"/>
          <w:spacing w:val="-15"/>
          <w:sz w:val="16"/>
        </w:rPr>
        <w:t xml:space="preserve"> </w:t>
      </w:r>
      <w:r>
        <w:rPr>
          <w:rFonts w:ascii="Trebuchet MS" w:hAnsi="Trebuchet MS"/>
          <w:color w:val="585858"/>
          <w:sz w:val="16"/>
        </w:rPr>
        <w:t>–</w:t>
      </w:r>
      <w:r>
        <w:rPr>
          <w:rFonts w:ascii="Trebuchet MS" w:hAnsi="Trebuchet MS"/>
          <w:color w:val="585858"/>
          <w:spacing w:val="-11"/>
          <w:sz w:val="16"/>
        </w:rPr>
        <w:t xml:space="preserve"> </w:t>
      </w:r>
      <w:r>
        <w:rPr>
          <w:rFonts w:ascii="Trebuchet MS" w:hAnsi="Trebuchet MS"/>
          <w:color w:val="585858"/>
          <w:sz w:val="16"/>
        </w:rPr>
        <w:t>2006</w:t>
      </w:r>
      <w:r>
        <w:rPr>
          <w:rFonts w:ascii="Trebuchet MS" w:hAnsi="Trebuchet MS"/>
          <w:color w:val="585858"/>
          <w:spacing w:val="9"/>
          <w:sz w:val="16"/>
        </w:rPr>
        <w:t xml:space="preserve"> </w:t>
      </w:r>
      <w:r>
        <w:rPr>
          <w:rFonts w:ascii="Trebuchet MS" w:hAnsi="Trebuchet MS"/>
          <w:color w:val="585858"/>
          <w:sz w:val="16"/>
        </w:rPr>
        <w:t>2006</w:t>
      </w:r>
      <w:r>
        <w:rPr>
          <w:rFonts w:ascii="Trebuchet MS" w:hAnsi="Trebuchet MS"/>
          <w:color w:val="585858"/>
          <w:spacing w:val="-15"/>
          <w:sz w:val="16"/>
        </w:rPr>
        <w:t xml:space="preserve"> </w:t>
      </w:r>
      <w:r>
        <w:rPr>
          <w:rFonts w:ascii="Trebuchet MS" w:hAnsi="Trebuchet MS"/>
          <w:color w:val="585858"/>
          <w:sz w:val="16"/>
        </w:rPr>
        <w:t>–</w:t>
      </w:r>
      <w:r>
        <w:rPr>
          <w:rFonts w:ascii="Trebuchet MS" w:hAnsi="Trebuchet MS"/>
          <w:color w:val="585858"/>
          <w:spacing w:val="-12"/>
          <w:sz w:val="16"/>
        </w:rPr>
        <w:t xml:space="preserve"> </w:t>
      </w:r>
      <w:r>
        <w:rPr>
          <w:rFonts w:ascii="Trebuchet MS" w:hAnsi="Trebuchet MS"/>
          <w:color w:val="585858"/>
          <w:sz w:val="16"/>
        </w:rPr>
        <w:t>2010</w:t>
      </w:r>
      <w:r>
        <w:rPr>
          <w:rFonts w:ascii="Trebuchet MS" w:hAnsi="Trebuchet MS"/>
          <w:color w:val="585858"/>
          <w:spacing w:val="48"/>
          <w:sz w:val="16"/>
        </w:rPr>
        <w:t xml:space="preserve"> </w:t>
      </w:r>
      <w:r>
        <w:rPr>
          <w:rFonts w:ascii="Trebuchet MS" w:hAnsi="Trebuchet MS"/>
          <w:color w:val="585858"/>
          <w:sz w:val="16"/>
        </w:rPr>
        <w:t>2010</w:t>
      </w:r>
      <w:r>
        <w:rPr>
          <w:rFonts w:ascii="Trebuchet MS" w:hAnsi="Trebuchet MS"/>
          <w:color w:val="585858"/>
          <w:spacing w:val="-15"/>
          <w:sz w:val="16"/>
        </w:rPr>
        <w:t xml:space="preserve"> </w:t>
      </w:r>
      <w:r>
        <w:rPr>
          <w:rFonts w:ascii="Trebuchet MS" w:hAnsi="Trebuchet MS"/>
          <w:color w:val="585858"/>
          <w:sz w:val="16"/>
        </w:rPr>
        <w:t>–</w:t>
      </w:r>
      <w:r>
        <w:rPr>
          <w:rFonts w:ascii="Trebuchet MS" w:hAnsi="Trebuchet MS"/>
          <w:color w:val="585858"/>
          <w:spacing w:val="-11"/>
          <w:sz w:val="16"/>
        </w:rPr>
        <w:t xml:space="preserve"> </w:t>
      </w:r>
      <w:r>
        <w:rPr>
          <w:rFonts w:ascii="Trebuchet MS" w:hAnsi="Trebuchet MS"/>
          <w:color w:val="585858"/>
          <w:sz w:val="16"/>
        </w:rPr>
        <w:t>2014</w:t>
      </w:r>
      <w:r>
        <w:rPr>
          <w:rFonts w:ascii="Trebuchet MS" w:hAnsi="Trebuchet MS"/>
          <w:color w:val="585858"/>
          <w:spacing w:val="40"/>
          <w:sz w:val="16"/>
        </w:rPr>
        <w:t xml:space="preserve"> </w:t>
      </w:r>
      <w:r>
        <w:rPr>
          <w:rFonts w:ascii="Trebuchet MS" w:hAnsi="Trebuchet MS"/>
          <w:color w:val="585858"/>
          <w:sz w:val="16"/>
        </w:rPr>
        <w:t>2014</w:t>
      </w:r>
      <w:r>
        <w:rPr>
          <w:rFonts w:ascii="Trebuchet MS" w:hAnsi="Trebuchet MS"/>
          <w:color w:val="585858"/>
          <w:spacing w:val="-11"/>
          <w:sz w:val="16"/>
        </w:rPr>
        <w:t xml:space="preserve"> </w:t>
      </w:r>
      <w:r>
        <w:rPr>
          <w:rFonts w:ascii="Trebuchet MS" w:hAnsi="Trebuchet MS"/>
          <w:color w:val="585858"/>
          <w:sz w:val="16"/>
        </w:rPr>
        <w:t>-</w:t>
      </w:r>
      <w:r>
        <w:rPr>
          <w:rFonts w:ascii="Trebuchet MS" w:hAnsi="Trebuchet MS"/>
          <w:color w:val="585858"/>
          <w:spacing w:val="-11"/>
          <w:sz w:val="16"/>
        </w:rPr>
        <w:t xml:space="preserve"> </w:t>
      </w:r>
      <w:r>
        <w:rPr>
          <w:rFonts w:ascii="Trebuchet MS" w:hAnsi="Trebuchet MS"/>
          <w:color w:val="585858"/>
          <w:sz w:val="16"/>
        </w:rPr>
        <w:t>2018</w:t>
      </w:r>
      <w:r>
        <w:rPr>
          <w:rFonts w:ascii="Trebuchet MS" w:hAnsi="Trebuchet MS"/>
          <w:color w:val="585858"/>
          <w:spacing w:val="42"/>
          <w:sz w:val="16"/>
        </w:rPr>
        <w:t xml:space="preserve"> </w:t>
      </w:r>
      <w:r>
        <w:rPr>
          <w:rFonts w:ascii="Trebuchet MS" w:hAnsi="Trebuchet MS"/>
          <w:color w:val="585858"/>
          <w:sz w:val="16"/>
        </w:rPr>
        <w:t>2018</w:t>
      </w:r>
      <w:r>
        <w:rPr>
          <w:rFonts w:ascii="Trebuchet MS" w:hAnsi="Trebuchet MS"/>
          <w:color w:val="585858"/>
          <w:spacing w:val="-15"/>
          <w:sz w:val="16"/>
        </w:rPr>
        <w:t xml:space="preserve"> </w:t>
      </w:r>
      <w:r>
        <w:rPr>
          <w:rFonts w:ascii="Trebuchet MS" w:hAnsi="Trebuchet MS"/>
          <w:color w:val="585858"/>
          <w:sz w:val="16"/>
        </w:rPr>
        <w:t>–</w:t>
      </w:r>
      <w:r>
        <w:rPr>
          <w:rFonts w:ascii="Trebuchet MS" w:hAnsi="Trebuchet MS"/>
          <w:color w:val="585858"/>
          <w:spacing w:val="-12"/>
          <w:sz w:val="16"/>
        </w:rPr>
        <w:t xml:space="preserve"> </w:t>
      </w:r>
      <w:r>
        <w:rPr>
          <w:rFonts w:ascii="Trebuchet MS" w:hAnsi="Trebuchet MS"/>
          <w:color w:val="585858"/>
          <w:sz w:val="16"/>
        </w:rPr>
        <w:t>2022</w:t>
      </w:r>
      <w:r>
        <w:rPr>
          <w:rFonts w:ascii="Trebuchet MS" w:hAnsi="Trebuchet MS"/>
          <w:color w:val="585858"/>
          <w:spacing w:val="41"/>
          <w:sz w:val="16"/>
        </w:rPr>
        <w:t xml:space="preserve"> </w:t>
      </w:r>
      <w:r>
        <w:rPr>
          <w:rFonts w:ascii="Trebuchet MS" w:hAnsi="Trebuchet MS"/>
          <w:color w:val="585858"/>
          <w:sz w:val="16"/>
        </w:rPr>
        <w:t>2022</w:t>
      </w:r>
      <w:r>
        <w:rPr>
          <w:rFonts w:ascii="Trebuchet MS" w:hAnsi="Trebuchet MS"/>
          <w:color w:val="585858"/>
          <w:spacing w:val="-11"/>
          <w:sz w:val="16"/>
        </w:rPr>
        <w:t xml:space="preserve"> </w:t>
      </w:r>
      <w:r>
        <w:rPr>
          <w:rFonts w:ascii="Trebuchet MS" w:hAnsi="Trebuchet MS"/>
          <w:color w:val="585858"/>
          <w:sz w:val="16"/>
        </w:rPr>
        <w:t>-</w:t>
      </w:r>
      <w:r>
        <w:rPr>
          <w:rFonts w:ascii="Trebuchet MS" w:hAnsi="Trebuchet MS"/>
          <w:color w:val="585858"/>
          <w:spacing w:val="-12"/>
          <w:sz w:val="16"/>
        </w:rPr>
        <w:t xml:space="preserve"> </w:t>
      </w:r>
      <w:r>
        <w:rPr>
          <w:rFonts w:ascii="Trebuchet MS" w:hAnsi="Trebuchet MS"/>
          <w:color w:val="585858"/>
          <w:spacing w:val="-4"/>
          <w:sz w:val="16"/>
        </w:rPr>
        <w:t>2026</w:t>
      </w:r>
    </w:p>
    <w:p w14:paraId="5A7AE668" w14:textId="77777777" w:rsidR="000E52B0" w:rsidRDefault="000E52B0">
      <w:pPr>
        <w:pStyle w:val="Textoindependiente"/>
        <w:spacing w:before="1"/>
        <w:ind w:left="0"/>
        <w:rPr>
          <w:rFonts w:ascii="Trebuchet MS"/>
          <w:sz w:val="16"/>
        </w:rPr>
      </w:pPr>
    </w:p>
    <w:p w14:paraId="37E610E1" w14:textId="77777777" w:rsidR="000E52B0" w:rsidRDefault="00F60D74">
      <w:pPr>
        <w:tabs>
          <w:tab w:val="left" w:pos="3062"/>
          <w:tab w:val="left" w:pos="5037"/>
        </w:tabs>
        <w:ind w:left="61"/>
        <w:jc w:val="center"/>
        <w:rPr>
          <w:rFonts w:ascii="Trebuchet MS" w:hAnsi="Trebuchet MS"/>
          <w:sz w:val="18"/>
        </w:rPr>
      </w:pPr>
      <w:r>
        <w:rPr>
          <w:rFonts w:ascii="Trebuchet MS" w:hAnsi="Trebuchet MS"/>
          <w:noProof/>
          <w:sz w:val="18"/>
        </w:rPr>
        <mc:AlternateContent>
          <mc:Choice Requires="wps">
            <w:drawing>
              <wp:anchor distT="0" distB="0" distL="0" distR="0" simplePos="0" relativeHeight="482292224" behindDoc="1" locked="0" layoutInCell="1" allowOverlap="1" wp14:anchorId="54AC8361" wp14:editId="793900D1">
                <wp:simplePos x="0" y="0"/>
                <wp:positionH relativeFrom="page">
                  <wp:posOffset>4918964</wp:posOffset>
                </wp:positionH>
                <wp:positionV relativeFrom="paragraph">
                  <wp:posOffset>76021</wp:posOffset>
                </wp:positionV>
                <wp:extent cx="243840" cy="1270"/>
                <wp:effectExtent l="0" t="0" r="0" b="0"/>
                <wp:wrapNone/>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839" y="0"/>
                              </a:lnTo>
                            </a:path>
                          </a:pathLst>
                        </a:custGeom>
                        <a:ln w="28575">
                          <a:solidFill>
                            <a:srgbClr val="36C7C5"/>
                          </a:solidFill>
                          <a:prstDash val="solid"/>
                        </a:ln>
                      </wps:spPr>
                      <wps:bodyPr wrap="square" lIns="0" tIns="0" rIns="0" bIns="0" rtlCol="0">
                        <a:prstTxWarp prst="textNoShape">
                          <a:avLst/>
                        </a:prstTxWarp>
                        <a:noAutofit/>
                      </wps:bodyPr>
                    </wps:wsp>
                  </a:graphicData>
                </a:graphic>
              </wp:anchor>
            </w:drawing>
          </mc:Choice>
          <mc:Fallback>
            <w:pict>
              <v:shape w14:anchorId="3341EBA6" id="Graphic 525" o:spid="_x0000_s1026" style="position:absolute;margin-left:387.3pt;margin-top:6pt;width:19.2pt;height:.1pt;z-index:-21024256;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" path="m,l243839,e" filled="f" strokecolor="#36c7c5" strokeweight="2.25pt">
                <v:path arrowok="t"/>
                <w10:wrap anchorx="page"/>
              </v:shape>
            </w:pict>
          </mc:Fallback>
        </mc:AlternateContent>
      </w:r>
      <w:r>
        <w:rPr>
          <w:noProof/>
        </w:rPr>
        <w:drawing>
          <wp:inline distT="0" distB="0" distL="0" distR="0" wp14:anchorId="1AE1574D" wp14:editId="51DEE4BC">
            <wp:extent cx="243839" cy="62779"/>
            <wp:effectExtent l="0" t="0" r="0" b="0"/>
            <wp:docPr id="526" name="Imag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r:embed="rId175" cstate="print"/>
                    <a:stretch>
                      <a:fillRect/>
                    </a:stretch>
                  </pic:blipFill>
                  <pic:spPr>
                    <a:xfrm>
                      <a:off x="0" y="0"/>
                      <a:ext cx="243839" cy="62779"/>
                    </a:xfrm>
                    <a:prstGeom prst="rect">
                      <a:avLst/>
                    </a:prstGeom>
                  </pic:spPr>
                </pic:pic>
              </a:graphicData>
            </a:graphic>
          </wp:inline>
        </w:drawing>
      </w:r>
      <w:r>
        <w:rPr>
          <w:rFonts w:ascii="Times New Roman" w:hAnsi="Times New Roman"/>
          <w:spacing w:val="-4"/>
          <w:sz w:val="20"/>
        </w:rPr>
        <w:t xml:space="preserve"> </w:t>
      </w:r>
      <w:r>
        <w:rPr>
          <w:rFonts w:ascii="Trebuchet MS" w:hAnsi="Trebuchet MS"/>
          <w:color w:val="585858"/>
          <w:spacing w:val="-2"/>
          <w:w w:val="105"/>
          <w:sz w:val="18"/>
        </w:rPr>
        <w:t>%Cámara</w:t>
      </w:r>
      <w:r>
        <w:rPr>
          <w:rFonts w:ascii="Trebuchet MS" w:hAnsi="Trebuchet MS"/>
          <w:color w:val="585858"/>
          <w:spacing w:val="-16"/>
          <w:w w:val="105"/>
          <w:sz w:val="18"/>
        </w:rPr>
        <w:t xml:space="preserve"> </w:t>
      </w:r>
      <w:r>
        <w:rPr>
          <w:rFonts w:ascii="Trebuchet MS" w:hAnsi="Trebuchet MS"/>
          <w:color w:val="585858"/>
          <w:spacing w:val="-2"/>
          <w:w w:val="105"/>
          <w:sz w:val="18"/>
        </w:rPr>
        <w:t>de</w:t>
      </w:r>
      <w:r>
        <w:rPr>
          <w:rFonts w:ascii="Trebuchet MS" w:hAnsi="Trebuchet MS"/>
          <w:color w:val="585858"/>
          <w:spacing w:val="-18"/>
          <w:w w:val="105"/>
          <w:sz w:val="18"/>
        </w:rPr>
        <w:t xml:space="preserve"> </w:t>
      </w:r>
      <w:r>
        <w:rPr>
          <w:rFonts w:ascii="Trebuchet MS" w:hAnsi="Trebuchet MS"/>
          <w:color w:val="585858"/>
          <w:spacing w:val="-2"/>
          <w:w w:val="105"/>
          <w:sz w:val="18"/>
        </w:rPr>
        <w:t>representantes</w:t>
      </w:r>
      <w:r>
        <w:rPr>
          <w:rFonts w:ascii="Trebuchet MS" w:hAnsi="Trebuchet MS"/>
          <w:color w:val="585858"/>
          <w:sz w:val="18"/>
        </w:rPr>
        <w:tab/>
      </w:r>
      <w:r>
        <w:rPr>
          <w:rFonts w:ascii="Trebuchet MS" w:hAnsi="Trebuchet MS"/>
          <w:noProof/>
          <w:color w:val="585858"/>
          <w:sz w:val="18"/>
        </w:rPr>
        <w:drawing>
          <wp:inline distT="0" distB="0" distL="0" distR="0" wp14:anchorId="6EF9F03D" wp14:editId="05823C3D">
            <wp:extent cx="243839" cy="62779"/>
            <wp:effectExtent l="0" t="0" r="0" b="0"/>
            <wp:docPr id="527" name="Image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 name="Image 527"/>
                    <pic:cNvPicPr/>
                  </pic:nvPicPr>
                  <pic:blipFill>
                    <a:blip r:embed="rId176" cstate="print"/>
                    <a:stretch>
                      <a:fillRect/>
                    </a:stretch>
                  </pic:blipFill>
                  <pic:spPr>
                    <a:xfrm>
                      <a:off x="0" y="0"/>
                      <a:ext cx="243839" cy="62779"/>
                    </a:xfrm>
                    <a:prstGeom prst="rect">
                      <a:avLst/>
                    </a:prstGeom>
                  </pic:spPr>
                </pic:pic>
              </a:graphicData>
            </a:graphic>
          </wp:inline>
        </w:drawing>
      </w:r>
      <w:r>
        <w:rPr>
          <w:rFonts w:ascii="Times New Roman" w:hAnsi="Times New Roman"/>
          <w:color w:val="585858"/>
          <w:spacing w:val="7"/>
          <w:w w:val="110"/>
          <w:sz w:val="18"/>
        </w:rPr>
        <w:t xml:space="preserve"> </w:t>
      </w:r>
      <w:r>
        <w:rPr>
          <w:rFonts w:ascii="Trebuchet MS" w:hAnsi="Trebuchet MS"/>
          <w:color w:val="585858"/>
          <w:w w:val="110"/>
          <w:sz w:val="18"/>
        </w:rPr>
        <w:t>%</w:t>
      </w:r>
      <w:r>
        <w:rPr>
          <w:rFonts w:ascii="Trebuchet MS" w:hAnsi="Trebuchet MS"/>
          <w:color w:val="585858"/>
          <w:spacing w:val="-10"/>
          <w:w w:val="110"/>
          <w:sz w:val="18"/>
        </w:rPr>
        <w:t xml:space="preserve"> </w:t>
      </w:r>
      <w:r>
        <w:rPr>
          <w:rFonts w:ascii="Trebuchet MS" w:hAnsi="Trebuchet MS"/>
          <w:color w:val="585858"/>
          <w:w w:val="110"/>
          <w:sz w:val="18"/>
        </w:rPr>
        <w:t>Senado</w:t>
      </w:r>
      <w:r>
        <w:rPr>
          <w:rFonts w:ascii="Trebuchet MS" w:hAnsi="Trebuchet MS"/>
          <w:color w:val="585858"/>
          <w:sz w:val="18"/>
        </w:rPr>
        <w:tab/>
      </w:r>
      <w:r>
        <w:rPr>
          <w:rFonts w:ascii="Trebuchet MS" w:hAnsi="Trebuchet MS"/>
          <w:color w:val="585858"/>
          <w:spacing w:val="-2"/>
          <w:w w:val="110"/>
          <w:sz w:val="18"/>
        </w:rPr>
        <w:t>Paridad</w:t>
      </w:r>
    </w:p>
    <w:p w14:paraId="10224D33" w14:textId="77777777" w:rsidR="000E52B0" w:rsidRDefault="00F60D74">
      <w:pPr>
        <w:spacing w:before="201"/>
        <w:ind w:left="2"/>
        <w:jc w:val="center"/>
        <w:rPr>
          <w:position w:val="6"/>
          <w:sz w:val="12"/>
        </w:rPr>
      </w:pPr>
      <w:r>
        <w:rPr>
          <w:sz w:val="18"/>
        </w:rPr>
        <w:t>Fuente:</w:t>
      </w:r>
      <w:r>
        <w:rPr>
          <w:spacing w:val="-3"/>
          <w:sz w:val="18"/>
        </w:rPr>
        <w:t xml:space="preserve"> </w:t>
      </w:r>
      <w:r>
        <w:rPr>
          <w:sz w:val="18"/>
        </w:rPr>
        <w:t>Adaptado</w:t>
      </w:r>
      <w:r>
        <w:rPr>
          <w:spacing w:val="-1"/>
          <w:sz w:val="18"/>
        </w:rPr>
        <w:t xml:space="preserve"> </w:t>
      </w:r>
      <w:r>
        <w:rPr>
          <w:sz w:val="18"/>
        </w:rPr>
        <w:t>de</w:t>
      </w:r>
      <w:r>
        <w:rPr>
          <w:spacing w:val="-1"/>
          <w:sz w:val="18"/>
        </w:rPr>
        <w:t xml:space="preserve"> </w:t>
      </w:r>
      <w:r>
        <w:rPr>
          <w:sz w:val="18"/>
        </w:rPr>
        <w:t>Bernal-Olarte,</w:t>
      </w:r>
      <w:r>
        <w:rPr>
          <w:spacing w:val="-3"/>
          <w:sz w:val="18"/>
        </w:rPr>
        <w:t xml:space="preserve"> </w:t>
      </w:r>
      <w:r>
        <w:rPr>
          <w:sz w:val="18"/>
        </w:rPr>
        <w:t>F.,</w:t>
      </w:r>
      <w:r>
        <w:rPr>
          <w:spacing w:val="-4"/>
          <w:sz w:val="18"/>
        </w:rPr>
        <w:t xml:space="preserve"> </w:t>
      </w:r>
      <w:r>
        <w:rPr>
          <w:sz w:val="18"/>
        </w:rPr>
        <w:t>Calderón</w:t>
      </w:r>
      <w:r>
        <w:rPr>
          <w:spacing w:val="-1"/>
          <w:sz w:val="18"/>
        </w:rPr>
        <w:t xml:space="preserve"> </w:t>
      </w:r>
      <w:r>
        <w:rPr>
          <w:sz w:val="18"/>
        </w:rPr>
        <w:t>Rey,</w:t>
      </w:r>
      <w:r>
        <w:rPr>
          <w:spacing w:val="-3"/>
          <w:sz w:val="18"/>
        </w:rPr>
        <w:t xml:space="preserve"> </w:t>
      </w:r>
      <w:r>
        <w:rPr>
          <w:sz w:val="18"/>
        </w:rPr>
        <w:t>K.</w:t>
      </w:r>
      <w:r>
        <w:rPr>
          <w:spacing w:val="-4"/>
          <w:sz w:val="18"/>
        </w:rPr>
        <w:t xml:space="preserve"> </w:t>
      </w:r>
      <w:r>
        <w:rPr>
          <w:sz w:val="18"/>
        </w:rPr>
        <w:t>&amp;</w:t>
      </w:r>
      <w:r>
        <w:rPr>
          <w:spacing w:val="1"/>
          <w:sz w:val="18"/>
        </w:rPr>
        <w:t xml:space="preserve"> </w:t>
      </w:r>
      <w:proofErr w:type="spellStart"/>
      <w:r>
        <w:rPr>
          <w:sz w:val="18"/>
        </w:rPr>
        <w:t>Bajonero</w:t>
      </w:r>
      <w:proofErr w:type="spellEnd"/>
      <w:r>
        <w:rPr>
          <w:spacing w:val="-2"/>
          <w:sz w:val="18"/>
        </w:rPr>
        <w:t xml:space="preserve"> </w:t>
      </w:r>
      <w:r>
        <w:rPr>
          <w:sz w:val="18"/>
        </w:rPr>
        <w:t>López</w:t>
      </w:r>
      <w:r>
        <w:rPr>
          <w:spacing w:val="-3"/>
          <w:sz w:val="18"/>
        </w:rPr>
        <w:t xml:space="preserve"> </w:t>
      </w:r>
      <w:r>
        <w:rPr>
          <w:sz w:val="18"/>
        </w:rPr>
        <w:t>D.,</w:t>
      </w:r>
      <w:r>
        <w:rPr>
          <w:spacing w:val="-3"/>
          <w:sz w:val="18"/>
        </w:rPr>
        <w:t xml:space="preserve"> </w:t>
      </w:r>
      <w:r>
        <w:rPr>
          <w:spacing w:val="-4"/>
          <w:sz w:val="18"/>
        </w:rPr>
        <w:t>C.</w:t>
      </w:r>
      <w:hyperlink w:anchor="_bookmark67" w:history="1">
        <w:r w:rsidR="000E52B0">
          <w:rPr>
            <w:spacing w:val="-4"/>
            <w:position w:val="6"/>
            <w:sz w:val="12"/>
          </w:rPr>
          <w:t>58</w:t>
        </w:r>
      </w:hyperlink>
    </w:p>
    <w:p w14:paraId="0EF85F9E" w14:textId="77777777" w:rsidR="000E52B0" w:rsidRDefault="00F60D74">
      <w:pPr>
        <w:pStyle w:val="Textoindependiente"/>
        <w:spacing w:before="160"/>
      </w:pPr>
      <w:r>
        <w:t>Como se anotó anteriormente la Ley de cuotas se empezó a aplicar en las elecciones</w:t>
      </w:r>
      <w:r>
        <w:rPr>
          <w:spacing w:val="-18"/>
        </w:rPr>
        <w:t xml:space="preserve"> </w:t>
      </w:r>
      <w:r>
        <w:t>legislativas</w:t>
      </w:r>
      <w:r>
        <w:rPr>
          <w:spacing w:val="-18"/>
        </w:rPr>
        <w:t xml:space="preserve"> </w:t>
      </w:r>
      <w:r>
        <w:t>de</w:t>
      </w:r>
      <w:r>
        <w:rPr>
          <w:spacing w:val="-16"/>
        </w:rPr>
        <w:t xml:space="preserve"> </w:t>
      </w:r>
      <w:r>
        <w:t>2014,</w:t>
      </w:r>
      <w:r>
        <w:rPr>
          <w:spacing w:val="-18"/>
        </w:rPr>
        <w:t xml:space="preserve"> </w:t>
      </w:r>
      <w:r>
        <w:t>pero</w:t>
      </w:r>
      <w:r>
        <w:rPr>
          <w:spacing w:val="-18"/>
        </w:rPr>
        <w:t xml:space="preserve"> </w:t>
      </w:r>
      <w:r>
        <w:t>el</w:t>
      </w:r>
      <w:r>
        <w:rPr>
          <w:spacing w:val="-21"/>
        </w:rPr>
        <w:t xml:space="preserve"> </w:t>
      </w:r>
      <w:r>
        <w:t>aumento</w:t>
      </w:r>
      <w:r>
        <w:rPr>
          <w:spacing w:val="-17"/>
        </w:rPr>
        <w:t xml:space="preserve"> </w:t>
      </w:r>
      <w:r>
        <w:t>de</w:t>
      </w:r>
      <w:r>
        <w:rPr>
          <w:spacing w:val="-16"/>
        </w:rPr>
        <w:t xml:space="preserve"> </w:t>
      </w:r>
      <w:r>
        <w:t>mujeres</w:t>
      </w:r>
      <w:r>
        <w:rPr>
          <w:spacing w:val="-18"/>
        </w:rPr>
        <w:t xml:space="preserve"> </w:t>
      </w:r>
      <w:r>
        <w:t>electas</w:t>
      </w:r>
      <w:r>
        <w:rPr>
          <w:spacing w:val="-18"/>
        </w:rPr>
        <w:t xml:space="preserve"> </w:t>
      </w:r>
      <w:r>
        <w:t>ha</w:t>
      </w:r>
      <w:r>
        <w:rPr>
          <w:spacing w:val="-17"/>
        </w:rPr>
        <w:t xml:space="preserve"> </w:t>
      </w:r>
      <w:r>
        <w:rPr>
          <w:spacing w:val="-4"/>
        </w:rPr>
        <w:t>sido</w:t>
      </w:r>
    </w:p>
    <w:p w14:paraId="6978EBD0" w14:textId="77777777" w:rsidR="000E52B0" w:rsidRDefault="00F60D74">
      <w:pPr>
        <w:pStyle w:val="Textoindependiente"/>
        <w:spacing w:before="10"/>
        <w:ind w:left="0"/>
        <w:rPr>
          <w:sz w:val="19"/>
        </w:rPr>
      </w:pPr>
      <w:r>
        <w:rPr>
          <w:noProof/>
          <w:sz w:val="19"/>
        </w:rPr>
        <mc:AlternateContent>
          <mc:Choice Requires="wps">
            <w:drawing>
              <wp:anchor distT="0" distB="0" distL="0" distR="0" simplePos="0" relativeHeight="487650304" behindDoc="1" locked="0" layoutInCell="1" allowOverlap="1" wp14:anchorId="704DAF2C" wp14:editId="6F4621F8">
                <wp:simplePos x="0" y="0"/>
                <wp:positionH relativeFrom="page">
                  <wp:posOffset>914704</wp:posOffset>
                </wp:positionH>
                <wp:positionV relativeFrom="paragraph">
                  <wp:posOffset>168399</wp:posOffset>
                </wp:positionV>
                <wp:extent cx="1829435" cy="7620"/>
                <wp:effectExtent l="0" t="0" r="0" b="0"/>
                <wp:wrapTopAndBottom/>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D849E3" id="Graphic 528" o:spid="_x0000_s1026" style="position:absolute;margin-left:1in;margin-top:13.25pt;width:144.05pt;height:.6pt;z-index:-156661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" path="m1829054,l,,,7619r1829054,l1829054,xe" fillcolor="black" stroked="f">
                <v:path arrowok="t"/>
                <w10:wrap type="topAndBottom" anchorx="page"/>
              </v:shape>
            </w:pict>
          </mc:Fallback>
        </mc:AlternateContent>
      </w:r>
    </w:p>
    <w:p w14:paraId="5EFB8C56" w14:textId="77777777" w:rsidR="000E52B0" w:rsidRDefault="00F60D74">
      <w:pPr>
        <w:spacing w:before="96"/>
        <w:ind w:left="720" w:right="710"/>
        <w:jc w:val="both"/>
        <w:rPr>
          <w:rFonts w:ascii="Arial MT" w:hAnsi="Arial MT"/>
          <w:sz w:val="18"/>
        </w:rPr>
      </w:pPr>
      <w:bookmarkStart w:id="65" w:name="_bookmark65"/>
      <w:bookmarkEnd w:id="65"/>
      <w:r>
        <w:rPr>
          <w:rFonts w:ascii="Arial MT" w:hAnsi="Arial MT"/>
          <w:position w:val="6"/>
          <w:sz w:val="12"/>
        </w:rPr>
        <w:t>56</w:t>
      </w:r>
      <w:r>
        <w:rPr>
          <w:rFonts w:ascii="Arial MT" w:hAnsi="Arial MT"/>
          <w:spacing w:val="6"/>
          <w:position w:val="6"/>
          <w:sz w:val="12"/>
        </w:rPr>
        <w:t xml:space="preserve"> </w:t>
      </w:r>
      <w:r>
        <w:rPr>
          <w:rFonts w:ascii="Arial MT" w:hAnsi="Arial MT"/>
          <w:sz w:val="18"/>
        </w:rPr>
        <w:t>Bernal-Olarte,</w:t>
      </w:r>
      <w:r>
        <w:rPr>
          <w:rFonts w:ascii="Arial MT" w:hAnsi="Arial MT"/>
          <w:spacing w:val="-10"/>
          <w:sz w:val="18"/>
        </w:rPr>
        <w:t xml:space="preserve"> </w:t>
      </w:r>
      <w:r>
        <w:rPr>
          <w:rFonts w:ascii="Arial MT" w:hAnsi="Arial MT"/>
          <w:sz w:val="18"/>
        </w:rPr>
        <w:t>F.,</w:t>
      </w:r>
      <w:r>
        <w:rPr>
          <w:rFonts w:ascii="Arial MT" w:hAnsi="Arial MT"/>
          <w:spacing w:val="-10"/>
          <w:sz w:val="18"/>
        </w:rPr>
        <w:t xml:space="preserve"> </w:t>
      </w:r>
      <w:r>
        <w:rPr>
          <w:rFonts w:ascii="Arial MT" w:hAnsi="Arial MT"/>
          <w:sz w:val="18"/>
        </w:rPr>
        <w:t>Calderón</w:t>
      </w:r>
      <w:r>
        <w:rPr>
          <w:rFonts w:ascii="Arial MT" w:hAnsi="Arial MT"/>
          <w:spacing w:val="-10"/>
          <w:sz w:val="18"/>
        </w:rPr>
        <w:t xml:space="preserve"> </w:t>
      </w:r>
      <w:r>
        <w:rPr>
          <w:rFonts w:ascii="Arial MT" w:hAnsi="Arial MT"/>
          <w:sz w:val="18"/>
        </w:rPr>
        <w:t>Rey,</w:t>
      </w:r>
      <w:r>
        <w:rPr>
          <w:rFonts w:ascii="Arial MT" w:hAnsi="Arial MT"/>
          <w:spacing w:val="-10"/>
          <w:sz w:val="18"/>
        </w:rPr>
        <w:t xml:space="preserve"> </w:t>
      </w:r>
      <w:r>
        <w:rPr>
          <w:rFonts w:ascii="Arial MT" w:hAnsi="Arial MT"/>
          <w:sz w:val="18"/>
        </w:rPr>
        <w:t>K.</w:t>
      </w:r>
      <w:r>
        <w:rPr>
          <w:rFonts w:ascii="Arial MT" w:hAnsi="Arial MT"/>
          <w:spacing w:val="-10"/>
          <w:sz w:val="18"/>
        </w:rPr>
        <w:t xml:space="preserve"> </w:t>
      </w:r>
      <w:r>
        <w:rPr>
          <w:rFonts w:ascii="Arial MT" w:hAnsi="Arial MT"/>
          <w:sz w:val="18"/>
        </w:rPr>
        <w:t>&amp;</w:t>
      </w:r>
      <w:r>
        <w:rPr>
          <w:rFonts w:ascii="Arial MT" w:hAnsi="Arial MT"/>
          <w:spacing w:val="-11"/>
          <w:sz w:val="18"/>
        </w:rPr>
        <w:t xml:space="preserve"> </w:t>
      </w:r>
      <w:proofErr w:type="spellStart"/>
      <w:r>
        <w:rPr>
          <w:rFonts w:ascii="Arial MT" w:hAnsi="Arial MT"/>
          <w:sz w:val="18"/>
        </w:rPr>
        <w:t>Bajonero</w:t>
      </w:r>
      <w:proofErr w:type="spellEnd"/>
      <w:r>
        <w:rPr>
          <w:rFonts w:ascii="Arial MT" w:hAnsi="Arial MT"/>
          <w:spacing w:val="-10"/>
          <w:sz w:val="18"/>
        </w:rPr>
        <w:t xml:space="preserve"> </w:t>
      </w:r>
      <w:r>
        <w:rPr>
          <w:rFonts w:ascii="Arial MT" w:hAnsi="Arial MT"/>
          <w:sz w:val="18"/>
        </w:rPr>
        <w:t>López</w:t>
      </w:r>
      <w:r>
        <w:rPr>
          <w:rFonts w:ascii="Arial MT" w:hAnsi="Arial MT"/>
          <w:spacing w:val="-10"/>
          <w:sz w:val="18"/>
        </w:rPr>
        <w:t xml:space="preserve"> </w:t>
      </w:r>
      <w:r>
        <w:rPr>
          <w:rFonts w:ascii="Arial MT" w:hAnsi="Arial MT"/>
          <w:sz w:val="18"/>
        </w:rPr>
        <w:t>D.,</w:t>
      </w:r>
      <w:r>
        <w:rPr>
          <w:rFonts w:ascii="Arial MT" w:hAnsi="Arial MT"/>
          <w:spacing w:val="-10"/>
          <w:sz w:val="18"/>
        </w:rPr>
        <w:t xml:space="preserve"> </w:t>
      </w:r>
      <w:r>
        <w:rPr>
          <w:rFonts w:ascii="Arial MT" w:hAnsi="Arial MT"/>
          <w:sz w:val="18"/>
        </w:rPr>
        <w:t>C.</w:t>
      </w:r>
      <w:r>
        <w:rPr>
          <w:rFonts w:ascii="Arial MT" w:hAnsi="Arial MT"/>
          <w:position w:val="6"/>
          <w:sz w:val="12"/>
        </w:rPr>
        <w:t>56</w:t>
      </w:r>
      <w:r>
        <w:rPr>
          <w:rFonts w:ascii="Arial MT" w:hAnsi="Arial MT"/>
          <w:spacing w:val="6"/>
          <w:position w:val="6"/>
          <w:sz w:val="12"/>
        </w:rPr>
        <w:t xml:space="preserve"> </w:t>
      </w:r>
      <w:r>
        <w:rPr>
          <w:rFonts w:ascii="Arial MT" w:hAnsi="Arial MT"/>
          <w:sz w:val="18"/>
        </w:rPr>
        <w:t>(2023)</w:t>
      </w:r>
      <w:r>
        <w:rPr>
          <w:rFonts w:ascii="Arial MT" w:hAnsi="Arial MT"/>
          <w:spacing w:val="-12"/>
          <w:sz w:val="18"/>
        </w:rPr>
        <w:t xml:space="preserve"> </w:t>
      </w:r>
      <w:r>
        <w:rPr>
          <w:rFonts w:ascii="Arial MT" w:hAnsi="Arial MT"/>
          <w:sz w:val="18"/>
        </w:rPr>
        <w:t>Mujeres</w:t>
      </w:r>
      <w:r>
        <w:rPr>
          <w:rFonts w:ascii="Arial MT" w:hAnsi="Arial MT"/>
          <w:spacing w:val="-11"/>
          <w:sz w:val="18"/>
        </w:rPr>
        <w:t xml:space="preserve"> </w:t>
      </w:r>
      <w:r>
        <w:rPr>
          <w:rFonts w:ascii="Arial MT" w:hAnsi="Arial MT"/>
          <w:sz w:val="18"/>
        </w:rPr>
        <w:t>en</w:t>
      </w:r>
      <w:r>
        <w:rPr>
          <w:rFonts w:ascii="Arial MT" w:hAnsi="Arial MT"/>
          <w:spacing w:val="-11"/>
          <w:sz w:val="18"/>
        </w:rPr>
        <w:t xml:space="preserve"> </w:t>
      </w:r>
      <w:r>
        <w:rPr>
          <w:rFonts w:ascii="Arial MT" w:hAnsi="Arial MT"/>
          <w:sz w:val="18"/>
        </w:rPr>
        <w:t>el</w:t>
      </w:r>
      <w:r>
        <w:rPr>
          <w:rFonts w:ascii="Arial MT" w:hAnsi="Arial MT"/>
          <w:spacing w:val="-11"/>
          <w:sz w:val="18"/>
        </w:rPr>
        <w:t xml:space="preserve"> </w:t>
      </w:r>
      <w:r>
        <w:rPr>
          <w:rFonts w:ascii="Arial MT" w:hAnsi="Arial MT"/>
          <w:sz w:val="18"/>
        </w:rPr>
        <w:t>Congreso</w:t>
      </w:r>
      <w:r>
        <w:rPr>
          <w:rFonts w:ascii="Arial MT" w:hAnsi="Arial MT"/>
          <w:spacing w:val="-13"/>
          <w:sz w:val="18"/>
        </w:rPr>
        <w:t xml:space="preserve"> </w:t>
      </w:r>
      <w:r>
        <w:rPr>
          <w:rFonts w:ascii="Arial MT" w:hAnsi="Arial MT"/>
          <w:sz w:val="18"/>
        </w:rPr>
        <w:t>colombiano,</w:t>
      </w:r>
      <w:r>
        <w:rPr>
          <w:rFonts w:ascii="Arial MT" w:hAnsi="Arial MT"/>
          <w:spacing w:val="-10"/>
          <w:sz w:val="18"/>
        </w:rPr>
        <w:t xml:space="preserve"> </w:t>
      </w:r>
      <w:r>
        <w:rPr>
          <w:rFonts w:ascii="Arial MT" w:hAnsi="Arial MT"/>
          <w:sz w:val="18"/>
        </w:rPr>
        <w:t xml:space="preserve">1991- 2022: tres décadas de un lento avance. Reflexión política 25(51), pp. 14-29. </w:t>
      </w:r>
      <w:hyperlink r:id="rId177">
        <w:r w:rsidR="000E52B0">
          <w:rPr>
            <w:rFonts w:ascii="Arial MT" w:hAnsi="Arial MT"/>
            <w:spacing w:val="-2"/>
            <w:sz w:val="18"/>
            <w:u w:val="single"/>
          </w:rPr>
          <w:t>https://doi.org/10.29375/01240781.4680</w:t>
        </w:r>
      </w:hyperlink>
    </w:p>
    <w:p w14:paraId="7343B028" w14:textId="77777777" w:rsidR="000E52B0" w:rsidRDefault="00F60D74">
      <w:pPr>
        <w:ind w:left="720" w:right="725"/>
        <w:jc w:val="both"/>
        <w:rPr>
          <w:rFonts w:ascii="Arial MT" w:hAnsi="Arial MT"/>
          <w:sz w:val="18"/>
        </w:rPr>
      </w:pPr>
      <w:bookmarkStart w:id="66" w:name="_bookmark66"/>
      <w:bookmarkEnd w:id="66"/>
      <w:r>
        <w:rPr>
          <w:rFonts w:ascii="Arial MT" w:hAnsi="Arial MT"/>
          <w:position w:val="6"/>
          <w:sz w:val="12"/>
        </w:rPr>
        <w:t>57</w:t>
      </w:r>
      <w:r>
        <w:rPr>
          <w:rFonts w:ascii="Arial MT" w:hAnsi="Arial MT"/>
          <w:sz w:val="18"/>
        </w:rPr>
        <w:t xml:space="preserve">WORLD ECONOMIC FORUM. 2022. Los países con la mayor proporción de mujeres en el Parlamento. </w:t>
      </w:r>
      <w:r>
        <w:rPr>
          <w:rFonts w:ascii="Arial MT" w:hAnsi="Arial MT"/>
          <w:spacing w:val="-2"/>
          <w:sz w:val="18"/>
        </w:rPr>
        <w:t>https://es.weforum.org/agenda/2022/02/los-paises-con-la-mayor-proporcion-de-mujeres-en-el-parlamento/</w:t>
      </w:r>
    </w:p>
    <w:p w14:paraId="06C9E479" w14:textId="77777777" w:rsidR="000E52B0" w:rsidRDefault="00F60D74">
      <w:pPr>
        <w:ind w:left="720" w:right="715"/>
        <w:jc w:val="both"/>
        <w:rPr>
          <w:rFonts w:ascii="Arial MT" w:hAnsi="Arial MT"/>
          <w:sz w:val="20"/>
        </w:rPr>
      </w:pPr>
      <w:bookmarkStart w:id="67" w:name="_bookmark67"/>
      <w:bookmarkEnd w:id="67"/>
      <w:r>
        <w:rPr>
          <w:rFonts w:ascii="Arial MT" w:hAnsi="Arial MT"/>
          <w:position w:val="5"/>
          <w:sz w:val="13"/>
        </w:rPr>
        <w:t xml:space="preserve">58 </w:t>
      </w:r>
      <w:r>
        <w:rPr>
          <w:rFonts w:ascii="Arial MT" w:hAnsi="Arial MT"/>
          <w:sz w:val="20"/>
        </w:rPr>
        <w:t xml:space="preserve">Bernal-Olarte, F., Calderón Rey, K. &amp; </w:t>
      </w:r>
      <w:proofErr w:type="spellStart"/>
      <w:r>
        <w:rPr>
          <w:rFonts w:ascii="Arial MT" w:hAnsi="Arial MT"/>
          <w:sz w:val="20"/>
        </w:rPr>
        <w:t>Bajonero</w:t>
      </w:r>
      <w:proofErr w:type="spellEnd"/>
      <w:r>
        <w:rPr>
          <w:rFonts w:ascii="Arial MT" w:hAnsi="Arial MT"/>
          <w:sz w:val="20"/>
        </w:rPr>
        <w:t xml:space="preserve"> López D., C.</w:t>
      </w:r>
      <w:r>
        <w:rPr>
          <w:rFonts w:ascii="Arial MT" w:hAnsi="Arial MT"/>
          <w:position w:val="6"/>
          <w:sz w:val="13"/>
        </w:rPr>
        <w:t>58</w:t>
      </w:r>
      <w:r>
        <w:rPr>
          <w:rFonts w:ascii="Arial MT" w:hAnsi="Arial MT"/>
          <w:spacing w:val="40"/>
          <w:position w:val="6"/>
          <w:sz w:val="13"/>
        </w:rPr>
        <w:t xml:space="preserve"> </w:t>
      </w:r>
      <w:r>
        <w:rPr>
          <w:rFonts w:ascii="Arial MT" w:hAnsi="Arial MT"/>
          <w:sz w:val="20"/>
        </w:rPr>
        <w:t xml:space="preserve">(2023) Mujeres en el Congreso colombiano, 1991-2022: tres décadas de un lento avance. Reflexión política 25(51), pp. 14-29. </w:t>
      </w:r>
      <w:hyperlink r:id="rId178">
        <w:r w:rsidR="000E52B0">
          <w:rPr>
            <w:rFonts w:ascii="Arial MT" w:hAnsi="Arial MT"/>
            <w:spacing w:val="-2"/>
            <w:sz w:val="20"/>
            <w:u w:val="single"/>
          </w:rPr>
          <w:t>https://doi.org/10.29375/01240781.4680</w:t>
        </w:r>
      </w:hyperlink>
    </w:p>
    <w:p w14:paraId="0A4EA5D7" w14:textId="77777777" w:rsidR="000E52B0" w:rsidRDefault="000E52B0">
      <w:pPr>
        <w:jc w:val="both"/>
        <w:rPr>
          <w:rFonts w:ascii="Arial MT" w:hAnsi="Arial MT"/>
          <w:sz w:val="20"/>
        </w:rPr>
        <w:sectPr w:rsidR="000E52B0">
          <w:pgSz w:w="11910" w:h="16840"/>
          <w:pgMar w:top="1340" w:right="720" w:bottom="1180" w:left="720" w:header="0" w:footer="995" w:gutter="0"/>
          <w:cols w:space="720"/>
        </w:sectPr>
      </w:pPr>
    </w:p>
    <w:p w14:paraId="063CDF35" w14:textId="77777777" w:rsidR="000E52B0" w:rsidRDefault="00F60D74">
      <w:pPr>
        <w:pStyle w:val="Textoindependiente"/>
        <w:spacing w:before="83"/>
        <w:ind w:right="715"/>
        <w:jc w:val="both"/>
      </w:pPr>
      <w:r>
        <w:lastRenderedPageBreak/>
        <w:t>lento y, en ocasiones (como en 2018 en Cámara), ha tenido algunos retrocesos, así que es posible afirmar que las características mismas del sistema electoral neutralizan el efecto de la cuota. Adicionalmente, si las mujeres acceden a los cargos, se encuentran con entornos que no favorecen su permanencia, al limitar sus voces, propuestas y agendas, de este</w:t>
      </w:r>
      <w:r>
        <w:rPr>
          <w:spacing w:val="-10"/>
        </w:rPr>
        <w:t xml:space="preserve"> </w:t>
      </w:r>
      <w:r>
        <w:t>modo</w:t>
      </w:r>
      <w:r>
        <w:rPr>
          <w:spacing w:val="-11"/>
        </w:rPr>
        <w:t xml:space="preserve"> </w:t>
      </w:r>
      <w:r>
        <w:t>si</w:t>
      </w:r>
      <w:r>
        <w:rPr>
          <w:spacing w:val="-12"/>
        </w:rPr>
        <w:t xml:space="preserve"> </w:t>
      </w:r>
      <w:r>
        <w:t>bien</w:t>
      </w:r>
      <w:r>
        <w:rPr>
          <w:spacing w:val="-11"/>
        </w:rPr>
        <w:t xml:space="preserve"> </w:t>
      </w:r>
      <w:r>
        <w:t>existe</w:t>
      </w:r>
      <w:r>
        <w:rPr>
          <w:spacing w:val="-10"/>
        </w:rPr>
        <w:t xml:space="preserve"> </w:t>
      </w:r>
      <w:r>
        <w:t>una</w:t>
      </w:r>
      <w:r>
        <w:rPr>
          <w:spacing w:val="-11"/>
        </w:rPr>
        <w:t xml:space="preserve"> </w:t>
      </w:r>
      <w:r>
        <w:t>respuesta</w:t>
      </w:r>
      <w:r>
        <w:rPr>
          <w:spacing w:val="-9"/>
        </w:rPr>
        <w:t xml:space="preserve"> </w:t>
      </w:r>
      <w:r>
        <w:t>institucional</w:t>
      </w:r>
      <w:r>
        <w:rPr>
          <w:spacing w:val="-10"/>
        </w:rPr>
        <w:t xml:space="preserve"> </w:t>
      </w:r>
      <w:r>
        <w:t>que</w:t>
      </w:r>
      <w:r>
        <w:rPr>
          <w:spacing w:val="-10"/>
        </w:rPr>
        <w:t xml:space="preserve"> </w:t>
      </w:r>
      <w:r>
        <w:t>da</w:t>
      </w:r>
      <w:r>
        <w:rPr>
          <w:spacing w:val="-9"/>
        </w:rPr>
        <w:t xml:space="preserve"> </w:t>
      </w:r>
      <w:r>
        <w:t>cumplimiento</w:t>
      </w:r>
      <w:r>
        <w:rPr>
          <w:spacing w:val="-11"/>
        </w:rPr>
        <w:t xml:space="preserve"> </w:t>
      </w:r>
      <w:r>
        <w:t xml:space="preserve">a la normatividad existente, la práctica demuestra que las discriminaciones </w:t>
      </w:r>
      <w:r>
        <w:rPr>
          <w:spacing w:val="-2"/>
        </w:rPr>
        <w:t>continúan.</w:t>
      </w:r>
    </w:p>
    <w:p w14:paraId="684BAD46" w14:textId="77777777" w:rsidR="000E52B0" w:rsidRDefault="00F60D74">
      <w:pPr>
        <w:pStyle w:val="Textoindependiente"/>
        <w:spacing w:before="158"/>
        <w:ind w:right="716"/>
        <w:jc w:val="both"/>
      </w:pPr>
      <w:r>
        <w:t>Respecto</w:t>
      </w:r>
      <w:r>
        <w:rPr>
          <w:spacing w:val="-15"/>
        </w:rPr>
        <w:t xml:space="preserve"> </w:t>
      </w:r>
      <w:r>
        <w:t>a</w:t>
      </w:r>
      <w:r>
        <w:rPr>
          <w:spacing w:val="-16"/>
        </w:rPr>
        <w:t xml:space="preserve"> </w:t>
      </w:r>
      <w:r>
        <w:t>los</w:t>
      </w:r>
      <w:r>
        <w:rPr>
          <w:spacing w:val="-16"/>
        </w:rPr>
        <w:t xml:space="preserve"> </w:t>
      </w:r>
      <w:r>
        <w:t>escenarios</w:t>
      </w:r>
      <w:r>
        <w:rPr>
          <w:spacing w:val="-16"/>
        </w:rPr>
        <w:t xml:space="preserve"> </w:t>
      </w:r>
      <w:r>
        <w:t>de</w:t>
      </w:r>
      <w:r>
        <w:rPr>
          <w:spacing w:val="-15"/>
        </w:rPr>
        <w:t xml:space="preserve"> </w:t>
      </w:r>
      <w:r>
        <w:t>participación</w:t>
      </w:r>
      <w:r>
        <w:rPr>
          <w:spacing w:val="-17"/>
        </w:rPr>
        <w:t xml:space="preserve"> </w:t>
      </w:r>
      <w:r>
        <w:t>ciudadana</w:t>
      </w:r>
      <w:r>
        <w:rPr>
          <w:spacing w:val="-14"/>
        </w:rPr>
        <w:t xml:space="preserve"> </w:t>
      </w:r>
      <w:r>
        <w:t>y</w:t>
      </w:r>
      <w:r>
        <w:rPr>
          <w:spacing w:val="-14"/>
        </w:rPr>
        <w:t xml:space="preserve"> </w:t>
      </w:r>
      <w:r>
        <w:t>política,</w:t>
      </w:r>
      <w:r>
        <w:rPr>
          <w:spacing w:val="-15"/>
        </w:rPr>
        <w:t xml:space="preserve"> </w:t>
      </w:r>
      <w:r>
        <w:t>las</w:t>
      </w:r>
      <w:r>
        <w:rPr>
          <w:spacing w:val="-14"/>
        </w:rPr>
        <w:t xml:space="preserve"> </w:t>
      </w:r>
      <w:r>
        <w:t>mujeres cabeza de familia reportan menor participación. Mientras que 7,4% de los hombres cabeza de familia reportaron participar en juntas de acción comunal</w:t>
      </w:r>
      <w:r>
        <w:rPr>
          <w:spacing w:val="-20"/>
        </w:rPr>
        <w:t xml:space="preserve"> </w:t>
      </w:r>
      <w:r>
        <w:t>en</w:t>
      </w:r>
      <w:r>
        <w:rPr>
          <w:spacing w:val="-19"/>
        </w:rPr>
        <w:t xml:space="preserve"> </w:t>
      </w:r>
      <w:r>
        <w:t>las</w:t>
      </w:r>
      <w:r>
        <w:rPr>
          <w:spacing w:val="-19"/>
        </w:rPr>
        <w:t xml:space="preserve"> </w:t>
      </w:r>
      <w:r>
        <w:t>mujeres</w:t>
      </w:r>
      <w:r>
        <w:rPr>
          <w:spacing w:val="-19"/>
        </w:rPr>
        <w:t xml:space="preserve"> </w:t>
      </w:r>
      <w:r>
        <w:t>cabeza</w:t>
      </w:r>
      <w:r>
        <w:rPr>
          <w:spacing w:val="-18"/>
        </w:rPr>
        <w:t xml:space="preserve"> </w:t>
      </w:r>
      <w:r>
        <w:t>de</w:t>
      </w:r>
      <w:r>
        <w:rPr>
          <w:spacing w:val="-17"/>
        </w:rPr>
        <w:t xml:space="preserve"> </w:t>
      </w:r>
      <w:r>
        <w:t>familia</w:t>
      </w:r>
      <w:r>
        <w:rPr>
          <w:spacing w:val="-19"/>
        </w:rPr>
        <w:t xml:space="preserve"> </w:t>
      </w:r>
      <w:r>
        <w:t>el</w:t>
      </w:r>
      <w:r>
        <w:rPr>
          <w:spacing w:val="-19"/>
        </w:rPr>
        <w:t xml:space="preserve"> </w:t>
      </w:r>
      <w:r>
        <w:t>porcentaje</w:t>
      </w:r>
      <w:r>
        <w:rPr>
          <w:spacing w:val="-17"/>
        </w:rPr>
        <w:t xml:space="preserve"> </w:t>
      </w:r>
      <w:r>
        <w:t>es</w:t>
      </w:r>
      <w:r>
        <w:rPr>
          <w:spacing w:val="-19"/>
        </w:rPr>
        <w:t xml:space="preserve"> </w:t>
      </w:r>
      <w:r>
        <w:t>de</w:t>
      </w:r>
      <w:r>
        <w:rPr>
          <w:spacing w:val="-17"/>
        </w:rPr>
        <w:t xml:space="preserve"> </w:t>
      </w:r>
      <w:r>
        <w:t>6%.</w:t>
      </w:r>
      <w:r>
        <w:rPr>
          <w:spacing w:val="-19"/>
        </w:rPr>
        <w:t xml:space="preserve"> </w:t>
      </w:r>
      <w:r>
        <w:t>Respecto de</w:t>
      </w:r>
      <w:r>
        <w:rPr>
          <w:spacing w:val="-4"/>
        </w:rPr>
        <w:t xml:space="preserve"> </w:t>
      </w:r>
      <w:r>
        <w:t>la</w:t>
      </w:r>
      <w:r>
        <w:rPr>
          <w:spacing w:val="-4"/>
        </w:rPr>
        <w:t xml:space="preserve"> </w:t>
      </w:r>
      <w:r>
        <w:t>participación</w:t>
      </w:r>
      <w:r>
        <w:rPr>
          <w:spacing w:val="-6"/>
        </w:rPr>
        <w:t xml:space="preserve"> </w:t>
      </w:r>
      <w:r>
        <w:t>en</w:t>
      </w:r>
      <w:r>
        <w:rPr>
          <w:spacing w:val="-6"/>
        </w:rPr>
        <w:t xml:space="preserve"> </w:t>
      </w:r>
      <w:r>
        <w:t>movimientos</w:t>
      </w:r>
      <w:r>
        <w:rPr>
          <w:spacing w:val="-3"/>
        </w:rPr>
        <w:t xml:space="preserve"> </w:t>
      </w:r>
      <w:r>
        <w:t>o</w:t>
      </w:r>
      <w:r>
        <w:rPr>
          <w:spacing w:val="-5"/>
        </w:rPr>
        <w:t xml:space="preserve"> </w:t>
      </w:r>
      <w:r>
        <w:t>partidos</w:t>
      </w:r>
      <w:r>
        <w:rPr>
          <w:spacing w:val="-3"/>
        </w:rPr>
        <w:t xml:space="preserve"> </w:t>
      </w:r>
      <w:r>
        <w:t>políticos</w:t>
      </w:r>
      <w:r>
        <w:rPr>
          <w:spacing w:val="-3"/>
        </w:rPr>
        <w:t xml:space="preserve"> </w:t>
      </w:r>
      <w:r>
        <w:t>fue</w:t>
      </w:r>
      <w:r>
        <w:rPr>
          <w:spacing w:val="-4"/>
        </w:rPr>
        <w:t xml:space="preserve"> </w:t>
      </w:r>
      <w:r>
        <w:t>1,4%</w:t>
      </w:r>
      <w:r>
        <w:rPr>
          <w:spacing w:val="-5"/>
        </w:rPr>
        <w:t xml:space="preserve"> </w:t>
      </w:r>
      <w:r>
        <w:t>y</w:t>
      </w:r>
      <w:r>
        <w:rPr>
          <w:spacing w:val="-6"/>
        </w:rPr>
        <w:t xml:space="preserve"> </w:t>
      </w:r>
      <w:r>
        <w:t>0,6%,</w:t>
      </w:r>
      <w:r>
        <w:rPr>
          <w:spacing w:val="-6"/>
        </w:rPr>
        <w:t xml:space="preserve"> </w:t>
      </w:r>
      <w:r>
        <w:t>y en</w:t>
      </w:r>
      <w:r>
        <w:rPr>
          <w:spacing w:val="-18"/>
        </w:rPr>
        <w:t xml:space="preserve"> </w:t>
      </w:r>
      <w:r>
        <w:t>organizaciones</w:t>
      </w:r>
      <w:r>
        <w:rPr>
          <w:spacing w:val="-17"/>
        </w:rPr>
        <w:t xml:space="preserve"> </w:t>
      </w:r>
      <w:r>
        <w:t>o</w:t>
      </w:r>
      <w:r>
        <w:rPr>
          <w:spacing w:val="-19"/>
        </w:rPr>
        <w:t xml:space="preserve"> </w:t>
      </w:r>
      <w:r>
        <w:t>asociaciones</w:t>
      </w:r>
      <w:r>
        <w:rPr>
          <w:spacing w:val="-17"/>
        </w:rPr>
        <w:t xml:space="preserve"> </w:t>
      </w:r>
      <w:r>
        <w:t>campesinas,</w:t>
      </w:r>
      <w:r>
        <w:rPr>
          <w:spacing w:val="-18"/>
        </w:rPr>
        <w:t xml:space="preserve"> </w:t>
      </w:r>
      <w:r>
        <w:t>agropecuarias</w:t>
      </w:r>
      <w:r>
        <w:rPr>
          <w:spacing w:val="-17"/>
        </w:rPr>
        <w:t xml:space="preserve"> </w:t>
      </w:r>
      <w:r>
        <w:t>o</w:t>
      </w:r>
      <w:r>
        <w:rPr>
          <w:spacing w:val="-16"/>
        </w:rPr>
        <w:t xml:space="preserve"> </w:t>
      </w:r>
      <w:r>
        <w:t>de</w:t>
      </w:r>
      <w:r>
        <w:rPr>
          <w:spacing w:val="-16"/>
        </w:rPr>
        <w:t xml:space="preserve"> </w:t>
      </w:r>
      <w:r>
        <w:t>pesca</w:t>
      </w:r>
      <w:r>
        <w:rPr>
          <w:spacing w:val="-17"/>
        </w:rPr>
        <w:t xml:space="preserve"> </w:t>
      </w:r>
      <w:r>
        <w:t>los porcentajes fueron 1% y 0,5%, respectivamente. Estos son factores que pueden incentivar la ruptura de redes de apoyo, afectivas, emocionales y comunitarias que requieren las mujeres cabeza de familia.</w:t>
      </w:r>
    </w:p>
    <w:p w14:paraId="3A433909" w14:textId="77777777" w:rsidR="000E52B0" w:rsidRDefault="00F60D74">
      <w:pPr>
        <w:pStyle w:val="Textoindependiente"/>
        <w:spacing w:before="161"/>
        <w:ind w:right="712"/>
        <w:jc w:val="both"/>
      </w:pPr>
      <w:r>
        <w:t xml:space="preserve">Al respecto de las </w:t>
      </w:r>
      <w:r>
        <w:rPr>
          <w:b/>
        </w:rPr>
        <w:t>barreras de participación y exclusión de las juventudes,</w:t>
      </w:r>
      <w:r>
        <w:rPr>
          <w:b/>
          <w:spacing w:val="-18"/>
        </w:rPr>
        <w:t xml:space="preserve"> </w:t>
      </w:r>
      <w:r>
        <w:t>en</w:t>
      </w:r>
      <w:r>
        <w:rPr>
          <w:spacing w:val="-20"/>
        </w:rPr>
        <w:t xml:space="preserve"> </w:t>
      </w:r>
      <w:r>
        <w:t>términos</w:t>
      </w:r>
      <w:r>
        <w:rPr>
          <w:spacing w:val="-18"/>
        </w:rPr>
        <w:t xml:space="preserve"> </w:t>
      </w:r>
      <w:r>
        <w:t>de</w:t>
      </w:r>
      <w:r>
        <w:rPr>
          <w:spacing w:val="-19"/>
        </w:rPr>
        <w:t xml:space="preserve"> </w:t>
      </w:r>
      <w:r>
        <w:t>participación</w:t>
      </w:r>
      <w:r>
        <w:rPr>
          <w:spacing w:val="-20"/>
        </w:rPr>
        <w:t xml:space="preserve"> </w:t>
      </w:r>
      <w:r>
        <w:t>política,</w:t>
      </w:r>
      <w:r>
        <w:rPr>
          <w:spacing w:val="-18"/>
        </w:rPr>
        <w:t xml:space="preserve"> </w:t>
      </w:r>
      <w:r>
        <w:t>según</w:t>
      </w:r>
      <w:r>
        <w:rPr>
          <w:spacing w:val="-18"/>
        </w:rPr>
        <w:t xml:space="preserve"> </w:t>
      </w:r>
      <w:r>
        <w:t>cifras</w:t>
      </w:r>
      <w:r>
        <w:rPr>
          <w:spacing w:val="-19"/>
        </w:rPr>
        <w:t xml:space="preserve"> </w:t>
      </w:r>
      <w:r>
        <w:t>del</w:t>
      </w:r>
      <w:r>
        <w:rPr>
          <w:spacing w:val="-21"/>
        </w:rPr>
        <w:t xml:space="preserve"> </w:t>
      </w:r>
      <w:r>
        <w:t>DANE</w:t>
      </w:r>
      <w:hyperlink w:anchor="_bookmark68" w:history="1">
        <w:r w:rsidR="000E52B0">
          <w:rPr>
            <w:position w:val="8"/>
            <w:sz w:val="16"/>
          </w:rPr>
          <w:t>59</w:t>
        </w:r>
      </w:hyperlink>
      <w:r>
        <w:t>, las personas jóvenes, en comparación con otros grupos de edad, manifiestan</w:t>
      </w:r>
      <w:r>
        <w:rPr>
          <w:spacing w:val="-9"/>
        </w:rPr>
        <w:t xml:space="preserve"> </w:t>
      </w:r>
      <w:r>
        <w:t>están</w:t>
      </w:r>
      <w:r>
        <w:rPr>
          <w:spacing w:val="-8"/>
        </w:rPr>
        <w:t xml:space="preserve"> </w:t>
      </w:r>
      <w:r>
        <w:t>menos</w:t>
      </w:r>
      <w:r>
        <w:rPr>
          <w:spacing w:val="-8"/>
        </w:rPr>
        <w:t xml:space="preserve"> </w:t>
      </w:r>
      <w:r>
        <w:t>de</w:t>
      </w:r>
      <w:r>
        <w:rPr>
          <w:spacing w:val="-7"/>
        </w:rPr>
        <w:t xml:space="preserve"> </w:t>
      </w:r>
      <w:r>
        <w:t>acuerdo</w:t>
      </w:r>
      <w:r>
        <w:rPr>
          <w:spacing w:val="-7"/>
        </w:rPr>
        <w:t xml:space="preserve"> </w:t>
      </w:r>
      <w:r>
        <w:t>con</w:t>
      </w:r>
      <w:r>
        <w:rPr>
          <w:spacing w:val="-8"/>
        </w:rPr>
        <w:t xml:space="preserve"> </w:t>
      </w:r>
      <w:r>
        <w:t>que</w:t>
      </w:r>
      <w:r>
        <w:rPr>
          <w:spacing w:val="-7"/>
        </w:rPr>
        <w:t xml:space="preserve"> </w:t>
      </w:r>
      <w:r>
        <w:t>en</w:t>
      </w:r>
      <w:r>
        <w:rPr>
          <w:spacing w:val="-8"/>
        </w:rPr>
        <w:t xml:space="preserve"> </w:t>
      </w:r>
      <w:r>
        <w:t>Colombia:</w:t>
      </w:r>
      <w:r>
        <w:rPr>
          <w:spacing w:val="-6"/>
        </w:rPr>
        <w:t xml:space="preserve"> </w:t>
      </w:r>
      <w:r>
        <w:t>a</w:t>
      </w:r>
      <w:r>
        <w:rPr>
          <w:spacing w:val="-8"/>
        </w:rPr>
        <w:t xml:space="preserve"> </w:t>
      </w:r>
      <w:r>
        <w:t>la</w:t>
      </w:r>
      <w:r>
        <w:rPr>
          <w:spacing w:val="-8"/>
        </w:rPr>
        <w:t xml:space="preserve"> </w:t>
      </w:r>
      <w:r>
        <w:t>ciudadanía se</w:t>
      </w:r>
      <w:r>
        <w:rPr>
          <w:spacing w:val="-2"/>
        </w:rPr>
        <w:t xml:space="preserve"> </w:t>
      </w:r>
      <w:r>
        <w:t>le</w:t>
      </w:r>
      <w:r>
        <w:rPr>
          <w:spacing w:val="-2"/>
        </w:rPr>
        <w:t xml:space="preserve"> </w:t>
      </w:r>
      <w:r>
        <w:t>garantiza</w:t>
      </w:r>
      <w:r>
        <w:rPr>
          <w:spacing w:val="-2"/>
        </w:rPr>
        <w:t xml:space="preserve"> </w:t>
      </w:r>
      <w:r>
        <w:t>el</w:t>
      </w:r>
      <w:r>
        <w:rPr>
          <w:spacing w:val="-1"/>
        </w:rPr>
        <w:t xml:space="preserve"> </w:t>
      </w:r>
      <w:r>
        <w:t>derecho</w:t>
      </w:r>
      <w:r>
        <w:rPr>
          <w:spacing w:val="-2"/>
        </w:rPr>
        <w:t xml:space="preserve"> </w:t>
      </w:r>
      <w:r>
        <w:t>a</w:t>
      </w:r>
      <w:r>
        <w:rPr>
          <w:spacing w:val="-3"/>
        </w:rPr>
        <w:t xml:space="preserve"> </w:t>
      </w:r>
      <w:r>
        <w:t>participar (49,1%</w:t>
      </w:r>
      <w:r>
        <w:rPr>
          <w:spacing w:val="-2"/>
        </w:rPr>
        <w:t xml:space="preserve"> </w:t>
      </w:r>
      <w:r>
        <w:t>están</w:t>
      </w:r>
      <w:r>
        <w:rPr>
          <w:spacing w:val="-3"/>
        </w:rPr>
        <w:t xml:space="preserve"> </w:t>
      </w:r>
      <w:r>
        <w:t>de</w:t>
      </w:r>
      <w:r>
        <w:rPr>
          <w:spacing w:val="-2"/>
        </w:rPr>
        <w:t xml:space="preserve"> </w:t>
      </w:r>
      <w:r>
        <w:t>acuerdo),</w:t>
      </w:r>
      <w:r>
        <w:rPr>
          <w:spacing w:val="-3"/>
        </w:rPr>
        <w:t xml:space="preserve"> </w:t>
      </w:r>
      <w:r>
        <w:t>existe la libertad</w:t>
      </w:r>
      <w:r>
        <w:rPr>
          <w:spacing w:val="-3"/>
        </w:rPr>
        <w:t xml:space="preserve"> </w:t>
      </w:r>
      <w:r>
        <w:t>de</w:t>
      </w:r>
      <w:r>
        <w:rPr>
          <w:spacing w:val="-1"/>
        </w:rPr>
        <w:t xml:space="preserve"> </w:t>
      </w:r>
      <w:r>
        <w:t>expresar</w:t>
      </w:r>
      <w:r>
        <w:rPr>
          <w:spacing w:val="-1"/>
        </w:rPr>
        <w:t xml:space="preserve"> </w:t>
      </w:r>
      <w:r>
        <w:t>y</w:t>
      </w:r>
      <w:r>
        <w:rPr>
          <w:spacing w:val="-2"/>
        </w:rPr>
        <w:t xml:space="preserve"> </w:t>
      </w:r>
      <w:r>
        <w:t>difundir</w:t>
      </w:r>
      <w:r>
        <w:rPr>
          <w:spacing w:val="-1"/>
        </w:rPr>
        <w:t xml:space="preserve"> </w:t>
      </w:r>
      <w:r>
        <w:t>su</w:t>
      </w:r>
      <w:r>
        <w:rPr>
          <w:spacing w:val="-3"/>
        </w:rPr>
        <w:t xml:space="preserve"> </w:t>
      </w:r>
      <w:r>
        <w:t>pensamiento</w:t>
      </w:r>
      <w:r>
        <w:rPr>
          <w:spacing w:val="-1"/>
        </w:rPr>
        <w:t xml:space="preserve"> </w:t>
      </w:r>
      <w:r>
        <w:t>(41,5%</w:t>
      </w:r>
      <w:r>
        <w:rPr>
          <w:spacing w:val="-1"/>
        </w:rPr>
        <w:t xml:space="preserve"> </w:t>
      </w:r>
      <w:r>
        <w:t>están</w:t>
      </w:r>
      <w:r>
        <w:rPr>
          <w:spacing w:val="-2"/>
        </w:rPr>
        <w:t xml:space="preserve"> </w:t>
      </w:r>
      <w:r>
        <w:t>de</w:t>
      </w:r>
      <w:r>
        <w:rPr>
          <w:spacing w:val="-1"/>
        </w:rPr>
        <w:t xml:space="preserve"> </w:t>
      </w:r>
      <w:r>
        <w:t xml:space="preserve">acuerdo), y se dan las garantías para manifestarse públicamente (32,7% están de </w:t>
      </w:r>
      <w:r>
        <w:rPr>
          <w:spacing w:val="-2"/>
        </w:rPr>
        <w:t>acuerdo).</w:t>
      </w:r>
    </w:p>
    <w:p w14:paraId="3FEFE99C" w14:textId="77777777" w:rsidR="000E52B0" w:rsidRDefault="00F60D74">
      <w:pPr>
        <w:pStyle w:val="Textoindependiente"/>
        <w:spacing w:before="161"/>
        <w:ind w:right="716"/>
        <w:jc w:val="both"/>
      </w:pPr>
      <w:r>
        <w:t>Si bien, el involucramiento de las juventudes en la democracia representativa no es el único determinante para comprender la situación problema de la participación política de las juventudes, resulta importante considerar los siguientes datos: Según informe del DANE, la Encuesta de Cultura Política (ECP)</w:t>
      </w:r>
      <w:r>
        <w:rPr>
          <w:spacing w:val="-2"/>
        </w:rPr>
        <w:t xml:space="preserve"> </w:t>
      </w:r>
      <w:r>
        <w:t>del</w:t>
      </w:r>
      <w:r>
        <w:rPr>
          <w:spacing w:val="-1"/>
        </w:rPr>
        <w:t xml:space="preserve"> </w:t>
      </w:r>
      <w:r>
        <w:t>año</w:t>
      </w:r>
      <w:r>
        <w:rPr>
          <w:spacing w:val="-1"/>
        </w:rPr>
        <w:t xml:space="preserve"> </w:t>
      </w:r>
      <w:r>
        <w:t>2019,</w:t>
      </w:r>
      <w:r>
        <w:rPr>
          <w:spacing w:val="-2"/>
        </w:rPr>
        <w:t xml:space="preserve"> </w:t>
      </w:r>
      <w:r>
        <w:t>registró que</w:t>
      </w:r>
      <w:r>
        <w:rPr>
          <w:spacing w:val="-1"/>
        </w:rPr>
        <w:t xml:space="preserve"> </w:t>
      </w:r>
      <w:r>
        <w:t>las personas</w:t>
      </w:r>
      <w:r>
        <w:rPr>
          <w:spacing w:val="-2"/>
        </w:rPr>
        <w:t xml:space="preserve"> </w:t>
      </w:r>
      <w:r>
        <w:t>entre los</w:t>
      </w:r>
      <w:r>
        <w:rPr>
          <w:spacing w:val="-2"/>
        </w:rPr>
        <w:t xml:space="preserve"> </w:t>
      </w:r>
      <w:r>
        <w:t>18 y 25 años tuvieron la menor participación en las elecciones presidenciales de 2018, en comparación con los demás grupos de edad: el 43,8% de la población entre 18 y</w:t>
      </w:r>
      <w:r>
        <w:rPr>
          <w:spacing w:val="-1"/>
        </w:rPr>
        <w:t xml:space="preserve"> </w:t>
      </w:r>
      <w:r>
        <w:t>25 años</w:t>
      </w:r>
      <w:r>
        <w:rPr>
          <w:spacing w:val="-1"/>
        </w:rPr>
        <w:t xml:space="preserve"> </w:t>
      </w:r>
      <w:r>
        <w:t>no ejerció el</w:t>
      </w:r>
      <w:r>
        <w:rPr>
          <w:spacing w:val="-2"/>
        </w:rPr>
        <w:t xml:space="preserve"> </w:t>
      </w:r>
      <w:r>
        <w:t>derecho al</w:t>
      </w:r>
      <w:r>
        <w:rPr>
          <w:spacing w:val="-2"/>
        </w:rPr>
        <w:t xml:space="preserve"> </w:t>
      </w:r>
      <w:r>
        <w:t>voto.</w:t>
      </w:r>
      <w:r>
        <w:rPr>
          <w:spacing w:val="-2"/>
        </w:rPr>
        <w:t xml:space="preserve"> </w:t>
      </w:r>
      <w:r>
        <w:t>El 38,3% de la población</w:t>
      </w:r>
      <w:r>
        <w:rPr>
          <w:spacing w:val="-4"/>
        </w:rPr>
        <w:t xml:space="preserve"> </w:t>
      </w:r>
      <w:r>
        <w:t>de</w:t>
      </w:r>
      <w:r>
        <w:rPr>
          <w:spacing w:val="-4"/>
        </w:rPr>
        <w:t xml:space="preserve"> </w:t>
      </w:r>
      <w:r>
        <w:t>18</w:t>
      </w:r>
      <w:r>
        <w:rPr>
          <w:spacing w:val="-4"/>
        </w:rPr>
        <w:t xml:space="preserve"> </w:t>
      </w:r>
      <w:r>
        <w:t>a</w:t>
      </w:r>
      <w:r>
        <w:rPr>
          <w:spacing w:val="-5"/>
        </w:rPr>
        <w:t xml:space="preserve"> </w:t>
      </w:r>
      <w:r>
        <w:t>25</w:t>
      </w:r>
      <w:r>
        <w:rPr>
          <w:spacing w:val="-4"/>
        </w:rPr>
        <w:t xml:space="preserve"> </w:t>
      </w:r>
      <w:r>
        <w:t>años</w:t>
      </w:r>
      <w:r>
        <w:rPr>
          <w:spacing w:val="-6"/>
        </w:rPr>
        <w:t xml:space="preserve"> </w:t>
      </w:r>
      <w:r>
        <w:t>que</w:t>
      </w:r>
      <w:r>
        <w:rPr>
          <w:spacing w:val="-4"/>
        </w:rPr>
        <w:t xml:space="preserve"> </w:t>
      </w:r>
      <w:r>
        <w:t>no</w:t>
      </w:r>
      <w:r>
        <w:rPr>
          <w:spacing w:val="-5"/>
        </w:rPr>
        <w:t xml:space="preserve"> </w:t>
      </w:r>
      <w:r>
        <w:t>votó</w:t>
      </w:r>
      <w:r>
        <w:rPr>
          <w:spacing w:val="-2"/>
        </w:rPr>
        <w:t xml:space="preserve"> </w:t>
      </w:r>
      <w:r>
        <w:t>en</w:t>
      </w:r>
      <w:r>
        <w:rPr>
          <w:spacing w:val="-5"/>
        </w:rPr>
        <w:t xml:space="preserve"> </w:t>
      </w:r>
      <w:r>
        <w:t>las</w:t>
      </w:r>
      <w:r>
        <w:rPr>
          <w:spacing w:val="-6"/>
        </w:rPr>
        <w:t xml:space="preserve"> </w:t>
      </w:r>
      <w:r>
        <w:t>cabeceras</w:t>
      </w:r>
      <w:r>
        <w:rPr>
          <w:spacing w:val="-6"/>
        </w:rPr>
        <w:t xml:space="preserve"> </w:t>
      </w:r>
      <w:r>
        <w:t>municipales,</w:t>
      </w:r>
      <w:r>
        <w:rPr>
          <w:spacing w:val="-4"/>
        </w:rPr>
        <w:t xml:space="preserve"> </w:t>
      </w:r>
      <w:r>
        <w:t>no</w:t>
      </w:r>
      <w:r>
        <w:rPr>
          <w:spacing w:val="-5"/>
        </w:rPr>
        <w:t xml:space="preserve"> </w:t>
      </w:r>
      <w:r>
        <w:t>lo hizo</w:t>
      </w:r>
      <w:r>
        <w:rPr>
          <w:spacing w:val="-5"/>
        </w:rPr>
        <w:t xml:space="preserve"> </w:t>
      </w:r>
      <w:r>
        <w:t>porque</w:t>
      </w:r>
      <w:r>
        <w:rPr>
          <w:spacing w:val="-5"/>
        </w:rPr>
        <w:t xml:space="preserve"> </w:t>
      </w:r>
      <w:r>
        <w:t>le</w:t>
      </w:r>
      <w:r>
        <w:rPr>
          <w:spacing w:val="-6"/>
        </w:rPr>
        <w:t xml:space="preserve"> </w:t>
      </w:r>
      <w:r>
        <w:t>faltó</w:t>
      </w:r>
      <w:r>
        <w:rPr>
          <w:spacing w:val="-6"/>
        </w:rPr>
        <w:t xml:space="preserve"> </w:t>
      </w:r>
      <w:r>
        <w:t>inscribir</w:t>
      </w:r>
      <w:r>
        <w:rPr>
          <w:spacing w:val="-6"/>
        </w:rPr>
        <w:t xml:space="preserve"> </w:t>
      </w:r>
      <w:r>
        <w:t>la</w:t>
      </w:r>
      <w:r>
        <w:rPr>
          <w:spacing w:val="-7"/>
        </w:rPr>
        <w:t xml:space="preserve"> </w:t>
      </w:r>
      <w:r>
        <w:t>cédula;</w:t>
      </w:r>
      <w:r>
        <w:rPr>
          <w:spacing w:val="-7"/>
        </w:rPr>
        <w:t xml:space="preserve"> </w:t>
      </w:r>
      <w:r>
        <w:t>y</w:t>
      </w:r>
      <w:r>
        <w:rPr>
          <w:spacing w:val="-5"/>
        </w:rPr>
        <w:t xml:space="preserve"> </w:t>
      </w:r>
      <w:r>
        <w:t>el</w:t>
      </w:r>
      <w:r>
        <w:rPr>
          <w:spacing w:val="-7"/>
        </w:rPr>
        <w:t xml:space="preserve"> </w:t>
      </w:r>
      <w:r>
        <w:t>32,0%</w:t>
      </w:r>
      <w:r>
        <w:rPr>
          <w:spacing w:val="-6"/>
        </w:rPr>
        <w:t xml:space="preserve"> </w:t>
      </w:r>
      <w:r>
        <w:t>por</w:t>
      </w:r>
      <w:r>
        <w:rPr>
          <w:spacing w:val="-5"/>
        </w:rPr>
        <w:t xml:space="preserve"> </w:t>
      </w:r>
      <w:r>
        <w:t>desinterés</w:t>
      </w:r>
      <w:r>
        <w:rPr>
          <w:spacing w:val="-7"/>
        </w:rPr>
        <w:t xml:space="preserve"> </w:t>
      </w:r>
      <w:r>
        <w:t>lo</w:t>
      </w:r>
      <w:r>
        <w:rPr>
          <w:spacing w:val="-6"/>
        </w:rPr>
        <w:t xml:space="preserve"> </w:t>
      </w:r>
      <w:r>
        <w:t>cual</w:t>
      </w:r>
      <w:r>
        <w:rPr>
          <w:spacing w:val="-8"/>
        </w:rPr>
        <w:t xml:space="preserve"> </w:t>
      </w:r>
      <w:r>
        <w:t xml:space="preserve">es una cifra significativa para comprender el contexto del país en este </w:t>
      </w:r>
      <w:r>
        <w:rPr>
          <w:spacing w:val="-2"/>
        </w:rPr>
        <w:t>aspecto</w:t>
      </w:r>
      <w:hyperlink w:anchor="_bookmark69" w:history="1">
        <w:r w:rsidR="000E52B0">
          <w:rPr>
            <w:spacing w:val="-2"/>
            <w:position w:val="8"/>
            <w:sz w:val="16"/>
          </w:rPr>
          <w:t>60</w:t>
        </w:r>
      </w:hyperlink>
      <w:r>
        <w:rPr>
          <w:spacing w:val="-2"/>
        </w:rPr>
        <w:t>.</w:t>
      </w:r>
    </w:p>
    <w:p w14:paraId="71E1C941" w14:textId="77777777" w:rsidR="000E52B0" w:rsidRDefault="00F60D74">
      <w:pPr>
        <w:pStyle w:val="Textoindependiente"/>
        <w:spacing w:before="160"/>
        <w:ind w:right="714"/>
        <w:jc w:val="both"/>
      </w:pPr>
      <w:r>
        <w:t>Respecto</w:t>
      </w:r>
      <w:r>
        <w:rPr>
          <w:spacing w:val="-12"/>
        </w:rPr>
        <w:t xml:space="preserve"> </w:t>
      </w:r>
      <w:r>
        <w:t>a</w:t>
      </w:r>
      <w:r>
        <w:rPr>
          <w:spacing w:val="-12"/>
        </w:rPr>
        <w:t xml:space="preserve"> </w:t>
      </w:r>
      <w:r>
        <w:t>los</w:t>
      </w:r>
      <w:r>
        <w:rPr>
          <w:spacing w:val="-14"/>
        </w:rPr>
        <w:t xml:space="preserve"> </w:t>
      </w:r>
      <w:r>
        <w:t>escenarios</w:t>
      </w:r>
      <w:r>
        <w:rPr>
          <w:spacing w:val="-12"/>
        </w:rPr>
        <w:t xml:space="preserve"> </w:t>
      </w:r>
      <w:r>
        <w:t>de</w:t>
      </w:r>
      <w:r>
        <w:rPr>
          <w:spacing w:val="-10"/>
        </w:rPr>
        <w:t xml:space="preserve"> </w:t>
      </w:r>
      <w:r>
        <w:rPr>
          <w:b/>
        </w:rPr>
        <w:t>participación</w:t>
      </w:r>
      <w:r>
        <w:rPr>
          <w:b/>
          <w:spacing w:val="-12"/>
        </w:rPr>
        <w:t xml:space="preserve"> </w:t>
      </w:r>
      <w:r>
        <w:rPr>
          <w:b/>
        </w:rPr>
        <w:t>para</w:t>
      </w:r>
      <w:r>
        <w:rPr>
          <w:b/>
          <w:spacing w:val="-11"/>
        </w:rPr>
        <w:t xml:space="preserve"> </w:t>
      </w:r>
      <w:r>
        <w:rPr>
          <w:b/>
        </w:rPr>
        <w:t>las</w:t>
      </w:r>
      <w:r>
        <w:rPr>
          <w:b/>
          <w:spacing w:val="-13"/>
        </w:rPr>
        <w:t xml:space="preserve"> </w:t>
      </w:r>
      <w:r>
        <w:rPr>
          <w:b/>
        </w:rPr>
        <w:t>personas</w:t>
      </w:r>
      <w:r>
        <w:rPr>
          <w:b/>
          <w:spacing w:val="-13"/>
        </w:rPr>
        <w:t xml:space="preserve"> </w:t>
      </w:r>
      <w:r>
        <w:rPr>
          <w:b/>
        </w:rPr>
        <w:t>mayores</w:t>
      </w:r>
      <w:r>
        <w:t>, en</w:t>
      </w:r>
      <w:r>
        <w:rPr>
          <w:spacing w:val="-2"/>
        </w:rPr>
        <w:t xml:space="preserve"> </w:t>
      </w:r>
      <w:r>
        <w:t>general</w:t>
      </w:r>
      <w:r>
        <w:rPr>
          <w:spacing w:val="-2"/>
        </w:rPr>
        <w:t xml:space="preserve"> </w:t>
      </w:r>
      <w:r>
        <w:t>el</w:t>
      </w:r>
      <w:r>
        <w:rPr>
          <w:spacing w:val="-3"/>
        </w:rPr>
        <w:t xml:space="preserve"> </w:t>
      </w:r>
      <w:r>
        <w:t>reporte</w:t>
      </w:r>
      <w:r>
        <w:rPr>
          <w:spacing w:val="-1"/>
        </w:rPr>
        <w:t xml:space="preserve"> </w:t>
      </w:r>
      <w:r>
        <w:t>en</w:t>
      </w:r>
      <w:r>
        <w:rPr>
          <w:spacing w:val="-2"/>
        </w:rPr>
        <w:t xml:space="preserve"> </w:t>
      </w:r>
      <w:r>
        <w:t>Colombia</w:t>
      </w:r>
      <w:r>
        <w:rPr>
          <w:spacing w:val="-2"/>
        </w:rPr>
        <w:t xml:space="preserve"> </w:t>
      </w:r>
      <w:r>
        <w:t>tiene</w:t>
      </w:r>
      <w:r>
        <w:rPr>
          <w:spacing w:val="-1"/>
        </w:rPr>
        <w:t xml:space="preserve"> </w:t>
      </w:r>
      <w:r>
        <w:t>frecuencias</w:t>
      </w:r>
      <w:r>
        <w:rPr>
          <w:spacing w:val="-2"/>
        </w:rPr>
        <w:t xml:space="preserve"> </w:t>
      </w:r>
      <w:r>
        <w:t>bajas.</w:t>
      </w:r>
      <w:r>
        <w:rPr>
          <w:spacing w:val="-1"/>
        </w:rPr>
        <w:t xml:space="preserve"> </w:t>
      </w:r>
      <w:r>
        <w:t>Es</w:t>
      </w:r>
      <w:r>
        <w:rPr>
          <w:spacing w:val="-2"/>
        </w:rPr>
        <w:t xml:space="preserve"> </w:t>
      </w:r>
      <w:r>
        <w:t>decir,</w:t>
      </w:r>
      <w:r>
        <w:rPr>
          <w:spacing w:val="-2"/>
        </w:rPr>
        <w:t xml:space="preserve"> </w:t>
      </w:r>
      <w:r>
        <w:t>que</w:t>
      </w:r>
      <w:r>
        <w:rPr>
          <w:spacing w:val="-1"/>
        </w:rPr>
        <w:t xml:space="preserve"> </w:t>
      </w:r>
      <w:r>
        <w:t>la mayoría de las personas en el país no participa de organizaciones o procesos</w:t>
      </w:r>
      <w:r>
        <w:rPr>
          <w:spacing w:val="38"/>
        </w:rPr>
        <w:t xml:space="preserve"> </w:t>
      </w:r>
      <w:r>
        <w:t>organizativos.</w:t>
      </w:r>
      <w:r>
        <w:rPr>
          <w:spacing w:val="39"/>
        </w:rPr>
        <w:t xml:space="preserve"> </w:t>
      </w:r>
      <w:r>
        <w:t>No</w:t>
      </w:r>
      <w:r>
        <w:rPr>
          <w:spacing w:val="41"/>
        </w:rPr>
        <w:t xml:space="preserve"> </w:t>
      </w:r>
      <w:r>
        <w:t>obstante,</w:t>
      </w:r>
      <w:r>
        <w:rPr>
          <w:spacing w:val="41"/>
        </w:rPr>
        <w:t xml:space="preserve"> </w:t>
      </w:r>
      <w:r>
        <w:t>hay</w:t>
      </w:r>
      <w:r>
        <w:rPr>
          <w:spacing w:val="38"/>
        </w:rPr>
        <w:t xml:space="preserve"> </w:t>
      </w:r>
      <w:r>
        <w:t>diferencias</w:t>
      </w:r>
      <w:r>
        <w:rPr>
          <w:spacing w:val="40"/>
        </w:rPr>
        <w:t xml:space="preserve"> </w:t>
      </w:r>
      <w:r>
        <w:t>entre</w:t>
      </w:r>
      <w:r>
        <w:rPr>
          <w:spacing w:val="41"/>
        </w:rPr>
        <w:t xml:space="preserve"> </w:t>
      </w:r>
      <w:r>
        <w:t>las</w:t>
      </w:r>
      <w:r>
        <w:rPr>
          <w:spacing w:val="39"/>
        </w:rPr>
        <w:t xml:space="preserve"> </w:t>
      </w:r>
      <w:r>
        <w:rPr>
          <w:spacing w:val="-2"/>
        </w:rPr>
        <w:t>personas</w:t>
      </w:r>
    </w:p>
    <w:p w14:paraId="7DF2BCAB" w14:textId="77777777" w:rsidR="000E52B0" w:rsidRDefault="00F60D74">
      <w:pPr>
        <w:pStyle w:val="Textoindependiente"/>
        <w:spacing w:before="6"/>
        <w:ind w:left="0"/>
        <w:rPr>
          <w:sz w:val="15"/>
        </w:rPr>
      </w:pPr>
      <w:r>
        <w:rPr>
          <w:noProof/>
          <w:sz w:val="15"/>
        </w:rPr>
        <mc:AlternateContent>
          <mc:Choice Requires="wps">
            <w:drawing>
              <wp:anchor distT="0" distB="0" distL="0" distR="0" simplePos="0" relativeHeight="487651840" behindDoc="1" locked="0" layoutInCell="1" allowOverlap="1" wp14:anchorId="70921204" wp14:editId="2ECA0516">
                <wp:simplePos x="0" y="0"/>
                <wp:positionH relativeFrom="page">
                  <wp:posOffset>914704</wp:posOffset>
                </wp:positionH>
                <wp:positionV relativeFrom="paragraph">
                  <wp:posOffset>135212</wp:posOffset>
                </wp:positionV>
                <wp:extent cx="1829435" cy="7620"/>
                <wp:effectExtent l="0" t="0" r="0" b="0"/>
                <wp:wrapTopAndBottom/>
                <wp:docPr id="529" name="Graphic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997E8F" id="Graphic 529" o:spid="_x0000_s1026" style="position:absolute;margin-left:1in;margin-top:10.65pt;width:144.05pt;height:.6pt;z-index:-156646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" path="m1829054,l,,,7619r1829054,l1829054,xe" fillcolor="black" stroked="f">
                <v:path arrowok="t"/>
                <w10:wrap type="topAndBottom" anchorx="page"/>
              </v:shape>
            </w:pict>
          </mc:Fallback>
        </mc:AlternateContent>
      </w:r>
    </w:p>
    <w:p w14:paraId="643CE847" w14:textId="77777777" w:rsidR="000E52B0" w:rsidRDefault="00F60D74">
      <w:pPr>
        <w:spacing w:before="96"/>
        <w:ind w:left="720" w:right="723"/>
        <w:jc w:val="both"/>
        <w:rPr>
          <w:rFonts w:ascii="Arial MT" w:hAnsi="Arial MT"/>
          <w:sz w:val="18"/>
        </w:rPr>
      </w:pPr>
      <w:bookmarkStart w:id="68" w:name="_bookmark68"/>
      <w:bookmarkEnd w:id="68"/>
      <w:r>
        <w:rPr>
          <w:rFonts w:ascii="Arial MT" w:hAnsi="Arial MT"/>
          <w:position w:val="6"/>
          <w:sz w:val="12"/>
        </w:rPr>
        <w:t>59</w:t>
      </w:r>
      <w:r>
        <w:rPr>
          <w:rFonts w:ascii="Arial MT" w:hAnsi="Arial MT"/>
          <w:spacing w:val="40"/>
          <w:position w:val="6"/>
          <w:sz w:val="12"/>
        </w:rPr>
        <w:t xml:space="preserve"> </w:t>
      </w:r>
      <w:r>
        <w:rPr>
          <w:rFonts w:ascii="Arial MT" w:hAnsi="Arial MT"/>
          <w:sz w:val="18"/>
        </w:rPr>
        <w:t xml:space="preserve">DANE. (2020). Información pobreza monetaria nacional 2020. Sitio web de la medición: </w:t>
      </w:r>
      <w:bookmarkStart w:id="69" w:name="_bookmark69"/>
      <w:bookmarkEnd w:id="69"/>
      <w:r>
        <w:fldChar w:fldCharType="begin"/>
      </w:r>
      <w:r>
        <w:instrText>HYPERLINK "https://www.dane.gov.co/index.php/estadisticas-portema/pobreza-y-condicionesde-vida/pobreza-monetaria" \h</w:instrText>
      </w:r>
      <w:r>
        <w:fldChar w:fldCharType="separate"/>
      </w:r>
      <w:r>
        <w:rPr>
          <w:rFonts w:ascii="Arial MT" w:hAnsi="Arial MT"/>
          <w:color w:val="E22C91"/>
          <w:spacing w:val="-2"/>
          <w:sz w:val="18"/>
          <w:u w:val="single" w:color="E22C91"/>
        </w:rPr>
        <w:t>https://www.dane.gov.co/index.php/estadisticas-portema/pobreza-y-condicionesde-vida/pobreza-monetaria</w:t>
      </w:r>
      <w:r>
        <w:fldChar w:fldCharType="end"/>
      </w:r>
    </w:p>
    <w:p w14:paraId="0FA7C4E3" w14:textId="77777777" w:rsidR="000E52B0" w:rsidRDefault="00F60D74">
      <w:pPr>
        <w:ind w:left="720" w:right="710"/>
        <w:jc w:val="both"/>
        <w:rPr>
          <w:rFonts w:ascii="Arial MT" w:hAnsi="Arial MT"/>
          <w:sz w:val="18"/>
        </w:rPr>
      </w:pPr>
      <w:r>
        <w:rPr>
          <w:rFonts w:ascii="Arial MT" w:hAnsi="Arial MT"/>
          <w:position w:val="6"/>
          <w:sz w:val="12"/>
        </w:rPr>
        <w:t>60</w:t>
      </w:r>
      <w:r>
        <w:rPr>
          <w:rFonts w:ascii="Arial MT" w:hAnsi="Arial MT"/>
          <w:spacing w:val="12"/>
          <w:position w:val="6"/>
          <w:sz w:val="12"/>
        </w:rPr>
        <w:t xml:space="preserve"> </w:t>
      </w:r>
      <w:proofErr w:type="gramStart"/>
      <w:r>
        <w:rPr>
          <w:rFonts w:ascii="Arial MT" w:hAnsi="Arial MT"/>
          <w:sz w:val="18"/>
        </w:rPr>
        <w:t>Departamento</w:t>
      </w:r>
      <w:proofErr w:type="gramEnd"/>
      <w:r>
        <w:rPr>
          <w:rFonts w:ascii="Arial MT" w:hAnsi="Arial MT"/>
          <w:spacing w:val="-5"/>
          <w:sz w:val="18"/>
        </w:rPr>
        <w:t xml:space="preserve"> </w:t>
      </w:r>
      <w:r>
        <w:rPr>
          <w:rFonts w:ascii="Arial MT" w:hAnsi="Arial MT"/>
          <w:sz w:val="18"/>
        </w:rPr>
        <w:t>Administrativo</w:t>
      </w:r>
      <w:r>
        <w:rPr>
          <w:rFonts w:ascii="Arial MT" w:hAnsi="Arial MT"/>
          <w:spacing w:val="-7"/>
          <w:sz w:val="18"/>
        </w:rPr>
        <w:t xml:space="preserve"> </w:t>
      </w:r>
      <w:r>
        <w:rPr>
          <w:rFonts w:ascii="Arial MT" w:hAnsi="Arial MT"/>
          <w:sz w:val="18"/>
        </w:rPr>
        <w:t>Nacional</w:t>
      </w:r>
      <w:r>
        <w:rPr>
          <w:rFonts w:ascii="Arial MT" w:hAnsi="Arial MT"/>
          <w:spacing w:val="-7"/>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Estadísticas -DANE</w:t>
      </w:r>
      <w:r>
        <w:rPr>
          <w:rFonts w:ascii="Arial MT" w:hAnsi="Arial MT"/>
          <w:spacing w:val="-6"/>
          <w:sz w:val="18"/>
        </w:rPr>
        <w:t xml:space="preserve"> </w:t>
      </w:r>
      <w:r>
        <w:rPr>
          <w:rFonts w:ascii="Arial MT" w:hAnsi="Arial MT"/>
          <w:sz w:val="18"/>
        </w:rPr>
        <w:t>(2021).</w:t>
      </w:r>
      <w:r>
        <w:rPr>
          <w:rFonts w:ascii="Arial MT" w:hAnsi="Arial MT"/>
          <w:spacing w:val="39"/>
          <w:sz w:val="18"/>
        </w:rPr>
        <w:t xml:space="preserve"> </w:t>
      </w:r>
      <w:r>
        <w:rPr>
          <w:rFonts w:ascii="Arial MT" w:hAnsi="Arial MT"/>
          <w:sz w:val="18"/>
        </w:rPr>
        <w:t>Nota</w:t>
      </w:r>
      <w:r>
        <w:rPr>
          <w:rFonts w:ascii="Arial MT" w:hAnsi="Arial MT"/>
          <w:spacing w:val="-7"/>
          <w:sz w:val="18"/>
        </w:rPr>
        <w:t xml:space="preserve"> </w:t>
      </w:r>
      <w:r>
        <w:rPr>
          <w:rFonts w:ascii="Arial MT" w:hAnsi="Arial MT"/>
          <w:sz w:val="18"/>
        </w:rPr>
        <w:t>Estadística</w:t>
      </w:r>
      <w:r>
        <w:rPr>
          <w:rFonts w:ascii="Arial MT" w:hAnsi="Arial MT"/>
          <w:spacing w:val="-5"/>
          <w:sz w:val="18"/>
        </w:rPr>
        <w:t xml:space="preserve"> </w:t>
      </w:r>
      <w:r>
        <w:rPr>
          <w:rFonts w:ascii="Arial MT" w:hAnsi="Arial MT"/>
          <w:sz w:val="18"/>
        </w:rPr>
        <w:t>Juventud</w:t>
      </w:r>
      <w:r>
        <w:rPr>
          <w:rFonts w:ascii="Arial MT" w:hAnsi="Arial MT"/>
          <w:spacing w:val="-5"/>
          <w:sz w:val="18"/>
        </w:rPr>
        <w:t xml:space="preserve"> </w:t>
      </w:r>
      <w:r>
        <w:rPr>
          <w:rFonts w:ascii="Arial MT" w:hAnsi="Arial MT"/>
          <w:sz w:val="18"/>
        </w:rPr>
        <w:t>en</w:t>
      </w:r>
      <w:r>
        <w:rPr>
          <w:rFonts w:ascii="Arial MT" w:hAnsi="Arial MT"/>
          <w:spacing w:val="-5"/>
          <w:sz w:val="18"/>
        </w:rPr>
        <w:t xml:space="preserve"> </w:t>
      </w:r>
      <w:r>
        <w:rPr>
          <w:rFonts w:ascii="Arial MT" w:hAnsi="Arial MT"/>
          <w:sz w:val="18"/>
        </w:rPr>
        <w:t xml:space="preserve">Colombia, 2021. </w:t>
      </w:r>
      <w:hyperlink r:id="rId179">
        <w:r w:rsidR="000E52B0">
          <w:rPr>
            <w:rFonts w:ascii="Arial MT" w:hAnsi="Arial MT"/>
            <w:color w:val="E22C91"/>
            <w:sz w:val="18"/>
            <w:u w:val="single" w:color="E22C91"/>
          </w:rPr>
          <w:t>https://www.dane.gov.co/files/investigaciones/notas-estadisticas/dic-2021-nota-estadistica-juventud-en-</w:t>
        </w:r>
      </w:hyperlink>
      <w:r>
        <w:rPr>
          <w:rFonts w:ascii="Arial MT" w:hAnsi="Arial MT"/>
          <w:color w:val="E22C91"/>
          <w:sz w:val="18"/>
        </w:rPr>
        <w:t xml:space="preserve"> </w:t>
      </w:r>
      <w:hyperlink r:id="rId180">
        <w:r w:rsidR="000E52B0">
          <w:rPr>
            <w:rFonts w:ascii="Arial MT" w:hAnsi="Arial MT"/>
            <w:color w:val="E22C91"/>
            <w:spacing w:val="-2"/>
            <w:sz w:val="18"/>
            <w:u w:val="single" w:color="E22C91"/>
          </w:rPr>
          <w:t>colombia.pdf</w:t>
        </w:r>
      </w:hyperlink>
    </w:p>
    <w:p w14:paraId="3238EAD1" w14:textId="77777777" w:rsidR="000E52B0" w:rsidRDefault="000E52B0">
      <w:pPr>
        <w:jc w:val="both"/>
        <w:rPr>
          <w:rFonts w:ascii="Arial MT" w:hAnsi="Arial MT"/>
          <w:sz w:val="18"/>
        </w:rPr>
        <w:sectPr w:rsidR="000E52B0">
          <w:pgSz w:w="11910" w:h="16840"/>
          <w:pgMar w:top="1340" w:right="720" w:bottom="1180" w:left="720" w:header="0" w:footer="995" w:gutter="0"/>
          <w:cols w:space="720"/>
        </w:sectPr>
      </w:pPr>
    </w:p>
    <w:p w14:paraId="4C953029" w14:textId="77777777" w:rsidR="000E52B0" w:rsidRDefault="00F60D74">
      <w:pPr>
        <w:pStyle w:val="Textoindependiente"/>
        <w:spacing w:before="83"/>
        <w:ind w:right="717"/>
        <w:jc w:val="both"/>
      </w:pPr>
      <w:r>
        <w:lastRenderedPageBreak/>
        <w:t>mayores, que pueden propiciar un mejor reconocimiento de su contribución, social, política y cultural. De acuerdo con la Encuesta de Cultura</w:t>
      </w:r>
      <w:r>
        <w:rPr>
          <w:spacing w:val="-15"/>
        </w:rPr>
        <w:t xml:space="preserve"> </w:t>
      </w:r>
      <w:r>
        <w:t>Política</w:t>
      </w:r>
      <w:r>
        <w:rPr>
          <w:spacing w:val="-16"/>
        </w:rPr>
        <w:t xml:space="preserve"> </w:t>
      </w:r>
      <w:r>
        <w:t>(EPC),</w:t>
      </w:r>
      <w:r>
        <w:rPr>
          <w:spacing w:val="-17"/>
        </w:rPr>
        <w:t xml:space="preserve"> </w:t>
      </w:r>
      <w:r>
        <w:t>2023</w:t>
      </w:r>
      <w:r>
        <w:rPr>
          <w:spacing w:val="-15"/>
        </w:rPr>
        <w:t xml:space="preserve"> </w:t>
      </w:r>
      <w:r>
        <w:t>del</w:t>
      </w:r>
      <w:r>
        <w:rPr>
          <w:spacing w:val="-17"/>
        </w:rPr>
        <w:t xml:space="preserve"> </w:t>
      </w:r>
      <w:r>
        <w:t>DANE,</w:t>
      </w:r>
      <w:r>
        <w:rPr>
          <w:spacing w:val="-17"/>
        </w:rPr>
        <w:t xml:space="preserve"> </w:t>
      </w:r>
      <w:r>
        <w:t>las</w:t>
      </w:r>
      <w:r>
        <w:rPr>
          <w:spacing w:val="-16"/>
        </w:rPr>
        <w:t xml:space="preserve"> </w:t>
      </w:r>
      <w:r>
        <w:t>personas</w:t>
      </w:r>
      <w:r>
        <w:rPr>
          <w:spacing w:val="-16"/>
        </w:rPr>
        <w:t xml:space="preserve"> </w:t>
      </w:r>
      <w:r>
        <w:t>mayores</w:t>
      </w:r>
      <w:r>
        <w:rPr>
          <w:spacing w:val="-19"/>
        </w:rPr>
        <w:t xml:space="preserve"> </w:t>
      </w:r>
      <w:r>
        <w:t>participan</w:t>
      </w:r>
      <w:r>
        <w:rPr>
          <w:spacing w:val="-17"/>
        </w:rPr>
        <w:t xml:space="preserve"> </w:t>
      </w:r>
      <w:r>
        <w:t>con más frecuencia de procesos asociados a juntas de acción comunal, organizaciones religiosas y organizaciones comunitarias que las personas entre 29 y 59 años.</w:t>
      </w:r>
    </w:p>
    <w:p w14:paraId="126585BD" w14:textId="77777777" w:rsidR="000E52B0" w:rsidRDefault="00F60D74">
      <w:pPr>
        <w:spacing w:before="158"/>
        <w:jc w:val="center"/>
        <w:rPr>
          <w:i/>
          <w:sz w:val="18"/>
        </w:rPr>
      </w:pPr>
      <w:r>
        <w:rPr>
          <w:i/>
          <w:color w:val="454551"/>
          <w:sz w:val="18"/>
        </w:rPr>
        <w:t>Ilustración</w:t>
      </w:r>
      <w:r>
        <w:rPr>
          <w:i/>
          <w:color w:val="454551"/>
          <w:spacing w:val="-4"/>
          <w:sz w:val="18"/>
        </w:rPr>
        <w:t xml:space="preserve"> </w:t>
      </w:r>
      <w:r>
        <w:rPr>
          <w:i/>
          <w:color w:val="454551"/>
          <w:sz w:val="18"/>
        </w:rPr>
        <w:t>42.</w:t>
      </w:r>
      <w:r>
        <w:rPr>
          <w:i/>
          <w:color w:val="454551"/>
          <w:spacing w:val="-4"/>
          <w:sz w:val="18"/>
        </w:rPr>
        <w:t xml:space="preserve"> </w:t>
      </w:r>
      <w:r>
        <w:rPr>
          <w:i/>
          <w:color w:val="454551"/>
          <w:sz w:val="18"/>
        </w:rPr>
        <w:t>Pertenencia</w:t>
      </w:r>
      <w:r>
        <w:rPr>
          <w:i/>
          <w:color w:val="454551"/>
          <w:spacing w:val="-5"/>
          <w:sz w:val="18"/>
        </w:rPr>
        <w:t xml:space="preserve"> </w:t>
      </w:r>
      <w:r>
        <w:rPr>
          <w:i/>
          <w:color w:val="454551"/>
          <w:sz w:val="18"/>
        </w:rPr>
        <w:t>y</w:t>
      </w:r>
      <w:r>
        <w:rPr>
          <w:i/>
          <w:color w:val="454551"/>
          <w:spacing w:val="-4"/>
          <w:sz w:val="18"/>
        </w:rPr>
        <w:t xml:space="preserve"> </w:t>
      </w:r>
      <w:r>
        <w:rPr>
          <w:i/>
          <w:color w:val="454551"/>
          <w:sz w:val="18"/>
        </w:rPr>
        <w:t>participación</w:t>
      </w:r>
      <w:r>
        <w:rPr>
          <w:i/>
          <w:color w:val="454551"/>
          <w:spacing w:val="-2"/>
          <w:sz w:val="18"/>
        </w:rPr>
        <w:t xml:space="preserve"> </w:t>
      </w:r>
      <w:r>
        <w:rPr>
          <w:i/>
          <w:color w:val="454551"/>
          <w:sz w:val="18"/>
        </w:rPr>
        <w:t>según</w:t>
      </w:r>
      <w:r>
        <w:rPr>
          <w:i/>
          <w:color w:val="454551"/>
          <w:spacing w:val="-2"/>
          <w:sz w:val="18"/>
        </w:rPr>
        <w:t xml:space="preserve"> </w:t>
      </w:r>
      <w:r>
        <w:rPr>
          <w:i/>
          <w:color w:val="454551"/>
          <w:sz w:val="18"/>
        </w:rPr>
        <w:t>tipo</w:t>
      </w:r>
      <w:r>
        <w:rPr>
          <w:i/>
          <w:color w:val="454551"/>
          <w:spacing w:val="-5"/>
          <w:sz w:val="18"/>
        </w:rPr>
        <w:t xml:space="preserve"> </w:t>
      </w:r>
      <w:r>
        <w:rPr>
          <w:i/>
          <w:color w:val="454551"/>
          <w:sz w:val="18"/>
        </w:rPr>
        <w:t>de</w:t>
      </w:r>
      <w:r>
        <w:rPr>
          <w:i/>
          <w:color w:val="454551"/>
          <w:spacing w:val="-3"/>
          <w:sz w:val="18"/>
        </w:rPr>
        <w:t xml:space="preserve"> </w:t>
      </w:r>
      <w:r>
        <w:rPr>
          <w:i/>
          <w:color w:val="454551"/>
          <w:sz w:val="18"/>
        </w:rPr>
        <w:t>espacio</w:t>
      </w:r>
      <w:r>
        <w:rPr>
          <w:i/>
          <w:color w:val="454551"/>
          <w:spacing w:val="-2"/>
          <w:sz w:val="18"/>
        </w:rPr>
        <w:t xml:space="preserve"> </w:t>
      </w:r>
      <w:r>
        <w:rPr>
          <w:i/>
          <w:color w:val="454551"/>
          <w:sz w:val="18"/>
        </w:rPr>
        <w:t>por</w:t>
      </w:r>
      <w:r>
        <w:rPr>
          <w:i/>
          <w:color w:val="454551"/>
          <w:spacing w:val="-3"/>
          <w:sz w:val="18"/>
        </w:rPr>
        <w:t xml:space="preserve"> </w:t>
      </w:r>
      <w:r>
        <w:rPr>
          <w:i/>
          <w:color w:val="454551"/>
          <w:sz w:val="18"/>
        </w:rPr>
        <w:t>rangos</w:t>
      </w:r>
      <w:r>
        <w:rPr>
          <w:i/>
          <w:color w:val="454551"/>
          <w:spacing w:val="-3"/>
          <w:sz w:val="18"/>
        </w:rPr>
        <w:t xml:space="preserve"> </w:t>
      </w:r>
      <w:r>
        <w:rPr>
          <w:i/>
          <w:color w:val="454551"/>
          <w:spacing w:val="-2"/>
          <w:sz w:val="18"/>
        </w:rPr>
        <w:t>etarios.</w:t>
      </w:r>
    </w:p>
    <w:p w14:paraId="5BC86C44" w14:textId="77777777" w:rsidR="000E52B0" w:rsidRDefault="000E52B0">
      <w:pPr>
        <w:pStyle w:val="Textoindependiente"/>
        <w:spacing w:before="5"/>
        <w:ind w:left="0"/>
        <w:rPr>
          <w:i/>
          <w:sz w:val="16"/>
        </w:r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4"/>
        <w:gridCol w:w="1560"/>
        <w:gridCol w:w="1557"/>
        <w:gridCol w:w="1560"/>
        <w:gridCol w:w="1569"/>
      </w:tblGrid>
      <w:tr w:rsidR="000E52B0" w14:paraId="1C50EB2A" w14:textId="77777777">
        <w:trPr>
          <w:trHeight w:val="1254"/>
        </w:trPr>
        <w:tc>
          <w:tcPr>
            <w:tcW w:w="3824" w:type="dxa"/>
            <w:vMerge w:val="restart"/>
            <w:shd w:val="clear" w:color="auto" w:fill="D44673"/>
          </w:tcPr>
          <w:p w14:paraId="32EE46EB" w14:textId="77777777" w:rsidR="000E52B0" w:rsidRDefault="000E52B0">
            <w:pPr>
              <w:pStyle w:val="TableParagraph"/>
              <w:rPr>
                <w:i/>
                <w:sz w:val="18"/>
              </w:rPr>
            </w:pPr>
          </w:p>
          <w:p w14:paraId="7A237385" w14:textId="77777777" w:rsidR="000E52B0" w:rsidRDefault="000E52B0">
            <w:pPr>
              <w:pStyle w:val="TableParagraph"/>
              <w:rPr>
                <w:i/>
                <w:sz w:val="18"/>
              </w:rPr>
            </w:pPr>
          </w:p>
          <w:p w14:paraId="3D13A077" w14:textId="77777777" w:rsidR="000E52B0" w:rsidRDefault="000E52B0">
            <w:pPr>
              <w:pStyle w:val="TableParagraph"/>
              <w:spacing w:before="194"/>
              <w:rPr>
                <w:i/>
                <w:sz w:val="18"/>
              </w:rPr>
            </w:pPr>
          </w:p>
          <w:p w14:paraId="34FFC57B" w14:textId="77777777" w:rsidR="000E52B0" w:rsidRDefault="00F60D74">
            <w:pPr>
              <w:pStyle w:val="TableParagraph"/>
              <w:ind w:left="71"/>
              <w:rPr>
                <w:b/>
                <w:sz w:val="18"/>
              </w:rPr>
            </w:pPr>
            <w:r>
              <w:rPr>
                <w:b/>
                <w:color w:val="FFFFFF"/>
                <w:sz w:val="18"/>
              </w:rPr>
              <w:t xml:space="preserve">Tipo de </w:t>
            </w:r>
            <w:r>
              <w:rPr>
                <w:b/>
                <w:color w:val="FFFFFF"/>
                <w:spacing w:val="-2"/>
                <w:sz w:val="18"/>
              </w:rPr>
              <w:t>organización</w:t>
            </w:r>
          </w:p>
        </w:tc>
        <w:tc>
          <w:tcPr>
            <w:tcW w:w="3117" w:type="dxa"/>
            <w:gridSpan w:val="2"/>
            <w:shd w:val="clear" w:color="auto" w:fill="D44673"/>
          </w:tcPr>
          <w:p w14:paraId="5347C7C4" w14:textId="77777777" w:rsidR="000E52B0" w:rsidRDefault="000E52B0">
            <w:pPr>
              <w:pStyle w:val="TableParagraph"/>
              <w:rPr>
                <w:i/>
                <w:sz w:val="18"/>
              </w:rPr>
            </w:pPr>
          </w:p>
          <w:p w14:paraId="03C77A01" w14:textId="77777777" w:rsidR="000E52B0" w:rsidRDefault="00F60D74">
            <w:pPr>
              <w:pStyle w:val="TableParagraph"/>
              <w:spacing w:before="1"/>
              <w:ind w:left="165" w:right="151" w:hanging="1"/>
              <w:jc w:val="center"/>
              <w:rPr>
                <w:b/>
                <w:sz w:val="18"/>
              </w:rPr>
            </w:pPr>
            <w:r>
              <w:rPr>
                <w:b/>
                <w:color w:val="FFFFFF"/>
                <w:sz w:val="18"/>
              </w:rPr>
              <w:t>Pertenece a alguno de los siguientes grupos, organizaciones</w:t>
            </w:r>
            <w:r>
              <w:rPr>
                <w:b/>
                <w:color w:val="FFFFFF"/>
                <w:spacing w:val="-16"/>
                <w:sz w:val="18"/>
              </w:rPr>
              <w:t xml:space="preserve"> </w:t>
            </w:r>
            <w:r>
              <w:rPr>
                <w:b/>
                <w:color w:val="FFFFFF"/>
                <w:sz w:val="18"/>
              </w:rPr>
              <w:t>o</w:t>
            </w:r>
            <w:r>
              <w:rPr>
                <w:b/>
                <w:color w:val="FFFFFF"/>
                <w:spacing w:val="-15"/>
                <w:sz w:val="18"/>
              </w:rPr>
              <w:t xml:space="preserve"> </w:t>
            </w:r>
            <w:r>
              <w:rPr>
                <w:b/>
                <w:color w:val="FFFFFF"/>
                <w:sz w:val="18"/>
              </w:rPr>
              <w:t>instancias</w:t>
            </w:r>
          </w:p>
        </w:tc>
        <w:tc>
          <w:tcPr>
            <w:tcW w:w="3129" w:type="dxa"/>
            <w:gridSpan w:val="2"/>
            <w:shd w:val="clear" w:color="auto" w:fill="D44673"/>
          </w:tcPr>
          <w:p w14:paraId="16A03D00" w14:textId="77777777" w:rsidR="000E52B0" w:rsidRDefault="00F60D74">
            <w:pPr>
              <w:pStyle w:val="TableParagraph"/>
              <w:spacing w:before="1"/>
              <w:ind w:left="162" w:right="146" w:firstLine="1"/>
              <w:jc w:val="center"/>
              <w:rPr>
                <w:b/>
                <w:sz w:val="18"/>
              </w:rPr>
            </w:pPr>
            <w:r>
              <w:rPr>
                <w:b/>
                <w:color w:val="FFFFFF"/>
                <w:sz w:val="18"/>
              </w:rPr>
              <w:t>En el último año, asistió a reuniones de, o tuvo contacto</w:t>
            </w:r>
            <w:r>
              <w:rPr>
                <w:b/>
                <w:color w:val="FFFFFF"/>
                <w:spacing w:val="-13"/>
                <w:sz w:val="18"/>
              </w:rPr>
              <w:t xml:space="preserve"> </w:t>
            </w:r>
            <w:r>
              <w:rPr>
                <w:b/>
                <w:color w:val="FFFFFF"/>
                <w:sz w:val="18"/>
              </w:rPr>
              <w:t>con,</w:t>
            </w:r>
            <w:r>
              <w:rPr>
                <w:b/>
                <w:color w:val="FFFFFF"/>
                <w:spacing w:val="-14"/>
                <w:sz w:val="18"/>
              </w:rPr>
              <w:t xml:space="preserve"> </w:t>
            </w:r>
            <w:r>
              <w:rPr>
                <w:b/>
                <w:color w:val="FFFFFF"/>
                <w:sz w:val="18"/>
              </w:rPr>
              <w:t>los</w:t>
            </w:r>
            <w:r>
              <w:rPr>
                <w:b/>
                <w:color w:val="FFFFFF"/>
                <w:spacing w:val="-15"/>
                <w:sz w:val="18"/>
              </w:rPr>
              <w:t xml:space="preserve"> </w:t>
            </w:r>
            <w:r>
              <w:rPr>
                <w:b/>
                <w:color w:val="FFFFFF"/>
                <w:sz w:val="18"/>
              </w:rPr>
              <w:t xml:space="preserve">siguientes grupos, organizaciones o </w:t>
            </w:r>
            <w:r>
              <w:rPr>
                <w:b/>
                <w:color w:val="FFFFFF"/>
                <w:spacing w:val="-2"/>
                <w:sz w:val="18"/>
              </w:rPr>
              <w:t>instancias…</w:t>
            </w:r>
          </w:p>
        </w:tc>
      </w:tr>
      <w:tr w:rsidR="000E52B0" w14:paraId="2220CE6F" w14:textId="77777777">
        <w:trPr>
          <w:trHeight w:val="816"/>
        </w:trPr>
        <w:tc>
          <w:tcPr>
            <w:tcW w:w="3824" w:type="dxa"/>
            <w:vMerge/>
            <w:tcBorders>
              <w:top w:val="nil"/>
            </w:tcBorders>
            <w:shd w:val="clear" w:color="auto" w:fill="D44673"/>
          </w:tcPr>
          <w:p w14:paraId="675A6CA4" w14:textId="77777777" w:rsidR="000E52B0" w:rsidRDefault="000E52B0">
            <w:pPr>
              <w:rPr>
                <w:sz w:val="2"/>
                <w:szCs w:val="2"/>
              </w:rPr>
            </w:pPr>
          </w:p>
        </w:tc>
        <w:tc>
          <w:tcPr>
            <w:tcW w:w="1560" w:type="dxa"/>
            <w:shd w:val="clear" w:color="auto" w:fill="D44673"/>
          </w:tcPr>
          <w:p w14:paraId="1306CD3C" w14:textId="77777777" w:rsidR="000E52B0" w:rsidRDefault="00F60D74">
            <w:pPr>
              <w:pStyle w:val="TableParagraph"/>
              <w:ind w:left="105" w:right="90" w:hanging="3"/>
              <w:jc w:val="center"/>
              <w:rPr>
                <w:b/>
                <w:sz w:val="18"/>
              </w:rPr>
            </w:pPr>
            <w:r>
              <w:rPr>
                <w:b/>
                <w:color w:val="FFFFFF"/>
                <w:spacing w:val="-2"/>
                <w:sz w:val="18"/>
              </w:rPr>
              <w:t xml:space="preserve">Personas </w:t>
            </w:r>
            <w:r>
              <w:rPr>
                <w:b/>
                <w:color w:val="FFFFFF"/>
                <w:sz w:val="18"/>
              </w:rPr>
              <w:t>entre</w:t>
            </w:r>
            <w:r>
              <w:rPr>
                <w:b/>
                <w:color w:val="FFFFFF"/>
                <w:spacing w:val="-13"/>
                <w:sz w:val="18"/>
              </w:rPr>
              <w:t xml:space="preserve"> </w:t>
            </w:r>
            <w:r>
              <w:rPr>
                <w:b/>
                <w:color w:val="FFFFFF"/>
                <w:sz w:val="18"/>
              </w:rPr>
              <w:t>29</w:t>
            </w:r>
            <w:r>
              <w:rPr>
                <w:b/>
                <w:color w:val="FFFFFF"/>
                <w:spacing w:val="-14"/>
                <w:sz w:val="18"/>
              </w:rPr>
              <w:t xml:space="preserve"> </w:t>
            </w:r>
            <w:r>
              <w:rPr>
                <w:b/>
                <w:color w:val="FFFFFF"/>
                <w:sz w:val="18"/>
              </w:rPr>
              <w:t>y</w:t>
            </w:r>
            <w:r>
              <w:rPr>
                <w:b/>
                <w:color w:val="FFFFFF"/>
                <w:spacing w:val="-13"/>
                <w:sz w:val="18"/>
              </w:rPr>
              <w:t xml:space="preserve"> </w:t>
            </w:r>
            <w:r>
              <w:rPr>
                <w:b/>
                <w:color w:val="FFFFFF"/>
                <w:sz w:val="18"/>
              </w:rPr>
              <w:t xml:space="preserve">59 </w:t>
            </w:r>
            <w:r>
              <w:rPr>
                <w:b/>
                <w:color w:val="FFFFFF"/>
                <w:spacing w:val="-4"/>
                <w:sz w:val="18"/>
              </w:rPr>
              <w:t>años</w:t>
            </w:r>
          </w:p>
        </w:tc>
        <w:tc>
          <w:tcPr>
            <w:tcW w:w="1557" w:type="dxa"/>
            <w:shd w:val="clear" w:color="auto" w:fill="D44673"/>
          </w:tcPr>
          <w:p w14:paraId="06FC41BB" w14:textId="77777777" w:rsidR="000E52B0" w:rsidRDefault="00F60D74">
            <w:pPr>
              <w:pStyle w:val="TableParagraph"/>
              <w:ind w:left="106" w:right="94"/>
              <w:jc w:val="center"/>
              <w:rPr>
                <w:b/>
                <w:sz w:val="18"/>
              </w:rPr>
            </w:pPr>
            <w:r>
              <w:rPr>
                <w:b/>
                <w:color w:val="FFFFFF"/>
                <w:sz w:val="18"/>
              </w:rPr>
              <w:t>Personas</w:t>
            </w:r>
            <w:r>
              <w:rPr>
                <w:b/>
                <w:color w:val="FFFFFF"/>
                <w:spacing w:val="-16"/>
                <w:sz w:val="18"/>
              </w:rPr>
              <w:t xml:space="preserve"> </w:t>
            </w:r>
            <w:r>
              <w:rPr>
                <w:b/>
                <w:color w:val="FFFFFF"/>
                <w:sz w:val="18"/>
              </w:rPr>
              <w:t xml:space="preserve">de 60 años o </w:t>
            </w:r>
            <w:r>
              <w:rPr>
                <w:b/>
                <w:color w:val="FFFFFF"/>
                <w:spacing w:val="-4"/>
                <w:sz w:val="18"/>
              </w:rPr>
              <w:t>más</w:t>
            </w:r>
          </w:p>
        </w:tc>
        <w:tc>
          <w:tcPr>
            <w:tcW w:w="1560" w:type="dxa"/>
            <w:shd w:val="clear" w:color="auto" w:fill="D44673"/>
          </w:tcPr>
          <w:p w14:paraId="167248A0" w14:textId="77777777" w:rsidR="000E52B0" w:rsidRDefault="00F60D74">
            <w:pPr>
              <w:pStyle w:val="TableParagraph"/>
              <w:ind w:left="106" w:right="89" w:hanging="2"/>
              <w:jc w:val="center"/>
              <w:rPr>
                <w:b/>
                <w:sz w:val="18"/>
              </w:rPr>
            </w:pPr>
            <w:r>
              <w:rPr>
                <w:b/>
                <w:color w:val="FFFFFF"/>
                <w:spacing w:val="-2"/>
                <w:sz w:val="18"/>
              </w:rPr>
              <w:t xml:space="preserve">Personas </w:t>
            </w:r>
            <w:r>
              <w:rPr>
                <w:b/>
                <w:color w:val="FFFFFF"/>
                <w:sz w:val="18"/>
              </w:rPr>
              <w:t>entre</w:t>
            </w:r>
            <w:r>
              <w:rPr>
                <w:b/>
                <w:color w:val="FFFFFF"/>
                <w:spacing w:val="-13"/>
                <w:sz w:val="18"/>
              </w:rPr>
              <w:t xml:space="preserve"> </w:t>
            </w:r>
            <w:r>
              <w:rPr>
                <w:b/>
                <w:color w:val="FFFFFF"/>
                <w:sz w:val="18"/>
              </w:rPr>
              <w:t>29</w:t>
            </w:r>
            <w:r>
              <w:rPr>
                <w:b/>
                <w:color w:val="FFFFFF"/>
                <w:spacing w:val="-14"/>
                <w:sz w:val="18"/>
              </w:rPr>
              <w:t xml:space="preserve"> </w:t>
            </w:r>
            <w:r>
              <w:rPr>
                <w:b/>
                <w:color w:val="FFFFFF"/>
                <w:sz w:val="18"/>
              </w:rPr>
              <w:t>y</w:t>
            </w:r>
            <w:r>
              <w:rPr>
                <w:b/>
                <w:color w:val="FFFFFF"/>
                <w:spacing w:val="-13"/>
                <w:sz w:val="18"/>
              </w:rPr>
              <w:t xml:space="preserve"> </w:t>
            </w:r>
            <w:r>
              <w:rPr>
                <w:b/>
                <w:color w:val="FFFFFF"/>
                <w:sz w:val="18"/>
              </w:rPr>
              <w:t xml:space="preserve">59 </w:t>
            </w:r>
            <w:r>
              <w:rPr>
                <w:b/>
                <w:color w:val="FFFFFF"/>
                <w:spacing w:val="-4"/>
                <w:sz w:val="18"/>
              </w:rPr>
              <w:t>años</w:t>
            </w:r>
          </w:p>
        </w:tc>
        <w:tc>
          <w:tcPr>
            <w:tcW w:w="1569" w:type="dxa"/>
            <w:shd w:val="clear" w:color="auto" w:fill="D44673"/>
          </w:tcPr>
          <w:p w14:paraId="3958E39D" w14:textId="77777777" w:rsidR="000E52B0" w:rsidRDefault="00F60D74">
            <w:pPr>
              <w:pStyle w:val="TableParagraph"/>
              <w:ind w:left="112" w:right="100"/>
              <w:jc w:val="center"/>
              <w:rPr>
                <w:b/>
                <w:sz w:val="18"/>
              </w:rPr>
            </w:pPr>
            <w:r>
              <w:rPr>
                <w:b/>
                <w:color w:val="FFFFFF"/>
                <w:sz w:val="18"/>
              </w:rPr>
              <w:t>Personas</w:t>
            </w:r>
            <w:r>
              <w:rPr>
                <w:b/>
                <w:color w:val="FFFFFF"/>
                <w:spacing w:val="-16"/>
                <w:sz w:val="18"/>
              </w:rPr>
              <w:t xml:space="preserve"> </w:t>
            </w:r>
            <w:r>
              <w:rPr>
                <w:b/>
                <w:color w:val="FFFFFF"/>
                <w:sz w:val="18"/>
              </w:rPr>
              <w:t xml:space="preserve">de 60 años o </w:t>
            </w:r>
            <w:r>
              <w:rPr>
                <w:b/>
                <w:color w:val="FFFFFF"/>
                <w:spacing w:val="-4"/>
                <w:sz w:val="18"/>
              </w:rPr>
              <w:t>más</w:t>
            </w:r>
          </w:p>
        </w:tc>
      </w:tr>
      <w:tr w:rsidR="000E52B0" w14:paraId="439A6988" w14:textId="77777777">
        <w:trPr>
          <w:trHeight w:val="299"/>
        </w:trPr>
        <w:tc>
          <w:tcPr>
            <w:tcW w:w="3824" w:type="dxa"/>
          </w:tcPr>
          <w:p w14:paraId="5F9C4E57" w14:textId="77777777" w:rsidR="000E52B0" w:rsidRDefault="00F60D74">
            <w:pPr>
              <w:pStyle w:val="TableParagraph"/>
              <w:spacing w:before="80" w:line="199" w:lineRule="exact"/>
              <w:ind w:left="71"/>
              <w:rPr>
                <w:b/>
                <w:sz w:val="18"/>
              </w:rPr>
            </w:pPr>
            <w:r>
              <w:rPr>
                <w:b/>
                <w:sz w:val="18"/>
              </w:rPr>
              <w:t>Junta</w:t>
            </w:r>
            <w:r>
              <w:rPr>
                <w:b/>
                <w:spacing w:val="-2"/>
                <w:sz w:val="18"/>
              </w:rPr>
              <w:t xml:space="preserve"> </w:t>
            </w:r>
            <w:r>
              <w:rPr>
                <w:b/>
                <w:sz w:val="18"/>
              </w:rPr>
              <w:t>de</w:t>
            </w:r>
            <w:r>
              <w:rPr>
                <w:b/>
                <w:spacing w:val="-2"/>
                <w:sz w:val="18"/>
              </w:rPr>
              <w:t xml:space="preserve"> </w:t>
            </w:r>
            <w:r>
              <w:rPr>
                <w:b/>
                <w:sz w:val="18"/>
              </w:rPr>
              <w:t>Acción</w:t>
            </w:r>
            <w:r>
              <w:rPr>
                <w:b/>
                <w:spacing w:val="-2"/>
                <w:sz w:val="18"/>
              </w:rPr>
              <w:t xml:space="preserve"> Comunal</w:t>
            </w:r>
          </w:p>
        </w:tc>
        <w:tc>
          <w:tcPr>
            <w:tcW w:w="1560" w:type="dxa"/>
          </w:tcPr>
          <w:p w14:paraId="0A764D87" w14:textId="77777777" w:rsidR="000E52B0" w:rsidRDefault="00F60D74">
            <w:pPr>
              <w:pStyle w:val="TableParagraph"/>
              <w:spacing w:line="218" w:lineRule="exact"/>
              <w:ind w:left="16" w:right="3"/>
              <w:jc w:val="center"/>
              <w:rPr>
                <w:sz w:val="18"/>
              </w:rPr>
            </w:pPr>
            <w:r>
              <w:rPr>
                <w:spacing w:val="-4"/>
                <w:sz w:val="18"/>
              </w:rPr>
              <w:t>5,5%</w:t>
            </w:r>
          </w:p>
        </w:tc>
        <w:tc>
          <w:tcPr>
            <w:tcW w:w="1557" w:type="dxa"/>
            <w:shd w:val="clear" w:color="auto" w:fill="FFC000"/>
          </w:tcPr>
          <w:p w14:paraId="7788F96C" w14:textId="77777777" w:rsidR="000E52B0" w:rsidRDefault="00F60D74">
            <w:pPr>
              <w:pStyle w:val="TableParagraph"/>
              <w:spacing w:line="218" w:lineRule="exact"/>
              <w:ind w:left="106" w:right="94"/>
              <w:jc w:val="center"/>
              <w:rPr>
                <w:sz w:val="18"/>
              </w:rPr>
            </w:pPr>
            <w:r>
              <w:rPr>
                <w:spacing w:val="-4"/>
                <w:sz w:val="18"/>
              </w:rPr>
              <w:t>6,7%</w:t>
            </w:r>
          </w:p>
        </w:tc>
        <w:tc>
          <w:tcPr>
            <w:tcW w:w="1560" w:type="dxa"/>
          </w:tcPr>
          <w:p w14:paraId="5CD5AC14" w14:textId="77777777" w:rsidR="000E52B0" w:rsidRDefault="00F60D74">
            <w:pPr>
              <w:pStyle w:val="TableParagraph"/>
              <w:spacing w:line="218" w:lineRule="exact"/>
              <w:ind w:left="16"/>
              <w:jc w:val="center"/>
              <w:rPr>
                <w:sz w:val="18"/>
              </w:rPr>
            </w:pPr>
            <w:r>
              <w:rPr>
                <w:spacing w:val="-2"/>
                <w:sz w:val="18"/>
              </w:rPr>
              <w:t>11,3%</w:t>
            </w:r>
          </w:p>
        </w:tc>
        <w:tc>
          <w:tcPr>
            <w:tcW w:w="1569" w:type="dxa"/>
            <w:shd w:val="clear" w:color="auto" w:fill="FFC000"/>
          </w:tcPr>
          <w:p w14:paraId="0C37613F" w14:textId="77777777" w:rsidR="000E52B0" w:rsidRDefault="00F60D74">
            <w:pPr>
              <w:pStyle w:val="TableParagraph"/>
              <w:spacing w:line="218" w:lineRule="exact"/>
              <w:ind w:left="112" w:right="100"/>
              <w:jc w:val="center"/>
              <w:rPr>
                <w:sz w:val="18"/>
              </w:rPr>
            </w:pPr>
            <w:r>
              <w:rPr>
                <w:spacing w:val="-2"/>
                <w:sz w:val="18"/>
              </w:rPr>
              <w:t>12,8%</w:t>
            </w:r>
          </w:p>
        </w:tc>
      </w:tr>
      <w:tr w:rsidR="000E52B0" w14:paraId="4E28EB2A" w14:textId="77777777">
        <w:trPr>
          <w:trHeight w:val="302"/>
        </w:trPr>
        <w:tc>
          <w:tcPr>
            <w:tcW w:w="3824" w:type="dxa"/>
          </w:tcPr>
          <w:p w14:paraId="15CF505D" w14:textId="77777777" w:rsidR="000E52B0" w:rsidRDefault="00F60D74">
            <w:pPr>
              <w:pStyle w:val="TableParagraph"/>
              <w:spacing w:before="80" w:line="202" w:lineRule="exact"/>
              <w:ind w:left="71"/>
              <w:rPr>
                <w:b/>
                <w:sz w:val="18"/>
              </w:rPr>
            </w:pPr>
            <w:r>
              <w:rPr>
                <w:b/>
                <w:sz w:val="18"/>
              </w:rPr>
              <w:t>Un</w:t>
            </w:r>
            <w:r>
              <w:rPr>
                <w:b/>
                <w:spacing w:val="-4"/>
                <w:sz w:val="18"/>
              </w:rPr>
              <w:t xml:space="preserve"> </w:t>
            </w:r>
            <w:r>
              <w:rPr>
                <w:b/>
                <w:sz w:val="18"/>
              </w:rPr>
              <w:t>grupo</w:t>
            </w:r>
            <w:r>
              <w:rPr>
                <w:b/>
                <w:spacing w:val="-3"/>
                <w:sz w:val="18"/>
              </w:rPr>
              <w:t xml:space="preserve"> </w:t>
            </w:r>
            <w:r>
              <w:rPr>
                <w:b/>
                <w:sz w:val="18"/>
              </w:rPr>
              <w:t>u</w:t>
            </w:r>
            <w:r>
              <w:rPr>
                <w:b/>
                <w:spacing w:val="-4"/>
                <w:sz w:val="18"/>
              </w:rPr>
              <w:t xml:space="preserve"> </w:t>
            </w:r>
            <w:r>
              <w:rPr>
                <w:b/>
                <w:sz w:val="18"/>
              </w:rPr>
              <w:t>organización</w:t>
            </w:r>
            <w:r>
              <w:rPr>
                <w:b/>
                <w:spacing w:val="-3"/>
                <w:sz w:val="18"/>
              </w:rPr>
              <w:t xml:space="preserve"> </w:t>
            </w:r>
            <w:r>
              <w:rPr>
                <w:b/>
                <w:spacing w:val="-2"/>
                <w:sz w:val="18"/>
              </w:rPr>
              <w:t>religiosa</w:t>
            </w:r>
          </w:p>
        </w:tc>
        <w:tc>
          <w:tcPr>
            <w:tcW w:w="1560" w:type="dxa"/>
          </w:tcPr>
          <w:p w14:paraId="4D4ABDFA" w14:textId="77777777" w:rsidR="000E52B0" w:rsidRDefault="00F60D74">
            <w:pPr>
              <w:pStyle w:val="TableParagraph"/>
              <w:spacing w:before="1"/>
              <w:ind w:left="16" w:right="3"/>
              <w:jc w:val="center"/>
              <w:rPr>
                <w:sz w:val="18"/>
              </w:rPr>
            </w:pPr>
            <w:r>
              <w:rPr>
                <w:spacing w:val="-4"/>
                <w:sz w:val="18"/>
              </w:rPr>
              <w:t>4,2%</w:t>
            </w:r>
          </w:p>
        </w:tc>
        <w:tc>
          <w:tcPr>
            <w:tcW w:w="1557" w:type="dxa"/>
            <w:shd w:val="clear" w:color="auto" w:fill="FFC000"/>
          </w:tcPr>
          <w:p w14:paraId="4766F085" w14:textId="77777777" w:rsidR="000E52B0" w:rsidRDefault="00F60D74">
            <w:pPr>
              <w:pStyle w:val="TableParagraph"/>
              <w:spacing w:before="1"/>
              <w:ind w:left="106" w:right="94"/>
              <w:jc w:val="center"/>
              <w:rPr>
                <w:sz w:val="18"/>
              </w:rPr>
            </w:pPr>
            <w:r>
              <w:rPr>
                <w:spacing w:val="-4"/>
                <w:sz w:val="18"/>
              </w:rPr>
              <w:t>6,8%</w:t>
            </w:r>
          </w:p>
        </w:tc>
        <w:tc>
          <w:tcPr>
            <w:tcW w:w="1560" w:type="dxa"/>
          </w:tcPr>
          <w:p w14:paraId="5325E9D8" w14:textId="77777777" w:rsidR="000E52B0" w:rsidRDefault="00F60D74">
            <w:pPr>
              <w:pStyle w:val="TableParagraph"/>
              <w:spacing w:before="1"/>
              <w:ind w:left="16"/>
              <w:jc w:val="center"/>
              <w:rPr>
                <w:sz w:val="18"/>
              </w:rPr>
            </w:pPr>
            <w:r>
              <w:rPr>
                <w:spacing w:val="-4"/>
                <w:sz w:val="18"/>
              </w:rPr>
              <w:t>7,3%</w:t>
            </w:r>
          </w:p>
        </w:tc>
        <w:tc>
          <w:tcPr>
            <w:tcW w:w="1569" w:type="dxa"/>
            <w:shd w:val="clear" w:color="auto" w:fill="FFC000"/>
          </w:tcPr>
          <w:p w14:paraId="7088E0E7" w14:textId="77777777" w:rsidR="000E52B0" w:rsidRDefault="00F60D74">
            <w:pPr>
              <w:pStyle w:val="TableParagraph"/>
              <w:spacing w:before="1"/>
              <w:ind w:left="112" w:right="100"/>
              <w:jc w:val="center"/>
              <w:rPr>
                <w:sz w:val="18"/>
              </w:rPr>
            </w:pPr>
            <w:r>
              <w:rPr>
                <w:spacing w:val="-4"/>
                <w:sz w:val="18"/>
              </w:rPr>
              <w:t>9,9%</w:t>
            </w:r>
          </w:p>
        </w:tc>
      </w:tr>
      <w:tr w:rsidR="000E52B0" w14:paraId="43B2A802" w14:textId="77777777">
        <w:trPr>
          <w:trHeight w:val="299"/>
        </w:trPr>
        <w:tc>
          <w:tcPr>
            <w:tcW w:w="3824" w:type="dxa"/>
          </w:tcPr>
          <w:p w14:paraId="12D27DCE" w14:textId="77777777" w:rsidR="000E52B0" w:rsidRDefault="00F60D74">
            <w:pPr>
              <w:pStyle w:val="TableParagraph"/>
              <w:spacing w:before="80" w:line="199" w:lineRule="exact"/>
              <w:ind w:left="71"/>
              <w:rPr>
                <w:b/>
                <w:sz w:val="18"/>
              </w:rPr>
            </w:pPr>
            <w:r>
              <w:rPr>
                <w:b/>
                <w:sz w:val="18"/>
              </w:rPr>
              <w:t>Organización</w:t>
            </w:r>
            <w:r>
              <w:rPr>
                <w:b/>
                <w:spacing w:val="-6"/>
                <w:sz w:val="18"/>
              </w:rPr>
              <w:t xml:space="preserve"> </w:t>
            </w:r>
            <w:r>
              <w:rPr>
                <w:b/>
                <w:spacing w:val="-2"/>
                <w:sz w:val="18"/>
              </w:rPr>
              <w:t>étnica</w:t>
            </w:r>
          </w:p>
        </w:tc>
        <w:tc>
          <w:tcPr>
            <w:tcW w:w="1560" w:type="dxa"/>
          </w:tcPr>
          <w:p w14:paraId="30310F9E" w14:textId="77777777" w:rsidR="000E52B0" w:rsidRDefault="00F60D74">
            <w:pPr>
              <w:pStyle w:val="TableParagraph"/>
              <w:spacing w:line="218" w:lineRule="exact"/>
              <w:ind w:left="16" w:right="3"/>
              <w:jc w:val="center"/>
              <w:rPr>
                <w:sz w:val="18"/>
              </w:rPr>
            </w:pPr>
            <w:r>
              <w:rPr>
                <w:spacing w:val="-4"/>
                <w:sz w:val="18"/>
              </w:rPr>
              <w:t>1,5%</w:t>
            </w:r>
          </w:p>
        </w:tc>
        <w:tc>
          <w:tcPr>
            <w:tcW w:w="1557" w:type="dxa"/>
          </w:tcPr>
          <w:p w14:paraId="6530FAAF" w14:textId="77777777" w:rsidR="000E52B0" w:rsidRDefault="00F60D74">
            <w:pPr>
              <w:pStyle w:val="TableParagraph"/>
              <w:spacing w:line="218" w:lineRule="exact"/>
              <w:ind w:left="106" w:right="94"/>
              <w:jc w:val="center"/>
              <w:rPr>
                <w:sz w:val="18"/>
              </w:rPr>
            </w:pPr>
            <w:r>
              <w:rPr>
                <w:spacing w:val="-4"/>
                <w:sz w:val="18"/>
              </w:rPr>
              <w:t>1,2%</w:t>
            </w:r>
          </w:p>
        </w:tc>
        <w:tc>
          <w:tcPr>
            <w:tcW w:w="1560" w:type="dxa"/>
          </w:tcPr>
          <w:p w14:paraId="230E070F" w14:textId="77777777" w:rsidR="000E52B0" w:rsidRDefault="00F60D74">
            <w:pPr>
              <w:pStyle w:val="TableParagraph"/>
              <w:spacing w:line="218" w:lineRule="exact"/>
              <w:ind w:left="16"/>
              <w:jc w:val="center"/>
              <w:rPr>
                <w:sz w:val="18"/>
              </w:rPr>
            </w:pPr>
            <w:r>
              <w:rPr>
                <w:spacing w:val="-4"/>
                <w:sz w:val="18"/>
              </w:rPr>
              <w:t>1,4%</w:t>
            </w:r>
          </w:p>
        </w:tc>
        <w:tc>
          <w:tcPr>
            <w:tcW w:w="1569" w:type="dxa"/>
          </w:tcPr>
          <w:p w14:paraId="6C318B1C" w14:textId="77777777" w:rsidR="000E52B0" w:rsidRDefault="00F60D74">
            <w:pPr>
              <w:pStyle w:val="TableParagraph"/>
              <w:spacing w:line="218" w:lineRule="exact"/>
              <w:ind w:left="112" w:right="100"/>
              <w:jc w:val="center"/>
              <w:rPr>
                <w:sz w:val="18"/>
              </w:rPr>
            </w:pPr>
            <w:r>
              <w:rPr>
                <w:spacing w:val="-4"/>
                <w:sz w:val="18"/>
              </w:rPr>
              <w:t>0,9%</w:t>
            </w:r>
          </w:p>
        </w:tc>
      </w:tr>
      <w:tr w:rsidR="000E52B0" w14:paraId="16EF0D34" w14:textId="77777777">
        <w:trPr>
          <w:trHeight w:val="299"/>
        </w:trPr>
        <w:tc>
          <w:tcPr>
            <w:tcW w:w="3824" w:type="dxa"/>
          </w:tcPr>
          <w:p w14:paraId="37E431DD" w14:textId="77777777" w:rsidR="000E52B0" w:rsidRDefault="00F60D74">
            <w:pPr>
              <w:pStyle w:val="TableParagraph"/>
              <w:spacing w:before="80" w:line="199" w:lineRule="exact"/>
              <w:ind w:left="71"/>
              <w:rPr>
                <w:b/>
                <w:sz w:val="18"/>
              </w:rPr>
            </w:pPr>
            <w:r>
              <w:rPr>
                <w:b/>
                <w:sz w:val="18"/>
              </w:rPr>
              <w:t>Organización</w:t>
            </w:r>
            <w:r>
              <w:rPr>
                <w:b/>
                <w:spacing w:val="-6"/>
                <w:sz w:val="18"/>
              </w:rPr>
              <w:t xml:space="preserve"> </w:t>
            </w:r>
            <w:r>
              <w:rPr>
                <w:b/>
                <w:spacing w:val="-2"/>
                <w:sz w:val="18"/>
              </w:rPr>
              <w:t>educativa</w:t>
            </w:r>
          </w:p>
        </w:tc>
        <w:tc>
          <w:tcPr>
            <w:tcW w:w="1560" w:type="dxa"/>
          </w:tcPr>
          <w:p w14:paraId="4859BCA8" w14:textId="77777777" w:rsidR="000E52B0" w:rsidRDefault="00F60D74">
            <w:pPr>
              <w:pStyle w:val="TableParagraph"/>
              <w:spacing w:line="218" w:lineRule="exact"/>
              <w:ind w:left="16" w:right="3"/>
              <w:jc w:val="center"/>
              <w:rPr>
                <w:sz w:val="18"/>
              </w:rPr>
            </w:pPr>
            <w:r>
              <w:rPr>
                <w:spacing w:val="-4"/>
                <w:sz w:val="18"/>
              </w:rPr>
              <w:t>1,6%</w:t>
            </w:r>
          </w:p>
        </w:tc>
        <w:tc>
          <w:tcPr>
            <w:tcW w:w="1557" w:type="dxa"/>
          </w:tcPr>
          <w:p w14:paraId="35A75CE9" w14:textId="77777777" w:rsidR="000E52B0" w:rsidRDefault="00F60D74">
            <w:pPr>
              <w:pStyle w:val="TableParagraph"/>
              <w:spacing w:line="218" w:lineRule="exact"/>
              <w:ind w:left="106" w:right="94"/>
              <w:jc w:val="center"/>
              <w:rPr>
                <w:sz w:val="18"/>
              </w:rPr>
            </w:pPr>
            <w:r>
              <w:rPr>
                <w:spacing w:val="-4"/>
                <w:sz w:val="18"/>
              </w:rPr>
              <w:t>0,5%</w:t>
            </w:r>
          </w:p>
        </w:tc>
        <w:tc>
          <w:tcPr>
            <w:tcW w:w="1560" w:type="dxa"/>
          </w:tcPr>
          <w:p w14:paraId="70A4355A" w14:textId="77777777" w:rsidR="000E52B0" w:rsidRDefault="00F60D74">
            <w:pPr>
              <w:pStyle w:val="TableParagraph"/>
              <w:spacing w:line="218" w:lineRule="exact"/>
              <w:ind w:left="16"/>
              <w:jc w:val="center"/>
              <w:rPr>
                <w:sz w:val="18"/>
              </w:rPr>
            </w:pPr>
            <w:r>
              <w:rPr>
                <w:spacing w:val="-4"/>
                <w:sz w:val="18"/>
              </w:rPr>
              <w:t>3,7%</w:t>
            </w:r>
          </w:p>
        </w:tc>
        <w:tc>
          <w:tcPr>
            <w:tcW w:w="1569" w:type="dxa"/>
          </w:tcPr>
          <w:p w14:paraId="669FAE4F" w14:textId="77777777" w:rsidR="000E52B0" w:rsidRDefault="00F60D74">
            <w:pPr>
              <w:pStyle w:val="TableParagraph"/>
              <w:spacing w:line="218" w:lineRule="exact"/>
              <w:ind w:left="112" w:right="100"/>
              <w:jc w:val="center"/>
              <w:rPr>
                <w:sz w:val="18"/>
              </w:rPr>
            </w:pPr>
            <w:r>
              <w:rPr>
                <w:spacing w:val="-4"/>
                <w:sz w:val="18"/>
              </w:rPr>
              <w:t>0,8%</w:t>
            </w:r>
          </w:p>
        </w:tc>
      </w:tr>
      <w:tr w:rsidR="000E52B0" w14:paraId="5B494BA0" w14:textId="77777777">
        <w:trPr>
          <w:trHeight w:val="299"/>
        </w:trPr>
        <w:tc>
          <w:tcPr>
            <w:tcW w:w="3824" w:type="dxa"/>
          </w:tcPr>
          <w:p w14:paraId="6BDA4B12" w14:textId="77777777" w:rsidR="000E52B0" w:rsidRDefault="00F60D74">
            <w:pPr>
              <w:pStyle w:val="TableParagraph"/>
              <w:spacing w:before="80" w:line="199" w:lineRule="exact"/>
              <w:ind w:left="71"/>
              <w:rPr>
                <w:b/>
                <w:sz w:val="18"/>
              </w:rPr>
            </w:pPr>
            <w:r>
              <w:rPr>
                <w:b/>
                <w:spacing w:val="-2"/>
                <w:sz w:val="18"/>
              </w:rPr>
              <w:t>Sindicato</w:t>
            </w:r>
          </w:p>
        </w:tc>
        <w:tc>
          <w:tcPr>
            <w:tcW w:w="1560" w:type="dxa"/>
          </w:tcPr>
          <w:p w14:paraId="307EE0CF" w14:textId="77777777" w:rsidR="000E52B0" w:rsidRDefault="00F60D74">
            <w:pPr>
              <w:pStyle w:val="TableParagraph"/>
              <w:spacing w:line="218" w:lineRule="exact"/>
              <w:ind w:left="16" w:right="3"/>
              <w:jc w:val="center"/>
              <w:rPr>
                <w:sz w:val="18"/>
              </w:rPr>
            </w:pPr>
            <w:r>
              <w:rPr>
                <w:spacing w:val="-4"/>
                <w:sz w:val="18"/>
              </w:rPr>
              <w:t>0,7%</w:t>
            </w:r>
          </w:p>
        </w:tc>
        <w:tc>
          <w:tcPr>
            <w:tcW w:w="1557" w:type="dxa"/>
          </w:tcPr>
          <w:p w14:paraId="0E833500" w14:textId="77777777" w:rsidR="000E52B0" w:rsidRDefault="00F60D74">
            <w:pPr>
              <w:pStyle w:val="TableParagraph"/>
              <w:spacing w:line="218" w:lineRule="exact"/>
              <w:ind w:left="106" w:right="94"/>
              <w:jc w:val="center"/>
              <w:rPr>
                <w:sz w:val="18"/>
              </w:rPr>
            </w:pPr>
            <w:r>
              <w:rPr>
                <w:spacing w:val="-4"/>
                <w:sz w:val="18"/>
              </w:rPr>
              <w:t>0,5%</w:t>
            </w:r>
          </w:p>
        </w:tc>
        <w:tc>
          <w:tcPr>
            <w:tcW w:w="1560" w:type="dxa"/>
          </w:tcPr>
          <w:p w14:paraId="5A9505A2" w14:textId="77777777" w:rsidR="000E52B0" w:rsidRDefault="00F60D74">
            <w:pPr>
              <w:pStyle w:val="TableParagraph"/>
              <w:spacing w:line="218" w:lineRule="exact"/>
              <w:ind w:left="16"/>
              <w:jc w:val="center"/>
              <w:rPr>
                <w:sz w:val="18"/>
              </w:rPr>
            </w:pPr>
            <w:r>
              <w:rPr>
                <w:spacing w:val="-4"/>
                <w:sz w:val="18"/>
              </w:rPr>
              <w:t>0,7%</w:t>
            </w:r>
          </w:p>
        </w:tc>
        <w:tc>
          <w:tcPr>
            <w:tcW w:w="1569" w:type="dxa"/>
          </w:tcPr>
          <w:p w14:paraId="22060061" w14:textId="77777777" w:rsidR="000E52B0" w:rsidRDefault="00F60D74">
            <w:pPr>
              <w:pStyle w:val="TableParagraph"/>
              <w:spacing w:line="218" w:lineRule="exact"/>
              <w:ind w:left="112" w:right="100"/>
              <w:jc w:val="center"/>
              <w:rPr>
                <w:sz w:val="18"/>
              </w:rPr>
            </w:pPr>
            <w:r>
              <w:rPr>
                <w:spacing w:val="-4"/>
                <w:sz w:val="18"/>
              </w:rPr>
              <w:t>0,4%</w:t>
            </w:r>
          </w:p>
        </w:tc>
      </w:tr>
      <w:tr w:rsidR="000E52B0" w14:paraId="238304DB" w14:textId="77777777">
        <w:trPr>
          <w:trHeight w:val="299"/>
        </w:trPr>
        <w:tc>
          <w:tcPr>
            <w:tcW w:w="3824" w:type="dxa"/>
          </w:tcPr>
          <w:p w14:paraId="25E7106B" w14:textId="77777777" w:rsidR="000E52B0" w:rsidRDefault="00F60D74">
            <w:pPr>
              <w:pStyle w:val="TableParagraph"/>
              <w:spacing w:before="80" w:line="199" w:lineRule="exact"/>
              <w:ind w:left="71"/>
              <w:rPr>
                <w:b/>
                <w:sz w:val="18"/>
              </w:rPr>
            </w:pPr>
            <w:r>
              <w:rPr>
                <w:b/>
                <w:sz w:val="18"/>
              </w:rPr>
              <w:t>Asociación</w:t>
            </w:r>
            <w:r>
              <w:rPr>
                <w:b/>
                <w:spacing w:val="-4"/>
                <w:sz w:val="18"/>
              </w:rPr>
              <w:t xml:space="preserve"> </w:t>
            </w:r>
            <w:r>
              <w:rPr>
                <w:b/>
                <w:spacing w:val="-2"/>
                <w:sz w:val="18"/>
              </w:rPr>
              <w:t>campesina</w:t>
            </w:r>
          </w:p>
        </w:tc>
        <w:tc>
          <w:tcPr>
            <w:tcW w:w="1560" w:type="dxa"/>
          </w:tcPr>
          <w:p w14:paraId="2C6DA3CD" w14:textId="77777777" w:rsidR="000E52B0" w:rsidRDefault="00F60D74">
            <w:pPr>
              <w:pStyle w:val="TableParagraph"/>
              <w:spacing w:line="218" w:lineRule="exact"/>
              <w:ind w:left="16" w:right="3"/>
              <w:jc w:val="center"/>
              <w:rPr>
                <w:sz w:val="18"/>
              </w:rPr>
            </w:pPr>
            <w:r>
              <w:rPr>
                <w:spacing w:val="-4"/>
                <w:sz w:val="18"/>
              </w:rPr>
              <w:t>0,7%</w:t>
            </w:r>
          </w:p>
        </w:tc>
        <w:tc>
          <w:tcPr>
            <w:tcW w:w="1557" w:type="dxa"/>
          </w:tcPr>
          <w:p w14:paraId="0531BB87" w14:textId="77777777" w:rsidR="000E52B0" w:rsidRDefault="00F60D74">
            <w:pPr>
              <w:pStyle w:val="TableParagraph"/>
              <w:spacing w:line="218" w:lineRule="exact"/>
              <w:ind w:left="106" w:right="94"/>
              <w:jc w:val="center"/>
              <w:rPr>
                <w:sz w:val="18"/>
              </w:rPr>
            </w:pPr>
            <w:r>
              <w:rPr>
                <w:spacing w:val="-4"/>
                <w:sz w:val="18"/>
              </w:rPr>
              <w:t>0,6%</w:t>
            </w:r>
          </w:p>
        </w:tc>
        <w:tc>
          <w:tcPr>
            <w:tcW w:w="1560" w:type="dxa"/>
          </w:tcPr>
          <w:p w14:paraId="5FF3EB87" w14:textId="77777777" w:rsidR="000E52B0" w:rsidRDefault="00F60D74">
            <w:pPr>
              <w:pStyle w:val="TableParagraph"/>
              <w:spacing w:line="218" w:lineRule="exact"/>
              <w:ind w:left="16"/>
              <w:jc w:val="center"/>
              <w:rPr>
                <w:sz w:val="18"/>
              </w:rPr>
            </w:pPr>
            <w:r>
              <w:rPr>
                <w:spacing w:val="-4"/>
                <w:sz w:val="18"/>
              </w:rPr>
              <w:t>0,8%</w:t>
            </w:r>
          </w:p>
        </w:tc>
        <w:tc>
          <w:tcPr>
            <w:tcW w:w="1569" w:type="dxa"/>
          </w:tcPr>
          <w:p w14:paraId="2B9F90CE" w14:textId="77777777" w:rsidR="000E52B0" w:rsidRDefault="00F60D74">
            <w:pPr>
              <w:pStyle w:val="TableParagraph"/>
              <w:spacing w:line="218" w:lineRule="exact"/>
              <w:ind w:left="112" w:right="100"/>
              <w:jc w:val="center"/>
              <w:rPr>
                <w:sz w:val="18"/>
              </w:rPr>
            </w:pPr>
            <w:r>
              <w:rPr>
                <w:spacing w:val="-4"/>
                <w:sz w:val="18"/>
              </w:rPr>
              <w:t>0,8%</w:t>
            </w:r>
          </w:p>
        </w:tc>
      </w:tr>
      <w:tr w:rsidR="000E52B0" w14:paraId="7A02D52B" w14:textId="77777777">
        <w:trPr>
          <w:trHeight w:val="299"/>
        </w:trPr>
        <w:tc>
          <w:tcPr>
            <w:tcW w:w="3824" w:type="dxa"/>
          </w:tcPr>
          <w:p w14:paraId="745E0D1D" w14:textId="77777777" w:rsidR="000E52B0" w:rsidRDefault="00F60D74">
            <w:pPr>
              <w:pStyle w:val="TableParagraph"/>
              <w:spacing w:before="80" w:line="199" w:lineRule="exact"/>
              <w:ind w:left="71"/>
              <w:rPr>
                <w:b/>
                <w:sz w:val="18"/>
              </w:rPr>
            </w:pPr>
            <w:r>
              <w:rPr>
                <w:b/>
                <w:sz w:val="18"/>
              </w:rPr>
              <w:t>Movimiento</w:t>
            </w:r>
            <w:r>
              <w:rPr>
                <w:b/>
                <w:spacing w:val="-1"/>
                <w:sz w:val="18"/>
              </w:rPr>
              <w:t xml:space="preserve"> </w:t>
            </w:r>
            <w:r>
              <w:rPr>
                <w:b/>
                <w:spacing w:val="-2"/>
                <w:sz w:val="18"/>
              </w:rPr>
              <w:t>político</w:t>
            </w:r>
          </w:p>
        </w:tc>
        <w:tc>
          <w:tcPr>
            <w:tcW w:w="1560" w:type="dxa"/>
          </w:tcPr>
          <w:p w14:paraId="5729FD48" w14:textId="77777777" w:rsidR="000E52B0" w:rsidRDefault="00F60D74">
            <w:pPr>
              <w:pStyle w:val="TableParagraph"/>
              <w:spacing w:line="218" w:lineRule="exact"/>
              <w:ind w:left="16" w:right="3"/>
              <w:jc w:val="center"/>
              <w:rPr>
                <w:sz w:val="18"/>
              </w:rPr>
            </w:pPr>
            <w:r>
              <w:rPr>
                <w:spacing w:val="-4"/>
                <w:sz w:val="18"/>
              </w:rPr>
              <w:t>0,9%</w:t>
            </w:r>
          </w:p>
        </w:tc>
        <w:tc>
          <w:tcPr>
            <w:tcW w:w="1557" w:type="dxa"/>
          </w:tcPr>
          <w:p w14:paraId="00E694CB" w14:textId="77777777" w:rsidR="000E52B0" w:rsidRDefault="00F60D74">
            <w:pPr>
              <w:pStyle w:val="TableParagraph"/>
              <w:spacing w:line="218" w:lineRule="exact"/>
              <w:ind w:left="106" w:right="94"/>
              <w:jc w:val="center"/>
              <w:rPr>
                <w:sz w:val="18"/>
              </w:rPr>
            </w:pPr>
            <w:r>
              <w:rPr>
                <w:spacing w:val="-4"/>
                <w:sz w:val="18"/>
              </w:rPr>
              <w:t>0,9%</w:t>
            </w:r>
          </w:p>
        </w:tc>
        <w:tc>
          <w:tcPr>
            <w:tcW w:w="1560" w:type="dxa"/>
          </w:tcPr>
          <w:p w14:paraId="28E6D6DC" w14:textId="77777777" w:rsidR="000E52B0" w:rsidRDefault="00F60D74">
            <w:pPr>
              <w:pStyle w:val="TableParagraph"/>
              <w:spacing w:line="218" w:lineRule="exact"/>
              <w:ind w:left="16"/>
              <w:jc w:val="center"/>
              <w:rPr>
                <w:sz w:val="18"/>
              </w:rPr>
            </w:pPr>
            <w:r>
              <w:rPr>
                <w:spacing w:val="-4"/>
                <w:sz w:val="18"/>
              </w:rPr>
              <w:t>3,9%</w:t>
            </w:r>
          </w:p>
        </w:tc>
        <w:tc>
          <w:tcPr>
            <w:tcW w:w="1569" w:type="dxa"/>
          </w:tcPr>
          <w:p w14:paraId="3ACD88B8" w14:textId="77777777" w:rsidR="000E52B0" w:rsidRDefault="00F60D74">
            <w:pPr>
              <w:pStyle w:val="TableParagraph"/>
              <w:spacing w:line="218" w:lineRule="exact"/>
              <w:ind w:left="112" w:right="100"/>
              <w:jc w:val="center"/>
              <w:rPr>
                <w:sz w:val="18"/>
              </w:rPr>
            </w:pPr>
            <w:r>
              <w:rPr>
                <w:spacing w:val="-4"/>
                <w:sz w:val="18"/>
              </w:rPr>
              <w:t>3,5%</w:t>
            </w:r>
          </w:p>
        </w:tc>
      </w:tr>
      <w:tr w:rsidR="000E52B0" w14:paraId="5EE86B9F" w14:textId="77777777">
        <w:trPr>
          <w:trHeight w:val="302"/>
        </w:trPr>
        <w:tc>
          <w:tcPr>
            <w:tcW w:w="3824" w:type="dxa"/>
          </w:tcPr>
          <w:p w14:paraId="59B8BE5E" w14:textId="77777777" w:rsidR="000E52B0" w:rsidRDefault="00F60D74">
            <w:pPr>
              <w:pStyle w:val="TableParagraph"/>
              <w:spacing w:before="80" w:line="202" w:lineRule="exact"/>
              <w:ind w:left="71"/>
              <w:rPr>
                <w:b/>
                <w:sz w:val="18"/>
              </w:rPr>
            </w:pPr>
            <w:r>
              <w:rPr>
                <w:b/>
                <w:sz w:val="18"/>
              </w:rPr>
              <w:t>Organizaciones</w:t>
            </w:r>
            <w:r>
              <w:rPr>
                <w:b/>
                <w:spacing w:val="-5"/>
                <w:sz w:val="18"/>
              </w:rPr>
              <w:t xml:space="preserve"> </w:t>
            </w:r>
            <w:r>
              <w:rPr>
                <w:b/>
                <w:spacing w:val="-2"/>
                <w:sz w:val="18"/>
              </w:rPr>
              <w:t>comunitarias</w:t>
            </w:r>
          </w:p>
        </w:tc>
        <w:tc>
          <w:tcPr>
            <w:tcW w:w="1560" w:type="dxa"/>
          </w:tcPr>
          <w:p w14:paraId="1F6BFDC8" w14:textId="77777777" w:rsidR="000E52B0" w:rsidRDefault="00F60D74">
            <w:pPr>
              <w:pStyle w:val="TableParagraph"/>
              <w:spacing w:before="1"/>
              <w:ind w:left="16" w:right="3"/>
              <w:jc w:val="center"/>
              <w:rPr>
                <w:sz w:val="18"/>
              </w:rPr>
            </w:pPr>
            <w:r>
              <w:rPr>
                <w:spacing w:val="-4"/>
                <w:sz w:val="18"/>
              </w:rPr>
              <w:t>0,6%</w:t>
            </w:r>
          </w:p>
        </w:tc>
        <w:tc>
          <w:tcPr>
            <w:tcW w:w="1557" w:type="dxa"/>
            <w:shd w:val="clear" w:color="auto" w:fill="FFC000"/>
          </w:tcPr>
          <w:p w14:paraId="0CF3AF23" w14:textId="77777777" w:rsidR="000E52B0" w:rsidRDefault="00F60D74">
            <w:pPr>
              <w:pStyle w:val="TableParagraph"/>
              <w:spacing w:before="1"/>
              <w:ind w:left="106" w:right="94"/>
              <w:jc w:val="center"/>
              <w:rPr>
                <w:sz w:val="18"/>
              </w:rPr>
            </w:pPr>
            <w:r>
              <w:rPr>
                <w:spacing w:val="-4"/>
                <w:sz w:val="18"/>
              </w:rPr>
              <w:t>1,4%</w:t>
            </w:r>
          </w:p>
        </w:tc>
        <w:tc>
          <w:tcPr>
            <w:tcW w:w="1560" w:type="dxa"/>
          </w:tcPr>
          <w:p w14:paraId="7B927E25" w14:textId="77777777" w:rsidR="000E52B0" w:rsidRDefault="00F60D74">
            <w:pPr>
              <w:pStyle w:val="TableParagraph"/>
              <w:spacing w:before="1"/>
              <w:ind w:left="16"/>
              <w:jc w:val="center"/>
              <w:rPr>
                <w:sz w:val="18"/>
              </w:rPr>
            </w:pPr>
            <w:r>
              <w:rPr>
                <w:spacing w:val="-4"/>
                <w:sz w:val="18"/>
              </w:rPr>
              <w:t>0,7%</w:t>
            </w:r>
          </w:p>
        </w:tc>
        <w:tc>
          <w:tcPr>
            <w:tcW w:w="1569" w:type="dxa"/>
            <w:shd w:val="clear" w:color="auto" w:fill="FFC000"/>
          </w:tcPr>
          <w:p w14:paraId="3DFE46A1" w14:textId="77777777" w:rsidR="000E52B0" w:rsidRDefault="00F60D74">
            <w:pPr>
              <w:pStyle w:val="TableParagraph"/>
              <w:spacing w:before="1"/>
              <w:ind w:left="112" w:right="100"/>
              <w:jc w:val="center"/>
              <w:rPr>
                <w:sz w:val="18"/>
              </w:rPr>
            </w:pPr>
            <w:r>
              <w:rPr>
                <w:spacing w:val="-4"/>
                <w:sz w:val="18"/>
              </w:rPr>
              <w:t>1,8%</w:t>
            </w:r>
          </w:p>
        </w:tc>
      </w:tr>
    </w:tbl>
    <w:p w14:paraId="1575AA80" w14:textId="77777777" w:rsidR="000E52B0" w:rsidRDefault="00F60D74">
      <w:pPr>
        <w:spacing w:before="3"/>
        <w:jc w:val="center"/>
        <w:rPr>
          <w:i/>
          <w:sz w:val="18"/>
        </w:rPr>
      </w:pPr>
      <w:r>
        <w:rPr>
          <w:i/>
          <w:color w:val="454551"/>
          <w:sz w:val="18"/>
        </w:rPr>
        <w:t>Fuente</w:t>
      </w:r>
      <w:r>
        <w:rPr>
          <w:i/>
          <w:color w:val="454551"/>
          <w:spacing w:val="-4"/>
          <w:sz w:val="18"/>
        </w:rPr>
        <w:t xml:space="preserve"> </w:t>
      </w:r>
      <w:r>
        <w:rPr>
          <w:i/>
          <w:color w:val="454551"/>
          <w:sz w:val="18"/>
        </w:rPr>
        <w:t>30.</w:t>
      </w:r>
      <w:r>
        <w:rPr>
          <w:i/>
          <w:color w:val="454551"/>
          <w:spacing w:val="-4"/>
          <w:sz w:val="18"/>
        </w:rPr>
        <w:t xml:space="preserve"> </w:t>
      </w:r>
      <w:r>
        <w:rPr>
          <w:i/>
          <w:color w:val="454551"/>
          <w:sz w:val="18"/>
        </w:rPr>
        <w:t>Ministerio</w:t>
      </w:r>
      <w:r>
        <w:rPr>
          <w:i/>
          <w:color w:val="454551"/>
          <w:spacing w:val="-2"/>
          <w:sz w:val="18"/>
        </w:rPr>
        <w:t xml:space="preserve"> </w:t>
      </w:r>
      <w:r>
        <w:rPr>
          <w:i/>
          <w:color w:val="454551"/>
          <w:sz w:val="18"/>
        </w:rPr>
        <w:t>de</w:t>
      </w:r>
      <w:r>
        <w:rPr>
          <w:i/>
          <w:color w:val="454551"/>
          <w:spacing w:val="-2"/>
          <w:sz w:val="18"/>
        </w:rPr>
        <w:t xml:space="preserve"> </w:t>
      </w:r>
      <w:r>
        <w:rPr>
          <w:i/>
          <w:color w:val="454551"/>
          <w:sz w:val="18"/>
        </w:rPr>
        <w:t>igualdad</w:t>
      </w:r>
      <w:r>
        <w:rPr>
          <w:i/>
          <w:color w:val="454551"/>
          <w:spacing w:val="-2"/>
          <w:sz w:val="18"/>
        </w:rPr>
        <w:t xml:space="preserve"> </w:t>
      </w:r>
      <w:r>
        <w:rPr>
          <w:i/>
          <w:color w:val="454551"/>
          <w:sz w:val="18"/>
        </w:rPr>
        <w:t>y</w:t>
      </w:r>
      <w:r>
        <w:rPr>
          <w:i/>
          <w:color w:val="454551"/>
          <w:spacing w:val="-5"/>
          <w:sz w:val="18"/>
        </w:rPr>
        <w:t xml:space="preserve"> </w:t>
      </w:r>
      <w:r>
        <w:rPr>
          <w:i/>
          <w:color w:val="454551"/>
          <w:sz w:val="18"/>
        </w:rPr>
        <w:t>equidad,</w:t>
      </w:r>
      <w:r>
        <w:rPr>
          <w:i/>
          <w:color w:val="454551"/>
          <w:spacing w:val="-4"/>
          <w:sz w:val="18"/>
        </w:rPr>
        <w:t xml:space="preserve"> </w:t>
      </w:r>
      <w:r>
        <w:rPr>
          <w:i/>
          <w:color w:val="454551"/>
          <w:sz w:val="18"/>
        </w:rPr>
        <w:t>con</w:t>
      </w:r>
      <w:r>
        <w:rPr>
          <w:i/>
          <w:color w:val="454551"/>
          <w:spacing w:val="-1"/>
          <w:sz w:val="18"/>
        </w:rPr>
        <w:t xml:space="preserve"> </w:t>
      </w:r>
      <w:r>
        <w:rPr>
          <w:i/>
          <w:color w:val="454551"/>
          <w:sz w:val="18"/>
        </w:rPr>
        <w:t>datos</w:t>
      </w:r>
      <w:r>
        <w:rPr>
          <w:i/>
          <w:color w:val="454551"/>
          <w:spacing w:val="-3"/>
          <w:sz w:val="18"/>
        </w:rPr>
        <w:t xml:space="preserve"> </w:t>
      </w:r>
      <w:r>
        <w:rPr>
          <w:i/>
          <w:color w:val="454551"/>
          <w:sz w:val="18"/>
        </w:rPr>
        <w:t>DANE</w:t>
      </w:r>
      <w:r>
        <w:rPr>
          <w:i/>
          <w:color w:val="454551"/>
          <w:spacing w:val="2"/>
          <w:sz w:val="18"/>
        </w:rPr>
        <w:t xml:space="preserve"> </w:t>
      </w:r>
      <w:r>
        <w:rPr>
          <w:i/>
          <w:color w:val="454551"/>
          <w:sz w:val="18"/>
        </w:rPr>
        <w:t>-</w:t>
      </w:r>
      <w:r>
        <w:rPr>
          <w:i/>
          <w:color w:val="454551"/>
          <w:spacing w:val="-4"/>
          <w:sz w:val="18"/>
        </w:rPr>
        <w:t xml:space="preserve"> </w:t>
      </w:r>
      <w:r>
        <w:rPr>
          <w:i/>
          <w:color w:val="454551"/>
          <w:sz w:val="18"/>
        </w:rPr>
        <w:t>ECP</w:t>
      </w:r>
      <w:r>
        <w:rPr>
          <w:i/>
          <w:color w:val="454551"/>
          <w:spacing w:val="-3"/>
          <w:sz w:val="18"/>
        </w:rPr>
        <w:t xml:space="preserve"> </w:t>
      </w:r>
      <w:r>
        <w:rPr>
          <w:i/>
          <w:color w:val="454551"/>
          <w:spacing w:val="-4"/>
          <w:sz w:val="18"/>
        </w:rPr>
        <w:t>2023</w:t>
      </w:r>
    </w:p>
    <w:p w14:paraId="5E1AAE04" w14:textId="77777777" w:rsidR="000E52B0" w:rsidRDefault="00F60D74">
      <w:pPr>
        <w:pStyle w:val="Textoindependiente"/>
        <w:spacing w:before="201"/>
        <w:ind w:right="726"/>
        <w:jc w:val="both"/>
      </w:pPr>
      <w:r>
        <w:t>Estos espacios por tanto suponen escenarios para la construcción y fortalecimiento de las redes de las personas mayores.</w:t>
      </w:r>
    </w:p>
    <w:p w14:paraId="4092AE2A" w14:textId="77777777" w:rsidR="000E52B0" w:rsidRDefault="00F60D74">
      <w:pPr>
        <w:pStyle w:val="Textoindependiente"/>
        <w:spacing w:before="158"/>
        <w:ind w:right="712"/>
        <w:jc w:val="both"/>
      </w:pPr>
      <w:r>
        <w:t xml:space="preserve">Frente a la </w:t>
      </w:r>
      <w:r>
        <w:rPr>
          <w:b/>
        </w:rPr>
        <w:t>participación efectiva de las personas con discapacidad</w:t>
      </w:r>
      <w:r>
        <w:t>, está atravesada por procesos de formación y fortalecimiento en la participación. En el caso de Bogotá, por ejemplo, según el estudio “Identificación</w:t>
      </w:r>
      <w:r>
        <w:rPr>
          <w:spacing w:val="-19"/>
        </w:rPr>
        <w:t xml:space="preserve"> </w:t>
      </w:r>
      <w:r>
        <w:t>de</w:t>
      </w:r>
      <w:r>
        <w:rPr>
          <w:spacing w:val="-20"/>
        </w:rPr>
        <w:t xml:space="preserve"> </w:t>
      </w:r>
      <w:r>
        <w:t>barreras</w:t>
      </w:r>
      <w:r>
        <w:rPr>
          <w:spacing w:val="-20"/>
        </w:rPr>
        <w:t xml:space="preserve"> </w:t>
      </w:r>
      <w:r>
        <w:t>de</w:t>
      </w:r>
      <w:r>
        <w:rPr>
          <w:spacing w:val="-20"/>
        </w:rPr>
        <w:t xml:space="preserve"> </w:t>
      </w:r>
      <w:r>
        <w:t>inclusión</w:t>
      </w:r>
      <w:r>
        <w:rPr>
          <w:spacing w:val="-19"/>
        </w:rPr>
        <w:t xml:space="preserve"> </w:t>
      </w:r>
      <w:r>
        <w:t>social</w:t>
      </w:r>
      <w:r>
        <w:rPr>
          <w:spacing w:val="-22"/>
        </w:rPr>
        <w:t xml:space="preserve"> </w:t>
      </w:r>
      <w:r>
        <w:t>y</w:t>
      </w:r>
      <w:r>
        <w:rPr>
          <w:spacing w:val="-18"/>
        </w:rPr>
        <w:t xml:space="preserve"> </w:t>
      </w:r>
      <w:r>
        <w:t>productiva</w:t>
      </w:r>
      <w:r>
        <w:rPr>
          <w:spacing w:val="-21"/>
        </w:rPr>
        <w:t xml:space="preserve"> </w:t>
      </w:r>
      <w:r>
        <w:t>para</w:t>
      </w:r>
      <w:r>
        <w:rPr>
          <w:spacing w:val="-20"/>
        </w:rPr>
        <w:t xml:space="preserve"> </w:t>
      </w:r>
      <w:r>
        <w:t>la</w:t>
      </w:r>
      <w:r>
        <w:rPr>
          <w:spacing w:val="-21"/>
        </w:rPr>
        <w:t xml:space="preserve"> </w:t>
      </w:r>
      <w:r>
        <w:t>población con</w:t>
      </w:r>
      <w:r>
        <w:rPr>
          <w:spacing w:val="-13"/>
        </w:rPr>
        <w:t xml:space="preserve"> </w:t>
      </w:r>
      <w:r>
        <w:t>discapacidad</w:t>
      </w:r>
      <w:r>
        <w:rPr>
          <w:spacing w:val="-13"/>
        </w:rPr>
        <w:t xml:space="preserve"> </w:t>
      </w:r>
      <w:r>
        <w:t>en</w:t>
      </w:r>
      <w:r>
        <w:rPr>
          <w:spacing w:val="-11"/>
        </w:rPr>
        <w:t xml:space="preserve"> </w:t>
      </w:r>
      <w:r>
        <w:t>Bogotá”</w:t>
      </w:r>
      <w:hyperlink w:anchor="_bookmark70" w:history="1">
        <w:r w:rsidR="000E52B0">
          <w:rPr>
            <w:position w:val="8"/>
            <w:sz w:val="16"/>
          </w:rPr>
          <w:t>61</w:t>
        </w:r>
      </w:hyperlink>
      <w:r>
        <w:rPr>
          <w:spacing w:val="17"/>
          <w:position w:val="8"/>
          <w:sz w:val="16"/>
        </w:rPr>
        <w:t xml:space="preserve"> </w:t>
      </w:r>
      <w:r>
        <w:t>al</w:t>
      </w:r>
      <w:r>
        <w:rPr>
          <w:spacing w:val="-14"/>
        </w:rPr>
        <w:t xml:space="preserve"> </w:t>
      </w:r>
      <w:r>
        <w:t>comparar</w:t>
      </w:r>
      <w:r>
        <w:rPr>
          <w:spacing w:val="-12"/>
        </w:rPr>
        <w:t xml:space="preserve"> </w:t>
      </w:r>
      <w:r>
        <w:t>con</w:t>
      </w:r>
      <w:r>
        <w:rPr>
          <w:spacing w:val="-13"/>
        </w:rPr>
        <w:t xml:space="preserve"> </w:t>
      </w:r>
      <w:r>
        <w:t>la</w:t>
      </w:r>
      <w:r>
        <w:rPr>
          <w:spacing w:val="-11"/>
        </w:rPr>
        <w:t xml:space="preserve"> </w:t>
      </w:r>
      <w:r>
        <w:t>población</w:t>
      </w:r>
      <w:r>
        <w:rPr>
          <w:spacing w:val="-13"/>
        </w:rPr>
        <w:t xml:space="preserve"> </w:t>
      </w:r>
      <w:r>
        <w:t>Nacional</w:t>
      </w:r>
      <w:r>
        <w:rPr>
          <w:spacing w:val="-11"/>
        </w:rPr>
        <w:t xml:space="preserve"> </w:t>
      </w:r>
      <w:r>
        <w:t>con</w:t>
      </w:r>
      <w:r>
        <w:rPr>
          <w:spacing w:val="-13"/>
        </w:rPr>
        <w:t xml:space="preserve"> </w:t>
      </w:r>
      <w:r>
        <w:t>el total de población en Bogotá D.C, se tiene que las personas con discapacidad registran menor acceso a oportunidades de inclusión social. En 2019, el 20% de las personas con discapacidad estaba en condición de exclusión social, mientras que el porcentaje de personas sin discapacidad en la misma situación fue del 9%. Por su parte, el porcentaje de personas excluidas productivamente fue del 40 % y 32 %, respectivamente.</w:t>
      </w:r>
    </w:p>
    <w:p w14:paraId="56304B83" w14:textId="77777777" w:rsidR="000E52B0" w:rsidRDefault="00F60D74">
      <w:pPr>
        <w:pStyle w:val="Textoindependiente"/>
        <w:spacing w:before="162"/>
        <w:ind w:right="719"/>
        <w:jc w:val="both"/>
      </w:pPr>
      <w:r>
        <w:t>En</w:t>
      </w:r>
      <w:r>
        <w:rPr>
          <w:spacing w:val="-12"/>
        </w:rPr>
        <w:t xml:space="preserve"> </w:t>
      </w:r>
      <w:r>
        <w:t>Bogotá,</w:t>
      </w:r>
      <w:r>
        <w:rPr>
          <w:spacing w:val="-12"/>
        </w:rPr>
        <w:t xml:space="preserve"> </w:t>
      </w:r>
      <w:r>
        <w:t>en</w:t>
      </w:r>
      <w:r>
        <w:rPr>
          <w:spacing w:val="-12"/>
        </w:rPr>
        <w:t xml:space="preserve"> </w:t>
      </w:r>
      <w:r>
        <w:t>2019,</w:t>
      </w:r>
      <w:r>
        <w:rPr>
          <w:spacing w:val="-12"/>
        </w:rPr>
        <w:t xml:space="preserve"> </w:t>
      </w:r>
      <w:r>
        <w:t>las</w:t>
      </w:r>
      <w:r>
        <w:rPr>
          <w:spacing w:val="-11"/>
        </w:rPr>
        <w:t xml:space="preserve"> </w:t>
      </w:r>
      <w:r>
        <w:t>barreras</w:t>
      </w:r>
      <w:r>
        <w:rPr>
          <w:spacing w:val="-11"/>
        </w:rPr>
        <w:t xml:space="preserve"> </w:t>
      </w:r>
      <w:r>
        <w:t>de</w:t>
      </w:r>
      <w:r>
        <w:rPr>
          <w:spacing w:val="-10"/>
        </w:rPr>
        <w:t xml:space="preserve"> </w:t>
      </w:r>
      <w:r>
        <w:t>inclusión</w:t>
      </w:r>
      <w:r>
        <w:rPr>
          <w:spacing w:val="-12"/>
        </w:rPr>
        <w:t xml:space="preserve"> </w:t>
      </w:r>
      <w:r>
        <w:t>social</w:t>
      </w:r>
      <w:r>
        <w:rPr>
          <w:spacing w:val="-12"/>
        </w:rPr>
        <w:t xml:space="preserve"> </w:t>
      </w:r>
      <w:r>
        <w:t>más</w:t>
      </w:r>
      <w:r>
        <w:rPr>
          <w:spacing w:val="-12"/>
        </w:rPr>
        <w:t xml:space="preserve"> </w:t>
      </w:r>
      <w:r>
        <w:t>recurrentes</w:t>
      </w:r>
      <w:r>
        <w:rPr>
          <w:spacing w:val="-11"/>
        </w:rPr>
        <w:t xml:space="preserve"> </w:t>
      </w:r>
      <w:r>
        <w:t>en</w:t>
      </w:r>
      <w:r>
        <w:rPr>
          <w:spacing w:val="-12"/>
        </w:rPr>
        <w:t xml:space="preserve"> </w:t>
      </w:r>
      <w:r>
        <w:t>las personas</w:t>
      </w:r>
      <w:r>
        <w:rPr>
          <w:spacing w:val="12"/>
        </w:rPr>
        <w:t xml:space="preserve"> </w:t>
      </w:r>
      <w:r>
        <w:t>con</w:t>
      </w:r>
      <w:r>
        <w:rPr>
          <w:spacing w:val="12"/>
        </w:rPr>
        <w:t xml:space="preserve"> </w:t>
      </w:r>
      <w:r>
        <w:t>discapacidad</w:t>
      </w:r>
      <w:r>
        <w:rPr>
          <w:spacing w:val="12"/>
        </w:rPr>
        <w:t xml:space="preserve"> </w:t>
      </w:r>
      <w:r>
        <w:t>fueron:</w:t>
      </w:r>
      <w:r>
        <w:rPr>
          <w:spacing w:val="13"/>
        </w:rPr>
        <w:t xml:space="preserve"> </w:t>
      </w:r>
      <w:r>
        <w:t>no</w:t>
      </w:r>
      <w:r>
        <w:rPr>
          <w:spacing w:val="13"/>
        </w:rPr>
        <w:t xml:space="preserve"> </w:t>
      </w:r>
      <w:r>
        <w:t>uso</w:t>
      </w:r>
      <w:r>
        <w:rPr>
          <w:spacing w:val="13"/>
        </w:rPr>
        <w:t xml:space="preserve"> </w:t>
      </w:r>
      <w:r>
        <w:t>de</w:t>
      </w:r>
      <w:r>
        <w:rPr>
          <w:spacing w:val="14"/>
        </w:rPr>
        <w:t xml:space="preserve"> </w:t>
      </w:r>
      <w:r>
        <w:t>computador</w:t>
      </w:r>
      <w:r>
        <w:rPr>
          <w:spacing w:val="13"/>
        </w:rPr>
        <w:t xml:space="preserve"> </w:t>
      </w:r>
      <w:r>
        <w:t>o</w:t>
      </w:r>
      <w:r>
        <w:rPr>
          <w:spacing w:val="13"/>
        </w:rPr>
        <w:t xml:space="preserve"> </w:t>
      </w:r>
      <w:r>
        <w:t>tableta</w:t>
      </w:r>
      <w:r>
        <w:rPr>
          <w:spacing w:val="13"/>
        </w:rPr>
        <w:t xml:space="preserve"> </w:t>
      </w:r>
      <w:r>
        <w:rPr>
          <w:spacing w:val="-2"/>
        </w:rPr>
        <w:t>(64.7</w:t>
      </w:r>
    </w:p>
    <w:p w14:paraId="15CDBAA8" w14:textId="77777777" w:rsidR="000E52B0" w:rsidRDefault="00F60D74">
      <w:pPr>
        <w:pStyle w:val="Textoindependiente"/>
        <w:ind w:right="720"/>
        <w:jc w:val="both"/>
      </w:pPr>
      <w:r>
        <w:t>%), bajo logro educativo (44.4 %) y no uso de internet (35.8 %). Por su parte, los indicadores de inclusión social menos frecuentes fueron: inseguridad alimentaria (13.6 %), no acceso a celular (15.8 %) y baja calidad en el servicio de salud (19.7 %).</w:t>
      </w:r>
    </w:p>
    <w:p w14:paraId="107E7F3F" w14:textId="77777777" w:rsidR="000E52B0" w:rsidRDefault="00F60D74">
      <w:pPr>
        <w:pStyle w:val="Textoindependiente"/>
        <w:spacing w:before="182"/>
        <w:ind w:left="0"/>
        <w:rPr>
          <w:sz w:val="20"/>
        </w:rPr>
      </w:pPr>
      <w:r>
        <w:rPr>
          <w:noProof/>
          <w:sz w:val="20"/>
        </w:rPr>
        <mc:AlternateContent>
          <mc:Choice Requires="wps">
            <w:drawing>
              <wp:anchor distT="0" distB="0" distL="0" distR="0" simplePos="0" relativeHeight="487652352" behindDoc="1" locked="0" layoutInCell="1" allowOverlap="1" wp14:anchorId="1731EA8C" wp14:editId="70FFB042">
                <wp:simplePos x="0" y="0"/>
                <wp:positionH relativeFrom="page">
                  <wp:posOffset>914704</wp:posOffset>
                </wp:positionH>
                <wp:positionV relativeFrom="paragraph">
                  <wp:posOffset>285779</wp:posOffset>
                </wp:positionV>
                <wp:extent cx="1829435" cy="7620"/>
                <wp:effectExtent l="0" t="0" r="0" b="0"/>
                <wp:wrapTopAndBottom/>
                <wp:docPr id="5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88B5CD" id="Graphic 530" o:spid="_x0000_s1026" style="position:absolute;margin-left:1in;margin-top:22.5pt;width:144.05pt;height:.6pt;z-index:-156641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" path="m1829054,l,,,7619r1829054,l1829054,xe" fillcolor="black" stroked="f">
                <v:path arrowok="t"/>
                <w10:wrap type="topAndBottom" anchorx="page"/>
              </v:shape>
            </w:pict>
          </mc:Fallback>
        </mc:AlternateContent>
      </w:r>
    </w:p>
    <w:p w14:paraId="5FE460E9" w14:textId="77777777" w:rsidR="000E52B0" w:rsidRDefault="00F60D74">
      <w:pPr>
        <w:spacing w:before="96"/>
        <w:ind w:left="720"/>
        <w:rPr>
          <w:rFonts w:ascii="Arial MT"/>
          <w:sz w:val="18"/>
        </w:rPr>
      </w:pPr>
      <w:bookmarkStart w:id="70" w:name="_bookmark70"/>
      <w:bookmarkEnd w:id="70"/>
      <w:r>
        <w:rPr>
          <w:rFonts w:ascii="Arial MT"/>
          <w:position w:val="6"/>
          <w:sz w:val="12"/>
        </w:rPr>
        <w:t>61</w:t>
      </w:r>
      <w:r>
        <w:rPr>
          <w:rFonts w:ascii="Arial MT"/>
          <w:spacing w:val="14"/>
          <w:position w:val="6"/>
          <w:sz w:val="12"/>
        </w:rPr>
        <w:t xml:space="preserve"> </w:t>
      </w:r>
      <w:proofErr w:type="gramStart"/>
      <w:r>
        <w:rPr>
          <w:rFonts w:ascii="Arial MT"/>
          <w:sz w:val="18"/>
        </w:rPr>
        <w:t>Obtenido</w:t>
      </w:r>
      <w:proofErr w:type="gramEnd"/>
      <w:r>
        <w:rPr>
          <w:rFonts w:ascii="Arial MT"/>
          <w:spacing w:val="-2"/>
          <w:sz w:val="18"/>
        </w:rPr>
        <w:t xml:space="preserve"> </w:t>
      </w:r>
      <w:r>
        <w:rPr>
          <w:rFonts w:ascii="Arial MT"/>
          <w:sz w:val="18"/>
        </w:rPr>
        <w:t>de:</w:t>
      </w:r>
      <w:r>
        <w:rPr>
          <w:rFonts w:ascii="Arial MT"/>
          <w:spacing w:val="-2"/>
          <w:sz w:val="18"/>
        </w:rPr>
        <w:t xml:space="preserve"> </w:t>
      </w:r>
      <w:hyperlink r:id="rId181">
        <w:r w:rsidR="000E52B0">
          <w:rPr>
            <w:rFonts w:ascii="Arial MT"/>
            <w:color w:val="E22C91"/>
            <w:spacing w:val="-2"/>
            <w:sz w:val="18"/>
            <w:u w:val="single" w:color="E22C91"/>
          </w:rPr>
          <w:t>https://www.sdp.gov.co/sites/default/files/20220430_informe_barreras_p_discapacidad.pdf</w:t>
        </w:r>
      </w:hyperlink>
    </w:p>
    <w:p w14:paraId="5766C05B" w14:textId="77777777" w:rsidR="000E52B0" w:rsidRDefault="000E52B0">
      <w:pPr>
        <w:rPr>
          <w:rFonts w:ascii="Arial MT"/>
          <w:sz w:val="18"/>
        </w:rPr>
        <w:sectPr w:rsidR="000E52B0">
          <w:pgSz w:w="11910" w:h="16840"/>
          <w:pgMar w:top="1340" w:right="720" w:bottom="1180" w:left="720" w:header="0" w:footer="995" w:gutter="0"/>
          <w:cols w:space="720"/>
        </w:sectPr>
      </w:pPr>
    </w:p>
    <w:p w14:paraId="1BEE4A9D" w14:textId="77777777" w:rsidR="000E52B0" w:rsidRDefault="00F60D74">
      <w:pPr>
        <w:pStyle w:val="Textoindependiente"/>
        <w:spacing w:before="83"/>
        <w:ind w:right="721"/>
        <w:jc w:val="both"/>
      </w:pPr>
      <w:r>
        <w:lastRenderedPageBreak/>
        <w:t>Otro factor de participación desigual se expresa en la baja accesibilidad y uso de las tecnologías de la información la comunicación (TIC) por las personas con discapacidad, aunque el bajo logro educativo y el no uso de internet son algunas de las barreras de inclusión social más frecuentes en las</w:t>
      </w:r>
      <w:r>
        <w:rPr>
          <w:spacing w:val="-7"/>
        </w:rPr>
        <w:t xml:space="preserve"> </w:t>
      </w:r>
      <w:r>
        <w:t>personas</w:t>
      </w:r>
      <w:r>
        <w:rPr>
          <w:spacing w:val="-9"/>
        </w:rPr>
        <w:t xml:space="preserve"> </w:t>
      </w:r>
      <w:r>
        <w:t>con</w:t>
      </w:r>
      <w:r>
        <w:rPr>
          <w:spacing w:val="-6"/>
        </w:rPr>
        <w:t xml:space="preserve"> </w:t>
      </w:r>
      <w:r>
        <w:t>discapacidad</w:t>
      </w:r>
      <w:r>
        <w:rPr>
          <w:spacing w:val="-9"/>
        </w:rPr>
        <w:t xml:space="preserve"> </w:t>
      </w:r>
      <w:r>
        <w:t>en</w:t>
      </w:r>
      <w:r>
        <w:rPr>
          <w:spacing w:val="-7"/>
        </w:rPr>
        <w:t xml:space="preserve"> </w:t>
      </w:r>
      <w:r>
        <w:t>Bogotá,</w:t>
      </w:r>
      <w:r>
        <w:rPr>
          <w:spacing w:val="-10"/>
        </w:rPr>
        <w:t xml:space="preserve"> </w:t>
      </w:r>
      <w:r>
        <w:t>también</w:t>
      </w:r>
      <w:r>
        <w:rPr>
          <w:spacing w:val="-9"/>
        </w:rPr>
        <w:t xml:space="preserve"> </w:t>
      </w:r>
      <w:r>
        <w:t>son</w:t>
      </w:r>
      <w:r>
        <w:rPr>
          <w:spacing w:val="-7"/>
        </w:rPr>
        <w:t xml:space="preserve"> </w:t>
      </w:r>
      <w:r>
        <w:t>los</w:t>
      </w:r>
      <w:r>
        <w:rPr>
          <w:spacing w:val="-6"/>
        </w:rPr>
        <w:t xml:space="preserve"> </w:t>
      </w:r>
      <w:r>
        <w:t>indicadores</w:t>
      </w:r>
      <w:r>
        <w:rPr>
          <w:spacing w:val="-9"/>
        </w:rPr>
        <w:t xml:space="preserve"> </w:t>
      </w:r>
      <w:r>
        <w:t>más favorables para la ciudad en comparación con el resto del país.</w:t>
      </w:r>
    </w:p>
    <w:p w14:paraId="1FB11D90" w14:textId="77777777" w:rsidR="000E52B0" w:rsidRDefault="00F60D74">
      <w:pPr>
        <w:pStyle w:val="Textoindependiente"/>
        <w:spacing w:before="158"/>
        <w:ind w:right="720"/>
        <w:jc w:val="both"/>
      </w:pPr>
      <w:r>
        <w:t>De</w:t>
      </w:r>
      <w:r>
        <w:rPr>
          <w:spacing w:val="-19"/>
        </w:rPr>
        <w:t xml:space="preserve"> </w:t>
      </w:r>
      <w:r>
        <w:t>acuerdo</w:t>
      </w:r>
      <w:r>
        <w:rPr>
          <w:spacing w:val="-19"/>
        </w:rPr>
        <w:t xml:space="preserve"> </w:t>
      </w:r>
      <w:r>
        <w:t>con</w:t>
      </w:r>
      <w:r>
        <w:rPr>
          <w:spacing w:val="-20"/>
        </w:rPr>
        <w:t xml:space="preserve"> </w:t>
      </w:r>
      <w:r>
        <w:t>el</w:t>
      </w:r>
      <w:r>
        <w:rPr>
          <w:spacing w:val="-21"/>
        </w:rPr>
        <w:t xml:space="preserve"> </w:t>
      </w:r>
      <w:r>
        <w:t>RLCPD</w:t>
      </w:r>
      <w:r>
        <w:rPr>
          <w:spacing w:val="-20"/>
        </w:rPr>
        <w:t xml:space="preserve"> </w:t>
      </w:r>
      <w:r>
        <w:t>el</w:t>
      </w:r>
      <w:r>
        <w:rPr>
          <w:spacing w:val="-21"/>
        </w:rPr>
        <w:t xml:space="preserve"> </w:t>
      </w:r>
      <w:r>
        <w:t>89%</w:t>
      </w:r>
      <w:r>
        <w:rPr>
          <w:spacing w:val="-19"/>
        </w:rPr>
        <w:t xml:space="preserve"> </w:t>
      </w:r>
      <w:r>
        <w:t>de</w:t>
      </w:r>
      <w:r>
        <w:rPr>
          <w:spacing w:val="-19"/>
        </w:rPr>
        <w:t xml:space="preserve"> </w:t>
      </w:r>
      <w:r>
        <w:t>las</w:t>
      </w:r>
      <w:r>
        <w:rPr>
          <w:spacing w:val="-15"/>
        </w:rPr>
        <w:t xml:space="preserve"> </w:t>
      </w:r>
      <w:r>
        <w:t>personas</w:t>
      </w:r>
      <w:r>
        <w:rPr>
          <w:spacing w:val="-20"/>
        </w:rPr>
        <w:t xml:space="preserve"> </w:t>
      </w:r>
      <w:r>
        <w:t>con</w:t>
      </w:r>
      <w:r>
        <w:rPr>
          <w:spacing w:val="-20"/>
        </w:rPr>
        <w:t xml:space="preserve"> </w:t>
      </w:r>
      <w:r>
        <w:t>discapacidad</w:t>
      </w:r>
      <w:r>
        <w:rPr>
          <w:spacing w:val="-18"/>
        </w:rPr>
        <w:t xml:space="preserve"> </w:t>
      </w:r>
      <w:r>
        <w:t>participa en</w:t>
      </w:r>
      <w:r>
        <w:rPr>
          <w:spacing w:val="-6"/>
        </w:rPr>
        <w:t xml:space="preserve"> </w:t>
      </w:r>
      <w:r>
        <w:t>algún</w:t>
      </w:r>
      <w:r>
        <w:rPr>
          <w:spacing w:val="-6"/>
        </w:rPr>
        <w:t xml:space="preserve"> </w:t>
      </w:r>
      <w:r>
        <w:t>tipo</w:t>
      </w:r>
      <w:r>
        <w:rPr>
          <w:spacing w:val="-6"/>
        </w:rPr>
        <w:t xml:space="preserve"> </w:t>
      </w:r>
      <w:r>
        <w:t>de</w:t>
      </w:r>
      <w:r>
        <w:rPr>
          <w:spacing w:val="-5"/>
        </w:rPr>
        <w:t xml:space="preserve"> </w:t>
      </w:r>
      <w:r>
        <w:t>actividad</w:t>
      </w:r>
      <w:r>
        <w:rPr>
          <w:spacing w:val="-6"/>
        </w:rPr>
        <w:t xml:space="preserve"> </w:t>
      </w:r>
      <w:r>
        <w:t>social.</w:t>
      </w:r>
      <w:r>
        <w:rPr>
          <w:spacing w:val="-6"/>
        </w:rPr>
        <w:t xml:space="preserve"> </w:t>
      </w:r>
      <w:r>
        <w:t>Esto</w:t>
      </w:r>
      <w:r>
        <w:rPr>
          <w:spacing w:val="-6"/>
        </w:rPr>
        <w:t xml:space="preserve"> </w:t>
      </w:r>
      <w:r>
        <w:t>es</w:t>
      </w:r>
      <w:r>
        <w:rPr>
          <w:spacing w:val="-6"/>
        </w:rPr>
        <w:t xml:space="preserve"> </w:t>
      </w:r>
      <w:r>
        <w:t>relevante,</w:t>
      </w:r>
      <w:r>
        <w:rPr>
          <w:spacing w:val="-6"/>
        </w:rPr>
        <w:t xml:space="preserve"> </w:t>
      </w:r>
      <w:r>
        <w:t>en</w:t>
      </w:r>
      <w:r>
        <w:rPr>
          <w:spacing w:val="-6"/>
        </w:rPr>
        <w:t xml:space="preserve"> </w:t>
      </w:r>
      <w:r>
        <w:t>la</w:t>
      </w:r>
      <w:r>
        <w:rPr>
          <w:spacing w:val="-6"/>
        </w:rPr>
        <w:t xml:space="preserve"> </w:t>
      </w:r>
      <w:r>
        <w:t>medida</w:t>
      </w:r>
      <w:r>
        <w:rPr>
          <w:spacing w:val="-6"/>
        </w:rPr>
        <w:t xml:space="preserve"> </w:t>
      </w:r>
      <w:r>
        <w:t>en</w:t>
      </w:r>
      <w:r>
        <w:rPr>
          <w:spacing w:val="-6"/>
        </w:rPr>
        <w:t xml:space="preserve"> </w:t>
      </w:r>
      <w:r>
        <w:t>la</w:t>
      </w:r>
      <w:r>
        <w:rPr>
          <w:spacing w:val="-6"/>
        </w:rPr>
        <w:t xml:space="preserve"> </w:t>
      </w:r>
      <w:r>
        <w:t>que evidencia</w:t>
      </w:r>
      <w:r>
        <w:rPr>
          <w:spacing w:val="-2"/>
        </w:rPr>
        <w:t xml:space="preserve"> </w:t>
      </w:r>
      <w:r>
        <w:t>que</w:t>
      </w:r>
      <w:r>
        <w:rPr>
          <w:spacing w:val="-1"/>
        </w:rPr>
        <w:t xml:space="preserve"> </w:t>
      </w:r>
      <w:r>
        <w:t>quienes</w:t>
      </w:r>
      <w:r>
        <w:rPr>
          <w:spacing w:val="-2"/>
        </w:rPr>
        <w:t xml:space="preserve"> </w:t>
      </w:r>
      <w:r>
        <w:t>participan</w:t>
      </w:r>
      <w:r>
        <w:rPr>
          <w:spacing w:val="-3"/>
        </w:rPr>
        <w:t xml:space="preserve"> </w:t>
      </w:r>
      <w:r>
        <w:t>con</w:t>
      </w:r>
      <w:r>
        <w:rPr>
          <w:spacing w:val="-2"/>
        </w:rPr>
        <w:t xml:space="preserve"> </w:t>
      </w:r>
      <w:r>
        <w:t>mayor</w:t>
      </w:r>
      <w:r>
        <w:rPr>
          <w:spacing w:val="-1"/>
        </w:rPr>
        <w:t xml:space="preserve"> </w:t>
      </w:r>
      <w:r>
        <w:t>frecuencia</w:t>
      </w:r>
      <w:r>
        <w:rPr>
          <w:spacing w:val="-2"/>
        </w:rPr>
        <w:t xml:space="preserve"> </w:t>
      </w:r>
      <w:r>
        <w:t>tienen</w:t>
      </w:r>
      <w:r>
        <w:rPr>
          <w:spacing w:val="-2"/>
        </w:rPr>
        <w:t xml:space="preserve"> </w:t>
      </w:r>
      <w:r>
        <w:t>acceso</w:t>
      </w:r>
      <w:r>
        <w:rPr>
          <w:spacing w:val="-1"/>
        </w:rPr>
        <w:t xml:space="preserve"> </w:t>
      </w:r>
      <w:r>
        <w:t>a</w:t>
      </w:r>
      <w:r>
        <w:rPr>
          <w:spacing w:val="-2"/>
        </w:rPr>
        <w:t xml:space="preserve"> </w:t>
      </w:r>
      <w:r>
        <w:t>las instituciones del Estado. De ahí la importancia de los procesos de participación y la democratización de estos. De acuerdo con esta información, el 67% participa de actividades sociales con familiares y amistades;</w:t>
      </w:r>
      <w:r>
        <w:rPr>
          <w:spacing w:val="-1"/>
        </w:rPr>
        <w:t xml:space="preserve"> </w:t>
      </w:r>
      <w:r>
        <w:t>el 42% participa de actividades religiosas;</w:t>
      </w:r>
      <w:r>
        <w:rPr>
          <w:spacing w:val="-1"/>
        </w:rPr>
        <w:t xml:space="preserve"> </w:t>
      </w:r>
      <w:r>
        <w:t>el 30% participa de actividades comunitarias; el 12% participa en actividades deportivas, el 10% hace parte de organizaciones; el 8% participa en actividades culturales, y solo el 5% participa en espacios de participación ciudadana.</w:t>
      </w:r>
    </w:p>
    <w:p w14:paraId="68C7DD73" w14:textId="77777777" w:rsidR="000E52B0" w:rsidRDefault="00F60D74">
      <w:pPr>
        <w:pStyle w:val="Textoindependiente"/>
        <w:spacing w:before="160"/>
        <w:ind w:right="717"/>
        <w:jc w:val="both"/>
      </w:pPr>
      <w:r>
        <w:t>La baja participación se ve permeada por imaginarios sociales y barreras actitudinales reproducidas en el ámbito social, políticos y económico. Lo que impide la inclusión de las personas con discapacidad y sus familias en una vida en comunidad, al reproducirse imaginarios que continúan apuntalando, al estancamiento en el desarrollo de la población con discapacidad.</w:t>
      </w:r>
      <w:r>
        <w:rPr>
          <w:spacing w:val="-3"/>
        </w:rPr>
        <w:t xml:space="preserve"> </w:t>
      </w:r>
      <w:r>
        <w:t>Dado a</w:t>
      </w:r>
      <w:r>
        <w:rPr>
          <w:spacing w:val="-3"/>
        </w:rPr>
        <w:t xml:space="preserve"> </w:t>
      </w:r>
      <w:r>
        <w:t>que,</w:t>
      </w:r>
      <w:r>
        <w:rPr>
          <w:spacing w:val="-3"/>
        </w:rPr>
        <w:t xml:space="preserve"> </w:t>
      </w:r>
      <w:r>
        <w:t>la</w:t>
      </w:r>
      <w:r>
        <w:rPr>
          <w:spacing w:val="-1"/>
        </w:rPr>
        <w:t xml:space="preserve"> </w:t>
      </w:r>
      <w:r>
        <w:t>percepción</w:t>
      </w:r>
      <w:r>
        <w:rPr>
          <w:spacing w:val="-1"/>
        </w:rPr>
        <w:t xml:space="preserve"> </w:t>
      </w:r>
      <w:r>
        <w:t>más</w:t>
      </w:r>
      <w:r>
        <w:rPr>
          <w:spacing w:val="-3"/>
        </w:rPr>
        <w:t xml:space="preserve"> </w:t>
      </w:r>
      <w:r>
        <w:t>grande</w:t>
      </w:r>
      <w:r>
        <w:rPr>
          <w:spacing w:val="-2"/>
        </w:rPr>
        <w:t xml:space="preserve"> </w:t>
      </w:r>
      <w:r>
        <w:t>que</w:t>
      </w:r>
      <w:r>
        <w:rPr>
          <w:spacing w:val="-2"/>
        </w:rPr>
        <w:t xml:space="preserve"> </w:t>
      </w:r>
      <w:r>
        <w:t>tiene</w:t>
      </w:r>
      <w:r>
        <w:rPr>
          <w:spacing w:val="-2"/>
        </w:rPr>
        <w:t xml:space="preserve"> </w:t>
      </w:r>
      <w:r>
        <w:t>la</w:t>
      </w:r>
      <w:r>
        <w:rPr>
          <w:spacing w:val="-3"/>
        </w:rPr>
        <w:t xml:space="preserve"> </w:t>
      </w:r>
      <w:r>
        <w:t xml:space="preserve">sociedad frente a las </w:t>
      </w:r>
      <w:proofErr w:type="spellStart"/>
      <w:r>
        <w:t>PcD</w:t>
      </w:r>
      <w:proofErr w:type="spellEnd"/>
      <w:r>
        <w:t xml:space="preserve"> está enmarcada en lo asistencial y “distorsionada en términos</w:t>
      </w:r>
      <w:r>
        <w:rPr>
          <w:spacing w:val="-22"/>
        </w:rPr>
        <w:t xml:space="preserve"> </w:t>
      </w:r>
      <w:r>
        <w:t>de</w:t>
      </w:r>
      <w:r>
        <w:rPr>
          <w:spacing w:val="-21"/>
        </w:rPr>
        <w:t xml:space="preserve"> </w:t>
      </w:r>
      <w:r>
        <w:t>capacidad</w:t>
      </w:r>
      <w:r>
        <w:rPr>
          <w:spacing w:val="-21"/>
        </w:rPr>
        <w:t xml:space="preserve"> </w:t>
      </w:r>
      <w:r>
        <w:t>y</w:t>
      </w:r>
      <w:r>
        <w:rPr>
          <w:spacing w:val="-19"/>
        </w:rPr>
        <w:t xml:space="preserve"> </w:t>
      </w:r>
      <w:r>
        <w:t>participación”.</w:t>
      </w:r>
      <w:r>
        <w:rPr>
          <w:spacing w:val="-20"/>
        </w:rPr>
        <w:t xml:space="preserve"> </w:t>
      </w:r>
      <w:r>
        <w:t>Esto,</w:t>
      </w:r>
      <w:r>
        <w:rPr>
          <w:spacing w:val="-22"/>
        </w:rPr>
        <w:t xml:space="preserve"> </w:t>
      </w:r>
      <w:r>
        <w:t>se</w:t>
      </w:r>
      <w:r>
        <w:rPr>
          <w:spacing w:val="-17"/>
        </w:rPr>
        <w:t xml:space="preserve"> </w:t>
      </w:r>
      <w:r>
        <w:t>traduce</w:t>
      </w:r>
      <w:r>
        <w:rPr>
          <w:spacing w:val="-20"/>
        </w:rPr>
        <w:t xml:space="preserve"> </w:t>
      </w:r>
      <w:r>
        <w:t>en</w:t>
      </w:r>
      <w:r>
        <w:rPr>
          <w:spacing w:val="-20"/>
        </w:rPr>
        <w:t xml:space="preserve"> </w:t>
      </w:r>
      <w:r>
        <w:t>sobreprotección y limitación para el acceso a servicios educativos, deportivos y laborales, que en muchas ocasiones se reduce a manualidades y baile.</w:t>
      </w:r>
    </w:p>
    <w:p w14:paraId="56877133" w14:textId="77777777" w:rsidR="000E52B0" w:rsidRDefault="00F60D74">
      <w:pPr>
        <w:pStyle w:val="Textoindependiente"/>
        <w:spacing w:before="161"/>
        <w:ind w:right="718"/>
        <w:jc w:val="both"/>
      </w:pPr>
      <w:r>
        <w:t>Asimismo,</w:t>
      </w:r>
      <w:r>
        <w:rPr>
          <w:spacing w:val="-7"/>
        </w:rPr>
        <w:t xml:space="preserve"> </w:t>
      </w:r>
      <w:r>
        <w:t>en</w:t>
      </w:r>
      <w:r>
        <w:rPr>
          <w:spacing w:val="-9"/>
        </w:rPr>
        <w:t xml:space="preserve"> </w:t>
      </w:r>
      <w:r>
        <w:t>el</w:t>
      </w:r>
      <w:r>
        <w:rPr>
          <w:spacing w:val="-8"/>
        </w:rPr>
        <w:t xml:space="preserve"> </w:t>
      </w:r>
      <w:r>
        <w:t>caso</w:t>
      </w:r>
      <w:r>
        <w:rPr>
          <w:spacing w:val="-8"/>
        </w:rPr>
        <w:t xml:space="preserve"> </w:t>
      </w:r>
      <w:r>
        <w:t>de</w:t>
      </w:r>
      <w:r>
        <w:rPr>
          <w:spacing w:val="-8"/>
        </w:rPr>
        <w:t xml:space="preserve"> </w:t>
      </w:r>
      <w:r>
        <w:t>las</w:t>
      </w:r>
      <w:r>
        <w:rPr>
          <w:spacing w:val="-4"/>
        </w:rPr>
        <w:t xml:space="preserve"> </w:t>
      </w:r>
      <w:r>
        <w:rPr>
          <w:b/>
        </w:rPr>
        <w:t>personas</w:t>
      </w:r>
      <w:r>
        <w:rPr>
          <w:b/>
          <w:spacing w:val="-5"/>
        </w:rPr>
        <w:t xml:space="preserve"> </w:t>
      </w:r>
      <w:r>
        <w:rPr>
          <w:b/>
        </w:rPr>
        <w:t>habitantes</w:t>
      </w:r>
      <w:r>
        <w:rPr>
          <w:b/>
          <w:spacing w:val="-10"/>
        </w:rPr>
        <w:t xml:space="preserve"> </w:t>
      </w:r>
      <w:r>
        <w:rPr>
          <w:b/>
        </w:rPr>
        <w:t>de</w:t>
      </w:r>
      <w:r>
        <w:rPr>
          <w:b/>
          <w:spacing w:val="-7"/>
        </w:rPr>
        <w:t xml:space="preserve"> </w:t>
      </w:r>
      <w:r>
        <w:rPr>
          <w:b/>
        </w:rPr>
        <w:t>calle</w:t>
      </w:r>
      <w:r>
        <w:t>,</w:t>
      </w:r>
      <w:r>
        <w:rPr>
          <w:spacing w:val="-7"/>
        </w:rPr>
        <w:t xml:space="preserve"> </w:t>
      </w:r>
      <w:r>
        <w:t>las</w:t>
      </w:r>
      <w:r>
        <w:rPr>
          <w:spacing w:val="-7"/>
        </w:rPr>
        <w:t xml:space="preserve"> </w:t>
      </w:r>
      <w:r>
        <w:t>lógicas</w:t>
      </w:r>
      <w:r>
        <w:rPr>
          <w:spacing w:val="-7"/>
        </w:rPr>
        <w:t xml:space="preserve"> </w:t>
      </w:r>
      <w:r>
        <w:t>de participación</w:t>
      </w:r>
      <w:r>
        <w:rPr>
          <w:spacing w:val="-18"/>
        </w:rPr>
        <w:t xml:space="preserve"> </w:t>
      </w:r>
      <w:r>
        <w:t>se</w:t>
      </w:r>
      <w:r>
        <w:rPr>
          <w:spacing w:val="-19"/>
        </w:rPr>
        <w:t xml:space="preserve"> </w:t>
      </w:r>
      <w:r>
        <w:t>limitan</w:t>
      </w:r>
      <w:r>
        <w:rPr>
          <w:spacing w:val="-21"/>
        </w:rPr>
        <w:t xml:space="preserve"> </w:t>
      </w:r>
      <w:r>
        <w:t>a</w:t>
      </w:r>
      <w:r>
        <w:rPr>
          <w:spacing w:val="-20"/>
        </w:rPr>
        <w:t xml:space="preserve"> </w:t>
      </w:r>
      <w:r>
        <w:t>sus</w:t>
      </w:r>
      <w:r>
        <w:rPr>
          <w:spacing w:val="-20"/>
        </w:rPr>
        <w:t xml:space="preserve"> </w:t>
      </w:r>
      <w:r>
        <w:t>propias</w:t>
      </w:r>
      <w:r>
        <w:rPr>
          <w:spacing w:val="-20"/>
        </w:rPr>
        <w:t xml:space="preserve"> </w:t>
      </w:r>
      <w:r>
        <w:t>redes</w:t>
      </w:r>
      <w:r>
        <w:rPr>
          <w:spacing w:val="-20"/>
        </w:rPr>
        <w:t xml:space="preserve"> </w:t>
      </w:r>
      <w:r>
        <w:t>sociales</w:t>
      </w:r>
      <w:r>
        <w:rPr>
          <w:spacing w:val="-20"/>
        </w:rPr>
        <w:t xml:space="preserve"> </w:t>
      </w:r>
      <w:r>
        <w:t>y</w:t>
      </w:r>
      <w:r>
        <w:rPr>
          <w:spacing w:val="-18"/>
        </w:rPr>
        <w:t xml:space="preserve"> </w:t>
      </w:r>
      <w:r>
        <w:t>familiares,</w:t>
      </w:r>
      <w:r>
        <w:rPr>
          <w:spacing w:val="-21"/>
        </w:rPr>
        <w:t xml:space="preserve"> </w:t>
      </w:r>
      <w:r>
        <w:t>y</w:t>
      </w:r>
      <w:r>
        <w:rPr>
          <w:spacing w:val="-20"/>
        </w:rPr>
        <w:t xml:space="preserve"> </w:t>
      </w:r>
      <w:r>
        <w:t>el</w:t>
      </w:r>
      <w:r>
        <w:rPr>
          <w:spacing w:val="-21"/>
        </w:rPr>
        <w:t xml:space="preserve"> </w:t>
      </w:r>
      <w:r>
        <w:t>acceso a</w:t>
      </w:r>
      <w:r>
        <w:rPr>
          <w:spacing w:val="-6"/>
        </w:rPr>
        <w:t xml:space="preserve"> </w:t>
      </w:r>
      <w:r>
        <w:t>la</w:t>
      </w:r>
      <w:r>
        <w:rPr>
          <w:spacing w:val="-7"/>
        </w:rPr>
        <w:t xml:space="preserve"> </w:t>
      </w:r>
      <w:r>
        <w:t>respuesta</w:t>
      </w:r>
      <w:r>
        <w:rPr>
          <w:spacing w:val="-6"/>
        </w:rPr>
        <w:t xml:space="preserve"> </w:t>
      </w:r>
      <w:r>
        <w:t>institucional.</w:t>
      </w:r>
      <w:r>
        <w:rPr>
          <w:spacing w:val="-7"/>
        </w:rPr>
        <w:t xml:space="preserve"> </w:t>
      </w:r>
      <w:r>
        <w:t>El</w:t>
      </w:r>
      <w:r>
        <w:rPr>
          <w:spacing w:val="-7"/>
        </w:rPr>
        <w:t xml:space="preserve"> </w:t>
      </w:r>
      <w:r>
        <w:t>39%</w:t>
      </w:r>
      <w:r>
        <w:rPr>
          <w:spacing w:val="-6"/>
        </w:rPr>
        <w:t xml:space="preserve"> </w:t>
      </w:r>
      <w:r>
        <w:t>de</w:t>
      </w:r>
      <w:r>
        <w:rPr>
          <w:spacing w:val="-5"/>
        </w:rPr>
        <w:t xml:space="preserve"> </w:t>
      </w:r>
      <w:r>
        <w:t>las</w:t>
      </w:r>
      <w:r>
        <w:rPr>
          <w:spacing w:val="-7"/>
        </w:rPr>
        <w:t xml:space="preserve"> </w:t>
      </w:r>
      <w:r>
        <w:t>personas</w:t>
      </w:r>
      <w:r>
        <w:rPr>
          <w:spacing w:val="-7"/>
        </w:rPr>
        <w:t xml:space="preserve"> </w:t>
      </w:r>
      <w:r>
        <w:t>habitantes</w:t>
      </w:r>
      <w:r>
        <w:rPr>
          <w:spacing w:val="-7"/>
        </w:rPr>
        <w:t xml:space="preserve"> </w:t>
      </w:r>
      <w:r>
        <w:t>de</w:t>
      </w:r>
      <w:r>
        <w:rPr>
          <w:spacing w:val="-5"/>
        </w:rPr>
        <w:t xml:space="preserve"> </w:t>
      </w:r>
      <w:r>
        <w:t>calle,</w:t>
      </w:r>
      <w:r>
        <w:rPr>
          <w:spacing w:val="-7"/>
        </w:rPr>
        <w:t xml:space="preserve"> </w:t>
      </w:r>
      <w:r>
        <w:t>no tienen ningún contacto con sus familias de origen, el contacto más frecuente es con la madre, el 25%, seguido de los hermanos o hermanas (17%), y el 5% con hijos e hijas.</w:t>
      </w:r>
    </w:p>
    <w:p w14:paraId="250E8500" w14:textId="77777777" w:rsidR="000E52B0" w:rsidRDefault="00F60D74">
      <w:pPr>
        <w:pStyle w:val="Textoindependiente"/>
        <w:spacing w:before="160"/>
        <w:ind w:right="716"/>
        <w:jc w:val="both"/>
      </w:pPr>
      <w:r>
        <w:t>Respecto</w:t>
      </w:r>
      <w:r>
        <w:rPr>
          <w:spacing w:val="-9"/>
        </w:rPr>
        <w:t xml:space="preserve"> </w:t>
      </w:r>
      <w:r>
        <w:t>a</w:t>
      </w:r>
      <w:r>
        <w:rPr>
          <w:spacing w:val="-10"/>
        </w:rPr>
        <w:t xml:space="preserve"> </w:t>
      </w:r>
      <w:r>
        <w:t>la</w:t>
      </w:r>
      <w:r>
        <w:rPr>
          <w:spacing w:val="-10"/>
        </w:rPr>
        <w:t xml:space="preserve"> </w:t>
      </w:r>
      <w:r>
        <w:t>información</w:t>
      </w:r>
      <w:r>
        <w:rPr>
          <w:spacing w:val="-10"/>
        </w:rPr>
        <w:t xml:space="preserve"> </w:t>
      </w:r>
      <w:r>
        <w:t>que</w:t>
      </w:r>
      <w:r>
        <w:rPr>
          <w:spacing w:val="-9"/>
        </w:rPr>
        <w:t xml:space="preserve"> </w:t>
      </w:r>
      <w:r>
        <w:t>tienen</w:t>
      </w:r>
      <w:r>
        <w:rPr>
          <w:spacing w:val="-10"/>
        </w:rPr>
        <w:t xml:space="preserve"> </w:t>
      </w:r>
      <w:r>
        <w:t>sobre</w:t>
      </w:r>
      <w:r>
        <w:rPr>
          <w:spacing w:val="-8"/>
        </w:rPr>
        <w:t xml:space="preserve"> </w:t>
      </w:r>
      <w:r>
        <w:t>los</w:t>
      </w:r>
      <w:r>
        <w:rPr>
          <w:spacing w:val="-10"/>
        </w:rPr>
        <w:t xml:space="preserve"> </w:t>
      </w:r>
      <w:r>
        <w:t>programas</w:t>
      </w:r>
      <w:r>
        <w:rPr>
          <w:spacing w:val="-12"/>
        </w:rPr>
        <w:t xml:space="preserve"> </w:t>
      </w:r>
      <w:r>
        <w:t>de</w:t>
      </w:r>
      <w:r>
        <w:rPr>
          <w:spacing w:val="-9"/>
        </w:rPr>
        <w:t xml:space="preserve"> </w:t>
      </w:r>
      <w:r>
        <w:t>los</w:t>
      </w:r>
      <w:r>
        <w:rPr>
          <w:spacing w:val="-10"/>
        </w:rPr>
        <w:t xml:space="preserve"> </w:t>
      </w:r>
      <w:r>
        <w:t>gobiernos locales, el 48% conoce programas de las respectivas alcaldías para las personas</w:t>
      </w:r>
      <w:r>
        <w:rPr>
          <w:spacing w:val="-22"/>
        </w:rPr>
        <w:t xml:space="preserve"> </w:t>
      </w:r>
      <w:r>
        <w:t>en</w:t>
      </w:r>
      <w:r>
        <w:rPr>
          <w:spacing w:val="-21"/>
        </w:rPr>
        <w:t xml:space="preserve"> </w:t>
      </w:r>
      <w:r>
        <w:t>situación</w:t>
      </w:r>
      <w:r>
        <w:rPr>
          <w:spacing w:val="-21"/>
        </w:rPr>
        <w:t xml:space="preserve"> </w:t>
      </w:r>
      <w:r>
        <w:t>de</w:t>
      </w:r>
      <w:r>
        <w:rPr>
          <w:spacing w:val="-21"/>
        </w:rPr>
        <w:t xml:space="preserve"> </w:t>
      </w:r>
      <w:r>
        <w:t>calle</w:t>
      </w:r>
      <w:r>
        <w:rPr>
          <w:spacing w:val="-21"/>
        </w:rPr>
        <w:t xml:space="preserve"> </w:t>
      </w:r>
      <w:r>
        <w:t>y</w:t>
      </w:r>
      <w:r>
        <w:rPr>
          <w:spacing w:val="-21"/>
        </w:rPr>
        <w:t xml:space="preserve"> </w:t>
      </w:r>
      <w:r>
        <w:t>el</w:t>
      </w:r>
      <w:r>
        <w:rPr>
          <w:spacing w:val="-21"/>
        </w:rPr>
        <w:t xml:space="preserve"> </w:t>
      </w:r>
      <w:r>
        <w:t>30%</w:t>
      </w:r>
      <w:r>
        <w:rPr>
          <w:spacing w:val="-21"/>
        </w:rPr>
        <w:t xml:space="preserve"> </w:t>
      </w:r>
      <w:r>
        <w:t>los</w:t>
      </w:r>
      <w:r>
        <w:rPr>
          <w:spacing w:val="-21"/>
        </w:rPr>
        <w:t xml:space="preserve"> </w:t>
      </w:r>
      <w:r>
        <w:t>utiliza.</w:t>
      </w:r>
      <w:r>
        <w:rPr>
          <w:spacing w:val="-21"/>
        </w:rPr>
        <w:t xml:space="preserve"> </w:t>
      </w:r>
      <w:r>
        <w:t>Entre</w:t>
      </w:r>
      <w:r>
        <w:rPr>
          <w:spacing w:val="-22"/>
        </w:rPr>
        <w:t xml:space="preserve"> </w:t>
      </w:r>
      <w:r>
        <w:t>quienes</w:t>
      </w:r>
      <w:r>
        <w:rPr>
          <w:spacing w:val="-21"/>
        </w:rPr>
        <w:t xml:space="preserve"> </w:t>
      </w:r>
      <w:r>
        <w:t>no</w:t>
      </w:r>
      <w:r>
        <w:rPr>
          <w:spacing w:val="-21"/>
        </w:rPr>
        <w:t xml:space="preserve"> </w:t>
      </w:r>
      <w:r>
        <w:t>acceden a estos programas, la razón más frecuente es porque no se sienten cómodos y cómodas (46%), justamente porque la participación en estas acciones locales es limitada, el 30% señala otra razón no mencionada en el censo, el 13% no sabe dónde quedan, el 9% señala que quedan muy lejos, el 3% reporta que le piden identificación y no tiene; y el 1% respectivamente reporta que no le permiten ingresar sus elementos personales, y no le permiten ingresar su mascota.</w:t>
      </w:r>
    </w:p>
    <w:p w14:paraId="391111D0" w14:textId="77777777" w:rsidR="000E52B0" w:rsidRDefault="000E52B0">
      <w:pPr>
        <w:pStyle w:val="Textoindependiente"/>
        <w:jc w:val="both"/>
        <w:sectPr w:rsidR="000E52B0">
          <w:pgSz w:w="11910" w:h="16840"/>
          <w:pgMar w:top="1340" w:right="720" w:bottom="1180" w:left="720" w:header="0" w:footer="995" w:gutter="0"/>
          <w:cols w:space="720"/>
        </w:sectPr>
      </w:pPr>
    </w:p>
    <w:p w14:paraId="5EE536F8" w14:textId="77777777" w:rsidR="000E52B0" w:rsidRDefault="00F60D74">
      <w:pPr>
        <w:spacing w:before="83"/>
        <w:ind w:left="720"/>
        <w:jc w:val="both"/>
        <w:rPr>
          <w:i/>
          <w:sz w:val="24"/>
        </w:rPr>
      </w:pPr>
      <w:bookmarkStart w:id="71" w:name="_bookmark71"/>
      <w:bookmarkEnd w:id="71"/>
      <w:r>
        <w:rPr>
          <w:i/>
          <w:color w:val="B3176C"/>
          <w:sz w:val="24"/>
        </w:rPr>
        <w:lastRenderedPageBreak/>
        <w:t>Prácticas</w:t>
      </w:r>
      <w:r>
        <w:rPr>
          <w:i/>
          <w:color w:val="B3176C"/>
          <w:spacing w:val="-4"/>
          <w:sz w:val="24"/>
        </w:rPr>
        <w:t xml:space="preserve"> </w:t>
      </w:r>
      <w:r>
        <w:rPr>
          <w:i/>
          <w:color w:val="B3176C"/>
          <w:sz w:val="24"/>
        </w:rPr>
        <w:t>de</w:t>
      </w:r>
      <w:r>
        <w:rPr>
          <w:i/>
          <w:color w:val="B3176C"/>
          <w:spacing w:val="-5"/>
          <w:sz w:val="24"/>
        </w:rPr>
        <w:t xml:space="preserve"> </w:t>
      </w:r>
      <w:r>
        <w:rPr>
          <w:i/>
          <w:color w:val="B3176C"/>
          <w:sz w:val="24"/>
        </w:rPr>
        <w:t>discriminación</w:t>
      </w:r>
      <w:r>
        <w:rPr>
          <w:i/>
          <w:color w:val="B3176C"/>
          <w:spacing w:val="-4"/>
          <w:sz w:val="24"/>
        </w:rPr>
        <w:t xml:space="preserve"> </w:t>
      </w:r>
      <w:r>
        <w:rPr>
          <w:i/>
          <w:color w:val="B3176C"/>
          <w:sz w:val="24"/>
        </w:rPr>
        <w:t>y</w:t>
      </w:r>
      <w:r>
        <w:rPr>
          <w:i/>
          <w:color w:val="B3176C"/>
          <w:spacing w:val="-4"/>
          <w:sz w:val="24"/>
        </w:rPr>
        <w:t xml:space="preserve"> </w:t>
      </w:r>
      <w:r>
        <w:rPr>
          <w:i/>
          <w:color w:val="B3176C"/>
          <w:spacing w:val="-2"/>
          <w:sz w:val="24"/>
        </w:rPr>
        <w:t>violencias</w:t>
      </w:r>
    </w:p>
    <w:p w14:paraId="1A7AC334" w14:textId="77777777" w:rsidR="000E52B0" w:rsidRDefault="00F60D74">
      <w:pPr>
        <w:pStyle w:val="Textoindependiente"/>
        <w:spacing w:before="291"/>
        <w:ind w:right="714"/>
        <w:jc w:val="both"/>
      </w:pPr>
      <w:r>
        <w:t>En relación con las múltiples prácticas de discriminación y violencias de género que afectan las autonomías de las mujeres, los datos presentados por la ENUT de 2016-2017, el 69% de los hombres y el 66.1% de las mujeres estaban de acuerdo con la afirmación de que "</w:t>
      </w:r>
      <w:r>
        <w:rPr>
          <w:i/>
        </w:rPr>
        <w:t>Las mujeres son mejores</w:t>
      </w:r>
      <w:r>
        <w:rPr>
          <w:i/>
          <w:spacing w:val="-14"/>
        </w:rPr>
        <w:t xml:space="preserve"> </w:t>
      </w:r>
      <w:r>
        <w:rPr>
          <w:i/>
        </w:rPr>
        <w:t>para</w:t>
      </w:r>
      <w:r>
        <w:rPr>
          <w:i/>
          <w:spacing w:val="-13"/>
        </w:rPr>
        <w:t xml:space="preserve"> </w:t>
      </w:r>
      <w:r>
        <w:rPr>
          <w:i/>
        </w:rPr>
        <w:t>el</w:t>
      </w:r>
      <w:r>
        <w:rPr>
          <w:i/>
          <w:spacing w:val="-15"/>
        </w:rPr>
        <w:t xml:space="preserve"> </w:t>
      </w:r>
      <w:r>
        <w:rPr>
          <w:i/>
        </w:rPr>
        <w:t>trabajo</w:t>
      </w:r>
      <w:r>
        <w:rPr>
          <w:i/>
          <w:spacing w:val="-13"/>
        </w:rPr>
        <w:t xml:space="preserve"> </w:t>
      </w:r>
      <w:r>
        <w:rPr>
          <w:i/>
        </w:rPr>
        <w:t>doméstico</w:t>
      </w:r>
      <w:r>
        <w:rPr>
          <w:i/>
          <w:spacing w:val="-13"/>
        </w:rPr>
        <w:t xml:space="preserve"> </w:t>
      </w:r>
      <w:r>
        <w:rPr>
          <w:i/>
        </w:rPr>
        <w:t>que</w:t>
      </w:r>
      <w:r>
        <w:rPr>
          <w:i/>
          <w:spacing w:val="-13"/>
        </w:rPr>
        <w:t xml:space="preserve"> </w:t>
      </w:r>
      <w:r>
        <w:rPr>
          <w:i/>
        </w:rPr>
        <w:t>los</w:t>
      </w:r>
      <w:r>
        <w:rPr>
          <w:i/>
          <w:spacing w:val="-14"/>
        </w:rPr>
        <w:t xml:space="preserve"> </w:t>
      </w:r>
      <w:r>
        <w:rPr>
          <w:i/>
        </w:rPr>
        <w:t>hombres</w:t>
      </w:r>
      <w:r>
        <w:t>".</w:t>
      </w:r>
      <w:r>
        <w:rPr>
          <w:spacing w:val="-14"/>
        </w:rPr>
        <w:t xml:space="preserve"> </w:t>
      </w:r>
      <w:r>
        <w:t>Para</w:t>
      </w:r>
      <w:r>
        <w:rPr>
          <w:spacing w:val="-13"/>
        </w:rPr>
        <w:t xml:space="preserve"> </w:t>
      </w:r>
      <w:r>
        <w:t>el</w:t>
      </w:r>
      <w:r>
        <w:rPr>
          <w:spacing w:val="-15"/>
        </w:rPr>
        <w:t xml:space="preserve"> </w:t>
      </w:r>
      <w:r>
        <w:t>período</w:t>
      </w:r>
      <w:r>
        <w:rPr>
          <w:spacing w:val="-13"/>
        </w:rPr>
        <w:t xml:space="preserve"> </w:t>
      </w:r>
      <w:r>
        <w:t>2020- 2021, este porcentaje disminuyó, pero menos de 3 p.p. En cuanto a la afirmación "</w:t>
      </w:r>
      <w:r>
        <w:rPr>
          <w:i/>
        </w:rPr>
        <w:t>La cabeza del hogar debe ser el hombre</w:t>
      </w:r>
      <w:r>
        <w:t>", el porcentaje de acuerdo disminuyó de 47.2% en hombres y 36.6% en mujeres en 2016- 2017 a 43.6% y 32.8% en 2020-2021, respectivamente. Estos descensos sugieren un cambio gradual hacia la equidad de género, pero dan cuenta de las brechas culturales que persisten para lograr la equidad.</w:t>
      </w:r>
    </w:p>
    <w:p w14:paraId="729F6613" w14:textId="77777777" w:rsidR="000E52B0" w:rsidRDefault="000E52B0">
      <w:pPr>
        <w:pStyle w:val="Textoindependiente"/>
        <w:ind w:left="0"/>
      </w:pPr>
    </w:p>
    <w:p w14:paraId="681BCBFA" w14:textId="77777777" w:rsidR="000E52B0" w:rsidRDefault="00F60D74">
      <w:pPr>
        <w:pStyle w:val="Textoindependiente"/>
        <w:ind w:right="715"/>
        <w:jc w:val="both"/>
      </w:pPr>
      <w:r>
        <w:t>Frente</w:t>
      </w:r>
      <w:r>
        <w:rPr>
          <w:spacing w:val="-10"/>
        </w:rPr>
        <w:t xml:space="preserve"> </w:t>
      </w:r>
      <w:r>
        <w:t>a</w:t>
      </w:r>
      <w:r>
        <w:rPr>
          <w:spacing w:val="-11"/>
        </w:rPr>
        <w:t xml:space="preserve"> </w:t>
      </w:r>
      <w:r>
        <w:t>la</w:t>
      </w:r>
      <w:r>
        <w:rPr>
          <w:spacing w:val="-12"/>
        </w:rPr>
        <w:t xml:space="preserve"> </w:t>
      </w:r>
      <w:r>
        <w:t>afirmación</w:t>
      </w:r>
      <w:r>
        <w:rPr>
          <w:spacing w:val="-12"/>
        </w:rPr>
        <w:t xml:space="preserve"> </w:t>
      </w:r>
      <w:r>
        <w:t>"</w:t>
      </w:r>
      <w:r>
        <w:rPr>
          <w:i/>
        </w:rPr>
        <w:t>Ambos,</w:t>
      </w:r>
      <w:r>
        <w:rPr>
          <w:i/>
          <w:spacing w:val="-12"/>
        </w:rPr>
        <w:t xml:space="preserve"> </w:t>
      </w:r>
      <w:r>
        <w:rPr>
          <w:i/>
        </w:rPr>
        <w:t>el</w:t>
      </w:r>
      <w:r>
        <w:rPr>
          <w:i/>
          <w:spacing w:val="-12"/>
        </w:rPr>
        <w:t xml:space="preserve"> </w:t>
      </w:r>
      <w:r>
        <w:rPr>
          <w:i/>
        </w:rPr>
        <w:t>hombre</w:t>
      </w:r>
      <w:r>
        <w:rPr>
          <w:i/>
          <w:spacing w:val="-10"/>
        </w:rPr>
        <w:t xml:space="preserve"> </w:t>
      </w:r>
      <w:r>
        <w:rPr>
          <w:i/>
        </w:rPr>
        <w:t>y</w:t>
      </w:r>
      <w:r>
        <w:rPr>
          <w:i/>
          <w:spacing w:val="-11"/>
        </w:rPr>
        <w:t xml:space="preserve"> </w:t>
      </w:r>
      <w:r>
        <w:rPr>
          <w:i/>
        </w:rPr>
        <w:t>la</w:t>
      </w:r>
      <w:r>
        <w:rPr>
          <w:i/>
          <w:spacing w:val="-11"/>
        </w:rPr>
        <w:t xml:space="preserve"> </w:t>
      </w:r>
      <w:r>
        <w:rPr>
          <w:i/>
        </w:rPr>
        <w:t>mujer,</w:t>
      </w:r>
      <w:r>
        <w:rPr>
          <w:i/>
          <w:spacing w:val="-11"/>
        </w:rPr>
        <w:t xml:space="preserve"> </w:t>
      </w:r>
      <w:r>
        <w:rPr>
          <w:i/>
        </w:rPr>
        <w:t>deberían</w:t>
      </w:r>
      <w:r>
        <w:rPr>
          <w:i/>
          <w:spacing w:val="-12"/>
        </w:rPr>
        <w:t xml:space="preserve"> </w:t>
      </w:r>
      <w:r>
        <w:rPr>
          <w:i/>
        </w:rPr>
        <w:t>contribuir</w:t>
      </w:r>
      <w:r>
        <w:rPr>
          <w:i/>
          <w:spacing w:val="-10"/>
        </w:rPr>
        <w:t xml:space="preserve"> </w:t>
      </w:r>
      <w:r>
        <w:rPr>
          <w:i/>
        </w:rPr>
        <w:t>al ingreso del hogar</w:t>
      </w:r>
      <w:r>
        <w:t>" fue ampliamente aceptada en ambos periodos, con un aumento</w:t>
      </w:r>
      <w:r>
        <w:rPr>
          <w:spacing w:val="-17"/>
        </w:rPr>
        <w:t xml:space="preserve"> </w:t>
      </w:r>
      <w:r>
        <w:t>notable</w:t>
      </w:r>
      <w:r>
        <w:rPr>
          <w:spacing w:val="-15"/>
        </w:rPr>
        <w:t xml:space="preserve"> </w:t>
      </w:r>
      <w:r>
        <w:t>de</w:t>
      </w:r>
      <w:r>
        <w:rPr>
          <w:spacing w:val="-17"/>
        </w:rPr>
        <w:t xml:space="preserve"> </w:t>
      </w:r>
      <w:r>
        <w:t>86.1%</w:t>
      </w:r>
      <w:r>
        <w:rPr>
          <w:spacing w:val="-17"/>
        </w:rPr>
        <w:t xml:space="preserve"> </w:t>
      </w:r>
      <w:r>
        <w:t>en</w:t>
      </w:r>
      <w:r>
        <w:rPr>
          <w:spacing w:val="-18"/>
        </w:rPr>
        <w:t xml:space="preserve"> </w:t>
      </w:r>
      <w:r>
        <w:t>hombres</w:t>
      </w:r>
      <w:r>
        <w:rPr>
          <w:spacing w:val="-16"/>
        </w:rPr>
        <w:t xml:space="preserve"> </w:t>
      </w:r>
      <w:r>
        <w:t>y</w:t>
      </w:r>
      <w:r>
        <w:rPr>
          <w:spacing w:val="-18"/>
        </w:rPr>
        <w:t xml:space="preserve"> </w:t>
      </w:r>
      <w:r>
        <w:t>86.6%</w:t>
      </w:r>
      <w:r>
        <w:rPr>
          <w:spacing w:val="-17"/>
        </w:rPr>
        <w:t xml:space="preserve"> </w:t>
      </w:r>
      <w:r>
        <w:t>en</w:t>
      </w:r>
      <w:r>
        <w:rPr>
          <w:spacing w:val="-18"/>
        </w:rPr>
        <w:t xml:space="preserve"> </w:t>
      </w:r>
      <w:r>
        <w:t>mujeres</w:t>
      </w:r>
      <w:r>
        <w:rPr>
          <w:spacing w:val="-18"/>
        </w:rPr>
        <w:t xml:space="preserve"> </w:t>
      </w:r>
      <w:r>
        <w:t>en</w:t>
      </w:r>
      <w:r>
        <w:rPr>
          <w:spacing w:val="-13"/>
        </w:rPr>
        <w:t xml:space="preserve"> </w:t>
      </w:r>
      <w:r>
        <w:t>2016-2017 a 82.3% en hombres y 86.6% en mujeres en 2020-2021, indicando una fuerte tendencia hacia la dualidad en la responsabilidad económica dentro del hogar. Estos datos reflejan las persistentes normas sociales de género y los roles asignados a hombres y mujeres, pero también muestran los cambios narrativos en las relaciones de género asociadas al</w:t>
      </w:r>
      <w:r>
        <w:rPr>
          <w:spacing w:val="-1"/>
        </w:rPr>
        <w:t xml:space="preserve"> </w:t>
      </w:r>
      <w:r>
        <w:t>rol productivo de las personas.</w:t>
      </w:r>
    </w:p>
    <w:p w14:paraId="0D6D3760" w14:textId="77777777" w:rsidR="000E52B0" w:rsidRDefault="00F60D74">
      <w:pPr>
        <w:ind w:left="4993" w:right="723" w:hanging="4146"/>
        <w:rPr>
          <w:i/>
          <w:sz w:val="18"/>
        </w:rPr>
      </w:pPr>
      <w:r>
        <w:rPr>
          <w:i/>
          <w:color w:val="454551"/>
          <w:sz w:val="18"/>
        </w:rPr>
        <w:t>Ilustración</w:t>
      </w:r>
      <w:r>
        <w:rPr>
          <w:i/>
          <w:color w:val="454551"/>
          <w:spacing w:val="-1"/>
          <w:sz w:val="18"/>
        </w:rPr>
        <w:t xml:space="preserve"> </w:t>
      </w:r>
      <w:r>
        <w:rPr>
          <w:i/>
          <w:color w:val="454551"/>
          <w:sz w:val="18"/>
        </w:rPr>
        <w:t>43.</w:t>
      </w:r>
      <w:r>
        <w:rPr>
          <w:i/>
          <w:color w:val="454551"/>
          <w:spacing w:val="-4"/>
          <w:sz w:val="18"/>
        </w:rPr>
        <w:t xml:space="preserve"> </w:t>
      </w:r>
      <w:r>
        <w:rPr>
          <w:i/>
          <w:color w:val="454551"/>
          <w:sz w:val="18"/>
        </w:rPr>
        <w:t>Porcentaje</w:t>
      </w:r>
      <w:r>
        <w:rPr>
          <w:i/>
          <w:color w:val="454551"/>
          <w:spacing w:val="-3"/>
          <w:sz w:val="18"/>
        </w:rPr>
        <w:t xml:space="preserve"> </w:t>
      </w:r>
      <w:r>
        <w:rPr>
          <w:i/>
          <w:color w:val="454551"/>
          <w:sz w:val="18"/>
        </w:rPr>
        <w:t>de</w:t>
      </w:r>
      <w:r>
        <w:rPr>
          <w:i/>
          <w:color w:val="454551"/>
          <w:spacing w:val="-3"/>
          <w:sz w:val="18"/>
        </w:rPr>
        <w:t xml:space="preserve"> </w:t>
      </w:r>
      <w:r>
        <w:rPr>
          <w:i/>
          <w:color w:val="454551"/>
          <w:sz w:val="18"/>
        </w:rPr>
        <w:t>personas</w:t>
      </w:r>
      <w:r>
        <w:rPr>
          <w:i/>
          <w:color w:val="454551"/>
          <w:spacing w:val="-4"/>
          <w:sz w:val="18"/>
        </w:rPr>
        <w:t xml:space="preserve"> </w:t>
      </w:r>
      <w:r>
        <w:rPr>
          <w:i/>
          <w:color w:val="454551"/>
          <w:sz w:val="18"/>
        </w:rPr>
        <w:t>de</w:t>
      </w:r>
      <w:r>
        <w:rPr>
          <w:i/>
          <w:color w:val="454551"/>
          <w:spacing w:val="-3"/>
          <w:sz w:val="18"/>
        </w:rPr>
        <w:t xml:space="preserve"> </w:t>
      </w:r>
      <w:r>
        <w:rPr>
          <w:i/>
          <w:color w:val="454551"/>
          <w:sz w:val="18"/>
        </w:rPr>
        <w:t>acuerdo</w:t>
      </w:r>
      <w:r>
        <w:rPr>
          <w:i/>
          <w:color w:val="454551"/>
          <w:spacing w:val="-2"/>
          <w:sz w:val="18"/>
        </w:rPr>
        <w:t xml:space="preserve"> </w:t>
      </w:r>
      <w:r>
        <w:rPr>
          <w:i/>
          <w:color w:val="454551"/>
          <w:sz w:val="18"/>
        </w:rPr>
        <w:t>o</w:t>
      </w:r>
      <w:r>
        <w:rPr>
          <w:i/>
          <w:color w:val="454551"/>
          <w:spacing w:val="-5"/>
          <w:sz w:val="18"/>
        </w:rPr>
        <w:t xml:space="preserve"> </w:t>
      </w:r>
      <w:r>
        <w:rPr>
          <w:i/>
          <w:color w:val="454551"/>
          <w:sz w:val="18"/>
        </w:rPr>
        <w:t>muy</w:t>
      </w:r>
      <w:r>
        <w:rPr>
          <w:i/>
          <w:color w:val="454551"/>
          <w:spacing w:val="-4"/>
          <w:sz w:val="18"/>
        </w:rPr>
        <w:t xml:space="preserve"> </w:t>
      </w:r>
      <w:r>
        <w:rPr>
          <w:i/>
          <w:color w:val="454551"/>
          <w:sz w:val="18"/>
        </w:rPr>
        <w:t>de</w:t>
      </w:r>
      <w:r>
        <w:rPr>
          <w:i/>
          <w:color w:val="454551"/>
          <w:spacing w:val="-3"/>
          <w:sz w:val="18"/>
        </w:rPr>
        <w:t xml:space="preserve"> </w:t>
      </w:r>
      <w:r>
        <w:rPr>
          <w:i/>
          <w:color w:val="454551"/>
          <w:sz w:val="18"/>
        </w:rPr>
        <w:t>acuerdo</w:t>
      </w:r>
      <w:r>
        <w:rPr>
          <w:i/>
          <w:color w:val="454551"/>
          <w:spacing w:val="-2"/>
          <w:sz w:val="18"/>
        </w:rPr>
        <w:t xml:space="preserve"> </w:t>
      </w:r>
      <w:r>
        <w:rPr>
          <w:i/>
          <w:color w:val="454551"/>
          <w:sz w:val="18"/>
        </w:rPr>
        <w:t>con</w:t>
      </w:r>
      <w:r>
        <w:rPr>
          <w:i/>
          <w:color w:val="454551"/>
          <w:spacing w:val="-2"/>
          <w:sz w:val="18"/>
        </w:rPr>
        <w:t xml:space="preserve"> </w:t>
      </w:r>
      <w:r>
        <w:rPr>
          <w:i/>
          <w:color w:val="454551"/>
          <w:sz w:val="18"/>
        </w:rPr>
        <w:t>las</w:t>
      </w:r>
      <w:r>
        <w:rPr>
          <w:i/>
          <w:color w:val="454551"/>
          <w:spacing w:val="-4"/>
          <w:sz w:val="18"/>
        </w:rPr>
        <w:t xml:space="preserve"> </w:t>
      </w:r>
      <w:r>
        <w:rPr>
          <w:i/>
          <w:color w:val="454551"/>
          <w:sz w:val="18"/>
        </w:rPr>
        <w:t>afirmaciones</w:t>
      </w:r>
      <w:r>
        <w:rPr>
          <w:i/>
          <w:color w:val="454551"/>
          <w:spacing w:val="-3"/>
          <w:sz w:val="18"/>
        </w:rPr>
        <w:t xml:space="preserve"> </w:t>
      </w:r>
      <w:r>
        <w:rPr>
          <w:i/>
          <w:color w:val="454551"/>
          <w:sz w:val="18"/>
        </w:rPr>
        <w:t xml:space="preserve">según </w:t>
      </w:r>
      <w:r>
        <w:rPr>
          <w:i/>
          <w:color w:val="454551"/>
          <w:spacing w:val="-2"/>
          <w:sz w:val="18"/>
        </w:rPr>
        <w:t>sexo.</w:t>
      </w:r>
    </w:p>
    <w:p w14:paraId="31F21386" w14:textId="77777777" w:rsidR="000E52B0" w:rsidRDefault="000E52B0">
      <w:pPr>
        <w:pStyle w:val="Textoindependiente"/>
        <w:ind w:left="0"/>
        <w:rPr>
          <w:i/>
          <w:sz w:val="20"/>
        </w:rPr>
      </w:pPr>
    </w:p>
    <w:p w14:paraId="2EE3D79E" w14:textId="77777777" w:rsidR="000E52B0" w:rsidRDefault="00F60D74">
      <w:pPr>
        <w:pStyle w:val="Textoindependiente"/>
        <w:spacing w:before="16"/>
        <w:ind w:left="0"/>
        <w:rPr>
          <w:i/>
          <w:sz w:val="20"/>
        </w:rPr>
      </w:pPr>
      <w:r>
        <w:rPr>
          <w:i/>
          <w:noProof/>
          <w:sz w:val="20"/>
        </w:rPr>
        <w:drawing>
          <wp:anchor distT="0" distB="0" distL="0" distR="0" simplePos="0" relativeHeight="487652864" behindDoc="1" locked="0" layoutInCell="1" allowOverlap="1" wp14:anchorId="1C19C50C" wp14:editId="23A91495">
            <wp:simplePos x="0" y="0"/>
            <wp:positionH relativeFrom="page">
              <wp:posOffset>1035639</wp:posOffset>
            </wp:positionH>
            <wp:positionV relativeFrom="paragraph">
              <wp:posOffset>180164</wp:posOffset>
            </wp:positionV>
            <wp:extent cx="5613457" cy="2097500"/>
            <wp:effectExtent l="0" t="0" r="0" b="0"/>
            <wp:wrapTopAndBottom/>
            <wp:docPr id="531" name="Image 531" descr="Gráfico, Gráfico de barras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descr="Gráfico, Gráfico de barras  Descripción generada automáticamente"/>
                    <pic:cNvPicPr/>
                  </pic:nvPicPr>
                  <pic:blipFill>
                    <a:blip r:embed="rId182" cstate="print"/>
                    <a:stretch>
                      <a:fillRect/>
                    </a:stretch>
                  </pic:blipFill>
                  <pic:spPr>
                    <a:xfrm>
                      <a:off x="0" y="0"/>
                      <a:ext cx="5613457" cy="2097500"/>
                    </a:xfrm>
                    <a:prstGeom prst="rect">
                      <a:avLst/>
                    </a:prstGeom>
                  </pic:spPr>
                </pic:pic>
              </a:graphicData>
            </a:graphic>
          </wp:anchor>
        </w:drawing>
      </w:r>
    </w:p>
    <w:p w14:paraId="75D39D5D" w14:textId="77777777" w:rsidR="000E52B0" w:rsidRDefault="000E52B0">
      <w:pPr>
        <w:pStyle w:val="Textoindependiente"/>
        <w:spacing w:before="11"/>
        <w:ind w:left="0"/>
        <w:rPr>
          <w:i/>
          <w:sz w:val="18"/>
        </w:rPr>
      </w:pPr>
    </w:p>
    <w:p w14:paraId="5248F83D" w14:textId="77777777" w:rsidR="000E52B0" w:rsidRDefault="00F60D74">
      <w:pPr>
        <w:ind w:left="4979" w:right="723" w:hanging="4120"/>
        <w:rPr>
          <w:i/>
          <w:sz w:val="18"/>
        </w:rPr>
      </w:pPr>
      <w:r>
        <w:rPr>
          <w:i/>
          <w:color w:val="454551"/>
          <w:sz w:val="18"/>
        </w:rPr>
        <w:t>Fuente</w:t>
      </w:r>
      <w:r>
        <w:rPr>
          <w:i/>
          <w:color w:val="454551"/>
          <w:spacing w:val="-2"/>
          <w:sz w:val="18"/>
        </w:rPr>
        <w:t xml:space="preserve"> </w:t>
      </w:r>
      <w:r>
        <w:rPr>
          <w:i/>
          <w:color w:val="454551"/>
          <w:sz w:val="18"/>
        </w:rPr>
        <w:t>31.</w:t>
      </w:r>
      <w:r>
        <w:rPr>
          <w:i/>
          <w:color w:val="454551"/>
          <w:spacing w:val="-4"/>
          <w:sz w:val="18"/>
        </w:rPr>
        <w:t xml:space="preserve"> </w:t>
      </w:r>
      <w:r>
        <w:rPr>
          <w:i/>
          <w:color w:val="454551"/>
          <w:sz w:val="18"/>
        </w:rPr>
        <w:t>Ministerio</w:t>
      </w:r>
      <w:r>
        <w:rPr>
          <w:i/>
          <w:color w:val="454551"/>
          <w:spacing w:val="-2"/>
          <w:sz w:val="18"/>
        </w:rPr>
        <w:t xml:space="preserve"> </w:t>
      </w:r>
      <w:r>
        <w:rPr>
          <w:i/>
          <w:color w:val="454551"/>
          <w:sz w:val="18"/>
        </w:rPr>
        <w:t>de</w:t>
      </w:r>
      <w:r>
        <w:rPr>
          <w:i/>
          <w:color w:val="454551"/>
          <w:spacing w:val="-3"/>
          <w:sz w:val="18"/>
        </w:rPr>
        <w:t xml:space="preserve"> </w:t>
      </w:r>
      <w:r>
        <w:rPr>
          <w:i/>
          <w:color w:val="454551"/>
          <w:sz w:val="18"/>
        </w:rPr>
        <w:t>Igualdad</w:t>
      </w:r>
      <w:r>
        <w:rPr>
          <w:i/>
          <w:color w:val="454551"/>
          <w:spacing w:val="-2"/>
          <w:sz w:val="18"/>
        </w:rPr>
        <w:t xml:space="preserve"> </w:t>
      </w:r>
      <w:r>
        <w:rPr>
          <w:i/>
          <w:color w:val="454551"/>
          <w:sz w:val="18"/>
        </w:rPr>
        <w:t>y</w:t>
      </w:r>
      <w:r>
        <w:rPr>
          <w:i/>
          <w:color w:val="454551"/>
          <w:spacing w:val="-5"/>
          <w:sz w:val="18"/>
        </w:rPr>
        <w:t xml:space="preserve"> </w:t>
      </w:r>
      <w:r>
        <w:rPr>
          <w:i/>
          <w:color w:val="454551"/>
          <w:sz w:val="18"/>
        </w:rPr>
        <w:t>Equidad</w:t>
      </w:r>
      <w:r>
        <w:rPr>
          <w:i/>
          <w:color w:val="454551"/>
          <w:spacing w:val="-3"/>
          <w:sz w:val="18"/>
        </w:rPr>
        <w:t xml:space="preserve"> </w:t>
      </w:r>
      <w:r>
        <w:rPr>
          <w:i/>
          <w:color w:val="454551"/>
          <w:sz w:val="18"/>
        </w:rPr>
        <w:t>(OSCE)</w:t>
      </w:r>
      <w:r>
        <w:rPr>
          <w:i/>
          <w:color w:val="454551"/>
          <w:spacing w:val="-4"/>
          <w:sz w:val="18"/>
        </w:rPr>
        <w:t xml:space="preserve"> </w:t>
      </w:r>
      <w:r>
        <w:rPr>
          <w:i/>
          <w:color w:val="454551"/>
          <w:sz w:val="18"/>
        </w:rPr>
        <w:t>con</w:t>
      </w:r>
      <w:r>
        <w:rPr>
          <w:i/>
          <w:color w:val="454551"/>
          <w:spacing w:val="-2"/>
          <w:sz w:val="18"/>
        </w:rPr>
        <w:t xml:space="preserve"> </w:t>
      </w:r>
      <w:r>
        <w:rPr>
          <w:i/>
          <w:color w:val="454551"/>
          <w:sz w:val="18"/>
        </w:rPr>
        <w:t>base</w:t>
      </w:r>
      <w:r>
        <w:rPr>
          <w:i/>
          <w:color w:val="454551"/>
          <w:spacing w:val="-3"/>
          <w:sz w:val="18"/>
        </w:rPr>
        <w:t xml:space="preserve"> </w:t>
      </w:r>
      <w:r>
        <w:rPr>
          <w:i/>
          <w:color w:val="454551"/>
          <w:sz w:val="18"/>
        </w:rPr>
        <w:t>en</w:t>
      </w:r>
      <w:r>
        <w:rPr>
          <w:i/>
          <w:color w:val="454551"/>
          <w:spacing w:val="-2"/>
          <w:sz w:val="18"/>
        </w:rPr>
        <w:t xml:space="preserve"> </w:t>
      </w:r>
      <w:r>
        <w:rPr>
          <w:i/>
          <w:color w:val="454551"/>
          <w:sz w:val="18"/>
        </w:rPr>
        <w:t>Presentación</w:t>
      </w:r>
      <w:r>
        <w:rPr>
          <w:i/>
          <w:color w:val="454551"/>
          <w:spacing w:val="-2"/>
          <w:sz w:val="18"/>
        </w:rPr>
        <w:t xml:space="preserve"> </w:t>
      </w:r>
      <w:r>
        <w:rPr>
          <w:i/>
          <w:color w:val="454551"/>
          <w:sz w:val="18"/>
        </w:rPr>
        <w:t>ENUT</w:t>
      </w:r>
      <w:r>
        <w:rPr>
          <w:i/>
          <w:color w:val="454551"/>
          <w:spacing w:val="-4"/>
          <w:sz w:val="18"/>
        </w:rPr>
        <w:t xml:space="preserve"> </w:t>
      </w:r>
      <w:r>
        <w:rPr>
          <w:i/>
          <w:color w:val="454551"/>
          <w:sz w:val="18"/>
        </w:rPr>
        <w:t xml:space="preserve">2020_2021 </w:t>
      </w:r>
      <w:r>
        <w:rPr>
          <w:i/>
          <w:color w:val="454551"/>
          <w:spacing w:val="-4"/>
          <w:sz w:val="18"/>
        </w:rPr>
        <w:t>DANE</w:t>
      </w:r>
    </w:p>
    <w:p w14:paraId="546814F3" w14:textId="77777777" w:rsidR="000E52B0" w:rsidRDefault="000E52B0">
      <w:pPr>
        <w:pStyle w:val="Textoindependiente"/>
        <w:ind w:left="0"/>
        <w:rPr>
          <w:i/>
          <w:sz w:val="18"/>
        </w:rPr>
      </w:pPr>
    </w:p>
    <w:p w14:paraId="37F8917C" w14:textId="77777777" w:rsidR="000E52B0" w:rsidRDefault="000E52B0">
      <w:pPr>
        <w:pStyle w:val="Textoindependiente"/>
        <w:spacing w:before="55"/>
        <w:ind w:left="0"/>
        <w:rPr>
          <w:i/>
          <w:sz w:val="18"/>
        </w:rPr>
      </w:pPr>
    </w:p>
    <w:p w14:paraId="55F20867" w14:textId="77777777" w:rsidR="000E52B0" w:rsidRDefault="00F60D74">
      <w:pPr>
        <w:pStyle w:val="Textoindependiente"/>
        <w:spacing w:before="1"/>
        <w:ind w:right="721"/>
        <w:jc w:val="both"/>
      </w:pPr>
      <w:r>
        <w:t>A</w:t>
      </w:r>
      <w:r>
        <w:rPr>
          <w:spacing w:val="-20"/>
        </w:rPr>
        <w:t xml:space="preserve"> </w:t>
      </w:r>
      <w:r>
        <w:t>lo</w:t>
      </w:r>
      <w:r>
        <w:rPr>
          <w:spacing w:val="-17"/>
        </w:rPr>
        <w:t xml:space="preserve"> </w:t>
      </w:r>
      <w:r>
        <w:t>anterior</w:t>
      </w:r>
      <w:r>
        <w:rPr>
          <w:spacing w:val="-18"/>
        </w:rPr>
        <w:t xml:space="preserve"> </w:t>
      </w:r>
      <w:r>
        <w:t>se</w:t>
      </w:r>
      <w:r>
        <w:rPr>
          <w:spacing w:val="-16"/>
        </w:rPr>
        <w:t xml:space="preserve"> </w:t>
      </w:r>
      <w:r>
        <w:t>suma</w:t>
      </w:r>
      <w:r>
        <w:rPr>
          <w:spacing w:val="-19"/>
        </w:rPr>
        <w:t xml:space="preserve"> </w:t>
      </w:r>
      <w:r>
        <w:t>situaciones</w:t>
      </w:r>
      <w:r>
        <w:rPr>
          <w:spacing w:val="-19"/>
        </w:rPr>
        <w:t xml:space="preserve"> </w:t>
      </w:r>
      <w:r>
        <w:t>de</w:t>
      </w:r>
      <w:r>
        <w:rPr>
          <w:spacing w:val="-16"/>
        </w:rPr>
        <w:t xml:space="preserve"> </w:t>
      </w:r>
      <w:r>
        <w:t>discriminación</w:t>
      </w:r>
      <w:r>
        <w:rPr>
          <w:spacing w:val="-17"/>
        </w:rPr>
        <w:t xml:space="preserve"> </w:t>
      </w:r>
      <w:r>
        <w:t>que</w:t>
      </w:r>
      <w:r>
        <w:rPr>
          <w:spacing w:val="-16"/>
        </w:rPr>
        <w:t xml:space="preserve"> </w:t>
      </w:r>
      <w:r>
        <w:t>tienen</w:t>
      </w:r>
      <w:r>
        <w:rPr>
          <w:spacing w:val="-19"/>
        </w:rPr>
        <w:t xml:space="preserve"> </w:t>
      </w:r>
      <w:r>
        <w:t>que</w:t>
      </w:r>
      <w:r>
        <w:rPr>
          <w:spacing w:val="-16"/>
        </w:rPr>
        <w:t xml:space="preserve"> </w:t>
      </w:r>
      <w:r>
        <w:t>soportar las mujeres cabeza de familia, datos de la Encuesta de Cultura Política (ECP) 2021, muestran que el reporte de situaciones de discriminación por género, nivel socioeconómico y por su estado civil o condición familiar de las mujeres cabeza de familia es mayor que la de hombres cabeza de familia y que las mujeres en general.</w:t>
      </w:r>
    </w:p>
    <w:p w14:paraId="413946C3" w14:textId="77777777" w:rsidR="000E52B0" w:rsidRDefault="000E52B0">
      <w:pPr>
        <w:pStyle w:val="Textoindependiente"/>
        <w:jc w:val="both"/>
        <w:sectPr w:rsidR="000E52B0">
          <w:pgSz w:w="11910" w:h="16840"/>
          <w:pgMar w:top="1340" w:right="720" w:bottom="1180" w:left="720" w:header="0" w:footer="995" w:gutter="0"/>
          <w:cols w:space="720"/>
        </w:sectPr>
      </w:pPr>
    </w:p>
    <w:p w14:paraId="4D5C7D88" w14:textId="77777777" w:rsidR="000E52B0" w:rsidRDefault="00F60D74">
      <w:pPr>
        <w:pStyle w:val="Textoindependiente"/>
        <w:spacing w:before="83"/>
        <w:ind w:right="716"/>
        <w:jc w:val="both"/>
      </w:pPr>
      <w:r>
        <w:lastRenderedPageBreak/>
        <w:t>Aunque el reporte de discriminación es bajo la diferencia es consistente: mientras</w:t>
      </w:r>
      <w:r>
        <w:rPr>
          <w:spacing w:val="-12"/>
        </w:rPr>
        <w:t xml:space="preserve"> </w:t>
      </w:r>
      <w:r>
        <w:t>1,5%</w:t>
      </w:r>
      <w:r>
        <w:rPr>
          <w:spacing w:val="-11"/>
        </w:rPr>
        <w:t xml:space="preserve"> </w:t>
      </w:r>
      <w:r>
        <w:t>de</w:t>
      </w:r>
      <w:r>
        <w:rPr>
          <w:spacing w:val="-11"/>
        </w:rPr>
        <w:t xml:space="preserve"> </w:t>
      </w:r>
      <w:r>
        <w:t>las</w:t>
      </w:r>
      <w:r>
        <w:rPr>
          <w:spacing w:val="-12"/>
        </w:rPr>
        <w:t xml:space="preserve"> </w:t>
      </w:r>
      <w:r>
        <w:t>mujeres</w:t>
      </w:r>
      <w:r>
        <w:rPr>
          <w:spacing w:val="-12"/>
        </w:rPr>
        <w:t xml:space="preserve"> </w:t>
      </w:r>
      <w:r>
        <w:t>cabeza</w:t>
      </w:r>
      <w:r>
        <w:rPr>
          <w:spacing w:val="-12"/>
        </w:rPr>
        <w:t xml:space="preserve"> </w:t>
      </w:r>
      <w:r>
        <w:t>de</w:t>
      </w:r>
      <w:r>
        <w:rPr>
          <w:spacing w:val="-11"/>
        </w:rPr>
        <w:t xml:space="preserve"> </w:t>
      </w:r>
      <w:r>
        <w:t>familia</w:t>
      </w:r>
      <w:r>
        <w:rPr>
          <w:spacing w:val="-13"/>
        </w:rPr>
        <w:t xml:space="preserve"> </w:t>
      </w:r>
      <w:r>
        <w:t>reportaron</w:t>
      </w:r>
      <w:r>
        <w:rPr>
          <w:spacing w:val="-13"/>
        </w:rPr>
        <w:t xml:space="preserve"> </w:t>
      </w:r>
      <w:r>
        <w:t>ser</w:t>
      </w:r>
      <w:r>
        <w:rPr>
          <w:spacing w:val="-11"/>
        </w:rPr>
        <w:t xml:space="preserve"> </w:t>
      </w:r>
      <w:r>
        <w:t>víctimas</w:t>
      </w:r>
      <w:r>
        <w:rPr>
          <w:spacing w:val="-13"/>
        </w:rPr>
        <w:t xml:space="preserve"> </w:t>
      </w:r>
      <w:r>
        <w:t>de discriminación</w:t>
      </w:r>
      <w:r>
        <w:rPr>
          <w:spacing w:val="-7"/>
        </w:rPr>
        <w:t xml:space="preserve"> </w:t>
      </w:r>
      <w:r>
        <w:t>por</w:t>
      </w:r>
      <w:r>
        <w:rPr>
          <w:spacing w:val="-5"/>
        </w:rPr>
        <w:t xml:space="preserve"> </w:t>
      </w:r>
      <w:r>
        <w:t>su</w:t>
      </w:r>
      <w:r>
        <w:rPr>
          <w:spacing w:val="-7"/>
        </w:rPr>
        <w:t xml:space="preserve"> </w:t>
      </w:r>
      <w:r>
        <w:t>sexo,</w:t>
      </w:r>
      <w:r>
        <w:rPr>
          <w:spacing w:val="-7"/>
        </w:rPr>
        <w:t xml:space="preserve"> </w:t>
      </w:r>
      <w:r>
        <w:t>en</w:t>
      </w:r>
      <w:r>
        <w:rPr>
          <w:spacing w:val="-7"/>
        </w:rPr>
        <w:t xml:space="preserve"> </w:t>
      </w:r>
      <w:r>
        <w:t>los</w:t>
      </w:r>
      <w:r>
        <w:rPr>
          <w:spacing w:val="-6"/>
        </w:rPr>
        <w:t xml:space="preserve"> </w:t>
      </w:r>
      <w:r>
        <w:t>hombres</w:t>
      </w:r>
      <w:r>
        <w:rPr>
          <w:spacing w:val="-7"/>
        </w:rPr>
        <w:t xml:space="preserve"> </w:t>
      </w:r>
      <w:r>
        <w:t>cabeza</w:t>
      </w:r>
      <w:r>
        <w:rPr>
          <w:spacing w:val="-9"/>
        </w:rPr>
        <w:t xml:space="preserve"> </w:t>
      </w:r>
      <w:r>
        <w:t>de</w:t>
      </w:r>
      <w:r>
        <w:rPr>
          <w:spacing w:val="-5"/>
        </w:rPr>
        <w:t xml:space="preserve"> </w:t>
      </w:r>
      <w:r>
        <w:t>familia</w:t>
      </w:r>
      <w:r>
        <w:rPr>
          <w:spacing w:val="-6"/>
        </w:rPr>
        <w:t xml:space="preserve"> </w:t>
      </w:r>
      <w:r>
        <w:t>el</w:t>
      </w:r>
      <w:r>
        <w:rPr>
          <w:spacing w:val="-7"/>
        </w:rPr>
        <w:t xml:space="preserve"> </w:t>
      </w:r>
      <w:r>
        <w:t>porcentaje es solo de 0,5% y en las mujeres en general de 1,1%. El reporte por su condición familiar fue 1,0%, 0,5% y 0,6% respectivamente, y por su condición</w:t>
      </w:r>
      <w:r>
        <w:rPr>
          <w:spacing w:val="-7"/>
        </w:rPr>
        <w:t xml:space="preserve"> </w:t>
      </w:r>
      <w:r>
        <w:t>socioeconómica</w:t>
      </w:r>
      <w:r>
        <w:rPr>
          <w:spacing w:val="-6"/>
        </w:rPr>
        <w:t xml:space="preserve"> </w:t>
      </w:r>
      <w:r>
        <w:t>la</w:t>
      </w:r>
      <w:r>
        <w:rPr>
          <w:spacing w:val="-9"/>
        </w:rPr>
        <w:t xml:space="preserve"> </w:t>
      </w:r>
      <w:r>
        <w:t>diferencia</w:t>
      </w:r>
      <w:r>
        <w:rPr>
          <w:spacing w:val="-6"/>
        </w:rPr>
        <w:t xml:space="preserve"> </w:t>
      </w:r>
      <w:r>
        <w:t>es</w:t>
      </w:r>
      <w:r>
        <w:rPr>
          <w:spacing w:val="-9"/>
        </w:rPr>
        <w:t xml:space="preserve"> </w:t>
      </w:r>
      <w:r>
        <w:t>mayor:</w:t>
      </w:r>
      <w:r>
        <w:rPr>
          <w:spacing w:val="-9"/>
        </w:rPr>
        <w:t xml:space="preserve"> </w:t>
      </w:r>
      <w:r>
        <w:t>4,5%</w:t>
      </w:r>
      <w:r>
        <w:rPr>
          <w:spacing w:val="-8"/>
        </w:rPr>
        <w:t xml:space="preserve"> </w:t>
      </w:r>
      <w:r>
        <w:t>en</w:t>
      </w:r>
      <w:r>
        <w:rPr>
          <w:spacing w:val="-7"/>
        </w:rPr>
        <w:t xml:space="preserve"> </w:t>
      </w:r>
      <w:r>
        <w:t>mujeres</w:t>
      </w:r>
      <w:r>
        <w:rPr>
          <w:spacing w:val="-9"/>
        </w:rPr>
        <w:t xml:space="preserve"> </w:t>
      </w:r>
      <w:r>
        <w:t xml:space="preserve">cabeza de familia, 4,1% en hombres cabeza de familia y 3,4% en las mujeres en </w:t>
      </w:r>
      <w:r>
        <w:rPr>
          <w:spacing w:val="-2"/>
        </w:rPr>
        <w:t>general.</w:t>
      </w:r>
    </w:p>
    <w:p w14:paraId="7048AA50" w14:textId="77777777" w:rsidR="000E52B0" w:rsidRDefault="000E52B0">
      <w:pPr>
        <w:pStyle w:val="Textoindependiente"/>
        <w:spacing w:before="99"/>
        <w:ind w:left="0"/>
      </w:pPr>
    </w:p>
    <w:p w14:paraId="2EBAAC16" w14:textId="77777777" w:rsidR="000E52B0" w:rsidRDefault="00F60D74">
      <w:pPr>
        <w:pStyle w:val="Textoindependiente"/>
        <w:ind w:right="701"/>
        <w:jc w:val="both"/>
      </w:pPr>
      <w:r>
        <w:t>Asimismo, el buen trato está relacionado con la matriz de discriminación racial.</w:t>
      </w:r>
      <w:r>
        <w:rPr>
          <w:spacing w:val="-3"/>
        </w:rPr>
        <w:t xml:space="preserve"> </w:t>
      </w:r>
      <w:r>
        <w:t>La</w:t>
      </w:r>
      <w:r>
        <w:rPr>
          <w:spacing w:val="-4"/>
        </w:rPr>
        <w:t xml:space="preserve"> </w:t>
      </w:r>
      <w:r>
        <w:t>Encuesta</w:t>
      </w:r>
      <w:r>
        <w:rPr>
          <w:spacing w:val="-1"/>
        </w:rPr>
        <w:t xml:space="preserve"> </w:t>
      </w:r>
      <w:r>
        <w:t>de</w:t>
      </w:r>
      <w:r>
        <w:rPr>
          <w:spacing w:val="-4"/>
        </w:rPr>
        <w:t xml:space="preserve"> </w:t>
      </w:r>
      <w:r>
        <w:t>Cultura</w:t>
      </w:r>
      <w:r>
        <w:rPr>
          <w:spacing w:val="-4"/>
        </w:rPr>
        <w:t xml:space="preserve"> </w:t>
      </w:r>
      <w:r>
        <w:t>Ciudadana</w:t>
      </w:r>
      <w:r>
        <w:rPr>
          <w:spacing w:val="-4"/>
        </w:rPr>
        <w:t xml:space="preserve"> </w:t>
      </w:r>
      <w:r>
        <w:t>aplicada</w:t>
      </w:r>
      <w:r>
        <w:rPr>
          <w:spacing w:val="-4"/>
        </w:rPr>
        <w:t xml:space="preserve"> </w:t>
      </w:r>
      <w:r>
        <w:t>en</w:t>
      </w:r>
      <w:r>
        <w:rPr>
          <w:spacing w:val="-3"/>
        </w:rPr>
        <w:t xml:space="preserve"> </w:t>
      </w:r>
      <w:r>
        <w:t>seis</w:t>
      </w:r>
      <w:r>
        <w:rPr>
          <w:spacing w:val="-1"/>
        </w:rPr>
        <w:t xml:space="preserve"> </w:t>
      </w:r>
      <w:r>
        <w:t>municipios</w:t>
      </w:r>
      <w:r>
        <w:rPr>
          <w:spacing w:val="-4"/>
        </w:rPr>
        <w:t xml:space="preserve"> </w:t>
      </w:r>
      <w:r>
        <w:t>PDET en</w:t>
      </w:r>
      <w:r>
        <w:rPr>
          <w:spacing w:val="-13"/>
        </w:rPr>
        <w:t xml:space="preserve"> </w:t>
      </w:r>
      <w:r>
        <w:t>las</w:t>
      </w:r>
      <w:r>
        <w:rPr>
          <w:spacing w:val="-12"/>
        </w:rPr>
        <w:t xml:space="preserve"> </w:t>
      </w:r>
      <w:r>
        <w:t>cabeceras</w:t>
      </w:r>
      <w:r>
        <w:rPr>
          <w:spacing w:val="-13"/>
        </w:rPr>
        <w:t xml:space="preserve"> </w:t>
      </w:r>
      <w:r>
        <w:t>municipales,</w:t>
      </w:r>
      <w:r>
        <w:rPr>
          <w:spacing w:val="-13"/>
        </w:rPr>
        <w:t xml:space="preserve"> </w:t>
      </w:r>
      <w:r>
        <w:t>y</w:t>
      </w:r>
      <w:r>
        <w:rPr>
          <w:spacing w:val="-10"/>
        </w:rPr>
        <w:t xml:space="preserve"> </w:t>
      </w:r>
      <w:r>
        <w:t>centros</w:t>
      </w:r>
      <w:r>
        <w:rPr>
          <w:spacing w:val="-12"/>
        </w:rPr>
        <w:t xml:space="preserve"> </w:t>
      </w:r>
      <w:r>
        <w:t>poblados</w:t>
      </w:r>
      <w:r>
        <w:rPr>
          <w:spacing w:val="-12"/>
        </w:rPr>
        <w:t xml:space="preserve"> </w:t>
      </w:r>
      <w:r>
        <w:t>rurales</w:t>
      </w:r>
      <w:r>
        <w:rPr>
          <w:spacing w:val="-12"/>
        </w:rPr>
        <w:t xml:space="preserve"> </w:t>
      </w:r>
      <w:r>
        <w:t>en</w:t>
      </w:r>
      <w:r>
        <w:rPr>
          <w:spacing w:val="-10"/>
        </w:rPr>
        <w:t xml:space="preserve"> </w:t>
      </w:r>
      <w:r>
        <w:t>2018</w:t>
      </w:r>
      <w:r>
        <w:rPr>
          <w:spacing w:val="-11"/>
        </w:rPr>
        <w:t xml:space="preserve"> </w:t>
      </w:r>
      <w:r>
        <w:t>identificó que, mientras el 76% de las mujeres con colores de pieles más claros se ha sentido bien tratada la última vez que acudió a una institución pública, solo</w:t>
      </w:r>
      <w:r>
        <w:rPr>
          <w:spacing w:val="-3"/>
        </w:rPr>
        <w:t xml:space="preserve"> </w:t>
      </w:r>
      <w:r>
        <w:t>el</w:t>
      </w:r>
      <w:r>
        <w:rPr>
          <w:spacing w:val="-4"/>
        </w:rPr>
        <w:t xml:space="preserve"> </w:t>
      </w:r>
      <w:r>
        <w:t>49%</w:t>
      </w:r>
      <w:r>
        <w:rPr>
          <w:spacing w:val="-3"/>
        </w:rPr>
        <w:t xml:space="preserve"> </w:t>
      </w:r>
      <w:r>
        <w:t>de</w:t>
      </w:r>
      <w:r>
        <w:rPr>
          <w:spacing w:val="-3"/>
        </w:rPr>
        <w:t xml:space="preserve"> </w:t>
      </w:r>
      <w:r>
        <w:t>las</w:t>
      </w:r>
      <w:r>
        <w:rPr>
          <w:spacing w:val="-6"/>
        </w:rPr>
        <w:t xml:space="preserve"> </w:t>
      </w:r>
      <w:r>
        <w:t>mujeres</w:t>
      </w:r>
      <w:r>
        <w:rPr>
          <w:spacing w:val="-4"/>
        </w:rPr>
        <w:t xml:space="preserve"> </w:t>
      </w:r>
      <w:r>
        <w:t>con</w:t>
      </w:r>
      <w:r>
        <w:rPr>
          <w:spacing w:val="-4"/>
        </w:rPr>
        <w:t xml:space="preserve"> </w:t>
      </w:r>
      <w:r>
        <w:t>colores</w:t>
      </w:r>
      <w:r>
        <w:rPr>
          <w:spacing w:val="-5"/>
        </w:rPr>
        <w:t xml:space="preserve"> </w:t>
      </w:r>
      <w:r>
        <w:t>de</w:t>
      </w:r>
      <w:r>
        <w:rPr>
          <w:spacing w:val="-3"/>
        </w:rPr>
        <w:t xml:space="preserve"> </w:t>
      </w:r>
      <w:r>
        <w:t>piel</w:t>
      </w:r>
      <w:r>
        <w:rPr>
          <w:spacing w:val="-4"/>
        </w:rPr>
        <w:t xml:space="preserve"> </w:t>
      </w:r>
      <w:r>
        <w:t>más</w:t>
      </w:r>
      <w:r>
        <w:rPr>
          <w:spacing w:val="-4"/>
        </w:rPr>
        <w:t xml:space="preserve"> </w:t>
      </w:r>
      <w:r>
        <w:t>oscuros</w:t>
      </w:r>
      <w:r>
        <w:rPr>
          <w:spacing w:val="-4"/>
        </w:rPr>
        <w:t xml:space="preserve"> </w:t>
      </w:r>
      <w:r>
        <w:t>se</w:t>
      </w:r>
      <w:r>
        <w:rPr>
          <w:spacing w:val="-3"/>
        </w:rPr>
        <w:t xml:space="preserve"> </w:t>
      </w:r>
      <w:r>
        <w:t>han</w:t>
      </w:r>
      <w:r>
        <w:rPr>
          <w:spacing w:val="-4"/>
        </w:rPr>
        <w:t xml:space="preserve"> </w:t>
      </w:r>
      <w:r>
        <w:t>sentido de esta manera.</w:t>
      </w:r>
    </w:p>
    <w:p w14:paraId="4A68868F" w14:textId="77777777" w:rsidR="000E52B0" w:rsidRDefault="000E52B0">
      <w:pPr>
        <w:pStyle w:val="Textoindependiente"/>
        <w:spacing w:before="199"/>
        <w:ind w:left="0"/>
      </w:pPr>
    </w:p>
    <w:p w14:paraId="26FEE921" w14:textId="77777777" w:rsidR="000E52B0" w:rsidRDefault="00F60D74">
      <w:pPr>
        <w:ind w:left="4841" w:right="723" w:hanging="3939"/>
        <w:rPr>
          <w:i/>
          <w:sz w:val="18"/>
        </w:rPr>
      </w:pPr>
      <w:bookmarkStart w:id="72" w:name="_bookmark72"/>
      <w:bookmarkEnd w:id="72"/>
      <w:r>
        <w:rPr>
          <w:i/>
          <w:color w:val="454551"/>
          <w:sz w:val="18"/>
        </w:rPr>
        <w:t>Ilustración</w:t>
      </w:r>
      <w:r>
        <w:rPr>
          <w:i/>
          <w:color w:val="454551"/>
          <w:spacing w:val="-1"/>
          <w:sz w:val="18"/>
        </w:rPr>
        <w:t xml:space="preserve"> </w:t>
      </w:r>
      <w:r>
        <w:rPr>
          <w:i/>
          <w:color w:val="454551"/>
          <w:sz w:val="18"/>
        </w:rPr>
        <w:t>44.</w:t>
      </w:r>
      <w:r>
        <w:rPr>
          <w:i/>
          <w:color w:val="454551"/>
          <w:spacing w:val="-4"/>
          <w:sz w:val="18"/>
        </w:rPr>
        <w:t xml:space="preserve"> </w:t>
      </w:r>
      <w:r>
        <w:rPr>
          <w:i/>
          <w:color w:val="454551"/>
          <w:sz w:val="18"/>
        </w:rPr>
        <w:t>Percepción</w:t>
      </w:r>
      <w:r>
        <w:rPr>
          <w:i/>
          <w:color w:val="454551"/>
          <w:spacing w:val="-2"/>
          <w:sz w:val="18"/>
        </w:rPr>
        <w:t xml:space="preserve"> </w:t>
      </w:r>
      <w:r>
        <w:rPr>
          <w:i/>
          <w:color w:val="454551"/>
          <w:sz w:val="18"/>
        </w:rPr>
        <w:t>de</w:t>
      </w:r>
      <w:r>
        <w:rPr>
          <w:i/>
          <w:color w:val="454551"/>
          <w:spacing w:val="-3"/>
          <w:sz w:val="18"/>
        </w:rPr>
        <w:t xml:space="preserve"> </w:t>
      </w:r>
      <w:r>
        <w:rPr>
          <w:i/>
          <w:color w:val="454551"/>
          <w:sz w:val="18"/>
        </w:rPr>
        <w:t>trato</w:t>
      </w:r>
      <w:r>
        <w:rPr>
          <w:i/>
          <w:color w:val="454551"/>
          <w:spacing w:val="-2"/>
          <w:sz w:val="18"/>
        </w:rPr>
        <w:t xml:space="preserve"> </w:t>
      </w:r>
      <w:r>
        <w:rPr>
          <w:i/>
          <w:color w:val="454551"/>
          <w:sz w:val="18"/>
        </w:rPr>
        <w:t>entre</w:t>
      </w:r>
      <w:r>
        <w:rPr>
          <w:i/>
          <w:color w:val="454551"/>
          <w:spacing w:val="-3"/>
          <w:sz w:val="18"/>
        </w:rPr>
        <w:t xml:space="preserve"> </w:t>
      </w:r>
      <w:r>
        <w:rPr>
          <w:i/>
          <w:color w:val="454551"/>
          <w:sz w:val="18"/>
        </w:rPr>
        <w:t>las</w:t>
      </w:r>
      <w:r>
        <w:rPr>
          <w:i/>
          <w:color w:val="454551"/>
          <w:spacing w:val="-4"/>
          <w:sz w:val="18"/>
        </w:rPr>
        <w:t xml:space="preserve"> </w:t>
      </w:r>
      <w:r>
        <w:rPr>
          <w:i/>
          <w:color w:val="454551"/>
          <w:sz w:val="18"/>
        </w:rPr>
        <w:t>mujeres</w:t>
      </w:r>
      <w:r>
        <w:rPr>
          <w:i/>
          <w:color w:val="454551"/>
          <w:spacing w:val="-3"/>
          <w:sz w:val="18"/>
        </w:rPr>
        <w:t xml:space="preserve"> </w:t>
      </w:r>
      <w:r>
        <w:rPr>
          <w:i/>
          <w:color w:val="454551"/>
          <w:sz w:val="18"/>
        </w:rPr>
        <w:t>la</w:t>
      </w:r>
      <w:r>
        <w:rPr>
          <w:i/>
          <w:color w:val="454551"/>
          <w:spacing w:val="-3"/>
          <w:sz w:val="18"/>
        </w:rPr>
        <w:t xml:space="preserve"> </w:t>
      </w:r>
      <w:r>
        <w:rPr>
          <w:i/>
          <w:color w:val="454551"/>
          <w:sz w:val="18"/>
        </w:rPr>
        <w:t>última</w:t>
      </w:r>
      <w:r>
        <w:rPr>
          <w:i/>
          <w:color w:val="454551"/>
          <w:spacing w:val="-3"/>
          <w:sz w:val="18"/>
        </w:rPr>
        <w:t xml:space="preserve"> </w:t>
      </w:r>
      <w:r>
        <w:rPr>
          <w:i/>
          <w:color w:val="454551"/>
          <w:sz w:val="18"/>
        </w:rPr>
        <w:t>vez</w:t>
      </w:r>
      <w:r>
        <w:rPr>
          <w:i/>
          <w:color w:val="454551"/>
          <w:spacing w:val="-4"/>
          <w:sz w:val="18"/>
        </w:rPr>
        <w:t xml:space="preserve"> </w:t>
      </w:r>
      <w:r>
        <w:rPr>
          <w:i/>
          <w:color w:val="454551"/>
          <w:sz w:val="18"/>
        </w:rPr>
        <w:t>que</w:t>
      </w:r>
      <w:r>
        <w:rPr>
          <w:i/>
          <w:color w:val="454551"/>
          <w:spacing w:val="-3"/>
          <w:sz w:val="18"/>
        </w:rPr>
        <w:t xml:space="preserve"> </w:t>
      </w:r>
      <w:r>
        <w:rPr>
          <w:i/>
          <w:color w:val="454551"/>
          <w:sz w:val="18"/>
        </w:rPr>
        <w:t>acudieron</w:t>
      </w:r>
      <w:r>
        <w:rPr>
          <w:i/>
          <w:color w:val="454551"/>
          <w:spacing w:val="-2"/>
          <w:sz w:val="18"/>
        </w:rPr>
        <w:t xml:space="preserve"> </w:t>
      </w:r>
      <w:r>
        <w:rPr>
          <w:i/>
          <w:color w:val="454551"/>
          <w:sz w:val="18"/>
        </w:rPr>
        <w:t>a</w:t>
      </w:r>
      <w:r>
        <w:rPr>
          <w:i/>
          <w:color w:val="454551"/>
          <w:spacing w:val="-3"/>
          <w:sz w:val="18"/>
        </w:rPr>
        <w:t xml:space="preserve"> </w:t>
      </w:r>
      <w:r>
        <w:rPr>
          <w:i/>
          <w:color w:val="454551"/>
          <w:sz w:val="18"/>
        </w:rPr>
        <w:t>una</w:t>
      </w:r>
      <w:r>
        <w:rPr>
          <w:i/>
          <w:color w:val="454551"/>
          <w:spacing w:val="-3"/>
          <w:sz w:val="18"/>
        </w:rPr>
        <w:t xml:space="preserve"> </w:t>
      </w:r>
      <w:r>
        <w:rPr>
          <w:i/>
          <w:color w:val="454551"/>
          <w:sz w:val="18"/>
        </w:rPr>
        <w:t>entidad pública -</w:t>
      </w:r>
    </w:p>
    <w:p w14:paraId="1C424DEA" w14:textId="77777777" w:rsidR="000E52B0" w:rsidRDefault="000E52B0">
      <w:pPr>
        <w:pStyle w:val="Textoindependiente"/>
        <w:spacing w:before="95"/>
        <w:ind w:left="0"/>
        <w:rPr>
          <w:i/>
          <w:sz w:val="21"/>
        </w:rPr>
      </w:pPr>
    </w:p>
    <w:p w14:paraId="36B3C2F4" w14:textId="77777777" w:rsidR="000E52B0" w:rsidRDefault="00F60D74">
      <w:pPr>
        <w:spacing w:before="1" w:line="252" w:lineRule="auto"/>
        <w:ind w:left="4285" w:right="2610" w:hanging="1623"/>
        <w:rPr>
          <w:rFonts w:ascii="Trebuchet MS" w:hAnsi="Trebuchet MS"/>
          <w:sz w:val="21"/>
        </w:rPr>
      </w:pPr>
      <w:r>
        <w:rPr>
          <w:rFonts w:ascii="Trebuchet MS" w:hAnsi="Trebuchet MS"/>
          <w:color w:val="585858"/>
          <w:spacing w:val="-4"/>
          <w:sz w:val="21"/>
        </w:rPr>
        <w:t>Se</w:t>
      </w:r>
      <w:r>
        <w:rPr>
          <w:rFonts w:ascii="Trebuchet MS" w:hAnsi="Trebuchet MS"/>
          <w:color w:val="585858"/>
          <w:spacing w:val="-18"/>
          <w:sz w:val="21"/>
        </w:rPr>
        <w:t xml:space="preserve"> </w:t>
      </w:r>
      <w:r>
        <w:rPr>
          <w:rFonts w:ascii="Trebuchet MS" w:hAnsi="Trebuchet MS"/>
          <w:color w:val="585858"/>
          <w:spacing w:val="-4"/>
          <w:sz w:val="21"/>
        </w:rPr>
        <w:t>sintió</w:t>
      </w:r>
      <w:r>
        <w:rPr>
          <w:rFonts w:ascii="Trebuchet MS" w:hAnsi="Trebuchet MS"/>
          <w:color w:val="585858"/>
          <w:spacing w:val="-20"/>
          <w:sz w:val="21"/>
        </w:rPr>
        <w:t xml:space="preserve"> </w:t>
      </w:r>
      <w:r>
        <w:rPr>
          <w:rFonts w:ascii="Trebuchet MS" w:hAnsi="Trebuchet MS"/>
          <w:color w:val="585858"/>
          <w:spacing w:val="-4"/>
          <w:sz w:val="21"/>
        </w:rPr>
        <w:t>bien</w:t>
      </w:r>
      <w:r>
        <w:rPr>
          <w:rFonts w:ascii="Trebuchet MS" w:hAnsi="Trebuchet MS"/>
          <w:color w:val="585858"/>
          <w:spacing w:val="-17"/>
          <w:sz w:val="21"/>
        </w:rPr>
        <w:t xml:space="preserve"> </w:t>
      </w:r>
      <w:r>
        <w:rPr>
          <w:rFonts w:ascii="Trebuchet MS" w:hAnsi="Trebuchet MS"/>
          <w:color w:val="585858"/>
          <w:spacing w:val="-4"/>
          <w:sz w:val="21"/>
        </w:rPr>
        <w:t>y</w:t>
      </w:r>
      <w:r>
        <w:rPr>
          <w:rFonts w:ascii="Trebuchet MS" w:hAnsi="Trebuchet MS"/>
          <w:color w:val="585858"/>
          <w:spacing w:val="-15"/>
          <w:sz w:val="21"/>
        </w:rPr>
        <w:t xml:space="preserve"> </w:t>
      </w:r>
      <w:r>
        <w:rPr>
          <w:rFonts w:ascii="Trebuchet MS" w:hAnsi="Trebuchet MS"/>
          <w:color w:val="585858"/>
          <w:spacing w:val="-4"/>
          <w:sz w:val="21"/>
        </w:rPr>
        <w:t>muy</w:t>
      </w:r>
      <w:r>
        <w:rPr>
          <w:rFonts w:ascii="Trebuchet MS" w:hAnsi="Trebuchet MS"/>
          <w:color w:val="585858"/>
          <w:spacing w:val="-18"/>
          <w:sz w:val="21"/>
        </w:rPr>
        <w:t xml:space="preserve"> </w:t>
      </w:r>
      <w:r>
        <w:rPr>
          <w:rFonts w:ascii="Trebuchet MS" w:hAnsi="Trebuchet MS"/>
          <w:color w:val="585858"/>
          <w:spacing w:val="-4"/>
          <w:sz w:val="21"/>
        </w:rPr>
        <w:t>bien</w:t>
      </w:r>
      <w:r>
        <w:rPr>
          <w:rFonts w:ascii="Trebuchet MS" w:hAnsi="Trebuchet MS"/>
          <w:color w:val="585858"/>
          <w:spacing w:val="-17"/>
          <w:sz w:val="21"/>
        </w:rPr>
        <w:t xml:space="preserve"> </w:t>
      </w:r>
      <w:r>
        <w:rPr>
          <w:rFonts w:ascii="Trebuchet MS" w:hAnsi="Trebuchet MS"/>
          <w:color w:val="585858"/>
          <w:spacing w:val="-4"/>
          <w:sz w:val="21"/>
        </w:rPr>
        <w:t>tratada</w:t>
      </w:r>
      <w:r>
        <w:rPr>
          <w:rFonts w:ascii="Trebuchet MS" w:hAnsi="Trebuchet MS"/>
          <w:color w:val="585858"/>
          <w:spacing w:val="-18"/>
          <w:sz w:val="21"/>
        </w:rPr>
        <w:t xml:space="preserve"> </w:t>
      </w:r>
      <w:r>
        <w:rPr>
          <w:rFonts w:ascii="Trebuchet MS" w:hAnsi="Trebuchet MS"/>
          <w:color w:val="585858"/>
          <w:spacing w:val="-4"/>
          <w:sz w:val="21"/>
        </w:rPr>
        <w:t>la</w:t>
      </w:r>
      <w:r>
        <w:rPr>
          <w:rFonts w:ascii="Trebuchet MS" w:hAnsi="Trebuchet MS"/>
          <w:color w:val="585858"/>
          <w:spacing w:val="-17"/>
          <w:sz w:val="21"/>
        </w:rPr>
        <w:t xml:space="preserve"> </w:t>
      </w:r>
      <w:r>
        <w:rPr>
          <w:rFonts w:ascii="Trebuchet MS" w:hAnsi="Trebuchet MS"/>
          <w:color w:val="585858"/>
          <w:spacing w:val="-4"/>
          <w:sz w:val="21"/>
        </w:rPr>
        <w:t>última</w:t>
      </w:r>
      <w:r>
        <w:rPr>
          <w:rFonts w:ascii="Trebuchet MS" w:hAnsi="Trebuchet MS"/>
          <w:color w:val="585858"/>
          <w:spacing w:val="-18"/>
          <w:sz w:val="21"/>
        </w:rPr>
        <w:t xml:space="preserve"> </w:t>
      </w:r>
      <w:r>
        <w:rPr>
          <w:rFonts w:ascii="Trebuchet MS" w:hAnsi="Trebuchet MS"/>
          <w:color w:val="585858"/>
          <w:spacing w:val="-4"/>
          <w:sz w:val="21"/>
        </w:rPr>
        <w:t>vez</w:t>
      </w:r>
      <w:r>
        <w:rPr>
          <w:rFonts w:ascii="Trebuchet MS" w:hAnsi="Trebuchet MS"/>
          <w:color w:val="585858"/>
          <w:spacing w:val="-20"/>
          <w:sz w:val="21"/>
        </w:rPr>
        <w:t xml:space="preserve"> </w:t>
      </w:r>
      <w:r>
        <w:rPr>
          <w:rFonts w:ascii="Trebuchet MS" w:hAnsi="Trebuchet MS"/>
          <w:color w:val="585858"/>
          <w:spacing w:val="-4"/>
          <w:sz w:val="21"/>
        </w:rPr>
        <w:t>que</w:t>
      </w:r>
      <w:r>
        <w:rPr>
          <w:rFonts w:ascii="Trebuchet MS" w:hAnsi="Trebuchet MS"/>
          <w:color w:val="585858"/>
          <w:spacing w:val="-17"/>
          <w:sz w:val="21"/>
        </w:rPr>
        <w:t xml:space="preserve"> </w:t>
      </w:r>
      <w:r>
        <w:rPr>
          <w:rFonts w:ascii="Trebuchet MS" w:hAnsi="Trebuchet MS"/>
          <w:color w:val="585858"/>
          <w:spacing w:val="-4"/>
          <w:sz w:val="21"/>
        </w:rPr>
        <w:t xml:space="preserve">acudió </w:t>
      </w:r>
      <w:r>
        <w:rPr>
          <w:rFonts w:ascii="Trebuchet MS" w:hAnsi="Trebuchet MS"/>
          <w:color w:val="585858"/>
          <w:sz w:val="21"/>
        </w:rPr>
        <w:t>a una entidad estatal</w:t>
      </w:r>
    </w:p>
    <w:p w14:paraId="294AE648" w14:textId="77777777" w:rsidR="000E52B0" w:rsidRDefault="00F60D74">
      <w:pPr>
        <w:spacing w:before="16"/>
        <w:ind w:left="2977"/>
        <w:rPr>
          <w:rFonts w:ascii="Trebuchet MS"/>
          <w:sz w:val="18"/>
        </w:rPr>
      </w:pPr>
      <w:r>
        <w:rPr>
          <w:rFonts w:ascii="Trebuchet MS"/>
          <w:color w:val="404040"/>
          <w:spacing w:val="-5"/>
          <w:w w:val="115"/>
          <w:sz w:val="18"/>
        </w:rPr>
        <w:t>76%</w:t>
      </w:r>
    </w:p>
    <w:p w14:paraId="39711141" w14:textId="77777777" w:rsidR="000E52B0" w:rsidRDefault="00F60D74">
      <w:pPr>
        <w:pStyle w:val="Textoindependiente"/>
        <w:ind w:left="2095"/>
        <w:rPr>
          <w:rFonts w:ascii="Trebuchet MS"/>
          <w:sz w:val="20"/>
        </w:rPr>
      </w:pPr>
      <w:r>
        <w:rPr>
          <w:rFonts w:ascii="Trebuchet MS"/>
          <w:noProof/>
          <w:sz w:val="20"/>
        </w:rPr>
        <mc:AlternateContent>
          <mc:Choice Requires="wpg">
            <w:drawing>
              <wp:inline distT="0" distB="0" distL="0" distR="0" wp14:anchorId="28876CF3" wp14:editId="6E6B716E">
                <wp:extent cx="3981450" cy="959485"/>
                <wp:effectExtent l="9525" t="0" r="0" b="2540"/>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1450" cy="959485"/>
                          <a:chOff x="0" y="0"/>
                          <a:chExt cx="3981450" cy="959485"/>
                        </a:xfrm>
                      </wpg:grpSpPr>
                      <wps:wsp>
                        <wps:cNvPr id="533" name="Graphic 533"/>
                        <wps:cNvSpPr/>
                        <wps:spPr>
                          <a:xfrm>
                            <a:off x="1575942" y="196515"/>
                            <a:ext cx="829944" cy="758190"/>
                          </a:xfrm>
                          <a:custGeom>
                            <a:avLst/>
                            <a:gdLst/>
                            <a:ahLst/>
                            <a:cxnLst/>
                            <a:rect l="l" t="t" r="r" b="b"/>
                            <a:pathLst>
                              <a:path w="829944" h="758190">
                                <a:moveTo>
                                  <a:pt x="829462" y="0"/>
                                </a:moveTo>
                                <a:lnTo>
                                  <a:pt x="0" y="0"/>
                                </a:lnTo>
                                <a:lnTo>
                                  <a:pt x="0" y="757643"/>
                                </a:lnTo>
                                <a:lnTo>
                                  <a:pt x="829462" y="757643"/>
                                </a:lnTo>
                                <a:lnTo>
                                  <a:pt x="829462" y="0"/>
                                </a:lnTo>
                                <a:close/>
                              </a:path>
                            </a:pathLst>
                          </a:custGeom>
                          <a:solidFill>
                            <a:srgbClr val="F1A76D"/>
                          </a:solidFill>
                        </wps:spPr>
                        <wps:bodyPr wrap="square" lIns="0" tIns="0" rIns="0" bIns="0" rtlCol="0">
                          <a:prstTxWarp prst="textNoShape">
                            <a:avLst/>
                          </a:prstTxWarp>
                          <a:noAutofit/>
                        </wps:bodyPr>
                      </wps:wsp>
                      <wps:wsp>
                        <wps:cNvPr id="534" name="Graphic 534"/>
                        <wps:cNvSpPr/>
                        <wps:spPr>
                          <a:xfrm>
                            <a:off x="2903092" y="377439"/>
                            <a:ext cx="829944" cy="577215"/>
                          </a:xfrm>
                          <a:custGeom>
                            <a:avLst/>
                            <a:gdLst/>
                            <a:ahLst/>
                            <a:cxnLst/>
                            <a:rect l="l" t="t" r="r" b="b"/>
                            <a:pathLst>
                              <a:path w="829944" h="577215">
                                <a:moveTo>
                                  <a:pt x="829462" y="0"/>
                                </a:moveTo>
                                <a:lnTo>
                                  <a:pt x="0" y="0"/>
                                </a:lnTo>
                                <a:lnTo>
                                  <a:pt x="0" y="576719"/>
                                </a:lnTo>
                                <a:lnTo>
                                  <a:pt x="829462" y="576719"/>
                                </a:lnTo>
                                <a:lnTo>
                                  <a:pt x="829462" y="0"/>
                                </a:lnTo>
                                <a:close/>
                              </a:path>
                            </a:pathLst>
                          </a:custGeom>
                          <a:solidFill>
                            <a:srgbClr val="A2692E"/>
                          </a:solidFill>
                        </wps:spPr>
                        <wps:bodyPr wrap="square" lIns="0" tIns="0" rIns="0" bIns="0" rtlCol="0">
                          <a:prstTxWarp prst="textNoShape">
                            <a:avLst/>
                          </a:prstTxWarp>
                          <a:noAutofit/>
                        </wps:bodyPr>
                      </wps:wsp>
                      <wps:wsp>
                        <wps:cNvPr id="535" name="Graphic 535"/>
                        <wps:cNvSpPr/>
                        <wps:spPr>
                          <a:xfrm>
                            <a:off x="249554" y="65540"/>
                            <a:ext cx="829310" cy="889000"/>
                          </a:xfrm>
                          <a:custGeom>
                            <a:avLst/>
                            <a:gdLst/>
                            <a:ahLst/>
                            <a:cxnLst/>
                            <a:rect l="l" t="t" r="r" b="b"/>
                            <a:pathLst>
                              <a:path w="829310" h="889000">
                                <a:moveTo>
                                  <a:pt x="829056" y="0"/>
                                </a:moveTo>
                                <a:lnTo>
                                  <a:pt x="0" y="0"/>
                                </a:lnTo>
                                <a:lnTo>
                                  <a:pt x="0" y="888618"/>
                                </a:lnTo>
                                <a:lnTo>
                                  <a:pt x="829056" y="888618"/>
                                </a:lnTo>
                                <a:lnTo>
                                  <a:pt x="829056" y="0"/>
                                </a:lnTo>
                                <a:close/>
                              </a:path>
                            </a:pathLst>
                          </a:custGeom>
                          <a:solidFill>
                            <a:srgbClr val="FDDDCE"/>
                          </a:solidFill>
                        </wps:spPr>
                        <wps:bodyPr wrap="square" lIns="0" tIns="0" rIns="0" bIns="0" rtlCol="0">
                          <a:prstTxWarp prst="textNoShape">
                            <a:avLst/>
                          </a:prstTxWarp>
                          <a:noAutofit/>
                        </wps:bodyPr>
                      </wps:wsp>
                      <wps:wsp>
                        <wps:cNvPr id="536" name="Graphic 536"/>
                        <wps:cNvSpPr/>
                        <wps:spPr>
                          <a:xfrm>
                            <a:off x="0" y="954159"/>
                            <a:ext cx="3981450" cy="1270"/>
                          </a:xfrm>
                          <a:custGeom>
                            <a:avLst/>
                            <a:gdLst/>
                            <a:ahLst/>
                            <a:cxnLst/>
                            <a:rect l="l" t="t" r="r" b="b"/>
                            <a:pathLst>
                              <a:path w="3981450">
                                <a:moveTo>
                                  <a:pt x="0" y="0"/>
                                </a:moveTo>
                                <a:lnTo>
                                  <a:pt x="3981450" y="0"/>
                                </a:lnTo>
                              </a:path>
                            </a:pathLst>
                          </a:custGeom>
                          <a:ln w="9525">
                            <a:solidFill>
                              <a:srgbClr val="D9D9D9"/>
                            </a:solidFill>
                            <a:prstDash val="solid"/>
                          </a:ln>
                        </wps:spPr>
                        <wps:bodyPr wrap="square" lIns="0" tIns="0" rIns="0" bIns="0" rtlCol="0">
                          <a:prstTxWarp prst="textNoShape">
                            <a:avLst/>
                          </a:prstTxWarp>
                          <a:noAutofit/>
                        </wps:bodyPr>
                      </wps:wsp>
                      <wps:wsp>
                        <wps:cNvPr id="537" name="Textbox 537"/>
                        <wps:cNvSpPr txBox="1"/>
                        <wps:spPr>
                          <a:xfrm>
                            <a:off x="1882394" y="0"/>
                            <a:ext cx="229235" cy="139700"/>
                          </a:xfrm>
                          <a:prstGeom prst="rect">
                            <a:avLst/>
                          </a:prstGeom>
                        </wps:spPr>
                        <wps:txbx>
                          <w:txbxContent>
                            <w:p w14:paraId="0B984E97" w14:textId="77777777" w:rsidR="000E52B0" w:rsidRDefault="00F60D74">
                              <w:pPr>
                                <w:rPr>
                                  <w:rFonts w:ascii="Trebuchet MS"/>
                                  <w:sz w:val="18"/>
                                </w:rPr>
                              </w:pPr>
                              <w:r>
                                <w:rPr>
                                  <w:rFonts w:ascii="Trebuchet MS"/>
                                  <w:color w:val="404040"/>
                                  <w:spacing w:val="-5"/>
                                  <w:w w:val="115"/>
                                  <w:sz w:val="18"/>
                                </w:rPr>
                                <w:t>65%</w:t>
                              </w:r>
                            </w:p>
                          </w:txbxContent>
                        </wps:txbx>
                        <wps:bodyPr wrap="square" lIns="0" tIns="0" rIns="0" bIns="0" rtlCol="0">
                          <a:noAutofit/>
                        </wps:bodyPr>
                      </wps:wsp>
                      <wps:wsp>
                        <wps:cNvPr id="538" name="Textbox 538"/>
                        <wps:cNvSpPr txBox="1"/>
                        <wps:spPr>
                          <a:xfrm>
                            <a:off x="3209798" y="180975"/>
                            <a:ext cx="229235" cy="139700"/>
                          </a:xfrm>
                          <a:prstGeom prst="rect">
                            <a:avLst/>
                          </a:prstGeom>
                        </wps:spPr>
                        <wps:txbx>
                          <w:txbxContent>
                            <w:p w14:paraId="75AEB83C" w14:textId="77777777" w:rsidR="000E52B0" w:rsidRDefault="00F60D74">
                              <w:pPr>
                                <w:rPr>
                                  <w:rFonts w:ascii="Trebuchet MS"/>
                                  <w:sz w:val="18"/>
                                </w:rPr>
                              </w:pPr>
                              <w:r>
                                <w:rPr>
                                  <w:rFonts w:ascii="Trebuchet MS"/>
                                  <w:color w:val="404040"/>
                                  <w:spacing w:val="-5"/>
                                  <w:w w:val="115"/>
                                  <w:sz w:val="18"/>
                                </w:rPr>
                                <w:t>49%</w:t>
                              </w:r>
                            </w:p>
                          </w:txbxContent>
                        </wps:txbx>
                        <wps:bodyPr wrap="square" lIns="0" tIns="0" rIns="0" bIns="0" rtlCol="0">
                          <a:noAutofit/>
                        </wps:bodyPr>
                      </wps:wsp>
                    </wpg:wgp>
                  </a:graphicData>
                </a:graphic>
              </wp:inline>
            </w:drawing>
          </mc:Choice>
          <mc:Fallback>
            <w:pict>
              <v:group w14:anchorId="28876CF3" id="Group 532" o:spid="_x0000_s1326" style="width:313.5pt;height:75.55pt;mso-position-horizontal-relative:char;mso-position-vertical-relative:line" coordsize="39814,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">
                <v:shape id="Graphic 533" o:spid="_x0000_s1327" style="position:absolute;left:15759;top:1965;width:8299;height:7582;visibility:visible;mso-wrap-style:square;v-text-anchor:top" coordsize="829944,75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" path="m829462,l,,,757643r829462,l829462,xe" fillcolor="#f1a76d" stroked="f">
                  <v:path arrowok="t"/>
                </v:shape>
                <v:shape id="Graphic 534" o:spid="_x0000_s1328" style="position:absolute;left:29030;top:3774;width:8300;height:5772;visibility:visible;mso-wrap-style:square;v-text-anchor:top" coordsize="829944,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" path="m829462,l,,,576719r829462,l829462,xe" fillcolor="#a2692e" stroked="f">
                  <v:path arrowok="t"/>
                </v:shape>
                <v:shape id="Graphic 535" o:spid="_x0000_s1329" style="position:absolute;left:2495;top:655;width:8293;height:8890;visibility:visible;mso-wrap-style:square;v-text-anchor:top" coordsize="82931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" path="m829056,l,,,888618r829056,l829056,xe" fillcolor="#fdddce" stroked="f">
                  <v:path arrowok="t"/>
                </v:shape>
                <v:shape id="Graphic 536" o:spid="_x0000_s1330" style="position:absolute;top:9541;width:39814;height:13;visibility:visible;mso-wrap-style:square;v-text-anchor:top" coordsize="398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" path="m,l3981450,e" filled="f" strokecolor="#d9d9d9">
                  <v:path arrowok="t"/>
                </v:shape>
                <v:shape id="Textbox 537" o:spid="_x0000_s1331" type="#_x0000_t202" style="position:absolute;left:18823;width:229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0B984E97" w14:textId="77777777" w:rsidR="000E52B0" w:rsidRDefault="00F60D74">
                        <w:pPr>
                          <w:rPr>
                            <w:rFonts w:ascii="Trebuchet MS"/>
                            <w:sz w:val="18"/>
                          </w:rPr>
                        </w:pPr>
                        <w:r>
                          <w:rPr>
                            <w:rFonts w:ascii="Trebuchet MS"/>
                            <w:color w:val="404040"/>
                            <w:spacing w:val="-5"/>
                            <w:w w:val="115"/>
                            <w:sz w:val="18"/>
                          </w:rPr>
                          <w:t>65%</w:t>
                        </w:r>
                      </w:p>
                    </w:txbxContent>
                  </v:textbox>
                </v:shape>
                <v:shape id="Textbox 538" o:spid="_x0000_s1332" type="#_x0000_t202" style="position:absolute;left:32097;top:1809;width:229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75AEB83C" w14:textId="77777777" w:rsidR="000E52B0" w:rsidRDefault="00F60D74">
                        <w:pPr>
                          <w:rPr>
                            <w:rFonts w:ascii="Trebuchet MS"/>
                            <w:sz w:val="18"/>
                          </w:rPr>
                        </w:pPr>
                        <w:r>
                          <w:rPr>
                            <w:rFonts w:ascii="Trebuchet MS"/>
                            <w:color w:val="404040"/>
                            <w:spacing w:val="-5"/>
                            <w:w w:val="115"/>
                            <w:sz w:val="18"/>
                          </w:rPr>
                          <w:t>49%</w:t>
                        </w:r>
                      </w:p>
                    </w:txbxContent>
                  </v:textbox>
                </v:shape>
                <w10:anchorlock/>
              </v:group>
            </w:pict>
          </mc:Fallback>
        </mc:AlternateContent>
      </w:r>
    </w:p>
    <w:p w14:paraId="41AFADD3" w14:textId="77777777" w:rsidR="000E52B0" w:rsidRDefault="00F60D74">
      <w:pPr>
        <w:tabs>
          <w:tab w:val="left" w:pos="2195"/>
          <w:tab w:val="left" w:pos="4191"/>
        </w:tabs>
        <w:spacing w:before="77"/>
        <w:ind w:left="132"/>
        <w:jc w:val="center"/>
        <w:rPr>
          <w:rFonts w:ascii="Trebuchet MS"/>
          <w:sz w:val="18"/>
        </w:rPr>
      </w:pPr>
      <w:r>
        <w:rPr>
          <w:rFonts w:ascii="Trebuchet MS"/>
          <w:color w:val="585858"/>
          <w:spacing w:val="-2"/>
          <w:sz w:val="18"/>
        </w:rPr>
        <w:t>1</w:t>
      </w:r>
      <w:r>
        <w:rPr>
          <w:rFonts w:ascii="Trebuchet MS"/>
          <w:color w:val="585858"/>
          <w:spacing w:val="-19"/>
          <w:sz w:val="18"/>
        </w:rPr>
        <w:t xml:space="preserve"> </w:t>
      </w:r>
      <w:r>
        <w:rPr>
          <w:rFonts w:ascii="Trebuchet MS"/>
          <w:color w:val="585858"/>
          <w:spacing w:val="-2"/>
          <w:sz w:val="18"/>
        </w:rPr>
        <w:t>-</w:t>
      </w:r>
      <w:r>
        <w:rPr>
          <w:rFonts w:ascii="Trebuchet MS"/>
          <w:color w:val="585858"/>
          <w:spacing w:val="-16"/>
          <w:sz w:val="18"/>
        </w:rPr>
        <w:t xml:space="preserve"> </w:t>
      </w:r>
      <w:r>
        <w:rPr>
          <w:rFonts w:ascii="Trebuchet MS"/>
          <w:color w:val="585858"/>
          <w:spacing w:val="-2"/>
          <w:sz w:val="18"/>
        </w:rPr>
        <w:t>4</w:t>
      </w:r>
      <w:r>
        <w:rPr>
          <w:rFonts w:ascii="Trebuchet MS"/>
          <w:color w:val="585858"/>
          <w:spacing w:val="-18"/>
          <w:sz w:val="18"/>
        </w:rPr>
        <w:t xml:space="preserve"> </w:t>
      </w:r>
      <w:r>
        <w:rPr>
          <w:rFonts w:ascii="Trebuchet MS"/>
          <w:color w:val="585858"/>
          <w:spacing w:val="-2"/>
          <w:sz w:val="18"/>
        </w:rPr>
        <w:t>(Claros)</w:t>
      </w:r>
      <w:r>
        <w:rPr>
          <w:rFonts w:ascii="Trebuchet MS"/>
          <w:color w:val="585858"/>
          <w:sz w:val="18"/>
        </w:rPr>
        <w:tab/>
      </w:r>
      <w:r>
        <w:rPr>
          <w:rFonts w:ascii="Trebuchet MS"/>
          <w:color w:val="585858"/>
          <w:spacing w:val="-2"/>
          <w:sz w:val="18"/>
        </w:rPr>
        <w:t>5</w:t>
      </w:r>
      <w:r>
        <w:rPr>
          <w:rFonts w:ascii="Trebuchet MS"/>
          <w:color w:val="585858"/>
          <w:spacing w:val="-19"/>
          <w:sz w:val="18"/>
        </w:rPr>
        <w:t xml:space="preserve"> </w:t>
      </w:r>
      <w:r>
        <w:rPr>
          <w:rFonts w:ascii="Trebuchet MS"/>
          <w:color w:val="585858"/>
          <w:spacing w:val="-2"/>
          <w:sz w:val="18"/>
        </w:rPr>
        <w:t>-</w:t>
      </w:r>
      <w:r>
        <w:rPr>
          <w:rFonts w:ascii="Trebuchet MS"/>
          <w:color w:val="585858"/>
          <w:spacing w:val="-16"/>
          <w:sz w:val="18"/>
        </w:rPr>
        <w:t xml:space="preserve"> </w:t>
      </w:r>
      <w:r>
        <w:rPr>
          <w:rFonts w:ascii="Trebuchet MS"/>
          <w:color w:val="585858"/>
          <w:spacing w:val="-2"/>
          <w:sz w:val="18"/>
        </w:rPr>
        <w:t>7</w:t>
      </w:r>
      <w:r>
        <w:rPr>
          <w:rFonts w:ascii="Trebuchet MS"/>
          <w:color w:val="585858"/>
          <w:spacing w:val="-18"/>
          <w:sz w:val="18"/>
        </w:rPr>
        <w:t xml:space="preserve"> </w:t>
      </w:r>
      <w:r>
        <w:rPr>
          <w:rFonts w:ascii="Trebuchet MS"/>
          <w:color w:val="585858"/>
          <w:spacing w:val="-2"/>
          <w:sz w:val="18"/>
        </w:rPr>
        <w:t>(Medios)</w:t>
      </w:r>
      <w:r>
        <w:rPr>
          <w:rFonts w:ascii="Trebuchet MS"/>
          <w:color w:val="585858"/>
          <w:sz w:val="18"/>
        </w:rPr>
        <w:tab/>
      </w:r>
      <w:r>
        <w:rPr>
          <w:rFonts w:ascii="Trebuchet MS"/>
          <w:color w:val="585858"/>
          <w:spacing w:val="-2"/>
          <w:sz w:val="18"/>
        </w:rPr>
        <w:t>8</w:t>
      </w:r>
      <w:r>
        <w:rPr>
          <w:rFonts w:ascii="Trebuchet MS"/>
          <w:color w:val="585858"/>
          <w:spacing w:val="-18"/>
          <w:sz w:val="18"/>
        </w:rPr>
        <w:t xml:space="preserve"> </w:t>
      </w:r>
      <w:r>
        <w:rPr>
          <w:rFonts w:ascii="Trebuchet MS"/>
          <w:color w:val="585858"/>
          <w:spacing w:val="-2"/>
          <w:sz w:val="18"/>
        </w:rPr>
        <w:t>-</w:t>
      </w:r>
      <w:r>
        <w:rPr>
          <w:rFonts w:ascii="Trebuchet MS"/>
          <w:color w:val="585858"/>
          <w:spacing w:val="-15"/>
          <w:sz w:val="18"/>
        </w:rPr>
        <w:t xml:space="preserve"> </w:t>
      </w:r>
      <w:r>
        <w:rPr>
          <w:rFonts w:ascii="Trebuchet MS"/>
          <w:color w:val="585858"/>
          <w:spacing w:val="-2"/>
          <w:sz w:val="18"/>
        </w:rPr>
        <w:t>11</w:t>
      </w:r>
      <w:r>
        <w:rPr>
          <w:rFonts w:ascii="Trebuchet MS"/>
          <w:color w:val="585858"/>
          <w:spacing w:val="-16"/>
          <w:sz w:val="18"/>
        </w:rPr>
        <w:t xml:space="preserve"> </w:t>
      </w:r>
      <w:r>
        <w:rPr>
          <w:rFonts w:ascii="Trebuchet MS"/>
          <w:color w:val="585858"/>
          <w:spacing w:val="-2"/>
          <w:sz w:val="18"/>
        </w:rPr>
        <w:t>(Oscuros)</w:t>
      </w:r>
    </w:p>
    <w:p w14:paraId="0BAC4EDF" w14:textId="77777777" w:rsidR="000E52B0" w:rsidRDefault="00F60D74">
      <w:pPr>
        <w:spacing w:before="71"/>
        <w:ind w:left="9"/>
        <w:jc w:val="center"/>
        <w:rPr>
          <w:rFonts w:ascii="Trebuchet MS"/>
          <w:sz w:val="20"/>
        </w:rPr>
      </w:pPr>
      <w:r>
        <w:rPr>
          <w:rFonts w:ascii="Trebuchet MS"/>
          <w:color w:val="585858"/>
          <w:sz w:val="20"/>
        </w:rPr>
        <w:t>Colores</w:t>
      </w:r>
      <w:r>
        <w:rPr>
          <w:rFonts w:ascii="Trebuchet MS"/>
          <w:color w:val="585858"/>
          <w:spacing w:val="-15"/>
          <w:sz w:val="20"/>
        </w:rPr>
        <w:t xml:space="preserve"> </w:t>
      </w:r>
      <w:r>
        <w:rPr>
          <w:rFonts w:ascii="Trebuchet MS"/>
          <w:color w:val="585858"/>
          <w:sz w:val="20"/>
        </w:rPr>
        <w:t>de</w:t>
      </w:r>
      <w:r>
        <w:rPr>
          <w:rFonts w:ascii="Trebuchet MS"/>
          <w:color w:val="585858"/>
          <w:spacing w:val="-18"/>
          <w:sz w:val="20"/>
        </w:rPr>
        <w:t xml:space="preserve"> </w:t>
      </w:r>
      <w:r>
        <w:rPr>
          <w:rFonts w:ascii="Trebuchet MS"/>
          <w:color w:val="585858"/>
          <w:spacing w:val="-4"/>
          <w:sz w:val="20"/>
        </w:rPr>
        <w:t>piel</w:t>
      </w:r>
    </w:p>
    <w:p w14:paraId="6C5A84F8" w14:textId="77777777" w:rsidR="000E52B0" w:rsidRDefault="000E52B0">
      <w:pPr>
        <w:pStyle w:val="Textoindependiente"/>
        <w:spacing w:before="152"/>
        <w:ind w:left="0"/>
        <w:rPr>
          <w:rFonts w:ascii="Trebuchet MS"/>
          <w:sz w:val="18"/>
        </w:rPr>
      </w:pPr>
    </w:p>
    <w:p w14:paraId="67AC14A1" w14:textId="77777777" w:rsidR="000E52B0" w:rsidRDefault="00F60D74">
      <w:pPr>
        <w:ind w:right="2"/>
        <w:jc w:val="center"/>
        <w:rPr>
          <w:i/>
          <w:sz w:val="18"/>
        </w:rPr>
      </w:pPr>
      <w:r>
        <w:rPr>
          <w:i/>
          <w:color w:val="454551"/>
          <w:sz w:val="18"/>
        </w:rPr>
        <w:t>Fuente</w:t>
      </w:r>
      <w:r>
        <w:rPr>
          <w:i/>
          <w:color w:val="454551"/>
          <w:spacing w:val="-3"/>
          <w:sz w:val="18"/>
        </w:rPr>
        <w:t xml:space="preserve"> </w:t>
      </w:r>
      <w:r>
        <w:rPr>
          <w:i/>
          <w:color w:val="454551"/>
          <w:sz w:val="18"/>
        </w:rPr>
        <w:t>32.</w:t>
      </w:r>
      <w:r>
        <w:rPr>
          <w:i/>
          <w:color w:val="454551"/>
          <w:spacing w:val="-5"/>
          <w:sz w:val="18"/>
        </w:rPr>
        <w:t xml:space="preserve"> </w:t>
      </w:r>
      <w:r>
        <w:rPr>
          <w:i/>
          <w:color w:val="454551"/>
          <w:sz w:val="18"/>
        </w:rPr>
        <w:t>Elaboración</w:t>
      </w:r>
      <w:r>
        <w:rPr>
          <w:i/>
          <w:color w:val="454551"/>
          <w:spacing w:val="-4"/>
          <w:sz w:val="18"/>
        </w:rPr>
        <w:t xml:space="preserve"> </w:t>
      </w:r>
      <w:r>
        <w:rPr>
          <w:i/>
          <w:color w:val="454551"/>
          <w:sz w:val="18"/>
        </w:rPr>
        <w:t>propia.</w:t>
      </w:r>
      <w:r>
        <w:rPr>
          <w:i/>
          <w:color w:val="454551"/>
          <w:spacing w:val="-5"/>
          <w:sz w:val="18"/>
        </w:rPr>
        <w:t xml:space="preserve"> </w:t>
      </w:r>
      <w:r>
        <w:rPr>
          <w:i/>
          <w:color w:val="454551"/>
          <w:sz w:val="18"/>
        </w:rPr>
        <w:t>Fuente:</w:t>
      </w:r>
      <w:r>
        <w:rPr>
          <w:i/>
          <w:color w:val="454551"/>
          <w:spacing w:val="-6"/>
          <w:sz w:val="18"/>
        </w:rPr>
        <w:t xml:space="preserve"> </w:t>
      </w:r>
      <w:proofErr w:type="spellStart"/>
      <w:r>
        <w:rPr>
          <w:i/>
          <w:color w:val="454551"/>
          <w:sz w:val="18"/>
        </w:rPr>
        <w:t>Corpovisionarios</w:t>
      </w:r>
      <w:proofErr w:type="spellEnd"/>
      <w:r>
        <w:rPr>
          <w:i/>
          <w:color w:val="454551"/>
          <w:sz w:val="18"/>
        </w:rPr>
        <w:t>,</w:t>
      </w:r>
      <w:r>
        <w:rPr>
          <w:i/>
          <w:color w:val="454551"/>
          <w:spacing w:val="-5"/>
          <w:sz w:val="18"/>
        </w:rPr>
        <w:t xml:space="preserve"> </w:t>
      </w:r>
      <w:r>
        <w:rPr>
          <w:i/>
          <w:color w:val="454551"/>
          <w:sz w:val="18"/>
        </w:rPr>
        <w:t>ECC</w:t>
      </w:r>
      <w:r>
        <w:rPr>
          <w:i/>
          <w:color w:val="454551"/>
          <w:spacing w:val="-3"/>
          <w:sz w:val="18"/>
        </w:rPr>
        <w:t xml:space="preserve"> </w:t>
      </w:r>
      <w:r>
        <w:rPr>
          <w:i/>
          <w:color w:val="454551"/>
          <w:spacing w:val="-2"/>
          <w:sz w:val="18"/>
        </w:rPr>
        <w:t>2018.</w:t>
      </w:r>
    </w:p>
    <w:p w14:paraId="4FA04C1D" w14:textId="77777777" w:rsidR="000E52B0" w:rsidRDefault="00F60D74">
      <w:pPr>
        <w:pStyle w:val="Textoindependiente"/>
        <w:spacing w:before="201"/>
        <w:ind w:right="717"/>
        <w:jc w:val="both"/>
      </w:pPr>
      <w:r>
        <w:t>En</w:t>
      </w:r>
      <w:r>
        <w:rPr>
          <w:spacing w:val="-12"/>
        </w:rPr>
        <w:t xml:space="preserve"> </w:t>
      </w:r>
      <w:r>
        <w:t>lo</w:t>
      </w:r>
      <w:r>
        <w:rPr>
          <w:spacing w:val="-11"/>
        </w:rPr>
        <w:t xml:space="preserve"> </w:t>
      </w:r>
      <w:r>
        <w:t>relativo</w:t>
      </w:r>
      <w:r>
        <w:rPr>
          <w:spacing w:val="-11"/>
        </w:rPr>
        <w:t xml:space="preserve"> </w:t>
      </w:r>
      <w:r>
        <w:t>a</w:t>
      </w:r>
      <w:r>
        <w:rPr>
          <w:spacing w:val="-11"/>
        </w:rPr>
        <w:t xml:space="preserve"> </w:t>
      </w:r>
      <w:r>
        <w:t>las</w:t>
      </w:r>
      <w:r>
        <w:rPr>
          <w:spacing w:val="-9"/>
        </w:rPr>
        <w:t xml:space="preserve"> </w:t>
      </w:r>
      <w:r>
        <w:t>violencias</w:t>
      </w:r>
      <w:r>
        <w:rPr>
          <w:spacing w:val="-9"/>
        </w:rPr>
        <w:t xml:space="preserve"> </w:t>
      </w:r>
      <w:r>
        <w:t>que</w:t>
      </w:r>
      <w:r>
        <w:rPr>
          <w:spacing w:val="-10"/>
        </w:rPr>
        <w:t xml:space="preserve"> </w:t>
      </w:r>
      <w:r>
        <w:t>experimentan</w:t>
      </w:r>
      <w:r>
        <w:rPr>
          <w:spacing w:val="-12"/>
        </w:rPr>
        <w:t xml:space="preserve"> </w:t>
      </w:r>
      <w:r>
        <w:t>las</w:t>
      </w:r>
      <w:r>
        <w:rPr>
          <w:spacing w:val="-12"/>
        </w:rPr>
        <w:t xml:space="preserve"> </w:t>
      </w:r>
      <w:r>
        <w:t>mujeres,</w:t>
      </w:r>
      <w:r>
        <w:rPr>
          <w:spacing w:val="-12"/>
        </w:rPr>
        <w:t xml:space="preserve"> </w:t>
      </w:r>
      <w:r>
        <w:t>es</w:t>
      </w:r>
      <w:r>
        <w:rPr>
          <w:spacing w:val="-11"/>
        </w:rPr>
        <w:t xml:space="preserve"> </w:t>
      </w:r>
      <w:r>
        <w:t xml:space="preserve">importante enfatizar que estas son resultado de la imbricación de los sistemas de discriminación que afectan tanto de manera general a las mujeres. El quehacer estatal se ha centrado más en la atención y mucho menos en la prevención, y cuenta con otras particularidades que han hecho débil su </w:t>
      </w:r>
      <w:r>
        <w:rPr>
          <w:spacing w:val="-2"/>
        </w:rPr>
        <w:t>accionar.</w:t>
      </w:r>
    </w:p>
    <w:p w14:paraId="5394D664" w14:textId="77777777" w:rsidR="000E52B0" w:rsidRDefault="00F60D74">
      <w:pPr>
        <w:pStyle w:val="Textoindependiente"/>
        <w:spacing w:before="161"/>
        <w:ind w:right="720"/>
        <w:jc w:val="both"/>
      </w:pPr>
      <w:r>
        <w:t>Para comprender el alcance del vínculo entre registro y la respuesta institucional,</w:t>
      </w:r>
      <w:r>
        <w:rPr>
          <w:spacing w:val="-13"/>
        </w:rPr>
        <w:t xml:space="preserve"> </w:t>
      </w:r>
      <w:r>
        <w:t>es</w:t>
      </w:r>
      <w:r>
        <w:rPr>
          <w:spacing w:val="-12"/>
        </w:rPr>
        <w:t xml:space="preserve"> </w:t>
      </w:r>
      <w:r>
        <w:t>fundamental</w:t>
      </w:r>
      <w:r>
        <w:rPr>
          <w:spacing w:val="-13"/>
        </w:rPr>
        <w:t xml:space="preserve"> </w:t>
      </w:r>
      <w:r>
        <w:t>entender,</w:t>
      </w:r>
      <w:r>
        <w:rPr>
          <w:spacing w:val="-10"/>
        </w:rPr>
        <w:t xml:space="preserve"> </w:t>
      </w:r>
      <w:r>
        <w:t>que,</w:t>
      </w:r>
      <w:r>
        <w:rPr>
          <w:spacing w:val="-13"/>
        </w:rPr>
        <w:t xml:space="preserve"> </w:t>
      </w:r>
      <w:r>
        <w:t>el</w:t>
      </w:r>
      <w:r>
        <w:rPr>
          <w:spacing w:val="-13"/>
        </w:rPr>
        <w:t xml:space="preserve"> </w:t>
      </w:r>
      <w:r>
        <w:t>análisis</w:t>
      </w:r>
      <w:r>
        <w:rPr>
          <w:spacing w:val="-13"/>
        </w:rPr>
        <w:t xml:space="preserve"> </w:t>
      </w:r>
      <w:r>
        <w:t>de</w:t>
      </w:r>
      <w:r>
        <w:rPr>
          <w:spacing w:val="-11"/>
        </w:rPr>
        <w:t xml:space="preserve"> </w:t>
      </w:r>
      <w:r>
        <w:t>situación</w:t>
      </w:r>
      <w:r>
        <w:rPr>
          <w:spacing w:val="-10"/>
        </w:rPr>
        <w:t xml:space="preserve"> </w:t>
      </w:r>
      <w:r>
        <w:t>basado en registros administrativos implica el sesgo de la respuesta institucional. Las mujeres que no accedieron a una respuesta institucional no están en ninguno de los registros. De acuerdo con la Encuesta de Tolerancia Social e</w:t>
      </w:r>
      <w:r>
        <w:rPr>
          <w:spacing w:val="11"/>
        </w:rPr>
        <w:t xml:space="preserve"> </w:t>
      </w:r>
      <w:r>
        <w:t>Institucional</w:t>
      </w:r>
      <w:r>
        <w:rPr>
          <w:spacing w:val="12"/>
        </w:rPr>
        <w:t xml:space="preserve"> </w:t>
      </w:r>
      <w:r>
        <w:t>a</w:t>
      </w:r>
      <w:r>
        <w:rPr>
          <w:spacing w:val="16"/>
        </w:rPr>
        <w:t xml:space="preserve"> </w:t>
      </w:r>
      <w:r>
        <w:t>las</w:t>
      </w:r>
      <w:r>
        <w:rPr>
          <w:spacing w:val="16"/>
        </w:rPr>
        <w:t xml:space="preserve"> </w:t>
      </w:r>
      <w:r>
        <w:t>violencias</w:t>
      </w:r>
      <w:r>
        <w:rPr>
          <w:spacing w:val="13"/>
        </w:rPr>
        <w:t xml:space="preserve"> </w:t>
      </w:r>
      <w:r>
        <w:t>contra</w:t>
      </w:r>
      <w:r>
        <w:rPr>
          <w:spacing w:val="15"/>
        </w:rPr>
        <w:t xml:space="preserve"> </w:t>
      </w:r>
      <w:r>
        <w:t>las</w:t>
      </w:r>
      <w:r>
        <w:rPr>
          <w:spacing w:val="13"/>
        </w:rPr>
        <w:t xml:space="preserve"> </w:t>
      </w:r>
      <w:r>
        <w:t>mujeres,</w:t>
      </w:r>
      <w:r>
        <w:rPr>
          <w:spacing w:val="13"/>
        </w:rPr>
        <w:t xml:space="preserve"> </w:t>
      </w:r>
      <w:r>
        <w:t>aplicada</w:t>
      </w:r>
      <w:r>
        <w:rPr>
          <w:spacing w:val="16"/>
        </w:rPr>
        <w:t xml:space="preserve"> </w:t>
      </w:r>
      <w:r>
        <w:t>en</w:t>
      </w:r>
      <w:r>
        <w:rPr>
          <w:spacing w:val="13"/>
        </w:rPr>
        <w:t xml:space="preserve"> </w:t>
      </w:r>
      <w:r>
        <w:rPr>
          <w:spacing w:val="-2"/>
        </w:rPr>
        <w:t>municipios</w:t>
      </w:r>
    </w:p>
    <w:p w14:paraId="0FF19CB6" w14:textId="77777777" w:rsidR="000E52B0" w:rsidRDefault="000E52B0">
      <w:pPr>
        <w:pStyle w:val="Textoindependiente"/>
        <w:jc w:val="both"/>
        <w:sectPr w:rsidR="000E52B0">
          <w:pgSz w:w="11910" w:h="16840"/>
          <w:pgMar w:top="1340" w:right="720" w:bottom="1180" w:left="720" w:header="0" w:footer="995" w:gutter="0"/>
          <w:cols w:space="720"/>
        </w:sectPr>
      </w:pPr>
    </w:p>
    <w:p w14:paraId="4315B88D" w14:textId="77777777" w:rsidR="000E52B0" w:rsidRDefault="00F60D74">
      <w:pPr>
        <w:pStyle w:val="Textoindependiente"/>
        <w:spacing w:before="83"/>
        <w:ind w:right="717"/>
        <w:jc w:val="both"/>
      </w:pPr>
      <w:r>
        <w:lastRenderedPageBreak/>
        <w:t>PDET en 2020, al 74%</w:t>
      </w:r>
      <w:hyperlink w:anchor="_bookmark73" w:history="1">
        <w:r w:rsidR="000E52B0">
          <w:rPr>
            <w:position w:val="8"/>
            <w:sz w:val="16"/>
          </w:rPr>
          <w:t>62</w:t>
        </w:r>
      </w:hyperlink>
      <w:r>
        <w:rPr>
          <w:spacing w:val="40"/>
          <w:position w:val="8"/>
          <w:sz w:val="16"/>
        </w:rPr>
        <w:t xml:space="preserve"> </w:t>
      </w:r>
      <w:r>
        <w:t>de las mujeres víctimas no acudió a ninguna institución.</w:t>
      </w:r>
      <w:r>
        <w:rPr>
          <w:spacing w:val="-13"/>
        </w:rPr>
        <w:t xml:space="preserve"> </w:t>
      </w:r>
      <w:r>
        <w:t>Si</w:t>
      </w:r>
      <w:r>
        <w:rPr>
          <w:spacing w:val="-16"/>
        </w:rPr>
        <w:t xml:space="preserve"> </w:t>
      </w:r>
      <w:r>
        <w:t>bien</w:t>
      </w:r>
      <w:r>
        <w:rPr>
          <w:spacing w:val="-15"/>
        </w:rPr>
        <w:t xml:space="preserve"> </w:t>
      </w:r>
      <w:r>
        <w:t>esto</w:t>
      </w:r>
      <w:r>
        <w:rPr>
          <w:spacing w:val="-14"/>
        </w:rPr>
        <w:t xml:space="preserve"> </w:t>
      </w:r>
      <w:r>
        <w:t>no</w:t>
      </w:r>
      <w:r>
        <w:rPr>
          <w:spacing w:val="-14"/>
        </w:rPr>
        <w:t xml:space="preserve"> </w:t>
      </w:r>
      <w:r>
        <w:t>permite</w:t>
      </w:r>
      <w:r>
        <w:rPr>
          <w:spacing w:val="-14"/>
        </w:rPr>
        <w:t xml:space="preserve"> </w:t>
      </w:r>
      <w:r>
        <w:t>una</w:t>
      </w:r>
      <w:r>
        <w:rPr>
          <w:spacing w:val="-12"/>
        </w:rPr>
        <w:t xml:space="preserve"> </w:t>
      </w:r>
      <w:r>
        <w:t>medición</w:t>
      </w:r>
      <w:r>
        <w:rPr>
          <w:spacing w:val="-15"/>
        </w:rPr>
        <w:t xml:space="preserve"> </w:t>
      </w:r>
      <w:r>
        <w:t>exhaustiva</w:t>
      </w:r>
      <w:r>
        <w:rPr>
          <w:spacing w:val="-15"/>
        </w:rPr>
        <w:t xml:space="preserve"> </w:t>
      </w:r>
      <w:r>
        <w:t>de</w:t>
      </w:r>
      <w:r>
        <w:rPr>
          <w:spacing w:val="-14"/>
        </w:rPr>
        <w:t xml:space="preserve"> </w:t>
      </w:r>
      <w:r>
        <w:t>subregistro si</w:t>
      </w:r>
      <w:r>
        <w:rPr>
          <w:spacing w:val="-11"/>
        </w:rPr>
        <w:t xml:space="preserve"> </w:t>
      </w:r>
      <w:r>
        <w:t>permite</w:t>
      </w:r>
      <w:r>
        <w:rPr>
          <w:spacing w:val="-9"/>
        </w:rPr>
        <w:t xml:space="preserve"> </w:t>
      </w:r>
      <w:r>
        <w:t>considerar</w:t>
      </w:r>
      <w:r>
        <w:rPr>
          <w:spacing w:val="-9"/>
        </w:rPr>
        <w:t xml:space="preserve"> </w:t>
      </w:r>
      <w:r>
        <w:t>la</w:t>
      </w:r>
      <w:r>
        <w:rPr>
          <w:spacing w:val="-11"/>
        </w:rPr>
        <w:t xml:space="preserve"> </w:t>
      </w:r>
      <w:r>
        <w:t>magnitud</w:t>
      </w:r>
      <w:r>
        <w:rPr>
          <w:spacing w:val="-9"/>
        </w:rPr>
        <w:t xml:space="preserve"> </w:t>
      </w:r>
      <w:r>
        <w:t>del</w:t>
      </w:r>
      <w:r>
        <w:rPr>
          <w:spacing w:val="-11"/>
        </w:rPr>
        <w:t xml:space="preserve"> </w:t>
      </w:r>
      <w:r>
        <w:t>sesgo</w:t>
      </w:r>
      <w:r>
        <w:rPr>
          <w:spacing w:val="-10"/>
        </w:rPr>
        <w:t xml:space="preserve"> </w:t>
      </w:r>
      <w:r>
        <w:t>de</w:t>
      </w:r>
      <w:r>
        <w:rPr>
          <w:spacing w:val="-9"/>
        </w:rPr>
        <w:t xml:space="preserve"> </w:t>
      </w:r>
      <w:r>
        <w:t>analizar</w:t>
      </w:r>
      <w:r>
        <w:rPr>
          <w:spacing w:val="-10"/>
        </w:rPr>
        <w:t xml:space="preserve"> </w:t>
      </w:r>
      <w:r>
        <w:t>la</w:t>
      </w:r>
      <w:r>
        <w:rPr>
          <w:spacing w:val="-11"/>
        </w:rPr>
        <w:t xml:space="preserve"> </w:t>
      </w:r>
      <w:r>
        <w:t>situación</w:t>
      </w:r>
      <w:r>
        <w:rPr>
          <w:spacing w:val="-9"/>
        </w:rPr>
        <w:t xml:space="preserve"> </w:t>
      </w:r>
      <w:r>
        <w:t>a</w:t>
      </w:r>
      <w:r>
        <w:rPr>
          <w:spacing w:val="-10"/>
        </w:rPr>
        <w:t xml:space="preserve"> </w:t>
      </w:r>
      <w:r>
        <w:t>partir de registros administrativos, especialmente en municipios que enfrentan inequidades territoriales con el resto del país.</w:t>
      </w:r>
    </w:p>
    <w:p w14:paraId="3355C92C" w14:textId="77777777" w:rsidR="000E52B0" w:rsidRDefault="00F60D74">
      <w:pPr>
        <w:pStyle w:val="Textoindependiente"/>
        <w:spacing w:before="159"/>
        <w:ind w:right="720"/>
        <w:jc w:val="both"/>
      </w:pPr>
      <w:r>
        <w:t>Teniendo en consideración que cuando las personas acuden al sistema de salud</w:t>
      </w:r>
      <w:r>
        <w:rPr>
          <w:spacing w:val="-7"/>
        </w:rPr>
        <w:t xml:space="preserve"> </w:t>
      </w:r>
      <w:r>
        <w:t>por</w:t>
      </w:r>
      <w:r>
        <w:rPr>
          <w:spacing w:val="-8"/>
        </w:rPr>
        <w:t xml:space="preserve"> </w:t>
      </w:r>
      <w:r>
        <w:t>cuenta</w:t>
      </w:r>
      <w:r>
        <w:rPr>
          <w:spacing w:val="-7"/>
        </w:rPr>
        <w:t xml:space="preserve"> </w:t>
      </w:r>
      <w:r>
        <w:t>de</w:t>
      </w:r>
      <w:r>
        <w:rPr>
          <w:spacing w:val="-6"/>
        </w:rPr>
        <w:t xml:space="preserve"> </w:t>
      </w:r>
      <w:r>
        <w:t>una</w:t>
      </w:r>
      <w:r>
        <w:rPr>
          <w:spacing w:val="-6"/>
        </w:rPr>
        <w:t xml:space="preserve"> </w:t>
      </w:r>
      <w:r>
        <w:t>situación</w:t>
      </w:r>
      <w:r>
        <w:rPr>
          <w:spacing w:val="-7"/>
        </w:rPr>
        <w:t xml:space="preserve"> </w:t>
      </w:r>
      <w:r>
        <w:t>de</w:t>
      </w:r>
      <w:r>
        <w:rPr>
          <w:spacing w:val="-8"/>
        </w:rPr>
        <w:t xml:space="preserve"> </w:t>
      </w:r>
      <w:r>
        <w:t>violencia,</w:t>
      </w:r>
      <w:r>
        <w:rPr>
          <w:spacing w:val="-10"/>
        </w:rPr>
        <w:t xml:space="preserve"> </w:t>
      </w:r>
      <w:r>
        <w:t>está</w:t>
      </w:r>
      <w:r>
        <w:rPr>
          <w:spacing w:val="-9"/>
        </w:rPr>
        <w:t xml:space="preserve"> </w:t>
      </w:r>
      <w:r>
        <w:t>asociado</w:t>
      </w:r>
      <w:r>
        <w:rPr>
          <w:spacing w:val="-8"/>
        </w:rPr>
        <w:t xml:space="preserve"> </w:t>
      </w:r>
      <w:r>
        <w:t>justamente</w:t>
      </w:r>
      <w:r>
        <w:rPr>
          <w:spacing w:val="-8"/>
        </w:rPr>
        <w:t xml:space="preserve"> </w:t>
      </w:r>
      <w:r>
        <w:t>a una afectación física que hace que sea necesario recibir atención médica, los registros con mayor cobertura en el caso de violencias contra las mujeres</w:t>
      </w:r>
      <w:r>
        <w:rPr>
          <w:spacing w:val="-10"/>
        </w:rPr>
        <w:t xml:space="preserve"> </w:t>
      </w:r>
      <w:r>
        <w:t>son</w:t>
      </w:r>
      <w:r>
        <w:rPr>
          <w:spacing w:val="-8"/>
        </w:rPr>
        <w:t xml:space="preserve"> </w:t>
      </w:r>
      <w:r>
        <w:t>los</w:t>
      </w:r>
      <w:r>
        <w:rPr>
          <w:spacing w:val="-10"/>
        </w:rPr>
        <w:t xml:space="preserve"> </w:t>
      </w:r>
      <w:r>
        <w:t>del</w:t>
      </w:r>
      <w:r>
        <w:rPr>
          <w:spacing w:val="-7"/>
        </w:rPr>
        <w:t xml:space="preserve"> </w:t>
      </w:r>
      <w:r>
        <w:t>sector</w:t>
      </w:r>
      <w:r>
        <w:rPr>
          <w:spacing w:val="-9"/>
        </w:rPr>
        <w:t xml:space="preserve"> </w:t>
      </w:r>
      <w:r>
        <w:t>salud,</w:t>
      </w:r>
      <w:r>
        <w:rPr>
          <w:spacing w:val="-11"/>
        </w:rPr>
        <w:t xml:space="preserve"> </w:t>
      </w:r>
      <w:r>
        <w:t>así</w:t>
      </w:r>
      <w:r>
        <w:rPr>
          <w:spacing w:val="-9"/>
        </w:rPr>
        <w:t xml:space="preserve"> </w:t>
      </w:r>
      <w:r>
        <w:t>mismo</w:t>
      </w:r>
      <w:r>
        <w:rPr>
          <w:spacing w:val="-10"/>
        </w:rPr>
        <w:t xml:space="preserve"> </w:t>
      </w:r>
      <w:r>
        <w:t>en</w:t>
      </w:r>
      <w:r>
        <w:rPr>
          <w:spacing w:val="-11"/>
        </w:rPr>
        <w:t xml:space="preserve"> </w:t>
      </w:r>
      <w:r>
        <w:t>los</w:t>
      </w:r>
      <w:r>
        <w:rPr>
          <w:spacing w:val="-8"/>
        </w:rPr>
        <w:t xml:space="preserve"> </w:t>
      </w:r>
      <w:r>
        <w:t>municipios</w:t>
      </w:r>
      <w:r>
        <w:rPr>
          <w:spacing w:val="-10"/>
        </w:rPr>
        <w:t xml:space="preserve"> </w:t>
      </w:r>
      <w:r>
        <w:t>PDET</w:t>
      </w:r>
      <w:r>
        <w:rPr>
          <w:spacing w:val="-10"/>
        </w:rPr>
        <w:t xml:space="preserve"> </w:t>
      </w:r>
      <w:r>
        <w:t>el</w:t>
      </w:r>
      <w:r>
        <w:rPr>
          <w:spacing w:val="-9"/>
        </w:rPr>
        <w:t xml:space="preserve"> </w:t>
      </w:r>
      <w:r>
        <w:t>64% de las víctimas que acudieron a una institución acudieron a clínicas, hospitales o centros médicos</w:t>
      </w:r>
      <w:hyperlink w:anchor="_bookmark74" w:history="1">
        <w:r w:rsidR="000E52B0">
          <w:rPr>
            <w:position w:val="8"/>
            <w:sz w:val="16"/>
          </w:rPr>
          <w:t>63</w:t>
        </w:r>
      </w:hyperlink>
      <w:r>
        <w:t>.</w:t>
      </w:r>
    </w:p>
    <w:p w14:paraId="7D136F8D" w14:textId="77777777" w:rsidR="000E52B0" w:rsidRDefault="00F60D74">
      <w:pPr>
        <w:pStyle w:val="Textoindependiente"/>
        <w:spacing w:before="160"/>
        <w:ind w:right="724"/>
        <w:jc w:val="both"/>
      </w:pPr>
      <w:r>
        <w:t>La tasa de casos sospechosos registrados en vigilancia epidemiológica de violencias basadas en género aumentó en la última década, pasando de 181</w:t>
      </w:r>
      <w:r>
        <w:rPr>
          <w:spacing w:val="15"/>
        </w:rPr>
        <w:t xml:space="preserve"> </w:t>
      </w:r>
      <w:r>
        <w:t>casos</w:t>
      </w:r>
      <w:r>
        <w:rPr>
          <w:spacing w:val="16"/>
        </w:rPr>
        <w:t xml:space="preserve"> </w:t>
      </w:r>
      <w:r>
        <w:t>sospechosos</w:t>
      </w:r>
      <w:r>
        <w:rPr>
          <w:spacing w:val="17"/>
        </w:rPr>
        <w:t xml:space="preserve"> </w:t>
      </w:r>
      <w:r>
        <w:t>por</w:t>
      </w:r>
      <w:r>
        <w:rPr>
          <w:spacing w:val="17"/>
        </w:rPr>
        <w:t xml:space="preserve"> </w:t>
      </w:r>
      <w:r>
        <w:t>cada</w:t>
      </w:r>
      <w:r>
        <w:rPr>
          <w:spacing w:val="17"/>
        </w:rPr>
        <w:t xml:space="preserve"> </w:t>
      </w:r>
      <w:r>
        <w:t>100.000</w:t>
      </w:r>
      <w:r>
        <w:rPr>
          <w:spacing w:val="17"/>
        </w:rPr>
        <w:t xml:space="preserve"> </w:t>
      </w:r>
      <w:r>
        <w:t>mujeres,</w:t>
      </w:r>
      <w:r>
        <w:rPr>
          <w:spacing w:val="16"/>
        </w:rPr>
        <w:t xml:space="preserve"> </w:t>
      </w:r>
      <w:r>
        <w:t>a</w:t>
      </w:r>
      <w:r>
        <w:rPr>
          <w:spacing w:val="16"/>
        </w:rPr>
        <w:t xml:space="preserve"> </w:t>
      </w:r>
      <w:r>
        <w:t>406</w:t>
      </w:r>
      <w:r>
        <w:rPr>
          <w:spacing w:val="15"/>
        </w:rPr>
        <w:t xml:space="preserve"> </w:t>
      </w:r>
      <w:r>
        <w:t>casos</w:t>
      </w:r>
      <w:r>
        <w:rPr>
          <w:spacing w:val="16"/>
        </w:rPr>
        <w:t xml:space="preserve"> </w:t>
      </w:r>
      <w:r>
        <w:t>por</w:t>
      </w:r>
      <w:r>
        <w:rPr>
          <w:spacing w:val="18"/>
        </w:rPr>
        <w:t xml:space="preserve"> </w:t>
      </w:r>
      <w:r>
        <w:rPr>
          <w:spacing w:val="-4"/>
        </w:rPr>
        <w:t>cada</w:t>
      </w:r>
    </w:p>
    <w:p w14:paraId="6DAB7ADE" w14:textId="77777777" w:rsidR="000E52B0" w:rsidRDefault="00F60D74">
      <w:pPr>
        <w:pStyle w:val="Textoindependiente"/>
        <w:spacing w:before="1"/>
        <w:ind w:right="714"/>
        <w:jc w:val="both"/>
      </w:pPr>
      <w:r>
        <w:t>100.000</w:t>
      </w:r>
      <w:r>
        <w:rPr>
          <w:spacing w:val="-22"/>
        </w:rPr>
        <w:t xml:space="preserve"> </w:t>
      </w:r>
      <w:r>
        <w:t>en</w:t>
      </w:r>
      <w:r>
        <w:rPr>
          <w:spacing w:val="-20"/>
        </w:rPr>
        <w:t xml:space="preserve"> </w:t>
      </w:r>
      <w:r>
        <w:t>2022.</w:t>
      </w:r>
      <w:r>
        <w:rPr>
          <w:spacing w:val="-21"/>
        </w:rPr>
        <w:t xml:space="preserve"> </w:t>
      </w:r>
      <w:r>
        <w:t>El</w:t>
      </w:r>
      <w:r>
        <w:rPr>
          <w:spacing w:val="-21"/>
        </w:rPr>
        <w:t xml:space="preserve"> </w:t>
      </w:r>
      <w:r>
        <w:t>aumento</w:t>
      </w:r>
      <w:r>
        <w:rPr>
          <w:spacing w:val="-19"/>
        </w:rPr>
        <w:t xml:space="preserve"> </w:t>
      </w:r>
      <w:r>
        <w:t>en</w:t>
      </w:r>
      <w:r>
        <w:rPr>
          <w:spacing w:val="-20"/>
        </w:rPr>
        <w:t xml:space="preserve"> </w:t>
      </w:r>
      <w:r>
        <w:t>el</w:t>
      </w:r>
      <w:r>
        <w:rPr>
          <w:spacing w:val="-21"/>
        </w:rPr>
        <w:t xml:space="preserve"> </w:t>
      </w:r>
      <w:r>
        <w:t>registro</w:t>
      </w:r>
      <w:r>
        <w:rPr>
          <w:spacing w:val="-19"/>
        </w:rPr>
        <w:t xml:space="preserve"> </w:t>
      </w:r>
      <w:r>
        <w:t>de</w:t>
      </w:r>
      <w:r>
        <w:rPr>
          <w:spacing w:val="-15"/>
        </w:rPr>
        <w:t xml:space="preserve"> </w:t>
      </w:r>
      <w:r>
        <w:t>los</w:t>
      </w:r>
      <w:r>
        <w:rPr>
          <w:spacing w:val="-20"/>
        </w:rPr>
        <w:t xml:space="preserve"> </w:t>
      </w:r>
      <w:r>
        <w:t>casos</w:t>
      </w:r>
      <w:r>
        <w:rPr>
          <w:spacing w:val="-20"/>
        </w:rPr>
        <w:t xml:space="preserve"> </w:t>
      </w:r>
      <w:r>
        <w:t>entre</w:t>
      </w:r>
      <w:r>
        <w:rPr>
          <w:spacing w:val="-19"/>
        </w:rPr>
        <w:t xml:space="preserve"> </w:t>
      </w:r>
      <w:r>
        <w:t>2020</w:t>
      </w:r>
      <w:r>
        <w:rPr>
          <w:spacing w:val="-19"/>
        </w:rPr>
        <w:t xml:space="preserve"> </w:t>
      </w:r>
      <w:r>
        <w:t>y</w:t>
      </w:r>
      <w:r>
        <w:rPr>
          <w:spacing w:val="-22"/>
        </w:rPr>
        <w:t xml:space="preserve"> </w:t>
      </w:r>
      <w:r>
        <w:t>2022, en contraste con el sesgo mencionado, este aumento, da cuenta por un lado</w:t>
      </w:r>
      <w:r>
        <w:rPr>
          <w:spacing w:val="-20"/>
        </w:rPr>
        <w:t xml:space="preserve"> </w:t>
      </w:r>
      <w:r>
        <w:t>de</w:t>
      </w:r>
      <w:r>
        <w:rPr>
          <w:spacing w:val="-20"/>
        </w:rPr>
        <w:t xml:space="preserve"> </w:t>
      </w:r>
      <w:r>
        <w:t>la</w:t>
      </w:r>
      <w:r>
        <w:rPr>
          <w:spacing w:val="-21"/>
        </w:rPr>
        <w:t xml:space="preserve"> </w:t>
      </w:r>
      <w:r>
        <w:t>continuidad</w:t>
      </w:r>
      <w:r>
        <w:rPr>
          <w:spacing w:val="-21"/>
        </w:rPr>
        <w:t xml:space="preserve"> </w:t>
      </w:r>
      <w:r>
        <w:t>de</w:t>
      </w:r>
      <w:r>
        <w:rPr>
          <w:spacing w:val="-20"/>
        </w:rPr>
        <w:t xml:space="preserve"> </w:t>
      </w:r>
      <w:r>
        <w:t>las</w:t>
      </w:r>
      <w:r>
        <w:rPr>
          <w:spacing w:val="-21"/>
        </w:rPr>
        <w:t xml:space="preserve"> </w:t>
      </w:r>
      <w:r>
        <w:t>violencias</w:t>
      </w:r>
      <w:r>
        <w:rPr>
          <w:spacing w:val="-17"/>
        </w:rPr>
        <w:t xml:space="preserve"> </w:t>
      </w:r>
      <w:r>
        <w:t>de</w:t>
      </w:r>
      <w:r>
        <w:rPr>
          <w:spacing w:val="-20"/>
        </w:rPr>
        <w:t xml:space="preserve"> </w:t>
      </w:r>
      <w:r>
        <w:t>género,</w:t>
      </w:r>
      <w:r>
        <w:rPr>
          <w:spacing w:val="-21"/>
        </w:rPr>
        <w:t xml:space="preserve"> </w:t>
      </w:r>
      <w:r>
        <w:t>pero</w:t>
      </w:r>
      <w:r>
        <w:rPr>
          <w:spacing w:val="-19"/>
        </w:rPr>
        <w:t xml:space="preserve"> </w:t>
      </w:r>
      <w:r>
        <w:t>también</w:t>
      </w:r>
      <w:r>
        <w:rPr>
          <w:spacing w:val="-21"/>
        </w:rPr>
        <w:t xml:space="preserve"> </w:t>
      </w:r>
      <w:r>
        <w:t>el</w:t>
      </w:r>
      <w:r>
        <w:rPr>
          <w:spacing w:val="-21"/>
        </w:rPr>
        <w:t xml:space="preserve"> </w:t>
      </w:r>
      <w:r>
        <w:t>aumento de la capacidad institucional.</w:t>
      </w:r>
    </w:p>
    <w:p w14:paraId="66958038" w14:textId="77777777" w:rsidR="000E52B0" w:rsidRDefault="00F60D74">
      <w:pPr>
        <w:pStyle w:val="Textoindependiente"/>
        <w:spacing w:before="160"/>
        <w:ind w:right="718"/>
        <w:jc w:val="both"/>
      </w:pPr>
      <w:r>
        <w:t>Es importante destacar que, en el caso de las mujeres de los pueblos étnicos en Colombia, los rasgos fenotípicos han sido utilizados históricamente como marcadores sociales que generan diferencias para subordinar, excluir, oprimir y expulsar. Sin embargo, estas violencias racistas rara vez se reflejan en las estadísticas, debido a la normalización del racismo y a la tendencia a homogeneizar las violencias.</w:t>
      </w:r>
    </w:p>
    <w:p w14:paraId="1064E200" w14:textId="77777777" w:rsidR="000E52B0" w:rsidRDefault="00F60D74">
      <w:pPr>
        <w:pStyle w:val="Textoindependiente"/>
        <w:spacing w:before="161"/>
        <w:ind w:right="716"/>
        <w:jc w:val="both"/>
      </w:pPr>
      <w:r>
        <w:t>Esto se expresa de dos formas, o bien con barreras para acceder a las instituciones,</w:t>
      </w:r>
      <w:r>
        <w:rPr>
          <w:spacing w:val="-6"/>
        </w:rPr>
        <w:t xml:space="preserve"> </w:t>
      </w:r>
      <w:r>
        <w:t>como</w:t>
      </w:r>
      <w:r>
        <w:rPr>
          <w:spacing w:val="-2"/>
        </w:rPr>
        <w:t xml:space="preserve"> </w:t>
      </w:r>
      <w:r>
        <w:t>le</w:t>
      </w:r>
      <w:r>
        <w:rPr>
          <w:spacing w:val="-5"/>
        </w:rPr>
        <w:t xml:space="preserve"> </w:t>
      </w:r>
      <w:r>
        <w:t>ocurre</w:t>
      </w:r>
      <w:r>
        <w:rPr>
          <w:spacing w:val="-4"/>
        </w:rPr>
        <w:t xml:space="preserve"> </w:t>
      </w:r>
      <w:r>
        <w:t>al</w:t>
      </w:r>
      <w:r>
        <w:rPr>
          <w:spacing w:val="-7"/>
        </w:rPr>
        <w:t xml:space="preserve"> </w:t>
      </w:r>
      <w:r>
        <w:t>general</w:t>
      </w:r>
      <w:r>
        <w:rPr>
          <w:spacing w:val="-6"/>
        </w:rPr>
        <w:t xml:space="preserve"> </w:t>
      </w:r>
      <w:r>
        <w:t>de</w:t>
      </w:r>
      <w:r>
        <w:rPr>
          <w:spacing w:val="-4"/>
        </w:rPr>
        <w:t xml:space="preserve"> </w:t>
      </w:r>
      <w:r>
        <w:t>las</w:t>
      </w:r>
      <w:r>
        <w:rPr>
          <w:spacing w:val="-6"/>
        </w:rPr>
        <w:t xml:space="preserve"> </w:t>
      </w:r>
      <w:r>
        <w:t>mujeres,</w:t>
      </w:r>
      <w:r>
        <w:rPr>
          <w:spacing w:val="-6"/>
        </w:rPr>
        <w:t xml:space="preserve"> </w:t>
      </w:r>
      <w:r>
        <w:t>o</w:t>
      </w:r>
      <w:r>
        <w:rPr>
          <w:spacing w:val="-5"/>
        </w:rPr>
        <w:t xml:space="preserve"> </w:t>
      </w:r>
      <w:r>
        <w:t>bien,</w:t>
      </w:r>
      <w:r>
        <w:rPr>
          <w:spacing w:val="-6"/>
        </w:rPr>
        <w:t xml:space="preserve"> </w:t>
      </w:r>
      <w:r>
        <w:t>a</w:t>
      </w:r>
      <w:r>
        <w:rPr>
          <w:spacing w:val="-5"/>
        </w:rPr>
        <w:t xml:space="preserve"> </w:t>
      </w:r>
      <w:r>
        <w:t>través</w:t>
      </w:r>
      <w:r>
        <w:rPr>
          <w:spacing w:val="-6"/>
        </w:rPr>
        <w:t xml:space="preserve"> </w:t>
      </w:r>
      <w:r>
        <w:t>de la</w:t>
      </w:r>
      <w:r>
        <w:rPr>
          <w:spacing w:val="-10"/>
        </w:rPr>
        <w:t xml:space="preserve"> </w:t>
      </w:r>
      <w:r>
        <w:t>omisión</w:t>
      </w:r>
      <w:r>
        <w:rPr>
          <w:spacing w:val="-10"/>
        </w:rPr>
        <w:t xml:space="preserve"> </w:t>
      </w:r>
      <w:r>
        <w:t>de</w:t>
      </w:r>
      <w:r>
        <w:rPr>
          <w:spacing w:val="-9"/>
        </w:rPr>
        <w:t xml:space="preserve"> </w:t>
      </w:r>
      <w:r>
        <w:t>recopilar</w:t>
      </w:r>
      <w:r>
        <w:rPr>
          <w:spacing w:val="-9"/>
        </w:rPr>
        <w:t xml:space="preserve"> </w:t>
      </w:r>
      <w:r>
        <w:t>información</w:t>
      </w:r>
      <w:r>
        <w:rPr>
          <w:spacing w:val="-10"/>
        </w:rPr>
        <w:t xml:space="preserve"> </w:t>
      </w:r>
      <w:r>
        <w:t>relacionada</w:t>
      </w:r>
      <w:r>
        <w:rPr>
          <w:spacing w:val="-10"/>
        </w:rPr>
        <w:t xml:space="preserve"> </w:t>
      </w:r>
      <w:r>
        <w:t>con</w:t>
      </w:r>
      <w:r>
        <w:rPr>
          <w:spacing w:val="-8"/>
        </w:rPr>
        <w:t xml:space="preserve"> </w:t>
      </w:r>
      <w:r>
        <w:t>el</w:t>
      </w:r>
      <w:r>
        <w:rPr>
          <w:spacing w:val="-9"/>
        </w:rPr>
        <w:t xml:space="preserve"> </w:t>
      </w:r>
      <w:r>
        <w:t>autorreconocimiento étnico y racial. También les ocurre esta situación a las mujeres con orientaciones sexuales e identidades de género no hegemónicas y a las mujeres</w:t>
      </w:r>
      <w:r>
        <w:rPr>
          <w:spacing w:val="-12"/>
        </w:rPr>
        <w:t xml:space="preserve"> </w:t>
      </w:r>
      <w:r>
        <w:t>con</w:t>
      </w:r>
      <w:r>
        <w:rPr>
          <w:spacing w:val="-12"/>
        </w:rPr>
        <w:t xml:space="preserve"> </w:t>
      </w:r>
      <w:r>
        <w:t>discapacidad.</w:t>
      </w:r>
      <w:r>
        <w:rPr>
          <w:spacing w:val="-13"/>
        </w:rPr>
        <w:t xml:space="preserve"> </w:t>
      </w:r>
      <w:r>
        <w:t>Teniendo</w:t>
      </w:r>
      <w:r>
        <w:rPr>
          <w:spacing w:val="-12"/>
        </w:rPr>
        <w:t xml:space="preserve"> </w:t>
      </w:r>
      <w:r>
        <w:t>en</w:t>
      </w:r>
      <w:r>
        <w:rPr>
          <w:spacing w:val="-13"/>
        </w:rPr>
        <w:t xml:space="preserve"> </w:t>
      </w:r>
      <w:r>
        <w:t>consideración,</w:t>
      </w:r>
      <w:r>
        <w:rPr>
          <w:spacing w:val="-13"/>
        </w:rPr>
        <w:t xml:space="preserve"> </w:t>
      </w:r>
      <w:r>
        <w:t>por</w:t>
      </w:r>
      <w:r>
        <w:rPr>
          <w:spacing w:val="-11"/>
        </w:rPr>
        <w:t xml:space="preserve"> </w:t>
      </w:r>
      <w:r>
        <w:t>ejemplo,</w:t>
      </w:r>
      <w:r>
        <w:rPr>
          <w:spacing w:val="-13"/>
        </w:rPr>
        <w:t xml:space="preserve"> </w:t>
      </w:r>
      <w:r>
        <w:t>que</w:t>
      </w:r>
      <w:r>
        <w:rPr>
          <w:spacing w:val="-11"/>
        </w:rPr>
        <w:t xml:space="preserve"> </w:t>
      </w:r>
      <w:r>
        <w:t>en la Encuesta de Tolerancia Social e Institucional a las Violencias contra las Mujeres en municipios PDET, 43% de las mujeres en general reportaron haber sufrido algún tipo de violencia (física, psicológica, sexual o económica),</w:t>
      </w:r>
      <w:r>
        <w:rPr>
          <w:spacing w:val="-22"/>
        </w:rPr>
        <w:t xml:space="preserve"> </w:t>
      </w:r>
      <w:r>
        <w:t>esto</w:t>
      </w:r>
      <w:r>
        <w:rPr>
          <w:spacing w:val="-21"/>
        </w:rPr>
        <w:t xml:space="preserve"> </w:t>
      </w:r>
      <w:r>
        <w:t>fue</w:t>
      </w:r>
      <w:r>
        <w:rPr>
          <w:spacing w:val="-21"/>
        </w:rPr>
        <w:t xml:space="preserve"> </w:t>
      </w:r>
      <w:r>
        <w:t>más</w:t>
      </w:r>
      <w:r>
        <w:rPr>
          <w:spacing w:val="-21"/>
        </w:rPr>
        <w:t xml:space="preserve"> </w:t>
      </w:r>
      <w:r>
        <w:t>frecuente</w:t>
      </w:r>
      <w:r>
        <w:rPr>
          <w:spacing w:val="-21"/>
        </w:rPr>
        <w:t xml:space="preserve"> </w:t>
      </w:r>
      <w:r>
        <w:t>entre</w:t>
      </w:r>
      <w:r>
        <w:rPr>
          <w:spacing w:val="-21"/>
        </w:rPr>
        <w:t xml:space="preserve"> </w:t>
      </w:r>
      <w:r>
        <w:t>las</w:t>
      </w:r>
      <w:r>
        <w:rPr>
          <w:spacing w:val="-21"/>
        </w:rPr>
        <w:t xml:space="preserve"> </w:t>
      </w:r>
      <w:r>
        <w:t>mujeres</w:t>
      </w:r>
      <w:r>
        <w:rPr>
          <w:spacing w:val="-21"/>
        </w:rPr>
        <w:t xml:space="preserve"> </w:t>
      </w:r>
      <w:r>
        <w:t>que</w:t>
      </w:r>
      <w:r>
        <w:rPr>
          <w:spacing w:val="-21"/>
        </w:rPr>
        <w:t xml:space="preserve"> </w:t>
      </w:r>
      <w:r>
        <w:t>viven</w:t>
      </w:r>
      <w:r>
        <w:rPr>
          <w:spacing w:val="-21"/>
        </w:rPr>
        <w:t xml:space="preserve"> </w:t>
      </w:r>
      <w:r>
        <w:t>en</w:t>
      </w:r>
      <w:r>
        <w:rPr>
          <w:spacing w:val="-22"/>
        </w:rPr>
        <w:t xml:space="preserve"> </w:t>
      </w:r>
      <w:r>
        <w:t>ámbitos rurales</w:t>
      </w:r>
      <w:r>
        <w:rPr>
          <w:spacing w:val="-20"/>
        </w:rPr>
        <w:t xml:space="preserve"> </w:t>
      </w:r>
      <w:r>
        <w:t>(48%)</w:t>
      </w:r>
      <w:r>
        <w:rPr>
          <w:spacing w:val="-20"/>
        </w:rPr>
        <w:t xml:space="preserve"> </w:t>
      </w:r>
      <w:r>
        <w:t>y</w:t>
      </w:r>
      <w:r>
        <w:rPr>
          <w:spacing w:val="-20"/>
        </w:rPr>
        <w:t xml:space="preserve"> </w:t>
      </w:r>
      <w:r>
        <w:t>más</w:t>
      </w:r>
      <w:r>
        <w:rPr>
          <w:spacing w:val="-20"/>
        </w:rPr>
        <w:t xml:space="preserve"> </w:t>
      </w:r>
      <w:r>
        <w:t>frecuente</w:t>
      </w:r>
      <w:r>
        <w:rPr>
          <w:spacing w:val="-18"/>
        </w:rPr>
        <w:t xml:space="preserve"> </w:t>
      </w:r>
      <w:r>
        <w:t>entre</w:t>
      </w:r>
      <w:r>
        <w:rPr>
          <w:spacing w:val="-18"/>
        </w:rPr>
        <w:t xml:space="preserve"> </w:t>
      </w:r>
      <w:r>
        <w:t>las</w:t>
      </w:r>
      <w:r>
        <w:rPr>
          <w:spacing w:val="-15"/>
        </w:rPr>
        <w:t xml:space="preserve"> </w:t>
      </w:r>
      <w:r>
        <w:t>mujeres</w:t>
      </w:r>
      <w:r>
        <w:rPr>
          <w:spacing w:val="-20"/>
        </w:rPr>
        <w:t xml:space="preserve"> </w:t>
      </w:r>
      <w:r>
        <w:t xml:space="preserve">negras-afrodescendientes </w:t>
      </w:r>
      <w:r>
        <w:rPr>
          <w:spacing w:val="-2"/>
        </w:rPr>
        <w:t>(50%).</w:t>
      </w:r>
    </w:p>
    <w:p w14:paraId="093EE4EF" w14:textId="77777777" w:rsidR="000E52B0" w:rsidRDefault="00F60D74">
      <w:pPr>
        <w:pStyle w:val="Textoindependiente"/>
        <w:spacing w:before="160"/>
        <w:ind w:right="720"/>
        <w:jc w:val="both"/>
      </w:pPr>
      <w:r>
        <w:t xml:space="preserve">No obstante, el registro que tiene mayor alcance no da cuenta de esta afectación exacerbada en los cuerpos de las mujeres racializadas o con discapacidad. Solo en caso de las mujeres </w:t>
      </w:r>
      <w:proofErr w:type="spellStart"/>
      <w:r>
        <w:t>Rrom</w:t>
      </w:r>
      <w:proofErr w:type="spellEnd"/>
      <w:r>
        <w:t xml:space="preserve"> es visible esta desproporción,</w:t>
      </w:r>
      <w:r>
        <w:rPr>
          <w:spacing w:val="35"/>
        </w:rPr>
        <w:t xml:space="preserve"> </w:t>
      </w:r>
      <w:r>
        <w:t>en</w:t>
      </w:r>
      <w:r>
        <w:rPr>
          <w:spacing w:val="36"/>
        </w:rPr>
        <w:t xml:space="preserve"> </w:t>
      </w:r>
      <w:r>
        <w:t>parte,</w:t>
      </w:r>
      <w:r>
        <w:rPr>
          <w:spacing w:val="37"/>
        </w:rPr>
        <w:t xml:space="preserve"> </w:t>
      </w:r>
      <w:r>
        <w:t>por</w:t>
      </w:r>
      <w:r>
        <w:rPr>
          <w:spacing w:val="39"/>
        </w:rPr>
        <w:t xml:space="preserve"> </w:t>
      </w:r>
      <w:r>
        <w:t>el</w:t>
      </w:r>
      <w:r>
        <w:rPr>
          <w:spacing w:val="38"/>
        </w:rPr>
        <w:t xml:space="preserve"> </w:t>
      </w:r>
      <w:r>
        <w:t>tamaño</w:t>
      </w:r>
      <w:r>
        <w:rPr>
          <w:spacing w:val="38"/>
        </w:rPr>
        <w:t xml:space="preserve"> </w:t>
      </w:r>
      <w:r>
        <w:t>poblacional</w:t>
      </w:r>
      <w:r>
        <w:rPr>
          <w:spacing w:val="38"/>
        </w:rPr>
        <w:t xml:space="preserve"> </w:t>
      </w:r>
      <w:r>
        <w:t>del</w:t>
      </w:r>
      <w:r>
        <w:rPr>
          <w:spacing w:val="37"/>
        </w:rPr>
        <w:t xml:space="preserve"> </w:t>
      </w:r>
      <w:r>
        <w:t>Pueblo,</w:t>
      </w:r>
      <w:r>
        <w:rPr>
          <w:spacing w:val="38"/>
        </w:rPr>
        <w:t xml:space="preserve"> </w:t>
      </w:r>
      <w:r>
        <w:t>pues</w:t>
      </w:r>
      <w:r>
        <w:rPr>
          <w:spacing w:val="38"/>
        </w:rPr>
        <w:t xml:space="preserve"> </w:t>
      </w:r>
      <w:r>
        <w:rPr>
          <w:spacing w:val="-5"/>
        </w:rPr>
        <w:t>de</w:t>
      </w:r>
    </w:p>
    <w:p w14:paraId="4CE14A83" w14:textId="77777777" w:rsidR="000E52B0" w:rsidRDefault="00F60D74">
      <w:pPr>
        <w:pStyle w:val="Textoindependiente"/>
        <w:spacing w:before="3"/>
        <w:ind w:left="0"/>
        <w:rPr>
          <w:sz w:val="17"/>
        </w:rPr>
      </w:pPr>
      <w:r>
        <w:rPr>
          <w:noProof/>
          <w:sz w:val="17"/>
        </w:rPr>
        <mc:AlternateContent>
          <mc:Choice Requires="wps">
            <w:drawing>
              <wp:anchor distT="0" distB="0" distL="0" distR="0" simplePos="0" relativeHeight="487653888" behindDoc="1" locked="0" layoutInCell="1" allowOverlap="1" wp14:anchorId="2AEB69EB" wp14:editId="244B3803">
                <wp:simplePos x="0" y="0"/>
                <wp:positionH relativeFrom="page">
                  <wp:posOffset>914704</wp:posOffset>
                </wp:positionH>
                <wp:positionV relativeFrom="paragraph">
                  <wp:posOffset>148801</wp:posOffset>
                </wp:positionV>
                <wp:extent cx="1829435" cy="7620"/>
                <wp:effectExtent l="0" t="0" r="0" b="0"/>
                <wp:wrapTopAndBottom/>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685FEF" id="Graphic 539" o:spid="_x0000_s1026" style="position:absolute;margin-left:1in;margin-top:11.7pt;width:144.05pt;height:.6pt;z-index:-156625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" path="m1829054,l,,,7619r1829054,l1829054,xe" fillcolor="black" stroked="f">
                <v:path arrowok="t"/>
                <w10:wrap type="topAndBottom" anchorx="page"/>
              </v:shape>
            </w:pict>
          </mc:Fallback>
        </mc:AlternateContent>
      </w:r>
    </w:p>
    <w:p w14:paraId="79F46B70" w14:textId="77777777" w:rsidR="000E52B0" w:rsidRDefault="00F60D74">
      <w:pPr>
        <w:spacing w:before="96"/>
        <w:ind w:left="720" w:right="723"/>
        <w:rPr>
          <w:rFonts w:ascii="Arial MT"/>
          <w:sz w:val="18"/>
        </w:rPr>
      </w:pPr>
      <w:bookmarkStart w:id="73" w:name="_bookmark73"/>
      <w:bookmarkEnd w:id="73"/>
      <w:r>
        <w:rPr>
          <w:rFonts w:ascii="Arial MT"/>
          <w:position w:val="6"/>
          <w:sz w:val="12"/>
        </w:rPr>
        <w:t>62</w:t>
      </w:r>
      <w:r>
        <w:rPr>
          <w:rFonts w:ascii="Arial MT"/>
          <w:spacing w:val="2"/>
          <w:position w:val="6"/>
          <w:sz w:val="12"/>
        </w:rPr>
        <w:t xml:space="preserve"> </w:t>
      </w:r>
      <w:r>
        <w:rPr>
          <w:rFonts w:ascii="Arial MT"/>
          <w:sz w:val="18"/>
        </w:rPr>
        <w:t>USAID.</w:t>
      </w:r>
      <w:r>
        <w:rPr>
          <w:rFonts w:ascii="Arial MT"/>
          <w:spacing w:val="-11"/>
          <w:sz w:val="18"/>
        </w:rPr>
        <w:t xml:space="preserve"> </w:t>
      </w:r>
      <w:r>
        <w:rPr>
          <w:rFonts w:ascii="Arial MT"/>
          <w:sz w:val="18"/>
        </w:rPr>
        <w:t>Estudio</w:t>
      </w:r>
      <w:r>
        <w:rPr>
          <w:rFonts w:ascii="Arial MT"/>
          <w:spacing w:val="-13"/>
          <w:sz w:val="18"/>
        </w:rPr>
        <w:t xml:space="preserve"> </w:t>
      </w:r>
      <w:r>
        <w:rPr>
          <w:rFonts w:ascii="Arial MT"/>
          <w:sz w:val="18"/>
        </w:rPr>
        <w:t>de</w:t>
      </w:r>
      <w:r>
        <w:rPr>
          <w:rFonts w:ascii="Arial MT"/>
          <w:spacing w:val="-10"/>
          <w:sz w:val="18"/>
        </w:rPr>
        <w:t xml:space="preserve"> </w:t>
      </w:r>
      <w:r>
        <w:rPr>
          <w:rFonts w:ascii="Arial MT"/>
          <w:sz w:val="18"/>
        </w:rPr>
        <w:t>tolerancia</w:t>
      </w:r>
      <w:r>
        <w:rPr>
          <w:rFonts w:ascii="Arial MT"/>
          <w:spacing w:val="-11"/>
          <w:sz w:val="18"/>
        </w:rPr>
        <w:t xml:space="preserve"> </w:t>
      </w:r>
      <w:r>
        <w:rPr>
          <w:rFonts w:ascii="Arial MT"/>
          <w:sz w:val="18"/>
        </w:rPr>
        <w:t>social</w:t>
      </w:r>
      <w:r>
        <w:rPr>
          <w:rFonts w:ascii="Arial MT"/>
          <w:spacing w:val="-11"/>
          <w:sz w:val="18"/>
        </w:rPr>
        <w:t xml:space="preserve"> </w:t>
      </w:r>
      <w:r>
        <w:rPr>
          <w:rFonts w:ascii="Arial MT"/>
          <w:sz w:val="18"/>
        </w:rPr>
        <w:t>e</w:t>
      </w:r>
      <w:r>
        <w:rPr>
          <w:rFonts w:ascii="Arial MT"/>
          <w:spacing w:val="-13"/>
          <w:sz w:val="18"/>
        </w:rPr>
        <w:t xml:space="preserve"> </w:t>
      </w:r>
      <w:r>
        <w:rPr>
          <w:rFonts w:ascii="Arial MT"/>
          <w:sz w:val="18"/>
        </w:rPr>
        <w:t>institucional</w:t>
      </w:r>
      <w:r>
        <w:rPr>
          <w:rFonts w:ascii="Arial MT"/>
          <w:spacing w:val="-10"/>
          <w:sz w:val="18"/>
        </w:rPr>
        <w:t xml:space="preserve"> </w:t>
      </w:r>
      <w:r>
        <w:rPr>
          <w:rFonts w:ascii="Arial MT"/>
          <w:sz w:val="18"/>
        </w:rPr>
        <w:t>a</w:t>
      </w:r>
      <w:r>
        <w:rPr>
          <w:rFonts w:ascii="Arial MT"/>
          <w:spacing w:val="-13"/>
          <w:sz w:val="18"/>
        </w:rPr>
        <w:t xml:space="preserve"> </w:t>
      </w:r>
      <w:r>
        <w:rPr>
          <w:rFonts w:ascii="Arial MT"/>
          <w:sz w:val="18"/>
        </w:rPr>
        <w:t>las</w:t>
      </w:r>
      <w:r>
        <w:rPr>
          <w:rFonts w:ascii="Arial MT"/>
          <w:spacing w:val="-10"/>
          <w:sz w:val="18"/>
        </w:rPr>
        <w:t xml:space="preserve"> </w:t>
      </w:r>
      <w:r>
        <w:rPr>
          <w:rFonts w:ascii="Arial MT"/>
          <w:sz w:val="18"/>
        </w:rPr>
        <w:t>Violencias</w:t>
      </w:r>
      <w:r>
        <w:rPr>
          <w:rFonts w:ascii="Arial MT"/>
          <w:spacing w:val="-11"/>
          <w:sz w:val="18"/>
        </w:rPr>
        <w:t xml:space="preserve"> </w:t>
      </w:r>
      <w:r>
        <w:rPr>
          <w:rFonts w:ascii="Arial MT"/>
          <w:sz w:val="18"/>
        </w:rPr>
        <w:t>contra</w:t>
      </w:r>
      <w:r>
        <w:rPr>
          <w:rFonts w:ascii="Arial MT"/>
          <w:spacing w:val="-11"/>
          <w:sz w:val="18"/>
        </w:rPr>
        <w:t xml:space="preserve"> </w:t>
      </w:r>
      <w:r>
        <w:rPr>
          <w:rFonts w:ascii="Arial MT"/>
          <w:sz w:val="18"/>
        </w:rPr>
        <w:t>las</w:t>
      </w:r>
      <w:r>
        <w:rPr>
          <w:rFonts w:ascii="Arial MT"/>
          <w:spacing w:val="-13"/>
          <w:sz w:val="18"/>
        </w:rPr>
        <w:t xml:space="preserve"> </w:t>
      </w:r>
      <w:r>
        <w:rPr>
          <w:rFonts w:ascii="Arial MT"/>
          <w:sz w:val="18"/>
        </w:rPr>
        <w:t>mujeres.</w:t>
      </w:r>
      <w:r>
        <w:rPr>
          <w:rFonts w:ascii="Arial MT"/>
          <w:spacing w:val="-10"/>
          <w:sz w:val="18"/>
        </w:rPr>
        <w:t xml:space="preserve"> </w:t>
      </w:r>
      <w:r>
        <w:rPr>
          <w:rFonts w:ascii="Arial MT"/>
          <w:sz w:val="18"/>
        </w:rPr>
        <w:t>Actividad</w:t>
      </w:r>
      <w:r>
        <w:rPr>
          <w:rFonts w:ascii="Arial MT"/>
          <w:spacing w:val="-11"/>
          <w:sz w:val="18"/>
        </w:rPr>
        <w:t xml:space="preserve"> </w:t>
      </w:r>
      <w:r>
        <w:rPr>
          <w:rFonts w:ascii="Arial MT"/>
          <w:sz w:val="18"/>
        </w:rPr>
        <w:t>MEL.</w:t>
      </w:r>
      <w:r>
        <w:rPr>
          <w:rFonts w:ascii="Arial MT"/>
          <w:spacing w:val="-11"/>
          <w:sz w:val="18"/>
        </w:rPr>
        <w:t xml:space="preserve"> </w:t>
      </w:r>
      <w:proofErr w:type="spellStart"/>
      <w:r>
        <w:rPr>
          <w:rFonts w:ascii="Arial MT"/>
          <w:sz w:val="18"/>
        </w:rPr>
        <w:t>Panagora</w:t>
      </w:r>
      <w:proofErr w:type="spellEnd"/>
      <w:r>
        <w:rPr>
          <w:rFonts w:ascii="Arial MT"/>
          <w:sz w:val="18"/>
        </w:rPr>
        <w:t xml:space="preserve">. </w:t>
      </w:r>
      <w:r>
        <w:rPr>
          <w:rFonts w:ascii="Arial MT"/>
          <w:spacing w:val="-2"/>
          <w:sz w:val="18"/>
        </w:rPr>
        <w:t>2021.</w:t>
      </w:r>
    </w:p>
    <w:p w14:paraId="30CA9E73" w14:textId="77777777" w:rsidR="000E52B0" w:rsidRDefault="00F60D74">
      <w:pPr>
        <w:ind w:left="720" w:right="723"/>
        <w:rPr>
          <w:rFonts w:ascii="Arial MT"/>
          <w:sz w:val="20"/>
        </w:rPr>
      </w:pPr>
      <w:bookmarkStart w:id="74" w:name="_bookmark74"/>
      <w:bookmarkEnd w:id="74"/>
      <w:r>
        <w:rPr>
          <w:rFonts w:ascii="Arial MT"/>
          <w:position w:val="6"/>
          <w:sz w:val="12"/>
        </w:rPr>
        <w:t>63</w:t>
      </w:r>
      <w:r>
        <w:rPr>
          <w:rFonts w:ascii="Arial MT"/>
          <w:spacing w:val="2"/>
          <w:position w:val="6"/>
          <w:sz w:val="12"/>
        </w:rPr>
        <w:t xml:space="preserve"> </w:t>
      </w:r>
      <w:r>
        <w:rPr>
          <w:rFonts w:ascii="Arial MT"/>
          <w:sz w:val="18"/>
        </w:rPr>
        <w:t>USAID.</w:t>
      </w:r>
      <w:r>
        <w:rPr>
          <w:rFonts w:ascii="Arial MT"/>
          <w:spacing w:val="-11"/>
          <w:sz w:val="18"/>
        </w:rPr>
        <w:t xml:space="preserve"> </w:t>
      </w:r>
      <w:r>
        <w:rPr>
          <w:rFonts w:ascii="Arial MT"/>
          <w:sz w:val="18"/>
        </w:rPr>
        <w:t>Estudio</w:t>
      </w:r>
      <w:r>
        <w:rPr>
          <w:rFonts w:ascii="Arial MT"/>
          <w:spacing w:val="-13"/>
          <w:sz w:val="18"/>
        </w:rPr>
        <w:t xml:space="preserve"> </w:t>
      </w:r>
      <w:r>
        <w:rPr>
          <w:rFonts w:ascii="Arial MT"/>
          <w:sz w:val="18"/>
        </w:rPr>
        <w:t>de</w:t>
      </w:r>
      <w:r>
        <w:rPr>
          <w:rFonts w:ascii="Arial MT"/>
          <w:spacing w:val="-10"/>
          <w:sz w:val="18"/>
        </w:rPr>
        <w:t xml:space="preserve"> </w:t>
      </w:r>
      <w:r>
        <w:rPr>
          <w:rFonts w:ascii="Arial MT"/>
          <w:sz w:val="18"/>
        </w:rPr>
        <w:t>tolerancia</w:t>
      </w:r>
      <w:r>
        <w:rPr>
          <w:rFonts w:ascii="Arial MT"/>
          <w:spacing w:val="-11"/>
          <w:sz w:val="18"/>
        </w:rPr>
        <w:t xml:space="preserve"> </w:t>
      </w:r>
      <w:r>
        <w:rPr>
          <w:rFonts w:ascii="Arial MT"/>
          <w:sz w:val="18"/>
        </w:rPr>
        <w:t>social</w:t>
      </w:r>
      <w:r>
        <w:rPr>
          <w:rFonts w:ascii="Arial MT"/>
          <w:spacing w:val="-11"/>
          <w:sz w:val="18"/>
        </w:rPr>
        <w:t xml:space="preserve"> </w:t>
      </w:r>
      <w:r>
        <w:rPr>
          <w:rFonts w:ascii="Arial MT"/>
          <w:sz w:val="18"/>
        </w:rPr>
        <w:t>e</w:t>
      </w:r>
      <w:r>
        <w:rPr>
          <w:rFonts w:ascii="Arial MT"/>
          <w:spacing w:val="-13"/>
          <w:sz w:val="18"/>
        </w:rPr>
        <w:t xml:space="preserve"> </w:t>
      </w:r>
      <w:r>
        <w:rPr>
          <w:rFonts w:ascii="Arial MT"/>
          <w:sz w:val="18"/>
        </w:rPr>
        <w:t>institucional</w:t>
      </w:r>
      <w:r>
        <w:rPr>
          <w:rFonts w:ascii="Arial MT"/>
          <w:spacing w:val="-10"/>
          <w:sz w:val="18"/>
        </w:rPr>
        <w:t xml:space="preserve"> </w:t>
      </w:r>
      <w:r>
        <w:rPr>
          <w:rFonts w:ascii="Arial MT"/>
          <w:sz w:val="18"/>
        </w:rPr>
        <w:t>a</w:t>
      </w:r>
      <w:r>
        <w:rPr>
          <w:rFonts w:ascii="Arial MT"/>
          <w:spacing w:val="-13"/>
          <w:sz w:val="18"/>
        </w:rPr>
        <w:t xml:space="preserve"> </w:t>
      </w:r>
      <w:r>
        <w:rPr>
          <w:rFonts w:ascii="Arial MT"/>
          <w:sz w:val="18"/>
        </w:rPr>
        <w:t>las</w:t>
      </w:r>
      <w:r>
        <w:rPr>
          <w:rFonts w:ascii="Arial MT"/>
          <w:spacing w:val="-10"/>
          <w:sz w:val="18"/>
        </w:rPr>
        <w:t xml:space="preserve"> </w:t>
      </w:r>
      <w:r>
        <w:rPr>
          <w:rFonts w:ascii="Arial MT"/>
          <w:sz w:val="18"/>
        </w:rPr>
        <w:t>Violencias</w:t>
      </w:r>
      <w:r>
        <w:rPr>
          <w:rFonts w:ascii="Arial MT"/>
          <w:spacing w:val="-11"/>
          <w:sz w:val="18"/>
        </w:rPr>
        <w:t xml:space="preserve"> </w:t>
      </w:r>
      <w:r>
        <w:rPr>
          <w:rFonts w:ascii="Arial MT"/>
          <w:sz w:val="18"/>
        </w:rPr>
        <w:t>contra</w:t>
      </w:r>
      <w:r>
        <w:rPr>
          <w:rFonts w:ascii="Arial MT"/>
          <w:spacing w:val="-11"/>
          <w:sz w:val="18"/>
        </w:rPr>
        <w:t xml:space="preserve"> </w:t>
      </w:r>
      <w:r>
        <w:rPr>
          <w:rFonts w:ascii="Arial MT"/>
          <w:sz w:val="18"/>
        </w:rPr>
        <w:t>las</w:t>
      </w:r>
      <w:r>
        <w:rPr>
          <w:rFonts w:ascii="Arial MT"/>
          <w:spacing w:val="-13"/>
          <w:sz w:val="18"/>
        </w:rPr>
        <w:t xml:space="preserve"> </w:t>
      </w:r>
      <w:r>
        <w:rPr>
          <w:rFonts w:ascii="Arial MT"/>
          <w:sz w:val="18"/>
        </w:rPr>
        <w:t>mujeres.</w:t>
      </w:r>
      <w:r>
        <w:rPr>
          <w:rFonts w:ascii="Arial MT"/>
          <w:spacing w:val="-10"/>
          <w:sz w:val="18"/>
        </w:rPr>
        <w:t xml:space="preserve"> </w:t>
      </w:r>
      <w:r>
        <w:rPr>
          <w:rFonts w:ascii="Arial MT"/>
          <w:sz w:val="18"/>
        </w:rPr>
        <w:t>Actividad</w:t>
      </w:r>
      <w:r>
        <w:rPr>
          <w:rFonts w:ascii="Arial MT"/>
          <w:spacing w:val="-11"/>
          <w:sz w:val="18"/>
        </w:rPr>
        <w:t xml:space="preserve"> </w:t>
      </w:r>
      <w:r>
        <w:rPr>
          <w:rFonts w:ascii="Arial MT"/>
          <w:sz w:val="18"/>
        </w:rPr>
        <w:t>MEL.</w:t>
      </w:r>
      <w:r>
        <w:rPr>
          <w:rFonts w:ascii="Arial MT"/>
          <w:spacing w:val="-11"/>
          <w:sz w:val="18"/>
        </w:rPr>
        <w:t xml:space="preserve"> </w:t>
      </w:r>
      <w:proofErr w:type="spellStart"/>
      <w:r>
        <w:rPr>
          <w:rFonts w:ascii="Arial MT"/>
          <w:sz w:val="18"/>
        </w:rPr>
        <w:t>Panagora</w:t>
      </w:r>
      <w:proofErr w:type="spellEnd"/>
      <w:r>
        <w:rPr>
          <w:rFonts w:ascii="Arial MT"/>
          <w:sz w:val="18"/>
        </w:rPr>
        <w:t xml:space="preserve">. </w:t>
      </w:r>
      <w:r>
        <w:rPr>
          <w:rFonts w:ascii="Arial MT"/>
          <w:spacing w:val="-2"/>
          <w:sz w:val="18"/>
        </w:rPr>
        <w:t>2021</w:t>
      </w:r>
      <w:r>
        <w:rPr>
          <w:rFonts w:ascii="Arial MT"/>
          <w:spacing w:val="-2"/>
          <w:sz w:val="20"/>
        </w:rPr>
        <w:t>.</w:t>
      </w:r>
    </w:p>
    <w:p w14:paraId="682D77DE" w14:textId="77777777" w:rsidR="000E52B0" w:rsidRDefault="000E52B0">
      <w:pPr>
        <w:rPr>
          <w:rFonts w:ascii="Arial MT"/>
          <w:sz w:val="20"/>
        </w:rPr>
        <w:sectPr w:rsidR="000E52B0">
          <w:pgSz w:w="11910" w:h="16840"/>
          <w:pgMar w:top="1340" w:right="720" w:bottom="1180" w:left="720" w:header="0" w:footer="995" w:gutter="0"/>
          <w:cols w:space="720"/>
        </w:sectPr>
      </w:pPr>
    </w:p>
    <w:p w14:paraId="335C748A" w14:textId="77777777" w:rsidR="000E52B0" w:rsidRDefault="00F60D74">
      <w:pPr>
        <w:pStyle w:val="Textoindependiente"/>
        <w:spacing w:before="83"/>
      </w:pPr>
      <w:r>
        <w:lastRenderedPageBreak/>
        <w:t xml:space="preserve">cada 100 mil mujeres </w:t>
      </w:r>
      <w:proofErr w:type="spellStart"/>
      <w:r>
        <w:t>Rrom</w:t>
      </w:r>
      <w:proofErr w:type="spellEnd"/>
      <w:r>
        <w:t>, 14 mil reportó violencias durante 2023 en el sistema de salud.</w:t>
      </w:r>
    </w:p>
    <w:p w14:paraId="7CEF9364" w14:textId="77777777" w:rsidR="000E52B0" w:rsidRDefault="000E52B0">
      <w:pPr>
        <w:pStyle w:val="Textoindependiente"/>
        <w:spacing w:before="53"/>
        <w:ind w:left="0"/>
        <w:rPr>
          <w:sz w:val="21"/>
        </w:rPr>
      </w:pPr>
    </w:p>
    <w:p w14:paraId="0DF66B8D" w14:textId="77777777" w:rsidR="000E52B0" w:rsidRDefault="00F60D74">
      <w:pPr>
        <w:ind w:right="7"/>
        <w:jc w:val="center"/>
        <w:rPr>
          <w:rFonts w:ascii="Trebuchet MS"/>
          <w:sz w:val="21"/>
        </w:rPr>
      </w:pPr>
      <w:r>
        <w:rPr>
          <w:rFonts w:ascii="Trebuchet MS"/>
          <w:color w:val="585858"/>
          <w:sz w:val="21"/>
        </w:rPr>
        <w:t>Tasa</w:t>
      </w:r>
      <w:r>
        <w:rPr>
          <w:rFonts w:ascii="Trebuchet MS"/>
          <w:color w:val="585858"/>
          <w:spacing w:val="-21"/>
          <w:sz w:val="21"/>
        </w:rPr>
        <w:t xml:space="preserve"> </w:t>
      </w:r>
      <w:r>
        <w:rPr>
          <w:rFonts w:ascii="Trebuchet MS"/>
          <w:color w:val="585858"/>
          <w:sz w:val="21"/>
        </w:rPr>
        <w:t>de</w:t>
      </w:r>
      <w:r>
        <w:rPr>
          <w:rFonts w:ascii="Trebuchet MS"/>
          <w:color w:val="585858"/>
          <w:spacing w:val="-18"/>
          <w:sz w:val="21"/>
        </w:rPr>
        <w:t xml:space="preserve"> </w:t>
      </w:r>
      <w:r>
        <w:rPr>
          <w:rFonts w:ascii="Trebuchet MS"/>
          <w:color w:val="585858"/>
          <w:sz w:val="21"/>
        </w:rPr>
        <w:t>casos</w:t>
      </w:r>
      <w:r>
        <w:rPr>
          <w:rFonts w:ascii="Trebuchet MS"/>
          <w:color w:val="585858"/>
          <w:spacing w:val="-21"/>
          <w:sz w:val="21"/>
        </w:rPr>
        <w:t xml:space="preserve"> </w:t>
      </w:r>
      <w:r>
        <w:rPr>
          <w:rFonts w:ascii="Trebuchet MS"/>
          <w:color w:val="585858"/>
          <w:sz w:val="21"/>
        </w:rPr>
        <w:t>de</w:t>
      </w:r>
      <w:r>
        <w:rPr>
          <w:rFonts w:ascii="Trebuchet MS"/>
          <w:color w:val="585858"/>
          <w:spacing w:val="-19"/>
          <w:sz w:val="21"/>
        </w:rPr>
        <w:t xml:space="preserve"> </w:t>
      </w:r>
      <w:r>
        <w:rPr>
          <w:rFonts w:ascii="Trebuchet MS"/>
          <w:color w:val="585858"/>
          <w:sz w:val="21"/>
        </w:rPr>
        <w:t>VBG</w:t>
      </w:r>
      <w:r>
        <w:rPr>
          <w:rFonts w:ascii="Trebuchet MS"/>
          <w:color w:val="585858"/>
          <w:spacing w:val="-20"/>
          <w:sz w:val="21"/>
        </w:rPr>
        <w:t xml:space="preserve"> </w:t>
      </w:r>
      <w:r>
        <w:rPr>
          <w:rFonts w:ascii="Trebuchet MS"/>
          <w:color w:val="585858"/>
          <w:sz w:val="21"/>
        </w:rPr>
        <w:t>por</w:t>
      </w:r>
      <w:r>
        <w:rPr>
          <w:rFonts w:ascii="Trebuchet MS"/>
          <w:color w:val="585858"/>
          <w:spacing w:val="-18"/>
          <w:sz w:val="21"/>
        </w:rPr>
        <w:t xml:space="preserve"> </w:t>
      </w:r>
      <w:r>
        <w:rPr>
          <w:rFonts w:ascii="Trebuchet MS"/>
          <w:color w:val="585858"/>
          <w:sz w:val="21"/>
        </w:rPr>
        <w:t>cada</w:t>
      </w:r>
      <w:r>
        <w:rPr>
          <w:rFonts w:ascii="Trebuchet MS"/>
          <w:color w:val="585858"/>
          <w:spacing w:val="-18"/>
          <w:sz w:val="21"/>
        </w:rPr>
        <w:t xml:space="preserve"> </w:t>
      </w:r>
      <w:r>
        <w:rPr>
          <w:rFonts w:ascii="Trebuchet MS"/>
          <w:color w:val="585858"/>
          <w:sz w:val="21"/>
        </w:rPr>
        <w:t>100</w:t>
      </w:r>
      <w:r>
        <w:rPr>
          <w:rFonts w:ascii="Trebuchet MS"/>
          <w:color w:val="585858"/>
          <w:spacing w:val="-19"/>
          <w:sz w:val="21"/>
        </w:rPr>
        <w:t xml:space="preserve"> </w:t>
      </w:r>
      <w:r>
        <w:rPr>
          <w:rFonts w:ascii="Trebuchet MS"/>
          <w:color w:val="585858"/>
          <w:sz w:val="21"/>
        </w:rPr>
        <w:t>mil</w:t>
      </w:r>
      <w:r>
        <w:rPr>
          <w:rFonts w:ascii="Trebuchet MS"/>
          <w:color w:val="585858"/>
          <w:spacing w:val="-18"/>
          <w:sz w:val="21"/>
        </w:rPr>
        <w:t xml:space="preserve"> </w:t>
      </w:r>
      <w:r>
        <w:rPr>
          <w:rFonts w:ascii="Trebuchet MS"/>
          <w:color w:val="585858"/>
          <w:spacing w:val="-2"/>
          <w:sz w:val="21"/>
        </w:rPr>
        <w:t>mujeres</w:t>
      </w:r>
    </w:p>
    <w:p w14:paraId="4188BC64" w14:textId="77777777" w:rsidR="000E52B0" w:rsidRDefault="00F60D74">
      <w:pPr>
        <w:spacing w:before="170"/>
        <w:ind w:right="2122"/>
        <w:jc w:val="right"/>
        <w:rPr>
          <w:rFonts w:ascii="Trebuchet MS"/>
          <w:sz w:val="18"/>
        </w:rPr>
      </w:pPr>
      <w:r>
        <w:rPr>
          <w:rFonts w:ascii="Trebuchet MS"/>
          <w:color w:val="404040"/>
          <w:spacing w:val="-5"/>
          <w:sz w:val="18"/>
        </w:rPr>
        <w:t>406</w:t>
      </w:r>
    </w:p>
    <w:p w14:paraId="35B01CB3" w14:textId="77777777" w:rsidR="000E52B0" w:rsidRDefault="00F60D74">
      <w:pPr>
        <w:pStyle w:val="Textoindependiente"/>
        <w:spacing w:before="8"/>
        <w:ind w:left="0"/>
        <w:rPr>
          <w:rFonts w:ascii="Trebuchet MS"/>
          <w:sz w:val="6"/>
        </w:rPr>
      </w:pPr>
      <w:r>
        <w:rPr>
          <w:rFonts w:ascii="Trebuchet MS"/>
          <w:noProof/>
          <w:sz w:val="6"/>
        </w:rPr>
        <mc:AlternateContent>
          <mc:Choice Requires="wpg">
            <w:drawing>
              <wp:anchor distT="0" distB="0" distL="0" distR="0" simplePos="0" relativeHeight="487654400" behindDoc="1" locked="0" layoutInCell="1" allowOverlap="1" wp14:anchorId="74B0842F" wp14:editId="32CBE8A6">
                <wp:simplePos x="0" y="0"/>
                <wp:positionH relativeFrom="page">
                  <wp:posOffset>1265555</wp:posOffset>
                </wp:positionH>
                <wp:positionV relativeFrom="paragraph">
                  <wp:posOffset>64629</wp:posOffset>
                </wp:positionV>
                <wp:extent cx="5024120" cy="1268095"/>
                <wp:effectExtent l="0" t="0" r="0" b="0"/>
                <wp:wrapTopAndBottom/>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4120" cy="1268095"/>
                          <a:chOff x="0" y="0"/>
                          <a:chExt cx="5024120" cy="1268095"/>
                        </a:xfrm>
                      </wpg:grpSpPr>
                      <wps:wsp>
                        <wps:cNvPr id="541" name="Graphic 541"/>
                        <wps:cNvSpPr/>
                        <wps:spPr>
                          <a:xfrm>
                            <a:off x="235585" y="0"/>
                            <a:ext cx="4554220" cy="1263015"/>
                          </a:xfrm>
                          <a:custGeom>
                            <a:avLst/>
                            <a:gdLst/>
                            <a:ahLst/>
                            <a:cxnLst/>
                            <a:rect l="l" t="t" r="r" b="b"/>
                            <a:pathLst>
                              <a:path w="4554220" h="1263015">
                                <a:moveTo>
                                  <a:pt x="784860" y="685800"/>
                                </a:moveTo>
                                <a:lnTo>
                                  <a:pt x="0" y="685800"/>
                                </a:lnTo>
                                <a:lnTo>
                                  <a:pt x="0" y="1263015"/>
                                </a:lnTo>
                                <a:lnTo>
                                  <a:pt x="784860" y="1263015"/>
                                </a:lnTo>
                                <a:lnTo>
                                  <a:pt x="784860" y="685800"/>
                                </a:lnTo>
                                <a:close/>
                              </a:path>
                              <a:path w="4554220" h="1263015">
                                <a:moveTo>
                                  <a:pt x="2040636" y="804672"/>
                                </a:moveTo>
                                <a:lnTo>
                                  <a:pt x="1255776" y="804672"/>
                                </a:lnTo>
                                <a:lnTo>
                                  <a:pt x="1255776" y="1263015"/>
                                </a:lnTo>
                                <a:lnTo>
                                  <a:pt x="2040636" y="1263015"/>
                                </a:lnTo>
                                <a:lnTo>
                                  <a:pt x="2040636" y="804672"/>
                                </a:lnTo>
                                <a:close/>
                              </a:path>
                              <a:path w="4554220" h="1263015">
                                <a:moveTo>
                                  <a:pt x="3296412" y="466344"/>
                                </a:moveTo>
                                <a:lnTo>
                                  <a:pt x="2511552" y="466344"/>
                                </a:lnTo>
                                <a:lnTo>
                                  <a:pt x="2511552" y="1263015"/>
                                </a:lnTo>
                                <a:lnTo>
                                  <a:pt x="3296412" y="1263015"/>
                                </a:lnTo>
                                <a:lnTo>
                                  <a:pt x="3296412" y="466344"/>
                                </a:lnTo>
                                <a:close/>
                              </a:path>
                              <a:path w="4554220" h="1263015">
                                <a:moveTo>
                                  <a:pt x="4553712" y="0"/>
                                </a:moveTo>
                                <a:lnTo>
                                  <a:pt x="3767328" y="0"/>
                                </a:lnTo>
                                <a:lnTo>
                                  <a:pt x="3767328" y="1263015"/>
                                </a:lnTo>
                                <a:lnTo>
                                  <a:pt x="4553712" y="1263015"/>
                                </a:lnTo>
                                <a:lnTo>
                                  <a:pt x="4553712" y="0"/>
                                </a:lnTo>
                                <a:close/>
                              </a:path>
                            </a:pathLst>
                          </a:custGeom>
                          <a:solidFill>
                            <a:srgbClr val="D44673"/>
                          </a:solidFill>
                        </wps:spPr>
                        <wps:bodyPr wrap="square" lIns="0" tIns="0" rIns="0" bIns="0" rtlCol="0">
                          <a:prstTxWarp prst="textNoShape">
                            <a:avLst/>
                          </a:prstTxWarp>
                          <a:noAutofit/>
                        </wps:bodyPr>
                      </wps:wsp>
                      <wps:wsp>
                        <wps:cNvPr id="542" name="Graphic 542"/>
                        <wps:cNvSpPr/>
                        <wps:spPr>
                          <a:xfrm>
                            <a:off x="0" y="1263014"/>
                            <a:ext cx="5024120" cy="1270"/>
                          </a:xfrm>
                          <a:custGeom>
                            <a:avLst/>
                            <a:gdLst/>
                            <a:ahLst/>
                            <a:cxnLst/>
                            <a:rect l="l" t="t" r="r" b="b"/>
                            <a:pathLst>
                              <a:path w="5024120">
                                <a:moveTo>
                                  <a:pt x="0" y="0"/>
                                </a:moveTo>
                                <a:lnTo>
                                  <a:pt x="5024120" y="0"/>
                                </a:lnTo>
                              </a:path>
                            </a:pathLst>
                          </a:custGeom>
                          <a:ln w="9525">
                            <a:solidFill>
                              <a:srgbClr val="D9D9D9"/>
                            </a:solidFill>
                            <a:prstDash val="solid"/>
                          </a:ln>
                        </wps:spPr>
                        <wps:bodyPr wrap="square" lIns="0" tIns="0" rIns="0" bIns="0" rtlCol="0">
                          <a:prstTxWarp prst="textNoShape">
                            <a:avLst/>
                          </a:prstTxWarp>
                          <a:noAutofit/>
                        </wps:bodyPr>
                      </wps:wsp>
                      <wps:wsp>
                        <wps:cNvPr id="543" name="Textbox 543"/>
                        <wps:cNvSpPr txBox="1"/>
                        <wps:spPr>
                          <a:xfrm>
                            <a:off x="3049523" y="269739"/>
                            <a:ext cx="195580" cy="139700"/>
                          </a:xfrm>
                          <a:prstGeom prst="rect">
                            <a:avLst/>
                          </a:prstGeom>
                        </wps:spPr>
                        <wps:txbx>
                          <w:txbxContent>
                            <w:p w14:paraId="60999D32" w14:textId="77777777" w:rsidR="000E52B0" w:rsidRDefault="00F60D74">
                              <w:pPr>
                                <w:rPr>
                                  <w:rFonts w:ascii="Trebuchet MS"/>
                                  <w:sz w:val="18"/>
                                </w:rPr>
                              </w:pPr>
                              <w:r>
                                <w:rPr>
                                  <w:rFonts w:ascii="Trebuchet MS"/>
                                  <w:color w:val="404040"/>
                                  <w:spacing w:val="-5"/>
                                  <w:sz w:val="18"/>
                                </w:rPr>
                                <w:t>256</w:t>
                              </w:r>
                            </w:p>
                          </w:txbxContent>
                        </wps:txbx>
                        <wps:bodyPr wrap="square" lIns="0" tIns="0" rIns="0" bIns="0" rtlCol="0">
                          <a:noAutofit/>
                        </wps:bodyPr>
                      </wps:wsp>
                      <wps:wsp>
                        <wps:cNvPr id="544" name="Textbox 544"/>
                        <wps:cNvSpPr txBox="1"/>
                        <wps:spPr>
                          <a:xfrm>
                            <a:off x="537083" y="488306"/>
                            <a:ext cx="195580" cy="139700"/>
                          </a:xfrm>
                          <a:prstGeom prst="rect">
                            <a:avLst/>
                          </a:prstGeom>
                        </wps:spPr>
                        <wps:txbx>
                          <w:txbxContent>
                            <w:p w14:paraId="5CFD3E67" w14:textId="77777777" w:rsidR="000E52B0" w:rsidRDefault="00F60D74">
                              <w:pPr>
                                <w:rPr>
                                  <w:rFonts w:ascii="Trebuchet MS"/>
                                  <w:sz w:val="18"/>
                                </w:rPr>
                              </w:pPr>
                              <w:r>
                                <w:rPr>
                                  <w:rFonts w:ascii="Trebuchet MS"/>
                                  <w:color w:val="404040"/>
                                  <w:spacing w:val="-5"/>
                                  <w:sz w:val="18"/>
                                </w:rPr>
                                <w:t>186</w:t>
                              </w:r>
                            </w:p>
                          </w:txbxContent>
                        </wps:txbx>
                        <wps:bodyPr wrap="square" lIns="0" tIns="0" rIns="0" bIns="0" rtlCol="0">
                          <a:noAutofit/>
                        </wps:bodyPr>
                      </wps:wsp>
                      <wps:wsp>
                        <wps:cNvPr id="545" name="Textbox 545"/>
                        <wps:cNvSpPr txBox="1"/>
                        <wps:spPr>
                          <a:xfrm>
                            <a:off x="1793113" y="608321"/>
                            <a:ext cx="196850" cy="139700"/>
                          </a:xfrm>
                          <a:prstGeom prst="rect">
                            <a:avLst/>
                          </a:prstGeom>
                        </wps:spPr>
                        <wps:txbx>
                          <w:txbxContent>
                            <w:p w14:paraId="63E5CA7D" w14:textId="77777777" w:rsidR="000E52B0" w:rsidRDefault="00F60D74">
                              <w:pPr>
                                <w:rPr>
                                  <w:rFonts w:ascii="Trebuchet MS"/>
                                  <w:sz w:val="18"/>
                                </w:rPr>
                              </w:pPr>
                              <w:r>
                                <w:rPr>
                                  <w:rFonts w:ascii="Trebuchet MS"/>
                                  <w:color w:val="404040"/>
                                  <w:spacing w:val="-5"/>
                                  <w:sz w:val="18"/>
                                </w:rPr>
                                <w:t>147</w:t>
                              </w:r>
                            </w:p>
                          </w:txbxContent>
                        </wps:txbx>
                        <wps:bodyPr wrap="square" lIns="0" tIns="0" rIns="0" bIns="0" rtlCol="0">
                          <a:noAutofit/>
                        </wps:bodyPr>
                      </wps:wsp>
                    </wpg:wgp>
                  </a:graphicData>
                </a:graphic>
              </wp:anchor>
            </w:drawing>
          </mc:Choice>
          <mc:Fallback>
            <w:pict>
              <v:group w14:anchorId="74B0842F" id="Group 540" o:spid="_x0000_s1333" style="position:absolute;margin-left:99.65pt;margin-top:5.1pt;width:395.6pt;height:99.85pt;z-index:-15662080;mso-wrap-distance-left:0;mso-wrap-distance-right:0;mso-position-horizontal-relative:page;mso-position-vertical-relative:text" coordsize="50241,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">
                <v:shape id="Graphic 541" o:spid="_x0000_s1334" style="position:absolute;left:2355;width:45543;height:12630;visibility:visible;mso-wrap-style:square;v-text-anchor:top" coordsize="4554220,126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" path="m784860,685800l,685800r,577215l784860,1263015r,-577215xem2040636,804672r-784860,l1255776,1263015r784860,l2040636,804672xem3296412,466344r-784860,l2511552,1263015r784860,l3296412,466344xem4553712,l3767328,r,1263015l4553712,1263015,4553712,xe" fillcolor="#d44673" stroked="f">
                  <v:path arrowok="t"/>
                </v:shape>
                <v:shape id="Graphic 542" o:spid="_x0000_s1335" style="position:absolute;top:12630;width:50241;height:12;visibility:visible;mso-wrap-style:square;v-text-anchor:top" coordsize="5024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" path="m,l5024120,e" filled="f" strokecolor="#d9d9d9">
                  <v:path arrowok="t"/>
                </v:shape>
                <v:shape id="Textbox 543" o:spid="_x0000_s1336" type="#_x0000_t202" style="position:absolute;left:30495;top:2697;width:195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60999D32" w14:textId="77777777" w:rsidR="000E52B0" w:rsidRDefault="00F60D74">
                        <w:pPr>
                          <w:rPr>
                            <w:rFonts w:ascii="Trebuchet MS"/>
                            <w:sz w:val="18"/>
                          </w:rPr>
                        </w:pPr>
                        <w:r>
                          <w:rPr>
                            <w:rFonts w:ascii="Trebuchet MS"/>
                            <w:color w:val="404040"/>
                            <w:spacing w:val="-5"/>
                            <w:sz w:val="18"/>
                          </w:rPr>
                          <w:t>256</w:t>
                        </w:r>
                      </w:p>
                    </w:txbxContent>
                  </v:textbox>
                </v:shape>
                <v:shape id="Textbox 544" o:spid="_x0000_s1337" type="#_x0000_t202" style="position:absolute;left:5370;top:4883;width:195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5CFD3E67" w14:textId="77777777" w:rsidR="000E52B0" w:rsidRDefault="00F60D74">
                        <w:pPr>
                          <w:rPr>
                            <w:rFonts w:ascii="Trebuchet MS"/>
                            <w:sz w:val="18"/>
                          </w:rPr>
                        </w:pPr>
                        <w:r>
                          <w:rPr>
                            <w:rFonts w:ascii="Trebuchet MS"/>
                            <w:color w:val="404040"/>
                            <w:spacing w:val="-5"/>
                            <w:sz w:val="18"/>
                          </w:rPr>
                          <w:t>186</w:t>
                        </w:r>
                      </w:p>
                    </w:txbxContent>
                  </v:textbox>
                </v:shape>
                <v:shape id="Textbox 545" o:spid="_x0000_s1338" type="#_x0000_t202" style="position:absolute;left:17931;top:6083;width:196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63E5CA7D" w14:textId="77777777" w:rsidR="000E52B0" w:rsidRDefault="00F60D74">
                        <w:pPr>
                          <w:rPr>
                            <w:rFonts w:ascii="Trebuchet MS"/>
                            <w:sz w:val="18"/>
                          </w:rPr>
                        </w:pPr>
                        <w:r>
                          <w:rPr>
                            <w:rFonts w:ascii="Trebuchet MS"/>
                            <w:color w:val="404040"/>
                            <w:spacing w:val="-5"/>
                            <w:sz w:val="18"/>
                          </w:rPr>
                          <w:t>147</w:t>
                        </w:r>
                      </w:p>
                    </w:txbxContent>
                  </v:textbox>
                </v:shape>
                <w10:wrap type="topAndBottom" anchorx="page"/>
              </v:group>
            </w:pict>
          </mc:Fallback>
        </mc:AlternateContent>
      </w:r>
    </w:p>
    <w:p w14:paraId="4049C6BC" w14:textId="77777777" w:rsidR="000E52B0" w:rsidRDefault="000E52B0">
      <w:pPr>
        <w:pStyle w:val="Textoindependiente"/>
        <w:ind w:left="0"/>
        <w:rPr>
          <w:rFonts w:ascii="Trebuchet MS"/>
          <w:sz w:val="6"/>
        </w:rPr>
      </w:pPr>
    </w:p>
    <w:p w14:paraId="6959ED9D" w14:textId="77777777" w:rsidR="000E52B0" w:rsidRDefault="000E52B0">
      <w:pPr>
        <w:pStyle w:val="Textoindependiente"/>
        <w:rPr>
          <w:rFonts w:ascii="Trebuchet MS"/>
          <w:sz w:val="6"/>
        </w:rPr>
        <w:sectPr w:rsidR="000E52B0">
          <w:pgSz w:w="11910" w:h="16840"/>
          <w:pgMar w:top="1340" w:right="720" w:bottom="1180" w:left="720" w:header="0" w:footer="995" w:gutter="0"/>
          <w:cols w:space="720"/>
        </w:sectPr>
      </w:pPr>
    </w:p>
    <w:p w14:paraId="39FD9FA4" w14:textId="77777777" w:rsidR="000E52B0" w:rsidRDefault="00F60D74">
      <w:pPr>
        <w:tabs>
          <w:tab w:val="left" w:pos="3622"/>
        </w:tabs>
        <w:spacing w:before="35"/>
        <w:ind w:left="1557"/>
        <w:rPr>
          <w:rFonts w:ascii="Trebuchet MS" w:hAnsi="Trebuchet MS"/>
          <w:sz w:val="18"/>
        </w:rPr>
      </w:pPr>
      <w:r>
        <w:rPr>
          <w:rFonts w:ascii="Trebuchet MS" w:hAnsi="Trebuchet MS"/>
          <w:color w:val="585858"/>
          <w:spacing w:val="-2"/>
          <w:sz w:val="18"/>
        </w:rPr>
        <w:t>Mujeres</w:t>
      </w:r>
      <w:r>
        <w:rPr>
          <w:rFonts w:ascii="Trebuchet MS" w:hAnsi="Trebuchet MS"/>
          <w:color w:val="585858"/>
          <w:spacing w:val="-17"/>
          <w:sz w:val="18"/>
        </w:rPr>
        <w:t xml:space="preserve"> </w:t>
      </w:r>
      <w:r>
        <w:rPr>
          <w:rFonts w:ascii="Trebuchet MS" w:hAnsi="Trebuchet MS"/>
          <w:color w:val="585858"/>
          <w:spacing w:val="-2"/>
          <w:sz w:val="18"/>
        </w:rPr>
        <w:t>indígenas</w:t>
      </w:r>
      <w:r>
        <w:rPr>
          <w:rFonts w:ascii="Trebuchet MS" w:hAnsi="Trebuchet MS"/>
          <w:color w:val="585858"/>
          <w:sz w:val="18"/>
        </w:rPr>
        <w:tab/>
      </w:r>
      <w:r>
        <w:rPr>
          <w:rFonts w:ascii="Trebuchet MS" w:hAnsi="Trebuchet MS"/>
          <w:color w:val="585858"/>
          <w:spacing w:val="-2"/>
          <w:sz w:val="18"/>
        </w:rPr>
        <w:t>Mujeres</w:t>
      </w:r>
      <w:r>
        <w:rPr>
          <w:rFonts w:ascii="Trebuchet MS" w:hAnsi="Trebuchet MS"/>
          <w:color w:val="585858"/>
          <w:spacing w:val="-17"/>
          <w:sz w:val="18"/>
        </w:rPr>
        <w:t xml:space="preserve"> </w:t>
      </w:r>
      <w:r>
        <w:rPr>
          <w:rFonts w:ascii="Trebuchet MS" w:hAnsi="Trebuchet MS"/>
          <w:color w:val="585858"/>
          <w:spacing w:val="-2"/>
          <w:sz w:val="18"/>
        </w:rPr>
        <w:t>negras,</w:t>
      </w:r>
    </w:p>
    <w:p w14:paraId="51E216DE" w14:textId="77777777" w:rsidR="000E52B0" w:rsidRDefault="00F60D74">
      <w:pPr>
        <w:spacing w:before="11" w:line="252" w:lineRule="auto"/>
        <w:ind w:left="3374" w:right="-5" w:firstLine="179"/>
        <w:rPr>
          <w:rFonts w:ascii="Trebuchet MS"/>
          <w:sz w:val="18"/>
        </w:rPr>
      </w:pPr>
      <w:r>
        <w:rPr>
          <w:rFonts w:ascii="Trebuchet MS"/>
          <w:color w:val="585858"/>
          <w:spacing w:val="-2"/>
          <w:sz w:val="18"/>
        </w:rPr>
        <w:t>afrocolombianas, raizales</w:t>
      </w:r>
      <w:r>
        <w:rPr>
          <w:rFonts w:ascii="Trebuchet MS"/>
          <w:color w:val="585858"/>
          <w:spacing w:val="-19"/>
          <w:sz w:val="18"/>
        </w:rPr>
        <w:t xml:space="preserve"> </w:t>
      </w:r>
      <w:r>
        <w:rPr>
          <w:rFonts w:ascii="Trebuchet MS"/>
          <w:color w:val="585858"/>
          <w:spacing w:val="-2"/>
          <w:sz w:val="18"/>
        </w:rPr>
        <w:t>y</w:t>
      </w:r>
      <w:r>
        <w:rPr>
          <w:rFonts w:ascii="Trebuchet MS"/>
          <w:color w:val="585858"/>
          <w:spacing w:val="-19"/>
          <w:sz w:val="18"/>
        </w:rPr>
        <w:t xml:space="preserve"> </w:t>
      </w:r>
      <w:r>
        <w:rPr>
          <w:rFonts w:ascii="Trebuchet MS"/>
          <w:color w:val="585858"/>
          <w:spacing w:val="-2"/>
          <w:sz w:val="18"/>
        </w:rPr>
        <w:t>palenqueras</w:t>
      </w:r>
    </w:p>
    <w:p w14:paraId="699416A4" w14:textId="77777777" w:rsidR="000E52B0" w:rsidRDefault="00F60D74">
      <w:pPr>
        <w:spacing w:before="35" w:line="252" w:lineRule="auto"/>
        <w:ind w:left="545" w:firstLine="50"/>
        <w:rPr>
          <w:rFonts w:ascii="Trebuchet MS"/>
          <w:sz w:val="18"/>
        </w:rPr>
      </w:pPr>
      <w:r>
        <w:br w:type="column"/>
      </w:r>
      <w:r>
        <w:rPr>
          <w:rFonts w:ascii="Trebuchet MS"/>
          <w:color w:val="585858"/>
          <w:sz w:val="18"/>
        </w:rPr>
        <w:t>Mujeres</w:t>
      </w:r>
      <w:r>
        <w:rPr>
          <w:rFonts w:ascii="Trebuchet MS"/>
          <w:color w:val="585858"/>
          <w:spacing w:val="-17"/>
          <w:sz w:val="18"/>
        </w:rPr>
        <w:t xml:space="preserve"> </w:t>
      </w:r>
      <w:r>
        <w:rPr>
          <w:rFonts w:ascii="Trebuchet MS"/>
          <w:color w:val="585858"/>
          <w:sz w:val="18"/>
        </w:rPr>
        <w:t xml:space="preserve">con </w:t>
      </w:r>
      <w:r>
        <w:rPr>
          <w:rFonts w:ascii="Trebuchet MS"/>
          <w:color w:val="585858"/>
          <w:spacing w:val="-2"/>
          <w:sz w:val="18"/>
        </w:rPr>
        <w:t>discapacidad</w:t>
      </w:r>
    </w:p>
    <w:p w14:paraId="7135832B" w14:textId="77777777" w:rsidR="000E52B0" w:rsidRDefault="00F60D74">
      <w:pPr>
        <w:spacing w:before="35"/>
        <w:ind w:left="677"/>
        <w:rPr>
          <w:rFonts w:ascii="Trebuchet MS"/>
          <w:sz w:val="18"/>
        </w:rPr>
      </w:pPr>
      <w:r>
        <w:br w:type="column"/>
      </w:r>
      <w:r>
        <w:rPr>
          <w:rFonts w:ascii="Trebuchet MS"/>
          <w:color w:val="585858"/>
          <w:spacing w:val="-4"/>
          <w:sz w:val="18"/>
        </w:rPr>
        <w:t>Mujeres</w:t>
      </w:r>
      <w:r>
        <w:rPr>
          <w:rFonts w:ascii="Trebuchet MS"/>
          <w:color w:val="585858"/>
          <w:spacing w:val="-9"/>
          <w:sz w:val="18"/>
        </w:rPr>
        <w:t xml:space="preserve"> </w:t>
      </w:r>
      <w:r>
        <w:rPr>
          <w:rFonts w:ascii="Trebuchet MS"/>
          <w:color w:val="585858"/>
          <w:spacing w:val="-4"/>
          <w:sz w:val="18"/>
        </w:rPr>
        <w:t>en</w:t>
      </w:r>
      <w:r>
        <w:rPr>
          <w:rFonts w:ascii="Trebuchet MS"/>
          <w:color w:val="585858"/>
          <w:spacing w:val="-9"/>
          <w:sz w:val="18"/>
        </w:rPr>
        <w:t xml:space="preserve"> </w:t>
      </w:r>
      <w:r>
        <w:rPr>
          <w:rFonts w:ascii="Trebuchet MS"/>
          <w:color w:val="585858"/>
          <w:spacing w:val="-4"/>
          <w:sz w:val="18"/>
        </w:rPr>
        <w:t>general</w:t>
      </w:r>
    </w:p>
    <w:p w14:paraId="2CF5F08C" w14:textId="77777777" w:rsidR="000E52B0" w:rsidRDefault="000E52B0">
      <w:pPr>
        <w:rPr>
          <w:rFonts w:ascii="Trebuchet MS"/>
          <w:sz w:val="18"/>
        </w:rPr>
        <w:sectPr w:rsidR="000E52B0">
          <w:type w:val="continuous"/>
          <w:pgSz w:w="11910" w:h="16840"/>
          <w:pgMar w:top="1340" w:right="720" w:bottom="1280" w:left="720" w:header="0" w:footer="995" w:gutter="0"/>
          <w:cols w:num="3" w:space="720" w:equalWidth="0">
            <w:col w:w="5107" w:space="40"/>
            <w:col w:w="1599" w:space="39"/>
            <w:col w:w="3685"/>
          </w:cols>
        </w:sectPr>
      </w:pPr>
    </w:p>
    <w:p w14:paraId="721A024C" w14:textId="77777777" w:rsidR="000E52B0" w:rsidRDefault="000E52B0">
      <w:pPr>
        <w:pStyle w:val="Textoindependiente"/>
        <w:spacing w:before="81"/>
        <w:ind w:left="0"/>
        <w:rPr>
          <w:rFonts w:ascii="Trebuchet MS"/>
          <w:sz w:val="18"/>
        </w:rPr>
      </w:pPr>
    </w:p>
    <w:p w14:paraId="6AD71CD6" w14:textId="77777777" w:rsidR="000E52B0" w:rsidRDefault="00F60D74">
      <w:pPr>
        <w:ind w:left="4971" w:right="723" w:hanging="3964"/>
        <w:rPr>
          <w:i/>
          <w:sz w:val="18"/>
        </w:rPr>
      </w:pPr>
      <w:r>
        <w:rPr>
          <w:i/>
          <w:color w:val="454551"/>
          <w:sz w:val="18"/>
        </w:rPr>
        <w:t>Fuente</w:t>
      </w:r>
      <w:r>
        <w:rPr>
          <w:i/>
          <w:color w:val="454551"/>
          <w:spacing w:val="-2"/>
          <w:sz w:val="18"/>
        </w:rPr>
        <w:t xml:space="preserve"> </w:t>
      </w:r>
      <w:r>
        <w:rPr>
          <w:i/>
          <w:color w:val="454551"/>
          <w:sz w:val="18"/>
        </w:rPr>
        <w:t>33.</w:t>
      </w:r>
      <w:r>
        <w:rPr>
          <w:i/>
          <w:color w:val="454551"/>
          <w:spacing w:val="-4"/>
          <w:sz w:val="18"/>
        </w:rPr>
        <w:t xml:space="preserve"> </w:t>
      </w:r>
      <w:r>
        <w:rPr>
          <w:i/>
          <w:color w:val="454551"/>
          <w:sz w:val="18"/>
        </w:rPr>
        <w:t>Elaboración</w:t>
      </w:r>
      <w:r>
        <w:rPr>
          <w:i/>
          <w:color w:val="454551"/>
          <w:spacing w:val="-2"/>
          <w:sz w:val="18"/>
        </w:rPr>
        <w:t xml:space="preserve"> </w:t>
      </w:r>
      <w:r>
        <w:rPr>
          <w:i/>
          <w:color w:val="454551"/>
          <w:sz w:val="18"/>
        </w:rPr>
        <w:t>OSCE,</w:t>
      </w:r>
      <w:r>
        <w:rPr>
          <w:i/>
          <w:color w:val="454551"/>
          <w:spacing w:val="-2"/>
          <w:sz w:val="18"/>
        </w:rPr>
        <w:t xml:space="preserve"> </w:t>
      </w:r>
      <w:r>
        <w:rPr>
          <w:i/>
          <w:color w:val="454551"/>
          <w:sz w:val="18"/>
        </w:rPr>
        <w:t>con</w:t>
      </w:r>
      <w:r>
        <w:rPr>
          <w:i/>
          <w:color w:val="454551"/>
          <w:spacing w:val="-2"/>
          <w:sz w:val="18"/>
        </w:rPr>
        <w:t xml:space="preserve"> </w:t>
      </w:r>
      <w:r>
        <w:rPr>
          <w:i/>
          <w:color w:val="454551"/>
          <w:sz w:val="18"/>
        </w:rPr>
        <w:t>base</w:t>
      </w:r>
      <w:r>
        <w:rPr>
          <w:i/>
          <w:color w:val="454551"/>
          <w:spacing w:val="-3"/>
          <w:sz w:val="18"/>
        </w:rPr>
        <w:t xml:space="preserve"> </w:t>
      </w:r>
      <w:r>
        <w:rPr>
          <w:i/>
          <w:color w:val="454551"/>
          <w:sz w:val="18"/>
        </w:rPr>
        <w:t>en</w:t>
      </w:r>
      <w:r>
        <w:rPr>
          <w:i/>
          <w:color w:val="454551"/>
          <w:spacing w:val="-2"/>
          <w:sz w:val="18"/>
        </w:rPr>
        <w:t xml:space="preserve"> </w:t>
      </w:r>
      <w:r>
        <w:rPr>
          <w:i/>
          <w:color w:val="454551"/>
          <w:sz w:val="18"/>
        </w:rPr>
        <w:t>SIVIGILA,</w:t>
      </w:r>
      <w:r>
        <w:rPr>
          <w:i/>
          <w:color w:val="454551"/>
          <w:spacing w:val="-4"/>
          <w:sz w:val="18"/>
        </w:rPr>
        <w:t xml:space="preserve"> </w:t>
      </w:r>
      <w:r>
        <w:rPr>
          <w:i/>
          <w:color w:val="454551"/>
          <w:sz w:val="18"/>
        </w:rPr>
        <w:t>consultado</w:t>
      </w:r>
      <w:r>
        <w:rPr>
          <w:i/>
          <w:color w:val="454551"/>
          <w:spacing w:val="-2"/>
          <w:sz w:val="18"/>
        </w:rPr>
        <w:t xml:space="preserve"> </w:t>
      </w:r>
      <w:r>
        <w:rPr>
          <w:i/>
          <w:color w:val="454551"/>
          <w:sz w:val="18"/>
        </w:rPr>
        <w:t>en</w:t>
      </w:r>
      <w:r>
        <w:rPr>
          <w:i/>
          <w:color w:val="454551"/>
          <w:spacing w:val="-2"/>
          <w:sz w:val="18"/>
        </w:rPr>
        <w:t xml:space="preserve"> </w:t>
      </w:r>
      <w:r>
        <w:rPr>
          <w:i/>
          <w:color w:val="454551"/>
          <w:sz w:val="18"/>
        </w:rPr>
        <w:t>SISPRO</w:t>
      </w:r>
      <w:r>
        <w:rPr>
          <w:i/>
          <w:color w:val="454551"/>
          <w:spacing w:val="-4"/>
          <w:sz w:val="18"/>
        </w:rPr>
        <w:t xml:space="preserve"> </w:t>
      </w:r>
      <w:r>
        <w:rPr>
          <w:i/>
          <w:color w:val="454551"/>
          <w:sz w:val="18"/>
        </w:rPr>
        <w:t>el</w:t>
      </w:r>
      <w:r>
        <w:rPr>
          <w:i/>
          <w:color w:val="454551"/>
          <w:spacing w:val="-2"/>
          <w:sz w:val="18"/>
        </w:rPr>
        <w:t xml:space="preserve"> </w:t>
      </w:r>
      <w:r>
        <w:rPr>
          <w:i/>
          <w:color w:val="454551"/>
          <w:sz w:val="18"/>
        </w:rPr>
        <w:t>12</w:t>
      </w:r>
      <w:r>
        <w:rPr>
          <w:i/>
          <w:color w:val="454551"/>
          <w:spacing w:val="-3"/>
          <w:sz w:val="18"/>
        </w:rPr>
        <w:t xml:space="preserve"> </w:t>
      </w:r>
      <w:r>
        <w:rPr>
          <w:i/>
          <w:color w:val="454551"/>
          <w:sz w:val="18"/>
        </w:rPr>
        <w:t>de</w:t>
      </w:r>
      <w:r>
        <w:rPr>
          <w:i/>
          <w:color w:val="454551"/>
          <w:spacing w:val="-3"/>
          <w:sz w:val="18"/>
        </w:rPr>
        <w:t xml:space="preserve"> </w:t>
      </w:r>
      <w:r>
        <w:rPr>
          <w:i/>
          <w:color w:val="454551"/>
          <w:sz w:val="18"/>
        </w:rPr>
        <w:t>abril</w:t>
      </w:r>
      <w:r>
        <w:rPr>
          <w:i/>
          <w:color w:val="454551"/>
          <w:spacing w:val="-2"/>
          <w:sz w:val="18"/>
        </w:rPr>
        <w:t xml:space="preserve"> </w:t>
      </w:r>
      <w:r>
        <w:rPr>
          <w:i/>
          <w:color w:val="454551"/>
          <w:sz w:val="18"/>
        </w:rPr>
        <w:t xml:space="preserve">de </w:t>
      </w:r>
      <w:r>
        <w:rPr>
          <w:i/>
          <w:color w:val="454551"/>
          <w:spacing w:val="-2"/>
          <w:sz w:val="18"/>
        </w:rPr>
        <w:t>2024.</w:t>
      </w:r>
    </w:p>
    <w:p w14:paraId="597A2810" w14:textId="77777777" w:rsidR="000E52B0" w:rsidRDefault="00F60D74">
      <w:pPr>
        <w:pStyle w:val="Textoindependiente"/>
        <w:spacing w:before="201"/>
        <w:ind w:right="717"/>
        <w:jc w:val="both"/>
      </w:pPr>
      <w:r>
        <w:t>Por</w:t>
      </w:r>
      <w:r>
        <w:rPr>
          <w:spacing w:val="-19"/>
        </w:rPr>
        <w:t xml:space="preserve"> </w:t>
      </w:r>
      <w:r>
        <w:t>otra</w:t>
      </w:r>
      <w:r>
        <w:rPr>
          <w:spacing w:val="-19"/>
        </w:rPr>
        <w:t xml:space="preserve"> </w:t>
      </w:r>
      <w:r>
        <w:t>parte,</w:t>
      </w:r>
      <w:r>
        <w:rPr>
          <w:spacing w:val="-18"/>
        </w:rPr>
        <w:t xml:space="preserve"> </w:t>
      </w:r>
      <w:r>
        <w:t>los</w:t>
      </w:r>
      <w:r>
        <w:rPr>
          <w:spacing w:val="-20"/>
        </w:rPr>
        <w:t xml:space="preserve"> </w:t>
      </w:r>
      <w:r>
        <w:t>casos</w:t>
      </w:r>
      <w:r>
        <w:rPr>
          <w:spacing w:val="-20"/>
        </w:rPr>
        <w:t xml:space="preserve"> </w:t>
      </w:r>
      <w:r>
        <w:t>de</w:t>
      </w:r>
      <w:r>
        <w:rPr>
          <w:spacing w:val="-19"/>
        </w:rPr>
        <w:t xml:space="preserve"> </w:t>
      </w:r>
      <w:r>
        <w:t>violencias</w:t>
      </w:r>
      <w:r>
        <w:rPr>
          <w:spacing w:val="-18"/>
        </w:rPr>
        <w:t xml:space="preserve"> </w:t>
      </w:r>
      <w:r>
        <w:t>que</w:t>
      </w:r>
      <w:r>
        <w:rPr>
          <w:spacing w:val="-19"/>
        </w:rPr>
        <w:t xml:space="preserve"> </w:t>
      </w:r>
      <w:r>
        <w:t>reciben</w:t>
      </w:r>
      <w:r>
        <w:rPr>
          <w:spacing w:val="-20"/>
        </w:rPr>
        <w:t xml:space="preserve"> </w:t>
      </w:r>
      <w:r>
        <w:t>respuesta</w:t>
      </w:r>
      <w:r>
        <w:rPr>
          <w:spacing w:val="-20"/>
        </w:rPr>
        <w:t xml:space="preserve"> </w:t>
      </w:r>
      <w:r>
        <w:t>inmediata,</w:t>
      </w:r>
      <w:r>
        <w:rPr>
          <w:spacing w:val="-21"/>
        </w:rPr>
        <w:t xml:space="preserve"> </w:t>
      </w:r>
      <w:r>
        <w:t>con mayor frecuencia, los casos atendidos por la policía, en este caso la tasa de casos registrados de violencias intrafamiliares contra mujeres en la última década ha aumentado de 85 casos por cada 100 mil mujeres en 2010</w:t>
      </w:r>
      <w:r>
        <w:rPr>
          <w:spacing w:val="-13"/>
        </w:rPr>
        <w:t xml:space="preserve"> </w:t>
      </w:r>
      <w:r>
        <w:t>a</w:t>
      </w:r>
      <w:r>
        <w:rPr>
          <w:spacing w:val="-14"/>
        </w:rPr>
        <w:t xml:space="preserve"> </w:t>
      </w:r>
      <w:r>
        <w:t>238</w:t>
      </w:r>
      <w:r>
        <w:rPr>
          <w:spacing w:val="-13"/>
        </w:rPr>
        <w:t xml:space="preserve"> </w:t>
      </w:r>
      <w:r>
        <w:t>casos</w:t>
      </w:r>
      <w:r>
        <w:rPr>
          <w:spacing w:val="-14"/>
        </w:rPr>
        <w:t xml:space="preserve"> </w:t>
      </w:r>
      <w:r>
        <w:t>por</w:t>
      </w:r>
      <w:r>
        <w:rPr>
          <w:spacing w:val="-13"/>
        </w:rPr>
        <w:t xml:space="preserve"> </w:t>
      </w:r>
      <w:r>
        <w:t>cada</w:t>
      </w:r>
      <w:r>
        <w:rPr>
          <w:spacing w:val="-14"/>
        </w:rPr>
        <w:t xml:space="preserve"> </w:t>
      </w:r>
      <w:r>
        <w:t>100</w:t>
      </w:r>
      <w:r>
        <w:rPr>
          <w:spacing w:val="-13"/>
        </w:rPr>
        <w:t xml:space="preserve"> </w:t>
      </w:r>
      <w:r>
        <w:t>mil</w:t>
      </w:r>
      <w:r>
        <w:rPr>
          <w:spacing w:val="-15"/>
        </w:rPr>
        <w:t xml:space="preserve"> </w:t>
      </w:r>
      <w:r>
        <w:t>mujeres</w:t>
      </w:r>
      <w:r>
        <w:rPr>
          <w:spacing w:val="-14"/>
        </w:rPr>
        <w:t xml:space="preserve"> </w:t>
      </w:r>
      <w:r>
        <w:t>en</w:t>
      </w:r>
      <w:r>
        <w:rPr>
          <w:spacing w:val="-15"/>
        </w:rPr>
        <w:t xml:space="preserve"> </w:t>
      </w:r>
      <w:r>
        <w:t>2023</w:t>
      </w:r>
      <w:r>
        <w:rPr>
          <w:spacing w:val="-13"/>
        </w:rPr>
        <w:t xml:space="preserve"> </w:t>
      </w:r>
      <w:r>
        <w:t>hasta</w:t>
      </w:r>
      <w:r>
        <w:rPr>
          <w:spacing w:val="-12"/>
        </w:rPr>
        <w:t xml:space="preserve"> </w:t>
      </w:r>
      <w:r>
        <w:t>el</w:t>
      </w:r>
      <w:r>
        <w:rPr>
          <w:spacing w:val="-15"/>
        </w:rPr>
        <w:t xml:space="preserve"> </w:t>
      </w:r>
      <w:r>
        <w:t>31</w:t>
      </w:r>
      <w:r>
        <w:rPr>
          <w:spacing w:val="-13"/>
        </w:rPr>
        <w:t xml:space="preserve"> </w:t>
      </w:r>
      <w:r>
        <w:t>de</w:t>
      </w:r>
      <w:r>
        <w:rPr>
          <w:spacing w:val="-13"/>
        </w:rPr>
        <w:t xml:space="preserve"> </w:t>
      </w:r>
      <w:r>
        <w:t>octubre (SIEDCO, Policía Nacional). Estas violencias son además escenarios de riesgos</w:t>
      </w:r>
      <w:r>
        <w:rPr>
          <w:spacing w:val="-22"/>
        </w:rPr>
        <w:t xml:space="preserve"> </w:t>
      </w:r>
      <w:r>
        <w:t>para</w:t>
      </w:r>
      <w:r>
        <w:rPr>
          <w:spacing w:val="-21"/>
        </w:rPr>
        <w:t xml:space="preserve"> </w:t>
      </w:r>
      <w:r>
        <w:t>otras</w:t>
      </w:r>
      <w:r>
        <w:rPr>
          <w:spacing w:val="-21"/>
        </w:rPr>
        <w:t xml:space="preserve"> </w:t>
      </w:r>
      <w:r>
        <w:t>formas</w:t>
      </w:r>
      <w:r>
        <w:rPr>
          <w:spacing w:val="-21"/>
        </w:rPr>
        <w:t xml:space="preserve"> </w:t>
      </w:r>
      <w:r>
        <w:t>de</w:t>
      </w:r>
      <w:r>
        <w:rPr>
          <w:spacing w:val="-21"/>
        </w:rPr>
        <w:t xml:space="preserve"> </w:t>
      </w:r>
      <w:r>
        <w:t>violencias</w:t>
      </w:r>
      <w:r>
        <w:rPr>
          <w:spacing w:val="-21"/>
        </w:rPr>
        <w:t xml:space="preserve"> </w:t>
      </w:r>
      <w:r>
        <w:t>basadas</w:t>
      </w:r>
      <w:r>
        <w:rPr>
          <w:spacing w:val="-21"/>
        </w:rPr>
        <w:t xml:space="preserve"> </w:t>
      </w:r>
      <w:r>
        <w:t>en</w:t>
      </w:r>
      <w:r>
        <w:rPr>
          <w:spacing w:val="-21"/>
        </w:rPr>
        <w:t xml:space="preserve"> </w:t>
      </w:r>
      <w:r>
        <w:t>género,</w:t>
      </w:r>
      <w:r>
        <w:rPr>
          <w:spacing w:val="-21"/>
        </w:rPr>
        <w:t xml:space="preserve"> </w:t>
      </w:r>
      <w:r>
        <w:t>y</w:t>
      </w:r>
      <w:r>
        <w:rPr>
          <w:spacing w:val="-21"/>
        </w:rPr>
        <w:t xml:space="preserve"> </w:t>
      </w:r>
      <w:r>
        <w:t>especialmente de riesgo para situaciones de feminicidio.</w:t>
      </w:r>
    </w:p>
    <w:p w14:paraId="3E5FE46D" w14:textId="77777777" w:rsidR="000E52B0" w:rsidRDefault="00F60D74">
      <w:pPr>
        <w:pStyle w:val="Textoindependiente"/>
        <w:spacing w:before="160"/>
        <w:ind w:right="719"/>
        <w:jc w:val="both"/>
      </w:pPr>
      <w:r>
        <w:t xml:space="preserve">En materia de acceso a justicia, hay dos registros fundamentalmente, por un lado, los registros del Instituto Nacional de Medicina Legal, </w:t>
      </w:r>
      <w:proofErr w:type="gramStart"/>
      <w:r>
        <w:t>y</w:t>
      </w:r>
      <w:proofErr w:type="gramEnd"/>
      <w:r>
        <w:t xml:space="preserve"> por otra parte, el registro del Sistema Penal Oral Acusatorio (SPOA) de la </w:t>
      </w:r>
      <w:proofErr w:type="gramStart"/>
      <w:r>
        <w:t>Fiscalía General</w:t>
      </w:r>
      <w:proofErr w:type="gramEnd"/>
      <w:r>
        <w:t xml:space="preserve"> de la Nación.</w:t>
      </w:r>
    </w:p>
    <w:p w14:paraId="7FCAF1AD" w14:textId="77777777" w:rsidR="000E52B0" w:rsidRDefault="00F60D74">
      <w:pPr>
        <w:pStyle w:val="Textoindependiente"/>
        <w:spacing w:before="161"/>
        <w:ind w:right="713"/>
        <w:jc w:val="both"/>
      </w:pPr>
      <w:r>
        <w:t>En</w:t>
      </w:r>
      <w:r>
        <w:rPr>
          <w:spacing w:val="-22"/>
        </w:rPr>
        <w:t xml:space="preserve"> </w:t>
      </w:r>
      <w:r>
        <w:t>el</w:t>
      </w:r>
      <w:r>
        <w:rPr>
          <w:spacing w:val="-21"/>
        </w:rPr>
        <w:t xml:space="preserve"> </w:t>
      </w:r>
      <w:r>
        <w:t>caso</w:t>
      </w:r>
      <w:r>
        <w:rPr>
          <w:spacing w:val="-21"/>
        </w:rPr>
        <w:t xml:space="preserve"> </w:t>
      </w:r>
      <w:r>
        <w:t>del</w:t>
      </w:r>
      <w:r>
        <w:rPr>
          <w:spacing w:val="-21"/>
        </w:rPr>
        <w:t xml:space="preserve"> </w:t>
      </w:r>
      <w:r>
        <w:t>INML-CF,</w:t>
      </w:r>
      <w:r>
        <w:rPr>
          <w:spacing w:val="-21"/>
        </w:rPr>
        <w:t xml:space="preserve"> </w:t>
      </w:r>
      <w:r>
        <w:t>la</w:t>
      </w:r>
      <w:r>
        <w:rPr>
          <w:spacing w:val="-20"/>
        </w:rPr>
        <w:t xml:space="preserve"> </w:t>
      </w:r>
      <w:r>
        <w:t>información</w:t>
      </w:r>
      <w:r>
        <w:rPr>
          <w:spacing w:val="-20"/>
        </w:rPr>
        <w:t xml:space="preserve"> </w:t>
      </w:r>
      <w:r>
        <w:t>más</w:t>
      </w:r>
      <w:r>
        <w:rPr>
          <w:spacing w:val="-21"/>
        </w:rPr>
        <w:t xml:space="preserve"> </w:t>
      </w:r>
      <w:r>
        <w:t>estable</w:t>
      </w:r>
      <w:r>
        <w:rPr>
          <w:spacing w:val="-21"/>
        </w:rPr>
        <w:t xml:space="preserve"> </w:t>
      </w:r>
      <w:r>
        <w:t>en</w:t>
      </w:r>
      <w:r>
        <w:rPr>
          <w:spacing w:val="-22"/>
        </w:rPr>
        <w:t xml:space="preserve"> </w:t>
      </w:r>
      <w:r>
        <w:t>el</w:t>
      </w:r>
      <w:r>
        <w:rPr>
          <w:spacing w:val="-19"/>
        </w:rPr>
        <w:t xml:space="preserve"> </w:t>
      </w:r>
      <w:r>
        <w:t>tiempo,</w:t>
      </w:r>
      <w:r>
        <w:rPr>
          <w:spacing w:val="-22"/>
        </w:rPr>
        <w:t xml:space="preserve"> </w:t>
      </w:r>
      <w:r>
        <w:t>en</w:t>
      </w:r>
      <w:r>
        <w:rPr>
          <w:spacing w:val="-18"/>
        </w:rPr>
        <w:t xml:space="preserve"> </w:t>
      </w:r>
      <w:r>
        <w:t>materia de violencias físicas y sexuales. En la última década, los exámenes medicolegales por presunto delito sexual en niñas y adolescentes representaron</w:t>
      </w:r>
      <w:r>
        <w:rPr>
          <w:spacing w:val="-22"/>
        </w:rPr>
        <w:t xml:space="preserve"> </w:t>
      </w:r>
      <w:r>
        <w:t>más</w:t>
      </w:r>
      <w:r>
        <w:rPr>
          <w:spacing w:val="-21"/>
        </w:rPr>
        <w:t xml:space="preserve"> </w:t>
      </w:r>
      <w:r>
        <w:t>del</w:t>
      </w:r>
      <w:r>
        <w:rPr>
          <w:spacing w:val="-21"/>
        </w:rPr>
        <w:t xml:space="preserve"> </w:t>
      </w:r>
      <w:r>
        <w:t>80%</w:t>
      </w:r>
      <w:r>
        <w:rPr>
          <w:spacing w:val="-21"/>
        </w:rPr>
        <w:t xml:space="preserve"> </w:t>
      </w:r>
      <w:r>
        <w:t>de</w:t>
      </w:r>
      <w:r>
        <w:rPr>
          <w:spacing w:val="-21"/>
        </w:rPr>
        <w:t xml:space="preserve"> </w:t>
      </w:r>
      <w:r>
        <w:t>los</w:t>
      </w:r>
      <w:r>
        <w:rPr>
          <w:spacing w:val="-21"/>
        </w:rPr>
        <w:t xml:space="preserve"> </w:t>
      </w:r>
      <w:r>
        <w:t>casos.</w:t>
      </w:r>
      <w:r>
        <w:rPr>
          <w:spacing w:val="-21"/>
        </w:rPr>
        <w:t xml:space="preserve"> </w:t>
      </w:r>
      <w:r>
        <w:t>Asimismo,</w:t>
      </w:r>
      <w:r>
        <w:rPr>
          <w:spacing w:val="-21"/>
        </w:rPr>
        <w:t xml:space="preserve"> </w:t>
      </w:r>
      <w:r>
        <w:t>para</w:t>
      </w:r>
      <w:r>
        <w:rPr>
          <w:spacing w:val="-21"/>
        </w:rPr>
        <w:t xml:space="preserve"> </w:t>
      </w:r>
      <w:r>
        <w:t>2022</w:t>
      </w:r>
      <w:r>
        <w:rPr>
          <w:spacing w:val="-21"/>
        </w:rPr>
        <w:t xml:space="preserve"> </w:t>
      </w:r>
      <w:r>
        <w:t>la</w:t>
      </w:r>
      <w:r>
        <w:rPr>
          <w:spacing w:val="-22"/>
        </w:rPr>
        <w:t xml:space="preserve"> </w:t>
      </w:r>
      <w:r>
        <w:t>tasa</w:t>
      </w:r>
      <w:r>
        <w:rPr>
          <w:spacing w:val="-21"/>
        </w:rPr>
        <w:t xml:space="preserve"> </w:t>
      </w:r>
      <w:r>
        <w:t>entre niñas y adolescentes es 155 p.p. mayor que la tasa para el total de mujeres.</w:t>
      </w:r>
      <w:r>
        <w:rPr>
          <w:spacing w:val="-5"/>
        </w:rPr>
        <w:t xml:space="preserve"> </w:t>
      </w:r>
      <w:r>
        <w:t>Para</w:t>
      </w:r>
      <w:r>
        <w:rPr>
          <w:spacing w:val="-10"/>
        </w:rPr>
        <w:t xml:space="preserve"> </w:t>
      </w:r>
      <w:r>
        <w:t>el</w:t>
      </w:r>
      <w:r>
        <w:rPr>
          <w:spacing w:val="-12"/>
        </w:rPr>
        <w:t xml:space="preserve"> </w:t>
      </w:r>
      <w:r>
        <w:t>año</w:t>
      </w:r>
      <w:r>
        <w:rPr>
          <w:spacing w:val="-11"/>
        </w:rPr>
        <w:t xml:space="preserve"> </w:t>
      </w:r>
      <w:r>
        <w:t>2023,</w:t>
      </w:r>
      <w:r>
        <w:rPr>
          <w:spacing w:val="-12"/>
        </w:rPr>
        <w:t xml:space="preserve"> </w:t>
      </w:r>
      <w:r>
        <w:t>se</w:t>
      </w:r>
      <w:r>
        <w:rPr>
          <w:spacing w:val="-10"/>
        </w:rPr>
        <w:t xml:space="preserve"> </w:t>
      </w:r>
      <w:r>
        <w:t>registraron</w:t>
      </w:r>
      <w:r>
        <w:rPr>
          <w:spacing w:val="-12"/>
        </w:rPr>
        <w:t xml:space="preserve"> </w:t>
      </w:r>
      <w:r>
        <w:t>20.302</w:t>
      </w:r>
      <w:r>
        <w:rPr>
          <w:spacing w:val="-13"/>
        </w:rPr>
        <w:t xml:space="preserve"> </w:t>
      </w:r>
      <w:r>
        <w:t>exámenes</w:t>
      </w:r>
      <w:r>
        <w:rPr>
          <w:spacing w:val="-6"/>
        </w:rPr>
        <w:t xml:space="preserve"> </w:t>
      </w:r>
      <w:r>
        <w:t>medicolegales por</w:t>
      </w:r>
      <w:r>
        <w:rPr>
          <w:spacing w:val="-10"/>
        </w:rPr>
        <w:t xml:space="preserve"> </w:t>
      </w:r>
      <w:r>
        <w:t>presunto</w:t>
      </w:r>
      <w:r>
        <w:rPr>
          <w:spacing w:val="-11"/>
        </w:rPr>
        <w:t xml:space="preserve"> </w:t>
      </w:r>
      <w:r>
        <w:t>delito</w:t>
      </w:r>
      <w:r>
        <w:rPr>
          <w:spacing w:val="-8"/>
        </w:rPr>
        <w:t xml:space="preserve"> </w:t>
      </w:r>
      <w:r>
        <w:t>sexual,</w:t>
      </w:r>
      <w:r>
        <w:rPr>
          <w:spacing w:val="-12"/>
        </w:rPr>
        <w:t xml:space="preserve"> </w:t>
      </w:r>
      <w:r>
        <w:t>de</w:t>
      </w:r>
      <w:r>
        <w:rPr>
          <w:spacing w:val="-8"/>
        </w:rPr>
        <w:t xml:space="preserve"> </w:t>
      </w:r>
      <w:r>
        <w:t>los</w:t>
      </w:r>
      <w:r>
        <w:rPr>
          <w:spacing w:val="-11"/>
        </w:rPr>
        <w:t xml:space="preserve"> </w:t>
      </w:r>
      <w:r>
        <w:t>cuales</w:t>
      </w:r>
      <w:r>
        <w:rPr>
          <w:spacing w:val="-11"/>
        </w:rPr>
        <w:t xml:space="preserve"> </w:t>
      </w:r>
      <w:r>
        <w:t>17.862</w:t>
      </w:r>
      <w:r>
        <w:rPr>
          <w:spacing w:val="-10"/>
        </w:rPr>
        <w:t xml:space="preserve"> </w:t>
      </w:r>
      <w:r>
        <w:t>se</w:t>
      </w:r>
      <w:r>
        <w:rPr>
          <w:spacing w:val="-10"/>
        </w:rPr>
        <w:t xml:space="preserve"> </w:t>
      </w:r>
      <w:r>
        <w:t>registraron</w:t>
      </w:r>
      <w:r>
        <w:rPr>
          <w:spacing w:val="-12"/>
        </w:rPr>
        <w:t xml:space="preserve"> </w:t>
      </w:r>
      <w:r>
        <w:t>en</w:t>
      </w:r>
      <w:r>
        <w:rPr>
          <w:spacing w:val="-12"/>
        </w:rPr>
        <w:t xml:space="preserve"> </w:t>
      </w:r>
      <w:r>
        <w:t>mujeres, y de estos 14.366 son niñas o adolescentes menores de 18 años. Las violencias sexuales se concentran en el país en las niñas y mujeres más jóvenes, esto también permite orientar las respuestas y la adaptación de cada</w:t>
      </w:r>
      <w:r>
        <w:rPr>
          <w:spacing w:val="-22"/>
        </w:rPr>
        <w:t xml:space="preserve"> </w:t>
      </w:r>
      <w:r>
        <w:t>una</w:t>
      </w:r>
      <w:r>
        <w:rPr>
          <w:spacing w:val="-21"/>
        </w:rPr>
        <w:t xml:space="preserve"> </w:t>
      </w:r>
      <w:r>
        <w:t>de</w:t>
      </w:r>
      <w:r>
        <w:rPr>
          <w:spacing w:val="-19"/>
        </w:rPr>
        <w:t xml:space="preserve"> </w:t>
      </w:r>
      <w:r>
        <w:t>las</w:t>
      </w:r>
      <w:r>
        <w:rPr>
          <w:spacing w:val="-21"/>
        </w:rPr>
        <w:t xml:space="preserve"> </w:t>
      </w:r>
      <w:r>
        <w:t>acciones</w:t>
      </w:r>
      <w:r>
        <w:rPr>
          <w:spacing w:val="-21"/>
        </w:rPr>
        <w:t xml:space="preserve"> </w:t>
      </w:r>
      <w:r>
        <w:t>propuestas</w:t>
      </w:r>
      <w:r>
        <w:rPr>
          <w:spacing w:val="-20"/>
        </w:rPr>
        <w:t xml:space="preserve"> </w:t>
      </w:r>
      <w:r>
        <w:t>en</w:t>
      </w:r>
      <w:r>
        <w:rPr>
          <w:spacing w:val="-22"/>
        </w:rPr>
        <w:t xml:space="preserve"> </w:t>
      </w:r>
      <w:r>
        <w:t>el</w:t>
      </w:r>
      <w:r>
        <w:rPr>
          <w:spacing w:val="-21"/>
        </w:rPr>
        <w:t xml:space="preserve"> </w:t>
      </w:r>
      <w:r>
        <w:t>Programa,</w:t>
      </w:r>
      <w:r>
        <w:rPr>
          <w:spacing w:val="-21"/>
        </w:rPr>
        <w:t xml:space="preserve"> </w:t>
      </w:r>
      <w:r>
        <w:t>desde</w:t>
      </w:r>
      <w:r>
        <w:rPr>
          <w:spacing w:val="-19"/>
        </w:rPr>
        <w:t xml:space="preserve"> </w:t>
      </w:r>
      <w:r>
        <w:t>una</w:t>
      </w:r>
      <w:r>
        <w:rPr>
          <w:spacing w:val="-21"/>
        </w:rPr>
        <w:t xml:space="preserve"> </w:t>
      </w:r>
      <w:r>
        <w:t>perspectiva diferencial e interseccional.</w:t>
      </w:r>
    </w:p>
    <w:p w14:paraId="27A67003" w14:textId="77777777" w:rsidR="000E52B0" w:rsidRDefault="00F60D74">
      <w:pPr>
        <w:pStyle w:val="Textoindependiente"/>
        <w:spacing w:before="160"/>
        <w:ind w:right="713"/>
        <w:jc w:val="both"/>
      </w:pPr>
      <w:r>
        <w:t>Frente a las violencias físicas, los casos que están siendo investigados judicialmente como feminicidios se han cuadruplicado desde el reconocimiento del tipo penal, en 2015, pasando de 138 casos a 563 en 2023</w:t>
      </w:r>
      <w:r>
        <w:rPr>
          <w:spacing w:val="21"/>
        </w:rPr>
        <w:t xml:space="preserve"> </w:t>
      </w:r>
      <w:r>
        <w:t>(SPOA,</w:t>
      </w:r>
      <w:r>
        <w:rPr>
          <w:spacing w:val="23"/>
        </w:rPr>
        <w:t xml:space="preserve"> </w:t>
      </w:r>
      <w:r>
        <w:t>Procesos).</w:t>
      </w:r>
      <w:r>
        <w:rPr>
          <w:spacing w:val="23"/>
        </w:rPr>
        <w:t xml:space="preserve"> </w:t>
      </w:r>
      <w:r>
        <w:t>Esto</w:t>
      </w:r>
      <w:r>
        <w:rPr>
          <w:spacing w:val="24"/>
        </w:rPr>
        <w:t xml:space="preserve"> </w:t>
      </w:r>
      <w:r>
        <w:t>no</w:t>
      </w:r>
      <w:r>
        <w:rPr>
          <w:spacing w:val="22"/>
        </w:rPr>
        <w:t xml:space="preserve"> </w:t>
      </w:r>
      <w:r>
        <w:t>solamente</w:t>
      </w:r>
      <w:r>
        <w:rPr>
          <w:spacing w:val="23"/>
        </w:rPr>
        <w:t xml:space="preserve"> </w:t>
      </w:r>
      <w:r>
        <w:t>es</w:t>
      </w:r>
      <w:r>
        <w:rPr>
          <w:spacing w:val="21"/>
        </w:rPr>
        <w:t xml:space="preserve"> </w:t>
      </w:r>
      <w:r>
        <w:t>resultado</w:t>
      </w:r>
      <w:r>
        <w:rPr>
          <w:spacing w:val="22"/>
        </w:rPr>
        <w:t xml:space="preserve"> </w:t>
      </w:r>
      <w:r>
        <w:t>de</w:t>
      </w:r>
      <w:r>
        <w:rPr>
          <w:spacing w:val="23"/>
        </w:rPr>
        <w:t xml:space="preserve"> </w:t>
      </w:r>
      <w:r>
        <w:t>la</w:t>
      </w:r>
      <w:r>
        <w:rPr>
          <w:spacing w:val="21"/>
        </w:rPr>
        <w:t xml:space="preserve"> </w:t>
      </w:r>
      <w:r>
        <w:rPr>
          <w:spacing w:val="-2"/>
        </w:rPr>
        <w:t>ocurrencia</w:t>
      </w:r>
    </w:p>
    <w:p w14:paraId="3723E7CD" w14:textId="77777777" w:rsidR="000E52B0" w:rsidRDefault="000E52B0">
      <w:pPr>
        <w:pStyle w:val="Textoindependiente"/>
        <w:jc w:val="both"/>
        <w:sectPr w:rsidR="000E52B0">
          <w:type w:val="continuous"/>
          <w:pgSz w:w="11910" w:h="16840"/>
          <w:pgMar w:top="1340" w:right="720" w:bottom="1280" w:left="720" w:header="0" w:footer="995" w:gutter="0"/>
          <w:cols w:space="720"/>
        </w:sectPr>
      </w:pPr>
    </w:p>
    <w:p w14:paraId="77806C99" w14:textId="77777777" w:rsidR="000E52B0" w:rsidRDefault="00F60D74">
      <w:pPr>
        <w:pStyle w:val="Textoindependiente"/>
        <w:spacing w:before="83"/>
        <w:ind w:right="719"/>
        <w:jc w:val="both"/>
      </w:pPr>
      <w:r>
        <w:lastRenderedPageBreak/>
        <w:t>más</w:t>
      </w:r>
      <w:r>
        <w:rPr>
          <w:spacing w:val="-22"/>
        </w:rPr>
        <w:t xml:space="preserve"> </w:t>
      </w:r>
      <w:r>
        <w:t>frecuente</w:t>
      </w:r>
      <w:r>
        <w:rPr>
          <w:spacing w:val="-21"/>
        </w:rPr>
        <w:t xml:space="preserve"> </w:t>
      </w:r>
      <w:r>
        <w:t>de</w:t>
      </w:r>
      <w:r>
        <w:rPr>
          <w:spacing w:val="-21"/>
        </w:rPr>
        <w:t xml:space="preserve"> </w:t>
      </w:r>
      <w:r>
        <w:t>feminicidios</w:t>
      </w:r>
      <w:r>
        <w:rPr>
          <w:spacing w:val="-21"/>
        </w:rPr>
        <w:t xml:space="preserve"> </w:t>
      </w:r>
      <w:r>
        <w:t>sino</w:t>
      </w:r>
      <w:r>
        <w:rPr>
          <w:spacing w:val="-21"/>
        </w:rPr>
        <w:t xml:space="preserve"> </w:t>
      </w:r>
      <w:r>
        <w:t>también</w:t>
      </w:r>
      <w:r>
        <w:rPr>
          <w:spacing w:val="-21"/>
        </w:rPr>
        <w:t xml:space="preserve"> </w:t>
      </w:r>
      <w:r>
        <w:t>del</w:t>
      </w:r>
      <w:r>
        <w:rPr>
          <w:spacing w:val="-21"/>
        </w:rPr>
        <w:t xml:space="preserve"> </w:t>
      </w:r>
      <w:r>
        <w:t>avance</w:t>
      </w:r>
      <w:r>
        <w:rPr>
          <w:spacing w:val="-21"/>
        </w:rPr>
        <w:t xml:space="preserve"> </w:t>
      </w:r>
      <w:r>
        <w:t>en</w:t>
      </w:r>
      <w:r>
        <w:rPr>
          <w:spacing w:val="-21"/>
        </w:rPr>
        <w:t xml:space="preserve"> </w:t>
      </w:r>
      <w:r>
        <w:t>el</w:t>
      </w:r>
      <w:r>
        <w:rPr>
          <w:spacing w:val="-21"/>
        </w:rPr>
        <w:t xml:space="preserve"> </w:t>
      </w:r>
      <w:r>
        <w:t>reconocimiento de las muertes violentas de mujeres como feminicidios. En relación con América Latina, y de acuerdo con el indicador que reporta el país, que corresponde</w:t>
      </w:r>
      <w:r>
        <w:rPr>
          <w:spacing w:val="-5"/>
        </w:rPr>
        <w:t xml:space="preserve"> </w:t>
      </w:r>
      <w:r>
        <w:t>a</w:t>
      </w:r>
      <w:r>
        <w:rPr>
          <w:spacing w:val="-6"/>
        </w:rPr>
        <w:t xml:space="preserve"> </w:t>
      </w:r>
      <w:r>
        <w:t>los</w:t>
      </w:r>
      <w:r>
        <w:rPr>
          <w:spacing w:val="-5"/>
        </w:rPr>
        <w:t xml:space="preserve"> </w:t>
      </w:r>
      <w:r>
        <w:t>casos</w:t>
      </w:r>
      <w:r>
        <w:rPr>
          <w:spacing w:val="-5"/>
        </w:rPr>
        <w:t xml:space="preserve"> </w:t>
      </w:r>
      <w:r>
        <w:t>con</w:t>
      </w:r>
      <w:r>
        <w:rPr>
          <w:spacing w:val="-6"/>
        </w:rPr>
        <w:t xml:space="preserve"> </w:t>
      </w:r>
      <w:r>
        <w:t>decisión</w:t>
      </w:r>
      <w:r>
        <w:rPr>
          <w:spacing w:val="-6"/>
        </w:rPr>
        <w:t xml:space="preserve"> </w:t>
      </w:r>
      <w:r>
        <w:t>judicial</w:t>
      </w:r>
      <w:r>
        <w:rPr>
          <w:spacing w:val="-7"/>
        </w:rPr>
        <w:t xml:space="preserve"> </w:t>
      </w:r>
      <w:r>
        <w:t>condenatoria por</w:t>
      </w:r>
      <w:r>
        <w:rPr>
          <w:spacing w:val="-5"/>
        </w:rPr>
        <w:t xml:space="preserve"> </w:t>
      </w:r>
      <w:r>
        <w:t>Feminicidio, Colombia ocupa el sexto puesto en la región en mayor número de casos para 2022.</w:t>
      </w:r>
    </w:p>
    <w:p w14:paraId="14D33494" w14:textId="77777777" w:rsidR="000E52B0" w:rsidRDefault="00F60D74">
      <w:pPr>
        <w:pStyle w:val="Textoindependiente"/>
        <w:spacing w:before="158"/>
        <w:ind w:right="715"/>
        <w:jc w:val="both"/>
      </w:pPr>
      <w:r>
        <w:t>No</w:t>
      </w:r>
      <w:r>
        <w:rPr>
          <w:spacing w:val="-10"/>
        </w:rPr>
        <w:t xml:space="preserve"> </w:t>
      </w:r>
      <w:r>
        <w:t>obstante,</w:t>
      </w:r>
      <w:r>
        <w:rPr>
          <w:spacing w:val="-10"/>
        </w:rPr>
        <w:t xml:space="preserve"> </w:t>
      </w:r>
      <w:r>
        <w:t>existe</w:t>
      </w:r>
      <w:r>
        <w:rPr>
          <w:spacing w:val="-8"/>
        </w:rPr>
        <w:t xml:space="preserve"> </w:t>
      </w:r>
      <w:r>
        <w:t>aún</w:t>
      </w:r>
      <w:r>
        <w:rPr>
          <w:spacing w:val="-12"/>
        </w:rPr>
        <w:t xml:space="preserve"> </w:t>
      </w:r>
      <w:r>
        <w:t>una</w:t>
      </w:r>
      <w:r>
        <w:rPr>
          <w:spacing w:val="-11"/>
        </w:rPr>
        <w:t xml:space="preserve"> </w:t>
      </w:r>
      <w:r>
        <w:t>brecha</w:t>
      </w:r>
      <w:r>
        <w:rPr>
          <w:spacing w:val="-9"/>
        </w:rPr>
        <w:t xml:space="preserve"> </w:t>
      </w:r>
      <w:r>
        <w:t>importante</w:t>
      </w:r>
      <w:r>
        <w:rPr>
          <w:spacing w:val="-10"/>
        </w:rPr>
        <w:t xml:space="preserve"> </w:t>
      </w:r>
      <w:r>
        <w:t>entre</w:t>
      </w:r>
      <w:r>
        <w:rPr>
          <w:spacing w:val="-10"/>
        </w:rPr>
        <w:t xml:space="preserve"> </w:t>
      </w:r>
      <w:r>
        <w:t>la</w:t>
      </w:r>
      <w:r>
        <w:rPr>
          <w:spacing w:val="-9"/>
        </w:rPr>
        <w:t xml:space="preserve"> </w:t>
      </w:r>
      <w:r>
        <w:t>muerte</w:t>
      </w:r>
      <w:r>
        <w:rPr>
          <w:spacing w:val="-10"/>
        </w:rPr>
        <w:t xml:space="preserve"> </w:t>
      </w:r>
      <w:r>
        <w:t>violenta</w:t>
      </w:r>
      <w:r>
        <w:rPr>
          <w:spacing w:val="-9"/>
        </w:rPr>
        <w:t xml:space="preserve"> </w:t>
      </w:r>
      <w:r>
        <w:t>de una mujer (homicidio) y el reconocimiento penal del feminicidio. En 2023, la fiscalía general de la Nación, tipifico la muerte violenta de 563 mujeres como feminicidios, no obstante, de acuerdo con el Instituto Nacional de Medicina Legal, ocurrieron 991 homicidios de mujeres. Las dificultades de información</w:t>
      </w:r>
      <w:r>
        <w:rPr>
          <w:spacing w:val="-22"/>
        </w:rPr>
        <w:t xml:space="preserve"> </w:t>
      </w:r>
      <w:r>
        <w:t>además</w:t>
      </w:r>
      <w:r>
        <w:rPr>
          <w:spacing w:val="-21"/>
        </w:rPr>
        <w:t xml:space="preserve"> </w:t>
      </w:r>
      <w:r>
        <w:t>se</w:t>
      </w:r>
      <w:r>
        <w:rPr>
          <w:spacing w:val="-21"/>
        </w:rPr>
        <w:t xml:space="preserve"> </w:t>
      </w:r>
      <w:r>
        <w:t>concentran</w:t>
      </w:r>
      <w:r>
        <w:rPr>
          <w:spacing w:val="-21"/>
        </w:rPr>
        <w:t xml:space="preserve"> </w:t>
      </w:r>
      <w:r>
        <w:t>en</w:t>
      </w:r>
      <w:r>
        <w:rPr>
          <w:spacing w:val="-21"/>
        </w:rPr>
        <w:t xml:space="preserve"> </w:t>
      </w:r>
      <w:r>
        <w:t>los</w:t>
      </w:r>
      <w:r>
        <w:rPr>
          <w:spacing w:val="-21"/>
        </w:rPr>
        <w:t xml:space="preserve"> </w:t>
      </w:r>
      <w:r>
        <w:t>territorios</w:t>
      </w:r>
      <w:r>
        <w:rPr>
          <w:spacing w:val="-21"/>
        </w:rPr>
        <w:t xml:space="preserve"> </w:t>
      </w:r>
      <w:r>
        <w:t>marginados</w:t>
      </w:r>
      <w:r>
        <w:rPr>
          <w:spacing w:val="-21"/>
        </w:rPr>
        <w:t xml:space="preserve"> </w:t>
      </w:r>
      <w:r>
        <w:t>y</w:t>
      </w:r>
      <w:r>
        <w:rPr>
          <w:spacing w:val="-21"/>
        </w:rPr>
        <w:t xml:space="preserve"> </w:t>
      </w:r>
      <w:r>
        <w:t>excluidos donde las dificultades para acceder a las instituciones invisibilizan las violencias no fatales ante los registros administrativos.</w:t>
      </w:r>
    </w:p>
    <w:p w14:paraId="0594C326" w14:textId="77777777" w:rsidR="000E52B0" w:rsidRDefault="00F60D74">
      <w:pPr>
        <w:pStyle w:val="Textoindependiente"/>
        <w:spacing w:before="160"/>
        <w:ind w:right="716"/>
        <w:jc w:val="both"/>
      </w:pPr>
      <w:r>
        <w:t>A manera de ejemplo, de acuerdo con la Consejería Presidencial para la Equidad de la Mujer (CPEM), en 2020, se reportaron 2.3 veces más llamadas a la línea 155 (Línea para orientación a mujeres sobrevivientes de violencia basada en género), en 2019 se recibieron en promedio 36 llamadas diarias, mientras en 2020 se recibieron 89 llamadas diarias. Debido</w:t>
      </w:r>
      <w:r>
        <w:rPr>
          <w:spacing w:val="-10"/>
        </w:rPr>
        <w:t xml:space="preserve"> </w:t>
      </w:r>
      <w:r>
        <w:t>a</w:t>
      </w:r>
      <w:r>
        <w:rPr>
          <w:spacing w:val="-10"/>
        </w:rPr>
        <w:t xml:space="preserve"> </w:t>
      </w:r>
      <w:r>
        <w:t>que</w:t>
      </w:r>
      <w:r>
        <w:rPr>
          <w:spacing w:val="-9"/>
        </w:rPr>
        <w:t xml:space="preserve"> </w:t>
      </w:r>
      <w:r>
        <w:t>los</w:t>
      </w:r>
      <w:r>
        <w:rPr>
          <w:spacing w:val="-10"/>
        </w:rPr>
        <w:t xml:space="preserve"> </w:t>
      </w:r>
      <w:r>
        <w:t>métodos</w:t>
      </w:r>
      <w:r>
        <w:rPr>
          <w:spacing w:val="-10"/>
        </w:rPr>
        <w:t xml:space="preserve"> </w:t>
      </w:r>
      <w:r>
        <w:t>mediados</w:t>
      </w:r>
      <w:r>
        <w:rPr>
          <w:spacing w:val="-10"/>
        </w:rPr>
        <w:t xml:space="preserve"> </w:t>
      </w:r>
      <w:r>
        <w:t>por</w:t>
      </w:r>
      <w:r>
        <w:rPr>
          <w:spacing w:val="-7"/>
        </w:rPr>
        <w:t xml:space="preserve"> </w:t>
      </w:r>
      <w:r>
        <w:t>la</w:t>
      </w:r>
      <w:r>
        <w:rPr>
          <w:spacing w:val="-11"/>
        </w:rPr>
        <w:t xml:space="preserve"> </w:t>
      </w:r>
      <w:r>
        <w:t>tecnología</w:t>
      </w:r>
      <w:r>
        <w:rPr>
          <w:spacing w:val="-11"/>
        </w:rPr>
        <w:t xml:space="preserve"> </w:t>
      </w:r>
      <w:r>
        <w:t>habilitan</w:t>
      </w:r>
      <w:r>
        <w:rPr>
          <w:spacing w:val="-11"/>
        </w:rPr>
        <w:t xml:space="preserve"> </w:t>
      </w:r>
      <w:r>
        <w:t>canales</w:t>
      </w:r>
      <w:r>
        <w:rPr>
          <w:spacing w:val="-10"/>
        </w:rPr>
        <w:t xml:space="preserve"> </w:t>
      </w:r>
      <w:r>
        <w:t xml:space="preserve">que permiten superar las barreras físicas de acceso a las instituciones a nivel </w:t>
      </w:r>
      <w:r>
        <w:rPr>
          <w:spacing w:val="-2"/>
        </w:rPr>
        <w:t>local.</w:t>
      </w:r>
    </w:p>
    <w:p w14:paraId="370F30D1" w14:textId="77777777" w:rsidR="000E52B0" w:rsidRDefault="00F60D74">
      <w:pPr>
        <w:pStyle w:val="Textoindependiente"/>
        <w:spacing w:before="161"/>
        <w:ind w:right="716"/>
        <w:jc w:val="both"/>
      </w:pPr>
      <w:r>
        <w:t xml:space="preserve">En el caso de las juventudes, respecto a la </w:t>
      </w:r>
      <w:r>
        <w:rPr>
          <w:b/>
        </w:rPr>
        <w:t>estigmatización de sus expresiones culturales limitando el acceso a espacios de movilización cultural</w:t>
      </w:r>
      <w:r>
        <w:t>, la desigualdad económica, sobre la que se construye y reproduce el sistema de opresión basada en la clase, impone barreras</w:t>
      </w:r>
      <w:r>
        <w:rPr>
          <w:spacing w:val="-8"/>
        </w:rPr>
        <w:t xml:space="preserve"> </w:t>
      </w:r>
      <w:r>
        <w:t>materiales</w:t>
      </w:r>
      <w:r>
        <w:rPr>
          <w:spacing w:val="-8"/>
        </w:rPr>
        <w:t xml:space="preserve"> </w:t>
      </w:r>
      <w:r>
        <w:t>a</w:t>
      </w:r>
      <w:r>
        <w:rPr>
          <w:spacing w:val="-9"/>
        </w:rPr>
        <w:t xml:space="preserve"> </w:t>
      </w:r>
      <w:r>
        <w:t>las</w:t>
      </w:r>
      <w:r>
        <w:rPr>
          <w:spacing w:val="-9"/>
        </w:rPr>
        <w:t xml:space="preserve"> </w:t>
      </w:r>
      <w:r>
        <w:t>juventudes</w:t>
      </w:r>
      <w:r>
        <w:rPr>
          <w:spacing w:val="-9"/>
        </w:rPr>
        <w:t xml:space="preserve"> </w:t>
      </w:r>
      <w:r>
        <w:t>por</w:t>
      </w:r>
      <w:r>
        <w:rPr>
          <w:spacing w:val="-8"/>
        </w:rPr>
        <w:t xml:space="preserve"> </w:t>
      </w:r>
      <w:r>
        <w:t>su</w:t>
      </w:r>
      <w:r>
        <w:rPr>
          <w:spacing w:val="-10"/>
        </w:rPr>
        <w:t xml:space="preserve"> </w:t>
      </w:r>
      <w:r>
        <w:t>acceso</w:t>
      </w:r>
      <w:r>
        <w:rPr>
          <w:spacing w:val="-8"/>
        </w:rPr>
        <w:t xml:space="preserve"> </w:t>
      </w:r>
      <w:r>
        <w:t>a</w:t>
      </w:r>
      <w:r>
        <w:rPr>
          <w:spacing w:val="-9"/>
        </w:rPr>
        <w:t xml:space="preserve"> </w:t>
      </w:r>
      <w:r>
        <w:t>bienes</w:t>
      </w:r>
      <w:r>
        <w:rPr>
          <w:spacing w:val="-6"/>
        </w:rPr>
        <w:t xml:space="preserve"> </w:t>
      </w:r>
      <w:r>
        <w:t>y</w:t>
      </w:r>
      <w:r>
        <w:rPr>
          <w:spacing w:val="-9"/>
        </w:rPr>
        <w:t xml:space="preserve"> </w:t>
      </w:r>
      <w:r>
        <w:t>servicios</w:t>
      </w:r>
      <w:r>
        <w:rPr>
          <w:spacing w:val="-9"/>
        </w:rPr>
        <w:t xml:space="preserve"> </w:t>
      </w:r>
      <w:r>
        <w:t>por la</w:t>
      </w:r>
      <w:r>
        <w:rPr>
          <w:spacing w:val="-2"/>
        </w:rPr>
        <w:t xml:space="preserve"> </w:t>
      </w:r>
      <w:r>
        <w:t>pobreza,</w:t>
      </w:r>
      <w:r>
        <w:rPr>
          <w:spacing w:val="-3"/>
        </w:rPr>
        <w:t xml:space="preserve"> </w:t>
      </w:r>
      <w:r>
        <w:t>pero especialmente, genera</w:t>
      </w:r>
      <w:r>
        <w:rPr>
          <w:spacing w:val="-1"/>
        </w:rPr>
        <w:t xml:space="preserve"> </w:t>
      </w:r>
      <w:r>
        <w:t>cargas</w:t>
      </w:r>
      <w:r>
        <w:rPr>
          <w:spacing w:val="-2"/>
        </w:rPr>
        <w:t xml:space="preserve"> </w:t>
      </w:r>
      <w:r>
        <w:t>a</w:t>
      </w:r>
      <w:r>
        <w:rPr>
          <w:spacing w:val="-2"/>
        </w:rPr>
        <w:t xml:space="preserve"> </w:t>
      </w:r>
      <w:r>
        <w:t>las juventudes</w:t>
      </w:r>
      <w:r>
        <w:rPr>
          <w:spacing w:val="-2"/>
        </w:rPr>
        <w:t xml:space="preserve"> </w:t>
      </w:r>
      <w:r>
        <w:t>en</w:t>
      </w:r>
      <w:r>
        <w:rPr>
          <w:spacing w:val="-2"/>
        </w:rPr>
        <w:t xml:space="preserve"> </w:t>
      </w:r>
      <w:r>
        <w:t>cuanto a</w:t>
      </w:r>
      <w:r>
        <w:rPr>
          <w:spacing w:val="-10"/>
        </w:rPr>
        <w:t xml:space="preserve"> </w:t>
      </w:r>
      <w:r>
        <w:t>la</w:t>
      </w:r>
      <w:r>
        <w:rPr>
          <w:spacing w:val="-9"/>
        </w:rPr>
        <w:t xml:space="preserve"> </w:t>
      </w:r>
      <w:r>
        <w:t>narrativa</w:t>
      </w:r>
      <w:r>
        <w:rPr>
          <w:spacing w:val="-8"/>
        </w:rPr>
        <w:t xml:space="preserve"> </w:t>
      </w:r>
      <w:r>
        <w:t>de</w:t>
      </w:r>
      <w:r>
        <w:rPr>
          <w:spacing w:val="-9"/>
        </w:rPr>
        <w:t xml:space="preserve"> </w:t>
      </w:r>
      <w:r>
        <w:t>la</w:t>
      </w:r>
      <w:r>
        <w:rPr>
          <w:spacing w:val="-6"/>
        </w:rPr>
        <w:t xml:space="preserve"> </w:t>
      </w:r>
      <w:r>
        <w:t>movilidad</w:t>
      </w:r>
      <w:r>
        <w:rPr>
          <w:spacing w:val="-9"/>
        </w:rPr>
        <w:t xml:space="preserve"> </w:t>
      </w:r>
      <w:r>
        <w:t>social,</w:t>
      </w:r>
      <w:r>
        <w:rPr>
          <w:spacing w:val="-9"/>
        </w:rPr>
        <w:t xml:space="preserve"> </w:t>
      </w:r>
      <w:r>
        <w:t>y</w:t>
      </w:r>
      <w:r>
        <w:rPr>
          <w:spacing w:val="-10"/>
        </w:rPr>
        <w:t xml:space="preserve"> </w:t>
      </w:r>
      <w:r>
        <w:t>en</w:t>
      </w:r>
      <w:r>
        <w:rPr>
          <w:spacing w:val="-11"/>
        </w:rPr>
        <w:t xml:space="preserve"> </w:t>
      </w:r>
      <w:r>
        <w:t>cuanto</w:t>
      </w:r>
      <w:r>
        <w:rPr>
          <w:spacing w:val="-10"/>
        </w:rPr>
        <w:t xml:space="preserve"> </w:t>
      </w:r>
      <w:r>
        <w:t>a</w:t>
      </w:r>
      <w:r>
        <w:rPr>
          <w:spacing w:val="-8"/>
        </w:rPr>
        <w:t xml:space="preserve"> </w:t>
      </w:r>
      <w:r>
        <w:t>la</w:t>
      </w:r>
      <w:r>
        <w:rPr>
          <w:spacing w:val="-9"/>
        </w:rPr>
        <w:t xml:space="preserve"> </w:t>
      </w:r>
      <w:r>
        <w:t>justificación</w:t>
      </w:r>
      <w:r>
        <w:rPr>
          <w:spacing w:val="-11"/>
        </w:rPr>
        <w:t xml:space="preserve"> </w:t>
      </w:r>
      <w:r>
        <w:t>social</w:t>
      </w:r>
      <w:r>
        <w:rPr>
          <w:spacing w:val="-9"/>
        </w:rPr>
        <w:t xml:space="preserve"> </w:t>
      </w:r>
      <w:r>
        <w:t>del paradigma de la “peligrosidad” de las juventudes.</w:t>
      </w:r>
    </w:p>
    <w:p w14:paraId="5CD09B9D" w14:textId="77777777" w:rsidR="000E52B0" w:rsidRDefault="00F60D74">
      <w:pPr>
        <w:pStyle w:val="Textoindependiente"/>
        <w:spacing w:before="160"/>
        <w:ind w:right="717"/>
        <w:jc w:val="both"/>
      </w:pPr>
      <w:r>
        <w:t>Los análisis cuantitativos de población joven encarcelada brindan insumos claves</w:t>
      </w:r>
      <w:r>
        <w:rPr>
          <w:spacing w:val="-17"/>
        </w:rPr>
        <w:t xml:space="preserve"> </w:t>
      </w:r>
      <w:r>
        <w:t>para</w:t>
      </w:r>
      <w:r>
        <w:rPr>
          <w:spacing w:val="-17"/>
        </w:rPr>
        <w:t xml:space="preserve"> </w:t>
      </w:r>
      <w:r>
        <w:t>comprender</w:t>
      </w:r>
      <w:r>
        <w:rPr>
          <w:spacing w:val="-16"/>
        </w:rPr>
        <w:t xml:space="preserve"> </w:t>
      </w:r>
      <w:r>
        <w:t>las</w:t>
      </w:r>
      <w:r>
        <w:rPr>
          <w:spacing w:val="-17"/>
        </w:rPr>
        <w:t xml:space="preserve"> </w:t>
      </w:r>
      <w:r>
        <w:t>estructuras</w:t>
      </w:r>
      <w:r>
        <w:rPr>
          <w:spacing w:val="-14"/>
        </w:rPr>
        <w:t xml:space="preserve"> </w:t>
      </w:r>
      <w:r>
        <w:t>de</w:t>
      </w:r>
      <w:r>
        <w:rPr>
          <w:spacing w:val="-16"/>
        </w:rPr>
        <w:t xml:space="preserve"> </w:t>
      </w:r>
      <w:r>
        <w:t>desigualdad</w:t>
      </w:r>
      <w:r>
        <w:rPr>
          <w:spacing w:val="-18"/>
        </w:rPr>
        <w:t xml:space="preserve"> </w:t>
      </w:r>
      <w:r>
        <w:t>social</w:t>
      </w:r>
      <w:r>
        <w:rPr>
          <w:spacing w:val="-18"/>
        </w:rPr>
        <w:t xml:space="preserve"> </w:t>
      </w:r>
      <w:r>
        <w:t>que</w:t>
      </w:r>
      <w:r>
        <w:rPr>
          <w:spacing w:val="-16"/>
        </w:rPr>
        <w:t xml:space="preserve"> </w:t>
      </w:r>
      <w:r>
        <w:t>impactan de manera desproporcionada a la población joven en Colombia. Según informe del Instituto Nacional, Penitenciario y Carcelario INPEC, citado en un reportaje del 16 del Periódico el Nuevo Siglo en agosto del 2021, en Colombia el mayor número de delitos de personas en detención es por temas asociados al narcotráfico y el 33% de reclusos del país son jóvenes entre 18 y 29 años.</w:t>
      </w:r>
    </w:p>
    <w:p w14:paraId="49EEC022" w14:textId="77777777" w:rsidR="000E52B0" w:rsidRDefault="00F60D74">
      <w:pPr>
        <w:pStyle w:val="Textoindependiente"/>
        <w:spacing w:before="161"/>
        <w:ind w:right="719"/>
        <w:jc w:val="both"/>
      </w:pPr>
      <w:r>
        <w:t>La franja de 25 a 29 años es la de mayor porcentaje de los internos del país, con 20.301 jóvenes, con el 21 %, seguidos de 17.628 internos de entre</w:t>
      </w:r>
      <w:r>
        <w:rPr>
          <w:spacing w:val="-17"/>
        </w:rPr>
        <w:t xml:space="preserve"> </w:t>
      </w:r>
      <w:r>
        <w:t>30</w:t>
      </w:r>
      <w:r>
        <w:rPr>
          <w:spacing w:val="-17"/>
        </w:rPr>
        <w:t xml:space="preserve"> </w:t>
      </w:r>
      <w:r>
        <w:t>y</w:t>
      </w:r>
      <w:r>
        <w:rPr>
          <w:spacing w:val="-19"/>
        </w:rPr>
        <w:t xml:space="preserve"> </w:t>
      </w:r>
      <w:r>
        <w:t>34</w:t>
      </w:r>
      <w:r>
        <w:rPr>
          <w:spacing w:val="-17"/>
        </w:rPr>
        <w:t xml:space="preserve"> </w:t>
      </w:r>
      <w:r>
        <w:t>años,</w:t>
      </w:r>
      <w:r>
        <w:rPr>
          <w:spacing w:val="-19"/>
        </w:rPr>
        <w:t xml:space="preserve"> </w:t>
      </w:r>
      <w:r>
        <w:t>que</w:t>
      </w:r>
      <w:r>
        <w:rPr>
          <w:spacing w:val="-17"/>
        </w:rPr>
        <w:t xml:space="preserve"> </w:t>
      </w:r>
      <w:r>
        <w:t>representan</w:t>
      </w:r>
      <w:r>
        <w:rPr>
          <w:spacing w:val="-19"/>
        </w:rPr>
        <w:t xml:space="preserve"> </w:t>
      </w:r>
      <w:r>
        <w:t>el</w:t>
      </w:r>
      <w:r>
        <w:rPr>
          <w:spacing w:val="-19"/>
        </w:rPr>
        <w:t xml:space="preserve"> </w:t>
      </w:r>
      <w:r>
        <w:t>18.2</w:t>
      </w:r>
      <w:r>
        <w:rPr>
          <w:spacing w:val="-17"/>
        </w:rPr>
        <w:t xml:space="preserve"> </w:t>
      </w:r>
      <w:r>
        <w:t>%</w:t>
      </w:r>
      <w:r>
        <w:rPr>
          <w:spacing w:val="-18"/>
        </w:rPr>
        <w:t xml:space="preserve"> </w:t>
      </w:r>
      <w:r>
        <w:t>de</w:t>
      </w:r>
      <w:r>
        <w:rPr>
          <w:spacing w:val="-17"/>
        </w:rPr>
        <w:t xml:space="preserve"> </w:t>
      </w:r>
      <w:r>
        <w:t>la</w:t>
      </w:r>
      <w:r>
        <w:rPr>
          <w:spacing w:val="-19"/>
        </w:rPr>
        <w:t xml:space="preserve"> </w:t>
      </w:r>
      <w:r>
        <w:t>población</w:t>
      </w:r>
      <w:r>
        <w:rPr>
          <w:spacing w:val="-19"/>
        </w:rPr>
        <w:t xml:space="preserve"> </w:t>
      </w:r>
      <w:r>
        <w:t>encarcelada. La</w:t>
      </w:r>
      <w:r>
        <w:rPr>
          <w:spacing w:val="-8"/>
        </w:rPr>
        <w:t xml:space="preserve"> </w:t>
      </w:r>
      <w:r>
        <w:t>población</w:t>
      </w:r>
      <w:r>
        <w:rPr>
          <w:spacing w:val="-8"/>
        </w:rPr>
        <w:t xml:space="preserve"> </w:t>
      </w:r>
      <w:r>
        <w:t>más</w:t>
      </w:r>
      <w:r>
        <w:rPr>
          <w:spacing w:val="-8"/>
        </w:rPr>
        <w:t xml:space="preserve"> </w:t>
      </w:r>
      <w:r>
        <w:t>joven</w:t>
      </w:r>
      <w:r>
        <w:rPr>
          <w:spacing w:val="-8"/>
        </w:rPr>
        <w:t xml:space="preserve"> </w:t>
      </w:r>
      <w:r>
        <w:t>se</w:t>
      </w:r>
      <w:r>
        <w:rPr>
          <w:spacing w:val="-7"/>
        </w:rPr>
        <w:t xml:space="preserve"> </w:t>
      </w:r>
      <w:r>
        <w:t>encuentra</w:t>
      </w:r>
      <w:r>
        <w:rPr>
          <w:spacing w:val="-7"/>
        </w:rPr>
        <w:t xml:space="preserve"> </w:t>
      </w:r>
      <w:r>
        <w:t>entre</w:t>
      </w:r>
      <w:r>
        <w:rPr>
          <w:spacing w:val="-6"/>
        </w:rPr>
        <w:t xml:space="preserve"> </w:t>
      </w:r>
      <w:r>
        <w:t>los</w:t>
      </w:r>
      <w:r>
        <w:rPr>
          <w:spacing w:val="-8"/>
        </w:rPr>
        <w:t xml:space="preserve"> </w:t>
      </w:r>
      <w:r>
        <w:t>18</w:t>
      </w:r>
      <w:r>
        <w:rPr>
          <w:spacing w:val="-7"/>
        </w:rPr>
        <w:t xml:space="preserve"> </w:t>
      </w:r>
      <w:r>
        <w:t>y</w:t>
      </w:r>
      <w:r>
        <w:rPr>
          <w:spacing w:val="-8"/>
        </w:rPr>
        <w:t xml:space="preserve"> </w:t>
      </w:r>
      <w:r>
        <w:t>24</w:t>
      </w:r>
      <w:r>
        <w:rPr>
          <w:spacing w:val="-7"/>
        </w:rPr>
        <w:t xml:space="preserve"> </w:t>
      </w:r>
      <w:r>
        <w:t>son</w:t>
      </w:r>
      <w:r>
        <w:rPr>
          <w:spacing w:val="-5"/>
        </w:rPr>
        <w:t xml:space="preserve"> </w:t>
      </w:r>
      <w:r>
        <w:t>en</w:t>
      </w:r>
      <w:r>
        <w:rPr>
          <w:spacing w:val="-8"/>
        </w:rPr>
        <w:t xml:space="preserve"> </w:t>
      </w:r>
      <w:r>
        <w:t>total</w:t>
      </w:r>
      <w:r>
        <w:rPr>
          <w:spacing w:val="-7"/>
        </w:rPr>
        <w:t xml:space="preserve"> </w:t>
      </w:r>
      <w:r>
        <w:t>11.828 con un 12.2 %.</w:t>
      </w:r>
      <w:r>
        <w:rPr>
          <w:spacing w:val="40"/>
        </w:rPr>
        <w:t xml:space="preserve"> </w:t>
      </w:r>
      <w:r>
        <w:t>En cuanto a las mujeres reclusas, los tres principales grupos</w:t>
      </w:r>
      <w:r>
        <w:rPr>
          <w:spacing w:val="50"/>
        </w:rPr>
        <w:t xml:space="preserve"> </w:t>
      </w:r>
      <w:r>
        <w:t>etarios</w:t>
      </w:r>
      <w:r>
        <w:rPr>
          <w:spacing w:val="50"/>
        </w:rPr>
        <w:t xml:space="preserve"> </w:t>
      </w:r>
      <w:r>
        <w:t>tienen</w:t>
      </w:r>
      <w:r>
        <w:rPr>
          <w:spacing w:val="50"/>
        </w:rPr>
        <w:t xml:space="preserve"> </w:t>
      </w:r>
      <w:r>
        <w:t>entre</w:t>
      </w:r>
      <w:r>
        <w:rPr>
          <w:spacing w:val="52"/>
        </w:rPr>
        <w:t xml:space="preserve"> </w:t>
      </w:r>
      <w:r>
        <w:t>30</w:t>
      </w:r>
      <w:r>
        <w:rPr>
          <w:spacing w:val="51"/>
        </w:rPr>
        <w:t xml:space="preserve"> </w:t>
      </w:r>
      <w:r>
        <w:t>y</w:t>
      </w:r>
      <w:r>
        <w:rPr>
          <w:spacing w:val="51"/>
        </w:rPr>
        <w:t xml:space="preserve"> </w:t>
      </w:r>
      <w:r>
        <w:t>34</w:t>
      </w:r>
      <w:r>
        <w:rPr>
          <w:spacing w:val="49"/>
        </w:rPr>
        <w:t xml:space="preserve"> </w:t>
      </w:r>
      <w:r>
        <w:t>años</w:t>
      </w:r>
      <w:r>
        <w:rPr>
          <w:spacing w:val="50"/>
        </w:rPr>
        <w:t xml:space="preserve"> </w:t>
      </w:r>
      <w:r>
        <w:t>una</w:t>
      </w:r>
      <w:r>
        <w:rPr>
          <w:spacing w:val="50"/>
        </w:rPr>
        <w:t xml:space="preserve"> </w:t>
      </w:r>
      <w:r>
        <w:t>cifra</w:t>
      </w:r>
      <w:r>
        <w:rPr>
          <w:spacing w:val="51"/>
        </w:rPr>
        <w:t xml:space="preserve"> </w:t>
      </w:r>
      <w:r>
        <w:t>de</w:t>
      </w:r>
      <w:r>
        <w:rPr>
          <w:spacing w:val="54"/>
        </w:rPr>
        <w:t xml:space="preserve"> </w:t>
      </w:r>
      <w:r>
        <w:t>1.204</w:t>
      </w:r>
      <w:r>
        <w:rPr>
          <w:spacing w:val="52"/>
        </w:rPr>
        <w:t xml:space="preserve"> </w:t>
      </w:r>
      <w:r>
        <w:rPr>
          <w:spacing w:val="-2"/>
        </w:rPr>
        <w:t>mujeres,</w:t>
      </w:r>
    </w:p>
    <w:p w14:paraId="674DB9FB" w14:textId="77777777" w:rsidR="000E52B0" w:rsidRDefault="000E52B0">
      <w:pPr>
        <w:pStyle w:val="Textoindependiente"/>
        <w:jc w:val="both"/>
        <w:sectPr w:rsidR="000E52B0">
          <w:pgSz w:w="11910" w:h="16840"/>
          <w:pgMar w:top="1340" w:right="720" w:bottom="1180" w:left="720" w:header="0" w:footer="995" w:gutter="0"/>
          <w:cols w:space="720"/>
        </w:sectPr>
      </w:pPr>
    </w:p>
    <w:p w14:paraId="2BE4C606" w14:textId="77777777" w:rsidR="000E52B0" w:rsidRDefault="00F60D74">
      <w:pPr>
        <w:pStyle w:val="Textoindependiente"/>
        <w:spacing w:before="83"/>
        <w:ind w:right="718"/>
        <w:jc w:val="both"/>
      </w:pPr>
      <w:r>
        <w:lastRenderedPageBreak/>
        <w:t>seguidas</w:t>
      </w:r>
      <w:r>
        <w:rPr>
          <w:spacing w:val="-6"/>
        </w:rPr>
        <w:t xml:space="preserve"> </w:t>
      </w:r>
      <w:r>
        <w:t>de</w:t>
      </w:r>
      <w:r>
        <w:rPr>
          <w:spacing w:val="-4"/>
        </w:rPr>
        <w:t xml:space="preserve"> </w:t>
      </w:r>
      <w:r>
        <w:t>los</w:t>
      </w:r>
      <w:r>
        <w:rPr>
          <w:spacing w:val="-5"/>
        </w:rPr>
        <w:t xml:space="preserve"> </w:t>
      </w:r>
      <w:r>
        <w:t>25</w:t>
      </w:r>
      <w:r>
        <w:rPr>
          <w:spacing w:val="-4"/>
        </w:rPr>
        <w:t xml:space="preserve"> </w:t>
      </w:r>
      <w:r>
        <w:t>y</w:t>
      </w:r>
      <w:r>
        <w:rPr>
          <w:spacing w:val="-6"/>
        </w:rPr>
        <w:t xml:space="preserve"> </w:t>
      </w:r>
      <w:r>
        <w:t>29</w:t>
      </w:r>
      <w:r>
        <w:rPr>
          <w:spacing w:val="-4"/>
        </w:rPr>
        <w:t xml:space="preserve"> </w:t>
      </w:r>
      <w:r>
        <w:t>años</w:t>
      </w:r>
      <w:r>
        <w:rPr>
          <w:spacing w:val="-6"/>
        </w:rPr>
        <w:t xml:space="preserve"> </w:t>
      </w:r>
      <w:r>
        <w:t>con</w:t>
      </w:r>
      <w:r>
        <w:rPr>
          <w:spacing w:val="-8"/>
        </w:rPr>
        <w:t xml:space="preserve"> </w:t>
      </w:r>
      <w:r>
        <w:t>1390,</w:t>
      </w:r>
      <w:r>
        <w:rPr>
          <w:spacing w:val="-9"/>
        </w:rPr>
        <w:t xml:space="preserve"> </w:t>
      </w:r>
      <w:r>
        <w:t>y</w:t>
      </w:r>
      <w:r>
        <w:rPr>
          <w:spacing w:val="-6"/>
        </w:rPr>
        <w:t xml:space="preserve"> </w:t>
      </w:r>
      <w:r>
        <w:t>finalizando</w:t>
      </w:r>
      <w:r>
        <w:rPr>
          <w:spacing w:val="-5"/>
        </w:rPr>
        <w:t xml:space="preserve"> </w:t>
      </w:r>
      <w:r>
        <w:t>con</w:t>
      </w:r>
      <w:r>
        <w:rPr>
          <w:spacing w:val="-5"/>
        </w:rPr>
        <w:t xml:space="preserve"> </w:t>
      </w:r>
      <w:r>
        <w:t>18</w:t>
      </w:r>
      <w:r>
        <w:rPr>
          <w:spacing w:val="-4"/>
        </w:rPr>
        <w:t xml:space="preserve"> </w:t>
      </w:r>
      <w:r>
        <w:t>a</w:t>
      </w:r>
      <w:r>
        <w:rPr>
          <w:spacing w:val="-5"/>
        </w:rPr>
        <w:t xml:space="preserve"> </w:t>
      </w:r>
      <w:r>
        <w:t>24</w:t>
      </w:r>
      <w:r>
        <w:rPr>
          <w:spacing w:val="-4"/>
        </w:rPr>
        <w:t xml:space="preserve"> </w:t>
      </w:r>
      <w:r>
        <w:t>años</w:t>
      </w:r>
      <w:r>
        <w:rPr>
          <w:spacing w:val="-6"/>
        </w:rPr>
        <w:t xml:space="preserve"> </w:t>
      </w:r>
      <w:r>
        <w:t>con 910 mujeres en el sistema carcelario en Colombia.</w:t>
      </w:r>
    </w:p>
    <w:p w14:paraId="028DA6FB" w14:textId="77777777" w:rsidR="000E52B0" w:rsidRDefault="00F60D74">
      <w:pPr>
        <w:pStyle w:val="Textoindependiente"/>
        <w:spacing w:before="158"/>
        <w:ind w:right="714"/>
        <w:jc w:val="both"/>
      </w:pPr>
      <w:r>
        <w:t>Los ingresos anuales al Sistema de Responsabilidad Penal para Adolescentes (SRPA), tuvieron un incremento desde el 2007 hasta 2013, luego vuelve a aumentar en 2021. En sus primeros siete años hubo un incremento constante, pasando de 4.018 casos a 30.843 en 2013. Luego desde 2014 hasta 2020, se ha presentado una reducción.</w:t>
      </w:r>
    </w:p>
    <w:p w14:paraId="0F4B93A6" w14:textId="77777777" w:rsidR="000E52B0" w:rsidRDefault="00F60D74">
      <w:pPr>
        <w:spacing w:before="160"/>
        <w:jc w:val="center"/>
        <w:rPr>
          <w:i/>
          <w:sz w:val="18"/>
        </w:rPr>
      </w:pPr>
      <w:r>
        <w:rPr>
          <w:i/>
          <w:color w:val="454551"/>
          <w:sz w:val="18"/>
        </w:rPr>
        <w:t>Ilustración</w:t>
      </w:r>
      <w:r>
        <w:rPr>
          <w:i/>
          <w:color w:val="454551"/>
          <w:spacing w:val="-4"/>
          <w:sz w:val="18"/>
        </w:rPr>
        <w:t xml:space="preserve"> </w:t>
      </w:r>
      <w:r>
        <w:rPr>
          <w:i/>
          <w:color w:val="454551"/>
          <w:sz w:val="18"/>
        </w:rPr>
        <w:t>45.</w:t>
      </w:r>
      <w:r>
        <w:rPr>
          <w:i/>
          <w:color w:val="454551"/>
          <w:spacing w:val="-5"/>
          <w:sz w:val="18"/>
        </w:rPr>
        <w:t xml:space="preserve"> </w:t>
      </w:r>
      <w:r>
        <w:rPr>
          <w:i/>
          <w:color w:val="454551"/>
          <w:sz w:val="18"/>
        </w:rPr>
        <w:t>Ingresos</w:t>
      </w:r>
      <w:r>
        <w:rPr>
          <w:i/>
          <w:color w:val="454551"/>
          <w:spacing w:val="-4"/>
          <w:sz w:val="18"/>
        </w:rPr>
        <w:t xml:space="preserve"> </w:t>
      </w:r>
      <w:r>
        <w:rPr>
          <w:i/>
          <w:color w:val="454551"/>
          <w:sz w:val="18"/>
        </w:rPr>
        <w:t>anuales</w:t>
      </w:r>
      <w:r>
        <w:rPr>
          <w:i/>
          <w:color w:val="454551"/>
          <w:spacing w:val="-3"/>
          <w:sz w:val="18"/>
        </w:rPr>
        <w:t xml:space="preserve"> </w:t>
      </w:r>
      <w:r>
        <w:rPr>
          <w:i/>
          <w:color w:val="454551"/>
          <w:sz w:val="18"/>
        </w:rPr>
        <w:t>al</w:t>
      </w:r>
      <w:r>
        <w:rPr>
          <w:i/>
          <w:color w:val="454551"/>
          <w:spacing w:val="-4"/>
          <w:sz w:val="18"/>
        </w:rPr>
        <w:t xml:space="preserve"> </w:t>
      </w:r>
      <w:r>
        <w:rPr>
          <w:i/>
          <w:color w:val="454551"/>
          <w:sz w:val="18"/>
        </w:rPr>
        <w:t>sistema</w:t>
      </w:r>
      <w:r>
        <w:rPr>
          <w:i/>
          <w:color w:val="454551"/>
          <w:spacing w:val="-4"/>
          <w:sz w:val="18"/>
        </w:rPr>
        <w:t xml:space="preserve"> </w:t>
      </w:r>
      <w:r>
        <w:rPr>
          <w:i/>
          <w:color w:val="454551"/>
          <w:sz w:val="18"/>
        </w:rPr>
        <w:t>de</w:t>
      </w:r>
      <w:r>
        <w:rPr>
          <w:i/>
          <w:color w:val="454551"/>
          <w:spacing w:val="-3"/>
          <w:sz w:val="18"/>
        </w:rPr>
        <w:t xml:space="preserve"> </w:t>
      </w:r>
      <w:r>
        <w:rPr>
          <w:i/>
          <w:color w:val="454551"/>
          <w:sz w:val="18"/>
        </w:rPr>
        <w:t>responsabilidad</w:t>
      </w:r>
      <w:r>
        <w:rPr>
          <w:i/>
          <w:color w:val="454551"/>
          <w:spacing w:val="-3"/>
          <w:sz w:val="18"/>
        </w:rPr>
        <w:t xml:space="preserve"> </w:t>
      </w:r>
      <w:r>
        <w:rPr>
          <w:i/>
          <w:color w:val="454551"/>
          <w:sz w:val="18"/>
        </w:rPr>
        <w:t>penal</w:t>
      </w:r>
      <w:r>
        <w:rPr>
          <w:i/>
          <w:color w:val="454551"/>
          <w:spacing w:val="-4"/>
          <w:sz w:val="18"/>
        </w:rPr>
        <w:t xml:space="preserve"> </w:t>
      </w:r>
      <w:r>
        <w:rPr>
          <w:i/>
          <w:color w:val="454551"/>
          <w:sz w:val="18"/>
        </w:rPr>
        <w:t>para</w:t>
      </w:r>
      <w:r>
        <w:rPr>
          <w:i/>
          <w:color w:val="454551"/>
          <w:spacing w:val="-4"/>
          <w:sz w:val="18"/>
        </w:rPr>
        <w:t xml:space="preserve"> </w:t>
      </w:r>
      <w:r>
        <w:rPr>
          <w:i/>
          <w:color w:val="454551"/>
          <w:spacing w:val="-2"/>
          <w:sz w:val="18"/>
        </w:rPr>
        <w:t>adolescentes.</w:t>
      </w:r>
    </w:p>
    <w:p w14:paraId="616BFE14" w14:textId="77777777" w:rsidR="000E52B0" w:rsidRDefault="00F60D74">
      <w:pPr>
        <w:pStyle w:val="Textoindependiente"/>
        <w:spacing w:before="202"/>
        <w:ind w:left="0"/>
        <w:rPr>
          <w:i/>
          <w:sz w:val="20"/>
        </w:rPr>
      </w:pPr>
      <w:r>
        <w:rPr>
          <w:i/>
          <w:noProof/>
          <w:sz w:val="20"/>
        </w:rPr>
        <w:drawing>
          <wp:anchor distT="0" distB="0" distL="0" distR="0" simplePos="0" relativeHeight="487654912" behindDoc="1" locked="0" layoutInCell="1" allowOverlap="1" wp14:anchorId="53A8FF98" wp14:editId="15625B83">
            <wp:simplePos x="0" y="0"/>
            <wp:positionH relativeFrom="page">
              <wp:posOffset>1027993</wp:posOffset>
            </wp:positionH>
            <wp:positionV relativeFrom="paragraph">
              <wp:posOffset>298375</wp:posOffset>
            </wp:positionV>
            <wp:extent cx="5216536" cy="1781175"/>
            <wp:effectExtent l="0" t="0" r="0" b="0"/>
            <wp:wrapTopAndBottom/>
            <wp:docPr id="546" name="Image 546" descr="Gráfic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 name="Image 546" descr="Gráfico  Descripción generada automáticamente"/>
                    <pic:cNvPicPr/>
                  </pic:nvPicPr>
                  <pic:blipFill>
                    <a:blip r:embed="rId183" cstate="print"/>
                    <a:stretch>
                      <a:fillRect/>
                    </a:stretch>
                  </pic:blipFill>
                  <pic:spPr>
                    <a:xfrm>
                      <a:off x="0" y="0"/>
                      <a:ext cx="5216536" cy="1781175"/>
                    </a:xfrm>
                    <a:prstGeom prst="rect">
                      <a:avLst/>
                    </a:prstGeom>
                  </pic:spPr>
                </pic:pic>
              </a:graphicData>
            </a:graphic>
          </wp:anchor>
        </w:drawing>
      </w:r>
    </w:p>
    <w:p w14:paraId="06FF2DA5" w14:textId="77777777" w:rsidR="000E52B0" w:rsidRDefault="00F60D74">
      <w:pPr>
        <w:spacing w:before="145"/>
        <w:ind w:left="720" w:right="726"/>
        <w:jc w:val="both"/>
        <w:rPr>
          <w:i/>
          <w:sz w:val="18"/>
        </w:rPr>
      </w:pPr>
      <w:r>
        <w:rPr>
          <w:i/>
          <w:color w:val="454551"/>
          <w:sz w:val="18"/>
        </w:rPr>
        <w:t>Fuente 34. Elaboración propia, cifras extraídas de (Ministerio de Justicia, 2021) &amp; (Ministerio de Salud y Protección Social, 2022).</w:t>
      </w:r>
    </w:p>
    <w:p w14:paraId="0686C765" w14:textId="77777777" w:rsidR="000E52B0" w:rsidRDefault="00F60D74">
      <w:pPr>
        <w:pStyle w:val="Textoindependiente"/>
        <w:spacing w:before="200"/>
        <w:ind w:right="718"/>
        <w:jc w:val="both"/>
      </w:pPr>
      <w:r>
        <w:t>Asimismo,</w:t>
      </w:r>
      <w:r>
        <w:rPr>
          <w:spacing w:val="-7"/>
        </w:rPr>
        <w:t xml:space="preserve"> </w:t>
      </w:r>
      <w:r>
        <w:t>de</w:t>
      </w:r>
      <w:r>
        <w:rPr>
          <w:spacing w:val="-8"/>
        </w:rPr>
        <w:t xml:space="preserve"> </w:t>
      </w:r>
      <w:r>
        <w:t>acuerdo</w:t>
      </w:r>
      <w:r>
        <w:rPr>
          <w:spacing w:val="-8"/>
        </w:rPr>
        <w:t xml:space="preserve"> </w:t>
      </w:r>
      <w:r>
        <w:t>con</w:t>
      </w:r>
      <w:r>
        <w:rPr>
          <w:spacing w:val="-9"/>
        </w:rPr>
        <w:t xml:space="preserve"> </w:t>
      </w:r>
      <w:r>
        <w:t>el</w:t>
      </w:r>
      <w:r>
        <w:rPr>
          <w:spacing w:val="-8"/>
        </w:rPr>
        <w:t xml:space="preserve"> </w:t>
      </w:r>
      <w:r>
        <w:t>Sistema</w:t>
      </w:r>
      <w:r>
        <w:rPr>
          <w:spacing w:val="-9"/>
        </w:rPr>
        <w:t xml:space="preserve"> </w:t>
      </w:r>
      <w:r>
        <w:t>de</w:t>
      </w:r>
      <w:r>
        <w:rPr>
          <w:spacing w:val="-8"/>
        </w:rPr>
        <w:t xml:space="preserve"> </w:t>
      </w:r>
      <w:r>
        <w:t>Información</w:t>
      </w:r>
      <w:r>
        <w:rPr>
          <w:spacing w:val="-9"/>
        </w:rPr>
        <w:t xml:space="preserve"> </w:t>
      </w:r>
      <w:r>
        <w:t>del</w:t>
      </w:r>
      <w:r>
        <w:rPr>
          <w:spacing w:val="-10"/>
        </w:rPr>
        <w:t xml:space="preserve"> </w:t>
      </w:r>
      <w:r>
        <w:t>INPEC,</w:t>
      </w:r>
      <w:r>
        <w:rPr>
          <w:spacing w:val="-9"/>
        </w:rPr>
        <w:t xml:space="preserve"> </w:t>
      </w:r>
      <w:r>
        <w:t>a</w:t>
      </w:r>
      <w:r>
        <w:rPr>
          <w:spacing w:val="-9"/>
        </w:rPr>
        <w:t xml:space="preserve"> </w:t>
      </w:r>
      <w:r>
        <w:t>junio</w:t>
      </w:r>
      <w:r>
        <w:rPr>
          <w:spacing w:val="-6"/>
        </w:rPr>
        <w:t xml:space="preserve"> </w:t>
      </w:r>
      <w:r>
        <w:t>de 2024, en el sistema penitenciario el 27% de las personas privadas de la libertad son jóvenes entre los 18 y los 29 años, esto es 27.678 personas. La</w:t>
      </w:r>
      <w:r>
        <w:rPr>
          <w:spacing w:val="-3"/>
        </w:rPr>
        <w:t xml:space="preserve"> </w:t>
      </w:r>
      <w:r>
        <w:t>criminalización</w:t>
      </w:r>
      <w:r>
        <w:rPr>
          <w:spacing w:val="-3"/>
        </w:rPr>
        <w:t xml:space="preserve"> </w:t>
      </w:r>
      <w:r>
        <w:t>se</w:t>
      </w:r>
      <w:r>
        <w:rPr>
          <w:spacing w:val="-2"/>
        </w:rPr>
        <w:t xml:space="preserve"> </w:t>
      </w:r>
      <w:r>
        <w:t>hace</w:t>
      </w:r>
      <w:r>
        <w:rPr>
          <w:spacing w:val="-2"/>
        </w:rPr>
        <w:t xml:space="preserve"> </w:t>
      </w:r>
      <w:r>
        <w:t>intensiva</w:t>
      </w:r>
      <w:r>
        <w:rPr>
          <w:spacing w:val="-1"/>
        </w:rPr>
        <w:t xml:space="preserve"> </w:t>
      </w:r>
      <w:r>
        <w:t>en</w:t>
      </w:r>
      <w:r>
        <w:rPr>
          <w:spacing w:val="-3"/>
        </w:rPr>
        <w:t xml:space="preserve"> </w:t>
      </w:r>
      <w:r>
        <w:t>las</w:t>
      </w:r>
      <w:r>
        <w:rPr>
          <w:spacing w:val="-3"/>
        </w:rPr>
        <w:t xml:space="preserve"> </w:t>
      </w:r>
      <w:r>
        <w:t>juventudes,</w:t>
      </w:r>
      <w:r>
        <w:rPr>
          <w:spacing w:val="-2"/>
        </w:rPr>
        <w:t xml:space="preserve"> </w:t>
      </w:r>
      <w:r>
        <w:t>cuando</w:t>
      </w:r>
      <w:r>
        <w:rPr>
          <w:spacing w:val="-2"/>
        </w:rPr>
        <w:t xml:space="preserve"> </w:t>
      </w:r>
      <w:r>
        <w:t>se toma</w:t>
      </w:r>
      <w:r>
        <w:rPr>
          <w:spacing w:val="-3"/>
        </w:rPr>
        <w:t xml:space="preserve"> </w:t>
      </w:r>
      <w:r>
        <w:t>en consideración que solo el 21% de la población en el país tiene entre 18 y 29 años.</w:t>
      </w:r>
    </w:p>
    <w:p w14:paraId="7B9C26DC" w14:textId="77777777" w:rsidR="000E52B0" w:rsidRDefault="00F60D74">
      <w:pPr>
        <w:pStyle w:val="Textoindependiente"/>
        <w:spacing w:before="161"/>
        <w:ind w:right="719"/>
        <w:jc w:val="both"/>
      </w:pPr>
      <w:r>
        <w:t>Estas cargas individuales y colectivas, que enfrentan las juventudes se tramitan a través de los mecanismos aprehendidos desde la institución primaria, la familia, la normalización del vínculo entre la violencia y el afecto,</w:t>
      </w:r>
      <w:r>
        <w:rPr>
          <w:spacing w:val="-2"/>
        </w:rPr>
        <w:t xml:space="preserve"> </w:t>
      </w:r>
      <w:r>
        <w:t>el</w:t>
      </w:r>
      <w:r>
        <w:rPr>
          <w:spacing w:val="-2"/>
        </w:rPr>
        <w:t xml:space="preserve"> </w:t>
      </w:r>
      <w:r>
        <w:t>control</w:t>
      </w:r>
      <w:r>
        <w:rPr>
          <w:spacing w:val="-2"/>
        </w:rPr>
        <w:t xml:space="preserve"> </w:t>
      </w:r>
      <w:r>
        <w:t>y el</w:t>
      </w:r>
      <w:r>
        <w:rPr>
          <w:spacing w:val="-2"/>
        </w:rPr>
        <w:t xml:space="preserve"> </w:t>
      </w:r>
      <w:proofErr w:type="spellStart"/>
      <w:r>
        <w:t>disciplinamiento</w:t>
      </w:r>
      <w:proofErr w:type="spellEnd"/>
      <w:r>
        <w:t xml:space="preserve"> enfrenta</w:t>
      </w:r>
      <w:r>
        <w:rPr>
          <w:spacing w:val="-1"/>
        </w:rPr>
        <w:t xml:space="preserve"> </w:t>
      </w:r>
      <w:r>
        <w:t>a</w:t>
      </w:r>
      <w:r>
        <w:rPr>
          <w:spacing w:val="-1"/>
        </w:rPr>
        <w:t xml:space="preserve"> </w:t>
      </w:r>
      <w:r>
        <w:t>las</w:t>
      </w:r>
      <w:r>
        <w:rPr>
          <w:spacing w:val="-1"/>
        </w:rPr>
        <w:t xml:space="preserve"> </w:t>
      </w:r>
      <w:r>
        <w:t>juventudes</w:t>
      </w:r>
      <w:r>
        <w:rPr>
          <w:spacing w:val="-1"/>
        </w:rPr>
        <w:t xml:space="preserve"> </w:t>
      </w:r>
      <w:r>
        <w:t>a</w:t>
      </w:r>
      <w:r>
        <w:rPr>
          <w:spacing w:val="-1"/>
        </w:rPr>
        <w:t xml:space="preserve"> </w:t>
      </w:r>
      <w:r>
        <w:t>que</w:t>
      </w:r>
      <w:r>
        <w:rPr>
          <w:spacing w:val="-1"/>
        </w:rPr>
        <w:t xml:space="preserve"> </w:t>
      </w:r>
      <w:r>
        <w:t>sea la violencia el mecanismo a través del cual tramitan las emociones, y también el mecanismo a través del cual, han normalizado el control sobre sus vidas, sus comportamientos, actitudes y cuerpos.</w:t>
      </w:r>
    </w:p>
    <w:p w14:paraId="308BB677" w14:textId="77777777" w:rsidR="000E52B0" w:rsidRDefault="00F60D74">
      <w:pPr>
        <w:pStyle w:val="Textoindependiente"/>
        <w:spacing w:before="162"/>
        <w:ind w:right="715"/>
        <w:jc w:val="both"/>
      </w:pPr>
      <w:r>
        <w:t>Las violencias que sufren las juventudes se reproducen desde el ámbito familiar.</w:t>
      </w:r>
      <w:r>
        <w:rPr>
          <w:spacing w:val="-9"/>
        </w:rPr>
        <w:t xml:space="preserve"> </w:t>
      </w:r>
      <w:r>
        <w:t>El</w:t>
      </w:r>
      <w:r>
        <w:rPr>
          <w:spacing w:val="-10"/>
        </w:rPr>
        <w:t xml:space="preserve"> </w:t>
      </w:r>
      <w:r>
        <w:t>Instituto</w:t>
      </w:r>
      <w:r>
        <w:rPr>
          <w:spacing w:val="-8"/>
        </w:rPr>
        <w:t xml:space="preserve"> </w:t>
      </w:r>
      <w:r>
        <w:t>Nacional</w:t>
      </w:r>
      <w:r>
        <w:rPr>
          <w:spacing w:val="-10"/>
        </w:rPr>
        <w:t xml:space="preserve"> </w:t>
      </w:r>
      <w:r>
        <w:t>de</w:t>
      </w:r>
      <w:r>
        <w:rPr>
          <w:spacing w:val="-10"/>
        </w:rPr>
        <w:t xml:space="preserve"> </w:t>
      </w:r>
      <w:r>
        <w:t>Medicina</w:t>
      </w:r>
      <w:r>
        <w:rPr>
          <w:spacing w:val="-11"/>
        </w:rPr>
        <w:t xml:space="preserve"> </w:t>
      </w:r>
      <w:r>
        <w:t>Legal</w:t>
      </w:r>
      <w:r>
        <w:rPr>
          <w:spacing w:val="-12"/>
        </w:rPr>
        <w:t xml:space="preserve"> </w:t>
      </w:r>
      <w:r>
        <w:t>y</w:t>
      </w:r>
      <w:r>
        <w:rPr>
          <w:spacing w:val="-9"/>
        </w:rPr>
        <w:t xml:space="preserve"> </w:t>
      </w:r>
      <w:r>
        <w:t>Ciencias</w:t>
      </w:r>
      <w:r>
        <w:rPr>
          <w:spacing w:val="-11"/>
        </w:rPr>
        <w:t xml:space="preserve"> </w:t>
      </w:r>
      <w:r>
        <w:t>Forenses</w:t>
      </w:r>
      <w:r>
        <w:rPr>
          <w:spacing w:val="-11"/>
        </w:rPr>
        <w:t xml:space="preserve"> </w:t>
      </w:r>
      <w:r>
        <w:t>separa las violencias ocurridas en el ámbito de la familia, en: violencia contra niños, niñas y adolescentes, donde se encuentran los casos de víctimas entre</w:t>
      </w:r>
      <w:r>
        <w:rPr>
          <w:spacing w:val="-2"/>
        </w:rPr>
        <w:t xml:space="preserve"> </w:t>
      </w:r>
      <w:r>
        <w:t>los</w:t>
      </w:r>
      <w:r>
        <w:rPr>
          <w:spacing w:val="-4"/>
        </w:rPr>
        <w:t xml:space="preserve"> </w:t>
      </w:r>
      <w:r>
        <w:t>0</w:t>
      </w:r>
      <w:r>
        <w:rPr>
          <w:spacing w:val="-3"/>
        </w:rPr>
        <w:t xml:space="preserve"> </w:t>
      </w:r>
      <w:r>
        <w:t>a</w:t>
      </w:r>
      <w:r>
        <w:rPr>
          <w:spacing w:val="-4"/>
        </w:rPr>
        <w:t xml:space="preserve"> </w:t>
      </w:r>
      <w:r>
        <w:t>los</w:t>
      </w:r>
      <w:r>
        <w:rPr>
          <w:spacing w:val="-6"/>
        </w:rPr>
        <w:t xml:space="preserve"> </w:t>
      </w:r>
      <w:r>
        <w:t>17</w:t>
      </w:r>
      <w:r>
        <w:rPr>
          <w:spacing w:val="-5"/>
        </w:rPr>
        <w:t xml:space="preserve"> </w:t>
      </w:r>
      <w:r>
        <w:t>años,</w:t>
      </w:r>
      <w:r>
        <w:rPr>
          <w:spacing w:val="-5"/>
        </w:rPr>
        <w:t xml:space="preserve"> </w:t>
      </w:r>
      <w:r>
        <w:t>y</w:t>
      </w:r>
      <w:r>
        <w:rPr>
          <w:spacing w:val="-4"/>
        </w:rPr>
        <w:t xml:space="preserve"> </w:t>
      </w:r>
      <w:r>
        <w:t>la</w:t>
      </w:r>
      <w:r>
        <w:rPr>
          <w:spacing w:val="-3"/>
        </w:rPr>
        <w:t xml:space="preserve"> </w:t>
      </w:r>
      <w:r>
        <w:t>violencia</w:t>
      </w:r>
      <w:r>
        <w:rPr>
          <w:spacing w:val="-4"/>
        </w:rPr>
        <w:t xml:space="preserve"> </w:t>
      </w:r>
      <w:r>
        <w:t>intrafamiliar</w:t>
      </w:r>
      <w:r>
        <w:rPr>
          <w:spacing w:val="-3"/>
        </w:rPr>
        <w:t xml:space="preserve"> </w:t>
      </w:r>
      <w:r>
        <w:t>entre</w:t>
      </w:r>
      <w:r>
        <w:rPr>
          <w:spacing w:val="-2"/>
        </w:rPr>
        <w:t xml:space="preserve"> </w:t>
      </w:r>
      <w:r>
        <w:t>otros</w:t>
      </w:r>
      <w:r>
        <w:rPr>
          <w:spacing w:val="-3"/>
        </w:rPr>
        <w:t xml:space="preserve"> </w:t>
      </w:r>
      <w:r>
        <w:t>familiares. Para</w:t>
      </w:r>
      <w:r>
        <w:rPr>
          <w:spacing w:val="-14"/>
        </w:rPr>
        <w:t xml:space="preserve"> </w:t>
      </w:r>
      <w:r>
        <w:t>2023</w:t>
      </w:r>
      <w:r>
        <w:rPr>
          <w:spacing w:val="-14"/>
        </w:rPr>
        <w:t xml:space="preserve"> </w:t>
      </w:r>
      <w:r>
        <w:t>el</w:t>
      </w:r>
      <w:r>
        <w:rPr>
          <w:spacing w:val="-16"/>
        </w:rPr>
        <w:t xml:space="preserve"> </w:t>
      </w:r>
      <w:r>
        <w:t>total</w:t>
      </w:r>
      <w:r>
        <w:rPr>
          <w:spacing w:val="-16"/>
        </w:rPr>
        <w:t xml:space="preserve"> </w:t>
      </w:r>
      <w:r>
        <w:t>de</w:t>
      </w:r>
      <w:r>
        <w:rPr>
          <w:spacing w:val="-14"/>
        </w:rPr>
        <w:t xml:space="preserve"> </w:t>
      </w:r>
      <w:r>
        <w:t>casos</w:t>
      </w:r>
      <w:r>
        <w:rPr>
          <w:spacing w:val="-15"/>
        </w:rPr>
        <w:t xml:space="preserve"> </w:t>
      </w:r>
      <w:r>
        <w:t>de</w:t>
      </w:r>
      <w:r>
        <w:rPr>
          <w:spacing w:val="-14"/>
        </w:rPr>
        <w:t xml:space="preserve"> </w:t>
      </w:r>
      <w:r>
        <w:t>violencias</w:t>
      </w:r>
      <w:r>
        <w:rPr>
          <w:spacing w:val="-15"/>
        </w:rPr>
        <w:t xml:space="preserve"> </w:t>
      </w:r>
      <w:r>
        <w:t>contra</w:t>
      </w:r>
      <w:r>
        <w:rPr>
          <w:spacing w:val="-14"/>
        </w:rPr>
        <w:t xml:space="preserve"> </w:t>
      </w:r>
      <w:r>
        <w:t>niños,</w:t>
      </w:r>
      <w:r>
        <w:rPr>
          <w:spacing w:val="-14"/>
        </w:rPr>
        <w:t xml:space="preserve"> </w:t>
      </w:r>
      <w:r>
        <w:t>niñas</w:t>
      </w:r>
      <w:r>
        <w:rPr>
          <w:spacing w:val="-15"/>
        </w:rPr>
        <w:t xml:space="preserve"> </w:t>
      </w:r>
      <w:r>
        <w:t>y</w:t>
      </w:r>
      <w:r>
        <w:rPr>
          <w:spacing w:val="-15"/>
        </w:rPr>
        <w:t xml:space="preserve"> </w:t>
      </w:r>
      <w:r>
        <w:t>adolescentes fue</w:t>
      </w:r>
      <w:r>
        <w:rPr>
          <w:spacing w:val="-3"/>
        </w:rPr>
        <w:t xml:space="preserve"> </w:t>
      </w:r>
      <w:r>
        <w:t>de</w:t>
      </w:r>
      <w:r>
        <w:rPr>
          <w:spacing w:val="-3"/>
        </w:rPr>
        <w:t xml:space="preserve"> </w:t>
      </w:r>
      <w:r>
        <w:t>6.369,</w:t>
      </w:r>
      <w:r>
        <w:rPr>
          <w:spacing w:val="-4"/>
        </w:rPr>
        <w:t xml:space="preserve"> </w:t>
      </w:r>
      <w:r>
        <w:t>de</w:t>
      </w:r>
      <w:r>
        <w:rPr>
          <w:spacing w:val="-3"/>
        </w:rPr>
        <w:t xml:space="preserve"> </w:t>
      </w:r>
      <w:r>
        <w:t>los</w:t>
      </w:r>
      <w:r>
        <w:rPr>
          <w:spacing w:val="-6"/>
        </w:rPr>
        <w:t xml:space="preserve"> </w:t>
      </w:r>
      <w:r>
        <w:t>cuales</w:t>
      </w:r>
      <w:r>
        <w:rPr>
          <w:spacing w:val="-4"/>
        </w:rPr>
        <w:t xml:space="preserve"> </w:t>
      </w:r>
      <w:r>
        <w:t>3.262</w:t>
      </w:r>
      <w:r>
        <w:rPr>
          <w:spacing w:val="-3"/>
        </w:rPr>
        <w:t xml:space="preserve"> </w:t>
      </w:r>
      <w:r>
        <w:t>fueron</w:t>
      </w:r>
      <w:r>
        <w:rPr>
          <w:spacing w:val="-4"/>
        </w:rPr>
        <w:t xml:space="preserve"> </w:t>
      </w:r>
      <w:r>
        <w:t>de</w:t>
      </w:r>
      <w:r>
        <w:rPr>
          <w:spacing w:val="-3"/>
        </w:rPr>
        <w:t xml:space="preserve"> </w:t>
      </w:r>
      <w:r>
        <w:t>mujeres.</w:t>
      </w:r>
      <w:r>
        <w:rPr>
          <w:spacing w:val="-5"/>
        </w:rPr>
        <w:t xml:space="preserve"> </w:t>
      </w:r>
      <w:r>
        <w:t>Al</w:t>
      </w:r>
      <w:r>
        <w:rPr>
          <w:spacing w:val="-5"/>
        </w:rPr>
        <w:t xml:space="preserve"> </w:t>
      </w:r>
      <w:r>
        <w:t xml:space="preserve">hacer </w:t>
      </w:r>
      <w:proofErr w:type="gramStart"/>
      <w:r>
        <w:t>zoom</w:t>
      </w:r>
      <w:proofErr w:type="gramEnd"/>
      <w:r>
        <w:rPr>
          <w:spacing w:val="-4"/>
        </w:rPr>
        <w:t xml:space="preserve"> </w:t>
      </w:r>
      <w:r>
        <w:t>en</w:t>
      </w:r>
      <w:r>
        <w:rPr>
          <w:spacing w:val="-4"/>
        </w:rPr>
        <w:t xml:space="preserve"> </w:t>
      </w:r>
      <w:r>
        <w:t>las víctimas de 14 a 17 años se encuentra una diferencia de 10 p.p. entre adolescentes mujeres víctimas los hombres de esas edades (39% versus 29%).</w:t>
      </w:r>
      <w:r>
        <w:rPr>
          <w:spacing w:val="7"/>
        </w:rPr>
        <w:t xml:space="preserve"> </w:t>
      </w:r>
      <w:r>
        <w:t>Y</w:t>
      </w:r>
      <w:r>
        <w:rPr>
          <w:spacing w:val="11"/>
        </w:rPr>
        <w:t xml:space="preserve"> </w:t>
      </w:r>
      <w:r>
        <w:t>la</w:t>
      </w:r>
      <w:r>
        <w:rPr>
          <w:spacing w:val="9"/>
        </w:rPr>
        <w:t xml:space="preserve"> </w:t>
      </w:r>
      <w:r>
        <w:t>brecha</w:t>
      </w:r>
      <w:r>
        <w:rPr>
          <w:spacing w:val="10"/>
        </w:rPr>
        <w:t xml:space="preserve"> </w:t>
      </w:r>
      <w:r>
        <w:t>se</w:t>
      </w:r>
      <w:r>
        <w:rPr>
          <w:spacing w:val="11"/>
        </w:rPr>
        <w:t xml:space="preserve"> </w:t>
      </w:r>
      <w:r>
        <w:t>agrava</w:t>
      </w:r>
      <w:r>
        <w:rPr>
          <w:spacing w:val="11"/>
        </w:rPr>
        <w:t xml:space="preserve"> </w:t>
      </w:r>
      <w:r>
        <w:t>frente</w:t>
      </w:r>
      <w:r>
        <w:rPr>
          <w:spacing w:val="11"/>
        </w:rPr>
        <w:t xml:space="preserve"> </w:t>
      </w:r>
      <w:r>
        <w:t>a</w:t>
      </w:r>
      <w:r>
        <w:rPr>
          <w:spacing w:val="12"/>
        </w:rPr>
        <w:t xml:space="preserve"> </w:t>
      </w:r>
      <w:r>
        <w:t>la</w:t>
      </w:r>
      <w:r>
        <w:rPr>
          <w:spacing w:val="11"/>
        </w:rPr>
        <w:t xml:space="preserve"> </w:t>
      </w:r>
      <w:r>
        <w:t>violencia</w:t>
      </w:r>
      <w:r>
        <w:rPr>
          <w:spacing w:val="9"/>
        </w:rPr>
        <w:t xml:space="preserve"> </w:t>
      </w:r>
      <w:r>
        <w:t>intrafamiliar</w:t>
      </w:r>
      <w:r>
        <w:rPr>
          <w:spacing w:val="11"/>
        </w:rPr>
        <w:t xml:space="preserve"> </w:t>
      </w:r>
      <w:r>
        <w:t>entre</w:t>
      </w:r>
      <w:r>
        <w:rPr>
          <w:spacing w:val="12"/>
        </w:rPr>
        <w:t xml:space="preserve"> </w:t>
      </w:r>
      <w:r>
        <w:rPr>
          <w:spacing w:val="-2"/>
        </w:rPr>
        <w:t>otros</w:t>
      </w:r>
    </w:p>
    <w:p w14:paraId="7AE3C679" w14:textId="77777777" w:rsidR="000E52B0" w:rsidRDefault="000E52B0">
      <w:pPr>
        <w:pStyle w:val="Textoindependiente"/>
        <w:jc w:val="both"/>
        <w:sectPr w:rsidR="000E52B0">
          <w:pgSz w:w="11910" w:h="16840"/>
          <w:pgMar w:top="1340" w:right="720" w:bottom="1180" w:left="720" w:header="0" w:footer="995" w:gutter="0"/>
          <w:cols w:space="720"/>
        </w:sectPr>
      </w:pPr>
    </w:p>
    <w:p w14:paraId="0F420898" w14:textId="77777777" w:rsidR="000E52B0" w:rsidRDefault="00F60D74">
      <w:pPr>
        <w:pStyle w:val="Textoindependiente"/>
        <w:spacing w:before="83"/>
        <w:ind w:right="717"/>
        <w:jc w:val="both"/>
      </w:pPr>
      <w:r>
        <w:lastRenderedPageBreak/>
        <w:t>familiares,</w:t>
      </w:r>
      <w:r>
        <w:rPr>
          <w:spacing w:val="-8"/>
        </w:rPr>
        <w:t xml:space="preserve"> </w:t>
      </w:r>
      <w:r>
        <w:t>donde</w:t>
      </w:r>
      <w:r>
        <w:rPr>
          <w:spacing w:val="-6"/>
        </w:rPr>
        <w:t xml:space="preserve"> </w:t>
      </w:r>
      <w:r>
        <w:t>la</w:t>
      </w:r>
      <w:r>
        <w:rPr>
          <w:spacing w:val="-5"/>
        </w:rPr>
        <w:t xml:space="preserve"> </w:t>
      </w:r>
      <w:r>
        <w:t>cantidad</w:t>
      </w:r>
      <w:r>
        <w:rPr>
          <w:spacing w:val="-8"/>
        </w:rPr>
        <w:t xml:space="preserve"> </w:t>
      </w:r>
      <w:r>
        <w:t>de</w:t>
      </w:r>
      <w:r>
        <w:rPr>
          <w:spacing w:val="-6"/>
        </w:rPr>
        <w:t xml:space="preserve"> </w:t>
      </w:r>
      <w:r>
        <w:t>casos</w:t>
      </w:r>
      <w:r>
        <w:rPr>
          <w:spacing w:val="-8"/>
        </w:rPr>
        <w:t xml:space="preserve"> </w:t>
      </w:r>
      <w:r>
        <w:t>de</w:t>
      </w:r>
      <w:r>
        <w:rPr>
          <w:spacing w:val="-6"/>
        </w:rPr>
        <w:t xml:space="preserve"> </w:t>
      </w:r>
      <w:r>
        <w:t>mujeres</w:t>
      </w:r>
      <w:r>
        <w:rPr>
          <w:spacing w:val="-8"/>
        </w:rPr>
        <w:t xml:space="preserve"> </w:t>
      </w:r>
      <w:r>
        <w:t>víctimas</w:t>
      </w:r>
      <w:r>
        <w:rPr>
          <w:spacing w:val="-5"/>
        </w:rPr>
        <w:t xml:space="preserve"> </w:t>
      </w:r>
      <w:r>
        <w:t>es</w:t>
      </w:r>
      <w:r>
        <w:rPr>
          <w:spacing w:val="-8"/>
        </w:rPr>
        <w:t xml:space="preserve"> </w:t>
      </w:r>
      <w:r>
        <w:t>casi</w:t>
      </w:r>
      <w:r>
        <w:rPr>
          <w:spacing w:val="-8"/>
        </w:rPr>
        <w:t xml:space="preserve"> </w:t>
      </w:r>
      <w:r>
        <w:t>el</w:t>
      </w:r>
      <w:r>
        <w:rPr>
          <w:spacing w:val="-8"/>
        </w:rPr>
        <w:t xml:space="preserve"> </w:t>
      </w:r>
      <w:r>
        <w:t>doble que</w:t>
      </w:r>
      <w:r>
        <w:rPr>
          <w:spacing w:val="-10"/>
        </w:rPr>
        <w:t xml:space="preserve"> </w:t>
      </w:r>
      <w:r>
        <w:t>la</w:t>
      </w:r>
      <w:r>
        <w:rPr>
          <w:spacing w:val="-12"/>
        </w:rPr>
        <w:t xml:space="preserve"> </w:t>
      </w:r>
      <w:r>
        <w:t>de</w:t>
      </w:r>
      <w:r>
        <w:rPr>
          <w:spacing w:val="-10"/>
        </w:rPr>
        <w:t xml:space="preserve"> </w:t>
      </w:r>
      <w:r>
        <w:t>hombres,</w:t>
      </w:r>
      <w:r>
        <w:rPr>
          <w:spacing w:val="-10"/>
        </w:rPr>
        <w:t xml:space="preserve"> </w:t>
      </w:r>
      <w:r>
        <w:t>2.354</w:t>
      </w:r>
      <w:r>
        <w:rPr>
          <w:spacing w:val="-10"/>
        </w:rPr>
        <w:t xml:space="preserve"> </w:t>
      </w:r>
      <w:r>
        <w:t>casos</w:t>
      </w:r>
      <w:r>
        <w:rPr>
          <w:spacing w:val="-11"/>
        </w:rPr>
        <w:t xml:space="preserve"> </w:t>
      </w:r>
      <w:r>
        <w:t>de</w:t>
      </w:r>
      <w:r>
        <w:rPr>
          <w:spacing w:val="-10"/>
        </w:rPr>
        <w:t xml:space="preserve"> </w:t>
      </w:r>
      <w:r>
        <w:t>mujeres</w:t>
      </w:r>
      <w:r>
        <w:rPr>
          <w:spacing w:val="-11"/>
        </w:rPr>
        <w:t xml:space="preserve"> </w:t>
      </w:r>
      <w:r>
        <w:t>jóvenes</w:t>
      </w:r>
      <w:r>
        <w:rPr>
          <w:spacing w:val="-11"/>
        </w:rPr>
        <w:t xml:space="preserve"> </w:t>
      </w:r>
      <w:r>
        <w:t>entre</w:t>
      </w:r>
      <w:r>
        <w:rPr>
          <w:spacing w:val="-10"/>
        </w:rPr>
        <w:t xml:space="preserve"> </w:t>
      </w:r>
      <w:r>
        <w:t>los</w:t>
      </w:r>
      <w:r>
        <w:rPr>
          <w:spacing w:val="-11"/>
        </w:rPr>
        <w:t xml:space="preserve"> </w:t>
      </w:r>
      <w:r>
        <w:t>18</w:t>
      </w:r>
      <w:r>
        <w:rPr>
          <w:spacing w:val="-10"/>
        </w:rPr>
        <w:t xml:space="preserve"> </w:t>
      </w:r>
      <w:r>
        <w:t>a</w:t>
      </w:r>
      <w:r>
        <w:rPr>
          <w:spacing w:val="-11"/>
        </w:rPr>
        <w:t xml:space="preserve"> </w:t>
      </w:r>
      <w:r>
        <w:t>28</w:t>
      </w:r>
      <w:r>
        <w:rPr>
          <w:spacing w:val="-10"/>
        </w:rPr>
        <w:t xml:space="preserve"> </w:t>
      </w:r>
      <w:r>
        <w:t>años en comparación con 1.339 hombres jóvenes.</w:t>
      </w:r>
    </w:p>
    <w:p w14:paraId="735073C6" w14:textId="77777777" w:rsidR="000E52B0" w:rsidRDefault="00F60D74">
      <w:pPr>
        <w:pStyle w:val="Textoindependiente"/>
        <w:spacing w:before="159"/>
        <w:ind w:right="720"/>
        <w:jc w:val="both"/>
      </w:pPr>
      <w:r>
        <w:t>Al comparar los datos parciales de 2023 con los de 2022 y 2021, hay aumentos</w:t>
      </w:r>
      <w:r>
        <w:rPr>
          <w:spacing w:val="-22"/>
        </w:rPr>
        <w:t xml:space="preserve"> </w:t>
      </w:r>
      <w:r>
        <w:t>en</w:t>
      </w:r>
      <w:r>
        <w:rPr>
          <w:spacing w:val="-21"/>
        </w:rPr>
        <w:t xml:space="preserve"> </w:t>
      </w:r>
      <w:r>
        <w:t>los</w:t>
      </w:r>
      <w:r>
        <w:rPr>
          <w:spacing w:val="-21"/>
        </w:rPr>
        <w:t xml:space="preserve"> </w:t>
      </w:r>
      <w:r>
        <w:t>casos</w:t>
      </w:r>
      <w:r>
        <w:rPr>
          <w:spacing w:val="-21"/>
        </w:rPr>
        <w:t xml:space="preserve"> </w:t>
      </w:r>
      <w:r>
        <w:t>de</w:t>
      </w:r>
      <w:r>
        <w:rPr>
          <w:spacing w:val="-21"/>
        </w:rPr>
        <w:t xml:space="preserve"> </w:t>
      </w:r>
      <w:r>
        <w:t>niños,</w:t>
      </w:r>
      <w:r>
        <w:rPr>
          <w:spacing w:val="-21"/>
        </w:rPr>
        <w:t xml:space="preserve"> </w:t>
      </w:r>
      <w:r>
        <w:t>niñas</w:t>
      </w:r>
      <w:r>
        <w:rPr>
          <w:spacing w:val="-21"/>
        </w:rPr>
        <w:t xml:space="preserve"> </w:t>
      </w:r>
      <w:r>
        <w:t>y</w:t>
      </w:r>
      <w:r>
        <w:rPr>
          <w:spacing w:val="-21"/>
        </w:rPr>
        <w:t xml:space="preserve"> </w:t>
      </w:r>
      <w:r>
        <w:t>adolescentes</w:t>
      </w:r>
      <w:r>
        <w:rPr>
          <w:spacing w:val="-21"/>
        </w:rPr>
        <w:t xml:space="preserve"> </w:t>
      </w:r>
      <w:r>
        <w:t>víctimas</w:t>
      </w:r>
      <w:r>
        <w:rPr>
          <w:spacing w:val="-21"/>
        </w:rPr>
        <w:t xml:space="preserve"> </w:t>
      </w:r>
      <w:r>
        <w:t>de</w:t>
      </w:r>
      <w:r>
        <w:rPr>
          <w:spacing w:val="-22"/>
        </w:rPr>
        <w:t xml:space="preserve"> </w:t>
      </w:r>
      <w:r>
        <w:t>violencias intrafamiliares,</w:t>
      </w:r>
      <w:r>
        <w:rPr>
          <w:spacing w:val="-2"/>
        </w:rPr>
        <w:t xml:space="preserve"> </w:t>
      </w:r>
      <w:r>
        <w:t>en</w:t>
      </w:r>
      <w:r>
        <w:rPr>
          <w:spacing w:val="-1"/>
        </w:rPr>
        <w:t xml:space="preserve"> </w:t>
      </w:r>
      <w:r>
        <w:t>general</w:t>
      </w:r>
      <w:r>
        <w:rPr>
          <w:spacing w:val="-1"/>
        </w:rPr>
        <w:t xml:space="preserve"> </w:t>
      </w:r>
      <w:r>
        <w:t>en</w:t>
      </w:r>
      <w:r>
        <w:rPr>
          <w:spacing w:val="-1"/>
        </w:rPr>
        <w:t xml:space="preserve"> </w:t>
      </w:r>
      <w:r>
        <w:t>todos</w:t>
      </w:r>
      <w:r>
        <w:rPr>
          <w:spacing w:val="-1"/>
        </w:rPr>
        <w:t xml:space="preserve"> </w:t>
      </w:r>
      <w:r>
        <w:t>los rangos</w:t>
      </w:r>
      <w:r>
        <w:rPr>
          <w:spacing w:val="-1"/>
        </w:rPr>
        <w:t xml:space="preserve"> </w:t>
      </w:r>
      <w:r>
        <w:t>de edad</w:t>
      </w:r>
      <w:r>
        <w:rPr>
          <w:spacing w:val="-2"/>
        </w:rPr>
        <w:t xml:space="preserve"> </w:t>
      </w:r>
      <w:r>
        <w:t>entre 0 y</w:t>
      </w:r>
      <w:r>
        <w:rPr>
          <w:spacing w:val="-1"/>
        </w:rPr>
        <w:t xml:space="preserve"> </w:t>
      </w:r>
      <w:r>
        <w:t>17 años. En el caso de las y los adolescentes entre 14 y 17 años, el cambio fue de 1.801</w:t>
      </w:r>
      <w:r>
        <w:rPr>
          <w:spacing w:val="-4"/>
        </w:rPr>
        <w:t xml:space="preserve"> </w:t>
      </w:r>
      <w:r>
        <w:t>casos</w:t>
      </w:r>
      <w:r>
        <w:rPr>
          <w:spacing w:val="-8"/>
        </w:rPr>
        <w:t xml:space="preserve"> </w:t>
      </w:r>
      <w:r>
        <w:t>en</w:t>
      </w:r>
      <w:r>
        <w:rPr>
          <w:spacing w:val="-6"/>
        </w:rPr>
        <w:t xml:space="preserve"> </w:t>
      </w:r>
      <w:r>
        <w:t>2021,</w:t>
      </w:r>
      <w:r>
        <w:rPr>
          <w:spacing w:val="-6"/>
        </w:rPr>
        <w:t xml:space="preserve"> </w:t>
      </w:r>
      <w:r>
        <w:t>a</w:t>
      </w:r>
      <w:r>
        <w:rPr>
          <w:spacing w:val="-5"/>
        </w:rPr>
        <w:t xml:space="preserve"> </w:t>
      </w:r>
      <w:r>
        <w:t>2.084</w:t>
      </w:r>
      <w:r>
        <w:rPr>
          <w:spacing w:val="-7"/>
        </w:rPr>
        <w:t xml:space="preserve"> </w:t>
      </w:r>
      <w:r>
        <w:t>en</w:t>
      </w:r>
      <w:r>
        <w:rPr>
          <w:spacing w:val="-6"/>
        </w:rPr>
        <w:t xml:space="preserve"> </w:t>
      </w:r>
      <w:r>
        <w:t>2022</w:t>
      </w:r>
      <w:r>
        <w:rPr>
          <w:spacing w:val="-9"/>
        </w:rPr>
        <w:t xml:space="preserve"> </w:t>
      </w:r>
      <w:r>
        <w:t>y</w:t>
      </w:r>
      <w:r>
        <w:rPr>
          <w:spacing w:val="-6"/>
        </w:rPr>
        <w:t xml:space="preserve"> </w:t>
      </w:r>
      <w:r>
        <w:t>2.176</w:t>
      </w:r>
      <w:r>
        <w:rPr>
          <w:spacing w:val="-7"/>
        </w:rPr>
        <w:t xml:space="preserve"> </w:t>
      </w:r>
      <w:r>
        <w:t>en</w:t>
      </w:r>
      <w:r>
        <w:rPr>
          <w:spacing w:val="-6"/>
        </w:rPr>
        <w:t xml:space="preserve"> </w:t>
      </w:r>
      <w:r>
        <w:t>2023,</w:t>
      </w:r>
      <w:r>
        <w:rPr>
          <w:spacing w:val="-6"/>
        </w:rPr>
        <w:t xml:space="preserve"> </w:t>
      </w:r>
      <w:r>
        <w:t>un</w:t>
      </w:r>
      <w:r>
        <w:rPr>
          <w:spacing w:val="-6"/>
        </w:rPr>
        <w:t xml:space="preserve"> </w:t>
      </w:r>
      <w:r>
        <w:t>incremento</w:t>
      </w:r>
      <w:r>
        <w:rPr>
          <w:spacing w:val="-5"/>
        </w:rPr>
        <w:t xml:space="preserve"> </w:t>
      </w:r>
      <w:r>
        <w:t>de</w:t>
      </w:r>
    </w:p>
    <w:p w14:paraId="70767AD9" w14:textId="77777777" w:rsidR="000E52B0" w:rsidRDefault="00F60D74">
      <w:pPr>
        <w:pStyle w:val="Textoindependiente"/>
        <w:spacing w:before="1"/>
      </w:pPr>
      <w:r>
        <w:rPr>
          <w:spacing w:val="-2"/>
        </w:rPr>
        <w:t>20,8%.</w:t>
      </w:r>
    </w:p>
    <w:p w14:paraId="0C53C3DB" w14:textId="77777777" w:rsidR="000E52B0" w:rsidRDefault="00F60D74">
      <w:pPr>
        <w:pStyle w:val="Textoindependiente"/>
        <w:spacing w:before="159"/>
        <w:ind w:right="718"/>
        <w:jc w:val="both"/>
      </w:pPr>
      <w:r>
        <w:t>Este</w:t>
      </w:r>
      <w:r>
        <w:rPr>
          <w:spacing w:val="-10"/>
        </w:rPr>
        <w:t xml:space="preserve"> </w:t>
      </w:r>
      <w:r>
        <w:t>ciclo</w:t>
      </w:r>
      <w:r>
        <w:rPr>
          <w:spacing w:val="-11"/>
        </w:rPr>
        <w:t xml:space="preserve"> </w:t>
      </w:r>
      <w:r>
        <w:t>se</w:t>
      </w:r>
      <w:r>
        <w:rPr>
          <w:spacing w:val="-10"/>
        </w:rPr>
        <w:t xml:space="preserve"> </w:t>
      </w:r>
      <w:r>
        <w:t>reproduce</w:t>
      </w:r>
      <w:r>
        <w:rPr>
          <w:spacing w:val="-10"/>
        </w:rPr>
        <w:t xml:space="preserve"> </w:t>
      </w:r>
      <w:r>
        <w:t>a</w:t>
      </w:r>
      <w:r>
        <w:rPr>
          <w:spacing w:val="-11"/>
        </w:rPr>
        <w:t xml:space="preserve"> </w:t>
      </w:r>
      <w:r>
        <w:t>través</w:t>
      </w:r>
      <w:r>
        <w:rPr>
          <w:spacing w:val="-9"/>
        </w:rPr>
        <w:t xml:space="preserve"> </w:t>
      </w:r>
      <w:r>
        <w:t>de</w:t>
      </w:r>
      <w:r>
        <w:rPr>
          <w:spacing w:val="-10"/>
        </w:rPr>
        <w:t xml:space="preserve"> </w:t>
      </w:r>
      <w:r>
        <w:t>las</w:t>
      </w:r>
      <w:r>
        <w:rPr>
          <w:spacing w:val="-7"/>
        </w:rPr>
        <w:t xml:space="preserve"> </w:t>
      </w:r>
      <w:r>
        <w:t>violencias</w:t>
      </w:r>
      <w:r>
        <w:rPr>
          <w:spacing w:val="-9"/>
        </w:rPr>
        <w:t xml:space="preserve"> </w:t>
      </w:r>
      <w:r>
        <w:t>que</w:t>
      </w:r>
      <w:r>
        <w:rPr>
          <w:spacing w:val="-10"/>
        </w:rPr>
        <w:t xml:space="preserve"> </w:t>
      </w:r>
      <w:r>
        <w:t>sufren</w:t>
      </w:r>
      <w:r>
        <w:rPr>
          <w:spacing w:val="-12"/>
        </w:rPr>
        <w:t xml:space="preserve"> </w:t>
      </w:r>
      <w:r>
        <w:t>las</w:t>
      </w:r>
      <w:r>
        <w:rPr>
          <w:spacing w:val="-9"/>
        </w:rPr>
        <w:t xml:space="preserve"> </w:t>
      </w:r>
      <w:r>
        <w:t>juventudes y que reproducen, desde el ámbito familiar. En este escenario la mayoría de los reportes corresponden a mujeres, el Instituto Nacional de Medicina Legal</w:t>
      </w:r>
      <w:r>
        <w:rPr>
          <w:spacing w:val="-12"/>
        </w:rPr>
        <w:t xml:space="preserve"> </w:t>
      </w:r>
      <w:r>
        <w:t>y</w:t>
      </w:r>
      <w:r>
        <w:rPr>
          <w:spacing w:val="-11"/>
        </w:rPr>
        <w:t xml:space="preserve"> </w:t>
      </w:r>
      <w:r>
        <w:t>Ciencias</w:t>
      </w:r>
      <w:r>
        <w:rPr>
          <w:spacing w:val="-12"/>
        </w:rPr>
        <w:t xml:space="preserve"> </w:t>
      </w:r>
      <w:r>
        <w:t>Forenses</w:t>
      </w:r>
      <w:r>
        <w:rPr>
          <w:spacing w:val="-11"/>
        </w:rPr>
        <w:t xml:space="preserve"> </w:t>
      </w:r>
      <w:r>
        <w:t>separa</w:t>
      </w:r>
      <w:r>
        <w:rPr>
          <w:spacing w:val="-11"/>
        </w:rPr>
        <w:t xml:space="preserve"> </w:t>
      </w:r>
      <w:r>
        <w:t>las</w:t>
      </w:r>
      <w:r>
        <w:rPr>
          <w:spacing w:val="-11"/>
        </w:rPr>
        <w:t xml:space="preserve"> </w:t>
      </w:r>
      <w:r>
        <w:t>violencias</w:t>
      </w:r>
      <w:r>
        <w:rPr>
          <w:spacing w:val="-12"/>
        </w:rPr>
        <w:t xml:space="preserve"> </w:t>
      </w:r>
      <w:r>
        <w:t>ocurridas</w:t>
      </w:r>
      <w:r>
        <w:rPr>
          <w:spacing w:val="-12"/>
        </w:rPr>
        <w:t xml:space="preserve"> </w:t>
      </w:r>
      <w:r>
        <w:t>en</w:t>
      </w:r>
      <w:r>
        <w:rPr>
          <w:spacing w:val="-10"/>
        </w:rPr>
        <w:t xml:space="preserve"> </w:t>
      </w:r>
      <w:r>
        <w:t>el</w:t>
      </w:r>
      <w:r>
        <w:rPr>
          <w:spacing w:val="-12"/>
        </w:rPr>
        <w:t xml:space="preserve"> </w:t>
      </w:r>
      <w:r>
        <w:t>ámbito</w:t>
      </w:r>
      <w:r>
        <w:rPr>
          <w:spacing w:val="-11"/>
        </w:rPr>
        <w:t xml:space="preserve"> </w:t>
      </w:r>
      <w:r>
        <w:t>de</w:t>
      </w:r>
      <w:r>
        <w:rPr>
          <w:spacing w:val="-10"/>
        </w:rPr>
        <w:t xml:space="preserve"> </w:t>
      </w:r>
      <w:r>
        <w:t>la familia, en: violencia contra niños, niñas y adolescentes, donde se encuentran los casos de víctimas entre los 0 a los 17 años, y la violencia intrafamiliar entre otros familiares. En el primer caso, las cifras de 2023 muestran una diferencia de 10 p.p. en la proporción de adolescentes mujeres</w:t>
      </w:r>
      <w:r>
        <w:rPr>
          <w:spacing w:val="-6"/>
        </w:rPr>
        <w:t xml:space="preserve"> </w:t>
      </w:r>
      <w:r>
        <w:t>entre</w:t>
      </w:r>
      <w:r>
        <w:rPr>
          <w:spacing w:val="-4"/>
        </w:rPr>
        <w:t xml:space="preserve"> </w:t>
      </w:r>
      <w:r>
        <w:t>los</w:t>
      </w:r>
      <w:r>
        <w:rPr>
          <w:spacing w:val="-5"/>
        </w:rPr>
        <w:t xml:space="preserve"> </w:t>
      </w:r>
      <w:r>
        <w:t>14</w:t>
      </w:r>
      <w:r>
        <w:rPr>
          <w:spacing w:val="-4"/>
        </w:rPr>
        <w:t xml:space="preserve"> </w:t>
      </w:r>
      <w:r>
        <w:t>a</w:t>
      </w:r>
      <w:r>
        <w:rPr>
          <w:spacing w:val="-5"/>
        </w:rPr>
        <w:t xml:space="preserve"> </w:t>
      </w:r>
      <w:r>
        <w:t>17</w:t>
      </w:r>
      <w:r>
        <w:rPr>
          <w:spacing w:val="-4"/>
        </w:rPr>
        <w:t xml:space="preserve"> </w:t>
      </w:r>
      <w:r>
        <w:t>años</w:t>
      </w:r>
      <w:r>
        <w:rPr>
          <w:spacing w:val="-6"/>
        </w:rPr>
        <w:t xml:space="preserve"> </w:t>
      </w:r>
      <w:r>
        <w:t>que</w:t>
      </w:r>
      <w:r>
        <w:rPr>
          <w:spacing w:val="-4"/>
        </w:rPr>
        <w:t xml:space="preserve"> </w:t>
      </w:r>
      <w:r>
        <w:t>son</w:t>
      </w:r>
      <w:r>
        <w:rPr>
          <w:spacing w:val="-3"/>
        </w:rPr>
        <w:t xml:space="preserve"> </w:t>
      </w:r>
      <w:r>
        <w:t>víctimas</w:t>
      </w:r>
      <w:r>
        <w:rPr>
          <w:spacing w:val="-6"/>
        </w:rPr>
        <w:t xml:space="preserve"> </w:t>
      </w:r>
      <w:r>
        <w:t>de</w:t>
      </w:r>
      <w:r>
        <w:rPr>
          <w:spacing w:val="-2"/>
        </w:rPr>
        <w:t xml:space="preserve"> </w:t>
      </w:r>
      <w:r>
        <w:t>violencia</w:t>
      </w:r>
      <w:r>
        <w:rPr>
          <w:spacing w:val="-5"/>
        </w:rPr>
        <w:t xml:space="preserve"> </w:t>
      </w:r>
      <w:r>
        <w:t>intrafamiliar, en comparación con los hombres de esas edades (39% versus 29%).</w:t>
      </w:r>
    </w:p>
    <w:p w14:paraId="048D6721" w14:textId="77777777" w:rsidR="000E52B0" w:rsidRDefault="00F60D74">
      <w:pPr>
        <w:pStyle w:val="Textoindependiente"/>
        <w:spacing w:before="161"/>
        <w:ind w:right="716"/>
        <w:jc w:val="both"/>
      </w:pPr>
      <w:r>
        <w:t>Para</w:t>
      </w:r>
      <w:r>
        <w:rPr>
          <w:spacing w:val="-14"/>
        </w:rPr>
        <w:t xml:space="preserve"> </w:t>
      </w:r>
      <w:r>
        <w:t>2023</w:t>
      </w:r>
      <w:r>
        <w:rPr>
          <w:spacing w:val="-14"/>
        </w:rPr>
        <w:t xml:space="preserve"> </w:t>
      </w:r>
      <w:r>
        <w:t>el</w:t>
      </w:r>
      <w:r>
        <w:rPr>
          <w:spacing w:val="-16"/>
        </w:rPr>
        <w:t xml:space="preserve"> </w:t>
      </w:r>
      <w:r>
        <w:t>total</w:t>
      </w:r>
      <w:r>
        <w:rPr>
          <w:spacing w:val="-16"/>
        </w:rPr>
        <w:t xml:space="preserve"> </w:t>
      </w:r>
      <w:r>
        <w:t>de</w:t>
      </w:r>
      <w:r>
        <w:rPr>
          <w:spacing w:val="-14"/>
        </w:rPr>
        <w:t xml:space="preserve"> </w:t>
      </w:r>
      <w:r>
        <w:t>casos</w:t>
      </w:r>
      <w:r>
        <w:rPr>
          <w:spacing w:val="-15"/>
        </w:rPr>
        <w:t xml:space="preserve"> </w:t>
      </w:r>
      <w:r>
        <w:t>de</w:t>
      </w:r>
      <w:r>
        <w:rPr>
          <w:spacing w:val="-14"/>
        </w:rPr>
        <w:t xml:space="preserve"> </w:t>
      </w:r>
      <w:r>
        <w:t>violencias</w:t>
      </w:r>
      <w:r>
        <w:rPr>
          <w:spacing w:val="-15"/>
        </w:rPr>
        <w:t xml:space="preserve"> </w:t>
      </w:r>
      <w:r>
        <w:t>contra</w:t>
      </w:r>
      <w:r>
        <w:rPr>
          <w:spacing w:val="-14"/>
        </w:rPr>
        <w:t xml:space="preserve"> </w:t>
      </w:r>
      <w:r>
        <w:t>niños,</w:t>
      </w:r>
      <w:r>
        <w:rPr>
          <w:spacing w:val="-14"/>
        </w:rPr>
        <w:t xml:space="preserve"> </w:t>
      </w:r>
      <w:r>
        <w:t>niñas</w:t>
      </w:r>
      <w:r>
        <w:rPr>
          <w:spacing w:val="-15"/>
        </w:rPr>
        <w:t xml:space="preserve"> </w:t>
      </w:r>
      <w:r>
        <w:t>y</w:t>
      </w:r>
      <w:r>
        <w:rPr>
          <w:spacing w:val="-15"/>
        </w:rPr>
        <w:t xml:space="preserve"> </w:t>
      </w:r>
      <w:r>
        <w:t>adolescentes fue de 6.369, de los cuales 3.262 fueron de mujeres. Sin embargo, al analizar</w:t>
      </w:r>
      <w:r>
        <w:rPr>
          <w:spacing w:val="-13"/>
        </w:rPr>
        <w:t xml:space="preserve"> </w:t>
      </w:r>
      <w:r>
        <w:t>la</w:t>
      </w:r>
      <w:r>
        <w:rPr>
          <w:spacing w:val="-15"/>
        </w:rPr>
        <w:t xml:space="preserve"> </w:t>
      </w:r>
      <w:r>
        <w:t>violencia</w:t>
      </w:r>
      <w:r>
        <w:rPr>
          <w:spacing w:val="-12"/>
        </w:rPr>
        <w:t xml:space="preserve"> </w:t>
      </w:r>
      <w:r>
        <w:t>intrafamiliar</w:t>
      </w:r>
      <w:r>
        <w:rPr>
          <w:spacing w:val="-14"/>
        </w:rPr>
        <w:t xml:space="preserve"> </w:t>
      </w:r>
      <w:r>
        <w:t>entre</w:t>
      </w:r>
      <w:r>
        <w:rPr>
          <w:spacing w:val="-13"/>
        </w:rPr>
        <w:t xml:space="preserve"> </w:t>
      </w:r>
      <w:r>
        <w:t>otros</w:t>
      </w:r>
      <w:r>
        <w:rPr>
          <w:spacing w:val="-15"/>
        </w:rPr>
        <w:t xml:space="preserve"> </w:t>
      </w:r>
      <w:r>
        <w:t>familiares</w:t>
      </w:r>
      <w:r>
        <w:rPr>
          <w:spacing w:val="-15"/>
        </w:rPr>
        <w:t xml:space="preserve"> </w:t>
      </w:r>
      <w:r>
        <w:t>la</w:t>
      </w:r>
      <w:r>
        <w:rPr>
          <w:spacing w:val="-15"/>
        </w:rPr>
        <w:t xml:space="preserve"> </w:t>
      </w:r>
      <w:r>
        <w:t>cantidad</w:t>
      </w:r>
      <w:r>
        <w:rPr>
          <w:spacing w:val="-15"/>
        </w:rPr>
        <w:t xml:space="preserve"> </w:t>
      </w:r>
      <w:r>
        <w:t>de</w:t>
      </w:r>
      <w:r>
        <w:rPr>
          <w:spacing w:val="-14"/>
        </w:rPr>
        <w:t xml:space="preserve"> </w:t>
      </w:r>
      <w:r>
        <w:t>casos de mujeres es casi el doble que la de hombres, 2.354 casos de mujeres jóvenes</w:t>
      </w:r>
      <w:r>
        <w:rPr>
          <w:spacing w:val="-22"/>
        </w:rPr>
        <w:t xml:space="preserve"> </w:t>
      </w:r>
      <w:r>
        <w:t>entre</w:t>
      </w:r>
      <w:r>
        <w:rPr>
          <w:spacing w:val="-21"/>
        </w:rPr>
        <w:t xml:space="preserve"> </w:t>
      </w:r>
      <w:r>
        <w:t>los</w:t>
      </w:r>
      <w:r>
        <w:rPr>
          <w:spacing w:val="-21"/>
        </w:rPr>
        <w:t xml:space="preserve"> </w:t>
      </w:r>
      <w:r>
        <w:t>18</w:t>
      </w:r>
      <w:r>
        <w:rPr>
          <w:spacing w:val="-21"/>
        </w:rPr>
        <w:t xml:space="preserve"> </w:t>
      </w:r>
      <w:r>
        <w:t>a</w:t>
      </w:r>
      <w:r>
        <w:rPr>
          <w:spacing w:val="-21"/>
        </w:rPr>
        <w:t xml:space="preserve"> </w:t>
      </w:r>
      <w:r>
        <w:t>28</w:t>
      </w:r>
      <w:r>
        <w:rPr>
          <w:spacing w:val="-21"/>
        </w:rPr>
        <w:t xml:space="preserve"> </w:t>
      </w:r>
      <w:r>
        <w:t>años</w:t>
      </w:r>
      <w:r>
        <w:rPr>
          <w:spacing w:val="-21"/>
        </w:rPr>
        <w:t xml:space="preserve"> </w:t>
      </w:r>
      <w:r>
        <w:t>en</w:t>
      </w:r>
      <w:r>
        <w:rPr>
          <w:spacing w:val="-21"/>
        </w:rPr>
        <w:t xml:space="preserve"> </w:t>
      </w:r>
      <w:r>
        <w:t>comparación</w:t>
      </w:r>
      <w:r>
        <w:rPr>
          <w:spacing w:val="-21"/>
        </w:rPr>
        <w:t xml:space="preserve"> </w:t>
      </w:r>
      <w:r>
        <w:t>con</w:t>
      </w:r>
      <w:r>
        <w:rPr>
          <w:spacing w:val="-21"/>
        </w:rPr>
        <w:t xml:space="preserve"> </w:t>
      </w:r>
      <w:r>
        <w:t>1.339</w:t>
      </w:r>
      <w:r>
        <w:rPr>
          <w:spacing w:val="-22"/>
        </w:rPr>
        <w:t xml:space="preserve"> </w:t>
      </w:r>
      <w:r>
        <w:t>hombres</w:t>
      </w:r>
      <w:r>
        <w:rPr>
          <w:spacing w:val="-21"/>
        </w:rPr>
        <w:t xml:space="preserve"> </w:t>
      </w:r>
      <w:r>
        <w:t>jóvenes. De los casos de violencia intrafamiliar entre otros familiares en personas jóvenes, el 45% suceden entre los 20 a 24 años, tanto en hombres como en mujeres.</w:t>
      </w:r>
    </w:p>
    <w:p w14:paraId="3FBA03CD" w14:textId="77777777" w:rsidR="000E52B0" w:rsidRDefault="00F60D74">
      <w:pPr>
        <w:pStyle w:val="Textoindependiente"/>
        <w:spacing w:before="161"/>
        <w:ind w:right="720"/>
        <w:jc w:val="both"/>
      </w:pPr>
      <w:r>
        <w:t>Al comparar los datos parciales de 2023 con los de 2022 y 2021, hay aumentos</w:t>
      </w:r>
      <w:r>
        <w:rPr>
          <w:spacing w:val="-22"/>
        </w:rPr>
        <w:t xml:space="preserve"> </w:t>
      </w:r>
      <w:r>
        <w:t>en</w:t>
      </w:r>
      <w:r>
        <w:rPr>
          <w:spacing w:val="-21"/>
        </w:rPr>
        <w:t xml:space="preserve"> </w:t>
      </w:r>
      <w:r>
        <w:t>los</w:t>
      </w:r>
      <w:r>
        <w:rPr>
          <w:spacing w:val="-21"/>
        </w:rPr>
        <w:t xml:space="preserve"> </w:t>
      </w:r>
      <w:r>
        <w:t>casos</w:t>
      </w:r>
      <w:r>
        <w:rPr>
          <w:spacing w:val="-21"/>
        </w:rPr>
        <w:t xml:space="preserve"> </w:t>
      </w:r>
      <w:r>
        <w:t>de</w:t>
      </w:r>
      <w:r>
        <w:rPr>
          <w:spacing w:val="-21"/>
        </w:rPr>
        <w:t xml:space="preserve"> </w:t>
      </w:r>
      <w:r>
        <w:t>niños,</w:t>
      </w:r>
      <w:r>
        <w:rPr>
          <w:spacing w:val="-21"/>
        </w:rPr>
        <w:t xml:space="preserve"> </w:t>
      </w:r>
      <w:r>
        <w:t>niñas</w:t>
      </w:r>
      <w:r>
        <w:rPr>
          <w:spacing w:val="-21"/>
        </w:rPr>
        <w:t xml:space="preserve"> </w:t>
      </w:r>
      <w:r>
        <w:t>y</w:t>
      </w:r>
      <w:r>
        <w:rPr>
          <w:spacing w:val="-21"/>
        </w:rPr>
        <w:t xml:space="preserve"> </w:t>
      </w:r>
      <w:r>
        <w:t>adolescentes</w:t>
      </w:r>
      <w:r>
        <w:rPr>
          <w:spacing w:val="-21"/>
        </w:rPr>
        <w:t xml:space="preserve"> </w:t>
      </w:r>
      <w:r>
        <w:t>víctimas</w:t>
      </w:r>
      <w:r>
        <w:rPr>
          <w:spacing w:val="-21"/>
        </w:rPr>
        <w:t xml:space="preserve"> </w:t>
      </w:r>
      <w:r>
        <w:t>de</w:t>
      </w:r>
      <w:r>
        <w:rPr>
          <w:spacing w:val="-22"/>
        </w:rPr>
        <w:t xml:space="preserve"> </w:t>
      </w:r>
      <w:r>
        <w:t>violencias intrafamiliares,</w:t>
      </w:r>
      <w:r>
        <w:rPr>
          <w:spacing w:val="-2"/>
        </w:rPr>
        <w:t xml:space="preserve"> </w:t>
      </w:r>
      <w:r>
        <w:t>en</w:t>
      </w:r>
      <w:r>
        <w:rPr>
          <w:spacing w:val="-1"/>
        </w:rPr>
        <w:t xml:space="preserve"> </w:t>
      </w:r>
      <w:r>
        <w:t>general</w:t>
      </w:r>
      <w:r>
        <w:rPr>
          <w:spacing w:val="-1"/>
        </w:rPr>
        <w:t xml:space="preserve"> </w:t>
      </w:r>
      <w:r>
        <w:t>en</w:t>
      </w:r>
      <w:r>
        <w:rPr>
          <w:spacing w:val="-1"/>
        </w:rPr>
        <w:t xml:space="preserve"> </w:t>
      </w:r>
      <w:r>
        <w:t>todos</w:t>
      </w:r>
      <w:r>
        <w:rPr>
          <w:spacing w:val="-1"/>
        </w:rPr>
        <w:t xml:space="preserve"> </w:t>
      </w:r>
      <w:r>
        <w:t>los rangos</w:t>
      </w:r>
      <w:r>
        <w:rPr>
          <w:spacing w:val="-1"/>
        </w:rPr>
        <w:t xml:space="preserve"> </w:t>
      </w:r>
      <w:r>
        <w:t>de edad</w:t>
      </w:r>
      <w:r>
        <w:rPr>
          <w:spacing w:val="-2"/>
        </w:rPr>
        <w:t xml:space="preserve"> </w:t>
      </w:r>
      <w:r>
        <w:t>entre 0 y</w:t>
      </w:r>
      <w:r>
        <w:rPr>
          <w:spacing w:val="-1"/>
        </w:rPr>
        <w:t xml:space="preserve"> </w:t>
      </w:r>
      <w:r>
        <w:t>17 años. En el caso de las y los adolescentes entre 14 y 17 años, el cambio fue de 1.801</w:t>
      </w:r>
      <w:r>
        <w:rPr>
          <w:spacing w:val="-4"/>
        </w:rPr>
        <w:t xml:space="preserve"> </w:t>
      </w:r>
      <w:r>
        <w:t>casos</w:t>
      </w:r>
      <w:r>
        <w:rPr>
          <w:spacing w:val="-8"/>
        </w:rPr>
        <w:t xml:space="preserve"> </w:t>
      </w:r>
      <w:r>
        <w:t>en</w:t>
      </w:r>
      <w:r>
        <w:rPr>
          <w:spacing w:val="-6"/>
        </w:rPr>
        <w:t xml:space="preserve"> </w:t>
      </w:r>
      <w:r>
        <w:t>2021,</w:t>
      </w:r>
      <w:r>
        <w:rPr>
          <w:spacing w:val="-6"/>
        </w:rPr>
        <w:t xml:space="preserve"> </w:t>
      </w:r>
      <w:r>
        <w:t>a</w:t>
      </w:r>
      <w:r>
        <w:rPr>
          <w:spacing w:val="-5"/>
        </w:rPr>
        <w:t xml:space="preserve"> </w:t>
      </w:r>
      <w:r>
        <w:t>2.084</w:t>
      </w:r>
      <w:r>
        <w:rPr>
          <w:spacing w:val="-7"/>
        </w:rPr>
        <w:t xml:space="preserve"> </w:t>
      </w:r>
      <w:r>
        <w:t>en</w:t>
      </w:r>
      <w:r>
        <w:rPr>
          <w:spacing w:val="-6"/>
        </w:rPr>
        <w:t xml:space="preserve"> </w:t>
      </w:r>
      <w:r>
        <w:t>2022</w:t>
      </w:r>
      <w:r>
        <w:rPr>
          <w:spacing w:val="-9"/>
        </w:rPr>
        <w:t xml:space="preserve"> </w:t>
      </w:r>
      <w:r>
        <w:t>y</w:t>
      </w:r>
      <w:r>
        <w:rPr>
          <w:spacing w:val="-6"/>
        </w:rPr>
        <w:t xml:space="preserve"> </w:t>
      </w:r>
      <w:r>
        <w:t>2.176</w:t>
      </w:r>
      <w:r>
        <w:rPr>
          <w:spacing w:val="-7"/>
        </w:rPr>
        <w:t xml:space="preserve"> </w:t>
      </w:r>
      <w:r>
        <w:t>en</w:t>
      </w:r>
      <w:r>
        <w:rPr>
          <w:spacing w:val="-6"/>
        </w:rPr>
        <w:t xml:space="preserve"> </w:t>
      </w:r>
      <w:r>
        <w:t>2023,</w:t>
      </w:r>
      <w:r>
        <w:rPr>
          <w:spacing w:val="-6"/>
        </w:rPr>
        <w:t xml:space="preserve"> </w:t>
      </w:r>
      <w:r>
        <w:t>un</w:t>
      </w:r>
      <w:r>
        <w:rPr>
          <w:spacing w:val="-6"/>
        </w:rPr>
        <w:t xml:space="preserve"> </w:t>
      </w:r>
      <w:r>
        <w:t>incremento</w:t>
      </w:r>
      <w:r>
        <w:rPr>
          <w:spacing w:val="-5"/>
        </w:rPr>
        <w:t xml:space="preserve"> </w:t>
      </w:r>
      <w:r>
        <w:t>de</w:t>
      </w:r>
    </w:p>
    <w:p w14:paraId="5E30ACC2" w14:textId="77777777" w:rsidR="000E52B0" w:rsidRDefault="00F60D74">
      <w:pPr>
        <w:pStyle w:val="Textoindependiente"/>
      </w:pPr>
      <w:r>
        <w:rPr>
          <w:spacing w:val="-2"/>
        </w:rPr>
        <w:t>20,8%.</w:t>
      </w:r>
    </w:p>
    <w:p w14:paraId="0C606DCA" w14:textId="77777777" w:rsidR="000E52B0" w:rsidRDefault="00F60D74">
      <w:pPr>
        <w:pStyle w:val="Textoindependiente"/>
        <w:spacing w:before="158"/>
        <w:ind w:right="718"/>
        <w:jc w:val="both"/>
      </w:pPr>
      <w:r>
        <w:t>De</w:t>
      </w:r>
      <w:r>
        <w:rPr>
          <w:spacing w:val="-5"/>
        </w:rPr>
        <w:t xml:space="preserve"> </w:t>
      </w:r>
      <w:r>
        <w:t>igual</w:t>
      </w:r>
      <w:r>
        <w:rPr>
          <w:spacing w:val="-7"/>
        </w:rPr>
        <w:t xml:space="preserve"> </w:t>
      </w:r>
      <w:r>
        <w:t>forma</w:t>
      </w:r>
      <w:r>
        <w:rPr>
          <w:spacing w:val="-4"/>
        </w:rPr>
        <w:t xml:space="preserve"> </w:t>
      </w:r>
      <w:r>
        <w:t>en</w:t>
      </w:r>
      <w:r>
        <w:rPr>
          <w:spacing w:val="-4"/>
        </w:rPr>
        <w:t xml:space="preserve"> </w:t>
      </w:r>
      <w:r>
        <w:t>los</w:t>
      </w:r>
      <w:r>
        <w:rPr>
          <w:spacing w:val="-7"/>
        </w:rPr>
        <w:t xml:space="preserve"> </w:t>
      </w:r>
      <w:r>
        <w:t>entornos</w:t>
      </w:r>
      <w:r>
        <w:rPr>
          <w:spacing w:val="-7"/>
        </w:rPr>
        <w:t xml:space="preserve"> </w:t>
      </w:r>
      <w:r>
        <w:t>educativos</w:t>
      </w:r>
      <w:r>
        <w:rPr>
          <w:spacing w:val="-7"/>
        </w:rPr>
        <w:t xml:space="preserve"> </w:t>
      </w:r>
      <w:r>
        <w:t>las</w:t>
      </w:r>
      <w:r>
        <w:rPr>
          <w:spacing w:val="-4"/>
        </w:rPr>
        <w:t xml:space="preserve"> </w:t>
      </w:r>
      <w:r>
        <w:t>juventudes</w:t>
      </w:r>
      <w:r>
        <w:rPr>
          <w:spacing w:val="-4"/>
        </w:rPr>
        <w:t xml:space="preserve"> </w:t>
      </w:r>
      <w:r>
        <w:t>también</w:t>
      </w:r>
      <w:r>
        <w:rPr>
          <w:spacing w:val="-6"/>
        </w:rPr>
        <w:t xml:space="preserve"> </w:t>
      </w:r>
      <w:r>
        <w:t xml:space="preserve">resisten las violencias, respecto a la violencia escolar, cifras de la OCDE muestran el alto </w:t>
      </w:r>
      <w:proofErr w:type="spellStart"/>
      <w:proofErr w:type="gramStart"/>
      <w:r>
        <w:rPr>
          <w:i/>
        </w:rPr>
        <w:t>bullying</w:t>
      </w:r>
      <w:proofErr w:type="spellEnd"/>
      <w:proofErr w:type="gramEnd"/>
      <w:r>
        <w:rPr>
          <w:i/>
        </w:rPr>
        <w:t xml:space="preserve"> </w:t>
      </w:r>
      <w:r>
        <w:t>o acoso escolar al que se enfrentan los estudiantes en Colombia.</w:t>
      </w:r>
      <w:r>
        <w:rPr>
          <w:spacing w:val="-7"/>
        </w:rPr>
        <w:t xml:space="preserve"> </w:t>
      </w:r>
      <w:r>
        <w:t>En</w:t>
      </w:r>
      <w:r>
        <w:rPr>
          <w:spacing w:val="-7"/>
        </w:rPr>
        <w:t xml:space="preserve"> </w:t>
      </w:r>
      <w:r>
        <w:t>comparación</w:t>
      </w:r>
      <w:r>
        <w:rPr>
          <w:spacing w:val="-7"/>
        </w:rPr>
        <w:t xml:space="preserve"> </w:t>
      </w:r>
      <w:r>
        <w:t>con</w:t>
      </w:r>
      <w:r>
        <w:rPr>
          <w:spacing w:val="-6"/>
        </w:rPr>
        <w:t xml:space="preserve"> </w:t>
      </w:r>
      <w:r>
        <w:t>un</w:t>
      </w:r>
      <w:r>
        <w:rPr>
          <w:spacing w:val="-7"/>
        </w:rPr>
        <w:t xml:space="preserve"> </w:t>
      </w:r>
      <w:r>
        <w:t>estudiante</w:t>
      </w:r>
      <w:r>
        <w:rPr>
          <w:spacing w:val="-5"/>
        </w:rPr>
        <w:t xml:space="preserve"> </w:t>
      </w:r>
      <w:r>
        <w:t>promedio</w:t>
      </w:r>
      <w:r>
        <w:rPr>
          <w:spacing w:val="-6"/>
        </w:rPr>
        <w:t xml:space="preserve"> </w:t>
      </w:r>
      <w:r>
        <w:t>en</w:t>
      </w:r>
      <w:r>
        <w:rPr>
          <w:spacing w:val="-7"/>
        </w:rPr>
        <w:t xml:space="preserve"> </w:t>
      </w:r>
      <w:r>
        <w:t>todos</w:t>
      </w:r>
      <w:r>
        <w:rPr>
          <w:spacing w:val="-7"/>
        </w:rPr>
        <w:t xml:space="preserve"> </w:t>
      </w:r>
      <w:r>
        <w:t>los</w:t>
      </w:r>
      <w:r>
        <w:rPr>
          <w:spacing w:val="-6"/>
        </w:rPr>
        <w:t xml:space="preserve"> </w:t>
      </w:r>
      <w:r>
        <w:t>países de</w:t>
      </w:r>
      <w:r>
        <w:rPr>
          <w:spacing w:val="-10"/>
        </w:rPr>
        <w:t xml:space="preserve"> </w:t>
      </w:r>
      <w:r>
        <w:t>la</w:t>
      </w:r>
      <w:r>
        <w:rPr>
          <w:spacing w:val="-12"/>
        </w:rPr>
        <w:t xml:space="preserve"> </w:t>
      </w:r>
      <w:r>
        <w:t>OCDE,</w:t>
      </w:r>
      <w:r>
        <w:rPr>
          <w:spacing w:val="-12"/>
        </w:rPr>
        <w:t xml:space="preserve"> </w:t>
      </w:r>
      <w:r>
        <w:rPr>
          <w:b/>
        </w:rPr>
        <w:t>los</w:t>
      </w:r>
      <w:r>
        <w:rPr>
          <w:b/>
          <w:spacing w:val="-12"/>
        </w:rPr>
        <w:t xml:space="preserve"> </w:t>
      </w:r>
      <w:r>
        <w:rPr>
          <w:b/>
        </w:rPr>
        <w:t>y</w:t>
      </w:r>
      <w:r>
        <w:rPr>
          <w:b/>
          <w:spacing w:val="-11"/>
        </w:rPr>
        <w:t xml:space="preserve"> </w:t>
      </w:r>
      <w:r>
        <w:rPr>
          <w:b/>
        </w:rPr>
        <w:t>las</w:t>
      </w:r>
      <w:r>
        <w:rPr>
          <w:b/>
          <w:spacing w:val="-12"/>
        </w:rPr>
        <w:t xml:space="preserve"> </w:t>
      </w:r>
      <w:r>
        <w:rPr>
          <w:b/>
        </w:rPr>
        <w:t>estudiantes</w:t>
      </w:r>
      <w:r>
        <w:rPr>
          <w:b/>
          <w:spacing w:val="-12"/>
        </w:rPr>
        <w:t xml:space="preserve"> </w:t>
      </w:r>
      <w:r>
        <w:rPr>
          <w:b/>
        </w:rPr>
        <w:t>de</w:t>
      </w:r>
      <w:r>
        <w:rPr>
          <w:b/>
          <w:spacing w:val="-12"/>
        </w:rPr>
        <w:t xml:space="preserve"> </w:t>
      </w:r>
      <w:r>
        <w:rPr>
          <w:b/>
        </w:rPr>
        <w:t>Colombia</w:t>
      </w:r>
      <w:r>
        <w:rPr>
          <w:b/>
          <w:spacing w:val="-11"/>
        </w:rPr>
        <w:t xml:space="preserve"> </w:t>
      </w:r>
      <w:r>
        <w:rPr>
          <w:b/>
        </w:rPr>
        <w:t>informaron</w:t>
      </w:r>
      <w:r>
        <w:rPr>
          <w:b/>
          <w:spacing w:val="-12"/>
        </w:rPr>
        <w:t xml:space="preserve"> </w:t>
      </w:r>
      <w:r>
        <w:rPr>
          <w:b/>
        </w:rPr>
        <w:t>con</w:t>
      </w:r>
      <w:r>
        <w:rPr>
          <w:b/>
          <w:spacing w:val="-12"/>
        </w:rPr>
        <w:t xml:space="preserve"> </w:t>
      </w:r>
      <w:r>
        <w:rPr>
          <w:b/>
        </w:rPr>
        <w:t>mayor frecuencia</w:t>
      </w:r>
      <w:r>
        <w:rPr>
          <w:b/>
          <w:spacing w:val="-19"/>
        </w:rPr>
        <w:t xml:space="preserve"> </w:t>
      </w:r>
      <w:r>
        <w:rPr>
          <w:b/>
        </w:rPr>
        <w:t>ser</w:t>
      </w:r>
      <w:r>
        <w:rPr>
          <w:b/>
          <w:spacing w:val="-19"/>
        </w:rPr>
        <w:t xml:space="preserve"> </w:t>
      </w:r>
      <w:r>
        <w:rPr>
          <w:b/>
        </w:rPr>
        <w:t>víctimas</w:t>
      </w:r>
      <w:r>
        <w:rPr>
          <w:b/>
          <w:spacing w:val="-20"/>
        </w:rPr>
        <w:t xml:space="preserve"> </w:t>
      </w:r>
      <w:r>
        <w:rPr>
          <w:b/>
        </w:rPr>
        <w:t>de</w:t>
      </w:r>
      <w:r>
        <w:rPr>
          <w:b/>
          <w:spacing w:val="-20"/>
        </w:rPr>
        <w:t xml:space="preserve"> </w:t>
      </w:r>
      <w:proofErr w:type="spellStart"/>
      <w:proofErr w:type="gramStart"/>
      <w:r>
        <w:rPr>
          <w:b/>
          <w:i/>
        </w:rPr>
        <w:t>bullying</w:t>
      </w:r>
      <w:proofErr w:type="spellEnd"/>
      <w:proofErr w:type="gramEnd"/>
      <w:r>
        <w:rPr>
          <w:b/>
          <w:i/>
          <w:spacing w:val="-19"/>
        </w:rPr>
        <w:t xml:space="preserve"> </w:t>
      </w:r>
      <w:r>
        <w:rPr>
          <w:b/>
        </w:rPr>
        <w:t>o</w:t>
      </w:r>
      <w:r>
        <w:rPr>
          <w:b/>
          <w:spacing w:val="-19"/>
        </w:rPr>
        <w:t xml:space="preserve"> </w:t>
      </w:r>
      <w:r>
        <w:rPr>
          <w:b/>
        </w:rPr>
        <w:t>acoso</w:t>
      </w:r>
      <w:r>
        <w:rPr>
          <w:b/>
          <w:spacing w:val="-19"/>
        </w:rPr>
        <w:t xml:space="preserve"> </w:t>
      </w:r>
      <w:r>
        <w:rPr>
          <w:b/>
        </w:rPr>
        <w:t>escolar</w:t>
      </w:r>
      <w:r>
        <w:rPr>
          <w:b/>
          <w:spacing w:val="-14"/>
        </w:rPr>
        <w:t xml:space="preserve"> </w:t>
      </w:r>
      <w:r>
        <w:t>y</w:t>
      </w:r>
      <w:r>
        <w:rPr>
          <w:spacing w:val="-20"/>
        </w:rPr>
        <w:t xml:space="preserve"> </w:t>
      </w:r>
      <w:r>
        <w:t>además</w:t>
      </w:r>
      <w:r>
        <w:rPr>
          <w:spacing w:val="-20"/>
        </w:rPr>
        <w:t xml:space="preserve"> </w:t>
      </w:r>
      <w:r>
        <w:t xml:space="preserve">tuvieron mayor probabilidad de haber faltado a la escuela o haberse sentido solos en esta que él o la estudiante promedio de todos los países de la OCDE, a pesar de que están más satisfechos con su vida y expresaron menos sentimientos negativos que el estudiante promedio de la OCDE (OCDE, </w:t>
      </w:r>
      <w:r>
        <w:rPr>
          <w:spacing w:val="-2"/>
        </w:rPr>
        <w:t>2018).</w:t>
      </w:r>
    </w:p>
    <w:p w14:paraId="6A6093A8" w14:textId="77777777" w:rsidR="000E52B0" w:rsidRDefault="000E52B0">
      <w:pPr>
        <w:pStyle w:val="Textoindependiente"/>
        <w:jc w:val="both"/>
        <w:sectPr w:rsidR="000E52B0">
          <w:pgSz w:w="11910" w:h="16840"/>
          <w:pgMar w:top="1340" w:right="720" w:bottom="1180" w:left="720" w:header="0" w:footer="995" w:gutter="0"/>
          <w:cols w:space="720"/>
        </w:sectPr>
      </w:pPr>
    </w:p>
    <w:p w14:paraId="160D737E" w14:textId="77777777" w:rsidR="000E52B0" w:rsidRDefault="00F60D74">
      <w:pPr>
        <w:pStyle w:val="Textoindependiente"/>
        <w:spacing w:before="83"/>
        <w:ind w:right="720"/>
        <w:jc w:val="both"/>
      </w:pPr>
      <w:r>
        <w:lastRenderedPageBreak/>
        <w:t xml:space="preserve">En este sentido el Laboratorio de Economía de la Educación de la Pontifica Universidad Javeriana destacó algunas cifras, tomadas sobre las pruebas PISA 2018, entre las cuales las que generan mayor preocupación son las siguientes: 32% de los y las estudiantes reportó haber sido víctima de algún tipo de </w:t>
      </w:r>
      <w:proofErr w:type="spellStart"/>
      <w:r>
        <w:rPr>
          <w:i/>
        </w:rPr>
        <w:t>bullying</w:t>
      </w:r>
      <w:proofErr w:type="spellEnd"/>
      <w:r>
        <w:rPr>
          <w:i/>
        </w:rPr>
        <w:t xml:space="preserve"> </w:t>
      </w:r>
      <w:r>
        <w:t>en sus colegios (cifra 10 p.p. más que el promedio de</w:t>
      </w:r>
      <w:r>
        <w:rPr>
          <w:spacing w:val="-14"/>
        </w:rPr>
        <w:t xml:space="preserve"> </w:t>
      </w:r>
      <w:r>
        <w:t>la</w:t>
      </w:r>
      <w:r>
        <w:rPr>
          <w:spacing w:val="-15"/>
        </w:rPr>
        <w:t xml:space="preserve"> </w:t>
      </w:r>
      <w:r>
        <w:t>OCDE),</w:t>
      </w:r>
      <w:r>
        <w:rPr>
          <w:spacing w:val="-16"/>
        </w:rPr>
        <w:t xml:space="preserve"> </w:t>
      </w:r>
      <w:r>
        <w:t>18.1%</w:t>
      </w:r>
      <w:r>
        <w:rPr>
          <w:spacing w:val="-14"/>
        </w:rPr>
        <w:t xml:space="preserve"> </w:t>
      </w:r>
      <w:r>
        <w:t>manifestó</w:t>
      </w:r>
      <w:r>
        <w:rPr>
          <w:spacing w:val="-14"/>
        </w:rPr>
        <w:t xml:space="preserve"> </w:t>
      </w:r>
      <w:r>
        <w:t>haber</w:t>
      </w:r>
      <w:r>
        <w:rPr>
          <w:spacing w:val="-14"/>
        </w:rPr>
        <w:t xml:space="preserve"> </w:t>
      </w:r>
      <w:r>
        <w:t>sido</w:t>
      </w:r>
      <w:r>
        <w:rPr>
          <w:spacing w:val="-14"/>
        </w:rPr>
        <w:t xml:space="preserve"> </w:t>
      </w:r>
      <w:r>
        <w:t>objeto</w:t>
      </w:r>
      <w:r>
        <w:rPr>
          <w:spacing w:val="-14"/>
        </w:rPr>
        <w:t xml:space="preserve"> </w:t>
      </w:r>
      <w:r>
        <w:t>de</w:t>
      </w:r>
      <w:r>
        <w:rPr>
          <w:spacing w:val="-14"/>
        </w:rPr>
        <w:t xml:space="preserve"> </w:t>
      </w:r>
      <w:r>
        <w:t>burlas</w:t>
      </w:r>
      <w:r>
        <w:rPr>
          <w:spacing w:val="-15"/>
        </w:rPr>
        <w:t xml:space="preserve"> </w:t>
      </w:r>
      <w:r>
        <w:t>por</w:t>
      </w:r>
      <w:r>
        <w:rPr>
          <w:spacing w:val="-14"/>
        </w:rPr>
        <w:t xml:space="preserve"> </w:t>
      </w:r>
      <w:r>
        <w:t>parte</w:t>
      </w:r>
      <w:r>
        <w:rPr>
          <w:spacing w:val="-14"/>
        </w:rPr>
        <w:t xml:space="preserve"> </w:t>
      </w:r>
      <w:r>
        <w:t>de</w:t>
      </w:r>
      <w:r>
        <w:rPr>
          <w:spacing w:val="-14"/>
        </w:rPr>
        <w:t xml:space="preserve"> </w:t>
      </w:r>
      <w:r>
        <w:t>sus compañeros</w:t>
      </w:r>
      <w:r>
        <w:rPr>
          <w:spacing w:val="-22"/>
        </w:rPr>
        <w:t xml:space="preserve"> </w:t>
      </w:r>
      <w:r>
        <w:t>(5,6</w:t>
      </w:r>
      <w:r>
        <w:rPr>
          <w:spacing w:val="-21"/>
        </w:rPr>
        <w:t xml:space="preserve"> </w:t>
      </w:r>
      <w:r>
        <w:t>p.p.</w:t>
      </w:r>
      <w:r>
        <w:rPr>
          <w:spacing w:val="-21"/>
        </w:rPr>
        <w:t xml:space="preserve"> </w:t>
      </w:r>
      <w:r>
        <w:t>más</w:t>
      </w:r>
      <w:r>
        <w:rPr>
          <w:spacing w:val="-21"/>
        </w:rPr>
        <w:t xml:space="preserve"> </w:t>
      </w:r>
      <w:r>
        <w:t>que</w:t>
      </w:r>
      <w:r>
        <w:rPr>
          <w:spacing w:val="-20"/>
        </w:rPr>
        <w:t xml:space="preserve"> </w:t>
      </w:r>
      <w:r>
        <w:t>el</w:t>
      </w:r>
      <w:r>
        <w:rPr>
          <w:spacing w:val="-21"/>
        </w:rPr>
        <w:t xml:space="preserve"> </w:t>
      </w:r>
      <w:r>
        <w:t>promedio),</w:t>
      </w:r>
      <w:r>
        <w:rPr>
          <w:spacing w:val="-21"/>
        </w:rPr>
        <w:t xml:space="preserve"> </w:t>
      </w:r>
      <w:r>
        <w:t>15.9%</w:t>
      </w:r>
      <w:r>
        <w:rPr>
          <w:spacing w:val="-20"/>
        </w:rPr>
        <w:t xml:space="preserve"> </w:t>
      </w:r>
      <w:r>
        <w:t>de</w:t>
      </w:r>
      <w:r>
        <w:rPr>
          <w:spacing w:val="-20"/>
        </w:rPr>
        <w:t xml:space="preserve"> </w:t>
      </w:r>
      <w:r>
        <w:t>los</w:t>
      </w:r>
      <w:r>
        <w:rPr>
          <w:spacing w:val="-21"/>
        </w:rPr>
        <w:t xml:space="preserve"> </w:t>
      </w:r>
      <w:r>
        <w:t>y</w:t>
      </w:r>
      <w:r>
        <w:rPr>
          <w:spacing w:val="-22"/>
        </w:rPr>
        <w:t xml:space="preserve"> </w:t>
      </w:r>
      <w:r>
        <w:t>las</w:t>
      </w:r>
      <w:r>
        <w:rPr>
          <w:spacing w:val="-20"/>
        </w:rPr>
        <w:t xml:space="preserve"> </w:t>
      </w:r>
      <w:r>
        <w:t>estudiantes colombianos señaló que fueron deliberadamente dejados fuera de actividades (7 p.p. más que el promedio), 11.2% de los y las estudiantes colombianos</w:t>
      </w:r>
      <w:r>
        <w:rPr>
          <w:spacing w:val="-8"/>
        </w:rPr>
        <w:t xml:space="preserve"> </w:t>
      </w:r>
      <w:r>
        <w:t>afirmó</w:t>
      </w:r>
      <w:r>
        <w:rPr>
          <w:spacing w:val="-4"/>
        </w:rPr>
        <w:t xml:space="preserve"> </w:t>
      </w:r>
      <w:r>
        <w:t>haber</w:t>
      </w:r>
      <w:r>
        <w:rPr>
          <w:spacing w:val="-6"/>
        </w:rPr>
        <w:t xml:space="preserve"> </w:t>
      </w:r>
      <w:r>
        <w:t>sido</w:t>
      </w:r>
      <w:r>
        <w:rPr>
          <w:spacing w:val="-7"/>
        </w:rPr>
        <w:t xml:space="preserve"> </w:t>
      </w:r>
      <w:r>
        <w:t>golpeado</w:t>
      </w:r>
      <w:r>
        <w:rPr>
          <w:spacing w:val="-7"/>
        </w:rPr>
        <w:t xml:space="preserve"> </w:t>
      </w:r>
      <w:r>
        <w:t>o</w:t>
      </w:r>
      <w:r>
        <w:rPr>
          <w:spacing w:val="-7"/>
        </w:rPr>
        <w:t xml:space="preserve"> </w:t>
      </w:r>
      <w:r>
        <w:t>empujado</w:t>
      </w:r>
      <w:r>
        <w:rPr>
          <w:spacing w:val="-7"/>
        </w:rPr>
        <w:t xml:space="preserve"> </w:t>
      </w:r>
      <w:r>
        <w:t>por</w:t>
      </w:r>
      <w:r>
        <w:rPr>
          <w:spacing w:val="-6"/>
        </w:rPr>
        <w:t xml:space="preserve"> </w:t>
      </w:r>
      <w:r>
        <w:t>otros</w:t>
      </w:r>
      <w:r>
        <w:rPr>
          <w:spacing w:val="-8"/>
        </w:rPr>
        <w:t xml:space="preserve"> </w:t>
      </w:r>
      <w:r>
        <w:t>estudiantes (4 p.p. por encima del promedio).</w:t>
      </w:r>
    </w:p>
    <w:p w14:paraId="1D146BFD" w14:textId="77777777" w:rsidR="000E52B0" w:rsidRDefault="00F60D74">
      <w:pPr>
        <w:pStyle w:val="Textoindependiente"/>
        <w:spacing w:before="159"/>
        <w:ind w:right="715"/>
        <w:jc w:val="both"/>
      </w:pPr>
      <w:r>
        <w:t>Para 2022, en la prueba PISA, los estudiantes reportaron sentirse más seguros y menos expuestos al acoso y otros riesgos en su escuela. Alrededor</w:t>
      </w:r>
      <w:r>
        <w:rPr>
          <w:spacing w:val="-16"/>
        </w:rPr>
        <w:t xml:space="preserve"> </w:t>
      </w:r>
      <w:r>
        <w:t>del</w:t>
      </w:r>
      <w:r>
        <w:rPr>
          <w:spacing w:val="-18"/>
        </w:rPr>
        <w:t xml:space="preserve"> </w:t>
      </w:r>
      <w:r>
        <w:t>23%</w:t>
      </w:r>
      <w:r>
        <w:rPr>
          <w:spacing w:val="-17"/>
        </w:rPr>
        <w:t xml:space="preserve"> </w:t>
      </w:r>
      <w:r>
        <w:t>de</w:t>
      </w:r>
      <w:r>
        <w:rPr>
          <w:spacing w:val="-16"/>
        </w:rPr>
        <w:t xml:space="preserve"> </w:t>
      </w:r>
      <w:r>
        <w:t>las</w:t>
      </w:r>
      <w:r>
        <w:rPr>
          <w:spacing w:val="-18"/>
        </w:rPr>
        <w:t xml:space="preserve"> </w:t>
      </w:r>
      <w:r>
        <w:t>niñas</w:t>
      </w:r>
      <w:r>
        <w:rPr>
          <w:spacing w:val="-18"/>
        </w:rPr>
        <w:t xml:space="preserve"> </w:t>
      </w:r>
      <w:r>
        <w:t>y</w:t>
      </w:r>
      <w:r>
        <w:rPr>
          <w:spacing w:val="-16"/>
        </w:rPr>
        <w:t xml:space="preserve"> </w:t>
      </w:r>
      <w:r>
        <w:t>el</w:t>
      </w:r>
      <w:r>
        <w:rPr>
          <w:spacing w:val="-18"/>
        </w:rPr>
        <w:t xml:space="preserve"> </w:t>
      </w:r>
      <w:r>
        <w:t>25%</w:t>
      </w:r>
      <w:r>
        <w:rPr>
          <w:spacing w:val="-17"/>
        </w:rPr>
        <w:t xml:space="preserve"> </w:t>
      </w:r>
      <w:r>
        <w:t>de</w:t>
      </w:r>
      <w:r>
        <w:rPr>
          <w:spacing w:val="-16"/>
        </w:rPr>
        <w:t xml:space="preserve"> </w:t>
      </w:r>
      <w:r>
        <w:t>los</w:t>
      </w:r>
      <w:r>
        <w:rPr>
          <w:spacing w:val="-17"/>
        </w:rPr>
        <w:t xml:space="preserve"> </w:t>
      </w:r>
      <w:r>
        <w:t>niños</w:t>
      </w:r>
      <w:r>
        <w:rPr>
          <w:spacing w:val="-18"/>
        </w:rPr>
        <w:t xml:space="preserve"> </w:t>
      </w:r>
      <w:r>
        <w:t>informaron</w:t>
      </w:r>
      <w:r>
        <w:rPr>
          <w:spacing w:val="-18"/>
        </w:rPr>
        <w:t xml:space="preserve"> </w:t>
      </w:r>
      <w:r>
        <w:t>haber</w:t>
      </w:r>
      <w:r>
        <w:rPr>
          <w:spacing w:val="-16"/>
        </w:rPr>
        <w:t xml:space="preserve"> </w:t>
      </w:r>
      <w:r>
        <w:t>sido víctimas de actos de intimidación al menos unas cuantas veces al mes (promedio de la OCDE: 20 % de las niñas y 21 % de los niños). En el promedio de los países de la OCDE, menos estudiantes estuvieron expuestos al acoso en 2022 en comparación con 2018</w:t>
      </w:r>
      <w:hyperlink w:anchor="_bookmark75" w:history="1">
        <w:r w:rsidR="000E52B0">
          <w:rPr>
            <w:position w:val="8"/>
            <w:sz w:val="16"/>
          </w:rPr>
          <w:t>64</w:t>
        </w:r>
      </w:hyperlink>
      <w:r>
        <w:t>. Las dos situaciones</w:t>
      </w:r>
      <w:r>
        <w:rPr>
          <w:spacing w:val="-1"/>
        </w:rPr>
        <w:t xml:space="preserve"> </w:t>
      </w:r>
      <w:r>
        <w:t>más</w:t>
      </w:r>
      <w:r>
        <w:rPr>
          <w:spacing w:val="-2"/>
        </w:rPr>
        <w:t xml:space="preserve"> </w:t>
      </w:r>
      <w:r>
        <w:t>frecuentes</w:t>
      </w:r>
      <w:r>
        <w:rPr>
          <w:spacing w:val="-2"/>
        </w:rPr>
        <w:t xml:space="preserve"> </w:t>
      </w:r>
      <w:r>
        <w:t>fueron</w:t>
      </w:r>
      <w:r>
        <w:rPr>
          <w:spacing w:val="-2"/>
        </w:rPr>
        <w:t xml:space="preserve"> </w:t>
      </w:r>
      <w:r>
        <w:t>“Otros</w:t>
      </w:r>
      <w:r>
        <w:rPr>
          <w:spacing w:val="-2"/>
        </w:rPr>
        <w:t xml:space="preserve"> </w:t>
      </w:r>
      <w:r>
        <w:t>estudiantes</w:t>
      </w:r>
      <w:r>
        <w:rPr>
          <w:spacing w:val="-2"/>
        </w:rPr>
        <w:t xml:space="preserve"> </w:t>
      </w:r>
      <w:r>
        <w:t>se</w:t>
      </w:r>
      <w:r>
        <w:rPr>
          <w:spacing w:val="-1"/>
        </w:rPr>
        <w:t xml:space="preserve"> </w:t>
      </w:r>
      <w:r>
        <w:t>burlaron</w:t>
      </w:r>
      <w:r>
        <w:rPr>
          <w:spacing w:val="-2"/>
        </w:rPr>
        <w:t xml:space="preserve"> </w:t>
      </w:r>
      <w:r>
        <w:t>de</w:t>
      </w:r>
      <w:r>
        <w:rPr>
          <w:spacing w:val="-1"/>
        </w:rPr>
        <w:t xml:space="preserve"> </w:t>
      </w:r>
      <w:r>
        <w:t>mí”</w:t>
      </w:r>
      <w:r>
        <w:rPr>
          <w:spacing w:val="-2"/>
        </w:rPr>
        <w:t xml:space="preserve"> </w:t>
      </w:r>
      <w:r>
        <w:t>y “Otros estudiantes difundieron rumores desagradables sobre mí”, reportadas por el 12% y 11% respectivamente.</w:t>
      </w:r>
    </w:p>
    <w:p w14:paraId="337F79C4" w14:textId="77777777" w:rsidR="000E52B0" w:rsidRDefault="00F60D74">
      <w:pPr>
        <w:pStyle w:val="Textoindependiente"/>
        <w:spacing w:before="160"/>
        <w:ind w:right="719"/>
        <w:jc w:val="both"/>
      </w:pPr>
      <w:r>
        <w:t>En el INMLCF el total de homicidios reportados para 2022 son 13.939 (12.848</w:t>
      </w:r>
      <w:r>
        <w:rPr>
          <w:spacing w:val="-10"/>
        </w:rPr>
        <w:t xml:space="preserve"> </w:t>
      </w:r>
      <w:r>
        <w:t>de</w:t>
      </w:r>
      <w:r>
        <w:rPr>
          <w:spacing w:val="-10"/>
        </w:rPr>
        <w:t xml:space="preserve"> </w:t>
      </w:r>
      <w:r>
        <w:t>hombres</w:t>
      </w:r>
      <w:r>
        <w:rPr>
          <w:spacing w:val="-11"/>
        </w:rPr>
        <w:t xml:space="preserve"> </w:t>
      </w:r>
      <w:r>
        <w:t>y</w:t>
      </w:r>
      <w:r>
        <w:rPr>
          <w:spacing w:val="-11"/>
        </w:rPr>
        <w:t xml:space="preserve"> </w:t>
      </w:r>
      <w:r>
        <w:t>1.080</w:t>
      </w:r>
      <w:r>
        <w:rPr>
          <w:spacing w:val="-10"/>
        </w:rPr>
        <w:t xml:space="preserve"> </w:t>
      </w:r>
      <w:r>
        <w:t>de</w:t>
      </w:r>
      <w:r>
        <w:rPr>
          <w:spacing w:val="-10"/>
        </w:rPr>
        <w:t xml:space="preserve"> </w:t>
      </w:r>
      <w:r>
        <w:t>mujeres),</w:t>
      </w:r>
      <w:r>
        <w:rPr>
          <w:spacing w:val="-12"/>
        </w:rPr>
        <w:t xml:space="preserve"> </w:t>
      </w:r>
      <w:r>
        <w:t>544</w:t>
      </w:r>
      <w:r>
        <w:rPr>
          <w:spacing w:val="-10"/>
        </w:rPr>
        <w:t xml:space="preserve"> </w:t>
      </w:r>
      <w:r>
        <w:t>menos</w:t>
      </w:r>
      <w:r>
        <w:rPr>
          <w:spacing w:val="-11"/>
        </w:rPr>
        <w:t xml:space="preserve"> </w:t>
      </w:r>
      <w:r>
        <w:t>que</w:t>
      </w:r>
      <w:r>
        <w:rPr>
          <w:spacing w:val="-10"/>
        </w:rPr>
        <w:t xml:space="preserve"> </w:t>
      </w:r>
      <w:r>
        <w:t>lo</w:t>
      </w:r>
      <w:r>
        <w:rPr>
          <w:spacing w:val="-11"/>
        </w:rPr>
        <w:t xml:space="preserve"> </w:t>
      </w:r>
      <w:r>
        <w:t>reportado</w:t>
      </w:r>
      <w:r>
        <w:rPr>
          <w:spacing w:val="-11"/>
        </w:rPr>
        <w:t xml:space="preserve"> </w:t>
      </w:r>
      <w:r>
        <w:t>por el DANE. A pesar de la diferencia, estos datos incluyen las características de las víctimas y de las circunstancias que se deben analizar.</w:t>
      </w:r>
    </w:p>
    <w:p w14:paraId="3C6F182A" w14:textId="77777777" w:rsidR="000E52B0" w:rsidRDefault="00F60D74">
      <w:pPr>
        <w:pStyle w:val="Textoindependiente"/>
        <w:spacing w:before="161"/>
        <w:ind w:right="716"/>
        <w:jc w:val="both"/>
      </w:pPr>
      <w:r>
        <w:rPr>
          <w:b/>
        </w:rPr>
        <w:t xml:space="preserve">De los 13.939 homicidios el 44% fueron de personas jóvenes (6.093), </w:t>
      </w:r>
      <w:r>
        <w:t>si se tiene en cuenta que el 24% de la población en el país es joven, es posible dimensionar el impacto desproporcionado de la violencia física sobre esta población. De las personas jóvenes asesinadas, 44% fueron personas entre los 20 a 24 años, seguido por los de 25 a 28 años con un 36%. Que estos dos grupos de edades sean los de mayor tasa de homicidios aplica también para mujeres, aunque no en la misma proporción. En ellas resulta que el porcentaje de casos entre los 14 a 17 años es el doble que en los hombres (18%).</w:t>
      </w:r>
    </w:p>
    <w:p w14:paraId="0CFED36F" w14:textId="77777777" w:rsidR="000E52B0" w:rsidRDefault="00F60D74">
      <w:pPr>
        <w:spacing w:before="160"/>
        <w:ind w:left="720" w:right="722"/>
        <w:jc w:val="both"/>
        <w:rPr>
          <w:b/>
          <w:sz w:val="24"/>
        </w:rPr>
      </w:pPr>
      <w:r>
        <w:rPr>
          <w:sz w:val="24"/>
        </w:rPr>
        <w:t>Según el INMLCF, el 4,8% de las víctimas eran personas pertenecientes a Pueblos</w:t>
      </w:r>
      <w:r>
        <w:rPr>
          <w:spacing w:val="-6"/>
          <w:sz w:val="24"/>
        </w:rPr>
        <w:t xml:space="preserve"> </w:t>
      </w:r>
      <w:r>
        <w:rPr>
          <w:sz w:val="24"/>
        </w:rPr>
        <w:t>étnicos</w:t>
      </w:r>
      <w:r>
        <w:rPr>
          <w:spacing w:val="-7"/>
          <w:sz w:val="24"/>
        </w:rPr>
        <w:t xml:space="preserve"> </w:t>
      </w:r>
      <w:r>
        <w:rPr>
          <w:sz w:val="24"/>
        </w:rPr>
        <w:t>(671</w:t>
      </w:r>
      <w:r>
        <w:rPr>
          <w:spacing w:val="-5"/>
          <w:sz w:val="24"/>
        </w:rPr>
        <w:t xml:space="preserve"> </w:t>
      </w:r>
      <w:r>
        <w:rPr>
          <w:sz w:val="24"/>
        </w:rPr>
        <w:t>casos),</w:t>
      </w:r>
      <w:r>
        <w:rPr>
          <w:spacing w:val="-7"/>
          <w:sz w:val="24"/>
        </w:rPr>
        <w:t xml:space="preserve"> </w:t>
      </w:r>
      <w:r>
        <w:rPr>
          <w:sz w:val="24"/>
        </w:rPr>
        <w:t>sin</w:t>
      </w:r>
      <w:r>
        <w:rPr>
          <w:spacing w:val="-7"/>
          <w:sz w:val="24"/>
        </w:rPr>
        <w:t xml:space="preserve"> </w:t>
      </w:r>
      <w:r>
        <w:rPr>
          <w:sz w:val="24"/>
        </w:rPr>
        <w:t>embargo,</w:t>
      </w:r>
      <w:r>
        <w:rPr>
          <w:spacing w:val="-7"/>
          <w:sz w:val="24"/>
        </w:rPr>
        <w:t xml:space="preserve"> </w:t>
      </w:r>
      <w:r>
        <w:rPr>
          <w:sz w:val="24"/>
        </w:rPr>
        <w:t>al</w:t>
      </w:r>
      <w:r>
        <w:rPr>
          <w:spacing w:val="-8"/>
          <w:sz w:val="24"/>
        </w:rPr>
        <w:t xml:space="preserve"> </w:t>
      </w:r>
      <w:r>
        <w:rPr>
          <w:sz w:val="24"/>
        </w:rPr>
        <w:t>registrar</w:t>
      </w:r>
      <w:r>
        <w:rPr>
          <w:spacing w:val="-5"/>
          <w:sz w:val="24"/>
        </w:rPr>
        <w:t xml:space="preserve"> </w:t>
      </w:r>
      <w:r>
        <w:rPr>
          <w:sz w:val="24"/>
        </w:rPr>
        <w:t>el</w:t>
      </w:r>
      <w:r>
        <w:rPr>
          <w:spacing w:val="-7"/>
          <w:sz w:val="24"/>
        </w:rPr>
        <w:t xml:space="preserve"> </w:t>
      </w:r>
      <w:r>
        <w:rPr>
          <w:sz w:val="24"/>
        </w:rPr>
        <w:t>ancestro</w:t>
      </w:r>
      <w:r>
        <w:rPr>
          <w:spacing w:val="-6"/>
          <w:sz w:val="24"/>
        </w:rPr>
        <w:t xml:space="preserve"> </w:t>
      </w:r>
      <w:r>
        <w:rPr>
          <w:sz w:val="24"/>
        </w:rPr>
        <w:t>racial</w:t>
      </w:r>
      <w:r>
        <w:rPr>
          <w:spacing w:val="-8"/>
          <w:sz w:val="24"/>
        </w:rPr>
        <w:t xml:space="preserve"> </w:t>
      </w:r>
      <w:r>
        <w:rPr>
          <w:sz w:val="24"/>
        </w:rPr>
        <w:t xml:space="preserve">de las personas se reportaron 242 indígenas, 206 mulatos y 1.202 personas negras, </w:t>
      </w:r>
      <w:r>
        <w:rPr>
          <w:b/>
          <w:sz w:val="24"/>
        </w:rPr>
        <w:t>lo que realmente corresponde a 11,8% de los presuntos homicidios en 2022.</w:t>
      </w:r>
    </w:p>
    <w:p w14:paraId="27020A70" w14:textId="77777777" w:rsidR="000E52B0" w:rsidRDefault="00F60D74">
      <w:pPr>
        <w:pStyle w:val="Textoindependiente"/>
        <w:spacing w:before="161"/>
        <w:ind w:right="722"/>
        <w:jc w:val="both"/>
      </w:pPr>
      <w:r>
        <w:t>La información preliminar de 2023 mostró un aumento en los homicidios del 0,07%, se registraron 14.033 presuntos homicidios (13.030 de hombres</w:t>
      </w:r>
      <w:r>
        <w:rPr>
          <w:spacing w:val="-8"/>
        </w:rPr>
        <w:t xml:space="preserve"> </w:t>
      </w:r>
      <w:r>
        <w:t>y</w:t>
      </w:r>
      <w:r>
        <w:rPr>
          <w:spacing w:val="-7"/>
        </w:rPr>
        <w:t xml:space="preserve"> </w:t>
      </w:r>
      <w:r>
        <w:t>992</w:t>
      </w:r>
      <w:r>
        <w:rPr>
          <w:spacing w:val="-6"/>
        </w:rPr>
        <w:t xml:space="preserve"> </w:t>
      </w:r>
      <w:r>
        <w:t>de</w:t>
      </w:r>
      <w:r>
        <w:rPr>
          <w:spacing w:val="-7"/>
        </w:rPr>
        <w:t xml:space="preserve"> </w:t>
      </w:r>
      <w:r>
        <w:t>mujeres),</w:t>
      </w:r>
      <w:r>
        <w:rPr>
          <w:spacing w:val="-8"/>
        </w:rPr>
        <w:t xml:space="preserve"> </w:t>
      </w:r>
      <w:r>
        <w:t>sin</w:t>
      </w:r>
      <w:r>
        <w:rPr>
          <w:spacing w:val="-8"/>
        </w:rPr>
        <w:t xml:space="preserve"> </w:t>
      </w:r>
      <w:r>
        <w:t>embargo,</w:t>
      </w:r>
      <w:r>
        <w:rPr>
          <w:spacing w:val="-9"/>
        </w:rPr>
        <w:t xml:space="preserve"> </w:t>
      </w:r>
      <w:r>
        <w:t>de</w:t>
      </w:r>
      <w:r>
        <w:rPr>
          <w:spacing w:val="-6"/>
        </w:rPr>
        <w:t xml:space="preserve"> </w:t>
      </w:r>
      <w:r>
        <w:t>estos,</w:t>
      </w:r>
      <w:r>
        <w:rPr>
          <w:spacing w:val="-6"/>
        </w:rPr>
        <w:t xml:space="preserve"> </w:t>
      </w:r>
      <w:r>
        <w:t>5.965</w:t>
      </w:r>
      <w:r>
        <w:rPr>
          <w:spacing w:val="-7"/>
        </w:rPr>
        <w:t xml:space="preserve"> </w:t>
      </w:r>
      <w:r>
        <w:t>fueron</w:t>
      </w:r>
      <w:r>
        <w:rPr>
          <w:spacing w:val="-7"/>
        </w:rPr>
        <w:t xml:space="preserve"> </w:t>
      </w:r>
      <w:r>
        <w:t>casos</w:t>
      </w:r>
      <w:r>
        <w:rPr>
          <w:spacing w:val="-7"/>
        </w:rPr>
        <w:t xml:space="preserve"> </w:t>
      </w:r>
      <w:r>
        <w:rPr>
          <w:spacing w:val="-5"/>
        </w:rPr>
        <w:t>de</w:t>
      </w:r>
    </w:p>
    <w:p w14:paraId="14573E9C" w14:textId="77777777" w:rsidR="000E52B0" w:rsidRDefault="00F60D74">
      <w:pPr>
        <w:pStyle w:val="Textoindependiente"/>
        <w:spacing w:before="112"/>
        <w:ind w:left="0"/>
        <w:rPr>
          <w:sz w:val="20"/>
        </w:rPr>
      </w:pPr>
      <w:r>
        <w:rPr>
          <w:noProof/>
          <w:sz w:val="20"/>
        </w:rPr>
        <mc:AlternateContent>
          <mc:Choice Requires="wps">
            <w:drawing>
              <wp:anchor distT="0" distB="0" distL="0" distR="0" simplePos="0" relativeHeight="487655424" behindDoc="1" locked="0" layoutInCell="1" allowOverlap="1" wp14:anchorId="795D7CA4" wp14:editId="1283876F">
                <wp:simplePos x="0" y="0"/>
                <wp:positionH relativeFrom="page">
                  <wp:posOffset>914704</wp:posOffset>
                </wp:positionH>
                <wp:positionV relativeFrom="paragraph">
                  <wp:posOffset>240902</wp:posOffset>
                </wp:positionV>
                <wp:extent cx="1829435" cy="7620"/>
                <wp:effectExtent l="0" t="0" r="0" b="0"/>
                <wp:wrapTopAndBottom/>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481D05" id="Graphic 547" o:spid="_x0000_s1026" style="position:absolute;margin-left:1in;margin-top:18.95pt;width:144.05pt;height:.6pt;z-index:-156610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" path="m1829054,l,,,7619r1829054,l1829054,xe" fillcolor="black" stroked="f">
                <v:path arrowok="t"/>
                <w10:wrap type="topAndBottom" anchorx="page"/>
              </v:shape>
            </w:pict>
          </mc:Fallback>
        </mc:AlternateContent>
      </w:r>
    </w:p>
    <w:p w14:paraId="7209AAEE" w14:textId="77777777" w:rsidR="000E52B0" w:rsidRDefault="00F60D74">
      <w:pPr>
        <w:tabs>
          <w:tab w:val="left" w:pos="1308"/>
          <w:tab w:val="left" w:pos="2330"/>
          <w:tab w:val="left" w:pos="3229"/>
          <w:tab w:val="left" w:pos="4445"/>
          <w:tab w:val="left" w:pos="4959"/>
          <w:tab w:val="left" w:pos="6038"/>
          <w:tab w:val="left" w:pos="6872"/>
          <w:tab w:val="left" w:pos="7386"/>
          <w:tab w:val="left" w:pos="8245"/>
          <w:tab w:val="left" w:pos="9099"/>
        </w:tabs>
        <w:spacing w:before="96"/>
        <w:ind w:left="720" w:right="715"/>
        <w:rPr>
          <w:rFonts w:ascii="Arial MT"/>
          <w:sz w:val="18"/>
        </w:rPr>
      </w:pPr>
      <w:bookmarkStart w:id="75" w:name="_bookmark75"/>
      <w:bookmarkEnd w:id="75"/>
      <w:r>
        <w:rPr>
          <w:rFonts w:ascii="Arial MT"/>
          <w:spacing w:val="-6"/>
          <w:position w:val="6"/>
          <w:sz w:val="12"/>
        </w:rPr>
        <w:t>64</w:t>
      </w:r>
      <w:r>
        <w:rPr>
          <w:rFonts w:ascii="Arial MT"/>
          <w:position w:val="6"/>
          <w:sz w:val="12"/>
        </w:rPr>
        <w:tab/>
      </w:r>
      <w:r>
        <w:rPr>
          <w:rFonts w:ascii="Arial MT"/>
          <w:spacing w:val="-2"/>
          <w:sz w:val="18"/>
        </w:rPr>
        <w:t>OCDE,</w:t>
      </w:r>
      <w:r>
        <w:rPr>
          <w:rFonts w:ascii="Arial MT"/>
          <w:sz w:val="18"/>
        </w:rPr>
        <w:tab/>
      </w:r>
      <w:r>
        <w:rPr>
          <w:rFonts w:ascii="Arial MT"/>
          <w:spacing w:val="-4"/>
          <w:sz w:val="18"/>
        </w:rPr>
        <w:t>2022.</w:t>
      </w:r>
      <w:r>
        <w:rPr>
          <w:rFonts w:ascii="Arial MT"/>
          <w:sz w:val="18"/>
        </w:rPr>
        <w:tab/>
      </w:r>
      <w:r>
        <w:rPr>
          <w:rFonts w:ascii="Arial MT"/>
          <w:spacing w:val="-2"/>
          <w:sz w:val="18"/>
        </w:rPr>
        <w:t>Colombia</w:t>
      </w:r>
      <w:r>
        <w:rPr>
          <w:rFonts w:ascii="Arial MT"/>
          <w:sz w:val="18"/>
        </w:rPr>
        <w:tab/>
      </w:r>
      <w:r>
        <w:rPr>
          <w:rFonts w:ascii="Arial MT"/>
          <w:spacing w:val="-10"/>
          <w:sz w:val="18"/>
        </w:rPr>
        <w:t>-</w:t>
      </w:r>
      <w:r>
        <w:rPr>
          <w:rFonts w:ascii="Arial MT"/>
          <w:sz w:val="18"/>
        </w:rPr>
        <w:tab/>
      </w:r>
      <w:r>
        <w:rPr>
          <w:rFonts w:ascii="Arial MT"/>
          <w:spacing w:val="-2"/>
          <w:sz w:val="18"/>
        </w:rPr>
        <w:t>Country</w:t>
      </w:r>
      <w:r>
        <w:rPr>
          <w:rFonts w:ascii="Arial MT"/>
          <w:sz w:val="18"/>
        </w:rPr>
        <w:tab/>
      </w:r>
      <w:r>
        <w:rPr>
          <w:rFonts w:ascii="Arial MT"/>
          <w:spacing w:val="-4"/>
          <w:sz w:val="18"/>
        </w:rPr>
        <w:t>Note</w:t>
      </w:r>
      <w:r>
        <w:rPr>
          <w:rFonts w:ascii="Arial MT"/>
          <w:sz w:val="18"/>
        </w:rPr>
        <w:tab/>
      </w:r>
      <w:r>
        <w:rPr>
          <w:rFonts w:ascii="Arial MT"/>
          <w:spacing w:val="-10"/>
          <w:sz w:val="18"/>
        </w:rPr>
        <w:t>-</w:t>
      </w:r>
      <w:r>
        <w:rPr>
          <w:rFonts w:ascii="Arial MT"/>
          <w:sz w:val="18"/>
        </w:rPr>
        <w:tab/>
      </w:r>
      <w:r>
        <w:rPr>
          <w:rFonts w:ascii="Arial MT"/>
          <w:spacing w:val="-4"/>
          <w:sz w:val="18"/>
        </w:rPr>
        <w:t>PISA</w:t>
      </w:r>
      <w:r>
        <w:rPr>
          <w:rFonts w:ascii="Arial MT"/>
          <w:sz w:val="18"/>
        </w:rPr>
        <w:tab/>
      </w:r>
      <w:r>
        <w:rPr>
          <w:rFonts w:ascii="Arial MT"/>
          <w:spacing w:val="-4"/>
          <w:sz w:val="18"/>
        </w:rPr>
        <w:t>2022</w:t>
      </w:r>
      <w:r>
        <w:rPr>
          <w:rFonts w:ascii="Arial MT"/>
          <w:sz w:val="18"/>
        </w:rPr>
        <w:tab/>
      </w:r>
      <w:proofErr w:type="spellStart"/>
      <w:r>
        <w:rPr>
          <w:rFonts w:ascii="Arial MT"/>
          <w:spacing w:val="-2"/>
          <w:sz w:val="18"/>
        </w:rPr>
        <w:t>Results</w:t>
      </w:r>
      <w:proofErr w:type="spellEnd"/>
      <w:r>
        <w:rPr>
          <w:rFonts w:ascii="Arial MT"/>
          <w:spacing w:val="-2"/>
          <w:sz w:val="18"/>
        </w:rPr>
        <w:t xml:space="preserve">. </w:t>
      </w:r>
      <w:hyperlink r:id="rId184">
        <w:r w:rsidR="000E52B0">
          <w:rPr>
            <w:rFonts w:ascii="Arial MT"/>
            <w:color w:val="E22C91"/>
            <w:spacing w:val="-2"/>
            <w:sz w:val="18"/>
            <w:u w:val="single" w:color="E22C91"/>
          </w:rPr>
          <w:t>https://www.oecd.org/pisa/publications/Countrynote_COL_Spanish.pdf</w:t>
        </w:r>
      </w:hyperlink>
    </w:p>
    <w:p w14:paraId="77EF5881" w14:textId="77777777" w:rsidR="000E52B0" w:rsidRDefault="000E52B0">
      <w:pPr>
        <w:rPr>
          <w:rFonts w:ascii="Arial MT"/>
          <w:sz w:val="18"/>
        </w:rPr>
        <w:sectPr w:rsidR="000E52B0">
          <w:pgSz w:w="11910" w:h="16840"/>
          <w:pgMar w:top="1340" w:right="720" w:bottom="1180" w:left="720" w:header="0" w:footer="995" w:gutter="0"/>
          <w:cols w:space="720"/>
        </w:sectPr>
      </w:pPr>
    </w:p>
    <w:p w14:paraId="34234A5F" w14:textId="77777777" w:rsidR="000E52B0" w:rsidRDefault="00F60D74">
      <w:pPr>
        <w:pStyle w:val="Textoindependiente"/>
        <w:spacing w:before="83"/>
        <w:ind w:right="724"/>
        <w:jc w:val="both"/>
      </w:pPr>
      <w:r>
        <w:lastRenderedPageBreak/>
        <w:t>personas</w:t>
      </w:r>
      <w:r>
        <w:rPr>
          <w:spacing w:val="-19"/>
        </w:rPr>
        <w:t xml:space="preserve"> </w:t>
      </w:r>
      <w:r>
        <w:t>jóvenes,</w:t>
      </w:r>
      <w:r>
        <w:rPr>
          <w:spacing w:val="-19"/>
        </w:rPr>
        <w:t xml:space="preserve"> </w:t>
      </w:r>
      <w:r>
        <w:t>correspondiente</w:t>
      </w:r>
      <w:r>
        <w:rPr>
          <w:spacing w:val="-18"/>
        </w:rPr>
        <w:t xml:space="preserve"> </w:t>
      </w:r>
      <w:r>
        <w:t>al</w:t>
      </w:r>
      <w:r>
        <w:rPr>
          <w:spacing w:val="-20"/>
        </w:rPr>
        <w:t xml:space="preserve"> </w:t>
      </w:r>
      <w:r>
        <w:t>42,5%,</w:t>
      </w:r>
      <w:r>
        <w:rPr>
          <w:spacing w:val="-19"/>
        </w:rPr>
        <w:t xml:space="preserve"> </w:t>
      </w:r>
      <w:r>
        <w:t>lo</w:t>
      </w:r>
      <w:r>
        <w:rPr>
          <w:spacing w:val="-19"/>
        </w:rPr>
        <w:t xml:space="preserve"> </w:t>
      </w:r>
      <w:r>
        <w:t>que</w:t>
      </w:r>
      <w:r>
        <w:rPr>
          <w:spacing w:val="-16"/>
        </w:rPr>
        <w:t xml:space="preserve"> </w:t>
      </w:r>
      <w:r>
        <w:t>significa</w:t>
      </w:r>
      <w:r>
        <w:rPr>
          <w:spacing w:val="-19"/>
        </w:rPr>
        <w:t xml:space="preserve"> </w:t>
      </w:r>
      <w:r>
        <w:t>una</w:t>
      </w:r>
      <w:r>
        <w:rPr>
          <w:spacing w:val="-17"/>
        </w:rPr>
        <w:t xml:space="preserve"> </w:t>
      </w:r>
      <w:r>
        <w:t>reducción del 1,5 p.p. respecto a 2022.</w:t>
      </w:r>
    </w:p>
    <w:p w14:paraId="48E8DB94" w14:textId="07C18550" w:rsidR="000E52B0" w:rsidRDefault="00F60D74">
      <w:pPr>
        <w:pStyle w:val="Textoindependiente"/>
        <w:spacing w:before="158"/>
        <w:ind w:right="715"/>
        <w:jc w:val="both"/>
      </w:pPr>
      <w:r>
        <w:t>Frente a las violencias no fatales, estas abarcan desde la violencia interpersonal y la intrafamiliar hasta las agresiones sexuales, que afectan especialmente</w:t>
      </w:r>
      <w:r>
        <w:rPr>
          <w:spacing w:val="-14"/>
        </w:rPr>
        <w:t xml:space="preserve"> </w:t>
      </w:r>
      <w:r>
        <w:t>a</w:t>
      </w:r>
      <w:r>
        <w:rPr>
          <w:spacing w:val="-14"/>
        </w:rPr>
        <w:t xml:space="preserve"> </w:t>
      </w:r>
      <w:r>
        <w:t>las</w:t>
      </w:r>
      <w:r>
        <w:rPr>
          <w:spacing w:val="-10"/>
        </w:rPr>
        <w:t xml:space="preserve"> </w:t>
      </w:r>
      <w:r>
        <w:t>juventudes</w:t>
      </w:r>
      <w:r>
        <w:rPr>
          <w:spacing w:val="-14"/>
        </w:rPr>
        <w:t xml:space="preserve"> </w:t>
      </w:r>
      <w:r>
        <w:t>en</w:t>
      </w:r>
      <w:r>
        <w:rPr>
          <w:spacing w:val="-14"/>
        </w:rPr>
        <w:t xml:space="preserve"> </w:t>
      </w:r>
      <w:r>
        <w:t>diferentes</w:t>
      </w:r>
      <w:r>
        <w:rPr>
          <w:spacing w:val="-15"/>
        </w:rPr>
        <w:t xml:space="preserve"> </w:t>
      </w:r>
      <w:r>
        <w:t>contextos.</w:t>
      </w:r>
      <w:r>
        <w:rPr>
          <w:spacing w:val="-15"/>
        </w:rPr>
        <w:t xml:space="preserve"> </w:t>
      </w:r>
      <w:r>
        <w:t>Y</w:t>
      </w:r>
      <w:r>
        <w:rPr>
          <w:spacing w:val="-14"/>
        </w:rPr>
        <w:t xml:space="preserve"> </w:t>
      </w:r>
      <w:r>
        <w:t>operan</w:t>
      </w:r>
      <w:r>
        <w:rPr>
          <w:spacing w:val="-14"/>
        </w:rPr>
        <w:t xml:space="preserve"> </w:t>
      </w:r>
      <w:r>
        <w:t xml:space="preserve">diferente </w:t>
      </w:r>
      <w:r w:rsidR="00203383">
        <w:t>debido al</w:t>
      </w:r>
      <w:r>
        <w:t xml:space="preserve"> género, la violencia dirigida hacia los hombres jóvenes tiene el</w:t>
      </w:r>
      <w:r>
        <w:rPr>
          <w:spacing w:val="-22"/>
        </w:rPr>
        <w:t xml:space="preserve"> </w:t>
      </w:r>
      <w:r>
        <w:t>propósito</w:t>
      </w:r>
      <w:r>
        <w:rPr>
          <w:spacing w:val="-20"/>
        </w:rPr>
        <w:t xml:space="preserve"> </w:t>
      </w:r>
      <w:r>
        <w:t>de</w:t>
      </w:r>
      <w:r>
        <w:rPr>
          <w:spacing w:val="-20"/>
        </w:rPr>
        <w:t xml:space="preserve"> </w:t>
      </w:r>
      <w:r>
        <w:t>eliminar,</w:t>
      </w:r>
      <w:r>
        <w:rPr>
          <w:spacing w:val="-21"/>
        </w:rPr>
        <w:t xml:space="preserve"> </w:t>
      </w:r>
      <w:r>
        <w:t>mientras</w:t>
      </w:r>
      <w:r>
        <w:rPr>
          <w:spacing w:val="-20"/>
        </w:rPr>
        <w:t xml:space="preserve"> </w:t>
      </w:r>
      <w:r>
        <w:t>que</w:t>
      </w:r>
      <w:r>
        <w:rPr>
          <w:spacing w:val="-20"/>
        </w:rPr>
        <w:t xml:space="preserve"> </w:t>
      </w:r>
      <w:r>
        <w:t>la</w:t>
      </w:r>
      <w:r>
        <w:rPr>
          <w:spacing w:val="-19"/>
        </w:rPr>
        <w:t xml:space="preserve"> </w:t>
      </w:r>
      <w:r>
        <w:t>violencia</w:t>
      </w:r>
      <w:r>
        <w:rPr>
          <w:spacing w:val="-21"/>
        </w:rPr>
        <w:t xml:space="preserve"> </w:t>
      </w:r>
      <w:r>
        <w:t>dirigida</w:t>
      </w:r>
      <w:r>
        <w:rPr>
          <w:spacing w:val="-21"/>
        </w:rPr>
        <w:t xml:space="preserve"> </w:t>
      </w:r>
      <w:r>
        <w:t>hacia</w:t>
      </w:r>
      <w:r>
        <w:rPr>
          <w:spacing w:val="-21"/>
        </w:rPr>
        <w:t xml:space="preserve"> </w:t>
      </w:r>
      <w:r>
        <w:t>las</w:t>
      </w:r>
      <w:r>
        <w:rPr>
          <w:spacing w:val="-21"/>
        </w:rPr>
        <w:t xml:space="preserve"> </w:t>
      </w:r>
      <w:r>
        <w:t>mujeres jóvenes tiene el propósito de controlar y disciplinar. Como consecuencia, los</w:t>
      </w:r>
      <w:r>
        <w:rPr>
          <w:spacing w:val="-7"/>
        </w:rPr>
        <w:t xml:space="preserve"> </w:t>
      </w:r>
      <w:r>
        <w:t>hombres</w:t>
      </w:r>
      <w:r>
        <w:rPr>
          <w:spacing w:val="-8"/>
        </w:rPr>
        <w:t xml:space="preserve"> </w:t>
      </w:r>
      <w:r>
        <w:t>con</w:t>
      </w:r>
      <w:r>
        <w:rPr>
          <w:spacing w:val="-7"/>
        </w:rPr>
        <w:t xml:space="preserve"> </w:t>
      </w:r>
      <w:r>
        <w:t>mayor</w:t>
      </w:r>
      <w:r>
        <w:rPr>
          <w:spacing w:val="-6"/>
        </w:rPr>
        <w:t xml:space="preserve"> </w:t>
      </w:r>
      <w:r>
        <w:t>frecuencia</w:t>
      </w:r>
      <w:r>
        <w:rPr>
          <w:spacing w:val="-7"/>
        </w:rPr>
        <w:t xml:space="preserve"> </w:t>
      </w:r>
      <w:r>
        <w:t>son</w:t>
      </w:r>
      <w:r>
        <w:rPr>
          <w:spacing w:val="-7"/>
        </w:rPr>
        <w:t xml:space="preserve"> </w:t>
      </w:r>
      <w:r>
        <w:t>víctimas</w:t>
      </w:r>
      <w:r>
        <w:rPr>
          <w:spacing w:val="-8"/>
        </w:rPr>
        <w:t xml:space="preserve"> </w:t>
      </w:r>
      <w:r>
        <w:t>de</w:t>
      </w:r>
      <w:r>
        <w:rPr>
          <w:spacing w:val="-6"/>
        </w:rPr>
        <w:t xml:space="preserve"> </w:t>
      </w:r>
      <w:r>
        <w:t>homicidio,</w:t>
      </w:r>
      <w:r>
        <w:rPr>
          <w:spacing w:val="-8"/>
        </w:rPr>
        <w:t xml:space="preserve"> </w:t>
      </w:r>
      <w:r>
        <w:t>por</w:t>
      </w:r>
      <w:r>
        <w:rPr>
          <w:spacing w:val="-1"/>
        </w:rPr>
        <w:t xml:space="preserve"> </w:t>
      </w:r>
      <w:r>
        <w:t>ejemplo, y las mujeres de violencias sexuales.</w:t>
      </w:r>
    </w:p>
    <w:p w14:paraId="283C9808" w14:textId="77777777" w:rsidR="000E52B0" w:rsidRDefault="00F60D74">
      <w:pPr>
        <w:pStyle w:val="Textoindependiente"/>
        <w:spacing w:before="160"/>
        <w:ind w:right="719"/>
        <w:jc w:val="both"/>
      </w:pPr>
      <w:r>
        <w:t>Así,</w:t>
      </w:r>
      <w:r>
        <w:rPr>
          <w:spacing w:val="-18"/>
        </w:rPr>
        <w:t xml:space="preserve"> </w:t>
      </w:r>
      <w:r>
        <w:t>los</w:t>
      </w:r>
      <w:r>
        <w:rPr>
          <w:spacing w:val="-17"/>
        </w:rPr>
        <w:t xml:space="preserve"> </w:t>
      </w:r>
      <w:r>
        <w:t>casos</w:t>
      </w:r>
      <w:r>
        <w:rPr>
          <w:spacing w:val="-17"/>
        </w:rPr>
        <w:t xml:space="preserve"> </w:t>
      </w:r>
      <w:r>
        <w:t>de</w:t>
      </w:r>
      <w:r>
        <w:rPr>
          <w:spacing w:val="-16"/>
        </w:rPr>
        <w:t xml:space="preserve"> </w:t>
      </w:r>
      <w:r>
        <w:t>violencia</w:t>
      </w:r>
      <w:r>
        <w:rPr>
          <w:spacing w:val="-17"/>
        </w:rPr>
        <w:t xml:space="preserve"> </w:t>
      </w:r>
      <w:r>
        <w:t>interpersonal</w:t>
      </w:r>
      <w:r>
        <w:rPr>
          <w:spacing w:val="-18"/>
        </w:rPr>
        <w:t xml:space="preserve"> </w:t>
      </w:r>
      <w:r>
        <w:t>de</w:t>
      </w:r>
      <w:r>
        <w:rPr>
          <w:spacing w:val="-16"/>
        </w:rPr>
        <w:t xml:space="preserve"> </w:t>
      </w:r>
      <w:r>
        <w:t>personas</w:t>
      </w:r>
      <w:r>
        <w:rPr>
          <w:spacing w:val="-17"/>
        </w:rPr>
        <w:t xml:space="preserve"> </w:t>
      </w:r>
      <w:r>
        <w:t>jóvenes</w:t>
      </w:r>
      <w:r>
        <w:rPr>
          <w:spacing w:val="-20"/>
        </w:rPr>
        <w:t xml:space="preserve"> </w:t>
      </w:r>
      <w:r>
        <w:t>correspondían al 42% de total nacional de 2021 según cifras del INMLCF. En 2022 correspondió al 41% de los 87.580 casos de violencia interpersonal en el país. Aunque la participación de personas jóvenes en este tipo de lesiones parece ir disminuyendo, en 2023 fue de 40%, en todo caso destaca el impacto también desproporcionado de la población joven (35.688). Este tipo de violencias es más frecuente contra los hombres jóvenes, que mujeres, del total de lesiones de violencia interpersonal 23.722 fueron de hombres</w:t>
      </w:r>
      <w:r>
        <w:rPr>
          <w:spacing w:val="-11"/>
        </w:rPr>
        <w:t xml:space="preserve"> </w:t>
      </w:r>
      <w:r>
        <w:t>en</w:t>
      </w:r>
      <w:r>
        <w:rPr>
          <w:spacing w:val="-12"/>
        </w:rPr>
        <w:t xml:space="preserve"> </w:t>
      </w:r>
      <w:r>
        <w:t>2023</w:t>
      </w:r>
      <w:r>
        <w:rPr>
          <w:spacing w:val="-10"/>
        </w:rPr>
        <w:t xml:space="preserve"> </w:t>
      </w:r>
      <w:r>
        <w:t>y</w:t>
      </w:r>
      <w:r>
        <w:rPr>
          <w:spacing w:val="-11"/>
        </w:rPr>
        <w:t xml:space="preserve"> </w:t>
      </w:r>
      <w:r>
        <w:t>11.966</w:t>
      </w:r>
      <w:r>
        <w:rPr>
          <w:spacing w:val="-10"/>
        </w:rPr>
        <w:t xml:space="preserve"> </w:t>
      </w:r>
      <w:r>
        <w:t>de</w:t>
      </w:r>
      <w:r>
        <w:rPr>
          <w:spacing w:val="-10"/>
        </w:rPr>
        <w:t xml:space="preserve"> </w:t>
      </w:r>
      <w:r>
        <w:t>mujeres,</w:t>
      </w:r>
      <w:r>
        <w:rPr>
          <w:spacing w:val="-12"/>
        </w:rPr>
        <w:t xml:space="preserve"> </w:t>
      </w:r>
      <w:r>
        <w:t>es</w:t>
      </w:r>
      <w:r>
        <w:rPr>
          <w:spacing w:val="-11"/>
        </w:rPr>
        <w:t xml:space="preserve"> </w:t>
      </w:r>
      <w:r>
        <w:t>decir,</w:t>
      </w:r>
      <w:r>
        <w:rPr>
          <w:spacing w:val="-11"/>
        </w:rPr>
        <w:t xml:space="preserve"> </w:t>
      </w:r>
      <w:r>
        <w:t>dos</w:t>
      </w:r>
      <w:r>
        <w:rPr>
          <w:spacing w:val="-11"/>
        </w:rPr>
        <w:t xml:space="preserve"> </w:t>
      </w:r>
      <w:r>
        <w:t>de</w:t>
      </w:r>
      <w:r>
        <w:rPr>
          <w:spacing w:val="-10"/>
        </w:rPr>
        <w:t xml:space="preserve"> </w:t>
      </w:r>
      <w:r>
        <w:t>cada</w:t>
      </w:r>
      <w:r>
        <w:rPr>
          <w:spacing w:val="-11"/>
        </w:rPr>
        <w:t xml:space="preserve"> </w:t>
      </w:r>
      <w:r>
        <w:t>tres</w:t>
      </w:r>
      <w:r>
        <w:rPr>
          <w:spacing w:val="-11"/>
        </w:rPr>
        <w:t xml:space="preserve"> </w:t>
      </w:r>
      <w:r>
        <w:t>casos</w:t>
      </w:r>
      <w:r>
        <w:rPr>
          <w:spacing w:val="-11"/>
        </w:rPr>
        <w:t xml:space="preserve"> </w:t>
      </w:r>
      <w:r>
        <w:t>de violencia interpersonal son de hombres.</w:t>
      </w:r>
    </w:p>
    <w:p w14:paraId="37A12786" w14:textId="6AEA3887" w:rsidR="000E52B0" w:rsidRDefault="00F60D74">
      <w:pPr>
        <w:pStyle w:val="Textoindependiente"/>
        <w:spacing w:before="161"/>
        <w:ind w:right="716"/>
        <w:jc w:val="both"/>
      </w:pPr>
      <w:r>
        <w:t>La</w:t>
      </w:r>
      <w:r>
        <w:rPr>
          <w:spacing w:val="-16"/>
        </w:rPr>
        <w:t xml:space="preserve"> </w:t>
      </w:r>
      <w:r>
        <w:t>distribución</w:t>
      </w:r>
      <w:r>
        <w:rPr>
          <w:spacing w:val="-14"/>
        </w:rPr>
        <w:t xml:space="preserve"> </w:t>
      </w:r>
      <w:r>
        <w:t>de</w:t>
      </w:r>
      <w:r>
        <w:rPr>
          <w:spacing w:val="-15"/>
        </w:rPr>
        <w:t xml:space="preserve"> </w:t>
      </w:r>
      <w:r>
        <w:t>las</w:t>
      </w:r>
      <w:r>
        <w:rPr>
          <w:spacing w:val="-16"/>
        </w:rPr>
        <w:t xml:space="preserve"> </w:t>
      </w:r>
      <w:r>
        <w:t>lesiones</w:t>
      </w:r>
      <w:r>
        <w:rPr>
          <w:spacing w:val="-16"/>
        </w:rPr>
        <w:t xml:space="preserve"> </w:t>
      </w:r>
      <w:r>
        <w:t>es</w:t>
      </w:r>
      <w:r>
        <w:rPr>
          <w:spacing w:val="-16"/>
        </w:rPr>
        <w:t xml:space="preserve"> </w:t>
      </w:r>
      <w:r>
        <w:t>similar</w:t>
      </w:r>
      <w:r>
        <w:rPr>
          <w:spacing w:val="-13"/>
        </w:rPr>
        <w:t xml:space="preserve"> </w:t>
      </w:r>
      <w:r>
        <w:t>en</w:t>
      </w:r>
      <w:r>
        <w:rPr>
          <w:spacing w:val="-17"/>
        </w:rPr>
        <w:t xml:space="preserve"> </w:t>
      </w:r>
      <w:r>
        <w:t>los</w:t>
      </w:r>
      <w:r>
        <w:rPr>
          <w:spacing w:val="-16"/>
        </w:rPr>
        <w:t xml:space="preserve"> </w:t>
      </w:r>
      <w:proofErr w:type="spellStart"/>
      <w:r w:rsidR="00203383">
        <w:t>sub-rangos</w:t>
      </w:r>
      <w:proofErr w:type="spellEnd"/>
      <w:r>
        <w:rPr>
          <w:spacing w:val="-16"/>
        </w:rPr>
        <w:t xml:space="preserve"> </w:t>
      </w:r>
      <w:r>
        <w:t>de</w:t>
      </w:r>
      <w:r>
        <w:rPr>
          <w:spacing w:val="-13"/>
        </w:rPr>
        <w:t xml:space="preserve"> </w:t>
      </w:r>
      <w:r>
        <w:t>edad.</w:t>
      </w:r>
      <w:r>
        <w:rPr>
          <w:spacing w:val="-17"/>
        </w:rPr>
        <w:t xml:space="preserve"> </w:t>
      </w:r>
      <w:r>
        <w:t>El</w:t>
      </w:r>
      <w:r>
        <w:rPr>
          <w:spacing w:val="-15"/>
        </w:rPr>
        <w:t xml:space="preserve"> </w:t>
      </w:r>
      <w:r>
        <w:t>rango más</w:t>
      </w:r>
      <w:r>
        <w:rPr>
          <w:spacing w:val="-2"/>
        </w:rPr>
        <w:t xml:space="preserve"> </w:t>
      </w:r>
      <w:r>
        <w:t>frecuente</w:t>
      </w:r>
      <w:r>
        <w:rPr>
          <w:spacing w:val="-1"/>
        </w:rPr>
        <w:t xml:space="preserve"> </w:t>
      </w:r>
      <w:r>
        <w:t>fue</w:t>
      </w:r>
      <w:r>
        <w:rPr>
          <w:spacing w:val="-1"/>
        </w:rPr>
        <w:t xml:space="preserve"> </w:t>
      </w:r>
      <w:r>
        <w:t>entre las</w:t>
      </w:r>
      <w:r>
        <w:rPr>
          <w:spacing w:val="-2"/>
        </w:rPr>
        <w:t xml:space="preserve"> </w:t>
      </w:r>
      <w:r>
        <w:t>personas</w:t>
      </w:r>
      <w:r>
        <w:rPr>
          <w:spacing w:val="-2"/>
        </w:rPr>
        <w:t xml:space="preserve"> </w:t>
      </w:r>
      <w:r>
        <w:t>de</w:t>
      </w:r>
      <w:r>
        <w:rPr>
          <w:spacing w:val="-1"/>
        </w:rPr>
        <w:t xml:space="preserve"> </w:t>
      </w:r>
      <w:r>
        <w:t>20</w:t>
      </w:r>
      <w:r>
        <w:rPr>
          <w:spacing w:val="-1"/>
        </w:rPr>
        <w:t xml:space="preserve"> </w:t>
      </w:r>
      <w:r>
        <w:t>a</w:t>
      </w:r>
      <w:r>
        <w:rPr>
          <w:spacing w:val="-3"/>
        </w:rPr>
        <w:t xml:space="preserve"> </w:t>
      </w:r>
      <w:r>
        <w:t>24</w:t>
      </w:r>
      <w:r>
        <w:rPr>
          <w:spacing w:val="-1"/>
        </w:rPr>
        <w:t xml:space="preserve"> </w:t>
      </w:r>
      <w:r>
        <w:t>años</w:t>
      </w:r>
      <w:r>
        <w:rPr>
          <w:spacing w:val="-2"/>
        </w:rPr>
        <w:t xml:space="preserve"> </w:t>
      </w:r>
      <w:r>
        <w:t>(con</w:t>
      </w:r>
      <w:r>
        <w:rPr>
          <w:spacing w:val="-4"/>
        </w:rPr>
        <w:t xml:space="preserve"> </w:t>
      </w:r>
      <w:r>
        <w:t>37%),</w:t>
      </w:r>
      <w:r>
        <w:rPr>
          <w:spacing w:val="-3"/>
        </w:rPr>
        <w:t xml:space="preserve"> </w:t>
      </w:r>
      <w:r>
        <w:t>seguido por</w:t>
      </w:r>
      <w:r>
        <w:rPr>
          <w:spacing w:val="-6"/>
        </w:rPr>
        <w:t xml:space="preserve"> </w:t>
      </w:r>
      <w:r>
        <w:t>los</w:t>
      </w:r>
      <w:r>
        <w:rPr>
          <w:spacing w:val="-7"/>
        </w:rPr>
        <w:t xml:space="preserve"> </w:t>
      </w:r>
      <w:r>
        <w:t>de</w:t>
      </w:r>
      <w:r>
        <w:rPr>
          <w:spacing w:val="-3"/>
        </w:rPr>
        <w:t xml:space="preserve"> </w:t>
      </w:r>
      <w:r>
        <w:t>25</w:t>
      </w:r>
      <w:r>
        <w:rPr>
          <w:spacing w:val="-6"/>
        </w:rPr>
        <w:t xml:space="preserve"> </w:t>
      </w:r>
      <w:r>
        <w:t>a</w:t>
      </w:r>
      <w:r>
        <w:rPr>
          <w:spacing w:val="-7"/>
        </w:rPr>
        <w:t xml:space="preserve"> </w:t>
      </w:r>
      <w:r>
        <w:t>28</w:t>
      </w:r>
      <w:r>
        <w:rPr>
          <w:spacing w:val="-6"/>
        </w:rPr>
        <w:t xml:space="preserve"> </w:t>
      </w:r>
      <w:r>
        <w:t>años</w:t>
      </w:r>
      <w:r>
        <w:rPr>
          <w:spacing w:val="-7"/>
        </w:rPr>
        <w:t xml:space="preserve"> </w:t>
      </w:r>
      <w:r>
        <w:t>con</w:t>
      </w:r>
      <w:r>
        <w:rPr>
          <w:spacing w:val="-4"/>
        </w:rPr>
        <w:t xml:space="preserve"> </w:t>
      </w:r>
      <w:r>
        <w:t>uno</w:t>
      </w:r>
      <w:r>
        <w:rPr>
          <w:spacing w:val="-4"/>
        </w:rPr>
        <w:t xml:space="preserve"> </w:t>
      </w:r>
      <w:r>
        <w:t>de</w:t>
      </w:r>
      <w:r>
        <w:rPr>
          <w:spacing w:val="-6"/>
        </w:rPr>
        <w:t xml:space="preserve"> </w:t>
      </w:r>
      <w:r>
        <w:t>cada</w:t>
      </w:r>
      <w:r>
        <w:rPr>
          <w:spacing w:val="-7"/>
        </w:rPr>
        <w:t xml:space="preserve"> </w:t>
      </w:r>
      <w:r>
        <w:t>tres</w:t>
      </w:r>
      <w:r>
        <w:rPr>
          <w:spacing w:val="-7"/>
        </w:rPr>
        <w:t xml:space="preserve"> </w:t>
      </w:r>
      <w:r>
        <w:t>casos</w:t>
      </w:r>
      <w:r>
        <w:rPr>
          <w:spacing w:val="-5"/>
        </w:rPr>
        <w:t xml:space="preserve"> </w:t>
      </w:r>
      <w:r>
        <w:t>(33%).</w:t>
      </w:r>
      <w:r>
        <w:rPr>
          <w:spacing w:val="-5"/>
        </w:rPr>
        <w:t xml:space="preserve"> </w:t>
      </w:r>
      <w:r>
        <w:t>En</w:t>
      </w:r>
      <w:r>
        <w:rPr>
          <w:spacing w:val="-6"/>
        </w:rPr>
        <w:t xml:space="preserve"> </w:t>
      </w:r>
      <w:r>
        <w:t>este</w:t>
      </w:r>
      <w:r>
        <w:rPr>
          <w:spacing w:val="-6"/>
        </w:rPr>
        <w:t xml:space="preserve"> </w:t>
      </w:r>
      <w:r>
        <w:t>caso,</w:t>
      </w:r>
      <w:r>
        <w:rPr>
          <w:spacing w:val="-5"/>
        </w:rPr>
        <w:t xml:space="preserve"> </w:t>
      </w:r>
      <w:r>
        <w:t>a diferencia de los homicidios, la distribución por edades entre hombres y mujeres</w:t>
      </w:r>
      <w:r>
        <w:rPr>
          <w:spacing w:val="-21"/>
        </w:rPr>
        <w:t xml:space="preserve"> </w:t>
      </w:r>
      <w:r>
        <w:t>es</w:t>
      </w:r>
      <w:r>
        <w:rPr>
          <w:spacing w:val="-21"/>
        </w:rPr>
        <w:t xml:space="preserve"> </w:t>
      </w:r>
      <w:r>
        <w:t>casi</w:t>
      </w:r>
      <w:r>
        <w:rPr>
          <w:spacing w:val="-22"/>
        </w:rPr>
        <w:t xml:space="preserve"> </w:t>
      </w:r>
      <w:r>
        <w:t>la</w:t>
      </w:r>
      <w:r>
        <w:rPr>
          <w:spacing w:val="-20"/>
        </w:rPr>
        <w:t xml:space="preserve"> </w:t>
      </w:r>
      <w:r>
        <w:t>misma,</w:t>
      </w:r>
      <w:r>
        <w:rPr>
          <w:spacing w:val="-19"/>
        </w:rPr>
        <w:t xml:space="preserve"> </w:t>
      </w:r>
      <w:r>
        <w:t>las</w:t>
      </w:r>
      <w:r>
        <w:rPr>
          <w:spacing w:val="-21"/>
        </w:rPr>
        <w:t xml:space="preserve"> </w:t>
      </w:r>
      <w:r>
        <w:t>diferencias</w:t>
      </w:r>
      <w:r>
        <w:rPr>
          <w:spacing w:val="-21"/>
        </w:rPr>
        <w:t xml:space="preserve"> </w:t>
      </w:r>
      <w:r>
        <w:t>son</w:t>
      </w:r>
      <w:r>
        <w:rPr>
          <w:spacing w:val="-21"/>
        </w:rPr>
        <w:t xml:space="preserve"> </w:t>
      </w:r>
      <w:r>
        <w:t>de</w:t>
      </w:r>
      <w:r>
        <w:rPr>
          <w:spacing w:val="-20"/>
        </w:rPr>
        <w:t xml:space="preserve"> </w:t>
      </w:r>
      <w:r>
        <w:t>máximo</w:t>
      </w:r>
      <w:r>
        <w:rPr>
          <w:spacing w:val="-20"/>
        </w:rPr>
        <w:t xml:space="preserve"> </w:t>
      </w:r>
      <w:r>
        <w:t>4</w:t>
      </w:r>
      <w:r>
        <w:rPr>
          <w:spacing w:val="-20"/>
        </w:rPr>
        <w:t xml:space="preserve"> </w:t>
      </w:r>
      <w:r>
        <w:t>p.p.</w:t>
      </w:r>
      <w:r>
        <w:rPr>
          <w:spacing w:val="-22"/>
        </w:rPr>
        <w:t xml:space="preserve"> </w:t>
      </w:r>
      <w:r>
        <w:t>Según</w:t>
      </w:r>
      <w:r>
        <w:rPr>
          <w:spacing w:val="-20"/>
        </w:rPr>
        <w:t xml:space="preserve"> </w:t>
      </w:r>
      <w:r>
        <w:t>cifras del</w:t>
      </w:r>
      <w:r>
        <w:rPr>
          <w:spacing w:val="-5"/>
        </w:rPr>
        <w:t xml:space="preserve"> </w:t>
      </w:r>
      <w:r>
        <w:t>Observatorio</w:t>
      </w:r>
      <w:r>
        <w:rPr>
          <w:spacing w:val="-3"/>
        </w:rPr>
        <w:t xml:space="preserve"> </w:t>
      </w:r>
      <w:r>
        <w:t>de</w:t>
      </w:r>
      <w:r>
        <w:rPr>
          <w:spacing w:val="-3"/>
        </w:rPr>
        <w:t xml:space="preserve"> </w:t>
      </w:r>
      <w:r>
        <w:t>Violencias</w:t>
      </w:r>
      <w:r>
        <w:rPr>
          <w:spacing w:val="-4"/>
        </w:rPr>
        <w:t xml:space="preserve"> </w:t>
      </w:r>
      <w:r>
        <w:t>del</w:t>
      </w:r>
      <w:r>
        <w:rPr>
          <w:spacing w:val="-5"/>
        </w:rPr>
        <w:t xml:space="preserve"> </w:t>
      </w:r>
      <w:r>
        <w:t>INMLCF,</w:t>
      </w:r>
      <w:r>
        <w:rPr>
          <w:spacing w:val="-4"/>
        </w:rPr>
        <w:t xml:space="preserve"> </w:t>
      </w:r>
      <w:r>
        <w:t>el</w:t>
      </w:r>
      <w:r>
        <w:rPr>
          <w:spacing w:val="-4"/>
        </w:rPr>
        <w:t xml:space="preserve"> </w:t>
      </w:r>
      <w:r>
        <w:t>4%</w:t>
      </w:r>
      <w:r>
        <w:rPr>
          <w:spacing w:val="-2"/>
        </w:rPr>
        <w:t xml:space="preserve"> </w:t>
      </w:r>
      <w:r>
        <w:t>de</w:t>
      </w:r>
      <w:r>
        <w:rPr>
          <w:spacing w:val="-3"/>
        </w:rPr>
        <w:t xml:space="preserve"> </w:t>
      </w:r>
      <w:r>
        <w:t>los</w:t>
      </w:r>
      <w:r>
        <w:rPr>
          <w:spacing w:val="-4"/>
        </w:rPr>
        <w:t xml:space="preserve"> </w:t>
      </w:r>
      <w:r>
        <w:t>casos</w:t>
      </w:r>
      <w:r>
        <w:rPr>
          <w:spacing w:val="-4"/>
        </w:rPr>
        <w:t xml:space="preserve"> </w:t>
      </w:r>
      <w:r>
        <w:t>de</w:t>
      </w:r>
      <w:r>
        <w:rPr>
          <w:spacing w:val="-3"/>
        </w:rPr>
        <w:t xml:space="preserve"> </w:t>
      </w:r>
      <w:r>
        <w:t>violencia interpersonal eran personas pertenecientes a Pueblos étnicos (3.568 casos),</w:t>
      </w:r>
      <w:r>
        <w:rPr>
          <w:spacing w:val="-4"/>
        </w:rPr>
        <w:t xml:space="preserve"> </w:t>
      </w:r>
      <w:r>
        <w:t>pero</w:t>
      </w:r>
      <w:r>
        <w:rPr>
          <w:spacing w:val="-1"/>
        </w:rPr>
        <w:t xml:space="preserve"> </w:t>
      </w:r>
      <w:r>
        <w:t>nuevamente</w:t>
      </w:r>
      <w:r>
        <w:rPr>
          <w:spacing w:val="-2"/>
        </w:rPr>
        <w:t xml:space="preserve"> </w:t>
      </w:r>
      <w:r>
        <w:t>la</w:t>
      </w:r>
      <w:r>
        <w:rPr>
          <w:spacing w:val="-3"/>
        </w:rPr>
        <w:t xml:space="preserve"> </w:t>
      </w:r>
      <w:r>
        <w:t>pertenencia</w:t>
      </w:r>
      <w:r>
        <w:rPr>
          <w:spacing w:val="-3"/>
        </w:rPr>
        <w:t xml:space="preserve"> </w:t>
      </w:r>
      <w:r>
        <w:t>étnica</w:t>
      </w:r>
      <w:r>
        <w:rPr>
          <w:spacing w:val="-3"/>
        </w:rPr>
        <w:t xml:space="preserve"> </w:t>
      </w:r>
      <w:r>
        <w:t>de</w:t>
      </w:r>
      <w:r>
        <w:rPr>
          <w:spacing w:val="-2"/>
        </w:rPr>
        <w:t xml:space="preserve"> </w:t>
      </w:r>
      <w:r>
        <w:t>las</w:t>
      </w:r>
      <w:r>
        <w:rPr>
          <w:spacing w:val="-3"/>
        </w:rPr>
        <w:t xml:space="preserve"> </w:t>
      </w:r>
      <w:r>
        <w:t>personas</w:t>
      </w:r>
      <w:r>
        <w:rPr>
          <w:spacing w:val="-3"/>
        </w:rPr>
        <w:t xml:space="preserve"> </w:t>
      </w:r>
      <w:r>
        <w:t>hay</w:t>
      </w:r>
      <w:r>
        <w:rPr>
          <w:spacing w:val="-3"/>
        </w:rPr>
        <w:t xml:space="preserve"> </w:t>
      </w:r>
      <w:r>
        <w:t>mayor número</w:t>
      </w:r>
      <w:r>
        <w:rPr>
          <w:spacing w:val="-19"/>
        </w:rPr>
        <w:t xml:space="preserve"> </w:t>
      </w:r>
      <w:r>
        <w:t>de</w:t>
      </w:r>
      <w:r>
        <w:rPr>
          <w:spacing w:val="-20"/>
        </w:rPr>
        <w:t xml:space="preserve"> </w:t>
      </w:r>
      <w:r>
        <w:t>casos</w:t>
      </w:r>
      <w:r>
        <w:rPr>
          <w:spacing w:val="-21"/>
        </w:rPr>
        <w:t xml:space="preserve"> </w:t>
      </w:r>
      <w:r>
        <w:t>reportados</w:t>
      </w:r>
      <w:r>
        <w:rPr>
          <w:spacing w:val="-21"/>
        </w:rPr>
        <w:t xml:space="preserve"> </w:t>
      </w:r>
      <w:r>
        <w:t>en</w:t>
      </w:r>
      <w:r>
        <w:rPr>
          <w:spacing w:val="-21"/>
        </w:rPr>
        <w:t xml:space="preserve"> </w:t>
      </w:r>
      <w:r>
        <w:t>las</w:t>
      </w:r>
      <w:r>
        <w:rPr>
          <w:spacing w:val="-19"/>
        </w:rPr>
        <w:t xml:space="preserve"> </w:t>
      </w:r>
      <w:r>
        <w:t>categorías</w:t>
      </w:r>
      <w:r>
        <w:rPr>
          <w:spacing w:val="-21"/>
        </w:rPr>
        <w:t xml:space="preserve"> </w:t>
      </w:r>
      <w:r>
        <w:t>de</w:t>
      </w:r>
      <w:r>
        <w:rPr>
          <w:spacing w:val="-20"/>
        </w:rPr>
        <w:t xml:space="preserve"> </w:t>
      </w:r>
      <w:r>
        <w:t>indígenas</w:t>
      </w:r>
      <w:r>
        <w:rPr>
          <w:spacing w:val="-19"/>
        </w:rPr>
        <w:t xml:space="preserve"> </w:t>
      </w:r>
      <w:r>
        <w:t>(890),</w:t>
      </w:r>
      <w:r>
        <w:rPr>
          <w:spacing w:val="-22"/>
        </w:rPr>
        <w:t xml:space="preserve"> </w:t>
      </w:r>
      <w:r>
        <w:t>personas negras</w:t>
      </w:r>
      <w:r>
        <w:rPr>
          <w:spacing w:val="-17"/>
        </w:rPr>
        <w:t xml:space="preserve"> </w:t>
      </w:r>
      <w:r>
        <w:t>o</w:t>
      </w:r>
      <w:r>
        <w:rPr>
          <w:spacing w:val="-16"/>
        </w:rPr>
        <w:t xml:space="preserve"> </w:t>
      </w:r>
      <w:r>
        <w:t>afrodescendientes</w:t>
      </w:r>
      <w:r>
        <w:rPr>
          <w:spacing w:val="-17"/>
        </w:rPr>
        <w:t xml:space="preserve"> </w:t>
      </w:r>
      <w:r>
        <w:t>(2.865),</w:t>
      </w:r>
      <w:r>
        <w:rPr>
          <w:spacing w:val="-18"/>
        </w:rPr>
        <w:t xml:space="preserve"> </w:t>
      </w:r>
      <w:r>
        <w:t>palenqueros</w:t>
      </w:r>
      <w:r>
        <w:rPr>
          <w:spacing w:val="-17"/>
        </w:rPr>
        <w:t xml:space="preserve"> </w:t>
      </w:r>
      <w:r>
        <w:t>(15),</w:t>
      </w:r>
      <w:r>
        <w:rPr>
          <w:spacing w:val="-18"/>
        </w:rPr>
        <w:t xml:space="preserve"> </w:t>
      </w:r>
      <w:r>
        <w:t>raizales</w:t>
      </w:r>
      <w:r>
        <w:rPr>
          <w:spacing w:val="-17"/>
        </w:rPr>
        <w:t xml:space="preserve"> </w:t>
      </w:r>
      <w:r>
        <w:t>(101),</w:t>
      </w:r>
      <w:r>
        <w:rPr>
          <w:spacing w:val="-18"/>
        </w:rPr>
        <w:t xml:space="preserve"> </w:t>
      </w:r>
      <w:r>
        <w:t>para un total de 3.879 personas.</w:t>
      </w:r>
    </w:p>
    <w:p w14:paraId="3C76177F" w14:textId="77777777" w:rsidR="000E52B0" w:rsidRDefault="00F60D74">
      <w:pPr>
        <w:pStyle w:val="Textoindependiente"/>
        <w:spacing w:before="161"/>
        <w:ind w:right="721"/>
        <w:jc w:val="both"/>
      </w:pPr>
      <w:r>
        <w:t>Finalmente,</w:t>
      </w:r>
      <w:r>
        <w:rPr>
          <w:spacing w:val="-7"/>
        </w:rPr>
        <w:t xml:space="preserve"> </w:t>
      </w:r>
      <w:r>
        <w:t>en</w:t>
      </w:r>
      <w:r>
        <w:rPr>
          <w:spacing w:val="-9"/>
        </w:rPr>
        <w:t xml:space="preserve"> </w:t>
      </w:r>
      <w:r>
        <w:t>caso</w:t>
      </w:r>
      <w:r>
        <w:rPr>
          <w:spacing w:val="-6"/>
        </w:rPr>
        <w:t xml:space="preserve"> </w:t>
      </w:r>
      <w:r>
        <w:t>de</w:t>
      </w:r>
      <w:r>
        <w:rPr>
          <w:spacing w:val="-8"/>
        </w:rPr>
        <w:t xml:space="preserve"> </w:t>
      </w:r>
      <w:r>
        <w:t>las</w:t>
      </w:r>
      <w:r>
        <w:rPr>
          <w:spacing w:val="-7"/>
        </w:rPr>
        <w:t xml:space="preserve"> </w:t>
      </w:r>
      <w:r>
        <w:t>violencias,</w:t>
      </w:r>
      <w:r>
        <w:rPr>
          <w:spacing w:val="-8"/>
        </w:rPr>
        <w:t xml:space="preserve"> </w:t>
      </w:r>
      <w:r>
        <w:t>sexuales,</w:t>
      </w:r>
      <w:r>
        <w:rPr>
          <w:spacing w:val="-10"/>
        </w:rPr>
        <w:t xml:space="preserve"> </w:t>
      </w:r>
      <w:r>
        <w:t>en</w:t>
      </w:r>
      <w:r>
        <w:rPr>
          <w:spacing w:val="-9"/>
        </w:rPr>
        <w:t xml:space="preserve"> </w:t>
      </w:r>
      <w:r>
        <w:t>general</w:t>
      </w:r>
      <w:r>
        <w:rPr>
          <w:spacing w:val="-7"/>
        </w:rPr>
        <w:t xml:space="preserve"> </w:t>
      </w:r>
      <w:r>
        <w:t>el</w:t>
      </w:r>
      <w:r>
        <w:rPr>
          <w:spacing w:val="-10"/>
        </w:rPr>
        <w:t xml:space="preserve"> </w:t>
      </w:r>
      <w:r>
        <w:t>9</w:t>
      </w:r>
      <w:r>
        <w:rPr>
          <w:spacing w:val="-8"/>
        </w:rPr>
        <w:t xml:space="preserve"> </w:t>
      </w:r>
      <w:r>
        <w:t>de</w:t>
      </w:r>
      <w:r>
        <w:rPr>
          <w:spacing w:val="-8"/>
        </w:rPr>
        <w:t xml:space="preserve"> </w:t>
      </w:r>
      <w:r>
        <w:t>cada</w:t>
      </w:r>
      <w:r>
        <w:rPr>
          <w:spacing w:val="-9"/>
        </w:rPr>
        <w:t xml:space="preserve"> </w:t>
      </w:r>
      <w:r>
        <w:t>10 casos son contra mujeres y 7 de cada 10 casos son mujeres menores de 17 años. Según cifras preliminares del INMLCF para el 2023 hubo 23.612 exámenes</w:t>
      </w:r>
      <w:r>
        <w:rPr>
          <w:spacing w:val="-13"/>
        </w:rPr>
        <w:t xml:space="preserve"> </w:t>
      </w:r>
      <w:r>
        <w:t>medico</w:t>
      </w:r>
      <w:r>
        <w:rPr>
          <w:spacing w:val="-12"/>
        </w:rPr>
        <w:t xml:space="preserve"> </w:t>
      </w:r>
      <w:r>
        <w:t>legales</w:t>
      </w:r>
      <w:r>
        <w:rPr>
          <w:spacing w:val="-13"/>
        </w:rPr>
        <w:t xml:space="preserve"> </w:t>
      </w:r>
      <w:r>
        <w:t>por</w:t>
      </w:r>
      <w:r>
        <w:rPr>
          <w:spacing w:val="-12"/>
        </w:rPr>
        <w:t xml:space="preserve"> </w:t>
      </w:r>
      <w:r>
        <w:t>presuntos</w:t>
      </w:r>
      <w:r>
        <w:rPr>
          <w:spacing w:val="-10"/>
        </w:rPr>
        <w:t xml:space="preserve"> </w:t>
      </w:r>
      <w:r>
        <w:t>delitos</w:t>
      </w:r>
      <w:r>
        <w:rPr>
          <w:spacing w:val="-13"/>
        </w:rPr>
        <w:t xml:space="preserve"> </w:t>
      </w:r>
      <w:r>
        <w:t>sexuales</w:t>
      </w:r>
      <w:r>
        <w:rPr>
          <w:spacing w:val="-13"/>
        </w:rPr>
        <w:t xml:space="preserve"> </w:t>
      </w:r>
      <w:r>
        <w:t>en</w:t>
      </w:r>
      <w:r>
        <w:rPr>
          <w:spacing w:val="-11"/>
        </w:rPr>
        <w:t xml:space="preserve"> </w:t>
      </w:r>
      <w:r>
        <w:t>el</w:t>
      </w:r>
      <w:r>
        <w:rPr>
          <w:spacing w:val="-14"/>
        </w:rPr>
        <w:t xml:space="preserve"> </w:t>
      </w:r>
      <w:r>
        <w:t>país.</w:t>
      </w:r>
      <w:r>
        <w:rPr>
          <w:spacing w:val="-13"/>
        </w:rPr>
        <w:t xml:space="preserve"> </w:t>
      </w:r>
      <w:r>
        <w:t>El</w:t>
      </w:r>
      <w:r>
        <w:rPr>
          <w:spacing w:val="-14"/>
        </w:rPr>
        <w:t xml:space="preserve"> </w:t>
      </w:r>
      <w:r>
        <w:t>88% de los presuntos delitos sexuales son reportados por mujeres y el 92,5% ocurren en personas menores de 28 años, dos de cada tres casos son en menores de 14 años y la tercera parte en personas jóvenes entre los 14 y 28</w:t>
      </w:r>
      <w:r>
        <w:rPr>
          <w:spacing w:val="-2"/>
        </w:rPr>
        <w:t xml:space="preserve"> </w:t>
      </w:r>
      <w:r>
        <w:t>años.</w:t>
      </w:r>
      <w:r>
        <w:rPr>
          <w:spacing w:val="-2"/>
        </w:rPr>
        <w:t xml:space="preserve"> </w:t>
      </w:r>
      <w:r>
        <w:t>En</w:t>
      </w:r>
      <w:r>
        <w:rPr>
          <w:spacing w:val="-2"/>
        </w:rPr>
        <w:t xml:space="preserve"> </w:t>
      </w:r>
      <w:r>
        <w:t>el</w:t>
      </w:r>
      <w:r>
        <w:rPr>
          <w:spacing w:val="-2"/>
        </w:rPr>
        <w:t xml:space="preserve"> </w:t>
      </w:r>
      <w:r>
        <w:t>rango</w:t>
      </w:r>
      <w:r>
        <w:rPr>
          <w:spacing w:val="-1"/>
        </w:rPr>
        <w:t xml:space="preserve"> </w:t>
      </w:r>
      <w:r>
        <w:t>de</w:t>
      </w:r>
      <w:r>
        <w:rPr>
          <w:spacing w:val="-2"/>
        </w:rPr>
        <w:t xml:space="preserve"> </w:t>
      </w:r>
      <w:r>
        <w:t>14 a</w:t>
      </w:r>
      <w:r>
        <w:rPr>
          <w:spacing w:val="-2"/>
        </w:rPr>
        <w:t xml:space="preserve"> </w:t>
      </w:r>
      <w:r>
        <w:t>28</w:t>
      </w:r>
      <w:r>
        <w:rPr>
          <w:spacing w:val="-1"/>
        </w:rPr>
        <w:t xml:space="preserve"> </w:t>
      </w:r>
      <w:r>
        <w:t>años,</w:t>
      </w:r>
      <w:r>
        <w:rPr>
          <w:spacing w:val="-3"/>
        </w:rPr>
        <w:t xml:space="preserve"> </w:t>
      </w:r>
      <w:r>
        <w:t>los</w:t>
      </w:r>
      <w:r>
        <w:rPr>
          <w:spacing w:val="-2"/>
        </w:rPr>
        <w:t xml:space="preserve"> </w:t>
      </w:r>
      <w:r>
        <w:t>más</w:t>
      </w:r>
      <w:r>
        <w:rPr>
          <w:spacing w:val="-3"/>
        </w:rPr>
        <w:t xml:space="preserve"> </w:t>
      </w:r>
      <w:r>
        <w:t>vulnerables son</w:t>
      </w:r>
      <w:r>
        <w:rPr>
          <w:spacing w:val="-2"/>
        </w:rPr>
        <w:t xml:space="preserve"> </w:t>
      </w:r>
      <w:r>
        <w:t>los</w:t>
      </w:r>
      <w:r>
        <w:rPr>
          <w:spacing w:val="-1"/>
        </w:rPr>
        <w:t xml:space="preserve"> </w:t>
      </w:r>
      <w:r>
        <w:t>de</w:t>
      </w:r>
      <w:r>
        <w:rPr>
          <w:spacing w:val="-1"/>
        </w:rPr>
        <w:t xml:space="preserve"> </w:t>
      </w:r>
      <w:r>
        <w:t xml:space="preserve">14 </w:t>
      </w:r>
      <w:r>
        <w:rPr>
          <w:spacing w:val="-10"/>
        </w:rPr>
        <w:t>a</w:t>
      </w:r>
    </w:p>
    <w:p w14:paraId="1970387C" w14:textId="77777777" w:rsidR="000E52B0" w:rsidRDefault="00F60D74">
      <w:pPr>
        <w:pStyle w:val="Textoindependiente"/>
        <w:ind w:right="718"/>
        <w:jc w:val="both"/>
      </w:pPr>
      <w:r>
        <w:t>17 años, tanto en hombres como en mujeres alrededor del 66% de los casos están en este grupo. En 2023 se registraron 26.105 exámenes médicos legales por presunto delito sexual, son más a los registrados en 2021, 22.607.</w:t>
      </w:r>
    </w:p>
    <w:p w14:paraId="01339C42" w14:textId="77777777" w:rsidR="000E52B0" w:rsidRDefault="00F60D74">
      <w:pPr>
        <w:pStyle w:val="Textoindependiente"/>
        <w:spacing w:before="161"/>
        <w:ind w:right="724"/>
        <w:jc w:val="both"/>
      </w:pPr>
      <w:r>
        <w:t>Una de las dificultades críticas que ocurre con todas las violencias contra las</w:t>
      </w:r>
      <w:r>
        <w:rPr>
          <w:spacing w:val="-3"/>
        </w:rPr>
        <w:t xml:space="preserve"> </w:t>
      </w:r>
      <w:r>
        <w:t>juventudes,</w:t>
      </w:r>
      <w:r>
        <w:rPr>
          <w:spacing w:val="-2"/>
        </w:rPr>
        <w:t xml:space="preserve"> </w:t>
      </w:r>
      <w:r>
        <w:t>es</w:t>
      </w:r>
      <w:r>
        <w:rPr>
          <w:spacing w:val="-1"/>
        </w:rPr>
        <w:t xml:space="preserve"> </w:t>
      </w:r>
      <w:r>
        <w:t>que</w:t>
      </w:r>
      <w:r>
        <w:rPr>
          <w:spacing w:val="1"/>
        </w:rPr>
        <w:t xml:space="preserve"> </w:t>
      </w:r>
      <w:r>
        <w:t>el</w:t>
      </w:r>
      <w:r>
        <w:rPr>
          <w:spacing w:val="-2"/>
        </w:rPr>
        <w:t xml:space="preserve"> </w:t>
      </w:r>
      <w:r>
        <w:t>registro</w:t>
      </w:r>
      <w:r>
        <w:rPr>
          <w:spacing w:val="1"/>
        </w:rPr>
        <w:t xml:space="preserve"> </w:t>
      </w:r>
      <w:r>
        <w:t>de</w:t>
      </w:r>
      <w:r>
        <w:rPr>
          <w:spacing w:val="1"/>
        </w:rPr>
        <w:t xml:space="preserve"> </w:t>
      </w:r>
      <w:r>
        <w:t>estas</w:t>
      </w:r>
      <w:r>
        <w:rPr>
          <w:spacing w:val="-1"/>
        </w:rPr>
        <w:t xml:space="preserve"> </w:t>
      </w:r>
      <w:r>
        <w:t>se concentra</w:t>
      </w:r>
      <w:r>
        <w:rPr>
          <w:spacing w:val="1"/>
        </w:rPr>
        <w:t xml:space="preserve"> </w:t>
      </w:r>
      <w:r>
        <w:t>en</w:t>
      </w:r>
      <w:r>
        <w:rPr>
          <w:spacing w:val="-1"/>
        </w:rPr>
        <w:t xml:space="preserve"> </w:t>
      </w:r>
      <w:r>
        <w:t>las</w:t>
      </w:r>
      <w:r>
        <w:rPr>
          <w:spacing w:val="-1"/>
        </w:rPr>
        <w:t xml:space="preserve"> </w:t>
      </w:r>
      <w:r>
        <w:t>ciudades,</w:t>
      </w:r>
      <w:r>
        <w:rPr>
          <w:spacing w:val="-1"/>
        </w:rPr>
        <w:t xml:space="preserve"> </w:t>
      </w:r>
      <w:r>
        <w:rPr>
          <w:spacing w:val="-10"/>
        </w:rPr>
        <w:t>y</w:t>
      </w:r>
    </w:p>
    <w:p w14:paraId="33FE2DB9" w14:textId="77777777" w:rsidR="000E52B0" w:rsidRDefault="000E52B0">
      <w:pPr>
        <w:pStyle w:val="Textoindependiente"/>
        <w:jc w:val="both"/>
        <w:sectPr w:rsidR="000E52B0">
          <w:pgSz w:w="11910" w:h="16840"/>
          <w:pgMar w:top="1340" w:right="720" w:bottom="1180" w:left="720" w:header="0" w:footer="995" w:gutter="0"/>
          <w:cols w:space="720"/>
        </w:sectPr>
      </w:pPr>
    </w:p>
    <w:p w14:paraId="392CF052" w14:textId="77777777" w:rsidR="000E52B0" w:rsidRDefault="00F60D74">
      <w:pPr>
        <w:pStyle w:val="Textoindependiente"/>
        <w:spacing w:before="83"/>
        <w:ind w:right="719"/>
        <w:jc w:val="both"/>
      </w:pPr>
      <w:r>
        <w:lastRenderedPageBreak/>
        <w:t>esto</w:t>
      </w:r>
      <w:r>
        <w:rPr>
          <w:spacing w:val="-8"/>
        </w:rPr>
        <w:t xml:space="preserve"> </w:t>
      </w:r>
      <w:r>
        <w:t>implica</w:t>
      </w:r>
      <w:r>
        <w:rPr>
          <w:spacing w:val="-7"/>
        </w:rPr>
        <w:t xml:space="preserve"> </w:t>
      </w:r>
      <w:r>
        <w:t>que,</w:t>
      </w:r>
      <w:r>
        <w:rPr>
          <w:spacing w:val="-7"/>
        </w:rPr>
        <w:t xml:space="preserve"> </w:t>
      </w:r>
      <w:r>
        <w:t>por</w:t>
      </w:r>
      <w:r>
        <w:rPr>
          <w:spacing w:val="-8"/>
        </w:rPr>
        <w:t xml:space="preserve"> </w:t>
      </w:r>
      <w:r>
        <w:t>cuenta</w:t>
      </w:r>
      <w:r>
        <w:rPr>
          <w:spacing w:val="-6"/>
        </w:rPr>
        <w:t xml:space="preserve"> </w:t>
      </w:r>
      <w:r>
        <w:t>de</w:t>
      </w:r>
      <w:r>
        <w:rPr>
          <w:spacing w:val="-8"/>
        </w:rPr>
        <w:t xml:space="preserve"> </w:t>
      </w:r>
      <w:r>
        <w:t>las</w:t>
      </w:r>
      <w:r>
        <w:rPr>
          <w:spacing w:val="-7"/>
        </w:rPr>
        <w:t xml:space="preserve"> </w:t>
      </w:r>
      <w:r>
        <w:t>brechas</w:t>
      </w:r>
      <w:r>
        <w:rPr>
          <w:spacing w:val="-9"/>
        </w:rPr>
        <w:t xml:space="preserve"> </w:t>
      </w:r>
      <w:r>
        <w:t>en</w:t>
      </w:r>
      <w:r>
        <w:rPr>
          <w:spacing w:val="-7"/>
        </w:rPr>
        <w:t xml:space="preserve"> </w:t>
      </w:r>
      <w:r>
        <w:t>la</w:t>
      </w:r>
      <w:r>
        <w:rPr>
          <w:spacing w:val="-9"/>
        </w:rPr>
        <w:t xml:space="preserve"> </w:t>
      </w:r>
      <w:r>
        <w:t>presencia</w:t>
      </w:r>
      <w:r>
        <w:rPr>
          <w:spacing w:val="-4"/>
        </w:rPr>
        <w:t xml:space="preserve"> </w:t>
      </w:r>
      <w:r>
        <w:t>institucional</w:t>
      </w:r>
      <w:r>
        <w:rPr>
          <w:spacing w:val="-8"/>
        </w:rPr>
        <w:t xml:space="preserve"> </w:t>
      </w:r>
      <w:r>
        <w:t>en los territorios, las violencias que ocurren en los territorios marginados y excluidos son invisibles.</w:t>
      </w:r>
    </w:p>
    <w:p w14:paraId="0C0C3E2A" w14:textId="77777777" w:rsidR="000E52B0" w:rsidRDefault="00F60D74">
      <w:pPr>
        <w:pStyle w:val="Textoindependiente"/>
        <w:spacing w:before="159"/>
        <w:ind w:right="715"/>
        <w:jc w:val="both"/>
      </w:pPr>
      <w:r>
        <w:t>De acuerdo con la Encuesta Nacional de Salud Mental (ENSM)</w:t>
      </w:r>
      <w:hyperlink w:anchor="_bookmark76" w:history="1">
        <w:r w:rsidR="000E52B0">
          <w:rPr>
            <w:position w:val="8"/>
            <w:sz w:val="16"/>
          </w:rPr>
          <w:t>65</w:t>
        </w:r>
      </w:hyperlink>
      <w:r>
        <w:rPr>
          <w:spacing w:val="40"/>
          <w:position w:val="8"/>
          <w:sz w:val="16"/>
        </w:rPr>
        <w:t xml:space="preserve"> </w:t>
      </w:r>
      <w:r>
        <w:t>del Ministerio de Salud y Protección Social, el 52,2% de los jóvenes encuestados presentaba entre uno o dos síntomas de ansiedad</w:t>
      </w:r>
      <w:hyperlink w:anchor="_bookmark77" w:history="1">
        <w:r w:rsidR="000E52B0">
          <w:rPr>
            <w:position w:val="8"/>
            <w:sz w:val="16"/>
          </w:rPr>
          <w:t>66</w:t>
        </w:r>
      </w:hyperlink>
      <w:r>
        <w:t>. En una encuesta</w:t>
      </w:r>
      <w:r>
        <w:rPr>
          <w:spacing w:val="-7"/>
        </w:rPr>
        <w:t xml:space="preserve"> </w:t>
      </w:r>
      <w:r>
        <w:t>realizada</w:t>
      </w:r>
      <w:r>
        <w:rPr>
          <w:spacing w:val="-8"/>
        </w:rPr>
        <w:t xml:space="preserve"> </w:t>
      </w:r>
      <w:r>
        <w:t>por</w:t>
      </w:r>
      <w:r>
        <w:rPr>
          <w:spacing w:val="-6"/>
        </w:rPr>
        <w:t xml:space="preserve"> </w:t>
      </w:r>
      <w:r>
        <w:t>Ministerio</w:t>
      </w:r>
      <w:r>
        <w:rPr>
          <w:spacing w:val="-7"/>
        </w:rPr>
        <w:t xml:space="preserve"> </w:t>
      </w:r>
      <w:r>
        <w:t>de</w:t>
      </w:r>
      <w:r>
        <w:rPr>
          <w:spacing w:val="-6"/>
        </w:rPr>
        <w:t xml:space="preserve"> </w:t>
      </w:r>
      <w:r>
        <w:t>Salud</w:t>
      </w:r>
      <w:r>
        <w:rPr>
          <w:spacing w:val="-8"/>
        </w:rPr>
        <w:t xml:space="preserve"> </w:t>
      </w:r>
      <w:r>
        <w:t>y</w:t>
      </w:r>
      <w:r>
        <w:rPr>
          <w:spacing w:val="-8"/>
        </w:rPr>
        <w:t xml:space="preserve"> </w:t>
      </w:r>
      <w:r>
        <w:t>publicada</w:t>
      </w:r>
      <w:r>
        <w:rPr>
          <w:spacing w:val="-7"/>
        </w:rPr>
        <w:t xml:space="preserve"> </w:t>
      </w:r>
      <w:r>
        <w:t>el</w:t>
      </w:r>
      <w:r>
        <w:rPr>
          <w:spacing w:val="-8"/>
        </w:rPr>
        <w:t xml:space="preserve"> </w:t>
      </w:r>
      <w:r>
        <w:t>11</w:t>
      </w:r>
      <w:r>
        <w:rPr>
          <w:spacing w:val="-6"/>
        </w:rPr>
        <w:t xml:space="preserve"> </w:t>
      </w:r>
      <w:r>
        <w:t>de</w:t>
      </w:r>
      <w:r>
        <w:rPr>
          <w:spacing w:val="-6"/>
        </w:rPr>
        <w:t xml:space="preserve"> </w:t>
      </w:r>
      <w:r>
        <w:t>octubre</w:t>
      </w:r>
      <w:r>
        <w:rPr>
          <w:spacing w:val="-6"/>
        </w:rPr>
        <w:t xml:space="preserve"> </w:t>
      </w:r>
      <w:r>
        <w:t>del 2023</w:t>
      </w:r>
      <w:r>
        <w:rPr>
          <w:spacing w:val="-1"/>
        </w:rPr>
        <w:t xml:space="preserve"> </w:t>
      </w:r>
      <w:r>
        <w:t>demuestra</w:t>
      </w:r>
      <w:r>
        <w:rPr>
          <w:spacing w:val="-1"/>
        </w:rPr>
        <w:t xml:space="preserve"> </w:t>
      </w:r>
      <w:r>
        <w:t>que</w:t>
      </w:r>
      <w:r>
        <w:rPr>
          <w:spacing w:val="-1"/>
        </w:rPr>
        <w:t xml:space="preserve"> </w:t>
      </w:r>
      <w:r>
        <w:t>son</w:t>
      </w:r>
      <w:r>
        <w:rPr>
          <w:spacing w:val="-2"/>
        </w:rPr>
        <w:t xml:space="preserve"> </w:t>
      </w:r>
      <w:r>
        <w:t>las</w:t>
      </w:r>
      <w:r>
        <w:rPr>
          <w:spacing w:val="-2"/>
        </w:rPr>
        <w:t xml:space="preserve"> </w:t>
      </w:r>
      <w:r>
        <w:t>mujeres</w:t>
      </w:r>
      <w:r>
        <w:rPr>
          <w:spacing w:val="-2"/>
        </w:rPr>
        <w:t xml:space="preserve"> </w:t>
      </w:r>
      <w:r>
        <w:t>jóvenes</w:t>
      </w:r>
      <w:r>
        <w:rPr>
          <w:spacing w:val="-2"/>
        </w:rPr>
        <w:t xml:space="preserve"> </w:t>
      </w:r>
      <w:r>
        <w:t>en</w:t>
      </w:r>
      <w:r>
        <w:rPr>
          <w:spacing w:val="-2"/>
        </w:rPr>
        <w:t xml:space="preserve"> </w:t>
      </w:r>
      <w:r>
        <w:t>el</w:t>
      </w:r>
      <w:r>
        <w:rPr>
          <w:spacing w:val="-3"/>
        </w:rPr>
        <w:t xml:space="preserve"> </w:t>
      </w:r>
      <w:r>
        <w:t>rango</w:t>
      </w:r>
      <w:r>
        <w:rPr>
          <w:spacing w:val="-1"/>
        </w:rPr>
        <w:t xml:space="preserve"> </w:t>
      </w:r>
      <w:r>
        <w:t>de</w:t>
      </w:r>
      <w:r>
        <w:rPr>
          <w:spacing w:val="-1"/>
        </w:rPr>
        <w:t xml:space="preserve"> </w:t>
      </w:r>
      <w:r>
        <w:t>18</w:t>
      </w:r>
      <w:r>
        <w:rPr>
          <w:spacing w:val="-1"/>
        </w:rPr>
        <w:t xml:space="preserve"> </w:t>
      </w:r>
      <w:r>
        <w:t>a</w:t>
      </w:r>
      <w:r>
        <w:rPr>
          <w:spacing w:val="-2"/>
        </w:rPr>
        <w:t xml:space="preserve"> </w:t>
      </w:r>
      <w:r>
        <w:t>24</w:t>
      </w:r>
      <w:r>
        <w:rPr>
          <w:spacing w:val="-1"/>
        </w:rPr>
        <w:t xml:space="preserve"> </w:t>
      </w:r>
      <w:r>
        <w:t>años quienes</w:t>
      </w:r>
      <w:r>
        <w:rPr>
          <w:spacing w:val="-22"/>
        </w:rPr>
        <w:t xml:space="preserve"> </w:t>
      </w:r>
      <w:r>
        <w:t>padecen</w:t>
      </w:r>
      <w:r>
        <w:rPr>
          <w:spacing w:val="-21"/>
        </w:rPr>
        <w:t xml:space="preserve"> </w:t>
      </w:r>
      <w:r>
        <w:t>mayor</w:t>
      </w:r>
      <w:r>
        <w:rPr>
          <w:spacing w:val="-21"/>
        </w:rPr>
        <w:t xml:space="preserve"> </w:t>
      </w:r>
      <w:r>
        <w:t>problema</w:t>
      </w:r>
      <w:r>
        <w:rPr>
          <w:spacing w:val="-21"/>
        </w:rPr>
        <w:t xml:space="preserve"> </w:t>
      </w:r>
      <w:r>
        <w:t>en</w:t>
      </w:r>
      <w:r>
        <w:rPr>
          <w:spacing w:val="-21"/>
        </w:rPr>
        <w:t xml:space="preserve"> </w:t>
      </w:r>
      <w:r>
        <w:t>su</w:t>
      </w:r>
      <w:r>
        <w:rPr>
          <w:spacing w:val="-21"/>
        </w:rPr>
        <w:t xml:space="preserve"> </w:t>
      </w:r>
      <w:r>
        <w:t>salud</w:t>
      </w:r>
      <w:r>
        <w:rPr>
          <w:spacing w:val="-21"/>
        </w:rPr>
        <w:t xml:space="preserve"> </w:t>
      </w:r>
      <w:r>
        <w:t>mental.</w:t>
      </w:r>
      <w:r>
        <w:rPr>
          <w:spacing w:val="-21"/>
        </w:rPr>
        <w:t xml:space="preserve"> </w:t>
      </w:r>
      <w:r>
        <w:t>A</w:t>
      </w:r>
      <w:r>
        <w:rPr>
          <w:spacing w:val="-21"/>
        </w:rPr>
        <w:t xml:space="preserve"> </w:t>
      </w:r>
      <w:r>
        <w:t>la</w:t>
      </w:r>
      <w:r>
        <w:rPr>
          <w:spacing w:val="-21"/>
        </w:rPr>
        <w:t xml:space="preserve"> </w:t>
      </w:r>
      <w:r>
        <w:t>pregunta,</w:t>
      </w:r>
      <w:r>
        <w:rPr>
          <w:spacing w:val="-22"/>
        </w:rPr>
        <w:t xml:space="preserve"> </w:t>
      </w:r>
      <w:r>
        <w:t>¿Crees haber</w:t>
      </w:r>
      <w:r>
        <w:rPr>
          <w:spacing w:val="-8"/>
        </w:rPr>
        <w:t xml:space="preserve"> </w:t>
      </w:r>
      <w:r>
        <w:t>tenido</w:t>
      </w:r>
      <w:r>
        <w:rPr>
          <w:spacing w:val="-8"/>
        </w:rPr>
        <w:t xml:space="preserve"> </w:t>
      </w:r>
      <w:r>
        <w:t>en</w:t>
      </w:r>
      <w:r>
        <w:rPr>
          <w:spacing w:val="-9"/>
        </w:rPr>
        <w:t xml:space="preserve"> </w:t>
      </w:r>
      <w:r>
        <w:t>algún</w:t>
      </w:r>
      <w:r>
        <w:rPr>
          <w:spacing w:val="-9"/>
        </w:rPr>
        <w:t xml:space="preserve"> </w:t>
      </w:r>
      <w:r>
        <w:t>momento</w:t>
      </w:r>
      <w:r>
        <w:rPr>
          <w:spacing w:val="-8"/>
        </w:rPr>
        <w:t xml:space="preserve"> </w:t>
      </w:r>
      <w:r>
        <w:t>de</w:t>
      </w:r>
      <w:r>
        <w:rPr>
          <w:spacing w:val="-5"/>
        </w:rPr>
        <w:t xml:space="preserve"> </w:t>
      </w:r>
      <w:r>
        <w:t>la</w:t>
      </w:r>
      <w:r>
        <w:rPr>
          <w:spacing w:val="-9"/>
        </w:rPr>
        <w:t xml:space="preserve"> </w:t>
      </w:r>
      <w:r>
        <w:t>vida</w:t>
      </w:r>
      <w:r>
        <w:rPr>
          <w:spacing w:val="-9"/>
        </w:rPr>
        <w:t xml:space="preserve"> </w:t>
      </w:r>
      <w:r>
        <w:t>problemas</w:t>
      </w:r>
      <w:r>
        <w:rPr>
          <w:spacing w:val="-9"/>
        </w:rPr>
        <w:t xml:space="preserve"> </w:t>
      </w:r>
      <w:r>
        <w:t>con</w:t>
      </w:r>
      <w:r>
        <w:rPr>
          <w:spacing w:val="-9"/>
        </w:rPr>
        <w:t xml:space="preserve"> </w:t>
      </w:r>
      <w:r>
        <w:t>tu</w:t>
      </w:r>
      <w:r>
        <w:rPr>
          <w:spacing w:val="-9"/>
        </w:rPr>
        <w:t xml:space="preserve"> </w:t>
      </w:r>
      <w:r>
        <w:t>salud</w:t>
      </w:r>
      <w:r>
        <w:rPr>
          <w:spacing w:val="-7"/>
        </w:rPr>
        <w:t xml:space="preserve"> </w:t>
      </w:r>
      <w:r>
        <w:t>mental? El</w:t>
      </w:r>
      <w:r>
        <w:rPr>
          <w:spacing w:val="-3"/>
        </w:rPr>
        <w:t xml:space="preserve"> </w:t>
      </w:r>
      <w:r>
        <w:t>66,3%</w:t>
      </w:r>
      <w:r>
        <w:rPr>
          <w:spacing w:val="-1"/>
        </w:rPr>
        <w:t xml:space="preserve"> </w:t>
      </w:r>
      <w:r>
        <w:t>de</w:t>
      </w:r>
      <w:r>
        <w:rPr>
          <w:spacing w:val="-1"/>
        </w:rPr>
        <w:t xml:space="preserve"> </w:t>
      </w:r>
      <w:r>
        <w:t>los</w:t>
      </w:r>
      <w:r>
        <w:rPr>
          <w:spacing w:val="-2"/>
        </w:rPr>
        <w:t xml:space="preserve"> </w:t>
      </w:r>
      <w:r>
        <w:t>colombianos</w:t>
      </w:r>
      <w:r>
        <w:rPr>
          <w:spacing w:val="-2"/>
        </w:rPr>
        <w:t xml:space="preserve"> </w:t>
      </w:r>
      <w:r>
        <w:t>respondió afirmativamente,</w:t>
      </w:r>
      <w:r>
        <w:rPr>
          <w:spacing w:val="-3"/>
        </w:rPr>
        <w:t xml:space="preserve"> </w:t>
      </w:r>
      <w:r>
        <w:t>siendo</w:t>
      </w:r>
      <w:r>
        <w:rPr>
          <w:spacing w:val="-1"/>
        </w:rPr>
        <w:t xml:space="preserve"> </w:t>
      </w:r>
      <w:r>
        <w:t>mayor</w:t>
      </w:r>
      <w:r>
        <w:rPr>
          <w:spacing w:val="-1"/>
        </w:rPr>
        <w:t xml:space="preserve"> </w:t>
      </w:r>
      <w:r>
        <w:t>en las</w:t>
      </w:r>
      <w:r>
        <w:rPr>
          <w:spacing w:val="-2"/>
        </w:rPr>
        <w:t xml:space="preserve"> </w:t>
      </w:r>
      <w:r>
        <w:t>mujeres</w:t>
      </w:r>
      <w:r>
        <w:rPr>
          <w:spacing w:val="-2"/>
        </w:rPr>
        <w:t xml:space="preserve"> </w:t>
      </w:r>
      <w:r>
        <w:t>con</w:t>
      </w:r>
      <w:r>
        <w:rPr>
          <w:spacing w:val="-2"/>
        </w:rPr>
        <w:t xml:space="preserve"> </w:t>
      </w:r>
      <w:r>
        <w:t>69,9%</w:t>
      </w:r>
      <w:r>
        <w:rPr>
          <w:spacing w:val="-1"/>
        </w:rPr>
        <w:t xml:space="preserve"> </w:t>
      </w:r>
      <w:r>
        <w:t>y</w:t>
      </w:r>
      <w:r>
        <w:rPr>
          <w:spacing w:val="-2"/>
        </w:rPr>
        <w:t xml:space="preserve"> </w:t>
      </w:r>
      <w:r>
        <w:t>aumentando</w:t>
      </w:r>
      <w:r>
        <w:rPr>
          <w:spacing w:val="-1"/>
        </w:rPr>
        <w:t xml:space="preserve"> </w:t>
      </w:r>
      <w:r>
        <w:t>significativamente</w:t>
      </w:r>
      <w:r>
        <w:rPr>
          <w:spacing w:val="-1"/>
        </w:rPr>
        <w:t xml:space="preserve"> </w:t>
      </w:r>
      <w:r>
        <w:t>en</w:t>
      </w:r>
      <w:r>
        <w:rPr>
          <w:spacing w:val="-2"/>
        </w:rPr>
        <w:t xml:space="preserve"> </w:t>
      </w:r>
      <w:r>
        <w:t>las</w:t>
      </w:r>
      <w:r>
        <w:rPr>
          <w:spacing w:val="-2"/>
        </w:rPr>
        <w:t xml:space="preserve"> </w:t>
      </w:r>
      <w:r>
        <w:t>edades</w:t>
      </w:r>
      <w:r>
        <w:rPr>
          <w:spacing w:val="-2"/>
        </w:rPr>
        <w:t xml:space="preserve"> </w:t>
      </w:r>
      <w:r>
        <w:t>de mujeres jóvenes con un 75,4%</w:t>
      </w:r>
      <w:hyperlink w:anchor="_bookmark78" w:history="1">
        <w:r w:rsidR="000E52B0">
          <w:rPr>
            <w:position w:val="8"/>
            <w:sz w:val="16"/>
          </w:rPr>
          <w:t>67</w:t>
        </w:r>
      </w:hyperlink>
      <w:r>
        <w:t>.</w:t>
      </w:r>
    </w:p>
    <w:p w14:paraId="4CB98E40" w14:textId="77777777" w:rsidR="000E52B0" w:rsidRDefault="00F60D74">
      <w:pPr>
        <w:pStyle w:val="Textoindependiente"/>
        <w:spacing w:before="161"/>
        <w:ind w:right="722"/>
        <w:jc w:val="both"/>
      </w:pPr>
      <w:r>
        <w:t>Según</w:t>
      </w:r>
      <w:r>
        <w:rPr>
          <w:spacing w:val="-13"/>
        </w:rPr>
        <w:t xml:space="preserve"> </w:t>
      </w:r>
      <w:r>
        <w:t>datos</w:t>
      </w:r>
      <w:r>
        <w:rPr>
          <w:spacing w:val="-12"/>
        </w:rPr>
        <w:t xml:space="preserve"> </w:t>
      </w:r>
      <w:r>
        <w:t>de</w:t>
      </w:r>
      <w:r>
        <w:rPr>
          <w:spacing w:val="-11"/>
        </w:rPr>
        <w:t xml:space="preserve"> </w:t>
      </w:r>
      <w:r>
        <w:t>la</w:t>
      </w:r>
      <w:r>
        <w:rPr>
          <w:spacing w:val="-13"/>
        </w:rPr>
        <w:t xml:space="preserve"> </w:t>
      </w:r>
      <w:r>
        <w:t>ficha</w:t>
      </w:r>
      <w:r>
        <w:rPr>
          <w:spacing w:val="-12"/>
        </w:rPr>
        <w:t xml:space="preserve"> </w:t>
      </w:r>
      <w:r>
        <w:t>de</w:t>
      </w:r>
      <w:r>
        <w:rPr>
          <w:spacing w:val="-11"/>
        </w:rPr>
        <w:t xml:space="preserve"> </w:t>
      </w:r>
      <w:r>
        <w:t>notificación</w:t>
      </w:r>
      <w:r>
        <w:rPr>
          <w:spacing w:val="-10"/>
        </w:rPr>
        <w:t xml:space="preserve"> </w:t>
      </w:r>
      <w:r>
        <w:t>de</w:t>
      </w:r>
      <w:r>
        <w:rPr>
          <w:spacing w:val="-11"/>
        </w:rPr>
        <w:t xml:space="preserve"> </w:t>
      </w:r>
      <w:r>
        <w:t>intento</w:t>
      </w:r>
      <w:r>
        <w:rPr>
          <w:spacing w:val="-12"/>
        </w:rPr>
        <w:t xml:space="preserve"> </w:t>
      </w:r>
      <w:r>
        <w:t>de</w:t>
      </w:r>
      <w:r>
        <w:rPr>
          <w:spacing w:val="-11"/>
        </w:rPr>
        <w:t xml:space="preserve"> </w:t>
      </w:r>
      <w:r>
        <w:t>suicidio</w:t>
      </w:r>
      <w:r>
        <w:rPr>
          <w:spacing w:val="-12"/>
        </w:rPr>
        <w:t xml:space="preserve"> </w:t>
      </w:r>
      <w:r>
        <w:t>(SIVIGILA)</w:t>
      </w:r>
      <w:r>
        <w:rPr>
          <w:spacing w:val="-13"/>
        </w:rPr>
        <w:t xml:space="preserve"> </w:t>
      </w:r>
      <w:r>
        <w:t>en 2022</w:t>
      </w:r>
      <w:r>
        <w:rPr>
          <w:spacing w:val="14"/>
        </w:rPr>
        <w:t xml:space="preserve"> </w:t>
      </w:r>
      <w:r>
        <w:t>se</w:t>
      </w:r>
      <w:r>
        <w:rPr>
          <w:spacing w:val="14"/>
        </w:rPr>
        <w:t xml:space="preserve"> </w:t>
      </w:r>
      <w:r>
        <w:t>presentaron</w:t>
      </w:r>
      <w:r>
        <w:rPr>
          <w:spacing w:val="14"/>
        </w:rPr>
        <w:t xml:space="preserve"> </w:t>
      </w:r>
      <w:r>
        <w:t>36.590</w:t>
      </w:r>
      <w:r>
        <w:rPr>
          <w:spacing w:val="14"/>
        </w:rPr>
        <w:t xml:space="preserve"> </w:t>
      </w:r>
      <w:r>
        <w:t>intentos</w:t>
      </w:r>
      <w:r>
        <w:rPr>
          <w:spacing w:val="17"/>
        </w:rPr>
        <w:t xml:space="preserve"> </w:t>
      </w:r>
      <w:r>
        <w:t>de</w:t>
      </w:r>
      <w:r>
        <w:rPr>
          <w:spacing w:val="14"/>
        </w:rPr>
        <w:t xml:space="preserve"> </w:t>
      </w:r>
      <w:r>
        <w:t>suicidio</w:t>
      </w:r>
      <w:r>
        <w:rPr>
          <w:spacing w:val="14"/>
        </w:rPr>
        <w:t xml:space="preserve"> </w:t>
      </w:r>
      <w:r>
        <w:t>en</w:t>
      </w:r>
      <w:r>
        <w:rPr>
          <w:spacing w:val="16"/>
        </w:rPr>
        <w:t xml:space="preserve"> </w:t>
      </w:r>
      <w:r>
        <w:t>el</w:t>
      </w:r>
      <w:r>
        <w:rPr>
          <w:spacing w:val="15"/>
        </w:rPr>
        <w:t xml:space="preserve"> </w:t>
      </w:r>
      <w:r>
        <w:t>país,</w:t>
      </w:r>
      <w:r>
        <w:rPr>
          <w:spacing w:val="14"/>
        </w:rPr>
        <w:t xml:space="preserve"> </w:t>
      </w:r>
      <w:r>
        <w:t>de</w:t>
      </w:r>
      <w:r>
        <w:rPr>
          <w:spacing w:val="17"/>
        </w:rPr>
        <w:t xml:space="preserve"> </w:t>
      </w:r>
      <w:r>
        <w:t>los</w:t>
      </w:r>
      <w:r>
        <w:rPr>
          <w:spacing w:val="15"/>
        </w:rPr>
        <w:t xml:space="preserve"> </w:t>
      </w:r>
      <w:r>
        <w:rPr>
          <w:spacing w:val="-2"/>
        </w:rPr>
        <w:t>cuales</w:t>
      </w:r>
    </w:p>
    <w:p w14:paraId="0593018C" w14:textId="77777777" w:rsidR="000E52B0" w:rsidRDefault="00F60D74">
      <w:pPr>
        <w:pStyle w:val="Textoindependiente"/>
        <w:ind w:right="720"/>
        <w:jc w:val="both"/>
      </w:pPr>
      <w:r>
        <w:t>23.233</w:t>
      </w:r>
      <w:r>
        <w:rPr>
          <w:spacing w:val="-5"/>
        </w:rPr>
        <w:t xml:space="preserve"> </w:t>
      </w:r>
      <w:r>
        <w:t>fueron</w:t>
      </w:r>
      <w:r>
        <w:rPr>
          <w:spacing w:val="-7"/>
        </w:rPr>
        <w:t xml:space="preserve"> </w:t>
      </w:r>
      <w:r>
        <w:t>de</w:t>
      </w:r>
      <w:r>
        <w:rPr>
          <w:spacing w:val="-5"/>
        </w:rPr>
        <w:t xml:space="preserve"> </w:t>
      </w:r>
      <w:r>
        <w:t>personas</w:t>
      </w:r>
      <w:r>
        <w:rPr>
          <w:spacing w:val="-7"/>
        </w:rPr>
        <w:t xml:space="preserve"> </w:t>
      </w:r>
      <w:r>
        <w:t>jóvenes</w:t>
      </w:r>
      <w:r>
        <w:rPr>
          <w:spacing w:val="-7"/>
        </w:rPr>
        <w:t xml:space="preserve"> </w:t>
      </w:r>
      <w:r>
        <w:t>(de</w:t>
      </w:r>
      <w:r>
        <w:rPr>
          <w:spacing w:val="-5"/>
        </w:rPr>
        <w:t xml:space="preserve"> </w:t>
      </w:r>
      <w:r>
        <w:t>14</w:t>
      </w:r>
      <w:r>
        <w:rPr>
          <w:spacing w:val="-5"/>
        </w:rPr>
        <w:t xml:space="preserve"> </w:t>
      </w:r>
      <w:r>
        <w:t>a</w:t>
      </w:r>
      <w:r>
        <w:rPr>
          <w:spacing w:val="-6"/>
        </w:rPr>
        <w:t xml:space="preserve"> </w:t>
      </w:r>
      <w:r>
        <w:t>28</w:t>
      </w:r>
      <w:r>
        <w:rPr>
          <w:spacing w:val="-5"/>
        </w:rPr>
        <w:t xml:space="preserve"> </w:t>
      </w:r>
      <w:r>
        <w:t>años),</w:t>
      </w:r>
      <w:r>
        <w:rPr>
          <w:spacing w:val="-7"/>
        </w:rPr>
        <w:t xml:space="preserve"> </w:t>
      </w:r>
      <w:r>
        <w:t>lo</w:t>
      </w:r>
      <w:r>
        <w:rPr>
          <w:spacing w:val="-6"/>
        </w:rPr>
        <w:t xml:space="preserve"> </w:t>
      </w:r>
      <w:r>
        <w:t>cual</w:t>
      </w:r>
      <w:r>
        <w:rPr>
          <w:spacing w:val="-8"/>
        </w:rPr>
        <w:t xml:space="preserve"> </w:t>
      </w:r>
      <w:r>
        <w:t>corresponde a 63.5% de los casos de intentos de suicidio fueron de jóvenes, es decir dos de cada tres intentos de suicidios fueron de personas jóvenes. Entre 2022 y 2021 hubo un incremento del 26,2% en el país, pero los intentos de suicidio en personas jóvenes el cambio fue mayor, 34,3%.</w:t>
      </w:r>
    </w:p>
    <w:p w14:paraId="73AF1898" w14:textId="77777777" w:rsidR="000E52B0" w:rsidRDefault="00F60D74">
      <w:pPr>
        <w:spacing w:before="159"/>
        <w:jc w:val="center"/>
        <w:rPr>
          <w:i/>
          <w:sz w:val="18"/>
        </w:rPr>
      </w:pPr>
      <w:r>
        <w:rPr>
          <w:i/>
          <w:color w:val="454551"/>
          <w:sz w:val="18"/>
        </w:rPr>
        <w:t>Ilustración</w:t>
      </w:r>
      <w:r>
        <w:rPr>
          <w:i/>
          <w:color w:val="454551"/>
          <w:spacing w:val="-2"/>
          <w:sz w:val="18"/>
        </w:rPr>
        <w:t xml:space="preserve"> </w:t>
      </w:r>
      <w:r>
        <w:rPr>
          <w:i/>
          <w:color w:val="454551"/>
          <w:sz w:val="18"/>
        </w:rPr>
        <w:t>46.</w:t>
      </w:r>
      <w:r>
        <w:rPr>
          <w:i/>
          <w:color w:val="454551"/>
          <w:spacing w:val="-5"/>
          <w:sz w:val="18"/>
        </w:rPr>
        <w:t xml:space="preserve"> </w:t>
      </w:r>
      <w:r>
        <w:rPr>
          <w:i/>
          <w:color w:val="454551"/>
          <w:sz w:val="18"/>
        </w:rPr>
        <w:t>Intentos</w:t>
      </w:r>
      <w:r>
        <w:rPr>
          <w:i/>
          <w:color w:val="454551"/>
          <w:spacing w:val="-4"/>
          <w:sz w:val="18"/>
        </w:rPr>
        <w:t xml:space="preserve"> </w:t>
      </w:r>
      <w:r>
        <w:rPr>
          <w:i/>
          <w:color w:val="454551"/>
          <w:sz w:val="18"/>
        </w:rPr>
        <w:t>de</w:t>
      </w:r>
      <w:r>
        <w:rPr>
          <w:i/>
          <w:color w:val="454551"/>
          <w:spacing w:val="-5"/>
          <w:sz w:val="18"/>
        </w:rPr>
        <w:t xml:space="preserve"> </w:t>
      </w:r>
      <w:r>
        <w:rPr>
          <w:i/>
          <w:color w:val="454551"/>
          <w:spacing w:val="-2"/>
          <w:sz w:val="18"/>
        </w:rPr>
        <w:t>suicidio</w:t>
      </w:r>
    </w:p>
    <w:p w14:paraId="1F4F7D07" w14:textId="77777777" w:rsidR="000E52B0" w:rsidRDefault="000E52B0">
      <w:pPr>
        <w:pStyle w:val="Textoindependiente"/>
        <w:spacing w:before="150"/>
        <w:ind w:left="0"/>
        <w:rPr>
          <w:i/>
          <w:sz w:val="18"/>
        </w:rPr>
      </w:pPr>
    </w:p>
    <w:p w14:paraId="477C281F" w14:textId="77777777" w:rsidR="000E52B0" w:rsidRDefault="00F60D74">
      <w:pPr>
        <w:tabs>
          <w:tab w:val="left" w:pos="3710"/>
        </w:tabs>
        <w:ind w:left="72"/>
        <w:jc w:val="center"/>
        <w:rPr>
          <w:rFonts w:ascii="Trebuchet MS" w:hAnsi="Trebuchet MS"/>
          <w:sz w:val="18"/>
        </w:rPr>
      </w:pPr>
      <w:r>
        <w:rPr>
          <w:noProof/>
        </w:rPr>
        <w:drawing>
          <wp:inline distT="0" distB="0" distL="0" distR="0" wp14:anchorId="5AEF5782" wp14:editId="2AFCFA2F">
            <wp:extent cx="62779" cy="62779"/>
            <wp:effectExtent l="0" t="0" r="0" b="0"/>
            <wp:docPr id="548"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185" cstate="print"/>
                    <a:stretch>
                      <a:fillRect/>
                    </a:stretch>
                  </pic:blipFill>
                  <pic:spPr>
                    <a:xfrm>
                      <a:off x="0" y="0"/>
                      <a:ext cx="62779" cy="62779"/>
                    </a:xfrm>
                    <a:prstGeom prst="rect">
                      <a:avLst/>
                    </a:prstGeom>
                  </pic:spPr>
                </pic:pic>
              </a:graphicData>
            </a:graphic>
          </wp:inline>
        </w:drawing>
      </w:r>
      <w:r>
        <w:rPr>
          <w:rFonts w:ascii="Times New Roman" w:hAnsi="Times New Roman"/>
          <w:spacing w:val="-2"/>
          <w:sz w:val="20"/>
        </w:rPr>
        <w:t xml:space="preserve"> </w:t>
      </w:r>
      <w:r>
        <w:rPr>
          <w:rFonts w:ascii="Trebuchet MS" w:hAnsi="Trebuchet MS"/>
          <w:color w:val="585858"/>
          <w:spacing w:val="-2"/>
          <w:sz w:val="18"/>
        </w:rPr>
        <w:t>Casos</w:t>
      </w:r>
      <w:r>
        <w:rPr>
          <w:rFonts w:ascii="Trebuchet MS" w:hAnsi="Trebuchet MS"/>
          <w:color w:val="585858"/>
          <w:spacing w:val="-14"/>
          <w:sz w:val="18"/>
        </w:rPr>
        <w:t xml:space="preserve"> </w:t>
      </w:r>
      <w:r>
        <w:rPr>
          <w:rFonts w:ascii="Trebuchet MS" w:hAnsi="Trebuchet MS"/>
          <w:color w:val="585858"/>
          <w:spacing w:val="-2"/>
          <w:sz w:val="18"/>
        </w:rPr>
        <w:t>de</w:t>
      </w:r>
      <w:r>
        <w:rPr>
          <w:rFonts w:ascii="Trebuchet MS" w:hAnsi="Trebuchet MS"/>
          <w:color w:val="585858"/>
          <w:spacing w:val="-12"/>
          <w:sz w:val="18"/>
        </w:rPr>
        <w:t xml:space="preserve"> </w:t>
      </w:r>
      <w:r>
        <w:rPr>
          <w:rFonts w:ascii="Trebuchet MS" w:hAnsi="Trebuchet MS"/>
          <w:color w:val="585858"/>
          <w:spacing w:val="-2"/>
          <w:sz w:val="18"/>
        </w:rPr>
        <w:t>intento</w:t>
      </w:r>
      <w:r>
        <w:rPr>
          <w:rFonts w:ascii="Trebuchet MS" w:hAnsi="Trebuchet MS"/>
          <w:color w:val="585858"/>
          <w:spacing w:val="-14"/>
          <w:sz w:val="18"/>
        </w:rPr>
        <w:t xml:space="preserve"> </w:t>
      </w:r>
      <w:r>
        <w:rPr>
          <w:rFonts w:ascii="Trebuchet MS" w:hAnsi="Trebuchet MS"/>
          <w:color w:val="585858"/>
          <w:spacing w:val="-2"/>
          <w:sz w:val="18"/>
        </w:rPr>
        <w:t>de</w:t>
      </w:r>
      <w:r>
        <w:rPr>
          <w:rFonts w:ascii="Trebuchet MS" w:hAnsi="Trebuchet MS"/>
          <w:color w:val="585858"/>
          <w:spacing w:val="-12"/>
          <w:sz w:val="18"/>
        </w:rPr>
        <w:t xml:space="preserve"> </w:t>
      </w:r>
      <w:r>
        <w:rPr>
          <w:rFonts w:ascii="Trebuchet MS" w:hAnsi="Trebuchet MS"/>
          <w:color w:val="585858"/>
          <w:spacing w:val="-2"/>
          <w:sz w:val="18"/>
        </w:rPr>
        <w:t>suicidio</w:t>
      </w:r>
      <w:r>
        <w:rPr>
          <w:rFonts w:ascii="Trebuchet MS" w:hAnsi="Trebuchet MS"/>
          <w:color w:val="585858"/>
          <w:spacing w:val="-14"/>
          <w:sz w:val="18"/>
        </w:rPr>
        <w:t xml:space="preserve"> </w:t>
      </w:r>
      <w:r>
        <w:rPr>
          <w:rFonts w:ascii="Trebuchet MS" w:hAnsi="Trebuchet MS"/>
          <w:color w:val="585858"/>
          <w:spacing w:val="-2"/>
          <w:sz w:val="18"/>
        </w:rPr>
        <w:t>en</w:t>
      </w:r>
      <w:r>
        <w:rPr>
          <w:rFonts w:ascii="Trebuchet MS" w:hAnsi="Trebuchet MS"/>
          <w:color w:val="585858"/>
          <w:spacing w:val="-14"/>
          <w:sz w:val="18"/>
        </w:rPr>
        <w:t xml:space="preserve"> </w:t>
      </w:r>
      <w:r>
        <w:rPr>
          <w:rFonts w:ascii="Trebuchet MS" w:hAnsi="Trebuchet MS"/>
          <w:color w:val="585858"/>
          <w:spacing w:val="-2"/>
          <w:sz w:val="18"/>
        </w:rPr>
        <w:t>jóvenes</w:t>
      </w:r>
      <w:r>
        <w:rPr>
          <w:rFonts w:ascii="Trebuchet MS" w:hAnsi="Trebuchet MS"/>
          <w:color w:val="585858"/>
          <w:sz w:val="18"/>
        </w:rPr>
        <w:tab/>
      </w:r>
      <w:r>
        <w:rPr>
          <w:rFonts w:ascii="Trebuchet MS" w:hAnsi="Trebuchet MS"/>
          <w:noProof/>
          <w:color w:val="585858"/>
          <w:sz w:val="18"/>
        </w:rPr>
        <w:drawing>
          <wp:inline distT="0" distB="0" distL="0" distR="0" wp14:anchorId="46169C63" wp14:editId="6C7A6E75">
            <wp:extent cx="62779" cy="62779"/>
            <wp:effectExtent l="0" t="0" r="0" b="0"/>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186" cstate="print"/>
                    <a:stretch>
                      <a:fillRect/>
                    </a:stretch>
                  </pic:blipFill>
                  <pic:spPr>
                    <a:xfrm>
                      <a:off x="0" y="0"/>
                      <a:ext cx="62779" cy="62779"/>
                    </a:xfrm>
                    <a:prstGeom prst="rect">
                      <a:avLst/>
                    </a:prstGeom>
                  </pic:spPr>
                </pic:pic>
              </a:graphicData>
            </a:graphic>
          </wp:inline>
        </w:drawing>
      </w:r>
      <w:r>
        <w:rPr>
          <w:rFonts w:ascii="Times New Roman" w:hAnsi="Times New Roman"/>
          <w:color w:val="585858"/>
          <w:spacing w:val="4"/>
          <w:sz w:val="18"/>
        </w:rPr>
        <w:t xml:space="preserve"> </w:t>
      </w:r>
      <w:r>
        <w:rPr>
          <w:rFonts w:ascii="Trebuchet MS" w:hAnsi="Trebuchet MS"/>
          <w:color w:val="585858"/>
          <w:spacing w:val="-2"/>
          <w:sz w:val="18"/>
        </w:rPr>
        <w:t>Casos</w:t>
      </w:r>
      <w:r>
        <w:rPr>
          <w:rFonts w:ascii="Trebuchet MS" w:hAnsi="Trebuchet MS"/>
          <w:color w:val="585858"/>
          <w:spacing w:val="-14"/>
          <w:sz w:val="18"/>
        </w:rPr>
        <w:t xml:space="preserve"> </w:t>
      </w:r>
      <w:r>
        <w:rPr>
          <w:rFonts w:ascii="Trebuchet MS" w:hAnsi="Trebuchet MS"/>
          <w:color w:val="585858"/>
          <w:spacing w:val="-2"/>
          <w:sz w:val="18"/>
        </w:rPr>
        <w:t>de</w:t>
      </w:r>
      <w:r>
        <w:rPr>
          <w:rFonts w:ascii="Trebuchet MS" w:hAnsi="Trebuchet MS"/>
          <w:color w:val="585858"/>
          <w:spacing w:val="-12"/>
          <w:sz w:val="18"/>
        </w:rPr>
        <w:t xml:space="preserve"> </w:t>
      </w:r>
      <w:r>
        <w:rPr>
          <w:rFonts w:ascii="Trebuchet MS" w:hAnsi="Trebuchet MS"/>
          <w:color w:val="585858"/>
          <w:spacing w:val="-2"/>
          <w:sz w:val="18"/>
        </w:rPr>
        <w:t>intento</w:t>
      </w:r>
      <w:r>
        <w:rPr>
          <w:rFonts w:ascii="Trebuchet MS" w:hAnsi="Trebuchet MS"/>
          <w:color w:val="585858"/>
          <w:spacing w:val="-14"/>
          <w:sz w:val="18"/>
        </w:rPr>
        <w:t xml:space="preserve"> </w:t>
      </w:r>
      <w:r>
        <w:rPr>
          <w:rFonts w:ascii="Trebuchet MS" w:hAnsi="Trebuchet MS"/>
          <w:color w:val="585858"/>
          <w:spacing w:val="-2"/>
          <w:sz w:val="18"/>
        </w:rPr>
        <w:t>de</w:t>
      </w:r>
      <w:r>
        <w:rPr>
          <w:rFonts w:ascii="Trebuchet MS" w:hAnsi="Trebuchet MS"/>
          <w:color w:val="585858"/>
          <w:spacing w:val="-12"/>
          <w:sz w:val="18"/>
        </w:rPr>
        <w:t xml:space="preserve"> </w:t>
      </w:r>
      <w:r>
        <w:rPr>
          <w:rFonts w:ascii="Trebuchet MS" w:hAnsi="Trebuchet MS"/>
          <w:color w:val="585858"/>
          <w:spacing w:val="-2"/>
          <w:sz w:val="18"/>
        </w:rPr>
        <w:t>suicidio</w:t>
      </w:r>
    </w:p>
    <w:p w14:paraId="011BF80B" w14:textId="77777777" w:rsidR="000E52B0" w:rsidRDefault="00F60D74">
      <w:pPr>
        <w:spacing w:before="172"/>
        <w:ind w:right="2500"/>
        <w:jc w:val="right"/>
        <w:rPr>
          <w:rFonts w:ascii="Trebuchet MS"/>
          <w:sz w:val="18"/>
        </w:rPr>
      </w:pPr>
      <w:r>
        <w:rPr>
          <w:rFonts w:ascii="Trebuchet MS"/>
          <w:color w:val="404040"/>
          <w:spacing w:val="-2"/>
          <w:sz w:val="18"/>
        </w:rPr>
        <w:t>36590</w:t>
      </w:r>
    </w:p>
    <w:p w14:paraId="29077C1D" w14:textId="77777777" w:rsidR="000E52B0" w:rsidRDefault="00F60D74">
      <w:pPr>
        <w:pStyle w:val="Textoindependiente"/>
        <w:spacing w:before="6"/>
        <w:ind w:left="0"/>
        <w:rPr>
          <w:rFonts w:ascii="Trebuchet MS"/>
          <w:sz w:val="6"/>
        </w:rPr>
      </w:pPr>
      <w:r>
        <w:rPr>
          <w:rFonts w:ascii="Trebuchet MS"/>
          <w:noProof/>
          <w:sz w:val="6"/>
        </w:rPr>
        <mc:AlternateContent>
          <mc:Choice Requires="wpg">
            <w:drawing>
              <wp:anchor distT="0" distB="0" distL="0" distR="0" simplePos="0" relativeHeight="487655936" behindDoc="1" locked="0" layoutInCell="1" allowOverlap="1" wp14:anchorId="2FEC7F4F" wp14:editId="1EDCB678">
                <wp:simplePos x="0" y="0"/>
                <wp:positionH relativeFrom="page">
                  <wp:posOffset>1319275</wp:posOffset>
                </wp:positionH>
                <wp:positionV relativeFrom="paragraph">
                  <wp:posOffset>63296</wp:posOffset>
                </wp:positionV>
                <wp:extent cx="4921885" cy="1249045"/>
                <wp:effectExtent l="0" t="0" r="0" b="0"/>
                <wp:wrapTopAndBottom/>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1885" cy="1249045"/>
                          <a:chOff x="0" y="0"/>
                          <a:chExt cx="4921885" cy="1249045"/>
                        </a:xfrm>
                      </wpg:grpSpPr>
                      <wps:wsp>
                        <wps:cNvPr id="551" name="Graphic 551"/>
                        <wps:cNvSpPr/>
                        <wps:spPr>
                          <a:xfrm>
                            <a:off x="604012" y="454151"/>
                            <a:ext cx="3013075" cy="789940"/>
                          </a:xfrm>
                          <a:custGeom>
                            <a:avLst/>
                            <a:gdLst/>
                            <a:ahLst/>
                            <a:cxnLst/>
                            <a:rect l="l" t="t" r="r" b="b"/>
                            <a:pathLst>
                              <a:path w="3013075" h="789940">
                                <a:moveTo>
                                  <a:pt x="551688" y="201168"/>
                                </a:moveTo>
                                <a:lnTo>
                                  <a:pt x="0" y="201168"/>
                                </a:lnTo>
                                <a:lnTo>
                                  <a:pt x="0" y="789686"/>
                                </a:lnTo>
                                <a:lnTo>
                                  <a:pt x="551688" y="789686"/>
                                </a:lnTo>
                                <a:lnTo>
                                  <a:pt x="551688" y="201168"/>
                                </a:lnTo>
                                <a:close/>
                              </a:path>
                              <a:path w="3013075" h="789940">
                                <a:moveTo>
                                  <a:pt x="3012948" y="0"/>
                                </a:moveTo>
                                <a:lnTo>
                                  <a:pt x="2461260" y="0"/>
                                </a:lnTo>
                                <a:lnTo>
                                  <a:pt x="2461260" y="789686"/>
                                </a:lnTo>
                                <a:lnTo>
                                  <a:pt x="3012948" y="789686"/>
                                </a:lnTo>
                                <a:lnTo>
                                  <a:pt x="3012948" y="0"/>
                                </a:lnTo>
                                <a:close/>
                              </a:path>
                            </a:pathLst>
                          </a:custGeom>
                          <a:solidFill>
                            <a:srgbClr val="C82780"/>
                          </a:solidFill>
                        </wps:spPr>
                        <wps:bodyPr wrap="square" lIns="0" tIns="0" rIns="0" bIns="0" rtlCol="0">
                          <a:prstTxWarp prst="textNoShape">
                            <a:avLst/>
                          </a:prstTxWarp>
                          <a:noAutofit/>
                        </wps:bodyPr>
                      </wps:wsp>
                      <wps:wsp>
                        <wps:cNvPr id="552" name="Graphic 552"/>
                        <wps:cNvSpPr/>
                        <wps:spPr>
                          <a:xfrm>
                            <a:off x="1305052" y="0"/>
                            <a:ext cx="3013075" cy="1243965"/>
                          </a:xfrm>
                          <a:custGeom>
                            <a:avLst/>
                            <a:gdLst/>
                            <a:ahLst/>
                            <a:cxnLst/>
                            <a:rect l="l" t="t" r="r" b="b"/>
                            <a:pathLst>
                              <a:path w="3013075" h="1243965">
                                <a:moveTo>
                                  <a:pt x="551688" y="259080"/>
                                </a:moveTo>
                                <a:lnTo>
                                  <a:pt x="0" y="259080"/>
                                </a:lnTo>
                                <a:lnTo>
                                  <a:pt x="0" y="1243838"/>
                                </a:lnTo>
                                <a:lnTo>
                                  <a:pt x="551688" y="1243838"/>
                                </a:lnTo>
                                <a:lnTo>
                                  <a:pt x="551688" y="259080"/>
                                </a:lnTo>
                                <a:close/>
                              </a:path>
                              <a:path w="3013075" h="1243965">
                                <a:moveTo>
                                  <a:pt x="3012948" y="0"/>
                                </a:moveTo>
                                <a:lnTo>
                                  <a:pt x="2461260" y="0"/>
                                </a:lnTo>
                                <a:lnTo>
                                  <a:pt x="2461260" y="1243838"/>
                                </a:lnTo>
                                <a:lnTo>
                                  <a:pt x="3012948" y="1243838"/>
                                </a:lnTo>
                                <a:lnTo>
                                  <a:pt x="3012948" y="0"/>
                                </a:lnTo>
                                <a:close/>
                              </a:path>
                            </a:pathLst>
                          </a:custGeom>
                          <a:solidFill>
                            <a:srgbClr val="EA88B3"/>
                          </a:solidFill>
                        </wps:spPr>
                        <wps:bodyPr wrap="square" lIns="0" tIns="0" rIns="0" bIns="0" rtlCol="0">
                          <a:prstTxWarp prst="textNoShape">
                            <a:avLst/>
                          </a:prstTxWarp>
                          <a:noAutofit/>
                        </wps:bodyPr>
                      </wps:wsp>
                      <wps:wsp>
                        <wps:cNvPr id="553" name="Graphic 553"/>
                        <wps:cNvSpPr/>
                        <wps:spPr>
                          <a:xfrm>
                            <a:off x="0" y="1243838"/>
                            <a:ext cx="4921885" cy="1270"/>
                          </a:xfrm>
                          <a:custGeom>
                            <a:avLst/>
                            <a:gdLst/>
                            <a:ahLst/>
                            <a:cxnLst/>
                            <a:rect l="l" t="t" r="r" b="b"/>
                            <a:pathLst>
                              <a:path w="4921885">
                                <a:moveTo>
                                  <a:pt x="0" y="0"/>
                                </a:moveTo>
                                <a:lnTo>
                                  <a:pt x="4921758" y="0"/>
                                </a:lnTo>
                              </a:path>
                            </a:pathLst>
                          </a:custGeom>
                          <a:ln w="9525">
                            <a:solidFill>
                              <a:srgbClr val="D9D9D9"/>
                            </a:solidFill>
                            <a:prstDash val="solid"/>
                          </a:ln>
                        </wps:spPr>
                        <wps:bodyPr wrap="square" lIns="0" tIns="0" rIns="0" bIns="0" rtlCol="0">
                          <a:prstTxWarp prst="textNoShape">
                            <a:avLst/>
                          </a:prstTxWarp>
                          <a:noAutofit/>
                        </wps:bodyPr>
                      </wps:wsp>
                      <wps:wsp>
                        <wps:cNvPr id="554" name="Textbox 554"/>
                        <wps:cNvSpPr txBox="1"/>
                        <wps:spPr>
                          <a:xfrm>
                            <a:off x="1428496" y="62729"/>
                            <a:ext cx="317500" cy="139700"/>
                          </a:xfrm>
                          <a:prstGeom prst="rect">
                            <a:avLst/>
                          </a:prstGeom>
                        </wps:spPr>
                        <wps:txbx>
                          <w:txbxContent>
                            <w:p w14:paraId="73CA866F" w14:textId="77777777" w:rsidR="000E52B0" w:rsidRDefault="00F60D74">
                              <w:pPr>
                                <w:rPr>
                                  <w:rFonts w:ascii="Trebuchet MS"/>
                                  <w:sz w:val="18"/>
                                </w:rPr>
                              </w:pPr>
                              <w:r>
                                <w:rPr>
                                  <w:rFonts w:ascii="Trebuchet MS"/>
                                  <w:color w:val="404040"/>
                                  <w:spacing w:val="-2"/>
                                  <w:sz w:val="18"/>
                                </w:rPr>
                                <w:t>28984</w:t>
                              </w:r>
                            </w:p>
                          </w:txbxContent>
                        </wps:txbx>
                        <wps:bodyPr wrap="square" lIns="0" tIns="0" rIns="0" bIns="0" rtlCol="0">
                          <a:noAutofit/>
                        </wps:bodyPr>
                      </wps:wsp>
                      <wps:wsp>
                        <wps:cNvPr id="555" name="Textbox 555"/>
                        <wps:cNvSpPr txBox="1"/>
                        <wps:spPr>
                          <a:xfrm>
                            <a:off x="3188970" y="258182"/>
                            <a:ext cx="317500" cy="139700"/>
                          </a:xfrm>
                          <a:prstGeom prst="rect">
                            <a:avLst/>
                          </a:prstGeom>
                        </wps:spPr>
                        <wps:txbx>
                          <w:txbxContent>
                            <w:p w14:paraId="40FC89B2" w14:textId="77777777" w:rsidR="000E52B0" w:rsidRDefault="00F60D74">
                              <w:pPr>
                                <w:rPr>
                                  <w:rFonts w:ascii="Trebuchet MS"/>
                                  <w:sz w:val="18"/>
                                </w:rPr>
                              </w:pPr>
                              <w:r>
                                <w:rPr>
                                  <w:rFonts w:ascii="Trebuchet MS"/>
                                  <w:color w:val="404040"/>
                                  <w:spacing w:val="-2"/>
                                  <w:sz w:val="18"/>
                                </w:rPr>
                                <w:t>23233</w:t>
                              </w:r>
                            </w:p>
                          </w:txbxContent>
                        </wps:txbx>
                        <wps:bodyPr wrap="square" lIns="0" tIns="0" rIns="0" bIns="0" rtlCol="0">
                          <a:noAutofit/>
                        </wps:bodyPr>
                      </wps:wsp>
                      <wps:wsp>
                        <wps:cNvPr id="556" name="Textbox 556"/>
                        <wps:cNvSpPr txBox="1"/>
                        <wps:spPr>
                          <a:xfrm>
                            <a:off x="727709" y="459604"/>
                            <a:ext cx="317500" cy="139700"/>
                          </a:xfrm>
                          <a:prstGeom prst="rect">
                            <a:avLst/>
                          </a:prstGeom>
                        </wps:spPr>
                        <wps:txbx>
                          <w:txbxContent>
                            <w:p w14:paraId="03FA8EFB" w14:textId="77777777" w:rsidR="000E52B0" w:rsidRDefault="00F60D74">
                              <w:pPr>
                                <w:rPr>
                                  <w:rFonts w:ascii="Trebuchet MS"/>
                                  <w:sz w:val="18"/>
                                </w:rPr>
                              </w:pPr>
                              <w:r>
                                <w:rPr>
                                  <w:rFonts w:ascii="Trebuchet MS"/>
                                  <w:color w:val="404040"/>
                                  <w:spacing w:val="-2"/>
                                  <w:sz w:val="18"/>
                                </w:rPr>
                                <w:t>17304</w:t>
                              </w:r>
                            </w:p>
                          </w:txbxContent>
                        </wps:txbx>
                        <wps:bodyPr wrap="square" lIns="0" tIns="0" rIns="0" bIns="0" rtlCol="0">
                          <a:noAutofit/>
                        </wps:bodyPr>
                      </wps:wsp>
                    </wpg:wgp>
                  </a:graphicData>
                </a:graphic>
              </wp:anchor>
            </w:drawing>
          </mc:Choice>
          <mc:Fallback>
            <w:pict>
              <v:group w14:anchorId="2FEC7F4F" id="Group 550" o:spid="_x0000_s1339" style="position:absolute;margin-left:103.9pt;margin-top:5pt;width:387.55pt;height:98.35pt;z-index:-15660544;mso-wrap-distance-left:0;mso-wrap-distance-right:0;mso-position-horizontal-relative:page;mso-position-vertical-relative:text" coordsize="49218,1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">
                <v:shape id="Graphic 551" o:spid="_x0000_s1340" style="position:absolute;left:6040;top:4541;width:30130;height:7899;visibility:visible;mso-wrap-style:square;v-text-anchor:top" coordsize="3013075,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" path="m551688,201168l,201168,,789686r551688,l551688,201168xem3012948,l2461260,r,789686l3012948,789686,3012948,xe" fillcolor="#c82780" stroked="f">
                  <v:path arrowok="t"/>
                </v:shape>
                <v:shape id="Graphic 552" o:spid="_x0000_s1341" style="position:absolute;left:13050;width:30131;height:12439;visibility:visible;mso-wrap-style:square;v-text-anchor:top" coordsize="3013075,124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" path="m551688,259080l,259080r,984758l551688,1243838r,-984758xem3012948,l2461260,r,1243838l3012948,1243838,3012948,xe" fillcolor="#ea88b3" stroked="f">
                  <v:path arrowok="t"/>
                </v:shape>
                <v:shape id="Graphic 553" o:spid="_x0000_s1342" style="position:absolute;top:12438;width:49218;height:13;visibility:visible;mso-wrap-style:square;v-text-anchor:top" coordsize="4921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" path="m,l4921758,e" filled="f" strokecolor="#d9d9d9">
                  <v:path arrowok="t"/>
                </v:shape>
                <v:shape id="Textbox 554" o:spid="_x0000_s1343" type="#_x0000_t202" style="position:absolute;left:14284;top:627;width:317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73CA866F" w14:textId="77777777" w:rsidR="000E52B0" w:rsidRDefault="00F60D74">
                        <w:pPr>
                          <w:rPr>
                            <w:rFonts w:ascii="Trebuchet MS"/>
                            <w:sz w:val="18"/>
                          </w:rPr>
                        </w:pPr>
                        <w:r>
                          <w:rPr>
                            <w:rFonts w:ascii="Trebuchet MS"/>
                            <w:color w:val="404040"/>
                            <w:spacing w:val="-2"/>
                            <w:sz w:val="18"/>
                          </w:rPr>
                          <w:t>28984</w:t>
                        </w:r>
                      </w:p>
                    </w:txbxContent>
                  </v:textbox>
                </v:shape>
                <v:shape id="Textbox 555" o:spid="_x0000_s1344" type="#_x0000_t202" style="position:absolute;left:31889;top:2581;width:317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40FC89B2" w14:textId="77777777" w:rsidR="000E52B0" w:rsidRDefault="00F60D74">
                        <w:pPr>
                          <w:rPr>
                            <w:rFonts w:ascii="Trebuchet MS"/>
                            <w:sz w:val="18"/>
                          </w:rPr>
                        </w:pPr>
                        <w:r>
                          <w:rPr>
                            <w:rFonts w:ascii="Trebuchet MS"/>
                            <w:color w:val="404040"/>
                            <w:spacing w:val="-2"/>
                            <w:sz w:val="18"/>
                          </w:rPr>
                          <w:t>23233</w:t>
                        </w:r>
                      </w:p>
                    </w:txbxContent>
                  </v:textbox>
                </v:shape>
                <v:shape id="Textbox 556" o:spid="_x0000_s1345" type="#_x0000_t202" style="position:absolute;left:7277;top:4596;width:317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03FA8EFB" w14:textId="77777777" w:rsidR="000E52B0" w:rsidRDefault="00F60D74">
                        <w:pPr>
                          <w:rPr>
                            <w:rFonts w:ascii="Trebuchet MS"/>
                            <w:sz w:val="18"/>
                          </w:rPr>
                        </w:pPr>
                        <w:r>
                          <w:rPr>
                            <w:rFonts w:ascii="Trebuchet MS"/>
                            <w:color w:val="404040"/>
                            <w:spacing w:val="-2"/>
                            <w:sz w:val="18"/>
                          </w:rPr>
                          <w:t>17304</w:t>
                        </w:r>
                      </w:p>
                    </w:txbxContent>
                  </v:textbox>
                </v:shape>
                <w10:wrap type="topAndBottom" anchorx="page"/>
              </v:group>
            </w:pict>
          </mc:Fallback>
        </mc:AlternateContent>
      </w:r>
    </w:p>
    <w:p w14:paraId="1F312E45" w14:textId="77777777" w:rsidR="000E52B0" w:rsidRDefault="00F60D74">
      <w:pPr>
        <w:tabs>
          <w:tab w:val="left" w:pos="3877"/>
        </w:tabs>
        <w:spacing w:before="106"/>
        <w:ind w:left="1"/>
        <w:jc w:val="center"/>
        <w:rPr>
          <w:rFonts w:ascii="Trebuchet MS"/>
          <w:sz w:val="18"/>
        </w:rPr>
      </w:pPr>
      <w:r>
        <w:rPr>
          <w:rFonts w:ascii="Trebuchet MS"/>
          <w:color w:val="585858"/>
          <w:spacing w:val="-4"/>
          <w:sz w:val="18"/>
        </w:rPr>
        <w:t>2021</w:t>
      </w:r>
      <w:r>
        <w:rPr>
          <w:rFonts w:ascii="Trebuchet MS"/>
          <w:color w:val="585858"/>
          <w:sz w:val="18"/>
        </w:rPr>
        <w:tab/>
      </w:r>
      <w:r>
        <w:rPr>
          <w:rFonts w:ascii="Trebuchet MS"/>
          <w:color w:val="585858"/>
          <w:spacing w:val="-4"/>
          <w:sz w:val="18"/>
        </w:rPr>
        <w:t>2022</w:t>
      </w:r>
    </w:p>
    <w:p w14:paraId="3CC8C1DB" w14:textId="77777777" w:rsidR="000E52B0" w:rsidRDefault="00F60D74">
      <w:pPr>
        <w:spacing w:before="140"/>
        <w:ind w:left="3"/>
        <w:jc w:val="center"/>
        <w:rPr>
          <w:i/>
          <w:sz w:val="18"/>
        </w:rPr>
      </w:pPr>
      <w:r>
        <w:rPr>
          <w:i/>
          <w:color w:val="454551"/>
          <w:sz w:val="18"/>
        </w:rPr>
        <w:t>Fuente</w:t>
      </w:r>
      <w:r>
        <w:rPr>
          <w:i/>
          <w:color w:val="454551"/>
          <w:spacing w:val="59"/>
          <w:sz w:val="18"/>
        </w:rPr>
        <w:t xml:space="preserve"> </w:t>
      </w:r>
      <w:r>
        <w:rPr>
          <w:i/>
          <w:color w:val="454551"/>
          <w:sz w:val="18"/>
        </w:rPr>
        <w:t>1.</w:t>
      </w:r>
      <w:r>
        <w:rPr>
          <w:i/>
          <w:color w:val="454551"/>
          <w:spacing w:val="-3"/>
          <w:sz w:val="18"/>
        </w:rPr>
        <w:t xml:space="preserve"> </w:t>
      </w:r>
      <w:r>
        <w:rPr>
          <w:i/>
          <w:color w:val="454551"/>
          <w:sz w:val="18"/>
        </w:rPr>
        <w:t>Consulta</w:t>
      </w:r>
      <w:r>
        <w:rPr>
          <w:i/>
          <w:color w:val="454551"/>
          <w:spacing w:val="-2"/>
          <w:sz w:val="18"/>
        </w:rPr>
        <w:t xml:space="preserve"> </w:t>
      </w:r>
      <w:r>
        <w:rPr>
          <w:i/>
          <w:color w:val="454551"/>
          <w:sz w:val="18"/>
        </w:rPr>
        <w:t>Cubo</w:t>
      </w:r>
      <w:r>
        <w:rPr>
          <w:i/>
          <w:color w:val="454551"/>
          <w:spacing w:val="-4"/>
          <w:sz w:val="18"/>
        </w:rPr>
        <w:t xml:space="preserve"> </w:t>
      </w:r>
      <w:r>
        <w:rPr>
          <w:i/>
          <w:color w:val="454551"/>
          <w:sz w:val="18"/>
        </w:rPr>
        <w:t>SISPRO</w:t>
      </w:r>
      <w:r>
        <w:rPr>
          <w:i/>
          <w:color w:val="454551"/>
          <w:spacing w:val="-1"/>
          <w:sz w:val="18"/>
        </w:rPr>
        <w:t xml:space="preserve"> </w:t>
      </w:r>
      <w:r>
        <w:rPr>
          <w:i/>
          <w:color w:val="454551"/>
          <w:sz w:val="18"/>
        </w:rPr>
        <w:t xml:space="preserve">- </w:t>
      </w:r>
      <w:proofErr w:type="spellStart"/>
      <w:r>
        <w:rPr>
          <w:i/>
          <w:color w:val="454551"/>
          <w:spacing w:val="-2"/>
          <w:sz w:val="18"/>
        </w:rPr>
        <w:t>MinSalud</w:t>
      </w:r>
      <w:proofErr w:type="spellEnd"/>
    </w:p>
    <w:p w14:paraId="7CC1B3E7" w14:textId="77777777" w:rsidR="000E52B0" w:rsidRDefault="00F60D74">
      <w:pPr>
        <w:pStyle w:val="Textoindependiente"/>
        <w:spacing w:before="202"/>
        <w:ind w:right="715"/>
        <w:jc w:val="both"/>
      </w:pPr>
      <w:r>
        <w:t>Según la información obtenida a través de las Estadísticas Vitales - EEVV del DANE, antes del inicio de la pandemia se observaba un aumento en la tasa</w:t>
      </w:r>
      <w:r>
        <w:rPr>
          <w:spacing w:val="-8"/>
        </w:rPr>
        <w:t xml:space="preserve"> </w:t>
      </w:r>
      <w:r>
        <w:t>de</w:t>
      </w:r>
      <w:r>
        <w:rPr>
          <w:spacing w:val="-6"/>
        </w:rPr>
        <w:t xml:space="preserve"> </w:t>
      </w:r>
      <w:r>
        <w:t>mortalidad</w:t>
      </w:r>
      <w:r>
        <w:rPr>
          <w:spacing w:val="-8"/>
        </w:rPr>
        <w:t xml:space="preserve"> </w:t>
      </w:r>
      <w:r>
        <w:t>por</w:t>
      </w:r>
      <w:r>
        <w:rPr>
          <w:spacing w:val="-6"/>
        </w:rPr>
        <w:t xml:space="preserve"> </w:t>
      </w:r>
      <w:r>
        <w:t>suicidio</w:t>
      </w:r>
      <w:r>
        <w:rPr>
          <w:spacing w:val="-7"/>
        </w:rPr>
        <w:t xml:space="preserve"> </w:t>
      </w:r>
      <w:r>
        <w:t>(lesiones</w:t>
      </w:r>
      <w:r>
        <w:rPr>
          <w:spacing w:val="-8"/>
        </w:rPr>
        <w:t xml:space="preserve"> </w:t>
      </w:r>
      <w:r>
        <w:t>auto</w:t>
      </w:r>
      <w:r>
        <w:rPr>
          <w:spacing w:val="-7"/>
        </w:rPr>
        <w:t xml:space="preserve"> </w:t>
      </w:r>
      <w:r>
        <w:t>infligidas),</w:t>
      </w:r>
      <w:r>
        <w:rPr>
          <w:spacing w:val="-8"/>
        </w:rPr>
        <w:t xml:space="preserve"> </w:t>
      </w:r>
      <w:r>
        <w:t>pasando</w:t>
      </w:r>
      <w:r>
        <w:rPr>
          <w:spacing w:val="-7"/>
        </w:rPr>
        <w:t xml:space="preserve"> </w:t>
      </w:r>
      <w:r>
        <w:t>de</w:t>
      </w:r>
      <w:r>
        <w:rPr>
          <w:spacing w:val="-6"/>
        </w:rPr>
        <w:t xml:space="preserve"> </w:t>
      </w:r>
      <w:r>
        <w:t>5,1% en</w:t>
      </w:r>
      <w:r>
        <w:rPr>
          <w:spacing w:val="68"/>
        </w:rPr>
        <w:t xml:space="preserve"> </w:t>
      </w:r>
      <w:r>
        <w:t>2005</w:t>
      </w:r>
      <w:r>
        <w:rPr>
          <w:spacing w:val="69"/>
        </w:rPr>
        <w:t xml:space="preserve"> </w:t>
      </w:r>
      <w:r>
        <w:t>a</w:t>
      </w:r>
      <w:r>
        <w:rPr>
          <w:spacing w:val="69"/>
        </w:rPr>
        <w:t xml:space="preserve"> </w:t>
      </w:r>
      <w:r>
        <w:t>5,9%</w:t>
      </w:r>
      <w:r>
        <w:rPr>
          <w:spacing w:val="67"/>
        </w:rPr>
        <w:t xml:space="preserve"> </w:t>
      </w:r>
      <w:r>
        <w:t>en</w:t>
      </w:r>
      <w:r>
        <w:rPr>
          <w:spacing w:val="69"/>
        </w:rPr>
        <w:t xml:space="preserve"> </w:t>
      </w:r>
      <w:r>
        <w:t>2019</w:t>
      </w:r>
      <w:r>
        <w:rPr>
          <w:spacing w:val="69"/>
        </w:rPr>
        <w:t xml:space="preserve"> </w:t>
      </w:r>
      <w:r>
        <w:t>(DANE,</w:t>
      </w:r>
      <w:r>
        <w:rPr>
          <w:spacing w:val="68"/>
        </w:rPr>
        <w:t xml:space="preserve"> </w:t>
      </w:r>
      <w:r>
        <w:t>2021).</w:t>
      </w:r>
      <w:r>
        <w:rPr>
          <w:spacing w:val="69"/>
        </w:rPr>
        <w:t xml:space="preserve"> </w:t>
      </w:r>
      <w:r>
        <w:t>Aunque</w:t>
      </w:r>
      <w:r>
        <w:rPr>
          <w:spacing w:val="69"/>
        </w:rPr>
        <w:t xml:space="preserve"> </w:t>
      </w:r>
      <w:r>
        <w:t>en</w:t>
      </w:r>
      <w:r>
        <w:rPr>
          <w:spacing w:val="71"/>
        </w:rPr>
        <w:t xml:space="preserve"> </w:t>
      </w:r>
      <w:r>
        <w:t>2020</w:t>
      </w:r>
      <w:r>
        <w:rPr>
          <w:spacing w:val="69"/>
        </w:rPr>
        <w:t xml:space="preserve"> </w:t>
      </w:r>
      <w:r>
        <w:t>hubo</w:t>
      </w:r>
      <w:r>
        <w:rPr>
          <w:spacing w:val="70"/>
        </w:rPr>
        <w:t xml:space="preserve"> </w:t>
      </w:r>
      <w:r>
        <w:rPr>
          <w:spacing w:val="-5"/>
        </w:rPr>
        <w:t>una</w:t>
      </w:r>
    </w:p>
    <w:p w14:paraId="2E1F9610" w14:textId="77777777" w:rsidR="000E52B0" w:rsidRDefault="00F60D74">
      <w:pPr>
        <w:pStyle w:val="Textoindependiente"/>
        <w:spacing w:before="6"/>
        <w:ind w:left="0"/>
        <w:rPr>
          <w:sz w:val="12"/>
        </w:rPr>
      </w:pPr>
      <w:r>
        <w:rPr>
          <w:noProof/>
          <w:sz w:val="12"/>
        </w:rPr>
        <mc:AlternateContent>
          <mc:Choice Requires="wps">
            <w:drawing>
              <wp:anchor distT="0" distB="0" distL="0" distR="0" simplePos="0" relativeHeight="487656448" behindDoc="1" locked="0" layoutInCell="1" allowOverlap="1" wp14:anchorId="1450D8FC" wp14:editId="7CA108A5">
                <wp:simplePos x="0" y="0"/>
                <wp:positionH relativeFrom="page">
                  <wp:posOffset>914704</wp:posOffset>
                </wp:positionH>
                <wp:positionV relativeFrom="paragraph">
                  <wp:posOffset>112024</wp:posOffset>
                </wp:positionV>
                <wp:extent cx="1829435" cy="7620"/>
                <wp:effectExtent l="0" t="0" r="0" b="0"/>
                <wp:wrapTopAndBottom/>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2FFFF7" id="Graphic 557" o:spid="_x0000_s1026" style="position:absolute;margin-left:1in;margin-top:8.8pt;width:144.05pt;height:.6pt;z-index:-156600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" path="m1829054,l,,,7620r1829054,l1829054,xe" fillcolor="black" stroked="f">
                <v:path arrowok="t"/>
                <w10:wrap type="topAndBottom" anchorx="page"/>
              </v:shape>
            </w:pict>
          </mc:Fallback>
        </mc:AlternateContent>
      </w:r>
    </w:p>
    <w:p w14:paraId="0CCCA215" w14:textId="77777777" w:rsidR="000E52B0" w:rsidRDefault="00F60D74">
      <w:pPr>
        <w:tabs>
          <w:tab w:val="left" w:pos="1085"/>
          <w:tab w:val="left" w:pos="2087"/>
          <w:tab w:val="left" w:pos="2518"/>
          <w:tab w:val="left" w:pos="3206"/>
          <w:tab w:val="left" w:pos="3525"/>
          <w:tab w:val="left" w:pos="4609"/>
          <w:tab w:val="left" w:pos="5378"/>
          <w:tab w:val="left" w:pos="6177"/>
          <w:tab w:val="left" w:pos="7157"/>
          <w:tab w:val="left" w:pos="8059"/>
          <w:tab w:val="left" w:pos="8488"/>
          <w:tab w:val="left" w:pos="9150"/>
        </w:tabs>
        <w:spacing w:before="96"/>
        <w:ind w:left="720" w:right="724"/>
        <w:rPr>
          <w:rFonts w:ascii="Arial MT" w:hAnsi="Arial MT"/>
          <w:sz w:val="18"/>
        </w:rPr>
      </w:pPr>
      <w:bookmarkStart w:id="76" w:name="_bookmark76"/>
      <w:bookmarkEnd w:id="76"/>
      <w:r>
        <w:rPr>
          <w:rFonts w:ascii="Arial MT" w:hAnsi="Arial MT"/>
          <w:spacing w:val="-6"/>
          <w:position w:val="6"/>
          <w:sz w:val="12"/>
        </w:rPr>
        <w:t>65</w:t>
      </w:r>
      <w:r>
        <w:rPr>
          <w:rFonts w:ascii="Arial MT" w:hAnsi="Arial MT"/>
          <w:position w:val="6"/>
          <w:sz w:val="12"/>
        </w:rPr>
        <w:tab/>
      </w:r>
      <w:proofErr w:type="gramStart"/>
      <w:r>
        <w:rPr>
          <w:rFonts w:ascii="Arial MT" w:hAnsi="Arial MT"/>
          <w:spacing w:val="-2"/>
          <w:sz w:val="18"/>
        </w:rPr>
        <w:t>Ministerio</w:t>
      </w:r>
      <w:proofErr w:type="gramEnd"/>
      <w:r>
        <w:rPr>
          <w:rFonts w:ascii="Arial MT" w:hAnsi="Arial MT"/>
          <w:sz w:val="18"/>
        </w:rPr>
        <w:tab/>
      </w:r>
      <w:r>
        <w:rPr>
          <w:rFonts w:ascii="Arial MT" w:hAnsi="Arial MT"/>
          <w:spacing w:val="-6"/>
          <w:sz w:val="18"/>
        </w:rPr>
        <w:t>de</w:t>
      </w:r>
      <w:r>
        <w:rPr>
          <w:rFonts w:ascii="Arial MT" w:hAnsi="Arial MT"/>
          <w:sz w:val="18"/>
        </w:rPr>
        <w:tab/>
      </w:r>
      <w:r>
        <w:rPr>
          <w:rFonts w:ascii="Arial MT" w:hAnsi="Arial MT"/>
          <w:spacing w:val="-4"/>
          <w:sz w:val="18"/>
        </w:rPr>
        <w:t>Salud</w:t>
      </w:r>
      <w:r>
        <w:rPr>
          <w:rFonts w:ascii="Arial MT" w:hAnsi="Arial MT"/>
          <w:sz w:val="18"/>
        </w:rPr>
        <w:tab/>
      </w:r>
      <w:r>
        <w:rPr>
          <w:rFonts w:ascii="Arial MT" w:hAnsi="Arial MT"/>
          <w:spacing w:val="-10"/>
          <w:sz w:val="18"/>
        </w:rPr>
        <w:t>y</w:t>
      </w:r>
      <w:r>
        <w:rPr>
          <w:rFonts w:ascii="Arial MT" w:hAnsi="Arial MT"/>
          <w:sz w:val="18"/>
        </w:rPr>
        <w:tab/>
      </w:r>
      <w:r>
        <w:rPr>
          <w:rFonts w:ascii="Arial MT" w:hAnsi="Arial MT"/>
          <w:spacing w:val="-2"/>
          <w:sz w:val="18"/>
        </w:rPr>
        <w:t>Protección</w:t>
      </w:r>
      <w:r>
        <w:rPr>
          <w:rFonts w:ascii="Arial MT" w:hAnsi="Arial MT"/>
          <w:sz w:val="18"/>
        </w:rPr>
        <w:tab/>
      </w:r>
      <w:r>
        <w:rPr>
          <w:rFonts w:ascii="Arial MT" w:hAnsi="Arial MT"/>
          <w:spacing w:val="-2"/>
          <w:sz w:val="18"/>
        </w:rPr>
        <w:t>Social.</w:t>
      </w:r>
      <w:r>
        <w:rPr>
          <w:rFonts w:ascii="Arial MT" w:hAnsi="Arial MT"/>
          <w:sz w:val="18"/>
        </w:rPr>
        <w:tab/>
      </w:r>
      <w:r>
        <w:rPr>
          <w:rFonts w:ascii="Arial MT" w:hAnsi="Arial MT"/>
          <w:spacing w:val="-2"/>
          <w:sz w:val="18"/>
        </w:rPr>
        <w:t>(2015).</w:t>
      </w:r>
      <w:r>
        <w:rPr>
          <w:rFonts w:ascii="Arial MT" w:hAnsi="Arial MT"/>
          <w:sz w:val="18"/>
        </w:rPr>
        <w:tab/>
      </w:r>
      <w:r>
        <w:rPr>
          <w:rFonts w:ascii="Arial MT" w:hAnsi="Arial MT"/>
          <w:spacing w:val="-2"/>
          <w:sz w:val="18"/>
        </w:rPr>
        <w:t>Encuesta</w:t>
      </w:r>
      <w:r>
        <w:rPr>
          <w:rFonts w:ascii="Arial MT" w:hAnsi="Arial MT"/>
          <w:sz w:val="18"/>
        </w:rPr>
        <w:tab/>
      </w:r>
      <w:r>
        <w:rPr>
          <w:rFonts w:ascii="Arial MT" w:hAnsi="Arial MT"/>
          <w:spacing w:val="-2"/>
          <w:sz w:val="18"/>
        </w:rPr>
        <w:t>nacional</w:t>
      </w:r>
      <w:r>
        <w:rPr>
          <w:rFonts w:ascii="Arial MT" w:hAnsi="Arial MT"/>
          <w:sz w:val="18"/>
        </w:rPr>
        <w:tab/>
      </w:r>
      <w:r>
        <w:rPr>
          <w:rFonts w:ascii="Arial MT" w:hAnsi="Arial MT"/>
          <w:spacing w:val="-6"/>
          <w:sz w:val="18"/>
        </w:rPr>
        <w:t>de</w:t>
      </w:r>
      <w:r>
        <w:rPr>
          <w:rFonts w:ascii="Arial MT" w:hAnsi="Arial MT"/>
          <w:sz w:val="18"/>
        </w:rPr>
        <w:tab/>
      </w:r>
      <w:r>
        <w:rPr>
          <w:rFonts w:ascii="Arial MT" w:hAnsi="Arial MT"/>
          <w:spacing w:val="-2"/>
          <w:sz w:val="18"/>
        </w:rPr>
        <w:t>salud</w:t>
      </w:r>
      <w:r>
        <w:rPr>
          <w:rFonts w:ascii="Arial MT" w:hAnsi="Arial MT"/>
          <w:sz w:val="18"/>
        </w:rPr>
        <w:tab/>
      </w:r>
      <w:r>
        <w:rPr>
          <w:rFonts w:ascii="Arial MT" w:hAnsi="Arial MT"/>
          <w:spacing w:val="-2"/>
          <w:sz w:val="18"/>
        </w:rPr>
        <w:t xml:space="preserve">mental. </w:t>
      </w:r>
      <w:hyperlink r:id="rId187">
        <w:r w:rsidR="000E52B0">
          <w:rPr>
            <w:rFonts w:ascii="Arial MT" w:hAnsi="Arial MT"/>
            <w:color w:val="E22C91"/>
            <w:spacing w:val="-2"/>
            <w:sz w:val="18"/>
            <w:u w:val="single" w:color="E22C91"/>
          </w:rPr>
          <w:t>https://www.minjusticia.gov.co/programas-co/ODC/Publicaciones/Publicaciones/CO031102015-</w:t>
        </w:r>
      </w:hyperlink>
      <w:r>
        <w:rPr>
          <w:rFonts w:ascii="Arial MT" w:hAnsi="Arial MT"/>
          <w:color w:val="E22C91"/>
          <w:spacing w:val="-2"/>
          <w:sz w:val="18"/>
        </w:rPr>
        <w:t xml:space="preserve"> </w:t>
      </w:r>
      <w:hyperlink r:id="rId188">
        <w:r w:rsidR="000E52B0">
          <w:rPr>
            <w:rFonts w:ascii="Arial MT" w:hAnsi="Arial MT"/>
            <w:color w:val="E22C91"/>
            <w:spacing w:val="-2"/>
            <w:sz w:val="18"/>
            <w:u w:val="single" w:color="E22C91"/>
          </w:rPr>
          <w:t>salud_mental_tomoI.pdf</w:t>
        </w:r>
      </w:hyperlink>
    </w:p>
    <w:p w14:paraId="2172B0EF" w14:textId="77777777" w:rsidR="000E52B0" w:rsidRDefault="00F60D74">
      <w:pPr>
        <w:tabs>
          <w:tab w:val="left" w:pos="2507"/>
          <w:tab w:val="left" w:pos="3514"/>
        </w:tabs>
        <w:ind w:left="720" w:right="713"/>
        <w:jc w:val="both"/>
        <w:rPr>
          <w:rFonts w:ascii="Arial MT" w:hAnsi="Arial MT"/>
          <w:sz w:val="18"/>
        </w:rPr>
      </w:pPr>
      <w:bookmarkStart w:id="77" w:name="_bookmark77"/>
      <w:bookmarkEnd w:id="77"/>
      <w:r>
        <w:rPr>
          <w:rFonts w:ascii="Arial MT" w:hAnsi="Arial MT"/>
          <w:position w:val="6"/>
          <w:sz w:val="12"/>
        </w:rPr>
        <w:t>66</w:t>
      </w:r>
      <w:r>
        <w:rPr>
          <w:rFonts w:ascii="Arial MT" w:hAnsi="Arial MT"/>
          <w:spacing w:val="9"/>
          <w:position w:val="6"/>
          <w:sz w:val="12"/>
        </w:rPr>
        <w:t xml:space="preserve"> </w:t>
      </w:r>
      <w:proofErr w:type="gramStart"/>
      <w:r>
        <w:rPr>
          <w:rFonts w:ascii="Arial MT" w:hAnsi="Arial MT"/>
          <w:sz w:val="18"/>
        </w:rPr>
        <w:t>Departamento</w:t>
      </w:r>
      <w:proofErr w:type="gramEnd"/>
      <w:r>
        <w:rPr>
          <w:rFonts w:ascii="Arial MT" w:hAnsi="Arial MT"/>
          <w:spacing w:val="-7"/>
          <w:sz w:val="18"/>
        </w:rPr>
        <w:t xml:space="preserve"> </w:t>
      </w:r>
      <w:r>
        <w:rPr>
          <w:rFonts w:ascii="Arial MT" w:hAnsi="Arial MT"/>
          <w:sz w:val="18"/>
        </w:rPr>
        <w:t>Administrativo</w:t>
      </w:r>
      <w:r>
        <w:rPr>
          <w:rFonts w:ascii="Arial MT" w:hAnsi="Arial MT"/>
          <w:spacing w:val="-10"/>
          <w:sz w:val="18"/>
        </w:rPr>
        <w:t xml:space="preserve"> </w:t>
      </w:r>
      <w:r>
        <w:rPr>
          <w:rFonts w:ascii="Arial MT" w:hAnsi="Arial MT"/>
          <w:sz w:val="18"/>
        </w:rPr>
        <w:t>Nacional</w:t>
      </w:r>
      <w:r>
        <w:rPr>
          <w:rFonts w:ascii="Arial MT" w:hAnsi="Arial MT"/>
          <w:spacing w:val="-7"/>
          <w:sz w:val="18"/>
        </w:rPr>
        <w:t xml:space="preserve"> </w:t>
      </w:r>
      <w:r>
        <w:rPr>
          <w:rFonts w:ascii="Arial MT" w:hAnsi="Arial MT"/>
          <w:sz w:val="18"/>
        </w:rPr>
        <w:t>de</w:t>
      </w:r>
      <w:r>
        <w:rPr>
          <w:rFonts w:ascii="Arial MT" w:hAnsi="Arial MT"/>
          <w:spacing w:val="-7"/>
          <w:sz w:val="18"/>
        </w:rPr>
        <w:t xml:space="preserve"> </w:t>
      </w:r>
      <w:r>
        <w:rPr>
          <w:rFonts w:ascii="Arial MT" w:hAnsi="Arial MT"/>
          <w:sz w:val="18"/>
        </w:rPr>
        <w:t>Estadística</w:t>
      </w:r>
      <w:r>
        <w:rPr>
          <w:rFonts w:ascii="Arial MT" w:hAnsi="Arial MT"/>
          <w:spacing w:val="-2"/>
          <w:sz w:val="18"/>
        </w:rPr>
        <w:t xml:space="preserve"> </w:t>
      </w:r>
      <w:r>
        <w:rPr>
          <w:rFonts w:ascii="Arial MT" w:hAnsi="Arial MT"/>
          <w:sz w:val="18"/>
        </w:rPr>
        <w:t>-</w:t>
      </w:r>
      <w:r>
        <w:rPr>
          <w:rFonts w:ascii="Arial MT" w:hAnsi="Arial MT"/>
          <w:spacing w:val="-8"/>
          <w:sz w:val="18"/>
        </w:rPr>
        <w:t xml:space="preserve"> </w:t>
      </w:r>
      <w:r>
        <w:rPr>
          <w:rFonts w:ascii="Arial MT" w:hAnsi="Arial MT"/>
          <w:sz w:val="18"/>
        </w:rPr>
        <w:t>DANE.</w:t>
      </w:r>
      <w:r>
        <w:rPr>
          <w:rFonts w:ascii="Arial MT" w:hAnsi="Arial MT"/>
          <w:spacing w:val="-8"/>
          <w:sz w:val="18"/>
        </w:rPr>
        <w:t xml:space="preserve"> </w:t>
      </w:r>
      <w:r>
        <w:rPr>
          <w:rFonts w:ascii="Arial MT" w:hAnsi="Arial MT"/>
          <w:sz w:val="18"/>
        </w:rPr>
        <w:t>(2021).</w:t>
      </w:r>
      <w:r>
        <w:rPr>
          <w:rFonts w:ascii="Arial MT" w:hAnsi="Arial MT"/>
          <w:spacing w:val="-10"/>
          <w:sz w:val="18"/>
        </w:rPr>
        <w:t xml:space="preserve"> </w:t>
      </w:r>
      <w:r>
        <w:rPr>
          <w:rFonts w:ascii="Arial MT" w:hAnsi="Arial MT"/>
          <w:sz w:val="18"/>
        </w:rPr>
        <w:t>Informe</w:t>
      </w:r>
      <w:r>
        <w:rPr>
          <w:rFonts w:ascii="Arial MT" w:hAnsi="Arial MT"/>
          <w:spacing w:val="-7"/>
          <w:sz w:val="18"/>
        </w:rPr>
        <w:t xml:space="preserve"> </w:t>
      </w:r>
      <w:r>
        <w:rPr>
          <w:rFonts w:ascii="Arial MT" w:hAnsi="Arial MT"/>
          <w:sz w:val="18"/>
        </w:rPr>
        <w:t>de</w:t>
      </w:r>
      <w:r>
        <w:rPr>
          <w:rFonts w:ascii="Arial MT" w:hAnsi="Arial MT"/>
          <w:spacing w:val="-7"/>
          <w:sz w:val="18"/>
        </w:rPr>
        <w:t xml:space="preserve"> </w:t>
      </w:r>
      <w:r>
        <w:rPr>
          <w:rFonts w:ascii="Arial MT" w:hAnsi="Arial MT"/>
          <w:sz w:val="18"/>
        </w:rPr>
        <w:t>estadística</w:t>
      </w:r>
      <w:r>
        <w:rPr>
          <w:rFonts w:ascii="Arial MT" w:hAnsi="Arial MT"/>
          <w:spacing w:val="-7"/>
          <w:sz w:val="18"/>
        </w:rPr>
        <w:t xml:space="preserve"> </w:t>
      </w:r>
      <w:r>
        <w:rPr>
          <w:rFonts w:ascii="Arial MT" w:hAnsi="Arial MT"/>
          <w:sz w:val="18"/>
        </w:rPr>
        <w:t xml:space="preserve">Sociodemográfica Aplicada. Mortalidad Materna en Colombia en la última década y el efecto del Covid-19. Bogotá. DANE. </w:t>
      </w:r>
      <w:r>
        <w:rPr>
          <w:rFonts w:ascii="Arial MT" w:hAnsi="Arial MT"/>
          <w:spacing w:val="-2"/>
          <w:sz w:val="18"/>
        </w:rPr>
        <w:t>Recuperado</w:t>
      </w:r>
      <w:r>
        <w:rPr>
          <w:rFonts w:ascii="Arial MT" w:hAnsi="Arial MT"/>
          <w:sz w:val="18"/>
        </w:rPr>
        <w:tab/>
      </w:r>
      <w:r>
        <w:rPr>
          <w:rFonts w:ascii="Arial MT" w:hAnsi="Arial MT"/>
          <w:spacing w:val="-6"/>
          <w:sz w:val="18"/>
        </w:rPr>
        <w:t>de</w:t>
      </w:r>
      <w:r>
        <w:rPr>
          <w:rFonts w:ascii="Arial MT" w:hAnsi="Arial MT"/>
          <w:sz w:val="18"/>
        </w:rPr>
        <w:tab/>
      </w:r>
      <w:hyperlink r:id="rId189">
        <w:r w:rsidR="000E52B0">
          <w:rPr>
            <w:rFonts w:ascii="Arial MT" w:hAnsi="Arial MT"/>
            <w:color w:val="E22C91"/>
            <w:spacing w:val="-2"/>
            <w:sz w:val="18"/>
            <w:u w:val="single" w:color="E22C91"/>
          </w:rPr>
          <w:t>https://www.dane.gov.co/files/investigaciones/poblacion/informes-estadisticas-</w:t>
        </w:r>
      </w:hyperlink>
      <w:r>
        <w:rPr>
          <w:rFonts w:ascii="Arial MT" w:hAnsi="Arial MT"/>
          <w:color w:val="E22C91"/>
          <w:spacing w:val="-2"/>
          <w:sz w:val="18"/>
        </w:rPr>
        <w:t xml:space="preserve"> </w:t>
      </w:r>
      <w:bookmarkStart w:id="78" w:name="_bookmark78"/>
      <w:bookmarkEnd w:id="78"/>
      <w:r>
        <w:fldChar w:fldCharType="begin"/>
      </w:r>
      <w:r>
        <w:instrText>HYPERLINK "https://www.dane.gov.co/files/investigaciones/poblacion/informes-estadisticas-sociodemograficas/2021-12-20-mortalidad-materna-en-colombia-en-la-ultima-decada.pdf" \h</w:instrText>
      </w:r>
      <w:r>
        <w:fldChar w:fldCharType="separate"/>
      </w:r>
      <w:r>
        <w:rPr>
          <w:rFonts w:ascii="Arial MT" w:hAnsi="Arial MT"/>
          <w:color w:val="E22C91"/>
          <w:spacing w:val="-2"/>
          <w:sz w:val="18"/>
          <w:u w:val="single" w:color="E22C91"/>
        </w:rPr>
        <w:t>sociodemograficas/2021-12-20-mortalidad-materna-en-colombia-en-la-ultima-decada.pdf</w:t>
      </w:r>
      <w:r>
        <w:fldChar w:fldCharType="end"/>
      </w:r>
    </w:p>
    <w:p w14:paraId="47FA883B" w14:textId="77777777" w:rsidR="000E52B0" w:rsidRDefault="00F60D74">
      <w:pPr>
        <w:ind w:left="720" w:right="713"/>
        <w:jc w:val="both"/>
        <w:rPr>
          <w:rFonts w:ascii="Arial MT" w:hAnsi="Arial MT"/>
          <w:sz w:val="18"/>
        </w:rPr>
      </w:pPr>
      <w:r>
        <w:rPr>
          <w:rFonts w:ascii="Arial MT" w:hAnsi="Arial MT"/>
          <w:position w:val="6"/>
          <w:sz w:val="12"/>
        </w:rPr>
        <w:t>67</w:t>
      </w:r>
      <w:r>
        <w:rPr>
          <w:rFonts w:ascii="Arial MT" w:hAnsi="Arial MT"/>
          <w:spacing w:val="22"/>
          <w:position w:val="6"/>
          <w:sz w:val="12"/>
        </w:rPr>
        <w:t xml:space="preserve"> </w:t>
      </w:r>
      <w:proofErr w:type="gramStart"/>
      <w:r>
        <w:rPr>
          <w:rFonts w:ascii="Arial MT" w:hAnsi="Arial MT"/>
          <w:sz w:val="18"/>
        </w:rPr>
        <w:t>Ministerio</w:t>
      </w:r>
      <w:proofErr w:type="gramEnd"/>
      <w:r>
        <w:rPr>
          <w:rFonts w:ascii="Arial MT" w:hAnsi="Arial MT"/>
          <w:sz w:val="18"/>
        </w:rPr>
        <w:t xml:space="preserve"> de Salud y Protección Social, &amp; Centro Nacional de Consultoría. (2023). Encuesta de la percepción de los colombianos sobre la salud mental, su cuidado y su valoración. </w:t>
      </w:r>
      <w:hyperlink r:id="rId190">
        <w:r w:rsidR="000E52B0">
          <w:rPr>
            <w:rFonts w:ascii="Arial MT" w:hAnsi="Arial MT"/>
            <w:color w:val="E22C91"/>
            <w:sz w:val="18"/>
            <w:u w:val="single" w:color="E22C91"/>
          </w:rPr>
          <w:t>https://www.minsalud.gov.co/Paginas/66-</w:t>
        </w:r>
      </w:hyperlink>
      <w:r>
        <w:rPr>
          <w:rFonts w:ascii="Arial MT" w:hAnsi="Arial MT"/>
          <w:color w:val="E22C91"/>
          <w:sz w:val="18"/>
        </w:rPr>
        <w:t xml:space="preserve"> </w:t>
      </w:r>
      <w:hyperlink r:id="rId191">
        <w:r w:rsidR="000E52B0">
          <w:rPr>
            <w:rFonts w:ascii="Arial MT" w:hAnsi="Arial MT"/>
            <w:color w:val="E22C91"/>
            <w:spacing w:val="-2"/>
            <w:sz w:val="18"/>
            <w:u w:val="single" w:color="E22C91"/>
          </w:rPr>
          <w:t>porciento-de-colombianos-declara-haber-enfrentado-algun-problema-de-salud-mental.aspx</w:t>
        </w:r>
      </w:hyperlink>
    </w:p>
    <w:p w14:paraId="71491D3E" w14:textId="77777777" w:rsidR="000E52B0" w:rsidRDefault="000E52B0">
      <w:pPr>
        <w:jc w:val="both"/>
        <w:rPr>
          <w:rFonts w:ascii="Arial MT" w:hAnsi="Arial MT"/>
          <w:sz w:val="18"/>
        </w:rPr>
        <w:sectPr w:rsidR="000E52B0">
          <w:pgSz w:w="11910" w:h="16840"/>
          <w:pgMar w:top="1340" w:right="720" w:bottom="1180" w:left="720" w:header="0" w:footer="995" w:gutter="0"/>
          <w:cols w:space="720"/>
        </w:sectPr>
      </w:pPr>
    </w:p>
    <w:p w14:paraId="1CF3BD40" w14:textId="77777777" w:rsidR="000E52B0" w:rsidRDefault="00F60D74">
      <w:pPr>
        <w:pStyle w:val="Textoindependiente"/>
        <w:spacing w:before="83"/>
        <w:ind w:right="719"/>
        <w:jc w:val="both"/>
      </w:pPr>
      <w:r>
        <w:lastRenderedPageBreak/>
        <w:t>reducción</w:t>
      </w:r>
      <w:r>
        <w:rPr>
          <w:spacing w:val="-11"/>
        </w:rPr>
        <w:t xml:space="preserve"> </w:t>
      </w:r>
      <w:r>
        <w:t>a</w:t>
      </w:r>
      <w:r>
        <w:rPr>
          <w:spacing w:val="-8"/>
        </w:rPr>
        <w:t xml:space="preserve"> </w:t>
      </w:r>
      <w:r>
        <w:t>5,5%,</w:t>
      </w:r>
      <w:r>
        <w:rPr>
          <w:spacing w:val="-11"/>
        </w:rPr>
        <w:t xml:space="preserve"> </w:t>
      </w:r>
      <w:r>
        <w:t>la</w:t>
      </w:r>
      <w:r>
        <w:rPr>
          <w:spacing w:val="-10"/>
        </w:rPr>
        <w:t xml:space="preserve"> </w:t>
      </w:r>
      <w:r>
        <w:t>tasa</w:t>
      </w:r>
      <w:r>
        <w:rPr>
          <w:spacing w:val="-9"/>
        </w:rPr>
        <w:t xml:space="preserve"> </w:t>
      </w:r>
      <w:r>
        <w:t>de</w:t>
      </w:r>
      <w:r>
        <w:rPr>
          <w:spacing w:val="-9"/>
        </w:rPr>
        <w:t xml:space="preserve"> </w:t>
      </w:r>
      <w:r>
        <w:t>mortalidad</w:t>
      </w:r>
      <w:r>
        <w:rPr>
          <w:spacing w:val="-11"/>
        </w:rPr>
        <w:t xml:space="preserve"> </w:t>
      </w:r>
      <w:r>
        <w:t>por</w:t>
      </w:r>
      <w:r>
        <w:rPr>
          <w:spacing w:val="-9"/>
        </w:rPr>
        <w:t xml:space="preserve"> </w:t>
      </w:r>
      <w:r>
        <w:t>suicidios</w:t>
      </w:r>
      <w:r>
        <w:rPr>
          <w:spacing w:val="-8"/>
        </w:rPr>
        <w:t xml:space="preserve"> </w:t>
      </w:r>
      <w:r>
        <w:t>volvió</w:t>
      </w:r>
      <w:r>
        <w:rPr>
          <w:spacing w:val="-10"/>
        </w:rPr>
        <w:t xml:space="preserve"> </w:t>
      </w:r>
      <w:r>
        <w:t>a</w:t>
      </w:r>
      <w:r>
        <w:rPr>
          <w:spacing w:val="-10"/>
        </w:rPr>
        <w:t xml:space="preserve"> </w:t>
      </w:r>
      <w:r>
        <w:t>tomar</w:t>
      </w:r>
      <w:r>
        <w:rPr>
          <w:spacing w:val="-7"/>
        </w:rPr>
        <w:t xml:space="preserve"> </w:t>
      </w:r>
      <w:r>
        <w:t>fuerza manteniéndose</w:t>
      </w:r>
      <w:r>
        <w:rPr>
          <w:spacing w:val="-8"/>
        </w:rPr>
        <w:t xml:space="preserve"> </w:t>
      </w:r>
      <w:r>
        <w:t>alrededor</w:t>
      </w:r>
      <w:r>
        <w:rPr>
          <w:spacing w:val="-8"/>
        </w:rPr>
        <w:t xml:space="preserve"> </w:t>
      </w:r>
      <w:r>
        <w:t>de</w:t>
      </w:r>
      <w:r>
        <w:rPr>
          <w:spacing w:val="-8"/>
        </w:rPr>
        <w:t xml:space="preserve"> </w:t>
      </w:r>
      <w:r>
        <w:t>6%,</w:t>
      </w:r>
      <w:r>
        <w:rPr>
          <w:spacing w:val="-10"/>
        </w:rPr>
        <w:t xml:space="preserve"> </w:t>
      </w:r>
      <w:r>
        <w:t>valor</w:t>
      </w:r>
      <w:r>
        <w:rPr>
          <w:spacing w:val="-10"/>
        </w:rPr>
        <w:t xml:space="preserve"> </w:t>
      </w:r>
      <w:r>
        <w:t>en</w:t>
      </w:r>
      <w:r>
        <w:rPr>
          <w:spacing w:val="-9"/>
        </w:rPr>
        <w:t xml:space="preserve"> </w:t>
      </w:r>
      <w:r>
        <w:t>2021</w:t>
      </w:r>
      <w:r>
        <w:rPr>
          <w:spacing w:val="-8"/>
        </w:rPr>
        <w:t xml:space="preserve"> </w:t>
      </w:r>
      <w:r>
        <w:t>y</w:t>
      </w:r>
      <w:r>
        <w:rPr>
          <w:spacing w:val="-9"/>
        </w:rPr>
        <w:t xml:space="preserve"> </w:t>
      </w:r>
      <w:r>
        <w:t>en</w:t>
      </w:r>
      <w:r>
        <w:rPr>
          <w:spacing w:val="-9"/>
        </w:rPr>
        <w:t xml:space="preserve"> </w:t>
      </w:r>
      <w:r>
        <w:t>cifras</w:t>
      </w:r>
      <w:r>
        <w:rPr>
          <w:spacing w:val="-9"/>
        </w:rPr>
        <w:t xml:space="preserve"> </w:t>
      </w:r>
      <w:r>
        <w:t>preliminares</w:t>
      </w:r>
      <w:r>
        <w:rPr>
          <w:spacing w:val="-9"/>
        </w:rPr>
        <w:t xml:space="preserve"> </w:t>
      </w:r>
      <w:r>
        <w:t>de 2022 fue de 5,9%. Para 2023, en el periodo de enero a diciembre, de acuerdo</w:t>
      </w:r>
      <w:r>
        <w:rPr>
          <w:spacing w:val="-6"/>
        </w:rPr>
        <w:t xml:space="preserve"> </w:t>
      </w:r>
      <w:r>
        <w:t>con</w:t>
      </w:r>
      <w:r>
        <w:rPr>
          <w:spacing w:val="-6"/>
        </w:rPr>
        <w:t xml:space="preserve"> </w:t>
      </w:r>
      <w:r>
        <w:t>la</w:t>
      </w:r>
      <w:r>
        <w:rPr>
          <w:spacing w:val="-6"/>
        </w:rPr>
        <w:t xml:space="preserve"> </w:t>
      </w:r>
      <w:r>
        <w:t>información</w:t>
      </w:r>
      <w:r>
        <w:rPr>
          <w:spacing w:val="-5"/>
        </w:rPr>
        <w:t xml:space="preserve"> </w:t>
      </w:r>
      <w:r>
        <w:t>preliminar</w:t>
      </w:r>
      <w:r>
        <w:rPr>
          <w:spacing w:val="-6"/>
        </w:rPr>
        <w:t xml:space="preserve"> </w:t>
      </w:r>
      <w:r>
        <w:t>de</w:t>
      </w:r>
      <w:r>
        <w:rPr>
          <w:spacing w:val="-4"/>
        </w:rPr>
        <w:t xml:space="preserve"> </w:t>
      </w:r>
      <w:r>
        <w:t>lesiones</w:t>
      </w:r>
      <w:r>
        <w:rPr>
          <w:spacing w:val="-7"/>
        </w:rPr>
        <w:t xml:space="preserve"> </w:t>
      </w:r>
      <w:r>
        <w:t>fatales</w:t>
      </w:r>
      <w:r>
        <w:rPr>
          <w:spacing w:val="-5"/>
        </w:rPr>
        <w:t xml:space="preserve"> </w:t>
      </w:r>
      <w:r>
        <w:t>de</w:t>
      </w:r>
      <w:r>
        <w:rPr>
          <w:spacing w:val="-6"/>
        </w:rPr>
        <w:t xml:space="preserve"> </w:t>
      </w:r>
      <w:r>
        <w:t>causa</w:t>
      </w:r>
      <w:r>
        <w:rPr>
          <w:spacing w:val="-5"/>
        </w:rPr>
        <w:t xml:space="preserve"> </w:t>
      </w:r>
      <w:r>
        <w:t>externa en</w:t>
      </w:r>
      <w:r>
        <w:rPr>
          <w:spacing w:val="-9"/>
        </w:rPr>
        <w:t xml:space="preserve"> </w:t>
      </w:r>
      <w:r>
        <w:t>Colombia</w:t>
      </w:r>
      <w:r>
        <w:rPr>
          <w:spacing w:val="-10"/>
        </w:rPr>
        <w:t xml:space="preserve"> </w:t>
      </w:r>
      <w:r>
        <w:t>se</w:t>
      </w:r>
      <w:r>
        <w:rPr>
          <w:spacing w:val="-5"/>
        </w:rPr>
        <w:t xml:space="preserve"> </w:t>
      </w:r>
      <w:r>
        <w:t>presentaron</w:t>
      </w:r>
      <w:r>
        <w:rPr>
          <w:spacing w:val="-9"/>
        </w:rPr>
        <w:t xml:space="preserve"> </w:t>
      </w:r>
      <w:r>
        <w:t>3.145</w:t>
      </w:r>
      <w:r>
        <w:rPr>
          <w:spacing w:val="-8"/>
        </w:rPr>
        <w:t xml:space="preserve"> </w:t>
      </w:r>
      <w:r>
        <w:t>suicidios,</w:t>
      </w:r>
      <w:r>
        <w:rPr>
          <w:spacing w:val="-10"/>
        </w:rPr>
        <w:t xml:space="preserve"> </w:t>
      </w:r>
      <w:r>
        <w:t>30</w:t>
      </w:r>
      <w:r>
        <w:rPr>
          <w:spacing w:val="-8"/>
        </w:rPr>
        <w:t xml:space="preserve"> </w:t>
      </w:r>
      <w:r>
        <w:t>casos</w:t>
      </w:r>
      <w:r>
        <w:rPr>
          <w:spacing w:val="-7"/>
        </w:rPr>
        <w:t xml:space="preserve"> </w:t>
      </w:r>
      <w:r>
        <w:t>menos</w:t>
      </w:r>
      <w:r>
        <w:rPr>
          <w:spacing w:val="-9"/>
        </w:rPr>
        <w:t xml:space="preserve"> </w:t>
      </w:r>
      <w:r>
        <w:t>que</w:t>
      </w:r>
      <w:r>
        <w:rPr>
          <w:spacing w:val="-8"/>
        </w:rPr>
        <w:t xml:space="preserve"> </w:t>
      </w:r>
      <w:r>
        <w:t>en</w:t>
      </w:r>
      <w:r>
        <w:rPr>
          <w:spacing w:val="-9"/>
        </w:rPr>
        <w:t xml:space="preserve"> </w:t>
      </w:r>
      <w:r>
        <w:t>2022, de los cuales el 36% fueron de jóvenes.</w:t>
      </w:r>
    </w:p>
    <w:p w14:paraId="4DAFFF1D" w14:textId="77777777" w:rsidR="000E52B0" w:rsidRDefault="00F60D74">
      <w:pPr>
        <w:pStyle w:val="Textoindependiente"/>
        <w:spacing w:before="158"/>
        <w:ind w:right="717"/>
        <w:jc w:val="both"/>
      </w:pPr>
      <w:r>
        <w:t>Si bien los hombres jóvenes se suicidan con más frecuencia, las mujeres jóvenes</w:t>
      </w:r>
      <w:r>
        <w:rPr>
          <w:spacing w:val="-7"/>
        </w:rPr>
        <w:t xml:space="preserve"> </w:t>
      </w:r>
      <w:r>
        <w:t>lo</w:t>
      </w:r>
      <w:r>
        <w:rPr>
          <w:spacing w:val="-6"/>
        </w:rPr>
        <w:t xml:space="preserve"> </w:t>
      </w:r>
      <w:r>
        <w:t>intentan</w:t>
      </w:r>
      <w:r>
        <w:rPr>
          <w:spacing w:val="-4"/>
        </w:rPr>
        <w:t xml:space="preserve"> </w:t>
      </w:r>
      <w:r>
        <w:t>con</w:t>
      </w:r>
      <w:r>
        <w:rPr>
          <w:spacing w:val="-7"/>
        </w:rPr>
        <w:t xml:space="preserve"> </w:t>
      </w:r>
      <w:r>
        <w:t>más</w:t>
      </w:r>
      <w:r>
        <w:rPr>
          <w:spacing w:val="-7"/>
        </w:rPr>
        <w:t xml:space="preserve"> </w:t>
      </w:r>
      <w:r>
        <w:t>frecuencia.</w:t>
      </w:r>
      <w:r>
        <w:rPr>
          <w:spacing w:val="-5"/>
        </w:rPr>
        <w:t xml:space="preserve"> </w:t>
      </w:r>
      <w:r>
        <w:t>De</w:t>
      </w:r>
      <w:r>
        <w:rPr>
          <w:spacing w:val="-5"/>
        </w:rPr>
        <w:t xml:space="preserve"> </w:t>
      </w:r>
      <w:r>
        <w:t>los</w:t>
      </w:r>
      <w:r>
        <w:rPr>
          <w:spacing w:val="-6"/>
        </w:rPr>
        <w:t xml:space="preserve"> </w:t>
      </w:r>
      <w:r>
        <w:t>3.116</w:t>
      </w:r>
      <w:r>
        <w:rPr>
          <w:spacing w:val="-5"/>
        </w:rPr>
        <w:t xml:space="preserve"> </w:t>
      </w:r>
      <w:r>
        <w:t>casos</w:t>
      </w:r>
      <w:r>
        <w:rPr>
          <w:spacing w:val="-4"/>
        </w:rPr>
        <w:t xml:space="preserve"> </w:t>
      </w:r>
      <w:r>
        <w:t>reportados</w:t>
      </w:r>
      <w:r>
        <w:rPr>
          <w:spacing w:val="-7"/>
        </w:rPr>
        <w:t xml:space="preserve"> </w:t>
      </w:r>
      <w:r>
        <w:t>por el DANE en estadísticas vitales en 2022, 2.473 fueron de hombres y 643 de mujeres. Que corresponden en tasa 9,8 en hombres y 2,4 en mujeres, es</w:t>
      </w:r>
      <w:r>
        <w:rPr>
          <w:spacing w:val="-15"/>
        </w:rPr>
        <w:t xml:space="preserve"> </w:t>
      </w:r>
      <w:r>
        <w:t>decir</w:t>
      </w:r>
      <w:r>
        <w:rPr>
          <w:spacing w:val="-14"/>
        </w:rPr>
        <w:t xml:space="preserve"> </w:t>
      </w:r>
      <w:r>
        <w:t>que</w:t>
      </w:r>
      <w:r>
        <w:rPr>
          <w:spacing w:val="-14"/>
        </w:rPr>
        <w:t xml:space="preserve"> </w:t>
      </w:r>
      <w:r>
        <w:t>por</w:t>
      </w:r>
      <w:r>
        <w:rPr>
          <w:spacing w:val="-14"/>
        </w:rPr>
        <w:t xml:space="preserve"> </w:t>
      </w:r>
      <w:r>
        <w:t>cada</w:t>
      </w:r>
      <w:r>
        <w:rPr>
          <w:spacing w:val="-15"/>
        </w:rPr>
        <w:t xml:space="preserve"> </w:t>
      </w:r>
      <w:r>
        <w:t>mujer</w:t>
      </w:r>
      <w:r>
        <w:rPr>
          <w:spacing w:val="-14"/>
        </w:rPr>
        <w:t xml:space="preserve"> </w:t>
      </w:r>
      <w:r>
        <w:t>que</w:t>
      </w:r>
      <w:r>
        <w:rPr>
          <w:spacing w:val="-14"/>
        </w:rPr>
        <w:t xml:space="preserve"> </w:t>
      </w:r>
      <w:r>
        <w:t>se</w:t>
      </w:r>
      <w:r>
        <w:rPr>
          <w:spacing w:val="-12"/>
        </w:rPr>
        <w:t xml:space="preserve"> </w:t>
      </w:r>
      <w:r>
        <w:t>suicida,</w:t>
      </w:r>
      <w:r>
        <w:rPr>
          <w:spacing w:val="-16"/>
        </w:rPr>
        <w:t xml:space="preserve"> </w:t>
      </w:r>
      <w:r>
        <w:t>cuatro</w:t>
      </w:r>
      <w:r>
        <w:rPr>
          <w:spacing w:val="-14"/>
        </w:rPr>
        <w:t xml:space="preserve"> </w:t>
      </w:r>
      <w:r>
        <w:t>hombres</w:t>
      </w:r>
      <w:r>
        <w:rPr>
          <w:spacing w:val="-13"/>
        </w:rPr>
        <w:t xml:space="preserve"> </w:t>
      </w:r>
      <w:r>
        <w:t>lo</w:t>
      </w:r>
      <w:r>
        <w:rPr>
          <w:spacing w:val="-15"/>
        </w:rPr>
        <w:t xml:space="preserve"> </w:t>
      </w:r>
      <w:r>
        <w:t>hacen.</w:t>
      </w:r>
      <w:r>
        <w:rPr>
          <w:spacing w:val="-14"/>
        </w:rPr>
        <w:t xml:space="preserve"> </w:t>
      </w:r>
      <w:r>
        <w:t>Entre edades hay menos diferencias, pero la tasa sigue siendo más alta en las juventudes,</w:t>
      </w:r>
      <w:r>
        <w:rPr>
          <w:spacing w:val="-17"/>
        </w:rPr>
        <w:t xml:space="preserve"> </w:t>
      </w:r>
      <w:r>
        <w:t>9,6</w:t>
      </w:r>
      <w:r>
        <w:rPr>
          <w:spacing w:val="-15"/>
        </w:rPr>
        <w:t xml:space="preserve"> </w:t>
      </w:r>
      <w:r>
        <w:t>en</w:t>
      </w:r>
      <w:r>
        <w:rPr>
          <w:spacing w:val="-17"/>
        </w:rPr>
        <w:t xml:space="preserve"> </w:t>
      </w:r>
      <w:r>
        <w:t>comparación</w:t>
      </w:r>
      <w:r>
        <w:rPr>
          <w:spacing w:val="-16"/>
        </w:rPr>
        <w:t xml:space="preserve"> </w:t>
      </w:r>
      <w:r>
        <w:t>de</w:t>
      </w:r>
      <w:r>
        <w:rPr>
          <w:spacing w:val="-15"/>
        </w:rPr>
        <w:t xml:space="preserve"> </w:t>
      </w:r>
      <w:r>
        <w:t>6,4</w:t>
      </w:r>
      <w:r>
        <w:rPr>
          <w:spacing w:val="-15"/>
        </w:rPr>
        <w:t xml:space="preserve"> </w:t>
      </w:r>
      <w:r>
        <w:t>en</w:t>
      </w:r>
      <w:r>
        <w:rPr>
          <w:spacing w:val="-17"/>
        </w:rPr>
        <w:t xml:space="preserve"> </w:t>
      </w:r>
      <w:r>
        <w:t>personas</w:t>
      </w:r>
      <w:r>
        <w:rPr>
          <w:spacing w:val="-16"/>
        </w:rPr>
        <w:t xml:space="preserve"> </w:t>
      </w:r>
      <w:r>
        <w:t>entre</w:t>
      </w:r>
      <w:r>
        <w:rPr>
          <w:spacing w:val="-14"/>
        </w:rPr>
        <w:t xml:space="preserve"> </w:t>
      </w:r>
      <w:r>
        <w:t>los</w:t>
      </w:r>
      <w:r>
        <w:rPr>
          <w:spacing w:val="-16"/>
        </w:rPr>
        <w:t xml:space="preserve"> </w:t>
      </w:r>
      <w:r>
        <w:t>29</w:t>
      </w:r>
      <w:r>
        <w:rPr>
          <w:spacing w:val="-15"/>
        </w:rPr>
        <w:t xml:space="preserve"> </w:t>
      </w:r>
      <w:r>
        <w:t>a</w:t>
      </w:r>
      <w:r>
        <w:rPr>
          <w:spacing w:val="-16"/>
        </w:rPr>
        <w:t xml:space="preserve"> </w:t>
      </w:r>
      <w:r>
        <w:t>44</w:t>
      </w:r>
      <w:r>
        <w:rPr>
          <w:spacing w:val="-15"/>
        </w:rPr>
        <w:t xml:space="preserve"> </w:t>
      </w:r>
      <w:r>
        <w:t>años, 6 en las de 45 a 59 años y 7,1 en las de 60 años y más. Vaupés es el departamento con mayor tasa de mortalidad por suicidios, 35,1, seguido por el Guaviare y el Amazonas con 10,6 y 9,6 respectivamente (DANE, 2023), que son justamente los departamentos con mayor proporción de población joven.</w:t>
      </w:r>
    </w:p>
    <w:p w14:paraId="73DAE495" w14:textId="77777777" w:rsidR="000E52B0" w:rsidRDefault="00F60D74">
      <w:pPr>
        <w:pStyle w:val="Textoindependiente"/>
        <w:spacing w:before="160"/>
        <w:ind w:right="721"/>
        <w:jc w:val="both"/>
      </w:pPr>
      <w:r>
        <w:t>De los 3.116 casos de suicidios en 2022, 88 fueron de personas identificadas como indígena, 39 negro(a), afrocolombiano(a), afrodescendiente o raizales del archipiélago de San Andrés y Providencia.</w:t>
      </w:r>
    </w:p>
    <w:p w14:paraId="2F801B4C" w14:textId="77777777" w:rsidR="000E52B0" w:rsidRDefault="00F60D74">
      <w:pPr>
        <w:pStyle w:val="Textoindependiente"/>
        <w:spacing w:before="162"/>
        <w:ind w:right="718"/>
        <w:jc w:val="both"/>
      </w:pPr>
      <w:r>
        <w:t>En relación con la situación de discriminación y violencias contra las personas</w:t>
      </w:r>
      <w:r>
        <w:rPr>
          <w:spacing w:val="-21"/>
        </w:rPr>
        <w:t xml:space="preserve"> </w:t>
      </w:r>
      <w:r>
        <w:t>mayores,</w:t>
      </w:r>
      <w:r>
        <w:rPr>
          <w:spacing w:val="-19"/>
        </w:rPr>
        <w:t xml:space="preserve"> </w:t>
      </w:r>
      <w:r>
        <w:t>de</w:t>
      </w:r>
      <w:r>
        <w:rPr>
          <w:spacing w:val="-20"/>
        </w:rPr>
        <w:t xml:space="preserve"> </w:t>
      </w:r>
      <w:r>
        <w:t>acuerdo</w:t>
      </w:r>
      <w:r>
        <w:rPr>
          <w:spacing w:val="-20"/>
        </w:rPr>
        <w:t xml:space="preserve"> </w:t>
      </w:r>
      <w:r>
        <w:t>con</w:t>
      </w:r>
      <w:r>
        <w:rPr>
          <w:spacing w:val="-18"/>
        </w:rPr>
        <w:t xml:space="preserve"> </w:t>
      </w:r>
      <w:r>
        <w:t>la</w:t>
      </w:r>
      <w:r>
        <w:rPr>
          <w:spacing w:val="-19"/>
        </w:rPr>
        <w:t xml:space="preserve"> </w:t>
      </w:r>
      <w:r>
        <w:t>información</w:t>
      </w:r>
      <w:r>
        <w:rPr>
          <w:spacing w:val="-21"/>
        </w:rPr>
        <w:t xml:space="preserve"> </w:t>
      </w:r>
      <w:r>
        <w:t>de</w:t>
      </w:r>
      <w:r>
        <w:rPr>
          <w:spacing w:val="-17"/>
        </w:rPr>
        <w:t xml:space="preserve"> </w:t>
      </w:r>
      <w:r>
        <w:t>la</w:t>
      </w:r>
      <w:r>
        <w:rPr>
          <w:spacing w:val="-19"/>
        </w:rPr>
        <w:t xml:space="preserve"> </w:t>
      </w:r>
      <w:r>
        <w:t>Encuesta</w:t>
      </w:r>
      <w:r>
        <w:rPr>
          <w:spacing w:val="-21"/>
        </w:rPr>
        <w:t xml:space="preserve"> </w:t>
      </w:r>
      <w:r>
        <w:t>de</w:t>
      </w:r>
      <w:r>
        <w:rPr>
          <w:spacing w:val="-20"/>
        </w:rPr>
        <w:t xml:space="preserve"> </w:t>
      </w:r>
      <w:r>
        <w:t>Cultura Política (ECP) 2023 las personas mayores se han sentido discriminada por su edad (9,2%) tres veces más frecuente que la población menor de 60 años (2,9%).</w:t>
      </w:r>
    </w:p>
    <w:p w14:paraId="60A3ED20" w14:textId="772BAD59" w:rsidR="000E52B0" w:rsidRDefault="00F60D74">
      <w:pPr>
        <w:pStyle w:val="Textoindependiente"/>
        <w:spacing w:before="160"/>
        <w:ind w:right="719"/>
        <w:jc w:val="both"/>
      </w:pPr>
      <w:r>
        <w:t xml:space="preserve">Asimismo, las violencias contra las personas mayores, como otras, se </w:t>
      </w:r>
      <w:r w:rsidR="00845B81">
        <w:t>interseccional</w:t>
      </w:r>
      <w:r>
        <w:t xml:space="preserve"> entre los sistemas de discriminación, y en todo caso existe subregistro al respecto, por las razones habituales (temor, ausencia de confianza, normalización de la violencia etc.) pero en el caso de las personas mayores, también por la pérdida de autonomía física y funcional para</w:t>
      </w:r>
      <w:r>
        <w:rPr>
          <w:spacing w:val="-1"/>
        </w:rPr>
        <w:t xml:space="preserve"> </w:t>
      </w:r>
      <w:r>
        <w:t>acudir</w:t>
      </w:r>
      <w:r>
        <w:rPr>
          <w:spacing w:val="-1"/>
        </w:rPr>
        <w:t xml:space="preserve"> </w:t>
      </w:r>
      <w:r>
        <w:t>a las</w:t>
      </w:r>
      <w:r>
        <w:rPr>
          <w:spacing w:val="-2"/>
        </w:rPr>
        <w:t xml:space="preserve"> </w:t>
      </w:r>
      <w:r>
        <w:t>instituciones</w:t>
      </w:r>
      <w:r>
        <w:rPr>
          <w:spacing w:val="-2"/>
        </w:rPr>
        <w:t xml:space="preserve"> </w:t>
      </w:r>
      <w:r>
        <w:t>en</w:t>
      </w:r>
      <w:r>
        <w:rPr>
          <w:spacing w:val="-2"/>
        </w:rPr>
        <w:t xml:space="preserve"> </w:t>
      </w:r>
      <w:r>
        <w:t>estos casos.</w:t>
      </w:r>
      <w:r>
        <w:rPr>
          <w:spacing w:val="-3"/>
        </w:rPr>
        <w:t xml:space="preserve"> </w:t>
      </w:r>
      <w:r>
        <w:t>Se</w:t>
      </w:r>
      <w:r>
        <w:rPr>
          <w:spacing w:val="-1"/>
        </w:rPr>
        <w:t xml:space="preserve"> </w:t>
      </w:r>
      <w:r>
        <w:t>estima que</w:t>
      </w:r>
      <w:r>
        <w:rPr>
          <w:spacing w:val="-1"/>
        </w:rPr>
        <w:t xml:space="preserve"> </w:t>
      </w:r>
      <w:r>
        <w:t>1</w:t>
      </w:r>
      <w:r>
        <w:rPr>
          <w:spacing w:val="-1"/>
        </w:rPr>
        <w:t xml:space="preserve"> </w:t>
      </w:r>
      <w:r>
        <w:t>de</w:t>
      </w:r>
      <w:r>
        <w:rPr>
          <w:spacing w:val="-1"/>
        </w:rPr>
        <w:t xml:space="preserve"> </w:t>
      </w:r>
      <w:r>
        <w:t>cada</w:t>
      </w:r>
      <w:r>
        <w:rPr>
          <w:spacing w:val="-2"/>
        </w:rPr>
        <w:t xml:space="preserve"> </w:t>
      </w:r>
      <w:r>
        <w:t>10 personas mayores es maltratada, solo se registra 1 de cada 24 casos (Agudelo et al., 2020, p.6).</w:t>
      </w:r>
    </w:p>
    <w:p w14:paraId="0BCCDF83" w14:textId="1886DEF0" w:rsidR="000E52B0" w:rsidRDefault="00F60D74">
      <w:pPr>
        <w:pStyle w:val="Textoindependiente"/>
        <w:spacing w:before="160"/>
        <w:ind w:right="720"/>
        <w:jc w:val="both"/>
      </w:pPr>
      <w:r>
        <w:t>La</w:t>
      </w:r>
      <w:r>
        <w:rPr>
          <w:spacing w:val="-7"/>
        </w:rPr>
        <w:t xml:space="preserve"> </w:t>
      </w:r>
      <w:r>
        <w:t>ficha</w:t>
      </w:r>
      <w:r>
        <w:rPr>
          <w:spacing w:val="-7"/>
        </w:rPr>
        <w:t xml:space="preserve"> </w:t>
      </w:r>
      <w:r>
        <w:t>de</w:t>
      </w:r>
      <w:r>
        <w:rPr>
          <w:spacing w:val="-6"/>
        </w:rPr>
        <w:t xml:space="preserve"> </w:t>
      </w:r>
      <w:r>
        <w:t>vigilancia</w:t>
      </w:r>
      <w:r>
        <w:rPr>
          <w:spacing w:val="-7"/>
        </w:rPr>
        <w:t xml:space="preserve"> </w:t>
      </w:r>
      <w:r>
        <w:t>epidemiológica</w:t>
      </w:r>
      <w:r>
        <w:rPr>
          <w:spacing w:val="-7"/>
        </w:rPr>
        <w:t xml:space="preserve"> </w:t>
      </w:r>
      <w:r>
        <w:t>del</w:t>
      </w:r>
      <w:r>
        <w:rPr>
          <w:spacing w:val="-8"/>
        </w:rPr>
        <w:t xml:space="preserve"> </w:t>
      </w:r>
      <w:r>
        <w:t>evento</w:t>
      </w:r>
      <w:r>
        <w:rPr>
          <w:spacing w:val="-7"/>
        </w:rPr>
        <w:t xml:space="preserve"> </w:t>
      </w:r>
      <w:r>
        <w:t>875</w:t>
      </w:r>
      <w:r>
        <w:rPr>
          <w:spacing w:val="-6"/>
        </w:rPr>
        <w:t xml:space="preserve"> </w:t>
      </w:r>
      <w:r>
        <w:t>violencias</w:t>
      </w:r>
      <w:r>
        <w:rPr>
          <w:spacing w:val="-8"/>
        </w:rPr>
        <w:t xml:space="preserve"> </w:t>
      </w:r>
      <w:r>
        <w:t>de</w:t>
      </w:r>
      <w:r>
        <w:rPr>
          <w:spacing w:val="-6"/>
        </w:rPr>
        <w:t xml:space="preserve"> </w:t>
      </w:r>
      <w:r>
        <w:t>género</w:t>
      </w:r>
      <w:r>
        <w:rPr>
          <w:spacing w:val="-8"/>
        </w:rPr>
        <w:t xml:space="preserve"> </w:t>
      </w:r>
      <w:r>
        <w:t>e intrafamiliares</w:t>
      </w:r>
      <w:r>
        <w:rPr>
          <w:spacing w:val="-3"/>
        </w:rPr>
        <w:t xml:space="preserve"> </w:t>
      </w:r>
      <w:r>
        <w:t>de</w:t>
      </w:r>
      <w:r>
        <w:rPr>
          <w:spacing w:val="-2"/>
        </w:rPr>
        <w:t xml:space="preserve"> </w:t>
      </w:r>
      <w:r>
        <w:t>SIVIGILA,</w:t>
      </w:r>
      <w:r>
        <w:rPr>
          <w:spacing w:val="-4"/>
        </w:rPr>
        <w:t xml:space="preserve"> </w:t>
      </w:r>
      <w:r>
        <w:t>contiene</w:t>
      </w:r>
      <w:r>
        <w:rPr>
          <w:spacing w:val="-2"/>
        </w:rPr>
        <w:t xml:space="preserve"> </w:t>
      </w:r>
      <w:r>
        <w:t>un</w:t>
      </w:r>
      <w:r>
        <w:rPr>
          <w:spacing w:val="-3"/>
        </w:rPr>
        <w:t xml:space="preserve"> </w:t>
      </w:r>
      <w:proofErr w:type="spellStart"/>
      <w:r w:rsidR="00A964A8">
        <w:t>sub-evento</w:t>
      </w:r>
      <w:proofErr w:type="spellEnd"/>
      <w:r>
        <w:t>,</w:t>
      </w:r>
      <w:r>
        <w:rPr>
          <w:spacing w:val="-4"/>
        </w:rPr>
        <w:t xml:space="preserve"> </w:t>
      </w:r>
      <w:r>
        <w:t>que</w:t>
      </w:r>
      <w:r>
        <w:rPr>
          <w:spacing w:val="-2"/>
        </w:rPr>
        <w:t xml:space="preserve"> </w:t>
      </w:r>
      <w:r>
        <w:t>es</w:t>
      </w:r>
      <w:r>
        <w:rPr>
          <w:spacing w:val="-3"/>
        </w:rPr>
        <w:t xml:space="preserve"> </w:t>
      </w:r>
      <w:r>
        <w:t>la</w:t>
      </w:r>
      <w:r>
        <w:rPr>
          <w:spacing w:val="-3"/>
        </w:rPr>
        <w:t xml:space="preserve"> </w:t>
      </w:r>
      <w:r>
        <w:t>negligencia. Con base en el reporte de esta ficha, en 2022, se registraron 8.196 personas mayores víctimas de violencias, es decir, 22 víctimas diarias en el país. En relación con 2021, el registro aumentó en 15,7%. De estos casos,</w:t>
      </w:r>
      <w:r>
        <w:rPr>
          <w:spacing w:val="-14"/>
        </w:rPr>
        <w:t xml:space="preserve"> </w:t>
      </w:r>
      <w:r>
        <w:t>7</w:t>
      </w:r>
      <w:r>
        <w:rPr>
          <w:spacing w:val="-12"/>
        </w:rPr>
        <w:t xml:space="preserve"> </w:t>
      </w:r>
      <w:r>
        <w:t>de</w:t>
      </w:r>
      <w:r>
        <w:rPr>
          <w:spacing w:val="-12"/>
        </w:rPr>
        <w:t xml:space="preserve"> </w:t>
      </w:r>
      <w:r>
        <w:t>cada</w:t>
      </w:r>
      <w:r>
        <w:rPr>
          <w:spacing w:val="-13"/>
        </w:rPr>
        <w:t xml:space="preserve"> </w:t>
      </w:r>
      <w:r>
        <w:t>10</w:t>
      </w:r>
      <w:r>
        <w:rPr>
          <w:spacing w:val="-12"/>
        </w:rPr>
        <w:t xml:space="preserve"> </w:t>
      </w:r>
      <w:r>
        <w:t>son</w:t>
      </w:r>
      <w:r>
        <w:rPr>
          <w:spacing w:val="-13"/>
        </w:rPr>
        <w:t xml:space="preserve"> </w:t>
      </w:r>
      <w:r>
        <w:t>contra</w:t>
      </w:r>
      <w:r>
        <w:rPr>
          <w:spacing w:val="-12"/>
        </w:rPr>
        <w:t xml:space="preserve"> </w:t>
      </w:r>
      <w:r>
        <w:t>mujeres</w:t>
      </w:r>
      <w:r>
        <w:rPr>
          <w:spacing w:val="-13"/>
        </w:rPr>
        <w:t xml:space="preserve"> </w:t>
      </w:r>
      <w:r>
        <w:t>mayores</w:t>
      </w:r>
      <w:r>
        <w:rPr>
          <w:spacing w:val="-13"/>
        </w:rPr>
        <w:t xml:space="preserve"> </w:t>
      </w:r>
      <w:r>
        <w:t>y</w:t>
      </w:r>
      <w:r>
        <w:rPr>
          <w:spacing w:val="-13"/>
        </w:rPr>
        <w:t xml:space="preserve"> </w:t>
      </w:r>
      <w:r>
        <w:t>3</w:t>
      </w:r>
      <w:r>
        <w:rPr>
          <w:spacing w:val="-12"/>
        </w:rPr>
        <w:t xml:space="preserve"> </w:t>
      </w:r>
      <w:r>
        <w:t>de</w:t>
      </w:r>
      <w:r>
        <w:rPr>
          <w:spacing w:val="-12"/>
        </w:rPr>
        <w:t xml:space="preserve"> </w:t>
      </w:r>
      <w:r>
        <w:t>cada</w:t>
      </w:r>
      <w:r>
        <w:rPr>
          <w:spacing w:val="-13"/>
        </w:rPr>
        <w:t xml:space="preserve"> </w:t>
      </w:r>
      <w:r>
        <w:t>10</w:t>
      </w:r>
      <w:r>
        <w:rPr>
          <w:spacing w:val="-12"/>
        </w:rPr>
        <w:t xml:space="preserve"> </w:t>
      </w:r>
      <w:r>
        <w:t>son</w:t>
      </w:r>
      <w:r>
        <w:rPr>
          <w:spacing w:val="-13"/>
        </w:rPr>
        <w:t xml:space="preserve"> </w:t>
      </w:r>
      <w:r>
        <w:t xml:space="preserve">contra </w:t>
      </w:r>
      <w:r>
        <w:rPr>
          <w:spacing w:val="-2"/>
        </w:rPr>
        <w:t>hombres.</w:t>
      </w:r>
    </w:p>
    <w:p w14:paraId="4DA753DE" w14:textId="77777777" w:rsidR="000E52B0" w:rsidRDefault="00F60D74">
      <w:pPr>
        <w:pStyle w:val="Textoindependiente"/>
        <w:spacing w:before="159"/>
        <w:ind w:right="717"/>
        <w:jc w:val="both"/>
      </w:pPr>
      <w:r>
        <w:t>No</w:t>
      </w:r>
      <w:r>
        <w:rPr>
          <w:spacing w:val="-2"/>
        </w:rPr>
        <w:t xml:space="preserve"> </w:t>
      </w:r>
      <w:r>
        <w:t>obstante,</w:t>
      </w:r>
      <w:r>
        <w:rPr>
          <w:spacing w:val="-2"/>
        </w:rPr>
        <w:t xml:space="preserve"> </w:t>
      </w:r>
      <w:r>
        <w:t>el</w:t>
      </w:r>
      <w:r>
        <w:rPr>
          <w:spacing w:val="-4"/>
        </w:rPr>
        <w:t xml:space="preserve"> </w:t>
      </w:r>
      <w:r>
        <w:t>registro</w:t>
      </w:r>
      <w:r>
        <w:rPr>
          <w:spacing w:val="-2"/>
        </w:rPr>
        <w:t xml:space="preserve"> </w:t>
      </w:r>
      <w:r>
        <w:t>de</w:t>
      </w:r>
      <w:r>
        <w:rPr>
          <w:spacing w:val="-3"/>
        </w:rPr>
        <w:t xml:space="preserve"> </w:t>
      </w:r>
      <w:r>
        <w:t>las</w:t>
      </w:r>
      <w:r>
        <w:rPr>
          <w:spacing w:val="-2"/>
        </w:rPr>
        <w:t xml:space="preserve"> </w:t>
      </w:r>
      <w:r>
        <w:t>violencias</w:t>
      </w:r>
      <w:r>
        <w:rPr>
          <w:spacing w:val="-4"/>
        </w:rPr>
        <w:t xml:space="preserve"> </w:t>
      </w:r>
      <w:r>
        <w:t>contra</w:t>
      </w:r>
      <w:r>
        <w:rPr>
          <w:spacing w:val="-1"/>
        </w:rPr>
        <w:t xml:space="preserve"> </w:t>
      </w:r>
      <w:r>
        <w:t>la</w:t>
      </w:r>
      <w:r>
        <w:rPr>
          <w:spacing w:val="-4"/>
        </w:rPr>
        <w:t xml:space="preserve"> </w:t>
      </w:r>
      <w:r>
        <w:t>población</w:t>
      </w:r>
      <w:r>
        <w:rPr>
          <w:spacing w:val="-1"/>
        </w:rPr>
        <w:t xml:space="preserve"> </w:t>
      </w:r>
      <w:r>
        <w:t>mayor</w:t>
      </w:r>
      <w:r>
        <w:rPr>
          <w:spacing w:val="-3"/>
        </w:rPr>
        <w:t xml:space="preserve"> </w:t>
      </w:r>
      <w:r>
        <w:t>impide que se considere una situación crítica en comparación con otros grupos poblacionales,</w:t>
      </w:r>
      <w:r>
        <w:rPr>
          <w:spacing w:val="18"/>
        </w:rPr>
        <w:t xml:space="preserve"> </w:t>
      </w:r>
      <w:r>
        <w:t>y</w:t>
      </w:r>
      <w:r>
        <w:rPr>
          <w:spacing w:val="24"/>
        </w:rPr>
        <w:t xml:space="preserve"> </w:t>
      </w:r>
      <w:r>
        <w:t>en</w:t>
      </w:r>
      <w:r>
        <w:rPr>
          <w:spacing w:val="21"/>
        </w:rPr>
        <w:t xml:space="preserve"> </w:t>
      </w:r>
      <w:r>
        <w:t>todo</w:t>
      </w:r>
      <w:r>
        <w:rPr>
          <w:spacing w:val="22"/>
        </w:rPr>
        <w:t xml:space="preserve"> </w:t>
      </w:r>
      <w:r>
        <w:t>caso,</w:t>
      </w:r>
      <w:r>
        <w:rPr>
          <w:spacing w:val="21"/>
        </w:rPr>
        <w:t xml:space="preserve"> </w:t>
      </w:r>
      <w:r>
        <w:t>se</w:t>
      </w:r>
      <w:r>
        <w:rPr>
          <w:spacing w:val="23"/>
        </w:rPr>
        <w:t xml:space="preserve"> </w:t>
      </w:r>
      <w:r>
        <w:t>evita</w:t>
      </w:r>
      <w:r>
        <w:rPr>
          <w:spacing w:val="24"/>
        </w:rPr>
        <w:t xml:space="preserve"> </w:t>
      </w:r>
      <w:r>
        <w:t>la</w:t>
      </w:r>
      <w:r>
        <w:rPr>
          <w:spacing w:val="21"/>
        </w:rPr>
        <w:t xml:space="preserve"> </w:t>
      </w:r>
      <w:r>
        <w:t>consideración</w:t>
      </w:r>
      <w:r>
        <w:rPr>
          <w:spacing w:val="22"/>
        </w:rPr>
        <w:t xml:space="preserve"> </w:t>
      </w:r>
      <w:r>
        <w:t>sobre</w:t>
      </w:r>
      <w:r>
        <w:rPr>
          <w:spacing w:val="23"/>
        </w:rPr>
        <w:t xml:space="preserve"> </w:t>
      </w:r>
      <w:r>
        <w:t>las</w:t>
      </w:r>
      <w:r>
        <w:rPr>
          <w:spacing w:val="22"/>
        </w:rPr>
        <w:t xml:space="preserve"> </w:t>
      </w:r>
      <w:r>
        <w:rPr>
          <w:spacing w:val="-2"/>
        </w:rPr>
        <w:t>causas</w:t>
      </w:r>
    </w:p>
    <w:p w14:paraId="27495D17" w14:textId="77777777" w:rsidR="000E52B0" w:rsidRDefault="000E52B0">
      <w:pPr>
        <w:pStyle w:val="Textoindependiente"/>
        <w:jc w:val="both"/>
        <w:sectPr w:rsidR="000E52B0">
          <w:pgSz w:w="11910" w:h="16840"/>
          <w:pgMar w:top="1340" w:right="720" w:bottom="1180" w:left="720" w:header="0" w:footer="995" w:gutter="0"/>
          <w:cols w:space="720"/>
        </w:sectPr>
      </w:pPr>
    </w:p>
    <w:p w14:paraId="44851558" w14:textId="77777777" w:rsidR="000E52B0" w:rsidRDefault="00F60D74">
      <w:pPr>
        <w:pStyle w:val="Textoindependiente"/>
        <w:spacing w:before="83"/>
        <w:ind w:right="718"/>
        <w:jc w:val="both"/>
      </w:pPr>
      <w:r>
        <w:lastRenderedPageBreak/>
        <w:t>del subregistro y los efectos sobre cuerpos que tienen menor resistencia que en otros momentos de sus vidas. Para 2022, la tasa de violencias registrada</w:t>
      </w:r>
      <w:r>
        <w:rPr>
          <w:spacing w:val="-10"/>
        </w:rPr>
        <w:t xml:space="preserve"> </w:t>
      </w:r>
      <w:r>
        <w:t>en</w:t>
      </w:r>
      <w:r>
        <w:rPr>
          <w:spacing w:val="-9"/>
        </w:rPr>
        <w:t xml:space="preserve"> </w:t>
      </w:r>
      <w:r>
        <w:t>el</w:t>
      </w:r>
      <w:r>
        <w:rPr>
          <w:spacing w:val="-9"/>
        </w:rPr>
        <w:t xml:space="preserve"> </w:t>
      </w:r>
      <w:r>
        <w:t>sector</w:t>
      </w:r>
      <w:r>
        <w:rPr>
          <w:spacing w:val="-9"/>
        </w:rPr>
        <w:t xml:space="preserve"> </w:t>
      </w:r>
      <w:r>
        <w:t>salud,</w:t>
      </w:r>
      <w:r>
        <w:rPr>
          <w:spacing w:val="-11"/>
        </w:rPr>
        <w:t xml:space="preserve"> </w:t>
      </w:r>
      <w:r>
        <w:t>es</w:t>
      </w:r>
      <w:r>
        <w:rPr>
          <w:spacing w:val="-8"/>
        </w:rPr>
        <w:t xml:space="preserve"> </w:t>
      </w:r>
      <w:r>
        <w:t>la</w:t>
      </w:r>
      <w:r>
        <w:rPr>
          <w:spacing w:val="-9"/>
        </w:rPr>
        <w:t xml:space="preserve"> </w:t>
      </w:r>
      <w:r>
        <w:t>menor</w:t>
      </w:r>
      <w:r>
        <w:rPr>
          <w:spacing w:val="-9"/>
        </w:rPr>
        <w:t xml:space="preserve"> </w:t>
      </w:r>
      <w:r>
        <w:t>para</w:t>
      </w:r>
      <w:r>
        <w:rPr>
          <w:spacing w:val="-7"/>
        </w:rPr>
        <w:t xml:space="preserve"> </w:t>
      </w:r>
      <w:r>
        <w:t>las</w:t>
      </w:r>
      <w:r>
        <w:rPr>
          <w:spacing w:val="-8"/>
        </w:rPr>
        <w:t xml:space="preserve"> </w:t>
      </w:r>
      <w:r>
        <w:t>personas</w:t>
      </w:r>
      <w:r>
        <w:rPr>
          <w:spacing w:val="-8"/>
        </w:rPr>
        <w:t xml:space="preserve"> </w:t>
      </w:r>
      <w:r>
        <w:t>mayores</w:t>
      </w:r>
      <w:r>
        <w:rPr>
          <w:spacing w:val="-10"/>
        </w:rPr>
        <w:t xml:space="preserve"> </w:t>
      </w:r>
      <w:r>
        <w:t xml:space="preserve">como muestra la </w:t>
      </w:r>
      <w:hyperlink w:anchor="_bookmark79" w:history="1">
        <w:r w:rsidR="000E52B0">
          <w:t>Ilustración 47</w:t>
        </w:r>
      </w:hyperlink>
      <w:r>
        <w:t>.</w:t>
      </w:r>
    </w:p>
    <w:p w14:paraId="4090B094" w14:textId="77777777" w:rsidR="000E52B0" w:rsidRDefault="00F60D74">
      <w:pPr>
        <w:spacing w:before="158"/>
        <w:ind w:left="3190" w:right="723" w:hanging="1890"/>
        <w:rPr>
          <w:i/>
          <w:sz w:val="18"/>
        </w:rPr>
      </w:pPr>
      <w:bookmarkStart w:id="79" w:name="_bookmark79"/>
      <w:bookmarkEnd w:id="79"/>
      <w:r>
        <w:rPr>
          <w:i/>
          <w:color w:val="454551"/>
          <w:sz w:val="18"/>
        </w:rPr>
        <w:t>Ilustración</w:t>
      </w:r>
      <w:r>
        <w:rPr>
          <w:i/>
          <w:color w:val="454551"/>
          <w:spacing w:val="-1"/>
          <w:sz w:val="18"/>
        </w:rPr>
        <w:t xml:space="preserve"> </w:t>
      </w:r>
      <w:r>
        <w:rPr>
          <w:i/>
          <w:color w:val="454551"/>
          <w:sz w:val="18"/>
        </w:rPr>
        <w:t>47.</w:t>
      </w:r>
      <w:r>
        <w:rPr>
          <w:i/>
          <w:color w:val="454551"/>
          <w:spacing w:val="-4"/>
          <w:sz w:val="18"/>
        </w:rPr>
        <w:t xml:space="preserve"> </w:t>
      </w:r>
      <w:r>
        <w:rPr>
          <w:i/>
          <w:color w:val="454551"/>
          <w:sz w:val="18"/>
        </w:rPr>
        <w:t>Tasa</w:t>
      </w:r>
      <w:r>
        <w:rPr>
          <w:i/>
          <w:color w:val="454551"/>
          <w:spacing w:val="-3"/>
          <w:sz w:val="18"/>
        </w:rPr>
        <w:t xml:space="preserve"> </w:t>
      </w:r>
      <w:r>
        <w:rPr>
          <w:i/>
          <w:color w:val="454551"/>
          <w:sz w:val="18"/>
        </w:rPr>
        <w:t>por</w:t>
      </w:r>
      <w:r>
        <w:rPr>
          <w:i/>
          <w:color w:val="454551"/>
          <w:spacing w:val="-3"/>
          <w:sz w:val="18"/>
        </w:rPr>
        <w:t xml:space="preserve"> </w:t>
      </w:r>
      <w:r>
        <w:rPr>
          <w:i/>
          <w:color w:val="454551"/>
          <w:sz w:val="18"/>
        </w:rPr>
        <w:t>cada</w:t>
      </w:r>
      <w:r>
        <w:rPr>
          <w:i/>
          <w:color w:val="454551"/>
          <w:spacing w:val="-3"/>
          <w:sz w:val="18"/>
        </w:rPr>
        <w:t xml:space="preserve"> </w:t>
      </w:r>
      <w:r>
        <w:rPr>
          <w:i/>
          <w:color w:val="454551"/>
          <w:sz w:val="18"/>
        </w:rPr>
        <w:t>100</w:t>
      </w:r>
      <w:r>
        <w:rPr>
          <w:i/>
          <w:color w:val="454551"/>
          <w:spacing w:val="-3"/>
          <w:sz w:val="18"/>
        </w:rPr>
        <w:t xml:space="preserve"> </w:t>
      </w:r>
      <w:r>
        <w:rPr>
          <w:i/>
          <w:color w:val="454551"/>
          <w:sz w:val="18"/>
        </w:rPr>
        <w:t>mil</w:t>
      </w:r>
      <w:r>
        <w:rPr>
          <w:i/>
          <w:color w:val="454551"/>
          <w:spacing w:val="-2"/>
          <w:sz w:val="18"/>
        </w:rPr>
        <w:t xml:space="preserve"> </w:t>
      </w:r>
      <w:r>
        <w:rPr>
          <w:i/>
          <w:color w:val="454551"/>
          <w:sz w:val="18"/>
        </w:rPr>
        <w:t>habitantes</w:t>
      </w:r>
      <w:r>
        <w:rPr>
          <w:i/>
          <w:color w:val="454551"/>
          <w:spacing w:val="-1"/>
          <w:sz w:val="18"/>
        </w:rPr>
        <w:t xml:space="preserve"> </w:t>
      </w:r>
      <w:r>
        <w:rPr>
          <w:i/>
          <w:color w:val="454551"/>
          <w:sz w:val="18"/>
        </w:rPr>
        <w:t>de</w:t>
      </w:r>
      <w:r>
        <w:rPr>
          <w:i/>
          <w:color w:val="454551"/>
          <w:spacing w:val="-3"/>
          <w:sz w:val="18"/>
        </w:rPr>
        <w:t xml:space="preserve"> </w:t>
      </w:r>
      <w:r>
        <w:rPr>
          <w:i/>
          <w:color w:val="454551"/>
          <w:sz w:val="18"/>
        </w:rPr>
        <w:t>víctimas</w:t>
      </w:r>
      <w:r>
        <w:rPr>
          <w:i/>
          <w:color w:val="454551"/>
          <w:spacing w:val="-4"/>
          <w:sz w:val="18"/>
        </w:rPr>
        <w:t xml:space="preserve"> </w:t>
      </w:r>
      <w:r>
        <w:rPr>
          <w:i/>
          <w:color w:val="454551"/>
          <w:sz w:val="18"/>
        </w:rPr>
        <w:t>de</w:t>
      </w:r>
      <w:r>
        <w:rPr>
          <w:i/>
          <w:color w:val="454551"/>
          <w:spacing w:val="-3"/>
          <w:sz w:val="18"/>
        </w:rPr>
        <w:t xml:space="preserve"> </w:t>
      </w:r>
      <w:r>
        <w:rPr>
          <w:i/>
          <w:color w:val="454551"/>
          <w:sz w:val="18"/>
        </w:rPr>
        <w:t>violencias</w:t>
      </w:r>
      <w:r>
        <w:rPr>
          <w:i/>
          <w:color w:val="454551"/>
          <w:spacing w:val="-4"/>
          <w:sz w:val="18"/>
        </w:rPr>
        <w:t xml:space="preserve"> </w:t>
      </w:r>
      <w:r>
        <w:rPr>
          <w:i/>
          <w:color w:val="454551"/>
          <w:sz w:val="18"/>
        </w:rPr>
        <w:t>de</w:t>
      </w:r>
      <w:r>
        <w:rPr>
          <w:i/>
          <w:color w:val="454551"/>
          <w:spacing w:val="-3"/>
          <w:sz w:val="18"/>
        </w:rPr>
        <w:t xml:space="preserve"> </w:t>
      </w:r>
      <w:r>
        <w:rPr>
          <w:i/>
          <w:color w:val="454551"/>
          <w:sz w:val="18"/>
        </w:rPr>
        <w:t>género</w:t>
      </w:r>
      <w:r>
        <w:rPr>
          <w:i/>
          <w:color w:val="454551"/>
          <w:spacing w:val="-2"/>
          <w:sz w:val="18"/>
        </w:rPr>
        <w:t xml:space="preserve"> </w:t>
      </w:r>
      <w:r>
        <w:rPr>
          <w:i/>
          <w:color w:val="454551"/>
          <w:sz w:val="18"/>
        </w:rPr>
        <w:t>e intrafamiliares en 2022 - Ficha 875 SIVIGILA</w:t>
      </w:r>
    </w:p>
    <w:p w14:paraId="09D2EEEB" w14:textId="77777777" w:rsidR="000E52B0" w:rsidRDefault="000E52B0">
      <w:pPr>
        <w:pStyle w:val="Textoindependiente"/>
        <w:spacing w:before="122"/>
        <w:ind w:left="0"/>
        <w:rPr>
          <w:i/>
          <w:sz w:val="18"/>
        </w:rPr>
      </w:pPr>
    </w:p>
    <w:p w14:paraId="7C2455FB" w14:textId="77777777" w:rsidR="000E52B0" w:rsidRDefault="00F60D74">
      <w:pPr>
        <w:jc w:val="center"/>
        <w:rPr>
          <w:rFonts w:ascii="Trebuchet MS"/>
          <w:sz w:val="18"/>
        </w:rPr>
      </w:pPr>
      <w:r>
        <w:rPr>
          <w:rFonts w:ascii="Trebuchet MS"/>
          <w:color w:val="404040"/>
          <w:spacing w:val="-2"/>
          <w:sz w:val="18"/>
        </w:rPr>
        <w:t>540,4</w:t>
      </w:r>
    </w:p>
    <w:p w14:paraId="19036942" w14:textId="77777777" w:rsidR="000E52B0" w:rsidRDefault="00F60D74">
      <w:pPr>
        <w:pStyle w:val="Textoindependiente"/>
        <w:spacing w:before="7"/>
        <w:ind w:left="0"/>
        <w:rPr>
          <w:rFonts w:ascii="Trebuchet MS"/>
          <w:sz w:val="6"/>
        </w:rPr>
      </w:pPr>
      <w:r>
        <w:rPr>
          <w:rFonts w:ascii="Trebuchet MS"/>
          <w:noProof/>
          <w:sz w:val="6"/>
        </w:rPr>
        <mc:AlternateContent>
          <mc:Choice Requires="wpg">
            <w:drawing>
              <wp:anchor distT="0" distB="0" distL="0" distR="0" simplePos="0" relativeHeight="487656960" behindDoc="1" locked="0" layoutInCell="1" allowOverlap="1" wp14:anchorId="48D59E9F" wp14:editId="46331D31">
                <wp:simplePos x="0" y="0"/>
                <wp:positionH relativeFrom="page">
                  <wp:posOffset>1310005</wp:posOffset>
                </wp:positionH>
                <wp:positionV relativeFrom="paragraph">
                  <wp:posOffset>64133</wp:posOffset>
                </wp:positionV>
                <wp:extent cx="4939030" cy="1337945"/>
                <wp:effectExtent l="0" t="0" r="0" b="0"/>
                <wp:wrapTopAndBottom/>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9030" cy="1337945"/>
                          <a:chOff x="0" y="0"/>
                          <a:chExt cx="4939030" cy="1337945"/>
                        </a:xfrm>
                      </wpg:grpSpPr>
                      <wps:wsp>
                        <wps:cNvPr id="559" name="Graphic 559"/>
                        <wps:cNvSpPr/>
                        <wps:spPr>
                          <a:xfrm>
                            <a:off x="102743" y="0"/>
                            <a:ext cx="4733925" cy="1332865"/>
                          </a:xfrm>
                          <a:custGeom>
                            <a:avLst/>
                            <a:gdLst/>
                            <a:ahLst/>
                            <a:cxnLst/>
                            <a:rect l="l" t="t" r="r" b="b"/>
                            <a:pathLst>
                              <a:path w="4733925" h="1332865">
                                <a:moveTo>
                                  <a:pt x="342900" y="1331087"/>
                                </a:moveTo>
                                <a:lnTo>
                                  <a:pt x="0" y="1331087"/>
                                </a:lnTo>
                                <a:lnTo>
                                  <a:pt x="0" y="1332611"/>
                                </a:lnTo>
                                <a:lnTo>
                                  <a:pt x="342900" y="1332611"/>
                                </a:lnTo>
                                <a:lnTo>
                                  <a:pt x="342900" y="1331087"/>
                                </a:lnTo>
                                <a:close/>
                              </a:path>
                              <a:path w="4733925" h="1332865">
                                <a:moveTo>
                                  <a:pt x="891540" y="505968"/>
                                </a:moveTo>
                                <a:lnTo>
                                  <a:pt x="548640" y="505968"/>
                                </a:lnTo>
                                <a:lnTo>
                                  <a:pt x="548640" y="1332611"/>
                                </a:lnTo>
                                <a:lnTo>
                                  <a:pt x="891540" y="1332611"/>
                                </a:lnTo>
                                <a:lnTo>
                                  <a:pt x="891540" y="505968"/>
                                </a:lnTo>
                                <a:close/>
                              </a:path>
                              <a:path w="4733925" h="1332865">
                                <a:moveTo>
                                  <a:pt x="1440180" y="617220"/>
                                </a:moveTo>
                                <a:lnTo>
                                  <a:pt x="1097280" y="617220"/>
                                </a:lnTo>
                                <a:lnTo>
                                  <a:pt x="1097280" y="1332611"/>
                                </a:lnTo>
                                <a:lnTo>
                                  <a:pt x="1440180" y="1332611"/>
                                </a:lnTo>
                                <a:lnTo>
                                  <a:pt x="1440180" y="617220"/>
                                </a:lnTo>
                                <a:close/>
                              </a:path>
                              <a:path w="4733925" h="1332865">
                                <a:moveTo>
                                  <a:pt x="1988820" y="464820"/>
                                </a:moveTo>
                                <a:lnTo>
                                  <a:pt x="1645920" y="464820"/>
                                </a:lnTo>
                                <a:lnTo>
                                  <a:pt x="1645920" y="1332611"/>
                                </a:lnTo>
                                <a:lnTo>
                                  <a:pt x="1988820" y="1332611"/>
                                </a:lnTo>
                                <a:lnTo>
                                  <a:pt x="1988820" y="464820"/>
                                </a:lnTo>
                                <a:close/>
                              </a:path>
                              <a:path w="4733925" h="1332865">
                                <a:moveTo>
                                  <a:pt x="2538984" y="0"/>
                                </a:moveTo>
                                <a:lnTo>
                                  <a:pt x="2194560" y="0"/>
                                </a:lnTo>
                                <a:lnTo>
                                  <a:pt x="2194560" y="1332611"/>
                                </a:lnTo>
                                <a:lnTo>
                                  <a:pt x="2538984" y="1332611"/>
                                </a:lnTo>
                                <a:lnTo>
                                  <a:pt x="2538984" y="0"/>
                                </a:lnTo>
                                <a:close/>
                              </a:path>
                              <a:path w="4733925" h="1332865">
                                <a:moveTo>
                                  <a:pt x="3087624" y="673608"/>
                                </a:moveTo>
                                <a:lnTo>
                                  <a:pt x="2744724" y="673608"/>
                                </a:lnTo>
                                <a:lnTo>
                                  <a:pt x="2744724" y="1332611"/>
                                </a:lnTo>
                                <a:lnTo>
                                  <a:pt x="3087624" y="1332611"/>
                                </a:lnTo>
                                <a:lnTo>
                                  <a:pt x="3087624" y="673608"/>
                                </a:lnTo>
                                <a:close/>
                              </a:path>
                              <a:path w="4733925" h="1332865">
                                <a:moveTo>
                                  <a:pt x="3636264" y="731520"/>
                                </a:moveTo>
                                <a:lnTo>
                                  <a:pt x="3293364" y="731520"/>
                                </a:lnTo>
                                <a:lnTo>
                                  <a:pt x="3293364" y="1332611"/>
                                </a:lnTo>
                                <a:lnTo>
                                  <a:pt x="3636264" y="1332611"/>
                                </a:lnTo>
                                <a:lnTo>
                                  <a:pt x="3636264" y="731520"/>
                                </a:lnTo>
                                <a:close/>
                              </a:path>
                              <a:path w="4733925" h="1332865">
                                <a:moveTo>
                                  <a:pt x="4184904" y="1037844"/>
                                </a:moveTo>
                                <a:lnTo>
                                  <a:pt x="3842004" y="1037844"/>
                                </a:lnTo>
                                <a:lnTo>
                                  <a:pt x="3842004" y="1332611"/>
                                </a:lnTo>
                                <a:lnTo>
                                  <a:pt x="4184904" y="1332611"/>
                                </a:lnTo>
                                <a:lnTo>
                                  <a:pt x="4184904" y="1037844"/>
                                </a:lnTo>
                                <a:close/>
                              </a:path>
                              <a:path w="4733925" h="1332865">
                                <a:moveTo>
                                  <a:pt x="4733544" y="1057656"/>
                                </a:moveTo>
                                <a:lnTo>
                                  <a:pt x="4390644" y="1057656"/>
                                </a:lnTo>
                                <a:lnTo>
                                  <a:pt x="4390644" y="1332611"/>
                                </a:lnTo>
                                <a:lnTo>
                                  <a:pt x="4733544" y="1332611"/>
                                </a:lnTo>
                                <a:lnTo>
                                  <a:pt x="4733544" y="1057656"/>
                                </a:lnTo>
                                <a:close/>
                              </a:path>
                            </a:pathLst>
                          </a:custGeom>
                          <a:solidFill>
                            <a:srgbClr val="D44673"/>
                          </a:solidFill>
                        </wps:spPr>
                        <wps:bodyPr wrap="square" lIns="0" tIns="0" rIns="0" bIns="0" rtlCol="0">
                          <a:prstTxWarp prst="textNoShape">
                            <a:avLst/>
                          </a:prstTxWarp>
                          <a:noAutofit/>
                        </wps:bodyPr>
                      </wps:wsp>
                      <wps:wsp>
                        <wps:cNvPr id="560" name="Graphic 560"/>
                        <wps:cNvSpPr/>
                        <wps:spPr>
                          <a:xfrm>
                            <a:off x="0" y="1332611"/>
                            <a:ext cx="4939030" cy="1270"/>
                          </a:xfrm>
                          <a:custGeom>
                            <a:avLst/>
                            <a:gdLst/>
                            <a:ahLst/>
                            <a:cxnLst/>
                            <a:rect l="l" t="t" r="r" b="b"/>
                            <a:pathLst>
                              <a:path w="4939030">
                                <a:moveTo>
                                  <a:pt x="0" y="0"/>
                                </a:moveTo>
                                <a:lnTo>
                                  <a:pt x="4939030" y="0"/>
                                </a:lnTo>
                              </a:path>
                            </a:pathLst>
                          </a:custGeom>
                          <a:ln w="9525">
                            <a:solidFill>
                              <a:srgbClr val="D9D9D9"/>
                            </a:solidFill>
                            <a:prstDash val="solid"/>
                          </a:ln>
                        </wps:spPr>
                        <wps:bodyPr wrap="square" lIns="0" tIns="0" rIns="0" bIns="0" rtlCol="0">
                          <a:prstTxWarp prst="textNoShape">
                            <a:avLst/>
                          </a:prstTxWarp>
                          <a:noAutofit/>
                        </wps:bodyPr>
                      </wps:wsp>
                      <wps:wsp>
                        <wps:cNvPr id="561" name="Textbox 561"/>
                        <wps:cNvSpPr txBox="1"/>
                        <wps:spPr>
                          <a:xfrm>
                            <a:off x="685800" y="308474"/>
                            <a:ext cx="288925" cy="139700"/>
                          </a:xfrm>
                          <a:prstGeom prst="rect">
                            <a:avLst/>
                          </a:prstGeom>
                        </wps:spPr>
                        <wps:txbx>
                          <w:txbxContent>
                            <w:p w14:paraId="7FE29E50" w14:textId="77777777" w:rsidR="000E52B0" w:rsidRDefault="00F60D74">
                              <w:pPr>
                                <w:rPr>
                                  <w:rFonts w:ascii="Trebuchet MS"/>
                                  <w:sz w:val="18"/>
                                </w:rPr>
                              </w:pPr>
                              <w:r>
                                <w:rPr>
                                  <w:rFonts w:ascii="Trebuchet MS"/>
                                  <w:color w:val="404040"/>
                                  <w:spacing w:val="-2"/>
                                  <w:sz w:val="18"/>
                                </w:rPr>
                                <w:t>335,7</w:t>
                              </w:r>
                            </w:p>
                          </w:txbxContent>
                        </wps:txbx>
                        <wps:bodyPr wrap="square" lIns="0" tIns="0" rIns="0" bIns="0" rtlCol="0">
                          <a:noAutofit/>
                        </wps:bodyPr>
                      </wps:wsp>
                      <wps:wsp>
                        <wps:cNvPr id="562" name="Textbox 562"/>
                        <wps:cNvSpPr txBox="1"/>
                        <wps:spPr>
                          <a:xfrm>
                            <a:off x="1783714" y="268469"/>
                            <a:ext cx="288925" cy="139700"/>
                          </a:xfrm>
                          <a:prstGeom prst="rect">
                            <a:avLst/>
                          </a:prstGeom>
                        </wps:spPr>
                        <wps:txbx>
                          <w:txbxContent>
                            <w:p w14:paraId="44388369" w14:textId="77777777" w:rsidR="000E52B0" w:rsidRDefault="00F60D74">
                              <w:pPr>
                                <w:rPr>
                                  <w:rFonts w:ascii="Trebuchet MS"/>
                                  <w:sz w:val="18"/>
                                </w:rPr>
                              </w:pPr>
                              <w:r>
                                <w:rPr>
                                  <w:rFonts w:ascii="Trebuchet MS"/>
                                  <w:color w:val="404040"/>
                                  <w:spacing w:val="-2"/>
                                  <w:sz w:val="18"/>
                                </w:rPr>
                                <w:t>351,9</w:t>
                              </w:r>
                            </w:p>
                          </w:txbxContent>
                        </wps:txbx>
                        <wps:bodyPr wrap="square" lIns="0" tIns="0" rIns="0" bIns="0" rtlCol="0">
                          <a:noAutofit/>
                        </wps:bodyPr>
                      </wps:wsp>
                      <wps:wsp>
                        <wps:cNvPr id="563" name="Textbox 563"/>
                        <wps:cNvSpPr txBox="1"/>
                        <wps:spPr>
                          <a:xfrm>
                            <a:off x="1234821" y="420234"/>
                            <a:ext cx="288925" cy="139700"/>
                          </a:xfrm>
                          <a:prstGeom prst="rect">
                            <a:avLst/>
                          </a:prstGeom>
                        </wps:spPr>
                        <wps:txbx>
                          <w:txbxContent>
                            <w:p w14:paraId="38AEB262" w14:textId="77777777" w:rsidR="000E52B0" w:rsidRDefault="00F60D74">
                              <w:pPr>
                                <w:rPr>
                                  <w:rFonts w:ascii="Trebuchet MS"/>
                                  <w:sz w:val="18"/>
                                </w:rPr>
                              </w:pPr>
                              <w:r>
                                <w:rPr>
                                  <w:rFonts w:ascii="Trebuchet MS"/>
                                  <w:color w:val="404040"/>
                                  <w:spacing w:val="-2"/>
                                  <w:sz w:val="18"/>
                                </w:rPr>
                                <w:t>290,2</w:t>
                              </w:r>
                            </w:p>
                          </w:txbxContent>
                        </wps:txbx>
                        <wps:bodyPr wrap="square" lIns="0" tIns="0" rIns="0" bIns="0" rtlCol="0">
                          <a:noAutofit/>
                        </wps:bodyPr>
                      </wps:wsp>
                      <wps:wsp>
                        <wps:cNvPr id="564" name="Textbox 564"/>
                        <wps:cNvSpPr txBox="1"/>
                        <wps:spPr>
                          <a:xfrm>
                            <a:off x="2881248" y="477003"/>
                            <a:ext cx="288925" cy="139700"/>
                          </a:xfrm>
                          <a:prstGeom prst="rect">
                            <a:avLst/>
                          </a:prstGeom>
                        </wps:spPr>
                        <wps:txbx>
                          <w:txbxContent>
                            <w:p w14:paraId="52C62AB2" w14:textId="77777777" w:rsidR="000E52B0" w:rsidRDefault="00F60D74">
                              <w:pPr>
                                <w:rPr>
                                  <w:rFonts w:ascii="Trebuchet MS"/>
                                  <w:sz w:val="18"/>
                                </w:rPr>
                              </w:pPr>
                              <w:r>
                                <w:rPr>
                                  <w:rFonts w:ascii="Trebuchet MS"/>
                                  <w:color w:val="404040"/>
                                  <w:spacing w:val="-2"/>
                                  <w:sz w:val="18"/>
                                </w:rPr>
                                <w:t>267,3</w:t>
                              </w:r>
                            </w:p>
                          </w:txbxContent>
                        </wps:txbx>
                        <wps:bodyPr wrap="square" lIns="0" tIns="0" rIns="0" bIns="0" rtlCol="0">
                          <a:noAutofit/>
                        </wps:bodyPr>
                      </wps:wsp>
                      <wps:wsp>
                        <wps:cNvPr id="565" name="Textbox 565"/>
                        <wps:cNvSpPr txBox="1"/>
                        <wps:spPr>
                          <a:xfrm>
                            <a:off x="3430270" y="534534"/>
                            <a:ext cx="288925" cy="139700"/>
                          </a:xfrm>
                          <a:prstGeom prst="rect">
                            <a:avLst/>
                          </a:prstGeom>
                        </wps:spPr>
                        <wps:txbx>
                          <w:txbxContent>
                            <w:p w14:paraId="799C5024" w14:textId="77777777" w:rsidR="000E52B0" w:rsidRDefault="00F60D74">
                              <w:pPr>
                                <w:rPr>
                                  <w:rFonts w:ascii="Trebuchet MS"/>
                                  <w:sz w:val="18"/>
                                </w:rPr>
                              </w:pPr>
                              <w:r>
                                <w:rPr>
                                  <w:rFonts w:ascii="Trebuchet MS"/>
                                  <w:color w:val="404040"/>
                                  <w:spacing w:val="-2"/>
                                  <w:sz w:val="18"/>
                                </w:rPr>
                                <w:t>244,0</w:t>
                              </w:r>
                            </w:p>
                          </w:txbxContent>
                        </wps:txbx>
                        <wps:bodyPr wrap="square" lIns="0" tIns="0" rIns="0" bIns="0" rtlCol="0">
                          <a:noAutofit/>
                        </wps:bodyPr>
                      </wps:wsp>
                      <wps:wsp>
                        <wps:cNvPr id="566" name="Textbox 566"/>
                        <wps:cNvSpPr txBox="1"/>
                        <wps:spPr>
                          <a:xfrm>
                            <a:off x="3979164" y="841874"/>
                            <a:ext cx="288925" cy="139700"/>
                          </a:xfrm>
                          <a:prstGeom prst="rect">
                            <a:avLst/>
                          </a:prstGeom>
                        </wps:spPr>
                        <wps:txbx>
                          <w:txbxContent>
                            <w:p w14:paraId="3D168DC5" w14:textId="77777777" w:rsidR="000E52B0" w:rsidRDefault="00F60D74">
                              <w:pPr>
                                <w:rPr>
                                  <w:rFonts w:ascii="Trebuchet MS"/>
                                  <w:sz w:val="18"/>
                                </w:rPr>
                              </w:pPr>
                              <w:r>
                                <w:rPr>
                                  <w:rFonts w:ascii="Trebuchet MS"/>
                                  <w:color w:val="404040"/>
                                  <w:spacing w:val="-2"/>
                                  <w:sz w:val="18"/>
                                </w:rPr>
                                <w:t>119,3</w:t>
                              </w:r>
                            </w:p>
                          </w:txbxContent>
                        </wps:txbx>
                        <wps:bodyPr wrap="square" lIns="0" tIns="0" rIns="0" bIns="0" rtlCol="0">
                          <a:noAutofit/>
                        </wps:bodyPr>
                      </wps:wsp>
                      <wps:wsp>
                        <wps:cNvPr id="567" name="Textbox 567"/>
                        <wps:cNvSpPr txBox="1"/>
                        <wps:spPr>
                          <a:xfrm>
                            <a:off x="4528184" y="860670"/>
                            <a:ext cx="288925" cy="139700"/>
                          </a:xfrm>
                          <a:prstGeom prst="rect">
                            <a:avLst/>
                          </a:prstGeom>
                        </wps:spPr>
                        <wps:txbx>
                          <w:txbxContent>
                            <w:p w14:paraId="13C49B51" w14:textId="77777777" w:rsidR="000E52B0" w:rsidRDefault="00F60D74">
                              <w:pPr>
                                <w:rPr>
                                  <w:rFonts w:ascii="Trebuchet MS"/>
                                  <w:sz w:val="18"/>
                                </w:rPr>
                              </w:pPr>
                              <w:r>
                                <w:rPr>
                                  <w:rFonts w:ascii="Trebuchet MS"/>
                                  <w:color w:val="404040"/>
                                  <w:spacing w:val="-2"/>
                                  <w:sz w:val="18"/>
                                </w:rPr>
                                <w:t>111,6</w:t>
                              </w:r>
                            </w:p>
                          </w:txbxContent>
                        </wps:txbx>
                        <wps:bodyPr wrap="square" lIns="0" tIns="0" rIns="0" bIns="0" rtlCol="0">
                          <a:noAutofit/>
                        </wps:bodyPr>
                      </wps:wsp>
                      <wps:wsp>
                        <wps:cNvPr id="568" name="Textbox 568"/>
                        <wps:cNvSpPr txBox="1"/>
                        <wps:spPr>
                          <a:xfrm>
                            <a:off x="197865" y="1135371"/>
                            <a:ext cx="167005" cy="139700"/>
                          </a:xfrm>
                          <a:prstGeom prst="rect">
                            <a:avLst/>
                          </a:prstGeom>
                        </wps:spPr>
                        <wps:txbx>
                          <w:txbxContent>
                            <w:p w14:paraId="76F07C1E" w14:textId="77777777" w:rsidR="000E52B0" w:rsidRDefault="00F60D74">
                              <w:pPr>
                                <w:rPr>
                                  <w:rFonts w:ascii="Trebuchet MS"/>
                                  <w:sz w:val="18"/>
                                </w:rPr>
                              </w:pPr>
                              <w:r>
                                <w:rPr>
                                  <w:rFonts w:ascii="Trebuchet MS"/>
                                  <w:color w:val="404040"/>
                                  <w:spacing w:val="-5"/>
                                  <w:sz w:val="18"/>
                                </w:rPr>
                                <w:t>0,1</w:t>
                              </w:r>
                            </w:p>
                          </w:txbxContent>
                        </wps:txbx>
                        <wps:bodyPr wrap="square" lIns="0" tIns="0" rIns="0" bIns="0" rtlCol="0">
                          <a:noAutofit/>
                        </wps:bodyPr>
                      </wps:wsp>
                    </wpg:wgp>
                  </a:graphicData>
                </a:graphic>
              </wp:anchor>
            </w:drawing>
          </mc:Choice>
          <mc:Fallback>
            <w:pict>
              <v:group w14:anchorId="48D59E9F" id="Group 558" o:spid="_x0000_s1346" style="position:absolute;margin-left:103.15pt;margin-top:5.05pt;width:388.9pt;height:105.35pt;z-index:-15659520;mso-wrap-distance-left:0;mso-wrap-distance-right:0;mso-position-horizontal-relative:page;mso-position-vertical-relative:text" coordsize="49390,1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">
                <v:shape id="Graphic 559" o:spid="_x0000_s1347" style="position:absolute;left:1027;width:47339;height:13328;visibility:visible;mso-wrap-style:square;v-text-anchor:top" coordsize="4733925,133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" path="m342900,1331087l,1331087r,1524l342900,1332611r,-1524xem891540,505968r-342900,l548640,1332611r342900,l891540,505968xem1440180,617220r-342900,l1097280,1332611r342900,l1440180,617220xem1988820,464820r-342900,l1645920,1332611r342900,l1988820,464820xem2538984,l2194560,r,1332611l2538984,1332611,2538984,xem3087624,673608r-342900,l2744724,1332611r342900,l3087624,673608xem3636264,731520r-342900,l3293364,1332611r342900,l3636264,731520xem4184904,1037844r-342900,l3842004,1332611r342900,l4184904,1037844xem4733544,1057656r-342900,l4390644,1332611r342900,l4733544,1057656xe" fillcolor="#d44673" stroked="f">
                  <v:path arrowok="t"/>
                </v:shape>
                <v:shape id="Graphic 560" o:spid="_x0000_s1348" style="position:absolute;top:13326;width:49390;height:12;visibility:visible;mso-wrap-style:square;v-text-anchor:top" coordsize="4939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" path="m,l4939030,e" filled="f" strokecolor="#d9d9d9">
                  <v:path arrowok="t"/>
                </v:shape>
                <v:shape id="Textbox 561" o:spid="_x0000_s1349" type="#_x0000_t202" style="position:absolute;left:6858;top:3084;width:288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7FE29E50" w14:textId="77777777" w:rsidR="000E52B0" w:rsidRDefault="00F60D74">
                        <w:pPr>
                          <w:rPr>
                            <w:rFonts w:ascii="Trebuchet MS"/>
                            <w:sz w:val="18"/>
                          </w:rPr>
                        </w:pPr>
                        <w:r>
                          <w:rPr>
                            <w:rFonts w:ascii="Trebuchet MS"/>
                            <w:color w:val="404040"/>
                            <w:spacing w:val="-2"/>
                            <w:sz w:val="18"/>
                          </w:rPr>
                          <w:t>335,7</w:t>
                        </w:r>
                      </w:p>
                    </w:txbxContent>
                  </v:textbox>
                </v:shape>
                <v:shape id="Textbox 562" o:spid="_x0000_s1350" type="#_x0000_t202" style="position:absolute;left:17837;top:2684;width:288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44388369" w14:textId="77777777" w:rsidR="000E52B0" w:rsidRDefault="00F60D74">
                        <w:pPr>
                          <w:rPr>
                            <w:rFonts w:ascii="Trebuchet MS"/>
                            <w:sz w:val="18"/>
                          </w:rPr>
                        </w:pPr>
                        <w:r>
                          <w:rPr>
                            <w:rFonts w:ascii="Trebuchet MS"/>
                            <w:color w:val="404040"/>
                            <w:spacing w:val="-2"/>
                            <w:sz w:val="18"/>
                          </w:rPr>
                          <w:t>351,9</w:t>
                        </w:r>
                      </w:p>
                    </w:txbxContent>
                  </v:textbox>
                </v:shape>
                <v:shape id="Textbox 563" o:spid="_x0000_s1351" type="#_x0000_t202" style="position:absolute;left:12348;top:4202;width:288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38AEB262" w14:textId="77777777" w:rsidR="000E52B0" w:rsidRDefault="00F60D74">
                        <w:pPr>
                          <w:rPr>
                            <w:rFonts w:ascii="Trebuchet MS"/>
                            <w:sz w:val="18"/>
                          </w:rPr>
                        </w:pPr>
                        <w:r>
                          <w:rPr>
                            <w:rFonts w:ascii="Trebuchet MS"/>
                            <w:color w:val="404040"/>
                            <w:spacing w:val="-2"/>
                            <w:sz w:val="18"/>
                          </w:rPr>
                          <w:t>290,2</w:t>
                        </w:r>
                      </w:p>
                    </w:txbxContent>
                  </v:textbox>
                </v:shape>
                <v:shape id="Textbox 564" o:spid="_x0000_s1352" type="#_x0000_t202" style="position:absolute;left:28812;top:4770;width:288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52C62AB2" w14:textId="77777777" w:rsidR="000E52B0" w:rsidRDefault="00F60D74">
                        <w:pPr>
                          <w:rPr>
                            <w:rFonts w:ascii="Trebuchet MS"/>
                            <w:sz w:val="18"/>
                          </w:rPr>
                        </w:pPr>
                        <w:r>
                          <w:rPr>
                            <w:rFonts w:ascii="Trebuchet MS"/>
                            <w:color w:val="404040"/>
                            <w:spacing w:val="-2"/>
                            <w:sz w:val="18"/>
                          </w:rPr>
                          <w:t>267,3</w:t>
                        </w:r>
                      </w:p>
                    </w:txbxContent>
                  </v:textbox>
                </v:shape>
                <v:shape id="Textbox 565" o:spid="_x0000_s1353" type="#_x0000_t202" style="position:absolute;left:34302;top:5345;width:288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799C5024" w14:textId="77777777" w:rsidR="000E52B0" w:rsidRDefault="00F60D74">
                        <w:pPr>
                          <w:rPr>
                            <w:rFonts w:ascii="Trebuchet MS"/>
                            <w:sz w:val="18"/>
                          </w:rPr>
                        </w:pPr>
                        <w:r>
                          <w:rPr>
                            <w:rFonts w:ascii="Trebuchet MS"/>
                            <w:color w:val="404040"/>
                            <w:spacing w:val="-2"/>
                            <w:sz w:val="18"/>
                          </w:rPr>
                          <w:t>244,0</w:t>
                        </w:r>
                      </w:p>
                    </w:txbxContent>
                  </v:textbox>
                </v:shape>
                <v:shape id="Textbox 566" o:spid="_x0000_s1354" type="#_x0000_t202" style="position:absolute;left:39791;top:8418;width:288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3D168DC5" w14:textId="77777777" w:rsidR="000E52B0" w:rsidRDefault="00F60D74">
                        <w:pPr>
                          <w:rPr>
                            <w:rFonts w:ascii="Trebuchet MS"/>
                            <w:sz w:val="18"/>
                          </w:rPr>
                        </w:pPr>
                        <w:r>
                          <w:rPr>
                            <w:rFonts w:ascii="Trebuchet MS"/>
                            <w:color w:val="404040"/>
                            <w:spacing w:val="-2"/>
                            <w:sz w:val="18"/>
                          </w:rPr>
                          <w:t>119,3</w:t>
                        </w:r>
                      </w:p>
                    </w:txbxContent>
                  </v:textbox>
                </v:shape>
                <v:shape id="Textbox 567" o:spid="_x0000_s1355" type="#_x0000_t202" style="position:absolute;left:45281;top:8606;width:289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13C49B51" w14:textId="77777777" w:rsidR="000E52B0" w:rsidRDefault="00F60D74">
                        <w:pPr>
                          <w:rPr>
                            <w:rFonts w:ascii="Trebuchet MS"/>
                            <w:sz w:val="18"/>
                          </w:rPr>
                        </w:pPr>
                        <w:r>
                          <w:rPr>
                            <w:rFonts w:ascii="Trebuchet MS"/>
                            <w:color w:val="404040"/>
                            <w:spacing w:val="-2"/>
                            <w:sz w:val="18"/>
                          </w:rPr>
                          <w:t>111,6</w:t>
                        </w:r>
                      </w:p>
                    </w:txbxContent>
                  </v:textbox>
                </v:shape>
                <v:shape id="Textbox 568" o:spid="_x0000_s1356" type="#_x0000_t202" style="position:absolute;left:1978;top:11353;width:167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76F07C1E" w14:textId="77777777" w:rsidR="000E52B0" w:rsidRDefault="00F60D74">
                        <w:pPr>
                          <w:rPr>
                            <w:rFonts w:ascii="Trebuchet MS"/>
                            <w:sz w:val="18"/>
                          </w:rPr>
                        </w:pPr>
                        <w:r>
                          <w:rPr>
                            <w:rFonts w:ascii="Trebuchet MS"/>
                            <w:color w:val="404040"/>
                            <w:spacing w:val="-5"/>
                            <w:sz w:val="18"/>
                          </w:rPr>
                          <w:t>0,1</w:t>
                        </w:r>
                      </w:p>
                    </w:txbxContent>
                  </v:textbox>
                </v:shape>
                <w10:wrap type="topAndBottom" anchorx="page"/>
              </v:group>
            </w:pict>
          </mc:Fallback>
        </mc:AlternateContent>
      </w:r>
    </w:p>
    <w:p w14:paraId="32E9D22F" w14:textId="77777777" w:rsidR="000E52B0" w:rsidRDefault="00F60D74">
      <w:pPr>
        <w:spacing w:before="94"/>
        <w:ind w:right="5"/>
        <w:jc w:val="center"/>
        <w:rPr>
          <w:rFonts w:ascii="Trebuchet MS" w:hAnsi="Trebuchet MS"/>
          <w:sz w:val="16"/>
        </w:rPr>
      </w:pPr>
      <w:r>
        <w:rPr>
          <w:rFonts w:ascii="Trebuchet MS" w:hAnsi="Trebuchet MS"/>
          <w:color w:val="585858"/>
          <w:sz w:val="16"/>
        </w:rPr>
        <w:t>De</w:t>
      </w:r>
      <w:r>
        <w:rPr>
          <w:rFonts w:ascii="Trebuchet MS" w:hAnsi="Trebuchet MS"/>
          <w:color w:val="585858"/>
          <w:spacing w:val="-16"/>
          <w:sz w:val="16"/>
        </w:rPr>
        <w:t xml:space="preserve"> </w:t>
      </w:r>
      <w:r>
        <w:rPr>
          <w:rFonts w:ascii="Trebuchet MS" w:hAnsi="Trebuchet MS"/>
          <w:color w:val="585858"/>
          <w:sz w:val="16"/>
        </w:rPr>
        <w:t>0</w:t>
      </w:r>
      <w:r>
        <w:rPr>
          <w:rFonts w:ascii="Trebuchet MS" w:hAnsi="Trebuchet MS"/>
          <w:color w:val="585858"/>
          <w:spacing w:val="-13"/>
          <w:sz w:val="16"/>
        </w:rPr>
        <w:t xml:space="preserve"> </w:t>
      </w:r>
      <w:r>
        <w:rPr>
          <w:rFonts w:ascii="Trebuchet MS" w:hAnsi="Trebuchet MS"/>
          <w:color w:val="585858"/>
          <w:sz w:val="16"/>
        </w:rPr>
        <w:t>a</w:t>
      </w:r>
      <w:r>
        <w:rPr>
          <w:rFonts w:ascii="Trebuchet MS" w:hAnsi="Trebuchet MS"/>
          <w:color w:val="585858"/>
          <w:spacing w:val="-15"/>
          <w:sz w:val="16"/>
        </w:rPr>
        <w:t xml:space="preserve"> </w:t>
      </w:r>
      <w:r>
        <w:rPr>
          <w:rFonts w:ascii="Trebuchet MS" w:hAnsi="Trebuchet MS"/>
          <w:color w:val="585858"/>
          <w:sz w:val="16"/>
        </w:rPr>
        <w:t>antes</w:t>
      </w:r>
      <w:r>
        <w:rPr>
          <w:rFonts w:ascii="Trebuchet MS" w:hAnsi="Trebuchet MS"/>
          <w:color w:val="585858"/>
          <w:spacing w:val="38"/>
          <w:sz w:val="16"/>
        </w:rPr>
        <w:t xml:space="preserve"> </w:t>
      </w:r>
      <w:r>
        <w:rPr>
          <w:rFonts w:ascii="Trebuchet MS" w:hAnsi="Trebuchet MS"/>
          <w:color w:val="585858"/>
          <w:sz w:val="16"/>
        </w:rPr>
        <w:t>De</w:t>
      </w:r>
      <w:r>
        <w:rPr>
          <w:rFonts w:ascii="Trebuchet MS" w:hAnsi="Trebuchet MS"/>
          <w:color w:val="585858"/>
          <w:spacing w:val="-16"/>
          <w:sz w:val="16"/>
        </w:rPr>
        <w:t xml:space="preserve"> </w:t>
      </w:r>
      <w:r>
        <w:rPr>
          <w:rFonts w:ascii="Trebuchet MS" w:hAnsi="Trebuchet MS"/>
          <w:color w:val="585858"/>
          <w:sz w:val="16"/>
        </w:rPr>
        <w:t>01</w:t>
      </w:r>
      <w:r>
        <w:rPr>
          <w:rFonts w:ascii="Trebuchet MS" w:hAnsi="Trebuchet MS"/>
          <w:color w:val="585858"/>
          <w:spacing w:val="-15"/>
          <w:sz w:val="16"/>
        </w:rPr>
        <w:t xml:space="preserve"> </w:t>
      </w:r>
      <w:r>
        <w:rPr>
          <w:rFonts w:ascii="Trebuchet MS" w:hAnsi="Trebuchet MS"/>
          <w:color w:val="585858"/>
          <w:sz w:val="16"/>
        </w:rPr>
        <w:t>a</w:t>
      </w:r>
      <w:r>
        <w:rPr>
          <w:rFonts w:ascii="Trebuchet MS" w:hAnsi="Trebuchet MS"/>
          <w:color w:val="585858"/>
          <w:spacing w:val="-15"/>
          <w:sz w:val="16"/>
        </w:rPr>
        <w:t xml:space="preserve"> </w:t>
      </w:r>
      <w:proofErr w:type="gramStart"/>
      <w:r>
        <w:rPr>
          <w:rFonts w:ascii="Trebuchet MS" w:hAnsi="Trebuchet MS"/>
          <w:color w:val="585858"/>
          <w:sz w:val="16"/>
        </w:rPr>
        <w:t>05</w:t>
      </w:r>
      <w:r>
        <w:rPr>
          <w:rFonts w:ascii="Trebuchet MS" w:hAnsi="Trebuchet MS"/>
          <w:color w:val="585858"/>
          <w:spacing w:val="29"/>
          <w:sz w:val="16"/>
        </w:rPr>
        <w:t xml:space="preserve">  </w:t>
      </w:r>
      <w:r>
        <w:rPr>
          <w:rFonts w:ascii="Trebuchet MS" w:hAnsi="Trebuchet MS"/>
          <w:color w:val="585858"/>
          <w:sz w:val="16"/>
        </w:rPr>
        <w:t>De</w:t>
      </w:r>
      <w:proofErr w:type="gramEnd"/>
      <w:r>
        <w:rPr>
          <w:rFonts w:ascii="Trebuchet MS" w:hAnsi="Trebuchet MS"/>
          <w:color w:val="585858"/>
          <w:spacing w:val="-15"/>
          <w:sz w:val="16"/>
        </w:rPr>
        <w:t xml:space="preserve"> </w:t>
      </w:r>
      <w:r>
        <w:rPr>
          <w:rFonts w:ascii="Trebuchet MS" w:hAnsi="Trebuchet MS"/>
          <w:color w:val="585858"/>
          <w:sz w:val="16"/>
        </w:rPr>
        <w:t>06</w:t>
      </w:r>
      <w:r>
        <w:rPr>
          <w:rFonts w:ascii="Trebuchet MS" w:hAnsi="Trebuchet MS"/>
          <w:color w:val="585858"/>
          <w:spacing w:val="-15"/>
          <w:sz w:val="16"/>
        </w:rPr>
        <w:t xml:space="preserve"> </w:t>
      </w:r>
      <w:r>
        <w:rPr>
          <w:rFonts w:ascii="Trebuchet MS" w:hAnsi="Trebuchet MS"/>
          <w:color w:val="585858"/>
          <w:sz w:val="16"/>
        </w:rPr>
        <w:t>a</w:t>
      </w:r>
      <w:r>
        <w:rPr>
          <w:rFonts w:ascii="Trebuchet MS" w:hAnsi="Trebuchet MS"/>
          <w:color w:val="585858"/>
          <w:spacing w:val="-15"/>
          <w:sz w:val="16"/>
        </w:rPr>
        <w:t xml:space="preserve"> </w:t>
      </w:r>
      <w:proofErr w:type="gramStart"/>
      <w:r>
        <w:rPr>
          <w:rFonts w:ascii="Trebuchet MS" w:hAnsi="Trebuchet MS"/>
          <w:color w:val="585858"/>
          <w:sz w:val="16"/>
        </w:rPr>
        <w:t>09</w:t>
      </w:r>
      <w:r>
        <w:rPr>
          <w:rFonts w:ascii="Trebuchet MS" w:hAnsi="Trebuchet MS"/>
          <w:color w:val="585858"/>
          <w:spacing w:val="29"/>
          <w:sz w:val="16"/>
        </w:rPr>
        <w:t xml:space="preserve">  </w:t>
      </w:r>
      <w:r>
        <w:rPr>
          <w:rFonts w:ascii="Trebuchet MS" w:hAnsi="Trebuchet MS"/>
          <w:color w:val="585858"/>
          <w:sz w:val="16"/>
        </w:rPr>
        <w:t>De</w:t>
      </w:r>
      <w:proofErr w:type="gramEnd"/>
      <w:r>
        <w:rPr>
          <w:rFonts w:ascii="Trebuchet MS" w:hAnsi="Trebuchet MS"/>
          <w:color w:val="585858"/>
          <w:spacing w:val="-15"/>
          <w:sz w:val="16"/>
        </w:rPr>
        <w:t xml:space="preserve"> </w:t>
      </w:r>
      <w:r>
        <w:rPr>
          <w:rFonts w:ascii="Trebuchet MS" w:hAnsi="Trebuchet MS"/>
          <w:color w:val="585858"/>
          <w:sz w:val="16"/>
        </w:rPr>
        <w:t>10</w:t>
      </w:r>
      <w:r>
        <w:rPr>
          <w:rFonts w:ascii="Trebuchet MS" w:hAnsi="Trebuchet MS"/>
          <w:color w:val="585858"/>
          <w:spacing w:val="-14"/>
          <w:sz w:val="16"/>
        </w:rPr>
        <w:t xml:space="preserve"> </w:t>
      </w:r>
      <w:r>
        <w:rPr>
          <w:rFonts w:ascii="Trebuchet MS" w:hAnsi="Trebuchet MS"/>
          <w:color w:val="585858"/>
          <w:sz w:val="16"/>
        </w:rPr>
        <w:t>a</w:t>
      </w:r>
      <w:r>
        <w:rPr>
          <w:rFonts w:ascii="Trebuchet MS" w:hAnsi="Trebuchet MS"/>
          <w:color w:val="585858"/>
          <w:spacing w:val="-15"/>
          <w:sz w:val="16"/>
        </w:rPr>
        <w:t xml:space="preserve"> </w:t>
      </w:r>
      <w:proofErr w:type="gramStart"/>
      <w:r>
        <w:rPr>
          <w:rFonts w:ascii="Trebuchet MS" w:hAnsi="Trebuchet MS"/>
          <w:color w:val="585858"/>
          <w:sz w:val="16"/>
        </w:rPr>
        <w:t>14</w:t>
      </w:r>
      <w:r>
        <w:rPr>
          <w:rFonts w:ascii="Trebuchet MS" w:hAnsi="Trebuchet MS"/>
          <w:color w:val="585858"/>
          <w:spacing w:val="29"/>
          <w:sz w:val="16"/>
        </w:rPr>
        <w:t xml:space="preserve">  </w:t>
      </w:r>
      <w:r>
        <w:rPr>
          <w:rFonts w:ascii="Trebuchet MS" w:hAnsi="Trebuchet MS"/>
          <w:color w:val="585858"/>
          <w:sz w:val="16"/>
        </w:rPr>
        <w:t>De</w:t>
      </w:r>
      <w:proofErr w:type="gramEnd"/>
      <w:r>
        <w:rPr>
          <w:rFonts w:ascii="Trebuchet MS" w:hAnsi="Trebuchet MS"/>
          <w:color w:val="585858"/>
          <w:spacing w:val="-15"/>
          <w:sz w:val="16"/>
        </w:rPr>
        <w:t xml:space="preserve"> </w:t>
      </w:r>
      <w:r>
        <w:rPr>
          <w:rFonts w:ascii="Trebuchet MS" w:hAnsi="Trebuchet MS"/>
          <w:color w:val="585858"/>
          <w:sz w:val="16"/>
        </w:rPr>
        <w:t>15</w:t>
      </w:r>
      <w:r>
        <w:rPr>
          <w:rFonts w:ascii="Trebuchet MS" w:hAnsi="Trebuchet MS"/>
          <w:color w:val="585858"/>
          <w:spacing w:val="-15"/>
          <w:sz w:val="16"/>
        </w:rPr>
        <w:t xml:space="preserve"> </w:t>
      </w:r>
      <w:r>
        <w:rPr>
          <w:rFonts w:ascii="Trebuchet MS" w:hAnsi="Trebuchet MS"/>
          <w:color w:val="585858"/>
          <w:sz w:val="16"/>
        </w:rPr>
        <w:t>a</w:t>
      </w:r>
      <w:r>
        <w:rPr>
          <w:rFonts w:ascii="Trebuchet MS" w:hAnsi="Trebuchet MS"/>
          <w:color w:val="585858"/>
          <w:spacing w:val="-15"/>
          <w:sz w:val="16"/>
        </w:rPr>
        <w:t xml:space="preserve"> </w:t>
      </w:r>
      <w:proofErr w:type="gramStart"/>
      <w:r>
        <w:rPr>
          <w:rFonts w:ascii="Trebuchet MS" w:hAnsi="Trebuchet MS"/>
          <w:color w:val="585858"/>
          <w:sz w:val="16"/>
        </w:rPr>
        <w:t>18</w:t>
      </w:r>
      <w:r>
        <w:rPr>
          <w:rFonts w:ascii="Trebuchet MS" w:hAnsi="Trebuchet MS"/>
          <w:color w:val="585858"/>
          <w:spacing w:val="29"/>
          <w:sz w:val="16"/>
        </w:rPr>
        <w:t xml:space="preserve">  </w:t>
      </w:r>
      <w:r>
        <w:rPr>
          <w:rFonts w:ascii="Trebuchet MS" w:hAnsi="Trebuchet MS"/>
          <w:color w:val="585858"/>
          <w:sz w:val="16"/>
        </w:rPr>
        <w:t>De</w:t>
      </w:r>
      <w:proofErr w:type="gramEnd"/>
      <w:r>
        <w:rPr>
          <w:rFonts w:ascii="Trebuchet MS" w:hAnsi="Trebuchet MS"/>
          <w:color w:val="585858"/>
          <w:spacing w:val="-15"/>
          <w:sz w:val="16"/>
        </w:rPr>
        <w:t xml:space="preserve"> </w:t>
      </w:r>
      <w:r>
        <w:rPr>
          <w:rFonts w:ascii="Trebuchet MS" w:hAnsi="Trebuchet MS"/>
          <w:color w:val="585858"/>
          <w:sz w:val="16"/>
        </w:rPr>
        <w:t>19</w:t>
      </w:r>
      <w:r>
        <w:rPr>
          <w:rFonts w:ascii="Trebuchet MS" w:hAnsi="Trebuchet MS"/>
          <w:color w:val="585858"/>
          <w:spacing w:val="-15"/>
          <w:sz w:val="16"/>
        </w:rPr>
        <w:t xml:space="preserve"> </w:t>
      </w:r>
      <w:r>
        <w:rPr>
          <w:rFonts w:ascii="Trebuchet MS" w:hAnsi="Trebuchet MS"/>
          <w:color w:val="585858"/>
          <w:sz w:val="16"/>
        </w:rPr>
        <w:t>a</w:t>
      </w:r>
      <w:r>
        <w:rPr>
          <w:rFonts w:ascii="Trebuchet MS" w:hAnsi="Trebuchet MS"/>
          <w:color w:val="585858"/>
          <w:spacing w:val="-14"/>
          <w:sz w:val="16"/>
        </w:rPr>
        <w:t xml:space="preserve"> </w:t>
      </w:r>
      <w:proofErr w:type="gramStart"/>
      <w:r>
        <w:rPr>
          <w:rFonts w:ascii="Trebuchet MS" w:hAnsi="Trebuchet MS"/>
          <w:color w:val="585858"/>
          <w:sz w:val="16"/>
        </w:rPr>
        <w:t>26</w:t>
      </w:r>
      <w:r>
        <w:rPr>
          <w:rFonts w:ascii="Trebuchet MS" w:hAnsi="Trebuchet MS"/>
          <w:color w:val="585858"/>
          <w:spacing w:val="29"/>
          <w:sz w:val="16"/>
        </w:rPr>
        <w:t xml:space="preserve">  </w:t>
      </w:r>
      <w:r>
        <w:rPr>
          <w:rFonts w:ascii="Trebuchet MS" w:hAnsi="Trebuchet MS"/>
          <w:color w:val="585858"/>
          <w:sz w:val="16"/>
        </w:rPr>
        <w:t>De</w:t>
      </w:r>
      <w:proofErr w:type="gramEnd"/>
      <w:r>
        <w:rPr>
          <w:rFonts w:ascii="Trebuchet MS" w:hAnsi="Trebuchet MS"/>
          <w:color w:val="585858"/>
          <w:spacing w:val="-15"/>
          <w:sz w:val="16"/>
        </w:rPr>
        <w:t xml:space="preserve"> </w:t>
      </w:r>
      <w:r>
        <w:rPr>
          <w:rFonts w:ascii="Trebuchet MS" w:hAnsi="Trebuchet MS"/>
          <w:color w:val="585858"/>
          <w:sz w:val="16"/>
        </w:rPr>
        <w:t>27</w:t>
      </w:r>
      <w:r>
        <w:rPr>
          <w:rFonts w:ascii="Trebuchet MS" w:hAnsi="Trebuchet MS"/>
          <w:color w:val="585858"/>
          <w:spacing w:val="-15"/>
          <w:sz w:val="16"/>
        </w:rPr>
        <w:t xml:space="preserve"> </w:t>
      </w:r>
      <w:r>
        <w:rPr>
          <w:rFonts w:ascii="Trebuchet MS" w:hAnsi="Trebuchet MS"/>
          <w:color w:val="585858"/>
          <w:sz w:val="16"/>
        </w:rPr>
        <w:t>a</w:t>
      </w:r>
      <w:r>
        <w:rPr>
          <w:rFonts w:ascii="Trebuchet MS" w:hAnsi="Trebuchet MS"/>
          <w:color w:val="585858"/>
          <w:spacing w:val="-15"/>
          <w:sz w:val="16"/>
        </w:rPr>
        <w:t xml:space="preserve"> </w:t>
      </w:r>
      <w:proofErr w:type="gramStart"/>
      <w:r>
        <w:rPr>
          <w:rFonts w:ascii="Trebuchet MS" w:hAnsi="Trebuchet MS"/>
          <w:color w:val="585858"/>
          <w:sz w:val="16"/>
        </w:rPr>
        <w:t>44</w:t>
      </w:r>
      <w:r>
        <w:rPr>
          <w:rFonts w:ascii="Trebuchet MS" w:hAnsi="Trebuchet MS"/>
          <w:color w:val="585858"/>
          <w:spacing w:val="29"/>
          <w:sz w:val="16"/>
        </w:rPr>
        <w:t xml:space="preserve">  </w:t>
      </w:r>
      <w:r>
        <w:rPr>
          <w:rFonts w:ascii="Trebuchet MS" w:hAnsi="Trebuchet MS"/>
          <w:color w:val="585858"/>
          <w:sz w:val="16"/>
        </w:rPr>
        <w:t>De</w:t>
      </w:r>
      <w:proofErr w:type="gramEnd"/>
      <w:r>
        <w:rPr>
          <w:rFonts w:ascii="Trebuchet MS" w:hAnsi="Trebuchet MS"/>
          <w:color w:val="585858"/>
          <w:spacing w:val="-16"/>
          <w:sz w:val="16"/>
        </w:rPr>
        <w:t xml:space="preserve"> </w:t>
      </w:r>
      <w:r>
        <w:rPr>
          <w:rFonts w:ascii="Trebuchet MS" w:hAnsi="Trebuchet MS"/>
          <w:color w:val="585858"/>
          <w:sz w:val="16"/>
        </w:rPr>
        <w:t>45</w:t>
      </w:r>
      <w:r>
        <w:rPr>
          <w:rFonts w:ascii="Trebuchet MS" w:hAnsi="Trebuchet MS"/>
          <w:color w:val="585858"/>
          <w:spacing w:val="-15"/>
          <w:sz w:val="16"/>
        </w:rPr>
        <w:t xml:space="preserve"> </w:t>
      </w:r>
      <w:r>
        <w:rPr>
          <w:rFonts w:ascii="Trebuchet MS" w:hAnsi="Trebuchet MS"/>
          <w:color w:val="585858"/>
          <w:sz w:val="16"/>
        </w:rPr>
        <w:t>a</w:t>
      </w:r>
      <w:r>
        <w:rPr>
          <w:rFonts w:ascii="Trebuchet MS" w:hAnsi="Trebuchet MS"/>
          <w:color w:val="585858"/>
          <w:spacing w:val="-14"/>
          <w:sz w:val="16"/>
        </w:rPr>
        <w:t xml:space="preserve"> </w:t>
      </w:r>
      <w:r>
        <w:rPr>
          <w:rFonts w:ascii="Trebuchet MS" w:hAnsi="Trebuchet MS"/>
          <w:color w:val="585858"/>
          <w:sz w:val="16"/>
        </w:rPr>
        <w:t>59</w:t>
      </w:r>
      <w:r>
        <w:rPr>
          <w:rFonts w:ascii="Trebuchet MS" w:hAnsi="Trebuchet MS"/>
          <w:color w:val="585858"/>
          <w:spacing w:val="45"/>
          <w:sz w:val="16"/>
        </w:rPr>
        <w:t xml:space="preserve"> </w:t>
      </w:r>
      <w:r>
        <w:rPr>
          <w:rFonts w:ascii="Trebuchet MS" w:hAnsi="Trebuchet MS"/>
          <w:color w:val="585858"/>
          <w:sz w:val="16"/>
        </w:rPr>
        <w:t>De</w:t>
      </w:r>
      <w:r>
        <w:rPr>
          <w:rFonts w:ascii="Trebuchet MS" w:hAnsi="Trebuchet MS"/>
          <w:color w:val="585858"/>
          <w:spacing w:val="-16"/>
          <w:sz w:val="16"/>
        </w:rPr>
        <w:t xml:space="preserve"> </w:t>
      </w:r>
      <w:r>
        <w:rPr>
          <w:rFonts w:ascii="Trebuchet MS" w:hAnsi="Trebuchet MS"/>
          <w:color w:val="585858"/>
          <w:sz w:val="16"/>
        </w:rPr>
        <w:t>60</w:t>
      </w:r>
      <w:r>
        <w:rPr>
          <w:rFonts w:ascii="Trebuchet MS" w:hAnsi="Trebuchet MS"/>
          <w:color w:val="585858"/>
          <w:spacing w:val="-15"/>
          <w:sz w:val="16"/>
        </w:rPr>
        <w:t xml:space="preserve"> </w:t>
      </w:r>
      <w:r>
        <w:rPr>
          <w:rFonts w:ascii="Trebuchet MS" w:hAnsi="Trebuchet MS"/>
          <w:color w:val="585858"/>
          <w:sz w:val="16"/>
        </w:rPr>
        <w:t>y</w:t>
      </w:r>
      <w:r>
        <w:rPr>
          <w:rFonts w:ascii="Trebuchet MS" w:hAnsi="Trebuchet MS"/>
          <w:color w:val="585858"/>
          <w:spacing w:val="-14"/>
          <w:sz w:val="16"/>
        </w:rPr>
        <w:t xml:space="preserve"> </w:t>
      </w:r>
      <w:r>
        <w:rPr>
          <w:rFonts w:ascii="Trebuchet MS" w:hAnsi="Trebuchet MS"/>
          <w:color w:val="585858"/>
          <w:spacing w:val="-5"/>
          <w:sz w:val="16"/>
        </w:rPr>
        <w:t>más</w:t>
      </w:r>
    </w:p>
    <w:p w14:paraId="4F311A4F" w14:textId="77777777" w:rsidR="000E52B0" w:rsidRDefault="000E52B0">
      <w:pPr>
        <w:jc w:val="center"/>
        <w:rPr>
          <w:rFonts w:ascii="Trebuchet MS" w:hAnsi="Trebuchet MS"/>
          <w:sz w:val="16"/>
        </w:rPr>
        <w:sectPr w:rsidR="000E52B0">
          <w:pgSz w:w="11910" w:h="16840"/>
          <w:pgMar w:top="1340" w:right="720" w:bottom="1180" w:left="720" w:header="0" w:footer="995" w:gutter="0"/>
          <w:cols w:space="720"/>
        </w:sectPr>
      </w:pPr>
    </w:p>
    <w:p w14:paraId="29CB1C3F" w14:textId="77777777" w:rsidR="000E52B0" w:rsidRDefault="00F60D74">
      <w:pPr>
        <w:spacing w:before="10"/>
        <w:jc w:val="right"/>
        <w:rPr>
          <w:rFonts w:ascii="Trebuchet MS" w:hAnsi="Trebuchet MS"/>
          <w:sz w:val="16"/>
        </w:rPr>
      </w:pPr>
      <w:r>
        <w:rPr>
          <w:rFonts w:ascii="Trebuchet MS" w:hAnsi="Trebuchet MS"/>
          <w:color w:val="585858"/>
          <w:spacing w:val="-2"/>
          <w:sz w:val="16"/>
        </w:rPr>
        <w:t>de</w:t>
      </w:r>
      <w:r>
        <w:rPr>
          <w:rFonts w:ascii="Trebuchet MS" w:hAnsi="Trebuchet MS"/>
          <w:color w:val="585858"/>
          <w:spacing w:val="-14"/>
          <w:sz w:val="16"/>
        </w:rPr>
        <w:t xml:space="preserve"> </w:t>
      </w:r>
      <w:r>
        <w:rPr>
          <w:rFonts w:ascii="Trebuchet MS" w:hAnsi="Trebuchet MS"/>
          <w:color w:val="585858"/>
          <w:spacing w:val="-2"/>
          <w:sz w:val="16"/>
        </w:rPr>
        <w:t>1</w:t>
      </w:r>
      <w:r>
        <w:rPr>
          <w:rFonts w:ascii="Trebuchet MS" w:hAnsi="Trebuchet MS"/>
          <w:color w:val="585858"/>
          <w:spacing w:val="-16"/>
          <w:sz w:val="16"/>
        </w:rPr>
        <w:t xml:space="preserve"> </w:t>
      </w:r>
      <w:r>
        <w:rPr>
          <w:rFonts w:ascii="Trebuchet MS" w:hAnsi="Trebuchet MS"/>
          <w:color w:val="585858"/>
          <w:spacing w:val="-5"/>
          <w:sz w:val="16"/>
        </w:rPr>
        <w:t>año</w:t>
      </w:r>
    </w:p>
    <w:p w14:paraId="700764AA" w14:textId="77777777" w:rsidR="000E52B0" w:rsidRDefault="00F60D74">
      <w:pPr>
        <w:spacing w:before="10"/>
        <w:ind w:left="363"/>
        <w:rPr>
          <w:rFonts w:ascii="Trebuchet MS" w:hAnsi="Trebuchet MS"/>
          <w:sz w:val="16"/>
        </w:rPr>
      </w:pPr>
      <w:r>
        <w:br w:type="column"/>
      </w:r>
      <w:r>
        <w:rPr>
          <w:rFonts w:ascii="Trebuchet MS" w:hAnsi="Trebuchet MS"/>
          <w:color w:val="585858"/>
          <w:spacing w:val="-4"/>
          <w:w w:val="105"/>
          <w:sz w:val="16"/>
        </w:rPr>
        <w:t>años</w:t>
      </w:r>
    </w:p>
    <w:p w14:paraId="66ADCE68" w14:textId="77777777" w:rsidR="000E52B0" w:rsidRDefault="00F60D74">
      <w:pPr>
        <w:spacing w:before="10"/>
        <w:ind w:left="484"/>
        <w:rPr>
          <w:rFonts w:ascii="Trebuchet MS" w:hAnsi="Trebuchet MS"/>
          <w:sz w:val="16"/>
        </w:rPr>
      </w:pPr>
      <w:r>
        <w:br w:type="column"/>
      </w:r>
      <w:r>
        <w:rPr>
          <w:rFonts w:ascii="Trebuchet MS" w:hAnsi="Trebuchet MS"/>
          <w:color w:val="585858"/>
          <w:spacing w:val="-4"/>
          <w:w w:val="105"/>
          <w:sz w:val="16"/>
        </w:rPr>
        <w:t>años</w:t>
      </w:r>
    </w:p>
    <w:p w14:paraId="34D46757" w14:textId="77777777" w:rsidR="000E52B0" w:rsidRDefault="00F60D74">
      <w:pPr>
        <w:spacing w:before="10"/>
        <w:ind w:left="484"/>
        <w:rPr>
          <w:rFonts w:ascii="Trebuchet MS" w:hAnsi="Trebuchet MS"/>
          <w:sz w:val="16"/>
        </w:rPr>
      </w:pPr>
      <w:r>
        <w:br w:type="column"/>
      </w:r>
      <w:r>
        <w:rPr>
          <w:rFonts w:ascii="Trebuchet MS" w:hAnsi="Trebuchet MS"/>
          <w:color w:val="585858"/>
          <w:spacing w:val="-4"/>
          <w:w w:val="105"/>
          <w:sz w:val="16"/>
        </w:rPr>
        <w:t>años</w:t>
      </w:r>
    </w:p>
    <w:p w14:paraId="538D3C3C" w14:textId="77777777" w:rsidR="000E52B0" w:rsidRDefault="00F60D74">
      <w:pPr>
        <w:spacing w:before="10"/>
        <w:ind w:left="485"/>
        <w:rPr>
          <w:rFonts w:ascii="Trebuchet MS" w:hAnsi="Trebuchet MS"/>
          <w:sz w:val="16"/>
        </w:rPr>
      </w:pPr>
      <w:r>
        <w:br w:type="column"/>
      </w:r>
      <w:r>
        <w:rPr>
          <w:rFonts w:ascii="Trebuchet MS" w:hAnsi="Trebuchet MS"/>
          <w:color w:val="585858"/>
          <w:spacing w:val="-4"/>
          <w:w w:val="105"/>
          <w:sz w:val="16"/>
        </w:rPr>
        <w:t>años</w:t>
      </w:r>
    </w:p>
    <w:p w14:paraId="6C4CBC82" w14:textId="77777777" w:rsidR="000E52B0" w:rsidRDefault="000E52B0">
      <w:pPr>
        <w:pStyle w:val="Textoindependiente"/>
        <w:spacing w:before="1"/>
        <w:ind w:left="0"/>
        <w:rPr>
          <w:rFonts w:ascii="Trebuchet MS"/>
          <w:sz w:val="16"/>
        </w:rPr>
      </w:pPr>
    </w:p>
    <w:p w14:paraId="56E8CAF3" w14:textId="77777777" w:rsidR="000E52B0" w:rsidRDefault="00F60D74">
      <w:pPr>
        <w:ind w:left="436"/>
        <w:rPr>
          <w:rFonts w:ascii="Trebuchet MS"/>
          <w:sz w:val="18"/>
        </w:rPr>
      </w:pPr>
      <w:r>
        <w:rPr>
          <w:noProof/>
        </w:rPr>
        <w:drawing>
          <wp:inline distT="0" distB="0" distL="0" distR="0" wp14:anchorId="31F3BC11" wp14:editId="6E8294CA">
            <wp:extent cx="62779" cy="62779"/>
            <wp:effectExtent l="0" t="0" r="0" b="0"/>
            <wp:docPr id="569" name="Imag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163" cstate="print"/>
                    <a:stretch>
                      <a:fillRect/>
                    </a:stretch>
                  </pic:blipFill>
                  <pic:spPr>
                    <a:xfrm>
                      <a:off x="0" y="0"/>
                      <a:ext cx="62779" cy="62779"/>
                    </a:xfrm>
                    <a:prstGeom prst="rect">
                      <a:avLst/>
                    </a:prstGeom>
                  </pic:spPr>
                </pic:pic>
              </a:graphicData>
            </a:graphic>
          </wp:inline>
        </w:drawing>
      </w:r>
      <w:r>
        <w:rPr>
          <w:rFonts w:ascii="Times New Roman"/>
          <w:spacing w:val="-13"/>
          <w:sz w:val="20"/>
        </w:rPr>
        <w:t xml:space="preserve"> </w:t>
      </w:r>
      <w:r>
        <w:rPr>
          <w:rFonts w:ascii="Trebuchet MS"/>
          <w:color w:val="585858"/>
          <w:spacing w:val="-2"/>
          <w:sz w:val="18"/>
        </w:rPr>
        <w:t>Tasa</w:t>
      </w:r>
    </w:p>
    <w:p w14:paraId="3BBEB2B4" w14:textId="77777777" w:rsidR="000E52B0" w:rsidRDefault="00F60D74">
      <w:pPr>
        <w:spacing w:before="10"/>
        <w:ind w:left="366"/>
        <w:rPr>
          <w:rFonts w:ascii="Trebuchet MS" w:hAnsi="Trebuchet MS"/>
          <w:sz w:val="16"/>
        </w:rPr>
      </w:pPr>
      <w:r>
        <w:br w:type="column"/>
      </w:r>
      <w:r>
        <w:rPr>
          <w:rFonts w:ascii="Trebuchet MS" w:hAnsi="Trebuchet MS"/>
          <w:color w:val="585858"/>
          <w:spacing w:val="-4"/>
          <w:w w:val="105"/>
          <w:sz w:val="16"/>
        </w:rPr>
        <w:t>años</w:t>
      </w:r>
    </w:p>
    <w:p w14:paraId="1DDA88D9" w14:textId="77777777" w:rsidR="000E52B0" w:rsidRDefault="00F60D74">
      <w:pPr>
        <w:spacing w:before="10"/>
        <w:ind w:left="484"/>
        <w:rPr>
          <w:rFonts w:ascii="Trebuchet MS" w:hAnsi="Trebuchet MS"/>
          <w:sz w:val="16"/>
        </w:rPr>
      </w:pPr>
      <w:r>
        <w:br w:type="column"/>
      </w:r>
      <w:r>
        <w:rPr>
          <w:rFonts w:ascii="Trebuchet MS" w:hAnsi="Trebuchet MS"/>
          <w:color w:val="585858"/>
          <w:spacing w:val="-4"/>
          <w:w w:val="105"/>
          <w:sz w:val="16"/>
        </w:rPr>
        <w:t>años</w:t>
      </w:r>
    </w:p>
    <w:p w14:paraId="63C09E0F" w14:textId="77777777" w:rsidR="000E52B0" w:rsidRDefault="00F60D74">
      <w:pPr>
        <w:spacing w:before="10"/>
        <w:ind w:left="485"/>
        <w:rPr>
          <w:rFonts w:ascii="Trebuchet MS" w:hAnsi="Trebuchet MS"/>
          <w:sz w:val="16"/>
        </w:rPr>
      </w:pPr>
      <w:r>
        <w:br w:type="column"/>
      </w:r>
      <w:r>
        <w:rPr>
          <w:rFonts w:ascii="Trebuchet MS" w:hAnsi="Trebuchet MS"/>
          <w:color w:val="585858"/>
          <w:spacing w:val="-4"/>
          <w:w w:val="105"/>
          <w:sz w:val="16"/>
        </w:rPr>
        <w:t>años</w:t>
      </w:r>
    </w:p>
    <w:p w14:paraId="6F7C8C40" w14:textId="77777777" w:rsidR="000E52B0" w:rsidRDefault="000E52B0">
      <w:pPr>
        <w:rPr>
          <w:rFonts w:ascii="Trebuchet MS" w:hAnsi="Trebuchet MS"/>
          <w:sz w:val="16"/>
        </w:rPr>
        <w:sectPr w:rsidR="000E52B0">
          <w:type w:val="continuous"/>
          <w:pgSz w:w="11910" w:h="16840"/>
          <w:pgMar w:top="1340" w:right="720" w:bottom="1280" w:left="720" w:header="0" w:footer="995" w:gutter="0"/>
          <w:cols w:num="8" w:space="720" w:equalWidth="0">
            <w:col w:w="2068" w:space="40"/>
            <w:col w:w="703" w:space="39"/>
            <w:col w:w="825" w:space="40"/>
            <w:col w:w="825" w:space="39"/>
            <w:col w:w="943" w:space="39"/>
            <w:col w:w="707" w:space="40"/>
            <w:col w:w="825" w:space="39"/>
            <w:col w:w="3298"/>
          </w:cols>
        </w:sectPr>
      </w:pPr>
    </w:p>
    <w:p w14:paraId="181D552F" w14:textId="77777777" w:rsidR="000E52B0" w:rsidRDefault="000E52B0">
      <w:pPr>
        <w:pStyle w:val="Textoindependiente"/>
        <w:spacing w:before="154"/>
        <w:ind w:left="0"/>
        <w:rPr>
          <w:rFonts w:ascii="Trebuchet MS"/>
          <w:sz w:val="18"/>
        </w:rPr>
      </w:pPr>
    </w:p>
    <w:p w14:paraId="3859AF23" w14:textId="77777777" w:rsidR="000E52B0" w:rsidRDefault="00F60D74">
      <w:pPr>
        <w:ind w:left="3646" w:hanging="2706"/>
        <w:rPr>
          <w:i/>
          <w:sz w:val="18"/>
        </w:rPr>
      </w:pPr>
      <w:r>
        <w:rPr>
          <w:i/>
          <w:color w:val="454551"/>
          <w:sz w:val="18"/>
        </w:rPr>
        <w:t>Fuente</w:t>
      </w:r>
      <w:r>
        <w:rPr>
          <w:i/>
          <w:color w:val="454551"/>
          <w:spacing w:val="-2"/>
          <w:sz w:val="18"/>
        </w:rPr>
        <w:t xml:space="preserve"> </w:t>
      </w:r>
      <w:r>
        <w:rPr>
          <w:i/>
          <w:color w:val="454551"/>
          <w:sz w:val="18"/>
        </w:rPr>
        <w:t>35.</w:t>
      </w:r>
      <w:r>
        <w:rPr>
          <w:i/>
          <w:color w:val="454551"/>
          <w:spacing w:val="-4"/>
          <w:sz w:val="18"/>
        </w:rPr>
        <w:t xml:space="preserve"> </w:t>
      </w:r>
      <w:r>
        <w:rPr>
          <w:i/>
          <w:color w:val="454551"/>
          <w:sz w:val="18"/>
        </w:rPr>
        <w:t>SIVIGILA</w:t>
      </w:r>
      <w:r>
        <w:rPr>
          <w:i/>
          <w:color w:val="454551"/>
          <w:spacing w:val="-4"/>
          <w:sz w:val="18"/>
        </w:rPr>
        <w:t xml:space="preserve"> </w:t>
      </w:r>
      <w:r>
        <w:rPr>
          <w:i/>
          <w:color w:val="454551"/>
          <w:sz w:val="18"/>
        </w:rPr>
        <w:t>consultado</w:t>
      </w:r>
      <w:r>
        <w:rPr>
          <w:i/>
          <w:color w:val="454551"/>
          <w:spacing w:val="-2"/>
          <w:sz w:val="18"/>
        </w:rPr>
        <w:t xml:space="preserve"> </w:t>
      </w:r>
      <w:r>
        <w:rPr>
          <w:i/>
          <w:color w:val="454551"/>
          <w:sz w:val="18"/>
        </w:rPr>
        <w:t>el</w:t>
      </w:r>
      <w:r>
        <w:rPr>
          <w:i/>
          <w:color w:val="454551"/>
          <w:spacing w:val="-2"/>
          <w:sz w:val="18"/>
        </w:rPr>
        <w:t xml:space="preserve"> </w:t>
      </w:r>
      <w:r>
        <w:rPr>
          <w:i/>
          <w:color w:val="454551"/>
          <w:sz w:val="18"/>
        </w:rPr>
        <w:t>5</w:t>
      </w:r>
      <w:r>
        <w:rPr>
          <w:i/>
          <w:color w:val="454551"/>
          <w:spacing w:val="-3"/>
          <w:sz w:val="18"/>
        </w:rPr>
        <w:t xml:space="preserve"> </w:t>
      </w:r>
      <w:r>
        <w:rPr>
          <w:i/>
          <w:color w:val="454551"/>
          <w:sz w:val="18"/>
        </w:rPr>
        <w:t>de</w:t>
      </w:r>
      <w:r>
        <w:rPr>
          <w:i/>
          <w:color w:val="454551"/>
          <w:spacing w:val="-3"/>
          <w:sz w:val="18"/>
        </w:rPr>
        <w:t xml:space="preserve"> </w:t>
      </w:r>
      <w:r>
        <w:rPr>
          <w:i/>
          <w:color w:val="454551"/>
          <w:sz w:val="18"/>
        </w:rPr>
        <w:t>junio</w:t>
      </w:r>
      <w:r>
        <w:rPr>
          <w:i/>
          <w:color w:val="454551"/>
          <w:spacing w:val="-2"/>
          <w:sz w:val="18"/>
        </w:rPr>
        <w:t xml:space="preserve"> </w:t>
      </w:r>
      <w:r>
        <w:rPr>
          <w:i/>
          <w:color w:val="454551"/>
          <w:sz w:val="18"/>
        </w:rPr>
        <w:t>de</w:t>
      </w:r>
      <w:r>
        <w:rPr>
          <w:i/>
          <w:color w:val="454551"/>
          <w:spacing w:val="-3"/>
          <w:sz w:val="18"/>
        </w:rPr>
        <w:t xml:space="preserve"> </w:t>
      </w:r>
      <w:r>
        <w:rPr>
          <w:i/>
          <w:color w:val="454551"/>
          <w:sz w:val="18"/>
        </w:rPr>
        <w:t>2024,</w:t>
      </w:r>
      <w:r>
        <w:rPr>
          <w:i/>
          <w:color w:val="454551"/>
          <w:spacing w:val="-4"/>
          <w:sz w:val="18"/>
        </w:rPr>
        <w:t xml:space="preserve"> </w:t>
      </w:r>
      <w:r>
        <w:rPr>
          <w:i/>
          <w:color w:val="454551"/>
          <w:sz w:val="18"/>
        </w:rPr>
        <w:t>a</w:t>
      </w:r>
      <w:r>
        <w:rPr>
          <w:i/>
          <w:color w:val="454551"/>
          <w:spacing w:val="-3"/>
          <w:sz w:val="18"/>
        </w:rPr>
        <w:t xml:space="preserve"> </w:t>
      </w:r>
      <w:r>
        <w:rPr>
          <w:i/>
          <w:color w:val="454551"/>
          <w:sz w:val="18"/>
        </w:rPr>
        <w:t>través</w:t>
      </w:r>
      <w:r>
        <w:rPr>
          <w:i/>
          <w:color w:val="454551"/>
          <w:spacing w:val="-3"/>
          <w:sz w:val="18"/>
        </w:rPr>
        <w:t xml:space="preserve"> </w:t>
      </w:r>
      <w:r>
        <w:rPr>
          <w:i/>
          <w:color w:val="454551"/>
          <w:sz w:val="18"/>
        </w:rPr>
        <w:t>del</w:t>
      </w:r>
      <w:r>
        <w:rPr>
          <w:i/>
          <w:color w:val="454551"/>
          <w:spacing w:val="-2"/>
          <w:sz w:val="18"/>
        </w:rPr>
        <w:t xml:space="preserve"> </w:t>
      </w:r>
      <w:r>
        <w:rPr>
          <w:i/>
          <w:color w:val="454551"/>
          <w:sz w:val="18"/>
        </w:rPr>
        <w:t>SISPRO</w:t>
      </w:r>
      <w:r>
        <w:rPr>
          <w:i/>
          <w:color w:val="454551"/>
          <w:spacing w:val="-4"/>
          <w:sz w:val="18"/>
        </w:rPr>
        <w:t xml:space="preserve"> </w:t>
      </w:r>
      <w:r>
        <w:rPr>
          <w:i/>
          <w:color w:val="454551"/>
          <w:sz w:val="18"/>
        </w:rPr>
        <w:t>y</w:t>
      </w:r>
      <w:r>
        <w:rPr>
          <w:i/>
          <w:color w:val="454551"/>
          <w:spacing w:val="-2"/>
          <w:sz w:val="18"/>
        </w:rPr>
        <w:t xml:space="preserve"> </w:t>
      </w:r>
      <w:r>
        <w:rPr>
          <w:i/>
          <w:color w:val="454551"/>
          <w:sz w:val="18"/>
        </w:rPr>
        <w:t>las</w:t>
      </w:r>
      <w:r>
        <w:rPr>
          <w:i/>
          <w:color w:val="454551"/>
          <w:spacing w:val="-4"/>
          <w:sz w:val="18"/>
        </w:rPr>
        <w:t xml:space="preserve"> </w:t>
      </w:r>
      <w:r>
        <w:rPr>
          <w:i/>
          <w:color w:val="454551"/>
          <w:sz w:val="18"/>
        </w:rPr>
        <w:t>Proyecciones poblacionales del DANE para 2022.</w:t>
      </w:r>
    </w:p>
    <w:p w14:paraId="63A09AFE" w14:textId="77777777" w:rsidR="000E52B0" w:rsidRDefault="00F60D74">
      <w:pPr>
        <w:pStyle w:val="Textoindependiente"/>
        <w:spacing w:before="201"/>
        <w:ind w:right="716"/>
        <w:jc w:val="both"/>
      </w:pPr>
      <w:r>
        <w:t>La proporción de casos contra personas con pertenencia étnica es menor que</w:t>
      </w:r>
      <w:r>
        <w:rPr>
          <w:spacing w:val="-9"/>
        </w:rPr>
        <w:t xml:space="preserve"> </w:t>
      </w:r>
      <w:r>
        <w:t>el</w:t>
      </w:r>
      <w:r>
        <w:rPr>
          <w:spacing w:val="-9"/>
        </w:rPr>
        <w:t xml:space="preserve"> </w:t>
      </w:r>
      <w:r>
        <w:t>total</w:t>
      </w:r>
      <w:r>
        <w:rPr>
          <w:spacing w:val="-9"/>
        </w:rPr>
        <w:t xml:space="preserve"> </w:t>
      </w:r>
      <w:r>
        <w:t>de</w:t>
      </w:r>
      <w:r>
        <w:rPr>
          <w:spacing w:val="-9"/>
        </w:rPr>
        <w:t xml:space="preserve"> </w:t>
      </w:r>
      <w:r>
        <w:t>población,</w:t>
      </w:r>
      <w:r>
        <w:rPr>
          <w:spacing w:val="-11"/>
        </w:rPr>
        <w:t xml:space="preserve"> </w:t>
      </w:r>
      <w:r>
        <w:t>esto</w:t>
      </w:r>
      <w:r>
        <w:rPr>
          <w:spacing w:val="-10"/>
        </w:rPr>
        <w:t xml:space="preserve"> </w:t>
      </w:r>
      <w:r>
        <w:t>puede</w:t>
      </w:r>
      <w:r>
        <w:rPr>
          <w:spacing w:val="-9"/>
        </w:rPr>
        <w:t xml:space="preserve"> </w:t>
      </w:r>
      <w:r>
        <w:t>ser</w:t>
      </w:r>
      <w:r>
        <w:rPr>
          <w:spacing w:val="-9"/>
        </w:rPr>
        <w:t xml:space="preserve"> </w:t>
      </w:r>
      <w:r>
        <w:t>consecuencia</w:t>
      </w:r>
      <w:r>
        <w:rPr>
          <w:spacing w:val="-10"/>
        </w:rPr>
        <w:t xml:space="preserve"> </w:t>
      </w:r>
      <w:r>
        <w:t>del</w:t>
      </w:r>
      <w:r>
        <w:rPr>
          <w:spacing w:val="-7"/>
        </w:rPr>
        <w:t xml:space="preserve"> </w:t>
      </w:r>
      <w:r>
        <w:t>subregistro,</w:t>
      </w:r>
      <w:r>
        <w:rPr>
          <w:spacing w:val="-11"/>
        </w:rPr>
        <w:t xml:space="preserve"> </w:t>
      </w:r>
      <w:r>
        <w:t>o</w:t>
      </w:r>
      <w:r>
        <w:rPr>
          <w:spacing w:val="-7"/>
        </w:rPr>
        <w:t xml:space="preserve"> </w:t>
      </w:r>
      <w:r>
        <w:t>la menor ocurrencia por cuenta de la representación colectiva que ostentas las</w:t>
      </w:r>
      <w:r>
        <w:rPr>
          <w:spacing w:val="-7"/>
        </w:rPr>
        <w:t xml:space="preserve"> </w:t>
      </w:r>
      <w:r>
        <w:t>mayoras</w:t>
      </w:r>
      <w:r>
        <w:rPr>
          <w:spacing w:val="-6"/>
        </w:rPr>
        <w:t xml:space="preserve"> </w:t>
      </w:r>
      <w:r>
        <w:t>y</w:t>
      </w:r>
      <w:r>
        <w:rPr>
          <w:spacing w:val="-7"/>
        </w:rPr>
        <w:t xml:space="preserve"> </w:t>
      </w:r>
      <w:r>
        <w:t>mayores.</w:t>
      </w:r>
      <w:r>
        <w:rPr>
          <w:spacing w:val="-7"/>
        </w:rPr>
        <w:t xml:space="preserve"> </w:t>
      </w:r>
      <w:r>
        <w:t>El</w:t>
      </w:r>
      <w:r>
        <w:rPr>
          <w:spacing w:val="-7"/>
        </w:rPr>
        <w:t xml:space="preserve"> </w:t>
      </w:r>
      <w:r>
        <w:t>1,2%</w:t>
      </w:r>
      <w:r>
        <w:rPr>
          <w:spacing w:val="-6"/>
        </w:rPr>
        <w:t xml:space="preserve"> </w:t>
      </w:r>
      <w:r>
        <w:t>de</w:t>
      </w:r>
      <w:r>
        <w:rPr>
          <w:spacing w:val="-5"/>
        </w:rPr>
        <w:t xml:space="preserve"> </w:t>
      </w:r>
      <w:r>
        <w:t>los</w:t>
      </w:r>
      <w:r>
        <w:rPr>
          <w:spacing w:val="-8"/>
        </w:rPr>
        <w:t xml:space="preserve"> </w:t>
      </w:r>
      <w:r>
        <w:t>casos</w:t>
      </w:r>
      <w:r>
        <w:rPr>
          <w:spacing w:val="-7"/>
        </w:rPr>
        <w:t xml:space="preserve"> </w:t>
      </w:r>
      <w:r>
        <w:t>(106)</w:t>
      </w:r>
      <w:r>
        <w:rPr>
          <w:spacing w:val="-7"/>
        </w:rPr>
        <w:t xml:space="preserve"> </w:t>
      </w:r>
      <w:r>
        <w:t>fueron</w:t>
      </w:r>
      <w:r>
        <w:rPr>
          <w:spacing w:val="-8"/>
        </w:rPr>
        <w:t xml:space="preserve"> </w:t>
      </w:r>
      <w:r>
        <w:t>contra</w:t>
      </w:r>
      <w:r>
        <w:rPr>
          <w:spacing w:val="-6"/>
        </w:rPr>
        <w:t xml:space="preserve"> </w:t>
      </w:r>
      <w:r>
        <w:t xml:space="preserve">mayores y mayoras indígenas, 1,3% de los casos (107) contra mayores y mayoras negras, afrodescendientes, raizales y palenqueras, y 0,2% de los casos (25), contra mayores y mayoras </w:t>
      </w:r>
      <w:proofErr w:type="spellStart"/>
      <w:r>
        <w:t>Rrom</w:t>
      </w:r>
      <w:proofErr w:type="spellEnd"/>
      <w:r>
        <w:t>.</w:t>
      </w:r>
    </w:p>
    <w:p w14:paraId="2366F4D7" w14:textId="77777777" w:rsidR="000E52B0" w:rsidRDefault="00F60D74">
      <w:pPr>
        <w:pStyle w:val="Textoindependiente"/>
        <w:spacing w:before="159"/>
        <w:ind w:right="719"/>
        <w:jc w:val="both"/>
      </w:pPr>
      <w:r>
        <w:t>La</w:t>
      </w:r>
      <w:r>
        <w:rPr>
          <w:spacing w:val="-17"/>
        </w:rPr>
        <w:t xml:space="preserve"> </w:t>
      </w:r>
      <w:r>
        <w:t>tasa</w:t>
      </w:r>
      <w:r>
        <w:rPr>
          <w:spacing w:val="-17"/>
        </w:rPr>
        <w:t xml:space="preserve"> </w:t>
      </w:r>
      <w:r>
        <w:t>aproximada</w:t>
      </w:r>
      <w:r>
        <w:rPr>
          <w:spacing w:val="-15"/>
        </w:rPr>
        <w:t xml:space="preserve"> </w:t>
      </w:r>
      <w:r>
        <w:t>de</w:t>
      </w:r>
      <w:r>
        <w:rPr>
          <w:spacing w:val="-16"/>
        </w:rPr>
        <w:t xml:space="preserve"> </w:t>
      </w:r>
      <w:r>
        <w:t>violencias</w:t>
      </w:r>
      <w:r>
        <w:rPr>
          <w:spacing w:val="-17"/>
        </w:rPr>
        <w:t xml:space="preserve"> </w:t>
      </w:r>
      <w:r>
        <w:t>contra</w:t>
      </w:r>
      <w:r>
        <w:rPr>
          <w:spacing w:val="-14"/>
        </w:rPr>
        <w:t xml:space="preserve"> </w:t>
      </w:r>
      <w:r>
        <w:t>personas</w:t>
      </w:r>
      <w:r>
        <w:rPr>
          <w:spacing w:val="-17"/>
        </w:rPr>
        <w:t xml:space="preserve"> </w:t>
      </w:r>
      <w:r>
        <w:t>mayores</w:t>
      </w:r>
      <w:r>
        <w:rPr>
          <w:spacing w:val="-17"/>
        </w:rPr>
        <w:t xml:space="preserve"> </w:t>
      </w:r>
      <w:r>
        <w:t>por</w:t>
      </w:r>
      <w:r>
        <w:rPr>
          <w:spacing w:val="-16"/>
        </w:rPr>
        <w:t xml:space="preserve"> </w:t>
      </w:r>
      <w:r>
        <w:t>pertenencia étnica</w:t>
      </w:r>
      <w:r>
        <w:rPr>
          <w:spacing w:val="-9"/>
        </w:rPr>
        <w:t xml:space="preserve"> </w:t>
      </w:r>
      <w:r>
        <w:t>es</w:t>
      </w:r>
      <w:r>
        <w:rPr>
          <w:spacing w:val="-7"/>
        </w:rPr>
        <w:t xml:space="preserve"> </w:t>
      </w:r>
      <w:r>
        <w:t>menor</w:t>
      </w:r>
      <w:r>
        <w:rPr>
          <w:spacing w:val="-8"/>
        </w:rPr>
        <w:t xml:space="preserve"> </w:t>
      </w:r>
      <w:r>
        <w:t>entre</w:t>
      </w:r>
      <w:r>
        <w:rPr>
          <w:spacing w:val="-7"/>
        </w:rPr>
        <w:t xml:space="preserve"> </w:t>
      </w:r>
      <w:r>
        <w:t>la</w:t>
      </w:r>
      <w:r>
        <w:rPr>
          <w:spacing w:val="-9"/>
        </w:rPr>
        <w:t xml:space="preserve"> </w:t>
      </w:r>
      <w:r>
        <w:t>población</w:t>
      </w:r>
      <w:r>
        <w:rPr>
          <w:spacing w:val="-7"/>
        </w:rPr>
        <w:t xml:space="preserve"> </w:t>
      </w:r>
      <w:r>
        <w:t>indígena</w:t>
      </w:r>
      <w:r>
        <w:rPr>
          <w:spacing w:val="-9"/>
        </w:rPr>
        <w:t xml:space="preserve"> </w:t>
      </w:r>
      <w:r>
        <w:t>y</w:t>
      </w:r>
      <w:r>
        <w:rPr>
          <w:spacing w:val="-9"/>
        </w:rPr>
        <w:t xml:space="preserve"> </w:t>
      </w:r>
      <w:r>
        <w:t>afrodescendiente</w:t>
      </w:r>
      <w:r>
        <w:rPr>
          <w:spacing w:val="-8"/>
        </w:rPr>
        <w:t xml:space="preserve"> </w:t>
      </w:r>
      <w:r>
        <w:t>en</w:t>
      </w:r>
      <w:r>
        <w:rPr>
          <w:spacing w:val="-9"/>
        </w:rPr>
        <w:t xml:space="preserve"> </w:t>
      </w:r>
      <w:r>
        <w:t>relación con</w:t>
      </w:r>
      <w:r>
        <w:rPr>
          <w:spacing w:val="-22"/>
        </w:rPr>
        <w:t xml:space="preserve"> </w:t>
      </w:r>
      <w:r>
        <w:t>la</w:t>
      </w:r>
      <w:r>
        <w:rPr>
          <w:spacing w:val="-20"/>
        </w:rPr>
        <w:t xml:space="preserve"> </w:t>
      </w:r>
      <w:r>
        <w:t>población</w:t>
      </w:r>
      <w:r>
        <w:rPr>
          <w:spacing w:val="-21"/>
        </w:rPr>
        <w:t xml:space="preserve"> </w:t>
      </w:r>
      <w:r>
        <w:t>sin</w:t>
      </w:r>
      <w:r>
        <w:rPr>
          <w:spacing w:val="-19"/>
        </w:rPr>
        <w:t xml:space="preserve"> </w:t>
      </w:r>
      <w:r>
        <w:t>pertenencia</w:t>
      </w:r>
      <w:r>
        <w:rPr>
          <w:spacing w:val="-21"/>
        </w:rPr>
        <w:t xml:space="preserve"> </w:t>
      </w:r>
      <w:r>
        <w:t>étnica,</w:t>
      </w:r>
      <w:r>
        <w:rPr>
          <w:spacing w:val="-19"/>
        </w:rPr>
        <w:t xml:space="preserve"> </w:t>
      </w:r>
      <w:r>
        <w:t>esto,</w:t>
      </w:r>
      <w:r>
        <w:rPr>
          <w:spacing w:val="-22"/>
        </w:rPr>
        <w:t xml:space="preserve"> </w:t>
      </w:r>
      <w:r>
        <w:t>de</w:t>
      </w:r>
      <w:r>
        <w:rPr>
          <w:spacing w:val="-19"/>
        </w:rPr>
        <w:t xml:space="preserve"> </w:t>
      </w:r>
      <w:r>
        <w:t>nuevo,</w:t>
      </w:r>
      <w:r>
        <w:rPr>
          <w:spacing w:val="-21"/>
        </w:rPr>
        <w:t xml:space="preserve"> </w:t>
      </w:r>
      <w:r>
        <w:t>puede</w:t>
      </w:r>
      <w:r>
        <w:rPr>
          <w:spacing w:val="-20"/>
        </w:rPr>
        <w:t xml:space="preserve"> </w:t>
      </w:r>
      <w:r>
        <w:t>ser</w:t>
      </w:r>
      <w:r>
        <w:rPr>
          <w:spacing w:val="-19"/>
        </w:rPr>
        <w:t xml:space="preserve"> </w:t>
      </w:r>
      <w:r>
        <w:t>resultado de</w:t>
      </w:r>
      <w:r>
        <w:rPr>
          <w:spacing w:val="-10"/>
        </w:rPr>
        <w:t xml:space="preserve"> </w:t>
      </w:r>
      <w:r>
        <w:t>mayor</w:t>
      </w:r>
      <w:r>
        <w:rPr>
          <w:spacing w:val="-10"/>
        </w:rPr>
        <w:t xml:space="preserve"> </w:t>
      </w:r>
      <w:r>
        <w:t>subregistro,</w:t>
      </w:r>
      <w:r>
        <w:rPr>
          <w:spacing w:val="-12"/>
        </w:rPr>
        <w:t xml:space="preserve"> </w:t>
      </w:r>
      <w:r>
        <w:t>pero</w:t>
      </w:r>
      <w:r>
        <w:rPr>
          <w:spacing w:val="-8"/>
        </w:rPr>
        <w:t xml:space="preserve"> </w:t>
      </w:r>
      <w:r>
        <w:rPr>
          <w:b/>
        </w:rPr>
        <w:t>también</w:t>
      </w:r>
      <w:r>
        <w:rPr>
          <w:b/>
          <w:spacing w:val="-12"/>
        </w:rPr>
        <w:t xml:space="preserve"> </w:t>
      </w:r>
      <w:r>
        <w:rPr>
          <w:b/>
        </w:rPr>
        <w:t>de</w:t>
      </w:r>
      <w:r>
        <w:rPr>
          <w:b/>
          <w:spacing w:val="-10"/>
        </w:rPr>
        <w:t xml:space="preserve"> </w:t>
      </w:r>
      <w:r>
        <w:rPr>
          <w:b/>
        </w:rPr>
        <w:t>la</w:t>
      </w:r>
      <w:r>
        <w:rPr>
          <w:b/>
          <w:spacing w:val="-11"/>
        </w:rPr>
        <w:t xml:space="preserve"> </w:t>
      </w:r>
      <w:r>
        <w:rPr>
          <w:b/>
        </w:rPr>
        <w:t>vida</w:t>
      </w:r>
      <w:r>
        <w:rPr>
          <w:b/>
          <w:spacing w:val="-8"/>
        </w:rPr>
        <w:t xml:space="preserve"> </w:t>
      </w:r>
      <w:r>
        <w:rPr>
          <w:b/>
        </w:rPr>
        <w:t>en</w:t>
      </w:r>
      <w:r>
        <w:rPr>
          <w:b/>
          <w:spacing w:val="-12"/>
        </w:rPr>
        <w:t xml:space="preserve"> </w:t>
      </w:r>
      <w:r>
        <w:rPr>
          <w:b/>
        </w:rPr>
        <w:t>contextos</w:t>
      </w:r>
      <w:r>
        <w:rPr>
          <w:b/>
          <w:spacing w:val="-12"/>
        </w:rPr>
        <w:t xml:space="preserve"> </w:t>
      </w:r>
      <w:r>
        <w:rPr>
          <w:b/>
        </w:rPr>
        <w:t>donde</w:t>
      </w:r>
      <w:r>
        <w:rPr>
          <w:b/>
          <w:spacing w:val="-12"/>
        </w:rPr>
        <w:t xml:space="preserve"> </w:t>
      </w:r>
      <w:r>
        <w:rPr>
          <w:b/>
        </w:rPr>
        <w:t xml:space="preserve">ser una persona mayor tiene una carga simbólica positiva, </w:t>
      </w:r>
      <w:r>
        <w:t xml:space="preserve">como se explicó en el apartado de enfoques para la comprensión del problema. La ilustración 8 evidencia que la tasa de violencias contra personas mayores sin pertenencia étnica es 2.5 veces que la tasa en el caso de personas indígenas y 4.5 veces más que en el caso de las personas </w:t>
      </w:r>
      <w:r>
        <w:rPr>
          <w:spacing w:val="-2"/>
        </w:rPr>
        <w:t>afrodescendientes.</w:t>
      </w:r>
    </w:p>
    <w:p w14:paraId="3FCBAB88" w14:textId="77777777" w:rsidR="000E52B0" w:rsidRDefault="00F60D74">
      <w:pPr>
        <w:pStyle w:val="Textoindependiente"/>
        <w:spacing w:before="161"/>
        <w:ind w:right="721"/>
        <w:jc w:val="both"/>
      </w:pPr>
      <w:r>
        <w:t xml:space="preserve">No obstante, en el caso de la población </w:t>
      </w:r>
      <w:proofErr w:type="spellStart"/>
      <w:r>
        <w:t>Rrom</w:t>
      </w:r>
      <w:proofErr w:type="spellEnd"/>
      <w:r>
        <w:t>, la tasa (medida en relación con</w:t>
      </w:r>
      <w:r>
        <w:rPr>
          <w:spacing w:val="-1"/>
        </w:rPr>
        <w:t xml:space="preserve"> </w:t>
      </w:r>
      <w:r>
        <w:t>el</w:t>
      </w:r>
      <w:r>
        <w:rPr>
          <w:spacing w:val="-2"/>
        </w:rPr>
        <w:t xml:space="preserve"> </w:t>
      </w:r>
      <w:r>
        <w:t>total de la población), es</w:t>
      </w:r>
      <w:r>
        <w:rPr>
          <w:spacing w:val="-1"/>
        </w:rPr>
        <w:t xml:space="preserve"> </w:t>
      </w:r>
      <w:r>
        <w:t>más alta</w:t>
      </w:r>
      <w:r>
        <w:rPr>
          <w:spacing w:val="-1"/>
        </w:rPr>
        <w:t xml:space="preserve"> </w:t>
      </w:r>
      <w:r>
        <w:t>que en los</w:t>
      </w:r>
      <w:r>
        <w:rPr>
          <w:spacing w:val="-1"/>
        </w:rPr>
        <w:t xml:space="preserve"> </w:t>
      </w:r>
      <w:r>
        <w:t>casos anteriores.</w:t>
      </w:r>
      <w:r>
        <w:rPr>
          <w:spacing w:val="-2"/>
        </w:rPr>
        <w:t xml:space="preserve"> </w:t>
      </w:r>
      <w:r>
        <w:t>Esto puede ser consecuencia de la distorsión asociada a al tamaño de la población,</w:t>
      </w:r>
      <w:r>
        <w:rPr>
          <w:spacing w:val="-12"/>
        </w:rPr>
        <w:t xml:space="preserve"> </w:t>
      </w:r>
      <w:r>
        <w:t>pero</w:t>
      </w:r>
      <w:r>
        <w:rPr>
          <w:spacing w:val="-10"/>
        </w:rPr>
        <w:t xml:space="preserve"> </w:t>
      </w:r>
      <w:r>
        <w:t>puede</w:t>
      </w:r>
      <w:r>
        <w:rPr>
          <w:spacing w:val="-10"/>
        </w:rPr>
        <w:t xml:space="preserve"> </w:t>
      </w:r>
      <w:r>
        <w:t>también</w:t>
      </w:r>
      <w:r>
        <w:rPr>
          <w:spacing w:val="-11"/>
        </w:rPr>
        <w:t xml:space="preserve"> </w:t>
      </w:r>
      <w:r>
        <w:t>ser</w:t>
      </w:r>
      <w:r>
        <w:rPr>
          <w:spacing w:val="-10"/>
        </w:rPr>
        <w:t xml:space="preserve"> </w:t>
      </w:r>
      <w:r>
        <w:t>un</w:t>
      </w:r>
      <w:r>
        <w:rPr>
          <w:spacing w:val="-12"/>
        </w:rPr>
        <w:t xml:space="preserve"> </w:t>
      </w:r>
      <w:r>
        <w:t>elemento</w:t>
      </w:r>
      <w:r>
        <w:rPr>
          <w:spacing w:val="-11"/>
        </w:rPr>
        <w:t xml:space="preserve"> </w:t>
      </w:r>
      <w:r>
        <w:t>de</w:t>
      </w:r>
      <w:r>
        <w:rPr>
          <w:spacing w:val="-10"/>
        </w:rPr>
        <w:t xml:space="preserve"> </w:t>
      </w:r>
      <w:r>
        <w:t>reflexión</w:t>
      </w:r>
      <w:r>
        <w:rPr>
          <w:spacing w:val="-12"/>
        </w:rPr>
        <w:t xml:space="preserve"> </w:t>
      </w:r>
      <w:r>
        <w:t>respecto</w:t>
      </w:r>
      <w:r>
        <w:rPr>
          <w:spacing w:val="-11"/>
        </w:rPr>
        <w:t xml:space="preserve"> </w:t>
      </w:r>
      <w:r>
        <w:t>al</w:t>
      </w:r>
      <w:r>
        <w:rPr>
          <w:spacing w:val="-12"/>
        </w:rPr>
        <w:t xml:space="preserve"> </w:t>
      </w:r>
      <w:r>
        <w:t xml:space="preserve">rol de las personas mayores en el Pueblo </w:t>
      </w:r>
      <w:proofErr w:type="spellStart"/>
      <w:r>
        <w:t>Rrom</w:t>
      </w:r>
      <w:proofErr w:type="spellEnd"/>
      <w:r>
        <w:t>.</w:t>
      </w:r>
    </w:p>
    <w:p w14:paraId="03804891" w14:textId="77777777" w:rsidR="000E52B0" w:rsidRDefault="000E52B0">
      <w:pPr>
        <w:pStyle w:val="Textoindependiente"/>
        <w:jc w:val="both"/>
        <w:sectPr w:rsidR="000E52B0">
          <w:type w:val="continuous"/>
          <w:pgSz w:w="11910" w:h="16840"/>
          <w:pgMar w:top="1340" w:right="720" w:bottom="1280" w:left="720" w:header="0" w:footer="995" w:gutter="0"/>
          <w:cols w:space="720"/>
        </w:sectPr>
      </w:pPr>
    </w:p>
    <w:p w14:paraId="6B6C9314" w14:textId="77777777" w:rsidR="000E52B0" w:rsidRDefault="00F60D74">
      <w:pPr>
        <w:spacing w:before="80"/>
        <w:ind w:left="4923" w:right="723" w:hanging="3992"/>
        <w:rPr>
          <w:i/>
          <w:sz w:val="18"/>
        </w:rPr>
      </w:pPr>
      <w:r>
        <w:rPr>
          <w:i/>
          <w:color w:val="454551"/>
          <w:sz w:val="18"/>
        </w:rPr>
        <w:lastRenderedPageBreak/>
        <w:t>Ilustración</w:t>
      </w:r>
      <w:r>
        <w:rPr>
          <w:i/>
          <w:color w:val="454551"/>
          <w:spacing w:val="-1"/>
          <w:sz w:val="18"/>
        </w:rPr>
        <w:t xml:space="preserve"> </w:t>
      </w:r>
      <w:r>
        <w:rPr>
          <w:i/>
          <w:color w:val="454551"/>
          <w:sz w:val="18"/>
        </w:rPr>
        <w:t>48.</w:t>
      </w:r>
      <w:r>
        <w:rPr>
          <w:i/>
          <w:color w:val="454551"/>
          <w:spacing w:val="-4"/>
          <w:sz w:val="18"/>
        </w:rPr>
        <w:t xml:space="preserve"> </w:t>
      </w:r>
      <w:r>
        <w:rPr>
          <w:i/>
          <w:color w:val="454551"/>
          <w:sz w:val="18"/>
        </w:rPr>
        <w:t>Tasa</w:t>
      </w:r>
      <w:r>
        <w:rPr>
          <w:i/>
          <w:color w:val="454551"/>
          <w:spacing w:val="-4"/>
          <w:sz w:val="18"/>
        </w:rPr>
        <w:t xml:space="preserve"> </w:t>
      </w:r>
      <w:r>
        <w:rPr>
          <w:i/>
          <w:color w:val="454551"/>
          <w:sz w:val="18"/>
        </w:rPr>
        <w:t>aproximada</w:t>
      </w:r>
      <w:r>
        <w:rPr>
          <w:i/>
          <w:color w:val="454551"/>
          <w:spacing w:val="-3"/>
          <w:sz w:val="18"/>
        </w:rPr>
        <w:t xml:space="preserve"> </w:t>
      </w:r>
      <w:r>
        <w:rPr>
          <w:i/>
          <w:color w:val="454551"/>
          <w:sz w:val="18"/>
        </w:rPr>
        <w:t>de</w:t>
      </w:r>
      <w:r>
        <w:rPr>
          <w:i/>
          <w:color w:val="454551"/>
          <w:spacing w:val="-3"/>
          <w:sz w:val="18"/>
        </w:rPr>
        <w:t xml:space="preserve"> </w:t>
      </w:r>
      <w:r>
        <w:rPr>
          <w:i/>
          <w:color w:val="454551"/>
          <w:sz w:val="18"/>
        </w:rPr>
        <w:t>violencias</w:t>
      </w:r>
      <w:r>
        <w:rPr>
          <w:i/>
          <w:color w:val="454551"/>
          <w:spacing w:val="-4"/>
          <w:sz w:val="18"/>
        </w:rPr>
        <w:t xml:space="preserve"> </w:t>
      </w:r>
      <w:r>
        <w:rPr>
          <w:i/>
          <w:color w:val="454551"/>
          <w:sz w:val="18"/>
        </w:rPr>
        <w:t>contra</w:t>
      </w:r>
      <w:r>
        <w:rPr>
          <w:i/>
          <w:color w:val="454551"/>
          <w:spacing w:val="-6"/>
          <w:sz w:val="18"/>
        </w:rPr>
        <w:t xml:space="preserve"> </w:t>
      </w:r>
      <w:r>
        <w:rPr>
          <w:i/>
          <w:color w:val="454551"/>
          <w:sz w:val="18"/>
        </w:rPr>
        <w:t>personas</w:t>
      </w:r>
      <w:r>
        <w:rPr>
          <w:i/>
          <w:color w:val="454551"/>
          <w:spacing w:val="-4"/>
          <w:sz w:val="18"/>
        </w:rPr>
        <w:t xml:space="preserve"> </w:t>
      </w:r>
      <w:r>
        <w:rPr>
          <w:i/>
          <w:color w:val="454551"/>
          <w:sz w:val="18"/>
        </w:rPr>
        <w:t>mayores</w:t>
      </w:r>
      <w:r>
        <w:rPr>
          <w:i/>
          <w:color w:val="454551"/>
          <w:spacing w:val="-3"/>
          <w:sz w:val="18"/>
        </w:rPr>
        <w:t xml:space="preserve"> </w:t>
      </w:r>
      <w:r>
        <w:rPr>
          <w:i/>
          <w:color w:val="454551"/>
          <w:sz w:val="18"/>
        </w:rPr>
        <w:t>por</w:t>
      </w:r>
      <w:r>
        <w:rPr>
          <w:i/>
          <w:color w:val="454551"/>
          <w:spacing w:val="-3"/>
          <w:sz w:val="18"/>
        </w:rPr>
        <w:t xml:space="preserve"> </w:t>
      </w:r>
      <w:r>
        <w:rPr>
          <w:i/>
          <w:color w:val="454551"/>
          <w:sz w:val="18"/>
        </w:rPr>
        <w:t>pertenencia</w:t>
      </w:r>
      <w:r>
        <w:rPr>
          <w:i/>
          <w:color w:val="454551"/>
          <w:spacing w:val="-3"/>
          <w:sz w:val="18"/>
        </w:rPr>
        <w:t xml:space="preserve"> </w:t>
      </w:r>
      <w:r>
        <w:rPr>
          <w:i/>
          <w:color w:val="454551"/>
          <w:sz w:val="18"/>
        </w:rPr>
        <w:t xml:space="preserve">étnica </w:t>
      </w:r>
      <w:r>
        <w:rPr>
          <w:i/>
          <w:color w:val="454551"/>
          <w:spacing w:val="-2"/>
          <w:sz w:val="18"/>
        </w:rPr>
        <w:t>(2022)</w:t>
      </w:r>
    </w:p>
    <w:p w14:paraId="3F534D24" w14:textId="77777777" w:rsidR="000E52B0" w:rsidRDefault="000E52B0">
      <w:pPr>
        <w:pStyle w:val="Textoindependiente"/>
        <w:spacing w:before="11"/>
        <w:ind w:left="0"/>
        <w:rPr>
          <w:i/>
          <w:sz w:val="18"/>
        </w:rPr>
      </w:pPr>
    </w:p>
    <w:p w14:paraId="79C3470D" w14:textId="77777777" w:rsidR="000E52B0" w:rsidRDefault="00F60D74">
      <w:pPr>
        <w:spacing w:before="1"/>
        <w:ind w:right="2496"/>
        <w:jc w:val="right"/>
        <w:rPr>
          <w:rFonts w:ascii="Trebuchet MS"/>
          <w:sz w:val="18"/>
        </w:rPr>
      </w:pPr>
      <w:r>
        <w:rPr>
          <w:rFonts w:ascii="Trebuchet MS"/>
          <w:color w:val="404040"/>
          <w:spacing w:val="-2"/>
          <w:sz w:val="18"/>
        </w:rPr>
        <w:t>185,0</w:t>
      </w:r>
    </w:p>
    <w:p w14:paraId="5389A9EB" w14:textId="77777777" w:rsidR="000E52B0" w:rsidRDefault="00F60D74">
      <w:pPr>
        <w:pStyle w:val="Textoindependiente"/>
        <w:spacing w:before="9"/>
        <w:ind w:left="0"/>
        <w:rPr>
          <w:rFonts w:ascii="Trebuchet MS"/>
          <w:sz w:val="4"/>
        </w:rPr>
      </w:pPr>
      <w:r>
        <w:rPr>
          <w:rFonts w:ascii="Trebuchet MS"/>
          <w:noProof/>
          <w:sz w:val="4"/>
        </w:rPr>
        <mc:AlternateContent>
          <mc:Choice Requires="wpg">
            <w:drawing>
              <wp:anchor distT="0" distB="0" distL="0" distR="0" simplePos="0" relativeHeight="487657472" behindDoc="1" locked="0" layoutInCell="1" allowOverlap="1" wp14:anchorId="22930790" wp14:editId="7D95F4A7">
                <wp:simplePos x="0" y="0"/>
                <wp:positionH relativeFrom="page">
                  <wp:posOffset>1384046</wp:posOffset>
                </wp:positionH>
                <wp:positionV relativeFrom="paragraph">
                  <wp:posOffset>50493</wp:posOffset>
                </wp:positionV>
                <wp:extent cx="4792345" cy="779145"/>
                <wp:effectExtent l="0" t="0" r="0" b="0"/>
                <wp:wrapTopAndBottom/>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2345" cy="779145"/>
                          <a:chOff x="0" y="0"/>
                          <a:chExt cx="4792345" cy="779145"/>
                        </a:xfrm>
                      </wpg:grpSpPr>
                      <wps:wsp>
                        <wps:cNvPr id="571" name="Graphic 571"/>
                        <wps:cNvSpPr/>
                        <wps:spPr>
                          <a:xfrm>
                            <a:off x="548386" y="0"/>
                            <a:ext cx="3695700" cy="774065"/>
                          </a:xfrm>
                          <a:custGeom>
                            <a:avLst/>
                            <a:gdLst/>
                            <a:ahLst/>
                            <a:cxnLst/>
                            <a:rect l="l" t="t" r="r" b="b"/>
                            <a:pathLst>
                              <a:path w="3695700" h="774065">
                                <a:moveTo>
                                  <a:pt x="501396" y="458724"/>
                                </a:moveTo>
                                <a:lnTo>
                                  <a:pt x="0" y="458724"/>
                                </a:lnTo>
                                <a:lnTo>
                                  <a:pt x="0" y="773938"/>
                                </a:lnTo>
                                <a:lnTo>
                                  <a:pt x="501396" y="773938"/>
                                </a:lnTo>
                                <a:lnTo>
                                  <a:pt x="501396" y="458724"/>
                                </a:lnTo>
                                <a:close/>
                              </a:path>
                              <a:path w="3695700" h="774065">
                                <a:moveTo>
                                  <a:pt x="2098548" y="603504"/>
                                </a:moveTo>
                                <a:lnTo>
                                  <a:pt x="1597152" y="603504"/>
                                </a:lnTo>
                                <a:lnTo>
                                  <a:pt x="1597152" y="773938"/>
                                </a:lnTo>
                                <a:lnTo>
                                  <a:pt x="2098548" y="773938"/>
                                </a:lnTo>
                                <a:lnTo>
                                  <a:pt x="2098548" y="603504"/>
                                </a:lnTo>
                                <a:close/>
                              </a:path>
                              <a:path w="3695700" h="774065">
                                <a:moveTo>
                                  <a:pt x="3695700" y="0"/>
                                </a:moveTo>
                                <a:lnTo>
                                  <a:pt x="3194304" y="0"/>
                                </a:lnTo>
                                <a:lnTo>
                                  <a:pt x="3194304" y="773938"/>
                                </a:lnTo>
                                <a:lnTo>
                                  <a:pt x="3695700" y="773938"/>
                                </a:lnTo>
                                <a:lnTo>
                                  <a:pt x="3695700" y="0"/>
                                </a:lnTo>
                                <a:close/>
                              </a:path>
                            </a:pathLst>
                          </a:custGeom>
                          <a:solidFill>
                            <a:srgbClr val="D44673"/>
                          </a:solidFill>
                        </wps:spPr>
                        <wps:bodyPr wrap="square" lIns="0" tIns="0" rIns="0" bIns="0" rtlCol="0">
                          <a:prstTxWarp prst="textNoShape">
                            <a:avLst/>
                          </a:prstTxWarp>
                          <a:noAutofit/>
                        </wps:bodyPr>
                      </wps:wsp>
                      <wps:wsp>
                        <wps:cNvPr id="572" name="Graphic 572"/>
                        <wps:cNvSpPr/>
                        <wps:spPr>
                          <a:xfrm>
                            <a:off x="0" y="773937"/>
                            <a:ext cx="4792345" cy="1270"/>
                          </a:xfrm>
                          <a:custGeom>
                            <a:avLst/>
                            <a:gdLst/>
                            <a:ahLst/>
                            <a:cxnLst/>
                            <a:rect l="l" t="t" r="r" b="b"/>
                            <a:pathLst>
                              <a:path w="4792345">
                                <a:moveTo>
                                  <a:pt x="0" y="0"/>
                                </a:moveTo>
                                <a:lnTo>
                                  <a:pt x="4792345" y="0"/>
                                </a:lnTo>
                              </a:path>
                            </a:pathLst>
                          </a:custGeom>
                          <a:ln w="9525">
                            <a:solidFill>
                              <a:srgbClr val="D9D9D9"/>
                            </a:solidFill>
                            <a:prstDash val="solid"/>
                          </a:ln>
                        </wps:spPr>
                        <wps:bodyPr wrap="square" lIns="0" tIns="0" rIns="0" bIns="0" rtlCol="0">
                          <a:prstTxWarp prst="textNoShape">
                            <a:avLst/>
                          </a:prstTxWarp>
                          <a:noAutofit/>
                        </wps:bodyPr>
                      </wps:wsp>
                      <wps:wsp>
                        <wps:cNvPr id="573" name="Textbox 573"/>
                        <wps:cNvSpPr txBox="1"/>
                        <wps:spPr>
                          <a:xfrm>
                            <a:off x="691387" y="261484"/>
                            <a:ext cx="227965" cy="139700"/>
                          </a:xfrm>
                          <a:prstGeom prst="rect">
                            <a:avLst/>
                          </a:prstGeom>
                        </wps:spPr>
                        <wps:txbx>
                          <w:txbxContent>
                            <w:p w14:paraId="79E2CA5D" w14:textId="77777777" w:rsidR="000E52B0" w:rsidRDefault="00F60D74">
                              <w:pPr>
                                <w:rPr>
                                  <w:rFonts w:ascii="Trebuchet MS"/>
                                  <w:sz w:val="18"/>
                                </w:rPr>
                              </w:pPr>
                              <w:r>
                                <w:rPr>
                                  <w:rFonts w:ascii="Trebuchet MS"/>
                                  <w:color w:val="404040"/>
                                  <w:spacing w:val="-4"/>
                                  <w:sz w:val="18"/>
                                </w:rPr>
                                <w:t>75,4</w:t>
                              </w:r>
                            </w:p>
                          </w:txbxContent>
                        </wps:txbx>
                        <wps:bodyPr wrap="square" lIns="0" tIns="0" rIns="0" bIns="0" rtlCol="0">
                          <a:noAutofit/>
                        </wps:bodyPr>
                      </wps:wsp>
                      <wps:wsp>
                        <wps:cNvPr id="574" name="Textbox 574"/>
                        <wps:cNvSpPr txBox="1"/>
                        <wps:spPr>
                          <a:xfrm>
                            <a:off x="2289048" y="406264"/>
                            <a:ext cx="227965" cy="139700"/>
                          </a:xfrm>
                          <a:prstGeom prst="rect">
                            <a:avLst/>
                          </a:prstGeom>
                        </wps:spPr>
                        <wps:txbx>
                          <w:txbxContent>
                            <w:p w14:paraId="4B3DE472" w14:textId="77777777" w:rsidR="000E52B0" w:rsidRDefault="00F60D74">
                              <w:pPr>
                                <w:rPr>
                                  <w:rFonts w:ascii="Trebuchet MS"/>
                                  <w:sz w:val="18"/>
                                </w:rPr>
                              </w:pPr>
                              <w:r>
                                <w:rPr>
                                  <w:rFonts w:ascii="Trebuchet MS"/>
                                  <w:color w:val="404040"/>
                                  <w:spacing w:val="-4"/>
                                  <w:sz w:val="18"/>
                                </w:rPr>
                                <w:t>40,8</w:t>
                              </w:r>
                            </w:p>
                          </w:txbxContent>
                        </wps:txbx>
                        <wps:bodyPr wrap="square" lIns="0" tIns="0" rIns="0" bIns="0" rtlCol="0">
                          <a:noAutofit/>
                        </wps:bodyPr>
                      </wps:wsp>
                    </wpg:wgp>
                  </a:graphicData>
                </a:graphic>
              </wp:anchor>
            </w:drawing>
          </mc:Choice>
          <mc:Fallback>
            <w:pict>
              <v:group w14:anchorId="22930790" id="Group 570" o:spid="_x0000_s1357" style="position:absolute;margin-left:109pt;margin-top:4pt;width:377.35pt;height:61.35pt;z-index:-15659008;mso-wrap-distance-left:0;mso-wrap-distance-right:0;mso-position-horizontal-relative:page;mso-position-vertical-relative:text" coordsize="47923,7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">
                <v:shape id="Graphic 571" o:spid="_x0000_s1358" style="position:absolute;left:5483;width:36957;height:7740;visibility:visible;mso-wrap-style:square;v-text-anchor:top" coordsize="3695700,77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" path="m501396,458724l,458724,,773938r501396,l501396,458724xem2098548,603504r-501396,l1597152,773938r501396,l2098548,603504xem3695700,l3194304,r,773938l3695700,773938,3695700,xe" fillcolor="#d44673" stroked="f">
                  <v:path arrowok="t"/>
                </v:shape>
                <v:shape id="Graphic 572" o:spid="_x0000_s1359" style="position:absolute;top:7739;width:47923;height:13;visibility:visible;mso-wrap-style:square;v-text-anchor:top" coordsize="4792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" path="m,l4792345,e" filled="f" strokecolor="#d9d9d9">
                  <v:path arrowok="t"/>
                </v:shape>
                <v:shape id="Textbox 573" o:spid="_x0000_s1360" type="#_x0000_t202" style="position:absolute;left:6913;top:2614;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79E2CA5D" w14:textId="77777777" w:rsidR="000E52B0" w:rsidRDefault="00F60D74">
                        <w:pPr>
                          <w:rPr>
                            <w:rFonts w:ascii="Trebuchet MS"/>
                            <w:sz w:val="18"/>
                          </w:rPr>
                        </w:pPr>
                        <w:r>
                          <w:rPr>
                            <w:rFonts w:ascii="Trebuchet MS"/>
                            <w:color w:val="404040"/>
                            <w:spacing w:val="-4"/>
                            <w:sz w:val="18"/>
                          </w:rPr>
                          <w:t>75,4</w:t>
                        </w:r>
                      </w:p>
                    </w:txbxContent>
                  </v:textbox>
                </v:shape>
                <v:shape id="Textbox 574" o:spid="_x0000_s1361" type="#_x0000_t202" style="position:absolute;left:22890;top:4062;width:228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4B3DE472" w14:textId="77777777" w:rsidR="000E52B0" w:rsidRDefault="00F60D74">
                        <w:pPr>
                          <w:rPr>
                            <w:rFonts w:ascii="Trebuchet MS"/>
                            <w:sz w:val="18"/>
                          </w:rPr>
                        </w:pPr>
                        <w:r>
                          <w:rPr>
                            <w:rFonts w:ascii="Trebuchet MS"/>
                            <w:color w:val="404040"/>
                            <w:spacing w:val="-4"/>
                            <w:sz w:val="18"/>
                          </w:rPr>
                          <w:t>40,8</w:t>
                        </w:r>
                      </w:p>
                    </w:txbxContent>
                  </v:textbox>
                </v:shape>
                <w10:wrap type="topAndBottom" anchorx="page"/>
              </v:group>
            </w:pict>
          </mc:Fallback>
        </mc:AlternateContent>
      </w:r>
    </w:p>
    <w:p w14:paraId="6348814C" w14:textId="77777777" w:rsidR="000E52B0" w:rsidRDefault="000E52B0">
      <w:pPr>
        <w:pStyle w:val="Textoindependiente"/>
        <w:ind w:left="0"/>
        <w:rPr>
          <w:rFonts w:ascii="Trebuchet MS"/>
          <w:sz w:val="6"/>
        </w:rPr>
      </w:pPr>
    </w:p>
    <w:p w14:paraId="6F953425" w14:textId="77777777" w:rsidR="000E52B0" w:rsidRDefault="000E52B0">
      <w:pPr>
        <w:pStyle w:val="Textoindependiente"/>
        <w:rPr>
          <w:rFonts w:ascii="Trebuchet MS"/>
          <w:sz w:val="6"/>
        </w:rPr>
        <w:sectPr w:rsidR="000E52B0">
          <w:pgSz w:w="11910" w:h="16840"/>
          <w:pgMar w:top="1340" w:right="720" w:bottom="1180" w:left="720" w:header="0" w:footer="995" w:gutter="0"/>
          <w:cols w:space="720"/>
        </w:sectPr>
      </w:pPr>
    </w:p>
    <w:p w14:paraId="49FE7317" w14:textId="77777777" w:rsidR="000E52B0" w:rsidRDefault="00F60D74">
      <w:pPr>
        <w:tabs>
          <w:tab w:val="left" w:pos="4015"/>
        </w:tabs>
        <w:spacing w:before="35" w:line="252" w:lineRule="auto"/>
        <w:ind w:left="4353" w:hanging="2038"/>
        <w:rPr>
          <w:rFonts w:ascii="Trebuchet MS" w:hAnsi="Trebuchet MS"/>
          <w:sz w:val="18"/>
        </w:rPr>
      </w:pPr>
      <w:r>
        <w:rPr>
          <w:rFonts w:ascii="Trebuchet MS" w:hAnsi="Trebuchet MS"/>
          <w:color w:val="585858"/>
          <w:spacing w:val="-2"/>
          <w:sz w:val="18"/>
        </w:rPr>
        <w:t>INDÍGENA</w:t>
      </w:r>
      <w:r>
        <w:rPr>
          <w:rFonts w:ascii="Trebuchet MS" w:hAnsi="Trebuchet MS"/>
          <w:color w:val="585858"/>
          <w:sz w:val="18"/>
        </w:rPr>
        <w:tab/>
        <w:t>NEGRO,</w:t>
      </w:r>
      <w:r>
        <w:rPr>
          <w:rFonts w:ascii="Trebuchet MS" w:hAnsi="Trebuchet MS"/>
          <w:color w:val="585858"/>
          <w:spacing w:val="-17"/>
          <w:sz w:val="18"/>
        </w:rPr>
        <w:t xml:space="preserve"> </w:t>
      </w:r>
      <w:r>
        <w:rPr>
          <w:rFonts w:ascii="Trebuchet MS" w:hAnsi="Trebuchet MS"/>
          <w:color w:val="585858"/>
          <w:sz w:val="18"/>
        </w:rPr>
        <w:t>AFRODESCENDIENTE, RAIZAL,</w:t>
      </w:r>
      <w:r>
        <w:rPr>
          <w:rFonts w:ascii="Trebuchet MS" w:hAnsi="Trebuchet MS"/>
          <w:color w:val="585858"/>
          <w:spacing w:val="-19"/>
          <w:sz w:val="18"/>
        </w:rPr>
        <w:t xml:space="preserve"> </w:t>
      </w:r>
      <w:r>
        <w:rPr>
          <w:rFonts w:ascii="Trebuchet MS" w:hAnsi="Trebuchet MS"/>
          <w:color w:val="585858"/>
          <w:sz w:val="18"/>
        </w:rPr>
        <w:t>PALENQUERO</w:t>
      </w:r>
    </w:p>
    <w:p w14:paraId="419218BD" w14:textId="77777777" w:rsidR="000E52B0" w:rsidRDefault="00F60D74">
      <w:pPr>
        <w:spacing w:before="180"/>
        <w:ind w:right="399"/>
        <w:jc w:val="right"/>
        <w:rPr>
          <w:rFonts w:ascii="Trebuchet MS"/>
          <w:sz w:val="18"/>
        </w:rPr>
      </w:pPr>
      <w:r>
        <w:rPr>
          <w:noProof/>
        </w:rPr>
        <w:drawing>
          <wp:inline distT="0" distB="0" distL="0" distR="0" wp14:anchorId="7CD7A699" wp14:editId="781F2634">
            <wp:extent cx="62779" cy="62779"/>
            <wp:effectExtent l="0" t="0" r="0" b="0"/>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163" cstate="print"/>
                    <a:stretch>
                      <a:fillRect/>
                    </a:stretch>
                  </pic:blipFill>
                  <pic:spPr>
                    <a:xfrm>
                      <a:off x="0" y="0"/>
                      <a:ext cx="62779" cy="62779"/>
                    </a:xfrm>
                    <a:prstGeom prst="rect">
                      <a:avLst/>
                    </a:prstGeom>
                  </pic:spPr>
                </pic:pic>
              </a:graphicData>
            </a:graphic>
          </wp:inline>
        </w:drawing>
      </w:r>
      <w:r>
        <w:rPr>
          <w:rFonts w:ascii="Times New Roman"/>
          <w:spacing w:val="-7"/>
          <w:sz w:val="20"/>
        </w:rPr>
        <w:t xml:space="preserve"> </w:t>
      </w:r>
      <w:r>
        <w:rPr>
          <w:rFonts w:ascii="Trebuchet MS"/>
          <w:color w:val="585858"/>
          <w:spacing w:val="-2"/>
          <w:sz w:val="18"/>
        </w:rPr>
        <w:t>Tasa</w:t>
      </w:r>
      <w:r>
        <w:rPr>
          <w:rFonts w:ascii="Trebuchet MS"/>
          <w:color w:val="585858"/>
          <w:spacing w:val="-17"/>
          <w:sz w:val="18"/>
        </w:rPr>
        <w:t xml:space="preserve"> </w:t>
      </w:r>
      <w:r>
        <w:rPr>
          <w:rFonts w:ascii="Trebuchet MS"/>
          <w:color w:val="585858"/>
          <w:spacing w:val="-2"/>
          <w:sz w:val="18"/>
        </w:rPr>
        <w:t>de</w:t>
      </w:r>
      <w:r>
        <w:rPr>
          <w:rFonts w:ascii="Trebuchet MS"/>
          <w:color w:val="585858"/>
          <w:spacing w:val="-16"/>
          <w:sz w:val="18"/>
        </w:rPr>
        <w:t xml:space="preserve"> </w:t>
      </w:r>
      <w:r>
        <w:rPr>
          <w:rFonts w:ascii="Trebuchet MS"/>
          <w:color w:val="585858"/>
          <w:spacing w:val="-2"/>
          <w:sz w:val="18"/>
        </w:rPr>
        <w:t>violencias</w:t>
      </w:r>
    </w:p>
    <w:p w14:paraId="1CCBED45" w14:textId="77777777" w:rsidR="000E52B0" w:rsidRDefault="00F60D74">
      <w:pPr>
        <w:spacing w:before="35"/>
        <w:ind w:left="867"/>
        <w:rPr>
          <w:rFonts w:ascii="Trebuchet MS"/>
          <w:sz w:val="18"/>
        </w:rPr>
      </w:pPr>
      <w:r>
        <w:br w:type="column"/>
      </w:r>
      <w:r>
        <w:rPr>
          <w:rFonts w:ascii="Trebuchet MS"/>
          <w:color w:val="585858"/>
          <w:spacing w:val="-2"/>
          <w:w w:val="105"/>
          <w:sz w:val="18"/>
        </w:rPr>
        <w:t>NINGUNA</w:t>
      </w:r>
    </w:p>
    <w:p w14:paraId="565A250A" w14:textId="77777777" w:rsidR="000E52B0" w:rsidRDefault="000E52B0">
      <w:pPr>
        <w:rPr>
          <w:rFonts w:ascii="Trebuchet MS"/>
          <w:sz w:val="18"/>
        </w:rPr>
        <w:sectPr w:rsidR="000E52B0">
          <w:type w:val="continuous"/>
          <w:pgSz w:w="11910" w:h="16840"/>
          <w:pgMar w:top="1340" w:right="720" w:bottom="1280" w:left="720" w:header="0" w:footer="995" w:gutter="0"/>
          <w:cols w:num="2" w:space="720" w:equalWidth="0">
            <w:col w:w="6452" w:space="40"/>
            <w:col w:w="3978"/>
          </w:cols>
        </w:sectPr>
      </w:pPr>
    </w:p>
    <w:p w14:paraId="080D59D4" w14:textId="77777777" w:rsidR="000E52B0" w:rsidRDefault="00F60D74">
      <w:pPr>
        <w:ind w:left="4628" w:hanging="3786"/>
        <w:rPr>
          <w:i/>
          <w:sz w:val="18"/>
        </w:rPr>
      </w:pPr>
      <w:r>
        <w:rPr>
          <w:i/>
          <w:color w:val="454551"/>
          <w:sz w:val="18"/>
        </w:rPr>
        <w:t>Fuente</w:t>
      </w:r>
      <w:r>
        <w:rPr>
          <w:i/>
          <w:color w:val="454551"/>
          <w:spacing w:val="-2"/>
          <w:sz w:val="18"/>
        </w:rPr>
        <w:t xml:space="preserve"> </w:t>
      </w:r>
      <w:r>
        <w:rPr>
          <w:i/>
          <w:color w:val="454551"/>
          <w:sz w:val="18"/>
        </w:rPr>
        <w:t>36.</w:t>
      </w:r>
      <w:r>
        <w:rPr>
          <w:i/>
          <w:color w:val="454551"/>
          <w:spacing w:val="-4"/>
          <w:sz w:val="18"/>
        </w:rPr>
        <w:t xml:space="preserve"> </w:t>
      </w:r>
      <w:r>
        <w:rPr>
          <w:i/>
          <w:color w:val="454551"/>
          <w:sz w:val="18"/>
        </w:rPr>
        <w:t>Cálculos</w:t>
      </w:r>
      <w:r>
        <w:rPr>
          <w:i/>
          <w:color w:val="454551"/>
          <w:spacing w:val="-3"/>
          <w:sz w:val="18"/>
        </w:rPr>
        <w:t xml:space="preserve"> </w:t>
      </w:r>
      <w:r>
        <w:rPr>
          <w:i/>
          <w:color w:val="454551"/>
          <w:sz w:val="18"/>
        </w:rPr>
        <w:t>Ministerio</w:t>
      </w:r>
      <w:r>
        <w:rPr>
          <w:i/>
          <w:color w:val="454551"/>
          <w:spacing w:val="-2"/>
          <w:sz w:val="18"/>
        </w:rPr>
        <w:t xml:space="preserve"> </w:t>
      </w:r>
      <w:r>
        <w:rPr>
          <w:i/>
          <w:color w:val="454551"/>
          <w:sz w:val="18"/>
        </w:rPr>
        <w:t>de</w:t>
      </w:r>
      <w:r>
        <w:rPr>
          <w:i/>
          <w:color w:val="454551"/>
          <w:spacing w:val="-3"/>
          <w:sz w:val="18"/>
        </w:rPr>
        <w:t xml:space="preserve"> </w:t>
      </w:r>
      <w:r>
        <w:rPr>
          <w:i/>
          <w:color w:val="454551"/>
          <w:sz w:val="18"/>
        </w:rPr>
        <w:t>Igualdad</w:t>
      </w:r>
      <w:r>
        <w:rPr>
          <w:i/>
          <w:color w:val="454551"/>
          <w:spacing w:val="-2"/>
          <w:sz w:val="18"/>
        </w:rPr>
        <w:t xml:space="preserve"> </w:t>
      </w:r>
      <w:r>
        <w:rPr>
          <w:i/>
          <w:color w:val="454551"/>
          <w:sz w:val="18"/>
        </w:rPr>
        <w:t>y</w:t>
      </w:r>
      <w:r>
        <w:rPr>
          <w:i/>
          <w:color w:val="454551"/>
          <w:spacing w:val="-5"/>
          <w:sz w:val="18"/>
        </w:rPr>
        <w:t xml:space="preserve"> </w:t>
      </w:r>
      <w:r>
        <w:rPr>
          <w:i/>
          <w:color w:val="454551"/>
          <w:sz w:val="18"/>
        </w:rPr>
        <w:t>Equidad</w:t>
      </w:r>
      <w:r>
        <w:rPr>
          <w:i/>
          <w:color w:val="454551"/>
          <w:spacing w:val="-5"/>
          <w:sz w:val="18"/>
        </w:rPr>
        <w:t xml:space="preserve"> </w:t>
      </w:r>
      <w:r>
        <w:rPr>
          <w:i/>
          <w:color w:val="454551"/>
          <w:sz w:val="18"/>
        </w:rPr>
        <w:t>con</w:t>
      </w:r>
      <w:r>
        <w:rPr>
          <w:i/>
          <w:color w:val="454551"/>
          <w:spacing w:val="-2"/>
          <w:sz w:val="18"/>
        </w:rPr>
        <w:t xml:space="preserve"> </w:t>
      </w:r>
      <w:r>
        <w:rPr>
          <w:i/>
          <w:color w:val="454551"/>
          <w:sz w:val="18"/>
        </w:rPr>
        <w:t>base</w:t>
      </w:r>
      <w:r>
        <w:rPr>
          <w:i/>
          <w:color w:val="454551"/>
          <w:spacing w:val="-3"/>
          <w:sz w:val="18"/>
        </w:rPr>
        <w:t xml:space="preserve"> </w:t>
      </w:r>
      <w:r>
        <w:rPr>
          <w:i/>
          <w:color w:val="454551"/>
          <w:sz w:val="18"/>
        </w:rPr>
        <w:t>en</w:t>
      </w:r>
      <w:r>
        <w:rPr>
          <w:i/>
          <w:color w:val="454551"/>
          <w:spacing w:val="-2"/>
          <w:sz w:val="18"/>
        </w:rPr>
        <w:t xml:space="preserve"> </w:t>
      </w:r>
      <w:r>
        <w:rPr>
          <w:i/>
          <w:color w:val="454551"/>
          <w:sz w:val="18"/>
        </w:rPr>
        <w:t>SIVIGILA,</w:t>
      </w:r>
      <w:r>
        <w:rPr>
          <w:i/>
          <w:color w:val="454551"/>
          <w:spacing w:val="-4"/>
          <w:sz w:val="18"/>
        </w:rPr>
        <w:t xml:space="preserve"> </w:t>
      </w:r>
      <w:r>
        <w:rPr>
          <w:i/>
          <w:color w:val="454551"/>
          <w:sz w:val="18"/>
        </w:rPr>
        <w:t>CNPV,</w:t>
      </w:r>
      <w:r>
        <w:rPr>
          <w:i/>
          <w:color w:val="454551"/>
          <w:spacing w:val="-4"/>
          <w:sz w:val="18"/>
        </w:rPr>
        <w:t xml:space="preserve"> </w:t>
      </w:r>
      <w:r>
        <w:rPr>
          <w:i/>
          <w:color w:val="454551"/>
          <w:sz w:val="18"/>
        </w:rPr>
        <w:t xml:space="preserve">Proyecciones </w:t>
      </w:r>
      <w:r>
        <w:rPr>
          <w:i/>
          <w:color w:val="454551"/>
          <w:spacing w:val="-2"/>
          <w:sz w:val="18"/>
        </w:rPr>
        <w:t>Poblacionales</w:t>
      </w:r>
    </w:p>
    <w:p w14:paraId="033BC960" w14:textId="77777777" w:rsidR="000E52B0" w:rsidRDefault="00F60D74">
      <w:pPr>
        <w:pStyle w:val="Textoindependiente"/>
        <w:spacing w:before="201"/>
        <w:ind w:right="718"/>
        <w:jc w:val="both"/>
      </w:pPr>
      <w:r>
        <w:t>Asimismo,</w:t>
      </w:r>
      <w:r>
        <w:rPr>
          <w:spacing w:val="-15"/>
        </w:rPr>
        <w:t xml:space="preserve"> </w:t>
      </w:r>
      <w:r>
        <w:t>de</w:t>
      </w:r>
      <w:r>
        <w:rPr>
          <w:spacing w:val="-16"/>
        </w:rPr>
        <w:t xml:space="preserve"> </w:t>
      </w:r>
      <w:r>
        <w:t>acuerdo</w:t>
      </w:r>
      <w:r>
        <w:rPr>
          <w:spacing w:val="-16"/>
        </w:rPr>
        <w:t xml:space="preserve"> </w:t>
      </w:r>
      <w:r>
        <w:t>con</w:t>
      </w:r>
      <w:r>
        <w:rPr>
          <w:spacing w:val="-17"/>
        </w:rPr>
        <w:t xml:space="preserve"> </w:t>
      </w:r>
      <w:r>
        <w:t>la</w:t>
      </w:r>
      <w:r>
        <w:rPr>
          <w:spacing w:val="-17"/>
        </w:rPr>
        <w:t xml:space="preserve"> </w:t>
      </w:r>
      <w:r>
        <w:t>información</w:t>
      </w:r>
      <w:r>
        <w:rPr>
          <w:spacing w:val="-18"/>
        </w:rPr>
        <w:t xml:space="preserve"> </w:t>
      </w:r>
      <w:r>
        <w:t>del</w:t>
      </w:r>
      <w:r>
        <w:rPr>
          <w:spacing w:val="-18"/>
        </w:rPr>
        <w:t xml:space="preserve"> </w:t>
      </w:r>
      <w:r>
        <w:t>Observatorio</w:t>
      </w:r>
      <w:r>
        <w:rPr>
          <w:spacing w:val="-16"/>
        </w:rPr>
        <w:t xml:space="preserve"> </w:t>
      </w:r>
      <w:r>
        <w:t>de</w:t>
      </w:r>
      <w:r>
        <w:rPr>
          <w:spacing w:val="-16"/>
        </w:rPr>
        <w:t xml:space="preserve"> </w:t>
      </w:r>
      <w:r>
        <w:t>Violencias</w:t>
      </w:r>
      <w:r>
        <w:rPr>
          <w:spacing w:val="-15"/>
        </w:rPr>
        <w:t xml:space="preserve"> </w:t>
      </w:r>
      <w:r>
        <w:t>del Instituto</w:t>
      </w:r>
      <w:r>
        <w:rPr>
          <w:spacing w:val="-22"/>
        </w:rPr>
        <w:t xml:space="preserve"> </w:t>
      </w:r>
      <w:r>
        <w:t>Nacional</w:t>
      </w:r>
      <w:r>
        <w:rPr>
          <w:spacing w:val="-21"/>
        </w:rPr>
        <w:t xml:space="preserve"> </w:t>
      </w:r>
      <w:r>
        <w:t>de</w:t>
      </w:r>
      <w:r>
        <w:rPr>
          <w:spacing w:val="-21"/>
        </w:rPr>
        <w:t xml:space="preserve"> </w:t>
      </w:r>
      <w:r>
        <w:t>Medicina</w:t>
      </w:r>
      <w:r>
        <w:rPr>
          <w:spacing w:val="-21"/>
        </w:rPr>
        <w:t xml:space="preserve"> </w:t>
      </w:r>
      <w:r>
        <w:t>Legal</w:t>
      </w:r>
      <w:r>
        <w:rPr>
          <w:spacing w:val="-21"/>
        </w:rPr>
        <w:t xml:space="preserve"> </w:t>
      </w:r>
      <w:r>
        <w:t>y</w:t>
      </w:r>
      <w:r>
        <w:rPr>
          <w:spacing w:val="-21"/>
        </w:rPr>
        <w:t xml:space="preserve"> </w:t>
      </w:r>
      <w:r>
        <w:t>Ciencias</w:t>
      </w:r>
      <w:r>
        <w:rPr>
          <w:spacing w:val="-21"/>
        </w:rPr>
        <w:t xml:space="preserve"> </w:t>
      </w:r>
      <w:r>
        <w:t>Forenses</w:t>
      </w:r>
      <w:r>
        <w:rPr>
          <w:spacing w:val="-21"/>
        </w:rPr>
        <w:t xml:space="preserve"> </w:t>
      </w:r>
      <w:r>
        <w:t>(INMLCF),</w:t>
      </w:r>
      <w:r>
        <w:rPr>
          <w:spacing w:val="-21"/>
        </w:rPr>
        <w:t xml:space="preserve"> </w:t>
      </w:r>
      <w:r>
        <w:t>en</w:t>
      </w:r>
      <w:r>
        <w:rPr>
          <w:spacing w:val="-21"/>
        </w:rPr>
        <w:t xml:space="preserve"> </w:t>
      </w:r>
      <w:r>
        <w:t>2022 se reportaron 2.439 casos de violencias intrafamiliares contra personas mayores, 1.099 fueron contra hombres mayores y 1.340 contra mujeres mayores. Los datos preliminares de 2023 indican el aumento de estas violencias en 14,8%, con un total de 2.799 casos de violencia contra Personas Mayores.</w:t>
      </w:r>
    </w:p>
    <w:p w14:paraId="27A9138F" w14:textId="77777777" w:rsidR="000E52B0" w:rsidRDefault="00F60D74">
      <w:pPr>
        <w:pStyle w:val="Textoindependiente"/>
        <w:spacing w:before="161"/>
        <w:ind w:right="719"/>
        <w:jc w:val="both"/>
      </w:pPr>
      <w:r>
        <w:t>De igual forma las violencias fatales, entre homicidios/feminicidios y muertes accidentales, son resultado del escalamiento de las prácticas de violencia y negligencia que enfrentan las personas mayores. En 2022, se identificaron 617 casos de asesinato y 1.285 casos de muertes accidentales. En el caso de las segundas, las muertes accidentales de las personas mayores representan el 33,2% del total. Esta es una afectación desproporcionada. En 2023, el número de muertes accidentales de las personas mayores aumentó a 1.373 casos.</w:t>
      </w:r>
    </w:p>
    <w:p w14:paraId="1C602AD2" w14:textId="77777777" w:rsidR="000E52B0" w:rsidRDefault="00F60D74">
      <w:pPr>
        <w:pStyle w:val="Textoindependiente"/>
        <w:spacing w:before="161"/>
        <w:ind w:right="717"/>
        <w:jc w:val="both"/>
      </w:pPr>
      <w:r>
        <w:t>En el caso de los Pueblos étnicos y campesinos, las causas asociadas al desconocimiento y subvaloración de los Pueblos étnicos y campesinos, obedece a una violencia epistémica y sistemática. La implantación de modelos productivos han provocado que las condiciones del mercado impidan el acceso a ingresos suficientes y la participación justa de los Pueblos étnicos y campesinos en la economía nacional, la pérdida de semillas</w:t>
      </w:r>
      <w:r>
        <w:rPr>
          <w:spacing w:val="-19"/>
        </w:rPr>
        <w:t xml:space="preserve"> </w:t>
      </w:r>
      <w:r>
        <w:t>y</w:t>
      </w:r>
      <w:r>
        <w:rPr>
          <w:spacing w:val="-19"/>
        </w:rPr>
        <w:t xml:space="preserve"> </w:t>
      </w:r>
      <w:r>
        <w:t>especies</w:t>
      </w:r>
      <w:r>
        <w:rPr>
          <w:spacing w:val="-19"/>
        </w:rPr>
        <w:t xml:space="preserve"> </w:t>
      </w:r>
      <w:r>
        <w:t>nativas</w:t>
      </w:r>
      <w:r>
        <w:rPr>
          <w:spacing w:val="-21"/>
        </w:rPr>
        <w:t xml:space="preserve"> </w:t>
      </w:r>
      <w:r>
        <w:t>y</w:t>
      </w:r>
      <w:r>
        <w:rPr>
          <w:spacing w:val="-19"/>
        </w:rPr>
        <w:t xml:space="preserve"> </w:t>
      </w:r>
      <w:r>
        <w:t>de</w:t>
      </w:r>
      <w:r>
        <w:rPr>
          <w:spacing w:val="-17"/>
        </w:rPr>
        <w:t xml:space="preserve"> </w:t>
      </w:r>
      <w:r>
        <w:t>los</w:t>
      </w:r>
      <w:r>
        <w:rPr>
          <w:spacing w:val="-21"/>
        </w:rPr>
        <w:t xml:space="preserve"> </w:t>
      </w:r>
      <w:r>
        <w:t>saberes</w:t>
      </w:r>
      <w:r>
        <w:rPr>
          <w:spacing w:val="-21"/>
        </w:rPr>
        <w:t xml:space="preserve"> </w:t>
      </w:r>
      <w:r>
        <w:t>y</w:t>
      </w:r>
      <w:r>
        <w:rPr>
          <w:spacing w:val="-21"/>
        </w:rPr>
        <w:t xml:space="preserve"> </w:t>
      </w:r>
      <w:r>
        <w:t>conocimientos</w:t>
      </w:r>
      <w:r>
        <w:rPr>
          <w:spacing w:val="-21"/>
        </w:rPr>
        <w:t xml:space="preserve"> </w:t>
      </w:r>
      <w:r>
        <w:t>asociados</w:t>
      </w:r>
      <w:r>
        <w:rPr>
          <w:spacing w:val="-19"/>
        </w:rPr>
        <w:t xml:space="preserve"> </w:t>
      </w:r>
      <w:r>
        <w:t>para su conservación y uso, y su conexión con la integridad del ejercicio de la cultura ancestral y campesina; en definitiva, pierden la cultura colectiva y comunitaria, frente a prácticas individualistas.</w:t>
      </w:r>
    </w:p>
    <w:p w14:paraId="30578AEA" w14:textId="77777777" w:rsidR="000E52B0" w:rsidRDefault="00F60D74">
      <w:pPr>
        <w:pStyle w:val="Textoindependiente"/>
        <w:spacing w:before="161"/>
        <w:ind w:right="718"/>
        <w:jc w:val="both"/>
      </w:pPr>
      <w:r>
        <w:t>El estudio, “Mi gente en Bogotá. Estudio socioeconómico y cultural de los afrodescendientes que residen en Bogotá” (2002) presenta las dinámicas de</w:t>
      </w:r>
      <w:r>
        <w:rPr>
          <w:spacing w:val="-22"/>
        </w:rPr>
        <w:t xml:space="preserve"> </w:t>
      </w:r>
      <w:r>
        <w:t>segregación</w:t>
      </w:r>
      <w:r>
        <w:rPr>
          <w:spacing w:val="-21"/>
        </w:rPr>
        <w:t xml:space="preserve"> </w:t>
      </w:r>
      <w:r>
        <w:t>espacial</w:t>
      </w:r>
      <w:r>
        <w:rPr>
          <w:spacing w:val="-21"/>
        </w:rPr>
        <w:t xml:space="preserve"> </w:t>
      </w:r>
      <w:r>
        <w:t>que</w:t>
      </w:r>
      <w:r>
        <w:rPr>
          <w:spacing w:val="-21"/>
        </w:rPr>
        <w:t xml:space="preserve"> </w:t>
      </w:r>
      <w:r>
        <w:t>se</w:t>
      </w:r>
      <w:r>
        <w:rPr>
          <w:spacing w:val="-20"/>
        </w:rPr>
        <w:t xml:space="preserve"> </w:t>
      </w:r>
      <w:r>
        <w:t>gestaban</w:t>
      </w:r>
      <w:r>
        <w:rPr>
          <w:spacing w:val="-19"/>
        </w:rPr>
        <w:t xml:space="preserve"> </w:t>
      </w:r>
      <w:r>
        <w:t>en</w:t>
      </w:r>
      <w:r>
        <w:rPr>
          <w:spacing w:val="-21"/>
        </w:rPr>
        <w:t xml:space="preserve"> </w:t>
      </w:r>
      <w:r>
        <w:t>la</w:t>
      </w:r>
      <w:r>
        <w:rPr>
          <w:spacing w:val="-21"/>
        </w:rPr>
        <w:t xml:space="preserve"> </w:t>
      </w:r>
      <w:r>
        <w:t>ciudad</w:t>
      </w:r>
      <w:r>
        <w:rPr>
          <w:spacing w:val="-22"/>
        </w:rPr>
        <w:t xml:space="preserve"> </w:t>
      </w:r>
      <w:r>
        <w:t>de</w:t>
      </w:r>
      <w:r>
        <w:rPr>
          <w:spacing w:val="-20"/>
        </w:rPr>
        <w:t xml:space="preserve"> </w:t>
      </w:r>
      <w:r>
        <w:t>Bogotá,</w:t>
      </w:r>
      <w:r>
        <w:rPr>
          <w:spacing w:val="-21"/>
        </w:rPr>
        <w:t xml:space="preserve"> </w:t>
      </w:r>
      <w:r>
        <w:t>en</w:t>
      </w:r>
      <w:r>
        <w:rPr>
          <w:spacing w:val="-21"/>
        </w:rPr>
        <w:t xml:space="preserve"> </w:t>
      </w:r>
      <w:r>
        <w:t>ocasión de los asentamientos de personas negras víctimas de desplazamiento forzada. Si bien, era un fenómeno de baja intensidad en relación con ciudades</w:t>
      </w:r>
      <w:r>
        <w:rPr>
          <w:spacing w:val="-19"/>
        </w:rPr>
        <w:t xml:space="preserve"> </w:t>
      </w:r>
      <w:r>
        <w:t>como</w:t>
      </w:r>
      <w:r>
        <w:rPr>
          <w:spacing w:val="-18"/>
        </w:rPr>
        <w:t xml:space="preserve"> </w:t>
      </w:r>
      <w:r>
        <w:t>Cali,</w:t>
      </w:r>
      <w:r>
        <w:rPr>
          <w:spacing w:val="-17"/>
        </w:rPr>
        <w:t xml:space="preserve"> </w:t>
      </w:r>
      <w:r>
        <w:t>si</w:t>
      </w:r>
      <w:r>
        <w:rPr>
          <w:spacing w:val="-20"/>
        </w:rPr>
        <w:t xml:space="preserve"> </w:t>
      </w:r>
      <w:r>
        <w:t>daba</w:t>
      </w:r>
      <w:r>
        <w:rPr>
          <w:spacing w:val="-16"/>
        </w:rPr>
        <w:t xml:space="preserve"> </w:t>
      </w:r>
      <w:r>
        <w:t>indicios</w:t>
      </w:r>
      <w:r>
        <w:rPr>
          <w:spacing w:val="-18"/>
        </w:rPr>
        <w:t xml:space="preserve"> </w:t>
      </w:r>
      <w:r>
        <w:t>de</w:t>
      </w:r>
      <w:r>
        <w:rPr>
          <w:spacing w:val="-17"/>
        </w:rPr>
        <w:t xml:space="preserve"> </w:t>
      </w:r>
      <w:r>
        <w:t>cómo</w:t>
      </w:r>
      <w:r>
        <w:rPr>
          <w:spacing w:val="-18"/>
        </w:rPr>
        <w:t xml:space="preserve"> </w:t>
      </w:r>
      <w:r>
        <w:t>se</w:t>
      </w:r>
      <w:r>
        <w:rPr>
          <w:spacing w:val="-17"/>
        </w:rPr>
        <w:t xml:space="preserve"> </w:t>
      </w:r>
      <w:r>
        <w:t>reproduce</w:t>
      </w:r>
      <w:r>
        <w:rPr>
          <w:spacing w:val="-17"/>
        </w:rPr>
        <w:t xml:space="preserve"> </w:t>
      </w:r>
      <w:r>
        <w:t>la</w:t>
      </w:r>
      <w:r>
        <w:rPr>
          <w:spacing w:val="-19"/>
        </w:rPr>
        <w:t xml:space="preserve"> </w:t>
      </w:r>
      <w:r>
        <w:t xml:space="preserve">discriminación </w:t>
      </w:r>
      <w:proofErr w:type="gramStart"/>
      <w:r>
        <w:t>racial</w:t>
      </w:r>
      <w:r>
        <w:rPr>
          <w:spacing w:val="37"/>
        </w:rPr>
        <w:t xml:space="preserve">  </w:t>
      </w:r>
      <w:r>
        <w:t>hacia</w:t>
      </w:r>
      <w:proofErr w:type="gramEnd"/>
      <w:r>
        <w:rPr>
          <w:spacing w:val="39"/>
        </w:rPr>
        <w:t xml:space="preserve">  </w:t>
      </w:r>
      <w:proofErr w:type="gramStart"/>
      <w:r>
        <w:t>las</w:t>
      </w:r>
      <w:r>
        <w:rPr>
          <w:spacing w:val="39"/>
        </w:rPr>
        <w:t xml:space="preserve">  </w:t>
      </w:r>
      <w:r>
        <w:t>personas</w:t>
      </w:r>
      <w:proofErr w:type="gramEnd"/>
      <w:r>
        <w:rPr>
          <w:spacing w:val="38"/>
        </w:rPr>
        <w:t xml:space="preserve">  </w:t>
      </w:r>
      <w:proofErr w:type="gramStart"/>
      <w:r>
        <w:t>afrocolombianas</w:t>
      </w:r>
      <w:r>
        <w:rPr>
          <w:spacing w:val="39"/>
        </w:rPr>
        <w:t xml:space="preserve">  </w:t>
      </w:r>
      <w:r>
        <w:t>y</w:t>
      </w:r>
      <w:proofErr w:type="gramEnd"/>
      <w:r>
        <w:rPr>
          <w:spacing w:val="38"/>
        </w:rPr>
        <w:t xml:space="preserve">  </w:t>
      </w:r>
      <w:proofErr w:type="gramStart"/>
      <w:r>
        <w:t>su</w:t>
      </w:r>
      <w:r>
        <w:rPr>
          <w:spacing w:val="38"/>
        </w:rPr>
        <w:t xml:space="preserve">  </w:t>
      </w:r>
      <w:r>
        <w:t>incidencia</w:t>
      </w:r>
      <w:proofErr w:type="gramEnd"/>
      <w:r>
        <w:rPr>
          <w:spacing w:val="39"/>
        </w:rPr>
        <w:t xml:space="preserve">  </w:t>
      </w:r>
      <w:proofErr w:type="gramStart"/>
      <w:r>
        <w:t>en</w:t>
      </w:r>
      <w:r>
        <w:rPr>
          <w:spacing w:val="38"/>
        </w:rPr>
        <w:t xml:space="preserve">  </w:t>
      </w:r>
      <w:r>
        <w:rPr>
          <w:spacing w:val="-5"/>
        </w:rPr>
        <w:t>la</w:t>
      </w:r>
      <w:proofErr w:type="gramEnd"/>
    </w:p>
    <w:p w14:paraId="2978F792" w14:textId="77777777" w:rsidR="000E52B0" w:rsidRDefault="000E52B0">
      <w:pPr>
        <w:pStyle w:val="Textoindependiente"/>
        <w:jc w:val="both"/>
        <w:sectPr w:rsidR="000E52B0">
          <w:type w:val="continuous"/>
          <w:pgSz w:w="11910" w:h="16840"/>
          <w:pgMar w:top="1340" w:right="720" w:bottom="1280" w:left="720" w:header="0" w:footer="995" w:gutter="0"/>
          <w:cols w:space="720"/>
        </w:sectPr>
      </w:pPr>
    </w:p>
    <w:p w14:paraId="20BE573C" w14:textId="77777777" w:rsidR="000E52B0" w:rsidRDefault="00F60D74">
      <w:pPr>
        <w:pStyle w:val="Textoindependiente"/>
        <w:spacing w:before="83"/>
        <w:ind w:right="717"/>
        <w:jc w:val="both"/>
      </w:pPr>
      <w:r>
        <w:lastRenderedPageBreak/>
        <w:t>reconfiguración de lógicas socio-territoriales y de relacionamiento con el espacio habitado por parte de la población no racializada.</w:t>
      </w:r>
    </w:p>
    <w:p w14:paraId="41255F4E" w14:textId="77777777" w:rsidR="000E52B0" w:rsidRDefault="00F60D74">
      <w:pPr>
        <w:pStyle w:val="Textoindependiente"/>
        <w:spacing w:before="158"/>
        <w:ind w:right="717"/>
        <w:jc w:val="both"/>
      </w:pPr>
      <w:r>
        <w:t xml:space="preserve">En dicho estudio, el 82% de la población estimó que las prácticas discriminatorias obedecían al color de piel. En igual importancia, en el estudio realizado en el año 2008 por el Observatorio de Discriminación Racial “El derecho a no ser discriminado”, las autoras y autores retoman los datos del Censo 2005 y señalan que un 10% de las niñas y los niños afrocolombianos entre los 6 y 10 años no tienen acceso a la educación básica primaria, lo que significa que posee un porcentaje de inasistencia superior a un 27% en relación con la población mestiza. Así mismo, concluyen que el sistema educativo es muy débil en el desarrollo de iniciativas para combatir los estereotipos racistas que los afectan gravemente, tampoco implementa a fondo programas que promuevan la tolerancia y el respeto por la diferencia, incluso identifican que son muy bajos los niveles de implementación de la Cátedra de Estudios </w:t>
      </w:r>
      <w:r>
        <w:rPr>
          <w:spacing w:val="-2"/>
        </w:rPr>
        <w:t>Afrocolombianos.</w:t>
      </w:r>
    </w:p>
    <w:p w14:paraId="51C60A41" w14:textId="77777777" w:rsidR="000E52B0" w:rsidRDefault="00F60D74">
      <w:pPr>
        <w:pStyle w:val="Textoindependiente"/>
        <w:spacing w:before="160"/>
        <w:ind w:right="718"/>
        <w:jc w:val="both"/>
      </w:pPr>
      <w:r>
        <w:t>Para 2021, la brecha de ingreso promedio por género era 6.3 puntos porcentuales,</w:t>
      </w:r>
      <w:r>
        <w:rPr>
          <w:spacing w:val="-20"/>
        </w:rPr>
        <w:t xml:space="preserve"> </w:t>
      </w:r>
      <w:r>
        <w:t>mientras</w:t>
      </w:r>
      <w:r>
        <w:rPr>
          <w:spacing w:val="-20"/>
        </w:rPr>
        <w:t xml:space="preserve"> </w:t>
      </w:r>
      <w:r>
        <w:t>que,</w:t>
      </w:r>
      <w:r>
        <w:rPr>
          <w:spacing w:val="-22"/>
        </w:rPr>
        <w:t xml:space="preserve"> </w:t>
      </w:r>
      <w:r>
        <w:t>la</w:t>
      </w:r>
      <w:r>
        <w:rPr>
          <w:spacing w:val="-20"/>
        </w:rPr>
        <w:t xml:space="preserve"> </w:t>
      </w:r>
      <w:r>
        <w:t>brecha</w:t>
      </w:r>
      <w:r>
        <w:rPr>
          <w:spacing w:val="-21"/>
        </w:rPr>
        <w:t xml:space="preserve"> </w:t>
      </w:r>
      <w:r>
        <w:t>entre</w:t>
      </w:r>
      <w:r>
        <w:rPr>
          <w:spacing w:val="-19"/>
        </w:rPr>
        <w:t xml:space="preserve"> </w:t>
      </w:r>
      <w:r>
        <w:t>hombres</w:t>
      </w:r>
      <w:r>
        <w:rPr>
          <w:spacing w:val="-21"/>
        </w:rPr>
        <w:t xml:space="preserve"> </w:t>
      </w:r>
      <w:r>
        <w:t>sin</w:t>
      </w:r>
      <w:r>
        <w:rPr>
          <w:spacing w:val="-19"/>
        </w:rPr>
        <w:t xml:space="preserve"> </w:t>
      </w:r>
      <w:r>
        <w:t>pertenencia</w:t>
      </w:r>
      <w:r>
        <w:rPr>
          <w:spacing w:val="-21"/>
        </w:rPr>
        <w:t xml:space="preserve"> </w:t>
      </w:r>
      <w:r>
        <w:t>étnica y</w:t>
      </w:r>
      <w:r>
        <w:rPr>
          <w:spacing w:val="-11"/>
        </w:rPr>
        <w:t xml:space="preserve"> </w:t>
      </w:r>
      <w:r>
        <w:t>mujeres</w:t>
      </w:r>
      <w:r>
        <w:rPr>
          <w:spacing w:val="-11"/>
        </w:rPr>
        <w:t xml:space="preserve"> </w:t>
      </w:r>
      <w:r>
        <w:t>negras</w:t>
      </w:r>
      <w:r>
        <w:rPr>
          <w:spacing w:val="-11"/>
        </w:rPr>
        <w:t xml:space="preserve"> </w:t>
      </w:r>
      <w:r>
        <w:t>era</w:t>
      </w:r>
      <w:r>
        <w:rPr>
          <w:spacing w:val="-11"/>
        </w:rPr>
        <w:t xml:space="preserve"> </w:t>
      </w:r>
      <w:r>
        <w:t>de</w:t>
      </w:r>
      <w:r>
        <w:rPr>
          <w:spacing w:val="-8"/>
        </w:rPr>
        <w:t xml:space="preserve"> </w:t>
      </w:r>
      <w:r>
        <w:t>puntos</w:t>
      </w:r>
      <w:r>
        <w:rPr>
          <w:spacing w:val="-11"/>
        </w:rPr>
        <w:t xml:space="preserve"> </w:t>
      </w:r>
      <w:r>
        <w:t>porcentuales.</w:t>
      </w:r>
      <w:r>
        <w:rPr>
          <w:spacing w:val="-10"/>
        </w:rPr>
        <w:t xml:space="preserve"> </w:t>
      </w:r>
      <w:r>
        <w:t>Igualmente,</w:t>
      </w:r>
      <w:r>
        <w:rPr>
          <w:spacing w:val="-10"/>
        </w:rPr>
        <w:t xml:space="preserve"> </w:t>
      </w:r>
      <w:r>
        <w:t>en</w:t>
      </w:r>
      <w:r>
        <w:rPr>
          <w:spacing w:val="-12"/>
        </w:rPr>
        <w:t xml:space="preserve"> </w:t>
      </w:r>
      <w:r>
        <w:t>este</w:t>
      </w:r>
      <w:r>
        <w:rPr>
          <w:spacing w:val="-10"/>
        </w:rPr>
        <w:t xml:space="preserve"> </w:t>
      </w:r>
      <w:r>
        <w:t>caso,</w:t>
      </w:r>
      <w:r>
        <w:rPr>
          <w:spacing w:val="-12"/>
        </w:rPr>
        <w:t xml:space="preserve"> </w:t>
      </w:r>
      <w:r>
        <w:t>la diferencia porcentual entre hombres y mujeres jóvenes total es de 28%, no</w:t>
      </w:r>
      <w:r>
        <w:rPr>
          <w:spacing w:val="-3"/>
        </w:rPr>
        <w:t xml:space="preserve"> </w:t>
      </w:r>
      <w:r>
        <w:t>obstante,</w:t>
      </w:r>
      <w:r>
        <w:rPr>
          <w:spacing w:val="-4"/>
        </w:rPr>
        <w:t xml:space="preserve"> </w:t>
      </w:r>
      <w:r>
        <w:t>entre</w:t>
      </w:r>
      <w:r>
        <w:rPr>
          <w:spacing w:val="-2"/>
        </w:rPr>
        <w:t xml:space="preserve"> </w:t>
      </w:r>
      <w:r>
        <w:t>los</w:t>
      </w:r>
      <w:r>
        <w:rPr>
          <w:spacing w:val="-4"/>
        </w:rPr>
        <w:t xml:space="preserve"> </w:t>
      </w:r>
      <w:r>
        <w:t>hombres</w:t>
      </w:r>
      <w:r>
        <w:rPr>
          <w:spacing w:val="-4"/>
        </w:rPr>
        <w:t xml:space="preserve"> </w:t>
      </w:r>
      <w:r>
        <w:t>entre</w:t>
      </w:r>
      <w:r>
        <w:rPr>
          <w:spacing w:val="-2"/>
        </w:rPr>
        <w:t xml:space="preserve"> </w:t>
      </w:r>
      <w:r>
        <w:t>29</w:t>
      </w:r>
      <w:r>
        <w:rPr>
          <w:spacing w:val="-2"/>
        </w:rPr>
        <w:t xml:space="preserve"> </w:t>
      </w:r>
      <w:r>
        <w:t>y</w:t>
      </w:r>
      <w:r>
        <w:rPr>
          <w:spacing w:val="-4"/>
        </w:rPr>
        <w:t xml:space="preserve"> </w:t>
      </w:r>
      <w:r>
        <w:t>59</w:t>
      </w:r>
      <w:r>
        <w:rPr>
          <w:spacing w:val="-2"/>
        </w:rPr>
        <w:t xml:space="preserve"> </w:t>
      </w:r>
      <w:r>
        <w:t>años</w:t>
      </w:r>
      <w:r>
        <w:rPr>
          <w:spacing w:val="-4"/>
        </w:rPr>
        <w:t xml:space="preserve"> </w:t>
      </w:r>
      <w:r>
        <w:t>urbanos,</w:t>
      </w:r>
      <w:r>
        <w:rPr>
          <w:spacing w:val="-5"/>
        </w:rPr>
        <w:t xml:space="preserve"> </w:t>
      </w:r>
      <w:r>
        <w:t>y</w:t>
      </w:r>
      <w:r>
        <w:rPr>
          <w:spacing w:val="-3"/>
        </w:rPr>
        <w:t xml:space="preserve"> </w:t>
      </w:r>
      <w:r>
        <w:t>las</w:t>
      </w:r>
      <w:r>
        <w:rPr>
          <w:spacing w:val="-4"/>
        </w:rPr>
        <w:t xml:space="preserve"> </w:t>
      </w:r>
      <w:r>
        <w:t>mujeres jóvenes rurales, es de 91%.</w:t>
      </w:r>
    </w:p>
    <w:p w14:paraId="35842E10" w14:textId="77777777" w:rsidR="000E52B0" w:rsidRDefault="00F60D74">
      <w:pPr>
        <w:pStyle w:val="Textoindependiente"/>
        <w:spacing w:before="161"/>
        <w:ind w:right="720"/>
        <w:jc w:val="both"/>
      </w:pPr>
      <w:r>
        <w:t>Como se explicó antes, también es cierto que la población a medida que tiene</w:t>
      </w:r>
      <w:r>
        <w:rPr>
          <w:spacing w:val="-8"/>
        </w:rPr>
        <w:t xml:space="preserve"> </w:t>
      </w:r>
      <w:r>
        <w:t>un</w:t>
      </w:r>
      <w:r>
        <w:rPr>
          <w:spacing w:val="-9"/>
        </w:rPr>
        <w:t xml:space="preserve"> </w:t>
      </w:r>
      <w:r>
        <w:t>color</w:t>
      </w:r>
      <w:r>
        <w:rPr>
          <w:spacing w:val="-8"/>
        </w:rPr>
        <w:t xml:space="preserve"> </w:t>
      </w:r>
      <w:r>
        <w:t>de</w:t>
      </w:r>
      <w:r>
        <w:rPr>
          <w:spacing w:val="-8"/>
        </w:rPr>
        <w:t xml:space="preserve"> </w:t>
      </w:r>
      <w:r>
        <w:t>piel</w:t>
      </w:r>
      <w:r>
        <w:rPr>
          <w:spacing w:val="-9"/>
        </w:rPr>
        <w:t xml:space="preserve"> </w:t>
      </w:r>
      <w:r>
        <w:t>más</w:t>
      </w:r>
      <w:r>
        <w:rPr>
          <w:spacing w:val="-9"/>
        </w:rPr>
        <w:t xml:space="preserve"> </w:t>
      </w:r>
      <w:r>
        <w:t>claro</w:t>
      </w:r>
      <w:r>
        <w:rPr>
          <w:spacing w:val="-7"/>
        </w:rPr>
        <w:t xml:space="preserve"> </w:t>
      </w:r>
      <w:r>
        <w:t>se</w:t>
      </w:r>
      <w:r>
        <w:rPr>
          <w:spacing w:val="-8"/>
        </w:rPr>
        <w:t xml:space="preserve"> </w:t>
      </w:r>
      <w:r>
        <w:t>siente</w:t>
      </w:r>
      <w:r>
        <w:rPr>
          <w:spacing w:val="-8"/>
        </w:rPr>
        <w:t xml:space="preserve"> </w:t>
      </w:r>
      <w:r>
        <w:t>mejor</w:t>
      </w:r>
      <w:r>
        <w:rPr>
          <w:spacing w:val="-8"/>
        </w:rPr>
        <w:t xml:space="preserve"> </w:t>
      </w:r>
      <w:r>
        <w:t>tratada</w:t>
      </w:r>
      <w:r>
        <w:rPr>
          <w:spacing w:val="-9"/>
        </w:rPr>
        <w:t xml:space="preserve"> </w:t>
      </w:r>
      <w:r>
        <w:t>cuando</w:t>
      </w:r>
      <w:r>
        <w:rPr>
          <w:spacing w:val="-8"/>
        </w:rPr>
        <w:t xml:space="preserve"> </w:t>
      </w:r>
      <w:r>
        <w:t>acude</w:t>
      </w:r>
      <w:r>
        <w:rPr>
          <w:spacing w:val="-8"/>
        </w:rPr>
        <w:t xml:space="preserve"> </w:t>
      </w:r>
      <w:r>
        <w:t>a</w:t>
      </w:r>
      <w:r>
        <w:rPr>
          <w:spacing w:val="-9"/>
        </w:rPr>
        <w:t xml:space="preserve"> </w:t>
      </w:r>
      <w:r>
        <w:t>las instituciones públicas (</w:t>
      </w:r>
      <w:hyperlink w:anchor="_bookmark72" w:history="1">
        <w:r w:rsidR="000E52B0">
          <w:t>Ilustración 44</w:t>
        </w:r>
      </w:hyperlink>
      <w:r>
        <w:t>).</w:t>
      </w:r>
    </w:p>
    <w:p w14:paraId="2AE7FC79" w14:textId="77777777" w:rsidR="000E52B0" w:rsidRDefault="00F60D74">
      <w:pPr>
        <w:pStyle w:val="Textoindependiente"/>
        <w:spacing w:before="162"/>
        <w:ind w:right="715"/>
        <w:jc w:val="both"/>
      </w:pPr>
      <w:r>
        <w:t>Por otra parte, las prácticas de discriminación hacia la población LGBTIQ+ impiden su integración social, económica y cultural, e impiden acceso a bienes y servicios de forma concreta y directa.</w:t>
      </w:r>
      <w:r>
        <w:rPr>
          <w:spacing w:val="80"/>
        </w:rPr>
        <w:t xml:space="preserve"> </w:t>
      </w:r>
      <w:r>
        <w:t>De acuerdo con los datos de la Encuesta de Cultura Política (ECV) del DANE de 2023, el reporte de discriminación es más alto en las personas de los sectores sociales LGBTIQ+, no solo por su orientación o identidad de género (7,6%) o por su sexo al nacer (5,7%) sino también por su orientación política (7,6%), condición</w:t>
      </w:r>
      <w:r>
        <w:rPr>
          <w:spacing w:val="-7"/>
        </w:rPr>
        <w:t xml:space="preserve"> </w:t>
      </w:r>
      <w:r>
        <w:t>socioeconómica</w:t>
      </w:r>
      <w:r>
        <w:rPr>
          <w:spacing w:val="-9"/>
        </w:rPr>
        <w:t xml:space="preserve"> </w:t>
      </w:r>
      <w:r>
        <w:t>(7,5%)</w:t>
      </w:r>
      <w:r>
        <w:rPr>
          <w:spacing w:val="-10"/>
        </w:rPr>
        <w:t xml:space="preserve"> </w:t>
      </w:r>
      <w:r>
        <w:t>y</w:t>
      </w:r>
      <w:r>
        <w:rPr>
          <w:spacing w:val="-7"/>
        </w:rPr>
        <w:t xml:space="preserve"> </w:t>
      </w:r>
      <w:r>
        <w:t>por</w:t>
      </w:r>
      <w:r>
        <w:rPr>
          <w:spacing w:val="-5"/>
        </w:rPr>
        <w:t xml:space="preserve"> </w:t>
      </w:r>
      <w:r>
        <w:t>sus</w:t>
      </w:r>
      <w:r>
        <w:rPr>
          <w:spacing w:val="-9"/>
        </w:rPr>
        <w:t xml:space="preserve"> </w:t>
      </w:r>
      <w:r>
        <w:t>rasgos</w:t>
      </w:r>
      <w:r>
        <w:rPr>
          <w:spacing w:val="-9"/>
        </w:rPr>
        <w:t xml:space="preserve"> </w:t>
      </w:r>
      <w:r>
        <w:t>físicos</w:t>
      </w:r>
      <w:r>
        <w:rPr>
          <w:spacing w:val="-7"/>
        </w:rPr>
        <w:t xml:space="preserve"> </w:t>
      </w:r>
      <w:r>
        <w:t>(5,2%),</w:t>
      </w:r>
      <w:r>
        <w:rPr>
          <w:spacing w:val="-10"/>
        </w:rPr>
        <w:t xml:space="preserve"> </w:t>
      </w:r>
      <w:r>
        <w:t>como</w:t>
      </w:r>
      <w:r>
        <w:rPr>
          <w:spacing w:val="-8"/>
        </w:rPr>
        <w:t xml:space="preserve"> </w:t>
      </w:r>
      <w:r>
        <w:t xml:space="preserve">se ve en la </w:t>
      </w:r>
      <w:hyperlink w:anchor="_bookmark80" w:history="1">
        <w:r w:rsidR="000E52B0">
          <w:t>Ilustración 49</w:t>
        </w:r>
      </w:hyperlink>
      <w:r>
        <w:t>. Adicionalmente la ECP arrojó que el 10,9% de la población OSIGNH en el último año tuvo algún problema que lo afectó asimismo</w:t>
      </w:r>
      <w:r>
        <w:rPr>
          <w:spacing w:val="-1"/>
        </w:rPr>
        <w:t xml:space="preserve"> </w:t>
      </w:r>
      <w:r>
        <w:t>o</w:t>
      </w:r>
      <w:r>
        <w:rPr>
          <w:spacing w:val="-1"/>
        </w:rPr>
        <w:t xml:space="preserve"> </w:t>
      </w:r>
      <w:r>
        <w:t>a su comunidad</w:t>
      </w:r>
      <w:r>
        <w:rPr>
          <w:spacing w:val="-3"/>
        </w:rPr>
        <w:t xml:space="preserve"> </w:t>
      </w:r>
      <w:r>
        <w:t>relacionado</w:t>
      </w:r>
      <w:r>
        <w:rPr>
          <w:spacing w:val="-1"/>
        </w:rPr>
        <w:t xml:space="preserve"> </w:t>
      </w:r>
      <w:r>
        <w:t>con</w:t>
      </w:r>
      <w:r>
        <w:rPr>
          <w:spacing w:val="-2"/>
        </w:rPr>
        <w:t xml:space="preserve"> </w:t>
      </w:r>
      <w:r>
        <w:t>discriminación</w:t>
      </w:r>
      <w:r>
        <w:rPr>
          <w:spacing w:val="-2"/>
        </w:rPr>
        <w:t xml:space="preserve"> </w:t>
      </w:r>
      <w:r>
        <w:t>(sexual,</w:t>
      </w:r>
      <w:r>
        <w:rPr>
          <w:spacing w:val="-1"/>
        </w:rPr>
        <w:t xml:space="preserve"> </w:t>
      </w:r>
      <w:r>
        <w:t xml:space="preserve">étnica o de género), en comparación con un 1,6% en las personas cisgénero </w:t>
      </w:r>
      <w:r>
        <w:rPr>
          <w:spacing w:val="-2"/>
        </w:rPr>
        <w:t>heteronormativas.</w:t>
      </w:r>
    </w:p>
    <w:p w14:paraId="20CD6D93" w14:textId="77777777" w:rsidR="000E52B0" w:rsidRDefault="000E52B0">
      <w:pPr>
        <w:pStyle w:val="Textoindependiente"/>
        <w:jc w:val="both"/>
        <w:sectPr w:rsidR="000E52B0">
          <w:pgSz w:w="11910" w:h="16840"/>
          <w:pgMar w:top="1340" w:right="720" w:bottom="1180" w:left="720" w:header="0" w:footer="995" w:gutter="0"/>
          <w:cols w:space="720"/>
        </w:sectPr>
      </w:pPr>
    </w:p>
    <w:p w14:paraId="03F15C0D" w14:textId="77777777" w:rsidR="000E52B0" w:rsidRDefault="00F60D74">
      <w:pPr>
        <w:spacing w:before="80"/>
        <w:ind w:left="1070"/>
        <w:rPr>
          <w:i/>
          <w:sz w:val="18"/>
        </w:rPr>
      </w:pPr>
      <w:bookmarkStart w:id="80" w:name="_bookmark80"/>
      <w:bookmarkEnd w:id="80"/>
      <w:r>
        <w:rPr>
          <w:i/>
          <w:color w:val="454551"/>
          <w:sz w:val="18"/>
        </w:rPr>
        <w:lastRenderedPageBreak/>
        <w:t>Ilustración</w:t>
      </w:r>
      <w:r>
        <w:rPr>
          <w:i/>
          <w:color w:val="454551"/>
          <w:spacing w:val="-3"/>
          <w:sz w:val="18"/>
        </w:rPr>
        <w:t xml:space="preserve"> </w:t>
      </w:r>
      <w:r>
        <w:rPr>
          <w:i/>
          <w:color w:val="454551"/>
          <w:sz w:val="18"/>
        </w:rPr>
        <w:t>49.</w:t>
      </w:r>
      <w:r>
        <w:rPr>
          <w:i/>
          <w:color w:val="454551"/>
          <w:spacing w:val="-3"/>
          <w:sz w:val="18"/>
        </w:rPr>
        <w:t xml:space="preserve"> </w:t>
      </w:r>
      <w:r>
        <w:rPr>
          <w:i/>
          <w:color w:val="454551"/>
          <w:sz w:val="18"/>
        </w:rPr>
        <w:t>¿Durante</w:t>
      </w:r>
      <w:r>
        <w:rPr>
          <w:i/>
          <w:color w:val="454551"/>
          <w:spacing w:val="-3"/>
          <w:sz w:val="18"/>
        </w:rPr>
        <w:t xml:space="preserve"> </w:t>
      </w:r>
      <w:r>
        <w:rPr>
          <w:i/>
          <w:color w:val="454551"/>
          <w:sz w:val="18"/>
        </w:rPr>
        <w:t>los</w:t>
      </w:r>
      <w:r>
        <w:rPr>
          <w:i/>
          <w:color w:val="454551"/>
          <w:spacing w:val="-2"/>
          <w:sz w:val="18"/>
        </w:rPr>
        <w:t xml:space="preserve"> </w:t>
      </w:r>
      <w:r>
        <w:rPr>
          <w:i/>
          <w:color w:val="454551"/>
          <w:sz w:val="18"/>
        </w:rPr>
        <w:t>últimos</w:t>
      </w:r>
      <w:r>
        <w:rPr>
          <w:i/>
          <w:color w:val="454551"/>
          <w:spacing w:val="-2"/>
          <w:sz w:val="18"/>
        </w:rPr>
        <w:t xml:space="preserve"> </w:t>
      </w:r>
      <w:r>
        <w:rPr>
          <w:i/>
          <w:color w:val="454551"/>
          <w:sz w:val="18"/>
        </w:rPr>
        <w:t>12</w:t>
      </w:r>
      <w:r>
        <w:rPr>
          <w:i/>
          <w:color w:val="454551"/>
          <w:spacing w:val="-3"/>
          <w:sz w:val="18"/>
        </w:rPr>
        <w:t xml:space="preserve"> </w:t>
      </w:r>
      <w:r>
        <w:rPr>
          <w:i/>
          <w:color w:val="454551"/>
          <w:sz w:val="18"/>
        </w:rPr>
        <w:t>meses,</w:t>
      </w:r>
      <w:r>
        <w:rPr>
          <w:i/>
          <w:color w:val="454551"/>
          <w:spacing w:val="-3"/>
          <w:sz w:val="18"/>
        </w:rPr>
        <w:t xml:space="preserve"> </w:t>
      </w:r>
      <w:r>
        <w:rPr>
          <w:i/>
          <w:color w:val="454551"/>
          <w:sz w:val="18"/>
        </w:rPr>
        <w:t>usted</w:t>
      </w:r>
      <w:r>
        <w:rPr>
          <w:i/>
          <w:color w:val="454551"/>
          <w:spacing w:val="-5"/>
          <w:sz w:val="18"/>
        </w:rPr>
        <w:t xml:space="preserve"> </w:t>
      </w:r>
      <w:r>
        <w:rPr>
          <w:i/>
          <w:color w:val="454551"/>
          <w:sz w:val="18"/>
        </w:rPr>
        <w:t>ha</w:t>
      </w:r>
      <w:r>
        <w:rPr>
          <w:i/>
          <w:color w:val="454551"/>
          <w:spacing w:val="-2"/>
          <w:sz w:val="18"/>
        </w:rPr>
        <w:t xml:space="preserve"> </w:t>
      </w:r>
      <w:r>
        <w:rPr>
          <w:i/>
          <w:color w:val="454551"/>
          <w:sz w:val="18"/>
        </w:rPr>
        <w:t>sentido</w:t>
      </w:r>
      <w:r>
        <w:rPr>
          <w:i/>
          <w:color w:val="454551"/>
          <w:spacing w:val="-1"/>
          <w:sz w:val="18"/>
        </w:rPr>
        <w:t xml:space="preserve"> </w:t>
      </w:r>
      <w:r>
        <w:rPr>
          <w:i/>
          <w:color w:val="454551"/>
          <w:sz w:val="18"/>
        </w:rPr>
        <w:t>que</w:t>
      </w:r>
      <w:r>
        <w:rPr>
          <w:i/>
          <w:color w:val="454551"/>
          <w:spacing w:val="-3"/>
          <w:sz w:val="18"/>
        </w:rPr>
        <w:t xml:space="preserve"> </w:t>
      </w:r>
      <w:r>
        <w:rPr>
          <w:i/>
          <w:color w:val="454551"/>
          <w:sz w:val="18"/>
        </w:rPr>
        <w:t>lo</w:t>
      </w:r>
      <w:r>
        <w:rPr>
          <w:i/>
          <w:color w:val="454551"/>
          <w:spacing w:val="-1"/>
          <w:sz w:val="18"/>
        </w:rPr>
        <w:t xml:space="preserve"> </w:t>
      </w:r>
      <w:r>
        <w:rPr>
          <w:i/>
          <w:color w:val="454551"/>
          <w:sz w:val="18"/>
        </w:rPr>
        <w:t>han</w:t>
      </w:r>
      <w:r>
        <w:rPr>
          <w:i/>
          <w:color w:val="454551"/>
          <w:spacing w:val="-1"/>
          <w:sz w:val="18"/>
        </w:rPr>
        <w:t xml:space="preserve"> </w:t>
      </w:r>
      <w:r>
        <w:rPr>
          <w:i/>
          <w:color w:val="454551"/>
          <w:spacing w:val="-2"/>
          <w:sz w:val="18"/>
        </w:rPr>
        <w:t>discriminado...?</w:t>
      </w:r>
    </w:p>
    <w:p w14:paraId="07169B9F" w14:textId="77777777" w:rsidR="000E52B0" w:rsidRDefault="00F60D74">
      <w:pPr>
        <w:spacing w:line="386" w:lineRule="auto"/>
        <w:ind w:left="2158" w:right="2059"/>
        <w:rPr>
          <w:rFonts w:ascii="Trebuchet MS" w:hAnsi="Trebuchet MS"/>
          <w:sz w:val="18"/>
        </w:rPr>
      </w:pPr>
      <w:r>
        <w:rPr>
          <w:noProof/>
        </w:rPr>
        <w:drawing>
          <wp:inline distT="0" distB="0" distL="0" distR="0" wp14:anchorId="5E098503" wp14:editId="2E40A220">
            <wp:extent cx="62779" cy="62779"/>
            <wp:effectExtent l="0" t="0" r="0" b="0"/>
            <wp:docPr id="576" name="Imag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r:embed="rId192" cstate="print"/>
                    <a:stretch>
                      <a:fillRect/>
                    </a:stretch>
                  </pic:blipFill>
                  <pic:spPr>
                    <a:xfrm>
                      <a:off x="0" y="0"/>
                      <a:ext cx="62779" cy="62779"/>
                    </a:xfrm>
                    <a:prstGeom prst="rect">
                      <a:avLst/>
                    </a:prstGeom>
                  </pic:spPr>
                </pic:pic>
              </a:graphicData>
            </a:graphic>
          </wp:inline>
        </w:drawing>
      </w:r>
      <w:r>
        <w:rPr>
          <w:rFonts w:ascii="Times New Roman" w:hAnsi="Times New Roman"/>
          <w:sz w:val="20"/>
        </w:rPr>
        <w:t xml:space="preserve"> </w:t>
      </w:r>
      <w:r>
        <w:rPr>
          <w:rFonts w:ascii="Trebuchet MS" w:hAnsi="Trebuchet MS"/>
          <w:color w:val="585858"/>
          <w:spacing w:val="-2"/>
          <w:sz w:val="18"/>
        </w:rPr>
        <w:t>Personas</w:t>
      </w:r>
      <w:r>
        <w:rPr>
          <w:rFonts w:ascii="Trebuchet MS" w:hAnsi="Trebuchet MS"/>
          <w:color w:val="585858"/>
          <w:spacing w:val="-9"/>
          <w:sz w:val="18"/>
        </w:rPr>
        <w:t xml:space="preserve"> </w:t>
      </w:r>
      <w:r>
        <w:rPr>
          <w:rFonts w:ascii="Trebuchet MS" w:hAnsi="Trebuchet MS"/>
          <w:color w:val="585858"/>
          <w:spacing w:val="-2"/>
          <w:sz w:val="18"/>
        </w:rPr>
        <w:t>con</w:t>
      </w:r>
      <w:r>
        <w:rPr>
          <w:rFonts w:ascii="Trebuchet MS" w:hAnsi="Trebuchet MS"/>
          <w:color w:val="585858"/>
          <w:spacing w:val="-9"/>
          <w:sz w:val="18"/>
        </w:rPr>
        <w:t xml:space="preserve"> </w:t>
      </w:r>
      <w:r>
        <w:rPr>
          <w:rFonts w:ascii="Trebuchet MS" w:hAnsi="Trebuchet MS"/>
          <w:color w:val="585858"/>
          <w:spacing w:val="-2"/>
          <w:sz w:val="18"/>
        </w:rPr>
        <w:t>orientaciones</w:t>
      </w:r>
      <w:r>
        <w:rPr>
          <w:rFonts w:ascii="Trebuchet MS" w:hAnsi="Trebuchet MS"/>
          <w:color w:val="585858"/>
          <w:spacing w:val="-11"/>
          <w:sz w:val="18"/>
        </w:rPr>
        <w:t xml:space="preserve"> </w:t>
      </w:r>
      <w:r>
        <w:rPr>
          <w:rFonts w:ascii="Trebuchet MS" w:hAnsi="Trebuchet MS"/>
          <w:color w:val="585858"/>
          <w:spacing w:val="-2"/>
          <w:sz w:val="18"/>
        </w:rPr>
        <w:t>sexuales</w:t>
      </w:r>
      <w:r>
        <w:rPr>
          <w:rFonts w:ascii="Trebuchet MS" w:hAnsi="Trebuchet MS"/>
          <w:color w:val="585858"/>
          <w:spacing w:val="-9"/>
          <w:sz w:val="18"/>
        </w:rPr>
        <w:t xml:space="preserve"> </w:t>
      </w:r>
      <w:r>
        <w:rPr>
          <w:rFonts w:ascii="Trebuchet MS" w:hAnsi="Trebuchet MS"/>
          <w:color w:val="585858"/>
          <w:spacing w:val="-2"/>
          <w:sz w:val="18"/>
        </w:rPr>
        <w:t>e</w:t>
      </w:r>
      <w:r>
        <w:rPr>
          <w:rFonts w:ascii="Trebuchet MS" w:hAnsi="Trebuchet MS"/>
          <w:color w:val="585858"/>
          <w:spacing w:val="-10"/>
          <w:sz w:val="18"/>
        </w:rPr>
        <w:t xml:space="preserve"> </w:t>
      </w:r>
      <w:r>
        <w:rPr>
          <w:rFonts w:ascii="Trebuchet MS" w:hAnsi="Trebuchet MS"/>
          <w:color w:val="585858"/>
          <w:spacing w:val="-2"/>
          <w:sz w:val="18"/>
        </w:rPr>
        <w:t>identidades</w:t>
      </w:r>
      <w:r>
        <w:rPr>
          <w:rFonts w:ascii="Trebuchet MS" w:hAnsi="Trebuchet MS"/>
          <w:color w:val="585858"/>
          <w:spacing w:val="-9"/>
          <w:sz w:val="18"/>
        </w:rPr>
        <w:t xml:space="preserve"> </w:t>
      </w:r>
      <w:r>
        <w:rPr>
          <w:rFonts w:ascii="Trebuchet MS" w:hAnsi="Trebuchet MS"/>
          <w:color w:val="585858"/>
          <w:spacing w:val="-2"/>
          <w:sz w:val="18"/>
        </w:rPr>
        <w:t>de</w:t>
      </w:r>
      <w:r>
        <w:rPr>
          <w:rFonts w:ascii="Trebuchet MS" w:hAnsi="Trebuchet MS"/>
          <w:color w:val="585858"/>
          <w:spacing w:val="-10"/>
          <w:sz w:val="18"/>
        </w:rPr>
        <w:t xml:space="preserve"> </w:t>
      </w:r>
      <w:r>
        <w:rPr>
          <w:rFonts w:ascii="Trebuchet MS" w:hAnsi="Trebuchet MS"/>
          <w:color w:val="585858"/>
          <w:spacing w:val="-2"/>
          <w:sz w:val="18"/>
        </w:rPr>
        <w:t>género</w:t>
      </w:r>
      <w:r>
        <w:rPr>
          <w:rFonts w:ascii="Trebuchet MS" w:hAnsi="Trebuchet MS"/>
          <w:color w:val="585858"/>
          <w:spacing w:val="-9"/>
          <w:sz w:val="18"/>
        </w:rPr>
        <w:t xml:space="preserve"> </w:t>
      </w:r>
      <w:r>
        <w:rPr>
          <w:rFonts w:ascii="Trebuchet MS" w:hAnsi="Trebuchet MS"/>
          <w:color w:val="585858"/>
          <w:spacing w:val="-2"/>
          <w:sz w:val="18"/>
        </w:rPr>
        <w:t>no</w:t>
      </w:r>
      <w:r>
        <w:rPr>
          <w:rFonts w:ascii="Trebuchet MS" w:hAnsi="Trebuchet MS"/>
          <w:color w:val="585858"/>
          <w:spacing w:val="-9"/>
          <w:sz w:val="18"/>
        </w:rPr>
        <w:t xml:space="preserve"> </w:t>
      </w:r>
      <w:r>
        <w:rPr>
          <w:rFonts w:ascii="Trebuchet MS" w:hAnsi="Trebuchet MS"/>
          <w:color w:val="585858"/>
          <w:spacing w:val="-2"/>
          <w:sz w:val="18"/>
        </w:rPr>
        <w:t xml:space="preserve">hegemónicas </w:t>
      </w:r>
      <w:r>
        <w:rPr>
          <w:rFonts w:ascii="Trebuchet MS" w:hAnsi="Trebuchet MS"/>
          <w:noProof/>
          <w:color w:val="585858"/>
          <w:sz w:val="18"/>
        </w:rPr>
        <w:drawing>
          <wp:inline distT="0" distB="0" distL="0" distR="0" wp14:anchorId="00987DE5" wp14:editId="75226C9D">
            <wp:extent cx="62779" cy="62779"/>
            <wp:effectExtent l="0" t="0" r="0" b="0"/>
            <wp:docPr id="577" name="Image 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7" name="Image 577"/>
                    <pic:cNvPicPr/>
                  </pic:nvPicPr>
                  <pic:blipFill>
                    <a:blip r:embed="rId193" cstate="print"/>
                    <a:stretch>
                      <a:fillRect/>
                    </a:stretch>
                  </pic:blipFill>
                  <pic:spPr>
                    <a:xfrm>
                      <a:off x="0" y="0"/>
                      <a:ext cx="62779" cy="62779"/>
                    </a:xfrm>
                    <a:prstGeom prst="rect">
                      <a:avLst/>
                    </a:prstGeom>
                  </pic:spPr>
                </pic:pic>
              </a:graphicData>
            </a:graphic>
          </wp:inline>
        </w:drawing>
      </w:r>
      <w:r>
        <w:rPr>
          <w:rFonts w:ascii="Times New Roman" w:hAnsi="Times New Roman"/>
          <w:color w:val="585858"/>
          <w:sz w:val="18"/>
        </w:rPr>
        <w:t xml:space="preserve"> </w:t>
      </w:r>
      <w:r>
        <w:rPr>
          <w:rFonts w:ascii="Trebuchet MS" w:hAnsi="Trebuchet MS"/>
          <w:color w:val="585858"/>
          <w:sz w:val="18"/>
        </w:rPr>
        <w:t xml:space="preserve">Personas </w:t>
      </w:r>
      <w:proofErr w:type="spellStart"/>
      <w:r>
        <w:rPr>
          <w:rFonts w:ascii="Trebuchet MS" w:hAnsi="Trebuchet MS"/>
          <w:color w:val="585858"/>
          <w:sz w:val="18"/>
        </w:rPr>
        <w:t>cisgeneros</w:t>
      </w:r>
      <w:proofErr w:type="spellEnd"/>
      <w:r>
        <w:rPr>
          <w:rFonts w:ascii="Trebuchet MS" w:hAnsi="Trebuchet MS"/>
          <w:color w:val="585858"/>
          <w:sz w:val="18"/>
        </w:rPr>
        <w:t xml:space="preserve"> </w:t>
      </w:r>
      <w:proofErr w:type="spellStart"/>
      <w:r>
        <w:rPr>
          <w:rFonts w:ascii="Trebuchet MS" w:hAnsi="Trebuchet MS"/>
          <w:color w:val="585858"/>
          <w:sz w:val="18"/>
        </w:rPr>
        <w:t>heteronormadas</w:t>
      </w:r>
      <w:proofErr w:type="spellEnd"/>
    </w:p>
    <w:p w14:paraId="095CCD1A" w14:textId="77777777" w:rsidR="000E52B0" w:rsidRDefault="000E52B0">
      <w:pPr>
        <w:pStyle w:val="Textoindependiente"/>
        <w:spacing w:before="92"/>
        <w:ind w:left="0"/>
        <w:rPr>
          <w:rFonts w:ascii="Trebuchet MS"/>
          <w:sz w:val="18"/>
        </w:rPr>
      </w:pPr>
    </w:p>
    <w:p w14:paraId="4835039C" w14:textId="77777777" w:rsidR="000E52B0" w:rsidRDefault="00F60D74">
      <w:pPr>
        <w:tabs>
          <w:tab w:val="left" w:pos="3080"/>
          <w:tab w:val="left" w:pos="4802"/>
        </w:tabs>
        <w:ind w:left="1359"/>
        <w:rPr>
          <w:rFonts w:ascii="Trebuchet MS"/>
          <w:sz w:val="18"/>
        </w:rPr>
      </w:pPr>
      <w:r>
        <w:rPr>
          <w:rFonts w:ascii="Trebuchet MS"/>
          <w:color w:val="404040"/>
          <w:spacing w:val="-4"/>
          <w:w w:val="105"/>
          <w:position w:val="2"/>
          <w:sz w:val="18"/>
        </w:rPr>
        <w:t>7,6%</w:t>
      </w:r>
      <w:r>
        <w:rPr>
          <w:rFonts w:ascii="Trebuchet MS"/>
          <w:color w:val="404040"/>
          <w:position w:val="2"/>
          <w:sz w:val="18"/>
        </w:rPr>
        <w:tab/>
      </w:r>
      <w:r>
        <w:rPr>
          <w:rFonts w:ascii="Trebuchet MS"/>
          <w:color w:val="404040"/>
          <w:spacing w:val="-4"/>
          <w:w w:val="105"/>
          <w:position w:val="2"/>
          <w:sz w:val="18"/>
        </w:rPr>
        <w:t>7,6%</w:t>
      </w:r>
      <w:r>
        <w:rPr>
          <w:rFonts w:ascii="Trebuchet MS"/>
          <w:color w:val="404040"/>
          <w:position w:val="2"/>
          <w:sz w:val="18"/>
        </w:rPr>
        <w:tab/>
      </w:r>
      <w:r>
        <w:rPr>
          <w:rFonts w:ascii="Trebuchet MS"/>
          <w:color w:val="404040"/>
          <w:spacing w:val="-4"/>
          <w:w w:val="105"/>
          <w:sz w:val="18"/>
        </w:rPr>
        <w:t>7,5%</w:t>
      </w:r>
    </w:p>
    <w:p w14:paraId="34D8551C" w14:textId="77777777" w:rsidR="000E52B0" w:rsidRDefault="00F60D74">
      <w:pPr>
        <w:pStyle w:val="Textoindependiente"/>
        <w:spacing w:before="10"/>
        <w:ind w:left="0"/>
        <w:rPr>
          <w:rFonts w:ascii="Trebuchet MS"/>
          <w:sz w:val="4"/>
        </w:rPr>
      </w:pPr>
      <w:r>
        <w:rPr>
          <w:rFonts w:ascii="Trebuchet MS"/>
          <w:noProof/>
          <w:sz w:val="4"/>
        </w:rPr>
        <mc:AlternateContent>
          <mc:Choice Requires="wpg">
            <w:drawing>
              <wp:anchor distT="0" distB="0" distL="0" distR="0" simplePos="0" relativeHeight="487657984" behindDoc="1" locked="0" layoutInCell="1" allowOverlap="1" wp14:anchorId="44ADCC9B" wp14:editId="79B2D7D8">
                <wp:simplePos x="0" y="0"/>
                <wp:positionH relativeFrom="page">
                  <wp:posOffset>1057275</wp:posOffset>
                </wp:positionH>
                <wp:positionV relativeFrom="paragraph">
                  <wp:posOffset>53340</wp:posOffset>
                </wp:positionV>
                <wp:extent cx="5524500" cy="798830"/>
                <wp:effectExtent l="0" t="0" r="19050" b="20320"/>
                <wp:wrapTopAndBottom/>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500" cy="798830"/>
                          <a:chOff x="0" y="0"/>
                          <a:chExt cx="5464175" cy="948055"/>
                        </a:xfrm>
                      </wpg:grpSpPr>
                      <wps:wsp>
                        <wps:cNvPr id="579" name="Graphic 579"/>
                        <wps:cNvSpPr/>
                        <wps:spPr>
                          <a:xfrm>
                            <a:off x="268732" y="0"/>
                            <a:ext cx="4616450" cy="942975"/>
                          </a:xfrm>
                          <a:custGeom>
                            <a:avLst/>
                            <a:gdLst/>
                            <a:ahLst/>
                            <a:cxnLst/>
                            <a:rect l="l" t="t" r="r" b="b"/>
                            <a:pathLst>
                              <a:path w="4616450" h="942975">
                                <a:moveTo>
                                  <a:pt x="245364" y="0"/>
                                </a:moveTo>
                                <a:lnTo>
                                  <a:pt x="0" y="0"/>
                                </a:lnTo>
                                <a:lnTo>
                                  <a:pt x="0" y="942975"/>
                                </a:lnTo>
                                <a:lnTo>
                                  <a:pt x="245364" y="942975"/>
                                </a:lnTo>
                                <a:lnTo>
                                  <a:pt x="245364" y="0"/>
                                </a:lnTo>
                                <a:close/>
                              </a:path>
                              <a:path w="4616450" h="942975">
                                <a:moveTo>
                                  <a:pt x="1338072" y="0"/>
                                </a:moveTo>
                                <a:lnTo>
                                  <a:pt x="1092708" y="0"/>
                                </a:lnTo>
                                <a:lnTo>
                                  <a:pt x="1092708" y="942975"/>
                                </a:lnTo>
                                <a:lnTo>
                                  <a:pt x="1338072" y="942975"/>
                                </a:lnTo>
                                <a:lnTo>
                                  <a:pt x="1338072" y="0"/>
                                </a:lnTo>
                                <a:close/>
                              </a:path>
                              <a:path w="4616450" h="942975">
                                <a:moveTo>
                                  <a:pt x="2430780" y="12192"/>
                                </a:moveTo>
                                <a:lnTo>
                                  <a:pt x="2185416" y="12192"/>
                                </a:lnTo>
                                <a:lnTo>
                                  <a:pt x="2185416" y="942975"/>
                                </a:lnTo>
                                <a:lnTo>
                                  <a:pt x="2430780" y="942975"/>
                                </a:lnTo>
                                <a:lnTo>
                                  <a:pt x="2430780" y="12192"/>
                                </a:lnTo>
                                <a:close/>
                              </a:path>
                              <a:path w="4616450" h="942975">
                                <a:moveTo>
                                  <a:pt x="3523488" y="236220"/>
                                </a:moveTo>
                                <a:lnTo>
                                  <a:pt x="3278124" y="236220"/>
                                </a:lnTo>
                                <a:lnTo>
                                  <a:pt x="3278124" y="942975"/>
                                </a:lnTo>
                                <a:lnTo>
                                  <a:pt x="3523488" y="942975"/>
                                </a:lnTo>
                                <a:lnTo>
                                  <a:pt x="3523488" y="236220"/>
                                </a:lnTo>
                                <a:close/>
                              </a:path>
                              <a:path w="4616450" h="942975">
                                <a:moveTo>
                                  <a:pt x="4616196" y="298704"/>
                                </a:moveTo>
                                <a:lnTo>
                                  <a:pt x="4370832" y="298704"/>
                                </a:lnTo>
                                <a:lnTo>
                                  <a:pt x="4370832" y="942975"/>
                                </a:lnTo>
                                <a:lnTo>
                                  <a:pt x="4616196" y="942975"/>
                                </a:lnTo>
                                <a:lnTo>
                                  <a:pt x="4616196" y="298704"/>
                                </a:lnTo>
                                <a:close/>
                              </a:path>
                            </a:pathLst>
                          </a:custGeom>
                          <a:solidFill>
                            <a:srgbClr val="D70368"/>
                          </a:solidFill>
                        </wps:spPr>
                        <wps:bodyPr wrap="square" lIns="0" tIns="0" rIns="0" bIns="0" rtlCol="0">
                          <a:prstTxWarp prst="textNoShape">
                            <a:avLst/>
                          </a:prstTxWarp>
                          <a:noAutofit/>
                        </wps:bodyPr>
                      </wps:wsp>
                      <wps:wsp>
                        <wps:cNvPr id="580" name="Graphic 580"/>
                        <wps:cNvSpPr/>
                        <wps:spPr>
                          <a:xfrm>
                            <a:off x="579615" y="496823"/>
                            <a:ext cx="4616450" cy="446405"/>
                          </a:xfrm>
                          <a:custGeom>
                            <a:avLst/>
                            <a:gdLst/>
                            <a:ahLst/>
                            <a:cxnLst/>
                            <a:rect l="l" t="t" r="r" b="b"/>
                            <a:pathLst>
                              <a:path w="4616450" h="446405">
                                <a:moveTo>
                                  <a:pt x="245376" y="210312"/>
                                </a:moveTo>
                                <a:lnTo>
                                  <a:pt x="0" y="210312"/>
                                </a:lnTo>
                                <a:lnTo>
                                  <a:pt x="0" y="446151"/>
                                </a:lnTo>
                                <a:lnTo>
                                  <a:pt x="245376" y="446151"/>
                                </a:lnTo>
                                <a:lnTo>
                                  <a:pt x="245376" y="210312"/>
                                </a:lnTo>
                                <a:close/>
                              </a:path>
                              <a:path w="4616450" h="446405">
                                <a:moveTo>
                                  <a:pt x="1338084" y="210312"/>
                                </a:moveTo>
                                <a:lnTo>
                                  <a:pt x="1092720" y="210312"/>
                                </a:lnTo>
                                <a:lnTo>
                                  <a:pt x="1092720" y="446151"/>
                                </a:lnTo>
                                <a:lnTo>
                                  <a:pt x="1338084" y="446151"/>
                                </a:lnTo>
                                <a:lnTo>
                                  <a:pt x="1338084" y="210312"/>
                                </a:lnTo>
                                <a:close/>
                              </a:path>
                              <a:path w="4616450" h="446405">
                                <a:moveTo>
                                  <a:pt x="2430792" y="0"/>
                                </a:moveTo>
                                <a:lnTo>
                                  <a:pt x="2185428" y="0"/>
                                </a:lnTo>
                                <a:lnTo>
                                  <a:pt x="2185428" y="446151"/>
                                </a:lnTo>
                                <a:lnTo>
                                  <a:pt x="2430792" y="446151"/>
                                </a:lnTo>
                                <a:lnTo>
                                  <a:pt x="2430792" y="0"/>
                                </a:lnTo>
                                <a:close/>
                              </a:path>
                              <a:path w="4616450" h="446405">
                                <a:moveTo>
                                  <a:pt x="3523500" y="359664"/>
                                </a:moveTo>
                                <a:lnTo>
                                  <a:pt x="3278136" y="359664"/>
                                </a:lnTo>
                                <a:lnTo>
                                  <a:pt x="3278136" y="446151"/>
                                </a:lnTo>
                                <a:lnTo>
                                  <a:pt x="3523500" y="446151"/>
                                </a:lnTo>
                                <a:lnTo>
                                  <a:pt x="3523500" y="359664"/>
                                </a:lnTo>
                                <a:close/>
                              </a:path>
                              <a:path w="4616450" h="446405">
                                <a:moveTo>
                                  <a:pt x="4616208" y="309372"/>
                                </a:moveTo>
                                <a:lnTo>
                                  <a:pt x="4370844" y="309372"/>
                                </a:lnTo>
                                <a:lnTo>
                                  <a:pt x="4370844" y="446151"/>
                                </a:lnTo>
                                <a:lnTo>
                                  <a:pt x="4616208" y="446151"/>
                                </a:lnTo>
                                <a:lnTo>
                                  <a:pt x="4616208" y="309372"/>
                                </a:lnTo>
                                <a:close/>
                              </a:path>
                            </a:pathLst>
                          </a:custGeom>
                          <a:solidFill>
                            <a:srgbClr val="6F2F9F"/>
                          </a:solidFill>
                        </wps:spPr>
                        <wps:bodyPr wrap="square" lIns="0" tIns="0" rIns="0" bIns="0" rtlCol="0">
                          <a:prstTxWarp prst="textNoShape">
                            <a:avLst/>
                          </a:prstTxWarp>
                          <a:noAutofit/>
                        </wps:bodyPr>
                      </wps:wsp>
                      <wps:wsp>
                        <wps:cNvPr id="581" name="Graphic 581"/>
                        <wps:cNvSpPr/>
                        <wps:spPr>
                          <a:xfrm>
                            <a:off x="0" y="942975"/>
                            <a:ext cx="5464175" cy="1270"/>
                          </a:xfrm>
                          <a:custGeom>
                            <a:avLst/>
                            <a:gdLst/>
                            <a:ahLst/>
                            <a:cxnLst/>
                            <a:rect l="l" t="t" r="r" b="b"/>
                            <a:pathLst>
                              <a:path w="5464175">
                                <a:moveTo>
                                  <a:pt x="0" y="0"/>
                                </a:moveTo>
                                <a:lnTo>
                                  <a:pt x="5464175" y="0"/>
                                </a:lnTo>
                              </a:path>
                            </a:pathLst>
                          </a:custGeom>
                          <a:ln w="9525">
                            <a:solidFill>
                              <a:srgbClr val="D9D9D9"/>
                            </a:solidFill>
                            <a:prstDash val="solid"/>
                          </a:ln>
                        </wps:spPr>
                        <wps:bodyPr wrap="square" lIns="0" tIns="0" rIns="0" bIns="0" rtlCol="0">
                          <a:prstTxWarp prst="textNoShape">
                            <a:avLst/>
                          </a:prstTxWarp>
                          <a:noAutofit/>
                        </wps:bodyPr>
                      </wps:wsp>
                      <wps:wsp>
                        <wps:cNvPr id="582" name="Textbox 582"/>
                        <wps:cNvSpPr txBox="1"/>
                        <wps:spPr>
                          <a:xfrm>
                            <a:off x="3545585" y="38980"/>
                            <a:ext cx="261620" cy="139700"/>
                          </a:xfrm>
                          <a:prstGeom prst="rect">
                            <a:avLst/>
                          </a:prstGeom>
                        </wps:spPr>
                        <wps:txbx>
                          <w:txbxContent>
                            <w:p w14:paraId="46D54C5D" w14:textId="77777777" w:rsidR="000E52B0" w:rsidRDefault="00F60D74">
                              <w:pPr>
                                <w:rPr>
                                  <w:rFonts w:ascii="Trebuchet MS"/>
                                  <w:sz w:val="18"/>
                                </w:rPr>
                              </w:pPr>
                              <w:r>
                                <w:rPr>
                                  <w:rFonts w:ascii="Trebuchet MS"/>
                                  <w:color w:val="404040"/>
                                  <w:spacing w:val="-4"/>
                                  <w:w w:val="105"/>
                                  <w:sz w:val="18"/>
                                </w:rPr>
                                <w:t>5,7%</w:t>
                              </w:r>
                            </w:p>
                          </w:txbxContent>
                        </wps:txbx>
                        <wps:bodyPr wrap="square" lIns="0" tIns="0" rIns="0" bIns="0" rtlCol="0">
                          <a:noAutofit/>
                        </wps:bodyPr>
                      </wps:wsp>
                      <wps:wsp>
                        <wps:cNvPr id="583" name="Textbox 583"/>
                        <wps:cNvSpPr txBox="1"/>
                        <wps:spPr>
                          <a:xfrm>
                            <a:off x="4638675" y="101210"/>
                            <a:ext cx="261620" cy="139700"/>
                          </a:xfrm>
                          <a:prstGeom prst="rect">
                            <a:avLst/>
                          </a:prstGeom>
                        </wps:spPr>
                        <wps:txbx>
                          <w:txbxContent>
                            <w:p w14:paraId="38811A57" w14:textId="77777777" w:rsidR="000E52B0" w:rsidRDefault="00F60D74">
                              <w:pPr>
                                <w:rPr>
                                  <w:rFonts w:ascii="Trebuchet MS"/>
                                  <w:sz w:val="18"/>
                                </w:rPr>
                              </w:pPr>
                              <w:r>
                                <w:rPr>
                                  <w:rFonts w:ascii="Trebuchet MS"/>
                                  <w:color w:val="404040"/>
                                  <w:spacing w:val="-4"/>
                                  <w:w w:val="105"/>
                                  <w:sz w:val="18"/>
                                </w:rPr>
                                <w:t>5,2%</w:t>
                              </w:r>
                            </w:p>
                          </w:txbxContent>
                        </wps:txbx>
                        <wps:bodyPr wrap="square" lIns="0" tIns="0" rIns="0" bIns="0" rtlCol="0">
                          <a:noAutofit/>
                        </wps:bodyPr>
                      </wps:wsp>
                      <wps:wsp>
                        <wps:cNvPr id="584" name="Textbox 584"/>
                        <wps:cNvSpPr txBox="1"/>
                        <wps:spPr>
                          <a:xfrm>
                            <a:off x="2763773" y="299584"/>
                            <a:ext cx="261620" cy="139700"/>
                          </a:xfrm>
                          <a:prstGeom prst="rect">
                            <a:avLst/>
                          </a:prstGeom>
                        </wps:spPr>
                        <wps:txbx>
                          <w:txbxContent>
                            <w:p w14:paraId="5E7C0B72" w14:textId="77777777" w:rsidR="000E52B0" w:rsidRDefault="00F60D74">
                              <w:pPr>
                                <w:rPr>
                                  <w:rFonts w:ascii="Trebuchet MS"/>
                                  <w:sz w:val="18"/>
                                </w:rPr>
                              </w:pPr>
                              <w:r>
                                <w:rPr>
                                  <w:rFonts w:ascii="Trebuchet MS"/>
                                  <w:color w:val="404040"/>
                                  <w:spacing w:val="-4"/>
                                  <w:w w:val="105"/>
                                  <w:sz w:val="18"/>
                                </w:rPr>
                                <w:t>3,6%</w:t>
                              </w:r>
                            </w:p>
                          </w:txbxContent>
                        </wps:txbx>
                        <wps:bodyPr wrap="square" lIns="0" tIns="0" rIns="0" bIns="0" rtlCol="0">
                          <a:noAutofit/>
                        </wps:bodyPr>
                      </wps:wsp>
                      <wps:wsp>
                        <wps:cNvPr id="585" name="Textbox 585"/>
                        <wps:cNvSpPr txBox="1"/>
                        <wps:spPr>
                          <a:xfrm>
                            <a:off x="577469" y="510531"/>
                            <a:ext cx="261620" cy="139700"/>
                          </a:xfrm>
                          <a:prstGeom prst="rect">
                            <a:avLst/>
                          </a:prstGeom>
                        </wps:spPr>
                        <wps:txbx>
                          <w:txbxContent>
                            <w:p w14:paraId="6371D18E" w14:textId="77777777" w:rsidR="000E52B0" w:rsidRDefault="00F60D74">
                              <w:pPr>
                                <w:rPr>
                                  <w:rFonts w:ascii="Trebuchet MS"/>
                                  <w:sz w:val="18"/>
                                </w:rPr>
                              </w:pPr>
                              <w:r>
                                <w:rPr>
                                  <w:rFonts w:ascii="Trebuchet MS"/>
                                  <w:color w:val="404040"/>
                                  <w:spacing w:val="-4"/>
                                  <w:w w:val="105"/>
                                  <w:sz w:val="18"/>
                                </w:rPr>
                                <w:t>1,9%</w:t>
                              </w:r>
                            </w:p>
                          </w:txbxContent>
                        </wps:txbx>
                        <wps:bodyPr wrap="square" lIns="0" tIns="0" rIns="0" bIns="0" rtlCol="0">
                          <a:noAutofit/>
                        </wps:bodyPr>
                      </wps:wsp>
                      <wps:wsp>
                        <wps:cNvPr id="586" name="Textbox 586"/>
                        <wps:cNvSpPr txBox="1"/>
                        <wps:spPr>
                          <a:xfrm>
                            <a:off x="1670811" y="510531"/>
                            <a:ext cx="261620" cy="139700"/>
                          </a:xfrm>
                          <a:prstGeom prst="rect">
                            <a:avLst/>
                          </a:prstGeom>
                        </wps:spPr>
                        <wps:txbx>
                          <w:txbxContent>
                            <w:p w14:paraId="122FFBFB" w14:textId="77777777" w:rsidR="000E52B0" w:rsidRDefault="00F60D74">
                              <w:pPr>
                                <w:rPr>
                                  <w:rFonts w:ascii="Trebuchet MS"/>
                                  <w:sz w:val="18"/>
                                </w:rPr>
                              </w:pPr>
                              <w:r>
                                <w:rPr>
                                  <w:rFonts w:ascii="Trebuchet MS"/>
                                  <w:color w:val="404040"/>
                                  <w:spacing w:val="-4"/>
                                  <w:w w:val="105"/>
                                  <w:sz w:val="18"/>
                                </w:rPr>
                                <w:t>1,9%</w:t>
                              </w:r>
                            </w:p>
                          </w:txbxContent>
                        </wps:txbx>
                        <wps:bodyPr wrap="square" lIns="0" tIns="0" rIns="0" bIns="0" rtlCol="0">
                          <a:noAutofit/>
                        </wps:bodyPr>
                      </wps:wsp>
                      <wps:wsp>
                        <wps:cNvPr id="587" name="Textbox 587"/>
                        <wps:cNvSpPr txBox="1"/>
                        <wps:spPr>
                          <a:xfrm>
                            <a:off x="3856863" y="659248"/>
                            <a:ext cx="261620" cy="139700"/>
                          </a:xfrm>
                          <a:prstGeom prst="rect">
                            <a:avLst/>
                          </a:prstGeom>
                        </wps:spPr>
                        <wps:txbx>
                          <w:txbxContent>
                            <w:p w14:paraId="6CC9CDC1" w14:textId="77777777" w:rsidR="000E52B0" w:rsidRDefault="00F60D74">
                              <w:pPr>
                                <w:rPr>
                                  <w:rFonts w:ascii="Trebuchet MS"/>
                                  <w:sz w:val="18"/>
                                </w:rPr>
                              </w:pPr>
                              <w:r>
                                <w:rPr>
                                  <w:rFonts w:ascii="Trebuchet MS"/>
                                  <w:color w:val="404040"/>
                                  <w:spacing w:val="-4"/>
                                  <w:w w:val="105"/>
                                  <w:sz w:val="18"/>
                                </w:rPr>
                                <w:t>0,7%</w:t>
                              </w:r>
                            </w:p>
                          </w:txbxContent>
                        </wps:txbx>
                        <wps:bodyPr wrap="square" lIns="0" tIns="0" rIns="0" bIns="0" rtlCol="0">
                          <a:noAutofit/>
                        </wps:bodyPr>
                      </wps:wsp>
                      <wps:wsp>
                        <wps:cNvPr id="588" name="Textbox 588"/>
                        <wps:cNvSpPr txBox="1"/>
                        <wps:spPr>
                          <a:xfrm>
                            <a:off x="4949825" y="609591"/>
                            <a:ext cx="261620" cy="139700"/>
                          </a:xfrm>
                          <a:prstGeom prst="rect">
                            <a:avLst/>
                          </a:prstGeom>
                        </wps:spPr>
                        <wps:txbx>
                          <w:txbxContent>
                            <w:p w14:paraId="0A82F90F" w14:textId="77777777" w:rsidR="000E52B0" w:rsidRDefault="00F60D74">
                              <w:pPr>
                                <w:rPr>
                                  <w:rFonts w:ascii="Trebuchet MS"/>
                                  <w:sz w:val="18"/>
                                </w:rPr>
                              </w:pPr>
                              <w:r>
                                <w:rPr>
                                  <w:rFonts w:ascii="Trebuchet MS"/>
                                  <w:color w:val="404040"/>
                                  <w:spacing w:val="-4"/>
                                  <w:w w:val="105"/>
                                  <w:sz w:val="18"/>
                                </w:rPr>
                                <w:t>1,1%</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4ADCC9B" id="Group 578" o:spid="_x0000_s1362" style="position:absolute;margin-left:83.25pt;margin-top:4.2pt;width:435pt;height:62.9pt;z-index:-15658496;mso-wrap-distance-left:0;mso-wrap-distance-right:0;mso-position-horizontal-relative:page;mso-position-vertical-relative:text;mso-width-relative:margin;mso-height-relative:margin" coordsize="54641,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">
                <v:shape id="Graphic 579" o:spid="_x0000_s1363" style="position:absolute;left:2687;width:46164;height:9429;visibility:visible;mso-wrap-style:square;v-text-anchor:top" coordsize="4616450,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" path="m245364,l,,,942975r245364,l245364,xem1338072,l1092708,r,942975l1338072,942975,1338072,xem2430780,12192r-245364,l2185416,942975r245364,l2430780,12192xem3523488,236220r-245364,l3278124,942975r245364,l3523488,236220xem4616196,298704r-245364,l4370832,942975r245364,l4616196,298704xe" fillcolor="#d70368" stroked="f">
                  <v:path arrowok="t"/>
                </v:shape>
                <v:shape id="Graphic 580" o:spid="_x0000_s1364" style="position:absolute;left:5796;top:4968;width:46164;height:4464;visibility:visible;mso-wrap-style:square;v-text-anchor:top" coordsize="4616450,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" path="m245376,210312l,210312,,446151r245376,l245376,210312xem1338084,210312r-245364,l1092720,446151r245364,l1338084,210312xem2430792,l2185428,r,446151l2430792,446151,2430792,xem3523500,359664r-245364,l3278136,446151r245364,l3523500,359664xem4616208,309372r-245364,l4370844,446151r245364,l4616208,309372xe" fillcolor="#6f2f9f" stroked="f">
                  <v:path arrowok="t"/>
                </v:shape>
                <v:shape id="Graphic 581" o:spid="_x0000_s1365" style="position:absolute;top:9429;width:54641;height:13;visibility:visible;mso-wrap-style:square;v-text-anchor:top" coordsize="5464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" path="m,l5464175,e" filled="f" strokecolor="#d9d9d9">
                  <v:path arrowok="t"/>
                </v:shape>
                <v:shape id="Textbox 582" o:spid="_x0000_s1366" type="#_x0000_t202" style="position:absolute;left:35455;top:389;width:261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46D54C5D" w14:textId="77777777" w:rsidR="000E52B0" w:rsidRDefault="00F60D74">
                        <w:pPr>
                          <w:rPr>
                            <w:rFonts w:ascii="Trebuchet MS"/>
                            <w:sz w:val="18"/>
                          </w:rPr>
                        </w:pPr>
                        <w:r>
                          <w:rPr>
                            <w:rFonts w:ascii="Trebuchet MS"/>
                            <w:color w:val="404040"/>
                            <w:spacing w:val="-4"/>
                            <w:w w:val="105"/>
                            <w:sz w:val="18"/>
                          </w:rPr>
                          <w:t>5,7%</w:t>
                        </w:r>
                      </w:p>
                    </w:txbxContent>
                  </v:textbox>
                </v:shape>
                <v:shape id="Textbox 583" o:spid="_x0000_s1367" type="#_x0000_t202" style="position:absolute;left:46386;top:1012;width:261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38811A57" w14:textId="77777777" w:rsidR="000E52B0" w:rsidRDefault="00F60D74">
                        <w:pPr>
                          <w:rPr>
                            <w:rFonts w:ascii="Trebuchet MS"/>
                            <w:sz w:val="18"/>
                          </w:rPr>
                        </w:pPr>
                        <w:r>
                          <w:rPr>
                            <w:rFonts w:ascii="Trebuchet MS"/>
                            <w:color w:val="404040"/>
                            <w:spacing w:val="-4"/>
                            <w:w w:val="105"/>
                            <w:sz w:val="18"/>
                          </w:rPr>
                          <w:t>5,2%</w:t>
                        </w:r>
                      </w:p>
                    </w:txbxContent>
                  </v:textbox>
                </v:shape>
                <v:shape id="Textbox 584" o:spid="_x0000_s1368" type="#_x0000_t202" style="position:absolute;left:27637;top:2995;width:261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5E7C0B72" w14:textId="77777777" w:rsidR="000E52B0" w:rsidRDefault="00F60D74">
                        <w:pPr>
                          <w:rPr>
                            <w:rFonts w:ascii="Trebuchet MS"/>
                            <w:sz w:val="18"/>
                          </w:rPr>
                        </w:pPr>
                        <w:r>
                          <w:rPr>
                            <w:rFonts w:ascii="Trebuchet MS"/>
                            <w:color w:val="404040"/>
                            <w:spacing w:val="-4"/>
                            <w:w w:val="105"/>
                            <w:sz w:val="18"/>
                          </w:rPr>
                          <w:t>3,6%</w:t>
                        </w:r>
                      </w:p>
                    </w:txbxContent>
                  </v:textbox>
                </v:shape>
                <v:shape id="Textbox 585" o:spid="_x0000_s1369" type="#_x0000_t202" style="position:absolute;left:5774;top:5105;width:261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6371D18E" w14:textId="77777777" w:rsidR="000E52B0" w:rsidRDefault="00F60D74">
                        <w:pPr>
                          <w:rPr>
                            <w:rFonts w:ascii="Trebuchet MS"/>
                            <w:sz w:val="18"/>
                          </w:rPr>
                        </w:pPr>
                        <w:r>
                          <w:rPr>
                            <w:rFonts w:ascii="Trebuchet MS"/>
                            <w:color w:val="404040"/>
                            <w:spacing w:val="-4"/>
                            <w:w w:val="105"/>
                            <w:sz w:val="18"/>
                          </w:rPr>
                          <w:t>1,9%</w:t>
                        </w:r>
                      </w:p>
                    </w:txbxContent>
                  </v:textbox>
                </v:shape>
                <v:shape id="Textbox 586" o:spid="_x0000_s1370" type="#_x0000_t202" style="position:absolute;left:16708;top:5105;width:261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122FFBFB" w14:textId="77777777" w:rsidR="000E52B0" w:rsidRDefault="00F60D74">
                        <w:pPr>
                          <w:rPr>
                            <w:rFonts w:ascii="Trebuchet MS"/>
                            <w:sz w:val="18"/>
                          </w:rPr>
                        </w:pPr>
                        <w:r>
                          <w:rPr>
                            <w:rFonts w:ascii="Trebuchet MS"/>
                            <w:color w:val="404040"/>
                            <w:spacing w:val="-4"/>
                            <w:w w:val="105"/>
                            <w:sz w:val="18"/>
                          </w:rPr>
                          <w:t>1,9%</w:t>
                        </w:r>
                      </w:p>
                    </w:txbxContent>
                  </v:textbox>
                </v:shape>
                <v:shape id="Textbox 587" o:spid="_x0000_s1371" type="#_x0000_t202" style="position:absolute;left:38568;top:6592;width:261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6CC9CDC1" w14:textId="77777777" w:rsidR="000E52B0" w:rsidRDefault="00F60D74">
                        <w:pPr>
                          <w:rPr>
                            <w:rFonts w:ascii="Trebuchet MS"/>
                            <w:sz w:val="18"/>
                          </w:rPr>
                        </w:pPr>
                        <w:r>
                          <w:rPr>
                            <w:rFonts w:ascii="Trebuchet MS"/>
                            <w:color w:val="404040"/>
                            <w:spacing w:val="-4"/>
                            <w:w w:val="105"/>
                            <w:sz w:val="18"/>
                          </w:rPr>
                          <w:t>0,7%</w:t>
                        </w:r>
                      </w:p>
                    </w:txbxContent>
                  </v:textbox>
                </v:shape>
                <v:shape id="Textbox 588" o:spid="_x0000_s1372" type="#_x0000_t202" style="position:absolute;left:49498;top:6095;width:261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0A82F90F" w14:textId="77777777" w:rsidR="000E52B0" w:rsidRDefault="00F60D74">
                        <w:pPr>
                          <w:rPr>
                            <w:rFonts w:ascii="Trebuchet MS"/>
                            <w:sz w:val="18"/>
                          </w:rPr>
                        </w:pPr>
                        <w:r>
                          <w:rPr>
                            <w:rFonts w:ascii="Trebuchet MS"/>
                            <w:color w:val="404040"/>
                            <w:spacing w:val="-4"/>
                            <w:w w:val="105"/>
                            <w:sz w:val="18"/>
                          </w:rPr>
                          <w:t>1,1%</w:t>
                        </w:r>
                      </w:p>
                    </w:txbxContent>
                  </v:textbox>
                </v:shape>
                <w10:wrap type="topAndBottom" anchorx="page"/>
              </v:group>
            </w:pict>
          </mc:Fallback>
        </mc:AlternateContent>
      </w:r>
    </w:p>
    <w:p w14:paraId="6A45DA0D" w14:textId="77777777" w:rsidR="000E52B0" w:rsidRDefault="000E52B0">
      <w:pPr>
        <w:pStyle w:val="Textoindependiente"/>
        <w:ind w:left="0"/>
        <w:rPr>
          <w:rFonts w:ascii="Trebuchet MS"/>
          <w:sz w:val="6"/>
        </w:rPr>
      </w:pPr>
    </w:p>
    <w:p w14:paraId="14CB1E7C" w14:textId="77777777" w:rsidR="000E52B0" w:rsidRDefault="000E52B0">
      <w:pPr>
        <w:pStyle w:val="Textoindependiente"/>
        <w:rPr>
          <w:rFonts w:ascii="Trebuchet MS"/>
          <w:sz w:val="6"/>
        </w:rPr>
        <w:sectPr w:rsidR="000E52B0">
          <w:pgSz w:w="11910" w:h="16840"/>
          <w:pgMar w:top="1340" w:right="720" w:bottom="1180" w:left="720" w:header="0" w:footer="995" w:gutter="0"/>
          <w:cols w:space="720"/>
        </w:sectPr>
      </w:pPr>
    </w:p>
    <w:p w14:paraId="4F5D34E4" w14:textId="77777777" w:rsidR="000E52B0" w:rsidRDefault="00F60D74">
      <w:pPr>
        <w:spacing w:before="35" w:line="252" w:lineRule="auto"/>
        <w:ind w:left="977" w:firstLine="1"/>
        <w:jc w:val="center"/>
        <w:rPr>
          <w:rFonts w:ascii="Trebuchet MS" w:hAnsi="Trebuchet MS"/>
          <w:sz w:val="18"/>
        </w:rPr>
      </w:pPr>
      <w:r>
        <w:rPr>
          <w:rFonts w:ascii="Trebuchet MS" w:hAnsi="Trebuchet MS"/>
          <w:color w:val="585858"/>
          <w:sz w:val="18"/>
        </w:rPr>
        <w:t>Por</w:t>
      </w:r>
      <w:r>
        <w:rPr>
          <w:rFonts w:ascii="Trebuchet MS" w:hAnsi="Trebuchet MS"/>
          <w:color w:val="585858"/>
          <w:spacing w:val="-4"/>
          <w:sz w:val="18"/>
        </w:rPr>
        <w:t xml:space="preserve"> </w:t>
      </w:r>
      <w:r>
        <w:rPr>
          <w:rFonts w:ascii="Trebuchet MS" w:hAnsi="Trebuchet MS"/>
          <w:color w:val="585858"/>
          <w:sz w:val="18"/>
        </w:rPr>
        <w:t xml:space="preserve">su orientación </w:t>
      </w:r>
      <w:r>
        <w:rPr>
          <w:rFonts w:ascii="Trebuchet MS" w:hAnsi="Trebuchet MS"/>
          <w:color w:val="585858"/>
          <w:spacing w:val="-4"/>
          <w:sz w:val="18"/>
        </w:rPr>
        <w:t>sexual</w:t>
      </w:r>
      <w:r>
        <w:rPr>
          <w:rFonts w:ascii="Trebuchet MS" w:hAnsi="Trebuchet MS"/>
          <w:color w:val="585858"/>
          <w:spacing w:val="-18"/>
          <w:sz w:val="18"/>
        </w:rPr>
        <w:t xml:space="preserve"> </w:t>
      </w:r>
      <w:r>
        <w:rPr>
          <w:rFonts w:ascii="Trebuchet MS" w:hAnsi="Trebuchet MS"/>
          <w:color w:val="585858"/>
          <w:spacing w:val="-4"/>
          <w:sz w:val="18"/>
        </w:rPr>
        <w:t>o</w:t>
      </w:r>
      <w:r>
        <w:rPr>
          <w:rFonts w:ascii="Trebuchet MS" w:hAnsi="Trebuchet MS"/>
          <w:color w:val="585858"/>
          <w:spacing w:val="-19"/>
          <w:sz w:val="18"/>
        </w:rPr>
        <w:t xml:space="preserve"> </w:t>
      </w:r>
      <w:r>
        <w:rPr>
          <w:rFonts w:ascii="Trebuchet MS" w:hAnsi="Trebuchet MS"/>
          <w:color w:val="585858"/>
          <w:spacing w:val="-4"/>
          <w:sz w:val="18"/>
        </w:rPr>
        <w:t>identidad</w:t>
      </w:r>
      <w:r>
        <w:rPr>
          <w:rFonts w:ascii="Trebuchet MS" w:hAnsi="Trebuchet MS"/>
          <w:color w:val="585858"/>
          <w:spacing w:val="-18"/>
          <w:sz w:val="18"/>
        </w:rPr>
        <w:t xml:space="preserve"> </w:t>
      </w:r>
      <w:r>
        <w:rPr>
          <w:rFonts w:ascii="Trebuchet MS" w:hAnsi="Trebuchet MS"/>
          <w:color w:val="585858"/>
          <w:spacing w:val="-4"/>
          <w:sz w:val="18"/>
        </w:rPr>
        <w:t xml:space="preserve">de </w:t>
      </w:r>
      <w:r>
        <w:rPr>
          <w:rFonts w:ascii="Trebuchet MS" w:hAnsi="Trebuchet MS"/>
          <w:color w:val="585858"/>
          <w:spacing w:val="-2"/>
          <w:sz w:val="18"/>
        </w:rPr>
        <w:t>género</w:t>
      </w:r>
    </w:p>
    <w:p w14:paraId="45C2F15C" w14:textId="77777777" w:rsidR="000E52B0" w:rsidRDefault="00F60D74">
      <w:pPr>
        <w:spacing w:before="35" w:line="252" w:lineRule="auto"/>
        <w:ind w:left="568" w:right="-3" w:hanging="416"/>
        <w:rPr>
          <w:rFonts w:ascii="Trebuchet MS" w:hAnsi="Trebuchet MS"/>
          <w:sz w:val="18"/>
        </w:rPr>
      </w:pPr>
      <w:r>
        <w:br w:type="column"/>
      </w:r>
      <w:r>
        <w:rPr>
          <w:rFonts w:ascii="Trebuchet MS" w:hAnsi="Trebuchet MS"/>
          <w:color w:val="585858"/>
          <w:spacing w:val="-2"/>
          <w:sz w:val="18"/>
        </w:rPr>
        <w:t>Por</w:t>
      </w:r>
      <w:r>
        <w:rPr>
          <w:rFonts w:ascii="Trebuchet MS" w:hAnsi="Trebuchet MS"/>
          <w:color w:val="585858"/>
          <w:spacing w:val="-19"/>
          <w:sz w:val="18"/>
        </w:rPr>
        <w:t xml:space="preserve"> </w:t>
      </w:r>
      <w:r>
        <w:rPr>
          <w:rFonts w:ascii="Trebuchet MS" w:hAnsi="Trebuchet MS"/>
          <w:color w:val="585858"/>
          <w:spacing w:val="-2"/>
          <w:sz w:val="18"/>
        </w:rPr>
        <w:t>su</w:t>
      </w:r>
      <w:r>
        <w:rPr>
          <w:rFonts w:ascii="Trebuchet MS" w:hAnsi="Trebuchet MS"/>
          <w:color w:val="585858"/>
          <w:spacing w:val="-16"/>
          <w:sz w:val="18"/>
        </w:rPr>
        <w:t xml:space="preserve"> </w:t>
      </w:r>
      <w:r>
        <w:rPr>
          <w:rFonts w:ascii="Trebuchet MS" w:hAnsi="Trebuchet MS"/>
          <w:color w:val="585858"/>
          <w:spacing w:val="-2"/>
          <w:sz w:val="18"/>
        </w:rPr>
        <w:t>orientación política</w:t>
      </w:r>
    </w:p>
    <w:p w14:paraId="62B22ACA" w14:textId="77777777" w:rsidR="000E52B0" w:rsidRDefault="00F60D74">
      <w:pPr>
        <w:spacing w:before="35" w:line="252" w:lineRule="auto"/>
        <w:ind w:left="327"/>
        <w:rPr>
          <w:rFonts w:ascii="Trebuchet MS" w:hAnsi="Trebuchet MS"/>
          <w:sz w:val="18"/>
        </w:rPr>
      </w:pPr>
      <w:r>
        <w:br w:type="column"/>
      </w:r>
      <w:r>
        <w:rPr>
          <w:rFonts w:ascii="Trebuchet MS" w:hAnsi="Trebuchet MS"/>
          <w:color w:val="585858"/>
          <w:sz w:val="18"/>
        </w:rPr>
        <w:t>Por</w:t>
      </w:r>
      <w:r>
        <w:rPr>
          <w:rFonts w:ascii="Trebuchet MS" w:hAnsi="Trebuchet MS"/>
          <w:color w:val="585858"/>
          <w:spacing w:val="-19"/>
          <w:sz w:val="18"/>
        </w:rPr>
        <w:t xml:space="preserve"> </w:t>
      </w:r>
      <w:r>
        <w:rPr>
          <w:rFonts w:ascii="Trebuchet MS" w:hAnsi="Trebuchet MS"/>
          <w:color w:val="585858"/>
          <w:sz w:val="18"/>
        </w:rPr>
        <w:t>su</w:t>
      </w:r>
      <w:r>
        <w:rPr>
          <w:rFonts w:ascii="Trebuchet MS" w:hAnsi="Trebuchet MS"/>
          <w:color w:val="585858"/>
          <w:spacing w:val="-16"/>
          <w:sz w:val="18"/>
        </w:rPr>
        <w:t xml:space="preserve"> </w:t>
      </w:r>
      <w:r>
        <w:rPr>
          <w:rFonts w:ascii="Trebuchet MS" w:hAnsi="Trebuchet MS"/>
          <w:color w:val="585858"/>
          <w:sz w:val="18"/>
        </w:rPr>
        <w:t xml:space="preserve">condición </w:t>
      </w:r>
      <w:r>
        <w:rPr>
          <w:rFonts w:ascii="Trebuchet MS" w:hAnsi="Trebuchet MS"/>
          <w:color w:val="585858"/>
          <w:spacing w:val="-2"/>
          <w:sz w:val="18"/>
        </w:rPr>
        <w:t>socioeconómica</w:t>
      </w:r>
    </w:p>
    <w:p w14:paraId="68207573" w14:textId="77777777" w:rsidR="000E52B0" w:rsidRDefault="00F60D74">
      <w:pPr>
        <w:tabs>
          <w:tab w:val="left" w:pos="1964"/>
        </w:tabs>
        <w:spacing w:before="35"/>
        <w:ind w:left="589"/>
        <w:rPr>
          <w:rFonts w:ascii="Trebuchet MS" w:hAnsi="Trebuchet MS"/>
          <w:sz w:val="18"/>
        </w:rPr>
      </w:pPr>
      <w:r>
        <w:br w:type="column"/>
      </w:r>
      <w:r>
        <w:rPr>
          <w:rFonts w:ascii="Trebuchet MS" w:hAnsi="Trebuchet MS"/>
          <w:color w:val="585858"/>
          <w:sz w:val="18"/>
        </w:rPr>
        <w:t>Por</w:t>
      </w:r>
      <w:r>
        <w:rPr>
          <w:rFonts w:ascii="Trebuchet MS" w:hAnsi="Trebuchet MS"/>
          <w:color w:val="585858"/>
          <w:spacing w:val="-15"/>
          <w:sz w:val="18"/>
        </w:rPr>
        <w:t xml:space="preserve"> </w:t>
      </w:r>
      <w:r>
        <w:rPr>
          <w:rFonts w:ascii="Trebuchet MS" w:hAnsi="Trebuchet MS"/>
          <w:color w:val="585858"/>
          <w:sz w:val="18"/>
        </w:rPr>
        <w:t>su</w:t>
      </w:r>
      <w:r>
        <w:rPr>
          <w:rFonts w:ascii="Trebuchet MS" w:hAnsi="Trebuchet MS"/>
          <w:color w:val="585858"/>
          <w:spacing w:val="-11"/>
          <w:sz w:val="18"/>
        </w:rPr>
        <w:t xml:space="preserve"> </w:t>
      </w:r>
      <w:r>
        <w:rPr>
          <w:rFonts w:ascii="Trebuchet MS" w:hAnsi="Trebuchet MS"/>
          <w:color w:val="585858"/>
          <w:spacing w:val="-4"/>
          <w:sz w:val="18"/>
        </w:rPr>
        <w:t>sexo</w:t>
      </w:r>
      <w:r>
        <w:rPr>
          <w:rFonts w:ascii="Trebuchet MS" w:hAnsi="Trebuchet MS"/>
          <w:color w:val="585858"/>
          <w:sz w:val="18"/>
        </w:rPr>
        <w:tab/>
        <w:t>Por</w:t>
      </w:r>
      <w:r>
        <w:rPr>
          <w:rFonts w:ascii="Trebuchet MS" w:hAnsi="Trebuchet MS"/>
          <w:color w:val="585858"/>
          <w:spacing w:val="-19"/>
          <w:sz w:val="18"/>
        </w:rPr>
        <w:t xml:space="preserve"> </w:t>
      </w:r>
      <w:r>
        <w:rPr>
          <w:rFonts w:ascii="Trebuchet MS" w:hAnsi="Trebuchet MS"/>
          <w:color w:val="585858"/>
          <w:sz w:val="18"/>
        </w:rPr>
        <w:t>su</w:t>
      </w:r>
      <w:r>
        <w:rPr>
          <w:rFonts w:ascii="Trebuchet MS" w:hAnsi="Trebuchet MS"/>
          <w:color w:val="585858"/>
          <w:spacing w:val="-14"/>
          <w:sz w:val="18"/>
        </w:rPr>
        <w:t xml:space="preserve"> </w:t>
      </w:r>
      <w:proofErr w:type="spellStart"/>
      <w:r>
        <w:rPr>
          <w:rFonts w:ascii="Trebuchet MS" w:hAnsi="Trebuchet MS"/>
          <w:color w:val="585858"/>
          <w:sz w:val="18"/>
        </w:rPr>
        <w:t>razgos</w:t>
      </w:r>
      <w:proofErr w:type="spellEnd"/>
      <w:r>
        <w:rPr>
          <w:rFonts w:ascii="Trebuchet MS" w:hAnsi="Trebuchet MS"/>
          <w:color w:val="585858"/>
          <w:spacing w:val="-16"/>
          <w:sz w:val="18"/>
        </w:rPr>
        <w:t xml:space="preserve"> </w:t>
      </w:r>
      <w:r>
        <w:rPr>
          <w:rFonts w:ascii="Trebuchet MS" w:hAnsi="Trebuchet MS"/>
          <w:color w:val="585858"/>
          <w:spacing w:val="-2"/>
          <w:sz w:val="18"/>
        </w:rPr>
        <w:t>físicos</w:t>
      </w:r>
    </w:p>
    <w:p w14:paraId="4046B676" w14:textId="77777777" w:rsidR="000E52B0" w:rsidRDefault="000E52B0">
      <w:pPr>
        <w:rPr>
          <w:rFonts w:ascii="Trebuchet MS" w:hAnsi="Trebuchet MS"/>
          <w:sz w:val="18"/>
        </w:rPr>
        <w:sectPr w:rsidR="000E52B0">
          <w:type w:val="continuous"/>
          <w:pgSz w:w="11910" w:h="16840"/>
          <w:pgMar w:top="1340" w:right="720" w:bottom="1280" w:left="720" w:header="0" w:footer="995" w:gutter="0"/>
          <w:cols w:num="4" w:space="720" w:equalWidth="0">
            <w:col w:w="2624" w:space="40"/>
            <w:col w:w="1565" w:space="39"/>
            <w:col w:w="1625" w:space="39"/>
            <w:col w:w="4538"/>
          </w:cols>
        </w:sectPr>
      </w:pPr>
    </w:p>
    <w:p w14:paraId="73D2A61B" w14:textId="77777777" w:rsidR="000E52B0" w:rsidRDefault="00F60D74">
      <w:pPr>
        <w:spacing w:before="130"/>
        <w:ind w:left="1"/>
        <w:jc w:val="center"/>
        <w:rPr>
          <w:i/>
          <w:sz w:val="18"/>
        </w:rPr>
      </w:pPr>
      <w:r>
        <w:rPr>
          <w:i/>
          <w:color w:val="454551"/>
          <w:sz w:val="18"/>
        </w:rPr>
        <w:t>Fuente</w:t>
      </w:r>
      <w:r>
        <w:rPr>
          <w:i/>
          <w:color w:val="454551"/>
          <w:spacing w:val="-3"/>
          <w:sz w:val="18"/>
        </w:rPr>
        <w:t xml:space="preserve"> </w:t>
      </w:r>
      <w:r>
        <w:rPr>
          <w:i/>
          <w:color w:val="454551"/>
          <w:sz w:val="18"/>
        </w:rPr>
        <w:t>37.</w:t>
      </w:r>
      <w:r>
        <w:rPr>
          <w:i/>
          <w:color w:val="454551"/>
          <w:spacing w:val="-3"/>
          <w:sz w:val="18"/>
        </w:rPr>
        <w:t xml:space="preserve"> </w:t>
      </w:r>
      <w:r>
        <w:rPr>
          <w:i/>
          <w:color w:val="454551"/>
          <w:sz w:val="18"/>
        </w:rPr>
        <w:t>Elaboración</w:t>
      </w:r>
      <w:r>
        <w:rPr>
          <w:i/>
          <w:color w:val="454551"/>
          <w:spacing w:val="-1"/>
          <w:sz w:val="18"/>
        </w:rPr>
        <w:t xml:space="preserve"> </w:t>
      </w:r>
      <w:r>
        <w:rPr>
          <w:i/>
          <w:color w:val="454551"/>
          <w:sz w:val="18"/>
        </w:rPr>
        <w:t>propia</w:t>
      </w:r>
      <w:r>
        <w:rPr>
          <w:i/>
          <w:color w:val="454551"/>
          <w:spacing w:val="-2"/>
          <w:sz w:val="18"/>
        </w:rPr>
        <w:t xml:space="preserve"> </w:t>
      </w:r>
      <w:r>
        <w:rPr>
          <w:i/>
          <w:color w:val="454551"/>
          <w:sz w:val="18"/>
        </w:rPr>
        <w:t>a</w:t>
      </w:r>
      <w:r>
        <w:rPr>
          <w:i/>
          <w:color w:val="454551"/>
          <w:spacing w:val="-2"/>
          <w:sz w:val="18"/>
        </w:rPr>
        <w:t xml:space="preserve"> </w:t>
      </w:r>
      <w:r>
        <w:rPr>
          <w:i/>
          <w:color w:val="454551"/>
          <w:sz w:val="18"/>
        </w:rPr>
        <w:t>partir</w:t>
      </w:r>
      <w:r>
        <w:rPr>
          <w:i/>
          <w:color w:val="454551"/>
          <w:spacing w:val="-2"/>
          <w:sz w:val="18"/>
        </w:rPr>
        <w:t xml:space="preserve"> </w:t>
      </w:r>
      <w:r>
        <w:rPr>
          <w:i/>
          <w:color w:val="454551"/>
          <w:sz w:val="18"/>
        </w:rPr>
        <w:t>de</w:t>
      </w:r>
      <w:r>
        <w:rPr>
          <w:i/>
          <w:color w:val="454551"/>
          <w:spacing w:val="-1"/>
          <w:sz w:val="18"/>
        </w:rPr>
        <w:t xml:space="preserve"> </w:t>
      </w:r>
      <w:r>
        <w:rPr>
          <w:i/>
          <w:color w:val="454551"/>
          <w:sz w:val="18"/>
        </w:rPr>
        <w:t>los</w:t>
      </w:r>
      <w:r>
        <w:rPr>
          <w:i/>
          <w:color w:val="454551"/>
          <w:spacing w:val="-2"/>
          <w:sz w:val="18"/>
        </w:rPr>
        <w:t xml:space="preserve"> </w:t>
      </w:r>
      <w:r>
        <w:rPr>
          <w:i/>
          <w:color w:val="454551"/>
          <w:sz w:val="18"/>
        </w:rPr>
        <w:t>datos</w:t>
      </w:r>
      <w:r>
        <w:rPr>
          <w:i/>
          <w:color w:val="454551"/>
          <w:spacing w:val="-2"/>
          <w:sz w:val="18"/>
        </w:rPr>
        <w:t xml:space="preserve"> </w:t>
      </w:r>
      <w:r>
        <w:rPr>
          <w:i/>
          <w:color w:val="454551"/>
          <w:sz w:val="18"/>
        </w:rPr>
        <w:t>de</w:t>
      </w:r>
      <w:r>
        <w:rPr>
          <w:i/>
          <w:color w:val="454551"/>
          <w:spacing w:val="-4"/>
          <w:sz w:val="18"/>
        </w:rPr>
        <w:t xml:space="preserve"> </w:t>
      </w:r>
      <w:r>
        <w:rPr>
          <w:i/>
          <w:color w:val="454551"/>
          <w:sz w:val="18"/>
        </w:rPr>
        <w:t>la</w:t>
      </w:r>
      <w:r>
        <w:rPr>
          <w:i/>
          <w:color w:val="454551"/>
          <w:spacing w:val="-2"/>
          <w:sz w:val="18"/>
        </w:rPr>
        <w:t xml:space="preserve"> </w:t>
      </w:r>
      <w:r>
        <w:rPr>
          <w:i/>
          <w:color w:val="454551"/>
          <w:sz w:val="18"/>
        </w:rPr>
        <w:t>ECP</w:t>
      </w:r>
      <w:r>
        <w:rPr>
          <w:i/>
          <w:color w:val="454551"/>
          <w:spacing w:val="-1"/>
          <w:sz w:val="18"/>
        </w:rPr>
        <w:t xml:space="preserve"> </w:t>
      </w:r>
      <w:r>
        <w:rPr>
          <w:i/>
          <w:color w:val="454551"/>
          <w:sz w:val="18"/>
        </w:rPr>
        <w:t>2023</w:t>
      </w:r>
      <w:r>
        <w:rPr>
          <w:i/>
          <w:color w:val="454551"/>
          <w:spacing w:val="3"/>
          <w:sz w:val="18"/>
        </w:rPr>
        <w:t xml:space="preserve"> </w:t>
      </w:r>
      <w:r>
        <w:rPr>
          <w:i/>
          <w:color w:val="454551"/>
          <w:sz w:val="18"/>
        </w:rPr>
        <w:t>–</w:t>
      </w:r>
      <w:r>
        <w:rPr>
          <w:i/>
          <w:color w:val="454551"/>
          <w:spacing w:val="-1"/>
          <w:sz w:val="18"/>
        </w:rPr>
        <w:t xml:space="preserve"> </w:t>
      </w:r>
      <w:r>
        <w:rPr>
          <w:i/>
          <w:color w:val="454551"/>
          <w:spacing w:val="-4"/>
          <w:sz w:val="18"/>
        </w:rPr>
        <w:t>DANE</w:t>
      </w:r>
    </w:p>
    <w:p w14:paraId="733B4075" w14:textId="77777777" w:rsidR="000E52B0" w:rsidRDefault="00F60D74">
      <w:pPr>
        <w:spacing w:before="201"/>
        <w:ind w:left="720" w:right="717"/>
        <w:jc w:val="both"/>
        <w:rPr>
          <w:sz w:val="24"/>
        </w:rPr>
      </w:pPr>
      <w:r>
        <w:rPr>
          <w:noProof/>
          <w:sz w:val="24"/>
        </w:rPr>
        <mc:AlternateContent>
          <mc:Choice Requires="wps">
            <w:drawing>
              <wp:anchor distT="0" distB="0" distL="0" distR="0" simplePos="0" relativeHeight="15799808" behindDoc="0" locked="0" layoutInCell="1" allowOverlap="1" wp14:anchorId="4106412F" wp14:editId="27FF904D">
                <wp:simplePos x="0" y="0"/>
                <wp:positionH relativeFrom="page">
                  <wp:posOffset>914704</wp:posOffset>
                </wp:positionH>
                <wp:positionV relativeFrom="paragraph">
                  <wp:posOffset>852366</wp:posOffset>
                </wp:positionV>
                <wp:extent cx="5328920" cy="9525"/>
                <wp:effectExtent l="0" t="0" r="0" b="0"/>
                <wp:wrapNone/>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8920" cy="9525"/>
                        </a:xfrm>
                        <a:custGeom>
                          <a:avLst/>
                          <a:gdLst/>
                          <a:ahLst/>
                          <a:cxnLst/>
                          <a:rect l="l" t="t" r="r" b="b"/>
                          <a:pathLst>
                            <a:path w="5328920" h="9525">
                              <a:moveTo>
                                <a:pt x="5328793" y="0"/>
                              </a:moveTo>
                              <a:lnTo>
                                <a:pt x="0" y="0"/>
                              </a:lnTo>
                              <a:lnTo>
                                <a:pt x="0" y="9144"/>
                              </a:lnTo>
                              <a:lnTo>
                                <a:pt x="5328793" y="9144"/>
                              </a:lnTo>
                              <a:lnTo>
                                <a:pt x="53287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7B1104" id="Graphic 589" o:spid="_x0000_s1026" style="position:absolute;margin-left:1in;margin-top:67.1pt;width:419.6pt;height:.75pt;z-index:15799808;visibility:visible;mso-wrap-style:square;mso-wrap-distance-left:0;mso-wrap-distance-top:0;mso-wrap-distance-right:0;mso-wrap-distance-bottom:0;mso-position-horizontal:absolute;mso-position-horizontal-relative:page;mso-position-vertical:absolute;mso-position-vertical-relative:text;v-text-anchor:top" coordsize="53289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" path="m5328793,l,,,9144r5328793,l5328793,xe" fillcolor="black" stroked="f">
                <v:path arrowok="t"/>
                <w10:wrap anchorx="page"/>
              </v:shape>
            </w:pict>
          </mc:Fallback>
        </mc:AlternateContent>
      </w:r>
      <w:r>
        <w:rPr>
          <w:sz w:val="24"/>
        </w:rPr>
        <w:t>Asimismo, la falta de oportunidades educativas y laborales hace que las mujeres</w:t>
      </w:r>
      <w:r>
        <w:rPr>
          <w:spacing w:val="-3"/>
          <w:sz w:val="24"/>
        </w:rPr>
        <w:t xml:space="preserve"> </w:t>
      </w:r>
      <w:r>
        <w:rPr>
          <w:sz w:val="24"/>
        </w:rPr>
        <w:t>y</w:t>
      </w:r>
      <w:r>
        <w:rPr>
          <w:spacing w:val="-3"/>
          <w:sz w:val="24"/>
        </w:rPr>
        <w:t xml:space="preserve"> </w:t>
      </w:r>
      <w:r>
        <w:rPr>
          <w:sz w:val="24"/>
        </w:rPr>
        <w:t>hombres</w:t>
      </w:r>
      <w:r>
        <w:rPr>
          <w:spacing w:val="-3"/>
          <w:sz w:val="24"/>
        </w:rPr>
        <w:t xml:space="preserve"> </w:t>
      </w:r>
      <w:r>
        <w:rPr>
          <w:sz w:val="24"/>
        </w:rPr>
        <w:t>trans</w:t>
      </w:r>
      <w:r>
        <w:rPr>
          <w:spacing w:val="-3"/>
          <w:sz w:val="24"/>
        </w:rPr>
        <w:t xml:space="preserve"> </w:t>
      </w:r>
      <w:r>
        <w:rPr>
          <w:sz w:val="24"/>
        </w:rPr>
        <w:t>sean</w:t>
      </w:r>
      <w:r>
        <w:rPr>
          <w:spacing w:val="-2"/>
          <w:sz w:val="24"/>
        </w:rPr>
        <w:t xml:space="preserve"> </w:t>
      </w:r>
      <w:r>
        <w:rPr>
          <w:sz w:val="24"/>
        </w:rPr>
        <w:t>más</w:t>
      </w:r>
      <w:r>
        <w:rPr>
          <w:spacing w:val="-2"/>
          <w:sz w:val="24"/>
        </w:rPr>
        <w:t xml:space="preserve"> </w:t>
      </w:r>
      <w:r>
        <w:rPr>
          <w:sz w:val="24"/>
        </w:rPr>
        <w:t>vulnerables</w:t>
      </w:r>
      <w:r>
        <w:rPr>
          <w:spacing w:val="-3"/>
          <w:sz w:val="24"/>
        </w:rPr>
        <w:t xml:space="preserve"> </w:t>
      </w:r>
      <w:r>
        <w:rPr>
          <w:sz w:val="24"/>
        </w:rPr>
        <w:t>a</w:t>
      </w:r>
      <w:r>
        <w:rPr>
          <w:spacing w:val="-2"/>
          <w:sz w:val="24"/>
        </w:rPr>
        <w:t xml:space="preserve"> </w:t>
      </w:r>
      <w:r>
        <w:rPr>
          <w:sz w:val="24"/>
        </w:rPr>
        <w:t>la</w:t>
      </w:r>
      <w:r>
        <w:rPr>
          <w:spacing w:val="-1"/>
          <w:sz w:val="24"/>
        </w:rPr>
        <w:t xml:space="preserve"> </w:t>
      </w:r>
      <w:r>
        <w:rPr>
          <w:sz w:val="24"/>
        </w:rPr>
        <w:t>violencia,</w:t>
      </w:r>
      <w:r>
        <w:rPr>
          <w:spacing w:val="-4"/>
          <w:sz w:val="24"/>
        </w:rPr>
        <w:t xml:space="preserve"> </w:t>
      </w:r>
      <w:r>
        <w:rPr>
          <w:sz w:val="24"/>
        </w:rPr>
        <w:t xml:space="preserve">y </w:t>
      </w:r>
      <w:r>
        <w:rPr>
          <w:i/>
          <w:sz w:val="24"/>
          <w:u w:val="single"/>
        </w:rPr>
        <w:t>en</w:t>
      </w:r>
      <w:r>
        <w:rPr>
          <w:i/>
          <w:spacing w:val="-3"/>
          <w:sz w:val="24"/>
          <w:u w:val="single"/>
        </w:rPr>
        <w:t xml:space="preserve"> </w:t>
      </w:r>
      <w:r>
        <w:rPr>
          <w:i/>
          <w:sz w:val="24"/>
          <w:u w:val="single"/>
        </w:rPr>
        <w:t>el</w:t>
      </w:r>
      <w:r>
        <w:rPr>
          <w:i/>
          <w:spacing w:val="-3"/>
          <w:sz w:val="24"/>
          <w:u w:val="single"/>
        </w:rPr>
        <w:t xml:space="preserve"> </w:t>
      </w:r>
      <w:r>
        <w:rPr>
          <w:i/>
          <w:sz w:val="24"/>
          <w:u w:val="single"/>
        </w:rPr>
        <w:t>caso</w:t>
      </w:r>
      <w:r>
        <w:rPr>
          <w:i/>
          <w:sz w:val="24"/>
        </w:rPr>
        <w:t xml:space="preserve"> </w:t>
      </w:r>
      <w:r>
        <w:rPr>
          <w:i/>
          <w:sz w:val="24"/>
          <w:u w:val="single"/>
        </w:rPr>
        <w:t>de las personas trans asesinadas en 2017, el 63% se dedicaba al trabajo</w:t>
      </w:r>
      <w:r>
        <w:rPr>
          <w:i/>
          <w:sz w:val="24"/>
        </w:rPr>
        <w:t xml:space="preserve"> sexual y ninguna se dedicaba a actividades profesionales o técnicas</w:t>
      </w:r>
      <w:hyperlink w:anchor="_bookmark81" w:history="1">
        <w:r w:rsidR="000E52B0">
          <w:rPr>
            <w:i/>
            <w:position w:val="8"/>
            <w:sz w:val="16"/>
          </w:rPr>
          <w:t>68</w:t>
        </w:r>
      </w:hyperlink>
      <w:r>
        <w:rPr>
          <w:sz w:val="24"/>
        </w:rPr>
        <w:t>.</w:t>
      </w:r>
    </w:p>
    <w:p w14:paraId="4324C303" w14:textId="77777777" w:rsidR="000E52B0" w:rsidRDefault="00F60D74">
      <w:pPr>
        <w:spacing w:before="160"/>
        <w:ind w:left="720" w:right="719"/>
        <w:jc w:val="both"/>
        <w:rPr>
          <w:sz w:val="24"/>
        </w:rPr>
      </w:pPr>
      <w:r>
        <w:rPr>
          <w:sz w:val="24"/>
        </w:rPr>
        <w:t xml:space="preserve">De acuerdo con información del Observatorio de Violencias del Instituto Nacional de Medicina Legal y Ciencias Forenses (INML-CF), para 2022, al menos 42 personas LGBTIQ+ fueron asesinadas, es decir en Colombia, durante 2022, </w:t>
      </w:r>
      <w:r>
        <w:rPr>
          <w:b/>
          <w:sz w:val="24"/>
        </w:rPr>
        <w:t>cada semana fue asesinada una persona con orientación sexual e identidad de género no hegemónica</w:t>
      </w:r>
      <w:r>
        <w:rPr>
          <w:sz w:val="24"/>
        </w:rPr>
        <w:t>.</w:t>
      </w:r>
    </w:p>
    <w:p w14:paraId="745A2354" w14:textId="77777777" w:rsidR="000E52B0" w:rsidRDefault="00F60D74">
      <w:pPr>
        <w:pStyle w:val="Textoindependiente"/>
        <w:spacing w:before="162"/>
        <w:jc w:val="both"/>
      </w:pPr>
      <w:r>
        <w:t>Además</w:t>
      </w:r>
      <w:r>
        <w:rPr>
          <w:spacing w:val="-3"/>
        </w:rPr>
        <w:t xml:space="preserve"> </w:t>
      </w:r>
      <w:r>
        <w:t>de</w:t>
      </w:r>
      <w:r>
        <w:rPr>
          <w:spacing w:val="-2"/>
        </w:rPr>
        <w:t xml:space="preserve"> esto,</w:t>
      </w:r>
    </w:p>
    <w:p w14:paraId="410A342B" w14:textId="77777777" w:rsidR="000E52B0" w:rsidRDefault="00F60D74">
      <w:pPr>
        <w:pStyle w:val="Prrafodelista"/>
        <w:numPr>
          <w:ilvl w:val="0"/>
          <w:numId w:val="52"/>
        </w:numPr>
        <w:tabs>
          <w:tab w:val="left" w:pos="1440"/>
          <w:tab w:val="left" w:pos="2253"/>
          <w:tab w:val="left" w:pos="2867"/>
          <w:tab w:val="left" w:pos="3273"/>
          <w:tab w:val="left" w:pos="4611"/>
          <w:tab w:val="left" w:pos="5863"/>
          <w:tab w:val="left" w:pos="6896"/>
          <w:tab w:val="left" w:pos="8144"/>
          <w:tab w:val="left" w:pos="8690"/>
        </w:tabs>
        <w:spacing w:before="162" w:line="237" w:lineRule="auto"/>
        <w:ind w:right="727"/>
        <w:rPr>
          <w:sz w:val="24"/>
        </w:rPr>
      </w:pPr>
      <w:r>
        <w:rPr>
          <w:spacing w:val="-4"/>
          <w:sz w:val="24"/>
        </w:rPr>
        <w:t>cada</w:t>
      </w:r>
      <w:r>
        <w:rPr>
          <w:sz w:val="24"/>
        </w:rPr>
        <w:tab/>
      </w:r>
      <w:r>
        <w:rPr>
          <w:spacing w:val="-4"/>
          <w:sz w:val="24"/>
        </w:rPr>
        <w:t>día</w:t>
      </w:r>
      <w:r>
        <w:rPr>
          <w:sz w:val="24"/>
        </w:rPr>
        <w:tab/>
      </w:r>
      <w:r>
        <w:rPr>
          <w:spacing w:val="-10"/>
          <w:sz w:val="24"/>
        </w:rPr>
        <w:t>2</w:t>
      </w:r>
      <w:r>
        <w:rPr>
          <w:sz w:val="24"/>
        </w:rPr>
        <w:tab/>
      </w:r>
      <w:r>
        <w:rPr>
          <w:spacing w:val="-2"/>
          <w:sz w:val="24"/>
        </w:rPr>
        <w:t>personas</w:t>
      </w:r>
      <w:r>
        <w:rPr>
          <w:sz w:val="24"/>
        </w:rPr>
        <w:tab/>
      </w:r>
      <w:r>
        <w:rPr>
          <w:spacing w:val="-2"/>
          <w:sz w:val="24"/>
        </w:rPr>
        <w:t>OSIGNH</w:t>
      </w:r>
      <w:r>
        <w:rPr>
          <w:sz w:val="24"/>
        </w:rPr>
        <w:tab/>
      </w:r>
      <w:r>
        <w:rPr>
          <w:spacing w:val="-2"/>
          <w:sz w:val="24"/>
        </w:rPr>
        <w:t>fueron</w:t>
      </w:r>
      <w:r>
        <w:rPr>
          <w:sz w:val="24"/>
        </w:rPr>
        <w:tab/>
      </w:r>
      <w:r>
        <w:rPr>
          <w:spacing w:val="-2"/>
          <w:sz w:val="24"/>
        </w:rPr>
        <w:t>víctimas</w:t>
      </w:r>
      <w:r>
        <w:rPr>
          <w:sz w:val="24"/>
        </w:rPr>
        <w:tab/>
      </w:r>
      <w:r>
        <w:rPr>
          <w:spacing w:val="-6"/>
          <w:sz w:val="24"/>
        </w:rPr>
        <w:t>de</w:t>
      </w:r>
      <w:r>
        <w:rPr>
          <w:sz w:val="24"/>
        </w:rPr>
        <w:tab/>
      </w:r>
      <w:r>
        <w:rPr>
          <w:spacing w:val="-2"/>
          <w:sz w:val="24"/>
        </w:rPr>
        <w:t xml:space="preserve">violencia </w:t>
      </w:r>
      <w:r>
        <w:rPr>
          <w:sz w:val="24"/>
        </w:rPr>
        <w:t>interpersonal, en total 840 casos en 2022.</w:t>
      </w:r>
    </w:p>
    <w:p w14:paraId="3F8029C4" w14:textId="77777777" w:rsidR="000E52B0" w:rsidRDefault="00F60D74">
      <w:pPr>
        <w:pStyle w:val="Prrafodelista"/>
        <w:numPr>
          <w:ilvl w:val="0"/>
          <w:numId w:val="52"/>
        </w:numPr>
        <w:tabs>
          <w:tab w:val="left" w:pos="1440"/>
        </w:tabs>
        <w:spacing w:before="1" w:line="292" w:lineRule="exact"/>
        <w:rPr>
          <w:sz w:val="24"/>
        </w:rPr>
      </w:pPr>
      <w:r>
        <w:rPr>
          <w:sz w:val="24"/>
        </w:rPr>
        <w:t>3</w:t>
      </w:r>
      <w:r>
        <w:rPr>
          <w:spacing w:val="-6"/>
          <w:sz w:val="24"/>
        </w:rPr>
        <w:t xml:space="preserve"> </w:t>
      </w:r>
      <w:r>
        <w:rPr>
          <w:sz w:val="24"/>
        </w:rPr>
        <w:t>personas</w:t>
      </w:r>
      <w:r>
        <w:rPr>
          <w:spacing w:val="-4"/>
          <w:sz w:val="24"/>
        </w:rPr>
        <w:t xml:space="preserve"> </w:t>
      </w:r>
      <w:r>
        <w:rPr>
          <w:sz w:val="24"/>
        </w:rPr>
        <w:t>OSIGNH</w:t>
      </w:r>
      <w:r>
        <w:rPr>
          <w:spacing w:val="-6"/>
          <w:sz w:val="24"/>
        </w:rPr>
        <w:t xml:space="preserve"> </w:t>
      </w:r>
      <w:r>
        <w:rPr>
          <w:sz w:val="24"/>
        </w:rPr>
        <w:t>desaparecieron</w:t>
      </w:r>
      <w:r>
        <w:rPr>
          <w:spacing w:val="-4"/>
          <w:sz w:val="24"/>
        </w:rPr>
        <w:t xml:space="preserve"> </w:t>
      </w:r>
      <w:r>
        <w:rPr>
          <w:sz w:val="24"/>
        </w:rPr>
        <w:t>cada</w:t>
      </w:r>
      <w:r>
        <w:rPr>
          <w:spacing w:val="-4"/>
          <w:sz w:val="24"/>
        </w:rPr>
        <w:t xml:space="preserve"> </w:t>
      </w:r>
      <w:r>
        <w:rPr>
          <w:sz w:val="24"/>
        </w:rPr>
        <w:t>mes</w:t>
      </w:r>
      <w:r>
        <w:rPr>
          <w:spacing w:val="-4"/>
          <w:sz w:val="24"/>
        </w:rPr>
        <w:t xml:space="preserve"> </w:t>
      </w:r>
      <w:r>
        <w:rPr>
          <w:sz w:val="24"/>
        </w:rPr>
        <w:t>(36</w:t>
      </w:r>
      <w:r>
        <w:rPr>
          <w:spacing w:val="-3"/>
          <w:sz w:val="24"/>
        </w:rPr>
        <w:t xml:space="preserve"> </w:t>
      </w:r>
      <w:r>
        <w:rPr>
          <w:sz w:val="24"/>
        </w:rPr>
        <w:t>casos),</w:t>
      </w:r>
      <w:r>
        <w:rPr>
          <w:spacing w:val="-4"/>
          <w:sz w:val="24"/>
        </w:rPr>
        <w:t xml:space="preserve"> </w:t>
      </w:r>
      <w:r>
        <w:rPr>
          <w:spacing w:val="-10"/>
          <w:sz w:val="24"/>
        </w:rPr>
        <w:t>y</w:t>
      </w:r>
    </w:p>
    <w:p w14:paraId="32CF1D5E" w14:textId="77777777" w:rsidR="000E52B0" w:rsidRDefault="00F60D74">
      <w:pPr>
        <w:pStyle w:val="Prrafodelista"/>
        <w:numPr>
          <w:ilvl w:val="0"/>
          <w:numId w:val="52"/>
        </w:numPr>
        <w:tabs>
          <w:tab w:val="left" w:pos="1440"/>
        </w:tabs>
        <w:ind w:right="725"/>
        <w:rPr>
          <w:sz w:val="24"/>
        </w:rPr>
      </w:pPr>
      <w:r>
        <w:rPr>
          <w:sz w:val="24"/>
        </w:rPr>
        <w:t>4 personas OSIGNH cada semana fueron agredidas en sus familias configurando 193 casos de violencia intrafamiliar.</w:t>
      </w:r>
    </w:p>
    <w:p w14:paraId="4EA67ED5" w14:textId="77777777" w:rsidR="000E52B0" w:rsidRDefault="00F60D74">
      <w:pPr>
        <w:pStyle w:val="Textoindependiente"/>
        <w:spacing w:before="157"/>
        <w:ind w:right="719"/>
        <w:jc w:val="both"/>
      </w:pPr>
      <w:r>
        <w:t xml:space="preserve">Todos estos datos son mayores que en 2021, a excepción de las muertes. Teniendo en cuenta, además, que existe un importante subregistro en la población LGBTIQ+, tanto por que prefieran no reportarlo para acceder a las instituciones, como que encuentren barreras de acceso efectivo a las </w:t>
      </w:r>
      <w:r>
        <w:rPr>
          <w:spacing w:val="-2"/>
        </w:rPr>
        <w:t>instituciones.</w:t>
      </w:r>
    </w:p>
    <w:p w14:paraId="645C897E" w14:textId="77777777" w:rsidR="000E52B0" w:rsidRDefault="00F60D74">
      <w:pPr>
        <w:pStyle w:val="Textoindependiente"/>
        <w:spacing w:before="159"/>
        <w:ind w:right="714"/>
        <w:jc w:val="both"/>
      </w:pPr>
      <w:r>
        <w:t>En todo caso, persisten prácticas discriminatorias, de exclusión y de violencia hacia la población LGBTIQ+, que se debe a varios factores entre estos la deficiencia en la divulgación de información, reconocimiento y comunicación de los derechos y situación de vulneración de la población LGBTIQ+,</w:t>
      </w:r>
      <w:r>
        <w:rPr>
          <w:spacing w:val="45"/>
        </w:rPr>
        <w:t xml:space="preserve"> </w:t>
      </w:r>
      <w:r>
        <w:t>así</w:t>
      </w:r>
      <w:r>
        <w:rPr>
          <w:spacing w:val="45"/>
        </w:rPr>
        <w:t xml:space="preserve"> </w:t>
      </w:r>
      <w:r>
        <w:t>como</w:t>
      </w:r>
      <w:r>
        <w:rPr>
          <w:spacing w:val="47"/>
        </w:rPr>
        <w:t xml:space="preserve"> </w:t>
      </w:r>
      <w:r>
        <w:t>la</w:t>
      </w:r>
      <w:r>
        <w:rPr>
          <w:spacing w:val="46"/>
        </w:rPr>
        <w:t xml:space="preserve"> </w:t>
      </w:r>
      <w:r>
        <w:t>existencia</w:t>
      </w:r>
      <w:r>
        <w:rPr>
          <w:spacing w:val="46"/>
        </w:rPr>
        <w:t xml:space="preserve"> </w:t>
      </w:r>
      <w:r>
        <w:t>de</w:t>
      </w:r>
      <w:r>
        <w:rPr>
          <w:spacing w:val="49"/>
        </w:rPr>
        <w:t xml:space="preserve"> </w:t>
      </w:r>
      <w:r>
        <w:t>prejuicios</w:t>
      </w:r>
      <w:r>
        <w:rPr>
          <w:spacing w:val="47"/>
        </w:rPr>
        <w:t xml:space="preserve"> </w:t>
      </w:r>
      <w:proofErr w:type="gramStart"/>
      <w:r>
        <w:t>y</w:t>
      </w:r>
      <w:r>
        <w:rPr>
          <w:spacing w:val="48"/>
        </w:rPr>
        <w:t xml:space="preserve">  </w:t>
      </w:r>
      <w:r>
        <w:t>estereotipos</w:t>
      </w:r>
      <w:proofErr w:type="gramEnd"/>
      <w:r>
        <w:rPr>
          <w:spacing w:val="47"/>
        </w:rPr>
        <w:t xml:space="preserve"> </w:t>
      </w:r>
      <w:r>
        <w:t>sobre</w:t>
      </w:r>
      <w:r>
        <w:rPr>
          <w:spacing w:val="48"/>
        </w:rPr>
        <w:t xml:space="preserve"> </w:t>
      </w:r>
      <w:r>
        <w:rPr>
          <w:spacing w:val="-5"/>
        </w:rPr>
        <w:t>la</w:t>
      </w:r>
    </w:p>
    <w:p w14:paraId="4D1397FD" w14:textId="77777777" w:rsidR="000E52B0" w:rsidRDefault="00F60D74">
      <w:pPr>
        <w:pStyle w:val="Textoindependiente"/>
        <w:spacing w:before="189"/>
        <w:ind w:left="0"/>
        <w:rPr>
          <w:sz w:val="20"/>
        </w:rPr>
      </w:pPr>
      <w:r>
        <w:rPr>
          <w:noProof/>
          <w:sz w:val="20"/>
        </w:rPr>
        <mc:AlternateContent>
          <mc:Choice Requires="wps">
            <w:drawing>
              <wp:anchor distT="0" distB="0" distL="0" distR="0" simplePos="0" relativeHeight="487658496" behindDoc="1" locked="0" layoutInCell="1" allowOverlap="1" wp14:anchorId="124FA6DA" wp14:editId="14C0BA9C">
                <wp:simplePos x="0" y="0"/>
                <wp:positionH relativeFrom="page">
                  <wp:posOffset>914704</wp:posOffset>
                </wp:positionH>
                <wp:positionV relativeFrom="paragraph">
                  <wp:posOffset>289785</wp:posOffset>
                </wp:positionV>
                <wp:extent cx="1829435" cy="7620"/>
                <wp:effectExtent l="0" t="0" r="0" b="0"/>
                <wp:wrapTopAndBottom/>
                <wp:docPr id="590" name="Graphic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6B8FF1" id="Graphic 590" o:spid="_x0000_s1026" style="position:absolute;margin-left:1in;margin-top:22.8pt;width:144.05pt;height:.6pt;z-index:-156579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" path="m1829054,l,,,7619r1829054,l1829054,xe" fillcolor="black" stroked="f">
                <v:path arrowok="t"/>
                <w10:wrap type="topAndBottom" anchorx="page"/>
              </v:shape>
            </w:pict>
          </mc:Fallback>
        </mc:AlternateContent>
      </w:r>
    </w:p>
    <w:p w14:paraId="03BAB05D" w14:textId="77777777" w:rsidR="000E52B0" w:rsidRDefault="00F60D74">
      <w:pPr>
        <w:spacing w:before="96"/>
        <w:ind w:left="720" w:right="724"/>
        <w:jc w:val="both"/>
        <w:rPr>
          <w:rFonts w:ascii="Arial MT" w:hAnsi="Arial MT"/>
          <w:sz w:val="18"/>
        </w:rPr>
      </w:pPr>
      <w:bookmarkStart w:id="81" w:name="_bookmark81"/>
      <w:bookmarkEnd w:id="81"/>
      <w:r>
        <w:rPr>
          <w:rFonts w:ascii="Arial MT" w:hAnsi="Arial MT"/>
          <w:position w:val="6"/>
          <w:sz w:val="12"/>
        </w:rPr>
        <w:t>68</w:t>
      </w:r>
      <w:r>
        <w:rPr>
          <w:rFonts w:ascii="Arial MT" w:hAnsi="Arial MT"/>
          <w:spacing w:val="-9"/>
          <w:position w:val="6"/>
          <w:sz w:val="12"/>
        </w:rPr>
        <w:t xml:space="preserve"> </w:t>
      </w:r>
      <w:r>
        <w:rPr>
          <w:rFonts w:ascii="Arial MT" w:hAnsi="Arial MT"/>
          <w:sz w:val="18"/>
        </w:rPr>
        <w:t>Colombia</w:t>
      </w:r>
      <w:r>
        <w:rPr>
          <w:rFonts w:ascii="Arial MT" w:hAnsi="Arial MT"/>
          <w:spacing w:val="-12"/>
          <w:sz w:val="18"/>
        </w:rPr>
        <w:t xml:space="preserve"> </w:t>
      </w:r>
      <w:r>
        <w:rPr>
          <w:rFonts w:ascii="Arial MT" w:hAnsi="Arial MT"/>
          <w:sz w:val="18"/>
        </w:rPr>
        <w:t>Diversa</w:t>
      </w:r>
      <w:r>
        <w:rPr>
          <w:rFonts w:ascii="Arial MT" w:hAnsi="Arial MT"/>
          <w:spacing w:val="-13"/>
          <w:sz w:val="18"/>
        </w:rPr>
        <w:t xml:space="preserve"> </w:t>
      </w:r>
      <w:r>
        <w:rPr>
          <w:rFonts w:ascii="Arial MT" w:hAnsi="Arial MT"/>
          <w:sz w:val="18"/>
        </w:rPr>
        <w:t>y</w:t>
      </w:r>
      <w:r>
        <w:rPr>
          <w:rFonts w:ascii="Arial MT" w:hAnsi="Arial MT"/>
          <w:spacing w:val="-12"/>
          <w:sz w:val="18"/>
        </w:rPr>
        <w:t xml:space="preserve"> </w:t>
      </w:r>
      <w:r>
        <w:rPr>
          <w:rFonts w:ascii="Arial MT" w:hAnsi="Arial MT"/>
          <w:sz w:val="18"/>
        </w:rPr>
        <w:t>Caribe</w:t>
      </w:r>
      <w:r>
        <w:rPr>
          <w:rFonts w:ascii="Arial MT" w:hAnsi="Arial MT"/>
          <w:spacing w:val="-13"/>
          <w:sz w:val="18"/>
        </w:rPr>
        <w:t xml:space="preserve"> </w:t>
      </w:r>
      <w:r>
        <w:rPr>
          <w:rFonts w:ascii="Arial MT" w:hAnsi="Arial MT"/>
          <w:sz w:val="18"/>
        </w:rPr>
        <w:t>Afirmativo</w:t>
      </w:r>
      <w:r>
        <w:rPr>
          <w:rFonts w:ascii="Arial MT" w:hAnsi="Arial MT"/>
          <w:spacing w:val="-12"/>
          <w:sz w:val="18"/>
        </w:rPr>
        <w:t xml:space="preserve"> </w:t>
      </w:r>
      <w:r>
        <w:rPr>
          <w:rFonts w:ascii="Arial MT" w:hAnsi="Arial MT"/>
          <w:sz w:val="18"/>
        </w:rPr>
        <w:t>(2017).</w:t>
      </w:r>
      <w:r>
        <w:rPr>
          <w:rFonts w:ascii="Arial MT" w:hAnsi="Arial MT"/>
          <w:spacing w:val="-13"/>
          <w:sz w:val="18"/>
        </w:rPr>
        <w:t xml:space="preserve"> </w:t>
      </w:r>
      <w:r>
        <w:rPr>
          <w:rFonts w:ascii="Arial MT" w:hAnsi="Arial MT"/>
          <w:sz w:val="18"/>
        </w:rPr>
        <w:t>La</w:t>
      </w:r>
      <w:r>
        <w:rPr>
          <w:rFonts w:ascii="Arial MT" w:hAnsi="Arial MT"/>
          <w:spacing w:val="-12"/>
          <w:sz w:val="18"/>
        </w:rPr>
        <w:t xml:space="preserve"> </w:t>
      </w:r>
      <w:r>
        <w:rPr>
          <w:rFonts w:ascii="Arial MT" w:hAnsi="Arial MT"/>
          <w:sz w:val="18"/>
        </w:rPr>
        <w:t>discriminación,</w:t>
      </w:r>
      <w:r>
        <w:rPr>
          <w:rFonts w:ascii="Arial MT" w:hAnsi="Arial MT"/>
          <w:spacing w:val="-13"/>
          <w:sz w:val="18"/>
        </w:rPr>
        <w:t xml:space="preserve"> </w:t>
      </w:r>
      <w:r>
        <w:rPr>
          <w:rFonts w:ascii="Arial MT" w:hAnsi="Arial MT"/>
          <w:sz w:val="18"/>
        </w:rPr>
        <w:t>una</w:t>
      </w:r>
      <w:r>
        <w:rPr>
          <w:rFonts w:ascii="Arial MT" w:hAnsi="Arial MT"/>
          <w:spacing w:val="-12"/>
          <w:sz w:val="18"/>
        </w:rPr>
        <w:t xml:space="preserve"> </w:t>
      </w:r>
      <w:r>
        <w:rPr>
          <w:rFonts w:ascii="Arial MT" w:hAnsi="Arial MT"/>
          <w:sz w:val="18"/>
        </w:rPr>
        <w:t>guerra</w:t>
      </w:r>
      <w:r>
        <w:rPr>
          <w:rFonts w:ascii="Arial MT" w:hAnsi="Arial MT"/>
          <w:spacing w:val="-13"/>
          <w:sz w:val="18"/>
        </w:rPr>
        <w:t xml:space="preserve"> </w:t>
      </w:r>
      <w:r>
        <w:rPr>
          <w:rFonts w:ascii="Arial MT" w:hAnsi="Arial MT"/>
          <w:sz w:val="18"/>
        </w:rPr>
        <w:t>que</w:t>
      </w:r>
      <w:r>
        <w:rPr>
          <w:rFonts w:ascii="Arial MT" w:hAnsi="Arial MT"/>
          <w:spacing w:val="-12"/>
          <w:sz w:val="18"/>
        </w:rPr>
        <w:t xml:space="preserve"> </w:t>
      </w:r>
      <w:r>
        <w:rPr>
          <w:rFonts w:ascii="Arial MT" w:hAnsi="Arial MT"/>
          <w:sz w:val="18"/>
        </w:rPr>
        <w:t>no</w:t>
      </w:r>
      <w:r>
        <w:rPr>
          <w:rFonts w:ascii="Arial MT" w:hAnsi="Arial MT"/>
          <w:spacing w:val="-13"/>
          <w:sz w:val="18"/>
        </w:rPr>
        <w:t xml:space="preserve"> </w:t>
      </w:r>
      <w:r>
        <w:rPr>
          <w:rFonts w:ascii="Arial MT" w:hAnsi="Arial MT"/>
          <w:sz w:val="18"/>
        </w:rPr>
        <w:t>termina.</w:t>
      </w:r>
      <w:r>
        <w:rPr>
          <w:rFonts w:ascii="Arial MT" w:hAnsi="Arial MT"/>
          <w:spacing w:val="-12"/>
          <w:sz w:val="18"/>
        </w:rPr>
        <w:t xml:space="preserve"> </w:t>
      </w:r>
      <w:r>
        <w:rPr>
          <w:rFonts w:ascii="Arial MT" w:hAnsi="Arial MT"/>
          <w:sz w:val="18"/>
        </w:rPr>
        <w:t>Informe</w:t>
      </w:r>
      <w:r>
        <w:rPr>
          <w:rFonts w:ascii="Arial MT" w:hAnsi="Arial MT"/>
          <w:spacing w:val="-13"/>
          <w:sz w:val="18"/>
        </w:rPr>
        <w:t xml:space="preserve"> </w:t>
      </w:r>
      <w:r>
        <w:rPr>
          <w:rFonts w:ascii="Arial MT" w:hAnsi="Arial MT"/>
          <w:sz w:val="18"/>
        </w:rPr>
        <w:t>de</w:t>
      </w:r>
      <w:r>
        <w:rPr>
          <w:rFonts w:ascii="Arial MT" w:hAnsi="Arial MT"/>
          <w:spacing w:val="-12"/>
          <w:sz w:val="18"/>
        </w:rPr>
        <w:t xml:space="preserve"> </w:t>
      </w:r>
      <w:r>
        <w:rPr>
          <w:rFonts w:ascii="Arial MT" w:hAnsi="Arial MT"/>
          <w:sz w:val="18"/>
        </w:rPr>
        <w:t xml:space="preserve">derechos humanos de personas lesbianas, </w:t>
      </w:r>
      <w:proofErr w:type="spellStart"/>
      <w:r>
        <w:rPr>
          <w:rFonts w:ascii="Arial MT" w:hAnsi="Arial MT"/>
          <w:sz w:val="18"/>
        </w:rPr>
        <w:t>gays</w:t>
      </w:r>
      <w:proofErr w:type="spellEnd"/>
      <w:r>
        <w:rPr>
          <w:rFonts w:ascii="Arial MT" w:hAnsi="Arial MT"/>
          <w:sz w:val="18"/>
        </w:rPr>
        <w:t xml:space="preserve">, bisexuales, y trans en Colombia 2017. Extraído de: </w:t>
      </w:r>
      <w:hyperlink r:id="rId194">
        <w:r w:rsidR="000E52B0">
          <w:rPr>
            <w:rFonts w:ascii="Arial MT" w:hAnsi="Arial MT"/>
            <w:color w:val="E22C91"/>
            <w:spacing w:val="-2"/>
            <w:sz w:val="18"/>
            <w:u w:val="single" w:color="E22C91"/>
          </w:rPr>
          <w:t>https://www.jep.gov.co/Sala-de-Prensa/Documents/Informe_completo_DDHH_Violencia.pdf</w:t>
        </w:r>
      </w:hyperlink>
    </w:p>
    <w:p w14:paraId="2C0C7F08" w14:textId="77777777" w:rsidR="000E52B0" w:rsidRDefault="000E52B0">
      <w:pPr>
        <w:jc w:val="both"/>
        <w:rPr>
          <w:rFonts w:ascii="Arial MT" w:hAnsi="Arial MT"/>
          <w:sz w:val="18"/>
        </w:rPr>
        <w:sectPr w:rsidR="000E52B0">
          <w:type w:val="continuous"/>
          <w:pgSz w:w="11910" w:h="16840"/>
          <w:pgMar w:top="1340" w:right="720" w:bottom="1280" w:left="720" w:header="0" w:footer="995" w:gutter="0"/>
          <w:cols w:space="720"/>
        </w:sectPr>
      </w:pPr>
    </w:p>
    <w:p w14:paraId="767225ED" w14:textId="77777777" w:rsidR="000E52B0" w:rsidRDefault="00F60D74">
      <w:pPr>
        <w:pStyle w:val="Textoindependiente"/>
        <w:spacing w:before="83"/>
        <w:ind w:right="721"/>
        <w:jc w:val="both"/>
      </w:pPr>
      <w:r>
        <w:lastRenderedPageBreak/>
        <w:t>población LGBTIQ+ y la deficiencia en la atención oportuna y pertinente frente a violencias y amenazas en contra de la</w:t>
      </w:r>
      <w:r>
        <w:rPr>
          <w:spacing w:val="40"/>
        </w:rPr>
        <w:t xml:space="preserve"> </w:t>
      </w:r>
      <w:r>
        <w:t xml:space="preserve">seguridad de la población </w:t>
      </w:r>
      <w:r>
        <w:rPr>
          <w:spacing w:val="-2"/>
        </w:rPr>
        <w:t>LGBTIQ+.</w:t>
      </w:r>
    </w:p>
    <w:p w14:paraId="1425F501" w14:textId="77777777" w:rsidR="000E52B0" w:rsidRDefault="00F60D74">
      <w:pPr>
        <w:pStyle w:val="Textoindependiente"/>
        <w:spacing w:before="159"/>
        <w:ind w:right="719"/>
        <w:jc w:val="both"/>
      </w:pPr>
      <w:r>
        <w:t>No obstante, desde la sociedad civil, se han documentado la presencia de violencias</w:t>
      </w:r>
      <w:r>
        <w:rPr>
          <w:spacing w:val="-14"/>
        </w:rPr>
        <w:t xml:space="preserve"> </w:t>
      </w:r>
      <w:r>
        <w:t>de</w:t>
      </w:r>
      <w:r>
        <w:rPr>
          <w:spacing w:val="-15"/>
        </w:rPr>
        <w:t xml:space="preserve"> </w:t>
      </w:r>
      <w:r>
        <w:t>tres</w:t>
      </w:r>
      <w:r>
        <w:rPr>
          <w:spacing w:val="-16"/>
        </w:rPr>
        <w:t xml:space="preserve"> </w:t>
      </w:r>
      <w:r>
        <w:t>tipos,</w:t>
      </w:r>
      <w:r>
        <w:rPr>
          <w:spacing w:val="-17"/>
        </w:rPr>
        <w:t xml:space="preserve"> </w:t>
      </w:r>
      <w:r>
        <w:t>policial,</w:t>
      </w:r>
      <w:r>
        <w:rPr>
          <w:spacing w:val="-15"/>
        </w:rPr>
        <w:t xml:space="preserve"> </w:t>
      </w:r>
      <w:r>
        <w:t>homicidios</w:t>
      </w:r>
      <w:r>
        <w:rPr>
          <w:spacing w:val="-16"/>
        </w:rPr>
        <w:t xml:space="preserve"> </w:t>
      </w:r>
      <w:r>
        <w:t>y</w:t>
      </w:r>
      <w:r>
        <w:rPr>
          <w:spacing w:val="-16"/>
        </w:rPr>
        <w:t xml:space="preserve"> </w:t>
      </w:r>
      <w:r>
        <w:t>amenazas,</w:t>
      </w:r>
      <w:r>
        <w:rPr>
          <w:spacing w:val="-17"/>
        </w:rPr>
        <w:t xml:space="preserve"> </w:t>
      </w:r>
      <w:r>
        <w:t>entre</w:t>
      </w:r>
      <w:r>
        <w:rPr>
          <w:spacing w:val="-14"/>
        </w:rPr>
        <w:t xml:space="preserve"> </w:t>
      </w:r>
      <w:r>
        <w:t>2018</w:t>
      </w:r>
      <w:r>
        <w:rPr>
          <w:spacing w:val="-15"/>
        </w:rPr>
        <w:t xml:space="preserve"> </w:t>
      </w:r>
      <w:r>
        <w:t>y</w:t>
      </w:r>
      <w:r>
        <w:rPr>
          <w:spacing w:val="-16"/>
        </w:rPr>
        <w:t xml:space="preserve"> </w:t>
      </w:r>
      <w:r>
        <w:t>2019 Colombia Diversa reportó 601 casos. De estos la mayor parte de las víctimas</w:t>
      </w:r>
      <w:r>
        <w:rPr>
          <w:spacing w:val="-16"/>
        </w:rPr>
        <w:t xml:space="preserve"> </w:t>
      </w:r>
      <w:r>
        <w:t>de</w:t>
      </w:r>
      <w:r>
        <w:rPr>
          <w:spacing w:val="-16"/>
        </w:rPr>
        <w:t xml:space="preserve"> </w:t>
      </w:r>
      <w:r>
        <w:t>violencia</w:t>
      </w:r>
      <w:r>
        <w:rPr>
          <w:spacing w:val="-17"/>
        </w:rPr>
        <w:t xml:space="preserve"> </w:t>
      </w:r>
      <w:r>
        <w:t>en</w:t>
      </w:r>
      <w:r>
        <w:rPr>
          <w:spacing w:val="-18"/>
        </w:rPr>
        <w:t xml:space="preserve"> </w:t>
      </w:r>
      <w:r>
        <w:t>2019</w:t>
      </w:r>
      <w:r>
        <w:rPr>
          <w:spacing w:val="-16"/>
        </w:rPr>
        <w:t xml:space="preserve"> </w:t>
      </w:r>
      <w:r>
        <w:t>fueron</w:t>
      </w:r>
      <w:r>
        <w:rPr>
          <w:spacing w:val="-18"/>
        </w:rPr>
        <w:t xml:space="preserve"> </w:t>
      </w:r>
      <w:r>
        <w:t>mujeres</w:t>
      </w:r>
      <w:r>
        <w:rPr>
          <w:spacing w:val="-18"/>
        </w:rPr>
        <w:t xml:space="preserve"> </w:t>
      </w:r>
      <w:r>
        <w:t>trans</w:t>
      </w:r>
      <w:r>
        <w:rPr>
          <w:spacing w:val="-15"/>
        </w:rPr>
        <w:t xml:space="preserve"> </w:t>
      </w:r>
      <w:r>
        <w:t>y</w:t>
      </w:r>
      <w:r>
        <w:rPr>
          <w:spacing w:val="-18"/>
        </w:rPr>
        <w:t xml:space="preserve"> </w:t>
      </w:r>
      <w:r>
        <w:t>hombres</w:t>
      </w:r>
      <w:r>
        <w:rPr>
          <w:spacing w:val="-18"/>
        </w:rPr>
        <w:t xml:space="preserve"> </w:t>
      </w:r>
      <w:r>
        <w:t>gais,</w:t>
      </w:r>
      <w:r>
        <w:rPr>
          <w:spacing w:val="-16"/>
        </w:rPr>
        <w:t xml:space="preserve"> </w:t>
      </w:r>
      <w:r>
        <w:t>al</w:t>
      </w:r>
      <w:r>
        <w:rPr>
          <w:spacing w:val="-16"/>
        </w:rPr>
        <w:t xml:space="preserve"> </w:t>
      </w:r>
      <w:r>
        <w:t>igual que el año anterior</w:t>
      </w:r>
      <w:hyperlink w:anchor="_bookmark82" w:history="1">
        <w:r w:rsidR="000E52B0">
          <w:rPr>
            <w:position w:val="8"/>
            <w:sz w:val="16"/>
          </w:rPr>
          <w:t>69</w:t>
        </w:r>
      </w:hyperlink>
      <w:r>
        <w:t>.</w:t>
      </w:r>
    </w:p>
    <w:p w14:paraId="0F34DD3D" w14:textId="77777777" w:rsidR="000E52B0" w:rsidRDefault="00F60D74">
      <w:pPr>
        <w:spacing w:before="159"/>
        <w:ind w:left="720" w:right="721"/>
        <w:jc w:val="both"/>
        <w:rPr>
          <w:sz w:val="24"/>
        </w:rPr>
      </w:pPr>
      <w:r>
        <w:rPr>
          <w:sz w:val="24"/>
        </w:rPr>
        <w:t>En</w:t>
      </w:r>
      <w:r>
        <w:rPr>
          <w:spacing w:val="-2"/>
          <w:sz w:val="24"/>
        </w:rPr>
        <w:t xml:space="preserve"> </w:t>
      </w:r>
      <w:r>
        <w:rPr>
          <w:sz w:val="24"/>
        </w:rPr>
        <w:t>2019,</w:t>
      </w:r>
      <w:r>
        <w:rPr>
          <w:spacing w:val="-2"/>
          <w:sz w:val="24"/>
        </w:rPr>
        <w:t xml:space="preserve"> </w:t>
      </w:r>
      <w:r>
        <w:rPr>
          <w:sz w:val="24"/>
        </w:rPr>
        <w:t>el</w:t>
      </w:r>
      <w:r>
        <w:rPr>
          <w:spacing w:val="-2"/>
          <w:sz w:val="24"/>
        </w:rPr>
        <w:t xml:space="preserve"> </w:t>
      </w:r>
      <w:r>
        <w:rPr>
          <w:sz w:val="24"/>
        </w:rPr>
        <w:t>33% de</w:t>
      </w:r>
      <w:r>
        <w:rPr>
          <w:spacing w:val="-2"/>
          <w:sz w:val="24"/>
        </w:rPr>
        <w:t xml:space="preserve"> </w:t>
      </w:r>
      <w:r>
        <w:rPr>
          <w:sz w:val="24"/>
        </w:rPr>
        <w:t>las</w:t>
      </w:r>
      <w:r>
        <w:rPr>
          <w:spacing w:val="-1"/>
          <w:sz w:val="24"/>
        </w:rPr>
        <w:t xml:space="preserve"> </w:t>
      </w:r>
      <w:r>
        <w:rPr>
          <w:sz w:val="24"/>
        </w:rPr>
        <w:t>violencias</w:t>
      </w:r>
      <w:r>
        <w:rPr>
          <w:spacing w:val="-1"/>
          <w:sz w:val="24"/>
        </w:rPr>
        <w:t xml:space="preserve"> </w:t>
      </w:r>
      <w:r>
        <w:rPr>
          <w:sz w:val="24"/>
        </w:rPr>
        <w:t>motivados</w:t>
      </w:r>
      <w:r>
        <w:rPr>
          <w:spacing w:val="-1"/>
          <w:sz w:val="24"/>
        </w:rPr>
        <w:t xml:space="preserve"> </w:t>
      </w:r>
      <w:r>
        <w:rPr>
          <w:sz w:val="24"/>
        </w:rPr>
        <w:t>por el</w:t>
      </w:r>
      <w:r>
        <w:rPr>
          <w:spacing w:val="-2"/>
          <w:sz w:val="24"/>
        </w:rPr>
        <w:t xml:space="preserve"> </w:t>
      </w:r>
      <w:r>
        <w:rPr>
          <w:sz w:val="24"/>
        </w:rPr>
        <w:t>prejuicio fue mayor en los</w:t>
      </w:r>
      <w:r>
        <w:rPr>
          <w:spacing w:val="-9"/>
          <w:sz w:val="24"/>
        </w:rPr>
        <w:t xml:space="preserve"> </w:t>
      </w:r>
      <w:r>
        <w:rPr>
          <w:sz w:val="24"/>
        </w:rPr>
        <w:t>casos</w:t>
      </w:r>
      <w:r>
        <w:rPr>
          <w:spacing w:val="-9"/>
          <w:sz w:val="24"/>
        </w:rPr>
        <w:t xml:space="preserve"> </w:t>
      </w:r>
      <w:r>
        <w:rPr>
          <w:sz w:val="24"/>
        </w:rPr>
        <w:t>de</w:t>
      </w:r>
      <w:r>
        <w:rPr>
          <w:spacing w:val="-8"/>
          <w:sz w:val="24"/>
        </w:rPr>
        <w:t xml:space="preserve"> </w:t>
      </w:r>
      <w:r>
        <w:rPr>
          <w:sz w:val="24"/>
        </w:rPr>
        <w:t>amenazas</w:t>
      </w:r>
      <w:r>
        <w:rPr>
          <w:spacing w:val="-9"/>
          <w:sz w:val="24"/>
        </w:rPr>
        <w:t xml:space="preserve"> </w:t>
      </w:r>
      <w:r>
        <w:rPr>
          <w:sz w:val="24"/>
        </w:rPr>
        <w:t>y</w:t>
      </w:r>
      <w:r>
        <w:rPr>
          <w:spacing w:val="-9"/>
          <w:sz w:val="24"/>
        </w:rPr>
        <w:t xml:space="preserve"> </w:t>
      </w:r>
      <w:r>
        <w:rPr>
          <w:sz w:val="24"/>
        </w:rPr>
        <w:t>en</w:t>
      </w:r>
      <w:r>
        <w:rPr>
          <w:spacing w:val="-9"/>
          <w:sz w:val="24"/>
        </w:rPr>
        <w:t xml:space="preserve"> </w:t>
      </w:r>
      <w:r>
        <w:rPr>
          <w:sz w:val="24"/>
        </w:rPr>
        <w:t>actos</w:t>
      </w:r>
      <w:r>
        <w:rPr>
          <w:spacing w:val="-9"/>
          <w:sz w:val="24"/>
        </w:rPr>
        <w:t xml:space="preserve"> </w:t>
      </w:r>
      <w:r>
        <w:rPr>
          <w:sz w:val="24"/>
        </w:rPr>
        <w:t>de</w:t>
      </w:r>
      <w:r>
        <w:rPr>
          <w:spacing w:val="-8"/>
          <w:sz w:val="24"/>
        </w:rPr>
        <w:t xml:space="preserve"> </w:t>
      </w:r>
      <w:r>
        <w:rPr>
          <w:sz w:val="24"/>
        </w:rPr>
        <w:t>violencia</w:t>
      </w:r>
      <w:r>
        <w:rPr>
          <w:spacing w:val="-9"/>
          <w:sz w:val="24"/>
        </w:rPr>
        <w:t xml:space="preserve"> </w:t>
      </w:r>
      <w:r>
        <w:rPr>
          <w:sz w:val="24"/>
        </w:rPr>
        <w:t>cometidos</w:t>
      </w:r>
      <w:r>
        <w:rPr>
          <w:spacing w:val="-9"/>
          <w:sz w:val="24"/>
        </w:rPr>
        <w:t xml:space="preserve"> </w:t>
      </w:r>
      <w:r>
        <w:rPr>
          <w:sz w:val="24"/>
        </w:rPr>
        <w:t>por</w:t>
      </w:r>
      <w:r>
        <w:rPr>
          <w:spacing w:val="-8"/>
          <w:sz w:val="24"/>
        </w:rPr>
        <w:t xml:space="preserve"> </w:t>
      </w:r>
      <w:r>
        <w:rPr>
          <w:sz w:val="24"/>
        </w:rPr>
        <w:t>agentes</w:t>
      </w:r>
      <w:r>
        <w:rPr>
          <w:spacing w:val="-9"/>
          <w:sz w:val="24"/>
        </w:rPr>
        <w:t xml:space="preserve"> </w:t>
      </w:r>
      <w:r>
        <w:rPr>
          <w:sz w:val="24"/>
        </w:rPr>
        <w:t>de</w:t>
      </w:r>
      <w:r>
        <w:rPr>
          <w:spacing w:val="-8"/>
          <w:sz w:val="24"/>
        </w:rPr>
        <w:t xml:space="preserve"> </w:t>
      </w:r>
      <w:r>
        <w:rPr>
          <w:sz w:val="24"/>
        </w:rPr>
        <w:t>la Policía</w:t>
      </w:r>
      <w:hyperlink w:anchor="_bookmark83" w:history="1">
        <w:r w:rsidR="000E52B0">
          <w:rPr>
            <w:position w:val="8"/>
            <w:sz w:val="16"/>
          </w:rPr>
          <w:t>70</w:t>
        </w:r>
      </w:hyperlink>
      <w:r>
        <w:rPr>
          <w:sz w:val="24"/>
        </w:rPr>
        <w:t xml:space="preserve">. </w:t>
      </w:r>
      <w:r>
        <w:rPr>
          <w:i/>
          <w:sz w:val="24"/>
        </w:rPr>
        <w:t>De los 285 hechos reportados en 2019, la organización obtuvo información</w:t>
      </w:r>
      <w:r>
        <w:rPr>
          <w:i/>
          <w:spacing w:val="-18"/>
          <w:sz w:val="24"/>
        </w:rPr>
        <w:t xml:space="preserve"> </w:t>
      </w:r>
      <w:r>
        <w:rPr>
          <w:i/>
          <w:sz w:val="24"/>
        </w:rPr>
        <w:t>sobre</w:t>
      </w:r>
      <w:r>
        <w:rPr>
          <w:i/>
          <w:spacing w:val="-18"/>
          <w:sz w:val="24"/>
        </w:rPr>
        <w:t xml:space="preserve"> </w:t>
      </w:r>
      <w:r>
        <w:rPr>
          <w:i/>
          <w:sz w:val="24"/>
        </w:rPr>
        <w:t>113</w:t>
      </w:r>
      <w:r>
        <w:rPr>
          <w:i/>
          <w:spacing w:val="-18"/>
          <w:sz w:val="24"/>
        </w:rPr>
        <w:t xml:space="preserve"> </w:t>
      </w:r>
      <w:r>
        <w:rPr>
          <w:i/>
          <w:sz w:val="24"/>
        </w:rPr>
        <w:t>procesos</w:t>
      </w:r>
      <w:r>
        <w:rPr>
          <w:i/>
          <w:spacing w:val="-19"/>
          <w:sz w:val="24"/>
        </w:rPr>
        <w:t xml:space="preserve"> </w:t>
      </w:r>
      <w:r>
        <w:rPr>
          <w:i/>
          <w:sz w:val="24"/>
        </w:rPr>
        <w:t>para</w:t>
      </w:r>
      <w:r>
        <w:rPr>
          <w:i/>
          <w:spacing w:val="-19"/>
          <w:sz w:val="24"/>
        </w:rPr>
        <w:t xml:space="preserve"> </w:t>
      </w:r>
      <w:r>
        <w:rPr>
          <w:i/>
          <w:sz w:val="24"/>
        </w:rPr>
        <w:t>sancionar</w:t>
      </w:r>
      <w:r>
        <w:rPr>
          <w:i/>
          <w:spacing w:val="-19"/>
          <w:sz w:val="24"/>
        </w:rPr>
        <w:t xml:space="preserve"> </w:t>
      </w:r>
      <w:r>
        <w:rPr>
          <w:i/>
          <w:sz w:val="24"/>
        </w:rPr>
        <w:t>esta</w:t>
      </w:r>
      <w:r>
        <w:rPr>
          <w:i/>
          <w:spacing w:val="-19"/>
          <w:sz w:val="24"/>
        </w:rPr>
        <w:t xml:space="preserve"> </w:t>
      </w:r>
      <w:r>
        <w:rPr>
          <w:i/>
          <w:sz w:val="24"/>
        </w:rPr>
        <w:t>violencia,</w:t>
      </w:r>
      <w:r>
        <w:rPr>
          <w:i/>
          <w:spacing w:val="-19"/>
          <w:sz w:val="24"/>
        </w:rPr>
        <w:t xml:space="preserve"> </w:t>
      </w:r>
      <w:r>
        <w:rPr>
          <w:i/>
          <w:sz w:val="24"/>
        </w:rPr>
        <w:t>de</w:t>
      </w:r>
      <w:r>
        <w:rPr>
          <w:i/>
          <w:spacing w:val="-18"/>
          <w:sz w:val="24"/>
        </w:rPr>
        <w:t xml:space="preserve"> </w:t>
      </w:r>
      <w:r>
        <w:rPr>
          <w:i/>
          <w:sz w:val="24"/>
        </w:rPr>
        <w:t>los</w:t>
      </w:r>
      <w:r>
        <w:rPr>
          <w:i/>
          <w:spacing w:val="-19"/>
          <w:sz w:val="24"/>
        </w:rPr>
        <w:t xml:space="preserve"> </w:t>
      </w:r>
      <w:r>
        <w:rPr>
          <w:i/>
          <w:sz w:val="24"/>
        </w:rPr>
        <w:t>cuales 93 corresponden a investigaciones penales adelantadas por la Fiscalía: 30 por</w:t>
      </w:r>
      <w:r>
        <w:rPr>
          <w:i/>
          <w:spacing w:val="-2"/>
          <w:sz w:val="24"/>
        </w:rPr>
        <w:t xml:space="preserve"> </w:t>
      </w:r>
      <w:r>
        <w:rPr>
          <w:i/>
          <w:sz w:val="24"/>
        </w:rPr>
        <w:t>amenazas</w:t>
      </w:r>
      <w:r>
        <w:rPr>
          <w:i/>
          <w:spacing w:val="-3"/>
          <w:sz w:val="24"/>
        </w:rPr>
        <w:t xml:space="preserve"> </w:t>
      </w:r>
      <w:r>
        <w:rPr>
          <w:i/>
          <w:sz w:val="24"/>
        </w:rPr>
        <w:t>(que</w:t>
      </w:r>
      <w:r>
        <w:rPr>
          <w:i/>
          <w:spacing w:val="-2"/>
          <w:sz w:val="24"/>
        </w:rPr>
        <w:t xml:space="preserve"> </w:t>
      </w:r>
      <w:r>
        <w:rPr>
          <w:i/>
          <w:sz w:val="24"/>
        </w:rPr>
        <w:t>corresponden</w:t>
      </w:r>
      <w:r>
        <w:rPr>
          <w:i/>
          <w:spacing w:val="-3"/>
          <w:sz w:val="24"/>
        </w:rPr>
        <w:t xml:space="preserve"> </w:t>
      </w:r>
      <w:r>
        <w:rPr>
          <w:i/>
          <w:sz w:val="24"/>
        </w:rPr>
        <w:t>31,2%</w:t>
      </w:r>
      <w:r>
        <w:rPr>
          <w:i/>
          <w:spacing w:val="-2"/>
          <w:sz w:val="24"/>
        </w:rPr>
        <w:t xml:space="preserve"> </w:t>
      </w:r>
      <w:r>
        <w:rPr>
          <w:i/>
          <w:sz w:val="24"/>
        </w:rPr>
        <w:t>del</w:t>
      </w:r>
      <w:r>
        <w:rPr>
          <w:i/>
          <w:spacing w:val="-3"/>
          <w:sz w:val="24"/>
        </w:rPr>
        <w:t xml:space="preserve"> </w:t>
      </w:r>
      <w:r>
        <w:rPr>
          <w:i/>
          <w:sz w:val="24"/>
        </w:rPr>
        <w:t>total</w:t>
      </w:r>
      <w:r>
        <w:rPr>
          <w:i/>
          <w:spacing w:val="-4"/>
          <w:sz w:val="24"/>
        </w:rPr>
        <w:t xml:space="preserve"> </w:t>
      </w:r>
      <w:r>
        <w:rPr>
          <w:i/>
          <w:sz w:val="24"/>
        </w:rPr>
        <w:t>de</w:t>
      </w:r>
      <w:r>
        <w:rPr>
          <w:i/>
          <w:spacing w:val="-2"/>
          <w:sz w:val="24"/>
        </w:rPr>
        <w:t xml:space="preserve"> </w:t>
      </w:r>
      <w:r>
        <w:rPr>
          <w:i/>
          <w:sz w:val="24"/>
        </w:rPr>
        <w:t>casos</w:t>
      </w:r>
      <w:r>
        <w:rPr>
          <w:i/>
          <w:spacing w:val="-3"/>
          <w:sz w:val="24"/>
        </w:rPr>
        <w:t xml:space="preserve"> </w:t>
      </w:r>
      <w:r>
        <w:rPr>
          <w:i/>
          <w:sz w:val="24"/>
        </w:rPr>
        <w:t>de</w:t>
      </w:r>
      <w:r>
        <w:rPr>
          <w:i/>
          <w:spacing w:val="-2"/>
          <w:sz w:val="24"/>
        </w:rPr>
        <w:t xml:space="preserve"> </w:t>
      </w:r>
      <w:r>
        <w:rPr>
          <w:i/>
          <w:sz w:val="24"/>
        </w:rPr>
        <w:t>amenazas), 62</w:t>
      </w:r>
      <w:r>
        <w:rPr>
          <w:i/>
          <w:spacing w:val="-13"/>
          <w:sz w:val="24"/>
        </w:rPr>
        <w:t xml:space="preserve"> </w:t>
      </w:r>
      <w:r>
        <w:rPr>
          <w:i/>
          <w:sz w:val="24"/>
        </w:rPr>
        <w:t>por</w:t>
      </w:r>
      <w:r>
        <w:rPr>
          <w:i/>
          <w:spacing w:val="-13"/>
          <w:sz w:val="24"/>
        </w:rPr>
        <w:t xml:space="preserve"> </w:t>
      </w:r>
      <w:r>
        <w:rPr>
          <w:i/>
          <w:sz w:val="24"/>
        </w:rPr>
        <w:t>homicidios</w:t>
      </w:r>
      <w:r>
        <w:rPr>
          <w:i/>
          <w:spacing w:val="-14"/>
          <w:sz w:val="24"/>
        </w:rPr>
        <w:t xml:space="preserve"> </w:t>
      </w:r>
      <w:r>
        <w:rPr>
          <w:i/>
          <w:sz w:val="24"/>
        </w:rPr>
        <w:t>(correspondiente</w:t>
      </w:r>
      <w:r>
        <w:rPr>
          <w:i/>
          <w:spacing w:val="-13"/>
          <w:sz w:val="24"/>
        </w:rPr>
        <w:t xml:space="preserve"> </w:t>
      </w:r>
      <w:r>
        <w:rPr>
          <w:i/>
          <w:sz w:val="24"/>
        </w:rPr>
        <w:t>al</w:t>
      </w:r>
      <w:r>
        <w:rPr>
          <w:i/>
          <w:spacing w:val="-15"/>
          <w:sz w:val="24"/>
        </w:rPr>
        <w:t xml:space="preserve"> </w:t>
      </w:r>
      <w:r>
        <w:rPr>
          <w:i/>
          <w:sz w:val="24"/>
        </w:rPr>
        <w:t>58,5%</w:t>
      </w:r>
      <w:r>
        <w:rPr>
          <w:i/>
          <w:spacing w:val="-13"/>
          <w:sz w:val="24"/>
        </w:rPr>
        <w:t xml:space="preserve"> </w:t>
      </w:r>
      <w:r>
        <w:rPr>
          <w:i/>
          <w:sz w:val="24"/>
        </w:rPr>
        <w:t>del</w:t>
      </w:r>
      <w:r>
        <w:rPr>
          <w:i/>
          <w:spacing w:val="-15"/>
          <w:sz w:val="24"/>
        </w:rPr>
        <w:t xml:space="preserve"> </w:t>
      </w:r>
      <w:r>
        <w:rPr>
          <w:i/>
          <w:sz w:val="24"/>
        </w:rPr>
        <w:t>total</w:t>
      </w:r>
      <w:r>
        <w:rPr>
          <w:i/>
          <w:spacing w:val="-15"/>
          <w:sz w:val="24"/>
        </w:rPr>
        <w:t xml:space="preserve"> </w:t>
      </w:r>
      <w:r>
        <w:rPr>
          <w:i/>
          <w:sz w:val="24"/>
        </w:rPr>
        <w:t>de</w:t>
      </w:r>
      <w:r>
        <w:rPr>
          <w:i/>
          <w:spacing w:val="-13"/>
          <w:sz w:val="24"/>
        </w:rPr>
        <w:t xml:space="preserve"> </w:t>
      </w:r>
      <w:r>
        <w:rPr>
          <w:i/>
          <w:sz w:val="24"/>
        </w:rPr>
        <w:t>esos</w:t>
      </w:r>
      <w:r>
        <w:rPr>
          <w:i/>
          <w:spacing w:val="-13"/>
          <w:sz w:val="24"/>
        </w:rPr>
        <w:t xml:space="preserve"> </w:t>
      </w:r>
      <w:r>
        <w:rPr>
          <w:i/>
          <w:sz w:val="24"/>
        </w:rPr>
        <w:t>casos)</w:t>
      </w:r>
      <w:r>
        <w:rPr>
          <w:i/>
          <w:spacing w:val="-15"/>
          <w:sz w:val="24"/>
        </w:rPr>
        <w:t xml:space="preserve"> </w:t>
      </w:r>
      <w:r>
        <w:rPr>
          <w:i/>
          <w:sz w:val="24"/>
        </w:rPr>
        <w:t>y</w:t>
      </w:r>
      <w:r>
        <w:rPr>
          <w:i/>
          <w:spacing w:val="-14"/>
          <w:sz w:val="24"/>
        </w:rPr>
        <w:t xml:space="preserve"> </w:t>
      </w:r>
      <w:r>
        <w:rPr>
          <w:i/>
          <w:sz w:val="24"/>
        </w:rPr>
        <w:t>una por violencia policial (correspondiente al 1,2%). Los 20 restantes corresponden a investigaciones disciplinarias internas a cargo de la Policía por hechos de violencia policial. Es decir, solamente el 25% de los hechos registrados está siendo investigado por esta entidad</w:t>
      </w:r>
      <w:hyperlink w:anchor="_bookmark84" w:history="1">
        <w:r w:rsidR="000E52B0">
          <w:rPr>
            <w:i/>
            <w:position w:val="8"/>
            <w:sz w:val="16"/>
          </w:rPr>
          <w:t>71</w:t>
        </w:r>
      </w:hyperlink>
      <w:r>
        <w:rPr>
          <w:sz w:val="24"/>
        </w:rPr>
        <w:t>.</w:t>
      </w:r>
    </w:p>
    <w:p w14:paraId="7A1837A3" w14:textId="77777777" w:rsidR="000E52B0" w:rsidRDefault="00F60D74">
      <w:pPr>
        <w:pStyle w:val="Textoindependiente"/>
        <w:spacing w:before="162"/>
        <w:ind w:right="718"/>
        <w:jc w:val="both"/>
      </w:pPr>
      <w:r>
        <w:t>Por su parte, Caribe Afirmativo, reporta 6.644 víctimas de violencia, entre los años 2020, 2021, 2022, siendo los homicidios, feminicidios, las amenazas, la discriminación, el hostigamiento y la violencia policial, los hechos más prevalentes. De las 145 víctimas de homicidios y feminicidios en el 2022, 49 fueron contra personas con experiencias de vida trans (17,24%</w:t>
      </w:r>
      <w:r>
        <w:rPr>
          <w:spacing w:val="-12"/>
        </w:rPr>
        <w:t xml:space="preserve"> </w:t>
      </w:r>
      <w:r>
        <w:t>equivalente</w:t>
      </w:r>
      <w:r>
        <w:rPr>
          <w:spacing w:val="-12"/>
        </w:rPr>
        <w:t xml:space="preserve"> </w:t>
      </w:r>
      <w:r>
        <w:t>a</w:t>
      </w:r>
      <w:r>
        <w:rPr>
          <w:spacing w:val="-13"/>
        </w:rPr>
        <w:t xml:space="preserve"> </w:t>
      </w:r>
      <w:r>
        <w:t>25</w:t>
      </w:r>
      <w:r>
        <w:rPr>
          <w:spacing w:val="-12"/>
        </w:rPr>
        <w:t xml:space="preserve"> </w:t>
      </w:r>
      <w:r>
        <w:t>hombres</w:t>
      </w:r>
      <w:r>
        <w:rPr>
          <w:spacing w:val="-10"/>
        </w:rPr>
        <w:t xml:space="preserve"> </w:t>
      </w:r>
      <w:r>
        <w:t>trans</w:t>
      </w:r>
      <w:r>
        <w:rPr>
          <w:spacing w:val="-13"/>
        </w:rPr>
        <w:t xml:space="preserve"> </w:t>
      </w:r>
      <w:r>
        <w:t>y</w:t>
      </w:r>
      <w:r>
        <w:rPr>
          <w:spacing w:val="-11"/>
        </w:rPr>
        <w:t xml:space="preserve"> </w:t>
      </w:r>
      <w:r>
        <w:t>24</w:t>
      </w:r>
      <w:r>
        <w:rPr>
          <w:spacing w:val="-12"/>
        </w:rPr>
        <w:t xml:space="preserve"> </w:t>
      </w:r>
      <w:r>
        <w:t>mujeres</w:t>
      </w:r>
      <w:r>
        <w:rPr>
          <w:spacing w:val="-13"/>
        </w:rPr>
        <w:t xml:space="preserve"> </w:t>
      </w:r>
      <w:r>
        <w:t>trans</w:t>
      </w:r>
      <w:r>
        <w:rPr>
          <w:spacing w:val="-13"/>
        </w:rPr>
        <w:t xml:space="preserve"> </w:t>
      </w:r>
      <w:r>
        <w:t>(16,55%),</w:t>
      </w:r>
      <w:r>
        <w:rPr>
          <w:spacing w:val="-13"/>
        </w:rPr>
        <w:t xml:space="preserve"> </w:t>
      </w:r>
      <w:r>
        <w:t>47 fueron hombres gais (32%), 14 correspondieron a mujeres lesbianas (9,6%),</w:t>
      </w:r>
      <w:r>
        <w:rPr>
          <w:spacing w:val="-18"/>
        </w:rPr>
        <w:t xml:space="preserve"> </w:t>
      </w:r>
      <w:r>
        <w:t>10</w:t>
      </w:r>
      <w:r>
        <w:rPr>
          <w:spacing w:val="-16"/>
        </w:rPr>
        <w:t xml:space="preserve"> </w:t>
      </w:r>
      <w:r>
        <w:t>a</w:t>
      </w:r>
      <w:r>
        <w:rPr>
          <w:spacing w:val="-17"/>
        </w:rPr>
        <w:t xml:space="preserve"> </w:t>
      </w:r>
      <w:r>
        <w:t>hombres</w:t>
      </w:r>
      <w:r>
        <w:rPr>
          <w:spacing w:val="-17"/>
        </w:rPr>
        <w:t xml:space="preserve"> </w:t>
      </w:r>
      <w:r>
        <w:t>bisexuales</w:t>
      </w:r>
      <w:r>
        <w:rPr>
          <w:spacing w:val="-17"/>
        </w:rPr>
        <w:t xml:space="preserve"> </w:t>
      </w:r>
      <w:r>
        <w:t>(6,8%),</w:t>
      </w:r>
      <w:r>
        <w:rPr>
          <w:spacing w:val="-18"/>
        </w:rPr>
        <w:t xml:space="preserve"> </w:t>
      </w:r>
      <w:r>
        <w:t>4</w:t>
      </w:r>
      <w:r>
        <w:rPr>
          <w:spacing w:val="-16"/>
        </w:rPr>
        <w:t xml:space="preserve"> </w:t>
      </w:r>
      <w:r>
        <w:t>a</w:t>
      </w:r>
      <w:r>
        <w:rPr>
          <w:spacing w:val="-17"/>
        </w:rPr>
        <w:t xml:space="preserve"> </w:t>
      </w:r>
      <w:r>
        <w:t>mujeres</w:t>
      </w:r>
      <w:r>
        <w:rPr>
          <w:spacing w:val="-17"/>
        </w:rPr>
        <w:t xml:space="preserve"> </w:t>
      </w:r>
      <w:r>
        <w:t>bisexuales</w:t>
      </w:r>
      <w:r>
        <w:rPr>
          <w:spacing w:val="-17"/>
        </w:rPr>
        <w:t xml:space="preserve"> </w:t>
      </w:r>
      <w:r>
        <w:t>(2,75%), 15 a personas con otras identidades (11%) y 6 en casos en las categorías “sin especificar” (4,13%). Estas cifras permiten identificar que el 62% de los</w:t>
      </w:r>
      <w:r>
        <w:rPr>
          <w:spacing w:val="-11"/>
        </w:rPr>
        <w:t xml:space="preserve"> </w:t>
      </w:r>
      <w:r>
        <w:t>casos</w:t>
      </w:r>
      <w:r>
        <w:rPr>
          <w:spacing w:val="-9"/>
        </w:rPr>
        <w:t xml:space="preserve"> </w:t>
      </w:r>
      <w:r>
        <w:t>de</w:t>
      </w:r>
      <w:r>
        <w:rPr>
          <w:spacing w:val="-10"/>
        </w:rPr>
        <w:t xml:space="preserve"> </w:t>
      </w:r>
      <w:r>
        <w:t>homicidios</w:t>
      </w:r>
      <w:r>
        <w:rPr>
          <w:spacing w:val="-11"/>
        </w:rPr>
        <w:t xml:space="preserve"> </w:t>
      </w:r>
      <w:r>
        <w:t>y/o</w:t>
      </w:r>
      <w:r>
        <w:rPr>
          <w:spacing w:val="-11"/>
        </w:rPr>
        <w:t xml:space="preserve"> </w:t>
      </w:r>
      <w:r>
        <w:t>feminicidios</w:t>
      </w:r>
      <w:r>
        <w:rPr>
          <w:spacing w:val="-11"/>
        </w:rPr>
        <w:t xml:space="preserve"> </w:t>
      </w:r>
      <w:r>
        <w:t>reportados</w:t>
      </w:r>
      <w:r>
        <w:rPr>
          <w:spacing w:val="-11"/>
        </w:rPr>
        <w:t xml:space="preserve"> </w:t>
      </w:r>
      <w:r>
        <w:t>en</w:t>
      </w:r>
      <w:r>
        <w:rPr>
          <w:spacing w:val="-12"/>
        </w:rPr>
        <w:t xml:space="preserve"> </w:t>
      </w:r>
      <w:r>
        <w:t>Colombia</w:t>
      </w:r>
      <w:r>
        <w:rPr>
          <w:spacing w:val="-9"/>
        </w:rPr>
        <w:t xml:space="preserve"> </w:t>
      </w:r>
      <w:r>
        <w:t>durante</w:t>
      </w:r>
      <w:r>
        <w:rPr>
          <w:spacing w:val="-10"/>
        </w:rPr>
        <w:t xml:space="preserve"> </w:t>
      </w:r>
      <w:r>
        <w:t>el 2022 correspondieron a casos donde las víctimas eran hombres gais y personas con experiencias de vida trans</w:t>
      </w:r>
      <w:hyperlink w:anchor="_bookmark85" w:history="1">
        <w:r w:rsidR="000E52B0">
          <w:rPr>
            <w:position w:val="8"/>
            <w:sz w:val="16"/>
          </w:rPr>
          <w:t>72</w:t>
        </w:r>
      </w:hyperlink>
      <w:r>
        <w:t>.</w:t>
      </w:r>
    </w:p>
    <w:p w14:paraId="0E1B5730" w14:textId="77777777" w:rsidR="000E52B0" w:rsidRDefault="00F60D74">
      <w:pPr>
        <w:pStyle w:val="Textoindependiente"/>
        <w:spacing w:before="159"/>
        <w:ind w:right="720"/>
        <w:jc w:val="both"/>
      </w:pPr>
      <w:r>
        <w:t xml:space="preserve">Con relación a datos territoriales, la Fundación GAAT (2021) en sus procesos investigativos ha destacado algunos datos relevantes de las </w:t>
      </w:r>
      <w:r>
        <w:rPr>
          <w:spacing w:val="-2"/>
        </w:rPr>
        <w:t>ciudades</w:t>
      </w:r>
      <w:r>
        <w:rPr>
          <w:spacing w:val="-13"/>
        </w:rPr>
        <w:t xml:space="preserve"> </w:t>
      </w:r>
      <w:r>
        <w:rPr>
          <w:spacing w:val="-2"/>
        </w:rPr>
        <w:t>de</w:t>
      </w:r>
      <w:r>
        <w:rPr>
          <w:spacing w:val="-9"/>
        </w:rPr>
        <w:t xml:space="preserve"> </w:t>
      </w:r>
      <w:r>
        <w:rPr>
          <w:spacing w:val="-2"/>
        </w:rPr>
        <w:t>Bogotá</w:t>
      </w:r>
      <w:r>
        <w:rPr>
          <w:spacing w:val="-11"/>
        </w:rPr>
        <w:t xml:space="preserve"> </w:t>
      </w:r>
      <w:r>
        <w:rPr>
          <w:spacing w:val="-2"/>
        </w:rPr>
        <w:t>y</w:t>
      </w:r>
      <w:r>
        <w:rPr>
          <w:spacing w:val="-10"/>
        </w:rPr>
        <w:t xml:space="preserve"> </w:t>
      </w:r>
      <w:r>
        <w:rPr>
          <w:spacing w:val="-2"/>
        </w:rPr>
        <w:t>Medellín,</w:t>
      </w:r>
      <w:r>
        <w:rPr>
          <w:spacing w:val="-10"/>
        </w:rPr>
        <w:t xml:space="preserve"> </w:t>
      </w:r>
      <w:r>
        <w:rPr>
          <w:spacing w:val="-2"/>
        </w:rPr>
        <w:t>información</w:t>
      </w:r>
      <w:r>
        <w:rPr>
          <w:spacing w:val="-11"/>
        </w:rPr>
        <w:t xml:space="preserve"> </w:t>
      </w:r>
      <w:r>
        <w:rPr>
          <w:spacing w:val="-2"/>
        </w:rPr>
        <w:t>tomada</w:t>
      </w:r>
      <w:r>
        <w:rPr>
          <w:spacing w:val="-9"/>
        </w:rPr>
        <w:t xml:space="preserve"> </w:t>
      </w:r>
      <w:r>
        <w:rPr>
          <w:spacing w:val="-2"/>
        </w:rPr>
        <w:t>de</w:t>
      </w:r>
      <w:r>
        <w:rPr>
          <w:spacing w:val="-9"/>
        </w:rPr>
        <w:t xml:space="preserve"> </w:t>
      </w:r>
      <w:r>
        <w:rPr>
          <w:spacing w:val="-2"/>
        </w:rPr>
        <w:t>encuestas</w:t>
      </w:r>
      <w:r>
        <w:rPr>
          <w:spacing w:val="-11"/>
        </w:rPr>
        <w:t xml:space="preserve"> </w:t>
      </w:r>
      <w:r>
        <w:rPr>
          <w:spacing w:val="-2"/>
        </w:rPr>
        <w:t>realizadas</w:t>
      </w:r>
    </w:p>
    <w:p w14:paraId="49EC805D" w14:textId="77777777" w:rsidR="000E52B0" w:rsidRDefault="000E52B0">
      <w:pPr>
        <w:pStyle w:val="Textoindependiente"/>
        <w:ind w:left="0"/>
        <w:rPr>
          <w:sz w:val="20"/>
        </w:rPr>
      </w:pPr>
    </w:p>
    <w:p w14:paraId="110544E8" w14:textId="77777777" w:rsidR="000E52B0" w:rsidRDefault="00F60D74">
      <w:pPr>
        <w:pStyle w:val="Textoindependiente"/>
        <w:spacing w:before="210"/>
        <w:ind w:left="0"/>
        <w:rPr>
          <w:sz w:val="20"/>
        </w:rPr>
      </w:pPr>
      <w:r>
        <w:rPr>
          <w:noProof/>
          <w:sz w:val="20"/>
        </w:rPr>
        <mc:AlternateContent>
          <mc:Choice Requires="wps">
            <w:drawing>
              <wp:anchor distT="0" distB="0" distL="0" distR="0" simplePos="0" relativeHeight="487659520" behindDoc="1" locked="0" layoutInCell="1" allowOverlap="1" wp14:anchorId="40C3BC1A" wp14:editId="30140B96">
                <wp:simplePos x="0" y="0"/>
                <wp:positionH relativeFrom="page">
                  <wp:posOffset>914704</wp:posOffset>
                </wp:positionH>
                <wp:positionV relativeFrom="paragraph">
                  <wp:posOffset>303368</wp:posOffset>
                </wp:positionV>
                <wp:extent cx="1829435" cy="7620"/>
                <wp:effectExtent l="0" t="0" r="0" b="0"/>
                <wp:wrapTopAndBottom/>
                <wp:docPr id="591" name="Graphi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D15F97" id="Graphic 591" o:spid="_x0000_s1026" style="position:absolute;margin-left:1in;margin-top:23.9pt;width:144.05pt;height:.6pt;z-index:-1565696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" path="m1829054,l,,,7619r1829054,l1829054,xe" fillcolor="black" stroked="f">
                <v:path arrowok="t"/>
                <w10:wrap type="topAndBottom" anchorx="page"/>
              </v:shape>
            </w:pict>
          </mc:Fallback>
        </mc:AlternateContent>
      </w:r>
    </w:p>
    <w:p w14:paraId="123138F3" w14:textId="77777777" w:rsidR="000E52B0" w:rsidRDefault="00F60D74">
      <w:pPr>
        <w:spacing w:before="96"/>
        <w:ind w:left="720" w:right="717"/>
        <w:jc w:val="both"/>
        <w:rPr>
          <w:rFonts w:ascii="Arial MT" w:hAnsi="Arial MT"/>
          <w:sz w:val="18"/>
        </w:rPr>
      </w:pPr>
      <w:bookmarkStart w:id="82" w:name="_bookmark82"/>
      <w:bookmarkEnd w:id="82"/>
      <w:r>
        <w:rPr>
          <w:rFonts w:ascii="Arial MT" w:hAnsi="Arial MT"/>
          <w:position w:val="6"/>
          <w:sz w:val="12"/>
        </w:rPr>
        <w:t>69</w:t>
      </w:r>
      <w:r>
        <w:rPr>
          <w:rFonts w:ascii="Arial MT" w:hAnsi="Arial MT"/>
          <w:spacing w:val="17"/>
          <w:position w:val="6"/>
          <w:sz w:val="12"/>
        </w:rPr>
        <w:t xml:space="preserve"> </w:t>
      </w:r>
      <w:r>
        <w:rPr>
          <w:rFonts w:ascii="Arial MT" w:hAnsi="Arial MT"/>
          <w:sz w:val="18"/>
        </w:rPr>
        <w:t>Colombia Diversa. (2019b). El prejuicio no</w:t>
      </w:r>
      <w:r>
        <w:rPr>
          <w:rFonts w:ascii="Arial MT" w:hAnsi="Arial MT"/>
          <w:spacing w:val="-2"/>
          <w:sz w:val="18"/>
        </w:rPr>
        <w:t xml:space="preserve"> </w:t>
      </w:r>
      <w:r>
        <w:rPr>
          <w:rFonts w:ascii="Arial MT" w:hAnsi="Arial MT"/>
          <w:sz w:val="18"/>
        </w:rPr>
        <w:t xml:space="preserve">conoce fronteras. Homicidios de lesbianas, gay, bisexuales, trans e intersex en países de América Latina y el Caribe. 2014 – 2019. Recuperado de: </w:t>
      </w:r>
      <w:hyperlink r:id="rId195">
        <w:r w:rsidR="000E52B0">
          <w:rPr>
            <w:rFonts w:ascii="Arial MT" w:hAnsi="Arial MT"/>
            <w:color w:val="E22C91"/>
            <w:spacing w:val="-2"/>
            <w:sz w:val="18"/>
            <w:u w:val="single" w:color="E22C91"/>
          </w:rPr>
          <w:t>https://colombiadiversa.org/colombiadiversa2016/wp-content/uploads/2019/08/Informe_Prejuicios_web.pdf</w:t>
        </w:r>
      </w:hyperlink>
    </w:p>
    <w:p w14:paraId="05626C64" w14:textId="77777777" w:rsidR="000E52B0" w:rsidRDefault="00F60D74">
      <w:pPr>
        <w:ind w:left="720" w:right="713"/>
        <w:jc w:val="both"/>
        <w:rPr>
          <w:rFonts w:ascii="Arial MT" w:hAnsi="Arial MT"/>
          <w:sz w:val="18"/>
        </w:rPr>
      </w:pPr>
      <w:bookmarkStart w:id="83" w:name="_bookmark83"/>
      <w:bookmarkEnd w:id="83"/>
      <w:r>
        <w:rPr>
          <w:rFonts w:ascii="Arial MT" w:hAnsi="Arial MT"/>
          <w:position w:val="6"/>
          <w:sz w:val="12"/>
        </w:rPr>
        <w:t>70</w:t>
      </w:r>
      <w:r>
        <w:rPr>
          <w:rFonts w:ascii="Arial MT" w:hAnsi="Arial MT"/>
          <w:spacing w:val="11"/>
          <w:position w:val="6"/>
          <w:sz w:val="12"/>
        </w:rPr>
        <w:t xml:space="preserve"> </w:t>
      </w:r>
      <w:r>
        <w:rPr>
          <w:rFonts w:ascii="Arial MT" w:hAnsi="Arial MT"/>
          <w:sz w:val="18"/>
        </w:rPr>
        <w:t>Colombia</w:t>
      </w:r>
      <w:r>
        <w:rPr>
          <w:rFonts w:ascii="Arial MT" w:hAnsi="Arial MT"/>
          <w:spacing w:val="-5"/>
          <w:sz w:val="18"/>
        </w:rPr>
        <w:t xml:space="preserve"> </w:t>
      </w:r>
      <w:r>
        <w:rPr>
          <w:rFonts w:ascii="Arial MT" w:hAnsi="Arial MT"/>
          <w:sz w:val="18"/>
        </w:rPr>
        <w:t>Diversa.</w:t>
      </w:r>
      <w:r>
        <w:rPr>
          <w:rFonts w:ascii="Arial MT" w:hAnsi="Arial MT"/>
          <w:spacing w:val="-6"/>
          <w:sz w:val="18"/>
        </w:rPr>
        <w:t xml:space="preserve"> </w:t>
      </w:r>
      <w:r>
        <w:rPr>
          <w:rFonts w:ascii="Arial MT" w:hAnsi="Arial MT"/>
          <w:sz w:val="18"/>
        </w:rPr>
        <w:t>(2020).</w:t>
      </w:r>
      <w:r>
        <w:rPr>
          <w:rFonts w:ascii="Arial MT" w:hAnsi="Arial MT"/>
          <w:spacing w:val="-5"/>
          <w:sz w:val="18"/>
        </w:rPr>
        <w:t xml:space="preserve"> </w:t>
      </w:r>
      <w:r>
        <w:rPr>
          <w:rFonts w:ascii="Arial MT" w:hAnsi="Arial MT"/>
          <w:sz w:val="18"/>
        </w:rPr>
        <w:t>2020,</w:t>
      </w:r>
      <w:r>
        <w:rPr>
          <w:rFonts w:ascii="Arial MT" w:hAnsi="Arial MT"/>
          <w:spacing w:val="-6"/>
          <w:sz w:val="18"/>
        </w:rPr>
        <w:t xml:space="preserve"> </w:t>
      </w:r>
      <w:r>
        <w:rPr>
          <w:rFonts w:ascii="Arial MT" w:hAnsi="Arial MT"/>
          <w:sz w:val="18"/>
        </w:rPr>
        <w:t>el</w:t>
      </w:r>
      <w:r>
        <w:rPr>
          <w:rFonts w:ascii="Arial MT" w:hAnsi="Arial MT"/>
          <w:spacing w:val="-5"/>
          <w:sz w:val="18"/>
        </w:rPr>
        <w:t xml:space="preserve"> </w:t>
      </w:r>
      <w:r>
        <w:rPr>
          <w:rFonts w:ascii="Arial MT" w:hAnsi="Arial MT"/>
          <w:sz w:val="18"/>
        </w:rPr>
        <w:t>año</w:t>
      </w:r>
      <w:r>
        <w:rPr>
          <w:rFonts w:ascii="Arial MT" w:hAnsi="Arial MT"/>
          <w:spacing w:val="-5"/>
          <w:sz w:val="18"/>
        </w:rPr>
        <w:t xml:space="preserve"> </w:t>
      </w:r>
      <w:r>
        <w:rPr>
          <w:rFonts w:ascii="Arial MT" w:hAnsi="Arial MT"/>
          <w:sz w:val="18"/>
        </w:rPr>
        <w:t>con</w:t>
      </w:r>
      <w:r>
        <w:rPr>
          <w:rFonts w:ascii="Arial MT" w:hAnsi="Arial MT"/>
          <w:spacing w:val="-5"/>
          <w:sz w:val="18"/>
        </w:rPr>
        <w:t xml:space="preserve"> </w:t>
      </w:r>
      <w:r>
        <w:rPr>
          <w:rFonts w:ascii="Arial MT" w:hAnsi="Arial MT"/>
          <w:sz w:val="18"/>
        </w:rPr>
        <w:t>la</w:t>
      </w:r>
      <w:r>
        <w:rPr>
          <w:rFonts w:ascii="Arial MT" w:hAnsi="Arial MT"/>
          <w:spacing w:val="-8"/>
          <w:sz w:val="18"/>
        </w:rPr>
        <w:t xml:space="preserve"> </w:t>
      </w:r>
      <w:r>
        <w:rPr>
          <w:rFonts w:ascii="Arial MT" w:hAnsi="Arial MT"/>
          <w:sz w:val="18"/>
        </w:rPr>
        <w:t>cifra</w:t>
      </w:r>
      <w:r>
        <w:rPr>
          <w:rFonts w:ascii="Arial MT" w:hAnsi="Arial MT"/>
          <w:spacing w:val="-7"/>
          <w:sz w:val="18"/>
        </w:rPr>
        <w:t xml:space="preserve"> </w:t>
      </w:r>
      <w:r>
        <w:rPr>
          <w:rFonts w:ascii="Arial MT" w:hAnsi="Arial MT"/>
          <w:sz w:val="18"/>
        </w:rPr>
        <w:t>más</w:t>
      </w:r>
      <w:r>
        <w:rPr>
          <w:rFonts w:ascii="Arial MT" w:hAnsi="Arial MT"/>
          <w:spacing w:val="-7"/>
          <w:sz w:val="18"/>
        </w:rPr>
        <w:t xml:space="preserve"> </w:t>
      </w:r>
      <w:r>
        <w:rPr>
          <w:rFonts w:ascii="Arial MT" w:hAnsi="Arial MT"/>
          <w:sz w:val="18"/>
        </w:rPr>
        <w:t>alta</w:t>
      </w:r>
      <w:r>
        <w:rPr>
          <w:rFonts w:ascii="Arial MT" w:hAnsi="Arial MT"/>
          <w:spacing w:val="-7"/>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violencia</w:t>
      </w:r>
      <w:r>
        <w:rPr>
          <w:rFonts w:ascii="Arial MT" w:hAnsi="Arial MT"/>
          <w:spacing w:val="-5"/>
          <w:sz w:val="18"/>
        </w:rPr>
        <w:t xml:space="preserve"> </w:t>
      </w:r>
      <w:r>
        <w:rPr>
          <w:rFonts w:ascii="Arial MT" w:hAnsi="Arial MT"/>
          <w:sz w:val="18"/>
        </w:rPr>
        <w:t>policial,</w:t>
      </w:r>
      <w:r>
        <w:rPr>
          <w:rFonts w:ascii="Arial MT" w:hAnsi="Arial MT"/>
          <w:spacing w:val="-6"/>
          <w:sz w:val="18"/>
        </w:rPr>
        <w:t xml:space="preserve"> </w:t>
      </w:r>
      <w:r>
        <w:rPr>
          <w:rFonts w:ascii="Arial MT" w:hAnsi="Arial MT"/>
          <w:sz w:val="18"/>
        </w:rPr>
        <w:t>asesinatos</w:t>
      </w:r>
      <w:r>
        <w:rPr>
          <w:rFonts w:ascii="Arial MT" w:hAnsi="Arial MT"/>
          <w:spacing w:val="-5"/>
          <w:sz w:val="18"/>
        </w:rPr>
        <w:t xml:space="preserve"> </w:t>
      </w:r>
      <w:r>
        <w:rPr>
          <w:rFonts w:ascii="Arial MT" w:hAnsi="Arial MT"/>
          <w:sz w:val="18"/>
        </w:rPr>
        <w:t>y</w:t>
      </w:r>
      <w:r>
        <w:rPr>
          <w:rFonts w:ascii="Arial MT" w:hAnsi="Arial MT"/>
          <w:spacing w:val="-5"/>
          <w:sz w:val="18"/>
        </w:rPr>
        <w:t xml:space="preserve"> </w:t>
      </w:r>
      <w:r>
        <w:rPr>
          <w:rFonts w:ascii="Arial MT" w:hAnsi="Arial MT"/>
          <w:sz w:val="18"/>
        </w:rPr>
        <w:t>amenazas</w:t>
      </w:r>
      <w:r>
        <w:rPr>
          <w:rFonts w:ascii="Arial MT" w:hAnsi="Arial MT"/>
          <w:spacing w:val="-5"/>
          <w:sz w:val="18"/>
        </w:rPr>
        <w:t xml:space="preserve"> </w:t>
      </w:r>
      <w:r>
        <w:rPr>
          <w:rFonts w:ascii="Arial MT" w:hAnsi="Arial MT"/>
          <w:sz w:val="18"/>
        </w:rPr>
        <w:t xml:space="preserve">contra personas LGBT. Extraído de: </w:t>
      </w:r>
      <w:hyperlink r:id="rId196">
        <w:r w:rsidR="000E52B0">
          <w:rPr>
            <w:rFonts w:ascii="Arial MT" w:hAnsi="Arial MT"/>
            <w:color w:val="E22C91"/>
            <w:sz w:val="18"/>
            <w:u w:val="single" w:color="E22C91"/>
          </w:rPr>
          <w:t>https://colombiadiversa.org/blogs/2020-el-ano-con-la-cifra-mas-alta-de-violencia-</w:t>
        </w:r>
      </w:hyperlink>
      <w:r>
        <w:rPr>
          <w:rFonts w:ascii="Arial MT" w:hAnsi="Arial MT"/>
          <w:color w:val="E22C91"/>
          <w:sz w:val="18"/>
        </w:rPr>
        <w:t xml:space="preserve"> </w:t>
      </w:r>
      <w:hyperlink r:id="rId197">
        <w:r w:rsidR="000E52B0">
          <w:rPr>
            <w:rFonts w:ascii="Arial MT" w:hAnsi="Arial MT"/>
            <w:color w:val="E22C91"/>
            <w:spacing w:val="-2"/>
            <w:sz w:val="18"/>
            <w:u w:val="single" w:color="E22C91"/>
          </w:rPr>
          <w:t>policial-asesinatos-y-amenazas-contra-personas-</w:t>
        </w:r>
        <w:proofErr w:type="spellStart"/>
        <w:r w:rsidR="000E52B0">
          <w:rPr>
            <w:rFonts w:ascii="Arial MT" w:hAnsi="Arial MT"/>
            <w:color w:val="E22C91"/>
            <w:spacing w:val="-2"/>
            <w:sz w:val="18"/>
            <w:u w:val="single" w:color="E22C91"/>
          </w:rPr>
          <w:t>lgbt</w:t>
        </w:r>
        <w:proofErr w:type="spellEnd"/>
        <w:r w:rsidR="000E52B0">
          <w:rPr>
            <w:rFonts w:ascii="Arial MT" w:hAnsi="Arial MT"/>
            <w:color w:val="E22C91"/>
            <w:spacing w:val="-2"/>
            <w:sz w:val="18"/>
            <w:u w:val="single" w:color="E22C91"/>
          </w:rPr>
          <w:t>/</w:t>
        </w:r>
      </w:hyperlink>
    </w:p>
    <w:p w14:paraId="2BE4EEF4" w14:textId="77777777" w:rsidR="000E52B0" w:rsidRDefault="00F60D74">
      <w:pPr>
        <w:ind w:left="720" w:right="724"/>
        <w:jc w:val="both"/>
        <w:rPr>
          <w:rFonts w:ascii="Arial MT" w:hAnsi="Arial MT"/>
          <w:sz w:val="18"/>
        </w:rPr>
      </w:pPr>
      <w:bookmarkStart w:id="84" w:name="_bookmark84"/>
      <w:bookmarkEnd w:id="84"/>
      <w:r>
        <w:rPr>
          <w:rFonts w:ascii="Arial MT" w:hAnsi="Arial MT"/>
          <w:position w:val="6"/>
          <w:sz w:val="12"/>
        </w:rPr>
        <w:t>71</w:t>
      </w:r>
      <w:r>
        <w:rPr>
          <w:rFonts w:ascii="Arial MT" w:hAnsi="Arial MT"/>
          <w:spacing w:val="13"/>
          <w:position w:val="6"/>
          <w:sz w:val="12"/>
        </w:rPr>
        <w:t xml:space="preserve"> </w:t>
      </w:r>
      <w:r>
        <w:rPr>
          <w:rFonts w:ascii="Arial MT" w:hAnsi="Arial MT"/>
          <w:sz w:val="18"/>
        </w:rPr>
        <w:t>Colombia</w:t>
      </w:r>
      <w:r>
        <w:rPr>
          <w:rFonts w:ascii="Arial MT" w:hAnsi="Arial MT"/>
          <w:spacing w:val="-4"/>
          <w:sz w:val="18"/>
        </w:rPr>
        <w:t xml:space="preserve"> </w:t>
      </w:r>
      <w:r>
        <w:rPr>
          <w:rFonts w:ascii="Arial MT" w:hAnsi="Arial MT"/>
          <w:sz w:val="18"/>
        </w:rPr>
        <w:t>Diversa.</w:t>
      </w:r>
      <w:r>
        <w:rPr>
          <w:rFonts w:ascii="Arial MT" w:hAnsi="Arial MT"/>
          <w:spacing w:val="-4"/>
          <w:sz w:val="18"/>
        </w:rPr>
        <w:t xml:space="preserve"> </w:t>
      </w:r>
      <w:r>
        <w:rPr>
          <w:rFonts w:ascii="Arial MT" w:hAnsi="Arial MT"/>
          <w:sz w:val="18"/>
        </w:rPr>
        <w:t>(2021)</w:t>
      </w:r>
      <w:r>
        <w:rPr>
          <w:rFonts w:ascii="Arial MT" w:hAnsi="Arial MT"/>
          <w:spacing w:val="-5"/>
          <w:sz w:val="18"/>
        </w:rPr>
        <w:t xml:space="preserve"> </w:t>
      </w:r>
      <w:r>
        <w:rPr>
          <w:rFonts w:ascii="Arial MT" w:hAnsi="Arial MT"/>
          <w:sz w:val="18"/>
        </w:rPr>
        <w:t>Informe</w:t>
      </w:r>
      <w:r>
        <w:rPr>
          <w:rFonts w:ascii="Arial MT" w:hAnsi="Arial MT"/>
          <w:spacing w:val="-4"/>
          <w:sz w:val="18"/>
        </w:rPr>
        <w:t xml:space="preserve"> </w:t>
      </w:r>
      <w:r>
        <w:rPr>
          <w:rFonts w:ascii="Arial MT" w:hAnsi="Arial MT"/>
          <w:sz w:val="18"/>
        </w:rPr>
        <w:t>de</w:t>
      </w:r>
      <w:r>
        <w:rPr>
          <w:rFonts w:ascii="Arial MT" w:hAnsi="Arial MT"/>
          <w:spacing w:val="-6"/>
          <w:sz w:val="18"/>
        </w:rPr>
        <w:t xml:space="preserve"> </w:t>
      </w:r>
      <w:r>
        <w:rPr>
          <w:rFonts w:ascii="Arial MT" w:hAnsi="Arial MT"/>
          <w:sz w:val="18"/>
        </w:rPr>
        <w:t>derechos</w:t>
      </w:r>
      <w:r>
        <w:rPr>
          <w:rFonts w:ascii="Arial MT" w:hAnsi="Arial MT"/>
          <w:spacing w:val="-3"/>
          <w:sz w:val="18"/>
        </w:rPr>
        <w:t xml:space="preserve"> </w:t>
      </w:r>
      <w:r>
        <w:rPr>
          <w:rFonts w:ascii="Arial MT" w:hAnsi="Arial MT"/>
          <w:sz w:val="18"/>
        </w:rPr>
        <w:t>humanos</w:t>
      </w:r>
      <w:r>
        <w:rPr>
          <w:rFonts w:ascii="Arial MT" w:hAnsi="Arial MT"/>
          <w:spacing w:val="-6"/>
          <w:sz w:val="18"/>
        </w:rPr>
        <w:t xml:space="preserve"> </w:t>
      </w:r>
      <w:r>
        <w:rPr>
          <w:rFonts w:ascii="Arial MT" w:hAnsi="Arial MT"/>
          <w:sz w:val="18"/>
        </w:rPr>
        <w:t>de</w:t>
      </w:r>
      <w:r>
        <w:rPr>
          <w:rFonts w:ascii="Arial MT" w:hAnsi="Arial MT"/>
          <w:spacing w:val="-6"/>
          <w:sz w:val="18"/>
        </w:rPr>
        <w:t xml:space="preserve"> </w:t>
      </w:r>
      <w:r>
        <w:rPr>
          <w:rFonts w:ascii="Arial MT" w:hAnsi="Arial MT"/>
          <w:sz w:val="18"/>
        </w:rPr>
        <w:t>personas</w:t>
      </w:r>
      <w:r>
        <w:rPr>
          <w:rFonts w:ascii="Arial MT" w:hAnsi="Arial MT"/>
          <w:spacing w:val="-6"/>
          <w:sz w:val="18"/>
        </w:rPr>
        <w:t xml:space="preserve"> </w:t>
      </w:r>
      <w:r>
        <w:rPr>
          <w:rFonts w:ascii="Arial MT" w:hAnsi="Arial MT"/>
          <w:sz w:val="18"/>
        </w:rPr>
        <w:t>LGBT</w:t>
      </w:r>
      <w:r>
        <w:rPr>
          <w:rFonts w:ascii="Arial MT" w:hAnsi="Arial MT"/>
          <w:spacing w:val="-4"/>
          <w:sz w:val="18"/>
        </w:rPr>
        <w:t xml:space="preserve"> </w:t>
      </w:r>
      <w:r>
        <w:rPr>
          <w:rFonts w:ascii="Arial MT" w:hAnsi="Arial MT"/>
          <w:sz w:val="18"/>
        </w:rPr>
        <w:t>en</w:t>
      </w:r>
      <w:r>
        <w:rPr>
          <w:rFonts w:ascii="Arial MT" w:hAnsi="Arial MT"/>
          <w:spacing w:val="-4"/>
          <w:sz w:val="18"/>
        </w:rPr>
        <w:t xml:space="preserve"> </w:t>
      </w:r>
      <w:r>
        <w:rPr>
          <w:rFonts w:ascii="Arial MT" w:hAnsi="Arial MT"/>
          <w:sz w:val="18"/>
        </w:rPr>
        <w:t>Colombia</w:t>
      </w:r>
      <w:r>
        <w:rPr>
          <w:rFonts w:ascii="Arial MT" w:hAnsi="Arial MT"/>
          <w:spacing w:val="-6"/>
          <w:sz w:val="18"/>
        </w:rPr>
        <w:t xml:space="preserve"> </w:t>
      </w:r>
      <w:r>
        <w:rPr>
          <w:rFonts w:ascii="Arial MT" w:hAnsi="Arial MT"/>
          <w:sz w:val="18"/>
        </w:rPr>
        <w:t>2019</w:t>
      </w:r>
      <w:r>
        <w:rPr>
          <w:rFonts w:ascii="Arial MT" w:hAnsi="Arial MT"/>
          <w:spacing w:val="-6"/>
          <w:sz w:val="18"/>
        </w:rPr>
        <w:t xml:space="preserve"> </w:t>
      </w:r>
      <w:r>
        <w:rPr>
          <w:rFonts w:ascii="Arial MT" w:hAnsi="Arial MT"/>
          <w:sz w:val="18"/>
        </w:rPr>
        <w:t>Más</w:t>
      </w:r>
      <w:r>
        <w:rPr>
          <w:rFonts w:ascii="Arial MT" w:hAnsi="Arial MT"/>
          <w:spacing w:val="-6"/>
          <w:sz w:val="18"/>
        </w:rPr>
        <w:t xml:space="preserve"> </w:t>
      </w:r>
      <w:r>
        <w:rPr>
          <w:rFonts w:ascii="Arial MT" w:hAnsi="Arial MT"/>
          <w:sz w:val="18"/>
        </w:rPr>
        <w:t>que</w:t>
      </w:r>
      <w:r>
        <w:rPr>
          <w:rFonts w:ascii="Arial MT" w:hAnsi="Arial MT"/>
          <w:spacing w:val="-6"/>
          <w:sz w:val="18"/>
        </w:rPr>
        <w:t xml:space="preserve"> </w:t>
      </w:r>
      <w:r>
        <w:rPr>
          <w:rFonts w:ascii="Arial MT" w:hAnsi="Arial MT"/>
          <w:sz w:val="18"/>
        </w:rPr>
        <w:t xml:space="preserve">cifras. </w:t>
      </w:r>
      <w:bookmarkStart w:id="85" w:name="_bookmark85"/>
      <w:bookmarkEnd w:id="85"/>
      <w:r>
        <w:rPr>
          <w:rFonts w:ascii="Arial MT" w:hAnsi="Arial MT"/>
          <w:sz w:val="18"/>
        </w:rPr>
        <w:t xml:space="preserve">Bogotá. Extraído de: </w:t>
      </w:r>
      <w:hyperlink r:id="rId198">
        <w:r w:rsidR="000E52B0">
          <w:rPr>
            <w:rFonts w:ascii="Arial MT" w:hAnsi="Arial MT"/>
            <w:color w:val="E22C91"/>
            <w:sz w:val="18"/>
            <w:u w:val="single" w:color="E22C91"/>
          </w:rPr>
          <w:t>https://colombiadiversa.org/c-diversa/wp-content/uploads/2021/03/Mas-que-cifras.pdf</w:t>
        </w:r>
      </w:hyperlink>
    </w:p>
    <w:p w14:paraId="08AFCA14" w14:textId="77777777" w:rsidR="000E52B0" w:rsidRDefault="00F60D74">
      <w:pPr>
        <w:ind w:left="720" w:right="713"/>
        <w:jc w:val="both"/>
        <w:rPr>
          <w:rFonts w:ascii="Arial MT" w:hAnsi="Arial MT"/>
          <w:sz w:val="18"/>
        </w:rPr>
      </w:pPr>
      <w:r>
        <w:rPr>
          <w:rFonts w:ascii="Arial MT" w:hAnsi="Arial MT"/>
          <w:position w:val="6"/>
          <w:sz w:val="12"/>
        </w:rPr>
        <w:t>72</w:t>
      </w:r>
      <w:r>
        <w:rPr>
          <w:rFonts w:ascii="Arial MT" w:hAnsi="Arial MT"/>
          <w:spacing w:val="17"/>
          <w:position w:val="6"/>
          <w:sz w:val="12"/>
        </w:rPr>
        <w:t xml:space="preserve"> </w:t>
      </w:r>
      <w:r>
        <w:rPr>
          <w:rFonts w:ascii="Arial MT" w:hAnsi="Arial MT"/>
          <w:sz w:val="18"/>
        </w:rPr>
        <w:t>Caribe Afirmativo (2022). No</w:t>
      </w:r>
      <w:r>
        <w:rPr>
          <w:rFonts w:ascii="Arial MT" w:hAnsi="Arial MT"/>
          <w:spacing w:val="-2"/>
          <w:sz w:val="18"/>
        </w:rPr>
        <w:t xml:space="preserve"> </w:t>
      </w:r>
      <w:r>
        <w:rPr>
          <w:rFonts w:ascii="Arial MT" w:hAnsi="Arial MT"/>
          <w:sz w:val="18"/>
        </w:rPr>
        <w:t>se mata</w:t>
      </w:r>
      <w:r>
        <w:rPr>
          <w:rFonts w:ascii="Arial MT" w:hAnsi="Arial MT"/>
          <w:spacing w:val="-2"/>
          <w:sz w:val="18"/>
        </w:rPr>
        <w:t xml:space="preserve"> </w:t>
      </w:r>
      <w:r>
        <w:rPr>
          <w:rFonts w:ascii="Arial MT" w:hAnsi="Arial MT"/>
          <w:sz w:val="18"/>
        </w:rPr>
        <w:t>lo que no se</w:t>
      </w:r>
      <w:r>
        <w:rPr>
          <w:rFonts w:ascii="Arial MT" w:hAnsi="Arial MT"/>
          <w:spacing w:val="-2"/>
          <w:sz w:val="18"/>
        </w:rPr>
        <w:t xml:space="preserve"> </w:t>
      </w:r>
      <w:r>
        <w:rPr>
          <w:rFonts w:ascii="Arial MT" w:hAnsi="Arial MT"/>
          <w:sz w:val="18"/>
        </w:rPr>
        <w:t>olvida: Informe sobre la situación de los derechos</w:t>
      </w:r>
      <w:r>
        <w:rPr>
          <w:rFonts w:ascii="Arial MT" w:hAnsi="Arial MT"/>
          <w:spacing w:val="-1"/>
          <w:sz w:val="18"/>
        </w:rPr>
        <w:t xml:space="preserve"> </w:t>
      </w:r>
      <w:r>
        <w:rPr>
          <w:rFonts w:ascii="Arial MT" w:hAnsi="Arial MT"/>
          <w:sz w:val="18"/>
        </w:rPr>
        <w:t xml:space="preserve">humanos de personas LGBTIQ+ en Colombia 2022. </w:t>
      </w:r>
      <w:hyperlink r:id="rId199">
        <w:r w:rsidR="000E52B0">
          <w:rPr>
            <w:rFonts w:ascii="Arial MT" w:hAnsi="Arial MT"/>
            <w:color w:val="E22C91"/>
            <w:sz w:val="18"/>
            <w:u w:val="single" w:color="E22C91"/>
          </w:rPr>
          <w:t>https://caribeafirmativo.lgbt/wp-content/uploads/2023/03/INFORME-</w:t>
        </w:r>
      </w:hyperlink>
      <w:r>
        <w:rPr>
          <w:rFonts w:ascii="Arial MT" w:hAnsi="Arial MT"/>
          <w:color w:val="E22C91"/>
          <w:sz w:val="18"/>
        </w:rPr>
        <w:t xml:space="preserve"> </w:t>
      </w:r>
      <w:hyperlink r:id="rId200">
        <w:r w:rsidR="000E52B0">
          <w:rPr>
            <w:rFonts w:ascii="Arial MT" w:hAnsi="Arial MT"/>
            <w:color w:val="E22C91"/>
            <w:spacing w:val="-2"/>
            <w:sz w:val="18"/>
            <w:u w:val="single" w:color="E22C91"/>
          </w:rPr>
          <w:t>DDHH-LGBTIQ2023-CA.pdf</w:t>
        </w:r>
      </w:hyperlink>
    </w:p>
    <w:p w14:paraId="5AE82706" w14:textId="77777777" w:rsidR="000E52B0" w:rsidRDefault="000E52B0">
      <w:pPr>
        <w:jc w:val="both"/>
        <w:rPr>
          <w:rFonts w:ascii="Arial MT" w:hAnsi="Arial MT"/>
          <w:sz w:val="18"/>
        </w:rPr>
        <w:sectPr w:rsidR="000E52B0">
          <w:pgSz w:w="11910" w:h="16840"/>
          <w:pgMar w:top="1340" w:right="720" w:bottom="1180" w:left="720" w:header="0" w:footer="995" w:gutter="0"/>
          <w:cols w:space="720"/>
        </w:sectPr>
      </w:pPr>
    </w:p>
    <w:p w14:paraId="172DEF25" w14:textId="77777777" w:rsidR="000E52B0" w:rsidRDefault="00F60D74">
      <w:pPr>
        <w:pStyle w:val="Textoindependiente"/>
        <w:spacing w:before="83"/>
        <w:ind w:right="722"/>
        <w:jc w:val="both"/>
      </w:pPr>
      <w:r>
        <w:lastRenderedPageBreak/>
        <w:t xml:space="preserve">por las oficinas de planeación de estos territorios y que se relatan a </w:t>
      </w:r>
      <w:r>
        <w:rPr>
          <w:spacing w:val="-2"/>
        </w:rPr>
        <w:t>continuación:</w:t>
      </w:r>
    </w:p>
    <w:p w14:paraId="583C0960" w14:textId="77777777" w:rsidR="000E52B0" w:rsidRDefault="00F60D74">
      <w:pPr>
        <w:pStyle w:val="Textoindependiente"/>
        <w:spacing w:before="158"/>
        <w:ind w:right="715"/>
        <w:jc w:val="both"/>
      </w:pPr>
      <w:r>
        <w:t>En Bogotá, según la encuesta Multipropósito (2017), 52.704 respondieron ser</w:t>
      </w:r>
      <w:r>
        <w:rPr>
          <w:spacing w:val="-8"/>
        </w:rPr>
        <w:t xml:space="preserve"> </w:t>
      </w:r>
      <w:r>
        <w:t>parte</w:t>
      </w:r>
      <w:r>
        <w:rPr>
          <w:spacing w:val="-9"/>
        </w:rPr>
        <w:t xml:space="preserve"> </w:t>
      </w:r>
      <w:r>
        <w:t>de</w:t>
      </w:r>
      <w:r>
        <w:rPr>
          <w:spacing w:val="-9"/>
        </w:rPr>
        <w:t xml:space="preserve"> </w:t>
      </w:r>
      <w:r>
        <w:t>la</w:t>
      </w:r>
      <w:r>
        <w:rPr>
          <w:spacing w:val="-9"/>
        </w:rPr>
        <w:t xml:space="preserve"> </w:t>
      </w:r>
      <w:r>
        <w:t>población</w:t>
      </w:r>
      <w:r>
        <w:rPr>
          <w:spacing w:val="-9"/>
        </w:rPr>
        <w:t xml:space="preserve"> </w:t>
      </w:r>
      <w:r>
        <w:t>OSIGNH</w:t>
      </w:r>
      <w:r>
        <w:rPr>
          <w:spacing w:val="-9"/>
        </w:rPr>
        <w:t xml:space="preserve"> </w:t>
      </w:r>
      <w:r>
        <w:t>de</w:t>
      </w:r>
      <w:r>
        <w:rPr>
          <w:spacing w:val="-9"/>
        </w:rPr>
        <w:t xml:space="preserve"> </w:t>
      </w:r>
      <w:r>
        <w:t>las</w:t>
      </w:r>
      <w:r>
        <w:rPr>
          <w:spacing w:val="-9"/>
        </w:rPr>
        <w:t xml:space="preserve"> </w:t>
      </w:r>
      <w:r>
        <w:t>cuales</w:t>
      </w:r>
      <w:r>
        <w:rPr>
          <w:spacing w:val="-9"/>
        </w:rPr>
        <w:t xml:space="preserve"> </w:t>
      </w:r>
      <w:r>
        <w:t>3.392</w:t>
      </w:r>
      <w:r>
        <w:rPr>
          <w:spacing w:val="-9"/>
        </w:rPr>
        <w:t xml:space="preserve"> </w:t>
      </w:r>
      <w:r>
        <w:t>se</w:t>
      </w:r>
      <w:r>
        <w:rPr>
          <w:spacing w:val="-9"/>
        </w:rPr>
        <w:t xml:space="preserve"> </w:t>
      </w:r>
      <w:r>
        <w:t>auto</w:t>
      </w:r>
      <w:r>
        <w:rPr>
          <w:spacing w:val="-9"/>
        </w:rPr>
        <w:t xml:space="preserve"> </w:t>
      </w:r>
      <w:r>
        <w:t>reconocieron transgénero.</w:t>
      </w:r>
      <w:r>
        <w:rPr>
          <w:spacing w:val="-12"/>
        </w:rPr>
        <w:t xml:space="preserve"> </w:t>
      </w:r>
      <w:r>
        <w:t>De</w:t>
      </w:r>
      <w:r>
        <w:rPr>
          <w:spacing w:val="-10"/>
        </w:rPr>
        <w:t xml:space="preserve"> </w:t>
      </w:r>
      <w:r>
        <w:t>acuerdo</w:t>
      </w:r>
      <w:r>
        <w:rPr>
          <w:spacing w:val="-11"/>
        </w:rPr>
        <w:t xml:space="preserve"> </w:t>
      </w:r>
      <w:r>
        <w:t>con</w:t>
      </w:r>
      <w:r>
        <w:rPr>
          <w:spacing w:val="-11"/>
        </w:rPr>
        <w:t xml:space="preserve"> </w:t>
      </w:r>
      <w:r>
        <w:t>la</w:t>
      </w:r>
      <w:r>
        <w:rPr>
          <w:spacing w:val="-12"/>
        </w:rPr>
        <w:t xml:space="preserve"> </w:t>
      </w:r>
      <w:r>
        <w:t>Encuesta</w:t>
      </w:r>
      <w:r>
        <w:rPr>
          <w:spacing w:val="-11"/>
        </w:rPr>
        <w:t xml:space="preserve"> </w:t>
      </w:r>
      <w:r>
        <w:t>Bienal</w:t>
      </w:r>
      <w:r>
        <w:rPr>
          <w:spacing w:val="-13"/>
        </w:rPr>
        <w:t xml:space="preserve"> </w:t>
      </w:r>
      <w:r>
        <w:t>de</w:t>
      </w:r>
      <w:r>
        <w:rPr>
          <w:spacing w:val="-10"/>
        </w:rPr>
        <w:t xml:space="preserve"> </w:t>
      </w:r>
      <w:r>
        <w:t>Culturas</w:t>
      </w:r>
      <w:r>
        <w:rPr>
          <w:spacing w:val="-11"/>
        </w:rPr>
        <w:t xml:space="preserve"> </w:t>
      </w:r>
      <w:r>
        <w:t>(2017)</w:t>
      </w:r>
      <w:r>
        <w:rPr>
          <w:spacing w:val="-12"/>
        </w:rPr>
        <w:t xml:space="preserve"> </w:t>
      </w:r>
      <w:r>
        <w:t>el</w:t>
      </w:r>
      <w:r>
        <w:rPr>
          <w:spacing w:val="-12"/>
        </w:rPr>
        <w:t xml:space="preserve"> </w:t>
      </w:r>
      <w:r>
        <w:t xml:space="preserve">35% de la población OSIGNH de Bogotá se han sentido discriminadas. Esta discriminación se fundamenta en que </w:t>
      </w:r>
      <w:r>
        <w:rPr>
          <w:i/>
          <w:u w:val="single"/>
        </w:rPr>
        <w:t>las personas del sector son</w:t>
      </w:r>
      <w:r>
        <w:rPr>
          <w:i/>
        </w:rPr>
        <w:t xml:space="preserve"> </w:t>
      </w:r>
      <w:r>
        <w:rPr>
          <w:i/>
          <w:u w:val="single"/>
        </w:rPr>
        <w:t>consideradas un riesgo o un peligro para la sociedad</w:t>
      </w:r>
      <w:r>
        <w:t>, así como en la prohibición de ciertas acciones para la población OSIGNH como adoptar niños, casarse y tener muestras afectivas en público (Tomado por GAAT, 2021, de la Secretaría Distrital de Planeación, 2019).</w:t>
      </w:r>
    </w:p>
    <w:p w14:paraId="124084CA" w14:textId="77777777" w:rsidR="000E52B0" w:rsidRDefault="00F60D74">
      <w:pPr>
        <w:pStyle w:val="Textoindependiente"/>
        <w:spacing w:before="162"/>
        <w:ind w:right="718"/>
        <w:jc w:val="both"/>
      </w:pPr>
      <w:r>
        <w:t>La Dirección de Diversidad Sexual del Distrito también ha estimado porcentajes</w:t>
      </w:r>
      <w:r>
        <w:rPr>
          <w:spacing w:val="-11"/>
        </w:rPr>
        <w:t xml:space="preserve"> </w:t>
      </w:r>
      <w:r>
        <w:t>preocupantes</w:t>
      </w:r>
      <w:r>
        <w:rPr>
          <w:spacing w:val="-11"/>
        </w:rPr>
        <w:t xml:space="preserve"> </w:t>
      </w:r>
      <w:r>
        <w:t>respecto</w:t>
      </w:r>
      <w:r>
        <w:rPr>
          <w:spacing w:val="-10"/>
        </w:rPr>
        <w:t xml:space="preserve"> </w:t>
      </w:r>
      <w:r>
        <w:t>a</w:t>
      </w:r>
      <w:r>
        <w:rPr>
          <w:spacing w:val="-11"/>
        </w:rPr>
        <w:t xml:space="preserve"> </w:t>
      </w:r>
      <w:r>
        <w:t>la</w:t>
      </w:r>
      <w:r>
        <w:rPr>
          <w:spacing w:val="-13"/>
        </w:rPr>
        <w:t xml:space="preserve"> </w:t>
      </w:r>
      <w:r>
        <w:t>discriminación</w:t>
      </w:r>
      <w:r>
        <w:rPr>
          <w:spacing w:val="-11"/>
        </w:rPr>
        <w:t xml:space="preserve"> </w:t>
      </w:r>
      <w:r>
        <w:t>constante</w:t>
      </w:r>
      <w:r>
        <w:rPr>
          <w:spacing w:val="-10"/>
        </w:rPr>
        <w:t xml:space="preserve"> </w:t>
      </w:r>
      <w:r>
        <w:t>que</w:t>
      </w:r>
      <w:r>
        <w:rPr>
          <w:spacing w:val="-10"/>
        </w:rPr>
        <w:t xml:space="preserve"> </w:t>
      </w:r>
      <w:r>
        <w:t>viven las</w:t>
      </w:r>
      <w:r>
        <w:rPr>
          <w:spacing w:val="-3"/>
        </w:rPr>
        <w:t xml:space="preserve"> </w:t>
      </w:r>
      <w:r>
        <w:t>personas</w:t>
      </w:r>
      <w:r>
        <w:rPr>
          <w:spacing w:val="-1"/>
        </w:rPr>
        <w:t xml:space="preserve"> </w:t>
      </w:r>
      <w:r>
        <w:t>trans</w:t>
      </w:r>
      <w:r>
        <w:rPr>
          <w:spacing w:val="-1"/>
        </w:rPr>
        <w:t xml:space="preserve"> </w:t>
      </w:r>
      <w:r>
        <w:t>como</w:t>
      </w:r>
      <w:r>
        <w:rPr>
          <w:spacing w:val="-2"/>
        </w:rPr>
        <w:t xml:space="preserve"> </w:t>
      </w:r>
      <w:r>
        <w:t>que</w:t>
      </w:r>
      <w:r>
        <w:rPr>
          <w:spacing w:val="-2"/>
        </w:rPr>
        <w:t xml:space="preserve"> </w:t>
      </w:r>
      <w:r>
        <w:t>“el</w:t>
      </w:r>
      <w:r>
        <w:rPr>
          <w:spacing w:val="-4"/>
        </w:rPr>
        <w:t xml:space="preserve"> </w:t>
      </w:r>
      <w:r>
        <w:t>90%</w:t>
      </w:r>
      <w:r>
        <w:rPr>
          <w:spacing w:val="-2"/>
        </w:rPr>
        <w:t xml:space="preserve"> </w:t>
      </w:r>
      <w:r>
        <w:t>de</w:t>
      </w:r>
      <w:r>
        <w:rPr>
          <w:spacing w:val="-2"/>
        </w:rPr>
        <w:t xml:space="preserve"> </w:t>
      </w:r>
      <w:r>
        <w:t>las</w:t>
      </w:r>
      <w:r>
        <w:rPr>
          <w:spacing w:val="-1"/>
        </w:rPr>
        <w:t xml:space="preserve"> </w:t>
      </w:r>
      <w:r>
        <w:t>mujeres</w:t>
      </w:r>
      <w:r>
        <w:rPr>
          <w:spacing w:val="-3"/>
        </w:rPr>
        <w:t xml:space="preserve"> </w:t>
      </w:r>
      <w:r>
        <w:t>trans en</w:t>
      </w:r>
      <w:r>
        <w:rPr>
          <w:spacing w:val="-3"/>
        </w:rPr>
        <w:t xml:space="preserve"> </w:t>
      </w:r>
      <w:r>
        <w:t>la</w:t>
      </w:r>
      <w:r>
        <w:rPr>
          <w:spacing w:val="-1"/>
        </w:rPr>
        <w:t xml:space="preserve"> </w:t>
      </w:r>
      <w:r>
        <w:t>ciudad</w:t>
      </w:r>
      <w:r>
        <w:rPr>
          <w:spacing w:val="-1"/>
        </w:rPr>
        <w:t xml:space="preserve"> </w:t>
      </w:r>
      <w:r>
        <w:t>no acceden</w:t>
      </w:r>
      <w:r>
        <w:rPr>
          <w:spacing w:val="-20"/>
        </w:rPr>
        <w:t xml:space="preserve"> </w:t>
      </w:r>
      <w:r>
        <w:t>a</w:t>
      </w:r>
      <w:r>
        <w:rPr>
          <w:spacing w:val="-20"/>
        </w:rPr>
        <w:t xml:space="preserve"> </w:t>
      </w:r>
      <w:r>
        <w:t>la</w:t>
      </w:r>
      <w:r>
        <w:rPr>
          <w:spacing w:val="-20"/>
        </w:rPr>
        <w:t xml:space="preserve"> </w:t>
      </w:r>
      <w:r>
        <w:t>educación</w:t>
      </w:r>
      <w:r>
        <w:rPr>
          <w:spacing w:val="-20"/>
        </w:rPr>
        <w:t xml:space="preserve"> </w:t>
      </w:r>
      <w:r>
        <w:t>por</w:t>
      </w:r>
      <w:r>
        <w:rPr>
          <w:spacing w:val="-19"/>
        </w:rPr>
        <w:t xml:space="preserve"> </w:t>
      </w:r>
      <w:r>
        <w:t>temor</w:t>
      </w:r>
      <w:r>
        <w:rPr>
          <w:spacing w:val="-19"/>
        </w:rPr>
        <w:t xml:space="preserve"> </w:t>
      </w:r>
      <w:r>
        <w:t>a</w:t>
      </w:r>
      <w:r>
        <w:rPr>
          <w:spacing w:val="-20"/>
        </w:rPr>
        <w:t xml:space="preserve"> </w:t>
      </w:r>
      <w:r>
        <w:t>ser</w:t>
      </w:r>
      <w:r>
        <w:rPr>
          <w:spacing w:val="-18"/>
        </w:rPr>
        <w:t xml:space="preserve"> </w:t>
      </w:r>
      <w:r>
        <w:t>discriminadas.</w:t>
      </w:r>
      <w:r>
        <w:rPr>
          <w:spacing w:val="-18"/>
        </w:rPr>
        <w:t xml:space="preserve"> </w:t>
      </w:r>
      <w:r>
        <w:t>Además,</w:t>
      </w:r>
      <w:r>
        <w:rPr>
          <w:spacing w:val="-21"/>
        </w:rPr>
        <w:t xml:space="preserve"> </w:t>
      </w:r>
      <w:r>
        <w:t>el</w:t>
      </w:r>
      <w:r>
        <w:rPr>
          <w:spacing w:val="-19"/>
        </w:rPr>
        <w:t xml:space="preserve"> </w:t>
      </w:r>
      <w:r>
        <w:t>33%</w:t>
      </w:r>
      <w:r>
        <w:rPr>
          <w:spacing w:val="-19"/>
        </w:rPr>
        <w:t xml:space="preserve"> </w:t>
      </w:r>
      <w:r>
        <w:t>dice que no tiene afiliación al sistema de salud y el 24% afirma haber sido víctima de amenazas y discriminación por el hecho de ser trans” (Tomado por GAAT, 2021, de Montoya, 2020).</w:t>
      </w:r>
    </w:p>
    <w:p w14:paraId="5032F5D9" w14:textId="77777777" w:rsidR="000E52B0" w:rsidRDefault="00F60D74">
      <w:pPr>
        <w:pStyle w:val="Textoindependiente"/>
        <w:spacing w:before="159"/>
        <w:ind w:right="718"/>
        <w:jc w:val="both"/>
      </w:pPr>
      <w:r>
        <w:t>Según el informe de la Defensoría del Pueblo de Colombia del año 2022, durante</w:t>
      </w:r>
      <w:r>
        <w:rPr>
          <w:spacing w:val="-17"/>
        </w:rPr>
        <w:t xml:space="preserve"> </w:t>
      </w:r>
      <w:r>
        <w:t>el</w:t>
      </w:r>
      <w:r>
        <w:rPr>
          <w:spacing w:val="-19"/>
        </w:rPr>
        <w:t xml:space="preserve"> </w:t>
      </w:r>
      <w:r>
        <w:t>año</w:t>
      </w:r>
      <w:r>
        <w:rPr>
          <w:spacing w:val="-18"/>
        </w:rPr>
        <w:t xml:space="preserve"> </w:t>
      </w:r>
      <w:r>
        <w:t>2021,</w:t>
      </w:r>
      <w:r>
        <w:rPr>
          <w:spacing w:val="-19"/>
        </w:rPr>
        <w:t xml:space="preserve"> </w:t>
      </w:r>
      <w:r>
        <w:t>se</w:t>
      </w:r>
      <w:r>
        <w:rPr>
          <w:spacing w:val="-17"/>
        </w:rPr>
        <w:t xml:space="preserve"> </w:t>
      </w:r>
      <w:r>
        <w:t>tuvo</w:t>
      </w:r>
      <w:r>
        <w:rPr>
          <w:spacing w:val="-18"/>
        </w:rPr>
        <w:t xml:space="preserve"> </w:t>
      </w:r>
      <w:r>
        <w:t>conocimiento</w:t>
      </w:r>
      <w:r>
        <w:rPr>
          <w:spacing w:val="-18"/>
        </w:rPr>
        <w:t xml:space="preserve"> </w:t>
      </w:r>
      <w:r>
        <w:t>de</w:t>
      </w:r>
      <w:r>
        <w:rPr>
          <w:spacing w:val="-17"/>
        </w:rPr>
        <w:t xml:space="preserve"> </w:t>
      </w:r>
      <w:r>
        <w:t>47</w:t>
      </w:r>
      <w:r>
        <w:rPr>
          <w:spacing w:val="-17"/>
        </w:rPr>
        <w:t xml:space="preserve"> </w:t>
      </w:r>
      <w:r>
        <w:t>asesinatos</w:t>
      </w:r>
      <w:r>
        <w:rPr>
          <w:spacing w:val="-19"/>
        </w:rPr>
        <w:t xml:space="preserve"> </w:t>
      </w:r>
      <w:r>
        <w:t>de</w:t>
      </w:r>
      <w:r>
        <w:rPr>
          <w:spacing w:val="-17"/>
        </w:rPr>
        <w:t xml:space="preserve"> </w:t>
      </w:r>
      <w:r>
        <w:t>la</w:t>
      </w:r>
      <w:r>
        <w:rPr>
          <w:spacing w:val="-19"/>
        </w:rPr>
        <w:t xml:space="preserve"> </w:t>
      </w:r>
      <w:r>
        <w:t>población LGBTIQ+,</w:t>
      </w:r>
      <w:r>
        <w:rPr>
          <w:spacing w:val="-13"/>
        </w:rPr>
        <w:t xml:space="preserve"> </w:t>
      </w:r>
      <w:r>
        <w:t>y</w:t>
      </w:r>
      <w:r>
        <w:rPr>
          <w:spacing w:val="-13"/>
        </w:rPr>
        <w:t xml:space="preserve"> </w:t>
      </w:r>
      <w:r>
        <w:t>hasta</w:t>
      </w:r>
      <w:r>
        <w:rPr>
          <w:spacing w:val="-10"/>
        </w:rPr>
        <w:t xml:space="preserve"> </w:t>
      </w:r>
      <w:r>
        <w:t>junio</w:t>
      </w:r>
      <w:r>
        <w:rPr>
          <w:spacing w:val="-12"/>
        </w:rPr>
        <w:t xml:space="preserve"> </w:t>
      </w:r>
      <w:r>
        <w:t>de</w:t>
      </w:r>
      <w:r>
        <w:rPr>
          <w:spacing w:val="-12"/>
        </w:rPr>
        <w:t xml:space="preserve"> </w:t>
      </w:r>
      <w:r>
        <w:t>2022,</w:t>
      </w:r>
      <w:r>
        <w:rPr>
          <w:spacing w:val="-13"/>
        </w:rPr>
        <w:t xml:space="preserve"> </w:t>
      </w:r>
      <w:r>
        <w:t>se</w:t>
      </w:r>
      <w:r>
        <w:rPr>
          <w:spacing w:val="-12"/>
        </w:rPr>
        <w:t xml:space="preserve"> </w:t>
      </w:r>
      <w:r>
        <w:t>han</w:t>
      </w:r>
      <w:r>
        <w:rPr>
          <w:spacing w:val="-13"/>
        </w:rPr>
        <w:t xml:space="preserve"> </w:t>
      </w:r>
      <w:r>
        <w:t>reportado</w:t>
      </w:r>
      <w:r>
        <w:rPr>
          <w:spacing w:val="-12"/>
        </w:rPr>
        <w:t xml:space="preserve"> </w:t>
      </w:r>
      <w:r>
        <w:t>33</w:t>
      </w:r>
      <w:r>
        <w:rPr>
          <w:spacing w:val="-12"/>
        </w:rPr>
        <w:t xml:space="preserve"> </w:t>
      </w:r>
      <w:r>
        <w:t>personas</w:t>
      </w:r>
      <w:r>
        <w:rPr>
          <w:spacing w:val="-13"/>
        </w:rPr>
        <w:t xml:space="preserve"> </w:t>
      </w:r>
      <w:r>
        <w:t>asesinadas de esta población. Este tipo de violencia no es una situación aislada, sino que es el resultado de toda una vida de violencia y discriminación, siendo la</w:t>
      </w:r>
      <w:r>
        <w:rPr>
          <w:spacing w:val="-22"/>
        </w:rPr>
        <w:t xml:space="preserve"> </w:t>
      </w:r>
      <w:r>
        <w:t>manifestación</w:t>
      </w:r>
      <w:r>
        <w:rPr>
          <w:spacing w:val="-21"/>
        </w:rPr>
        <w:t xml:space="preserve"> </w:t>
      </w:r>
      <w:r>
        <w:t>más</w:t>
      </w:r>
      <w:r>
        <w:rPr>
          <w:spacing w:val="-21"/>
        </w:rPr>
        <w:t xml:space="preserve"> </w:t>
      </w:r>
      <w:r>
        <w:t>cruel</w:t>
      </w:r>
      <w:r>
        <w:rPr>
          <w:spacing w:val="-21"/>
        </w:rPr>
        <w:t xml:space="preserve"> </w:t>
      </w:r>
      <w:r>
        <w:t>de</w:t>
      </w:r>
      <w:r>
        <w:rPr>
          <w:spacing w:val="-21"/>
        </w:rPr>
        <w:t xml:space="preserve"> </w:t>
      </w:r>
      <w:r>
        <w:t>un</w:t>
      </w:r>
      <w:r>
        <w:rPr>
          <w:spacing w:val="-21"/>
        </w:rPr>
        <w:t xml:space="preserve"> </w:t>
      </w:r>
      <w:r>
        <w:t>sistema</w:t>
      </w:r>
      <w:r>
        <w:rPr>
          <w:spacing w:val="-19"/>
        </w:rPr>
        <w:t xml:space="preserve"> </w:t>
      </w:r>
      <w:r>
        <w:t>patriarcal</w:t>
      </w:r>
      <w:r>
        <w:rPr>
          <w:spacing w:val="-21"/>
        </w:rPr>
        <w:t xml:space="preserve"> </w:t>
      </w:r>
      <w:r>
        <w:t>y</w:t>
      </w:r>
      <w:r>
        <w:rPr>
          <w:spacing w:val="-21"/>
        </w:rPr>
        <w:t xml:space="preserve"> </w:t>
      </w:r>
      <w:r>
        <w:t>heteronormativas</w:t>
      </w:r>
      <w:r>
        <w:rPr>
          <w:spacing w:val="-22"/>
        </w:rPr>
        <w:t xml:space="preserve"> </w:t>
      </w:r>
      <w:r>
        <w:t>que hace uso del prejuicio y del odio para acallar estas diversidades.</w:t>
      </w:r>
    </w:p>
    <w:p w14:paraId="4E0E7613" w14:textId="77777777" w:rsidR="000E52B0" w:rsidRDefault="00F60D74">
      <w:pPr>
        <w:pStyle w:val="Textoindependiente"/>
        <w:spacing w:before="162"/>
        <w:ind w:right="718"/>
        <w:jc w:val="both"/>
      </w:pPr>
      <w:r>
        <w:t>El</w:t>
      </w:r>
      <w:r>
        <w:rPr>
          <w:spacing w:val="-15"/>
        </w:rPr>
        <w:t xml:space="preserve"> </w:t>
      </w:r>
      <w:r>
        <w:t>Informe</w:t>
      </w:r>
      <w:r>
        <w:rPr>
          <w:spacing w:val="-13"/>
        </w:rPr>
        <w:t xml:space="preserve"> </w:t>
      </w:r>
      <w:r>
        <w:t>Defensorial</w:t>
      </w:r>
      <w:r>
        <w:rPr>
          <w:spacing w:val="-15"/>
        </w:rPr>
        <w:t xml:space="preserve"> </w:t>
      </w:r>
      <w:r>
        <w:t>sobre</w:t>
      </w:r>
      <w:r>
        <w:rPr>
          <w:spacing w:val="-12"/>
        </w:rPr>
        <w:t xml:space="preserve"> </w:t>
      </w:r>
      <w:r>
        <w:t>violencias</w:t>
      </w:r>
      <w:r>
        <w:rPr>
          <w:spacing w:val="-11"/>
        </w:rPr>
        <w:t xml:space="preserve"> </w:t>
      </w:r>
      <w:r>
        <w:t>basadas</w:t>
      </w:r>
      <w:r>
        <w:rPr>
          <w:spacing w:val="-14"/>
        </w:rPr>
        <w:t xml:space="preserve"> </w:t>
      </w:r>
      <w:r>
        <w:t>en</w:t>
      </w:r>
      <w:r>
        <w:rPr>
          <w:spacing w:val="-12"/>
        </w:rPr>
        <w:t xml:space="preserve"> </w:t>
      </w:r>
      <w:r>
        <w:t>género</w:t>
      </w:r>
      <w:r>
        <w:rPr>
          <w:spacing w:val="-12"/>
        </w:rPr>
        <w:t xml:space="preserve"> </w:t>
      </w:r>
      <w:r>
        <w:t>y</w:t>
      </w:r>
      <w:r>
        <w:rPr>
          <w:spacing w:val="-14"/>
        </w:rPr>
        <w:t xml:space="preserve"> </w:t>
      </w:r>
      <w:r>
        <w:t>discriminación señala que el 85% de la población LGBTIQ+ han sufrido violencia por prejuicio o crímenes de odio. La Defensoría del Pueblo atendió 125 casos en</w:t>
      </w:r>
      <w:r>
        <w:rPr>
          <w:spacing w:val="-4"/>
        </w:rPr>
        <w:t xml:space="preserve"> </w:t>
      </w:r>
      <w:r>
        <w:t>2018,</w:t>
      </w:r>
      <w:r>
        <w:rPr>
          <w:spacing w:val="-4"/>
        </w:rPr>
        <w:t xml:space="preserve"> </w:t>
      </w:r>
      <w:r>
        <w:t>en</w:t>
      </w:r>
      <w:r>
        <w:rPr>
          <w:spacing w:val="-4"/>
        </w:rPr>
        <w:t xml:space="preserve"> </w:t>
      </w:r>
      <w:r>
        <w:t>los</w:t>
      </w:r>
      <w:r>
        <w:rPr>
          <w:spacing w:val="-3"/>
        </w:rPr>
        <w:t xml:space="preserve"> </w:t>
      </w:r>
      <w:r>
        <w:t>que</w:t>
      </w:r>
      <w:r>
        <w:rPr>
          <w:spacing w:val="-5"/>
        </w:rPr>
        <w:t xml:space="preserve"> </w:t>
      </w:r>
      <w:r>
        <w:t>el</w:t>
      </w:r>
      <w:r>
        <w:rPr>
          <w:spacing w:val="-4"/>
        </w:rPr>
        <w:t xml:space="preserve"> </w:t>
      </w:r>
      <w:r>
        <w:t>96.1%</w:t>
      </w:r>
      <w:r>
        <w:rPr>
          <w:spacing w:val="-3"/>
        </w:rPr>
        <w:t xml:space="preserve"> </w:t>
      </w:r>
      <w:r>
        <w:t>correspondió</w:t>
      </w:r>
      <w:r>
        <w:rPr>
          <w:spacing w:val="-3"/>
        </w:rPr>
        <w:t xml:space="preserve"> </w:t>
      </w:r>
      <w:r>
        <w:t>a</w:t>
      </w:r>
      <w:r>
        <w:rPr>
          <w:spacing w:val="-4"/>
        </w:rPr>
        <w:t xml:space="preserve"> </w:t>
      </w:r>
      <w:r>
        <w:t>hechos</w:t>
      </w:r>
      <w:r>
        <w:rPr>
          <w:spacing w:val="-4"/>
        </w:rPr>
        <w:t xml:space="preserve"> </w:t>
      </w:r>
      <w:r>
        <w:t>de</w:t>
      </w:r>
      <w:r>
        <w:rPr>
          <w:spacing w:val="-3"/>
        </w:rPr>
        <w:t xml:space="preserve"> </w:t>
      </w:r>
      <w:r>
        <w:t>Violencia</w:t>
      </w:r>
      <w:r>
        <w:rPr>
          <w:spacing w:val="-3"/>
        </w:rPr>
        <w:t xml:space="preserve"> </w:t>
      </w:r>
      <w:r>
        <w:t>Física,</w:t>
      </w:r>
      <w:r>
        <w:rPr>
          <w:spacing w:val="-5"/>
        </w:rPr>
        <w:t xml:space="preserve"> </w:t>
      </w:r>
      <w:r>
        <w:t>el 53% a Violencia Sexual, el 42.8% a Violencia Patrimonial, el 33.3% a violencia económica y el 7.8% a violencia psicológica</w:t>
      </w:r>
      <w:hyperlink w:anchor="_bookmark86" w:history="1">
        <w:r w:rsidR="000E52B0">
          <w:rPr>
            <w:position w:val="8"/>
            <w:sz w:val="16"/>
          </w:rPr>
          <w:t>73</w:t>
        </w:r>
      </w:hyperlink>
      <w:r>
        <w:t>.</w:t>
      </w:r>
    </w:p>
    <w:p w14:paraId="1BD4947E" w14:textId="77777777" w:rsidR="000E52B0" w:rsidRDefault="00F60D74">
      <w:pPr>
        <w:pStyle w:val="Textoindependiente"/>
        <w:spacing w:before="158"/>
        <w:ind w:right="715"/>
        <w:jc w:val="both"/>
      </w:pPr>
      <w:r>
        <w:t xml:space="preserve">En cuanto a la </w:t>
      </w:r>
      <w:r>
        <w:rPr>
          <w:b/>
        </w:rPr>
        <w:t xml:space="preserve">situación en el espacio público, </w:t>
      </w:r>
      <w:r>
        <w:t>las organizaciones han denunciado que, en Colombia, las parejas del mismo sexo siguen siendo perseguidas. Según el informe del Departamento Nacional de Planeación (2020), citando a la Organización de Estados Americanos, las parejas del mismo</w:t>
      </w:r>
      <w:r>
        <w:rPr>
          <w:spacing w:val="-6"/>
        </w:rPr>
        <w:t xml:space="preserve"> </w:t>
      </w:r>
      <w:r>
        <w:t>sexo</w:t>
      </w:r>
      <w:r>
        <w:rPr>
          <w:spacing w:val="-6"/>
        </w:rPr>
        <w:t xml:space="preserve"> </w:t>
      </w:r>
      <w:r>
        <w:t>son</w:t>
      </w:r>
      <w:r>
        <w:rPr>
          <w:spacing w:val="-6"/>
        </w:rPr>
        <w:t xml:space="preserve"> </w:t>
      </w:r>
      <w:r>
        <w:t>objeto</w:t>
      </w:r>
      <w:r>
        <w:rPr>
          <w:spacing w:val="-6"/>
        </w:rPr>
        <w:t xml:space="preserve"> </w:t>
      </w:r>
      <w:r>
        <w:t>de</w:t>
      </w:r>
      <w:r>
        <w:rPr>
          <w:spacing w:val="-5"/>
        </w:rPr>
        <w:t xml:space="preserve"> </w:t>
      </w:r>
      <w:r>
        <w:t>persecución</w:t>
      </w:r>
      <w:r>
        <w:rPr>
          <w:spacing w:val="-7"/>
        </w:rPr>
        <w:t xml:space="preserve"> </w:t>
      </w:r>
      <w:r>
        <w:t>en</w:t>
      </w:r>
      <w:r>
        <w:rPr>
          <w:spacing w:val="-7"/>
        </w:rPr>
        <w:t xml:space="preserve"> </w:t>
      </w:r>
      <w:r>
        <w:t>el</w:t>
      </w:r>
      <w:r>
        <w:rPr>
          <w:spacing w:val="-7"/>
        </w:rPr>
        <w:t xml:space="preserve"> </w:t>
      </w:r>
      <w:r>
        <w:t>ámbito</w:t>
      </w:r>
      <w:r>
        <w:rPr>
          <w:spacing w:val="-6"/>
        </w:rPr>
        <w:t xml:space="preserve"> </w:t>
      </w:r>
      <w:r>
        <w:t>del</w:t>
      </w:r>
      <w:r>
        <w:rPr>
          <w:spacing w:val="-7"/>
        </w:rPr>
        <w:t xml:space="preserve"> </w:t>
      </w:r>
      <w:r>
        <w:t>espacio</w:t>
      </w:r>
      <w:r>
        <w:rPr>
          <w:spacing w:val="-6"/>
        </w:rPr>
        <w:t xml:space="preserve"> </w:t>
      </w:r>
      <w:r>
        <w:t>público</w:t>
      </w:r>
      <w:r>
        <w:rPr>
          <w:spacing w:val="-6"/>
        </w:rPr>
        <w:t xml:space="preserve"> </w:t>
      </w:r>
      <w:r>
        <w:t xml:space="preserve">(p. </w:t>
      </w:r>
      <w:r>
        <w:rPr>
          <w:spacing w:val="-4"/>
        </w:rPr>
        <w:t>19).</w:t>
      </w:r>
    </w:p>
    <w:p w14:paraId="4551543B" w14:textId="77777777" w:rsidR="000E52B0" w:rsidRDefault="00F60D74">
      <w:pPr>
        <w:pStyle w:val="Textoindependiente"/>
        <w:spacing w:before="161"/>
        <w:ind w:right="719"/>
        <w:jc w:val="both"/>
      </w:pPr>
      <w:r>
        <w:t>Por otra parte, en el informe Clima escolar y victimización de la Alcaldía Mayor</w:t>
      </w:r>
      <w:r>
        <w:rPr>
          <w:spacing w:val="-20"/>
        </w:rPr>
        <w:t xml:space="preserve"> </w:t>
      </w:r>
      <w:r>
        <w:t>de</w:t>
      </w:r>
      <w:r>
        <w:rPr>
          <w:spacing w:val="-20"/>
        </w:rPr>
        <w:t xml:space="preserve"> </w:t>
      </w:r>
      <w:r>
        <w:t>Bogotá</w:t>
      </w:r>
      <w:r>
        <w:rPr>
          <w:spacing w:val="-21"/>
        </w:rPr>
        <w:t xml:space="preserve"> </w:t>
      </w:r>
      <w:r>
        <w:t>(2013)</w:t>
      </w:r>
      <w:r>
        <w:rPr>
          <w:spacing w:val="-21"/>
        </w:rPr>
        <w:t xml:space="preserve"> </w:t>
      </w:r>
      <w:r>
        <w:t>se</w:t>
      </w:r>
      <w:r>
        <w:rPr>
          <w:spacing w:val="-20"/>
        </w:rPr>
        <w:t xml:space="preserve"> </w:t>
      </w:r>
      <w:r>
        <w:t>señala</w:t>
      </w:r>
      <w:r>
        <w:rPr>
          <w:spacing w:val="-21"/>
        </w:rPr>
        <w:t xml:space="preserve"> </w:t>
      </w:r>
      <w:r>
        <w:t>que,</w:t>
      </w:r>
      <w:r>
        <w:rPr>
          <w:spacing w:val="-17"/>
        </w:rPr>
        <w:t xml:space="preserve"> </w:t>
      </w:r>
      <w:r>
        <w:t>debido</w:t>
      </w:r>
      <w:r>
        <w:rPr>
          <w:spacing w:val="-20"/>
        </w:rPr>
        <w:t xml:space="preserve"> </w:t>
      </w:r>
      <w:r>
        <w:t>a</w:t>
      </w:r>
      <w:r>
        <w:rPr>
          <w:spacing w:val="-19"/>
        </w:rPr>
        <w:t xml:space="preserve"> </w:t>
      </w:r>
      <w:r>
        <w:t>la</w:t>
      </w:r>
      <w:r>
        <w:rPr>
          <w:spacing w:val="-19"/>
        </w:rPr>
        <w:t xml:space="preserve"> </w:t>
      </w:r>
      <w:proofErr w:type="spellStart"/>
      <w:r>
        <w:t>invisibilización</w:t>
      </w:r>
      <w:proofErr w:type="spellEnd"/>
      <w:r>
        <w:rPr>
          <w:spacing w:val="-21"/>
        </w:rPr>
        <w:t xml:space="preserve"> </w:t>
      </w:r>
      <w:r>
        <w:t>y</w:t>
      </w:r>
      <w:r>
        <w:rPr>
          <w:spacing w:val="-19"/>
        </w:rPr>
        <w:t xml:space="preserve"> </w:t>
      </w:r>
      <w:r>
        <w:t>sanción histórica</w:t>
      </w:r>
      <w:r>
        <w:rPr>
          <w:spacing w:val="-6"/>
        </w:rPr>
        <w:t xml:space="preserve"> </w:t>
      </w:r>
      <w:r>
        <w:t>al</w:t>
      </w:r>
      <w:r>
        <w:rPr>
          <w:spacing w:val="-6"/>
        </w:rPr>
        <w:t xml:space="preserve"> </w:t>
      </w:r>
      <w:r>
        <w:t>ejercicio</w:t>
      </w:r>
      <w:r>
        <w:rPr>
          <w:spacing w:val="-2"/>
        </w:rPr>
        <w:t xml:space="preserve"> </w:t>
      </w:r>
      <w:r>
        <w:t>de</w:t>
      </w:r>
      <w:r>
        <w:rPr>
          <w:spacing w:val="-5"/>
        </w:rPr>
        <w:t xml:space="preserve"> </w:t>
      </w:r>
      <w:r>
        <w:t>la</w:t>
      </w:r>
      <w:r>
        <w:rPr>
          <w:spacing w:val="-5"/>
        </w:rPr>
        <w:t xml:space="preserve"> </w:t>
      </w:r>
      <w:r>
        <w:t>sexualidad</w:t>
      </w:r>
      <w:r>
        <w:rPr>
          <w:spacing w:val="-6"/>
        </w:rPr>
        <w:t xml:space="preserve"> </w:t>
      </w:r>
      <w:r>
        <w:t>femenina,</w:t>
      </w:r>
      <w:r>
        <w:rPr>
          <w:spacing w:val="-5"/>
        </w:rPr>
        <w:t xml:space="preserve"> </w:t>
      </w:r>
      <w:r>
        <w:t>las</w:t>
      </w:r>
      <w:r>
        <w:rPr>
          <w:spacing w:val="-6"/>
        </w:rPr>
        <w:t xml:space="preserve"> </w:t>
      </w:r>
      <w:r>
        <w:t>preguntas</w:t>
      </w:r>
      <w:r>
        <w:rPr>
          <w:spacing w:val="-6"/>
        </w:rPr>
        <w:t xml:space="preserve"> </w:t>
      </w:r>
      <w:r>
        <w:t>relacionadas con</w:t>
      </w:r>
      <w:r>
        <w:rPr>
          <w:spacing w:val="-6"/>
        </w:rPr>
        <w:t xml:space="preserve"> </w:t>
      </w:r>
      <w:r>
        <w:t>la</w:t>
      </w:r>
      <w:r>
        <w:rPr>
          <w:spacing w:val="-3"/>
        </w:rPr>
        <w:t xml:space="preserve"> </w:t>
      </w:r>
      <w:r>
        <w:t>homosexualidad</w:t>
      </w:r>
      <w:r>
        <w:rPr>
          <w:spacing w:val="-3"/>
        </w:rPr>
        <w:t xml:space="preserve"> </w:t>
      </w:r>
      <w:r>
        <w:t>y</w:t>
      </w:r>
      <w:r>
        <w:rPr>
          <w:spacing w:val="-4"/>
        </w:rPr>
        <w:t xml:space="preserve"> </w:t>
      </w:r>
      <w:r>
        <w:t>la</w:t>
      </w:r>
      <w:r>
        <w:rPr>
          <w:spacing w:val="-3"/>
        </w:rPr>
        <w:t xml:space="preserve"> </w:t>
      </w:r>
      <w:r>
        <w:t>orientación</w:t>
      </w:r>
      <w:r>
        <w:rPr>
          <w:spacing w:val="-1"/>
        </w:rPr>
        <w:t xml:space="preserve"> </w:t>
      </w:r>
      <w:r>
        <w:t>sexual</w:t>
      </w:r>
      <w:r>
        <w:rPr>
          <w:spacing w:val="-4"/>
        </w:rPr>
        <w:t xml:space="preserve"> </w:t>
      </w:r>
      <w:r>
        <w:t>suelen</w:t>
      </w:r>
      <w:r>
        <w:rPr>
          <w:spacing w:val="-4"/>
        </w:rPr>
        <w:t xml:space="preserve"> </w:t>
      </w:r>
      <w:r>
        <w:t>estar</w:t>
      </w:r>
      <w:r>
        <w:rPr>
          <w:spacing w:val="-2"/>
        </w:rPr>
        <w:t xml:space="preserve"> </w:t>
      </w:r>
      <w:r>
        <w:t>más</w:t>
      </w:r>
      <w:r>
        <w:rPr>
          <w:spacing w:val="-3"/>
        </w:rPr>
        <w:t xml:space="preserve"> </w:t>
      </w:r>
      <w:r>
        <w:t>dirigidas</w:t>
      </w:r>
      <w:r>
        <w:rPr>
          <w:spacing w:val="-3"/>
        </w:rPr>
        <w:t xml:space="preserve"> </w:t>
      </w:r>
      <w:r>
        <w:rPr>
          <w:spacing w:val="-10"/>
        </w:rPr>
        <w:t>a</w:t>
      </w:r>
    </w:p>
    <w:p w14:paraId="5C192696" w14:textId="77777777" w:rsidR="000E52B0" w:rsidRDefault="00F60D74">
      <w:pPr>
        <w:pStyle w:val="Textoindependiente"/>
        <w:spacing w:before="38"/>
        <w:ind w:left="0"/>
        <w:rPr>
          <w:sz w:val="20"/>
        </w:rPr>
      </w:pPr>
      <w:r>
        <w:rPr>
          <w:noProof/>
          <w:sz w:val="20"/>
        </w:rPr>
        <mc:AlternateContent>
          <mc:Choice Requires="wps">
            <w:drawing>
              <wp:anchor distT="0" distB="0" distL="0" distR="0" simplePos="0" relativeHeight="487660032" behindDoc="1" locked="0" layoutInCell="1" allowOverlap="1" wp14:anchorId="0C0D40AD" wp14:editId="7376F5C0">
                <wp:simplePos x="0" y="0"/>
                <wp:positionH relativeFrom="page">
                  <wp:posOffset>914704</wp:posOffset>
                </wp:positionH>
                <wp:positionV relativeFrom="paragraph">
                  <wp:posOffset>194140</wp:posOffset>
                </wp:positionV>
                <wp:extent cx="1829435" cy="7620"/>
                <wp:effectExtent l="0" t="0" r="0" b="0"/>
                <wp:wrapTopAndBottom/>
                <wp:docPr id="592" name="Graphic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14CBF4" id="Graphic 592" o:spid="_x0000_s1026" style="position:absolute;margin-left:1in;margin-top:15.3pt;width:144.05pt;height:.6pt;z-index:-156564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" path="m1829054,l,,,7619r1829054,l1829054,xe" fillcolor="black" stroked="f">
                <v:path arrowok="t"/>
                <w10:wrap type="topAndBottom" anchorx="page"/>
              </v:shape>
            </w:pict>
          </mc:Fallback>
        </mc:AlternateContent>
      </w:r>
    </w:p>
    <w:p w14:paraId="4BEA2973" w14:textId="77777777" w:rsidR="000E52B0" w:rsidRDefault="00F60D74">
      <w:pPr>
        <w:spacing w:before="96"/>
        <w:ind w:left="720" w:right="725"/>
        <w:jc w:val="both"/>
        <w:rPr>
          <w:rFonts w:ascii="Arial MT" w:hAnsi="Arial MT"/>
          <w:sz w:val="18"/>
        </w:rPr>
      </w:pPr>
      <w:bookmarkStart w:id="86" w:name="_bookmark86"/>
      <w:bookmarkEnd w:id="86"/>
      <w:r>
        <w:rPr>
          <w:rFonts w:ascii="Arial MT" w:hAnsi="Arial MT"/>
          <w:position w:val="6"/>
          <w:sz w:val="12"/>
        </w:rPr>
        <w:t>73</w:t>
      </w:r>
      <w:r>
        <w:rPr>
          <w:rFonts w:ascii="Arial MT" w:hAnsi="Arial MT"/>
          <w:spacing w:val="40"/>
          <w:position w:val="6"/>
          <w:sz w:val="12"/>
        </w:rPr>
        <w:t xml:space="preserve"> </w:t>
      </w:r>
      <w:proofErr w:type="gramStart"/>
      <w:r>
        <w:rPr>
          <w:rFonts w:ascii="Arial MT" w:hAnsi="Arial MT"/>
          <w:sz w:val="18"/>
        </w:rPr>
        <w:t>Departamento</w:t>
      </w:r>
      <w:proofErr w:type="gramEnd"/>
      <w:r>
        <w:rPr>
          <w:rFonts w:ascii="Arial MT" w:hAnsi="Arial MT"/>
          <w:sz w:val="18"/>
        </w:rPr>
        <w:t xml:space="preserve"> Nacional de Planeación (2021). Situación de las personas Trans en Bogotá. </w:t>
      </w:r>
      <w:hyperlink r:id="rId201">
        <w:r w:rsidR="000E52B0">
          <w:rPr>
            <w:rFonts w:ascii="Arial MT" w:hAnsi="Arial MT"/>
            <w:color w:val="E22C91"/>
            <w:spacing w:val="-2"/>
            <w:sz w:val="18"/>
            <w:u w:val="single" w:color="E22C91"/>
          </w:rPr>
          <w:t>https://colaboracion.dnp.gov.co/CDT/Desarrollo%20Social/Documentos/Investigacion_situacion_de_las_persona</w:t>
        </w:r>
      </w:hyperlink>
      <w:r>
        <w:rPr>
          <w:rFonts w:ascii="Arial MT" w:hAnsi="Arial MT"/>
          <w:color w:val="E22C91"/>
          <w:spacing w:val="-2"/>
          <w:sz w:val="18"/>
        </w:rPr>
        <w:t xml:space="preserve"> </w:t>
      </w:r>
      <w:hyperlink r:id="rId202">
        <w:r w:rsidR="000E52B0">
          <w:rPr>
            <w:rFonts w:ascii="Arial MT" w:hAnsi="Arial MT"/>
            <w:color w:val="E22C91"/>
            <w:spacing w:val="-2"/>
            <w:sz w:val="18"/>
            <w:u w:val="single" w:color="E22C91"/>
          </w:rPr>
          <w:t>s_trans_en_Colombia.pdf</w:t>
        </w:r>
      </w:hyperlink>
    </w:p>
    <w:p w14:paraId="7144FC43" w14:textId="77777777" w:rsidR="000E52B0" w:rsidRDefault="000E52B0">
      <w:pPr>
        <w:jc w:val="both"/>
        <w:rPr>
          <w:rFonts w:ascii="Arial MT" w:hAnsi="Arial MT"/>
          <w:sz w:val="18"/>
        </w:rPr>
        <w:sectPr w:rsidR="000E52B0">
          <w:pgSz w:w="11910" w:h="16840"/>
          <w:pgMar w:top="1340" w:right="720" w:bottom="1180" w:left="720" w:header="0" w:footer="995" w:gutter="0"/>
          <w:cols w:space="720"/>
        </w:sectPr>
      </w:pPr>
    </w:p>
    <w:p w14:paraId="7E8E8E39" w14:textId="77777777" w:rsidR="000E52B0" w:rsidRDefault="00F60D74">
      <w:pPr>
        <w:pStyle w:val="Textoindependiente"/>
        <w:spacing w:before="83"/>
        <w:ind w:right="722"/>
        <w:jc w:val="both"/>
      </w:pPr>
      <w:r>
        <w:lastRenderedPageBreak/>
        <w:t>varones no heterosexuales o que no cumplen con patrones de conducta asociados a la masculinidad hegemónica.</w:t>
      </w:r>
    </w:p>
    <w:p w14:paraId="3DF31286" w14:textId="77777777" w:rsidR="000E52B0" w:rsidRDefault="00F60D74">
      <w:pPr>
        <w:pStyle w:val="Textoindependiente"/>
        <w:spacing w:before="158"/>
        <w:ind w:right="717"/>
        <w:jc w:val="both"/>
      </w:pPr>
      <w:r>
        <w:t>Los efectos negativos a largo plazo en la salud, derivados de la discriminación</w:t>
      </w:r>
      <w:r>
        <w:rPr>
          <w:spacing w:val="-12"/>
        </w:rPr>
        <w:t xml:space="preserve"> </w:t>
      </w:r>
      <w:r>
        <w:t>hacia</w:t>
      </w:r>
      <w:r>
        <w:rPr>
          <w:spacing w:val="-9"/>
        </w:rPr>
        <w:t xml:space="preserve"> </w:t>
      </w:r>
      <w:r>
        <w:t>la</w:t>
      </w:r>
      <w:r>
        <w:rPr>
          <w:spacing w:val="-9"/>
        </w:rPr>
        <w:t xml:space="preserve"> </w:t>
      </w:r>
      <w:r>
        <w:t>población</w:t>
      </w:r>
      <w:r>
        <w:rPr>
          <w:spacing w:val="-13"/>
        </w:rPr>
        <w:t xml:space="preserve"> </w:t>
      </w:r>
      <w:r>
        <w:t>LGBTIQ+,</w:t>
      </w:r>
      <w:r>
        <w:rPr>
          <w:spacing w:val="-12"/>
        </w:rPr>
        <w:t xml:space="preserve"> </w:t>
      </w:r>
      <w:r>
        <w:t>son</w:t>
      </w:r>
      <w:r>
        <w:rPr>
          <w:spacing w:val="-11"/>
        </w:rPr>
        <w:t xml:space="preserve"> </w:t>
      </w:r>
      <w:r>
        <w:t>especialmente</w:t>
      </w:r>
      <w:r>
        <w:rPr>
          <w:spacing w:val="-10"/>
        </w:rPr>
        <w:t xml:space="preserve"> </w:t>
      </w:r>
      <w:r>
        <w:t>graves</w:t>
      </w:r>
      <w:r>
        <w:rPr>
          <w:spacing w:val="-11"/>
        </w:rPr>
        <w:t xml:space="preserve"> </w:t>
      </w:r>
      <w:r>
        <w:t>para las</w:t>
      </w:r>
      <w:r>
        <w:rPr>
          <w:spacing w:val="-22"/>
        </w:rPr>
        <w:t xml:space="preserve"> </w:t>
      </w:r>
      <w:r>
        <w:t>mujeres</w:t>
      </w:r>
      <w:r>
        <w:rPr>
          <w:spacing w:val="-21"/>
        </w:rPr>
        <w:t xml:space="preserve"> </w:t>
      </w:r>
      <w:r>
        <w:t>trans.</w:t>
      </w:r>
      <w:r>
        <w:rPr>
          <w:spacing w:val="-21"/>
        </w:rPr>
        <w:t xml:space="preserve"> </w:t>
      </w:r>
      <w:r>
        <w:t>En</w:t>
      </w:r>
      <w:r>
        <w:rPr>
          <w:spacing w:val="-20"/>
        </w:rPr>
        <w:t xml:space="preserve"> </w:t>
      </w:r>
      <w:r>
        <w:t>Colombia,</w:t>
      </w:r>
      <w:r>
        <w:rPr>
          <w:spacing w:val="-22"/>
        </w:rPr>
        <w:t xml:space="preserve"> </w:t>
      </w:r>
      <w:r>
        <w:t>la</w:t>
      </w:r>
      <w:r>
        <w:rPr>
          <w:spacing w:val="-20"/>
        </w:rPr>
        <w:t xml:space="preserve"> </w:t>
      </w:r>
      <w:r>
        <w:t>esperanza</w:t>
      </w:r>
      <w:r>
        <w:rPr>
          <w:spacing w:val="-21"/>
        </w:rPr>
        <w:t xml:space="preserve"> </w:t>
      </w:r>
      <w:r>
        <w:t>de</w:t>
      </w:r>
      <w:r>
        <w:rPr>
          <w:spacing w:val="-20"/>
        </w:rPr>
        <w:t xml:space="preserve"> </w:t>
      </w:r>
      <w:r>
        <w:t>vida</w:t>
      </w:r>
      <w:r>
        <w:rPr>
          <w:spacing w:val="-21"/>
        </w:rPr>
        <w:t xml:space="preserve"> </w:t>
      </w:r>
      <w:r>
        <w:t>al</w:t>
      </w:r>
      <w:r>
        <w:rPr>
          <w:spacing w:val="-22"/>
        </w:rPr>
        <w:t xml:space="preserve"> </w:t>
      </w:r>
      <w:r>
        <w:t>nacer</w:t>
      </w:r>
      <w:r>
        <w:rPr>
          <w:spacing w:val="-19"/>
        </w:rPr>
        <w:t xml:space="preserve"> </w:t>
      </w:r>
      <w:r>
        <w:t>de</w:t>
      </w:r>
      <w:r>
        <w:rPr>
          <w:spacing w:val="-20"/>
        </w:rPr>
        <w:t xml:space="preserve"> </w:t>
      </w:r>
      <w:r>
        <w:t>un</w:t>
      </w:r>
      <w:r>
        <w:rPr>
          <w:spacing w:val="-21"/>
        </w:rPr>
        <w:t xml:space="preserve"> </w:t>
      </w:r>
      <w:r>
        <w:t>hombre es de 74 años y de 79 años para una mujer (Banco Mundial, 2018). Sin embargo,</w:t>
      </w:r>
      <w:r>
        <w:rPr>
          <w:spacing w:val="-22"/>
        </w:rPr>
        <w:t xml:space="preserve"> </w:t>
      </w:r>
      <w:r>
        <w:t>según</w:t>
      </w:r>
      <w:r>
        <w:rPr>
          <w:spacing w:val="-21"/>
        </w:rPr>
        <w:t xml:space="preserve"> </w:t>
      </w:r>
      <w:r>
        <w:t>la</w:t>
      </w:r>
      <w:r>
        <w:rPr>
          <w:spacing w:val="-21"/>
        </w:rPr>
        <w:t xml:space="preserve"> </w:t>
      </w:r>
      <w:r>
        <w:t>Comisión</w:t>
      </w:r>
      <w:r>
        <w:rPr>
          <w:spacing w:val="-21"/>
        </w:rPr>
        <w:t xml:space="preserve"> </w:t>
      </w:r>
      <w:r>
        <w:t>Interamericana</w:t>
      </w:r>
      <w:r>
        <w:rPr>
          <w:spacing w:val="-21"/>
        </w:rPr>
        <w:t xml:space="preserve"> </w:t>
      </w:r>
      <w:r>
        <w:t>de</w:t>
      </w:r>
      <w:r>
        <w:rPr>
          <w:spacing w:val="-21"/>
        </w:rPr>
        <w:t xml:space="preserve"> </w:t>
      </w:r>
      <w:r>
        <w:t>Derechos</w:t>
      </w:r>
      <w:r>
        <w:rPr>
          <w:spacing w:val="-21"/>
        </w:rPr>
        <w:t xml:space="preserve"> </w:t>
      </w:r>
      <w:r>
        <w:t>Humanos</w:t>
      </w:r>
      <w:r>
        <w:rPr>
          <w:spacing w:val="-21"/>
        </w:rPr>
        <w:t xml:space="preserve"> </w:t>
      </w:r>
      <w:r>
        <w:t xml:space="preserve">(2015), </w:t>
      </w:r>
      <w:r>
        <w:rPr>
          <w:b/>
        </w:rPr>
        <w:t>la esperanza de vida de las mujeres trans en la región es de 30 a 35 años</w:t>
      </w:r>
      <w:r>
        <w:t>, lo que está relacionado con el alto número de feminicidios que sufren. Estos datos evidencian la necesidad de políticas públicas que aborden de manera diferencial las necesidades de la población OSIGNH, especialmente de la comunidad trans</w:t>
      </w:r>
      <w:hyperlink w:anchor="_bookmark87" w:history="1">
        <w:r w:rsidR="000E52B0">
          <w:rPr>
            <w:position w:val="8"/>
            <w:sz w:val="16"/>
          </w:rPr>
          <w:t>74</w:t>
        </w:r>
      </w:hyperlink>
      <w:r>
        <w:t>.</w:t>
      </w:r>
    </w:p>
    <w:p w14:paraId="311A7539" w14:textId="77777777" w:rsidR="000E52B0" w:rsidRDefault="00F60D74">
      <w:pPr>
        <w:pStyle w:val="Textoindependiente"/>
        <w:spacing w:before="161"/>
        <w:ind w:right="713"/>
        <w:jc w:val="both"/>
      </w:pPr>
      <w:r>
        <w:t>Frente a la población migrante, de acuerdo con Migración Colombia, en el país</w:t>
      </w:r>
      <w:r>
        <w:rPr>
          <w:spacing w:val="-11"/>
        </w:rPr>
        <w:t xml:space="preserve"> </w:t>
      </w:r>
      <w:r>
        <w:t>a</w:t>
      </w:r>
      <w:r>
        <w:rPr>
          <w:spacing w:val="-11"/>
        </w:rPr>
        <w:t xml:space="preserve"> </w:t>
      </w:r>
      <w:r>
        <w:t>enero</w:t>
      </w:r>
      <w:r>
        <w:rPr>
          <w:spacing w:val="-10"/>
        </w:rPr>
        <w:t xml:space="preserve"> </w:t>
      </w:r>
      <w:r>
        <w:t>31</w:t>
      </w:r>
      <w:r>
        <w:rPr>
          <w:spacing w:val="-12"/>
        </w:rPr>
        <w:t xml:space="preserve"> </w:t>
      </w:r>
      <w:r>
        <w:t>de</w:t>
      </w:r>
      <w:r>
        <w:rPr>
          <w:spacing w:val="-10"/>
        </w:rPr>
        <w:t xml:space="preserve"> </w:t>
      </w:r>
      <w:r>
        <w:t>2023</w:t>
      </w:r>
      <w:r>
        <w:rPr>
          <w:spacing w:val="-10"/>
        </w:rPr>
        <w:t xml:space="preserve"> </w:t>
      </w:r>
      <w:r>
        <w:t>se</w:t>
      </w:r>
      <w:r>
        <w:rPr>
          <w:spacing w:val="-10"/>
        </w:rPr>
        <w:t xml:space="preserve"> </w:t>
      </w:r>
      <w:r>
        <w:t>encontraban</w:t>
      </w:r>
      <w:r>
        <w:rPr>
          <w:spacing w:val="-12"/>
        </w:rPr>
        <w:t xml:space="preserve"> </w:t>
      </w:r>
      <w:r>
        <w:t>en</w:t>
      </w:r>
      <w:r>
        <w:rPr>
          <w:spacing w:val="-12"/>
        </w:rPr>
        <w:t xml:space="preserve"> </w:t>
      </w:r>
      <w:r>
        <w:t>el</w:t>
      </w:r>
      <w:r>
        <w:rPr>
          <w:spacing w:val="-12"/>
        </w:rPr>
        <w:t xml:space="preserve"> </w:t>
      </w:r>
      <w:r>
        <w:t>país</w:t>
      </w:r>
      <w:r>
        <w:rPr>
          <w:spacing w:val="-6"/>
        </w:rPr>
        <w:t xml:space="preserve"> </w:t>
      </w:r>
      <w:r>
        <w:rPr>
          <w:b/>
        </w:rPr>
        <w:t>2.857.528</w:t>
      </w:r>
      <w:r>
        <w:rPr>
          <w:b/>
          <w:spacing w:val="-8"/>
        </w:rPr>
        <w:t xml:space="preserve"> </w:t>
      </w:r>
      <w:r>
        <w:t>personas</w:t>
      </w:r>
      <w:r>
        <w:rPr>
          <w:spacing w:val="-12"/>
        </w:rPr>
        <w:t xml:space="preserve"> </w:t>
      </w:r>
      <w:r>
        <w:t>en movilidad</w:t>
      </w:r>
      <w:r>
        <w:rPr>
          <w:spacing w:val="-11"/>
        </w:rPr>
        <w:t xml:space="preserve"> </w:t>
      </w:r>
      <w:r>
        <w:t>humana</w:t>
      </w:r>
      <w:r>
        <w:rPr>
          <w:spacing w:val="-13"/>
        </w:rPr>
        <w:t xml:space="preserve"> </w:t>
      </w:r>
      <w:r>
        <w:t>provenientes</w:t>
      </w:r>
      <w:r>
        <w:rPr>
          <w:spacing w:val="-13"/>
        </w:rPr>
        <w:t xml:space="preserve"> </w:t>
      </w:r>
      <w:r>
        <w:t>de</w:t>
      </w:r>
      <w:r>
        <w:rPr>
          <w:spacing w:val="-12"/>
        </w:rPr>
        <w:t xml:space="preserve"> </w:t>
      </w:r>
      <w:r>
        <w:t>Venezuela</w:t>
      </w:r>
      <w:hyperlink w:anchor="_bookmark88" w:history="1">
        <w:r w:rsidR="000E52B0">
          <w:rPr>
            <w:position w:val="8"/>
            <w:sz w:val="16"/>
          </w:rPr>
          <w:t>75</w:t>
        </w:r>
      </w:hyperlink>
      <w:r>
        <w:t>,</w:t>
      </w:r>
      <w:r>
        <w:rPr>
          <w:spacing w:val="-13"/>
        </w:rPr>
        <w:t xml:space="preserve"> </w:t>
      </w:r>
      <w:r>
        <w:t>y</w:t>
      </w:r>
      <w:r>
        <w:rPr>
          <w:spacing w:val="-13"/>
        </w:rPr>
        <w:t xml:space="preserve"> </w:t>
      </w:r>
      <w:r>
        <w:t>de</w:t>
      </w:r>
      <w:r>
        <w:rPr>
          <w:spacing w:val="-12"/>
        </w:rPr>
        <w:t xml:space="preserve"> </w:t>
      </w:r>
      <w:r>
        <w:t>acuerdo</w:t>
      </w:r>
      <w:r>
        <w:rPr>
          <w:spacing w:val="-12"/>
        </w:rPr>
        <w:t xml:space="preserve"> </w:t>
      </w:r>
      <w:r>
        <w:t>con</w:t>
      </w:r>
      <w:r>
        <w:rPr>
          <w:spacing w:val="-13"/>
        </w:rPr>
        <w:t xml:space="preserve"> </w:t>
      </w:r>
      <w:r>
        <w:t>el</w:t>
      </w:r>
      <w:r>
        <w:rPr>
          <w:spacing w:val="-14"/>
        </w:rPr>
        <w:t xml:space="preserve"> </w:t>
      </w:r>
      <w:r>
        <w:t>Censo Nacional</w:t>
      </w:r>
      <w:r>
        <w:rPr>
          <w:spacing w:val="-9"/>
        </w:rPr>
        <w:t xml:space="preserve"> </w:t>
      </w:r>
      <w:r>
        <w:t>de</w:t>
      </w:r>
      <w:r>
        <w:rPr>
          <w:spacing w:val="-9"/>
        </w:rPr>
        <w:t xml:space="preserve"> </w:t>
      </w:r>
      <w:r>
        <w:t>Población</w:t>
      </w:r>
      <w:r>
        <w:rPr>
          <w:spacing w:val="-11"/>
        </w:rPr>
        <w:t xml:space="preserve"> </w:t>
      </w:r>
      <w:r>
        <w:t>y</w:t>
      </w:r>
      <w:r>
        <w:rPr>
          <w:spacing w:val="-10"/>
        </w:rPr>
        <w:t xml:space="preserve"> </w:t>
      </w:r>
      <w:r>
        <w:t>Vivienda</w:t>
      </w:r>
      <w:r>
        <w:rPr>
          <w:spacing w:val="-10"/>
        </w:rPr>
        <w:t xml:space="preserve"> </w:t>
      </w:r>
      <w:r>
        <w:t>de</w:t>
      </w:r>
      <w:r>
        <w:rPr>
          <w:spacing w:val="-9"/>
        </w:rPr>
        <w:t xml:space="preserve"> </w:t>
      </w:r>
      <w:r>
        <w:t>2018,</w:t>
      </w:r>
      <w:r>
        <w:rPr>
          <w:spacing w:val="-11"/>
        </w:rPr>
        <w:t xml:space="preserve"> </w:t>
      </w:r>
      <w:r>
        <w:t>en</w:t>
      </w:r>
      <w:r>
        <w:rPr>
          <w:spacing w:val="-11"/>
        </w:rPr>
        <w:t xml:space="preserve"> </w:t>
      </w:r>
      <w:r>
        <w:t>el</w:t>
      </w:r>
      <w:r>
        <w:rPr>
          <w:spacing w:val="-11"/>
        </w:rPr>
        <w:t xml:space="preserve"> </w:t>
      </w:r>
      <w:r>
        <w:t>país</w:t>
      </w:r>
      <w:r>
        <w:rPr>
          <w:spacing w:val="-11"/>
        </w:rPr>
        <w:t xml:space="preserve"> </w:t>
      </w:r>
      <w:r>
        <w:t>vivían</w:t>
      </w:r>
      <w:r>
        <w:rPr>
          <w:spacing w:val="-8"/>
        </w:rPr>
        <w:t xml:space="preserve"> </w:t>
      </w:r>
      <w:r>
        <w:t>3.640</w:t>
      </w:r>
      <w:r>
        <w:rPr>
          <w:spacing w:val="-9"/>
        </w:rPr>
        <w:t xml:space="preserve"> </w:t>
      </w:r>
      <w:r>
        <w:t xml:space="preserve">personas provenientes de Haití, Cuba, los países de África y Bangladesh, mientras para octubre de 2023, se encontraban 60.159 personas provenientes de estos países en Colombia, y para diciembre de 2023, ya eran </w:t>
      </w:r>
      <w:r>
        <w:rPr>
          <w:b/>
        </w:rPr>
        <w:t>68.197</w:t>
      </w:r>
      <w:hyperlink w:anchor="_bookmark89" w:history="1">
        <w:r w:rsidR="000E52B0">
          <w:rPr>
            <w:b/>
            <w:position w:val="8"/>
            <w:sz w:val="16"/>
          </w:rPr>
          <w:t>76</w:t>
        </w:r>
      </w:hyperlink>
      <w:r>
        <w:t>.</w:t>
      </w:r>
    </w:p>
    <w:p w14:paraId="5F0FDDAD" w14:textId="77777777" w:rsidR="000E52B0" w:rsidRDefault="00F60D74">
      <w:pPr>
        <w:pStyle w:val="Textoindependiente"/>
        <w:spacing w:before="161"/>
        <w:ind w:right="717"/>
        <w:jc w:val="both"/>
      </w:pPr>
      <w:r>
        <w:t>De acuerdo con el Gobierno de Panamá, en 2023 se estima que 520.085 personas cruzaron de forma irregular la frontera Colombo-panameña. De estas</w:t>
      </w:r>
      <w:r>
        <w:rPr>
          <w:spacing w:val="-2"/>
        </w:rPr>
        <w:t xml:space="preserve"> </w:t>
      </w:r>
      <w:r>
        <w:t>380.650</w:t>
      </w:r>
      <w:r>
        <w:rPr>
          <w:spacing w:val="1"/>
        </w:rPr>
        <w:t xml:space="preserve"> </w:t>
      </w:r>
      <w:r>
        <w:t>(73%)</w:t>
      </w:r>
      <w:r>
        <w:rPr>
          <w:spacing w:val="1"/>
        </w:rPr>
        <w:t xml:space="preserve"> </w:t>
      </w:r>
      <w:r>
        <w:t>son venezolanas, 57.250</w:t>
      </w:r>
      <w:r>
        <w:rPr>
          <w:spacing w:val="-1"/>
        </w:rPr>
        <w:t xml:space="preserve"> </w:t>
      </w:r>
      <w:r>
        <w:t>son</w:t>
      </w:r>
      <w:r>
        <w:rPr>
          <w:spacing w:val="1"/>
        </w:rPr>
        <w:t xml:space="preserve"> </w:t>
      </w:r>
      <w:r>
        <w:t>ecuatorianas (10%),</w:t>
      </w:r>
      <w:r>
        <w:rPr>
          <w:spacing w:val="1"/>
        </w:rPr>
        <w:t xml:space="preserve"> </w:t>
      </w:r>
      <w:r>
        <w:rPr>
          <w:spacing w:val="-10"/>
        </w:rPr>
        <w:t>y</w:t>
      </w:r>
    </w:p>
    <w:p w14:paraId="7EB82B1B" w14:textId="77777777" w:rsidR="000E52B0" w:rsidRDefault="00F60D74">
      <w:pPr>
        <w:pStyle w:val="Textoindependiente"/>
        <w:ind w:right="718"/>
        <w:jc w:val="both"/>
      </w:pPr>
      <w:r>
        <w:t>46.422 son haitianas (9%) (Migración Panamá, 2024). No obstante, la información</w:t>
      </w:r>
      <w:r>
        <w:rPr>
          <w:spacing w:val="-13"/>
        </w:rPr>
        <w:t xml:space="preserve"> </w:t>
      </w:r>
      <w:r>
        <w:t>disponible</w:t>
      </w:r>
      <w:r>
        <w:rPr>
          <w:spacing w:val="-12"/>
        </w:rPr>
        <w:t xml:space="preserve"> </w:t>
      </w:r>
      <w:r>
        <w:t>respecto</w:t>
      </w:r>
      <w:r>
        <w:rPr>
          <w:spacing w:val="-12"/>
        </w:rPr>
        <w:t xml:space="preserve"> </w:t>
      </w:r>
      <w:r>
        <w:t>a</w:t>
      </w:r>
      <w:r>
        <w:rPr>
          <w:spacing w:val="-12"/>
        </w:rPr>
        <w:t xml:space="preserve"> </w:t>
      </w:r>
      <w:r>
        <w:t>la</w:t>
      </w:r>
      <w:r>
        <w:rPr>
          <w:spacing w:val="-13"/>
        </w:rPr>
        <w:t xml:space="preserve"> </w:t>
      </w:r>
      <w:r>
        <w:t>magnitud</w:t>
      </w:r>
      <w:r>
        <w:rPr>
          <w:spacing w:val="-13"/>
        </w:rPr>
        <w:t xml:space="preserve"> </w:t>
      </w:r>
      <w:r>
        <w:t>real</w:t>
      </w:r>
      <w:r>
        <w:rPr>
          <w:spacing w:val="-13"/>
        </w:rPr>
        <w:t xml:space="preserve"> </w:t>
      </w:r>
      <w:r>
        <w:t>de</w:t>
      </w:r>
      <w:r>
        <w:rPr>
          <w:spacing w:val="-11"/>
        </w:rPr>
        <w:t xml:space="preserve"> </w:t>
      </w:r>
      <w:r>
        <w:t>los</w:t>
      </w:r>
      <w:r>
        <w:rPr>
          <w:spacing w:val="-12"/>
        </w:rPr>
        <w:t xml:space="preserve"> </w:t>
      </w:r>
      <w:r>
        <w:t>flujos</w:t>
      </w:r>
      <w:r>
        <w:rPr>
          <w:spacing w:val="-12"/>
        </w:rPr>
        <w:t xml:space="preserve"> </w:t>
      </w:r>
      <w:r>
        <w:t>migratorios mixtos,</w:t>
      </w:r>
      <w:r>
        <w:rPr>
          <w:spacing w:val="-18"/>
        </w:rPr>
        <w:t xml:space="preserve"> </w:t>
      </w:r>
      <w:r>
        <w:t>especialmente</w:t>
      </w:r>
      <w:r>
        <w:rPr>
          <w:spacing w:val="-18"/>
        </w:rPr>
        <w:t xml:space="preserve"> </w:t>
      </w:r>
      <w:r>
        <w:t>aquellos</w:t>
      </w:r>
      <w:r>
        <w:rPr>
          <w:spacing w:val="-17"/>
        </w:rPr>
        <w:t xml:space="preserve"> </w:t>
      </w:r>
      <w:r>
        <w:t>que</w:t>
      </w:r>
      <w:r>
        <w:rPr>
          <w:spacing w:val="-18"/>
        </w:rPr>
        <w:t xml:space="preserve"> </w:t>
      </w:r>
      <w:r>
        <w:t>no</w:t>
      </w:r>
      <w:r>
        <w:rPr>
          <w:spacing w:val="-16"/>
        </w:rPr>
        <w:t xml:space="preserve"> </w:t>
      </w:r>
      <w:r>
        <w:t>provienen</w:t>
      </w:r>
      <w:r>
        <w:rPr>
          <w:spacing w:val="-20"/>
        </w:rPr>
        <w:t xml:space="preserve"> </w:t>
      </w:r>
      <w:r>
        <w:t>de</w:t>
      </w:r>
      <w:r>
        <w:rPr>
          <w:spacing w:val="-18"/>
        </w:rPr>
        <w:t xml:space="preserve"> </w:t>
      </w:r>
      <w:r>
        <w:t>Venezuela</w:t>
      </w:r>
      <w:r>
        <w:rPr>
          <w:spacing w:val="-20"/>
        </w:rPr>
        <w:t xml:space="preserve"> </w:t>
      </w:r>
      <w:r>
        <w:t>es</w:t>
      </w:r>
      <w:r>
        <w:rPr>
          <w:spacing w:val="-20"/>
        </w:rPr>
        <w:t xml:space="preserve"> </w:t>
      </w:r>
      <w:r>
        <w:t>limitada, lo que impide valoraciones sobre el contexto amplio de la migración.</w:t>
      </w:r>
    </w:p>
    <w:p w14:paraId="7A5AB546" w14:textId="77777777" w:rsidR="000E52B0" w:rsidRDefault="00F60D74">
      <w:pPr>
        <w:pStyle w:val="Textoindependiente"/>
        <w:spacing w:before="160"/>
        <w:ind w:right="716"/>
        <w:jc w:val="both"/>
      </w:pPr>
      <w:r>
        <w:t>En términos del contexto en general, Colombia se ha consolidado las últimas décadas como un país en tránsito. Las personas hacen sus viajes, principalmente por vías terrestres, ingresando por la frontera con Ecuador o</w:t>
      </w:r>
      <w:r>
        <w:rPr>
          <w:spacing w:val="-7"/>
        </w:rPr>
        <w:t xml:space="preserve"> </w:t>
      </w:r>
      <w:r>
        <w:t>Venezuela,</w:t>
      </w:r>
      <w:r>
        <w:rPr>
          <w:spacing w:val="-9"/>
        </w:rPr>
        <w:t xml:space="preserve"> </w:t>
      </w:r>
      <w:r>
        <w:t>abandonando</w:t>
      </w:r>
      <w:r>
        <w:rPr>
          <w:spacing w:val="-7"/>
        </w:rPr>
        <w:t xml:space="preserve"> </w:t>
      </w:r>
      <w:r>
        <w:t>el</w:t>
      </w:r>
      <w:r>
        <w:rPr>
          <w:spacing w:val="-9"/>
        </w:rPr>
        <w:t xml:space="preserve"> </w:t>
      </w:r>
      <w:r>
        <w:t>país</w:t>
      </w:r>
      <w:r>
        <w:rPr>
          <w:spacing w:val="-8"/>
        </w:rPr>
        <w:t xml:space="preserve"> </w:t>
      </w:r>
      <w:r>
        <w:t>por</w:t>
      </w:r>
      <w:r>
        <w:rPr>
          <w:spacing w:val="-7"/>
        </w:rPr>
        <w:t xml:space="preserve"> </w:t>
      </w:r>
      <w:r>
        <w:t>la</w:t>
      </w:r>
      <w:r>
        <w:rPr>
          <w:spacing w:val="-5"/>
        </w:rPr>
        <w:t xml:space="preserve"> </w:t>
      </w:r>
      <w:r>
        <w:t>frontera</w:t>
      </w:r>
      <w:r>
        <w:rPr>
          <w:spacing w:val="-7"/>
        </w:rPr>
        <w:t xml:space="preserve"> </w:t>
      </w:r>
      <w:r>
        <w:t>con</w:t>
      </w:r>
      <w:r>
        <w:rPr>
          <w:spacing w:val="-8"/>
        </w:rPr>
        <w:t xml:space="preserve"> </w:t>
      </w:r>
      <w:r>
        <w:t>Panamá,</w:t>
      </w:r>
      <w:r>
        <w:rPr>
          <w:spacing w:val="-9"/>
        </w:rPr>
        <w:t xml:space="preserve"> </w:t>
      </w:r>
      <w:r>
        <w:t>por</w:t>
      </w:r>
      <w:r>
        <w:rPr>
          <w:spacing w:val="-7"/>
        </w:rPr>
        <w:t xml:space="preserve"> </w:t>
      </w:r>
      <w:r>
        <w:t>el</w:t>
      </w:r>
      <w:r>
        <w:rPr>
          <w:spacing w:val="-9"/>
        </w:rPr>
        <w:t xml:space="preserve"> </w:t>
      </w:r>
      <w:r>
        <w:t>Golfo de</w:t>
      </w:r>
      <w:r>
        <w:rPr>
          <w:spacing w:val="-14"/>
        </w:rPr>
        <w:t xml:space="preserve"> </w:t>
      </w:r>
      <w:r>
        <w:t>Urabá.</w:t>
      </w:r>
      <w:r>
        <w:rPr>
          <w:spacing w:val="-15"/>
        </w:rPr>
        <w:t xml:space="preserve"> </w:t>
      </w:r>
      <w:r>
        <w:t>Estos</w:t>
      </w:r>
      <w:r>
        <w:rPr>
          <w:spacing w:val="-15"/>
        </w:rPr>
        <w:t xml:space="preserve"> </w:t>
      </w:r>
      <w:r>
        <w:t>tránsitos</w:t>
      </w:r>
      <w:r>
        <w:rPr>
          <w:spacing w:val="-15"/>
        </w:rPr>
        <w:t xml:space="preserve"> </w:t>
      </w:r>
      <w:r>
        <w:t>se</w:t>
      </w:r>
      <w:r>
        <w:rPr>
          <w:spacing w:val="-14"/>
        </w:rPr>
        <w:t xml:space="preserve"> </w:t>
      </w:r>
      <w:r>
        <w:t>hacen</w:t>
      </w:r>
      <w:r>
        <w:rPr>
          <w:spacing w:val="-15"/>
        </w:rPr>
        <w:t xml:space="preserve"> </w:t>
      </w:r>
      <w:r>
        <w:t>frecuentemente</w:t>
      </w:r>
      <w:r>
        <w:rPr>
          <w:spacing w:val="-14"/>
        </w:rPr>
        <w:t xml:space="preserve"> </w:t>
      </w:r>
      <w:r>
        <w:t>de</w:t>
      </w:r>
      <w:r>
        <w:rPr>
          <w:spacing w:val="-14"/>
        </w:rPr>
        <w:t xml:space="preserve"> </w:t>
      </w:r>
      <w:r>
        <w:t>manera</w:t>
      </w:r>
      <w:r>
        <w:rPr>
          <w:spacing w:val="-14"/>
        </w:rPr>
        <w:t xml:space="preserve"> </w:t>
      </w:r>
      <w:r>
        <w:t>irregular,</w:t>
      </w:r>
      <w:r>
        <w:rPr>
          <w:spacing w:val="-15"/>
        </w:rPr>
        <w:t xml:space="preserve"> </w:t>
      </w:r>
      <w:r>
        <w:t>ya sea</w:t>
      </w:r>
      <w:r>
        <w:rPr>
          <w:spacing w:val="-5"/>
        </w:rPr>
        <w:t xml:space="preserve"> </w:t>
      </w:r>
      <w:r>
        <w:t>porque</w:t>
      </w:r>
      <w:r>
        <w:rPr>
          <w:spacing w:val="-4"/>
        </w:rPr>
        <w:t xml:space="preserve"> </w:t>
      </w:r>
      <w:r>
        <w:t>ingresan</w:t>
      </w:r>
      <w:r>
        <w:rPr>
          <w:spacing w:val="-4"/>
        </w:rPr>
        <w:t xml:space="preserve"> </w:t>
      </w:r>
      <w:r>
        <w:t>al</w:t>
      </w:r>
      <w:r>
        <w:rPr>
          <w:spacing w:val="-7"/>
        </w:rPr>
        <w:t xml:space="preserve"> </w:t>
      </w:r>
      <w:r>
        <w:t>país</w:t>
      </w:r>
      <w:r>
        <w:rPr>
          <w:spacing w:val="-6"/>
        </w:rPr>
        <w:t xml:space="preserve"> </w:t>
      </w:r>
      <w:r>
        <w:t>por</w:t>
      </w:r>
      <w:r>
        <w:rPr>
          <w:spacing w:val="-4"/>
        </w:rPr>
        <w:t xml:space="preserve"> </w:t>
      </w:r>
      <w:r>
        <w:t>vías</w:t>
      </w:r>
      <w:r>
        <w:rPr>
          <w:spacing w:val="-6"/>
        </w:rPr>
        <w:t xml:space="preserve"> </w:t>
      </w:r>
      <w:r>
        <w:t>no</w:t>
      </w:r>
      <w:r>
        <w:rPr>
          <w:spacing w:val="-2"/>
        </w:rPr>
        <w:t xml:space="preserve"> </w:t>
      </w:r>
      <w:r>
        <w:t>autorizadas</w:t>
      </w:r>
      <w:r>
        <w:rPr>
          <w:spacing w:val="-6"/>
        </w:rPr>
        <w:t xml:space="preserve"> </w:t>
      </w:r>
      <w:r>
        <w:t>o</w:t>
      </w:r>
      <w:r>
        <w:rPr>
          <w:spacing w:val="-5"/>
        </w:rPr>
        <w:t xml:space="preserve"> </w:t>
      </w:r>
      <w:r>
        <w:t>porque</w:t>
      </w:r>
      <w:r>
        <w:rPr>
          <w:spacing w:val="-4"/>
        </w:rPr>
        <w:t xml:space="preserve"> </w:t>
      </w:r>
      <w:r>
        <w:t>no</w:t>
      </w:r>
      <w:r>
        <w:rPr>
          <w:spacing w:val="-5"/>
        </w:rPr>
        <w:t xml:space="preserve"> </w:t>
      </w:r>
      <w:r>
        <w:t>portan</w:t>
      </w:r>
      <w:r>
        <w:rPr>
          <w:spacing w:val="-6"/>
        </w:rPr>
        <w:t xml:space="preserve"> </w:t>
      </w:r>
      <w:r>
        <w:t>los documentos necesarios para hacerlo. El 38% de los grupos que ingresan por pasos no oficiales reportaron falta de documentación, en comparación con un 15% de los que entran por un paso fronterizo oficial</w:t>
      </w:r>
      <w:hyperlink w:anchor="_bookmark90" w:history="1">
        <w:r w:rsidR="000E52B0">
          <w:rPr>
            <w:position w:val="8"/>
            <w:sz w:val="16"/>
          </w:rPr>
          <w:t>77</w:t>
        </w:r>
      </w:hyperlink>
      <w:r>
        <w:t>.</w:t>
      </w:r>
    </w:p>
    <w:p w14:paraId="04E9320C" w14:textId="77777777" w:rsidR="000E52B0" w:rsidRDefault="000E52B0">
      <w:pPr>
        <w:pStyle w:val="Textoindependiente"/>
        <w:ind w:left="0"/>
        <w:rPr>
          <w:sz w:val="20"/>
        </w:rPr>
      </w:pPr>
    </w:p>
    <w:p w14:paraId="0131B454" w14:textId="77777777" w:rsidR="000E52B0" w:rsidRDefault="00F60D74">
      <w:pPr>
        <w:pStyle w:val="Textoindependiente"/>
        <w:spacing w:before="3"/>
        <w:ind w:left="0"/>
        <w:rPr>
          <w:sz w:val="20"/>
        </w:rPr>
      </w:pPr>
      <w:r>
        <w:rPr>
          <w:noProof/>
          <w:sz w:val="20"/>
        </w:rPr>
        <mc:AlternateContent>
          <mc:Choice Requires="wps">
            <w:drawing>
              <wp:anchor distT="0" distB="0" distL="0" distR="0" simplePos="0" relativeHeight="487660544" behindDoc="1" locked="0" layoutInCell="1" allowOverlap="1" wp14:anchorId="35BEBCD7" wp14:editId="715F41C5">
                <wp:simplePos x="0" y="0"/>
                <wp:positionH relativeFrom="page">
                  <wp:posOffset>914704</wp:posOffset>
                </wp:positionH>
                <wp:positionV relativeFrom="paragraph">
                  <wp:posOffset>171669</wp:posOffset>
                </wp:positionV>
                <wp:extent cx="1829435" cy="7620"/>
                <wp:effectExtent l="0" t="0" r="0" b="0"/>
                <wp:wrapTopAndBottom/>
                <wp:docPr id="593" name="Graphic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DE3E41" id="Graphic 593" o:spid="_x0000_s1026" style="position:absolute;margin-left:1in;margin-top:13.5pt;width:144.05pt;height:.6pt;z-index:-156559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" path="m1829054,l,,,7619r1829054,l1829054,xe" fillcolor="black" stroked="f">
                <v:path arrowok="t"/>
                <w10:wrap type="topAndBottom" anchorx="page"/>
              </v:shape>
            </w:pict>
          </mc:Fallback>
        </mc:AlternateContent>
      </w:r>
    </w:p>
    <w:p w14:paraId="6ADFB64E" w14:textId="77777777" w:rsidR="000E52B0" w:rsidRDefault="00F60D74">
      <w:pPr>
        <w:spacing w:before="96"/>
        <w:ind w:left="720" w:right="725"/>
        <w:jc w:val="both"/>
        <w:rPr>
          <w:rFonts w:ascii="Arial MT" w:hAnsi="Arial MT"/>
          <w:sz w:val="18"/>
        </w:rPr>
      </w:pPr>
      <w:bookmarkStart w:id="87" w:name="_bookmark87"/>
      <w:bookmarkEnd w:id="87"/>
      <w:r>
        <w:rPr>
          <w:rFonts w:ascii="Arial MT" w:hAnsi="Arial MT"/>
          <w:position w:val="6"/>
          <w:sz w:val="12"/>
        </w:rPr>
        <w:t>74</w:t>
      </w:r>
      <w:r>
        <w:rPr>
          <w:rFonts w:ascii="Arial MT" w:hAnsi="Arial MT"/>
          <w:spacing w:val="40"/>
          <w:position w:val="6"/>
          <w:sz w:val="12"/>
        </w:rPr>
        <w:t xml:space="preserve"> </w:t>
      </w:r>
      <w:proofErr w:type="gramStart"/>
      <w:r>
        <w:rPr>
          <w:rFonts w:ascii="Arial MT" w:hAnsi="Arial MT"/>
          <w:sz w:val="18"/>
        </w:rPr>
        <w:t>Departamento</w:t>
      </w:r>
      <w:proofErr w:type="gramEnd"/>
      <w:r>
        <w:rPr>
          <w:rFonts w:ascii="Arial MT" w:hAnsi="Arial MT"/>
          <w:sz w:val="18"/>
        </w:rPr>
        <w:t xml:space="preserve"> Nacional de Planeación (2021). Situación de las personas Trans en Bogotá. </w:t>
      </w:r>
      <w:hyperlink r:id="rId203">
        <w:r w:rsidR="000E52B0">
          <w:rPr>
            <w:rFonts w:ascii="Arial MT" w:hAnsi="Arial MT"/>
            <w:color w:val="E22C91"/>
            <w:spacing w:val="-2"/>
            <w:sz w:val="18"/>
            <w:u w:val="single" w:color="E22C91"/>
          </w:rPr>
          <w:t>https://colaboracion.dnp.gov.co/CDT/Desarrollo%20Social/Documentos/Investigacion_situacion_de_las_persona</w:t>
        </w:r>
      </w:hyperlink>
      <w:r>
        <w:rPr>
          <w:rFonts w:ascii="Arial MT" w:hAnsi="Arial MT"/>
          <w:color w:val="E22C91"/>
          <w:spacing w:val="-2"/>
          <w:sz w:val="18"/>
        </w:rPr>
        <w:t xml:space="preserve"> </w:t>
      </w:r>
      <w:hyperlink r:id="rId204">
        <w:r w:rsidR="000E52B0">
          <w:rPr>
            <w:rFonts w:ascii="Arial MT" w:hAnsi="Arial MT"/>
            <w:color w:val="E22C91"/>
            <w:spacing w:val="-2"/>
            <w:sz w:val="18"/>
            <w:u w:val="single" w:color="E22C91"/>
          </w:rPr>
          <w:t>s_trans_en_Colombia.pdf</w:t>
        </w:r>
      </w:hyperlink>
    </w:p>
    <w:p w14:paraId="2361CC98" w14:textId="77777777" w:rsidR="000E52B0" w:rsidRDefault="00F60D74">
      <w:pPr>
        <w:ind w:left="720" w:right="723"/>
        <w:jc w:val="both"/>
        <w:rPr>
          <w:rFonts w:ascii="Arial MT" w:hAnsi="Arial MT"/>
          <w:sz w:val="18"/>
        </w:rPr>
      </w:pPr>
      <w:bookmarkStart w:id="88" w:name="_bookmark88"/>
      <w:bookmarkEnd w:id="88"/>
      <w:r>
        <w:rPr>
          <w:rFonts w:ascii="Arial MT" w:hAnsi="Arial MT"/>
          <w:position w:val="6"/>
          <w:sz w:val="12"/>
        </w:rPr>
        <w:t>75</w:t>
      </w:r>
      <w:r>
        <w:rPr>
          <w:rFonts w:ascii="Arial MT" w:hAnsi="Arial MT"/>
          <w:spacing w:val="26"/>
          <w:position w:val="6"/>
          <w:sz w:val="12"/>
        </w:rPr>
        <w:t xml:space="preserve"> </w:t>
      </w:r>
      <w:proofErr w:type="gramStart"/>
      <w:r>
        <w:rPr>
          <w:rFonts w:ascii="Arial MT" w:hAnsi="Arial MT"/>
          <w:sz w:val="18"/>
        </w:rPr>
        <w:t>Ministerio</w:t>
      </w:r>
      <w:proofErr w:type="gramEnd"/>
      <w:r>
        <w:rPr>
          <w:rFonts w:ascii="Arial MT" w:hAnsi="Arial MT"/>
          <w:sz w:val="18"/>
        </w:rPr>
        <w:t xml:space="preserve"> de Relaciones Exteriores (2024). Informe de Migrantes venezolanos en Colombia. Observatorio de Migraciones, Migrantes y Movilidad Humana (OM3). Migración Colombia. Recuperado el 6 de mayo de 2024 de: Informe de migrantes venezolanos en Colombia - MIGRACIÓN COLOMBIA (migracioncolombia.gov.co)</w:t>
      </w:r>
    </w:p>
    <w:p w14:paraId="79F2A4C7" w14:textId="77777777" w:rsidR="000E52B0" w:rsidRDefault="00F60D74">
      <w:pPr>
        <w:ind w:left="720" w:right="723"/>
        <w:jc w:val="both"/>
        <w:rPr>
          <w:rFonts w:ascii="Arial MT" w:hAnsi="Arial MT"/>
          <w:sz w:val="18"/>
        </w:rPr>
      </w:pPr>
      <w:bookmarkStart w:id="89" w:name="_bookmark89"/>
      <w:bookmarkEnd w:id="89"/>
      <w:r>
        <w:rPr>
          <w:rFonts w:ascii="Arial MT" w:hAnsi="Arial MT"/>
          <w:position w:val="6"/>
          <w:sz w:val="12"/>
        </w:rPr>
        <w:t>76</w:t>
      </w:r>
      <w:r>
        <w:rPr>
          <w:rFonts w:ascii="Arial MT" w:hAnsi="Arial MT"/>
          <w:spacing w:val="11"/>
          <w:position w:val="6"/>
          <w:sz w:val="12"/>
        </w:rPr>
        <w:t xml:space="preserve"> </w:t>
      </w:r>
      <w:proofErr w:type="gramStart"/>
      <w:r>
        <w:rPr>
          <w:rFonts w:ascii="Arial MT" w:hAnsi="Arial MT"/>
          <w:sz w:val="18"/>
        </w:rPr>
        <w:t>Foro</w:t>
      </w:r>
      <w:proofErr w:type="gramEnd"/>
      <w:r>
        <w:rPr>
          <w:rFonts w:ascii="Arial MT" w:hAnsi="Arial MT"/>
          <w:spacing w:val="-7"/>
          <w:sz w:val="18"/>
        </w:rPr>
        <w:t xml:space="preserve"> </w:t>
      </w:r>
      <w:r>
        <w:rPr>
          <w:rFonts w:ascii="Arial MT" w:hAnsi="Arial MT"/>
          <w:sz w:val="18"/>
        </w:rPr>
        <w:t>de</w:t>
      </w:r>
      <w:r>
        <w:rPr>
          <w:rFonts w:ascii="Arial MT" w:hAnsi="Arial MT"/>
          <w:spacing w:val="-7"/>
          <w:sz w:val="18"/>
        </w:rPr>
        <w:t xml:space="preserve"> </w:t>
      </w:r>
      <w:r>
        <w:rPr>
          <w:rFonts w:ascii="Arial MT" w:hAnsi="Arial MT"/>
          <w:sz w:val="18"/>
        </w:rPr>
        <w:t>Organizaciones</w:t>
      </w:r>
      <w:r>
        <w:rPr>
          <w:rFonts w:ascii="Arial MT" w:hAnsi="Arial MT"/>
          <w:spacing w:val="-5"/>
          <w:sz w:val="18"/>
        </w:rPr>
        <w:t xml:space="preserve"> </w:t>
      </w:r>
      <w:r>
        <w:rPr>
          <w:rFonts w:ascii="Arial MT" w:hAnsi="Arial MT"/>
          <w:sz w:val="18"/>
        </w:rPr>
        <w:t>Humanitarias</w:t>
      </w:r>
      <w:r>
        <w:rPr>
          <w:rFonts w:ascii="Arial MT" w:hAnsi="Arial MT"/>
          <w:spacing w:val="-7"/>
          <w:sz w:val="18"/>
        </w:rPr>
        <w:t xml:space="preserve"> </w:t>
      </w:r>
      <w:r>
        <w:rPr>
          <w:rFonts w:ascii="Arial MT" w:hAnsi="Arial MT"/>
          <w:sz w:val="18"/>
        </w:rPr>
        <w:t>en</w:t>
      </w:r>
      <w:r>
        <w:rPr>
          <w:rFonts w:ascii="Arial MT" w:hAnsi="Arial MT"/>
          <w:spacing w:val="-6"/>
          <w:sz w:val="18"/>
        </w:rPr>
        <w:t xml:space="preserve"> </w:t>
      </w:r>
      <w:r>
        <w:rPr>
          <w:rFonts w:ascii="Arial MT" w:hAnsi="Arial MT"/>
          <w:sz w:val="18"/>
        </w:rPr>
        <w:t>Colombia</w:t>
      </w:r>
      <w:r>
        <w:rPr>
          <w:rFonts w:ascii="Arial MT" w:hAnsi="Arial MT"/>
          <w:spacing w:val="-7"/>
          <w:sz w:val="18"/>
        </w:rPr>
        <w:t xml:space="preserve"> </w:t>
      </w:r>
      <w:r>
        <w:rPr>
          <w:rFonts w:ascii="Arial MT" w:hAnsi="Arial MT"/>
          <w:sz w:val="18"/>
        </w:rPr>
        <w:t>(2024).</w:t>
      </w:r>
      <w:r>
        <w:rPr>
          <w:rFonts w:ascii="Arial MT" w:hAnsi="Arial MT"/>
          <w:spacing w:val="-10"/>
          <w:sz w:val="18"/>
        </w:rPr>
        <w:t xml:space="preserve"> </w:t>
      </w:r>
      <w:r>
        <w:rPr>
          <w:rFonts w:ascii="Arial MT" w:hAnsi="Arial MT"/>
          <w:sz w:val="18"/>
        </w:rPr>
        <w:t>Monitoreo</w:t>
      </w:r>
      <w:r>
        <w:rPr>
          <w:rFonts w:ascii="Arial MT" w:hAnsi="Arial MT"/>
          <w:spacing w:val="-7"/>
          <w:sz w:val="18"/>
        </w:rPr>
        <w:t xml:space="preserve"> </w:t>
      </w:r>
      <w:r>
        <w:rPr>
          <w:rFonts w:ascii="Arial MT" w:hAnsi="Arial MT"/>
          <w:sz w:val="18"/>
        </w:rPr>
        <w:t>de</w:t>
      </w:r>
      <w:r>
        <w:rPr>
          <w:rFonts w:ascii="Arial MT" w:hAnsi="Arial MT"/>
          <w:spacing w:val="-6"/>
          <w:sz w:val="18"/>
        </w:rPr>
        <w:t xml:space="preserve"> </w:t>
      </w:r>
      <w:r>
        <w:rPr>
          <w:rFonts w:ascii="Arial MT" w:hAnsi="Arial MT"/>
          <w:sz w:val="18"/>
        </w:rPr>
        <w:t>flujos</w:t>
      </w:r>
      <w:r>
        <w:rPr>
          <w:rFonts w:ascii="Arial MT" w:hAnsi="Arial MT"/>
          <w:spacing w:val="-7"/>
          <w:sz w:val="18"/>
        </w:rPr>
        <w:t xml:space="preserve"> </w:t>
      </w:r>
      <w:r>
        <w:rPr>
          <w:rFonts w:ascii="Arial MT" w:hAnsi="Arial MT"/>
          <w:sz w:val="18"/>
        </w:rPr>
        <w:t>de</w:t>
      </w:r>
      <w:r>
        <w:rPr>
          <w:rFonts w:ascii="Arial MT" w:hAnsi="Arial MT"/>
          <w:spacing w:val="-7"/>
          <w:sz w:val="18"/>
        </w:rPr>
        <w:t xml:space="preserve"> </w:t>
      </w:r>
      <w:r>
        <w:rPr>
          <w:rFonts w:ascii="Arial MT" w:hAnsi="Arial MT"/>
          <w:sz w:val="18"/>
        </w:rPr>
        <w:t>migrantes</w:t>
      </w:r>
      <w:r>
        <w:rPr>
          <w:rFonts w:ascii="Arial MT" w:hAnsi="Arial MT"/>
          <w:spacing w:val="-5"/>
          <w:sz w:val="18"/>
        </w:rPr>
        <w:t xml:space="preserve"> </w:t>
      </w:r>
      <w:r>
        <w:rPr>
          <w:rFonts w:ascii="Arial MT" w:hAnsi="Arial MT"/>
          <w:sz w:val="18"/>
        </w:rPr>
        <w:t>transcontinentales en</w:t>
      </w:r>
      <w:r>
        <w:rPr>
          <w:rFonts w:ascii="Arial MT" w:hAnsi="Arial MT"/>
          <w:spacing w:val="-4"/>
          <w:sz w:val="18"/>
        </w:rPr>
        <w:t xml:space="preserve"> </w:t>
      </w:r>
      <w:r>
        <w:rPr>
          <w:rFonts w:ascii="Arial MT" w:hAnsi="Arial MT"/>
          <w:sz w:val="18"/>
        </w:rPr>
        <w:t>tránsito</w:t>
      </w:r>
      <w:r>
        <w:rPr>
          <w:rFonts w:ascii="Arial MT" w:hAnsi="Arial MT"/>
          <w:spacing w:val="-4"/>
          <w:sz w:val="18"/>
        </w:rPr>
        <w:t xml:space="preserve"> </w:t>
      </w:r>
      <w:r>
        <w:rPr>
          <w:rFonts w:ascii="Arial MT" w:hAnsi="Arial MT"/>
          <w:sz w:val="18"/>
        </w:rPr>
        <w:t>por</w:t>
      </w:r>
      <w:r>
        <w:rPr>
          <w:rFonts w:ascii="Arial MT" w:hAnsi="Arial MT"/>
          <w:spacing w:val="-4"/>
          <w:sz w:val="18"/>
        </w:rPr>
        <w:t xml:space="preserve"> </w:t>
      </w:r>
      <w:r>
        <w:rPr>
          <w:rFonts w:ascii="Arial MT" w:hAnsi="Arial MT"/>
          <w:sz w:val="18"/>
        </w:rPr>
        <w:t>Colombia</w:t>
      </w:r>
      <w:r>
        <w:rPr>
          <w:rFonts w:ascii="Arial MT" w:hAnsi="Arial MT"/>
          <w:spacing w:val="-6"/>
          <w:sz w:val="18"/>
        </w:rPr>
        <w:t xml:space="preserve"> </w:t>
      </w:r>
      <w:r>
        <w:rPr>
          <w:rFonts w:ascii="Arial MT" w:hAnsi="Arial MT"/>
          <w:sz w:val="18"/>
        </w:rPr>
        <w:t>a</w:t>
      </w:r>
      <w:r>
        <w:rPr>
          <w:rFonts w:ascii="Arial MT" w:hAnsi="Arial MT"/>
          <w:spacing w:val="-4"/>
          <w:sz w:val="18"/>
        </w:rPr>
        <w:t xml:space="preserve"> </w:t>
      </w:r>
      <w:r>
        <w:rPr>
          <w:rFonts w:ascii="Arial MT" w:hAnsi="Arial MT"/>
          <w:sz w:val="18"/>
        </w:rPr>
        <w:t>través</w:t>
      </w:r>
      <w:r>
        <w:rPr>
          <w:rFonts w:ascii="Arial MT" w:hAnsi="Arial MT"/>
          <w:spacing w:val="-3"/>
          <w:sz w:val="18"/>
        </w:rPr>
        <w:t xml:space="preserve"> </w:t>
      </w:r>
      <w:r>
        <w:rPr>
          <w:rFonts w:ascii="Arial MT" w:hAnsi="Arial MT"/>
          <w:sz w:val="18"/>
        </w:rPr>
        <w:t>de</w:t>
      </w:r>
      <w:r>
        <w:rPr>
          <w:rFonts w:ascii="Arial MT" w:hAnsi="Arial MT"/>
          <w:spacing w:val="-4"/>
          <w:sz w:val="18"/>
        </w:rPr>
        <w:t xml:space="preserve"> </w:t>
      </w:r>
      <w:r>
        <w:rPr>
          <w:rFonts w:ascii="Arial MT" w:hAnsi="Arial MT"/>
          <w:sz w:val="18"/>
        </w:rPr>
        <w:t>la</w:t>
      </w:r>
      <w:r>
        <w:rPr>
          <w:rFonts w:ascii="Arial MT" w:hAnsi="Arial MT"/>
          <w:spacing w:val="-6"/>
          <w:sz w:val="18"/>
        </w:rPr>
        <w:t xml:space="preserve"> </w:t>
      </w:r>
      <w:r>
        <w:rPr>
          <w:rFonts w:ascii="Arial MT" w:hAnsi="Arial MT"/>
          <w:sz w:val="18"/>
        </w:rPr>
        <w:t>detección</w:t>
      </w:r>
      <w:r>
        <w:rPr>
          <w:rFonts w:ascii="Arial MT" w:hAnsi="Arial MT"/>
          <w:spacing w:val="-4"/>
          <w:sz w:val="18"/>
        </w:rPr>
        <w:t xml:space="preserve"> </w:t>
      </w:r>
      <w:r>
        <w:rPr>
          <w:rFonts w:ascii="Arial MT" w:hAnsi="Arial MT"/>
          <w:sz w:val="18"/>
        </w:rPr>
        <w:t>de</w:t>
      </w:r>
      <w:r>
        <w:rPr>
          <w:rFonts w:ascii="Arial MT" w:hAnsi="Arial MT"/>
          <w:spacing w:val="-6"/>
          <w:sz w:val="18"/>
        </w:rPr>
        <w:t xml:space="preserve"> </w:t>
      </w:r>
      <w:r>
        <w:rPr>
          <w:rFonts w:ascii="Arial MT" w:hAnsi="Arial MT"/>
          <w:sz w:val="18"/>
        </w:rPr>
        <w:t>conexiones</w:t>
      </w:r>
      <w:r>
        <w:rPr>
          <w:rFonts w:ascii="Arial MT" w:hAnsi="Arial MT"/>
          <w:spacing w:val="-6"/>
          <w:sz w:val="18"/>
        </w:rPr>
        <w:t xml:space="preserve"> </w:t>
      </w:r>
      <w:r>
        <w:rPr>
          <w:rFonts w:ascii="Arial MT" w:hAnsi="Arial MT"/>
          <w:sz w:val="18"/>
        </w:rPr>
        <w:t>a</w:t>
      </w:r>
      <w:r>
        <w:rPr>
          <w:rFonts w:ascii="Arial MT" w:hAnsi="Arial MT"/>
          <w:spacing w:val="-4"/>
          <w:sz w:val="18"/>
        </w:rPr>
        <w:t xml:space="preserve"> </w:t>
      </w:r>
      <w:r>
        <w:rPr>
          <w:rFonts w:ascii="Arial MT" w:hAnsi="Arial MT"/>
          <w:sz w:val="18"/>
        </w:rPr>
        <w:t>Facebook.</w:t>
      </w:r>
      <w:r>
        <w:rPr>
          <w:rFonts w:ascii="Arial MT" w:hAnsi="Arial MT"/>
          <w:spacing w:val="-4"/>
          <w:sz w:val="18"/>
        </w:rPr>
        <w:t xml:space="preserve"> </w:t>
      </w:r>
      <w:r>
        <w:rPr>
          <w:rFonts w:ascii="Arial MT" w:hAnsi="Arial MT"/>
          <w:sz w:val="18"/>
        </w:rPr>
        <w:t>Recuperado</w:t>
      </w:r>
      <w:r>
        <w:rPr>
          <w:rFonts w:ascii="Arial MT" w:hAnsi="Arial MT"/>
          <w:spacing w:val="-6"/>
          <w:sz w:val="18"/>
        </w:rPr>
        <w:t xml:space="preserve"> </w:t>
      </w:r>
      <w:r>
        <w:rPr>
          <w:rFonts w:ascii="Arial MT" w:hAnsi="Arial MT"/>
          <w:sz w:val="18"/>
        </w:rPr>
        <w:t>el</w:t>
      </w:r>
      <w:r>
        <w:rPr>
          <w:rFonts w:ascii="Arial MT" w:hAnsi="Arial MT"/>
          <w:spacing w:val="-4"/>
          <w:sz w:val="18"/>
        </w:rPr>
        <w:t xml:space="preserve"> </w:t>
      </w:r>
      <w:r>
        <w:rPr>
          <w:rFonts w:ascii="Arial MT" w:hAnsi="Arial MT"/>
          <w:sz w:val="18"/>
        </w:rPr>
        <w:t>16</w:t>
      </w:r>
      <w:r>
        <w:rPr>
          <w:rFonts w:ascii="Arial MT" w:hAnsi="Arial MT"/>
          <w:spacing w:val="-6"/>
          <w:sz w:val="18"/>
        </w:rPr>
        <w:t xml:space="preserve"> </w:t>
      </w:r>
      <w:r>
        <w:rPr>
          <w:rFonts w:ascii="Arial MT" w:hAnsi="Arial MT"/>
          <w:sz w:val="18"/>
        </w:rPr>
        <w:t>de</w:t>
      </w:r>
      <w:r>
        <w:rPr>
          <w:rFonts w:ascii="Arial MT" w:hAnsi="Arial MT"/>
          <w:spacing w:val="-6"/>
          <w:sz w:val="18"/>
        </w:rPr>
        <w:t xml:space="preserve"> </w:t>
      </w:r>
      <w:r>
        <w:rPr>
          <w:rFonts w:ascii="Arial MT" w:hAnsi="Arial MT"/>
          <w:sz w:val="18"/>
        </w:rPr>
        <w:t>mayo</w:t>
      </w:r>
      <w:r>
        <w:rPr>
          <w:rFonts w:ascii="Arial MT" w:hAnsi="Arial MT"/>
          <w:spacing w:val="-6"/>
          <w:sz w:val="18"/>
        </w:rPr>
        <w:t xml:space="preserve"> </w:t>
      </w:r>
      <w:r>
        <w:rPr>
          <w:rFonts w:ascii="Arial MT" w:hAnsi="Arial MT"/>
          <w:sz w:val="18"/>
        </w:rPr>
        <w:t>de</w:t>
      </w:r>
      <w:r>
        <w:rPr>
          <w:rFonts w:ascii="Arial MT" w:hAnsi="Arial MT"/>
          <w:spacing w:val="-4"/>
          <w:sz w:val="18"/>
        </w:rPr>
        <w:t xml:space="preserve"> </w:t>
      </w:r>
      <w:r>
        <w:rPr>
          <w:rFonts w:ascii="Arial MT" w:hAnsi="Arial MT"/>
          <w:sz w:val="18"/>
        </w:rPr>
        <w:t xml:space="preserve">2024 </w:t>
      </w:r>
      <w:bookmarkStart w:id="90" w:name="_bookmark90"/>
      <w:bookmarkEnd w:id="90"/>
      <w:r>
        <w:rPr>
          <w:rFonts w:ascii="Arial MT" w:hAnsi="Arial MT"/>
          <w:sz w:val="18"/>
        </w:rPr>
        <w:t xml:space="preserve">de: </w:t>
      </w:r>
      <w:hyperlink r:id="rId205">
        <w:r w:rsidR="000E52B0">
          <w:rPr>
            <w:rFonts w:ascii="Arial MT" w:hAnsi="Arial MT"/>
            <w:color w:val="E22C91"/>
            <w:sz w:val="18"/>
            <w:u w:val="single" w:color="E22C91"/>
          </w:rPr>
          <w:t>Intercontinental - Foro de ONG de Colombia (forohumanitariocolombia.org)</w:t>
        </w:r>
      </w:hyperlink>
    </w:p>
    <w:p w14:paraId="6CA86405" w14:textId="77777777" w:rsidR="000E52B0" w:rsidRDefault="00F60D74">
      <w:pPr>
        <w:ind w:left="720" w:right="710"/>
        <w:jc w:val="both"/>
        <w:rPr>
          <w:rFonts w:ascii="Arial MT" w:hAnsi="Arial MT"/>
          <w:sz w:val="18"/>
        </w:rPr>
      </w:pPr>
      <w:r>
        <w:rPr>
          <w:rFonts w:ascii="Arial MT" w:hAnsi="Arial MT"/>
          <w:position w:val="6"/>
          <w:sz w:val="12"/>
        </w:rPr>
        <w:t>77</w:t>
      </w:r>
      <w:r>
        <w:rPr>
          <w:rFonts w:ascii="Arial MT" w:hAnsi="Arial MT"/>
          <w:spacing w:val="40"/>
          <w:position w:val="6"/>
          <w:sz w:val="12"/>
        </w:rPr>
        <w:t xml:space="preserve"> </w:t>
      </w:r>
      <w:proofErr w:type="gramStart"/>
      <w:r>
        <w:rPr>
          <w:rFonts w:ascii="Arial MT" w:hAnsi="Arial MT"/>
          <w:sz w:val="18"/>
        </w:rPr>
        <w:t>Grupo</w:t>
      </w:r>
      <w:proofErr w:type="gramEnd"/>
      <w:r>
        <w:rPr>
          <w:rFonts w:ascii="Arial MT" w:hAnsi="Arial MT"/>
          <w:sz w:val="18"/>
        </w:rPr>
        <w:t xml:space="preserve"> </w:t>
      </w:r>
      <w:proofErr w:type="spellStart"/>
      <w:r>
        <w:rPr>
          <w:rFonts w:ascii="Arial MT" w:hAnsi="Arial MT"/>
          <w:sz w:val="18"/>
        </w:rPr>
        <w:t>Interagencial</w:t>
      </w:r>
      <w:proofErr w:type="spellEnd"/>
      <w:r>
        <w:rPr>
          <w:rFonts w:ascii="Arial MT" w:hAnsi="Arial MT"/>
          <w:sz w:val="18"/>
        </w:rPr>
        <w:t xml:space="preserve"> sobre Flujos Migratorios Mixtos (GIFMM) Colombia. (2023b). Evaluación conjunta de necesidades</w:t>
      </w:r>
      <w:r>
        <w:rPr>
          <w:rFonts w:ascii="Arial MT" w:hAnsi="Arial MT"/>
          <w:spacing w:val="-13"/>
          <w:sz w:val="18"/>
        </w:rPr>
        <w:t xml:space="preserve"> </w:t>
      </w:r>
      <w:r>
        <w:rPr>
          <w:rFonts w:ascii="Arial MT" w:hAnsi="Arial MT"/>
          <w:sz w:val="18"/>
        </w:rPr>
        <w:t>para</w:t>
      </w:r>
      <w:r>
        <w:rPr>
          <w:rFonts w:ascii="Arial MT" w:hAnsi="Arial MT"/>
          <w:spacing w:val="-12"/>
          <w:sz w:val="18"/>
        </w:rPr>
        <w:t xml:space="preserve"> </w:t>
      </w:r>
      <w:r>
        <w:rPr>
          <w:rFonts w:ascii="Arial MT" w:hAnsi="Arial MT"/>
          <w:sz w:val="18"/>
        </w:rPr>
        <w:t>población</w:t>
      </w:r>
      <w:r>
        <w:rPr>
          <w:rFonts w:ascii="Arial MT" w:hAnsi="Arial MT"/>
          <w:spacing w:val="-13"/>
          <w:sz w:val="18"/>
        </w:rPr>
        <w:t xml:space="preserve"> </w:t>
      </w:r>
      <w:r>
        <w:rPr>
          <w:rFonts w:ascii="Arial MT" w:hAnsi="Arial MT"/>
          <w:sz w:val="18"/>
        </w:rPr>
        <w:t>en</w:t>
      </w:r>
      <w:r>
        <w:rPr>
          <w:rFonts w:ascii="Arial MT" w:hAnsi="Arial MT"/>
          <w:spacing w:val="-12"/>
          <w:sz w:val="18"/>
        </w:rPr>
        <w:t xml:space="preserve"> </w:t>
      </w:r>
      <w:r>
        <w:rPr>
          <w:rFonts w:ascii="Arial MT" w:hAnsi="Arial MT"/>
          <w:sz w:val="18"/>
        </w:rPr>
        <w:t>tránsito</w:t>
      </w:r>
      <w:r>
        <w:rPr>
          <w:rFonts w:ascii="Arial MT" w:hAnsi="Arial MT"/>
          <w:spacing w:val="-9"/>
          <w:sz w:val="18"/>
        </w:rPr>
        <w:t xml:space="preserve"> </w:t>
      </w:r>
      <w:r>
        <w:rPr>
          <w:rFonts w:ascii="Arial MT" w:hAnsi="Arial MT"/>
          <w:sz w:val="18"/>
        </w:rPr>
        <w:t>-</w:t>
      </w:r>
      <w:r>
        <w:rPr>
          <w:rFonts w:ascii="Arial MT" w:hAnsi="Arial MT"/>
          <w:spacing w:val="-13"/>
          <w:sz w:val="18"/>
        </w:rPr>
        <w:t xml:space="preserve"> </w:t>
      </w:r>
      <w:r>
        <w:rPr>
          <w:rFonts w:ascii="Arial MT" w:hAnsi="Arial MT"/>
          <w:sz w:val="18"/>
        </w:rPr>
        <w:t>2023.</w:t>
      </w:r>
      <w:r>
        <w:rPr>
          <w:rFonts w:ascii="Arial MT" w:hAnsi="Arial MT"/>
          <w:spacing w:val="-12"/>
          <w:sz w:val="18"/>
        </w:rPr>
        <w:t xml:space="preserve"> </w:t>
      </w:r>
      <w:r>
        <w:rPr>
          <w:rFonts w:ascii="Arial MT" w:hAnsi="Arial MT"/>
          <w:sz w:val="18"/>
        </w:rPr>
        <w:t>Recuperado</w:t>
      </w:r>
      <w:r>
        <w:rPr>
          <w:rFonts w:ascii="Arial MT" w:hAnsi="Arial MT"/>
          <w:spacing w:val="-13"/>
          <w:sz w:val="18"/>
        </w:rPr>
        <w:t xml:space="preserve"> </w:t>
      </w:r>
      <w:r>
        <w:rPr>
          <w:rFonts w:ascii="Arial MT" w:hAnsi="Arial MT"/>
          <w:sz w:val="18"/>
        </w:rPr>
        <w:t>de</w:t>
      </w:r>
      <w:r>
        <w:rPr>
          <w:rFonts w:ascii="Arial MT" w:hAnsi="Arial MT"/>
          <w:spacing w:val="-10"/>
          <w:sz w:val="18"/>
        </w:rPr>
        <w:t xml:space="preserve"> </w:t>
      </w:r>
      <w:hyperlink r:id="rId206">
        <w:r w:rsidR="000E52B0">
          <w:rPr>
            <w:rFonts w:ascii="Arial MT" w:hAnsi="Arial MT"/>
            <w:color w:val="E22C91"/>
            <w:sz w:val="18"/>
            <w:u w:val="single" w:color="E22C91"/>
          </w:rPr>
          <w:t>https://www.r4v.info/es/document/gifmm-colombia-</w:t>
        </w:r>
      </w:hyperlink>
      <w:r>
        <w:rPr>
          <w:rFonts w:ascii="Arial MT" w:hAnsi="Arial MT"/>
          <w:color w:val="E22C91"/>
          <w:sz w:val="18"/>
        </w:rPr>
        <w:t xml:space="preserve"> </w:t>
      </w:r>
      <w:hyperlink r:id="rId207">
        <w:r w:rsidR="000E52B0">
          <w:rPr>
            <w:rFonts w:ascii="Arial MT" w:hAnsi="Arial MT"/>
            <w:color w:val="E22C91"/>
            <w:spacing w:val="-2"/>
            <w:sz w:val="18"/>
            <w:u w:val="single" w:color="E22C91"/>
          </w:rPr>
          <w:t>evaluacion-conjunta-de-necesidades-para-poblacion-en-transito-2023</w:t>
        </w:r>
      </w:hyperlink>
    </w:p>
    <w:p w14:paraId="13120C3B" w14:textId="77777777" w:rsidR="000E52B0" w:rsidRDefault="000E52B0">
      <w:pPr>
        <w:jc w:val="both"/>
        <w:rPr>
          <w:rFonts w:ascii="Arial MT" w:hAnsi="Arial MT"/>
          <w:sz w:val="18"/>
        </w:rPr>
        <w:sectPr w:rsidR="000E52B0">
          <w:pgSz w:w="11910" w:h="16840"/>
          <w:pgMar w:top="1340" w:right="720" w:bottom="1180" w:left="720" w:header="0" w:footer="995" w:gutter="0"/>
          <w:cols w:space="720"/>
        </w:sectPr>
      </w:pPr>
    </w:p>
    <w:p w14:paraId="366BE304" w14:textId="77777777" w:rsidR="000E52B0" w:rsidRDefault="00F60D74">
      <w:pPr>
        <w:pStyle w:val="Textoindependiente"/>
        <w:spacing w:before="83"/>
        <w:ind w:right="714"/>
        <w:jc w:val="both"/>
      </w:pPr>
      <w:r>
        <w:lastRenderedPageBreak/>
        <w:t>Según reportes de Migración Colombia, al 31 de diciembre de 2023 se observaban</w:t>
      </w:r>
      <w:r>
        <w:rPr>
          <w:spacing w:val="-12"/>
        </w:rPr>
        <w:t xml:space="preserve"> </w:t>
      </w:r>
      <w:r>
        <w:t>931.703</w:t>
      </w:r>
      <w:r>
        <w:rPr>
          <w:spacing w:val="-10"/>
        </w:rPr>
        <w:t xml:space="preserve"> </w:t>
      </w:r>
      <w:r>
        <w:t>casos</w:t>
      </w:r>
      <w:r>
        <w:rPr>
          <w:spacing w:val="-11"/>
        </w:rPr>
        <w:t xml:space="preserve"> </w:t>
      </w:r>
      <w:r>
        <w:t>de</w:t>
      </w:r>
      <w:r>
        <w:rPr>
          <w:spacing w:val="-10"/>
        </w:rPr>
        <w:t xml:space="preserve"> </w:t>
      </w:r>
      <w:r>
        <w:t>flujo</w:t>
      </w:r>
      <w:r>
        <w:rPr>
          <w:spacing w:val="-11"/>
        </w:rPr>
        <w:t xml:space="preserve"> </w:t>
      </w:r>
      <w:r>
        <w:t>migratorio</w:t>
      </w:r>
      <w:r>
        <w:rPr>
          <w:spacing w:val="-11"/>
        </w:rPr>
        <w:t xml:space="preserve"> </w:t>
      </w:r>
      <w:r>
        <w:t>irregular</w:t>
      </w:r>
      <w:r>
        <w:rPr>
          <w:spacing w:val="-10"/>
        </w:rPr>
        <w:t xml:space="preserve"> </w:t>
      </w:r>
      <w:r>
        <w:t>entre</w:t>
      </w:r>
      <w:r>
        <w:rPr>
          <w:spacing w:val="-10"/>
        </w:rPr>
        <w:t xml:space="preserve"> </w:t>
      </w:r>
      <w:r>
        <w:t>2012</w:t>
      </w:r>
      <w:r>
        <w:rPr>
          <w:spacing w:val="-10"/>
        </w:rPr>
        <w:t xml:space="preserve"> </w:t>
      </w:r>
      <w:r>
        <w:t>y</w:t>
      </w:r>
      <w:r>
        <w:rPr>
          <w:spacing w:val="-11"/>
        </w:rPr>
        <w:t xml:space="preserve"> </w:t>
      </w:r>
      <w:r>
        <w:t>2023, de</w:t>
      </w:r>
      <w:r>
        <w:rPr>
          <w:spacing w:val="-8"/>
        </w:rPr>
        <w:t xml:space="preserve"> </w:t>
      </w:r>
      <w:r>
        <w:t>los</w:t>
      </w:r>
      <w:r>
        <w:rPr>
          <w:spacing w:val="-9"/>
        </w:rPr>
        <w:t xml:space="preserve"> </w:t>
      </w:r>
      <w:r>
        <w:t>que</w:t>
      </w:r>
      <w:r>
        <w:rPr>
          <w:spacing w:val="-8"/>
        </w:rPr>
        <w:t xml:space="preserve"> </w:t>
      </w:r>
      <w:r>
        <w:t>el</w:t>
      </w:r>
      <w:r>
        <w:rPr>
          <w:spacing w:val="-10"/>
        </w:rPr>
        <w:t xml:space="preserve"> </w:t>
      </w:r>
      <w:r>
        <w:t>58</w:t>
      </w:r>
      <w:r>
        <w:rPr>
          <w:spacing w:val="-8"/>
        </w:rPr>
        <w:t xml:space="preserve"> </w:t>
      </w:r>
      <w:r>
        <w:t>%</w:t>
      </w:r>
      <w:r>
        <w:rPr>
          <w:spacing w:val="-10"/>
        </w:rPr>
        <w:t xml:space="preserve"> </w:t>
      </w:r>
      <w:r>
        <w:t>correspondían</w:t>
      </w:r>
      <w:r>
        <w:rPr>
          <w:spacing w:val="-9"/>
        </w:rPr>
        <w:t xml:space="preserve"> </w:t>
      </w:r>
      <w:r>
        <w:t>a</w:t>
      </w:r>
      <w:r>
        <w:rPr>
          <w:spacing w:val="-9"/>
        </w:rPr>
        <w:t xml:space="preserve"> </w:t>
      </w:r>
      <w:r>
        <w:t>casos</w:t>
      </w:r>
      <w:r>
        <w:rPr>
          <w:spacing w:val="-9"/>
        </w:rPr>
        <w:t xml:space="preserve"> </w:t>
      </w:r>
      <w:r>
        <w:t>registrados</w:t>
      </w:r>
      <w:r>
        <w:rPr>
          <w:spacing w:val="-8"/>
        </w:rPr>
        <w:t xml:space="preserve"> </w:t>
      </w:r>
      <w:r>
        <w:t>en</w:t>
      </w:r>
      <w:r>
        <w:rPr>
          <w:spacing w:val="-9"/>
        </w:rPr>
        <w:t xml:space="preserve"> </w:t>
      </w:r>
      <w:r>
        <w:t>2023.</w:t>
      </w:r>
      <w:r>
        <w:rPr>
          <w:spacing w:val="-10"/>
        </w:rPr>
        <w:t xml:space="preserve"> </w:t>
      </w:r>
      <w:r>
        <w:t>Del</w:t>
      </w:r>
      <w:r>
        <w:rPr>
          <w:spacing w:val="-9"/>
        </w:rPr>
        <w:t xml:space="preserve"> </w:t>
      </w:r>
      <w:r>
        <w:t>total</w:t>
      </w:r>
      <w:r>
        <w:rPr>
          <w:spacing w:val="-10"/>
        </w:rPr>
        <w:t xml:space="preserve"> </w:t>
      </w:r>
      <w:r>
        <w:t>de flujos</w:t>
      </w:r>
      <w:r>
        <w:rPr>
          <w:spacing w:val="-10"/>
        </w:rPr>
        <w:t xml:space="preserve"> </w:t>
      </w:r>
      <w:r>
        <w:t>migratorios</w:t>
      </w:r>
      <w:r>
        <w:rPr>
          <w:spacing w:val="-13"/>
        </w:rPr>
        <w:t xml:space="preserve"> </w:t>
      </w:r>
      <w:r>
        <w:t>el</w:t>
      </w:r>
      <w:r>
        <w:rPr>
          <w:spacing w:val="-11"/>
        </w:rPr>
        <w:t xml:space="preserve"> </w:t>
      </w:r>
      <w:r>
        <w:t>87,8%</w:t>
      </w:r>
      <w:r>
        <w:rPr>
          <w:spacing w:val="-12"/>
        </w:rPr>
        <w:t xml:space="preserve"> </w:t>
      </w:r>
      <w:r>
        <w:t>provenían</w:t>
      </w:r>
      <w:r>
        <w:rPr>
          <w:spacing w:val="-13"/>
        </w:rPr>
        <w:t xml:space="preserve"> </w:t>
      </w:r>
      <w:r>
        <w:t>de</w:t>
      </w:r>
      <w:r>
        <w:rPr>
          <w:spacing w:val="-12"/>
        </w:rPr>
        <w:t xml:space="preserve"> </w:t>
      </w:r>
      <w:r>
        <w:t>América,</w:t>
      </w:r>
      <w:r>
        <w:rPr>
          <w:spacing w:val="-14"/>
        </w:rPr>
        <w:t xml:space="preserve"> </w:t>
      </w:r>
      <w:r>
        <w:t>9,8%</w:t>
      </w:r>
      <w:r>
        <w:rPr>
          <w:spacing w:val="-12"/>
        </w:rPr>
        <w:t xml:space="preserve"> </w:t>
      </w:r>
      <w:r>
        <w:t>de</w:t>
      </w:r>
      <w:r>
        <w:rPr>
          <w:spacing w:val="-9"/>
        </w:rPr>
        <w:t xml:space="preserve"> </w:t>
      </w:r>
      <w:r>
        <w:t>Asia</w:t>
      </w:r>
      <w:r>
        <w:rPr>
          <w:spacing w:val="-13"/>
        </w:rPr>
        <w:t xml:space="preserve"> </w:t>
      </w:r>
      <w:r>
        <w:t>y</w:t>
      </w:r>
      <w:r>
        <w:rPr>
          <w:spacing w:val="-11"/>
        </w:rPr>
        <w:t xml:space="preserve"> </w:t>
      </w:r>
      <w:r>
        <w:t>2,3%</w:t>
      </w:r>
      <w:r>
        <w:rPr>
          <w:spacing w:val="-12"/>
        </w:rPr>
        <w:t xml:space="preserve"> </w:t>
      </w:r>
      <w:r>
        <w:t>de África. Entre de los América las nacionalidades más frecuentes son Venezuela (339.997), Ecuador (61.695), Chile (4.393), Cuba (1.197) y Brasil (2.978), estos dos últimos realmente corresponden a migrantes de origen haitiano que presentan documento de estos países</w:t>
      </w:r>
      <w:hyperlink w:anchor="_bookmark91" w:history="1">
        <w:r w:rsidR="000E52B0">
          <w:rPr>
            <w:position w:val="8"/>
            <w:sz w:val="16"/>
          </w:rPr>
          <w:t>78</w:t>
        </w:r>
      </w:hyperlink>
      <w:r>
        <w:rPr>
          <w:spacing w:val="32"/>
          <w:position w:val="8"/>
          <w:sz w:val="16"/>
        </w:rPr>
        <w:t xml:space="preserve"> </w:t>
      </w:r>
      <w:r>
        <w:t xml:space="preserve">pues están en un proceso de </w:t>
      </w:r>
      <w:proofErr w:type="spellStart"/>
      <w:r>
        <w:t>re-emigración</w:t>
      </w:r>
      <w:proofErr w:type="spellEnd"/>
      <w:r>
        <w:t xml:space="preserve"> como se abordó en la sección anterior; de Asia,</w:t>
      </w:r>
      <w:r>
        <w:rPr>
          <w:spacing w:val="-18"/>
        </w:rPr>
        <w:t xml:space="preserve"> </w:t>
      </w:r>
      <w:r>
        <w:t>el</w:t>
      </w:r>
      <w:r>
        <w:rPr>
          <w:spacing w:val="-18"/>
        </w:rPr>
        <w:t xml:space="preserve"> </w:t>
      </w:r>
      <w:r>
        <w:t>país</w:t>
      </w:r>
      <w:r>
        <w:rPr>
          <w:spacing w:val="-18"/>
        </w:rPr>
        <w:t xml:space="preserve"> </w:t>
      </w:r>
      <w:r>
        <w:t>principal</w:t>
      </w:r>
      <w:r>
        <w:rPr>
          <w:spacing w:val="-18"/>
        </w:rPr>
        <w:t xml:space="preserve"> </w:t>
      </w:r>
      <w:r>
        <w:t>es</w:t>
      </w:r>
      <w:r>
        <w:rPr>
          <w:spacing w:val="-18"/>
        </w:rPr>
        <w:t xml:space="preserve"> </w:t>
      </w:r>
      <w:r>
        <w:t>China</w:t>
      </w:r>
      <w:r>
        <w:rPr>
          <w:spacing w:val="-17"/>
        </w:rPr>
        <w:t xml:space="preserve"> </w:t>
      </w:r>
      <w:r>
        <w:t>(32.787)</w:t>
      </w:r>
      <w:r>
        <w:rPr>
          <w:spacing w:val="-21"/>
        </w:rPr>
        <w:t xml:space="preserve"> </w:t>
      </w:r>
      <w:r>
        <w:t>e</w:t>
      </w:r>
      <w:r>
        <w:rPr>
          <w:spacing w:val="-16"/>
        </w:rPr>
        <w:t xml:space="preserve"> </w:t>
      </w:r>
      <w:r>
        <w:t>India</w:t>
      </w:r>
      <w:r>
        <w:rPr>
          <w:spacing w:val="-18"/>
        </w:rPr>
        <w:t xml:space="preserve"> </w:t>
      </w:r>
      <w:r>
        <w:t>(3.868);</w:t>
      </w:r>
      <w:r>
        <w:rPr>
          <w:spacing w:val="-18"/>
        </w:rPr>
        <w:t xml:space="preserve"> </w:t>
      </w:r>
      <w:r>
        <w:t>y</w:t>
      </w:r>
      <w:r>
        <w:rPr>
          <w:spacing w:val="-18"/>
        </w:rPr>
        <w:t xml:space="preserve"> </w:t>
      </w:r>
      <w:r>
        <w:t>de</w:t>
      </w:r>
      <w:r>
        <w:rPr>
          <w:spacing w:val="-16"/>
        </w:rPr>
        <w:t xml:space="preserve"> </w:t>
      </w:r>
      <w:r>
        <w:t>África,</w:t>
      </w:r>
      <w:r>
        <w:rPr>
          <w:spacing w:val="-18"/>
        </w:rPr>
        <w:t xml:space="preserve"> </w:t>
      </w:r>
      <w:r>
        <w:t>Angola (2.085)</w:t>
      </w:r>
      <w:r>
        <w:rPr>
          <w:spacing w:val="-8"/>
        </w:rPr>
        <w:t xml:space="preserve"> </w:t>
      </w:r>
      <w:r>
        <w:t>y</w:t>
      </w:r>
      <w:r>
        <w:rPr>
          <w:spacing w:val="-7"/>
        </w:rPr>
        <w:t xml:space="preserve"> </w:t>
      </w:r>
      <w:r>
        <w:t>Camerún</w:t>
      </w:r>
      <w:r>
        <w:rPr>
          <w:spacing w:val="-4"/>
        </w:rPr>
        <w:t xml:space="preserve"> </w:t>
      </w:r>
      <w:r>
        <w:t>(1.803).</w:t>
      </w:r>
      <w:r>
        <w:rPr>
          <w:spacing w:val="-8"/>
        </w:rPr>
        <w:t xml:space="preserve"> </w:t>
      </w:r>
      <w:r>
        <w:t>De</w:t>
      </w:r>
      <w:r>
        <w:rPr>
          <w:spacing w:val="-6"/>
        </w:rPr>
        <w:t xml:space="preserve"> </w:t>
      </w:r>
      <w:r>
        <w:t>los</w:t>
      </w:r>
      <w:r>
        <w:rPr>
          <w:spacing w:val="-5"/>
        </w:rPr>
        <w:t xml:space="preserve"> </w:t>
      </w:r>
      <w:r>
        <w:t>países</w:t>
      </w:r>
      <w:r>
        <w:rPr>
          <w:spacing w:val="-7"/>
        </w:rPr>
        <w:t xml:space="preserve"> </w:t>
      </w:r>
      <w:r>
        <w:t>anteriores</w:t>
      </w:r>
      <w:r>
        <w:rPr>
          <w:spacing w:val="-7"/>
        </w:rPr>
        <w:t xml:space="preserve"> </w:t>
      </w:r>
      <w:r>
        <w:t>el</w:t>
      </w:r>
      <w:r>
        <w:rPr>
          <w:spacing w:val="-8"/>
        </w:rPr>
        <w:t xml:space="preserve"> </w:t>
      </w:r>
      <w:r>
        <w:t>único</w:t>
      </w:r>
      <w:r>
        <w:rPr>
          <w:spacing w:val="-6"/>
        </w:rPr>
        <w:t xml:space="preserve"> </w:t>
      </w:r>
      <w:r>
        <w:t>que</w:t>
      </w:r>
      <w:r>
        <w:rPr>
          <w:spacing w:val="-6"/>
        </w:rPr>
        <w:t xml:space="preserve"> </w:t>
      </w:r>
      <w:r>
        <w:t xml:space="preserve">presentó una disminución de migrantes de paso fue Cuba, con una reducción de </w:t>
      </w:r>
      <w:r>
        <w:rPr>
          <w:spacing w:val="-4"/>
        </w:rPr>
        <w:t>68%.</w:t>
      </w:r>
    </w:p>
    <w:p w14:paraId="63F0D10A" w14:textId="77777777" w:rsidR="000E52B0" w:rsidRDefault="00F60D74">
      <w:pPr>
        <w:spacing w:before="159"/>
        <w:jc w:val="center"/>
        <w:rPr>
          <w:i/>
          <w:sz w:val="18"/>
        </w:rPr>
      </w:pPr>
      <w:r>
        <w:rPr>
          <w:i/>
          <w:color w:val="454551"/>
          <w:sz w:val="18"/>
        </w:rPr>
        <w:t>Ilustración</w:t>
      </w:r>
      <w:r>
        <w:rPr>
          <w:i/>
          <w:color w:val="454551"/>
          <w:spacing w:val="-4"/>
          <w:sz w:val="18"/>
        </w:rPr>
        <w:t xml:space="preserve"> </w:t>
      </w:r>
      <w:r>
        <w:rPr>
          <w:i/>
          <w:color w:val="454551"/>
          <w:sz w:val="18"/>
        </w:rPr>
        <w:t>50.</w:t>
      </w:r>
      <w:r>
        <w:rPr>
          <w:i/>
          <w:color w:val="454551"/>
          <w:spacing w:val="-6"/>
          <w:sz w:val="18"/>
        </w:rPr>
        <w:t xml:space="preserve"> </w:t>
      </w:r>
      <w:r>
        <w:rPr>
          <w:i/>
          <w:color w:val="454551"/>
          <w:sz w:val="18"/>
        </w:rPr>
        <w:t>Histórico</w:t>
      </w:r>
      <w:r>
        <w:rPr>
          <w:i/>
          <w:color w:val="454551"/>
          <w:spacing w:val="-6"/>
          <w:sz w:val="18"/>
        </w:rPr>
        <w:t xml:space="preserve"> </w:t>
      </w:r>
      <w:r>
        <w:rPr>
          <w:i/>
          <w:color w:val="454551"/>
          <w:sz w:val="18"/>
        </w:rPr>
        <w:t>flujo</w:t>
      </w:r>
      <w:r>
        <w:rPr>
          <w:i/>
          <w:color w:val="454551"/>
          <w:spacing w:val="-4"/>
          <w:sz w:val="18"/>
        </w:rPr>
        <w:t xml:space="preserve"> </w:t>
      </w:r>
      <w:r>
        <w:rPr>
          <w:i/>
          <w:color w:val="454551"/>
          <w:sz w:val="18"/>
        </w:rPr>
        <w:t>migratorio</w:t>
      </w:r>
      <w:r>
        <w:rPr>
          <w:i/>
          <w:color w:val="454551"/>
          <w:spacing w:val="-4"/>
          <w:sz w:val="18"/>
        </w:rPr>
        <w:t xml:space="preserve"> </w:t>
      </w:r>
      <w:r>
        <w:rPr>
          <w:i/>
          <w:color w:val="454551"/>
          <w:spacing w:val="-2"/>
          <w:sz w:val="18"/>
        </w:rPr>
        <w:t>irregular</w:t>
      </w:r>
    </w:p>
    <w:p w14:paraId="28905C81" w14:textId="77777777" w:rsidR="000E52B0" w:rsidRDefault="000E52B0">
      <w:pPr>
        <w:pStyle w:val="Textoindependiente"/>
        <w:spacing w:before="176"/>
        <w:ind w:left="0"/>
        <w:rPr>
          <w:i/>
          <w:sz w:val="18"/>
        </w:rPr>
      </w:pPr>
    </w:p>
    <w:p w14:paraId="45397B9B" w14:textId="77777777" w:rsidR="000E52B0" w:rsidRDefault="00F60D74">
      <w:pPr>
        <w:ind w:right="940"/>
        <w:jc w:val="right"/>
        <w:rPr>
          <w:rFonts w:ascii="Trebuchet MS"/>
          <w:sz w:val="18"/>
        </w:rPr>
      </w:pPr>
      <w:r>
        <w:rPr>
          <w:rFonts w:ascii="Trebuchet MS"/>
          <w:color w:val="404040"/>
          <w:spacing w:val="-2"/>
          <w:sz w:val="18"/>
        </w:rPr>
        <w:t>539.959</w:t>
      </w:r>
    </w:p>
    <w:p w14:paraId="4947D2BC" w14:textId="77777777" w:rsidR="000E52B0" w:rsidRDefault="00F60D74">
      <w:pPr>
        <w:pStyle w:val="Textoindependiente"/>
        <w:spacing w:before="5"/>
        <w:ind w:left="0"/>
        <w:rPr>
          <w:rFonts w:ascii="Trebuchet MS"/>
          <w:sz w:val="6"/>
        </w:rPr>
      </w:pPr>
      <w:r>
        <w:rPr>
          <w:rFonts w:ascii="Trebuchet MS"/>
          <w:noProof/>
          <w:sz w:val="6"/>
        </w:rPr>
        <mc:AlternateContent>
          <mc:Choice Requires="wpg">
            <w:drawing>
              <wp:anchor distT="0" distB="0" distL="0" distR="0" simplePos="0" relativeHeight="487661056" behindDoc="1" locked="0" layoutInCell="1" allowOverlap="1" wp14:anchorId="6E6B0F36" wp14:editId="1C337325">
                <wp:simplePos x="0" y="0"/>
                <wp:positionH relativeFrom="page">
                  <wp:posOffset>1054100</wp:posOffset>
                </wp:positionH>
                <wp:positionV relativeFrom="paragraph">
                  <wp:posOffset>63271</wp:posOffset>
                </wp:positionV>
                <wp:extent cx="5466080" cy="1635760"/>
                <wp:effectExtent l="0" t="0" r="0" b="0"/>
                <wp:wrapTopAndBottom/>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6080" cy="1635760"/>
                          <a:chOff x="0" y="0"/>
                          <a:chExt cx="5466080" cy="1635760"/>
                        </a:xfrm>
                      </wpg:grpSpPr>
                      <wps:wsp>
                        <wps:cNvPr id="595" name="Graphic 595"/>
                        <wps:cNvSpPr/>
                        <wps:spPr>
                          <a:xfrm>
                            <a:off x="85852" y="0"/>
                            <a:ext cx="5294630" cy="1628139"/>
                          </a:xfrm>
                          <a:custGeom>
                            <a:avLst/>
                            <a:gdLst/>
                            <a:ahLst/>
                            <a:cxnLst/>
                            <a:rect l="l" t="t" r="r" b="b"/>
                            <a:pathLst>
                              <a:path w="5294630" h="1628139">
                                <a:moveTo>
                                  <a:pt x="284988" y="1626108"/>
                                </a:moveTo>
                                <a:lnTo>
                                  <a:pt x="0" y="1626108"/>
                                </a:lnTo>
                                <a:lnTo>
                                  <a:pt x="0" y="1628013"/>
                                </a:lnTo>
                                <a:lnTo>
                                  <a:pt x="284988" y="1628013"/>
                                </a:lnTo>
                                <a:lnTo>
                                  <a:pt x="284988" y="1626108"/>
                                </a:lnTo>
                                <a:close/>
                              </a:path>
                              <a:path w="5294630" h="1628139">
                                <a:moveTo>
                                  <a:pt x="739140" y="1626108"/>
                                </a:moveTo>
                                <a:lnTo>
                                  <a:pt x="455676" y="1626108"/>
                                </a:lnTo>
                                <a:lnTo>
                                  <a:pt x="455676" y="1628013"/>
                                </a:lnTo>
                                <a:lnTo>
                                  <a:pt x="739140" y="1628013"/>
                                </a:lnTo>
                                <a:lnTo>
                                  <a:pt x="739140" y="1626108"/>
                                </a:lnTo>
                                <a:close/>
                              </a:path>
                              <a:path w="5294630" h="1628139">
                                <a:moveTo>
                                  <a:pt x="1194816" y="1621536"/>
                                </a:moveTo>
                                <a:lnTo>
                                  <a:pt x="909828" y="1621536"/>
                                </a:lnTo>
                                <a:lnTo>
                                  <a:pt x="909828" y="1628013"/>
                                </a:lnTo>
                                <a:lnTo>
                                  <a:pt x="1194816" y="1628013"/>
                                </a:lnTo>
                                <a:lnTo>
                                  <a:pt x="1194816" y="1621536"/>
                                </a:lnTo>
                                <a:close/>
                              </a:path>
                              <a:path w="5294630" h="1628139">
                                <a:moveTo>
                                  <a:pt x="1650492" y="1601724"/>
                                </a:moveTo>
                                <a:lnTo>
                                  <a:pt x="1365504" y="1601724"/>
                                </a:lnTo>
                                <a:lnTo>
                                  <a:pt x="1365504" y="1628013"/>
                                </a:lnTo>
                                <a:lnTo>
                                  <a:pt x="1650492" y="1628013"/>
                                </a:lnTo>
                                <a:lnTo>
                                  <a:pt x="1650492" y="1601724"/>
                                </a:lnTo>
                                <a:close/>
                              </a:path>
                              <a:path w="5294630" h="1628139">
                                <a:moveTo>
                                  <a:pt x="2106168" y="1525524"/>
                                </a:moveTo>
                                <a:lnTo>
                                  <a:pt x="1821180" y="1525524"/>
                                </a:lnTo>
                                <a:lnTo>
                                  <a:pt x="1821180" y="1628013"/>
                                </a:lnTo>
                                <a:lnTo>
                                  <a:pt x="2106168" y="1628013"/>
                                </a:lnTo>
                                <a:lnTo>
                                  <a:pt x="2106168" y="1525524"/>
                                </a:lnTo>
                                <a:close/>
                              </a:path>
                              <a:path w="5294630" h="1628139">
                                <a:moveTo>
                                  <a:pt x="2561844" y="1607820"/>
                                </a:moveTo>
                                <a:lnTo>
                                  <a:pt x="2276856" y="1607820"/>
                                </a:lnTo>
                                <a:lnTo>
                                  <a:pt x="2276856" y="1628013"/>
                                </a:lnTo>
                                <a:lnTo>
                                  <a:pt x="2561844" y="1628013"/>
                                </a:lnTo>
                                <a:lnTo>
                                  <a:pt x="2561844" y="1607820"/>
                                </a:lnTo>
                                <a:close/>
                              </a:path>
                              <a:path w="5294630" h="1628139">
                                <a:moveTo>
                                  <a:pt x="3017520" y="1610868"/>
                                </a:moveTo>
                                <a:lnTo>
                                  <a:pt x="2732532" y="1610868"/>
                                </a:lnTo>
                                <a:lnTo>
                                  <a:pt x="2732532" y="1628013"/>
                                </a:lnTo>
                                <a:lnTo>
                                  <a:pt x="3017520" y="1628013"/>
                                </a:lnTo>
                                <a:lnTo>
                                  <a:pt x="3017520" y="1610868"/>
                                </a:lnTo>
                                <a:close/>
                              </a:path>
                              <a:path w="5294630" h="1628139">
                                <a:moveTo>
                                  <a:pt x="3473196" y="1571244"/>
                                </a:moveTo>
                                <a:lnTo>
                                  <a:pt x="3188208" y="1571244"/>
                                </a:lnTo>
                                <a:lnTo>
                                  <a:pt x="3188208" y="1628013"/>
                                </a:lnTo>
                                <a:lnTo>
                                  <a:pt x="3473196" y="1628013"/>
                                </a:lnTo>
                                <a:lnTo>
                                  <a:pt x="3473196" y="1571244"/>
                                </a:lnTo>
                                <a:close/>
                              </a:path>
                              <a:path w="5294630" h="1628139">
                                <a:moveTo>
                                  <a:pt x="3928872" y="1616964"/>
                                </a:moveTo>
                                <a:lnTo>
                                  <a:pt x="3643884" y="1616964"/>
                                </a:lnTo>
                                <a:lnTo>
                                  <a:pt x="3643884" y="1628013"/>
                                </a:lnTo>
                                <a:lnTo>
                                  <a:pt x="3928872" y="1628013"/>
                                </a:lnTo>
                                <a:lnTo>
                                  <a:pt x="3928872" y="1616964"/>
                                </a:lnTo>
                                <a:close/>
                              </a:path>
                              <a:path w="5294630" h="1628139">
                                <a:moveTo>
                                  <a:pt x="4384548" y="1306068"/>
                                </a:moveTo>
                                <a:lnTo>
                                  <a:pt x="4099560" y="1306068"/>
                                </a:lnTo>
                                <a:lnTo>
                                  <a:pt x="4099560" y="1628013"/>
                                </a:lnTo>
                                <a:lnTo>
                                  <a:pt x="4384548" y="1628013"/>
                                </a:lnTo>
                                <a:lnTo>
                                  <a:pt x="4384548" y="1306068"/>
                                </a:lnTo>
                                <a:close/>
                              </a:path>
                              <a:path w="5294630" h="1628139">
                                <a:moveTo>
                                  <a:pt x="4838700" y="1014984"/>
                                </a:moveTo>
                                <a:lnTo>
                                  <a:pt x="4555236" y="1014984"/>
                                </a:lnTo>
                                <a:lnTo>
                                  <a:pt x="4555236" y="1628013"/>
                                </a:lnTo>
                                <a:lnTo>
                                  <a:pt x="4838700" y="1628013"/>
                                </a:lnTo>
                                <a:lnTo>
                                  <a:pt x="4838700" y="1014984"/>
                                </a:lnTo>
                                <a:close/>
                              </a:path>
                              <a:path w="5294630" h="1628139">
                                <a:moveTo>
                                  <a:pt x="5294376" y="0"/>
                                </a:moveTo>
                                <a:lnTo>
                                  <a:pt x="5009388" y="0"/>
                                </a:lnTo>
                                <a:lnTo>
                                  <a:pt x="5009388" y="1628013"/>
                                </a:lnTo>
                                <a:lnTo>
                                  <a:pt x="5294376" y="1628013"/>
                                </a:lnTo>
                                <a:lnTo>
                                  <a:pt x="5294376" y="0"/>
                                </a:lnTo>
                                <a:close/>
                              </a:path>
                            </a:pathLst>
                          </a:custGeom>
                          <a:solidFill>
                            <a:srgbClr val="D54286"/>
                          </a:solidFill>
                        </wps:spPr>
                        <wps:bodyPr wrap="square" lIns="0" tIns="0" rIns="0" bIns="0" rtlCol="0">
                          <a:prstTxWarp prst="textNoShape">
                            <a:avLst/>
                          </a:prstTxWarp>
                          <a:noAutofit/>
                        </wps:bodyPr>
                      </wps:wsp>
                      <wps:wsp>
                        <wps:cNvPr id="596" name="Graphic 596"/>
                        <wps:cNvSpPr/>
                        <wps:spPr>
                          <a:xfrm>
                            <a:off x="0" y="1628013"/>
                            <a:ext cx="5466080" cy="1270"/>
                          </a:xfrm>
                          <a:custGeom>
                            <a:avLst/>
                            <a:gdLst/>
                            <a:ahLst/>
                            <a:cxnLst/>
                            <a:rect l="l" t="t" r="r" b="b"/>
                            <a:pathLst>
                              <a:path w="5466080">
                                <a:moveTo>
                                  <a:pt x="0" y="0"/>
                                </a:moveTo>
                                <a:lnTo>
                                  <a:pt x="5466080" y="0"/>
                                </a:lnTo>
                              </a:path>
                            </a:pathLst>
                          </a:custGeom>
                          <a:ln w="9525">
                            <a:solidFill>
                              <a:srgbClr val="D9D9D9"/>
                            </a:solidFill>
                            <a:prstDash val="solid"/>
                          </a:ln>
                        </wps:spPr>
                        <wps:bodyPr wrap="square" lIns="0" tIns="0" rIns="0" bIns="0" rtlCol="0">
                          <a:prstTxWarp prst="textNoShape">
                            <a:avLst/>
                          </a:prstTxWarp>
                          <a:noAutofit/>
                        </wps:bodyPr>
                      </wps:wsp>
                      <wps:wsp>
                        <wps:cNvPr id="597" name="Graphic 597"/>
                        <wps:cNvSpPr/>
                        <wps:spPr>
                          <a:xfrm>
                            <a:off x="683259" y="507873"/>
                            <a:ext cx="4555490" cy="1118235"/>
                          </a:xfrm>
                          <a:custGeom>
                            <a:avLst/>
                            <a:gdLst/>
                            <a:ahLst/>
                            <a:cxnLst/>
                            <a:rect l="l" t="t" r="r" b="b"/>
                            <a:pathLst>
                              <a:path w="4555490" h="1118235">
                                <a:moveTo>
                                  <a:pt x="0" y="1118234"/>
                                </a:moveTo>
                                <a:lnTo>
                                  <a:pt x="455675" y="1116711"/>
                                </a:lnTo>
                                <a:lnTo>
                                  <a:pt x="911351" y="1102994"/>
                                </a:lnTo>
                                <a:lnTo>
                                  <a:pt x="1367027" y="1055751"/>
                                </a:lnTo>
                                <a:lnTo>
                                  <a:pt x="1822703" y="1058799"/>
                                </a:lnTo>
                                <a:lnTo>
                                  <a:pt x="2276855" y="1101470"/>
                                </a:lnTo>
                                <a:lnTo>
                                  <a:pt x="2732531" y="1083182"/>
                                </a:lnTo>
                                <a:lnTo>
                                  <a:pt x="3188207" y="1086230"/>
                                </a:lnTo>
                                <a:lnTo>
                                  <a:pt x="3643884" y="953642"/>
                                </a:lnTo>
                                <a:lnTo>
                                  <a:pt x="4099560" y="653414"/>
                                </a:lnTo>
                                <a:lnTo>
                                  <a:pt x="4555109" y="0"/>
                                </a:lnTo>
                              </a:path>
                            </a:pathLst>
                          </a:custGeom>
                          <a:ln w="19050">
                            <a:solidFill>
                              <a:srgbClr val="78206F"/>
                            </a:solidFill>
                            <a:prstDash val="dot"/>
                          </a:ln>
                        </wps:spPr>
                        <wps:bodyPr wrap="square" lIns="0" tIns="0" rIns="0" bIns="0" rtlCol="0">
                          <a:prstTxWarp prst="textNoShape">
                            <a:avLst/>
                          </a:prstTxWarp>
                          <a:noAutofit/>
                        </wps:bodyPr>
                      </wps:wsp>
                      <wps:wsp>
                        <wps:cNvPr id="598" name="Textbox 598"/>
                        <wps:cNvSpPr txBox="1"/>
                        <wps:spPr>
                          <a:xfrm>
                            <a:off x="4596638" y="818379"/>
                            <a:ext cx="411480" cy="139700"/>
                          </a:xfrm>
                          <a:prstGeom prst="rect">
                            <a:avLst/>
                          </a:prstGeom>
                        </wps:spPr>
                        <wps:txbx>
                          <w:txbxContent>
                            <w:p w14:paraId="605D2A78" w14:textId="77777777" w:rsidR="000E52B0" w:rsidRDefault="00F60D74">
                              <w:pPr>
                                <w:rPr>
                                  <w:rFonts w:ascii="Trebuchet MS"/>
                                  <w:sz w:val="18"/>
                                </w:rPr>
                              </w:pPr>
                              <w:r>
                                <w:rPr>
                                  <w:rFonts w:ascii="Trebuchet MS"/>
                                  <w:color w:val="404040"/>
                                  <w:spacing w:val="-2"/>
                                  <w:sz w:val="18"/>
                                </w:rPr>
                                <w:t>203.385</w:t>
                              </w:r>
                            </w:p>
                          </w:txbxContent>
                        </wps:txbx>
                        <wps:bodyPr wrap="square" lIns="0" tIns="0" rIns="0" bIns="0" rtlCol="0">
                          <a:noAutofit/>
                        </wps:bodyPr>
                      </wps:wsp>
                      <wps:wsp>
                        <wps:cNvPr id="599" name="Textbox 599"/>
                        <wps:cNvSpPr txBox="1"/>
                        <wps:spPr>
                          <a:xfrm>
                            <a:off x="4140961" y="1109463"/>
                            <a:ext cx="411480" cy="139700"/>
                          </a:xfrm>
                          <a:prstGeom prst="rect">
                            <a:avLst/>
                          </a:prstGeom>
                        </wps:spPr>
                        <wps:txbx>
                          <w:txbxContent>
                            <w:p w14:paraId="5058EC05" w14:textId="77777777" w:rsidR="000E52B0" w:rsidRDefault="00F60D74">
                              <w:pPr>
                                <w:rPr>
                                  <w:rFonts w:ascii="Trebuchet MS"/>
                                  <w:sz w:val="18"/>
                                </w:rPr>
                              </w:pPr>
                              <w:r>
                                <w:rPr>
                                  <w:rFonts w:ascii="Trebuchet MS"/>
                                  <w:color w:val="404040"/>
                                  <w:spacing w:val="-2"/>
                                  <w:sz w:val="18"/>
                                </w:rPr>
                                <w:t>106.840</w:t>
                              </w:r>
                            </w:p>
                          </w:txbxContent>
                        </wps:txbx>
                        <wps:bodyPr wrap="square" lIns="0" tIns="0" rIns="0" bIns="0" rtlCol="0">
                          <a:noAutofit/>
                        </wps:bodyPr>
                      </wps:wsp>
                      <wps:wsp>
                        <wps:cNvPr id="600" name="Textbox 600"/>
                        <wps:cNvSpPr txBox="1"/>
                        <wps:spPr>
                          <a:xfrm>
                            <a:off x="147116" y="1429503"/>
                            <a:ext cx="195580" cy="139700"/>
                          </a:xfrm>
                          <a:prstGeom prst="rect">
                            <a:avLst/>
                          </a:prstGeom>
                        </wps:spPr>
                        <wps:txbx>
                          <w:txbxContent>
                            <w:p w14:paraId="46D67D4D" w14:textId="77777777" w:rsidR="000E52B0" w:rsidRDefault="00F60D74">
                              <w:pPr>
                                <w:rPr>
                                  <w:rFonts w:ascii="Trebuchet MS"/>
                                  <w:sz w:val="18"/>
                                </w:rPr>
                              </w:pPr>
                              <w:r>
                                <w:rPr>
                                  <w:rFonts w:ascii="Trebuchet MS"/>
                                  <w:color w:val="404040"/>
                                  <w:spacing w:val="-5"/>
                                  <w:sz w:val="18"/>
                                </w:rPr>
                                <w:t>700</w:t>
                              </w:r>
                            </w:p>
                          </w:txbxContent>
                        </wps:txbx>
                        <wps:bodyPr wrap="square" lIns="0" tIns="0" rIns="0" bIns="0" rtlCol="0">
                          <a:noAutofit/>
                        </wps:bodyPr>
                      </wps:wsp>
                      <wps:wsp>
                        <wps:cNvPr id="601" name="Textbox 601"/>
                        <wps:cNvSpPr txBox="1"/>
                        <wps:spPr>
                          <a:xfrm>
                            <a:off x="602741" y="1425185"/>
                            <a:ext cx="699135" cy="144145"/>
                          </a:xfrm>
                          <a:prstGeom prst="rect">
                            <a:avLst/>
                          </a:prstGeom>
                        </wps:spPr>
                        <wps:txbx>
                          <w:txbxContent>
                            <w:p w14:paraId="4FCC7DD1" w14:textId="77777777" w:rsidR="000E52B0" w:rsidRDefault="00F60D74">
                              <w:pPr>
                                <w:tabs>
                                  <w:tab w:val="left" w:pos="645"/>
                                </w:tabs>
                                <w:spacing w:line="216" w:lineRule="exact"/>
                                <w:rPr>
                                  <w:rFonts w:ascii="Trebuchet MS"/>
                                  <w:position w:val="1"/>
                                  <w:sz w:val="18"/>
                                </w:rPr>
                              </w:pPr>
                              <w:r>
                                <w:rPr>
                                  <w:rFonts w:ascii="Trebuchet MS"/>
                                  <w:color w:val="404040"/>
                                  <w:spacing w:val="-5"/>
                                  <w:sz w:val="18"/>
                                </w:rPr>
                                <w:t>605</w:t>
                              </w:r>
                              <w:r>
                                <w:rPr>
                                  <w:rFonts w:ascii="Trebuchet MS"/>
                                  <w:color w:val="404040"/>
                                  <w:sz w:val="18"/>
                                </w:rPr>
                                <w:tab/>
                              </w:r>
                              <w:r>
                                <w:rPr>
                                  <w:rFonts w:ascii="Trebuchet MS"/>
                                  <w:color w:val="404040"/>
                                  <w:spacing w:val="-2"/>
                                  <w:position w:val="1"/>
                                  <w:sz w:val="18"/>
                                </w:rPr>
                                <w:t>2.111</w:t>
                              </w:r>
                            </w:p>
                          </w:txbxContent>
                        </wps:txbx>
                        <wps:bodyPr wrap="square" lIns="0" tIns="0" rIns="0" bIns="0" rtlCol="0">
                          <a:noAutofit/>
                        </wps:bodyPr>
                      </wps:wsp>
                      <wps:wsp>
                        <wps:cNvPr id="602" name="Textbox 602"/>
                        <wps:cNvSpPr txBox="1"/>
                        <wps:spPr>
                          <a:xfrm>
                            <a:off x="1468374" y="1404738"/>
                            <a:ext cx="288925" cy="139700"/>
                          </a:xfrm>
                          <a:prstGeom prst="rect">
                            <a:avLst/>
                          </a:prstGeom>
                        </wps:spPr>
                        <wps:txbx>
                          <w:txbxContent>
                            <w:p w14:paraId="6CAB26A6" w14:textId="77777777" w:rsidR="000E52B0" w:rsidRDefault="00F60D74">
                              <w:pPr>
                                <w:rPr>
                                  <w:rFonts w:ascii="Trebuchet MS"/>
                                  <w:sz w:val="18"/>
                                </w:rPr>
                              </w:pPr>
                              <w:r>
                                <w:rPr>
                                  <w:rFonts w:ascii="Trebuchet MS"/>
                                  <w:color w:val="404040"/>
                                  <w:spacing w:val="-2"/>
                                  <w:sz w:val="18"/>
                                </w:rPr>
                                <w:t>8.855</w:t>
                              </w:r>
                            </w:p>
                          </w:txbxContent>
                        </wps:txbx>
                        <wps:bodyPr wrap="square" lIns="0" tIns="0" rIns="0" bIns="0" rtlCol="0">
                          <a:noAutofit/>
                        </wps:bodyPr>
                      </wps:wsp>
                      <wps:wsp>
                        <wps:cNvPr id="603" name="Textbox 603"/>
                        <wps:cNvSpPr txBox="1"/>
                        <wps:spPr>
                          <a:xfrm>
                            <a:off x="1893316" y="1329173"/>
                            <a:ext cx="350520" cy="139700"/>
                          </a:xfrm>
                          <a:prstGeom prst="rect">
                            <a:avLst/>
                          </a:prstGeom>
                        </wps:spPr>
                        <wps:txbx>
                          <w:txbxContent>
                            <w:p w14:paraId="19CEB9CF" w14:textId="77777777" w:rsidR="000E52B0" w:rsidRDefault="00F60D74">
                              <w:pPr>
                                <w:rPr>
                                  <w:rFonts w:ascii="Trebuchet MS"/>
                                  <w:sz w:val="18"/>
                                </w:rPr>
                              </w:pPr>
                              <w:r>
                                <w:rPr>
                                  <w:rFonts w:ascii="Trebuchet MS"/>
                                  <w:color w:val="404040"/>
                                  <w:spacing w:val="-2"/>
                                  <w:sz w:val="18"/>
                                </w:rPr>
                                <w:t>33.981</w:t>
                              </w:r>
                            </w:p>
                          </w:txbxContent>
                        </wps:txbx>
                        <wps:bodyPr wrap="square" lIns="0" tIns="0" rIns="0" bIns="0" rtlCol="0">
                          <a:noAutofit/>
                        </wps:bodyPr>
                      </wps:wsp>
                      <wps:wsp>
                        <wps:cNvPr id="604" name="Textbox 604"/>
                        <wps:cNvSpPr txBox="1"/>
                        <wps:spPr>
                          <a:xfrm>
                            <a:off x="2379472" y="1411850"/>
                            <a:ext cx="288925" cy="139700"/>
                          </a:xfrm>
                          <a:prstGeom prst="rect">
                            <a:avLst/>
                          </a:prstGeom>
                        </wps:spPr>
                        <wps:txbx>
                          <w:txbxContent>
                            <w:p w14:paraId="645EA7ED" w14:textId="77777777" w:rsidR="000E52B0" w:rsidRDefault="00F60D74">
                              <w:pPr>
                                <w:rPr>
                                  <w:rFonts w:ascii="Trebuchet MS"/>
                                  <w:sz w:val="18"/>
                                </w:rPr>
                              </w:pPr>
                              <w:r>
                                <w:rPr>
                                  <w:rFonts w:ascii="Trebuchet MS"/>
                                  <w:color w:val="404040"/>
                                  <w:spacing w:val="-2"/>
                                  <w:sz w:val="18"/>
                                </w:rPr>
                                <w:t>6.552</w:t>
                              </w:r>
                            </w:p>
                          </w:txbxContent>
                        </wps:txbx>
                        <wps:bodyPr wrap="square" lIns="0" tIns="0" rIns="0" bIns="0" rtlCol="0">
                          <a:noAutofit/>
                        </wps:bodyPr>
                      </wps:wsp>
                      <wps:wsp>
                        <wps:cNvPr id="605" name="Textbox 605"/>
                        <wps:cNvSpPr txBox="1"/>
                        <wps:spPr>
                          <a:xfrm>
                            <a:off x="2835148" y="1414263"/>
                            <a:ext cx="288925" cy="139700"/>
                          </a:xfrm>
                          <a:prstGeom prst="rect">
                            <a:avLst/>
                          </a:prstGeom>
                        </wps:spPr>
                        <wps:txbx>
                          <w:txbxContent>
                            <w:p w14:paraId="74CD5298" w14:textId="77777777" w:rsidR="000E52B0" w:rsidRDefault="00F60D74">
                              <w:pPr>
                                <w:rPr>
                                  <w:rFonts w:ascii="Trebuchet MS"/>
                                  <w:sz w:val="18"/>
                                </w:rPr>
                              </w:pPr>
                              <w:r>
                                <w:rPr>
                                  <w:rFonts w:ascii="Trebuchet MS"/>
                                  <w:color w:val="404040"/>
                                  <w:spacing w:val="-2"/>
                                  <w:sz w:val="18"/>
                                </w:rPr>
                                <w:t>5.753</w:t>
                              </w:r>
                            </w:p>
                          </w:txbxContent>
                        </wps:txbx>
                        <wps:bodyPr wrap="square" lIns="0" tIns="0" rIns="0" bIns="0" rtlCol="0">
                          <a:noAutofit/>
                        </wps:bodyPr>
                      </wps:wsp>
                      <wps:wsp>
                        <wps:cNvPr id="606" name="Textbox 606"/>
                        <wps:cNvSpPr txBox="1"/>
                        <wps:spPr>
                          <a:xfrm>
                            <a:off x="3260344" y="1374004"/>
                            <a:ext cx="350520" cy="139700"/>
                          </a:xfrm>
                          <a:prstGeom prst="rect">
                            <a:avLst/>
                          </a:prstGeom>
                        </wps:spPr>
                        <wps:txbx>
                          <w:txbxContent>
                            <w:p w14:paraId="3E8B37CF" w14:textId="77777777" w:rsidR="000E52B0" w:rsidRDefault="00F60D74">
                              <w:pPr>
                                <w:rPr>
                                  <w:rFonts w:ascii="Trebuchet MS"/>
                                  <w:sz w:val="18"/>
                                </w:rPr>
                              </w:pPr>
                              <w:r>
                                <w:rPr>
                                  <w:rFonts w:ascii="Trebuchet MS"/>
                                  <w:color w:val="404040"/>
                                  <w:spacing w:val="-2"/>
                                  <w:sz w:val="18"/>
                                </w:rPr>
                                <w:t>19.040</w:t>
                              </w:r>
                            </w:p>
                          </w:txbxContent>
                        </wps:txbx>
                        <wps:bodyPr wrap="square" lIns="0" tIns="0" rIns="0" bIns="0" rtlCol="0">
                          <a:noAutofit/>
                        </wps:bodyPr>
                      </wps:wsp>
                      <wps:wsp>
                        <wps:cNvPr id="607" name="Textbox 607"/>
                        <wps:cNvSpPr txBox="1"/>
                        <wps:spPr>
                          <a:xfrm>
                            <a:off x="3746246" y="1419724"/>
                            <a:ext cx="288925" cy="139700"/>
                          </a:xfrm>
                          <a:prstGeom prst="rect">
                            <a:avLst/>
                          </a:prstGeom>
                        </wps:spPr>
                        <wps:txbx>
                          <w:txbxContent>
                            <w:p w14:paraId="6AED0D30" w14:textId="77777777" w:rsidR="000E52B0" w:rsidRDefault="00F60D74">
                              <w:pPr>
                                <w:rPr>
                                  <w:rFonts w:ascii="Trebuchet MS"/>
                                  <w:sz w:val="18"/>
                                </w:rPr>
                              </w:pPr>
                              <w:r>
                                <w:rPr>
                                  <w:rFonts w:ascii="Trebuchet MS"/>
                                  <w:color w:val="404040"/>
                                  <w:spacing w:val="-2"/>
                                  <w:sz w:val="18"/>
                                </w:rPr>
                                <w:t>3.922</w:t>
                              </w:r>
                            </w:p>
                          </w:txbxContent>
                        </wps:txbx>
                        <wps:bodyPr wrap="square" lIns="0" tIns="0" rIns="0" bIns="0" rtlCol="0">
                          <a:noAutofit/>
                        </wps:bodyPr>
                      </wps:wsp>
                    </wpg:wgp>
                  </a:graphicData>
                </a:graphic>
              </wp:anchor>
            </w:drawing>
          </mc:Choice>
          <mc:Fallback>
            <w:pict>
              <v:group w14:anchorId="6E6B0F36" id="Group 594" o:spid="_x0000_s1373" style="position:absolute;margin-left:83pt;margin-top:5pt;width:430.4pt;height:128.8pt;z-index:-15655424;mso-wrap-distance-left:0;mso-wrap-distance-right:0;mso-position-horizontal-relative:page;mso-position-vertical-relative:text" coordsize="54660,1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">
                <v:shape id="Graphic 595" o:spid="_x0000_s1374" style="position:absolute;left:858;width:52946;height:16281;visibility:visible;mso-wrap-style:square;v-text-anchor:top" coordsize="5294630,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" path="m284988,1626108l,1626108r,1905l284988,1628013r,-1905xem739140,1626108r-283464,l455676,1628013r283464,l739140,1626108xem1194816,1621536r-284988,l909828,1628013r284988,l1194816,1621536xem1650492,1601724r-284988,l1365504,1628013r284988,l1650492,1601724xem2106168,1525524r-284988,l1821180,1628013r284988,l2106168,1525524xem2561844,1607820r-284988,l2276856,1628013r284988,l2561844,1607820xem3017520,1610868r-284988,l2732532,1628013r284988,l3017520,1610868xem3473196,1571244r-284988,l3188208,1628013r284988,l3473196,1571244xem3928872,1616964r-284988,l3643884,1628013r284988,l3928872,1616964xem4384548,1306068r-284988,l4099560,1628013r284988,l4384548,1306068xem4838700,1014984r-283464,l4555236,1628013r283464,l4838700,1014984xem5294376,l5009388,r,1628013l5294376,1628013,5294376,xe" fillcolor="#d54286" stroked="f">
                  <v:path arrowok="t"/>
                </v:shape>
                <v:shape id="Graphic 596" o:spid="_x0000_s1375" style="position:absolute;top:16280;width:54660;height:12;visibility:visible;mso-wrap-style:square;v-text-anchor:top" coordsize="5466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" path="m,l5466080,e" filled="f" strokecolor="#d9d9d9">
                  <v:path arrowok="t"/>
                </v:shape>
                <v:shape id="Graphic 597" o:spid="_x0000_s1376" style="position:absolute;left:6832;top:5078;width:45555;height:11183;visibility:visible;mso-wrap-style:square;v-text-anchor:top" coordsize="4555490,111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" path="m,1118234r455675,-1523l911351,1102994r455676,-47243l1822703,1058799r454152,42671l2732531,1083182r455676,3048l3643884,953642,4099560,653414,4555109,e" filled="f" strokecolor="#78206f" strokeweight="1.5pt">
                  <v:stroke dashstyle="dot"/>
                  <v:path arrowok="t"/>
                </v:shape>
                <v:shape id="Textbox 598" o:spid="_x0000_s1377" type="#_x0000_t202" style="position:absolute;left:45966;top:8183;width:411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605D2A78" w14:textId="77777777" w:rsidR="000E52B0" w:rsidRDefault="00F60D74">
                        <w:pPr>
                          <w:rPr>
                            <w:rFonts w:ascii="Trebuchet MS"/>
                            <w:sz w:val="18"/>
                          </w:rPr>
                        </w:pPr>
                        <w:r>
                          <w:rPr>
                            <w:rFonts w:ascii="Trebuchet MS"/>
                            <w:color w:val="404040"/>
                            <w:spacing w:val="-2"/>
                            <w:sz w:val="18"/>
                          </w:rPr>
                          <w:t>203.385</w:t>
                        </w:r>
                      </w:p>
                    </w:txbxContent>
                  </v:textbox>
                </v:shape>
                <v:shape id="Textbox 599" o:spid="_x0000_s1378" type="#_x0000_t202" style="position:absolute;left:41409;top:11094;width:411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5058EC05" w14:textId="77777777" w:rsidR="000E52B0" w:rsidRDefault="00F60D74">
                        <w:pPr>
                          <w:rPr>
                            <w:rFonts w:ascii="Trebuchet MS"/>
                            <w:sz w:val="18"/>
                          </w:rPr>
                        </w:pPr>
                        <w:r>
                          <w:rPr>
                            <w:rFonts w:ascii="Trebuchet MS"/>
                            <w:color w:val="404040"/>
                            <w:spacing w:val="-2"/>
                            <w:sz w:val="18"/>
                          </w:rPr>
                          <w:t>106.840</w:t>
                        </w:r>
                      </w:p>
                    </w:txbxContent>
                  </v:textbox>
                </v:shape>
                <v:shape id="Textbox 600" o:spid="_x0000_s1379" type="#_x0000_t202" style="position:absolute;left:1471;top:14295;width:195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46D67D4D" w14:textId="77777777" w:rsidR="000E52B0" w:rsidRDefault="00F60D74">
                        <w:pPr>
                          <w:rPr>
                            <w:rFonts w:ascii="Trebuchet MS"/>
                            <w:sz w:val="18"/>
                          </w:rPr>
                        </w:pPr>
                        <w:r>
                          <w:rPr>
                            <w:rFonts w:ascii="Trebuchet MS"/>
                            <w:color w:val="404040"/>
                            <w:spacing w:val="-5"/>
                            <w:sz w:val="18"/>
                          </w:rPr>
                          <w:t>700</w:t>
                        </w:r>
                      </w:p>
                    </w:txbxContent>
                  </v:textbox>
                </v:shape>
                <v:shape id="Textbox 601" o:spid="_x0000_s1380" type="#_x0000_t202" style="position:absolute;left:6027;top:14251;width:6991;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4FCC7DD1" w14:textId="77777777" w:rsidR="000E52B0" w:rsidRDefault="00F60D74">
                        <w:pPr>
                          <w:tabs>
                            <w:tab w:val="left" w:pos="645"/>
                          </w:tabs>
                          <w:spacing w:line="216" w:lineRule="exact"/>
                          <w:rPr>
                            <w:rFonts w:ascii="Trebuchet MS"/>
                            <w:position w:val="1"/>
                            <w:sz w:val="18"/>
                          </w:rPr>
                        </w:pPr>
                        <w:r>
                          <w:rPr>
                            <w:rFonts w:ascii="Trebuchet MS"/>
                            <w:color w:val="404040"/>
                            <w:spacing w:val="-5"/>
                            <w:sz w:val="18"/>
                          </w:rPr>
                          <w:t>605</w:t>
                        </w:r>
                        <w:r>
                          <w:rPr>
                            <w:rFonts w:ascii="Trebuchet MS"/>
                            <w:color w:val="404040"/>
                            <w:sz w:val="18"/>
                          </w:rPr>
                          <w:tab/>
                        </w:r>
                        <w:r>
                          <w:rPr>
                            <w:rFonts w:ascii="Trebuchet MS"/>
                            <w:color w:val="404040"/>
                            <w:spacing w:val="-2"/>
                            <w:position w:val="1"/>
                            <w:sz w:val="18"/>
                          </w:rPr>
                          <w:t>2.111</w:t>
                        </w:r>
                      </w:p>
                    </w:txbxContent>
                  </v:textbox>
                </v:shape>
                <v:shape id="Textbox 602" o:spid="_x0000_s1381" type="#_x0000_t202" style="position:absolute;left:14683;top:14047;width:288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6CAB26A6" w14:textId="77777777" w:rsidR="000E52B0" w:rsidRDefault="00F60D74">
                        <w:pPr>
                          <w:rPr>
                            <w:rFonts w:ascii="Trebuchet MS"/>
                            <w:sz w:val="18"/>
                          </w:rPr>
                        </w:pPr>
                        <w:r>
                          <w:rPr>
                            <w:rFonts w:ascii="Trebuchet MS"/>
                            <w:color w:val="404040"/>
                            <w:spacing w:val="-2"/>
                            <w:sz w:val="18"/>
                          </w:rPr>
                          <w:t>8.855</w:t>
                        </w:r>
                      </w:p>
                    </w:txbxContent>
                  </v:textbox>
                </v:shape>
                <v:shape id="Textbox 603" o:spid="_x0000_s1382" type="#_x0000_t202" style="position:absolute;left:18933;top:13291;width:350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19CEB9CF" w14:textId="77777777" w:rsidR="000E52B0" w:rsidRDefault="00F60D74">
                        <w:pPr>
                          <w:rPr>
                            <w:rFonts w:ascii="Trebuchet MS"/>
                            <w:sz w:val="18"/>
                          </w:rPr>
                        </w:pPr>
                        <w:r>
                          <w:rPr>
                            <w:rFonts w:ascii="Trebuchet MS"/>
                            <w:color w:val="404040"/>
                            <w:spacing w:val="-2"/>
                            <w:sz w:val="18"/>
                          </w:rPr>
                          <w:t>33.981</w:t>
                        </w:r>
                      </w:p>
                    </w:txbxContent>
                  </v:textbox>
                </v:shape>
                <v:shape id="Textbox 604" o:spid="_x0000_s1383" type="#_x0000_t202" style="position:absolute;left:23794;top:14118;width:288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645EA7ED" w14:textId="77777777" w:rsidR="000E52B0" w:rsidRDefault="00F60D74">
                        <w:pPr>
                          <w:rPr>
                            <w:rFonts w:ascii="Trebuchet MS"/>
                            <w:sz w:val="18"/>
                          </w:rPr>
                        </w:pPr>
                        <w:r>
                          <w:rPr>
                            <w:rFonts w:ascii="Trebuchet MS"/>
                            <w:color w:val="404040"/>
                            <w:spacing w:val="-2"/>
                            <w:sz w:val="18"/>
                          </w:rPr>
                          <w:t>6.552</w:t>
                        </w:r>
                      </w:p>
                    </w:txbxContent>
                  </v:textbox>
                </v:shape>
                <v:shape id="Textbox 605" o:spid="_x0000_s1384" type="#_x0000_t202" style="position:absolute;left:28351;top:14142;width:288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74CD5298" w14:textId="77777777" w:rsidR="000E52B0" w:rsidRDefault="00F60D74">
                        <w:pPr>
                          <w:rPr>
                            <w:rFonts w:ascii="Trebuchet MS"/>
                            <w:sz w:val="18"/>
                          </w:rPr>
                        </w:pPr>
                        <w:r>
                          <w:rPr>
                            <w:rFonts w:ascii="Trebuchet MS"/>
                            <w:color w:val="404040"/>
                            <w:spacing w:val="-2"/>
                            <w:sz w:val="18"/>
                          </w:rPr>
                          <w:t>5.753</w:t>
                        </w:r>
                      </w:p>
                    </w:txbxContent>
                  </v:textbox>
                </v:shape>
                <v:shape id="Textbox 606" o:spid="_x0000_s1385" type="#_x0000_t202" style="position:absolute;left:32603;top:13740;width:350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3E8B37CF" w14:textId="77777777" w:rsidR="000E52B0" w:rsidRDefault="00F60D74">
                        <w:pPr>
                          <w:rPr>
                            <w:rFonts w:ascii="Trebuchet MS"/>
                            <w:sz w:val="18"/>
                          </w:rPr>
                        </w:pPr>
                        <w:r>
                          <w:rPr>
                            <w:rFonts w:ascii="Trebuchet MS"/>
                            <w:color w:val="404040"/>
                            <w:spacing w:val="-2"/>
                            <w:sz w:val="18"/>
                          </w:rPr>
                          <w:t>19.040</w:t>
                        </w:r>
                      </w:p>
                    </w:txbxContent>
                  </v:textbox>
                </v:shape>
                <v:shape id="Textbox 607" o:spid="_x0000_s1386" type="#_x0000_t202" style="position:absolute;left:37462;top:14197;width:288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6AED0D30" w14:textId="77777777" w:rsidR="000E52B0" w:rsidRDefault="00F60D74">
                        <w:pPr>
                          <w:rPr>
                            <w:rFonts w:ascii="Trebuchet MS"/>
                            <w:sz w:val="18"/>
                          </w:rPr>
                        </w:pPr>
                        <w:r>
                          <w:rPr>
                            <w:rFonts w:ascii="Trebuchet MS"/>
                            <w:color w:val="404040"/>
                            <w:spacing w:val="-2"/>
                            <w:sz w:val="18"/>
                          </w:rPr>
                          <w:t>3.922</w:t>
                        </w:r>
                      </w:p>
                    </w:txbxContent>
                  </v:textbox>
                </v:shape>
                <w10:wrap type="topAndBottom" anchorx="page"/>
              </v:group>
            </w:pict>
          </mc:Fallback>
        </mc:AlternateContent>
      </w:r>
    </w:p>
    <w:p w14:paraId="636C3F93" w14:textId="77777777" w:rsidR="000E52B0" w:rsidRDefault="00F60D74">
      <w:pPr>
        <w:tabs>
          <w:tab w:val="left" w:pos="740"/>
          <w:tab w:val="left" w:pos="1458"/>
          <w:tab w:val="left" w:pos="2175"/>
          <w:tab w:val="left" w:pos="2893"/>
          <w:tab w:val="left" w:pos="3610"/>
          <w:tab w:val="left" w:pos="4328"/>
          <w:tab w:val="left" w:pos="5045"/>
          <w:tab w:val="left" w:pos="5763"/>
          <w:tab w:val="left" w:pos="6480"/>
          <w:tab w:val="left" w:pos="7197"/>
          <w:tab w:val="left" w:pos="7915"/>
        </w:tabs>
        <w:spacing w:before="101"/>
        <w:ind w:left="23"/>
        <w:jc w:val="center"/>
        <w:rPr>
          <w:rFonts w:ascii="Trebuchet MS"/>
          <w:sz w:val="18"/>
        </w:rPr>
      </w:pPr>
      <w:r>
        <w:rPr>
          <w:rFonts w:ascii="Trebuchet MS"/>
          <w:color w:val="585858"/>
          <w:spacing w:val="-4"/>
          <w:sz w:val="18"/>
        </w:rPr>
        <w:t>2012</w:t>
      </w:r>
      <w:r>
        <w:rPr>
          <w:rFonts w:ascii="Trebuchet MS"/>
          <w:color w:val="585858"/>
          <w:sz w:val="18"/>
        </w:rPr>
        <w:tab/>
      </w:r>
      <w:r>
        <w:rPr>
          <w:rFonts w:ascii="Trebuchet MS"/>
          <w:color w:val="585858"/>
          <w:spacing w:val="-4"/>
          <w:sz w:val="18"/>
        </w:rPr>
        <w:t>2013</w:t>
      </w:r>
      <w:r>
        <w:rPr>
          <w:rFonts w:ascii="Trebuchet MS"/>
          <w:color w:val="585858"/>
          <w:sz w:val="18"/>
        </w:rPr>
        <w:tab/>
      </w:r>
      <w:r>
        <w:rPr>
          <w:rFonts w:ascii="Trebuchet MS"/>
          <w:color w:val="585858"/>
          <w:spacing w:val="-4"/>
          <w:sz w:val="18"/>
        </w:rPr>
        <w:t>2014</w:t>
      </w:r>
      <w:r>
        <w:rPr>
          <w:rFonts w:ascii="Trebuchet MS"/>
          <w:color w:val="585858"/>
          <w:sz w:val="18"/>
        </w:rPr>
        <w:tab/>
      </w:r>
      <w:r>
        <w:rPr>
          <w:rFonts w:ascii="Trebuchet MS"/>
          <w:color w:val="585858"/>
          <w:spacing w:val="-4"/>
          <w:sz w:val="18"/>
        </w:rPr>
        <w:t>2015</w:t>
      </w:r>
      <w:r>
        <w:rPr>
          <w:rFonts w:ascii="Trebuchet MS"/>
          <w:color w:val="585858"/>
          <w:sz w:val="18"/>
        </w:rPr>
        <w:tab/>
      </w:r>
      <w:r>
        <w:rPr>
          <w:rFonts w:ascii="Trebuchet MS"/>
          <w:color w:val="585858"/>
          <w:spacing w:val="-4"/>
          <w:sz w:val="18"/>
        </w:rPr>
        <w:t>2016</w:t>
      </w:r>
      <w:r>
        <w:rPr>
          <w:rFonts w:ascii="Trebuchet MS"/>
          <w:color w:val="585858"/>
          <w:sz w:val="18"/>
        </w:rPr>
        <w:tab/>
      </w:r>
      <w:r>
        <w:rPr>
          <w:rFonts w:ascii="Trebuchet MS"/>
          <w:color w:val="585858"/>
          <w:spacing w:val="-4"/>
          <w:sz w:val="18"/>
        </w:rPr>
        <w:t>2017</w:t>
      </w:r>
      <w:r>
        <w:rPr>
          <w:rFonts w:ascii="Trebuchet MS"/>
          <w:color w:val="585858"/>
          <w:sz w:val="18"/>
        </w:rPr>
        <w:tab/>
      </w:r>
      <w:r>
        <w:rPr>
          <w:rFonts w:ascii="Trebuchet MS"/>
          <w:color w:val="585858"/>
          <w:spacing w:val="-4"/>
          <w:sz w:val="18"/>
        </w:rPr>
        <w:t>2018</w:t>
      </w:r>
      <w:r>
        <w:rPr>
          <w:rFonts w:ascii="Trebuchet MS"/>
          <w:color w:val="585858"/>
          <w:sz w:val="18"/>
        </w:rPr>
        <w:tab/>
      </w:r>
      <w:r>
        <w:rPr>
          <w:rFonts w:ascii="Trebuchet MS"/>
          <w:color w:val="585858"/>
          <w:spacing w:val="-4"/>
          <w:sz w:val="18"/>
        </w:rPr>
        <w:t>2019</w:t>
      </w:r>
      <w:r>
        <w:rPr>
          <w:rFonts w:ascii="Trebuchet MS"/>
          <w:color w:val="585858"/>
          <w:sz w:val="18"/>
        </w:rPr>
        <w:tab/>
      </w:r>
      <w:r>
        <w:rPr>
          <w:rFonts w:ascii="Trebuchet MS"/>
          <w:color w:val="585858"/>
          <w:spacing w:val="-4"/>
          <w:sz w:val="18"/>
        </w:rPr>
        <w:t>2020</w:t>
      </w:r>
      <w:r>
        <w:rPr>
          <w:rFonts w:ascii="Trebuchet MS"/>
          <w:color w:val="585858"/>
          <w:sz w:val="18"/>
        </w:rPr>
        <w:tab/>
      </w:r>
      <w:r>
        <w:rPr>
          <w:rFonts w:ascii="Trebuchet MS"/>
          <w:color w:val="585858"/>
          <w:spacing w:val="-4"/>
          <w:sz w:val="18"/>
        </w:rPr>
        <w:t>2021</w:t>
      </w:r>
      <w:r>
        <w:rPr>
          <w:rFonts w:ascii="Trebuchet MS"/>
          <w:color w:val="585858"/>
          <w:sz w:val="18"/>
        </w:rPr>
        <w:tab/>
      </w:r>
      <w:r>
        <w:rPr>
          <w:rFonts w:ascii="Trebuchet MS"/>
          <w:color w:val="585858"/>
          <w:spacing w:val="-4"/>
          <w:sz w:val="18"/>
        </w:rPr>
        <w:t>2022</w:t>
      </w:r>
      <w:r>
        <w:rPr>
          <w:rFonts w:ascii="Trebuchet MS"/>
          <w:color w:val="585858"/>
          <w:sz w:val="18"/>
        </w:rPr>
        <w:tab/>
      </w:r>
      <w:r>
        <w:rPr>
          <w:rFonts w:ascii="Trebuchet MS"/>
          <w:color w:val="585858"/>
          <w:spacing w:val="-4"/>
          <w:sz w:val="18"/>
        </w:rPr>
        <w:t>2023</w:t>
      </w:r>
    </w:p>
    <w:p w14:paraId="4ACFDCF8" w14:textId="77777777" w:rsidR="000E52B0" w:rsidRDefault="00F60D74">
      <w:pPr>
        <w:spacing w:before="150"/>
        <w:jc w:val="center"/>
        <w:rPr>
          <w:i/>
          <w:sz w:val="18"/>
        </w:rPr>
      </w:pPr>
      <w:r>
        <w:rPr>
          <w:i/>
          <w:color w:val="454551"/>
          <w:sz w:val="18"/>
        </w:rPr>
        <w:t>Fuente</w:t>
      </w:r>
      <w:r>
        <w:rPr>
          <w:i/>
          <w:color w:val="454551"/>
          <w:spacing w:val="-3"/>
          <w:sz w:val="18"/>
        </w:rPr>
        <w:t xml:space="preserve"> </w:t>
      </w:r>
      <w:r>
        <w:rPr>
          <w:i/>
          <w:color w:val="454551"/>
          <w:sz w:val="18"/>
        </w:rPr>
        <w:t>38.</w:t>
      </w:r>
      <w:r>
        <w:rPr>
          <w:i/>
          <w:color w:val="454551"/>
          <w:spacing w:val="-4"/>
          <w:sz w:val="18"/>
        </w:rPr>
        <w:t xml:space="preserve"> </w:t>
      </w:r>
      <w:r>
        <w:rPr>
          <w:i/>
          <w:color w:val="454551"/>
          <w:sz w:val="18"/>
        </w:rPr>
        <w:t>Migración</w:t>
      </w:r>
      <w:r>
        <w:rPr>
          <w:i/>
          <w:color w:val="454551"/>
          <w:spacing w:val="-2"/>
          <w:sz w:val="18"/>
        </w:rPr>
        <w:t xml:space="preserve"> </w:t>
      </w:r>
      <w:r>
        <w:rPr>
          <w:i/>
          <w:color w:val="454551"/>
          <w:sz w:val="18"/>
        </w:rPr>
        <w:t>Colombia.</w:t>
      </w:r>
      <w:r>
        <w:rPr>
          <w:i/>
          <w:color w:val="454551"/>
          <w:spacing w:val="-5"/>
          <w:sz w:val="18"/>
        </w:rPr>
        <w:t xml:space="preserve"> </w:t>
      </w:r>
      <w:r>
        <w:rPr>
          <w:i/>
          <w:color w:val="454551"/>
          <w:sz w:val="18"/>
        </w:rPr>
        <w:t>Diciembre</w:t>
      </w:r>
      <w:r>
        <w:rPr>
          <w:i/>
          <w:color w:val="454551"/>
          <w:spacing w:val="-3"/>
          <w:sz w:val="18"/>
        </w:rPr>
        <w:t xml:space="preserve"> </w:t>
      </w:r>
      <w:r>
        <w:rPr>
          <w:i/>
          <w:color w:val="454551"/>
          <w:sz w:val="18"/>
        </w:rPr>
        <w:t>31</w:t>
      </w:r>
      <w:r>
        <w:rPr>
          <w:i/>
          <w:color w:val="454551"/>
          <w:spacing w:val="-3"/>
          <w:sz w:val="18"/>
        </w:rPr>
        <w:t xml:space="preserve"> </w:t>
      </w:r>
      <w:r>
        <w:rPr>
          <w:i/>
          <w:color w:val="454551"/>
          <w:sz w:val="18"/>
        </w:rPr>
        <w:t>de</w:t>
      </w:r>
      <w:r>
        <w:rPr>
          <w:i/>
          <w:color w:val="454551"/>
          <w:spacing w:val="-3"/>
          <w:sz w:val="18"/>
        </w:rPr>
        <w:t xml:space="preserve"> </w:t>
      </w:r>
      <w:r>
        <w:rPr>
          <w:i/>
          <w:color w:val="454551"/>
          <w:spacing w:val="-2"/>
          <w:sz w:val="18"/>
        </w:rPr>
        <w:t>2023.</w:t>
      </w:r>
    </w:p>
    <w:p w14:paraId="235CE585" w14:textId="77777777" w:rsidR="000E52B0" w:rsidRDefault="000E52B0">
      <w:pPr>
        <w:pStyle w:val="Textoindependiente"/>
        <w:spacing w:before="201"/>
        <w:ind w:left="0"/>
        <w:rPr>
          <w:i/>
          <w:sz w:val="18"/>
        </w:rPr>
      </w:pPr>
    </w:p>
    <w:p w14:paraId="3DDDE779" w14:textId="77777777" w:rsidR="000E52B0" w:rsidRDefault="00F60D74">
      <w:pPr>
        <w:pStyle w:val="Textoindependiente"/>
        <w:ind w:right="719"/>
        <w:jc w:val="both"/>
      </w:pPr>
      <w:r>
        <w:t xml:space="preserve">Por otra parte, según el informe de Human </w:t>
      </w:r>
      <w:proofErr w:type="spellStart"/>
      <w:r>
        <w:t>Rights</w:t>
      </w:r>
      <w:proofErr w:type="spellEnd"/>
      <w:r>
        <w:t xml:space="preserve"> </w:t>
      </w:r>
      <w:proofErr w:type="spellStart"/>
      <w:r>
        <w:t>Watch</w:t>
      </w:r>
      <w:proofErr w:type="spellEnd"/>
      <w:r>
        <w:t xml:space="preserve"> (2023) en 2010, Panamá registró 2.500 personas que habían atravesado la región del Darién, aumentando a más de 30.000 entre 2015 y 2016, principalmente provenientes de Haití, Cuba, seguidos de otras nacionalidades de Asia y África. En el año 2021, luego de un decrecimiento por la pandemia COVID 19, más de 130.000 migrantes atravesaron la frontera, provenientes principalmente de Haití y Cuba. En 2022, el número aumentó a 250.000 personas</w:t>
      </w:r>
      <w:r>
        <w:rPr>
          <w:spacing w:val="-22"/>
        </w:rPr>
        <w:t xml:space="preserve"> </w:t>
      </w:r>
      <w:r>
        <w:t>provenientes</w:t>
      </w:r>
      <w:r>
        <w:rPr>
          <w:spacing w:val="-21"/>
        </w:rPr>
        <w:t xml:space="preserve"> </w:t>
      </w:r>
      <w:r>
        <w:t>principalmente</w:t>
      </w:r>
      <w:r>
        <w:rPr>
          <w:spacing w:val="-21"/>
        </w:rPr>
        <w:t xml:space="preserve"> </w:t>
      </w:r>
      <w:r>
        <w:t>de</w:t>
      </w:r>
      <w:r>
        <w:rPr>
          <w:spacing w:val="-21"/>
        </w:rPr>
        <w:t xml:space="preserve"> </w:t>
      </w:r>
      <w:r>
        <w:t>Venezuela</w:t>
      </w:r>
      <w:r>
        <w:rPr>
          <w:spacing w:val="-21"/>
        </w:rPr>
        <w:t xml:space="preserve"> </w:t>
      </w:r>
      <w:r>
        <w:t>y</w:t>
      </w:r>
      <w:r>
        <w:rPr>
          <w:spacing w:val="-21"/>
        </w:rPr>
        <w:t xml:space="preserve"> </w:t>
      </w:r>
      <w:r>
        <w:t>Ecuador.</w:t>
      </w:r>
      <w:r>
        <w:rPr>
          <w:spacing w:val="-21"/>
        </w:rPr>
        <w:t xml:space="preserve"> </w:t>
      </w:r>
      <w:r>
        <w:t>Finalmente, entre enero y octubre de 2023, se reportaron más de 457.000 personas que atravesaron la frontera (HRW, 2023). Adicionalmente, algunos migrantes que, según reporta Migración Colombia, con cifras un poco más marginales (alrededor 500 personas al año) intentan cruzar hacia el norte del continente, vía marítima por San Andrés.</w:t>
      </w:r>
    </w:p>
    <w:p w14:paraId="0505E3BA" w14:textId="77777777" w:rsidR="000E52B0" w:rsidRDefault="00F60D74">
      <w:pPr>
        <w:pStyle w:val="Textoindependiente"/>
        <w:spacing w:before="161"/>
        <w:ind w:right="717"/>
        <w:jc w:val="both"/>
      </w:pPr>
      <w:r>
        <w:t>El</w:t>
      </w:r>
      <w:r>
        <w:rPr>
          <w:spacing w:val="-18"/>
        </w:rPr>
        <w:t xml:space="preserve"> </w:t>
      </w:r>
      <w:r>
        <w:t>aumento</w:t>
      </w:r>
      <w:r>
        <w:rPr>
          <w:spacing w:val="-16"/>
        </w:rPr>
        <w:t xml:space="preserve"> </w:t>
      </w:r>
      <w:r>
        <w:t>de</w:t>
      </w:r>
      <w:r>
        <w:rPr>
          <w:spacing w:val="-16"/>
        </w:rPr>
        <w:t xml:space="preserve"> </w:t>
      </w:r>
      <w:r>
        <w:t>este</w:t>
      </w:r>
      <w:r>
        <w:rPr>
          <w:spacing w:val="-16"/>
        </w:rPr>
        <w:t xml:space="preserve"> </w:t>
      </w:r>
      <w:r>
        <w:t>tipo</w:t>
      </w:r>
      <w:r>
        <w:rPr>
          <w:spacing w:val="-16"/>
        </w:rPr>
        <w:t xml:space="preserve"> </w:t>
      </w:r>
      <w:r>
        <w:t>de</w:t>
      </w:r>
      <w:r>
        <w:rPr>
          <w:spacing w:val="-16"/>
        </w:rPr>
        <w:t xml:space="preserve"> </w:t>
      </w:r>
      <w:r>
        <w:t>migración,</w:t>
      </w:r>
      <w:r>
        <w:rPr>
          <w:spacing w:val="-18"/>
        </w:rPr>
        <w:t xml:space="preserve"> </w:t>
      </w:r>
      <w:r>
        <w:t>aunado</w:t>
      </w:r>
      <w:r>
        <w:rPr>
          <w:spacing w:val="-16"/>
        </w:rPr>
        <w:t xml:space="preserve"> </w:t>
      </w:r>
      <w:r>
        <w:t>a</w:t>
      </w:r>
      <w:r>
        <w:rPr>
          <w:spacing w:val="-17"/>
        </w:rPr>
        <w:t xml:space="preserve"> </w:t>
      </w:r>
      <w:r>
        <w:t>las</w:t>
      </w:r>
      <w:r>
        <w:rPr>
          <w:spacing w:val="-17"/>
        </w:rPr>
        <w:t xml:space="preserve"> </w:t>
      </w:r>
      <w:r>
        <w:t>condiciones</w:t>
      </w:r>
      <w:r>
        <w:rPr>
          <w:spacing w:val="-17"/>
        </w:rPr>
        <w:t xml:space="preserve"> </w:t>
      </w:r>
      <w:r>
        <w:t>geográficas y</w:t>
      </w:r>
      <w:r>
        <w:rPr>
          <w:spacing w:val="28"/>
        </w:rPr>
        <w:t xml:space="preserve"> </w:t>
      </w:r>
      <w:r>
        <w:t>la</w:t>
      </w:r>
      <w:r>
        <w:rPr>
          <w:spacing w:val="30"/>
        </w:rPr>
        <w:t xml:space="preserve"> </w:t>
      </w:r>
      <w:r>
        <w:t>situación</w:t>
      </w:r>
      <w:r>
        <w:rPr>
          <w:spacing w:val="33"/>
        </w:rPr>
        <w:t xml:space="preserve"> </w:t>
      </w:r>
      <w:r>
        <w:t>humanitaria</w:t>
      </w:r>
      <w:r>
        <w:rPr>
          <w:spacing w:val="33"/>
        </w:rPr>
        <w:t xml:space="preserve"> </w:t>
      </w:r>
      <w:r>
        <w:t>en</w:t>
      </w:r>
      <w:r>
        <w:rPr>
          <w:spacing w:val="30"/>
        </w:rPr>
        <w:t xml:space="preserve"> </w:t>
      </w:r>
      <w:r>
        <w:t>la</w:t>
      </w:r>
      <w:r>
        <w:rPr>
          <w:spacing w:val="33"/>
        </w:rPr>
        <w:t xml:space="preserve"> </w:t>
      </w:r>
      <w:r>
        <w:t>que</w:t>
      </w:r>
      <w:r>
        <w:rPr>
          <w:spacing w:val="34"/>
        </w:rPr>
        <w:t xml:space="preserve"> </w:t>
      </w:r>
      <w:r>
        <w:t>se</w:t>
      </w:r>
      <w:r>
        <w:rPr>
          <w:spacing w:val="31"/>
        </w:rPr>
        <w:t xml:space="preserve"> </w:t>
      </w:r>
      <w:r>
        <w:t>encuentran,</w:t>
      </w:r>
      <w:r>
        <w:rPr>
          <w:spacing w:val="30"/>
        </w:rPr>
        <w:t xml:space="preserve"> </w:t>
      </w:r>
      <w:r>
        <w:t>deben</w:t>
      </w:r>
      <w:r>
        <w:rPr>
          <w:spacing w:val="35"/>
        </w:rPr>
        <w:t xml:space="preserve"> </w:t>
      </w:r>
      <w:r>
        <w:t>enfrentar</w:t>
      </w:r>
      <w:r>
        <w:rPr>
          <w:spacing w:val="32"/>
        </w:rPr>
        <w:t xml:space="preserve"> </w:t>
      </w:r>
      <w:r>
        <w:rPr>
          <w:spacing w:val="-5"/>
        </w:rPr>
        <w:t>las</w:t>
      </w:r>
    </w:p>
    <w:p w14:paraId="4DFE1715" w14:textId="77777777" w:rsidR="000E52B0" w:rsidRDefault="00F60D74">
      <w:pPr>
        <w:pStyle w:val="Textoindependiente"/>
        <w:spacing w:before="80"/>
        <w:ind w:left="0"/>
        <w:rPr>
          <w:sz w:val="20"/>
        </w:rPr>
      </w:pPr>
      <w:r>
        <w:rPr>
          <w:noProof/>
          <w:sz w:val="20"/>
        </w:rPr>
        <mc:AlternateContent>
          <mc:Choice Requires="wps">
            <w:drawing>
              <wp:anchor distT="0" distB="0" distL="0" distR="0" simplePos="0" relativeHeight="487661568" behindDoc="1" locked="0" layoutInCell="1" allowOverlap="1" wp14:anchorId="7CD514E6" wp14:editId="158FC02E">
                <wp:simplePos x="0" y="0"/>
                <wp:positionH relativeFrom="page">
                  <wp:posOffset>914704</wp:posOffset>
                </wp:positionH>
                <wp:positionV relativeFrom="paragraph">
                  <wp:posOffset>220600</wp:posOffset>
                </wp:positionV>
                <wp:extent cx="1829435" cy="7620"/>
                <wp:effectExtent l="0" t="0" r="0" b="0"/>
                <wp:wrapTopAndBottom/>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54B772" id="Graphic 608" o:spid="_x0000_s1026" style="position:absolute;margin-left:1in;margin-top:17.35pt;width:144.05pt;height:.6pt;z-index:-156549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" path="m1829054,l,,,7619r1829054,l1829054,xe" fillcolor="black" stroked="f">
                <v:path arrowok="t"/>
                <w10:wrap type="topAndBottom" anchorx="page"/>
              </v:shape>
            </w:pict>
          </mc:Fallback>
        </mc:AlternateContent>
      </w:r>
    </w:p>
    <w:p w14:paraId="27C86988" w14:textId="77777777" w:rsidR="000E52B0" w:rsidRDefault="00F60D74">
      <w:pPr>
        <w:spacing w:before="96"/>
        <w:ind w:left="720" w:right="713"/>
        <w:rPr>
          <w:rFonts w:ascii="Arial MT"/>
          <w:sz w:val="18"/>
        </w:rPr>
      </w:pPr>
      <w:bookmarkStart w:id="91" w:name="_bookmark91"/>
      <w:bookmarkEnd w:id="91"/>
      <w:r>
        <w:rPr>
          <w:rFonts w:ascii="Arial MT"/>
          <w:position w:val="6"/>
          <w:sz w:val="12"/>
        </w:rPr>
        <w:t>78</w:t>
      </w:r>
      <w:r>
        <w:rPr>
          <w:rFonts w:ascii="Arial MT"/>
          <w:spacing w:val="-2"/>
          <w:position w:val="6"/>
          <w:sz w:val="12"/>
        </w:rPr>
        <w:t xml:space="preserve"> </w:t>
      </w:r>
      <w:hyperlink r:id="rId208">
        <w:r w:rsidR="000E52B0">
          <w:rPr>
            <w:rFonts w:ascii="Arial MT"/>
            <w:color w:val="E22C91"/>
            <w:sz w:val="18"/>
            <w:u w:val="single" w:color="E22C91"/>
          </w:rPr>
          <w:t>https://unidad-administrativa-especial-migracion-colombia.micolombiadigital.gov.co/sites/unidad-administrativa-</w:t>
        </w:r>
      </w:hyperlink>
      <w:r>
        <w:rPr>
          <w:rFonts w:ascii="Arial MT"/>
          <w:color w:val="E22C91"/>
          <w:sz w:val="18"/>
        </w:rPr>
        <w:t xml:space="preserve"> </w:t>
      </w:r>
      <w:hyperlink r:id="rId209">
        <w:r w:rsidR="000E52B0">
          <w:rPr>
            <w:rFonts w:ascii="Arial MT"/>
            <w:color w:val="E22C91"/>
            <w:spacing w:val="-2"/>
            <w:sz w:val="18"/>
            <w:u w:val="single" w:color="E22C91"/>
          </w:rPr>
          <w:t>especial-migracion-colombia/content/files/001127/56345_mit-31-dic.pdf</w:t>
        </w:r>
      </w:hyperlink>
    </w:p>
    <w:p w14:paraId="4E854545" w14:textId="77777777" w:rsidR="000E52B0" w:rsidRDefault="000E52B0">
      <w:pPr>
        <w:rPr>
          <w:rFonts w:ascii="Arial MT"/>
          <w:sz w:val="18"/>
        </w:rPr>
        <w:sectPr w:rsidR="000E52B0">
          <w:pgSz w:w="11910" w:h="16840"/>
          <w:pgMar w:top="1340" w:right="720" w:bottom="1180" w:left="720" w:header="0" w:footer="995" w:gutter="0"/>
          <w:cols w:space="720"/>
        </w:sectPr>
      </w:pPr>
    </w:p>
    <w:p w14:paraId="69BF511D" w14:textId="77777777" w:rsidR="000E52B0" w:rsidRDefault="00F60D74">
      <w:pPr>
        <w:pStyle w:val="Textoindependiente"/>
        <w:spacing w:before="83"/>
        <w:ind w:right="717"/>
        <w:jc w:val="both"/>
      </w:pPr>
      <w:r>
        <w:lastRenderedPageBreak/>
        <w:t>personas migrantes han hecho que la situación sea más crítica para la población y la capacidad de respuesta más limitada. Las y los migrantes que usan estas rutas son están expuestas a diversos riesgos como la explotación sexual, trabajo forzado, matrimonios forzados, violencia sexual,</w:t>
      </w:r>
      <w:r>
        <w:rPr>
          <w:spacing w:val="-11"/>
        </w:rPr>
        <w:t xml:space="preserve"> </w:t>
      </w:r>
      <w:r>
        <w:t>sexo</w:t>
      </w:r>
      <w:r>
        <w:rPr>
          <w:spacing w:val="-9"/>
        </w:rPr>
        <w:t xml:space="preserve"> </w:t>
      </w:r>
      <w:r>
        <w:t>por</w:t>
      </w:r>
      <w:r>
        <w:rPr>
          <w:spacing w:val="-9"/>
        </w:rPr>
        <w:t xml:space="preserve"> </w:t>
      </w:r>
      <w:r>
        <w:t>supervivencia</w:t>
      </w:r>
      <w:r>
        <w:rPr>
          <w:spacing w:val="-10"/>
        </w:rPr>
        <w:t xml:space="preserve"> </w:t>
      </w:r>
      <w:r>
        <w:t>y</w:t>
      </w:r>
      <w:r>
        <w:rPr>
          <w:spacing w:val="-10"/>
        </w:rPr>
        <w:t xml:space="preserve"> </w:t>
      </w:r>
      <w:r>
        <w:t>tráfico</w:t>
      </w:r>
      <w:r>
        <w:rPr>
          <w:spacing w:val="-7"/>
        </w:rPr>
        <w:t xml:space="preserve"> </w:t>
      </w:r>
      <w:r>
        <w:t>de</w:t>
      </w:r>
      <w:r>
        <w:rPr>
          <w:spacing w:val="-9"/>
        </w:rPr>
        <w:t xml:space="preserve"> </w:t>
      </w:r>
      <w:r>
        <w:t>migrantes.</w:t>
      </w:r>
      <w:r>
        <w:rPr>
          <w:spacing w:val="-11"/>
        </w:rPr>
        <w:t xml:space="preserve"> </w:t>
      </w:r>
      <w:r>
        <w:t>Esto</w:t>
      </w:r>
      <w:r>
        <w:rPr>
          <w:spacing w:val="-7"/>
        </w:rPr>
        <w:t xml:space="preserve"> </w:t>
      </w:r>
      <w:r>
        <w:t>en</w:t>
      </w:r>
      <w:r>
        <w:rPr>
          <w:spacing w:val="-10"/>
        </w:rPr>
        <w:t xml:space="preserve"> </w:t>
      </w:r>
      <w:r>
        <w:t>razón,</w:t>
      </w:r>
      <w:r>
        <w:rPr>
          <w:spacing w:val="-11"/>
        </w:rPr>
        <w:t xml:space="preserve"> </w:t>
      </w:r>
      <w:r>
        <w:t>entre otros factores, a que la región del Darién posee una complicada situación por cuenta de los grupos al margen de la ley.</w:t>
      </w:r>
    </w:p>
    <w:p w14:paraId="6B97B8B3" w14:textId="77777777" w:rsidR="000E52B0" w:rsidRDefault="00F60D74">
      <w:pPr>
        <w:pStyle w:val="Textoindependiente"/>
        <w:spacing w:before="159"/>
        <w:ind w:right="715"/>
        <w:jc w:val="both"/>
      </w:pPr>
      <w:r>
        <w:t>Respecto</w:t>
      </w:r>
      <w:r>
        <w:rPr>
          <w:spacing w:val="-11"/>
        </w:rPr>
        <w:t xml:space="preserve"> </w:t>
      </w:r>
      <w:r>
        <w:t>a</w:t>
      </w:r>
      <w:r>
        <w:rPr>
          <w:spacing w:val="-11"/>
        </w:rPr>
        <w:t xml:space="preserve"> </w:t>
      </w:r>
      <w:r>
        <w:t>la</w:t>
      </w:r>
      <w:r>
        <w:rPr>
          <w:spacing w:val="-12"/>
        </w:rPr>
        <w:t xml:space="preserve"> </w:t>
      </w:r>
      <w:r>
        <w:t>situación</w:t>
      </w:r>
      <w:r>
        <w:rPr>
          <w:spacing w:val="-12"/>
        </w:rPr>
        <w:t xml:space="preserve"> </w:t>
      </w:r>
      <w:r>
        <w:t>de</w:t>
      </w:r>
      <w:r>
        <w:rPr>
          <w:spacing w:val="-10"/>
        </w:rPr>
        <w:t xml:space="preserve"> </w:t>
      </w:r>
      <w:r>
        <w:t>protección</w:t>
      </w:r>
      <w:r>
        <w:rPr>
          <w:spacing w:val="-12"/>
        </w:rPr>
        <w:t xml:space="preserve"> </w:t>
      </w:r>
      <w:r>
        <w:t>en</w:t>
      </w:r>
      <w:r>
        <w:rPr>
          <w:spacing w:val="-13"/>
        </w:rPr>
        <w:t xml:space="preserve"> </w:t>
      </w:r>
      <w:r>
        <w:t>las</w:t>
      </w:r>
      <w:r>
        <w:rPr>
          <w:spacing w:val="-11"/>
        </w:rPr>
        <w:t xml:space="preserve"> </w:t>
      </w:r>
      <w:r>
        <w:t>rutas</w:t>
      </w:r>
      <w:r>
        <w:rPr>
          <w:spacing w:val="-12"/>
        </w:rPr>
        <w:t xml:space="preserve"> </w:t>
      </w:r>
      <w:r>
        <w:t>de</w:t>
      </w:r>
      <w:r>
        <w:rPr>
          <w:spacing w:val="-10"/>
        </w:rPr>
        <w:t xml:space="preserve"> </w:t>
      </w:r>
      <w:r>
        <w:t>tránsito,</w:t>
      </w:r>
      <w:r>
        <w:rPr>
          <w:spacing w:val="-12"/>
        </w:rPr>
        <w:t xml:space="preserve"> </w:t>
      </w:r>
      <w:r>
        <w:t>la</w:t>
      </w:r>
      <w:r>
        <w:rPr>
          <w:spacing w:val="-12"/>
        </w:rPr>
        <w:t xml:space="preserve"> </w:t>
      </w:r>
      <w:r>
        <w:t>Defensoría del Pueblo (2023) ha destacado que la violencia sexual y violencias de género contra niñas y mujeres migrantes por parte de grupos armados y otros actores en el Darién, es alarmante. Advirtió sobre los riesgos que corren las mujeres y las niñas, especialmente en relación con violencias sexuales, reclutamiento, desaparición y trata de personas. Esto tiene impactos en la salud física y mental de las niñas y mujeres, así como de sus familias y conlleva a otras vulneraciones a futuro que tienen impactos sociales de género agravados. La Organización Caribe Afirmativo también ha</w:t>
      </w:r>
      <w:r>
        <w:rPr>
          <w:spacing w:val="-7"/>
        </w:rPr>
        <w:t xml:space="preserve"> </w:t>
      </w:r>
      <w:r>
        <w:t>identificado</w:t>
      </w:r>
      <w:r>
        <w:rPr>
          <w:spacing w:val="-7"/>
        </w:rPr>
        <w:t xml:space="preserve"> </w:t>
      </w:r>
      <w:r>
        <w:t>la</w:t>
      </w:r>
      <w:r>
        <w:rPr>
          <w:spacing w:val="-8"/>
        </w:rPr>
        <w:t xml:space="preserve"> </w:t>
      </w:r>
      <w:r>
        <w:t>alta</w:t>
      </w:r>
      <w:r>
        <w:rPr>
          <w:spacing w:val="-7"/>
        </w:rPr>
        <w:t xml:space="preserve"> </w:t>
      </w:r>
      <w:r>
        <w:t>vulnerabilidad</w:t>
      </w:r>
      <w:r>
        <w:rPr>
          <w:spacing w:val="-8"/>
        </w:rPr>
        <w:t xml:space="preserve"> </w:t>
      </w:r>
      <w:r>
        <w:t>de</w:t>
      </w:r>
      <w:r>
        <w:rPr>
          <w:spacing w:val="-6"/>
        </w:rPr>
        <w:t xml:space="preserve"> </w:t>
      </w:r>
      <w:r>
        <w:t>población</w:t>
      </w:r>
      <w:r>
        <w:rPr>
          <w:spacing w:val="-8"/>
        </w:rPr>
        <w:t xml:space="preserve"> </w:t>
      </w:r>
      <w:r>
        <w:t>LGBTIQ+</w:t>
      </w:r>
      <w:r>
        <w:rPr>
          <w:spacing w:val="-8"/>
        </w:rPr>
        <w:t xml:space="preserve"> </w:t>
      </w:r>
      <w:r>
        <w:t>en</w:t>
      </w:r>
      <w:r>
        <w:rPr>
          <w:spacing w:val="-8"/>
        </w:rPr>
        <w:t xml:space="preserve"> </w:t>
      </w:r>
      <w:r>
        <w:t>estas</w:t>
      </w:r>
      <w:r>
        <w:rPr>
          <w:spacing w:val="-8"/>
        </w:rPr>
        <w:t xml:space="preserve"> </w:t>
      </w:r>
      <w:r>
        <w:t>rutas, frente a diferentes riesgos y vulneraciones de sus derechos humanos.</w:t>
      </w:r>
    </w:p>
    <w:p w14:paraId="36958BD6" w14:textId="77777777" w:rsidR="000E52B0" w:rsidRDefault="00F60D74">
      <w:pPr>
        <w:pStyle w:val="Textoindependiente"/>
        <w:spacing w:before="159"/>
        <w:ind w:right="718"/>
        <w:jc w:val="both"/>
      </w:pPr>
      <w:r>
        <w:t>Entre la población migrante principalmente proveniente de Venezuela, de los 1.032 grupos</w:t>
      </w:r>
      <w:r>
        <w:rPr>
          <w:spacing w:val="-1"/>
        </w:rPr>
        <w:t xml:space="preserve"> </w:t>
      </w:r>
      <w:r>
        <w:t>de</w:t>
      </w:r>
      <w:r>
        <w:rPr>
          <w:spacing w:val="-2"/>
        </w:rPr>
        <w:t xml:space="preserve"> </w:t>
      </w:r>
      <w:r>
        <w:t>viaje entrevistados para la</w:t>
      </w:r>
      <w:r>
        <w:rPr>
          <w:spacing w:val="-1"/>
        </w:rPr>
        <w:t xml:space="preserve"> </w:t>
      </w:r>
      <w:r>
        <w:t>evaluación de necesidades para la población en tránsito, el 32% tienen al menos una niña y/o niño entre los 6 y 17 años y el 28% identificó al menos un riesgo asociado a violencias de género y el 15% de los grupos indicó haber conocido algún niño, niña o adolescente expuesto a alguno de los riesgos mencionados</w:t>
      </w:r>
      <w:hyperlink w:anchor="_bookmark92" w:history="1">
        <w:r w:rsidR="000E52B0">
          <w:rPr>
            <w:position w:val="8"/>
            <w:sz w:val="16"/>
          </w:rPr>
          <w:t>79</w:t>
        </w:r>
      </w:hyperlink>
      <w:r>
        <w:t>.</w:t>
      </w:r>
    </w:p>
    <w:p w14:paraId="22225E4C" w14:textId="77777777" w:rsidR="000E52B0" w:rsidRDefault="00F60D74">
      <w:pPr>
        <w:pStyle w:val="Textoindependiente"/>
        <w:spacing w:before="161"/>
        <w:ind w:right="715"/>
        <w:jc w:val="both"/>
      </w:pPr>
      <w:r>
        <w:t>Esta población con vocación de permanencia se configura en un desafío importante a atender, no solamente desde la política de acogida, sino pasados 8 años desde el comienzo de los movimientos masivos de migrantes</w:t>
      </w:r>
      <w:r>
        <w:rPr>
          <w:spacing w:val="-4"/>
        </w:rPr>
        <w:t xml:space="preserve"> </w:t>
      </w:r>
      <w:r>
        <w:t>venezolanos</w:t>
      </w:r>
      <w:r>
        <w:rPr>
          <w:spacing w:val="-7"/>
        </w:rPr>
        <w:t xml:space="preserve"> </w:t>
      </w:r>
      <w:r>
        <w:t>en</w:t>
      </w:r>
      <w:r>
        <w:rPr>
          <w:spacing w:val="-7"/>
        </w:rPr>
        <w:t xml:space="preserve"> </w:t>
      </w:r>
      <w:r>
        <w:t>la</w:t>
      </w:r>
      <w:r>
        <w:rPr>
          <w:spacing w:val="-7"/>
        </w:rPr>
        <w:t xml:space="preserve"> </w:t>
      </w:r>
      <w:r>
        <w:t>región,</w:t>
      </w:r>
      <w:r>
        <w:rPr>
          <w:spacing w:val="-7"/>
        </w:rPr>
        <w:t xml:space="preserve"> </w:t>
      </w:r>
      <w:r>
        <w:t>en</w:t>
      </w:r>
      <w:r>
        <w:rPr>
          <w:spacing w:val="-5"/>
        </w:rPr>
        <w:t xml:space="preserve"> </w:t>
      </w:r>
      <w:r>
        <w:t>una</w:t>
      </w:r>
      <w:r>
        <w:rPr>
          <w:spacing w:val="-6"/>
        </w:rPr>
        <w:t xml:space="preserve"> </w:t>
      </w:r>
      <w:r>
        <w:t>apuesta</w:t>
      </w:r>
      <w:r>
        <w:rPr>
          <w:spacing w:val="-3"/>
        </w:rPr>
        <w:t xml:space="preserve"> </w:t>
      </w:r>
      <w:r>
        <w:t>por</w:t>
      </w:r>
      <w:r>
        <w:rPr>
          <w:spacing w:val="-5"/>
        </w:rPr>
        <w:t xml:space="preserve"> </w:t>
      </w:r>
      <w:r>
        <w:t>la</w:t>
      </w:r>
      <w:r>
        <w:rPr>
          <w:spacing w:val="-4"/>
        </w:rPr>
        <w:t xml:space="preserve"> </w:t>
      </w:r>
      <w:r>
        <w:t>integración</w:t>
      </w:r>
      <w:r>
        <w:rPr>
          <w:spacing w:val="-4"/>
        </w:rPr>
        <w:t xml:space="preserve"> </w:t>
      </w:r>
      <w:r>
        <w:t>y</w:t>
      </w:r>
      <w:r>
        <w:rPr>
          <w:spacing w:val="-7"/>
        </w:rPr>
        <w:t xml:space="preserve"> </w:t>
      </w:r>
      <w:r>
        <w:t>la cohesión social. Todo lo anterior, en atención a que la migración no se ha detenido, y finalizadas muchas de las etapas y ventanas de oportunidad para acceder a los procesos de regularización migratoria, aún hay un número importante de personas que se encuentran en estatus irregular y que, dada su condición, tienen mayores dificultades para acceder a servicios y unos niveles mayores de vulneración de sus derechos.</w:t>
      </w:r>
    </w:p>
    <w:p w14:paraId="1B883D03" w14:textId="77777777" w:rsidR="000E52B0" w:rsidRDefault="00F60D74">
      <w:pPr>
        <w:pStyle w:val="Textoindependiente"/>
        <w:spacing w:before="161"/>
        <w:ind w:right="715"/>
        <w:jc w:val="both"/>
      </w:pPr>
      <w:r>
        <w:t>Respecto a las barreras de orden cultural, que superan la respuesta institucional y que se responden a los sistemas de opresión y la operación de estos a través de violencias, la discriminación y la violencia contra la población migrante empobrecida es una de las principales barreras para acceder a bienes, servicios y espacios para tener una vida digna. De acuerdo con el barómetro de xenofobia, entre Colombia, Ecuador y Perú, Colombia</w:t>
      </w:r>
      <w:r>
        <w:rPr>
          <w:spacing w:val="14"/>
        </w:rPr>
        <w:t xml:space="preserve"> </w:t>
      </w:r>
      <w:r>
        <w:t>tiene</w:t>
      </w:r>
      <w:r>
        <w:rPr>
          <w:spacing w:val="18"/>
        </w:rPr>
        <w:t xml:space="preserve"> </w:t>
      </w:r>
      <w:r>
        <w:t>la</w:t>
      </w:r>
      <w:r>
        <w:rPr>
          <w:spacing w:val="16"/>
        </w:rPr>
        <w:t xml:space="preserve"> </w:t>
      </w:r>
      <w:r>
        <w:t>tasa</w:t>
      </w:r>
      <w:r>
        <w:rPr>
          <w:spacing w:val="16"/>
        </w:rPr>
        <w:t xml:space="preserve"> </w:t>
      </w:r>
      <w:r>
        <w:t>más</w:t>
      </w:r>
      <w:r>
        <w:rPr>
          <w:spacing w:val="17"/>
        </w:rPr>
        <w:t xml:space="preserve"> </w:t>
      </w:r>
      <w:r>
        <w:t>alta</w:t>
      </w:r>
      <w:r>
        <w:rPr>
          <w:spacing w:val="17"/>
        </w:rPr>
        <w:t xml:space="preserve"> </w:t>
      </w:r>
      <w:r>
        <w:t>de</w:t>
      </w:r>
      <w:r>
        <w:rPr>
          <w:spacing w:val="18"/>
        </w:rPr>
        <w:t xml:space="preserve"> </w:t>
      </w:r>
      <w:r>
        <w:t>xenofobia</w:t>
      </w:r>
      <w:hyperlink w:anchor="_bookmark93" w:history="1">
        <w:r w:rsidR="000E52B0">
          <w:rPr>
            <w:position w:val="8"/>
            <w:sz w:val="16"/>
          </w:rPr>
          <w:t>80</w:t>
        </w:r>
      </w:hyperlink>
      <w:r>
        <w:rPr>
          <w:spacing w:val="46"/>
          <w:position w:val="8"/>
          <w:sz w:val="16"/>
        </w:rPr>
        <w:t xml:space="preserve"> </w:t>
      </w:r>
      <w:r>
        <w:t>(28,37),</w:t>
      </w:r>
      <w:r>
        <w:rPr>
          <w:spacing w:val="16"/>
        </w:rPr>
        <w:t xml:space="preserve"> </w:t>
      </w:r>
      <w:r>
        <w:t>pues</w:t>
      </w:r>
      <w:r>
        <w:rPr>
          <w:spacing w:val="17"/>
        </w:rPr>
        <w:t xml:space="preserve"> </w:t>
      </w:r>
      <w:r>
        <w:t>en</w:t>
      </w:r>
      <w:r>
        <w:rPr>
          <w:spacing w:val="17"/>
        </w:rPr>
        <w:t xml:space="preserve"> </w:t>
      </w:r>
      <w:r>
        <w:rPr>
          <w:spacing w:val="-2"/>
        </w:rPr>
        <w:t>Ecuador</w:t>
      </w:r>
    </w:p>
    <w:p w14:paraId="549966CB" w14:textId="77777777" w:rsidR="000E52B0" w:rsidRDefault="00F60D74">
      <w:pPr>
        <w:pStyle w:val="Textoindependiente"/>
        <w:spacing w:before="6"/>
        <w:ind w:left="0"/>
        <w:rPr>
          <w:sz w:val="15"/>
        </w:rPr>
      </w:pPr>
      <w:r>
        <w:rPr>
          <w:noProof/>
          <w:sz w:val="15"/>
        </w:rPr>
        <mc:AlternateContent>
          <mc:Choice Requires="wps">
            <w:drawing>
              <wp:anchor distT="0" distB="0" distL="0" distR="0" simplePos="0" relativeHeight="487662080" behindDoc="1" locked="0" layoutInCell="1" allowOverlap="1" wp14:anchorId="46CC6BAB" wp14:editId="2B4B597C">
                <wp:simplePos x="0" y="0"/>
                <wp:positionH relativeFrom="page">
                  <wp:posOffset>914704</wp:posOffset>
                </wp:positionH>
                <wp:positionV relativeFrom="paragraph">
                  <wp:posOffset>135212</wp:posOffset>
                </wp:positionV>
                <wp:extent cx="1829435" cy="7620"/>
                <wp:effectExtent l="0" t="0" r="0" b="0"/>
                <wp:wrapTopAndBottom/>
                <wp:docPr id="609" name="Graphic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28F3E3" id="Graphic 609" o:spid="_x0000_s1026" style="position:absolute;margin-left:1in;margin-top:10.65pt;width:144.05pt;height:.6pt;z-index:-156544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" path="m1829054,l,,,7619r1829054,l1829054,xe" fillcolor="black" stroked="f">
                <v:path arrowok="t"/>
                <w10:wrap type="topAndBottom" anchorx="page"/>
              </v:shape>
            </w:pict>
          </mc:Fallback>
        </mc:AlternateContent>
      </w:r>
    </w:p>
    <w:p w14:paraId="1C095742" w14:textId="77777777" w:rsidR="000E52B0" w:rsidRDefault="00F60D74">
      <w:pPr>
        <w:spacing w:before="96"/>
        <w:ind w:left="720" w:right="710"/>
        <w:jc w:val="both"/>
        <w:rPr>
          <w:rFonts w:ascii="Arial MT" w:hAnsi="Arial MT"/>
          <w:sz w:val="18"/>
        </w:rPr>
      </w:pPr>
      <w:bookmarkStart w:id="92" w:name="_bookmark92"/>
      <w:bookmarkEnd w:id="92"/>
      <w:r>
        <w:rPr>
          <w:rFonts w:ascii="Arial MT" w:hAnsi="Arial MT"/>
          <w:position w:val="6"/>
          <w:sz w:val="12"/>
        </w:rPr>
        <w:t>79</w:t>
      </w:r>
      <w:r>
        <w:rPr>
          <w:rFonts w:ascii="Arial MT" w:hAnsi="Arial MT"/>
          <w:spacing w:val="40"/>
          <w:position w:val="6"/>
          <w:sz w:val="12"/>
        </w:rPr>
        <w:t xml:space="preserve"> </w:t>
      </w:r>
      <w:proofErr w:type="gramStart"/>
      <w:r>
        <w:rPr>
          <w:rFonts w:ascii="Arial MT" w:hAnsi="Arial MT"/>
          <w:sz w:val="18"/>
        </w:rPr>
        <w:t>Grupo</w:t>
      </w:r>
      <w:proofErr w:type="gramEnd"/>
      <w:r>
        <w:rPr>
          <w:rFonts w:ascii="Arial MT" w:hAnsi="Arial MT"/>
          <w:sz w:val="18"/>
        </w:rPr>
        <w:t xml:space="preserve"> </w:t>
      </w:r>
      <w:proofErr w:type="spellStart"/>
      <w:r>
        <w:rPr>
          <w:rFonts w:ascii="Arial MT" w:hAnsi="Arial MT"/>
          <w:sz w:val="18"/>
        </w:rPr>
        <w:t>Interagencial</w:t>
      </w:r>
      <w:proofErr w:type="spellEnd"/>
      <w:r>
        <w:rPr>
          <w:rFonts w:ascii="Arial MT" w:hAnsi="Arial MT"/>
          <w:sz w:val="18"/>
        </w:rPr>
        <w:t xml:space="preserve"> sobre Flujos Migratorios Mixtos (GIFMM) Colombia. (2023b). Evaluación conjunta de necesidades</w:t>
      </w:r>
      <w:r>
        <w:rPr>
          <w:rFonts w:ascii="Arial MT" w:hAnsi="Arial MT"/>
          <w:spacing w:val="-13"/>
          <w:sz w:val="18"/>
        </w:rPr>
        <w:t xml:space="preserve"> </w:t>
      </w:r>
      <w:r>
        <w:rPr>
          <w:rFonts w:ascii="Arial MT" w:hAnsi="Arial MT"/>
          <w:sz w:val="18"/>
        </w:rPr>
        <w:t>para</w:t>
      </w:r>
      <w:r>
        <w:rPr>
          <w:rFonts w:ascii="Arial MT" w:hAnsi="Arial MT"/>
          <w:spacing w:val="-12"/>
          <w:sz w:val="18"/>
        </w:rPr>
        <w:t xml:space="preserve"> </w:t>
      </w:r>
      <w:r>
        <w:rPr>
          <w:rFonts w:ascii="Arial MT" w:hAnsi="Arial MT"/>
          <w:sz w:val="18"/>
        </w:rPr>
        <w:t>población</w:t>
      </w:r>
      <w:r>
        <w:rPr>
          <w:rFonts w:ascii="Arial MT" w:hAnsi="Arial MT"/>
          <w:spacing w:val="-13"/>
          <w:sz w:val="18"/>
        </w:rPr>
        <w:t xml:space="preserve"> </w:t>
      </w:r>
      <w:r>
        <w:rPr>
          <w:rFonts w:ascii="Arial MT" w:hAnsi="Arial MT"/>
          <w:sz w:val="18"/>
        </w:rPr>
        <w:t>en</w:t>
      </w:r>
      <w:r>
        <w:rPr>
          <w:rFonts w:ascii="Arial MT" w:hAnsi="Arial MT"/>
          <w:spacing w:val="-12"/>
          <w:sz w:val="18"/>
        </w:rPr>
        <w:t xml:space="preserve"> </w:t>
      </w:r>
      <w:r>
        <w:rPr>
          <w:rFonts w:ascii="Arial MT" w:hAnsi="Arial MT"/>
          <w:sz w:val="18"/>
        </w:rPr>
        <w:t>tránsito</w:t>
      </w:r>
      <w:r>
        <w:rPr>
          <w:rFonts w:ascii="Arial MT" w:hAnsi="Arial MT"/>
          <w:spacing w:val="-9"/>
          <w:sz w:val="18"/>
        </w:rPr>
        <w:t xml:space="preserve"> </w:t>
      </w:r>
      <w:r>
        <w:rPr>
          <w:rFonts w:ascii="Arial MT" w:hAnsi="Arial MT"/>
          <w:sz w:val="18"/>
        </w:rPr>
        <w:t>-</w:t>
      </w:r>
      <w:r>
        <w:rPr>
          <w:rFonts w:ascii="Arial MT" w:hAnsi="Arial MT"/>
          <w:spacing w:val="-13"/>
          <w:sz w:val="18"/>
        </w:rPr>
        <w:t xml:space="preserve"> </w:t>
      </w:r>
      <w:r>
        <w:rPr>
          <w:rFonts w:ascii="Arial MT" w:hAnsi="Arial MT"/>
          <w:sz w:val="18"/>
        </w:rPr>
        <w:t>2023.</w:t>
      </w:r>
      <w:r>
        <w:rPr>
          <w:rFonts w:ascii="Arial MT" w:hAnsi="Arial MT"/>
          <w:spacing w:val="-12"/>
          <w:sz w:val="18"/>
        </w:rPr>
        <w:t xml:space="preserve"> </w:t>
      </w:r>
      <w:r>
        <w:rPr>
          <w:rFonts w:ascii="Arial MT" w:hAnsi="Arial MT"/>
          <w:sz w:val="18"/>
        </w:rPr>
        <w:t>Recuperado</w:t>
      </w:r>
      <w:r>
        <w:rPr>
          <w:rFonts w:ascii="Arial MT" w:hAnsi="Arial MT"/>
          <w:spacing w:val="-13"/>
          <w:sz w:val="18"/>
        </w:rPr>
        <w:t xml:space="preserve"> </w:t>
      </w:r>
      <w:r>
        <w:rPr>
          <w:rFonts w:ascii="Arial MT" w:hAnsi="Arial MT"/>
          <w:sz w:val="18"/>
        </w:rPr>
        <w:t>de</w:t>
      </w:r>
      <w:r>
        <w:rPr>
          <w:rFonts w:ascii="Arial MT" w:hAnsi="Arial MT"/>
          <w:spacing w:val="-10"/>
          <w:sz w:val="18"/>
        </w:rPr>
        <w:t xml:space="preserve"> </w:t>
      </w:r>
      <w:hyperlink r:id="rId210">
        <w:r w:rsidR="000E52B0">
          <w:rPr>
            <w:rFonts w:ascii="Arial MT" w:hAnsi="Arial MT"/>
            <w:color w:val="E22C91"/>
            <w:sz w:val="18"/>
            <w:u w:val="single" w:color="E22C91"/>
          </w:rPr>
          <w:t>https://www.r4v.info/es/document/gifmm-colombia-</w:t>
        </w:r>
      </w:hyperlink>
      <w:r>
        <w:rPr>
          <w:rFonts w:ascii="Arial MT" w:hAnsi="Arial MT"/>
          <w:color w:val="E22C91"/>
          <w:sz w:val="18"/>
        </w:rPr>
        <w:t xml:space="preserve"> </w:t>
      </w:r>
      <w:hyperlink r:id="rId211">
        <w:r w:rsidR="000E52B0">
          <w:rPr>
            <w:rFonts w:ascii="Arial MT" w:hAnsi="Arial MT"/>
            <w:color w:val="E22C91"/>
            <w:spacing w:val="-2"/>
            <w:sz w:val="18"/>
            <w:u w:val="single" w:color="E22C91"/>
          </w:rPr>
          <w:t>evaluacion-conjunta-de-necesidades-para-poblacion-en-transito-2023</w:t>
        </w:r>
      </w:hyperlink>
    </w:p>
    <w:p w14:paraId="2D654CD4" w14:textId="77777777" w:rsidR="000E52B0" w:rsidRDefault="00F60D74">
      <w:pPr>
        <w:spacing w:line="242" w:lineRule="auto"/>
        <w:ind w:left="720" w:right="724"/>
        <w:jc w:val="both"/>
        <w:rPr>
          <w:rFonts w:ascii="Arial MT" w:hAnsi="Arial MT"/>
          <w:sz w:val="18"/>
        </w:rPr>
      </w:pPr>
      <w:bookmarkStart w:id="93" w:name="_bookmark93"/>
      <w:bookmarkEnd w:id="93"/>
      <w:r>
        <w:rPr>
          <w:rFonts w:ascii="Arial MT" w:hAnsi="Arial MT"/>
          <w:position w:val="6"/>
          <w:sz w:val="12"/>
        </w:rPr>
        <w:t>80</w:t>
      </w:r>
      <w:r>
        <w:rPr>
          <w:rFonts w:ascii="Arial MT" w:hAnsi="Arial MT"/>
          <w:spacing w:val="15"/>
          <w:position w:val="6"/>
          <w:sz w:val="12"/>
        </w:rPr>
        <w:t xml:space="preserve"> </w:t>
      </w:r>
      <w:proofErr w:type="gramStart"/>
      <w:r>
        <w:rPr>
          <w:rFonts w:ascii="Arial MT" w:hAnsi="Arial MT"/>
          <w:sz w:val="18"/>
        </w:rPr>
        <w:t>Tasa</w:t>
      </w:r>
      <w:proofErr w:type="gramEnd"/>
      <w:r>
        <w:rPr>
          <w:rFonts w:ascii="Arial MT" w:hAnsi="Arial MT"/>
          <w:spacing w:val="-2"/>
          <w:sz w:val="18"/>
        </w:rPr>
        <w:t xml:space="preserve"> </w:t>
      </w:r>
      <w:r>
        <w:rPr>
          <w:rFonts w:ascii="Arial MT" w:hAnsi="Arial MT"/>
          <w:sz w:val="18"/>
        </w:rPr>
        <w:t>de</w:t>
      </w:r>
      <w:r>
        <w:rPr>
          <w:rFonts w:ascii="Arial MT" w:hAnsi="Arial MT"/>
          <w:spacing w:val="-4"/>
          <w:sz w:val="18"/>
        </w:rPr>
        <w:t xml:space="preserve"> </w:t>
      </w:r>
      <w:r>
        <w:rPr>
          <w:rFonts w:ascii="Arial MT" w:hAnsi="Arial MT"/>
          <w:sz w:val="18"/>
        </w:rPr>
        <w:t>xenofobia:</w:t>
      </w:r>
      <w:r>
        <w:rPr>
          <w:rFonts w:ascii="Arial MT" w:hAnsi="Arial MT"/>
          <w:spacing w:val="-4"/>
          <w:sz w:val="18"/>
        </w:rPr>
        <w:t xml:space="preserve"> </w:t>
      </w:r>
      <w:r>
        <w:rPr>
          <w:rFonts w:ascii="Arial MT" w:hAnsi="Arial MT"/>
          <w:sz w:val="18"/>
        </w:rPr>
        <w:t>Indicador</w:t>
      </w:r>
      <w:r>
        <w:rPr>
          <w:rFonts w:ascii="Arial MT" w:hAnsi="Arial MT"/>
          <w:spacing w:val="-4"/>
          <w:sz w:val="18"/>
        </w:rPr>
        <w:t xml:space="preserve"> </w:t>
      </w:r>
      <w:r>
        <w:rPr>
          <w:rFonts w:ascii="Arial MT" w:hAnsi="Arial MT"/>
          <w:sz w:val="18"/>
        </w:rPr>
        <w:t>construido</w:t>
      </w:r>
      <w:r>
        <w:rPr>
          <w:rFonts w:ascii="Arial MT" w:hAnsi="Arial MT"/>
          <w:spacing w:val="-4"/>
          <w:sz w:val="18"/>
        </w:rPr>
        <w:t xml:space="preserve"> </w:t>
      </w:r>
      <w:r>
        <w:rPr>
          <w:rFonts w:ascii="Arial MT" w:hAnsi="Arial MT"/>
          <w:sz w:val="18"/>
        </w:rPr>
        <w:t>a</w:t>
      </w:r>
      <w:r>
        <w:rPr>
          <w:rFonts w:ascii="Arial MT" w:hAnsi="Arial MT"/>
          <w:spacing w:val="-2"/>
          <w:sz w:val="18"/>
        </w:rPr>
        <w:t xml:space="preserve"> </w:t>
      </w:r>
      <w:r>
        <w:rPr>
          <w:rFonts w:ascii="Arial MT" w:hAnsi="Arial MT"/>
          <w:sz w:val="18"/>
        </w:rPr>
        <w:t>partir</w:t>
      </w:r>
      <w:r>
        <w:rPr>
          <w:rFonts w:ascii="Arial MT" w:hAnsi="Arial MT"/>
          <w:spacing w:val="-5"/>
          <w:sz w:val="18"/>
        </w:rPr>
        <w:t xml:space="preserve"> </w:t>
      </w:r>
      <w:r>
        <w:rPr>
          <w:rFonts w:ascii="Arial MT" w:hAnsi="Arial MT"/>
          <w:sz w:val="18"/>
        </w:rPr>
        <w:t>del</w:t>
      </w:r>
      <w:r>
        <w:rPr>
          <w:rFonts w:ascii="Arial MT" w:hAnsi="Arial MT"/>
          <w:spacing w:val="-4"/>
          <w:sz w:val="18"/>
        </w:rPr>
        <w:t xml:space="preserve"> </w:t>
      </w:r>
      <w:r>
        <w:rPr>
          <w:rFonts w:ascii="Arial MT" w:hAnsi="Arial MT"/>
          <w:sz w:val="18"/>
        </w:rPr>
        <w:t>cociente</w:t>
      </w:r>
      <w:r>
        <w:rPr>
          <w:rFonts w:ascii="Arial MT" w:hAnsi="Arial MT"/>
          <w:spacing w:val="-4"/>
          <w:sz w:val="18"/>
        </w:rPr>
        <w:t xml:space="preserve"> </w:t>
      </w:r>
      <w:r>
        <w:rPr>
          <w:rFonts w:ascii="Arial MT" w:hAnsi="Arial MT"/>
          <w:sz w:val="18"/>
        </w:rPr>
        <w:t>entre</w:t>
      </w:r>
      <w:r>
        <w:rPr>
          <w:rFonts w:ascii="Arial MT" w:hAnsi="Arial MT"/>
          <w:spacing w:val="-2"/>
          <w:sz w:val="18"/>
        </w:rPr>
        <w:t xml:space="preserve"> </w:t>
      </w:r>
      <w:r>
        <w:rPr>
          <w:rFonts w:ascii="Arial MT" w:hAnsi="Arial MT"/>
          <w:sz w:val="18"/>
        </w:rPr>
        <w:t>el</w:t>
      </w:r>
      <w:r>
        <w:rPr>
          <w:rFonts w:ascii="Arial MT" w:hAnsi="Arial MT"/>
          <w:spacing w:val="-2"/>
          <w:sz w:val="18"/>
        </w:rPr>
        <w:t xml:space="preserve"> </w:t>
      </w:r>
      <w:r>
        <w:rPr>
          <w:rFonts w:ascii="Arial MT" w:hAnsi="Arial MT"/>
          <w:sz w:val="18"/>
        </w:rPr>
        <w:t>total</w:t>
      </w:r>
      <w:r>
        <w:rPr>
          <w:rFonts w:ascii="Arial MT" w:hAnsi="Arial MT"/>
          <w:spacing w:val="-4"/>
          <w:sz w:val="18"/>
        </w:rPr>
        <w:t xml:space="preserve"> </w:t>
      </w:r>
      <w:r>
        <w:rPr>
          <w:rFonts w:ascii="Arial MT" w:hAnsi="Arial MT"/>
          <w:sz w:val="18"/>
        </w:rPr>
        <w:t>de</w:t>
      </w:r>
      <w:r>
        <w:rPr>
          <w:rFonts w:ascii="Arial MT" w:hAnsi="Arial MT"/>
          <w:spacing w:val="-4"/>
          <w:sz w:val="18"/>
        </w:rPr>
        <w:t xml:space="preserve"> </w:t>
      </w:r>
      <w:r>
        <w:rPr>
          <w:rFonts w:ascii="Arial MT" w:hAnsi="Arial MT"/>
          <w:sz w:val="18"/>
        </w:rPr>
        <w:t>publicaciones</w:t>
      </w:r>
      <w:r>
        <w:rPr>
          <w:rFonts w:ascii="Arial MT" w:hAnsi="Arial MT"/>
          <w:spacing w:val="-4"/>
          <w:sz w:val="18"/>
        </w:rPr>
        <w:t xml:space="preserve"> </w:t>
      </w:r>
      <w:r>
        <w:rPr>
          <w:rFonts w:ascii="Arial MT" w:hAnsi="Arial MT"/>
          <w:sz w:val="18"/>
        </w:rPr>
        <w:t>xenófobas</w:t>
      </w:r>
      <w:r>
        <w:rPr>
          <w:rFonts w:ascii="Arial MT" w:hAnsi="Arial MT"/>
          <w:spacing w:val="-4"/>
          <w:sz w:val="18"/>
        </w:rPr>
        <w:t xml:space="preserve"> </w:t>
      </w:r>
      <w:r>
        <w:rPr>
          <w:rFonts w:ascii="Arial MT" w:hAnsi="Arial MT"/>
          <w:sz w:val="18"/>
        </w:rPr>
        <w:t>y</w:t>
      </w:r>
      <w:r>
        <w:rPr>
          <w:rFonts w:ascii="Arial MT" w:hAnsi="Arial MT"/>
          <w:spacing w:val="-3"/>
          <w:sz w:val="18"/>
        </w:rPr>
        <w:t xml:space="preserve"> </w:t>
      </w:r>
      <w:r>
        <w:rPr>
          <w:rFonts w:ascii="Arial MT" w:hAnsi="Arial MT"/>
          <w:sz w:val="18"/>
        </w:rPr>
        <w:t>el</w:t>
      </w:r>
      <w:r>
        <w:rPr>
          <w:rFonts w:ascii="Arial MT" w:hAnsi="Arial MT"/>
          <w:spacing w:val="-4"/>
          <w:sz w:val="18"/>
        </w:rPr>
        <w:t xml:space="preserve"> </w:t>
      </w:r>
      <w:r>
        <w:rPr>
          <w:rFonts w:ascii="Arial MT" w:hAnsi="Arial MT"/>
          <w:sz w:val="18"/>
        </w:rPr>
        <w:t>total de publicaciones sobre personas migrantes y refugiadas venezolanas en cada país.</w:t>
      </w:r>
    </w:p>
    <w:p w14:paraId="2241304B" w14:textId="77777777" w:rsidR="000E52B0" w:rsidRDefault="000E52B0">
      <w:pPr>
        <w:spacing w:line="242" w:lineRule="auto"/>
        <w:jc w:val="both"/>
        <w:rPr>
          <w:rFonts w:ascii="Arial MT" w:hAnsi="Arial MT"/>
          <w:sz w:val="18"/>
        </w:rPr>
        <w:sectPr w:rsidR="000E52B0">
          <w:pgSz w:w="11910" w:h="16840"/>
          <w:pgMar w:top="1340" w:right="720" w:bottom="1180" w:left="720" w:header="0" w:footer="995" w:gutter="0"/>
          <w:cols w:space="720"/>
        </w:sectPr>
      </w:pPr>
    </w:p>
    <w:p w14:paraId="39E66777" w14:textId="77777777" w:rsidR="000E52B0" w:rsidRDefault="00F60D74">
      <w:pPr>
        <w:pStyle w:val="Textoindependiente"/>
        <w:spacing w:before="83"/>
        <w:ind w:right="723"/>
        <w:jc w:val="both"/>
      </w:pPr>
      <w:r>
        <w:lastRenderedPageBreak/>
        <w:t>(18,21) y Perú (9,11) las expresiones discriminatorias hacia la población venezolana en redes sociales son mucho menores. (Barómetro de xenofobia, 2024).</w:t>
      </w:r>
    </w:p>
    <w:p w14:paraId="571C1F3D" w14:textId="77777777" w:rsidR="000E52B0" w:rsidRDefault="00F60D74">
      <w:pPr>
        <w:spacing w:before="157"/>
        <w:ind w:left="4661" w:right="723" w:hanging="3380"/>
        <w:rPr>
          <w:i/>
          <w:sz w:val="18"/>
        </w:rPr>
      </w:pPr>
      <w:r>
        <w:rPr>
          <w:i/>
          <w:color w:val="454551"/>
          <w:sz w:val="18"/>
        </w:rPr>
        <w:t>Ilustración</w:t>
      </w:r>
      <w:r>
        <w:rPr>
          <w:i/>
          <w:color w:val="454551"/>
          <w:spacing w:val="-1"/>
          <w:sz w:val="18"/>
        </w:rPr>
        <w:t xml:space="preserve"> </w:t>
      </w:r>
      <w:r>
        <w:rPr>
          <w:i/>
          <w:color w:val="454551"/>
          <w:sz w:val="18"/>
        </w:rPr>
        <w:t>51.</w:t>
      </w:r>
      <w:r>
        <w:rPr>
          <w:i/>
          <w:color w:val="454551"/>
          <w:spacing w:val="-4"/>
          <w:sz w:val="18"/>
        </w:rPr>
        <w:t xml:space="preserve"> </w:t>
      </w:r>
      <w:r>
        <w:rPr>
          <w:i/>
          <w:color w:val="454551"/>
          <w:sz w:val="18"/>
        </w:rPr>
        <w:t>Porcentaje</w:t>
      </w:r>
      <w:r>
        <w:rPr>
          <w:i/>
          <w:color w:val="454551"/>
          <w:spacing w:val="-3"/>
          <w:sz w:val="18"/>
        </w:rPr>
        <w:t xml:space="preserve"> </w:t>
      </w:r>
      <w:r>
        <w:rPr>
          <w:i/>
          <w:color w:val="454551"/>
          <w:sz w:val="18"/>
        </w:rPr>
        <w:t>de</w:t>
      </w:r>
      <w:r>
        <w:rPr>
          <w:i/>
          <w:color w:val="454551"/>
          <w:spacing w:val="-3"/>
          <w:sz w:val="18"/>
        </w:rPr>
        <w:t xml:space="preserve"> </w:t>
      </w:r>
      <w:r>
        <w:rPr>
          <w:i/>
          <w:color w:val="454551"/>
          <w:sz w:val="18"/>
        </w:rPr>
        <w:t>personas</w:t>
      </w:r>
      <w:r>
        <w:rPr>
          <w:i/>
          <w:color w:val="454551"/>
          <w:spacing w:val="-4"/>
          <w:sz w:val="18"/>
        </w:rPr>
        <w:t xml:space="preserve"> </w:t>
      </w:r>
      <w:r>
        <w:rPr>
          <w:i/>
          <w:color w:val="454551"/>
          <w:sz w:val="18"/>
        </w:rPr>
        <w:t>que</w:t>
      </w:r>
      <w:r>
        <w:rPr>
          <w:i/>
          <w:color w:val="454551"/>
          <w:spacing w:val="-3"/>
          <w:sz w:val="18"/>
        </w:rPr>
        <w:t xml:space="preserve"> </w:t>
      </w:r>
      <w:r>
        <w:rPr>
          <w:i/>
          <w:color w:val="454551"/>
          <w:sz w:val="18"/>
        </w:rPr>
        <w:t>durante</w:t>
      </w:r>
      <w:r>
        <w:rPr>
          <w:i/>
          <w:color w:val="454551"/>
          <w:spacing w:val="-3"/>
          <w:sz w:val="18"/>
        </w:rPr>
        <w:t xml:space="preserve"> </w:t>
      </w:r>
      <w:r>
        <w:rPr>
          <w:i/>
          <w:color w:val="454551"/>
          <w:sz w:val="18"/>
        </w:rPr>
        <w:t>los</w:t>
      </w:r>
      <w:r>
        <w:rPr>
          <w:i/>
          <w:color w:val="454551"/>
          <w:spacing w:val="-3"/>
          <w:sz w:val="18"/>
        </w:rPr>
        <w:t xml:space="preserve"> </w:t>
      </w:r>
      <w:r>
        <w:rPr>
          <w:i/>
          <w:color w:val="454551"/>
          <w:sz w:val="18"/>
        </w:rPr>
        <w:t>últimos</w:t>
      </w:r>
      <w:r>
        <w:rPr>
          <w:i/>
          <w:color w:val="454551"/>
          <w:spacing w:val="-3"/>
          <w:sz w:val="18"/>
        </w:rPr>
        <w:t xml:space="preserve"> </w:t>
      </w:r>
      <w:r>
        <w:rPr>
          <w:i/>
          <w:color w:val="454551"/>
          <w:sz w:val="18"/>
        </w:rPr>
        <w:t>12</w:t>
      </w:r>
      <w:r>
        <w:rPr>
          <w:i/>
          <w:color w:val="454551"/>
          <w:spacing w:val="-3"/>
          <w:sz w:val="18"/>
        </w:rPr>
        <w:t xml:space="preserve"> </w:t>
      </w:r>
      <w:r>
        <w:rPr>
          <w:i/>
          <w:color w:val="454551"/>
          <w:sz w:val="18"/>
        </w:rPr>
        <w:t>meses</w:t>
      </w:r>
      <w:r>
        <w:rPr>
          <w:i/>
          <w:color w:val="454551"/>
          <w:spacing w:val="-3"/>
          <w:sz w:val="18"/>
        </w:rPr>
        <w:t xml:space="preserve"> </w:t>
      </w:r>
      <w:r>
        <w:rPr>
          <w:i/>
          <w:color w:val="454551"/>
          <w:sz w:val="18"/>
        </w:rPr>
        <w:t>se</w:t>
      </w:r>
      <w:r>
        <w:rPr>
          <w:i/>
          <w:color w:val="454551"/>
          <w:spacing w:val="-2"/>
          <w:sz w:val="18"/>
        </w:rPr>
        <w:t xml:space="preserve"> </w:t>
      </w:r>
      <w:r>
        <w:rPr>
          <w:i/>
          <w:color w:val="454551"/>
          <w:sz w:val="18"/>
        </w:rPr>
        <w:t>ha</w:t>
      </w:r>
      <w:r>
        <w:rPr>
          <w:i/>
          <w:color w:val="454551"/>
          <w:spacing w:val="-6"/>
          <w:sz w:val="18"/>
        </w:rPr>
        <w:t xml:space="preserve"> </w:t>
      </w:r>
      <w:r>
        <w:rPr>
          <w:i/>
          <w:color w:val="454551"/>
          <w:sz w:val="18"/>
        </w:rPr>
        <w:t xml:space="preserve">sentido </w:t>
      </w:r>
      <w:r>
        <w:rPr>
          <w:i/>
          <w:color w:val="454551"/>
          <w:spacing w:val="-2"/>
          <w:sz w:val="18"/>
        </w:rPr>
        <w:t>discriminado</w:t>
      </w:r>
    </w:p>
    <w:p w14:paraId="6CE74D49" w14:textId="77777777" w:rsidR="000E52B0" w:rsidRDefault="000E52B0">
      <w:pPr>
        <w:pStyle w:val="Textoindependiente"/>
        <w:spacing w:before="69"/>
        <w:ind w:left="0"/>
        <w:rPr>
          <w:i/>
          <w:sz w:val="18"/>
        </w:rPr>
      </w:pPr>
    </w:p>
    <w:p w14:paraId="008CD977" w14:textId="77777777" w:rsidR="000E52B0" w:rsidRDefault="00F60D74">
      <w:pPr>
        <w:spacing w:before="1"/>
        <w:ind w:left="298"/>
        <w:jc w:val="center"/>
        <w:rPr>
          <w:rFonts w:ascii="Trebuchet MS"/>
          <w:sz w:val="18"/>
        </w:rPr>
      </w:pPr>
      <w:r>
        <w:rPr>
          <w:rFonts w:ascii="Trebuchet MS"/>
          <w:color w:val="404040"/>
          <w:spacing w:val="-2"/>
          <w:w w:val="105"/>
          <w:sz w:val="18"/>
        </w:rPr>
        <w:t>43,5%</w:t>
      </w:r>
    </w:p>
    <w:p w14:paraId="367F6C18" w14:textId="77777777" w:rsidR="000E52B0" w:rsidRDefault="00F60D74">
      <w:pPr>
        <w:pStyle w:val="Textoindependiente"/>
        <w:spacing w:before="8"/>
        <w:ind w:left="0"/>
        <w:rPr>
          <w:rFonts w:ascii="Trebuchet MS"/>
          <w:sz w:val="6"/>
        </w:rPr>
      </w:pPr>
      <w:r>
        <w:rPr>
          <w:rFonts w:ascii="Trebuchet MS"/>
          <w:noProof/>
          <w:sz w:val="6"/>
        </w:rPr>
        <mc:AlternateContent>
          <mc:Choice Requires="wpg">
            <w:drawing>
              <wp:anchor distT="0" distB="0" distL="0" distR="0" simplePos="0" relativeHeight="487662592" behindDoc="1" locked="0" layoutInCell="1" allowOverlap="1" wp14:anchorId="04B4C623" wp14:editId="2621E942">
                <wp:simplePos x="0" y="0"/>
                <wp:positionH relativeFrom="page">
                  <wp:posOffset>1054100</wp:posOffset>
                </wp:positionH>
                <wp:positionV relativeFrom="paragraph">
                  <wp:posOffset>65073</wp:posOffset>
                </wp:positionV>
                <wp:extent cx="5335905" cy="753110"/>
                <wp:effectExtent l="0" t="0" r="0" b="0"/>
                <wp:wrapTopAndBottom/>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5905" cy="753110"/>
                          <a:chOff x="0" y="0"/>
                          <a:chExt cx="5335905" cy="753110"/>
                        </a:xfrm>
                      </wpg:grpSpPr>
                      <wps:wsp>
                        <wps:cNvPr id="611" name="Graphic 611"/>
                        <wps:cNvSpPr/>
                        <wps:spPr>
                          <a:xfrm>
                            <a:off x="262636" y="675131"/>
                            <a:ext cx="4508500" cy="73025"/>
                          </a:xfrm>
                          <a:custGeom>
                            <a:avLst/>
                            <a:gdLst/>
                            <a:ahLst/>
                            <a:cxnLst/>
                            <a:rect l="l" t="t" r="r" b="b"/>
                            <a:pathLst>
                              <a:path w="4508500" h="73025">
                                <a:moveTo>
                                  <a:pt x="239268" y="59436"/>
                                </a:moveTo>
                                <a:lnTo>
                                  <a:pt x="0" y="59436"/>
                                </a:lnTo>
                                <a:lnTo>
                                  <a:pt x="0" y="72771"/>
                                </a:lnTo>
                                <a:lnTo>
                                  <a:pt x="239268" y="72771"/>
                                </a:lnTo>
                                <a:lnTo>
                                  <a:pt x="239268" y="59436"/>
                                </a:lnTo>
                                <a:close/>
                              </a:path>
                              <a:path w="4508500" h="73025">
                                <a:moveTo>
                                  <a:pt x="1306068" y="0"/>
                                </a:moveTo>
                                <a:lnTo>
                                  <a:pt x="1066800" y="0"/>
                                </a:lnTo>
                                <a:lnTo>
                                  <a:pt x="1066800" y="72771"/>
                                </a:lnTo>
                                <a:lnTo>
                                  <a:pt x="1306068" y="72771"/>
                                </a:lnTo>
                                <a:lnTo>
                                  <a:pt x="1306068" y="0"/>
                                </a:lnTo>
                                <a:close/>
                              </a:path>
                              <a:path w="4508500" h="73025">
                                <a:moveTo>
                                  <a:pt x="2372868" y="57912"/>
                                </a:moveTo>
                                <a:lnTo>
                                  <a:pt x="2133600" y="57912"/>
                                </a:lnTo>
                                <a:lnTo>
                                  <a:pt x="2133600" y="72771"/>
                                </a:lnTo>
                                <a:lnTo>
                                  <a:pt x="2372868" y="72771"/>
                                </a:lnTo>
                                <a:lnTo>
                                  <a:pt x="2372868" y="57912"/>
                                </a:lnTo>
                                <a:close/>
                              </a:path>
                              <a:path w="4508500" h="73025">
                                <a:moveTo>
                                  <a:pt x="3439668" y="15240"/>
                                </a:moveTo>
                                <a:lnTo>
                                  <a:pt x="3200400" y="15240"/>
                                </a:lnTo>
                                <a:lnTo>
                                  <a:pt x="3200400" y="72771"/>
                                </a:lnTo>
                                <a:lnTo>
                                  <a:pt x="3439668" y="72771"/>
                                </a:lnTo>
                                <a:lnTo>
                                  <a:pt x="3439668" y="15240"/>
                                </a:lnTo>
                                <a:close/>
                              </a:path>
                              <a:path w="4508500" h="73025">
                                <a:moveTo>
                                  <a:pt x="4507992" y="33528"/>
                                </a:moveTo>
                                <a:lnTo>
                                  <a:pt x="4268724" y="33528"/>
                                </a:lnTo>
                                <a:lnTo>
                                  <a:pt x="4268724" y="72771"/>
                                </a:lnTo>
                                <a:lnTo>
                                  <a:pt x="4507992" y="72771"/>
                                </a:lnTo>
                                <a:lnTo>
                                  <a:pt x="4507992" y="33528"/>
                                </a:lnTo>
                                <a:close/>
                              </a:path>
                            </a:pathLst>
                          </a:custGeom>
                          <a:solidFill>
                            <a:srgbClr val="E22C91"/>
                          </a:solidFill>
                        </wps:spPr>
                        <wps:bodyPr wrap="square" lIns="0" tIns="0" rIns="0" bIns="0" rtlCol="0">
                          <a:prstTxWarp prst="textNoShape">
                            <a:avLst/>
                          </a:prstTxWarp>
                          <a:noAutofit/>
                        </wps:bodyPr>
                      </wps:wsp>
                      <wps:wsp>
                        <wps:cNvPr id="612" name="Graphic 612"/>
                        <wps:cNvSpPr/>
                        <wps:spPr>
                          <a:xfrm>
                            <a:off x="565912" y="0"/>
                            <a:ext cx="4508500" cy="748030"/>
                          </a:xfrm>
                          <a:custGeom>
                            <a:avLst/>
                            <a:gdLst/>
                            <a:ahLst/>
                            <a:cxnLst/>
                            <a:rect l="l" t="t" r="r" b="b"/>
                            <a:pathLst>
                              <a:path w="4508500" h="748030">
                                <a:moveTo>
                                  <a:pt x="239268" y="736092"/>
                                </a:moveTo>
                                <a:lnTo>
                                  <a:pt x="0" y="736092"/>
                                </a:lnTo>
                                <a:lnTo>
                                  <a:pt x="0" y="747903"/>
                                </a:lnTo>
                                <a:lnTo>
                                  <a:pt x="239268" y="747903"/>
                                </a:lnTo>
                                <a:lnTo>
                                  <a:pt x="239268" y="736092"/>
                                </a:lnTo>
                                <a:close/>
                              </a:path>
                              <a:path w="4508500" h="748030">
                                <a:moveTo>
                                  <a:pt x="1306068" y="672084"/>
                                </a:moveTo>
                                <a:lnTo>
                                  <a:pt x="1066800" y="672084"/>
                                </a:lnTo>
                                <a:lnTo>
                                  <a:pt x="1066800" y="747903"/>
                                </a:lnTo>
                                <a:lnTo>
                                  <a:pt x="1306068" y="747903"/>
                                </a:lnTo>
                                <a:lnTo>
                                  <a:pt x="1306068" y="672084"/>
                                </a:lnTo>
                                <a:close/>
                              </a:path>
                              <a:path w="4508500" h="748030">
                                <a:moveTo>
                                  <a:pt x="2372868" y="0"/>
                                </a:moveTo>
                                <a:lnTo>
                                  <a:pt x="2133600" y="0"/>
                                </a:lnTo>
                                <a:lnTo>
                                  <a:pt x="2133600" y="747903"/>
                                </a:lnTo>
                                <a:lnTo>
                                  <a:pt x="2372868" y="747903"/>
                                </a:lnTo>
                                <a:lnTo>
                                  <a:pt x="2372868" y="0"/>
                                </a:lnTo>
                                <a:close/>
                              </a:path>
                              <a:path w="4508500" h="748030">
                                <a:moveTo>
                                  <a:pt x="3441192" y="464820"/>
                                </a:moveTo>
                                <a:lnTo>
                                  <a:pt x="3201924" y="464820"/>
                                </a:lnTo>
                                <a:lnTo>
                                  <a:pt x="3201924" y="747903"/>
                                </a:lnTo>
                                <a:lnTo>
                                  <a:pt x="3441192" y="747903"/>
                                </a:lnTo>
                                <a:lnTo>
                                  <a:pt x="3441192" y="464820"/>
                                </a:lnTo>
                                <a:close/>
                              </a:path>
                              <a:path w="4508500" h="748030">
                                <a:moveTo>
                                  <a:pt x="4507992" y="597408"/>
                                </a:moveTo>
                                <a:lnTo>
                                  <a:pt x="4268724" y="597408"/>
                                </a:lnTo>
                                <a:lnTo>
                                  <a:pt x="4268724" y="747903"/>
                                </a:lnTo>
                                <a:lnTo>
                                  <a:pt x="4507992" y="747903"/>
                                </a:lnTo>
                                <a:lnTo>
                                  <a:pt x="4507992" y="597408"/>
                                </a:lnTo>
                                <a:close/>
                              </a:path>
                            </a:pathLst>
                          </a:custGeom>
                          <a:solidFill>
                            <a:srgbClr val="741A36"/>
                          </a:solidFill>
                        </wps:spPr>
                        <wps:bodyPr wrap="square" lIns="0" tIns="0" rIns="0" bIns="0" rtlCol="0">
                          <a:prstTxWarp prst="textNoShape">
                            <a:avLst/>
                          </a:prstTxWarp>
                          <a:noAutofit/>
                        </wps:bodyPr>
                      </wps:wsp>
                      <wps:wsp>
                        <wps:cNvPr id="613" name="Graphic 613"/>
                        <wps:cNvSpPr/>
                        <wps:spPr>
                          <a:xfrm>
                            <a:off x="0" y="747902"/>
                            <a:ext cx="5335905" cy="1270"/>
                          </a:xfrm>
                          <a:custGeom>
                            <a:avLst/>
                            <a:gdLst/>
                            <a:ahLst/>
                            <a:cxnLst/>
                            <a:rect l="l" t="t" r="r" b="b"/>
                            <a:pathLst>
                              <a:path w="5335905">
                                <a:moveTo>
                                  <a:pt x="0" y="0"/>
                                </a:moveTo>
                                <a:lnTo>
                                  <a:pt x="5335905" y="0"/>
                                </a:lnTo>
                              </a:path>
                            </a:pathLst>
                          </a:custGeom>
                          <a:ln w="9525">
                            <a:solidFill>
                              <a:srgbClr val="D9D9D9"/>
                            </a:solidFill>
                            <a:prstDash val="solid"/>
                          </a:ln>
                        </wps:spPr>
                        <wps:bodyPr wrap="square" lIns="0" tIns="0" rIns="0" bIns="0" rtlCol="0">
                          <a:prstTxWarp prst="textNoShape">
                            <a:avLst/>
                          </a:prstTxWarp>
                          <a:noAutofit/>
                        </wps:bodyPr>
                      </wps:wsp>
                      <wps:wsp>
                        <wps:cNvPr id="614" name="Textbox 614"/>
                        <wps:cNvSpPr txBox="1"/>
                        <wps:spPr>
                          <a:xfrm>
                            <a:off x="3733419" y="267834"/>
                            <a:ext cx="322580" cy="139700"/>
                          </a:xfrm>
                          <a:prstGeom prst="rect">
                            <a:avLst/>
                          </a:prstGeom>
                        </wps:spPr>
                        <wps:txbx>
                          <w:txbxContent>
                            <w:p w14:paraId="184BC06B" w14:textId="77777777" w:rsidR="000E52B0" w:rsidRDefault="00F60D74">
                              <w:pPr>
                                <w:rPr>
                                  <w:rFonts w:ascii="Trebuchet MS"/>
                                  <w:sz w:val="18"/>
                                </w:rPr>
                              </w:pPr>
                              <w:r>
                                <w:rPr>
                                  <w:rFonts w:ascii="Trebuchet MS"/>
                                  <w:color w:val="404040"/>
                                  <w:spacing w:val="-2"/>
                                  <w:w w:val="105"/>
                                  <w:sz w:val="18"/>
                                </w:rPr>
                                <w:t>16,4%</w:t>
                              </w:r>
                            </w:p>
                          </w:txbxContent>
                        </wps:txbx>
                        <wps:bodyPr wrap="square" lIns="0" tIns="0" rIns="0" bIns="0" rtlCol="0">
                          <a:noAutofit/>
                        </wps:bodyPr>
                      </wps:wsp>
                      <wps:wsp>
                        <wps:cNvPr id="615" name="Textbox 615"/>
                        <wps:cNvSpPr txBox="1"/>
                        <wps:spPr>
                          <a:xfrm>
                            <a:off x="257809" y="537074"/>
                            <a:ext cx="565150" cy="141605"/>
                          </a:xfrm>
                          <a:prstGeom prst="rect">
                            <a:avLst/>
                          </a:prstGeom>
                        </wps:spPr>
                        <wps:txbx>
                          <w:txbxContent>
                            <w:p w14:paraId="78BA935B" w14:textId="77777777" w:rsidR="000E52B0" w:rsidRDefault="00F60D74">
                              <w:pPr>
                                <w:spacing w:before="2"/>
                                <w:rPr>
                                  <w:rFonts w:ascii="Trebuchet MS"/>
                                  <w:sz w:val="18"/>
                                </w:rPr>
                              </w:pPr>
                              <w:r>
                                <w:rPr>
                                  <w:rFonts w:ascii="Trebuchet MS"/>
                                  <w:color w:val="404040"/>
                                  <w:w w:val="105"/>
                                  <w:sz w:val="18"/>
                                </w:rPr>
                                <w:t>0,8%</w:t>
                              </w:r>
                              <w:r>
                                <w:rPr>
                                  <w:rFonts w:ascii="Trebuchet MS"/>
                                  <w:color w:val="404040"/>
                                  <w:spacing w:val="34"/>
                                  <w:w w:val="105"/>
                                  <w:sz w:val="18"/>
                                </w:rPr>
                                <w:t xml:space="preserve"> </w:t>
                              </w:r>
                              <w:r>
                                <w:rPr>
                                  <w:rFonts w:ascii="Trebuchet MS"/>
                                  <w:color w:val="404040"/>
                                  <w:spacing w:val="-4"/>
                                  <w:w w:val="105"/>
                                  <w:sz w:val="18"/>
                                </w:rPr>
                                <w:t>0,7%</w:t>
                              </w:r>
                            </w:p>
                          </w:txbxContent>
                        </wps:txbx>
                        <wps:bodyPr wrap="square" lIns="0" tIns="0" rIns="0" bIns="0" rtlCol="0">
                          <a:noAutofit/>
                        </wps:bodyPr>
                      </wps:wsp>
                      <wps:wsp>
                        <wps:cNvPr id="616" name="Textbox 616"/>
                        <wps:cNvSpPr txBox="1"/>
                        <wps:spPr>
                          <a:xfrm>
                            <a:off x="1325117" y="475479"/>
                            <a:ext cx="565150" cy="142240"/>
                          </a:xfrm>
                          <a:prstGeom prst="rect">
                            <a:avLst/>
                          </a:prstGeom>
                        </wps:spPr>
                        <wps:txbx>
                          <w:txbxContent>
                            <w:p w14:paraId="1AD2C281" w14:textId="77777777" w:rsidR="000E52B0" w:rsidRDefault="00F60D74">
                              <w:pPr>
                                <w:spacing w:before="4"/>
                                <w:rPr>
                                  <w:rFonts w:ascii="Trebuchet MS"/>
                                  <w:sz w:val="18"/>
                                </w:rPr>
                              </w:pPr>
                              <w:r>
                                <w:rPr>
                                  <w:rFonts w:ascii="Trebuchet MS"/>
                                  <w:color w:val="404040"/>
                                  <w:w w:val="105"/>
                                  <w:sz w:val="18"/>
                                </w:rPr>
                                <w:t>4,2%</w:t>
                              </w:r>
                              <w:r>
                                <w:rPr>
                                  <w:rFonts w:ascii="Trebuchet MS"/>
                                  <w:color w:val="404040"/>
                                  <w:spacing w:val="34"/>
                                  <w:w w:val="105"/>
                                  <w:sz w:val="18"/>
                                </w:rPr>
                                <w:t xml:space="preserve"> </w:t>
                              </w:r>
                              <w:r>
                                <w:rPr>
                                  <w:rFonts w:ascii="Trebuchet MS"/>
                                  <w:color w:val="404040"/>
                                  <w:spacing w:val="-4"/>
                                  <w:w w:val="105"/>
                                  <w:sz w:val="18"/>
                                </w:rPr>
                                <w:t>4,4%</w:t>
                              </w:r>
                            </w:p>
                          </w:txbxContent>
                        </wps:txbx>
                        <wps:bodyPr wrap="square" lIns="0" tIns="0" rIns="0" bIns="0" rtlCol="0">
                          <a:noAutofit/>
                        </wps:bodyPr>
                      </wps:wsp>
                      <wps:wsp>
                        <wps:cNvPr id="617" name="Textbox 617"/>
                        <wps:cNvSpPr txBox="1"/>
                        <wps:spPr>
                          <a:xfrm>
                            <a:off x="2392552" y="535550"/>
                            <a:ext cx="261620" cy="139700"/>
                          </a:xfrm>
                          <a:prstGeom prst="rect">
                            <a:avLst/>
                          </a:prstGeom>
                        </wps:spPr>
                        <wps:txbx>
                          <w:txbxContent>
                            <w:p w14:paraId="20B791B7" w14:textId="77777777" w:rsidR="000E52B0" w:rsidRDefault="00F60D74">
                              <w:pPr>
                                <w:rPr>
                                  <w:rFonts w:ascii="Trebuchet MS"/>
                                  <w:sz w:val="18"/>
                                </w:rPr>
                              </w:pPr>
                              <w:r>
                                <w:rPr>
                                  <w:rFonts w:ascii="Trebuchet MS"/>
                                  <w:color w:val="404040"/>
                                  <w:spacing w:val="-4"/>
                                  <w:w w:val="105"/>
                                  <w:sz w:val="18"/>
                                </w:rPr>
                                <w:t>0,9%</w:t>
                              </w:r>
                            </w:p>
                          </w:txbxContent>
                        </wps:txbx>
                        <wps:bodyPr wrap="square" lIns="0" tIns="0" rIns="0" bIns="0" rtlCol="0">
                          <a:noAutofit/>
                        </wps:bodyPr>
                      </wps:wsp>
                      <wps:wsp>
                        <wps:cNvPr id="618" name="Textbox 618"/>
                        <wps:cNvSpPr txBox="1"/>
                        <wps:spPr>
                          <a:xfrm>
                            <a:off x="3459988" y="493386"/>
                            <a:ext cx="261620" cy="139700"/>
                          </a:xfrm>
                          <a:prstGeom prst="rect">
                            <a:avLst/>
                          </a:prstGeom>
                        </wps:spPr>
                        <wps:txbx>
                          <w:txbxContent>
                            <w:p w14:paraId="551EE70F" w14:textId="77777777" w:rsidR="000E52B0" w:rsidRDefault="00F60D74">
                              <w:pPr>
                                <w:rPr>
                                  <w:rFonts w:ascii="Trebuchet MS"/>
                                  <w:sz w:val="18"/>
                                </w:rPr>
                              </w:pPr>
                              <w:r>
                                <w:rPr>
                                  <w:rFonts w:ascii="Trebuchet MS"/>
                                  <w:color w:val="404040"/>
                                  <w:spacing w:val="-4"/>
                                  <w:w w:val="105"/>
                                  <w:sz w:val="18"/>
                                </w:rPr>
                                <w:t>3,3%</w:t>
                              </w:r>
                            </w:p>
                          </w:txbxContent>
                        </wps:txbx>
                        <wps:bodyPr wrap="square" lIns="0" tIns="0" rIns="0" bIns="0" rtlCol="0">
                          <a:noAutofit/>
                        </wps:bodyPr>
                      </wps:wsp>
                      <wps:wsp>
                        <wps:cNvPr id="619" name="Textbox 619"/>
                        <wps:cNvSpPr txBox="1"/>
                        <wps:spPr>
                          <a:xfrm>
                            <a:off x="4527422" y="512309"/>
                            <a:ext cx="261620" cy="139700"/>
                          </a:xfrm>
                          <a:prstGeom prst="rect">
                            <a:avLst/>
                          </a:prstGeom>
                        </wps:spPr>
                        <wps:txbx>
                          <w:txbxContent>
                            <w:p w14:paraId="2E5462D2" w14:textId="77777777" w:rsidR="000E52B0" w:rsidRDefault="00F60D74">
                              <w:pPr>
                                <w:rPr>
                                  <w:rFonts w:ascii="Trebuchet MS"/>
                                  <w:sz w:val="18"/>
                                </w:rPr>
                              </w:pPr>
                              <w:r>
                                <w:rPr>
                                  <w:rFonts w:ascii="Trebuchet MS"/>
                                  <w:color w:val="404040"/>
                                  <w:spacing w:val="-4"/>
                                  <w:w w:val="105"/>
                                  <w:sz w:val="18"/>
                                </w:rPr>
                                <w:t>2,2%</w:t>
                              </w:r>
                            </w:p>
                          </w:txbxContent>
                        </wps:txbx>
                        <wps:bodyPr wrap="square" lIns="0" tIns="0" rIns="0" bIns="0" rtlCol="0">
                          <a:noAutofit/>
                        </wps:bodyPr>
                      </wps:wsp>
                      <wps:wsp>
                        <wps:cNvPr id="620" name="Textbox 620"/>
                        <wps:cNvSpPr txBox="1"/>
                        <wps:spPr>
                          <a:xfrm>
                            <a:off x="4831334" y="400771"/>
                            <a:ext cx="261620" cy="140335"/>
                          </a:xfrm>
                          <a:prstGeom prst="rect">
                            <a:avLst/>
                          </a:prstGeom>
                        </wps:spPr>
                        <wps:txbx>
                          <w:txbxContent>
                            <w:p w14:paraId="56B67965" w14:textId="77777777" w:rsidR="000E52B0" w:rsidRDefault="00F60D74">
                              <w:pPr>
                                <w:rPr>
                                  <w:rFonts w:ascii="Trebuchet MS"/>
                                  <w:sz w:val="18"/>
                                </w:rPr>
                              </w:pPr>
                              <w:r>
                                <w:rPr>
                                  <w:rFonts w:ascii="Trebuchet MS"/>
                                  <w:color w:val="404040"/>
                                  <w:spacing w:val="-4"/>
                                  <w:w w:val="105"/>
                                  <w:sz w:val="18"/>
                                </w:rPr>
                                <w:t>8,7%</w:t>
                              </w:r>
                            </w:p>
                          </w:txbxContent>
                        </wps:txbx>
                        <wps:bodyPr wrap="square" lIns="0" tIns="0" rIns="0" bIns="0" rtlCol="0">
                          <a:noAutofit/>
                        </wps:bodyPr>
                      </wps:wsp>
                    </wpg:wgp>
                  </a:graphicData>
                </a:graphic>
              </wp:anchor>
            </w:drawing>
          </mc:Choice>
          <mc:Fallback>
            <w:pict>
              <v:group w14:anchorId="04B4C623" id="Group 610" o:spid="_x0000_s1387" style="position:absolute;margin-left:83pt;margin-top:5.1pt;width:420.15pt;height:59.3pt;z-index:-15653888;mso-wrap-distance-left:0;mso-wrap-distance-right:0;mso-position-horizontal-relative:page;mso-position-vertical-relative:text" coordsize="53359,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">
                <v:shape id="Graphic 611" o:spid="_x0000_s1388" style="position:absolute;left:2626;top:6751;width:45085;height:730;visibility:visible;mso-wrap-style:square;v-text-anchor:top" coordsize="450850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" path="m239268,59436l,59436,,72771r239268,l239268,59436xem1306068,l1066800,r,72771l1306068,72771r,-72771xem2372868,57912r-239268,l2133600,72771r239268,l2372868,57912xem3439668,15240r-239268,l3200400,72771r239268,l3439668,15240xem4507992,33528r-239268,l4268724,72771r239268,l4507992,33528xe" fillcolor="#e22c91" stroked="f">
                  <v:path arrowok="t"/>
                </v:shape>
                <v:shape id="Graphic 612" o:spid="_x0000_s1389" style="position:absolute;left:5659;width:45085;height:7480;visibility:visible;mso-wrap-style:square;v-text-anchor:top" coordsize="4508500,7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" path="m239268,736092l,736092r,11811l239268,747903r,-11811xem1306068,672084r-239268,l1066800,747903r239268,l1306068,672084xem2372868,l2133600,r,747903l2372868,747903,2372868,xem3441192,464820r-239268,l3201924,747903r239268,l3441192,464820xem4507992,597408r-239268,l4268724,747903r239268,l4507992,597408xe" fillcolor="#741a36" stroked="f">
                  <v:path arrowok="t"/>
                </v:shape>
                <v:shape id="Graphic 613" o:spid="_x0000_s1390" style="position:absolute;top:7479;width:53359;height:12;visibility:visible;mso-wrap-style:square;v-text-anchor:top" coordsize="5335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" path="m,l5335905,e" filled="f" strokecolor="#d9d9d9">
                  <v:path arrowok="t"/>
                </v:shape>
                <v:shape id="Textbox 614" o:spid="_x0000_s1391" type="#_x0000_t202" style="position:absolute;left:37334;top:2678;width:322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184BC06B" w14:textId="77777777" w:rsidR="000E52B0" w:rsidRDefault="00F60D74">
                        <w:pPr>
                          <w:rPr>
                            <w:rFonts w:ascii="Trebuchet MS"/>
                            <w:sz w:val="18"/>
                          </w:rPr>
                        </w:pPr>
                        <w:r>
                          <w:rPr>
                            <w:rFonts w:ascii="Trebuchet MS"/>
                            <w:color w:val="404040"/>
                            <w:spacing w:val="-2"/>
                            <w:w w:val="105"/>
                            <w:sz w:val="18"/>
                          </w:rPr>
                          <w:t>16,4%</w:t>
                        </w:r>
                      </w:p>
                    </w:txbxContent>
                  </v:textbox>
                </v:shape>
                <v:shape id="Textbox 615" o:spid="_x0000_s1392" type="#_x0000_t202" style="position:absolute;left:2578;top:5370;width:565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78BA935B" w14:textId="77777777" w:rsidR="000E52B0" w:rsidRDefault="00F60D74">
                        <w:pPr>
                          <w:spacing w:before="2"/>
                          <w:rPr>
                            <w:rFonts w:ascii="Trebuchet MS"/>
                            <w:sz w:val="18"/>
                          </w:rPr>
                        </w:pPr>
                        <w:r>
                          <w:rPr>
                            <w:rFonts w:ascii="Trebuchet MS"/>
                            <w:color w:val="404040"/>
                            <w:w w:val="105"/>
                            <w:sz w:val="18"/>
                          </w:rPr>
                          <w:t>0,8%</w:t>
                        </w:r>
                        <w:r>
                          <w:rPr>
                            <w:rFonts w:ascii="Trebuchet MS"/>
                            <w:color w:val="404040"/>
                            <w:spacing w:val="34"/>
                            <w:w w:val="105"/>
                            <w:sz w:val="18"/>
                          </w:rPr>
                          <w:t xml:space="preserve"> </w:t>
                        </w:r>
                        <w:r>
                          <w:rPr>
                            <w:rFonts w:ascii="Trebuchet MS"/>
                            <w:color w:val="404040"/>
                            <w:spacing w:val="-4"/>
                            <w:w w:val="105"/>
                            <w:sz w:val="18"/>
                          </w:rPr>
                          <w:t>0,7%</w:t>
                        </w:r>
                      </w:p>
                    </w:txbxContent>
                  </v:textbox>
                </v:shape>
                <v:shape id="Textbox 616" o:spid="_x0000_s1393" type="#_x0000_t202" style="position:absolute;left:13251;top:4754;width:5651;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1AD2C281" w14:textId="77777777" w:rsidR="000E52B0" w:rsidRDefault="00F60D74">
                        <w:pPr>
                          <w:spacing w:before="4"/>
                          <w:rPr>
                            <w:rFonts w:ascii="Trebuchet MS"/>
                            <w:sz w:val="18"/>
                          </w:rPr>
                        </w:pPr>
                        <w:r>
                          <w:rPr>
                            <w:rFonts w:ascii="Trebuchet MS"/>
                            <w:color w:val="404040"/>
                            <w:w w:val="105"/>
                            <w:sz w:val="18"/>
                          </w:rPr>
                          <w:t>4,2%</w:t>
                        </w:r>
                        <w:r>
                          <w:rPr>
                            <w:rFonts w:ascii="Trebuchet MS"/>
                            <w:color w:val="404040"/>
                            <w:spacing w:val="34"/>
                            <w:w w:val="105"/>
                            <w:sz w:val="18"/>
                          </w:rPr>
                          <w:t xml:space="preserve"> </w:t>
                        </w:r>
                        <w:r>
                          <w:rPr>
                            <w:rFonts w:ascii="Trebuchet MS"/>
                            <w:color w:val="404040"/>
                            <w:spacing w:val="-4"/>
                            <w:w w:val="105"/>
                            <w:sz w:val="18"/>
                          </w:rPr>
                          <w:t>4,4%</w:t>
                        </w:r>
                      </w:p>
                    </w:txbxContent>
                  </v:textbox>
                </v:shape>
                <v:shape id="Textbox 617" o:spid="_x0000_s1394" type="#_x0000_t202" style="position:absolute;left:23925;top:5355;width:261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20B791B7" w14:textId="77777777" w:rsidR="000E52B0" w:rsidRDefault="00F60D74">
                        <w:pPr>
                          <w:rPr>
                            <w:rFonts w:ascii="Trebuchet MS"/>
                            <w:sz w:val="18"/>
                          </w:rPr>
                        </w:pPr>
                        <w:r>
                          <w:rPr>
                            <w:rFonts w:ascii="Trebuchet MS"/>
                            <w:color w:val="404040"/>
                            <w:spacing w:val="-4"/>
                            <w:w w:val="105"/>
                            <w:sz w:val="18"/>
                          </w:rPr>
                          <w:t>0,9%</w:t>
                        </w:r>
                      </w:p>
                    </w:txbxContent>
                  </v:textbox>
                </v:shape>
                <v:shape id="Textbox 618" o:spid="_x0000_s1395" type="#_x0000_t202" style="position:absolute;left:34599;top:4933;width:261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551EE70F" w14:textId="77777777" w:rsidR="000E52B0" w:rsidRDefault="00F60D74">
                        <w:pPr>
                          <w:rPr>
                            <w:rFonts w:ascii="Trebuchet MS"/>
                            <w:sz w:val="18"/>
                          </w:rPr>
                        </w:pPr>
                        <w:r>
                          <w:rPr>
                            <w:rFonts w:ascii="Trebuchet MS"/>
                            <w:color w:val="404040"/>
                            <w:spacing w:val="-4"/>
                            <w:w w:val="105"/>
                            <w:sz w:val="18"/>
                          </w:rPr>
                          <w:t>3,3%</w:t>
                        </w:r>
                      </w:p>
                    </w:txbxContent>
                  </v:textbox>
                </v:shape>
                <v:shape id="Textbox 619" o:spid="_x0000_s1396" type="#_x0000_t202" style="position:absolute;left:45274;top:5123;width:261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2E5462D2" w14:textId="77777777" w:rsidR="000E52B0" w:rsidRDefault="00F60D74">
                        <w:pPr>
                          <w:rPr>
                            <w:rFonts w:ascii="Trebuchet MS"/>
                            <w:sz w:val="18"/>
                          </w:rPr>
                        </w:pPr>
                        <w:r>
                          <w:rPr>
                            <w:rFonts w:ascii="Trebuchet MS"/>
                            <w:color w:val="404040"/>
                            <w:spacing w:val="-4"/>
                            <w:w w:val="105"/>
                            <w:sz w:val="18"/>
                          </w:rPr>
                          <w:t>2,2%</w:t>
                        </w:r>
                      </w:p>
                    </w:txbxContent>
                  </v:textbox>
                </v:shape>
                <v:shape id="Textbox 620" o:spid="_x0000_s1397" type="#_x0000_t202" style="position:absolute;left:48313;top:4007;width:2616;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56B67965" w14:textId="77777777" w:rsidR="000E52B0" w:rsidRDefault="00F60D74">
                        <w:pPr>
                          <w:rPr>
                            <w:rFonts w:ascii="Trebuchet MS"/>
                            <w:sz w:val="18"/>
                          </w:rPr>
                        </w:pPr>
                        <w:r>
                          <w:rPr>
                            <w:rFonts w:ascii="Trebuchet MS"/>
                            <w:color w:val="404040"/>
                            <w:spacing w:val="-4"/>
                            <w:w w:val="105"/>
                            <w:sz w:val="18"/>
                          </w:rPr>
                          <w:t>8,7%</w:t>
                        </w:r>
                      </w:p>
                    </w:txbxContent>
                  </v:textbox>
                </v:shape>
                <w10:wrap type="topAndBottom" anchorx="page"/>
              </v:group>
            </w:pict>
          </mc:Fallback>
        </mc:AlternateContent>
      </w:r>
    </w:p>
    <w:p w14:paraId="5162A198" w14:textId="77777777" w:rsidR="000E52B0" w:rsidRDefault="000E52B0">
      <w:pPr>
        <w:pStyle w:val="Textoindependiente"/>
        <w:ind w:left="0"/>
        <w:rPr>
          <w:rFonts w:ascii="Trebuchet MS"/>
          <w:sz w:val="6"/>
        </w:rPr>
      </w:pPr>
    </w:p>
    <w:p w14:paraId="4FDE3775" w14:textId="77777777" w:rsidR="000E52B0" w:rsidRDefault="000E52B0">
      <w:pPr>
        <w:pStyle w:val="Textoindependiente"/>
        <w:rPr>
          <w:rFonts w:ascii="Trebuchet MS"/>
          <w:sz w:val="6"/>
        </w:rPr>
        <w:sectPr w:rsidR="000E52B0">
          <w:pgSz w:w="11910" w:h="16840"/>
          <w:pgMar w:top="1340" w:right="720" w:bottom="1180" w:left="720" w:header="0" w:footer="995" w:gutter="0"/>
          <w:cols w:space="720"/>
        </w:sectPr>
      </w:pPr>
    </w:p>
    <w:p w14:paraId="1B026B48" w14:textId="77777777" w:rsidR="000E52B0" w:rsidRDefault="00F60D74">
      <w:pPr>
        <w:tabs>
          <w:tab w:val="left" w:pos="3003"/>
          <w:tab w:val="left" w:pos="4496"/>
        </w:tabs>
        <w:spacing w:before="35"/>
        <w:ind w:left="1337"/>
        <w:rPr>
          <w:rFonts w:ascii="Trebuchet MS"/>
          <w:sz w:val="18"/>
        </w:rPr>
      </w:pPr>
      <w:r>
        <w:rPr>
          <w:rFonts w:ascii="Trebuchet MS"/>
          <w:color w:val="585858"/>
          <w:sz w:val="18"/>
        </w:rPr>
        <w:t>Por</w:t>
      </w:r>
      <w:r>
        <w:rPr>
          <w:rFonts w:ascii="Trebuchet MS"/>
          <w:color w:val="585858"/>
          <w:spacing w:val="-15"/>
          <w:sz w:val="18"/>
        </w:rPr>
        <w:t xml:space="preserve"> </w:t>
      </w:r>
      <w:r>
        <w:rPr>
          <w:rFonts w:ascii="Trebuchet MS"/>
          <w:color w:val="585858"/>
          <w:sz w:val="18"/>
        </w:rPr>
        <w:t>su</w:t>
      </w:r>
      <w:r>
        <w:rPr>
          <w:rFonts w:ascii="Trebuchet MS"/>
          <w:color w:val="585858"/>
          <w:spacing w:val="-11"/>
          <w:sz w:val="18"/>
        </w:rPr>
        <w:t xml:space="preserve"> </w:t>
      </w:r>
      <w:r>
        <w:rPr>
          <w:rFonts w:ascii="Trebuchet MS"/>
          <w:color w:val="585858"/>
          <w:spacing w:val="-4"/>
          <w:sz w:val="18"/>
        </w:rPr>
        <w:t>sexo</w:t>
      </w:r>
      <w:r>
        <w:rPr>
          <w:rFonts w:ascii="Trebuchet MS"/>
          <w:color w:val="585858"/>
          <w:sz w:val="18"/>
        </w:rPr>
        <w:tab/>
        <w:t>Por</w:t>
      </w:r>
      <w:r>
        <w:rPr>
          <w:rFonts w:ascii="Trebuchet MS"/>
          <w:color w:val="585858"/>
          <w:spacing w:val="-15"/>
          <w:sz w:val="18"/>
        </w:rPr>
        <w:t xml:space="preserve"> </w:t>
      </w:r>
      <w:r>
        <w:rPr>
          <w:rFonts w:ascii="Trebuchet MS"/>
          <w:color w:val="585858"/>
          <w:sz w:val="18"/>
        </w:rPr>
        <w:t>su</w:t>
      </w:r>
      <w:r>
        <w:rPr>
          <w:rFonts w:ascii="Trebuchet MS"/>
          <w:color w:val="585858"/>
          <w:spacing w:val="-11"/>
          <w:sz w:val="18"/>
        </w:rPr>
        <w:t xml:space="preserve"> </w:t>
      </w:r>
      <w:r>
        <w:rPr>
          <w:rFonts w:ascii="Trebuchet MS"/>
          <w:color w:val="585858"/>
          <w:spacing w:val="-4"/>
          <w:sz w:val="18"/>
        </w:rPr>
        <w:t>edad</w:t>
      </w:r>
      <w:r>
        <w:rPr>
          <w:rFonts w:ascii="Trebuchet MS"/>
          <w:color w:val="585858"/>
          <w:sz w:val="18"/>
        </w:rPr>
        <w:tab/>
        <w:t>Por</w:t>
      </w:r>
      <w:r>
        <w:rPr>
          <w:rFonts w:ascii="Trebuchet MS"/>
          <w:color w:val="585858"/>
          <w:spacing w:val="-17"/>
          <w:sz w:val="18"/>
        </w:rPr>
        <w:t xml:space="preserve"> </w:t>
      </w:r>
      <w:r>
        <w:rPr>
          <w:rFonts w:ascii="Trebuchet MS"/>
          <w:color w:val="585858"/>
          <w:sz w:val="18"/>
        </w:rPr>
        <w:t>su</w:t>
      </w:r>
      <w:r>
        <w:rPr>
          <w:rFonts w:ascii="Trebuchet MS"/>
          <w:color w:val="585858"/>
          <w:spacing w:val="-13"/>
          <w:sz w:val="18"/>
        </w:rPr>
        <w:t xml:space="preserve"> </w:t>
      </w:r>
      <w:r>
        <w:rPr>
          <w:rFonts w:ascii="Trebuchet MS"/>
          <w:color w:val="585858"/>
          <w:sz w:val="18"/>
        </w:rPr>
        <w:t>estado</w:t>
      </w:r>
      <w:r>
        <w:rPr>
          <w:rFonts w:ascii="Trebuchet MS"/>
          <w:color w:val="585858"/>
          <w:spacing w:val="-17"/>
          <w:sz w:val="18"/>
        </w:rPr>
        <w:t xml:space="preserve"> </w:t>
      </w:r>
      <w:r>
        <w:rPr>
          <w:rFonts w:ascii="Trebuchet MS"/>
          <w:color w:val="585858"/>
          <w:spacing w:val="-5"/>
          <w:sz w:val="18"/>
        </w:rPr>
        <w:t>de</w:t>
      </w:r>
    </w:p>
    <w:p w14:paraId="46DA7296" w14:textId="77777777" w:rsidR="000E52B0" w:rsidRDefault="00F60D74">
      <w:pPr>
        <w:spacing w:before="11"/>
        <w:ind w:left="4754"/>
        <w:rPr>
          <w:rFonts w:ascii="Trebuchet MS" w:hAnsi="Trebuchet MS"/>
          <w:sz w:val="18"/>
        </w:rPr>
      </w:pPr>
      <w:r>
        <w:rPr>
          <w:rFonts w:ascii="Trebuchet MS" w:hAnsi="Trebuchet MS"/>
          <w:color w:val="585858"/>
          <w:spacing w:val="-2"/>
          <w:sz w:val="18"/>
        </w:rPr>
        <w:t>migración</w:t>
      </w:r>
    </w:p>
    <w:p w14:paraId="456ABEA2" w14:textId="77777777" w:rsidR="000E52B0" w:rsidRDefault="00F60D74">
      <w:pPr>
        <w:spacing w:before="35" w:line="252" w:lineRule="auto"/>
        <w:ind w:left="346"/>
        <w:rPr>
          <w:rFonts w:ascii="Trebuchet MS" w:hAnsi="Trebuchet MS"/>
          <w:sz w:val="18"/>
        </w:rPr>
      </w:pPr>
      <w:r>
        <w:br w:type="column"/>
      </w:r>
      <w:r>
        <w:rPr>
          <w:rFonts w:ascii="Trebuchet MS" w:hAnsi="Trebuchet MS"/>
          <w:color w:val="585858"/>
          <w:sz w:val="18"/>
        </w:rPr>
        <w:t>Por</w:t>
      </w:r>
      <w:r>
        <w:rPr>
          <w:rFonts w:ascii="Trebuchet MS" w:hAnsi="Trebuchet MS"/>
          <w:color w:val="585858"/>
          <w:spacing w:val="-19"/>
          <w:sz w:val="18"/>
        </w:rPr>
        <w:t xml:space="preserve"> </w:t>
      </w:r>
      <w:r>
        <w:rPr>
          <w:rFonts w:ascii="Trebuchet MS" w:hAnsi="Trebuchet MS"/>
          <w:color w:val="585858"/>
          <w:sz w:val="18"/>
        </w:rPr>
        <w:t>su</w:t>
      </w:r>
      <w:r>
        <w:rPr>
          <w:rFonts w:ascii="Trebuchet MS" w:hAnsi="Trebuchet MS"/>
          <w:color w:val="585858"/>
          <w:spacing w:val="-16"/>
          <w:sz w:val="18"/>
        </w:rPr>
        <w:t xml:space="preserve"> </w:t>
      </w:r>
      <w:r>
        <w:rPr>
          <w:rFonts w:ascii="Trebuchet MS" w:hAnsi="Trebuchet MS"/>
          <w:color w:val="585858"/>
          <w:sz w:val="18"/>
        </w:rPr>
        <w:t xml:space="preserve">condición </w:t>
      </w:r>
      <w:r>
        <w:rPr>
          <w:rFonts w:ascii="Trebuchet MS" w:hAnsi="Trebuchet MS"/>
          <w:color w:val="585858"/>
          <w:spacing w:val="-2"/>
          <w:sz w:val="18"/>
        </w:rPr>
        <w:t>socioeconómica</w:t>
      </w:r>
    </w:p>
    <w:p w14:paraId="2B201409" w14:textId="77777777" w:rsidR="000E52B0" w:rsidRDefault="00F60D74">
      <w:pPr>
        <w:spacing w:before="35" w:line="252" w:lineRule="auto"/>
        <w:ind w:left="585" w:right="1385" w:hanging="167"/>
        <w:rPr>
          <w:rFonts w:ascii="Trebuchet MS"/>
          <w:sz w:val="18"/>
        </w:rPr>
      </w:pPr>
      <w:r>
        <w:br w:type="column"/>
      </w:r>
      <w:r>
        <w:rPr>
          <w:rFonts w:ascii="Trebuchet MS"/>
          <w:color w:val="585858"/>
          <w:spacing w:val="-2"/>
          <w:sz w:val="18"/>
        </w:rPr>
        <w:t>Por</w:t>
      </w:r>
      <w:r>
        <w:rPr>
          <w:rFonts w:ascii="Trebuchet MS"/>
          <w:color w:val="585858"/>
          <w:spacing w:val="-21"/>
          <w:sz w:val="18"/>
        </w:rPr>
        <w:t xml:space="preserve"> </w:t>
      </w:r>
      <w:r>
        <w:rPr>
          <w:rFonts w:ascii="Trebuchet MS"/>
          <w:color w:val="585858"/>
          <w:spacing w:val="-2"/>
          <w:sz w:val="18"/>
        </w:rPr>
        <w:t>su</w:t>
      </w:r>
      <w:r>
        <w:rPr>
          <w:rFonts w:ascii="Trebuchet MS"/>
          <w:color w:val="585858"/>
          <w:spacing w:val="-16"/>
          <w:sz w:val="18"/>
        </w:rPr>
        <w:t xml:space="preserve"> </w:t>
      </w:r>
      <w:r>
        <w:rPr>
          <w:rFonts w:ascii="Trebuchet MS"/>
          <w:color w:val="585858"/>
          <w:spacing w:val="-2"/>
          <w:sz w:val="18"/>
        </w:rPr>
        <w:t>lugar</w:t>
      </w:r>
      <w:r>
        <w:rPr>
          <w:rFonts w:ascii="Trebuchet MS"/>
          <w:color w:val="585858"/>
          <w:spacing w:val="-18"/>
          <w:sz w:val="18"/>
        </w:rPr>
        <w:t xml:space="preserve"> </w:t>
      </w:r>
      <w:r>
        <w:rPr>
          <w:rFonts w:ascii="Trebuchet MS"/>
          <w:color w:val="585858"/>
          <w:spacing w:val="-2"/>
          <w:sz w:val="18"/>
        </w:rPr>
        <w:t>de residencia</w:t>
      </w:r>
    </w:p>
    <w:p w14:paraId="08AD662E" w14:textId="77777777" w:rsidR="000E52B0" w:rsidRDefault="000E52B0">
      <w:pPr>
        <w:spacing w:line="252" w:lineRule="auto"/>
        <w:rPr>
          <w:rFonts w:ascii="Trebuchet MS"/>
          <w:sz w:val="18"/>
        </w:rPr>
        <w:sectPr w:rsidR="000E52B0">
          <w:type w:val="continuous"/>
          <w:pgSz w:w="11910" w:h="16840"/>
          <w:pgMar w:top="1340" w:right="720" w:bottom="1280" w:left="720" w:header="0" w:footer="995" w:gutter="0"/>
          <w:cols w:num="3" w:space="720" w:equalWidth="0">
            <w:col w:w="5788" w:space="40"/>
            <w:col w:w="1645" w:space="39"/>
            <w:col w:w="2958"/>
          </w:cols>
        </w:sectPr>
      </w:pPr>
    </w:p>
    <w:p w14:paraId="7F359C11" w14:textId="77777777" w:rsidR="000E52B0" w:rsidRDefault="00F60D74">
      <w:pPr>
        <w:tabs>
          <w:tab w:val="left" w:pos="2841"/>
        </w:tabs>
        <w:spacing w:before="180"/>
        <w:ind w:right="108"/>
        <w:jc w:val="center"/>
        <w:rPr>
          <w:rFonts w:ascii="Trebuchet MS" w:hAnsi="Trebuchet MS"/>
          <w:sz w:val="18"/>
        </w:rPr>
      </w:pPr>
      <w:r>
        <w:rPr>
          <w:noProof/>
        </w:rPr>
        <w:drawing>
          <wp:inline distT="0" distB="0" distL="0" distR="0" wp14:anchorId="7DFE59D2" wp14:editId="21C8CD1E">
            <wp:extent cx="62779" cy="62779"/>
            <wp:effectExtent l="0" t="0" r="0" b="0"/>
            <wp:docPr id="621" name="Image 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1" name="Image 621"/>
                    <pic:cNvPicPr/>
                  </pic:nvPicPr>
                  <pic:blipFill>
                    <a:blip r:embed="rId74" cstate="print"/>
                    <a:stretch>
                      <a:fillRect/>
                    </a:stretch>
                  </pic:blipFill>
                  <pic:spPr>
                    <a:xfrm>
                      <a:off x="0" y="0"/>
                      <a:ext cx="62779" cy="62779"/>
                    </a:xfrm>
                    <a:prstGeom prst="rect">
                      <a:avLst/>
                    </a:prstGeom>
                  </pic:spPr>
                </pic:pic>
              </a:graphicData>
            </a:graphic>
          </wp:inline>
        </w:drawing>
      </w:r>
      <w:r>
        <w:rPr>
          <w:rFonts w:ascii="Times New Roman" w:hAnsi="Times New Roman"/>
          <w:spacing w:val="-5"/>
          <w:sz w:val="20"/>
        </w:rPr>
        <w:t xml:space="preserve"> </w:t>
      </w:r>
      <w:r>
        <w:rPr>
          <w:rFonts w:ascii="Trebuchet MS" w:hAnsi="Trebuchet MS"/>
          <w:color w:val="585858"/>
          <w:spacing w:val="-2"/>
          <w:sz w:val="18"/>
        </w:rPr>
        <w:t>Hace</w:t>
      </w:r>
      <w:r>
        <w:rPr>
          <w:rFonts w:ascii="Trebuchet MS" w:hAnsi="Trebuchet MS"/>
          <w:color w:val="585858"/>
          <w:spacing w:val="-14"/>
          <w:sz w:val="18"/>
        </w:rPr>
        <w:t xml:space="preserve"> </w:t>
      </w:r>
      <w:r>
        <w:rPr>
          <w:rFonts w:ascii="Trebuchet MS" w:hAnsi="Trebuchet MS"/>
          <w:color w:val="585858"/>
          <w:spacing w:val="-2"/>
          <w:sz w:val="18"/>
        </w:rPr>
        <w:t>5</w:t>
      </w:r>
      <w:r>
        <w:rPr>
          <w:rFonts w:ascii="Trebuchet MS" w:hAnsi="Trebuchet MS"/>
          <w:color w:val="585858"/>
          <w:spacing w:val="-16"/>
          <w:sz w:val="18"/>
        </w:rPr>
        <w:t xml:space="preserve"> </w:t>
      </w:r>
      <w:r>
        <w:rPr>
          <w:rFonts w:ascii="Trebuchet MS" w:hAnsi="Trebuchet MS"/>
          <w:color w:val="585858"/>
          <w:spacing w:val="-2"/>
          <w:sz w:val="18"/>
        </w:rPr>
        <w:t>años</w:t>
      </w:r>
      <w:r>
        <w:rPr>
          <w:rFonts w:ascii="Trebuchet MS" w:hAnsi="Trebuchet MS"/>
          <w:color w:val="585858"/>
          <w:spacing w:val="-15"/>
          <w:sz w:val="18"/>
        </w:rPr>
        <w:t xml:space="preserve"> </w:t>
      </w:r>
      <w:r>
        <w:rPr>
          <w:rFonts w:ascii="Trebuchet MS" w:hAnsi="Trebuchet MS"/>
          <w:color w:val="585858"/>
          <w:spacing w:val="-2"/>
          <w:sz w:val="18"/>
        </w:rPr>
        <w:t>vivía</w:t>
      </w:r>
      <w:r>
        <w:rPr>
          <w:rFonts w:ascii="Trebuchet MS" w:hAnsi="Trebuchet MS"/>
          <w:color w:val="585858"/>
          <w:spacing w:val="-15"/>
          <w:sz w:val="18"/>
        </w:rPr>
        <w:t xml:space="preserve"> </w:t>
      </w:r>
      <w:r>
        <w:rPr>
          <w:rFonts w:ascii="Trebuchet MS" w:hAnsi="Trebuchet MS"/>
          <w:color w:val="585858"/>
          <w:spacing w:val="-2"/>
          <w:sz w:val="18"/>
        </w:rPr>
        <w:t>en</w:t>
      </w:r>
      <w:r>
        <w:rPr>
          <w:rFonts w:ascii="Trebuchet MS" w:hAnsi="Trebuchet MS"/>
          <w:color w:val="585858"/>
          <w:spacing w:val="-16"/>
          <w:sz w:val="18"/>
        </w:rPr>
        <w:t xml:space="preserve"> </w:t>
      </w:r>
      <w:r>
        <w:rPr>
          <w:rFonts w:ascii="Trebuchet MS" w:hAnsi="Trebuchet MS"/>
          <w:color w:val="585858"/>
          <w:spacing w:val="-2"/>
          <w:sz w:val="18"/>
        </w:rPr>
        <w:t>este</w:t>
      </w:r>
      <w:r>
        <w:rPr>
          <w:rFonts w:ascii="Trebuchet MS" w:hAnsi="Trebuchet MS"/>
          <w:color w:val="585858"/>
          <w:spacing w:val="-16"/>
          <w:sz w:val="18"/>
        </w:rPr>
        <w:t xml:space="preserve"> </w:t>
      </w:r>
      <w:r>
        <w:rPr>
          <w:rFonts w:ascii="Trebuchet MS" w:hAnsi="Trebuchet MS"/>
          <w:color w:val="585858"/>
          <w:spacing w:val="-2"/>
          <w:sz w:val="18"/>
        </w:rPr>
        <w:t>país</w:t>
      </w:r>
      <w:r>
        <w:rPr>
          <w:rFonts w:ascii="Trebuchet MS" w:hAnsi="Trebuchet MS"/>
          <w:color w:val="585858"/>
          <w:sz w:val="18"/>
        </w:rPr>
        <w:tab/>
      </w:r>
      <w:r>
        <w:rPr>
          <w:rFonts w:ascii="Trebuchet MS" w:hAnsi="Trebuchet MS"/>
          <w:noProof/>
          <w:color w:val="585858"/>
          <w:sz w:val="18"/>
        </w:rPr>
        <w:drawing>
          <wp:inline distT="0" distB="0" distL="0" distR="0" wp14:anchorId="2F71CD3E" wp14:editId="3BDB9918">
            <wp:extent cx="62779" cy="62779"/>
            <wp:effectExtent l="0" t="0" r="0" b="0"/>
            <wp:docPr id="622" name="Image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2" name="Image 622"/>
                    <pic:cNvPicPr/>
                  </pic:nvPicPr>
                  <pic:blipFill>
                    <a:blip r:embed="rId171" cstate="print"/>
                    <a:stretch>
                      <a:fillRect/>
                    </a:stretch>
                  </pic:blipFill>
                  <pic:spPr>
                    <a:xfrm>
                      <a:off x="0" y="0"/>
                      <a:ext cx="62779" cy="62779"/>
                    </a:xfrm>
                    <a:prstGeom prst="rect">
                      <a:avLst/>
                    </a:prstGeom>
                  </pic:spPr>
                </pic:pic>
              </a:graphicData>
            </a:graphic>
          </wp:inline>
        </w:drawing>
      </w:r>
      <w:r>
        <w:rPr>
          <w:rFonts w:ascii="Times New Roman" w:hAnsi="Times New Roman"/>
          <w:color w:val="585858"/>
          <w:spacing w:val="-1"/>
          <w:sz w:val="18"/>
        </w:rPr>
        <w:t xml:space="preserve"> </w:t>
      </w:r>
      <w:r>
        <w:rPr>
          <w:rFonts w:ascii="Trebuchet MS" w:hAnsi="Trebuchet MS"/>
          <w:color w:val="585858"/>
          <w:spacing w:val="-2"/>
          <w:sz w:val="18"/>
        </w:rPr>
        <w:t>Hace</w:t>
      </w:r>
      <w:r>
        <w:rPr>
          <w:rFonts w:ascii="Trebuchet MS" w:hAnsi="Trebuchet MS"/>
          <w:color w:val="585858"/>
          <w:spacing w:val="-16"/>
          <w:sz w:val="18"/>
        </w:rPr>
        <w:t xml:space="preserve"> </w:t>
      </w:r>
      <w:r>
        <w:rPr>
          <w:rFonts w:ascii="Trebuchet MS" w:hAnsi="Trebuchet MS"/>
          <w:color w:val="585858"/>
          <w:spacing w:val="-2"/>
          <w:sz w:val="18"/>
        </w:rPr>
        <w:t>5</w:t>
      </w:r>
      <w:r>
        <w:rPr>
          <w:rFonts w:ascii="Trebuchet MS" w:hAnsi="Trebuchet MS"/>
          <w:color w:val="585858"/>
          <w:spacing w:val="-18"/>
          <w:sz w:val="18"/>
        </w:rPr>
        <w:t xml:space="preserve"> </w:t>
      </w:r>
      <w:r>
        <w:rPr>
          <w:rFonts w:ascii="Trebuchet MS" w:hAnsi="Trebuchet MS"/>
          <w:color w:val="585858"/>
          <w:spacing w:val="-2"/>
          <w:sz w:val="18"/>
        </w:rPr>
        <w:t>años</w:t>
      </w:r>
      <w:r>
        <w:rPr>
          <w:rFonts w:ascii="Trebuchet MS" w:hAnsi="Trebuchet MS"/>
          <w:color w:val="585858"/>
          <w:spacing w:val="-17"/>
          <w:sz w:val="18"/>
        </w:rPr>
        <w:t xml:space="preserve"> </w:t>
      </w:r>
      <w:r>
        <w:rPr>
          <w:rFonts w:ascii="Trebuchet MS" w:hAnsi="Trebuchet MS"/>
          <w:color w:val="585858"/>
          <w:spacing w:val="-2"/>
          <w:sz w:val="18"/>
        </w:rPr>
        <w:t>vivía</w:t>
      </w:r>
      <w:r>
        <w:rPr>
          <w:rFonts w:ascii="Trebuchet MS" w:hAnsi="Trebuchet MS"/>
          <w:color w:val="585858"/>
          <w:spacing w:val="-17"/>
          <w:sz w:val="18"/>
        </w:rPr>
        <w:t xml:space="preserve"> </w:t>
      </w:r>
      <w:r>
        <w:rPr>
          <w:rFonts w:ascii="Trebuchet MS" w:hAnsi="Trebuchet MS"/>
          <w:color w:val="585858"/>
          <w:spacing w:val="-2"/>
          <w:sz w:val="18"/>
        </w:rPr>
        <w:t>en</w:t>
      </w:r>
      <w:r>
        <w:rPr>
          <w:rFonts w:ascii="Trebuchet MS" w:hAnsi="Trebuchet MS"/>
          <w:color w:val="585858"/>
          <w:spacing w:val="-18"/>
          <w:sz w:val="18"/>
        </w:rPr>
        <w:t xml:space="preserve"> </w:t>
      </w:r>
      <w:r>
        <w:rPr>
          <w:rFonts w:ascii="Trebuchet MS" w:hAnsi="Trebuchet MS"/>
          <w:color w:val="585858"/>
          <w:spacing w:val="-2"/>
          <w:sz w:val="18"/>
        </w:rPr>
        <w:t>otro</w:t>
      </w:r>
      <w:r>
        <w:rPr>
          <w:rFonts w:ascii="Trebuchet MS" w:hAnsi="Trebuchet MS"/>
          <w:color w:val="585858"/>
          <w:spacing w:val="-16"/>
          <w:sz w:val="18"/>
        </w:rPr>
        <w:t xml:space="preserve"> </w:t>
      </w:r>
      <w:r>
        <w:rPr>
          <w:rFonts w:ascii="Trebuchet MS" w:hAnsi="Trebuchet MS"/>
          <w:color w:val="585858"/>
          <w:spacing w:val="-2"/>
          <w:sz w:val="18"/>
        </w:rPr>
        <w:t>país</w:t>
      </w:r>
    </w:p>
    <w:p w14:paraId="46B14291" w14:textId="77777777" w:rsidR="000E52B0" w:rsidRDefault="000E52B0">
      <w:pPr>
        <w:pStyle w:val="Textoindependiente"/>
        <w:spacing w:before="3"/>
        <w:ind w:left="0"/>
        <w:rPr>
          <w:rFonts w:ascii="Trebuchet MS"/>
          <w:sz w:val="18"/>
        </w:rPr>
      </w:pPr>
    </w:p>
    <w:p w14:paraId="1953A166" w14:textId="77777777" w:rsidR="000E52B0" w:rsidRDefault="00F60D74">
      <w:pPr>
        <w:ind w:right="1"/>
        <w:jc w:val="center"/>
        <w:rPr>
          <w:i/>
          <w:sz w:val="18"/>
        </w:rPr>
      </w:pPr>
      <w:r>
        <w:rPr>
          <w:i/>
          <w:color w:val="454551"/>
          <w:sz w:val="18"/>
        </w:rPr>
        <w:t>Fuente</w:t>
      </w:r>
      <w:r>
        <w:rPr>
          <w:i/>
          <w:color w:val="454551"/>
          <w:spacing w:val="-2"/>
          <w:sz w:val="18"/>
        </w:rPr>
        <w:t xml:space="preserve"> </w:t>
      </w:r>
      <w:r>
        <w:rPr>
          <w:i/>
          <w:color w:val="454551"/>
          <w:sz w:val="18"/>
        </w:rPr>
        <w:t>39.</w:t>
      </w:r>
      <w:r>
        <w:rPr>
          <w:i/>
          <w:color w:val="454551"/>
          <w:spacing w:val="-4"/>
          <w:sz w:val="18"/>
        </w:rPr>
        <w:t xml:space="preserve"> </w:t>
      </w:r>
      <w:r>
        <w:rPr>
          <w:i/>
          <w:color w:val="454551"/>
          <w:sz w:val="18"/>
        </w:rPr>
        <w:t>Encuesta</w:t>
      </w:r>
      <w:r>
        <w:rPr>
          <w:i/>
          <w:color w:val="454551"/>
          <w:spacing w:val="-3"/>
          <w:sz w:val="18"/>
        </w:rPr>
        <w:t xml:space="preserve"> </w:t>
      </w:r>
      <w:r>
        <w:rPr>
          <w:i/>
          <w:color w:val="454551"/>
          <w:sz w:val="18"/>
        </w:rPr>
        <w:t>de</w:t>
      </w:r>
      <w:r>
        <w:rPr>
          <w:i/>
          <w:color w:val="454551"/>
          <w:spacing w:val="-3"/>
          <w:sz w:val="18"/>
        </w:rPr>
        <w:t xml:space="preserve"> </w:t>
      </w:r>
      <w:r>
        <w:rPr>
          <w:i/>
          <w:color w:val="454551"/>
          <w:sz w:val="18"/>
        </w:rPr>
        <w:t>Cultura</w:t>
      </w:r>
      <w:r>
        <w:rPr>
          <w:i/>
          <w:color w:val="454551"/>
          <w:spacing w:val="-3"/>
          <w:sz w:val="18"/>
        </w:rPr>
        <w:t xml:space="preserve"> </w:t>
      </w:r>
      <w:r>
        <w:rPr>
          <w:i/>
          <w:color w:val="454551"/>
          <w:sz w:val="18"/>
        </w:rPr>
        <w:t>Política</w:t>
      </w:r>
      <w:r>
        <w:rPr>
          <w:i/>
          <w:color w:val="454551"/>
          <w:spacing w:val="-4"/>
          <w:sz w:val="18"/>
        </w:rPr>
        <w:t xml:space="preserve"> </w:t>
      </w:r>
      <w:r>
        <w:rPr>
          <w:i/>
          <w:color w:val="454551"/>
          <w:sz w:val="18"/>
        </w:rPr>
        <w:t>del</w:t>
      </w:r>
      <w:r>
        <w:rPr>
          <w:i/>
          <w:color w:val="454551"/>
          <w:spacing w:val="-2"/>
          <w:sz w:val="18"/>
        </w:rPr>
        <w:t xml:space="preserve"> </w:t>
      </w:r>
      <w:r>
        <w:rPr>
          <w:i/>
          <w:color w:val="454551"/>
          <w:sz w:val="18"/>
        </w:rPr>
        <w:t>DANE</w:t>
      </w:r>
      <w:r>
        <w:rPr>
          <w:i/>
          <w:color w:val="454551"/>
          <w:spacing w:val="-4"/>
          <w:sz w:val="18"/>
        </w:rPr>
        <w:t xml:space="preserve"> 2023</w:t>
      </w:r>
    </w:p>
    <w:p w14:paraId="38638F09" w14:textId="77777777" w:rsidR="000E52B0" w:rsidRDefault="00F60D74">
      <w:pPr>
        <w:pStyle w:val="Textoindependiente"/>
        <w:spacing w:before="201"/>
        <w:ind w:right="718"/>
        <w:jc w:val="both"/>
      </w:pPr>
      <w:r>
        <w:t>Las</w:t>
      </w:r>
      <w:r>
        <w:rPr>
          <w:spacing w:val="-22"/>
        </w:rPr>
        <w:t xml:space="preserve"> </w:t>
      </w:r>
      <w:r>
        <w:rPr>
          <w:b/>
        </w:rPr>
        <w:t>prácticas</w:t>
      </w:r>
      <w:r>
        <w:rPr>
          <w:b/>
          <w:spacing w:val="-20"/>
        </w:rPr>
        <w:t xml:space="preserve"> </w:t>
      </w:r>
      <w:r>
        <w:rPr>
          <w:b/>
        </w:rPr>
        <w:t>de</w:t>
      </w:r>
      <w:r>
        <w:rPr>
          <w:b/>
          <w:spacing w:val="-21"/>
        </w:rPr>
        <w:t xml:space="preserve"> </w:t>
      </w:r>
      <w:r>
        <w:rPr>
          <w:b/>
        </w:rPr>
        <w:t>discriminación</w:t>
      </w:r>
      <w:r>
        <w:rPr>
          <w:b/>
          <w:spacing w:val="-20"/>
        </w:rPr>
        <w:t xml:space="preserve"> </w:t>
      </w:r>
      <w:r>
        <w:t>hacia</w:t>
      </w:r>
      <w:r>
        <w:rPr>
          <w:spacing w:val="-21"/>
        </w:rPr>
        <w:t xml:space="preserve"> </w:t>
      </w:r>
      <w:r>
        <w:t>la</w:t>
      </w:r>
      <w:r>
        <w:rPr>
          <w:spacing w:val="-21"/>
        </w:rPr>
        <w:t xml:space="preserve"> </w:t>
      </w:r>
      <w:r>
        <w:t>población</w:t>
      </w:r>
      <w:r>
        <w:rPr>
          <w:spacing w:val="-21"/>
        </w:rPr>
        <w:t xml:space="preserve"> </w:t>
      </w:r>
      <w:r>
        <w:t>migrante</w:t>
      </w:r>
      <w:r>
        <w:rPr>
          <w:spacing w:val="-21"/>
        </w:rPr>
        <w:t xml:space="preserve"> </w:t>
      </w:r>
      <w:r>
        <w:t>con</w:t>
      </w:r>
      <w:r>
        <w:rPr>
          <w:spacing w:val="-22"/>
        </w:rPr>
        <w:t xml:space="preserve"> </w:t>
      </w:r>
      <w:r>
        <w:t>vocación impiden su integración social, económica y cultural, e impiden acceso a bienes y servicios de forma concreta y directa.</w:t>
      </w:r>
      <w:r>
        <w:rPr>
          <w:spacing w:val="80"/>
        </w:rPr>
        <w:t xml:space="preserve"> </w:t>
      </w:r>
      <w:r>
        <w:t>De acuerdo con los datos de la Encuesta de Cultura Política del DANE de 2023, el reporte de discriminación en personas migrantes, grupo identificado a través de la variable</w:t>
      </w:r>
      <w:r>
        <w:rPr>
          <w:spacing w:val="-8"/>
        </w:rPr>
        <w:t xml:space="preserve"> </w:t>
      </w:r>
      <w:r>
        <w:t>proxy</w:t>
      </w:r>
      <w:r>
        <w:rPr>
          <w:spacing w:val="-9"/>
        </w:rPr>
        <w:t xml:space="preserve"> </w:t>
      </w:r>
      <w:r>
        <w:t>lugar</w:t>
      </w:r>
      <w:r>
        <w:rPr>
          <w:spacing w:val="-6"/>
        </w:rPr>
        <w:t xml:space="preserve"> </w:t>
      </w:r>
      <w:r>
        <w:t>en</w:t>
      </w:r>
      <w:r>
        <w:rPr>
          <w:spacing w:val="-8"/>
        </w:rPr>
        <w:t xml:space="preserve"> </w:t>
      </w:r>
      <w:r>
        <w:t>el</w:t>
      </w:r>
      <w:r>
        <w:rPr>
          <w:spacing w:val="-9"/>
        </w:rPr>
        <w:t xml:space="preserve"> </w:t>
      </w:r>
      <w:r>
        <w:t>que</w:t>
      </w:r>
      <w:r>
        <w:rPr>
          <w:spacing w:val="-8"/>
        </w:rPr>
        <w:t xml:space="preserve"> </w:t>
      </w:r>
      <w:r>
        <w:t>residía</w:t>
      </w:r>
      <w:r>
        <w:rPr>
          <w:spacing w:val="-8"/>
        </w:rPr>
        <w:t xml:space="preserve"> </w:t>
      </w:r>
      <w:r>
        <w:t>hace</w:t>
      </w:r>
      <w:r>
        <w:rPr>
          <w:spacing w:val="-8"/>
        </w:rPr>
        <w:t xml:space="preserve"> </w:t>
      </w:r>
      <w:r>
        <w:t>cinco</w:t>
      </w:r>
      <w:r>
        <w:rPr>
          <w:spacing w:val="-8"/>
        </w:rPr>
        <w:t xml:space="preserve"> </w:t>
      </w:r>
      <w:r>
        <w:t>años,</w:t>
      </w:r>
      <w:r>
        <w:rPr>
          <w:spacing w:val="-9"/>
        </w:rPr>
        <w:t xml:space="preserve"> </w:t>
      </w:r>
      <w:r>
        <w:t>es</w:t>
      </w:r>
      <w:r>
        <w:rPr>
          <w:spacing w:val="-8"/>
        </w:rPr>
        <w:t xml:space="preserve"> </w:t>
      </w:r>
      <w:r>
        <w:t>más</w:t>
      </w:r>
      <w:r>
        <w:rPr>
          <w:spacing w:val="-8"/>
        </w:rPr>
        <w:t xml:space="preserve"> </w:t>
      </w:r>
      <w:r>
        <w:t>alto,</w:t>
      </w:r>
      <w:r>
        <w:rPr>
          <w:spacing w:val="-7"/>
        </w:rPr>
        <w:t xml:space="preserve"> </w:t>
      </w:r>
      <w:r>
        <w:t>no</w:t>
      </w:r>
      <w:r>
        <w:rPr>
          <w:spacing w:val="-8"/>
        </w:rPr>
        <w:t xml:space="preserve"> </w:t>
      </w:r>
      <w:r>
        <w:t xml:space="preserve">solo por ser migrantes (43,5%) sino también por su condición socioeconómica (16,4%) y por su lugar de residencia (8,7%), como se ve en la ilustración 8, las brechas vinculadas a su migración y al empobrecimiento son visiblemente amplias en relación con el resto de la población. Adicionalmente, el </w:t>
      </w:r>
      <w:r>
        <w:rPr>
          <w:b/>
        </w:rPr>
        <w:t xml:space="preserve">7,5% </w:t>
      </w:r>
      <w:r>
        <w:t>de las personas mayores de 18 años a nivel nacional reporta que no quisiera tener como vecinos a inmigrantes o trabajadores extranjeros.</w:t>
      </w:r>
    </w:p>
    <w:p w14:paraId="5E7322F6" w14:textId="77777777" w:rsidR="000E52B0" w:rsidRDefault="00F60D74">
      <w:pPr>
        <w:pStyle w:val="Textoindependiente"/>
        <w:spacing w:before="162"/>
        <w:ind w:right="719"/>
        <w:jc w:val="both"/>
      </w:pPr>
      <w:r>
        <w:t>De</w:t>
      </w:r>
      <w:r>
        <w:rPr>
          <w:spacing w:val="-7"/>
        </w:rPr>
        <w:t xml:space="preserve"> </w:t>
      </w:r>
      <w:r>
        <w:t>los</w:t>
      </w:r>
      <w:r>
        <w:rPr>
          <w:spacing w:val="-8"/>
        </w:rPr>
        <w:t xml:space="preserve"> </w:t>
      </w:r>
      <w:r>
        <w:t>hogares</w:t>
      </w:r>
      <w:r>
        <w:rPr>
          <w:spacing w:val="-8"/>
        </w:rPr>
        <w:t xml:space="preserve"> </w:t>
      </w:r>
      <w:r>
        <w:t>encuestados</w:t>
      </w:r>
      <w:r>
        <w:rPr>
          <w:spacing w:val="-8"/>
        </w:rPr>
        <w:t xml:space="preserve"> </w:t>
      </w:r>
      <w:r>
        <w:t>por</w:t>
      </w:r>
      <w:r>
        <w:rPr>
          <w:spacing w:val="-7"/>
        </w:rPr>
        <w:t xml:space="preserve"> </w:t>
      </w:r>
      <w:r>
        <w:t>el</w:t>
      </w:r>
      <w:r>
        <w:rPr>
          <w:spacing w:val="-9"/>
        </w:rPr>
        <w:t xml:space="preserve"> </w:t>
      </w:r>
      <w:r>
        <w:t>GIFMM,</w:t>
      </w:r>
      <w:r>
        <w:rPr>
          <w:spacing w:val="-9"/>
        </w:rPr>
        <w:t xml:space="preserve"> </w:t>
      </w:r>
      <w:r>
        <w:t>el</w:t>
      </w:r>
      <w:r>
        <w:rPr>
          <w:spacing w:val="-7"/>
        </w:rPr>
        <w:t xml:space="preserve"> </w:t>
      </w:r>
      <w:r>
        <w:t>36%</w:t>
      </w:r>
      <w:r>
        <w:rPr>
          <w:spacing w:val="-7"/>
        </w:rPr>
        <w:t xml:space="preserve"> </w:t>
      </w:r>
      <w:r>
        <w:t>manifestó</w:t>
      </w:r>
      <w:r>
        <w:rPr>
          <w:spacing w:val="-7"/>
        </w:rPr>
        <w:t xml:space="preserve"> </w:t>
      </w:r>
      <w:r>
        <w:t>que</w:t>
      </w:r>
      <w:r>
        <w:rPr>
          <w:spacing w:val="-7"/>
        </w:rPr>
        <w:t xml:space="preserve"> </w:t>
      </w:r>
      <w:r>
        <w:t>al</w:t>
      </w:r>
      <w:r>
        <w:rPr>
          <w:spacing w:val="-7"/>
        </w:rPr>
        <w:t xml:space="preserve"> </w:t>
      </w:r>
      <w:r>
        <w:t>menos alguno de sus miembros ha experimentado algún tipo de discriminación, siendo la nacionalidad (95%) el principal motivo. Los principales entornos donde las personas enfrentan estas situaciones son: en la calle (72%), buscando trabajo (44%), buscando un lugar en donde vivir (23%), en el trabajo (23%) o en instituciones educativas (12%).</w:t>
      </w:r>
    </w:p>
    <w:p w14:paraId="02111748" w14:textId="77777777" w:rsidR="000E52B0" w:rsidRDefault="00F60D74">
      <w:pPr>
        <w:pStyle w:val="Textoindependiente"/>
        <w:spacing w:before="160"/>
        <w:ind w:right="722"/>
        <w:jc w:val="both"/>
      </w:pPr>
      <w:r>
        <w:t>Estás prácticas de discriminación con frecuencia se traducen en actos de violencia,</w:t>
      </w:r>
      <w:r>
        <w:rPr>
          <w:spacing w:val="-22"/>
        </w:rPr>
        <w:t xml:space="preserve"> </w:t>
      </w:r>
      <w:r>
        <w:t>o</w:t>
      </w:r>
      <w:r>
        <w:rPr>
          <w:spacing w:val="-19"/>
        </w:rPr>
        <w:t xml:space="preserve"> </w:t>
      </w:r>
      <w:r>
        <w:t>en</w:t>
      </w:r>
      <w:r>
        <w:rPr>
          <w:spacing w:val="-19"/>
        </w:rPr>
        <w:t xml:space="preserve"> </w:t>
      </w:r>
      <w:r>
        <w:t>la</w:t>
      </w:r>
      <w:r>
        <w:rPr>
          <w:spacing w:val="-21"/>
        </w:rPr>
        <w:t xml:space="preserve"> </w:t>
      </w:r>
      <w:r>
        <w:t>exacerbación</w:t>
      </w:r>
      <w:r>
        <w:rPr>
          <w:spacing w:val="-21"/>
        </w:rPr>
        <w:t xml:space="preserve"> </w:t>
      </w:r>
      <w:r>
        <w:t>de</w:t>
      </w:r>
      <w:r>
        <w:rPr>
          <w:spacing w:val="-20"/>
        </w:rPr>
        <w:t xml:space="preserve"> </w:t>
      </w:r>
      <w:r>
        <w:t>la</w:t>
      </w:r>
      <w:r>
        <w:rPr>
          <w:spacing w:val="-19"/>
        </w:rPr>
        <w:t xml:space="preserve"> </w:t>
      </w:r>
      <w:r>
        <w:t>violencia</w:t>
      </w:r>
      <w:r>
        <w:rPr>
          <w:spacing w:val="-21"/>
        </w:rPr>
        <w:t xml:space="preserve"> </w:t>
      </w:r>
      <w:r>
        <w:t>por</w:t>
      </w:r>
      <w:r>
        <w:rPr>
          <w:spacing w:val="-20"/>
        </w:rPr>
        <w:t xml:space="preserve"> </w:t>
      </w:r>
      <w:r>
        <w:t>otras</w:t>
      </w:r>
      <w:r>
        <w:rPr>
          <w:spacing w:val="-20"/>
        </w:rPr>
        <w:t xml:space="preserve"> </w:t>
      </w:r>
      <w:r>
        <w:t>razones,</w:t>
      </w:r>
      <w:r>
        <w:rPr>
          <w:spacing w:val="-22"/>
        </w:rPr>
        <w:t xml:space="preserve"> </w:t>
      </w:r>
      <w:r>
        <w:t>de</w:t>
      </w:r>
      <w:r>
        <w:rPr>
          <w:spacing w:val="-19"/>
        </w:rPr>
        <w:t xml:space="preserve"> </w:t>
      </w:r>
      <w:r>
        <w:t>acuerdo con la encuesta de cultura política, el 19,4% de las personas encuestadas que hace 5 años vivían en otro país consideraron que en el último año su comunidad se ha visto enfrentada al surgimiento de riesgos contra los derechos a la vida, libertad, integridad y seguridad personal, tales como estigmatización o discriminación, en comparación con un 6,3% entre las personas que sí vivían en el país, lo que corresponde a una tercera parte.</w:t>
      </w:r>
    </w:p>
    <w:p w14:paraId="64B6C573" w14:textId="77777777" w:rsidR="000E52B0" w:rsidRDefault="00F60D74">
      <w:pPr>
        <w:pStyle w:val="Textoindependiente"/>
        <w:spacing w:before="161"/>
        <w:ind w:right="720"/>
        <w:jc w:val="both"/>
      </w:pPr>
      <w:r>
        <w:t>Para valorar las violencias que se exacerban por la nacionalidad, es necesario valorar</w:t>
      </w:r>
      <w:r>
        <w:rPr>
          <w:spacing w:val="-1"/>
        </w:rPr>
        <w:t xml:space="preserve"> </w:t>
      </w:r>
      <w:r>
        <w:t>los datos</w:t>
      </w:r>
      <w:r>
        <w:rPr>
          <w:spacing w:val="-1"/>
        </w:rPr>
        <w:t xml:space="preserve"> </w:t>
      </w:r>
      <w:r>
        <w:t>en</w:t>
      </w:r>
      <w:r>
        <w:rPr>
          <w:spacing w:val="-1"/>
        </w:rPr>
        <w:t xml:space="preserve"> </w:t>
      </w:r>
      <w:r>
        <w:t>términos</w:t>
      </w:r>
      <w:r>
        <w:rPr>
          <w:spacing w:val="1"/>
        </w:rPr>
        <w:t xml:space="preserve"> </w:t>
      </w:r>
      <w:r>
        <w:t>de</w:t>
      </w:r>
      <w:r>
        <w:rPr>
          <w:spacing w:val="-1"/>
        </w:rPr>
        <w:t xml:space="preserve"> </w:t>
      </w:r>
      <w:r>
        <w:t>tasas.</w:t>
      </w:r>
      <w:r>
        <w:rPr>
          <w:spacing w:val="-1"/>
        </w:rPr>
        <w:t xml:space="preserve"> </w:t>
      </w:r>
      <w:r>
        <w:t>Pues</w:t>
      </w:r>
      <w:r>
        <w:rPr>
          <w:spacing w:val="-1"/>
        </w:rPr>
        <w:t xml:space="preserve"> </w:t>
      </w:r>
      <w:r>
        <w:t>siempre</w:t>
      </w:r>
      <w:r>
        <w:rPr>
          <w:spacing w:val="1"/>
        </w:rPr>
        <w:t xml:space="preserve"> </w:t>
      </w:r>
      <w:r>
        <w:t xml:space="preserve">habrá </w:t>
      </w:r>
      <w:r>
        <w:rPr>
          <w:spacing w:val="-5"/>
        </w:rPr>
        <w:t>más</w:t>
      </w:r>
    </w:p>
    <w:p w14:paraId="52C1B1A2" w14:textId="77777777" w:rsidR="000E52B0" w:rsidRDefault="000E52B0">
      <w:pPr>
        <w:pStyle w:val="Textoindependiente"/>
        <w:jc w:val="both"/>
        <w:sectPr w:rsidR="000E52B0">
          <w:type w:val="continuous"/>
          <w:pgSz w:w="11910" w:h="16840"/>
          <w:pgMar w:top="1340" w:right="720" w:bottom="1280" w:left="720" w:header="0" w:footer="995" w:gutter="0"/>
          <w:cols w:space="720"/>
        </w:sectPr>
      </w:pPr>
    </w:p>
    <w:p w14:paraId="6BC8710F" w14:textId="77777777" w:rsidR="000E52B0" w:rsidRDefault="00F60D74">
      <w:pPr>
        <w:pStyle w:val="Textoindependiente"/>
        <w:spacing w:before="83"/>
        <w:ind w:right="718"/>
        <w:jc w:val="both"/>
      </w:pPr>
      <w:r>
        <w:lastRenderedPageBreak/>
        <w:t>casos de personas nacionales por la estructura demográfica del país, y Colombia, es un país dónde la violencia se ha naturalizado y se ha vuelto cotidiana por cuenta de décadas de conflicto armado y violencia sociopolítica. De acuerdo con la información del Instituto Nacional de Medicina Legal y Ciencias Forenses (INML-CF) en 2023, respecto a las violencias físicas, por cada 100 mil personas colombianas 27 fueron asesinadas, en el caso de las personas venezolanas, por cada 100 mil personas venezolanas 32 fueron asesinadas. Esta violencia afecta particularmente</w:t>
      </w:r>
      <w:r>
        <w:rPr>
          <w:spacing w:val="-13"/>
        </w:rPr>
        <w:t xml:space="preserve"> </w:t>
      </w:r>
      <w:r>
        <w:t>a</w:t>
      </w:r>
      <w:r>
        <w:rPr>
          <w:spacing w:val="-14"/>
        </w:rPr>
        <w:t xml:space="preserve"> </w:t>
      </w:r>
      <w:r>
        <w:t>los</w:t>
      </w:r>
      <w:r>
        <w:rPr>
          <w:spacing w:val="-14"/>
        </w:rPr>
        <w:t xml:space="preserve"> </w:t>
      </w:r>
      <w:r>
        <w:t>hombres,</w:t>
      </w:r>
      <w:r>
        <w:rPr>
          <w:spacing w:val="-15"/>
        </w:rPr>
        <w:t xml:space="preserve"> </w:t>
      </w:r>
      <w:r>
        <w:t>pero</w:t>
      </w:r>
      <w:r>
        <w:rPr>
          <w:spacing w:val="-12"/>
        </w:rPr>
        <w:t xml:space="preserve"> </w:t>
      </w:r>
      <w:r>
        <w:t>en</w:t>
      </w:r>
      <w:r>
        <w:rPr>
          <w:spacing w:val="-14"/>
        </w:rPr>
        <w:t xml:space="preserve"> </w:t>
      </w:r>
      <w:r>
        <w:t>el</w:t>
      </w:r>
      <w:r>
        <w:rPr>
          <w:spacing w:val="-15"/>
        </w:rPr>
        <w:t xml:space="preserve"> </w:t>
      </w:r>
      <w:r>
        <w:t>caso</w:t>
      </w:r>
      <w:r>
        <w:rPr>
          <w:spacing w:val="-13"/>
        </w:rPr>
        <w:t xml:space="preserve"> </w:t>
      </w:r>
      <w:r>
        <w:t>de</w:t>
      </w:r>
      <w:r>
        <w:rPr>
          <w:spacing w:val="-13"/>
        </w:rPr>
        <w:t xml:space="preserve"> </w:t>
      </w:r>
      <w:r>
        <w:t>las</w:t>
      </w:r>
      <w:r>
        <w:rPr>
          <w:spacing w:val="-14"/>
        </w:rPr>
        <w:t xml:space="preserve"> </w:t>
      </w:r>
      <w:r>
        <w:t>mujeres</w:t>
      </w:r>
      <w:r>
        <w:rPr>
          <w:spacing w:val="-14"/>
        </w:rPr>
        <w:t xml:space="preserve"> </w:t>
      </w:r>
      <w:r>
        <w:t>venezolanas (6,02) la tasa es casi el doble de las mujeres colombianas (3,4).</w:t>
      </w:r>
    </w:p>
    <w:p w14:paraId="03A64B28" w14:textId="77777777" w:rsidR="000E52B0" w:rsidRDefault="00F60D74">
      <w:pPr>
        <w:pStyle w:val="Textoindependiente"/>
        <w:spacing w:before="160"/>
        <w:ind w:right="716"/>
        <w:jc w:val="both"/>
      </w:pPr>
      <w:r>
        <w:t>Sin</w:t>
      </w:r>
      <w:r>
        <w:rPr>
          <w:spacing w:val="-20"/>
        </w:rPr>
        <w:t xml:space="preserve"> </w:t>
      </w:r>
      <w:r>
        <w:t>embargo,</w:t>
      </w:r>
      <w:r>
        <w:rPr>
          <w:spacing w:val="-18"/>
        </w:rPr>
        <w:t xml:space="preserve"> </w:t>
      </w:r>
      <w:r>
        <w:t>en</w:t>
      </w:r>
      <w:r>
        <w:rPr>
          <w:spacing w:val="-19"/>
        </w:rPr>
        <w:t xml:space="preserve"> </w:t>
      </w:r>
      <w:r>
        <w:t>el</w:t>
      </w:r>
      <w:r>
        <w:rPr>
          <w:spacing w:val="-19"/>
        </w:rPr>
        <w:t xml:space="preserve"> </w:t>
      </w:r>
      <w:r>
        <w:t>caso</w:t>
      </w:r>
      <w:r>
        <w:rPr>
          <w:spacing w:val="-18"/>
        </w:rPr>
        <w:t xml:space="preserve"> </w:t>
      </w:r>
      <w:r>
        <w:t>de</w:t>
      </w:r>
      <w:r>
        <w:rPr>
          <w:spacing w:val="-17"/>
        </w:rPr>
        <w:t xml:space="preserve"> </w:t>
      </w:r>
      <w:r>
        <w:t>las</w:t>
      </w:r>
      <w:r>
        <w:rPr>
          <w:spacing w:val="-19"/>
        </w:rPr>
        <w:t xml:space="preserve"> </w:t>
      </w:r>
      <w:r>
        <w:t>lesiones</w:t>
      </w:r>
      <w:r>
        <w:rPr>
          <w:spacing w:val="-18"/>
        </w:rPr>
        <w:t xml:space="preserve"> </w:t>
      </w:r>
      <w:r>
        <w:t>personales,</w:t>
      </w:r>
      <w:r>
        <w:rPr>
          <w:spacing w:val="-19"/>
        </w:rPr>
        <w:t xml:space="preserve"> </w:t>
      </w:r>
      <w:r>
        <w:t>proporcionalmente,</w:t>
      </w:r>
      <w:r>
        <w:rPr>
          <w:spacing w:val="-17"/>
        </w:rPr>
        <w:t xml:space="preserve"> </w:t>
      </w:r>
      <w:r>
        <w:t>son víctimas</w:t>
      </w:r>
      <w:r>
        <w:rPr>
          <w:spacing w:val="-5"/>
        </w:rPr>
        <w:t xml:space="preserve"> </w:t>
      </w:r>
      <w:r>
        <w:t>más</w:t>
      </w:r>
      <w:r>
        <w:rPr>
          <w:spacing w:val="-5"/>
        </w:rPr>
        <w:t xml:space="preserve"> </w:t>
      </w:r>
      <w:r>
        <w:t>frecuentes</w:t>
      </w:r>
      <w:r>
        <w:rPr>
          <w:spacing w:val="-5"/>
        </w:rPr>
        <w:t xml:space="preserve"> </w:t>
      </w:r>
      <w:r>
        <w:t>las</w:t>
      </w:r>
      <w:r>
        <w:rPr>
          <w:spacing w:val="-5"/>
        </w:rPr>
        <w:t xml:space="preserve"> </w:t>
      </w:r>
      <w:r>
        <w:t>personas</w:t>
      </w:r>
      <w:r>
        <w:rPr>
          <w:spacing w:val="-5"/>
        </w:rPr>
        <w:t xml:space="preserve"> </w:t>
      </w:r>
      <w:r>
        <w:t>colombianas,</w:t>
      </w:r>
      <w:r>
        <w:rPr>
          <w:spacing w:val="-5"/>
        </w:rPr>
        <w:t xml:space="preserve"> </w:t>
      </w:r>
      <w:r>
        <w:t>171</w:t>
      </w:r>
      <w:r>
        <w:rPr>
          <w:spacing w:val="-4"/>
        </w:rPr>
        <w:t xml:space="preserve"> </w:t>
      </w:r>
      <w:r>
        <w:t>personas</w:t>
      </w:r>
      <w:r>
        <w:rPr>
          <w:spacing w:val="-5"/>
        </w:rPr>
        <w:t xml:space="preserve"> </w:t>
      </w:r>
      <w:r>
        <w:t>por</w:t>
      </w:r>
      <w:r>
        <w:rPr>
          <w:spacing w:val="-4"/>
        </w:rPr>
        <w:t xml:space="preserve"> </w:t>
      </w:r>
      <w:r>
        <w:t>cada 100 habitantes colombianos, fueron víctimas de violencia interpersonal</w:t>
      </w:r>
      <w:r>
        <w:rPr>
          <w:spacing w:val="-1"/>
        </w:rPr>
        <w:t xml:space="preserve"> </w:t>
      </w:r>
      <w:r>
        <w:t>en 2023, en el caso de la población venezolana 144 fueron víctimas por cada 100 mil habitantes venezolanos.</w:t>
      </w:r>
    </w:p>
    <w:p w14:paraId="1D9DF701" w14:textId="77777777" w:rsidR="000E52B0" w:rsidRDefault="00F60D74">
      <w:pPr>
        <w:spacing w:before="158"/>
        <w:jc w:val="center"/>
        <w:rPr>
          <w:i/>
          <w:sz w:val="18"/>
        </w:rPr>
      </w:pPr>
      <w:r>
        <w:rPr>
          <w:i/>
          <w:color w:val="454551"/>
          <w:sz w:val="18"/>
        </w:rPr>
        <w:t>Ilustración</w:t>
      </w:r>
      <w:r>
        <w:rPr>
          <w:i/>
          <w:color w:val="454551"/>
          <w:spacing w:val="-1"/>
          <w:sz w:val="18"/>
        </w:rPr>
        <w:t xml:space="preserve"> </w:t>
      </w:r>
      <w:r>
        <w:rPr>
          <w:i/>
          <w:color w:val="454551"/>
          <w:sz w:val="18"/>
        </w:rPr>
        <w:t>52.</w:t>
      </w:r>
      <w:r>
        <w:rPr>
          <w:i/>
          <w:color w:val="454551"/>
          <w:spacing w:val="-4"/>
          <w:sz w:val="18"/>
        </w:rPr>
        <w:t xml:space="preserve"> </w:t>
      </w:r>
      <w:r>
        <w:rPr>
          <w:i/>
          <w:color w:val="454551"/>
          <w:sz w:val="18"/>
        </w:rPr>
        <w:t>Tasa</w:t>
      </w:r>
      <w:r>
        <w:rPr>
          <w:i/>
          <w:color w:val="454551"/>
          <w:spacing w:val="-4"/>
          <w:sz w:val="18"/>
        </w:rPr>
        <w:t xml:space="preserve"> </w:t>
      </w:r>
      <w:r>
        <w:rPr>
          <w:i/>
          <w:color w:val="454551"/>
          <w:sz w:val="18"/>
        </w:rPr>
        <w:t>de</w:t>
      </w:r>
      <w:r>
        <w:rPr>
          <w:i/>
          <w:color w:val="454551"/>
          <w:spacing w:val="-3"/>
          <w:sz w:val="18"/>
        </w:rPr>
        <w:t xml:space="preserve"> </w:t>
      </w:r>
      <w:r>
        <w:rPr>
          <w:i/>
          <w:color w:val="454551"/>
          <w:sz w:val="18"/>
        </w:rPr>
        <w:t>Violencias</w:t>
      </w:r>
      <w:r>
        <w:rPr>
          <w:i/>
          <w:color w:val="454551"/>
          <w:spacing w:val="-5"/>
          <w:sz w:val="18"/>
        </w:rPr>
        <w:t xml:space="preserve"> </w:t>
      </w:r>
      <w:r>
        <w:rPr>
          <w:i/>
          <w:color w:val="454551"/>
          <w:sz w:val="18"/>
        </w:rPr>
        <w:t>físicas</w:t>
      </w:r>
      <w:r>
        <w:rPr>
          <w:i/>
          <w:color w:val="454551"/>
          <w:spacing w:val="-4"/>
          <w:sz w:val="18"/>
        </w:rPr>
        <w:t xml:space="preserve"> </w:t>
      </w:r>
      <w:r>
        <w:rPr>
          <w:i/>
          <w:color w:val="454551"/>
          <w:sz w:val="18"/>
        </w:rPr>
        <w:t>por</w:t>
      </w:r>
      <w:r>
        <w:rPr>
          <w:i/>
          <w:color w:val="454551"/>
          <w:spacing w:val="-3"/>
          <w:sz w:val="18"/>
        </w:rPr>
        <w:t xml:space="preserve"> </w:t>
      </w:r>
      <w:r>
        <w:rPr>
          <w:i/>
          <w:color w:val="454551"/>
          <w:sz w:val="18"/>
        </w:rPr>
        <w:t>nacionalidad</w:t>
      </w:r>
      <w:r>
        <w:rPr>
          <w:i/>
          <w:color w:val="454551"/>
          <w:spacing w:val="-2"/>
          <w:sz w:val="18"/>
        </w:rPr>
        <w:t xml:space="preserve"> </w:t>
      </w:r>
      <w:r>
        <w:rPr>
          <w:i/>
          <w:color w:val="454551"/>
          <w:sz w:val="18"/>
        </w:rPr>
        <w:t>y</w:t>
      </w:r>
      <w:r>
        <w:rPr>
          <w:i/>
          <w:color w:val="454551"/>
          <w:spacing w:val="-5"/>
          <w:sz w:val="18"/>
        </w:rPr>
        <w:t xml:space="preserve"> </w:t>
      </w:r>
      <w:r>
        <w:rPr>
          <w:i/>
          <w:color w:val="454551"/>
          <w:sz w:val="18"/>
        </w:rPr>
        <w:t>sexo,</w:t>
      </w:r>
      <w:r>
        <w:rPr>
          <w:i/>
          <w:color w:val="454551"/>
          <w:spacing w:val="-4"/>
          <w:sz w:val="18"/>
        </w:rPr>
        <w:t xml:space="preserve"> 2023</w:t>
      </w:r>
    </w:p>
    <w:p w14:paraId="5019A10D" w14:textId="77777777" w:rsidR="000E52B0" w:rsidRDefault="000E52B0">
      <w:pPr>
        <w:pStyle w:val="Textoindependiente"/>
        <w:spacing w:before="12"/>
        <w:ind w:left="0"/>
        <w:rPr>
          <w:i/>
          <w:sz w:val="18"/>
        </w:rPr>
      </w:pPr>
    </w:p>
    <w:p w14:paraId="024458B4" w14:textId="77777777" w:rsidR="000E52B0" w:rsidRDefault="00F60D74">
      <w:pPr>
        <w:ind w:left="2026"/>
        <w:rPr>
          <w:rFonts w:ascii="Trebuchet MS"/>
          <w:sz w:val="18"/>
        </w:rPr>
      </w:pPr>
      <w:r>
        <w:rPr>
          <w:rFonts w:ascii="Trebuchet MS"/>
          <w:noProof/>
          <w:sz w:val="18"/>
        </w:rPr>
        <mc:AlternateContent>
          <mc:Choice Requires="wpg">
            <w:drawing>
              <wp:anchor distT="0" distB="0" distL="0" distR="0" simplePos="0" relativeHeight="487663104" behindDoc="1" locked="0" layoutInCell="1" allowOverlap="1" wp14:anchorId="728CF1D3" wp14:editId="24263021">
                <wp:simplePos x="0" y="0"/>
                <wp:positionH relativeFrom="page">
                  <wp:posOffset>1215072</wp:posOffset>
                </wp:positionH>
                <wp:positionV relativeFrom="paragraph">
                  <wp:posOffset>161843</wp:posOffset>
                </wp:positionV>
                <wp:extent cx="5130165" cy="1328420"/>
                <wp:effectExtent l="0" t="0" r="0" b="0"/>
                <wp:wrapTopAndBottom/>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165" cy="1328420"/>
                          <a:chOff x="0" y="0"/>
                          <a:chExt cx="5130165" cy="1328420"/>
                        </a:xfrm>
                      </wpg:grpSpPr>
                      <wps:wsp>
                        <wps:cNvPr id="624" name="Graphic 624"/>
                        <wps:cNvSpPr/>
                        <wps:spPr>
                          <a:xfrm>
                            <a:off x="94043" y="552331"/>
                            <a:ext cx="4564380" cy="184785"/>
                          </a:xfrm>
                          <a:custGeom>
                            <a:avLst/>
                            <a:gdLst/>
                            <a:ahLst/>
                            <a:cxnLst/>
                            <a:rect l="l" t="t" r="r" b="b"/>
                            <a:pathLst>
                              <a:path w="4564380" h="184785">
                                <a:moveTo>
                                  <a:pt x="297180" y="25908"/>
                                </a:moveTo>
                                <a:lnTo>
                                  <a:pt x="0" y="25908"/>
                                </a:lnTo>
                                <a:lnTo>
                                  <a:pt x="0" y="184404"/>
                                </a:lnTo>
                                <a:lnTo>
                                  <a:pt x="297180" y="184404"/>
                                </a:lnTo>
                                <a:lnTo>
                                  <a:pt x="297180" y="25908"/>
                                </a:lnTo>
                                <a:close/>
                              </a:path>
                              <a:path w="4564380" h="184785">
                                <a:moveTo>
                                  <a:pt x="1150620" y="173736"/>
                                </a:moveTo>
                                <a:lnTo>
                                  <a:pt x="853440" y="173736"/>
                                </a:lnTo>
                                <a:lnTo>
                                  <a:pt x="853440" y="184404"/>
                                </a:lnTo>
                                <a:lnTo>
                                  <a:pt x="1150620" y="184404"/>
                                </a:lnTo>
                                <a:lnTo>
                                  <a:pt x="1150620" y="173736"/>
                                </a:lnTo>
                                <a:close/>
                              </a:path>
                              <a:path w="4564380" h="184785">
                                <a:moveTo>
                                  <a:pt x="2004060" y="102108"/>
                                </a:moveTo>
                                <a:lnTo>
                                  <a:pt x="1706880" y="102108"/>
                                </a:lnTo>
                                <a:lnTo>
                                  <a:pt x="1706880" y="184404"/>
                                </a:lnTo>
                                <a:lnTo>
                                  <a:pt x="2004060" y="184404"/>
                                </a:lnTo>
                                <a:lnTo>
                                  <a:pt x="2004060" y="102108"/>
                                </a:lnTo>
                                <a:close/>
                              </a:path>
                              <a:path w="4564380" h="184785">
                                <a:moveTo>
                                  <a:pt x="2857500" y="0"/>
                                </a:moveTo>
                                <a:lnTo>
                                  <a:pt x="2560320" y="0"/>
                                </a:lnTo>
                                <a:lnTo>
                                  <a:pt x="2560320" y="184404"/>
                                </a:lnTo>
                                <a:lnTo>
                                  <a:pt x="2857500" y="184404"/>
                                </a:lnTo>
                                <a:lnTo>
                                  <a:pt x="2857500" y="0"/>
                                </a:lnTo>
                                <a:close/>
                              </a:path>
                              <a:path w="4564380" h="184785">
                                <a:moveTo>
                                  <a:pt x="3710940" y="166116"/>
                                </a:moveTo>
                                <a:lnTo>
                                  <a:pt x="3413760" y="166116"/>
                                </a:lnTo>
                                <a:lnTo>
                                  <a:pt x="3413760" y="184404"/>
                                </a:lnTo>
                                <a:lnTo>
                                  <a:pt x="3710940" y="184404"/>
                                </a:lnTo>
                                <a:lnTo>
                                  <a:pt x="3710940" y="166116"/>
                                </a:lnTo>
                                <a:close/>
                              </a:path>
                              <a:path w="4564380" h="184785">
                                <a:moveTo>
                                  <a:pt x="4564380" y="85344"/>
                                </a:moveTo>
                                <a:lnTo>
                                  <a:pt x="4267200" y="85344"/>
                                </a:lnTo>
                                <a:lnTo>
                                  <a:pt x="4267200" y="184404"/>
                                </a:lnTo>
                                <a:lnTo>
                                  <a:pt x="4564380" y="184404"/>
                                </a:lnTo>
                                <a:lnTo>
                                  <a:pt x="4564380" y="85344"/>
                                </a:lnTo>
                                <a:close/>
                              </a:path>
                            </a:pathLst>
                          </a:custGeom>
                          <a:solidFill>
                            <a:srgbClr val="D44673"/>
                          </a:solidFill>
                        </wps:spPr>
                        <wps:bodyPr wrap="square" lIns="0" tIns="0" rIns="0" bIns="0" rtlCol="0">
                          <a:prstTxWarp prst="textNoShape">
                            <a:avLst/>
                          </a:prstTxWarp>
                          <a:noAutofit/>
                        </wps:bodyPr>
                      </wps:wsp>
                      <wps:wsp>
                        <wps:cNvPr id="625" name="Graphic 625"/>
                        <wps:cNvSpPr/>
                        <wps:spPr>
                          <a:xfrm>
                            <a:off x="471995" y="6739"/>
                            <a:ext cx="4564380" cy="730250"/>
                          </a:xfrm>
                          <a:custGeom>
                            <a:avLst/>
                            <a:gdLst/>
                            <a:ahLst/>
                            <a:cxnLst/>
                            <a:rect l="l" t="t" r="r" b="b"/>
                            <a:pathLst>
                              <a:path w="4564380" h="730250">
                                <a:moveTo>
                                  <a:pt x="297180" y="0"/>
                                </a:moveTo>
                                <a:lnTo>
                                  <a:pt x="0" y="0"/>
                                </a:lnTo>
                                <a:lnTo>
                                  <a:pt x="0" y="729996"/>
                                </a:lnTo>
                                <a:lnTo>
                                  <a:pt x="297180" y="729996"/>
                                </a:lnTo>
                                <a:lnTo>
                                  <a:pt x="297180" y="0"/>
                                </a:lnTo>
                                <a:close/>
                              </a:path>
                              <a:path w="4564380" h="730250">
                                <a:moveTo>
                                  <a:pt x="1150620" y="382524"/>
                                </a:moveTo>
                                <a:lnTo>
                                  <a:pt x="853440" y="382524"/>
                                </a:lnTo>
                                <a:lnTo>
                                  <a:pt x="853440" y="729996"/>
                                </a:lnTo>
                                <a:lnTo>
                                  <a:pt x="1150620" y="729996"/>
                                </a:lnTo>
                                <a:lnTo>
                                  <a:pt x="1150620" y="382524"/>
                                </a:lnTo>
                                <a:close/>
                              </a:path>
                              <a:path w="4564380" h="730250">
                                <a:moveTo>
                                  <a:pt x="2004060" y="195072"/>
                                </a:moveTo>
                                <a:lnTo>
                                  <a:pt x="1706880" y="195072"/>
                                </a:lnTo>
                                <a:lnTo>
                                  <a:pt x="1706880" y="729996"/>
                                </a:lnTo>
                                <a:lnTo>
                                  <a:pt x="2004060" y="729996"/>
                                </a:lnTo>
                                <a:lnTo>
                                  <a:pt x="2004060" y="195072"/>
                                </a:lnTo>
                                <a:close/>
                              </a:path>
                              <a:path w="4564380" h="730250">
                                <a:moveTo>
                                  <a:pt x="2857500" y="190500"/>
                                </a:moveTo>
                                <a:lnTo>
                                  <a:pt x="2560320" y="190500"/>
                                </a:lnTo>
                                <a:lnTo>
                                  <a:pt x="2560320" y="729996"/>
                                </a:lnTo>
                                <a:lnTo>
                                  <a:pt x="2857500" y="729996"/>
                                </a:lnTo>
                                <a:lnTo>
                                  <a:pt x="2857500" y="190500"/>
                                </a:lnTo>
                                <a:close/>
                              </a:path>
                              <a:path w="4564380" h="730250">
                                <a:moveTo>
                                  <a:pt x="3710940" y="368808"/>
                                </a:moveTo>
                                <a:lnTo>
                                  <a:pt x="3413760" y="368808"/>
                                </a:lnTo>
                                <a:lnTo>
                                  <a:pt x="3413760" y="729996"/>
                                </a:lnTo>
                                <a:lnTo>
                                  <a:pt x="3710940" y="729996"/>
                                </a:lnTo>
                                <a:lnTo>
                                  <a:pt x="3710940" y="368808"/>
                                </a:lnTo>
                                <a:close/>
                              </a:path>
                              <a:path w="4564380" h="730250">
                                <a:moveTo>
                                  <a:pt x="4564380" y="281940"/>
                                </a:moveTo>
                                <a:lnTo>
                                  <a:pt x="4267200" y="281940"/>
                                </a:lnTo>
                                <a:lnTo>
                                  <a:pt x="4267200" y="729996"/>
                                </a:lnTo>
                                <a:lnTo>
                                  <a:pt x="4564380" y="729996"/>
                                </a:lnTo>
                                <a:lnTo>
                                  <a:pt x="4564380" y="281940"/>
                                </a:lnTo>
                                <a:close/>
                              </a:path>
                            </a:pathLst>
                          </a:custGeom>
                          <a:solidFill>
                            <a:srgbClr val="741A36"/>
                          </a:solidFill>
                        </wps:spPr>
                        <wps:bodyPr wrap="square" lIns="0" tIns="0" rIns="0" bIns="0" rtlCol="0">
                          <a:prstTxWarp prst="textNoShape">
                            <a:avLst/>
                          </a:prstTxWarp>
                          <a:noAutofit/>
                        </wps:bodyPr>
                      </wps:wsp>
                      <wps:wsp>
                        <wps:cNvPr id="626" name="Graphic 626"/>
                        <wps:cNvSpPr/>
                        <wps:spPr>
                          <a:xfrm>
                            <a:off x="4762" y="736735"/>
                            <a:ext cx="5120640" cy="591820"/>
                          </a:xfrm>
                          <a:custGeom>
                            <a:avLst/>
                            <a:gdLst/>
                            <a:ahLst/>
                            <a:cxnLst/>
                            <a:rect l="l" t="t" r="r" b="b"/>
                            <a:pathLst>
                              <a:path w="5120640" h="591820">
                                <a:moveTo>
                                  <a:pt x="0" y="0"/>
                                </a:moveTo>
                                <a:lnTo>
                                  <a:pt x="5120640" y="0"/>
                                </a:lnTo>
                              </a:path>
                              <a:path w="5120640" h="591820">
                                <a:moveTo>
                                  <a:pt x="0" y="0"/>
                                </a:moveTo>
                                <a:lnTo>
                                  <a:pt x="0" y="197103"/>
                                </a:lnTo>
                              </a:path>
                              <a:path w="5120640" h="591820">
                                <a:moveTo>
                                  <a:pt x="2559685" y="0"/>
                                </a:moveTo>
                                <a:lnTo>
                                  <a:pt x="2559685" y="197103"/>
                                </a:lnTo>
                              </a:path>
                              <a:path w="5120640" h="591820">
                                <a:moveTo>
                                  <a:pt x="5120640" y="0"/>
                                </a:moveTo>
                                <a:lnTo>
                                  <a:pt x="5120640" y="197103"/>
                                </a:lnTo>
                              </a:path>
                              <a:path w="5120640" h="591820">
                                <a:moveTo>
                                  <a:pt x="0" y="197103"/>
                                </a:moveTo>
                                <a:lnTo>
                                  <a:pt x="0" y="394207"/>
                                </a:lnTo>
                              </a:path>
                              <a:path w="5120640" h="591820">
                                <a:moveTo>
                                  <a:pt x="2559685" y="197103"/>
                                </a:moveTo>
                                <a:lnTo>
                                  <a:pt x="2559685" y="394207"/>
                                </a:lnTo>
                              </a:path>
                              <a:path w="5120640" h="591820">
                                <a:moveTo>
                                  <a:pt x="5120640" y="197103"/>
                                </a:moveTo>
                                <a:lnTo>
                                  <a:pt x="5120640" y="394207"/>
                                </a:lnTo>
                              </a:path>
                              <a:path w="5120640" h="591820">
                                <a:moveTo>
                                  <a:pt x="0" y="394207"/>
                                </a:moveTo>
                                <a:lnTo>
                                  <a:pt x="0" y="591312"/>
                                </a:lnTo>
                              </a:path>
                              <a:path w="5120640" h="591820">
                                <a:moveTo>
                                  <a:pt x="5120640" y="394207"/>
                                </a:moveTo>
                                <a:lnTo>
                                  <a:pt x="5120640" y="591312"/>
                                </a:lnTo>
                              </a:path>
                            </a:pathLst>
                          </a:custGeom>
                          <a:ln w="9525">
                            <a:solidFill>
                              <a:srgbClr val="D9D9D9"/>
                            </a:solidFill>
                            <a:prstDash val="solid"/>
                          </a:ln>
                        </wps:spPr>
                        <wps:bodyPr wrap="square" lIns="0" tIns="0" rIns="0" bIns="0" rtlCol="0">
                          <a:prstTxWarp prst="textNoShape">
                            <a:avLst/>
                          </a:prstTxWarp>
                          <a:noAutofit/>
                        </wps:bodyPr>
                      </wps:wsp>
                      <wps:wsp>
                        <wps:cNvPr id="627" name="Textbox 627"/>
                        <wps:cNvSpPr txBox="1"/>
                        <wps:spPr>
                          <a:xfrm>
                            <a:off x="2235898" y="5461"/>
                            <a:ext cx="195580" cy="139700"/>
                          </a:xfrm>
                          <a:prstGeom prst="rect">
                            <a:avLst/>
                          </a:prstGeom>
                        </wps:spPr>
                        <wps:txbx>
                          <w:txbxContent>
                            <w:p w14:paraId="316A27C4" w14:textId="77777777" w:rsidR="000E52B0" w:rsidRDefault="00F60D74">
                              <w:pPr>
                                <w:rPr>
                                  <w:rFonts w:ascii="Trebuchet MS"/>
                                  <w:sz w:val="18"/>
                                </w:rPr>
                              </w:pPr>
                              <w:r>
                                <w:rPr>
                                  <w:rFonts w:ascii="Trebuchet MS"/>
                                  <w:color w:val="404040"/>
                                  <w:spacing w:val="-5"/>
                                  <w:sz w:val="18"/>
                                </w:rPr>
                                <w:t>172</w:t>
                              </w:r>
                            </w:p>
                          </w:txbxContent>
                        </wps:txbx>
                        <wps:bodyPr wrap="square" lIns="0" tIns="0" rIns="0" bIns="0" rtlCol="0">
                          <a:noAutofit/>
                        </wps:bodyPr>
                      </wps:wsp>
                      <wps:wsp>
                        <wps:cNvPr id="628" name="Textbox 628"/>
                        <wps:cNvSpPr txBox="1"/>
                        <wps:spPr>
                          <a:xfrm>
                            <a:off x="3089592" y="0"/>
                            <a:ext cx="195580" cy="139700"/>
                          </a:xfrm>
                          <a:prstGeom prst="rect">
                            <a:avLst/>
                          </a:prstGeom>
                        </wps:spPr>
                        <wps:txbx>
                          <w:txbxContent>
                            <w:p w14:paraId="00CE1961" w14:textId="77777777" w:rsidR="000E52B0" w:rsidRDefault="00F60D74">
                              <w:pPr>
                                <w:rPr>
                                  <w:rFonts w:ascii="Trebuchet MS"/>
                                  <w:sz w:val="18"/>
                                </w:rPr>
                              </w:pPr>
                              <w:r>
                                <w:rPr>
                                  <w:rFonts w:ascii="Trebuchet MS"/>
                                  <w:color w:val="404040"/>
                                  <w:spacing w:val="-5"/>
                                  <w:sz w:val="18"/>
                                </w:rPr>
                                <w:t>174</w:t>
                              </w:r>
                            </w:p>
                          </w:txbxContent>
                        </wps:txbx>
                        <wps:bodyPr wrap="square" lIns="0" tIns="0" rIns="0" bIns="0" rtlCol="0">
                          <a:noAutofit/>
                        </wps:bodyPr>
                      </wps:wsp>
                      <wps:wsp>
                        <wps:cNvPr id="629" name="Textbox 629"/>
                        <wps:cNvSpPr txBox="1"/>
                        <wps:spPr>
                          <a:xfrm>
                            <a:off x="1382458" y="192023"/>
                            <a:ext cx="195580" cy="139700"/>
                          </a:xfrm>
                          <a:prstGeom prst="rect">
                            <a:avLst/>
                          </a:prstGeom>
                        </wps:spPr>
                        <wps:txbx>
                          <w:txbxContent>
                            <w:p w14:paraId="72639252" w14:textId="77777777" w:rsidR="000E52B0" w:rsidRDefault="00F60D74">
                              <w:pPr>
                                <w:rPr>
                                  <w:rFonts w:ascii="Trebuchet MS"/>
                                  <w:sz w:val="18"/>
                                </w:rPr>
                              </w:pPr>
                              <w:r>
                                <w:rPr>
                                  <w:rFonts w:ascii="Trebuchet MS"/>
                                  <w:color w:val="404040"/>
                                  <w:spacing w:val="-5"/>
                                  <w:sz w:val="18"/>
                                </w:rPr>
                                <w:t>112</w:t>
                              </w:r>
                            </w:p>
                          </w:txbxContent>
                        </wps:txbx>
                        <wps:bodyPr wrap="square" lIns="0" tIns="0" rIns="0" bIns="0" rtlCol="0">
                          <a:noAutofit/>
                        </wps:bodyPr>
                      </wps:wsp>
                      <wps:wsp>
                        <wps:cNvPr id="630" name="Textbox 630"/>
                        <wps:cNvSpPr txBox="1"/>
                        <wps:spPr>
                          <a:xfrm>
                            <a:off x="3943032" y="178943"/>
                            <a:ext cx="196850" cy="139700"/>
                          </a:xfrm>
                          <a:prstGeom prst="rect">
                            <a:avLst/>
                          </a:prstGeom>
                        </wps:spPr>
                        <wps:txbx>
                          <w:txbxContent>
                            <w:p w14:paraId="73419F43" w14:textId="77777777" w:rsidR="000E52B0" w:rsidRDefault="00F60D74">
                              <w:pPr>
                                <w:rPr>
                                  <w:rFonts w:ascii="Trebuchet MS"/>
                                  <w:sz w:val="18"/>
                                </w:rPr>
                              </w:pPr>
                              <w:r>
                                <w:rPr>
                                  <w:rFonts w:ascii="Trebuchet MS"/>
                                  <w:color w:val="404040"/>
                                  <w:spacing w:val="-5"/>
                                  <w:sz w:val="18"/>
                                </w:rPr>
                                <w:t>116</w:t>
                              </w:r>
                            </w:p>
                          </w:txbxContent>
                        </wps:txbx>
                        <wps:bodyPr wrap="square" lIns="0" tIns="0" rIns="0" bIns="0" rtlCol="0">
                          <a:noAutofit/>
                        </wps:bodyPr>
                      </wps:wsp>
                      <wps:wsp>
                        <wps:cNvPr id="631" name="Textbox 631"/>
                        <wps:cNvSpPr txBox="1"/>
                        <wps:spPr>
                          <a:xfrm>
                            <a:off x="4796853" y="92710"/>
                            <a:ext cx="195580" cy="139700"/>
                          </a:xfrm>
                          <a:prstGeom prst="rect">
                            <a:avLst/>
                          </a:prstGeom>
                        </wps:spPr>
                        <wps:txbx>
                          <w:txbxContent>
                            <w:p w14:paraId="6DDFB685" w14:textId="77777777" w:rsidR="000E52B0" w:rsidRDefault="00F60D74">
                              <w:pPr>
                                <w:rPr>
                                  <w:rFonts w:ascii="Trebuchet MS"/>
                                  <w:sz w:val="18"/>
                                </w:rPr>
                              </w:pPr>
                              <w:r>
                                <w:rPr>
                                  <w:rFonts w:ascii="Trebuchet MS"/>
                                  <w:color w:val="404040"/>
                                  <w:spacing w:val="-5"/>
                                  <w:sz w:val="18"/>
                                </w:rPr>
                                <w:t>144</w:t>
                              </w:r>
                            </w:p>
                          </w:txbxContent>
                        </wps:txbx>
                        <wps:bodyPr wrap="square" lIns="0" tIns="0" rIns="0" bIns="0" rtlCol="0">
                          <a:noAutofit/>
                        </wps:bodyPr>
                      </wps:wsp>
                      <wps:wsp>
                        <wps:cNvPr id="632" name="Textbox 632"/>
                        <wps:cNvSpPr txBox="1"/>
                        <wps:spPr>
                          <a:xfrm>
                            <a:off x="181546" y="381000"/>
                            <a:ext cx="134620" cy="139700"/>
                          </a:xfrm>
                          <a:prstGeom prst="rect">
                            <a:avLst/>
                          </a:prstGeom>
                        </wps:spPr>
                        <wps:txbx>
                          <w:txbxContent>
                            <w:p w14:paraId="0E97DCDC" w14:textId="77777777" w:rsidR="000E52B0" w:rsidRDefault="00F60D74">
                              <w:pPr>
                                <w:rPr>
                                  <w:rFonts w:ascii="Trebuchet MS"/>
                                  <w:sz w:val="18"/>
                                </w:rPr>
                              </w:pPr>
                              <w:r>
                                <w:rPr>
                                  <w:rFonts w:ascii="Trebuchet MS"/>
                                  <w:color w:val="404040"/>
                                  <w:spacing w:val="-5"/>
                                  <w:sz w:val="18"/>
                                </w:rPr>
                                <w:t>51</w:t>
                              </w:r>
                            </w:p>
                          </w:txbxContent>
                        </wps:txbx>
                        <wps:bodyPr wrap="square" lIns="0" tIns="0" rIns="0" bIns="0" rtlCol="0">
                          <a:noAutofit/>
                        </wps:bodyPr>
                      </wps:wsp>
                      <wps:wsp>
                        <wps:cNvPr id="633" name="Textbox 633"/>
                        <wps:cNvSpPr txBox="1"/>
                        <wps:spPr>
                          <a:xfrm>
                            <a:off x="2742501" y="355091"/>
                            <a:ext cx="134620" cy="139700"/>
                          </a:xfrm>
                          <a:prstGeom prst="rect">
                            <a:avLst/>
                          </a:prstGeom>
                        </wps:spPr>
                        <wps:txbx>
                          <w:txbxContent>
                            <w:p w14:paraId="7BC7F2AD" w14:textId="77777777" w:rsidR="000E52B0" w:rsidRDefault="00F60D74">
                              <w:pPr>
                                <w:rPr>
                                  <w:rFonts w:ascii="Trebuchet MS"/>
                                  <w:sz w:val="18"/>
                                </w:rPr>
                              </w:pPr>
                              <w:r>
                                <w:rPr>
                                  <w:rFonts w:ascii="Trebuchet MS"/>
                                  <w:color w:val="404040"/>
                                  <w:spacing w:val="-5"/>
                                  <w:sz w:val="18"/>
                                </w:rPr>
                                <w:t>59</w:t>
                              </w:r>
                            </w:p>
                          </w:txbxContent>
                        </wps:txbx>
                        <wps:bodyPr wrap="square" lIns="0" tIns="0" rIns="0" bIns="0" rtlCol="0">
                          <a:noAutofit/>
                        </wps:bodyPr>
                      </wps:wsp>
                      <wps:wsp>
                        <wps:cNvPr id="634" name="Textbox 634"/>
                        <wps:cNvSpPr txBox="1"/>
                        <wps:spPr>
                          <a:xfrm>
                            <a:off x="1065466" y="529716"/>
                            <a:ext cx="74295" cy="139700"/>
                          </a:xfrm>
                          <a:prstGeom prst="rect">
                            <a:avLst/>
                          </a:prstGeom>
                        </wps:spPr>
                        <wps:txbx>
                          <w:txbxContent>
                            <w:p w14:paraId="1A55A77E" w14:textId="77777777" w:rsidR="000E52B0" w:rsidRDefault="00F60D74">
                              <w:pPr>
                                <w:rPr>
                                  <w:rFonts w:ascii="Trebuchet MS"/>
                                  <w:sz w:val="18"/>
                                </w:rPr>
                              </w:pPr>
                              <w:r>
                                <w:rPr>
                                  <w:rFonts w:ascii="Trebuchet MS"/>
                                  <w:color w:val="404040"/>
                                  <w:spacing w:val="-10"/>
                                  <w:sz w:val="18"/>
                                </w:rPr>
                                <w:t>3</w:t>
                              </w:r>
                            </w:p>
                          </w:txbxContent>
                        </wps:txbx>
                        <wps:bodyPr wrap="square" lIns="0" tIns="0" rIns="0" bIns="0" rtlCol="0">
                          <a:noAutofit/>
                        </wps:bodyPr>
                      </wps:wsp>
                      <wps:wsp>
                        <wps:cNvPr id="635" name="Textbox 635"/>
                        <wps:cNvSpPr txBox="1"/>
                        <wps:spPr>
                          <a:xfrm>
                            <a:off x="1888680" y="457200"/>
                            <a:ext cx="134620" cy="139700"/>
                          </a:xfrm>
                          <a:prstGeom prst="rect">
                            <a:avLst/>
                          </a:prstGeom>
                        </wps:spPr>
                        <wps:txbx>
                          <w:txbxContent>
                            <w:p w14:paraId="273E942D" w14:textId="77777777" w:rsidR="000E52B0" w:rsidRDefault="00F60D74">
                              <w:pPr>
                                <w:rPr>
                                  <w:rFonts w:ascii="Trebuchet MS"/>
                                  <w:sz w:val="18"/>
                                </w:rPr>
                              </w:pPr>
                              <w:r>
                                <w:rPr>
                                  <w:rFonts w:ascii="Trebuchet MS"/>
                                  <w:color w:val="404040"/>
                                  <w:spacing w:val="-5"/>
                                  <w:sz w:val="18"/>
                                </w:rPr>
                                <w:t>27</w:t>
                              </w:r>
                            </w:p>
                          </w:txbxContent>
                        </wps:txbx>
                        <wps:bodyPr wrap="square" lIns="0" tIns="0" rIns="0" bIns="0" rtlCol="0">
                          <a:noAutofit/>
                        </wps:bodyPr>
                      </wps:wsp>
                      <wps:wsp>
                        <wps:cNvPr id="636" name="Textbox 636"/>
                        <wps:cNvSpPr txBox="1"/>
                        <wps:spPr>
                          <a:xfrm>
                            <a:off x="3626421" y="520921"/>
                            <a:ext cx="74295" cy="140335"/>
                          </a:xfrm>
                          <a:prstGeom prst="rect">
                            <a:avLst/>
                          </a:prstGeom>
                        </wps:spPr>
                        <wps:txbx>
                          <w:txbxContent>
                            <w:p w14:paraId="45543B36" w14:textId="77777777" w:rsidR="000E52B0" w:rsidRDefault="00F60D74">
                              <w:pPr>
                                <w:rPr>
                                  <w:rFonts w:ascii="Trebuchet MS"/>
                                  <w:sz w:val="18"/>
                                </w:rPr>
                              </w:pPr>
                              <w:r>
                                <w:rPr>
                                  <w:rFonts w:ascii="Trebuchet MS"/>
                                  <w:color w:val="404040"/>
                                  <w:spacing w:val="-10"/>
                                  <w:sz w:val="18"/>
                                </w:rPr>
                                <w:t>6</w:t>
                              </w:r>
                            </w:p>
                          </w:txbxContent>
                        </wps:txbx>
                        <wps:bodyPr wrap="square" lIns="0" tIns="0" rIns="0" bIns="0" rtlCol="0">
                          <a:noAutofit/>
                        </wps:bodyPr>
                      </wps:wsp>
                      <wps:wsp>
                        <wps:cNvPr id="637" name="Textbox 637"/>
                        <wps:cNvSpPr txBox="1"/>
                        <wps:spPr>
                          <a:xfrm>
                            <a:off x="4449635" y="441070"/>
                            <a:ext cx="134620" cy="139700"/>
                          </a:xfrm>
                          <a:prstGeom prst="rect">
                            <a:avLst/>
                          </a:prstGeom>
                        </wps:spPr>
                        <wps:txbx>
                          <w:txbxContent>
                            <w:p w14:paraId="2F00B365" w14:textId="77777777" w:rsidR="000E52B0" w:rsidRDefault="00F60D74">
                              <w:pPr>
                                <w:rPr>
                                  <w:rFonts w:ascii="Trebuchet MS"/>
                                  <w:sz w:val="18"/>
                                </w:rPr>
                              </w:pPr>
                              <w:r>
                                <w:rPr>
                                  <w:rFonts w:ascii="Trebuchet MS"/>
                                  <w:color w:val="404040"/>
                                  <w:spacing w:val="-5"/>
                                  <w:sz w:val="18"/>
                                </w:rPr>
                                <w:t>32</w:t>
                              </w:r>
                            </w:p>
                          </w:txbxContent>
                        </wps:txbx>
                        <wps:bodyPr wrap="square" lIns="0" tIns="0" rIns="0" bIns="0" rtlCol="0">
                          <a:noAutofit/>
                        </wps:bodyPr>
                      </wps:wsp>
                      <wps:wsp>
                        <wps:cNvPr id="638" name="Textbox 638"/>
                        <wps:cNvSpPr txBox="1"/>
                        <wps:spPr>
                          <a:xfrm>
                            <a:off x="227520" y="801133"/>
                            <a:ext cx="422275" cy="125095"/>
                          </a:xfrm>
                          <a:prstGeom prst="rect">
                            <a:avLst/>
                          </a:prstGeom>
                        </wps:spPr>
                        <wps:txbx>
                          <w:txbxContent>
                            <w:p w14:paraId="14086E59" w14:textId="77777777" w:rsidR="000E52B0" w:rsidRDefault="00F60D74">
                              <w:pPr>
                                <w:rPr>
                                  <w:rFonts w:ascii="Trebuchet MS"/>
                                  <w:sz w:val="16"/>
                                </w:rPr>
                              </w:pPr>
                              <w:r>
                                <w:rPr>
                                  <w:rFonts w:ascii="Trebuchet MS"/>
                                  <w:color w:val="585858"/>
                                  <w:spacing w:val="-2"/>
                                  <w:sz w:val="16"/>
                                </w:rPr>
                                <w:t>Hombres</w:t>
                              </w:r>
                            </w:p>
                          </w:txbxContent>
                        </wps:txbx>
                        <wps:bodyPr wrap="square" lIns="0" tIns="0" rIns="0" bIns="0" rtlCol="0">
                          <a:noAutofit/>
                        </wps:bodyPr>
                      </wps:wsp>
                      <wps:wsp>
                        <wps:cNvPr id="639" name="Textbox 639"/>
                        <wps:cNvSpPr txBox="1"/>
                        <wps:spPr>
                          <a:xfrm>
                            <a:off x="782891" y="801133"/>
                            <a:ext cx="1021715" cy="321945"/>
                          </a:xfrm>
                          <a:prstGeom prst="rect">
                            <a:avLst/>
                          </a:prstGeom>
                        </wps:spPr>
                        <wps:txbx>
                          <w:txbxContent>
                            <w:p w14:paraId="59DC3690" w14:textId="77777777" w:rsidR="000E52B0" w:rsidRDefault="00F60D74">
                              <w:pPr>
                                <w:ind w:right="24"/>
                                <w:jc w:val="center"/>
                                <w:rPr>
                                  <w:rFonts w:ascii="Trebuchet MS"/>
                                  <w:sz w:val="16"/>
                                </w:rPr>
                              </w:pPr>
                              <w:r>
                                <w:rPr>
                                  <w:rFonts w:ascii="Trebuchet MS"/>
                                  <w:color w:val="585858"/>
                                  <w:spacing w:val="-2"/>
                                  <w:sz w:val="16"/>
                                </w:rPr>
                                <w:t>Mujeres</w:t>
                              </w:r>
                            </w:p>
                            <w:p w14:paraId="7026258D" w14:textId="77777777" w:rsidR="000E52B0" w:rsidRDefault="00F60D74">
                              <w:pPr>
                                <w:spacing w:before="125"/>
                                <w:ind w:left="6" w:right="24"/>
                                <w:jc w:val="center"/>
                                <w:rPr>
                                  <w:rFonts w:ascii="Trebuchet MS"/>
                                  <w:sz w:val="16"/>
                                </w:rPr>
                              </w:pPr>
                              <w:r>
                                <w:rPr>
                                  <w:rFonts w:ascii="Trebuchet MS"/>
                                  <w:color w:val="585858"/>
                                  <w:sz w:val="16"/>
                                </w:rPr>
                                <w:t>Personas</w:t>
                              </w:r>
                              <w:r>
                                <w:rPr>
                                  <w:rFonts w:ascii="Trebuchet MS"/>
                                  <w:color w:val="585858"/>
                                  <w:spacing w:val="1"/>
                                  <w:sz w:val="16"/>
                                </w:rPr>
                                <w:t xml:space="preserve"> </w:t>
                              </w:r>
                              <w:r>
                                <w:rPr>
                                  <w:rFonts w:ascii="Trebuchet MS"/>
                                  <w:color w:val="585858"/>
                                  <w:spacing w:val="-2"/>
                                  <w:sz w:val="16"/>
                                </w:rPr>
                                <w:t>colombianas</w:t>
                              </w:r>
                            </w:p>
                          </w:txbxContent>
                        </wps:txbx>
                        <wps:bodyPr wrap="square" lIns="0" tIns="0" rIns="0" bIns="0" rtlCol="0">
                          <a:noAutofit/>
                        </wps:bodyPr>
                      </wps:wsp>
                      <wps:wsp>
                        <wps:cNvPr id="640" name="Textbox 640"/>
                        <wps:cNvSpPr txBox="1"/>
                        <wps:spPr>
                          <a:xfrm>
                            <a:off x="2019744" y="801133"/>
                            <a:ext cx="231140" cy="125095"/>
                          </a:xfrm>
                          <a:prstGeom prst="rect">
                            <a:avLst/>
                          </a:prstGeom>
                        </wps:spPr>
                        <wps:txbx>
                          <w:txbxContent>
                            <w:p w14:paraId="56041B81" w14:textId="77777777" w:rsidR="000E52B0" w:rsidRDefault="00F60D74">
                              <w:pPr>
                                <w:rPr>
                                  <w:rFonts w:ascii="Trebuchet MS"/>
                                  <w:sz w:val="16"/>
                                </w:rPr>
                              </w:pPr>
                              <w:r>
                                <w:rPr>
                                  <w:rFonts w:ascii="Trebuchet MS"/>
                                  <w:color w:val="585858"/>
                                  <w:spacing w:val="-5"/>
                                  <w:sz w:val="16"/>
                                </w:rPr>
                                <w:t>Total</w:t>
                              </w:r>
                            </w:p>
                          </w:txbxContent>
                        </wps:txbx>
                        <wps:bodyPr wrap="square" lIns="0" tIns="0" rIns="0" bIns="0" rtlCol="0">
                          <a:noAutofit/>
                        </wps:bodyPr>
                      </wps:wsp>
                      <wps:wsp>
                        <wps:cNvPr id="641" name="Textbox 641"/>
                        <wps:cNvSpPr txBox="1"/>
                        <wps:spPr>
                          <a:xfrm>
                            <a:off x="2788475" y="801133"/>
                            <a:ext cx="422275" cy="125095"/>
                          </a:xfrm>
                          <a:prstGeom prst="rect">
                            <a:avLst/>
                          </a:prstGeom>
                        </wps:spPr>
                        <wps:txbx>
                          <w:txbxContent>
                            <w:p w14:paraId="73EB9E85" w14:textId="77777777" w:rsidR="000E52B0" w:rsidRDefault="00F60D74">
                              <w:pPr>
                                <w:rPr>
                                  <w:rFonts w:ascii="Trebuchet MS"/>
                                  <w:sz w:val="16"/>
                                </w:rPr>
                              </w:pPr>
                              <w:r>
                                <w:rPr>
                                  <w:rFonts w:ascii="Trebuchet MS"/>
                                  <w:color w:val="585858"/>
                                  <w:spacing w:val="-2"/>
                                  <w:sz w:val="16"/>
                                </w:rPr>
                                <w:t>Hombres</w:t>
                              </w:r>
                            </w:p>
                          </w:txbxContent>
                        </wps:txbx>
                        <wps:bodyPr wrap="square" lIns="0" tIns="0" rIns="0" bIns="0" rtlCol="0">
                          <a:noAutofit/>
                        </wps:bodyPr>
                      </wps:wsp>
                      <wps:wsp>
                        <wps:cNvPr id="642" name="Textbox 642"/>
                        <wps:cNvSpPr txBox="1"/>
                        <wps:spPr>
                          <a:xfrm>
                            <a:off x="3355657" y="801133"/>
                            <a:ext cx="993775" cy="321945"/>
                          </a:xfrm>
                          <a:prstGeom prst="rect">
                            <a:avLst/>
                          </a:prstGeom>
                        </wps:spPr>
                        <wps:txbx>
                          <w:txbxContent>
                            <w:p w14:paraId="2F3EF009" w14:textId="77777777" w:rsidR="000E52B0" w:rsidRDefault="00F60D74">
                              <w:pPr>
                                <w:ind w:left="2" w:right="18"/>
                                <w:jc w:val="center"/>
                                <w:rPr>
                                  <w:rFonts w:ascii="Trebuchet MS"/>
                                  <w:sz w:val="16"/>
                                </w:rPr>
                              </w:pPr>
                              <w:r>
                                <w:rPr>
                                  <w:rFonts w:ascii="Trebuchet MS"/>
                                  <w:color w:val="585858"/>
                                  <w:spacing w:val="-2"/>
                                  <w:sz w:val="16"/>
                                </w:rPr>
                                <w:t>Mujeres</w:t>
                              </w:r>
                            </w:p>
                            <w:p w14:paraId="1C8B5759" w14:textId="77777777" w:rsidR="000E52B0" w:rsidRDefault="00F60D74">
                              <w:pPr>
                                <w:spacing w:before="125"/>
                                <w:ind w:left="-1" w:right="18"/>
                                <w:jc w:val="center"/>
                                <w:rPr>
                                  <w:rFonts w:ascii="Trebuchet MS"/>
                                  <w:sz w:val="16"/>
                                </w:rPr>
                              </w:pPr>
                              <w:r>
                                <w:rPr>
                                  <w:rFonts w:ascii="Trebuchet MS"/>
                                  <w:color w:val="585858"/>
                                  <w:sz w:val="16"/>
                                </w:rPr>
                                <w:t>Personas</w:t>
                              </w:r>
                              <w:r>
                                <w:rPr>
                                  <w:rFonts w:ascii="Trebuchet MS"/>
                                  <w:color w:val="585858"/>
                                  <w:spacing w:val="-3"/>
                                  <w:sz w:val="16"/>
                                </w:rPr>
                                <w:t xml:space="preserve"> </w:t>
                              </w:r>
                              <w:r>
                                <w:rPr>
                                  <w:rFonts w:ascii="Trebuchet MS"/>
                                  <w:color w:val="585858"/>
                                  <w:spacing w:val="-2"/>
                                  <w:sz w:val="16"/>
                                </w:rPr>
                                <w:t>venezolanas</w:t>
                              </w:r>
                            </w:p>
                          </w:txbxContent>
                        </wps:txbx>
                        <wps:bodyPr wrap="square" lIns="0" tIns="0" rIns="0" bIns="0" rtlCol="0">
                          <a:noAutofit/>
                        </wps:bodyPr>
                      </wps:wsp>
                      <wps:wsp>
                        <wps:cNvPr id="643" name="Textbox 643"/>
                        <wps:cNvSpPr txBox="1"/>
                        <wps:spPr>
                          <a:xfrm>
                            <a:off x="4591113" y="801133"/>
                            <a:ext cx="231140" cy="125095"/>
                          </a:xfrm>
                          <a:prstGeom prst="rect">
                            <a:avLst/>
                          </a:prstGeom>
                        </wps:spPr>
                        <wps:txbx>
                          <w:txbxContent>
                            <w:p w14:paraId="04261907" w14:textId="77777777" w:rsidR="000E52B0" w:rsidRDefault="00F60D74">
                              <w:pPr>
                                <w:rPr>
                                  <w:rFonts w:ascii="Trebuchet MS"/>
                                  <w:sz w:val="16"/>
                                </w:rPr>
                              </w:pPr>
                              <w:r>
                                <w:rPr>
                                  <w:rFonts w:ascii="Trebuchet MS"/>
                                  <w:color w:val="585858"/>
                                  <w:spacing w:val="-5"/>
                                  <w:sz w:val="16"/>
                                </w:rPr>
                                <w:t>Total</w:t>
                              </w:r>
                            </w:p>
                          </w:txbxContent>
                        </wps:txbx>
                        <wps:bodyPr wrap="square" lIns="0" tIns="0" rIns="0" bIns="0" rtlCol="0">
                          <a:noAutofit/>
                        </wps:bodyPr>
                      </wps:wsp>
                      <wps:wsp>
                        <wps:cNvPr id="644" name="Textbox 644"/>
                        <wps:cNvSpPr txBox="1"/>
                        <wps:spPr>
                          <a:xfrm>
                            <a:off x="2014029" y="1195595"/>
                            <a:ext cx="1116330" cy="125095"/>
                          </a:xfrm>
                          <a:prstGeom prst="rect">
                            <a:avLst/>
                          </a:prstGeom>
                        </wps:spPr>
                        <wps:txbx>
                          <w:txbxContent>
                            <w:p w14:paraId="03DC67A1" w14:textId="77777777" w:rsidR="000E52B0" w:rsidRDefault="00F60D74">
                              <w:pPr>
                                <w:rPr>
                                  <w:rFonts w:ascii="Trebuchet MS"/>
                                  <w:sz w:val="16"/>
                                </w:rPr>
                              </w:pPr>
                              <w:r>
                                <w:rPr>
                                  <w:rFonts w:ascii="Trebuchet MS"/>
                                  <w:color w:val="585858"/>
                                  <w:spacing w:val="-2"/>
                                  <w:sz w:val="16"/>
                                </w:rPr>
                                <w:t>Tasas</w:t>
                              </w:r>
                              <w:r>
                                <w:rPr>
                                  <w:rFonts w:ascii="Trebuchet MS"/>
                                  <w:color w:val="585858"/>
                                  <w:spacing w:val="-11"/>
                                  <w:sz w:val="16"/>
                                </w:rPr>
                                <w:t xml:space="preserve"> </w:t>
                              </w:r>
                              <w:r>
                                <w:rPr>
                                  <w:rFonts w:ascii="Trebuchet MS"/>
                                  <w:color w:val="585858"/>
                                  <w:spacing w:val="-2"/>
                                  <w:sz w:val="16"/>
                                </w:rPr>
                                <w:t>X</w:t>
                              </w:r>
                              <w:r>
                                <w:rPr>
                                  <w:rFonts w:ascii="Trebuchet MS"/>
                                  <w:color w:val="585858"/>
                                  <w:spacing w:val="-13"/>
                                  <w:sz w:val="16"/>
                                </w:rPr>
                                <w:t xml:space="preserve"> </w:t>
                              </w:r>
                              <w:r>
                                <w:rPr>
                                  <w:rFonts w:ascii="Trebuchet MS"/>
                                  <w:color w:val="585858"/>
                                  <w:spacing w:val="-2"/>
                                  <w:sz w:val="16"/>
                                </w:rPr>
                                <w:t>100</w:t>
                              </w:r>
                              <w:r>
                                <w:rPr>
                                  <w:rFonts w:ascii="Trebuchet MS"/>
                                  <w:color w:val="585858"/>
                                  <w:spacing w:val="-11"/>
                                  <w:sz w:val="16"/>
                                </w:rPr>
                                <w:t xml:space="preserve"> </w:t>
                              </w:r>
                              <w:r>
                                <w:rPr>
                                  <w:rFonts w:ascii="Trebuchet MS"/>
                                  <w:color w:val="585858"/>
                                  <w:spacing w:val="-2"/>
                                  <w:sz w:val="16"/>
                                </w:rPr>
                                <w:t>mil</w:t>
                              </w:r>
                              <w:r>
                                <w:rPr>
                                  <w:rFonts w:ascii="Trebuchet MS"/>
                                  <w:color w:val="585858"/>
                                  <w:spacing w:val="-11"/>
                                  <w:sz w:val="16"/>
                                </w:rPr>
                                <w:t xml:space="preserve"> </w:t>
                              </w:r>
                              <w:r>
                                <w:rPr>
                                  <w:rFonts w:ascii="Trebuchet MS"/>
                                  <w:color w:val="585858"/>
                                  <w:spacing w:val="-2"/>
                                  <w:sz w:val="16"/>
                                </w:rPr>
                                <w:t>personas</w:t>
                              </w:r>
                            </w:p>
                          </w:txbxContent>
                        </wps:txbx>
                        <wps:bodyPr wrap="square" lIns="0" tIns="0" rIns="0" bIns="0" rtlCol="0">
                          <a:noAutofit/>
                        </wps:bodyPr>
                      </wps:wsp>
                    </wpg:wgp>
                  </a:graphicData>
                </a:graphic>
              </wp:anchor>
            </w:drawing>
          </mc:Choice>
          <mc:Fallback>
            <w:pict>
              <v:group w14:anchorId="728CF1D3" id="Group 623" o:spid="_x0000_s1398" style="position:absolute;left:0;text-align:left;margin-left:95.65pt;margin-top:12.75pt;width:403.95pt;height:104.6pt;z-index:-15653376;mso-wrap-distance-left:0;mso-wrap-distance-right:0;mso-position-horizontal-relative:page;mso-position-vertical-relative:text" coordsize="51301,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">
                <v:shape id="Graphic 624" o:spid="_x0000_s1399" style="position:absolute;left:940;top:5523;width:45644;height:1848;visibility:visible;mso-wrap-style:square;v-text-anchor:top" coordsize="456438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" path="m297180,25908l,25908,,184404r297180,l297180,25908xem1150620,173736r-297180,l853440,184404r297180,l1150620,173736xem2004060,102108r-297180,l1706880,184404r297180,l2004060,102108xem2857500,l2560320,r,184404l2857500,184404,2857500,xem3710940,166116r-297180,l3413760,184404r297180,l3710940,166116xem4564380,85344r-297180,l4267200,184404r297180,l4564380,85344xe" fillcolor="#d44673" stroked="f">
                  <v:path arrowok="t"/>
                </v:shape>
                <v:shape id="Graphic 625" o:spid="_x0000_s1400" style="position:absolute;left:4719;top:67;width:45644;height:7302;visibility:visible;mso-wrap-style:square;v-text-anchor:top" coordsize="456438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" path="m297180,l,,,729996r297180,l297180,xem1150620,382524r-297180,l853440,729996r297180,l1150620,382524xem2004060,195072r-297180,l1706880,729996r297180,l2004060,195072xem2857500,190500r-297180,l2560320,729996r297180,l2857500,190500xem3710940,368808r-297180,l3413760,729996r297180,l3710940,368808xem4564380,281940r-297180,l4267200,729996r297180,l4564380,281940xe" fillcolor="#741a36" stroked="f">
                  <v:path arrowok="t"/>
                </v:shape>
                <v:shape id="Graphic 626" o:spid="_x0000_s1401" style="position:absolute;left:47;top:7367;width:51207;height:5918;visibility:visible;mso-wrap-style:square;v-text-anchor:top" coordsize="512064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" path="m,l5120640,em,l,197103em2559685,r,197103em5120640,r,197103em,197103l,394207em2559685,197103r,197104em5120640,197103r,197104em,394207l,591312em5120640,394207r,197105e" filled="f" strokecolor="#d9d9d9">
                  <v:path arrowok="t"/>
                </v:shape>
                <v:shape id="Textbox 627" o:spid="_x0000_s1402" type="#_x0000_t202" style="position:absolute;left:22358;top:54;width:195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316A27C4" w14:textId="77777777" w:rsidR="000E52B0" w:rsidRDefault="00F60D74">
                        <w:pPr>
                          <w:rPr>
                            <w:rFonts w:ascii="Trebuchet MS"/>
                            <w:sz w:val="18"/>
                          </w:rPr>
                        </w:pPr>
                        <w:r>
                          <w:rPr>
                            <w:rFonts w:ascii="Trebuchet MS"/>
                            <w:color w:val="404040"/>
                            <w:spacing w:val="-5"/>
                            <w:sz w:val="18"/>
                          </w:rPr>
                          <w:t>172</w:t>
                        </w:r>
                      </w:p>
                    </w:txbxContent>
                  </v:textbox>
                </v:shape>
                <v:shape id="Textbox 628" o:spid="_x0000_s1403" type="#_x0000_t202" style="position:absolute;left:30895;width:195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00CE1961" w14:textId="77777777" w:rsidR="000E52B0" w:rsidRDefault="00F60D74">
                        <w:pPr>
                          <w:rPr>
                            <w:rFonts w:ascii="Trebuchet MS"/>
                            <w:sz w:val="18"/>
                          </w:rPr>
                        </w:pPr>
                        <w:r>
                          <w:rPr>
                            <w:rFonts w:ascii="Trebuchet MS"/>
                            <w:color w:val="404040"/>
                            <w:spacing w:val="-5"/>
                            <w:sz w:val="18"/>
                          </w:rPr>
                          <w:t>174</w:t>
                        </w:r>
                      </w:p>
                    </w:txbxContent>
                  </v:textbox>
                </v:shape>
                <v:shape id="Textbox 629" o:spid="_x0000_s1404" type="#_x0000_t202" style="position:absolute;left:13824;top:1920;width:195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72639252" w14:textId="77777777" w:rsidR="000E52B0" w:rsidRDefault="00F60D74">
                        <w:pPr>
                          <w:rPr>
                            <w:rFonts w:ascii="Trebuchet MS"/>
                            <w:sz w:val="18"/>
                          </w:rPr>
                        </w:pPr>
                        <w:r>
                          <w:rPr>
                            <w:rFonts w:ascii="Trebuchet MS"/>
                            <w:color w:val="404040"/>
                            <w:spacing w:val="-5"/>
                            <w:sz w:val="18"/>
                          </w:rPr>
                          <w:t>112</w:t>
                        </w:r>
                      </w:p>
                    </w:txbxContent>
                  </v:textbox>
                </v:shape>
                <v:shape id="Textbox 630" o:spid="_x0000_s1405" type="#_x0000_t202" style="position:absolute;left:39430;top:1789;width:196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73419F43" w14:textId="77777777" w:rsidR="000E52B0" w:rsidRDefault="00F60D74">
                        <w:pPr>
                          <w:rPr>
                            <w:rFonts w:ascii="Trebuchet MS"/>
                            <w:sz w:val="18"/>
                          </w:rPr>
                        </w:pPr>
                        <w:r>
                          <w:rPr>
                            <w:rFonts w:ascii="Trebuchet MS"/>
                            <w:color w:val="404040"/>
                            <w:spacing w:val="-5"/>
                            <w:sz w:val="18"/>
                          </w:rPr>
                          <w:t>116</w:t>
                        </w:r>
                      </w:p>
                    </w:txbxContent>
                  </v:textbox>
                </v:shape>
                <v:shape id="Textbox 631" o:spid="_x0000_s1406" type="#_x0000_t202" style="position:absolute;left:47968;top:927;width:195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6DDFB685" w14:textId="77777777" w:rsidR="000E52B0" w:rsidRDefault="00F60D74">
                        <w:pPr>
                          <w:rPr>
                            <w:rFonts w:ascii="Trebuchet MS"/>
                            <w:sz w:val="18"/>
                          </w:rPr>
                        </w:pPr>
                        <w:r>
                          <w:rPr>
                            <w:rFonts w:ascii="Trebuchet MS"/>
                            <w:color w:val="404040"/>
                            <w:spacing w:val="-5"/>
                            <w:sz w:val="18"/>
                          </w:rPr>
                          <w:t>144</w:t>
                        </w:r>
                      </w:p>
                    </w:txbxContent>
                  </v:textbox>
                </v:shape>
                <v:shape id="Textbox 632" o:spid="_x0000_s1407" type="#_x0000_t202" style="position:absolute;left:1815;top:3810;width:134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0E97DCDC" w14:textId="77777777" w:rsidR="000E52B0" w:rsidRDefault="00F60D74">
                        <w:pPr>
                          <w:rPr>
                            <w:rFonts w:ascii="Trebuchet MS"/>
                            <w:sz w:val="18"/>
                          </w:rPr>
                        </w:pPr>
                        <w:r>
                          <w:rPr>
                            <w:rFonts w:ascii="Trebuchet MS"/>
                            <w:color w:val="404040"/>
                            <w:spacing w:val="-5"/>
                            <w:sz w:val="18"/>
                          </w:rPr>
                          <w:t>51</w:t>
                        </w:r>
                      </w:p>
                    </w:txbxContent>
                  </v:textbox>
                </v:shape>
                <v:shape id="Textbox 633" o:spid="_x0000_s1408" type="#_x0000_t202" style="position:absolute;left:27425;top:3550;width:134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7BC7F2AD" w14:textId="77777777" w:rsidR="000E52B0" w:rsidRDefault="00F60D74">
                        <w:pPr>
                          <w:rPr>
                            <w:rFonts w:ascii="Trebuchet MS"/>
                            <w:sz w:val="18"/>
                          </w:rPr>
                        </w:pPr>
                        <w:r>
                          <w:rPr>
                            <w:rFonts w:ascii="Trebuchet MS"/>
                            <w:color w:val="404040"/>
                            <w:spacing w:val="-5"/>
                            <w:sz w:val="18"/>
                          </w:rPr>
                          <w:t>59</w:t>
                        </w:r>
                      </w:p>
                    </w:txbxContent>
                  </v:textbox>
                </v:shape>
                <v:shape id="Textbox 634" o:spid="_x0000_s1409" type="#_x0000_t202" style="position:absolute;left:10654;top:5297;width:74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1A55A77E" w14:textId="77777777" w:rsidR="000E52B0" w:rsidRDefault="00F60D74">
                        <w:pPr>
                          <w:rPr>
                            <w:rFonts w:ascii="Trebuchet MS"/>
                            <w:sz w:val="18"/>
                          </w:rPr>
                        </w:pPr>
                        <w:r>
                          <w:rPr>
                            <w:rFonts w:ascii="Trebuchet MS"/>
                            <w:color w:val="404040"/>
                            <w:spacing w:val="-10"/>
                            <w:sz w:val="18"/>
                          </w:rPr>
                          <w:t>3</w:t>
                        </w:r>
                      </w:p>
                    </w:txbxContent>
                  </v:textbox>
                </v:shape>
                <v:shape id="Textbox 635" o:spid="_x0000_s1410" type="#_x0000_t202" style="position:absolute;left:18886;top:4572;width:134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273E942D" w14:textId="77777777" w:rsidR="000E52B0" w:rsidRDefault="00F60D74">
                        <w:pPr>
                          <w:rPr>
                            <w:rFonts w:ascii="Trebuchet MS"/>
                            <w:sz w:val="18"/>
                          </w:rPr>
                        </w:pPr>
                        <w:r>
                          <w:rPr>
                            <w:rFonts w:ascii="Trebuchet MS"/>
                            <w:color w:val="404040"/>
                            <w:spacing w:val="-5"/>
                            <w:sz w:val="18"/>
                          </w:rPr>
                          <w:t>27</w:t>
                        </w:r>
                      </w:p>
                    </w:txbxContent>
                  </v:textbox>
                </v:shape>
                <v:shape id="Textbox 636" o:spid="_x0000_s1411" type="#_x0000_t202" style="position:absolute;left:36264;top:5209;width:74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45543B36" w14:textId="77777777" w:rsidR="000E52B0" w:rsidRDefault="00F60D74">
                        <w:pPr>
                          <w:rPr>
                            <w:rFonts w:ascii="Trebuchet MS"/>
                            <w:sz w:val="18"/>
                          </w:rPr>
                        </w:pPr>
                        <w:r>
                          <w:rPr>
                            <w:rFonts w:ascii="Trebuchet MS"/>
                            <w:color w:val="404040"/>
                            <w:spacing w:val="-10"/>
                            <w:sz w:val="18"/>
                          </w:rPr>
                          <w:t>6</w:t>
                        </w:r>
                      </w:p>
                    </w:txbxContent>
                  </v:textbox>
                </v:shape>
                <v:shape id="Textbox 637" o:spid="_x0000_s1412" type="#_x0000_t202" style="position:absolute;left:44496;top:4410;width:134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2F00B365" w14:textId="77777777" w:rsidR="000E52B0" w:rsidRDefault="00F60D74">
                        <w:pPr>
                          <w:rPr>
                            <w:rFonts w:ascii="Trebuchet MS"/>
                            <w:sz w:val="18"/>
                          </w:rPr>
                        </w:pPr>
                        <w:r>
                          <w:rPr>
                            <w:rFonts w:ascii="Trebuchet MS"/>
                            <w:color w:val="404040"/>
                            <w:spacing w:val="-5"/>
                            <w:sz w:val="18"/>
                          </w:rPr>
                          <w:t>32</w:t>
                        </w:r>
                      </w:p>
                    </w:txbxContent>
                  </v:textbox>
                </v:shape>
                <v:shape id="Textbox 638" o:spid="_x0000_s1413" type="#_x0000_t202" style="position:absolute;left:2275;top:8011;width:4222;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14086E59" w14:textId="77777777" w:rsidR="000E52B0" w:rsidRDefault="00F60D74">
                        <w:pPr>
                          <w:rPr>
                            <w:rFonts w:ascii="Trebuchet MS"/>
                            <w:sz w:val="16"/>
                          </w:rPr>
                        </w:pPr>
                        <w:r>
                          <w:rPr>
                            <w:rFonts w:ascii="Trebuchet MS"/>
                            <w:color w:val="585858"/>
                            <w:spacing w:val="-2"/>
                            <w:sz w:val="16"/>
                          </w:rPr>
                          <w:t>Hombres</w:t>
                        </w:r>
                      </w:p>
                    </w:txbxContent>
                  </v:textbox>
                </v:shape>
                <v:shape id="Textbox 639" o:spid="_x0000_s1414" type="#_x0000_t202" style="position:absolute;left:7828;top:8011;width:10218;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59DC3690" w14:textId="77777777" w:rsidR="000E52B0" w:rsidRDefault="00F60D74">
                        <w:pPr>
                          <w:ind w:right="24"/>
                          <w:jc w:val="center"/>
                          <w:rPr>
                            <w:rFonts w:ascii="Trebuchet MS"/>
                            <w:sz w:val="16"/>
                          </w:rPr>
                        </w:pPr>
                        <w:r>
                          <w:rPr>
                            <w:rFonts w:ascii="Trebuchet MS"/>
                            <w:color w:val="585858"/>
                            <w:spacing w:val="-2"/>
                            <w:sz w:val="16"/>
                          </w:rPr>
                          <w:t>Mujeres</w:t>
                        </w:r>
                      </w:p>
                      <w:p w14:paraId="7026258D" w14:textId="77777777" w:rsidR="000E52B0" w:rsidRDefault="00F60D74">
                        <w:pPr>
                          <w:spacing w:before="125"/>
                          <w:ind w:left="6" w:right="24"/>
                          <w:jc w:val="center"/>
                          <w:rPr>
                            <w:rFonts w:ascii="Trebuchet MS"/>
                            <w:sz w:val="16"/>
                          </w:rPr>
                        </w:pPr>
                        <w:r>
                          <w:rPr>
                            <w:rFonts w:ascii="Trebuchet MS"/>
                            <w:color w:val="585858"/>
                            <w:sz w:val="16"/>
                          </w:rPr>
                          <w:t>Personas</w:t>
                        </w:r>
                        <w:r>
                          <w:rPr>
                            <w:rFonts w:ascii="Trebuchet MS"/>
                            <w:color w:val="585858"/>
                            <w:spacing w:val="1"/>
                            <w:sz w:val="16"/>
                          </w:rPr>
                          <w:t xml:space="preserve"> </w:t>
                        </w:r>
                        <w:r>
                          <w:rPr>
                            <w:rFonts w:ascii="Trebuchet MS"/>
                            <w:color w:val="585858"/>
                            <w:spacing w:val="-2"/>
                            <w:sz w:val="16"/>
                          </w:rPr>
                          <w:t>colombianas</w:t>
                        </w:r>
                      </w:p>
                    </w:txbxContent>
                  </v:textbox>
                </v:shape>
                <v:shape id="Textbox 640" o:spid="_x0000_s1415" type="#_x0000_t202" style="position:absolute;left:20197;top:8011;width:2311;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56041B81" w14:textId="77777777" w:rsidR="000E52B0" w:rsidRDefault="00F60D74">
                        <w:pPr>
                          <w:rPr>
                            <w:rFonts w:ascii="Trebuchet MS"/>
                            <w:sz w:val="16"/>
                          </w:rPr>
                        </w:pPr>
                        <w:r>
                          <w:rPr>
                            <w:rFonts w:ascii="Trebuchet MS"/>
                            <w:color w:val="585858"/>
                            <w:spacing w:val="-5"/>
                            <w:sz w:val="16"/>
                          </w:rPr>
                          <w:t>Total</w:t>
                        </w:r>
                      </w:p>
                    </w:txbxContent>
                  </v:textbox>
                </v:shape>
                <v:shape id="Textbox 641" o:spid="_x0000_s1416" type="#_x0000_t202" style="position:absolute;left:27884;top:8011;width:4223;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73EB9E85" w14:textId="77777777" w:rsidR="000E52B0" w:rsidRDefault="00F60D74">
                        <w:pPr>
                          <w:rPr>
                            <w:rFonts w:ascii="Trebuchet MS"/>
                            <w:sz w:val="16"/>
                          </w:rPr>
                        </w:pPr>
                        <w:r>
                          <w:rPr>
                            <w:rFonts w:ascii="Trebuchet MS"/>
                            <w:color w:val="585858"/>
                            <w:spacing w:val="-2"/>
                            <w:sz w:val="16"/>
                          </w:rPr>
                          <w:t>Hombres</w:t>
                        </w:r>
                      </w:p>
                    </w:txbxContent>
                  </v:textbox>
                </v:shape>
                <v:shape id="Textbox 642" o:spid="_x0000_s1417" type="#_x0000_t202" style="position:absolute;left:33556;top:8011;width:9938;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2F3EF009" w14:textId="77777777" w:rsidR="000E52B0" w:rsidRDefault="00F60D74">
                        <w:pPr>
                          <w:ind w:left="2" w:right="18"/>
                          <w:jc w:val="center"/>
                          <w:rPr>
                            <w:rFonts w:ascii="Trebuchet MS"/>
                            <w:sz w:val="16"/>
                          </w:rPr>
                        </w:pPr>
                        <w:r>
                          <w:rPr>
                            <w:rFonts w:ascii="Trebuchet MS"/>
                            <w:color w:val="585858"/>
                            <w:spacing w:val="-2"/>
                            <w:sz w:val="16"/>
                          </w:rPr>
                          <w:t>Mujeres</w:t>
                        </w:r>
                      </w:p>
                      <w:p w14:paraId="1C8B5759" w14:textId="77777777" w:rsidR="000E52B0" w:rsidRDefault="00F60D74">
                        <w:pPr>
                          <w:spacing w:before="125"/>
                          <w:ind w:left="-1" w:right="18"/>
                          <w:jc w:val="center"/>
                          <w:rPr>
                            <w:rFonts w:ascii="Trebuchet MS"/>
                            <w:sz w:val="16"/>
                          </w:rPr>
                        </w:pPr>
                        <w:r>
                          <w:rPr>
                            <w:rFonts w:ascii="Trebuchet MS"/>
                            <w:color w:val="585858"/>
                            <w:sz w:val="16"/>
                          </w:rPr>
                          <w:t>Personas</w:t>
                        </w:r>
                        <w:r>
                          <w:rPr>
                            <w:rFonts w:ascii="Trebuchet MS"/>
                            <w:color w:val="585858"/>
                            <w:spacing w:val="-3"/>
                            <w:sz w:val="16"/>
                          </w:rPr>
                          <w:t xml:space="preserve"> </w:t>
                        </w:r>
                        <w:r>
                          <w:rPr>
                            <w:rFonts w:ascii="Trebuchet MS"/>
                            <w:color w:val="585858"/>
                            <w:spacing w:val="-2"/>
                            <w:sz w:val="16"/>
                          </w:rPr>
                          <w:t>venezolanas</w:t>
                        </w:r>
                      </w:p>
                    </w:txbxContent>
                  </v:textbox>
                </v:shape>
                <v:shape id="Textbox 643" o:spid="_x0000_s1418" type="#_x0000_t202" style="position:absolute;left:45911;top:8011;width:2311;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04261907" w14:textId="77777777" w:rsidR="000E52B0" w:rsidRDefault="00F60D74">
                        <w:pPr>
                          <w:rPr>
                            <w:rFonts w:ascii="Trebuchet MS"/>
                            <w:sz w:val="16"/>
                          </w:rPr>
                        </w:pPr>
                        <w:r>
                          <w:rPr>
                            <w:rFonts w:ascii="Trebuchet MS"/>
                            <w:color w:val="585858"/>
                            <w:spacing w:val="-5"/>
                            <w:sz w:val="16"/>
                          </w:rPr>
                          <w:t>Total</w:t>
                        </w:r>
                      </w:p>
                    </w:txbxContent>
                  </v:textbox>
                </v:shape>
                <v:shape id="Textbox 644" o:spid="_x0000_s1419" type="#_x0000_t202" style="position:absolute;left:20140;top:11955;width:11163;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03DC67A1" w14:textId="77777777" w:rsidR="000E52B0" w:rsidRDefault="00F60D74">
                        <w:pPr>
                          <w:rPr>
                            <w:rFonts w:ascii="Trebuchet MS"/>
                            <w:sz w:val="16"/>
                          </w:rPr>
                        </w:pPr>
                        <w:r>
                          <w:rPr>
                            <w:rFonts w:ascii="Trebuchet MS"/>
                            <w:color w:val="585858"/>
                            <w:spacing w:val="-2"/>
                            <w:sz w:val="16"/>
                          </w:rPr>
                          <w:t>Tasas</w:t>
                        </w:r>
                        <w:r>
                          <w:rPr>
                            <w:rFonts w:ascii="Trebuchet MS"/>
                            <w:color w:val="585858"/>
                            <w:spacing w:val="-11"/>
                            <w:sz w:val="16"/>
                          </w:rPr>
                          <w:t xml:space="preserve"> </w:t>
                        </w:r>
                        <w:r>
                          <w:rPr>
                            <w:rFonts w:ascii="Trebuchet MS"/>
                            <w:color w:val="585858"/>
                            <w:spacing w:val="-2"/>
                            <w:sz w:val="16"/>
                          </w:rPr>
                          <w:t>X</w:t>
                        </w:r>
                        <w:r>
                          <w:rPr>
                            <w:rFonts w:ascii="Trebuchet MS"/>
                            <w:color w:val="585858"/>
                            <w:spacing w:val="-13"/>
                            <w:sz w:val="16"/>
                          </w:rPr>
                          <w:t xml:space="preserve"> </w:t>
                        </w:r>
                        <w:r>
                          <w:rPr>
                            <w:rFonts w:ascii="Trebuchet MS"/>
                            <w:color w:val="585858"/>
                            <w:spacing w:val="-2"/>
                            <w:sz w:val="16"/>
                          </w:rPr>
                          <w:t>100</w:t>
                        </w:r>
                        <w:r>
                          <w:rPr>
                            <w:rFonts w:ascii="Trebuchet MS"/>
                            <w:color w:val="585858"/>
                            <w:spacing w:val="-11"/>
                            <w:sz w:val="16"/>
                          </w:rPr>
                          <w:t xml:space="preserve"> </w:t>
                        </w:r>
                        <w:r>
                          <w:rPr>
                            <w:rFonts w:ascii="Trebuchet MS"/>
                            <w:color w:val="585858"/>
                            <w:spacing w:val="-2"/>
                            <w:sz w:val="16"/>
                          </w:rPr>
                          <w:t>mil</w:t>
                        </w:r>
                        <w:r>
                          <w:rPr>
                            <w:rFonts w:ascii="Trebuchet MS"/>
                            <w:color w:val="585858"/>
                            <w:spacing w:val="-11"/>
                            <w:sz w:val="16"/>
                          </w:rPr>
                          <w:t xml:space="preserve"> </w:t>
                        </w:r>
                        <w:r>
                          <w:rPr>
                            <w:rFonts w:ascii="Trebuchet MS"/>
                            <w:color w:val="585858"/>
                            <w:spacing w:val="-2"/>
                            <w:sz w:val="16"/>
                          </w:rPr>
                          <w:t>personas</w:t>
                        </w:r>
                      </w:p>
                    </w:txbxContent>
                  </v:textbox>
                </v:shape>
                <w10:wrap type="topAndBottom" anchorx="page"/>
              </v:group>
            </w:pict>
          </mc:Fallback>
        </mc:AlternateContent>
      </w:r>
      <w:r>
        <w:rPr>
          <w:rFonts w:ascii="Trebuchet MS"/>
          <w:color w:val="404040"/>
          <w:spacing w:val="-5"/>
          <w:sz w:val="18"/>
        </w:rPr>
        <w:t>235</w:t>
      </w:r>
    </w:p>
    <w:p w14:paraId="130B90DD" w14:textId="77777777" w:rsidR="000E52B0" w:rsidRDefault="00F60D74">
      <w:pPr>
        <w:tabs>
          <w:tab w:val="left" w:pos="1893"/>
        </w:tabs>
        <w:spacing w:before="149"/>
        <w:ind w:left="35"/>
        <w:jc w:val="center"/>
        <w:rPr>
          <w:rFonts w:ascii="Trebuchet MS"/>
          <w:sz w:val="18"/>
        </w:rPr>
      </w:pPr>
      <w:r>
        <w:rPr>
          <w:noProof/>
        </w:rPr>
        <w:drawing>
          <wp:inline distT="0" distB="0" distL="0" distR="0" wp14:anchorId="68111ADB" wp14:editId="73403E97">
            <wp:extent cx="62779" cy="62779"/>
            <wp:effectExtent l="0" t="0" r="0" b="0"/>
            <wp:docPr id="645" name="Image 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 name="Image 645"/>
                    <pic:cNvPicPr/>
                  </pic:nvPicPr>
                  <pic:blipFill>
                    <a:blip r:embed="rId163" cstate="print"/>
                    <a:stretch>
                      <a:fillRect/>
                    </a:stretch>
                  </pic:blipFill>
                  <pic:spPr>
                    <a:xfrm>
                      <a:off x="0" y="0"/>
                      <a:ext cx="62779" cy="62779"/>
                    </a:xfrm>
                    <a:prstGeom prst="rect">
                      <a:avLst/>
                    </a:prstGeom>
                  </pic:spPr>
                </pic:pic>
              </a:graphicData>
            </a:graphic>
          </wp:inline>
        </w:drawing>
      </w:r>
      <w:r>
        <w:rPr>
          <w:rFonts w:ascii="Times New Roman"/>
          <w:spacing w:val="-3"/>
          <w:sz w:val="20"/>
        </w:rPr>
        <w:t xml:space="preserve"> </w:t>
      </w:r>
      <w:r>
        <w:rPr>
          <w:rFonts w:ascii="Trebuchet MS"/>
          <w:color w:val="585858"/>
          <w:spacing w:val="-2"/>
          <w:sz w:val="18"/>
        </w:rPr>
        <w:t>Muertes</w:t>
      </w:r>
      <w:r>
        <w:rPr>
          <w:rFonts w:ascii="Trebuchet MS"/>
          <w:color w:val="585858"/>
          <w:spacing w:val="-13"/>
          <w:sz w:val="18"/>
        </w:rPr>
        <w:t xml:space="preserve"> </w:t>
      </w:r>
      <w:r>
        <w:rPr>
          <w:rFonts w:ascii="Trebuchet MS"/>
          <w:color w:val="585858"/>
          <w:sz w:val="18"/>
        </w:rPr>
        <w:t>violentas</w:t>
      </w:r>
      <w:r>
        <w:rPr>
          <w:rFonts w:ascii="Trebuchet MS"/>
          <w:color w:val="585858"/>
          <w:sz w:val="18"/>
        </w:rPr>
        <w:tab/>
      </w:r>
      <w:r>
        <w:rPr>
          <w:rFonts w:ascii="Trebuchet MS"/>
          <w:noProof/>
          <w:color w:val="585858"/>
          <w:sz w:val="18"/>
        </w:rPr>
        <w:drawing>
          <wp:inline distT="0" distB="0" distL="0" distR="0" wp14:anchorId="02AE0A70" wp14:editId="69D32D99">
            <wp:extent cx="62779" cy="62779"/>
            <wp:effectExtent l="0" t="0" r="0" b="0"/>
            <wp:docPr id="646" name="Image 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6" name="Image 646"/>
                    <pic:cNvPicPr/>
                  </pic:nvPicPr>
                  <pic:blipFill>
                    <a:blip r:embed="rId171" cstate="print"/>
                    <a:stretch>
                      <a:fillRect/>
                    </a:stretch>
                  </pic:blipFill>
                  <pic:spPr>
                    <a:xfrm>
                      <a:off x="0" y="0"/>
                      <a:ext cx="62779" cy="62779"/>
                    </a:xfrm>
                    <a:prstGeom prst="rect">
                      <a:avLst/>
                    </a:prstGeom>
                  </pic:spPr>
                </pic:pic>
              </a:graphicData>
            </a:graphic>
          </wp:inline>
        </w:drawing>
      </w:r>
      <w:r>
        <w:rPr>
          <w:rFonts w:ascii="Times New Roman"/>
          <w:color w:val="585858"/>
          <w:sz w:val="18"/>
        </w:rPr>
        <w:t xml:space="preserve"> </w:t>
      </w:r>
      <w:r>
        <w:rPr>
          <w:rFonts w:ascii="Trebuchet MS"/>
          <w:color w:val="585858"/>
          <w:spacing w:val="-4"/>
          <w:sz w:val="18"/>
        </w:rPr>
        <w:t>Violencia</w:t>
      </w:r>
      <w:r>
        <w:rPr>
          <w:rFonts w:ascii="Trebuchet MS"/>
          <w:color w:val="585858"/>
          <w:spacing w:val="-12"/>
          <w:sz w:val="18"/>
        </w:rPr>
        <w:t xml:space="preserve"> </w:t>
      </w:r>
      <w:r>
        <w:rPr>
          <w:rFonts w:ascii="Trebuchet MS"/>
          <w:color w:val="585858"/>
          <w:sz w:val="18"/>
        </w:rPr>
        <w:t>interpersonal</w:t>
      </w:r>
    </w:p>
    <w:p w14:paraId="3DC12CDA" w14:textId="77777777" w:rsidR="000E52B0" w:rsidRDefault="00F60D74">
      <w:pPr>
        <w:spacing w:before="206"/>
        <w:jc w:val="center"/>
        <w:rPr>
          <w:i/>
          <w:sz w:val="18"/>
        </w:rPr>
      </w:pPr>
      <w:r>
        <w:rPr>
          <w:i/>
          <w:color w:val="454551"/>
          <w:sz w:val="18"/>
        </w:rPr>
        <w:t>Fuente</w:t>
      </w:r>
      <w:r>
        <w:rPr>
          <w:i/>
          <w:color w:val="454551"/>
          <w:spacing w:val="-2"/>
          <w:sz w:val="18"/>
        </w:rPr>
        <w:t xml:space="preserve"> </w:t>
      </w:r>
      <w:r>
        <w:rPr>
          <w:i/>
          <w:color w:val="454551"/>
          <w:sz w:val="18"/>
        </w:rPr>
        <w:t>40.</w:t>
      </w:r>
      <w:r>
        <w:rPr>
          <w:i/>
          <w:color w:val="454551"/>
          <w:spacing w:val="-4"/>
          <w:sz w:val="18"/>
        </w:rPr>
        <w:t xml:space="preserve"> </w:t>
      </w:r>
      <w:r>
        <w:rPr>
          <w:i/>
          <w:color w:val="454551"/>
          <w:sz w:val="18"/>
        </w:rPr>
        <w:t>Cálculos</w:t>
      </w:r>
      <w:r>
        <w:rPr>
          <w:i/>
          <w:color w:val="454551"/>
          <w:spacing w:val="-3"/>
          <w:sz w:val="18"/>
        </w:rPr>
        <w:t xml:space="preserve"> </w:t>
      </w:r>
      <w:r>
        <w:rPr>
          <w:i/>
          <w:color w:val="454551"/>
          <w:sz w:val="18"/>
        </w:rPr>
        <w:t>propios</w:t>
      </w:r>
      <w:r>
        <w:rPr>
          <w:i/>
          <w:color w:val="454551"/>
          <w:spacing w:val="-2"/>
          <w:sz w:val="18"/>
        </w:rPr>
        <w:t xml:space="preserve"> </w:t>
      </w:r>
      <w:r>
        <w:rPr>
          <w:i/>
          <w:color w:val="454551"/>
          <w:sz w:val="18"/>
        </w:rPr>
        <w:t>con</w:t>
      </w:r>
      <w:r>
        <w:rPr>
          <w:i/>
          <w:color w:val="454551"/>
          <w:spacing w:val="-2"/>
          <w:sz w:val="18"/>
        </w:rPr>
        <w:t xml:space="preserve"> </w:t>
      </w:r>
      <w:r>
        <w:rPr>
          <w:i/>
          <w:color w:val="454551"/>
          <w:sz w:val="18"/>
        </w:rPr>
        <w:t>base</w:t>
      </w:r>
      <w:r>
        <w:rPr>
          <w:i/>
          <w:color w:val="454551"/>
          <w:spacing w:val="-3"/>
          <w:sz w:val="18"/>
        </w:rPr>
        <w:t xml:space="preserve"> </w:t>
      </w:r>
      <w:r>
        <w:rPr>
          <w:i/>
          <w:color w:val="454551"/>
          <w:sz w:val="18"/>
        </w:rPr>
        <w:t>en</w:t>
      </w:r>
      <w:r>
        <w:rPr>
          <w:i/>
          <w:color w:val="454551"/>
          <w:spacing w:val="-1"/>
          <w:sz w:val="18"/>
        </w:rPr>
        <w:t xml:space="preserve"> </w:t>
      </w:r>
      <w:r>
        <w:rPr>
          <w:i/>
          <w:color w:val="454551"/>
          <w:sz w:val="18"/>
        </w:rPr>
        <w:t>INML-CF,</w:t>
      </w:r>
      <w:r>
        <w:rPr>
          <w:i/>
          <w:color w:val="454551"/>
          <w:spacing w:val="-4"/>
          <w:sz w:val="18"/>
        </w:rPr>
        <w:t xml:space="preserve"> </w:t>
      </w:r>
      <w:r>
        <w:rPr>
          <w:i/>
          <w:color w:val="454551"/>
          <w:sz w:val="18"/>
        </w:rPr>
        <w:t>DANE,</w:t>
      </w:r>
      <w:r>
        <w:rPr>
          <w:i/>
          <w:color w:val="454551"/>
          <w:spacing w:val="-2"/>
          <w:sz w:val="18"/>
        </w:rPr>
        <w:t xml:space="preserve"> </w:t>
      </w:r>
      <w:r>
        <w:rPr>
          <w:i/>
          <w:color w:val="454551"/>
          <w:sz w:val="18"/>
        </w:rPr>
        <w:t>Migración</w:t>
      </w:r>
      <w:r>
        <w:rPr>
          <w:i/>
          <w:color w:val="454551"/>
          <w:spacing w:val="-1"/>
          <w:sz w:val="18"/>
        </w:rPr>
        <w:t xml:space="preserve"> </w:t>
      </w:r>
      <w:r>
        <w:rPr>
          <w:i/>
          <w:color w:val="454551"/>
          <w:spacing w:val="-2"/>
          <w:sz w:val="18"/>
        </w:rPr>
        <w:t>Colombia</w:t>
      </w:r>
    </w:p>
    <w:p w14:paraId="36E28B60" w14:textId="77777777" w:rsidR="000E52B0" w:rsidRDefault="000E52B0">
      <w:pPr>
        <w:pStyle w:val="Textoindependiente"/>
        <w:ind w:left="0"/>
        <w:rPr>
          <w:i/>
          <w:sz w:val="18"/>
        </w:rPr>
      </w:pPr>
    </w:p>
    <w:p w14:paraId="2C09B619" w14:textId="77777777" w:rsidR="000E52B0" w:rsidRDefault="000E52B0">
      <w:pPr>
        <w:pStyle w:val="Textoindependiente"/>
        <w:spacing w:before="54"/>
        <w:ind w:left="0"/>
        <w:rPr>
          <w:i/>
          <w:sz w:val="18"/>
        </w:rPr>
      </w:pPr>
    </w:p>
    <w:p w14:paraId="0B9B96DB" w14:textId="77777777" w:rsidR="000E52B0" w:rsidRDefault="00F60D74">
      <w:pPr>
        <w:ind w:left="720" w:right="717"/>
        <w:jc w:val="both"/>
        <w:rPr>
          <w:sz w:val="24"/>
        </w:rPr>
      </w:pPr>
      <w:r>
        <w:rPr>
          <w:sz w:val="24"/>
        </w:rPr>
        <w:t xml:space="preserve">En el caso de las violencias sexuales, que son violencias de género, en general afectan de manera desproporcionada a las mujeres, y especialmente a las niñas y adolescentes de todas las nacionalidades. </w:t>
      </w:r>
      <w:r>
        <w:rPr>
          <w:b/>
          <w:sz w:val="24"/>
        </w:rPr>
        <w:t>En el</w:t>
      </w:r>
      <w:r>
        <w:rPr>
          <w:b/>
          <w:spacing w:val="-19"/>
          <w:sz w:val="24"/>
        </w:rPr>
        <w:t xml:space="preserve"> </w:t>
      </w:r>
      <w:r>
        <w:rPr>
          <w:b/>
          <w:sz w:val="24"/>
        </w:rPr>
        <w:t>caso</w:t>
      </w:r>
      <w:r>
        <w:rPr>
          <w:b/>
          <w:spacing w:val="-19"/>
          <w:sz w:val="24"/>
        </w:rPr>
        <w:t xml:space="preserve"> </w:t>
      </w:r>
      <w:r>
        <w:rPr>
          <w:b/>
          <w:sz w:val="24"/>
        </w:rPr>
        <w:t>de</w:t>
      </w:r>
      <w:r>
        <w:rPr>
          <w:b/>
          <w:spacing w:val="-20"/>
          <w:sz w:val="24"/>
        </w:rPr>
        <w:t xml:space="preserve"> </w:t>
      </w:r>
      <w:r>
        <w:rPr>
          <w:b/>
          <w:sz w:val="24"/>
        </w:rPr>
        <w:t>las</w:t>
      </w:r>
      <w:r>
        <w:rPr>
          <w:b/>
          <w:spacing w:val="-20"/>
          <w:sz w:val="24"/>
        </w:rPr>
        <w:t xml:space="preserve"> </w:t>
      </w:r>
      <w:r>
        <w:rPr>
          <w:b/>
          <w:sz w:val="24"/>
        </w:rPr>
        <w:t>niñas</w:t>
      </w:r>
      <w:r>
        <w:rPr>
          <w:b/>
          <w:spacing w:val="-20"/>
          <w:sz w:val="24"/>
        </w:rPr>
        <w:t xml:space="preserve"> </w:t>
      </w:r>
      <w:r>
        <w:rPr>
          <w:b/>
          <w:sz w:val="24"/>
        </w:rPr>
        <w:t>y</w:t>
      </w:r>
      <w:r>
        <w:rPr>
          <w:b/>
          <w:spacing w:val="-17"/>
          <w:sz w:val="24"/>
        </w:rPr>
        <w:t xml:space="preserve"> </w:t>
      </w:r>
      <w:r>
        <w:rPr>
          <w:b/>
          <w:sz w:val="24"/>
        </w:rPr>
        <w:t>las</w:t>
      </w:r>
      <w:r>
        <w:rPr>
          <w:b/>
          <w:spacing w:val="-20"/>
          <w:sz w:val="24"/>
        </w:rPr>
        <w:t xml:space="preserve"> </w:t>
      </w:r>
      <w:r>
        <w:rPr>
          <w:b/>
          <w:sz w:val="24"/>
        </w:rPr>
        <w:t>adolescentes,</w:t>
      </w:r>
      <w:r>
        <w:rPr>
          <w:b/>
          <w:spacing w:val="-20"/>
          <w:sz w:val="24"/>
        </w:rPr>
        <w:t xml:space="preserve"> </w:t>
      </w:r>
      <w:r>
        <w:rPr>
          <w:b/>
          <w:sz w:val="24"/>
        </w:rPr>
        <w:t>de</w:t>
      </w:r>
      <w:r>
        <w:rPr>
          <w:b/>
          <w:spacing w:val="-20"/>
          <w:sz w:val="24"/>
        </w:rPr>
        <w:t xml:space="preserve"> </w:t>
      </w:r>
      <w:r>
        <w:rPr>
          <w:b/>
          <w:sz w:val="24"/>
        </w:rPr>
        <w:t>cada</w:t>
      </w:r>
      <w:r>
        <w:rPr>
          <w:b/>
          <w:spacing w:val="-18"/>
          <w:sz w:val="24"/>
        </w:rPr>
        <w:t xml:space="preserve"> </w:t>
      </w:r>
      <w:r>
        <w:rPr>
          <w:b/>
          <w:sz w:val="24"/>
        </w:rPr>
        <w:t>100</w:t>
      </w:r>
      <w:r>
        <w:rPr>
          <w:b/>
          <w:spacing w:val="-19"/>
          <w:sz w:val="24"/>
        </w:rPr>
        <w:t xml:space="preserve"> </w:t>
      </w:r>
      <w:r>
        <w:rPr>
          <w:b/>
          <w:sz w:val="24"/>
        </w:rPr>
        <w:t>mil</w:t>
      </w:r>
      <w:r>
        <w:rPr>
          <w:b/>
          <w:spacing w:val="-20"/>
          <w:sz w:val="24"/>
        </w:rPr>
        <w:t xml:space="preserve"> </w:t>
      </w:r>
      <w:r>
        <w:rPr>
          <w:b/>
          <w:sz w:val="24"/>
        </w:rPr>
        <w:t>venezolanas 272</w:t>
      </w:r>
      <w:r>
        <w:rPr>
          <w:b/>
          <w:spacing w:val="-8"/>
          <w:sz w:val="24"/>
        </w:rPr>
        <w:t xml:space="preserve"> </w:t>
      </w:r>
      <w:r>
        <w:rPr>
          <w:b/>
          <w:sz w:val="24"/>
        </w:rPr>
        <w:t>fueron</w:t>
      </w:r>
      <w:r>
        <w:rPr>
          <w:b/>
          <w:spacing w:val="-8"/>
          <w:sz w:val="24"/>
        </w:rPr>
        <w:t xml:space="preserve"> </w:t>
      </w:r>
      <w:r>
        <w:rPr>
          <w:b/>
          <w:sz w:val="24"/>
        </w:rPr>
        <w:t>víctimas</w:t>
      </w:r>
      <w:r>
        <w:rPr>
          <w:b/>
          <w:spacing w:val="-8"/>
          <w:sz w:val="24"/>
        </w:rPr>
        <w:t xml:space="preserve"> </w:t>
      </w:r>
      <w:r>
        <w:rPr>
          <w:b/>
          <w:sz w:val="24"/>
        </w:rPr>
        <w:t>de</w:t>
      </w:r>
      <w:r>
        <w:rPr>
          <w:b/>
          <w:spacing w:val="-8"/>
          <w:sz w:val="24"/>
        </w:rPr>
        <w:t xml:space="preserve"> </w:t>
      </w:r>
      <w:r>
        <w:rPr>
          <w:b/>
          <w:sz w:val="24"/>
        </w:rPr>
        <w:t>violencias</w:t>
      </w:r>
      <w:r>
        <w:rPr>
          <w:b/>
          <w:spacing w:val="-8"/>
          <w:sz w:val="24"/>
        </w:rPr>
        <w:t xml:space="preserve"> </w:t>
      </w:r>
      <w:r>
        <w:rPr>
          <w:b/>
          <w:sz w:val="24"/>
        </w:rPr>
        <w:t>sexuales</w:t>
      </w:r>
      <w:r>
        <w:rPr>
          <w:b/>
          <w:spacing w:val="-8"/>
          <w:sz w:val="24"/>
        </w:rPr>
        <w:t xml:space="preserve"> </w:t>
      </w:r>
      <w:r>
        <w:rPr>
          <w:b/>
          <w:sz w:val="24"/>
        </w:rPr>
        <w:t>durante</w:t>
      </w:r>
      <w:r>
        <w:rPr>
          <w:b/>
          <w:spacing w:val="-8"/>
          <w:sz w:val="24"/>
        </w:rPr>
        <w:t xml:space="preserve"> </w:t>
      </w:r>
      <w:r>
        <w:rPr>
          <w:b/>
          <w:sz w:val="24"/>
        </w:rPr>
        <w:t>2023,</w:t>
      </w:r>
      <w:r>
        <w:rPr>
          <w:b/>
          <w:spacing w:val="-8"/>
          <w:sz w:val="24"/>
        </w:rPr>
        <w:t xml:space="preserve"> </w:t>
      </w:r>
      <w:r>
        <w:rPr>
          <w:b/>
          <w:sz w:val="24"/>
        </w:rPr>
        <w:t>mientras que,</w:t>
      </w:r>
      <w:r>
        <w:rPr>
          <w:b/>
          <w:spacing w:val="-4"/>
          <w:sz w:val="24"/>
        </w:rPr>
        <w:t xml:space="preserve"> </w:t>
      </w:r>
      <w:r>
        <w:rPr>
          <w:b/>
          <w:sz w:val="24"/>
        </w:rPr>
        <w:t>de</w:t>
      </w:r>
      <w:r>
        <w:rPr>
          <w:b/>
          <w:spacing w:val="-2"/>
          <w:sz w:val="24"/>
        </w:rPr>
        <w:t xml:space="preserve"> </w:t>
      </w:r>
      <w:r>
        <w:rPr>
          <w:b/>
          <w:sz w:val="24"/>
        </w:rPr>
        <w:t>cada</w:t>
      </w:r>
      <w:r>
        <w:rPr>
          <w:b/>
          <w:spacing w:val="-3"/>
          <w:sz w:val="24"/>
        </w:rPr>
        <w:t xml:space="preserve"> </w:t>
      </w:r>
      <w:r>
        <w:rPr>
          <w:b/>
          <w:sz w:val="24"/>
        </w:rPr>
        <w:t>100</w:t>
      </w:r>
      <w:r>
        <w:rPr>
          <w:b/>
          <w:spacing w:val="-2"/>
          <w:sz w:val="24"/>
        </w:rPr>
        <w:t xml:space="preserve"> </w:t>
      </w:r>
      <w:r>
        <w:rPr>
          <w:b/>
          <w:sz w:val="24"/>
        </w:rPr>
        <w:t>mil</w:t>
      </w:r>
      <w:r>
        <w:rPr>
          <w:b/>
          <w:spacing w:val="-4"/>
          <w:sz w:val="24"/>
        </w:rPr>
        <w:t xml:space="preserve"> </w:t>
      </w:r>
      <w:r>
        <w:rPr>
          <w:b/>
          <w:sz w:val="24"/>
        </w:rPr>
        <w:t>niñas</w:t>
      </w:r>
      <w:r>
        <w:rPr>
          <w:b/>
          <w:spacing w:val="-2"/>
          <w:sz w:val="24"/>
        </w:rPr>
        <w:t xml:space="preserve"> </w:t>
      </w:r>
      <w:r>
        <w:rPr>
          <w:b/>
          <w:sz w:val="24"/>
        </w:rPr>
        <w:t>y</w:t>
      </w:r>
      <w:r>
        <w:rPr>
          <w:b/>
          <w:spacing w:val="-4"/>
          <w:sz w:val="24"/>
        </w:rPr>
        <w:t xml:space="preserve"> </w:t>
      </w:r>
      <w:r>
        <w:rPr>
          <w:b/>
          <w:sz w:val="24"/>
        </w:rPr>
        <w:t>adolescentes</w:t>
      </w:r>
      <w:r>
        <w:rPr>
          <w:b/>
          <w:spacing w:val="-5"/>
          <w:sz w:val="24"/>
        </w:rPr>
        <w:t xml:space="preserve"> </w:t>
      </w:r>
      <w:r>
        <w:rPr>
          <w:b/>
          <w:sz w:val="24"/>
        </w:rPr>
        <w:t>colombianas</w:t>
      </w:r>
      <w:r>
        <w:rPr>
          <w:b/>
          <w:spacing w:val="-4"/>
          <w:sz w:val="24"/>
        </w:rPr>
        <w:t xml:space="preserve"> </w:t>
      </w:r>
      <w:r>
        <w:rPr>
          <w:b/>
          <w:sz w:val="24"/>
        </w:rPr>
        <w:t>230</w:t>
      </w:r>
      <w:r>
        <w:rPr>
          <w:b/>
          <w:spacing w:val="-4"/>
          <w:sz w:val="24"/>
        </w:rPr>
        <w:t xml:space="preserve"> </w:t>
      </w:r>
      <w:r>
        <w:rPr>
          <w:b/>
          <w:sz w:val="24"/>
        </w:rPr>
        <w:t>fueron víctimas de esta situación</w:t>
      </w:r>
      <w:r>
        <w:rPr>
          <w:sz w:val="24"/>
        </w:rPr>
        <w:t>. La tasa de niños y adolescentes hombres afectados no es muy diferente por nacionalidad, sin embargo, entre la población adulta, las mujeres colombianas se ven afectadas con más frecuencia (proporcionalmente) que las mujeres venezolanas.</w:t>
      </w:r>
    </w:p>
    <w:p w14:paraId="6AF704C1" w14:textId="77777777" w:rsidR="000E52B0" w:rsidRDefault="000E52B0">
      <w:pPr>
        <w:jc w:val="both"/>
        <w:rPr>
          <w:sz w:val="24"/>
        </w:rPr>
        <w:sectPr w:rsidR="000E52B0">
          <w:pgSz w:w="11910" w:h="16840"/>
          <w:pgMar w:top="1340" w:right="720" w:bottom="1180" w:left="720" w:header="0" w:footer="995" w:gutter="0"/>
          <w:cols w:space="720"/>
        </w:sectPr>
      </w:pPr>
    </w:p>
    <w:p w14:paraId="217E5EF8" w14:textId="77777777" w:rsidR="000E52B0" w:rsidRDefault="00F60D74">
      <w:pPr>
        <w:spacing w:before="80"/>
        <w:jc w:val="center"/>
        <w:rPr>
          <w:i/>
          <w:sz w:val="18"/>
        </w:rPr>
      </w:pPr>
      <w:r>
        <w:rPr>
          <w:i/>
          <w:color w:val="454551"/>
          <w:sz w:val="18"/>
        </w:rPr>
        <w:lastRenderedPageBreak/>
        <w:t>Ilustración</w:t>
      </w:r>
      <w:r>
        <w:rPr>
          <w:i/>
          <w:color w:val="454551"/>
          <w:spacing w:val="-2"/>
          <w:sz w:val="18"/>
        </w:rPr>
        <w:t xml:space="preserve"> </w:t>
      </w:r>
      <w:r>
        <w:rPr>
          <w:i/>
          <w:color w:val="454551"/>
          <w:sz w:val="18"/>
        </w:rPr>
        <w:t>53.</w:t>
      </w:r>
      <w:r>
        <w:rPr>
          <w:i/>
          <w:color w:val="454551"/>
          <w:spacing w:val="-4"/>
          <w:sz w:val="18"/>
        </w:rPr>
        <w:t xml:space="preserve"> </w:t>
      </w:r>
      <w:r>
        <w:rPr>
          <w:i/>
          <w:color w:val="454551"/>
          <w:sz w:val="18"/>
        </w:rPr>
        <w:t>Tasa</w:t>
      </w:r>
      <w:r>
        <w:rPr>
          <w:i/>
          <w:color w:val="454551"/>
          <w:spacing w:val="-3"/>
          <w:sz w:val="18"/>
        </w:rPr>
        <w:t xml:space="preserve"> </w:t>
      </w:r>
      <w:r>
        <w:rPr>
          <w:i/>
          <w:color w:val="454551"/>
          <w:sz w:val="18"/>
        </w:rPr>
        <w:t>de</w:t>
      </w:r>
      <w:r>
        <w:rPr>
          <w:i/>
          <w:color w:val="454551"/>
          <w:spacing w:val="-3"/>
          <w:sz w:val="18"/>
        </w:rPr>
        <w:t xml:space="preserve"> </w:t>
      </w:r>
      <w:r>
        <w:rPr>
          <w:i/>
          <w:color w:val="454551"/>
          <w:sz w:val="18"/>
        </w:rPr>
        <w:t>Violencias</w:t>
      </w:r>
      <w:r>
        <w:rPr>
          <w:i/>
          <w:color w:val="454551"/>
          <w:spacing w:val="-4"/>
          <w:sz w:val="18"/>
        </w:rPr>
        <w:t xml:space="preserve"> </w:t>
      </w:r>
      <w:r>
        <w:rPr>
          <w:i/>
          <w:color w:val="454551"/>
          <w:sz w:val="18"/>
        </w:rPr>
        <w:t>sexuales</w:t>
      </w:r>
      <w:r>
        <w:rPr>
          <w:i/>
          <w:color w:val="454551"/>
          <w:spacing w:val="-2"/>
          <w:sz w:val="18"/>
        </w:rPr>
        <w:t xml:space="preserve"> </w:t>
      </w:r>
      <w:r>
        <w:rPr>
          <w:i/>
          <w:color w:val="454551"/>
          <w:sz w:val="18"/>
        </w:rPr>
        <w:t>por</w:t>
      </w:r>
      <w:r>
        <w:rPr>
          <w:i/>
          <w:color w:val="454551"/>
          <w:spacing w:val="-3"/>
          <w:sz w:val="18"/>
        </w:rPr>
        <w:t xml:space="preserve"> </w:t>
      </w:r>
      <w:r>
        <w:rPr>
          <w:i/>
          <w:color w:val="454551"/>
          <w:sz w:val="18"/>
        </w:rPr>
        <w:t>grupo</w:t>
      </w:r>
      <w:r>
        <w:rPr>
          <w:i/>
          <w:color w:val="454551"/>
          <w:spacing w:val="-5"/>
          <w:sz w:val="18"/>
        </w:rPr>
        <w:t xml:space="preserve"> </w:t>
      </w:r>
      <w:r>
        <w:rPr>
          <w:i/>
          <w:color w:val="454551"/>
          <w:sz w:val="18"/>
        </w:rPr>
        <w:t>de</w:t>
      </w:r>
      <w:r>
        <w:rPr>
          <w:i/>
          <w:color w:val="454551"/>
          <w:spacing w:val="-2"/>
          <w:sz w:val="18"/>
        </w:rPr>
        <w:t xml:space="preserve"> </w:t>
      </w:r>
      <w:r>
        <w:rPr>
          <w:i/>
          <w:color w:val="454551"/>
          <w:sz w:val="18"/>
        </w:rPr>
        <w:t>edad</w:t>
      </w:r>
      <w:r>
        <w:rPr>
          <w:i/>
          <w:color w:val="454551"/>
          <w:spacing w:val="-2"/>
          <w:sz w:val="18"/>
        </w:rPr>
        <w:t xml:space="preserve"> </w:t>
      </w:r>
      <w:r>
        <w:rPr>
          <w:i/>
          <w:color w:val="454551"/>
          <w:sz w:val="18"/>
        </w:rPr>
        <w:t>y</w:t>
      </w:r>
      <w:r>
        <w:rPr>
          <w:i/>
          <w:color w:val="454551"/>
          <w:spacing w:val="-4"/>
          <w:sz w:val="18"/>
        </w:rPr>
        <w:t xml:space="preserve"> </w:t>
      </w:r>
      <w:r>
        <w:rPr>
          <w:i/>
          <w:color w:val="454551"/>
          <w:spacing w:val="-2"/>
          <w:sz w:val="18"/>
        </w:rPr>
        <w:t>nacionalidad</w:t>
      </w:r>
    </w:p>
    <w:p w14:paraId="080E1781" w14:textId="77777777" w:rsidR="000E52B0" w:rsidRDefault="000E52B0">
      <w:pPr>
        <w:pStyle w:val="Textoindependiente"/>
        <w:spacing w:before="56"/>
        <w:ind w:left="0"/>
        <w:rPr>
          <w:i/>
          <w:sz w:val="18"/>
        </w:rPr>
      </w:pPr>
    </w:p>
    <w:p w14:paraId="1FA86750" w14:textId="77777777" w:rsidR="000E52B0" w:rsidRDefault="00F60D74">
      <w:pPr>
        <w:ind w:left="6860"/>
        <w:rPr>
          <w:rFonts w:ascii="Trebuchet MS"/>
          <w:sz w:val="18"/>
        </w:rPr>
      </w:pPr>
      <w:r>
        <w:rPr>
          <w:rFonts w:ascii="Trebuchet MS"/>
          <w:noProof/>
          <w:sz w:val="18"/>
        </w:rPr>
        <mc:AlternateContent>
          <mc:Choice Requires="wpg">
            <w:drawing>
              <wp:anchor distT="0" distB="0" distL="0" distR="0" simplePos="0" relativeHeight="487663616" behindDoc="1" locked="0" layoutInCell="1" allowOverlap="1" wp14:anchorId="6589284A" wp14:editId="59DB8A54">
                <wp:simplePos x="0" y="0"/>
                <wp:positionH relativeFrom="page">
                  <wp:posOffset>1137285</wp:posOffset>
                </wp:positionH>
                <wp:positionV relativeFrom="paragraph">
                  <wp:posOffset>159395</wp:posOffset>
                </wp:positionV>
                <wp:extent cx="5286375" cy="1729739"/>
                <wp:effectExtent l="0" t="0" r="0" b="0"/>
                <wp:wrapTopAndBottom/>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6375" cy="1729739"/>
                          <a:chOff x="0" y="0"/>
                          <a:chExt cx="5286375" cy="1729739"/>
                        </a:xfrm>
                      </wpg:grpSpPr>
                      <wps:wsp>
                        <wps:cNvPr id="648" name="Graphic 648"/>
                        <wps:cNvSpPr/>
                        <wps:spPr>
                          <a:xfrm>
                            <a:off x="97155" y="37251"/>
                            <a:ext cx="4703445" cy="1030605"/>
                          </a:xfrm>
                          <a:custGeom>
                            <a:avLst/>
                            <a:gdLst/>
                            <a:ahLst/>
                            <a:cxnLst/>
                            <a:rect l="l" t="t" r="r" b="b"/>
                            <a:pathLst>
                              <a:path w="4703445" h="1030605">
                                <a:moveTo>
                                  <a:pt x="306324" y="899160"/>
                                </a:moveTo>
                                <a:lnTo>
                                  <a:pt x="0" y="899160"/>
                                </a:lnTo>
                                <a:lnTo>
                                  <a:pt x="0" y="1030224"/>
                                </a:lnTo>
                                <a:lnTo>
                                  <a:pt x="306324" y="1030224"/>
                                </a:lnTo>
                                <a:lnTo>
                                  <a:pt x="306324" y="899160"/>
                                </a:lnTo>
                                <a:close/>
                              </a:path>
                              <a:path w="4703445" h="1030605">
                                <a:moveTo>
                                  <a:pt x="1185672" y="160020"/>
                                </a:moveTo>
                                <a:lnTo>
                                  <a:pt x="879348" y="160020"/>
                                </a:lnTo>
                                <a:lnTo>
                                  <a:pt x="879348" y="1030224"/>
                                </a:lnTo>
                                <a:lnTo>
                                  <a:pt x="1185672" y="1030224"/>
                                </a:lnTo>
                                <a:lnTo>
                                  <a:pt x="1185672" y="160020"/>
                                </a:lnTo>
                                <a:close/>
                              </a:path>
                              <a:path w="4703445" h="1030605">
                                <a:moveTo>
                                  <a:pt x="2065020" y="527304"/>
                                </a:moveTo>
                                <a:lnTo>
                                  <a:pt x="1758696" y="527304"/>
                                </a:lnTo>
                                <a:lnTo>
                                  <a:pt x="1758696" y="1030224"/>
                                </a:lnTo>
                                <a:lnTo>
                                  <a:pt x="2065020" y="1030224"/>
                                </a:lnTo>
                                <a:lnTo>
                                  <a:pt x="2065020" y="527304"/>
                                </a:lnTo>
                                <a:close/>
                              </a:path>
                              <a:path w="4703445" h="1030605">
                                <a:moveTo>
                                  <a:pt x="2944368" y="886968"/>
                                </a:moveTo>
                                <a:lnTo>
                                  <a:pt x="2638044" y="886968"/>
                                </a:lnTo>
                                <a:lnTo>
                                  <a:pt x="2638044" y="1030224"/>
                                </a:lnTo>
                                <a:lnTo>
                                  <a:pt x="2944368" y="1030224"/>
                                </a:lnTo>
                                <a:lnTo>
                                  <a:pt x="2944368" y="886968"/>
                                </a:lnTo>
                                <a:close/>
                              </a:path>
                              <a:path w="4703445" h="1030605">
                                <a:moveTo>
                                  <a:pt x="3823716" y="0"/>
                                </a:moveTo>
                                <a:lnTo>
                                  <a:pt x="3517392" y="0"/>
                                </a:lnTo>
                                <a:lnTo>
                                  <a:pt x="3517392" y="1030224"/>
                                </a:lnTo>
                                <a:lnTo>
                                  <a:pt x="3823716" y="1030224"/>
                                </a:lnTo>
                                <a:lnTo>
                                  <a:pt x="3823716" y="0"/>
                                </a:lnTo>
                                <a:close/>
                              </a:path>
                              <a:path w="4703445" h="1030605">
                                <a:moveTo>
                                  <a:pt x="4703064" y="446532"/>
                                </a:moveTo>
                                <a:lnTo>
                                  <a:pt x="4396740" y="446532"/>
                                </a:lnTo>
                                <a:lnTo>
                                  <a:pt x="4396740" y="1030224"/>
                                </a:lnTo>
                                <a:lnTo>
                                  <a:pt x="4703064" y="1030224"/>
                                </a:lnTo>
                                <a:lnTo>
                                  <a:pt x="4703064" y="446532"/>
                                </a:lnTo>
                                <a:close/>
                              </a:path>
                            </a:pathLst>
                          </a:custGeom>
                          <a:solidFill>
                            <a:srgbClr val="D44673"/>
                          </a:solidFill>
                        </wps:spPr>
                        <wps:bodyPr wrap="square" lIns="0" tIns="0" rIns="0" bIns="0" rtlCol="0">
                          <a:prstTxWarp prst="textNoShape">
                            <a:avLst/>
                          </a:prstTxWarp>
                          <a:noAutofit/>
                        </wps:bodyPr>
                      </wps:wsp>
                      <wps:wsp>
                        <wps:cNvPr id="649" name="Graphic 649"/>
                        <wps:cNvSpPr/>
                        <wps:spPr>
                          <a:xfrm>
                            <a:off x="485775" y="989751"/>
                            <a:ext cx="4703445" cy="78105"/>
                          </a:xfrm>
                          <a:custGeom>
                            <a:avLst/>
                            <a:gdLst/>
                            <a:ahLst/>
                            <a:cxnLst/>
                            <a:rect l="l" t="t" r="r" b="b"/>
                            <a:pathLst>
                              <a:path w="4703445" h="78105">
                                <a:moveTo>
                                  <a:pt x="306324" y="70104"/>
                                </a:moveTo>
                                <a:lnTo>
                                  <a:pt x="0" y="70104"/>
                                </a:lnTo>
                                <a:lnTo>
                                  <a:pt x="0" y="77724"/>
                                </a:lnTo>
                                <a:lnTo>
                                  <a:pt x="306324" y="77724"/>
                                </a:lnTo>
                                <a:lnTo>
                                  <a:pt x="306324" y="70104"/>
                                </a:lnTo>
                                <a:close/>
                              </a:path>
                              <a:path w="4703445" h="78105">
                                <a:moveTo>
                                  <a:pt x="1185672" y="0"/>
                                </a:moveTo>
                                <a:lnTo>
                                  <a:pt x="879348" y="0"/>
                                </a:lnTo>
                                <a:lnTo>
                                  <a:pt x="879348" y="77724"/>
                                </a:lnTo>
                                <a:lnTo>
                                  <a:pt x="1185672" y="77724"/>
                                </a:lnTo>
                                <a:lnTo>
                                  <a:pt x="1185672" y="0"/>
                                </a:lnTo>
                                <a:close/>
                              </a:path>
                              <a:path w="4703445" h="78105">
                                <a:moveTo>
                                  <a:pt x="2065020" y="33528"/>
                                </a:moveTo>
                                <a:lnTo>
                                  <a:pt x="1758696" y="33528"/>
                                </a:lnTo>
                                <a:lnTo>
                                  <a:pt x="1758696" y="77724"/>
                                </a:lnTo>
                                <a:lnTo>
                                  <a:pt x="2065020" y="77724"/>
                                </a:lnTo>
                                <a:lnTo>
                                  <a:pt x="2065020" y="33528"/>
                                </a:lnTo>
                                <a:close/>
                              </a:path>
                              <a:path w="4703445" h="78105">
                                <a:moveTo>
                                  <a:pt x="2944368" y="73152"/>
                                </a:moveTo>
                                <a:lnTo>
                                  <a:pt x="2638044" y="73152"/>
                                </a:lnTo>
                                <a:lnTo>
                                  <a:pt x="2638044" y="77724"/>
                                </a:lnTo>
                                <a:lnTo>
                                  <a:pt x="2944368" y="77724"/>
                                </a:lnTo>
                                <a:lnTo>
                                  <a:pt x="2944368" y="73152"/>
                                </a:lnTo>
                                <a:close/>
                              </a:path>
                              <a:path w="4703445" h="78105">
                                <a:moveTo>
                                  <a:pt x="3823716" y="19812"/>
                                </a:moveTo>
                                <a:lnTo>
                                  <a:pt x="3517392" y="19812"/>
                                </a:lnTo>
                                <a:lnTo>
                                  <a:pt x="3517392" y="77724"/>
                                </a:lnTo>
                                <a:lnTo>
                                  <a:pt x="3823716" y="77724"/>
                                </a:lnTo>
                                <a:lnTo>
                                  <a:pt x="3823716" y="19812"/>
                                </a:lnTo>
                                <a:close/>
                              </a:path>
                              <a:path w="4703445" h="78105">
                                <a:moveTo>
                                  <a:pt x="4703064" y="45720"/>
                                </a:moveTo>
                                <a:lnTo>
                                  <a:pt x="4396740" y="45720"/>
                                </a:lnTo>
                                <a:lnTo>
                                  <a:pt x="4396740" y="77724"/>
                                </a:lnTo>
                                <a:lnTo>
                                  <a:pt x="4703064" y="77724"/>
                                </a:lnTo>
                                <a:lnTo>
                                  <a:pt x="4703064" y="45720"/>
                                </a:lnTo>
                                <a:close/>
                              </a:path>
                            </a:pathLst>
                          </a:custGeom>
                          <a:solidFill>
                            <a:srgbClr val="741A36"/>
                          </a:solidFill>
                        </wps:spPr>
                        <wps:bodyPr wrap="square" lIns="0" tIns="0" rIns="0" bIns="0" rtlCol="0">
                          <a:prstTxWarp prst="textNoShape">
                            <a:avLst/>
                          </a:prstTxWarp>
                          <a:noAutofit/>
                        </wps:bodyPr>
                      </wps:wsp>
                      <wps:wsp>
                        <wps:cNvPr id="650" name="Graphic 650"/>
                        <wps:cNvSpPr/>
                        <wps:spPr>
                          <a:xfrm>
                            <a:off x="4762" y="1067475"/>
                            <a:ext cx="5276850" cy="661670"/>
                          </a:xfrm>
                          <a:custGeom>
                            <a:avLst/>
                            <a:gdLst/>
                            <a:ahLst/>
                            <a:cxnLst/>
                            <a:rect l="l" t="t" r="r" b="b"/>
                            <a:pathLst>
                              <a:path w="5276850" h="661670">
                                <a:moveTo>
                                  <a:pt x="0" y="0"/>
                                </a:moveTo>
                                <a:lnTo>
                                  <a:pt x="5276278" y="0"/>
                                </a:lnTo>
                              </a:path>
                              <a:path w="5276850" h="661670">
                                <a:moveTo>
                                  <a:pt x="0" y="0"/>
                                </a:moveTo>
                                <a:lnTo>
                                  <a:pt x="0" y="220599"/>
                                </a:lnTo>
                              </a:path>
                              <a:path w="5276850" h="661670">
                                <a:moveTo>
                                  <a:pt x="2637472" y="0"/>
                                </a:moveTo>
                                <a:lnTo>
                                  <a:pt x="2637472" y="220599"/>
                                </a:lnTo>
                              </a:path>
                              <a:path w="5276850" h="661670">
                                <a:moveTo>
                                  <a:pt x="5276278" y="0"/>
                                </a:moveTo>
                                <a:lnTo>
                                  <a:pt x="5276278" y="220599"/>
                                </a:lnTo>
                              </a:path>
                              <a:path w="5276850" h="661670">
                                <a:moveTo>
                                  <a:pt x="0" y="220599"/>
                                </a:moveTo>
                                <a:lnTo>
                                  <a:pt x="0" y="441198"/>
                                </a:lnTo>
                              </a:path>
                              <a:path w="5276850" h="661670">
                                <a:moveTo>
                                  <a:pt x="2637472" y="220599"/>
                                </a:moveTo>
                                <a:lnTo>
                                  <a:pt x="2637472" y="441198"/>
                                </a:lnTo>
                              </a:path>
                              <a:path w="5276850" h="661670">
                                <a:moveTo>
                                  <a:pt x="5276278" y="220599"/>
                                </a:moveTo>
                                <a:lnTo>
                                  <a:pt x="5276278" y="441198"/>
                                </a:lnTo>
                              </a:path>
                              <a:path w="5276850" h="661670">
                                <a:moveTo>
                                  <a:pt x="0" y="441198"/>
                                </a:moveTo>
                                <a:lnTo>
                                  <a:pt x="0" y="661670"/>
                                </a:lnTo>
                              </a:path>
                              <a:path w="5276850" h="661670">
                                <a:moveTo>
                                  <a:pt x="5276278" y="441198"/>
                                </a:moveTo>
                                <a:lnTo>
                                  <a:pt x="5276278" y="661670"/>
                                </a:lnTo>
                              </a:path>
                            </a:pathLst>
                          </a:custGeom>
                          <a:ln w="9525">
                            <a:solidFill>
                              <a:srgbClr val="D9D9D9"/>
                            </a:solidFill>
                            <a:prstDash val="solid"/>
                          </a:ln>
                        </wps:spPr>
                        <wps:bodyPr wrap="square" lIns="0" tIns="0" rIns="0" bIns="0" rtlCol="0">
                          <a:prstTxWarp prst="textNoShape">
                            <a:avLst/>
                          </a:prstTxWarp>
                          <a:noAutofit/>
                        </wps:bodyPr>
                      </wps:wsp>
                      <wps:wsp>
                        <wps:cNvPr id="651" name="Textbox 651"/>
                        <wps:cNvSpPr txBox="1"/>
                        <wps:spPr>
                          <a:xfrm>
                            <a:off x="1037463" y="0"/>
                            <a:ext cx="195580" cy="140335"/>
                          </a:xfrm>
                          <a:prstGeom prst="rect">
                            <a:avLst/>
                          </a:prstGeom>
                        </wps:spPr>
                        <wps:txbx>
                          <w:txbxContent>
                            <w:p w14:paraId="07C89DBC" w14:textId="77777777" w:rsidR="000E52B0" w:rsidRDefault="00F60D74">
                              <w:pPr>
                                <w:rPr>
                                  <w:rFonts w:ascii="Trebuchet MS"/>
                                  <w:sz w:val="18"/>
                                </w:rPr>
                              </w:pPr>
                              <w:r>
                                <w:rPr>
                                  <w:rFonts w:ascii="Trebuchet MS"/>
                                  <w:color w:val="404040"/>
                                  <w:spacing w:val="-5"/>
                                  <w:sz w:val="18"/>
                                </w:rPr>
                                <w:t>230</w:t>
                              </w:r>
                            </w:p>
                          </w:txbxContent>
                        </wps:txbx>
                        <wps:bodyPr wrap="square" lIns="0" tIns="0" rIns="0" bIns="0" rtlCol="0">
                          <a:noAutofit/>
                        </wps:bodyPr>
                      </wps:wsp>
                      <wps:wsp>
                        <wps:cNvPr id="652" name="Textbox 652"/>
                        <wps:cNvSpPr txBox="1"/>
                        <wps:spPr>
                          <a:xfrm>
                            <a:off x="1917064" y="367570"/>
                            <a:ext cx="195580" cy="139700"/>
                          </a:xfrm>
                          <a:prstGeom prst="rect">
                            <a:avLst/>
                          </a:prstGeom>
                        </wps:spPr>
                        <wps:txbx>
                          <w:txbxContent>
                            <w:p w14:paraId="6516CAC6" w14:textId="77777777" w:rsidR="000E52B0" w:rsidRDefault="00F60D74">
                              <w:pPr>
                                <w:rPr>
                                  <w:rFonts w:ascii="Trebuchet MS"/>
                                  <w:sz w:val="18"/>
                                </w:rPr>
                              </w:pPr>
                              <w:r>
                                <w:rPr>
                                  <w:rFonts w:ascii="Trebuchet MS"/>
                                  <w:color w:val="404040"/>
                                  <w:spacing w:val="-5"/>
                                  <w:sz w:val="18"/>
                                </w:rPr>
                                <w:t>133</w:t>
                              </w:r>
                            </w:p>
                          </w:txbxContent>
                        </wps:txbx>
                        <wps:bodyPr wrap="square" lIns="0" tIns="0" rIns="0" bIns="0" rtlCol="0">
                          <a:noAutofit/>
                        </wps:bodyPr>
                      </wps:wsp>
                      <wps:wsp>
                        <wps:cNvPr id="653" name="Textbox 653"/>
                        <wps:cNvSpPr txBox="1"/>
                        <wps:spPr>
                          <a:xfrm>
                            <a:off x="4555744" y="287179"/>
                            <a:ext cx="195580" cy="139700"/>
                          </a:xfrm>
                          <a:prstGeom prst="rect">
                            <a:avLst/>
                          </a:prstGeom>
                        </wps:spPr>
                        <wps:txbx>
                          <w:txbxContent>
                            <w:p w14:paraId="3304EF5C" w14:textId="77777777" w:rsidR="000E52B0" w:rsidRDefault="00F60D74">
                              <w:pPr>
                                <w:rPr>
                                  <w:rFonts w:ascii="Trebuchet MS"/>
                                  <w:sz w:val="18"/>
                                </w:rPr>
                              </w:pPr>
                              <w:r>
                                <w:rPr>
                                  <w:rFonts w:ascii="Trebuchet MS"/>
                                  <w:color w:val="404040"/>
                                  <w:spacing w:val="-5"/>
                                  <w:sz w:val="18"/>
                                </w:rPr>
                                <w:t>154</w:t>
                              </w:r>
                            </w:p>
                          </w:txbxContent>
                        </wps:txbx>
                        <wps:bodyPr wrap="square" lIns="0" tIns="0" rIns="0" bIns="0" rtlCol="0">
                          <a:noAutofit/>
                        </wps:bodyPr>
                      </wps:wsp>
                      <wps:wsp>
                        <wps:cNvPr id="654" name="Textbox 654"/>
                        <wps:cNvSpPr txBox="1"/>
                        <wps:spPr>
                          <a:xfrm>
                            <a:off x="188340" y="739426"/>
                            <a:ext cx="134620" cy="139700"/>
                          </a:xfrm>
                          <a:prstGeom prst="rect">
                            <a:avLst/>
                          </a:prstGeom>
                        </wps:spPr>
                        <wps:txbx>
                          <w:txbxContent>
                            <w:p w14:paraId="6849680D" w14:textId="77777777" w:rsidR="000E52B0" w:rsidRDefault="00F60D74">
                              <w:pPr>
                                <w:rPr>
                                  <w:rFonts w:ascii="Trebuchet MS"/>
                                  <w:sz w:val="18"/>
                                </w:rPr>
                              </w:pPr>
                              <w:r>
                                <w:rPr>
                                  <w:rFonts w:ascii="Trebuchet MS"/>
                                  <w:color w:val="404040"/>
                                  <w:spacing w:val="-5"/>
                                  <w:sz w:val="18"/>
                                </w:rPr>
                                <w:t>35</w:t>
                              </w:r>
                            </w:p>
                          </w:txbxContent>
                        </wps:txbx>
                        <wps:bodyPr wrap="square" lIns="0" tIns="0" rIns="0" bIns="0" rtlCol="0">
                          <a:noAutofit/>
                        </wps:bodyPr>
                      </wps:wsp>
                      <wps:wsp>
                        <wps:cNvPr id="655" name="Textbox 655"/>
                        <wps:cNvSpPr txBox="1"/>
                        <wps:spPr>
                          <a:xfrm>
                            <a:off x="607948" y="863251"/>
                            <a:ext cx="74295" cy="139700"/>
                          </a:xfrm>
                          <a:prstGeom prst="rect">
                            <a:avLst/>
                          </a:prstGeom>
                        </wps:spPr>
                        <wps:txbx>
                          <w:txbxContent>
                            <w:p w14:paraId="4E885AB9" w14:textId="77777777" w:rsidR="000E52B0" w:rsidRDefault="00F60D74">
                              <w:pPr>
                                <w:rPr>
                                  <w:rFonts w:ascii="Trebuchet MS"/>
                                  <w:sz w:val="18"/>
                                </w:rPr>
                              </w:pPr>
                              <w:r>
                                <w:rPr>
                                  <w:rFonts w:ascii="Trebuchet MS"/>
                                  <w:color w:val="404040"/>
                                  <w:spacing w:val="-10"/>
                                  <w:sz w:val="18"/>
                                </w:rPr>
                                <w:t>2</w:t>
                              </w:r>
                            </w:p>
                          </w:txbxContent>
                        </wps:txbx>
                        <wps:bodyPr wrap="square" lIns="0" tIns="0" rIns="0" bIns="0" rtlCol="0">
                          <a:noAutofit/>
                        </wps:bodyPr>
                      </wps:wsp>
                      <wps:wsp>
                        <wps:cNvPr id="656" name="Textbox 656"/>
                        <wps:cNvSpPr txBox="1"/>
                        <wps:spPr>
                          <a:xfrm>
                            <a:off x="1457197" y="793147"/>
                            <a:ext cx="134620" cy="139700"/>
                          </a:xfrm>
                          <a:prstGeom prst="rect">
                            <a:avLst/>
                          </a:prstGeom>
                        </wps:spPr>
                        <wps:txbx>
                          <w:txbxContent>
                            <w:p w14:paraId="79EA9A56" w14:textId="77777777" w:rsidR="000E52B0" w:rsidRDefault="00F60D74">
                              <w:pPr>
                                <w:rPr>
                                  <w:rFonts w:ascii="Trebuchet MS"/>
                                  <w:sz w:val="18"/>
                                </w:rPr>
                              </w:pPr>
                              <w:r>
                                <w:rPr>
                                  <w:rFonts w:ascii="Trebuchet MS"/>
                                  <w:color w:val="404040"/>
                                  <w:spacing w:val="-5"/>
                                  <w:sz w:val="18"/>
                                </w:rPr>
                                <w:t>20</w:t>
                              </w:r>
                            </w:p>
                          </w:txbxContent>
                        </wps:txbx>
                        <wps:bodyPr wrap="square" lIns="0" tIns="0" rIns="0" bIns="0" rtlCol="0">
                          <a:noAutofit/>
                        </wps:bodyPr>
                      </wps:wsp>
                      <wps:wsp>
                        <wps:cNvPr id="657" name="Textbox 657"/>
                        <wps:cNvSpPr txBox="1"/>
                        <wps:spPr>
                          <a:xfrm>
                            <a:off x="2336800" y="826675"/>
                            <a:ext cx="134620" cy="139700"/>
                          </a:xfrm>
                          <a:prstGeom prst="rect">
                            <a:avLst/>
                          </a:prstGeom>
                        </wps:spPr>
                        <wps:txbx>
                          <w:txbxContent>
                            <w:p w14:paraId="1CF7155B" w14:textId="77777777" w:rsidR="000E52B0" w:rsidRDefault="00F60D74">
                              <w:pPr>
                                <w:rPr>
                                  <w:rFonts w:ascii="Trebuchet MS"/>
                                  <w:sz w:val="18"/>
                                </w:rPr>
                              </w:pPr>
                              <w:r>
                                <w:rPr>
                                  <w:rFonts w:ascii="Trebuchet MS"/>
                                  <w:color w:val="404040"/>
                                  <w:spacing w:val="-5"/>
                                  <w:sz w:val="18"/>
                                </w:rPr>
                                <w:t>12</w:t>
                              </w:r>
                            </w:p>
                          </w:txbxContent>
                        </wps:txbx>
                        <wps:bodyPr wrap="square" lIns="0" tIns="0" rIns="0" bIns="0" rtlCol="0">
                          <a:noAutofit/>
                        </wps:bodyPr>
                      </wps:wsp>
                      <wps:wsp>
                        <wps:cNvPr id="658" name="Textbox 658"/>
                        <wps:cNvSpPr txBox="1"/>
                        <wps:spPr>
                          <a:xfrm>
                            <a:off x="2826892" y="727869"/>
                            <a:ext cx="134620" cy="139700"/>
                          </a:xfrm>
                          <a:prstGeom prst="rect">
                            <a:avLst/>
                          </a:prstGeom>
                        </wps:spPr>
                        <wps:txbx>
                          <w:txbxContent>
                            <w:p w14:paraId="30B1EC09" w14:textId="77777777" w:rsidR="000E52B0" w:rsidRDefault="00F60D74">
                              <w:pPr>
                                <w:rPr>
                                  <w:rFonts w:ascii="Trebuchet MS"/>
                                  <w:sz w:val="18"/>
                                </w:rPr>
                              </w:pPr>
                              <w:r>
                                <w:rPr>
                                  <w:rFonts w:ascii="Trebuchet MS"/>
                                  <w:color w:val="404040"/>
                                  <w:spacing w:val="-5"/>
                                  <w:sz w:val="18"/>
                                </w:rPr>
                                <w:t>38</w:t>
                              </w:r>
                            </w:p>
                          </w:txbxContent>
                        </wps:txbx>
                        <wps:bodyPr wrap="square" lIns="0" tIns="0" rIns="0" bIns="0" rtlCol="0">
                          <a:noAutofit/>
                        </wps:bodyPr>
                      </wps:wsp>
                      <wps:wsp>
                        <wps:cNvPr id="659" name="Textbox 659"/>
                        <wps:cNvSpPr txBox="1"/>
                        <wps:spPr>
                          <a:xfrm>
                            <a:off x="3246627" y="866553"/>
                            <a:ext cx="74295" cy="139700"/>
                          </a:xfrm>
                          <a:prstGeom prst="rect">
                            <a:avLst/>
                          </a:prstGeom>
                        </wps:spPr>
                        <wps:txbx>
                          <w:txbxContent>
                            <w:p w14:paraId="35C27675" w14:textId="77777777" w:rsidR="000E52B0" w:rsidRDefault="00F60D74">
                              <w:pPr>
                                <w:rPr>
                                  <w:rFonts w:ascii="Trebuchet MS"/>
                                  <w:sz w:val="18"/>
                                </w:rPr>
                              </w:pPr>
                              <w:r>
                                <w:rPr>
                                  <w:rFonts w:ascii="Trebuchet MS"/>
                                  <w:color w:val="404040"/>
                                  <w:spacing w:val="-10"/>
                                  <w:sz w:val="18"/>
                                </w:rPr>
                                <w:t>1</w:t>
                              </w:r>
                            </w:p>
                          </w:txbxContent>
                        </wps:txbx>
                        <wps:bodyPr wrap="square" lIns="0" tIns="0" rIns="0" bIns="0" rtlCol="0">
                          <a:noAutofit/>
                        </wps:bodyPr>
                      </wps:wsp>
                      <wps:wsp>
                        <wps:cNvPr id="660" name="Textbox 660"/>
                        <wps:cNvSpPr txBox="1"/>
                        <wps:spPr>
                          <a:xfrm>
                            <a:off x="4095877" y="812070"/>
                            <a:ext cx="134620" cy="139700"/>
                          </a:xfrm>
                          <a:prstGeom prst="rect">
                            <a:avLst/>
                          </a:prstGeom>
                        </wps:spPr>
                        <wps:txbx>
                          <w:txbxContent>
                            <w:p w14:paraId="4690B7C1" w14:textId="77777777" w:rsidR="000E52B0" w:rsidRDefault="00F60D74">
                              <w:pPr>
                                <w:rPr>
                                  <w:rFonts w:ascii="Trebuchet MS"/>
                                  <w:sz w:val="18"/>
                                </w:rPr>
                              </w:pPr>
                              <w:r>
                                <w:rPr>
                                  <w:rFonts w:ascii="Trebuchet MS"/>
                                  <w:color w:val="404040"/>
                                  <w:spacing w:val="-5"/>
                                  <w:sz w:val="18"/>
                                </w:rPr>
                                <w:t>15</w:t>
                              </w:r>
                            </w:p>
                          </w:txbxContent>
                        </wps:txbx>
                        <wps:bodyPr wrap="square" lIns="0" tIns="0" rIns="0" bIns="0" rtlCol="0">
                          <a:noAutofit/>
                        </wps:bodyPr>
                      </wps:wsp>
                      <wps:wsp>
                        <wps:cNvPr id="661" name="Textbox 661"/>
                        <wps:cNvSpPr txBox="1"/>
                        <wps:spPr>
                          <a:xfrm>
                            <a:off x="5005959" y="837978"/>
                            <a:ext cx="74295" cy="139700"/>
                          </a:xfrm>
                          <a:prstGeom prst="rect">
                            <a:avLst/>
                          </a:prstGeom>
                        </wps:spPr>
                        <wps:txbx>
                          <w:txbxContent>
                            <w:p w14:paraId="7664B907" w14:textId="77777777" w:rsidR="000E52B0" w:rsidRDefault="00F60D74">
                              <w:pPr>
                                <w:rPr>
                                  <w:rFonts w:ascii="Trebuchet MS"/>
                                  <w:sz w:val="18"/>
                                </w:rPr>
                              </w:pPr>
                              <w:r>
                                <w:rPr>
                                  <w:rFonts w:ascii="Trebuchet MS"/>
                                  <w:color w:val="404040"/>
                                  <w:spacing w:val="-10"/>
                                  <w:sz w:val="18"/>
                                </w:rPr>
                                <w:t>9</w:t>
                              </w:r>
                            </w:p>
                          </w:txbxContent>
                        </wps:txbx>
                        <wps:bodyPr wrap="square" lIns="0" tIns="0" rIns="0" bIns="0" rtlCol="0">
                          <a:noAutofit/>
                        </wps:bodyPr>
                      </wps:wsp>
                      <wps:wsp>
                        <wps:cNvPr id="662" name="Textbox 662"/>
                        <wps:cNvSpPr txBox="1"/>
                        <wps:spPr>
                          <a:xfrm>
                            <a:off x="215138" y="1138714"/>
                            <a:ext cx="472440" cy="139700"/>
                          </a:xfrm>
                          <a:prstGeom prst="rect">
                            <a:avLst/>
                          </a:prstGeom>
                        </wps:spPr>
                        <wps:txbx>
                          <w:txbxContent>
                            <w:p w14:paraId="5EE3E07A" w14:textId="77777777" w:rsidR="000E52B0" w:rsidRDefault="00F60D74">
                              <w:pPr>
                                <w:rPr>
                                  <w:rFonts w:ascii="Trebuchet MS"/>
                                  <w:sz w:val="18"/>
                                </w:rPr>
                              </w:pPr>
                              <w:r>
                                <w:rPr>
                                  <w:rFonts w:ascii="Trebuchet MS"/>
                                  <w:color w:val="585858"/>
                                  <w:spacing w:val="-2"/>
                                  <w:w w:val="105"/>
                                  <w:sz w:val="18"/>
                                </w:rPr>
                                <w:t>Hombres</w:t>
                              </w:r>
                            </w:p>
                          </w:txbxContent>
                        </wps:txbx>
                        <wps:bodyPr wrap="square" lIns="0" tIns="0" rIns="0" bIns="0" rtlCol="0">
                          <a:noAutofit/>
                        </wps:bodyPr>
                      </wps:wsp>
                      <wps:wsp>
                        <wps:cNvPr id="663" name="Textbox 663"/>
                        <wps:cNvSpPr txBox="1"/>
                        <wps:spPr>
                          <a:xfrm>
                            <a:off x="759205" y="1138714"/>
                            <a:ext cx="1143000" cy="360680"/>
                          </a:xfrm>
                          <a:prstGeom prst="rect">
                            <a:avLst/>
                          </a:prstGeom>
                        </wps:spPr>
                        <wps:txbx>
                          <w:txbxContent>
                            <w:p w14:paraId="75CCA19E" w14:textId="77777777" w:rsidR="000E52B0" w:rsidRDefault="00F60D74">
                              <w:pPr>
                                <w:ind w:left="1" w:right="18"/>
                                <w:jc w:val="center"/>
                                <w:rPr>
                                  <w:rFonts w:ascii="Trebuchet MS"/>
                                  <w:sz w:val="18"/>
                                </w:rPr>
                              </w:pPr>
                              <w:r>
                                <w:rPr>
                                  <w:rFonts w:ascii="Trebuchet MS"/>
                                  <w:color w:val="585858"/>
                                  <w:spacing w:val="-2"/>
                                  <w:sz w:val="18"/>
                                </w:rPr>
                                <w:t>Mujeres</w:t>
                              </w:r>
                            </w:p>
                            <w:p w14:paraId="46612A60" w14:textId="77777777" w:rsidR="000E52B0" w:rsidRDefault="00F60D74">
                              <w:pPr>
                                <w:spacing w:before="138"/>
                                <w:ind w:right="18"/>
                                <w:jc w:val="center"/>
                                <w:rPr>
                                  <w:rFonts w:ascii="Trebuchet MS"/>
                                  <w:sz w:val="18"/>
                                </w:rPr>
                              </w:pPr>
                              <w:r>
                                <w:rPr>
                                  <w:rFonts w:ascii="Trebuchet MS"/>
                                  <w:color w:val="585858"/>
                                  <w:sz w:val="18"/>
                                </w:rPr>
                                <w:t xml:space="preserve">Personas </w:t>
                              </w:r>
                              <w:r>
                                <w:rPr>
                                  <w:rFonts w:ascii="Trebuchet MS"/>
                                  <w:color w:val="585858"/>
                                  <w:spacing w:val="-2"/>
                                  <w:sz w:val="18"/>
                                </w:rPr>
                                <w:t>colombianas</w:t>
                              </w:r>
                            </w:p>
                          </w:txbxContent>
                        </wps:txbx>
                        <wps:bodyPr wrap="square" lIns="0" tIns="0" rIns="0" bIns="0" rtlCol="0">
                          <a:noAutofit/>
                        </wps:bodyPr>
                      </wps:wsp>
                      <wps:wsp>
                        <wps:cNvPr id="664" name="Textbox 664"/>
                        <wps:cNvSpPr txBox="1"/>
                        <wps:spPr>
                          <a:xfrm>
                            <a:off x="2069845" y="1138714"/>
                            <a:ext cx="257810" cy="139700"/>
                          </a:xfrm>
                          <a:prstGeom prst="rect">
                            <a:avLst/>
                          </a:prstGeom>
                        </wps:spPr>
                        <wps:txbx>
                          <w:txbxContent>
                            <w:p w14:paraId="54A5741D" w14:textId="77777777" w:rsidR="000E52B0" w:rsidRDefault="00F60D74">
                              <w:pPr>
                                <w:rPr>
                                  <w:rFonts w:ascii="Trebuchet MS"/>
                                  <w:sz w:val="18"/>
                                </w:rPr>
                              </w:pPr>
                              <w:r>
                                <w:rPr>
                                  <w:rFonts w:ascii="Trebuchet MS"/>
                                  <w:color w:val="585858"/>
                                  <w:spacing w:val="-6"/>
                                  <w:sz w:val="18"/>
                                </w:rPr>
                                <w:t>Total</w:t>
                              </w:r>
                            </w:p>
                          </w:txbxContent>
                        </wps:txbx>
                        <wps:bodyPr wrap="square" lIns="0" tIns="0" rIns="0" bIns="0" rtlCol="0">
                          <a:noAutofit/>
                        </wps:bodyPr>
                      </wps:wsp>
                      <wps:wsp>
                        <wps:cNvPr id="665" name="Textbox 665"/>
                        <wps:cNvSpPr txBox="1"/>
                        <wps:spPr>
                          <a:xfrm>
                            <a:off x="2853817" y="1138714"/>
                            <a:ext cx="472440" cy="139700"/>
                          </a:xfrm>
                          <a:prstGeom prst="rect">
                            <a:avLst/>
                          </a:prstGeom>
                        </wps:spPr>
                        <wps:txbx>
                          <w:txbxContent>
                            <w:p w14:paraId="2A298652" w14:textId="77777777" w:rsidR="000E52B0" w:rsidRDefault="00F60D74">
                              <w:pPr>
                                <w:rPr>
                                  <w:rFonts w:ascii="Trebuchet MS"/>
                                  <w:sz w:val="18"/>
                                </w:rPr>
                              </w:pPr>
                              <w:r>
                                <w:rPr>
                                  <w:rFonts w:ascii="Trebuchet MS"/>
                                  <w:color w:val="585858"/>
                                  <w:spacing w:val="-2"/>
                                  <w:w w:val="105"/>
                                  <w:sz w:val="18"/>
                                </w:rPr>
                                <w:t>Hombres</w:t>
                              </w:r>
                            </w:p>
                          </w:txbxContent>
                        </wps:txbx>
                        <wps:bodyPr wrap="square" lIns="0" tIns="0" rIns="0" bIns="0" rtlCol="0">
                          <a:noAutofit/>
                        </wps:bodyPr>
                      </wps:wsp>
                      <wps:wsp>
                        <wps:cNvPr id="666" name="Textbox 666"/>
                        <wps:cNvSpPr txBox="1"/>
                        <wps:spPr>
                          <a:xfrm>
                            <a:off x="3411220" y="1138714"/>
                            <a:ext cx="1116330" cy="360680"/>
                          </a:xfrm>
                          <a:prstGeom prst="rect">
                            <a:avLst/>
                          </a:prstGeom>
                        </wps:spPr>
                        <wps:txbx>
                          <w:txbxContent>
                            <w:p w14:paraId="66B110D2" w14:textId="77777777" w:rsidR="000E52B0" w:rsidRDefault="00F60D74">
                              <w:pPr>
                                <w:ind w:right="18"/>
                                <w:jc w:val="center"/>
                                <w:rPr>
                                  <w:rFonts w:ascii="Trebuchet MS"/>
                                  <w:sz w:val="18"/>
                                </w:rPr>
                              </w:pPr>
                              <w:r>
                                <w:rPr>
                                  <w:rFonts w:ascii="Trebuchet MS"/>
                                  <w:color w:val="585858"/>
                                  <w:spacing w:val="-2"/>
                                  <w:sz w:val="18"/>
                                </w:rPr>
                                <w:t>Mujeres</w:t>
                              </w:r>
                            </w:p>
                            <w:p w14:paraId="31DF2B45" w14:textId="77777777" w:rsidR="000E52B0" w:rsidRDefault="00F60D74">
                              <w:pPr>
                                <w:spacing w:before="138"/>
                                <w:ind w:right="18"/>
                                <w:jc w:val="center"/>
                                <w:rPr>
                                  <w:rFonts w:ascii="Trebuchet MS"/>
                                  <w:sz w:val="18"/>
                                </w:rPr>
                              </w:pPr>
                              <w:r>
                                <w:rPr>
                                  <w:rFonts w:ascii="Trebuchet MS"/>
                                  <w:color w:val="585858"/>
                                  <w:sz w:val="18"/>
                                </w:rPr>
                                <w:t xml:space="preserve">Personas </w:t>
                              </w:r>
                              <w:r>
                                <w:rPr>
                                  <w:rFonts w:ascii="Trebuchet MS"/>
                                  <w:color w:val="585858"/>
                                  <w:spacing w:val="-2"/>
                                  <w:sz w:val="18"/>
                                </w:rPr>
                                <w:t>venezolanas</w:t>
                              </w:r>
                            </w:p>
                          </w:txbxContent>
                        </wps:txbx>
                        <wps:bodyPr wrap="square" lIns="0" tIns="0" rIns="0" bIns="0" rtlCol="0">
                          <a:noAutofit/>
                        </wps:bodyPr>
                      </wps:wsp>
                      <wps:wsp>
                        <wps:cNvPr id="667" name="Textbox 667"/>
                        <wps:cNvSpPr txBox="1"/>
                        <wps:spPr>
                          <a:xfrm>
                            <a:off x="4720082" y="1138714"/>
                            <a:ext cx="257810" cy="139700"/>
                          </a:xfrm>
                          <a:prstGeom prst="rect">
                            <a:avLst/>
                          </a:prstGeom>
                        </wps:spPr>
                        <wps:txbx>
                          <w:txbxContent>
                            <w:p w14:paraId="63662C71" w14:textId="77777777" w:rsidR="000E52B0" w:rsidRDefault="00F60D74">
                              <w:pPr>
                                <w:rPr>
                                  <w:rFonts w:ascii="Trebuchet MS"/>
                                  <w:sz w:val="18"/>
                                </w:rPr>
                              </w:pPr>
                              <w:r>
                                <w:rPr>
                                  <w:rFonts w:ascii="Trebuchet MS"/>
                                  <w:color w:val="585858"/>
                                  <w:spacing w:val="-6"/>
                                  <w:sz w:val="18"/>
                                </w:rPr>
                                <w:t>Total</w:t>
                              </w:r>
                            </w:p>
                          </w:txbxContent>
                        </wps:txbx>
                        <wps:bodyPr wrap="square" lIns="0" tIns="0" rIns="0" bIns="0" rtlCol="0">
                          <a:noAutofit/>
                        </wps:bodyPr>
                      </wps:wsp>
                      <wps:wsp>
                        <wps:cNvPr id="668" name="Textbox 668"/>
                        <wps:cNvSpPr txBox="1"/>
                        <wps:spPr>
                          <a:xfrm>
                            <a:off x="2022855" y="1579785"/>
                            <a:ext cx="1253490" cy="139700"/>
                          </a:xfrm>
                          <a:prstGeom prst="rect">
                            <a:avLst/>
                          </a:prstGeom>
                        </wps:spPr>
                        <wps:txbx>
                          <w:txbxContent>
                            <w:p w14:paraId="338115A8" w14:textId="77777777" w:rsidR="000E52B0" w:rsidRDefault="00F60D74">
                              <w:pPr>
                                <w:rPr>
                                  <w:rFonts w:ascii="Trebuchet MS"/>
                                  <w:sz w:val="18"/>
                                </w:rPr>
                              </w:pPr>
                              <w:r>
                                <w:rPr>
                                  <w:rFonts w:ascii="Trebuchet MS"/>
                                  <w:color w:val="585858"/>
                                  <w:spacing w:val="-2"/>
                                  <w:sz w:val="18"/>
                                </w:rPr>
                                <w:t>Tasas</w:t>
                              </w:r>
                              <w:r>
                                <w:rPr>
                                  <w:rFonts w:ascii="Trebuchet MS"/>
                                  <w:color w:val="585858"/>
                                  <w:spacing w:val="-12"/>
                                  <w:sz w:val="18"/>
                                </w:rPr>
                                <w:t xml:space="preserve"> </w:t>
                              </w:r>
                              <w:r>
                                <w:rPr>
                                  <w:rFonts w:ascii="Trebuchet MS"/>
                                  <w:color w:val="585858"/>
                                  <w:spacing w:val="-2"/>
                                  <w:sz w:val="18"/>
                                </w:rPr>
                                <w:t>X</w:t>
                              </w:r>
                              <w:r>
                                <w:rPr>
                                  <w:rFonts w:ascii="Trebuchet MS"/>
                                  <w:color w:val="585858"/>
                                  <w:spacing w:val="-14"/>
                                  <w:sz w:val="18"/>
                                </w:rPr>
                                <w:t xml:space="preserve"> </w:t>
                              </w:r>
                              <w:r>
                                <w:rPr>
                                  <w:rFonts w:ascii="Trebuchet MS"/>
                                  <w:color w:val="585858"/>
                                  <w:spacing w:val="-2"/>
                                  <w:sz w:val="18"/>
                                </w:rPr>
                                <w:t>100</w:t>
                              </w:r>
                              <w:r>
                                <w:rPr>
                                  <w:rFonts w:ascii="Trebuchet MS"/>
                                  <w:color w:val="585858"/>
                                  <w:spacing w:val="-15"/>
                                  <w:sz w:val="18"/>
                                </w:rPr>
                                <w:t xml:space="preserve"> </w:t>
                              </w:r>
                              <w:r>
                                <w:rPr>
                                  <w:rFonts w:ascii="Trebuchet MS"/>
                                  <w:color w:val="585858"/>
                                  <w:spacing w:val="-2"/>
                                  <w:sz w:val="18"/>
                                </w:rPr>
                                <w:t>mil</w:t>
                              </w:r>
                              <w:r>
                                <w:rPr>
                                  <w:rFonts w:ascii="Trebuchet MS"/>
                                  <w:color w:val="585858"/>
                                  <w:spacing w:val="-13"/>
                                  <w:sz w:val="18"/>
                                </w:rPr>
                                <w:t xml:space="preserve"> </w:t>
                              </w:r>
                              <w:r>
                                <w:rPr>
                                  <w:rFonts w:ascii="Trebuchet MS"/>
                                  <w:color w:val="585858"/>
                                  <w:spacing w:val="-2"/>
                                  <w:sz w:val="18"/>
                                </w:rPr>
                                <w:t>personas</w:t>
                              </w:r>
                            </w:p>
                          </w:txbxContent>
                        </wps:txbx>
                        <wps:bodyPr wrap="square" lIns="0" tIns="0" rIns="0" bIns="0" rtlCol="0">
                          <a:noAutofit/>
                        </wps:bodyPr>
                      </wps:wsp>
                    </wpg:wgp>
                  </a:graphicData>
                </a:graphic>
              </wp:anchor>
            </w:drawing>
          </mc:Choice>
          <mc:Fallback>
            <w:pict>
              <v:group w14:anchorId="6589284A" id="Group 647" o:spid="_x0000_s1420" style="position:absolute;left:0;text-align:left;margin-left:89.55pt;margin-top:12.55pt;width:416.25pt;height:136.2pt;z-index:-15652864;mso-wrap-distance-left:0;mso-wrap-distance-right:0;mso-position-horizontal-relative:page;mso-position-vertical-relative:text" coordsize="52863,17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">
                <v:shape id="Graphic 648" o:spid="_x0000_s1421" style="position:absolute;left:971;top:372;width:47035;height:10306;visibility:visible;mso-wrap-style:square;v-text-anchor:top" coordsize="4703445,103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" path="m306324,899160l,899160r,131064l306324,1030224r,-131064xem1185672,160020r-306324,l879348,1030224r306324,l1185672,160020xem2065020,527304r-306324,l1758696,1030224r306324,l2065020,527304xem2944368,886968r-306324,l2638044,1030224r306324,l2944368,886968xem3823716,l3517392,r,1030224l3823716,1030224,3823716,xem4703064,446532r-306324,l4396740,1030224r306324,l4703064,446532xe" fillcolor="#d44673" stroked="f">
                  <v:path arrowok="t"/>
                </v:shape>
                <v:shape id="Graphic 649" o:spid="_x0000_s1422" style="position:absolute;left:4857;top:9897;width:47035;height:781;visibility:visible;mso-wrap-style:square;v-text-anchor:top" coordsize="470344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" path="m306324,70104l,70104r,7620l306324,77724r,-7620xem1185672,l879348,r,77724l1185672,77724r,-77724xem2065020,33528r-306324,l1758696,77724r306324,l2065020,33528xem2944368,73152r-306324,l2638044,77724r306324,l2944368,73152xem3823716,19812r-306324,l3517392,77724r306324,l3823716,19812xem4703064,45720r-306324,l4396740,77724r306324,l4703064,45720xe" fillcolor="#741a36" stroked="f">
                  <v:path arrowok="t"/>
                </v:shape>
                <v:shape id="Graphic 650" o:spid="_x0000_s1423" style="position:absolute;left:47;top:10674;width:52769;height:6617;visibility:visible;mso-wrap-style:square;v-text-anchor:top" coordsize="5276850,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" path="m,l5276278,em,l,220599em2637472,r,220599em5276278,r,220599em,220599l,441198em2637472,220599r,220599em5276278,220599r,220599em,441198l,661670em5276278,441198r,220472e" filled="f" strokecolor="#d9d9d9">
                  <v:path arrowok="t"/>
                </v:shape>
                <v:shape id="Textbox 651" o:spid="_x0000_s1424" type="#_x0000_t202" style="position:absolute;left:10374;width:195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07C89DBC" w14:textId="77777777" w:rsidR="000E52B0" w:rsidRDefault="00F60D74">
                        <w:pPr>
                          <w:rPr>
                            <w:rFonts w:ascii="Trebuchet MS"/>
                            <w:sz w:val="18"/>
                          </w:rPr>
                        </w:pPr>
                        <w:r>
                          <w:rPr>
                            <w:rFonts w:ascii="Trebuchet MS"/>
                            <w:color w:val="404040"/>
                            <w:spacing w:val="-5"/>
                            <w:sz w:val="18"/>
                          </w:rPr>
                          <w:t>230</w:t>
                        </w:r>
                      </w:p>
                    </w:txbxContent>
                  </v:textbox>
                </v:shape>
                <v:shape id="Textbox 652" o:spid="_x0000_s1425" type="#_x0000_t202" style="position:absolute;left:19170;top:3675;width:195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6516CAC6" w14:textId="77777777" w:rsidR="000E52B0" w:rsidRDefault="00F60D74">
                        <w:pPr>
                          <w:rPr>
                            <w:rFonts w:ascii="Trebuchet MS"/>
                            <w:sz w:val="18"/>
                          </w:rPr>
                        </w:pPr>
                        <w:r>
                          <w:rPr>
                            <w:rFonts w:ascii="Trebuchet MS"/>
                            <w:color w:val="404040"/>
                            <w:spacing w:val="-5"/>
                            <w:sz w:val="18"/>
                          </w:rPr>
                          <w:t>133</w:t>
                        </w:r>
                      </w:p>
                    </w:txbxContent>
                  </v:textbox>
                </v:shape>
                <v:shape id="Textbox 653" o:spid="_x0000_s1426" type="#_x0000_t202" style="position:absolute;left:45557;top:2871;width:195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3304EF5C" w14:textId="77777777" w:rsidR="000E52B0" w:rsidRDefault="00F60D74">
                        <w:pPr>
                          <w:rPr>
                            <w:rFonts w:ascii="Trebuchet MS"/>
                            <w:sz w:val="18"/>
                          </w:rPr>
                        </w:pPr>
                        <w:r>
                          <w:rPr>
                            <w:rFonts w:ascii="Trebuchet MS"/>
                            <w:color w:val="404040"/>
                            <w:spacing w:val="-5"/>
                            <w:sz w:val="18"/>
                          </w:rPr>
                          <w:t>154</w:t>
                        </w:r>
                      </w:p>
                    </w:txbxContent>
                  </v:textbox>
                </v:shape>
                <v:shape id="Textbox 654" o:spid="_x0000_s1427" type="#_x0000_t202" style="position:absolute;left:1883;top:7394;width:134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6849680D" w14:textId="77777777" w:rsidR="000E52B0" w:rsidRDefault="00F60D74">
                        <w:pPr>
                          <w:rPr>
                            <w:rFonts w:ascii="Trebuchet MS"/>
                            <w:sz w:val="18"/>
                          </w:rPr>
                        </w:pPr>
                        <w:r>
                          <w:rPr>
                            <w:rFonts w:ascii="Trebuchet MS"/>
                            <w:color w:val="404040"/>
                            <w:spacing w:val="-5"/>
                            <w:sz w:val="18"/>
                          </w:rPr>
                          <w:t>35</w:t>
                        </w:r>
                      </w:p>
                    </w:txbxContent>
                  </v:textbox>
                </v:shape>
                <v:shape id="Textbox 655" o:spid="_x0000_s1428" type="#_x0000_t202" style="position:absolute;left:6079;top:8632;width:74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4E885AB9" w14:textId="77777777" w:rsidR="000E52B0" w:rsidRDefault="00F60D74">
                        <w:pPr>
                          <w:rPr>
                            <w:rFonts w:ascii="Trebuchet MS"/>
                            <w:sz w:val="18"/>
                          </w:rPr>
                        </w:pPr>
                        <w:r>
                          <w:rPr>
                            <w:rFonts w:ascii="Trebuchet MS"/>
                            <w:color w:val="404040"/>
                            <w:spacing w:val="-10"/>
                            <w:sz w:val="18"/>
                          </w:rPr>
                          <w:t>2</w:t>
                        </w:r>
                      </w:p>
                    </w:txbxContent>
                  </v:textbox>
                </v:shape>
                <v:shape id="Textbox 656" o:spid="_x0000_s1429" type="#_x0000_t202" style="position:absolute;left:14571;top:7931;width:134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79EA9A56" w14:textId="77777777" w:rsidR="000E52B0" w:rsidRDefault="00F60D74">
                        <w:pPr>
                          <w:rPr>
                            <w:rFonts w:ascii="Trebuchet MS"/>
                            <w:sz w:val="18"/>
                          </w:rPr>
                        </w:pPr>
                        <w:r>
                          <w:rPr>
                            <w:rFonts w:ascii="Trebuchet MS"/>
                            <w:color w:val="404040"/>
                            <w:spacing w:val="-5"/>
                            <w:sz w:val="18"/>
                          </w:rPr>
                          <w:t>20</w:t>
                        </w:r>
                      </w:p>
                    </w:txbxContent>
                  </v:textbox>
                </v:shape>
                <v:shape id="Textbox 657" o:spid="_x0000_s1430" type="#_x0000_t202" style="position:absolute;left:23368;top:8266;width:134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1CF7155B" w14:textId="77777777" w:rsidR="000E52B0" w:rsidRDefault="00F60D74">
                        <w:pPr>
                          <w:rPr>
                            <w:rFonts w:ascii="Trebuchet MS"/>
                            <w:sz w:val="18"/>
                          </w:rPr>
                        </w:pPr>
                        <w:r>
                          <w:rPr>
                            <w:rFonts w:ascii="Trebuchet MS"/>
                            <w:color w:val="404040"/>
                            <w:spacing w:val="-5"/>
                            <w:sz w:val="18"/>
                          </w:rPr>
                          <w:t>12</w:t>
                        </w:r>
                      </w:p>
                    </w:txbxContent>
                  </v:textbox>
                </v:shape>
                <v:shape id="Textbox 658" o:spid="_x0000_s1431" type="#_x0000_t202" style="position:absolute;left:28268;top:7278;width:134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30B1EC09" w14:textId="77777777" w:rsidR="000E52B0" w:rsidRDefault="00F60D74">
                        <w:pPr>
                          <w:rPr>
                            <w:rFonts w:ascii="Trebuchet MS"/>
                            <w:sz w:val="18"/>
                          </w:rPr>
                        </w:pPr>
                        <w:r>
                          <w:rPr>
                            <w:rFonts w:ascii="Trebuchet MS"/>
                            <w:color w:val="404040"/>
                            <w:spacing w:val="-5"/>
                            <w:sz w:val="18"/>
                          </w:rPr>
                          <w:t>38</w:t>
                        </w:r>
                      </w:p>
                    </w:txbxContent>
                  </v:textbox>
                </v:shape>
                <v:shape id="Textbox 659" o:spid="_x0000_s1432" type="#_x0000_t202" style="position:absolute;left:32466;top:8665;width:74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35C27675" w14:textId="77777777" w:rsidR="000E52B0" w:rsidRDefault="00F60D74">
                        <w:pPr>
                          <w:rPr>
                            <w:rFonts w:ascii="Trebuchet MS"/>
                            <w:sz w:val="18"/>
                          </w:rPr>
                        </w:pPr>
                        <w:r>
                          <w:rPr>
                            <w:rFonts w:ascii="Trebuchet MS"/>
                            <w:color w:val="404040"/>
                            <w:spacing w:val="-10"/>
                            <w:sz w:val="18"/>
                          </w:rPr>
                          <w:t>1</w:t>
                        </w:r>
                      </w:p>
                    </w:txbxContent>
                  </v:textbox>
                </v:shape>
                <v:shape id="Textbox 660" o:spid="_x0000_s1433" type="#_x0000_t202" style="position:absolute;left:40958;top:8120;width:134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4690B7C1" w14:textId="77777777" w:rsidR="000E52B0" w:rsidRDefault="00F60D74">
                        <w:pPr>
                          <w:rPr>
                            <w:rFonts w:ascii="Trebuchet MS"/>
                            <w:sz w:val="18"/>
                          </w:rPr>
                        </w:pPr>
                        <w:r>
                          <w:rPr>
                            <w:rFonts w:ascii="Trebuchet MS"/>
                            <w:color w:val="404040"/>
                            <w:spacing w:val="-5"/>
                            <w:sz w:val="18"/>
                          </w:rPr>
                          <w:t>15</w:t>
                        </w:r>
                      </w:p>
                    </w:txbxContent>
                  </v:textbox>
                </v:shape>
                <v:shape id="Textbox 661" o:spid="_x0000_s1434" type="#_x0000_t202" style="position:absolute;left:50059;top:8379;width:74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7664B907" w14:textId="77777777" w:rsidR="000E52B0" w:rsidRDefault="00F60D74">
                        <w:pPr>
                          <w:rPr>
                            <w:rFonts w:ascii="Trebuchet MS"/>
                            <w:sz w:val="18"/>
                          </w:rPr>
                        </w:pPr>
                        <w:r>
                          <w:rPr>
                            <w:rFonts w:ascii="Trebuchet MS"/>
                            <w:color w:val="404040"/>
                            <w:spacing w:val="-10"/>
                            <w:sz w:val="18"/>
                          </w:rPr>
                          <w:t>9</w:t>
                        </w:r>
                      </w:p>
                    </w:txbxContent>
                  </v:textbox>
                </v:shape>
                <v:shape id="Textbox 662" o:spid="_x0000_s1435" type="#_x0000_t202" style="position:absolute;left:2151;top:11387;width:4724;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5EE3E07A" w14:textId="77777777" w:rsidR="000E52B0" w:rsidRDefault="00F60D74">
                        <w:pPr>
                          <w:rPr>
                            <w:rFonts w:ascii="Trebuchet MS"/>
                            <w:sz w:val="18"/>
                          </w:rPr>
                        </w:pPr>
                        <w:r>
                          <w:rPr>
                            <w:rFonts w:ascii="Trebuchet MS"/>
                            <w:color w:val="585858"/>
                            <w:spacing w:val="-2"/>
                            <w:w w:val="105"/>
                            <w:sz w:val="18"/>
                          </w:rPr>
                          <w:t>Hombres</w:t>
                        </w:r>
                      </w:p>
                    </w:txbxContent>
                  </v:textbox>
                </v:shape>
                <v:shape id="Textbox 663" o:spid="_x0000_s1436" type="#_x0000_t202" style="position:absolute;left:7592;top:11387;width:11430;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75CCA19E" w14:textId="77777777" w:rsidR="000E52B0" w:rsidRDefault="00F60D74">
                        <w:pPr>
                          <w:ind w:left="1" w:right="18"/>
                          <w:jc w:val="center"/>
                          <w:rPr>
                            <w:rFonts w:ascii="Trebuchet MS"/>
                            <w:sz w:val="18"/>
                          </w:rPr>
                        </w:pPr>
                        <w:r>
                          <w:rPr>
                            <w:rFonts w:ascii="Trebuchet MS"/>
                            <w:color w:val="585858"/>
                            <w:spacing w:val="-2"/>
                            <w:sz w:val="18"/>
                          </w:rPr>
                          <w:t>Mujeres</w:t>
                        </w:r>
                      </w:p>
                      <w:p w14:paraId="46612A60" w14:textId="77777777" w:rsidR="000E52B0" w:rsidRDefault="00F60D74">
                        <w:pPr>
                          <w:spacing w:before="138"/>
                          <w:ind w:right="18"/>
                          <w:jc w:val="center"/>
                          <w:rPr>
                            <w:rFonts w:ascii="Trebuchet MS"/>
                            <w:sz w:val="18"/>
                          </w:rPr>
                        </w:pPr>
                        <w:r>
                          <w:rPr>
                            <w:rFonts w:ascii="Trebuchet MS"/>
                            <w:color w:val="585858"/>
                            <w:sz w:val="18"/>
                          </w:rPr>
                          <w:t xml:space="preserve">Personas </w:t>
                        </w:r>
                        <w:r>
                          <w:rPr>
                            <w:rFonts w:ascii="Trebuchet MS"/>
                            <w:color w:val="585858"/>
                            <w:spacing w:val="-2"/>
                            <w:sz w:val="18"/>
                          </w:rPr>
                          <w:t>colombianas</w:t>
                        </w:r>
                      </w:p>
                    </w:txbxContent>
                  </v:textbox>
                </v:shape>
                <v:shape id="Textbox 664" o:spid="_x0000_s1437" type="#_x0000_t202" style="position:absolute;left:20698;top:11387;width:257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54A5741D" w14:textId="77777777" w:rsidR="000E52B0" w:rsidRDefault="00F60D74">
                        <w:pPr>
                          <w:rPr>
                            <w:rFonts w:ascii="Trebuchet MS"/>
                            <w:sz w:val="18"/>
                          </w:rPr>
                        </w:pPr>
                        <w:r>
                          <w:rPr>
                            <w:rFonts w:ascii="Trebuchet MS"/>
                            <w:color w:val="585858"/>
                            <w:spacing w:val="-6"/>
                            <w:sz w:val="18"/>
                          </w:rPr>
                          <w:t>Total</w:t>
                        </w:r>
                      </w:p>
                    </w:txbxContent>
                  </v:textbox>
                </v:shape>
                <v:shape id="Textbox 665" o:spid="_x0000_s1438" type="#_x0000_t202" style="position:absolute;left:28538;top:11387;width:4724;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2A298652" w14:textId="77777777" w:rsidR="000E52B0" w:rsidRDefault="00F60D74">
                        <w:pPr>
                          <w:rPr>
                            <w:rFonts w:ascii="Trebuchet MS"/>
                            <w:sz w:val="18"/>
                          </w:rPr>
                        </w:pPr>
                        <w:r>
                          <w:rPr>
                            <w:rFonts w:ascii="Trebuchet MS"/>
                            <w:color w:val="585858"/>
                            <w:spacing w:val="-2"/>
                            <w:w w:val="105"/>
                            <w:sz w:val="18"/>
                          </w:rPr>
                          <w:t>Hombres</w:t>
                        </w:r>
                      </w:p>
                    </w:txbxContent>
                  </v:textbox>
                </v:shape>
                <v:shape id="Textbox 666" o:spid="_x0000_s1439" type="#_x0000_t202" style="position:absolute;left:34112;top:11387;width:11163;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66B110D2" w14:textId="77777777" w:rsidR="000E52B0" w:rsidRDefault="00F60D74">
                        <w:pPr>
                          <w:ind w:right="18"/>
                          <w:jc w:val="center"/>
                          <w:rPr>
                            <w:rFonts w:ascii="Trebuchet MS"/>
                            <w:sz w:val="18"/>
                          </w:rPr>
                        </w:pPr>
                        <w:r>
                          <w:rPr>
                            <w:rFonts w:ascii="Trebuchet MS"/>
                            <w:color w:val="585858"/>
                            <w:spacing w:val="-2"/>
                            <w:sz w:val="18"/>
                          </w:rPr>
                          <w:t>Mujeres</w:t>
                        </w:r>
                      </w:p>
                      <w:p w14:paraId="31DF2B45" w14:textId="77777777" w:rsidR="000E52B0" w:rsidRDefault="00F60D74">
                        <w:pPr>
                          <w:spacing w:before="138"/>
                          <w:ind w:right="18"/>
                          <w:jc w:val="center"/>
                          <w:rPr>
                            <w:rFonts w:ascii="Trebuchet MS"/>
                            <w:sz w:val="18"/>
                          </w:rPr>
                        </w:pPr>
                        <w:r>
                          <w:rPr>
                            <w:rFonts w:ascii="Trebuchet MS"/>
                            <w:color w:val="585858"/>
                            <w:sz w:val="18"/>
                          </w:rPr>
                          <w:t xml:space="preserve">Personas </w:t>
                        </w:r>
                        <w:r>
                          <w:rPr>
                            <w:rFonts w:ascii="Trebuchet MS"/>
                            <w:color w:val="585858"/>
                            <w:spacing w:val="-2"/>
                            <w:sz w:val="18"/>
                          </w:rPr>
                          <w:t>venezolanas</w:t>
                        </w:r>
                      </w:p>
                    </w:txbxContent>
                  </v:textbox>
                </v:shape>
                <v:shape id="Textbox 667" o:spid="_x0000_s1440" type="#_x0000_t202" style="position:absolute;left:47200;top:11387;width:257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63662C71" w14:textId="77777777" w:rsidR="000E52B0" w:rsidRDefault="00F60D74">
                        <w:pPr>
                          <w:rPr>
                            <w:rFonts w:ascii="Trebuchet MS"/>
                            <w:sz w:val="18"/>
                          </w:rPr>
                        </w:pPr>
                        <w:r>
                          <w:rPr>
                            <w:rFonts w:ascii="Trebuchet MS"/>
                            <w:color w:val="585858"/>
                            <w:spacing w:val="-6"/>
                            <w:sz w:val="18"/>
                          </w:rPr>
                          <w:t>Total</w:t>
                        </w:r>
                      </w:p>
                    </w:txbxContent>
                  </v:textbox>
                </v:shape>
                <v:shape id="Textbox 668" o:spid="_x0000_s1441" type="#_x0000_t202" style="position:absolute;left:20228;top:15797;width:1253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338115A8" w14:textId="77777777" w:rsidR="000E52B0" w:rsidRDefault="00F60D74">
                        <w:pPr>
                          <w:rPr>
                            <w:rFonts w:ascii="Trebuchet MS"/>
                            <w:sz w:val="18"/>
                          </w:rPr>
                        </w:pPr>
                        <w:r>
                          <w:rPr>
                            <w:rFonts w:ascii="Trebuchet MS"/>
                            <w:color w:val="585858"/>
                            <w:spacing w:val="-2"/>
                            <w:sz w:val="18"/>
                          </w:rPr>
                          <w:t>Tasas</w:t>
                        </w:r>
                        <w:r>
                          <w:rPr>
                            <w:rFonts w:ascii="Trebuchet MS"/>
                            <w:color w:val="585858"/>
                            <w:spacing w:val="-12"/>
                            <w:sz w:val="18"/>
                          </w:rPr>
                          <w:t xml:space="preserve"> </w:t>
                        </w:r>
                        <w:r>
                          <w:rPr>
                            <w:rFonts w:ascii="Trebuchet MS"/>
                            <w:color w:val="585858"/>
                            <w:spacing w:val="-2"/>
                            <w:sz w:val="18"/>
                          </w:rPr>
                          <w:t>X</w:t>
                        </w:r>
                        <w:r>
                          <w:rPr>
                            <w:rFonts w:ascii="Trebuchet MS"/>
                            <w:color w:val="585858"/>
                            <w:spacing w:val="-14"/>
                            <w:sz w:val="18"/>
                          </w:rPr>
                          <w:t xml:space="preserve"> </w:t>
                        </w:r>
                        <w:r>
                          <w:rPr>
                            <w:rFonts w:ascii="Trebuchet MS"/>
                            <w:color w:val="585858"/>
                            <w:spacing w:val="-2"/>
                            <w:sz w:val="18"/>
                          </w:rPr>
                          <w:t>100</w:t>
                        </w:r>
                        <w:r>
                          <w:rPr>
                            <w:rFonts w:ascii="Trebuchet MS"/>
                            <w:color w:val="585858"/>
                            <w:spacing w:val="-15"/>
                            <w:sz w:val="18"/>
                          </w:rPr>
                          <w:t xml:space="preserve"> </w:t>
                        </w:r>
                        <w:r>
                          <w:rPr>
                            <w:rFonts w:ascii="Trebuchet MS"/>
                            <w:color w:val="585858"/>
                            <w:spacing w:val="-2"/>
                            <w:sz w:val="18"/>
                          </w:rPr>
                          <w:t>mil</w:t>
                        </w:r>
                        <w:r>
                          <w:rPr>
                            <w:rFonts w:ascii="Trebuchet MS"/>
                            <w:color w:val="585858"/>
                            <w:spacing w:val="-13"/>
                            <w:sz w:val="18"/>
                          </w:rPr>
                          <w:t xml:space="preserve"> </w:t>
                        </w:r>
                        <w:r>
                          <w:rPr>
                            <w:rFonts w:ascii="Trebuchet MS"/>
                            <w:color w:val="585858"/>
                            <w:spacing w:val="-2"/>
                            <w:sz w:val="18"/>
                          </w:rPr>
                          <w:t>personas</w:t>
                        </w:r>
                      </w:p>
                    </w:txbxContent>
                  </v:textbox>
                </v:shape>
                <w10:wrap type="topAndBottom" anchorx="page"/>
              </v:group>
            </w:pict>
          </mc:Fallback>
        </mc:AlternateContent>
      </w:r>
      <w:r>
        <w:rPr>
          <w:rFonts w:ascii="Trebuchet MS"/>
          <w:color w:val="404040"/>
          <w:spacing w:val="-5"/>
          <w:sz w:val="18"/>
        </w:rPr>
        <w:t>272</w:t>
      </w:r>
    </w:p>
    <w:p w14:paraId="1A902B6D" w14:textId="77777777" w:rsidR="000E52B0" w:rsidRDefault="00F60D74">
      <w:pPr>
        <w:spacing w:before="151" w:line="405" w:lineRule="auto"/>
        <w:ind w:left="3236" w:right="3153"/>
        <w:rPr>
          <w:rFonts w:ascii="Trebuchet MS" w:hAnsi="Trebuchet MS"/>
          <w:sz w:val="16"/>
        </w:rPr>
      </w:pPr>
      <w:r>
        <w:rPr>
          <w:noProof/>
        </w:rPr>
        <w:drawing>
          <wp:inline distT="0" distB="0" distL="0" distR="0" wp14:anchorId="5656A47C" wp14:editId="54F11F6F">
            <wp:extent cx="55807" cy="55806"/>
            <wp:effectExtent l="0" t="0" r="0" b="0"/>
            <wp:docPr id="669" name="Image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r:embed="rId212" cstate="print"/>
                    <a:stretch>
                      <a:fillRect/>
                    </a:stretch>
                  </pic:blipFill>
                  <pic:spPr>
                    <a:xfrm>
                      <a:off x="0" y="0"/>
                      <a:ext cx="55807" cy="55806"/>
                    </a:xfrm>
                    <a:prstGeom prst="rect">
                      <a:avLst/>
                    </a:prstGeom>
                  </pic:spPr>
                </pic:pic>
              </a:graphicData>
            </a:graphic>
          </wp:inline>
        </w:drawing>
      </w:r>
      <w:r>
        <w:rPr>
          <w:rFonts w:ascii="Times New Roman" w:hAnsi="Times New Roman"/>
          <w:sz w:val="20"/>
        </w:rPr>
        <w:t xml:space="preserve"> </w:t>
      </w:r>
      <w:r>
        <w:rPr>
          <w:rFonts w:ascii="Trebuchet MS" w:hAnsi="Trebuchet MS"/>
          <w:color w:val="585858"/>
          <w:sz w:val="16"/>
        </w:rPr>
        <w:t>Violencias</w:t>
      </w:r>
      <w:r>
        <w:rPr>
          <w:rFonts w:ascii="Trebuchet MS" w:hAnsi="Trebuchet MS"/>
          <w:color w:val="585858"/>
          <w:spacing w:val="-1"/>
          <w:sz w:val="16"/>
        </w:rPr>
        <w:t xml:space="preserve"> </w:t>
      </w:r>
      <w:r>
        <w:rPr>
          <w:rFonts w:ascii="Trebuchet MS" w:hAnsi="Trebuchet MS"/>
          <w:color w:val="585858"/>
          <w:sz w:val="16"/>
        </w:rPr>
        <w:t>sexuales</w:t>
      </w:r>
      <w:r>
        <w:rPr>
          <w:rFonts w:ascii="Trebuchet MS" w:hAnsi="Trebuchet MS"/>
          <w:color w:val="585858"/>
          <w:spacing w:val="-1"/>
          <w:sz w:val="16"/>
        </w:rPr>
        <w:t xml:space="preserve"> </w:t>
      </w:r>
      <w:r>
        <w:rPr>
          <w:rFonts w:ascii="Trebuchet MS" w:hAnsi="Trebuchet MS"/>
          <w:color w:val="585858"/>
          <w:sz w:val="16"/>
        </w:rPr>
        <w:t>contra</w:t>
      </w:r>
      <w:r>
        <w:rPr>
          <w:rFonts w:ascii="Trebuchet MS" w:hAnsi="Trebuchet MS"/>
          <w:color w:val="585858"/>
          <w:spacing w:val="-1"/>
          <w:sz w:val="16"/>
        </w:rPr>
        <w:t xml:space="preserve"> </w:t>
      </w:r>
      <w:r>
        <w:rPr>
          <w:rFonts w:ascii="Trebuchet MS" w:hAnsi="Trebuchet MS"/>
          <w:color w:val="585858"/>
          <w:sz w:val="16"/>
        </w:rPr>
        <w:t>niños, niñas</w:t>
      </w:r>
      <w:r>
        <w:rPr>
          <w:rFonts w:ascii="Trebuchet MS" w:hAnsi="Trebuchet MS"/>
          <w:color w:val="585858"/>
          <w:spacing w:val="-1"/>
          <w:sz w:val="16"/>
        </w:rPr>
        <w:t xml:space="preserve"> </w:t>
      </w:r>
      <w:r>
        <w:rPr>
          <w:rFonts w:ascii="Trebuchet MS" w:hAnsi="Trebuchet MS"/>
          <w:color w:val="585858"/>
          <w:sz w:val="16"/>
        </w:rPr>
        <w:t>y</w:t>
      </w:r>
      <w:r>
        <w:rPr>
          <w:rFonts w:ascii="Trebuchet MS" w:hAnsi="Trebuchet MS"/>
          <w:color w:val="585858"/>
          <w:spacing w:val="-2"/>
          <w:sz w:val="16"/>
        </w:rPr>
        <w:t xml:space="preserve"> </w:t>
      </w:r>
      <w:r>
        <w:rPr>
          <w:rFonts w:ascii="Trebuchet MS" w:hAnsi="Trebuchet MS"/>
          <w:color w:val="585858"/>
          <w:sz w:val="16"/>
        </w:rPr>
        <w:t xml:space="preserve">adolescentes </w:t>
      </w:r>
      <w:r>
        <w:rPr>
          <w:rFonts w:ascii="Trebuchet MS" w:hAnsi="Trebuchet MS"/>
          <w:noProof/>
          <w:color w:val="585858"/>
          <w:sz w:val="16"/>
        </w:rPr>
        <w:drawing>
          <wp:inline distT="0" distB="0" distL="0" distR="0" wp14:anchorId="414FBEDD" wp14:editId="2B5A0073">
            <wp:extent cx="55807" cy="55807"/>
            <wp:effectExtent l="0" t="0" r="0" b="0"/>
            <wp:docPr id="670" name="Image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r:embed="rId213" cstate="print"/>
                    <a:stretch>
                      <a:fillRect/>
                    </a:stretch>
                  </pic:blipFill>
                  <pic:spPr>
                    <a:xfrm>
                      <a:off x="0" y="0"/>
                      <a:ext cx="55807" cy="55807"/>
                    </a:xfrm>
                    <a:prstGeom prst="rect">
                      <a:avLst/>
                    </a:prstGeom>
                  </pic:spPr>
                </pic:pic>
              </a:graphicData>
            </a:graphic>
          </wp:inline>
        </w:drawing>
      </w:r>
      <w:r>
        <w:rPr>
          <w:rFonts w:ascii="Times New Roman" w:hAnsi="Times New Roman"/>
          <w:color w:val="585858"/>
          <w:spacing w:val="-2"/>
          <w:sz w:val="16"/>
        </w:rPr>
        <w:t xml:space="preserve"> </w:t>
      </w:r>
      <w:r>
        <w:rPr>
          <w:rFonts w:ascii="Trebuchet MS" w:hAnsi="Trebuchet MS"/>
          <w:color w:val="585858"/>
          <w:sz w:val="16"/>
        </w:rPr>
        <w:t>Violencias</w:t>
      </w:r>
      <w:r>
        <w:rPr>
          <w:rFonts w:ascii="Trebuchet MS" w:hAnsi="Trebuchet MS"/>
          <w:color w:val="585858"/>
          <w:spacing w:val="-17"/>
          <w:sz w:val="16"/>
        </w:rPr>
        <w:t xml:space="preserve"> </w:t>
      </w:r>
      <w:r>
        <w:rPr>
          <w:rFonts w:ascii="Trebuchet MS" w:hAnsi="Trebuchet MS"/>
          <w:color w:val="585858"/>
          <w:sz w:val="16"/>
        </w:rPr>
        <w:t>sexuales</w:t>
      </w:r>
      <w:r>
        <w:rPr>
          <w:rFonts w:ascii="Trebuchet MS" w:hAnsi="Trebuchet MS"/>
          <w:color w:val="585858"/>
          <w:spacing w:val="-17"/>
          <w:sz w:val="16"/>
        </w:rPr>
        <w:t xml:space="preserve"> </w:t>
      </w:r>
      <w:r>
        <w:rPr>
          <w:rFonts w:ascii="Trebuchet MS" w:hAnsi="Trebuchet MS"/>
          <w:color w:val="585858"/>
          <w:sz w:val="16"/>
        </w:rPr>
        <w:t>contra</w:t>
      </w:r>
      <w:r>
        <w:rPr>
          <w:rFonts w:ascii="Trebuchet MS" w:hAnsi="Trebuchet MS"/>
          <w:color w:val="585858"/>
          <w:spacing w:val="-17"/>
          <w:sz w:val="16"/>
        </w:rPr>
        <w:t xml:space="preserve"> </w:t>
      </w:r>
      <w:r>
        <w:rPr>
          <w:rFonts w:ascii="Trebuchet MS" w:hAnsi="Trebuchet MS"/>
          <w:color w:val="585858"/>
          <w:sz w:val="16"/>
        </w:rPr>
        <w:t>personas</w:t>
      </w:r>
      <w:r>
        <w:rPr>
          <w:rFonts w:ascii="Trebuchet MS" w:hAnsi="Trebuchet MS"/>
          <w:color w:val="585858"/>
          <w:spacing w:val="-17"/>
          <w:sz w:val="16"/>
        </w:rPr>
        <w:t xml:space="preserve"> </w:t>
      </w:r>
      <w:r>
        <w:rPr>
          <w:rFonts w:ascii="Trebuchet MS" w:hAnsi="Trebuchet MS"/>
          <w:color w:val="585858"/>
          <w:sz w:val="16"/>
        </w:rPr>
        <w:t>mayores</w:t>
      </w:r>
      <w:r>
        <w:rPr>
          <w:rFonts w:ascii="Trebuchet MS" w:hAnsi="Trebuchet MS"/>
          <w:color w:val="585858"/>
          <w:spacing w:val="-17"/>
          <w:sz w:val="16"/>
        </w:rPr>
        <w:t xml:space="preserve"> </w:t>
      </w:r>
      <w:r>
        <w:rPr>
          <w:rFonts w:ascii="Trebuchet MS" w:hAnsi="Trebuchet MS"/>
          <w:color w:val="585858"/>
          <w:sz w:val="16"/>
        </w:rPr>
        <w:t>de</w:t>
      </w:r>
      <w:r>
        <w:rPr>
          <w:rFonts w:ascii="Trebuchet MS" w:hAnsi="Trebuchet MS"/>
          <w:color w:val="585858"/>
          <w:spacing w:val="-18"/>
          <w:sz w:val="16"/>
        </w:rPr>
        <w:t xml:space="preserve"> </w:t>
      </w:r>
      <w:r>
        <w:rPr>
          <w:rFonts w:ascii="Trebuchet MS" w:hAnsi="Trebuchet MS"/>
          <w:color w:val="585858"/>
          <w:sz w:val="16"/>
        </w:rPr>
        <w:t>18</w:t>
      </w:r>
      <w:r>
        <w:rPr>
          <w:rFonts w:ascii="Trebuchet MS" w:hAnsi="Trebuchet MS"/>
          <w:color w:val="585858"/>
          <w:spacing w:val="-17"/>
          <w:sz w:val="16"/>
        </w:rPr>
        <w:t xml:space="preserve"> </w:t>
      </w:r>
      <w:r>
        <w:rPr>
          <w:rFonts w:ascii="Trebuchet MS" w:hAnsi="Trebuchet MS"/>
          <w:color w:val="585858"/>
          <w:sz w:val="16"/>
        </w:rPr>
        <w:t>años</w:t>
      </w:r>
    </w:p>
    <w:p w14:paraId="27DEB364" w14:textId="77777777" w:rsidR="000E52B0" w:rsidRDefault="00F60D74">
      <w:pPr>
        <w:spacing w:before="36"/>
        <w:jc w:val="center"/>
        <w:rPr>
          <w:i/>
          <w:sz w:val="18"/>
        </w:rPr>
      </w:pPr>
      <w:r>
        <w:rPr>
          <w:i/>
          <w:color w:val="454551"/>
          <w:sz w:val="18"/>
        </w:rPr>
        <w:t>Fuente</w:t>
      </w:r>
      <w:r>
        <w:rPr>
          <w:i/>
          <w:color w:val="454551"/>
          <w:spacing w:val="-2"/>
          <w:sz w:val="18"/>
        </w:rPr>
        <w:t xml:space="preserve"> </w:t>
      </w:r>
      <w:r>
        <w:rPr>
          <w:i/>
          <w:color w:val="454551"/>
          <w:sz w:val="18"/>
        </w:rPr>
        <w:t>41.</w:t>
      </w:r>
      <w:r>
        <w:rPr>
          <w:i/>
          <w:color w:val="454551"/>
          <w:spacing w:val="-4"/>
          <w:sz w:val="18"/>
        </w:rPr>
        <w:t xml:space="preserve"> </w:t>
      </w:r>
      <w:r>
        <w:rPr>
          <w:i/>
          <w:color w:val="454551"/>
          <w:sz w:val="18"/>
        </w:rPr>
        <w:t>Cálculos</w:t>
      </w:r>
      <w:r>
        <w:rPr>
          <w:i/>
          <w:color w:val="454551"/>
          <w:spacing w:val="-3"/>
          <w:sz w:val="18"/>
        </w:rPr>
        <w:t xml:space="preserve"> </w:t>
      </w:r>
      <w:r>
        <w:rPr>
          <w:i/>
          <w:color w:val="454551"/>
          <w:sz w:val="18"/>
        </w:rPr>
        <w:t>propios</w:t>
      </w:r>
      <w:r>
        <w:rPr>
          <w:i/>
          <w:color w:val="454551"/>
          <w:spacing w:val="-2"/>
          <w:sz w:val="18"/>
        </w:rPr>
        <w:t xml:space="preserve"> </w:t>
      </w:r>
      <w:r>
        <w:rPr>
          <w:i/>
          <w:color w:val="454551"/>
          <w:sz w:val="18"/>
        </w:rPr>
        <w:t>con</w:t>
      </w:r>
      <w:r>
        <w:rPr>
          <w:i/>
          <w:color w:val="454551"/>
          <w:spacing w:val="-2"/>
          <w:sz w:val="18"/>
        </w:rPr>
        <w:t xml:space="preserve"> </w:t>
      </w:r>
      <w:r>
        <w:rPr>
          <w:i/>
          <w:color w:val="454551"/>
          <w:sz w:val="18"/>
        </w:rPr>
        <w:t>base</w:t>
      </w:r>
      <w:r>
        <w:rPr>
          <w:i/>
          <w:color w:val="454551"/>
          <w:spacing w:val="-3"/>
          <w:sz w:val="18"/>
        </w:rPr>
        <w:t xml:space="preserve"> </w:t>
      </w:r>
      <w:r>
        <w:rPr>
          <w:i/>
          <w:color w:val="454551"/>
          <w:sz w:val="18"/>
        </w:rPr>
        <w:t>en</w:t>
      </w:r>
      <w:r>
        <w:rPr>
          <w:i/>
          <w:color w:val="454551"/>
          <w:spacing w:val="-1"/>
          <w:sz w:val="18"/>
        </w:rPr>
        <w:t xml:space="preserve"> </w:t>
      </w:r>
      <w:r>
        <w:rPr>
          <w:i/>
          <w:color w:val="454551"/>
          <w:sz w:val="18"/>
        </w:rPr>
        <w:t>INML-CF,</w:t>
      </w:r>
      <w:r>
        <w:rPr>
          <w:i/>
          <w:color w:val="454551"/>
          <w:spacing w:val="-4"/>
          <w:sz w:val="18"/>
        </w:rPr>
        <w:t xml:space="preserve"> </w:t>
      </w:r>
      <w:r>
        <w:rPr>
          <w:i/>
          <w:color w:val="454551"/>
          <w:sz w:val="18"/>
        </w:rPr>
        <w:t>DANE,</w:t>
      </w:r>
      <w:r>
        <w:rPr>
          <w:i/>
          <w:color w:val="454551"/>
          <w:spacing w:val="-1"/>
          <w:sz w:val="18"/>
        </w:rPr>
        <w:t xml:space="preserve"> </w:t>
      </w:r>
      <w:r>
        <w:rPr>
          <w:i/>
          <w:color w:val="454551"/>
          <w:sz w:val="18"/>
        </w:rPr>
        <w:t>Migración</w:t>
      </w:r>
      <w:r>
        <w:rPr>
          <w:i/>
          <w:color w:val="454551"/>
          <w:spacing w:val="-1"/>
          <w:sz w:val="18"/>
        </w:rPr>
        <w:t xml:space="preserve"> </w:t>
      </w:r>
      <w:r>
        <w:rPr>
          <w:i/>
          <w:color w:val="454551"/>
          <w:spacing w:val="-2"/>
          <w:sz w:val="18"/>
        </w:rPr>
        <w:t>Colombia</w:t>
      </w:r>
    </w:p>
    <w:p w14:paraId="2594BF0C" w14:textId="77777777" w:rsidR="000E52B0" w:rsidRDefault="00F60D74">
      <w:pPr>
        <w:pStyle w:val="Textoindependiente"/>
        <w:spacing w:before="201"/>
        <w:jc w:val="both"/>
      </w:pPr>
      <w:r>
        <w:t>Asimismo,</w:t>
      </w:r>
      <w:r>
        <w:rPr>
          <w:spacing w:val="18"/>
        </w:rPr>
        <w:t xml:space="preserve"> </w:t>
      </w:r>
      <w:r>
        <w:t>de</w:t>
      </w:r>
      <w:r>
        <w:rPr>
          <w:spacing w:val="23"/>
        </w:rPr>
        <w:t xml:space="preserve"> </w:t>
      </w:r>
      <w:r>
        <w:t>acuerdo</w:t>
      </w:r>
      <w:r>
        <w:rPr>
          <w:spacing w:val="22"/>
        </w:rPr>
        <w:t xml:space="preserve"> </w:t>
      </w:r>
      <w:r>
        <w:t>con</w:t>
      </w:r>
      <w:r>
        <w:rPr>
          <w:spacing w:val="21"/>
        </w:rPr>
        <w:t xml:space="preserve"> </w:t>
      </w:r>
      <w:r>
        <w:t>el</w:t>
      </w:r>
      <w:r>
        <w:rPr>
          <w:spacing w:val="21"/>
        </w:rPr>
        <w:t xml:space="preserve"> </w:t>
      </w:r>
      <w:r>
        <w:t>DNP</w:t>
      </w:r>
      <w:r>
        <w:rPr>
          <w:spacing w:val="21"/>
        </w:rPr>
        <w:t xml:space="preserve"> </w:t>
      </w:r>
      <w:r>
        <w:t>(2023),</w:t>
      </w:r>
      <w:r>
        <w:rPr>
          <w:spacing w:val="21"/>
        </w:rPr>
        <w:t xml:space="preserve"> </w:t>
      </w:r>
      <w:r>
        <w:t>entre</w:t>
      </w:r>
      <w:r>
        <w:rPr>
          <w:spacing w:val="22"/>
        </w:rPr>
        <w:t xml:space="preserve"> </w:t>
      </w:r>
      <w:r>
        <w:t>2015</w:t>
      </w:r>
      <w:r>
        <w:rPr>
          <w:spacing w:val="23"/>
        </w:rPr>
        <w:t xml:space="preserve"> </w:t>
      </w:r>
      <w:r>
        <w:t>y</w:t>
      </w:r>
      <w:r>
        <w:rPr>
          <w:spacing w:val="21"/>
        </w:rPr>
        <w:t xml:space="preserve"> </w:t>
      </w:r>
      <w:r>
        <w:t>2021</w:t>
      </w:r>
      <w:r>
        <w:rPr>
          <w:spacing w:val="23"/>
        </w:rPr>
        <w:t xml:space="preserve"> </w:t>
      </w:r>
      <w:r>
        <w:rPr>
          <w:spacing w:val="-2"/>
        </w:rPr>
        <w:t>ingresaron</w:t>
      </w:r>
    </w:p>
    <w:p w14:paraId="56720048" w14:textId="77777777" w:rsidR="000E52B0" w:rsidRDefault="00F60D74">
      <w:pPr>
        <w:pStyle w:val="Textoindependiente"/>
        <w:spacing w:before="1"/>
        <w:ind w:right="718"/>
        <w:jc w:val="both"/>
      </w:pPr>
      <w:r>
        <w:t>10.142 personas venezolanas al Proceso Administrativo de Restablecimiento de Derechos PARD, a cargo del ICBF, los principales motivos de ingreso fueron “Omisión o negligencia” y “actos sexuales”</w:t>
      </w:r>
      <w:hyperlink w:anchor="_bookmark94" w:history="1">
        <w:r w:rsidR="000E52B0">
          <w:rPr>
            <w:position w:val="8"/>
            <w:sz w:val="16"/>
          </w:rPr>
          <w:t>81</w:t>
        </w:r>
      </w:hyperlink>
      <w:r>
        <w:t>.</w:t>
      </w:r>
    </w:p>
    <w:p w14:paraId="6E81AA96" w14:textId="77777777" w:rsidR="000E52B0" w:rsidRDefault="00F60D74">
      <w:pPr>
        <w:pStyle w:val="Textoindependiente"/>
        <w:spacing w:before="160"/>
        <w:ind w:right="722"/>
        <w:jc w:val="both"/>
      </w:pPr>
      <w:r>
        <w:t>Adicionalmente un 15% de los hogares reportaron tener conocimiento sobre alguna situación de VBG, en su mayoría (65%) relacionadas con violencia emocional o psicológica en el núcleo familiar o en relaciones de parejas, las cuales ocurren mayoritariamente en el lugar de residencia</w:t>
      </w:r>
      <w:hyperlink w:anchor="_bookmark95" w:history="1">
        <w:r w:rsidR="000E52B0">
          <w:rPr>
            <w:position w:val="8"/>
            <w:sz w:val="16"/>
          </w:rPr>
          <w:t>82</w:t>
        </w:r>
      </w:hyperlink>
      <w:r>
        <w:t>.</w:t>
      </w:r>
    </w:p>
    <w:p w14:paraId="7F7A33ED" w14:textId="77777777" w:rsidR="000E52B0" w:rsidRDefault="00F60D74">
      <w:pPr>
        <w:pStyle w:val="Textoindependiente"/>
        <w:spacing w:before="161"/>
        <w:ind w:right="717"/>
        <w:jc w:val="both"/>
      </w:pPr>
      <w:r>
        <w:t>Respecto a las violencias según el ámbito, las personas colombianas reportan</w:t>
      </w:r>
      <w:r>
        <w:rPr>
          <w:spacing w:val="-8"/>
        </w:rPr>
        <w:t xml:space="preserve"> </w:t>
      </w:r>
      <w:r>
        <w:t>con</w:t>
      </w:r>
      <w:r>
        <w:rPr>
          <w:spacing w:val="-7"/>
        </w:rPr>
        <w:t xml:space="preserve"> </w:t>
      </w:r>
      <w:r>
        <w:t>más</w:t>
      </w:r>
      <w:r>
        <w:rPr>
          <w:spacing w:val="-5"/>
        </w:rPr>
        <w:t xml:space="preserve"> </w:t>
      </w:r>
      <w:r>
        <w:t>frecuencia</w:t>
      </w:r>
      <w:r>
        <w:rPr>
          <w:spacing w:val="-7"/>
        </w:rPr>
        <w:t xml:space="preserve"> </w:t>
      </w:r>
      <w:r>
        <w:t>violencias</w:t>
      </w:r>
      <w:r>
        <w:rPr>
          <w:spacing w:val="-3"/>
        </w:rPr>
        <w:t xml:space="preserve"> </w:t>
      </w:r>
      <w:r>
        <w:t>de</w:t>
      </w:r>
      <w:r>
        <w:rPr>
          <w:spacing w:val="-6"/>
        </w:rPr>
        <w:t xml:space="preserve"> </w:t>
      </w:r>
      <w:r>
        <w:t>pareja</w:t>
      </w:r>
      <w:r>
        <w:rPr>
          <w:spacing w:val="-7"/>
        </w:rPr>
        <w:t xml:space="preserve"> </w:t>
      </w:r>
      <w:r>
        <w:t>e</w:t>
      </w:r>
      <w:r>
        <w:rPr>
          <w:spacing w:val="-6"/>
        </w:rPr>
        <w:t xml:space="preserve"> </w:t>
      </w:r>
      <w:r>
        <w:t>intrafamiliares,</w:t>
      </w:r>
      <w:r>
        <w:rPr>
          <w:spacing w:val="-8"/>
        </w:rPr>
        <w:t xml:space="preserve"> </w:t>
      </w:r>
      <w:r>
        <w:t>aunque no hay diferencias significativas entre las mujeres de ambas nacionalidades, la brecha entre hombres y mujeres víctimas si es más amplia para la población venezolana.</w:t>
      </w:r>
    </w:p>
    <w:p w14:paraId="0E26F99F" w14:textId="77777777" w:rsidR="000E52B0" w:rsidRDefault="000E52B0">
      <w:pPr>
        <w:pStyle w:val="Textoindependiente"/>
        <w:ind w:left="0"/>
        <w:rPr>
          <w:sz w:val="20"/>
        </w:rPr>
      </w:pPr>
    </w:p>
    <w:p w14:paraId="0842F93E" w14:textId="77777777" w:rsidR="000E52B0" w:rsidRDefault="000E52B0">
      <w:pPr>
        <w:pStyle w:val="Textoindependiente"/>
        <w:ind w:left="0"/>
        <w:rPr>
          <w:sz w:val="20"/>
        </w:rPr>
      </w:pPr>
    </w:p>
    <w:p w14:paraId="0C608702" w14:textId="77777777" w:rsidR="000E52B0" w:rsidRDefault="000E52B0">
      <w:pPr>
        <w:pStyle w:val="Textoindependiente"/>
        <w:ind w:left="0"/>
        <w:rPr>
          <w:sz w:val="20"/>
        </w:rPr>
      </w:pPr>
    </w:p>
    <w:p w14:paraId="6E281624" w14:textId="77777777" w:rsidR="000E52B0" w:rsidRDefault="000E52B0">
      <w:pPr>
        <w:pStyle w:val="Textoindependiente"/>
        <w:ind w:left="0"/>
        <w:rPr>
          <w:sz w:val="20"/>
        </w:rPr>
      </w:pPr>
    </w:p>
    <w:p w14:paraId="12E648AF" w14:textId="77777777" w:rsidR="000E52B0" w:rsidRDefault="000E52B0">
      <w:pPr>
        <w:pStyle w:val="Textoindependiente"/>
        <w:ind w:left="0"/>
        <w:rPr>
          <w:sz w:val="20"/>
        </w:rPr>
      </w:pPr>
    </w:p>
    <w:p w14:paraId="277F20BE" w14:textId="77777777" w:rsidR="000E52B0" w:rsidRDefault="000E52B0">
      <w:pPr>
        <w:pStyle w:val="Textoindependiente"/>
        <w:ind w:left="0"/>
        <w:rPr>
          <w:sz w:val="20"/>
        </w:rPr>
      </w:pPr>
    </w:p>
    <w:p w14:paraId="5317D138" w14:textId="77777777" w:rsidR="000E52B0" w:rsidRDefault="000E52B0">
      <w:pPr>
        <w:pStyle w:val="Textoindependiente"/>
        <w:ind w:left="0"/>
        <w:rPr>
          <w:sz w:val="20"/>
        </w:rPr>
      </w:pPr>
    </w:p>
    <w:p w14:paraId="53C23406" w14:textId="77777777" w:rsidR="000E52B0" w:rsidRDefault="000E52B0">
      <w:pPr>
        <w:pStyle w:val="Textoindependiente"/>
        <w:ind w:left="0"/>
        <w:rPr>
          <w:sz w:val="20"/>
        </w:rPr>
      </w:pPr>
    </w:p>
    <w:p w14:paraId="5C52AC7C" w14:textId="77777777" w:rsidR="000E52B0" w:rsidRDefault="000E52B0">
      <w:pPr>
        <w:pStyle w:val="Textoindependiente"/>
        <w:ind w:left="0"/>
        <w:rPr>
          <w:sz w:val="20"/>
        </w:rPr>
      </w:pPr>
    </w:p>
    <w:p w14:paraId="6AAFF6DF" w14:textId="77777777" w:rsidR="000E52B0" w:rsidRDefault="000E52B0">
      <w:pPr>
        <w:pStyle w:val="Textoindependiente"/>
        <w:ind w:left="0"/>
        <w:rPr>
          <w:sz w:val="20"/>
        </w:rPr>
      </w:pPr>
    </w:p>
    <w:p w14:paraId="7B9EC371" w14:textId="77777777" w:rsidR="000E52B0" w:rsidRDefault="000E52B0">
      <w:pPr>
        <w:pStyle w:val="Textoindependiente"/>
        <w:ind w:left="0"/>
        <w:rPr>
          <w:sz w:val="20"/>
        </w:rPr>
      </w:pPr>
    </w:p>
    <w:p w14:paraId="14BCBE9D" w14:textId="77777777" w:rsidR="000E52B0" w:rsidRDefault="000E52B0">
      <w:pPr>
        <w:pStyle w:val="Textoindependiente"/>
        <w:ind w:left="0"/>
        <w:rPr>
          <w:sz w:val="20"/>
        </w:rPr>
      </w:pPr>
    </w:p>
    <w:p w14:paraId="27E94A8E" w14:textId="77777777" w:rsidR="000E52B0" w:rsidRDefault="000E52B0">
      <w:pPr>
        <w:pStyle w:val="Textoindependiente"/>
        <w:ind w:left="0"/>
        <w:rPr>
          <w:sz w:val="20"/>
        </w:rPr>
      </w:pPr>
    </w:p>
    <w:p w14:paraId="3BDDE1EF" w14:textId="77777777" w:rsidR="000E52B0" w:rsidRDefault="000E52B0">
      <w:pPr>
        <w:pStyle w:val="Textoindependiente"/>
        <w:ind w:left="0"/>
        <w:rPr>
          <w:sz w:val="20"/>
        </w:rPr>
      </w:pPr>
    </w:p>
    <w:p w14:paraId="4A315814" w14:textId="77777777" w:rsidR="000E52B0" w:rsidRDefault="000E52B0">
      <w:pPr>
        <w:pStyle w:val="Textoindependiente"/>
        <w:ind w:left="0"/>
        <w:rPr>
          <w:sz w:val="20"/>
        </w:rPr>
      </w:pPr>
    </w:p>
    <w:p w14:paraId="620CD154" w14:textId="77777777" w:rsidR="000E52B0" w:rsidRDefault="00F60D74">
      <w:pPr>
        <w:pStyle w:val="Textoindependiente"/>
        <w:spacing w:before="85"/>
        <w:ind w:left="0"/>
        <w:rPr>
          <w:sz w:val="20"/>
        </w:rPr>
      </w:pPr>
      <w:r>
        <w:rPr>
          <w:noProof/>
          <w:sz w:val="20"/>
        </w:rPr>
        <mc:AlternateContent>
          <mc:Choice Requires="wps">
            <w:drawing>
              <wp:anchor distT="0" distB="0" distL="0" distR="0" simplePos="0" relativeHeight="487664128" behindDoc="1" locked="0" layoutInCell="1" allowOverlap="1" wp14:anchorId="36CFFF4A" wp14:editId="6481869C">
                <wp:simplePos x="0" y="0"/>
                <wp:positionH relativeFrom="page">
                  <wp:posOffset>914704</wp:posOffset>
                </wp:positionH>
                <wp:positionV relativeFrom="paragraph">
                  <wp:posOffset>223944</wp:posOffset>
                </wp:positionV>
                <wp:extent cx="1829435" cy="7620"/>
                <wp:effectExtent l="0" t="0" r="0" b="0"/>
                <wp:wrapTopAndBottom/>
                <wp:docPr id="671" name="Graphic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BAAAD2" id="Graphic 671" o:spid="_x0000_s1026" style="position:absolute;margin-left:1in;margin-top:17.65pt;width:144.05pt;height:.6pt;z-index:-1565235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" path="m1829054,l,,,7619r1829054,l1829054,xe" fillcolor="black" stroked="f">
                <v:path arrowok="t"/>
                <w10:wrap type="topAndBottom" anchorx="page"/>
              </v:shape>
            </w:pict>
          </mc:Fallback>
        </mc:AlternateContent>
      </w:r>
    </w:p>
    <w:p w14:paraId="20C76A18" w14:textId="77777777" w:rsidR="000E52B0" w:rsidRDefault="00F60D74">
      <w:pPr>
        <w:spacing w:before="96"/>
        <w:ind w:left="720" w:right="715"/>
        <w:jc w:val="both"/>
        <w:rPr>
          <w:rFonts w:ascii="Arial MT" w:hAnsi="Arial MT"/>
          <w:sz w:val="18"/>
        </w:rPr>
      </w:pPr>
      <w:bookmarkStart w:id="94" w:name="_bookmark94"/>
      <w:bookmarkEnd w:id="94"/>
      <w:r>
        <w:rPr>
          <w:rFonts w:ascii="Arial MT" w:hAnsi="Arial MT"/>
          <w:position w:val="6"/>
          <w:sz w:val="12"/>
        </w:rPr>
        <w:t>81</w:t>
      </w:r>
      <w:r>
        <w:rPr>
          <w:rFonts w:ascii="Arial MT" w:hAnsi="Arial MT"/>
          <w:spacing w:val="7"/>
          <w:position w:val="6"/>
          <w:sz w:val="12"/>
        </w:rPr>
        <w:t xml:space="preserve"> </w:t>
      </w:r>
      <w:r>
        <w:rPr>
          <w:rFonts w:ascii="Arial MT" w:hAnsi="Arial MT"/>
          <w:sz w:val="18"/>
        </w:rPr>
        <w:t>DNP.</w:t>
      </w:r>
      <w:r>
        <w:rPr>
          <w:rFonts w:ascii="Arial MT" w:hAnsi="Arial MT"/>
          <w:spacing w:val="-10"/>
          <w:sz w:val="18"/>
        </w:rPr>
        <w:t xml:space="preserve"> </w:t>
      </w:r>
      <w:r>
        <w:rPr>
          <w:rFonts w:ascii="Arial MT" w:hAnsi="Arial MT"/>
          <w:sz w:val="18"/>
        </w:rPr>
        <w:t>(2023b).</w:t>
      </w:r>
      <w:r>
        <w:rPr>
          <w:rFonts w:ascii="Arial MT" w:hAnsi="Arial MT"/>
          <w:spacing w:val="-10"/>
          <w:sz w:val="18"/>
        </w:rPr>
        <w:t xml:space="preserve"> </w:t>
      </w:r>
      <w:r>
        <w:rPr>
          <w:rFonts w:ascii="Arial MT" w:hAnsi="Arial MT"/>
          <w:sz w:val="18"/>
        </w:rPr>
        <w:t>Informe</w:t>
      </w:r>
      <w:r>
        <w:rPr>
          <w:rFonts w:ascii="Arial MT" w:hAnsi="Arial MT"/>
          <w:spacing w:val="-10"/>
          <w:sz w:val="18"/>
        </w:rPr>
        <w:t xml:space="preserve"> </w:t>
      </w:r>
      <w:r>
        <w:rPr>
          <w:rFonts w:ascii="Arial MT" w:hAnsi="Arial MT"/>
          <w:sz w:val="18"/>
        </w:rPr>
        <w:t>Nacional</w:t>
      </w:r>
      <w:r>
        <w:rPr>
          <w:rFonts w:ascii="Arial MT" w:hAnsi="Arial MT"/>
          <w:spacing w:val="-10"/>
          <w:sz w:val="18"/>
        </w:rPr>
        <w:t xml:space="preserve"> </w:t>
      </w:r>
      <w:r>
        <w:rPr>
          <w:rFonts w:ascii="Arial MT" w:hAnsi="Arial MT"/>
          <w:sz w:val="18"/>
        </w:rPr>
        <w:t>de</w:t>
      </w:r>
      <w:r>
        <w:rPr>
          <w:rFonts w:ascii="Arial MT" w:hAnsi="Arial MT"/>
          <w:spacing w:val="-12"/>
          <w:sz w:val="18"/>
        </w:rPr>
        <w:t xml:space="preserve"> </w:t>
      </w:r>
      <w:r>
        <w:rPr>
          <w:rFonts w:ascii="Arial MT" w:hAnsi="Arial MT"/>
          <w:sz w:val="18"/>
        </w:rPr>
        <w:t>Caracterización</w:t>
      </w:r>
      <w:r>
        <w:rPr>
          <w:rFonts w:ascii="Arial MT" w:hAnsi="Arial MT"/>
          <w:spacing w:val="-10"/>
          <w:sz w:val="18"/>
        </w:rPr>
        <w:t xml:space="preserve"> </w:t>
      </w:r>
      <w:r>
        <w:rPr>
          <w:rFonts w:ascii="Arial MT" w:hAnsi="Arial MT"/>
          <w:sz w:val="18"/>
        </w:rPr>
        <w:t>de</w:t>
      </w:r>
      <w:r>
        <w:rPr>
          <w:rFonts w:ascii="Arial MT" w:hAnsi="Arial MT"/>
          <w:spacing w:val="-12"/>
          <w:sz w:val="18"/>
        </w:rPr>
        <w:t xml:space="preserve"> </w:t>
      </w:r>
      <w:r>
        <w:rPr>
          <w:rFonts w:ascii="Arial MT" w:hAnsi="Arial MT"/>
          <w:sz w:val="18"/>
        </w:rPr>
        <w:t>Población</w:t>
      </w:r>
      <w:r>
        <w:rPr>
          <w:rFonts w:ascii="Arial MT" w:hAnsi="Arial MT"/>
          <w:spacing w:val="-12"/>
          <w:sz w:val="18"/>
        </w:rPr>
        <w:t xml:space="preserve"> </w:t>
      </w:r>
      <w:r>
        <w:rPr>
          <w:rFonts w:ascii="Arial MT" w:hAnsi="Arial MT"/>
          <w:sz w:val="18"/>
        </w:rPr>
        <w:t>Migrante</w:t>
      </w:r>
      <w:r>
        <w:rPr>
          <w:rFonts w:ascii="Arial MT" w:hAnsi="Arial MT"/>
          <w:spacing w:val="-9"/>
          <w:sz w:val="18"/>
        </w:rPr>
        <w:t xml:space="preserve"> </w:t>
      </w:r>
      <w:r>
        <w:rPr>
          <w:rFonts w:ascii="Arial MT" w:hAnsi="Arial MT"/>
          <w:sz w:val="18"/>
        </w:rPr>
        <w:t>de</w:t>
      </w:r>
      <w:r>
        <w:rPr>
          <w:rFonts w:ascii="Arial MT" w:hAnsi="Arial MT"/>
          <w:spacing w:val="-10"/>
          <w:sz w:val="18"/>
        </w:rPr>
        <w:t xml:space="preserve"> </w:t>
      </w:r>
      <w:r>
        <w:rPr>
          <w:rFonts w:ascii="Arial MT" w:hAnsi="Arial MT"/>
          <w:sz w:val="18"/>
        </w:rPr>
        <w:t>Venezuela</w:t>
      </w:r>
      <w:r>
        <w:rPr>
          <w:rFonts w:ascii="Arial MT" w:hAnsi="Arial MT"/>
          <w:spacing w:val="-5"/>
          <w:sz w:val="18"/>
        </w:rPr>
        <w:t xml:space="preserve"> </w:t>
      </w:r>
      <w:r>
        <w:rPr>
          <w:rFonts w:ascii="Arial MT" w:hAnsi="Arial MT"/>
          <w:sz w:val="18"/>
        </w:rPr>
        <w:t>–</w:t>
      </w:r>
      <w:r>
        <w:rPr>
          <w:rFonts w:ascii="Arial MT" w:hAnsi="Arial MT"/>
          <w:spacing w:val="-12"/>
          <w:sz w:val="18"/>
        </w:rPr>
        <w:t xml:space="preserve"> </w:t>
      </w:r>
      <w:r>
        <w:rPr>
          <w:rFonts w:ascii="Arial MT" w:hAnsi="Arial MT"/>
          <w:sz w:val="18"/>
        </w:rPr>
        <w:t>2022.</w:t>
      </w:r>
      <w:r>
        <w:rPr>
          <w:rFonts w:ascii="Arial MT" w:hAnsi="Arial MT"/>
          <w:spacing w:val="-12"/>
          <w:sz w:val="18"/>
        </w:rPr>
        <w:t xml:space="preserve"> </w:t>
      </w:r>
      <w:r>
        <w:rPr>
          <w:rFonts w:ascii="Arial MT" w:hAnsi="Arial MT"/>
          <w:sz w:val="18"/>
        </w:rPr>
        <w:t xml:space="preserve">Departamento </w:t>
      </w:r>
      <w:bookmarkStart w:id="95" w:name="_bookmark95"/>
      <w:bookmarkEnd w:id="95"/>
      <w:r>
        <w:rPr>
          <w:rFonts w:ascii="Arial MT" w:hAnsi="Arial MT"/>
          <w:sz w:val="18"/>
        </w:rPr>
        <w:t>Nacional de Planeación.</w:t>
      </w:r>
    </w:p>
    <w:p w14:paraId="1D3DE7BF" w14:textId="77777777" w:rsidR="000E52B0" w:rsidRDefault="00F60D74">
      <w:pPr>
        <w:ind w:left="720" w:right="710"/>
        <w:jc w:val="both"/>
        <w:rPr>
          <w:rFonts w:ascii="Arial MT" w:hAnsi="Arial MT"/>
          <w:sz w:val="18"/>
        </w:rPr>
      </w:pPr>
      <w:r>
        <w:rPr>
          <w:rFonts w:ascii="Arial MT" w:hAnsi="Arial MT"/>
          <w:position w:val="6"/>
          <w:sz w:val="12"/>
        </w:rPr>
        <w:t>82</w:t>
      </w:r>
      <w:r>
        <w:rPr>
          <w:rFonts w:ascii="Arial MT" w:hAnsi="Arial MT"/>
          <w:spacing w:val="40"/>
          <w:position w:val="6"/>
          <w:sz w:val="12"/>
        </w:rPr>
        <w:t xml:space="preserve"> </w:t>
      </w:r>
      <w:proofErr w:type="gramStart"/>
      <w:r>
        <w:rPr>
          <w:rFonts w:ascii="Arial MT" w:hAnsi="Arial MT"/>
          <w:sz w:val="18"/>
        </w:rPr>
        <w:t>Grupo</w:t>
      </w:r>
      <w:proofErr w:type="gramEnd"/>
      <w:r>
        <w:rPr>
          <w:rFonts w:ascii="Arial MT" w:hAnsi="Arial MT"/>
          <w:sz w:val="18"/>
        </w:rPr>
        <w:t xml:space="preserve"> </w:t>
      </w:r>
      <w:proofErr w:type="spellStart"/>
      <w:r>
        <w:rPr>
          <w:rFonts w:ascii="Arial MT" w:hAnsi="Arial MT"/>
          <w:sz w:val="18"/>
        </w:rPr>
        <w:t>Interagencial</w:t>
      </w:r>
      <w:proofErr w:type="spellEnd"/>
      <w:r>
        <w:rPr>
          <w:rFonts w:ascii="Arial MT" w:hAnsi="Arial MT"/>
          <w:sz w:val="18"/>
        </w:rPr>
        <w:t xml:space="preserve"> sobre Flujos Migratorios Mixtos (GIFMM) Colombia. (2023b). Evaluación conjunta de necesidades</w:t>
      </w:r>
      <w:r>
        <w:rPr>
          <w:rFonts w:ascii="Arial MT" w:hAnsi="Arial MT"/>
          <w:spacing w:val="-13"/>
          <w:sz w:val="18"/>
        </w:rPr>
        <w:t xml:space="preserve"> </w:t>
      </w:r>
      <w:r>
        <w:rPr>
          <w:rFonts w:ascii="Arial MT" w:hAnsi="Arial MT"/>
          <w:sz w:val="18"/>
        </w:rPr>
        <w:t>para</w:t>
      </w:r>
      <w:r>
        <w:rPr>
          <w:rFonts w:ascii="Arial MT" w:hAnsi="Arial MT"/>
          <w:spacing w:val="-12"/>
          <w:sz w:val="18"/>
        </w:rPr>
        <w:t xml:space="preserve"> </w:t>
      </w:r>
      <w:r>
        <w:rPr>
          <w:rFonts w:ascii="Arial MT" w:hAnsi="Arial MT"/>
          <w:sz w:val="18"/>
        </w:rPr>
        <w:t>población</w:t>
      </w:r>
      <w:r>
        <w:rPr>
          <w:rFonts w:ascii="Arial MT" w:hAnsi="Arial MT"/>
          <w:spacing w:val="-13"/>
          <w:sz w:val="18"/>
        </w:rPr>
        <w:t xml:space="preserve"> </w:t>
      </w:r>
      <w:r>
        <w:rPr>
          <w:rFonts w:ascii="Arial MT" w:hAnsi="Arial MT"/>
          <w:sz w:val="18"/>
        </w:rPr>
        <w:t>en</w:t>
      </w:r>
      <w:r>
        <w:rPr>
          <w:rFonts w:ascii="Arial MT" w:hAnsi="Arial MT"/>
          <w:spacing w:val="-12"/>
          <w:sz w:val="18"/>
        </w:rPr>
        <w:t xml:space="preserve"> </w:t>
      </w:r>
      <w:r>
        <w:rPr>
          <w:rFonts w:ascii="Arial MT" w:hAnsi="Arial MT"/>
          <w:sz w:val="18"/>
        </w:rPr>
        <w:t>tránsito</w:t>
      </w:r>
      <w:r>
        <w:rPr>
          <w:rFonts w:ascii="Arial MT" w:hAnsi="Arial MT"/>
          <w:spacing w:val="-9"/>
          <w:sz w:val="18"/>
        </w:rPr>
        <w:t xml:space="preserve"> </w:t>
      </w:r>
      <w:r>
        <w:rPr>
          <w:rFonts w:ascii="Arial MT" w:hAnsi="Arial MT"/>
          <w:sz w:val="18"/>
        </w:rPr>
        <w:t>-</w:t>
      </w:r>
      <w:r>
        <w:rPr>
          <w:rFonts w:ascii="Arial MT" w:hAnsi="Arial MT"/>
          <w:spacing w:val="-13"/>
          <w:sz w:val="18"/>
        </w:rPr>
        <w:t xml:space="preserve"> </w:t>
      </w:r>
      <w:r>
        <w:rPr>
          <w:rFonts w:ascii="Arial MT" w:hAnsi="Arial MT"/>
          <w:sz w:val="18"/>
        </w:rPr>
        <w:t>2023.</w:t>
      </w:r>
      <w:r>
        <w:rPr>
          <w:rFonts w:ascii="Arial MT" w:hAnsi="Arial MT"/>
          <w:spacing w:val="-12"/>
          <w:sz w:val="18"/>
        </w:rPr>
        <w:t xml:space="preserve"> </w:t>
      </w:r>
      <w:r>
        <w:rPr>
          <w:rFonts w:ascii="Arial MT" w:hAnsi="Arial MT"/>
          <w:sz w:val="18"/>
        </w:rPr>
        <w:t>Recuperado</w:t>
      </w:r>
      <w:r>
        <w:rPr>
          <w:rFonts w:ascii="Arial MT" w:hAnsi="Arial MT"/>
          <w:spacing w:val="-13"/>
          <w:sz w:val="18"/>
        </w:rPr>
        <w:t xml:space="preserve"> </w:t>
      </w:r>
      <w:r>
        <w:rPr>
          <w:rFonts w:ascii="Arial MT" w:hAnsi="Arial MT"/>
          <w:sz w:val="18"/>
        </w:rPr>
        <w:t>de</w:t>
      </w:r>
      <w:r>
        <w:rPr>
          <w:rFonts w:ascii="Arial MT" w:hAnsi="Arial MT"/>
          <w:spacing w:val="-10"/>
          <w:sz w:val="18"/>
        </w:rPr>
        <w:t xml:space="preserve"> </w:t>
      </w:r>
      <w:hyperlink r:id="rId214">
        <w:r w:rsidR="000E52B0">
          <w:rPr>
            <w:rFonts w:ascii="Arial MT" w:hAnsi="Arial MT"/>
            <w:color w:val="E22C91"/>
            <w:sz w:val="18"/>
            <w:u w:val="single" w:color="E22C91"/>
          </w:rPr>
          <w:t>https://www.r4v.info/es/document/gifmm-colombia-</w:t>
        </w:r>
      </w:hyperlink>
      <w:r>
        <w:rPr>
          <w:rFonts w:ascii="Arial MT" w:hAnsi="Arial MT"/>
          <w:color w:val="E22C91"/>
          <w:sz w:val="18"/>
        </w:rPr>
        <w:t xml:space="preserve"> </w:t>
      </w:r>
      <w:hyperlink r:id="rId215">
        <w:r w:rsidR="000E52B0">
          <w:rPr>
            <w:rFonts w:ascii="Arial MT" w:hAnsi="Arial MT"/>
            <w:color w:val="E22C91"/>
            <w:spacing w:val="-2"/>
            <w:sz w:val="18"/>
            <w:u w:val="single" w:color="E22C91"/>
          </w:rPr>
          <w:t>evaluacion-conjunta-de-necesidades-para-poblacion-en-transito-2023</w:t>
        </w:r>
      </w:hyperlink>
    </w:p>
    <w:p w14:paraId="6AF059BC" w14:textId="77777777" w:rsidR="000E52B0" w:rsidRDefault="000E52B0">
      <w:pPr>
        <w:jc w:val="both"/>
        <w:rPr>
          <w:rFonts w:ascii="Arial MT" w:hAnsi="Arial MT"/>
          <w:sz w:val="18"/>
        </w:rPr>
        <w:sectPr w:rsidR="000E52B0">
          <w:pgSz w:w="11910" w:h="16840"/>
          <w:pgMar w:top="1340" w:right="720" w:bottom="1180" w:left="720" w:header="0" w:footer="995" w:gutter="0"/>
          <w:cols w:space="720"/>
        </w:sectPr>
      </w:pPr>
    </w:p>
    <w:p w14:paraId="21AF68DA" w14:textId="77777777" w:rsidR="000E52B0" w:rsidRDefault="00F60D74">
      <w:pPr>
        <w:spacing w:before="80"/>
        <w:ind w:right="3"/>
        <w:jc w:val="center"/>
        <w:rPr>
          <w:i/>
          <w:sz w:val="18"/>
        </w:rPr>
      </w:pPr>
      <w:r>
        <w:rPr>
          <w:i/>
          <w:color w:val="454551"/>
          <w:sz w:val="18"/>
        </w:rPr>
        <w:lastRenderedPageBreak/>
        <w:t>Ilustración</w:t>
      </w:r>
      <w:r>
        <w:rPr>
          <w:i/>
          <w:color w:val="454551"/>
          <w:spacing w:val="-1"/>
          <w:sz w:val="18"/>
        </w:rPr>
        <w:t xml:space="preserve"> </w:t>
      </w:r>
      <w:r>
        <w:rPr>
          <w:i/>
          <w:color w:val="454551"/>
          <w:sz w:val="18"/>
        </w:rPr>
        <w:t>54.</w:t>
      </w:r>
      <w:r>
        <w:rPr>
          <w:i/>
          <w:color w:val="454551"/>
          <w:spacing w:val="-4"/>
          <w:sz w:val="18"/>
        </w:rPr>
        <w:t xml:space="preserve"> </w:t>
      </w:r>
      <w:r>
        <w:rPr>
          <w:i/>
          <w:color w:val="454551"/>
          <w:sz w:val="18"/>
        </w:rPr>
        <w:t>Tasa</w:t>
      </w:r>
      <w:r>
        <w:rPr>
          <w:i/>
          <w:color w:val="454551"/>
          <w:spacing w:val="-4"/>
          <w:sz w:val="18"/>
        </w:rPr>
        <w:t xml:space="preserve"> </w:t>
      </w:r>
      <w:r>
        <w:rPr>
          <w:i/>
          <w:color w:val="454551"/>
          <w:sz w:val="18"/>
        </w:rPr>
        <w:t>de</w:t>
      </w:r>
      <w:r>
        <w:rPr>
          <w:i/>
          <w:color w:val="454551"/>
          <w:spacing w:val="-2"/>
          <w:sz w:val="18"/>
        </w:rPr>
        <w:t xml:space="preserve"> </w:t>
      </w:r>
      <w:r>
        <w:rPr>
          <w:i/>
          <w:color w:val="454551"/>
          <w:sz w:val="18"/>
        </w:rPr>
        <w:t>violencias</w:t>
      </w:r>
      <w:r>
        <w:rPr>
          <w:i/>
          <w:color w:val="454551"/>
          <w:spacing w:val="-4"/>
          <w:sz w:val="18"/>
        </w:rPr>
        <w:t xml:space="preserve"> </w:t>
      </w:r>
      <w:r>
        <w:rPr>
          <w:i/>
          <w:color w:val="454551"/>
          <w:sz w:val="18"/>
        </w:rPr>
        <w:t>por</w:t>
      </w:r>
      <w:r>
        <w:rPr>
          <w:i/>
          <w:color w:val="454551"/>
          <w:spacing w:val="-3"/>
          <w:sz w:val="18"/>
        </w:rPr>
        <w:t xml:space="preserve"> </w:t>
      </w:r>
      <w:r>
        <w:rPr>
          <w:i/>
          <w:color w:val="454551"/>
          <w:sz w:val="18"/>
        </w:rPr>
        <w:t>ámbito,</w:t>
      </w:r>
      <w:r>
        <w:rPr>
          <w:i/>
          <w:color w:val="454551"/>
          <w:spacing w:val="-3"/>
          <w:sz w:val="18"/>
        </w:rPr>
        <w:t xml:space="preserve"> </w:t>
      </w:r>
      <w:r>
        <w:rPr>
          <w:i/>
          <w:color w:val="454551"/>
          <w:sz w:val="18"/>
        </w:rPr>
        <w:t>nacionalidad</w:t>
      </w:r>
      <w:r>
        <w:rPr>
          <w:i/>
          <w:color w:val="454551"/>
          <w:spacing w:val="-2"/>
          <w:sz w:val="18"/>
        </w:rPr>
        <w:t xml:space="preserve"> </w:t>
      </w:r>
      <w:r>
        <w:rPr>
          <w:i/>
          <w:color w:val="454551"/>
          <w:sz w:val="18"/>
        </w:rPr>
        <w:t>y</w:t>
      </w:r>
      <w:r>
        <w:rPr>
          <w:i/>
          <w:color w:val="454551"/>
          <w:spacing w:val="-5"/>
          <w:sz w:val="18"/>
        </w:rPr>
        <w:t xml:space="preserve"> </w:t>
      </w:r>
      <w:r>
        <w:rPr>
          <w:i/>
          <w:color w:val="454551"/>
          <w:sz w:val="18"/>
        </w:rPr>
        <w:t>sexo,</w:t>
      </w:r>
      <w:r>
        <w:rPr>
          <w:i/>
          <w:color w:val="454551"/>
          <w:spacing w:val="-3"/>
          <w:sz w:val="18"/>
        </w:rPr>
        <w:t xml:space="preserve"> </w:t>
      </w:r>
      <w:r>
        <w:rPr>
          <w:i/>
          <w:color w:val="454551"/>
          <w:sz w:val="18"/>
        </w:rPr>
        <w:t>2022</w:t>
      </w:r>
      <w:r>
        <w:rPr>
          <w:i/>
          <w:color w:val="454551"/>
          <w:spacing w:val="-3"/>
          <w:sz w:val="18"/>
        </w:rPr>
        <w:t xml:space="preserve"> </w:t>
      </w:r>
      <w:r>
        <w:rPr>
          <w:i/>
          <w:color w:val="454551"/>
          <w:sz w:val="18"/>
        </w:rPr>
        <w:t>y</w:t>
      </w:r>
      <w:r>
        <w:rPr>
          <w:i/>
          <w:color w:val="454551"/>
          <w:spacing w:val="-3"/>
          <w:sz w:val="18"/>
        </w:rPr>
        <w:t xml:space="preserve"> </w:t>
      </w:r>
      <w:r>
        <w:rPr>
          <w:i/>
          <w:color w:val="454551"/>
          <w:spacing w:val="-4"/>
          <w:sz w:val="18"/>
        </w:rPr>
        <w:t>2023</w:t>
      </w:r>
    </w:p>
    <w:p w14:paraId="615627DE" w14:textId="77777777" w:rsidR="000E52B0" w:rsidRDefault="000E52B0">
      <w:pPr>
        <w:pStyle w:val="Textoindependiente"/>
        <w:spacing w:before="17"/>
        <w:ind w:left="0"/>
        <w:rPr>
          <w:i/>
          <w:sz w:val="18"/>
        </w:rPr>
      </w:pPr>
    </w:p>
    <w:p w14:paraId="41446416" w14:textId="77777777" w:rsidR="000E52B0" w:rsidRDefault="00F60D74">
      <w:pPr>
        <w:ind w:left="2786"/>
        <w:rPr>
          <w:rFonts w:ascii="Trebuchet MS"/>
          <w:sz w:val="18"/>
        </w:rPr>
      </w:pPr>
      <w:r>
        <w:rPr>
          <w:rFonts w:ascii="Trebuchet MS"/>
          <w:color w:val="404040"/>
          <w:spacing w:val="-5"/>
          <w:sz w:val="18"/>
        </w:rPr>
        <w:t>365</w:t>
      </w:r>
    </w:p>
    <w:p w14:paraId="77C0842B" w14:textId="77777777" w:rsidR="000E52B0" w:rsidRDefault="00F60D74">
      <w:pPr>
        <w:pStyle w:val="Textoindependiente"/>
        <w:spacing w:before="7"/>
        <w:ind w:left="0"/>
        <w:rPr>
          <w:rFonts w:ascii="Trebuchet MS"/>
          <w:sz w:val="6"/>
        </w:rPr>
      </w:pPr>
      <w:r>
        <w:rPr>
          <w:rFonts w:ascii="Trebuchet MS"/>
          <w:noProof/>
          <w:sz w:val="6"/>
        </w:rPr>
        <mc:AlternateContent>
          <mc:Choice Requires="wpg">
            <w:drawing>
              <wp:anchor distT="0" distB="0" distL="0" distR="0" simplePos="0" relativeHeight="487664640" behindDoc="1" locked="0" layoutInCell="1" allowOverlap="1" wp14:anchorId="5815E882" wp14:editId="5B85BB43">
                <wp:simplePos x="0" y="0"/>
                <wp:positionH relativeFrom="page">
                  <wp:posOffset>1228089</wp:posOffset>
                </wp:positionH>
                <wp:positionV relativeFrom="paragraph">
                  <wp:posOffset>64310</wp:posOffset>
                </wp:positionV>
                <wp:extent cx="5104130" cy="1497330"/>
                <wp:effectExtent l="0" t="0" r="0" b="0"/>
                <wp:wrapTopAndBottom/>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4130" cy="1497330"/>
                          <a:chOff x="0" y="0"/>
                          <a:chExt cx="5104130" cy="1497330"/>
                        </a:xfrm>
                      </wpg:grpSpPr>
                      <wps:wsp>
                        <wps:cNvPr id="673" name="Graphic 673"/>
                        <wps:cNvSpPr/>
                        <wps:spPr>
                          <a:xfrm>
                            <a:off x="93218" y="0"/>
                            <a:ext cx="4541520" cy="835660"/>
                          </a:xfrm>
                          <a:custGeom>
                            <a:avLst/>
                            <a:gdLst/>
                            <a:ahLst/>
                            <a:cxnLst/>
                            <a:rect l="l" t="t" r="r" b="b"/>
                            <a:pathLst>
                              <a:path w="4541520" h="835660">
                                <a:moveTo>
                                  <a:pt x="295656" y="595884"/>
                                </a:moveTo>
                                <a:lnTo>
                                  <a:pt x="0" y="595884"/>
                                </a:lnTo>
                                <a:lnTo>
                                  <a:pt x="0" y="835660"/>
                                </a:lnTo>
                                <a:lnTo>
                                  <a:pt x="295656" y="835660"/>
                                </a:lnTo>
                                <a:lnTo>
                                  <a:pt x="295656" y="595884"/>
                                </a:lnTo>
                                <a:close/>
                              </a:path>
                              <a:path w="4541520" h="835660">
                                <a:moveTo>
                                  <a:pt x="1144524" y="0"/>
                                </a:moveTo>
                                <a:lnTo>
                                  <a:pt x="848868" y="0"/>
                                </a:lnTo>
                                <a:lnTo>
                                  <a:pt x="848868" y="835660"/>
                                </a:lnTo>
                                <a:lnTo>
                                  <a:pt x="1144524" y="835660"/>
                                </a:lnTo>
                                <a:lnTo>
                                  <a:pt x="1144524" y="0"/>
                                </a:lnTo>
                                <a:close/>
                              </a:path>
                              <a:path w="4541520" h="835660">
                                <a:moveTo>
                                  <a:pt x="1994916" y="291084"/>
                                </a:moveTo>
                                <a:lnTo>
                                  <a:pt x="1699260" y="291084"/>
                                </a:lnTo>
                                <a:lnTo>
                                  <a:pt x="1699260" y="835660"/>
                                </a:lnTo>
                                <a:lnTo>
                                  <a:pt x="1994916" y="835660"/>
                                </a:lnTo>
                                <a:lnTo>
                                  <a:pt x="1994916" y="291084"/>
                                </a:lnTo>
                                <a:close/>
                              </a:path>
                              <a:path w="4541520" h="835660">
                                <a:moveTo>
                                  <a:pt x="2843784" y="809244"/>
                                </a:moveTo>
                                <a:lnTo>
                                  <a:pt x="2548128" y="809244"/>
                                </a:lnTo>
                                <a:lnTo>
                                  <a:pt x="2548128" y="835660"/>
                                </a:lnTo>
                                <a:lnTo>
                                  <a:pt x="2843784" y="835660"/>
                                </a:lnTo>
                                <a:lnTo>
                                  <a:pt x="2843784" y="809244"/>
                                </a:lnTo>
                                <a:close/>
                              </a:path>
                              <a:path w="4541520" h="835660">
                                <a:moveTo>
                                  <a:pt x="3692652" y="757428"/>
                                </a:moveTo>
                                <a:lnTo>
                                  <a:pt x="3396996" y="757428"/>
                                </a:lnTo>
                                <a:lnTo>
                                  <a:pt x="3396996" y="835660"/>
                                </a:lnTo>
                                <a:lnTo>
                                  <a:pt x="3692652" y="835660"/>
                                </a:lnTo>
                                <a:lnTo>
                                  <a:pt x="3692652" y="757428"/>
                                </a:lnTo>
                                <a:close/>
                              </a:path>
                              <a:path w="4541520" h="835660">
                                <a:moveTo>
                                  <a:pt x="4541520" y="781812"/>
                                </a:moveTo>
                                <a:lnTo>
                                  <a:pt x="4245864" y="781812"/>
                                </a:lnTo>
                                <a:lnTo>
                                  <a:pt x="4245864" y="835660"/>
                                </a:lnTo>
                                <a:lnTo>
                                  <a:pt x="4541520" y="835660"/>
                                </a:lnTo>
                                <a:lnTo>
                                  <a:pt x="4541520" y="781812"/>
                                </a:lnTo>
                                <a:close/>
                              </a:path>
                            </a:pathLst>
                          </a:custGeom>
                          <a:solidFill>
                            <a:srgbClr val="D44673"/>
                          </a:solidFill>
                        </wps:spPr>
                        <wps:bodyPr wrap="square" lIns="0" tIns="0" rIns="0" bIns="0" rtlCol="0">
                          <a:prstTxWarp prst="textNoShape">
                            <a:avLst/>
                          </a:prstTxWarp>
                          <a:noAutofit/>
                        </wps:bodyPr>
                      </wps:wsp>
                      <wps:wsp>
                        <wps:cNvPr id="674" name="Graphic 674"/>
                        <wps:cNvSpPr/>
                        <wps:spPr>
                          <a:xfrm>
                            <a:off x="469646" y="414527"/>
                            <a:ext cx="4541520" cy="421640"/>
                          </a:xfrm>
                          <a:custGeom>
                            <a:avLst/>
                            <a:gdLst/>
                            <a:ahLst/>
                            <a:cxnLst/>
                            <a:rect l="l" t="t" r="r" b="b"/>
                            <a:pathLst>
                              <a:path w="4541520" h="421640">
                                <a:moveTo>
                                  <a:pt x="295656" y="289560"/>
                                </a:moveTo>
                                <a:lnTo>
                                  <a:pt x="0" y="289560"/>
                                </a:lnTo>
                                <a:lnTo>
                                  <a:pt x="0" y="421132"/>
                                </a:lnTo>
                                <a:lnTo>
                                  <a:pt x="295656" y="421132"/>
                                </a:lnTo>
                                <a:lnTo>
                                  <a:pt x="295656" y="289560"/>
                                </a:lnTo>
                                <a:close/>
                              </a:path>
                              <a:path w="4541520" h="421640">
                                <a:moveTo>
                                  <a:pt x="1144524" y="0"/>
                                </a:moveTo>
                                <a:lnTo>
                                  <a:pt x="848868" y="0"/>
                                </a:lnTo>
                                <a:lnTo>
                                  <a:pt x="848868" y="421132"/>
                                </a:lnTo>
                                <a:lnTo>
                                  <a:pt x="1144524" y="421132"/>
                                </a:lnTo>
                                <a:lnTo>
                                  <a:pt x="1144524" y="0"/>
                                </a:lnTo>
                                <a:close/>
                              </a:path>
                              <a:path w="4541520" h="421640">
                                <a:moveTo>
                                  <a:pt x="1993392" y="140208"/>
                                </a:moveTo>
                                <a:lnTo>
                                  <a:pt x="1697736" y="140208"/>
                                </a:lnTo>
                                <a:lnTo>
                                  <a:pt x="1697736" y="421132"/>
                                </a:lnTo>
                                <a:lnTo>
                                  <a:pt x="1993392" y="421132"/>
                                </a:lnTo>
                                <a:lnTo>
                                  <a:pt x="1993392" y="140208"/>
                                </a:lnTo>
                                <a:close/>
                              </a:path>
                              <a:path w="4541520" h="421640">
                                <a:moveTo>
                                  <a:pt x="2842260" y="350520"/>
                                </a:moveTo>
                                <a:lnTo>
                                  <a:pt x="2546604" y="350520"/>
                                </a:lnTo>
                                <a:lnTo>
                                  <a:pt x="2546604" y="421132"/>
                                </a:lnTo>
                                <a:lnTo>
                                  <a:pt x="2842260" y="421132"/>
                                </a:lnTo>
                                <a:lnTo>
                                  <a:pt x="2842260" y="350520"/>
                                </a:lnTo>
                                <a:close/>
                              </a:path>
                              <a:path w="4541520" h="421640">
                                <a:moveTo>
                                  <a:pt x="3691128" y="1524"/>
                                </a:moveTo>
                                <a:lnTo>
                                  <a:pt x="3395472" y="1524"/>
                                </a:lnTo>
                                <a:lnTo>
                                  <a:pt x="3395472" y="421132"/>
                                </a:lnTo>
                                <a:lnTo>
                                  <a:pt x="3691128" y="421132"/>
                                </a:lnTo>
                                <a:lnTo>
                                  <a:pt x="3691128" y="1524"/>
                                </a:lnTo>
                                <a:close/>
                              </a:path>
                              <a:path w="4541520" h="421640">
                                <a:moveTo>
                                  <a:pt x="4541520" y="170688"/>
                                </a:moveTo>
                                <a:lnTo>
                                  <a:pt x="4245864" y="170688"/>
                                </a:lnTo>
                                <a:lnTo>
                                  <a:pt x="4245864" y="421132"/>
                                </a:lnTo>
                                <a:lnTo>
                                  <a:pt x="4541520" y="421132"/>
                                </a:lnTo>
                                <a:lnTo>
                                  <a:pt x="4541520" y="170688"/>
                                </a:lnTo>
                                <a:close/>
                              </a:path>
                            </a:pathLst>
                          </a:custGeom>
                          <a:solidFill>
                            <a:srgbClr val="741A36"/>
                          </a:solidFill>
                        </wps:spPr>
                        <wps:bodyPr wrap="square" lIns="0" tIns="0" rIns="0" bIns="0" rtlCol="0">
                          <a:prstTxWarp prst="textNoShape">
                            <a:avLst/>
                          </a:prstTxWarp>
                          <a:noAutofit/>
                        </wps:bodyPr>
                      </wps:wsp>
                      <wps:wsp>
                        <wps:cNvPr id="675" name="Graphic 675"/>
                        <wps:cNvSpPr/>
                        <wps:spPr>
                          <a:xfrm>
                            <a:off x="4762" y="835660"/>
                            <a:ext cx="5094605" cy="661670"/>
                          </a:xfrm>
                          <a:custGeom>
                            <a:avLst/>
                            <a:gdLst/>
                            <a:ahLst/>
                            <a:cxnLst/>
                            <a:rect l="l" t="t" r="r" b="b"/>
                            <a:pathLst>
                              <a:path w="5094605" h="661670">
                                <a:moveTo>
                                  <a:pt x="0" y="0"/>
                                </a:moveTo>
                                <a:lnTo>
                                  <a:pt x="5094541" y="0"/>
                                </a:lnTo>
                              </a:path>
                              <a:path w="5094605" h="661670">
                                <a:moveTo>
                                  <a:pt x="0" y="0"/>
                                </a:moveTo>
                                <a:lnTo>
                                  <a:pt x="0" y="220599"/>
                                </a:lnTo>
                              </a:path>
                              <a:path w="5094605" h="661670">
                                <a:moveTo>
                                  <a:pt x="2546667" y="0"/>
                                </a:moveTo>
                                <a:lnTo>
                                  <a:pt x="2546667" y="220599"/>
                                </a:lnTo>
                              </a:path>
                              <a:path w="5094605" h="661670">
                                <a:moveTo>
                                  <a:pt x="5094541" y="0"/>
                                </a:moveTo>
                                <a:lnTo>
                                  <a:pt x="5094541" y="220599"/>
                                </a:lnTo>
                              </a:path>
                              <a:path w="5094605" h="661670">
                                <a:moveTo>
                                  <a:pt x="0" y="220599"/>
                                </a:moveTo>
                                <a:lnTo>
                                  <a:pt x="0" y="441071"/>
                                </a:lnTo>
                              </a:path>
                              <a:path w="5094605" h="661670">
                                <a:moveTo>
                                  <a:pt x="2546667" y="220599"/>
                                </a:moveTo>
                                <a:lnTo>
                                  <a:pt x="2546667" y="441071"/>
                                </a:lnTo>
                              </a:path>
                              <a:path w="5094605" h="661670">
                                <a:moveTo>
                                  <a:pt x="5094541" y="220599"/>
                                </a:moveTo>
                                <a:lnTo>
                                  <a:pt x="5094541" y="441071"/>
                                </a:lnTo>
                              </a:path>
                              <a:path w="5094605" h="661670">
                                <a:moveTo>
                                  <a:pt x="0" y="441071"/>
                                </a:moveTo>
                                <a:lnTo>
                                  <a:pt x="0" y="661670"/>
                                </a:lnTo>
                              </a:path>
                              <a:path w="5094605" h="661670">
                                <a:moveTo>
                                  <a:pt x="5094541" y="441071"/>
                                </a:moveTo>
                                <a:lnTo>
                                  <a:pt x="5094541" y="661670"/>
                                </a:lnTo>
                              </a:path>
                            </a:pathLst>
                          </a:custGeom>
                          <a:ln w="9525">
                            <a:solidFill>
                              <a:srgbClr val="D9D9D9"/>
                            </a:solidFill>
                            <a:prstDash val="solid"/>
                          </a:ln>
                        </wps:spPr>
                        <wps:bodyPr wrap="square" lIns="0" tIns="0" rIns="0" bIns="0" rtlCol="0">
                          <a:prstTxWarp prst="textNoShape">
                            <a:avLst/>
                          </a:prstTxWarp>
                          <a:noAutofit/>
                        </wps:bodyPr>
                      </wps:wsp>
                      <wps:wsp>
                        <wps:cNvPr id="676" name="Textbox 676"/>
                        <wps:cNvSpPr txBox="1"/>
                        <wps:spPr>
                          <a:xfrm>
                            <a:off x="1847976" y="93844"/>
                            <a:ext cx="195580" cy="139700"/>
                          </a:xfrm>
                          <a:prstGeom prst="rect">
                            <a:avLst/>
                          </a:prstGeom>
                        </wps:spPr>
                        <wps:txbx>
                          <w:txbxContent>
                            <w:p w14:paraId="0560C051" w14:textId="77777777" w:rsidR="000E52B0" w:rsidRDefault="00F60D74">
                              <w:pPr>
                                <w:rPr>
                                  <w:rFonts w:ascii="Trebuchet MS"/>
                                  <w:sz w:val="18"/>
                                </w:rPr>
                              </w:pPr>
                              <w:r>
                                <w:rPr>
                                  <w:rFonts w:ascii="Trebuchet MS"/>
                                  <w:color w:val="404040"/>
                                  <w:spacing w:val="-5"/>
                                  <w:sz w:val="18"/>
                                </w:rPr>
                                <w:t>238</w:t>
                              </w:r>
                            </w:p>
                          </w:txbxContent>
                        </wps:txbx>
                        <wps:bodyPr wrap="square" lIns="0" tIns="0" rIns="0" bIns="0" rtlCol="0">
                          <a:noAutofit/>
                        </wps:bodyPr>
                      </wps:wsp>
                      <wps:wsp>
                        <wps:cNvPr id="677" name="Textbox 677"/>
                        <wps:cNvSpPr txBox="1"/>
                        <wps:spPr>
                          <a:xfrm>
                            <a:off x="1374266" y="217288"/>
                            <a:ext cx="196850" cy="139700"/>
                          </a:xfrm>
                          <a:prstGeom prst="rect">
                            <a:avLst/>
                          </a:prstGeom>
                        </wps:spPr>
                        <wps:txbx>
                          <w:txbxContent>
                            <w:p w14:paraId="08EC7663" w14:textId="77777777" w:rsidR="000E52B0" w:rsidRDefault="00F60D74">
                              <w:pPr>
                                <w:rPr>
                                  <w:rFonts w:ascii="Trebuchet MS"/>
                                  <w:sz w:val="18"/>
                                </w:rPr>
                              </w:pPr>
                              <w:r>
                                <w:rPr>
                                  <w:rFonts w:ascii="Trebuchet MS"/>
                                  <w:color w:val="404040"/>
                                  <w:spacing w:val="-5"/>
                                  <w:sz w:val="18"/>
                                </w:rPr>
                                <w:t>184</w:t>
                              </w:r>
                            </w:p>
                          </w:txbxContent>
                        </wps:txbx>
                        <wps:bodyPr wrap="square" lIns="0" tIns="0" rIns="0" bIns="0" rtlCol="0">
                          <a:noAutofit/>
                        </wps:bodyPr>
                      </wps:wsp>
                      <wps:wsp>
                        <wps:cNvPr id="678" name="Textbox 678"/>
                        <wps:cNvSpPr txBox="1"/>
                        <wps:spPr>
                          <a:xfrm>
                            <a:off x="3922395" y="219447"/>
                            <a:ext cx="195580" cy="139700"/>
                          </a:xfrm>
                          <a:prstGeom prst="rect">
                            <a:avLst/>
                          </a:prstGeom>
                        </wps:spPr>
                        <wps:txbx>
                          <w:txbxContent>
                            <w:p w14:paraId="2AF01811" w14:textId="77777777" w:rsidR="000E52B0" w:rsidRDefault="00F60D74">
                              <w:pPr>
                                <w:rPr>
                                  <w:rFonts w:ascii="Trebuchet MS"/>
                                  <w:sz w:val="18"/>
                                </w:rPr>
                              </w:pPr>
                              <w:r>
                                <w:rPr>
                                  <w:rFonts w:ascii="Trebuchet MS"/>
                                  <w:color w:val="404040"/>
                                  <w:spacing w:val="-5"/>
                                  <w:sz w:val="18"/>
                                </w:rPr>
                                <w:t>183</w:t>
                              </w:r>
                            </w:p>
                          </w:txbxContent>
                        </wps:txbx>
                        <wps:bodyPr wrap="square" lIns="0" tIns="0" rIns="0" bIns="0" rtlCol="0">
                          <a:noAutofit/>
                        </wps:bodyPr>
                      </wps:wsp>
                      <wps:wsp>
                        <wps:cNvPr id="679" name="Textbox 679"/>
                        <wps:cNvSpPr txBox="1"/>
                        <wps:spPr>
                          <a:xfrm>
                            <a:off x="149352" y="398898"/>
                            <a:ext cx="195580" cy="139700"/>
                          </a:xfrm>
                          <a:prstGeom prst="rect">
                            <a:avLst/>
                          </a:prstGeom>
                        </wps:spPr>
                        <wps:txbx>
                          <w:txbxContent>
                            <w:p w14:paraId="1715E75F" w14:textId="77777777" w:rsidR="000E52B0" w:rsidRDefault="00F60D74">
                              <w:pPr>
                                <w:rPr>
                                  <w:rFonts w:ascii="Trebuchet MS"/>
                                  <w:sz w:val="18"/>
                                </w:rPr>
                              </w:pPr>
                              <w:r>
                                <w:rPr>
                                  <w:rFonts w:ascii="Trebuchet MS"/>
                                  <w:color w:val="404040"/>
                                  <w:spacing w:val="-5"/>
                                  <w:sz w:val="18"/>
                                </w:rPr>
                                <w:t>105</w:t>
                              </w:r>
                            </w:p>
                          </w:txbxContent>
                        </wps:txbx>
                        <wps:bodyPr wrap="square" lIns="0" tIns="0" rIns="0" bIns="0" rtlCol="0">
                          <a:noAutofit/>
                        </wps:bodyPr>
                      </wps:wsp>
                      <wps:wsp>
                        <wps:cNvPr id="680" name="Textbox 680"/>
                        <wps:cNvSpPr txBox="1"/>
                        <wps:spPr>
                          <a:xfrm>
                            <a:off x="2223770" y="358385"/>
                            <a:ext cx="195580" cy="139700"/>
                          </a:xfrm>
                          <a:prstGeom prst="rect">
                            <a:avLst/>
                          </a:prstGeom>
                        </wps:spPr>
                        <wps:txbx>
                          <w:txbxContent>
                            <w:p w14:paraId="1ADF0ECE" w14:textId="77777777" w:rsidR="000E52B0" w:rsidRDefault="00F60D74">
                              <w:pPr>
                                <w:rPr>
                                  <w:rFonts w:ascii="Trebuchet MS"/>
                                  <w:sz w:val="18"/>
                                </w:rPr>
                              </w:pPr>
                              <w:r>
                                <w:rPr>
                                  <w:rFonts w:ascii="Trebuchet MS"/>
                                  <w:color w:val="404040"/>
                                  <w:spacing w:val="-5"/>
                                  <w:sz w:val="18"/>
                                </w:rPr>
                                <w:t>123</w:t>
                              </w:r>
                            </w:p>
                          </w:txbxContent>
                        </wps:txbx>
                        <wps:bodyPr wrap="square" lIns="0" tIns="0" rIns="0" bIns="0" rtlCol="0">
                          <a:noAutofit/>
                        </wps:bodyPr>
                      </wps:wsp>
                      <wps:wsp>
                        <wps:cNvPr id="681" name="Textbox 681"/>
                        <wps:cNvSpPr txBox="1"/>
                        <wps:spPr>
                          <a:xfrm>
                            <a:off x="4771644" y="387976"/>
                            <a:ext cx="195580" cy="139700"/>
                          </a:xfrm>
                          <a:prstGeom prst="rect">
                            <a:avLst/>
                          </a:prstGeom>
                        </wps:spPr>
                        <wps:txbx>
                          <w:txbxContent>
                            <w:p w14:paraId="2C7DBACD" w14:textId="77777777" w:rsidR="000E52B0" w:rsidRDefault="00F60D74">
                              <w:pPr>
                                <w:rPr>
                                  <w:rFonts w:ascii="Trebuchet MS"/>
                                  <w:sz w:val="18"/>
                                </w:rPr>
                              </w:pPr>
                              <w:r>
                                <w:rPr>
                                  <w:rFonts w:ascii="Trebuchet MS"/>
                                  <w:color w:val="404040"/>
                                  <w:spacing w:val="-5"/>
                                  <w:sz w:val="18"/>
                                </w:rPr>
                                <w:t>110</w:t>
                              </w:r>
                            </w:p>
                          </w:txbxContent>
                        </wps:txbx>
                        <wps:bodyPr wrap="square" lIns="0" tIns="0" rIns="0" bIns="0" rtlCol="0">
                          <a:noAutofit/>
                        </wps:bodyPr>
                      </wps:wsp>
                      <wps:wsp>
                        <wps:cNvPr id="682" name="Textbox 682"/>
                        <wps:cNvSpPr txBox="1"/>
                        <wps:spPr>
                          <a:xfrm>
                            <a:off x="555625" y="506594"/>
                            <a:ext cx="134620" cy="139700"/>
                          </a:xfrm>
                          <a:prstGeom prst="rect">
                            <a:avLst/>
                          </a:prstGeom>
                        </wps:spPr>
                        <wps:txbx>
                          <w:txbxContent>
                            <w:p w14:paraId="776B70B3" w14:textId="77777777" w:rsidR="000E52B0" w:rsidRDefault="00F60D74">
                              <w:pPr>
                                <w:rPr>
                                  <w:rFonts w:ascii="Trebuchet MS"/>
                                  <w:sz w:val="18"/>
                                </w:rPr>
                              </w:pPr>
                              <w:r>
                                <w:rPr>
                                  <w:rFonts w:ascii="Trebuchet MS"/>
                                  <w:color w:val="404040"/>
                                  <w:spacing w:val="-5"/>
                                  <w:sz w:val="18"/>
                                </w:rPr>
                                <w:t>58</w:t>
                              </w:r>
                            </w:p>
                          </w:txbxContent>
                        </wps:txbx>
                        <wps:bodyPr wrap="square" lIns="0" tIns="0" rIns="0" bIns="0" rtlCol="0">
                          <a:noAutofit/>
                        </wps:bodyPr>
                      </wps:wsp>
                      <wps:wsp>
                        <wps:cNvPr id="683" name="Textbox 683"/>
                        <wps:cNvSpPr txBox="1"/>
                        <wps:spPr>
                          <a:xfrm>
                            <a:off x="2727579" y="612004"/>
                            <a:ext cx="134620" cy="139700"/>
                          </a:xfrm>
                          <a:prstGeom prst="rect">
                            <a:avLst/>
                          </a:prstGeom>
                        </wps:spPr>
                        <wps:txbx>
                          <w:txbxContent>
                            <w:p w14:paraId="04945B16" w14:textId="77777777" w:rsidR="000E52B0" w:rsidRDefault="00F60D74">
                              <w:pPr>
                                <w:rPr>
                                  <w:rFonts w:ascii="Trebuchet MS"/>
                                  <w:sz w:val="18"/>
                                </w:rPr>
                              </w:pPr>
                              <w:r>
                                <w:rPr>
                                  <w:rFonts w:ascii="Trebuchet MS"/>
                                  <w:color w:val="404040"/>
                                  <w:spacing w:val="-5"/>
                                  <w:sz w:val="18"/>
                                </w:rPr>
                                <w:t>12</w:t>
                              </w:r>
                            </w:p>
                          </w:txbxContent>
                        </wps:txbx>
                        <wps:bodyPr wrap="square" lIns="0" tIns="0" rIns="0" bIns="0" rtlCol="0">
                          <a:noAutofit/>
                        </wps:bodyPr>
                      </wps:wsp>
                      <wps:wsp>
                        <wps:cNvPr id="684" name="Textbox 684"/>
                        <wps:cNvSpPr txBox="1"/>
                        <wps:spPr>
                          <a:xfrm>
                            <a:off x="3103372" y="568062"/>
                            <a:ext cx="134620" cy="139700"/>
                          </a:xfrm>
                          <a:prstGeom prst="rect">
                            <a:avLst/>
                          </a:prstGeom>
                        </wps:spPr>
                        <wps:txbx>
                          <w:txbxContent>
                            <w:p w14:paraId="51AA0356" w14:textId="77777777" w:rsidR="000E52B0" w:rsidRDefault="00F60D74">
                              <w:pPr>
                                <w:rPr>
                                  <w:rFonts w:ascii="Trebuchet MS"/>
                                  <w:sz w:val="18"/>
                                </w:rPr>
                              </w:pPr>
                              <w:r>
                                <w:rPr>
                                  <w:rFonts w:ascii="Trebuchet MS"/>
                                  <w:color w:val="404040"/>
                                  <w:spacing w:val="-5"/>
                                  <w:sz w:val="18"/>
                                </w:rPr>
                                <w:t>31</w:t>
                              </w:r>
                            </w:p>
                          </w:txbxContent>
                        </wps:txbx>
                        <wps:bodyPr wrap="square" lIns="0" tIns="0" rIns="0" bIns="0" rtlCol="0">
                          <a:noAutofit/>
                        </wps:bodyPr>
                      </wps:wsp>
                      <wps:wsp>
                        <wps:cNvPr id="685" name="Textbox 685"/>
                        <wps:cNvSpPr txBox="1"/>
                        <wps:spPr>
                          <a:xfrm>
                            <a:off x="3577082" y="559553"/>
                            <a:ext cx="134620" cy="139700"/>
                          </a:xfrm>
                          <a:prstGeom prst="rect">
                            <a:avLst/>
                          </a:prstGeom>
                        </wps:spPr>
                        <wps:txbx>
                          <w:txbxContent>
                            <w:p w14:paraId="28C891A9" w14:textId="77777777" w:rsidR="000E52B0" w:rsidRDefault="00F60D74">
                              <w:pPr>
                                <w:rPr>
                                  <w:rFonts w:ascii="Trebuchet MS"/>
                                  <w:sz w:val="18"/>
                                </w:rPr>
                              </w:pPr>
                              <w:r>
                                <w:rPr>
                                  <w:rFonts w:ascii="Trebuchet MS"/>
                                  <w:color w:val="404040"/>
                                  <w:spacing w:val="-5"/>
                                  <w:sz w:val="18"/>
                                </w:rPr>
                                <w:t>35</w:t>
                              </w:r>
                            </w:p>
                          </w:txbxContent>
                        </wps:txbx>
                        <wps:bodyPr wrap="square" lIns="0" tIns="0" rIns="0" bIns="0" rtlCol="0">
                          <a:noAutofit/>
                        </wps:bodyPr>
                      </wps:wsp>
                      <wps:wsp>
                        <wps:cNvPr id="686" name="Textbox 686"/>
                        <wps:cNvSpPr txBox="1"/>
                        <wps:spPr>
                          <a:xfrm>
                            <a:off x="4426203" y="584826"/>
                            <a:ext cx="134620" cy="139700"/>
                          </a:xfrm>
                          <a:prstGeom prst="rect">
                            <a:avLst/>
                          </a:prstGeom>
                        </wps:spPr>
                        <wps:txbx>
                          <w:txbxContent>
                            <w:p w14:paraId="66B3C04D" w14:textId="77777777" w:rsidR="000E52B0" w:rsidRDefault="00F60D74">
                              <w:pPr>
                                <w:rPr>
                                  <w:rFonts w:ascii="Trebuchet MS"/>
                                  <w:sz w:val="18"/>
                                </w:rPr>
                              </w:pPr>
                              <w:r>
                                <w:rPr>
                                  <w:rFonts w:ascii="Trebuchet MS"/>
                                  <w:color w:val="404040"/>
                                  <w:spacing w:val="-5"/>
                                  <w:sz w:val="18"/>
                                </w:rPr>
                                <w:t>23</w:t>
                              </w:r>
                            </w:p>
                          </w:txbxContent>
                        </wps:txbx>
                        <wps:bodyPr wrap="square" lIns="0" tIns="0" rIns="0" bIns="0" rtlCol="0">
                          <a:noAutofit/>
                        </wps:bodyPr>
                      </wps:wsp>
                      <wps:wsp>
                        <wps:cNvPr id="687" name="Textbox 687"/>
                        <wps:cNvSpPr txBox="1"/>
                        <wps:spPr>
                          <a:xfrm>
                            <a:off x="199897" y="906771"/>
                            <a:ext cx="472440" cy="139700"/>
                          </a:xfrm>
                          <a:prstGeom prst="rect">
                            <a:avLst/>
                          </a:prstGeom>
                        </wps:spPr>
                        <wps:txbx>
                          <w:txbxContent>
                            <w:p w14:paraId="2E6CDCC1" w14:textId="77777777" w:rsidR="000E52B0" w:rsidRDefault="00F60D74">
                              <w:pPr>
                                <w:rPr>
                                  <w:rFonts w:ascii="Trebuchet MS"/>
                                  <w:sz w:val="18"/>
                                </w:rPr>
                              </w:pPr>
                              <w:r>
                                <w:rPr>
                                  <w:rFonts w:ascii="Trebuchet MS"/>
                                  <w:color w:val="585858"/>
                                  <w:spacing w:val="-2"/>
                                  <w:w w:val="105"/>
                                  <w:sz w:val="18"/>
                                </w:rPr>
                                <w:t>Hombres</w:t>
                              </w:r>
                            </w:p>
                          </w:txbxContent>
                        </wps:txbx>
                        <wps:bodyPr wrap="square" lIns="0" tIns="0" rIns="0" bIns="0" rtlCol="0">
                          <a:noAutofit/>
                        </wps:bodyPr>
                      </wps:wsp>
                      <wps:wsp>
                        <wps:cNvPr id="688" name="Textbox 688"/>
                        <wps:cNvSpPr txBox="1"/>
                        <wps:spPr>
                          <a:xfrm>
                            <a:off x="713740" y="906771"/>
                            <a:ext cx="1143000" cy="360680"/>
                          </a:xfrm>
                          <a:prstGeom prst="rect">
                            <a:avLst/>
                          </a:prstGeom>
                        </wps:spPr>
                        <wps:txbx>
                          <w:txbxContent>
                            <w:p w14:paraId="21F3D5A7" w14:textId="77777777" w:rsidR="000E52B0" w:rsidRDefault="00F60D74">
                              <w:pPr>
                                <w:ind w:left="1" w:right="18"/>
                                <w:jc w:val="center"/>
                                <w:rPr>
                                  <w:rFonts w:ascii="Trebuchet MS"/>
                                  <w:sz w:val="18"/>
                                </w:rPr>
                              </w:pPr>
                              <w:r>
                                <w:rPr>
                                  <w:rFonts w:ascii="Trebuchet MS"/>
                                  <w:color w:val="585858"/>
                                  <w:spacing w:val="-2"/>
                                  <w:sz w:val="18"/>
                                </w:rPr>
                                <w:t>Mujeres</w:t>
                              </w:r>
                            </w:p>
                            <w:p w14:paraId="225824D0" w14:textId="77777777" w:rsidR="000E52B0" w:rsidRDefault="00F60D74">
                              <w:pPr>
                                <w:spacing w:before="138"/>
                                <w:ind w:right="18"/>
                                <w:jc w:val="center"/>
                                <w:rPr>
                                  <w:rFonts w:ascii="Trebuchet MS"/>
                                  <w:sz w:val="18"/>
                                </w:rPr>
                              </w:pPr>
                              <w:r>
                                <w:rPr>
                                  <w:rFonts w:ascii="Trebuchet MS"/>
                                  <w:color w:val="585858"/>
                                  <w:sz w:val="18"/>
                                </w:rPr>
                                <w:t xml:space="preserve">Personas </w:t>
                              </w:r>
                              <w:r>
                                <w:rPr>
                                  <w:rFonts w:ascii="Trebuchet MS"/>
                                  <w:color w:val="585858"/>
                                  <w:spacing w:val="-2"/>
                                  <w:sz w:val="18"/>
                                </w:rPr>
                                <w:t>colombianas</w:t>
                              </w:r>
                            </w:p>
                          </w:txbxContent>
                        </wps:txbx>
                        <wps:bodyPr wrap="square" lIns="0" tIns="0" rIns="0" bIns="0" rtlCol="0">
                          <a:noAutofit/>
                        </wps:bodyPr>
                      </wps:wsp>
                      <wps:wsp>
                        <wps:cNvPr id="689" name="Textbox 689"/>
                        <wps:cNvSpPr txBox="1"/>
                        <wps:spPr>
                          <a:xfrm>
                            <a:off x="1993900" y="906771"/>
                            <a:ext cx="257810" cy="139700"/>
                          </a:xfrm>
                          <a:prstGeom prst="rect">
                            <a:avLst/>
                          </a:prstGeom>
                        </wps:spPr>
                        <wps:txbx>
                          <w:txbxContent>
                            <w:p w14:paraId="642289D1" w14:textId="77777777" w:rsidR="000E52B0" w:rsidRDefault="00F60D74">
                              <w:pPr>
                                <w:rPr>
                                  <w:rFonts w:ascii="Trebuchet MS"/>
                                  <w:sz w:val="18"/>
                                </w:rPr>
                              </w:pPr>
                              <w:r>
                                <w:rPr>
                                  <w:rFonts w:ascii="Trebuchet MS"/>
                                  <w:color w:val="585858"/>
                                  <w:spacing w:val="-6"/>
                                  <w:sz w:val="18"/>
                                </w:rPr>
                                <w:t>Total</w:t>
                              </w:r>
                            </w:p>
                          </w:txbxContent>
                        </wps:txbx>
                        <wps:bodyPr wrap="square" lIns="0" tIns="0" rIns="0" bIns="0" rtlCol="0">
                          <a:noAutofit/>
                        </wps:bodyPr>
                      </wps:wsp>
                      <wps:wsp>
                        <wps:cNvPr id="690" name="Textbox 690"/>
                        <wps:cNvSpPr txBox="1"/>
                        <wps:spPr>
                          <a:xfrm>
                            <a:off x="2747772" y="906771"/>
                            <a:ext cx="472440" cy="139700"/>
                          </a:xfrm>
                          <a:prstGeom prst="rect">
                            <a:avLst/>
                          </a:prstGeom>
                        </wps:spPr>
                        <wps:txbx>
                          <w:txbxContent>
                            <w:p w14:paraId="635AE181" w14:textId="77777777" w:rsidR="000E52B0" w:rsidRDefault="00F60D74">
                              <w:pPr>
                                <w:rPr>
                                  <w:rFonts w:ascii="Trebuchet MS"/>
                                  <w:sz w:val="18"/>
                                </w:rPr>
                              </w:pPr>
                              <w:r>
                                <w:rPr>
                                  <w:rFonts w:ascii="Trebuchet MS"/>
                                  <w:color w:val="585858"/>
                                  <w:spacing w:val="-2"/>
                                  <w:w w:val="105"/>
                                  <w:sz w:val="18"/>
                                </w:rPr>
                                <w:t>Hombres</w:t>
                              </w:r>
                            </w:p>
                          </w:txbxContent>
                        </wps:txbx>
                        <wps:bodyPr wrap="square" lIns="0" tIns="0" rIns="0" bIns="0" rtlCol="0">
                          <a:noAutofit/>
                        </wps:bodyPr>
                      </wps:wsp>
                      <wps:wsp>
                        <wps:cNvPr id="691" name="Textbox 691"/>
                        <wps:cNvSpPr txBox="1"/>
                        <wps:spPr>
                          <a:xfrm>
                            <a:off x="3275076" y="906771"/>
                            <a:ext cx="1116330" cy="360680"/>
                          </a:xfrm>
                          <a:prstGeom prst="rect">
                            <a:avLst/>
                          </a:prstGeom>
                        </wps:spPr>
                        <wps:txbx>
                          <w:txbxContent>
                            <w:p w14:paraId="382992C9" w14:textId="77777777" w:rsidR="000E52B0" w:rsidRDefault="00F60D74">
                              <w:pPr>
                                <w:ind w:right="18"/>
                                <w:jc w:val="center"/>
                                <w:rPr>
                                  <w:rFonts w:ascii="Trebuchet MS"/>
                                  <w:sz w:val="18"/>
                                </w:rPr>
                              </w:pPr>
                              <w:r>
                                <w:rPr>
                                  <w:rFonts w:ascii="Trebuchet MS"/>
                                  <w:color w:val="585858"/>
                                  <w:spacing w:val="-2"/>
                                  <w:sz w:val="18"/>
                                </w:rPr>
                                <w:t>Mujeres</w:t>
                              </w:r>
                            </w:p>
                            <w:p w14:paraId="2DF0F586" w14:textId="77777777" w:rsidR="000E52B0" w:rsidRDefault="00F60D74">
                              <w:pPr>
                                <w:spacing w:before="138"/>
                                <w:ind w:right="18"/>
                                <w:jc w:val="center"/>
                                <w:rPr>
                                  <w:rFonts w:ascii="Trebuchet MS"/>
                                  <w:sz w:val="18"/>
                                </w:rPr>
                              </w:pPr>
                              <w:r>
                                <w:rPr>
                                  <w:rFonts w:ascii="Trebuchet MS"/>
                                  <w:color w:val="585858"/>
                                  <w:sz w:val="18"/>
                                </w:rPr>
                                <w:t xml:space="preserve">Personas </w:t>
                              </w:r>
                              <w:r>
                                <w:rPr>
                                  <w:rFonts w:ascii="Trebuchet MS"/>
                                  <w:color w:val="585858"/>
                                  <w:spacing w:val="-2"/>
                                  <w:sz w:val="18"/>
                                </w:rPr>
                                <w:t>venezolanas</w:t>
                              </w:r>
                            </w:p>
                          </w:txbxContent>
                        </wps:txbx>
                        <wps:bodyPr wrap="square" lIns="0" tIns="0" rIns="0" bIns="0" rtlCol="0">
                          <a:noAutofit/>
                        </wps:bodyPr>
                      </wps:wsp>
                      <wps:wsp>
                        <wps:cNvPr id="692" name="Textbox 692"/>
                        <wps:cNvSpPr txBox="1"/>
                        <wps:spPr>
                          <a:xfrm>
                            <a:off x="4553330" y="906771"/>
                            <a:ext cx="257810" cy="139700"/>
                          </a:xfrm>
                          <a:prstGeom prst="rect">
                            <a:avLst/>
                          </a:prstGeom>
                        </wps:spPr>
                        <wps:txbx>
                          <w:txbxContent>
                            <w:p w14:paraId="185A9713" w14:textId="77777777" w:rsidR="000E52B0" w:rsidRDefault="00F60D74">
                              <w:pPr>
                                <w:rPr>
                                  <w:rFonts w:ascii="Trebuchet MS"/>
                                  <w:sz w:val="18"/>
                                </w:rPr>
                              </w:pPr>
                              <w:r>
                                <w:rPr>
                                  <w:rFonts w:ascii="Trebuchet MS"/>
                                  <w:color w:val="585858"/>
                                  <w:spacing w:val="-6"/>
                                  <w:sz w:val="18"/>
                                </w:rPr>
                                <w:t>Total</w:t>
                              </w:r>
                            </w:p>
                          </w:txbxContent>
                        </wps:txbx>
                        <wps:bodyPr wrap="square" lIns="0" tIns="0" rIns="0" bIns="0" rtlCol="0">
                          <a:noAutofit/>
                        </wps:bodyPr>
                      </wps:wsp>
                      <wps:wsp>
                        <wps:cNvPr id="693" name="Textbox 693"/>
                        <wps:cNvSpPr txBox="1"/>
                        <wps:spPr>
                          <a:xfrm>
                            <a:off x="1932051" y="1348096"/>
                            <a:ext cx="1253490" cy="139700"/>
                          </a:xfrm>
                          <a:prstGeom prst="rect">
                            <a:avLst/>
                          </a:prstGeom>
                        </wps:spPr>
                        <wps:txbx>
                          <w:txbxContent>
                            <w:p w14:paraId="67E868A0" w14:textId="77777777" w:rsidR="000E52B0" w:rsidRDefault="00F60D74">
                              <w:pPr>
                                <w:rPr>
                                  <w:rFonts w:ascii="Trebuchet MS"/>
                                  <w:sz w:val="18"/>
                                </w:rPr>
                              </w:pPr>
                              <w:r>
                                <w:rPr>
                                  <w:rFonts w:ascii="Trebuchet MS"/>
                                  <w:color w:val="585858"/>
                                  <w:spacing w:val="-2"/>
                                  <w:sz w:val="18"/>
                                </w:rPr>
                                <w:t>Tasas</w:t>
                              </w:r>
                              <w:r>
                                <w:rPr>
                                  <w:rFonts w:ascii="Trebuchet MS"/>
                                  <w:color w:val="585858"/>
                                  <w:spacing w:val="-12"/>
                                  <w:sz w:val="18"/>
                                </w:rPr>
                                <w:t xml:space="preserve"> </w:t>
                              </w:r>
                              <w:r>
                                <w:rPr>
                                  <w:rFonts w:ascii="Trebuchet MS"/>
                                  <w:color w:val="585858"/>
                                  <w:spacing w:val="-2"/>
                                  <w:sz w:val="18"/>
                                </w:rPr>
                                <w:t>X</w:t>
                              </w:r>
                              <w:r>
                                <w:rPr>
                                  <w:rFonts w:ascii="Trebuchet MS"/>
                                  <w:color w:val="585858"/>
                                  <w:spacing w:val="-14"/>
                                  <w:sz w:val="18"/>
                                </w:rPr>
                                <w:t xml:space="preserve"> </w:t>
                              </w:r>
                              <w:r>
                                <w:rPr>
                                  <w:rFonts w:ascii="Trebuchet MS"/>
                                  <w:color w:val="585858"/>
                                  <w:spacing w:val="-2"/>
                                  <w:sz w:val="18"/>
                                </w:rPr>
                                <w:t>100</w:t>
                              </w:r>
                              <w:r>
                                <w:rPr>
                                  <w:rFonts w:ascii="Trebuchet MS"/>
                                  <w:color w:val="585858"/>
                                  <w:spacing w:val="-15"/>
                                  <w:sz w:val="18"/>
                                </w:rPr>
                                <w:t xml:space="preserve"> </w:t>
                              </w:r>
                              <w:r>
                                <w:rPr>
                                  <w:rFonts w:ascii="Trebuchet MS"/>
                                  <w:color w:val="585858"/>
                                  <w:spacing w:val="-2"/>
                                  <w:sz w:val="18"/>
                                </w:rPr>
                                <w:t>mil</w:t>
                              </w:r>
                              <w:r>
                                <w:rPr>
                                  <w:rFonts w:ascii="Trebuchet MS"/>
                                  <w:color w:val="585858"/>
                                  <w:spacing w:val="-13"/>
                                  <w:sz w:val="18"/>
                                </w:rPr>
                                <w:t xml:space="preserve"> </w:t>
                              </w:r>
                              <w:r>
                                <w:rPr>
                                  <w:rFonts w:ascii="Trebuchet MS"/>
                                  <w:color w:val="585858"/>
                                  <w:spacing w:val="-2"/>
                                  <w:sz w:val="18"/>
                                </w:rPr>
                                <w:t>personas</w:t>
                              </w:r>
                            </w:p>
                          </w:txbxContent>
                        </wps:txbx>
                        <wps:bodyPr wrap="square" lIns="0" tIns="0" rIns="0" bIns="0" rtlCol="0">
                          <a:noAutofit/>
                        </wps:bodyPr>
                      </wps:wsp>
                    </wpg:wgp>
                  </a:graphicData>
                </a:graphic>
              </wp:anchor>
            </w:drawing>
          </mc:Choice>
          <mc:Fallback>
            <w:pict>
              <v:group w14:anchorId="5815E882" id="Group 672" o:spid="_x0000_s1442" style="position:absolute;margin-left:96.7pt;margin-top:5.05pt;width:401.9pt;height:117.9pt;z-index:-15651840;mso-wrap-distance-left:0;mso-wrap-distance-right:0;mso-position-horizontal-relative:page;mso-position-vertical-relative:text" coordsize="51041,14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">
                <v:shape id="Graphic 673" o:spid="_x0000_s1443" style="position:absolute;left:932;width:45415;height:8356;visibility:visible;mso-wrap-style:square;v-text-anchor:top" coordsize="4541520,83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" path="m295656,595884l,595884,,835660r295656,l295656,595884xem1144524,l848868,r,835660l1144524,835660,1144524,xem1994916,291084r-295656,l1699260,835660r295656,l1994916,291084xem2843784,809244r-295656,l2548128,835660r295656,l2843784,809244xem3692652,757428r-295656,l3396996,835660r295656,l3692652,757428xem4541520,781812r-295656,l4245864,835660r295656,l4541520,781812xe" fillcolor="#d44673" stroked="f">
                  <v:path arrowok="t"/>
                </v:shape>
                <v:shape id="Graphic 674" o:spid="_x0000_s1444" style="position:absolute;left:4696;top:4145;width:45415;height:4216;visibility:visible;mso-wrap-style:square;v-text-anchor:top" coordsize="454152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" path="m295656,289560l,289560,,421132r295656,l295656,289560xem1144524,l848868,r,421132l1144524,421132,1144524,xem1993392,140208r-295656,l1697736,421132r295656,l1993392,140208xem2842260,350520r-295656,l2546604,421132r295656,l2842260,350520xem3691128,1524r-295656,l3395472,421132r295656,l3691128,1524xem4541520,170688r-295656,l4245864,421132r295656,l4541520,170688xe" fillcolor="#741a36" stroked="f">
                  <v:path arrowok="t"/>
                </v:shape>
                <v:shape id="Graphic 675" o:spid="_x0000_s1445" style="position:absolute;left:47;top:8356;width:50946;height:6617;visibility:visible;mso-wrap-style:square;v-text-anchor:top" coordsize="509460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" path="m,l5094541,em,l,220599em2546667,r,220599em5094541,r,220599em,220599l,441071em2546667,220599r,220472em5094541,220599r,220472em,441071l,661670em5094541,441071r,220599e" filled="f" strokecolor="#d9d9d9">
                  <v:path arrowok="t"/>
                </v:shape>
                <v:shape id="Textbox 676" o:spid="_x0000_s1446" type="#_x0000_t202" style="position:absolute;left:18479;top:938;width:195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14:paraId="0560C051" w14:textId="77777777" w:rsidR="000E52B0" w:rsidRDefault="00F60D74">
                        <w:pPr>
                          <w:rPr>
                            <w:rFonts w:ascii="Trebuchet MS"/>
                            <w:sz w:val="18"/>
                          </w:rPr>
                        </w:pPr>
                        <w:r>
                          <w:rPr>
                            <w:rFonts w:ascii="Trebuchet MS"/>
                            <w:color w:val="404040"/>
                            <w:spacing w:val="-5"/>
                            <w:sz w:val="18"/>
                          </w:rPr>
                          <w:t>238</w:t>
                        </w:r>
                      </w:p>
                    </w:txbxContent>
                  </v:textbox>
                </v:shape>
                <v:shape id="Textbox 677" o:spid="_x0000_s1447" type="#_x0000_t202" style="position:absolute;left:13742;top:2172;width:196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08EC7663" w14:textId="77777777" w:rsidR="000E52B0" w:rsidRDefault="00F60D74">
                        <w:pPr>
                          <w:rPr>
                            <w:rFonts w:ascii="Trebuchet MS"/>
                            <w:sz w:val="18"/>
                          </w:rPr>
                        </w:pPr>
                        <w:r>
                          <w:rPr>
                            <w:rFonts w:ascii="Trebuchet MS"/>
                            <w:color w:val="404040"/>
                            <w:spacing w:val="-5"/>
                            <w:sz w:val="18"/>
                          </w:rPr>
                          <w:t>184</w:t>
                        </w:r>
                      </w:p>
                    </w:txbxContent>
                  </v:textbox>
                </v:shape>
                <v:shape id="Textbox 678" o:spid="_x0000_s1448" type="#_x0000_t202" style="position:absolute;left:39223;top:2194;width:195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2AF01811" w14:textId="77777777" w:rsidR="000E52B0" w:rsidRDefault="00F60D74">
                        <w:pPr>
                          <w:rPr>
                            <w:rFonts w:ascii="Trebuchet MS"/>
                            <w:sz w:val="18"/>
                          </w:rPr>
                        </w:pPr>
                        <w:r>
                          <w:rPr>
                            <w:rFonts w:ascii="Trebuchet MS"/>
                            <w:color w:val="404040"/>
                            <w:spacing w:val="-5"/>
                            <w:sz w:val="18"/>
                          </w:rPr>
                          <w:t>183</w:t>
                        </w:r>
                      </w:p>
                    </w:txbxContent>
                  </v:textbox>
                </v:shape>
                <v:shape id="Textbox 679" o:spid="_x0000_s1449" type="#_x0000_t202" style="position:absolute;left:1493;top:3988;width:195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1715E75F" w14:textId="77777777" w:rsidR="000E52B0" w:rsidRDefault="00F60D74">
                        <w:pPr>
                          <w:rPr>
                            <w:rFonts w:ascii="Trebuchet MS"/>
                            <w:sz w:val="18"/>
                          </w:rPr>
                        </w:pPr>
                        <w:r>
                          <w:rPr>
                            <w:rFonts w:ascii="Trebuchet MS"/>
                            <w:color w:val="404040"/>
                            <w:spacing w:val="-5"/>
                            <w:sz w:val="18"/>
                          </w:rPr>
                          <w:t>105</w:t>
                        </w:r>
                      </w:p>
                    </w:txbxContent>
                  </v:textbox>
                </v:shape>
                <v:shape id="Textbox 680" o:spid="_x0000_s1450" type="#_x0000_t202" style="position:absolute;left:22237;top:3583;width:195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1ADF0ECE" w14:textId="77777777" w:rsidR="000E52B0" w:rsidRDefault="00F60D74">
                        <w:pPr>
                          <w:rPr>
                            <w:rFonts w:ascii="Trebuchet MS"/>
                            <w:sz w:val="18"/>
                          </w:rPr>
                        </w:pPr>
                        <w:r>
                          <w:rPr>
                            <w:rFonts w:ascii="Trebuchet MS"/>
                            <w:color w:val="404040"/>
                            <w:spacing w:val="-5"/>
                            <w:sz w:val="18"/>
                          </w:rPr>
                          <w:t>123</w:t>
                        </w:r>
                      </w:p>
                    </w:txbxContent>
                  </v:textbox>
                </v:shape>
                <v:shape id="Textbox 681" o:spid="_x0000_s1451" type="#_x0000_t202" style="position:absolute;left:47716;top:3879;width:195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2C7DBACD" w14:textId="77777777" w:rsidR="000E52B0" w:rsidRDefault="00F60D74">
                        <w:pPr>
                          <w:rPr>
                            <w:rFonts w:ascii="Trebuchet MS"/>
                            <w:sz w:val="18"/>
                          </w:rPr>
                        </w:pPr>
                        <w:r>
                          <w:rPr>
                            <w:rFonts w:ascii="Trebuchet MS"/>
                            <w:color w:val="404040"/>
                            <w:spacing w:val="-5"/>
                            <w:sz w:val="18"/>
                          </w:rPr>
                          <w:t>110</w:t>
                        </w:r>
                      </w:p>
                    </w:txbxContent>
                  </v:textbox>
                </v:shape>
                <v:shape id="Textbox 682" o:spid="_x0000_s1452" type="#_x0000_t202" style="position:absolute;left:5556;top:5065;width:134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776B70B3" w14:textId="77777777" w:rsidR="000E52B0" w:rsidRDefault="00F60D74">
                        <w:pPr>
                          <w:rPr>
                            <w:rFonts w:ascii="Trebuchet MS"/>
                            <w:sz w:val="18"/>
                          </w:rPr>
                        </w:pPr>
                        <w:r>
                          <w:rPr>
                            <w:rFonts w:ascii="Trebuchet MS"/>
                            <w:color w:val="404040"/>
                            <w:spacing w:val="-5"/>
                            <w:sz w:val="18"/>
                          </w:rPr>
                          <w:t>58</w:t>
                        </w:r>
                      </w:p>
                    </w:txbxContent>
                  </v:textbox>
                </v:shape>
                <v:shape id="Textbox 683" o:spid="_x0000_s1453" type="#_x0000_t202" style="position:absolute;left:27275;top:6120;width:134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04945B16" w14:textId="77777777" w:rsidR="000E52B0" w:rsidRDefault="00F60D74">
                        <w:pPr>
                          <w:rPr>
                            <w:rFonts w:ascii="Trebuchet MS"/>
                            <w:sz w:val="18"/>
                          </w:rPr>
                        </w:pPr>
                        <w:r>
                          <w:rPr>
                            <w:rFonts w:ascii="Trebuchet MS"/>
                            <w:color w:val="404040"/>
                            <w:spacing w:val="-5"/>
                            <w:sz w:val="18"/>
                          </w:rPr>
                          <w:t>12</w:t>
                        </w:r>
                      </w:p>
                    </w:txbxContent>
                  </v:textbox>
                </v:shape>
                <v:shape id="Textbox 684" o:spid="_x0000_s1454" type="#_x0000_t202" style="position:absolute;left:31033;top:5680;width:134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51AA0356" w14:textId="77777777" w:rsidR="000E52B0" w:rsidRDefault="00F60D74">
                        <w:pPr>
                          <w:rPr>
                            <w:rFonts w:ascii="Trebuchet MS"/>
                            <w:sz w:val="18"/>
                          </w:rPr>
                        </w:pPr>
                        <w:r>
                          <w:rPr>
                            <w:rFonts w:ascii="Trebuchet MS"/>
                            <w:color w:val="404040"/>
                            <w:spacing w:val="-5"/>
                            <w:sz w:val="18"/>
                          </w:rPr>
                          <w:t>31</w:t>
                        </w:r>
                      </w:p>
                    </w:txbxContent>
                  </v:textbox>
                </v:shape>
                <v:shape id="Textbox 685" o:spid="_x0000_s1455" type="#_x0000_t202" style="position:absolute;left:35770;top:5595;width:1347;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28C891A9" w14:textId="77777777" w:rsidR="000E52B0" w:rsidRDefault="00F60D74">
                        <w:pPr>
                          <w:rPr>
                            <w:rFonts w:ascii="Trebuchet MS"/>
                            <w:sz w:val="18"/>
                          </w:rPr>
                        </w:pPr>
                        <w:r>
                          <w:rPr>
                            <w:rFonts w:ascii="Trebuchet MS"/>
                            <w:color w:val="404040"/>
                            <w:spacing w:val="-5"/>
                            <w:sz w:val="18"/>
                          </w:rPr>
                          <w:t>35</w:t>
                        </w:r>
                      </w:p>
                    </w:txbxContent>
                  </v:textbox>
                </v:shape>
                <v:shape id="Textbox 686" o:spid="_x0000_s1456" type="#_x0000_t202" style="position:absolute;left:44262;top:5848;width:134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66B3C04D" w14:textId="77777777" w:rsidR="000E52B0" w:rsidRDefault="00F60D74">
                        <w:pPr>
                          <w:rPr>
                            <w:rFonts w:ascii="Trebuchet MS"/>
                            <w:sz w:val="18"/>
                          </w:rPr>
                        </w:pPr>
                        <w:r>
                          <w:rPr>
                            <w:rFonts w:ascii="Trebuchet MS"/>
                            <w:color w:val="404040"/>
                            <w:spacing w:val="-5"/>
                            <w:sz w:val="18"/>
                          </w:rPr>
                          <w:t>23</w:t>
                        </w:r>
                      </w:p>
                    </w:txbxContent>
                  </v:textbox>
                </v:shape>
                <v:shape id="Textbox 687" o:spid="_x0000_s1457" type="#_x0000_t202" style="position:absolute;left:1998;top:9067;width:472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2E6CDCC1" w14:textId="77777777" w:rsidR="000E52B0" w:rsidRDefault="00F60D74">
                        <w:pPr>
                          <w:rPr>
                            <w:rFonts w:ascii="Trebuchet MS"/>
                            <w:sz w:val="18"/>
                          </w:rPr>
                        </w:pPr>
                        <w:r>
                          <w:rPr>
                            <w:rFonts w:ascii="Trebuchet MS"/>
                            <w:color w:val="585858"/>
                            <w:spacing w:val="-2"/>
                            <w:w w:val="105"/>
                            <w:sz w:val="18"/>
                          </w:rPr>
                          <w:t>Hombres</w:t>
                        </w:r>
                      </w:p>
                    </w:txbxContent>
                  </v:textbox>
                </v:shape>
                <v:shape id="Textbox 688" o:spid="_x0000_s1458" type="#_x0000_t202" style="position:absolute;left:7137;top:9067;width:11430;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21F3D5A7" w14:textId="77777777" w:rsidR="000E52B0" w:rsidRDefault="00F60D74">
                        <w:pPr>
                          <w:ind w:left="1" w:right="18"/>
                          <w:jc w:val="center"/>
                          <w:rPr>
                            <w:rFonts w:ascii="Trebuchet MS"/>
                            <w:sz w:val="18"/>
                          </w:rPr>
                        </w:pPr>
                        <w:r>
                          <w:rPr>
                            <w:rFonts w:ascii="Trebuchet MS"/>
                            <w:color w:val="585858"/>
                            <w:spacing w:val="-2"/>
                            <w:sz w:val="18"/>
                          </w:rPr>
                          <w:t>Mujeres</w:t>
                        </w:r>
                      </w:p>
                      <w:p w14:paraId="225824D0" w14:textId="77777777" w:rsidR="000E52B0" w:rsidRDefault="00F60D74">
                        <w:pPr>
                          <w:spacing w:before="138"/>
                          <w:ind w:right="18"/>
                          <w:jc w:val="center"/>
                          <w:rPr>
                            <w:rFonts w:ascii="Trebuchet MS"/>
                            <w:sz w:val="18"/>
                          </w:rPr>
                        </w:pPr>
                        <w:r>
                          <w:rPr>
                            <w:rFonts w:ascii="Trebuchet MS"/>
                            <w:color w:val="585858"/>
                            <w:sz w:val="18"/>
                          </w:rPr>
                          <w:t xml:space="preserve">Personas </w:t>
                        </w:r>
                        <w:r>
                          <w:rPr>
                            <w:rFonts w:ascii="Trebuchet MS"/>
                            <w:color w:val="585858"/>
                            <w:spacing w:val="-2"/>
                            <w:sz w:val="18"/>
                          </w:rPr>
                          <w:t>colombianas</w:t>
                        </w:r>
                      </w:p>
                    </w:txbxContent>
                  </v:textbox>
                </v:shape>
                <v:shape id="Textbox 689" o:spid="_x0000_s1459" type="#_x0000_t202" style="position:absolute;left:19939;top:9067;width:257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642289D1" w14:textId="77777777" w:rsidR="000E52B0" w:rsidRDefault="00F60D74">
                        <w:pPr>
                          <w:rPr>
                            <w:rFonts w:ascii="Trebuchet MS"/>
                            <w:sz w:val="18"/>
                          </w:rPr>
                        </w:pPr>
                        <w:r>
                          <w:rPr>
                            <w:rFonts w:ascii="Trebuchet MS"/>
                            <w:color w:val="585858"/>
                            <w:spacing w:val="-6"/>
                            <w:sz w:val="18"/>
                          </w:rPr>
                          <w:t>Total</w:t>
                        </w:r>
                      </w:p>
                    </w:txbxContent>
                  </v:textbox>
                </v:shape>
                <v:shape id="Textbox 690" o:spid="_x0000_s1460" type="#_x0000_t202" style="position:absolute;left:27477;top:9067;width:472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635AE181" w14:textId="77777777" w:rsidR="000E52B0" w:rsidRDefault="00F60D74">
                        <w:pPr>
                          <w:rPr>
                            <w:rFonts w:ascii="Trebuchet MS"/>
                            <w:sz w:val="18"/>
                          </w:rPr>
                        </w:pPr>
                        <w:r>
                          <w:rPr>
                            <w:rFonts w:ascii="Trebuchet MS"/>
                            <w:color w:val="585858"/>
                            <w:spacing w:val="-2"/>
                            <w:w w:val="105"/>
                            <w:sz w:val="18"/>
                          </w:rPr>
                          <w:t>Hombres</w:t>
                        </w:r>
                      </w:p>
                    </w:txbxContent>
                  </v:textbox>
                </v:shape>
                <v:shape id="Textbox 691" o:spid="_x0000_s1461" type="#_x0000_t202" style="position:absolute;left:32750;top:9067;width:1116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382992C9" w14:textId="77777777" w:rsidR="000E52B0" w:rsidRDefault="00F60D74">
                        <w:pPr>
                          <w:ind w:right="18"/>
                          <w:jc w:val="center"/>
                          <w:rPr>
                            <w:rFonts w:ascii="Trebuchet MS"/>
                            <w:sz w:val="18"/>
                          </w:rPr>
                        </w:pPr>
                        <w:r>
                          <w:rPr>
                            <w:rFonts w:ascii="Trebuchet MS"/>
                            <w:color w:val="585858"/>
                            <w:spacing w:val="-2"/>
                            <w:sz w:val="18"/>
                          </w:rPr>
                          <w:t>Mujeres</w:t>
                        </w:r>
                      </w:p>
                      <w:p w14:paraId="2DF0F586" w14:textId="77777777" w:rsidR="000E52B0" w:rsidRDefault="00F60D74">
                        <w:pPr>
                          <w:spacing w:before="138"/>
                          <w:ind w:right="18"/>
                          <w:jc w:val="center"/>
                          <w:rPr>
                            <w:rFonts w:ascii="Trebuchet MS"/>
                            <w:sz w:val="18"/>
                          </w:rPr>
                        </w:pPr>
                        <w:r>
                          <w:rPr>
                            <w:rFonts w:ascii="Trebuchet MS"/>
                            <w:color w:val="585858"/>
                            <w:sz w:val="18"/>
                          </w:rPr>
                          <w:t xml:space="preserve">Personas </w:t>
                        </w:r>
                        <w:r>
                          <w:rPr>
                            <w:rFonts w:ascii="Trebuchet MS"/>
                            <w:color w:val="585858"/>
                            <w:spacing w:val="-2"/>
                            <w:sz w:val="18"/>
                          </w:rPr>
                          <w:t>venezolanas</w:t>
                        </w:r>
                      </w:p>
                    </w:txbxContent>
                  </v:textbox>
                </v:shape>
                <v:shape id="Textbox 692" o:spid="_x0000_s1462" type="#_x0000_t202" style="position:absolute;left:45533;top:9067;width:257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185A9713" w14:textId="77777777" w:rsidR="000E52B0" w:rsidRDefault="00F60D74">
                        <w:pPr>
                          <w:rPr>
                            <w:rFonts w:ascii="Trebuchet MS"/>
                            <w:sz w:val="18"/>
                          </w:rPr>
                        </w:pPr>
                        <w:r>
                          <w:rPr>
                            <w:rFonts w:ascii="Trebuchet MS"/>
                            <w:color w:val="585858"/>
                            <w:spacing w:val="-6"/>
                            <w:sz w:val="18"/>
                          </w:rPr>
                          <w:t>Total</w:t>
                        </w:r>
                      </w:p>
                    </w:txbxContent>
                  </v:textbox>
                </v:shape>
                <v:shape id="Textbox 693" o:spid="_x0000_s1463" type="#_x0000_t202" style="position:absolute;left:19320;top:13480;width:12535;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67E868A0" w14:textId="77777777" w:rsidR="000E52B0" w:rsidRDefault="00F60D74">
                        <w:pPr>
                          <w:rPr>
                            <w:rFonts w:ascii="Trebuchet MS"/>
                            <w:sz w:val="18"/>
                          </w:rPr>
                        </w:pPr>
                        <w:r>
                          <w:rPr>
                            <w:rFonts w:ascii="Trebuchet MS"/>
                            <w:color w:val="585858"/>
                            <w:spacing w:val="-2"/>
                            <w:sz w:val="18"/>
                          </w:rPr>
                          <w:t>Tasas</w:t>
                        </w:r>
                        <w:r>
                          <w:rPr>
                            <w:rFonts w:ascii="Trebuchet MS"/>
                            <w:color w:val="585858"/>
                            <w:spacing w:val="-12"/>
                            <w:sz w:val="18"/>
                          </w:rPr>
                          <w:t xml:space="preserve"> </w:t>
                        </w:r>
                        <w:r>
                          <w:rPr>
                            <w:rFonts w:ascii="Trebuchet MS"/>
                            <w:color w:val="585858"/>
                            <w:spacing w:val="-2"/>
                            <w:sz w:val="18"/>
                          </w:rPr>
                          <w:t>X</w:t>
                        </w:r>
                        <w:r>
                          <w:rPr>
                            <w:rFonts w:ascii="Trebuchet MS"/>
                            <w:color w:val="585858"/>
                            <w:spacing w:val="-14"/>
                            <w:sz w:val="18"/>
                          </w:rPr>
                          <w:t xml:space="preserve"> </w:t>
                        </w:r>
                        <w:r>
                          <w:rPr>
                            <w:rFonts w:ascii="Trebuchet MS"/>
                            <w:color w:val="585858"/>
                            <w:spacing w:val="-2"/>
                            <w:sz w:val="18"/>
                          </w:rPr>
                          <w:t>100</w:t>
                        </w:r>
                        <w:r>
                          <w:rPr>
                            <w:rFonts w:ascii="Trebuchet MS"/>
                            <w:color w:val="585858"/>
                            <w:spacing w:val="-15"/>
                            <w:sz w:val="18"/>
                          </w:rPr>
                          <w:t xml:space="preserve"> </w:t>
                        </w:r>
                        <w:r>
                          <w:rPr>
                            <w:rFonts w:ascii="Trebuchet MS"/>
                            <w:color w:val="585858"/>
                            <w:spacing w:val="-2"/>
                            <w:sz w:val="18"/>
                          </w:rPr>
                          <w:t>mil</w:t>
                        </w:r>
                        <w:r>
                          <w:rPr>
                            <w:rFonts w:ascii="Trebuchet MS"/>
                            <w:color w:val="585858"/>
                            <w:spacing w:val="-13"/>
                            <w:sz w:val="18"/>
                          </w:rPr>
                          <w:t xml:space="preserve"> </w:t>
                        </w:r>
                        <w:r>
                          <w:rPr>
                            <w:rFonts w:ascii="Trebuchet MS"/>
                            <w:color w:val="585858"/>
                            <w:spacing w:val="-2"/>
                            <w:sz w:val="18"/>
                          </w:rPr>
                          <w:t>personas</w:t>
                        </w:r>
                      </w:p>
                    </w:txbxContent>
                  </v:textbox>
                </v:shape>
                <w10:wrap type="topAndBottom" anchorx="page"/>
              </v:group>
            </w:pict>
          </mc:Fallback>
        </mc:AlternateContent>
      </w:r>
    </w:p>
    <w:p w14:paraId="2F9B6035" w14:textId="77777777" w:rsidR="000E52B0" w:rsidRDefault="00F60D74">
      <w:pPr>
        <w:tabs>
          <w:tab w:val="left" w:pos="2294"/>
        </w:tabs>
        <w:spacing w:before="149"/>
        <w:ind w:left="71"/>
        <w:jc w:val="center"/>
        <w:rPr>
          <w:rFonts w:ascii="Trebuchet MS" w:hAnsi="Trebuchet MS"/>
          <w:sz w:val="18"/>
        </w:rPr>
      </w:pPr>
      <w:r>
        <w:rPr>
          <w:noProof/>
        </w:rPr>
        <w:drawing>
          <wp:inline distT="0" distB="0" distL="0" distR="0" wp14:anchorId="346DD2BB" wp14:editId="743A1E28">
            <wp:extent cx="62779" cy="62779"/>
            <wp:effectExtent l="0" t="0" r="0" b="0"/>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163" cstate="print"/>
                    <a:stretch>
                      <a:fillRect/>
                    </a:stretch>
                  </pic:blipFill>
                  <pic:spPr>
                    <a:xfrm>
                      <a:off x="0" y="0"/>
                      <a:ext cx="62779" cy="62779"/>
                    </a:xfrm>
                    <a:prstGeom prst="rect">
                      <a:avLst/>
                    </a:prstGeom>
                  </pic:spPr>
                </pic:pic>
              </a:graphicData>
            </a:graphic>
          </wp:inline>
        </w:drawing>
      </w:r>
      <w:r>
        <w:rPr>
          <w:rFonts w:ascii="Times New Roman" w:hAnsi="Times New Roman"/>
          <w:spacing w:val="-4"/>
          <w:sz w:val="20"/>
        </w:rPr>
        <w:t xml:space="preserve"> </w:t>
      </w:r>
      <w:r>
        <w:rPr>
          <w:rFonts w:ascii="Trebuchet MS" w:hAnsi="Trebuchet MS"/>
          <w:color w:val="585858"/>
          <w:spacing w:val="-2"/>
          <w:sz w:val="18"/>
        </w:rPr>
        <w:t>Violencias</w:t>
      </w:r>
      <w:r>
        <w:rPr>
          <w:rFonts w:ascii="Trebuchet MS" w:hAnsi="Trebuchet MS"/>
          <w:color w:val="585858"/>
          <w:spacing w:val="-15"/>
          <w:sz w:val="18"/>
        </w:rPr>
        <w:t xml:space="preserve"> </w:t>
      </w:r>
      <w:r>
        <w:rPr>
          <w:rFonts w:ascii="Trebuchet MS" w:hAnsi="Trebuchet MS"/>
          <w:color w:val="585858"/>
          <w:spacing w:val="-2"/>
          <w:sz w:val="18"/>
        </w:rPr>
        <w:t>de</w:t>
      </w:r>
      <w:r>
        <w:rPr>
          <w:rFonts w:ascii="Trebuchet MS" w:hAnsi="Trebuchet MS"/>
          <w:color w:val="585858"/>
          <w:spacing w:val="-13"/>
          <w:sz w:val="18"/>
        </w:rPr>
        <w:t xml:space="preserve"> </w:t>
      </w:r>
      <w:r>
        <w:rPr>
          <w:rFonts w:ascii="Trebuchet MS" w:hAnsi="Trebuchet MS"/>
          <w:color w:val="585858"/>
          <w:spacing w:val="-2"/>
          <w:sz w:val="18"/>
        </w:rPr>
        <w:t>género*</w:t>
      </w:r>
      <w:r>
        <w:rPr>
          <w:rFonts w:ascii="Trebuchet MS" w:hAnsi="Trebuchet MS"/>
          <w:color w:val="585858"/>
          <w:sz w:val="18"/>
        </w:rPr>
        <w:tab/>
      </w:r>
      <w:r>
        <w:rPr>
          <w:rFonts w:ascii="Trebuchet MS" w:hAnsi="Trebuchet MS"/>
          <w:noProof/>
          <w:color w:val="585858"/>
          <w:sz w:val="18"/>
        </w:rPr>
        <w:drawing>
          <wp:inline distT="0" distB="0" distL="0" distR="0" wp14:anchorId="74A3D6A5" wp14:editId="4C6E6A5B">
            <wp:extent cx="62779" cy="62779"/>
            <wp:effectExtent l="0" t="0" r="0" b="0"/>
            <wp:docPr id="695" name="Image 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 name="Image 695"/>
                    <pic:cNvPicPr/>
                  </pic:nvPicPr>
                  <pic:blipFill>
                    <a:blip r:embed="rId171" cstate="print"/>
                    <a:stretch>
                      <a:fillRect/>
                    </a:stretch>
                  </pic:blipFill>
                  <pic:spPr>
                    <a:xfrm>
                      <a:off x="0" y="0"/>
                      <a:ext cx="62779" cy="62779"/>
                    </a:xfrm>
                    <a:prstGeom prst="rect">
                      <a:avLst/>
                    </a:prstGeom>
                  </pic:spPr>
                </pic:pic>
              </a:graphicData>
            </a:graphic>
          </wp:inline>
        </w:drawing>
      </w:r>
      <w:r>
        <w:rPr>
          <w:rFonts w:ascii="Times New Roman" w:hAnsi="Times New Roman"/>
          <w:color w:val="585858"/>
          <w:spacing w:val="3"/>
          <w:sz w:val="18"/>
        </w:rPr>
        <w:t xml:space="preserve"> </w:t>
      </w:r>
      <w:r>
        <w:rPr>
          <w:rFonts w:ascii="Trebuchet MS" w:hAnsi="Trebuchet MS"/>
          <w:color w:val="585858"/>
          <w:spacing w:val="-4"/>
          <w:sz w:val="18"/>
        </w:rPr>
        <w:t>Violencias</w:t>
      </w:r>
      <w:r>
        <w:rPr>
          <w:rFonts w:ascii="Trebuchet MS" w:hAnsi="Trebuchet MS"/>
          <w:color w:val="585858"/>
          <w:spacing w:val="-15"/>
          <w:sz w:val="18"/>
        </w:rPr>
        <w:t xml:space="preserve"> </w:t>
      </w:r>
      <w:r>
        <w:rPr>
          <w:rFonts w:ascii="Trebuchet MS" w:hAnsi="Trebuchet MS"/>
          <w:color w:val="585858"/>
          <w:spacing w:val="-4"/>
          <w:sz w:val="18"/>
        </w:rPr>
        <w:t>de</w:t>
      </w:r>
      <w:r>
        <w:rPr>
          <w:rFonts w:ascii="Trebuchet MS" w:hAnsi="Trebuchet MS"/>
          <w:color w:val="585858"/>
          <w:spacing w:val="-13"/>
          <w:sz w:val="18"/>
        </w:rPr>
        <w:t xml:space="preserve"> </w:t>
      </w:r>
      <w:r>
        <w:rPr>
          <w:rFonts w:ascii="Trebuchet MS" w:hAnsi="Trebuchet MS"/>
          <w:color w:val="585858"/>
          <w:spacing w:val="-4"/>
          <w:sz w:val="18"/>
        </w:rPr>
        <w:t>pareja</w:t>
      </w:r>
      <w:r>
        <w:rPr>
          <w:rFonts w:ascii="Trebuchet MS" w:hAnsi="Trebuchet MS"/>
          <w:color w:val="585858"/>
          <w:spacing w:val="-14"/>
          <w:sz w:val="18"/>
        </w:rPr>
        <w:t xml:space="preserve"> </w:t>
      </w:r>
      <w:r>
        <w:rPr>
          <w:rFonts w:ascii="Trebuchet MS" w:hAnsi="Trebuchet MS"/>
          <w:color w:val="585858"/>
          <w:spacing w:val="-4"/>
          <w:sz w:val="18"/>
        </w:rPr>
        <w:t>e</w:t>
      </w:r>
      <w:r>
        <w:rPr>
          <w:rFonts w:ascii="Trebuchet MS" w:hAnsi="Trebuchet MS"/>
          <w:color w:val="585858"/>
          <w:spacing w:val="-15"/>
          <w:sz w:val="18"/>
        </w:rPr>
        <w:t xml:space="preserve"> </w:t>
      </w:r>
      <w:r>
        <w:rPr>
          <w:rFonts w:ascii="Trebuchet MS" w:hAnsi="Trebuchet MS"/>
          <w:color w:val="585858"/>
          <w:spacing w:val="-4"/>
          <w:sz w:val="18"/>
        </w:rPr>
        <w:t>intrafamiliares</w:t>
      </w:r>
    </w:p>
    <w:p w14:paraId="76C68B05" w14:textId="77777777" w:rsidR="000E52B0" w:rsidRDefault="000E52B0">
      <w:pPr>
        <w:pStyle w:val="Textoindependiente"/>
        <w:ind w:left="0"/>
        <w:rPr>
          <w:rFonts w:ascii="Trebuchet MS"/>
          <w:sz w:val="18"/>
        </w:rPr>
      </w:pPr>
    </w:p>
    <w:p w14:paraId="39D040BE" w14:textId="77777777" w:rsidR="000E52B0" w:rsidRDefault="00F60D74">
      <w:pPr>
        <w:ind w:right="2"/>
        <w:jc w:val="center"/>
        <w:rPr>
          <w:i/>
          <w:sz w:val="18"/>
        </w:rPr>
      </w:pPr>
      <w:r>
        <w:rPr>
          <w:i/>
          <w:color w:val="454551"/>
          <w:sz w:val="18"/>
        </w:rPr>
        <w:t>Fuente</w:t>
      </w:r>
      <w:r>
        <w:rPr>
          <w:i/>
          <w:color w:val="454551"/>
          <w:spacing w:val="-5"/>
          <w:sz w:val="18"/>
        </w:rPr>
        <w:t xml:space="preserve"> </w:t>
      </w:r>
      <w:r>
        <w:rPr>
          <w:i/>
          <w:color w:val="454551"/>
          <w:sz w:val="18"/>
        </w:rPr>
        <w:t>42.</w:t>
      </w:r>
      <w:r>
        <w:rPr>
          <w:i/>
          <w:color w:val="454551"/>
          <w:spacing w:val="-4"/>
          <w:sz w:val="18"/>
        </w:rPr>
        <w:t xml:space="preserve"> </w:t>
      </w:r>
      <w:r>
        <w:rPr>
          <w:i/>
          <w:color w:val="454551"/>
          <w:sz w:val="18"/>
        </w:rPr>
        <w:t>Elaboración</w:t>
      </w:r>
      <w:r>
        <w:rPr>
          <w:i/>
          <w:color w:val="454551"/>
          <w:spacing w:val="-2"/>
          <w:sz w:val="18"/>
        </w:rPr>
        <w:t xml:space="preserve"> </w:t>
      </w:r>
      <w:r>
        <w:rPr>
          <w:i/>
          <w:color w:val="454551"/>
          <w:sz w:val="18"/>
        </w:rPr>
        <w:t>propia</w:t>
      </w:r>
      <w:r>
        <w:rPr>
          <w:i/>
          <w:color w:val="454551"/>
          <w:spacing w:val="-4"/>
          <w:sz w:val="18"/>
        </w:rPr>
        <w:t xml:space="preserve"> </w:t>
      </w:r>
      <w:r>
        <w:rPr>
          <w:i/>
          <w:color w:val="454551"/>
          <w:sz w:val="18"/>
        </w:rPr>
        <w:t>con</w:t>
      </w:r>
      <w:r>
        <w:rPr>
          <w:i/>
          <w:color w:val="454551"/>
          <w:spacing w:val="-2"/>
          <w:sz w:val="18"/>
        </w:rPr>
        <w:t xml:space="preserve"> </w:t>
      </w:r>
      <w:r>
        <w:rPr>
          <w:i/>
          <w:color w:val="454551"/>
          <w:sz w:val="18"/>
        </w:rPr>
        <w:t>datos</w:t>
      </w:r>
      <w:r>
        <w:rPr>
          <w:i/>
          <w:color w:val="454551"/>
          <w:spacing w:val="-4"/>
          <w:sz w:val="18"/>
        </w:rPr>
        <w:t xml:space="preserve"> </w:t>
      </w:r>
      <w:r>
        <w:rPr>
          <w:i/>
          <w:color w:val="454551"/>
          <w:sz w:val="18"/>
        </w:rPr>
        <w:t>de</w:t>
      </w:r>
      <w:r>
        <w:rPr>
          <w:i/>
          <w:color w:val="454551"/>
          <w:spacing w:val="-3"/>
          <w:sz w:val="18"/>
        </w:rPr>
        <w:t xml:space="preserve"> </w:t>
      </w:r>
      <w:r>
        <w:rPr>
          <w:i/>
          <w:color w:val="454551"/>
          <w:sz w:val="18"/>
        </w:rPr>
        <w:t>SIVIGILA</w:t>
      </w:r>
      <w:r>
        <w:rPr>
          <w:i/>
          <w:color w:val="454551"/>
          <w:spacing w:val="-4"/>
          <w:sz w:val="18"/>
        </w:rPr>
        <w:t xml:space="preserve"> </w:t>
      </w:r>
      <w:r>
        <w:rPr>
          <w:i/>
          <w:color w:val="454551"/>
          <w:sz w:val="18"/>
        </w:rPr>
        <w:t>(*2022),</w:t>
      </w:r>
      <w:r>
        <w:rPr>
          <w:i/>
          <w:color w:val="454551"/>
          <w:spacing w:val="-4"/>
          <w:sz w:val="18"/>
        </w:rPr>
        <w:t xml:space="preserve"> </w:t>
      </w:r>
      <w:r>
        <w:rPr>
          <w:i/>
          <w:color w:val="454551"/>
          <w:sz w:val="18"/>
        </w:rPr>
        <w:t>INMLCF,</w:t>
      </w:r>
      <w:r>
        <w:rPr>
          <w:i/>
          <w:color w:val="454551"/>
          <w:spacing w:val="-5"/>
          <w:sz w:val="18"/>
        </w:rPr>
        <w:t xml:space="preserve"> </w:t>
      </w:r>
      <w:r>
        <w:rPr>
          <w:i/>
          <w:color w:val="454551"/>
          <w:sz w:val="18"/>
        </w:rPr>
        <w:t>DANE, Migración</w:t>
      </w:r>
      <w:r>
        <w:rPr>
          <w:i/>
          <w:color w:val="454551"/>
          <w:spacing w:val="-2"/>
          <w:sz w:val="18"/>
        </w:rPr>
        <w:t xml:space="preserve"> Colombia</w:t>
      </w:r>
    </w:p>
    <w:p w14:paraId="055091AB" w14:textId="77777777" w:rsidR="000E52B0" w:rsidRDefault="000E52B0">
      <w:pPr>
        <w:pStyle w:val="Textoindependiente"/>
        <w:ind w:left="0"/>
        <w:rPr>
          <w:i/>
          <w:sz w:val="18"/>
        </w:rPr>
      </w:pPr>
    </w:p>
    <w:p w14:paraId="7EF0FC06" w14:textId="77777777" w:rsidR="000E52B0" w:rsidRDefault="000E52B0">
      <w:pPr>
        <w:pStyle w:val="Textoindependiente"/>
        <w:spacing w:before="56"/>
        <w:ind w:left="0"/>
        <w:rPr>
          <w:i/>
          <w:sz w:val="18"/>
        </w:rPr>
      </w:pPr>
    </w:p>
    <w:p w14:paraId="7E016724" w14:textId="77777777" w:rsidR="000E52B0" w:rsidRDefault="00F60D74">
      <w:pPr>
        <w:pStyle w:val="Textoindependiente"/>
        <w:spacing w:before="1"/>
        <w:ind w:right="718"/>
        <w:jc w:val="both"/>
      </w:pPr>
      <w:r>
        <w:t>En el caso de las violencias de género reportadas a través del SIVIGILA (año</w:t>
      </w:r>
      <w:r>
        <w:rPr>
          <w:spacing w:val="-19"/>
        </w:rPr>
        <w:t xml:space="preserve"> </w:t>
      </w:r>
      <w:r>
        <w:t>2022),</w:t>
      </w:r>
      <w:r>
        <w:rPr>
          <w:spacing w:val="-21"/>
        </w:rPr>
        <w:t xml:space="preserve"> </w:t>
      </w:r>
      <w:r>
        <w:t>si</w:t>
      </w:r>
      <w:r>
        <w:rPr>
          <w:spacing w:val="-19"/>
        </w:rPr>
        <w:t xml:space="preserve"> </w:t>
      </w:r>
      <w:r>
        <w:t>hay</w:t>
      </w:r>
      <w:r>
        <w:rPr>
          <w:spacing w:val="-18"/>
        </w:rPr>
        <w:t xml:space="preserve"> </w:t>
      </w:r>
      <w:r>
        <w:t>un</w:t>
      </w:r>
      <w:r>
        <w:rPr>
          <w:spacing w:val="-20"/>
        </w:rPr>
        <w:t xml:space="preserve"> </w:t>
      </w:r>
      <w:r>
        <w:t>mayor</w:t>
      </w:r>
      <w:r>
        <w:rPr>
          <w:spacing w:val="-19"/>
        </w:rPr>
        <w:t xml:space="preserve"> </w:t>
      </w:r>
      <w:r>
        <w:t>registro</w:t>
      </w:r>
      <w:r>
        <w:rPr>
          <w:spacing w:val="-18"/>
        </w:rPr>
        <w:t xml:space="preserve"> </w:t>
      </w:r>
      <w:r>
        <w:t>en</w:t>
      </w:r>
      <w:r>
        <w:rPr>
          <w:spacing w:val="-18"/>
        </w:rPr>
        <w:t xml:space="preserve"> </w:t>
      </w:r>
      <w:r>
        <w:t>el</w:t>
      </w:r>
      <w:r>
        <w:rPr>
          <w:spacing w:val="-21"/>
        </w:rPr>
        <w:t xml:space="preserve"> </w:t>
      </w:r>
      <w:r>
        <w:t>caso</w:t>
      </w:r>
      <w:r>
        <w:rPr>
          <w:spacing w:val="-19"/>
        </w:rPr>
        <w:t xml:space="preserve"> </w:t>
      </w:r>
      <w:r>
        <w:t>de</w:t>
      </w:r>
      <w:r>
        <w:rPr>
          <w:spacing w:val="-16"/>
        </w:rPr>
        <w:t xml:space="preserve"> </w:t>
      </w:r>
      <w:r>
        <w:t>la</w:t>
      </w:r>
      <w:r>
        <w:rPr>
          <w:spacing w:val="-18"/>
        </w:rPr>
        <w:t xml:space="preserve"> </w:t>
      </w:r>
      <w:r>
        <w:t>población</w:t>
      </w:r>
      <w:r>
        <w:rPr>
          <w:spacing w:val="-20"/>
        </w:rPr>
        <w:t xml:space="preserve"> </w:t>
      </w:r>
      <w:r>
        <w:t>colombiana, en</w:t>
      </w:r>
      <w:r>
        <w:rPr>
          <w:spacing w:val="-2"/>
        </w:rPr>
        <w:t xml:space="preserve"> </w:t>
      </w:r>
      <w:r>
        <w:t>contraste</w:t>
      </w:r>
      <w:r>
        <w:rPr>
          <w:spacing w:val="-1"/>
        </w:rPr>
        <w:t xml:space="preserve"> </w:t>
      </w:r>
      <w:r>
        <w:t>con</w:t>
      </w:r>
      <w:r>
        <w:rPr>
          <w:spacing w:val="-2"/>
        </w:rPr>
        <w:t xml:space="preserve"> </w:t>
      </w:r>
      <w:r>
        <w:t>los</w:t>
      </w:r>
      <w:r>
        <w:rPr>
          <w:spacing w:val="-2"/>
        </w:rPr>
        <w:t xml:space="preserve"> </w:t>
      </w:r>
      <w:r>
        <w:t>datos</w:t>
      </w:r>
      <w:r>
        <w:rPr>
          <w:spacing w:val="-2"/>
        </w:rPr>
        <w:t xml:space="preserve"> </w:t>
      </w:r>
      <w:r>
        <w:t>descritos</w:t>
      </w:r>
      <w:r>
        <w:rPr>
          <w:spacing w:val="-2"/>
        </w:rPr>
        <w:t xml:space="preserve"> </w:t>
      </w:r>
      <w:r>
        <w:t>antes,</w:t>
      </w:r>
      <w:r>
        <w:rPr>
          <w:spacing w:val="-3"/>
        </w:rPr>
        <w:t xml:space="preserve"> </w:t>
      </w:r>
      <w:r>
        <w:t>esto</w:t>
      </w:r>
      <w:r>
        <w:rPr>
          <w:spacing w:val="-1"/>
        </w:rPr>
        <w:t xml:space="preserve"> </w:t>
      </w:r>
      <w:r>
        <w:t>puede</w:t>
      </w:r>
      <w:r>
        <w:rPr>
          <w:spacing w:val="-1"/>
        </w:rPr>
        <w:t xml:space="preserve"> </w:t>
      </w:r>
      <w:r>
        <w:t>ser</w:t>
      </w:r>
      <w:r>
        <w:rPr>
          <w:spacing w:val="-3"/>
        </w:rPr>
        <w:t xml:space="preserve"> </w:t>
      </w:r>
      <w:r>
        <w:t>resultado</w:t>
      </w:r>
      <w:r>
        <w:rPr>
          <w:spacing w:val="-1"/>
        </w:rPr>
        <w:t xml:space="preserve"> </w:t>
      </w:r>
      <w:r>
        <w:t>de</w:t>
      </w:r>
      <w:r>
        <w:rPr>
          <w:spacing w:val="-1"/>
        </w:rPr>
        <w:t xml:space="preserve"> </w:t>
      </w:r>
      <w:r>
        <w:t>un mayor subregistro del sector salud en este sentido, en términos de la identificación de casos sospechosos de violencias de género entre la población venezolana, puede ser por desinformación en términos de la aplicación de la ruta sin discriminación, o por cuenta de sesgos cognitivos de quienes operan la atención en salud.</w:t>
      </w:r>
    </w:p>
    <w:p w14:paraId="16DEBEC0" w14:textId="77777777" w:rsidR="000E52B0" w:rsidRDefault="00F60D74">
      <w:pPr>
        <w:pStyle w:val="Textoindependiente"/>
        <w:spacing w:before="290"/>
        <w:ind w:right="723"/>
        <w:jc w:val="both"/>
      </w:pPr>
      <w:r>
        <w:t>De acuerdo con el Observatorio del Delito de la Trata de Personas, entre 2017</w:t>
      </w:r>
      <w:r>
        <w:rPr>
          <w:spacing w:val="6"/>
        </w:rPr>
        <w:t xml:space="preserve"> </w:t>
      </w:r>
      <w:r>
        <w:t>y</w:t>
      </w:r>
      <w:r>
        <w:rPr>
          <w:spacing w:val="7"/>
        </w:rPr>
        <w:t xml:space="preserve"> </w:t>
      </w:r>
      <w:r>
        <w:t>2023</w:t>
      </w:r>
      <w:r>
        <w:rPr>
          <w:spacing w:val="8"/>
        </w:rPr>
        <w:t xml:space="preserve"> </w:t>
      </w:r>
      <w:r>
        <w:t>se</w:t>
      </w:r>
      <w:r>
        <w:rPr>
          <w:spacing w:val="7"/>
        </w:rPr>
        <w:t xml:space="preserve"> </w:t>
      </w:r>
      <w:r>
        <w:t>registraron</w:t>
      </w:r>
      <w:r>
        <w:rPr>
          <w:spacing w:val="8"/>
        </w:rPr>
        <w:t xml:space="preserve"> </w:t>
      </w:r>
      <w:r>
        <w:t>830</w:t>
      </w:r>
      <w:r>
        <w:rPr>
          <w:spacing w:val="7"/>
        </w:rPr>
        <w:t xml:space="preserve"> </w:t>
      </w:r>
      <w:r>
        <w:t>casos</w:t>
      </w:r>
      <w:r>
        <w:rPr>
          <w:spacing w:val="8"/>
        </w:rPr>
        <w:t xml:space="preserve"> </w:t>
      </w:r>
      <w:r>
        <w:t>de</w:t>
      </w:r>
      <w:r>
        <w:rPr>
          <w:spacing w:val="7"/>
        </w:rPr>
        <w:t xml:space="preserve"> </w:t>
      </w:r>
      <w:r>
        <w:t>trata</w:t>
      </w:r>
      <w:r>
        <w:rPr>
          <w:spacing w:val="8"/>
        </w:rPr>
        <w:t xml:space="preserve"> </w:t>
      </w:r>
      <w:r>
        <w:t>de</w:t>
      </w:r>
      <w:r>
        <w:rPr>
          <w:spacing w:val="7"/>
        </w:rPr>
        <w:t xml:space="preserve"> </w:t>
      </w:r>
      <w:r>
        <w:t>personas,</w:t>
      </w:r>
      <w:r>
        <w:rPr>
          <w:spacing w:val="7"/>
        </w:rPr>
        <w:t xml:space="preserve"> </w:t>
      </w:r>
      <w:r>
        <w:t>de</w:t>
      </w:r>
      <w:r>
        <w:rPr>
          <w:spacing w:val="8"/>
        </w:rPr>
        <w:t xml:space="preserve"> </w:t>
      </w:r>
      <w:r>
        <w:t>los</w:t>
      </w:r>
      <w:r>
        <w:rPr>
          <w:spacing w:val="7"/>
        </w:rPr>
        <w:t xml:space="preserve"> </w:t>
      </w:r>
      <w:r>
        <w:rPr>
          <w:spacing w:val="-2"/>
        </w:rPr>
        <w:t>cuales</w:t>
      </w:r>
    </w:p>
    <w:p w14:paraId="7A488A29" w14:textId="77777777" w:rsidR="000E52B0" w:rsidRDefault="00F60D74">
      <w:pPr>
        <w:pStyle w:val="Textoindependiente"/>
        <w:ind w:right="718"/>
        <w:jc w:val="both"/>
      </w:pPr>
      <w:r>
        <w:t>275 la víctima era de nacionalidad venezolana, 526 de víctimas colombianas,</w:t>
      </w:r>
      <w:r>
        <w:rPr>
          <w:spacing w:val="-14"/>
        </w:rPr>
        <w:t xml:space="preserve"> </w:t>
      </w:r>
      <w:r>
        <w:t>y</w:t>
      </w:r>
      <w:r>
        <w:rPr>
          <w:spacing w:val="-14"/>
        </w:rPr>
        <w:t xml:space="preserve"> </w:t>
      </w:r>
      <w:r>
        <w:t>24</w:t>
      </w:r>
      <w:r>
        <w:rPr>
          <w:spacing w:val="-13"/>
        </w:rPr>
        <w:t xml:space="preserve"> </w:t>
      </w:r>
      <w:r>
        <w:t>casos</w:t>
      </w:r>
      <w:r>
        <w:rPr>
          <w:spacing w:val="-13"/>
        </w:rPr>
        <w:t xml:space="preserve"> </w:t>
      </w:r>
      <w:r>
        <w:t>de</w:t>
      </w:r>
      <w:r>
        <w:rPr>
          <w:spacing w:val="-13"/>
        </w:rPr>
        <w:t xml:space="preserve"> </w:t>
      </w:r>
      <w:r>
        <w:t>otras</w:t>
      </w:r>
      <w:r>
        <w:rPr>
          <w:spacing w:val="-13"/>
        </w:rPr>
        <w:t xml:space="preserve"> </w:t>
      </w:r>
      <w:r>
        <w:t>nacionalidades.</w:t>
      </w:r>
      <w:r>
        <w:rPr>
          <w:spacing w:val="-14"/>
        </w:rPr>
        <w:t xml:space="preserve"> </w:t>
      </w:r>
      <w:r>
        <w:t>Del</w:t>
      </w:r>
      <w:r>
        <w:rPr>
          <w:spacing w:val="-11"/>
        </w:rPr>
        <w:t xml:space="preserve"> </w:t>
      </w:r>
      <w:r>
        <w:t>total</w:t>
      </w:r>
      <w:r>
        <w:rPr>
          <w:spacing w:val="-12"/>
        </w:rPr>
        <w:t xml:space="preserve"> </w:t>
      </w:r>
      <w:r>
        <w:t>de</w:t>
      </w:r>
      <w:r>
        <w:rPr>
          <w:spacing w:val="-13"/>
        </w:rPr>
        <w:t xml:space="preserve"> </w:t>
      </w:r>
      <w:r>
        <w:t>casos</w:t>
      </w:r>
      <w:r>
        <w:rPr>
          <w:spacing w:val="-14"/>
        </w:rPr>
        <w:t xml:space="preserve"> </w:t>
      </w:r>
      <w:r>
        <w:t>el</w:t>
      </w:r>
      <w:r>
        <w:rPr>
          <w:spacing w:val="-15"/>
        </w:rPr>
        <w:t xml:space="preserve"> </w:t>
      </w:r>
      <w:r>
        <w:t>82% de las víctimas son mujeres, el 16% son hombres, y el 65% de los casos eran con fines de explotación sexual, el 11% para trabajos forzosos y el 9% para otras formas de explotación.</w:t>
      </w:r>
    </w:p>
    <w:p w14:paraId="4BE952DC" w14:textId="77777777" w:rsidR="000E52B0" w:rsidRDefault="000E52B0">
      <w:pPr>
        <w:pStyle w:val="Textoindependiente"/>
        <w:spacing w:before="1"/>
        <w:ind w:left="0"/>
      </w:pPr>
    </w:p>
    <w:p w14:paraId="511CA773" w14:textId="77777777" w:rsidR="000E52B0" w:rsidRDefault="00F60D74">
      <w:pPr>
        <w:pStyle w:val="Textoindependiente"/>
        <w:ind w:right="715"/>
        <w:jc w:val="both"/>
      </w:pPr>
      <w:r>
        <w:t>Respecto</w:t>
      </w:r>
      <w:r>
        <w:rPr>
          <w:spacing w:val="-14"/>
        </w:rPr>
        <w:t xml:space="preserve"> </w:t>
      </w:r>
      <w:r>
        <w:t>a</w:t>
      </w:r>
      <w:r>
        <w:rPr>
          <w:spacing w:val="-14"/>
        </w:rPr>
        <w:t xml:space="preserve"> </w:t>
      </w:r>
      <w:r>
        <w:t>la</w:t>
      </w:r>
      <w:r>
        <w:rPr>
          <w:spacing w:val="-15"/>
        </w:rPr>
        <w:t xml:space="preserve"> </w:t>
      </w:r>
      <w:r>
        <w:t>población</w:t>
      </w:r>
      <w:r>
        <w:rPr>
          <w:spacing w:val="-15"/>
        </w:rPr>
        <w:t xml:space="preserve"> </w:t>
      </w:r>
      <w:r>
        <w:t>habitante</w:t>
      </w:r>
      <w:r>
        <w:rPr>
          <w:spacing w:val="-14"/>
        </w:rPr>
        <w:t xml:space="preserve"> </w:t>
      </w:r>
      <w:r>
        <w:t>de</w:t>
      </w:r>
      <w:r>
        <w:rPr>
          <w:spacing w:val="-14"/>
        </w:rPr>
        <w:t xml:space="preserve"> </w:t>
      </w:r>
      <w:r>
        <w:t>calle,</w:t>
      </w:r>
      <w:r>
        <w:rPr>
          <w:spacing w:val="-15"/>
        </w:rPr>
        <w:t xml:space="preserve"> </w:t>
      </w:r>
      <w:r>
        <w:t>considerando</w:t>
      </w:r>
      <w:r>
        <w:rPr>
          <w:spacing w:val="-7"/>
        </w:rPr>
        <w:t xml:space="preserve"> </w:t>
      </w:r>
      <w:r>
        <w:t>las</w:t>
      </w:r>
      <w:r>
        <w:rPr>
          <w:spacing w:val="-12"/>
        </w:rPr>
        <w:t xml:space="preserve"> </w:t>
      </w:r>
      <w:r>
        <w:t>condiciones</w:t>
      </w:r>
      <w:r>
        <w:rPr>
          <w:spacing w:val="-12"/>
        </w:rPr>
        <w:t xml:space="preserve"> </w:t>
      </w:r>
      <w:r>
        <w:t>de seguridad de vivir en la calle, y las prácticas de discriminación y violencia que se ejerce contra las personas en situación en calle, implica la construcción</w:t>
      </w:r>
      <w:r>
        <w:rPr>
          <w:spacing w:val="-5"/>
        </w:rPr>
        <w:t xml:space="preserve"> </w:t>
      </w:r>
      <w:r>
        <w:t>de</w:t>
      </w:r>
      <w:r>
        <w:rPr>
          <w:spacing w:val="-4"/>
        </w:rPr>
        <w:t xml:space="preserve"> </w:t>
      </w:r>
      <w:r>
        <w:t>un</w:t>
      </w:r>
      <w:r>
        <w:rPr>
          <w:spacing w:val="-3"/>
        </w:rPr>
        <w:t xml:space="preserve"> </w:t>
      </w:r>
      <w:r>
        <w:t>modelo</w:t>
      </w:r>
      <w:r>
        <w:rPr>
          <w:spacing w:val="-4"/>
        </w:rPr>
        <w:t xml:space="preserve"> </w:t>
      </w:r>
      <w:r>
        <w:t>de</w:t>
      </w:r>
      <w:r>
        <w:rPr>
          <w:spacing w:val="-4"/>
        </w:rPr>
        <w:t xml:space="preserve"> </w:t>
      </w:r>
      <w:r>
        <w:t>seguridad</w:t>
      </w:r>
      <w:r>
        <w:rPr>
          <w:spacing w:val="-5"/>
        </w:rPr>
        <w:t xml:space="preserve"> </w:t>
      </w:r>
      <w:r>
        <w:t>humana</w:t>
      </w:r>
      <w:r>
        <w:rPr>
          <w:spacing w:val="-3"/>
        </w:rPr>
        <w:t xml:space="preserve"> </w:t>
      </w:r>
      <w:r>
        <w:t>desde</w:t>
      </w:r>
      <w:r>
        <w:rPr>
          <w:spacing w:val="-4"/>
        </w:rPr>
        <w:t xml:space="preserve"> </w:t>
      </w:r>
      <w:r>
        <w:t>la</w:t>
      </w:r>
      <w:r>
        <w:rPr>
          <w:spacing w:val="-3"/>
        </w:rPr>
        <w:t xml:space="preserve"> </w:t>
      </w:r>
      <w:r>
        <w:t>respuesta</w:t>
      </w:r>
      <w:r>
        <w:rPr>
          <w:spacing w:val="-4"/>
        </w:rPr>
        <w:t xml:space="preserve"> </w:t>
      </w:r>
      <w:r>
        <w:t>como Estado. Cómo consecuencia de estas situaciones el 47% de las personas censadas, reportó que teme por su vida, con más frecuencia las mujeres (51%),</w:t>
      </w:r>
      <w:r>
        <w:rPr>
          <w:spacing w:val="-18"/>
        </w:rPr>
        <w:t xml:space="preserve"> </w:t>
      </w:r>
      <w:r>
        <w:t>y</w:t>
      </w:r>
      <w:r>
        <w:rPr>
          <w:spacing w:val="-18"/>
        </w:rPr>
        <w:t xml:space="preserve"> </w:t>
      </w:r>
      <w:r>
        <w:t>esto</w:t>
      </w:r>
      <w:r>
        <w:rPr>
          <w:spacing w:val="-17"/>
        </w:rPr>
        <w:t xml:space="preserve"> </w:t>
      </w:r>
      <w:r>
        <w:t>es</w:t>
      </w:r>
      <w:r>
        <w:rPr>
          <w:spacing w:val="-15"/>
        </w:rPr>
        <w:t xml:space="preserve"> </w:t>
      </w:r>
      <w:r>
        <w:t>un</w:t>
      </w:r>
      <w:r>
        <w:rPr>
          <w:spacing w:val="-16"/>
        </w:rPr>
        <w:t xml:space="preserve"> </w:t>
      </w:r>
      <w:r>
        <w:t>correlato</w:t>
      </w:r>
      <w:r>
        <w:rPr>
          <w:spacing w:val="-17"/>
        </w:rPr>
        <w:t xml:space="preserve"> </w:t>
      </w:r>
      <w:r>
        <w:t>de</w:t>
      </w:r>
      <w:r>
        <w:rPr>
          <w:spacing w:val="-16"/>
        </w:rPr>
        <w:t xml:space="preserve"> </w:t>
      </w:r>
      <w:r>
        <w:t>las</w:t>
      </w:r>
      <w:r>
        <w:rPr>
          <w:spacing w:val="-18"/>
        </w:rPr>
        <w:t xml:space="preserve"> </w:t>
      </w:r>
      <w:r>
        <w:t>experiencias</w:t>
      </w:r>
      <w:r>
        <w:rPr>
          <w:spacing w:val="-18"/>
        </w:rPr>
        <w:t xml:space="preserve"> </w:t>
      </w:r>
      <w:r>
        <w:t>violentas</w:t>
      </w:r>
      <w:r>
        <w:rPr>
          <w:spacing w:val="-15"/>
        </w:rPr>
        <w:t xml:space="preserve"> </w:t>
      </w:r>
      <w:r>
        <w:t>que</w:t>
      </w:r>
      <w:r>
        <w:rPr>
          <w:spacing w:val="-16"/>
        </w:rPr>
        <w:t xml:space="preserve"> </w:t>
      </w:r>
      <w:r>
        <w:t>suman</w:t>
      </w:r>
      <w:r>
        <w:rPr>
          <w:spacing w:val="-16"/>
        </w:rPr>
        <w:t xml:space="preserve"> </w:t>
      </w:r>
      <w:r>
        <w:t xml:space="preserve">cada </w:t>
      </w:r>
      <w:r>
        <w:rPr>
          <w:spacing w:val="-4"/>
        </w:rPr>
        <w:t>día.</w:t>
      </w:r>
    </w:p>
    <w:p w14:paraId="5350C556" w14:textId="77777777" w:rsidR="000E52B0" w:rsidRDefault="00F60D74">
      <w:pPr>
        <w:pStyle w:val="Textoindependiente"/>
        <w:spacing w:before="161"/>
        <w:ind w:right="717"/>
        <w:jc w:val="both"/>
      </w:pPr>
      <w:r>
        <w:t>El 39% de las personas en situación de calle reporta que su seguridad en la</w:t>
      </w:r>
      <w:r>
        <w:rPr>
          <w:spacing w:val="-2"/>
        </w:rPr>
        <w:t xml:space="preserve"> </w:t>
      </w:r>
      <w:r>
        <w:t>calle</w:t>
      </w:r>
      <w:r>
        <w:rPr>
          <w:spacing w:val="-1"/>
        </w:rPr>
        <w:t xml:space="preserve"> </w:t>
      </w:r>
      <w:r>
        <w:t>se</w:t>
      </w:r>
      <w:r>
        <w:rPr>
          <w:spacing w:val="-1"/>
        </w:rPr>
        <w:t xml:space="preserve"> </w:t>
      </w:r>
      <w:r>
        <w:t>ha</w:t>
      </w:r>
      <w:r>
        <w:rPr>
          <w:spacing w:val="-2"/>
        </w:rPr>
        <w:t xml:space="preserve"> </w:t>
      </w:r>
      <w:r>
        <w:t>visto</w:t>
      </w:r>
      <w:r>
        <w:rPr>
          <w:spacing w:val="-1"/>
        </w:rPr>
        <w:t xml:space="preserve"> </w:t>
      </w:r>
      <w:r>
        <w:t>afectada</w:t>
      </w:r>
      <w:r>
        <w:rPr>
          <w:spacing w:val="-2"/>
        </w:rPr>
        <w:t xml:space="preserve"> </w:t>
      </w:r>
      <w:r>
        <w:t>por</w:t>
      </w:r>
      <w:r>
        <w:rPr>
          <w:spacing w:val="-1"/>
        </w:rPr>
        <w:t xml:space="preserve"> </w:t>
      </w:r>
      <w:r>
        <w:t>el</w:t>
      </w:r>
      <w:r>
        <w:rPr>
          <w:spacing w:val="-3"/>
        </w:rPr>
        <w:t xml:space="preserve"> </w:t>
      </w:r>
      <w:r>
        <w:t>abuso</w:t>
      </w:r>
      <w:r>
        <w:rPr>
          <w:spacing w:val="-1"/>
        </w:rPr>
        <w:t xml:space="preserve"> </w:t>
      </w:r>
      <w:r>
        <w:t>policial,</w:t>
      </w:r>
      <w:r>
        <w:rPr>
          <w:spacing w:val="-3"/>
        </w:rPr>
        <w:t xml:space="preserve"> </w:t>
      </w:r>
      <w:r>
        <w:t>con</w:t>
      </w:r>
      <w:r>
        <w:rPr>
          <w:spacing w:val="-2"/>
        </w:rPr>
        <w:t xml:space="preserve"> </w:t>
      </w:r>
      <w:r>
        <w:t>más frecuencia</w:t>
      </w:r>
      <w:r>
        <w:rPr>
          <w:spacing w:val="-2"/>
        </w:rPr>
        <w:t xml:space="preserve"> </w:t>
      </w:r>
      <w:r>
        <w:t>en</w:t>
      </w:r>
      <w:r>
        <w:rPr>
          <w:spacing w:val="-2"/>
        </w:rPr>
        <w:t xml:space="preserve"> </w:t>
      </w:r>
      <w:r>
        <w:t xml:space="preserve">el caso de los hombres (40%), el 19% de las personas por causa de la persecución por integrantes de una </w:t>
      </w:r>
      <w:r>
        <w:rPr>
          <w:i/>
        </w:rPr>
        <w:t xml:space="preserve">olla, </w:t>
      </w:r>
      <w:hyperlink w:anchor="_bookmark96" w:history="1">
        <w:r w:rsidR="000E52B0">
          <w:rPr>
            <w:b/>
            <w:position w:val="8"/>
            <w:sz w:val="16"/>
          </w:rPr>
          <w:t>83</w:t>
        </w:r>
      </w:hyperlink>
      <w:r>
        <w:rPr>
          <w:b/>
          <w:spacing w:val="40"/>
          <w:position w:val="8"/>
          <w:sz w:val="16"/>
        </w:rPr>
        <w:t xml:space="preserve"> </w:t>
      </w:r>
      <w:r>
        <w:t>el 11% por problemas con la comunidad,</w:t>
      </w:r>
      <w:r>
        <w:rPr>
          <w:spacing w:val="-11"/>
        </w:rPr>
        <w:t xml:space="preserve"> </w:t>
      </w:r>
      <w:r>
        <w:t>el</w:t>
      </w:r>
      <w:r>
        <w:rPr>
          <w:spacing w:val="-11"/>
        </w:rPr>
        <w:t xml:space="preserve"> </w:t>
      </w:r>
      <w:r>
        <w:t>10%</w:t>
      </w:r>
      <w:r>
        <w:rPr>
          <w:spacing w:val="-9"/>
        </w:rPr>
        <w:t xml:space="preserve"> </w:t>
      </w:r>
      <w:r>
        <w:t>por</w:t>
      </w:r>
      <w:r>
        <w:rPr>
          <w:spacing w:val="-8"/>
        </w:rPr>
        <w:t xml:space="preserve"> </w:t>
      </w:r>
      <w:r>
        <w:t>ser</w:t>
      </w:r>
      <w:r>
        <w:rPr>
          <w:spacing w:val="-9"/>
        </w:rPr>
        <w:t xml:space="preserve"> </w:t>
      </w:r>
      <w:r>
        <w:t>forzado</w:t>
      </w:r>
      <w:r>
        <w:rPr>
          <w:spacing w:val="-10"/>
        </w:rPr>
        <w:t xml:space="preserve"> </w:t>
      </w:r>
      <w:r>
        <w:t>a</w:t>
      </w:r>
      <w:r>
        <w:rPr>
          <w:spacing w:val="-10"/>
        </w:rPr>
        <w:t xml:space="preserve"> </w:t>
      </w:r>
      <w:r>
        <w:t>cumplir</w:t>
      </w:r>
      <w:r>
        <w:rPr>
          <w:spacing w:val="-7"/>
        </w:rPr>
        <w:t xml:space="preserve"> </w:t>
      </w:r>
      <w:r>
        <w:t>tareas</w:t>
      </w:r>
      <w:r>
        <w:rPr>
          <w:spacing w:val="-10"/>
        </w:rPr>
        <w:t xml:space="preserve"> </w:t>
      </w:r>
      <w:r>
        <w:t>contra</w:t>
      </w:r>
      <w:r>
        <w:rPr>
          <w:spacing w:val="-7"/>
        </w:rPr>
        <w:t xml:space="preserve"> </w:t>
      </w:r>
      <w:r>
        <w:t>su</w:t>
      </w:r>
      <w:r>
        <w:rPr>
          <w:spacing w:val="-11"/>
        </w:rPr>
        <w:t xml:space="preserve"> </w:t>
      </w:r>
      <w:r>
        <w:t>voluntad,</w:t>
      </w:r>
      <w:r>
        <w:rPr>
          <w:spacing w:val="-10"/>
        </w:rPr>
        <w:t xml:space="preserve"> </w:t>
      </w:r>
      <w:r>
        <w:rPr>
          <w:spacing w:val="-5"/>
        </w:rPr>
        <w:t>en</w:t>
      </w:r>
    </w:p>
    <w:p w14:paraId="5CAF56EC" w14:textId="77777777" w:rsidR="000E52B0" w:rsidRDefault="00F60D74">
      <w:pPr>
        <w:pStyle w:val="Textoindependiente"/>
        <w:spacing w:before="37"/>
        <w:ind w:left="0"/>
        <w:rPr>
          <w:sz w:val="20"/>
        </w:rPr>
      </w:pPr>
      <w:r>
        <w:rPr>
          <w:noProof/>
          <w:sz w:val="20"/>
        </w:rPr>
        <mc:AlternateContent>
          <mc:Choice Requires="wps">
            <w:drawing>
              <wp:anchor distT="0" distB="0" distL="0" distR="0" simplePos="0" relativeHeight="487665152" behindDoc="1" locked="0" layoutInCell="1" allowOverlap="1" wp14:anchorId="42F30CFC" wp14:editId="0145F6EB">
                <wp:simplePos x="0" y="0"/>
                <wp:positionH relativeFrom="page">
                  <wp:posOffset>914704</wp:posOffset>
                </wp:positionH>
                <wp:positionV relativeFrom="paragraph">
                  <wp:posOffset>193625</wp:posOffset>
                </wp:positionV>
                <wp:extent cx="1829435" cy="7620"/>
                <wp:effectExtent l="0" t="0" r="0" b="0"/>
                <wp:wrapTopAndBottom/>
                <wp:docPr id="696" name="Graphic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8347B8" id="Graphic 696" o:spid="_x0000_s1026" style="position:absolute;margin-left:1in;margin-top:15.25pt;width:144.05pt;height:.6pt;z-index:-156513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" path="m1829054,l,,,7619r1829054,l1829054,xe" fillcolor="black" stroked="f">
                <v:path arrowok="t"/>
                <w10:wrap type="topAndBottom" anchorx="page"/>
              </v:shape>
            </w:pict>
          </mc:Fallback>
        </mc:AlternateContent>
      </w:r>
    </w:p>
    <w:p w14:paraId="4DA67E0A" w14:textId="77777777" w:rsidR="000E52B0" w:rsidRDefault="00F60D74">
      <w:pPr>
        <w:spacing w:before="100"/>
        <w:ind w:left="720"/>
        <w:rPr>
          <w:rFonts w:ascii="Arial MT"/>
          <w:sz w:val="20"/>
        </w:rPr>
      </w:pPr>
      <w:bookmarkStart w:id="96" w:name="_bookmark96"/>
      <w:bookmarkEnd w:id="96"/>
      <w:r>
        <w:rPr>
          <w:rFonts w:ascii="Arial MT"/>
          <w:position w:val="6"/>
          <w:sz w:val="13"/>
        </w:rPr>
        <w:t>83</w:t>
      </w:r>
      <w:r>
        <w:rPr>
          <w:rFonts w:ascii="Arial MT"/>
          <w:spacing w:val="13"/>
          <w:position w:val="6"/>
          <w:sz w:val="13"/>
        </w:rPr>
        <w:t xml:space="preserve"> </w:t>
      </w:r>
      <w:proofErr w:type="gramStart"/>
      <w:r>
        <w:rPr>
          <w:rFonts w:ascii="Arial MT"/>
          <w:sz w:val="20"/>
        </w:rPr>
        <w:t>Expendio</w:t>
      </w:r>
      <w:proofErr w:type="gramEnd"/>
      <w:r>
        <w:rPr>
          <w:rFonts w:ascii="Arial MT"/>
          <w:spacing w:val="-5"/>
          <w:sz w:val="20"/>
        </w:rPr>
        <w:t xml:space="preserve"> </w:t>
      </w:r>
      <w:r>
        <w:rPr>
          <w:rFonts w:ascii="Arial MT"/>
          <w:sz w:val="20"/>
        </w:rPr>
        <w:t>de</w:t>
      </w:r>
      <w:r>
        <w:rPr>
          <w:rFonts w:ascii="Arial MT"/>
          <w:spacing w:val="-6"/>
          <w:sz w:val="20"/>
        </w:rPr>
        <w:t xml:space="preserve"> </w:t>
      </w:r>
      <w:r>
        <w:rPr>
          <w:rFonts w:ascii="Arial MT"/>
          <w:spacing w:val="-4"/>
          <w:sz w:val="20"/>
        </w:rPr>
        <w:t>SPA.</w:t>
      </w:r>
    </w:p>
    <w:p w14:paraId="073E2B77" w14:textId="77777777" w:rsidR="000E52B0" w:rsidRDefault="000E52B0">
      <w:pPr>
        <w:rPr>
          <w:rFonts w:ascii="Arial MT"/>
          <w:sz w:val="20"/>
        </w:rPr>
        <w:sectPr w:rsidR="000E52B0">
          <w:pgSz w:w="11910" w:h="16840"/>
          <w:pgMar w:top="1340" w:right="720" w:bottom="1180" w:left="720" w:header="0" w:footer="995" w:gutter="0"/>
          <w:cols w:space="720"/>
        </w:sectPr>
      </w:pPr>
    </w:p>
    <w:p w14:paraId="771621EF" w14:textId="50505E64" w:rsidR="000E52B0" w:rsidRDefault="00F60D74">
      <w:pPr>
        <w:pStyle w:val="Textoindependiente"/>
        <w:spacing w:before="83"/>
        <w:ind w:right="717"/>
        <w:jc w:val="both"/>
      </w:pPr>
      <w:r>
        <w:lastRenderedPageBreak/>
        <w:t>el</w:t>
      </w:r>
      <w:r>
        <w:rPr>
          <w:spacing w:val="-14"/>
        </w:rPr>
        <w:t xml:space="preserve"> </w:t>
      </w:r>
      <w:r>
        <w:t>caso</w:t>
      </w:r>
      <w:r>
        <w:rPr>
          <w:spacing w:val="-12"/>
        </w:rPr>
        <w:t xml:space="preserve"> </w:t>
      </w:r>
      <w:r>
        <w:t>de</w:t>
      </w:r>
      <w:r>
        <w:rPr>
          <w:spacing w:val="-12"/>
        </w:rPr>
        <w:t xml:space="preserve"> </w:t>
      </w:r>
      <w:r>
        <w:t>las</w:t>
      </w:r>
      <w:r>
        <w:rPr>
          <w:spacing w:val="-13"/>
        </w:rPr>
        <w:t xml:space="preserve"> </w:t>
      </w:r>
      <w:r w:rsidR="00A964A8">
        <w:t>mujeres</w:t>
      </w:r>
      <w:r>
        <w:rPr>
          <w:spacing w:val="-14"/>
        </w:rPr>
        <w:t xml:space="preserve"> </w:t>
      </w:r>
      <w:r>
        <w:t>es</w:t>
      </w:r>
      <w:r>
        <w:rPr>
          <w:spacing w:val="-13"/>
        </w:rPr>
        <w:t xml:space="preserve"> </w:t>
      </w:r>
      <w:r>
        <w:t>el</w:t>
      </w:r>
      <w:r>
        <w:rPr>
          <w:spacing w:val="-14"/>
        </w:rPr>
        <w:t xml:space="preserve"> </w:t>
      </w:r>
      <w:r>
        <w:t>14%.</w:t>
      </w:r>
      <w:r>
        <w:rPr>
          <w:spacing w:val="-13"/>
        </w:rPr>
        <w:t xml:space="preserve"> </w:t>
      </w:r>
      <w:r>
        <w:t>Otro</w:t>
      </w:r>
      <w:r>
        <w:rPr>
          <w:spacing w:val="-14"/>
        </w:rPr>
        <w:t xml:space="preserve"> </w:t>
      </w:r>
      <w:r>
        <w:t>10%</w:t>
      </w:r>
      <w:r>
        <w:rPr>
          <w:spacing w:val="-12"/>
        </w:rPr>
        <w:t xml:space="preserve"> </w:t>
      </w:r>
      <w:r>
        <w:t>reportó</w:t>
      </w:r>
      <w:r>
        <w:rPr>
          <w:spacing w:val="-12"/>
        </w:rPr>
        <w:t xml:space="preserve"> </w:t>
      </w:r>
      <w:r>
        <w:t>problemas</w:t>
      </w:r>
      <w:r>
        <w:rPr>
          <w:spacing w:val="-13"/>
        </w:rPr>
        <w:t xml:space="preserve"> </w:t>
      </w:r>
      <w:r>
        <w:t>con</w:t>
      </w:r>
      <w:r>
        <w:rPr>
          <w:spacing w:val="-13"/>
        </w:rPr>
        <w:t xml:space="preserve"> </w:t>
      </w:r>
      <w:r>
        <w:t>grupos juveniles y el 4% reportó otra situación no mencionada en el Censo de Habitantes de Calle.</w:t>
      </w:r>
    </w:p>
    <w:p w14:paraId="2720C663" w14:textId="77777777" w:rsidR="000E52B0" w:rsidRDefault="00F60D74">
      <w:pPr>
        <w:spacing w:before="157"/>
        <w:ind w:right="1"/>
        <w:jc w:val="center"/>
        <w:rPr>
          <w:i/>
          <w:sz w:val="18"/>
        </w:rPr>
      </w:pPr>
      <w:r>
        <w:rPr>
          <w:i/>
          <w:color w:val="454551"/>
          <w:sz w:val="18"/>
        </w:rPr>
        <w:t>Ilustración 55.</w:t>
      </w:r>
      <w:r>
        <w:rPr>
          <w:i/>
          <w:color w:val="454551"/>
          <w:spacing w:val="-4"/>
          <w:sz w:val="18"/>
        </w:rPr>
        <w:t xml:space="preserve"> </w:t>
      </w:r>
      <w:r>
        <w:rPr>
          <w:i/>
          <w:color w:val="454551"/>
          <w:sz w:val="18"/>
        </w:rPr>
        <w:t>Su</w:t>
      </w:r>
      <w:r>
        <w:rPr>
          <w:i/>
          <w:color w:val="454551"/>
          <w:spacing w:val="-2"/>
          <w:sz w:val="18"/>
        </w:rPr>
        <w:t xml:space="preserve"> </w:t>
      </w:r>
      <w:r>
        <w:rPr>
          <w:i/>
          <w:color w:val="454551"/>
          <w:sz w:val="18"/>
        </w:rPr>
        <w:t>seguridad</w:t>
      </w:r>
      <w:r>
        <w:rPr>
          <w:i/>
          <w:color w:val="454551"/>
          <w:spacing w:val="-2"/>
          <w:sz w:val="18"/>
        </w:rPr>
        <w:t xml:space="preserve"> </w:t>
      </w:r>
      <w:r>
        <w:rPr>
          <w:i/>
          <w:color w:val="454551"/>
          <w:sz w:val="18"/>
        </w:rPr>
        <w:t>en</w:t>
      </w:r>
      <w:r>
        <w:rPr>
          <w:i/>
          <w:color w:val="454551"/>
          <w:spacing w:val="-2"/>
          <w:sz w:val="18"/>
        </w:rPr>
        <w:t xml:space="preserve"> </w:t>
      </w:r>
      <w:r>
        <w:rPr>
          <w:i/>
          <w:color w:val="454551"/>
          <w:sz w:val="18"/>
        </w:rPr>
        <w:t>la</w:t>
      </w:r>
      <w:r>
        <w:rPr>
          <w:i/>
          <w:color w:val="454551"/>
          <w:spacing w:val="-3"/>
          <w:sz w:val="18"/>
        </w:rPr>
        <w:t xml:space="preserve"> </w:t>
      </w:r>
      <w:r>
        <w:rPr>
          <w:i/>
          <w:color w:val="454551"/>
          <w:sz w:val="18"/>
        </w:rPr>
        <w:t>calle</w:t>
      </w:r>
      <w:r>
        <w:rPr>
          <w:i/>
          <w:color w:val="454551"/>
          <w:spacing w:val="-3"/>
          <w:sz w:val="18"/>
        </w:rPr>
        <w:t xml:space="preserve"> </w:t>
      </w:r>
      <w:r>
        <w:rPr>
          <w:i/>
          <w:color w:val="454551"/>
          <w:sz w:val="18"/>
        </w:rPr>
        <w:t>se</w:t>
      </w:r>
      <w:r>
        <w:rPr>
          <w:i/>
          <w:color w:val="454551"/>
          <w:spacing w:val="-1"/>
          <w:sz w:val="18"/>
        </w:rPr>
        <w:t xml:space="preserve"> </w:t>
      </w:r>
      <w:r>
        <w:rPr>
          <w:i/>
          <w:color w:val="454551"/>
          <w:sz w:val="18"/>
        </w:rPr>
        <w:t>ha</w:t>
      </w:r>
      <w:r>
        <w:rPr>
          <w:i/>
          <w:color w:val="454551"/>
          <w:spacing w:val="-3"/>
          <w:sz w:val="18"/>
        </w:rPr>
        <w:t xml:space="preserve"> </w:t>
      </w:r>
      <w:r>
        <w:rPr>
          <w:i/>
          <w:color w:val="454551"/>
          <w:sz w:val="18"/>
        </w:rPr>
        <w:t>visto</w:t>
      </w:r>
      <w:r>
        <w:rPr>
          <w:i/>
          <w:color w:val="454551"/>
          <w:spacing w:val="-2"/>
          <w:sz w:val="18"/>
        </w:rPr>
        <w:t xml:space="preserve"> </w:t>
      </w:r>
      <w:r>
        <w:rPr>
          <w:i/>
          <w:color w:val="454551"/>
          <w:sz w:val="18"/>
        </w:rPr>
        <w:t>afectada</w:t>
      </w:r>
      <w:r>
        <w:rPr>
          <w:i/>
          <w:color w:val="454551"/>
          <w:spacing w:val="-2"/>
          <w:sz w:val="18"/>
        </w:rPr>
        <w:t xml:space="preserve"> </w:t>
      </w:r>
      <w:r>
        <w:rPr>
          <w:i/>
          <w:color w:val="454551"/>
          <w:spacing w:val="-4"/>
          <w:sz w:val="18"/>
        </w:rPr>
        <w:t>por:</w:t>
      </w:r>
    </w:p>
    <w:p w14:paraId="2F67817B" w14:textId="77777777" w:rsidR="000E52B0" w:rsidRDefault="00F60D74">
      <w:pPr>
        <w:pStyle w:val="Textoindependiente"/>
        <w:spacing w:before="96"/>
        <w:ind w:left="0"/>
        <w:rPr>
          <w:i/>
          <w:sz w:val="20"/>
        </w:rPr>
      </w:pPr>
      <w:r>
        <w:rPr>
          <w:i/>
          <w:noProof/>
          <w:sz w:val="20"/>
        </w:rPr>
        <mc:AlternateContent>
          <mc:Choice Requires="wpg">
            <w:drawing>
              <wp:anchor distT="0" distB="0" distL="0" distR="0" simplePos="0" relativeHeight="487665664" behindDoc="1" locked="0" layoutInCell="1" allowOverlap="1" wp14:anchorId="741E40E7" wp14:editId="47ACCC37">
                <wp:simplePos x="0" y="0"/>
                <wp:positionH relativeFrom="page">
                  <wp:posOffset>1067752</wp:posOffset>
                </wp:positionH>
                <wp:positionV relativeFrom="paragraph">
                  <wp:posOffset>231132</wp:posOffset>
                </wp:positionV>
                <wp:extent cx="5424805" cy="1468755"/>
                <wp:effectExtent l="0" t="0" r="0" b="0"/>
                <wp:wrapTopAndBottom/>
                <wp:docPr id="697"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4805" cy="1468755"/>
                          <a:chOff x="0" y="0"/>
                          <a:chExt cx="5424805" cy="1468755"/>
                        </a:xfrm>
                      </wpg:grpSpPr>
                      <wps:wsp>
                        <wps:cNvPr id="698" name="Graphic 698"/>
                        <wps:cNvSpPr/>
                        <wps:spPr>
                          <a:xfrm>
                            <a:off x="4762" y="36584"/>
                            <a:ext cx="5415280" cy="1426845"/>
                          </a:xfrm>
                          <a:custGeom>
                            <a:avLst/>
                            <a:gdLst/>
                            <a:ahLst/>
                            <a:cxnLst/>
                            <a:rect l="l" t="t" r="r" b="b"/>
                            <a:pathLst>
                              <a:path w="5415280" h="1426845">
                                <a:moveTo>
                                  <a:pt x="0" y="0"/>
                                </a:moveTo>
                                <a:lnTo>
                                  <a:pt x="0" y="1426845"/>
                                </a:lnTo>
                              </a:path>
                              <a:path w="5415280" h="1426845">
                                <a:moveTo>
                                  <a:pt x="902589" y="0"/>
                                </a:moveTo>
                                <a:lnTo>
                                  <a:pt x="902589" y="1426845"/>
                                </a:lnTo>
                              </a:path>
                              <a:path w="5415280" h="1426845">
                                <a:moveTo>
                                  <a:pt x="1804797" y="0"/>
                                </a:moveTo>
                                <a:lnTo>
                                  <a:pt x="1804797" y="1426845"/>
                                </a:lnTo>
                              </a:path>
                              <a:path w="5415280" h="1426845">
                                <a:moveTo>
                                  <a:pt x="2707005" y="0"/>
                                </a:moveTo>
                                <a:lnTo>
                                  <a:pt x="2707005" y="1426845"/>
                                </a:lnTo>
                              </a:path>
                              <a:path w="5415280" h="1426845">
                                <a:moveTo>
                                  <a:pt x="3610737" y="0"/>
                                </a:moveTo>
                                <a:lnTo>
                                  <a:pt x="3610737" y="1426845"/>
                                </a:lnTo>
                              </a:path>
                              <a:path w="5415280" h="1426845">
                                <a:moveTo>
                                  <a:pt x="4512945" y="0"/>
                                </a:moveTo>
                                <a:lnTo>
                                  <a:pt x="4512945" y="1426845"/>
                                </a:lnTo>
                              </a:path>
                              <a:path w="5415280" h="1426845">
                                <a:moveTo>
                                  <a:pt x="5415280" y="0"/>
                                </a:moveTo>
                                <a:lnTo>
                                  <a:pt x="5415280" y="1426845"/>
                                </a:lnTo>
                              </a:path>
                            </a:pathLst>
                          </a:custGeom>
                          <a:ln w="9525">
                            <a:solidFill>
                              <a:srgbClr val="D9D9D9"/>
                            </a:solidFill>
                            <a:prstDash val="solid"/>
                          </a:ln>
                        </wps:spPr>
                        <wps:bodyPr wrap="square" lIns="0" tIns="0" rIns="0" bIns="0" rtlCol="0">
                          <a:prstTxWarp prst="textNoShape">
                            <a:avLst/>
                          </a:prstTxWarp>
                          <a:noAutofit/>
                        </wps:bodyPr>
                      </wps:wsp>
                      <wps:wsp>
                        <wps:cNvPr id="699" name="Graphic 699"/>
                        <wps:cNvSpPr/>
                        <wps:spPr>
                          <a:xfrm>
                            <a:off x="70675" y="197493"/>
                            <a:ext cx="4730750" cy="1266190"/>
                          </a:xfrm>
                          <a:custGeom>
                            <a:avLst/>
                            <a:gdLst/>
                            <a:ahLst/>
                            <a:cxnLst/>
                            <a:rect l="l" t="t" r="r" b="b"/>
                            <a:pathLst>
                              <a:path w="4730750" h="1266190">
                                <a:moveTo>
                                  <a:pt x="217932" y="0"/>
                                </a:moveTo>
                                <a:lnTo>
                                  <a:pt x="0" y="0"/>
                                </a:lnTo>
                                <a:lnTo>
                                  <a:pt x="0" y="1265936"/>
                                </a:lnTo>
                                <a:lnTo>
                                  <a:pt x="217932" y="1265936"/>
                                </a:lnTo>
                                <a:lnTo>
                                  <a:pt x="217932" y="0"/>
                                </a:lnTo>
                                <a:close/>
                              </a:path>
                              <a:path w="4730750" h="1266190">
                                <a:moveTo>
                                  <a:pt x="1120140" y="656844"/>
                                </a:moveTo>
                                <a:lnTo>
                                  <a:pt x="902208" y="656844"/>
                                </a:lnTo>
                                <a:lnTo>
                                  <a:pt x="902208" y="1265936"/>
                                </a:lnTo>
                                <a:lnTo>
                                  <a:pt x="1120140" y="1265936"/>
                                </a:lnTo>
                                <a:lnTo>
                                  <a:pt x="1120140" y="656844"/>
                                </a:lnTo>
                                <a:close/>
                              </a:path>
                              <a:path w="4730750" h="1266190">
                                <a:moveTo>
                                  <a:pt x="2022348" y="926592"/>
                                </a:moveTo>
                                <a:lnTo>
                                  <a:pt x="1804416" y="926592"/>
                                </a:lnTo>
                                <a:lnTo>
                                  <a:pt x="1804416" y="1265936"/>
                                </a:lnTo>
                                <a:lnTo>
                                  <a:pt x="2022348" y="1265936"/>
                                </a:lnTo>
                                <a:lnTo>
                                  <a:pt x="2022348" y="926592"/>
                                </a:lnTo>
                                <a:close/>
                              </a:path>
                              <a:path w="4730750" h="1266190">
                                <a:moveTo>
                                  <a:pt x="2924556" y="982980"/>
                                </a:moveTo>
                                <a:lnTo>
                                  <a:pt x="2706624" y="982980"/>
                                </a:lnTo>
                                <a:lnTo>
                                  <a:pt x="2706624" y="1265936"/>
                                </a:lnTo>
                                <a:lnTo>
                                  <a:pt x="2924556" y="1265936"/>
                                </a:lnTo>
                                <a:lnTo>
                                  <a:pt x="2924556" y="982980"/>
                                </a:lnTo>
                                <a:close/>
                              </a:path>
                              <a:path w="4730750" h="1266190">
                                <a:moveTo>
                                  <a:pt x="3828288" y="957072"/>
                                </a:moveTo>
                                <a:lnTo>
                                  <a:pt x="3610356" y="957072"/>
                                </a:lnTo>
                                <a:lnTo>
                                  <a:pt x="3610356" y="1265936"/>
                                </a:lnTo>
                                <a:lnTo>
                                  <a:pt x="3828288" y="1265936"/>
                                </a:lnTo>
                                <a:lnTo>
                                  <a:pt x="3828288" y="957072"/>
                                </a:lnTo>
                                <a:close/>
                              </a:path>
                              <a:path w="4730750" h="1266190">
                                <a:moveTo>
                                  <a:pt x="4730496" y="1149096"/>
                                </a:moveTo>
                                <a:lnTo>
                                  <a:pt x="4512564" y="1149096"/>
                                </a:lnTo>
                                <a:lnTo>
                                  <a:pt x="4512564" y="1265936"/>
                                </a:lnTo>
                                <a:lnTo>
                                  <a:pt x="4730496" y="1265936"/>
                                </a:lnTo>
                                <a:lnTo>
                                  <a:pt x="4730496" y="1149096"/>
                                </a:lnTo>
                                <a:close/>
                              </a:path>
                            </a:pathLst>
                          </a:custGeom>
                          <a:solidFill>
                            <a:srgbClr val="E22C91"/>
                          </a:solidFill>
                        </wps:spPr>
                        <wps:bodyPr wrap="square" lIns="0" tIns="0" rIns="0" bIns="0" rtlCol="0">
                          <a:prstTxWarp prst="textNoShape">
                            <a:avLst/>
                          </a:prstTxWarp>
                          <a:noAutofit/>
                        </wps:bodyPr>
                      </wps:wsp>
                      <wps:wsp>
                        <wps:cNvPr id="700" name="Graphic 700"/>
                        <wps:cNvSpPr/>
                        <wps:spPr>
                          <a:xfrm>
                            <a:off x="346519" y="339225"/>
                            <a:ext cx="4730750" cy="1124585"/>
                          </a:xfrm>
                          <a:custGeom>
                            <a:avLst/>
                            <a:gdLst/>
                            <a:ahLst/>
                            <a:cxnLst/>
                            <a:rect l="l" t="t" r="r" b="b"/>
                            <a:pathLst>
                              <a:path w="4730750" h="1124585">
                                <a:moveTo>
                                  <a:pt x="217932" y="0"/>
                                </a:moveTo>
                                <a:lnTo>
                                  <a:pt x="0" y="0"/>
                                </a:lnTo>
                                <a:lnTo>
                                  <a:pt x="0" y="1124204"/>
                                </a:lnTo>
                                <a:lnTo>
                                  <a:pt x="217932" y="1124204"/>
                                </a:lnTo>
                                <a:lnTo>
                                  <a:pt x="217932" y="0"/>
                                </a:lnTo>
                                <a:close/>
                              </a:path>
                              <a:path w="4730750" h="1124585">
                                <a:moveTo>
                                  <a:pt x="1121664" y="493776"/>
                                </a:moveTo>
                                <a:lnTo>
                                  <a:pt x="903732" y="493776"/>
                                </a:lnTo>
                                <a:lnTo>
                                  <a:pt x="903732" y="1124204"/>
                                </a:lnTo>
                                <a:lnTo>
                                  <a:pt x="1121664" y="1124204"/>
                                </a:lnTo>
                                <a:lnTo>
                                  <a:pt x="1121664" y="493776"/>
                                </a:lnTo>
                                <a:close/>
                              </a:path>
                              <a:path w="4730750" h="1124585">
                                <a:moveTo>
                                  <a:pt x="2023872" y="720852"/>
                                </a:moveTo>
                                <a:lnTo>
                                  <a:pt x="1805940" y="720852"/>
                                </a:lnTo>
                                <a:lnTo>
                                  <a:pt x="1805940" y="1124204"/>
                                </a:lnTo>
                                <a:lnTo>
                                  <a:pt x="2023872" y="1124204"/>
                                </a:lnTo>
                                <a:lnTo>
                                  <a:pt x="2023872" y="720852"/>
                                </a:lnTo>
                                <a:close/>
                              </a:path>
                              <a:path w="4730750" h="1124585">
                                <a:moveTo>
                                  <a:pt x="2926080" y="675132"/>
                                </a:moveTo>
                                <a:lnTo>
                                  <a:pt x="2708148" y="675132"/>
                                </a:lnTo>
                                <a:lnTo>
                                  <a:pt x="2708148" y="1124204"/>
                                </a:lnTo>
                                <a:lnTo>
                                  <a:pt x="2926080" y="1124204"/>
                                </a:lnTo>
                                <a:lnTo>
                                  <a:pt x="2926080" y="675132"/>
                                </a:lnTo>
                                <a:close/>
                              </a:path>
                              <a:path w="4730750" h="1124585">
                                <a:moveTo>
                                  <a:pt x="3828288" y="880872"/>
                                </a:moveTo>
                                <a:lnTo>
                                  <a:pt x="3610356" y="880872"/>
                                </a:lnTo>
                                <a:lnTo>
                                  <a:pt x="3610356" y="1124204"/>
                                </a:lnTo>
                                <a:lnTo>
                                  <a:pt x="3828288" y="1124204"/>
                                </a:lnTo>
                                <a:lnTo>
                                  <a:pt x="3828288" y="880872"/>
                                </a:lnTo>
                                <a:close/>
                              </a:path>
                              <a:path w="4730750" h="1124585">
                                <a:moveTo>
                                  <a:pt x="4730496" y="1027176"/>
                                </a:moveTo>
                                <a:lnTo>
                                  <a:pt x="4512564" y="1027176"/>
                                </a:lnTo>
                                <a:lnTo>
                                  <a:pt x="4512564" y="1124204"/>
                                </a:lnTo>
                                <a:lnTo>
                                  <a:pt x="4730496" y="1124204"/>
                                </a:lnTo>
                                <a:lnTo>
                                  <a:pt x="4730496" y="1027176"/>
                                </a:lnTo>
                                <a:close/>
                              </a:path>
                            </a:pathLst>
                          </a:custGeom>
                          <a:solidFill>
                            <a:srgbClr val="741A36"/>
                          </a:solidFill>
                        </wps:spPr>
                        <wps:bodyPr wrap="square" lIns="0" tIns="0" rIns="0" bIns="0" rtlCol="0">
                          <a:prstTxWarp prst="textNoShape">
                            <a:avLst/>
                          </a:prstTxWarp>
                          <a:noAutofit/>
                        </wps:bodyPr>
                      </wps:wsp>
                      <wps:wsp>
                        <wps:cNvPr id="701" name="Graphic 701"/>
                        <wps:cNvSpPr/>
                        <wps:spPr>
                          <a:xfrm>
                            <a:off x="623887" y="214257"/>
                            <a:ext cx="4730750" cy="1249680"/>
                          </a:xfrm>
                          <a:custGeom>
                            <a:avLst/>
                            <a:gdLst/>
                            <a:ahLst/>
                            <a:cxnLst/>
                            <a:rect l="l" t="t" r="r" b="b"/>
                            <a:pathLst>
                              <a:path w="4730750" h="1249680">
                                <a:moveTo>
                                  <a:pt x="217932" y="0"/>
                                </a:moveTo>
                                <a:lnTo>
                                  <a:pt x="0" y="0"/>
                                </a:lnTo>
                                <a:lnTo>
                                  <a:pt x="0" y="1249172"/>
                                </a:lnTo>
                                <a:lnTo>
                                  <a:pt x="217932" y="1249172"/>
                                </a:lnTo>
                                <a:lnTo>
                                  <a:pt x="217932" y="0"/>
                                </a:lnTo>
                                <a:close/>
                              </a:path>
                              <a:path w="4730750" h="1249680">
                                <a:moveTo>
                                  <a:pt x="1120140" y="637032"/>
                                </a:moveTo>
                                <a:lnTo>
                                  <a:pt x="902208" y="637032"/>
                                </a:lnTo>
                                <a:lnTo>
                                  <a:pt x="902208" y="1249172"/>
                                </a:lnTo>
                                <a:lnTo>
                                  <a:pt x="1120140" y="1249172"/>
                                </a:lnTo>
                                <a:lnTo>
                                  <a:pt x="1120140" y="637032"/>
                                </a:lnTo>
                                <a:close/>
                              </a:path>
                              <a:path w="4730750" h="1249680">
                                <a:moveTo>
                                  <a:pt x="2023872" y="902208"/>
                                </a:moveTo>
                                <a:lnTo>
                                  <a:pt x="1804416" y="902208"/>
                                </a:lnTo>
                                <a:lnTo>
                                  <a:pt x="1804416" y="1249172"/>
                                </a:lnTo>
                                <a:lnTo>
                                  <a:pt x="2023872" y="1249172"/>
                                </a:lnTo>
                                <a:lnTo>
                                  <a:pt x="2023872" y="902208"/>
                                </a:lnTo>
                                <a:close/>
                              </a:path>
                              <a:path w="4730750" h="1249680">
                                <a:moveTo>
                                  <a:pt x="2926080" y="946404"/>
                                </a:moveTo>
                                <a:lnTo>
                                  <a:pt x="2708148" y="946404"/>
                                </a:lnTo>
                                <a:lnTo>
                                  <a:pt x="2708148" y="1249172"/>
                                </a:lnTo>
                                <a:lnTo>
                                  <a:pt x="2926080" y="1249172"/>
                                </a:lnTo>
                                <a:lnTo>
                                  <a:pt x="2926080" y="946404"/>
                                </a:lnTo>
                                <a:close/>
                              </a:path>
                              <a:path w="4730750" h="1249680">
                                <a:moveTo>
                                  <a:pt x="3828288" y="947928"/>
                                </a:moveTo>
                                <a:lnTo>
                                  <a:pt x="3610356" y="947928"/>
                                </a:lnTo>
                                <a:lnTo>
                                  <a:pt x="3610356" y="1249172"/>
                                </a:lnTo>
                                <a:lnTo>
                                  <a:pt x="3828288" y="1249172"/>
                                </a:lnTo>
                                <a:lnTo>
                                  <a:pt x="3828288" y="947928"/>
                                </a:lnTo>
                                <a:close/>
                              </a:path>
                              <a:path w="4730750" h="1249680">
                                <a:moveTo>
                                  <a:pt x="4730496" y="1135380"/>
                                </a:moveTo>
                                <a:lnTo>
                                  <a:pt x="4512564" y="1135380"/>
                                </a:lnTo>
                                <a:lnTo>
                                  <a:pt x="4512564" y="1249172"/>
                                </a:lnTo>
                                <a:lnTo>
                                  <a:pt x="4730496" y="1249172"/>
                                </a:lnTo>
                                <a:lnTo>
                                  <a:pt x="4730496" y="1135380"/>
                                </a:lnTo>
                                <a:close/>
                              </a:path>
                            </a:pathLst>
                          </a:custGeom>
                          <a:solidFill>
                            <a:srgbClr val="9FA0A8"/>
                          </a:solidFill>
                        </wps:spPr>
                        <wps:bodyPr wrap="square" lIns="0" tIns="0" rIns="0" bIns="0" rtlCol="0">
                          <a:prstTxWarp prst="textNoShape">
                            <a:avLst/>
                          </a:prstTxWarp>
                          <a:noAutofit/>
                        </wps:bodyPr>
                      </wps:wsp>
                      <wps:wsp>
                        <wps:cNvPr id="702" name="Graphic 702"/>
                        <wps:cNvSpPr/>
                        <wps:spPr>
                          <a:xfrm>
                            <a:off x="4762" y="1463429"/>
                            <a:ext cx="5415280" cy="1270"/>
                          </a:xfrm>
                          <a:custGeom>
                            <a:avLst/>
                            <a:gdLst/>
                            <a:ahLst/>
                            <a:cxnLst/>
                            <a:rect l="l" t="t" r="r" b="b"/>
                            <a:pathLst>
                              <a:path w="5415280">
                                <a:moveTo>
                                  <a:pt x="0" y="0"/>
                                </a:moveTo>
                                <a:lnTo>
                                  <a:pt x="5415280" y="0"/>
                                </a:lnTo>
                              </a:path>
                            </a:pathLst>
                          </a:custGeom>
                          <a:ln w="9525">
                            <a:solidFill>
                              <a:srgbClr val="D9D9D9"/>
                            </a:solidFill>
                            <a:prstDash val="solid"/>
                          </a:ln>
                        </wps:spPr>
                        <wps:bodyPr wrap="square" lIns="0" tIns="0" rIns="0" bIns="0" rtlCol="0">
                          <a:prstTxWarp prst="textNoShape">
                            <a:avLst/>
                          </a:prstTxWarp>
                          <a:noAutofit/>
                        </wps:bodyPr>
                      </wps:wsp>
                      <wps:wsp>
                        <wps:cNvPr id="703" name="Textbox 703"/>
                        <wps:cNvSpPr txBox="1"/>
                        <wps:spPr>
                          <a:xfrm>
                            <a:off x="70370" y="0"/>
                            <a:ext cx="229235" cy="139700"/>
                          </a:xfrm>
                          <a:prstGeom prst="rect">
                            <a:avLst/>
                          </a:prstGeom>
                        </wps:spPr>
                        <wps:txbx>
                          <w:txbxContent>
                            <w:p w14:paraId="328D743D" w14:textId="77777777" w:rsidR="000E52B0" w:rsidRDefault="00F60D74">
                              <w:pPr>
                                <w:rPr>
                                  <w:rFonts w:ascii="Trebuchet MS"/>
                                  <w:sz w:val="18"/>
                                </w:rPr>
                              </w:pPr>
                              <w:r>
                                <w:rPr>
                                  <w:rFonts w:ascii="Trebuchet MS"/>
                                  <w:color w:val="404040"/>
                                  <w:spacing w:val="-5"/>
                                  <w:w w:val="115"/>
                                  <w:sz w:val="18"/>
                                </w:rPr>
                                <w:t>40%</w:t>
                              </w:r>
                            </w:p>
                          </w:txbxContent>
                        </wps:txbx>
                        <wps:bodyPr wrap="square" lIns="0" tIns="0" rIns="0" bIns="0" rtlCol="0">
                          <a:noAutofit/>
                        </wps:bodyPr>
                      </wps:wsp>
                      <wps:wsp>
                        <wps:cNvPr id="704" name="Textbox 704"/>
                        <wps:cNvSpPr txBox="1"/>
                        <wps:spPr>
                          <a:xfrm>
                            <a:off x="624141" y="16764"/>
                            <a:ext cx="229235" cy="139700"/>
                          </a:xfrm>
                          <a:prstGeom prst="rect">
                            <a:avLst/>
                          </a:prstGeom>
                        </wps:spPr>
                        <wps:txbx>
                          <w:txbxContent>
                            <w:p w14:paraId="5EEB68C5" w14:textId="77777777" w:rsidR="000E52B0" w:rsidRDefault="00F60D74">
                              <w:pPr>
                                <w:rPr>
                                  <w:rFonts w:ascii="Trebuchet MS"/>
                                  <w:sz w:val="18"/>
                                </w:rPr>
                              </w:pPr>
                              <w:r>
                                <w:rPr>
                                  <w:rFonts w:ascii="Trebuchet MS"/>
                                  <w:color w:val="404040"/>
                                  <w:spacing w:val="-5"/>
                                  <w:w w:val="115"/>
                                  <w:sz w:val="18"/>
                                </w:rPr>
                                <w:t>39%</w:t>
                              </w:r>
                            </w:p>
                          </w:txbxContent>
                        </wps:txbx>
                        <wps:bodyPr wrap="square" lIns="0" tIns="0" rIns="0" bIns="0" rtlCol="0">
                          <a:noAutofit/>
                        </wps:bodyPr>
                      </wps:wsp>
                      <wps:wsp>
                        <wps:cNvPr id="705" name="Textbox 705"/>
                        <wps:cNvSpPr txBox="1"/>
                        <wps:spPr>
                          <a:xfrm>
                            <a:off x="347154" y="141731"/>
                            <a:ext cx="229235" cy="139700"/>
                          </a:xfrm>
                          <a:prstGeom prst="rect">
                            <a:avLst/>
                          </a:prstGeom>
                        </wps:spPr>
                        <wps:txbx>
                          <w:txbxContent>
                            <w:p w14:paraId="2F2347DA" w14:textId="77777777" w:rsidR="000E52B0" w:rsidRDefault="00F60D74">
                              <w:pPr>
                                <w:rPr>
                                  <w:rFonts w:ascii="Trebuchet MS"/>
                                  <w:sz w:val="18"/>
                                </w:rPr>
                              </w:pPr>
                              <w:r>
                                <w:rPr>
                                  <w:rFonts w:ascii="Trebuchet MS"/>
                                  <w:color w:val="404040"/>
                                  <w:spacing w:val="-5"/>
                                  <w:w w:val="115"/>
                                  <w:sz w:val="18"/>
                                </w:rPr>
                                <w:t>35%</w:t>
                              </w:r>
                            </w:p>
                          </w:txbxContent>
                        </wps:txbx>
                        <wps:bodyPr wrap="square" lIns="0" tIns="0" rIns="0" bIns="0" rtlCol="0">
                          <a:noAutofit/>
                        </wps:bodyPr>
                      </wps:wsp>
                      <wps:wsp>
                        <wps:cNvPr id="706" name="Textbox 706"/>
                        <wps:cNvSpPr txBox="1"/>
                        <wps:spPr>
                          <a:xfrm>
                            <a:off x="972883" y="635762"/>
                            <a:ext cx="782955" cy="161925"/>
                          </a:xfrm>
                          <a:prstGeom prst="rect">
                            <a:avLst/>
                          </a:prstGeom>
                        </wps:spPr>
                        <wps:txbx>
                          <w:txbxContent>
                            <w:p w14:paraId="3EBBF142" w14:textId="77777777" w:rsidR="000E52B0" w:rsidRDefault="00F60D74">
                              <w:pPr>
                                <w:spacing w:before="4"/>
                                <w:rPr>
                                  <w:rFonts w:ascii="Trebuchet MS"/>
                                  <w:sz w:val="18"/>
                                </w:rPr>
                              </w:pPr>
                              <w:r>
                                <w:rPr>
                                  <w:rFonts w:ascii="Trebuchet MS"/>
                                  <w:color w:val="404040"/>
                                  <w:w w:val="115"/>
                                  <w:sz w:val="18"/>
                                </w:rPr>
                                <w:t>19%</w:t>
                              </w:r>
                              <w:r>
                                <w:rPr>
                                  <w:rFonts w:ascii="Trebuchet MS"/>
                                  <w:color w:val="404040"/>
                                  <w:spacing w:val="27"/>
                                  <w:w w:val="115"/>
                                  <w:sz w:val="18"/>
                                </w:rPr>
                                <w:t xml:space="preserve"> </w:t>
                              </w:r>
                              <w:r>
                                <w:rPr>
                                  <w:rFonts w:ascii="Trebuchet MS"/>
                                  <w:color w:val="404040"/>
                                  <w:w w:val="115"/>
                                  <w:position w:val="3"/>
                                  <w:sz w:val="18"/>
                                </w:rPr>
                                <w:t>20%</w:t>
                              </w:r>
                              <w:r>
                                <w:rPr>
                                  <w:rFonts w:ascii="Trebuchet MS"/>
                                  <w:color w:val="404040"/>
                                  <w:spacing w:val="27"/>
                                  <w:w w:val="115"/>
                                  <w:position w:val="3"/>
                                  <w:sz w:val="18"/>
                                </w:rPr>
                                <w:t xml:space="preserve"> </w:t>
                              </w:r>
                              <w:r>
                                <w:rPr>
                                  <w:rFonts w:ascii="Trebuchet MS"/>
                                  <w:color w:val="404040"/>
                                  <w:spacing w:val="-5"/>
                                  <w:w w:val="115"/>
                                  <w:sz w:val="18"/>
                                </w:rPr>
                                <w:t>19%</w:t>
                              </w:r>
                            </w:p>
                          </w:txbxContent>
                        </wps:txbx>
                        <wps:bodyPr wrap="square" lIns="0" tIns="0" rIns="0" bIns="0" rtlCol="0">
                          <a:noAutofit/>
                        </wps:bodyPr>
                      </wps:wsp>
                      <wps:wsp>
                        <wps:cNvPr id="707" name="Textbox 707"/>
                        <wps:cNvSpPr txBox="1"/>
                        <wps:spPr>
                          <a:xfrm>
                            <a:off x="1875726" y="862838"/>
                            <a:ext cx="782955" cy="204470"/>
                          </a:xfrm>
                          <a:prstGeom prst="rect">
                            <a:avLst/>
                          </a:prstGeom>
                        </wps:spPr>
                        <wps:txbx>
                          <w:txbxContent>
                            <w:p w14:paraId="249AFE5B" w14:textId="77777777" w:rsidR="000E52B0" w:rsidRDefault="00F60D74">
                              <w:pPr>
                                <w:spacing w:before="2"/>
                                <w:rPr>
                                  <w:rFonts w:ascii="Trebuchet MS"/>
                                  <w:position w:val="1"/>
                                  <w:sz w:val="18"/>
                                </w:rPr>
                              </w:pPr>
                              <w:r>
                                <w:rPr>
                                  <w:rFonts w:ascii="Trebuchet MS"/>
                                  <w:color w:val="404040"/>
                                  <w:w w:val="115"/>
                                  <w:sz w:val="18"/>
                                </w:rPr>
                                <w:t>11%</w:t>
                              </w:r>
                              <w:r>
                                <w:rPr>
                                  <w:rFonts w:ascii="Trebuchet MS"/>
                                  <w:color w:val="404040"/>
                                  <w:spacing w:val="27"/>
                                  <w:w w:val="115"/>
                                  <w:sz w:val="18"/>
                                </w:rPr>
                                <w:t xml:space="preserve"> </w:t>
                              </w:r>
                              <w:r>
                                <w:rPr>
                                  <w:rFonts w:ascii="Trebuchet MS"/>
                                  <w:color w:val="404040"/>
                                  <w:w w:val="115"/>
                                  <w:position w:val="10"/>
                                  <w:sz w:val="18"/>
                                </w:rPr>
                                <w:t>13%</w:t>
                              </w:r>
                              <w:r>
                                <w:rPr>
                                  <w:rFonts w:ascii="Trebuchet MS"/>
                                  <w:color w:val="404040"/>
                                  <w:spacing w:val="27"/>
                                  <w:w w:val="115"/>
                                  <w:position w:val="10"/>
                                  <w:sz w:val="18"/>
                                </w:rPr>
                                <w:t xml:space="preserve"> </w:t>
                              </w:r>
                              <w:r>
                                <w:rPr>
                                  <w:rFonts w:ascii="Trebuchet MS"/>
                                  <w:color w:val="404040"/>
                                  <w:spacing w:val="-5"/>
                                  <w:w w:val="115"/>
                                  <w:position w:val="1"/>
                                  <w:sz w:val="18"/>
                                </w:rPr>
                                <w:t>11%</w:t>
                              </w:r>
                            </w:p>
                          </w:txbxContent>
                        </wps:txbx>
                        <wps:bodyPr wrap="square" lIns="0" tIns="0" rIns="0" bIns="0" rtlCol="0">
                          <a:noAutofit/>
                        </wps:bodyPr>
                      </wps:wsp>
                      <wps:wsp>
                        <wps:cNvPr id="708" name="Textbox 708"/>
                        <wps:cNvSpPr txBox="1"/>
                        <wps:spPr>
                          <a:xfrm>
                            <a:off x="3055302" y="817752"/>
                            <a:ext cx="229235" cy="139700"/>
                          </a:xfrm>
                          <a:prstGeom prst="rect">
                            <a:avLst/>
                          </a:prstGeom>
                        </wps:spPr>
                        <wps:txbx>
                          <w:txbxContent>
                            <w:p w14:paraId="0F45850A" w14:textId="77777777" w:rsidR="000E52B0" w:rsidRDefault="00F60D74">
                              <w:pPr>
                                <w:rPr>
                                  <w:rFonts w:ascii="Trebuchet MS"/>
                                  <w:sz w:val="18"/>
                                </w:rPr>
                              </w:pPr>
                              <w:r>
                                <w:rPr>
                                  <w:rFonts w:ascii="Trebuchet MS"/>
                                  <w:color w:val="404040"/>
                                  <w:spacing w:val="-5"/>
                                  <w:w w:val="115"/>
                                  <w:sz w:val="18"/>
                                </w:rPr>
                                <w:t>14%</w:t>
                              </w:r>
                            </w:p>
                          </w:txbxContent>
                        </wps:txbx>
                        <wps:bodyPr wrap="square" lIns="0" tIns="0" rIns="0" bIns="0" rtlCol="0">
                          <a:noAutofit/>
                        </wps:bodyPr>
                      </wps:wsp>
                      <wps:wsp>
                        <wps:cNvPr id="709" name="Textbox 709"/>
                        <wps:cNvSpPr txBox="1"/>
                        <wps:spPr>
                          <a:xfrm>
                            <a:off x="2809049" y="983582"/>
                            <a:ext cx="168275" cy="140335"/>
                          </a:xfrm>
                          <a:prstGeom prst="rect">
                            <a:avLst/>
                          </a:prstGeom>
                        </wps:spPr>
                        <wps:txbx>
                          <w:txbxContent>
                            <w:p w14:paraId="19665742" w14:textId="77777777" w:rsidR="000E52B0" w:rsidRDefault="00F60D74">
                              <w:pPr>
                                <w:rPr>
                                  <w:rFonts w:ascii="Trebuchet MS"/>
                                  <w:sz w:val="18"/>
                                </w:rPr>
                              </w:pPr>
                              <w:r>
                                <w:rPr>
                                  <w:rFonts w:ascii="Trebuchet MS"/>
                                  <w:color w:val="404040"/>
                                  <w:spacing w:val="-5"/>
                                  <w:w w:val="120"/>
                                  <w:sz w:val="18"/>
                                </w:rPr>
                                <w:t>9%</w:t>
                              </w:r>
                            </w:p>
                          </w:txbxContent>
                        </wps:txbx>
                        <wps:bodyPr wrap="square" lIns="0" tIns="0" rIns="0" bIns="0" rtlCol="0">
                          <a:noAutofit/>
                        </wps:bodyPr>
                      </wps:wsp>
                      <wps:wsp>
                        <wps:cNvPr id="710" name="Textbox 710"/>
                        <wps:cNvSpPr txBox="1"/>
                        <wps:spPr>
                          <a:xfrm>
                            <a:off x="3332289" y="957072"/>
                            <a:ext cx="577850" cy="146685"/>
                          </a:xfrm>
                          <a:prstGeom prst="rect">
                            <a:avLst/>
                          </a:prstGeom>
                        </wps:spPr>
                        <wps:txbx>
                          <w:txbxContent>
                            <w:p w14:paraId="34DF62FD" w14:textId="77777777" w:rsidR="000E52B0" w:rsidRDefault="00F60D74">
                              <w:pPr>
                                <w:tabs>
                                  <w:tab w:val="left" w:pos="549"/>
                                </w:tabs>
                                <w:spacing w:before="1"/>
                                <w:rPr>
                                  <w:rFonts w:ascii="Trebuchet MS"/>
                                  <w:position w:val="1"/>
                                  <w:sz w:val="18"/>
                                </w:rPr>
                              </w:pPr>
                              <w:r>
                                <w:rPr>
                                  <w:rFonts w:ascii="Trebuchet MS"/>
                                  <w:color w:val="404040"/>
                                  <w:spacing w:val="-5"/>
                                  <w:w w:val="115"/>
                                  <w:sz w:val="18"/>
                                </w:rPr>
                                <w:t>10%</w:t>
                              </w:r>
                              <w:r>
                                <w:rPr>
                                  <w:rFonts w:ascii="Trebuchet MS"/>
                                  <w:color w:val="404040"/>
                                  <w:sz w:val="18"/>
                                </w:rPr>
                                <w:tab/>
                              </w:r>
                              <w:r>
                                <w:rPr>
                                  <w:rFonts w:ascii="Trebuchet MS"/>
                                  <w:color w:val="404040"/>
                                  <w:spacing w:val="-5"/>
                                  <w:w w:val="115"/>
                                  <w:position w:val="1"/>
                                  <w:sz w:val="18"/>
                                </w:rPr>
                                <w:t>10%</w:t>
                              </w:r>
                            </w:p>
                          </w:txbxContent>
                        </wps:txbx>
                        <wps:bodyPr wrap="square" lIns="0" tIns="0" rIns="0" bIns="0" rtlCol="0">
                          <a:noAutofit/>
                        </wps:bodyPr>
                      </wps:wsp>
                      <wps:wsp>
                        <wps:cNvPr id="711" name="Textbox 711"/>
                        <wps:cNvSpPr txBox="1"/>
                        <wps:spPr>
                          <a:xfrm>
                            <a:off x="3988625" y="1023492"/>
                            <a:ext cx="168275" cy="139700"/>
                          </a:xfrm>
                          <a:prstGeom prst="rect">
                            <a:avLst/>
                          </a:prstGeom>
                        </wps:spPr>
                        <wps:txbx>
                          <w:txbxContent>
                            <w:p w14:paraId="0E2E4FC2" w14:textId="77777777" w:rsidR="000E52B0" w:rsidRDefault="00F60D74">
                              <w:pPr>
                                <w:rPr>
                                  <w:rFonts w:ascii="Trebuchet MS"/>
                                  <w:sz w:val="18"/>
                                </w:rPr>
                              </w:pPr>
                              <w:r>
                                <w:rPr>
                                  <w:rFonts w:ascii="Trebuchet MS"/>
                                  <w:color w:val="404040"/>
                                  <w:spacing w:val="-5"/>
                                  <w:w w:val="120"/>
                                  <w:sz w:val="18"/>
                                </w:rPr>
                                <w:t>8%</w:t>
                              </w:r>
                            </w:p>
                          </w:txbxContent>
                        </wps:txbx>
                        <wps:bodyPr wrap="square" lIns="0" tIns="0" rIns="0" bIns="0" rtlCol="0">
                          <a:noAutofit/>
                        </wps:bodyPr>
                      </wps:wsp>
                      <wps:wsp>
                        <wps:cNvPr id="712" name="Textbox 712"/>
                        <wps:cNvSpPr txBox="1"/>
                        <wps:spPr>
                          <a:xfrm>
                            <a:off x="4235132" y="964946"/>
                            <a:ext cx="229235" cy="139700"/>
                          </a:xfrm>
                          <a:prstGeom prst="rect">
                            <a:avLst/>
                          </a:prstGeom>
                        </wps:spPr>
                        <wps:txbx>
                          <w:txbxContent>
                            <w:p w14:paraId="720B6623" w14:textId="77777777" w:rsidR="000E52B0" w:rsidRDefault="00F60D74">
                              <w:pPr>
                                <w:rPr>
                                  <w:rFonts w:ascii="Trebuchet MS"/>
                                  <w:sz w:val="18"/>
                                </w:rPr>
                              </w:pPr>
                              <w:r>
                                <w:rPr>
                                  <w:rFonts w:ascii="Trebuchet MS"/>
                                  <w:color w:val="404040"/>
                                  <w:spacing w:val="-5"/>
                                  <w:w w:val="115"/>
                                  <w:sz w:val="18"/>
                                </w:rPr>
                                <w:t>10%</w:t>
                              </w:r>
                            </w:p>
                          </w:txbxContent>
                        </wps:txbx>
                        <wps:bodyPr wrap="square" lIns="0" tIns="0" rIns="0" bIns="0" rtlCol="0">
                          <a:noAutofit/>
                        </wps:bodyPr>
                      </wps:wsp>
                      <wps:wsp>
                        <wps:cNvPr id="713" name="Textbox 713"/>
                        <wps:cNvSpPr txBox="1"/>
                        <wps:spPr>
                          <a:xfrm>
                            <a:off x="4614354" y="1150619"/>
                            <a:ext cx="721995" cy="159385"/>
                          </a:xfrm>
                          <a:prstGeom prst="rect">
                            <a:avLst/>
                          </a:prstGeom>
                        </wps:spPr>
                        <wps:txbx>
                          <w:txbxContent>
                            <w:p w14:paraId="30D91813" w14:textId="77777777" w:rsidR="000E52B0" w:rsidRDefault="00F60D74">
                              <w:pPr>
                                <w:spacing w:before="3"/>
                                <w:rPr>
                                  <w:rFonts w:ascii="Trebuchet MS"/>
                                  <w:sz w:val="18"/>
                                </w:rPr>
                              </w:pPr>
                              <w:r>
                                <w:rPr>
                                  <w:rFonts w:ascii="Trebuchet MS"/>
                                  <w:color w:val="404040"/>
                                  <w:w w:val="120"/>
                                  <w:sz w:val="18"/>
                                </w:rPr>
                                <w:t>4</w:t>
                              </w:r>
                              <w:proofErr w:type="gramStart"/>
                              <w:r>
                                <w:rPr>
                                  <w:rFonts w:ascii="Trebuchet MS"/>
                                  <w:color w:val="404040"/>
                                  <w:w w:val="120"/>
                                  <w:sz w:val="18"/>
                                </w:rPr>
                                <w:t>%</w:t>
                              </w:r>
                              <w:r>
                                <w:rPr>
                                  <w:rFonts w:ascii="Trebuchet MS"/>
                                  <w:color w:val="404040"/>
                                  <w:spacing w:val="29"/>
                                  <w:w w:val="120"/>
                                  <w:sz w:val="18"/>
                                </w:rPr>
                                <w:t xml:space="preserve">  </w:t>
                              </w:r>
                              <w:r>
                                <w:rPr>
                                  <w:rFonts w:ascii="Trebuchet MS"/>
                                  <w:color w:val="404040"/>
                                  <w:w w:val="120"/>
                                  <w:position w:val="-2"/>
                                  <w:sz w:val="18"/>
                                </w:rPr>
                                <w:t>3%</w:t>
                              </w:r>
                              <w:r>
                                <w:rPr>
                                  <w:rFonts w:ascii="Trebuchet MS"/>
                                  <w:color w:val="404040"/>
                                  <w:spacing w:val="30"/>
                                  <w:w w:val="120"/>
                                  <w:position w:val="-2"/>
                                  <w:sz w:val="18"/>
                                </w:rPr>
                                <w:t xml:space="preserve">  </w:t>
                              </w:r>
                              <w:r>
                                <w:rPr>
                                  <w:rFonts w:ascii="Trebuchet MS"/>
                                  <w:color w:val="404040"/>
                                  <w:spacing w:val="-5"/>
                                  <w:w w:val="120"/>
                                  <w:sz w:val="18"/>
                                </w:rPr>
                                <w:t>4</w:t>
                              </w:r>
                              <w:proofErr w:type="gramEnd"/>
                              <w:r>
                                <w:rPr>
                                  <w:rFonts w:ascii="Trebuchet MS"/>
                                  <w:color w:val="404040"/>
                                  <w:spacing w:val="-5"/>
                                  <w:w w:val="120"/>
                                  <w:sz w:val="18"/>
                                </w:rPr>
                                <w:t>%</w:t>
                              </w:r>
                            </w:p>
                          </w:txbxContent>
                        </wps:txbx>
                        <wps:bodyPr wrap="square" lIns="0" tIns="0" rIns="0" bIns="0" rtlCol="0">
                          <a:noAutofit/>
                        </wps:bodyPr>
                      </wps:wsp>
                    </wpg:wgp>
                  </a:graphicData>
                </a:graphic>
              </wp:anchor>
            </w:drawing>
          </mc:Choice>
          <mc:Fallback>
            <w:pict>
              <v:group w14:anchorId="741E40E7" id="Group 697" o:spid="_x0000_s1464" style="position:absolute;margin-left:84.05pt;margin-top:18.2pt;width:427.15pt;height:115.65pt;z-index:-15650816;mso-wrap-distance-left:0;mso-wrap-distance-right:0;mso-position-horizontal-relative:page;mso-position-vertical-relative:text" coordsize="54248,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">
                <v:shape id="Graphic 698" o:spid="_x0000_s1465" style="position:absolute;left:47;top:365;width:54153;height:14269;visibility:visible;mso-wrap-style:square;v-text-anchor:top" coordsize="5415280,142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" path="m,l,1426845em902589,r,1426845em1804797,r,1426845em2707005,r,1426845em3610737,r,1426845em4512945,r,1426845em5415280,r,1426845e" filled="f" strokecolor="#d9d9d9">
                  <v:path arrowok="t"/>
                </v:shape>
                <v:shape id="Graphic 699" o:spid="_x0000_s1466" style="position:absolute;left:706;top:1974;width:47308;height:12662;visibility:visible;mso-wrap-style:square;v-text-anchor:top" coordsize="4730750,126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" path="m217932,l,,,1265936r217932,l217932,xem1120140,656844r-217932,l902208,1265936r217932,l1120140,656844xem2022348,926592r-217932,l1804416,1265936r217932,l2022348,926592xem2924556,982980r-217932,l2706624,1265936r217932,l2924556,982980xem3828288,957072r-217932,l3610356,1265936r217932,l3828288,957072xem4730496,1149096r-217932,l4512564,1265936r217932,l4730496,1149096xe" fillcolor="#e22c91" stroked="f">
                  <v:path arrowok="t"/>
                </v:shape>
                <v:shape id="Graphic 700" o:spid="_x0000_s1467" style="position:absolute;left:3465;top:3392;width:47307;height:11246;visibility:visible;mso-wrap-style:square;v-text-anchor:top" coordsize="4730750,112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" path="m217932,l,,,1124204r217932,l217932,xem1121664,493776r-217932,l903732,1124204r217932,l1121664,493776xem2023872,720852r-217932,l1805940,1124204r217932,l2023872,720852xem2926080,675132r-217932,l2708148,1124204r217932,l2926080,675132xem3828288,880872r-217932,l3610356,1124204r217932,l3828288,880872xem4730496,1027176r-217932,l4512564,1124204r217932,l4730496,1027176xe" fillcolor="#741a36" stroked="f">
                  <v:path arrowok="t"/>
                </v:shape>
                <v:shape id="Graphic 701" o:spid="_x0000_s1468" style="position:absolute;left:6238;top:2142;width:47308;height:12497;visibility:visible;mso-wrap-style:square;v-text-anchor:top" coordsize="4730750,124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" path="m217932,l,,,1249172r217932,l217932,xem1120140,637032r-217932,l902208,1249172r217932,l1120140,637032xem2023872,902208r-219456,l1804416,1249172r219456,l2023872,902208xem2926080,946404r-217932,l2708148,1249172r217932,l2926080,946404xem3828288,947928r-217932,l3610356,1249172r217932,l3828288,947928xem4730496,1135380r-217932,l4512564,1249172r217932,l4730496,1135380xe" fillcolor="#9fa0a8" stroked="f">
                  <v:path arrowok="t"/>
                </v:shape>
                <v:shape id="Graphic 702" o:spid="_x0000_s1469" style="position:absolute;left:47;top:14634;width:54153;height:12;visibility:visible;mso-wrap-style:square;v-text-anchor:top" coordsize="5415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" path="m,l5415280,e" filled="f" strokecolor="#d9d9d9">
                  <v:path arrowok="t"/>
                </v:shape>
                <v:shape id="Textbox 703" o:spid="_x0000_s1470" type="#_x0000_t202" style="position:absolute;left:703;width:229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328D743D" w14:textId="77777777" w:rsidR="000E52B0" w:rsidRDefault="00F60D74">
                        <w:pPr>
                          <w:rPr>
                            <w:rFonts w:ascii="Trebuchet MS"/>
                            <w:sz w:val="18"/>
                          </w:rPr>
                        </w:pPr>
                        <w:r>
                          <w:rPr>
                            <w:rFonts w:ascii="Trebuchet MS"/>
                            <w:color w:val="404040"/>
                            <w:spacing w:val="-5"/>
                            <w:w w:val="115"/>
                            <w:sz w:val="18"/>
                          </w:rPr>
                          <w:t>40%</w:t>
                        </w:r>
                      </w:p>
                    </w:txbxContent>
                  </v:textbox>
                </v:shape>
                <v:shape id="Textbox 704" o:spid="_x0000_s1471" type="#_x0000_t202" style="position:absolute;left:6241;top:167;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5EEB68C5" w14:textId="77777777" w:rsidR="000E52B0" w:rsidRDefault="00F60D74">
                        <w:pPr>
                          <w:rPr>
                            <w:rFonts w:ascii="Trebuchet MS"/>
                            <w:sz w:val="18"/>
                          </w:rPr>
                        </w:pPr>
                        <w:r>
                          <w:rPr>
                            <w:rFonts w:ascii="Trebuchet MS"/>
                            <w:color w:val="404040"/>
                            <w:spacing w:val="-5"/>
                            <w:w w:val="115"/>
                            <w:sz w:val="18"/>
                          </w:rPr>
                          <w:t>39%</w:t>
                        </w:r>
                      </w:p>
                    </w:txbxContent>
                  </v:textbox>
                </v:shape>
                <v:shape id="Textbox 705" o:spid="_x0000_s1472" type="#_x0000_t202" style="position:absolute;left:3471;top:1417;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2F2347DA" w14:textId="77777777" w:rsidR="000E52B0" w:rsidRDefault="00F60D74">
                        <w:pPr>
                          <w:rPr>
                            <w:rFonts w:ascii="Trebuchet MS"/>
                            <w:sz w:val="18"/>
                          </w:rPr>
                        </w:pPr>
                        <w:r>
                          <w:rPr>
                            <w:rFonts w:ascii="Trebuchet MS"/>
                            <w:color w:val="404040"/>
                            <w:spacing w:val="-5"/>
                            <w:w w:val="115"/>
                            <w:sz w:val="18"/>
                          </w:rPr>
                          <w:t>35%</w:t>
                        </w:r>
                      </w:p>
                    </w:txbxContent>
                  </v:textbox>
                </v:shape>
                <v:shape id="Textbox 706" o:spid="_x0000_s1473" type="#_x0000_t202" style="position:absolute;left:9728;top:6357;width:7830;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3EBBF142" w14:textId="77777777" w:rsidR="000E52B0" w:rsidRDefault="00F60D74">
                        <w:pPr>
                          <w:spacing w:before="4"/>
                          <w:rPr>
                            <w:rFonts w:ascii="Trebuchet MS"/>
                            <w:sz w:val="18"/>
                          </w:rPr>
                        </w:pPr>
                        <w:r>
                          <w:rPr>
                            <w:rFonts w:ascii="Trebuchet MS"/>
                            <w:color w:val="404040"/>
                            <w:w w:val="115"/>
                            <w:sz w:val="18"/>
                          </w:rPr>
                          <w:t>19%</w:t>
                        </w:r>
                        <w:r>
                          <w:rPr>
                            <w:rFonts w:ascii="Trebuchet MS"/>
                            <w:color w:val="404040"/>
                            <w:spacing w:val="27"/>
                            <w:w w:val="115"/>
                            <w:sz w:val="18"/>
                          </w:rPr>
                          <w:t xml:space="preserve"> </w:t>
                        </w:r>
                        <w:r>
                          <w:rPr>
                            <w:rFonts w:ascii="Trebuchet MS"/>
                            <w:color w:val="404040"/>
                            <w:w w:val="115"/>
                            <w:position w:val="3"/>
                            <w:sz w:val="18"/>
                          </w:rPr>
                          <w:t>20%</w:t>
                        </w:r>
                        <w:r>
                          <w:rPr>
                            <w:rFonts w:ascii="Trebuchet MS"/>
                            <w:color w:val="404040"/>
                            <w:spacing w:val="27"/>
                            <w:w w:val="115"/>
                            <w:position w:val="3"/>
                            <w:sz w:val="18"/>
                          </w:rPr>
                          <w:t xml:space="preserve"> </w:t>
                        </w:r>
                        <w:r>
                          <w:rPr>
                            <w:rFonts w:ascii="Trebuchet MS"/>
                            <w:color w:val="404040"/>
                            <w:spacing w:val="-5"/>
                            <w:w w:val="115"/>
                            <w:sz w:val="18"/>
                          </w:rPr>
                          <w:t>19%</w:t>
                        </w:r>
                      </w:p>
                    </w:txbxContent>
                  </v:textbox>
                </v:shape>
                <v:shape id="Textbox 707" o:spid="_x0000_s1474" type="#_x0000_t202" style="position:absolute;left:18757;top:8628;width:782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14:paraId="249AFE5B" w14:textId="77777777" w:rsidR="000E52B0" w:rsidRDefault="00F60D74">
                        <w:pPr>
                          <w:spacing w:before="2"/>
                          <w:rPr>
                            <w:rFonts w:ascii="Trebuchet MS"/>
                            <w:position w:val="1"/>
                            <w:sz w:val="18"/>
                          </w:rPr>
                        </w:pPr>
                        <w:r>
                          <w:rPr>
                            <w:rFonts w:ascii="Trebuchet MS"/>
                            <w:color w:val="404040"/>
                            <w:w w:val="115"/>
                            <w:sz w:val="18"/>
                          </w:rPr>
                          <w:t>11%</w:t>
                        </w:r>
                        <w:r>
                          <w:rPr>
                            <w:rFonts w:ascii="Trebuchet MS"/>
                            <w:color w:val="404040"/>
                            <w:spacing w:val="27"/>
                            <w:w w:val="115"/>
                            <w:sz w:val="18"/>
                          </w:rPr>
                          <w:t xml:space="preserve"> </w:t>
                        </w:r>
                        <w:r>
                          <w:rPr>
                            <w:rFonts w:ascii="Trebuchet MS"/>
                            <w:color w:val="404040"/>
                            <w:w w:val="115"/>
                            <w:position w:val="10"/>
                            <w:sz w:val="18"/>
                          </w:rPr>
                          <w:t>13%</w:t>
                        </w:r>
                        <w:r>
                          <w:rPr>
                            <w:rFonts w:ascii="Trebuchet MS"/>
                            <w:color w:val="404040"/>
                            <w:spacing w:val="27"/>
                            <w:w w:val="115"/>
                            <w:position w:val="10"/>
                            <w:sz w:val="18"/>
                          </w:rPr>
                          <w:t xml:space="preserve"> </w:t>
                        </w:r>
                        <w:r>
                          <w:rPr>
                            <w:rFonts w:ascii="Trebuchet MS"/>
                            <w:color w:val="404040"/>
                            <w:spacing w:val="-5"/>
                            <w:w w:val="115"/>
                            <w:position w:val="1"/>
                            <w:sz w:val="18"/>
                          </w:rPr>
                          <w:t>11%</w:t>
                        </w:r>
                      </w:p>
                    </w:txbxContent>
                  </v:textbox>
                </v:shape>
                <v:shape id="Textbox 708" o:spid="_x0000_s1475" type="#_x0000_t202" style="position:absolute;left:30553;top:8177;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0F45850A" w14:textId="77777777" w:rsidR="000E52B0" w:rsidRDefault="00F60D74">
                        <w:pPr>
                          <w:rPr>
                            <w:rFonts w:ascii="Trebuchet MS"/>
                            <w:sz w:val="18"/>
                          </w:rPr>
                        </w:pPr>
                        <w:r>
                          <w:rPr>
                            <w:rFonts w:ascii="Trebuchet MS"/>
                            <w:color w:val="404040"/>
                            <w:spacing w:val="-5"/>
                            <w:w w:val="115"/>
                            <w:sz w:val="18"/>
                          </w:rPr>
                          <w:t>14%</w:t>
                        </w:r>
                      </w:p>
                    </w:txbxContent>
                  </v:textbox>
                </v:shape>
                <v:shape id="Textbox 709" o:spid="_x0000_s1476" type="#_x0000_t202" style="position:absolute;left:28090;top:9835;width:1683;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19665742" w14:textId="77777777" w:rsidR="000E52B0" w:rsidRDefault="00F60D74">
                        <w:pPr>
                          <w:rPr>
                            <w:rFonts w:ascii="Trebuchet MS"/>
                            <w:sz w:val="18"/>
                          </w:rPr>
                        </w:pPr>
                        <w:r>
                          <w:rPr>
                            <w:rFonts w:ascii="Trebuchet MS"/>
                            <w:color w:val="404040"/>
                            <w:spacing w:val="-5"/>
                            <w:w w:val="120"/>
                            <w:sz w:val="18"/>
                          </w:rPr>
                          <w:t>9%</w:t>
                        </w:r>
                      </w:p>
                    </w:txbxContent>
                  </v:textbox>
                </v:shape>
                <v:shape id="Textbox 710" o:spid="_x0000_s1477" type="#_x0000_t202" style="position:absolute;left:33322;top:9570;width:5779;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34DF62FD" w14:textId="77777777" w:rsidR="000E52B0" w:rsidRDefault="00F60D74">
                        <w:pPr>
                          <w:tabs>
                            <w:tab w:val="left" w:pos="549"/>
                          </w:tabs>
                          <w:spacing w:before="1"/>
                          <w:rPr>
                            <w:rFonts w:ascii="Trebuchet MS"/>
                            <w:position w:val="1"/>
                            <w:sz w:val="18"/>
                          </w:rPr>
                        </w:pPr>
                        <w:r>
                          <w:rPr>
                            <w:rFonts w:ascii="Trebuchet MS"/>
                            <w:color w:val="404040"/>
                            <w:spacing w:val="-5"/>
                            <w:w w:val="115"/>
                            <w:sz w:val="18"/>
                          </w:rPr>
                          <w:t>10%</w:t>
                        </w:r>
                        <w:r>
                          <w:rPr>
                            <w:rFonts w:ascii="Trebuchet MS"/>
                            <w:color w:val="404040"/>
                            <w:sz w:val="18"/>
                          </w:rPr>
                          <w:tab/>
                        </w:r>
                        <w:r>
                          <w:rPr>
                            <w:rFonts w:ascii="Trebuchet MS"/>
                            <w:color w:val="404040"/>
                            <w:spacing w:val="-5"/>
                            <w:w w:val="115"/>
                            <w:position w:val="1"/>
                            <w:sz w:val="18"/>
                          </w:rPr>
                          <w:t>10%</w:t>
                        </w:r>
                      </w:p>
                    </w:txbxContent>
                  </v:textbox>
                </v:shape>
                <v:shape id="Textbox 711" o:spid="_x0000_s1478" type="#_x0000_t202" style="position:absolute;left:39886;top:10234;width:168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14:paraId="0E2E4FC2" w14:textId="77777777" w:rsidR="000E52B0" w:rsidRDefault="00F60D74">
                        <w:pPr>
                          <w:rPr>
                            <w:rFonts w:ascii="Trebuchet MS"/>
                            <w:sz w:val="18"/>
                          </w:rPr>
                        </w:pPr>
                        <w:r>
                          <w:rPr>
                            <w:rFonts w:ascii="Trebuchet MS"/>
                            <w:color w:val="404040"/>
                            <w:spacing w:val="-5"/>
                            <w:w w:val="120"/>
                            <w:sz w:val="18"/>
                          </w:rPr>
                          <w:t>8%</w:t>
                        </w:r>
                      </w:p>
                    </w:txbxContent>
                  </v:textbox>
                </v:shape>
                <v:shape id="Textbox 712" o:spid="_x0000_s1479" type="#_x0000_t202" style="position:absolute;left:42351;top:9649;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720B6623" w14:textId="77777777" w:rsidR="000E52B0" w:rsidRDefault="00F60D74">
                        <w:pPr>
                          <w:rPr>
                            <w:rFonts w:ascii="Trebuchet MS"/>
                            <w:sz w:val="18"/>
                          </w:rPr>
                        </w:pPr>
                        <w:r>
                          <w:rPr>
                            <w:rFonts w:ascii="Trebuchet MS"/>
                            <w:color w:val="404040"/>
                            <w:spacing w:val="-5"/>
                            <w:w w:val="115"/>
                            <w:sz w:val="18"/>
                          </w:rPr>
                          <w:t>10%</w:t>
                        </w:r>
                      </w:p>
                    </w:txbxContent>
                  </v:textbox>
                </v:shape>
                <v:shape id="Textbox 713" o:spid="_x0000_s1480" type="#_x0000_t202" style="position:absolute;left:46143;top:11506;width:7220;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30D91813" w14:textId="77777777" w:rsidR="000E52B0" w:rsidRDefault="00F60D74">
                        <w:pPr>
                          <w:spacing w:before="3"/>
                          <w:rPr>
                            <w:rFonts w:ascii="Trebuchet MS"/>
                            <w:sz w:val="18"/>
                          </w:rPr>
                        </w:pPr>
                        <w:r>
                          <w:rPr>
                            <w:rFonts w:ascii="Trebuchet MS"/>
                            <w:color w:val="404040"/>
                            <w:w w:val="120"/>
                            <w:sz w:val="18"/>
                          </w:rPr>
                          <w:t>4</w:t>
                        </w:r>
                        <w:proofErr w:type="gramStart"/>
                        <w:r>
                          <w:rPr>
                            <w:rFonts w:ascii="Trebuchet MS"/>
                            <w:color w:val="404040"/>
                            <w:w w:val="120"/>
                            <w:sz w:val="18"/>
                          </w:rPr>
                          <w:t>%</w:t>
                        </w:r>
                        <w:r>
                          <w:rPr>
                            <w:rFonts w:ascii="Trebuchet MS"/>
                            <w:color w:val="404040"/>
                            <w:spacing w:val="29"/>
                            <w:w w:val="120"/>
                            <w:sz w:val="18"/>
                          </w:rPr>
                          <w:t xml:space="preserve">  </w:t>
                        </w:r>
                        <w:r>
                          <w:rPr>
                            <w:rFonts w:ascii="Trebuchet MS"/>
                            <w:color w:val="404040"/>
                            <w:w w:val="120"/>
                            <w:position w:val="-2"/>
                            <w:sz w:val="18"/>
                          </w:rPr>
                          <w:t>3%</w:t>
                        </w:r>
                        <w:r>
                          <w:rPr>
                            <w:rFonts w:ascii="Trebuchet MS"/>
                            <w:color w:val="404040"/>
                            <w:spacing w:val="30"/>
                            <w:w w:val="120"/>
                            <w:position w:val="-2"/>
                            <w:sz w:val="18"/>
                          </w:rPr>
                          <w:t xml:space="preserve">  </w:t>
                        </w:r>
                        <w:r>
                          <w:rPr>
                            <w:rFonts w:ascii="Trebuchet MS"/>
                            <w:color w:val="404040"/>
                            <w:spacing w:val="-5"/>
                            <w:w w:val="120"/>
                            <w:sz w:val="18"/>
                          </w:rPr>
                          <w:t>4</w:t>
                        </w:r>
                        <w:proofErr w:type="gramEnd"/>
                        <w:r>
                          <w:rPr>
                            <w:rFonts w:ascii="Trebuchet MS"/>
                            <w:color w:val="404040"/>
                            <w:spacing w:val="-5"/>
                            <w:w w:val="120"/>
                            <w:sz w:val="18"/>
                          </w:rPr>
                          <w:t>%</w:t>
                        </w:r>
                      </w:p>
                    </w:txbxContent>
                  </v:textbox>
                </v:shape>
                <w10:wrap type="topAndBottom" anchorx="page"/>
              </v:group>
            </w:pict>
          </mc:Fallback>
        </mc:AlternateContent>
      </w:r>
    </w:p>
    <w:p w14:paraId="30DF2A65" w14:textId="77777777" w:rsidR="000E52B0" w:rsidRDefault="000E52B0">
      <w:pPr>
        <w:pStyle w:val="Textoindependiente"/>
        <w:spacing w:before="9"/>
        <w:ind w:left="0"/>
        <w:rPr>
          <w:i/>
          <w:sz w:val="5"/>
        </w:rPr>
      </w:pPr>
    </w:p>
    <w:p w14:paraId="7C6A2EF1" w14:textId="77777777" w:rsidR="000E52B0" w:rsidRDefault="000E52B0">
      <w:pPr>
        <w:pStyle w:val="Textoindependiente"/>
        <w:rPr>
          <w:i/>
          <w:sz w:val="5"/>
        </w:rPr>
        <w:sectPr w:rsidR="000E52B0">
          <w:pgSz w:w="11910" w:h="16840"/>
          <w:pgMar w:top="1340" w:right="720" w:bottom="1180" w:left="720" w:header="0" w:footer="995" w:gutter="0"/>
          <w:cols w:space="720"/>
        </w:sectPr>
      </w:pPr>
    </w:p>
    <w:p w14:paraId="1097D3FB" w14:textId="77777777" w:rsidR="000E52B0" w:rsidRDefault="00F60D74">
      <w:pPr>
        <w:tabs>
          <w:tab w:val="left" w:pos="2467"/>
        </w:tabs>
        <w:spacing w:before="35"/>
        <w:ind w:left="1129"/>
        <w:rPr>
          <w:rFonts w:ascii="Trebuchet MS" w:hAnsi="Trebuchet MS"/>
          <w:sz w:val="18"/>
        </w:rPr>
      </w:pPr>
      <w:r>
        <w:rPr>
          <w:rFonts w:ascii="Trebuchet MS" w:hAnsi="Trebuchet MS"/>
          <w:color w:val="585858"/>
          <w:sz w:val="18"/>
        </w:rPr>
        <w:t>Abuso</w:t>
      </w:r>
      <w:r>
        <w:rPr>
          <w:rFonts w:ascii="Trebuchet MS" w:hAnsi="Trebuchet MS"/>
          <w:color w:val="585858"/>
          <w:spacing w:val="-2"/>
          <w:sz w:val="18"/>
        </w:rPr>
        <w:t xml:space="preserve"> policial</w:t>
      </w:r>
      <w:r>
        <w:rPr>
          <w:rFonts w:ascii="Trebuchet MS" w:hAnsi="Trebuchet MS"/>
          <w:color w:val="585858"/>
          <w:sz w:val="18"/>
        </w:rPr>
        <w:tab/>
        <w:t>Persecución</w:t>
      </w:r>
      <w:r>
        <w:rPr>
          <w:rFonts w:ascii="Trebuchet MS" w:hAnsi="Trebuchet MS"/>
          <w:color w:val="585858"/>
          <w:spacing w:val="-17"/>
          <w:sz w:val="18"/>
        </w:rPr>
        <w:t xml:space="preserve"> </w:t>
      </w:r>
      <w:r>
        <w:rPr>
          <w:rFonts w:ascii="Trebuchet MS" w:hAnsi="Trebuchet MS"/>
          <w:color w:val="585858"/>
          <w:spacing w:val="-5"/>
          <w:sz w:val="18"/>
        </w:rPr>
        <w:t>por</w:t>
      </w:r>
    </w:p>
    <w:p w14:paraId="2BAC048C" w14:textId="77777777" w:rsidR="000E52B0" w:rsidRDefault="00F60D74">
      <w:pPr>
        <w:spacing w:before="11" w:line="252" w:lineRule="auto"/>
        <w:ind w:left="2791" w:right="78" w:hanging="246"/>
        <w:rPr>
          <w:rFonts w:ascii="Trebuchet MS"/>
          <w:sz w:val="18"/>
        </w:rPr>
      </w:pPr>
      <w:r>
        <w:rPr>
          <w:rFonts w:ascii="Trebuchet MS"/>
          <w:color w:val="585858"/>
          <w:spacing w:val="-4"/>
          <w:sz w:val="18"/>
        </w:rPr>
        <w:t>integrantes</w:t>
      </w:r>
      <w:r>
        <w:rPr>
          <w:rFonts w:ascii="Trebuchet MS"/>
          <w:color w:val="585858"/>
          <w:spacing w:val="-19"/>
          <w:sz w:val="18"/>
        </w:rPr>
        <w:t xml:space="preserve"> </w:t>
      </w:r>
      <w:r>
        <w:rPr>
          <w:rFonts w:ascii="Trebuchet MS"/>
          <w:color w:val="585858"/>
          <w:spacing w:val="-4"/>
          <w:sz w:val="18"/>
        </w:rPr>
        <w:t xml:space="preserve">de </w:t>
      </w:r>
      <w:r>
        <w:rPr>
          <w:rFonts w:ascii="Trebuchet MS"/>
          <w:color w:val="585858"/>
          <w:sz w:val="18"/>
        </w:rPr>
        <w:t>una</w:t>
      </w:r>
      <w:r>
        <w:rPr>
          <w:rFonts w:ascii="Trebuchet MS"/>
          <w:color w:val="585858"/>
          <w:spacing w:val="-18"/>
          <w:sz w:val="18"/>
        </w:rPr>
        <w:t xml:space="preserve"> </w:t>
      </w:r>
      <w:r>
        <w:rPr>
          <w:rFonts w:ascii="Trebuchet MS"/>
          <w:color w:val="585858"/>
          <w:sz w:val="18"/>
        </w:rPr>
        <w:t>olla</w:t>
      </w:r>
    </w:p>
    <w:p w14:paraId="013749D4" w14:textId="77777777" w:rsidR="000E52B0" w:rsidRDefault="00F60D74">
      <w:pPr>
        <w:spacing w:before="35" w:line="252" w:lineRule="auto"/>
        <w:ind w:left="303" w:hanging="232"/>
        <w:rPr>
          <w:rFonts w:ascii="Trebuchet MS"/>
          <w:sz w:val="18"/>
        </w:rPr>
      </w:pPr>
      <w:r>
        <w:br w:type="column"/>
      </w:r>
      <w:r>
        <w:rPr>
          <w:rFonts w:ascii="Trebuchet MS"/>
          <w:color w:val="585858"/>
          <w:sz w:val="18"/>
        </w:rPr>
        <w:t>Problemas</w:t>
      </w:r>
      <w:r>
        <w:rPr>
          <w:rFonts w:ascii="Trebuchet MS"/>
          <w:color w:val="585858"/>
          <w:spacing w:val="-19"/>
          <w:sz w:val="18"/>
        </w:rPr>
        <w:t xml:space="preserve"> </w:t>
      </w:r>
      <w:r>
        <w:rPr>
          <w:rFonts w:ascii="Trebuchet MS"/>
          <w:color w:val="585858"/>
          <w:sz w:val="18"/>
        </w:rPr>
        <w:t>con</w:t>
      </w:r>
      <w:r>
        <w:rPr>
          <w:rFonts w:ascii="Trebuchet MS"/>
          <w:color w:val="585858"/>
          <w:spacing w:val="-17"/>
          <w:sz w:val="18"/>
        </w:rPr>
        <w:t xml:space="preserve"> </w:t>
      </w:r>
      <w:r>
        <w:rPr>
          <w:rFonts w:ascii="Trebuchet MS"/>
          <w:color w:val="585858"/>
          <w:sz w:val="18"/>
        </w:rPr>
        <w:t xml:space="preserve">la </w:t>
      </w:r>
      <w:r>
        <w:rPr>
          <w:rFonts w:ascii="Trebuchet MS"/>
          <w:color w:val="585858"/>
          <w:spacing w:val="-2"/>
          <w:sz w:val="18"/>
        </w:rPr>
        <w:t>comunidad</w:t>
      </w:r>
    </w:p>
    <w:p w14:paraId="4117EAC2" w14:textId="77777777" w:rsidR="000E52B0" w:rsidRDefault="00F60D74">
      <w:pPr>
        <w:spacing w:before="35" w:line="252" w:lineRule="auto"/>
        <w:ind w:left="73"/>
        <w:jc w:val="center"/>
        <w:rPr>
          <w:rFonts w:ascii="Trebuchet MS"/>
          <w:sz w:val="18"/>
        </w:rPr>
      </w:pPr>
      <w:r>
        <w:br w:type="column"/>
      </w:r>
      <w:r>
        <w:rPr>
          <w:rFonts w:ascii="Trebuchet MS"/>
          <w:color w:val="585858"/>
          <w:sz w:val="18"/>
        </w:rPr>
        <w:t>Ser</w:t>
      </w:r>
      <w:r>
        <w:rPr>
          <w:rFonts w:ascii="Trebuchet MS"/>
          <w:color w:val="585858"/>
          <w:spacing w:val="-4"/>
          <w:sz w:val="18"/>
        </w:rPr>
        <w:t xml:space="preserve"> </w:t>
      </w:r>
      <w:r>
        <w:rPr>
          <w:rFonts w:ascii="Trebuchet MS"/>
          <w:color w:val="585858"/>
          <w:sz w:val="18"/>
        </w:rPr>
        <w:t>forzado</w:t>
      </w:r>
      <w:r>
        <w:rPr>
          <w:rFonts w:ascii="Trebuchet MS"/>
          <w:color w:val="585858"/>
          <w:spacing w:val="-3"/>
          <w:sz w:val="18"/>
        </w:rPr>
        <w:t xml:space="preserve"> </w:t>
      </w:r>
      <w:r>
        <w:rPr>
          <w:rFonts w:ascii="Trebuchet MS"/>
          <w:color w:val="585858"/>
          <w:sz w:val="18"/>
        </w:rPr>
        <w:t>a cumplir</w:t>
      </w:r>
      <w:r>
        <w:rPr>
          <w:rFonts w:ascii="Trebuchet MS"/>
          <w:color w:val="585858"/>
          <w:spacing w:val="-18"/>
          <w:sz w:val="18"/>
        </w:rPr>
        <w:t xml:space="preserve"> </w:t>
      </w:r>
      <w:r>
        <w:rPr>
          <w:rFonts w:ascii="Trebuchet MS"/>
          <w:color w:val="585858"/>
          <w:sz w:val="18"/>
        </w:rPr>
        <w:t xml:space="preserve">con </w:t>
      </w:r>
      <w:r>
        <w:rPr>
          <w:rFonts w:ascii="Trebuchet MS"/>
          <w:color w:val="585858"/>
          <w:spacing w:val="-4"/>
          <w:sz w:val="18"/>
        </w:rPr>
        <w:t>tareas</w:t>
      </w:r>
      <w:r>
        <w:rPr>
          <w:rFonts w:ascii="Trebuchet MS"/>
          <w:color w:val="585858"/>
          <w:spacing w:val="-21"/>
          <w:sz w:val="18"/>
        </w:rPr>
        <w:t xml:space="preserve"> </w:t>
      </w:r>
      <w:r>
        <w:rPr>
          <w:rFonts w:ascii="Trebuchet MS"/>
          <w:color w:val="585858"/>
          <w:spacing w:val="-4"/>
          <w:sz w:val="18"/>
        </w:rPr>
        <w:t>en</w:t>
      </w:r>
      <w:r>
        <w:rPr>
          <w:rFonts w:ascii="Trebuchet MS"/>
          <w:color w:val="585858"/>
          <w:spacing w:val="-19"/>
          <w:sz w:val="18"/>
        </w:rPr>
        <w:t xml:space="preserve"> </w:t>
      </w:r>
      <w:r>
        <w:rPr>
          <w:rFonts w:ascii="Trebuchet MS"/>
          <w:color w:val="585858"/>
          <w:spacing w:val="-4"/>
          <w:sz w:val="18"/>
        </w:rPr>
        <w:t xml:space="preserve">contra </w:t>
      </w:r>
      <w:r>
        <w:rPr>
          <w:rFonts w:ascii="Trebuchet MS"/>
          <w:color w:val="585858"/>
          <w:sz w:val="18"/>
        </w:rPr>
        <w:t>de</w:t>
      </w:r>
      <w:r>
        <w:rPr>
          <w:rFonts w:ascii="Trebuchet MS"/>
          <w:color w:val="585858"/>
          <w:spacing w:val="-1"/>
          <w:sz w:val="18"/>
        </w:rPr>
        <w:t xml:space="preserve"> </w:t>
      </w:r>
      <w:r>
        <w:rPr>
          <w:rFonts w:ascii="Trebuchet MS"/>
          <w:color w:val="585858"/>
          <w:sz w:val="18"/>
        </w:rPr>
        <w:t>su</w:t>
      </w:r>
      <w:r>
        <w:rPr>
          <w:rFonts w:ascii="Trebuchet MS"/>
          <w:color w:val="585858"/>
          <w:spacing w:val="-2"/>
          <w:sz w:val="18"/>
        </w:rPr>
        <w:t xml:space="preserve"> </w:t>
      </w:r>
      <w:r>
        <w:rPr>
          <w:rFonts w:ascii="Trebuchet MS"/>
          <w:color w:val="585858"/>
          <w:sz w:val="18"/>
        </w:rPr>
        <w:t>voluntad</w:t>
      </w:r>
    </w:p>
    <w:p w14:paraId="4D95FCC7" w14:textId="77777777" w:rsidR="000E52B0" w:rsidRDefault="00F60D74">
      <w:pPr>
        <w:spacing w:before="35" w:line="252" w:lineRule="auto"/>
        <w:ind w:left="116" w:firstLine="45"/>
        <w:rPr>
          <w:rFonts w:ascii="Trebuchet MS"/>
          <w:sz w:val="18"/>
        </w:rPr>
      </w:pPr>
      <w:r>
        <w:br w:type="column"/>
      </w:r>
      <w:r>
        <w:rPr>
          <w:rFonts w:ascii="Trebuchet MS"/>
          <w:color w:val="585858"/>
          <w:sz w:val="18"/>
        </w:rPr>
        <w:t>Problemas</w:t>
      </w:r>
      <w:r>
        <w:rPr>
          <w:rFonts w:ascii="Trebuchet MS"/>
          <w:color w:val="585858"/>
          <w:spacing w:val="-19"/>
          <w:sz w:val="18"/>
        </w:rPr>
        <w:t xml:space="preserve"> </w:t>
      </w:r>
      <w:r>
        <w:rPr>
          <w:rFonts w:ascii="Trebuchet MS"/>
          <w:color w:val="585858"/>
          <w:sz w:val="18"/>
        </w:rPr>
        <w:t>con grupos</w:t>
      </w:r>
      <w:r>
        <w:rPr>
          <w:rFonts w:ascii="Trebuchet MS"/>
          <w:color w:val="585858"/>
          <w:spacing w:val="-16"/>
          <w:sz w:val="18"/>
        </w:rPr>
        <w:t xml:space="preserve"> </w:t>
      </w:r>
      <w:r>
        <w:rPr>
          <w:rFonts w:ascii="Trebuchet MS"/>
          <w:color w:val="585858"/>
          <w:spacing w:val="-6"/>
          <w:sz w:val="18"/>
        </w:rPr>
        <w:t>juveniles</w:t>
      </w:r>
    </w:p>
    <w:p w14:paraId="0E0F3D9B" w14:textId="77777777" w:rsidR="000E52B0" w:rsidRDefault="00F60D74">
      <w:pPr>
        <w:spacing w:before="35"/>
        <w:ind w:left="577"/>
        <w:rPr>
          <w:rFonts w:ascii="Trebuchet MS"/>
          <w:sz w:val="18"/>
        </w:rPr>
      </w:pPr>
      <w:r>
        <w:br w:type="column"/>
      </w:r>
      <w:r>
        <w:rPr>
          <w:rFonts w:ascii="Trebuchet MS"/>
          <w:color w:val="585858"/>
          <w:spacing w:val="-4"/>
          <w:sz w:val="18"/>
        </w:rPr>
        <w:t>Otra</w:t>
      </w:r>
    </w:p>
    <w:p w14:paraId="79BB1894" w14:textId="77777777" w:rsidR="000E52B0" w:rsidRDefault="000E52B0">
      <w:pPr>
        <w:rPr>
          <w:rFonts w:ascii="Trebuchet MS"/>
          <w:sz w:val="18"/>
        </w:rPr>
        <w:sectPr w:rsidR="000E52B0">
          <w:type w:val="continuous"/>
          <w:pgSz w:w="11910" w:h="16840"/>
          <w:pgMar w:top="1340" w:right="720" w:bottom="1280" w:left="720" w:header="0" w:footer="995" w:gutter="0"/>
          <w:cols w:num="5" w:space="720" w:equalWidth="0">
            <w:col w:w="3737" w:space="40"/>
            <w:col w:w="1422" w:space="39"/>
            <w:col w:w="1341" w:space="39"/>
            <w:col w:w="1380" w:space="40"/>
            <w:col w:w="2432"/>
          </w:cols>
        </w:sectPr>
      </w:pPr>
    </w:p>
    <w:p w14:paraId="19AAEB97" w14:textId="77777777" w:rsidR="000E52B0" w:rsidRDefault="00F60D74">
      <w:pPr>
        <w:spacing w:before="180"/>
        <w:ind w:left="72"/>
        <w:jc w:val="center"/>
        <w:rPr>
          <w:rFonts w:ascii="Trebuchet MS"/>
          <w:sz w:val="18"/>
        </w:rPr>
      </w:pPr>
      <w:r>
        <w:rPr>
          <w:noProof/>
        </w:rPr>
        <w:drawing>
          <wp:inline distT="0" distB="0" distL="0" distR="0" wp14:anchorId="4B232762" wp14:editId="1EAAA66E">
            <wp:extent cx="62779" cy="62779"/>
            <wp:effectExtent l="0" t="0" r="0" b="0"/>
            <wp:docPr id="714" name="Image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 name="Image 714"/>
                    <pic:cNvPicPr/>
                  </pic:nvPicPr>
                  <pic:blipFill>
                    <a:blip r:embed="rId74" cstate="print"/>
                    <a:stretch>
                      <a:fillRect/>
                    </a:stretch>
                  </pic:blipFill>
                  <pic:spPr>
                    <a:xfrm>
                      <a:off x="0" y="0"/>
                      <a:ext cx="62779" cy="62779"/>
                    </a:xfrm>
                    <a:prstGeom prst="rect">
                      <a:avLst/>
                    </a:prstGeom>
                  </pic:spPr>
                </pic:pic>
              </a:graphicData>
            </a:graphic>
          </wp:inline>
        </w:drawing>
      </w:r>
      <w:r>
        <w:rPr>
          <w:rFonts w:ascii="Times New Roman"/>
          <w:spacing w:val="-8"/>
          <w:sz w:val="20"/>
        </w:rPr>
        <w:t xml:space="preserve"> </w:t>
      </w:r>
      <w:r>
        <w:rPr>
          <w:rFonts w:ascii="Trebuchet MS"/>
          <w:color w:val="585858"/>
          <w:sz w:val="18"/>
        </w:rPr>
        <w:t>Hombres</w:t>
      </w:r>
      <w:r>
        <w:rPr>
          <w:rFonts w:ascii="Trebuchet MS"/>
          <w:color w:val="585858"/>
          <w:spacing w:val="31"/>
          <w:sz w:val="18"/>
        </w:rPr>
        <w:t xml:space="preserve">  </w:t>
      </w:r>
      <w:r>
        <w:rPr>
          <w:rFonts w:ascii="Trebuchet MS"/>
          <w:noProof/>
          <w:color w:val="585858"/>
          <w:spacing w:val="9"/>
          <w:sz w:val="18"/>
        </w:rPr>
        <w:drawing>
          <wp:inline distT="0" distB="0" distL="0" distR="0" wp14:anchorId="13BF9CE9" wp14:editId="38F34D0B">
            <wp:extent cx="62779" cy="62779"/>
            <wp:effectExtent l="0" t="0" r="0" b="0"/>
            <wp:docPr id="715" name="Imag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5" name="Image 715"/>
                    <pic:cNvPicPr/>
                  </pic:nvPicPr>
                  <pic:blipFill>
                    <a:blip r:embed="rId171" cstate="print"/>
                    <a:stretch>
                      <a:fillRect/>
                    </a:stretch>
                  </pic:blipFill>
                  <pic:spPr>
                    <a:xfrm>
                      <a:off x="0" y="0"/>
                      <a:ext cx="62779" cy="62779"/>
                    </a:xfrm>
                    <a:prstGeom prst="rect">
                      <a:avLst/>
                    </a:prstGeom>
                  </pic:spPr>
                </pic:pic>
              </a:graphicData>
            </a:graphic>
          </wp:inline>
        </w:drawing>
      </w:r>
      <w:r>
        <w:rPr>
          <w:rFonts w:ascii="Times New Roman"/>
          <w:color w:val="585858"/>
          <w:spacing w:val="-12"/>
          <w:sz w:val="18"/>
        </w:rPr>
        <w:t xml:space="preserve"> </w:t>
      </w:r>
      <w:r>
        <w:rPr>
          <w:rFonts w:ascii="Trebuchet MS"/>
          <w:color w:val="585858"/>
          <w:sz w:val="18"/>
        </w:rPr>
        <w:t>Mujeres</w:t>
      </w:r>
      <w:r>
        <w:rPr>
          <w:rFonts w:ascii="Trebuchet MS"/>
          <w:color w:val="585858"/>
          <w:spacing w:val="31"/>
          <w:sz w:val="18"/>
        </w:rPr>
        <w:t xml:space="preserve">  </w:t>
      </w:r>
      <w:r>
        <w:rPr>
          <w:rFonts w:ascii="Trebuchet MS"/>
          <w:noProof/>
          <w:color w:val="585858"/>
          <w:spacing w:val="9"/>
          <w:sz w:val="18"/>
        </w:rPr>
        <w:drawing>
          <wp:inline distT="0" distB="0" distL="0" distR="0" wp14:anchorId="68DF73E3" wp14:editId="5F6DC3F3">
            <wp:extent cx="62779" cy="62779"/>
            <wp:effectExtent l="0" t="0" r="0" b="0"/>
            <wp:docPr id="716" name="Image 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6" name="Image 716"/>
                    <pic:cNvPicPr/>
                  </pic:nvPicPr>
                  <pic:blipFill>
                    <a:blip r:embed="rId161" cstate="print"/>
                    <a:stretch>
                      <a:fillRect/>
                    </a:stretch>
                  </pic:blipFill>
                  <pic:spPr>
                    <a:xfrm>
                      <a:off x="0" y="0"/>
                      <a:ext cx="62779" cy="62779"/>
                    </a:xfrm>
                    <a:prstGeom prst="rect">
                      <a:avLst/>
                    </a:prstGeom>
                  </pic:spPr>
                </pic:pic>
              </a:graphicData>
            </a:graphic>
          </wp:inline>
        </w:drawing>
      </w:r>
      <w:r>
        <w:rPr>
          <w:rFonts w:ascii="Times New Roman"/>
          <w:color w:val="585858"/>
          <w:spacing w:val="-12"/>
          <w:sz w:val="18"/>
        </w:rPr>
        <w:t xml:space="preserve"> </w:t>
      </w:r>
      <w:r>
        <w:rPr>
          <w:rFonts w:ascii="Trebuchet MS"/>
          <w:color w:val="585858"/>
          <w:sz w:val="18"/>
        </w:rPr>
        <w:t>Total</w:t>
      </w:r>
    </w:p>
    <w:p w14:paraId="4D1CC337" w14:textId="77777777" w:rsidR="000E52B0" w:rsidRDefault="000E52B0">
      <w:pPr>
        <w:pStyle w:val="Textoindependiente"/>
        <w:spacing w:before="150"/>
        <w:ind w:left="0"/>
        <w:rPr>
          <w:rFonts w:ascii="Trebuchet MS"/>
          <w:sz w:val="18"/>
        </w:rPr>
      </w:pPr>
    </w:p>
    <w:p w14:paraId="6379FA22" w14:textId="77777777" w:rsidR="000E52B0" w:rsidRDefault="00F60D74">
      <w:pPr>
        <w:ind w:left="2"/>
        <w:jc w:val="center"/>
        <w:rPr>
          <w:i/>
          <w:sz w:val="18"/>
        </w:rPr>
      </w:pPr>
      <w:r>
        <w:rPr>
          <w:i/>
          <w:color w:val="454551"/>
          <w:sz w:val="18"/>
        </w:rPr>
        <w:t>Fuente</w:t>
      </w:r>
      <w:r>
        <w:rPr>
          <w:i/>
          <w:color w:val="454551"/>
          <w:spacing w:val="-2"/>
          <w:sz w:val="18"/>
        </w:rPr>
        <w:t xml:space="preserve"> </w:t>
      </w:r>
      <w:r>
        <w:rPr>
          <w:i/>
          <w:color w:val="454551"/>
          <w:sz w:val="18"/>
        </w:rPr>
        <w:t>43.</w:t>
      </w:r>
      <w:r>
        <w:rPr>
          <w:i/>
          <w:color w:val="454551"/>
          <w:spacing w:val="-4"/>
          <w:sz w:val="18"/>
        </w:rPr>
        <w:t xml:space="preserve"> </w:t>
      </w:r>
      <w:r>
        <w:rPr>
          <w:i/>
          <w:color w:val="454551"/>
          <w:sz w:val="18"/>
        </w:rPr>
        <w:t>DANE,</w:t>
      </w:r>
      <w:r>
        <w:rPr>
          <w:i/>
          <w:color w:val="454551"/>
          <w:spacing w:val="-2"/>
          <w:sz w:val="18"/>
        </w:rPr>
        <w:t xml:space="preserve"> </w:t>
      </w:r>
      <w:r>
        <w:rPr>
          <w:i/>
          <w:color w:val="454551"/>
          <w:sz w:val="18"/>
        </w:rPr>
        <w:t>CHC</w:t>
      </w:r>
      <w:r>
        <w:rPr>
          <w:i/>
          <w:color w:val="454551"/>
          <w:spacing w:val="-2"/>
          <w:sz w:val="18"/>
        </w:rPr>
        <w:t xml:space="preserve"> </w:t>
      </w:r>
      <w:r>
        <w:rPr>
          <w:i/>
          <w:color w:val="454551"/>
          <w:sz w:val="18"/>
        </w:rPr>
        <w:t>2017</w:t>
      </w:r>
      <w:r>
        <w:rPr>
          <w:i/>
          <w:color w:val="454551"/>
          <w:spacing w:val="-3"/>
          <w:sz w:val="18"/>
        </w:rPr>
        <w:t xml:space="preserve"> </w:t>
      </w:r>
      <w:r>
        <w:rPr>
          <w:i/>
          <w:color w:val="454551"/>
          <w:sz w:val="18"/>
        </w:rPr>
        <w:t>al</w:t>
      </w:r>
      <w:r>
        <w:rPr>
          <w:i/>
          <w:color w:val="454551"/>
          <w:spacing w:val="-2"/>
          <w:sz w:val="18"/>
        </w:rPr>
        <w:t xml:space="preserve"> </w:t>
      </w:r>
      <w:r>
        <w:rPr>
          <w:i/>
          <w:color w:val="454551"/>
          <w:spacing w:val="-4"/>
          <w:sz w:val="18"/>
        </w:rPr>
        <w:t>2021</w:t>
      </w:r>
    </w:p>
    <w:p w14:paraId="597DCC6E" w14:textId="1E457A58" w:rsidR="000E52B0" w:rsidRDefault="00F60D74">
      <w:pPr>
        <w:pStyle w:val="Textoindependiente"/>
        <w:spacing w:before="201"/>
        <w:ind w:right="716"/>
        <w:jc w:val="both"/>
      </w:pPr>
      <w:r>
        <w:t>Asimismo,</w:t>
      </w:r>
      <w:r>
        <w:rPr>
          <w:spacing w:val="-1"/>
        </w:rPr>
        <w:t xml:space="preserve"> </w:t>
      </w:r>
      <w:r>
        <w:t>la</w:t>
      </w:r>
      <w:r>
        <w:rPr>
          <w:spacing w:val="-1"/>
        </w:rPr>
        <w:t xml:space="preserve"> </w:t>
      </w:r>
      <w:r>
        <w:t>materialización</w:t>
      </w:r>
      <w:r>
        <w:rPr>
          <w:spacing w:val="-1"/>
        </w:rPr>
        <w:t xml:space="preserve"> </w:t>
      </w:r>
      <w:r>
        <w:t>de las</w:t>
      </w:r>
      <w:r>
        <w:rPr>
          <w:spacing w:val="-1"/>
        </w:rPr>
        <w:t xml:space="preserve"> </w:t>
      </w:r>
      <w:r>
        <w:t>violencias</w:t>
      </w:r>
      <w:r>
        <w:rPr>
          <w:spacing w:val="-1"/>
        </w:rPr>
        <w:t xml:space="preserve"> </w:t>
      </w:r>
      <w:r>
        <w:t>ocurre de manera cotidiana, no es un asunto de percepción de quien habita las calles. De acuerdo con la</w:t>
      </w:r>
      <w:r>
        <w:rPr>
          <w:spacing w:val="-7"/>
        </w:rPr>
        <w:t xml:space="preserve"> </w:t>
      </w:r>
      <w:r>
        <w:t>información</w:t>
      </w:r>
      <w:r>
        <w:rPr>
          <w:spacing w:val="-7"/>
        </w:rPr>
        <w:t xml:space="preserve"> </w:t>
      </w:r>
      <w:r>
        <w:t>del</w:t>
      </w:r>
      <w:r>
        <w:rPr>
          <w:spacing w:val="-7"/>
        </w:rPr>
        <w:t xml:space="preserve"> </w:t>
      </w:r>
      <w:r>
        <w:t>Instituto</w:t>
      </w:r>
      <w:r>
        <w:rPr>
          <w:spacing w:val="-6"/>
        </w:rPr>
        <w:t xml:space="preserve"> </w:t>
      </w:r>
      <w:r>
        <w:t>Nacional</w:t>
      </w:r>
      <w:r>
        <w:rPr>
          <w:spacing w:val="-7"/>
        </w:rPr>
        <w:t xml:space="preserve"> </w:t>
      </w:r>
      <w:r>
        <w:t>de</w:t>
      </w:r>
      <w:r>
        <w:rPr>
          <w:spacing w:val="-3"/>
        </w:rPr>
        <w:t xml:space="preserve"> </w:t>
      </w:r>
      <w:r>
        <w:t>Medicina</w:t>
      </w:r>
      <w:r>
        <w:rPr>
          <w:spacing w:val="-6"/>
        </w:rPr>
        <w:t xml:space="preserve"> </w:t>
      </w:r>
      <w:r>
        <w:t>Legal</w:t>
      </w:r>
      <w:r>
        <w:rPr>
          <w:spacing w:val="-8"/>
        </w:rPr>
        <w:t xml:space="preserve"> </w:t>
      </w:r>
      <w:r>
        <w:t>y</w:t>
      </w:r>
      <w:r>
        <w:rPr>
          <w:spacing w:val="-7"/>
        </w:rPr>
        <w:t xml:space="preserve"> </w:t>
      </w:r>
      <w:r>
        <w:t>Ciencias</w:t>
      </w:r>
      <w:r>
        <w:rPr>
          <w:spacing w:val="-7"/>
        </w:rPr>
        <w:t xml:space="preserve"> </w:t>
      </w:r>
      <w:r>
        <w:t>Forenses –</w:t>
      </w:r>
      <w:r>
        <w:rPr>
          <w:spacing w:val="-11"/>
        </w:rPr>
        <w:t xml:space="preserve"> </w:t>
      </w:r>
      <w:r>
        <w:t>INML-CF,</w:t>
      </w:r>
      <w:r>
        <w:rPr>
          <w:spacing w:val="-13"/>
        </w:rPr>
        <w:t xml:space="preserve"> </w:t>
      </w:r>
      <w:r>
        <w:t>durante</w:t>
      </w:r>
      <w:r>
        <w:rPr>
          <w:spacing w:val="-9"/>
        </w:rPr>
        <w:t xml:space="preserve"> </w:t>
      </w:r>
      <w:r>
        <w:t>2023,</w:t>
      </w:r>
      <w:r>
        <w:rPr>
          <w:spacing w:val="-13"/>
        </w:rPr>
        <w:t xml:space="preserve"> </w:t>
      </w:r>
      <w:r>
        <w:t>9</w:t>
      </w:r>
      <w:r>
        <w:rPr>
          <w:spacing w:val="-12"/>
        </w:rPr>
        <w:t xml:space="preserve"> </w:t>
      </w:r>
      <w:r>
        <w:t>mujeres</w:t>
      </w:r>
      <w:r>
        <w:rPr>
          <w:spacing w:val="-13"/>
        </w:rPr>
        <w:t xml:space="preserve"> </w:t>
      </w:r>
      <w:r>
        <w:t>en</w:t>
      </w:r>
      <w:r>
        <w:rPr>
          <w:spacing w:val="-11"/>
        </w:rPr>
        <w:t xml:space="preserve"> </w:t>
      </w:r>
      <w:r>
        <w:t>situación</w:t>
      </w:r>
      <w:r>
        <w:rPr>
          <w:spacing w:val="-11"/>
        </w:rPr>
        <w:t xml:space="preserve"> </w:t>
      </w:r>
      <w:r>
        <w:t>de</w:t>
      </w:r>
      <w:r>
        <w:rPr>
          <w:spacing w:val="-12"/>
        </w:rPr>
        <w:t xml:space="preserve"> </w:t>
      </w:r>
      <w:r>
        <w:t>calle</w:t>
      </w:r>
      <w:r>
        <w:rPr>
          <w:spacing w:val="-12"/>
        </w:rPr>
        <w:t xml:space="preserve"> </w:t>
      </w:r>
      <w:r>
        <w:t>fueron</w:t>
      </w:r>
      <w:r>
        <w:rPr>
          <w:spacing w:val="-13"/>
        </w:rPr>
        <w:t xml:space="preserve"> </w:t>
      </w:r>
      <w:r>
        <w:t xml:space="preserve">admitidas para exámenes </w:t>
      </w:r>
      <w:r w:rsidR="00A964A8">
        <w:t>medicolegales</w:t>
      </w:r>
      <w:r>
        <w:t xml:space="preserve"> por presunto delito sexual, 8 hombres – jóvenes- en situación de calle se suicidaron el mismo año, 252 personas fueron víctimas de violencias interpersonales, 83 murieron en accidentes de tránsito y 163 personas en situación de calle fueron asesinadas. Al menos 500 vidas pérdidas en incidentes de violencia durante 1 año.</w:t>
      </w:r>
    </w:p>
    <w:p w14:paraId="4A188F3F" w14:textId="77777777" w:rsidR="000E52B0" w:rsidRDefault="00F60D74">
      <w:pPr>
        <w:spacing w:before="160"/>
        <w:jc w:val="center"/>
        <w:rPr>
          <w:i/>
          <w:sz w:val="18"/>
        </w:rPr>
      </w:pPr>
      <w:r>
        <w:rPr>
          <w:i/>
          <w:color w:val="454551"/>
          <w:sz w:val="18"/>
        </w:rPr>
        <w:t>Ilustración 56.</w:t>
      </w:r>
      <w:r>
        <w:rPr>
          <w:i/>
          <w:color w:val="454551"/>
          <w:spacing w:val="-4"/>
          <w:sz w:val="18"/>
        </w:rPr>
        <w:t xml:space="preserve"> </w:t>
      </w:r>
      <w:r>
        <w:rPr>
          <w:i/>
          <w:color w:val="454551"/>
          <w:sz w:val="18"/>
        </w:rPr>
        <w:t>En</w:t>
      </w:r>
      <w:r>
        <w:rPr>
          <w:i/>
          <w:color w:val="454551"/>
          <w:spacing w:val="-2"/>
          <w:sz w:val="18"/>
        </w:rPr>
        <w:t xml:space="preserve"> </w:t>
      </w:r>
      <w:r>
        <w:rPr>
          <w:i/>
          <w:color w:val="454551"/>
          <w:sz w:val="18"/>
        </w:rPr>
        <w:t>los</w:t>
      </w:r>
      <w:r>
        <w:rPr>
          <w:i/>
          <w:color w:val="454551"/>
          <w:spacing w:val="-3"/>
          <w:sz w:val="18"/>
        </w:rPr>
        <w:t xml:space="preserve"> </w:t>
      </w:r>
      <w:r>
        <w:rPr>
          <w:i/>
          <w:color w:val="454551"/>
          <w:sz w:val="18"/>
        </w:rPr>
        <w:t>últimos</w:t>
      </w:r>
      <w:r>
        <w:rPr>
          <w:i/>
          <w:color w:val="454551"/>
          <w:spacing w:val="-3"/>
          <w:sz w:val="18"/>
        </w:rPr>
        <w:t xml:space="preserve"> </w:t>
      </w:r>
      <w:r>
        <w:rPr>
          <w:i/>
          <w:color w:val="454551"/>
          <w:sz w:val="18"/>
        </w:rPr>
        <w:t>30</w:t>
      </w:r>
      <w:r>
        <w:rPr>
          <w:i/>
          <w:color w:val="454551"/>
          <w:spacing w:val="-3"/>
          <w:sz w:val="18"/>
        </w:rPr>
        <w:t xml:space="preserve"> </w:t>
      </w:r>
      <w:r>
        <w:rPr>
          <w:i/>
          <w:color w:val="454551"/>
          <w:sz w:val="18"/>
        </w:rPr>
        <w:t>días</w:t>
      </w:r>
      <w:r>
        <w:rPr>
          <w:i/>
          <w:color w:val="454551"/>
          <w:spacing w:val="-4"/>
          <w:sz w:val="18"/>
        </w:rPr>
        <w:t xml:space="preserve"> </w:t>
      </w:r>
      <w:r>
        <w:rPr>
          <w:i/>
          <w:color w:val="454551"/>
          <w:sz w:val="18"/>
        </w:rPr>
        <w:t>usted</w:t>
      </w:r>
      <w:r>
        <w:rPr>
          <w:i/>
          <w:color w:val="454551"/>
          <w:spacing w:val="-3"/>
          <w:sz w:val="18"/>
        </w:rPr>
        <w:t xml:space="preserve"> </w:t>
      </w:r>
      <w:r>
        <w:rPr>
          <w:i/>
          <w:color w:val="454551"/>
          <w:sz w:val="18"/>
        </w:rPr>
        <w:t>ha</w:t>
      </w:r>
      <w:r>
        <w:rPr>
          <w:i/>
          <w:color w:val="454551"/>
          <w:spacing w:val="-3"/>
          <w:sz w:val="18"/>
        </w:rPr>
        <w:t xml:space="preserve"> </w:t>
      </w:r>
      <w:r>
        <w:rPr>
          <w:i/>
          <w:color w:val="454551"/>
          <w:sz w:val="18"/>
        </w:rPr>
        <w:t>sido</w:t>
      </w:r>
      <w:r>
        <w:rPr>
          <w:i/>
          <w:color w:val="454551"/>
          <w:spacing w:val="-2"/>
          <w:sz w:val="18"/>
        </w:rPr>
        <w:t xml:space="preserve"> </w:t>
      </w:r>
      <w:r>
        <w:rPr>
          <w:i/>
          <w:color w:val="454551"/>
          <w:sz w:val="18"/>
        </w:rPr>
        <w:t>víctima</w:t>
      </w:r>
      <w:r>
        <w:rPr>
          <w:i/>
          <w:color w:val="454551"/>
          <w:spacing w:val="-2"/>
          <w:sz w:val="18"/>
        </w:rPr>
        <w:t xml:space="preserve"> </w:t>
      </w:r>
      <w:r>
        <w:rPr>
          <w:i/>
          <w:color w:val="454551"/>
          <w:spacing w:val="-5"/>
          <w:sz w:val="18"/>
        </w:rPr>
        <w:t>de</w:t>
      </w:r>
    </w:p>
    <w:p w14:paraId="2B3C4452" w14:textId="77777777" w:rsidR="000E52B0" w:rsidRDefault="00F60D74">
      <w:pPr>
        <w:pStyle w:val="Textoindependiente"/>
        <w:spacing w:before="144"/>
        <w:ind w:left="0"/>
        <w:rPr>
          <w:i/>
          <w:sz w:val="20"/>
        </w:rPr>
      </w:pPr>
      <w:r>
        <w:rPr>
          <w:i/>
          <w:noProof/>
          <w:sz w:val="20"/>
        </w:rPr>
        <mc:AlternateContent>
          <mc:Choice Requires="wpg">
            <w:drawing>
              <wp:anchor distT="0" distB="0" distL="0" distR="0" simplePos="0" relativeHeight="487666176" behindDoc="1" locked="0" layoutInCell="1" allowOverlap="1" wp14:anchorId="11031E1E" wp14:editId="3FA71A66">
                <wp:simplePos x="0" y="0"/>
                <wp:positionH relativeFrom="page">
                  <wp:posOffset>1095692</wp:posOffset>
                </wp:positionH>
                <wp:positionV relativeFrom="paragraph">
                  <wp:posOffset>266619</wp:posOffset>
                </wp:positionV>
                <wp:extent cx="5366385" cy="1688464"/>
                <wp:effectExtent l="0" t="0" r="0" b="0"/>
                <wp:wrapTopAndBottom/>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6385" cy="1688464"/>
                          <a:chOff x="0" y="0"/>
                          <a:chExt cx="5366385" cy="1688464"/>
                        </a:xfrm>
                      </wpg:grpSpPr>
                      <wps:wsp>
                        <wps:cNvPr id="718" name="Graphic 718"/>
                        <wps:cNvSpPr/>
                        <wps:spPr>
                          <a:xfrm>
                            <a:off x="4762" y="0"/>
                            <a:ext cx="5356860" cy="1684020"/>
                          </a:xfrm>
                          <a:custGeom>
                            <a:avLst/>
                            <a:gdLst/>
                            <a:ahLst/>
                            <a:cxnLst/>
                            <a:rect l="l" t="t" r="r" b="b"/>
                            <a:pathLst>
                              <a:path w="5356860" h="1684020">
                                <a:moveTo>
                                  <a:pt x="0" y="0"/>
                                </a:moveTo>
                                <a:lnTo>
                                  <a:pt x="0" y="1683511"/>
                                </a:lnTo>
                              </a:path>
                              <a:path w="5356860" h="1684020">
                                <a:moveTo>
                                  <a:pt x="1071245" y="0"/>
                                </a:moveTo>
                                <a:lnTo>
                                  <a:pt x="1071245" y="1683511"/>
                                </a:lnTo>
                              </a:path>
                              <a:path w="5356860" h="1684020">
                                <a:moveTo>
                                  <a:pt x="2142617" y="0"/>
                                </a:moveTo>
                                <a:lnTo>
                                  <a:pt x="2142617" y="1683511"/>
                                </a:lnTo>
                              </a:path>
                              <a:path w="5356860" h="1684020">
                                <a:moveTo>
                                  <a:pt x="3213989" y="0"/>
                                </a:moveTo>
                                <a:lnTo>
                                  <a:pt x="3213989" y="1683511"/>
                                </a:lnTo>
                              </a:path>
                              <a:path w="5356860" h="1684020">
                                <a:moveTo>
                                  <a:pt x="4285360" y="0"/>
                                </a:moveTo>
                                <a:lnTo>
                                  <a:pt x="4285360" y="1683511"/>
                                </a:lnTo>
                              </a:path>
                              <a:path w="5356860" h="1684020">
                                <a:moveTo>
                                  <a:pt x="5356859" y="0"/>
                                </a:moveTo>
                                <a:lnTo>
                                  <a:pt x="5356859" y="1683511"/>
                                </a:lnTo>
                              </a:path>
                            </a:pathLst>
                          </a:custGeom>
                          <a:ln w="9525">
                            <a:solidFill>
                              <a:srgbClr val="D9D9D9"/>
                            </a:solidFill>
                            <a:prstDash val="solid"/>
                          </a:ln>
                        </wps:spPr>
                        <wps:bodyPr wrap="square" lIns="0" tIns="0" rIns="0" bIns="0" rtlCol="0">
                          <a:prstTxWarp prst="textNoShape">
                            <a:avLst/>
                          </a:prstTxWarp>
                          <a:noAutofit/>
                        </wps:bodyPr>
                      </wps:wsp>
                      <wps:wsp>
                        <wps:cNvPr id="719" name="Graphic 719"/>
                        <wps:cNvSpPr/>
                        <wps:spPr>
                          <a:xfrm>
                            <a:off x="82359" y="468883"/>
                            <a:ext cx="4544695" cy="1214755"/>
                          </a:xfrm>
                          <a:custGeom>
                            <a:avLst/>
                            <a:gdLst/>
                            <a:ahLst/>
                            <a:cxnLst/>
                            <a:rect l="l" t="t" r="r" b="b"/>
                            <a:pathLst>
                              <a:path w="4544695" h="1214755">
                                <a:moveTo>
                                  <a:pt x="259080" y="0"/>
                                </a:moveTo>
                                <a:lnTo>
                                  <a:pt x="0" y="0"/>
                                </a:lnTo>
                                <a:lnTo>
                                  <a:pt x="0" y="1214628"/>
                                </a:lnTo>
                                <a:lnTo>
                                  <a:pt x="259080" y="1214628"/>
                                </a:lnTo>
                                <a:lnTo>
                                  <a:pt x="259080" y="0"/>
                                </a:lnTo>
                                <a:close/>
                              </a:path>
                              <a:path w="4544695" h="1214755">
                                <a:moveTo>
                                  <a:pt x="1330452" y="370332"/>
                                </a:moveTo>
                                <a:lnTo>
                                  <a:pt x="1071372" y="370332"/>
                                </a:lnTo>
                                <a:lnTo>
                                  <a:pt x="1071372" y="1214628"/>
                                </a:lnTo>
                                <a:lnTo>
                                  <a:pt x="1330452" y="1214628"/>
                                </a:lnTo>
                                <a:lnTo>
                                  <a:pt x="1330452" y="370332"/>
                                </a:lnTo>
                                <a:close/>
                              </a:path>
                              <a:path w="4544695" h="1214755">
                                <a:moveTo>
                                  <a:pt x="2401824" y="525780"/>
                                </a:moveTo>
                                <a:lnTo>
                                  <a:pt x="2142744" y="525780"/>
                                </a:lnTo>
                                <a:lnTo>
                                  <a:pt x="2142744" y="1214628"/>
                                </a:lnTo>
                                <a:lnTo>
                                  <a:pt x="2401824" y="1214628"/>
                                </a:lnTo>
                                <a:lnTo>
                                  <a:pt x="2401824" y="525780"/>
                                </a:lnTo>
                                <a:close/>
                              </a:path>
                              <a:path w="4544695" h="1214755">
                                <a:moveTo>
                                  <a:pt x="3473196" y="774192"/>
                                </a:moveTo>
                                <a:lnTo>
                                  <a:pt x="3214116" y="774192"/>
                                </a:lnTo>
                                <a:lnTo>
                                  <a:pt x="3214116" y="1214628"/>
                                </a:lnTo>
                                <a:lnTo>
                                  <a:pt x="3473196" y="1214628"/>
                                </a:lnTo>
                                <a:lnTo>
                                  <a:pt x="3473196" y="774192"/>
                                </a:lnTo>
                                <a:close/>
                              </a:path>
                              <a:path w="4544695" h="1214755">
                                <a:moveTo>
                                  <a:pt x="4544568" y="1069848"/>
                                </a:moveTo>
                                <a:lnTo>
                                  <a:pt x="4285488" y="1069848"/>
                                </a:lnTo>
                                <a:lnTo>
                                  <a:pt x="4285488" y="1214628"/>
                                </a:lnTo>
                                <a:lnTo>
                                  <a:pt x="4544568" y="1214628"/>
                                </a:lnTo>
                                <a:lnTo>
                                  <a:pt x="4544568" y="1069848"/>
                                </a:lnTo>
                                <a:close/>
                              </a:path>
                            </a:pathLst>
                          </a:custGeom>
                          <a:solidFill>
                            <a:srgbClr val="E22C91"/>
                          </a:solidFill>
                        </wps:spPr>
                        <wps:bodyPr wrap="square" lIns="0" tIns="0" rIns="0" bIns="0" rtlCol="0">
                          <a:prstTxWarp prst="textNoShape">
                            <a:avLst/>
                          </a:prstTxWarp>
                          <a:noAutofit/>
                        </wps:bodyPr>
                      </wps:wsp>
                      <wps:wsp>
                        <wps:cNvPr id="720" name="Graphic 720"/>
                        <wps:cNvSpPr/>
                        <wps:spPr>
                          <a:xfrm>
                            <a:off x="411543" y="221995"/>
                            <a:ext cx="4543425" cy="1461770"/>
                          </a:xfrm>
                          <a:custGeom>
                            <a:avLst/>
                            <a:gdLst/>
                            <a:ahLst/>
                            <a:cxnLst/>
                            <a:rect l="l" t="t" r="r" b="b"/>
                            <a:pathLst>
                              <a:path w="4543425" h="1461770">
                                <a:moveTo>
                                  <a:pt x="257556" y="0"/>
                                </a:moveTo>
                                <a:lnTo>
                                  <a:pt x="0" y="0"/>
                                </a:lnTo>
                                <a:lnTo>
                                  <a:pt x="0" y="1461516"/>
                                </a:lnTo>
                                <a:lnTo>
                                  <a:pt x="257556" y="1461516"/>
                                </a:lnTo>
                                <a:lnTo>
                                  <a:pt x="257556" y="0"/>
                                </a:lnTo>
                                <a:close/>
                              </a:path>
                              <a:path w="4543425" h="1461770">
                                <a:moveTo>
                                  <a:pt x="1328928" y="414528"/>
                                </a:moveTo>
                                <a:lnTo>
                                  <a:pt x="1071372" y="414528"/>
                                </a:lnTo>
                                <a:lnTo>
                                  <a:pt x="1071372" y="1461516"/>
                                </a:lnTo>
                                <a:lnTo>
                                  <a:pt x="1328928" y="1461516"/>
                                </a:lnTo>
                                <a:lnTo>
                                  <a:pt x="1328928" y="414528"/>
                                </a:lnTo>
                                <a:close/>
                              </a:path>
                              <a:path w="4543425" h="1461770">
                                <a:moveTo>
                                  <a:pt x="2400300" y="630936"/>
                                </a:moveTo>
                                <a:lnTo>
                                  <a:pt x="2142744" y="630936"/>
                                </a:lnTo>
                                <a:lnTo>
                                  <a:pt x="2142744" y="1461516"/>
                                </a:lnTo>
                                <a:lnTo>
                                  <a:pt x="2400300" y="1461516"/>
                                </a:lnTo>
                                <a:lnTo>
                                  <a:pt x="2400300" y="630936"/>
                                </a:lnTo>
                                <a:close/>
                              </a:path>
                              <a:path w="4543425" h="1461770">
                                <a:moveTo>
                                  <a:pt x="3471672" y="1071372"/>
                                </a:moveTo>
                                <a:lnTo>
                                  <a:pt x="3214116" y="1071372"/>
                                </a:lnTo>
                                <a:lnTo>
                                  <a:pt x="3214116" y="1461516"/>
                                </a:lnTo>
                                <a:lnTo>
                                  <a:pt x="3471672" y="1461516"/>
                                </a:lnTo>
                                <a:lnTo>
                                  <a:pt x="3471672" y="1071372"/>
                                </a:lnTo>
                                <a:close/>
                              </a:path>
                              <a:path w="4543425" h="1461770">
                                <a:moveTo>
                                  <a:pt x="4543044" y="1362456"/>
                                </a:moveTo>
                                <a:lnTo>
                                  <a:pt x="4285488" y="1362456"/>
                                </a:lnTo>
                                <a:lnTo>
                                  <a:pt x="4285488" y="1461516"/>
                                </a:lnTo>
                                <a:lnTo>
                                  <a:pt x="4543044" y="1461516"/>
                                </a:lnTo>
                                <a:lnTo>
                                  <a:pt x="4543044" y="1362456"/>
                                </a:lnTo>
                                <a:close/>
                              </a:path>
                            </a:pathLst>
                          </a:custGeom>
                          <a:solidFill>
                            <a:srgbClr val="741A36"/>
                          </a:solidFill>
                        </wps:spPr>
                        <wps:bodyPr wrap="square" lIns="0" tIns="0" rIns="0" bIns="0" rtlCol="0">
                          <a:prstTxWarp prst="textNoShape">
                            <a:avLst/>
                          </a:prstTxWarp>
                          <a:noAutofit/>
                        </wps:bodyPr>
                      </wps:wsp>
                      <wps:wsp>
                        <wps:cNvPr id="721" name="Graphic 721"/>
                        <wps:cNvSpPr/>
                        <wps:spPr>
                          <a:xfrm>
                            <a:off x="739203" y="439927"/>
                            <a:ext cx="4544695" cy="1243965"/>
                          </a:xfrm>
                          <a:custGeom>
                            <a:avLst/>
                            <a:gdLst/>
                            <a:ahLst/>
                            <a:cxnLst/>
                            <a:rect l="l" t="t" r="r" b="b"/>
                            <a:pathLst>
                              <a:path w="4544695" h="1243965">
                                <a:moveTo>
                                  <a:pt x="259080" y="0"/>
                                </a:moveTo>
                                <a:lnTo>
                                  <a:pt x="0" y="0"/>
                                </a:lnTo>
                                <a:lnTo>
                                  <a:pt x="0" y="1243584"/>
                                </a:lnTo>
                                <a:lnTo>
                                  <a:pt x="259080" y="1243584"/>
                                </a:lnTo>
                                <a:lnTo>
                                  <a:pt x="259080" y="0"/>
                                </a:lnTo>
                                <a:close/>
                              </a:path>
                              <a:path w="4544695" h="1243965">
                                <a:moveTo>
                                  <a:pt x="1330452" y="374904"/>
                                </a:moveTo>
                                <a:lnTo>
                                  <a:pt x="1071372" y="374904"/>
                                </a:lnTo>
                                <a:lnTo>
                                  <a:pt x="1071372" y="1243584"/>
                                </a:lnTo>
                                <a:lnTo>
                                  <a:pt x="1330452" y="1243584"/>
                                </a:lnTo>
                                <a:lnTo>
                                  <a:pt x="1330452" y="374904"/>
                                </a:lnTo>
                                <a:close/>
                              </a:path>
                              <a:path w="4544695" h="1243965">
                                <a:moveTo>
                                  <a:pt x="2401824" y="537972"/>
                                </a:moveTo>
                                <a:lnTo>
                                  <a:pt x="2142744" y="537972"/>
                                </a:lnTo>
                                <a:lnTo>
                                  <a:pt x="2142744" y="1243584"/>
                                </a:lnTo>
                                <a:lnTo>
                                  <a:pt x="2401824" y="1243584"/>
                                </a:lnTo>
                                <a:lnTo>
                                  <a:pt x="2401824" y="537972"/>
                                </a:lnTo>
                                <a:close/>
                              </a:path>
                              <a:path w="4544695" h="1243965">
                                <a:moveTo>
                                  <a:pt x="3473196" y="809244"/>
                                </a:moveTo>
                                <a:lnTo>
                                  <a:pt x="3214116" y="809244"/>
                                </a:lnTo>
                                <a:lnTo>
                                  <a:pt x="3214116" y="1243584"/>
                                </a:lnTo>
                                <a:lnTo>
                                  <a:pt x="3473196" y="1243584"/>
                                </a:lnTo>
                                <a:lnTo>
                                  <a:pt x="3473196" y="809244"/>
                                </a:lnTo>
                                <a:close/>
                              </a:path>
                              <a:path w="4544695" h="1243965">
                                <a:moveTo>
                                  <a:pt x="4544568" y="1103376"/>
                                </a:moveTo>
                                <a:lnTo>
                                  <a:pt x="4285488" y="1103376"/>
                                </a:lnTo>
                                <a:lnTo>
                                  <a:pt x="4285488" y="1243584"/>
                                </a:lnTo>
                                <a:lnTo>
                                  <a:pt x="4544568" y="1243584"/>
                                </a:lnTo>
                                <a:lnTo>
                                  <a:pt x="4544568" y="1103376"/>
                                </a:lnTo>
                                <a:close/>
                              </a:path>
                            </a:pathLst>
                          </a:custGeom>
                          <a:solidFill>
                            <a:srgbClr val="9FA0A8"/>
                          </a:solidFill>
                        </wps:spPr>
                        <wps:bodyPr wrap="square" lIns="0" tIns="0" rIns="0" bIns="0" rtlCol="0">
                          <a:prstTxWarp prst="textNoShape">
                            <a:avLst/>
                          </a:prstTxWarp>
                          <a:noAutofit/>
                        </wps:bodyPr>
                      </wps:wsp>
                      <wps:wsp>
                        <wps:cNvPr id="722" name="Graphic 722"/>
                        <wps:cNvSpPr/>
                        <wps:spPr>
                          <a:xfrm>
                            <a:off x="4762" y="1683511"/>
                            <a:ext cx="5356860" cy="1270"/>
                          </a:xfrm>
                          <a:custGeom>
                            <a:avLst/>
                            <a:gdLst/>
                            <a:ahLst/>
                            <a:cxnLst/>
                            <a:rect l="l" t="t" r="r" b="b"/>
                            <a:pathLst>
                              <a:path w="5356860">
                                <a:moveTo>
                                  <a:pt x="0" y="0"/>
                                </a:moveTo>
                                <a:lnTo>
                                  <a:pt x="5356859" y="0"/>
                                </a:lnTo>
                              </a:path>
                            </a:pathLst>
                          </a:custGeom>
                          <a:ln w="9525">
                            <a:solidFill>
                              <a:srgbClr val="D9D9D9"/>
                            </a:solidFill>
                            <a:prstDash val="solid"/>
                          </a:ln>
                        </wps:spPr>
                        <wps:bodyPr wrap="square" lIns="0" tIns="0" rIns="0" bIns="0" rtlCol="0">
                          <a:prstTxWarp prst="textNoShape">
                            <a:avLst/>
                          </a:prstTxWarp>
                          <a:noAutofit/>
                        </wps:bodyPr>
                      </wps:wsp>
                      <wps:wsp>
                        <wps:cNvPr id="723" name="Textbox 723"/>
                        <wps:cNvSpPr txBox="1"/>
                        <wps:spPr>
                          <a:xfrm>
                            <a:off x="432879" y="25645"/>
                            <a:ext cx="229235" cy="139700"/>
                          </a:xfrm>
                          <a:prstGeom prst="rect">
                            <a:avLst/>
                          </a:prstGeom>
                        </wps:spPr>
                        <wps:txbx>
                          <w:txbxContent>
                            <w:p w14:paraId="4A8C4E31" w14:textId="77777777" w:rsidR="000E52B0" w:rsidRDefault="00F60D74">
                              <w:pPr>
                                <w:rPr>
                                  <w:rFonts w:ascii="Trebuchet MS"/>
                                  <w:sz w:val="18"/>
                                </w:rPr>
                              </w:pPr>
                              <w:r>
                                <w:rPr>
                                  <w:rFonts w:ascii="Trebuchet MS"/>
                                  <w:color w:val="404040"/>
                                  <w:spacing w:val="-5"/>
                                  <w:w w:val="115"/>
                                  <w:sz w:val="18"/>
                                </w:rPr>
                                <w:t>35%</w:t>
                              </w:r>
                            </w:p>
                          </w:txbxContent>
                        </wps:txbx>
                        <wps:bodyPr wrap="square" lIns="0" tIns="0" rIns="0" bIns="0" rtlCol="0">
                          <a:noAutofit/>
                        </wps:bodyPr>
                      </wps:wsp>
                      <wps:wsp>
                        <wps:cNvPr id="724" name="Textbox 724"/>
                        <wps:cNvSpPr txBox="1"/>
                        <wps:spPr>
                          <a:xfrm>
                            <a:off x="104000" y="273168"/>
                            <a:ext cx="229235" cy="139700"/>
                          </a:xfrm>
                          <a:prstGeom prst="rect">
                            <a:avLst/>
                          </a:prstGeom>
                        </wps:spPr>
                        <wps:txbx>
                          <w:txbxContent>
                            <w:p w14:paraId="3F699CCC" w14:textId="77777777" w:rsidR="000E52B0" w:rsidRDefault="00F60D74">
                              <w:pPr>
                                <w:rPr>
                                  <w:rFonts w:ascii="Trebuchet MS"/>
                                  <w:sz w:val="18"/>
                                </w:rPr>
                              </w:pPr>
                              <w:r>
                                <w:rPr>
                                  <w:rFonts w:ascii="Trebuchet MS"/>
                                  <w:color w:val="404040"/>
                                  <w:spacing w:val="-5"/>
                                  <w:w w:val="115"/>
                                  <w:sz w:val="18"/>
                                </w:rPr>
                                <w:t>29%</w:t>
                              </w:r>
                            </w:p>
                          </w:txbxContent>
                        </wps:txbx>
                        <wps:bodyPr wrap="square" lIns="0" tIns="0" rIns="0" bIns="0" rtlCol="0">
                          <a:noAutofit/>
                        </wps:bodyPr>
                      </wps:wsp>
                      <wps:wsp>
                        <wps:cNvPr id="725" name="Textbox 725"/>
                        <wps:cNvSpPr txBox="1"/>
                        <wps:spPr>
                          <a:xfrm>
                            <a:off x="761428" y="243577"/>
                            <a:ext cx="229235" cy="139700"/>
                          </a:xfrm>
                          <a:prstGeom prst="rect">
                            <a:avLst/>
                          </a:prstGeom>
                        </wps:spPr>
                        <wps:txbx>
                          <w:txbxContent>
                            <w:p w14:paraId="0E899E23" w14:textId="77777777" w:rsidR="000E52B0" w:rsidRDefault="00F60D74">
                              <w:pPr>
                                <w:rPr>
                                  <w:rFonts w:ascii="Trebuchet MS"/>
                                  <w:sz w:val="18"/>
                                </w:rPr>
                              </w:pPr>
                              <w:r>
                                <w:rPr>
                                  <w:rFonts w:ascii="Trebuchet MS"/>
                                  <w:color w:val="404040"/>
                                  <w:spacing w:val="-5"/>
                                  <w:w w:val="115"/>
                                  <w:sz w:val="18"/>
                                </w:rPr>
                                <w:t>30%</w:t>
                              </w:r>
                            </w:p>
                          </w:txbxContent>
                        </wps:txbx>
                        <wps:bodyPr wrap="square" lIns="0" tIns="0" rIns="0" bIns="0" rtlCol="0">
                          <a:noAutofit/>
                        </wps:bodyPr>
                      </wps:wsp>
                      <wps:wsp>
                        <wps:cNvPr id="726" name="Textbox 726"/>
                        <wps:cNvSpPr txBox="1"/>
                        <wps:spPr>
                          <a:xfrm>
                            <a:off x="1504505" y="440554"/>
                            <a:ext cx="229235" cy="139700"/>
                          </a:xfrm>
                          <a:prstGeom prst="rect">
                            <a:avLst/>
                          </a:prstGeom>
                        </wps:spPr>
                        <wps:txbx>
                          <w:txbxContent>
                            <w:p w14:paraId="034E9DE9" w14:textId="77777777" w:rsidR="000E52B0" w:rsidRDefault="00F60D74">
                              <w:pPr>
                                <w:rPr>
                                  <w:rFonts w:ascii="Trebuchet MS"/>
                                  <w:sz w:val="18"/>
                                </w:rPr>
                              </w:pPr>
                              <w:r>
                                <w:rPr>
                                  <w:rFonts w:ascii="Trebuchet MS"/>
                                  <w:color w:val="404040"/>
                                  <w:spacing w:val="-5"/>
                                  <w:w w:val="115"/>
                                  <w:sz w:val="18"/>
                                </w:rPr>
                                <w:t>25%</w:t>
                              </w:r>
                            </w:p>
                          </w:txbxContent>
                        </wps:txbx>
                        <wps:bodyPr wrap="square" lIns="0" tIns="0" rIns="0" bIns="0" rtlCol="0">
                          <a:noAutofit/>
                        </wps:bodyPr>
                      </wps:wsp>
                      <wps:wsp>
                        <wps:cNvPr id="727" name="Textbox 727"/>
                        <wps:cNvSpPr txBox="1"/>
                        <wps:spPr>
                          <a:xfrm>
                            <a:off x="1175702" y="642865"/>
                            <a:ext cx="229235" cy="139700"/>
                          </a:xfrm>
                          <a:prstGeom prst="rect">
                            <a:avLst/>
                          </a:prstGeom>
                        </wps:spPr>
                        <wps:txbx>
                          <w:txbxContent>
                            <w:p w14:paraId="55066452" w14:textId="77777777" w:rsidR="000E52B0" w:rsidRDefault="00F60D74">
                              <w:pPr>
                                <w:rPr>
                                  <w:rFonts w:ascii="Trebuchet MS"/>
                                  <w:sz w:val="18"/>
                                </w:rPr>
                              </w:pPr>
                              <w:r>
                                <w:rPr>
                                  <w:rFonts w:ascii="Trebuchet MS"/>
                                  <w:color w:val="404040"/>
                                  <w:spacing w:val="-5"/>
                                  <w:w w:val="115"/>
                                  <w:sz w:val="18"/>
                                </w:rPr>
                                <w:t>20%</w:t>
                              </w:r>
                            </w:p>
                          </w:txbxContent>
                        </wps:txbx>
                        <wps:bodyPr wrap="square" lIns="0" tIns="0" rIns="0" bIns="0" rtlCol="0">
                          <a:noAutofit/>
                        </wps:bodyPr>
                      </wps:wsp>
                      <wps:wsp>
                        <wps:cNvPr id="728" name="Textbox 728"/>
                        <wps:cNvSpPr txBox="1"/>
                        <wps:spPr>
                          <a:xfrm>
                            <a:off x="1833181" y="618481"/>
                            <a:ext cx="229235" cy="139700"/>
                          </a:xfrm>
                          <a:prstGeom prst="rect">
                            <a:avLst/>
                          </a:prstGeom>
                        </wps:spPr>
                        <wps:txbx>
                          <w:txbxContent>
                            <w:p w14:paraId="443FEDF0" w14:textId="77777777" w:rsidR="000E52B0" w:rsidRDefault="00F60D74">
                              <w:pPr>
                                <w:rPr>
                                  <w:rFonts w:ascii="Trebuchet MS"/>
                                  <w:sz w:val="18"/>
                                </w:rPr>
                              </w:pPr>
                              <w:r>
                                <w:rPr>
                                  <w:rFonts w:ascii="Trebuchet MS"/>
                                  <w:color w:val="404040"/>
                                  <w:spacing w:val="-5"/>
                                  <w:w w:val="115"/>
                                  <w:sz w:val="18"/>
                                </w:rPr>
                                <w:t>21%</w:t>
                              </w:r>
                            </w:p>
                          </w:txbxContent>
                        </wps:txbx>
                        <wps:bodyPr wrap="square" lIns="0" tIns="0" rIns="0" bIns="0" rtlCol="0">
                          <a:noAutofit/>
                        </wps:bodyPr>
                      </wps:wsp>
                      <wps:wsp>
                        <wps:cNvPr id="729" name="Textbox 729"/>
                        <wps:cNvSpPr txBox="1"/>
                        <wps:spPr>
                          <a:xfrm>
                            <a:off x="2247328" y="656581"/>
                            <a:ext cx="886460" cy="281305"/>
                          </a:xfrm>
                          <a:prstGeom prst="rect">
                            <a:avLst/>
                          </a:prstGeom>
                        </wps:spPr>
                        <wps:txbx>
                          <w:txbxContent>
                            <w:p w14:paraId="53DD7887" w14:textId="77777777" w:rsidR="000E52B0" w:rsidRDefault="00F60D74">
                              <w:pPr>
                                <w:spacing w:line="203" w:lineRule="exact"/>
                                <w:ind w:right="18"/>
                                <w:jc w:val="center"/>
                                <w:rPr>
                                  <w:rFonts w:ascii="Trebuchet MS"/>
                                  <w:sz w:val="18"/>
                                </w:rPr>
                              </w:pPr>
                              <w:r>
                                <w:rPr>
                                  <w:rFonts w:ascii="Trebuchet MS"/>
                                  <w:color w:val="404040"/>
                                  <w:spacing w:val="-5"/>
                                  <w:w w:val="115"/>
                                  <w:sz w:val="18"/>
                                </w:rPr>
                                <w:t>20%</w:t>
                              </w:r>
                            </w:p>
                            <w:p w14:paraId="7265B3EC" w14:textId="77777777" w:rsidR="000E52B0" w:rsidRDefault="00F60D74">
                              <w:pPr>
                                <w:tabs>
                                  <w:tab w:val="left" w:pos="1035"/>
                                </w:tabs>
                                <w:spacing w:line="233" w:lineRule="exact"/>
                                <w:ind w:right="18"/>
                                <w:jc w:val="center"/>
                                <w:rPr>
                                  <w:rFonts w:ascii="Trebuchet MS"/>
                                  <w:sz w:val="18"/>
                                </w:rPr>
                              </w:pPr>
                              <w:r>
                                <w:rPr>
                                  <w:rFonts w:ascii="Trebuchet MS"/>
                                  <w:color w:val="404040"/>
                                  <w:spacing w:val="-5"/>
                                  <w:w w:val="115"/>
                                  <w:position w:val="-2"/>
                                  <w:sz w:val="18"/>
                                </w:rPr>
                                <w:t>16%</w:t>
                              </w:r>
                              <w:r>
                                <w:rPr>
                                  <w:rFonts w:ascii="Trebuchet MS"/>
                                  <w:color w:val="404040"/>
                                  <w:position w:val="-2"/>
                                  <w:sz w:val="18"/>
                                </w:rPr>
                                <w:tab/>
                              </w:r>
                              <w:r>
                                <w:rPr>
                                  <w:rFonts w:ascii="Trebuchet MS"/>
                                  <w:color w:val="404040"/>
                                  <w:spacing w:val="-5"/>
                                  <w:w w:val="115"/>
                                  <w:sz w:val="18"/>
                                </w:rPr>
                                <w:t>17%</w:t>
                              </w:r>
                            </w:p>
                          </w:txbxContent>
                        </wps:txbx>
                        <wps:bodyPr wrap="square" lIns="0" tIns="0" rIns="0" bIns="0" rtlCol="0">
                          <a:noAutofit/>
                        </wps:bodyPr>
                      </wps:wsp>
                      <wps:wsp>
                        <wps:cNvPr id="730" name="Textbox 730"/>
                        <wps:cNvSpPr txBox="1"/>
                        <wps:spPr>
                          <a:xfrm>
                            <a:off x="3319081" y="1045804"/>
                            <a:ext cx="229235" cy="140335"/>
                          </a:xfrm>
                          <a:prstGeom prst="rect">
                            <a:avLst/>
                          </a:prstGeom>
                        </wps:spPr>
                        <wps:txbx>
                          <w:txbxContent>
                            <w:p w14:paraId="1CC5060B" w14:textId="77777777" w:rsidR="000E52B0" w:rsidRDefault="00F60D74">
                              <w:pPr>
                                <w:rPr>
                                  <w:rFonts w:ascii="Trebuchet MS"/>
                                  <w:sz w:val="18"/>
                                </w:rPr>
                              </w:pPr>
                              <w:r>
                                <w:rPr>
                                  <w:rFonts w:ascii="Trebuchet MS"/>
                                  <w:color w:val="404040"/>
                                  <w:spacing w:val="-5"/>
                                  <w:w w:val="115"/>
                                  <w:sz w:val="18"/>
                                </w:rPr>
                                <w:t>10%</w:t>
                              </w:r>
                            </w:p>
                          </w:txbxContent>
                        </wps:txbx>
                        <wps:bodyPr wrap="square" lIns="0" tIns="0" rIns="0" bIns="0" rtlCol="0">
                          <a:noAutofit/>
                        </wps:bodyPr>
                      </wps:wsp>
                      <wps:wsp>
                        <wps:cNvPr id="731" name="Textbox 731"/>
                        <wps:cNvSpPr txBox="1"/>
                        <wps:spPr>
                          <a:xfrm>
                            <a:off x="3678110" y="1096763"/>
                            <a:ext cx="168275" cy="139700"/>
                          </a:xfrm>
                          <a:prstGeom prst="rect">
                            <a:avLst/>
                          </a:prstGeom>
                        </wps:spPr>
                        <wps:txbx>
                          <w:txbxContent>
                            <w:p w14:paraId="1A3475E5" w14:textId="77777777" w:rsidR="000E52B0" w:rsidRDefault="00F60D74">
                              <w:pPr>
                                <w:rPr>
                                  <w:rFonts w:ascii="Trebuchet MS"/>
                                  <w:sz w:val="18"/>
                                </w:rPr>
                              </w:pPr>
                              <w:r>
                                <w:rPr>
                                  <w:rFonts w:ascii="Trebuchet MS"/>
                                  <w:color w:val="404040"/>
                                  <w:spacing w:val="-5"/>
                                  <w:w w:val="120"/>
                                  <w:sz w:val="18"/>
                                </w:rPr>
                                <w:t>9%</w:t>
                              </w:r>
                            </w:p>
                          </w:txbxContent>
                        </wps:txbx>
                        <wps:bodyPr wrap="square" lIns="0" tIns="0" rIns="0" bIns="0" rtlCol="0">
                          <a:noAutofit/>
                        </wps:bodyPr>
                      </wps:wsp>
                      <wps:wsp>
                        <wps:cNvPr id="732" name="Textbox 732"/>
                        <wps:cNvSpPr txBox="1"/>
                        <wps:spPr>
                          <a:xfrm>
                            <a:off x="3976433" y="1052186"/>
                            <a:ext cx="229235" cy="139700"/>
                          </a:xfrm>
                          <a:prstGeom prst="rect">
                            <a:avLst/>
                          </a:prstGeom>
                        </wps:spPr>
                        <wps:txbx>
                          <w:txbxContent>
                            <w:p w14:paraId="0F4118D7" w14:textId="77777777" w:rsidR="000E52B0" w:rsidRDefault="00F60D74">
                              <w:pPr>
                                <w:rPr>
                                  <w:rFonts w:ascii="Trebuchet MS"/>
                                  <w:sz w:val="18"/>
                                </w:rPr>
                              </w:pPr>
                              <w:r>
                                <w:rPr>
                                  <w:rFonts w:ascii="Trebuchet MS"/>
                                  <w:color w:val="404040"/>
                                  <w:spacing w:val="-5"/>
                                  <w:w w:val="115"/>
                                  <w:sz w:val="18"/>
                                </w:rPr>
                                <w:t>10%</w:t>
                              </w:r>
                            </w:p>
                          </w:txbxContent>
                        </wps:txbx>
                        <wps:bodyPr wrap="square" lIns="0" tIns="0" rIns="0" bIns="0" rtlCol="0">
                          <a:noAutofit/>
                        </wps:bodyPr>
                      </wps:wsp>
                      <wps:wsp>
                        <wps:cNvPr id="733" name="Textbox 733"/>
                        <wps:cNvSpPr txBox="1"/>
                        <wps:spPr>
                          <a:xfrm>
                            <a:off x="4420933" y="1341746"/>
                            <a:ext cx="168275" cy="139700"/>
                          </a:xfrm>
                          <a:prstGeom prst="rect">
                            <a:avLst/>
                          </a:prstGeom>
                        </wps:spPr>
                        <wps:txbx>
                          <w:txbxContent>
                            <w:p w14:paraId="14898F8E" w14:textId="77777777" w:rsidR="000E52B0" w:rsidRDefault="00F60D74">
                              <w:pPr>
                                <w:rPr>
                                  <w:rFonts w:ascii="Trebuchet MS"/>
                                  <w:sz w:val="18"/>
                                </w:rPr>
                              </w:pPr>
                              <w:r>
                                <w:rPr>
                                  <w:rFonts w:ascii="Trebuchet MS"/>
                                  <w:color w:val="404040"/>
                                  <w:spacing w:val="-5"/>
                                  <w:w w:val="120"/>
                                  <w:sz w:val="18"/>
                                </w:rPr>
                                <w:t>3%</w:t>
                              </w:r>
                            </w:p>
                          </w:txbxContent>
                        </wps:txbx>
                        <wps:bodyPr wrap="square" lIns="0" tIns="0" rIns="0" bIns="0" rtlCol="0">
                          <a:noAutofit/>
                        </wps:bodyPr>
                      </wps:wsp>
                      <wps:wsp>
                        <wps:cNvPr id="734" name="Textbox 734"/>
                        <wps:cNvSpPr txBox="1"/>
                        <wps:spPr>
                          <a:xfrm>
                            <a:off x="4749736" y="1388736"/>
                            <a:ext cx="168275" cy="139700"/>
                          </a:xfrm>
                          <a:prstGeom prst="rect">
                            <a:avLst/>
                          </a:prstGeom>
                        </wps:spPr>
                        <wps:txbx>
                          <w:txbxContent>
                            <w:p w14:paraId="647C681B" w14:textId="77777777" w:rsidR="000E52B0" w:rsidRDefault="00F60D74">
                              <w:pPr>
                                <w:rPr>
                                  <w:rFonts w:ascii="Trebuchet MS"/>
                                  <w:sz w:val="18"/>
                                </w:rPr>
                              </w:pPr>
                              <w:r>
                                <w:rPr>
                                  <w:rFonts w:ascii="Trebuchet MS"/>
                                  <w:color w:val="404040"/>
                                  <w:spacing w:val="-5"/>
                                  <w:w w:val="120"/>
                                  <w:sz w:val="18"/>
                                </w:rPr>
                                <w:t>2%</w:t>
                              </w:r>
                            </w:p>
                          </w:txbxContent>
                        </wps:txbx>
                        <wps:bodyPr wrap="square" lIns="0" tIns="0" rIns="0" bIns="0" rtlCol="0">
                          <a:noAutofit/>
                        </wps:bodyPr>
                      </wps:wsp>
                      <wps:wsp>
                        <wps:cNvPr id="735" name="Textbox 735"/>
                        <wps:cNvSpPr txBox="1"/>
                        <wps:spPr>
                          <a:xfrm>
                            <a:off x="5078285" y="1347588"/>
                            <a:ext cx="168275" cy="139700"/>
                          </a:xfrm>
                          <a:prstGeom prst="rect">
                            <a:avLst/>
                          </a:prstGeom>
                        </wps:spPr>
                        <wps:txbx>
                          <w:txbxContent>
                            <w:p w14:paraId="4E2BCC62" w14:textId="77777777" w:rsidR="000E52B0" w:rsidRDefault="00F60D74">
                              <w:pPr>
                                <w:rPr>
                                  <w:rFonts w:ascii="Trebuchet MS"/>
                                  <w:sz w:val="18"/>
                                </w:rPr>
                              </w:pPr>
                              <w:r>
                                <w:rPr>
                                  <w:rFonts w:ascii="Trebuchet MS"/>
                                  <w:color w:val="404040"/>
                                  <w:spacing w:val="-5"/>
                                  <w:w w:val="120"/>
                                  <w:sz w:val="18"/>
                                </w:rPr>
                                <w:t>3%</w:t>
                              </w:r>
                            </w:p>
                          </w:txbxContent>
                        </wps:txbx>
                        <wps:bodyPr wrap="square" lIns="0" tIns="0" rIns="0" bIns="0" rtlCol="0">
                          <a:noAutofit/>
                        </wps:bodyPr>
                      </wps:wsp>
                    </wpg:wgp>
                  </a:graphicData>
                </a:graphic>
              </wp:anchor>
            </w:drawing>
          </mc:Choice>
          <mc:Fallback>
            <w:pict>
              <v:group w14:anchorId="11031E1E" id="Group 717" o:spid="_x0000_s1481" style="position:absolute;margin-left:86.25pt;margin-top:21pt;width:422.55pt;height:132.95pt;z-index:-15650304;mso-wrap-distance-left:0;mso-wrap-distance-right:0;mso-position-horizontal-relative:page;mso-position-vertical-relative:text" coordsize="53663,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">
                <v:shape id="Graphic 718" o:spid="_x0000_s1482" style="position:absolute;left:47;width:53569;height:16840;visibility:visible;mso-wrap-style:square;v-text-anchor:top" coordsize="5356860,168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" path="m,l,1683511em1071245,r,1683511em2142617,r,1683511em3213989,r,1683511em4285360,r,1683511em5356859,r,1683511e" filled="f" strokecolor="#d9d9d9">
                  <v:path arrowok="t"/>
                </v:shape>
                <v:shape id="Graphic 719" o:spid="_x0000_s1483" style="position:absolute;left:823;top:4688;width:45447;height:12148;visibility:visible;mso-wrap-style:square;v-text-anchor:top" coordsize="4544695,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" path="m259080,l,,,1214628r259080,l259080,xem1330452,370332r-259080,l1071372,1214628r259080,l1330452,370332xem2401824,525780r-259080,l2142744,1214628r259080,l2401824,525780xem3473196,774192r-259080,l3214116,1214628r259080,l3473196,774192xem4544568,1069848r-259080,l4285488,1214628r259080,l4544568,1069848xe" fillcolor="#e22c91" stroked="f">
                  <v:path arrowok="t"/>
                </v:shape>
                <v:shape id="Graphic 720" o:spid="_x0000_s1484" style="position:absolute;left:4115;top:2219;width:45434;height:14618;visibility:visible;mso-wrap-style:square;v-text-anchor:top" coordsize="4543425,14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" path="m257556,l,,,1461516r257556,l257556,xem1328928,414528r-257556,l1071372,1461516r257556,l1328928,414528xem2400300,630936r-257556,l2142744,1461516r257556,l2400300,630936xem3471672,1071372r-257556,l3214116,1461516r257556,l3471672,1071372xem4543044,1362456r-257556,l4285488,1461516r257556,l4543044,1362456xe" fillcolor="#741a36" stroked="f">
                  <v:path arrowok="t"/>
                </v:shape>
                <v:shape id="Graphic 721" o:spid="_x0000_s1485" style="position:absolute;left:7392;top:4399;width:45446;height:12439;visibility:visible;mso-wrap-style:square;v-text-anchor:top" coordsize="4544695,124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" path="m259080,l,,,1243584r259080,l259080,xem1330452,374904r-259080,l1071372,1243584r259080,l1330452,374904xem2401824,537972r-259080,l2142744,1243584r259080,l2401824,537972xem3473196,809244r-259080,l3214116,1243584r259080,l3473196,809244xem4544568,1103376r-259080,l4285488,1243584r259080,l4544568,1103376xe" fillcolor="#9fa0a8" stroked="f">
                  <v:path arrowok="t"/>
                </v:shape>
                <v:shape id="Graphic 722" o:spid="_x0000_s1486" style="position:absolute;left:47;top:16835;width:53569;height:12;visibility:visible;mso-wrap-style:square;v-text-anchor:top" coordsize="5356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" path="m,l5356859,e" filled="f" strokecolor="#d9d9d9">
                  <v:path arrowok="t"/>
                </v:shape>
                <v:shape id="Textbox 723" o:spid="_x0000_s1487" type="#_x0000_t202" style="position:absolute;left:4328;top:256;width:229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14:paraId="4A8C4E31" w14:textId="77777777" w:rsidR="000E52B0" w:rsidRDefault="00F60D74">
                        <w:pPr>
                          <w:rPr>
                            <w:rFonts w:ascii="Trebuchet MS"/>
                            <w:sz w:val="18"/>
                          </w:rPr>
                        </w:pPr>
                        <w:r>
                          <w:rPr>
                            <w:rFonts w:ascii="Trebuchet MS"/>
                            <w:color w:val="404040"/>
                            <w:spacing w:val="-5"/>
                            <w:w w:val="115"/>
                            <w:sz w:val="18"/>
                          </w:rPr>
                          <w:t>35%</w:t>
                        </w:r>
                      </w:p>
                    </w:txbxContent>
                  </v:textbox>
                </v:shape>
                <v:shape id="Textbox 724" o:spid="_x0000_s1488" type="#_x0000_t202" style="position:absolute;left:1040;top:2731;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3F699CCC" w14:textId="77777777" w:rsidR="000E52B0" w:rsidRDefault="00F60D74">
                        <w:pPr>
                          <w:rPr>
                            <w:rFonts w:ascii="Trebuchet MS"/>
                            <w:sz w:val="18"/>
                          </w:rPr>
                        </w:pPr>
                        <w:r>
                          <w:rPr>
                            <w:rFonts w:ascii="Trebuchet MS"/>
                            <w:color w:val="404040"/>
                            <w:spacing w:val="-5"/>
                            <w:w w:val="115"/>
                            <w:sz w:val="18"/>
                          </w:rPr>
                          <w:t>29%</w:t>
                        </w:r>
                      </w:p>
                    </w:txbxContent>
                  </v:textbox>
                </v:shape>
                <v:shape id="Textbox 725" o:spid="_x0000_s1489" type="#_x0000_t202" style="position:absolute;left:7614;top:2435;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0E899E23" w14:textId="77777777" w:rsidR="000E52B0" w:rsidRDefault="00F60D74">
                        <w:pPr>
                          <w:rPr>
                            <w:rFonts w:ascii="Trebuchet MS"/>
                            <w:sz w:val="18"/>
                          </w:rPr>
                        </w:pPr>
                        <w:r>
                          <w:rPr>
                            <w:rFonts w:ascii="Trebuchet MS"/>
                            <w:color w:val="404040"/>
                            <w:spacing w:val="-5"/>
                            <w:w w:val="115"/>
                            <w:sz w:val="18"/>
                          </w:rPr>
                          <w:t>30%</w:t>
                        </w:r>
                      </w:p>
                    </w:txbxContent>
                  </v:textbox>
                </v:shape>
                <v:shape id="Textbox 726" o:spid="_x0000_s1490" type="#_x0000_t202" style="position:absolute;left:15045;top:4405;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034E9DE9" w14:textId="77777777" w:rsidR="000E52B0" w:rsidRDefault="00F60D74">
                        <w:pPr>
                          <w:rPr>
                            <w:rFonts w:ascii="Trebuchet MS"/>
                            <w:sz w:val="18"/>
                          </w:rPr>
                        </w:pPr>
                        <w:r>
                          <w:rPr>
                            <w:rFonts w:ascii="Trebuchet MS"/>
                            <w:color w:val="404040"/>
                            <w:spacing w:val="-5"/>
                            <w:w w:val="115"/>
                            <w:sz w:val="18"/>
                          </w:rPr>
                          <w:t>25%</w:t>
                        </w:r>
                      </w:p>
                    </w:txbxContent>
                  </v:textbox>
                </v:shape>
                <v:shape id="Textbox 727" o:spid="_x0000_s1491" type="#_x0000_t202" style="position:absolute;left:11757;top:6428;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14:paraId="55066452" w14:textId="77777777" w:rsidR="000E52B0" w:rsidRDefault="00F60D74">
                        <w:pPr>
                          <w:rPr>
                            <w:rFonts w:ascii="Trebuchet MS"/>
                            <w:sz w:val="18"/>
                          </w:rPr>
                        </w:pPr>
                        <w:r>
                          <w:rPr>
                            <w:rFonts w:ascii="Trebuchet MS"/>
                            <w:color w:val="404040"/>
                            <w:spacing w:val="-5"/>
                            <w:w w:val="115"/>
                            <w:sz w:val="18"/>
                          </w:rPr>
                          <w:t>20%</w:t>
                        </w:r>
                      </w:p>
                    </w:txbxContent>
                  </v:textbox>
                </v:shape>
                <v:shape id="Textbox 728" o:spid="_x0000_s1492" type="#_x0000_t202" style="position:absolute;left:18331;top:6184;width:229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14:paraId="443FEDF0" w14:textId="77777777" w:rsidR="000E52B0" w:rsidRDefault="00F60D74">
                        <w:pPr>
                          <w:rPr>
                            <w:rFonts w:ascii="Trebuchet MS"/>
                            <w:sz w:val="18"/>
                          </w:rPr>
                        </w:pPr>
                        <w:r>
                          <w:rPr>
                            <w:rFonts w:ascii="Trebuchet MS"/>
                            <w:color w:val="404040"/>
                            <w:spacing w:val="-5"/>
                            <w:w w:val="115"/>
                            <w:sz w:val="18"/>
                          </w:rPr>
                          <w:t>21%</w:t>
                        </w:r>
                      </w:p>
                    </w:txbxContent>
                  </v:textbox>
                </v:shape>
                <v:shape id="Textbox 729" o:spid="_x0000_s1493" type="#_x0000_t202" style="position:absolute;left:22473;top:6565;width:8864;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53DD7887" w14:textId="77777777" w:rsidR="000E52B0" w:rsidRDefault="00F60D74">
                        <w:pPr>
                          <w:spacing w:line="203" w:lineRule="exact"/>
                          <w:ind w:right="18"/>
                          <w:jc w:val="center"/>
                          <w:rPr>
                            <w:rFonts w:ascii="Trebuchet MS"/>
                            <w:sz w:val="18"/>
                          </w:rPr>
                        </w:pPr>
                        <w:r>
                          <w:rPr>
                            <w:rFonts w:ascii="Trebuchet MS"/>
                            <w:color w:val="404040"/>
                            <w:spacing w:val="-5"/>
                            <w:w w:val="115"/>
                            <w:sz w:val="18"/>
                          </w:rPr>
                          <w:t>20%</w:t>
                        </w:r>
                      </w:p>
                      <w:p w14:paraId="7265B3EC" w14:textId="77777777" w:rsidR="000E52B0" w:rsidRDefault="00F60D74">
                        <w:pPr>
                          <w:tabs>
                            <w:tab w:val="left" w:pos="1035"/>
                          </w:tabs>
                          <w:spacing w:line="233" w:lineRule="exact"/>
                          <w:ind w:right="18"/>
                          <w:jc w:val="center"/>
                          <w:rPr>
                            <w:rFonts w:ascii="Trebuchet MS"/>
                            <w:sz w:val="18"/>
                          </w:rPr>
                        </w:pPr>
                        <w:r>
                          <w:rPr>
                            <w:rFonts w:ascii="Trebuchet MS"/>
                            <w:color w:val="404040"/>
                            <w:spacing w:val="-5"/>
                            <w:w w:val="115"/>
                            <w:position w:val="-2"/>
                            <w:sz w:val="18"/>
                          </w:rPr>
                          <w:t>16%</w:t>
                        </w:r>
                        <w:r>
                          <w:rPr>
                            <w:rFonts w:ascii="Trebuchet MS"/>
                            <w:color w:val="404040"/>
                            <w:position w:val="-2"/>
                            <w:sz w:val="18"/>
                          </w:rPr>
                          <w:tab/>
                        </w:r>
                        <w:r>
                          <w:rPr>
                            <w:rFonts w:ascii="Trebuchet MS"/>
                            <w:color w:val="404040"/>
                            <w:spacing w:val="-5"/>
                            <w:w w:val="115"/>
                            <w:sz w:val="18"/>
                          </w:rPr>
                          <w:t>17%</w:t>
                        </w:r>
                      </w:p>
                    </w:txbxContent>
                  </v:textbox>
                </v:shape>
                <v:shape id="Textbox 730" o:spid="_x0000_s1494" type="#_x0000_t202" style="position:absolute;left:33190;top:10458;width:229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1CC5060B" w14:textId="77777777" w:rsidR="000E52B0" w:rsidRDefault="00F60D74">
                        <w:pPr>
                          <w:rPr>
                            <w:rFonts w:ascii="Trebuchet MS"/>
                            <w:sz w:val="18"/>
                          </w:rPr>
                        </w:pPr>
                        <w:r>
                          <w:rPr>
                            <w:rFonts w:ascii="Trebuchet MS"/>
                            <w:color w:val="404040"/>
                            <w:spacing w:val="-5"/>
                            <w:w w:val="115"/>
                            <w:sz w:val="18"/>
                          </w:rPr>
                          <w:t>10%</w:t>
                        </w:r>
                      </w:p>
                    </w:txbxContent>
                  </v:textbox>
                </v:shape>
                <v:shape id="Textbox 731" o:spid="_x0000_s1495" type="#_x0000_t202" style="position:absolute;left:36781;top:10967;width:168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1A3475E5" w14:textId="77777777" w:rsidR="000E52B0" w:rsidRDefault="00F60D74">
                        <w:pPr>
                          <w:rPr>
                            <w:rFonts w:ascii="Trebuchet MS"/>
                            <w:sz w:val="18"/>
                          </w:rPr>
                        </w:pPr>
                        <w:r>
                          <w:rPr>
                            <w:rFonts w:ascii="Trebuchet MS"/>
                            <w:color w:val="404040"/>
                            <w:spacing w:val="-5"/>
                            <w:w w:val="120"/>
                            <w:sz w:val="18"/>
                          </w:rPr>
                          <w:t>9%</w:t>
                        </w:r>
                      </w:p>
                    </w:txbxContent>
                  </v:textbox>
                </v:shape>
                <v:shape id="Textbox 732" o:spid="_x0000_s1496" type="#_x0000_t202" style="position:absolute;left:39764;top:10521;width:22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0F4118D7" w14:textId="77777777" w:rsidR="000E52B0" w:rsidRDefault="00F60D74">
                        <w:pPr>
                          <w:rPr>
                            <w:rFonts w:ascii="Trebuchet MS"/>
                            <w:sz w:val="18"/>
                          </w:rPr>
                        </w:pPr>
                        <w:r>
                          <w:rPr>
                            <w:rFonts w:ascii="Trebuchet MS"/>
                            <w:color w:val="404040"/>
                            <w:spacing w:val="-5"/>
                            <w:w w:val="115"/>
                            <w:sz w:val="18"/>
                          </w:rPr>
                          <w:t>10%</w:t>
                        </w:r>
                      </w:p>
                    </w:txbxContent>
                  </v:textbox>
                </v:shape>
                <v:shape id="Textbox 733" o:spid="_x0000_s1497" type="#_x0000_t202" style="position:absolute;left:44209;top:13417;width:168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14898F8E" w14:textId="77777777" w:rsidR="000E52B0" w:rsidRDefault="00F60D74">
                        <w:pPr>
                          <w:rPr>
                            <w:rFonts w:ascii="Trebuchet MS"/>
                            <w:sz w:val="18"/>
                          </w:rPr>
                        </w:pPr>
                        <w:r>
                          <w:rPr>
                            <w:rFonts w:ascii="Trebuchet MS"/>
                            <w:color w:val="404040"/>
                            <w:spacing w:val="-5"/>
                            <w:w w:val="120"/>
                            <w:sz w:val="18"/>
                          </w:rPr>
                          <w:t>3%</w:t>
                        </w:r>
                      </w:p>
                    </w:txbxContent>
                  </v:textbox>
                </v:shape>
                <v:shape id="Textbox 734" o:spid="_x0000_s1498" type="#_x0000_t202" style="position:absolute;left:47497;top:13887;width:168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647C681B" w14:textId="77777777" w:rsidR="000E52B0" w:rsidRDefault="00F60D74">
                        <w:pPr>
                          <w:rPr>
                            <w:rFonts w:ascii="Trebuchet MS"/>
                            <w:sz w:val="18"/>
                          </w:rPr>
                        </w:pPr>
                        <w:r>
                          <w:rPr>
                            <w:rFonts w:ascii="Trebuchet MS"/>
                            <w:color w:val="404040"/>
                            <w:spacing w:val="-5"/>
                            <w:w w:val="120"/>
                            <w:sz w:val="18"/>
                          </w:rPr>
                          <w:t>2%</w:t>
                        </w:r>
                      </w:p>
                    </w:txbxContent>
                  </v:textbox>
                </v:shape>
                <v:shape id="Textbox 735" o:spid="_x0000_s1499" type="#_x0000_t202" style="position:absolute;left:50782;top:13475;width:168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4E2BCC62" w14:textId="77777777" w:rsidR="000E52B0" w:rsidRDefault="00F60D74">
                        <w:pPr>
                          <w:rPr>
                            <w:rFonts w:ascii="Trebuchet MS"/>
                            <w:sz w:val="18"/>
                          </w:rPr>
                        </w:pPr>
                        <w:r>
                          <w:rPr>
                            <w:rFonts w:ascii="Trebuchet MS"/>
                            <w:color w:val="404040"/>
                            <w:spacing w:val="-5"/>
                            <w:w w:val="120"/>
                            <w:sz w:val="18"/>
                          </w:rPr>
                          <w:t>3%</w:t>
                        </w:r>
                      </w:p>
                    </w:txbxContent>
                  </v:textbox>
                </v:shape>
                <w10:wrap type="topAndBottom" anchorx="page"/>
              </v:group>
            </w:pict>
          </mc:Fallback>
        </mc:AlternateContent>
      </w:r>
    </w:p>
    <w:p w14:paraId="4215CEDD" w14:textId="77777777" w:rsidR="000E52B0" w:rsidRDefault="00F60D74">
      <w:pPr>
        <w:tabs>
          <w:tab w:val="left" w:pos="3266"/>
          <w:tab w:val="left" w:pos="4826"/>
          <w:tab w:val="left" w:pos="6427"/>
          <w:tab w:val="left" w:pos="8258"/>
        </w:tabs>
        <w:spacing w:before="106" w:line="458" w:lineRule="auto"/>
        <w:ind w:left="4016" w:right="1510" w:hanging="2472"/>
        <w:rPr>
          <w:rFonts w:ascii="Trebuchet MS"/>
          <w:sz w:val="18"/>
        </w:rPr>
      </w:pPr>
      <w:r>
        <w:rPr>
          <w:rFonts w:ascii="Trebuchet MS"/>
          <w:color w:val="585858"/>
          <w:spacing w:val="-2"/>
          <w:sz w:val="18"/>
        </w:rPr>
        <w:t>Insultos</w:t>
      </w:r>
      <w:r>
        <w:rPr>
          <w:rFonts w:ascii="Trebuchet MS"/>
          <w:color w:val="585858"/>
          <w:sz w:val="18"/>
        </w:rPr>
        <w:tab/>
      </w:r>
      <w:r>
        <w:rPr>
          <w:rFonts w:ascii="Trebuchet MS"/>
          <w:color w:val="585858"/>
          <w:spacing w:val="-2"/>
          <w:sz w:val="18"/>
        </w:rPr>
        <w:t>Golpes</w:t>
      </w:r>
      <w:r>
        <w:rPr>
          <w:rFonts w:ascii="Trebuchet MS"/>
          <w:color w:val="585858"/>
          <w:sz w:val="18"/>
        </w:rPr>
        <w:tab/>
      </w:r>
      <w:r>
        <w:rPr>
          <w:rFonts w:ascii="Trebuchet MS"/>
          <w:color w:val="585858"/>
          <w:sz w:val="18"/>
        </w:rPr>
        <w:tab/>
      </w:r>
      <w:r>
        <w:rPr>
          <w:rFonts w:ascii="Trebuchet MS"/>
          <w:color w:val="585858"/>
          <w:spacing w:val="-2"/>
          <w:sz w:val="18"/>
        </w:rPr>
        <w:t>Amenazas</w:t>
      </w:r>
      <w:r>
        <w:rPr>
          <w:rFonts w:ascii="Trebuchet MS"/>
          <w:color w:val="585858"/>
          <w:sz w:val="18"/>
        </w:rPr>
        <w:tab/>
        <w:t>Arma</w:t>
      </w:r>
      <w:r>
        <w:rPr>
          <w:rFonts w:ascii="Trebuchet MS"/>
          <w:color w:val="585858"/>
          <w:spacing w:val="-20"/>
          <w:sz w:val="18"/>
        </w:rPr>
        <w:t xml:space="preserve"> </w:t>
      </w:r>
      <w:r>
        <w:rPr>
          <w:rFonts w:ascii="Trebuchet MS"/>
          <w:color w:val="585858"/>
          <w:sz w:val="18"/>
        </w:rPr>
        <w:t>blanca</w:t>
      </w:r>
      <w:r>
        <w:rPr>
          <w:rFonts w:ascii="Trebuchet MS"/>
          <w:color w:val="585858"/>
          <w:sz w:val="18"/>
        </w:rPr>
        <w:tab/>
      </w:r>
      <w:r>
        <w:rPr>
          <w:rFonts w:ascii="Trebuchet MS"/>
          <w:color w:val="585858"/>
          <w:spacing w:val="-2"/>
          <w:sz w:val="18"/>
        </w:rPr>
        <w:t xml:space="preserve">Disparos </w:t>
      </w:r>
      <w:r>
        <w:rPr>
          <w:rFonts w:ascii="Trebuchet MS"/>
          <w:noProof/>
          <w:color w:val="585858"/>
          <w:sz w:val="18"/>
        </w:rPr>
        <w:drawing>
          <wp:inline distT="0" distB="0" distL="0" distR="0" wp14:anchorId="08AC890F" wp14:editId="5E12BB4C">
            <wp:extent cx="62779" cy="62779"/>
            <wp:effectExtent l="0" t="0" r="0" b="0"/>
            <wp:docPr id="736" name="Image 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 name="Image 736"/>
                    <pic:cNvPicPr/>
                  </pic:nvPicPr>
                  <pic:blipFill>
                    <a:blip r:embed="rId216" cstate="print"/>
                    <a:stretch>
                      <a:fillRect/>
                    </a:stretch>
                  </pic:blipFill>
                  <pic:spPr>
                    <a:xfrm>
                      <a:off x="0" y="0"/>
                      <a:ext cx="62779" cy="62779"/>
                    </a:xfrm>
                    <a:prstGeom prst="rect">
                      <a:avLst/>
                    </a:prstGeom>
                  </pic:spPr>
                </pic:pic>
              </a:graphicData>
            </a:graphic>
          </wp:inline>
        </w:drawing>
      </w:r>
      <w:r>
        <w:rPr>
          <w:rFonts w:ascii="Times New Roman"/>
          <w:color w:val="585858"/>
          <w:sz w:val="18"/>
        </w:rPr>
        <w:t xml:space="preserve"> </w:t>
      </w:r>
      <w:r>
        <w:rPr>
          <w:rFonts w:ascii="Trebuchet MS"/>
          <w:color w:val="585858"/>
          <w:sz w:val="18"/>
        </w:rPr>
        <w:t>Hombres</w:t>
      </w:r>
      <w:r>
        <w:rPr>
          <w:rFonts w:ascii="Trebuchet MS"/>
          <w:color w:val="585858"/>
          <w:spacing w:val="80"/>
          <w:sz w:val="18"/>
        </w:rPr>
        <w:t xml:space="preserve"> </w:t>
      </w:r>
      <w:r>
        <w:rPr>
          <w:rFonts w:ascii="Trebuchet MS"/>
          <w:noProof/>
          <w:color w:val="585858"/>
          <w:spacing w:val="9"/>
          <w:sz w:val="18"/>
        </w:rPr>
        <w:drawing>
          <wp:inline distT="0" distB="0" distL="0" distR="0" wp14:anchorId="0FA82AF4" wp14:editId="41848C09">
            <wp:extent cx="62779" cy="62779"/>
            <wp:effectExtent l="0" t="0" r="0" b="0"/>
            <wp:docPr id="737" name="Image 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7" name="Image 737"/>
                    <pic:cNvPicPr/>
                  </pic:nvPicPr>
                  <pic:blipFill>
                    <a:blip r:embed="rId171" cstate="print"/>
                    <a:stretch>
                      <a:fillRect/>
                    </a:stretch>
                  </pic:blipFill>
                  <pic:spPr>
                    <a:xfrm>
                      <a:off x="0" y="0"/>
                      <a:ext cx="62779" cy="62779"/>
                    </a:xfrm>
                    <a:prstGeom prst="rect">
                      <a:avLst/>
                    </a:prstGeom>
                  </pic:spPr>
                </pic:pic>
              </a:graphicData>
            </a:graphic>
          </wp:inline>
        </w:drawing>
      </w:r>
      <w:r>
        <w:rPr>
          <w:rFonts w:ascii="Times New Roman"/>
          <w:color w:val="585858"/>
          <w:spacing w:val="-2"/>
          <w:sz w:val="18"/>
        </w:rPr>
        <w:t xml:space="preserve"> </w:t>
      </w:r>
      <w:r>
        <w:rPr>
          <w:rFonts w:ascii="Trebuchet MS"/>
          <w:color w:val="585858"/>
          <w:sz w:val="18"/>
        </w:rPr>
        <w:t>Mujeres</w:t>
      </w:r>
      <w:r>
        <w:rPr>
          <w:rFonts w:ascii="Trebuchet MS"/>
          <w:color w:val="585858"/>
          <w:spacing w:val="80"/>
          <w:sz w:val="18"/>
        </w:rPr>
        <w:t xml:space="preserve"> </w:t>
      </w:r>
      <w:r>
        <w:rPr>
          <w:rFonts w:ascii="Trebuchet MS"/>
          <w:noProof/>
          <w:color w:val="585858"/>
          <w:spacing w:val="9"/>
          <w:sz w:val="18"/>
        </w:rPr>
        <w:drawing>
          <wp:inline distT="0" distB="0" distL="0" distR="0" wp14:anchorId="14FD145B" wp14:editId="4C02ADCA">
            <wp:extent cx="62779" cy="62779"/>
            <wp:effectExtent l="0" t="0" r="0" b="0"/>
            <wp:docPr id="738" name="Image 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8" name="Image 738"/>
                    <pic:cNvPicPr/>
                  </pic:nvPicPr>
                  <pic:blipFill>
                    <a:blip r:embed="rId161" cstate="print"/>
                    <a:stretch>
                      <a:fillRect/>
                    </a:stretch>
                  </pic:blipFill>
                  <pic:spPr>
                    <a:xfrm>
                      <a:off x="0" y="0"/>
                      <a:ext cx="62779" cy="62779"/>
                    </a:xfrm>
                    <a:prstGeom prst="rect">
                      <a:avLst/>
                    </a:prstGeom>
                  </pic:spPr>
                </pic:pic>
              </a:graphicData>
            </a:graphic>
          </wp:inline>
        </w:drawing>
      </w:r>
      <w:r>
        <w:rPr>
          <w:rFonts w:ascii="Times New Roman"/>
          <w:color w:val="585858"/>
          <w:spacing w:val="-2"/>
          <w:sz w:val="18"/>
        </w:rPr>
        <w:t xml:space="preserve"> </w:t>
      </w:r>
      <w:r>
        <w:rPr>
          <w:rFonts w:ascii="Trebuchet MS"/>
          <w:color w:val="585858"/>
          <w:sz w:val="18"/>
        </w:rPr>
        <w:t>Total</w:t>
      </w:r>
    </w:p>
    <w:p w14:paraId="59ADBC4A" w14:textId="77777777" w:rsidR="000E52B0" w:rsidRDefault="00F60D74">
      <w:pPr>
        <w:spacing w:before="178"/>
        <w:ind w:left="2"/>
        <w:jc w:val="center"/>
        <w:rPr>
          <w:i/>
          <w:sz w:val="18"/>
        </w:rPr>
      </w:pPr>
      <w:r>
        <w:rPr>
          <w:i/>
          <w:color w:val="454551"/>
          <w:sz w:val="18"/>
        </w:rPr>
        <w:t>Fuente</w:t>
      </w:r>
      <w:r>
        <w:rPr>
          <w:i/>
          <w:color w:val="454551"/>
          <w:spacing w:val="-2"/>
          <w:sz w:val="18"/>
        </w:rPr>
        <w:t xml:space="preserve"> </w:t>
      </w:r>
      <w:r>
        <w:rPr>
          <w:i/>
          <w:color w:val="454551"/>
          <w:sz w:val="18"/>
        </w:rPr>
        <w:t>44.</w:t>
      </w:r>
      <w:r>
        <w:rPr>
          <w:i/>
          <w:color w:val="454551"/>
          <w:spacing w:val="-4"/>
          <w:sz w:val="18"/>
        </w:rPr>
        <w:t xml:space="preserve"> </w:t>
      </w:r>
      <w:r>
        <w:rPr>
          <w:i/>
          <w:color w:val="454551"/>
          <w:sz w:val="18"/>
        </w:rPr>
        <w:t>DANE,</w:t>
      </w:r>
      <w:r>
        <w:rPr>
          <w:i/>
          <w:color w:val="454551"/>
          <w:spacing w:val="-2"/>
          <w:sz w:val="18"/>
        </w:rPr>
        <w:t xml:space="preserve"> </w:t>
      </w:r>
      <w:r>
        <w:rPr>
          <w:i/>
          <w:color w:val="454551"/>
          <w:sz w:val="18"/>
        </w:rPr>
        <w:t>CHC</w:t>
      </w:r>
      <w:r>
        <w:rPr>
          <w:i/>
          <w:color w:val="454551"/>
          <w:spacing w:val="-2"/>
          <w:sz w:val="18"/>
        </w:rPr>
        <w:t xml:space="preserve"> </w:t>
      </w:r>
      <w:r>
        <w:rPr>
          <w:i/>
          <w:color w:val="454551"/>
          <w:sz w:val="18"/>
        </w:rPr>
        <w:t>2017</w:t>
      </w:r>
      <w:r>
        <w:rPr>
          <w:i/>
          <w:color w:val="454551"/>
          <w:spacing w:val="-3"/>
          <w:sz w:val="18"/>
        </w:rPr>
        <w:t xml:space="preserve"> </w:t>
      </w:r>
      <w:r>
        <w:rPr>
          <w:i/>
          <w:color w:val="454551"/>
          <w:sz w:val="18"/>
        </w:rPr>
        <w:t>al</w:t>
      </w:r>
      <w:r>
        <w:rPr>
          <w:i/>
          <w:color w:val="454551"/>
          <w:spacing w:val="-2"/>
          <w:sz w:val="18"/>
        </w:rPr>
        <w:t xml:space="preserve"> </w:t>
      </w:r>
      <w:r>
        <w:rPr>
          <w:i/>
          <w:color w:val="454551"/>
          <w:spacing w:val="-4"/>
          <w:sz w:val="18"/>
        </w:rPr>
        <w:t>2021</w:t>
      </w:r>
    </w:p>
    <w:p w14:paraId="791D5213" w14:textId="77777777" w:rsidR="000E52B0" w:rsidRDefault="000E52B0">
      <w:pPr>
        <w:jc w:val="center"/>
        <w:rPr>
          <w:i/>
          <w:sz w:val="18"/>
        </w:rPr>
        <w:sectPr w:rsidR="000E52B0">
          <w:type w:val="continuous"/>
          <w:pgSz w:w="11910" w:h="16840"/>
          <w:pgMar w:top="1340" w:right="720" w:bottom="1280" w:left="720" w:header="0" w:footer="995" w:gutter="0"/>
          <w:cols w:space="720"/>
        </w:sectPr>
      </w:pPr>
    </w:p>
    <w:p w14:paraId="74E29205" w14:textId="77777777" w:rsidR="000E52B0" w:rsidRDefault="00F60D74">
      <w:pPr>
        <w:pStyle w:val="Textoindependiente"/>
        <w:spacing w:before="83"/>
        <w:ind w:right="719"/>
        <w:jc w:val="both"/>
      </w:pPr>
      <w:r>
        <w:lastRenderedPageBreak/>
        <w:t>Las violencias que indaga el censo, combina mecanismos causales con formas de violencias, se concentra principalmente en violencias físicas (golpes, arma blanca, disparos), y en violencias psicológicas (insultos, amenazas).</w:t>
      </w:r>
      <w:r>
        <w:rPr>
          <w:spacing w:val="-2"/>
        </w:rPr>
        <w:t xml:space="preserve"> </w:t>
      </w:r>
      <w:r>
        <w:t>Respecto al</w:t>
      </w:r>
      <w:r>
        <w:rPr>
          <w:spacing w:val="-2"/>
        </w:rPr>
        <w:t xml:space="preserve"> </w:t>
      </w:r>
      <w:r>
        <w:t>reporte,</w:t>
      </w:r>
      <w:r>
        <w:rPr>
          <w:spacing w:val="-1"/>
        </w:rPr>
        <w:t xml:space="preserve"> </w:t>
      </w:r>
      <w:r>
        <w:t>el</w:t>
      </w:r>
      <w:r>
        <w:rPr>
          <w:spacing w:val="-2"/>
        </w:rPr>
        <w:t xml:space="preserve"> </w:t>
      </w:r>
      <w:r>
        <w:t>30%</w:t>
      </w:r>
      <w:r>
        <w:rPr>
          <w:spacing w:val="-2"/>
        </w:rPr>
        <w:t xml:space="preserve"> </w:t>
      </w:r>
      <w:r>
        <w:t>de las</w:t>
      </w:r>
      <w:r>
        <w:rPr>
          <w:spacing w:val="-1"/>
        </w:rPr>
        <w:t xml:space="preserve"> </w:t>
      </w:r>
      <w:r>
        <w:t>personas</w:t>
      </w:r>
      <w:r>
        <w:rPr>
          <w:spacing w:val="-1"/>
        </w:rPr>
        <w:t xml:space="preserve"> </w:t>
      </w:r>
      <w:r>
        <w:t>en los</w:t>
      </w:r>
      <w:r>
        <w:rPr>
          <w:spacing w:val="-1"/>
        </w:rPr>
        <w:t xml:space="preserve"> </w:t>
      </w:r>
      <w:r>
        <w:t>últimos</w:t>
      </w:r>
      <w:r>
        <w:rPr>
          <w:spacing w:val="-1"/>
        </w:rPr>
        <w:t xml:space="preserve"> </w:t>
      </w:r>
      <w:r>
        <w:t>30 días previos a la entrevista, había experimentado insultos por parte de otras personas, con más frecuencia las mujeres (35%), el 21% ha experimentado</w:t>
      </w:r>
      <w:r>
        <w:rPr>
          <w:spacing w:val="-7"/>
        </w:rPr>
        <w:t xml:space="preserve"> </w:t>
      </w:r>
      <w:r>
        <w:t>golpes,</w:t>
      </w:r>
      <w:r>
        <w:rPr>
          <w:spacing w:val="-8"/>
        </w:rPr>
        <w:t xml:space="preserve"> </w:t>
      </w:r>
      <w:r>
        <w:t>y</w:t>
      </w:r>
      <w:r>
        <w:rPr>
          <w:spacing w:val="-8"/>
        </w:rPr>
        <w:t xml:space="preserve"> </w:t>
      </w:r>
      <w:r>
        <w:t>de</w:t>
      </w:r>
      <w:r>
        <w:rPr>
          <w:spacing w:val="-6"/>
        </w:rPr>
        <w:t xml:space="preserve"> </w:t>
      </w:r>
      <w:r>
        <w:t>nuevo</w:t>
      </w:r>
      <w:r>
        <w:rPr>
          <w:spacing w:val="-7"/>
        </w:rPr>
        <w:t xml:space="preserve"> </w:t>
      </w:r>
      <w:r>
        <w:t>con</w:t>
      </w:r>
      <w:r>
        <w:rPr>
          <w:spacing w:val="-7"/>
        </w:rPr>
        <w:t xml:space="preserve"> </w:t>
      </w:r>
      <w:r>
        <w:t>más</w:t>
      </w:r>
      <w:r>
        <w:rPr>
          <w:spacing w:val="-8"/>
        </w:rPr>
        <w:t xml:space="preserve"> </w:t>
      </w:r>
      <w:r>
        <w:t>frecuencia</w:t>
      </w:r>
      <w:r>
        <w:rPr>
          <w:spacing w:val="-7"/>
        </w:rPr>
        <w:t xml:space="preserve"> </w:t>
      </w:r>
      <w:r>
        <w:t>las</w:t>
      </w:r>
      <w:r>
        <w:rPr>
          <w:spacing w:val="-5"/>
        </w:rPr>
        <w:t xml:space="preserve"> </w:t>
      </w:r>
      <w:r>
        <w:t>mujeres</w:t>
      </w:r>
      <w:r>
        <w:rPr>
          <w:spacing w:val="-8"/>
        </w:rPr>
        <w:t xml:space="preserve"> </w:t>
      </w:r>
      <w:r>
        <w:t>(25%); el</w:t>
      </w:r>
      <w:r>
        <w:rPr>
          <w:spacing w:val="-2"/>
        </w:rPr>
        <w:t xml:space="preserve"> </w:t>
      </w:r>
      <w:r>
        <w:t>17% ha</w:t>
      </w:r>
      <w:r>
        <w:rPr>
          <w:spacing w:val="-1"/>
        </w:rPr>
        <w:t xml:space="preserve"> </w:t>
      </w:r>
      <w:r>
        <w:t>experimentado amenazas,</w:t>
      </w:r>
      <w:r>
        <w:rPr>
          <w:spacing w:val="-2"/>
        </w:rPr>
        <w:t xml:space="preserve"> </w:t>
      </w:r>
      <w:r>
        <w:t>en el</w:t>
      </w:r>
      <w:r>
        <w:rPr>
          <w:spacing w:val="-2"/>
        </w:rPr>
        <w:t xml:space="preserve"> </w:t>
      </w:r>
      <w:r>
        <w:t>caso de las</w:t>
      </w:r>
      <w:r>
        <w:rPr>
          <w:spacing w:val="-1"/>
        </w:rPr>
        <w:t xml:space="preserve"> </w:t>
      </w:r>
      <w:r>
        <w:t>mujeres</w:t>
      </w:r>
      <w:r>
        <w:rPr>
          <w:spacing w:val="-1"/>
        </w:rPr>
        <w:t xml:space="preserve"> </w:t>
      </w:r>
      <w:r>
        <w:t>el</w:t>
      </w:r>
      <w:r>
        <w:rPr>
          <w:spacing w:val="-2"/>
        </w:rPr>
        <w:t xml:space="preserve"> </w:t>
      </w:r>
      <w:r>
        <w:t>20%.</w:t>
      </w:r>
      <w:r>
        <w:rPr>
          <w:spacing w:val="-2"/>
        </w:rPr>
        <w:t xml:space="preserve"> </w:t>
      </w:r>
      <w:r>
        <w:t>El 10%</w:t>
      </w:r>
      <w:r>
        <w:rPr>
          <w:spacing w:val="-6"/>
        </w:rPr>
        <w:t xml:space="preserve"> </w:t>
      </w:r>
      <w:r>
        <w:t>de</w:t>
      </w:r>
      <w:r>
        <w:rPr>
          <w:spacing w:val="-5"/>
        </w:rPr>
        <w:t xml:space="preserve"> </w:t>
      </w:r>
      <w:r>
        <w:t>las</w:t>
      </w:r>
      <w:r>
        <w:rPr>
          <w:spacing w:val="-7"/>
        </w:rPr>
        <w:t xml:space="preserve"> </w:t>
      </w:r>
      <w:r>
        <w:t>personas</w:t>
      </w:r>
      <w:r>
        <w:rPr>
          <w:spacing w:val="-7"/>
        </w:rPr>
        <w:t xml:space="preserve"> </w:t>
      </w:r>
      <w:r>
        <w:t>que</w:t>
      </w:r>
      <w:r>
        <w:rPr>
          <w:spacing w:val="-5"/>
        </w:rPr>
        <w:t xml:space="preserve"> </w:t>
      </w:r>
      <w:r>
        <w:t>habitan</w:t>
      </w:r>
      <w:r>
        <w:rPr>
          <w:spacing w:val="-4"/>
        </w:rPr>
        <w:t xml:space="preserve"> </w:t>
      </w:r>
      <w:r>
        <w:t>las</w:t>
      </w:r>
      <w:r>
        <w:rPr>
          <w:spacing w:val="-7"/>
        </w:rPr>
        <w:t xml:space="preserve"> </w:t>
      </w:r>
      <w:r>
        <w:t>calles</w:t>
      </w:r>
      <w:r>
        <w:rPr>
          <w:spacing w:val="-7"/>
        </w:rPr>
        <w:t xml:space="preserve"> </w:t>
      </w:r>
      <w:r>
        <w:t>había</w:t>
      </w:r>
      <w:r>
        <w:rPr>
          <w:spacing w:val="-4"/>
        </w:rPr>
        <w:t xml:space="preserve"> </w:t>
      </w:r>
      <w:r>
        <w:t>sufrido</w:t>
      </w:r>
      <w:r>
        <w:rPr>
          <w:spacing w:val="-3"/>
        </w:rPr>
        <w:t xml:space="preserve"> </w:t>
      </w:r>
      <w:r>
        <w:t>heridas</w:t>
      </w:r>
      <w:r>
        <w:rPr>
          <w:spacing w:val="-7"/>
        </w:rPr>
        <w:t xml:space="preserve"> </w:t>
      </w:r>
      <w:r>
        <w:t>con</w:t>
      </w:r>
      <w:r>
        <w:rPr>
          <w:spacing w:val="-6"/>
        </w:rPr>
        <w:t xml:space="preserve"> </w:t>
      </w:r>
      <w:r>
        <w:t>arma blanca, y el 3% heridas por disparos.</w:t>
      </w:r>
    </w:p>
    <w:p w14:paraId="3308B20B" w14:textId="77777777" w:rsidR="000E52B0" w:rsidRDefault="00F60D74">
      <w:pPr>
        <w:pStyle w:val="Textoindependiente"/>
        <w:spacing w:before="160"/>
        <w:ind w:right="718"/>
        <w:jc w:val="both"/>
      </w:pPr>
      <w:r>
        <w:t>La configuración de las condiciones de debilidad manifiesta respecto al acceso</w:t>
      </w:r>
      <w:r>
        <w:rPr>
          <w:spacing w:val="-22"/>
        </w:rPr>
        <w:t xml:space="preserve"> </w:t>
      </w:r>
      <w:r>
        <w:t>a</w:t>
      </w:r>
      <w:r>
        <w:rPr>
          <w:spacing w:val="-21"/>
        </w:rPr>
        <w:t xml:space="preserve"> </w:t>
      </w:r>
      <w:r>
        <w:t>atención</w:t>
      </w:r>
      <w:r>
        <w:rPr>
          <w:spacing w:val="-21"/>
        </w:rPr>
        <w:t xml:space="preserve"> </w:t>
      </w:r>
      <w:r>
        <w:t>médica,</w:t>
      </w:r>
      <w:r>
        <w:rPr>
          <w:spacing w:val="-21"/>
        </w:rPr>
        <w:t xml:space="preserve"> </w:t>
      </w:r>
      <w:r>
        <w:t>bienes</w:t>
      </w:r>
      <w:r>
        <w:rPr>
          <w:spacing w:val="-20"/>
        </w:rPr>
        <w:t xml:space="preserve"> </w:t>
      </w:r>
      <w:r>
        <w:t>y</w:t>
      </w:r>
      <w:r>
        <w:rPr>
          <w:spacing w:val="-21"/>
        </w:rPr>
        <w:t xml:space="preserve"> </w:t>
      </w:r>
      <w:r>
        <w:t>servicios</w:t>
      </w:r>
      <w:r>
        <w:rPr>
          <w:spacing w:val="-22"/>
        </w:rPr>
        <w:t xml:space="preserve"> </w:t>
      </w:r>
      <w:r>
        <w:t>básicos,</w:t>
      </w:r>
      <w:r>
        <w:rPr>
          <w:spacing w:val="-21"/>
        </w:rPr>
        <w:t xml:space="preserve"> </w:t>
      </w:r>
      <w:r>
        <w:t>medios</w:t>
      </w:r>
      <w:r>
        <w:rPr>
          <w:spacing w:val="-21"/>
        </w:rPr>
        <w:t xml:space="preserve"> </w:t>
      </w:r>
      <w:r>
        <w:t>de</w:t>
      </w:r>
      <w:r>
        <w:rPr>
          <w:spacing w:val="-20"/>
        </w:rPr>
        <w:t xml:space="preserve"> </w:t>
      </w:r>
      <w:r>
        <w:t>vida</w:t>
      </w:r>
      <w:r>
        <w:rPr>
          <w:spacing w:val="-21"/>
        </w:rPr>
        <w:t xml:space="preserve"> </w:t>
      </w:r>
      <w:r>
        <w:t>dignos y seguridad humana desde una perspectiva amplia, se fortalecen con el estigma, la discriminación y la violencia que se ejerce socialmente contra las personas en situación de calle.</w:t>
      </w:r>
    </w:p>
    <w:p w14:paraId="6FA31CF2" w14:textId="77777777" w:rsidR="000E52B0" w:rsidRDefault="000E52B0">
      <w:pPr>
        <w:pStyle w:val="Textoindependiente"/>
        <w:ind w:left="0"/>
      </w:pPr>
    </w:p>
    <w:p w14:paraId="5F9A5EA8" w14:textId="77777777" w:rsidR="000E52B0" w:rsidRDefault="00F60D74">
      <w:pPr>
        <w:pStyle w:val="Ttulo3"/>
        <w:jc w:val="both"/>
        <w:rPr>
          <w:position w:val="8"/>
          <w:sz w:val="16"/>
        </w:rPr>
      </w:pPr>
      <w:bookmarkStart w:id="97" w:name="_bookmark97"/>
      <w:bookmarkEnd w:id="97"/>
      <w:r>
        <w:rPr>
          <w:color w:val="770F47"/>
        </w:rPr>
        <w:t>Los</w:t>
      </w:r>
      <w:r>
        <w:rPr>
          <w:color w:val="770F47"/>
          <w:spacing w:val="-4"/>
        </w:rPr>
        <w:t xml:space="preserve"> </w:t>
      </w:r>
      <w:r>
        <w:rPr>
          <w:color w:val="770F47"/>
        </w:rPr>
        <w:t>costos</w:t>
      </w:r>
      <w:r>
        <w:rPr>
          <w:color w:val="770F47"/>
          <w:spacing w:val="-3"/>
        </w:rPr>
        <w:t xml:space="preserve"> </w:t>
      </w:r>
      <w:r>
        <w:rPr>
          <w:color w:val="770F47"/>
        </w:rPr>
        <w:t>sociales</w:t>
      </w:r>
      <w:r>
        <w:rPr>
          <w:color w:val="770F47"/>
          <w:spacing w:val="-4"/>
        </w:rPr>
        <w:t xml:space="preserve"> </w:t>
      </w:r>
      <w:r>
        <w:rPr>
          <w:color w:val="770F47"/>
        </w:rPr>
        <w:t>de</w:t>
      </w:r>
      <w:r>
        <w:rPr>
          <w:color w:val="770F47"/>
          <w:spacing w:val="-3"/>
        </w:rPr>
        <w:t xml:space="preserve"> </w:t>
      </w:r>
      <w:r>
        <w:rPr>
          <w:color w:val="770F47"/>
        </w:rPr>
        <w:t>la</w:t>
      </w:r>
      <w:r>
        <w:rPr>
          <w:color w:val="770F47"/>
          <w:spacing w:val="-1"/>
        </w:rPr>
        <w:t xml:space="preserve"> </w:t>
      </w:r>
      <w:r>
        <w:rPr>
          <w:color w:val="770F47"/>
          <w:spacing w:val="-2"/>
        </w:rPr>
        <w:t>desigualdad</w:t>
      </w:r>
      <w:hyperlink w:anchor="_bookmark99" w:history="1">
        <w:r w:rsidR="000E52B0">
          <w:rPr>
            <w:color w:val="770F47"/>
            <w:spacing w:val="-2"/>
            <w:position w:val="8"/>
            <w:sz w:val="16"/>
          </w:rPr>
          <w:t>84</w:t>
        </w:r>
      </w:hyperlink>
    </w:p>
    <w:p w14:paraId="402E3EDA" w14:textId="77777777" w:rsidR="000E52B0" w:rsidRDefault="000E52B0">
      <w:pPr>
        <w:pStyle w:val="Textoindependiente"/>
        <w:ind w:left="0"/>
        <w:rPr>
          <w:b/>
        </w:rPr>
      </w:pPr>
    </w:p>
    <w:p w14:paraId="492E19A5" w14:textId="77777777" w:rsidR="000E52B0" w:rsidRDefault="00F60D74">
      <w:pPr>
        <w:ind w:left="720"/>
        <w:jc w:val="both"/>
        <w:rPr>
          <w:i/>
          <w:sz w:val="24"/>
        </w:rPr>
      </w:pPr>
      <w:bookmarkStart w:id="98" w:name="_bookmark98"/>
      <w:bookmarkEnd w:id="98"/>
      <w:r>
        <w:rPr>
          <w:i/>
          <w:color w:val="B3176C"/>
          <w:sz w:val="24"/>
        </w:rPr>
        <w:t>Capacidades,</w:t>
      </w:r>
      <w:r>
        <w:rPr>
          <w:i/>
          <w:color w:val="B3176C"/>
          <w:spacing w:val="-4"/>
          <w:sz w:val="24"/>
        </w:rPr>
        <w:t xml:space="preserve"> </w:t>
      </w:r>
      <w:r>
        <w:rPr>
          <w:i/>
          <w:color w:val="B3176C"/>
          <w:sz w:val="24"/>
        </w:rPr>
        <w:t>generación</w:t>
      </w:r>
      <w:r>
        <w:rPr>
          <w:i/>
          <w:color w:val="B3176C"/>
          <w:spacing w:val="-4"/>
          <w:sz w:val="24"/>
        </w:rPr>
        <w:t xml:space="preserve"> </w:t>
      </w:r>
      <w:r>
        <w:rPr>
          <w:i/>
          <w:color w:val="B3176C"/>
          <w:sz w:val="24"/>
        </w:rPr>
        <w:t>de</w:t>
      </w:r>
      <w:r>
        <w:rPr>
          <w:i/>
          <w:color w:val="B3176C"/>
          <w:spacing w:val="-3"/>
          <w:sz w:val="24"/>
        </w:rPr>
        <w:t xml:space="preserve"> </w:t>
      </w:r>
      <w:r>
        <w:rPr>
          <w:i/>
          <w:color w:val="B3176C"/>
          <w:sz w:val="24"/>
        </w:rPr>
        <w:t>ingresos</w:t>
      </w:r>
      <w:r>
        <w:rPr>
          <w:i/>
          <w:color w:val="B3176C"/>
          <w:spacing w:val="-3"/>
          <w:sz w:val="24"/>
        </w:rPr>
        <w:t xml:space="preserve"> </w:t>
      </w:r>
      <w:r>
        <w:rPr>
          <w:i/>
          <w:color w:val="B3176C"/>
          <w:sz w:val="24"/>
        </w:rPr>
        <w:t>y</w:t>
      </w:r>
      <w:r>
        <w:rPr>
          <w:i/>
          <w:color w:val="B3176C"/>
          <w:spacing w:val="-3"/>
          <w:sz w:val="24"/>
        </w:rPr>
        <w:t xml:space="preserve"> </w:t>
      </w:r>
      <w:r>
        <w:rPr>
          <w:i/>
          <w:color w:val="B3176C"/>
          <w:spacing w:val="-2"/>
          <w:sz w:val="24"/>
        </w:rPr>
        <w:t>oportunidades</w:t>
      </w:r>
    </w:p>
    <w:p w14:paraId="089AB0BA" w14:textId="77777777" w:rsidR="000E52B0" w:rsidRDefault="00F60D74">
      <w:pPr>
        <w:pStyle w:val="Textoindependiente"/>
        <w:spacing w:before="291"/>
        <w:ind w:right="716"/>
        <w:jc w:val="both"/>
      </w:pPr>
      <w:r>
        <w:t>La desigualdad en términos de capital humano, particularmente en los primeros años de vida, tiene consecuencias en el largo plazo, tanto para los individuos (mayor escolaridad, desarrollo cognitivos e ingresos) como para la sociedad (por ejemplo, mayores tasas de criminalidad y mayor dependencia de los programas sociales) (Bernal &amp; Camacho, 2014)</w:t>
      </w:r>
      <w:hyperlink w:anchor="_bookmark100" w:history="1">
        <w:r w:rsidR="000E52B0">
          <w:rPr>
            <w:position w:val="8"/>
            <w:sz w:val="16"/>
          </w:rPr>
          <w:t>85</w:t>
        </w:r>
      </w:hyperlink>
      <w:r>
        <w:t>. Los niños</w:t>
      </w:r>
      <w:r>
        <w:rPr>
          <w:spacing w:val="-21"/>
        </w:rPr>
        <w:t xml:space="preserve"> </w:t>
      </w:r>
      <w:r>
        <w:t>provenientes</w:t>
      </w:r>
      <w:r>
        <w:rPr>
          <w:spacing w:val="-19"/>
        </w:rPr>
        <w:t xml:space="preserve"> </w:t>
      </w:r>
      <w:r>
        <w:t>de</w:t>
      </w:r>
      <w:r>
        <w:rPr>
          <w:spacing w:val="-21"/>
        </w:rPr>
        <w:t xml:space="preserve"> </w:t>
      </w:r>
      <w:r>
        <w:t>hogares</w:t>
      </w:r>
      <w:r>
        <w:rPr>
          <w:spacing w:val="-22"/>
        </w:rPr>
        <w:t xml:space="preserve"> </w:t>
      </w:r>
      <w:r>
        <w:t>en</w:t>
      </w:r>
      <w:r>
        <w:rPr>
          <w:spacing w:val="-21"/>
        </w:rPr>
        <w:t xml:space="preserve"> </w:t>
      </w:r>
      <w:r>
        <w:t>desventaja</w:t>
      </w:r>
      <w:r>
        <w:rPr>
          <w:spacing w:val="-19"/>
        </w:rPr>
        <w:t xml:space="preserve"> </w:t>
      </w:r>
      <w:r>
        <w:t>socioeconómica</w:t>
      </w:r>
      <w:r>
        <w:rPr>
          <w:spacing w:val="-22"/>
        </w:rPr>
        <w:t xml:space="preserve"> </w:t>
      </w:r>
      <w:r>
        <w:t>tienen</w:t>
      </w:r>
      <w:r>
        <w:rPr>
          <w:spacing w:val="-18"/>
        </w:rPr>
        <w:t xml:space="preserve"> </w:t>
      </w:r>
      <w:r>
        <w:t>menor probabilidad de recibir atención especializada y la estimulación adecuada para su desarrollo cognitivo temprano, debido a factores estructurales como</w:t>
      </w:r>
      <w:r>
        <w:rPr>
          <w:spacing w:val="-13"/>
        </w:rPr>
        <w:t xml:space="preserve"> </w:t>
      </w:r>
      <w:r>
        <w:t>los</w:t>
      </w:r>
      <w:r>
        <w:rPr>
          <w:spacing w:val="-13"/>
        </w:rPr>
        <w:t xml:space="preserve"> </w:t>
      </w:r>
      <w:r>
        <w:t>niveles</w:t>
      </w:r>
      <w:r>
        <w:rPr>
          <w:spacing w:val="-13"/>
        </w:rPr>
        <w:t xml:space="preserve"> </w:t>
      </w:r>
      <w:r>
        <w:t>bajos</w:t>
      </w:r>
      <w:r>
        <w:rPr>
          <w:spacing w:val="-14"/>
        </w:rPr>
        <w:t xml:space="preserve"> </w:t>
      </w:r>
      <w:r>
        <w:t>de</w:t>
      </w:r>
      <w:r>
        <w:rPr>
          <w:spacing w:val="-13"/>
        </w:rPr>
        <w:t xml:space="preserve"> </w:t>
      </w:r>
      <w:r>
        <w:t>educación</w:t>
      </w:r>
      <w:r>
        <w:rPr>
          <w:spacing w:val="-14"/>
        </w:rPr>
        <w:t xml:space="preserve"> </w:t>
      </w:r>
      <w:r>
        <w:t>de</w:t>
      </w:r>
      <w:r>
        <w:rPr>
          <w:spacing w:val="-15"/>
        </w:rPr>
        <w:t xml:space="preserve"> </w:t>
      </w:r>
      <w:r>
        <w:t>padres</w:t>
      </w:r>
      <w:r>
        <w:rPr>
          <w:spacing w:val="-14"/>
        </w:rPr>
        <w:t xml:space="preserve"> </w:t>
      </w:r>
      <w:r>
        <w:t>y</w:t>
      </w:r>
      <w:r>
        <w:rPr>
          <w:spacing w:val="-14"/>
        </w:rPr>
        <w:t xml:space="preserve"> </w:t>
      </w:r>
      <w:r>
        <w:t>madres</w:t>
      </w:r>
      <w:r>
        <w:rPr>
          <w:spacing w:val="-14"/>
        </w:rPr>
        <w:t xml:space="preserve"> </w:t>
      </w:r>
      <w:r>
        <w:t>o</w:t>
      </w:r>
      <w:r>
        <w:rPr>
          <w:spacing w:val="-13"/>
        </w:rPr>
        <w:t xml:space="preserve"> </w:t>
      </w:r>
      <w:r>
        <w:t>de</w:t>
      </w:r>
      <w:r>
        <w:rPr>
          <w:spacing w:val="-13"/>
        </w:rPr>
        <w:t xml:space="preserve"> </w:t>
      </w:r>
      <w:r>
        <w:t>conocimiento respecto</w:t>
      </w:r>
      <w:r>
        <w:rPr>
          <w:spacing w:val="-6"/>
        </w:rPr>
        <w:t xml:space="preserve"> </w:t>
      </w:r>
      <w:r>
        <w:t>a</w:t>
      </w:r>
      <w:r>
        <w:rPr>
          <w:spacing w:val="-6"/>
        </w:rPr>
        <w:t xml:space="preserve"> </w:t>
      </w:r>
      <w:r>
        <w:t>prácticas</w:t>
      </w:r>
      <w:r>
        <w:rPr>
          <w:spacing w:val="-5"/>
        </w:rPr>
        <w:t xml:space="preserve"> </w:t>
      </w:r>
      <w:r>
        <w:t>de</w:t>
      </w:r>
      <w:r>
        <w:rPr>
          <w:spacing w:val="-5"/>
        </w:rPr>
        <w:t xml:space="preserve"> </w:t>
      </w:r>
      <w:r>
        <w:t>cuidado</w:t>
      </w:r>
      <w:r>
        <w:rPr>
          <w:spacing w:val="-6"/>
        </w:rPr>
        <w:t xml:space="preserve"> </w:t>
      </w:r>
      <w:r>
        <w:t>apropiadas</w:t>
      </w:r>
      <w:r>
        <w:rPr>
          <w:spacing w:val="-7"/>
        </w:rPr>
        <w:t xml:space="preserve"> </w:t>
      </w:r>
      <w:r>
        <w:t>y/o</w:t>
      </w:r>
      <w:r>
        <w:rPr>
          <w:spacing w:val="-6"/>
        </w:rPr>
        <w:t xml:space="preserve"> </w:t>
      </w:r>
      <w:r>
        <w:t>el</w:t>
      </w:r>
      <w:r>
        <w:rPr>
          <w:spacing w:val="-7"/>
        </w:rPr>
        <w:t xml:space="preserve"> </w:t>
      </w:r>
      <w:r>
        <w:t>poco</w:t>
      </w:r>
      <w:r>
        <w:rPr>
          <w:spacing w:val="-6"/>
        </w:rPr>
        <w:t xml:space="preserve"> </w:t>
      </w:r>
      <w:r>
        <w:t>tiempo</w:t>
      </w:r>
      <w:r>
        <w:rPr>
          <w:spacing w:val="-6"/>
        </w:rPr>
        <w:t xml:space="preserve"> </w:t>
      </w:r>
      <w:r>
        <w:t>que</w:t>
      </w:r>
      <w:r>
        <w:rPr>
          <w:spacing w:val="-5"/>
        </w:rPr>
        <w:t xml:space="preserve"> </w:t>
      </w:r>
      <w:r>
        <w:t>pueden dedicar a sus hijos e hijas.</w:t>
      </w:r>
    </w:p>
    <w:p w14:paraId="317A849F" w14:textId="77777777" w:rsidR="000E52B0" w:rsidRDefault="000E52B0">
      <w:pPr>
        <w:pStyle w:val="Textoindependiente"/>
        <w:ind w:left="0"/>
      </w:pPr>
    </w:p>
    <w:p w14:paraId="443E9251" w14:textId="77777777" w:rsidR="000E52B0" w:rsidRDefault="00F60D74">
      <w:pPr>
        <w:pStyle w:val="Textoindependiente"/>
        <w:ind w:right="717"/>
        <w:jc w:val="both"/>
      </w:pPr>
      <w:r>
        <w:t>Siguiendo</w:t>
      </w:r>
      <w:r>
        <w:rPr>
          <w:spacing w:val="-19"/>
        </w:rPr>
        <w:t xml:space="preserve"> </w:t>
      </w:r>
      <w:r>
        <w:t>a</w:t>
      </w:r>
      <w:r>
        <w:rPr>
          <w:spacing w:val="-17"/>
        </w:rPr>
        <w:t xml:space="preserve"> </w:t>
      </w:r>
      <w:r>
        <w:t>Monroy</w:t>
      </w:r>
      <w:r>
        <w:rPr>
          <w:spacing w:val="-18"/>
        </w:rPr>
        <w:t xml:space="preserve"> </w:t>
      </w:r>
      <w:r>
        <w:t>et</w:t>
      </w:r>
      <w:r>
        <w:rPr>
          <w:spacing w:val="-21"/>
        </w:rPr>
        <w:t xml:space="preserve"> </w:t>
      </w:r>
      <w:r>
        <w:t>al</w:t>
      </w:r>
      <w:r>
        <w:rPr>
          <w:spacing w:val="-19"/>
        </w:rPr>
        <w:t xml:space="preserve"> </w:t>
      </w:r>
      <w:r>
        <w:t>(2022)</w:t>
      </w:r>
      <w:hyperlink w:anchor="_bookmark101" w:history="1">
        <w:r w:rsidR="000E52B0">
          <w:rPr>
            <w:position w:val="8"/>
            <w:sz w:val="16"/>
          </w:rPr>
          <w:t>86</w:t>
        </w:r>
      </w:hyperlink>
      <w:r>
        <w:t>,</w:t>
      </w:r>
      <w:r>
        <w:rPr>
          <w:spacing w:val="-21"/>
        </w:rPr>
        <w:t xml:space="preserve"> </w:t>
      </w:r>
      <w:r>
        <w:t>las</w:t>
      </w:r>
      <w:r>
        <w:rPr>
          <w:spacing w:val="-20"/>
        </w:rPr>
        <w:t xml:space="preserve"> </w:t>
      </w:r>
      <w:r>
        <w:t>desigualdades</w:t>
      </w:r>
      <w:r>
        <w:rPr>
          <w:spacing w:val="-20"/>
        </w:rPr>
        <w:t xml:space="preserve"> </w:t>
      </w:r>
      <w:r>
        <w:t>en</w:t>
      </w:r>
      <w:r>
        <w:rPr>
          <w:spacing w:val="-20"/>
        </w:rPr>
        <w:t xml:space="preserve"> </w:t>
      </w:r>
      <w:r>
        <w:t>acceso</w:t>
      </w:r>
      <w:r>
        <w:rPr>
          <w:spacing w:val="-19"/>
        </w:rPr>
        <w:t xml:space="preserve"> </w:t>
      </w:r>
      <w:r>
        <w:t>a</w:t>
      </w:r>
      <w:r>
        <w:rPr>
          <w:spacing w:val="-20"/>
        </w:rPr>
        <w:t xml:space="preserve"> </w:t>
      </w:r>
      <w:r>
        <w:t>educación y a salud restringen decisivamente el acceso y aprovechamiento de oportunidades, repercutiendo negativamente en la capacidad de generación de ingresos. Las personas más vulnerables pueden tener consecuencias negativas en su salud y en sus ingresos (por ejemplo, por acceso desigual a salud, agua potable y saneamiento básico), baja productividad</w:t>
      </w:r>
      <w:r>
        <w:rPr>
          <w:spacing w:val="-14"/>
        </w:rPr>
        <w:t xml:space="preserve"> </w:t>
      </w:r>
      <w:r>
        <w:t>y</w:t>
      </w:r>
      <w:r>
        <w:rPr>
          <w:spacing w:val="-8"/>
        </w:rPr>
        <w:t xml:space="preserve"> </w:t>
      </w:r>
      <w:r>
        <w:t>capacidad</w:t>
      </w:r>
      <w:r>
        <w:rPr>
          <w:spacing w:val="-10"/>
        </w:rPr>
        <w:t xml:space="preserve"> </w:t>
      </w:r>
      <w:r>
        <w:t>de</w:t>
      </w:r>
      <w:r>
        <w:rPr>
          <w:spacing w:val="-9"/>
        </w:rPr>
        <w:t xml:space="preserve"> </w:t>
      </w:r>
      <w:r>
        <w:t>aprendizaje</w:t>
      </w:r>
      <w:r>
        <w:rPr>
          <w:spacing w:val="-10"/>
        </w:rPr>
        <w:t xml:space="preserve"> </w:t>
      </w:r>
      <w:r>
        <w:t>(por</w:t>
      </w:r>
      <w:r>
        <w:rPr>
          <w:spacing w:val="-10"/>
        </w:rPr>
        <w:t xml:space="preserve"> </w:t>
      </w:r>
      <w:r>
        <w:t>acceso</w:t>
      </w:r>
      <w:r>
        <w:rPr>
          <w:spacing w:val="-10"/>
        </w:rPr>
        <w:t xml:space="preserve"> </w:t>
      </w:r>
      <w:r>
        <w:t>desigual</w:t>
      </w:r>
      <w:r>
        <w:rPr>
          <w:spacing w:val="-11"/>
        </w:rPr>
        <w:t xml:space="preserve"> </w:t>
      </w:r>
      <w:r>
        <w:t>a</w:t>
      </w:r>
      <w:r>
        <w:rPr>
          <w:spacing w:val="-8"/>
        </w:rPr>
        <w:t xml:space="preserve"> </w:t>
      </w:r>
      <w:r>
        <w:rPr>
          <w:spacing w:val="-2"/>
        </w:rPr>
        <w:t>educación</w:t>
      </w:r>
    </w:p>
    <w:p w14:paraId="2F7FFD00" w14:textId="77777777" w:rsidR="000E52B0" w:rsidRDefault="00F60D74">
      <w:pPr>
        <w:pStyle w:val="Textoindependiente"/>
        <w:spacing w:before="181"/>
        <w:ind w:left="0"/>
        <w:rPr>
          <w:sz w:val="20"/>
        </w:rPr>
      </w:pPr>
      <w:r>
        <w:rPr>
          <w:noProof/>
          <w:sz w:val="20"/>
        </w:rPr>
        <mc:AlternateContent>
          <mc:Choice Requires="wps">
            <w:drawing>
              <wp:anchor distT="0" distB="0" distL="0" distR="0" simplePos="0" relativeHeight="487666688" behindDoc="1" locked="0" layoutInCell="1" allowOverlap="1" wp14:anchorId="1DD20A35" wp14:editId="1DDE5558">
                <wp:simplePos x="0" y="0"/>
                <wp:positionH relativeFrom="page">
                  <wp:posOffset>914704</wp:posOffset>
                </wp:positionH>
                <wp:positionV relativeFrom="paragraph">
                  <wp:posOffset>285096</wp:posOffset>
                </wp:positionV>
                <wp:extent cx="1829435" cy="7620"/>
                <wp:effectExtent l="0" t="0" r="0" b="0"/>
                <wp:wrapTopAndBottom/>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18A9A0" id="Graphic 739" o:spid="_x0000_s1026" style="position:absolute;margin-left:1in;margin-top:22.45pt;width:144.05pt;height:.6pt;z-index:-156497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" path="m1829054,l,,,7620r1829054,l1829054,xe" fillcolor="black" stroked="f">
                <v:path arrowok="t"/>
                <w10:wrap type="topAndBottom" anchorx="page"/>
              </v:shape>
            </w:pict>
          </mc:Fallback>
        </mc:AlternateContent>
      </w:r>
    </w:p>
    <w:p w14:paraId="5C19BF17" w14:textId="77777777" w:rsidR="000E52B0" w:rsidRDefault="00F60D74">
      <w:pPr>
        <w:spacing w:before="96"/>
        <w:ind w:left="720" w:right="716"/>
        <w:jc w:val="both"/>
        <w:rPr>
          <w:rFonts w:ascii="Arial MT" w:hAnsi="Arial MT"/>
          <w:sz w:val="18"/>
        </w:rPr>
      </w:pPr>
      <w:bookmarkStart w:id="99" w:name="_bookmark99"/>
      <w:bookmarkEnd w:id="99"/>
      <w:r>
        <w:rPr>
          <w:rFonts w:ascii="Arial MT" w:hAnsi="Arial MT"/>
          <w:position w:val="6"/>
          <w:sz w:val="12"/>
        </w:rPr>
        <w:t>84</w:t>
      </w:r>
      <w:r>
        <w:rPr>
          <w:rFonts w:ascii="Arial MT" w:hAnsi="Arial MT"/>
          <w:spacing w:val="17"/>
          <w:position w:val="6"/>
          <w:sz w:val="12"/>
        </w:rPr>
        <w:t xml:space="preserve"> </w:t>
      </w:r>
      <w:proofErr w:type="gramStart"/>
      <w:r>
        <w:rPr>
          <w:rFonts w:ascii="Arial MT" w:hAnsi="Arial MT"/>
          <w:sz w:val="18"/>
        </w:rPr>
        <w:t>Este</w:t>
      </w:r>
      <w:proofErr w:type="gramEnd"/>
      <w:r>
        <w:rPr>
          <w:rFonts w:ascii="Arial MT" w:hAnsi="Arial MT"/>
          <w:sz w:val="18"/>
        </w:rPr>
        <w:t xml:space="preserve"> apartado ha</w:t>
      </w:r>
      <w:r>
        <w:rPr>
          <w:rFonts w:ascii="Arial MT" w:hAnsi="Arial MT"/>
          <w:spacing w:val="-2"/>
          <w:sz w:val="18"/>
        </w:rPr>
        <w:t xml:space="preserve"> </w:t>
      </w:r>
      <w:r>
        <w:rPr>
          <w:rFonts w:ascii="Arial MT" w:hAnsi="Arial MT"/>
          <w:sz w:val="18"/>
        </w:rPr>
        <w:t>sido</w:t>
      </w:r>
      <w:r>
        <w:rPr>
          <w:rFonts w:ascii="Arial MT" w:hAnsi="Arial MT"/>
          <w:spacing w:val="-2"/>
          <w:sz w:val="18"/>
        </w:rPr>
        <w:t xml:space="preserve"> </w:t>
      </w:r>
      <w:r>
        <w:rPr>
          <w:rFonts w:ascii="Arial MT" w:hAnsi="Arial MT"/>
          <w:sz w:val="18"/>
        </w:rPr>
        <w:t>tomado literalmente del</w:t>
      </w:r>
      <w:r>
        <w:rPr>
          <w:rFonts w:ascii="Arial MT" w:hAnsi="Arial MT"/>
          <w:spacing w:val="-2"/>
          <w:sz w:val="18"/>
        </w:rPr>
        <w:t xml:space="preserve"> </w:t>
      </w:r>
      <w:r>
        <w:rPr>
          <w:rFonts w:ascii="Arial MT" w:hAnsi="Arial MT"/>
          <w:sz w:val="18"/>
        </w:rPr>
        <w:t>documento interno</w:t>
      </w:r>
      <w:r>
        <w:rPr>
          <w:rFonts w:ascii="Arial MT" w:hAnsi="Arial MT"/>
          <w:spacing w:val="-2"/>
          <w:sz w:val="18"/>
        </w:rPr>
        <w:t xml:space="preserve"> </w:t>
      </w:r>
      <w:r>
        <w:rPr>
          <w:rFonts w:ascii="Arial MT" w:hAnsi="Arial MT"/>
          <w:sz w:val="18"/>
        </w:rPr>
        <w:t>de trabajo</w:t>
      </w:r>
      <w:r>
        <w:rPr>
          <w:rFonts w:ascii="Arial MT" w:hAnsi="Arial MT"/>
          <w:spacing w:val="10"/>
          <w:sz w:val="18"/>
        </w:rPr>
        <w:t xml:space="preserve"> </w:t>
      </w:r>
      <w:r>
        <w:rPr>
          <w:rFonts w:ascii="Arial MT" w:hAnsi="Arial MT"/>
          <w:sz w:val="18"/>
        </w:rPr>
        <w:t>“</w:t>
      </w:r>
      <w:r>
        <w:rPr>
          <w:rFonts w:ascii="Arial" w:hAnsi="Arial"/>
          <w:i/>
          <w:sz w:val="18"/>
        </w:rPr>
        <w:t>Análisis cualitativo</w:t>
      </w:r>
      <w:r>
        <w:rPr>
          <w:rFonts w:ascii="Arial" w:hAnsi="Arial"/>
          <w:i/>
          <w:spacing w:val="-2"/>
          <w:sz w:val="18"/>
        </w:rPr>
        <w:t xml:space="preserve"> </w:t>
      </w:r>
      <w:r>
        <w:rPr>
          <w:rFonts w:ascii="Arial" w:hAnsi="Arial"/>
          <w:i/>
          <w:sz w:val="18"/>
        </w:rPr>
        <w:t>de las causas y el costo social de la desigualdad en Colombia</w:t>
      </w:r>
      <w:r>
        <w:rPr>
          <w:rFonts w:ascii="Arial MT" w:hAnsi="Arial MT"/>
          <w:sz w:val="18"/>
        </w:rPr>
        <w:t>”, elaborado por la profesora Luz Ángela Rodríguez, en el marco de</w:t>
      </w:r>
      <w:r>
        <w:rPr>
          <w:rFonts w:ascii="Arial MT" w:hAnsi="Arial MT"/>
          <w:spacing w:val="-5"/>
          <w:sz w:val="18"/>
        </w:rPr>
        <w:t xml:space="preserve"> </w:t>
      </w:r>
      <w:r>
        <w:rPr>
          <w:rFonts w:ascii="Arial MT" w:hAnsi="Arial MT"/>
          <w:sz w:val="18"/>
        </w:rPr>
        <w:t>la</w:t>
      </w:r>
      <w:r>
        <w:rPr>
          <w:rFonts w:ascii="Arial MT" w:hAnsi="Arial MT"/>
          <w:spacing w:val="-5"/>
          <w:sz w:val="18"/>
        </w:rPr>
        <w:t xml:space="preserve"> </w:t>
      </w:r>
      <w:r>
        <w:rPr>
          <w:rFonts w:ascii="Arial MT" w:hAnsi="Arial MT"/>
          <w:sz w:val="18"/>
        </w:rPr>
        <w:t>asistencia</w:t>
      </w:r>
      <w:r>
        <w:rPr>
          <w:rFonts w:ascii="Arial MT" w:hAnsi="Arial MT"/>
          <w:spacing w:val="-6"/>
          <w:sz w:val="18"/>
        </w:rPr>
        <w:t xml:space="preserve"> </w:t>
      </w:r>
      <w:r>
        <w:rPr>
          <w:rFonts w:ascii="Arial MT" w:hAnsi="Arial MT"/>
          <w:sz w:val="18"/>
        </w:rPr>
        <w:t>técnica</w:t>
      </w:r>
      <w:r>
        <w:rPr>
          <w:rFonts w:ascii="Arial MT" w:hAnsi="Arial MT"/>
          <w:spacing w:val="-6"/>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la</w:t>
      </w:r>
      <w:r>
        <w:rPr>
          <w:rFonts w:ascii="Arial MT" w:hAnsi="Arial MT"/>
          <w:spacing w:val="-6"/>
          <w:sz w:val="18"/>
        </w:rPr>
        <w:t xml:space="preserve"> </w:t>
      </w:r>
      <w:r>
        <w:rPr>
          <w:rFonts w:ascii="Arial MT" w:hAnsi="Arial MT"/>
          <w:sz w:val="18"/>
        </w:rPr>
        <w:t>agencia</w:t>
      </w:r>
      <w:r>
        <w:rPr>
          <w:rFonts w:ascii="Arial MT" w:hAnsi="Arial MT"/>
          <w:spacing w:val="-6"/>
          <w:sz w:val="18"/>
        </w:rPr>
        <w:t xml:space="preserve"> </w:t>
      </w:r>
      <w:r>
        <w:rPr>
          <w:rFonts w:ascii="Arial MT" w:hAnsi="Arial MT"/>
          <w:sz w:val="18"/>
        </w:rPr>
        <w:t>alemana</w:t>
      </w:r>
      <w:r>
        <w:rPr>
          <w:rFonts w:ascii="Arial MT" w:hAnsi="Arial MT"/>
          <w:spacing w:val="-5"/>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cooperación</w:t>
      </w:r>
      <w:r>
        <w:rPr>
          <w:rFonts w:ascii="Arial MT" w:hAnsi="Arial MT"/>
          <w:spacing w:val="-5"/>
          <w:sz w:val="18"/>
        </w:rPr>
        <w:t xml:space="preserve"> </w:t>
      </w:r>
      <w:r>
        <w:rPr>
          <w:rFonts w:ascii="Arial MT" w:hAnsi="Arial MT"/>
          <w:sz w:val="18"/>
        </w:rPr>
        <w:t>GIZ</w:t>
      </w:r>
      <w:r>
        <w:rPr>
          <w:rFonts w:ascii="Arial MT" w:hAnsi="Arial MT"/>
          <w:spacing w:val="-5"/>
          <w:sz w:val="18"/>
        </w:rPr>
        <w:t xml:space="preserve"> </w:t>
      </w:r>
      <w:r>
        <w:rPr>
          <w:rFonts w:ascii="Arial MT" w:hAnsi="Arial MT"/>
          <w:sz w:val="18"/>
        </w:rPr>
        <w:t>en</w:t>
      </w:r>
      <w:r>
        <w:rPr>
          <w:rFonts w:ascii="Arial MT" w:hAnsi="Arial MT"/>
          <w:spacing w:val="-5"/>
          <w:sz w:val="18"/>
        </w:rPr>
        <w:t xml:space="preserve"> </w:t>
      </w:r>
      <w:r>
        <w:rPr>
          <w:rFonts w:ascii="Arial MT" w:hAnsi="Arial MT"/>
          <w:sz w:val="18"/>
        </w:rPr>
        <w:t>la</w:t>
      </w:r>
      <w:r>
        <w:rPr>
          <w:rFonts w:ascii="Arial MT" w:hAnsi="Arial MT"/>
          <w:spacing w:val="-1"/>
          <w:sz w:val="18"/>
        </w:rPr>
        <w:t xml:space="preserve"> </w:t>
      </w:r>
      <w:r>
        <w:rPr>
          <w:rFonts w:ascii="Arial MT" w:hAnsi="Arial MT"/>
          <w:sz w:val="18"/>
        </w:rPr>
        <w:t>estructuración</w:t>
      </w:r>
      <w:r>
        <w:rPr>
          <w:rFonts w:ascii="Arial MT" w:hAnsi="Arial MT"/>
          <w:spacing w:val="-5"/>
          <w:sz w:val="18"/>
        </w:rPr>
        <w:t xml:space="preserve"> </w:t>
      </w:r>
      <w:r>
        <w:rPr>
          <w:rFonts w:ascii="Arial MT" w:hAnsi="Arial MT"/>
          <w:sz w:val="18"/>
        </w:rPr>
        <w:t>del</w:t>
      </w:r>
      <w:r>
        <w:rPr>
          <w:rFonts w:ascii="Arial MT" w:hAnsi="Arial MT"/>
          <w:spacing w:val="-9"/>
          <w:sz w:val="18"/>
        </w:rPr>
        <w:t xml:space="preserve"> </w:t>
      </w:r>
      <w:r>
        <w:rPr>
          <w:rFonts w:ascii="Arial MT" w:hAnsi="Arial MT"/>
          <w:sz w:val="18"/>
        </w:rPr>
        <w:t>Ministerio</w:t>
      </w:r>
      <w:r>
        <w:rPr>
          <w:rFonts w:ascii="Arial MT" w:hAnsi="Arial MT"/>
          <w:spacing w:val="-6"/>
          <w:sz w:val="18"/>
        </w:rPr>
        <w:t xml:space="preserve"> </w:t>
      </w:r>
      <w:r>
        <w:rPr>
          <w:rFonts w:ascii="Arial MT" w:hAnsi="Arial MT"/>
          <w:sz w:val="18"/>
        </w:rPr>
        <w:t>de</w:t>
      </w:r>
      <w:r>
        <w:rPr>
          <w:rFonts w:ascii="Arial MT" w:hAnsi="Arial MT"/>
          <w:spacing w:val="-6"/>
          <w:sz w:val="18"/>
        </w:rPr>
        <w:t xml:space="preserve"> </w:t>
      </w:r>
      <w:r>
        <w:rPr>
          <w:rFonts w:ascii="Arial MT" w:hAnsi="Arial MT"/>
          <w:sz w:val="18"/>
        </w:rPr>
        <w:t>Igualdad y Equidad.</w:t>
      </w:r>
    </w:p>
    <w:p w14:paraId="62C4CA3E" w14:textId="77777777" w:rsidR="000E52B0" w:rsidRDefault="00F60D74">
      <w:pPr>
        <w:ind w:left="720" w:right="724"/>
        <w:jc w:val="both"/>
        <w:rPr>
          <w:rFonts w:ascii="Arial MT"/>
          <w:sz w:val="18"/>
        </w:rPr>
      </w:pPr>
      <w:bookmarkStart w:id="100" w:name="_bookmark100"/>
      <w:bookmarkEnd w:id="100"/>
      <w:r>
        <w:rPr>
          <w:rFonts w:ascii="Arial MT"/>
          <w:position w:val="6"/>
          <w:sz w:val="12"/>
        </w:rPr>
        <w:t>85</w:t>
      </w:r>
      <w:r>
        <w:rPr>
          <w:rFonts w:ascii="Arial MT"/>
          <w:spacing w:val="39"/>
          <w:position w:val="6"/>
          <w:sz w:val="12"/>
        </w:rPr>
        <w:t xml:space="preserve"> </w:t>
      </w:r>
      <w:r>
        <w:rPr>
          <w:rFonts w:ascii="Arial MT"/>
          <w:sz w:val="18"/>
        </w:rPr>
        <w:t xml:space="preserve">Bernal, A., &amp; Camacho, R. (2010). La importancia de los programas para la primera infancia en Colombia. </w:t>
      </w:r>
      <w:bookmarkStart w:id="101" w:name="_bookmark101"/>
      <w:bookmarkEnd w:id="101"/>
      <w:r>
        <w:rPr>
          <w:rFonts w:ascii="Arial MT"/>
          <w:sz w:val="18"/>
        </w:rPr>
        <w:t>Documento CEDE No 20.</w:t>
      </w:r>
    </w:p>
    <w:p w14:paraId="328F9427" w14:textId="77777777" w:rsidR="000E52B0" w:rsidRDefault="00F60D74">
      <w:pPr>
        <w:ind w:left="720" w:right="725"/>
        <w:jc w:val="both"/>
        <w:rPr>
          <w:rFonts w:ascii="Arial MT" w:hAnsi="Arial MT"/>
          <w:sz w:val="18"/>
        </w:rPr>
      </w:pPr>
      <w:r>
        <w:rPr>
          <w:rFonts w:ascii="Arial MT" w:hAnsi="Arial MT"/>
          <w:position w:val="6"/>
          <w:sz w:val="12"/>
        </w:rPr>
        <w:t>86</w:t>
      </w:r>
      <w:r>
        <w:rPr>
          <w:rFonts w:ascii="Arial MT" w:hAnsi="Arial MT"/>
          <w:spacing w:val="40"/>
          <w:position w:val="6"/>
          <w:sz w:val="12"/>
        </w:rPr>
        <w:t xml:space="preserve"> </w:t>
      </w:r>
      <w:r>
        <w:rPr>
          <w:rFonts w:ascii="Arial MT" w:hAnsi="Arial MT"/>
          <w:sz w:val="18"/>
        </w:rPr>
        <w:t>Monroy, J., Núñez Méndez, J., Ramírez, J., &amp; Lasso, D. (2022). Diagnóstico Multidimensional sobre las desigualdades en Colombia. Análisis estadístico al servicio de las políticas públicas. Bogotá: Fundación por la Unión Europea, AFD, DANE, FEDESARROLLO.</w:t>
      </w:r>
    </w:p>
    <w:p w14:paraId="493357A9" w14:textId="77777777" w:rsidR="000E52B0" w:rsidRDefault="000E52B0">
      <w:pPr>
        <w:jc w:val="both"/>
        <w:rPr>
          <w:rFonts w:ascii="Arial MT" w:hAnsi="Arial MT"/>
          <w:sz w:val="18"/>
        </w:rPr>
        <w:sectPr w:rsidR="000E52B0">
          <w:pgSz w:w="11910" w:h="16840"/>
          <w:pgMar w:top="1340" w:right="720" w:bottom="1180" w:left="720" w:header="0" w:footer="995" w:gutter="0"/>
          <w:cols w:space="720"/>
        </w:sectPr>
      </w:pPr>
    </w:p>
    <w:p w14:paraId="51B6D0C6" w14:textId="77777777" w:rsidR="000E52B0" w:rsidRDefault="00F60D74">
      <w:pPr>
        <w:pStyle w:val="Textoindependiente"/>
        <w:spacing w:before="83"/>
        <w:ind w:right="715"/>
        <w:jc w:val="both"/>
      </w:pPr>
      <w:r>
        <w:lastRenderedPageBreak/>
        <w:t>de calidad y servicios</w:t>
      </w:r>
      <w:r>
        <w:rPr>
          <w:spacing w:val="-1"/>
        </w:rPr>
        <w:t xml:space="preserve"> </w:t>
      </w:r>
      <w:r>
        <w:t>como internet), problemas</w:t>
      </w:r>
      <w:r>
        <w:rPr>
          <w:spacing w:val="-1"/>
        </w:rPr>
        <w:t xml:space="preserve"> </w:t>
      </w:r>
      <w:r>
        <w:t>de inserción</w:t>
      </w:r>
      <w:r>
        <w:rPr>
          <w:spacing w:val="-1"/>
        </w:rPr>
        <w:t xml:space="preserve"> </w:t>
      </w:r>
      <w:r>
        <w:t>laboral</w:t>
      </w:r>
      <w:r>
        <w:rPr>
          <w:spacing w:val="-1"/>
        </w:rPr>
        <w:t xml:space="preserve"> </w:t>
      </w:r>
      <w:r>
        <w:t>en el sector formal, baja capacidad de generación de ingresos, problemas de acceso a la alimentación y nutrición adecuada, entre otros. Las desigualdades en los primeros años de vida llevan a menores logros educativos (Banco Mundial, 2021)</w:t>
      </w:r>
      <w:hyperlink w:anchor="_bookmark102" w:history="1">
        <w:r w:rsidR="000E52B0">
          <w:rPr>
            <w:position w:val="8"/>
            <w:sz w:val="16"/>
          </w:rPr>
          <w:t>87</w:t>
        </w:r>
      </w:hyperlink>
      <w:r>
        <w:rPr>
          <w:spacing w:val="40"/>
          <w:position w:val="8"/>
          <w:sz w:val="16"/>
        </w:rPr>
        <w:t xml:space="preserve"> </w:t>
      </w:r>
      <w:r>
        <w:t>y, por tanto, menor acceso a oportunidades laborales (</w:t>
      </w:r>
      <w:proofErr w:type="spellStart"/>
      <w:r>
        <w:t>Woerz</w:t>
      </w:r>
      <w:proofErr w:type="spellEnd"/>
      <w:r>
        <w:t>, 2023)</w:t>
      </w:r>
      <w:hyperlink w:anchor="_bookmark103" w:history="1">
        <w:r w:rsidR="000E52B0">
          <w:rPr>
            <w:position w:val="8"/>
            <w:sz w:val="16"/>
          </w:rPr>
          <w:t>88</w:t>
        </w:r>
      </w:hyperlink>
      <w:r>
        <w:t>, lo que se traduce en la persistencia en el tiempo de las desigualdades en resultados y oportunidades</w:t>
      </w:r>
      <w:r>
        <w:rPr>
          <w:spacing w:val="-15"/>
        </w:rPr>
        <w:t xml:space="preserve"> </w:t>
      </w:r>
      <w:r>
        <w:t>(Ferreira</w:t>
      </w:r>
      <w:r>
        <w:rPr>
          <w:spacing w:val="-14"/>
        </w:rPr>
        <w:t xml:space="preserve"> </w:t>
      </w:r>
      <w:r>
        <w:t>&amp;</w:t>
      </w:r>
      <w:r>
        <w:rPr>
          <w:spacing w:val="-14"/>
        </w:rPr>
        <w:t xml:space="preserve"> </w:t>
      </w:r>
      <w:r>
        <w:t>Meléndez,</w:t>
      </w:r>
      <w:r>
        <w:rPr>
          <w:spacing w:val="-18"/>
        </w:rPr>
        <w:t xml:space="preserve"> </w:t>
      </w:r>
      <w:r>
        <w:t>2014)</w:t>
      </w:r>
      <w:hyperlink w:anchor="_bookmark104" w:history="1">
        <w:r w:rsidR="000E52B0">
          <w:rPr>
            <w:position w:val="8"/>
            <w:sz w:val="16"/>
          </w:rPr>
          <w:t>89</w:t>
        </w:r>
      </w:hyperlink>
      <w:r>
        <w:rPr>
          <w:spacing w:val="15"/>
          <w:position w:val="8"/>
          <w:sz w:val="16"/>
        </w:rPr>
        <w:t xml:space="preserve"> </w:t>
      </w:r>
      <w:r>
        <w:t>y,</w:t>
      </w:r>
      <w:r>
        <w:rPr>
          <w:spacing w:val="-16"/>
        </w:rPr>
        <w:t xml:space="preserve"> </w:t>
      </w:r>
      <w:r>
        <w:t>por</w:t>
      </w:r>
      <w:r>
        <w:rPr>
          <w:spacing w:val="-14"/>
        </w:rPr>
        <w:t xml:space="preserve"> </w:t>
      </w:r>
      <w:r>
        <w:t>tanto,</w:t>
      </w:r>
      <w:r>
        <w:rPr>
          <w:spacing w:val="-15"/>
        </w:rPr>
        <w:t xml:space="preserve"> </w:t>
      </w:r>
      <w:r>
        <w:t>menor</w:t>
      </w:r>
      <w:r>
        <w:rPr>
          <w:spacing w:val="-14"/>
        </w:rPr>
        <w:t xml:space="preserve"> </w:t>
      </w:r>
      <w:r>
        <w:t>movilidad social (Angulo et al., 2014)</w:t>
      </w:r>
      <w:hyperlink w:anchor="_bookmark105" w:history="1">
        <w:r w:rsidR="000E52B0">
          <w:rPr>
            <w:position w:val="8"/>
            <w:sz w:val="16"/>
          </w:rPr>
          <w:t>90</w:t>
        </w:r>
      </w:hyperlink>
      <w:r>
        <w:t>.</w:t>
      </w:r>
    </w:p>
    <w:p w14:paraId="6D7428B9" w14:textId="64348149" w:rsidR="000E52B0" w:rsidRDefault="00F60D74">
      <w:pPr>
        <w:pStyle w:val="Textoindependiente"/>
        <w:spacing w:before="159"/>
        <w:ind w:right="715"/>
        <w:jc w:val="both"/>
      </w:pPr>
      <w:r>
        <w:t>El</w:t>
      </w:r>
      <w:r>
        <w:rPr>
          <w:spacing w:val="-16"/>
        </w:rPr>
        <w:t xml:space="preserve"> </w:t>
      </w:r>
      <w:r>
        <w:t>embarazo</w:t>
      </w:r>
      <w:r>
        <w:rPr>
          <w:spacing w:val="-14"/>
        </w:rPr>
        <w:t xml:space="preserve"> </w:t>
      </w:r>
      <w:r>
        <w:t>adolescente</w:t>
      </w:r>
      <w:r>
        <w:rPr>
          <w:spacing w:val="-14"/>
        </w:rPr>
        <w:t xml:space="preserve"> </w:t>
      </w:r>
      <w:r>
        <w:t>es</w:t>
      </w:r>
      <w:r>
        <w:rPr>
          <w:spacing w:val="-15"/>
        </w:rPr>
        <w:t xml:space="preserve"> </w:t>
      </w:r>
      <w:r>
        <w:t>un</w:t>
      </w:r>
      <w:r>
        <w:rPr>
          <w:spacing w:val="-13"/>
        </w:rPr>
        <w:t xml:space="preserve"> </w:t>
      </w:r>
      <w:r>
        <w:t>tema</w:t>
      </w:r>
      <w:r>
        <w:rPr>
          <w:spacing w:val="-13"/>
        </w:rPr>
        <w:t xml:space="preserve"> </w:t>
      </w:r>
      <w:r>
        <w:t>crucial</w:t>
      </w:r>
      <w:r>
        <w:rPr>
          <w:spacing w:val="-14"/>
        </w:rPr>
        <w:t xml:space="preserve"> </w:t>
      </w:r>
      <w:r>
        <w:t>en</w:t>
      </w:r>
      <w:r>
        <w:rPr>
          <w:spacing w:val="-13"/>
        </w:rPr>
        <w:t xml:space="preserve"> </w:t>
      </w:r>
      <w:r>
        <w:t>los</w:t>
      </w:r>
      <w:r>
        <w:rPr>
          <w:spacing w:val="-12"/>
        </w:rPr>
        <w:t xml:space="preserve"> </w:t>
      </w:r>
      <w:r>
        <w:t>impactos</w:t>
      </w:r>
      <w:r>
        <w:rPr>
          <w:spacing w:val="-13"/>
        </w:rPr>
        <w:t xml:space="preserve"> </w:t>
      </w:r>
      <w:r>
        <w:t>económicos</w:t>
      </w:r>
      <w:r>
        <w:rPr>
          <w:spacing w:val="-15"/>
        </w:rPr>
        <w:t xml:space="preserve"> </w:t>
      </w:r>
      <w:r>
        <w:t>de la desigualdad, debido a sus implicaciones en el largo plazo y entre generaciones:</w:t>
      </w:r>
      <w:r>
        <w:rPr>
          <w:spacing w:val="-8"/>
        </w:rPr>
        <w:t xml:space="preserve"> </w:t>
      </w:r>
      <w:r>
        <w:t>no</w:t>
      </w:r>
      <w:r>
        <w:rPr>
          <w:spacing w:val="-7"/>
        </w:rPr>
        <w:t xml:space="preserve"> </w:t>
      </w:r>
      <w:r>
        <w:t>solo</w:t>
      </w:r>
      <w:r>
        <w:rPr>
          <w:spacing w:val="-7"/>
        </w:rPr>
        <w:t xml:space="preserve"> </w:t>
      </w:r>
      <w:r>
        <w:t>limita</w:t>
      </w:r>
      <w:r>
        <w:rPr>
          <w:spacing w:val="-7"/>
        </w:rPr>
        <w:t xml:space="preserve"> </w:t>
      </w:r>
      <w:r>
        <w:t>las</w:t>
      </w:r>
      <w:r>
        <w:rPr>
          <w:spacing w:val="-8"/>
        </w:rPr>
        <w:t xml:space="preserve"> </w:t>
      </w:r>
      <w:r>
        <w:t>oportunidades</w:t>
      </w:r>
      <w:r>
        <w:rPr>
          <w:spacing w:val="-8"/>
        </w:rPr>
        <w:t xml:space="preserve"> </w:t>
      </w:r>
      <w:r>
        <w:t>educativas</w:t>
      </w:r>
      <w:r>
        <w:rPr>
          <w:spacing w:val="-8"/>
        </w:rPr>
        <w:t xml:space="preserve"> </w:t>
      </w:r>
      <w:r>
        <w:t>y</w:t>
      </w:r>
      <w:r>
        <w:rPr>
          <w:spacing w:val="-5"/>
        </w:rPr>
        <w:t xml:space="preserve"> </w:t>
      </w:r>
      <w:r>
        <w:t>laborales</w:t>
      </w:r>
      <w:r>
        <w:rPr>
          <w:spacing w:val="-8"/>
        </w:rPr>
        <w:t xml:space="preserve"> </w:t>
      </w:r>
      <w:r>
        <w:t>de</w:t>
      </w:r>
      <w:r>
        <w:rPr>
          <w:spacing w:val="-6"/>
        </w:rPr>
        <w:t xml:space="preserve"> </w:t>
      </w:r>
      <w:r>
        <w:t xml:space="preserve">la madre, sino que restringe las </w:t>
      </w:r>
      <w:r w:rsidR="00A964A8">
        <w:t>oportunidades económicas</w:t>
      </w:r>
      <w:r>
        <w:t xml:space="preserve"> y el bienestar de los</w:t>
      </w:r>
      <w:r>
        <w:rPr>
          <w:spacing w:val="-1"/>
        </w:rPr>
        <w:t xml:space="preserve"> </w:t>
      </w:r>
      <w:r>
        <w:t>hijos y las hijas. De acuerdo con UNFPA</w:t>
      </w:r>
      <w:r>
        <w:rPr>
          <w:spacing w:val="-2"/>
        </w:rPr>
        <w:t xml:space="preserve"> </w:t>
      </w:r>
      <w:r>
        <w:t>(2011)</w:t>
      </w:r>
      <w:hyperlink w:anchor="_bookmark106" w:history="1">
        <w:r w:rsidR="000E52B0">
          <w:rPr>
            <w:position w:val="8"/>
            <w:sz w:val="16"/>
          </w:rPr>
          <w:t>91</w:t>
        </w:r>
      </w:hyperlink>
      <w:r>
        <w:t>,</w:t>
      </w:r>
      <w:r>
        <w:rPr>
          <w:spacing w:val="-2"/>
        </w:rPr>
        <w:t xml:space="preserve"> </w:t>
      </w:r>
      <w:r>
        <w:t>el efecto de eliminar la fecundidad no deseada en términos de reducción de la pobreza equivaldría a elevar los ingresos de los pobres en 10% a 20%. En el caso de Colombia, se ha demostrado que la maternidad temprana se relaciona significativamente con el abandono escolar, un menor rendimiento educativo y peores resultados en el mercado laboral para las mujeres (DANE, DNP, Minsalud, Cancillería, UNFPA, 2018)</w:t>
      </w:r>
      <w:hyperlink w:anchor="_bookmark107" w:history="1">
        <w:r w:rsidR="000E52B0">
          <w:rPr>
            <w:position w:val="8"/>
            <w:sz w:val="16"/>
          </w:rPr>
          <w:t>92</w:t>
        </w:r>
      </w:hyperlink>
      <w:r>
        <w:t>, mientras que la pérdida de capital humano acumulado por el embarazo precoz se estima entre 4 y 5 años de educación (Flórez &amp; Soto, 2007)</w:t>
      </w:r>
      <w:hyperlink w:anchor="_bookmark108" w:history="1">
        <w:r w:rsidR="000E52B0">
          <w:rPr>
            <w:position w:val="8"/>
            <w:sz w:val="16"/>
          </w:rPr>
          <w:t>93</w:t>
        </w:r>
      </w:hyperlink>
      <w:r>
        <w:t>.</w:t>
      </w:r>
    </w:p>
    <w:p w14:paraId="1C4B3785" w14:textId="77777777" w:rsidR="000E52B0" w:rsidRDefault="00F60D74">
      <w:pPr>
        <w:pStyle w:val="Textoindependiente"/>
        <w:spacing w:before="161"/>
        <w:ind w:right="714"/>
        <w:jc w:val="both"/>
      </w:pPr>
      <w:r>
        <w:t>La</w:t>
      </w:r>
      <w:r>
        <w:rPr>
          <w:spacing w:val="-6"/>
        </w:rPr>
        <w:t xml:space="preserve"> </w:t>
      </w:r>
      <w:r>
        <w:t>pérdida</w:t>
      </w:r>
      <w:r>
        <w:rPr>
          <w:spacing w:val="-6"/>
        </w:rPr>
        <w:t xml:space="preserve"> </w:t>
      </w:r>
      <w:r>
        <w:t>de</w:t>
      </w:r>
      <w:r>
        <w:rPr>
          <w:spacing w:val="-5"/>
        </w:rPr>
        <w:t xml:space="preserve"> </w:t>
      </w:r>
      <w:r>
        <w:t>años</w:t>
      </w:r>
      <w:r>
        <w:rPr>
          <w:spacing w:val="-4"/>
        </w:rPr>
        <w:t xml:space="preserve"> </w:t>
      </w:r>
      <w:r>
        <w:t>de</w:t>
      </w:r>
      <w:r>
        <w:rPr>
          <w:spacing w:val="-5"/>
        </w:rPr>
        <w:t xml:space="preserve"> </w:t>
      </w:r>
      <w:r>
        <w:t>educación</w:t>
      </w:r>
      <w:r>
        <w:rPr>
          <w:spacing w:val="-7"/>
        </w:rPr>
        <w:t xml:space="preserve"> </w:t>
      </w:r>
      <w:r>
        <w:t>que</w:t>
      </w:r>
      <w:r>
        <w:rPr>
          <w:spacing w:val="-5"/>
        </w:rPr>
        <w:t xml:space="preserve"> </w:t>
      </w:r>
      <w:r>
        <w:t>sufren</w:t>
      </w:r>
      <w:r>
        <w:rPr>
          <w:spacing w:val="-7"/>
        </w:rPr>
        <w:t xml:space="preserve"> </w:t>
      </w:r>
      <w:r>
        <w:t>las</w:t>
      </w:r>
      <w:r>
        <w:rPr>
          <w:spacing w:val="-7"/>
        </w:rPr>
        <w:t xml:space="preserve"> </w:t>
      </w:r>
      <w:r>
        <w:t>madres</w:t>
      </w:r>
      <w:r>
        <w:rPr>
          <w:spacing w:val="-7"/>
        </w:rPr>
        <w:t xml:space="preserve"> </w:t>
      </w:r>
      <w:r>
        <w:t>adolescentes</w:t>
      </w:r>
      <w:r>
        <w:rPr>
          <w:spacing w:val="-7"/>
        </w:rPr>
        <w:t xml:space="preserve"> </w:t>
      </w:r>
      <w:r>
        <w:t>tiene a su vez implicaciones negativas para la inserción en los mercados laborales. Se ha encontrado que las mujeres con fecundidad adolescente tienen una probabilidad 11% menor de trabajar que aquellas que no han experimentado</w:t>
      </w:r>
      <w:r>
        <w:rPr>
          <w:spacing w:val="-1"/>
        </w:rPr>
        <w:t xml:space="preserve"> </w:t>
      </w:r>
      <w:r>
        <w:t>esta situación (Núñez</w:t>
      </w:r>
      <w:r>
        <w:rPr>
          <w:spacing w:val="-1"/>
        </w:rPr>
        <w:t xml:space="preserve"> </w:t>
      </w:r>
      <w:r>
        <w:t>&amp;</w:t>
      </w:r>
      <w:r>
        <w:rPr>
          <w:spacing w:val="-1"/>
        </w:rPr>
        <w:t xml:space="preserve"> </w:t>
      </w:r>
      <w:r>
        <w:t>Cuesta, 2006)</w:t>
      </w:r>
      <w:hyperlink w:anchor="_bookmark109" w:history="1">
        <w:r w:rsidR="000E52B0">
          <w:rPr>
            <w:position w:val="8"/>
            <w:sz w:val="16"/>
          </w:rPr>
          <w:t>94</w:t>
        </w:r>
      </w:hyperlink>
      <w:r>
        <w:t>.</w:t>
      </w:r>
      <w:r>
        <w:rPr>
          <w:spacing w:val="-3"/>
        </w:rPr>
        <w:t xml:space="preserve"> </w:t>
      </w:r>
      <w:r>
        <w:t>Cuando la madre adolescente abandona sus estudios, limita su acumulación de capital humano,</w:t>
      </w:r>
      <w:r>
        <w:rPr>
          <w:spacing w:val="42"/>
        </w:rPr>
        <w:t xml:space="preserve"> </w:t>
      </w:r>
      <w:r>
        <w:t>lo</w:t>
      </w:r>
      <w:r>
        <w:rPr>
          <w:spacing w:val="42"/>
        </w:rPr>
        <w:t xml:space="preserve"> </w:t>
      </w:r>
      <w:r>
        <w:t>que</w:t>
      </w:r>
      <w:r>
        <w:rPr>
          <w:spacing w:val="43"/>
        </w:rPr>
        <w:t xml:space="preserve"> </w:t>
      </w:r>
      <w:r>
        <w:t>reduce</w:t>
      </w:r>
      <w:r>
        <w:rPr>
          <w:spacing w:val="43"/>
        </w:rPr>
        <w:t xml:space="preserve"> </w:t>
      </w:r>
      <w:r>
        <w:t>sus</w:t>
      </w:r>
      <w:r>
        <w:rPr>
          <w:spacing w:val="43"/>
        </w:rPr>
        <w:t xml:space="preserve"> </w:t>
      </w:r>
      <w:r>
        <w:t>posibilidades</w:t>
      </w:r>
      <w:r>
        <w:rPr>
          <w:spacing w:val="42"/>
        </w:rPr>
        <w:t xml:space="preserve"> </w:t>
      </w:r>
      <w:r>
        <w:t>de</w:t>
      </w:r>
      <w:r>
        <w:rPr>
          <w:spacing w:val="43"/>
        </w:rPr>
        <w:t xml:space="preserve"> </w:t>
      </w:r>
      <w:r>
        <w:t>ingreso</w:t>
      </w:r>
      <w:r>
        <w:rPr>
          <w:spacing w:val="43"/>
        </w:rPr>
        <w:t xml:space="preserve"> </w:t>
      </w:r>
      <w:r>
        <w:t>al</w:t>
      </w:r>
      <w:r>
        <w:rPr>
          <w:spacing w:val="49"/>
        </w:rPr>
        <w:t xml:space="preserve"> </w:t>
      </w:r>
      <w:r>
        <w:t>mercado</w:t>
      </w:r>
      <w:r>
        <w:rPr>
          <w:spacing w:val="43"/>
        </w:rPr>
        <w:t xml:space="preserve"> </w:t>
      </w:r>
      <w:r>
        <w:rPr>
          <w:spacing w:val="-2"/>
        </w:rPr>
        <w:t>laboral</w:t>
      </w:r>
    </w:p>
    <w:p w14:paraId="0C9DBBF7" w14:textId="77777777" w:rsidR="000E52B0" w:rsidRDefault="00F60D74">
      <w:pPr>
        <w:pStyle w:val="Textoindependiente"/>
        <w:spacing w:before="199"/>
        <w:ind w:left="0"/>
        <w:rPr>
          <w:sz w:val="20"/>
        </w:rPr>
      </w:pPr>
      <w:r>
        <w:rPr>
          <w:noProof/>
          <w:sz w:val="20"/>
        </w:rPr>
        <mc:AlternateContent>
          <mc:Choice Requires="wps">
            <w:drawing>
              <wp:anchor distT="0" distB="0" distL="0" distR="0" simplePos="0" relativeHeight="487667200" behindDoc="1" locked="0" layoutInCell="1" allowOverlap="1" wp14:anchorId="757CCC62" wp14:editId="4FB9CD60">
                <wp:simplePos x="0" y="0"/>
                <wp:positionH relativeFrom="page">
                  <wp:posOffset>914704</wp:posOffset>
                </wp:positionH>
                <wp:positionV relativeFrom="paragraph">
                  <wp:posOffset>295966</wp:posOffset>
                </wp:positionV>
                <wp:extent cx="1829435" cy="7620"/>
                <wp:effectExtent l="0" t="0" r="0" b="0"/>
                <wp:wrapTopAndBottom/>
                <wp:docPr id="740" name="Graphi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E4D7DD" id="Graphic 740" o:spid="_x0000_s1026" style="position:absolute;margin-left:1in;margin-top:23.3pt;width:144.05pt;height:.6pt;z-index:-1564928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" path="m1829054,l,,,7619r1829054,l1829054,xe" fillcolor="black" stroked="f">
                <v:path arrowok="t"/>
                <w10:wrap type="topAndBottom" anchorx="page"/>
              </v:shape>
            </w:pict>
          </mc:Fallback>
        </mc:AlternateContent>
      </w:r>
    </w:p>
    <w:p w14:paraId="1A40B39F" w14:textId="77777777" w:rsidR="000E52B0" w:rsidRDefault="00F60D74">
      <w:pPr>
        <w:spacing w:before="100"/>
        <w:ind w:left="720" w:right="729"/>
        <w:jc w:val="both"/>
        <w:rPr>
          <w:rFonts w:ascii="Arial MT" w:hAnsi="Arial MT"/>
          <w:sz w:val="20"/>
        </w:rPr>
      </w:pPr>
      <w:bookmarkStart w:id="102" w:name="_bookmark102"/>
      <w:bookmarkEnd w:id="102"/>
      <w:r>
        <w:rPr>
          <w:rFonts w:ascii="Arial MT" w:hAnsi="Arial MT"/>
          <w:position w:val="6"/>
          <w:sz w:val="13"/>
        </w:rPr>
        <w:t>87</w:t>
      </w:r>
      <w:r>
        <w:rPr>
          <w:rFonts w:ascii="Arial MT" w:hAnsi="Arial MT"/>
          <w:spacing w:val="17"/>
          <w:position w:val="6"/>
          <w:sz w:val="13"/>
        </w:rPr>
        <w:t xml:space="preserve"> </w:t>
      </w:r>
      <w:proofErr w:type="gramStart"/>
      <w:r>
        <w:rPr>
          <w:rFonts w:ascii="Arial MT" w:hAnsi="Arial MT"/>
          <w:sz w:val="20"/>
        </w:rPr>
        <w:t>Banco</w:t>
      </w:r>
      <w:proofErr w:type="gramEnd"/>
      <w:r>
        <w:rPr>
          <w:rFonts w:ascii="Arial MT" w:hAnsi="Arial MT"/>
          <w:spacing w:val="-3"/>
          <w:sz w:val="20"/>
        </w:rPr>
        <w:t xml:space="preserve"> </w:t>
      </w:r>
      <w:r>
        <w:rPr>
          <w:rFonts w:ascii="Arial MT" w:hAnsi="Arial MT"/>
          <w:sz w:val="20"/>
        </w:rPr>
        <w:t>Mundial.</w:t>
      </w:r>
      <w:r>
        <w:rPr>
          <w:rFonts w:ascii="Arial MT" w:hAnsi="Arial MT"/>
          <w:spacing w:val="-3"/>
          <w:sz w:val="20"/>
        </w:rPr>
        <w:t xml:space="preserve"> </w:t>
      </w:r>
      <w:r>
        <w:rPr>
          <w:rFonts w:ascii="Arial MT" w:hAnsi="Arial MT"/>
          <w:sz w:val="20"/>
        </w:rPr>
        <w:t>(2021).</w:t>
      </w:r>
      <w:r>
        <w:rPr>
          <w:rFonts w:ascii="Arial MT" w:hAnsi="Arial MT"/>
          <w:spacing w:val="-3"/>
          <w:sz w:val="20"/>
        </w:rPr>
        <w:t xml:space="preserve"> </w:t>
      </w:r>
      <w:r>
        <w:rPr>
          <w:rFonts w:ascii="Arial MT" w:hAnsi="Arial MT"/>
          <w:sz w:val="20"/>
        </w:rPr>
        <w:t>Hacia</w:t>
      </w:r>
      <w:r>
        <w:rPr>
          <w:rFonts w:ascii="Arial MT" w:hAnsi="Arial MT"/>
          <w:spacing w:val="-3"/>
          <w:sz w:val="20"/>
        </w:rPr>
        <w:t xml:space="preserve"> </w:t>
      </w:r>
      <w:r>
        <w:rPr>
          <w:rFonts w:ascii="Arial MT" w:hAnsi="Arial MT"/>
          <w:sz w:val="20"/>
        </w:rPr>
        <w:t>la</w:t>
      </w:r>
      <w:r>
        <w:rPr>
          <w:rFonts w:ascii="Arial MT" w:hAnsi="Arial MT"/>
          <w:spacing w:val="-3"/>
          <w:sz w:val="20"/>
        </w:rPr>
        <w:t xml:space="preserve"> </w:t>
      </w:r>
      <w:r>
        <w:rPr>
          <w:rFonts w:ascii="Arial MT" w:hAnsi="Arial MT"/>
          <w:sz w:val="20"/>
        </w:rPr>
        <w:t>construcción</w:t>
      </w:r>
      <w:r>
        <w:rPr>
          <w:rFonts w:ascii="Arial MT" w:hAnsi="Arial MT"/>
          <w:spacing w:val="-4"/>
          <w:sz w:val="20"/>
        </w:rPr>
        <w:t xml:space="preserve"> </w:t>
      </w:r>
      <w:r>
        <w:rPr>
          <w:rFonts w:ascii="Arial MT" w:hAnsi="Arial MT"/>
          <w:sz w:val="20"/>
        </w:rPr>
        <w:t>de</w:t>
      </w:r>
      <w:r>
        <w:rPr>
          <w:rFonts w:ascii="Arial MT" w:hAnsi="Arial MT"/>
          <w:spacing w:val="-1"/>
          <w:sz w:val="20"/>
        </w:rPr>
        <w:t xml:space="preserve"> </w:t>
      </w:r>
      <w:r>
        <w:rPr>
          <w:rFonts w:ascii="Arial MT" w:hAnsi="Arial MT"/>
          <w:sz w:val="20"/>
        </w:rPr>
        <w:t>una</w:t>
      </w:r>
      <w:r>
        <w:rPr>
          <w:rFonts w:ascii="Arial MT" w:hAnsi="Arial MT"/>
          <w:spacing w:val="-1"/>
          <w:sz w:val="20"/>
        </w:rPr>
        <w:t xml:space="preserve"> </w:t>
      </w:r>
      <w:r>
        <w:rPr>
          <w:rFonts w:ascii="Arial MT" w:hAnsi="Arial MT"/>
          <w:sz w:val="20"/>
        </w:rPr>
        <w:t>sociedad</w:t>
      </w:r>
      <w:r>
        <w:rPr>
          <w:rFonts w:ascii="Arial MT" w:hAnsi="Arial MT"/>
          <w:spacing w:val="-3"/>
          <w:sz w:val="20"/>
        </w:rPr>
        <w:t xml:space="preserve"> </w:t>
      </w:r>
      <w:r>
        <w:rPr>
          <w:rFonts w:ascii="Arial MT" w:hAnsi="Arial MT"/>
          <w:sz w:val="20"/>
        </w:rPr>
        <w:t>equitativa</w:t>
      </w:r>
      <w:r>
        <w:rPr>
          <w:rFonts w:ascii="Arial MT" w:hAnsi="Arial MT"/>
          <w:spacing w:val="-3"/>
          <w:sz w:val="20"/>
        </w:rPr>
        <w:t xml:space="preserve"> </w:t>
      </w:r>
      <w:r>
        <w:rPr>
          <w:rFonts w:ascii="Arial MT" w:hAnsi="Arial MT"/>
          <w:sz w:val="20"/>
        </w:rPr>
        <w:t>en</w:t>
      </w:r>
      <w:r>
        <w:rPr>
          <w:rFonts w:ascii="Arial MT" w:hAnsi="Arial MT"/>
          <w:spacing w:val="-3"/>
          <w:sz w:val="20"/>
        </w:rPr>
        <w:t xml:space="preserve"> </w:t>
      </w:r>
      <w:r>
        <w:rPr>
          <w:rFonts w:ascii="Arial MT" w:hAnsi="Arial MT"/>
          <w:sz w:val="20"/>
        </w:rPr>
        <w:t>Colombia.</w:t>
      </w:r>
      <w:r>
        <w:rPr>
          <w:rFonts w:ascii="Arial MT" w:hAnsi="Arial MT"/>
          <w:spacing w:val="-1"/>
          <w:sz w:val="20"/>
        </w:rPr>
        <w:t xml:space="preserve"> </w:t>
      </w:r>
      <w:r>
        <w:rPr>
          <w:rFonts w:ascii="Arial MT" w:hAnsi="Arial MT"/>
          <w:sz w:val="20"/>
        </w:rPr>
        <w:t>Washington D.C: Banco Internacional de Reconstrucción y Fomento / Banco Mundial.</w:t>
      </w:r>
    </w:p>
    <w:p w14:paraId="3F3799C7" w14:textId="77777777" w:rsidR="000E52B0" w:rsidRPr="00203383" w:rsidRDefault="00F60D74">
      <w:pPr>
        <w:spacing w:before="1"/>
        <w:ind w:left="720"/>
        <w:jc w:val="both"/>
        <w:rPr>
          <w:rFonts w:ascii="Arial MT"/>
          <w:sz w:val="20"/>
          <w:lang w:val="pt-PT"/>
        </w:rPr>
      </w:pPr>
      <w:bookmarkStart w:id="103" w:name="_bookmark103"/>
      <w:bookmarkEnd w:id="103"/>
      <w:r>
        <w:rPr>
          <w:rFonts w:ascii="Arial MT"/>
          <w:position w:val="6"/>
          <w:sz w:val="13"/>
        </w:rPr>
        <w:t>88</w:t>
      </w:r>
      <w:r>
        <w:rPr>
          <w:rFonts w:ascii="Arial MT"/>
          <w:spacing w:val="10"/>
          <w:position w:val="6"/>
          <w:sz w:val="13"/>
        </w:rPr>
        <w:t xml:space="preserve"> </w:t>
      </w:r>
      <w:proofErr w:type="spellStart"/>
      <w:r>
        <w:rPr>
          <w:rFonts w:ascii="Arial MT"/>
          <w:sz w:val="20"/>
        </w:rPr>
        <w:t>Woerz</w:t>
      </w:r>
      <w:proofErr w:type="spellEnd"/>
      <w:r>
        <w:rPr>
          <w:rFonts w:ascii="Arial MT"/>
          <w:sz w:val="20"/>
        </w:rPr>
        <w:t>,</w:t>
      </w:r>
      <w:r>
        <w:rPr>
          <w:rFonts w:ascii="Arial MT"/>
          <w:spacing w:val="-9"/>
          <w:sz w:val="20"/>
        </w:rPr>
        <w:t xml:space="preserve"> </w:t>
      </w:r>
      <w:r>
        <w:rPr>
          <w:rFonts w:ascii="Arial MT"/>
          <w:sz w:val="20"/>
        </w:rPr>
        <w:t>J.</w:t>
      </w:r>
      <w:r>
        <w:rPr>
          <w:rFonts w:ascii="Arial MT"/>
          <w:spacing w:val="-9"/>
          <w:sz w:val="20"/>
        </w:rPr>
        <w:t xml:space="preserve"> </w:t>
      </w:r>
      <w:r>
        <w:rPr>
          <w:rFonts w:ascii="Arial MT"/>
          <w:sz w:val="20"/>
        </w:rPr>
        <w:t>(2023).</w:t>
      </w:r>
      <w:r>
        <w:rPr>
          <w:rFonts w:ascii="Arial MT"/>
          <w:spacing w:val="-8"/>
          <w:sz w:val="20"/>
        </w:rPr>
        <w:t xml:space="preserve"> </w:t>
      </w:r>
      <w:proofErr w:type="spellStart"/>
      <w:r>
        <w:rPr>
          <w:rFonts w:ascii="Arial MT"/>
          <w:sz w:val="20"/>
        </w:rPr>
        <w:t>Inequality</w:t>
      </w:r>
      <w:proofErr w:type="spellEnd"/>
      <w:r>
        <w:rPr>
          <w:rFonts w:ascii="Arial MT"/>
          <w:spacing w:val="-8"/>
          <w:sz w:val="20"/>
        </w:rPr>
        <w:t xml:space="preserve"> </w:t>
      </w:r>
      <w:proofErr w:type="spellStart"/>
      <w:r>
        <w:rPr>
          <w:rFonts w:ascii="Arial MT"/>
          <w:sz w:val="20"/>
        </w:rPr>
        <w:t>diagnostic</w:t>
      </w:r>
      <w:proofErr w:type="spellEnd"/>
      <w:r>
        <w:rPr>
          <w:rFonts w:ascii="Arial MT"/>
          <w:spacing w:val="-8"/>
          <w:sz w:val="20"/>
        </w:rPr>
        <w:t xml:space="preserve"> </w:t>
      </w:r>
      <w:r>
        <w:rPr>
          <w:rFonts w:ascii="Arial MT"/>
          <w:sz w:val="20"/>
        </w:rPr>
        <w:t>Colombia.</w:t>
      </w:r>
      <w:r>
        <w:rPr>
          <w:rFonts w:ascii="Arial MT"/>
          <w:spacing w:val="-7"/>
          <w:sz w:val="20"/>
        </w:rPr>
        <w:t xml:space="preserve"> </w:t>
      </w:r>
      <w:r w:rsidRPr="00203383">
        <w:rPr>
          <w:rFonts w:ascii="Arial MT"/>
          <w:sz w:val="20"/>
          <w:lang w:val="pt-PT"/>
        </w:rPr>
        <w:t>Documento</w:t>
      </w:r>
      <w:r w:rsidRPr="00203383">
        <w:rPr>
          <w:rFonts w:ascii="Arial MT"/>
          <w:spacing w:val="-7"/>
          <w:sz w:val="20"/>
          <w:lang w:val="pt-PT"/>
        </w:rPr>
        <w:t xml:space="preserve"> </w:t>
      </w:r>
      <w:r w:rsidRPr="00203383">
        <w:rPr>
          <w:rFonts w:ascii="Arial MT"/>
          <w:sz w:val="20"/>
          <w:lang w:val="pt-PT"/>
        </w:rPr>
        <w:t>interno</w:t>
      </w:r>
      <w:r w:rsidRPr="00203383">
        <w:rPr>
          <w:rFonts w:ascii="Arial MT"/>
          <w:spacing w:val="-10"/>
          <w:sz w:val="20"/>
          <w:lang w:val="pt-PT"/>
        </w:rPr>
        <w:t xml:space="preserve"> </w:t>
      </w:r>
      <w:r w:rsidRPr="00203383">
        <w:rPr>
          <w:rFonts w:ascii="Arial MT"/>
          <w:spacing w:val="-4"/>
          <w:sz w:val="20"/>
          <w:lang w:val="pt-PT"/>
        </w:rPr>
        <w:t>GIZ.</w:t>
      </w:r>
    </w:p>
    <w:p w14:paraId="531337EA" w14:textId="77777777" w:rsidR="000E52B0" w:rsidRPr="00203383" w:rsidRDefault="00F60D74">
      <w:pPr>
        <w:ind w:left="720" w:right="727"/>
        <w:jc w:val="both"/>
        <w:rPr>
          <w:rFonts w:ascii="Arial MT"/>
          <w:sz w:val="20"/>
          <w:lang w:val="pt-PT"/>
        </w:rPr>
      </w:pPr>
      <w:bookmarkStart w:id="104" w:name="_bookmark104"/>
      <w:bookmarkEnd w:id="104"/>
      <w:r w:rsidRPr="00203383">
        <w:rPr>
          <w:rFonts w:ascii="Arial MT"/>
          <w:position w:val="6"/>
          <w:sz w:val="13"/>
          <w:lang w:val="pt-PT"/>
        </w:rPr>
        <w:t>89</w:t>
      </w:r>
      <w:r w:rsidRPr="00203383">
        <w:rPr>
          <w:rFonts w:ascii="Arial MT"/>
          <w:spacing w:val="40"/>
          <w:position w:val="6"/>
          <w:sz w:val="13"/>
          <w:lang w:val="pt-PT"/>
        </w:rPr>
        <w:t xml:space="preserve"> </w:t>
      </w:r>
      <w:r w:rsidRPr="00203383">
        <w:rPr>
          <w:rFonts w:ascii="Arial MT"/>
          <w:sz w:val="20"/>
          <w:lang w:val="pt-PT"/>
        </w:rPr>
        <w:t>Ferreira, F. (2023). Is there a 'new consensus' on inequality? Stone Center on Socioeconomic Inequality Working Paper Series.</w:t>
      </w:r>
    </w:p>
    <w:p w14:paraId="2354F6EF" w14:textId="77777777" w:rsidR="000E52B0" w:rsidRDefault="00F60D74">
      <w:pPr>
        <w:ind w:left="720" w:right="717"/>
        <w:jc w:val="both"/>
        <w:rPr>
          <w:rFonts w:ascii="Arial MT" w:hAnsi="Arial MT"/>
          <w:sz w:val="20"/>
        </w:rPr>
      </w:pPr>
      <w:bookmarkStart w:id="105" w:name="_bookmark105"/>
      <w:bookmarkEnd w:id="105"/>
      <w:r w:rsidRPr="00203383">
        <w:rPr>
          <w:rFonts w:ascii="Arial MT" w:hAnsi="Arial MT"/>
          <w:position w:val="6"/>
          <w:sz w:val="13"/>
          <w:lang w:val="pt-PT"/>
        </w:rPr>
        <w:t>90</w:t>
      </w:r>
      <w:r w:rsidRPr="00203383">
        <w:rPr>
          <w:rFonts w:ascii="Arial MT" w:hAnsi="Arial MT"/>
          <w:spacing w:val="40"/>
          <w:position w:val="6"/>
          <w:sz w:val="13"/>
          <w:lang w:val="pt-PT"/>
        </w:rPr>
        <w:t xml:space="preserve"> </w:t>
      </w:r>
      <w:r w:rsidRPr="00203383">
        <w:rPr>
          <w:rFonts w:ascii="Arial MT" w:hAnsi="Arial MT"/>
          <w:sz w:val="20"/>
          <w:lang w:val="pt-PT"/>
        </w:rPr>
        <w:t xml:space="preserve">Angulo, R., Acevedo, J., Gaviria, A., &amp; Páez, G. (2014). </w:t>
      </w:r>
      <w:r>
        <w:rPr>
          <w:rFonts w:ascii="Arial MT" w:hAnsi="Arial MT"/>
          <w:sz w:val="20"/>
        </w:rPr>
        <w:t>Movilidad social en Colombia. En S. Montenegro, &amp; M. Meléndez, Equidad y movilidad social. Diagnósticos y propuestas para la transformación</w:t>
      </w:r>
      <w:r>
        <w:rPr>
          <w:rFonts w:ascii="Arial MT" w:hAnsi="Arial MT"/>
          <w:spacing w:val="-9"/>
          <w:sz w:val="20"/>
        </w:rPr>
        <w:t xml:space="preserve"> </w:t>
      </w:r>
      <w:r>
        <w:rPr>
          <w:rFonts w:ascii="Arial MT" w:hAnsi="Arial MT"/>
          <w:sz w:val="20"/>
        </w:rPr>
        <w:t>de</w:t>
      </w:r>
      <w:r>
        <w:rPr>
          <w:rFonts w:ascii="Arial MT" w:hAnsi="Arial MT"/>
          <w:spacing w:val="-12"/>
          <w:sz w:val="20"/>
        </w:rPr>
        <w:t xml:space="preserve"> </w:t>
      </w:r>
      <w:r>
        <w:rPr>
          <w:rFonts w:ascii="Arial MT" w:hAnsi="Arial MT"/>
          <w:sz w:val="20"/>
        </w:rPr>
        <w:t>la</w:t>
      </w:r>
      <w:r>
        <w:rPr>
          <w:rFonts w:ascii="Arial MT" w:hAnsi="Arial MT"/>
          <w:spacing w:val="-11"/>
          <w:sz w:val="20"/>
        </w:rPr>
        <w:t xml:space="preserve"> </w:t>
      </w:r>
      <w:r>
        <w:rPr>
          <w:rFonts w:ascii="Arial MT" w:hAnsi="Arial MT"/>
          <w:sz w:val="20"/>
        </w:rPr>
        <w:t>sociedad</w:t>
      </w:r>
      <w:r>
        <w:rPr>
          <w:rFonts w:ascii="Arial MT" w:hAnsi="Arial MT"/>
          <w:spacing w:val="-12"/>
          <w:sz w:val="20"/>
        </w:rPr>
        <w:t xml:space="preserve"> </w:t>
      </w:r>
      <w:r>
        <w:rPr>
          <w:rFonts w:ascii="Arial MT" w:hAnsi="Arial MT"/>
          <w:sz w:val="20"/>
        </w:rPr>
        <w:t>colombiana.</w:t>
      </w:r>
      <w:r>
        <w:rPr>
          <w:rFonts w:ascii="Arial MT" w:hAnsi="Arial MT"/>
          <w:spacing w:val="-11"/>
          <w:sz w:val="20"/>
        </w:rPr>
        <w:t xml:space="preserve"> </w:t>
      </w:r>
      <w:r>
        <w:rPr>
          <w:rFonts w:ascii="Arial MT" w:hAnsi="Arial MT"/>
          <w:sz w:val="20"/>
        </w:rPr>
        <w:t>(págs.</w:t>
      </w:r>
      <w:r>
        <w:rPr>
          <w:rFonts w:ascii="Arial MT" w:hAnsi="Arial MT"/>
          <w:spacing w:val="-11"/>
          <w:sz w:val="20"/>
        </w:rPr>
        <w:t xml:space="preserve"> </w:t>
      </w:r>
      <w:r>
        <w:rPr>
          <w:rFonts w:ascii="Arial MT" w:hAnsi="Arial MT"/>
          <w:sz w:val="20"/>
        </w:rPr>
        <w:t>37-67).</w:t>
      </w:r>
      <w:r>
        <w:rPr>
          <w:rFonts w:ascii="Arial MT" w:hAnsi="Arial MT"/>
          <w:spacing w:val="-11"/>
          <w:sz w:val="20"/>
        </w:rPr>
        <w:t xml:space="preserve"> </w:t>
      </w:r>
      <w:r>
        <w:rPr>
          <w:rFonts w:ascii="Arial MT" w:hAnsi="Arial MT"/>
          <w:sz w:val="20"/>
        </w:rPr>
        <w:t>Bogotá:</w:t>
      </w:r>
      <w:r>
        <w:rPr>
          <w:rFonts w:ascii="Arial MT" w:hAnsi="Arial MT"/>
          <w:spacing w:val="-11"/>
          <w:sz w:val="20"/>
        </w:rPr>
        <w:t xml:space="preserve"> </w:t>
      </w:r>
      <w:r>
        <w:rPr>
          <w:rFonts w:ascii="Arial MT" w:hAnsi="Arial MT"/>
          <w:sz w:val="20"/>
        </w:rPr>
        <w:t>Universidad</w:t>
      </w:r>
      <w:r>
        <w:rPr>
          <w:rFonts w:ascii="Arial MT" w:hAnsi="Arial MT"/>
          <w:spacing w:val="-11"/>
          <w:sz w:val="20"/>
        </w:rPr>
        <w:t xml:space="preserve"> </w:t>
      </w:r>
      <w:r>
        <w:rPr>
          <w:rFonts w:ascii="Arial MT" w:hAnsi="Arial MT"/>
          <w:sz w:val="20"/>
        </w:rPr>
        <w:t>de</w:t>
      </w:r>
      <w:r>
        <w:rPr>
          <w:rFonts w:ascii="Arial MT" w:hAnsi="Arial MT"/>
          <w:spacing w:val="-9"/>
          <w:sz w:val="20"/>
        </w:rPr>
        <w:t xml:space="preserve"> </w:t>
      </w:r>
      <w:r>
        <w:rPr>
          <w:rFonts w:ascii="Arial MT" w:hAnsi="Arial MT"/>
          <w:sz w:val="20"/>
        </w:rPr>
        <w:t>Los</w:t>
      </w:r>
      <w:r>
        <w:rPr>
          <w:rFonts w:ascii="Arial MT" w:hAnsi="Arial MT"/>
          <w:spacing w:val="-10"/>
          <w:sz w:val="20"/>
        </w:rPr>
        <w:t xml:space="preserve"> </w:t>
      </w:r>
      <w:r>
        <w:rPr>
          <w:rFonts w:ascii="Arial MT" w:hAnsi="Arial MT"/>
          <w:sz w:val="20"/>
        </w:rPr>
        <w:t>Andes,</w:t>
      </w:r>
      <w:r>
        <w:rPr>
          <w:rFonts w:ascii="Arial MT" w:hAnsi="Arial MT"/>
          <w:spacing w:val="-11"/>
          <w:sz w:val="20"/>
        </w:rPr>
        <w:t xml:space="preserve"> </w:t>
      </w:r>
      <w:r>
        <w:rPr>
          <w:rFonts w:ascii="Arial MT" w:hAnsi="Arial MT"/>
          <w:sz w:val="20"/>
        </w:rPr>
        <w:t xml:space="preserve">Facultad de Economía, CEDE, Ediciones </w:t>
      </w:r>
      <w:proofErr w:type="spellStart"/>
      <w:r>
        <w:rPr>
          <w:rFonts w:ascii="Arial MT" w:hAnsi="Arial MT"/>
          <w:sz w:val="20"/>
        </w:rPr>
        <w:t>UniAndes</w:t>
      </w:r>
      <w:proofErr w:type="spellEnd"/>
      <w:r>
        <w:rPr>
          <w:rFonts w:ascii="Arial MT" w:hAnsi="Arial MT"/>
          <w:sz w:val="20"/>
        </w:rPr>
        <w:t>: Departamento Nacional de Planeación DNP.</w:t>
      </w:r>
    </w:p>
    <w:p w14:paraId="0D91EA05" w14:textId="77777777" w:rsidR="000E52B0" w:rsidRDefault="00F60D74">
      <w:pPr>
        <w:spacing w:before="1"/>
        <w:ind w:left="720" w:right="729"/>
        <w:jc w:val="both"/>
        <w:rPr>
          <w:rFonts w:ascii="Arial MT" w:hAnsi="Arial MT"/>
          <w:sz w:val="20"/>
        </w:rPr>
      </w:pPr>
      <w:bookmarkStart w:id="106" w:name="_bookmark106"/>
      <w:bookmarkEnd w:id="106"/>
      <w:r>
        <w:rPr>
          <w:rFonts w:ascii="Arial MT" w:hAnsi="Arial MT"/>
          <w:position w:val="6"/>
          <w:sz w:val="13"/>
        </w:rPr>
        <w:t>91</w:t>
      </w:r>
      <w:r>
        <w:rPr>
          <w:rFonts w:ascii="Arial MT" w:hAnsi="Arial MT"/>
          <w:spacing w:val="24"/>
          <w:position w:val="6"/>
          <w:sz w:val="13"/>
        </w:rPr>
        <w:t xml:space="preserve"> </w:t>
      </w:r>
      <w:r>
        <w:rPr>
          <w:rFonts w:ascii="Arial MT" w:hAnsi="Arial MT"/>
          <w:sz w:val="20"/>
        </w:rPr>
        <w:t>UNFPA. (2011). Análisis de situación poblacional (ASP): Guía conceptual y metodológica. Bogotá: UNFPA- División técnica.</w:t>
      </w:r>
    </w:p>
    <w:p w14:paraId="31CB8853" w14:textId="77777777" w:rsidR="000E52B0" w:rsidRDefault="00F60D74">
      <w:pPr>
        <w:ind w:left="720" w:right="720"/>
        <w:jc w:val="both"/>
        <w:rPr>
          <w:rFonts w:ascii="Arial MT" w:hAnsi="Arial MT"/>
          <w:sz w:val="20"/>
        </w:rPr>
      </w:pPr>
      <w:bookmarkStart w:id="107" w:name="_bookmark107"/>
      <w:bookmarkEnd w:id="107"/>
      <w:r>
        <w:rPr>
          <w:rFonts w:ascii="Arial MT" w:hAnsi="Arial MT"/>
          <w:position w:val="6"/>
          <w:sz w:val="13"/>
        </w:rPr>
        <w:t>92</w:t>
      </w:r>
      <w:r>
        <w:rPr>
          <w:rFonts w:ascii="Arial MT" w:hAnsi="Arial MT"/>
          <w:spacing w:val="-10"/>
          <w:position w:val="6"/>
          <w:sz w:val="13"/>
        </w:rPr>
        <w:t xml:space="preserve"> </w:t>
      </w:r>
      <w:r>
        <w:rPr>
          <w:rFonts w:ascii="Arial MT" w:hAnsi="Arial MT"/>
          <w:sz w:val="20"/>
        </w:rPr>
        <w:t>DANE,</w:t>
      </w:r>
      <w:r>
        <w:rPr>
          <w:rFonts w:ascii="Arial MT" w:hAnsi="Arial MT"/>
          <w:spacing w:val="-13"/>
          <w:sz w:val="20"/>
        </w:rPr>
        <w:t xml:space="preserve"> </w:t>
      </w:r>
      <w:r>
        <w:rPr>
          <w:rFonts w:ascii="Arial MT" w:hAnsi="Arial MT"/>
          <w:sz w:val="20"/>
        </w:rPr>
        <w:t>DNP,</w:t>
      </w:r>
      <w:r>
        <w:rPr>
          <w:rFonts w:ascii="Arial MT" w:hAnsi="Arial MT"/>
          <w:spacing w:val="-14"/>
          <w:sz w:val="20"/>
        </w:rPr>
        <w:t xml:space="preserve"> </w:t>
      </w:r>
      <w:r>
        <w:rPr>
          <w:rFonts w:ascii="Arial MT" w:hAnsi="Arial MT"/>
          <w:sz w:val="20"/>
        </w:rPr>
        <w:t>Minsalud,</w:t>
      </w:r>
      <w:r>
        <w:rPr>
          <w:rFonts w:ascii="Arial MT" w:hAnsi="Arial MT"/>
          <w:spacing w:val="-14"/>
          <w:sz w:val="20"/>
        </w:rPr>
        <w:t xml:space="preserve"> </w:t>
      </w:r>
      <w:r>
        <w:rPr>
          <w:rFonts w:ascii="Arial MT" w:hAnsi="Arial MT"/>
          <w:sz w:val="20"/>
        </w:rPr>
        <w:t>Cancillería,</w:t>
      </w:r>
      <w:r>
        <w:rPr>
          <w:rFonts w:ascii="Arial MT" w:hAnsi="Arial MT"/>
          <w:spacing w:val="-14"/>
          <w:sz w:val="20"/>
        </w:rPr>
        <w:t xml:space="preserve"> </w:t>
      </w:r>
      <w:r>
        <w:rPr>
          <w:rFonts w:ascii="Arial MT" w:hAnsi="Arial MT"/>
          <w:sz w:val="20"/>
        </w:rPr>
        <w:t>UNFPA.</w:t>
      </w:r>
      <w:r>
        <w:rPr>
          <w:rFonts w:ascii="Arial MT" w:hAnsi="Arial MT"/>
          <w:spacing w:val="-14"/>
          <w:sz w:val="20"/>
        </w:rPr>
        <w:t xml:space="preserve"> </w:t>
      </w:r>
      <w:r>
        <w:rPr>
          <w:rFonts w:ascii="Arial MT" w:hAnsi="Arial MT"/>
          <w:sz w:val="20"/>
        </w:rPr>
        <w:t>(2018).</w:t>
      </w:r>
      <w:r>
        <w:rPr>
          <w:rFonts w:ascii="Arial MT" w:hAnsi="Arial MT"/>
          <w:spacing w:val="-14"/>
          <w:sz w:val="20"/>
        </w:rPr>
        <w:t xml:space="preserve"> </w:t>
      </w:r>
      <w:r>
        <w:rPr>
          <w:rFonts w:ascii="Arial MT" w:hAnsi="Arial MT"/>
          <w:sz w:val="20"/>
        </w:rPr>
        <w:t>Análisis</w:t>
      </w:r>
      <w:r>
        <w:rPr>
          <w:rFonts w:ascii="Arial MT" w:hAnsi="Arial MT"/>
          <w:spacing w:val="-14"/>
          <w:sz w:val="20"/>
        </w:rPr>
        <w:t xml:space="preserve"> </w:t>
      </w:r>
      <w:r>
        <w:rPr>
          <w:rFonts w:ascii="Arial MT" w:hAnsi="Arial MT"/>
          <w:sz w:val="20"/>
        </w:rPr>
        <w:t>de</w:t>
      </w:r>
      <w:r>
        <w:rPr>
          <w:rFonts w:ascii="Arial MT" w:hAnsi="Arial MT"/>
          <w:spacing w:val="-14"/>
          <w:sz w:val="20"/>
        </w:rPr>
        <w:t xml:space="preserve"> </w:t>
      </w:r>
      <w:r>
        <w:rPr>
          <w:rFonts w:ascii="Arial MT" w:hAnsi="Arial MT"/>
          <w:sz w:val="20"/>
        </w:rPr>
        <w:t>situación</w:t>
      </w:r>
      <w:r>
        <w:rPr>
          <w:rFonts w:ascii="Arial MT" w:hAnsi="Arial MT"/>
          <w:spacing w:val="-14"/>
          <w:sz w:val="20"/>
        </w:rPr>
        <w:t xml:space="preserve"> </w:t>
      </w:r>
      <w:r>
        <w:rPr>
          <w:rFonts w:ascii="Arial MT" w:hAnsi="Arial MT"/>
          <w:sz w:val="20"/>
        </w:rPr>
        <w:t>de</w:t>
      </w:r>
      <w:r>
        <w:rPr>
          <w:rFonts w:ascii="Arial MT" w:hAnsi="Arial MT"/>
          <w:spacing w:val="-13"/>
          <w:sz w:val="20"/>
        </w:rPr>
        <w:t xml:space="preserve"> </w:t>
      </w:r>
      <w:r>
        <w:rPr>
          <w:rFonts w:ascii="Arial MT" w:hAnsi="Arial MT"/>
          <w:sz w:val="20"/>
        </w:rPr>
        <w:t>población</w:t>
      </w:r>
      <w:r>
        <w:rPr>
          <w:rFonts w:ascii="Arial MT" w:hAnsi="Arial MT"/>
          <w:spacing w:val="-14"/>
          <w:sz w:val="20"/>
        </w:rPr>
        <w:t xml:space="preserve"> </w:t>
      </w:r>
      <w:r>
        <w:rPr>
          <w:rFonts w:ascii="Arial MT" w:hAnsi="Arial MT"/>
          <w:sz w:val="20"/>
        </w:rPr>
        <w:t>ASP</w:t>
      </w:r>
      <w:r>
        <w:rPr>
          <w:rFonts w:ascii="Arial MT" w:hAnsi="Arial MT"/>
          <w:spacing w:val="-14"/>
          <w:sz w:val="20"/>
        </w:rPr>
        <w:t xml:space="preserve"> </w:t>
      </w:r>
      <w:r>
        <w:rPr>
          <w:rFonts w:ascii="Arial MT" w:hAnsi="Arial MT"/>
          <w:sz w:val="20"/>
        </w:rPr>
        <w:t>Colombia 2018. Bogotá: Departamento</w:t>
      </w:r>
      <w:r>
        <w:rPr>
          <w:rFonts w:ascii="Arial MT" w:hAnsi="Arial MT"/>
          <w:spacing w:val="-2"/>
          <w:sz w:val="20"/>
        </w:rPr>
        <w:t xml:space="preserve"> </w:t>
      </w:r>
      <w:r>
        <w:rPr>
          <w:rFonts w:ascii="Arial MT" w:hAnsi="Arial MT"/>
          <w:sz w:val="20"/>
        </w:rPr>
        <w:t>Nacional</w:t>
      </w:r>
      <w:r>
        <w:rPr>
          <w:rFonts w:ascii="Arial MT" w:hAnsi="Arial MT"/>
          <w:spacing w:val="-1"/>
          <w:sz w:val="20"/>
        </w:rPr>
        <w:t xml:space="preserve"> </w:t>
      </w:r>
      <w:r>
        <w:rPr>
          <w:rFonts w:ascii="Arial MT" w:hAnsi="Arial MT"/>
          <w:sz w:val="20"/>
        </w:rPr>
        <w:t>de Estadística</w:t>
      </w:r>
      <w:r>
        <w:rPr>
          <w:rFonts w:ascii="Arial MT" w:hAnsi="Arial MT"/>
          <w:spacing w:val="-2"/>
          <w:sz w:val="20"/>
        </w:rPr>
        <w:t xml:space="preserve"> </w:t>
      </w:r>
      <w:r>
        <w:rPr>
          <w:rFonts w:ascii="Arial MT" w:hAnsi="Arial MT"/>
          <w:sz w:val="20"/>
        </w:rPr>
        <w:t>(DANE),</w:t>
      </w:r>
      <w:r>
        <w:rPr>
          <w:rFonts w:ascii="Arial MT" w:hAnsi="Arial MT"/>
          <w:spacing w:val="-2"/>
          <w:sz w:val="20"/>
        </w:rPr>
        <w:t xml:space="preserve"> </w:t>
      </w:r>
      <w:r>
        <w:rPr>
          <w:rFonts w:ascii="Arial MT" w:hAnsi="Arial MT"/>
          <w:sz w:val="20"/>
        </w:rPr>
        <w:t>Departamento Nacional</w:t>
      </w:r>
      <w:r>
        <w:rPr>
          <w:rFonts w:ascii="Arial MT" w:hAnsi="Arial MT"/>
          <w:spacing w:val="-1"/>
          <w:sz w:val="20"/>
        </w:rPr>
        <w:t xml:space="preserve"> </w:t>
      </w:r>
      <w:r>
        <w:rPr>
          <w:rFonts w:ascii="Arial MT" w:hAnsi="Arial MT"/>
          <w:sz w:val="20"/>
        </w:rPr>
        <w:t>de Planeación (DNP), Ministerio de Salud y Protección Social, Ministerio de Relaciones Exteriores, Fondo de Población de las Naciones Unidas.</w:t>
      </w:r>
    </w:p>
    <w:p w14:paraId="6839AF11" w14:textId="77777777" w:rsidR="000E52B0" w:rsidRDefault="00F60D74">
      <w:pPr>
        <w:ind w:left="720" w:right="718"/>
        <w:jc w:val="both"/>
        <w:rPr>
          <w:rFonts w:ascii="Arial MT" w:hAnsi="Arial MT"/>
          <w:sz w:val="20"/>
        </w:rPr>
      </w:pPr>
      <w:bookmarkStart w:id="108" w:name="_bookmark108"/>
      <w:bookmarkEnd w:id="108"/>
      <w:r>
        <w:rPr>
          <w:rFonts w:ascii="Arial MT" w:hAnsi="Arial MT"/>
          <w:position w:val="6"/>
          <w:sz w:val="13"/>
        </w:rPr>
        <w:t>93</w:t>
      </w:r>
      <w:r>
        <w:rPr>
          <w:rFonts w:ascii="Arial MT" w:hAnsi="Arial MT"/>
          <w:sz w:val="20"/>
        </w:rPr>
        <w:t>Flórez, C., &amp; Soto, V. (2007). Fecundidad adolescente y pobreza. Diagnóstico y lineamientos de política. Misión para el diseño de una estrategia para la reducción de la pobreza y la desigualdad. Bogotá: DNP.</w:t>
      </w:r>
    </w:p>
    <w:p w14:paraId="07FE13FE" w14:textId="77777777" w:rsidR="000E52B0" w:rsidRDefault="00F60D74">
      <w:pPr>
        <w:ind w:left="720" w:right="730"/>
        <w:jc w:val="both"/>
        <w:rPr>
          <w:rFonts w:ascii="Arial MT" w:hAnsi="Arial MT"/>
          <w:sz w:val="20"/>
        </w:rPr>
      </w:pPr>
      <w:bookmarkStart w:id="109" w:name="_bookmark109"/>
      <w:bookmarkEnd w:id="109"/>
      <w:r>
        <w:rPr>
          <w:rFonts w:ascii="Arial MT" w:hAnsi="Arial MT"/>
          <w:position w:val="6"/>
          <w:sz w:val="13"/>
        </w:rPr>
        <w:t>94</w:t>
      </w:r>
      <w:r>
        <w:rPr>
          <w:rFonts w:ascii="Arial MT" w:hAnsi="Arial MT"/>
          <w:spacing w:val="20"/>
          <w:position w:val="6"/>
          <w:sz w:val="13"/>
        </w:rPr>
        <w:t xml:space="preserve"> </w:t>
      </w:r>
      <w:r>
        <w:rPr>
          <w:rFonts w:ascii="Arial MT" w:hAnsi="Arial MT"/>
          <w:sz w:val="20"/>
        </w:rPr>
        <w:t>Núñez, J., &amp; Cuesta, L. (2006). Efectos de algunos factores demográficos sobre el</w:t>
      </w:r>
      <w:r>
        <w:rPr>
          <w:rFonts w:ascii="Arial MT" w:hAnsi="Arial MT"/>
          <w:spacing w:val="-1"/>
          <w:sz w:val="20"/>
        </w:rPr>
        <w:t xml:space="preserve"> </w:t>
      </w:r>
      <w:r>
        <w:rPr>
          <w:rFonts w:ascii="Arial MT" w:hAnsi="Arial MT"/>
          <w:sz w:val="20"/>
        </w:rPr>
        <w:t>bienestar de las madres y sus hijos en Colombia. Bogotá: Encuesta Nacional de Demografía y Salud 2005.</w:t>
      </w:r>
    </w:p>
    <w:p w14:paraId="3951B192" w14:textId="77777777" w:rsidR="000E52B0" w:rsidRDefault="000E52B0">
      <w:pPr>
        <w:jc w:val="both"/>
        <w:rPr>
          <w:rFonts w:ascii="Arial MT" w:hAnsi="Arial MT"/>
          <w:sz w:val="20"/>
        </w:rPr>
        <w:sectPr w:rsidR="000E52B0">
          <w:pgSz w:w="11910" w:h="16840"/>
          <w:pgMar w:top="1340" w:right="720" w:bottom="1180" w:left="720" w:header="0" w:footer="995" w:gutter="0"/>
          <w:cols w:space="720"/>
        </w:sectPr>
      </w:pPr>
    </w:p>
    <w:p w14:paraId="0E15EDA8" w14:textId="77777777" w:rsidR="000E52B0" w:rsidRDefault="00F60D74">
      <w:pPr>
        <w:pStyle w:val="Textoindependiente"/>
        <w:spacing w:before="83"/>
        <w:ind w:right="715"/>
        <w:jc w:val="both"/>
      </w:pPr>
      <w:r>
        <w:lastRenderedPageBreak/>
        <w:t>calificado (DANE et al, 2018)</w:t>
      </w:r>
      <w:r>
        <w:rPr>
          <w:spacing w:val="-10"/>
        </w:rPr>
        <w:t xml:space="preserve"> </w:t>
      </w:r>
      <w:hyperlink w:anchor="_bookmark111" w:history="1">
        <w:r w:rsidR="000E52B0">
          <w:rPr>
            <w:position w:val="8"/>
            <w:sz w:val="16"/>
          </w:rPr>
          <w:t>95</w:t>
        </w:r>
      </w:hyperlink>
      <w:r>
        <w:t>. Por otra parte, el inicio temprano de la maternidad generalmente conlleva a mayor tamaño de familia, debido al mayor tiempo de exposición de su periodo reproductivo: Las mujeres de 30-34 años que tuvieron su hijo antes de los 17 años han tenido casi dos veces el número de hijos (3,9) que aquellas que tuvieron su hijo después de los 20 años (2,1) (Flórez &amp; Soto, 2007)</w:t>
      </w:r>
      <w:hyperlink w:anchor="_bookmark112" w:history="1">
        <w:r w:rsidR="000E52B0">
          <w:rPr>
            <w:position w:val="8"/>
            <w:sz w:val="16"/>
          </w:rPr>
          <w:t>96</w:t>
        </w:r>
      </w:hyperlink>
      <w:r>
        <w:t>. Mayor tamaño de familia, dentro del mismo nivel de riqueza, implica menos recursos per cápita, y mayor profundización de la pobreza. Los diferenciales en fecundidad total entre</w:t>
      </w:r>
      <w:r>
        <w:rPr>
          <w:spacing w:val="-22"/>
        </w:rPr>
        <w:t xml:space="preserve"> </w:t>
      </w:r>
      <w:r>
        <w:t>estratos</w:t>
      </w:r>
      <w:r>
        <w:rPr>
          <w:spacing w:val="-21"/>
        </w:rPr>
        <w:t xml:space="preserve"> </w:t>
      </w:r>
      <w:r>
        <w:t>socioeconómicos</w:t>
      </w:r>
      <w:r>
        <w:rPr>
          <w:spacing w:val="-21"/>
        </w:rPr>
        <w:t xml:space="preserve"> </w:t>
      </w:r>
      <w:r>
        <w:t>alimentan</w:t>
      </w:r>
      <w:r>
        <w:rPr>
          <w:spacing w:val="-21"/>
        </w:rPr>
        <w:t xml:space="preserve"> </w:t>
      </w:r>
      <w:r>
        <w:t>el</w:t>
      </w:r>
      <w:r>
        <w:rPr>
          <w:spacing w:val="-21"/>
        </w:rPr>
        <w:t xml:space="preserve"> </w:t>
      </w:r>
      <w:r>
        <w:t>círculo</w:t>
      </w:r>
      <w:r>
        <w:rPr>
          <w:spacing w:val="-21"/>
        </w:rPr>
        <w:t xml:space="preserve"> </w:t>
      </w:r>
      <w:r>
        <w:t>de</w:t>
      </w:r>
      <w:r>
        <w:rPr>
          <w:spacing w:val="-21"/>
        </w:rPr>
        <w:t xml:space="preserve"> </w:t>
      </w:r>
      <w:r>
        <w:t>la</w:t>
      </w:r>
      <w:r>
        <w:rPr>
          <w:spacing w:val="-21"/>
        </w:rPr>
        <w:t xml:space="preserve"> </w:t>
      </w:r>
      <w:r>
        <w:t>pobreza</w:t>
      </w:r>
      <w:r>
        <w:rPr>
          <w:spacing w:val="-21"/>
        </w:rPr>
        <w:t xml:space="preserve"> </w:t>
      </w:r>
      <w:r>
        <w:t>y</w:t>
      </w:r>
      <w:r>
        <w:rPr>
          <w:spacing w:val="-21"/>
        </w:rPr>
        <w:t xml:space="preserve"> </w:t>
      </w:r>
      <w:r>
        <w:t>amplían las</w:t>
      </w:r>
      <w:r>
        <w:rPr>
          <w:spacing w:val="-14"/>
        </w:rPr>
        <w:t xml:space="preserve"> </w:t>
      </w:r>
      <w:r>
        <w:t>desigualdades</w:t>
      </w:r>
      <w:r>
        <w:rPr>
          <w:spacing w:val="-14"/>
        </w:rPr>
        <w:t xml:space="preserve"> </w:t>
      </w:r>
      <w:r>
        <w:t>de</w:t>
      </w:r>
      <w:r>
        <w:rPr>
          <w:spacing w:val="-15"/>
        </w:rPr>
        <w:t xml:space="preserve"> </w:t>
      </w:r>
      <w:r>
        <w:t>ingreso,</w:t>
      </w:r>
      <w:r>
        <w:rPr>
          <w:spacing w:val="-16"/>
        </w:rPr>
        <w:t xml:space="preserve"> </w:t>
      </w:r>
      <w:r>
        <w:t>así</w:t>
      </w:r>
      <w:r>
        <w:rPr>
          <w:spacing w:val="-15"/>
        </w:rPr>
        <w:t xml:space="preserve"> </w:t>
      </w:r>
      <w:r>
        <w:t>como</w:t>
      </w:r>
      <w:r>
        <w:rPr>
          <w:spacing w:val="-13"/>
        </w:rPr>
        <w:t xml:space="preserve"> </w:t>
      </w:r>
      <w:r>
        <w:t>los</w:t>
      </w:r>
      <w:r>
        <w:rPr>
          <w:spacing w:val="-16"/>
        </w:rPr>
        <w:t xml:space="preserve"> </w:t>
      </w:r>
      <w:r>
        <w:t>diferenciales</w:t>
      </w:r>
      <w:r>
        <w:rPr>
          <w:spacing w:val="-16"/>
        </w:rPr>
        <w:t xml:space="preserve"> </w:t>
      </w:r>
      <w:r>
        <w:t>y</w:t>
      </w:r>
      <w:r>
        <w:rPr>
          <w:spacing w:val="-14"/>
        </w:rPr>
        <w:t xml:space="preserve"> </w:t>
      </w:r>
      <w:r>
        <w:t>consecuencias</w:t>
      </w:r>
      <w:r>
        <w:rPr>
          <w:spacing w:val="-14"/>
        </w:rPr>
        <w:t xml:space="preserve"> </w:t>
      </w:r>
      <w:r>
        <w:t>de la fecundidad adolescente acentúan aún más esas desigualdades y perpetúan el círculo de la pobreza (DANE, et al, 2018)</w:t>
      </w:r>
      <w:r>
        <w:rPr>
          <w:spacing w:val="-18"/>
        </w:rPr>
        <w:t xml:space="preserve"> </w:t>
      </w:r>
      <w:hyperlink w:anchor="_bookmark113" w:history="1">
        <w:r w:rsidR="000E52B0">
          <w:rPr>
            <w:position w:val="8"/>
            <w:sz w:val="16"/>
          </w:rPr>
          <w:t>97</w:t>
        </w:r>
      </w:hyperlink>
      <w:r>
        <w:t>.</w:t>
      </w:r>
    </w:p>
    <w:p w14:paraId="7A4B01AC" w14:textId="77777777" w:rsidR="000E52B0" w:rsidRDefault="00F60D74">
      <w:pPr>
        <w:spacing w:before="290"/>
        <w:ind w:left="720"/>
        <w:jc w:val="both"/>
        <w:rPr>
          <w:i/>
          <w:sz w:val="24"/>
        </w:rPr>
      </w:pPr>
      <w:bookmarkStart w:id="110" w:name="_bookmark110"/>
      <w:bookmarkEnd w:id="110"/>
      <w:r>
        <w:rPr>
          <w:i/>
          <w:color w:val="B3176C"/>
          <w:sz w:val="24"/>
        </w:rPr>
        <w:t>Productividad</w:t>
      </w:r>
      <w:r>
        <w:rPr>
          <w:i/>
          <w:color w:val="B3176C"/>
          <w:spacing w:val="-5"/>
          <w:sz w:val="24"/>
        </w:rPr>
        <w:t xml:space="preserve"> </w:t>
      </w:r>
      <w:r>
        <w:rPr>
          <w:i/>
          <w:color w:val="B3176C"/>
          <w:sz w:val="24"/>
        </w:rPr>
        <w:t>y</w:t>
      </w:r>
      <w:r>
        <w:rPr>
          <w:i/>
          <w:color w:val="B3176C"/>
          <w:spacing w:val="-8"/>
          <w:sz w:val="24"/>
        </w:rPr>
        <w:t xml:space="preserve"> </w:t>
      </w:r>
      <w:r>
        <w:rPr>
          <w:i/>
          <w:color w:val="B3176C"/>
          <w:sz w:val="24"/>
        </w:rPr>
        <w:t>crecimiento</w:t>
      </w:r>
      <w:r>
        <w:rPr>
          <w:i/>
          <w:color w:val="B3176C"/>
          <w:spacing w:val="-5"/>
          <w:sz w:val="24"/>
        </w:rPr>
        <w:t xml:space="preserve"> </w:t>
      </w:r>
      <w:r>
        <w:rPr>
          <w:i/>
          <w:color w:val="B3176C"/>
          <w:spacing w:val="-2"/>
          <w:sz w:val="24"/>
        </w:rPr>
        <w:t>económico</w:t>
      </w:r>
    </w:p>
    <w:p w14:paraId="2A8C13CE" w14:textId="77777777" w:rsidR="000E52B0" w:rsidRDefault="000E52B0">
      <w:pPr>
        <w:pStyle w:val="Textoindependiente"/>
        <w:spacing w:before="2"/>
        <w:ind w:left="0"/>
        <w:rPr>
          <w:i/>
        </w:rPr>
      </w:pPr>
    </w:p>
    <w:p w14:paraId="5AE0841A" w14:textId="77777777" w:rsidR="000E52B0" w:rsidRDefault="00F60D74">
      <w:pPr>
        <w:pStyle w:val="Textoindependiente"/>
        <w:ind w:right="714"/>
        <w:jc w:val="both"/>
      </w:pPr>
      <w:r>
        <w:t>El</w:t>
      </w:r>
      <w:r>
        <w:rPr>
          <w:spacing w:val="-13"/>
        </w:rPr>
        <w:t xml:space="preserve"> </w:t>
      </w:r>
      <w:r>
        <w:t>crecimiento</w:t>
      </w:r>
      <w:r>
        <w:rPr>
          <w:spacing w:val="-11"/>
        </w:rPr>
        <w:t xml:space="preserve"> </w:t>
      </w:r>
      <w:r>
        <w:t>económico</w:t>
      </w:r>
      <w:r>
        <w:rPr>
          <w:spacing w:val="-11"/>
        </w:rPr>
        <w:t xml:space="preserve"> </w:t>
      </w:r>
      <w:r>
        <w:t>es</w:t>
      </w:r>
      <w:r>
        <w:rPr>
          <w:spacing w:val="-11"/>
        </w:rPr>
        <w:t xml:space="preserve"> </w:t>
      </w:r>
      <w:r>
        <w:t>menor</w:t>
      </w:r>
      <w:r>
        <w:rPr>
          <w:spacing w:val="-10"/>
        </w:rPr>
        <w:t xml:space="preserve"> </w:t>
      </w:r>
      <w:r>
        <w:t>en</w:t>
      </w:r>
      <w:r>
        <w:rPr>
          <w:spacing w:val="-12"/>
        </w:rPr>
        <w:t xml:space="preserve"> </w:t>
      </w:r>
      <w:r>
        <w:t>presencia</w:t>
      </w:r>
      <w:r>
        <w:rPr>
          <w:spacing w:val="-11"/>
        </w:rPr>
        <w:t xml:space="preserve"> </w:t>
      </w:r>
      <w:r>
        <w:t>de</w:t>
      </w:r>
      <w:r>
        <w:rPr>
          <w:spacing w:val="-10"/>
        </w:rPr>
        <w:t xml:space="preserve"> </w:t>
      </w:r>
      <w:r>
        <w:t>altas</w:t>
      </w:r>
      <w:r>
        <w:rPr>
          <w:spacing w:val="-9"/>
        </w:rPr>
        <w:t xml:space="preserve"> </w:t>
      </w:r>
      <w:r>
        <w:t>desigualdades,</w:t>
      </w:r>
      <w:r>
        <w:rPr>
          <w:spacing w:val="-10"/>
        </w:rPr>
        <w:t xml:space="preserve"> </w:t>
      </w:r>
      <w:r>
        <w:t>lo que se da por dos vías, principalmente: 1) baja acumulación de capital humano</w:t>
      </w:r>
      <w:r>
        <w:rPr>
          <w:spacing w:val="-13"/>
        </w:rPr>
        <w:t xml:space="preserve"> </w:t>
      </w:r>
      <w:r>
        <w:t>y</w:t>
      </w:r>
      <w:r>
        <w:rPr>
          <w:spacing w:val="-14"/>
        </w:rPr>
        <w:t xml:space="preserve"> </w:t>
      </w:r>
      <w:r>
        <w:t>productividad</w:t>
      </w:r>
      <w:r>
        <w:rPr>
          <w:spacing w:val="-14"/>
        </w:rPr>
        <w:t xml:space="preserve"> </w:t>
      </w:r>
      <w:r>
        <w:t>de</w:t>
      </w:r>
      <w:r>
        <w:rPr>
          <w:spacing w:val="-13"/>
        </w:rPr>
        <w:t xml:space="preserve"> </w:t>
      </w:r>
      <w:r>
        <w:t>los</w:t>
      </w:r>
      <w:r>
        <w:rPr>
          <w:spacing w:val="-13"/>
        </w:rPr>
        <w:t xml:space="preserve"> </w:t>
      </w:r>
      <w:r>
        <w:t>individuos</w:t>
      </w:r>
      <w:r>
        <w:rPr>
          <w:spacing w:val="-14"/>
        </w:rPr>
        <w:t xml:space="preserve"> </w:t>
      </w:r>
      <w:r>
        <w:t>más</w:t>
      </w:r>
      <w:r>
        <w:rPr>
          <w:spacing w:val="-14"/>
        </w:rPr>
        <w:t xml:space="preserve"> </w:t>
      </w:r>
      <w:r>
        <w:t>pobres</w:t>
      </w:r>
      <w:r>
        <w:rPr>
          <w:spacing w:val="-14"/>
        </w:rPr>
        <w:t xml:space="preserve"> </w:t>
      </w:r>
      <w:r>
        <w:t>y</w:t>
      </w:r>
      <w:r>
        <w:rPr>
          <w:spacing w:val="-14"/>
        </w:rPr>
        <w:t xml:space="preserve"> </w:t>
      </w:r>
      <w:r>
        <w:t>2)</w:t>
      </w:r>
      <w:r>
        <w:rPr>
          <w:spacing w:val="-14"/>
        </w:rPr>
        <w:t xml:space="preserve"> </w:t>
      </w:r>
      <w:r>
        <w:t>mayores</w:t>
      </w:r>
      <w:r>
        <w:rPr>
          <w:spacing w:val="-14"/>
        </w:rPr>
        <w:t xml:space="preserve"> </w:t>
      </w:r>
      <w:r>
        <w:t>riesgos de inestabilidad política, lo que desincentiva los proyectos de inversión, tanto nacionales como de inversión extranjera directa (</w:t>
      </w:r>
      <w:proofErr w:type="spellStart"/>
      <w:r>
        <w:t>Ostry</w:t>
      </w:r>
      <w:proofErr w:type="spellEnd"/>
      <w:r>
        <w:t xml:space="preserve">, </w:t>
      </w:r>
      <w:proofErr w:type="spellStart"/>
      <w:r>
        <w:t>Loungani</w:t>
      </w:r>
      <w:proofErr w:type="spellEnd"/>
      <w:r>
        <w:t xml:space="preserve">, &amp; </w:t>
      </w:r>
      <w:proofErr w:type="spellStart"/>
      <w:r>
        <w:t>Berg</w:t>
      </w:r>
      <w:proofErr w:type="spellEnd"/>
      <w:r>
        <w:t>, 2019)</w:t>
      </w:r>
      <w:hyperlink w:anchor="_bookmark114" w:history="1">
        <w:r w:rsidR="000E52B0">
          <w:rPr>
            <w:position w:val="8"/>
            <w:sz w:val="16"/>
          </w:rPr>
          <w:t>98</w:t>
        </w:r>
      </w:hyperlink>
      <w:r>
        <w:t>. Por ejemplo, se estima que la pérdida de PIB per cápita debido</w:t>
      </w:r>
      <w:r>
        <w:rPr>
          <w:spacing w:val="-6"/>
        </w:rPr>
        <w:t xml:space="preserve"> </w:t>
      </w:r>
      <w:r>
        <w:t>a</w:t>
      </w:r>
      <w:r>
        <w:rPr>
          <w:spacing w:val="-6"/>
        </w:rPr>
        <w:t xml:space="preserve"> </w:t>
      </w:r>
      <w:r>
        <w:t>las</w:t>
      </w:r>
      <w:r>
        <w:rPr>
          <w:spacing w:val="-7"/>
        </w:rPr>
        <w:t xml:space="preserve"> </w:t>
      </w:r>
      <w:r>
        <w:t>brechas</w:t>
      </w:r>
      <w:r>
        <w:rPr>
          <w:spacing w:val="-7"/>
        </w:rPr>
        <w:t xml:space="preserve"> </w:t>
      </w:r>
      <w:r>
        <w:t>de</w:t>
      </w:r>
      <w:r>
        <w:rPr>
          <w:spacing w:val="-5"/>
        </w:rPr>
        <w:t xml:space="preserve"> </w:t>
      </w:r>
      <w:r>
        <w:t>género</w:t>
      </w:r>
      <w:r>
        <w:rPr>
          <w:spacing w:val="-6"/>
        </w:rPr>
        <w:t xml:space="preserve"> </w:t>
      </w:r>
      <w:r>
        <w:t>en</w:t>
      </w:r>
      <w:r>
        <w:rPr>
          <w:spacing w:val="-7"/>
        </w:rPr>
        <w:t xml:space="preserve"> </w:t>
      </w:r>
      <w:r>
        <w:t>la</w:t>
      </w:r>
      <w:r>
        <w:rPr>
          <w:spacing w:val="-7"/>
        </w:rPr>
        <w:t xml:space="preserve"> </w:t>
      </w:r>
      <w:r>
        <w:t>participación</w:t>
      </w:r>
      <w:r>
        <w:rPr>
          <w:spacing w:val="-7"/>
        </w:rPr>
        <w:t xml:space="preserve"> </w:t>
      </w:r>
      <w:r>
        <w:t>de</w:t>
      </w:r>
      <w:r>
        <w:rPr>
          <w:spacing w:val="-5"/>
        </w:rPr>
        <w:t xml:space="preserve"> </w:t>
      </w:r>
      <w:r>
        <w:t>la</w:t>
      </w:r>
      <w:r>
        <w:rPr>
          <w:spacing w:val="-7"/>
        </w:rPr>
        <w:t xml:space="preserve"> </w:t>
      </w:r>
      <w:r>
        <w:t>fuerza</w:t>
      </w:r>
      <w:r>
        <w:rPr>
          <w:spacing w:val="-6"/>
        </w:rPr>
        <w:t xml:space="preserve"> </w:t>
      </w:r>
      <w:r>
        <w:t>laboral</w:t>
      </w:r>
      <w:r>
        <w:rPr>
          <w:spacing w:val="-7"/>
        </w:rPr>
        <w:t xml:space="preserve"> </w:t>
      </w:r>
      <w:r>
        <w:t>y</w:t>
      </w:r>
      <w:r>
        <w:rPr>
          <w:spacing w:val="-7"/>
        </w:rPr>
        <w:t xml:space="preserve"> </w:t>
      </w:r>
      <w:r>
        <w:t>en la educación en Colombia durante las próximas tres décadas alcanzará el 12,6% para 2050 (</w:t>
      </w:r>
      <w:proofErr w:type="spellStart"/>
      <w:r>
        <w:t>Devadas</w:t>
      </w:r>
      <w:proofErr w:type="spellEnd"/>
      <w:r>
        <w:t xml:space="preserve"> &amp; Kim, 2020)</w:t>
      </w:r>
      <w:hyperlink w:anchor="_bookmark115" w:history="1">
        <w:r w:rsidR="000E52B0">
          <w:rPr>
            <w:position w:val="8"/>
            <w:sz w:val="16"/>
          </w:rPr>
          <w:t>99</w:t>
        </w:r>
      </w:hyperlink>
      <w:r>
        <w:t>.</w:t>
      </w:r>
      <w:r>
        <w:rPr>
          <w:spacing w:val="40"/>
        </w:rPr>
        <w:t xml:space="preserve"> </w:t>
      </w:r>
      <w:r>
        <w:t>De acuerdo con el Banco Mundial (2011)</w:t>
      </w:r>
      <w:hyperlink w:anchor="_bookmark116" w:history="1">
        <w:r w:rsidR="000E52B0">
          <w:rPr>
            <w:position w:val="8"/>
            <w:sz w:val="16"/>
          </w:rPr>
          <w:t>100</w:t>
        </w:r>
      </w:hyperlink>
      <w:r>
        <w:t>, citado por Peña, et al. (2014)</w:t>
      </w:r>
      <w:hyperlink w:anchor="_bookmark117" w:history="1">
        <w:r w:rsidR="000E52B0">
          <w:rPr>
            <w:position w:val="8"/>
            <w:sz w:val="16"/>
          </w:rPr>
          <w:t>101</w:t>
        </w:r>
      </w:hyperlink>
      <w:r>
        <w:t>, se estima que para Colombia, las disparidades de género en el mercado de trabajo, especialmente la segregación, están asociadas con una pérdida de productividad</w:t>
      </w:r>
      <w:r>
        <w:rPr>
          <w:spacing w:val="-8"/>
        </w:rPr>
        <w:t xml:space="preserve"> </w:t>
      </w:r>
      <w:r>
        <w:t>laboral</w:t>
      </w:r>
      <w:r>
        <w:rPr>
          <w:spacing w:val="-8"/>
        </w:rPr>
        <w:t xml:space="preserve"> </w:t>
      </w:r>
      <w:r>
        <w:t>de</w:t>
      </w:r>
      <w:r>
        <w:rPr>
          <w:spacing w:val="-7"/>
        </w:rPr>
        <w:t xml:space="preserve"> </w:t>
      </w:r>
      <w:r>
        <w:t>entre</w:t>
      </w:r>
      <w:r>
        <w:rPr>
          <w:spacing w:val="-6"/>
        </w:rPr>
        <w:t xml:space="preserve"> </w:t>
      </w:r>
      <w:r>
        <w:t>un</w:t>
      </w:r>
      <w:r>
        <w:rPr>
          <w:spacing w:val="-6"/>
        </w:rPr>
        <w:t xml:space="preserve"> </w:t>
      </w:r>
      <w:r>
        <w:t>7%</w:t>
      </w:r>
      <w:r>
        <w:rPr>
          <w:spacing w:val="-7"/>
        </w:rPr>
        <w:t xml:space="preserve"> </w:t>
      </w:r>
      <w:r>
        <w:t>y</w:t>
      </w:r>
      <w:r>
        <w:rPr>
          <w:spacing w:val="-6"/>
        </w:rPr>
        <w:t xml:space="preserve"> </w:t>
      </w:r>
      <w:r>
        <w:t>un</w:t>
      </w:r>
      <w:r>
        <w:rPr>
          <w:spacing w:val="-8"/>
        </w:rPr>
        <w:t xml:space="preserve"> </w:t>
      </w:r>
      <w:r>
        <w:t>10%.</w:t>
      </w:r>
      <w:r>
        <w:rPr>
          <w:spacing w:val="-9"/>
        </w:rPr>
        <w:t xml:space="preserve"> </w:t>
      </w:r>
      <w:r>
        <w:t>Según</w:t>
      </w:r>
      <w:r>
        <w:rPr>
          <w:spacing w:val="-8"/>
        </w:rPr>
        <w:t xml:space="preserve"> </w:t>
      </w:r>
      <w:r>
        <w:t>los</w:t>
      </w:r>
      <w:r>
        <w:rPr>
          <w:spacing w:val="-5"/>
        </w:rPr>
        <w:t xml:space="preserve"> </w:t>
      </w:r>
      <w:r>
        <w:t>datos</w:t>
      </w:r>
      <w:r>
        <w:rPr>
          <w:spacing w:val="-8"/>
        </w:rPr>
        <w:t xml:space="preserve"> </w:t>
      </w:r>
      <w:r>
        <w:t>del</w:t>
      </w:r>
      <w:r>
        <w:rPr>
          <w:spacing w:val="-7"/>
        </w:rPr>
        <w:t xml:space="preserve"> </w:t>
      </w:r>
      <w:r>
        <w:t>DANE para 2021, la producción de trabajo doméstico y de cuidados no remunerado equivale a un 20% del PIB colombiano</w:t>
      </w:r>
      <w:hyperlink w:anchor="_bookmark118" w:history="1">
        <w:r w:rsidR="000E52B0">
          <w:rPr>
            <w:position w:val="8"/>
            <w:sz w:val="16"/>
          </w:rPr>
          <w:t>102</w:t>
        </w:r>
      </w:hyperlink>
      <w:r>
        <w:t>.</w:t>
      </w:r>
    </w:p>
    <w:p w14:paraId="7238B11C" w14:textId="77777777" w:rsidR="000E52B0" w:rsidRDefault="00F60D74">
      <w:pPr>
        <w:pStyle w:val="Textoindependiente"/>
        <w:spacing w:before="1"/>
        <w:ind w:right="722"/>
        <w:jc w:val="both"/>
      </w:pPr>
      <w:r>
        <w:t>En</w:t>
      </w:r>
      <w:r>
        <w:rPr>
          <w:spacing w:val="-5"/>
        </w:rPr>
        <w:t xml:space="preserve"> </w:t>
      </w:r>
      <w:r>
        <w:t>cuanto</w:t>
      </w:r>
      <w:r>
        <w:rPr>
          <w:spacing w:val="-3"/>
        </w:rPr>
        <w:t xml:space="preserve"> </w:t>
      </w:r>
      <w:r>
        <w:t>a</w:t>
      </w:r>
      <w:r>
        <w:rPr>
          <w:spacing w:val="-2"/>
        </w:rPr>
        <w:t xml:space="preserve"> </w:t>
      </w:r>
      <w:r>
        <w:t>la</w:t>
      </w:r>
      <w:r>
        <w:rPr>
          <w:spacing w:val="-1"/>
        </w:rPr>
        <w:t xml:space="preserve"> </w:t>
      </w:r>
      <w:r>
        <w:t>distribución</w:t>
      </w:r>
      <w:r>
        <w:rPr>
          <w:spacing w:val="-2"/>
        </w:rPr>
        <w:t xml:space="preserve"> </w:t>
      </w:r>
      <w:r>
        <w:t>de</w:t>
      </w:r>
      <w:r>
        <w:rPr>
          <w:spacing w:val="-3"/>
        </w:rPr>
        <w:t xml:space="preserve"> </w:t>
      </w:r>
      <w:r>
        <w:t>la</w:t>
      </w:r>
      <w:r>
        <w:rPr>
          <w:spacing w:val="-3"/>
        </w:rPr>
        <w:t xml:space="preserve"> </w:t>
      </w:r>
      <w:r>
        <w:t>tierra,</w:t>
      </w:r>
      <w:r>
        <w:rPr>
          <w:spacing w:val="-2"/>
        </w:rPr>
        <w:t xml:space="preserve"> </w:t>
      </w:r>
      <w:r>
        <w:t>se</w:t>
      </w:r>
      <w:r>
        <w:rPr>
          <w:spacing w:val="-3"/>
        </w:rPr>
        <w:t xml:space="preserve"> </w:t>
      </w:r>
      <w:r>
        <w:t>estima</w:t>
      </w:r>
      <w:r>
        <w:rPr>
          <w:spacing w:val="-1"/>
        </w:rPr>
        <w:t xml:space="preserve"> </w:t>
      </w:r>
      <w:r>
        <w:t>que</w:t>
      </w:r>
      <w:r>
        <w:rPr>
          <w:spacing w:val="-3"/>
        </w:rPr>
        <w:t xml:space="preserve"> </w:t>
      </w:r>
      <w:r>
        <w:t>solo el</w:t>
      </w:r>
      <w:r>
        <w:rPr>
          <w:spacing w:val="-5"/>
        </w:rPr>
        <w:t xml:space="preserve"> </w:t>
      </w:r>
      <w:r>
        <w:t>13,5%</w:t>
      </w:r>
      <w:r>
        <w:rPr>
          <w:spacing w:val="-3"/>
        </w:rPr>
        <w:t xml:space="preserve"> </w:t>
      </w:r>
      <w:r>
        <w:t>de</w:t>
      </w:r>
      <w:r>
        <w:rPr>
          <w:spacing w:val="-3"/>
        </w:rPr>
        <w:t xml:space="preserve"> </w:t>
      </w:r>
      <w:r>
        <w:t xml:space="preserve">los </w:t>
      </w:r>
      <w:r>
        <w:rPr>
          <w:spacing w:val="-2"/>
        </w:rPr>
        <w:t>39,2</w:t>
      </w:r>
      <w:r>
        <w:rPr>
          <w:spacing w:val="-11"/>
        </w:rPr>
        <w:t xml:space="preserve"> </w:t>
      </w:r>
      <w:r>
        <w:rPr>
          <w:spacing w:val="-2"/>
        </w:rPr>
        <w:t>millones</w:t>
      </w:r>
      <w:r>
        <w:rPr>
          <w:spacing w:val="-11"/>
        </w:rPr>
        <w:t xml:space="preserve"> </w:t>
      </w:r>
      <w:r>
        <w:rPr>
          <w:spacing w:val="-2"/>
        </w:rPr>
        <w:t>de</w:t>
      </w:r>
      <w:r>
        <w:rPr>
          <w:spacing w:val="-6"/>
        </w:rPr>
        <w:t xml:space="preserve"> </w:t>
      </w:r>
      <w:r>
        <w:rPr>
          <w:spacing w:val="-2"/>
        </w:rPr>
        <w:t>hectáreas</w:t>
      </w:r>
      <w:r>
        <w:rPr>
          <w:spacing w:val="-11"/>
        </w:rPr>
        <w:t xml:space="preserve"> </w:t>
      </w:r>
      <w:r>
        <w:rPr>
          <w:spacing w:val="-2"/>
        </w:rPr>
        <w:t>con</w:t>
      </w:r>
      <w:r>
        <w:rPr>
          <w:spacing w:val="-10"/>
        </w:rPr>
        <w:t xml:space="preserve"> </w:t>
      </w:r>
      <w:r>
        <w:rPr>
          <w:spacing w:val="-2"/>
        </w:rPr>
        <w:t>potencial</w:t>
      </w:r>
      <w:r>
        <w:rPr>
          <w:spacing w:val="-9"/>
        </w:rPr>
        <w:t xml:space="preserve"> </w:t>
      </w:r>
      <w:r>
        <w:rPr>
          <w:spacing w:val="-2"/>
        </w:rPr>
        <w:t>productivo</w:t>
      </w:r>
      <w:r>
        <w:rPr>
          <w:spacing w:val="-10"/>
        </w:rPr>
        <w:t xml:space="preserve"> </w:t>
      </w:r>
      <w:r>
        <w:rPr>
          <w:spacing w:val="-2"/>
        </w:rPr>
        <w:t>están</w:t>
      </w:r>
      <w:r>
        <w:rPr>
          <w:spacing w:val="-9"/>
        </w:rPr>
        <w:t xml:space="preserve"> </w:t>
      </w:r>
      <w:r>
        <w:rPr>
          <w:spacing w:val="-2"/>
        </w:rPr>
        <w:t>siendo</w:t>
      </w:r>
      <w:r>
        <w:rPr>
          <w:spacing w:val="-10"/>
        </w:rPr>
        <w:t xml:space="preserve"> </w:t>
      </w:r>
      <w:r>
        <w:rPr>
          <w:spacing w:val="-2"/>
        </w:rPr>
        <w:t>cultivadas</w:t>
      </w:r>
    </w:p>
    <w:p w14:paraId="03EF6CF2" w14:textId="77777777" w:rsidR="000E52B0" w:rsidRDefault="00F60D74">
      <w:pPr>
        <w:pStyle w:val="Textoindependiente"/>
        <w:spacing w:before="103"/>
        <w:ind w:left="0"/>
        <w:rPr>
          <w:sz w:val="20"/>
        </w:rPr>
      </w:pPr>
      <w:r>
        <w:rPr>
          <w:noProof/>
          <w:sz w:val="20"/>
        </w:rPr>
        <mc:AlternateContent>
          <mc:Choice Requires="wps">
            <w:drawing>
              <wp:anchor distT="0" distB="0" distL="0" distR="0" simplePos="0" relativeHeight="487667712" behindDoc="1" locked="0" layoutInCell="1" allowOverlap="1" wp14:anchorId="2608CCCB" wp14:editId="3AA55752">
                <wp:simplePos x="0" y="0"/>
                <wp:positionH relativeFrom="page">
                  <wp:posOffset>914704</wp:posOffset>
                </wp:positionH>
                <wp:positionV relativeFrom="paragraph">
                  <wp:posOffset>235285</wp:posOffset>
                </wp:positionV>
                <wp:extent cx="1829435" cy="7620"/>
                <wp:effectExtent l="0" t="0" r="0" b="0"/>
                <wp:wrapTopAndBottom/>
                <wp:docPr id="741" name="Graphic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86B97A" id="Graphic 741" o:spid="_x0000_s1026" style="position:absolute;margin-left:1in;margin-top:18.55pt;width:144.05pt;height:.6pt;z-index:-1564876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" path="m1829054,l,,,7620r1829054,l1829054,xe" fillcolor="black" stroked="f">
                <v:path arrowok="t"/>
                <w10:wrap type="topAndBottom" anchorx="page"/>
              </v:shape>
            </w:pict>
          </mc:Fallback>
        </mc:AlternateContent>
      </w:r>
    </w:p>
    <w:p w14:paraId="13333770" w14:textId="77777777" w:rsidR="000E52B0" w:rsidRDefault="00F60D74">
      <w:pPr>
        <w:spacing w:before="96"/>
        <w:ind w:left="720" w:right="723"/>
        <w:rPr>
          <w:rFonts w:ascii="Arial MT" w:hAnsi="Arial MT"/>
          <w:sz w:val="18"/>
        </w:rPr>
      </w:pPr>
      <w:bookmarkStart w:id="111" w:name="_bookmark111"/>
      <w:bookmarkEnd w:id="111"/>
      <w:r>
        <w:rPr>
          <w:rFonts w:ascii="Arial MT" w:hAnsi="Arial MT"/>
          <w:position w:val="6"/>
          <w:sz w:val="12"/>
        </w:rPr>
        <w:t>95</w:t>
      </w:r>
      <w:r>
        <w:rPr>
          <w:rFonts w:ascii="Arial MT" w:hAnsi="Arial MT"/>
          <w:spacing w:val="31"/>
          <w:position w:val="6"/>
          <w:sz w:val="12"/>
        </w:rPr>
        <w:t xml:space="preserve"> </w:t>
      </w:r>
      <w:r>
        <w:rPr>
          <w:rFonts w:ascii="Arial MT" w:hAnsi="Arial MT"/>
          <w:sz w:val="18"/>
        </w:rPr>
        <w:t>DANE, DNP, Minsalud, Cancillería, UNFPA. (2018). Análisis de situación de población ASP Colombia 2018. Bogotá:</w:t>
      </w:r>
      <w:r>
        <w:rPr>
          <w:rFonts w:ascii="Arial MT" w:hAnsi="Arial MT"/>
          <w:spacing w:val="-3"/>
          <w:sz w:val="18"/>
        </w:rPr>
        <w:t xml:space="preserve"> </w:t>
      </w:r>
      <w:r>
        <w:rPr>
          <w:rFonts w:ascii="Arial MT" w:hAnsi="Arial MT"/>
          <w:sz w:val="18"/>
        </w:rPr>
        <w:t>Departamento</w:t>
      </w:r>
      <w:r>
        <w:rPr>
          <w:rFonts w:ascii="Arial MT" w:hAnsi="Arial MT"/>
          <w:spacing w:val="-3"/>
          <w:sz w:val="18"/>
        </w:rPr>
        <w:t xml:space="preserve"> </w:t>
      </w:r>
      <w:r>
        <w:rPr>
          <w:rFonts w:ascii="Arial MT" w:hAnsi="Arial MT"/>
          <w:sz w:val="18"/>
        </w:rPr>
        <w:t>Nacional</w:t>
      </w:r>
      <w:r>
        <w:rPr>
          <w:rFonts w:ascii="Arial MT" w:hAnsi="Arial MT"/>
          <w:spacing w:val="-3"/>
          <w:sz w:val="18"/>
        </w:rPr>
        <w:t xml:space="preserve"> </w:t>
      </w:r>
      <w:r>
        <w:rPr>
          <w:rFonts w:ascii="Arial MT" w:hAnsi="Arial MT"/>
          <w:sz w:val="18"/>
        </w:rPr>
        <w:t>de</w:t>
      </w:r>
      <w:r>
        <w:rPr>
          <w:rFonts w:ascii="Arial MT" w:hAnsi="Arial MT"/>
          <w:spacing w:val="-3"/>
          <w:sz w:val="18"/>
        </w:rPr>
        <w:t xml:space="preserve"> </w:t>
      </w:r>
      <w:r>
        <w:rPr>
          <w:rFonts w:ascii="Arial MT" w:hAnsi="Arial MT"/>
          <w:sz w:val="18"/>
        </w:rPr>
        <w:t>Estadística</w:t>
      </w:r>
      <w:r>
        <w:rPr>
          <w:rFonts w:ascii="Arial MT" w:hAnsi="Arial MT"/>
          <w:spacing w:val="-3"/>
          <w:sz w:val="18"/>
        </w:rPr>
        <w:t xml:space="preserve"> </w:t>
      </w:r>
      <w:r>
        <w:rPr>
          <w:rFonts w:ascii="Arial MT" w:hAnsi="Arial MT"/>
          <w:sz w:val="18"/>
        </w:rPr>
        <w:t>(DANE),</w:t>
      </w:r>
      <w:r>
        <w:rPr>
          <w:rFonts w:ascii="Arial MT" w:hAnsi="Arial MT"/>
          <w:spacing w:val="-3"/>
          <w:sz w:val="18"/>
        </w:rPr>
        <w:t xml:space="preserve"> </w:t>
      </w:r>
      <w:r>
        <w:rPr>
          <w:rFonts w:ascii="Arial MT" w:hAnsi="Arial MT"/>
          <w:sz w:val="18"/>
        </w:rPr>
        <w:t>Departamento</w:t>
      </w:r>
      <w:r>
        <w:rPr>
          <w:rFonts w:ascii="Arial MT" w:hAnsi="Arial MT"/>
          <w:spacing w:val="-3"/>
          <w:sz w:val="18"/>
        </w:rPr>
        <w:t xml:space="preserve"> </w:t>
      </w:r>
      <w:r>
        <w:rPr>
          <w:rFonts w:ascii="Arial MT" w:hAnsi="Arial MT"/>
          <w:sz w:val="18"/>
        </w:rPr>
        <w:t>Nacional</w:t>
      </w:r>
      <w:r>
        <w:rPr>
          <w:rFonts w:ascii="Arial MT" w:hAnsi="Arial MT"/>
          <w:spacing w:val="-3"/>
          <w:sz w:val="18"/>
        </w:rPr>
        <w:t xml:space="preserve"> </w:t>
      </w:r>
      <w:r>
        <w:rPr>
          <w:rFonts w:ascii="Arial MT" w:hAnsi="Arial MT"/>
          <w:sz w:val="18"/>
        </w:rPr>
        <w:t>de</w:t>
      </w:r>
      <w:r>
        <w:rPr>
          <w:rFonts w:ascii="Arial MT" w:hAnsi="Arial MT"/>
          <w:spacing w:val="-3"/>
          <w:sz w:val="18"/>
        </w:rPr>
        <w:t xml:space="preserve"> </w:t>
      </w:r>
      <w:r>
        <w:rPr>
          <w:rFonts w:ascii="Arial MT" w:hAnsi="Arial MT"/>
          <w:sz w:val="18"/>
        </w:rPr>
        <w:t>Planeación</w:t>
      </w:r>
      <w:r>
        <w:rPr>
          <w:rFonts w:ascii="Arial MT" w:hAnsi="Arial MT"/>
          <w:spacing w:val="-3"/>
          <w:sz w:val="18"/>
        </w:rPr>
        <w:t xml:space="preserve"> </w:t>
      </w:r>
      <w:r>
        <w:rPr>
          <w:rFonts w:ascii="Arial MT" w:hAnsi="Arial MT"/>
          <w:sz w:val="18"/>
        </w:rPr>
        <w:t>(DNP),</w:t>
      </w:r>
      <w:r>
        <w:rPr>
          <w:rFonts w:ascii="Arial MT" w:hAnsi="Arial MT"/>
          <w:spacing w:val="-3"/>
          <w:sz w:val="18"/>
        </w:rPr>
        <w:t xml:space="preserve"> </w:t>
      </w:r>
      <w:r>
        <w:rPr>
          <w:rFonts w:ascii="Arial MT" w:hAnsi="Arial MT"/>
          <w:sz w:val="18"/>
        </w:rPr>
        <w:t xml:space="preserve">Ministerio de Salud y Protección Social, Ministerio de Relaciones Exteriores, Fondo de Población de las Naciones Unidas. </w:t>
      </w:r>
      <w:bookmarkStart w:id="112" w:name="_bookmark112"/>
      <w:bookmarkEnd w:id="112"/>
      <w:r>
        <w:rPr>
          <w:rFonts w:ascii="Arial MT" w:hAnsi="Arial MT"/>
          <w:position w:val="6"/>
          <w:sz w:val="12"/>
        </w:rPr>
        <w:t>96</w:t>
      </w:r>
      <w:r>
        <w:rPr>
          <w:rFonts w:ascii="Arial MT" w:hAnsi="Arial MT"/>
          <w:spacing w:val="13"/>
          <w:position w:val="6"/>
          <w:sz w:val="12"/>
        </w:rPr>
        <w:t xml:space="preserve"> </w:t>
      </w:r>
      <w:r>
        <w:rPr>
          <w:rFonts w:ascii="Arial MT" w:hAnsi="Arial MT"/>
          <w:sz w:val="18"/>
        </w:rPr>
        <w:t>Flórez,</w:t>
      </w:r>
      <w:r>
        <w:rPr>
          <w:rFonts w:ascii="Arial MT" w:hAnsi="Arial MT"/>
          <w:spacing w:val="-6"/>
          <w:sz w:val="18"/>
        </w:rPr>
        <w:t xml:space="preserve"> </w:t>
      </w:r>
      <w:r>
        <w:rPr>
          <w:rFonts w:ascii="Arial MT" w:hAnsi="Arial MT"/>
          <w:sz w:val="18"/>
        </w:rPr>
        <w:t>C.,</w:t>
      </w:r>
      <w:r>
        <w:rPr>
          <w:rFonts w:ascii="Arial MT" w:hAnsi="Arial MT"/>
          <w:spacing w:val="-4"/>
          <w:sz w:val="18"/>
        </w:rPr>
        <w:t xml:space="preserve"> </w:t>
      </w:r>
      <w:r>
        <w:rPr>
          <w:rFonts w:ascii="Arial MT" w:hAnsi="Arial MT"/>
          <w:sz w:val="18"/>
        </w:rPr>
        <w:t>&amp;</w:t>
      </w:r>
      <w:r>
        <w:rPr>
          <w:rFonts w:ascii="Arial MT" w:hAnsi="Arial MT"/>
          <w:spacing w:val="-7"/>
          <w:sz w:val="18"/>
        </w:rPr>
        <w:t xml:space="preserve"> </w:t>
      </w:r>
      <w:r>
        <w:rPr>
          <w:rFonts w:ascii="Arial MT" w:hAnsi="Arial MT"/>
          <w:sz w:val="18"/>
        </w:rPr>
        <w:t>Soto,</w:t>
      </w:r>
      <w:r>
        <w:rPr>
          <w:rFonts w:ascii="Arial MT" w:hAnsi="Arial MT"/>
          <w:spacing w:val="-4"/>
          <w:sz w:val="18"/>
        </w:rPr>
        <w:t xml:space="preserve"> </w:t>
      </w:r>
      <w:r>
        <w:rPr>
          <w:rFonts w:ascii="Arial MT" w:hAnsi="Arial MT"/>
          <w:sz w:val="18"/>
        </w:rPr>
        <w:t>V.</w:t>
      </w:r>
      <w:r>
        <w:rPr>
          <w:rFonts w:ascii="Arial MT" w:hAnsi="Arial MT"/>
          <w:spacing w:val="-7"/>
          <w:sz w:val="18"/>
        </w:rPr>
        <w:t xml:space="preserve"> </w:t>
      </w:r>
      <w:r>
        <w:rPr>
          <w:rFonts w:ascii="Arial MT" w:hAnsi="Arial MT"/>
          <w:sz w:val="18"/>
        </w:rPr>
        <w:t>(2007).</w:t>
      </w:r>
      <w:r>
        <w:rPr>
          <w:rFonts w:ascii="Arial MT" w:hAnsi="Arial MT"/>
          <w:spacing w:val="-9"/>
          <w:sz w:val="18"/>
        </w:rPr>
        <w:t xml:space="preserve"> </w:t>
      </w:r>
      <w:r>
        <w:rPr>
          <w:rFonts w:ascii="Arial MT" w:hAnsi="Arial MT"/>
          <w:sz w:val="18"/>
        </w:rPr>
        <w:t>Fecundidad</w:t>
      </w:r>
      <w:r>
        <w:rPr>
          <w:rFonts w:ascii="Arial MT" w:hAnsi="Arial MT"/>
          <w:spacing w:val="-6"/>
          <w:sz w:val="18"/>
        </w:rPr>
        <w:t xml:space="preserve"> </w:t>
      </w:r>
      <w:r>
        <w:rPr>
          <w:rFonts w:ascii="Arial MT" w:hAnsi="Arial MT"/>
          <w:sz w:val="18"/>
        </w:rPr>
        <w:t>adolescente</w:t>
      </w:r>
      <w:r>
        <w:rPr>
          <w:rFonts w:ascii="Arial MT" w:hAnsi="Arial MT"/>
          <w:spacing w:val="-6"/>
          <w:sz w:val="18"/>
        </w:rPr>
        <w:t xml:space="preserve"> </w:t>
      </w:r>
      <w:r>
        <w:rPr>
          <w:rFonts w:ascii="Arial MT" w:hAnsi="Arial MT"/>
          <w:sz w:val="18"/>
        </w:rPr>
        <w:t>y</w:t>
      </w:r>
      <w:r>
        <w:rPr>
          <w:rFonts w:ascii="Arial MT" w:hAnsi="Arial MT"/>
          <w:spacing w:val="-6"/>
          <w:sz w:val="18"/>
        </w:rPr>
        <w:t xml:space="preserve"> </w:t>
      </w:r>
      <w:r>
        <w:rPr>
          <w:rFonts w:ascii="Arial MT" w:hAnsi="Arial MT"/>
          <w:sz w:val="18"/>
        </w:rPr>
        <w:t>pobreza.</w:t>
      </w:r>
      <w:r>
        <w:rPr>
          <w:rFonts w:ascii="Arial MT" w:hAnsi="Arial MT"/>
          <w:spacing w:val="-6"/>
          <w:sz w:val="18"/>
        </w:rPr>
        <w:t xml:space="preserve"> </w:t>
      </w:r>
      <w:r>
        <w:rPr>
          <w:rFonts w:ascii="Arial MT" w:hAnsi="Arial MT"/>
          <w:sz w:val="18"/>
        </w:rPr>
        <w:t>Diagnóstico</w:t>
      </w:r>
      <w:r>
        <w:rPr>
          <w:rFonts w:ascii="Arial MT" w:hAnsi="Arial MT"/>
          <w:spacing w:val="-6"/>
          <w:sz w:val="18"/>
        </w:rPr>
        <w:t xml:space="preserve"> </w:t>
      </w:r>
      <w:r>
        <w:rPr>
          <w:rFonts w:ascii="Arial MT" w:hAnsi="Arial MT"/>
          <w:sz w:val="18"/>
        </w:rPr>
        <w:t>y</w:t>
      </w:r>
      <w:r>
        <w:rPr>
          <w:rFonts w:ascii="Arial MT" w:hAnsi="Arial MT"/>
          <w:spacing w:val="-6"/>
          <w:sz w:val="18"/>
        </w:rPr>
        <w:t xml:space="preserve"> </w:t>
      </w:r>
      <w:r>
        <w:rPr>
          <w:rFonts w:ascii="Arial MT" w:hAnsi="Arial MT"/>
          <w:sz w:val="18"/>
        </w:rPr>
        <w:t>lineamientos</w:t>
      </w:r>
      <w:r>
        <w:rPr>
          <w:rFonts w:ascii="Arial MT" w:hAnsi="Arial MT"/>
          <w:spacing w:val="-6"/>
          <w:sz w:val="18"/>
        </w:rPr>
        <w:t xml:space="preserve"> </w:t>
      </w:r>
      <w:r>
        <w:rPr>
          <w:rFonts w:ascii="Arial MT" w:hAnsi="Arial MT"/>
          <w:sz w:val="18"/>
        </w:rPr>
        <w:t>de</w:t>
      </w:r>
      <w:r>
        <w:rPr>
          <w:rFonts w:ascii="Arial MT" w:hAnsi="Arial MT"/>
          <w:spacing w:val="-6"/>
          <w:sz w:val="18"/>
        </w:rPr>
        <w:t xml:space="preserve"> </w:t>
      </w:r>
      <w:r>
        <w:rPr>
          <w:rFonts w:ascii="Arial MT" w:hAnsi="Arial MT"/>
          <w:sz w:val="18"/>
        </w:rPr>
        <w:t>política.</w:t>
      </w:r>
      <w:r>
        <w:rPr>
          <w:rFonts w:ascii="Arial MT" w:hAnsi="Arial MT"/>
          <w:spacing w:val="-7"/>
          <w:sz w:val="18"/>
        </w:rPr>
        <w:t xml:space="preserve"> </w:t>
      </w:r>
      <w:r>
        <w:rPr>
          <w:rFonts w:ascii="Arial MT" w:hAnsi="Arial MT"/>
          <w:sz w:val="18"/>
        </w:rPr>
        <w:t>Misión para el diseño de una estrategia para la reducción de la pobreza y la desigualdad. Bogotá: DNP.</w:t>
      </w:r>
    </w:p>
    <w:p w14:paraId="2EE28E05" w14:textId="77777777" w:rsidR="000E52B0" w:rsidRDefault="00F60D74">
      <w:pPr>
        <w:ind w:left="720" w:right="723"/>
        <w:rPr>
          <w:rFonts w:ascii="Arial MT" w:hAnsi="Arial MT"/>
          <w:sz w:val="18"/>
        </w:rPr>
      </w:pPr>
      <w:bookmarkStart w:id="113" w:name="_bookmark113"/>
      <w:bookmarkEnd w:id="113"/>
      <w:r>
        <w:rPr>
          <w:rFonts w:ascii="Arial MT" w:hAnsi="Arial MT"/>
          <w:position w:val="6"/>
          <w:sz w:val="12"/>
        </w:rPr>
        <w:t>97</w:t>
      </w:r>
      <w:r>
        <w:rPr>
          <w:rFonts w:ascii="Arial MT" w:hAnsi="Arial MT"/>
          <w:spacing w:val="31"/>
          <w:position w:val="6"/>
          <w:sz w:val="12"/>
        </w:rPr>
        <w:t xml:space="preserve"> </w:t>
      </w:r>
      <w:r>
        <w:rPr>
          <w:rFonts w:ascii="Arial MT" w:hAnsi="Arial MT"/>
          <w:sz w:val="18"/>
        </w:rPr>
        <w:t>DANE, DNP, Minsalud, Cancillería, UNFPA. (2018). Análisis de situación de población ASP Colombia 2018. Bogotá:</w:t>
      </w:r>
      <w:r>
        <w:rPr>
          <w:rFonts w:ascii="Arial MT" w:hAnsi="Arial MT"/>
          <w:spacing w:val="-3"/>
          <w:sz w:val="18"/>
        </w:rPr>
        <w:t xml:space="preserve"> </w:t>
      </w:r>
      <w:r>
        <w:rPr>
          <w:rFonts w:ascii="Arial MT" w:hAnsi="Arial MT"/>
          <w:sz w:val="18"/>
        </w:rPr>
        <w:t>Departamento</w:t>
      </w:r>
      <w:r>
        <w:rPr>
          <w:rFonts w:ascii="Arial MT" w:hAnsi="Arial MT"/>
          <w:spacing w:val="-3"/>
          <w:sz w:val="18"/>
        </w:rPr>
        <w:t xml:space="preserve"> </w:t>
      </w:r>
      <w:r>
        <w:rPr>
          <w:rFonts w:ascii="Arial MT" w:hAnsi="Arial MT"/>
          <w:sz w:val="18"/>
        </w:rPr>
        <w:t>Nacional</w:t>
      </w:r>
      <w:r>
        <w:rPr>
          <w:rFonts w:ascii="Arial MT" w:hAnsi="Arial MT"/>
          <w:spacing w:val="-3"/>
          <w:sz w:val="18"/>
        </w:rPr>
        <w:t xml:space="preserve"> </w:t>
      </w:r>
      <w:r>
        <w:rPr>
          <w:rFonts w:ascii="Arial MT" w:hAnsi="Arial MT"/>
          <w:sz w:val="18"/>
        </w:rPr>
        <w:t>de</w:t>
      </w:r>
      <w:r>
        <w:rPr>
          <w:rFonts w:ascii="Arial MT" w:hAnsi="Arial MT"/>
          <w:spacing w:val="-3"/>
          <w:sz w:val="18"/>
        </w:rPr>
        <w:t xml:space="preserve"> </w:t>
      </w:r>
      <w:r>
        <w:rPr>
          <w:rFonts w:ascii="Arial MT" w:hAnsi="Arial MT"/>
          <w:sz w:val="18"/>
        </w:rPr>
        <w:t>Estadística</w:t>
      </w:r>
      <w:r>
        <w:rPr>
          <w:rFonts w:ascii="Arial MT" w:hAnsi="Arial MT"/>
          <w:spacing w:val="-3"/>
          <w:sz w:val="18"/>
        </w:rPr>
        <w:t xml:space="preserve"> </w:t>
      </w:r>
      <w:r>
        <w:rPr>
          <w:rFonts w:ascii="Arial MT" w:hAnsi="Arial MT"/>
          <w:sz w:val="18"/>
        </w:rPr>
        <w:t>(DANE),</w:t>
      </w:r>
      <w:r>
        <w:rPr>
          <w:rFonts w:ascii="Arial MT" w:hAnsi="Arial MT"/>
          <w:spacing w:val="-3"/>
          <w:sz w:val="18"/>
        </w:rPr>
        <w:t xml:space="preserve"> </w:t>
      </w:r>
      <w:r>
        <w:rPr>
          <w:rFonts w:ascii="Arial MT" w:hAnsi="Arial MT"/>
          <w:sz w:val="18"/>
        </w:rPr>
        <w:t>Departamento</w:t>
      </w:r>
      <w:r>
        <w:rPr>
          <w:rFonts w:ascii="Arial MT" w:hAnsi="Arial MT"/>
          <w:spacing w:val="-3"/>
          <w:sz w:val="18"/>
        </w:rPr>
        <w:t xml:space="preserve"> </w:t>
      </w:r>
      <w:r>
        <w:rPr>
          <w:rFonts w:ascii="Arial MT" w:hAnsi="Arial MT"/>
          <w:sz w:val="18"/>
        </w:rPr>
        <w:t>Nacional</w:t>
      </w:r>
      <w:r>
        <w:rPr>
          <w:rFonts w:ascii="Arial MT" w:hAnsi="Arial MT"/>
          <w:spacing w:val="-3"/>
          <w:sz w:val="18"/>
        </w:rPr>
        <w:t xml:space="preserve"> </w:t>
      </w:r>
      <w:r>
        <w:rPr>
          <w:rFonts w:ascii="Arial MT" w:hAnsi="Arial MT"/>
          <w:sz w:val="18"/>
        </w:rPr>
        <w:t>de</w:t>
      </w:r>
      <w:r>
        <w:rPr>
          <w:rFonts w:ascii="Arial MT" w:hAnsi="Arial MT"/>
          <w:spacing w:val="-3"/>
          <w:sz w:val="18"/>
        </w:rPr>
        <w:t xml:space="preserve"> </w:t>
      </w:r>
      <w:r>
        <w:rPr>
          <w:rFonts w:ascii="Arial MT" w:hAnsi="Arial MT"/>
          <w:sz w:val="18"/>
        </w:rPr>
        <w:t>Planeación</w:t>
      </w:r>
      <w:r>
        <w:rPr>
          <w:rFonts w:ascii="Arial MT" w:hAnsi="Arial MT"/>
          <w:spacing w:val="-3"/>
          <w:sz w:val="18"/>
        </w:rPr>
        <w:t xml:space="preserve"> </w:t>
      </w:r>
      <w:r>
        <w:rPr>
          <w:rFonts w:ascii="Arial MT" w:hAnsi="Arial MT"/>
          <w:sz w:val="18"/>
        </w:rPr>
        <w:t>(DNP),</w:t>
      </w:r>
      <w:r>
        <w:rPr>
          <w:rFonts w:ascii="Arial MT" w:hAnsi="Arial MT"/>
          <w:spacing w:val="-3"/>
          <w:sz w:val="18"/>
        </w:rPr>
        <w:t xml:space="preserve"> </w:t>
      </w:r>
      <w:r>
        <w:rPr>
          <w:rFonts w:ascii="Arial MT" w:hAnsi="Arial MT"/>
          <w:sz w:val="18"/>
        </w:rPr>
        <w:t xml:space="preserve">Ministerio de Salud y Protección Social, Ministerio de Relaciones Exteriores, Fondo de Población de las Naciones Unidas. </w:t>
      </w:r>
      <w:bookmarkStart w:id="114" w:name="_bookmark114"/>
      <w:bookmarkEnd w:id="114"/>
      <w:r>
        <w:rPr>
          <w:rFonts w:ascii="Arial MT" w:hAnsi="Arial MT"/>
          <w:position w:val="6"/>
          <w:sz w:val="12"/>
        </w:rPr>
        <w:t>98</w:t>
      </w:r>
      <w:r>
        <w:rPr>
          <w:rFonts w:ascii="Arial MT" w:hAnsi="Arial MT"/>
          <w:spacing w:val="14"/>
          <w:position w:val="6"/>
          <w:sz w:val="12"/>
        </w:rPr>
        <w:t xml:space="preserve"> </w:t>
      </w:r>
      <w:proofErr w:type="spellStart"/>
      <w:r>
        <w:rPr>
          <w:rFonts w:ascii="Arial MT" w:hAnsi="Arial MT"/>
          <w:sz w:val="18"/>
        </w:rPr>
        <w:t>Ostry</w:t>
      </w:r>
      <w:proofErr w:type="spellEnd"/>
      <w:r>
        <w:rPr>
          <w:rFonts w:ascii="Arial MT" w:hAnsi="Arial MT"/>
          <w:sz w:val="18"/>
        </w:rPr>
        <w:t>,</w:t>
      </w:r>
      <w:r>
        <w:rPr>
          <w:rFonts w:ascii="Arial MT" w:hAnsi="Arial MT"/>
          <w:spacing w:val="-4"/>
          <w:sz w:val="18"/>
        </w:rPr>
        <w:t xml:space="preserve"> </w:t>
      </w:r>
      <w:r>
        <w:rPr>
          <w:rFonts w:ascii="Arial MT" w:hAnsi="Arial MT"/>
          <w:sz w:val="18"/>
        </w:rPr>
        <w:t>J.,</w:t>
      </w:r>
      <w:r>
        <w:rPr>
          <w:rFonts w:ascii="Arial MT" w:hAnsi="Arial MT"/>
          <w:spacing w:val="-4"/>
          <w:sz w:val="18"/>
        </w:rPr>
        <w:t xml:space="preserve"> </w:t>
      </w:r>
      <w:proofErr w:type="spellStart"/>
      <w:r>
        <w:rPr>
          <w:rFonts w:ascii="Arial MT" w:hAnsi="Arial MT"/>
          <w:sz w:val="18"/>
        </w:rPr>
        <w:t>Loungani</w:t>
      </w:r>
      <w:proofErr w:type="spellEnd"/>
      <w:r>
        <w:rPr>
          <w:rFonts w:ascii="Arial MT" w:hAnsi="Arial MT"/>
          <w:sz w:val="18"/>
        </w:rPr>
        <w:t>,</w:t>
      </w:r>
      <w:r>
        <w:rPr>
          <w:rFonts w:ascii="Arial MT" w:hAnsi="Arial MT"/>
          <w:spacing w:val="-3"/>
          <w:sz w:val="18"/>
        </w:rPr>
        <w:t xml:space="preserve"> </w:t>
      </w:r>
      <w:r>
        <w:rPr>
          <w:rFonts w:ascii="Arial MT" w:hAnsi="Arial MT"/>
          <w:sz w:val="18"/>
        </w:rPr>
        <w:t>P.,</w:t>
      </w:r>
      <w:r>
        <w:rPr>
          <w:rFonts w:ascii="Arial MT" w:hAnsi="Arial MT"/>
          <w:spacing w:val="-4"/>
          <w:sz w:val="18"/>
        </w:rPr>
        <w:t xml:space="preserve"> </w:t>
      </w:r>
      <w:r>
        <w:rPr>
          <w:rFonts w:ascii="Arial MT" w:hAnsi="Arial MT"/>
          <w:sz w:val="18"/>
        </w:rPr>
        <w:t>&amp;</w:t>
      </w:r>
      <w:r>
        <w:rPr>
          <w:rFonts w:ascii="Arial MT" w:hAnsi="Arial MT"/>
          <w:spacing w:val="-3"/>
          <w:sz w:val="18"/>
        </w:rPr>
        <w:t xml:space="preserve"> </w:t>
      </w:r>
      <w:proofErr w:type="spellStart"/>
      <w:r>
        <w:rPr>
          <w:rFonts w:ascii="Arial MT" w:hAnsi="Arial MT"/>
          <w:sz w:val="18"/>
        </w:rPr>
        <w:t>Berg</w:t>
      </w:r>
      <w:proofErr w:type="spellEnd"/>
      <w:r>
        <w:rPr>
          <w:rFonts w:ascii="Arial MT" w:hAnsi="Arial MT"/>
          <w:sz w:val="18"/>
        </w:rPr>
        <w:t>,</w:t>
      </w:r>
      <w:r>
        <w:rPr>
          <w:rFonts w:ascii="Arial MT" w:hAnsi="Arial MT"/>
          <w:spacing w:val="-3"/>
          <w:sz w:val="18"/>
        </w:rPr>
        <w:t xml:space="preserve"> </w:t>
      </w:r>
      <w:r>
        <w:rPr>
          <w:rFonts w:ascii="Arial MT" w:hAnsi="Arial MT"/>
          <w:sz w:val="18"/>
        </w:rPr>
        <w:t>A.</w:t>
      </w:r>
      <w:r>
        <w:rPr>
          <w:rFonts w:ascii="Arial MT" w:hAnsi="Arial MT"/>
          <w:spacing w:val="-3"/>
          <w:sz w:val="18"/>
        </w:rPr>
        <w:t xml:space="preserve"> </w:t>
      </w:r>
      <w:r>
        <w:rPr>
          <w:rFonts w:ascii="Arial MT" w:hAnsi="Arial MT"/>
          <w:sz w:val="18"/>
        </w:rPr>
        <w:t>(2019).</w:t>
      </w:r>
      <w:r>
        <w:rPr>
          <w:rFonts w:ascii="Arial MT" w:hAnsi="Arial MT"/>
          <w:spacing w:val="-4"/>
          <w:sz w:val="18"/>
        </w:rPr>
        <w:t xml:space="preserve"> </w:t>
      </w:r>
      <w:proofErr w:type="spellStart"/>
      <w:r>
        <w:rPr>
          <w:rFonts w:ascii="Arial MT" w:hAnsi="Arial MT"/>
          <w:sz w:val="18"/>
        </w:rPr>
        <w:t>Confronting</w:t>
      </w:r>
      <w:proofErr w:type="spellEnd"/>
      <w:r>
        <w:rPr>
          <w:rFonts w:ascii="Arial MT" w:hAnsi="Arial MT"/>
          <w:spacing w:val="-3"/>
          <w:sz w:val="18"/>
        </w:rPr>
        <w:t xml:space="preserve"> </w:t>
      </w:r>
      <w:proofErr w:type="spellStart"/>
      <w:r>
        <w:rPr>
          <w:rFonts w:ascii="Arial MT" w:hAnsi="Arial MT"/>
          <w:sz w:val="18"/>
        </w:rPr>
        <w:t>Inequality</w:t>
      </w:r>
      <w:proofErr w:type="spellEnd"/>
      <w:r>
        <w:rPr>
          <w:rFonts w:ascii="Arial MT" w:hAnsi="Arial MT"/>
          <w:sz w:val="18"/>
        </w:rPr>
        <w:t>:</w:t>
      </w:r>
      <w:r>
        <w:rPr>
          <w:rFonts w:ascii="Arial MT" w:hAnsi="Arial MT"/>
          <w:spacing w:val="-3"/>
          <w:sz w:val="18"/>
        </w:rPr>
        <w:t xml:space="preserve"> </w:t>
      </w:r>
      <w:proofErr w:type="spellStart"/>
      <w:r>
        <w:rPr>
          <w:rFonts w:ascii="Arial MT" w:hAnsi="Arial MT"/>
          <w:sz w:val="18"/>
        </w:rPr>
        <w:t>How</w:t>
      </w:r>
      <w:proofErr w:type="spellEnd"/>
      <w:r>
        <w:rPr>
          <w:rFonts w:ascii="Arial MT" w:hAnsi="Arial MT"/>
          <w:spacing w:val="-3"/>
          <w:sz w:val="18"/>
        </w:rPr>
        <w:t xml:space="preserve"> </w:t>
      </w:r>
      <w:proofErr w:type="spellStart"/>
      <w:r>
        <w:rPr>
          <w:rFonts w:ascii="Arial MT" w:hAnsi="Arial MT"/>
          <w:sz w:val="18"/>
        </w:rPr>
        <w:t>Societies</w:t>
      </w:r>
      <w:proofErr w:type="spellEnd"/>
      <w:r>
        <w:rPr>
          <w:rFonts w:ascii="Arial MT" w:hAnsi="Arial MT"/>
          <w:spacing w:val="-2"/>
          <w:sz w:val="18"/>
        </w:rPr>
        <w:t xml:space="preserve"> </w:t>
      </w:r>
      <w:r>
        <w:rPr>
          <w:rFonts w:ascii="Arial MT" w:hAnsi="Arial MT"/>
          <w:sz w:val="18"/>
        </w:rPr>
        <w:t>Can</w:t>
      </w:r>
      <w:r>
        <w:rPr>
          <w:rFonts w:ascii="Arial MT" w:hAnsi="Arial MT"/>
          <w:spacing w:val="-3"/>
          <w:sz w:val="18"/>
        </w:rPr>
        <w:t xml:space="preserve"> </w:t>
      </w:r>
      <w:proofErr w:type="spellStart"/>
      <w:r>
        <w:rPr>
          <w:rFonts w:ascii="Arial MT" w:hAnsi="Arial MT"/>
          <w:sz w:val="18"/>
        </w:rPr>
        <w:t>Choose</w:t>
      </w:r>
      <w:proofErr w:type="spellEnd"/>
      <w:r>
        <w:rPr>
          <w:rFonts w:ascii="Arial MT" w:hAnsi="Arial MT"/>
          <w:spacing w:val="-3"/>
          <w:sz w:val="18"/>
        </w:rPr>
        <w:t xml:space="preserve"> </w:t>
      </w:r>
      <w:r>
        <w:rPr>
          <w:rFonts w:ascii="Arial MT" w:hAnsi="Arial MT"/>
          <w:sz w:val="18"/>
        </w:rPr>
        <w:t>Inclusive</w:t>
      </w:r>
      <w:r>
        <w:rPr>
          <w:rFonts w:ascii="Arial MT" w:hAnsi="Arial MT"/>
          <w:spacing w:val="-4"/>
          <w:sz w:val="18"/>
        </w:rPr>
        <w:t xml:space="preserve"> </w:t>
      </w:r>
      <w:proofErr w:type="spellStart"/>
      <w:r>
        <w:rPr>
          <w:rFonts w:ascii="Arial MT" w:hAnsi="Arial MT"/>
          <w:sz w:val="18"/>
        </w:rPr>
        <w:t>Growth</w:t>
      </w:r>
      <w:proofErr w:type="spellEnd"/>
      <w:r>
        <w:rPr>
          <w:rFonts w:ascii="Arial MT" w:hAnsi="Arial MT"/>
          <w:sz w:val="18"/>
        </w:rPr>
        <w:t xml:space="preserve">. New York: Columbia </w:t>
      </w:r>
      <w:proofErr w:type="spellStart"/>
      <w:r>
        <w:rPr>
          <w:rFonts w:ascii="Arial MT" w:hAnsi="Arial MT"/>
          <w:sz w:val="18"/>
        </w:rPr>
        <w:t>University</w:t>
      </w:r>
      <w:proofErr w:type="spellEnd"/>
      <w:r>
        <w:rPr>
          <w:rFonts w:ascii="Arial MT" w:hAnsi="Arial MT"/>
          <w:sz w:val="18"/>
        </w:rPr>
        <w:t xml:space="preserve"> </w:t>
      </w:r>
      <w:proofErr w:type="spellStart"/>
      <w:r>
        <w:rPr>
          <w:rFonts w:ascii="Arial MT" w:hAnsi="Arial MT"/>
          <w:sz w:val="18"/>
        </w:rPr>
        <w:t>Press</w:t>
      </w:r>
      <w:proofErr w:type="spellEnd"/>
      <w:r>
        <w:rPr>
          <w:rFonts w:ascii="Arial MT" w:hAnsi="Arial MT"/>
          <w:sz w:val="18"/>
        </w:rPr>
        <w:t>.</w:t>
      </w:r>
    </w:p>
    <w:p w14:paraId="446F107C" w14:textId="77777777" w:rsidR="000E52B0" w:rsidRDefault="00F60D74">
      <w:pPr>
        <w:spacing w:line="203" w:lineRule="exact"/>
        <w:ind w:left="720"/>
        <w:jc w:val="both"/>
        <w:rPr>
          <w:rFonts w:ascii="Arial MT"/>
          <w:sz w:val="18"/>
        </w:rPr>
      </w:pPr>
      <w:bookmarkStart w:id="115" w:name="_bookmark115"/>
      <w:bookmarkEnd w:id="115"/>
      <w:r>
        <w:rPr>
          <w:rFonts w:ascii="Arial MT"/>
          <w:position w:val="6"/>
          <w:sz w:val="12"/>
        </w:rPr>
        <w:t>99</w:t>
      </w:r>
      <w:r>
        <w:rPr>
          <w:rFonts w:ascii="Arial MT"/>
          <w:spacing w:val="8"/>
          <w:position w:val="6"/>
          <w:sz w:val="12"/>
        </w:rPr>
        <w:t xml:space="preserve"> </w:t>
      </w:r>
      <w:proofErr w:type="spellStart"/>
      <w:r>
        <w:rPr>
          <w:rFonts w:ascii="Arial MT"/>
          <w:sz w:val="18"/>
        </w:rPr>
        <w:t>Devadas</w:t>
      </w:r>
      <w:proofErr w:type="spellEnd"/>
      <w:r>
        <w:rPr>
          <w:rFonts w:ascii="Arial MT"/>
          <w:sz w:val="18"/>
        </w:rPr>
        <w:t>,</w:t>
      </w:r>
      <w:r>
        <w:rPr>
          <w:rFonts w:ascii="Arial MT"/>
          <w:spacing w:val="-8"/>
          <w:sz w:val="18"/>
        </w:rPr>
        <w:t xml:space="preserve"> </w:t>
      </w:r>
      <w:r>
        <w:rPr>
          <w:rFonts w:ascii="Arial MT"/>
          <w:sz w:val="18"/>
        </w:rPr>
        <w:t>S.,</w:t>
      </w:r>
      <w:r>
        <w:rPr>
          <w:rFonts w:ascii="Arial MT"/>
          <w:spacing w:val="-10"/>
          <w:sz w:val="18"/>
        </w:rPr>
        <w:t xml:space="preserve"> </w:t>
      </w:r>
      <w:r>
        <w:rPr>
          <w:rFonts w:ascii="Arial MT"/>
          <w:sz w:val="18"/>
        </w:rPr>
        <w:t>&amp;</w:t>
      </w:r>
      <w:r>
        <w:rPr>
          <w:rFonts w:ascii="Arial MT"/>
          <w:spacing w:val="-8"/>
          <w:sz w:val="18"/>
        </w:rPr>
        <w:t xml:space="preserve"> </w:t>
      </w:r>
      <w:r>
        <w:rPr>
          <w:rFonts w:ascii="Arial MT"/>
          <w:sz w:val="18"/>
        </w:rPr>
        <w:t>Kim,</w:t>
      </w:r>
      <w:r>
        <w:rPr>
          <w:rFonts w:ascii="Arial MT"/>
          <w:spacing w:val="-9"/>
          <w:sz w:val="18"/>
        </w:rPr>
        <w:t xml:space="preserve"> </w:t>
      </w:r>
      <w:r>
        <w:rPr>
          <w:rFonts w:ascii="Arial MT"/>
          <w:sz w:val="18"/>
        </w:rPr>
        <w:t>Y.</w:t>
      </w:r>
      <w:r>
        <w:rPr>
          <w:rFonts w:ascii="Arial MT"/>
          <w:spacing w:val="-8"/>
          <w:sz w:val="18"/>
        </w:rPr>
        <w:t xml:space="preserve"> </w:t>
      </w:r>
      <w:r>
        <w:rPr>
          <w:rFonts w:ascii="Arial MT"/>
          <w:sz w:val="18"/>
        </w:rPr>
        <w:t>(2020).</w:t>
      </w:r>
      <w:r>
        <w:rPr>
          <w:rFonts w:ascii="Arial MT"/>
          <w:spacing w:val="-8"/>
          <w:sz w:val="18"/>
        </w:rPr>
        <w:t xml:space="preserve"> </w:t>
      </w:r>
      <w:r w:rsidRPr="00203383">
        <w:rPr>
          <w:rFonts w:ascii="Arial MT"/>
          <w:sz w:val="18"/>
          <w:lang w:val="pt-PT"/>
        </w:rPr>
        <w:t>Exploring</w:t>
      </w:r>
      <w:r w:rsidRPr="00203383">
        <w:rPr>
          <w:rFonts w:ascii="Arial MT"/>
          <w:spacing w:val="-7"/>
          <w:sz w:val="18"/>
          <w:lang w:val="pt-PT"/>
        </w:rPr>
        <w:t xml:space="preserve"> </w:t>
      </w:r>
      <w:r w:rsidRPr="00203383">
        <w:rPr>
          <w:rFonts w:ascii="Arial MT"/>
          <w:sz w:val="18"/>
          <w:lang w:val="pt-PT"/>
        </w:rPr>
        <w:t>the</w:t>
      </w:r>
      <w:r w:rsidRPr="00203383">
        <w:rPr>
          <w:rFonts w:ascii="Arial MT"/>
          <w:spacing w:val="-8"/>
          <w:sz w:val="18"/>
          <w:lang w:val="pt-PT"/>
        </w:rPr>
        <w:t xml:space="preserve"> </w:t>
      </w:r>
      <w:r w:rsidRPr="00203383">
        <w:rPr>
          <w:rFonts w:ascii="Arial MT"/>
          <w:sz w:val="18"/>
          <w:lang w:val="pt-PT"/>
        </w:rPr>
        <w:t>Potential</w:t>
      </w:r>
      <w:r w:rsidRPr="00203383">
        <w:rPr>
          <w:rFonts w:ascii="Arial MT"/>
          <w:spacing w:val="-7"/>
          <w:sz w:val="18"/>
          <w:lang w:val="pt-PT"/>
        </w:rPr>
        <w:t xml:space="preserve"> </w:t>
      </w:r>
      <w:r w:rsidRPr="00203383">
        <w:rPr>
          <w:rFonts w:ascii="Arial MT"/>
          <w:sz w:val="18"/>
          <w:lang w:val="pt-PT"/>
        </w:rPr>
        <w:t>of</w:t>
      </w:r>
      <w:r w:rsidRPr="00203383">
        <w:rPr>
          <w:rFonts w:ascii="Arial MT"/>
          <w:spacing w:val="-10"/>
          <w:sz w:val="18"/>
          <w:lang w:val="pt-PT"/>
        </w:rPr>
        <w:t xml:space="preserve"> </w:t>
      </w:r>
      <w:r w:rsidRPr="00203383">
        <w:rPr>
          <w:rFonts w:ascii="Arial MT"/>
          <w:sz w:val="18"/>
          <w:lang w:val="pt-PT"/>
        </w:rPr>
        <w:t>Gender</w:t>
      </w:r>
      <w:r w:rsidRPr="00203383">
        <w:rPr>
          <w:rFonts w:ascii="Arial MT"/>
          <w:spacing w:val="-8"/>
          <w:sz w:val="18"/>
          <w:lang w:val="pt-PT"/>
        </w:rPr>
        <w:t xml:space="preserve"> </w:t>
      </w:r>
      <w:r w:rsidRPr="00203383">
        <w:rPr>
          <w:rFonts w:ascii="Arial MT"/>
          <w:sz w:val="18"/>
          <w:lang w:val="pt-PT"/>
        </w:rPr>
        <w:t>Parity</w:t>
      </w:r>
      <w:r w:rsidRPr="00203383">
        <w:rPr>
          <w:rFonts w:ascii="Arial MT"/>
          <w:spacing w:val="-8"/>
          <w:sz w:val="18"/>
          <w:lang w:val="pt-PT"/>
        </w:rPr>
        <w:t xml:space="preserve"> </w:t>
      </w:r>
      <w:r w:rsidRPr="00203383">
        <w:rPr>
          <w:rFonts w:ascii="Arial MT"/>
          <w:sz w:val="18"/>
          <w:lang w:val="pt-PT"/>
        </w:rPr>
        <w:t>to</w:t>
      </w:r>
      <w:r w:rsidRPr="00203383">
        <w:rPr>
          <w:rFonts w:ascii="Arial MT"/>
          <w:spacing w:val="-9"/>
          <w:sz w:val="18"/>
          <w:lang w:val="pt-PT"/>
        </w:rPr>
        <w:t xml:space="preserve"> </w:t>
      </w:r>
      <w:r w:rsidRPr="00203383">
        <w:rPr>
          <w:rFonts w:ascii="Arial MT"/>
          <w:sz w:val="18"/>
          <w:lang w:val="pt-PT"/>
        </w:rPr>
        <w:t>Promote</w:t>
      </w:r>
      <w:r w:rsidRPr="00203383">
        <w:rPr>
          <w:rFonts w:ascii="Arial MT"/>
          <w:spacing w:val="-9"/>
          <w:sz w:val="18"/>
          <w:lang w:val="pt-PT"/>
        </w:rPr>
        <w:t xml:space="preserve"> </w:t>
      </w:r>
      <w:r w:rsidRPr="00203383">
        <w:rPr>
          <w:rFonts w:ascii="Arial MT"/>
          <w:sz w:val="18"/>
          <w:lang w:val="pt-PT"/>
        </w:rPr>
        <w:t>Economic</w:t>
      </w:r>
      <w:r w:rsidRPr="00203383">
        <w:rPr>
          <w:rFonts w:ascii="Arial MT"/>
          <w:spacing w:val="-9"/>
          <w:sz w:val="18"/>
          <w:lang w:val="pt-PT"/>
        </w:rPr>
        <w:t xml:space="preserve"> </w:t>
      </w:r>
      <w:r w:rsidRPr="00203383">
        <w:rPr>
          <w:rFonts w:ascii="Arial MT"/>
          <w:sz w:val="18"/>
          <w:lang w:val="pt-PT"/>
        </w:rPr>
        <w:t>Growth.</w:t>
      </w:r>
      <w:r w:rsidRPr="00203383">
        <w:rPr>
          <w:rFonts w:ascii="Arial MT"/>
          <w:spacing w:val="-3"/>
          <w:sz w:val="18"/>
          <w:lang w:val="pt-PT"/>
        </w:rPr>
        <w:t xml:space="preserve"> </w:t>
      </w:r>
      <w:proofErr w:type="spellStart"/>
      <w:r>
        <w:rPr>
          <w:rFonts w:ascii="Arial MT"/>
          <w:spacing w:val="-2"/>
          <w:sz w:val="18"/>
        </w:rPr>
        <w:t>Research</w:t>
      </w:r>
      <w:proofErr w:type="spellEnd"/>
    </w:p>
    <w:p w14:paraId="73D84780" w14:textId="77777777" w:rsidR="000E52B0" w:rsidRDefault="00F60D74">
      <w:pPr>
        <w:spacing w:line="205" w:lineRule="exact"/>
        <w:ind w:left="720"/>
        <w:jc w:val="both"/>
        <w:rPr>
          <w:rFonts w:ascii="Arial MT"/>
          <w:sz w:val="18"/>
        </w:rPr>
      </w:pPr>
      <w:r>
        <w:rPr>
          <w:rFonts w:ascii="Arial MT"/>
          <w:sz w:val="18"/>
        </w:rPr>
        <w:t>and</w:t>
      </w:r>
      <w:r>
        <w:rPr>
          <w:rFonts w:ascii="Arial MT"/>
          <w:spacing w:val="-5"/>
          <w:sz w:val="18"/>
        </w:rPr>
        <w:t xml:space="preserve"> </w:t>
      </w:r>
      <w:proofErr w:type="spellStart"/>
      <w:r>
        <w:rPr>
          <w:rFonts w:ascii="Arial MT"/>
          <w:sz w:val="18"/>
        </w:rPr>
        <w:t>Policy</w:t>
      </w:r>
      <w:proofErr w:type="spellEnd"/>
      <w:r>
        <w:rPr>
          <w:rFonts w:ascii="Arial MT"/>
          <w:spacing w:val="-3"/>
          <w:sz w:val="18"/>
        </w:rPr>
        <w:t xml:space="preserve"> </w:t>
      </w:r>
      <w:proofErr w:type="spellStart"/>
      <w:r>
        <w:rPr>
          <w:rFonts w:ascii="Arial MT"/>
          <w:sz w:val="18"/>
        </w:rPr>
        <w:t>Brief</w:t>
      </w:r>
      <w:proofErr w:type="spellEnd"/>
      <w:r>
        <w:rPr>
          <w:rFonts w:ascii="Arial MT"/>
          <w:spacing w:val="-2"/>
          <w:sz w:val="18"/>
        </w:rPr>
        <w:t xml:space="preserve"> </w:t>
      </w:r>
      <w:r>
        <w:rPr>
          <w:rFonts w:ascii="Arial MT"/>
          <w:spacing w:val="-5"/>
          <w:sz w:val="18"/>
        </w:rPr>
        <w:t>39.</w:t>
      </w:r>
    </w:p>
    <w:p w14:paraId="4B3BED44" w14:textId="77777777" w:rsidR="000E52B0" w:rsidRDefault="00F60D74">
      <w:pPr>
        <w:ind w:left="720" w:right="725"/>
        <w:jc w:val="both"/>
        <w:rPr>
          <w:rFonts w:ascii="Arial MT" w:hAnsi="Arial MT"/>
          <w:sz w:val="18"/>
        </w:rPr>
      </w:pPr>
      <w:bookmarkStart w:id="116" w:name="_bookmark116"/>
      <w:bookmarkEnd w:id="116"/>
      <w:r>
        <w:rPr>
          <w:rFonts w:ascii="Arial MT" w:hAnsi="Arial MT"/>
          <w:position w:val="6"/>
          <w:sz w:val="12"/>
        </w:rPr>
        <w:t>100</w:t>
      </w:r>
      <w:r>
        <w:rPr>
          <w:rFonts w:ascii="Arial MT" w:hAnsi="Arial MT"/>
          <w:spacing w:val="-2"/>
          <w:position w:val="6"/>
          <w:sz w:val="12"/>
        </w:rPr>
        <w:t xml:space="preserve"> </w:t>
      </w:r>
      <w:proofErr w:type="gramStart"/>
      <w:r>
        <w:rPr>
          <w:rFonts w:ascii="Arial MT" w:hAnsi="Arial MT"/>
          <w:sz w:val="18"/>
        </w:rPr>
        <w:t>Banco</w:t>
      </w:r>
      <w:proofErr w:type="gramEnd"/>
      <w:r>
        <w:rPr>
          <w:rFonts w:ascii="Arial MT" w:hAnsi="Arial MT"/>
          <w:spacing w:val="-12"/>
          <w:sz w:val="18"/>
        </w:rPr>
        <w:t xml:space="preserve"> </w:t>
      </w:r>
      <w:r>
        <w:rPr>
          <w:rFonts w:ascii="Arial MT" w:hAnsi="Arial MT"/>
          <w:sz w:val="18"/>
        </w:rPr>
        <w:t>Mundial.</w:t>
      </w:r>
      <w:r>
        <w:rPr>
          <w:rFonts w:ascii="Arial MT" w:hAnsi="Arial MT"/>
          <w:spacing w:val="-11"/>
          <w:sz w:val="18"/>
        </w:rPr>
        <w:t xml:space="preserve"> </w:t>
      </w:r>
      <w:r>
        <w:rPr>
          <w:rFonts w:ascii="Arial MT" w:hAnsi="Arial MT"/>
          <w:sz w:val="18"/>
        </w:rPr>
        <w:t>(2011).</w:t>
      </w:r>
      <w:r>
        <w:rPr>
          <w:rFonts w:ascii="Arial MT" w:hAnsi="Arial MT"/>
          <w:spacing w:val="-11"/>
          <w:sz w:val="18"/>
        </w:rPr>
        <w:t xml:space="preserve"> </w:t>
      </w:r>
      <w:r>
        <w:rPr>
          <w:rFonts w:ascii="Arial MT" w:hAnsi="Arial MT"/>
          <w:sz w:val="18"/>
        </w:rPr>
        <w:t>Informe</w:t>
      </w:r>
      <w:r>
        <w:rPr>
          <w:rFonts w:ascii="Arial MT" w:hAnsi="Arial MT"/>
          <w:spacing w:val="-11"/>
          <w:sz w:val="18"/>
        </w:rPr>
        <w:t xml:space="preserve"> </w:t>
      </w:r>
      <w:r>
        <w:rPr>
          <w:rFonts w:ascii="Arial MT" w:hAnsi="Arial MT"/>
          <w:sz w:val="18"/>
        </w:rPr>
        <w:t>sobre</w:t>
      </w:r>
      <w:r>
        <w:rPr>
          <w:rFonts w:ascii="Arial MT" w:hAnsi="Arial MT"/>
          <w:spacing w:val="-11"/>
          <w:sz w:val="18"/>
        </w:rPr>
        <w:t xml:space="preserve"> </w:t>
      </w:r>
      <w:r>
        <w:rPr>
          <w:rFonts w:ascii="Arial MT" w:hAnsi="Arial MT"/>
          <w:sz w:val="18"/>
        </w:rPr>
        <w:t>el</w:t>
      </w:r>
      <w:r>
        <w:rPr>
          <w:rFonts w:ascii="Arial MT" w:hAnsi="Arial MT"/>
          <w:spacing w:val="-13"/>
          <w:sz w:val="18"/>
        </w:rPr>
        <w:t xml:space="preserve"> </w:t>
      </w:r>
      <w:r>
        <w:rPr>
          <w:rFonts w:ascii="Arial MT" w:hAnsi="Arial MT"/>
          <w:sz w:val="18"/>
        </w:rPr>
        <w:t>desarrollo</w:t>
      </w:r>
      <w:r>
        <w:rPr>
          <w:rFonts w:ascii="Arial MT" w:hAnsi="Arial MT"/>
          <w:spacing w:val="-12"/>
          <w:sz w:val="18"/>
        </w:rPr>
        <w:t xml:space="preserve"> </w:t>
      </w:r>
      <w:r>
        <w:rPr>
          <w:rFonts w:ascii="Arial MT" w:hAnsi="Arial MT"/>
          <w:sz w:val="18"/>
        </w:rPr>
        <w:t>mundial</w:t>
      </w:r>
      <w:r>
        <w:rPr>
          <w:rFonts w:ascii="Arial MT" w:hAnsi="Arial MT"/>
          <w:spacing w:val="-13"/>
          <w:sz w:val="18"/>
        </w:rPr>
        <w:t xml:space="preserve"> </w:t>
      </w:r>
      <w:r>
        <w:rPr>
          <w:rFonts w:ascii="Arial MT" w:hAnsi="Arial MT"/>
          <w:sz w:val="18"/>
        </w:rPr>
        <w:t>2012:</w:t>
      </w:r>
      <w:r>
        <w:rPr>
          <w:rFonts w:ascii="Arial MT" w:hAnsi="Arial MT"/>
          <w:spacing w:val="-11"/>
          <w:sz w:val="18"/>
        </w:rPr>
        <w:t xml:space="preserve"> </w:t>
      </w:r>
      <w:r>
        <w:rPr>
          <w:rFonts w:ascii="Arial MT" w:hAnsi="Arial MT"/>
          <w:sz w:val="18"/>
        </w:rPr>
        <w:t>Igualdad</w:t>
      </w:r>
      <w:r>
        <w:rPr>
          <w:rFonts w:ascii="Arial MT" w:hAnsi="Arial MT"/>
          <w:spacing w:val="-13"/>
          <w:sz w:val="18"/>
        </w:rPr>
        <w:t xml:space="preserve"> </w:t>
      </w:r>
      <w:r>
        <w:rPr>
          <w:rFonts w:ascii="Arial MT" w:hAnsi="Arial MT"/>
          <w:sz w:val="18"/>
        </w:rPr>
        <w:t>de</w:t>
      </w:r>
      <w:r>
        <w:rPr>
          <w:rFonts w:ascii="Arial MT" w:hAnsi="Arial MT"/>
          <w:spacing w:val="-11"/>
          <w:sz w:val="18"/>
        </w:rPr>
        <w:t xml:space="preserve"> </w:t>
      </w:r>
      <w:r>
        <w:rPr>
          <w:rFonts w:ascii="Arial MT" w:hAnsi="Arial MT"/>
          <w:sz w:val="18"/>
        </w:rPr>
        <w:t>género</w:t>
      </w:r>
      <w:r>
        <w:rPr>
          <w:rFonts w:ascii="Arial MT" w:hAnsi="Arial MT"/>
          <w:spacing w:val="-13"/>
          <w:sz w:val="18"/>
        </w:rPr>
        <w:t xml:space="preserve"> </w:t>
      </w:r>
      <w:r>
        <w:rPr>
          <w:rFonts w:ascii="Arial MT" w:hAnsi="Arial MT"/>
          <w:sz w:val="18"/>
        </w:rPr>
        <w:t>y</w:t>
      </w:r>
      <w:r>
        <w:rPr>
          <w:rFonts w:ascii="Arial MT" w:hAnsi="Arial MT"/>
          <w:spacing w:val="-11"/>
          <w:sz w:val="18"/>
        </w:rPr>
        <w:t xml:space="preserve"> </w:t>
      </w:r>
      <w:r>
        <w:rPr>
          <w:rFonts w:ascii="Arial MT" w:hAnsi="Arial MT"/>
          <w:sz w:val="18"/>
        </w:rPr>
        <w:t>desarrollo.</w:t>
      </w:r>
      <w:r>
        <w:rPr>
          <w:rFonts w:ascii="Arial MT" w:hAnsi="Arial MT"/>
          <w:spacing w:val="-11"/>
          <w:sz w:val="18"/>
        </w:rPr>
        <w:t xml:space="preserve"> </w:t>
      </w:r>
      <w:r>
        <w:rPr>
          <w:rFonts w:ascii="Arial MT" w:hAnsi="Arial MT"/>
          <w:sz w:val="18"/>
        </w:rPr>
        <w:t>Washington: Banco Mundial.</w:t>
      </w:r>
    </w:p>
    <w:p w14:paraId="550A159B" w14:textId="77777777" w:rsidR="000E52B0" w:rsidRDefault="00F60D74">
      <w:pPr>
        <w:ind w:left="720" w:right="721"/>
        <w:jc w:val="both"/>
        <w:rPr>
          <w:rFonts w:ascii="Arial MT" w:hAnsi="Arial MT"/>
          <w:sz w:val="18"/>
        </w:rPr>
      </w:pPr>
      <w:bookmarkStart w:id="117" w:name="_bookmark117"/>
      <w:bookmarkEnd w:id="117"/>
      <w:r>
        <w:rPr>
          <w:rFonts w:ascii="Arial MT" w:hAnsi="Arial MT"/>
          <w:position w:val="6"/>
          <w:sz w:val="12"/>
        </w:rPr>
        <w:t>101</w:t>
      </w:r>
      <w:r>
        <w:rPr>
          <w:rFonts w:ascii="Arial MT" w:hAnsi="Arial MT"/>
          <w:spacing w:val="18"/>
          <w:position w:val="6"/>
          <w:sz w:val="12"/>
        </w:rPr>
        <w:t xml:space="preserve"> </w:t>
      </w:r>
      <w:r>
        <w:rPr>
          <w:rFonts w:ascii="Arial MT" w:hAnsi="Arial MT"/>
          <w:sz w:val="18"/>
        </w:rPr>
        <w:t>Peña,</w:t>
      </w:r>
      <w:r>
        <w:rPr>
          <w:rFonts w:ascii="Arial MT" w:hAnsi="Arial MT"/>
          <w:spacing w:val="-1"/>
          <w:sz w:val="18"/>
        </w:rPr>
        <w:t xml:space="preserve"> </w:t>
      </w:r>
      <w:r>
        <w:rPr>
          <w:rFonts w:ascii="Arial MT" w:hAnsi="Arial MT"/>
          <w:sz w:val="18"/>
        </w:rPr>
        <w:t>X.,</w:t>
      </w:r>
      <w:r>
        <w:rPr>
          <w:rFonts w:ascii="Arial MT" w:hAnsi="Arial MT"/>
          <w:spacing w:val="-1"/>
          <w:sz w:val="18"/>
        </w:rPr>
        <w:t xml:space="preserve"> </w:t>
      </w:r>
      <w:r>
        <w:rPr>
          <w:rFonts w:ascii="Arial MT" w:hAnsi="Arial MT"/>
          <w:sz w:val="18"/>
        </w:rPr>
        <w:t>Cárdenas,</w:t>
      </w:r>
      <w:r>
        <w:rPr>
          <w:rFonts w:ascii="Arial MT" w:hAnsi="Arial MT"/>
          <w:spacing w:val="-1"/>
          <w:sz w:val="18"/>
        </w:rPr>
        <w:t xml:space="preserve"> </w:t>
      </w:r>
      <w:r>
        <w:rPr>
          <w:rFonts w:ascii="Arial MT" w:hAnsi="Arial MT"/>
          <w:sz w:val="18"/>
        </w:rPr>
        <w:t>J.,</w:t>
      </w:r>
      <w:r>
        <w:rPr>
          <w:rFonts w:ascii="Arial MT" w:hAnsi="Arial MT"/>
          <w:spacing w:val="-1"/>
          <w:sz w:val="18"/>
        </w:rPr>
        <w:t xml:space="preserve"> </w:t>
      </w:r>
      <w:r>
        <w:rPr>
          <w:rFonts w:ascii="Arial MT" w:hAnsi="Arial MT"/>
          <w:sz w:val="18"/>
        </w:rPr>
        <w:t>Ñopo,</w:t>
      </w:r>
      <w:r>
        <w:rPr>
          <w:rFonts w:ascii="Arial MT" w:hAnsi="Arial MT"/>
          <w:spacing w:val="-1"/>
          <w:sz w:val="18"/>
        </w:rPr>
        <w:t xml:space="preserve"> </w:t>
      </w:r>
      <w:r>
        <w:rPr>
          <w:rFonts w:ascii="Arial MT" w:hAnsi="Arial MT"/>
          <w:sz w:val="18"/>
        </w:rPr>
        <w:t>H., Castañeda,</w:t>
      </w:r>
      <w:r>
        <w:rPr>
          <w:rFonts w:ascii="Arial MT" w:hAnsi="Arial MT"/>
          <w:spacing w:val="-1"/>
          <w:sz w:val="18"/>
        </w:rPr>
        <w:t xml:space="preserve"> </w:t>
      </w:r>
      <w:r>
        <w:rPr>
          <w:rFonts w:ascii="Arial MT" w:hAnsi="Arial MT"/>
          <w:sz w:val="18"/>
        </w:rPr>
        <w:t>J.,</w:t>
      </w:r>
      <w:r>
        <w:rPr>
          <w:rFonts w:ascii="Arial MT" w:hAnsi="Arial MT"/>
          <w:spacing w:val="-1"/>
          <w:sz w:val="18"/>
        </w:rPr>
        <w:t xml:space="preserve"> </w:t>
      </w:r>
      <w:r>
        <w:rPr>
          <w:rFonts w:ascii="Arial MT" w:hAnsi="Arial MT"/>
          <w:sz w:val="18"/>
        </w:rPr>
        <w:t>Muñoz,</w:t>
      </w:r>
      <w:r>
        <w:rPr>
          <w:rFonts w:ascii="Arial MT" w:hAnsi="Arial MT"/>
          <w:spacing w:val="-1"/>
          <w:sz w:val="18"/>
        </w:rPr>
        <w:t xml:space="preserve"> </w:t>
      </w:r>
      <w:r>
        <w:rPr>
          <w:rFonts w:ascii="Arial MT" w:hAnsi="Arial MT"/>
          <w:sz w:val="18"/>
        </w:rPr>
        <w:t>J.,</w:t>
      </w:r>
      <w:r>
        <w:rPr>
          <w:rFonts w:ascii="Arial MT" w:hAnsi="Arial MT"/>
          <w:spacing w:val="-1"/>
          <w:sz w:val="18"/>
        </w:rPr>
        <w:t xml:space="preserve"> </w:t>
      </w:r>
      <w:r>
        <w:rPr>
          <w:rFonts w:ascii="Arial MT" w:hAnsi="Arial MT"/>
          <w:sz w:val="18"/>
        </w:rPr>
        <w:t>&amp; Uribe,</w:t>
      </w:r>
      <w:r>
        <w:rPr>
          <w:rFonts w:ascii="Arial MT" w:hAnsi="Arial MT"/>
          <w:spacing w:val="-1"/>
          <w:sz w:val="18"/>
        </w:rPr>
        <w:t xml:space="preserve"> </w:t>
      </w:r>
      <w:r>
        <w:rPr>
          <w:rFonts w:ascii="Arial MT" w:hAnsi="Arial MT"/>
          <w:sz w:val="18"/>
        </w:rPr>
        <w:t>C. (2014).</w:t>
      </w:r>
      <w:r>
        <w:rPr>
          <w:rFonts w:ascii="Arial MT" w:hAnsi="Arial MT"/>
          <w:spacing w:val="-1"/>
          <w:sz w:val="18"/>
        </w:rPr>
        <w:t xml:space="preserve"> </w:t>
      </w:r>
      <w:r>
        <w:rPr>
          <w:rFonts w:ascii="Arial MT" w:hAnsi="Arial MT"/>
          <w:sz w:val="18"/>
        </w:rPr>
        <w:t>Mujer</w:t>
      </w:r>
      <w:r>
        <w:rPr>
          <w:rFonts w:ascii="Arial MT" w:hAnsi="Arial MT"/>
          <w:spacing w:val="-1"/>
          <w:sz w:val="18"/>
        </w:rPr>
        <w:t xml:space="preserve"> </w:t>
      </w:r>
      <w:r>
        <w:rPr>
          <w:rFonts w:ascii="Arial MT" w:hAnsi="Arial MT"/>
          <w:sz w:val="18"/>
        </w:rPr>
        <w:t>y movilidad</w:t>
      </w:r>
      <w:r>
        <w:rPr>
          <w:rFonts w:ascii="Arial MT" w:hAnsi="Arial MT"/>
          <w:spacing w:val="-1"/>
          <w:sz w:val="18"/>
        </w:rPr>
        <w:t xml:space="preserve"> </w:t>
      </w:r>
      <w:r>
        <w:rPr>
          <w:rFonts w:ascii="Arial MT" w:hAnsi="Arial MT"/>
          <w:sz w:val="18"/>
        </w:rPr>
        <w:t>social.</w:t>
      </w:r>
      <w:r>
        <w:rPr>
          <w:rFonts w:ascii="Arial MT" w:hAnsi="Arial MT"/>
          <w:spacing w:val="-1"/>
          <w:sz w:val="18"/>
        </w:rPr>
        <w:t xml:space="preserve"> </w:t>
      </w:r>
      <w:r>
        <w:rPr>
          <w:rFonts w:ascii="Arial MT" w:hAnsi="Arial MT"/>
          <w:sz w:val="18"/>
        </w:rPr>
        <w:t>In A. Montenegro, &amp; M. Meléndez, Equidad y movilidad social. Diagnósticos</w:t>
      </w:r>
      <w:r>
        <w:rPr>
          <w:rFonts w:ascii="Arial MT" w:hAnsi="Arial MT"/>
          <w:spacing w:val="-1"/>
          <w:sz w:val="18"/>
        </w:rPr>
        <w:t xml:space="preserve"> </w:t>
      </w:r>
      <w:r>
        <w:rPr>
          <w:rFonts w:ascii="Arial MT" w:hAnsi="Arial MT"/>
          <w:sz w:val="18"/>
        </w:rPr>
        <w:t>y propuestas para la transformación de la sociedad</w:t>
      </w:r>
      <w:r>
        <w:rPr>
          <w:rFonts w:ascii="Arial MT" w:hAnsi="Arial MT"/>
          <w:spacing w:val="-2"/>
          <w:sz w:val="18"/>
        </w:rPr>
        <w:t xml:space="preserve"> </w:t>
      </w:r>
      <w:r>
        <w:rPr>
          <w:rFonts w:ascii="Arial MT" w:hAnsi="Arial MT"/>
          <w:sz w:val="18"/>
        </w:rPr>
        <w:t>colombiana</w:t>
      </w:r>
      <w:r>
        <w:rPr>
          <w:rFonts w:ascii="Arial MT" w:hAnsi="Arial MT"/>
          <w:spacing w:val="-2"/>
          <w:sz w:val="18"/>
        </w:rPr>
        <w:t xml:space="preserve"> </w:t>
      </w:r>
      <w:r>
        <w:rPr>
          <w:rFonts w:ascii="Arial MT" w:hAnsi="Arial MT"/>
          <w:sz w:val="18"/>
        </w:rPr>
        <w:t>(pp.</w:t>
      </w:r>
      <w:r>
        <w:rPr>
          <w:rFonts w:ascii="Arial MT" w:hAnsi="Arial MT"/>
          <w:spacing w:val="-2"/>
          <w:sz w:val="18"/>
        </w:rPr>
        <w:t xml:space="preserve"> </w:t>
      </w:r>
      <w:r>
        <w:rPr>
          <w:rFonts w:ascii="Arial MT" w:hAnsi="Arial MT"/>
          <w:sz w:val="18"/>
        </w:rPr>
        <w:t>619-694).</w:t>
      </w:r>
      <w:r>
        <w:rPr>
          <w:rFonts w:ascii="Arial MT" w:hAnsi="Arial MT"/>
          <w:spacing w:val="-2"/>
          <w:sz w:val="18"/>
        </w:rPr>
        <w:t xml:space="preserve"> </w:t>
      </w:r>
      <w:r>
        <w:rPr>
          <w:rFonts w:ascii="Arial MT" w:hAnsi="Arial MT"/>
          <w:sz w:val="18"/>
        </w:rPr>
        <w:t>Bogotá:</w:t>
      </w:r>
      <w:r>
        <w:rPr>
          <w:rFonts w:ascii="Arial MT" w:hAnsi="Arial MT"/>
          <w:spacing w:val="-2"/>
          <w:sz w:val="18"/>
        </w:rPr>
        <w:t xml:space="preserve"> </w:t>
      </w:r>
      <w:r>
        <w:rPr>
          <w:rFonts w:ascii="Arial MT" w:hAnsi="Arial MT"/>
          <w:sz w:val="18"/>
        </w:rPr>
        <w:t>Universidad</w:t>
      </w:r>
      <w:r>
        <w:rPr>
          <w:rFonts w:ascii="Arial MT" w:hAnsi="Arial MT"/>
          <w:spacing w:val="-2"/>
          <w:sz w:val="18"/>
        </w:rPr>
        <w:t xml:space="preserve"> </w:t>
      </w:r>
      <w:r>
        <w:rPr>
          <w:rFonts w:ascii="Arial MT" w:hAnsi="Arial MT"/>
          <w:sz w:val="18"/>
        </w:rPr>
        <w:t>de</w:t>
      </w:r>
      <w:r>
        <w:rPr>
          <w:rFonts w:ascii="Arial MT" w:hAnsi="Arial MT"/>
          <w:spacing w:val="-4"/>
          <w:sz w:val="18"/>
        </w:rPr>
        <w:t xml:space="preserve"> </w:t>
      </w:r>
      <w:r>
        <w:rPr>
          <w:rFonts w:ascii="Arial MT" w:hAnsi="Arial MT"/>
          <w:sz w:val="18"/>
        </w:rPr>
        <w:t>los</w:t>
      </w:r>
      <w:r>
        <w:rPr>
          <w:rFonts w:ascii="Arial MT" w:hAnsi="Arial MT"/>
          <w:spacing w:val="-1"/>
          <w:sz w:val="18"/>
        </w:rPr>
        <w:t xml:space="preserve"> </w:t>
      </w:r>
      <w:r>
        <w:rPr>
          <w:rFonts w:ascii="Arial MT" w:hAnsi="Arial MT"/>
          <w:sz w:val="18"/>
        </w:rPr>
        <w:t>Andes,</w:t>
      </w:r>
      <w:r>
        <w:rPr>
          <w:rFonts w:ascii="Arial MT" w:hAnsi="Arial MT"/>
          <w:spacing w:val="-2"/>
          <w:sz w:val="18"/>
        </w:rPr>
        <w:t xml:space="preserve"> </w:t>
      </w:r>
      <w:r>
        <w:rPr>
          <w:rFonts w:ascii="Arial MT" w:hAnsi="Arial MT"/>
          <w:sz w:val="18"/>
        </w:rPr>
        <w:t>Facultad</w:t>
      </w:r>
      <w:r>
        <w:rPr>
          <w:rFonts w:ascii="Arial MT" w:hAnsi="Arial MT"/>
          <w:spacing w:val="-2"/>
          <w:sz w:val="18"/>
        </w:rPr>
        <w:t xml:space="preserve"> </w:t>
      </w:r>
      <w:r>
        <w:rPr>
          <w:rFonts w:ascii="Arial MT" w:hAnsi="Arial MT"/>
          <w:sz w:val="18"/>
        </w:rPr>
        <w:t>de</w:t>
      </w:r>
      <w:r>
        <w:rPr>
          <w:rFonts w:ascii="Arial MT" w:hAnsi="Arial MT"/>
          <w:spacing w:val="-2"/>
          <w:sz w:val="18"/>
        </w:rPr>
        <w:t xml:space="preserve"> </w:t>
      </w:r>
      <w:r>
        <w:rPr>
          <w:rFonts w:ascii="Arial MT" w:hAnsi="Arial MT"/>
          <w:sz w:val="18"/>
        </w:rPr>
        <w:t>Economía,</w:t>
      </w:r>
      <w:r>
        <w:rPr>
          <w:rFonts w:ascii="Arial MT" w:hAnsi="Arial MT"/>
          <w:spacing w:val="-2"/>
          <w:sz w:val="18"/>
        </w:rPr>
        <w:t xml:space="preserve"> </w:t>
      </w:r>
      <w:r>
        <w:rPr>
          <w:rFonts w:ascii="Arial MT" w:hAnsi="Arial MT"/>
          <w:sz w:val="18"/>
        </w:rPr>
        <w:t>CEDE,</w:t>
      </w:r>
      <w:r>
        <w:rPr>
          <w:rFonts w:ascii="Arial MT" w:hAnsi="Arial MT"/>
          <w:spacing w:val="-2"/>
          <w:sz w:val="18"/>
        </w:rPr>
        <w:t xml:space="preserve"> </w:t>
      </w:r>
      <w:r>
        <w:rPr>
          <w:rFonts w:ascii="Arial MT" w:hAnsi="Arial MT"/>
          <w:sz w:val="18"/>
        </w:rPr>
        <w:t>Ediciones Uniandes: Departamento Nacional de Planeación DNP.</w:t>
      </w:r>
    </w:p>
    <w:p w14:paraId="7EEBB538" w14:textId="77777777" w:rsidR="000E52B0" w:rsidRDefault="00F60D74">
      <w:pPr>
        <w:spacing w:line="242" w:lineRule="auto"/>
        <w:ind w:left="720" w:right="720"/>
        <w:jc w:val="both"/>
        <w:rPr>
          <w:rFonts w:ascii="Arial MT" w:hAnsi="Arial MT"/>
          <w:sz w:val="18"/>
        </w:rPr>
      </w:pPr>
      <w:bookmarkStart w:id="118" w:name="_bookmark118"/>
      <w:bookmarkEnd w:id="118"/>
      <w:r>
        <w:rPr>
          <w:rFonts w:ascii="Arial MT" w:hAnsi="Arial MT"/>
          <w:position w:val="6"/>
          <w:sz w:val="12"/>
        </w:rPr>
        <w:t>102</w:t>
      </w:r>
      <w:r>
        <w:rPr>
          <w:rFonts w:ascii="Arial MT" w:hAnsi="Arial MT"/>
          <w:spacing w:val="13"/>
          <w:position w:val="6"/>
          <w:sz w:val="12"/>
        </w:rPr>
        <w:t xml:space="preserve"> </w:t>
      </w:r>
      <w:proofErr w:type="gramStart"/>
      <w:r>
        <w:rPr>
          <w:rFonts w:ascii="Arial MT" w:hAnsi="Arial MT"/>
          <w:sz w:val="18"/>
        </w:rPr>
        <w:t>La</w:t>
      </w:r>
      <w:proofErr w:type="gramEnd"/>
      <w:r>
        <w:rPr>
          <w:rFonts w:ascii="Arial MT" w:hAnsi="Arial MT"/>
          <w:spacing w:val="-4"/>
          <w:sz w:val="18"/>
        </w:rPr>
        <w:t xml:space="preserve"> </w:t>
      </w:r>
      <w:r>
        <w:rPr>
          <w:rFonts w:ascii="Arial MT" w:hAnsi="Arial MT"/>
          <w:sz w:val="18"/>
        </w:rPr>
        <w:t>Cuenta</w:t>
      </w:r>
      <w:r>
        <w:rPr>
          <w:rFonts w:ascii="Arial MT" w:hAnsi="Arial MT"/>
          <w:spacing w:val="-4"/>
          <w:sz w:val="18"/>
        </w:rPr>
        <w:t xml:space="preserve"> </w:t>
      </w:r>
      <w:r>
        <w:rPr>
          <w:rFonts w:ascii="Arial MT" w:hAnsi="Arial MT"/>
          <w:sz w:val="18"/>
        </w:rPr>
        <w:t>Satélite</w:t>
      </w:r>
      <w:r>
        <w:rPr>
          <w:rFonts w:ascii="Arial MT" w:hAnsi="Arial MT"/>
          <w:spacing w:val="-4"/>
          <w:sz w:val="18"/>
        </w:rPr>
        <w:t xml:space="preserve"> </w:t>
      </w:r>
      <w:r>
        <w:rPr>
          <w:rFonts w:ascii="Arial MT" w:hAnsi="Arial MT"/>
          <w:sz w:val="18"/>
        </w:rPr>
        <w:t>de</w:t>
      </w:r>
      <w:r>
        <w:rPr>
          <w:rFonts w:ascii="Arial MT" w:hAnsi="Arial MT"/>
          <w:spacing w:val="-4"/>
          <w:sz w:val="18"/>
        </w:rPr>
        <w:t xml:space="preserve"> </w:t>
      </w:r>
      <w:r>
        <w:rPr>
          <w:rFonts w:ascii="Arial MT" w:hAnsi="Arial MT"/>
          <w:sz w:val="18"/>
        </w:rPr>
        <w:t>Economía</w:t>
      </w:r>
      <w:r>
        <w:rPr>
          <w:rFonts w:ascii="Arial MT" w:hAnsi="Arial MT"/>
          <w:spacing w:val="-4"/>
          <w:sz w:val="18"/>
        </w:rPr>
        <w:t xml:space="preserve"> </w:t>
      </w:r>
      <w:r>
        <w:rPr>
          <w:rFonts w:ascii="Arial MT" w:hAnsi="Arial MT"/>
          <w:sz w:val="18"/>
        </w:rPr>
        <w:t>del</w:t>
      </w:r>
      <w:r>
        <w:rPr>
          <w:rFonts w:ascii="Arial MT" w:hAnsi="Arial MT"/>
          <w:spacing w:val="-4"/>
          <w:sz w:val="18"/>
        </w:rPr>
        <w:t xml:space="preserve"> </w:t>
      </w:r>
      <w:r>
        <w:rPr>
          <w:rFonts w:ascii="Arial MT" w:hAnsi="Arial MT"/>
          <w:sz w:val="18"/>
        </w:rPr>
        <w:t>Cuidado</w:t>
      </w:r>
      <w:r>
        <w:rPr>
          <w:rFonts w:ascii="Arial MT" w:hAnsi="Arial MT"/>
          <w:spacing w:val="-4"/>
          <w:sz w:val="18"/>
        </w:rPr>
        <w:t xml:space="preserve"> </w:t>
      </w:r>
      <w:r>
        <w:rPr>
          <w:rFonts w:ascii="Arial MT" w:hAnsi="Arial MT"/>
          <w:sz w:val="18"/>
        </w:rPr>
        <w:t>(CSEC)</w:t>
      </w:r>
      <w:r>
        <w:rPr>
          <w:rFonts w:ascii="Arial MT" w:hAnsi="Arial MT"/>
          <w:spacing w:val="-4"/>
          <w:sz w:val="18"/>
        </w:rPr>
        <w:t xml:space="preserve"> </w:t>
      </w:r>
      <w:r>
        <w:rPr>
          <w:rFonts w:ascii="Arial MT" w:hAnsi="Arial MT"/>
          <w:sz w:val="18"/>
        </w:rPr>
        <w:t>fue</w:t>
      </w:r>
      <w:r>
        <w:rPr>
          <w:rFonts w:ascii="Arial MT" w:hAnsi="Arial MT"/>
          <w:spacing w:val="-4"/>
          <w:sz w:val="18"/>
        </w:rPr>
        <w:t xml:space="preserve"> </w:t>
      </w:r>
      <w:r>
        <w:rPr>
          <w:rFonts w:ascii="Arial MT" w:hAnsi="Arial MT"/>
          <w:sz w:val="18"/>
        </w:rPr>
        <w:t>creada</w:t>
      </w:r>
      <w:r>
        <w:rPr>
          <w:rFonts w:ascii="Arial MT" w:hAnsi="Arial MT"/>
          <w:spacing w:val="-4"/>
          <w:sz w:val="18"/>
        </w:rPr>
        <w:t xml:space="preserve"> </w:t>
      </w:r>
      <w:r>
        <w:rPr>
          <w:rFonts w:ascii="Arial MT" w:hAnsi="Arial MT"/>
          <w:sz w:val="18"/>
        </w:rPr>
        <w:t>por</w:t>
      </w:r>
      <w:r>
        <w:rPr>
          <w:rFonts w:ascii="Arial MT" w:hAnsi="Arial MT"/>
          <w:spacing w:val="-4"/>
          <w:sz w:val="18"/>
        </w:rPr>
        <w:t xml:space="preserve"> </w:t>
      </w:r>
      <w:r>
        <w:rPr>
          <w:rFonts w:ascii="Arial MT" w:hAnsi="Arial MT"/>
          <w:sz w:val="18"/>
        </w:rPr>
        <w:t>el</w:t>
      </w:r>
      <w:r>
        <w:rPr>
          <w:rFonts w:ascii="Arial MT" w:hAnsi="Arial MT"/>
          <w:spacing w:val="-4"/>
          <w:sz w:val="18"/>
        </w:rPr>
        <w:t xml:space="preserve"> </w:t>
      </w:r>
      <w:r>
        <w:rPr>
          <w:rFonts w:ascii="Arial MT" w:hAnsi="Arial MT"/>
          <w:sz w:val="18"/>
        </w:rPr>
        <w:t>DANE</w:t>
      </w:r>
      <w:r>
        <w:rPr>
          <w:rFonts w:ascii="Arial MT" w:hAnsi="Arial MT"/>
          <w:spacing w:val="-5"/>
          <w:sz w:val="18"/>
        </w:rPr>
        <w:t xml:space="preserve"> </w:t>
      </w:r>
      <w:r>
        <w:rPr>
          <w:rFonts w:ascii="Arial MT" w:hAnsi="Arial MT"/>
          <w:sz w:val="18"/>
        </w:rPr>
        <w:t>en</w:t>
      </w:r>
      <w:r>
        <w:rPr>
          <w:rFonts w:ascii="Arial MT" w:hAnsi="Arial MT"/>
          <w:spacing w:val="-4"/>
          <w:sz w:val="18"/>
        </w:rPr>
        <w:t xml:space="preserve"> </w:t>
      </w:r>
      <w:r>
        <w:rPr>
          <w:rFonts w:ascii="Arial MT" w:hAnsi="Arial MT"/>
          <w:sz w:val="18"/>
        </w:rPr>
        <w:t>cumplimiento</w:t>
      </w:r>
      <w:r>
        <w:rPr>
          <w:rFonts w:ascii="Arial MT" w:hAnsi="Arial MT"/>
          <w:spacing w:val="-4"/>
          <w:sz w:val="18"/>
        </w:rPr>
        <w:t xml:space="preserve"> </w:t>
      </w:r>
      <w:r>
        <w:rPr>
          <w:rFonts w:ascii="Arial MT" w:hAnsi="Arial MT"/>
          <w:sz w:val="18"/>
        </w:rPr>
        <w:t>de</w:t>
      </w:r>
      <w:r>
        <w:rPr>
          <w:rFonts w:ascii="Arial MT" w:hAnsi="Arial MT"/>
          <w:spacing w:val="-6"/>
          <w:sz w:val="18"/>
        </w:rPr>
        <w:t xml:space="preserve"> </w:t>
      </w:r>
      <w:r>
        <w:rPr>
          <w:rFonts w:ascii="Arial MT" w:hAnsi="Arial MT"/>
          <w:sz w:val="18"/>
        </w:rPr>
        <w:t>la</w:t>
      </w:r>
      <w:r>
        <w:rPr>
          <w:rFonts w:ascii="Arial MT" w:hAnsi="Arial MT"/>
          <w:spacing w:val="-4"/>
          <w:sz w:val="18"/>
        </w:rPr>
        <w:t xml:space="preserve"> </w:t>
      </w:r>
      <w:r>
        <w:rPr>
          <w:rFonts w:ascii="Arial MT" w:hAnsi="Arial MT"/>
          <w:sz w:val="18"/>
        </w:rPr>
        <w:t>Ley</w:t>
      </w:r>
      <w:r>
        <w:rPr>
          <w:rFonts w:ascii="Arial MT" w:hAnsi="Arial MT"/>
          <w:spacing w:val="-6"/>
          <w:sz w:val="18"/>
        </w:rPr>
        <w:t xml:space="preserve"> </w:t>
      </w:r>
      <w:r>
        <w:rPr>
          <w:rFonts w:ascii="Arial MT" w:hAnsi="Arial MT"/>
          <w:sz w:val="18"/>
        </w:rPr>
        <w:t>1413 de 2010.</w:t>
      </w:r>
    </w:p>
    <w:p w14:paraId="33942459" w14:textId="77777777" w:rsidR="000E52B0" w:rsidRDefault="000E52B0">
      <w:pPr>
        <w:spacing w:line="242" w:lineRule="auto"/>
        <w:jc w:val="both"/>
        <w:rPr>
          <w:rFonts w:ascii="Arial MT" w:hAnsi="Arial MT"/>
          <w:sz w:val="18"/>
        </w:rPr>
        <w:sectPr w:rsidR="000E52B0">
          <w:pgSz w:w="11910" w:h="16840"/>
          <w:pgMar w:top="1340" w:right="720" w:bottom="1180" w:left="720" w:header="0" w:footer="995" w:gutter="0"/>
          <w:cols w:space="720"/>
        </w:sectPr>
      </w:pPr>
    </w:p>
    <w:p w14:paraId="55433FAD" w14:textId="2E9253A8" w:rsidR="000E52B0" w:rsidRDefault="00F60D74">
      <w:pPr>
        <w:pStyle w:val="Textoindependiente"/>
        <w:spacing w:before="83"/>
        <w:ind w:right="713"/>
        <w:jc w:val="both"/>
        <w:rPr>
          <w:position w:val="8"/>
          <w:sz w:val="16"/>
        </w:rPr>
      </w:pPr>
      <w:r>
        <w:lastRenderedPageBreak/>
        <w:t>en</w:t>
      </w:r>
      <w:r>
        <w:rPr>
          <w:spacing w:val="-16"/>
        </w:rPr>
        <w:t xml:space="preserve"> </w:t>
      </w:r>
      <w:r>
        <w:t>el</w:t>
      </w:r>
      <w:r>
        <w:rPr>
          <w:spacing w:val="-16"/>
        </w:rPr>
        <w:t xml:space="preserve"> </w:t>
      </w:r>
      <w:r>
        <w:t>país</w:t>
      </w:r>
      <w:r>
        <w:rPr>
          <w:spacing w:val="-12"/>
        </w:rPr>
        <w:t xml:space="preserve"> </w:t>
      </w:r>
      <w:r>
        <w:t>(UPRA,</w:t>
      </w:r>
      <w:r>
        <w:rPr>
          <w:spacing w:val="-16"/>
        </w:rPr>
        <w:t xml:space="preserve"> </w:t>
      </w:r>
      <w:r>
        <w:t>2021,</w:t>
      </w:r>
      <w:r>
        <w:rPr>
          <w:spacing w:val="-16"/>
        </w:rPr>
        <w:t xml:space="preserve"> </w:t>
      </w:r>
      <w:r>
        <w:t>citado</w:t>
      </w:r>
      <w:r>
        <w:rPr>
          <w:spacing w:val="-14"/>
        </w:rPr>
        <w:t xml:space="preserve"> </w:t>
      </w:r>
      <w:r>
        <w:t>por</w:t>
      </w:r>
      <w:r>
        <w:rPr>
          <w:spacing w:val="-14"/>
        </w:rPr>
        <w:t xml:space="preserve"> </w:t>
      </w:r>
      <w:proofErr w:type="spellStart"/>
      <w:r>
        <w:t>Woerz</w:t>
      </w:r>
      <w:proofErr w:type="spellEnd"/>
      <w:r>
        <w:t>,</w:t>
      </w:r>
      <w:r>
        <w:rPr>
          <w:spacing w:val="-16"/>
        </w:rPr>
        <w:t xml:space="preserve"> </w:t>
      </w:r>
      <w:r>
        <w:t>2023)</w:t>
      </w:r>
      <w:hyperlink w:anchor="_bookmark120" w:history="1">
        <w:r w:rsidR="000E52B0">
          <w:rPr>
            <w:position w:val="8"/>
            <w:sz w:val="16"/>
          </w:rPr>
          <w:t>103</w:t>
        </w:r>
      </w:hyperlink>
      <w:r>
        <w:t>.</w:t>
      </w:r>
      <w:r>
        <w:rPr>
          <w:spacing w:val="-16"/>
        </w:rPr>
        <w:t xml:space="preserve"> </w:t>
      </w:r>
      <w:r>
        <w:t>Colombia</w:t>
      </w:r>
      <w:r>
        <w:rPr>
          <w:spacing w:val="-13"/>
        </w:rPr>
        <w:t xml:space="preserve"> </w:t>
      </w:r>
      <w:r>
        <w:t>presenta</w:t>
      </w:r>
      <w:r>
        <w:rPr>
          <w:spacing w:val="-15"/>
        </w:rPr>
        <w:t xml:space="preserve"> </w:t>
      </w:r>
      <w:r>
        <w:t>una distribución</w:t>
      </w:r>
      <w:r>
        <w:rPr>
          <w:spacing w:val="-7"/>
        </w:rPr>
        <w:t xml:space="preserve"> </w:t>
      </w:r>
      <w:r>
        <w:t>sumamente</w:t>
      </w:r>
      <w:r>
        <w:rPr>
          <w:spacing w:val="-6"/>
        </w:rPr>
        <w:t xml:space="preserve"> </w:t>
      </w:r>
      <w:r>
        <w:t>inequitativa</w:t>
      </w:r>
      <w:r>
        <w:rPr>
          <w:spacing w:val="-7"/>
        </w:rPr>
        <w:t xml:space="preserve"> </w:t>
      </w:r>
      <w:r>
        <w:t>de</w:t>
      </w:r>
      <w:r>
        <w:rPr>
          <w:spacing w:val="-6"/>
        </w:rPr>
        <w:t xml:space="preserve"> </w:t>
      </w:r>
      <w:r>
        <w:t>la</w:t>
      </w:r>
      <w:r>
        <w:rPr>
          <w:spacing w:val="-7"/>
        </w:rPr>
        <w:t xml:space="preserve"> </w:t>
      </w:r>
      <w:r>
        <w:t>tierra</w:t>
      </w:r>
      <w:r>
        <w:rPr>
          <w:spacing w:val="-7"/>
        </w:rPr>
        <w:t xml:space="preserve"> </w:t>
      </w:r>
      <w:r>
        <w:t>y</w:t>
      </w:r>
      <w:r>
        <w:rPr>
          <w:spacing w:val="-7"/>
        </w:rPr>
        <w:t xml:space="preserve"> </w:t>
      </w:r>
      <w:r>
        <w:t>una</w:t>
      </w:r>
      <w:r>
        <w:rPr>
          <w:spacing w:val="-7"/>
        </w:rPr>
        <w:t xml:space="preserve"> </w:t>
      </w:r>
      <w:r>
        <w:t>lata</w:t>
      </w:r>
      <w:r>
        <w:rPr>
          <w:spacing w:val="-7"/>
        </w:rPr>
        <w:t xml:space="preserve"> </w:t>
      </w:r>
      <w:r>
        <w:t>informalidad</w:t>
      </w:r>
      <w:r>
        <w:rPr>
          <w:spacing w:val="-7"/>
        </w:rPr>
        <w:t xml:space="preserve"> </w:t>
      </w:r>
      <w:r>
        <w:t>de los</w:t>
      </w:r>
      <w:r>
        <w:rPr>
          <w:spacing w:val="-15"/>
        </w:rPr>
        <w:t xml:space="preserve"> </w:t>
      </w:r>
      <w:r>
        <w:t>derechos</w:t>
      </w:r>
      <w:r>
        <w:rPr>
          <w:spacing w:val="-15"/>
        </w:rPr>
        <w:t xml:space="preserve"> </w:t>
      </w:r>
      <w:r>
        <w:t>de</w:t>
      </w:r>
      <w:r>
        <w:rPr>
          <w:spacing w:val="-12"/>
        </w:rPr>
        <w:t xml:space="preserve"> </w:t>
      </w:r>
      <w:r>
        <w:t>propiedad</w:t>
      </w:r>
      <w:r>
        <w:rPr>
          <w:spacing w:val="-14"/>
        </w:rPr>
        <w:t xml:space="preserve"> </w:t>
      </w:r>
      <w:r>
        <w:t>de</w:t>
      </w:r>
      <w:r>
        <w:rPr>
          <w:spacing w:val="-12"/>
        </w:rPr>
        <w:t xml:space="preserve"> </w:t>
      </w:r>
      <w:r>
        <w:t>los</w:t>
      </w:r>
      <w:r>
        <w:rPr>
          <w:spacing w:val="-15"/>
        </w:rPr>
        <w:t xml:space="preserve"> </w:t>
      </w:r>
      <w:r>
        <w:t>pequeños</w:t>
      </w:r>
      <w:r>
        <w:rPr>
          <w:spacing w:val="-15"/>
        </w:rPr>
        <w:t xml:space="preserve"> </w:t>
      </w:r>
      <w:r>
        <w:t>productores,</w:t>
      </w:r>
      <w:r>
        <w:rPr>
          <w:spacing w:val="-14"/>
        </w:rPr>
        <w:t xml:space="preserve"> </w:t>
      </w:r>
      <w:r>
        <w:t>lo</w:t>
      </w:r>
      <w:r>
        <w:rPr>
          <w:spacing w:val="-12"/>
        </w:rPr>
        <w:t xml:space="preserve"> </w:t>
      </w:r>
      <w:r>
        <w:t>que</w:t>
      </w:r>
      <w:r>
        <w:rPr>
          <w:spacing w:val="-14"/>
        </w:rPr>
        <w:t xml:space="preserve"> </w:t>
      </w:r>
      <w:r>
        <w:t>ha</w:t>
      </w:r>
      <w:r>
        <w:rPr>
          <w:spacing w:val="-13"/>
        </w:rPr>
        <w:t xml:space="preserve"> </w:t>
      </w:r>
      <w:r>
        <w:t>derivado en el uso ineficiente de la tierra, privilegiando la ganadería extensiva y debilitando los mercados rurales (</w:t>
      </w:r>
      <w:proofErr w:type="spellStart"/>
      <w:r>
        <w:t>Gáfaro</w:t>
      </w:r>
      <w:proofErr w:type="spellEnd"/>
      <w:r>
        <w:t xml:space="preserve">, Ibáñez, &amp; </w:t>
      </w:r>
      <w:proofErr w:type="spellStart"/>
      <w:r>
        <w:t>Zarruk</w:t>
      </w:r>
      <w:proofErr w:type="spellEnd"/>
      <w:r>
        <w:t>, 2014)</w:t>
      </w:r>
      <w:hyperlink w:anchor="_bookmark121" w:history="1">
        <w:r w:rsidR="000E52B0">
          <w:rPr>
            <w:position w:val="8"/>
            <w:sz w:val="16"/>
          </w:rPr>
          <w:t>104</w:t>
        </w:r>
      </w:hyperlink>
      <w:r>
        <w:t>.</w:t>
      </w:r>
      <w:r>
        <w:rPr>
          <w:spacing w:val="40"/>
        </w:rPr>
        <w:t xml:space="preserve"> </w:t>
      </w:r>
      <w:r>
        <w:t xml:space="preserve">La concentración de la propiedad de la tierra crea élites de poder y genera </w:t>
      </w:r>
      <w:r w:rsidR="00A964A8">
        <w:t>distorsiones</w:t>
      </w:r>
      <w:r>
        <w:rPr>
          <w:spacing w:val="-9"/>
        </w:rPr>
        <w:t xml:space="preserve"> </w:t>
      </w:r>
      <w:r>
        <w:t>de</w:t>
      </w:r>
      <w:r>
        <w:rPr>
          <w:spacing w:val="-10"/>
        </w:rPr>
        <w:t xml:space="preserve"> </w:t>
      </w:r>
      <w:r>
        <w:t>política</w:t>
      </w:r>
      <w:r>
        <w:rPr>
          <w:spacing w:val="-9"/>
        </w:rPr>
        <w:t xml:space="preserve"> </w:t>
      </w:r>
      <w:r>
        <w:t>que</w:t>
      </w:r>
      <w:r>
        <w:rPr>
          <w:spacing w:val="-10"/>
        </w:rPr>
        <w:t xml:space="preserve"> </w:t>
      </w:r>
      <w:r>
        <w:t>retroalimentan</w:t>
      </w:r>
      <w:r>
        <w:rPr>
          <w:spacing w:val="-12"/>
        </w:rPr>
        <w:t xml:space="preserve"> </w:t>
      </w:r>
      <w:r>
        <w:t>las</w:t>
      </w:r>
      <w:r>
        <w:rPr>
          <w:spacing w:val="-11"/>
        </w:rPr>
        <w:t xml:space="preserve"> </w:t>
      </w:r>
      <w:r>
        <w:t>fallas</w:t>
      </w:r>
      <w:r>
        <w:rPr>
          <w:spacing w:val="-9"/>
        </w:rPr>
        <w:t xml:space="preserve"> </w:t>
      </w:r>
      <w:r>
        <w:t>de</w:t>
      </w:r>
      <w:r>
        <w:rPr>
          <w:spacing w:val="-8"/>
        </w:rPr>
        <w:t xml:space="preserve"> </w:t>
      </w:r>
      <w:r>
        <w:t>mercado</w:t>
      </w:r>
      <w:r>
        <w:rPr>
          <w:spacing w:val="-11"/>
        </w:rPr>
        <w:t xml:space="preserve"> </w:t>
      </w:r>
      <w:r>
        <w:t>y</w:t>
      </w:r>
      <w:r>
        <w:rPr>
          <w:spacing w:val="-9"/>
        </w:rPr>
        <w:t xml:space="preserve"> </w:t>
      </w:r>
      <w:r>
        <w:t>generan ineficiencias en la inversión pública, lo cual tiene consecuencias negativas sobre la productividad y el desarrollo económico (</w:t>
      </w:r>
      <w:proofErr w:type="spellStart"/>
      <w:r>
        <w:t>Vollrath</w:t>
      </w:r>
      <w:proofErr w:type="spellEnd"/>
      <w:r>
        <w:t>, 2007)</w:t>
      </w:r>
      <w:hyperlink w:anchor="_bookmark122" w:history="1">
        <w:r w:rsidR="000E52B0">
          <w:rPr>
            <w:position w:val="8"/>
            <w:sz w:val="16"/>
          </w:rPr>
          <w:t>105</w:t>
        </w:r>
      </w:hyperlink>
      <w:r>
        <w:t>. La desigualdad en la distribución de la tierra está relacionada con menores inversiones en capital humano y menor desarrollo industrial de los países (</w:t>
      </w:r>
      <w:proofErr w:type="spellStart"/>
      <w:r>
        <w:t>Galor</w:t>
      </w:r>
      <w:proofErr w:type="spellEnd"/>
      <w:r>
        <w:t xml:space="preserve"> &amp; </w:t>
      </w:r>
      <w:proofErr w:type="spellStart"/>
      <w:r>
        <w:t>Moav</w:t>
      </w:r>
      <w:proofErr w:type="spellEnd"/>
      <w:r>
        <w:t>, 2009).</w:t>
      </w:r>
      <w:hyperlink w:anchor="_bookmark123" w:history="1">
        <w:r w:rsidR="000E52B0">
          <w:rPr>
            <w:position w:val="8"/>
            <w:sz w:val="16"/>
          </w:rPr>
          <w:t>106</w:t>
        </w:r>
      </w:hyperlink>
    </w:p>
    <w:p w14:paraId="0FEEA56B" w14:textId="77777777" w:rsidR="000E52B0" w:rsidRDefault="00F60D74">
      <w:pPr>
        <w:spacing w:before="290"/>
        <w:ind w:left="720"/>
        <w:jc w:val="both"/>
        <w:rPr>
          <w:i/>
          <w:sz w:val="24"/>
        </w:rPr>
      </w:pPr>
      <w:bookmarkStart w:id="119" w:name="_bookmark119"/>
      <w:bookmarkEnd w:id="119"/>
      <w:r>
        <w:rPr>
          <w:i/>
          <w:color w:val="B3176C"/>
          <w:sz w:val="24"/>
        </w:rPr>
        <w:t>Corrupción</w:t>
      </w:r>
      <w:r>
        <w:rPr>
          <w:i/>
          <w:color w:val="B3176C"/>
          <w:spacing w:val="-6"/>
          <w:sz w:val="24"/>
        </w:rPr>
        <w:t xml:space="preserve"> </w:t>
      </w:r>
      <w:r>
        <w:rPr>
          <w:i/>
          <w:color w:val="B3176C"/>
          <w:sz w:val="24"/>
        </w:rPr>
        <w:t>del</w:t>
      </w:r>
      <w:r>
        <w:rPr>
          <w:i/>
          <w:color w:val="B3176C"/>
          <w:spacing w:val="-4"/>
          <w:sz w:val="24"/>
        </w:rPr>
        <w:t xml:space="preserve"> </w:t>
      </w:r>
      <w:r>
        <w:rPr>
          <w:i/>
          <w:color w:val="B3176C"/>
          <w:sz w:val="24"/>
        </w:rPr>
        <w:t>sistema</w:t>
      </w:r>
      <w:r>
        <w:rPr>
          <w:i/>
          <w:color w:val="B3176C"/>
          <w:spacing w:val="-2"/>
          <w:sz w:val="24"/>
        </w:rPr>
        <w:t xml:space="preserve"> </w:t>
      </w:r>
      <w:r>
        <w:rPr>
          <w:i/>
          <w:color w:val="B3176C"/>
          <w:sz w:val="24"/>
        </w:rPr>
        <w:t>político</w:t>
      </w:r>
      <w:r>
        <w:rPr>
          <w:i/>
          <w:color w:val="B3176C"/>
          <w:spacing w:val="-3"/>
          <w:sz w:val="24"/>
        </w:rPr>
        <w:t xml:space="preserve"> </w:t>
      </w:r>
      <w:r>
        <w:rPr>
          <w:i/>
          <w:color w:val="B3176C"/>
          <w:sz w:val="24"/>
        </w:rPr>
        <w:t>y</w:t>
      </w:r>
      <w:r>
        <w:rPr>
          <w:i/>
          <w:color w:val="B3176C"/>
          <w:spacing w:val="-1"/>
          <w:sz w:val="24"/>
        </w:rPr>
        <w:t xml:space="preserve"> </w:t>
      </w:r>
      <w:r>
        <w:rPr>
          <w:i/>
          <w:color w:val="B3176C"/>
          <w:sz w:val="24"/>
        </w:rPr>
        <w:t>eficiencia</w:t>
      </w:r>
      <w:r>
        <w:rPr>
          <w:i/>
          <w:color w:val="B3176C"/>
          <w:spacing w:val="-3"/>
          <w:sz w:val="24"/>
        </w:rPr>
        <w:t xml:space="preserve"> </w:t>
      </w:r>
      <w:r>
        <w:rPr>
          <w:i/>
          <w:color w:val="B3176C"/>
          <w:sz w:val="24"/>
        </w:rPr>
        <w:t>en</w:t>
      </w:r>
      <w:r>
        <w:rPr>
          <w:i/>
          <w:color w:val="B3176C"/>
          <w:spacing w:val="-3"/>
          <w:sz w:val="24"/>
        </w:rPr>
        <w:t xml:space="preserve"> </w:t>
      </w:r>
      <w:r>
        <w:rPr>
          <w:i/>
          <w:color w:val="B3176C"/>
          <w:sz w:val="24"/>
        </w:rPr>
        <w:t>el</w:t>
      </w:r>
      <w:r>
        <w:rPr>
          <w:i/>
          <w:color w:val="B3176C"/>
          <w:spacing w:val="-4"/>
          <w:sz w:val="24"/>
        </w:rPr>
        <w:t xml:space="preserve"> </w:t>
      </w:r>
      <w:r>
        <w:rPr>
          <w:i/>
          <w:color w:val="B3176C"/>
          <w:sz w:val="24"/>
        </w:rPr>
        <w:t>gasto</w:t>
      </w:r>
      <w:r>
        <w:rPr>
          <w:i/>
          <w:color w:val="B3176C"/>
          <w:spacing w:val="-2"/>
          <w:sz w:val="24"/>
        </w:rPr>
        <w:t xml:space="preserve"> público</w:t>
      </w:r>
    </w:p>
    <w:p w14:paraId="514CBDFB" w14:textId="77777777" w:rsidR="000E52B0" w:rsidRDefault="000E52B0">
      <w:pPr>
        <w:pStyle w:val="Textoindependiente"/>
        <w:spacing w:before="2"/>
        <w:ind w:left="0"/>
        <w:rPr>
          <w:i/>
        </w:rPr>
      </w:pPr>
    </w:p>
    <w:p w14:paraId="0821244C" w14:textId="77777777" w:rsidR="000E52B0" w:rsidRDefault="00F60D74">
      <w:pPr>
        <w:pStyle w:val="Textoindependiente"/>
        <w:ind w:right="716"/>
        <w:jc w:val="both"/>
      </w:pPr>
      <w:r>
        <w:t>Existe una aceptación creciente de que la desigualdad puede afectar la sociedad mediante sus instituciones políticas: una alta desigualdad puede llevar a la captura del Estado y las instituciones por una pequeña élite, cuyos</w:t>
      </w:r>
      <w:r>
        <w:rPr>
          <w:spacing w:val="-22"/>
        </w:rPr>
        <w:t xml:space="preserve"> </w:t>
      </w:r>
      <w:r>
        <w:t>intereses</w:t>
      </w:r>
      <w:r>
        <w:rPr>
          <w:spacing w:val="-21"/>
        </w:rPr>
        <w:t xml:space="preserve"> </w:t>
      </w:r>
      <w:r>
        <w:t>no</w:t>
      </w:r>
      <w:r>
        <w:rPr>
          <w:spacing w:val="-21"/>
        </w:rPr>
        <w:t xml:space="preserve"> </w:t>
      </w:r>
      <w:r>
        <w:t>están</w:t>
      </w:r>
      <w:r>
        <w:rPr>
          <w:spacing w:val="-21"/>
        </w:rPr>
        <w:t xml:space="preserve"> </w:t>
      </w:r>
      <w:r>
        <w:t>alineados</w:t>
      </w:r>
      <w:r>
        <w:rPr>
          <w:spacing w:val="-21"/>
        </w:rPr>
        <w:t xml:space="preserve"> </w:t>
      </w:r>
      <w:r>
        <w:t>con</w:t>
      </w:r>
      <w:r>
        <w:rPr>
          <w:spacing w:val="-21"/>
        </w:rPr>
        <w:t xml:space="preserve"> </w:t>
      </w:r>
      <w:r>
        <w:t>los</w:t>
      </w:r>
      <w:r>
        <w:rPr>
          <w:spacing w:val="-21"/>
        </w:rPr>
        <w:t xml:space="preserve"> </w:t>
      </w:r>
      <w:r>
        <w:t>de</w:t>
      </w:r>
      <w:r>
        <w:rPr>
          <w:spacing w:val="-21"/>
        </w:rPr>
        <w:t xml:space="preserve"> </w:t>
      </w:r>
      <w:r>
        <w:t>la</w:t>
      </w:r>
      <w:r>
        <w:rPr>
          <w:spacing w:val="-21"/>
        </w:rPr>
        <w:t xml:space="preserve"> </w:t>
      </w:r>
      <w:r>
        <w:t>mayoría</w:t>
      </w:r>
      <w:r>
        <w:rPr>
          <w:spacing w:val="-21"/>
        </w:rPr>
        <w:t xml:space="preserve"> </w:t>
      </w:r>
      <w:r>
        <w:t>y,</w:t>
      </w:r>
      <w:r>
        <w:rPr>
          <w:spacing w:val="-22"/>
        </w:rPr>
        <w:t xml:space="preserve"> </w:t>
      </w:r>
      <w:r>
        <w:t>por</w:t>
      </w:r>
      <w:r>
        <w:rPr>
          <w:spacing w:val="-21"/>
        </w:rPr>
        <w:t xml:space="preserve"> </w:t>
      </w:r>
      <w:r>
        <w:t>tanto,</w:t>
      </w:r>
      <w:r>
        <w:rPr>
          <w:spacing w:val="-21"/>
        </w:rPr>
        <w:t xml:space="preserve"> </w:t>
      </w:r>
      <w:r>
        <w:t>eligen políticas que no son óptimas desde el punto de vista de la sociedad (Ferreira, 2023)</w:t>
      </w:r>
      <w:hyperlink w:anchor="_bookmark124" w:history="1">
        <w:r w:rsidR="000E52B0">
          <w:rPr>
            <w:position w:val="8"/>
            <w:sz w:val="16"/>
          </w:rPr>
          <w:t>107</w:t>
        </w:r>
      </w:hyperlink>
      <w:r>
        <w:t>. Para el caso de Colombia, el análisis departamental muestra</w:t>
      </w:r>
      <w:r>
        <w:rPr>
          <w:spacing w:val="-13"/>
        </w:rPr>
        <w:t xml:space="preserve"> </w:t>
      </w:r>
      <w:r>
        <w:t>una</w:t>
      </w:r>
      <w:r>
        <w:rPr>
          <w:spacing w:val="-11"/>
        </w:rPr>
        <w:t xml:space="preserve"> </w:t>
      </w:r>
      <w:r>
        <w:t>correlación</w:t>
      </w:r>
      <w:r>
        <w:rPr>
          <w:spacing w:val="-14"/>
        </w:rPr>
        <w:t xml:space="preserve"> </w:t>
      </w:r>
      <w:r>
        <w:t>positiva</w:t>
      </w:r>
      <w:r>
        <w:rPr>
          <w:spacing w:val="-11"/>
        </w:rPr>
        <w:t xml:space="preserve"> </w:t>
      </w:r>
      <w:r>
        <w:t>entre</w:t>
      </w:r>
      <w:r>
        <w:rPr>
          <w:spacing w:val="-12"/>
        </w:rPr>
        <w:t xml:space="preserve"> </w:t>
      </w:r>
      <w:r>
        <w:t>la</w:t>
      </w:r>
      <w:r>
        <w:rPr>
          <w:spacing w:val="-14"/>
        </w:rPr>
        <w:t xml:space="preserve"> </w:t>
      </w:r>
      <w:r>
        <w:t>corrupción</w:t>
      </w:r>
      <w:r>
        <w:rPr>
          <w:spacing w:val="-14"/>
        </w:rPr>
        <w:t xml:space="preserve"> </w:t>
      </w:r>
      <w:r>
        <w:t>y</w:t>
      </w:r>
      <w:r>
        <w:rPr>
          <w:spacing w:val="-14"/>
        </w:rPr>
        <w:t xml:space="preserve"> </w:t>
      </w:r>
      <w:r>
        <w:t>el</w:t>
      </w:r>
      <w:r>
        <w:rPr>
          <w:spacing w:val="-15"/>
        </w:rPr>
        <w:t xml:space="preserve"> </w:t>
      </w:r>
      <w:r>
        <w:t>coeficiente</w:t>
      </w:r>
      <w:r>
        <w:rPr>
          <w:spacing w:val="-13"/>
        </w:rPr>
        <w:t xml:space="preserve"> </w:t>
      </w:r>
      <w:r>
        <w:t>de</w:t>
      </w:r>
      <w:r>
        <w:rPr>
          <w:spacing w:val="-13"/>
        </w:rPr>
        <w:t xml:space="preserve"> </w:t>
      </w:r>
      <w:r>
        <w:t>Gini de</w:t>
      </w:r>
      <w:r>
        <w:rPr>
          <w:spacing w:val="-10"/>
        </w:rPr>
        <w:t xml:space="preserve"> </w:t>
      </w:r>
      <w:r>
        <w:t>ingresos</w:t>
      </w:r>
      <w:hyperlink w:anchor="_bookmark125" w:history="1">
        <w:r w:rsidR="000E52B0">
          <w:rPr>
            <w:position w:val="8"/>
            <w:sz w:val="16"/>
          </w:rPr>
          <w:t>108</w:t>
        </w:r>
      </w:hyperlink>
      <w:r>
        <w:t>;</w:t>
      </w:r>
      <w:r>
        <w:rPr>
          <w:spacing w:val="-12"/>
        </w:rPr>
        <w:t xml:space="preserve"> </w:t>
      </w:r>
      <w:r>
        <w:t>también</w:t>
      </w:r>
      <w:r>
        <w:rPr>
          <w:spacing w:val="-12"/>
        </w:rPr>
        <w:t xml:space="preserve"> </w:t>
      </w:r>
      <w:r>
        <w:t>hay</w:t>
      </w:r>
      <w:r>
        <w:rPr>
          <w:spacing w:val="-12"/>
        </w:rPr>
        <w:t xml:space="preserve"> </w:t>
      </w:r>
      <w:r>
        <w:t>una</w:t>
      </w:r>
      <w:r>
        <w:rPr>
          <w:spacing w:val="-11"/>
        </w:rPr>
        <w:t xml:space="preserve"> </w:t>
      </w:r>
      <w:r>
        <w:t>correlación</w:t>
      </w:r>
      <w:r>
        <w:rPr>
          <w:spacing w:val="-12"/>
        </w:rPr>
        <w:t xml:space="preserve"> </w:t>
      </w:r>
      <w:r>
        <w:t>positiva</w:t>
      </w:r>
      <w:r>
        <w:rPr>
          <w:spacing w:val="-11"/>
        </w:rPr>
        <w:t xml:space="preserve"> </w:t>
      </w:r>
      <w:r>
        <w:t>entre</w:t>
      </w:r>
      <w:r>
        <w:rPr>
          <w:spacing w:val="-10"/>
        </w:rPr>
        <w:t xml:space="preserve"> </w:t>
      </w:r>
      <w:r>
        <w:t>el</w:t>
      </w:r>
      <w:r>
        <w:rPr>
          <w:spacing w:val="-12"/>
        </w:rPr>
        <w:t xml:space="preserve"> </w:t>
      </w:r>
      <w:r>
        <w:t>coeficiente</w:t>
      </w:r>
      <w:r>
        <w:rPr>
          <w:spacing w:val="-10"/>
        </w:rPr>
        <w:t xml:space="preserve"> </w:t>
      </w:r>
      <w:r>
        <w:t>de Gini, el desempleo, la informalidad y el PIB per cápita, mientras que la educación tiene un impacto positivo en reducir la desigualdad (Sáenz- Castro</w:t>
      </w:r>
      <w:r>
        <w:rPr>
          <w:spacing w:val="-12"/>
        </w:rPr>
        <w:t xml:space="preserve"> </w:t>
      </w:r>
      <w:r>
        <w:t>&amp;</w:t>
      </w:r>
      <w:r>
        <w:rPr>
          <w:spacing w:val="-13"/>
        </w:rPr>
        <w:t xml:space="preserve"> </w:t>
      </w:r>
      <w:r>
        <w:t>García-González,</w:t>
      </w:r>
      <w:r>
        <w:rPr>
          <w:spacing w:val="-14"/>
        </w:rPr>
        <w:t xml:space="preserve"> </w:t>
      </w:r>
      <w:r>
        <w:t>2019)</w:t>
      </w:r>
      <w:hyperlink w:anchor="_bookmark126" w:history="1">
        <w:r w:rsidR="000E52B0">
          <w:rPr>
            <w:position w:val="8"/>
            <w:sz w:val="16"/>
          </w:rPr>
          <w:t>109</w:t>
        </w:r>
      </w:hyperlink>
      <w:r>
        <w:t>.</w:t>
      </w:r>
      <w:r>
        <w:rPr>
          <w:spacing w:val="-14"/>
        </w:rPr>
        <w:t xml:space="preserve"> </w:t>
      </w:r>
      <w:r>
        <w:t>La</w:t>
      </w:r>
      <w:r>
        <w:rPr>
          <w:spacing w:val="-12"/>
        </w:rPr>
        <w:t xml:space="preserve"> </w:t>
      </w:r>
      <w:r>
        <w:t>desigualdad</w:t>
      </w:r>
      <w:r>
        <w:rPr>
          <w:spacing w:val="-12"/>
        </w:rPr>
        <w:t xml:space="preserve"> </w:t>
      </w:r>
      <w:r>
        <w:t>estimula</w:t>
      </w:r>
      <w:r>
        <w:rPr>
          <w:spacing w:val="-12"/>
        </w:rPr>
        <w:t xml:space="preserve"> </w:t>
      </w:r>
      <w:r>
        <w:t>la</w:t>
      </w:r>
      <w:r>
        <w:rPr>
          <w:spacing w:val="-14"/>
        </w:rPr>
        <w:t xml:space="preserve"> </w:t>
      </w:r>
      <w:r>
        <w:t>corrupción, ya que esta permite mantener el sistema político en las condiciones que permiten</w:t>
      </w:r>
      <w:r>
        <w:rPr>
          <w:spacing w:val="-9"/>
        </w:rPr>
        <w:t xml:space="preserve"> </w:t>
      </w:r>
      <w:r>
        <w:t>el</w:t>
      </w:r>
      <w:r>
        <w:rPr>
          <w:spacing w:val="-10"/>
        </w:rPr>
        <w:t xml:space="preserve"> </w:t>
      </w:r>
      <w:r>
        <w:t>favorecimiento</w:t>
      </w:r>
      <w:r>
        <w:rPr>
          <w:spacing w:val="-8"/>
        </w:rPr>
        <w:t xml:space="preserve"> </w:t>
      </w:r>
      <w:r>
        <w:t>de</w:t>
      </w:r>
      <w:r>
        <w:rPr>
          <w:spacing w:val="-8"/>
        </w:rPr>
        <w:t xml:space="preserve"> </w:t>
      </w:r>
      <w:r>
        <w:t>los</w:t>
      </w:r>
      <w:r>
        <w:rPr>
          <w:spacing w:val="-6"/>
        </w:rPr>
        <w:t xml:space="preserve"> </w:t>
      </w:r>
      <w:r>
        <w:t>grupos</w:t>
      </w:r>
      <w:r>
        <w:rPr>
          <w:spacing w:val="-9"/>
        </w:rPr>
        <w:t xml:space="preserve"> </w:t>
      </w:r>
      <w:r>
        <w:t>sociales</w:t>
      </w:r>
      <w:r>
        <w:rPr>
          <w:spacing w:val="-9"/>
        </w:rPr>
        <w:t xml:space="preserve"> </w:t>
      </w:r>
      <w:r>
        <w:t>privilegiados</w:t>
      </w:r>
      <w:r>
        <w:rPr>
          <w:spacing w:val="-9"/>
        </w:rPr>
        <w:t xml:space="preserve"> </w:t>
      </w:r>
      <w:r>
        <w:t>lo</w:t>
      </w:r>
      <w:r>
        <w:rPr>
          <w:spacing w:val="-8"/>
        </w:rPr>
        <w:t xml:space="preserve"> </w:t>
      </w:r>
      <w:r>
        <w:t>que,</w:t>
      </w:r>
      <w:r>
        <w:rPr>
          <w:spacing w:val="-10"/>
        </w:rPr>
        <w:t xml:space="preserve"> </w:t>
      </w:r>
      <w:r>
        <w:t>a</w:t>
      </w:r>
      <w:r>
        <w:rPr>
          <w:spacing w:val="-7"/>
        </w:rPr>
        <w:t xml:space="preserve"> </w:t>
      </w:r>
      <w:r>
        <w:t>su vez, no permite la inversión adecuada en servicios sociales de calidad que mejoren el acceso a oportunidades y que reduzcan la desigualdad.</w:t>
      </w:r>
    </w:p>
    <w:p w14:paraId="7A7A307A" w14:textId="77777777" w:rsidR="000E52B0" w:rsidRDefault="000E52B0">
      <w:pPr>
        <w:pStyle w:val="Textoindependiente"/>
        <w:ind w:left="0"/>
        <w:rPr>
          <w:sz w:val="20"/>
        </w:rPr>
      </w:pPr>
    </w:p>
    <w:p w14:paraId="3CA2B35A" w14:textId="77777777" w:rsidR="000E52B0" w:rsidRDefault="00F60D74">
      <w:pPr>
        <w:pStyle w:val="Textoindependiente"/>
        <w:spacing w:before="238"/>
        <w:ind w:left="0"/>
        <w:rPr>
          <w:sz w:val="20"/>
        </w:rPr>
      </w:pPr>
      <w:r>
        <w:rPr>
          <w:noProof/>
          <w:sz w:val="20"/>
        </w:rPr>
        <mc:AlternateContent>
          <mc:Choice Requires="wps">
            <w:drawing>
              <wp:anchor distT="0" distB="0" distL="0" distR="0" simplePos="0" relativeHeight="487668224" behindDoc="1" locked="0" layoutInCell="1" allowOverlap="1" wp14:anchorId="7413BAE1" wp14:editId="33F53EA1">
                <wp:simplePos x="0" y="0"/>
                <wp:positionH relativeFrom="page">
                  <wp:posOffset>914704</wp:posOffset>
                </wp:positionH>
                <wp:positionV relativeFrom="paragraph">
                  <wp:posOffset>320942</wp:posOffset>
                </wp:positionV>
                <wp:extent cx="1829435" cy="7620"/>
                <wp:effectExtent l="0" t="0" r="0" b="0"/>
                <wp:wrapTopAndBottom/>
                <wp:docPr id="742" name="Graphic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07555A" id="Graphic 742" o:spid="_x0000_s1026" style="position:absolute;margin-left:1in;margin-top:25.25pt;width:144.05pt;height:.6pt;z-index:-156482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" path="m1829054,l,,,7620r1829054,l1829054,xe" fillcolor="black" stroked="f">
                <v:path arrowok="t"/>
                <w10:wrap type="topAndBottom" anchorx="page"/>
              </v:shape>
            </w:pict>
          </mc:Fallback>
        </mc:AlternateContent>
      </w:r>
    </w:p>
    <w:p w14:paraId="48C7676D" w14:textId="77777777" w:rsidR="000E52B0" w:rsidRPr="00203383" w:rsidRDefault="00F60D74">
      <w:pPr>
        <w:spacing w:before="96" w:line="209" w:lineRule="exact"/>
        <w:ind w:left="720"/>
        <w:jc w:val="both"/>
        <w:rPr>
          <w:rFonts w:ascii="Arial MT"/>
          <w:sz w:val="18"/>
          <w:lang w:val="pt-PT"/>
        </w:rPr>
      </w:pPr>
      <w:bookmarkStart w:id="120" w:name="_bookmark120"/>
      <w:bookmarkEnd w:id="120"/>
      <w:r>
        <w:rPr>
          <w:rFonts w:ascii="Arial MT"/>
          <w:position w:val="6"/>
          <w:sz w:val="12"/>
        </w:rPr>
        <w:t>103</w:t>
      </w:r>
      <w:r>
        <w:rPr>
          <w:rFonts w:ascii="Arial MT"/>
          <w:spacing w:val="12"/>
          <w:position w:val="6"/>
          <w:sz w:val="12"/>
        </w:rPr>
        <w:t xml:space="preserve"> </w:t>
      </w:r>
      <w:proofErr w:type="spellStart"/>
      <w:r>
        <w:rPr>
          <w:rFonts w:ascii="Arial MT"/>
          <w:sz w:val="18"/>
        </w:rPr>
        <w:t>Woerz</w:t>
      </w:r>
      <w:proofErr w:type="spellEnd"/>
      <w:r>
        <w:rPr>
          <w:rFonts w:ascii="Arial MT"/>
          <w:sz w:val="18"/>
        </w:rPr>
        <w:t>,</w:t>
      </w:r>
      <w:r>
        <w:rPr>
          <w:rFonts w:ascii="Arial MT"/>
          <w:spacing w:val="-4"/>
          <w:sz w:val="18"/>
        </w:rPr>
        <w:t xml:space="preserve"> </w:t>
      </w:r>
      <w:r>
        <w:rPr>
          <w:rFonts w:ascii="Arial MT"/>
          <w:sz w:val="18"/>
        </w:rPr>
        <w:t>J.</w:t>
      </w:r>
      <w:r>
        <w:rPr>
          <w:rFonts w:ascii="Arial MT"/>
          <w:spacing w:val="-6"/>
          <w:sz w:val="18"/>
        </w:rPr>
        <w:t xml:space="preserve"> </w:t>
      </w:r>
      <w:r>
        <w:rPr>
          <w:rFonts w:ascii="Arial MT"/>
          <w:sz w:val="18"/>
        </w:rPr>
        <w:t>(2023).</w:t>
      </w:r>
      <w:r>
        <w:rPr>
          <w:rFonts w:ascii="Arial MT"/>
          <w:spacing w:val="-5"/>
          <w:sz w:val="18"/>
        </w:rPr>
        <w:t xml:space="preserve"> </w:t>
      </w:r>
      <w:proofErr w:type="spellStart"/>
      <w:r>
        <w:rPr>
          <w:rFonts w:ascii="Arial MT"/>
          <w:sz w:val="18"/>
        </w:rPr>
        <w:t>Inequality</w:t>
      </w:r>
      <w:proofErr w:type="spellEnd"/>
      <w:r>
        <w:rPr>
          <w:rFonts w:ascii="Arial MT"/>
          <w:spacing w:val="-3"/>
          <w:sz w:val="18"/>
        </w:rPr>
        <w:t xml:space="preserve"> </w:t>
      </w:r>
      <w:proofErr w:type="spellStart"/>
      <w:r>
        <w:rPr>
          <w:rFonts w:ascii="Arial MT"/>
          <w:sz w:val="18"/>
        </w:rPr>
        <w:t>diagnostic</w:t>
      </w:r>
      <w:proofErr w:type="spellEnd"/>
      <w:r>
        <w:rPr>
          <w:rFonts w:ascii="Arial MT"/>
          <w:spacing w:val="-4"/>
          <w:sz w:val="18"/>
        </w:rPr>
        <w:t xml:space="preserve"> </w:t>
      </w:r>
      <w:r>
        <w:rPr>
          <w:rFonts w:ascii="Arial MT"/>
          <w:sz w:val="18"/>
        </w:rPr>
        <w:t>Colombia.</w:t>
      </w:r>
      <w:r>
        <w:rPr>
          <w:rFonts w:ascii="Arial MT"/>
          <w:spacing w:val="-4"/>
          <w:sz w:val="18"/>
        </w:rPr>
        <w:t xml:space="preserve"> </w:t>
      </w:r>
      <w:r w:rsidRPr="00203383">
        <w:rPr>
          <w:rFonts w:ascii="Arial MT"/>
          <w:sz w:val="18"/>
          <w:lang w:val="pt-PT"/>
        </w:rPr>
        <w:t>Documento</w:t>
      </w:r>
      <w:r w:rsidRPr="00203383">
        <w:rPr>
          <w:rFonts w:ascii="Arial MT"/>
          <w:spacing w:val="-4"/>
          <w:sz w:val="18"/>
          <w:lang w:val="pt-PT"/>
        </w:rPr>
        <w:t xml:space="preserve"> </w:t>
      </w:r>
      <w:r w:rsidRPr="00203383">
        <w:rPr>
          <w:rFonts w:ascii="Arial MT"/>
          <w:sz w:val="18"/>
          <w:lang w:val="pt-PT"/>
        </w:rPr>
        <w:t>interno</w:t>
      </w:r>
      <w:r w:rsidRPr="00203383">
        <w:rPr>
          <w:rFonts w:ascii="Arial MT"/>
          <w:spacing w:val="-5"/>
          <w:sz w:val="18"/>
          <w:lang w:val="pt-PT"/>
        </w:rPr>
        <w:t xml:space="preserve"> </w:t>
      </w:r>
      <w:r w:rsidRPr="00203383">
        <w:rPr>
          <w:rFonts w:ascii="Arial MT"/>
          <w:spacing w:val="-4"/>
          <w:sz w:val="18"/>
          <w:lang w:val="pt-PT"/>
        </w:rPr>
        <w:t>GIZ.</w:t>
      </w:r>
    </w:p>
    <w:p w14:paraId="24D7915F" w14:textId="77777777" w:rsidR="000E52B0" w:rsidRDefault="00F60D74">
      <w:pPr>
        <w:ind w:left="720" w:right="714"/>
        <w:jc w:val="both"/>
        <w:rPr>
          <w:rFonts w:ascii="Arial MT" w:hAnsi="Arial MT"/>
          <w:sz w:val="18"/>
        </w:rPr>
      </w:pPr>
      <w:bookmarkStart w:id="121" w:name="_bookmark121"/>
      <w:bookmarkEnd w:id="121"/>
      <w:r w:rsidRPr="00203383">
        <w:rPr>
          <w:rFonts w:ascii="Arial MT" w:hAnsi="Arial MT"/>
          <w:position w:val="6"/>
          <w:sz w:val="12"/>
          <w:lang w:val="pt-PT"/>
        </w:rPr>
        <w:t>104</w:t>
      </w:r>
      <w:r w:rsidRPr="00203383">
        <w:rPr>
          <w:rFonts w:ascii="Arial MT" w:hAnsi="Arial MT"/>
          <w:spacing w:val="17"/>
          <w:position w:val="6"/>
          <w:sz w:val="12"/>
          <w:lang w:val="pt-PT"/>
        </w:rPr>
        <w:t xml:space="preserve"> </w:t>
      </w:r>
      <w:r w:rsidRPr="00203383">
        <w:rPr>
          <w:rFonts w:ascii="Arial MT" w:hAnsi="Arial MT"/>
          <w:sz w:val="18"/>
          <w:lang w:val="pt-PT"/>
        </w:rPr>
        <w:t>Gáfaro,</w:t>
      </w:r>
      <w:r w:rsidRPr="00203383">
        <w:rPr>
          <w:rFonts w:ascii="Arial MT" w:hAnsi="Arial MT"/>
          <w:spacing w:val="-2"/>
          <w:sz w:val="18"/>
          <w:lang w:val="pt-PT"/>
        </w:rPr>
        <w:t xml:space="preserve"> </w:t>
      </w:r>
      <w:r w:rsidRPr="00203383">
        <w:rPr>
          <w:rFonts w:ascii="Arial MT" w:hAnsi="Arial MT"/>
          <w:sz w:val="18"/>
          <w:lang w:val="pt-PT"/>
        </w:rPr>
        <w:t xml:space="preserve">M., Ibáñez, A., &amp; Zarruk, D. (2014). </w:t>
      </w:r>
      <w:r>
        <w:rPr>
          <w:rFonts w:ascii="Arial MT" w:hAnsi="Arial MT"/>
          <w:sz w:val="18"/>
        </w:rPr>
        <w:t>Equidad y eficiencia</w:t>
      </w:r>
      <w:r>
        <w:rPr>
          <w:rFonts w:ascii="Arial MT" w:hAnsi="Arial MT"/>
          <w:spacing w:val="-2"/>
          <w:sz w:val="18"/>
        </w:rPr>
        <w:t xml:space="preserve"> </w:t>
      </w:r>
      <w:r>
        <w:rPr>
          <w:rFonts w:ascii="Arial MT" w:hAnsi="Arial MT"/>
          <w:sz w:val="18"/>
        </w:rPr>
        <w:t>rural en</w:t>
      </w:r>
      <w:r>
        <w:rPr>
          <w:rFonts w:ascii="Arial MT" w:hAnsi="Arial MT"/>
          <w:spacing w:val="-2"/>
          <w:sz w:val="18"/>
        </w:rPr>
        <w:t xml:space="preserve"> </w:t>
      </w:r>
      <w:r>
        <w:rPr>
          <w:rFonts w:ascii="Arial MT" w:hAnsi="Arial MT"/>
          <w:sz w:val="18"/>
        </w:rPr>
        <w:t>Colombia: una discusión de</w:t>
      </w:r>
      <w:r>
        <w:rPr>
          <w:rFonts w:ascii="Arial MT" w:hAnsi="Arial MT"/>
          <w:spacing w:val="-2"/>
          <w:sz w:val="18"/>
        </w:rPr>
        <w:t xml:space="preserve"> </w:t>
      </w:r>
      <w:r>
        <w:rPr>
          <w:rFonts w:ascii="Arial MT" w:hAnsi="Arial MT"/>
          <w:sz w:val="18"/>
        </w:rPr>
        <w:t>políticas para el acceso a la tierra. En A. Montenegro, &amp; M. Meléndez, Equidad y movilidad social. Diagnósticos y propuestas</w:t>
      </w:r>
      <w:r>
        <w:rPr>
          <w:rFonts w:ascii="Arial MT" w:hAnsi="Arial MT"/>
          <w:spacing w:val="-6"/>
          <w:sz w:val="18"/>
        </w:rPr>
        <w:t xml:space="preserve"> </w:t>
      </w:r>
      <w:r>
        <w:rPr>
          <w:rFonts w:ascii="Arial MT" w:hAnsi="Arial MT"/>
          <w:sz w:val="18"/>
        </w:rPr>
        <w:t>para</w:t>
      </w:r>
      <w:r>
        <w:rPr>
          <w:rFonts w:ascii="Arial MT" w:hAnsi="Arial MT"/>
          <w:spacing w:val="-9"/>
          <w:sz w:val="18"/>
        </w:rPr>
        <w:t xml:space="preserve"> </w:t>
      </w:r>
      <w:r>
        <w:rPr>
          <w:rFonts w:ascii="Arial MT" w:hAnsi="Arial MT"/>
          <w:sz w:val="18"/>
        </w:rPr>
        <w:t>la</w:t>
      </w:r>
      <w:r>
        <w:rPr>
          <w:rFonts w:ascii="Arial MT" w:hAnsi="Arial MT"/>
          <w:spacing w:val="-6"/>
          <w:sz w:val="18"/>
        </w:rPr>
        <w:t xml:space="preserve"> </w:t>
      </w:r>
      <w:r>
        <w:rPr>
          <w:rFonts w:ascii="Arial MT" w:hAnsi="Arial MT"/>
          <w:sz w:val="18"/>
        </w:rPr>
        <w:t>transformación</w:t>
      </w:r>
      <w:r>
        <w:rPr>
          <w:rFonts w:ascii="Arial MT" w:hAnsi="Arial MT"/>
          <w:spacing w:val="-9"/>
          <w:sz w:val="18"/>
        </w:rPr>
        <w:t xml:space="preserve"> </w:t>
      </w:r>
      <w:r>
        <w:rPr>
          <w:rFonts w:ascii="Arial MT" w:hAnsi="Arial MT"/>
          <w:sz w:val="18"/>
        </w:rPr>
        <w:t>de</w:t>
      </w:r>
      <w:r>
        <w:rPr>
          <w:rFonts w:ascii="Arial MT" w:hAnsi="Arial MT"/>
          <w:spacing w:val="-9"/>
          <w:sz w:val="18"/>
        </w:rPr>
        <w:t xml:space="preserve"> </w:t>
      </w:r>
      <w:r>
        <w:rPr>
          <w:rFonts w:ascii="Arial MT" w:hAnsi="Arial MT"/>
          <w:sz w:val="18"/>
        </w:rPr>
        <w:t>la</w:t>
      </w:r>
      <w:r>
        <w:rPr>
          <w:rFonts w:ascii="Arial MT" w:hAnsi="Arial MT"/>
          <w:spacing w:val="-9"/>
          <w:sz w:val="18"/>
        </w:rPr>
        <w:t xml:space="preserve"> </w:t>
      </w:r>
      <w:r>
        <w:rPr>
          <w:rFonts w:ascii="Arial MT" w:hAnsi="Arial MT"/>
          <w:sz w:val="18"/>
        </w:rPr>
        <w:t>sociedad</w:t>
      </w:r>
      <w:r>
        <w:rPr>
          <w:rFonts w:ascii="Arial MT" w:hAnsi="Arial MT"/>
          <w:spacing w:val="-9"/>
          <w:sz w:val="18"/>
        </w:rPr>
        <w:t xml:space="preserve"> </w:t>
      </w:r>
      <w:r>
        <w:rPr>
          <w:rFonts w:ascii="Arial MT" w:hAnsi="Arial MT"/>
          <w:sz w:val="18"/>
        </w:rPr>
        <w:t>colombiana</w:t>
      </w:r>
      <w:r>
        <w:rPr>
          <w:rFonts w:ascii="Arial MT" w:hAnsi="Arial MT"/>
          <w:spacing w:val="-6"/>
          <w:sz w:val="18"/>
        </w:rPr>
        <w:t xml:space="preserve"> </w:t>
      </w:r>
      <w:r>
        <w:rPr>
          <w:rFonts w:ascii="Arial MT" w:hAnsi="Arial MT"/>
          <w:sz w:val="18"/>
        </w:rPr>
        <w:t>(págs.</w:t>
      </w:r>
      <w:r>
        <w:rPr>
          <w:rFonts w:ascii="Arial MT" w:hAnsi="Arial MT"/>
          <w:spacing w:val="-9"/>
          <w:sz w:val="18"/>
        </w:rPr>
        <w:t xml:space="preserve"> </w:t>
      </w:r>
      <w:r>
        <w:rPr>
          <w:rFonts w:ascii="Arial MT" w:hAnsi="Arial MT"/>
          <w:sz w:val="18"/>
        </w:rPr>
        <w:t>769-858).</w:t>
      </w:r>
      <w:r>
        <w:rPr>
          <w:rFonts w:ascii="Arial MT" w:hAnsi="Arial MT"/>
          <w:spacing w:val="-6"/>
          <w:sz w:val="18"/>
        </w:rPr>
        <w:t xml:space="preserve"> </w:t>
      </w:r>
      <w:r>
        <w:rPr>
          <w:rFonts w:ascii="Arial MT" w:hAnsi="Arial MT"/>
          <w:sz w:val="18"/>
        </w:rPr>
        <w:t>Bogotá:</w:t>
      </w:r>
      <w:r>
        <w:rPr>
          <w:rFonts w:ascii="Arial MT" w:hAnsi="Arial MT"/>
          <w:spacing w:val="-7"/>
          <w:sz w:val="18"/>
        </w:rPr>
        <w:t xml:space="preserve"> </w:t>
      </w:r>
      <w:r>
        <w:rPr>
          <w:rFonts w:ascii="Arial MT" w:hAnsi="Arial MT"/>
          <w:sz w:val="18"/>
        </w:rPr>
        <w:t>Universidad</w:t>
      </w:r>
      <w:r>
        <w:rPr>
          <w:rFonts w:ascii="Arial MT" w:hAnsi="Arial MT"/>
          <w:spacing w:val="-9"/>
          <w:sz w:val="18"/>
        </w:rPr>
        <w:t xml:space="preserve"> </w:t>
      </w:r>
      <w:r>
        <w:rPr>
          <w:rFonts w:ascii="Arial MT" w:hAnsi="Arial MT"/>
          <w:sz w:val="18"/>
        </w:rPr>
        <w:t>de</w:t>
      </w:r>
      <w:r>
        <w:rPr>
          <w:rFonts w:ascii="Arial MT" w:hAnsi="Arial MT"/>
          <w:spacing w:val="-9"/>
          <w:sz w:val="18"/>
        </w:rPr>
        <w:t xml:space="preserve"> </w:t>
      </w:r>
      <w:r>
        <w:rPr>
          <w:rFonts w:ascii="Arial MT" w:hAnsi="Arial MT"/>
          <w:sz w:val="18"/>
        </w:rPr>
        <w:t>los</w:t>
      </w:r>
      <w:r>
        <w:rPr>
          <w:rFonts w:ascii="Arial MT" w:hAnsi="Arial MT"/>
          <w:spacing w:val="-6"/>
          <w:sz w:val="18"/>
        </w:rPr>
        <w:t xml:space="preserve"> </w:t>
      </w:r>
      <w:r>
        <w:rPr>
          <w:rFonts w:ascii="Arial MT" w:hAnsi="Arial MT"/>
          <w:sz w:val="18"/>
        </w:rPr>
        <w:t>Andes, Facultad de Economía, CEDE, Ediciones Uniandes: Departamento Nacional de Planeación DNP.</w:t>
      </w:r>
    </w:p>
    <w:p w14:paraId="7CF0BC01" w14:textId="77777777" w:rsidR="000E52B0" w:rsidRDefault="00F60D74">
      <w:pPr>
        <w:ind w:left="720" w:right="724"/>
        <w:jc w:val="both"/>
        <w:rPr>
          <w:rFonts w:ascii="Arial MT"/>
          <w:sz w:val="18"/>
        </w:rPr>
      </w:pPr>
      <w:bookmarkStart w:id="122" w:name="_bookmark122"/>
      <w:bookmarkEnd w:id="122"/>
      <w:r>
        <w:rPr>
          <w:rFonts w:ascii="Arial MT"/>
          <w:position w:val="6"/>
          <w:sz w:val="12"/>
        </w:rPr>
        <w:t>105</w:t>
      </w:r>
      <w:r>
        <w:rPr>
          <w:rFonts w:ascii="Arial MT"/>
          <w:spacing w:val="12"/>
          <w:position w:val="6"/>
          <w:sz w:val="12"/>
        </w:rPr>
        <w:t xml:space="preserve"> </w:t>
      </w:r>
      <w:proofErr w:type="spellStart"/>
      <w:r>
        <w:rPr>
          <w:rFonts w:ascii="Arial MT"/>
          <w:sz w:val="18"/>
        </w:rPr>
        <w:t>Vollrath</w:t>
      </w:r>
      <w:proofErr w:type="spellEnd"/>
      <w:r>
        <w:rPr>
          <w:rFonts w:ascii="Arial MT"/>
          <w:sz w:val="18"/>
        </w:rPr>
        <w:t>,</w:t>
      </w:r>
      <w:r>
        <w:rPr>
          <w:rFonts w:ascii="Arial MT"/>
          <w:spacing w:val="-5"/>
          <w:sz w:val="18"/>
        </w:rPr>
        <w:t xml:space="preserve"> </w:t>
      </w:r>
      <w:r>
        <w:rPr>
          <w:rFonts w:ascii="Arial MT"/>
          <w:sz w:val="18"/>
        </w:rPr>
        <w:t>D.</w:t>
      </w:r>
      <w:r>
        <w:rPr>
          <w:rFonts w:ascii="Arial MT"/>
          <w:spacing w:val="-5"/>
          <w:sz w:val="18"/>
        </w:rPr>
        <w:t xml:space="preserve"> </w:t>
      </w:r>
      <w:r>
        <w:rPr>
          <w:rFonts w:ascii="Arial MT"/>
          <w:sz w:val="18"/>
        </w:rPr>
        <w:t>(2007).</w:t>
      </w:r>
      <w:r>
        <w:rPr>
          <w:rFonts w:ascii="Arial MT"/>
          <w:spacing w:val="-7"/>
          <w:sz w:val="18"/>
        </w:rPr>
        <w:t xml:space="preserve"> </w:t>
      </w:r>
      <w:proofErr w:type="spellStart"/>
      <w:r>
        <w:rPr>
          <w:rFonts w:ascii="Arial MT"/>
          <w:sz w:val="18"/>
        </w:rPr>
        <w:t>Land</w:t>
      </w:r>
      <w:proofErr w:type="spellEnd"/>
      <w:r>
        <w:rPr>
          <w:rFonts w:ascii="Arial MT"/>
          <w:spacing w:val="-5"/>
          <w:sz w:val="18"/>
        </w:rPr>
        <w:t xml:space="preserve"> </w:t>
      </w:r>
      <w:proofErr w:type="spellStart"/>
      <w:r>
        <w:rPr>
          <w:rFonts w:ascii="Arial MT"/>
          <w:sz w:val="18"/>
        </w:rPr>
        <w:t>distribution</w:t>
      </w:r>
      <w:proofErr w:type="spellEnd"/>
      <w:r>
        <w:rPr>
          <w:rFonts w:ascii="Arial MT"/>
          <w:spacing w:val="-5"/>
          <w:sz w:val="18"/>
        </w:rPr>
        <w:t xml:space="preserve"> </w:t>
      </w:r>
      <w:r>
        <w:rPr>
          <w:rFonts w:ascii="Arial MT"/>
          <w:sz w:val="18"/>
        </w:rPr>
        <w:t>and</w:t>
      </w:r>
      <w:r>
        <w:rPr>
          <w:rFonts w:ascii="Arial MT"/>
          <w:spacing w:val="-5"/>
          <w:sz w:val="18"/>
        </w:rPr>
        <w:t xml:space="preserve"> </w:t>
      </w:r>
      <w:proofErr w:type="spellStart"/>
      <w:r>
        <w:rPr>
          <w:rFonts w:ascii="Arial MT"/>
          <w:sz w:val="18"/>
        </w:rPr>
        <w:t>international</w:t>
      </w:r>
      <w:proofErr w:type="spellEnd"/>
      <w:r>
        <w:rPr>
          <w:rFonts w:ascii="Arial MT"/>
          <w:spacing w:val="-5"/>
          <w:sz w:val="18"/>
        </w:rPr>
        <w:t xml:space="preserve"> </w:t>
      </w:r>
      <w:proofErr w:type="spellStart"/>
      <w:r>
        <w:rPr>
          <w:rFonts w:ascii="Arial MT"/>
          <w:sz w:val="18"/>
        </w:rPr>
        <w:t>agricultural</w:t>
      </w:r>
      <w:proofErr w:type="spellEnd"/>
      <w:r>
        <w:rPr>
          <w:rFonts w:ascii="Arial MT"/>
          <w:spacing w:val="-5"/>
          <w:sz w:val="18"/>
        </w:rPr>
        <w:t xml:space="preserve"> </w:t>
      </w:r>
      <w:proofErr w:type="spellStart"/>
      <w:r>
        <w:rPr>
          <w:rFonts w:ascii="Arial MT"/>
          <w:sz w:val="18"/>
        </w:rPr>
        <w:t>productivity</w:t>
      </w:r>
      <w:proofErr w:type="spellEnd"/>
      <w:r>
        <w:rPr>
          <w:rFonts w:ascii="Arial MT"/>
          <w:sz w:val="18"/>
        </w:rPr>
        <w:t>.</w:t>
      </w:r>
      <w:r>
        <w:rPr>
          <w:rFonts w:ascii="Arial MT"/>
          <w:spacing w:val="-5"/>
          <w:sz w:val="18"/>
        </w:rPr>
        <w:t xml:space="preserve"> </w:t>
      </w:r>
      <w:r>
        <w:rPr>
          <w:rFonts w:ascii="Arial MT"/>
          <w:sz w:val="18"/>
        </w:rPr>
        <w:t>American</w:t>
      </w:r>
      <w:r>
        <w:rPr>
          <w:rFonts w:ascii="Arial MT"/>
          <w:spacing w:val="-7"/>
          <w:sz w:val="18"/>
        </w:rPr>
        <w:t xml:space="preserve"> </w:t>
      </w:r>
      <w:proofErr w:type="spellStart"/>
      <w:r>
        <w:rPr>
          <w:rFonts w:ascii="Arial MT"/>
          <w:sz w:val="18"/>
        </w:rPr>
        <w:t>Journal</w:t>
      </w:r>
      <w:proofErr w:type="spellEnd"/>
      <w:r>
        <w:rPr>
          <w:rFonts w:ascii="Arial MT"/>
          <w:spacing w:val="-7"/>
          <w:sz w:val="18"/>
        </w:rPr>
        <w:t xml:space="preserve"> </w:t>
      </w:r>
      <w:proofErr w:type="spellStart"/>
      <w:r>
        <w:rPr>
          <w:rFonts w:ascii="Arial MT"/>
          <w:sz w:val="18"/>
        </w:rPr>
        <w:t>of</w:t>
      </w:r>
      <w:proofErr w:type="spellEnd"/>
      <w:r>
        <w:rPr>
          <w:rFonts w:ascii="Arial MT"/>
          <w:spacing w:val="-5"/>
          <w:sz w:val="18"/>
        </w:rPr>
        <w:t xml:space="preserve"> </w:t>
      </w:r>
      <w:proofErr w:type="spellStart"/>
      <w:r>
        <w:rPr>
          <w:rFonts w:ascii="Arial MT"/>
          <w:sz w:val="18"/>
        </w:rPr>
        <w:t>Agricultural</w:t>
      </w:r>
      <w:proofErr w:type="spellEnd"/>
      <w:r>
        <w:rPr>
          <w:rFonts w:ascii="Arial MT"/>
          <w:sz w:val="18"/>
        </w:rPr>
        <w:t xml:space="preserve"> </w:t>
      </w:r>
      <w:proofErr w:type="spellStart"/>
      <w:r>
        <w:rPr>
          <w:rFonts w:ascii="Arial MT"/>
          <w:sz w:val="18"/>
        </w:rPr>
        <w:t>Economics</w:t>
      </w:r>
      <w:proofErr w:type="spellEnd"/>
      <w:r>
        <w:rPr>
          <w:rFonts w:ascii="Arial MT"/>
          <w:sz w:val="18"/>
        </w:rPr>
        <w:t xml:space="preserve"> 89(1), 202-216.</w:t>
      </w:r>
    </w:p>
    <w:p w14:paraId="3A69720B" w14:textId="77777777" w:rsidR="000E52B0" w:rsidRPr="00203383" w:rsidRDefault="00F60D74">
      <w:pPr>
        <w:spacing w:line="242" w:lineRule="auto"/>
        <w:ind w:left="720" w:right="716"/>
        <w:jc w:val="both"/>
        <w:rPr>
          <w:rFonts w:ascii="Arial MT"/>
          <w:sz w:val="18"/>
          <w:lang w:val="pt-PT"/>
        </w:rPr>
      </w:pPr>
      <w:bookmarkStart w:id="123" w:name="_bookmark123"/>
      <w:bookmarkEnd w:id="123"/>
      <w:r>
        <w:rPr>
          <w:rFonts w:ascii="Arial MT"/>
          <w:position w:val="6"/>
          <w:sz w:val="12"/>
        </w:rPr>
        <w:t>106</w:t>
      </w:r>
      <w:r>
        <w:rPr>
          <w:rFonts w:ascii="Arial MT"/>
          <w:spacing w:val="40"/>
          <w:position w:val="6"/>
          <w:sz w:val="12"/>
        </w:rPr>
        <w:t xml:space="preserve"> </w:t>
      </w:r>
      <w:proofErr w:type="spellStart"/>
      <w:r>
        <w:rPr>
          <w:rFonts w:ascii="Arial MT"/>
          <w:sz w:val="18"/>
        </w:rPr>
        <w:t>Galor</w:t>
      </w:r>
      <w:proofErr w:type="spellEnd"/>
      <w:r>
        <w:rPr>
          <w:rFonts w:ascii="Arial MT"/>
          <w:sz w:val="18"/>
        </w:rPr>
        <w:t xml:space="preserve">, O., &amp; </w:t>
      </w:r>
      <w:proofErr w:type="spellStart"/>
      <w:r>
        <w:rPr>
          <w:rFonts w:ascii="Arial MT"/>
          <w:sz w:val="18"/>
        </w:rPr>
        <w:t>Moav</w:t>
      </w:r>
      <w:proofErr w:type="spellEnd"/>
      <w:r>
        <w:rPr>
          <w:rFonts w:ascii="Arial MT"/>
          <w:sz w:val="18"/>
        </w:rPr>
        <w:t xml:space="preserve">, O. (2009). </w:t>
      </w:r>
      <w:proofErr w:type="spellStart"/>
      <w:r>
        <w:rPr>
          <w:rFonts w:ascii="Arial MT"/>
          <w:sz w:val="18"/>
        </w:rPr>
        <w:t>Inequality</w:t>
      </w:r>
      <w:proofErr w:type="spellEnd"/>
      <w:r>
        <w:rPr>
          <w:rFonts w:ascii="Arial MT"/>
          <w:sz w:val="18"/>
        </w:rPr>
        <w:t xml:space="preserve"> in </w:t>
      </w:r>
      <w:proofErr w:type="spellStart"/>
      <w:r>
        <w:rPr>
          <w:rFonts w:ascii="Arial MT"/>
          <w:sz w:val="18"/>
        </w:rPr>
        <w:t>land</w:t>
      </w:r>
      <w:proofErr w:type="spellEnd"/>
      <w:r>
        <w:rPr>
          <w:rFonts w:ascii="Arial MT"/>
          <w:sz w:val="18"/>
        </w:rPr>
        <w:t xml:space="preserve"> </w:t>
      </w:r>
      <w:proofErr w:type="spellStart"/>
      <w:r>
        <w:rPr>
          <w:rFonts w:ascii="Arial MT"/>
          <w:sz w:val="18"/>
        </w:rPr>
        <w:t>ownership</w:t>
      </w:r>
      <w:proofErr w:type="spellEnd"/>
      <w:r>
        <w:rPr>
          <w:rFonts w:ascii="Arial MT"/>
          <w:sz w:val="18"/>
        </w:rPr>
        <w:t xml:space="preserve">, </w:t>
      </w:r>
      <w:proofErr w:type="spellStart"/>
      <w:r>
        <w:rPr>
          <w:rFonts w:ascii="Arial MT"/>
          <w:sz w:val="18"/>
        </w:rPr>
        <w:t>the</w:t>
      </w:r>
      <w:proofErr w:type="spellEnd"/>
      <w:r>
        <w:rPr>
          <w:rFonts w:ascii="Arial MT"/>
          <w:sz w:val="18"/>
        </w:rPr>
        <w:t xml:space="preserve"> </w:t>
      </w:r>
      <w:proofErr w:type="spellStart"/>
      <w:r>
        <w:rPr>
          <w:rFonts w:ascii="Arial MT"/>
          <w:sz w:val="18"/>
        </w:rPr>
        <w:t>emergence</w:t>
      </w:r>
      <w:proofErr w:type="spellEnd"/>
      <w:r>
        <w:rPr>
          <w:rFonts w:ascii="Arial MT"/>
          <w:sz w:val="18"/>
        </w:rPr>
        <w:t xml:space="preserve"> </w:t>
      </w:r>
      <w:proofErr w:type="spellStart"/>
      <w:r>
        <w:rPr>
          <w:rFonts w:ascii="Arial MT"/>
          <w:sz w:val="18"/>
        </w:rPr>
        <w:t>of</w:t>
      </w:r>
      <w:proofErr w:type="spellEnd"/>
      <w:r>
        <w:rPr>
          <w:rFonts w:ascii="Arial MT"/>
          <w:sz w:val="18"/>
        </w:rPr>
        <w:t xml:space="preserve"> human-capital </w:t>
      </w:r>
      <w:proofErr w:type="spellStart"/>
      <w:r>
        <w:rPr>
          <w:rFonts w:ascii="Arial MT"/>
          <w:sz w:val="18"/>
        </w:rPr>
        <w:t>promoting</w:t>
      </w:r>
      <w:proofErr w:type="spellEnd"/>
      <w:r>
        <w:rPr>
          <w:rFonts w:ascii="Arial MT"/>
          <w:sz w:val="18"/>
        </w:rPr>
        <w:t xml:space="preserve"> </w:t>
      </w:r>
      <w:proofErr w:type="spellStart"/>
      <w:r>
        <w:rPr>
          <w:rFonts w:ascii="Arial MT"/>
          <w:sz w:val="18"/>
        </w:rPr>
        <w:t>institutions</w:t>
      </w:r>
      <w:proofErr w:type="spellEnd"/>
      <w:r>
        <w:rPr>
          <w:rFonts w:ascii="Arial MT"/>
          <w:sz w:val="18"/>
        </w:rPr>
        <w:t xml:space="preserve">, and </w:t>
      </w:r>
      <w:proofErr w:type="spellStart"/>
      <w:r>
        <w:rPr>
          <w:rFonts w:ascii="Arial MT"/>
          <w:sz w:val="18"/>
        </w:rPr>
        <w:t>the</w:t>
      </w:r>
      <w:proofErr w:type="spellEnd"/>
      <w:r>
        <w:rPr>
          <w:rFonts w:ascii="Arial MT"/>
          <w:sz w:val="18"/>
        </w:rPr>
        <w:t xml:space="preserve"> </w:t>
      </w:r>
      <w:proofErr w:type="spellStart"/>
      <w:r>
        <w:rPr>
          <w:rFonts w:ascii="Arial MT"/>
          <w:sz w:val="18"/>
        </w:rPr>
        <w:t>great</w:t>
      </w:r>
      <w:proofErr w:type="spellEnd"/>
      <w:r>
        <w:rPr>
          <w:rFonts w:ascii="Arial MT"/>
          <w:sz w:val="18"/>
        </w:rPr>
        <w:t xml:space="preserve"> </w:t>
      </w:r>
      <w:proofErr w:type="spellStart"/>
      <w:r>
        <w:rPr>
          <w:rFonts w:ascii="Arial MT"/>
          <w:sz w:val="18"/>
        </w:rPr>
        <w:t>divergence</w:t>
      </w:r>
      <w:proofErr w:type="spellEnd"/>
      <w:r>
        <w:rPr>
          <w:rFonts w:ascii="Arial MT"/>
          <w:sz w:val="18"/>
        </w:rPr>
        <w:t xml:space="preserve">. </w:t>
      </w:r>
      <w:r w:rsidRPr="00203383">
        <w:rPr>
          <w:rFonts w:ascii="Arial MT"/>
          <w:sz w:val="18"/>
          <w:lang w:val="pt-PT"/>
        </w:rPr>
        <w:t>Review of Economic Studies 76(1), 143-179.</w:t>
      </w:r>
    </w:p>
    <w:p w14:paraId="7A48D740" w14:textId="77777777" w:rsidR="000E52B0" w:rsidRDefault="00F60D74">
      <w:pPr>
        <w:ind w:left="720" w:right="717"/>
        <w:jc w:val="both"/>
        <w:rPr>
          <w:rFonts w:ascii="Arial MT"/>
          <w:sz w:val="18"/>
        </w:rPr>
      </w:pPr>
      <w:bookmarkStart w:id="124" w:name="_bookmark124"/>
      <w:bookmarkEnd w:id="124"/>
      <w:r w:rsidRPr="00203383">
        <w:rPr>
          <w:rFonts w:ascii="Arial MT"/>
          <w:position w:val="6"/>
          <w:sz w:val="12"/>
          <w:lang w:val="pt-PT"/>
        </w:rPr>
        <w:t>107</w:t>
      </w:r>
      <w:r w:rsidRPr="00203383">
        <w:rPr>
          <w:rFonts w:ascii="Arial MT"/>
          <w:spacing w:val="40"/>
          <w:position w:val="6"/>
          <w:sz w:val="12"/>
          <w:lang w:val="pt-PT"/>
        </w:rPr>
        <w:t xml:space="preserve"> </w:t>
      </w:r>
      <w:r w:rsidRPr="00203383">
        <w:rPr>
          <w:rFonts w:ascii="Arial MT"/>
          <w:sz w:val="18"/>
          <w:lang w:val="pt-PT"/>
        </w:rPr>
        <w:t xml:space="preserve">Ferreira, F. (2023). Is there a 'new consensus' on inequality? </w:t>
      </w:r>
      <w:r>
        <w:rPr>
          <w:rFonts w:ascii="Arial MT"/>
          <w:sz w:val="18"/>
        </w:rPr>
        <w:t xml:space="preserve">Stone Center </w:t>
      </w:r>
      <w:proofErr w:type="spellStart"/>
      <w:r>
        <w:rPr>
          <w:rFonts w:ascii="Arial MT"/>
          <w:sz w:val="18"/>
        </w:rPr>
        <w:t>on</w:t>
      </w:r>
      <w:proofErr w:type="spellEnd"/>
      <w:r>
        <w:rPr>
          <w:rFonts w:ascii="Arial MT"/>
          <w:sz w:val="18"/>
        </w:rPr>
        <w:t xml:space="preserve"> </w:t>
      </w:r>
      <w:proofErr w:type="spellStart"/>
      <w:r>
        <w:rPr>
          <w:rFonts w:ascii="Arial MT"/>
          <w:sz w:val="18"/>
        </w:rPr>
        <w:t>Socioeconomic</w:t>
      </w:r>
      <w:proofErr w:type="spellEnd"/>
      <w:r>
        <w:rPr>
          <w:rFonts w:ascii="Arial MT"/>
          <w:sz w:val="18"/>
        </w:rPr>
        <w:t xml:space="preserve"> </w:t>
      </w:r>
      <w:proofErr w:type="spellStart"/>
      <w:r>
        <w:rPr>
          <w:rFonts w:ascii="Arial MT"/>
          <w:sz w:val="18"/>
        </w:rPr>
        <w:t>Inequality</w:t>
      </w:r>
      <w:proofErr w:type="spellEnd"/>
      <w:r>
        <w:rPr>
          <w:rFonts w:ascii="Arial MT"/>
          <w:sz w:val="18"/>
        </w:rPr>
        <w:t xml:space="preserve"> </w:t>
      </w:r>
      <w:proofErr w:type="spellStart"/>
      <w:r>
        <w:rPr>
          <w:rFonts w:ascii="Arial MT"/>
          <w:sz w:val="18"/>
        </w:rPr>
        <w:t>Working</w:t>
      </w:r>
      <w:proofErr w:type="spellEnd"/>
      <w:r>
        <w:rPr>
          <w:rFonts w:ascii="Arial MT"/>
          <w:sz w:val="18"/>
        </w:rPr>
        <w:t xml:space="preserve"> </w:t>
      </w:r>
      <w:proofErr w:type="spellStart"/>
      <w:r>
        <w:rPr>
          <w:rFonts w:ascii="Arial MT"/>
          <w:sz w:val="18"/>
        </w:rPr>
        <w:t>Paper</w:t>
      </w:r>
      <w:proofErr w:type="spellEnd"/>
      <w:r>
        <w:rPr>
          <w:rFonts w:ascii="Arial MT"/>
          <w:sz w:val="18"/>
        </w:rPr>
        <w:t xml:space="preserve"> Series.</w:t>
      </w:r>
    </w:p>
    <w:p w14:paraId="5776A87C" w14:textId="77777777" w:rsidR="000E52B0" w:rsidRDefault="00F60D74">
      <w:pPr>
        <w:ind w:left="720" w:right="710"/>
        <w:jc w:val="both"/>
        <w:rPr>
          <w:rFonts w:ascii="Arial MT" w:hAnsi="Arial MT"/>
          <w:sz w:val="18"/>
        </w:rPr>
      </w:pPr>
      <w:bookmarkStart w:id="125" w:name="_bookmark125"/>
      <w:bookmarkEnd w:id="125"/>
      <w:r>
        <w:rPr>
          <w:rFonts w:ascii="Arial MT" w:hAnsi="Arial MT"/>
          <w:position w:val="6"/>
          <w:sz w:val="12"/>
        </w:rPr>
        <w:t>108</w:t>
      </w:r>
      <w:r>
        <w:rPr>
          <w:rFonts w:ascii="Arial MT" w:hAnsi="Arial MT"/>
          <w:spacing w:val="18"/>
          <w:position w:val="6"/>
          <w:sz w:val="12"/>
        </w:rPr>
        <w:t xml:space="preserve"> </w:t>
      </w:r>
      <w:proofErr w:type="gramStart"/>
      <w:r>
        <w:rPr>
          <w:rFonts w:ascii="Arial MT" w:hAnsi="Arial MT"/>
          <w:sz w:val="18"/>
        </w:rPr>
        <w:t>Usan</w:t>
      </w:r>
      <w:proofErr w:type="gramEnd"/>
      <w:r>
        <w:rPr>
          <w:rFonts w:ascii="Arial MT" w:hAnsi="Arial MT"/>
          <w:sz w:val="18"/>
        </w:rPr>
        <w:t xml:space="preserve"> información de 2008 a</w:t>
      </w:r>
      <w:r>
        <w:rPr>
          <w:rFonts w:ascii="Arial MT" w:hAnsi="Arial MT"/>
          <w:spacing w:val="-1"/>
          <w:sz w:val="18"/>
        </w:rPr>
        <w:t xml:space="preserve"> </w:t>
      </w:r>
      <w:r>
        <w:rPr>
          <w:rFonts w:ascii="Arial MT" w:hAnsi="Arial MT"/>
          <w:sz w:val="18"/>
        </w:rPr>
        <w:t>2017,</w:t>
      </w:r>
      <w:r>
        <w:rPr>
          <w:rFonts w:ascii="Arial MT" w:hAnsi="Arial MT"/>
          <w:spacing w:val="-1"/>
          <w:sz w:val="18"/>
        </w:rPr>
        <w:t xml:space="preserve"> </w:t>
      </w:r>
      <w:r>
        <w:rPr>
          <w:rFonts w:ascii="Arial MT" w:hAnsi="Arial MT"/>
          <w:sz w:val="18"/>
        </w:rPr>
        <w:t>de 24</w:t>
      </w:r>
      <w:r>
        <w:rPr>
          <w:rFonts w:ascii="Arial MT" w:hAnsi="Arial MT"/>
          <w:spacing w:val="-1"/>
          <w:sz w:val="18"/>
        </w:rPr>
        <w:t xml:space="preserve"> </w:t>
      </w:r>
      <w:r>
        <w:rPr>
          <w:rFonts w:ascii="Arial MT" w:hAnsi="Arial MT"/>
          <w:sz w:val="18"/>
        </w:rPr>
        <w:t>departamentos de Colombia, incluyendo a Bogotá. La</w:t>
      </w:r>
      <w:r>
        <w:rPr>
          <w:rFonts w:ascii="Arial MT" w:hAnsi="Arial MT"/>
          <w:spacing w:val="-1"/>
          <w:sz w:val="18"/>
        </w:rPr>
        <w:t xml:space="preserve"> </w:t>
      </w:r>
      <w:r>
        <w:rPr>
          <w:rFonts w:ascii="Arial MT" w:hAnsi="Arial MT"/>
          <w:sz w:val="18"/>
        </w:rPr>
        <w:t>corrupción es medida como el número de personas que fueron condenadas por crímenes relacionados con corrupción en un año</w:t>
      </w:r>
      <w:r>
        <w:rPr>
          <w:rFonts w:ascii="Arial MT" w:hAnsi="Arial MT"/>
          <w:spacing w:val="-6"/>
          <w:sz w:val="18"/>
        </w:rPr>
        <w:t xml:space="preserve"> </w:t>
      </w:r>
      <w:r>
        <w:rPr>
          <w:rFonts w:ascii="Arial MT" w:hAnsi="Arial MT"/>
          <w:sz w:val="18"/>
        </w:rPr>
        <w:t>específico.</w:t>
      </w:r>
      <w:r>
        <w:rPr>
          <w:rFonts w:ascii="Arial MT" w:hAnsi="Arial MT"/>
          <w:spacing w:val="-7"/>
          <w:sz w:val="18"/>
        </w:rPr>
        <w:t xml:space="preserve"> </w:t>
      </w:r>
      <w:r>
        <w:rPr>
          <w:rFonts w:ascii="Arial MT" w:hAnsi="Arial MT"/>
          <w:sz w:val="18"/>
        </w:rPr>
        <w:t>Usan</w:t>
      </w:r>
      <w:r>
        <w:rPr>
          <w:rFonts w:ascii="Arial MT" w:hAnsi="Arial MT"/>
          <w:spacing w:val="-6"/>
          <w:sz w:val="18"/>
        </w:rPr>
        <w:t xml:space="preserve"> </w:t>
      </w:r>
      <w:r>
        <w:rPr>
          <w:rFonts w:ascii="Arial MT" w:hAnsi="Arial MT"/>
          <w:sz w:val="18"/>
        </w:rPr>
        <w:t>información</w:t>
      </w:r>
      <w:r>
        <w:rPr>
          <w:rFonts w:ascii="Arial MT" w:hAnsi="Arial MT"/>
          <w:spacing w:val="-6"/>
          <w:sz w:val="18"/>
        </w:rPr>
        <w:t xml:space="preserve"> </w:t>
      </w:r>
      <w:r>
        <w:rPr>
          <w:rFonts w:ascii="Arial MT" w:hAnsi="Arial MT"/>
          <w:sz w:val="18"/>
        </w:rPr>
        <w:t>de</w:t>
      </w:r>
      <w:r>
        <w:rPr>
          <w:rFonts w:ascii="Arial MT" w:hAnsi="Arial MT"/>
          <w:spacing w:val="-6"/>
          <w:sz w:val="18"/>
        </w:rPr>
        <w:t xml:space="preserve"> </w:t>
      </w:r>
      <w:r>
        <w:rPr>
          <w:rFonts w:ascii="Arial MT" w:hAnsi="Arial MT"/>
          <w:sz w:val="18"/>
        </w:rPr>
        <w:t>los</w:t>
      </w:r>
      <w:r>
        <w:rPr>
          <w:rFonts w:ascii="Arial MT" w:hAnsi="Arial MT"/>
          <w:spacing w:val="-6"/>
          <w:sz w:val="18"/>
        </w:rPr>
        <w:t xml:space="preserve"> </w:t>
      </w:r>
      <w:r>
        <w:rPr>
          <w:rFonts w:ascii="Arial MT" w:hAnsi="Arial MT"/>
          <w:sz w:val="18"/>
        </w:rPr>
        <w:t>registros del</w:t>
      </w:r>
      <w:r>
        <w:rPr>
          <w:rFonts w:ascii="Arial MT" w:hAnsi="Arial MT"/>
          <w:spacing w:val="-6"/>
          <w:sz w:val="18"/>
        </w:rPr>
        <w:t xml:space="preserve"> </w:t>
      </w:r>
      <w:r>
        <w:rPr>
          <w:rFonts w:ascii="Arial MT" w:hAnsi="Arial MT"/>
          <w:sz w:val="18"/>
        </w:rPr>
        <w:t>sistema</w:t>
      </w:r>
      <w:r>
        <w:rPr>
          <w:rFonts w:ascii="Arial MT" w:hAnsi="Arial MT"/>
          <w:spacing w:val="-9"/>
          <w:sz w:val="18"/>
        </w:rPr>
        <w:t xml:space="preserve"> </w:t>
      </w:r>
      <w:r>
        <w:rPr>
          <w:rFonts w:ascii="Arial MT" w:hAnsi="Arial MT"/>
          <w:sz w:val="18"/>
        </w:rPr>
        <w:t>criminal</w:t>
      </w:r>
      <w:r>
        <w:rPr>
          <w:rFonts w:ascii="Arial MT" w:hAnsi="Arial MT"/>
          <w:spacing w:val="-6"/>
          <w:sz w:val="18"/>
        </w:rPr>
        <w:t xml:space="preserve"> </w:t>
      </w:r>
      <w:r>
        <w:rPr>
          <w:rFonts w:ascii="Arial MT" w:hAnsi="Arial MT"/>
          <w:sz w:val="18"/>
        </w:rPr>
        <w:t>oral</w:t>
      </w:r>
      <w:r>
        <w:rPr>
          <w:rFonts w:ascii="Arial MT" w:hAnsi="Arial MT"/>
          <w:spacing w:val="-6"/>
          <w:sz w:val="18"/>
        </w:rPr>
        <w:t xml:space="preserve"> </w:t>
      </w:r>
      <w:r>
        <w:rPr>
          <w:rFonts w:ascii="Arial MT" w:hAnsi="Arial MT"/>
          <w:sz w:val="18"/>
        </w:rPr>
        <w:t>acusatorio</w:t>
      </w:r>
      <w:r>
        <w:rPr>
          <w:rFonts w:ascii="Arial MT" w:hAnsi="Arial MT"/>
          <w:spacing w:val="-6"/>
          <w:sz w:val="18"/>
        </w:rPr>
        <w:t xml:space="preserve"> </w:t>
      </w:r>
      <w:r>
        <w:rPr>
          <w:rFonts w:ascii="Arial MT" w:hAnsi="Arial MT"/>
          <w:sz w:val="18"/>
        </w:rPr>
        <w:t>y</w:t>
      </w:r>
      <w:r>
        <w:rPr>
          <w:rFonts w:ascii="Arial MT" w:hAnsi="Arial MT"/>
          <w:spacing w:val="-6"/>
          <w:sz w:val="18"/>
        </w:rPr>
        <w:t xml:space="preserve"> </w:t>
      </w:r>
      <w:r>
        <w:rPr>
          <w:rFonts w:ascii="Arial MT" w:hAnsi="Arial MT"/>
          <w:sz w:val="18"/>
        </w:rPr>
        <w:t>la</w:t>
      </w:r>
      <w:r>
        <w:rPr>
          <w:rFonts w:ascii="Arial MT" w:hAnsi="Arial MT"/>
          <w:spacing w:val="-6"/>
          <w:sz w:val="18"/>
        </w:rPr>
        <w:t xml:space="preserve"> </w:t>
      </w:r>
      <w:r>
        <w:rPr>
          <w:rFonts w:ascii="Arial MT" w:hAnsi="Arial MT"/>
          <w:sz w:val="18"/>
        </w:rPr>
        <w:t>información</w:t>
      </w:r>
      <w:r>
        <w:rPr>
          <w:rFonts w:ascii="Arial MT" w:hAnsi="Arial MT"/>
          <w:spacing w:val="-6"/>
          <w:sz w:val="18"/>
        </w:rPr>
        <w:t xml:space="preserve"> </w:t>
      </w:r>
      <w:r>
        <w:rPr>
          <w:rFonts w:ascii="Arial MT" w:hAnsi="Arial MT"/>
          <w:sz w:val="18"/>
        </w:rPr>
        <w:t>es</w:t>
      </w:r>
      <w:r>
        <w:rPr>
          <w:rFonts w:ascii="Arial MT" w:hAnsi="Arial MT"/>
          <w:spacing w:val="-6"/>
          <w:sz w:val="18"/>
        </w:rPr>
        <w:t xml:space="preserve"> </w:t>
      </w:r>
      <w:r>
        <w:rPr>
          <w:rFonts w:ascii="Arial MT" w:hAnsi="Arial MT"/>
          <w:sz w:val="18"/>
        </w:rPr>
        <w:t>obtenida del Observatorio de Transparencia y Corrupción de la Presidencia de la República. La información sobre coeficiente</w:t>
      </w:r>
      <w:r>
        <w:rPr>
          <w:rFonts w:ascii="Arial MT" w:hAnsi="Arial MT"/>
          <w:spacing w:val="-13"/>
          <w:sz w:val="18"/>
        </w:rPr>
        <w:t xml:space="preserve"> </w:t>
      </w:r>
      <w:r>
        <w:rPr>
          <w:rFonts w:ascii="Arial MT" w:hAnsi="Arial MT"/>
          <w:sz w:val="18"/>
        </w:rPr>
        <w:t>de</w:t>
      </w:r>
      <w:r>
        <w:rPr>
          <w:rFonts w:ascii="Arial MT" w:hAnsi="Arial MT"/>
          <w:spacing w:val="-12"/>
          <w:sz w:val="18"/>
        </w:rPr>
        <w:t xml:space="preserve"> </w:t>
      </w:r>
      <w:r>
        <w:rPr>
          <w:rFonts w:ascii="Arial MT" w:hAnsi="Arial MT"/>
          <w:sz w:val="18"/>
        </w:rPr>
        <w:t>Gini,</w:t>
      </w:r>
      <w:r>
        <w:rPr>
          <w:rFonts w:ascii="Arial MT" w:hAnsi="Arial MT"/>
          <w:spacing w:val="-13"/>
          <w:sz w:val="18"/>
        </w:rPr>
        <w:t xml:space="preserve"> </w:t>
      </w:r>
      <w:r>
        <w:rPr>
          <w:rFonts w:ascii="Arial MT" w:hAnsi="Arial MT"/>
          <w:sz w:val="18"/>
        </w:rPr>
        <w:t>cobertura</w:t>
      </w:r>
      <w:r>
        <w:rPr>
          <w:rFonts w:ascii="Arial MT" w:hAnsi="Arial MT"/>
          <w:spacing w:val="-12"/>
          <w:sz w:val="18"/>
        </w:rPr>
        <w:t xml:space="preserve"> </w:t>
      </w:r>
      <w:r>
        <w:rPr>
          <w:rFonts w:ascii="Arial MT" w:hAnsi="Arial MT"/>
          <w:sz w:val="18"/>
        </w:rPr>
        <w:t>en</w:t>
      </w:r>
      <w:r>
        <w:rPr>
          <w:rFonts w:ascii="Arial MT" w:hAnsi="Arial MT"/>
          <w:spacing w:val="-13"/>
          <w:sz w:val="18"/>
        </w:rPr>
        <w:t xml:space="preserve"> </w:t>
      </w:r>
      <w:r>
        <w:rPr>
          <w:rFonts w:ascii="Arial MT" w:hAnsi="Arial MT"/>
          <w:sz w:val="18"/>
        </w:rPr>
        <w:t>educación,</w:t>
      </w:r>
      <w:r>
        <w:rPr>
          <w:rFonts w:ascii="Arial MT" w:hAnsi="Arial MT"/>
          <w:spacing w:val="-13"/>
          <w:sz w:val="18"/>
        </w:rPr>
        <w:t xml:space="preserve"> </w:t>
      </w:r>
      <w:r>
        <w:rPr>
          <w:rFonts w:ascii="Arial MT" w:hAnsi="Arial MT"/>
          <w:sz w:val="18"/>
        </w:rPr>
        <w:t>niveles</w:t>
      </w:r>
      <w:r>
        <w:rPr>
          <w:rFonts w:ascii="Arial MT" w:hAnsi="Arial MT"/>
          <w:spacing w:val="-12"/>
          <w:sz w:val="18"/>
        </w:rPr>
        <w:t xml:space="preserve"> </w:t>
      </w:r>
      <w:r>
        <w:rPr>
          <w:rFonts w:ascii="Arial MT" w:hAnsi="Arial MT"/>
          <w:sz w:val="18"/>
        </w:rPr>
        <w:t>de</w:t>
      </w:r>
      <w:r>
        <w:rPr>
          <w:rFonts w:ascii="Arial MT" w:hAnsi="Arial MT"/>
          <w:spacing w:val="-13"/>
          <w:sz w:val="18"/>
        </w:rPr>
        <w:t xml:space="preserve"> </w:t>
      </w:r>
      <w:r>
        <w:rPr>
          <w:rFonts w:ascii="Arial MT" w:hAnsi="Arial MT"/>
          <w:sz w:val="18"/>
        </w:rPr>
        <w:t>informalidad,</w:t>
      </w:r>
      <w:r>
        <w:rPr>
          <w:rFonts w:ascii="Arial MT" w:hAnsi="Arial MT"/>
          <w:spacing w:val="-12"/>
          <w:sz w:val="18"/>
        </w:rPr>
        <w:t xml:space="preserve"> </w:t>
      </w:r>
      <w:r>
        <w:rPr>
          <w:rFonts w:ascii="Arial MT" w:hAnsi="Arial MT"/>
          <w:sz w:val="18"/>
        </w:rPr>
        <w:t>desempleo</w:t>
      </w:r>
      <w:r>
        <w:rPr>
          <w:rFonts w:ascii="Arial MT" w:hAnsi="Arial MT"/>
          <w:spacing w:val="-13"/>
          <w:sz w:val="18"/>
        </w:rPr>
        <w:t xml:space="preserve"> </w:t>
      </w:r>
      <w:r>
        <w:rPr>
          <w:rFonts w:ascii="Arial MT" w:hAnsi="Arial MT"/>
          <w:sz w:val="18"/>
        </w:rPr>
        <w:t>y</w:t>
      </w:r>
      <w:r>
        <w:rPr>
          <w:rFonts w:ascii="Arial MT" w:hAnsi="Arial MT"/>
          <w:spacing w:val="-12"/>
          <w:sz w:val="18"/>
        </w:rPr>
        <w:t xml:space="preserve"> </w:t>
      </w:r>
      <w:r>
        <w:rPr>
          <w:rFonts w:ascii="Arial MT" w:hAnsi="Arial MT"/>
          <w:sz w:val="18"/>
        </w:rPr>
        <w:t>PIB</w:t>
      </w:r>
      <w:r>
        <w:rPr>
          <w:rFonts w:ascii="Arial MT" w:hAnsi="Arial MT"/>
          <w:spacing w:val="-13"/>
          <w:sz w:val="18"/>
        </w:rPr>
        <w:t xml:space="preserve"> </w:t>
      </w:r>
      <w:r>
        <w:rPr>
          <w:rFonts w:ascii="Arial MT" w:hAnsi="Arial MT"/>
          <w:sz w:val="18"/>
        </w:rPr>
        <w:t>per</w:t>
      </w:r>
      <w:r>
        <w:rPr>
          <w:rFonts w:ascii="Arial MT" w:hAnsi="Arial MT"/>
          <w:spacing w:val="-12"/>
          <w:sz w:val="18"/>
        </w:rPr>
        <w:t xml:space="preserve"> </w:t>
      </w:r>
      <w:r>
        <w:rPr>
          <w:rFonts w:ascii="Arial MT" w:hAnsi="Arial MT"/>
          <w:sz w:val="18"/>
        </w:rPr>
        <w:t>cápita,</w:t>
      </w:r>
      <w:r>
        <w:rPr>
          <w:rFonts w:ascii="Arial MT" w:hAnsi="Arial MT"/>
          <w:spacing w:val="-13"/>
          <w:sz w:val="18"/>
        </w:rPr>
        <w:t xml:space="preserve"> </w:t>
      </w:r>
      <w:r>
        <w:rPr>
          <w:rFonts w:ascii="Arial MT" w:hAnsi="Arial MT"/>
          <w:sz w:val="18"/>
        </w:rPr>
        <w:t>vienen</w:t>
      </w:r>
      <w:r>
        <w:rPr>
          <w:rFonts w:ascii="Arial MT" w:hAnsi="Arial MT"/>
          <w:spacing w:val="-12"/>
          <w:sz w:val="18"/>
        </w:rPr>
        <w:t xml:space="preserve"> </w:t>
      </w:r>
      <w:r>
        <w:rPr>
          <w:rFonts w:ascii="Arial MT" w:hAnsi="Arial MT"/>
          <w:sz w:val="18"/>
        </w:rPr>
        <w:t>del</w:t>
      </w:r>
      <w:r>
        <w:rPr>
          <w:rFonts w:ascii="Arial MT" w:hAnsi="Arial MT"/>
          <w:spacing w:val="-13"/>
          <w:sz w:val="18"/>
        </w:rPr>
        <w:t xml:space="preserve"> </w:t>
      </w:r>
      <w:r>
        <w:rPr>
          <w:rFonts w:ascii="Arial MT" w:hAnsi="Arial MT"/>
          <w:sz w:val="18"/>
        </w:rPr>
        <w:t xml:space="preserve">DANE. El menor Gini en 2015 lo tenía Cundinamarca con 0,43, mientras que el mayor lo tenía Chocó con 0,6 (Sáenz- </w:t>
      </w:r>
      <w:bookmarkStart w:id="126" w:name="_bookmark126"/>
      <w:bookmarkEnd w:id="126"/>
      <w:r>
        <w:rPr>
          <w:rFonts w:ascii="Arial MT" w:hAnsi="Arial MT"/>
          <w:sz w:val="18"/>
        </w:rPr>
        <w:t>Castro &amp; García-González, 2019).</w:t>
      </w:r>
    </w:p>
    <w:p w14:paraId="7E2A8F29" w14:textId="77777777" w:rsidR="000E52B0" w:rsidRDefault="00F60D74">
      <w:pPr>
        <w:ind w:left="720" w:right="718"/>
        <w:jc w:val="both"/>
        <w:rPr>
          <w:rFonts w:ascii="Arial MT" w:hAnsi="Arial MT"/>
          <w:sz w:val="18"/>
        </w:rPr>
      </w:pPr>
      <w:r>
        <w:rPr>
          <w:rFonts w:ascii="Arial MT" w:hAnsi="Arial MT"/>
          <w:position w:val="6"/>
          <w:sz w:val="12"/>
        </w:rPr>
        <w:t>109</w:t>
      </w:r>
      <w:r>
        <w:rPr>
          <w:rFonts w:ascii="Arial MT" w:hAnsi="Arial MT"/>
          <w:spacing w:val="40"/>
          <w:position w:val="6"/>
          <w:sz w:val="12"/>
        </w:rPr>
        <w:t xml:space="preserve"> </w:t>
      </w:r>
      <w:r>
        <w:rPr>
          <w:rFonts w:ascii="Arial MT" w:hAnsi="Arial MT"/>
          <w:sz w:val="18"/>
        </w:rPr>
        <w:t xml:space="preserve">Sáenz-Castro, J., &amp; García-González, J. (2019). </w:t>
      </w:r>
      <w:proofErr w:type="spellStart"/>
      <w:r>
        <w:rPr>
          <w:rFonts w:ascii="Arial MT" w:hAnsi="Arial MT"/>
          <w:sz w:val="18"/>
        </w:rPr>
        <w:t>The</w:t>
      </w:r>
      <w:proofErr w:type="spellEnd"/>
      <w:r>
        <w:rPr>
          <w:rFonts w:ascii="Arial MT" w:hAnsi="Arial MT"/>
          <w:sz w:val="18"/>
        </w:rPr>
        <w:t xml:space="preserve"> </w:t>
      </w:r>
      <w:proofErr w:type="spellStart"/>
      <w:r>
        <w:rPr>
          <w:rFonts w:ascii="Arial MT" w:hAnsi="Arial MT"/>
          <w:sz w:val="18"/>
        </w:rPr>
        <w:t>relationship</w:t>
      </w:r>
      <w:proofErr w:type="spellEnd"/>
      <w:r>
        <w:rPr>
          <w:rFonts w:ascii="Arial MT" w:hAnsi="Arial MT"/>
          <w:sz w:val="18"/>
        </w:rPr>
        <w:t xml:space="preserve"> </w:t>
      </w:r>
      <w:proofErr w:type="spellStart"/>
      <w:r>
        <w:rPr>
          <w:rFonts w:ascii="Arial MT" w:hAnsi="Arial MT"/>
          <w:sz w:val="18"/>
        </w:rPr>
        <w:t>between</w:t>
      </w:r>
      <w:proofErr w:type="spellEnd"/>
      <w:r>
        <w:rPr>
          <w:rFonts w:ascii="Arial MT" w:hAnsi="Arial MT"/>
          <w:sz w:val="18"/>
        </w:rPr>
        <w:t xml:space="preserve"> </w:t>
      </w:r>
      <w:proofErr w:type="spellStart"/>
      <w:r>
        <w:rPr>
          <w:rFonts w:ascii="Arial MT" w:hAnsi="Arial MT"/>
          <w:sz w:val="18"/>
        </w:rPr>
        <w:t>corruption</w:t>
      </w:r>
      <w:proofErr w:type="spellEnd"/>
      <w:r>
        <w:rPr>
          <w:rFonts w:ascii="Arial MT" w:hAnsi="Arial MT"/>
          <w:sz w:val="18"/>
        </w:rPr>
        <w:t xml:space="preserve"> and </w:t>
      </w:r>
      <w:proofErr w:type="spellStart"/>
      <w:r>
        <w:rPr>
          <w:rFonts w:ascii="Arial MT" w:hAnsi="Arial MT"/>
          <w:sz w:val="18"/>
        </w:rPr>
        <w:t>inequality</w:t>
      </w:r>
      <w:proofErr w:type="spellEnd"/>
      <w:r>
        <w:rPr>
          <w:rFonts w:ascii="Arial MT" w:hAnsi="Arial MT"/>
          <w:sz w:val="18"/>
        </w:rPr>
        <w:t xml:space="preserve"> in Colombia: </w:t>
      </w:r>
      <w:proofErr w:type="spellStart"/>
      <w:r>
        <w:rPr>
          <w:rFonts w:ascii="Arial MT" w:hAnsi="Arial MT"/>
          <w:sz w:val="18"/>
        </w:rPr>
        <w:t>empirical</w:t>
      </w:r>
      <w:proofErr w:type="spellEnd"/>
      <w:r>
        <w:rPr>
          <w:rFonts w:ascii="Arial MT" w:hAnsi="Arial MT"/>
          <w:sz w:val="18"/>
        </w:rPr>
        <w:t xml:space="preserve"> </w:t>
      </w:r>
      <w:proofErr w:type="spellStart"/>
      <w:r>
        <w:rPr>
          <w:rFonts w:ascii="Arial MT" w:hAnsi="Arial MT"/>
          <w:sz w:val="18"/>
        </w:rPr>
        <w:t>evidence</w:t>
      </w:r>
      <w:proofErr w:type="spellEnd"/>
      <w:r>
        <w:rPr>
          <w:rFonts w:ascii="Arial MT" w:hAnsi="Arial MT"/>
          <w:sz w:val="18"/>
        </w:rPr>
        <w:t xml:space="preserve"> </w:t>
      </w:r>
      <w:proofErr w:type="spellStart"/>
      <w:r>
        <w:rPr>
          <w:rFonts w:ascii="Arial MT" w:hAnsi="Arial MT"/>
          <w:sz w:val="18"/>
        </w:rPr>
        <w:t>using</w:t>
      </w:r>
      <w:proofErr w:type="spellEnd"/>
      <w:r>
        <w:rPr>
          <w:rFonts w:ascii="Arial MT" w:hAnsi="Arial MT"/>
          <w:sz w:val="18"/>
        </w:rPr>
        <w:t xml:space="preserve"> panel data </w:t>
      </w:r>
      <w:proofErr w:type="spellStart"/>
      <w:r>
        <w:rPr>
          <w:rFonts w:ascii="Arial MT" w:hAnsi="Arial MT"/>
          <w:sz w:val="18"/>
        </w:rPr>
        <w:t>for</w:t>
      </w:r>
      <w:proofErr w:type="spellEnd"/>
      <w:r>
        <w:rPr>
          <w:rFonts w:ascii="Arial MT" w:hAnsi="Arial MT"/>
          <w:sz w:val="18"/>
        </w:rPr>
        <w:t xml:space="preserve"> </w:t>
      </w:r>
      <w:proofErr w:type="spellStart"/>
      <w:r>
        <w:rPr>
          <w:rFonts w:ascii="Arial MT" w:hAnsi="Arial MT"/>
          <w:sz w:val="18"/>
        </w:rPr>
        <w:t>the</w:t>
      </w:r>
      <w:proofErr w:type="spellEnd"/>
      <w:r>
        <w:rPr>
          <w:rFonts w:ascii="Arial MT" w:hAnsi="Arial MT"/>
          <w:sz w:val="18"/>
        </w:rPr>
        <w:t xml:space="preserve"> </w:t>
      </w:r>
      <w:proofErr w:type="spellStart"/>
      <w:r>
        <w:rPr>
          <w:rFonts w:ascii="Arial MT" w:hAnsi="Arial MT"/>
          <w:sz w:val="18"/>
        </w:rPr>
        <w:t>period</w:t>
      </w:r>
      <w:proofErr w:type="spellEnd"/>
      <w:r>
        <w:rPr>
          <w:rFonts w:ascii="Arial MT" w:hAnsi="Arial MT"/>
          <w:sz w:val="18"/>
        </w:rPr>
        <w:t xml:space="preserve"> 2008-2017. </w:t>
      </w:r>
      <w:proofErr w:type="spellStart"/>
      <w:r>
        <w:rPr>
          <w:rFonts w:ascii="Arial MT" w:hAnsi="Arial MT"/>
          <w:sz w:val="18"/>
        </w:rPr>
        <w:t>Iberoamerican</w:t>
      </w:r>
      <w:proofErr w:type="spellEnd"/>
      <w:r>
        <w:rPr>
          <w:rFonts w:ascii="Arial MT" w:hAnsi="Arial MT"/>
          <w:sz w:val="18"/>
        </w:rPr>
        <w:t xml:space="preserve"> </w:t>
      </w:r>
      <w:proofErr w:type="spellStart"/>
      <w:r>
        <w:rPr>
          <w:rFonts w:ascii="Arial MT" w:hAnsi="Arial MT"/>
          <w:sz w:val="18"/>
        </w:rPr>
        <w:t>Journal</w:t>
      </w:r>
      <w:proofErr w:type="spellEnd"/>
      <w:r>
        <w:rPr>
          <w:rFonts w:ascii="Arial MT" w:hAnsi="Arial MT"/>
          <w:sz w:val="18"/>
        </w:rPr>
        <w:t xml:space="preserve"> </w:t>
      </w:r>
      <w:proofErr w:type="spellStart"/>
      <w:r>
        <w:rPr>
          <w:rFonts w:ascii="Arial MT" w:hAnsi="Arial MT"/>
          <w:sz w:val="18"/>
        </w:rPr>
        <w:t>of</w:t>
      </w:r>
      <w:proofErr w:type="spellEnd"/>
      <w:r>
        <w:rPr>
          <w:rFonts w:ascii="Arial MT" w:hAnsi="Arial MT"/>
          <w:sz w:val="18"/>
        </w:rPr>
        <w:t xml:space="preserve"> </w:t>
      </w:r>
      <w:proofErr w:type="spellStart"/>
      <w:r>
        <w:rPr>
          <w:rFonts w:ascii="Arial MT" w:hAnsi="Arial MT"/>
          <w:sz w:val="18"/>
        </w:rPr>
        <w:t>Development</w:t>
      </w:r>
      <w:proofErr w:type="spellEnd"/>
      <w:r>
        <w:rPr>
          <w:rFonts w:ascii="Arial MT" w:hAnsi="Arial MT"/>
          <w:sz w:val="18"/>
        </w:rPr>
        <w:t xml:space="preserve"> </w:t>
      </w:r>
      <w:proofErr w:type="spellStart"/>
      <w:r>
        <w:rPr>
          <w:rFonts w:ascii="Arial MT" w:hAnsi="Arial MT"/>
          <w:sz w:val="18"/>
        </w:rPr>
        <w:t>Studies</w:t>
      </w:r>
      <w:proofErr w:type="spellEnd"/>
      <w:r>
        <w:rPr>
          <w:rFonts w:ascii="Arial MT" w:hAnsi="Arial MT"/>
          <w:sz w:val="18"/>
        </w:rPr>
        <w:t xml:space="preserve"> 8(2), 28-43.</w:t>
      </w:r>
    </w:p>
    <w:p w14:paraId="41C30A3C" w14:textId="77777777" w:rsidR="000E52B0" w:rsidRDefault="000E52B0">
      <w:pPr>
        <w:jc w:val="both"/>
        <w:rPr>
          <w:rFonts w:ascii="Arial MT" w:hAnsi="Arial MT"/>
          <w:sz w:val="18"/>
        </w:rPr>
        <w:sectPr w:rsidR="000E52B0">
          <w:pgSz w:w="11910" w:h="16840"/>
          <w:pgMar w:top="1340" w:right="720" w:bottom="1180" w:left="720" w:header="0" w:footer="995" w:gutter="0"/>
          <w:cols w:space="720"/>
        </w:sectPr>
      </w:pPr>
    </w:p>
    <w:p w14:paraId="726C80D4" w14:textId="77777777" w:rsidR="000E52B0" w:rsidRDefault="00F60D74">
      <w:pPr>
        <w:pStyle w:val="Textoindependiente"/>
        <w:spacing w:before="83"/>
        <w:ind w:right="716"/>
        <w:jc w:val="both"/>
      </w:pPr>
      <w:r>
        <w:lastRenderedPageBreak/>
        <w:t>Siguiendo a Sáenz-Castro &amp; García-González (2019)</w:t>
      </w:r>
      <w:r>
        <w:rPr>
          <w:spacing w:val="-20"/>
        </w:rPr>
        <w:t xml:space="preserve"> </w:t>
      </w:r>
      <w:hyperlink w:anchor="_bookmark128" w:history="1">
        <w:r w:rsidR="000E52B0">
          <w:rPr>
            <w:position w:val="8"/>
            <w:sz w:val="16"/>
          </w:rPr>
          <w:t>110</w:t>
        </w:r>
      </w:hyperlink>
      <w:r>
        <w:t xml:space="preserve">, quienes a su vez citan a </w:t>
      </w:r>
      <w:proofErr w:type="spellStart"/>
      <w:r>
        <w:t>Heidenheimer</w:t>
      </w:r>
      <w:proofErr w:type="spellEnd"/>
      <w:r>
        <w:t xml:space="preserve">, Johnston, &amp; Le Vine (1989) y Li, LC, &amp; </w:t>
      </w:r>
      <w:proofErr w:type="spellStart"/>
      <w:r>
        <w:t>Zou</w:t>
      </w:r>
      <w:proofErr w:type="spellEnd"/>
      <w:r>
        <w:t xml:space="preserve"> (2000), la corrupción aumenta la desigualdad mediante diferentes canales: 1) debido a que la corrupción reduce el crecimiento económico y los ingresos de los más pobres son afectados en mayor medida que los de los ricos lo que,</w:t>
      </w:r>
      <w:r>
        <w:rPr>
          <w:spacing w:val="-2"/>
        </w:rPr>
        <w:t xml:space="preserve"> </w:t>
      </w:r>
      <w:r>
        <w:t>a</w:t>
      </w:r>
      <w:r>
        <w:rPr>
          <w:spacing w:val="-1"/>
        </w:rPr>
        <w:t xml:space="preserve"> </w:t>
      </w:r>
      <w:r>
        <w:t>su vez,</w:t>
      </w:r>
      <w:r>
        <w:rPr>
          <w:spacing w:val="-2"/>
        </w:rPr>
        <w:t xml:space="preserve"> </w:t>
      </w:r>
      <w:r>
        <w:t>aumenta</w:t>
      </w:r>
      <w:r>
        <w:rPr>
          <w:spacing w:val="-1"/>
        </w:rPr>
        <w:t xml:space="preserve"> </w:t>
      </w:r>
      <w:r>
        <w:t>la pobreza</w:t>
      </w:r>
      <w:r>
        <w:rPr>
          <w:spacing w:val="-1"/>
        </w:rPr>
        <w:t xml:space="preserve"> </w:t>
      </w:r>
      <w:r>
        <w:t>y</w:t>
      </w:r>
      <w:r>
        <w:rPr>
          <w:spacing w:val="-1"/>
        </w:rPr>
        <w:t xml:space="preserve"> </w:t>
      </w:r>
      <w:r>
        <w:t>la inequidad;</w:t>
      </w:r>
      <w:r>
        <w:rPr>
          <w:spacing w:val="-2"/>
        </w:rPr>
        <w:t xml:space="preserve"> </w:t>
      </w:r>
      <w:r>
        <w:t>2)</w:t>
      </w:r>
      <w:r>
        <w:rPr>
          <w:spacing w:val="-2"/>
        </w:rPr>
        <w:t xml:space="preserve"> </w:t>
      </w:r>
      <w:r>
        <w:t>porque la</w:t>
      </w:r>
      <w:r>
        <w:rPr>
          <w:spacing w:val="-1"/>
        </w:rPr>
        <w:t xml:space="preserve"> </w:t>
      </w:r>
      <w:r>
        <w:t>corrupción lleva</w:t>
      </w:r>
      <w:r>
        <w:rPr>
          <w:spacing w:val="-16"/>
        </w:rPr>
        <w:t xml:space="preserve"> </w:t>
      </w:r>
      <w:r>
        <w:t>a</w:t>
      </w:r>
      <w:r>
        <w:rPr>
          <w:spacing w:val="-16"/>
        </w:rPr>
        <w:t xml:space="preserve"> </w:t>
      </w:r>
      <w:r>
        <w:t>sesgos</w:t>
      </w:r>
      <w:r>
        <w:rPr>
          <w:spacing w:val="-16"/>
        </w:rPr>
        <w:t xml:space="preserve"> </w:t>
      </w:r>
      <w:r>
        <w:t>en</w:t>
      </w:r>
      <w:r>
        <w:rPr>
          <w:spacing w:val="-17"/>
        </w:rPr>
        <w:t xml:space="preserve"> </w:t>
      </w:r>
      <w:r>
        <w:t>el</w:t>
      </w:r>
      <w:r>
        <w:rPr>
          <w:spacing w:val="-19"/>
        </w:rPr>
        <w:t xml:space="preserve"> </w:t>
      </w:r>
      <w:r>
        <w:t>sistema</w:t>
      </w:r>
      <w:r>
        <w:rPr>
          <w:spacing w:val="-16"/>
        </w:rPr>
        <w:t xml:space="preserve"> </w:t>
      </w:r>
      <w:r>
        <w:t>tributario</w:t>
      </w:r>
      <w:r>
        <w:rPr>
          <w:spacing w:val="-15"/>
        </w:rPr>
        <w:t xml:space="preserve"> </w:t>
      </w:r>
      <w:r>
        <w:t>a</w:t>
      </w:r>
      <w:r>
        <w:rPr>
          <w:spacing w:val="-14"/>
        </w:rPr>
        <w:t xml:space="preserve"> </w:t>
      </w:r>
      <w:r>
        <w:t>favor</w:t>
      </w:r>
      <w:r>
        <w:rPr>
          <w:spacing w:val="-15"/>
        </w:rPr>
        <w:t xml:space="preserve"> </w:t>
      </w:r>
      <w:r>
        <w:t>de</w:t>
      </w:r>
      <w:r>
        <w:rPr>
          <w:spacing w:val="-15"/>
        </w:rPr>
        <w:t xml:space="preserve"> </w:t>
      </w:r>
      <w:r>
        <w:t>los</w:t>
      </w:r>
      <w:r>
        <w:rPr>
          <w:spacing w:val="-16"/>
        </w:rPr>
        <w:t xml:space="preserve"> </w:t>
      </w:r>
      <w:r>
        <w:t>más</w:t>
      </w:r>
      <w:r>
        <w:rPr>
          <w:spacing w:val="-16"/>
        </w:rPr>
        <w:t xml:space="preserve"> </w:t>
      </w:r>
      <w:r>
        <w:t>ricos,</w:t>
      </w:r>
      <w:r>
        <w:rPr>
          <w:spacing w:val="-17"/>
        </w:rPr>
        <w:t xml:space="preserve"> </w:t>
      </w:r>
      <w:r>
        <w:t xml:space="preserve">convirtiendo al sistema impositivo en un sistema regresivo. Desde el punto de vista macroeconómico, el problema aparece cuando los actos continuos de corrupción llevan a una mala gestión de las finanzas públicas, lo que lleva al Estado a desarrollar medidas austeras en compensación. En su estudio para 129 países, </w:t>
      </w:r>
      <w:proofErr w:type="spellStart"/>
      <w:r>
        <w:t>You</w:t>
      </w:r>
      <w:proofErr w:type="spellEnd"/>
      <w:r>
        <w:t xml:space="preserve"> &amp; </w:t>
      </w:r>
      <w:proofErr w:type="spellStart"/>
      <w:r>
        <w:t>Khagram</w:t>
      </w:r>
      <w:proofErr w:type="spellEnd"/>
      <w:r>
        <w:t xml:space="preserve"> (2005)</w:t>
      </w:r>
      <w:hyperlink w:anchor="_bookmark129" w:history="1">
        <w:r w:rsidR="000E52B0">
          <w:rPr>
            <w:position w:val="8"/>
            <w:sz w:val="16"/>
          </w:rPr>
          <w:t>111</w:t>
        </w:r>
      </w:hyperlink>
      <w:r>
        <w:t>, por su parte, encuentran que la</w:t>
      </w:r>
      <w:r>
        <w:rPr>
          <w:spacing w:val="-22"/>
        </w:rPr>
        <w:t xml:space="preserve"> </w:t>
      </w:r>
      <w:r>
        <w:t>desigualdad</w:t>
      </w:r>
      <w:r>
        <w:rPr>
          <w:spacing w:val="-21"/>
        </w:rPr>
        <w:t xml:space="preserve"> </w:t>
      </w:r>
      <w:r>
        <w:t>del</w:t>
      </w:r>
      <w:r>
        <w:rPr>
          <w:spacing w:val="-21"/>
        </w:rPr>
        <w:t xml:space="preserve"> </w:t>
      </w:r>
      <w:r>
        <w:t>ingreso</w:t>
      </w:r>
      <w:r>
        <w:rPr>
          <w:spacing w:val="-21"/>
        </w:rPr>
        <w:t xml:space="preserve"> </w:t>
      </w:r>
      <w:r>
        <w:t>aumenta</w:t>
      </w:r>
      <w:r>
        <w:rPr>
          <w:spacing w:val="-21"/>
        </w:rPr>
        <w:t xml:space="preserve"> </w:t>
      </w:r>
      <w:r>
        <w:t>los</w:t>
      </w:r>
      <w:r>
        <w:rPr>
          <w:spacing w:val="-21"/>
        </w:rPr>
        <w:t xml:space="preserve"> </w:t>
      </w:r>
      <w:r>
        <w:t>niveles</w:t>
      </w:r>
      <w:r>
        <w:rPr>
          <w:spacing w:val="-21"/>
        </w:rPr>
        <w:t xml:space="preserve"> </w:t>
      </w:r>
      <w:r>
        <w:t>de</w:t>
      </w:r>
      <w:r>
        <w:rPr>
          <w:spacing w:val="-21"/>
        </w:rPr>
        <w:t xml:space="preserve"> </w:t>
      </w:r>
      <w:r>
        <w:t>corrupción</w:t>
      </w:r>
      <w:r>
        <w:rPr>
          <w:spacing w:val="-21"/>
        </w:rPr>
        <w:t xml:space="preserve"> </w:t>
      </w:r>
      <w:r>
        <w:t>no</w:t>
      </w:r>
      <w:r>
        <w:rPr>
          <w:spacing w:val="-21"/>
        </w:rPr>
        <w:t xml:space="preserve"> </w:t>
      </w:r>
      <w:r>
        <w:t>solo</w:t>
      </w:r>
      <w:r>
        <w:rPr>
          <w:spacing w:val="-22"/>
        </w:rPr>
        <w:t xml:space="preserve"> </w:t>
      </w:r>
      <w:r>
        <w:t>porque los pobres tienen menor acceso a mecanismos de veeduría sino porque tienden a acostumbrarse y a legitimar la corrupción.</w:t>
      </w:r>
    </w:p>
    <w:p w14:paraId="47972779" w14:textId="77777777" w:rsidR="000E52B0" w:rsidRDefault="00F60D74">
      <w:pPr>
        <w:pStyle w:val="Textoindependiente"/>
        <w:spacing w:before="159"/>
        <w:ind w:right="717"/>
        <w:jc w:val="both"/>
      </w:pPr>
      <w:r>
        <w:t>Para Cabrera (2018)</w:t>
      </w:r>
      <w:hyperlink w:anchor="_bookmark130" w:history="1">
        <w:r w:rsidR="000E52B0">
          <w:rPr>
            <w:position w:val="8"/>
            <w:sz w:val="16"/>
          </w:rPr>
          <w:t>112</w:t>
        </w:r>
      </w:hyperlink>
      <w:r>
        <w:t>, dados los vínculos entre inequidad y sistema político, mientras no haya un esfuerzo por reducir las desigualdades en términos</w:t>
      </w:r>
      <w:r>
        <w:rPr>
          <w:spacing w:val="-2"/>
        </w:rPr>
        <w:t xml:space="preserve"> </w:t>
      </w:r>
      <w:r>
        <w:t>de</w:t>
      </w:r>
      <w:r>
        <w:rPr>
          <w:spacing w:val="-1"/>
        </w:rPr>
        <w:t xml:space="preserve"> </w:t>
      </w:r>
      <w:r>
        <w:t>la</w:t>
      </w:r>
      <w:r>
        <w:rPr>
          <w:spacing w:val="-2"/>
        </w:rPr>
        <w:t xml:space="preserve"> </w:t>
      </w:r>
      <w:r>
        <w:t>concentración</w:t>
      </w:r>
      <w:r>
        <w:rPr>
          <w:spacing w:val="-2"/>
        </w:rPr>
        <w:t xml:space="preserve"> </w:t>
      </w:r>
      <w:r>
        <w:t>de</w:t>
      </w:r>
      <w:r>
        <w:rPr>
          <w:spacing w:val="-1"/>
        </w:rPr>
        <w:t xml:space="preserve"> </w:t>
      </w:r>
      <w:r>
        <w:t>la</w:t>
      </w:r>
      <w:r>
        <w:rPr>
          <w:spacing w:val="-2"/>
        </w:rPr>
        <w:t xml:space="preserve"> </w:t>
      </w:r>
      <w:r>
        <w:t>riqueza,</w:t>
      </w:r>
      <w:r>
        <w:rPr>
          <w:spacing w:val="-3"/>
        </w:rPr>
        <w:t xml:space="preserve"> </w:t>
      </w:r>
      <w:r>
        <w:t>el</w:t>
      </w:r>
      <w:r>
        <w:rPr>
          <w:spacing w:val="-3"/>
        </w:rPr>
        <w:t xml:space="preserve"> </w:t>
      </w:r>
      <w:r>
        <w:t>enorme</w:t>
      </w:r>
      <w:r>
        <w:rPr>
          <w:spacing w:val="-1"/>
        </w:rPr>
        <w:t xml:space="preserve"> </w:t>
      </w:r>
      <w:r>
        <w:t>esfuerzo</w:t>
      </w:r>
      <w:r>
        <w:rPr>
          <w:spacing w:val="-1"/>
        </w:rPr>
        <w:t xml:space="preserve"> </w:t>
      </w:r>
      <w:r>
        <w:t>en</w:t>
      </w:r>
      <w:r>
        <w:rPr>
          <w:spacing w:val="-2"/>
        </w:rPr>
        <w:t xml:space="preserve"> </w:t>
      </w:r>
      <w:r>
        <w:t>materia de gasto público social es ineficiente para reducir estructuralmente la pobreza y cerrar las brechas. Por ejemplo, el informe de OXFAM de 2018 estima</w:t>
      </w:r>
      <w:r>
        <w:rPr>
          <w:spacing w:val="-1"/>
        </w:rPr>
        <w:t xml:space="preserve"> </w:t>
      </w:r>
      <w:r>
        <w:t>que,</w:t>
      </w:r>
      <w:r>
        <w:rPr>
          <w:spacing w:val="-3"/>
        </w:rPr>
        <w:t xml:space="preserve"> </w:t>
      </w:r>
      <w:r>
        <w:t>si</w:t>
      </w:r>
      <w:r>
        <w:rPr>
          <w:spacing w:val="-2"/>
        </w:rPr>
        <w:t xml:space="preserve"> </w:t>
      </w:r>
      <w:r>
        <w:t>bien,</w:t>
      </w:r>
      <w:r>
        <w:rPr>
          <w:spacing w:val="-1"/>
        </w:rPr>
        <w:t xml:space="preserve"> </w:t>
      </w:r>
      <w:r>
        <w:t>entre</w:t>
      </w:r>
      <w:r>
        <w:rPr>
          <w:spacing w:val="-1"/>
        </w:rPr>
        <w:t xml:space="preserve"> </w:t>
      </w:r>
      <w:r>
        <w:t>1990</w:t>
      </w:r>
      <w:r>
        <w:rPr>
          <w:spacing w:val="-2"/>
        </w:rPr>
        <w:t xml:space="preserve"> </w:t>
      </w:r>
      <w:r>
        <w:t>y</w:t>
      </w:r>
      <w:r>
        <w:rPr>
          <w:spacing w:val="-3"/>
        </w:rPr>
        <w:t xml:space="preserve"> </w:t>
      </w:r>
      <w:r>
        <w:t>2010,</w:t>
      </w:r>
      <w:r>
        <w:rPr>
          <w:spacing w:val="-3"/>
        </w:rPr>
        <w:t xml:space="preserve"> </w:t>
      </w:r>
      <w:r>
        <w:t>el</w:t>
      </w:r>
      <w:r>
        <w:rPr>
          <w:spacing w:val="-3"/>
        </w:rPr>
        <w:t xml:space="preserve"> </w:t>
      </w:r>
      <w:r>
        <w:t>número</w:t>
      </w:r>
      <w:r>
        <w:rPr>
          <w:spacing w:val="-1"/>
        </w:rPr>
        <w:t xml:space="preserve"> </w:t>
      </w:r>
      <w:r>
        <w:t>de</w:t>
      </w:r>
      <w:r>
        <w:rPr>
          <w:spacing w:val="-2"/>
        </w:rPr>
        <w:t xml:space="preserve"> </w:t>
      </w:r>
      <w:r>
        <w:t>persona</w:t>
      </w:r>
      <w:r>
        <w:rPr>
          <w:spacing w:val="-2"/>
        </w:rPr>
        <w:t xml:space="preserve"> </w:t>
      </w:r>
      <w:r>
        <w:t>que vive</w:t>
      </w:r>
      <w:r>
        <w:rPr>
          <w:spacing w:val="-2"/>
        </w:rPr>
        <w:t xml:space="preserve"> </w:t>
      </w:r>
      <w:r>
        <w:t>en situación de pobreza se redujo a la mitad, si la desigualdad dentro de los países no hubiera aumentado, 200 millones de personas más se habrían beneficiado y, habría</w:t>
      </w:r>
      <w:r>
        <w:rPr>
          <w:spacing w:val="-1"/>
        </w:rPr>
        <w:t xml:space="preserve"> </w:t>
      </w:r>
      <w:r>
        <w:t>podido ser de 700 millones</w:t>
      </w:r>
      <w:r>
        <w:rPr>
          <w:spacing w:val="-1"/>
        </w:rPr>
        <w:t xml:space="preserve"> </w:t>
      </w:r>
      <w:r>
        <w:t>si las personas</w:t>
      </w:r>
      <w:r>
        <w:rPr>
          <w:spacing w:val="-1"/>
        </w:rPr>
        <w:t xml:space="preserve"> </w:t>
      </w:r>
      <w:r>
        <w:t>pobres</w:t>
      </w:r>
      <w:r>
        <w:rPr>
          <w:spacing w:val="-1"/>
        </w:rPr>
        <w:t xml:space="preserve"> </w:t>
      </w:r>
      <w:r>
        <w:t>se hubieran</w:t>
      </w:r>
      <w:r>
        <w:rPr>
          <w:spacing w:val="-22"/>
        </w:rPr>
        <w:t xml:space="preserve"> </w:t>
      </w:r>
      <w:r>
        <w:t>beneficiado</w:t>
      </w:r>
      <w:r>
        <w:rPr>
          <w:spacing w:val="-21"/>
        </w:rPr>
        <w:t xml:space="preserve"> </w:t>
      </w:r>
      <w:r>
        <w:t>más</w:t>
      </w:r>
      <w:r>
        <w:rPr>
          <w:spacing w:val="-21"/>
        </w:rPr>
        <w:t xml:space="preserve"> </w:t>
      </w:r>
      <w:r>
        <w:t>del</w:t>
      </w:r>
      <w:r>
        <w:rPr>
          <w:spacing w:val="-21"/>
        </w:rPr>
        <w:t xml:space="preserve"> </w:t>
      </w:r>
      <w:r>
        <w:t>crecimiento</w:t>
      </w:r>
      <w:r>
        <w:rPr>
          <w:spacing w:val="-21"/>
        </w:rPr>
        <w:t xml:space="preserve"> </w:t>
      </w:r>
      <w:r>
        <w:t>económico</w:t>
      </w:r>
      <w:r>
        <w:rPr>
          <w:spacing w:val="-21"/>
        </w:rPr>
        <w:t xml:space="preserve"> </w:t>
      </w:r>
      <w:r>
        <w:t>que</w:t>
      </w:r>
      <w:r>
        <w:rPr>
          <w:spacing w:val="-21"/>
        </w:rPr>
        <w:t xml:space="preserve"> </w:t>
      </w:r>
      <w:r>
        <w:t>los</w:t>
      </w:r>
      <w:r>
        <w:rPr>
          <w:spacing w:val="-21"/>
        </w:rPr>
        <w:t xml:space="preserve"> </w:t>
      </w:r>
      <w:r>
        <w:t>ricos</w:t>
      </w:r>
      <w:r>
        <w:rPr>
          <w:spacing w:val="-21"/>
        </w:rPr>
        <w:t xml:space="preserve"> </w:t>
      </w:r>
      <w:r>
        <w:t xml:space="preserve">(Vázquez Pimentel, </w:t>
      </w:r>
      <w:proofErr w:type="spellStart"/>
      <w:r>
        <w:t>Aymar</w:t>
      </w:r>
      <w:proofErr w:type="spellEnd"/>
      <w:r>
        <w:t xml:space="preserve">, &amp; </w:t>
      </w:r>
      <w:proofErr w:type="spellStart"/>
      <w:r>
        <w:t>Lawson</w:t>
      </w:r>
      <w:proofErr w:type="spellEnd"/>
      <w:r>
        <w:t>, 2018)</w:t>
      </w:r>
      <w:hyperlink w:anchor="_bookmark131" w:history="1">
        <w:r w:rsidR="000E52B0">
          <w:rPr>
            <w:position w:val="8"/>
            <w:sz w:val="16"/>
          </w:rPr>
          <w:t>113</w:t>
        </w:r>
      </w:hyperlink>
      <w:r>
        <w:t>.</w:t>
      </w:r>
    </w:p>
    <w:p w14:paraId="0CD21A83" w14:textId="77777777" w:rsidR="000E52B0" w:rsidRDefault="000E52B0">
      <w:pPr>
        <w:pStyle w:val="Textoindependiente"/>
        <w:spacing w:before="40"/>
        <w:ind w:left="0"/>
      </w:pPr>
    </w:p>
    <w:p w14:paraId="734FC6FD" w14:textId="77777777" w:rsidR="000E52B0" w:rsidRDefault="00F60D74">
      <w:pPr>
        <w:ind w:left="720"/>
        <w:jc w:val="both"/>
        <w:rPr>
          <w:i/>
          <w:sz w:val="24"/>
        </w:rPr>
      </w:pPr>
      <w:bookmarkStart w:id="127" w:name="_bookmark127"/>
      <w:bookmarkEnd w:id="127"/>
      <w:r>
        <w:rPr>
          <w:i/>
          <w:color w:val="B3176C"/>
          <w:sz w:val="24"/>
        </w:rPr>
        <w:t>Criminalidad,</w:t>
      </w:r>
      <w:r>
        <w:rPr>
          <w:i/>
          <w:color w:val="B3176C"/>
          <w:spacing w:val="-4"/>
          <w:sz w:val="24"/>
        </w:rPr>
        <w:t xml:space="preserve"> </w:t>
      </w:r>
      <w:r>
        <w:rPr>
          <w:i/>
          <w:color w:val="B3176C"/>
          <w:sz w:val="24"/>
        </w:rPr>
        <w:t>falta</w:t>
      </w:r>
      <w:r>
        <w:rPr>
          <w:i/>
          <w:color w:val="B3176C"/>
          <w:spacing w:val="-2"/>
          <w:sz w:val="24"/>
        </w:rPr>
        <w:t xml:space="preserve"> </w:t>
      </w:r>
      <w:r>
        <w:rPr>
          <w:i/>
          <w:color w:val="B3176C"/>
          <w:sz w:val="24"/>
        </w:rPr>
        <w:t>de</w:t>
      </w:r>
      <w:r>
        <w:rPr>
          <w:i/>
          <w:color w:val="B3176C"/>
          <w:spacing w:val="-3"/>
          <w:sz w:val="24"/>
        </w:rPr>
        <w:t xml:space="preserve"> </w:t>
      </w:r>
      <w:r>
        <w:rPr>
          <w:i/>
          <w:color w:val="B3176C"/>
          <w:sz w:val="24"/>
        </w:rPr>
        <w:t>confianza</w:t>
      </w:r>
      <w:r>
        <w:rPr>
          <w:i/>
          <w:color w:val="B3176C"/>
          <w:spacing w:val="-3"/>
          <w:sz w:val="24"/>
        </w:rPr>
        <w:t xml:space="preserve"> </w:t>
      </w:r>
      <w:r>
        <w:rPr>
          <w:i/>
          <w:color w:val="B3176C"/>
          <w:sz w:val="24"/>
        </w:rPr>
        <w:t>y</w:t>
      </w:r>
      <w:r>
        <w:rPr>
          <w:i/>
          <w:color w:val="B3176C"/>
          <w:spacing w:val="-3"/>
          <w:sz w:val="24"/>
        </w:rPr>
        <w:t xml:space="preserve"> </w:t>
      </w:r>
      <w:r>
        <w:rPr>
          <w:i/>
          <w:color w:val="B3176C"/>
          <w:spacing w:val="-2"/>
          <w:sz w:val="24"/>
        </w:rPr>
        <w:t>violencia</w:t>
      </w:r>
    </w:p>
    <w:p w14:paraId="5691C8FA" w14:textId="77777777" w:rsidR="000E52B0" w:rsidRDefault="000E52B0">
      <w:pPr>
        <w:pStyle w:val="Textoindependiente"/>
        <w:ind w:left="0"/>
        <w:rPr>
          <w:i/>
        </w:rPr>
      </w:pPr>
    </w:p>
    <w:p w14:paraId="31D7FC68" w14:textId="77777777" w:rsidR="000E52B0" w:rsidRDefault="00F60D74">
      <w:pPr>
        <w:pStyle w:val="Textoindependiente"/>
        <w:ind w:right="714"/>
        <w:jc w:val="both"/>
      </w:pPr>
      <w:r>
        <w:t>La desigualdad en el ingreso resulta en tasas de crecimiento bajas debido a su relación con la criminalidad y la violencia, la baja acumulación de capital físico y humano entre los más pobres y la volatilidad del producto (López</w:t>
      </w:r>
      <w:r>
        <w:rPr>
          <w:spacing w:val="-10"/>
        </w:rPr>
        <w:t xml:space="preserve"> </w:t>
      </w:r>
      <w:r>
        <w:t>&amp;</w:t>
      </w:r>
      <w:r>
        <w:rPr>
          <w:spacing w:val="-10"/>
        </w:rPr>
        <w:t xml:space="preserve"> </w:t>
      </w:r>
      <w:r>
        <w:t>Perry,</w:t>
      </w:r>
      <w:r>
        <w:rPr>
          <w:spacing w:val="-11"/>
        </w:rPr>
        <w:t xml:space="preserve"> </w:t>
      </w:r>
      <w:r>
        <w:t>2008)</w:t>
      </w:r>
      <w:hyperlink w:anchor="_bookmark132" w:history="1">
        <w:r w:rsidR="000E52B0">
          <w:rPr>
            <w:position w:val="8"/>
            <w:sz w:val="16"/>
          </w:rPr>
          <w:t>114</w:t>
        </w:r>
      </w:hyperlink>
      <w:r>
        <w:t>.</w:t>
      </w:r>
      <w:r>
        <w:rPr>
          <w:spacing w:val="-11"/>
        </w:rPr>
        <w:t xml:space="preserve"> </w:t>
      </w:r>
      <w:r>
        <w:t>Las</w:t>
      </w:r>
      <w:r>
        <w:rPr>
          <w:spacing w:val="-11"/>
        </w:rPr>
        <w:t xml:space="preserve"> </w:t>
      </w:r>
      <w:r>
        <w:t>sociedades</w:t>
      </w:r>
      <w:r>
        <w:rPr>
          <w:spacing w:val="-9"/>
        </w:rPr>
        <w:t xml:space="preserve"> </w:t>
      </w:r>
      <w:r>
        <w:t>más</w:t>
      </w:r>
      <w:r>
        <w:rPr>
          <w:spacing w:val="-11"/>
        </w:rPr>
        <w:t xml:space="preserve"> </w:t>
      </w:r>
      <w:r>
        <w:t>inequitativas</w:t>
      </w:r>
      <w:r>
        <w:rPr>
          <w:spacing w:val="-10"/>
        </w:rPr>
        <w:t xml:space="preserve"> </w:t>
      </w:r>
      <w:r>
        <w:t>tienden</w:t>
      </w:r>
      <w:r>
        <w:rPr>
          <w:spacing w:val="-11"/>
        </w:rPr>
        <w:t xml:space="preserve"> </w:t>
      </w:r>
      <w:r>
        <w:t>a</w:t>
      </w:r>
      <w:r>
        <w:rPr>
          <w:spacing w:val="-10"/>
        </w:rPr>
        <w:t xml:space="preserve"> </w:t>
      </w:r>
      <w:r>
        <w:t xml:space="preserve">tener mayores tasas de criminalidad y menor confianza social, debido a que producen menos oportunidades legítimas para los más pobres, lo que los empuja hacia actividades ilegales (De </w:t>
      </w:r>
      <w:proofErr w:type="spellStart"/>
      <w:r>
        <w:t>Courson</w:t>
      </w:r>
      <w:proofErr w:type="spellEnd"/>
      <w:r>
        <w:t xml:space="preserve"> &amp; </w:t>
      </w:r>
      <w:proofErr w:type="spellStart"/>
      <w:r>
        <w:t>Nettle</w:t>
      </w:r>
      <w:proofErr w:type="spellEnd"/>
      <w:r>
        <w:t>, 2021)</w:t>
      </w:r>
      <w:hyperlink w:anchor="_bookmark133" w:history="1">
        <w:r w:rsidR="000E52B0">
          <w:rPr>
            <w:position w:val="8"/>
            <w:sz w:val="16"/>
          </w:rPr>
          <w:t>115</w:t>
        </w:r>
      </w:hyperlink>
      <w:r>
        <w:t xml:space="preserve">. De </w:t>
      </w:r>
      <w:proofErr w:type="spellStart"/>
      <w:r>
        <w:t>Courson</w:t>
      </w:r>
      <w:proofErr w:type="spellEnd"/>
      <w:r>
        <w:rPr>
          <w:spacing w:val="12"/>
        </w:rPr>
        <w:t xml:space="preserve"> </w:t>
      </w:r>
      <w:r>
        <w:t>&amp;</w:t>
      </w:r>
      <w:r>
        <w:rPr>
          <w:spacing w:val="15"/>
        </w:rPr>
        <w:t xml:space="preserve"> </w:t>
      </w:r>
      <w:proofErr w:type="spellStart"/>
      <w:r>
        <w:t>Nettle</w:t>
      </w:r>
      <w:proofErr w:type="spellEnd"/>
      <w:r>
        <w:rPr>
          <w:spacing w:val="18"/>
        </w:rPr>
        <w:t xml:space="preserve"> </w:t>
      </w:r>
      <w:r>
        <w:t>(2021)</w:t>
      </w:r>
      <w:r>
        <w:rPr>
          <w:spacing w:val="15"/>
        </w:rPr>
        <w:t xml:space="preserve"> </w:t>
      </w:r>
      <w:r>
        <w:t>proponen</w:t>
      </w:r>
      <w:r>
        <w:rPr>
          <w:spacing w:val="15"/>
        </w:rPr>
        <w:t xml:space="preserve"> </w:t>
      </w:r>
      <w:r>
        <w:t>un</w:t>
      </w:r>
      <w:r>
        <w:rPr>
          <w:spacing w:val="16"/>
        </w:rPr>
        <w:t xml:space="preserve"> </w:t>
      </w:r>
      <w:r>
        <w:t>modelo</w:t>
      </w:r>
      <w:r>
        <w:rPr>
          <w:spacing w:val="15"/>
        </w:rPr>
        <w:t xml:space="preserve"> </w:t>
      </w:r>
      <w:r>
        <w:t>en</w:t>
      </w:r>
      <w:r>
        <w:rPr>
          <w:spacing w:val="14"/>
        </w:rPr>
        <w:t xml:space="preserve"> </w:t>
      </w:r>
      <w:r>
        <w:t>el</w:t>
      </w:r>
      <w:r>
        <w:rPr>
          <w:spacing w:val="16"/>
        </w:rPr>
        <w:t xml:space="preserve"> </w:t>
      </w:r>
      <w:r>
        <w:t>cual</w:t>
      </w:r>
      <w:r>
        <w:rPr>
          <w:spacing w:val="17"/>
        </w:rPr>
        <w:t xml:space="preserve"> </w:t>
      </w:r>
      <w:r>
        <w:t>mayores</w:t>
      </w:r>
      <w:r>
        <w:rPr>
          <w:spacing w:val="15"/>
        </w:rPr>
        <w:t xml:space="preserve"> </w:t>
      </w:r>
      <w:r>
        <w:rPr>
          <w:spacing w:val="-2"/>
        </w:rPr>
        <w:t>niveles</w:t>
      </w:r>
    </w:p>
    <w:p w14:paraId="45FAF69A" w14:textId="77777777" w:rsidR="000E52B0" w:rsidRDefault="00F60D74">
      <w:pPr>
        <w:pStyle w:val="Textoindependiente"/>
        <w:spacing w:before="103"/>
        <w:ind w:left="0"/>
        <w:rPr>
          <w:sz w:val="20"/>
        </w:rPr>
      </w:pPr>
      <w:r>
        <w:rPr>
          <w:noProof/>
          <w:sz w:val="20"/>
        </w:rPr>
        <mc:AlternateContent>
          <mc:Choice Requires="wps">
            <w:drawing>
              <wp:anchor distT="0" distB="0" distL="0" distR="0" simplePos="0" relativeHeight="487668736" behindDoc="1" locked="0" layoutInCell="1" allowOverlap="1" wp14:anchorId="627067C0" wp14:editId="0D49129C">
                <wp:simplePos x="0" y="0"/>
                <wp:positionH relativeFrom="page">
                  <wp:posOffset>914704</wp:posOffset>
                </wp:positionH>
                <wp:positionV relativeFrom="paragraph">
                  <wp:posOffset>235618</wp:posOffset>
                </wp:positionV>
                <wp:extent cx="1829435" cy="7620"/>
                <wp:effectExtent l="0" t="0" r="0" b="0"/>
                <wp:wrapTopAndBottom/>
                <wp:docPr id="743" name="Graphic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03165F" id="Graphic 743" o:spid="_x0000_s1026" style="position:absolute;margin-left:1in;margin-top:18.55pt;width:144.05pt;height:.6pt;z-index:-156477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" path="m1829054,l,,,7619r1829054,l1829054,xe" fillcolor="black" stroked="f">
                <v:path arrowok="t"/>
                <w10:wrap type="topAndBottom" anchorx="page"/>
              </v:shape>
            </w:pict>
          </mc:Fallback>
        </mc:AlternateContent>
      </w:r>
    </w:p>
    <w:p w14:paraId="47D33D19" w14:textId="77777777" w:rsidR="000E52B0" w:rsidRDefault="00F60D74">
      <w:pPr>
        <w:spacing w:before="96"/>
        <w:ind w:left="720" w:right="718"/>
        <w:jc w:val="both"/>
        <w:rPr>
          <w:rFonts w:ascii="Arial MT" w:hAnsi="Arial MT"/>
          <w:sz w:val="18"/>
        </w:rPr>
      </w:pPr>
      <w:bookmarkStart w:id="128" w:name="_bookmark128"/>
      <w:bookmarkEnd w:id="128"/>
      <w:r>
        <w:rPr>
          <w:rFonts w:ascii="Arial MT" w:hAnsi="Arial MT"/>
          <w:position w:val="6"/>
          <w:sz w:val="12"/>
        </w:rPr>
        <w:t>110</w:t>
      </w:r>
      <w:r>
        <w:rPr>
          <w:rFonts w:ascii="Arial MT" w:hAnsi="Arial MT"/>
          <w:spacing w:val="40"/>
          <w:position w:val="6"/>
          <w:sz w:val="12"/>
        </w:rPr>
        <w:t xml:space="preserve"> </w:t>
      </w:r>
      <w:r>
        <w:rPr>
          <w:rFonts w:ascii="Arial MT" w:hAnsi="Arial MT"/>
          <w:sz w:val="18"/>
        </w:rPr>
        <w:t xml:space="preserve">Sáenz-Castro, J., &amp; García-González, J. (2019). </w:t>
      </w:r>
      <w:proofErr w:type="spellStart"/>
      <w:r>
        <w:rPr>
          <w:rFonts w:ascii="Arial MT" w:hAnsi="Arial MT"/>
          <w:sz w:val="18"/>
        </w:rPr>
        <w:t>The</w:t>
      </w:r>
      <w:proofErr w:type="spellEnd"/>
      <w:r>
        <w:rPr>
          <w:rFonts w:ascii="Arial MT" w:hAnsi="Arial MT"/>
          <w:sz w:val="18"/>
        </w:rPr>
        <w:t xml:space="preserve"> </w:t>
      </w:r>
      <w:proofErr w:type="spellStart"/>
      <w:r>
        <w:rPr>
          <w:rFonts w:ascii="Arial MT" w:hAnsi="Arial MT"/>
          <w:sz w:val="18"/>
        </w:rPr>
        <w:t>relationship</w:t>
      </w:r>
      <w:proofErr w:type="spellEnd"/>
      <w:r>
        <w:rPr>
          <w:rFonts w:ascii="Arial MT" w:hAnsi="Arial MT"/>
          <w:sz w:val="18"/>
        </w:rPr>
        <w:t xml:space="preserve"> </w:t>
      </w:r>
      <w:proofErr w:type="spellStart"/>
      <w:r>
        <w:rPr>
          <w:rFonts w:ascii="Arial MT" w:hAnsi="Arial MT"/>
          <w:sz w:val="18"/>
        </w:rPr>
        <w:t>between</w:t>
      </w:r>
      <w:proofErr w:type="spellEnd"/>
      <w:r>
        <w:rPr>
          <w:rFonts w:ascii="Arial MT" w:hAnsi="Arial MT"/>
          <w:sz w:val="18"/>
        </w:rPr>
        <w:t xml:space="preserve"> </w:t>
      </w:r>
      <w:proofErr w:type="spellStart"/>
      <w:r>
        <w:rPr>
          <w:rFonts w:ascii="Arial MT" w:hAnsi="Arial MT"/>
          <w:sz w:val="18"/>
        </w:rPr>
        <w:t>corruption</w:t>
      </w:r>
      <w:proofErr w:type="spellEnd"/>
      <w:r>
        <w:rPr>
          <w:rFonts w:ascii="Arial MT" w:hAnsi="Arial MT"/>
          <w:sz w:val="18"/>
        </w:rPr>
        <w:t xml:space="preserve"> and </w:t>
      </w:r>
      <w:proofErr w:type="spellStart"/>
      <w:r>
        <w:rPr>
          <w:rFonts w:ascii="Arial MT" w:hAnsi="Arial MT"/>
          <w:sz w:val="18"/>
        </w:rPr>
        <w:t>inequality</w:t>
      </w:r>
      <w:proofErr w:type="spellEnd"/>
      <w:r>
        <w:rPr>
          <w:rFonts w:ascii="Arial MT" w:hAnsi="Arial MT"/>
          <w:sz w:val="18"/>
        </w:rPr>
        <w:t xml:space="preserve"> in Colombia: </w:t>
      </w:r>
      <w:proofErr w:type="spellStart"/>
      <w:r>
        <w:rPr>
          <w:rFonts w:ascii="Arial MT" w:hAnsi="Arial MT"/>
          <w:sz w:val="18"/>
        </w:rPr>
        <w:t>empirical</w:t>
      </w:r>
      <w:proofErr w:type="spellEnd"/>
      <w:r>
        <w:rPr>
          <w:rFonts w:ascii="Arial MT" w:hAnsi="Arial MT"/>
          <w:sz w:val="18"/>
        </w:rPr>
        <w:t xml:space="preserve"> </w:t>
      </w:r>
      <w:proofErr w:type="spellStart"/>
      <w:r>
        <w:rPr>
          <w:rFonts w:ascii="Arial MT" w:hAnsi="Arial MT"/>
          <w:sz w:val="18"/>
        </w:rPr>
        <w:t>evidence</w:t>
      </w:r>
      <w:proofErr w:type="spellEnd"/>
      <w:r>
        <w:rPr>
          <w:rFonts w:ascii="Arial MT" w:hAnsi="Arial MT"/>
          <w:sz w:val="18"/>
        </w:rPr>
        <w:t xml:space="preserve"> </w:t>
      </w:r>
      <w:proofErr w:type="spellStart"/>
      <w:r>
        <w:rPr>
          <w:rFonts w:ascii="Arial MT" w:hAnsi="Arial MT"/>
          <w:sz w:val="18"/>
        </w:rPr>
        <w:t>using</w:t>
      </w:r>
      <w:proofErr w:type="spellEnd"/>
      <w:r>
        <w:rPr>
          <w:rFonts w:ascii="Arial MT" w:hAnsi="Arial MT"/>
          <w:sz w:val="18"/>
        </w:rPr>
        <w:t xml:space="preserve"> panel data </w:t>
      </w:r>
      <w:proofErr w:type="spellStart"/>
      <w:r>
        <w:rPr>
          <w:rFonts w:ascii="Arial MT" w:hAnsi="Arial MT"/>
          <w:sz w:val="18"/>
        </w:rPr>
        <w:t>for</w:t>
      </w:r>
      <w:proofErr w:type="spellEnd"/>
      <w:r>
        <w:rPr>
          <w:rFonts w:ascii="Arial MT" w:hAnsi="Arial MT"/>
          <w:sz w:val="18"/>
        </w:rPr>
        <w:t xml:space="preserve"> </w:t>
      </w:r>
      <w:proofErr w:type="spellStart"/>
      <w:r>
        <w:rPr>
          <w:rFonts w:ascii="Arial MT" w:hAnsi="Arial MT"/>
          <w:sz w:val="18"/>
        </w:rPr>
        <w:t>the</w:t>
      </w:r>
      <w:proofErr w:type="spellEnd"/>
      <w:r>
        <w:rPr>
          <w:rFonts w:ascii="Arial MT" w:hAnsi="Arial MT"/>
          <w:sz w:val="18"/>
        </w:rPr>
        <w:t xml:space="preserve"> </w:t>
      </w:r>
      <w:proofErr w:type="spellStart"/>
      <w:r>
        <w:rPr>
          <w:rFonts w:ascii="Arial MT" w:hAnsi="Arial MT"/>
          <w:sz w:val="18"/>
        </w:rPr>
        <w:t>period</w:t>
      </w:r>
      <w:proofErr w:type="spellEnd"/>
      <w:r>
        <w:rPr>
          <w:rFonts w:ascii="Arial MT" w:hAnsi="Arial MT"/>
          <w:sz w:val="18"/>
        </w:rPr>
        <w:t xml:space="preserve"> 2008-2017. </w:t>
      </w:r>
      <w:proofErr w:type="spellStart"/>
      <w:r>
        <w:rPr>
          <w:rFonts w:ascii="Arial MT" w:hAnsi="Arial MT"/>
          <w:sz w:val="18"/>
        </w:rPr>
        <w:t>Iberoamerican</w:t>
      </w:r>
      <w:proofErr w:type="spellEnd"/>
      <w:r>
        <w:rPr>
          <w:rFonts w:ascii="Arial MT" w:hAnsi="Arial MT"/>
          <w:sz w:val="18"/>
        </w:rPr>
        <w:t xml:space="preserve"> </w:t>
      </w:r>
      <w:proofErr w:type="spellStart"/>
      <w:r>
        <w:rPr>
          <w:rFonts w:ascii="Arial MT" w:hAnsi="Arial MT"/>
          <w:sz w:val="18"/>
        </w:rPr>
        <w:t>Journal</w:t>
      </w:r>
      <w:proofErr w:type="spellEnd"/>
      <w:r>
        <w:rPr>
          <w:rFonts w:ascii="Arial MT" w:hAnsi="Arial MT"/>
          <w:sz w:val="18"/>
        </w:rPr>
        <w:t xml:space="preserve"> </w:t>
      </w:r>
      <w:proofErr w:type="spellStart"/>
      <w:r>
        <w:rPr>
          <w:rFonts w:ascii="Arial MT" w:hAnsi="Arial MT"/>
          <w:sz w:val="18"/>
        </w:rPr>
        <w:t>of</w:t>
      </w:r>
      <w:proofErr w:type="spellEnd"/>
      <w:r>
        <w:rPr>
          <w:rFonts w:ascii="Arial MT" w:hAnsi="Arial MT"/>
          <w:sz w:val="18"/>
        </w:rPr>
        <w:t xml:space="preserve"> </w:t>
      </w:r>
      <w:proofErr w:type="spellStart"/>
      <w:r>
        <w:rPr>
          <w:rFonts w:ascii="Arial MT" w:hAnsi="Arial MT"/>
          <w:sz w:val="18"/>
        </w:rPr>
        <w:t>Development</w:t>
      </w:r>
      <w:proofErr w:type="spellEnd"/>
      <w:r>
        <w:rPr>
          <w:rFonts w:ascii="Arial MT" w:hAnsi="Arial MT"/>
          <w:sz w:val="18"/>
        </w:rPr>
        <w:t xml:space="preserve"> </w:t>
      </w:r>
      <w:proofErr w:type="spellStart"/>
      <w:r>
        <w:rPr>
          <w:rFonts w:ascii="Arial MT" w:hAnsi="Arial MT"/>
          <w:sz w:val="18"/>
        </w:rPr>
        <w:t>Studies</w:t>
      </w:r>
      <w:proofErr w:type="spellEnd"/>
      <w:r>
        <w:rPr>
          <w:rFonts w:ascii="Arial MT" w:hAnsi="Arial MT"/>
          <w:sz w:val="18"/>
        </w:rPr>
        <w:t xml:space="preserve"> 8(2), 28-43.</w:t>
      </w:r>
    </w:p>
    <w:p w14:paraId="0DDBC90B" w14:textId="77777777" w:rsidR="000E52B0" w:rsidRDefault="00F60D74">
      <w:pPr>
        <w:ind w:left="720" w:right="714"/>
        <w:jc w:val="both"/>
        <w:rPr>
          <w:rFonts w:ascii="Arial MT"/>
          <w:sz w:val="18"/>
        </w:rPr>
      </w:pPr>
      <w:bookmarkStart w:id="129" w:name="_bookmark129"/>
      <w:bookmarkEnd w:id="129"/>
      <w:r w:rsidRPr="00203383">
        <w:rPr>
          <w:rFonts w:ascii="Arial MT"/>
          <w:position w:val="6"/>
          <w:sz w:val="12"/>
          <w:lang w:val="pt-PT"/>
        </w:rPr>
        <w:t>111</w:t>
      </w:r>
      <w:r w:rsidRPr="00203383">
        <w:rPr>
          <w:rFonts w:ascii="Arial MT"/>
          <w:spacing w:val="9"/>
          <w:position w:val="6"/>
          <w:sz w:val="12"/>
          <w:lang w:val="pt-PT"/>
        </w:rPr>
        <w:t xml:space="preserve"> </w:t>
      </w:r>
      <w:r w:rsidRPr="00203383">
        <w:rPr>
          <w:rFonts w:ascii="Arial MT"/>
          <w:sz w:val="18"/>
          <w:lang w:val="pt-PT"/>
        </w:rPr>
        <w:t>You,</w:t>
      </w:r>
      <w:r w:rsidRPr="00203383">
        <w:rPr>
          <w:rFonts w:ascii="Arial MT"/>
          <w:spacing w:val="-10"/>
          <w:sz w:val="18"/>
          <w:lang w:val="pt-PT"/>
        </w:rPr>
        <w:t xml:space="preserve"> </w:t>
      </w:r>
      <w:r w:rsidRPr="00203383">
        <w:rPr>
          <w:rFonts w:ascii="Arial MT"/>
          <w:sz w:val="18"/>
          <w:lang w:val="pt-PT"/>
        </w:rPr>
        <w:t>J.,</w:t>
      </w:r>
      <w:r w:rsidRPr="00203383">
        <w:rPr>
          <w:rFonts w:ascii="Arial MT"/>
          <w:spacing w:val="-7"/>
          <w:sz w:val="18"/>
          <w:lang w:val="pt-PT"/>
        </w:rPr>
        <w:t xml:space="preserve"> </w:t>
      </w:r>
      <w:r w:rsidRPr="00203383">
        <w:rPr>
          <w:rFonts w:ascii="Arial MT"/>
          <w:sz w:val="18"/>
          <w:lang w:val="pt-PT"/>
        </w:rPr>
        <w:t>&amp;</w:t>
      </w:r>
      <w:r w:rsidRPr="00203383">
        <w:rPr>
          <w:rFonts w:ascii="Arial MT"/>
          <w:spacing w:val="-8"/>
          <w:sz w:val="18"/>
          <w:lang w:val="pt-PT"/>
        </w:rPr>
        <w:t xml:space="preserve"> </w:t>
      </w:r>
      <w:r w:rsidRPr="00203383">
        <w:rPr>
          <w:rFonts w:ascii="Arial MT"/>
          <w:sz w:val="18"/>
          <w:lang w:val="pt-PT"/>
        </w:rPr>
        <w:t>Khagram,</w:t>
      </w:r>
      <w:r w:rsidRPr="00203383">
        <w:rPr>
          <w:rFonts w:ascii="Arial MT"/>
          <w:spacing w:val="-8"/>
          <w:sz w:val="18"/>
          <w:lang w:val="pt-PT"/>
        </w:rPr>
        <w:t xml:space="preserve"> </w:t>
      </w:r>
      <w:r w:rsidRPr="00203383">
        <w:rPr>
          <w:rFonts w:ascii="Arial MT"/>
          <w:sz w:val="18"/>
          <w:lang w:val="pt-PT"/>
        </w:rPr>
        <w:t>S.</w:t>
      </w:r>
      <w:r w:rsidRPr="00203383">
        <w:rPr>
          <w:rFonts w:ascii="Arial MT"/>
          <w:spacing w:val="-10"/>
          <w:sz w:val="18"/>
          <w:lang w:val="pt-PT"/>
        </w:rPr>
        <w:t xml:space="preserve"> </w:t>
      </w:r>
      <w:r w:rsidRPr="00203383">
        <w:rPr>
          <w:rFonts w:ascii="Arial MT"/>
          <w:sz w:val="18"/>
          <w:lang w:val="pt-PT"/>
        </w:rPr>
        <w:t>(2005).</w:t>
      </w:r>
      <w:r w:rsidRPr="00203383">
        <w:rPr>
          <w:rFonts w:ascii="Arial MT"/>
          <w:spacing w:val="-8"/>
          <w:sz w:val="18"/>
          <w:lang w:val="pt-PT"/>
        </w:rPr>
        <w:t xml:space="preserve"> </w:t>
      </w:r>
      <w:r w:rsidRPr="00203383">
        <w:rPr>
          <w:rFonts w:ascii="Arial MT"/>
          <w:sz w:val="18"/>
          <w:lang w:val="pt-PT"/>
        </w:rPr>
        <w:t>A</w:t>
      </w:r>
      <w:r w:rsidRPr="00203383">
        <w:rPr>
          <w:rFonts w:ascii="Arial MT"/>
          <w:spacing w:val="-8"/>
          <w:sz w:val="18"/>
          <w:lang w:val="pt-PT"/>
        </w:rPr>
        <w:t xml:space="preserve"> </w:t>
      </w:r>
      <w:r w:rsidRPr="00203383">
        <w:rPr>
          <w:rFonts w:ascii="Arial MT"/>
          <w:sz w:val="18"/>
          <w:lang w:val="pt-PT"/>
        </w:rPr>
        <w:t>comparative</w:t>
      </w:r>
      <w:r w:rsidRPr="00203383">
        <w:rPr>
          <w:rFonts w:ascii="Arial MT"/>
          <w:spacing w:val="-10"/>
          <w:sz w:val="18"/>
          <w:lang w:val="pt-PT"/>
        </w:rPr>
        <w:t xml:space="preserve"> </w:t>
      </w:r>
      <w:r w:rsidRPr="00203383">
        <w:rPr>
          <w:rFonts w:ascii="Arial MT"/>
          <w:sz w:val="18"/>
          <w:lang w:val="pt-PT"/>
        </w:rPr>
        <w:t>study</w:t>
      </w:r>
      <w:r w:rsidRPr="00203383">
        <w:rPr>
          <w:rFonts w:ascii="Arial MT"/>
          <w:spacing w:val="-7"/>
          <w:sz w:val="18"/>
          <w:lang w:val="pt-PT"/>
        </w:rPr>
        <w:t xml:space="preserve"> </w:t>
      </w:r>
      <w:r w:rsidRPr="00203383">
        <w:rPr>
          <w:rFonts w:ascii="Arial MT"/>
          <w:sz w:val="18"/>
          <w:lang w:val="pt-PT"/>
        </w:rPr>
        <w:t>of</w:t>
      </w:r>
      <w:r w:rsidRPr="00203383">
        <w:rPr>
          <w:rFonts w:ascii="Arial MT"/>
          <w:spacing w:val="-8"/>
          <w:sz w:val="18"/>
          <w:lang w:val="pt-PT"/>
        </w:rPr>
        <w:t xml:space="preserve"> </w:t>
      </w:r>
      <w:r w:rsidRPr="00203383">
        <w:rPr>
          <w:rFonts w:ascii="Arial MT"/>
          <w:sz w:val="18"/>
          <w:lang w:val="pt-PT"/>
        </w:rPr>
        <w:t>inequality</w:t>
      </w:r>
      <w:r w:rsidRPr="00203383">
        <w:rPr>
          <w:rFonts w:ascii="Arial MT"/>
          <w:spacing w:val="-7"/>
          <w:sz w:val="18"/>
          <w:lang w:val="pt-PT"/>
        </w:rPr>
        <w:t xml:space="preserve"> </w:t>
      </w:r>
      <w:r w:rsidRPr="00203383">
        <w:rPr>
          <w:rFonts w:ascii="Arial MT"/>
          <w:sz w:val="18"/>
          <w:lang w:val="pt-PT"/>
        </w:rPr>
        <w:t>and</w:t>
      </w:r>
      <w:r w:rsidRPr="00203383">
        <w:rPr>
          <w:rFonts w:ascii="Arial MT"/>
          <w:spacing w:val="-7"/>
          <w:sz w:val="18"/>
          <w:lang w:val="pt-PT"/>
        </w:rPr>
        <w:t xml:space="preserve"> </w:t>
      </w:r>
      <w:r w:rsidRPr="00203383">
        <w:rPr>
          <w:rFonts w:ascii="Arial MT"/>
          <w:sz w:val="18"/>
          <w:lang w:val="pt-PT"/>
        </w:rPr>
        <w:t xml:space="preserve">corruption. </w:t>
      </w:r>
      <w:r>
        <w:rPr>
          <w:rFonts w:ascii="Arial MT"/>
          <w:sz w:val="18"/>
        </w:rPr>
        <w:t>American</w:t>
      </w:r>
      <w:r>
        <w:rPr>
          <w:rFonts w:ascii="Arial MT"/>
          <w:spacing w:val="-10"/>
          <w:sz w:val="18"/>
        </w:rPr>
        <w:t xml:space="preserve"> </w:t>
      </w:r>
      <w:proofErr w:type="spellStart"/>
      <w:r>
        <w:rPr>
          <w:rFonts w:ascii="Arial MT"/>
          <w:sz w:val="18"/>
        </w:rPr>
        <w:t>Sociological</w:t>
      </w:r>
      <w:proofErr w:type="spellEnd"/>
      <w:r>
        <w:rPr>
          <w:rFonts w:ascii="Arial MT"/>
          <w:spacing w:val="-7"/>
          <w:sz w:val="18"/>
        </w:rPr>
        <w:t xml:space="preserve"> </w:t>
      </w:r>
      <w:proofErr w:type="spellStart"/>
      <w:r>
        <w:rPr>
          <w:rFonts w:ascii="Arial MT"/>
          <w:sz w:val="18"/>
        </w:rPr>
        <w:t>Review</w:t>
      </w:r>
      <w:proofErr w:type="spellEnd"/>
      <w:r>
        <w:rPr>
          <w:rFonts w:ascii="Arial MT"/>
          <w:sz w:val="18"/>
        </w:rPr>
        <w:t xml:space="preserve"> </w:t>
      </w:r>
      <w:r>
        <w:rPr>
          <w:rFonts w:ascii="Arial MT"/>
          <w:spacing w:val="-2"/>
          <w:sz w:val="18"/>
        </w:rPr>
        <w:t>70(1).</w:t>
      </w:r>
    </w:p>
    <w:p w14:paraId="43BC601F" w14:textId="77777777" w:rsidR="000E52B0" w:rsidRDefault="00F60D74">
      <w:pPr>
        <w:spacing w:line="206" w:lineRule="exact"/>
        <w:ind w:left="720"/>
        <w:jc w:val="both"/>
        <w:rPr>
          <w:rFonts w:ascii="Arial MT" w:hAnsi="Arial MT"/>
          <w:sz w:val="18"/>
        </w:rPr>
      </w:pPr>
      <w:bookmarkStart w:id="130" w:name="_bookmark130"/>
      <w:bookmarkEnd w:id="130"/>
      <w:r>
        <w:rPr>
          <w:rFonts w:ascii="Arial MT" w:hAnsi="Arial MT"/>
          <w:position w:val="6"/>
          <w:sz w:val="12"/>
        </w:rPr>
        <w:t>112</w:t>
      </w:r>
      <w:r>
        <w:rPr>
          <w:rFonts w:ascii="Arial MT" w:hAnsi="Arial MT"/>
          <w:spacing w:val="14"/>
          <w:position w:val="6"/>
          <w:sz w:val="12"/>
        </w:rPr>
        <w:t xml:space="preserve"> </w:t>
      </w:r>
      <w:r>
        <w:rPr>
          <w:rFonts w:ascii="Arial MT" w:hAnsi="Arial MT"/>
          <w:sz w:val="18"/>
        </w:rPr>
        <w:t>Cabrera,</w:t>
      </w:r>
      <w:r>
        <w:rPr>
          <w:rFonts w:ascii="Arial MT" w:hAnsi="Arial MT"/>
          <w:spacing w:val="-5"/>
          <w:sz w:val="18"/>
        </w:rPr>
        <w:t xml:space="preserve"> </w:t>
      </w:r>
      <w:r>
        <w:rPr>
          <w:rFonts w:ascii="Arial MT" w:hAnsi="Arial MT"/>
          <w:sz w:val="18"/>
        </w:rPr>
        <w:t>M.</w:t>
      </w:r>
      <w:r>
        <w:rPr>
          <w:rFonts w:ascii="Arial MT" w:hAnsi="Arial MT"/>
          <w:spacing w:val="-2"/>
          <w:sz w:val="18"/>
        </w:rPr>
        <w:t xml:space="preserve"> </w:t>
      </w:r>
      <w:r>
        <w:rPr>
          <w:rFonts w:ascii="Arial MT" w:hAnsi="Arial MT"/>
          <w:sz w:val="18"/>
        </w:rPr>
        <w:t>(2018).</w:t>
      </w:r>
      <w:r>
        <w:rPr>
          <w:rFonts w:ascii="Arial MT" w:hAnsi="Arial MT"/>
          <w:spacing w:val="-3"/>
          <w:sz w:val="18"/>
        </w:rPr>
        <w:t xml:space="preserve"> </w:t>
      </w:r>
      <w:r>
        <w:rPr>
          <w:rFonts w:ascii="Arial MT" w:hAnsi="Arial MT"/>
          <w:sz w:val="18"/>
        </w:rPr>
        <w:t>La</w:t>
      </w:r>
      <w:r>
        <w:rPr>
          <w:rFonts w:ascii="Arial MT" w:hAnsi="Arial MT"/>
          <w:spacing w:val="-5"/>
          <w:sz w:val="18"/>
        </w:rPr>
        <w:t xml:space="preserve"> </w:t>
      </w:r>
      <w:r>
        <w:rPr>
          <w:rFonts w:ascii="Arial MT" w:hAnsi="Arial MT"/>
          <w:sz w:val="18"/>
        </w:rPr>
        <w:t>desigualdad</w:t>
      </w:r>
      <w:r>
        <w:rPr>
          <w:rFonts w:ascii="Arial MT" w:hAnsi="Arial MT"/>
          <w:spacing w:val="-4"/>
          <w:sz w:val="18"/>
        </w:rPr>
        <w:t xml:space="preserve"> </w:t>
      </w:r>
      <w:r>
        <w:rPr>
          <w:rFonts w:ascii="Arial MT" w:hAnsi="Arial MT"/>
          <w:sz w:val="18"/>
        </w:rPr>
        <w:t>en</w:t>
      </w:r>
      <w:r>
        <w:rPr>
          <w:rFonts w:ascii="Arial MT" w:hAnsi="Arial MT"/>
          <w:spacing w:val="-3"/>
          <w:sz w:val="18"/>
        </w:rPr>
        <w:t xml:space="preserve"> </w:t>
      </w:r>
      <w:r>
        <w:rPr>
          <w:rFonts w:ascii="Arial MT" w:hAnsi="Arial MT"/>
          <w:sz w:val="18"/>
        </w:rPr>
        <w:t>Colombia.</w:t>
      </w:r>
      <w:r>
        <w:rPr>
          <w:rFonts w:ascii="Arial MT" w:hAnsi="Arial MT"/>
          <w:spacing w:val="-2"/>
          <w:sz w:val="18"/>
        </w:rPr>
        <w:t xml:space="preserve"> </w:t>
      </w:r>
      <w:r>
        <w:rPr>
          <w:rFonts w:ascii="Arial MT" w:hAnsi="Arial MT"/>
          <w:sz w:val="18"/>
        </w:rPr>
        <w:t>En</w:t>
      </w:r>
      <w:r>
        <w:rPr>
          <w:rFonts w:ascii="Arial MT" w:hAnsi="Arial MT"/>
          <w:spacing w:val="-5"/>
          <w:sz w:val="18"/>
        </w:rPr>
        <w:t xml:space="preserve"> </w:t>
      </w:r>
      <w:r>
        <w:rPr>
          <w:rFonts w:ascii="Arial MT" w:hAnsi="Arial MT"/>
          <w:sz w:val="18"/>
        </w:rPr>
        <w:t>J.</w:t>
      </w:r>
      <w:r>
        <w:rPr>
          <w:rFonts w:ascii="Arial MT" w:hAnsi="Arial MT"/>
          <w:spacing w:val="-3"/>
          <w:sz w:val="18"/>
        </w:rPr>
        <w:t xml:space="preserve"> </w:t>
      </w:r>
      <w:r>
        <w:rPr>
          <w:rFonts w:ascii="Arial MT" w:hAnsi="Arial MT"/>
          <w:sz w:val="18"/>
        </w:rPr>
        <w:t>Ocampo,</w:t>
      </w:r>
      <w:r>
        <w:rPr>
          <w:rFonts w:ascii="Arial MT" w:hAnsi="Arial MT"/>
          <w:spacing w:val="-4"/>
          <w:sz w:val="18"/>
        </w:rPr>
        <w:t xml:space="preserve"> </w:t>
      </w:r>
      <w:r>
        <w:rPr>
          <w:rFonts w:ascii="Arial MT" w:hAnsi="Arial MT"/>
          <w:sz w:val="18"/>
        </w:rPr>
        <w:t>M.</w:t>
      </w:r>
      <w:r>
        <w:rPr>
          <w:rFonts w:ascii="Arial MT" w:hAnsi="Arial MT"/>
          <w:spacing w:val="-3"/>
          <w:sz w:val="18"/>
        </w:rPr>
        <w:t xml:space="preserve"> </w:t>
      </w:r>
      <w:r>
        <w:rPr>
          <w:rFonts w:ascii="Arial MT" w:hAnsi="Arial MT"/>
          <w:sz w:val="18"/>
        </w:rPr>
        <w:t>Cabrera,</w:t>
      </w:r>
      <w:r>
        <w:rPr>
          <w:rFonts w:ascii="Arial MT" w:hAnsi="Arial MT"/>
          <w:spacing w:val="-2"/>
          <w:sz w:val="18"/>
        </w:rPr>
        <w:t xml:space="preserve"> </w:t>
      </w:r>
      <w:r>
        <w:rPr>
          <w:rFonts w:ascii="Arial MT" w:hAnsi="Arial MT"/>
          <w:sz w:val="18"/>
        </w:rPr>
        <w:t>A.</w:t>
      </w:r>
      <w:r>
        <w:rPr>
          <w:rFonts w:ascii="Arial MT" w:hAnsi="Arial MT"/>
          <w:spacing w:val="-3"/>
          <w:sz w:val="18"/>
        </w:rPr>
        <w:t xml:space="preserve"> </w:t>
      </w:r>
      <w:r>
        <w:rPr>
          <w:rFonts w:ascii="Arial MT" w:hAnsi="Arial MT"/>
          <w:sz w:val="18"/>
        </w:rPr>
        <w:t>Acosta,</w:t>
      </w:r>
      <w:r>
        <w:rPr>
          <w:rFonts w:ascii="Arial MT" w:hAnsi="Arial MT"/>
          <w:spacing w:val="-3"/>
          <w:sz w:val="18"/>
        </w:rPr>
        <w:t xml:space="preserve"> </w:t>
      </w:r>
      <w:r>
        <w:rPr>
          <w:rFonts w:ascii="Arial MT" w:hAnsi="Arial MT"/>
          <w:sz w:val="18"/>
        </w:rPr>
        <w:t>J.</w:t>
      </w:r>
      <w:r>
        <w:rPr>
          <w:rFonts w:ascii="Arial MT" w:hAnsi="Arial MT"/>
          <w:spacing w:val="-2"/>
          <w:sz w:val="18"/>
        </w:rPr>
        <w:t xml:space="preserve"> </w:t>
      </w:r>
      <w:r>
        <w:rPr>
          <w:rFonts w:ascii="Arial MT" w:hAnsi="Arial MT"/>
          <w:sz w:val="18"/>
        </w:rPr>
        <w:t>López,</w:t>
      </w:r>
      <w:r>
        <w:rPr>
          <w:rFonts w:ascii="Arial MT" w:hAnsi="Arial MT"/>
          <w:spacing w:val="-3"/>
          <w:sz w:val="18"/>
        </w:rPr>
        <w:t xml:space="preserve"> </w:t>
      </w:r>
      <w:r>
        <w:rPr>
          <w:rFonts w:ascii="Arial MT" w:hAnsi="Arial MT"/>
          <w:sz w:val="18"/>
        </w:rPr>
        <w:t>B.</w:t>
      </w:r>
      <w:r>
        <w:rPr>
          <w:rFonts w:ascii="Arial MT" w:hAnsi="Arial MT"/>
          <w:spacing w:val="-3"/>
          <w:sz w:val="18"/>
        </w:rPr>
        <w:t xml:space="preserve"> </w:t>
      </w:r>
      <w:r>
        <w:rPr>
          <w:rFonts w:ascii="Arial MT" w:hAnsi="Arial MT"/>
          <w:spacing w:val="-2"/>
          <w:sz w:val="18"/>
        </w:rPr>
        <w:t>Herrera,</w:t>
      </w:r>
    </w:p>
    <w:p w14:paraId="2CC056C9" w14:textId="77777777" w:rsidR="000E52B0" w:rsidRDefault="00F60D74">
      <w:pPr>
        <w:spacing w:line="206" w:lineRule="exact"/>
        <w:ind w:left="720"/>
        <w:jc w:val="both"/>
        <w:rPr>
          <w:rFonts w:ascii="Arial MT" w:hAnsi="Arial MT"/>
          <w:sz w:val="18"/>
        </w:rPr>
      </w:pPr>
      <w:r>
        <w:rPr>
          <w:rFonts w:ascii="Arial MT" w:hAnsi="Arial MT"/>
          <w:sz w:val="18"/>
        </w:rPr>
        <w:t>B.</w:t>
      </w:r>
      <w:r>
        <w:rPr>
          <w:rFonts w:ascii="Arial MT" w:hAnsi="Arial MT"/>
          <w:spacing w:val="-3"/>
          <w:sz w:val="18"/>
        </w:rPr>
        <w:t xml:space="preserve"> </w:t>
      </w:r>
      <w:r>
        <w:rPr>
          <w:rFonts w:ascii="Arial MT" w:hAnsi="Arial MT"/>
          <w:sz w:val="18"/>
        </w:rPr>
        <w:t>García,</w:t>
      </w:r>
      <w:r>
        <w:rPr>
          <w:rFonts w:ascii="Arial MT" w:hAnsi="Arial MT"/>
          <w:spacing w:val="-4"/>
          <w:sz w:val="18"/>
        </w:rPr>
        <w:t xml:space="preserve"> </w:t>
      </w:r>
      <w:r>
        <w:rPr>
          <w:rFonts w:ascii="Arial MT" w:hAnsi="Arial MT"/>
          <w:sz w:val="18"/>
        </w:rPr>
        <w:t>.</w:t>
      </w:r>
      <w:r>
        <w:rPr>
          <w:rFonts w:ascii="Arial MT" w:hAnsi="Arial MT"/>
          <w:spacing w:val="-2"/>
          <w:sz w:val="18"/>
        </w:rPr>
        <w:t xml:space="preserve"> </w:t>
      </w:r>
      <w:r>
        <w:rPr>
          <w:rFonts w:ascii="Arial MT" w:hAnsi="Arial MT"/>
          <w:sz w:val="18"/>
        </w:rPr>
        <w:t>.</w:t>
      </w:r>
      <w:r>
        <w:rPr>
          <w:rFonts w:ascii="Arial MT" w:hAnsi="Arial MT"/>
          <w:spacing w:val="-2"/>
          <w:sz w:val="18"/>
        </w:rPr>
        <w:t xml:space="preserve"> </w:t>
      </w:r>
      <w:r>
        <w:rPr>
          <w:rFonts w:ascii="Arial MT" w:hAnsi="Arial MT"/>
          <w:sz w:val="18"/>
        </w:rPr>
        <w:t>.</w:t>
      </w:r>
      <w:r>
        <w:rPr>
          <w:rFonts w:ascii="Arial MT" w:hAnsi="Arial MT"/>
          <w:spacing w:val="-4"/>
          <w:sz w:val="18"/>
        </w:rPr>
        <w:t xml:space="preserve"> </w:t>
      </w:r>
      <w:r>
        <w:rPr>
          <w:rFonts w:ascii="Arial MT" w:hAnsi="Arial MT"/>
          <w:sz w:val="18"/>
        </w:rPr>
        <w:t>J.</w:t>
      </w:r>
      <w:r>
        <w:rPr>
          <w:rFonts w:ascii="Arial MT" w:hAnsi="Arial MT"/>
          <w:spacing w:val="-3"/>
          <w:sz w:val="18"/>
        </w:rPr>
        <w:t xml:space="preserve"> </w:t>
      </w:r>
      <w:r>
        <w:rPr>
          <w:rFonts w:ascii="Arial MT" w:hAnsi="Arial MT"/>
          <w:sz w:val="18"/>
        </w:rPr>
        <w:t>Silva,</w:t>
      </w:r>
      <w:r>
        <w:rPr>
          <w:rFonts w:ascii="Arial MT" w:hAnsi="Arial MT"/>
          <w:spacing w:val="-2"/>
          <w:sz w:val="18"/>
        </w:rPr>
        <w:t xml:space="preserve"> </w:t>
      </w:r>
      <w:r>
        <w:rPr>
          <w:rFonts w:ascii="Arial MT" w:hAnsi="Arial MT"/>
          <w:sz w:val="18"/>
        </w:rPr>
        <w:t>La</w:t>
      </w:r>
      <w:r>
        <w:rPr>
          <w:rFonts w:ascii="Arial MT" w:hAnsi="Arial MT"/>
          <w:spacing w:val="-2"/>
          <w:sz w:val="18"/>
        </w:rPr>
        <w:t xml:space="preserve"> </w:t>
      </w:r>
      <w:r>
        <w:rPr>
          <w:rFonts w:ascii="Arial MT" w:hAnsi="Arial MT"/>
          <w:sz w:val="18"/>
        </w:rPr>
        <w:t>desigualdad</w:t>
      </w:r>
      <w:r>
        <w:rPr>
          <w:rFonts w:ascii="Arial MT" w:hAnsi="Arial MT"/>
          <w:spacing w:val="-2"/>
          <w:sz w:val="18"/>
        </w:rPr>
        <w:t xml:space="preserve"> </w:t>
      </w:r>
      <w:r>
        <w:rPr>
          <w:rFonts w:ascii="Arial MT" w:hAnsi="Arial MT"/>
          <w:sz w:val="18"/>
        </w:rPr>
        <w:t>en</w:t>
      </w:r>
      <w:r>
        <w:rPr>
          <w:rFonts w:ascii="Arial MT" w:hAnsi="Arial MT"/>
          <w:spacing w:val="-2"/>
          <w:sz w:val="18"/>
        </w:rPr>
        <w:t xml:space="preserve"> </w:t>
      </w:r>
      <w:r>
        <w:rPr>
          <w:rFonts w:ascii="Arial MT" w:hAnsi="Arial MT"/>
          <w:sz w:val="18"/>
        </w:rPr>
        <w:t>Colombia</w:t>
      </w:r>
      <w:r>
        <w:rPr>
          <w:rFonts w:ascii="Arial MT" w:hAnsi="Arial MT"/>
          <w:spacing w:val="-3"/>
          <w:sz w:val="18"/>
        </w:rPr>
        <w:t xml:space="preserve"> </w:t>
      </w:r>
      <w:r>
        <w:rPr>
          <w:rFonts w:ascii="Arial MT" w:hAnsi="Arial MT"/>
          <w:sz w:val="18"/>
        </w:rPr>
        <w:t>(págs.</w:t>
      </w:r>
      <w:r>
        <w:rPr>
          <w:rFonts w:ascii="Arial MT" w:hAnsi="Arial MT"/>
          <w:spacing w:val="-2"/>
          <w:sz w:val="18"/>
        </w:rPr>
        <w:t xml:space="preserve"> </w:t>
      </w:r>
      <w:r>
        <w:rPr>
          <w:rFonts w:ascii="Arial MT" w:hAnsi="Arial MT"/>
          <w:sz w:val="18"/>
        </w:rPr>
        <w:t>31-78).</w:t>
      </w:r>
      <w:r>
        <w:rPr>
          <w:rFonts w:ascii="Arial MT" w:hAnsi="Arial MT"/>
          <w:spacing w:val="-2"/>
          <w:sz w:val="18"/>
        </w:rPr>
        <w:t xml:space="preserve"> </w:t>
      </w:r>
      <w:r>
        <w:rPr>
          <w:rFonts w:ascii="Arial MT" w:hAnsi="Arial MT"/>
          <w:sz w:val="18"/>
        </w:rPr>
        <w:t>Bogotá:</w:t>
      </w:r>
      <w:r>
        <w:rPr>
          <w:rFonts w:ascii="Arial MT" w:hAnsi="Arial MT"/>
          <w:spacing w:val="-2"/>
          <w:sz w:val="18"/>
        </w:rPr>
        <w:t xml:space="preserve"> </w:t>
      </w:r>
      <w:r>
        <w:rPr>
          <w:rFonts w:ascii="Arial MT" w:hAnsi="Arial MT"/>
          <w:sz w:val="18"/>
        </w:rPr>
        <w:t>Oveja</w:t>
      </w:r>
      <w:r>
        <w:rPr>
          <w:rFonts w:ascii="Arial MT" w:hAnsi="Arial MT"/>
          <w:spacing w:val="-2"/>
          <w:sz w:val="18"/>
        </w:rPr>
        <w:t xml:space="preserve"> Negra.</w:t>
      </w:r>
    </w:p>
    <w:p w14:paraId="69CE2878" w14:textId="77777777" w:rsidR="000E52B0" w:rsidRDefault="00F60D74">
      <w:pPr>
        <w:spacing w:line="208" w:lineRule="exact"/>
        <w:ind w:left="720"/>
        <w:jc w:val="both"/>
        <w:rPr>
          <w:rFonts w:ascii="Arial MT" w:hAnsi="Arial MT"/>
          <w:sz w:val="18"/>
        </w:rPr>
      </w:pPr>
      <w:bookmarkStart w:id="131" w:name="_bookmark131"/>
      <w:bookmarkEnd w:id="131"/>
      <w:r>
        <w:rPr>
          <w:rFonts w:ascii="Arial MT" w:hAnsi="Arial MT"/>
          <w:position w:val="6"/>
          <w:sz w:val="12"/>
        </w:rPr>
        <w:t>113</w:t>
      </w:r>
      <w:r>
        <w:rPr>
          <w:rFonts w:ascii="Arial MT" w:hAnsi="Arial MT"/>
          <w:spacing w:val="12"/>
          <w:position w:val="6"/>
          <w:sz w:val="12"/>
        </w:rPr>
        <w:t xml:space="preserve"> </w:t>
      </w:r>
      <w:r>
        <w:rPr>
          <w:rFonts w:ascii="Arial MT" w:hAnsi="Arial MT"/>
          <w:sz w:val="18"/>
        </w:rPr>
        <w:t>Vázquez</w:t>
      </w:r>
      <w:r>
        <w:rPr>
          <w:rFonts w:ascii="Arial MT" w:hAnsi="Arial MT"/>
          <w:spacing w:val="-1"/>
          <w:sz w:val="18"/>
        </w:rPr>
        <w:t xml:space="preserve"> </w:t>
      </w:r>
      <w:r>
        <w:rPr>
          <w:rFonts w:ascii="Arial MT" w:hAnsi="Arial MT"/>
          <w:sz w:val="18"/>
        </w:rPr>
        <w:t>Pimentel,</w:t>
      </w:r>
      <w:r>
        <w:rPr>
          <w:rFonts w:ascii="Arial MT" w:hAnsi="Arial MT"/>
          <w:spacing w:val="-2"/>
          <w:sz w:val="18"/>
        </w:rPr>
        <w:t xml:space="preserve"> </w:t>
      </w:r>
      <w:r>
        <w:rPr>
          <w:rFonts w:ascii="Arial MT" w:hAnsi="Arial MT"/>
          <w:sz w:val="18"/>
        </w:rPr>
        <w:t>D.,</w:t>
      </w:r>
      <w:r>
        <w:rPr>
          <w:rFonts w:ascii="Arial MT" w:hAnsi="Arial MT"/>
          <w:spacing w:val="-3"/>
          <w:sz w:val="18"/>
        </w:rPr>
        <w:t xml:space="preserve"> </w:t>
      </w:r>
      <w:proofErr w:type="spellStart"/>
      <w:r>
        <w:rPr>
          <w:rFonts w:ascii="Arial MT" w:hAnsi="Arial MT"/>
          <w:sz w:val="18"/>
        </w:rPr>
        <w:t>Aymar</w:t>
      </w:r>
      <w:proofErr w:type="spellEnd"/>
      <w:r>
        <w:rPr>
          <w:rFonts w:ascii="Arial MT" w:hAnsi="Arial MT"/>
          <w:sz w:val="18"/>
        </w:rPr>
        <w:t>,</w:t>
      </w:r>
      <w:r>
        <w:rPr>
          <w:rFonts w:ascii="Arial MT" w:hAnsi="Arial MT"/>
          <w:spacing w:val="-4"/>
          <w:sz w:val="18"/>
        </w:rPr>
        <w:t xml:space="preserve"> </w:t>
      </w:r>
      <w:r>
        <w:rPr>
          <w:rFonts w:ascii="Arial MT" w:hAnsi="Arial MT"/>
          <w:sz w:val="18"/>
        </w:rPr>
        <w:t>M.</w:t>
      </w:r>
      <w:r>
        <w:rPr>
          <w:rFonts w:ascii="Arial MT" w:hAnsi="Arial MT"/>
          <w:spacing w:val="-2"/>
          <w:sz w:val="18"/>
        </w:rPr>
        <w:t xml:space="preserve"> </w:t>
      </w:r>
      <w:r>
        <w:rPr>
          <w:rFonts w:ascii="Arial MT" w:hAnsi="Arial MT"/>
          <w:sz w:val="18"/>
        </w:rPr>
        <w:t>I.,</w:t>
      </w:r>
      <w:r>
        <w:rPr>
          <w:rFonts w:ascii="Arial MT" w:hAnsi="Arial MT"/>
          <w:spacing w:val="-4"/>
          <w:sz w:val="18"/>
        </w:rPr>
        <w:t xml:space="preserve"> </w:t>
      </w:r>
      <w:r>
        <w:rPr>
          <w:rFonts w:ascii="Arial MT" w:hAnsi="Arial MT"/>
          <w:sz w:val="18"/>
        </w:rPr>
        <w:t>&amp;</w:t>
      </w:r>
      <w:r>
        <w:rPr>
          <w:rFonts w:ascii="Arial MT" w:hAnsi="Arial MT"/>
          <w:spacing w:val="-2"/>
          <w:sz w:val="18"/>
        </w:rPr>
        <w:t xml:space="preserve"> </w:t>
      </w:r>
      <w:proofErr w:type="spellStart"/>
      <w:r>
        <w:rPr>
          <w:rFonts w:ascii="Arial MT" w:hAnsi="Arial MT"/>
          <w:sz w:val="18"/>
        </w:rPr>
        <w:t>Lawson</w:t>
      </w:r>
      <w:proofErr w:type="spellEnd"/>
      <w:r>
        <w:rPr>
          <w:rFonts w:ascii="Arial MT" w:hAnsi="Arial MT"/>
          <w:sz w:val="18"/>
        </w:rPr>
        <w:t>,</w:t>
      </w:r>
      <w:r>
        <w:rPr>
          <w:rFonts w:ascii="Arial MT" w:hAnsi="Arial MT"/>
          <w:spacing w:val="-5"/>
          <w:sz w:val="18"/>
        </w:rPr>
        <w:t xml:space="preserve"> </w:t>
      </w:r>
      <w:r>
        <w:rPr>
          <w:rFonts w:ascii="Arial MT" w:hAnsi="Arial MT"/>
          <w:sz w:val="18"/>
        </w:rPr>
        <w:t>M.</w:t>
      </w:r>
      <w:r>
        <w:rPr>
          <w:rFonts w:ascii="Arial MT" w:hAnsi="Arial MT"/>
          <w:spacing w:val="-2"/>
          <w:sz w:val="18"/>
        </w:rPr>
        <w:t xml:space="preserve"> </w:t>
      </w:r>
      <w:r>
        <w:rPr>
          <w:rFonts w:ascii="Arial MT" w:hAnsi="Arial MT"/>
          <w:sz w:val="18"/>
        </w:rPr>
        <w:t>(2018).</w:t>
      </w:r>
      <w:r>
        <w:rPr>
          <w:rFonts w:ascii="Arial MT" w:hAnsi="Arial MT"/>
          <w:spacing w:val="-2"/>
          <w:sz w:val="18"/>
        </w:rPr>
        <w:t xml:space="preserve"> </w:t>
      </w:r>
      <w:r>
        <w:rPr>
          <w:rFonts w:ascii="Arial MT" w:hAnsi="Arial MT"/>
          <w:sz w:val="18"/>
        </w:rPr>
        <w:t>Premiar</w:t>
      </w:r>
      <w:r>
        <w:rPr>
          <w:rFonts w:ascii="Arial MT" w:hAnsi="Arial MT"/>
          <w:spacing w:val="-5"/>
          <w:sz w:val="18"/>
        </w:rPr>
        <w:t xml:space="preserve"> </w:t>
      </w:r>
      <w:r>
        <w:rPr>
          <w:rFonts w:ascii="Arial MT" w:hAnsi="Arial MT"/>
          <w:sz w:val="18"/>
        </w:rPr>
        <w:t>el</w:t>
      </w:r>
      <w:r>
        <w:rPr>
          <w:rFonts w:ascii="Arial MT" w:hAnsi="Arial MT"/>
          <w:spacing w:val="-4"/>
          <w:sz w:val="18"/>
        </w:rPr>
        <w:t xml:space="preserve"> </w:t>
      </w:r>
      <w:r>
        <w:rPr>
          <w:rFonts w:ascii="Arial MT" w:hAnsi="Arial MT"/>
          <w:sz w:val="18"/>
        </w:rPr>
        <w:t>trabajo,</w:t>
      </w:r>
      <w:r>
        <w:rPr>
          <w:rFonts w:ascii="Arial MT" w:hAnsi="Arial MT"/>
          <w:spacing w:val="-4"/>
          <w:sz w:val="18"/>
        </w:rPr>
        <w:t xml:space="preserve"> </w:t>
      </w:r>
      <w:r>
        <w:rPr>
          <w:rFonts w:ascii="Arial MT" w:hAnsi="Arial MT"/>
          <w:sz w:val="18"/>
        </w:rPr>
        <w:t>no</w:t>
      </w:r>
      <w:r>
        <w:rPr>
          <w:rFonts w:ascii="Arial MT" w:hAnsi="Arial MT"/>
          <w:spacing w:val="-3"/>
          <w:sz w:val="18"/>
        </w:rPr>
        <w:t xml:space="preserve"> </w:t>
      </w:r>
      <w:r>
        <w:rPr>
          <w:rFonts w:ascii="Arial MT" w:hAnsi="Arial MT"/>
          <w:sz w:val="18"/>
        </w:rPr>
        <w:t>la</w:t>
      </w:r>
      <w:r>
        <w:rPr>
          <w:rFonts w:ascii="Arial MT" w:hAnsi="Arial MT"/>
          <w:spacing w:val="-2"/>
          <w:sz w:val="18"/>
        </w:rPr>
        <w:t xml:space="preserve"> </w:t>
      </w:r>
      <w:r>
        <w:rPr>
          <w:rFonts w:ascii="Arial MT" w:hAnsi="Arial MT"/>
          <w:sz w:val="18"/>
        </w:rPr>
        <w:t>riqueza.</w:t>
      </w:r>
      <w:r>
        <w:rPr>
          <w:rFonts w:ascii="Arial MT" w:hAnsi="Arial MT"/>
          <w:spacing w:val="4"/>
          <w:sz w:val="18"/>
        </w:rPr>
        <w:t xml:space="preserve"> </w:t>
      </w:r>
      <w:r>
        <w:rPr>
          <w:rFonts w:ascii="Arial MT" w:hAnsi="Arial MT"/>
          <w:spacing w:val="-2"/>
          <w:sz w:val="18"/>
        </w:rPr>
        <w:t>OXFAM.</w:t>
      </w:r>
    </w:p>
    <w:p w14:paraId="24F3806D" w14:textId="77777777" w:rsidR="000E52B0" w:rsidRDefault="00F60D74">
      <w:pPr>
        <w:ind w:left="720" w:right="725"/>
        <w:jc w:val="both"/>
        <w:rPr>
          <w:rFonts w:ascii="Arial MT" w:hAnsi="Arial MT"/>
          <w:sz w:val="18"/>
        </w:rPr>
      </w:pPr>
      <w:bookmarkStart w:id="132" w:name="_bookmark132"/>
      <w:bookmarkEnd w:id="132"/>
      <w:r>
        <w:rPr>
          <w:rFonts w:ascii="Arial MT" w:hAnsi="Arial MT"/>
          <w:position w:val="6"/>
          <w:sz w:val="12"/>
        </w:rPr>
        <w:t>114</w:t>
      </w:r>
      <w:r>
        <w:rPr>
          <w:rFonts w:ascii="Arial MT" w:hAnsi="Arial MT"/>
          <w:spacing w:val="23"/>
          <w:position w:val="6"/>
          <w:sz w:val="12"/>
        </w:rPr>
        <w:t xml:space="preserve"> </w:t>
      </w:r>
      <w:r>
        <w:rPr>
          <w:rFonts w:ascii="Arial MT" w:hAnsi="Arial MT"/>
          <w:sz w:val="18"/>
        </w:rPr>
        <w:t xml:space="preserve">López, H., &amp; Perry, G. (2008). </w:t>
      </w:r>
      <w:proofErr w:type="spellStart"/>
      <w:r>
        <w:rPr>
          <w:rFonts w:ascii="Arial MT" w:hAnsi="Arial MT"/>
          <w:sz w:val="18"/>
        </w:rPr>
        <w:t>Inequality</w:t>
      </w:r>
      <w:proofErr w:type="spellEnd"/>
      <w:r>
        <w:rPr>
          <w:rFonts w:ascii="Arial MT" w:hAnsi="Arial MT"/>
          <w:sz w:val="18"/>
        </w:rPr>
        <w:t xml:space="preserve"> in </w:t>
      </w:r>
      <w:proofErr w:type="spellStart"/>
      <w:r>
        <w:rPr>
          <w:rFonts w:ascii="Arial MT" w:hAnsi="Arial MT"/>
          <w:sz w:val="18"/>
        </w:rPr>
        <w:t>Latin</w:t>
      </w:r>
      <w:proofErr w:type="spellEnd"/>
      <w:r>
        <w:rPr>
          <w:rFonts w:ascii="Arial MT" w:hAnsi="Arial MT"/>
          <w:sz w:val="18"/>
        </w:rPr>
        <w:t xml:space="preserve"> </w:t>
      </w:r>
      <w:proofErr w:type="spellStart"/>
      <w:r>
        <w:rPr>
          <w:rFonts w:ascii="Arial MT" w:hAnsi="Arial MT"/>
          <w:sz w:val="18"/>
        </w:rPr>
        <w:t>America</w:t>
      </w:r>
      <w:proofErr w:type="spellEnd"/>
      <w:r>
        <w:rPr>
          <w:rFonts w:ascii="Arial MT" w:hAnsi="Arial MT"/>
          <w:sz w:val="18"/>
        </w:rPr>
        <w:t xml:space="preserve">: </w:t>
      </w:r>
      <w:proofErr w:type="spellStart"/>
      <w:r>
        <w:rPr>
          <w:rFonts w:ascii="Arial MT" w:hAnsi="Arial MT"/>
          <w:sz w:val="18"/>
        </w:rPr>
        <w:t>determinants</w:t>
      </w:r>
      <w:proofErr w:type="spellEnd"/>
      <w:r>
        <w:rPr>
          <w:rFonts w:ascii="Arial MT" w:hAnsi="Arial MT"/>
          <w:sz w:val="18"/>
        </w:rPr>
        <w:t xml:space="preserve"> and </w:t>
      </w:r>
      <w:proofErr w:type="spellStart"/>
      <w:r>
        <w:rPr>
          <w:rFonts w:ascii="Arial MT" w:hAnsi="Arial MT"/>
          <w:sz w:val="18"/>
        </w:rPr>
        <w:t>consequences</w:t>
      </w:r>
      <w:proofErr w:type="spellEnd"/>
      <w:r>
        <w:rPr>
          <w:rFonts w:ascii="Arial MT" w:hAnsi="Arial MT"/>
          <w:sz w:val="18"/>
        </w:rPr>
        <w:t xml:space="preserve">. </w:t>
      </w:r>
      <w:proofErr w:type="spellStart"/>
      <w:r>
        <w:rPr>
          <w:rFonts w:ascii="Arial MT" w:hAnsi="Arial MT"/>
          <w:sz w:val="18"/>
        </w:rPr>
        <w:t>Policy</w:t>
      </w:r>
      <w:proofErr w:type="spellEnd"/>
      <w:r>
        <w:rPr>
          <w:rFonts w:ascii="Arial MT" w:hAnsi="Arial MT"/>
          <w:sz w:val="18"/>
        </w:rPr>
        <w:t xml:space="preserve"> </w:t>
      </w:r>
      <w:proofErr w:type="spellStart"/>
      <w:r>
        <w:rPr>
          <w:rFonts w:ascii="Arial MT" w:hAnsi="Arial MT"/>
          <w:sz w:val="18"/>
        </w:rPr>
        <w:t>Research</w:t>
      </w:r>
      <w:proofErr w:type="spellEnd"/>
      <w:r>
        <w:rPr>
          <w:rFonts w:ascii="Arial MT" w:hAnsi="Arial MT"/>
          <w:sz w:val="18"/>
        </w:rPr>
        <w:t xml:space="preserve"> </w:t>
      </w:r>
      <w:proofErr w:type="spellStart"/>
      <w:r>
        <w:rPr>
          <w:rFonts w:ascii="Arial MT" w:hAnsi="Arial MT"/>
          <w:sz w:val="18"/>
        </w:rPr>
        <w:t>Working</w:t>
      </w:r>
      <w:proofErr w:type="spellEnd"/>
      <w:r>
        <w:rPr>
          <w:rFonts w:ascii="Arial MT" w:hAnsi="Arial MT"/>
          <w:sz w:val="18"/>
        </w:rPr>
        <w:t xml:space="preserve"> </w:t>
      </w:r>
      <w:proofErr w:type="spellStart"/>
      <w:r>
        <w:rPr>
          <w:rFonts w:ascii="Arial MT" w:hAnsi="Arial MT"/>
          <w:sz w:val="18"/>
        </w:rPr>
        <w:t>Paper</w:t>
      </w:r>
      <w:proofErr w:type="spellEnd"/>
      <w:r>
        <w:rPr>
          <w:rFonts w:ascii="Arial MT" w:hAnsi="Arial MT"/>
          <w:sz w:val="18"/>
        </w:rPr>
        <w:t xml:space="preserve"> Series 4504, </w:t>
      </w:r>
      <w:proofErr w:type="spellStart"/>
      <w:r>
        <w:rPr>
          <w:rFonts w:ascii="Arial MT" w:hAnsi="Arial MT"/>
          <w:sz w:val="18"/>
        </w:rPr>
        <w:t>The</w:t>
      </w:r>
      <w:proofErr w:type="spellEnd"/>
      <w:r>
        <w:rPr>
          <w:rFonts w:ascii="Arial MT" w:hAnsi="Arial MT"/>
          <w:sz w:val="18"/>
        </w:rPr>
        <w:t xml:space="preserve"> </w:t>
      </w:r>
      <w:proofErr w:type="spellStart"/>
      <w:r>
        <w:rPr>
          <w:rFonts w:ascii="Arial MT" w:hAnsi="Arial MT"/>
          <w:sz w:val="18"/>
        </w:rPr>
        <w:t>World</w:t>
      </w:r>
      <w:proofErr w:type="spellEnd"/>
      <w:r>
        <w:rPr>
          <w:rFonts w:ascii="Arial MT" w:hAnsi="Arial MT"/>
          <w:sz w:val="18"/>
        </w:rPr>
        <w:t xml:space="preserve"> Bank.</w:t>
      </w:r>
    </w:p>
    <w:p w14:paraId="2C92A09A" w14:textId="77777777" w:rsidR="000E52B0" w:rsidRDefault="00F60D74">
      <w:pPr>
        <w:spacing w:line="242" w:lineRule="auto"/>
        <w:ind w:left="720" w:right="726"/>
        <w:jc w:val="both"/>
        <w:rPr>
          <w:rFonts w:ascii="Arial MT"/>
          <w:sz w:val="18"/>
        </w:rPr>
      </w:pPr>
      <w:bookmarkStart w:id="133" w:name="_bookmark133"/>
      <w:bookmarkEnd w:id="133"/>
      <w:r>
        <w:rPr>
          <w:rFonts w:ascii="Arial MT"/>
          <w:position w:val="6"/>
          <w:sz w:val="12"/>
        </w:rPr>
        <w:t>115</w:t>
      </w:r>
      <w:r>
        <w:rPr>
          <w:rFonts w:ascii="Arial MT"/>
          <w:spacing w:val="36"/>
          <w:position w:val="6"/>
          <w:sz w:val="12"/>
        </w:rPr>
        <w:t xml:space="preserve"> </w:t>
      </w:r>
      <w:proofErr w:type="gramStart"/>
      <w:r>
        <w:rPr>
          <w:rFonts w:ascii="Arial MT"/>
          <w:sz w:val="18"/>
        </w:rPr>
        <w:t>De</w:t>
      </w:r>
      <w:proofErr w:type="gramEnd"/>
      <w:r>
        <w:rPr>
          <w:rFonts w:ascii="Arial MT"/>
          <w:sz w:val="18"/>
        </w:rPr>
        <w:t xml:space="preserve"> </w:t>
      </w:r>
      <w:proofErr w:type="spellStart"/>
      <w:r>
        <w:rPr>
          <w:rFonts w:ascii="Arial MT"/>
          <w:sz w:val="18"/>
        </w:rPr>
        <w:t>Courson</w:t>
      </w:r>
      <w:proofErr w:type="spellEnd"/>
      <w:r>
        <w:rPr>
          <w:rFonts w:ascii="Arial MT"/>
          <w:sz w:val="18"/>
        </w:rPr>
        <w:t xml:space="preserve">, B., &amp; </w:t>
      </w:r>
      <w:proofErr w:type="spellStart"/>
      <w:r>
        <w:rPr>
          <w:rFonts w:ascii="Arial MT"/>
          <w:sz w:val="18"/>
        </w:rPr>
        <w:t>Nettle</w:t>
      </w:r>
      <w:proofErr w:type="spellEnd"/>
      <w:r>
        <w:rPr>
          <w:rFonts w:ascii="Arial MT"/>
          <w:sz w:val="18"/>
        </w:rPr>
        <w:t xml:space="preserve">, D. (2021). </w:t>
      </w:r>
      <w:proofErr w:type="spellStart"/>
      <w:r>
        <w:rPr>
          <w:rFonts w:ascii="Arial MT"/>
          <w:sz w:val="18"/>
        </w:rPr>
        <w:t>Why</w:t>
      </w:r>
      <w:proofErr w:type="spellEnd"/>
      <w:r>
        <w:rPr>
          <w:rFonts w:ascii="Arial MT"/>
          <w:sz w:val="18"/>
        </w:rPr>
        <w:t xml:space="preserve"> do </w:t>
      </w:r>
      <w:proofErr w:type="spellStart"/>
      <w:r>
        <w:rPr>
          <w:rFonts w:ascii="Arial MT"/>
          <w:sz w:val="18"/>
        </w:rPr>
        <w:t>inequality</w:t>
      </w:r>
      <w:proofErr w:type="spellEnd"/>
      <w:r>
        <w:rPr>
          <w:rFonts w:ascii="Arial MT"/>
          <w:sz w:val="18"/>
        </w:rPr>
        <w:t xml:space="preserve"> and </w:t>
      </w:r>
      <w:proofErr w:type="spellStart"/>
      <w:r>
        <w:rPr>
          <w:rFonts w:ascii="Arial MT"/>
          <w:sz w:val="18"/>
        </w:rPr>
        <w:t>deprivation</w:t>
      </w:r>
      <w:proofErr w:type="spellEnd"/>
      <w:r>
        <w:rPr>
          <w:rFonts w:ascii="Arial MT"/>
          <w:sz w:val="18"/>
        </w:rPr>
        <w:t xml:space="preserve"> produce </w:t>
      </w:r>
      <w:proofErr w:type="spellStart"/>
      <w:r>
        <w:rPr>
          <w:rFonts w:ascii="Arial MT"/>
          <w:sz w:val="18"/>
        </w:rPr>
        <w:t>high</w:t>
      </w:r>
      <w:proofErr w:type="spellEnd"/>
      <w:r>
        <w:rPr>
          <w:rFonts w:ascii="Arial MT"/>
          <w:sz w:val="18"/>
        </w:rPr>
        <w:t xml:space="preserve"> </w:t>
      </w:r>
      <w:proofErr w:type="spellStart"/>
      <w:r>
        <w:rPr>
          <w:rFonts w:ascii="Arial MT"/>
          <w:sz w:val="18"/>
        </w:rPr>
        <w:t>crime</w:t>
      </w:r>
      <w:proofErr w:type="spellEnd"/>
      <w:r>
        <w:rPr>
          <w:rFonts w:ascii="Arial MT"/>
          <w:sz w:val="18"/>
        </w:rPr>
        <w:t xml:space="preserve"> and </w:t>
      </w:r>
      <w:proofErr w:type="spellStart"/>
      <w:r>
        <w:rPr>
          <w:rFonts w:ascii="Arial MT"/>
          <w:sz w:val="18"/>
        </w:rPr>
        <w:t>low</w:t>
      </w:r>
      <w:proofErr w:type="spellEnd"/>
      <w:r>
        <w:rPr>
          <w:rFonts w:ascii="Arial MT"/>
          <w:sz w:val="18"/>
        </w:rPr>
        <w:t xml:space="preserve"> trust? </w:t>
      </w:r>
      <w:proofErr w:type="spellStart"/>
      <w:r>
        <w:rPr>
          <w:rFonts w:ascii="Arial MT"/>
          <w:sz w:val="18"/>
        </w:rPr>
        <w:t>Scientific</w:t>
      </w:r>
      <w:proofErr w:type="spellEnd"/>
      <w:r>
        <w:rPr>
          <w:rFonts w:ascii="Arial MT"/>
          <w:sz w:val="18"/>
        </w:rPr>
        <w:t xml:space="preserve"> </w:t>
      </w:r>
      <w:proofErr w:type="spellStart"/>
      <w:r>
        <w:rPr>
          <w:rFonts w:ascii="Arial MT"/>
          <w:sz w:val="18"/>
        </w:rPr>
        <w:t>Reports</w:t>
      </w:r>
      <w:proofErr w:type="spellEnd"/>
      <w:r>
        <w:rPr>
          <w:rFonts w:ascii="Arial MT"/>
          <w:sz w:val="18"/>
        </w:rPr>
        <w:t xml:space="preserve"> </w:t>
      </w:r>
      <w:proofErr w:type="spellStart"/>
      <w:r>
        <w:rPr>
          <w:rFonts w:ascii="Arial MT"/>
          <w:sz w:val="18"/>
        </w:rPr>
        <w:t>Nature</w:t>
      </w:r>
      <w:proofErr w:type="spellEnd"/>
      <w:r>
        <w:rPr>
          <w:rFonts w:ascii="Arial MT"/>
          <w:sz w:val="18"/>
        </w:rPr>
        <w:t xml:space="preserve"> </w:t>
      </w:r>
      <w:proofErr w:type="spellStart"/>
      <w:r>
        <w:rPr>
          <w:rFonts w:ascii="Arial MT"/>
          <w:sz w:val="18"/>
        </w:rPr>
        <w:t>Research</w:t>
      </w:r>
      <w:proofErr w:type="spellEnd"/>
      <w:r>
        <w:rPr>
          <w:rFonts w:ascii="Arial MT"/>
          <w:sz w:val="18"/>
        </w:rPr>
        <w:t xml:space="preserve"> 11, 1937.</w:t>
      </w:r>
    </w:p>
    <w:p w14:paraId="102806F8" w14:textId="77777777" w:rsidR="000E52B0" w:rsidRDefault="000E52B0">
      <w:pPr>
        <w:spacing w:line="242" w:lineRule="auto"/>
        <w:jc w:val="both"/>
        <w:rPr>
          <w:rFonts w:ascii="Arial MT"/>
          <w:sz w:val="18"/>
        </w:rPr>
        <w:sectPr w:rsidR="000E52B0">
          <w:pgSz w:w="11910" w:h="16840"/>
          <w:pgMar w:top="1340" w:right="720" w:bottom="1180" w:left="720" w:header="0" w:footer="995" w:gutter="0"/>
          <w:cols w:space="720"/>
        </w:sectPr>
      </w:pPr>
    </w:p>
    <w:p w14:paraId="6AA01575" w14:textId="77777777" w:rsidR="000E52B0" w:rsidRDefault="00F60D74">
      <w:pPr>
        <w:pStyle w:val="Textoindependiente"/>
        <w:spacing w:before="83"/>
        <w:ind w:right="713"/>
        <w:jc w:val="both"/>
      </w:pPr>
      <w:r>
        <w:lastRenderedPageBreak/>
        <w:t>de</w:t>
      </w:r>
      <w:r>
        <w:rPr>
          <w:spacing w:val="-20"/>
        </w:rPr>
        <w:t xml:space="preserve"> </w:t>
      </w:r>
      <w:r>
        <w:t>inequidad</w:t>
      </w:r>
      <w:r>
        <w:rPr>
          <w:spacing w:val="-22"/>
        </w:rPr>
        <w:t xml:space="preserve"> </w:t>
      </w:r>
      <w:r>
        <w:t>se</w:t>
      </w:r>
      <w:r>
        <w:rPr>
          <w:spacing w:val="-19"/>
        </w:rPr>
        <w:t xml:space="preserve"> </w:t>
      </w:r>
      <w:r>
        <w:t>relaciona</w:t>
      </w:r>
      <w:r>
        <w:rPr>
          <w:spacing w:val="-21"/>
        </w:rPr>
        <w:t xml:space="preserve"> </w:t>
      </w:r>
      <w:r>
        <w:t>con</w:t>
      </w:r>
      <w:r>
        <w:rPr>
          <w:spacing w:val="-21"/>
        </w:rPr>
        <w:t xml:space="preserve"> </w:t>
      </w:r>
      <w:r>
        <w:t>mayores</w:t>
      </w:r>
      <w:r>
        <w:rPr>
          <w:spacing w:val="-21"/>
        </w:rPr>
        <w:t xml:space="preserve"> </w:t>
      </w:r>
      <w:r>
        <w:t>niveles</w:t>
      </w:r>
      <w:r>
        <w:rPr>
          <w:spacing w:val="-20"/>
        </w:rPr>
        <w:t xml:space="preserve"> </w:t>
      </w:r>
      <w:r>
        <w:t>de</w:t>
      </w:r>
      <w:r>
        <w:rPr>
          <w:spacing w:val="-20"/>
        </w:rPr>
        <w:t xml:space="preserve"> </w:t>
      </w:r>
      <w:r>
        <w:t>explotación</w:t>
      </w:r>
      <w:r>
        <w:rPr>
          <w:spacing w:val="-21"/>
        </w:rPr>
        <w:t xml:space="preserve"> </w:t>
      </w:r>
      <w:r>
        <w:t>de</w:t>
      </w:r>
      <w:r>
        <w:rPr>
          <w:spacing w:val="-20"/>
        </w:rPr>
        <w:t xml:space="preserve"> </w:t>
      </w:r>
      <w:r>
        <w:t>unos</w:t>
      </w:r>
      <w:r>
        <w:rPr>
          <w:spacing w:val="-21"/>
        </w:rPr>
        <w:t xml:space="preserve"> </w:t>
      </w:r>
      <w:r>
        <w:t>seres humanos</w:t>
      </w:r>
      <w:r>
        <w:rPr>
          <w:spacing w:val="-17"/>
        </w:rPr>
        <w:t xml:space="preserve"> </w:t>
      </w:r>
      <w:r>
        <w:t>sobre</w:t>
      </w:r>
      <w:r>
        <w:rPr>
          <w:spacing w:val="-16"/>
        </w:rPr>
        <w:t xml:space="preserve"> </w:t>
      </w:r>
      <w:r>
        <w:t>otros:</w:t>
      </w:r>
      <w:r>
        <w:rPr>
          <w:spacing w:val="-18"/>
        </w:rPr>
        <w:t xml:space="preserve"> </w:t>
      </w:r>
      <w:r>
        <w:t>cuando</w:t>
      </w:r>
      <w:r>
        <w:rPr>
          <w:spacing w:val="-16"/>
        </w:rPr>
        <w:t xml:space="preserve"> </w:t>
      </w:r>
      <w:r>
        <w:t>las</w:t>
      </w:r>
      <w:r>
        <w:rPr>
          <w:spacing w:val="-17"/>
        </w:rPr>
        <w:t xml:space="preserve"> </w:t>
      </w:r>
      <w:r>
        <w:t>personas</w:t>
      </w:r>
      <w:r>
        <w:rPr>
          <w:spacing w:val="-17"/>
        </w:rPr>
        <w:t xml:space="preserve"> </w:t>
      </w:r>
      <w:r>
        <w:t>se</w:t>
      </w:r>
      <w:r>
        <w:rPr>
          <w:spacing w:val="-16"/>
        </w:rPr>
        <w:t xml:space="preserve"> </w:t>
      </w:r>
      <w:r>
        <w:t>encuentran</w:t>
      </w:r>
      <w:r>
        <w:rPr>
          <w:spacing w:val="-17"/>
        </w:rPr>
        <w:t xml:space="preserve"> </w:t>
      </w:r>
      <w:r>
        <w:t>en</w:t>
      </w:r>
      <w:r>
        <w:rPr>
          <w:spacing w:val="-18"/>
        </w:rPr>
        <w:t xml:space="preserve"> </w:t>
      </w:r>
      <w:r>
        <w:t>riesgo</w:t>
      </w:r>
      <w:r>
        <w:rPr>
          <w:spacing w:val="-16"/>
        </w:rPr>
        <w:t xml:space="preserve"> </w:t>
      </w:r>
      <w:r>
        <w:t>de</w:t>
      </w:r>
      <w:r>
        <w:rPr>
          <w:spacing w:val="-16"/>
        </w:rPr>
        <w:t xml:space="preserve"> </w:t>
      </w:r>
      <w:r>
        <w:t>caer bajo</w:t>
      </w:r>
      <w:r>
        <w:rPr>
          <w:spacing w:val="-15"/>
        </w:rPr>
        <w:t xml:space="preserve"> </w:t>
      </w:r>
      <w:r>
        <w:t>ciertos</w:t>
      </w:r>
      <w:r>
        <w:rPr>
          <w:spacing w:val="-16"/>
        </w:rPr>
        <w:t xml:space="preserve"> </w:t>
      </w:r>
      <w:r>
        <w:t>niveles</w:t>
      </w:r>
      <w:r>
        <w:rPr>
          <w:spacing w:val="-13"/>
        </w:rPr>
        <w:t xml:space="preserve"> </w:t>
      </w:r>
      <w:r>
        <w:t>de</w:t>
      </w:r>
      <w:r>
        <w:rPr>
          <w:spacing w:val="-15"/>
        </w:rPr>
        <w:t xml:space="preserve"> </w:t>
      </w:r>
      <w:r>
        <w:t>bienestar</w:t>
      </w:r>
      <w:r>
        <w:rPr>
          <w:spacing w:val="-15"/>
        </w:rPr>
        <w:t xml:space="preserve"> </w:t>
      </w:r>
      <w:r>
        <w:t>material</w:t>
      </w:r>
      <w:r>
        <w:rPr>
          <w:spacing w:val="-17"/>
        </w:rPr>
        <w:t xml:space="preserve"> </w:t>
      </w:r>
      <w:r>
        <w:t>tienden</w:t>
      </w:r>
      <w:r>
        <w:rPr>
          <w:spacing w:val="-17"/>
        </w:rPr>
        <w:t xml:space="preserve"> </w:t>
      </w:r>
      <w:r>
        <w:t>a</w:t>
      </w:r>
      <w:r>
        <w:rPr>
          <w:spacing w:val="-16"/>
        </w:rPr>
        <w:t xml:space="preserve"> </w:t>
      </w:r>
      <w:r>
        <w:t>tomar</w:t>
      </w:r>
      <w:r>
        <w:rPr>
          <w:spacing w:val="-15"/>
        </w:rPr>
        <w:t xml:space="preserve"> </w:t>
      </w:r>
      <w:r>
        <w:t>ventaja</w:t>
      </w:r>
      <w:r>
        <w:rPr>
          <w:spacing w:val="-16"/>
        </w:rPr>
        <w:t xml:space="preserve"> </w:t>
      </w:r>
      <w:r>
        <w:t>sobre</w:t>
      </w:r>
      <w:r>
        <w:rPr>
          <w:spacing w:val="-15"/>
        </w:rPr>
        <w:t xml:space="preserve"> </w:t>
      </w:r>
      <w:r>
        <w:t>los demás en vez de actuar cooperativamente. Estas condiciones reducen la confianza</w:t>
      </w:r>
      <w:r>
        <w:rPr>
          <w:spacing w:val="-6"/>
        </w:rPr>
        <w:t xml:space="preserve"> </w:t>
      </w:r>
      <w:r>
        <w:t>social,</w:t>
      </w:r>
      <w:r>
        <w:rPr>
          <w:spacing w:val="-7"/>
        </w:rPr>
        <w:t xml:space="preserve"> </w:t>
      </w:r>
      <w:r>
        <w:t>lo</w:t>
      </w:r>
      <w:r>
        <w:rPr>
          <w:spacing w:val="-3"/>
        </w:rPr>
        <w:t xml:space="preserve"> </w:t>
      </w:r>
      <w:r>
        <w:t>que</w:t>
      </w:r>
      <w:r>
        <w:rPr>
          <w:spacing w:val="-5"/>
        </w:rPr>
        <w:t xml:space="preserve"> </w:t>
      </w:r>
      <w:r>
        <w:t>a</w:t>
      </w:r>
      <w:r>
        <w:rPr>
          <w:spacing w:val="-6"/>
        </w:rPr>
        <w:t xml:space="preserve"> </w:t>
      </w:r>
      <w:r>
        <w:t>su</w:t>
      </w:r>
      <w:r>
        <w:rPr>
          <w:spacing w:val="-7"/>
        </w:rPr>
        <w:t xml:space="preserve"> </w:t>
      </w:r>
      <w:r>
        <w:t>vez</w:t>
      </w:r>
      <w:r>
        <w:rPr>
          <w:spacing w:val="-5"/>
        </w:rPr>
        <w:t xml:space="preserve"> </w:t>
      </w:r>
      <w:r>
        <w:t>lleva</w:t>
      </w:r>
      <w:r>
        <w:rPr>
          <w:spacing w:val="-7"/>
        </w:rPr>
        <w:t xml:space="preserve"> </w:t>
      </w:r>
      <w:r>
        <w:t>a</w:t>
      </w:r>
      <w:r>
        <w:rPr>
          <w:spacing w:val="-6"/>
        </w:rPr>
        <w:t xml:space="preserve"> </w:t>
      </w:r>
      <w:r>
        <w:t>una</w:t>
      </w:r>
      <w:r>
        <w:rPr>
          <w:spacing w:val="-6"/>
        </w:rPr>
        <w:t xml:space="preserve"> </w:t>
      </w:r>
      <w:r>
        <w:t>menor</w:t>
      </w:r>
      <w:r>
        <w:rPr>
          <w:spacing w:val="-5"/>
        </w:rPr>
        <w:t xml:space="preserve"> </w:t>
      </w:r>
      <w:r>
        <w:t>cooperación,</w:t>
      </w:r>
      <w:r>
        <w:rPr>
          <w:spacing w:val="-7"/>
        </w:rPr>
        <w:t xml:space="preserve"> </w:t>
      </w:r>
      <w:r>
        <w:t>incluso</w:t>
      </w:r>
      <w:r>
        <w:rPr>
          <w:spacing w:val="-6"/>
        </w:rPr>
        <w:t xml:space="preserve"> </w:t>
      </w:r>
      <w:r>
        <w:t>de aquellos que están en posiciones más privilegiadas, lo que resulta en una trampa</w:t>
      </w:r>
      <w:r>
        <w:rPr>
          <w:spacing w:val="-18"/>
        </w:rPr>
        <w:t xml:space="preserve"> </w:t>
      </w:r>
      <w:r>
        <w:t>de</w:t>
      </w:r>
      <w:r>
        <w:rPr>
          <w:spacing w:val="-17"/>
        </w:rPr>
        <w:t xml:space="preserve"> </w:t>
      </w:r>
      <w:r>
        <w:t>desigualdad</w:t>
      </w:r>
      <w:r>
        <w:rPr>
          <w:spacing w:val="-19"/>
        </w:rPr>
        <w:t xml:space="preserve"> </w:t>
      </w:r>
      <w:r>
        <w:t>en</w:t>
      </w:r>
      <w:r>
        <w:rPr>
          <w:spacing w:val="-19"/>
        </w:rPr>
        <w:t xml:space="preserve"> </w:t>
      </w:r>
      <w:r>
        <w:t>la</w:t>
      </w:r>
      <w:r>
        <w:rPr>
          <w:spacing w:val="-19"/>
        </w:rPr>
        <w:t xml:space="preserve"> </w:t>
      </w:r>
      <w:r>
        <w:t>cual</w:t>
      </w:r>
      <w:r>
        <w:rPr>
          <w:spacing w:val="-20"/>
        </w:rPr>
        <w:t xml:space="preserve"> </w:t>
      </w:r>
      <w:r>
        <w:t>los</w:t>
      </w:r>
      <w:r>
        <w:rPr>
          <w:spacing w:val="-18"/>
        </w:rPr>
        <w:t xml:space="preserve"> </w:t>
      </w:r>
      <w:r>
        <w:t>participantes</w:t>
      </w:r>
      <w:r>
        <w:rPr>
          <w:spacing w:val="-19"/>
        </w:rPr>
        <w:t xml:space="preserve"> </w:t>
      </w:r>
      <w:r>
        <w:t>no</w:t>
      </w:r>
      <w:r>
        <w:rPr>
          <w:spacing w:val="-18"/>
        </w:rPr>
        <w:t xml:space="preserve"> </w:t>
      </w:r>
      <w:r>
        <w:t>confían</w:t>
      </w:r>
      <w:r>
        <w:rPr>
          <w:spacing w:val="-19"/>
        </w:rPr>
        <w:t xml:space="preserve"> </w:t>
      </w:r>
      <w:r>
        <w:t>y</w:t>
      </w:r>
      <w:r>
        <w:rPr>
          <w:spacing w:val="-19"/>
        </w:rPr>
        <w:t xml:space="preserve"> </w:t>
      </w:r>
      <w:r>
        <w:t>no</w:t>
      </w:r>
      <w:r>
        <w:rPr>
          <w:spacing w:val="-14"/>
        </w:rPr>
        <w:t xml:space="preserve"> </w:t>
      </w:r>
      <w:r>
        <w:t>cooperan porque hay altos niveles de explotación de unos sobre otros. La falta de cooperación</w:t>
      </w:r>
      <w:r>
        <w:rPr>
          <w:spacing w:val="-13"/>
        </w:rPr>
        <w:t xml:space="preserve"> </w:t>
      </w:r>
      <w:r>
        <w:t>lleva</w:t>
      </w:r>
      <w:r>
        <w:rPr>
          <w:spacing w:val="-13"/>
        </w:rPr>
        <w:t xml:space="preserve"> </w:t>
      </w:r>
      <w:r>
        <w:t>a</w:t>
      </w:r>
      <w:r>
        <w:rPr>
          <w:spacing w:val="-10"/>
        </w:rPr>
        <w:t xml:space="preserve"> </w:t>
      </w:r>
      <w:r>
        <w:t>una</w:t>
      </w:r>
      <w:r>
        <w:rPr>
          <w:spacing w:val="-13"/>
        </w:rPr>
        <w:t xml:space="preserve"> </w:t>
      </w:r>
      <w:r>
        <w:t>menor</w:t>
      </w:r>
      <w:r>
        <w:rPr>
          <w:spacing w:val="-12"/>
        </w:rPr>
        <w:t xml:space="preserve"> </w:t>
      </w:r>
      <w:r>
        <w:t>producción</w:t>
      </w:r>
      <w:r>
        <w:rPr>
          <w:spacing w:val="-13"/>
        </w:rPr>
        <w:t xml:space="preserve"> </w:t>
      </w:r>
      <w:r>
        <w:t>de</w:t>
      </w:r>
      <w:r>
        <w:rPr>
          <w:spacing w:val="-12"/>
        </w:rPr>
        <w:t xml:space="preserve"> </w:t>
      </w:r>
      <w:r>
        <w:t>riqueza,</w:t>
      </w:r>
      <w:r>
        <w:rPr>
          <w:spacing w:val="-14"/>
        </w:rPr>
        <w:t xml:space="preserve"> </w:t>
      </w:r>
      <w:r>
        <w:t>pues</w:t>
      </w:r>
      <w:r>
        <w:rPr>
          <w:spacing w:val="-10"/>
        </w:rPr>
        <w:t xml:space="preserve"> </w:t>
      </w:r>
      <w:r>
        <w:t>en</w:t>
      </w:r>
      <w:r>
        <w:rPr>
          <w:spacing w:val="-13"/>
        </w:rPr>
        <w:t xml:space="preserve"> </w:t>
      </w:r>
      <w:r>
        <w:t>este</w:t>
      </w:r>
      <w:r>
        <w:rPr>
          <w:spacing w:val="-12"/>
        </w:rPr>
        <w:t xml:space="preserve"> </w:t>
      </w:r>
      <w:r>
        <w:t>modelo la</w:t>
      </w:r>
      <w:r>
        <w:rPr>
          <w:spacing w:val="-22"/>
        </w:rPr>
        <w:t xml:space="preserve"> </w:t>
      </w:r>
      <w:r>
        <w:t>riqueza</w:t>
      </w:r>
      <w:r>
        <w:rPr>
          <w:spacing w:val="-21"/>
        </w:rPr>
        <w:t xml:space="preserve"> </w:t>
      </w:r>
      <w:r>
        <w:t>es</w:t>
      </w:r>
      <w:r>
        <w:rPr>
          <w:spacing w:val="-20"/>
        </w:rPr>
        <w:t xml:space="preserve"> </w:t>
      </w:r>
      <w:r>
        <w:t>el</w:t>
      </w:r>
      <w:r>
        <w:rPr>
          <w:spacing w:val="-22"/>
        </w:rPr>
        <w:t xml:space="preserve"> </w:t>
      </w:r>
      <w:r>
        <w:t>resultado</w:t>
      </w:r>
      <w:r>
        <w:rPr>
          <w:spacing w:val="-19"/>
        </w:rPr>
        <w:t xml:space="preserve"> </w:t>
      </w:r>
      <w:r>
        <w:t>de</w:t>
      </w:r>
      <w:r>
        <w:rPr>
          <w:spacing w:val="-20"/>
        </w:rPr>
        <w:t xml:space="preserve"> </w:t>
      </w:r>
      <w:r>
        <w:t>la</w:t>
      </w:r>
      <w:r>
        <w:rPr>
          <w:spacing w:val="-21"/>
        </w:rPr>
        <w:t xml:space="preserve"> </w:t>
      </w:r>
      <w:r>
        <w:t>cooperación</w:t>
      </w:r>
      <w:r>
        <w:rPr>
          <w:spacing w:val="-21"/>
        </w:rPr>
        <w:t xml:space="preserve"> </w:t>
      </w:r>
      <w:r>
        <w:t>social:</w:t>
      </w:r>
      <w:r>
        <w:rPr>
          <w:spacing w:val="-22"/>
        </w:rPr>
        <w:t xml:space="preserve"> </w:t>
      </w:r>
      <w:r>
        <w:t>la</w:t>
      </w:r>
      <w:r>
        <w:rPr>
          <w:spacing w:val="-19"/>
        </w:rPr>
        <w:t xml:space="preserve"> </w:t>
      </w:r>
      <w:r>
        <w:rPr>
          <w:i/>
        </w:rPr>
        <w:t>trampa</w:t>
      </w:r>
      <w:r>
        <w:rPr>
          <w:i/>
          <w:spacing w:val="-18"/>
        </w:rPr>
        <w:t xml:space="preserve"> </w:t>
      </w:r>
      <w:r>
        <w:rPr>
          <w:i/>
        </w:rPr>
        <w:t>de</w:t>
      </w:r>
      <w:r>
        <w:rPr>
          <w:i/>
          <w:spacing w:val="-20"/>
        </w:rPr>
        <w:t xml:space="preserve"> </w:t>
      </w:r>
      <w:r>
        <w:rPr>
          <w:i/>
        </w:rPr>
        <w:t xml:space="preserve">desigualdad </w:t>
      </w:r>
      <w:r>
        <w:t>es,</w:t>
      </w:r>
      <w:r>
        <w:rPr>
          <w:spacing w:val="-9"/>
        </w:rPr>
        <w:t xml:space="preserve"> </w:t>
      </w:r>
      <w:r>
        <w:t>a</w:t>
      </w:r>
      <w:r>
        <w:rPr>
          <w:spacing w:val="-8"/>
        </w:rPr>
        <w:t xml:space="preserve"> </w:t>
      </w:r>
      <w:r>
        <w:t>su</w:t>
      </w:r>
      <w:r>
        <w:rPr>
          <w:spacing w:val="-9"/>
        </w:rPr>
        <w:t xml:space="preserve"> </w:t>
      </w:r>
      <w:r>
        <w:t>vez,</w:t>
      </w:r>
      <w:r>
        <w:rPr>
          <w:spacing w:val="-9"/>
        </w:rPr>
        <w:t xml:space="preserve"> </w:t>
      </w:r>
      <w:r>
        <w:t>una</w:t>
      </w:r>
      <w:r>
        <w:rPr>
          <w:spacing w:val="-4"/>
        </w:rPr>
        <w:t xml:space="preserve"> </w:t>
      </w:r>
      <w:r>
        <w:rPr>
          <w:i/>
        </w:rPr>
        <w:t>trampa</w:t>
      </w:r>
      <w:r>
        <w:rPr>
          <w:i/>
          <w:spacing w:val="-8"/>
        </w:rPr>
        <w:t xml:space="preserve"> </w:t>
      </w:r>
      <w:r>
        <w:rPr>
          <w:i/>
        </w:rPr>
        <w:t>de</w:t>
      </w:r>
      <w:r>
        <w:rPr>
          <w:i/>
          <w:spacing w:val="-7"/>
        </w:rPr>
        <w:t xml:space="preserve"> </w:t>
      </w:r>
      <w:r>
        <w:rPr>
          <w:i/>
        </w:rPr>
        <w:t>pobreza</w:t>
      </w:r>
      <w:r>
        <w:t>.</w:t>
      </w:r>
      <w:r>
        <w:rPr>
          <w:spacing w:val="-9"/>
        </w:rPr>
        <w:t xml:space="preserve"> </w:t>
      </w:r>
      <w:r>
        <w:t>En</w:t>
      </w:r>
      <w:r>
        <w:rPr>
          <w:spacing w:val="-8"/>
        </w:rPr>
        <w:t xml:space="preserve"> </w:t>
      </w:r>
      <w:r>
        <w:t>la</w:t>
      </w:r>
      <w:r>
        <w:rPr>
          <w:spacing w:val="-8"/>
        </w:rPr>
        <w:t xml:space="preserve"> </w:t>
      </w:r>
      <w:r>
        <w:t>medida</w:t>
      </w:r>
      <w:r>
        <w:rPr>
          <w:spacing w:val="-8"/>
        </w:rPr>
        <w:t xml:space="preserve"> </w:t>
      </w:r>
      <w:r>
        <w:t>en</w:t>
      </w:r>
      <w:r>
        <w:rPr>
          <w:spacing w:val="-8"/>
        </w:rPr>
        <w:t xml:space="preserve"> </w:t>
      </w:r>
      <w:r>
        <w:t>que</w:t>
      </w:r>
      <w:r>
        <w:rPr>
          <w:spacing w:val="-7"/>
        </w:rPr>
        <w:t xml:space="preserve"> </w:t>
      </w:r>
      <w:r>
        <w:t>una</w:t>
      </w:r>
      <w:r>
        <w:rPr>
          <w:spacing w:val="-8"/>
        </w:rPr>
        <w:t xml:space="preserve"> </w:t>
      </w:r>
      <w:r>
        <w:t>sociedad</w:t>
      </w:r>
      <w:r>
        <w:rPr>
          <w:spacing w:val="-6"/>
        </w:rPr>
        <w:t xml:space="preserve"> </w:t>
      </w:r>
      <w:r>
        <w:t>es más</w:t>
      </w:r>
      <w:r>
        <w:rPr>
          <w:spacing w:val="-16"/>
        </w:rPr>
        <w:t xml:space="preserve"> </w:t>
      </w:r>
      <w:r>
        <w:t>inequitativa</w:t>
      </w:r>
      <w:r>
        <w:rPr>
          <w:spacing w:val="-16"/>
        </w:rPr>
        <w:t xml:space="preserve"> </w:t>
      </w:r>
      <w:r>
        <w:t>–</w:t>
      </w:r>
      <w:r>
        <w:rPr>
          <w:spacing w:val="-12"/>
        </w:rPr>
        <w:t xml:space="preserve"> </w:t>
      </w:r>
      <w:r>
        <w:t>mayor</w:t>
      </w:r>
      <w:r>
        <w:rPr>
          <w:spacing w:val="-15"/>
        </w:rPr>
        <w:t xml:space="preserve"> </w:t>
      </w:r>
      <w:r>
        <w:t>dispersión</w:t>
      </w:r>
      <w:r>
        <w:rPr>
          <w:spacing w:val="-16"/>
        </w:rPr>
        <w:t xml:space="preserve"> </w:t>
      </w:r>
      <w:r>
        <w:t>en</w:t>
      </w:r>
      <w:r>
        <w:rPr>
          <w:spacing w:val="-14"/>
        </w:rPr>
        <w:t xml:space="preserve"> </w:t>
      </w:r>
      <w:r>
        <w:t>la</w:t>
      </w:r>
      <w:r>
        <w:rPr>
          <w:spacing w:val="-16"/>
        </w:rPr>
        <w:t xml:space="preserve"> </w:t>
      </w:r>
      <w:r>
        <w:t>distribución</w:t>
      </w:r>
      <w:r>
        <w:rPr>
          <w:spacing w:val="-16"/>
        </w:rPr>
        <w:t xml:space="preserve"> </w:t>
      </w:r>
      <w:r>
        <w:t>de</w:t>
      </w:r>
      <w:r>
        <w:rPr>
          <w:spacing w:val="-15"/>
        </w:rPr>
        <w:t xml:space="preserve"> </w:t>
      </w:r>
      <w:r>
        <w:t>recursos</w:t>
      </w:r>
      <w:r>
        <w:rPr>
          <w:spacing w:val="-16"/>
        </w:rPr>
        <w:t xml:space="preserve"> </w:t>
      </w:r>
      <w:r>
        <w:t>respecto a la media – y tiene menores posibilidades de movilidad social, la fracción de aquellos individuos que están en la cola de la distribución es mayor y, por tanto, es mayor la proporción de individuos que se inclinarían por explotar a otros mediante actividades criminales, por lo que los niveles de confianza y cooperación de esa sociedad serían bajos y habría una tendencia a quedarse en ese equilibrio o trampa de desigualdad.</w:t>
      </w:r>
    </w:p>
    <w:p w14:paraId="1A6420A4" w14:textId="77777777" w:rsidR="000E52B0" w:rsidRDefault="000E52B0">
      <w:pPr>
        <w:pStyle w:val="Textoindependiente"/>
        <w:ind w:left="0"/>
      </w:pPr>
    </w:p>
    <w:p w14:paraId="0E450614" w14:textId="77777777" w:rsidR="000E52B0" w:rsidRDefault="00F60D74">
      <w:pPr>
        <w:pStyle w:val="Textoindependiente"/>
        <w:ind w:right="716"/>
        <w:jc w:val="both"/>
      </w:pPr>
      <w:r>
        <w:t>De acuerdo con este modelo, cambiar la distribución de los recursos en la sociedad, es decir, reducir la inequidad, podría sacar a la sociedad del equilibrio indeseado hacia un equilibrio virtuoso: mayor confianza, mayor cooperación, menor explotación y mayor riqueza (resultado de una mayor cooperación social). Una de las implicaciones de este modelo es que la reducción del crimen en sociedades desiguales no se podrá lograr exclusivamente a partir del aumento en la severidad de los castigos; la reducción</w:t>
      </w:r>
      <w:r>
        <w:rPr>
          <w:spacing w:val="-19"/>
        </w:rPr>
        <w:t xml:space="preserve"> </w:t>
      </w:r>
      <w:r>
        <w:t>del</w:t>
      </w:r>
      <w:r>
        <w:rPr>
          <w:spacing w:val="-17"/>
        </w:rPr>
        <w:t xml:space="preserve"> </w:t>
      </w:r>
      <w:r>
        <w:t>crimen</w:t>
      </w:r>
      <w:r>
        <w:rPr>
          <w:spacing w:val="-19"/>
        </w:rPr>
        <w:t xml:space="preserve"> </w:t>
      </w:r>
      <w:r>
        <w:t>se</w:t>
      </w:r>
      <w:r>
        <w:rPr>
          <w:spacing w:val="-17"/>
        </w:rPr>
        <w:t xml:space="preserve"> </w:t>
      </w:r>
      <w:r>
        <w:t>lograría</w:t>
      </w:r>
      <w:r>
        <w:rPr>
          <w:spacing w:val="-16"/>
        </w:rPr>
        <w:t xml:space="preserve"> </w:t>
      </w:r>
      <w:r>
        <w:t>de</w:t>
      </w:r>
      <w:r>
        <w:rPr>
          <w:spacing w:val="-17"/>
        </w:rPr>
        <w:t xml:space="preserve"> </w:t>
      </w:r>
      <w:r>
        <w:t>manera</w:t>
      </w:r>
      <w:r>
        <w:rPr>
          <w:spacing w:val="-18"/>
        </w:rPr>
        <w:t xml:space="preserve"> </w:t>
      </w:r>
      <w:r>
        <w:t>más</w:t>
      </w:r>
      <w:r>
        <w:rPr>
          <w:spacing w:val="-19"/>
        </w:rPr>
        <w:t xml:space="preserve"> </w:t>
      </w:r>
      <w:r>
        <w:t>efectiva</w:t>
      </w:r>
      <w:r>
        <w:rPr>
          <w:spacing w:val="-16"/>
        </w:rPr>
        <w:t xml:space="preserve"> </w:t>
      </w:r>
      <w:r>
        <w:t>mediante</w:t>
      </w:r>
      <w:r>
        <w:rPr>
          <w:spacing w:val="-17"/>
        </w:rPr>
        <w:t xml:space="preserve"> </w:t>
      </w:r>
      <w:r>
        <w:t>medidas que logren reducir la desigualdad y la fragmentación social y promover la confianza entre diferentes sectores sociales.</w:t>
      </w:r>
    </w:p>
    <w:p w14:paraId="0906E038" w14:textId="77777777" w:rsidR="000E52B0" w:rsidRDefault="000E52B0">
      <w:pPr>
        <w:pStyle w:val="Textoindependiente"/>
        <w:spacing w:before="1"/>
        <w:ind w:left="0"/>
      </w:pPr>
    </w:p>
    <w:p w14:paraId="67D48B99" w14:textId="77777777" w:rsidR="000E52B0" w:rsidRDefault="00F60D74">
      <w:pPr>
        <w:pStyle w:val="Textoindependiente"/>
        <w:ind w:right="712"/>
        <w:jc w:val="both"/>
      </w:pPr>
      <w:r>
        <w:t>Existe evidencia empírica en la literatura internacional que demuestra que existe</w:t>
      </w:r>
      <w:r>
        <w:rPr>
          <w:spacing w:val="-13"/>
        </w:rPr>
        <w:t xml:space="preserve"> </w:t>
      </w:r>
      <w:r>
        <w:t>una</w:t>
      </w:r>
      <w:r>
        <w:rPr>
          <w:spacing w:val="-13"/>
        </w:rPr>
        <w:t xml:space="preserve"> </w:t>
      </w:r>
      <w:r>
        <w:t>relación</w:t>
      </w:r>
      <w:r>
        <w:rPr>
          <w:spacing w:val="-12"/>
        </w:rPr>
        <w:t xml:space="preserve"> </w:t>
      </w:r>
      <w:r>
        <w:t>positiva</w:t>
      </w:r>
      <w:r>
        <w:rPr>
          <w:spacing w:val="-13"/>
        </w:rPr>
        <w:t xml:space="preserve"> </w:t>
      </w:r>
      <w:r>
        <w:t>entre</w:t>
      </w:r>
      <w:r>
        <w:rPr>
          <w:spacing w:val="-12"/>
        </w:rPr>
        <w:t xml:space="preserve"> </w:t>
      </w:r>
      <w:r>
        <w:t>inequidad</w:t>
      </w:r>
      <w:r>
        <w:rPr>
          <w:spacing w:val="-12"/>
        </w:rPr>
        <w:t xml:space="preserve"> </w:t>
      </w:r>
      <w:r>
        <w:t>y</w:t>
      </w:r>
      <w:r>
        <w:rPr>
          <w:spacing w:val="-13"/>
        </w:rPr>
        <w:t xml:space="preserve"> </w:t>
      </w:r>
      <w:r>
        <w:t>crimen</w:t>
      </w:r>
      <w:r>
        <w:rPr>
          <w:spacing w:val="-12"/>
        </w:rPr>
        <w:t xml:space="preserve"> </w:t>
      </w:r>
      <w:r>
        <w:t>(por</w:t>
      </w:r>
      <w:r>
        <w:rPr>
          <w:spacing w:val="-13"/>
        </w:rPr>
        <w:t xml:space="preserve"> </w:t>
      </w:r>
      <w:r>
        <w:t>ejemplo,</w:t>
      </w:r>
      <w:r>
        <w:rPr>
          <w:spacing w:val="-6"/>
        </w:rPr>
        <w:t xml:space="preserve"> </w:t>
      </w:r>
      <w:r>
        <w:t xml:space="preserve">Ehrlich, 1973; Freeman, 1996; </w:t>
      </w:r>
      <w:proofErr w:type="spellStart"/>
      <w:r>
        <w:t>Fajnzylber</w:t>
      </w:r>
      <w:proofErr w:type="spellEnd"/>
      <w:r>
        <w:t xml:space="preserve">, </w:t>
      </w:r>
      <w:proofErr w:type="spellStart"/>
      <w:r>
        <w:t>Lederman</w:t>
      </w:r>
      <w:proofErr w:type="spellEnd"/>
      <w:r>
        <w:t xml:space="preserve">, &amp; Loayza, 2002), mientras que para Colombia, </w:t>
      </w:r>
      <w:proofErr w:type="spellStart"/>
      <w:r>
        <w:t>Bourguignon</w:t>
      </w:r>
      <w:proofErr w:type="spellEnd"/>
      <w:r>
        <w:t>,</w:t>
      </w:r>
      <w:r>
        <w:rPr>
          <w:spacing w:val="-1"/>
        </w:rPr>
        <w:t xml:space="preserve"> </w:t>
      </w:r>
      <w:r>
        <w:t>Sánchez,</w:t>
      </w:r>
      <w:r>
        <w:rPr>
          <w:spacing w:val="-1"/>
        </w:rPr>
        <w:t xml:space="preserve"> </w:t>
      </w:r>
      <w:r>
        <w:t>&amp;</w:t>
      </w:r>
      <w:r>
        <w:rPr>
          <w:spacing w:val="-2"/>
        </w:rPr>
        <w:t xml:space="preserve"> </w:t>
      </w:r>
      <w:proofErr w:type="spellStart"/>
      <w:r>
        <w:t>Nuñez</w:t>
      </w:r>
      <w:proofErr w:type="spellEnd"/>
      <w:r>
        <w:t xml:space="preserve"> (2003)</w:t>
      </w:r>
      <w:hyperlink w:anchor="_bookmark134" w:history="1">
        <w:r w:rsidR="000E52B0">
          <w:rPr>
            <w:position w:val="8"/>
            <w:sz w:val="16"/>
          </w:rPr>
          <w:t>116</w:t>
        </w:r>
      </w:hyperlink>
      <w:r>
        <w:rPr>
          <w:spacing w:val="29"/>
          <w:position w:val="8"/>
          <w:sz w:val="16"/>
        </w:rPr>
        <w:t xml:space="preserve"> </w:t>
      </w:r>
      <w:r>
        <w:t>encuentran que,</w:t>
      </w:r>
      <w:r>
        <w:rPr>
          <w:spacing w:val="-22"/>
        </w:rPr>
        <w:t xml:space="preserve"> </w:t>
      </w:r>
      <w:r>
        <w:t>particularmente,</w:t>
      </w:r>
      <w:r>
        <w:rPr>
          <w:spacing w:val="-21"/>
        </w:rPr>
        <w:t xml:space="preserve"> </w:t>
      </w:r>
      <w:r>
        <w:t>la</w:t>
      </w:r>
      <w:r>
        <w:rPr>
          <w:spacing w:val="-21"/>
        </w:rPr>
        <w:t xml:space="preserve"> </w:t>
      </w:r>
      <w:r>
        <w:t>proporción</w:t>
      </w:r>
      <w:r>
        <w:rPr>
          <w:spacing w:val="-21"/>
        </w:rPr>
        <w:t xml:space="preserve"> </w:t>
      </w:r>
      <w:r>
        <w:t>de</w:t>
      </w:r>
      <w:r>
        <w:rPr>
          <w:spacing w:val="-21"/>
        </w:rPr>
        <w:t xml:space="preserve"> </w:t>
      </w:r>
      <w:r>
        <w:t>población</w:t>
      </w:r>
      <w:r>
        <w:rPr>
          <w:spacing w:val="-21"/>
        </w:rPr>
        <w:t xml:space="preserve"> </w:t>
      </w:r>
      <w:r>
        <w:t>cuyo</w:t>
      </w:r>
      <w:r>
        <w:rPr>
          <w:spacing w:val="-21"/>
        </w:rPr>
        <w:t xml:space="preserve"> </w:t>
      </w:r>
      <w:r>
        <w:t>estándar</w:t>
      </w:r>
      <w:r>
        <w:rPr>
          <w:spacing w:val="-21"/>
        </w:rPr>
        <w:t xml:space="preserve"> </w:t>
      </w:r>
      <w:r>
        <w:t>de</w:t>
      </w:r>
      <w:r>
        <w:rPr>
          <w:spacing w:val="-21"/>
        </w:rPr>
        <w:t xml:space="preserve"> </w:t>
      </w:r>
      <w:r>
        <w:t>vida</w:t>
      </w:r>
      <w:r>
        <w:rPr>
          <w:spacing w:val="-21"/>
        </w:rPr>
        <w:t xml:space="preserve"> </w:t>
      </w:r>
      <w:r>
        <w:t>está por debajo del 80 por ciento del promedio, más que un indicador sintético de desigualdad como el</w:t>
      </w:r>
      <w:r>
        <w:rPr>
          <w:spacing w:val="-2"/>
        </w:rPr>
        <w:t xml:space="preserve"> </w:t>
      </w:r>
      <w:r>
        <w:t>índice de Gini, es</w:t>
      </w:r>
      <w:r>
        <w:rPr>
          <w:spacing w:val="-1"/>
        </w:rPr>
        <w:t xml:space="preserve"> </w:t>
      </w:r>
      <w:r>
        <w:t>relevante para explicar las tasas de criminalidad. En su estudio, analizan la evolución de la criminalidad en las</w:t>
      </w:r>
      <w:r>
        <w:rPr>
          <w:spacing w:val="-22"/>
        </w:rPr>
        <w:t xml:space="preserve"> </w:t>
      </w:r>
      <w:r>
        <w:t>siete</w:t>
      </w:r>
      <w:r>
        <w:rPr>
          <w:spacing w:val="-21"/>
        </w:rPr>
        <w:t xml:space="preserve"> </w:t>
      </w:r>
      <w:r>
        <w:t>principales</w:t>
      </w:r>
      <w:r>
        <w:rPr>
          <w:spacing w:val="-21"/>
        </w:rPr>
        <w:t xml:space="preserve"> </w:t>
      </w:r>
      <w:r>
        <w:t>ciudades</w:t>
      </w:r>
      <w:r>
        <w:rPr>
          <w:spacing w:val="-21"/>
        </w:rPr>
        <w:t xml:space="preserve"> </w:t>
      </w:r>
      <w:r>
        <w:t>de</w:t>
      </w:r>
      <w:r>
        <w:rPr>
          <w:spacing w:val="-21"/>
        </w:rPr>
        <w:t xml:space="preserve"> </w:t>
      </w:r>
      <w:r>
        <w:t>Colombia</w:t>
      </w:r>
      <w:r>
        <w:rPr>
          <w:spacing w:val="-21"/>
        </w:rPr>
        <w:t xml:space="preserve"> </w:t>
      </w:r>
      <w:r>
        <w:t>por</w:t>
      </w:r>
      <w:r>
        <w:rPr>
          <w:spacing w:val="-21"/>
        </w:rPr>
        <w:t xml:space="preserve"> </w:t>
      </w:r>
      <w:r>
        <w:t>un</w:t>
      </w:r>
      <w:r>
        <w:rPr>
          <w:spacing w:val="-21"/>
        </w:rPr>
        <w:t xml:space="preserve"> </w:t>
      </w:r>
      <w:r>
        <w:t>periodo</w:t>
      </w:r>
      <w:r>
        <w:rPr>
          <w:spacing w:val="-21"/>
        </w:rPr>
        <w:t xml:space="preserve"> </w:t>
      </w:r>
      <w:r>
        <w:t>de</w:t>
      </w:r>
      <w:r>
        <w:rPr>
          <w:spacing w:val="-21"/>
        </w:rPr>
        <w:t xml:space="preserve"> </w:t>
      </w:r>
      <w:r>
        <w:t>15</w:t>
      </w:r>
      <w:r>
        <w:rPr>
          <w:spacing w:val="-22"/>
        </w:rPr>
        <w:t xml:space="preserve"> </w:t>
      </w:r>
      <w:r>
        <w:t>años</w:t>
      </w:r>
      <w:r>
        <w:rPr>
          <w:spacing w:val="-21"/>
        </w:rPr>
        <w:t xml:space="preserve"> </w:t>
      </w:r>
      <w:r>
        <w:t>(1986- 1998), usando como variable dependiente los crímenes a la propiedad y encuentran</w:t>
      </w:r>
      <w:r>
        <w:rPr>
          <w:spacing w:val="-20"/>
        </w:rPr>
        <w:t xml:space="preserve"> </w:t>
      </w:r>
      <w:r>
        <w:t>que</w:t>
      </w:r>
      <w:r>
        <w:rPr>
          <w:spacing w:val="-19"/>
        </w:rPr>
        <w:t xml:space="preserve"> </w:t>
      </w:r>
      <w:r>
        <w:t>es</w:t>
      </w:r>
      <w:r>
        <w:rPr>
          <w:spacing w:val="-20"/>
        </w:rPr>
        <w:t xml:space="preserve"> </w:t>
      </w:r>
      <w:r>
        <w:t>el</w:t>
      </w:r>
      <w:r>
        <w:rPr>
          <w:spacing w:val="-18"/>
        </w:rPr>
        <w:t xml:space="preserve"> </w:t>
      </w:r>
      <w:r>
        <w:t>ingreso</w:t>
      </w:r>
      <w:r>
        <w:rPr>
          <w:spacing w:val="-19"/>
        </w:rPr>
        <w:t xml:space="preserve"> </w:t>
      </w:r>
      <w:r>
        <w:t>de</w:t>
      </w:r>
      <w:r>
        <w:rPr>
          <w:spacing w:val="-19"/>
        </w:rPr>
        <w:t xml:space="preserve"> </w:t>
      </w:r>
      <w:r>
        <w:t>aquella</w:t>
      </w:r>
      <w:r>
        <w:rPr>
          <w:spacing w:val="-17"/>
        </w:rPr>
        <w:t xml:space="preserve"> </w:t>
      </w:r>
      <w:r>
        <w:t>proporción</w:t>
      </w:r>
      <w:r>
        <w:rPr>
          <w:spacing w:val="-20"/>
        </w:rPr>
        <w:t xml:space="preserve"> </w:t>
      </w:r>
      <w:r>
        <w:t>de</w:t>
      </w:r>
      <w:r>
        <w:rPr>
          <w:spacing w:val="-16"/>
        </w:rPr>
        <w:t xml:space="preserve"> </w:t>
      </w:r>
      <w:r>
        <w:t>la</w:t>
      </w:r>
      <w:r>
        <w:rPr>
          <w:spacing w:val="-20"/>
        </w:rPr>
        <w:t xml:space="preserve"> </w:t>
      </w:r>
      <w:r>
        <w:t>población</w:t>
      </w:r>
      <w:r>
        <w:rPr>
          <w:spacing w:val="-18"/>
        </w:rPr>
        <w:t xml:space="preserve"> </w:t>
      </w:r>
      <w:r>
        <w:t>que</w:t>
      </w:r>
      <w:r>
        <w:rPr>
          <w:spacing w:val="-19"/>
        </w:rPr>
        <w:t xml:space="preserve"> </w:t>
      </w:r>
      <w:r>
        <w:t>está por</w:t>
      </w:r>
      <w:r>
        <w:rPr>
          <w:spacing w:val="-13"/>
        </w:rPr>
        <w:t xml:space="preserve"> </w:t>
      </w:r>
      <w:r>
        <w:t>debajo</w:t>
      </w:r>
      <w:r>
        <w:rPr>
          <w:spacing w:val="-13"/>
        </w:rPr>
        <w:t xml:space="preserve"> </w:t>
      </w:r>
      <w:r>
        <w:t>del</w:t>
      </w:r>
      <w:r>
        <w:rPr>
          <w:spacing w:val="-15"/>
        </w:rPr>
        <w:t xml:space="preserve"> </w:t>
      </w:r>
      <w:r>
        <w:t>80%</w:t>
      </w:r>
      <w:r>
        <w:rPr>
          <w:spacing w:val="-15"/>
        </w:rPr>
        <w:t xml:space="preserve"> </w:t>
      </w:r>
      <w:r>
        <w:t>del</w:t>
      </w:r>
      <w:r>
        <w:rPr>
          <w:spacing w:val="-15"/>
        </w:rPr>
        <w:t xml:space="preserve"> </w:t>
      </w:r>
      <w:r>
        <w:t>promedio</w:t>
      </w:r>
      <w:r>
        <w:rPr>
          <w:spacing w:val="-13"/>
        </w:rPr>
        <w:t xml:space="preserve"> </w:t>
      </w:r>
      <w:r>
        <w:t>la</w:t>
      </w:r>
      <w:r>
        <w:rPr>
          <w:spacing w:val="-14"/>
        </w:rPr>
        <w:t xml:space="preserve"> </w:t>
      </w:r>
      <w:r>
        <w:t>que</w:t>
      </w:r>
      <w:r>
        <w:rPr>
          <w:spacing w:val="-13"/>
        </w:rPr>
        <w:t xml:space="preserve"> </w:t>
      </w:r>
      <w:r>
        <w:t>más</w:t>
      </w:r>
      <w:r>
        <w:rPr>
          <w:spacing w:val="-14"/>
        </w:rPr>
        <w:t xml:space="preserve"> </w:t>
      </w:r>
      <w:r>
        <w:t>importa</w:t>
      </w:r>
      <w:r>
        <w:rPr>
          <w:spacing w:val="-14"/>
        </w:rPr>
        <w:t xml:space="preserve"> </w:t>
      </w:r>
      <w:r>
        <w:t>para</w:t>
      </w:r>
      <w:r>
        <w:rPr>
          <w:spacing w:val="-13"/>
        </w:rPr>
        <w:t xml:space="preserve"> </w:t>
      </w:r>
      <w:r>
        <w:t>reducir</w:t>
      </w:r>
      <w:r>
        <w:rPr>
          <w:spacing w:val="-13"/>
        </w:rPr>
        <w:t xml:space="preserve"> </w:t>
      </w:r>
      <w:r>
        <w:t>las</w:t>
      </w:r>
      <w:r>
        <w:rPr>
          <w:spacing w:val="-14"/>
        </w:rPr>
        <w:t xml:space="preserve"> </w:t>
      </w:r>
      <w:r>
        <w:t>tasas de</w:t>
      </w:r>
      <w:r>
        <w:rPr>
          <w:spacing w:val="-19"/>
        </w:rPr>
        <w:t xml:space="preserve"> </w:t>
      </w:r>
      <w:r>
        <w:t>criminalidad,</w:t>
      </w:r>
      <w:r>
        <w:rPr>
          <w:spacing w:val="-21"/>
        </w:rPr>
        <w:t xml:space="preserve"> </w:t>
      </w:r>
      <w:r>
        <w:t>más</w:t>
      </w:r>
      <w:r>
        <w:rPr>
          <w:spacing w:val="-20"/>
        </w:rPr>
        <w:t xml:space="preserve"> </w:t>
      </w:r>
      <w:r>
        <w:t>que</w:t>
      </w:r>
      <w:r>
        <w:rPr>
          <w:spacing w:val="-19"/>
        </w:rPr>
        <w:t xml:space="preserve"> </w:t>
      </w:r>
      <w:r>
        <w:t>el</w:t>
      </w:r>
      <w:r>
        <w:rPr>
          <w:spacing w:val="-19"/>
        </w:rPr>
        <w:t xml:space="preserve"> </w:t>
      </w:r>
      <w:r>
        <w:t>total</w:t>
      </w:r>
      <w:r>
        <w:rPr>
          <w:spacing w:val="-21"/>
        </w:rPr>
        <w:t xml:space="preserve"> </w:t>
      </w:r>
      <w:r>
        <w:t>de</w:t>
      </w:r>
      <w:r>
        <w:rPr>
          <w:spacing w:val="-16"/>
        </w:rPr>
        <w:t xml:space="preserve"> </w:t>
      </w:r>
      <w:r>
        <w:t>la</w:t>
      </w:r>
      <w:r>
        <w:rPr>
          <w:spacing w:val="-18"/>
        </w:rPr>
        <w:t xml:space="preserve"> </w:t>
      </w:r>
      <w:r>
        <w:t>distribución</w:t>
      </w:r>
      <w:r>
        <w:rPr>
          <w:spacing w:val="-18"/>
        </w:rPr>
        <w:t xml:space="preserve"> </w:t>
      </w:r>
      <w:r>
        <w:t>del</w:t>
      </w:r>
      <w:r>
        <w:rPr>
          <w:spacing w:val="-21"/>
        </w:rPr>
        <w:t xml:space="preserve"> </w:t>
      </w:r>
      <w:r>
        <w:t>ingreso.</w:t>
      </w:r>
      <w:r>
        <w:rPr>
          <w:spacing w:val="-20"/>
        </w:rPr>
        <w:t xml:space="preserve"> </w:t>
      </w:r>
      <w:r>
        <w:t>Esto</w:t>
      </w:r>
      <w:r>
        <w:rPr>
          <w:spacing w:val="-17"/>
        </w:rPr>
        <w:t xml:space="preserve"> </w:t>
      </w:r>
      <w:r>
        <w:t>se</w:t>
      </w:r>
      <w:r>
        <w:rPr>
          <w:spacing w:val="-19"/>
        </w:rPr>
        <w:t xml:space="preserve"> </w:t>
      </w:r>
      <w:r>
        <w:t>debe a que es más probable que la población que se involucra en actividades criminales</w:t>
      </w:r>
      <w:r>
        <w:rPr>
          <w:spacing w:val="16"/>
        </w:rPr>
        <w:t xml:space="preserve"> </w:t>
      </w:r>
      <w:r>
        <w:t>sea</w:t>
      </w:r>
      <w:r>
        <w:rPr>
          <w:spacing w:val="21"/>
        </w:rPr>
        <w:t xml:space="preserve"> </w:t>
      </w:r>
      <w:r>
        <w:t>la</w:t>
      </w:r>
      <w:r>
        <w:rPr>
          <w:spacing w:val="21"/>
        </w:rPr>
        <w:t xml:space="preserve"> </w:t>
      </w:r>
      <w:r>
        <w:t>población</w:t>
      </w:r>
      <w:r>
        <w:rPr>
          <w:spacing w:val="20"/>
        </w:rPr>
        <w:t xml:space="preserve"> </w:t>
      </w:r>
      <w:r>
        <w:t>bajo</w:t>
      </w:r>
      <w:r>
        <w:rPr>
          <w:spacing w:val="19"/>
        </w:rPr>
        <w:t xml:space="preserve"> </w:t>
      </w:r>
      <w:r>
        <w:t>cierto</w:t>
      </w:r>
      <w:r>
        <w:rPr>
          <w:spacing w:val="21"/>
        </w:rPr>
        <w:t xml:space="preserve"> </w:t>
      </w:r>
      <w:r>
        <w:t>umbral</w:t>
      </w:r>
      <w:r>
        <w:rPr>
          <w:spacing w:val="21"/>
        </w:rPr>
        <w:t xml:space="preserve"> </w:t>
      </w:r>
      <w:r>
        <w:t>de</w:t>
      </w:r>
      <w:r>
        <w:rPr>
          <w:spacing w:val="19"/>
        </w:rPr>
        <w:t xml:space="preserve"> </w:t>
      </w:r>
      <w:r>
        <w:t>ingresos</w:t>
      </w:r>
      <w:r>
        <w:rPr>
          <w:spacing w:val="20"/>
        </w:rPr>
        <w:t xml:space="preserve"> </w:t>
      </w:r>
      <w:r>
        <w:rPr>
          <w:spacing w:val="-2"/>
        </w:rPr>
        <w:t>(</w:t>
      </w:r>
      <w:proofErr w:type="spellStart"/>
      <w:r>
        <w:rPr>
          <w:spacing w:val="-2"/>
        </w:rPr>
        <w:t>Bourguignon</w:t>
      </w:r>
      <w:proofErr w:type="spellEnd"/>
      <w:r>
        <w:rPr>
          <w:spacing w:val="-2"/>
        </w:rPr>
        <w:t>,</w:t>
      </w:r>
    </w:p>
    <w:p w14:paraId="5FFC62D1" w14:textId="77777777" w:rsidR="000E52B0" w:rsidRDefault="00F60D74">
      <w:pPr>
        <w:pStyle w:val="Textoindependiente"/>
        <w:spacing w:before="37"/>
        <w:ind w:left="0"/>
        <w:rPr>
          <w:sz w:val="20"/>
        </w:rPr>
      </w:pPr>
      <w:r>
        <w:rPr>
          <w:noProof/>
          <w:sz w:val="20"/>
        </w:rPr>
        <mc:AlternateContent>
          <mc:Choice Requires="wps">
            <w:drawing>
              <wp:anchor distT="0" distB="0" distL="0" distR="0" simplePos="0" relativeHeight="487669248" behindDoc="1" locked="0" layoutInCell="1" allowOverlap="1" wp14:anchorId="475BA6B0" wp14:editId="22169ABC">
                <wp:simplePos x="0" y="0"/>
                <wp:positionH relativeFrom="page">
                  <wp:posOffset>914704</wp:posOffset>
                </wp:positionH>
                <wp:positionV relativeFrom="paragraph">
                  <wp:posOffset>193252</wp:posOffset>
                </wp:positionV>
                <wp:extent cx="1829435" cy="7620"/>
                <wp:effectExtent l="0" t="0" r="0" b="0"/>
                <wp:wrapTopAndBottom/>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C657A5" id="Graphic 744" o:spid="_x0000_s1026" style="position:absolute;margin-left:1in;margin-top:15.2pt;width:144.05pt;height:.6pt;z-index:-156472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" path="m1829054,l,,,7619r1829054,l1829054,xe" fillcolor="black" stroked="f">
                <v:path arrowok="t"/>
                <w10:wrap type="topAndBottom" anchorx="page"/>
              </v:shape>
            </w:pict>
          </mc:Fallback>
        </mc:AlternateContent>
      </w:r>
    </w:p>
    <w:p w14:paraId="7067DDE4" w14:textId="77777777" w:rsidR="000E52B0" w:rsidRDefault="00F60D74">
      <w:pPr>
        <w:spacing w:before="96"/>
        <w:ind w:left="720" w:right="723"/>
        <w:rPr>
          <w:rFonts w:ascii="Arial MT" w:hAnsi="Arial MT"/>
          <w:sz w:val="18"/>
        </w:rPr>
      </w:pPr>
      <w:bookmarkStart w:id="134" w:name="_bookmark134"/>
      <w:bookmarkEnd w:id="134"/>
      <w:r w:rsidRPr="00203383">
        <w:rPr>
          <w:rFonts w:ascii="Arial MT" w:hAnsi="Arial MT"/>
          <w:position w:val="6"/>
          <w:sz w:val="12"/>
          <w:lang w:val="pt-PT"/>
        </w:rPr>
        <w:t>116</w:t>
      </w:r>
      <w:r w:rsidRPr="00203383">
        <w:rPr>
          <w:rFonts w:ascii="Arial MT" w:hAnsi="Arial MT"/>
          <w:spacing w:val="36"/>
          <w:position w:val="6"/>
          <w:sz w:val="12"/>
          <w:lang w:val="pt-PT"/>
        </w:rPr>
        <w:t xml:space="preserve"> </w:t>
      </w:r>
      <w:r w:rsidRPr="00203383">
        <w:rPr>
          <w:rFonts w:ascii="Arial MT" w:hAnsi="Arial MT"/>
          <w:sz w:val="18"/>
          <w:lang w:val="pt-PT"/>
        </w:rPr>
        <w:t>Bourguignon,</w:t>
      </w:r>
      <w:r w:rsidRPr="00203383">
        <w:rPr>
          <w:rFonts w:ascii="Arial MT" w:hAnsi="Arial MT"/>
          <w:spacing w:val="20"/>
          <w:sz w:val="18"/>
          <w:lang w:val="pt-PT"/>
        </w:rPr>
        <w:t xml:space="preserve"> </w:t>
      </w:r>
      <w:r w:rsidRPr="00203383">
        <w:rPr>
          <w:rFonts w:ascii="Arial MT" w:hAnsi="Arial MT"/>
          <w:sz w:val="18"/>
          <w:lang w:val="pt-PT"/>
        </w:rPr>
        <w:t>F.,</w:t>
      </w:r>
      <w:r w:rsidRPr="00203383">
        <w:rPr>
          <w:rFonts w:ascii="Arial MT" w:hAnsi="Arial MT"/>
          <w:spacing w:val="20"/>
          <w:sz w:val="18"/>
          <w:lang w:val="pt-PT"/>
        </w:rPr>
        <w:t xml:space="preserve"> </w:t>
      </w:r>
      <w:r w:rsidRPr="00203383">
        <w:rPr>
          <w:rFonts w:ascii="Arial MT" w:hAnsi="Arial MT"/>
          <w:sz w:val="18"/>
          <w:lang w:val="pt-PT"/>
        </w:rPr>
        <w:t>Sánchez,</w:t>
      </w:r>
      <w:r w:rsidRPr="00203383">
        <w:rPr>
          <w:rFonts w:ascii="Arial MT" w:hAnsi="Arial MT"/>
          <w:spacing w:val="20"/>
          <w:sz w:val="18"/>
          <w:lang w:val="pt-PT"/>
        </w:rPr>
        <w:t xml:space="preserve"> </w:t>
      </w:r>
      <w:r w:rsidRPr="00203383">
        <w:rPr>
          <w:rFonts w:ascii="Arial MT" w:hAnsi="Arial MT"/>
          <w:sz w:val="18"/>
          <w:lang w:val="pt-PT"/>
        </w:rPr>
        <w:t>F.,</w:t>
      </w:r>
      <w:r w:rsidRPr="00203383">
        <w:rPr>
          <w:rFonts w:ascii="Arial MT" w:hAnsi="Arial MT"/>
          <w:spacing w:val="20"/>
          <w:sz w:val="18"/>
          <w:lang w:val="pt-PT"/>
        </w:rPr>
        <w:t xml:space="preserve"> </w:t>
      </w:r>
      <w:r w:rsidRPr="00203383">
        <w:rPr>
          <w:rFonts w:ascii="Arial MT" w:hAnsi="Arial MT"/>
          <w:sz w:val="18"/>
          <w:lang w:val="pt-PT"/>
        </w:rPr>
        <w:t>&amp;</w:t>
      </w:r>
      <w:r w:rsidRPr="00203383">
        <w:rPr>
          <w:rFonts w:ascii="Arial MT" w:hAnsi="Arial MT"/>
          <w:spacing w:val="19"/>
          <w:sz w:val="18"/>
          <w:lang w:val="pt-PT"/>
        </w:rPr>
        <w:t xml:space="preserve"> </w:t>
      </w:r>
      <w:r w:rsidRPr="00203383">
        <w:rPr>
          <w:rFonts w:ascii="Arial MT" w:hAnsi="Arial MT"/>
          <w:sz w:val="18"/>
          <w:lang w:val="pt-PT"/>
        </w:rPr>
        <w:t>Núñez,</w:t>
      </w:r>
      <w:r w:rsidRPr="00203383">
        <w:rPr>
          <w:rFonts w:ascii="Arial MT" w:hAnsi="Arial MT"/>
          <w:spacing w:val="17"/>
          <w:sz w:val="18"/>
          <w:lang w:val="pt-PT"/>
        </w:rPr>
        <w:t xml:space="preserve"> </w:t>
      </w:r>
      <w:r w:rsidRPr="00203383">
        <w:rPr>
          <w:rFonts w:ascii="Arial MT" w:hAnsi="Arial MT"/>
          <w:sz w:val="18"/>
          <w:lang w:val="pt-PT"/>
        </w:rPr>
        <w:t>J.</w:t>
      </w:r>
      <w:r w:rsidRPr="00203383">
        <w:rPr>
          <w:rFonts w:ascii="Arial MT" w:hAnsi="Arial MT"/>
          <w:spacing w:val="20"/>
          <w:sz w:val="18"/>
          <w:lang w:val="pt-PT"/>
        </w:rPr>
        <w:t xml:space="preserve"> </w:t>
      </w:r>
      <w:r w:rsidRPr="00203383">
        <w:rPr>
          <w:rFonts w:ascii="Arial MT" w:hAnsi="Arial MT"/>
          <w:sz w:val="18"/>
          <w:lang w:val="pt-PT"/>
        </w:rPr>
        <w:t>(2003).</w:t>
      </w:r>
      <w:r w:rsidRPr="00203383">
        <w:rPr>
          <w:rFonts w:ascii="Arial MT" w:hAnsi="Arial MT"/>
          <w:spacing w:val="20"/>
          <w:sz w:val="18"/>
          <w:lang w:val="pt-PT"/>
        </w:rPr>
        <w:t xml:space="preserve"> </w:t>
      </w:r>
      <w:r>
        <w:rPr>
          <w:rFonts w:ascii="Arial MT" w:hAnsi="Arial MT"/>
          <w:sz w:val="18"/>
        </w:rPr>
        <w:t>A</w:t>
      </w:r>
      <w:r>
        <w:rPr>
          <w:rFonts w:ascii="Arial MT" w:hAnsi="Arial MT"/>
          <w:spacing w:val="19"/>
          <w:sz w:val="18"/>
        </w:rPr>
        <w:t xml:space="preserve"> </w:t>
      </w:r>
      <w:proofErr w:type="spellStart"/>
      <w:r>
        <w:rPr>
          <w:rFonts w:ascii="Arial MT" w:hAnsi="Arial MT"/>
          <w:sz w:val="18"/>
        </w:rPr>
        <w:t>structural</w:t>
      </w:r>
      <w:proofErr w:type="spellEnd"/>
      <w:r>
        <w:rPr>
          <w:rFonts w:ascii="Arial MT" w:hAnsi="Arial MT"/>
          <w:spacing w:val="20"/>
          <w:sz w:val="18"/>
        </w:rPr>
        <w:t xml:space="preserve"> </w:t>
      </w:r>
      <w:proofErr w:type="spellStart"/>
      <w:r>
        <w:rPr>
          <w:rFonts w:ascii="Arial MT" w:hAnsi="Arial MT"/>
          <w:sz w:val="18"/>
        </w:rPr>
        <w:t>model</w:t>
      </w:r>
      <w:proofErr w:type="spellEnd"/>
      <w:r>
        <w:rPr>
          <w:rFonts w:ascii="Arial MT" w:hAnsi="Arial MT"/>
          <w:spacing w:val="20"/>
          <w:sz w:val="18"/>
        </w:rPr>
        <w:t xml:space="preserve"> </w:t>
      </w:r>
      <w:proofErr w:type="spellStart"/>
      <w:r>
        <w:rPr>
          <w:rFonts w:ascii="Arial MT" w:hAnsi="Arial MT"/>
          <w:sz w:val="18"/>
        </w:rPr>
        <w:t>of</w:t>
      </w:r>
      <w:proofErr w:type="spellEnd"/>
      <w:r>
        <w:rPr>
          <w:rFonts w:ascii="Arial MT" w:hAnsi="Arial MT"/>
          <w:spacing w:val="20"/>
          <w:sz w:val="18"/>
        </w:rPr>
        <w:t xml:space="preserve"> </w:t>
      </w:r>
      <w:proofErr w:type="spellStart"/>
      <w:r>
        <w:rPr>
          <w:rFonts w:ascii="Arial MT" w:hAnsi="Arial MT"/>
          <w:sz w:val="18"/>
        </w:rPr>
        <w:t>crime</w:t>
      </w:r>
      <w:proofErr w:type="spellEnd"/>
      <w:r>
        <w:rPr>
          <w:rFonts w:ascii="Arial MT" w:hAnsi="Arial MT"/>
          <w:spacing w:val="20"/>
          <w:sz w:val="18"/>
        </w:rPr>
        <w:t xml:space="preserve"> </w:t>
      </w:r>
      <w:r>
        <w:rPr>
          <w:rFonts w:ascii="Arial MT" w:hAnsi="Arial MT"/>
          <w:sz w:val="18"/>
        </w:rPr>
        <w:t>and</w:t>
      </w:r>
      <w:r>
        <w:rPr>
          <w:rFonts w:ascii="Arial MT" w:hAnsi="Arial MT"/>
          <w:spacing w:val="20"/>
          <w:sz w:val="18"/>
        </w:rPr>
        <w:t xml:space="preserve"> </w:t>
      </w:r>
      <w:proofErr w:type="spellStart"/>
      <w:r>
        <w:rPr>
          <w:rFonts w:ascii="Arial MT" w:hAnsi="Arial MT"/>
          <w:sz w:val="18"/>
        </w:rPr>
        <w:t>inequality</w:t>
      </w:r>
      <w:proofErr w:type="spellEnd"/>
      <w:r>
        <w:rPr>
          <w:rFonts w:ascii="Arial MT" w:hAnsi="Arial MT"/>
          <w:spacing w:val="20"/>
          <w:sz w:val="18"/>
        </w:rPr>
        <w:t xml:space="preserve"> </w:t>
      </w:r>
      <w:r>
        <w:rPr>
          <w:rFonts w:ascii="Arial MT" w:hAnsi="Arial MT"/>
          <w:sz w:val="18"/>
        </w:rPr>
        <w:t>in</w:t>
      </w:r>
      <w:r>
        <w:rPr>
          <w:rFonts w:ascii="Arial MT" w:hAnsi="Arial MT"/>
          <w:spacing w:val="20"/>
          <w:sz w:val="18"/>
        </w:rPr>
        <w:t xml:space="preserve"> </w:t>
      </w:r>
      <w:r>
        <w:rPr>
          <w:rFonts w:ascii="Arial MT" w:hAnsi="Arial MT"/>
          <w:sz w:val="18"/>
        </w:rPr>
        <w:t xml:space="preserve">Colombia. </w:t>
      </w:r>
      <w:proofErr w:type="spellStart"/>
      <w:r>
        <w:rPr>
          <w:rFonts w:ascii="Arial MT" w:hAnsi="Arial MT"/>
          <w:sz w:val="18"/>
        </w:rPr>
        <w:t>Journal</w:t>
      </w:r>
      <w:proofErr w:type="spellEnd"/>
      <w:r>
        <w:rPr>
          <w:rFonts w:ascii="Arial MT" w:hAnsi="Arial MT"/>
          <w:sz w:val="18"/>
        </w:rPr>
        <w:t xml:space="preserve"> </w:t>
      </w:r>
      <w:proofErr w:type="spellStart"/>
      <w:r>
        <w:rPr>
          <w:rFonts w:ascii="Arial MT" w:hAnsi="Arial MT"/>
          <w:sz w:val="18"/>
        </w:rPr>
        <w:t>of</w:t>
      </w:r>
      <w:proofErr w:type="spellEnd"/>
      <w:r>
        <w:rPr>
          <w:rFonts w:ascii="Arial MT" w:hAnsi="Arial MT"/>
          <w:sz w:val="18"/>
        </w:rPr>
        <w:t xml:space="preserve"> </w:t>
      </w:r>
      <w:proofErr w:type="spellStart"/>
      <w:r>
        <w:rPr>
          <w:rFonts w:ascii="Arial MT" w:hAnsi="Arial MT"/>
          <w:sz w:val="18"/>
        </w:rPr>
        <w:t>the</w:t>
      </w:r>
      <w:proofErr w:type="spellEnd"/>
      <w:r>
        <w:rPr>
          <w:rFonts w:ascii="Arial MT" w:hAnsi="Arial MT"/>
          <w:sz w:val="18"/>
        </w:rPr>
        <w:t xml:space="preserve"> </w:t>
      </w:r>
      <w:proofErr w:type="spellStart"/>
      <w:r>
        <w:rPr>
          <w:rFonts w:ascii="Arial MT" w:hAnsi="Arial MT"/>
          <w:sz w:val="18"/>
        </w:rPr>
        <w:t>European</w:t>
      </w:r>
      <w:proofErr w:type="spellEnd"/>
      <w:r>
        <w:rPr>
          <w:rFonts w:ascii="Arial MT" w:hAnsi="Arial MT"/>
          <w:sz w:val="18"/>
        </w:rPr>
        <w:t xml:space="preserve"> </w:t>
      </w:r>
      <w:proofErr w:type="spellStart"/>
      <w:r>
        <w:rPr>
          <w:rFonts w:ascii="Arial MT" w:hAnsi="Arial MT"/>
          <w:sz w:val="18"/>
        </w:rPr>
        <w:t>Economic</w:t>
      </w:r>
      <w:proofErr w:type="spellEnd"/>
      <w:r>
        <w:rPr>
          <w:rFonts w:ascii="Arial MT" w:hAnsi="Arial MT"/>
          <w:sz w:val="18"/>
        </w:rPr>
        <w:t xml:space="preserve"> </w:t>
      </w:r>
      <w:proofErr w:type="spellStart"/>
      <w:r>
        <w:rPr>
          <w:rFonts w:ascii="Arial MT" w:hAnsi="Arial MT"/>
          <w:sz w:val="18"/>
        </w:rPr>
        <w:t>Association</w:t>
      </w:r>
      <w:proofErr w:type="spellEnd"/>
      <w:r>
        <w:rPr>
          <w:rFonts w:ascii="Arial MT" w:hAnsi="Arial MT"/>
          <w:sz w:val="18"/>
        </w:rPr>
        <w:t>, 440-449.</w:t>
      </w:r>
    </w:p>
    <w:p w14:paraId="5BB8583B" w14:textId="77777777" w:rsidR="000E52B0" w:rsidRDefault="000E52B0">
      <w:pPr>
        <w:rPr>
          <w:rFonts w:ascii="Arial MT" w:hAnsi="Arial MT"/>
          <w:sz w:val="18"/>
        </w:rPr>
        <w:sectPr w:rsidR="000E52B0">
          <w:pgSz w:w="11910" w:h="16840"/>
          <w:pgMar w:top="1340" w:right="720" w:bottom="1180" w:left="720" w:header="0" w:footer="995" w:gutter="0"/>
          <w:cols w:space="720"/>
        </w:sectPr>
      </w:pPr>
    </w:p>
    <w:p w14:paraId="4A1DB88F" w14:textId="77777777" w:rsidR="000E52B0" w:rsidRDefault="00F60D74">
      <w:pPr>
        <w:pStyle w:val="Textoindependiente"/>
        <w:spacing w:before="83"/>
        <w:ind w:right="718"/>
        <w:jc w:val="both"/>
      </w:pPr>
      <w:r>
        <w:lastRenderedPageBreak/>
        <w:t>2000)</w:t>
      </w:r>
      <w:hyperlink w:anchor="_bookmark136" w:history="1">
        <w:r w:rsidR="000E52B0">
          <w:rPr>
            <w:position w:val="8"/>
            <w:sz w:val="16"/>
          </w:rPr>
          <w:t>117</w:t>
        </w:r>
      </w:hyperlink>
      <w:r>
        <w:t>, el cual depende de las condiciones generales de la sociedad, es decir, este nivel es endógeno y relativo y no exógeno y absoluto. Otras variables clave para explicar las tasas de criminalidad son la tasa de desempleo entre los jóvenes y los niveles de educación.</w:t>
      </w:r>
    </w:p>
    <w:p w14:paraId="713E19B7" w14:textId="77777777" w:rsidR="000E52B0" w:rsidRDefault="00F60D74">
      <w:pPr>
        <w:pStyle w:val="Textoindependiente"/>
        <w:spacing w:before="158"/>
        <w:ind w:right="713"/>
        <w:jc w:val="both"/>
      </w:pPr>
      <w:r>
        <w:t>Finalmente, hay una relación entre la desigualdad en la distribución de la tierra y la incidencia del conflicto armado (Ibáñez, 2008)</w:t>
      </w:r>
      <w:hyperlink w:anchor="_bookmark137" w:history="1">
        <w:r w:rsidR="000E52B0">
          <w:rPr>
            <w:position w:val="8"/>
            <w:sz w:val="16"/>
          </w:rPr>
          <w:t>118</w:t>
        </w:r>
      </w:hyperlink>
      <w:r>
        <w:t>, así como con los</w:t>
      </w:r>
      <w:r>
        <w:rPr>
          <w:spacing w:val="-17"/>
        </w:rPr>
        <w:t xml:space="preserve"> </w:t>
      </w:r>
      <w:r>
        <w:t>conflictos</w:t>
      </w:r>
      <w:r>
        <w:rPr>
          <w:spacing w:val="-15"/>
        </w:rPr>
        <w:t xml:space="preserve"> </w:t>
      </w:r>
      <w:r>
        <w:t>por</w:t>
      </w:r>
      <w:r>
        <w:rPr>
          <w:spacing w:val="-16"/>
        </w:rPr>
        <w:t xml:space="preserve"> </w:t>
      </w:r>
      <w:r>
        <w:t>el</w:t>
      </w:r>
      <w:r>
        <w:rPr>
          <w:spacing w:val="-14"/>
        </w:rPr>
        <w:t xml:space="preserve"> </w:t>
      </w:r>
      <w:r>
        <w:t>uso</w:t>
      </w:r>
      <w:r>
        <w:rPr>
          <w:spacing w:val="-17"/>
        </w:rPr>
        <w:t xml:space="preserve"> </w:t>
      </w:r>
      <w:r>
        <w:t>de</w:t>
      </w:r>
      <w:r>
        <w:rPr>
          <w:spacing w:val="-14"/>
        </w:rPr>
        <w:t xml:space="preserve"> </w:t>
      </w:r>
      <w:r>
        <w:t>la</w:t>
      </w:r>
      <w:r>
        <w:rPr>
          <w:spacing w:val="-15"/>
        </w:rPr>
        <w:t xml:space="preserve"> </w:t>
      </w:r>
      <w:r>
        <w:t>tierra.</w:t>
      </w:r>
      <w:r>
        <w:rPr>
          <w:spacing w:val="-18"/>
        </w:rPr>
        <w:t xml:space="preserve"> </w:t>
      </w:r>
      <w:r>
        <w:t>A</w:t>
      </w:r>
      <w:r>
        <w:rPr>
          <w:spacing w:val="-16"/>
        </w:rPr>
        <w:t xml:space="preserve"> </w:t>
      </w:r>
      <w:r>
        <w:t>partir</w:t>
      </w:r>
      <w:r>
        <w:rPr>
          <w:spacing w:val="-16"/>
        </w:rPr>
        <w:t xml:space="preserve"> </w:t>
      </w:r>
      <w:r>
        <w:t>de</w:t>
      </w:r>
      <w:r>
        <w:rPr>
          <w:spacing w:val="-14"/>
        </w:rPr>
        <w:t xml:space="preserve"> </w:t>
      </w:r>
      <w:r>
        <w:t>los</w:t>
      </w:r>
      <w:r>
        <w:rPr>
          <w:spacing w:val="-17"/>
        </w:rPr>
        <w:t xml:space="preserve"> </w:t>
      </w:r>
      <w:r>
        <w:t>datos</w:t>
      </w:r>
      <w:r>
        <w:rPr>
          <w:spacing w:val="-15"/>
        </w:rPr>
        <w:t xml:space="preserve"> </w:t>
      </w:r>
      <w:r>
        <w:t>del</w:t>
      </w:r>
      <w:r>
        <w:rPr>
          <w:spacing w:val="-16"/>
        </w:rPr>
        <w:t xml:space="preserve"> </w:t>
      </w:r>
      <w:r>
        <w:t>Censo</w:t>
      </w:r>
      <w:r>
        <w:rPr>
          <w:spacing w:val="-17"/>
        </w:rPr>
        <w:t xml:space="preserve"> </w:t>
      </w:r>
      <w:r>
        <w:t>Nacional Agropecuario</w:t>
      </w:r>
      <w:r>
        <w:rPr>
          <w:spacing w:val="-8"/>
        </w:rPr>
        <w:t xml:space="preserve"> </w:t>
      </w:r>
      <w:r>
        <w:t>de</w:t>
      </w:r>
      <w:r>
        <w:rPr>
          <w:spacing w:val="-8"/>
        </w:rPr>
        <w:t xml:space="preserve"> </w:t>
      </w:r>
      <w:r>
        <w:t>2014,</w:t>
      </w:r>
      <w:r>
        <w:rPr>
          <w:spacing w:val="-8"/>
        </w:rPr>
        <w:t xml:space="preserve"> </w:t>
      </w:r>
      <w:r>
        <w:t>Garay</w:t>
      </w:r>
      <w:r>
        <w:rPr>
          <w:spacing w:val="-11"/>
        </w:rPr>
        <w:t xml:space="preserve"> </w:t>
      </w:r>
      <w:r>
        <w:t>&amp;</w:t>
      </w:r>
      <w:r>
        <w:rPr>
          <w:spacing w:val="-8"/>
        </w:rPr>
        <w:t xml:space="preserve"> </w:t>
      </w:r>
      <w:r>
        <w:t>Espitia</w:t>
      </w:r>
      <w:r>
        <w:rPr>
          <w:spacing w:val="-7"/>
        </w:rPr>
        <w:t xml:space="preserve"> </w:t>
      </w:r>
      <w:r>
        <w:t>(2019)</w:t>
      </w:r>
      <w:r>
        <w:rPr>
          <w:spacing w:val="-12"/>
        </w:rPr>
        <w:t xml:space="preserve"> </w:t>
      </w:r>
      <w:r>
        <w:t>encuentran</w:t>
      </w:r>
      <w:r>
        <w:rPr>
          <w:spacing w:val="-9"/>
        </w:rPr>
        <w:t xml:space="preserve"> </w:t>
      </w:r>
      <w:r>
        <w:t>que,</w:t>
      </w:r>
      <w:r>
        <w:rPr>
          <w:spacing w:val="-10"/>
        </w:rPr>
        <w:t xml:space="preserve"> </w:t>
      </w:r>
      <w:r>
        <w:t>de</w:t>
      </w:r>
      <w:r>
        <w:rPr>
          <w:spacing w:val="-8"/>
        </w:rPr>
        <w:t xml:space="preserve"> </w:t>
      </w:r>
      <w:r>
        <w:t>los</w:t>
      </w:r>
      <w:r>
        <w:rPr>
          <w:spacing w:val="-9"/>
        </w:rPr>
        <w:t xml:space="preserve"> </w:t>
      </w:r>
      <w:r>
        <w:t>43,4 millones de hectáreas (39% del territorio nacional), el 94% se localiza en territorio no étnico, más de la mitad está dedicada a pastos y tan solo un 20%</w:t>
      </w:r>
      <w:r>
        <w:rPr>
          <w:spacing w:val="-17"/>
        </w:rPr>
        <w:t xml:space="preserve"> </w:t>
      </w:r>
      <w:r>
        <w:t>se</w:t>
      </w:r>
      <w:r>
        <w:rPr>
          <w:spacing w:val="-16"/>
        </w:rPr>
        <w:t xml:space="preserve"> </w:t>
      </w:r>
      <w:r>
        <w:t>dedica</w:t>
      </w:r>
      <w:r>
        <w:rPr>
          <w:spacing w:val="-17"/>
        </w:rPr>
        <w:t xml:space="preserve"> </w:t>
      </w:r>
      <w:r>
        <w:t>uso</w:t>
      </w:r>
      <w:r>
        <w:rPr>
          <w:spacing w:val="-14"/>
        </w:rPr>
        <w:t xml:space="preserve"> </w:t>
      </w:r>
      <w:r>
        <w:t>agrícola.</w:t>
      </w:r>
      <w:r>
        <w:rPr>
          <w:spacing w:val="-16"/>
        </w:rPr>
        <w:t xml:space="preserve"> </w:t>
      </w:r>
      <w:r>
        <w:t>Lo</w:t>
      </w:r>
      <w:r>
        <w:rPr>
          <w:spacing w:val="-17"/>
        </w:rPr>
        <w:t xml:space="preserve"> </w:t>
      </w:r>
      <w:r>
        <w:t>anterior</w:t>
      </w:r>
      <w:r>
        <w:rPr>
          <w:spacing w:val="-16"/>
        </w:rPr>
        <w:t xml:space="preserve"> </w:t>
      </w:r>
      <w:r>
        <w:t>contrasta</w:t>
      </w:r>
      <w:r>
        <w:rPr>
          <w:spacing w:val="-15"/>
        </w:rPr>
        <w:t xml:space="preserve"> </w:t>
      </w:r>
      <w:r>
        <w:t>con</w:t>
      </w:r>
      <w:r>
        <w:rPr>
          <w:spacing w:val="-15"/>
        </w:rPr>
        <w:t xml:space="preserve"> </w:t>
      </w:r>
      <w:r>
        <w:t>la</w:t>
      </w:r>
      <w:r>
        <w:rPr>
          <w:spacing w:val="-16"/>
        </w:rPr>
        <w:t xml:space="preserve"> </w:t>
      </w:r>
      <w:r>
        <w:t>vocación</w:t>
      </w:r>
      <w:r>
        <w:rPr>
          <w:spacing w:val="-15"/>
        </w:rPr>
        <w:t xml:space="preserve"> </w:t>
      </w:r>
      <w:r>
        <w:t>del</w:t>
      </w:r>
      <w:r>
        <w:rPr>
          <w:spacing w:val="-18"/>
        </w:rPr>
        <w:t xml:space="preserve"> </w:t>
      </w:r>
      <w:r>
        <w:t>suelo, teniendo</w:t>
      </w:r>
      <w:r>
        <w:rPr>
          <w:spacing w:val="-13"/>
        </w:rPr>
        <w:t xml:space="preserve"> </w:t>
      </w:r>
      <w:r>
        <w:t>en</w:t>
      </w:r>
      <w:r>
        <w:rPr>
          <w:spacing w:val="-12"/>
        </w:rPr>
        <w:t xml:space="preserve"> </w:t>
      </w:r>
      <w:r>
        <w:t>cuenta</w:t>
      </w:r>
      <w:r>
        <w:rPr>
          <w:spacing w:val="-9"/>
        </w:rPr>
        <w:t xml:space="preserve"> </w:t>
      </w:r>
      <w:r>
        <w:t>que</w:t>
      </w:r>
      <w:r>
        <w:rPr>
          <w:spacing w:val="-13"/>
        </w:rPr>
        <w:t xml:space="preserve"> </w:t>
      </w:r>
      <w:r>
        <w:t>las</w:t>
      </w:r>
      <w:r>
        <w:rPr>
          <w:spacing w:val="-12"/>
        </w:rPr>
        <w:t xml:space="preserve"> </w:t>
      </w:r>
      <w:r>
        <w:t>áreas</w:t>
      </w:r>
      <w:r>
        <w:rPr>
          <w:spacing w:val="-14"/>
        </w:rPr>
        <w:t xml:space="preserve"> </w:t>
      </w:r>
      <w:r>
        <w:t>apropiadas</w:t>
      </w:r>
      <w:r>
        <w:rPr>
          <w:spacing w:val="-12"/>
        </w:rPr>
        <w:t xml:space="preserve"> </w:t>
      </w:r>
      <w:r>
        <w:t>para</w:t>
      </w:r>
      <w:r>
        <w:rPr>
          <w:spacing w:val="-13"/>
        </w:rPr>
        <w:t xml:space="preserve"> </w:t>
      </w:r>
      <w:r>
        <w:t>ganadería</w:t>
      </w:r>
      <w:r>
        <w:rPr>
          <w:spacing w:val="-11"/>
        </w:rPr>
        <w:t xml:space="preserve"> </w:t>
      </w:r>
      <w:r>
        <w:t>cubren</w:t>
      </w:r>
      <w:r>
        <w:rPr>
          <w:spacing w:val="-12"/>
        </w:rPr>
        <w:t xml:space="preserve"> </w:t>
      </w:r>
      <w:r>
        <w:t>menos de 8 millones de hectáreas, pero se usan con este fin 24 millones de hectáreas, mientras que el área apropiada para agricultura cubre 15 millones de hectáreas, pero solo se usan 8,5 millones de hectáreas</w:t>
      </w:r>
      <w:hyperlink w:anchor="_bookmark138" w:history="1">
        <w:r w:rsidR="000E52B0">
          <w:rPr>
            <w:position w:val="8"/>
            <w:sz w:val="16"/>
          </w:rPr>
          <w:t>119</w:t>
        </w:r>
      </w:hyperlink>
      <w:r>
        <w:t>. La conflictividad en el uso de la tierra y el bajo nivel de formalidad en las formas de tenencia, están relacionadas con la elevada concentración de la tierra</w:t>
      </w:r>
      <w:r>
        <w:rPr>
          <w:spacing w:val="-18"/>
        </w:rPr>
        <w:t xml:space="preserve"> </w:t>
      </w:r>
      <w:r>
        <w:t>y</w:t>
      </w:r>
      <w:r>
        <w:rPr>
          <w:spacing w:val="-19"/>
        </w:rPr>
        <w:t xml:space="preserve"> </w:t>
      </w:r>
      <w:r>
        <w:t>el</w:t>
      </w:r>
      <w:r>
        <w:rPr>
          <w:spacing w:val="-19"/>
        </w:rPr>
        <w:t xml:space="preserve"> </w:t>
      </w:r>
      <w:r>
        <w:t>exacerbado</w:t>
      </w:r>
      <w:r>
        <w:rPr>
          <w:spacing w:val="-18"/>
        </w:rPr>
        <w:t xml:space="preserve"> </w:t>
      </w:r>
      <w:proofErr w:type="spellStart"/>
      <w:r>
        <w:t>rentismo</w:t>
      </w:r>
      <w:proofErr w:type="spellEnd"/>
      <w:r>
        <w:rPr>
          <w:spacing w:val="-18"/>
        </w:rPr>
        <w:t xml:space="preserve"> </w:t>
      </w:r>
      <w:r>
        <w:t>a</w:t>
      </w:r>
      <w:r>
        <w:rPr>
          <w:spacing w:val="-18"/>
        </w:rPr>
        <w:t xml:space="preserve"> </w:t>
      </w:r>
      <w:r>
        <w:t>partir</w:t>
      </w:r>
      <w:r>
        <w:rPr>
          <w:spacing w:val="-17"/>
        </w:rPr>
        <w:t xml:space="preserve"> </w:t>
      </w:r>
      <w:r>
        <w:t>de</w:t>
      </w:r>
      <w:r>
        <w:rPr>
          <w:spacing w:val="-17"/>
        </w:rPr>
        <w:t xml:space="preserve"> </w:t>
      </w:r>
      <w:r>
        <w:t>una</w:t>
      </w:r>
      <w:r>
        <w:rPr>
          <w:spacing w:val="-18"/>
        </w:rPr>
        <w:t xml:space="preserve"> </w:t>
      </w:r>
      <w:r>
        <w:t>concepción</w:t>
      </w:r>
      <w:r>
        <w:rPr>
          <w:spacing w:val="-19"/>
        </w:rPr>
        <w:t xml:space="preserve"> </w:t>
      </w:r>
      <w:r>
        <w:t>de</w:t>
      </w:r>
      <w:r>
        <w:rPr>
          <w:spacing w:val="-17"/>
        </w:rPr>
        <w:t xml:space="preserve"> </w:t>
      </w:r>
      <w:r>
        <w:t>la</w:t>
      </w:r>
      <w:r>
        <w:rPr>
          <w:spacing w:val="-19"/>
        </w:rPr>
        <w:t xml:space="preserve"> </w:t>
      </w:r>
      <w:r>
        <w:t>tierra</w:t>
      </w:r>
      <w:r>
        <w:rPr>
          <w:spacing w:val="-18"/>
        </w:rPr>
        <w:t xml:space="preserve"> </w:t>
      </w:r>
      <w:r>
        <w:t>como un</w:t>
      </w:r>
      <w:r>
        <w:rPr>
          <w:spacing w:val="-17"/>
        </w:rPr>
        <w:t xml:space="preserve"> </w:t>
      </w:r>
      <w:r>
        <w:t>factor</w:t>
      </w:r>
      <w:r>
        <w:rPr>
          <w:spacing w:val="-15"/>
        </w:rPr>
        <w:t xml:space="preserve"> </w:t>
      </w:r>
      <w:r>
        <w:t>de</w:t>
      </w:r>
      <w:r>
        <w:rPr>
          <w:spacing w:val="-15"/>
        </w:rPr>
        <w:t xml:space="preserve"> </w:t>
      </w:r>
      <w:r>
        <w:t>acumulación</w:t>
      </w:r>
      <w:r>
        <w:rPr>
          <w:spacing w:val="-13"/>
        </w:rPr>
        <w:t xml:space="preserve"> </w:t>
      </w:r>
      <w:r>
        <w:t>de</w:t>
      </w:r>
      <w:r>
        <w:rPr>
          <w:spacing w:val="-13"/>
        </w:rPr>
        <w:t xml:space="preserve"> </w:t>
      </w:r>
      <w:r>
        <w:t>poder</w:t>
      </w:r>
      <w:r>
        <w:rPr>
          <w:spacing w:val="-15"/>
        </w:rPr>
        <w:t xml:space="preserve"> </w:t>
      </w:r>
      <w:r>
        <w:t>político,</w:t>
      </w:r>
      <w:r>
        <w:rPr>
          <w:spacing w:val="-16"/>
        </w:rPr>
        <w:t xml:space="preserve"> </w:t>
      </w:r>
      <w:r>
        <w:t>social</w:t>
      </w:r>
      <w:r>
        <w:rPr>
          <w:spacing w:val="-15"/>
        </w:rPr>
        <w:t xml:space="preserve"> </w:t>
      </w:r>
      <w:r>
        <w:t>y</w:t>
      </w:r>
      <w:r>
        <w:rPr>
          <w:spacing w:val="-14"/>
        </w:rPr>
        <w:t xml:space="preserve"> </w:t>
      </w:r>
      <w:r>
        <w:t>militar,</w:t>
      </w:r>
      <w:r>
        <w:rPr>
          <w:spacing w:val="-12"/>
        </w:rPr>
        <w:t xml:space="preserve"> </w:t>
      </w:r>
      <w:r>
        <w:t>antes</w:t>
      </w:r>
      <w:r>
        <w:rPr>
          <w:spacing w:val="-16"/>
        </w:rPr>
        <w:t xml:space="preserve"> </w:t>
      </w:r>
      <w:r>
        <w:t>que</w:t>
      </w:r>
      <w:r>
        <w:rPr>
          <w:spacing w:val="-15"/>
        </w:rPr>
        <w:t xml:space="preserve"> </w:t>
      </w:r>
      <w:r>
        <w:t>como un verdadero factor de producción (Garay &amp; Espitia, 2019)</w:t>
      </w:r>
      <w:hyperlink w:anchor="_bookmark139" w:history="1">
        <w:r w:rsidR="000E52B0">
          <w:rPr>
            <w:position w:val="8"/>
            <w:sz w:val="16"/>
          </w:rPr>
          <w:t>120</w:t>
        </w:r>
      </w:hyperlink>
      <w:r>
        <w:t>.</w:t>
      </w:r>
    </w:p>
    <w:p w14:paraId="766D8487" w14:textId="77777777" w:rsidR="000E52B0" w:rsidRDefault="000E52B0">
      <w:pPr>
        <w:pStyle w:val="Textoindependiente"/>
        <w:ind w:left="0"/>
      </w:pPr>
    </w:p>
    <w:p w14:paraId="62822368" w14:textId="77777777" w:rsidR="000E52B0" w:rsidRDefault="00F60D74">
      <w:pPr>
        <w:ind w:left="720"/>
        <w:rPr>
          <w:i/>
          <w:sz w:val="24"/>
        </w:rPr>
      </w:pPr>
      <w:bookmarkStart w:id="135" w:name="_bookmark135"/>
      <w:bookmarkEnd w:id="135"/>
      <w:r>
        <w:rPr>
          <w:i/>
          <w:color w:val="B3176C"/>
          <w:spacing w:val="-2"/>
          <w:sz w:val="24"/>
        </w:rPr>
        <w:t>Salud</w:t>
      </w:r>
    </w:p>
    <w:p w14:paraId="35952A11" w14:textId="77777777" w:rsidR="000E52B0" w:rsidRDefault="000E52B0">
      <w:pPr>
        <w:pStyle w:val="Textoindependiente"/>
        <w:ind w:left="0"/>
        <w:rPr>
          <w:i/>
        </w:rPr>
      </w:pPr>
    </w:p>
    <w:p w14:paraId="367BAD7C" w14:textId="77777777" w:rsidR="000E52B0" w:rsidRDefault="00F60D74">
      <w:pPr>
        <w:pStyle w:val="Textoindependiente"/>
        <w:ind w:right="717"/>
        <w:jc w:val="both"/>
        <w:rPr>
          <w:position w:val="8"/>
          <w:sz w:val="16"/>
        </w:rPr>
      </w:pPr>
      <w:r>
        <w:t>En cuanto a los costos sociales de la desigualdad en la salud, es claro que las condiciones de salud de las personas están correlacionadas con su estatus socioeconómico: los pobres y vulnerables enfrentan peores condiciones de salud, debido a diferencias en acceso a servicios, nutrición adecuada, y mayor estrés debido a las condiciones adversas de vida que enfrentan. Por ejemplo, en Colombia, las diferencias en acceso a servicios públicos son marcadas entre los contextos rurales y urbanos, particularmente</w:t>
      </w:r>
      <w:r>
        <w:rPr>
          <w:spacing w:val="-13"/>
        </w:rPr>
        <w:t xml:space="preserve"> </w:t>
      </w:r>
      <w:r>
        <w:t>en</w:t>
      </w:r>
      <w:r>
        <w:rPr>
          <w:spacing w:val="-14"/>
        </w:rPr>
        <w:t xml:space="preserve"> </w:t>
      </w:r>
      <w:r>
        <w:t>lo</w:t>
      </w:r>
      <w:r>
        <w:rPr>
          <w:spacing w:val="-13"/>
        </w:rPr>
        <w:t xml:space="preserve"> </w:t>
      </w:r>
      <w:r>
        <w:t>que</w:t>
      </w:r>
      <w:r>
        <w:rPr>
          <w:spacing w:val="-13"/>
        </w:rPr>
        <w:t xml:space="preserve"> </w:t>
      </w:r>
      <w:r>
        <w:t>tiene</w:t>
      </w:r>
      <w:r>
        <w:rPr>
          <w:spacing w:val="-13"/>
        </w:rPr>
        <w:t xml:space="preserve"> </w:t>
      </w:r>
      <w:r>
        <w:t>que</w:t>
      </w:r>
      <w:r>
        <w:rPr>
          <w:spacing w:val="-13"/>
        </w:rPr>
        <w:t xml:space="preserve"> </w:t>
      </w:r>
      <w:r>
        <w:t>ver</w:t>
      </w:r>
      <w:r>
        <w:rPr>
          <w:spacing w:val="-11"/>
        </w:rPr>
        <w:t xml:space="preserve"> </w:t>
      </w:r>
      <w:r>
        <w:t>con</w:t>
      </w:r>
      <w:r>
        <w:rPr>
          <w:spacing w:val="-14"/>
        </w:rPr>
        <w:t xml:space="preserve"> </w:t>
      </w:r>
      <w:r>
        <w:t>acueducto,</w:t>
      </w:r>
      <w:r>
        <w:rPr>
          <w:spacing w:val="-12"/>
        </w:rPr>
        <w:t xml:space="preserve"> </w:t>
      </w:r>
      <w:r>
        <w:t>alcantarillado</w:t>
      </w:r>
      <w:r>
        <w:rPr>
          <w:spacing w:val="-13"/>
        </w:rPr>
        <w:t xml:space="preserve"> </w:t>
      </w:r>
      <w:r>
        <w:t>y</w:t>
      </w:r>
      <w:r>
        <w:rPr>
          <w:spacing w:val="-11"/>
        </w:rPr>
        <w:t xml:space="preserve"> </w:t>
      </w:r>
      <w:r>
        <w:t>gas domiciliario.</w:t>
      </w:r>
      <w:r>
        <w:rPr>
          <w:spacing w:val="-22"/>
        </w:rPr>
        <w:t xml:space="preserve"> </w:t>
      </w:r>
      <w:r>
        <w:t>Estas</w:t>
      </w:r>
      <w:r>
        <w:rPr>
          <w:spacing w:val="-21"/>
        </w:rPr>
        <w:t xml:space="preserve"> </w:t>
      </w:r>
      <w:r>
        <w:t>diferencias,</w:t>
      </w:r>
      <w:r>
        <w:rPr>
          <w:spacing w:val="-21"/>
        </w:rPr>
        <w:t xml:space="preserve"> </w:t>
      </w:r>
      <w:r>
        <w:t>a</w:t>
      </w:r>
      <w:r>
        <w:rPr>
          <w:spacing w:val="-21"/>
        </w:rPr>
        <w:t xml:space="preserve"> </w:t>
      </w:r>
      <w:r>
        <w:t>su</w:t>
      </w:r>
      <w:r>
        <w:rPr>
          <w:spacing w:val="-21"/>
        </w:rPr>
        <w:t xml:space="preserve"> </w:t>
      </w:r>
      <w:r>
        <w:t>vez,</w:t>
      </w:r>
      <w:r>
        <w:rPr>
          <w:spacing w:val="-21"/>
        </w:rPr>
        <w:t xml:space="preserve"> </w:t>
      </w:r>
      <w:r>
        <w:t>tienen</w:t>
      </w:r>
      <w:r>
        <w:rPr>
          <w:spacing w:val="-21"/>
        </w:rPr>
        <w:t xml:space="preserve"> </w:t>
      </w:r>
      <w:r>
        <w:t>impactos</w:t>
      </w:r>
      <w:r>
        <w:rPr>
          <w:spacing w:val="-21"/>
        </w:rPr>
        <w:t xml:space="preserve"> </w:t>
      </w:r>
      <w:r>
        <w:t>en</w:t>
      </w:r>
      <w:r>
        <w:rPr>
          <w:spacing w:val="-21"/>
        </w:rPr>
        <w:t xml:space="preserve"> </w:t>
      </w:r>
      <w:r>
        <w:t>la</w:t>
      </w:r>
      <w:r>
        <w:rPr>
          <w:spacing w:val="-21"/>
        </w:rPr>
        <w:t xml:space="preserve"> </w:t>
      </w:r>
      <w:r>
        <w:t>salud</w:t>
      </w:r>
      <w:r>
        <w:rPr>
          <w:spacing w:val="-22"/>
        </w:rPr>
        <w:t xml:space="preserve"> </w:t>
      </w:r>
      <w:r>
        <w:t>porque, por ejemplo, la falta de agua potable lleva a mayor incidencia de enfermedades diarreicas, lo que tiene un impacto en el desarrollo de los niños; mientras que el uso de leña para cocinar causa enfermedades respiratorias</w:t>
      </w:r>
      <w:r>
        <w:rPr>
          <w:spacing w:val="-14"/>
        </w:rPr>
        <w:t xml:space="preserve"> </w:t>
      </w:r>
      <w:r>
        <w:t>agudas,</w:t>
      </w:r>
      <w:r>
        <w:rPr>
          <w:spacing w:val="-14"/>
        </w:rPr>
        <w:t xml:space="preserve"> </w:t>
      </w:r>
      <w:r>
        <w:t>que</w:t>
      </w:r>
      <w:r>
        <w:rPr>
          <w:spacing w:val="-13"/>
        </w:rPr>
        <w:t xml:space="preserve"> </w:t>
      </w:r>
      <w:r>
        <w:t>afectan</w:t>
      </w:r>
      <w:r>
        <w:rPr>
          <w:spacing w:val="-14"/>
        </w:rPr>
        <w:t xml:space="preserve"> </w:t>
      </w:r>
      <w:r>
        <w:t>principalmente</w:t>
      </w:r>
      <w:r>
        <w:rPr>
          <w:spacing w:val="-13"/>
        </w:rPr>
        <w:t xml:space="preserve"> </w:t>
      </w:r>
      <w:r>
        <w:t>a</w:t>
      </w:r>
      <w:r>
        <w:rPr>
          <w:spacing w:val="-11"/>
        </w:rPr>
        <w:t xml:space="preserve"> </w:t>
      </w:r>
      <w:r>
        <w:t>las</w:t>
      </w:r>
      <w:r>
        <w:rPr>
          <w:spacing w:val="-14"/>
        </w:rPr>
        <w:t xml:space="preserve"> </w:t>
      </w:r>
      <w:r>
        <w:t>mujeres</w:t>
      </w:r>
      <w:r>
        <w:rPr>
          <w:spacing w:val="-14"/>
        </w:rPr>
        <w:t xml:space="preserve"> </w:t>
      </w:r>
      <w:r>
        <w:t>que</w:t>
      </w:r>
      <w:r>
        <w:rPr>
          <w:spacing w:val="-13"/>
        </w:rPr>
        <w:t xml:space="preserve"> </w:t>
      </w:r>
      <w:r>
        <w:t>utilizan este tipo de fuentes de energía para cocinar (Arias, et al., 2013).</w:t>
      </w:r>
      <w:hyperlink w:anchor="_bookmark140" w:history="1">
        <w:r w:rsidR="000E52B0">
          <w:rPr>
            <w:position w:val="8"/>
            <w:sz w:val="16"/>
          </w:rPr>
          <w:t>121</w:t>
        </w:r>
      </w:hyperlink>
    </w:p>
    <w:p w14:paraId="41BB49AF" w14:textId="77777777" w:rsidR="000E52B0" w:rsidRDefault="000E52B0">
      <w:pPr>
        <w:pStyle w:val="Textoindependiente"/>
        <w:ind w:left="0"/>
        <w:rPr>
          <w:sz w:val="20"/>
        </w:rPr>
      </w:pPr>
    </w:p>
    <w:p w14:paraId="49069E08" w14:textId="77777777" w:rsidR="000E52B0" w:rsidRDefault="000E52B0">
      <w:pPr>
        <w:pStyle w:val="Textoindependiente"/>
        <w:ind w:left="0"/>
        <w:rPr>
          <w:sz w:val="20"/>
        </w:rPr>
      </w:pPr>
    </w:p>
    <w:p w14:paraId="1DE9827C" w14:textId="77777777" w:rsidR="000E52B0" w:rsidRDefault="00F60D74">
      <w:pPr>
        <w:pStyle w:val="Textoindependiente"/>
        <w:spacing w:before="71"/>
        <w:ind w:left="0"/>
        <w:rPr>
          <w:sz w:val="20"/>
        </w:rPr>
      </w:pPr>
      <w:r>
        <w:rPr>
          <w:noProof/>
          <w:sz w:val="20"/>
        </w:rPr>
        <mc:AlternateContent>
          <mc:Choice Requires="wps">
            <w:drawing>
              <wp:anchor distT="0" distB="0" distL="0" distR="0" simplePos="0" relativeHeight="487669760" behindDoc="1" locked="0" layoutInCell="1" allowOverlap="1" wp14:anchorId="583AEE3F" wp14:editId="67D2B975">
                <wp:simplePos x="0" y="0"/>
                <wp:positionH relativeFrom="page">
                  <wp:posOffset>914704</wp:posOffset>
                </wp:positionH>
                <wp:positionV relativeFrom="paragraph">
                  <wp:posOffset>215085</wp:posOffset>
                </wp:positionV>
                <wp:extent cx="1829435" cy="7620"/>
                <wp:effectExtent l="0" t="0" r="0" b="0"/>
                <wp:wrapTopAndBottom/>
                <wp:docPr id="745" name="Graphic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7F5B16" id="Graphic 745" o:spid="_x0000_s1026" style="position:absolute;margin-left:1in;margin-top:16.95pt;width:144.05pt;height:.6pt;z-index:-156467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" path="m1829054,l,,,7620r1829054,l1829054,xe" fillcolor="black" stroked="f">
                <v:path arrowok="t"/>
                <w10:wrap type="topAndBottom" anchorx="page"/>
              </v:shape>
            </w:pict>
          </mc:Fallback>
        </mc:AlternateContent>
      </w:r>
    </w:p>
    <w:p w14:paraId="223F7FE7" w14:textId="77777777" w:rsidR="000E52B0" w:rsidRDefault="00F60D74">
      <w:pPr>
        <w:spacing w:before="96"/>
        <w:ind w:left="720" w:right="723"/>
        <w:rPr>
          <w:rFonts w:ascii="Arial MT"/>
          <w:sz w:val="18"/>
        </w:rPr>
      </w:pPr>
      <w:bookmarkStart w:id="136" w:name="_bookmark136"/>
      <w:bookmarkEnd w:id="136"/>
      <w:r>
        <w:rPr>
          <w:rFonts w:ascii="Arial MT"/>
          <w:position w:val="6"/>
          <w:sz w:val="12"/>
        </w:rPr>
        <w:t>117</w:t>
      </w:r>
      <w:r>
        <w:rPr>
          <w:rFonts w:ascii="Arial MT"/>
          <w:spacing w:val="24"/>
          <w:position w:val="6"/>
          <w:sz w:val="12"/>
        </w:rPr>
        <w:t xml:space="preserve"> </w:t>
      </w:r>
      <w:proofErr w:type="spellStart"/>
      <w:r>
        <w:rPr>
          <w:rFonts w:ascii="Arial MT"/>
          <w:sz w:val="18"/>
        </w:rPr>
        <w:t>Bourguignon</w:t>
      </w:r>
      <w:proofErr w:type="spellEnd"/>
      <w:r>
        <w:rPr>
          <w:rFonts w:ascii="Arial MT"/>
          <w:sz w:val="18"/>
        </w:rPr>
        <w:t xml:space="preserve">, F. (2000). </w:t>
      </w:r>
      <w:proofErr w:type="spellStart"/>
      <w:r>
        <w:rPr>
          <w:rFonts w:ascii="Arial MT"/>
          <w:sz w:val="18"/>
        </w:rPr>
        <w:t>Crime</w:t>
      </w:r>
      <w:proofErr w:type="spellEnd"/>
      <w:r>
        <w:rPr>
          <w:rFonts w:ascii="Arial MT"/>
          <w:sz w:val="18"/>
        </w:rPr>
        <w:t xml:space="preserve">, </w:t>
      </w:r>
      <w:proofErr w:type="spellStart"/>
      <w:r>
        <w:rPr>
          <w:rFonts w:ascii="Arial MT"/>
          <w:sz w:val="18"/>
        </w:rPr>
        <w:t>Violence</w:t>
      </w:r>
      <w:proofErr w:type="spellEnd"/>
      <w:r>
        <w:rPr>
          <w:rFonts w:ascii="Arial MT"/>
          <w:sz w:val="18"/>
        </w:rPr>
        <w:t xml:space="preserve"> and </w:t>
      </w:r>
      <w:proofErr w:type="spellStart"/>
      <w:r>
        <w:rPr>
          <w:rFonts w:ascii="Arial MT"/>
          <w:sz w:val="18"/>
        </w:rPr>
        <w:t>Inequitable</w:t>
      </w:r>
      <w:proofErr w:type="spellEnd"/>
      <w:r>
        <w:rPr>
          <w:rFonts w:ascii="Arial MT"/>
          <w:sz w:val="18"/>
        </w:rPr>
        <w:t xml:space="preserve"> </w:t>
      </w:r>
      <w:proofErr w:type="spellStart"/>
      <w:r>
        <w:rPr>
          <w:rFonts w:ascii="Arial MT"/>
          <w:sz w:val="18"/>
        </w:rPr>
        <w:t>Development</w:t>
      </w:r>
      <w:proofErr w:type="spellEnd"/>
      <w:r>
        <w:rPr>
          <w:rFonts w:ascii="Arial MT"/>
          <w:sz w:val="18"/>
        </w:rPr>
        <w:t xml:space="preserve">. En B. </w:t>
      </w:r>
      <w:proofErr w:type="spellStart"/>
      <w:r>
        <w:rPr>
          <w:rFonts w:ascii="Arial MT"/>
          <w:sz w:val="18"/>
        </w:rPr>
        <w:t>Pleskovic</w:t>
      </w:r>
      <w:proofErr w:type="spellEnd"/>
      <w:r>
        <w:rPr>
          <w:rFonts w:ascii="Arial MT"/>
          <w:sz w:val="18"/>
        </w:rPr>
        <w:t xml:space="preserve">, &amp; J. Stiglitz, </w:t>
      </w:r>
      <w:proofErr w:type="spellStart"/>
      <w:r>
        <w:rPr>
          <w:rFonts w:ascii="Arial MT"/>
          <w:sz w:val="18"/>
        </w:rPr>
        <w:t>Annual</w:t>
      </w:r>
      <w:proofErr w:type="spellEnd"/>
      <w:r>
        <w:rPr>
          <w:rFonts w:ascii="Arial MT"/>
          <w:sz w:val="18"/>
        </w:rPr>
        <w:t xml:space="preserve"> Bank </w:t>
      </w:r>
      <w:proofErr w:type="spellStart"/>
      <w:r>
        <w:rPr>
          <w:rFonts w:ascii="Arial MT"/>
          <w:sz w:val="18"/>
        </w:rPr>
        <w:t>Conference</w:t>
      </w:r>
      <w:proofErr w:type="spellEnd"/>
      <w:r>
        <w:rPr>
          <w:rFonts w:ascii="Arial MT"/>
          <w:sz w:val="18"/>
        </w:rPr>
        <w:t xml:space="preserve"> in </w:t>
      </w:r>
      <w:proofErr w:type="spellStart"/>
      <w:r>
        <w:rPr>
          <w:rFonts w:ascii="Arial MT"/>
          <w:sz w:val="18"/>
        </w:rPr>
        <w:t>Development</w:t>
      </w:r>
      <w:proofErr w:type="spellEnd"/>
      <w:r>
        <w:rPr>
          <w:rFonts w:ascii="Arial MT"/>
          <w:sz w:val="18"/>
        </w:rPr>
        <w:t xml:space="preserve"> </w:t>
      </w:r>
      <w:proofErr w:type="spellStart"/>
      <w:r>
        <w:rPr>
          <w:rFonts w:ascii="Arial MT"/>
          <w:sz w:val="18"/>
        </w:rPr>
        <w:t>Economics</w:t>
      </w:r>
      <w:proofErr w:type="spellEnd"/>
      <w:r>
        <w:rPr>
          <w:rFonts w:ascii="Arial MT"/>
          <w:sz w:val="18"/>
        </w:rPr>
        <w:t xml:space="preserve">: 1999. Washington, D.C: </w:t>
      </w:r>
      <w:proofErr w:type="spellStart"/>
      <w:r>
        <w:rPr>
          <w:rFonts w:ascii="Arial MT"/>
          <w:sz w:val="18"/>
        </w:rPr>
        <w:t>The</w:t>
      </w:r>
      <w:proofErr w:type="spellEnd"/>
      <w:r>
        <w:rPr>
          <w:rFonts w:ascii="Arial MT"/>
          <w:sz w:val="18"/>
        </w:rPr>
        <w:t xml:space="preserve"> </w:t>
      </w:r>
      <w:proofErr w:type="spellStart"/>
      <w:r>
        <w:rPr>
          <w:rFonts w:ascii="Arial MT"/>
          <w:sz w:val="18"/>
        </w:rPr>
        <w:t>World</w:t>
      </w:r>
      <w:proofErr w:type="spellEnd"/>
      <w:r>
        <w:rPr>
          <w:rFonts w:ascii="Arial MT"/>
          <w:sz w:val="18"/>
        </w:rPr>
        <w:t xml:space="preserve"> Bank.</w:t>
      </w:r>
    </w:p>
    <w:p w14:paraId="791A84E0" w14:textId="77777777" w:rsidR="000E52B0" w:rsidRDefault="00F60D74">
      <w:pPr>
        <w:ind w:left="720" w:right="723"/>
        <w:rPr>
          <w:rFonts w:ascii="Arial MT" w:hAnsi="Arial MT"/>
          <w:sz w:val="18"/>
        </w:rPr>
      </w:pPr>
      <w:bookmarkStart w:id="137" w:name="_bookmark137"/>
      <w:bookmarkEnd w:id="137"/>
      <w:r>
        <w:rPr>
          <w:rFonts w:ascii="Arial MT" w:hAnsi="Arial MT"/>
          <w:position w:val="6"/>
          <w:sz w:val="12"/>
        </w:rPr>
        <w:t>118</w:t>
      </w:r>
      <w:r>
        <w:rPr>
          <w:rFonts w:ascii="Arial MT" w:hAnsi="Arial MT"/>
          <w:spacing w:val="13"/>
          <w:position w:val="6"/>
          <w:sz w:val="12"/>
        </w:rPr>
        <w:t xml:space="preserve"> </w:t>
      </w:r>
      <w:r>
        <w:rPr>
          <w:rFonts w:ascii="Arial MT" w:hAnsi="Arial MT"/>
          <w:sz w:val="18"/>
        </w:rPr>
        <w:t>Ibáñez,</w:t>
      </w:r>
      <w:r>
        <w:rPr>
          <w:rFonts w:ascii="Arial MT" w:hAnsi="Arial MT"/>
          <w:spacing w:val="-6"/>
          <w:sz w:val="18"/>
        </w:rPr>
        <w:t xml:space="preserve"> </w:t>
      </w:r>
      <w:r>
        <w:rPr>
          <w:rFonts w:ascii="Arial MT" w:hAnsi="Arial MT"/>
          <w:sz w:val="18"/>
        </w:rPr>
        <w:t>A.</w:t>
      </w:r>
      <w:r>
        <w:rPr>
          <w:rFonts w:ascii="Arial MT" w:hAnsi="Arial MT"/>
          <w:spacing w:val="-7"/>
          <w:sz w:val="18"/>
        </w:rPr>
        <w:t xml:space="preserve"> </w:t>
      </w:r>
      <w:r>
        <w:rPr>
          <w:rFonts w:ascii="Arial MT" w:hAnsi="Arial MT"/>
          <w:sz w:val="18"/>
        </w:rPr>
        <w:t>M.</w:t>
      </w:r>
      <w:r>
        <w:rPr>
          <w:rFonts w:ascii="Arial MT" w:hAnsi="Arial MT"/>
          <w:spacing w:val="-4"/>
          <w:sz w:val="18"/>
        </w:rPr>
        <w:t xml:space="preserve"> </w:t>
      </w:r>
      <w:r>
        <w:rPr>
          <w:rFonts w:ascii="Arial MT" w:hAnsi="Arial MT"/>
          <w:sz w:val="18"/>
        </w:rPr>
        <w:t>(2008).</w:t>
      </w:r>
      <w:r>
        <w:rPr>
          <w:rFonts w:ascii="Arial MT" w:hAnsi="Arial MT"/>
          <w:spacing w:val="-4"/>
          <w:sz w:val="18"/>
        </w:rPr>
        <w:t xml:space="preserve"> </w:t>
      </w:r>
      <w:r>
        <w:rPr>
          <w:rFonts w:ascii="Arial MT" w:hAnsi="Arial MT"/>
          <w:sz w:val="18"/>
        </w:rPr>
        <w:t>El</w:t>
      </w:r>
      <w:r>
        <w:rPr>
          <w:rFonts w:ascii="Arial MT" w:hAnsi="Arial MT"/>
          <w:spacing w:val="-6"/>
          <w:sz w:val="18"/>
        </w:rPr>
        <w:t xml:space="preserve"> </w:t>
      </w:r>
      <w:r>
        <w:rPr>
          <w:rFonts w:ascii="Arial MT" w:hAnsi="Arial MT"/>
          <w:sz w:val="18"/>
        </w:rPr>
        <w:t>desplazamiento</w:t>
      </w:r>
      <w:r>
        <w:rPr>
          <w:rFonts w:ascii="Arial MT" w:hAnsi="Arial MT"/>
          <w:spacing w:val="-4"/>
          <w:sz w:val="18"/>
        </w:rPr>
        <w:t xml:space="preserve"> </w:t>
      </w:r>
      <w:r>
        <w:rPr>
          <w:rFonts w:ascii="Arial MT" w:hAnsi="Arial MT"/>
          <w:sz w:val="18"/>
        </w:rPr>
        <w:t>forzoso</w:t>
      </w:r>
      <w:r>
        <w:rPr>
          <w:rFonts w:ascii="Arial MT" w:hAnsi="Arial MT"/>
          <w:spacing w:val="-6"/>
          <w:sz w:val="18"/>
        </w:rPr>
        <w:t xml:space="preserve"> </w:t>
      </w:r>
      <w:r>
        <w:rPr>
          <w:rFonts w:ascii="Arial MT" w:hAnsi="Arial MT"/>
          <w:sz w:val="18"/>
        </w:rPr>
        <w:t>en</w:t>
      </w:r>
      <w:r>
        <w:rPr>
          <w:rFonts w:ascii="Arial MT" w:hAnsi="Arial MT"/>
          <w:spacing w:val="-6"/>
          <w:sz w:val="18"/>
        </w:rPr>
        <w:t xml:space="preserve"> </w:t>
      </w:r>
      <w:r>
        <w:rPr>
          <w:rFonts w:ascii="Arial MT" w:hAnsi="Arial MT"/>
          <w:sz w:val="18"/>
        </w:rPr>
        <w:t>Colombia:</w:t>
      </w:r>
      <w:r>
        <w:rPr>
          <w:rFonts w:ascii="Arial MT" w:hAnsi="Arial MT"/>
          <w:spacing w:val="-4"/>
          <w:sz w:val="18"/>
        </w:rPr>
        <w:t xml:space="preserve"> </w:t>
      </w:r>
      <w:r>
        <w:rPr>
          <w:rFonts w:ascii="Arial MT" w:hAnsi="Arial MT"/>
          <w:sz w:val="18"/>
        </w:rPr>
        <w:t>un</w:t>
      </w:r>
      <w:r>
        <w:rPr>
          <w:rFonts w:ascii="Arial MT" w:hAnsi="Arial MT"/>
          <w:spacing w:val="-6"/>
          <w:sz w:val="18"/>
        </w:rPr>
        <w:t xml:space="preserve"> </w:t>
      </w:r>
      <w:r>
        <w:rPr>
          <w:rFonts w:ascii="Arial MT" w:hAnsi="Arial MT"/>
          <w:sz w:val="18"/>
        </w:rPr>
        <w:t>camino</w:t>
      </w:r>
      <w:r>
        <w:rPr>
          <w:rFonts w:ascii="Arial MT" w:hAnsi="Arial MT"/>
          <w:spacing w:val="-6"/>
          <w:sz w:val="18"/>
        </w:rPr>
        <w:t xml:space="preserve"> </w:t>
      </w:r>
      <w:r>
        <w:rPr>
          <w:rFonts w:ascii="Arial MT" w:hAnsi="Arial MT"/>
          <w:sz w:val="18"/>
        </w:rPr>
        <w:t>sin</w:t>
      </w:r>
      <w:r>
        <w:rPr>
          <w:rFonts w:ascii="Arial MT" w:hAnsi="Arial MT"/>
          <w:spacing w:val="-6"/>
          <w:sz w:val="18"/>
        </w:rPr>
        <w:t xml:space="preserve"> </w:t>
      </w:r>
      <w:r>
        <w:rPr>
          <w:rFonts w:ascii="Arial MT" w:hAnsi="Arial MT"/>
          <w:sz w:val="18"/>
        </w:rPr>
        <w:t>retorno</w:t>
      </w:r>
      <w:r>
        <w:rPr>
          <w:rFonts w:ascii="Arial MT" w:hAnsi="Arial MT"/>
          <w:spacing w:val="-6"/>
          <w:sz w:val="18"/>
        </w:rPr>
        <w:t xml:space="preserve"> </w:t>
      </w:r>
      <w:r>
        <w:rPr>
          <w:rFonts w:ascii="Arial MT" w:hAnsi="Arial MT"/>
          <w:sz w:val="18"/>
        </w:rPr>
        <w:t>hacia</w:t>
      </w:r>
      <w:r>
        <w:rPr>
          <w:rFonts w:ascii="Arial MT" w:hAnsi="Arial MT"/>
          <w:spacing w:val="-9"/>
          <w:sz w:val="18"/>
        </w:rPr>
        <w:t xml:space="preserve"> </w:t>
      </w:r>
      <w:r>
        <w:rPr>
          <w:rFonts w:ascii="Arial MT" w:hAnsi="Arial MT"/>
          <w:sz w:val="18"/>
        </w:rPr>
        <w:t>la</w:t>
      </w:r>
      <w:r>
        <w:rPr>
          <w:rFonts w:ascii="Arial MT" w:hAnsi="Arial MT"/>
          <w:spacing w:val="-4"/>
          <w:sz w:val="18"/>
        </w:rPr>
        <w:t xml:space="preserve"> </w:t>
      </w:r>
      <w:r>
        <w:rPr>
          <w:rFonts w:ascii="Arial MT" w:hAnsi="Arial MT"/>
          <w:sz w:val="18"/>
        </w:rPr>
        <w:t>pobreza.</w:t>
      </w:r>
      <w:r>
        <w:rPr>
          <w:rFonts w:ascii="Arial MT" w:hAnsi="Arial MT"/>
          <w:spacing w:val="-4"/>
          <w:sz w:val="18"/>
        </w:rPr>
        <w:t xml:space="preserve"> </w:t>
      </w:r>
      <w:r>
        <w:rPr>
          <w:rFonts w:ascii="Arial MT" w:hAnsi="Arial MT"/>
          <w:sz w:val="18"/>
        </w:rPr>
        <w:t>Bogotá: Ediciones Uniandes.</w:t>
      </w:r>
    </w:p>
    <w:p w14:paraId="09687BEA" w14:textId="77777777" w:rsidR="000E52B0" w:rsidRDefault="00F60D74">
      <w:pPr>
        <w:spacing w:line="242" w:lineRule="auto"/>
        <w:ind w:left="720" w:right="723"/>
        <w:rPr>
          <w:rFonts w:ascii="Arial MT" w:hAnsi="Arial MT"/>
          <w:sz w:val="18"/>
        </w:rPr>
      </w:pPr>
      <w:bookmarkStart w:id="138" w:name="_bookmark138"/>
      <w:bookmarkEnd w:id="138"/>
      <w:r>
        <w:rPr>
          <w:rFonts w:ascii="Arial MT" w:hAnsi="Arial MT"/>
          <w:position w:val="6"/>
          <w:sz w:val="12"/>
        </w:rPr>
        <w:t>119</w:t>
      </w:r>
      <w:r>
        <w:rPr>
          <w:rFonts w:ascii="Arial MT" w:hAnsi="Arial MT"/>
          <w:spacing w:val="27"/>
          <w:position w:val="6"/>
          <w:sz w:val="12"/>
        </w:rPr>
        <w:t xml:space="preserve"> </w:t>
      </w:r>
      <w:proofErr w:type="gramStart"/>
      <w:r>
        <w:rPr>
          <w:rFonts w:ascii="Arial MT" w:hAnsi="Arial MT"/>
          <w:sz w:val="18"/>
        </w:rPr>
        <w:t>Cabe</w:t>
      </w:r>
      <w:proofErr w:type="gramEnd"/>
      <w:r>
        <w:rPr>
          <w:rFonts w:ascii="Arial MT" w:hAnsi="Arial MT"/>
          <w:sz w:val="18"/>
        </w:rPr>
        <w:t xml:space="preserve"> mencionar que, a partir de otra información, como el </w:t>
      </w:r>
      <w:r>
        <w:rPr>
          <w:rFonts w:ascii="Arial" w:hAnsi="Arial"/>
          <w:i/>
          <w:sz w:val="18"/>
        </w:rPr>
        <w:t xml:space="preserve">Mapa nacional de cobertura de la tierra </w:t>
      </w:r>
      <w:r>
        <w:rPr>
          <w:rFonts w:ascii="Arial MT" w:hAnsi="Arial MT"/>
          <w:sz w:val="18"/>
        </w:rPr>
        <w:t>(IDEAM, 2013) se estima que el área en pasto ronda los 39 millones de hectáreas.</w:t>
      </w:r>
    </w:p>
    <w:p w14:paraId="08668146" w14:textId="77777777" w:rsidR="000E52B0" w:rsidRDefault="00F60D74">
      <w:pPr>
        <w:ind w:left="720" w:right="723"/>
        <w:rPr>
          <w:rFonts w:ascii="Arial MT" w:hAnsi="Arial MT"/>
          <w:sz w:val="18"/>
        </w:rPr>
      </w:pPr>
      <w:bookmarkStart w:id="139" w:name="_bookmark139"/>
      <w:bookmarkEnd w:id="139"/>
      <w:r>
        <w:rPr>
          <w:rFonts w:ascii="Arial MT" w:hAnsi="Arial MT"/>
          <w:position w:val="6"/>
          <w:sz w:val="12"/>
        </w:rPr>
        <w:t>120</w:t>
      </w:r>
      <w:r>
        <w:rPr>
          <w:rFonts w:ascii="Arial MT" w:hAnsi="Arial MT"/>
          <w:spacing w:val="13"/>
          <w:position w:val="6"/>
          <w:sz w:val="12"/>
        </w:rPr>
        <w:t xml:space="preserve"> </w:t>
      </w:r>
      <w:proofErr w:type="gramStart"/>
      <w:r>
        <w:rPr>
          <w:rFonts w:ascii="Arial MT" w:hAnsi="Arial MT"/>
          <w:sz w:val="18"/>
        </w:rPr>
        <w:t>Garay</w:t>
      </w:r>
      <w:proofErr w:type="gramEnd"/>
      <w:r>
        <w:rPr>
          <w:rFonts w:ascii="Arial MT" w:hAnsi="Arial MT"/>
          <w:sz w:val="18"/>
        </w:rPr>
        <w:t>,</w:t>
      </w:r>
      <w:r>
        <w:rPr>
          <w:rFonts w:ascii="Arial MT" w:hAnsi="Arial MT"/>
          <w:spacing w:val="-4"/>
          <w:sz w:val="18"/>
        </w:rPr>
        <w:t xml:space="preserve"> </w:t>
      </w:r>
      <w:r>
        <w:rPr>
          <w:rFonts w:ascii="Arial MT" w:hAnsi="Arial MT"/>
          <w:sz w:val="18"/>
        </w:rPr>
        <w:t>L.,</w:t>
      </w:r>
      <w:r>
        <w:rPr>
          <w:rFonts w:ascii="Arial MT" w:hAnsi="Arial MT"/>
          <w:spacing w:val="-4"/>
          <w:sz w:val="18"/>
        </w:rPr>
        <w:t xml:space="preserve"> </w:t>
      </w:r>
      <w:r>
        <w:rPr>
          <w:rFonts w:ascii="Arial MT" w:hAnsi="Arial MT"/>
          <w:sz w:val="18"/>
        </w:rPr>
        <w:t>&amp;</w:t>
      </w:r>
      <w:r>
        <w:rPr>
          <w:rFonts w:ascii="Arial MT" w:hAnsi="Arial MT"/>
          <w:spacing w:val="-5"/>
          <w:sz w:val="18"/>
        </w:rPr>
        <w:t xml:space="preserve"> </w:t>
      </w:r>
      <w:r>
        <w:rPr>
          <w:rFonts w:ascii="Arial MT" w:hAnsi="Arial MT"/>
          <w:sz w:val="18"/>
        </w:rPr>
        <w:t>Espitia,</w:t>
      </w:r>
      <w:r>
        <w:rPr>
          <w:rFonts w:ascii="Arial MT" w:hAnsi="Arial MT"/>
          <w:spacing w:val="-4"/>
          <w:sz w:val="18"/>
        </w:rPr>
        <w:t xml:space="preserve"> </w:t>
      </w:r>
      <w:r>
        <w:rPr>
          <w:rFonts w:ascii="Arial MT" w:hAnsi="Arial MT"/>
          <w:sz w:val="18"/>
        </w:rPr>
        <w:t>J.</w:t>
      </w:r>
      <w:r>
        <w:rPr>
          <w:rFonts w:ascii="Arial MT" w:hAnsi="Arial MT"/>
          <w:spacing w:val="-4"/>
          <w:sz w:val="18"/>
        </w:rPr>
        <w:t xml:space="preserve"> </w:t>
      </w:r>
      <w:r>
        <w:rPr>
          <w:rFonts w:ascii="Arial MT" w:hAnsi="Arial MT"/>
          <w:sz w:val="18"/>
        </w:rPr>
        <w:t>E.</w:t>
      </w:r>
      <w:r>
        <w:rPr>
          <w:rFonts w:ascii="Arial MT" w:hAnsi="Arial MT"/>
          <w:spacing w:val="-4"/>
          <w:sz w:val="18"/>
        </w:rPr>
        <w:t xml:space="preserve"> </w:t>
      </w:r>
      <w:r>
        <w:rPr>
          <w:rFonts w:ascii="Arial MT" w:hAnsi="Arial MT"/>
          <w:sz w:val="18"/>
        </w:rPr>
        <w:t>(2019).</w:t>
      </w:r>
      <w:r>
        <w:rPr>
          <w:rFonts w:ascii="Arial MT" w:hAnsi="Arial MT"/>
          <w:spacing w:val="-2"/>
          <w:sz w:val="18"/>
        </w:rPr>
        <w:t xml:space="preserve"> </w:t>
      </w:r>
      <w:r>
        <w:rPr>
          <w:rFonts w:ascii="Arial MT" w:hAnsi="Arial MT"/>
          <w:sz w:val="18"/>
        </w:rPr>
        <w:t>Dinámica</w:t>
      </w:r>
      <w:r>
        <w:rPr>
          <w:rFonts w:ascii="Arial MT" w:hAnsi="Arial MT"/>
          <w:spacing w:val="-4"/>
          <w:sz w:val="18"/>
        </w:rPr>
        <w:t xml:space="preserve"> </w:t>
      </w:r>
      <w:r>
        <w:rPr>
          <w:rFonts w:ascii="Arial MT" w:hAnsi="Arial MT"/>
          <w:sz w:val="18"/>
        </w:rPr>
        <w:t>de</w:t>
      </w:r>
      <w:r>
        <w:rPr>
          <w:rFonts w:ascii="Arial MT" w:hAnsi="Arial MT"/>
          <w:spacing w:val="-4"/>
          <w:sz w:val="18"/>
        </w:rPr>
        <w:t xml:space="preserve"> </w:t>
      </w:r>
      <w:r>
        <w:rPr>
          <w:rFonts w:ascii="Arial MT" w:hAnsi="Arial MT"/>
          <w:sz w:val="18"/>
        </w:rPr>
        <w:t>las</w:t>
      </w:r>
      <w:r>
        <w:rPr>
          <w:rFonts w:ascii="Arial MT" w:hAnsi="Arial MT"/>
          <w:spacing w:val="-3"/>
          <w:sz w:val="18"/>
        </w:rPr>
        <w:t xml:space="preserve"> </w:t>
      </w:r>
      <w:r>
        <w:rPr>
          <w:rFonts w:ascii="Arial MT" w:hAnsi="Arial MT"/>
          <w:sz w:val="18"/>
        </w:rPr>
        <w:t>desigualdades</w:t>
      </w:r>
      <w:r>
        <w:rPr>
          <w:rFonts w:ascii="Arial MT" w:hAnsi="Arial MT"/>
          <w:spacing w:val="-6"/>
          <w:sz w:val="18"/>
        </w:rPr>
        <w:t xml:space="preserve"> </w:t>
      </w:r>
      <w:r>
        <w:rPr>
          <w:rFonts w:ascii="Arial MT" w:hAnsi="Arial MT"/>
          <w:sz w:val="18"/>
        </w:rPr>
        <w:t>en</w:t>
      </w:r>
      <w:r>
        <w:rPr>
          <w:rFonts w:ascii="Arial MT" w:hAnsi="Arial MT"/>
          <w:spacing w:val="-4"/>
          <w:sz w:val="18"/>
        </w:rPr>
        <w:t xml:space="preserve"> </w:t>
      </w:r>
      <w:r>
        <w:rPr>
          <w:rFonts w:ascii="Arial MT" w:hAnsi="Arial MT"/>
          <w:sz w:val="18"/>
        </w:rPr>
        <w:t>Colombia.</w:t>
      </w:r>
      <w:r>
        <w:rPr>
          <w:rFonts w:ascii="Arial MT" w:hAnsi="Arial MT"/>
          <w:spacing w:val="-4"/>
          <w:sz w:val="18"/>
        </w:rPr>
        <w:t xml:space="preserve"> </w:t>
      </w:r>
      <w:r>
        <w:rPr>
          <w:rFonts w:ascii="Arial MT" w:hAnsi="Arial MT"/>
          <w:sz w:val="18"/>
        </w:rPr>
        <w:t>En</w:t>
      </w:r>
      <w:r>
        <w:rPr>
          <w:rFonts w:ascii="Arial MT" w:hAnsi="Arial MT"/>
          <w:spacing w:val="-4"/>
          <w:sz w:val="18"/>
        </w:rPr>
        <w:t xml:space="preserve"> </w:t>
      </w:r>
      <w:r>
        <w:rPr>
          <w:rFonts w:ascii="Arial MT" w:hAnsi="Arial MT"/>
          <w:sz w:val="18"/>
        </w:rPr>
        <w:t>torno</w:t>
      </w:r>
      <w:r>
        <w:rPr>
          <w:rFonts w:ascii="Arial MT" w:hAnsi="Arial MT"/>
          <w:spacing w:val="-4"/>
          <w:sz w:val="18"/>
        </w:rPr>
        <w:t xml:space="preserve"> </w:t>
      </w:r>
      <w:r>
        <w:rPr>
          <w:rFonts w:ascii="Arial MT" w:hAnsi="Arial MT"/>
          <w:sz w:val="18"/>
        </w:rPr>
        <w:t>a</w:t>
      </w:r>
      <w:r>
        <w:rPr>
          <w:rFonts w:ascii="Arial MT" w:hAnsi="Arial MT"/>
          <w:spacing w:val="-6"/>
          <w:sz w:val="18"/>
        </w:rPr>
        <w:t xml:space="preserve"> </w:t>
      </w:r>
      <w:r>
        <w:rPr>
          <w:rFonts w:ascii="Arial MT" w:hAnsi="Arial MT"/>
          <w:sz w:val="18"/>
        </w:rPr>
        <w:t>la</w:t>
      </w:r>
      <w:r>
        <w:rPr>
          <w:rFonts w:ascii="Arial MT" w:hAnsi="Arial MT"/>
          <w:spacing w:val="-4"/>
          <w:sz w:val="18"/>
        </w:rPr>
        <w:t xml:space="preserve"> </w:t>
      </w:r>
      <w:r>
        <w:rPr>
          <w:rFonts w:ascii="Arial MT" w:hAnsi="Arial MT"/>
          <w:sz w:val="18"/>
        </w:rPr>
        <w:t>economía</w:t>
      </w:r>
      <w:r>
        <w:rPr>
          <w:rFonts w:ascii="Arial MT" w:hAnsi="Arial MT"/>
          <w:spacing w:val="-6"/>
          <w:sz w:val="18"/>
        </w:rPr>
        <w:t xml:space="preserve"> </w:t>
      </w:r>
      <w:r>
        <w:rPr>
          <w:rFonts w:ascii="Arial MT" w:hAnsi="Arial MT"/>
          <w:sz w:val="18"/>
        </w:rPr>
        <w:t xml:space="preserve">política en los ámbitos </w:t>
      </w:r>
      <w:proofErr w:type="gramStart"/>
      <w:r>
        <w:rPr>
          <w:rFonts w:ascii="Arial MT" w:hAnsi="Arial MT"/>
          <w:sz w:val="18"/>
        </w:rPr>
        <w:t>socio-económico</w:t>
      </w:r>
      <w:proofErr w:type="gramEnd"/>
      <w:r>
        <w:rPr>
          <w:rFonts w:ascii="Arial MT" w:hAnsi="Arial MT"/>
          <w:sz w:val="18"/>
        </w:rPr>
        <w:t>, tributario y territorial. Bogotá: Ediciones Desde Abajo.</w:t>
      </w:r>
    </w:p>
    <w:p w14:paraId="5F7A15EC" w14:textId="77777777" w:rsidR="000E52B0" w:rsidRDefault="00F60D74">
      <w:pPr>
        <w:spacing w:line="242" w:lineRule="auto"/>
        <w:ind w:left="720" w:right="723"/>
        <w:rPr>
          <w:rFonts w:ascii="Arial MT" w:hAnsi="Arial MT"/>
          <w:sz w:val="18"/>
        </w:rPr>
      </w:pPr>
      <w:bookmarkStart w:id="140" w:name="_bookmark140"/>
      <w:bookmarkEnd w:id="140"/>
      <w:r>
        <w:rPr>
          <w:rFonts w:ascii="Arial MT" w:hAnsi="Arial MT"/>
          <w:position w:val="6"/>
          <w:sz w:val="12"/>
        </w:rPr>
        <w:t>121</w:t>
      </w:r>
      <w:r>
        <w:rPr>
          <w:rFonts w:ascii="Arial MT" w:hAnsi="Arial MT"/>
          <w:spacing w:val="8"/>
          <w:position w:val="6"/>
          <w:sz w:val="12"/>
        </w:rPr>
        <w:t xml:space="preserve"> </w:t>
      </w:r>
      <w:r>
        <w:rPr>
          <w:rFonts w:ascii="Arial MT" w:hAnsi="Arial MT"/>
          <w:sz w:val="18"/>
        </w:rPr>
        <w:t>Arias,</w:t>
      </w:r>
      <w:r>
        <w:rPr>
          <w:rFonts w:ascii="Arial MT" w:hAnsi="Arial MT"/>
          <w:spacing w:val="-11"/>
          <w:sz w:val="18"/>
        </w:rPr>
        <w:t xml:space="preserve"> </w:t>
      </w:r>
      <w:r>
        <w:rPr>
          <w:rFonts w:ascii="Arial MT" w:hAnsi="Arial MT"/>
          <w:sz w:val="18"/>
        </w:rPr>
        <w:t>M.,</w:t>
      </w:r>
      <w:r>
        <w:rPr>
          <w:rFonts w:ascii="Arial MT" w:hAnsi="Arial MT"/>
          <w:spacing w:val="-9"/>
          <w:sz w:val="18"/>
        </w:rPr>
        <w:t xml:space="preserve"> </w:t>
      </w:r>
      <w:r>
        <w:rPr>
          <w:rFonts w:ascii="Arial MT" w:hAnsi="Arial MT"/>
          <w:sz w:val="18"/>
        </w:rPr>
        <w:t>Caro,</w:t>
      </w:r>
      <w:r>
        <w:rPr>
          <w:rFonts w:ascii="Arial MT" w:hAnsi="Arial MT"/>
          <w:spacing w:val="-9"/>
          <w:sz w:val="18"/>
        </w:rPr>
        <w:t xml:space="preserve"> </w:t>
      </w:r>
      <w:r>
        <w:rPr>
          <w:rFonts w:ascii="Arial MT" w:hAnsi="Arial MT"/>
          <w:sz w:val="18"/>
        </w:rPr>
        <w:t>A.,</w:t>
      </w:r>
      <w:r>
        <w:rPr>
          <w:rFonts w:ascii="Arial MT" w:hAnsi="Arial MT"/>
          <w:spacing w:val="-9"/>
          <w:sz w:val="18"/>
        </w:rPr>
        <w:t xml:space="preserve"> </w:t>
      </w:r>
      <w:r>
        <w:rPr>
          <w:rFonts w:ascii="Arial MT" w:hAnsi="Arial MT"/>
          <w:sz w:val="18"/>
        </w:rPr>
        <w:t>Farah,</w:t>
      </w:r>
      <w:r>
        <w:rPr>
          <w:rFonts w:ascii="Arial MT" w:hAnsi="Arial MT"/>
          <w:spacing w:val="-11"/>
          <w:sz w:val="18"/>
        </w:rPr>
        <w:t xml:space="preserve"> </w:t>
      </w:r>
      <w:r>
        <w:rPr>
          <w:rFonts w:ascii="Arial MT" w:hAnsi="Arial MT"/>
          <w:sz w:val="18"/>
        </w:rPr>
        <w:t>M.,</w:t>
      </w:r>
      <w:r>
        <w:rPr>
          <w:rFonts w:ascii="Arial MT" w:hAnsi="Arial MT"/>
          <w:spacing w:val="-11"/>
          <w:sz w:val="18"/>
        </w:rPr>
        <w:t xml:space="preserve"> </w:t>
      </w:r>
      <w:r>
        <w:rPr>
          <w:rFonts w:ascii="Arial MT" w:hAnsi="Arial MT"/>
          <w:sz w:val="18"/>
        </w:rPr>
        <w:t>Henao,</w:t>
      </w:r>
      <w:r>
        <w:rPr>
          <w:rFonts w:ascii="Arial MT" w:hAnsi="Arial MT"/>
          <w:spacing w:val="-9"/>
          <w:sz w:val="18"/>
        </w:rPr>
        <w:t xml:space="preserve"> </w:t>
      </w:r>
      <w:r>
        <w:rPr>
          <w:rFonts w:ascii="Arial MT" w:hAnsi="Arial MT"/>
          <w:sz w:val="18"/>
        </w:rPr>
        <w:t>A.,</w:t>
      </w:r>
      <w:r>
        <w:rPr>
          <w:rFonts w:ascii="Arial MT" w:hAnsi="Arial MT"/>
          <w:spacing w:val="-11"/>
          <w:sz w:val="18"/>
        </w:rPr>
        <w:t xml:space="preserve"> </w:t>
      </w:r>
      <w:r>
        <w:rPr>
          <w:rFonts w:ascii="Arial MT" w:hAnsi="Arial MT"/>
          <w:sz w:val="18"/>
        </w:rPr>
        <w:t>Ibáñez,</w:t>
      </w:r>
      <w:r>
        <w:rPr>
          <w:rFonts w:ascii="Arial MT" w:hAnsi="Arial MT"/>
          <w:spacing w:val="-11"/>
          <w:sz w:val="18"/>
        </w:rPr>
        <w:t xml:space="preserve"> </w:t>
      </w:r>
      <w:r>
        <w:rPr>
          <w:rFonts w:ascii="Arial MT" w:hAnsi="Arial MT"/>
          <w:sz w:val="18"/>
        </w:rPr>
        <w:t>A.,</w:t>
      </w:r>
      <w:r>
        <w:rPr>
          <w:rFonts w:ascii="Arial MT" w:hAnsi="Arial MT"/>
          <w:spacing w:val="-9"/>
          <w:sz w:val="18"/>
        </w:rPr>
        <w:t xml:space="preserve"> </w:t>
      </w:r>
      <w:r>
        <w:rPr>
          <w:rFonts w:ascii="Arial MT" w:hAnsi="Arial MT"/>
          <w:sz w:val="18"/>
        </w:rPr>
        <w:t>Muñoz,</w:t>
      </w:r>
      <w:r>
        <w:rPr>
          <w:rFonts w:ascii="Arial MT" w:hAnsi="Arial MT"/>
          <w:spacing w:val="-11"/>
          <w:sz w:val="18"/>
        </w:rPr>
        <w:t xml:space="preserve"> </w:t>
      </w:r>
      <w:r>
        <w:rPr>
          <w:rFonts w:ascii="Arial MT" w:hAnsi="Arial MT"/>
          <w:sz w:val="18"/>
        </w:rPr>
        <w:t>J.,</w:t>
      </w:r>
      <w:r>
        <w:rPr>
          <w:rFonts w:ascii="Arial MT" w:hAnsi="Arial MT"/>
          <w:spacing w:val="-9"/>
          <w:sz w:val="18"/>
        </w:rPr>
        <w:t xml:space="preserve"> </w:t>
      </w:r>
      <w:r>
        <w:rPr>
          <w:rFonts w:ascii="Arial MT" w:hAnsi="Arial MT"/>
          <w:sz w:val="18"/>
        </w:rPr>
        <w:t>&amp;</w:t>
      </w:r>
      <w:r>
        <w:rPr>
          <w:rFonts w:ascii="Arial MT" w:hAnsi="Arial MT"/>
          <w:spacing w:val="-9"/>
          <w:sz w:val="18"/>
        </w:rPr>
        <w:t xml:space="preserve"> </w:t>
      </w:r>
      <w:r>
        <w:rPr>
          <w:rFonts w:ascii="Arial MT" w:hAnsi="Arial MT"/>
          <w:sz w:val="18"/>
        </w:rPr>
        <w:t>Peña,</w:t>
      </w:r>
      <w:r>
        <w:rPr>
          <w:rFonts w:ascii="Arial MT" w:hAnsi="Arial MT"/>
          <w:spacing w:val="-9"/>
          <w:sz w:val="18"/>
        </w:rPr>
        <w:t xml:space="preserve"> </w:t>
      </w:r>
      <w:r>
        <w:rPr>
          <w:rFonts w:ascii="Arial MT" w:hAnsi="Arial MT"/>
          <w:sz w:val="18"/>
        </w:rPr>
        <w:t>X.</w:t>
      </w:r>
      <w:r>
        <w:rPr>
          <w:rFonts w:ascii="Arial MT" w:hAnsi="Arial MT"/>
          <w:spacing w:val="-9"/>
          <w:sz w:val="18"/>
        </w:rPr>
        <w:t xml:space="preserve"> </w:t>
      </w:r>
      <w:r>
        <w:rPr>
          <w:rFonts w:ascii="Arial MT" w:hAnsi="Arial MT"/>
          <w:sz w:val="18"/>
        </w:rPr>
        <w:t>(2013).</w:t>
      </w:r>
      <w:r>
        <w:rPr>
          <w:rFonts w:ascii="Arial MT" w:hAnsi="Arial MT"/>
          <w:spacing w:val="-11"/>
          <w:sz w:val="18"/>
        </w:rPr>
        <w:t xml:space="preserve"> </w:t>
      </w:r>
      <w:r>
        <w:rPr>
          <w:rFonts w:ascii="Arial MT" w:hAnsi="Arial MT"/>
          <w:sz w:val="18"/>
        </w:rPr>
        <w:t>Las</w:t>
      </w:r>
      <w:r>
        <w:rPr>
          <w:rFonts w:ascii="Arial MT" w:hAnsi="Arial MT"/>
          <w:spacing w:val="-8"/>
          <w:sz w:val="18"/>
        </w:rPr>
        <w:t xml:space="preserve"> </w:t>
      </w:r>
      <w:r>
        <w:rPr>
          <w:rFonts w:ascii="Arial MT" w:hAnsi="Arial MT"/>
          <w:sz w:val="18"/>
        </w:rPr>
        <w:t>mujeres</w:t>
      </w:r>
      <w:r>
        <w:rPr>
          <w:rFonts w:ascii="Arial MT" w:hAnsi="Arial MT"/>
          <w:spacing w:val="-8"/>
          <w:sz w:val="18"/>
        </w:rPr>
        <w:t xml:space="preserve"> </w:t>
      </w:r>
      <w:r>
        <w:rPr>
          <w:rFonts w:ascii="Arial MT" w:hAnsi="Arial MT"/>
          <w:sz w:val="18"/>
        </w:rPr>
        <w:t>jóvenes</w:t>
      </w:r>
      <w:r>
        <w:rPr>
          <w:rFonts w:ascii="Arial MT" w:hAnsi="Arial MT"/>
          <w:spacing w:val="-8"/>
          <w:sz w:val="18"/>
        </w:rPr>
        <w:t xml:space="preserve"> </w:t>
      </w:r>
      <w:r>
        <w:rPr>
          <w:rFonts w:ascii="Arial MT" w:hAnsi="Arial MT"/>
          <w:sz w:val="18"/>
        </w:rPr>
        <w:t>rurales en Colombia. Documento CEDE 2013-28.</w:t>
      </w:r>
    </w:p>
    <w:p w14:paraId="69A7E11D" w14:textId="77777777" w:rsidR="000E52B0" w:rsidRDefault="000E52B0">
      <w:pPr>
        <w:spacing w:line="242" w:lineRule="auto"/>
        <w:rPr>
          <w:rFonts w:ascii="Arial MT" w:hAnsi="Arial MT"/>
          <w:sz w:val="18"/>
        </w:rPr>
        <w:sectPr w:rsidR="000E52B0">
          <w:pgSz w:w="11910" w:h="16840"/>
          <w:pgMar w:top="1340" w:right="720" w:bottom="1180" w:left="720" w:header="0" w:footer="995" w:gutter="0"/>
          <w:cols w:space="720"/>
        </w:sectPr>
      </w:pPr>
    </w:p>
    <w:p w14:paraId="68740254" w14:textId="77777777" w:rsidR="000E52B0" w:rsidRDefault="00F60D74">
      <w:pPr>
        <w:pStyle w:val="Textoindependiente"/>
        <w:spacing w:before="83"/>
        <w:ind w:right="717"/>
        <w:jc w:val="both"/>
      </w:pPr>
      <w:r>
        <w:lastRenderedPageBreak/>
        <w:t>Adicionalmente, la desigualdad afecta la situación nutricional de los hogares. De acuerdo con la Encuesta Nacional de la Situación Nutricional (ENSIN,</w:t>
      </w:r>
      <w:r>
        <w:rPr>
          <w:spacing w:val="-22"/>
        </w:rPr>
        <w:t xml:space="preserve"> </w:t>
      </w:r>
      <w:r>
        <w:t>2015),</w:t>
      </w:r>
      <w:r>
        <w:rPr>
          <w:spacing w:val="-21"/>
        </w:rPr>
        <w:t xml:space="preserve"> </w:t>
      </w:r>
      <w:r>
        <w:t>mientras</w:t>
      </w:r>
      <w:r>
        <w:rPr>
          <w:spacing w:val="-21"/>
        </w:rPr>
        <w:t xml:space="preserve"> </w:t>
      </w:r>
      <w:r>
        <w:t>la</w:t>
      </w:r>
      <w:r>
        <w:rPr>
          <w:spacing w:val="-21"/>
        </w:rPr>
        <w:t xml:space="preserve"> </w:t>
      </w:r>
      <w:r>
        <w:t>inseguridad</w:t>
      </w:r>
      <w:r>
        <w:rPr>
          <w:spacing w:val="-21"/>
        </w:rPr>
        <w:t xml:space="preserve"> </w:t>
      </w:r>
      <w:r>
        <w:t>alimentaria</w:t>
      </w:r>
      <w:r>
        <w:rPr>
          <w:spacing w:val="-21"/>
        </w:rPr>
        <w:t xml:space="preserve"> </w:t>
      </w:r>
      <w:r>
        <w:t>en</w:t>
      </w:r>
      <w:r>
        <w:rPr>
          <w:spacing w:val="-21"/>
        </w:rPr>
        <w:t xml:space="preserve"> </w:t>
      </w:r>
      <w:r>
        <w:t>hogares</w:t>
      </w:r>
      <w:r>
        <w:rPr>
          <w:spacing w:val="-21"/>
        </w:rPr>
        <w:t xml:space="preserve"> </w:t>
      </w:r>
      <w:r>
        <w:t>con</w:t>
      </w:r>
      <w:r>
        <w:rPr>
          <w:spacing w:val="-21"/>
        </w:rPr>
        <w:t xml:space="preserve"> </w:t>
      </w:r>
      <w:r>
        <w:t>jefatura masculina fue de 52,0%, en los hogares con jefatura femenina fue del 57,6%. Así mismo, el 56,3% de los hogares con jefatura femenina realizó estrategias de afrontamiento frente a sus condiciones de inseguridad alimentaria, tales como la disminución de su consumo de alimentos para permitir</w:t>
      </w:r>
      <w:r>
        <w:rPr>
          <w:spacing w:val="-14"/>
        </w:rPr>
        <w:t xml:space="preserve"> </w:t>
      </w:r>
      <w:r>
        <w:t>que</w:t>
      </w:r>
      <w:r>
        <w:rPr>
          <w:spacing w:val="-14"/>
        </w:rPr>
        <w:t xml:space="preserve"> </w:t>
      </w:r>
      <w:r>
        <w:t>sus</w:t>
      </w:r>
      <w:r>
        <w:rPr>
          <w:spacing w:val="-15"/>
        </w:rPr>
        <w:t xml:space="preserve"> </w:t>
      </w:r>
      <w:r>
        <w:t>hijos</w:t>
      </w:r>
      <w:r>
        <w:rPr>
          <w:spacing w:val="-15"/>
        </w:rPr>
        <w:t xml:space="preserve"> </w:t>
      </w:r>
      <w:r>
        <w:t>puedan</w:t>
      </w:r>
      <w:r>
        <w:rPr>
          <w:spacing w:val="-15"/>
        </w:rPr>
        <w:t xml:space="preserve"> </w:t>
      </w:r>
      <w:r>
        <w:t>alimentarse,</w:t>
      </w:r>
      <w:r>
        <w:rPr>
          <w:spacing w:val="-15"/>
        </w:rPr>
        <w:t xml:space="preserve"> </w:t>
      </w:r>
      <w:r>
        <w:t>mientras</w:t>
      </w:r>
      <w:r>
        <w:rPr>
          <w:spacing w:val="-14"/>
        </w:rPr>
        <w:t xml:space="preserve"> </w:t>
      </w:r>
      <w:r>
        <w:t>que</w:t>
      </w:r>
      <w:r>
        <w:rPr>
          <w:spacing w:val="-14"/>
        </w:rPr>
        <w:t xml:space="preserve"> </w:t>
      </w:r>
      <w:r>
        <w:t>dichas</w:t>
      </w:r>
      <w:r>
        <w:rPr>
          <w:spacing w:val="-15"/>
        </w:rPr>
        <w:t xml:space="preserve"> </w:t>
      </w:r>
      <w:r>
        <w:t>estrategias de afrontamiento se reportaron en el 48,5% de los hogares con jefatura masculina (DANE, 2022)</w:t>
      </w:r>
      <w:hyperlink w:anchor="_bookmark142" w:history="1">
        <w:r w:rsidR="000E52B0">
          <w:rPr>
            <w:position w:val="8"/>
            <w:sz w:val="16"/>
          </w:rPr>
          <w:t>122</w:t>
        </w:r>
      </w:hyperlink>
      <w:r>
        <w:t>.</w:t>
      </w:r>
    </w:p>
    <w:p w14:paraId="458A46D4" w14:textId="22968F7A" w:rsidR="000E52B0" w:rsidRDefault="00F60D74">
      <w:pPr>
        <w:pStyle w:val="Textoindependiente"/>
        <w:spacing w:before="160"/>
        <w:ind w:right="716"/>
        <w:jc w:val="both"/>
      </w:pPr>
      <w:r>
        <w:t>Sin</w:t>
      </w:r>
      <w:r>
        <w:rPr>
          <w:spacing w:val="-22"/>
        </w:rPr>
        <w:t xml:space="preserve"> </w:t>
      </w:r>
      <w:r>
        <w:t>embargo,</w:t>
      </w:r>
      <w:r>
        <w:rPr>
          <w:spacing w:val="-21"/>
        </w:rPr>
        <w:t xml:space="preserve"> </w:t>
      </w:r>
      <w:r>
        <w:t>no</w:t>
      </w:r>
      <w:r>
        <w:rPr>
          <w:spacing w:val="-21"/>
        </w:rPr>
        <w:t xml:space="preserve"> </w:t>
      </w:r>
      <w:r>
        <w:t>es</w:t>
      </w:r>
      <w:r>
        <w:rPr>
          <w:spacing w:val="-21"/>
        </w:rPr>
        <w:t xml:space="preserve"> </w:t>
      </w:r>
      <w:r>
        <w:t>solo</w:t>
      </w:r>
      <w:r>
        <w:rPr>
          <w:spacing w:val="-21"/>
        </w:rPr>
        <w:t xml:space="preserve"> </w:t>
      </w:r>
      <w:r>
        <w:t>el</w:t>
      </w:r>
      <w:r>
        <w:rPr>
          <w:spacing w:val="-21"/>
        </w:rPr>
        <w:t xml:space="preserve"> </w:t>
      </w:r>
      <w:r>
        <w:t>acceso</w:t>
      </w:r>
      <w:r>
        <w:rPr>
          <w:spacing w:val="-21"/>
        </w:rPr>
        <w:t xml:space="preserve"> </w:t>
      </w:r>
      <w:r>
        <w:t>a</w:t>
      </w:r>
      <w:r>
        <w:rPr>
          <w:spacing w:val="-21"/>
        </w:rPr>
        <w:t xml:space="preserve"> </w:t>
      </w:r>
      <w:r>
        <w:t>bienes</w:t>
      </w:r>
      <w:r>
        <w:rPr>
          <w:spacing w:val="-21"/>
        </w:rPr>
        <w:t xml:space="preserve"> </w:t>
      </w:r>
      <w:r>
        <w:t>y</w:t>
      </w:r>
      <w:r>
        <w:rPr>
          <w:spacing w:val="-21"/>
        </w:rPr>
        <w:t xml:space="preserve"> </w:t>
      </w:r>
      <w:r>
        <w:t>servicios</w:t>
      </w:r>
      <w:r>
        <w:rPr>
          <w:spacing w:val="-21"/>
        </w:rPr>
        <w:t xml:space="preserve"> </w:t>
      </w:r>
      <w:r>
        <w:t>–</w:t>
      </w:r>
      <w:r>
        <w:rPr>
          <w:spacing w:val="-20"/>
        </w:rPr>
        <w:t xml:space="preserve"> </w:t>
      </w:r>
      <w:r>
        <w:t>educación,</w:t>
      </w:r>
      <w:r>
        <w:rPr>
          <w:spacing w:val="-21"/>
        </w:rPr>
        <w:t xml:space="preserve"> </w:t>
      </w:r>
      <w:r>
        <w:t>atención en salud, alimentación – lo que explica las peores condiciones de salud, sino</w:t>
      </w:r>
      <w:r>
        <w:rPr>
          <w:spacing w:val="-4"/>
        </w:rPr>
        <w:t xml:space="preserve"> </w:t>
      </w:r>
      <w:r>
        <w:t>que</w:t>
      </w:r>
      <w:r>
        <w:rPr>
          <w:spacing w:val="-4"/>
        </w:rPr>
        <w:t xml:space="preserve"> </w:t>
      </w:r>
      <w:r>
        <w:t>la</w:t>
      </w:r>
      <w:r>
        <w:rPr>
          <w:spacing w:val="-4"/>
        </w:rPr>
        <w:t xml:space="preserve"> </w:t>
      </w:r>
      <w:r>
        <w:t>jerarquización</w:t>
      </w:r>
      <w:r>
        <w:rPr>
          <w:spacing w:val="-5"/>
        </w:rPr>
        <w:t xml:space="preserve"> </w:t>
      </w:r>
      <w:r>
        <w:t>misma</w:t>
      </w:r>
      <w:r>
        <w:rPr>
          <w:spacing w:val="-4"/>
        </w:rPr>
        <w:t xml:space="preserve"> </w:t>
      </w:r>
      <w:r>
        <w:t>de</w:t>
      </w:r>
      <w:r>
        <w:rPr>
          <w:spacing w:val="-4"/>
        </w:rPr>
        <w:t xml:space="preserve"> </w:t>
      </w:r>
      <w:r>
        <w:t>la</w:t>
      </w:r>
      <w:r>
        <w:rPr>
          <w:spacing w:val="-4"/>
        </w:rPr>
        <w:t xml:space="preserve"> </w:t>
      </w:r>
      <w:r>
        <w:t>sociedad</w:t>
      </w:r>
      <w:r>
        <w:rPr>
          <w:spacing w:val="-5"/>
        </w:rPr>
        <w:t xml:space="preserve"> </w:t>
      </w:r>
      <w:r>
        <w:t>tiene</w:t>
      </w:r>
      <w:r>
        <w:rPr>
          <w:spacing w:val="-4"/>
        </w:rPr>
        <w:t xml:space="preserve"> </w:t>
      </w:r>
      <w:r>
        <w:t>efectos</w:t>
      </w:r>
      <w:r>
        <w:rPr>
          <w:spacing w:val="-5"/>
        </w:rPr>
        <w:t xml:space="preserve"> </w:t>
      </w:r>
      <w:r>
        <w:t>negativos</w:t>
      </w:r>
      <w:r>
        <w:rPr>
          <w:spacing w:val="-5"/>
        </w:rPr>
        <w:t xml:space="preserve"> </w:t>
      </w:r>
      <w:r>
        <w:t xml:space="preserve">en la salud de aquellos que están en las posiciones más desventajosas (Underwood, 2014). Basados en un metaanálisis de los estudios epidemiológicos que relacionan inequidad y salud, Kondo y </w:t>
      </w:r>
      <w:r w:rsidR="00A964A8">
        <w:t>coautores</w:t>
      </w:r>
      <w:r>
        <w:t xml:space="preserve"> (2009) encuentran un exceso en el riesgo de mortalidad de 8% por cada 0,05 puntos de aumento en el coeficiente de Gini del país (Kondo, et al., 2009). Igualmente, </w:t>
      </w:r>
      <w:proofErr w:type="spellStart"/>
      <w:r>
        <w:t>Pickett</w:t>
      </w:r>
      <w:proofErr w:type="spellEnd"/>
      <w:r>
        <w:t xml:space="preserve"> &amp; Wilkinson (2015) a través de una revisión sistemática de la literatura a partir de un marco conceptual epidemiológico</w:t>
      </w:r>
      <w:hyperlink w:anchor="_bookmark143" w:history="1">
        <w:r w:rsidR="000E52B0">
          <w:rPr>
            <w:position w:val="8"/>
            <w:sz w:val="16"/>
          </w:rPr>
          <w:t>123</w:t>
        </w:r>
      </w:hyperlink>
      <w:r>
        <w:t>, y evidencian que la desigualdad en el ingreso genera efectos negativos en la salud y el bienestar de la población. Los impactos negativos</w:t>
      </w:r>
      <w:r>
        <w:rPr>
          <w:spacing w:val="-9"/>
        </w:rPr>
        <w:t xml:space="preserve"> </w:t>
      </w:r>
      <w:r>
        <w:t>en</w:t>
      </w:r>
      <w:r>
        <w:rPr>
          <w:spacing w:val="-9"/>
        </w:rPr>
        <w:t xml:space="preserve"> </w:t>
      </w:r>
      <w:r>
        <w:t>salud</w:t>
      </w:r>
      <w:r>
        <w:rPr>
          <w:spacing w:val="-7"/>
        </w:rPr>
        <w:t xml:space="preserve"> </w:t>
      </w:r>
      <w:r>
        <w:t>no</w:t>
      </w:r>
      <w:r>
        <w:rPr>
          <w:spacing w:val="-8"/>
        </w:rPr>
        <w:t xml:space="preserve"> </w:t>
      </w:r>
      <w:r>
        <w:t>solo</w:t>
      </w:r>
      <w:r>
        <w:rPr>
          <w:spacing w:val="-8"/>
        </w:rPr>
        <w:t xml:space="preserve"> </w:t>
      </w:r>
      <w:r>
        <w:t>tienen</w:t>
      </w:r>
      <w:r>
        <w:rPr>
          <w:spacing w:val="-9"/>
        </w:rPr>
        <w:t xml:space="preserve"> </w:t>
      </w:r>
      <w:r>
        <w:t>que</w:t>
      </w:r>
      <w:r>
        <w:rPr>
          <w:spacing w:val="-8"/>
        </w:rPr>
        <w:t xml:space="preserve"> </w:t>
      </w:r>
      <w:r>
        <w:t>ver</w:t>
      </w:r>
      <w:r>
        <w:rPr>
          <w:spacing w:val="-8"/>
        </w:rPr>
        <w:t xml:space="preserve"> </w:t>
      </w:r>
      <w:r>
        <w:t>con</w:t>
      </w:r>
      <w:r>
        <w:rPr>
          <w:spacing w:val="-9"/>
        </w:rPr>
        <w:t xml:space="preserve"> </w:t>
      </w:r>
      <w:r>
        <w:t>pobreza</w:t>
      </w:r>
      <w:r>
        <w:rPr>
          <w:spacing w:val="-9"/>
        </w:rPr>
        <w:t xml:space="preserve"> </w:t>
      </w:r>
      <w:r>
        <w:t>sino</w:t>
      </w:r>
      <w:r>
        <w:rPr>
          <w:spacing w:val="-11"/>
        </w:rPr>
        <w:t xml:space="preserve"> </w:t>
      </w:r>
      <w:r>
        <w:t>que</w:t>
      </w:r>
      <w:r>
        <w:rPr>
          <w:spacing w:val="-8"/>
        </w:rPr>
        <w:t xml:space="preserve"> </w:t>
      </w:r>
      <w:r>
        <w:t>son</w:t>
      </w:r>
      <w:r>
        <w:rPr>
          <w:spacing w:val="-9"/>
        </w:rPr>
        <w:t xml:space="preserve"> </w:t>
      </w:r>
      <w:r>
        <w:t>peores en</w:t>
      </w:r>
      <w:r>
        <w:rPr>
          <w:spacing w:val="-9"/>
        </w:rPr>
        <w:t xml:space="preserve"> </w:t>
      </w:r>
      <w:r>
        <w:t>sociedades</w:t>
      </w:r>
      <w:r>
        <w:rPr>
          <w:spacing w:val="-9"/>
        </w:rPr>
        <w:t xml:space="preserve"> </w:t>
      </w:r>
      <w:r>
        <w:t>donde</w:t>
      </w:r>
      <w:r>
        <w:rPr>
          <w:spacing w:val="-8"/>
        </w:rPr>
        <w:t xml:space="preserve"> </w:t>
      </w:r>
      <w:r>
        <w:t>hay</w:t>
      </w:r>
      <w:r>
        <w:rPr>
          <w:spacing w:val="-9"/>
        </w:rPr>
        <w:t xml:space="preserve"> </w:t>
      </w:r>
      <w:r>
        <w:t>una</w:t>
      </w:r>
      <w:r>
        <w:rPr>
          <w:spacing w:val="-9"/>
        </w:rPr>
        <w:t xml:space="preserve"> </w:t>
      </w:r>
      <w:r>
        <w:t>mayor</w:t>
      </w:r>
      <w:r>
        <w:rPr>
          <w:spacing w:val="-8"/>
        </w:rPr>
        <w:t xml:space="preserve"> </w:t>
      </w:r>
      <w:r>
        <w:t>diferencia</w:t>
      </w:r>
      <w:r>
        <w:rPr>
          <w:spacing w:val="-9"/>
        </w:rPr>
        <w:t xml:space="preserve"> </w:t>
      </w:r>
      <w:r>
        <w:t>entre</w:t>
      </w:r>
      <w:r>
        <w:rPr>
          <w:spacing w:val="-7"/>
        </w:rPr>
        <w:t xml:space="preserve"> </w:t>
      </w:r>
      <w:r>
        <w:t>ricos</w:t>
      </w:r>
      <w:r>
        <w:rPr>
          <w:spacing w:val="-9"/>
        </w:rPr>
        <w:t xml:space="preserve"> </w:t>
      </w:r>
      <w:r>
        <w:t>y</w:t>
      </w:r>
      <w:r>
        <w:rPr>
          <w:spacing w:val="-11"/>
        </w:rPr>
        <w:t xml:space="preserve"> </w:t>
      </w:r>
      <w:r>
        <w:t>pobres,</w:t>
      </w:r>
      <w:r>
        <w:rPr>
          <w:spacing w:val="-10"/>
        </w:rPr>
        <w:t xml:space="preserve"> </w:t>
      </w:r>
      <w:r>
        <w:t>lo</w:t>
      </w:r>
      <w:r>
        <w:rPr>
          <w:spacing w:val="-8"/>
        </w:rPr>
        <w:t xml:space="preserve"> </w:t>
      </w:r>
      <w:r>
        <w:t>que tiene que ver con salud física, salud mental e indicadores de salud pública como violencia, embarazo adolescente, salud en la infancia y obesidad, entre</w:t>
      </w:r>
      <w:r>
        <w:rPr>
          <w:spacing w:val="-22"/>
        </w:rPr>
        <w:t xml:space="preserve"> </w:t>
      </w:r>
      <w:r>
        <w:t>otros</w:t>
      </w:r>
      <w:r>
        <w:rPr>
          <w:spacing w:val="-21"/>
        </w:rPr>
        <w:t xml:space="preserve"> </w:t>
      </w:r>
      <w:r>
        <w:t>aspectos</w:t>
      </w:r>
      <w:r>
        <w:rPr>
          <w:spacing w:val="-21"/>
        </w:rPr>
        <w:t xml:space="preserve"> </w:t>
      </w:r>
      <w:r>
        <w:t>y</w:t>
      </w:r>
      <w:r>
        <w:rPr>
          <w:spacing w:val="-21"/>
        </w:rPr>
        <w:t xml:space="preserve"> </w:t>
      </w:r>
      <w:r>
        <w:t>que,</w:t>
      </w:r>
      <w:r>
        <w:rPr>
          <w:spacing w:val="-21"/>
        </w:rPr>
        <w:t xml:space="preserve"> </w:t>
      </w:r>
      <w:r>
        <w:t>a</w:t>
      </w:r>
      <w:r>
        <w:rPr>
          <w:spacing w:val="-21"/>
        </w:rPr>
        <w:t xml:space="preserve"> </w:t>
      </w:r>
      <w:r>
        <w:t>su</w:t>
      </w:r>
      <w:r>
        <w:rPr>
          <w:spacing w:val="-21"/>
        </w:rPr>
        <w:t xml:space="preserve"> </w:t>
      </w:r>
      <w:r>
        <w:t>vez,</w:t>
      </w:r>
      <w:r>
        <w:rPr>
          <w:spacing w:val="-21"/>
        </w:rPr>
        <w:t xml:space="preserve"> </w:t>
      </w:r>
      <w:r>
        <w:t>pueden</w:t>
      </w:r>
      <w:r>
        <w:rPr>
          <w:spacing w:val="-21"/>
        </w:rPr>
        <w:t xml:space="preserve"> </w:t>
      </w:r>
      <w:r>
        <w:t>afectar</w:t>
      </w:r>
      <w:r>
        <w:rPr>
          <w:spacing w:val="-21"/>
        </w:rPr>
        <w:t xml:space="preserve"> </w:t>
      </w:r>
      <w:r>
        <w:t>otros</w:t>
      </w:r>
      <w:r>
        <w:rPr>
          <w:spacing w:val="-22"/>
        </w:rPr>
        <w:t xml:space="preserve"> </w:t>
      </w:r>
      <w:r>
        <w:t>indicadores</w:t>
      </w:r>
      <w:r>
        <w:rPr>
          <w:spacing w:val="-21"/>
        </w:rPr>
        <w:t xml:space="preserve"> </w:t>
      </w:r>
      <w:r>
        <w:t>como la</w:t>
      </w:r>
      <w:r>
        <w:rPr>
          <w:spacing w:val="-9"/>
        </w:rPr>
        <w:t xml:space="preserve"> </w:t>
      </w:r>
      <w:r>
        <w:t>esperanza</w:t>
      </w:r>
      <w:r>
        <w:rPr>
          <w:spacing w:val="-9"/>
        </w:rPr>
        <w:t xml:space="preserve"> </w:t>
      </w:r>
      <w:r>
        <w:t>de</w:t>
      </w:r>
      <w:r>
        <w:rPr>
          <w:spacing w:val="-8"/>
        </w:rPr>
        <w:t xml:space="preserve"> </w:t>
      </w:r>
      <w:r>
        <w:t>vida,</w:t>
      </w:r>
      <w:r>
        <w:rPr>
          <w:spacing w:val="-10"/>
        </w:rPr>
        <w:t xml:space="preserve"> </w:t>
      </w:r>
      <w:r>
        <w:t>la</w:t>
      </w:r>
      <w:r>
        <w:rPr>
          <w:spacing w:val="-9"/>
        </w:rPr>
        <w:t xml:space="preserve"> </w:t>
      </w:r>
      <w:r>
        <w:t>mortalidad</w:t>
      </w:r>
      <w:r>
        <w:rPr>
          <w:spacing w:val="-9"/>
        </w:rPr>
        <w:t xml:space="preserve"> </w:t>
      </w:r>
      <w:r>
        <w:t>infantil,</w:t>
      </w:r>
      <w:r>
        <w:rPr>
          <w:spacing w:val="-10"/>
        </w:rPr>
        <w:t xml:space="preserve"> </w:t>
      </w:r>
      <w:r>
        <w:t>el</w:t>
      </w:r>
      <w:r>
        <w:rPr>
          <w:spacing w:val="-7"/>
        </w:rPr>
        <w:t xml:space="preserve"> </w:t>
      </w:r>
      <w:r>
        <w:t>logro</w:t>
      </w:r>
      <w:r>
        <w:rPr>
          <w:spacing w:val="-8"/>
        </w:rPr>
        <w:t xml:space="preserve"> </w:t>
      </w:r>
      <w:r>
        <w:t>educativo,</w:t>
      </w:r>
      <w:r>
        <w:rPr>
          <w:spacing w:val="-9"/>
        </w:rPr>
        <w:t xml:space="preserve"> </w:t>
      </w:r>
      <w:r>
        <w:t>la</w:t>
      </w:r>
      <w:r>
        <w:rPr>
          <w:spacing w:val="-9"/>
        </w:rPr>
        <w:t xml:space="preserve"> </w:t>
      </w:r>
      <w:r>
        <w:t>confianza y la movilidad social.</w:t>
      </w:r>
    </w:p>
    <w:p w14:paraId="64CC0596" w14:textId="77777777" w:rsidR="000E52B0" w:rsidRDefault="000E52B0">
      <w:pPr>
        <w:pStyle w:val="Textoindependiente"/>
        <w:spacing w:before="40"/>
        <w:ind w:left="0"/>
      </w:pPr>
    </w:p>
    <w:p w14:paraId="01FF2BC7" w14:textId="77777777" w:rsidR="000E52B0" w:rsidRDefault="00F60D74">
      <w:pPr>
        <w:ind w:left="720"/>
        <w:rPr>
          <w:i/>
          <w:sz w:val="24"/>
        </w:rPr>
      </w:pPr>
      <w:bookmarkStart w:id="141" w:name="_bookmark141"/>
      <w:bookmarkEnd w:id="141"/>
      <w:r>
        <w:rPr>
          <w:i/>
          <w:color w:val="B3176C"/>
          <w:spacing w:val="-2"/>
          <w:sz w:val="24"/>
        </w:rPr>
        <w:t>Migraciones</w:t>
      </w:r>
    </w:p>
    <w:p w14:paraId="353F346E" w14:textId="77777777" w:rsidR="000E52B0" w:rsidRDefault="000E52B0">
      <w:pPr>
        <w:pStyle w:val="Textoindependiente"/>
        <w:ind w:left="0"/>
        <w:rPr>
          <w:i/>
        </w:rPr>
      </w:pPr>
    </w:p>
    <w:p w14:paraId="54CB3036" w14:textId="77777777" w:rsidR="000E52B0" w:rsidRDefault="00F60D74">
      <w:pPr>
        <w:pStyle w:val="Textoindependiente"/>
        <w:ind w:right="717"/>
        <w:jc w:val="both"/>
      </w:pPr>
      <w:r>
        <w:t xml:space="preserve">Las inequidades en la distribución de la tierra, y las inequidades </w:t>
      </w:r>
      <w:proofErr w:type="gramStart"/>
      <w:r>
        <w:t>urbano rurales</w:t>
      </w:r>
      <w:proofErr w:type="gramEnd"/>
      <w:r>
        <w:t>, tienen implicaciones en el poblamiento de las ciudades, ya que la población rural migra a las ciudades para mejorar sus oportunidades e ingresos, lo que puede aumentar la pobreza en las ciudades, aumentar la demanda por servicios del Estado y reducir los salarios (</w:t>
      </w:r>
      <w:proofErr w:type="spellStart"/>
      <w:r>
        <w:t>Gáfaro</w:t>
      </w:r>
      <w:proofErr w:type="spellEnd"/>
      <w:r>
        <w:t xml:space="preserve">, Ibáñez, &amp; </w:t>
      </w:r>
      <w:proofErr w:type="spellStart"/>
      <w:r>
        <w:t>Zarruk</w:t>
      </w:r>
      <w:proofErr w:type="spellEnd"/>
      <w:r>
        <w:t>, 2014). Por ejemplo, el aumento de la población internamente desplazada</w:t>
      </w:r>
      <w:r>
        <w:rPr>
          <w:spacing w:val="-7"/>
        </w:rPr>
        <w:t xml:space="preserve"> </w:t>
      </w:r>
      <w:r>
        <w:t>en</w:t>
      </w:r>
      <w:r>
        <w:rPr>
          <w:spacing w:val="-4"/>
        </w:rPr>
        <w:t xml:space="preserve"> </w:t>
      </w:r>
      <w:r>
        <w:t>las</w:t>
      </w:r>
      <w:r>
        <w:rPr>
          <w:spacing w:val="-5"/>
        </w:rPr>
        <w:t xml:space="preserve"> </w:t>
      </w:r>
      <w:r>
        <w:t>ciudades</w:t>
      </w:r>
      <w:r>
        <w:rPr>
          <w:spacing w:val="-6"/>
        </w:rPr>
        <w:t xml:space="preserve"> </w:t>
      </w:r>
      <w:r>
        <w:t>colombianas</w:t>
      </w:r>
      <w:r>
        <w:rPr>
          <w:spacing w:val="-3"/>
        </w:rPr>
        <w:t xml:space="preserve"> </w:t>
      </w:r>
      <w:r>
        <w:t>llevó</w:t>
      </w:r>
      <w:r>
        <w:rPr>
          <w:spacing w:val="-5"/>
        </w:rPr>
        <w:t xml:space="preserve"> </w:t>
      </w:r>
      <w:r>
        <w:t>a</w:t>
      </w:r>
      <w:r>
        <w:rPr>
          <w:spacing w:val="-1"/>
        </w:rPr>
        <w:t xml:space="preserve"> </w:t>
      </w:r>
      <w:r>
        <w:t>una</w:t>
      </w:r>
      <w:r>
        <w:rPr>
          <w:spacing w:val="-3"/>
        </w:rPr>
        <w:t xml:space="preserve"> </w:t>
      </w:r>
      <w:r>
        <w:t>expansión</w:t>
      </w:r>
      <w:r>
        <w:rPr>
          <w:spacing w:val="-5"/>
        </w:rPr>
        <w:t xml:space="preserve"> </w:t>
      </w:r>
      <w:r>
        <w:t>de</w:t>
      </w:r>
      <w:r>
        <w:rPr>
          <w:spacing w:val="-2"/>
        </w:rPr>
        <w:t xml:space="preserve"> </w:t>
      </w:r>
      <w:r>
        <w:t>la</w:t>
      </w:r>
      <w:r>
        <w:rPr>
          <w:spacing w:val="-4"/>
        </w:rPr>
        <w:t xml:space="preserve"> </w:t>
      </w:r>
      <w:r>
        <w:rPr>
          <w:spacing w:val="-2"/>
        </w:rPr>
        <w:t>oferta</w:t>
      </w:r>
    </w:p>
    <w:p w14:paraId="120566B4" w14:textId="77777777" w:rsidR="000E52B0" w:rsidRDefault="00F60D74">
      <w:pPr>
        <w:pStyle w:val="Textoindependiente"/>
        <w:spacing w:before="5"/>
        <w:ind w:left="0"/>
        <w:rPr>
          <w:sz w:val="14"/>
        </w:rPr>
      </w:pPr>
      <w:r>
        <w:rPr>
          <w:noProof/>
          <w:sz w:val="14"/>
        </w:rPr>
        <mc:AlternateContent>
          <mc:Choice Requires="wps">
            <w:drawing>
              <wp:anchor distT="0" distB="0" distL="0" distR="0" simplePos="0" relativeHeight="487670272" behindDoc="1" locked="0" layoutInCell="1" allowOverlap="1" wp14:anchorId="1A219DCA" wp14:editId="16AF1185">
                <wp:simplePos x="0" y="0"/>
                <wp:positionH relativeFrom="page">
                  <wp:posOffset>914704</wp:posOffset>
                </wp:positionH>
                <wp:positionV relativeFrom="paragraph">
                  <wp:posOffset>126677</wp:posOffset>
                </wp:positionV>
                <wp:extent cx="1829435" cy="7620"/>
                <wp:effectExtent l="0" t="0" r="0" b="0"/>
                <wp:wrapTopAndBottom/>
                <wp:docPr id="746" name="Graphic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ABDA9B" id="Graphic 746" o:spid="_x0000_s1026" style="position:absolute;margin-left:1in;margin-top:9.95pt;width:144.05pt;height:.6pt;z-index:-1564620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" path="m1829054,l,,,7620r1829054,l1829054,xe" fillcolor="black" stroked="f">
                <v:path arrowok="t"/>
                <w10:wrap type="topAndBottom" anchorx="page"/>
              </v:shape>
            </w:pict>
          </mc:Fallback>
        </mc:AlternateContent>
      </w:r>
    </w:p>
    <w:p w14:paraId="7441CE1F" w14:textId="77777777" w:rsidR="000E52B0" w:rsidRDefault="00F60D74">
      <w:pPr>
        <w:spacing w:before="96"/>
        <w:ind w:left="720" w:right="724"/>
        <w:jc w:val="both"/>
        <w:rPr>
          <w:rFonts w:ascii="Arial MT" w:hAnsi="Arial MT"/>
          <w:sz w:val="18"/>
        </w:rPr>
      </w:pPr>
      <w:bookmarkStart w:id="142" w:name="_bookmark142"/>
      <w:bookmarkEnd w:id="142"/>
      <w:r>
        <w:rPr>
          <w:rFonts w:ascii="Arial MT" w:hAnsi="Arial MT"/>
          <w:position w:val="6"/>
          <w:sz w:val="12"/>
        </w:rPr>
        <w:t>122</w:t>
      </w:r>
      <w:r>
        <w:rPr>
          <w:rFonts w:ascii="Arial MT" w:hAnsi="Arial MT"/>
          <w:spacing w:val="40"/>
          <w:position w:val="6"/>
          <w:sz w:val="12"/>
        </w:rPr>
        <w:t xml:space="preserve"> </w:t>
      </w:r>
      <w:r>
        <w:rPr>
          <w:rFonts w:ascii="Arial MT" w:hAnsi="Arial MT"/>
          <w:sz w:val="18"/>
        </w:rPr>
        <w:t>DANE. (2022). Situación de las Mujeres Rurales en Colombia. Nota estadística. Bogotá: Ministerio de Agricultura y Desarrollo Rural; Departamento Nacional de Estadística.</w:t>
      </w:r>
    </w:p>
    <w:p w14:paraId="1B8D6716" w14:textId="77777777" w:rsidR="000E52B0" w:rsidRDefault="00F60D74">
      <w:pPr>
        <w:ind w:left="720" w:right="713"/>
        <w:jc w:val="both"/>
        <w:rPr>
          <w:rFonts w:ascii="Arial MT" w:hAnsi="Arial MT"/>
          <w:sz w:val="18"/>
        </w:rPr>
      </w:pPr>
      <w:bookmarkStart w:id="143" w:name="_bookmark143"/>
      <w:bookmarkEnd w:id="143"/>
      <w:r>
        <w:rPr>
          <w:rFonts w:ascii="Arial MT" w:hAnsi="Arial MT"/>
          <w:position w:val="6"/>
          <w:sz w:val="12"/>
        </w:rPr>
        <w:t>123</w:t>
      </w:r>
      <w:r>
        <w:rPr>
          <w:rFonts w:ascii="Arial MT" w:hAnsi="Arial MT"/>
          <w:spacing w:val="10"/>
          <w:position w:val="6"/>
          <w:sz w:val="12"/>
        </w:rPr>
        <w:t xml:space="preserve"> </w:t>
      </w:r>
      <w:r>
        <w:rPr>
          <w:rFonts w:ascii="Arial MT" w:hAnsi="Arial MT"/>
          <w:sz w:val="18"/>
        </w:rPr>
        <w:t>Este</w:t>
      </w:r>
      <w:r>
        <w:rPr>
          <w:rFonts w:ascii="Arial MT" w:hAnsi="Arial MT"/>
          <w:spacing w:val="-8"/>
          <w:sz w:val="18"/>
        </w:rPr>
        <w:t xml:space="preserve"> </w:t>
      </w:r>
      <w:r>
        <w:rPr>
          <w:rFonts w:ascii="Arial MT" w:hAnsi="Arial MT"/>
          <w:sz w:val="18"/>
        </w:rPr>
        <w:t>marco</w:t>
      </w:r>
      <w:r>
        <w:rPr>
          <w:rFonts w:ascii="Arial MT" w:hAnsi="Arial MT"/>
          <w:spacing w:val="-8"/>
          <w:sz w:val="18"/>
        </w:rPr>
        <w:t xml:space="preserve"> </w:t>
      </w:r>
      <w:r>
        <w:rPr>
          <w:rFonts w:ascii="Arial MT" w:hAnsi="Arial MT"/>
          <w:sz w:val="18"/>
        </w:rPr>
        <w:t>conceptual</w:t>
      </w:r>
      <w:r>
        <w:rPr>
          <w:rFonts w:ascii="Arial MT" w:hAnsi="Arial MT"/>
          <w:spacing w:val="-8"/>
          <w:sz w:val="18"/>
        </w:rPr>
        <w:t xml:space="preserve"> </w:t>
      </w:r>
      <w:r>
        <w:rPr>
          <w:rFonts w:ascii="Arial MT" w:hAnsi="Arial MT"/>
          <w:sz w:val="18"/>
        </w:rPr>
        <w:t>se</w:t>
      </w:r>
      <w:r>
        <w:rPr>
          <w:rFonts w:ascii="Arial MT" w:hAnsi="Arial MT"/>
          <w:spacing w:val="-8"/>
          <w:sz w:val="18"/>
        </w:rPr>
        <w:t xml:space="preserve"> </w:t>
      </w:r>
      <w:r>
        <w:rPr>
          <w:rFonts w:ascii="Arial MT" w:hAnsi="Arial MT"/>
          <w:sz w:val="18"/>
        </w:rPr>
        <w:t>basa</w:t>
      </w:r>
      <w:r>
        <w:rPr>
          <w:rFonts w:ascii="Arial MT" w:hAnsi="Arial MT"/>
          <w:spacing w:val="-6"/>
          <w:sz w:val="18"/>
        </w:rPr>
        <w:t xml:space="preserve"> </w:t>
      </w:r>
      <w:r>
        <w:rPr>
          <w:rFonts w:ascii="Arial MT" w:hAnsi="Arial MT"/>
          <w:sz w:val="18"/>
        </w:rPr>
        <w:t>en</w:t>
      </w:r>
      <w:r>
        <w:rPr>
          <w:rFonts w:ascii="Arial MT" w:hAnsi="Arial MT"/>
          <w:spacing w:val="-8"/>
          <w:sz w:val="18"/>
        </w:rPr>
        <w:t xml:space="preserve"> </w:t>
      </w:r>
      <w:r>
        <w:rPr>
          <w:rFonts w:ascii="Arial MT" w:hAnsi="Arial MT"/>
          <w:sz w:val="18"/>
        </w:rPr>
        <w:t>el</w:t>
      </w:r>
      <w:r>
        <w:rPr>
          <w:rFonts w:ascii="Arial MT" w:hAnsi="Arial MT"/>
          <w:spacing w:val="-6"/>
          <w:sz w:val="18"/>
        </w:rPr>
        <w:t xml:space="preserve"> </w:t>
      </w:r>
      <w:r>
        <w:rPr>
          <w:rFonts w:ascii="Arial MT" w:hAnsi="Arial MT"/>
          <w:sz w:val="18"/>
        </w:rPr>
        <w:t>análisis</w:t>
      </w:r>
      <w:r>
        <w:rPr>
          <w:rFonts w:ascii="Arial MT" w:hAnsi="Arial MT"/>
          <w:spacing w:val="-6"/>
          <w:sz w:val="18"/>
        </w:rPr>
        <w:t xml:space="preserve"> </w:t>
      </w:r>
      <w:r>
        <w:rPr>
          <w:rFonts w:ascii="Arial MT" w:hAnsi="Arial MT"/>
          <w:sz w:val="18"/>
        </w:rPr>
        <w:t>de</w:t>
      </w:r>
      <w:r>
        <w:rPr>
          <w:rFonts w:ascii="Arial MT" w:hAnsi="Arial MT"/>
          <w:spacing w:val="-6"/>
          <w:sz w:val="18"/>
        </w:rPr>
        <w:t xml:space="preserve"> </w:t>
      </w:r>
      <w:r>
        <w:rPr>
          <w:rFonts w:ascii="Arial MT" w:hAnsi="Arial MT"/>
          <w:sz w:val="18"/>
        </w:rPr>
        <w:t>los</w:t>
      </w:r>
      <w:r>
        <w:rPr>
          <w:rFonts w:ascii="Arial MT" w:hAnsi="Arial MT"/>
          <w:spacing w:val="-8"/>
          <w:sz w:val="18"/>
        </w:rPr>
        <w:t xml:space="preserve"> </w:t>
      </w:r>
      <w:r>
        <w:rPr>
          <w:rFonts w:ascii="Arial MT" w:hAnsi="Arial MT"/>
          <w:sz w:val="18"/>
        </w:rPr>
        <w:t>siguientes</w:t>
      </w:r>
      <w:r>
        <w:rPr>
          <w:rFonts w:ascii="Arial MT" w:hAnsi="Arial MT"/>
          <w:spacing w:val="-6"/>
          <w:sz w:val="18"/>
        </w:rPr>
        <w:t xml:space="preserve"> </w:t>
      </w:r>
      <w:r>
        <w:rPr>
          <w:rFonts w:ascii="Arial MT" w:hAnsi="Arial MT"/>
          <w:sz w:val="18"/>
        </w:rPr>
        <w:t>criterios</w:t>
      </w:r>
      <w:r>
        <w:rPr>
          <w:rFonts w:ascii="Arial MT" w:hAnsi="Arial MT"/>
          <w:spacing w:val="-8"/>
          <w:sz w:val="18"/>
        </w:rPr>
        <w:t xml:space="preserve"> </w:t>
      </w:r>
      <w:r>
        <w:rPr>
          <w:rFonts w:ascii="Arial MT" w:hAnsi="Arial MT"/>
          <w:sz w:val="18"/>
        </w:rPr>
        <w:t>epidemiológicos,</w:t>
      </w:r>
      <w:r>
        <w:rPr>
          <w:rFonts w:ascii="Arial MT" w:hAnsi="Arial MT"/>
          <w:spacing w:val="-7"/>
          <w:sz w:val="18"/>
        </w:rPr>
        <w:t xml:space="preserve"> </w:t>
      </w:r>
      <w:r>
        <w:rPr>
          <w:rFonts w:ascii="Arial MT" w:hAnsi="Arial MT"/>
          <w:sz w:val="18"/>
        </w:rPr>
        <w:t>a</w:t>
      </w:r>
      <w:r>
        <w:rPr>
          <w:rFonts w:ascii="Arial MT" w:hAnsi="Arial MT"/>
          <w:spacing w:val="-10"/>
          <w:sz w:val="18"/>
        </w:rPr>
        <w:t xml:space="preserve"> </w:t>
      </w:r>
      <w:r>
        <w:rPr>
          <w:rFonts w:ascii="Arial MT" w:hAnsi="Arial MT"/>
          <w:sz w:val="18"/>
        </w:rPr>
        <w:t>partir</w:t>
      </w:r>
      <w:r>
        <w:rPr>
          <w:rFonts w:ascii="Arial MT" w:hAnsi="Arial MT"/>
          <w:spacing w:val="-8"/>
          <w:sz w:val="18"/>
        </w:rPr>
        <w:t xml:space="preserve"> </w:t>
      </w:r>
      <w:r>
        <w:rPr>
          <w:rFonts w:ascii="Arial MT" w:hAnsi="Arial MT"/>
          <w:sz w:val="18"/>
        </w:rPr>
        <w:t>de</w:t>
      </w:r>
      <w:r>
        <w:rPr>
          <w:rFonts w:ascii="Arial MT" w:hAnsi="Arial MT"/>
          <w:spacing w:val="-6"/>
          <w:sz w:val="18"/>
        </w:rPr>
        <w:t xml:space="preserve"> </w:t>
      </w:r>
      <w:r>
        <w:rPr>
          <w:rFonts w:ascii="Arial MT" w:hAnsi="Arial MT"/>
          <w:sz w:val="18"/>
        </w:rPr>
        <w:t>la</w:t>
      </w:r>
      <w:r>
        <w:rPr>
          <w:rFonts w:ascii="Arial MT" w:hAnsi="Arial MT"/>
          <w:spacing w:val="-6"/>
          <w:sz w:val="18"/>
        </w:rPr>
        <w:t xml:space="preserve"> </w:t>
      </w:r>
      <w:r>
        <w:rPr>
          <w:rFonts w:ascii="Arial MT" w:hAnsi="Arial MT"/>
          <w:sz w:val="18"/>
        </w:rPr>
        <w:t>literatura revisada: 1) Consistencia: la relación entre salud e inequidad ha sido replicada en diferentes contextos metodológicos, geográficos y temporales; 2) Temporalidad: la causa debe preceder el efecto; 3) Fuerza de la asociación: mayor fuerza de la asociación reduce la posibilidad de explicaciones alternativas; 4) Especificidad: mayor probabilidad de vínculos causales entre inequidad con unos resultados sociales que con otros; 5) Dosis- respuesta: mayor exposición (i.e. inequidad) aumenta los resultados sociales (i.e. peor salud); 6) Cesación de la exposición: cambio en el resultado por cambio en la exposición; 7) Explicaciones alternativas; 8) Plausibilidad biológica; y 9) Coherencia: la relación es soportada por otro conocimiento científico.</w:t>
      </w:r>
    </w:p>
    <w:p w14:paraId="1AB87928" w14:textId="77777777" w:rsidR="000E52B0" w:rsidRDefault="000E52B0">
      <w:pPr>
        <w:jc w:val="both"/>
        <w:rPr>
          <w:rFonts w:ascii="Arial MT" w:hAnsi="Arial MT"/>
          <w:sz w:val="18"/>
        </w:rPr>
        <w:sectPr w:rsidR="000E52B0">
          <w:pgSz w:w="11910" w:h="16840"/>
          <w:pgMar w:top="1340" w:right="720" w:bottom="1180" w:left="720" w:header="0" w:footer="995" w:gutter="0"/>
          <w:cols w:space="720"/>
        </w:sectPr>
      </w:pPr>
    </w:p>
    <w:p w14:paraId="320CB5EB" w14:textId="77777777" w:rsidR="000E52B0" w:rsidRDefault="00F60D74">
      <w:pPr>
        <w:pStyle w:val="Textoindependiente"/>
        <w:spacing w:before="83"/>
        <w:ind w:right="712"/>
        <w:jc w:val="both"/>
      </w:pPr>
      <w:r>
        <w:lastRenderedPageBreak/>
        <w:t>laboral y, por tanto, a una reducción de los salarios de los trabajadores informales,</w:t>
      </w:r>
      <w:r>
        <w:rPr>
          <w:spacing w:val="-11"/>
        </w:rPr>
        <w:t xml:space="preserve"> </w:t>
      </w:r>
      <w:r>
        <w:t>y</w:t>
      </w:r>
      <w:r>
        <w:rPr>
          <w:spacing w:val="-8"/>
        </w:rPr>
        <w:t xml:space="preserve"> </w:t>
      </w:r>
      <w:r>
        <w:t>a</w:t>
      </w:r>
      <w:r>
        <w:rPr>
          <w:spacing w:val="-4"/>
        </w:rPr>
        <w:t xml:space="preserve"> </w:t>
      </w:r>
      <w:r>
        <w:t>un</w:t>
      </w:r>
      <w:r>
        <w:rPr>
          <w:spacing w:val="-8"/>
        </w:rPr>
        <w:t xml:space="preserve"> </w:t>
      </w:r>
      <w:r>
        <w:t>aumento</w:t>
      </w:r>
      <w:r>
        <w:rPr>
          <w:spacing w:val="-6"/>
        </w:rPr>
        <w:t xml:space="preserve"> </w:t>
      </w:r>
      <w:r>
        <w:t>del</w:t>
      </w:r>
      <w:r>
        <w:rPr>
          <w:spacing w:val="-9"/>
        </w:rPr>
        <w:t xml:space="preserve"> </w:t>
      </w:r>
      <w:r>
        <w:t>sector</w:t>
      </w:r>
      <w:r>
        <w:rPr>
          <w:spacing w:val="-6"/>
        </w:rPr>
        <w:t xml:space="preserve"> </w:t>
      </w:r>
      <w:r>
        <w:t>informal</w:t>
      </w:r>
      <w:r>
        <w:rPr>
          <w:spacing w:val="-5"/>
        </w:rPr>
        <w:t xml:space="preserve"> </w:t>
      </w:r>
      <w:r>
        <w:t>(Calderón</w:t>
      </w:r>
      <w:r>
        <w:rPr>
          <w:spacing w:val="-7"/>
        </w:rPr>
        <w:t xml:space="preserve"> </w:t>
      </w:r>
      <w:r>
        <w:t>&amp;</w:t>
      </w:r>
      <w:r>
        <w:rPr>
          <w:spacing w:val="-7"/>
        </w:rPr>
        <w:t xml:space="preserve"> </w:t>
      </w:r>
      <w:r>
        <w:t>Ibáñez,</w:t>
      </w:r>
      <w:r>
        <w:rPr>
          <w:spacing w:val="-8"/>
        </w:rPr>
        <w:t xml:space="preserve"> </w:t>
      </w:r>
      <w:r>
        <w:rPr>
          <w:spacing w:val="-2"/>
        </w:rPr>
        <w:t>2016).</w:t>
      </w:r>
    </w:p>
    <w:p w14:paraId="2CABCFAA" w14:textId="0516DC79" w:rsidR="000E52B0" w:rsidRDefault="00F60D74">
      <w:pPr>
        <w:pStyle w:val="Textoindependiente"/>
        <w:spacing w:before="290"/>
        <w:ind w:right="713"/>
        <w:jc w:val="both"/>
      </w:pPr>
      <w:r>
        <w:t xml:space="preserve">Las inequidades en la distribución de la tierra, y las </w:t>
      </w:r>
      <w:r w:rsidR="00A964A8">
        <w:t>inequidades</w:t>
      </w:r>
      <w:r>
        <w:t xml:space="preserve"> </w:t>
      </w:r>
      <w:proofErr w:type="gramStart"/>
      <w:r>
        <w:t>urbano rurales</w:t>
      </w:r>
      <w:proofErr w:type="gramEnd"/>
      <w:r>
        <w:t>, a su vez, causan migraciones rural-urbanas, reduciendo la oferta de alimentos y, por tanto, aumentando sus precios (</w:t>
      </w:r>
      <w:proofErr w:type="spellStart"/>
      <w:r>
        <w:t>Gáfaro</w:t>
      </w:r>
      <w:proofErr w:type="spellEnd"/>
      <w:r>
        <w:t xml:space="preserve">, Ibáñez, &amp; </w:t>
      </w:r>
      <w:proofErr w:type="spellStart"/>
      <w:r>
        <w:t>Zarruk</w:t>
      </w:r>
      <w:proofErr w:type="spellEnd"/>
      <w:r>
        <w:t>, 2014), lo que tiene consecuencias importantes en las poblaciones urbanas empobrecidas. Esta migración, adicionalmente, presenta un desbalance en términos de género, dado que es mayor la migración de mujeres jóvenes dada la mayor demanda por trabajo femenino poco calificado</w:t>
      </w:r>
      <w:r>
        <w:rPr>
          <w:spacing w:val="-14"/>
        </w:rPr>
        <w:t xml:space="preserve"> </w:t>
      </w:r>
      <w:r>
        <w:t>en</w:t>
      </w:r>
      <w:r>
        <w:rPr>
          <w:spacing w:val="-13"/>
        </w:rPr>
        <w:t xml:space="preserve"> </w:t>
      </w:r>
      <w:r>
        <w:t>las</w:t>
      </w:r>
      <w:r>
        <w:rPr>
          <w:spacing w:val="-15"/>
        </w:rPr>
        <w:t xml:space="preserve"> </w:t>
      </w:r>
      <w:r>
        <w:t>zonas</w:t>
      </w:r>
      <w:r>
        <w:rPr>
          <w:spacing w:val="-15"/>
        </w:rPr>
        <w:t xml:space="preserve"> </w:t>
      </w:r>
      <w:r>
        <w:t>urbanas,</w:t>
      </w:r>
      <w:r>
        <w:rPr>
          <w:spacing w:val="-13"/>
        </w:rPr>
        <w:t xml:space="preserve"> </w:t>
      </w:r>
      <w:r>
        <w:t>lo</w:t>
      </w:r>
      <w:r>
        <w:rPr>
          <w:spacing w:val="-15"/>
        </w:rPr>
        <w:t xml:space="preserve"> </w:t>
      </w:r>
      <w:r>
        <w:t>que</w:t>
      </w:r>
      <w:r>
        <w:rPr>
          <w:spacing w:val="-12"/>
        </w:rPr>
        <w:t xml:space="preserve"> </w:t>
      </w:r>
      <w:r>
        <w:t>lleva</w:t>
      </w:r>
      <w:r>
        <w:rPr>
          <w:spacing w:val="-15"/>
        </w:rPr>
        <w:t xml:space="preserve"> </w:t>
      </w:r>
      <w:r>
        <w:t>a</w:t>
      </w:r>
      <w:r>
        <w:rPr>
          <w:spacing w:val="-15"/>
        </w:rPr>
        <w:t xml:space="preserve"> </w:t>
      </w:r>
      <w:r>
        <w:t>que</w:t>
      </w:r>
      <w:r>
        <w:rPr>
          <w:spacing w:val="-14"/>
        </w:rPr>
        <w:t xml:space="preserve"> </w:t>
      </w:r>
      <w:r>
        <w:t>en</w:t>
      </w:r>
      <w:r>
        <w:rPr>
          <w:spacing w:val="-13"/>
        </w:rPr>
        <w:t xml:space="preserve"> </w:t>
      </w:r>
      <w:r>
        <w:t>las</w:t>
      </w:r>
      <w:r>
        <w:rPr>
          <w:spacing w:val="-15"/>
        </w:rPr>
        <w:t xml:space="preserve"> </w:t>
      </w:r>
      <w:r>
        <w:t>áreas</w:t>
      </w:r>
      <w:r>
        <w:rPr>
          <w:spacing w:val="-15"/>
        </w:rPr>
        <w:t xml:space="preserve"> </w:t>
      </w:r>
      <w:r>
        <w:t>rurales</w:t>
      </w:r>
      <w:r>
        <w:rPr>
          <w:spacing w:val="-15"/>
        </w:rPr>
        <w:t xml:space="preserve"> </w:t>
      </w:r>
      <w:r>
        <w:t>haya más hombres y en las urbanas más mujeres (Arias, et al., 2013)</w:t>
      </w:r>
      <w:hyperlink w:anchor="_bookmark146" w:history="1">
        <w:r w:rsidR="000E52B0">
          <w:rPr>
            <w:position w:val="8"/>
            <w:sz w:val="16"/>
          </w:rPr>
          <w:t>124</w:t>
        </w:r>
      </w:hyperlink>
      <w:r>
        <w:t>. La migración a las zonas urbanas de las mujeres rurales jóvenes tiene que ver, entre otras cosas, con la posibilidad que ofrecen las zonas urbanas para</w:t>
      </w:r>
      <w:r>
        <w:rPr>
          <w:spacing w:val="-20"/>
        </w:rPr>
        <w:t xml:space="preserve"> </w:t>
      </w:r>
      <w:r>
        <w:t>distanciarse</w:t>
      </w:r>
      <w:r>
        <w:rPr>
          <w:spacing w:val="-20"/>
        </w:rPr>
        <w:t xml:space="preserve"> </w:t>
      </w:r>
      <w:r>
        <w:t>un</w:t>
      </w:r>
      <w:r>
        <w:rPr>
          <w:spacing w:val="-19"/>
        </w:rPr>
        <w:t xml:space="preserve"> </w:t>
      </w:r>
      <w:r>
        <w:t>poco</w:t>
      </w:r>
      <w:r>
        <w:rPr>
          <w:spacing w:val="-20"/>
        </w:rPr>
        <w:t xml:space="preserve"> </w:t>
      </w:r>
      <w:r>
        <w:t>de</w:t>
      </w:r>
      <w:r>
        <w:rPr>
          <w:spacing w:val="-20"/>
        </w:rPr>
        <w:t xml:space="preserve"> </w:t>
      </w:r>
      <w:r>
        <w:t>los</w:t>
      </w:r>
      <w:r>
        <w:rPr>
          <w:spacing w:val="-21"/>
        </w:rPr>
        <w:t xml:space="preserve"> </w:t>
      </w:r>
      <w:r>
        <w:t>roles</w:t>
      </w:r>
      <w:r>
        <w:rPr>
          <w:spacing w:val="-20"/>
        </w:rPr>
        <w:t xml:space="preserve"> </w:t>
      </w:r>
      <w:r>
        <w:t>tradicionales</w:t>
      </w:r>
      <w:r>
        <w:rPr>
          <w:spacing w:val="-20"/>
        </w:rPr>
        <w:t xml:space="preserve"> </w:t>
      </w:r>
      <w:r>
        <w:t>de</w:t>
      </w:r>
      <w:r>
        <w:rPr>
          <w:spacing w:val="-20"/>
        </w:rPr>
        <w:t xml:space="preserve"> </w:t>
      </w:r>
      <w:r>
        <w:t>género</w:t>
      </w:r>
      <w:r>
        <w:rPr>
          <w:spacing w:val="-22"/>
        </w:rPr>
        <w:t xml:space="preserve"> </w:t>
      </w:r>
      <w:r>
        <w:t>y</w:t>
      </w:r>
      <w:r>
        <w:rPr>
          <w:spacing w:val="-20"/>
        </w:rPr>
        <w:t xml:space="preserve"> </w:t>
      </w:r>
      <w:r>
        <w:t>las</w:t>
      </w:r>
      <w:r>
        <w:rPr>
          <w:spacing w:val="-21"/>
        </w:rPr>
        <w:t xml:space="preserve"> </w:t>
      </w:r>
      <w:r>
        <w:t>mayores exigencias que en términos</w:t>
      </w:r>
      <w:r>
        <w:rPr>
          <w:spacing w:val="-1"/>
        </w:rPr>
        <w:t xml:space="preserve"> </w:t>
      </w:r>
      <w:r>
        <w:t>de labores</w:t>
      </w:r>
      <w:r>
        <w:rPr>
          <w:spacing w:val="-1"/>
        </w:rPr>
        <w:t xml:space="preserve"> </w:t>
      </w:r>
      <w:r>
        <w:t>del</w:t>
      </w:r>
      <w:r>
        <w:rPr>
          <w:spacing w:val="-2"/>
        </w:rPr>
        <w:t xml:space="preserve"> </w:t>
      </w:r>
      <w:r>
        <w:t>hogar</w:t>
      </w:r>
      <w:r>
        <w:rPr>
          <w:spacing w:val="40"/>
        </w:rPr>
        <w:t xml:space="preserve"> </w:t>
      </w:r>
      <w:r>
        <w:t>de cuidado recaen</w:t>
      </w:r>
      <w:r>
        <w:rPr>
          <w:spacing w:val="-1"/>
        </w:rPr>
        <w:t xml:space="preserve"> </w:t>
      </w:r>
      <w:r>
        <w:t>sobre las mujeres, es decir, asociado con inequidades de género.</w:t>
      </w:r>
    </w:p>
    <w:p w14:paraId="564A77AF" w14:textId="77777777" w:rsidR="000E52B0" w:rsidRDefault="000E52B0">
      <w:pPr>
        <w:pStyle w:val="Textoindependiente"/>
        <w:ind w:left="0"/>
      </w:pPr>
    </w:p>
    <w:p w14:paraId="01DE66FE" w14:textId="77777777" w:rsidR="000E52B0" w:rsidRDefault="00F60D74">
      <w:pPr>
        <w:pStyle w:val="Textoindependiente"/>
        <w:spacing w:before="1"/>
        <w:jc w:val="both"/>
      </w:pPr>
      <w:bookmarkStart w:id="144" w:name="_bookmark144"/>
      <w:bookmarkEnd w:id="144"/>
      <w:r>
        <w:rPr>
          <w:color w:val="770F47"/>
        </w:rPr>
        <w:t>Respuesta</w:t>
      </w:r>
      <w:r>
        <w:rPr>
          <w:color w:val="770F47"/>
          <w:spacing w:val="-4"/>
        </w:rPr>
        <w:t xml:space="preserve"> </w:t>
      </w:r>
      <w:r>
        <w:rPr>
          <w:color w:val="770F47"/>
        </w:rPr>
        <w:t>institucional</w:t>
      </w:r>
      <w:r>
        <w:rPr>
          <w:color w:val="770F47"/>
          <w:spacing w:val="-5"/>
        </w:rPr>
        <w:t xml:space="preserve"> </w:t>
      </w:r>
      <w:r>
        <w:rPr>
          <w:color w:val="770F47"/>
        </w:rPr>
        <w:t>a</w:t>
      </w:r>
      <w:r>
        <w:rPr>
          <w:color w:val="770F47"/>
          <w:spacing w:val="-3"/>
        </w:rPr>
        <w:t xml:space="preserve"> </w:t>
      </w:r>
      <w:r>
        <w:rPr>
          <w:color w:val="770F47"/>
        </w:rPr>
        <w:t>las</w:t>
      </w:r>
      <w:r>
        <w:rPr>
          <w:color w:val="770F47"/>
          <w:spacing w:val="-4"/>
        </w:rPr>
        <w:t xml:space="preserve"> </w:t>
      </w:r>
      <w:r>
        <w:rPr>
          <w:color w:val="770F47"/>
          <w:spacing w:val="-2"/>
        </w:rPr>
        <w:t>brechas</w:t>
      </w:r>
    </w:p>
    <w:p w14:paraId="4C21DFC3" w14:textId="77777777" w:rsidR="000E52B0" w:rsidRDefault="00F60D74">
      <w:pPr>
        <w:pStyle w:val="Textoindependiente"/>
        <w:spacing w:before="291"/>
        <w:ind w:right="717"/>
        <w:jc w:val="both"/>
        <w:rPr>
          <w:position w:val="8"/>
          <w:sz w:val="16"/>
        </w:rPr>
      </w:pPr>
      <w:r>
        <w:t>La plataforma estratégica y programática, y el modelo de operación del Ministerio de Igualdad y Equidad, han sido diseñadas cuidadosamente con el fin de lograr implementar acciones transformadoras que permitan especialmente, una respuesta diferenciada a personas que no están en circunstancias idénticas, orientadas al respecto, protección, facilitación y garantía de sus derechos.</w:t>
      </w:r>
      <w:hyperlink w:anchor="_bookmark147" w:history="1">
        <w:r w:rsidR="000E52B0">
          <w:rPr>
            <w:position w:val="8"/>
            <w:sz w:val="16"/>
          </w:rPr>
          <w:t>125</w:t>
        </w:r>
      </w:hyperlink>
    </w:p>
    <w:p w14:paraId="4A920C3D" w14:textId="77777777" w:rsidR="000E52B0" w:rsidRDefault="000E52B0">
      <w:pPr>
        <w:pStyle w:val="Textoindependiente"/>
        <w:spacing w:before="1"/>
        <w:ind w:left="0"/>
      </w:pPr>
    </w:p>
    <w:p w14:paraId="5FEC6D2E" w14:textId="77777777" w:rsidR="000E52B0" w:rsidRDefault="00F60D74">
      <w:pPr>
        <w:pStyle w:val="Textoindependiente"/>
        <w:ind w:right="715"/>
        <w:jc w:val="both"/>
      </w:pPr>
      <w:r>
        <w:t>Para esto, la Ley 2281 de</w:t>
      </w:r>
      <w:r>
        <w:rPr>
          <w:spacing w:val="-1"/>
        </w:rPr>
        <w:t xml:space="preserve"> </w:t>
      </w:r>
      <w:r>
        <w:t>2023 otorgó al</w:t>
      </w:r>
      <w:r>
        <w:rPr>
          <w:spacing w:val="-1"/>
        </w:rPr>
        <w:t xml:space="preserve"> </w:t>
      </w:r>
      <w:r>
        <w:t>Ministerio de Igualdad y Equidad la responsabilidad de actuar con enfoque de derechos, territorial, diferencial,</w:t>
      </w:r>
      <w:r>
        <w:rPr>
          <w:spacing w:val="-11"/>
        </w:rPr>
        <w:t xml:space="preserve"> </w:t>
      </w:r>
      <w:r>
        <w:t>étnico-racial</w:t>
      </w:r>
      <w:hyperlink w:anchor="_bookmark148" w:history="1">
        <w:r w:rsidR="000E52B0">
          <w:rPr>
            <w:position w:val="8"/>
            <w:sz w:val="16"/>
          </w:rPr>
          <w:t>126</w:t>
        </w:r>
      </w:hyperlink>
      <w:r>
        <w:t>,</w:t>
      </w:r>
      <w:r>
        <w:rPr>
          <w:spacing w:val="-11"/>
        </w:rPr>
        <w:t xml:space="preserve"> </w:t>
      </w:r>
      <w:r>
        <w:t>y</w:t>
      </w:r>
      <w:r>
        <w:rPr>
          <w:spacing w:val="-10"/>
        </w:rPr>
        <w:t xml:space="preserve"> </w:t>
      </w:r>
      <w:r>
        <w:t>el</w:t>
      </w:r>
      <w:r>
        <w:rPr>
          <w:spacing w:val="-11"/>
        </w:rPr>
        <w:t xml:space="preserve"> </w:t>
      </w:r>
      <w:r>
        <w:t>equipo</w:t>
      </w:r>
      <w:r>
        <w:rPr>
          <w:spacing w:val="-9"/>
        </w:rPr>
        <w:t xml:space="preserve"> </w:t>
      </w:r>
      <w:r>
        <w:t>estratégico</w:t>
      </w:r>
      <w:r>
        <w:rPr>
          <w:spacing w:val="-4"/>
        </w:rPr>
        <w:t xml:space="preserve"> </w:t>
      </w:r>
      <w:r>
        <w:t>y</w:t>
      </w:r>
      <w:r>
        <w:rPr>
          <w:spacing w:val="-10"/>
        </w:rPr>
        <w:t xml:space="preserve"> </w:t>
      </w:r>
      <w:r>
        <w:t>operativo</w:t>
      </w:r>
      <w:r>
        <w:rPr>
          <w:spacing w:val="-9"/>
        </w:rPr>
        <w:t xml:space="preserve"> </w:t>
      </w:r>
      <w:r>
        <w:t>diseño</w:t>
      </w:r>
      <w:r>
        <w:rPr>
          <w:spacing w:val="-9"/>
        </w:rPr>
        <w:t xml:space="preserve"> </w:t>
      </w:r>
      <w:r>
        <w:t xml:space="preserve">once estrategias transformadoras, que llenan de contenido la noción de </w:t>
      </w:r>
      <w:r>
        <w:rPr>
          <w:b/>
        </w:rPr>
        <w:t xml:space="preserve">acción transformadora, </w:t>
      </w:r>
      <w:r>
        <w:t>estas estrategias se consolidan a través de 24 Programas, de los cuales cuatro (4) están orientados a reducir las desigualdades</w:t>
      </w:r>
      <w:r>
        <w:rPr>
          <w:spacing w:val="-11"/>
        </w:rPr>
        <w:t xml:space="preserve"> </w:t>
      </w:r>
      <w:r>
        <w:t>territoriales,</w:t>
      </w:r>
      <w:r>
        <w:rPr>
          <w:spacing w:val="-14"/>
        </w:rPr>
        <w:t xml:space="preserve"> </w:t>
      </w:r>
      <w:r>
        <w:t>19</w:t>
      </w:r>
      <w:r>
        <w:rPr>
          <w:spacing w:val="-12"/>
        </w:rPr>
        <w:t xml:space="preserve"> </w:t>
      </w:r>
      <w:r>
        <w:t>programas</w:t>
      </w:r>
      <w:r>
        <w:rPr>
          <w:spacing w:val="-14"/>
        </w:rPr>
        <w:t xml:space="preserve"> </w:t>
      </w:r>
      <w:r>
        <w:t>orientados</w:t>
      </w:r>
      <w:r>
        <w:rPr>
          <w:spacing w:val="-12"/>
        </w:rPr>
        <w:t xml:space="preserve"> </w:t>
      </w:r>
      <w:r>
        <w:t>a</w:t>
      </w:r>
      <w:r>
        <w:rPr>
          <w:spacing w:val="-14"/>
        </w:rPr>
        <w:t xml:space="preserve"> </w:t>
      </w:r>
      <w:r>
        <w:t>reducir</w:t>
      </w:r>
      <w:r>
        <w:rPr>
          <w:spacing w:val="-13"/>
        </w:rPr>
        <w:t xml:space="preserve"> </w:t>
      </w:r>
      <w:r>
        <w:t>cada</w:t>
      </w:r>
      <w:r>
        <w:rPr>
          <w:spacing w:val="-11"/>
        </w:rPr>
        <w:t xml:space="preserve"> </w:t>
      </w:r>
      <w:r>
        <w:t>una</w:t>
      </w:r>
      <w:r>
        <w:rPr>
          <w:spacing w:val="-11"/>
        </w:rPr>
        <w:t xml:space="preserve"> </w:t>
      </w:r>
      <w:r>
        <w:t>de las brechas de desigualdad expuestas en el capítulo II de esta exposición de motivos, de estos 11 corresponden a responsabilidades programáticas establecidas en la Ley 2294 de 2011.</w:t>
      </w:r>
    </w:p>
    <w:p w14:paraId="0C256291" w14:textId="77777777" w:rsidR="000E52B0" w:rsidRDefault="000E52B0">
      <w:pPr>
        <w:pStyle w:val="Textoindependiente"/>
        <w:spacing w:before="1"/>
        <w:ind w:left="0"/>
      </w:pPr>
    </w:p>
    <w:p w14:paraId="11431AE3" w14:textId="77777777" w:rsidR="000E52B0" w:rsidRDefault="00F60D74">
      <w:pPr>
        <w:ind w:left="720"/>
        <w:jc w:val="both"/>
        <w:rPr>
          <w:i/>
          <w:sz w:val="24"/>
        </w:rPr>
      </w:pPr>
      <w:bookmarkStart w:id="145" w:name="_bookmark145"/>
      <w:bookmarkEnd w:id="145"/>
      <w:r>
        <w:rPr>
          <w:i/>
          <w:color w:val="B3176C"/>
          <w:sz w:val="24"/>
        </w:rPr>
        <w:t>Programas</w:t>
      </w:r>
      <w:r>
        <w:rPr>
          <w:i/>
          <w:color w:val="B3176C"/>
          <w:spacing w:val="-5"/>
          <w:sz w:val="24"/>
        </w:rPr>
        <w:t xml:space="preserve"> </w:t>
      </w:r>
      <w:r>
        <w:rPr>
          <w:i/>
          <w:color w:val="B3176C"/>
          <w:spacing w:val="-2"/>
          <w:sz w:val="24"/>
        </w:rPr>
        <w:t>territoriales</w:t>
      </w:r>
    </w:p>
    <w:p w14:paraId="566B3182" w14:textId="77777777" w:rsidR="000E52B0" w:rsidRDefault="000E52B0">
      <w:pPr>
        <w:pStyle w:val="Textoindependiente"/>
        <w:ind w:left="0"/>
        <w:rPr>
          <w:i/>
        </w:rPr>
      </w:pPr>
    </w:p>
    <w:p w14:paraId="69572729" w14:textId="77777777" w:rsidR="000E52B0" w:rsidRDefault="00F60D74">
      <w:pPr>
        <w:pStyle w:val="Textoindependiente"/>
        <w:ind w:right="725"/>
        <w:jc w:val="both"/>
      </w:pPr>
      <w:r>
        <w:t>A cargo del viceministerio de las Poblaciones y Territorios Excluidos y Superación de la Pobreza,</w:t>
      </w:r>
    </w:p>
    <w:p w14:paraId="4F862F0E" w14:textId="77777777" w:rsidR="000E52B0" w:rsidRDefault="00F60D74">
      <w:pPr>
        <w:pStyle w:val="Prrafodelista"/>
        <w:numPr>
          <w:ilvl w:val="0"/>
          <w:numId w:val="51"/>
        </w:numPr>
        <w:tabs>
          <w:tab w:val="left" w:pos="1800"/>
        </w:tabs>
        <w:ind w:right="714"/>
        <w:rPr>
          <w:sz w:val="24"/>
        </w:rPr>
      </w:pPr>
      <w:r>
        <w:rPr>
          <w:b/>
          <w:sz w:val="24"/>
        </w:rPr>
        <w:t xml:space="preserve">Hambre Cero: </w:t>
      </w:r>
      <w:r>
        <w:rPr>
          <w:sz w:val="24"/>
        </w:rPr>
        <w:t>Este programa tiene como objetivo avanzar en la garantía</w:t>
      </w:r>
      <w:r>
        <w:rPr>
          <w:spacing w:val="40"/>
          <w:sz w:val="24"/>
        </w:rPr>
        <w:t xml:space="preserve"> </w:t>
      </w:r>
      <w:r>
        <w:rPr>
          <w:sz w:val="24"/>
        </w:rPr>
        <w:t>progresiva</w:t>
      </w:r>
      <w:r>
        <w:rPr>
          <w:spacing w:val="40"/>
          <w:sz w:val="24"/>
        </w:rPr>
        <w:t xml:space="preserve"> </w:t>
      </w:r>
      <w:r>
        <w:rPr>
          <w:sz w:val="24"/>
        </w:rPr>
        <w:t>del</w:t>
      </w:r>
      <w:r>
        <w:rPr>
          <w:spacing w:val="40"/>
          <w:sz w:val="24"/>
        </w:rPr>
        <w:t xml:space="preserve"> </w:t>
      </w:r>
      <w:r>
        <w:rPr>
          <w:sz w:val="24"/>
        </w:rPr>
        <w:t>Derecho</w:t>
      </w:r>
      <w:r>
        <w:rPr>
          <w:spacing w:val="40"/>
          <w:sz w:val="24"/>
        </w:rPr>
        <w:t xml:space="preserve"> </w:t>
      </w:r>
      <w:r>
        <w:rPr>
          <w:sz w:val="24"/>
        </w:rPr>
        <w:t>Humano</w:t>
      </w:r>
      <w:r>
        <w:rPr>
          <w:spacing w:val="40"/>
          <w:sz w:val="24"/>
        </w:rPr>
        <w:t xml:space="preserve"> </w:t>
      </w:r>
      <w:r>
        <w:rPr>
          <w:sz w:val="24"/>
        </w:rPr>
        <w:t>a</w:t>
      </w:r>
      <w:r>
        <w:rPr>
          <w:spacing w:val="40"/>
          <w:sz w:val="24"/>
        </w:rPr>
        <w:t xml:space="preserve"> </w:t>
      </w:r>
      <w:r>
        <w:rPr>
          <w:sz w:val="24"/>
        </w:rPr>
        <w:t>la</w:t>
      </w:r>
      <w:r>
        <w:rPr>
          <w:spacing w:val="40"/>
          <w:sz w:val="24"/>
        </w:rPr>
        <w:t xml:space="preserve"> </w:t>
      </w:r>
      <w:r>
        <w:rPr>
          <w:sz w:val="24"/>
        </w:rPr>
        <w:t>Alimentación</w:t>
      </w:r>
      <w:r>
        <w:rPr>
          <w:spacing w:val="40"/>
          <w:sz w:val="24"/>
        </w:rPr>
        <w:t xml:space="preserve"> </w:t>
      </w:r>
      <w:r>
        <w:rPr>
          <w:sz w:val="24"/>
        </w:rPr>
        <w:t>en</w:t>
      </w:r>
    </w:p>
    <w:p w14:paraId="69C7F9C9" w14:textId="77777777" w:rsidR="000E52B0" w:rsidRDefault="00F60D74">
      <w:pPr>
        <w:pStyle w:val="Textoindependiente"/>
        <w:spacing w:before="1"/>
        <w:ind w:left="0"/>
        <w:rPr>
          <w:sz w:val="13"/>
        </w:rPr>
      </w:pPr>
      <w:r>
        <w:rPr>
          <w:noProof/>
          <w:sz w:val="13"/>
        </w:rPr>
        <mc:AlternateContent>
          <mc:Choice Requires="wps">
            <w:drawing>
              <wp:anchor distT="0" distB="0" distL="0" distR="0" simplePos="0" relativeHeight="487670784" behindDoc="1" locked="0" layoutInCell="1" allowOverlap="1" wp14:anchorId="553FEB90" wp14:editId="103CE1C3">
                <wp:simplePos x="0" y="0"/>
                <wp:positionH relativeFrom="page">
                  <wp:posOffset>914704</wp:posOffset>
                </wp:positionH>
                <wp:positionV relativeFrom="paragraph">
                  <wp:posOffset>116619</wp:posOffset>
                </wp:positionV>
                <wp:extent cx="1829435" cy="7620"/>
                <wp:effectExtent l="0" t="0" r="0" b="0"/>
                <wp:wrapTopAndBottom/>
                <wp:docPr id="747" name="Graphic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770B0F" id="Graphic 747" o:spid="_x0000_s1026" style="position:absolute;margin-left:1in;margin-top:9.2pt;width:144.05pt;height:.6pt;z-index:-1564569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" path="m1829054,l,,,7619r1829054,l1829054,xe" fillcolor="black" stroked="f">
                <v:path arrowok="t"/>
                <w10:wrap type="topAndBottom" anchorx="page"/>
              </v:shape>
            </w:pict>
          </mc:Fallback>
        </mc:AlternateContent>
      </w:r>
    </w:p>
    <w:p w14:paraId="37C67BB9" w14:textId="77777777" w:rsidR="000E52B0" w:rsidRDefault="00F60D74">
      <w:pPr>
        <w:spacing w:before="96"/>
        <w:ind w:left="720" w:right="723"/>
        <w:rPr>
          <w:rFonts w:ascii="Arial MT" w:hAnsi="Arial MT"/>
          <w:sz w:val="18"/>
        </w:rPr>
      </w:pPr>
      <w:bookmarkStart w:id="146" w:name="_bookmark146"/>
      <w:bookmarkEnd w:id="146"/>
      <w:r>
        <w:rPr>
          <w:rFonts w:ascii="Arial MT" w:hAnsi="Arial MT"/>
          <w:position w:val="6"/>
          <w:sz w:val="12"/>
        </w:rPr>
        <w:t>124</w:t>
      </w:r>
      <w:r>
        <w:rPr>
          <w:rFonts w:ascii="Arial MT" w:hAnsi="Arial MT"/>
          <w:spacing w:val="39"/>
          <w:position w:val="6"/>
          <w:sz w:val="12"/>
        </w:rPr>
        <w:t xml:space="preserve"> </w:t>
      </w:r>
      <w:proofErr w:type="gramStart"/>
      <w:r>
        <w:rPr>
          <w:rFonts w:ascii="Arial MT" w:hAnsi="Arial MT"/>
          <w:sz w:val="18"/>
        </w:rPr>
        <w:t>De</w:t>
      </w:r>
      <w:proofErr w:type="gramEnd"/>
      <w:r>
        <w:rPr>
          <w:rFonts w:ascii="Arial MT" w:hAnsi="Arial MT"/>
          <w:spacing w:val="22"/>
          <w:sz w:val="18"/>
        </w:rPr>
        <w:t xml:space="preserve"> </w:t>
      </w:r>
      <w:r>
        <w:rPr>
          <w:rFonts w:ascii="Arial MT" w:hAnsi="Arial MT"/>
          <w:sz w:val="18"/>
        </w:rPr>
        <w:t>acuerdo</w:t>
      </w:r>
      <w:r>
        <w:rPr>
          <w:rFonts w:ascii="Arial MT" w:hAnsi="Arial MT"/>
          <w:spacing w:val="20"/>
          <w:sz w:val="18"/>
        </w:rPr>
        <w:t xml:space="preserve"> </w:t>
      </w:r>
      <w:r>
        <w:rPr>
          <w:rFonts w:ascii="Arial MT" w:hAnsi="Arial MT"/>
          <w:sz w:val="18"/>
        </w:rPr>
        <w:t>con</w:t>
      </w:r>
      <w:r>
        <w:rPr>
          <w:rFonts w:ascii="Arial MT" w:hAnsi="Arial MT"/>
          <w:spacing w:val="20"/>
          <w:sz w:val="18"/>
        </w:rPr>
        <w:t xml:space="preserve"> </w:t>
      </w:r>
      <w:r>
        <w:rPr>
          <w:rFonts w:ascii="Arial MT" w:hAnsi="Arial MT"/>
          <w:sz w:val="18"/>
        </w:rPr>
        <w:t>la</w:t>
      </w:r>
      <w:r>
        <w:rPr>
          <w:rFonts w:ascii="Arial MT" w:hAnsi="Arial MT"/>
          <w:spacing w:val="20"/>
          <w:sz w:val="18"/>
        </w:rPr>
        <w:t xml:space="preserve"> </w:t>
      </w:r>
      <w:r>
        <w:rPr>
          <w:rFonts w:ascii="Arial MT" w:hAnsi="Arial MT"/>
          <w:sz w:val="18"/>
        </w:rPr>
        <w:t>nota</w:t>
      </w:r>
      <w:r>
        <w:rPr>
          <w:rFonts w:ascii="Arial MT" w:hAnsi="Arial MT"/>
          <w:spacing w:val="20"/>
          <w:sz w:val="18"/>
        </w:rPr>
        <w:t xml:space="preserve"> </w:t>
      </w:r>
      <w:r>
        <w:rPr>
          <w:rFonts w:ascii="Arial MT" w:hAnsi="Arial MT"/>
          <w:sz w:val="18"/>
        </w:rPr>
        <w:t>estadística</w:t>
      </w:r>
      <w:r>
        <w:rPr>
          <w:rFonts w:ascii="Arial MT" w:hAnsi="Arial MT"/>
          <w:spacing w:val="20"/>
          <w:sz w:val="18"/>
        </w:rPr>
        <w:t xml:space="preserve"> </w:t>
      </w:r>
      <w:r>
        <w:rPr>
          <w:rFonts w:ascii="Arial MT" w:hAnsi="Arial MT"/>
          <w:sz w:val="18"/>
        </w:rPr>
        <w:t>del</w:t>
      </w:r>
      <w:r>
        <w:rPr>
          <w:rFonts w:ascii="Arial MT" w:hAnsi="Arial MT"/>
          <w:spacing w:val="20"/>
          <w:sz w:val="18"/>
        </w:rPr>
        <w:t xml:space="preserve"> </w:t>
      </w:r>
      <w:r>
        <w:rPr>
          <w:rFonts w:ascii="Arial MT" w:hAnsi="Arial MT"/>
          <w:sz w:val="18"/>
        </w:rPr>
        <w:t>DANE</w:t>
      </w:r>
      <w:r>
        <w:rPr>
          <w:rFonts w:ascii="Arial MT" w:hAnsi="Arial MT"/>
          <w:spacing w:val="22"/>
          <w:sz w:val="18"/>
        </w:rPr>
        <w:t xml:space="preserve"> </w:t>
      </w:r>
      <w:r>
        <w:rPr>
          <w:rFonts w:ascii="Arial MT" w:hAnsi="Arial MT"/>
          <w:sz w:val="18"/>
        </w:rPr>
        <w:t>“Situación</w:t>
      </w:r>
      <w:r>
        <w:rPr>
          <w:rFonts w:ascii="Arial MT" w:hAnsi="Arial MT"/>
          <w:spacing w:val="20"/>
          <w:sz w:val="18"/>
        </w:rPr>
        <w:t xml:space="preserve"> </w:t>
      </w:r>
      <w:r>
        <w:rPr>
          <w:rFonts w:ascii="Arial MT" w:hAnsi="Arial MT"/>
          <w:sz w:val="18"/>
        </w:rPr>
        <w:t>de</w:t>
      </w:r>
      <w:r>
        <w:rPr>
          <w:rFonts w:ascii="Arial MT" w:hAnsi="Arial MT"/>
          <w:spacing w:val="22"/>
          <w:sz w:val="18"/>
        </w:rPr>
        <w:t xml:space="preserve"> </w:t>
      </w:r>
      <w:r>
        <w:rPr>
          <w:rFonts w:ascii="Arial MT" w:hAnsi="Arial MT"/>
          <w:sz w:val="18"/>
        </w:rPr>
        <w:t>las</w:t>
      </w:r>
      <w:r>
        <w:rPr>
          <w:rFonts w:ascii="Arial MT" w:hAnsi="Arial MT"/>
          <w:spacing w:val="20"/>
          <w:sz w:val="18"/>
        </w:rPr>
        <w:t xml:space="preserve"> </w:t>
      </w:r>
      <w:r>
        <w:rPr>
          <w:rFonts w:ascii="Arial MT" w:hAnsi="Arial MT"/>
          <w:sz w:val="18"/>
        </w:rPr>
        <w:t>mujeres</w:t>
      </w:r>
      <w:r>
        <w:rPr>
          <w:rFonts w:ascii="Arial MT" w:hAnsi="Arial MT"/>
          <w:spacing w:val="20"/>
          <w:sz w:val="18"/>
        </w:rPr>
        <w:t xml:space="preserve"> </w:t>
      </w:r>
      <w:r>
        <w:rPr>
          <w:rFonts w:ascii="Arial MT" w:hAnsi="Arial MT"/>
          <w:sz w:val="18"/>
        </w:rPr>
        <w:t>rurales”,</w:t>
      </w:r>
      <w:r>
        <w:rPr>
          <w:rFonts w:ascii="Arial MT" w:hAnsi="Arial MT"/>
          <w:spacing w:val="22"/>
          <w:sz w:val="18"/>
        </w:rPr>
        <w:t xml:space="preserve"> </w:t>
      </w:r>
      <w:r>
        <w:rPr>
          <w:rFonts w:ascii="Arial MT" w:hAnsi="Arial MT"/>
          <w:sz w:val="18"/>
        </w:rPr>
        <w:t>mientras</w:t>
      </w:r>
      <w:r>
        <w:rPr>
          <w:rFonts w:ascii="Arial MT" w:hAnsi="Arial MT"/>
          <w:spacing w:val="23"/>
          <w:sz w:val="18"/>
        </w:rPr>
        <w:t xml:space="preserve"> </w:t>
      </w:r>
      <w:r>
        <w:rPr>
          <w:rFonts w:ascii="Arial MT" w:hAnsi="Arial MT"/>
          <w:sz w:val="18"/>
        </w:rPr>
        <w:t>en</w:t>
      </w:r>
      <w:r>
        <w:rPr>
          <w:rFonts w:ascii="Arial MT" w:hAnsi="Arial MT"/>
          <w:spacing w:val="22"/>
          <w:sz w:val="18"/>
        </w:rPr>
        <w:t xml:space="preserve"> </w:t>
      </w:r>
      <w:r>
        <w:rPr>
          <w:rFonts w:ascii="Arial MT" w:hAnsi="Arial MT"/>
          <w:sz w:val="18"/>
        </w:rPr>
        <w:t>el</w:t>
      </w:r>
      <w:r>
        <w:rPr>
          <w:rFonts w:ascii="Arial MT" w:hAnsi="Arial MT"/>
          <w:spacing w:val="22"/>
          <w:sz w:val="18"/>
        </w:rPr>
        <w:t xml:space="preserve"> </w:t>
      </w:r>
      <w:r>
        <w:rPr>
          <w:rFonts w:ascii="Arial MT" w:hAnsi="Arial MT"/>
          <w:sz w:val="18"/>
        </w:rPr>
        <w:t>promedio nacional</w:t>
      </w:r>
      <w:r>
        <w:rPr>
          <w:rFonts w:ascii="Arial MT" w:hAnsi="Arial MT"/>
          <w:spacing w:val="-3"/>
          <w:sz w:val="18"/>
        </w:rPr>
        <w:t xml:space="preserve"> </w:t>
      </w:r>
      <w:r>
        <w:rPr>
          <w:rFonts w:ascii="Arial MT" w:hAnsi="Arial MT"/>
          <w:sz w:val="18"/>
        </w:rPr>
        <w:t>el</w:t>
      </w:r>
      <w:r>
        <w:rPr>
          <w:rFonts w:ascii="Arial MT" w:hAnsi="Arial MT"/>
          <w:spacing w:val="-5"/>
          <w:sz w:val="18"/>
        </w:rPr>
        <w:t xml:space="preserve"> </w:t>
      </w:r>
      <w:r>
        <w:rPr>
          <w:rFonts w:ascii="Arial MT" w:hAnsi="Arial MT"/>
          <w:sz w:val="18"/>
        </w:rPr>
        <w:t>51,2%</w:t>
      </w:r>
      <w:r>
        <w:rPr>
          <w:rFonts w:ascii="Arial MT" w:hAnsi="Arial MT"/>
          <w:spacing w:val="-2"/>
          <w:sz w:val="18"/>
        </w:rPr>
        <w:t xml:space="preserve"> </w:t>
      </w:r>
      <w:r>
        <w:rPr>
          <w:rFonts w:ascii="Arial MT" w:hAnsi="Arial MT"/>
          <w:sz w:val="18"/>
        </w:rPr>
        <w:t>de</w:t>
      </w:r>
      <w:r>
        <w:rPr>
          <w:rFonts w:ascii="Arial MT" w:hAnsi="Arial MT"/>
          <w:spacing w:val="-3"/>
          <w:sz w:val="18"/>
        </w:rPr>
        <w:t xml:space="preserve"> </w:t>
      </w:r>
      <w:r>
        <w:rPr>
          <w:rFonts w:ascii="Arial MT" w:hAnsi="Arial MT"/>
          <w:sz w:val="18"/>
        </w:rPr>
        <w:t>la</w:t>
      </w:r>
      <w:r>
        <w:rPr>
          <w:rFonts w:ascii="Arial MT" w:hAnsi="Arial MT"/>
          <w:spacing w:val="-5"/>
          <w:sz w:val="18"/>
        </w:rPr>
        <w:t xml:space="preserve"> </w:t>
      </w:r>
      <w:r>
        <w:rPr>
          <w:rFonts w:ascii="Arial MT" w:hAnsi="Arial MT"/>
          <w:sz w:val="18"/>
        </w:rPr>
        <w:t>población</w:t>
      </w:r>
      <w:r>
        <w:rPr>
          <w:rFonts w:ascii="Arial MT" w:hAnsi="Arial MT"/>
          <w:spacing w:val="-4"/>
          <w:sz w:val="18"/>
        </w:rPr>
        <w:t xml:space="preserve"> </w:t>
      </w:r>
      <w:r>
        <w:rPr>
          <w:rFonts w:ascii="Arial MT" w:hAnsi="Arial MT"/>
          <w:sz w:val="18"/>
        </w:rPr>
        <w:t>son</w:t>
      </w:r>
      <w:r>
        <w:rPr>
          <w:rFonts w:ascii="Arial MT" w:hAnsi="Arial MT"/>
          <w:spacing w:val="-5"/>
          <w:sz w:val="18"/>
        </w:rPr>
        <w:t xml:space="preserve"> </w:t>
      </w:r>
      <w:r>
        <w:rPr>
          <w:rFonts w:ascii="Arial MT" w:hAnsi="Arial MT"/>
          <w:sz w:val="18"/>
        </w:rPr>
        <w:t>mujeres,</w:t>
      </w:r>
      <w:r>
        <w:rPr>
          <w:rFonts w:ascii="Arial MT" w:hAnsi="Arial MT"/>
          <w:spacing w:val="-2"/>
          <w:sz w:val="18"/>
        </w:rPr>
        <w:t xml:space="preserve"> </w:t>
      </w:r>
      <w:r>
        <w:rPr>
          <w:rFonts w:ascii="Arial MT" w:hAnsi="Arial MT"/>
          <w:sz w:val="18"/>
        </w:rPr>
        <w:t>este</w:t>
      </w:r>
      <w:r>
        <w:rPr>
          <w:rFonts w:ascii="Arial MT" w:hAnsi="Arial MT"/>
          <w:spacing w:val="-5"/>
          <w:sz w:val="18"/>
        </w:rPr>
        <w:t xml:space="preserve"> </w:t>
      </w:r>
      <w:r>
        <w:rPr>
          <w:rFonts w:ascii="Arial MT" w:hAnsi="Arial MT"/>
          <w:sz w:val="18"/>
        </w:rPr>
        <w:t>porcentaje</w:t>
      </w:r>
      <w:r>
        <w:rPr>
          <w:rFonts w:ascii="Arial MT" w:hAnsi="Arial MT"/>
          <w:spacing w:val="-2"/>
          <w:sz w:val="18"/>
        </w:rPr>
        <w:t xml:space="preserve"> </w:t>
      </w:r>
      <w:r>
        <w:rPr>
          <w:rFonts w:ascii="Arial MT" w:hAnsi="Arial MT"/>
          <w:sz w:val="18"/>
        </w:rPr>
        <w:t>es</w:t>
      </w:r>
      <w:r>
        <w:rPr>
          <w:rFonts w:ascii="Arial MT" w:hAnsi="Arial MT"/>
          <w:spacing w:val="-2"/>
          <w:sz w:val="18"/>
        </w:rPr>
        <w:t xml:space="preserve"> </w:t>
      </w:r>
      <w:r>
        <w:rPr>
          <w:rFonts w:ascii="Arial MT" w:hAnsi="Arial MT"/>
          <w:sz w:val="18"/>
        </w:rPr>
        <w:t>de</w:t>
      </w:r>
      <w:r>
        <w:rPr>
          <w:rFonts w:ascii="Arial MT" w:hAnsi="Arial MT"/>
          <w:spacing w:val="-3"/>
          <w:sz w:val="18"/>
        </w:rPr>
        <w:t xml:space="preserve"> </w:t>
      </w:r>
      <w:r>
        <w:rPr>
          <w:rFonts w:ascii="Arial MT" w:hAnsi="Arial MT"/>
          <w:sz w:val="18"/>
        </w:rPr>
        <w:t>48,2%</w:t>
      </w:r>
      <w:r>
        <w:rPr>
          <w:rFonts w:ascii="Arial MT" w:hAnsi="Arial MT"/>
          <w:spacing w:val="-4"/>
          <w:sz w:val="18"/>
        </w:rPr>
        <w:t xml:space="preserve"> </w:t>
      </w:r>
      <w:r>
        <w:rPr>
          <w:rFonts w:ascii="Arial MT" w:hAnsi="Arial MT"/>
          <w:sz w:val="18"/>
        </w:rPr>
        <w:t>en</w:t>
      </w:r>
      <w:r>
        <w:rPr>
          <w:rFonts w:ascii="Arial MT" w:hAnsi="Arial MT"/>
          <w:spacing w:val="-3"/>
          <w:sz w:val="18"/>
        </w:rPr>
        <w:t xml:space="preserve"> </w:t>
      </w:r>
      <w:r>
        <w:rPr>
          <w:rFonts w:ascii="Arial MT" w:hAnsi="Arial MT"/>
          <w:sz w:val="18"/>
        </w:rPr>
        <w:t>las</w:t>
      </w:r>
      <w:r>
        <w:rPr>
          <w:rFonts w:ascii="Arial MT" w:hAnsi="Arial MT"/>
          <w:spacing w:val="-4"/>
          <w:sz w:val="18"/>
        </w:rPr>
        <w:t xml:space="preserve"> </w:t>
      </w:r>
      <w:r>
        <w:rPr>
          <w:rFonts w:ascii="Arial MT" w:hAnsi="Arial MT"/>
          <w:sz w:val="18"/>
        </w:rPr>
        <w:t>zonas</w:t>
      </w:r>
      <w:r>
        <w:rPr>
          <w:rFonts w:ascii="Arial MT" w:hAnsi="Arial MT"/>
          <w:spacing w:val="-3"/>
          <w:sz w:val="18"/>
        </w:rPr>
        <w:t xml:space="preserve"> </w:t>
      </w:r>
      <w:r>
        <w:rPr>
          <w:rFonts w:ascii="Arial MT" w:hAnsi="Arial MT"/>
          <w:sz w:val="18"/>
        </w:rPr>
        <w:t>rurales</w:t>
      </w:r>
      <w:r>
        <w:rPr>
          <w:rFonts w:ascii="Arial MT" w:hAnsi="Arial MT"/>
          <w:spacing w:val="8"/>
          <w:sz w:val="18"/>
        </w:rPr>
        <w:t xml:space="preserve"> </w:t>
      </w:r>
      <w:r>
        <w:rPr>
          <w:rFonts w:ascii="Arial MT" w:hAnsi="Arial MT"/>
          <w:sz w:val="18"/>
        </w:rPr>
        <w:t>(DANE,</w:t>
      </w:r>
      <w:r>
        <w:rPr>
          <w:rFonts w:ascii="Arial MT" w:hAnsi="Arial MT"/>
          <w:spacing w:val="-3"/>
          <w:sz w:val="18"/>
        </w:rPr>
        <w:t xml:space="preserve"> </w:t>
      </w:r>
      <w:r>
        <w:rPr>
          <w:rFonts w:ascii="Arial MT" w:hAnsi="Arial MT"/>
          <w:spacing w:val="-2"/>
          <w:sz w:val="18"/>
        </w:rPr>
        <w:t>2022).</w:t>
      </w:r>
    </w:p>
    <w:p w14:paraId="54852AAB" w14:textId="77777777" w:rsidR="000E52B0" w:rsidRPr="00203383" w:rsidRDefault="00F60D74">
      <w:pPr>
        <w:spacing w:line="205" w:lineRule="exact"/>
        <w:ind w:left="720"/>
        <w:rPr>
          <w:rFonts w:ascii="Arial MT"/>
          <w:sz w:val="18"/>
          <w:lang w:val="pt-PT"/>
        </w:rPr>
      </w:pPr>
      <w:bookmarkStart w:id="147" w:name="_bookmark147"/>
      <w:bookmarkEnd w:id="147"/>
      <w:r w:rsidRPr="00203383">
        <w:rPr>
          <w:rFonts w:ascii="Arial MT"/>
          <w:position w:val="6"/>
          <w:sz w:val="12"/>
          <w:lang w:val="pt-PT"/>
        </w:rPr>
        <w:t>125</w:t>
      </w:r>
      <w:r w:rsidRPr="00203383">
        <w:rPr>
          <w:rFonts w:ascii="Arial MT"/>
          <w:spacing w:val="12"/>
          <w:position w:val="6"/>
          <w:sz w:val="12"/>
          <w:lang w:val="pt-PT"/>
        </w:rPr>
        <w:t xml:space="preserve"> </w:t>
      </w:r>
      <w:r w:rsidRPr="00203383">
        <w:rPr>
          <w:rFonts w:ascii="Arial MT"/>
          <w:sz w:val="18"/>
          <w:lang w:val="pt-PT"/>
        </w:rPr>
        <w:t>Corte</w:t>
      </w:r>
      <w:r w:rsidRPr="00203383">
        <w:rPr>
          <w:rFonts w:ascii="Arial MT"/>
          <w:spacing w:val="-5"/>
          <w:sz w:val="18"/>
          <w:lang w:val="pt-PT"/>
        </w:rPr>
        <w:t xml:space="preserve"> </w:t>
      </w:r>
      <w:r w:rsidRPr="00203383">
        <w:rPr>
          <w:rFonts w:ascii="Arial MT"/>
          <w:sz w:val="18"/>
          <w:lang w:val="pt-PT"/>
        </w:rPr>
        <w:t>Constitucional.</w:t>
      </w:r>
      <w:r w:rsidRPr="00203383">
        <w:rPr>
          <w:rFonts w:ascii="Arial MT"/>
          <w:spacing w:val="-5"/>
          <w:sz w:val="18"/>
          <w:lang w:val="pt-PT"/>
        </w:rPr>
        <w:t xml:space="preserve"> </w:t>
      </w:r>
      <w:r w:rsidRPr="00203383">
        <w:rPr>
          <w:rFonts w:ascii="Arial MT"/>
          <w:sz w:val="18"/>
          <w:lang w:val="pt-PT"/>
        </w:rPr>
        <w:t>Sentencia</w:t>
      </w:r>
      <w:r w:rsidRPr="00203383">
        <w:rPr>
          <w:rFonts w:ascii="Arial MT"/>
          <w:spacing w:val="-5"/>
          <w:sz w:val="18"/>
          <w:lang w:val="pt-PT"/>
        </w:rPr>
        <w:t xml:space="preserve"> </w:t>
      </w:r>
      <w:r w:rsidRPr="00203383">
        <w:rPr>
          <w:rFonts w:ascii="Arial MT"/>
          <w:sz w:val="18"/>
          <w:lang w:val="pt-PT"/>
        </w:rPr>
        <w:t>T-571/17.</w:t>
      </w:r>
      <w:r w:rsidRPr="00203383">
        <w:rPr>
          <w:rFonts w:ascii="Arial MT"/>
          <w:spacing w:val="-5"/>
          <w:sz w:val="18"/>
          <w:lang w:val="pt-PT"/>
        </w:rPr>
        <w:t xml:space="preserve"> </w:t>
      </w:r>
      <w:r w:rsidRPr="00203383">
        <w:rPr>
          <w:rFonts w:ascii="Arial MT"/>
          <w:sz w:val="18"/>
          <w:lang w:val="pt-PT"/>
        </w:rPr>
        <w:t>M.P</w:t>
      </w:r>
      <w:r w:rsidRPr="00203383">
        <w:rPr>
          <w:rFonts w:ascii="Arial MT"/>
          <w:spacing w:val="-5"/>
          <w:sz w:val="18"/>
          <w:lang w:val="pt-PT"/>
        </w:rPr>
        <w:t xml:space="preserve"> </w:t>
      </w:r>
      <w:r w:rsidRPr="00203383">
        <w:rPr>
          <w:rFonts w:ascii="Arial MT"/>
          <w:sz w:val="18"/>
          <w:lang w:val="pt-PT"/>
        </w:rPr>
        <w:t>Alejandro</w:t>
      </w:r>
      <w:r w:rsidRPr="00203383">
        <w:rPr>
          <w:rFonts w:ascii="Arial MT"/>
          <w:spacing w:val="-4"/>
          <w:sz w:val="18"/>
          <w:lang w:val="pt-PT"/>
        </w:rPr>
        <w:t xml:space="preserve"> </w:t>
      </w:r>
      <w:r w:rsidRPr="00203383">
        <w:rPr>
          <w:rFonts w:ascii="Arial MT"/>
          <w:spacing w:val="-2"/>
          <w:sz w:val="18"/>
          <w:lang w:val="pt-PT"/>
        </w:rPr>
        <w:t>Linares.</w:t>
      </w:r>
    </w:p>
    <w:p w14:paraId="13C2C062" w14:textId="77777777" w:rsidR="000E52B0" w:rsidRDefault="00F60D74">
      <w:pPr>
        <w:spacing w:line="210" w:lineRule="exact"/>
        <w:ind w:left="720"/>
        <w:rPr>
          <w:rFonts w:ascii="Arial MT" w:hAnsi="Arial MT"/>
          <w:sz w:val="18"/>
        </w:rPr>
      </w:pPr>
      <w:bookmarkStart w:id="148" w:name="_bookmark148"/>
      <w:bookmarkEnd w:id="148"/>
      <w:r>
        <w:rPr>
          <w:rFonts w:ascii="Arial MT" w:hAnsi="Arial MT"/>
          <w:position w:val="6"/>
          <w:sz w:val="12"/>
        </w:rPr>
        <w:t>126</w:t>
      </w:r>
      <w:r>
        <w:rPr>
          <w:rFonts w:ascii="Arial MT" w:hAnsi="Arial MT"/>
          <w:spacing w:val="14"/>
          <w:position w:val="6"/>
          <w:sz w:val="12"/>
        </w:rPr>
        <w:t xml:space="preserve"> </w:t>
      </w:r>
      <w:proofErr w:type="gramStart"/>
      <w:r>
        <w:rPr>
          <w:rFonts w:ascii="Arial MT" w:hAnsi="Arial MT"/>
          <w:sz w:val="18"/>
        </w:rPr>
        <w:t>Ministerio</w:t>
      </w:r>
      <w:proofErr w:type="gramEnd"/>
      <w:r>
        <w:rPr>
          <w:rFonts w:ascii="Arial MT" w:hAnsi="Arial MT"/>
          <w:spacing w:val="-5"/>
          <w:sz w:val="18"/>
        </w:rPr>
        <w:t xml:space="preserve"> </w:t>
      </w:r>
      <w:r>
        <w:rPr>
          <w:rFonts w:ascii="Arial MT" w:hAnsi="Arial MT"/>
          <w:sz w:val="18"/>
        </w:rPr>
        <w:t>de</w:t>
      </w:r>
      <w:r>
        <w:rPr>
          <w:rFonts w:ascii="Arial MT" w:hAnsi="Arial MT"/>
          <w:spacing w:val="-3"/>
          <w:sz w:val="18"/>
        </w:rPr>
        <w:t xml:space="preserve"> </w:t>
      </w:r>
      <w:r>
        <w:rPr>
          <w:rFonts w:ascii="Arial MT" w:hAnsi="Arial MT"/>
          <w:sz w:val="18"/>
        </w:rPr>
        <w:t>Igualdad</w:t>
      </w:r>
      <w:r>
        <w:rPr>
          <w:rFonts w:ascii="Arial MT" w:hAnsi="Arial MT"/>
          <w:spacing w:val="-5"/>
          <w:sz w:val="18"/>
        </w:rPr>
        <w:t xml:space="preserve"> </w:t>
      </w:r>
      <w:r>
        <w:rPr>
          <w:rFonts w:ascii="Arial MT" w:hAnsi="Arial MT"/>
          <w:sz w:val="18"/>
        </w:rPr>
        <w:t>y</w:t>
      </w:r>
      <w:r>
        <w:rPr>
          <w:rFonts w:ascii="Arial MT" w:hAnsi="Arial MT"/>
          <w:spacing w:val="-2"/>
          <w:sz w:val="18"/>
        </w:rPr>
        <w:t xml:space="preserve"> </w:t>
      </w:r>
      <w:r>
        <w:rPr>
          <w:rFonts w:ascii="Arial MT" w:hAnsi="Arial MT"/>
          <w:sz w:val="18"/>
        </w:rPr>
        <w:t>Equidad.</w:t>
      </w:r>
      <w:r>
        <w:rPr>
          <w:rFonts w:ascii="Arial MT" w:hAnsi="Arial MT"/>
          <w:spacing w:val="-2"/>
          <w:sz w:val="18"/>
        </w:rPr>
        <w:t xml:space="preserve"> </w:t>
      </w:r>
      <w:r>
        <w:rPr>
          <w:rFonts w:ascii="Arial MT" w:hAnsi="Arial MT"/>
          <w:sz w:val="18"/>
        </w:rPr>
        <w:t>Resolución</w:t>
      </w:r>
      <w:r>
        <w:rPr>
          <w:rFonts w:ascii="Arial MT" w:hAnsi="Arial MT"/>
          <w:spacing w:val="-5"/>
          <w:sz w:val="18"/>
        </w:rPr>
        <w:t xml:space="preserve"> </w:t>
      </w:r>
      <w:r>
        <w:rPr>
          <w:rFonts w:ascii="Arial MT" w:hAnsi="Arial MT"/>
          <w:sz w:val="18"/>
        </w:rPr>
        <w:t>668</w:t>
      </w:r>
      <w:r>
        <w:rPr>
          <w:rFonts w:ascii="Arial MT" w:hAnsi="Arial MT"/>
          <w:spacing w:val="-5"/>
          <w:sz w:val="18"/>
        </w:rPr>
        <w:t xml:space="preserve"> </w:t>
      </w:r>
      <w:r>
        <w:rPr>
          <w:rFonts w:ascii="Arial MT" w:hAnsi="Arial MT"/>
          <w:sz w:val="18"/>
        </w:rPr>
        <w:t>de</w:t>
      </w:r>
      <w:r>
        <w:rPr>
          <w:rFonts w:ascii="Arial MT" w:hAnsi="Arial MT"/>
          <w:spacing w:val="-3"/>
          <w:sz w:val="18"/>
        </w:rPr>
        <w:t xml:space="preserve"> </w:t>
      </w:r>
      <w:r>
        <w:rPr>
          <w:rFonts w:ascii="Arial MT" w:hAnsi="Arial MT"/>
          <w:spacing w:val="-2"/>
          <w:sz w:val="18"/>
        </w:rPr>
        <w:t>2024.</w:t>
      </w:r>
    </w:p>
    <w:p w14:paraId="315B3669" w14:textId="77777777" w:rsidR="000E52B0" w:rsidRDefault="000E52B0">
      <w:pPr>
        <w:spacing w:line="210" w:lineRule="exact"/>
        <w:rPr>
          <w:rFonts w:ascii="Arial MT" w:hAnsi="Arial MT"/>
          <w:sz w:val="18"/>
        </w:rPr>
        <w:sectPr w:rsidR="000E52B0">
          <w:pgSz w:w="11910" w:h="16840"/>
          <w:pgMar w:top="1340" w:right="720" w:bottom="1180" w:left="720" w:header="0" w:footer="995" w:gutter="0"/>
          <w:cols w:space="720"/>
        </w:sectPr>
      </w:pPr>
    </w:p>
    <w:p w14:paraId="13432693" w14:textId="77777777" w:rsidR="000E52B0" w:rsidRDefault="00F60D74">
      <w:pPr>
        <w:pStyle w:val="Textoindependiente"/>
        <w:spacing w:before="83"/>
        <w:ind w:left="1800" w:right="714"/>
        <w:jc w:val="both"/>
      </w:pPr>
      <w:r>
        <w:lastRenderedPageBreak/>
        <w:t xml:space="preserve">Colombia, a través de proveer una respuesta articulada interinstitucionalmente encaminada a erradicar el hambre y la </w:t>
      </w:r>
      <w:r>
        <w:rPr>
          <w:spacing w:val="-2"/>
        </w:rPr>
        <w:t>malnutrición.</w:t>
      </w:r>
    </w:p>
    <w:p w14:paraId="122B935F" w14:textId="77777777" w:rsidR="000E52B0" w:rsidRDefault="00F60D74">
      <w:pPr>
        <w:pStyle w:val="Prrafodelista"/>
        <w:numPr>
          <w:ilvl w:val="0"/>
          <w:numId w:val="51"/>
        </w:numPr>
        <w:tabs>
          <w:tab w:val="left" w:pos="1798"/>
          <w:tab w:val="left" w:pos="1800"/>
        </w:tabs>
        <w:ind w:right="715"/>
        <w:jc w:val="both"/>
        <w:rPr>
          <w:sz w:val="24"/>
        </w:rPr>
      </w:pPr>
      <w:r>
        <w:rPr>
          <w:b/>
          <w:sz w:val="24"/>
        </w:rPr>
        <w:t xml:space="preserve">Agua es Vida: </w:t>
      </w:r>
      <w:r>
        <w:rPr>
          <w:sz w:val="24"/>
        </w:rPr>
        <w:t>Este programa tiene como objetivo avanzar en la garantía del derecho al agua y saneamiento, en cuanto a disponibilidad, calidad y accesibilidad a partir de la implementación</w:t>
      </w:r>
      <w:r>
        <w:rPr>
          <w:spacing w:val="-22"/>
          <w:sz w:val="24"/>
        </w:rPr>
        <w:t xml:space="preserve"> </w:t>
      </w:r>
      <w:r>
        <w:rPr>
          <w:sz w:val="24"/>
        </w:rPr>
        <w:t>de</w:t>
      </w:r>
      <w:r>
        <w:rPr>
          <w:spacing w:val="-21"/>
          <w:sz w:val="24"/>
        </w:rPr>
        <w:t xml:space="preserve"> </w:t>
      </w:r>
      <w:r>
        <w:rPr>
          <w:sz w:val="24"/>
        </w:rPr>
        <w:t>soluciones</w:t>
      </w:r>
      <w:r>
        <w:rPr>
          <w:spacing w:val="-21"/>
          <w:sz w:val="24"/>
        </w:rPr>
        <w:t xml:space="preserve"> </w:t>
      </w:r>
      <w:r>
        <w:rPr>
          <w:sz w:val="24"/>
        </w:rPr>
        <w:t>convencionales</w:t>
      </w:r>
      <w:r>
        <w:rPr>
          <w:spacing w:val="-21"/>
          <w:sz w:val="24"/>
        </w:rPr>
        <w:t xml:space="preserve"> </w:t>
      </w:r>
      <w:r>
        <w:rPr>
          <w:sz w:val="24"/>
        </w:rPr>
        <w:t>y</w:t>
      </w:r>
      <w:r>
        <w:rPr>
          <w:spacing w:val="-21"/>
          <w:sz w:val="24"/>
        </w:rPr>
        <w:t xml:space="preserve"> </w:t>
      </w:r>
      <w:r>
        <w:rPr>
          <w:sz w:val="24"/>
        </w:rPr>
        <w:t>no</w:t>
      </w:r>
      <w:r>
        <w:rPr>
          <w:spacing w:val="-21"/>
          <w:sz w:val="24"/>
        </w:rPr>
        <w:t xml:space="preserve"> </w:t>
      </w:r>
      <w:r>
        <w:rPr>
          <w:sz w:val="24"/>
        </w:rPr>
        <w:t>convencionales en</w:t>
      </w:r>
      <w:r>
        <w:rPr>
          <w:spacing w:val="-6"/>
          <w:sz w:val="24"/>
        </w:rPr>
        <w:t xml:space="preserve"> </w:t>
      </w:r>
      <w:r>
        <w:rPr>
          <w:sz w:val="24"/>
        </w:rPr>
        <w:t>territorios</w:t>
      </w:r>
      <w:r>
        <w:rPr>
          <w:spacing w:val="-6"/>
          <w:sz w:val="24"/>
        </w:rPr>
        <w:t xml:space="preserve"> </w:t>
      </w:r>
      <w:r>
        <w:rPr>
          <w:sz w:val="24"/>
        </w:rPr>
        <w:t>excluidos</w:t>
      </w:r>
      <w:r>
        <w:rPr>
          <w:spacing w:val="-6"/>
          <w:sz w:val="24"/>
        </w:rPr>
        <w:t xml:space="preserve"> </w:t>
      </w:r>
      <w:r>
        <w:rPr>
          <w:sz w:val="24"/>
        </w:rPr>
        <w:t>y</w:t>
      </w:r>
      <w:r>
        <w:rPr>
          <w:spacing w:val="-6"/>
          <w:sz w:val="24"/>
        </w:rPr>
        <w:t xml:space="preserve"> </w:t>
      </w:r>
      <w:r>
        <w:rPr>
          <w:sz w:val="24"/>
        </w:rPr>
        <w:t>marginados,</w:t>
      </w:r>
      <w:r>
        <w:rPr>
          <w:spacing w:val="-5"/>
          <w:sz w:val="24"/>
        </w:rPr>
        <w:t xml:space="preserve"> </w:t>
      </w:r>
      <w:r>
        <w:rPr>
          <w:sz w:val="24"/>
        </w:rPr>
        <w:t>promoviendo</w:t>
      </w:r>
      <w:r>
        <w:rPr>
          <w:spacing w:val="-5"/>
          <w:sz w:val="24"/>
        </w:rPr>
        <w:t xml:space="preserve"> </w:t>
      </w:r>
      <w:r>
        <w:rPr>
          <w:sz w:val="24"/>
        </w:rPr>
        <w:t>la</w:t>
      </w:r>
      <w:r>
        <w:rPr>
          <w:spacing w:val="-5"/>
          <w:sz w:val="24"/>
        </w:rPr>
        <w:t xml:space="preserve"> </w:t>
      </w:r>
      <w:r>
        <w:rPr>
          <w:sz w:val="24"/>
        </w:rPr>
        <w:t>protección, el cuidado y la sostenibilidad de las fuentes hídricas, incluyendo prácticas adecuadas alrededor de su consumo y responde de manera particular al problema de política pública de las barreras que enfrentan las comunidades y poblaciones excluidas para el goce</w:t>
      </w:r>
      <w:r>
        <w:rPr>
          <w:spacing w:val="-22"/>
          <w:sz w:val="24"/>
        </w:rPr>
        <w:t xml:space="preserve"> </w:t>
      </w:r>
      <w:r>
        <w:rPr>
          <w:sz w:val="24"/>
        </w:rPr>
        <w:t>efectivo</w:t>
      </w:r>
      <w:r>
        <w:rPr>
          <w:spacing w:val="-21"/>
          <w:sz w:val="24"/>
        </w:rPr>
        <w:t xml:space="preserve"> </w:t>
      </w:r>
      <w:r>
        <w:rPr>
          <w:sz w:val="24"/>
        </w:rPr>
        <w:t>del</w:t>
      </w:r>
      <w:r>
        <w:rPr>
          <w:spacing w:val="-21"/>
          <w:sz w:val="24"/>
        </w:rPr>
        <w:t xml:space="preserve"> </w:t>
      </w:r>
      <w:r>
        <w:rPr>
          <w:sz w:val="24"/>
        </w:rPr>
        <w:t>derecho</w:t>
      </w:r>
      <w:r>
        <w:rPr>
          <w:spacing w:val="-21"/>
          <w:sz w:val="24"/>
        </w:rPr>
        <w:t xml:space="preserve"> </w:t>
      </w:r>
      <w:r>
        <w:rPr>
          <w:sz w:val="24"/>
        </w:rPr>
        <w:t>al</w:t>
      </w:r>
      <w:r>
        <w:rPr>
          <w:spacing w:val="-21"/>
          <w:sz w:val="24"/>
        </w:rPr>
        <w:t xml:space="preserve"> </w:t>
      </w:r>
      <w:r>
        <w:rPr>
          <w:sz w:val="24"/>
        </w:rPr>
        <w:t>agua</w:t>
      </w:r>
      <w:r>
        <w:rPr>
          <w:spacing w:val="-21"/>
          <w:sz w:val="24"/>
        </w:rPr>
        <w:t xml:space="preserve"> </w:t>
      </w:r>
      <w:r>
        <w:rPr>
          <w:sz w:val="24"/>
        </w:rPr>
        <w:t>y</w:t>
      </w:r>
      <w:r>
        <w:rPr>
          <w:spacing w:val="-21"/>
          <w:sz w:val="24"/>
        </w:rPr>
        <w:t xml:space="preserve"> </w:t>
      </w:r>
      <w:r>
        <w:rPr>
          <w:sz w:val="24"/>
        </w:rPr>
        <w:t>el</w:t>
      </w:r>
      <w:r>
        <w:rPr>
          <w:spacing w:val="-21"/>
          <w:sz w:val="24"/>
        </w:rPr>
        <w:t xml:space="preserve"> </w:t>
      </w:r>
      <w:r>
        <w:rPr>
          <w:sz w:val="24"/>
        </w:rPr>
        <w:t>saneamiento</w:t>
      </w:r>
      <w:r>
        <w:rPr>
          <w:spacing w:val="-21"/>
          <w:sz w:val="24"/>
        </w:rPr>
        <w:t xml:space="preserve"> </w:t>
      </w:r>
      <w:r>
        <w:rPr>
          <w:sz w:val="24"/>
        </w:rPr>
        <w:t>como</w:t>
      </w:r>
      <w:r>
        <w:rPr>
          <w:spacing w:val="-21"/>
          <w:sz w:val="24"/>
        </w:rPr>
        <w:t xml:space="preserve"> </w:t>
      </w:r>
      <w:r>
        <w:rPr>
          <w:sz w:val="24"/>
        </w:rPr>
        <w:t>resultado del rezago histórico en la inversión de la infraestructura en estos territorios y la concentración de los recursos hídricos en actividades industriales y de explotación.</w:t>
      </w:r>
    </w:p>
    <w:p w14:paraId="2CC15F4E" w14:textId="77777777" w:rsidR="000E52B0" w:rsidRDefault="00F60D74">
      <w:pPr>
        <w:pStyle w:val="Prrafodelista"/>
        <w:numPr>
          <w:ilvl w:val="0"/>
          <w:numId w:val="51"/>
        </w:numPr>
        <w:tabs>
          <w:tab w:val="left" w:pos="1797"/>
          <w:tab w:val="left" w:pos="1800"/>
        </w:tabs>
        <w:ind w:right="716"/>
        <w:jc w:val="both"/>
        <w:rPr>
          <w:sz w:val="24"/>
        </w:rPr>
      </w:pPr>
      <w:r>
        <w:rPr>
          <w:b/>
          <w:sz w:val="24"/>
        </w:rPr>
        <w:t xml:space="preserve">Economía Popular para la Superación de la Pobreza: </w:t>
      </w:r>
      <w:r>
        <w:rPr>
          <w:sz w:val="24"/>
        </w:rPr>
        <w:t>Este programa tiene como objetivo avanzar en la superación de la pobreza mediante el fortalecimiento de la economía popular y comunitaria en territorios marginados y excluidos y responde de manera</w:t>
      </w:r>
      <w:r>
        <w:rPr>
          <w:spacing w:val="-15"/>
          <w:sz w:val="24"/>
        </w:rPr>
        <w:t xml:space="preserve"> </w:t>
      </w:r>
      <w:r>
        <w:rPr>
          <w:sz w:val="24"/>
        </w:rPr>
        <w:t>particular</w:t>
      </w:r>
      <w:r>
        <w:rPr>
          <w:spacing w:val="-13"/>
          <w:sz w:val="24"/>
        </w:rPr>
        <w:t xml:space="preserve"> </w:t>
      </w:r>
      <w:r>
        <w:rPr>
          <w:sz w:val="24"/>
        </w:rPr>
        <w:t>al</w:t>
      </w:r>
      <w:r>
        <w:rPr>
          <w:spacing w:val="-15"/>
          <w:sz w:val="24"/>
        </w:rPr>
        <w:t xml:space="preserve"> </w:t>
      </w:r>
      <w:r>
        <w:rPr>
          <w:sz w:val="24"/>
        </w:rPr>
        <w:t>problema</w:t>
      </w:r>
      <w:r>
        <w:rPr>
          <w:spacing w:val="-14"/>
          <w:sz w:val="24"/>
        </w:rPr>
        <w:t xml:space="preserve"> </w:t>
      </w:r>
      <w:r>
        <w:rPr>
          <w:sz w:val="24"/>
        </w:rPr>
        <w:t>de</w:t>
      </w:r>
      <w:r>
        <w:rPr>
          <w:spacing w:val="-15"/>
          <w:sz w:val="24"/>
        </w:rPr>
        <w:t xml:space="preserve"> </w:t>
      </w:r>
      <w:r>
        <w:rPr>
          <w:sz w:val="24"/>
        </w:rPr>
        <w:t>política</w:t>
      </w:r>
      <w:r>
        <w:rPr>
          <w:spacing w:val="-16"/>
          <w:sz w:val="24"/>
        </w:rPr>
        <w:t xml:space="preserve"> </w:t>
      </w:r>
      <w:r>
        <w:rPr>
          <w:sz w:val="24"/>
        </w:rPr>
        <w:t>pública</w:t>
      </w:r>
      <w:r>
        <w:rPr>
          <w:spacing w:val="-14"/>
          <w:sz w:val="24"/>
        </w:rPr>
        <w:t xml:space="preserve"> </w:t>
      </w:r>
      <w:r>
        <w:rPr>
          <w:sz w:val="24"/>
        </w:rPr>
        <w:t>de</w:t>
      </w:r>
      <w:r>
        <w:rPr>
          <w:spacing w:val="-15"/>
          <w:sz w:val="24"/>
        </w:rPr>
        <w:t xml:space="preserve"> </w:t>
      </w:r>
      <w:r>
        <w:rPr>
          <w:sz w:val="24"/>
        </w:rPr>
        <w:t>los</w:t>
      </w:r>
      <w:r>
        <w:rPr>
          <w:spacing w:val="-14"/>
          <w:sz w:val="24"/>
        </w:rPr>
        <w:t xml:space="preserve"> </w:t>
      </w:r>
      <w:r>
        <w:rPr>
          <w:sz w:val="24"/>
        </w:rPr>
        <w:t>actores</w:t>
      </w:r>
      <w:r>
        <w:rPr>
          <w:spacing w:val="-11"/>
          <w:sz w:val="24"/>
        </w:rPr>
        <w:t xml:space="preserve"> </w:t>
      </w:r>
      <w:r>
        <w:rPr>
          <w:sz w:val="24"/>
        </w:rPr>
        <w:t>de la</w:t>
      </w:r>
      <w:r>
        <w:rPr>
          <w:spacing w:val="-7"/>
          <w:sz w:val="24"/>
        </w:rPr>
        <w:t xml:space="preserve"> </w:t>
      </w:r>
      <w:r>
        <w:rPr>
          <w:sz w:val="24"/>
        </w:rPr>
        <w:t>economía</w:t>
      </w:r>
      <w:r>
        <w:rPr>
          <w:spacing w:val="-6"/>
          <w:sz w:val="24"/>
        </w:rPr>
        <w:t xml:space="preserve"> </w:t>
      </w:r>
      <w:r>
        <w:rPr>
          <w:sz w:val="24"/>
        </w:rPr>
        <w:t>popular</w:t>
      </w:r>
      <w:r>
        <w:rPr>
          <w:spacing w:val="-5"/>
          <w:sz w:val="24"/>
        </w:rPr>
        <w:t xml:space="preserve"> </w:t>
      </w:r>
      <w:r>
        <w:rPr>
          <w:sz w:val="24"/>
        </w:rPr>
        <w:t>y</w:t>
      </w:r>
      <w:r>
        <w:rPr>
          <w:spacing w:val="-7"/>
          <w:sz w:val="24"/>
        </w:rPr>
        <w:t xml:space="preserve"> </w:t>
      </w:r>
      <w:r>
        <w:rPr>
          <w:sz w:val="24"/>
        </w:rPr>
        <w:t>comunitaria</w:t>
      </w:r>
      <w:r>
        <w:rPr>
          <w:spacing w:val="-6"/>
          <w:sz w:val="24"/>
        </w:rPr>
        <w:t xml:space="preserve"> </w:t>
      </w:r>
      <w:r>
        <w:rPr>
          <w:sz w:val="24"/>
        </w:rPr>
        <w:t>en</w:t>
      </w:r>
      <w:r>
        <w:rPr>
          <w:spacing w:val="-7"/>
          <w:sz w:val="24"/>
        </w:rPr>
        <w:t xml:space="preserve"> </w:t>
      </w:r>
      <w:r>
        <w:rPr>
          <w:sz w:val="24"/>
        </w:rPr>
        <w:t>los</w:t>
      </w:r>
      <w:r>
        <w:rPr>
          <w:spacing w:val="-7"/>
          <w:sz w:val="24"/>
        </w:rPr>
        <w:t xml:space="preserve"> </w:t>
      </w:r>
      <w:r>
        <w:rPr>
          <w:sz w:val="24"/>
        </w:rPr>
        <w:t>territorios</w:t>
      </w:r>
      <w:r>
        <w:rPr>
          <w:spacing w:val="-7"/>
          <w:sz w:val="24"/>
        </w:rPr>
        <w:t xml:space="preserve"> </w:t>
      </w:r>
      <w:r>
        <w:rPr>
          <w:sz w:val="24"/>
        </w:rPr>
        <w:t>y</w:t>
      </w:r>
      <w:r>
        <w:rPr>
          <w:spacing w:val="-7"/>
          <w:sz w:val="24"/>
        </w:rPr>
        <w:t xml:space="preserve"> </w:t>
      </w:r>
      <w:r>
        <w:rPr>
          <w:sz w:val="24"/>
        </w:rPr>
        <w:t>poblaciones marginados y excluidos que enfrentan barreras para acceder a recursos más allá de la subsistencia.</w:t>
      </w:r>
    </w:p>
    <w:p w14:paraId="11720B3B" w14:textId="77777777" w:rsidR="000E52B0" w:rsidRDefault="00F60D74">
      <w:pPr>
        <w:pStyle w:val="Prrafodelista"/>
        <w:numPr>
          <w:ilvl w:val="0"/>
          <w:numId w:val="51"/>
        </w:numPr>
        <w:tabs>
          <w:tab w:val="left" w:pos="1800"/>
        </w:tabs>
        <w:ind w:right="715"/>
        <w:jc w:val="both"/>
        <w:rPr>
          <w:sz w:val="24"/>
        </w:rPr>
      </w:pPr>
      <w:r>
        <w:rPr>
          <w:b/>
          <w:sz w:val="24"/>
        </w:rPr>
        <w:t xml:space="preserve">Programa Nacional de Cuidado: </w:t>
      </w:r>
      <w:r>
        <w:rPr>
          <w:sz w:val="24"/>
        </w:rPr>
        <w:t>Este programa tiene como objetivo avanzar en la garantía del derecho a cuidar en condiciones</w:t>
      </w:r>
      <w:r>
        <w:rPr>
          <w:spacing w:val="-9"/>
          <w:sz w:val="24"/>
        </w:rPr>
        <w:t xml:space="preserve"> </w:t>
      </w:r>
      <w:r>
        <w:rPr>
          <w:sz w:val="24"/>
        </w:rPr>
        <w:t>dignas</w:t>
      </w:r>
      <w:r>
        <w:rPr>
          <w:spacing w:val="-8"/>
          <w:sz w:val="24"/>
        </w:rPr>
        <w:t xml:space="preserve"> </w:t>
      </w:r>
      <w:r>
        <w:rPr>
          <w:sz w:val="24"/>
        </w:rPr>
        <w:t>y</w:t>
      </w:r>
      <w:r>
        <w:rPr>
          <w:spacing w:val="-10"/>
          <w:sz w:val="24"/>
        </w:rPr>
        <w:t xml:space="preserve"> </w:t>
      </w:r>
      <w:r>
        <w:rPr>
          <w:sz w:val="24"/>
        </w:rPr>
        <w:t>en</w:t>
      </w:r>
      <w:r>
        <w:rPr>
          <w:spacing w:val="-10"/>
          <w:sz w:val="24"/>
        </w:rPr>
        <w:t xml:space="preserve"> </w:t>
      </w:r>
      <w:r>
        <w:rPr>
          <w:sz w:val="24"/>
        </w:rPr>
        <w:t>el</w:t>
      </w:r>
      <w:r>
        <w:rPr>
          <w:spacing w:val="-11"/>
          <w:sz w:val="24"/>
        </w:rPr>
        <w:t xml:space="preserve"> </w:t>
      </w:r>
      <w:r>
        <w:rPr>
          <w:sz w:val="24"/>
        </w:rPr>
        <w:t>reconocimiento</w:t>
      </w:r>
      <w:r>
        <w:rPr>
          <w:spacing w:val="-9"/>
          <w:sz w:val="24"/>
        </w:rPr>
        <w:t xml:space="preserve"> </w:t>
      </w:r>
      <w:r>
        <w:rPr>
          <w:sz w:val="24"/>
        </w:rPr>
        <w:t>y</w:t>
      </w:r>
      <w:r>
        <w:rPr>
          <w:spacing w:val="-10"/>
          <w:sz w:val="24"/>
        </w:rPr>
        <w:t xml:space="preserve"> </w:t>
      </w:r>
      <w:r>
        <w:rPr>
          <w:sz w:val="24"/>
        </w:rPr>
        <w:t>fortalecimiento</w:t>
      </w:r>
      <w:r>
        <w:rPr>
          <w:spacing w:val="-9"/>
          <w:sz w:val="24"/>
        </w:rPr>
        <w:t xml:space="preserve"> </w:t>
      </w:r>
      <w:r>
        <w:rPr>
          <w:sz w:val="24"/>
        </w:rPr>
        <w:t>de</w:t>
      </w:r>
      <w:r>
        <w:rPr>
          <w:spacing w:val="-9"/>
          <w:sz w:val="24"/>
        </w:rPr>
        <w:t xml:space="preserve"> </w:t>
      </w:r>
      <w:r>
        <w:rPr>
          <w:sz w:val="24"/>
        </w:rPr>
        <w:t>las formas propias de cuidado como función social interdependiente al sostenimiento de la vida y responde de manera particular al problema de política pública de la actual organización social del cuidado que impide la garantía de los derechos de las personas cuidadoras en contextos rurales y urbanos e impide la preservación, protección y, recuperación de las prácticas propias de cuidado comunitario y colectivo.</w:t>
      </w:r>
    </w:p>
    <w:p w14:paraId="5F258C61" w14:textId="77777777" w:rsidR="000E52B0" w:rsidRDefault="00F60D74">
      <w:pPr>
        <w:spacing w:before="291"/>
        <w:ind w:left="720"/>
        <w:rPr>
          <w:i/>
          <w:sz w:val="24"/>
        </w:rPr>
      </w:pPr>
      <w:bookmarkStart w:id="149" w:name="_bookmark149"/>
      <w:bookmarkEnd w:id="149"/>
      <w:r>
        <w:rPr>
          <w:i/>
          <w:color w:val="B3176C"/>
          <w:sz w:val="24"/>
        </w:rPr>
        <w:t>Programa</w:t>
      </w:r>
      <w:r>
        <w:rPr>
          <w:i/>
          <w:color w:val="B3176C"/>
          <w:spacing w:val="-4"/>
          <w:sz w:val="24"/>
        </w:rPr>
        <w:t xml:space="preserve"> </w:t>
      </w:r>
      <w:r>
        <w:rPr>
          <w:i/>
          <w:color w:val="B3176C"/>
          <w:spacing w:val="-2"/>
          <w:sz w:val="24"/>
        </w:rPr>
        <w:t>institucional</w:t>
      </w:r>
    </w:p>
    <w:p w14:paraId="3E875D0D" w14:textId="77777777" w:rsidR="000E52B0" w:rsidRDefault="000E52B0">
      <w:pPr>
        <w:pStyle w:val="Textoindependiente"/>
        <w:ind w:left="0"/>
        <w:rPr>
          <w:i/>
        </w:rPr>
      </w:pPr>
    </w:p>
    <w:p w14:paraId="6A098034" w14:textId="77777777" w:rsidR="000E52B0" w:rsidRDefault="00F60D74">
      <w:pPr>
        <w:pStyle w:val="Prrafodelista"/>
        <w:numPr>
          <w:ilvl w:val="0"/>
          <w:numId w:val="50"/>
        </w:numPr>
        <w:tabs>
          <w:tab w:val="left" w:pos="1798"/>
          <w:tab w:val="left" w:pos="1800"/>
        </w:tabs>
        <w:ind w:right="715"/>
        <w:jc w:val="both"/>
        <w:rPr>
          <w:sz w:val="24"/>
        </w:rPr>
      </w:pPr>
      <w:r>
        <w:rPr>
          <w:b/>
          <w:sz w:val="24"/>
        </w:rPr>
        <w:t xml:space="preserve">Innovación público-popular para la igualdad y la equidad: </w:t>
      </w:r>
      <w:r>
        <w:rPr>
          <w:sz w:val="24"/>
        </w:rPr>
        <w:t>Este programa tiene como objetivo consolidar un ecosistema institucional basado en los enfoques de derechos, interseccional, territorial, de género, étnico-racial y antirracista efectivo en la generación de transformaciones materiales para el cierre de brechas de desigualdad e inequidad y responde de manera particular al problema de política pública del funcionamiento tradicional del Estado reproduce las desigualdades e inequidades en</w:t>
      </w:r>
      <w:r>
        <w:rPr>
          <w:spacing w:val="-22"/>
          <w:sz w:val="24"/>
        </w:rPr>
        <w:t xml:space="preserve"> </w:t>
      </w:r>
      <w:r>
        <w:rPr>
          <w:sz w:val="24"/>
        </w:rPr>
        <w:t>tanto</w:t>
      </w:r>
      <w:r>
        <w:rPr>
          <w:spacing w:val="-21"/>
          <w:sz w:val="24"/>
        </w:rPr>
        <w:t xml:space="preserve"> </w:t>
      </w:r>
      <w:r>
        <w:rPr>
          <w:sz w:val="24"/>
        </w:rPr>
        <w:t>se</w:t>
      </w:r>
      <w:r>
        <w:rPr>
          <w:spacing w:val="-21"/>
          <w:sz w:val="24"/>
        </w:rPr>
        <w:t xml:space="preserve"> </w:t>
      </w:r>
      <w:r>
        <w:rPr>
          <w:sz w:val="24"/>
        </w:rPr>
        <w:t>privilegia</w:t>
      </w:r>
      <w:r>
        <w:rPr>
          <w:spacing w:val="-21"/>
          <w:sz w:val="24"/>
        </w:rPr>
        <w:t xml:space="preserve"> </w:t>
      </w:r>
      <w:r>
        <w:rPr>
          <w:sz w:val="24"/>
        </w:rPr>
        <w:t>el</w:t>
      </w:r>
      <w:r>
        <w:rPr>
          <w:spacing w:val="-21"/>
          <w:sz w:val="24"/>
        </w:rPr>
        <w:t xml:space="preserve"> </w:t>
      </w:r>
      <w:r>
        <w:rPr>
          <w:sz w:val="24"/>
        </w:rPr>
        <w:t>enfoque</w:t>
      </w:r>
      <w:r>
        <w:rPr>
          <w:spacing w:val="-21"/>
          <w:sz w:val="24"/>
        </w:rPr>
        <w:t xml:space="preserve"> </w:t>
      </w:r>
      <w:r>
        <w:rPr>
          <w:sz w:val="24"/>
        </w:rPr>
        <w:t>de</w:t>
      </w:r>
      <w:r>
        <w:rPr>
          <w:spacing w:val="-21"/>
          <w:sz w:val="24"/>
        </w:rPr>
        <w:t xml:space="preserve"> </w:t>
      </w:r>
      <w:r>
        <w:rPr>
          <w:sz w:val="24"/>
        </w:rPr>
        <w:t>administración</w:t>
      </w:r>
      <w:r>
        <w:rPr>
          <w:spacing w:val="-21"/>
          <w:sz w:val="24"/>
        </w:rPr>
        <w:t xml:space="preserve"> </w:t>
      </w:r>
      <w:r>
        <w:rPr>
          <w:sz w:val="24"/>
        </w:rPr>
        <w:t>social</w:t>
      </w:r>
      <w:r>
        <w:rPr>
          <w:spacing w:val="-21"/>
          <w:sz w:val="24"/>
        </w:rPr>
        <w:t xml:space="preserve"> </w:t>
      </w:r>
      <w:r>
        <w:rPr>
          <w:sz w:val="24"/>
        </w:rPr>
        <w:t>del</w:t>
      </w:r>
      <w:r>
        <w:rPr>
          <w:spacing w:val="-21"/>
          <w:sz w:val="24"/>
        </w:rPr>
        <w:t xml:space="preserve"> </w:t>
      </w:r>
      <w:r>
        <w:rPr>
          <w:sz w:val="24"/>
        </w:rPr>
        <w:t>riesgo para</w:t>
      </w:r>
      <w:r>
        <w:rPr>
          <w:spacing w:val="30"/>
          <w:sz w:val="24"/>
        </w:rPr>
        <w:t xml:space="preserve"> </w:t>
      </w:r>
      <w:r>
        <w:rPr>
          <w:sz w:val="24"/>
        </w:rPr>
        <w:t>la</w:t>
      </w:r>
      <w:r>
        <w:rPr>
          <w:spacing w:val="29"/>
          <w:sz w:val="24"/>
        </w:rPr>
        <w:t xml:space="preserve"> </w:t>
      </w:r>
      <w:r>
        <w:rPr>
          <w:sz w:val="24"/>
        </w:rPr>
        <w:t>gestión</w:t>
      </w:r>
      <w:r>
        <w:rPr>
          <w:spacing w:val="29"/>
          <w:sz w:val="24"/>
        </w:rPr>
        <w:t xml:space="preserve"> </w:t>
      </w:r>
      <w:r>
        <w:rPr>
          <w:sz w:val="24"/>
        </w:rPr>
        <w:t>de</w:t>
      </w:r>
      <w:r>
        <w:rPr>
          <w:spacing w:val="30"/>
          <w:sz w:val="24"/>
        </w:rPr>
        <w:t xml:space="preserve"> </w:t>
      </w:r>
      <w:r>
        <w:rPr>
          <w:sz w:val="24"/>
        </w:rPr>
        <w:t>políticas</w:t>
      </w:r>
      <w:r>
        <w:rPr>
          <w:spacing w:val="29"/>
          <w:sz w:val="24"/>
        </w:rPr>
        <w:t xml:space="preserve"> </w:t>
      </w:r>
      <w:r>
        <w:rPr>
          <w:sz w:val="24"/>
        </w:rPr>
        <w:t>públicas,</w:t>
      </w:r>
      <w:r>
        <w:rPr>
          <w:spacing w:val="30"/>
          <w:sz w:val="24"/>
        </w:rPr>
        <w:t xml:space="preserve"> </w:t>
      </w:r>
      <w:r>
        <w:rPr>
          <w:sz w:val="24"/>
        </w:rPr>
        <w:t>y</w:t>
      </w:r>
      <w:r>
        <w:rPr>
          <w:spacing w:val="31"/>
          <w:sz w:val="24"/>
        </w:rPr>
        <w:t xml:space="preserve"> </w:t>
      </w:r>
      <w:r>
        <w:rPr>
          <w:sz w:val="24"/>
        </w:rPr>
        <w:t>reproduce</w:t>
      </w:r>
      <w:r>
        <w:rPr>
          <w:spacing w:val="30"/>
          <w:sz w:val="24"/>
        </w:rPr>
        <w:t xml:space="preserve"> </w:t>
      </w:r>
      <w:r>
        <w:rPr>
          <w:sz w:val="24"/>
        </w:rPr>
        <w:t>por</w:t>
      </w:r>
      <w:r>
        <w:rPr>
          <w:spacing w:val="30"/>
          <w:sz w:val="24"/>
        </w:rPr>
        <w:t xml:space="preserve"> </w:t>
      </w:r>
      <w:r>
        <w:rPr>
          <w:sz w:val="24"/>
        </w:rPr>
        <w:t>tanto,</w:t>
      </w:r>
      <w:r>
        <w:rPr>
          <w:spacing w:val="29"/>
          <w:sz w:val="24"/>
        </w:rPr>
        <w:t xml:space="preserve"> </w:t>
      </w:r>
      <w:r>
        <w:rPr>
          <w:sz w:val="24"/>
        </w:rPr>
        <w:t>las</w:t>
      </w:r>
    </w:p>
    <w:p w14:paraId="09884BD9" w14:textId="77777777" w:rsidR="000E52B0" w:rsidRDefault="000E52B0">
      <w:pPr>
        <w:pStyle w:val="Prrafodelista"/>
        <w:jc w:val="both"/>
        <w:rPr>
          <w:sz w:val="24"/>
        </w:rPr>
        <w:sectPr w:rsidR="000E52B0">
          <w:pgSz w:w="11910" w:h="16840"/>
          <w:pgMar w:top="1340" w:right="720" w:bottom="1180" w:left="720" w:header="0" w:footer="995" w:gutter="0"/>
          <w:cols w:space="720"/>
        </w:sectPr>
      </w:pPr>
    </w:p>
    <w:p w14:paraId="4CD26819" w14:textId="77777777" w:rsidR="000E52B0" w:rsidRDefault="00F60D74">
      <w:pPr>
        <w:pStyle w:val="Textoindependiente"/>
        <w:spacing w:before="83"/>
        <w:ind w:left="1800" w:right="722"/>
        <w:jc w:val="both"/>
      </w:pPr>
      <w:r>
        <w:lastRenderedPageBreak/>
        <w:t>prácticas de discriminación estructural que impiden el goce efectivo</w:t>
      </w:r>
      <w:r>
        <w:rPr>
          <w:spacing w:val="-12"/>
        </w:rPr>
        <w:t xml:space="preserve"> </w:t>
      </w:r>
      <w:r>
        <w:t>de</w:t>
      </w:r>
      <w:r>
        <w:rPr>
          <w:spacing w:val="-11"/>
        </w:rPr>
        <w:t xml:space="preserve"> </w:t>
      </w:r>
      <w:r>
        <w:t>derechos</w:t>
      </w:r>
      <w:r>
        <w:rPr>
          <w:spacing w:val="-12"/>
        </w:rPr>
        <w:t xml:space="preserve"> </w:t>
      </w:r>
      <w:r>
        <w:t>de</w:t>
      </w:r>
      <w:r>
        <w:rPr>
          <w:spacing w:val="-11"/>
        </w:rPr>
        <w:t xml:space="preserve"> </w:t>
      </w:r>
      <w:r>
        <w:t>las</w:t>
      </w:r>
      <w:r>
        <w:rPr>
          <w:spacing w:val="-10"/>
        </w:rPr>
        <w:t xml:space="preserve"> </w:t>
      </w:r>
      <w:r>
        <w:t>poblaciones</w:t>
      </w:r>
      <w:r>
        <w:rPr>
          <w:spacing w:val="-12"/>
        </w:rPr>
        <w:t xml:space="preserve"> </w:t>
      </w:r>
      <w:r>
        <w:t>y</w:t>
      </w:r>
      <w:r>
        <w:rPr>
          <w:spacing w:val="-10"/>
        </w:rPr>
        <w:t xml:space="preserve"> </w:t>
      </w:r>
      <w:r>
        <w:t>territorios</w:t>
      </w:r>
      <w:r>
        <w:rPr>
          <w:spacing w:val="-12"/>
        </w:rPr>
        <w:t xml:space="preserve"> </w:t>
      </w:r>
      <w:r>
        <w:t>marginados</w:t>
      </w:r>
      <w:r>
        <w:rPr>
          <w:spacing w:val="-12"/>
        </w:rPr>
        <w:t xml:space="preserve"> </w:t>
      </w:r>
      <w:r>
        <w:t xml:space="preserve">y </w:t>
      </w:r>
      <w:r>
        <w:rPr>
          <w:spacing w:val="-2"/>
        </w:rPr>
        <w:t>excluidos.</w:t>
      </w:r>
    </w:p>
    <w:p w14:paraId="3EF05DA0" w14:textId="77777777" w:rsidR="000E52B0" w:rsidRDefault="00F60D74">
      <w:pPr>
        <w:spacing w:before="291"/>
        <w:ind w:left="720"/>
        <w:rPr>
          <w:i/>
          <w:sz w:val="24"/>
        </w:rPr>
      </w:pPr>
      <w:bookmarkStart w:id="150" w:name="_bookmark150"/>
      <w:bookmarkEnd w:id="150"/>
      <w:r>
        <w:rPr>
          <w:i/>
          <w:color w:val="B3176C"/>
          <w:sz w:val="24"/>
        </w:rPr>
        <w:t>Programas</w:t>
      </w:r>
      <w:r>
        <w:rPr>
          <w:i/>
          <w:color w:val="B3176C"/>
          <w:spacing w:val="-5"/>
          <w:sz w:val="24"/>
        </w:rPr>
        <w:t xml:space="preserve"> </w:t>
      </w:r>
      <w:r>
        <w:rPr>
          <w:i/>
          <w:color w:val="B3176C"/>
          <w:spacing w:val="-2"/>
          <w:sz w:val="24"/>
        </w:rPr>
        <w:t>poblacionales</w:t>
      </w:r>
    </w:p>
    <w:p w14:paraId="26449519" w14:textId="77777777" w:rsidR="000E52B0" w:rsidRDefault="000E52B0">
      <w:pPr>
        <w:pStyle w:val="Textoindependiente"/>
        <w:ind w:left="0"/>
        <w:rPr>
          <w:i/>
        </w:rPr>
      </w:pPr>
    </w:p>
    <w:p w14:paraId="3018AEFC" w14:textId="77777777" w:rsidR="000E52B0" w:rsidRDefault="00F60D74">
      <w:pPr>
        <w:pStyle w:val="Ttulo3"/>
      </w:pPr>
      <w:bookmarkStart w:id="151" w:name="_bookmark151"/>
      <w:bookmarkEnd w:id="151"/>
      <w:r>
        <w:rPr>
          <w:color w:val="BE8F00"/>
        </w:rPr>
        <w:t>Viceministerio</w:t>
      </w:r>
      <w:r>
        <w:rPr>
          <w:color w:val="BE8F00"/>
          <w:spacing w:val="-4"/>
        </w:rPr>
        <w:t xml:space="preserve"> </w:t>
      </w:r>
      <w:r>
        <w:rPr>
          <w:color w:val="BE8F00"/>
        </w:rPr>
        <w:t>de</w:t>
      </w:r>
      <w:r>
        <w:rPr>
          <w:color w:val="BE8F00"/>
          <w:spacing w:val="-2"/>
        </w:rPr>
        <w:t xml:space="preserve"> </w:t>
      </w:r>
      <w:r>
        <w:rPr>
          <w:color w:val="BE8F00"/>
        </w:rPr>
        <w:t>las</w:t>
      </w:r>
      <w:r>
        <w:rPr>
          <w:color w:val="BE8F00"/>
          <w:spacing w:val="-4"/>
        </w:rPr>
        <w:t xml:space="preserve"> </w:t>
      </w:r>
      <w:r>
        <w:rPr>
          <w:color w:val="BE8F00"/>
          <w:spacing w:val="-2"/>
        </w:rPr>
        <w:t>Mujeres</w:t>
      </w:r>
    </w:p>
    <w:p w14:paraId="3DFDB74A" w14:textId="77777777" w:rsidR="000E52B0" w:rsidRDefault="00F60D74">
      <w:pPr>
        <w:pStyle w:val="Prrafodelista"/>
        <w:numPr>
          <w:ilvl w:val="0"/>
          <w:numId w:val="49"/>
        </w:numPr>
        <w:tabs>
          <w:tab w:val="left" w:pos="1798"/>
          <w:tab w:val="left" w:pos="1800"/>
        </w:tabs>
        <w:spacing w:before="239"/>
        <w:ind w:right="715"/>
        <w:jc w:val="both"/>
        <w:rPr>
          <w:sz w:val="24"/>
        </w:rPr>
      </w:pPr>
      <w:r>
        <w:rPr>
          <w:b/>
          <w:sz w:val="24"/>
        </w:rPr>
        <w:t>Casas</w:t>
      </w:r>
      <w:r>
        <w:rPr>
          <w:b/>
          <w:spacing w:val="-14"/>
          <w:sz w:val="24"/>
        </w:rPr>
        <w:t xml:space="preserve"> </w:t>
      </w:r>
      <w:r>
        <w:rPr>
          <w:b/>
          <w:sz w:val="24"/>
        </w:rPr>
        <w:t>para</w:t>
      </w:r>
      <w:r>
        <w:rPr>
          <w:b/>
          <w:spacing w:val="-13"/>
          <w:sz w:val="24"/>
        </w:rPr>
        <w:t xml:space="preserve"> </w:t>
      </w:r>
      <w:r>
        <w:rPr>
          <w:b/>
          <w:sz w:val="24"/>
        </w:rPr>
        <w:t>la</w:t>
      </w:r>
      <w:r>
        <w:rPr>
          <w:b/>
          <w:spacing w:val="-11"/>
          <w:sz w:val="24"/>
        </w:rPr>
        <w:t xml:space="preserve"> </w:t>
      </w:r>
      <w:r>
        <w:rPr>
          <w:b/>
          <w:sz w:val="24"/>
        </w:rPr>
        <w:t>Dignidad</w:t>
      </w:r>
      <w:r>
        <w:rPr>
          <w:b/>
          <w:spacing w:val="-13"/>
          <w:sz w:val="24"/>
        </w:rPr>
        <w:t xml:space="preserve"> </w:t>
      </w:r>
      <w:r>
        <w:rPr>
          <w:b/>
          <w:sz w:val="24"/>
        </w:rPr>
        <w:t>de</w:t>
      </w:r>
      <w:r>
        <w:rPr>
          <w:b/>
          <w:spacing w:val="-12"/>
          <w:sz w:val="24"/>
        </w:rPr>
        <w:t xml:space="preserve"> </w:t>
      </w:r>
      <w:r>
        <w:rPr>
          <w:b/>
          <w:sz w:val="24"/>
        </w:rPr>
        <w:t>las</w:t>
      </w:r>
      <w:r>
        <w:rPr>
          <w:b/>
          <w:spacing w:val="-14"/>
          <w:sz w:val="24"/>
        </w:rPr>
        <w:t xml:space="preserve"> </w:t>
      </w:r>
      <w:r>
        <w:rPr>
          <w:b/>
          <w:sz w:val="24"/>
        </w:rPr>
        <w:t>Mujeres:</w:t>
      </w:r>
      <w:r>
        <w:rPr>
          <w:b/>
          <w:spacing w:val="-9"/>
          <w:sz w:val="24"/>
        </w:rPr>
        <w:t xml:space="preserve"> </w:t>
      </w:r>
      <w:r>
        <w:rPr>
          <w:sz w:val="24"/>
        </w:rPr>
        <w:t>Este</w:t>
      </w:r>
      <w:r>
        <w:rPr>
          <w:spacing w:val="-10"/>
          <w:sz w:val="24"/>
        </w:rPr>
        <w:t xml:space="preserve"> </w:t>
      </w:r>
      <w:r>
        <w:rPr>
          <w:sz w:val="24"/>
        </w:rPr>
        <w:t>programa</w:t>
      </w:r>
      <w:r>
        <w:rPr>
          <w:spacing w:val="-14"/>
          <w:sz w:val="24"/>
        </w:rPr>
        <w:t xml:space="preserve"> </w:t>
      </w:r>
      <w:r>
        <w:rPr>
          <w:sz w:val="24"/>
        </w:rPr>
        <w:t>tiene</w:t>
      </w:r>
      <w:r>
        <w:rPr>
          <w:spacing w:val="-13"/>
          <w:sz w:val="24"/>
        </w:rPr>
        <w:t xml:space="preserve"> </w:t>
      </w:r>
      <w:r>
        <w:rPr>
          <w:sz w:val="24"/>
        </w:rPr>
        <w:t>el objetivo</w:t>
      </w:r>
      <w:r>
        <w:rPr>
          <w:spacing w:val="-7"/>
          <w:sz w:val="24"/>
        </w:rPr>
        <w:t xml:space="preserve"> </w:t>
      </w:r>
      <w:r>
        <w:rPr>
          <w:sz w:val="24"/>
        </w:rPr>
        <w:t>de</w:t>
      </w:r>
      <w:r>
        <w:rPr>
          <w:spacing w:val="-6"/>
          <w:sz w:val="24"/>
        </w:rPr>
        <w:t xml:space="preserve"> </w:t>
      </w:r>
      <w:r>
        <w:rPr>
          <w:sz w:val="24"/>
        </w:rPr>
        <w:t>Mejorar</w:t>
      </w:r>
      <w:r>
        <w:rPr>
          <w:spacing w:val="-9"/>
          <w:sz w:val="24"/>
        </w:rPr>
        <w:t xml:space="preserve"> </w:t>
      </w:r>
      <w:r>
        <w:rPr>
          <w:sz w:val="24"/>
        </w:rPr>
        <w:t>las</w:t>
      </w:r>
      <w:r>
        <w:rPr>
          <w:spacing w:val="-8"/>
          <w:sz w:val="24"/>
        </w:rPr>
        <w:t xml:space="preserve"> </w:t>
      </w:r>
      <w:r>
        <w:rPr>
          <w:sz w:val="24"/>
        </w:rPr>
        <w:t>condiciones</w:t>
      </w:r>
      <w:r>
        <w:rPr>
          <w:spacing w:val="-7"/>
          <w:sz w:val="24"/>
        </w:rPr>
        <w:t xml:space="preserve"> </w:t>
      </w:r>
      <w:r>
        <w:rPr>
          <w:sz w:val="24"/>
        </w:rPr>
        <w:t>a</w:t>
      </w:r>
      <w:r>
        <w:rPr>
          <w:spacing w:val="-7"/>
          <w:sz w:val="24"/>
        </w:rPr>
        <w:t xml:space="preserve"> </w:t>
      </w:r>
      <w:r>
        <w:rPr>
          <w:sz w:val="24"/>
        </w:rPr>
        <w:t>nivel</w:t>
      </w:r>
      <w:r>
        <w:rPr>
          <w:spacing w:val="-8"/>
          <w:sz w:val="24"/>
        </w:rPr>
        <w:t xml:space="preserve"> </w:t>
      </w:r>
      <w:r>
        <w:rPr>
          <w:sz w:val="24"/>
        </w:rPr>
        <w:t>de</w:t>
      </w:r>
      <w:r>
        <w:rPr>
          <w:spacing w:val="-6"/>
          <w:sz w:val="24"/>
        </w:rPr>
        <w:t xml:space="preserve"> </w:t>
      </w:r>
      <w:r>
        <w:rPr>
          <w:sz w:val="24"/>
        </w:rPr>
        <w:t>infraestructura</w:t>
      </w:r>
      <w:r>
        <w:rPr>
          <w:spacing w:val="-7"/>
          <w:sz w:val="24"/>
        </w:rPr>
        <w:t xml:space="preserve"> </w:t>
      </w:r>
      <w:r>
        <w:rPr>
          <w:sz w:val="24"/>
        </w:rPr>
        <w:t>y</w:t>
      </w:r>
      <w:r>
        <w:rPr>
          <w:spacing w:val="-8"/>
          <w:sz w:val="24"/>
        </w:rPr>
        <w:t xml:space="preserve"> </w:t>
      </w:r>
      <w:r>
        <w:rPr>
          <w:sz w:val="24"/>
        </w:rPr>
        <w:t>de respuesta institucional en los territorios para la garantía de los derechos</w:t>
      </w:r>
      <w:r>
        <w:rPr>
          <w:spacing w:val="-11"/>
          <w:sz w:val="24"/>
        </w:rPr>
        <w:t xml:space="preserve"> </w:t>
      </w:r>
      <w:r>
        <w:rPr>
          <w:sz w:val="24"/>
        </w:rPr>
        <w:t>de</w:t>
      </w:r>
      <w:r>
        <w:rPr>
          <w:spacing w:val="-11"/>
          <w:sz w:val="24"/>
        </w:rPr>
        <w:t xml:space="preserve"> </w:t>
      </w:r>
      <w:r>
        <w:rPr>
          <w:sz w:val="24"/>
        </w:rPr>
        <w:t>las</w:t>
      </w:r>
      <w:r>
        <w:rPr>
          <w:spacing w:val="-11"/>
          <w:sz w:val="24"/>
        </w:rPr>
        <w:t xml:space="preserve"> </w:t>
      </w:r>
      <w:r>
        <w:rPr>
          <w:sz w:val="24"/>
        </w:rPr>
        <w:t>mujeres</w:t>
      </w:r>
      <w:r>
        <w:rPr>
          <w:spacing w:val="-14"/>
          <w:sz w:val="24"/>
        </w:rPr>
        <w:t xml:space="preserve"> </w:t>
      </w:r>
      <w:r>
        <w:rPr>
          <w:sz w:val="24"/>
        </w:rPr>
        <w:t>en</w:t>
      </w:r>
      <w:r>
        <w:rPr>
          <w:spacing w:val="-12"/>
          <w:sz w:val="24"/>
        </w:rPr>
        <w:t xml:space="preserve"> </w:t>
      </w:r>
      <w:r>
        <w:rPr>
          <w:sz w:val="24"/>
        </w:rPr>
        <w:t>su</w:t>
      </w:r>
      <w:r>
        <w:rPr>
          <w:spacing w:val="-12"/>
          <w:sz w:val="24"/>
        </w:rPr>
        <w:t xml:space="preserve"> </w:t>
      </w:r>
      <w:r>
        <w:rPr>
          <w:sz w:val="24"/>
        </w:rPr>
        <w:t>diversidad,</w:t>
      </w:r>
      <w:r>
        <w:rPr>
          <w:spacing w:val="-12"/>
          <w:sz w:val="24"/>
        </w:rPr>
        <w:t xml:space="preserve"> </w:t>
      </w:r>
      <w:r>
        <w:rPr>
          <w:sz w:val="24"/>
        </w:rPr>
        <w:t>y</w:t>
      </w:r>
      <w:r>
        <w:rPr>
          <w:spacing w:val="-11"/>
          <w:sz w:val="24"/>
        </w:rPr>
        <w:t xml:space="preserve"> </w:t>
      </w:r>
      <w:r>
        <w:rPr>
          <w:sz w:val="24"/>
        </w:rPr>
        <w:t>responde</w:t>
      </w:r>
      <w:r>
        <w:rPr>
          <w:spacing w:val="-11"/>
          <w:sz w:val="24"/>
        </w:rPr>
        <w:t xml:space="preserve"> </w:t>
      </w:r>
      <w:r>
        <w:rPr>
          <w:sz w:val="24"/>
        </w:rPr>
        <w:t>al</w:t>
      </w:r>
      <w:r>
        <w:rPr>
          <w:spacing w:val="-12"/>
          <w:sz w:val="24"/>
        </w:rPr>
        <w:t xml:space="preserve"> </w:t>
      </w:r>
      <w:r>
        <w:rPr>
          <w:sz w:val="24"/>
        </w:rPr>
        <w:t>problema de política pública de la limitada infraestructura y respuesta institucional a nivel territorial para la garantía de derechos de las mujeres desde sus diversidades.</w:t>
      </w:r>
    </w:p>
    <w:p w14:paraId="496D5F22" w14:textId="77777777" w:rsidR="000E52B0" w:rsidRDefault="00F60D74">
      <w:pPr>
        <w:pStyle w:val="Prrafodelista"/>
        <w:numPr>
          <w:ilvl w:val="0"/>
          <w:numId w:val="49"/>
        </w:numPr>
        <w:tabs>
          <w:tab w:val="left" w:pos="1798"/>
          <w:tab w:val="left" w:pos="1800"/>
        </w:tabs>
        <w:spacing w:before="1"/>
        <w:ind w:right="716"/>
        <w:jc w:val="both"/>
        <w:rPr>
          <w:sz w:val="24"/>
        </w:rPr>
      </w:pPr>
      <w:r>
        <w:rPr>
          <w:b/>
          <w:sz w:val="24"/>
        </w:rPr>
        <w:t>Autonomía</w:t>
      </w:r>
      <w:r>
        <w:rPr>
          <w:b/>
          <w:spacing w:val="-7"/>
          <w:sz w:val="24"/>
        </w:rPr>
        <w:t xml:space="preserve"> </w:t>
      </w:r>
      <w:r>
        <w:rPr>
          <w:b/>
          <w:sz w:val="24"/>
        </w:rPr>
        <w:t>económica</w:t>
      </w:r>
      <w:r>
        <w:rPr>
          <w:b/>
          <w:spacing w:val="-7"/>
          <w:sz w:val="24"/>
        </w:rPr>
        <w:t xml:space="preserve"> </w:t>
      </w:r>
      <w:r>
        <w:rPr>
          <w:b/>
          <w:sz w:val="24"/>
        </w:rPr>
        <w:t>para</w:t>
      </w:r>
      <w:r>
        <w:rPr>
          <w:b/>
          <w:spacing w:val="-6"/>
          <w:sz w:val="24"/>
        </w:rPr>
        <w:t xml:space="preserve"> </w:t>
      </w:r>
      <w:r>
        <w:rPr>
          <w:b/>
          <w:sz w:val="24"/>
        </w:rPr>
        <w:t>las</w:t>
      </w:r>
      <w:r>
        <w:rPr>
          <w:b/>
          <w:spacing w:val="-8"/>
          <w:sz w:val="24"/>
        </w:rPr>
        <w:t xml:space="preserve"> </w:t>
      </w:r>
      <w:r>
        <w:rPr>
          <w:b/>
          <w:sz w:val="24"/>
        </w:rPr>
        <w:t>mujeres:</w:t>
      </w:r>
      <w:r>
        <w:rPr>
          <w:b/>
          <w:spacing w:val="-1"/>
          <w:sz w:val="24"/>
        </w:rPr>
        <w:t xml:space="preserve"> </w:t>
      </w:r>
      <w:r>
        <w:rPr>
          <w:sz w:val="24"/>
        </w:rPr>
        <w:t>Este</w:t>
      </w:r>
      <w:r>
        <w:rPr>
          <w:spacing w:val="-5"/>
          <w:sz w:val="24"/>
        </w:rPr>
        <w:t xml:space="preserve"> </w:t>
      </w:r>
      <w:r>
        <w:rPr>
          <w:sz w:val="24"/>
        </w:rPr>
        <w:t>programa</w:t>
      </w:r>
      <w:r>
        <w:rPr>
          <w:spacing w:val="-8"/>
          <w:sz w:val="24"/>
        </w:rPr>
        <w:t xml:space="preserve"> </w:t>
      </w:r>
      <w:r>
        <w:rPr>
          <w:sz w:val="24"/>
        </w:rPr>
        <w:t>tiene el objetivo de Avanzar en la garantía del derecho a la autonomía económica</w:t>
      </w:r>
      <w:r>
        <w:rPr>
          <w:spacing w:val="-19"/>
          <w:sz w:val="24"/>
        </w:rPr>
        <w:t xml:space="preserve"> </w:t>
      </w:r>
      <w:r>
        <w:rPr>
          <w:sz w:val="24"/>
        </w:rPr>
        <w:t>de</w:t>
      </w:r>
      <w:r>
        <w:rPr>
          <w:spacing w:val="-17"/>
          <w:sz w:val="24"/>
        </w:rPr>
        <w:t xml:space="preserve"> </w:t>
      </w:r>
      <w:r>
        <w:rPr>
          <w:sz w:val="24"/>
        </w:rPr>
        <w:t>las</w:t>
      </w:r>
      <w:r>
        <w:rPr>
          <w:spacing w:val="-19"/>
          <w:sz w:val="24"/>
        </w:rPr>
        <w:t xml:space="preserve"> </w:t>
      </w:r>
      <w:r>
        <w:rPr>
          <w:sz w:val="24"/>
        </w:rPr>
        <w:t>mujeres</w:t>
      </w:r>
      <w:r>
        <w:rPr>
          <w:spacing w:val="-19"/>
          <w:sz w:val="24"/>
        </w:rPr>
        <w:t xml:space="preserve"> </w:t>
      </w:r>
      <w:r>
        <w:rPr>
          <w:sz w:val="24"/>
        </w:rPr>
        <w:t>en</w:t>
      </w:r>
      <w:r>
        <w:rPr>
          <w:spacing w:val="-19"/>
          <w:sz w:val="24"/>
        </w:rPr>
        <w:t xml:space="preserve"> </w:t>
      </w:r>
      <w:r>
        <w:rPr>
          <w:sz w:val="24"/>
        </w:rPr>
        <w:t>todas</w:t>
      </w:r>
      <w:r>
        <w:rPr>
          <w:spacing w:val="-19"/>
          <w:sz w:val="24"/>
        </w:rPr>
        <w:t xml:space="preserve"> </w:t>
      </w:r>
      <w:r>
        <w:rPr>
          <w:sz w:val="24"/>
        </w:rPr>
        <w:t>sus</w:t>
      </w:r>
      <w:r>
        <w:rPr>
          <w:spacing w:val="-19"/>
          <w:sz w:val="24"/>
        </w:rPr>
        <w:t xml:space="preserve"> </w:t>
      </w:r>
      <w:r>
        <w:rPr>
          <w:sz w:val="24"/>
        </w:rPr>
        <w:t>diversidades</w:t>
      </w:r>
      <w:r>
        <w:rPr>
          <w:spacing w:val="-19"/>
          <w:sz w:val="24"/>
        </w:rPr>
        <w:t xml:space="preserve"> </w:t>
      </w:r>
      <w:r>
        <w:rPr>
          <w:sz w:val="24"/>
        </w:rPr>
        <w:t>facilitando</w:t>
      </w:r>
      <w:r>
        <w:rPr>
          <w:spacing w:val="-18"/>
          <w:sz w:val="24"/>
        </w:rPr>
        <w:t xml:space="preserve"> </w:t>
      </w:r>
      <w:r>
        <w:rPr>
          <w:sz w:val="24"/>
        </w:rPr>
        <w:t>las condiciones para la realización de una vida digna, el fortalecimiento de los procesos asociativos de las mujeres y el vínculo con los circuitos de economía popular, comunitaria y solidaria, y responde al problema de política pública de barreras que</w:t>
      </w:r>
      <w:r>
        <w:rPr>
          <w:spacing w:val="-3"/>
          <w:sz w:val="24"/>
        </w:rPr>
        <w:t xml:space="preserve"> </w:t>
      </w:r>
      <w:r>
        <w:rPr>
          <w:sz w:val="24"/>
        </w:rPr>
        <w:t>enfrentan</w:t>
      </w:r>
      <w:r>
        <w:rPr>
          <w:spacing w:val="-4"/>
          <w:sz w:val="24"/>
        </w:rPr>
        <w:t xml:space="preserve"> </w:t>
      </w:r>
      <w:r>
        <w:rPr>
          <w:sz w:val="24"/>
        </w:rPr>
        <w:t>las</w:t>
      </w:r>
      <w:r>
        <w:rPr>
          <w:spacing w:val="-4"/>
          <w:sz w:val="24"/>
        </w:rPr>
        <w:t xml:space="preserve"> </w:t>
      </w:r>
      <w:r>
        <w:rPr>
          <w:sz w:val="24"/>
        </w:rPr>
        <w:t>mujeres</w:t>
      </w:r>
      <w:r>
        <w:rPr>
          <w:spacing w:val="-4"/>
          <w:sz w:val="24"/>
        </w:rPr>
        <w:t xml:space="preserve"> </w:t>
      </w:r>
      <w:r>
        <w:rPr>
          <w:sz w:val="24"/>
        </w:rPr>
        <w:t>en</w:t>
      </w:r>
      <w:r>
        <w:rPr>
          <w:spacing w:val="-4"/>
          <w:sz w:val="24"/>
        </w:rPr>
        <w:t xml:space="preserve"> </w:t>
      </w:r>
      <w:r>
        <w:rPr>
          <w:sz w:val="24"/>
        </w:rPr>
        <w:t>todas</w:t>
      </w:r>
      <w:r>
        <w:rPr>
          <w:spacing w:val="-4"/>
          <w:sz w:val="24"/>
        </w:rPr>
        <w:t xml:space="preserve"> </w:t>
      </w:r>
      <w:r>
        <w:rPr>
          <w:sz w:val="24"/>
        </w:rPr>
        <w:t>sus</w:t>
      </w:r>
      <w:r>
        <w:rPr>
          <w:spacing w:val="-2"/>
          <w:sz w:val="24"/>
        </w:rPr>
        <w:t xml:space="preserve"> </w:t>
      </w:r>
      <w:r>
        <w:rPr>
          <w:sz w:val="24"/>
        </w:rPr>
        <w:t>diversidades</w:t>
      </w:r>
      <w:r>
        <w:rPr>
          <w:spacing w:val="-2"/>
          <w:sz w:val="24"/>
        </w:rPr>
        <w:t xml:space="preserve"> </w:t>
      </w:r>
      <w:r>
        <w:rPr>
          <w:sz w:val="24"/>
        </w:rPr>
        <w:t>para</w:t>
      </w:r>
      <w:r>
        <w:rPr>
          <w:spacing w:val="-3"/>
          <w:sz w:val="24"/>
        </w:rPr>
        <w:t xml:space="preserve"> </w:t>
      </w:r>
      <w:r>
        <w:rPr>
          <w:sz w:val="24"/>
        </w:rPr>
        <w:t>el</w:t>
      </w:r>
      <w:r>
        <w:rPr>
          <w:spacing w:val="-2"/>
          <w:sz w:val="24"/>
        </w:rPr>
        <w:t xml:space="preserve"> </w:t>
      </w:r>
      <w:r>
        <w:rPr>
          <w:sz w:val="24"/>
        </w:rPr>
        <w:t>goce efectivo del derecho a la autonomía económica por cuenta de las cargas</w:t>
      </w:r>
      <w:r>
        <w:rPr>
          <w:spacing w:val="-22"/>
          <w:sz w:val="24"/>
        </w:rPr>
        <w:t xml:space="preserve"> </w:t>
      </w:r>
      <w:r>
        <w:rPr>
          <w:sz w:val="24"/>
        </w:rPr>
        <w:t>económicas,</w:t>
      </w:r>
      <w:r>
        <w:rPr>
          <w:spacing w:val="-17"/>
          <w:sz w:val="24"/>
        </w:rPr>
        <w:t xml:space="preserve"> </w:t>
      </w:r>
      <w:r>
        <w:rPr>
          <w:sz w:val="24"/>
        </w:rPr>
        <w:t>sociales</w:t>
      </w:r>
      <w:r>
        <w:rPr>
          <w:spacing w:val="-22"/>
          <w:sz w:val="24"/>
        </w:rPr>
        <w:t xml:space="preserve"> </w:t>
      </w:r>
      <w:r>
        <w:rPr>
          <w:sz w:val="24"/>
        </w:rPr>
        <w:t>y</w:t>
      </w:r>
      <w:r>
        <w:rPr>
          <w:spacing w:val="-19"/>
          <w:sz w:val="24"/>
        </w:rPr>
        <w:t xml:space="preserve"> </w:t>
      </w:r>
      <w:r>
        <w:rPr>
          <w:sz w:val="24"/>
        </w:rPr>
        <w:t>de</w:t>
      </w:r>
      <w:r>
        <w:rPr>
          <w:spacing w:val="-21"/>
          <w:sz w:val="24"/>
        </w:rPr>
        <w:t xml:space="preserve"> </w:t>
      </w:r>
      <w:r>
        <w:rPr>
          <w:sz w:val="24"/>
        </w:rPr>
        <w:t>cuidado</w:t>
      </w:r>
      <w:r>
        <w:rPr>
          <w:spacing w:val="-21"/>
          <w:sz w:val="24"/>
        </w:rPr>
        <w:t xml:space="preserve"> </w:t>
      </w:r>
      <w:r>
        <w:rPr>
          <w:sz w:val="24"/>
        </w:rPr>
        <w:t>que</w:t>
      </w:r>
      <w:r>
        <w:rPr>
          <w:spacing w:val="-21"/>
          <w:sz w:val="24"/>
        </w:rPr>
        <w:t xml:space="preserve"> </w:t>
      </w:r>
      <w:r>
        <w:rPr>
          <w:sz w:val="24"/>
        </w:rPr>
        <w:t>determinan</w:t>
      </w:r>
      <w:r>
        <w:rPr>
          <w:spacing w:val="-22"/>
          <w:sz w:val="24"/>
        </w:rPr>
        <w:t xml:space="preserve"> </w:t>
      </w:r>
      <w:r>
        <w:rPr>
          <w:sz w:val="24"/>
        </w:rPr>
        <w:t>la</w:t>
      </w:r>
      <w:r>
        <w:rPr>
          <w:spacing w:val="-18"/>
          <w:sz w:val="24"/>
        </w:rPr>
        <w:t xml:space="preserve"> </w:t>
      </w:r>
      <w:r>
        <w:rPr>
          <w:sz w:val="24"/>
        </w:rPr>
        <w:t>forma en que acceden a los recursos y hacen uso de estos.</w:t>
      </w:r>
    </w:p>
    <w:p w14:paraId="03E77F9C" w14:textId="77777777" w:rsidR="000E52B0" w:rsidRDefault="00F60D74">
      <w:pPr>
        <w:pStyle w:val="Prrafodelista"/>
        <w:numPr>
          <w:ilvl w:val="0"/>
          <w:numId w:val="49"/>
        </w:numPr>
        <w:tabs>
          <w:tab w:val="left" w:pos="1797"/>
          <w:tab w:val="left" w:pos="1800"/>
        </w:tabs>
        <w:spacing w:before="1"/>
        <w:ind w:right="718"/>
        <w:jc w:val="both"/>
        <w:rPr>
          <w:sz w:val="24"/>
        </w:rPr>
      </w:pPr>
      <w:r>
        <w:rPr>
          <w:b/>
          <w:sz w:val="24"/>
        </w:rPr>
        <w:t>Abordaje</w:t>
      </w:r>
      <w:r>
        <w:rPr>
          <w:b/>
          <w:spacing w:val="-5"/>
          <w:sz w:val="24"/>
        </w:rPr>
        <w:t xml:space="preserve"> </w:t>
      </w:r>
      <w:r>
        <w:rPr>
          <w:b/>
          <w:sz w:val="24"/>
        </w:rPr>
        <w:t>integral</w:t>
      </w:r>
      <w:r>
        <w:rPr>
          <w:b/>
          <w:spacing w:val="-7"/>
          <w:sz w:val="24"/>
        </w:rPr>
        <w:t xml:space="preserve"> </w:t>
      </w:r>
      <w:r>
        <w:rPr>
          <w:b/>
          <w:sz w:val="24"/>
        </w:rPr>
        <w:t>de</w:t>
      </w:r>
      <w:r>
        <w:rPr>
          <w:b/>
          <w:spacing w:val="-5"/>
          <w:sz w:val="24"/>
        </w:rPr>
        <w:t xml:space="preserve"> </w:t>
      </w:r>
      <w:r>
        <w:rPr>
          <w:b/>
          <w:sz w:val="24"/>
        </w:rPr>
        <w:t>las</w:t>
      </w:r>
      <w:r>
        <w:rPr>
          <w:b/>
          <w:spacing w:val="-5"/>
          <w:sz w:val="24"/>
        </w:rPr>
        <w:t xml:space="preserve"> </w:t>
      </w:r>
      <w:r>
        <w:rPr>
          <w:b/>
          <w:sz w:val="24"/>
        </w:rPr>
        <w:t>violencias</w:t>
      </w:r>
      <w:r>
        <w:rPr>
          <w:b/>
          <w:spacing w:val="-5"/>
          <w:sz w:val="24"/>
        </w:rPr>
        <w:t xml:space="preserve"> </w:t>
      </w:r>
      <w:r>
        <w:rPr>
          <w:b/>
          <w:sz w:val="24"/>
        </w:rPr>
        <w:t>contra</w:t>
      </w:r>
      <w:r>
        <w:rPr>
          <w:b/>
          <w:spacing w:val="-3"/>
          <w:sz w:val="24"/>
        </w:rPr>
        <w:t xml:space="preserve"> </w:t>
      </w:r>
      <w:r>
        <w:rPr>
          <w:b/>
          <w:sz w:val="24"/>
        </w:rPr>
        <w:t>las</w:t>
      </w:r>
      <w:r>
        <w:rPr>
          <w:b/>
          <w:spacing w:val="-5"/>
          <w:sz w:val="24"/>
        </w:rPr>
        <w:t xml:space="preserve"> </w:t>
      </w:r>
      <w:r>
        <w:rPr>
          <w:b/>
          <w:sz w:val="24"/>
        </w:rPr>
        <w:t>mujeres:</w:t>
      </w:r>
      <w:r>
        <w:rPr>
          <w:b/>
          <w:spacing w:val="-2"/>
          <w:sz w:val="24"/>
        </w:rPr>
        <w:t xml:space="preserve"> </w:t>
      </w:r>
      <w:r>
        <w:rPr>
          <w:sz w:val="24"/>
        </w:rPr>
        <w:t>Este programa tiene el objetivo de Avanzar en la garantía del derecho de</w:t>
      </w:r>
      <w:r>
        <w:rPr>
          <w:spacing w:val="-17"/>
          <w:sz w:val="24"/>
        </w:rPr>
        <w:t xml:space="preserve"> </w:t>
      </w:r>
      <w:r>
        <w:rPr>
          <w:sz w:val="24"/>
        </w:rPr>
        <w:t>las</w:t>
      </w:r>
      <w:r>
        <w:rPr>
          <w:spacing w:val="-19"/>
          <w:sz w:val="24"/>
        </w:rPr>
        <w:t xml:space="preserve"> </w:t>
      </w:r>
      <w:r>
        <w:rPr>
          <w:sz w:val="24"/>
        </w:rPr>
        <w:t>mujeres</w:t>
      </w:r>
      <w:r>
        <w:rPr>
          <w:spacing w:val="-19"/>
          <w:sz w:val="24"/>
        </w:rPr>
        <w:t xml:space="preserve"> </w:t>
      </w:r>
      <w:r>
        <w:rPr>
          <w:sz w:val="24"/>
        </w:rPr>
        <w:t>a</w:t>
      </w:r>
      <w:r>
        <w:rPr>
          <w:spacing w:val="-18"/>
          <w:sz w:val="24"/>
        </w:rPr>
        <w:t xml:space="preserve"> </w:t>
      </w:r>
      <w:r>
        <w:rPr>
          <w:sz w:val="24"/>
        </w:rPr>
        <w:t>vidas</w:t>
      </w:r>
      <w:r>
        <w:rPr>
          <w:spacing w:val="-19"/>
          <w:sz w:val="24"/>
        </w:rPr>
        <w:t xml:space="preserve"> </w:t>
      </w:r>
      <w:r>
        <w:rPr>
          <w:sz w:val="24"/>
        </w:rPr>
        <w:t>libres</w:t>
      </w:r>
      <w:r>
        <w:rPr>
          <w:spacing w:val="-19"/>
          <w:sz w:val="24"/>
        </w:rPr>
        <w:t xml:space="preserve"> </w:t>
      </w:r>
      <w:r>
        <w:rPr>
          <w:sz w:val="24"/>
        </w:rPr>
        <w:t>de</w:t>
      </w:r>
      <w:r>
        <w:rPr>
          <w:spacing w:val="-17"/>
          <w:sz w:val="24"/>
        </w:rPr>
        <w:t xml:space="preserve"> </w:t>
      </w:r>
      <w:r>
        <w:rPr>
          <w:sz w:val="24"/>
        </w:rPr>
        <w:t>violencias,</w:t>
      </w:r>
      <w:r>
        <w:rPr>
          <w:spacing w:val="-20"/>
          <w:sz w:val="24"/>
        </w:rPr>
        <w:t xml:space="preserve"> </w:t>
      </w:r>
      <w:r>
        <w:rPr>
          <w:sz w:val="24"/>
        </w:rPr>
        <w:t>y</w:t>
      </w:r>
      <w:r>
        <w:rPr>
          <w:spacing w:val="-19"/>
          <w:sz w:val="24"/>
        </w:rPr>
        <w:t xml:space="preserve"> </w:t>
      </w:r>
      <w:r>
        <w:rPr>
          <w:sz w:val="24"/>
        </w:rPr>
        <w:t>responde</w:t>
      </w:r>
      <w:r>
        <w:rPr>
          <w:spacing w:val="-17"/>
          <w:sz w:val="24"/>
        </w:rPr>
        <w:t xml:space="preserve"> </w:t>
      </w:r>
      <w:r>
        <w:rPr>
          <w:sz w:val="24"/>
        </w:rPr>
        <w:t>al</w:t>
      </w:r>
      <w:r>
        <w:rPr>
          <w:spacing w:val="-20"/>
          <w:sz w:val="24"/>
        </w:rPr>
        <w:t xml:space="preserve"> </w:t>
      </w:r>
      <w:r>
        <w:rPr>
          <w:sz w:val="24"/>
        </w:rPr>
        <w:t>problema de política pública de acción preventiva del Estado y la respuesta institucional frente a las violencias contra las mujeres inefectiva para</w:t>
      </w:r>
      <w:r>
        <w:rPr>
          <w:spacing w:val="-13"/>
          <w:sz w:val="24"/>
        </w:rPr>
        <w:t xml:space="preserve"> </w:t>
      </w:r>
      <w:r>
        <w:rPr>
          <w:sz w:val="24"/>
        </w:rPr>
        <w:t>salvar</w:t>
      </w:r>
      <w:r>
        <w:rPr>
          <w:spacing w:val="-13"/>
          <w:sz w:val="24"/>
        </w:rPr>
        <w:t xml:space="preserve"> </w:t>
      </w:r>
      <w:r>
        <w:rPr>
          <w:sz w:val="24"/>
        </w:rPr>
        <w:t>la</w:t>
      </w:r>
      <w:r>
        <w:rPr>
          <w:spacing w:val="-14"/>
          <w:sz w:val="24"/>
        </w:rPr>
        <w:t xml:space="preserve"> </w:t>
      </w:r>
      <w:r>
        <w:rPr>
          <w:sz w:val="24"/>
        </w:rPr>
        <w:t>vida</w:t>
      </w:r>
      <w:r>
        <w:rPr>
          <w:spacing w:val="-14"/>
          <w:sz w:val="24"/>
        </w:rPr>
        <w:t xml:space="preserve"> </w:t>
      </w:r>
      <w:r>
        <w:rPr>
          <w:sz w:val="24"/>
        </w:rPr>
        <w:t>de</w:t>
      </w:r>
      <w:r>
        <w:rPr>
          <w:spacing w:val="-13"/>
          <w:sz w:val="24"/>
        </w:rPr>
        <w:t xml:space="preserve"> </w:t>
      </w:r>
      <w:r>
        <w:rPr>
          <w:sz w:val="24"/>
        </w:rPr>
        <w:t>las</w:t>
      </w:r>
      <w:r>
        <w:rPr>
          <w:spacing w:val="-14"/>
          <w:sz w:val="24"/>
        </w:rPr>
        <w:t xml:space="preserve"> </w:t>
      </w:r>
      <w:r>
        <w:rPr>
          <w:sz w:val="24"/>
        </w:rPr>
        <w:t>mujeres</w:t>
      </w:r>
      <w:r>
        <w:rPr>
          <w:spacing w:val="-14"/>
          <w:sz w:val="24"/>
        </w:rPr>
        <w:t xml:space="preserve"> </w:t>
      </w:r>
      <w:r>
        <w:rPr>
          <w:sz w:val="24"/>
        </w:rPr>
        <w:t>y</w:t>
      </w:r>
      <w:r>
        <w:rPr>
          <w:spacing w:val="-14"/>
          <w:sz w:val="24"/>
        </w:rPr>
        <w:t xml:space="preserve"> </w:t>
      </w:r>
      <w:r>
        <w:rPr>
          <w:sz w:val="24"/>
        </w:rPr>
        <w:t>garantizarles</w:t>
      </w:r>
      <w:r>
        <w:rPr>
          <w:spacing w:val="-13"/>
          <w:sz w:val="24"/>
        </w:rPr>
        <w:t xml:space="preserve"> </w:t>
      </w:r>
      <w:r>
        <w:rPr>
          <w:sz w:val="24"/>
        </w:rPr>
        <w:t>una</w:t>
      </w:r>
      <w:r>
        <w:rPr>
          <w:spacing w:val="-14"/>
          <w:sz w:val="24"/>
        </w:rPr>
        <w:t xml:space="preserve"> </w:t>
      </w:r>
      <w:r>
        <w:rPr>
          <w:sz w:val="24"/>
        </w:rPr>
        <w:t>vida</w:t>
      </w:r>
      <w:r>
        <w:rPr>
          <w:spacing w:val="-11"/>
          <w:sz w:val="24"/>
        </w:rPr>
        <w:t xml:space="preserve"> </w:t>
      </w:r>
      <w:r>
        <w:rPr>
          <w:sz w:val="24"/>
        </w:rPr>
        <w:t>libre</w:t>
      </w:r>
      <w:r>
        <w:rPr>
          <w:spacing w:val="-12"/>
          <w:sz w:val="24"/>
        </w:rPr>
        <w:t xml:space="preserve"> </w:t>
      </w:r>
      <w:r>
        <w:rPr>
          <w:sz w:val="24"/>
        </w:rPr>
        <w:t xml:space="preserve">de </w:t>
      </w:r>
      <w:r>
        <w:rPr>
          <w:spacing w:val="-2"/>
          <w:sz w:val="24"/>
        </w:rPr>
        <w:t>violencias.</w:t>
      </w:r>
    </w:p>
    <w:p w14:paraId="6317387F" w14:textId="77777777" w:rsidR="000E52B0" w:rsidRDefault="00F60D74">
      <w:pPr>
        <w:pStyle w:val="Prrafodelista"/>
        <w:numPr>
          <w:ilvl w:val="0"/>
          <w:numId w:val="49"/>
        </w:numPr>
        <w:tabs>
          <w:tab w:val="left" w:pos="1800"/>
        </w:tabs>
        <w:ind w:right="717"/>
        <w:jc w:val="both"/>
        <w:rPr>
          <w:sz w:val="24"/>
        </w:rPr>
      </w:pPr>
      <w:r>
        <w:rPr>
          <w:b/>
          <w:sz w:val="24"/>
        </w:rPr>
        <w:t xml:space="preserve">Mujeres en el centro de la política, la vida, la paz y el territorio: </w:t>
      </w:r>
      <w:r>
        <w:rPr>
          <w:sz w:val="24"/>
        </w:rPr>
        <w:t>Este programa tiene como objetivo garantizar las condiciones para el fortalecimiento de los procesos organizativos y comunitarios, liderazgos e iniciativas de las mujeres para la participación incidente en escenarios sociales, políticos, económicos, culturales, ambientales y de construcción de paz, y responde de manera particular al problema de política pública de barreras para el ejercicio seguro y decisorio del liderazgo individual y colectivo de las mujeres, para su participación en escenarios</w:t>
      </w:r>
      <w:r>
        <w:rPr>
          <w:spacing w:val="-6"/>
          <w:sz w:val="24"/>
        </w:rPr>
        <w:t xml:space="preserve"> </w:t>
      </w:r>
      <w:r>
        <w:rPr>
          <w:sz w:val="24"/>
        </w:rPr>
        <w:t>para</w:t>
      </w:r>
      <w:r>
        <w:rPr>
          <w:spacing w:val="-6"/>
          <w:sz w:val="24"/>
        </w:rPr>
        <w:t xml:space="preserve"> </w:t>
      </w:r>
      <w:r>
        <w:rPr>
          <w:sz w:val="24"/>
        </w:rPr>
        <w:t>la</w:t>
      </w:r>
      <w:r>
        <w:rPr>
          <w:spacing w:val="-7"/>
          <w:sz w:val="24"/>
        </w:rPr>
        <w:t xml:space="preserve"> </w:t>
      </w:r>
      <w:r>
        <w:rPr>
          <w:sz w:val="24"/>
        </w:rPr>
        <w:t>toma</w:t>
      </w:r>
      <w:r>
        <w:rPr>
          <w:spacing w:val="-6"/>
          <w:sz w:val="24"/>
        </w:rPr>
        <w:t xml:space="preserve"> </w:t>
      </w:r>
      <w:r>
        <w:rPr>
          <w:sz w:val="24"/>
        </w:rPr>
        <w:t>de</w:t>
      </w:r>
      <w:r>
        <w:rPr>
          <w:spacing w:val="-5"/>
          <w:sz w:val="24"/>
        </w:rPr>
        <w:t xml:space="preserve"> </w:t>
      </w:r>
      <w:r>
        <w:rPr>
          <w:sz w:val="24"/>
        </w:rPr>
        <w:t>decisiones,</w:t>
      </w:r>
      <w:r>
        <w:rPr>
          <w:spacing w:val="-5"/>
          <w:sz w:val="24"/>
        </w:rPr>
        <w:t xml:space="preserve"> </w:t>
      </w:r>
      <w:r>
        <w:rPr>
          <w:sz w:val="24"/>
        </w:rPr>
        <w:t>la</w:t>
      </w:r>
      <w:r>
        <w:rPr>
          <w:spacing w:val="-6"/>
          <w:sz w:val="24"/>
        </w:rPr>
        <w:t xml:space="preserve"> </w:t>
      </w:r>
      <w:r>
        <w:rPr>
          <w:sz w:val="24"/>
        </w:rPr>
        <w:t>construcción</w:t>
      </w:r>
      <w:r>
        <w:rPr>
          <w:spacing w:val="-5"/>
          <w:sz w:val="24"/>
        </w:rPr>
        <w:t xml:space="preserve"> </w:t>
      </w:r>
      <w:r>
        <w:rPr>
          <w:sz w:val="24"/>
        </w:rPr>
        <w:t>de</w:t>
      </w:r>
      <w:r>
        <w:rPr>
          <w:spacing w:val="-5"/>
          <w:sz w:val="24"/>
        </w:rPr>
        <w:t xml:space="preserve"> </w:t>
      </w:r>
      <w:r>
        <w:rPr>
          <w:sz w:val="24"/>
        </w:rPr>
        <w:t>paz</w:t>
      </w:r>
      <w:r>
        <w:rPr>
          <w:spacing w:val="-6"/>
          <w:sz w:val="24"/>
        </w:rPr>
        <w:t xml:space="preserve"> </w:t>
      </w:r>
      <w:r>
        <w:rPr>
          <w:sz w:val="24"/>
        </w:rPr>
        <w:t>y</w:t>
      </w:r>
      <w:r>
        <w:rPr>
          <w:spacing w:val="-7"/>
          <w:sz w:val="24"/>
        </w:rPr>
        <w:t xml:space="preserve"> </w:t>
      </w:r>
      <w:r>
        <w:rPr>
          <w:sz w:val="24"/>
        </w:rPr>
        <w:t>la defensa de los territorios y la vida.</w:t>
      </w:r>
    </w:p>
    <w:p w14:paraId="0CDF3C27" w14:textId="77777777" w:rsidR="000E52B0" w:rsidRDefault="00F60D74">
      <w:pPr>
        <w:pStyle w:val="Prrafodelista"/>
        <w:numPr>
          <w:ilvl w:val="0"/>
          <w:numId w:val="49"/>
        </w:numPr>
        <w:tabs>
          <w:tab w:val="left" w:pos="1798"/>
          <w:tab w:val="left" w:pos="1800"/>
        </w:tabs>
        <w:ind w:right="720"/>
        <w:jc w:val="both"/>
        <w:rPr>
          <w:sz w:val="24"/>
        </w:rPr>
      </w:pPr>
      <w:r>
        <w:rPr>
          <w:b/>
          <w:sz w:val="24"/>
        </w:rPr>
        <w:t>Mujeres fortalecidas en la salvaguarda de la familia extensa</w:t>
      </w:r>
      <w:r>
        <w:rPr>
          <w:sz w:val="24"/>
        </w:rPr>
        <w:t>: Este programa tiene el objetivo de Avanzar en la garantía</w:t>
      </w:r>
      <w:r>
        <w:rPr>
          <w:spacing w:val="-16"/>
          <w:sz w:val="24"/>
        </w:rPr>
        <w:t xml:space="preserve"> </w:t>
      </w:r>
      <w:r>
        <w:rPr>
          <w:sz w:val="24"/>
        </w:rPr>
        <w:t>a</w:t>
      </w:r>
      <w:r>
        <w:rPr>
          <w:spacing w:val="-15"/>
          <w:sz w:val="24"/>
        </w:rPr>
        <w:t xml:space="preserve"> </w:t>
      </w:r>
      <w:r>
        <w:rPr>
          <w:sz w:val="24"/>
        </w:rPr>
        <w:t>una</w:t>
      </w:r>
      <w:r>
        <w:rPr>
          <w:spacing w:val="-16"/>
          <w:sz w:val="24"/>
        </w:rPr>
        <w:t xml:space="preserve"> </w:t>
      </w:r>
      <w:r>
        <w:rPr>
          <w:sz w:val="24"/>
        </w:rPr>
        <w:t>vida</w:t>
      </w:r>
      <w:r>
        <w:rPr>
          <w:spacing w:val="-15"/>
          <w:sz w:val="24"/>
        </w:rPr>
        <w:t xml:space="preserve"> </w:t>
      </w:r>
      <w:r>
        <w:rPr>
          <w:sz w:val="24"/>
        </w:rPr>
        <w:t>digna</w:t>
      </w:r>
      <w:r>
        <w:rPr>
          <w:spacing w:val="-15"/>
          <w:sz w:val="24"/>
        </w:rPr>
        <w:t xml:space="preserve"> </w:t>
      </w:r>
      <w:r>
        <w:rPr>
          <w:sz w:val="24"/>
        </w:rPr>
        <w:t>para</w:t>
      </w:r>
      <w:r>
        <w:rPr>
          <w:spacing w:val="-16"/>
          <w:sz w:val="24"/>
        </w:rPr>
        <w:t xml:space="preserve"> </w:t>
      </w:r>
      <w:r>
        <w:rPr>
          <w:sz w:val="24"/>
        </w:rPr>
        <w:t>las</w:t>
      </w:r>
      <w:r>
        <w:rPr>
          <w:spacing w:val="-15"/>
          <w:sz w:val="24"/>
        </w:rPr>
        <w:t xml:space="preserve"> </w:t>
      </w:r>
      <w:r>
        <w:rPr>
          <w:sz w:val="24"/>
        </w:rPr>
        <w:t>mujeres</w:t>
      </w:r>
      <w:r>
        <w:rPr>
          <w:spacing w:val="-16"/>
          <w:sz w:val="24"/>
        </w:rPr>
        <w:t xml:space="preserve"> </w:t>
      </w:r>
      <w:r>
        <w:rPr>
          <w:sz w:val="24"/>
        </w:rPr>
        <w:t>cabeza</w:t>
      </w:r>
      <w:r>
        <w:rPr>
          <w:spacing w:val="-16"/>
          <w:sz w:val="24"/>
        </w:rPr>
        <w:t xml:space="preserve"> </w:t>
      </w:r>
      <w:r>
        <w:rPr>
          <w:sz w:val="24"/>
        </w:rPr>
        <w:t>de</w:t>
      </w:r>
      <w:r>
        <w:rPr>
          <w:spacing w:val="-15"/>
          <w:sz w:val="24"/>
        </w:rPr>
        <w:t xml:space="preserve"> </w:t>
      </w:r>
      <w:r>
        <w:rPr>
          <w:sz w:val="24"/>
        </w:rPr>
        <w:t>familia</w:t>
      </w:r>
      <w:r>
        <w:rPr>
          <w:spacing w:val="-16"/>
          <w:sz w:val="24"/>
        </w:rPr>
        <w:t xml:space="preserve"> </w:t>
      </w:r>
      <w:r>
        <w:rPr>
          <w:sz w:val="24"/>
        </w:rPr>
        <w:t>y</w:t>
      </w:r>
      <w:r>
        <w:rPr>
          <w:spacing w:val="-16"/>
          <w:sz w:val="24"/>
        </w:rPr>
        <w:t xml:space="preserve"> </w:t>
      </w:r>
      <w:r>
        <w:rPr>
          <w:sz w:val="24"/>
        </w:rPr>
        <w:t>sus familias,</w:t>
      </w:r>
      <w:r>
        <w:rPr>
          <w:spacing w:val="25"/>
          <w:sz w:val="24"/>
        </w:rPr>
        <w:t xml:space="preserve"> </w:t>
      </w:r>
      <w:r>
        <w:rPr>
          <w:sz w:val="24"/>
        </w:rPr>
        <w:t>y</w:t>
      </w:r>
      <w:r>
        <w:rPr>
          <w:spacing w:val="25"/>
          <w:sz w:val="24"/>
        </w:rPr>
        <w:t xml:space="preserve"> </w:t>
      </w:r>
      <w:r>
        <w:rPr>
          <w:sz w:val="24"/>
        </w:rPr>
        <w:t>responde</w:t>
      </w:r>
      <w:r>
        <w:rPr>
          <w:spacing w:val="24"/>
          <w:sz w:val="24"/>
        </w:rPr>
        <w:t xml:space="preserve"> </w:t>
      </w:r>
      <w:r>
        <w:rPr>
          <w:sz w:val="24"/>
        </w:rPr>
        <w:t>al</w:t>
      </w:r>
      <w:r>
        <w:rPr>
          <w:spacing w:val="25"/>
          <w:sz w:val="24"/>
        </w:rPr>
        <w:t xml:space="preserve"> </w:t>
      </w:r>
      <w:r>
        <w:rPr>
          <w:sz w:val="24"/>
        </w:rPr>
        <w:t>problema</w:t>
      </w:r>
      <w:r>
        <w:rPr>
          <w:spacing w:val="26"/>
          <w:sz w:val="24"/>
        </w:rPr>
        <w:t xml:space="preserve"> </w:t>
      </w:r>
      <w:r>
        <w:rPr>
          <w:sz w:val="24"/>
        </w:rPr>
        <w:t>de</w:t>
      </w:r>
      <w:r>
        <w:rPr>
          <w:spacing w:val="24"/>
          <w:sz w:val="24"/>
        </w:rPr>
        <w:t xml:space="preserve"> </w:t>
      </w:r>
      <w:r>
        <w:rPr>
          <w:sz w:val="24"/>
        </w:rPr>
        <w:t>política</w:t>
      </w:r>
      <w:r>
        <w:rPr>
          <w:spacing w:val="26"/>
          <w:sz w:val="24"/>
        </w:rPr>
        <w:t xml:space="preserve"> </w:t>
      </w:r>
      <w:r>
        <w:rPr>
          <w:sz w:val="24"/>
        </w:rPr>
        <w:t>pública</w:t>
      </w:r>
      <w:r>
        <w:rPr>
          <w:spacing w:val="25"/>
          <w:sz w:val="24"/>
        </w:rPr>
        <w:t xml:space="preserve"> </w:t>
      </w:r>
      <w:r>
        <w:rPr>
          <w:sz w:val="24"/>
        </w:rPr>
        <w:t>de</w:t>
      </w:r>
      <w:r>
        <w:rPr>
          <w:spacing w:val="27"/>
          <w:sz w:val="24"/>
        </w:rPr>
        <w:t xml:space="preserve"> </w:t>
      </w:r>
      <w:r>
        <w:rPr>
          <w:sz w:val="24"/>
        </w:rPr>
        <w:t>barreras</w:t>
      </w:r>
    </w:p>
    <w:p w14:paraId="6B1359BD" w14:textId="77777777" w:rsidR="000E52B0" w:rsidRDefault="000E52B0">
      <w:pPr>
        <w:pStyle w:val="Prrafodelista"/>
        <w:jc w:val="both"/>
        <w:rPr>
          <w:sz w:val="24"/>
        </w:rPr>
        <w:sectPr w:rsidR="000E52B0">
          <w:pgSz w:w="11910" w:h="16840"/>
          <w:pgMar w:top="1340" w:right="720" w:bottom="1180" w:left="720" w:header="0" w:footer="995" w:gutter="0"/>
          <w:cols w:space="720"/>
        </w:sectPr>
      </w:pPr>
    </w:p>
    <w:p w14:paraId="6066A2FE" w14:textId="77777777" w:rsidR="000E52B0" w:rsidRDefault="00F60D74">
      <w:pPr>
        <w:pStyle w:val="Textoindependiente"/>
        <w:spacing w:before="83"/>
        <w:ind w:left="1800" w:right="722"/>
        <w:jc w:val="both"/>
      </w:pPr>
      <w:r>
        <w:lastRenderedPageBreak/>
        <w:t>que enfrentan las mujeres cabeza de familia para acceder a los medios</w:t>
      </w:r>
      <w:r>
        <w:rPr>
          <w:spacing w:val="-22"/>
        </w:rPr>
        <w:t xml:space="preserve"> </w:t>
      </w:r>
      <w:r>
        <w:t>y</w:t>
      </w:r>
      <w:r>
        <w:rPr>
          <w:spacing w:val="-21"/>
        </w:rPr>
        <w:t xml:space="preserve"> </w:t>
      </w:r>
      <w:r>
        <w:t>recursos</w:t>
      </w:r>
      <w:r>
        <w:rPr>
          <w:spacing w:val="-21"/>
        </w:rPr>
        <w:t xml:space="preserve"> </w:t>
      </w:r>
      <w:r>
        <w:t>suficientes</w:t>
      </w:r>
      <w:r>
        <w:rPr>
          <w:spacing w:val="-21"/>
        </w:rPr>
        <w:t xml:space="preserve"> </w:t>
      </w:r>
      <w:r>
        <w:t>para</w:t>
      </w:r>
      <w:r>
        <w:rPr>
          <w:spacing w:val="-21"/>
        </w:rPr>
        <w:t xml:space="preserve"> </w:t>
      </w:r>
      <w:r>
        <w:t>vivir</w:t>
      </w:r>
      <w:r>
        <w:rPr>
          <w:spacing w:val="-21"/>
        </w:rPr>
        <w:t xml:space="preserve"> </w:t>
      </w:r>
      <w:r>
        <w:t>en</w:t>
      </w:r>
      <w:r>
        <w:rPr>
          <w:spacing w:val="-21"/>
        </w:rPr>
        <w:t xml:space="preserve"> </w:t>
      </w:r>
      <w:r>
        <w:t>condiciones</w:t>
      </w:r>
      <w:r>
        <w:rPr>
          <w:spacing w:val="-21"/>
        </w:rPr>
        <w:t xml:space="preserve"> </w:t>
      </w:r>
      <w:r>
        <w:t>de</w:t>
      </w:r>
      <w:r>
        <w:rPr>
          <w:spacing w:val="-21"/>
        </w:rPr>
        <w:t xml:space="preserve"> </w:t>
      </w:r>
      <w:r>
        <w:t>dignidad y construir proyectos individuales, colectivos y comunitarios.</w:t>
      </w:r>
    </w:p>
    <w:p w14:paraId="5C87C383" w14:textId="77777777" w:rsidR="000E52B0" w:rsidRDefault="00F60D74">
      <w:pPr>
        <w:pStyle w:val="Prrafodelista"/>
        <w:numPr>
          <w:ilvl w:val="0"/>
          <w:numId w:val="49"/>
        </w:numPr>
        <w:tabs>
          <w:tab w:val="left" w:pos="1798"/>
          <w:tab w:val="left" w:pos="1800"/>
        </w:tabs>
        <w:ind w:right="716"/>
        <w:jc w:val="both"/>
        <w:rPr>
          <w:sz w:val="24"/>
        </w:rPr>
      </w:pPr>
      <w:r>
        <w:rPr>
          <w:b/>
          <w:sz w:val="24"/>
        </w:rPr>
        <w:t>Garantías,</w:t>
      </w:r>
      <w:r>
        <w:rPr>
          <w:b/>
          <w:spacing w:val="-15"/>
          <w:sz w:val="24"/>
        </w:rPr>
        <w:t xml:space="preserve"> </w:t>
      </w:r>
      <w:r>
        <w:rPr>
          <w:b/>
          <w:sz w:val="24"/>
        </w:rPr>
        <w:t>derechos</w:t>
      </w:r>
      <w:r>
        <w:rPr>
          <w:b/>
          <w:spacing w:val="-14"/>
          <w:sz w:val="24"/>
        </w:rPr>
        <w:t xml:space="preserve"> </w:t>
      </w:r>
      <w:r>
        <w:rPr>
          <w:b/>
          <w:sz w:val="24"/>
        </w:rPr>
        <w:t>y</w:t>
      </w:r>
      <w:r>
        <w:rPr>
          <w:b/>
          <w:spacing w:val="-14"/>
          <w:sz w:val="24"/>
        </w:rPr>
        <w:t xml:space="preserve"> </w:t>
      </w:r>
      <w:r>
        <w:rPr>
          <w:b/>
          <w:sz w:val="24"/>
        </w:rPr>
        <w:t>alternativas</w:t>
      </w:r>
      <w:r>
        <w:rPr>
          <w:b/>
          <w:spacing w:val="-14"/>
          <w:sz w:val="24"/>
        </w:rPr>
        <w:t xml:space="preserve"> </w:t>
      </w:r>
      <w:r>
        <w:rPr>
          <w:b/>
          <w:sz w:val="24"/>
        </w:rPr>
        <w:t>de</w:t>
      </w:r>
      <w:r>
        <w:rPr>
          <w:b/>
          <w:spacing w:val="-14"/>
          <w:sz w:val="24"/>
        </w:rPr>
        <w:t xml:space="preserve"> </w:t>
      </w:r>
      <w:r>
        <w:rPr>
          <w:b/>
          <w:sz w:val="24"/>
        </w:rPr>
        <w:t>vida</w:t>
      </w:r>
      <w:r>
        <w:rPr>
          <w:b/>
          <w:spacing w:val="-13"/>
          <w:sz w:val="24"/>
        </w:rPr>
        <w:t xml:space="preserve"> </w:t>
      </w:r>
      <w:r>
        <w:rPr>
          <w:b/>
          <w:sz w:val="24"/>
        </w:rPr>
        <w:t>para</w:t>
      </w:r>
      <w:r>
        <w:rPr>
          <w:b/>
          <w:spacing w:val="-13"/>
          <w:sz w:val="24"/>
        </w:rPr>
        <w:t xml:space="preserve"> </w:t>
      </w:r>
      <w:r>
        <w:rPr>
          <w:b/>
          <w:sz w:val="24"/>
        </w:rPr>
        <w:t>las</w:t>
      </w:r>
      <w:r>
        <w:rPr>
          <w:b/>
          <w:spacing w:val="-14"/>
          <w:sz w:val="24"/>
        </w:rPr>
        <w:t xml:space="preserve"> </w:t>
      </w:r>
      <w:r>
        <w:rPr>
          <w:b/>
          <w:sz w:val="24"/>
        </w:rPr>
        <w:t>mujeres en</w:t>
      </w:r>
      <w:r>
        <w:rPr>
          <w:b/>
          <w:spacing w:val="-17"/>
          <w:sz w:val="24"/>
        </w:rPr>
        <w:t xml:space="preserve"> </w:t>
      </w:r>
      <w:r>
        <w:rPr>
          <w:b/>
          <w:sz w:val="24"/>
        </w:rPr>
        <w:t>actividades</w:t>
      </w:r>
      <w:r>
        <w:rPr>
          <w:b/>
          <w:spacing w:val="-18"/>
          <w:sz w:val="24"/>
        </w:rPr>
        <w:t xml:space="preserve"> </w:t>
      </w:r>
      <w:r>
        <w:rPr>
          <w:b/>
          <w:sz w:val="24"/>
        </w:rPr>
        <w:t>sexuales</w:t>
      </w:r>
      <w:r>
        <w:rPr>
          <w:b/>
          <w:spacing w:val="-18"/>
          <w:sz w:val="24"/>
        </w:rPr>
        <w:t xml:space="preserve"> </w:t>
      </w:r>
      <w:r>
        <w:rPr>
          <w:b/>
          <w:sz w:val="24"/>
        </w:rPr>
        <w:t>pagas</w:t>
      </w:r>
      <w:r>
        <w:rPr>
          <w:b/>
          <w:spacing w:val="-18"/>
          <w:sz w:val="24"/>
        </w:rPr>
        <w:t xml:space="preserve"> </w:t>
      </w:r>
      <w:r>
        <w:rPr>
          <w:b/>
          <w:sz w:val="24"/>
        </w:rPr>
        <w:t>diversas</w:t>
      </w:r>
      <w:r>
        <w:rPr>
          <w:b/>
          <w:spacing w:val="-17"/>
          <w:sz w:val="24"/>
        </w:rPr>
        <w:t xml:space="preserve"> </w:t>
      </w:r>
      <w:r>
        <w:rPr>
          <w:b/>
          <w:sz w:val="24"/>
        </w:rPr>
        <w:t>y</w:t>
      </w:r>
      <w:r>
        <w:rPr>
          <w:b/>
          <w:spacing w:val="-17"/>
          <w:sz w:val="24"/>
        </w:rPr>
        <w:t xml:space="preserve"> </w:t>
      </w:r>
      <w:r>
        <w:rPr>
          <w:b/>
          <w:sz w:val="24"/>
        </w:rPr>
        <w:t>diferenciales:</w:t>
      </w:r>
      <w:r>
        <w:rPr>
          <w:b/>
          <w:spacing w:val="-16"/>
          <w:sz w:val="24"/>
        </w:rPr>
        <w:t xml:space="preserve"> </w:t>
      </w:r>
      <w:r>
        <w:rPr>
          <w:sz w:val="24"/>
        </w:rPr>
        <w:t>Este programa tiene el objetivo de Avanzar en la protección de los derechos</w:t>
      </w:r>
      <w:r>
        <w:rPr>
          <w:spacing w:val="-11"/>
          <w:sz w:val="24"/>
        </w:rPr>
        <w:t xml:space="preserve"> </w:t>
      </w:r>
      <w:r>
        <w:rPr>
          <w:sz w:val="24"/>
        </w:rPr>
        <w:t>de</w:t>
      </w:r>
      <w:r>
        <w:rPr>
          <w:spacing w:val="-10"/>
          <w:sz w:val="24"/>
        </w:rPr>
        <w:t xml:space="preserve"> </w:t>
      </w:r>
      <w:r>
        <w:rPr>
          <w:sz w:val="24"/>
        </w:rPr>
        <w:t>las</w:t>
      </w:r>
      <w:r>
        <w:rPr>
          <w:spacing w:val="-11"/>
          <w:sz w:val="24"/>
        </w:rPr>
        <w:t xml:space="preserve"> </w:t>
      </w:r>
      <w:r>
        <w:rPr>
          <w:sz w:val="24"/>
        </w:rPr>
        <w:t>Mujeres</w:t>
      </w:r>
      <w:r>
        <w:rPr>
          <w:spacing w:val="-11"/>
          <w:sz w:val="24"/>
        </w:rPr>
        <w:t xml:space="preserve"> </w:t>
      </w:r>
      <w:r>
        <w:rPr>
          <w:sz w:val="24"/>
        </w:rPr>
        <w:t>en</w:t>
      </w:r>
      <w:r>
        <w:rPr>
          <w:spacing w:val="-12"/>
          <w:sz w:val="24"/>
        </w:rPr>
        <w:t xml:space="preserve"> </w:t>
      </w:r>
      <w:r>
        <w:rPr>
          <w:sz w:val="24"/>
        </w:rPr>
        <w:t>Actividades</w:t>
      </w:r>
      <w:r>
        <w:rPr>
          <w:spacing w:val="-11"/>
          <w:sz w:val="24"/>
        </w:rPr>
        <w:t xml:space="preserve"> </w:t>
      </w:r>
      <w:r>
        <w:rPr>
          <w:sz w:val="24"/>
        </w:rPr>
        <w:t>Sexuales</w:t>
      </w:r>
      <w:r>
        <w:rPr>
          <w:spacing w:val="-11"/>
          <w:sz w:val="24"/>
        </w:rPr>
        <w:t xml:space="preserve"> </w:t>
      </w:r>
      <w:r>
        <w:rPr>
          <w:sz w:val="24"/>
        </w:rPr>
        <w:t>Pagas</w:t>
      </w:r>
      <w:r>
        <w:rPr>
          <w:spacing w:val="-11"/>
          <w:sz w:val="24"/>
        </w:rPr>
        <w:t xml:space="preserve"> </w:t>
      </w:r>
      <w:r>
        <w:rPr>
          <w:sz w:val="24"/>
        </w:rPr>
        <w:t>diversas</w:t>
      </w:r>
      <w:r>
        <w:rPr>
          <w:spacing w:val="-12"/>
          <w:sz w:val="24"/>
        </w:rPr>
        <w:t xml:space="preserve"> </w:t>
      </w:r>
      <w:r>
        <w:rPr>
          <w:sz w:val="24"/>
        </w:rPr>
        <w:t>y diferenciales</w:t>
      </w:r>
      <w:r>
        <w:rPr>
          <w:spacing w:val="-9"/>
          <w:sz w:val="24"/>
        </w:rPr>
        <w:t xml:space="preserve"> </w:t>
      </w:r>
      <w:r>
        <w:rPr>
          <w:sz w:val="24"/>
        </w:rPr>
        <w:t>para</w:t>
      </w:r>
      <w:r>
        <w:rPr>
          <w:spacing w:val="-8"/>
          <w:sz w:val="24"/>
        </w:rPr>
        <w:t xml:space="preserve"> </w:t>
      </w:r>
      <w:r>
        <w:rPr>
          <w:sz w:val="24"/>
        </w:rPr>
        <w:t>que</w:t>
      </w:r>
      <w:r>
        <w:rPr>
          <w:spacing w:val="-8"/>
          <w:sz w:val="24"/>
        </w:rPr>
        <w:t xml:space="preserve"> </w:t>
      </w:r>
      <w:r>
        <w:rPr>
          <w:sz w:val="24"/>
        </w:rPr>
        <w:t>vivan</w:t>
      </w:r>
      <w:r>
        <w:rPr>
          <w:spacing w:val="-9"/>
          <w:sz w:val="24"/>
        </w:rPr>
        <w:t xml:space="preserve"> </w:t>
      </w:r>
      <w:r>
        <w:rPr>
          <w:sz w:val="24"/>
        </w:rPr>
        <w:t>en</w:t>
      </w:r>
      <w:r>
        <w:rPr>
          <w:spacing w:val="-7"/>
          <w:sz w:val="24"/>
        </w:rPr>
        <w:t xml:space="preserve"> </w:t>
      </w:r>
      <w:r>
        <w:rPr>
          <w:sz w:val="24"/>
        </w:rPr>
        <w:t>dignidad,</w:t>
      </w:r>
      <w:r>
        <w:rPr>
          <w:spacing w:val="-10"/>
          <w:sz w:val="24"/>
        </w:rPr>
        <w:t xml:space="preserve"> </w:t>
      </w:r>
      <w:r>
        <w:rPr>
          <w:sz w:val="24"/>
        </w:rPr>
        <w:t>libres</w:t>
      </w:r>
      <w:r>
        <w:rPr>
          <w:spacing w:val="-9"/>
          <w:sz w:val="24"/>
        </w:rPr>
        <w:t xml:space="preserve"> </w:t>
      </w:r>
      <w:r>
        <w:rPr>
          <w:sz w:val="24"/>
        </w:rPr>
        <w:t>de</w:t>
      </w:r>
      <w:r>
        <w:rPr>
          <w:spacing w:val="-8"/>
          <w:sz w:val="24"/>
        </w:rPr>
        <w:t xml:space="preserve"> </w:t>
      </w:r>
      <w:r>
        <w:rPr>
          <w:sz w:val="24"/>
        </w:rPr>
        <w:t>violencias</w:t>
      </w:r>
      <w:r>
        <w:rPr>
          <w:spacing w:val="-9"/>
          <w:sz w:val="24"/>
        </w:rPr>
        <w:t xml:space="preserve"> </w:t>
      </w:r>
      <w:r>
        <w:rPr>
          <w:sz w:val="24"/>
        </w:rPr>
        <w:t>y</w:t>
      </w:r>
      <w:r>
        <w:rPr>
          <w:spacing w:val="-9"/>
          <w:sz w:val="24"/>
        </w:rPr>
        <w:t xml:space="preserve"> </w:t>
      </w:r>
      <w:r>
        <w:rPr>
          <w:sz w:val="24"/>
        </w:rPr>
        <w:t>sin discriminación, y responde al problema de política pública de violencias, barreras de acceso a derechos y ausencia de oportunidades económicas que enfrentan las mujeres en actividades sexuales pagas diversas y diferenciales, que les impiden elegir libremente sobre otras alternativas de vida.</w:t>
      </w:r>
    </w:p>
    <w:p w14:paraId="5F645F3D" w14:textId="77777777" w:rsidR="000E52B0" w:rsidRDefault="00F60D74">
      <w:pPr>
        <w:pStyle w:val="Ttulo3"/>
        <w:spacing w:before="161"/>
      </w:pPr>
      <w:bookmarkStart w:id="152" w:name="_bookmark152"/>
      <w:bookmarkEnd w:id="152"/>
      <w:r>
        <w:rPr>
          <w:color w:val="BE8F00"/>
        </w:rPr>
        <w:t>Viceministerio</w:t>
      </w:r>
      <w:r>
        <w:rPr>
          <w:color w:val="BE8F00"/>
          <w:spacing w:val="-5"/>
        </w:rPr>
        <w:t xml:space="preserve"> </w:t>
      </w:r>
      <w:r>
        <w:rPr>
          <w:color w:val="BE8F00"/>
        </w:rPr>
        <w:t>de</w:t>
      </w:r>
      <w:r>
        <w:rPr>
          <w:color w:val="BE8F00"/>
          <w:spacing w:val="-2"/>
        </w:rPr>
        <w:t xml:space="preserve"> </w:t>
      </w:r>
      <w:r>
        <w:rPr>
          <w:color w:val="BE8F00"/>
        </w:rPr>
        <w:t>la</w:t>
      </w:r>
      <w:r>
        <w:rPr>
          <w:color w:val="BE8F00"/>
          <w:spacing w:val="-2"/>
        </w:rPr>
        <w:t xml:space="preserve"> Juventud</w:t>
      </w:r>
    </w:p>
    <w:p w14:paraId="28A6A185" w14:textId="77777777" w:rsidR="000E52B0" w:rsidRDefault="00F60D74">
      <w:pPr>
        <w:pStyle w:val="Prrafodelista"/>
        <w:numPr>
          <w:ilvl w:val="0"/>
          <w:numId w:val="48"/>
        </w:numPr>
        <w:tabs>
          <w:tab w:val="left" w:pos="1798"/>
          <w:tab w:val="left" w:pos="1800"/>
        </w:tabs>
        <w:spacing w:before="239"/>
        <w:ind w:right="717"/>
        <w:jc w:val="both"/>
        <w:rPr>
          <w:sz w:val="24"/>
        </w:rPr>
      </w:pPr>
      <w:r>
        <w:rPr>
          <w:b/>
          <w:sz w:val="24"/>
        </w:rPr>
        <w:t>Jóvenes</w:t>
      </w:r>
      <w:r>
        <w:rPr>
          <w:b/>
          <w:spacing w:val="-15"/>
          <w:sz w:val="24"/>
        </w:rPr>
        <w:t xml:space="preserve"> </w:t>
      </w:r>
      <w:r>
        <w:rPr>
          <w:b/>
          <w:sz w:val="24"/>
        </w:rPr>
        <w:t>en</w:t>
      </w:r>
      <w:r>
        <w:rPr>
          <w:b/>
          <w:spacing w:val="-13"/>
          <w:sz w:val="24"/>
        </w:rPr>
        <w:t xml:space="preserve"> </w:t>
      </w:r>
      <w:r>
        <w:rPr>
          <w:b/>
          <w:sz w:val="24"/>
        </w:rPr>
        <w:t>Paz:</w:t>
      </w:r>
      <w:r>
        <w:rPr>
          <w:b/>
          <w:spacing w:val="-13"/>
          <w:sz w:val="24"/>
        </w:rPr>
        <w:t xml:space="preserve"> </w:t>
      </w:r>
      <w:r>
        <w:rPr>
          <w:sz w:val="24"/>
        </w:rPr>
        <w:t>Este</w:t>
      </w:r>
      <w:r>
        <w:rPr>
          <w:spacing w:val="-14"/>
          <w:sz w:val="24"/>
        </w:rPr>
        <w:t xml:space="preserve"> </w:t>
      </w:r>
      <w:r>
        <w:rPr>
          <w:sz w:val="24"/>
        </w:rPr>
        <w:t>programa</w:t>
      </w:r>
      <w:r>
        <w:rPr>
          <w:spacing w:val="-15"/>
          <w:sz w:val="24"/>
        </w:rPr>
        <w:t xml:space="preserve"> </w:t>
      </w:r>
      <w:r>
        <w:rPr>
          <w:sz w:val="24"/>
        </w:rPr>
        <w:t>tiene</w:t>
      </w:r>
      <w:r>
        <w:rPr>
          <w:spacing w:val="-11"/>
          <w:sz w:val="24"/>
        </w:rPr>
        <w:t xml:space="preserve"> </w:t>
      </w:r>
      <w:r>
        <w:rPr>
          <w:sz w:val="24"/>
        </w:rPr>
        <w:t>como</w:t>
      </w:r>
      <w:r>
        <w:rPr>
          <w:spacing w:val="-14"/>
          <w:sz w:val="24"/>
        </w:rPr>
        <w:t xml:space="preserve"> </w:t>
      </w:r>
      <w:r>
        <w:rPr>
          <w:sz w:val="24"/>
        </w:rPr>
        <w:t>objetivo</w:t>
      </w:r>
      <w:r>
        <w:rPr>
          <w:spacing w:val="-14"/>
          <w:sz w:val="24"/>
        </w:rPr>
        <w:t xml:space="preserve"> </w:t>
      </w:r>
      <w:r>
        <w:rPr>
          <w:sz w:val="24"/>
        </w:rPr>
        <w:t>generar</w:t>
      </w:r>
      <w:r>
        <w:rPr>
          <w:spacing w:val="-13"/>
          <w:sz w:val="24"/>
        </w:rPr>
        <w:t xml:space="preserve"> </w:t>
      </w:r>
      <w:r>
        <w:rPr>
          <w:sz w:val="24"/>
        </w:rPr>
        <w:t>una ruta de atención integral que garantice el goce efectivo de los derechos de población joven entre 14 y 28 años, en situación de alta vulnerabilidad a través de un nuevo pacto con la juventud para la construcción de paz en sus territorios; y responde de manera particular al problema de política pública de atender los fenómenos</w:t>
      </w:r>
      <w:r>
        <w:rPr>
          <w:spacing w:val="-12"/>
          <w:sz w:val="24"/>
        </w:rPr>
        <w:t xml:space="preserve"> </w:t>
      </w:r>
      <w:r>
        <w:rPr>
          <w:sz w:val="24"/>
        </w:rPr>
        <w:t>asociados</w:t>
      </w:r>
      <w:r>
        <w:rPr>
          <w:spacing w:val="-12"/>
          <w:sz w:val="24"/>
        </w:rPr>
        <w:t xml:space="preserve"> </w:t>
      </w:r>
      <w:r>
        <w:rPr>
          <w:sz w:val="24"/>
        </w:rPr>
        <w:t>a</w:t>
      </w:r>
      <w:r>
        <w:rPr>
          <w:spacing w:val="-12"/>
          <w:sz w:val="24"/>
        </w:rPr>
        <w:t xml:space="preserve"> </w:t>
      </w:r>
      <w:r>
        <w:rPr>
          <w:sz w:val="24"/>
        </w:rPr>
        <w:t>la</w:t>
      </w:r>
      <w:r>
        <w:rPr>
          <w:spacing w:val="-13"/>
          <w:sz w:val="24"/>
        </w:rPr>
        <w:t xml:space="preserve"> </w:t>
      </w:r>
      <w:r>
        <w:rPr>
          <w:sz w:val="24"/>
        </w:rPr>
        <w:t>vinculación</w:t>
      </w:r>
      <w:r>
        <w:rPr>
          <w:spacing w:val="-10"/>
          <w:sz w:val="24"/>
        </w:rPr>
        <w:t xml:space="preserve"> </w:t>
      </w:r>
      <w:r>
        <w:rPr>
          <w:sz w:val="24"/>
        </w:rPr>
        <w:t>de</w:t>
      </w:r>
      <w:r>
        <w:rPr>
          <w:spacing w:val="-11"/>
          <w:sz w:val="24"/>
        </w:rPr>
        <w:t xml:space="preserve"> </w:t>
      </w:r>
      <w:r>
        <w:rPr>
          <w:sz w:val="24"/>
        </w:rPr>
        <w:t>la</w:t>
      </w:r>
      <w:r>
        <w:rPr>
          <w:spacing w:val="-13"/>
          <w:sz w:val="24"/>
        </w:rPr>
        <w:t xml:space="preserve"> </w:t>
      </w:r>
      <w:r>
        <w:rPr>
          <w:sz w:val="24"/>
        </w:rPr>
        <w:t>juventud</w:t>
      </w:r>
      <w:r>
        <w:rPr>
          <w:spacing w:val="-11"/>
          <w:sz w:val="24"/>
        </w:rPr>
        <w:t xml:space="preserve"> </w:t>
      </w:r>
      <w:r>
        <w:rPr>
          <w:sz w:val="24"/>
        </w:rPr>
        <w:t>en</w:t>
      </w:r>
      <w:r>
        <w:rPr>
          <w:spacing w:val="-13"/>
          <w:sz w:val="24"/>
        </w:rPr>
        <w:t xml:space="preserve"> </w:t>
      </w:r>
      <w:r>
        <w:rPr>
          <w:sz w:val="24"/>
        </w:rPr>
        <w:t>dinámicas de violencia y criminalidad en su correlación con factores de exclusión y desigualdad social y económica que se expresan de manera diferenciada a nivel territorial.</w:t>
      </w:r>
    </w:p>
    <w:p w14:paraId="1B8F368C" w14:textId="77777777" w:rsidR="000E52B0" w:rsidRDefault="00F60D74">
      <w:pPr>
        <w:pStyle w:val="Prrafodelista"/>
        <w:numPr>
          <w:ilvl w:val="0"/>
          <w:numId w:val="48"/>
        </w:numPr>
        <w:tabs>
          <w:tab w:val="left" w:pos="1798"/>
          <w:tab w:val="left" w:pos="1800"/>
        </w:tabs>
        <w:ind w:right="719"/>
        <w:jc w:val="both"/>
        <w:rPr>
          <w:sz w:val="24"/>
        </w:rPr>
      </w:pPr>
      <w:r>
        <w:rPr>
          <w:b/>
          <w:sz w:val="24"/>
        </w:rPr>
        <w:t xml:space="preserve">Oportunidades para la vida para las juventudes: </w:t>
      </w:r>
      <w:r>
        <w:rPr>
          <w:sz w:val="24"/>
        </w:rPr>
        <w:t>Este programa tiene el objetivo de Avanzar en el cierre de brechas de las desigualdades e inequidades de las juventudes en todas sus diversidades, y responde al problema de política pública de barreras de acceso a los medios para la realización de los proyectos de vida individuales y colectivos, populares, étnicos y culturales de los jóvenes.</w:t>
      </w:r>
    </w:p>
    <w:p w14:paraId="602C5A6C" w14:textId="77777777" w:rsidR="000E52B0" w:rsidRDefault="00F60D74">
      <w:pPr>
        <w:pStyle w:val="Prrafodelista"/>
        <w:numPr>
          <w:ilvl w:val="0"/>
          <w:numId w:val="48"/>
        </w:numPr>
        <w:tabs>
          <w:tab w:val="left" w:pos="1797"/>
          <w:tab w:val="left" w:pos="1800"/>
        </w:tabs>
        <w:ind w:right="717"/>
        <w:jc w:val="both"/>
        <w:rPr>
          <w:sz w:val="24"/>
        </w:rPr>
      </w:pPr>
      <w:r>
        <w:rPr>
          <w:b/>
          <w:sz w:val="24"/>
        </w:rPr>
        <w:t xml:space="preserve">Aguante Popular por la Vida: </w:t>
      </w:r>
      <w:r>
        <w:rPr>
          <w:sz w:val="24"/>
        </w:rPr>
        <w:t>Este programa tiene como objetivo fortalecer los procesos populares sociales barristas para mejorar las condiciones de vida de las juventudes barristas y sus familias, y responde de manera particular al problema de política pública de discriminación y segregación que profundizan las barreras para el acceso a oportunidades, deteriorando redes comunitarias</w:t>
      </w:r>
      <w:r>
        <w:rPr>
          <w:spacing w:val="-9"/>
          <w:sz w:val="24"/>
        </w:rPr>
        <w:t xml:space="preserve"> </w:t>
      </w:r>
      <w:r>
        <w:rPr>
          <w:sz w:val="24"/>
        </w:rPr>
        <w:t>y</w:t>
      </w:r>
      <w:r>
        <w:rPr>
          <w:spacing w:val="-9"/>
          <w:sz w:val="24"/>
        </w:rPr>
        <w:t xml:space="preserve"> </w:t>
      </w:r>
      <w:r>
        <w:rPr>
          <w:sz w:val="24"/>
        </w:rPr>
        <w:t>limitando</w:t>
      </w:r>
      <w:r>
        <w:rPr>
          <w:spacing w:val="-8"/>
          <w:sz w:val="24"/>
        </w:rPr>
        <w:t xml:space="preserve"> </w:t>
      </w:r>
      <w:r>
        <w:rPr>
          <w:sz w:val="24"/>
        </w:rPr>
        <w:t>las</w:t>
      </w:r>
      <w:r>
        <w:rPr>
          <w:spacing w:val="-9"/>
          <w:sz w:val="24"/>
        </w:rPr>
        <w:t xml:space="preserve"> </w:t>
      </w:r>
      <w:r>
        <w:rPr>
          <w:sz w:val="24"/>
        </w:rPr>
        <w:t>posibilidades</w:t>
      </w:r>
      <w:r>
        <w:rPr>
          <w:spacing w:val="-9"/>
          <w:sz w:val="24"/>
        </w:rPr>
        <w:t xml:space="preserve"> </w:t>
      </w:r>
      <w:r>
        <w:rPr>
          <w:sz w:val="24"/>
        </w:rPr>
        <w:t>de</w:t>
      </w:r>
      <w:r>
        <w:rPr>
          <w:spacing w:val="-7"/>
          <w:sz w:val="24"/>
        </w:rPr>
        <w:t xml:space="preserve"> </w:t>
      </w:r>
      <w:r>
        <w:rPr>
          <w:sz w:val="24"/>
        </w:rPr>
        <w:t>alcanzar</w:t>
      </w:r>
      <w:r>
        <w:rPr>
          <w:spacing w:val="-8"/>
          <w:sz w:val="24"/>
        </w:rPr>
        <w:t xml:space="preserve"> </w:t>
      </w:r>
      <w:r>
        <w:rPr>
          <w:sz w:val="24"/>
        </w:rPr>
        <w:t>condiciones de vida digna propias y de sus familias.</w:t>
      </w:r>
    </w:p>
    <w:p w14:paraId="2095B89A" w14:textId="77777777" w:rsidR="000E52B0" w:rsidRDefault="00F60D74">
      <w:pPr>
        <w:pStyle w:val="Prrafodelista"/>
        <w:numPr>
          <w:ilvl w:val="0"/>
          <w:numId w:val="48"/>
        </w:numPr>
        <w:tabs>
          <w:tab w:val="left" w:pos="1800"/>
        </w:tabs>
        <w:ind w:right="716"/>
        <w:jc w:val="both"/>
        <w:rPr>
          <w:sz w:val="24"/>
        </w:rPr>
      </w:pPr>
      <w:r>
        <w:rPr>
          <w:b/>
          <w:sz w:val="24"/>
        </w:rPr>
        <w:t xml:space="preserve">Jóvenes Guardianes de la Naturaleza: </w:t>
      </w:r>
      <w:r>
        <w:rPr>
          <w:sz w:val="24"/>
        </w:rPr>
        <w:t>El objetivo de este programa</w:t>
      </w:r>
      <w:r>
        <w:rPr>
          <w:spacing w:val="-14"/>
          <w:sz w:val="24"/>
        </w:rPr>
        <w:t xml:space="preserve"> </w:t>
      </w:r>
      <w:r>
        <w:rPr>
          <w:sz w:val="24"/>
        </w:rPr>
        <w:t>es</w:t>
      </w:r>
      <w:r>
        <w:rPr>
          <w:spacing w:val="-14"/>
          <w:sz w:val="24"/>
        </w:rPr>
        <w:t xml:space="preserve"> </w:t>
      </w:r>
      <w:r>
        <w:rPr>
          <w:sz w:val="24"/>
        </w:rPr>
        <w:t>reducir</w:t>
      </w:r>
      <w:r>
        <w:rPr>
          <w:spacing w:val="-13"/>
          <w:sz w:val="24"/>
        </w:rPr>
        <w:t xml:space="preserve"> </w:t>
      </w:r>
      <w:r>
        <w:rPr>
          <w:sz w:val="24"/>
        </w:rPr>
        <w:t>las</w:t>
      </w:r>
      <w:r>
        <w:rPr>
          <w:spacing w:val="-14"/>
          <w:sz w:val="24"/>
        </w:rPr>
        <w:t xml:space="preserve"> </w:t>
      </w:r>
      <w:r>
        <w:rPr>
          <w:sz w:val="24"/>
        </w:rPr>
        <w:t>brechas</w:t>
      </w:r>
      <w:r>
        <w:rPr>
          <w:spacing w:val="-14"/>
          <w:sz w:val="24"/>
        </w:rPr>
        <w:t xml:space="preserve"> </w:t>
      </w:r>
      <w:r>
        <w:rPr>
          <w:sz w:val="24"/>
        </w:rPr>
        <w:t>de</w:t>
      </w:r>
      <w:r>
        <w:rPr>
          <w:spacing w:val="-13"/>
          <w:sz w:val="24"/>
        </w:rPr>
        <w:t xml:space="preserve"> </w:t>
      </w:r>
      <w:r>
        <w:rPr>
          <w:sz w:val="24"/>
        </w:rPr>
        <w:t>desigualdad</w:t>
      </w:r>
      <w:r>
        <w:rPr>
          <w:spacing w:val="-14"/>
          <w:sz w:val="24"/>
        </w:rPr>
        <w:t xml:space="preserve"> </w:t>
      </w:r>
      <w:r>
        <w:rPr>
          <w:sz w:val="24"/>
        </w:rPr>
        <w:t>entre</w:t>
      </w:r>
      <w:r>
        <w:rPr>
          <w:spacing w:val="-12"/>
          <w:sz w:val="24"/>
        </w:rPr>
        <w:t xml:space="preserve"> </w:t>
      </w:r>
      <w:r>
        <w:rPr>
          <w:sz w:val="24"/>
        </w:rPr>
        <w:t>la</w:t>
      </w:r>
      <w:r>
        <w:rPr>
          <w:spacing w:val="-14"/>
          <w:sz w:val="24"/>
        </w:rPr>
        <w:t xml:space="preserve"> </w:t>
      </w:r>
      <w:r>
        <w:rPr>
          <w:sz w:val="24"/>
        </w:rPr>
        <w:t>población joven a través del modelo de Economía Circular, y responde particularmente</w:t>
      </w:r>
      <w:r>
        <w:rPr>
          <w:spacing w:val="-16"/>
          <w:sz w:val="24"/>
        </w:rPr>
        <w:t xml:space="preserve"> </w:t>
      </w:r>
      <w:r>
        <w:rPr>
          <w:sz w:val="24"/>
        </w:rPr>
        <w:t>a</w:t>
      </w:r>
      <w:r>
        <w:rPr>
          <w:spacing w:val="-17"/>
          <w:sz w:val="24"/>
        </w:rPr>
        <w:t xml:space="preserve"> </w:t>
      </w:r>
      <w:r>
        <w:rPr>
          <w:sz w:val="24"/>
        </w:rPr>
        <w:t>la</w:t>
      </w:r>
      <w:r>
        <w:rPr>
          <w:spacing w:val="-15"/>
          <w:sz w:val="24"/>
        </w:rPr>
        <w:t xml:space="preserve"> </w:t>
      </w:r>
      <w:r>
        <w:rPr>
          <w:sz w:val="24"/>
        </w:rPr>
        <w:t>política</w:t>
      </w:r>
      <w:r>
        <w:rPr>
          <w:spacing w:val="-17"/>
          <w:sz w:val="24"/>
        </w:rPr>
        <w:t xml:space="preserve"> </w:t>
      </w:r>
      <w:r>
        <w:rPr>
          <w:sz w:val="24"/>
        </w:rPr>
        <w:t>pública</w:t>
      </w:r>
      <w:r>
        <w:rPr>
          <w:spacing w:val="-17"/>
          <w:sz w:val="24"/>
        </w:rPr>
        <w:t xml:space="preserve"> </w:t>
      </w:r>
      <w:r>
        <w:rPr>
          <w:sz w:val="24"/>
        </w:rPr>
        <w:t>de</w:t>
      </w:r>
      <w:r>
        <w:rPr>
          <w:spacing w:val="-16"/>
          <w:sz w:val="24"/>
        </w:rPr>
        <w:t xml:space="preserve"> </w:t>
      </w:r>
      <w:r>
        <w:rPr>
          <w:sz w:val="24"/>
        </w:rPr>
        <w:t>barreras</w:t>
      </w:r>
      <w:r>
        <w:rPr>
          <w:spacing w:val="-17"/>
          <w:sz w:val="24"/>
        </w:rPr>
        <w:t xml:space="preserve"> </w:t>
      </w:r>
      <w:r>
        <w:rPr>
          <w:sz w:val="24"/>
        </w:rPr>
        <w:t>para</w:t>
      </w:r>
      <w:r>
        <w:rPr>
          <w:spacing w:val="-19"/>
          <w:sz w:val="24"/>
        </w:rPr>
        <w:t xml:space="preserve"> </w:t>
      </w:r>
      <w:r>
        <w:rPr>
          <w:sz w:val="24"/>
        </w:rPr>
        <w:t>acceder</w:t>
      </w:r>
      <w:r>
        <w:rPr>
          <w:spacing w:val="-16"/>
          <w:sz w:val="24"/>
        </w:rPr>
        <w:t xml:space="preserve"> </w:t>
      </w:r>
      <w:r>
        <w:rPr>
          <w:sz w:val="24"/>
        </w:rPr>
        <w:t>a</w:t>
      </w:r>
      <w:r>
        <w:rPr>
          <w:spacing w:val="-17"/>
          <w:sz w:val="24"/>
        </w:rPr>
        <w:t xml:space="preserve"> </w:t>
      </w:r>
      <w:r>
        <w:rPr>
          <w:sz w:val="24"/>
        </w:rPr>
        <w:t xml:space="preserve">los medios que les permitan construir una vida en dignidad en los </w:t>
      </w:r>
      <w:r>
        <w:rPr>
          <w:spacing w:val="-2"/>
          <w:sz w:val="24"/>
        </w:rPr>
        <w:t>territorios.</w:t>
      </w:r>
    </w:p>
    <w:p w14:paraId="2AD7BDD8" w14:textId="77777777" w:rsidR="000E52B0" w:rsidRDefault="000E52B0">
      <w:pPr>
        <w:pStyle w:val="Prrafodelista"/>
        <w:jc w:val="both"/>
        <w:rPr>
          <w:sz w:val="24"/>
        </w:rPr>
        <w:sectPr w:rsidR="000E52B0">
          <w:pgSz w:w="11910" w:h="16840"/>
          <w:pgMar w:top="1340" w:right="720" w:bottom="1180" w:left="720" w:header="0" w:footer="995" w:gutter="0"/>
          <w:cols w:space="720"/>
        </w:sectPr>
      </w:pPr>
    </w:p>
    <w:p w14:paraId="319ACF67" w14:textId="77777777" w:rsidR="000E52B0" w:rsidRDefault="00F60D74">
      <w:pPr>
        <w:pStyle w:val="Prrafodelista"/>
        <w:numPr>
          <w:ilvl w:val="0"/>
          <w:numId w:val="48"/>
        </w:numPr>
        <w:tabs>
          <w:tab w:val="left" w:pos="1798"/>
          <w:tab w:val="left" w:pos="1800"/>
        </w:tabs>
        <w:spacing w:before="83"/>
        <w:ind w:right="717"/>
        <w:jc w:val="both"/>
        <w:rPr>
          <w:sz w:val="24"/>
        </w:rPr>
      </w:pPr>
      <w:r>
        <w:rPr>
          <w:b/>
          <w:sz w:val="24"/>
        </w:rPr>
        <w:lastRenderedPageBreak/>
        <w:t>Juventudes</w:t>
      </w:r>
      <w:r>
        <w:rPr>
          <w:b/>
          <w:spacing w:val="-6"/>
          <w:sz w:val="24"/>
        </w:rPr>
        <w:t xml:space="preserve"> </w:t>
      </w:r>
      <w:r>
        <w:rPr>
          <w:b/>
          <w:sz w:val="24"/>
        </w:rPr>
        <w:t>Tejiendo</w:t>
      </w:r>
      <w:r>
        <w:rPr>
          <w:b/>
          <w:spacing w:val="-4"/>
          <w:sz w:val="24"/>
        </w:rPr>
        <w:t xml:space="preserve"> </w:t>
      </w:r>
      <w:r>
        <w:rPr>
          <w:b/>
          <w:sz w:val="24"/>
        </w:rPr>
        <w:t>Bien-estar:</w:t>
      </w:r>
      <w:r>
        <w:rPr>
          <w:b/>
          <w:spacing w:val="-3"/>
          <w:sz w:val="24"/>
        </w:rPr>
        <w:t xml:space="preserve"> </w:t>
      </w:r>
      <w:r>
        <w:rPr>
          <w:sz w:val="24"/>
        </w:rPr>
        <w:t>El</w:t>
      </w:r>
      <w:r>
        <w:rPr>
          <w:spacing w:val="-6"/>
          <w:sz w:val="24"/>
        </w:rPr>
        <w:t xml:space="preserve"> </w:t>
      </w:r>
      <w:r>
        <w:rPr>
          <w:sz w:val="24"/>
        </w:rPr>
        <w:t>objetivo</w:t>
      </w:r>
      <w:r>
        <w:rPr>
          <w:spacing w:val="-2"/>
          <w:sz w:val="24"/>
        </w:rPr>
        <w:t xml:space="preserve"> </w:t>
      </w:r>
      <w:r>
        <w:rPr>
          <w:sz w:val="24"/>
        </w:rPr>
        <w:t>de</w:t>
      </w:r>
      <w:r>
        <w:rPr>
          <w:spacing w:val="-4"/>
          <w:sz w:val="24"/>
        </w:rPr>
        <w:t xml:space="preserve"> </w:t>
      </w:r>
      <w:r>
        <w:rPr>
          <w:sz w:val="24"/>
        </w:rPr>
        <w:t>este</w:t>
      </w:r>
      <w:r>
        <w:rPr>
          <w:spacing w:val="-4"/>
          <w:sz w:val="24"/>
        </w:rPr>
        <w:t xml:space="preserve"> </w:t>
      </w:r>
      <w:r>
        <w:rPr>
          <w:sz w:val="24"/>
        </w:rPr>
        <w:t>programa es</w:t>
      </w:r>
      <w:r>
        <w:rPr>
          <w:spacing w:val="-4"/>
          <w:sz w:val="24"/>
        </w:rPr>
        <w:t xml:space="preserve"> </w:t>
      </w:r>
      <w:r>
        <w:rPr>
          <w:sz w:val="24"/>
        </w:rPr>
        <w:t>facilitar</w:t>
      </w:r>
      <w:r>
        <w:rPr>
          <w:spacing w:val="-1"/>
          <w:sz w:val="24"/>
        </w:rPr>
        <w:t xml:space="preserve"> </w:t>
      </w:r>
      <w:r>
        <w:rPr>
          <w:sz w:val="24"/>
        </w:rPr>
        <w:t>los</w:t>
      </w:r>
      <w:r>
        <w:rPr>
          <w:spacing w:val="-1"/>
          <w:sz w:val="24"/>
        </w:rPr>
        <w:t xml:space="preserve"> </w:t>
      </w:r>
      <w:r>
        <w:rPr>
          <w:sz w:val="24"/>
        </w:rPr>
        <w:t>medios</w:t>
      </w:r>
      <w:r>
        <w:rPr>
          <w:spacing w:val="-4"/>
          <w:sz w:val="24"/>
        </w:rPr>
        <w:t xml:space="preserve"> </w:t>
      </w:r>
      <w:r>
        <w:rPr>
          <w:sz w:val="24"/>
        </w:rPr>
        <w:t>que</w:t>
      </w:r>
      <w:r>
        <w:rPr>
          <w:spacing w:val="-3"/>
          <w:sz w:val="24"/>
        </w:rPr>
        <w:t xml:space="preserve"> </w:t>
      </w:r>
      <w:r>
        <w:rPr>
          <w:sz w:val="24"/>
        </w:rPr>
        <w:t>aseguren</w:t>
      </w:r>
      <w:r>
        <w:rPr>
          <w:spacing w:val="-4"/>
          <w:sz w:val="24"/>
        </w:rPr>
        <w:t xml:space="preserve"> </w:t>
      </w:r>
      <w:r>
        <w:rPr>
          <w:sz w:val="24"/>
        </w:rPr>
        <w:t>el</w:t>
      </w:r>
      <w:r>
        <w:rPr>
          <w:spacing w:val="-2"/>
          <w:sz w:val="24"/>
        </w:rPr>
        <w:t xml:space="preserve"> </w:t>
      </w:r>
      <w:r>
        <w:rPr>
          <w:sz w:val="24"/>
        </w:rPr>
        <w:t>bienestar</w:t>
      </w:r>
      <w:r>
        <w:rPr>
          <w:spacing w:val="-3"/>
          <w:sz w:val="24"/>
        </w:rPr>
        <w:t xml:space="preserve"> </w:t>
      </w:r>
      <w:r>
        <w:rPr>
          <w:sz w:val="24"/>
        </w:rPr>
        <w:t>emocional</w:t>
      </w:r>
      <w:r>
        <w:rPr>
          <w:spacing w:val="-2"/>
          <w:sz w:val="24"/>
        </w:rPr>
        <w:t xml:space="preserve"> </w:t>
      </w:r>
      <w:r>
        <w:rPr>
          <w:sz w:val="24"/>
        </w:rPr>
        <w:t>de</w:t>
      </w:r>
      <w:r>
        <w:rPr>
          <w:spacing w:val="-1"/>
          <w:sz w:val="24"/>
        </w:rPr>
        <w:t xml:space="preserve"> </w:t>
      </w:r>
      <w:r>
        <w:rPr>
          <w:sz w:val="24"/>
        </w:rPr>
        <w:t>las juventudes a partir de una respuesta institucional holística y del fortalecimiento de sus entornos protectores y de sus redes afectivas y comunitarias, y responde de manera particular al problema de política pública de afectaciones psicosociales y socioemocionales</w:t>
      </w:r>
      <w:r>
        <w:rPr>
          <w:spacing w:val="-19"/>
          <w:sz w:val="24"/>
        </w:rPr>
        <w:t xml:space="preserve"> </w:t>
      </w:r>
      <w:r>
        <w:rPr>
          <w:sz w:val="24"/>
        </w:rPr>
        <w:t>que</w:t>
      </w:r>
      <w:r>
        <w:rPr>
          <w:spacing w:val="-17"/>
          <w:sz w:val="24"/>
        </w:rPr>
        <w:t xml:space="preserve"> </w:t>
      </w:r>
      <w:r>
        <w:rPr>
          <w:sz w:val="24"/>
        </w:rPr>
        <w:t>impiden</w:t>
      </w:r>
      <w:r>
        <w:rPr>
          <w:spacing w:val="-17"/>
          <w:sz w:val="24"/>
        </w:rPr>
        <w:t xml:space="preserve"> </w:t>
      </w:r>
      <w:r>
        <w:rPr>
          <w:sz w:val="24"/>
        </w:rPr>
        <w:t>el</w:t>
      </w:r>
      <w:r>
        <w:rPr>
          <w:spacing w:val="40"/>
          <w:sz w:val="24"/>
        </w:rPr>
        <w:t xml:space="preserve"> </w:t>
      </w:r>
      <w:r>
        <w:rPr>
          <w:sz w:val="24"/>
        </w:rPr>
        <w:t>bienestar</w:t>
      </w:r>
      <w:r>
        <w:rPr>
          <w:spacing w:val="-17"/>
          <w:sz w:val="24"/>
        </w:rPr>
        <w:t xml:space="preserve"> </w:t>
      </w:r>
      <w:r>
        <w:rPr>
          <w:sz w:val="24"/>
        </w:rPr>
        <w:t>integral</w:t>
      </w:r>
      <w:r>
        <w:rPr>
          <w:spacing w:val="-17"/>
          <w:sz w:val="24"/>
        </w:rPr>
        <w:t xml:space="preserve"> </w:t>
      </w:r>
      <w:r>
        <w:rPr>
          <w:sz w:val="24"/>
        </w:rPr>
        <w:t>de</w:t>
      </w:r>
      <w:r>
        <w:rPr>
          <w:spacing w:val="-15"/>
          <w:sz w:val="24"/>
        </w:rPr>
        <w:t xml:space="preserve"> </w:t>
      </w:r>
      <w:r>
        <w:rPr>
          <w:sz w:val="24"/>
        </w:rPr>
        <w:t>los</w:t>
      </w:r>
      <w:r>
        <w:rPr>
          <w:spacing w:val="-18"/>
          <w:sz w:val="24"/>
        </w:rPr>
        <w:t xml:space="preserve"> </w:t>
      </w:r>
      <w:r>
        <w:rPr>
          <w:sz w:val="24"/>
        </w:rPr>
        <w:t>jóvenes por cuenta de las discriminaciones, los procesos de violencia y la ausencia</w:t>
      </w:r>
      <w:r>
        <w:rPr>
          <w:spacing w:val="-19"/>
          <w:sz w:val="24"/>
        </w:rPr>
        <w:t xml:space="preserve"> </w:t>
      </w:r>
      <w:r>
        <w:rPr>
          <w:sz w:val="24"/>
        </w:rPr>
        <w:t>de</w:t>
      </w:r>
      <w:r>
        <w:rPr>
          <w:spacing w:val="-20"/>
          <w:sz w:val="24"/>
        </w:rPr>
        <w:t xml:space="preserve"> </w:t>
      </w:r>
      <w:r>
        <w:rPr>
          <w:sz w:val="24"/>
        </w:rPr>
        <w:t>una</w:t>
      </w:r>
      <w:r>
        <w:rPr>
          <w:spacing w:val="-19"/>
          <w:sz w:val="24"/>
        </w:rPr>
        <w:t xml:space="preserve"> </w:t>
      </w:r>
      <w:r>
        <w:rPr>
          <w:sz w:val="24"/>
        </w:rPr>
        <w:t>respuesta</w:t>
      </w:r>
      <w:r>
        <w:rPr>
          <w:spacing w:val="-21"/>
          <w:sz w:val="24"/>
        </w:rPr>
        <w:t xml:space="preserve"> </w:t>
      </w:r>
      <w:r>
        <w:rPr>
          <w:sz w:val="24"/>
        </w:rPr>
        <w:t>adecuada</w:t>
      </w:r>
      <w:r>
        <w:rPr>
          <w:spacing w:val="-18"/>
          <w:sz w:val="24"/>
        </w:rPr>
        <w:t xml:space="preserve"> </w:t>
      </w:r>
      <w:r>
        <w:rPr>
          <w:sz w:val="24"/>
        </w:rPr>
        <w:t>por</w:t>
      </w:r>
      <w:r>
        <w:rPr>
          <w:spacing w:val="-20"/>
          <w:sz w:val="24"/>
        </w:rPr>
        <w:t xml:space="preserve"> </w:t>
      </w:r>
      <w:r>
        <w:rPr>
          <w:sz w:val="24"/>
        </w:rPr>
        <w:t>parte</w:t>
      </w:r>
      <w:r>
        <w:rPr>
          <w:spacing w:val="-20"/>
          <w:sz w:val="24"/>
        </w:rPr>
        <w:t xml:space="preserve"> </w:t>
      </w:r>
      <w:r>
        <w:rPr>
          <w:sz w:val="24"/>
        </w:rPr>
        <w:t>del</w:t>
      </w:r>
      <w:r>
        <w:rPr>
          <w:spacing w:val="-22"/>
          <w:sz w:val="24"/>
        </w:rPr>
        <w:t xml:space="preserve"> </w:t>
      </w:r>
      <w:r>
        <w:rPr>
          <w:sz w:val="24"/>
        </w:rPr>
        <w:t>Estado,</w:t>
      </w:r>
      <w:r>
        <w:rPr>
          <w:spacing w:val="-19"/>
          <w:sz w:val="24"/>
        </w:rPr>
        <w:t xml:space="preserve"> </w:t>
      </w:r>
      <w:r>
        <w:rPr>
          <w:sz w:val="24"/>
        </w:rPr>
        <w:t>que</w:t>
      </w:r>
      <w:r>
        <w:rPr>
          <w:spacing w:val="-20"/>
          <w:sz w:val="24"/>
        </w:rPr>
        <w:t xml:space="preserve"> </w:t>
      </w:r>
      <w:r>
        <w:rPr>
          <w:sz w:val="24"/>
        </w:rPr>
        <w:t>sea coherente con sus prácticas culturales y comunitarias.</w:t>
      </w:r>
    </w:p>
    <w:p w14:paraId="1B136448" w14:textId="77777777" w:rsidR="000E52B0" w:rsidRDefault="00F60D74">
      <w:pPr>
        <w:pStyle w:val="Ttulo3"/>
        <w:spacing w:before="160"/>
      </w:pPr>
      <w:bookmarkStart w:id="153" w:name="_bookmark153"/>
      <w:bookmarkEnd w:id="153"/>
      <w:r>
        <w:rPr>
          <w:color w:val="BE8F00"/>
        </w:rPr>
        <w:t>Viceministerio</w:t>
      </w:r>
      <w:r>
        <w:rPr>
          <w:color w:val="BE8F00"/>
          <w:spacing w:val="40"/>
        </w:rPr>
        <w:t xml:space="preserve"> </w:t>
      </w:r>
      <w:r>
        <w:rPr>
          <w:color w:val="BE8F00"/>
        </w:rPr>
        <w:t>para</w:t>
      </w:r>
      <w:r>
        <w:rPr>
          <w:color w:val="BE8F00"/>
          <w:spacing w:val="40"/>
        </w:rPr>
        <w:t xml:space="preserve"> </w:t>
      </w:r>
      <w:r>
        <w:rPr>
          <w:color w:val="BE8F00"/>
        </w:rPr>
        <w:t>las</w:t>
      </w:r>
      <w:r>
        <w:rPr>
          <w:color w:val="BE8F00"/>
          <w:spacing w:val="40"/>
        </w:rPr>
        <w:t xml:space="preserve"> </w:t>
      </w:r>
      <w:r>
        <w:rPr>
          <w:color w:val="BE8F00"/>
        </w:rPr>
        <w:t>Poblaciones</w:t>
      </w:r>
      <w:r>
        <w:rPr>
          <w:color w:val="BE8F00"/>
          <w:spacing w:val="40"/>
        </w:rPr>
        <w:t xml:space="preserve"> </w:t>
      </w:r>
      <w:r>
        <w:rPr>
          <w:color w:val="BE8F00"/>
        </w:rPr>
        <w:t>y</w:t>
      </w:r>
      <w:r>
        <w:rPr>
          <w:color w:val="BE8F00"/>
          <w:spacing w:val="40"/>
        </w:rPr>
        <w:t xml:space="preserve"> </w:t>
      </w:r>
      <w:r>
        <w:rPr>
          <w:color w:val="BE8F00"/>
        </w:rPr>
        <w:t>Territorios</w:t>
      </w:r>
      <w:r>
        <w:rPr>
          <w:color w:val="BE8F00"/>
          <w:spacing w:val="40"/>
        </w:rPr>
        <w:t xml:space="preserve"> </w:t>
      </w:r>
      <w:r>
        <w:rPr>
          <w:color w:val="BE8F00"/>
        </w:rPr>
        <w:t>Excluidos</w:t>
      </w:r>
      <w:r>
        <w:rPr>
          <w:color w:val="BE8F00"/>
          <w:spacing w:val="40"/>
        </w:rPr>
        <w:t xml:space="preserve"> </w:t>
      </w:r>
      <w:r>
        <w:rPr>
          <w:color w:val="BE8F00"/>
        </w:rPr>
        <w:t>y</w:t>
      </w:r>
      <w:r>
        <w:rPr>
          <w:color w:val="BE8F00"/>
          <w:spacing w:val="40"/>
        </w:rPr>
        <w:t xml:space="preserve"> </w:t>
      </w:r>
      <w:r>
        <w:rPr>
          <w:color w:val="BE8F00"/>
        </w:rPr>
        <w:t>la Superación de la Pobreza</w:t>
      </w:r>
    </w:p>
    <w:p w14:paraId="51FAEB08" w14:textId="77777777" w:rsidR="000E52B0" w:rsidRDefault="00F60D74">
      <w:pPr>
        <w:pStyle w:val="Prrafodelista"/>
        <w:numPr>
          <w:ilvl w:val="0"/>
          <w:numId w:val="47"/>
        </w:numPr>
        <w:tabs>
          <w:tab w:val="left" w:pos="1798"/>
          <w:tab w:val="left" w:pos="1800"/>
        </w:tabs>
        <w:spacing w:before="240"/>
        <w:ind w:right="715"/>
        <w:jc w:val="both"/>
        <w:rPr>
          <w:sz w:val="24"/>
        </w:rPr>
      </w:pPr>
      <w:r>
        <w:rPr>
          <w:b/>
          <w:sz w:val="24"/>
        </w:rPr>
        <w:t>Reconocimiento y Dignidad para la vida plena de las personas</w:t>
      </w:r>
      <w:r>
        <w:rPr>
          <w:b/>
          <w:spacing w:val="-4"/>
          <w:sz w:val="24"/>
        </w:rPr>
        <w:t xml:space="preserve"> </w:t>
      </w:r>
      <w:r>
        <w:rPr>
          <w:b/>
          <w:sz w:val="24"/>
        </w:rPr>
        <w:t xml:space="preserve">mayores: </w:t>
      </w:r>
      <w:r>
        <w:rPr>
          <w:sz w:val="24"/>
        </w:rPr>
        <w:t>Este</w:t>
      </w:r>
      <w:r>
        <w:rPr>
          <w:spacing w:val="-2"/>
          <w:sz w:val="24"/>
        </w:rPr>
        <w:t xml:space="preserve"> </w:t>
      </w:r>
      <w:r>
        <w:rPr>
          <w:sz w:val="24"/>
        </w:rPr>
        <w:t>programa</w:t>
      </w:r>
      <w:r>
        <w:rPr>
          <w:spacing w:val="-3"/>
          <w:sz w:val="24"/>
        </w:rPr>
        <w:t xml:space="preserve"> </w:t>
      </w:r>
      <w:r>
        <w:rPr>
          <w:sz w:val="24"/>
        </w:rPr>
        <w:t>tiene</w:t>
      </w:r>
      <w:r>
        <w:rPr>
          <w:spacing w:val="-2"/>
          <w:sz w:val="24"/>
        </w:rPr>
        <w:t xml:space="preserve"> </w:t>
      </w:r>
      <w:r>
        <w:rPr>
          <w:sz w:val="24"/>
        </w:rPr>
        <w:t>como</w:t>
      </w:r>
      <w:r>
        <w:rPr>
          <w:spacing w:val="-2"/>
          <w:sz w:val="24"/>
        </w:rPr>
        <w:t xml:space="preserve"> </w:t>
      </w:r>
      <w:r>
        <w:rPr>
          <w:sz w:val="24"/>
        </w:rPr>
        <w:t>objetivo avanzar en la garantía del pleno ejercicio de los derechos de las personas mayores, en relación con el cuidado, el reconocimiento, la autonomía</w:t>
      </w:r>
      <w:r>
        <w:rPr>
          <w:spacing w:val="-22"/>
          <w:sz w:val="24"/>
        </w:rPr>
        <w:t xml:space="preserve"> </w:t>
      </w:r>
      <w:r>
        <w:rPr>
          <w:sz w:val="24"/>
        </w:rPr>
        <w:t>y</w:t>
      </w:r>
      <w:r>
        <w:rPr>
          <w:spacing w:val="-21"/>
          <w:sz w:val="24"/>
        </w:rPr>
        <w:t xml:space="preserve"> </w:t>
      </w:r>
      <w:r>
        <w:rPr>
          <w:sz w:val="24"/>
        </w:rPr>
        <w:t>la</w:t>
      </w:r>
      <w:r>
        <w:rPr>
          <w:spacing w:val="-21"/>
          <w:sz w:val="24"/>
        </w:rPr>
        <w:t xml:space="preserve"> </w:t>
      </w:r>
      <w:r>
        <w:rPr>
          <w:sz w:val="24"/>
        </w:rPr>
        <w:t>erradicación</w:t>
      </w:r>
      <w:r>
        <w:rPr>
          <w:spacing w:val="-21"/>
          <w:sz w:val="24"/>
        </w:rPr>
        <w:t xml:space="preserve"> </w:t>
      </w:r>
      <w:r>
        <w:rPr>
          <w:sz w:val="24"/>
        </w:rPr>
        <w:t>de</w:t>
      </w:r>
      <w:r>
        <w:rPr>
          <w:spacing w:val="-21"/>
          <w:sz w:val="24"/>
        </w:rPr>
        <w:t xml:space="preserve"> </w:t>
      </w:r>
      <w:r>
        <w:rPr>
          <w:sz w:val="24"/>
        </w:rPr>
        <w:t>la</w:t>
      </w:r>
      <w:r>
        <w:rPr>
          <w:spacing w:val="-21"/>
          <w:sz w:val="24"/>
        </w:rPr>
        <w:t xml:space="preserve"> </w:t>
      </w:r>
      <w:r>
        <w:rPr>
          <w:sz w:val="24"/>
        </w:rPr>
        <w:t>discriminación</w:t>
      </w:r>
      <w:r>
        <w:rPr>
          <w:spacing w:val="-21"/>
          <w:sz w:val="24"/>
        </w:rPr>
        <w:t xml:space="preserve"> </w:t>
      </w:r>
      <w:r>
        <w:rPr>
          <w:sz w:val="24"/>
        </w:rPr>
        <w:t>y</w:t>
      </w:r>
      <w:r>
        <w:rPr>
          <w:spacing w:val="-21"/>
          <w:sz w:val="24"/>
        </w:rPr>
        <w:t xml:space="preserve"> </w:t>
      </w:r>
      <w:r>
        <w:rPr>
          <w:sz w:val="24"/>
        </w:rPr>
        <w:t>todas</w:t>
      </w:r>
      <w:r>
        <w:rPr>
          <w:spacing w:val="-21"/>
          <w:sz w:val="24"/>
        </w:rPr>
        <w:t xml:space="preserve"> </w:t>
      </w:r>
      <w:r>
        <w:rPr>
          <w:sz w:val="24"/>
        </w:rPr>
        <w:t>las</w:t>
      </w:r>
      <w:r>
        <w:rPr>
          <w:spacing w:val="-21"/>
          <w:sz w:val="24"/>
        </w:rPr>
        <w:t xml:space="preserve"> </w:t>
      </w:r>
      <w:r>
        <w:rPr>
          <w:sz w:val="24"/>
        </w:rPr>
        <w:t>formas de violencias y responde de manera particular al problema de política pública de barreras de acceso para el pleno ejercicio de derechos de las personas mayores.</w:t>
      </w:r>
    </w:p>
    <w:p w14:paraId="221779AF" w14:textId="77777777" w:rsidR="000E52B0" w:rsidRDefault="00F60D74">
      <w:pPr>
        <w:pStyle w:val="Prrafodelista"/>
        <w:numPr>
          <w:ilvl w:val="0"/>
          <w:numId w:val="47"/>
        </w:numPr>
        <w:tabs>
          <w:tab w:val="left" w:pos="1798"/>
          <w:tab w:val="left" w:pos="1800"/>
        </w:tabs>
        <w:ind w:right="719"/>
        <w:jc w:val="both"/>
        <w:rPr>
          <w:sz w:val="24"/>
        </w:rPr>
      </w:pPr>
      <w:r>
        <w:rPr>
          <w:b/>
          <w:sz w:val="24"/>
        </w:rPr>
        <w:t>Raíces en Movimiento, migración segura y acogida en dignidad:</w:t>
      </w:r>
      <w:r>
        <w:rPr>
          <w:b/>
          <w:spacing w:val="40"/>
          <w:sz w:val="24"/>
        </w:rPr>
        <w:t xml:space="preserve"> </w:t>
      </w:r>
      <w:r>
        <w:rPr>
          <w:sz w:val="24"/>
        </w:rPr>
        <w:t>Este programa tiene como objetivo avanzar en la atención, protección e integración social, económica y cultural para que la población migrante y retornada tenga una vida digna y</w:t>
      </w:r>
      <w:r>
        <w:rPr>
          <w:spacing w:val="-2"/>
          <w:sz w:val="24"/>
        </w:rPr>
        <w:t xml:space="preserve"> </w:t>
      </w:r>
      <w:r>
        <w:rPr>
          <w:sz w:val="24"/>
        </w:rPr>
        <w:t>sin discriminación y</w:t>
      </w:r>
      <w:r>
        <w:rPr>
          <w:spacing w:val="-2"/>
          <w:sz w:val="24"/>
        </w:rPr>
        <w:t xml:space="preserve"> </w:t>
      </w:r>
      <w:r>
        <w:rPr>
          <w:sz w:val="24"/>
        </w:rPr>
        <w:t>responde de</w:t>
      </w:r>
      <w:r>
        <w:rPr>
          <w:spacing w:val="-1"/>
          <w:sz w:val="24"/>
        </w:rPr>
        <w:t xml:space="preserve"> </w:t>
      </w:r>
      <w:r>
        <w:rPr>
          <w:sz w:val="24"/>
        </w:rPr>
        <w:t>manera</w:t>
      </w:r>
      <w:r>
        <w:rPr>
          <w:spacing w:val="-1"/>
          <w:sz w:val="24"/>
        </w:rPr>
        <w:t xml:space="preserve"> </w:t>
      </w:r>
      <w:r>
        <w:rPr>
          <w:sz w:val="24"/>
        </w:rPr>
        <w:t>particular</w:t>
      </w:r>
      <w:r>
        <w:rPr>
          <w:spacing w:val="-1"/>
          <w:sz w:val="24"/>
        </w:rPr>
        <w:t xml:space="preserve"> </w:t>
      </w:r>
      <w:r>
        <w:rPr>
          <w:sz w:val="24"/>
        </w:rPr>
        <w:t>al</w:t>
      </w:r>
      <w:r>
        <w:rPr>
          <w:spacing w:val="-3"/>
          <w:sz w:val="24"/>
        </w:rPr>
        <w:t xml:space="preserve"> </w:t>
      </w:r>
      <w:r>
        <w:rPr>
          <w:sz w:val="24"/>
        </w:rPr>
        <w:t>problema de política pública de aumento de flujos migratorios mixtos en condiciones precarias que generan riesgos para la vida, la integridad</w:t>
      </w:r>
      <w:r>
        <w:rPr>
          <w:spacing w:val="-12"/>
          <w:sz w:val="24"/>
        </w:rPr>
        <w:t xml:space="preserve"> </w:t>
      </w:r>
      <w:r>
        <w:rPr>
          <w:sz w:val="24"/>
        </w:rPr>
        <w:t>y</w:t>
      </w:r>
      <w:r>
        <w:rPr>
          <w:spacing w:val="-11"/>
          <w:sz w:val="24"/>
        </w:rPr>
        <w:t xml:space="preserve"> </w:t>
      </w:r>
      <w:r>
        <w:rPr>
          <w:sz w:val="24"/>
        </w:rPr>
        <w:t>limita</w:t>
      </w:r>
      <w:r>
        <w:rPr>
          <w:spacing w:val="-11"/>
          <w:sz w:val="24"/>
        </w:rPr>
        <w:t xml:space="preserve"> </w:t>
      </w:r>
      <w:r>
        <w:rPr>
          <w:sz w:val="24"/>
        </w:rPr>
        <w:t>el</w:t>
      </w:r>
      <w:r>
        <w:rPr>
          <w:spacing w:val="-12"/>
          <w:sz w:val="24"/>
        </w:rPr>
        <w:t xml:space="preserve"> </w:t>
      </w:r>
      <w:r>
        <w:rPr>
          <w:sz w:val="24"/>
        </w:rPr>
        <w:t>acceso</w:t>
      </w:r>
      <w:r>
        <w:rPr>
          <w:spacing w:val="-11"/>
          <w:sz w:val="24"/>
        </w:rPr>
        <w:t xml:space="preserve"> </w:t>
      </w:r>
      <w:r>
        <w:rPr>
          <w:sz w:val="24"/>
        </w:rPr>
        <w:t>a</w:t>
      </w:r>
      <w:r>
        <w:rPr>
          <w:spacing w:val="-11"/>
          <w:sz w:val="24"/>
        </w:rPr>
        <w:t xml:space="preserve"> </w:t>
      </w:r>
      <w:r>
        <w:rPr>
          <w:sz w:val="24"/>
        </w:rPr>
        <w:t>bienes</w:t>
      </w:r>
      <w:r>
        <w:rPr>
          <w:spacing w:val="-11"/>
          <w:sz w:val="24"/>
        </w:rPr>
        <w:t xml:space="preserve"> </w:t>
      </w:r>
      <w:r>
        <w:rPr>
          <w:sz w:val="24"/>
        </w:rPr>
        <w:t>y</w:t>
      </w:r>
      <w:r>
        <w:rPr>
          <w:spacing w:val="-11"/>
          <w:sz w:val="24"/>
        </w:rPr>
        <w:t xml:space="preserve"> </w:t>
      </w:r>
      <w:r>
        <w:rPr>
          <w:sz w:val="24"/>
        </w:rPr>
        <w:t>servicios</w:t>
      </w:r>
      <w:r>
        <w:rPr>
          <w:spacing w:val="-11"/>
          <w:sz w:val="24"/>
        </w:rPr>
        <w:t xml:space="preserve"> </w:t>
      </w:r>
      <w:r>
        <w:rPr>
          <w:sz w:val="24"/>
        </w:rPr>
        <w:t>básicos,</w:t>
      </w:r>
      <w:r>
        <w:rPr>
          <w:spacing w:val="-12"/>
          <w:sz w:val="24"/>
        </w:rPr>
        <w:t xml:space="preserve"> </w:t>
      </w:r>
      <w:r>
        <w:rPr>
          <w:sz w:val="24"/>
        </w:rPr>
        <w:t>así</w:t>
      </w:r>
      <w:r>
        <w:rPr>
          <w:spacing w:val="-10"/>
          <w:sz w:val="24"/>
        </w:rPr>
        <w:t xml:space="preserve"> </w:t>
      </w:r>
      <w:r>
        <w:rPr>
          <w:sz w:val="24"/>
        </w:rPr>
        <w:t>como los medios de vida para la estabilización.</w:t>
      </w:r>
    </w:p>
    <w:p w14:paraId="79A3F800" w14:textId="77777777" w:rsidR="000E52B0" w:rsidRDefault="00F60D74">
      <w:pPr>
        <w:pStyle w:val="Prrafodelista"/>
        <w:numPr>
          <w:ilvl w:val="0"/>
          <w:numId w:val="47"/>
        </w:numPr>
        <w:tabs>
          <w:tab w:val="left" w:pos="1797"/>
          <w:tab w:val="left" w:pos="1800"/>
        </w:tabs>
        <w:spacing w:before="1"/>
        <w:ind w:right="717"/>
        <w:jc w:val="both"/>
        <w:rPr>
          <w:sz w:val="24"/>
        </w:rPr>
      </w:pPr>
      <w:r>
        <w:rPr>
          <w:b/>
          <w:sz w:val="24"/>
        </w:rPr>
        <w:t xml:space="preserve">Construyendo Dignidad para personas habitantes de calle: </w:t>
      </w:r>
      <w:r>
        <w:rPr>
          <w:sz w:val="24"/>
        </w:rPr>
        <w:t>Este programa tiene como objetivo dignificar las condiciones de vida de la población habitante de calle a través del acceso a servicios</w:t>
      </w:r>
      <w:r>
        <w:rPr>
          <w:spacing w:val="-17"/>
          <w:sz w:val="24"/>
        </w:rPr>
        <w:t xml:space="preserve"> </w:t>
      </w:r>
      <w:r>
        <w:rPr>
          <w:sz w:val="24"/>
        </w:rPr>
        <w:t>básicos</w:t>
      </w:r>
      <w:r>
        <w:rPr>
          <w:spacing w:val="-14"/>
          <w:sz w:val="24"/>
        </w:rPr>
        <w:t xml:space="preserve"> </w:t>
      </w:r>
      <w:r>
        <w:rPr>
          <w:sz w:val="24"/>
        </w:rPr>
        <w:t>y</w:t>
      </w:r>
      <w:r>
        <w:rPr>
          <w:spacing w:val="-17"/>
          <w:sz w:val="24"/>
        </w:rPr>
        <w:t xml:space="preserve"> </w:t>
      </w:r>
      <w:r>
        <w:rPr>
          <w:sz w:val="24"/>
        </w:rPr>
        <w:t>el</w:t>
      </w:r>
      <w:r>
        <w:rPr>
          <w:spacing w:val="-18"/>
          <w:sz w:val="24"/>
        </w:rPr>
        <w:t xml:space="preserve"> </w:t>
      </w:r>
      <w:r>
        <w:rPr>
          <w:sz w:val="24"/>
        </w:rPr>
        <w:t>restablecimiento</w:t>
      </w:r>
      <w:r>
        <w:rPr>
          <w:spacing w:val="-16"/>
          <w:sz w:val="24"/>
        </w:rPr>
        <w:t xml:space="preserve"> </w:t>
      </w:r>
      <w:r>
        <w:rPr>
          <w:sz w:val="24"/>
        </w:rPr>
        <w:t>de</w:t>
      </w:r>
      <w:r>
        <w:rPr>
          <w:spacing w:val="-16"/>
          <w:sz w:val="24"/>
        </w:rPr>
        <w:t xml:space="preserve"> </w:t>
      </w:r>
      <w:r>
        <w:rPr>
          <w:sz w:val="24"/>
        </w:rPr>
        <w:t>sus</w:t>
      </w:r>
      <w:r>
        <w:rPr>
          <w:spacing w:val="-17"/>
          <w:sz w:val="24"/>
        </w:rPr>
        <w:t xml:space="preserve"> </w:t>
      </w:r>
      <w:r>
        <w:rPr>
          <w:sz w:val="24"/>
        </w:rPr>
        <w:t>derechos</w:t>
      </w:r>
      <w:r>
        <w:rPr>
          <w:spacing w:val="-17"/>
          <w:sz w:val="24"/>
        </w:rPr>
        <w:t xml:space="preserve"> </w:t>
      </w:r>
      <w:r>
        <w:rPr>
          <w:sz w:val="24"/>
        </w:rPr>
        <w:t>y</w:t>
      </w:r>
      <w:r>
        <w:rPr>
          <w:spacing w:val="-17"/>
          <w:sz w:val="24"/>
        </w:rPr>
        <w:t xml:space="preserve"> </w:t>
      </w:r>
      <w:r>
        <w:rPr>
          <w:sz w:val="24"/>
        </w:rPr>
        <w:t>responde de manera particular al problema de política pública de la población habitando la calle vive en condiciones que atentan contra</w:t>
      </w:r>
      <w:r>
        <w:rPr>
          <w:spacing w:val="-22"/>
          <w:sz w:val="24"/>
        </w:rPr>
        <w:t xml:space="preserve"> </w:t>
      </w:r>
      <w:r>
        <w:rPr>
          <w:sz w:val="24"/>
        </w:rPr>
        <w:t>su</w:t>
      </w:r>
      <w:r>
        <w:rPr>
          <w:spacing w:val="-21"/>
          <w:sz w:val="24"/>
        </w:rPr>
        <w:t xml:space="preserve"> </w:t>
      </w:r>
      <w:r>
        <w:rPr>
          <w:sz w:val="24"/>
        </w:rPr>
        <w:t>dignidad,</w:t>
      </w:r>
      <w:r>
        <w:rPr>
          <w:spacing w:val="-21"/>
          <w:sz w:val="24"/>
        </w:rPr>
        <w:t xml:space="preserve"> </w:t>
      </w:r>
      <w:r>
        <w:rPr>
          <w:sz w:val="24"/>
        </w:rPr>
        <w:t>en</w:t>
      </w:r>
      <w:r>
        <w:rPr>
          <w:spacing w:val="-21"/>
          <w:sz w:val="24"/>
        </w:rPr>
        <w:t xml:space="preserve"> </w:t>
      </w:r>
      <w:r>
        <w:rPr>
          <w:sz w:val="24"/>
        </w:rPr>
        <w:t>tanto</w:t>
      </w:r>
      <w:r>
        <w:rPr>
          <w:spacing w:val="-21"/>
          <w:sz w:val="24"/>
        </w:rPr>
        <w:t xml:space="preserve"> </w:t>
      </w:r>
      <w:r>
        <w:rPr>
          <w:sz w:val="24"/>
        </w:rPr>
        <w:t>enfrentan</w:t>
      </w:r>
      <w:r>
        <w:rPr>
          <w:spacing w:val="-21"/>
          <w:sz w:val="24"/>
        </w:rPr>
        <w:t xml:space="preserve"> </w:t>
      </w:r>
      <w:r>
        <w:rPr>
          <w:sz w:val="24"/>
        </w:rPr>
        <w:t>barreras</w:t>
      </w:r>
      <w:r>
        <w:rPr>
          <w:spacing w:val="-21"/>
          <w:sz w:val="24"/>
        </w:rPr>
        <w:t xml:space="preserve"> </w:t>
      </w:r>
      <w:r>
        <w:rPr>
          <w:sz w:val="24"/>
        </w:rPr>
        <w:t>de</w:t>
      </w:r>
      <w:r>
        <w:rPr>
          <w:spacing w:val="-21"/>
          <w:sz w:val="24"/>
        </w:rPr>
        <w:t xml:space="preserve"> </w:t>
      </w:r>
      <w:r>
        <w:rPr>
          <w:sz w:val="24"/>
        </w:rPr>
        <w:t>acceso</w:t>
      </w:r>
      <w:r>
        <w:rPr>
          <w:spacing w:val="-21"/>
          <w:sz w:val="24"/>
        </w:rPr>
        <w:t xml:space="preserve"> </w:t>
      </w:r>
      <w:r>
        <w:rPr>
          <w:sz w:val="24"/>
        </w:rPr>
        <w:t>a</w:t>
      </w:r>
      <w:r>
        <w:rPr>
          <w:spacing w:val="-21"/>
          <w:sz w:val="24"/>
        </w:rPr>
        <w:t xml:space="preserve"> </w:t>
      </w:r>
      <w:r>
        <w:rPr>
          <w:sz w:val="24"/>
        </w:rPr>
        <w:t>bienes y servicios básicos y vitales, y barreras para la recuperación de sus medios de vida, sus condiciones de salud y autonomía.</w:t>
      </w:r>
    </w:p>
    <w:p w14:paraId="226E1881" w14:textId="77777777" w:rsidR="000E52B0" w:rsidRDefault="00F60D74">
      <w:pPr>
        <w:pStyle w:val="Ttulo3"/>
        <w:spacing w:before="161"/>
      </w:pPr>
      <w:bookmarkStart w:id="154" w:name="_bookmark154"/>
      <w:bookmarkEnd w:id="154"/>
      <w:r>
        <w:rPr>
          <w:color w:val="BE8F00"/>
        </w:rPr>
        <w:t>Viceministerio</w:t>
      </w:r>
      <w:r>
        <w:rPr>
          <w:color w:val="BE8F00"/>
          <w:spacing w:val="-4"/>
        </w:rPr>
        <w:t xml:space="preserve"> </w:t>
      </w:r>
      <w:r>
        <w:rPr>
          <w:color w:val="BE8F00"/>
        </w:rPr>
        <w:t>de</w:t>
      </w:r>
      <w:r>
        <w:rPr>
          <w:color w:val="BE8F00"/>
          <w:spacing w:val="-2"/>
        </w:rPr>
        <w:t xml:space="preserve"> </w:t>
      </w:r>
      <w:r>
        <w:rPr>
          <w:color w:val="BE8F00"/>
        </w:rPr>
        <w:t>las</w:t>
      </w:r>
      <w:r>
        <w:rPr>
          <w:color w:val="BE8F00"/>
          <w:spacing w:val="-4"/>
        </w:rPr>
        <w:t xml:space="preserve"> </w:t>
      </w:r>
      <w:r>
        <w:rPr>
          <w:color w:val="BE8F00"/>
          <w:spacing w:val="-2"/>
        </w:rPr>
        <w:t>Diversidades</w:t>
      </w:r>
    </w:p>
    <w:p w14:paraId="74AED41E" w14:textId="77777777" w:rsidR="000E52B0" w:rsidRDefault="00F60D74">
      <w:pPr>
        <w:pStyle w:val="Prrafodelista"/>
        <w:numPr>
          <w:ilvl w:val="0"/>
          <w:numId w:val="46"/>
        </w:numPr>
        <w:tabs>
          <w:tab w:val="left" w:pos="1798"/>
          <w:tab w:val="left" w:pos="1800"/>
        </w:tabs>
        <w:spacing w:before="239"/>
        <w:ind w:right="717"/>
        <w:jc w:val="both"/>
        <w:rPr>
          <w:sz w:val="24"/>
        </w:rPr>
      </w:pPr>
      <w:r>
        <w:rPr>
          <w:b/>
          <w:sz w:val="24"/>
        </w:rPr>
        <w:t xml:space="preserve">Diversidad en dignidad: </w:t>
      </w:r>
      <w:r>
        <w:rPr>
          <w:sz w:val="24"/>
        </w:rPr>
        <w:t>Este programa tiene el objetivo de Avanzar en la garantía de los derechos para una vida digna, libre de violencias y discriminación de las personas con orientaciones sexuales e identidades de género no hegemónicas, y responde al problema de política pública de las barreras para el acceso a derechos fundamentales, violencias y discriminación que impiden</w:t>
      </w:r>
    </w:p>
    <w:p w14:paraId="720C7922" w14:textId="77777777" w:rsidR="000E52B0" w:rsidRDefault="000E52B0">
      <w:pPr>
        <w:pStyle w:val="Prrafodelista"/>
        <w:jc w:val="both"/>
        <w:rPr>
          <w:sz w:val="24"/>
        </w:rPr>
        <w:sectPr w:rsidR="000E52B0">
          <w:pgSz w:w="11910" w:h="16840"/>
          <w:pgMar w:top="1340" w:right="720" w:bottom="1180" w:left="720" w:header="0" w:footer="995" w:gutter="0"/>
          <w:cols w:space="720"/>
        </w:sectPr>
      </w:pPr>
    </w:p>
    <w:p w14:paraId="638FFF77" w14:textId="77777777" w:rsidR="000E52B0" w:rsidRDefault="00F60D74">
      <w:pPr>
        <w:pStyle w:val="Textoindependiente"/>
        <w:spacing w:before="83"/>
        <w:ind w:left="1800" w:right="723"/>
      </w:pPr>
      <w:r>
        <w:lastRenderedPageBreak/>
        <w:t>el</w:t>
      </w:r>
      <w:r>
        <w:rPr>
          <w:spacing w:val="-4"/>
        </w:rPr>
        <w:t xml:space="preserve"> </w:t>
      </w:r>
      <w:r>
        <w:t>desarrollo</w:t>
      </w:r>
      <w:r>
        <w:rPr>
          <w:spacing w:val="-2"/>
        </w:rPr>
        <w:t xml:space="preserve"> </w:t>
      </w:r>
      <w:r>
        <w:t>de</w:t>
      </w:r>
      <w:r>
        <w:rPr>
          <w:spacing w:val="-2"/>
        </w:rPr>
        <w:t xml:space="preserve"> </w:t>
      </w:r>
      <w:r>
        <w:t>su</w:t>
      </w:r>
      <w:r>
        <w:rPr>
          <w:spacing w:val="-4"/>
        </w:rPr>
        <w:t xml:space="preserve"> </w:t>
      </w:r>
      <w:r>
        <w:t>vida</w:t>
      </w:r>
      <w:r>
        <w:rPr>
          <w:spacing w:val="-3"/>
        </w:rPr>
        <w:t xml:space="preserve"> </w:t>
      </w:r>
      <w:r>
        <w:t>en</w:t>
      </w:r>
      <w:r>
        <w:rPr>
          <w:spacing w:val="-3"/>
        </w:rPr>
        <w:t xml:space="preserve"> </w:t>
      </w:r>
      <w:r>
        <w:t>condiciones</w:t>
      </w:r>
      <w:r>
        <w:rPr>
          <w:spacing w:val="-2"/>
        </w:rPr>
        <w:t xml:space="preserve"> </w:t>
      </w:r>
      <w:r>
        <w:t>de</w:t>
      </w:r>
      <w:r>
        <w:rPr>
          <w:spacing w:val="-2"/>
        </w:rPr>
        <w:t xml:space="preserve"> </w:t>
      </w:r>
      <w:r>
        <w:t>dignidad</w:t>
      </w:r>
      <w:r>
        <w:rPr>
          <w:spacing w:val="-3"/>
        </w:rPr>
        <w:t xml:space="preserve"> </w:t>
      </w:r>
      <w:r>
        <w:t>que</w:t>
      </w:r>
      <w:r>
        <w:rPr>
          <w:spacing w:val="-2"/>
        </w:rPr>
        <w:t xml:space="preserve"> </w:t>
      </w:r>
      <w:r>
        <w:t>enfrentan los sectores LGBTIQ+.</w:t>
      </w:r>
    </w:p>
    <w:p w14:paraId="26486AA6" w14:textId="77777777" w:rsidR="000E52B0" w:rsidRDefault="00F60D74">
      <w:pPr>
        <w:pStyle w:val="Prrafodelista"/>
        <w:numPr>
          <w:ilvl w:val="0"/>
          <w:numId w:val="46"/>
        </w:numPr>
        <w:tabs>
          <w:tab w:val="left" w:pos="1798"/>
          <w:tab w:val="left" w:pos="1800"/>
        </w:tabs>
        <w:ind w:right="715"/>
        <w:jc w:val="both"/>
        <w:rPr>
          <w:sz w:val="24"/>
        </w:rPr>
      </w:pPr>
      <w:r>
        <w:rPr>
          <w:b/>
          <w:sz w:val="24"/>
        </w:rPr>
        <w:t xml:space="preserve">Tejiendo comunidad para las personas con discapacidad: </w:t>
      </w:r>
      <w:r>
        <w:rPr>
          <w:sz w:val="24"/>
        </w:rPr>
        <w:t>Este</w:t>
      </w:r>
      <w:r>
        <w:rPr>
          <w:spacing w:val="-14"/>
          <w:sz w:val="24"/>
        </w:rPr>
        <w:t xml:space="preserve"> </w:t>
      </w:r>
      <w:r>
        <w:rPr>
          <w:sz w:val="24"/>
        </w:rPr>
        <w:t>programa</w:t>
      </w:r>
      <w:r>
        <w:rPr>
          <w:spacing w:val="-15"/>
          <w:sz w:val="24"/>
        </w:rPr>
        <w:t xml:space="preserve"> </w:t>
      </w:r>
      <w:r>
        <w:rPr>
          <w:sz w:val="24"/>
        </w:rPr>
        <w:t>tiene</w:t>
      </w:r>
      <w:r>
        <w:rPr>
          <w:spacing w:val="-14"/>
          <w:sz w:val="24"/>
        </w:rPr>
        <w:t xml:space="preserve"> </w:t>
      </w:r>
      <w:r>
        <w:rPr>
          <w:sz w:val="24"/>
        </w:rPr>
        <w:t>el</w:t>
      </w:r>
      <w:r>
        <w:rPr>
          <w:spacing w:val="-16"/>
          <w:sz w:val="24"/>
        </w:rPr>
        <w:t xml:space="preserve"> </w:t>
      </w:r>
      <w:r>
        <w:rPr>
          <w:sz w:val="24"/>
        </w:rPr>
        <w:t>objetivo</w:t>
      </w:r>
      <w:r>
        <w:rPr>
          <w:spacing w:val="-15"/>
          <w:sz w:val="24"/>
        </w:rPr>
        <w:t xml:space="preserve"> </w:t>
      </w:r>
      <w:r>
        <w:rPr>
          <w:sz w:val="24"/>
        </w:rPr>
        <w:t>de</w:t>
      </w:r>
      <w:r>
        <w:rPr>
          <w:spacing w:val="-14"/>
          <w:sz w:val="24"/>
        </w:rPr>
        <w:t xml:space="preserve"> </w:t>
      </w:r>
      <w:r>
        <w:rPr>
          <w:sz w:val="24"/>
        </w:rPr>
        <w:t>Avanzar</w:t>
      </w:r>
      <w:r>
        <w:rPr>
          <w:spacing w:val="-14"/>
          <w:sz w:val="24"/>
        </w:rPr>
        <w:t xml:space="preserve"> </w:t>
      </w:r>
      <w:r>
        <w:rPr>
          <w:sz w:val="24"/>
        </w:rPr>
        <w:t>en</w:t>
      </w:r>
      <w:r>
        <w:rPr>
          <w:spacing w:val="-16"/>
          <w:sz w:val="24"/>
        </w:rPr>
        <w:t xml:space="preserve"> </w:t>
      </w:r>
      <w:r>
        <w:rPr>
          <w:sz w:val="24"/>
        </w:rPr>
        <w:t>el</w:t>
      </w:r>
      <w:r>
        <w:rPr>
          <w:spacing w:val="-16"/>
          <w:sz w:val="24"/>
        </w:rPr>
        <w:t xml:space="preserve"> </w:t>
      </w:r>
      <w:r>
        <w:rPr>
          <w:sz w:val="24"/>
        </w:rPr>
        <w:t>cierre</w:t>
      </w:r>
      <w:r>
        <w:rPr>
          <w:spacing w:val="-14"/>
          <w:sz w:val="24"/>
        </w:rPr>
        <w:t xml:space="preserve"> </w:t>
      </w:r>
      <w:r>
        <w:rPr>
          <w:sz w:val="24"/>
        </w:rPr>
        <w:t>de</w:t>
      </w:r>
      <w:r>
        <w:rPr>
          <w:spacing w:val="-14"/>
          <w:sz w:val="24"/>
        </w:rPr>
        <w:t xml:space="preserve"> </w:t>
      </w:r>
      <w:r>
        <w:rPr>
          <w:sz w:val="24"/>
        </w:rPr>
        <w:t>brechas de</w:t>
      </w:r>
      <w:r>
        <w:rPr>
          <w:spacing w:val="-5"/>
          <w:sz w:val="24"/>
        </w:rPr>
        <w:t xml:space="preserve"> </w:t>
      </w:r>
      <w:r>
        <w:rPr>
          <w:sz w:val="24"/>
        </w:rPr>
        <w:t>desigualdad</w:t>
      </w:r>
      <w:r>
        <w:rPr>
          <w:spacing w:val="-6"/>
          <w:sz w:val="24"/>
        </w:rPr>
        <w:t xml:space="preserve"> </w:t>
      </w:r>
      <w:r>
        <w:rPr>
          <w:sz w:val="24"/>
        </w:rPr>
        <w:t>e</w:t>
      </w:r>
      <w:r>
        <w:rPr>
          <w:spacing w:val="-5"/>
          <w:sz w:val="24"/>
        </w:rPr>
        <w:t xml:space="preserve"> </w:t>
      </w:r>
      <w:r>
        <w:rPr>
          <w:sz w:val="24"/>
        </w:rPr>
        <w:t>inequidad</w:t>
      </w:r>
      <w:r>
        <w:rPr>
          <w:spacing w:val="-6"/>
          <w:sz w:val="24"/>
        </w:rPr>
        <w:t xml:space="preserve"> </w:t>
      </w:r>
      <w:r>
        <w:rPr>
          <w:sz w:val="24"/>
        </w:rPr>
        <w:t>para</w:t>
      </w:r>
      <w:r>
        <w:rPr>
          <w:spacing w:val="-5"/>
          <w:sz w:val="24"/>
        </w:rPr>
        <w:t xml:space="preserve"> </w:t>
      </w:r>
      <w:r>
        <w:rPr>
          <w:sz w:val="24"/>
        </w:rPr>
        <w:t>las</w:t>
      </w:r>
      <w:r>
        <w:rPr>
          <w:spacing w:val="-4"/>
          <w:sz w:val="24"/>
        </w:rPr>
        <w:t xml:space="preserve"> </w:t>
      </w:r>
      <w:r>
        <w:rPr>
          <w:sz w:val="24"/>
        </w:rPr>
        <w:t>personas</w:t>
      </w:r>
      <w:r>
        <w:rPr>
          <w:spacing w:val="-6"/>
          <w:sz w:val="24"/>
        </w:rPr>
        <w:t xml:space="preserve"> </w:t>
      </w:r>
      <w:r>
        <w:rPr>
          <w:sz w:val="24"/>
        </w:rPr>
        <w:t>con</w:t>
      </w:r>
      <w:r>
        <w:rPr>
          <w:spacing w:val="-6"/>
          <w:sz w:val="24"/>
        </w:rPr>
        <w:t xml:space="preserve"> </w:t>
      </w:r>
      <w:r>
        <w:rPr>
          <w:sz w:val="24"/>
        </w:rPr>
        <w:t>discapacidad,</w:t>
      </w:r>
      <w:r>
        <w:rPr>
          <w:spacing w:val="-6"/>
          <w:sz w:val="24"/>
        </w:rPr>
        <w:t xml:space="preserve"> </w:t>
      </w:r>
      <w:r>
        <w:rPr>
          <w:sz w:val="24"/>
        </w:rPr>
        <w:t>y responde al problema de política pública de barreras de accesibilidad</w:t>
      </w:r>
      <w:r>
        <w:rPr>
          <w:spacing w:val="-2"/>
          <w:sz w:val="24"/>
        </w:rPr>
        <w:t xml:space="preserve"> </w:t>
      </w:r>
      <w:r>
        <w:rPr>
          <w:sz w:val="24"/>
        </w:rPr>
        <w:t>y</w:t>
      </w:r>
      <w:r>
        <w:rPr>
          <w:spacing w:val="-2"/>
          <w:sz w:val="24"/>
        </w:rPr>
        <w:t xml:space="preserve"> </w:t>
      </w:r>
      <w:r>
        <w:rPr>
          <w:sz w:val="24"/>
        </w:rPr>
        <w:t>barreras</w:t>
      </w:r>
      <w:r>
        <w:rPr>
          <w:spacing w:val="-1"/>
          <w:sz w:val="24"/>
        </w:rPr>
        <w:t xml:space="preserve"> </w:t>
      </w:r>
      <w:r>
        <w:rPr>
          <w:sz w:val="24"/>
        </w:rPr>
        <w:t>para</w:t>
      </w:r>
      <w:r>
        <w:rPr>
          <w:spacing w:val="-1"/>
          <w:sz w:val="24"/>
        </w:rPr>
        <w:t xml:space="preserve"> </w:t>
      </w:r>
      <w:r>
        <w:rPr>
          <w:sz w:val="24"/>
        </w:rPr>
        <w:t>el</w:t>
      </w:r>
      <w:r>
        <w:rPr>
          <w:spacing w:val="-3"/>
          <w:sz w:val="24"/>
        </w:rPr>
        <w:t xml:space="preserve"> </w:t>
      </w:r>
      <w:r>
        <w:rPr>
          <w:sz w:val="24"/>
        </w:rPr>
        <w:t>acceso</w:t>
      </w:r>
      <w:r>
        <w:rPr>
          <w:spacing w:val="-5"/>
          <w:sz w:val="24"/>
        </w:rPr>
        <w:t xml:space="preserve"> </w:t>
      </w:r>
      <w:r>
        <w:rPr>
          <w:sz w:val="24"/>
        </w:rPr>
        <w:t>a</w:t>
      </w:r>
      <w:r>
        <w:rPr>
          <w:spacing w:val="-2"/>
          <w:sz w:val="24"/>
        </w:rPr>
        <w:t xml:space="preserve"> </w:t>
      </w:r>
      <w:r>
        <w:rPr>
          <w:sz w:val="24"/>
        </w:rPr>
        <w:t>la</w:t>
      </w:r>
      <w:r>
        <w:rPr>
          <w:spacing w:val="-2"/>
          <w:sz w:val="24"/>
        </w:rPr>
        <w:t xml:space="preserve"> </w:t>
      </w:r>
      <w:r>
        <w:rPr>
          <w:sz w:val="24"/>
        </w:rPr>
        <w:t>educación</w:t>
      </w:r>
      <w:r>
        <w:rPr>
          <w:spacing w:val="-2"/>
          <w:sz w:val="24"/>
        </w:rPr>
        <w:t xml:space="preserve"> </w:t>
      </w:r>
      <w:r>
        <w:rPr>
          <w:sz w:val="24"/>
        </w:rPr>
        <w:t>y</w:t>
      </w:r>
      <w:r>
        <w:rPr>
          <w:spacing w:val="-2"/>
          <w:sz w:val="24"/>
        </w:rPr>
        <w:t xml:space="preserve"> </w:t>
      </w:r>
      <w:r>
        <w:rPr>
          <w:sz w:val="24"/>
        </w:rPr>
        <w:t>al</w:t>
      </w:r>
      <w:r>
        <w:rPr>
          <w:spacing w:val="-3"/>
          <w:sz w:val="24"/>
        </w:rPr>
        <w:t xml:space="preserve"> </w:t>
      </w:r>
      <w:r>
        <w:rPr>
          <w:sz w:val="24"/>
        </w:rPr>
        <w:t>trabajo que</w:t>
      </w:r>
      <w:r>
        <w:rPr>
          <w:spacing w:val="-8"/>
          <w:sz w:val="24"/>
        </w:rPr>
        <w:t xml:space="preserve"> </w:t>
      </w:r>
      <w:r>
        <w:rPr>
          <w:sz w:val="24"/>
        </w:rPr>
        <w:t>deterioran</w:t>
      </w:r>
      <w:r>
        <w:rPr>
          <w:spacing w:val="-9"/>
          <w:sz w:val="24"/>
        </w:rPr>
        <w:t xml:space="preserve"> </w:t>
      </w:r>
      <w:r>
        <w:rPr>
          <w:sz w:val="24"/>
        </w:rPr>
        <w:t>la</w:t>
      </w:r>
      <w:r>
        <w:rPr>
          <w:spacing w:val="-9"/>
          <w:sz w:val="24"/>
        </w:rPr>
        <w:t xml:space="preserve"> </w:t>
      </w:r>
      <w:r>
        <w:rPr>
          <w:sz w:val="24"/>
        </w:rPr>
        <w:t>calidad</w:t>
      </w:r>
      <w:r>
        <w:rPr>
          <w:spacing w:val="-9"/>
          <w:sz w:val="24"/>
        </w:rPr>
        <w:t xml:space="preserve"> </w:t>
      </w:r>
      <w:r>
        <w:rPr>
          <w:sz w:val="24"/>
        </w:rPr>
        <w:t>de</w:t>
      </w:r>
      <w:r>
        <w:rPr>
          <w:spacing w:val="-5"/>
          <w:sz w:val="24"/>
        </w:rPr>
        <w:t xml:space="preserve"> </w:t>
      </w:r>
      <w:r>
        <w:rPr>
          <w:sz w:val="24"/>
        </w:rPr>
        <w:t>vida</w:t>
      </w:r>
      <w:r>
        <w:rPr>
          <w:spacing w:val="-9"/>
          <w:sz w:val="24"/>
        </w:rPr>
        <w:t xml:space="preserve"> </w:t>
      </w:r>
      <w:r>
        <w:rPr>
          <w:sz w:val="24"/>
        </w:rPr>
        <w:t>de</w:t>
      </w:r>
      <w:r>
        <w:rPr>
          <w:spacing w:val="-5"/>
          <w:sz w:val="24"/>
        </w:rPr>
        <w:t xml:space="preserve"> </w:t>
      </w:r>
      <w:r>
        <w:rPr>
          <w:sz w:val="24"/>
        </w:rPr>
        <w:t>la</w:t>
      </w:r>
      <w:r>
        <w:rPr>
          <w:spacing w:val="-7"/>
          <w:sz w:val="24"/>
        </w:rPr>
        <w:t xml:space="preserve"> </w:t>
      </w:r>
      <w:r>
        <w:rPr>
          <w:sz w:val="24"/>
        </w:rPr>
        <w:t>población</w:t>
      </w:r>
      <w:r>
        <w:rPr>
          <w:spacing w:val="-7"/>
          <w:sz w:val="24"/>
        </w:rPr>
        <w:t xml:space="preserve"> </w:t>
      </w:r>
      <w:r>
        <w:rPr>
          <w:sz w:val="24"/>
        </w:rPr>
        <w:t>con</w:t>
      </w:r>
      <w:r>
        <w:rPr>
          <w:spacing w:val="-6"/>
          <w:sz w:val="24"/>
        </w:rPr>
        <w:t xml:space="preserve"> </w:t>
      </w:r>
      <w:r>
        <w:rPr>
          <w:sz w:val="24"/>
        </w:rPr>
        <w:t>discapacidad e impiden su participación y su vida en condiciones de dignidad.</w:t>
      </w:r>
    </w:p>
    <w:p w14:paraId="433023CB" w14:textId="77777777" w:rsidR="000E52B0" w:rsidRDefault="00F60D74">
      <w:pPr>
        <w:pStyle w:val="Ttulo3"/>
        <w:spacing w:before="159"/>
      </w:pPr>
      <w:bookmarkStart w:id="155" w:name="_bookmark155"/>
      <w:bookmarkEnd w:id="155"/>
      <w:r>
        <w:rPr>
          <w:color w:val="BE8F00"/>
        </w:rPr>
        <w:t>Viceministerio</w:t>
      </w:r>
      <w:r>
        <w:rPr>
          <w:color w:val="BE8F00"/>
          <w:spacing w:val="-5"/>
        </w:rPr>
        <w:t xml:space="preserve"> </w:t>
      </w:r>
      <w:r>
        <w:rPr>
          <w:color w:val="BE8F00"/>
        </w:rPr>
        <w:t>de</w:t>
      </w:r>
      <w:r>
        <w:rPr>
          <w:color w:val="BE8F00"/>
          <w:spacing w:val="-2"/>
        </w:rPr>
        <w:t xml:space="preserve"> </w:t>
      </w:r>
      <w:r>
        <w:rPr>
          <w:color w:val="BE8F00"/>
        </w:rPr>
        <w:t>Pueblos</w:t>
      </w:r>
      <w:r>
        <w:rPr>
          <w:color w:val="BE8F00"/>
          <w:spacing w:val="-2"/>
        </w:rPr>
        <w:t xml:space="preserve"> </w:t>
      </w:r>
      <w:r>
        <w:rPr>
          <w:color w:val="BE8F00"/>
        </w:rPr>
        <w:t>Étnicos</w:t>
      </w:r>
      <w:r>
        <w:rPr>
          <w:color w:val="BE8F00"/>
          <w:spacing w:val="-4"/>
        </w:rPr>
        <w:t xml:space="preserve"> </w:t>
      </w:r>
      <w:r>
        <w:rPr>
          <w:color w:val="BE8F00"/>
        </w:rPr>
        <w:t>y</w:t>
      </w:r>
      <w:r>
        <w:rPr>
          <w:color w:val="BE8F00"/>
          <w:spacing w:val="-2"/>
        </w:rPr>
        <w:t xml:space="preserve"> Campesinos</w:t>
      </w:r>
    </w:p>
    <w:p w14:paraId="28D9F325" w14:textId="77777777" w:rsidR="000E52B0" w:rsidRDefault="00F60D74">
      <w:pPr>
        <w:pStyle w:val="Prrafodelista"/>
        <w:numPr>
          <w:ilvl w:val="0"/>
          <w:numId w:val="45"/>
        </w:numPr>
        <w:tabs>
          <w:tab w:val="left" w:pos="1798"/>
          <w:tab w:val="left" w:pos="1800"/>
        </w:tabs>
        <w:spacing w:before="241"/>
        <w:ind w:right="713"/>
        <w:jc w:val="both"/>
        <w:rPr>
          <w:sz w:val="24"/>
        </w:rPr>
      </w:pPr>
      <w:r>
        <w:rPr>
          <w:b/>
          <w:sz w:val="24"/>
        </w:rPr>
        <w:t xml:space="preserve">Tejiendo sistemas económicos propios: </w:t>
      </w:r>
      <w:r>
        <w:rPr>
          <w:sz w:val="24"/>
        </w:rPr>
        <w:t>Este programa tiene como objetivo reducir las brechas de desigualdad económica de los pueblos étnicos y campesinos a partir del fortalecimiento de sistemas económicos propios basados en prácticas culturales, comunitarias y saberes ancestrales de los pueblos étnicos y el campesinado, y responde de manera particular al problema de política pública de brechas de desigualdad e inequidad para el desarrollo</w:t>
      </w:r>
      <w:r>
        <w:rPr>
          <w:spacing w:val="-16"/>
          <w:sz w:val="24"/>
        </w:rPr>
        <w:t xml:space="preserve"> </w:t>
      </w:r>
      <w:r>
        <w:rPr>
          <w:sz w:val="24"/>
        </w:rPr>
        <w:t>económico</w:t>
      </w:r>
      <w:r>
        <w:rPr>
          <w:spacing w:val="-16"/>
          <w:sz w:val="24"/>
        </w:rPr>
        <w:t xml:space="preserve"> </w:t>
      </w:r>
      <w:r>
        <w:rPr>
          <w:sz w:val="24"/>
        </w:rPr>
        <w:t>de</w:t>
      </w:r>
      <w:r>
        <w:rPr>
          <w:spacing w:val="-16"/>
          <w:sz w:val="24"/>
        </w:rPr>
        <w:t xml:space="preserve"> </w:t>
      </w:r>
      <w:r>
        <w:rPr>
          <w:sz w:val="24"/>
        </w:rPr>
        <w:t>los</w:t>
      </w:r>
      <w:r>
        <w:rPr>
          <w:spacing w:val="-17"/>
          <w:sz w:val="24"/>
        </w:rPr>
        <w:t xml:space="preserve"> </w:t>
      </w:r>
      <w:r>
        <w:rPr>
          <w:sz w:val="24"/>
        </w:rPr>
        <w:t>Pueblos</w:t>
      </w:r>
      <w:r>
        <w:rPr>
          <w:spacing w:val="-17"/>
          <w:sz w:val="24"/>
        </w:rPr>
        <w:t xml:space="preserve"> </w:t>
      </w:r>
      <w:r>
        <w:rPr>
          <w:sz w:val="24"/>
        </w:rPr>
        <w:t>Étnicos</w:t>
      </w:r>
      <w:r>
        <w:rPr>
          <w:spacing w:val="-17"/>
          <w:sz w:val="24"/>
        </w:rPr>
        <w:t xml:space="preserve"> </w:t>
      </w:r>
      <w:r>
        <w:rPr>
          <w:sz w:val="24"/>
        </w:rPr>
        <w:t>y</w:t>
      </w:r>
      <w:r>
        <w:rPr>
          <w:spacing w:val="-17"/>
          <w:sz w:val="24"/>
        </w:rPr>
        <w:t xml:space="preserve"> </w:t>
      </w:r>
      <w:r>
        <w:rPr>
          <w:sz w:val="24"/>
        </w:rPr>
        <w:t>el</w:t>
      </w:r>
      <w:r>
        <w:rPr>
          <w:spacing w:val="-18"/>
          <w:sz w:val="24"/>
        </w:rPr>
        <w:t xml:space="preserve"> </w:t>
      </w:r>
      <w:r>
        <w:rPr>
          <w:sz w:val="24"/>
        </w:rPr>
        <w:t>Campesinado</w:t>
      </w:r>
      <w:r>
        <w:rPr>
          <w:spacing w:val="-16"/>
          <w:sz w:val="24"/>
        </w:rPr>
        <w:t xml:space="preserve"> </w:t>
      </w:r>
      <w:r>
        <w:rPr>
          <w:sz w:val="24"/>
        </w:rPr>
        <w:t>que les</w:t>
      </w:r>
      <w:r>
        <w:rPr>
          <w:spacing w:val="40"/>
          <w:sz w:val="24"/>
        </w:rPr>
        <w:t xml:space="preserve"> </w:t>
      </w:r>
      <w:r>
        <w:rPr>
          <w:sz w:val="24"/>
        </w:rPr>
        <w:t>impiden generar ingresos dignos, proteger los territorios y promover sus prácticas culturales y comunitarias conforme a sus visiones del mundo.</w:t>
      </w:r>
    </w:p>
    <w:p w14:paraId="4C51A875" w14:textId="77777777" w:rsidR="000E52B0" w:rsidRDefault="00F60D74">
      <w:pPr>
        <w:pStyle w:val="Prrafodelista"/>
        <w:numPr>
          <w:ilvl w:val="0"/>
          <w:numId w:val="45"/>
        </w:numPr>
        <w:tabs>
          <w:tab w:val="left" w:pos="1798"/>
          <w:tab w:val="left" w:pos="1800"/>
        </w:tabs>
        <w:ind w:right="717"/>
        <w:jc w:val="both"/>
        <w:rPr>
          <w:sz w:val="24"/>
        </w:rPr>
      </w:pPr>
      <w:r>
        <w:rPr>
          <w:b/>
          <w:sz w:val="24"/>
        </w:rPr>
        <w:t xml:space="preserve">Cuidando la vida en el territorio con los Pueblos étnicos y campesinos: </w:t>
      </w:r>
      <w:r>
        <w:rPr>
          <w:sz w:val="24"/>
        </w:rPr>
        <w:t>Este programa tiene como objetivo fortalecer y equilibrar los derechos colectivos de los Pueblos Étnicos y Campesinos a partir del reconocimiento de las prácticas de cuidado propias como articuladoras de las relaciones territoriales y comunitarias que dinamizan reproducen y salvaguardan las culturas y responde de manera particular al problema de política pública de debilitamiento y desequilibrio en los territorios colectivos, ancestrales y tradicionales étnicos y campesinos por las</w:t>
      </w:r>
      <w:r>
        <w:rPr>
          <w:spacing w:val="-8"/>
          <w:sz w:val="24"/>
        </w:rPr>
        <w:t xml:space="preserve"> </w:t>
      </w:r>
      <w:r>
        <w:rPr>
          <w:sz w:val="24"/>
        </w:rPr>
        <w:t>barreras</w:t>
      </w:r>
      <w:r>
        <w:rPr>
          <w:spacing w:val="-7"/>
          <w:sz w:val="24"/>
        </w:rPr>
        <w:t xml:space="preserve"> </w:t>
      </w:r>
      <w:r>
        <w:rPr>
          <w:sz w:val="24"/>
        </w:rPr>
        <w:t>que</w:t>
      </w:r>
      <w:r>
        <w:rPr>
          <w:spacing w:val="-6"/>
          <w:sz w:val="24"/>
        </w:rPr>
        <w:t xml:space="preserve"> </w:t>
      </w:r>
      <w:r>
        <w:rPr>
          <w:sz w:val="24"/>
        </w:rPr>
        <w:t>enfrentan</w:t>
      </w:r>
      <w:r>
        <w:rPr>
          <w:spacing w:val="-8"/>
          <w:sz w:val="24"/>
        </w:rPr>
        <w:t xml:space="preserve"> </w:t>
      </w:r>
      <w:r>
        <w:rPr>
          <w:sz w:val="24"/>
        </w:rPr>
        <w:t>los</w:t>
      </w:r>
      <w:r>
        <w:rPr>
          <w:spacing w:val="-7"/>
          <w:sz w:val="24"/>
        </w:rPr>
        <w:t xml:space="preserve"> </w:t>
      </w:r>
      <w:r>
        <w:rPr>
          <w:sz w:val="24"/>
        </w:rPr>
        <w:t>Pueblos</w:t>
      </w:r>
      <w:r>
        <w:rPr>
          <w:spacing w:val="-7"/>
          <w:sz w:val="24"/>
        </w:rPr>
        <w:t xml:space="preserve"> </w:t>
      </w:r>
      <w:r>
        <w:rPr>
          <w:sz w:val="24"/>
        </w:rPr>
        <w:t>Étnicos</w:t>
      </w:r>
      <w:r>
        <w:rPr>
          <w:spacing w:val="-8"/>
          <w:sz w:val="24"/>
        </w:rPr>
        <w:t xml:space="preserve"> </w:t>
      </w:r>
      <w:r>
        <w:rPr>
          <w:sz w:val="24"/>
        </w:rPr>
        <w:t>y</w:t>
      </w:r>
      <w:r>
        <w:rPr>
          <w:spacing w:val="-8"/>
          <w:sz w:val="24"/>
        </w:rPr>
        <w:t xml:space="preserve"> </w:t>
      </w:r>
      <w:r>
        <w:rPr>
          <w:sz w:val="24"/>
        </w:rPr>
        <w:t>Campesinos</w:t>
      </w:r>
      <w:r>
        <w:rPr>
          <w:spacing w:val="-8"/>
          <w:sz w:val="24"/>
        </w:rPr>
        <w:t xml:space="preserve"> </w:t>
      </w:r>
      <w:r>
        <w:rPr>
          <w:sz w:val="24"/>
        </w:rPr>
        <w:t>para proteger, ejercer y transmitir sus prácticas de cuidado propias.</w:t>
      </w:r>
    </w:p>
    <w:p w14:paraId="73B87E6C" w14:textId="77777777" w:rsidR="000E52B0" w:rsidRDefault="00F60D74">
      <w:pPr>
        <w:pStyle w:val="Prrafodelista"/>
        <w:numPr>
          <w:ilvl w:val="0"/>
          <w:numId w:val="45"/>
        </w:numPr>
        <w:tabs>
          <w:tab w:val="left" w:pos="1797"/>
          <w:tab w:val="left" w:pos="1800"/>
        </w:tabs>
        <w:ind w:right="714"/>
        <w:jc w:val="both"/>
        <w:rPr>
          <w:sz w:val="24"/>
        </w:rPr>
      </w:pPr>
      <w:r>
        <w:rPr>
          <w:b/>
          <w:sz w:val="24"/>
        </w:rPr>
        <w:t xml:space="preserve">Reconociendo saberes en la diferencia: </w:t>
      </w:r>
      <w:r>
        <w:rPr>
          <w:sz w:val="24"/>
        </w:rPr>
        <w:t>Este programa tiene como objetivo reducir el racismo, la discriminación racial, la exclusión y la desigualdad que viven los Pueblos Étnicos y el Campesinado y responde de manera particular al problema de política pública de la distribución inequitativa de los recursos económicos,</w:t>
      </w:r>
      <w:r>
        <w:rPr>
          <w:spacing w:val="-9"/>
          <w:sz w:val="24"/>
        </w:rPr>
        <w:t xml:space="preserve"> </w:t>
      </w:r>
      <w:r>
        <w:rPr>
          <w:sz w:val="24"/>
        </w:rPr>
        <w:t>políticos,</w:t>
      </w:r>
      <w:r>
        <w:rPr>
          <w:spacing w:val="-10"/>
          <w:sz w:val="24"/>
        </w:rPr>
        <w:t xml:space="preserve"> </w:t>
      </w:r>
      <w:r>
        <w:rPr>
          <w:sz w:val="24"/>
        </w:rPr>
        <w:t>sociales</w:t>
      </w:r>
      <w:r>
        <w:rPr>
          <w:spacing w:val="-8"/>
          <w:sz w:val="24"/>
        </w:rPr>
        <w:t xml:space="preserve"> </w:t>
      </w:r>
      <w:r>
        <w:rPr>
          <w:sz w:val="24"/>
        </w:rPr>
        <w:t>y</w:t>
      </w:r>
      <w:r>
        <w:rPr>
          <w:spacing w:val="-7"/>
          <w:sz w:val="24"/>
        </w:rPr>
        <w:t xml:space="preserve"> </w:t>
      </w:r>
      <w:r>
        <w:rPr>
          <w:sz w:val="24"/>
        </w:rPr>
        <w:t>culturales</w:t>
      </w:r>
      <w:r>
        <w:rPr>
          <w:spacing w:val="-9"/>
          <w:sz w:val="24"/>
        </w:rPr>
        <w:t xml:space="preserve"> </w:t>
      </w:r>
      <w:r>
        <w:rPr>
          <w:sz w:val="24"/>
        </w:rPr>
        <w:t>derivada</w:t>
      </w:r>
      <w:r>
        <w:rPr>
          <w:spacing w:val="-9"/>
          <w:sz w:val="24"/>
        </w:rPr>
        <w:t xml:space="preserve"> </w:t>
      </w:r>
      <w:r>
        <w:rPr>
          <w:sz w:val="24"/>
        </w:rPr>
        <w:t>de</w:t>
      </w:r>
      <w:r>
        <w:rPr>
          <w:spacing w:val="-6"/>
          <w:sz w:val="24"/>
        </w:rPr>
        <w:t xml:space="preserve"> </w:t>
      </w:r>
      <w:r>
        <w:rPr>
          <w:sz w:val="24"/>
        </w:rPr>
        <w:t>las</w:t>
      </w:r>
      <w:r>
        <w:rPr>
          <w:spacing w:val="-7"/>
          <w:sz w:val="24"/>
        </w:rPr>
        <w:t xml:space="preserve"> </w:t>
      </w:r>
      <w:r>
        <w:rPr>
          <w:sz w:val="24"/>
        </w:rPr>
        <w:t xml:space="preserve">lógicas de discriminación, segregación y exclusión de la población y las instituciones en función de los atributos de los Pueblos étnicos y el campesinado, conocimientos ancestrales, cosmovisiones e identidades colectivas que imposibilitan el ejercicio pleno de sus </w:t>
      </w:r>
      <w:r>
        <w:rPr>
          <w:spacing w:val="-2"/>
          <w:sz w:val="24"/>
        </w:rPr>
        <w:t>derechos.</w:t>
      </w:r>
    </w:p>
    <w:p w14:paraId="07D6E0FC" w14:textId="77777777" w:rsidR="000E52B0" w:rsidRDefault="00F60D74">
      <w:pPr>
        <w:pStyle w:val="Textoindependiente"/>
        <w:spacing w:before="161"/>
      </w:pPr>
      <w:r>
        <w:t>Asimismo,</w:t>
      </w:r>
      <w:r>
        <w:rPr>
          <w:spacing w:val="29"/>
        </w:rPr>
        <w:t xml:space="preserve"> </w:t>
      </w:r>
      <w:r>
        <w:t>el</w:t>
      </w:r>
      <w:r>
        <w:rPr>
          <w:spacing w:val="28"/>
        </w:rPr>
        <w:t xml:space="preserve"> </w:t>
      </w:r>
      <w:r>
        <w:t>Ministerio</w:t>
      </w:r>
      <w:r>
        <w:rPr>
          <w:spacing w:val="30"/>
        </w:rPr>
        <w:t xml:space="preserve"> </w:t>
      </w:r>
      <w:r>
        <w:t>avanza</w:t>
      </w:r>
      <w:r>
        <w:rPr>
          <w:spacing w:val="29"/>
        </w:rPr>
        <w:t xml:space="preserve"> </w:t>
      </w:r>
      <w:r>
        <w:t>en</w:t>
      </w:r>
      <w:r>
        <w:rPr>
          <w:spacing w:val="29"/>
        </w:rPr>
        <w:t xml:space="preserve"> </w:t>
      </w:r>
      <w:r>
        <w:t>el</w:t>
      </w:r>
      <w:r>
        <w:rPr>
          <w:spacing w:val="28"/>
        </w:rPr>
        <w:t xml:space="preserve"> </w:t>
      </w:r>
      <w:r>
        <w:t>diseño</w:t>
      </w:r>
      <w:r>
        <w:rPr>
          <w:spacing w:val="30"/>
        </w:rPr>
        <w:t xml:space="preserve"> </w:t>
      </w:r>
      <w:r>
        <w:t>y</w:t>
      </w:r>
      <w:r>
        <w:rPr>
          <w:spacing w:val="29"/>
        </w:rPr>
        <w:t xml:space="preserve"> </w:t>
      </w:r>
      <w:r>
        <w:t>consolidación</w:t>
      </w:r>
      <w:r>
        <w:rPr>
          <w:spacing w:val="29"/>
        </w:rPr>
        <w:t xml:space="preserve"> </w:t>
      </w:r>
      <w:r>
        <w:t>de</w:t>
      </w:r>
      <w:r>
        <w:rPr>
          <w:spacing w:val="39"/>
        </w:rPr>
        <w:t xml:space="preserve"> </w:t>
      </w:r>
      <w:r>
        <w:t>ocho</w:t>
      </w:r>
      <w:r>
        <w:rPr>
          <w:spacing w:val="30"/>
        </w:rPr>
        <w:t xml:space="preserve"> </w:t>
      </w:r>
      <w:r>
        <w:t>(8) políticas</w:t>
      </w:r>
      <w:r>
        <w:rPr>
          <w:spacing w:val="4"/>
        </w:rPr>
        <w:t xml:space="preserve"> </w:t>
      </w:r>
      <w:r>
        <w:t>públicas</w:t>
      </w:r>
      <w:r>
        <w:rPr>
          <w:spacing w:val="4"/>
        </w:rPr>
        <w:t xml:space="preserve"> </w:t>
      </w:r>
      <w:r>
        <w:t>orientadas</w:t>
      </w:r>
      <w:r>
        <w:rPr>
          <w:spacing w:val="4"/>
        </w:rPr>
        <w:t xml:space="preserve"> </w:t>
      </w:r>
      <w:r>
        <w:t>a</w:t>
      </w:r>
      <w:r>
        <w:rPr>
          <w:spacing w:val="4"/>
        </w:rPr>
        <w:t xml:space="preserve"> </w:t>
      </w:r>
      <w:r>
        <w:t>la</w:t>
      </w:r>
      <w:r>
        <w:rPr>
          <w:spacing w:val="3"/>
        </w:rPr>
        <w:t xml:space="preserve"> </w:t>
      </w:r>
      <w:r>
        <w:t>acción</w:t>
      </w:r>
      <w:r>
        <w:rPr>
          <w:spacing w:val="6"/>
        </w:rPr>
        <w:t xml:space="preserve"> </w:t>
      </w:r>
      <w:r>
        <w:t>intersectorial,</w:t>
      </w:r>
      <w:r>
        <w:rPr>
          <w:spacing w:val="3"/>
        </w:rPr>
        <w:t xml:space="preserve"> </w:t>
      </w:r>
      <w:r>
        <w:t>de</w:t>
      </w:r>
      <w:r>
        <w:rPr>
          <w:spacing w:val="5"/>
        </w:rPr>
        <w:t xml:space="preserve"> </w:t>
      </w:r>
      <w:r>
        <w:t>estas</w:t>
      </w:r>
      <w:r>
        <w:rPr>
          <w:spacing w:val="4"/>
        </w:rPr>
        <w:t xml:space="preserve"> </w:t>
      </w:r>
      <w:r>
        <w:t>hay</w:t>
      </w:r>
      <w:r>
        <w:rPr>
          <w:spacing w:val="4"/>
        </w:rPr>
        <w:t xml:space="preserve"> </w:t>
      </w:r>
      <w:r>
        <w:rPr>
          <w:spacing w:val="-2"/>
        </w:rPr>
        <w:t>cuatro</w:t>
      </w:r>
    </w:p>
    <w:p w14:paraId="5981DED0" w14:textId="77777777" w:rsidR="000E52B0" w:rsidRDefault="000E52B0">
      <w:pPr>
        <w:pStyle w:val="Textoindependiente"/>
        <w:sectPr w:rsidR="000E52B0">
          <w:pgSz w:w="11910" w:h="16840"/>
          <w:pgMar w:top="1340" w:right="720" w:bottom="1180" w:left="720" w:header="0" w:footer="995" w:gutter="0"/>
          <w:cols w:space="720"/>
        </w:sectPr>
      </w:pPr>
    </w:p>
    <w:p w14:paraId="664DC566" w14:textId="77777777" w:rsidR="000E52B0" w:rsidRDefault="00F60D74">
      <w:pPr>
        <w:pStyle w:val="Textoindependiente"/>
        <w:spacing w:before="83"/>
        <w:ind w:right="718"/>
        <w:jc w:val="both"/>
      </w:pPr>
      <w:r>
        <w:lastRenderedPageBreak/>
        <w:t>Documentos CONPES avanzando. Se encuentran en construcción de Plan de Acción con otras entidades y sectores, los CONPES de Cuidado, que se articula con el Sistema Nacional de Cuidado; CONPES de la política de Discapacidad; y el CONPES de la política LGBTIQ+. Todos estos contaron con una fase participativa en el marco de su construcción.</w:t>
      </w:r>
    </w:p>
    <w:p w14:paraId="509AD337" w14:textId="77777777" w:rsidR="000E52B0" w:rsidRDefault="00F60D74">
      <w:pPr>
        <w:pStyle w:val="Textoindependiente"/>
        <w:spacing w:before="159"/>
        <w:ind w:right="719"/>
        <w:jc w:val="both"/>
      </w:pPr>
      <w:r>
        <w:t>En</w:t>
      </w:r>
      <w:r>
        <w:rPr>
          <w:spacing w:val="-17"/>
        </w:rPr>
        <w:t xml:space="preserve"> </w:t>
      </w:r>
      <w:r>
        <w:t>el</w:t>
      </w:r>
      <w:r>
        <w:rPr>
          <w:spacing w:val="-17"/>
        </w:rPr>
        <w:t xml:space="preserve"> </w:t>
      </w:r>
      <w:r>
        <w:t>caso</w:t>
      </w:r>
      <w:r>
        <w:rPr>
          <w:spacing w:val="-15"/>
        </w:rPr>
        <w:t xml:space="preserve"> </w:t>
      </w:r>
      <w:r>
        <w:t>de</w:t>
      </w:r>
      <w:r>
        <w:rPr>
          <w:spacing w:val="-13"/>
        </w:rPr>
        <w:t xml:space="preserve"> </w:t>
      </w:r>
      <w:r>
        <w:t>la</w:t>
      </w:r>
      <w:r>
        <w:rPr>
          <w:spacing w:val="-16"/>
        </w:rPr>
        <w:t xml:space="preserve"> </w:t>
      </w:r>
      <w:r>
        <w:t>Política</w:t>
      </w:r>
      <w:r>
        <w:rPr>
          <w:spacing w:val="-16"/>
        </w:rPr>
        <w:t xml:space="preserve"> </w:t>
      </w:r>
      <w:r>
        <w:t>de</w:t>
      </w:r>
      <w:r>
        <w:rPr>
          <w:spacing w:val="-15"/>
        </w:rPr>
        <w:t xml:space="preserve"> </w:t>
      </w:r>
      <w:r>
        <w:t>Derecho</w:t>
      </w:r>
      <w:r>
        <w:rPr>
          <w:spacing w:val="-15"/>
        </w:rPr>
        <w:t xml:space="preserve"> </w:t>
      </w:r>
      <w:r>
        <w:t>Humano</w:t>
      </w:r>
      <w:r>
        <w:rPr>
          <w:spacing w:val="-15"/>
        </w:rPr>
        <w:t xml:space="preserve"> </w:t>
      </w:r>
      <w:r>
        <w:t>a</w:t>
      </w:r>
      <w:r>
        <w:rPr>
          <w:spacing w:val="-16"/>
        </w:rPr>
        <w:t xml:space="preserve"> </w:t>
      </w:r>
      <w:r>
        <w:t>la</w:t>
      </w:r>
      <w:r>
        <w:rPr>
          <w:spacing w:val="-14"/>
        </w:rPr>
        <w:t xml:space="preserve"> </w:t>
      </w:r>
      <w:r>
        <w:t>Alimentación</w:t>
      </w:r>
      <w:r>
        <w:rPr>
          <w:spacing w:val="-16"/>
        </w:rPr>
        <w:t xml:space="preserve"> </w:t>
      </w:r>
      <w:r>
        <w:t>se</w:t>
      </w:r>
      <w:r>
        <w:rPr>
          <w:spacing w:val="-15"/>
        </w:rPr>
        <w:t xml:space="preserve"> </w:t>
      </w:r>
      <w:r>
        <w:t>encuentra en fase de diagnóstico, así como la Política Nacional de Juventud.</w:t>
      </w:r>
    </w:p>
    <w:p w14:paraId="5EA5B3CE" w14:textId="77777777" w:rsidR="000E52B0" w:rsidRDefault="00F60D74">
      <w:pPr>
        <w:pStyle w:val="Textoindependiente"/>
        <w:spacing w:before="161"/>
        <w:ind w:right="717"/>
        <w:jc w:val="both"/>
      </w:pPr>
      <w:r>
        <w:t>Otras políticas están en la fase temprana de alistamiento para iniciar su formulación, a saber, la Política de Racismo y Discriminación Racial y la Política</w:t>
      </w:r>
      <w:r>
        <w:rPr>
          <w:spacing w:val="-1"/>
        </w:rPr>
        <w:t xml:space="preserve"> </w:t>
      </w:r>
      <w:r>
        <w:t>para</w:t>
      </w:r>
      <w:r>
        <w:rPr>
          <w:spacing w:val="-1"/>
        </w:rPr>
        <w:t xml:space="preserve"> </w:t>
      </w:r>
      <w:r>
        <w:t>la</w:t>
      </w:r>
      <w:r>
        <w:rPr>
          <w:spacing w:val="-2"/>
        </w:rPr>
        <w:t xml:space="preserve"> </w:t>
      </w:r>
      <w:r>
        <w:t>Superación</w:t>
      </w:r>
      <w:r>
        <w:rPr>
          <w:spacing w:val="-4"/>
        </w:rPr>
        <w:t xml:space="preserve"> </w:t>
      </w:r>
      <w:r>
        <w:t>de</w:t>
      </w:r>
      <w:r>
        <w:rPr>
          <w:spacing w:val="-3"/>
        </w:rPr>
        <w:t xml:space="preserve"> </w:t>
      </w:r>
      <w:r>
        <w:t>la</w:t>
      </w:r>
      <w:r>
        <w:rPr>
          <w:spacing w:val="-1"/>
        </w:rPr>
        <w:t xml:space="preserve"> </w:t>
      </w:r>
      <w:r>
        <w:t>Pobreza</w:t>
      </w:r>
      <w:r>
        <w:rPr>
          <w:spacing w:val="-3"/>
        </w:rPr>
        <w:t xml:space="preserve"> </w:t>
      </w:r>
      <w:r>
        <w:t>articulada</w:t>
      </w:r>
      <w:r>
        <w:rPr>
          <w:spacing w:val="-3"/>
        </w:rPr>
        <w:t xml:space="preserve"> </w:t>
      </w:r>
      <w:r>
        <w:t>al</w:t>
      </w:r>
      <w:r>
        <w:rPr>
          <w:spacing w:val="-3"/>
        </w:rPr>
        <w:t xml:space="preserve"> </w:t>
      </w:r>
      <w:r>
        <w:t>Sistema</w:t>
      </w:r>
      <w:r>
        <w:rPr>
          <w:spacing w:val="-3"/>
        </w:rPr>
        <w:t xml:space="preserve"> </w:t>
      </w:r>
      <w:r>
        <w:t>Nacional</w:t>
      </w:r>
      <w:r>
        <w:rPr>
          <w:spacing w:val="-3"/>
        </w:rPr>
        <w:t xml:space="preserve"> </w:t>
      </w:r>
      <w:r>
        <w:t>de Igualdad y Equidad.</w:t>
      </w:r>
    </w:p>
    <w:p w14:paraId="15EFC2FA" w14:textId="77777777" w:rsidR="000E52B0" w:rsidRDefault="000E52B0">
      <w:pPr>
        <w:pStyle w:val="Textoindependiente"/>
        <w:spacing w:before="158"/>
        <w:ind w:left="0"/>
      </w:pPr>
    </w:p>
    <w:p w14:paraId="2A179BD5" w14:textId="77777777" w:rsidR="000E52B0" w:rsidRDefault="00F60D74">
      <w:pPr>
        <w:pStyle w:val="Ttulo1"/>
        <w:numPr>
          <w:ilvl w:val="0"/>
          <w:numId w:val="53"/>
        </w:numPr>
        <w:tabs>
          <w:tab w:val="left" w:pos="1440"/>
          <w:tab w:val="left" w:pos="4820"/>
          <w:tab w:val="left" w:pos="5449"/>
          <w:tab w:val="left" w:pos="8641"/>
          <w:tab w:val="left" w:pos="9468"/>
        </w:tabs>
        <w:ind w:right="715" w:hanging="881"/>
        <w:jc w:val="left"/>
      </w:pPr>
      <w:bookmarkStart w:id="156" w:name="_bookmark156"/>
      <w:bookmarkEnd w:id="156"/>
      <w:r>
        <w:rPr>
          <w:color w:val="B3176C"/>
          <w:spacing w:val="-2"/>
        </w:rPr>
        <w:t>Constitucionalidad</w:t>
      </w:r>
      <w:r>
        <w:rPr>
          <w:color w:val="B3176C"/>
        </w:rPr>
        <w:tab/>
      </w:r>
      <w:r>
        <w:rPr>
          <w:color w:val="B3176C"/>
          <w:spacing w:val="-10"/>
        </w:rPr>
        <w:t>y</w:t>
      </w:r>
      <w:r>
        <w:rPr>
          <w:color w:val="B3176C"/>
        </w:rPr>
        <w:tab/>
      </w:r>
      <w:r>
        <w:rPr>
          <w:color w:val="B3176C"/>
          <w:spacing w:val="-2"/>
        </w:rPr>
        <w:t>convencionalidad</w:t>
      </w:r>
      <w:r>
        <w:rPr>
          <w:color w:val="B3176C"/>
        </w:rPr>
        <w:tab/>
      </w:r>
      <w:r>
        <w:rPr>
          <w:color w:val="B3176C"/>
          <w:spacing w:val="-6"/>
        </w:rPr>
        <w:t>de</w:t>
      </w:r>
      <w:r>
        <w:rPr>
          <w:color w:val="B3176C"/>
        </w:rPr>
        <w:tab/>
      </w:r>
      <w:r>
        <w:rPr>
          <w:color w:val="B3176C"/>
          <w:spacing w:val="-6"/>
        </w:rPr>
        <w:t xml:space="preserve">la </w:t>
      </w:r>
      <w:r>
        <w:rPr>
          <w:color w:val="B3176C"/>
          <w:spacing w:val="-2"/>
        </w:rPr>
        <w:t>iniciativa</w:t>
      </w:r>
    </w:p>
    <w:p w14:paraId="66C1F7E5" w14:textId="77777777" w:rsidR="000E52B0" w:rsidRDefault="00F60D74">
      <w:pPr>
        <w:pStyle w:val="Textoindependiente"/>
        <w:spacing w:before="294"/>
        <w:ind w:right="713"/>
        <w:jc w:val="both"/>
      </w:pPr>
      <w:r>
        <w:t xml:space="preserve">El Ministerio de Igualdad y Equidad es una medida formal con los mecanismos para llegar a las medidas materiales, concretas y dirigidas intencionalmente para lograr la igualdad. La Corte Constitucional ha reconocido la igualdad como un concepto multidimensional, pues es un principio, un </w:t>
      </w:r>
      <w:r>
        <w:rPr>
          <w:b/>
        </w:rPr>
        <w:t xml:space="preserve">derecho fundamental </w:t>
      </w:r>
      <w:r>
        <w:t>y una garantía</w:t>
      </w:r>
      <w:hyperlink w:anchor="_bookmark157" w:history="1">
        <w:r w:rsidR="000E52B0">
          <w:rPr>
            <w:position w:val="8"/>
            <w:sz w:val="16"/>
          </w:rPr>
          <w:t>127</w:t>
        </w:r>
      </w:hyperlink>
      <w:r>
        <w:t>. En este sentido la Igualdad está consagrada como derecho fundamental en la Constitución política en el artículo 13. En desarrollo de este, la Corte Constitucional ha determinado que debe entenderse en tres dimensiones:</w:t>
      </w:r>
    </w:p>
    <w:p w14:paraId="3A4FEAE7" w14:textId="77777777" w:rsidR="000E52B0" w:rsidRDefault="00F60D74">
      <w:pPr>
        <w:pStyle w:val="Prrafodelista"/>
        <w:numPr>
          <w:ilvl w:val="1"/>
          <w:numId w:val="53"/>
        </w:numPr>
        <w:tabs>
          <w:tab w:val="left" w:pos="1798"/>
          <w:tab w:val="left" w:pos="1800"/>
        </w:tabs>
        <w:spacing w:before="290"/>
        <w:ind w:right="719"/>
        <w:jc w:val="both"/>
        <w:rPr>
          <w:sz w:val="24"/>
        </w:rPr>
      </w:pPr>
      <w:r>
        <w:rPr>
          <w:sz w:val="24"/>
          <w:u w:val="single"/>
        </w:rPr>
        <w:t>igualdad</w:t>
      </w:r>
      <w:r>
        <w:rPr>
          <w:spacing w:val="-11"/>
          <w:sz w:val="24"/>
          <w:u w:val="single"/>
        </w:rPr>
        <w:t xml:space="preserve"> </w:t>
      </w:r>
      <w:r>
        <w:rPr>
          <w:sz w:val="24"/>
          <w:u w:val="single"/>
        </w:rPr>
        <w:t>formal</w:t>
      </w:r>
      <w:r>
        <w:rPr>
          <w:sz w:val="24"/>
        </w:rPr>
        <w:t>,</w:t>
      </w:r>
      <w:r>
        <w:rPr>
          <w:spacing w:val="-13"/>
          <w:sz w:val="24"/>
        </w:rPr>
        <w:t xml:space="preserve"> </w:t>
      </w:r>
      <w:r>
        <w:rPr>
          <w:sz w:val="24"/>
        </w:rPr>
        <w:t>“</w:t>
      </w:r>
      <w:r>
        <w:rPr>
          <w:i/>
          <w:sz w:val="24"/>
        </w:rPr>
        <w:t>lo</w:t>
      </w:r>
      <w:r>
        <w:rPr>
          <w:i/>
          <w:spacing w:val="-12"/>
          <w:sz w:val="24"/>
        </w:rPr>
        <w:t xml:space="preserve"> </w:t>
      </w:r>
      <w:r>
        <w:rPr>
          <w:i/>
          <w:sz w:val="24"/>
        </w:rPr>
        <w:t>que</w:t>
      </w:r>
      <w:r>
        <w:rPr>
          <w:i/>
          <w:spacing w:val="-11"/>
          <w:sz w:val="24"/>
        </w:rPr>
        <w:t xml:space="preserve"> </w:t>
      </w:r>
      <w:r>
        <w:rPr>
          <w:i/>
          <w:sz w:val="24"/>
        </w:rPr>
        <w:t>implica</w:t>
      </w:r>
      <w:r>
        <w:rPr>
          <w:i/>
          <w:spacing w:val="-10"/>
          <w:sz w:val="24"/>
        </w:rPr>
        <w:t xml:space="preserve"> </w:t>
      </w:r>
      <w:r>
        <w:rPr>
          <w:i/>
          <w:sz w:val="24"/>
        </w:rPr>
        <w:t>que</w:t>
      </w:r>
      <w:r>
        <w:rPr>
          <w:i/>
          <w:spacing w:val="-11"/>
          <w:sz w:val="24"/>
        </w:rPr>
        <w:t xml:space="preserve"> </w:t>
      </w:r>
      <w:r>
        <w:rPr>
          <w:i/>
          <w:sz w:val="24"/>
        </w:rPr>
        <w:t>la</w:t>
      </w:r>
      <w:r>
        <w:rPr>
          <w:i/>
          <w:spacing w:val="-10"/>
          <w:sz w:val="24"/>
        </w:rPr>
        <w:t xml:space="preserve"> </w:t>
      </w:r>
      <w:r>
        <w:rPr>
          <w:i/>
          <w:sz w:val="24"/>
        </w:rPr>
        <w:t>legalidad</w:t>
      </w:r>
      <w:r>
        <w:rPr>
          <w:i/>
          <w:spacing w:val="-11"/>
          <w:sz w:val="24"/>
        </w:rPr>
        <w:t xml:space="preserve"> </w:t>
      </w:r>
      <w:r>
        <w:rPr>
          <w:i/>
          <w:sz w:val="24"/>
        </w:rPr>
        <w:t>debe</w:t>
      </w:r>
      <w:r>
        <w:rPr>
          <w:i/>
          <w:spacing w:val="-11"/>
          <w:sz w:val="24"/>
        </w:rPr>
        <w:t xml:space="preserve"> </w:t>
      </w:r>
      <w:r>
        <w:rPr>
          <w:i/>
          <w:sz w:val="24"/>
        </w:rPr>
        <w:t>ser</w:t>
      </w:r>
      <w:r>
        <w:rPr>
          <w:i/>
          <w:spacing w:val="-11"/>
          <w:sz w:val="24"/>
        </w:rPr>
        <w:t xml:space="preserve"> </w:t>
      </w:r>
      <w:r>
        <w:rPr>
          <w:i/>
          <w:sz w:val="24"/>
        </w:rPr>
        <w:t xml:space="preserve">aplicada en condiciones de igualdad a todos los sujetos contra quienes se </w:t>
      </w:r>
      <w:r>
        <w:rPr>
          <w:i/>
          <w:spacing w:val="-2"/>
          <w:sz w:val="24"/>
        </w:rPr>
        <w:t>dirige</w:t>
      </w:r>
      <w:r>
        <w:rPr>
          <w:spacing w:val="-2"/>
          <w:sz w:val="24"/>
        </w:rPr>
        <w:t>”;</w:t>
      </w:r>
    </w:p>
    <w:p w14:paraId="26F36A2C" w14:textId="77777777" w:rsidR="000E52B0" w:rsidRDefault="00F60D74">
      <w:pPr>
        <w:pStyle w:val="Prrafodelista"/>
        <w:numPr>
          <w:ilvl w:val="1"/>
          <w:numId w:val="53"/>
        </w:numPr>
        <w:tabs>
          <w:tab w:val="left" w:pos="1798"/>
          <w:tab w:val="left" w:pos="1800"/>
        </w:tabs>
        <w:spacing w:before="1"/>
        <w:ind w:right="718"/>
        <w:jc w:val="both"/>
        <w:rPr>
          <w:sz w:val="24"/>
        </w:rPr>
      </w:pPr>
      <w:r>
        <w:rPr>
          <w:sz w:val="24"/>
          <w:u w:val="single"/>
        </w:rPr>
        <w:t>igualdad</w:t>
      </w:r>
      <w:r>
        <w:rPr>
          <w:spacing w:val="-5"/>
          <w:sz w:val="24"/>
          <w:u w:val="single"/>
        </w:rPr>
        <w:t xml:space="preserve"> </w:t>
      </w:r>
      <w:r>
        <w:rPr>
          <w:sz w:val="24"/>
          <w:u w:val="single"/>
        </w:rPr>
        <w:t>material</w:t>
      </w:r>
      <w:r>
        <w:rPr>
          <w:sz w:val="24"/>
        </w:rPr>
        <w:t>,</w:t>
      </w:r>
      <w:r>
        <w:rPr>
          <w:spacing w:val="-5"/>
          <w:sz w:val="24"/>
        </w:rPr>
        <w:t xml:space="preserve"> </w:t>
      </w:r>
      <w:r>
        <w:rPr>
          <w:sz w:val="24"/>
        </w:rPr>
        <w:t>según</w:t>
      </w:r>
      <w:r>
        <w:rPr>
          <w:spacing w:val="-5"/>
          <w:sz w:val="24"/>
        </w:rPr>
        <w:t xml:space="preserve"> </w:t>
      </w:r>
      <w:r>
        <w:rPr>
          <w:sz w:val="24"/>
        </w:rPr>
        <w:t>la</w:t>
      </w:r>
      <w:r>
        <w:rPr>
          <w:spacing w:val="-6"/>
          <w:sz w:val="24"/>
        </w:rPr>
        <w:t xml:space="preserve"> </w:t>
      </w:r>
      <w:r>
        <w:rPr>
          <w:sz w:val="24"/>
        </w:rPr>
        <w:t>cual</w:t>
      </w:r>
      <w:r>
        <w:rPr>
          <w:spacing w:val="-5"/>
          <w:sz w:val="24"/>
        </w:rPr>
        <w:t xml:space="preserve"> </w:t>
      </w:r>
      <w:r>
        <w:rPr>
          <w:sz w:val="24"/>
        </w:rPr>
        <w:t>se</w:t>
      </w:r>
      <w:r>
        <w:rPr>
          <w:spacing w:val="-5"/>
          <w:sz w:val="24"/>
        </w:rPr>
        <w:t xml:space="preserve"> </w:t>
      </w:r>
      <w:r>
        <w:rPr>
          <w:sz w:val="24"/>
        </w:rPr>
        <w:t>debe</w:t>
      </w:r>
      <w:r>
        <w:rPr>
          <w:spacing w:val="-5"/>
          <w:sz w:val="24"/>
        </w:rPr>
        <w:t xml:space="preserve"> </w:t>
      </w:r>
      <w:r>
        <w:rPr>
          <w:sz w:val="24"/>
        </w:rPr>
        <w:t>“</w:t>
      </w:r>
      <w:r>
        <w:rPr>
          <w:i/>
          <w:sz w:val="24"/>
        </w:rPr>
        <w:t>garantizar</w:t>
      </w:r>
      <w:r>
        <w:rPr>
          <w:i/>
          <w:spacing w:val="-4"/>
          <w:sz w:val="24"/>
        </w:rPr>
        <w:t xml:space="preserve"> </w:t>
      </w:r>
      <w:r>
        <w:rPr>
          <w:i/>
          <w:sz w:val="24"/>
        </w:rPr>
        <w:t>la</w:t>
      </w:r>
      <w:r>
        <w:rPr>
          <w:i/>
          <w:spacing w:val="-4"/>
          <w:sz w:val="24"/>
        </w:rPr>
        <w:t xml:space="preserve"> </w:t>
      </w:r>
      <w:r>
        <w:rPr>
          <w:i/>
          <w:sz w:val="24"/>
        </w:rPr>
        <w:t>paridad</w:t>
      </w:r>
      <w:r>
        <w:rPr>
          <w:i/>
          <w:spacing w:val="-5"/>
          <w:sz w:val="24"/>
        </w:rPr>
        <w:t xml:space="preserve"> </w:t>
      </w:r>
      <w:r>
        <w:rPr>
          <w:i/>
          <w:sz w:val="24"/>
        </w:rPr>
        <w:t>de oportunidades entre los individuos</w:t>
      </w:r>
      <w:r>
        <w:rPr>
          <w:sz w:val="24"/>
        </w:rPr>
        <w:t>”; y</w:t>
      </w:r>
    </w:p>
    <w:p w14:paraId="633CF40C" w14:textId="77777777" w:rsidR="000E52B0" w:rsidRDefault="00F60D74">
      <w:pPr>
        <w:pStyle w:val="Prrafodelista"/>
        <w:numPr>
          <w:ilvl w:val="1"/>
          <w:numId w:val="53"/>
        </w:numPr>
        <w:tabs>
          <w:tab w:val="left" w:pos="1797"/>
          <w:tab w:val="left" w:pos="1800"/>
        </w:tabs>
        <w:ind w:right="717"/>
        <w:jc w:val="both"/>
        <w:rPr>
          <w:sz w:val="24"/>
        </w:rPr>
      </w:pPr>
      <w:r>
        <w:rPr>
          <w:sz w:val="24"/>
          <w:u w:val="single"/>
        </w:rPr>
        <w:t>prohibición</w:t>
      </w:r>
      <w:r>
        <w:rPr>
          <w:spacing w:val="-4"/>
          <w:sz w:val="24"/>
          <w:u w:val="single"/>
        </w:rPr>
        <w:t xml:space="preserve"> </w:t>
      </w:r>
      <w:r>
        <w:rPr>
          <w:sz w:val="24"/>
          <w:u w:val="single"/>
        </w:rPr>
        <w:t>de</w:t>
      </w:r>
      <w:r>
        <w:rPr>
          <w:spacing w:val="-3"/>
          <w:sz w:val="24"/>
          <w:u w:val="single"/>
        </w:rPr>
        <w:t xml:space="preserve"> </w:t>
      </w:r>
      <w:r>
        <w:rPr>
          <w:sz w:val="24"/>
          <w:u w:val="single"/>
        </w:rPr>
        <w:t>discriminación</w:t>
      </w:r>
      <w:r>
        <w:rPr>
          <w:sz w:val="24"/>
        </w:rPr>
        <w:t>,</w:t>
      </w:r>
      <w:r>
        <w:rPr>
          <w:spacing w:val="-3"/>
          <w:sz w:val="24"/>
        </w:rPr>
        <w:t xml:space="preserve"> </w:t>
      </w:r>
      <w:r>
        <w:rPr>
          <w:sz w:val="24"/>
        </w:rPr>
        <w:t>lo</w:t>
      </w:r>
      <w:r>
        <w:rPr>
          <w:spacing w:val="-3"/>
          <w:sz w:val="24"/>
        </w:rPr>
        <w:t xml:space="preserve"> </w:t>
      </w:r>
      <w:r>
        <w:rPr>
          <w:sz w:val="24"/>
        </w:rPr>
        <w:t>que</w:t>
      </w:r>
      <w:r>
        <w:rPr>
          <w:spacing w:val="-3"/>
          <w:sz w:val="24"/>
        </w:rPr>
        <w:t xml:space="preserve"> </w:t>
      </w:r>
      <w:r>
        <w:rPr>
          <w:sz w:val="24"/>
        </w:rPr>
        <w:t>significa</w:t>
      </w:r>
      <w:r>
        <w:rPr>
          <w:spacing w:val="-1"/>
          <w:sz w:val="24"/>
        </w:rPr>
        <w:t xml:space="preserve"> </w:t>
      </w:r>
      <w:r>
        <w:rPr>
          <w:sz w:val="24"/>
        </w:rPr>
        <w:t>que</w:t>
      </w:r>
      <w:r>
        <w:rPr>
          <w:spacing w:val="-3"/>
          <w:sz w:val="24"/>
        </w:rPr>
        <w:t xml:space="preserve"> </w:t>
      </w:r>
      <w:r>
        <w:rPr>
          <w:sz w:val="24"/>
        </w:rPr>
        <w:t>“</w:t>
      </w:r>
      <w:r>
        <w:rPr>
          <w:i/>
          <w:sz w:val="24"/>
        </w:rPr>
        <w:t>el</w:t>
      </w:r>
      <w:r>
        <w:rPr>
          <w:i/>
          <w:spacing w:val="-4"/>
          <w:sz w:val="24"/>
        </w:rPr>
        <w:t xml:space="preserve"> </w:t>
      </w:r>
      <w:r>
        <w:rPr>
          <w:i/>
          <w:sz w:val="24"/>
        </w:rPr>
        <w:t>Estado</w:t>
      </w:r>
      <w:r>
        <w:rPr>
          <w:i/>
          <w:spacing w:val="-3"/>
          <w:sz w:val="24"/>
        </w:rPr>
        <w:t xml:space="preserve"> </w:t>
      </w:r>
      <w:r>
        <w:rPr>
          <w:i/>
          <w:sz w:val="24"/>
        </w:rPr>
        <w:t>y</w:t>
      </w:r>
      <w:r>
        <w:rPr>
          <w:i/>
          <w:spacing w:val="-5"/>
          <w:sz w:val="24"/>
        </w:rPr>
        <w:t xml:space="preserve"> </w:t>
      </w:r>
      <w:r>
        <w:rPr>
          <w:i/>
          <w:sz w:val="24"/>
        </w:rPr>
        <w:t>los particulares no pued</w:t>
      </w:r>
      <w:r>
        <w:rPr>
          <w:sz w:val="24"/>
        </w:rPr>
        <w:t>e</w:t>
      </w:r>
      <w:r>
        <w:rPr>
          <w:i/>
          <w:sz w:val="24"/>
        </w:rPr>
        <w:t>n aplicar un trato diferente a partir de criterios sospechosos construidos con fundamento en razones de sexo, raza, origen étnico, identidad de género, religión y opinión política, entre otras</w:t>
      </w:r>
      <w:hyperlink w:anchor="_bookmark158" w:history="1">
        <w:r w:rsidR="000E52B0">
          <w:rPr>
            <w:position w:val="8"/>
            <w:sz w:val="16"/>
          </w:rPr>
          <w:t>128</w:t>
        </w:r>
      </w:hyperlink>
      <w:r>
        <w:rPr>
          <w:spacing w:val="40"/>
          <w:position w:val="8"/>
          <w:sz w:val="16"/>
        </w:rPr>
        <w:t xml:space="preserve"> </w:t>
      </w:r>
      <w:r>
        <w:rPr>
          <w:sz w:val="24"/>
        </w:rPr>
        <w:t>.</w:t>
      </w:r>
    </w:p>
    <w:p w14:paraId="346B56F0" w14:textId="77777777" w:rsidR="000E52B0" w:rsidRDefault="000E52B0">
      <w:pPr>
        <w:pStyle w:val="Textoindependiente"/>
        <w:spacing w:before="161"/>
        <w:ind w:left="0"/>
      </w:pPr>
    </w:p>
    <w:p w14:paraId="14F30237" w14:textId="77777777" w:rsidR="000E52B0" w:rsidRDefault="00F60D74">
      <w:pPr>
        <w:ind w:left="720" w:right="712"/>
        <w:jc w:val="both"/>
        <w:rPr>
          <w:sz w:val="24"/>
        </w:rPr>
      </w:pPr>
      <w:r>
        <w:rPr>
          <w:sz w:val="24"/>
        </w:rPr>
        <w:t xml:space="preserve">Asimismo, la Corte ha considerado dos facetas complementarias de la igualdad, la igualdad formal – que está basada en el reconocimiento- y la igualdad material. Así mismo reconoce que </w:t>
      </w:r>
      <w:r>
        <w:rPr>
          <w:b/>
          <w:sz w:val="24"/>
        </w:rPr>
        <w:t>el Estado tiene el deber de adoptar medidas para que la igualdad sea real y efectiva</w:t>
      </w:r>
      <w:hyperlink w:anchor="_bookmark159" w:history="1">
        <w:r w:rsidR="000E52B0">
          <w:rPr>
            <w:position w:val="8"/>
            <w:sz w:val="16"/>
          </w:rPr>
          <w:t>129</w:t>
        </w:r>
      </w:hyperlink>
      <w:r>
        <w:rPr>
          <w:sz w:val="24"/>
        </w:rPr>
        <w:t>. Asimismo, la Corte establece que, la igualdad se logra a través “(a) trato igual</w:t>
      </w:r>
      <w:r>
        <w:rPr>
          <w:spacing w:val="-2"/>
          <w:sz w:val="24"/>
        </w:rPr>
        <w:t xml:space="preserve"> </w:t>
      </w:r>
      <w:r>
        <w:rPr>
          <w:sz w:val="24"/>
        </w:rPr>
        <w:t>a</w:t>
      </w:r>
      <w:r>
        <w:rPr>
          <w:spacing w:val="-1"/>
          <w:sz w:val="24"/>
        </w:rPr>
        <w:t xml:space="preserve"> </w:t>
      </w:r>
      <w:r>
        <w:rPr>
          <w:sz w:val="24"/>
        </w:rPr>
        <w:t>personas</w:t>
      </w:r>
      <w:r>
        <w:rPr>
          <w:spacing w:val="-1"/>
          <w:sz w:val="24"/>
        </w:rPr>
        <w:t xml:space="preserve"> </w:t>
      </w:r>
      <w:r>
        <w:rPr>
          <w:sz w:val="24"/>
        </w:rPr>
        <w:t>en</w:t>
      </w:r>
      <w:r>
        <w:rPr>
          <w:spacing w:val="-3"/>
          <w:sz w:val="24"/>
        </w:rPr>
        <w:t xml:space="preserve"> </w:t>
      </w:r>
      <w:r>
        <w:rPr>
          <w:sz w:val="24"/>
        </w:rPr>
        <w:t>circunstancias</w:t>
      </w:r>
      <w:r>
        <w:rPr>
          <w:spacing w:val="1"/>
          <w:sz w:val="24"/>
        </w:rPr>
        <w:t xml:space="preserve"> </w:t>
      </w:r>
      <w:r>
        <w:rPr>
          <w:sz w:val="24"/>
        </w:rPr>
        <w:t>idénticas;</w:t>
      </w:r>
      <w:r>
        <w:rPr>
          <w:spacing w:val="-2"/>
          <w:sz w:val="24"/>
        </w:rPr>
        <w:t xml:space="preserve"> </w:t>
      </w:r>
      <w:r>
        <w:rPr>
          <w:sz w:val="24"/>
        </w:rPr>
        <w:t>(b)</w:t>
      </w:r>
      <w:r>
        <w:rPr>
          <w:spacing w:val="-2"/>
          <w:sz w:val="24"/>
        </w:rPr>
        <w:t xml:space="preserve"> </w:t>
      </w:r>
      <w:r>
        <w:rPr>
          <w:sz w:val="24"/>
        </w:rPr>
        <w:t xml:space="preserve">trato paritario a </w:t>
      </w:r>
      <w:r>
        <w:rPr>
          <w:spacing w:val="-2"/>
          <w:sz w:val="24"/>
        </w:rPr>
        <w:t>personas</w:t>
      </w:r>
    </w:p>
    <w:p w14:paraId="49A8C754" w14:textId="77777777" w:rsidR="000E52B0" w:rsidRDefault="00F60D74">
      <w:pPr>
        <w:pStyle w:val="Textoindependiente"/>
        <w:spacing w:before="163"/>
        <w:ind w:left="0"/>
        <w:rPr>
          <w:sz w:val="20"/>
        </w:rPr>
      </w:pPr>
      <w:r>
        <w:rPr>
          <w:noProof/>
          <w:sz w:val="20"/>
        </w:rPr>
        <mc:AlternateContent>
          <mc:Choice Requires="wps">
            <w:drawing>
              <wp:anchor distT="0" distB="0" distL="0" distR="0" simplePos="0" relativeHeight="487671296" behindDoc="1" locked="0" layoutInCell="1" allowOverlap="1" wp14:anchorId="0AAD9F47" wp14:editId="41C42B6D">
                <wp:simplePos x="0" y="0"/>
                <wp:positionH relativeFrom="page">
                  <wp:posOffset>914704</wp:posOffset>
                </wp:positionH>
                <wp:positionV relativeFrom="paragraph">
                  <wp:posOffset>273456</wp:posOffset>
                </wp:positionV>
                <wp:extent cx="1829435" cy="7620"/>
                <wp:effectExtent l="0" t="0" r="0" b="0"/>
                <wp:wrapTopAndBottom/>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90DF38" id="Graphic 748" o:spid="_x0000_s1026" style="position:absolute;margin-left:1in;margin-top:21.55pt;width:144.05pt;height:.6pt;z-index:-156451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" path="m1829054,l,,,7619r1829054,l1829054,xe" fillcolor="black" stroked="f">
                <v:path arrowok="t"/>
                <w10:wrap type="topAndBottom" anchorx="page"/>
              </v:shape>
            </w:pict>
          </mc:Fallback>
        </mc:AlternateContent>
      </w:r>
    </w:p>
    <w:p w14:paraId="6AF3C910" w14:textId="77777777" w:rsidR="000E52B0" w:rsidRDefault="00F60D74">
      <w:pPr>
        <w:spacing w:before="96" w:line="209" w:lineRule="exact"/>
        <w:ind w:left="720"/>
        <w:rPr>
          <w:rFonts w:ascii="Arial MT"/>
          <w:sz w:val="18"/>
        </w:rPr>
      </w:pPr>
      <w:bookmarkStart w:id="157" w:name="_bookmark157"/>
      <w:bookmarkEnd w:id="157"/>
      <w:r>
        <w:rPr>
          <w:rFonts w:ascii="Arial MT"/>
          <w:position w:val="6"/>
          <w:sz w:val="12"/>
        </w:rPr>
        <w:t>127</w:t>
      </w:r>
      <w:r>
        <w:rPr>
          <w:rFonts w:ascii="Arial MT"/>
          <w:spacing w:val="12"/>
          <w:position w:val="6"/>
          <w:sz w:val="12"/>
        </w:rPr>
        <w:t xml:space="preserve"> </w:t>
      </w:r>
      <w:proofErr w:type="gramStart"/>
      <w:r>
        <w:rPr>
          <w:rFonts w:ascii="Arial MT"/>
          <w:sz w:val="18"/>
        </w:rPr>
        <w:t>Corte</w:t>
      </w:r>
      <w:proofErr w:type="gramEnd"/>
      <w:r>
        <w:rPr>
          <w:rFonts w:ascii="Arial MT"/>
          <w:spacing w:val="-4"/>
          <w:sz w:val="18"/>
        </w:rPr>
        <w:t xml:space="preserve"> </w:t>
      </w:r>
      <w:r>
        <w:rPr>
          <w:rFonts w:ascii="Arial MT"/>
          <w:sz w:val="18"/>
        </w:rPr>
        <w:t>Constitucional.</w:t>
      </w:r>
      <w:r>
        <w:rPr>
          <w:rFonts w:ascii="Arial MT"/>
          <w:spacing w:val="-3"/>
          <w:sz w:val="18"/>
        </w:rPr>
        <w:t xml:space="preserve"> </w:t>
      </w:r>
      <w:r>
        <w:rPr>
          <w:rFonts w:ascii="Arial MT"/>
          <w:sz w:val="18"/>
        </w:rPr>
        <w:t>Sentencia</w:t>
      </w:r>
      <w:r>
        <w:rPr>
          <w:rFonts w:ascii="Arial MT"/>
          <w:spacing w:val="-5"/>
          <w:sz w:val="18"/>
        </w:rPr>
        <w:t xml:space="preserve"> </w:t>
      </w:r>
      <w:r>
        <w:rPr>
          <w:rFonts w:ascii="Arial MT"/>
          <w:sz w:val="18"/>
        </w:rPr>
        <w:t>T-030/17.</w:t>
      </w:r>
      <w:r>
        <w:rPr>
          <w:rFonts w:ascii="Arial MT"/>
          <w:spacing w:val="-3"/>
          <w:sz w:val="18"/>
        </w:rPr>
        <w:t xml:space="preserve"> </w:t>
      </w:r>
      <w:r>
        <w:rPr>
          <w:rFonts w:ascii="Arial MT"/>
          <w:sz w:val="18"/>
        </w:rPr>
        <w:t>M.P</w:t>
      </w:r>
      <w:r>
        <w:rPr>
          <w:rFonts w:ascii="Arial MT"/>
          <w:spacing w:val="-5"/>
          <w:sz w:val="18"/>
        </w:rPr>
        <w:t xml:space="preserve"> </w:t>
      </w:r>
      <w:r>
        <w:rPr>
          <w:rFonts w:ascii="Arial MT"/>
          <w:sz w:val="18"/>
        </w:rPr>
        <w:t>Gloria</w:t>
      </w:r>
      <w:r>
        <w:rPr>
          <w:rFonts w:ascii="Arial MT"/>
          <w:spacing w:val="-4"/>
          <w:sz w:val="18"/>
        </w:rPr>
        <w:t xml:space="preserve"> </w:t>
      </w:r>
      <w:r>
        <w:rPr>
          <w:rFonts w:ascii="Arial MT"/>
          <w:sz w:val="18"/>
        </w:rPr>
        <w:t>Stella</w:t>
      </w:r>
      <w:r>
        <w:rPr>
          <w:rFonts w:ascii="Arial MT"/>
          <w:spacing w:val="-6"/>
          <w:sz w:val="18"/>
        </w:rPr>
        <w:t xml:space="preserve"> </w:t>
      </w:r>
      <w:r>
        <w:rPr>
          <w:rFonts w:ascii="Arial MT"/>
          <w:spacing w:val="-2"/>
          <w:sz w:val="18"/>
        </w:rPr>
        <w:t>Ortiz.</w:t>
      </w:r>
    </w:p>
    <w:p w14:paraId="25756C11" w14:textId="77777777" w:rsidR="000E52B0" w:rsidRDefault="00F60D74">
      <w:pPr>
        <w:spacing w:line="208" w:lineRule="exact"/>
        <w:ind w:left="720"/>
        <w:rPr>
          <w:rFonts w:ascii="Arial MT"/>
          <w:sz w:val="18"/>
        </w:rPr>
      </w:pPr>
      <w:bookmarkStart w:id="158" w:name="_bookmark158"/>
      <w:bookmarkEnd w:id="158"/>
      <w:r>
        <w:rPr>
          <w:rFonts w:ascii="Arial MT"/>
          <w:position w:val="6"/>
          <w:sz w:val="12"/>
        </w:rPr>
        <w:t>128</w:t>
      </w:r>
      <w:r>
        <w:rPr>
          <w:rFonts w:ascii="Arial MT"/>
          <w:spacing w:val="12"/>
          <w:position w:val="6"/>
          <w:sz w:val="12"/>
        </w:rPr>
        <w:t xml:space="preserve"> </w:t>
      </w:r>
      <w:proofErr w:type="gramStart"/>
      <w:r>
        <w:rPr>
          <w:rFonts w:ascii="Arial MT"/>
          <w:sz w:val="18"/>
        </w:rPr>
        <w:t>Corte</w:t>
      </w:r>
      <w:proofErr w:type="gramEnd"/>
      <w:r>
        <w:rPr>
          <w:rFonts w:ascii="Arial MT"/>
          <w:spacing w:val="-5"/>
          <w:sz w:val="18"/>
        </w:rPr>
        <w:t xml:space="preserve"> </w:t>
      </w:r>
      <w:r>
        <w:rPr>
          <w:rFonts w:ascii="Arial MT"/>
          <w:sz w:val="18"/>
        </w:rPr>
        <w:t>Constitucional.</w:t>
      </w:r>
      <w:r>
        <w:rPr>
          <w:rFonts w:ascii="Arial MT"/>
          <w:spacing w:val="-5"/>
          <w:sz w:val="18"/>
        </w:rPr>
        <w:t xml:space="preserve"> </w:t>
      </w:r>
      <w:r>
        <w:rPr>
          <w:rFonts w:ascii="Arial MT"/>
          <w:sz w:val="18"/>
        </w:rPr>
        <w:t>Sentencia</w:t>
      </w:r>
      <w:r>
        <w:rPr>
          <w:rFonts w:ascii="Arial MT"/>
          <w:spacing w:val="-5"/>
          <w:sz w:val="18"/>
        </w:rPr>
        <w:t xml:space="preserve"> </w:t>
      </w:r>
      <w:r>
        <w:rPr>
          <w:rFonts w:ascii="Arial MT"/>
          <w:sz w:val="18"/>
        </w:rPr>
        <w:t>T-470/22.</w:t>
      </w:r>
      <w:r>
        <w:rPr>
          <w:rFonts w:ascii="Arial MT"/>
          <w:spacing w:val="-5"/>
          <w:sz w:val="18"/>
        </w:rPr>
        <w:t xml:space="preserve"> </w:t>
      </w:r>
      <w:r>
        <w:rPr>
          <w:rFonts w:ascii="Arial MT"/>
          <w:sz w:val="18"/>
        </w:rPr>
        <w:t>M.P</w:t>
      </w:r>
      <w:r>
        <w:rPr>
          <w:rFonts w:ascii="Arial MT"/>
          <w:spacing w:val="-5"/>
          <w:sz w:val="18"/>
        </w:rPr>
        <w:t xml:space="preserve"> </w:t>
      </w:r>
      <w:r>
        <w:rPr>
          <w:rFonts w:ascii="Arial MT"/>
          <w:sz w:val="18"/>
        </w:rPr>
        <w:t>Alejandro</w:t>
      </w:r>
      <w:r>
        <w:rPr>
          <w:rFonts w:ascii="Arial MT"/>
          <w:spacing w:val="-4"/>
          <w:sz w:val="18"/>
        </w:rPr>
        <w:t xml:space="preserve"> </w:t>
      </w:r>
      <w:r>
        <w:rPr>
          <w:rFonts w:ascii="Arial MT"/>
          <w:spacing w:val="-2"/>
          <w:sz w:val="18"/>
        </w:rPr>
        <w:t>Linares.</w:t>
      </w:r>
    </w:p>
    <w:p w14:paraId="24BF8864" w14:textId="77777777" w:rsidR="000E52B0" w:rsidRDefault="00F60D74">
      <w:pPr>
        <w:spacing w:line="210" w:lineRule="exact"/>
        <w:ind w:left="720"/>
        <w:rPr>
          <w:rFonts w:ascii="Arial MT"/>
          <w:sz w:val="18"/>
        </w:rPr>
      </w:pPr>
      <w:bookmarkStart w:id="159" w:name="_bookmark159"/>
      <w:bookmarkEnd w:id="159"/>
      <w:r>
        <w:rPr>
          <w:rFonts w:ascii="Arial MT"/>
          <w:position w:val="6"/>
          <w:sz w:val="12"/>
        </w:rPr>
        <w:t>129</w:t>
      </w:r>
      <w:r>
        <w:rPr>
          <w:rFonts w:ascii="Arial MT"/>
          <w:spacing w:val="11"/>
          <w:position w:val="6"/>
          <w:sz w:val="12"/>
        </w:rPr>
        <w:t xml:space="preserve"> </w:t>
      </w:r>
      <w:proofErr w:type="gramStart"/>
      <w:r>
        <w:rPr>
          <w:rFonts w:ascii="Arial MT"/>
          <w:sz w:val="18"/>
        </w:rPr>
        <w:t>Corte</w:t>
      </w:r>
      <w:proofErr w:type="gramEnd"/>
      <w:r>
        <w:rPr>
          <w:rFonts w:ascii="Arial MT"/>
          <w:spacing w:val="-5"/>
          <w:sz w:val="18"/>
        </w:rPr>
        <w:t xml:space="preserve"> </w:t>
      </w:r>
      <w:r>
        <w:rPr>
          <w:rFonts w:ascii="Arial MT"/>
          <w:sz w:val="18"/>
        </w:rPr>
        <w:t>Constitucional.</w:t>
      </w:r>
      <w:r>
        <w:rPr>
          <w:rFonts w:ascii="Arial MT"/>
          <w:spacing w:val="-3"/>
          <w:sz w:val="18"/>
        </w:rPr>
        <w:t xml:space="preserve"> </w:t>
      </w:r>
      <w:r>
        <w:rPr>
          <w:rFonts w:ascii="Arial MT"/>
          <w:sz w:val="18"/>
        </w:rPr>
        <w:t>Sentencia</w:t>
      </w:r>
      <w:r>
        <w:rPr>
          <w:rFonts w:ascii="Arial MT"/>
          <w:spacing w:val="-5"/>
          <w:sz w:val="18"/>
        </w:rPr>
        <w:t xml:space="preserve"> </w:t>
      </w:r>
      <w:r>
        <w:rPr>
          <w:rFonts w:ascii="Arial MT"/>
          <w:sz w:val="18"/>
        </w:rPr>
        <w:t>T-470/22.</w:t>
      </w:r>
      <w:r>
        <w:rPr>
          <w:rFonts w:ascii="Arial MT"/>
          <w:spacing w:val="-5"/>
          <w:sz w:val="18"/>
        </w:rPr>
        <w:t xml:space="preserve"> </w:t>
      </w:r>
      <w:r>
        <w:rPr>
          <w:rFonts w:ascii="Arial MT"/>
          <w:sz w:val="18"/>
        </w:rPr>
        <w:t>M.P</w:t>
      </w:r>
      <w:r>
        <w:rPr>
          <w:rFonts w:ascii="Arial MT"/>
          <w:spacing w:val="-5"/>
          <w:sz w:val="18"/>
        </w:rPr>
        <w:t xml:space="preserve"> </w:t>
      </w:r>
      <w:r>
        <w:rPr>
          <w:rFonts w:ascii="Arial MT"/>
          <w:sz w:val="18"/>
        </w:rPr>
        <w:t>Alejandro</w:t>
      </w:r>
      <w:r>
        <w:rPr>
          <w:rFonts w:ascii="Arial MT"/>
          <w:spacing w:val="-5"/>
          <w:sz w:val="18"/>
        </w:rPr>
        <w:t xml:space="preserve"> </w:t>
      </w:r>
      <w:r>
        <w:rPr>
          <w:rFonts w:ascii="Arial MT"/>
          <w:spacing w:val="-2"/>
          <w:sz w:val="18"/>
        </w:rPr>
        <w:t>Linares.</w:t>
      </w:r>
    </w:p>
    <w:p w14:paraId="62E0315A" w14:textId="77777777" w:rsidR="000E52B0" w:rsidRDefault="000E52B0">
      <w:pPr>
        <w:spacing w:line="210" w:lineRule="exact"/>
        <w:rPr>
          <w:rFonts w:ascii="Arial MT"/>
          <w:sz w:val="18"/>
        </w:rPr>
        <w:sectPr w:rsidR="000E52B0">
          <w:pgSz w:w="11910" w:h="16840"/>
          <w:pgMar w:top="1340" w:right="720" w:bottom="1180" w:left="720" w:header="0" w:footer="995" w:gutter="0"/>
          <w:cols w:space="720"/>
        </w:sectPr>
      </w:pPr>
    </w:p>
    <w:p w14:paraId="4DD23F68" w14:textId="77777777" w:rsidR="000E52B0" w:rsidRDefault="00F60D74">
      <w:pPr>
        <w:pStyle w:val="Textoindependiente"/>
        <w:spacing w:before="83"/>
        <w:ind w:right="718"/>
        <w:jc w:val="both"/>
        <w:rPr>
          <w:position w:val="8"/>
          <w:sz w:val="16"/>
        </w:rPr>
      </w:pPr>
      <w:r>
        <w:lastRenderedPageBreak/>
        <w:t>que no están en circunstancias idénticas, pero cuyas similitudes son más relevantes que sus diferencias; (c) trato diferenciado a personas que no están en circunstancias idénticas, pero cuyas diferencias son más relevantes; y (d) trato desigual a personas en circunstancias desiguales y disímiles.”</w:t>
      </w:r>
      <w:r>
        <w:rPr>
          <w:spacing w:val="-10"/>
        </w:rPr>
        <w:t xml:space="preserve"> </w:t>
      </w:r>
      <w:hyperlink w:anchor="_bookmark160" w:history="1">
        <w:r w:rsidR="000E52B0">
          <w:rPr>
            <w:position w:val="8"/>
            <w:sz w:val="16"/>
          </w:rPr>
          <w:t>130</w:t>
        </w:r>
      </w:hyperlink>
    </w:p>
    <w:p w14:paraId="15D76056" w14:textId="77777777" w:rsidR="000E52B0" w:rsidRDefault="00F60D74">
      <w:pPr>
        <w:pStyle w:val="Textoindependiente"/>
        <w:spacing w:before="159"/>
        <w:ind w:right="719"/>
        <w:jc w:val="both"/>
      </w:pPr>
      <w:r>
        <w:t>Así la equidad, como principio permite en la práctica la materialización de las acciones transformadoras que la Corte Constitucional ha establecido, como</w:t>
      </w:r>
      <w:r>
        <w:rPr>
          <w:spacing w:val="-21"/>
        </w:rPr>
        <w:t xml:space="preserve"> </w:t>
      </w:r>
      <w:r>
        <w:t>mecanismos</w:t>
      </w:r>
      <w:r>
        <w:rPr>
          <w:spacing w:val="-19"/>
        </w:rPr>
        <w:t xml:space="preserve"> </w:t>
      </w:r>
      <w:r>
        <w:t>para</w:t>
      </w:r>
      <w:r>
        <w:rPr>
          <w:spacing w:val="-19"/>
        </w:rPr>
        <w:t xml:space="preserve"> </w:t>
      </w:r>
      <w:r>
        <w:t>lograr</w:t>
      </w:r>
      <w:r>
        <w:rPr>
          <w:spacing w:val="-20"/>
        </w:rPr>
        <w:t xml:space="preserve"> </w:t>
      </w:r>
      <w:r>
        <w:t>la</w:t>
      </w:r>
      <w:r>
        <w:rPr>
          <w:spacing w:val="-19"/>
        </w:rPr>
        <w:t xml:space="preserve"> </w:t>
      </w:r>
      <w:r>
        <w:t>igualdad,</w:t>
      </w:r>
      <w:r>
        <w:rPr>
          <w:spacing w:val="-22"/>
        </w:rPr>
        <w:t xml:space="preserve"> </w:t>
      </w:r>
      <w:r>
        <w:t>esto</w:t>
      </w:r>
      <w:r>
        <w:rPr>
          <w:spacing w:val="-19"/>
        </w:rPr>
        <w:t xml:space="preserve"> </w:t>
      </w:r>
      <w:r>
        <w:t>es</w:t>
      </w:r>
      <w:r>
        <w:rPr>
          <w:spacing w:val="-19"/>
        </w:rPr>
        <w:t xml:space="preserve"> </w:t>
      </w:r>
      <w:r>
        <w:t>la</w:t>
      </w:r>
      <w:r>
        <w:rPr>
          <w:spacing w:val="-21"/>
        </w:rPr>
        <w:t xml:space="preserve"> </w:t>
      </w:r>
      <w:r>
        <w:t>respuesta</w:t>
      </w:r>
      <w:r>
        <w:rPr>
          <w:spacing w:val="-21"/>
        </w:rPr>
        <w:t xml:space="preserve"> </w:t>
      </w:r>
      <w:r>
        <w:t>diferenciada y el enfoque de derechos traducidos en acciones de política pública.</w:t>
      </w:r>
    </w:p>
    <w:p w14:paraId="029777C5" w14:textId="03E9D0E9" w:rsidR="000E52B0" w:rsidRDefault="00F60D74">
      <w:pPr>
        <w:spacing w:before="160"/>
        <w:ind w:left="720" w:right="716"/>
        <w:jc w:val="both"/>
        <w:rPr>
          <w:position w:val="8"/>
          <w:sz w:val="16"/>
        </w:rPr>
      </w:pPr>
      <w:r>
        <w:rPr>
          <w:sz w:val="24"/>
        </w:rPr>
        <w:t>Asimismo,</w:t>
      </w:r>
      <w:r>
        <w:rPr>
          <w:spacing w:val="-14"/>
          <w:sz w:val="24"/>
        </w:rPr>
        <w:t xml:space="preserve"> </w:t>
      </w:r>
      <w:r>
        <w:rPr>
          <w:sz w:val="24"/>
        </w:rPr>
        <w:t>como</w:t>
      </w:r>
      <w:r>
        <w:rPr>
          <w:spacing w:val="-14"/>
          <w:sz w:val="24"/>
        </w:rPr>
        <w:t xml:space="preserve"> </w:t>
      </w:r>
      <w:r>
        <w:rPr>
          <w:sz w:val="24"/>
        </w:rPr>
        <w:t>se</w:t>
      </w:r>
      <w:r>
        <w:rPr>
          <w:spacing w:val="-14"/>
          <w:sz w:val="24"/>
        </w:rPr>
        <w:t xml:space="preserve"> </w:t>
      </w:r>
      <w:r>
        <w:rPr>
          <w:sz w:val="24"/>
        </w:rPr>
        <w:t>ha</w:t>
      </w:r>
      <w:r>
        <w:rPr>
          <w:spacing w:val="-14"/>
          <w:sz w:val="24"/>
        </w:rPr>
        <w:t xml:space="preserve"> </w:t>
      </w:r>
      <w:r>
        <w:rPr>
          <w:sz w:val="24"/>
        </w:rPr>
        <w:t>explicado</w:t>
      </w:r>
      <w:r>
        <w:rPr>
          <w:spacing w:val="-14"/>
          <w:sz w:val="24"/>
        </w:rPr>
        <w:t xml:space="preserve"> </w:t>
      </w:r>
      <w:r>
        <w:rPr>
          <w:sz w:val="24"/>
        </w:rPr>
        <w:t>en</w:t>
      </w:r>
      <w:r>
        <w:rPr>
          <w:spacing w:val="-14"/>
          <w:sz w:val="24"/>
        </w:rPr>
        <w:t xml:space="preserve"> </w:t>
      </w:r>
      <w:r>
        <w:rPr>
          <w:sz w:val="24"/>
        </w:rPr>
        <w:t>esta</w:t>
      </w:r>
      <w:r>
        <w:rPr>
          <w:spacing w:val="-12"/>
          <w:sz w:val="24"/>
        </w:rPr>
        <w:t xml:space="preserve"> </w:t>
      </w:r>
      <w:r>
        <w:rPr>
          <w:sz w:val="24"/>
        </w:rPr>
        <w:t>exposición</w:t>
      </w:r>
      <w:r>
        <w:rPr>
          <w:spacing w:val="-14"/>
          <w:sz w:val="24"/>
        </w:rPr>
        <w:t xml:space="preserve"> </w:t>
      </w:r>
      <w:r>
        <w:rPr>
          <w:sz w:val="24"/>
        </w:rPr>
        <w:t>de</w:t>
      </w:r>
      <w:r>
        <w:rPr>
          <w:spacing w:val="-14"/>
          <w:sz w:val="24"/>
        </w:rPr>
        <w:t xml:space="preserve"> </w:t>
      </w:r>
      <w:r>
        <w:rPr>
          <w:sz w:val="24"/>
        </w:rPr>
        <w:t>motivos,</w:t>
      </w:r>
      <w:r>
        <w:rPr>
          <w:spacing w:val="-15"/>
          <w:sz w:val="24"/>
        </w:rPr>
        <w:t xml:space="preserve"> </w:t>
      </w:r>
      <w:r>
        <w:rPr>
          <w:sz w:val="24"/>
        </w:rPr>
        <w:t>la</w:t>
      </w:r>
      <w:r>
        <w:rPr>
          <w:spacing w:val="-14"/>
          <w:sz w:val="24"/>
        </w:rPr>
        <w:t xml:space="preserve"> </w:t>
      </w:r>
      <w:r>
        <w:rPr>
          <w:sz w:val="24"/>
        </w:rPr>
        <w:t>Corte</w:t>
      </w:r>
      <w:r>
        <w:rPr>
          <w:spacing w:val="-14"/>
          <w:sz w:val="24"/>
        </w:rPr>
        <w:t xml:space="preserve"> </w:t>
      </w:r>
      <w:r>
        <w:rPr>
          <w:sz w:val="24"/>
        </w:rPr>
        <w:t>ha reconocido</w:t>
      </w:r>
      <w:r>
        <w:rPr>
          <w:spacing w:val="-16"/>
          <w:sz w:val="24"/>
        </w:rPr>
        <w:t xml:space="preserve"> </w:t>
      </w:r>
      <w:r>
        <w:rPr>
          <w:sz w:val="24"/>
        </w:rPr>
        <w:t>que</w:t>
      </w:r>
      <w:r>
        <w:rPr>
          <w:spacing w:val="-16"/>
          <w:sz w:val="24"/>
        </w:rPr>
        <w:t xml:space="preserve"> </w:t>
      </w:r>
      <w:r>
        <w:rPr>
          <w:i/>
          <w:sz w:val="24"/>
        </w:rPr>
        <w:t>la</w:t>
      </w:r>
      <w:r>
        <w:rPr>
          <w:i/>
          <w:spacing w:val="-16"/>
          <w:sz w:val="24"/>
        </w:rPr>
        <w:t xml:space="preserve"> </w:t>
      </w:r>
      <w:r>
        <w:rPr>
          <w:i/>
          <w:sz w:val="24"/>
        </w:rPr>
        <w:t>discriminación</w:t>
      </w:r>
      <w:r>
        <w:rPr>
          <w:i/>
          <w:spacing w:val="-15"/>
          <w:sz w:val="24"/>
        </w:rPr>
        <w:t xml:space="preserve"> </w:t>
      </w:r>
      <w:r>
        <w:rPr>
          <w:i/>
          <w:sz w:val="24"/>
        </w:rPr>
        <w:t>puede</w:t>
      </w:r>
      <w:r>
        <w:rPr>
          <w:i/>
          <w:spacing w:val="-14"/>
          <w:sz w:val="24"/>
        </w:rPr>
        <w:t xml:space="preserve"> </w:t>
      </w:r>
      <w:r>
        <w:rPr>
          <w:i/>
          <w:sz w:val="24"/>
        </w:rPr>
        <w:t>revestir</w:t>
      </w:r>
      <w:r>
        <w:rPr>
          <w:i/>
          <w:spacing w:val="-16"/>
          <w:sz w:val="24"/>
        </w:rPr>
        <w:t xml:space="preserve"> </w:t>
      </w:r>
      <w:r>
        <w:rPr>
          <w:i/>
          <w:sz w:val="24"/>
        </w:rPr>
        <w:t>diversas</w:t>
      </w:r>
      <w:r>
        <w:rPr>
          <w:i/>
          <w:spacing w:val="-16"/>
          <w:sz w:val="24"/>
        </w:rPr>
        <w:t xml:space="preserve"> </w:t>
      </w:r>
      <w:r>
        <w:rPr>
          <w:i/>
          <w:sz w:val="24"/>
        </w:rPr>
        <w:t>formas.</w:t>
      </w:r>
      <w:r>
        <w:rPr>
          <w:i/>
          <w:spacing w:val="-17"/>
          <w:sz w:val="24"/>
        </w:rPr>
        <w:t xml:space="preserve"> </w:t>
      </w:r>
      <w:r>
        <w:rPr>
          <w:i/>
          <w:sz w:val="24"/>
        </w:rPr>
        <w:t>En</w:t>
      </w:r>
      <w:r>
        <w:rPr>
          <w:i/>
          <w:spacing w:val="-17"/>
          <w:sz w:val="24"/>
        </w:rPr>
        <w:t xml:space="preserve"> </w:t>
      </w:r>
      <w:r>
        <w:rPr>
          <w:i/>
          <w:sz w:val="24"/>
        </w:rPr>
        <w:t xml:space="preserve">efecto, es directa cuando se establece frente a un sujeto determinado un tratamiento diferenciado, injustificado y desfavorable, basado en criterios como la raza, el sexo, la religión, </w:t>
      </w:r>
      <w:r w:rsidR="00A964A8">
        <w:rPr>
          <w:i/>
          <w:sz w:val="24"/>
        </w:rPr>
        <w:t>opiniones</w:t>
      </w:r>
      <w:r>
        <w:rPr>
          <w:i/>
          <w:sz w:val="24"/>
        </w:rPr>
        <w:t>, entre otras</w:t>
      </w:r>
      <w:r>
        <w:rPr>
          <w:sz w:val="24"/>
        </w:rPr>
        <w:t xml:space="preserve">. </w:t>
      </w:r>
      <w:r>
        <w:rPr>
          <w:i/>
          <w:sz w:val="24"/>
        </w:rPr>
        <w:t>La discriminación es indirecta cuando de tratamientos formalmente no discriminatorios,</w:t>
      </w:r>
      <w:r>
        <w:rPr>
          <w:i/>
          <w:spacing w:val="-19"/>
          <w:sz w:val="24"/>
        </w:rPr>
        <w:t xml:space="preserve"> </w:t>
      </w:r>
      <w:r>
        <w:rPr>
          <w:i/>
          <w:sz w:val="24"/>
        </w:rPr>
        <w:t>se</w:t>
      </w:r>
      <w:r>
        <w:rPr>
          <w:i/>
          <w:spacing w:val="-17"/>
          <w:sz w:val="24"/>
        </w:rPr>
        <w:t xml:space="preserve"> </w:t>
      </w:r>
      <w:r>
        <w:rPr>
          <w:i/>
          <w:sz w:val="24"/>
        </w:rPr>
        <w:t>derivan</w:t>
      </w:r>
      <w:r>
        <w:rPr>
          <w:i/>
          <w:spacing w:val="-19"/>
          <w:sz w:val="24"/>
        </w:rPr>
        <w:t xml:space="preserve"> </w:t>
      </w:r>
      <w:r>
        <w:rPr>
          <w:i/>
          <w:sz w:val="24"/>
        </w:rPr>
        <w:t>consecuencias</w:t>
      </w:r>
      <w:r>
        <w:rPr>
          <w:i/>
          <w:spacing w:val="-18"/>
          <w:sz w:val="24"/>
        </w:rPr>
        <w:t xml:space="preserve"> </w:t>
      </w:r>
      <w:r>
        <w:rPr>
          <w:i/>
          <w:sz w:val="24"/>
        </w:rPr>
        <w:t>fácticas</w:t>
      </w:r>
      <w:r>
        <w:rPr>
          <w:i/>
          <w:spacing w:val="-19"/>
          <w:sz w:val="24"/>
        </w:rPr>
        <w:t xml:space="preserve"> </w:t>
      </w:r>
      <w:r>
        <w:rPr>
          <w:i/>
          <w:sz w:val="24"/>
        </w:rPr>
        <w:t>desiguales</w:t>
      </w:r>
      <w:r>
        <w:rPr>
          <w:i/>
          <w:spacing w:val="-18"/>
          <w:sz w:val="24"/>
        </w:rPr>
        <w:t xml:space="preserve"> </w:t>
      </w:r>
      <w:r>
        <w:rPr>
          <w:i/>
          <w:sz w:val="24"/>
        </w:rPr>
        <w:t>para</w:t>
      </w:r>
      <w:r>
        <w:rPr>
          <w:i/>
          <w:spacing w:val="-18"/>
          <w:sz w:val="24"/>
        </w:rPr>
        <w:t xml:space="preserve"> </w:t>
      </w:r>
      <w:r>
        <w:rPr>
          <w:i/>
          <w:sz w:val="24"/>
        </w:rPr>
        <w:t>algunas personas, lo que produce lesiones y vulneraciones de sus derechos fundamentales</w:t>
      </w:r>
      <w:r>
        <w:rPr>
          <w:i/>
          <w:spacing w:val="-18"/>
          <w:sz w:val="24"/>
        </w:rPr>
        <w:t xml:space="preserve"> </w:t>
      </w:r>
      <w:r>
        <w:rPr>
          <w:i/>
          <w:sz w:val="24"/>
        </w:rPr>
        <w:t>o</w:t>
      </w:r>
      <w:r>
        <w:rPr>
          <w:i/>
          <w:spacing w:val="-17"/>
          <w:sz w:val="24"/>
        </w:rPr>
        <w:t xml:space="preserve"> </w:t>
      </w:r>
      <w:r>
        <w:rPr>
          <w:i/>
          <w:sz w:val="24"/>
        </w:rPr>
        <w:t>limitan</w:t>
      </w:r>
      <w:r>
        <w:rPr>
          <w:i/>
          <w:spacing w:val="-18"/>
          <w:sz w:val="24"/>
        </w:rPr>
        <w:t xml:space="preserve"> </w:t>
      </w:r>
      <w:r>
        <w:rPr>
          <w:i/>
          <w:sz w:val="24"/>
        </w:rPr>
        <w:t>el</w:t>
      </w:r>
      <w:r>
        <w:rPr>
          <w:i/>
          <w:spacing w:val="-18"/>
          <w:sz w:val="24"/>
        </w:rPr>
        <w:t xml:space="preserve"> </w:t>
      </w:r>
      <w:r>
        <w:rPr>
          <w:i/>
          <w:sz w:val="24"/>
        </w:rPr>
        <w:t>goce</w:t>
      </w:r>
      <w:r>
        <w:rPr>
          <w:i/>
          <w:spacing w:val="-17"/>
          <w:sz w:val="24"/>
        </w:rPr>
        <w:t xml:space="preserve"> </w:t>
      </w:r>
      <w:r>
        <w:rPr>
          <w:i/>
          <w:sz w:val="24"/>
        </w:rPr>
        <w:t>de</w:t>
      </w:r>
      <w:r>
        <w:rPr>
          <w:i/>
          <w:spacing w:val="-17"/>
          <w:sz w:val="24"/>
        </w:rPr>
        <w:t xml:space="preserve"> </w:t>
      </w:r>
      <w:r w:rsidR="00A964A8">
        <w:rPr>
          <w:i/>
          <w:sz w:val="24"/>
        </w:rPr>
        <w:t>estos</w:t>
      </w:r>
      <w:r>
        <w:rPr>
          <w:sz w:val="24"/>
        </w:rPr>
        <w:t>.</w:t>
      </w:r>
      <w:r>
        <w:rPr>
          <w:spacing w:val="-18"/>
          <w:sz w:val="24"/>
        </w:rPr>
        <w:t xml:space="preserve"> </w:t>
      </w:r>
      <w:r>
        <w:rPr>
          <w:i/>
          <w:sz w:val="24"/>
        </w:rPr>
        <w:t>En</w:t>
      </w:r>
      <w:r>
        <w:rPr>
          <w:i/>
          <w:spacing w:val="-18"/>
          <w:sz w:val="24"/>
        </w:rPr>
        <w:t xml:space="preserve"> </w:t>
      </w:r>
      <w:r>
        <w:rPr>
          <w:i/>
          <w:sz w:val="24"/>
        </w:rPr>
        <w:t>ese</w:t>
      </w:r>
      <w:r>
        <w:rPr>
          <w:i/>
          <w:spacing w:val="-17"/>
          <w:sz w:val="24"/>
        </w:rPr>
        <w:t xml:space="preserve"> </w:t>
      </w:r>
      <w:r>
        <w:rPr>
          <w:i/>
          <w:sz w:val="24"/>
        </w:rPr>
        <w:t>sentido,</w:t>
      </w:r>
      <w:r>
        <w:rPr>
          <w:i/>
          <w:spacing w:val="-18"/>
          <w:sz w:val="24"/>
        </w:rPr>
        <w:t xml:space="preserve"> </w:t>
      </w:r>
      <w:r>
        <w:rPr>
          <w:i/>
          <w:sz w:val="24"/>
        </w:rPr>
        <w:t>las</w:t>
      </w:r>
      <w:r>
        <w:rPr>
          <w:i/>
          <w:spacing w:val="-18"/>
          <w:sz w:val="24"/>
        </w:rPr>
        <w:t xml:space="preserve"> </w:t>
      </w:r>
      <w:r>
        <w:rPr>
          <w:i/>
          <w:sz w:val="24"/>
        </w:rPr>
        <w:t xml:space="preserve">medidas neutrales en </w:t>
      </w:r>
      <w:r w:rsidR="00A964A8">
        <w:rPr>
          <w:i/>
          <w:sz w:val="24"/>
        </w:rPr>
        <w:t>principio</w:t>
      </w:r>
      <w:r>
        <w:rPr>
          <w:i/>
          <w:sz w:val="24"/>
        </w:rPr>
        <w:t xml:space="preserve"> no implican factores diferenciadores entre las personas, pero producen desigualdades de trato entre unas y otras.</w:t>
      </w:r>
      <w:hyperlink w:anchor="_bookmark161" w:history="1">
        <w:r w:rsidR="000E52B0">
          <w:rPr>
            <w:position w:val="8"/>
            <w:sz w:val="16"/>
          </w:rPr>
          <w:t>131</w:t>
        </w:r>
      </w:hyperlink>
    </w:p>
    <w:p w14:paraId="07DA80B5" w14:textId="77777777" w:rsidR="000E52B0" w:rsidRDefault="00F60D74">
      <w:pPr>
        <w:pStyle w:val="Textoindependiente"/>
        <w:spacing w:before="160"/>
        <w:ind w:right="714"/>
        <w:jc w:val="both"/>
      </w:pPr>
      <w:r>
        <w:t>En relación con el reconocimiento de procesos sistemáticos de discriminación,</w:t>
      </w:r>
      <w:r>
        <w:rPr>
          <w:spacing w:val="-17"/>
        </w:rPr>
        <w:t xml:space="preserve"> </w:t>
      </w:r>
      <w:r>
        <w:t>en</w:t>
      </w:r>
      <w:r>
        <w:rPr>
          <w:spacing w:val="-14"/>
        </w:rPr>
        <w:t xml:space="preserve"> </w:t>
      </w:r>
      <w:r>
        <w:t>los</w:t>
      </w:r>
      <w:r>
        <w:rPr>
          <w:spacing w:val="-16"/>
        </w:rPr>
        <w:t xml:space="preserve"> </w:t>
      </w:r>
      <w:r>
        <w:t>últimos</w:t>
      </w:r>
      <w:r>
        <w:rPr>
          <w:spacing w:val="-17"/>
        </w:rPr>
        <w:t xml:space="preserve"> </w:t>
      </w:r>
      <w:r>
        <w:t>33</w:t>
      </w:r>
      <w:r>
        <w:rPr>
          <w:spacing w:val="-15"/>
        </w:rPr>
        <w:t xml:space="preserve"> </w:t>
      </w:r>
      <w:r>
        <w:t>años,</w:t>
      </w:r>
      <w:r>
        <w:rPr>
          <w:spacing w:val="-15"/>
        </w:rPr>
        <w:t xml:space="preserve"> </w:t>
      </w:r>
      <w:r>
        <w:t>la</w:t>
      </w:r>
      <w:r>
        <w:rPr>
          <w:spacing w:val="-16"/>
        </w:rPr>
        <w:t xml:space="preserve"> </w:t>
      </w:r>
      <w:r>
        <w:t>Corte</w:t>
      </w:r>
      <w:r>
        <w:rPr>
          <w:spacing w:val="-15"/>
        </w:rPr>
        <w:t xml:space="preserve"> </w:t>
      </w:r>
      <w:r>
        <w:t>Constitucional</w:t>
      </w:r>
      <w:r>
        <w:rPr>
          <w:spacing w:val="-17"/>
        </w:rPr>
        <w:t xml:space="preserve"> </w:t>
      </w:r>
      <w:r>
        <w:t>ha</w:t>
      </w:r>
      <w:r>
        <w:rPr>
          <w:spacing w:val="-14"/>
        </w:rPr>
        <w:t xml:space="preserve"> </w:t>
      </w:r>
      <w:r>
        <w:t>declarado 24</w:t>
      </w:r>
      <w:r>
        <w:rPr>
          <w:spacing w:val="-21"/>
        </w:rPr>
        <w:t xml:space="preserve"> </w:t>
      </w:r>
      <w:r>
        <w:t>veces</w:t>
      </w:r>
      <w:hyperlink w:anchor="_bookmark162" w:history="1">
        <w:r w:rsidR="000E52B0">
          <w:rPr>
            <w:position w:val="8"/>
            <w:sz w:val="16"/>
          </w:rPr>
          <w:t>132</w:t>
        </w:r>
      </w:hyperlink>
      <w:r>
        <w:t>,</w:t>
      </w:r>
      <w:r>
        <w:rPr>
          <w:spacing w:val="-22"/>
        </w:rPr>
        <w:t xml:space="preserve"> </w:t>
      </w:r>
      <w:r>
        <w:t>situaciones</w:t>
      </w:r>
      <w:r>
        <w:rPr>
          <w:spacing w:val="-20"/>
        </w:rPr>
        <w:t xml:space="preserve"> </w:t>
      </w:r>
      <w:r>
        <w:t>en</w:t>
      </w:r>
      <w:r>
        <w:rPr>
          <w:spacing w:val="-21"/>
        </w:rPr>
        <w:t xml:space="preserve"> </w:t>
      </w:r>
      <w:r>
        <w:t>las</w:t>
      </w:r>
      <w:r>
        <w:rPr>
          <w:spacing w:val="-16"/>
        </w:rPr>
        <w:t xml:space="preserve"> </w:t>
      </w:r>
      <w:r>
        <w:t>que</w:t>
      </w:r>
      <w:r>
        <w:rPr>
          <w:spacing w:val="-20"/>
        </w:rPr>
        <w:t xml:space="preserve"> </w:t>
      </w:r>
      <w:r>
        <w:t>la</w:t>
      </w:r>
      <w:r>
        <w:rPr>
          <w:spacing w:val="-19"/>
        </w:rPr>
        <w:t xml:space="preserve"> </w:t>
      </w:r>
      <w:r>
        <w:t>administración</w:t>
      </w:r>
      <w:r>
        <w:rPr>
          <w:spacing w:val="-21"/>
        </w:rPr>
        <w:t xml:space="preserve"> </w:t>
      </w:r>
      <w:r>
        <w:t>del</w:t>
      </w:r>
      <w:r>
        <w:rPr>
          <w:spacing w:val="-19"/>
        </w:rPr>
        <w:t xml:space="preserve"> </w:t>
      </w:r>
      <w:r>
        <w:t>Estado</w:t>
      </w:r>
      <w:r>
        <w:rPr>
          <w:spacing w:val="-20"/>
        </w:rPr>
        <w:t xml:space="preserve"> </w:t>
      </w:r>
      <w:r>
        <w:t>Colombiano por actuación u omisión está incumpliendo el orden constitucional. La ausencia de protección y de acceso a condiciones que permitan gozar de una</w:t>
      </w:r>
      <w:r>
        <w:rPr>
          <w:spacing w:val="-4"/>
        </w:rPr>
        <w:t xml:space="preserve"> </w:t>
      </w:r>
      <w:r>
        <w:t>vida</w:t>
      </w:r>
      <w:r>
        <w:rPr>
          <w:spacing w:val="-2"/>
        </w:rPr>
        <w:t xml:space="preserve"> </w:t>
      </w:r>
      <w:r>
        <w:t>digna y</w:t>
      </w:r>
      <w:r>
        <w:rPr>
          <w:spacing w:val="-3"/>
        </w:rPr>
        <w:t xml:space="preserve"> </w:t>
      </w:r>
      <w:r>
        <w:t>plena</w:t>
      </w:r>
      <w:r>
        <w:rPr>
          <w:spacing w:val="-2"/>
        </w:rPr>
        <w:t xml:space="preserve"> </w:t>
      </w:r>
      <w:r>
        <w:t>las</w:t>
      </w:r>
      <w:r>
        <w:rPr>
          <w:spacing w:val="-3"/>
        </w:rPr>
        <w:t xml:space="preserve"> </w:t>
      </w:r>
      <w:r>
        <w:t>motivan.</w:t>
      </w:r>
      <w:r>
        <w:rPr>
          <w:spacing w:val="-3"/>
        </w:rPr>
        <w:t xml:space="preserve"> </w:t>
      </w:r>
      <w:r>
        <w:t>La</w:t>
      </w:r>
      <w:r>
        <w:rPr>
          <w:spacing w:val="-1"/>
        </w:rPr>
        <w:t xml:space="preserve"> </w:t>
      </w:r>
      <w:r>
        <w:t>falla</w:t>
      </w:r>
      <w:r>
        <w:rPr>
          <w:spacing w:val="-3"/>
        </w:rPr>
        <w:t xml:space="preserve"> </w:t>
      </w:r>
      <w:r>
        <w:t>de</w:t>
      </w:r>
      <w:r>
        <w:rPr>
          <w:spacing w:val="-1"/>
        </w:rPr>
        <w:t xml:space="preserve"> </w:t>
      </w:r>
      <w:r>
        <w:t>esta</w:t>
      </w:r>
      <w:r>
        <w:rPr>
          <w:spacing w:val="-2"/>
        </w:rPr>
        <w:t xml:space="preserve"> </w:t>
      </w:r>
      <w:r>
        <w:t>respuesta</w:t>
      </w:r>
      <w:r>
        <w:rPr>
          <w:spacing w:val="-1"/>
        </w:rPr>
        <w:t xml:space="preserve"> </w:t>
      </w:r>
      <w:r>
        <w:rPr>
          <w:spacing w:val="-2"/>
        </w:rPr>
        <w:t>institucional</w:t>
      </w:r>
    </w:p>
    <w:p w14:paraId="648865D0" w14:textId="77777777" w:rsidR="000E52B0" w:rsidRDefault="00F60D74">
      <w:pPr>
        <w:pStyle w:val="Textoindependiente"/>
        <w:spacing w:before="11"/>
        <w:ind w:left="0"/>
        <w:rPr>
          <w:sz w:val="13"/>
        </w:rPr>
      </w:pPr>
      <w:r>
        <w:rPr>
          <w:noProof/>
          <w:sz w:val="13"/>
        </w:rPr>
        <mc:AlternateContent>
          <mc:Choice Requires="wps">
            <w:drawing>
              <wp:anchor distT="0" distB="0" distL="0" distR="0" simplePos="0" relativeHeight="487671808" behindDoc="1" locked="0" layoutInCell="1" allowOverlap="1" wp14:anchorId="1DC2DD20" wp14:editId="57A9D703">
                <wp:simplePos x="0" y="0"/>
                <wp:positionH relativeFrom="page">
                  <wp:posOffset>914704</wp:posOffset>
                </wp:positionH>
                <wp:positionV relativeFrom="paragraph">
                  <wp:posOffset>122763</wp:posOffset>
                </wp:positionV>
                <wp:extent cx="1829435" cy="7620"/>
                <wp:effectExtent l="0" t="0" r="0" b="0"/>
                <wp:wrapTopAndBottom/>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78902A" id="Graphic 749" o:spid="_x0000_s1026" style="position:absolute;margin-left:1in;margin-top:9.65pt;width:144.05pt;height:.6pt;z-index:-156446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" path="m1829054,l,,,7620r1829054,l1829054,xe" fillcolor="black" stroked="f">
                <v:path arrowok="t"/>
                <w10:wrap type="topAndBottom" anchorx="page"/>
              </v:shape>
            </w:pict>
          </mc:Fallback>
        </mc:AlternateContent>
      </w:r>
    </w:p>
    <w:p w14:paraId="5FB6C706" w14:textId="77777777" w:rsidR="000E52B0" w:rsidRDefault="00F60D74">
      <w:pPr>
        <w:spacing w:before="96" w:line="210" w:lineRule="exact"/>
        <w:ind w:left="720"/>
        <w:jc w:val="both"/>
        <w:rPr>
          <w:rFonts w:ascii="Arial MT"/>
          <w:sz w:val="18"/>
        </w:rPr>
      </w:pPr>
      <w:bookmarkStart w:id="160" w:name="_bookmark160"/>
      <w:bookmarkEnd w:id="160"/>
      <w:r>
        <w:rPr>
          <w:rFonts w:ascii="Arial MT"/>
          <w:position w:val="6"/>
          <w:sz w:val="12"/>
        </w:rPr>
        <w:t>130</w:t>
      </w:r>
      <w:r>
        <w:rPr>
          <w:rFonts w:ascii="Arial MT"/>
          <w:spacing w:val="12"/>
          <w:position w:val="6"/>
          <w:sz w:val="12"/>
        </w:rPr>
        <w:t xml:space="preserve"> </w:t>
      </w:r>
      <w:proofErr w:type="gramStart"/>
      <w:r>
        <w:rPr>
          <w:rFonts w:ascii="Arial MT"/>
          <w:sz w:val="18"/>
        </w:rPr>
        <w:t>Corte</w:t>
      </w:r>
      <w:proofErr w:type="gramEnd"/>
      <w:r>
        <w:rPr>
          <w:rFonts w:ascii="Arial MT"/>
          <w:spacing w:val="-5"/>
          <w:sz w:val="18"/>
        </w:rPr>
        <w:t xml:space="preserve"> </w:t>
      </w:r>
      <w:r>
        <w:rPr>
          <w:rFonts w:ascii="Arial MT"/>
          <w:sz w:val="18"/>
        </w:rPr>
        <w:t>Constitucional.</w:t>
      </w:r>
      <w:r>
        <w:rPr>
          <w:rFonts w:ascii="Arial MT"/>
          <w:spacing w:val="-5"/>
          <w:sz w:val="18"/>
        </w:rPr>
        <w:t xml:space="preserve"> </w:t>
      </w:r>
      <w:r>
        <w:rPr>
          <w:rFonts w:ascii="Arial MT"/>
          <w:sz w:val="18"/>
        </w:rPr>
        <w:t>Sentencia</w:t>
      </w:r>
      <w:r>
        <w:rPr>
          <w:rFonts w:ascii="Arial MT"/>
          <w:spacing w:val="-5"/>
          <w:sz w:val="18"/>
        </w:rPr>
        <w:t xml:space="preserve"> </w:t>
      </w:r>
      <w:r>
        <w:rPr>
          <w:rFonts w:ascii="Arial MT"/>
          <w:sz w:val="18"/>
        </w:rPr>
        <w:t>T-571/17.</w:t>
      </w:r>
      <w:r>
        <w:rPr>
          <w:rFonts w:ascii="Arial MT"/>
          <w:spacing w:val="-5"/>
          <w:sz w:val="18"/>
        </w:rPr>
        <w:t xml:space="preserve"> </w:t>
      </w:r>
      <w:r>
        <w:rPr>
          <w:rFonts w:ascii="Arial MT"/>
          <w:sz w:val="18"/>
        </w:rPr>
        <w:t>M.P</w:t>
      </w:r>
      <w:r>
        <w:rPr>
          <w:rFonts w:ascii="Arial MT"/>
          <w:spacing w:val="-5"/>
          <w:sz w:val="18"/>
        </w:rPr>
        <w:t xml:space="preserve"> </w:t>
      </w:r>
      <w:r>
        <w:rPr>
          <w:rFonts w:ascii="Arial MT"/>
          <w:sz w:val="18"/>
        </w:rPr>
        <w:t>Alejandro</w:t>
      </w:r>
      <w:r>
        <w:rPr>
          <w:rFonts w:ascii="Arial MT"/>
          <w:spacing w:val="-4"/>
          <w:sz w:val="18"/>
        </w:rPr>
        <w:t xml:space="preserve"> </w:t>
      </w:r>
      <w:r>
        <w:rPr>
          <w:rFonts w:ascii="Arial MT"/>
          <w:spacing w:val="-2"/>
          <w:sz w:val="18"/>
        </w:rPr>
        <w:t>Linares.</w:t>
      </w:r>
    </w:p>
    <w:p w14:paraId="01FE265F" w14:textId="77777777" w:rsidR="000E52B0" w:rsidRDefault="00F60D74">
      <w:pPr>
        <w:spacing w:line="208" w:lineRule="exact"/>
        <w:ind w:left="720"/>
        <w:jc w:val="both"/>
        <w:rPr>
          <w:rFonts w:ascii="Arial MT"/>
          <w:sz w:val="18"/>
        </w:rPr>
      </w:pPr>
      <w:bookmarkStart w:id="161" w:name="_bookmark161"/>
      <w:bookmarkEnd w:id="161"/>
      <w:r>
        <w:rPr>
          <w:rFonts w:ascii="Arial MT"/>
          <w:position w:val="6"/>
          <w:sz w:val="12"/>
        </w:rPr>
        <w:t>131</w:t>
      </w:r>
      <w:r>
        <w:rPr>
          <w:rFonts w:ascii="Arial MT"/>
          <w:spacing w:val="12"/>
          <w:position w:val="6"/>
          <w:sz w:val="12"/>
        </w:rPr>
        <w:t xml:space="preserve"> </w:t>
      </w:r>
      <w:proofErr w:type="gramStart"/>
      <w:r>
        <w:rPr>
          <w:rFonts w:ascii="Arial MT"/>
          <w:sz w:val="18"/>
        </w:rPr>
        <w:t>Corte</w:t>
      </w:r>
      <w:proofErr w:type="gramEnd"/>
      <w:r>
        <w:rPr>
          <w:rFonts w:ascii="Arial MT"/>
          <w:spacing w:val="-4"/>
          <w:sz w:val="18"/>
        </w:rPr>
        <w:t xml:space="preserve"> </w:t>
      </w:r>
      <w:r>
        <w:rPr>
          <w:rFonts w:ascii="Arial MT"/>
          <w:sz w:val="18"/>
        </w:rPr>
        <w:t>Constitucional.</w:t>
      </w:r>
      <w:r>
        <w:rPr>
          <w:rFonts w:ascii="Arial MT"/>
          <w:spacing w:val="-3"/>
          <w:sz w:val="18"/>
        </w:rPr>
        <w:t xml:space="preserve"> </w:t>
      </w:r>
      <w:r>
        <w:rPr>
          <w:rFonts w:ascii="Arial MT"/>
          <w:sz w:val="18"/>
        </w:rPr>
        <w:t>Sentencia</w:t>
      </w:r>
      <w:r>
        <w:rPr>
          <w:rFonts w:ascii="Arial MT"/>
          <w:spacing w:val="-5"/>
          <w:sz w:val="18"/>
        </w:rPr>
        <w:t xml:space="preserve"> </w:t>
      </w:r>
      <w:r>
        <w:rPr>
          <w:rFonts w:ascii="Arial MT"/>
          <w:sz w:val="18"/>
        </w:rPr>
        <w:t>T-030/17.</w:t>
      </w:r>
      <w:r>
        <w:rPr>
          <w:rFonts w:ascii="Arial MT"/>
          <w:spacing w:val="-3"/>
          <w:sz w:val="18"/>
        </w:rPr>
        <w:t xml:space="preserve"> </w:t>
      </w:r>
      <w:r>
        <w:rPr>
          <w:rFonts w:ascii="Arial MT"/>
          <w:sz w:val="18"/>
        </w:rPr>
        <w:t>M.P</w:t>
      </w:r>
      <w:r>
        <w:rPr>
          <w:rFonts w:ascii="Arial MT"/>
          <w:spacing w:val="-5"/>
          <w:sz w:val="18"/>
        </w:rPr>
        <w:t xml:space="preserve"> </w:t>
      </w:r>
      <w:r>
        <w:rPr>
          <w:rFonts w:ascii="Arial MT"/>
          <w:sz w:val="18"/>
        </w:rPr>
        <w:t>Gloria</w:t>
      </w:r>
      <w:r>
        <w:rPr>
          <w:rFonts w:ascii="Arial MT"/>
          <w:spacing w:val="-4"/>
          <w:sz w:val="18"/>
        </w:rPr>
        <w:t xml:space="preserve"> </w:t>
      </w:r>
      <w:r>
        <w:rPr>
          <w:rFonts w:ascii="Arial MT"/>
          <w:sz w:val="18"/>
        </w:rPr>
        <w:t>Stella</w:t>
      </w:r>
      <w:r>
        <w:rPr>
          <w:rFonts w:ascii="Arial MT"/>
          <w:spacing w:val="-6"/>
          <w:sz w:val="18"/>
        </w:rPr>
        <w:t xml:space="preserve"> </w:t>
      </w:r>
      <w:r>
        <w:rPr>
          <w:rFonts w:ascii="Arial MT"/>
          <w:spacing w:val="-2"/>
          <w:sz w:val="18"/>
        </w:rPr>
        <w:t>Ortiz.</w:t>
      </w:r>
    </w:p>
    <w:p w14:paraId="0E12C14A" w14:textId="77777777" w:rsidR="000E52B0" w:rsidRDefault="00F60D74">
      <w:pPr>
        <w:ind w:left="720" w:right="713"/>
        <w:jc w:val="both"/>
        <w:rPr>
          <w:rFonts w:ascii="Arial MT" w:hAnsi="Arial MT"/>
          <w:sz w:val="18"/>
        </w:rPr>
      </w:pPr>
      <w:bookmarkStart w:id="162" w:name="_bookmark162"/>
      <w:bookmarkEnd w:id="162"/>
      <w:r>
        <w:rPr>
          <w:rFonts w:ascii="Arial MT" w:hAnsi="Arial MT"/>
          <w:position w:val="6"/>
          <w:sz w:val="12"/>
        </w:rPr>
        <w:t>132</w:t>
      </w:r>
      <w:r>
        <w:rPr>
          <w:rFonts w:ascii="Arial MT" w:hAnsi="Arial MT"/>
          <w:spacing w:val="40"/>
          <w:position w:val="6"/>
          <w:sz w:val="12"/>
        </w:rPr>
        <w:t xml:space="preserve"> </w:t>
      </w:r>
      <w:proofErr w:type="gramStart"/>
      <w:r>
        <w:rPr>
          <w:rFonts w:ascii="Arial MT" w:hAnsi="Arial MT"/>
          <w:sz w:val="18"/>
        </w:rPr>
        <w:t>Sentencia</w:t>
      </w:r>
      <w:proofErr w:type="gramEnd"/>
      <w:r>
        <w:rPr>
          <w:rFonts w:ascii="Arial MT" w:hAnsi="Arial MT"/>
          <w:sz w:val="18"/>
        </w:rPr>
        <w:t xml:space="preserve"> T-406/95: ECI por la falta de medidas para la protección de los derechos de </w:t>
      </w:r>
      <w:proofErr w:type="gramStart"/>
      <w:r>
        <w:rPr>
          <w:rFonts w:ascii="Arial MT" w:hAnsi="Arial MT"/>
          <w:sz w:val="18"/>
        </w:rPr>
        <w:t>los niños y niñas</w:t>
      </w:r>
      <w:proofErr w:type="gramEnd"/>
      <w:r>
        <w:rPr>
          <w:rFonts w:ascii="Arial MT" w:hAnsi="Arial MT"/>
          <w:sz w:val="18"/>
        </w:rPr>
        <w:t xml:space="preserve"> trabajadores, Sentencia T-606/98: ECI por la falta de acceso a la educación de la población afrocolombiana. Sentencia T-025/01: ECI por la falta de atención integral a la población desplazada por el conflicto armado, Sentencia T-025/04: ECI por la falta de acceso a la salud de la población indígena. Sentencia T-760/05: ECI por la</w:t>
      </w:r>
      <w:r>
        <w:rPr>
          <w:rFonts w:ascii="Arial MT" w:hAnsi="Arial MT"/>
          <w:spacing w:val="-3"/>
          <w:sz w:val="18"/>
        </w:rPr>
        <w:t xml:space="preserve"> </w:t>
      </w:r>
      <w:r>
        <w:rPr>
          <w:rFonts w:ascii="Arial MT" w:hAnsi="Arial MT"/>
          <w:sz w:val="18"/>
        </w:rPr>
        <w:t>falta</w:t>
      </w:r>
      <w:r>
        <w:rPr>
          <w:rFonts w:ascii="Arial MT" w:hAnsi="Arial MT"/>
          <w:spacing w:val="-3"/>
          <w:sz w:val="18"/>
        </w:rPr>
        <w:t xml:space="preserve"> </w:t>
      </w:r>
      <w:r>
        <w:rPr>
          <w:rFonts w:ascii="Arial MT" w:hAnsi="Arial MT"/>
          <w:sz w:val="18"/>
        </w:rPr>
        <w:t>de</w:t>
      </w:r>
      <w:r>
        <w:rPr>
          <w:rFonts w:ascii="Arial MT" w:hAnsi="Arial MT"/>
          <w:spacing w:val="-3"/>
          <w:sz w:val="18"/>
        </w:rPr>
        <w:t xml:space="preserve"> </w:t>
      </w:r>
      <w:r>
        <w:rPr>
          <w:rFonts w:ascii="Arial MT" w:hAnsi="Arial MT"/>
          <w:sz w:val="18"/>
        </w:rPr>
        <w:t>acceso</w:t>
      </w:r>
      <w:r>
        <w:rPr>
          <w:rFonts w:ascii="Arial MT" w:hAnsi="Arial MT"/>
          <w:spacing w:val="-3"/>
          <w:sz w:val="18"/>
        </w:rPr>
        <w:t xml:space="preserve"> </w:t>
      </w:r>
      <w:r>
        <w:rPr>
          <w:rFonts w:ascii="Arial MT" w:hAnsi="Arial MT"/>
          <w:sz w:val="18"/>
        </w:rPr>
        <w:t>a</w:t>
      </w:r>
      <w:r>
        <w:rPr>
          <w:rFonts w:ascii="Arial MT" w:hAnsi="Arial MT"/>
          <w:spacing w:val="-3"/>
          <w:sz w:val="18"/>
        </w:rPr>
        <w:t xml:space="preserve"> </w:t>
      </w:r>
      <w:r>
        <w:rPr>
          <w:rFonts w:ascii="Arial MT" w:hAnsi="Arial MT"/>
          <w:sz w:val="18"/>
        </w:rPr>
        <w:t>la</w:t>
      </w:r>
      <w:r>
        <w:rPr>
          <w:rFonts w:ascii="Arial MT" w:hAnsi="Arial MT"/>
          <w:spacing w:val="-3"/>
          <w:sz w:val="18"/>
        </w:rPr>
        <w:t xml:space="preserve"> </w:t>
      </w:r>
      <w:r>
        <w:rPr>
          <w:rFonts w:ascii="Arial MT" w:hAnsi="Arial MT"/>
          <w:sz w:val="18"/>
        </w:rPr>
        <w:t>salud</w:t>
      </w:r>
      <w:r>
        <w:rPr>
          <w:rFonts w:ascii="Arial MT" w:hAnsi="Arial MT"/>
          <w:spacing w:val="-3"/>
          <w:sz w:val="18"/>
        </w:rPr>
        <w:t xml:space="preserve"> </w:t>
      </w:r>
      <w:r>
        <w:rPr>
          <w:rFonts w:ascii="Arial MT" w:hAnsi="Arial MT"/>
          <w:sz w:val="18"/>
        </w:rPr>
        <w:t>de</w:t>
      </w:r>
      <w:r>
        <w:rPr>
          <w:rFonts w:ascii="Arial MT" w:hAnsi="Arial MT"/>
          <w:spacing w:val="-3"/>
          <w:sz w:val="18"/>
        </w:rPr>
        <w:t xml:space="preserve"> </w:t>
      </w:r>
      <w:r>
        <w:rPr>
          <w:rFonts w:ascii="Arial MT" w:hAnsi="Arial MT"/>
          <w:sz w:val="18"/>
        </w:rPr>
        <w:t>la</w:t>
      </w:r>
      <w:r>
        <w:rPr>
          <w:rFonts w:ascii="Arial MT" w:hAnsi="Arial MT"/>
          <w:spacing w:val="-3"/>
          <w:sz w:val="18"/>
        </w:rPr>
        <w:t xml:space="preserve"> </w:t>
      </w:r>
      <w:r>
        <w:rPr>
          <w:rFonts w:ascii="Arial MT" w:hAnsi="Arial MT"/>
          <w:sz w:val="18"/>
        </w:rPr>
        <w:t>población</w:t>
      </w:r>
      <w:r>
        <w:rPr>
          <w:rFonts w:ascii="Arial MT" w:hAnsi="Arial MT"/>
          <w:spacing w:val="-3"/>
          <w:sz w:val="18"/>
        </w:rPr>
        <w:t xml:space="preserve"> </w:t>
      </w:r>
      <w:r>
        <w:rPr>
          <w:rFonts w:ascii="Arial MT" w:hAnsi="Arial MT"/>
          <w:sz w:val="18"/>
        </w:rPr>
        <w:t>en</w:t>
      </w:r>
      <w:r>
        <w:rPr>
          <w:rFonts w:ascii="Arial MT" w:hAnsi="Arial MT"/>
          <w:spacing w:val="-3"/>
          <w:sz w:val="18"/>
        </w:rPr>
        <w:t xml:space="preserve"> </w:t>
      </w:r>
      <w:r>
        <w:rPr>
          <w:rFonts w:ascii="Arial MT" w:hAnsi="Arial MT"/>
          <w:sz w:val="18"/>
        </w:rPr>
        <w:t>situación</w:t>
      </w:r>
      <w:r>
        <w:rPr>
          <w:rFonts w:ascii="Arial MT" w:hAnsi="Arial MT"/>
          <w:spacing w:val="-5"/>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discapacidad.</w:t>
      </w:r>
      <w:r>
        <w:rPr>
          <w:rFonts w:ascii="Arial MT" w:hAnsi="Arial MT"/>
          <w:spacing w:val="-3"/>
          <w:sz w:val="18"/>
        </w:rPr>
        <w:t xml:space="preserve"> </w:t>
      </w:r>
      <w:r>
        <w:rPr>
          <w:rFonts w:ascii="Arial MT" w:hAnsi="Arial MT"/>
          <w:sz w:val="18"/>
        </w:rPr>
        <w:t>Sentencia</w:t>
      </w:r>
      <w:r>
        <w:rPr>
          <w:rFonts w:ascii="Arial MT" w:hAnsi="Arial MT"/>
          <w:spacing w:val="-3"/>
          <w:sz w:val="18"/>
        </w:rPr>
        <w:t xml:space="preserve"> </w:t>
      </w:r>
      <w:r>
        <w:rPr>
          <w:rFonts w:ascii="Arial MT" w:hAnsi="Arial MT"/>
          <w:sz w:val="18"/>
        </w:rPr>
        <w:t>T-344/06:</w:t>
      </w:r>
      <w:r>
        <w:rPr>
          <w:rFonts w:ascii="Arial MT" w:hAnsi="Arial MT"/>
          <w:spacing w:val="-3"/>
          <w:sz w:val="18"/>
        </w:rPr>
        <w:t xml:space="preserve"> </w:t>
      </w:r>
      <w:r>
        <w:rPr>
          <w:rFonts w:ascii="Arial MT" w:hAnsi="Arial MT"/>
          <w:sz w:val="18"/>
        </w:rPr>
        <w:t>ECI</w:t>
      </w:r>
      <w:r>
        <w:rPr>
          <w:rFonts w:ascii="Arial MT" w:hAnsi="Arial MT"/>
          <w:spacing w:val="-4"/>
          <w:sz w:val="18"/>
        </w:rPr>
        <w:t xml:space="preserve"> </w:t>
      </w:r>
      <w:r>
        <w:rPr>
          <w:rFonts w:ascii="Arial MT" w:hAnsi="Arial MT"/>
          <w:sz w:val="18"/>
        </w:rPr>
        <w:t>por</w:t>
      </w:r>
      <w:r>
        <w:rPr>
          <w:rFonts w:ascii="Arial MT" w:hAnsi="Arial MT"/>
          <w:spacing w:val="-3"/>
          <w:sz w:val="18"/>
        </w:rPr>
        <w:t xml:space="preserve"> </w:t>
      </w:r>
      <w:r>
        <w:rPr>
          <w:rFonts w:ascii="Arial MT" w:hAnsi="Arial MT"/>
          <w:sz w:val="18"/>
        </w:rPr>
        <w:t>la</w:t>
      </w:r>
      <w:r>
        <w:rPr>
          <w:rFonts w:ascii="Arial MT" w:hAnsi="Arial MT"/>
          <w:spacing w:val="-3"/>
          <w:sz w:val="18"/>
        </w:rPr>
        <w:t xml:space="preserve"> </w:t>
      </w:r>
      <w:r>
        <w:rPr>
          <w:rFonts w:ascii="Arial MT" w:hAnsi="Arial MT"/>
          <w:sz w:val="18"/>
        </w:rPr>
        <w:t>falta</w:t>
      </w:r>
      <w:r>
        <w:rPr>
          <w:rFonts w:ascii="Arial MT" w:hAnsi="Arial MT"/>
          <w:spacing w:val="-3"/>
          <w:sz w:val="18"/>
        </w:rPr>
        <w:t xml:space="preserve"> </w:t>
      </w:r>
      <w:r>
        <w:rPr>
          <w:rFonts w:ascii="Arial MT" w:hAnsi="Arial MT"/>
          <w:sz w:val="18"/>
        </w:rPr>
        <w:t>de protección</w:t>
      </w:r>
      <w:r>
        <w:rPr>
          <w:rFonts w:ascii="Arial MT" w:hAnsi="Arial MT"/>
          <w:spacing w:val="-1"/>
          <w:sz w:val="18"/>
        </w:rPr>
        <w:t xml:space="preserve"> </w:t>
      </w:r>
      <w:r>
        <w:rPr>
          <w:rFonts w:ascii="Arial MT" w:hAnsi="Arial MT"/>
          <w:sz w:val="18"/>
        </w:rPr>
        <w:t>de</w:t>
      </w:r>
      <w:r>
        <w:rPr>
          <w:rFonts w:ascii="Arial MT" w:hAnsi="Arial MT"/>
          <w:spacing w:val="-1"/>
          <w:sz w:val="18"/>
        </w:rPr>
        <w:t xml:space="preserve"> </w:t>
      </w:r>
      <w:r>
        <w:rPr>
          <w:rFonts w:ascii="Arial MT" w:hAnsi="Arial MT"/>
          <w:sz w:val="18"/>
        </w:rPr>
        <w:t>los derechos</w:t>
      </w:r>
      <w:r>
        <w:rPr>
          <w:rFonts w:ascii="Arial MT" w:hAnsi="Arial MT"/>
          <w:spacing w:val="-3"/>
          <w:sz w:val="18"/>
        </w:rPr>
        <w:t xml:space="preserve"> </w:t>
      </w:r>
      <w:r>
        <w:rPr>
          <w:rFonts w:ascii="Arial MT" w:hAnsi="Arial MT"/>
          <w:sz w:val="18"/>
        </w:rPr>
        <w:t>de</w:t>
      </w:r>
      <w:r>
        <w:rPr>
          <w:rFonts w:ascii="Arial MT" w:hAnsi="Arial MT"/>
          <w:spacing w:val="-3"/>
          <w:sz w:val="18"/>
        </w:rPr>
        <w:t xml:space="preserve"> </w:t>
      </w:r>
      <w:r>
        <w:rPr>
          <w:rFonts w:ascii="Arial MT" w:hAnsi="Arial MT"/>
          <w:sz w:val="18"/>
        </w:rPr>
        <w:t>las</w:t>
      </w:r>
      <w:r>
        <w:rPr>
          <w:rFonts w:ascii="Arial MT" w:hAnsi="Arial MT"/>
          <w:spacing w:val="-2"/>
          <w:sz w:val="18"/>
        </w:rPr>
        <w:t xml:space="preserve"> </w:t>
      </w:r>
      <w:r>
        <w:rPr>
          <w:rFonts w:ascii="Arial MT" w:hAnsi="Arial MT"/>
          <w:sz w:val="18"/>
        </w:rPr>
        <w:t>mujeres</w:t>
      </w:r>
      <w:r>
        <w:rPr>
          <w:rFonts w:ascii="Arial MT" w:hAnsi="Arial MT"/>
          <w:spacing w:val="-3"/>
          <w:sz w:val="18"/>
        </w:rPr>
        <w:t xml:space="preserve"> </w:t>
      </w:r>
      <w:r>
        <w:rPr>
          <w:rFonts w:ascii="Arial MT" w:hAnsi="Arial MT"/>
          <w:sz w:val="18"/>
        </w:rPr>
        <w:t>víctimas de</w:t>
      </w:r>
      <w:r>
        <w:rPr>
          <w:rFonts w:ascii="Arial MT" w:hAnsi="Arial MT"/>
          <w:spacing w:val="-3"/>
          <w:sz w:val="18"/>
        </w:rPr>
        <w:t xml:space="preserve"> </w:t>
      </w:r>
      <w:r>
        <w:rPr>
          <w:rFonts w:ascii="Arial MT" w:hAnsi="Arial MT"/>
          <w:sz w:val="18"/>
        </w:rPr>
        <w:t>violencia</w:t>
      </w:r>
      <w:r>
        <w:rPr>
          <w:rFonts w:ascii="Arial MT" w:hAnsi="Arial MT"/>
          <w:spacing w:val="-3"/>
          <w:sz w:val="18"/>
        </w:rPr>
        <w:t xml:space="preserve"> </w:t>
      </w:r>
      <w:r>
        <w:rPr>
          <w:rFonts w:ascii="Arial MT" w:hAnsi="Arial MT"/>
          <w:sz w:val="18"/>
        </w:rPr>
        <w:t>intrafamiliar.</w:t>
      </w:r>
      <w:r>
        <w:rPr>
          <w:rFonts w:ascii="Arial MT" w:hAnsi="Arial MT"/>
          <w:spacing w:val="-1"/>
          <w:sz w:val="18"/>
        </w:rPr>
        <w:t xml:space="preserve"> </w:t>
      </w:r>
      <w:r>
        <w:rPr>
          <w:rFonts w:ascii="Arial MT" w:hAnsi="Arial MT"/>
          <w:sz w:val="18"/>
        </w:rPr>
        <w:t>Sentencia</w:t>
      </w:r>
      <w:r>
        <w:rPr>
          <w:rFonts w:ascii="Arial MT" w:hAnsi="Arial MT"/>
          <w:spacing w:val="-3"/>
          <w:sz w:val="18"/>
        </w:rPr>
        <w:t xml:space="preserve"> </w:t>
      </w:r>
      <w:r>
        <w:rPr>
          <w:rFonts w:ascii="Arial MT" w:hAnsi="Arial MT"/>
          <w:sz w:val="18"/>
        </w:rPr>
        <w:t>T-760/07:</w:t>
      </w:r>
      <w:r>
        <w:rPr>
          <w:rFonts w:ascii="Arial MT" w:hAnsi="Arial MT"/>
          <w:spacing w:val="-3"/>
          <w:sz w:val="18"/>
        </w:rPr>
        <w:t xml:space="preserve"> </w:t>
      </w:r>
      <w:r>
        <w:rPr>
          <w:rFonts w:ascii="Arial MT" w:hAnsi="Arial MT"/>
          <w:sz w:val="18"/>
        </w:rPr>
        <w:t>ECI</w:t>
      </w:r>
      <w:r>
        <w:rPr>
          <w:rFonts w:ascii="Arial MT" w:hAnsi="Arial MT"/>
          <w:spacing w:val="-1"/>
          <w:sz w:val="18"/>
        </w:rPr>
        <w:t xml:space="preserve"> </w:t>
      </w:r>
      <w:r>
        <w:rPr>
          <w:rFonts w:ascii="Arial MT" w:hAnsi="Arial MT"/>
          <w:sz w:val="18"/>
        </w:rPr>
        <w:t>por</w:t>
      </w:r>
      <w:r>
        <w:rPr>
          <w:rFonts w:ascii="Arial MT" w:hAnsi="Arial MT"/>
          <w:spacing w:val="-3"/>
          <w:sz w:val="18"/>
        </w:rPr>
        <w:t xml:space="preserve"> </w:t>
      </w:r>
      <w:r>
        <w:rPr>
          <w:rFonts w:ascii="Arial MT" w:hAnsi="Arial MT"/>
          <w:sz w:val="18"/>
        </w:rPr>
        <w:t>la</w:t>
      </w:r>
      <w:r>
        <w:rPr>
          <w:rFonts w:ascii="Arial MT" w:hAnsi="Arial MT"/>
          <w:spacing w:val="-1"/>
          <w:sz w:val="18"/>
        </w:rPr>
        <w:t xml:space="preserve"> </w:t>
      </w:r>
      <w:r>
        <w:rPr>
          <w:rFonts w:ascii="Arial MT" w:hAnsi="Arial MT"/>
          <w:sz w:val="18"/>
        </w:rPr>
        <w:t>falta de</w:t>
      </w:r>
      <w:r>
        <w:rPr>
          <w:rFonts w:ascii="Arial MT" w:hAnsi="Arial MT"/>
          <w:spacing w:val="-8"/>
          <w:sz w:val="18"/>
        </w:rPr>
        <w:t xml:space="preserve"> </w:t>
      </w:r>
      <w:r>
        <w:rPr>
          <w:rFonts w:ascii="Arial MT" w:hAnsi="Arial MT"/>
          <w:sz w:val="18"/>
        </w:rPr>
        <w:t>acceso</w:t>
      </w:r>
      <w:r>
        <w:rPr>
          <w:rFonts w:ascii="Arial MT" w:hAnsi="Arial MT"/>
          <w:spacing w:val="-10"/>
          <w:sz w:val="18"/>
        </w:rPr>
        <w:t xml:space="preserve"> </w:t>
      </w:r>
      <w:r>
        <w:rPr>
          <w:rFonts w:ascii="Arial MT" w:hAnsi="Arial MT"/>
          <w:sz w:val="18"/>
        </w:rPr>
        <w:t>a</w:t>
      </w:r>
      <w:r>
        <w:rPr>
          <w:rFonts w:ascii="Arial MT" w:hAnsi="Arial MT"/>
          <w:spacing w:val="-10"/>
          <w:sz w:val="18"/>
        </w:rPr>
        <w:t xml:space="preserve"> </w:t>
      </w:r>
      <w:r>
        <w:rPr>
          <w:rFonts w:ascii="Arial MT" w:hAnsi="Arial MT"/>
          <w:sz w:val="18"/>
        </w:rPr>
        <w:t>la</w:t>
      </w:r>
      <w:r>
        <w:rPr>
          <w:rFonts w:ascii="Arial MT" w:hAnsi="Arial MT"/>
          <w:spacing w:val="-10"/>
          <w:sz w:val="18"/>
        </w:rPr>
        <w:t xml:space="preserve"> </w:t>
      </w:r>
      <w:r>
        <w:rPr>
          <w:rFonts w:ascii="Arial MT" w:hAnsi="Arial MT"/>
          <w:sz w:val="18"/>
        </w:rPr>
        <w:t>justicia</w:t>
      </w:r>
      <w:r>
        <w:rPr>
          <w:rFonts w:ascii="Arial MT" w:hAnsi="Arial MT"/>
          <w:spacing w:val="-10"/>
          <w:sz w:val="18"/>
        </w:rPr>
        <w:t xml:space="preserve"> </w:t>
      </w:r>
      <w:r>
        <w:rPr>
          <w:rFonts w:ascii="Arial MT" w:hAnsi="Arial MT"/>
          <w:sz w:val="18"/>
        </w:rPr>
        <w:t>de</w:t>
      </w:r>
      <w:r>
        <w:rPr>
          <w:rFonts w:ascii="Arial MT" w:hAnsi="Arial MT"/>
          <w:spacing w:val="-10"/>
          <w:sz w:val="18"/>
        </w:rPr>
        <w:t xml:space="preserve"> </w:t>
      </w:r>
      <w:r>
        <w:rPr>
          <w:rFonts w:ascii="Arial MT" w:hAnsi="Arial MT"/>
          <w:sz w:val="18"/>
        </w:rPr>
        <w:t>la</w:t>
      </w:r>
      <w:r>
        <w:rPr>
          <w:rFonts w:ascii="Arial MT" w:hAnsi="Arial MT"/>
          <w:spacing w:val="-10"/>
          <w:sz w:val="18"/>
        </w:rPr>
        <w:t xml:space="preserve"> </w:t>
      </w:r>
      <w:r>
        <w:rPr>
          <w:rFonts w:ascii="Arial MT" w:hAnsi="Arial MT"/>
          <w:sz w:val="18"/>
        </w:rPr>
        <w:t>población</w:t>
      </w:r>
      <w:r>
        <w:rPr>
          <w:rFonts w:ascii="Arial MT" w:hAnsi="Arial MT"/>
          <w:spacing w:val="-10"/>
          <w:sz w:val="18"/>
        </w:rPr>
        <w:t xml:space="preserve"> </w:t>
      </w:r>
      <w:r>
        <w:rPr>
          <w:rFonts w:ascii="Arial MT" w:hAnsi="Arial MT"/>
          <w:sz w:val="18"/>
        </w:rPr>
        <w:t>indígena.</w:t>
      </w:r>
      <w:r>
        <w:rPr>
          <w:rFonts w:ascii="Arial MT" w:hAnsi="Arial MT"/>
          <w:spacing w:val="-10"/>
          <w:sz w:val="18"/>
        </w:rPr>
        <w:t xml:space="preserve"> </w:t>
      </w:r>
      <w:r>
        <w:rPr>
          <w:rFonts w:ascii="Arial MT" w:hAnsi="Arial MT"/>
          <w:sz w:val="18"/>
        </w:rPr>
        <w:t>Sentencia</w:t>
      </w:r>
      <w:r>
        <w:rPr>
          <w:rFonts w:ascii="Arial MT" w:hAnsi="Arial MT"/>
          <w:spacing w:val="-10"/>
          <w:sz w:val="18"/>
        </w:rPr>
        <w:t xml:space="preserve"> </w:t>
      </w:r>
      <w:r>
        <w:rPr>
          <w:rFonts w:ascii="Arial MT" w:hAnsi="Arial MT"/>
          <w:sz w:val="18"/>
        </w:rPr>
        <w:t>T-098/08:</w:t>
      </w:r>
      <w:r>
        <w:rPr>
          <w:rFonts w:ascii="Arial MT" w:hAnsi="Arial MT"/>
          <w:spacing w:val="-8"/>
          <w:sz w:val="18"/>
        </w:rPr>
        <w:t xml:space="preserve"> </w:t>
      </w:r>
      <w:r>
        <w:rPr>
          <w:rFonts w:ascii="Arial MT" w:hAnsi="Arial MT"/>
          <w:sz w:val="18"/>
        </w:rPr>
        <w:t>ECI</w:t>
      </w:r>
      <w:r>
        <w:rPr>
          <w:rFonts w:ascii="Arial MT" w:hAnsi="Arial MT"/>
          <w:spacing w:val="-11"/>
          <w:sz w:val="18"/>
        </w:rPr>
        <w:t xml:space="preserve"> </w:t>
      </w:r>
      <w:r>
        <w:rPr>
          <w:rFonts w:ascii="Arial MT" w:hAnsi="Arial MT"/>
          <w:sz w:val="18"/>
        </w:rPr>
        <w:t>por</w:t>
      </w:r>
      <w:r>
        <w:rPr>
          <w:rFonts w:ascii="Arial MT" w:hAnsi="Arial MT"/>
          <w:spacing w:val="-11"/>
          <w:sz w:val="18"/>
        </w:rPr>
        <w:t xml:space="preserve"> </w:t>
      </w:r>
      <w:r>
        <w:rPr>
          <w:rFonts w:ascii="Arial MT" w:hAnsi="Arial MT"/>
          <w:sz w:val="18"/>
        </w:rPr>
        <w:t>la</w:t>
      </w:r>
      <w:r>
        <w:rPr>
          <w:rFonts w:ascii="Arial MT" w:hAnsi="Arial MT"/>
          <w:spacing w:val="-10"/>
          <w:sz w:val="18"/>
        </w:rPr>
        <w:t xml:space="preserve"> </w:t>
      </w:r>
      <w:r>
        <w:rPr>
          <w:rFonts w:ascii="Arial MT" w:hAnsi="Arial MT"/>
          <w:sz w:val="18"/>
        </w:rPr>
        <w:t>falta</w:t>
      </w:r>
      <w:r>
        <w:rPr>
          <w:rFonts w:ascii="Arial MT" w:hAnsi="Arial MT"/>
          <w:spacing w:val="-10"/>
          <w:sz w:val="18"/>
        </w:rPr>
        <w:t xml:space="preserve"> </w:t>
      </w:r>
      <w:r>
        <w:rPr>
          <w:rFonts w:ascii="Arial MT" w:hAnsi="Arial MT"/>
          <w:sz w:val="18"/>
        </w:rPr>
        <w:t>de</w:t>
      </w:r>
      <w:r>
        <w:rPr>
          <w:rFonts w:ascii="Arial MT" w:hAnsi="Arial MT"/>
          <w:spacing w:val="-10"/>
          <w:sz w:val="18"/>
        </w:rPr>
        <w:t xml:space="preserve"> </w:t>
      </w:r>
      <w:r>
        <w:rPr>
          <w:rFonts w:ascii="Arial MT" w:hAnsi="Arial MT"/>
          <w:sz w:val="18"/>
        </w:rPr>
        <w:t>protección</w:t>
      </w:r>
      <w:r>
        <w:rPr>
          <w:rFonts w:ascii="Arial MT" w:hAnsi="Arial MT"/>
          <w:spacing w:val="-10"/>
          <w:sz w:val="18"/>
        </w:rPr>
        <w:t xml:space="preserve"> </w:t>
      </w:r>
      <w:r>
        <w:rPr>
          <w:rFonts w:ascii="Arial MT" w:hAnsi="Arial MT"/>
          <w:sz w:val="18"/>
        </w:rPr>
        <w:t>de</w:t>
      </w:r>
      <w:r>
        <w:rPr>
          <w:rFonts w:ascii="Arial MT" w:hAnsi="Arial MT"/>
          <w:spacing w:val="-6"/>
          <w:sz w:val="18"/>
        </w:rPr>
        <w:t xml:space="preserve"> </w:t>
      </w:r>
      <w:r>
        <w:rPr>
          <w:rFonts w:ascii="Arial MT" w:hAnsi="Arial MT"/>
          <w:sz w:val="18"/>
        </w:rPr>
        <w:t>los</w:t>
      </w:r>
      <w:r>
        <w:rPr>
          <w:rFonts w:ascii="Arial MT" w:hAnsi="Arial MT"/>
          <w:spacing w:val="-7"/>
          <w:sz w:val="18"/>
        </w:rPr>
        <w:t xml:space="preserve"> </w:t>
      </w:r>
      <w:r>
        <w:rPr>
          <w:rFonts w:ascii="Arial MT" w:hAnsi="Arial MT"/>
          <w:sz w:val="18"/>
        </w:rPr>
        <w:t xml:space="preserve">derechos de </w:t>
      </w:r>
      <w:proofErr w:type="gramStart"/>
      <w:r>
        <w:rPr>
          <w:rFonts w:ascii="Arial MT" w:hAnsi="Arial MT"/>
          <w:sz w:val="18"/>
        </w:rPr>
        <w:t>los niños y niñas</w:t>
      </w:r>
      <w:proofErr w:type="gramEnd"/>
      <w:r>
        <w:rPr>
          <w:rFonts w:ascii="Arial MT" w:hAnsi="Arial MT"/>
          <w:sz w:val="18"/>
        </w:rPr>
        <w:t xml:space="preserve"> en el sistema de responsabilidad penal. Sentencia T-259/09: ECI por la falta de acceso a la educación de la población con discapacidad. Sentencia T-388/10: ECI por la falta de protección de los derechos de los pueblos indígenas en</w:t>
      </w:r>
      <w:r>
        <w:rPr>
          <w:rFonts w:ascii="Arial MT" w:hAnsi="Arial MT"/>
          <w:spacing w:val="-1"/>
          <w:sz w:val="18"/>
        </w:rPr>
        <w:t xml:space="preserve"> </w:t>
      </w:r>
      <w:r>
        <w:rPr>
          <w:rFonts w:ascii="Arial MT" w:hAnsi="Arial MT"/>
          <w:sz w:val="18"/>
        </w:rPr>
        <w:t>el</w:t>
      </w:r>
      <w:r>
        <w:rPr>
          <w:rFonts w:ascii="Arial MT" w:hAnsi="Arial MT"/>
          <w:spacing w:val="-1"/>
          <w:sz w:val="18"/>
        </w:rPr>
        <w:t xml:space="preserve"> </w:t>
      </w:r>
      <w:r>
        <w:rPr>
          <w:rFonts w:ascii="Arial MT" w:hAnsi="Arial MT"/>
          <w:sz w:val="18"/>
        </w:rPr>
        <w:t>contexto</w:t>
      </w:r>
      <w:r>
        <w:rPr>
          <w:rFonts w:ascii="Arial MT" w:hAnsi="Arial MT"/>
          <w:spacing w:val="-1"/>
          <w:sz w:val="18"/>
        </w:rPr>
        <w:t xml:space="preserve"> </w:t>
      </w:r>
      <w:r>
        <w:rPr>
          <w:rFonts w:ascii="Arial MT" w:hAnsi="Arial MT"/>
          <w:sz w:val="18"/>
        </w:rPr>
        <w:t>de</w:t>
      </w:r>
      <w:r>
        <w:rPr>
          <w:rFonts w:ascii="Arial MT" w:hAnsi="Arial MT"/>
          <w:spacing w:val="-1"/>
          <w:sz w:val="18"/>
        </w:rPr>
        <w:t xml:space="preserve"> </w:t>
      </w:r>
      <w:r>
        <w:rPr>
          <w:rFonts w:ascii="Arial MT" w:hAnsi="Arial MT"/>
          <w:sz w:val="18"/>
        </w:rPr>
        <w:t>la</w:t>
      </w:r>
      <w:r>
        <w:rPr>
          <w:rFonts w:ascii="Arial MT" w:hAnsi="Arial MT"/>
          <w:spacing w:val="-1"/>
          <w:sz w:val="18"/>
        </w:rPr>
        <w:t xml:space="preserve"> </w:t>
      </w:r>
      <w:r>
        <w:rPr>
          <w:rFonts w:ascii="Arial MT" w:hAnsi="Arial MT"/>
          <w:sz w:val="18"/>
        </w:rPr>
        <w:t>explotación</w:t>
      </w:r>
      <w:r>
        <w:rPr>
          <w:rFonts w:ascii="Arial MT" w:hAnsi="Arial MT"/>
          <w:spacing w:val="-1"/>
          <w:sz w:val="18"/>
        </w:rPr>
        <w:t xml:space="preserve"> </w:t>
      </w:r>
      <w:r>
        <w:rPr>
          <w:rFonts w:ascii="Arial MT" w:hAnsi="Arial MT"/>
          <w:sz w:val="18"/>
        </w:rPr>
        <w:t>minera. Sentencia</w:t>
      </w:r>
      <w:r>
        <w:rPr>
          <w:rFonts w:ascii="Arial MT" w:hAnsi="Arial MT"/>
          <w:spacing w:val="-1"/>
          <w:sz w:val="18"/>
        </w:rPr>
        <w:t xml:space="preserve"> </w:t>
      </w:r>
      <w:r>
        <w:rPr>
          <w:rFonts w:ascii="Arial MT" w:hAnsi="Arial MT"/>
          <w:sz w:val="18"/>
        </w:rPr>
        <w:t>T-745/11:</w:t>
      </w:r>
      <w:r>
        <w:rPr>
          <w:rFonts w:ascii="Arial MT" w:hAnsi="Arial MT"/>
          <w:spacing w:val="-1"/>
          <w:sz w:val="18"/>
        </w:rPr>
        <w:t xml:space="preserve"> </w:t>
      </w:r>
      <w:r>
        <w:rPr>
          <w:rFonts w:ascii="Arial MT" w:hAnsi="Arial MT"/>
          <w:sz w:val="18"/>
        </w:rPr>
        <w:t>ECI</w:t>
      </w:r>
      <w:r>
        <w:rPr>
          <w:rFonts w:ascii="Arial MT" w:hAnsi="Arial MT"/>
          <w:spacing w:val="-1"/>
          <w:sz w:val="18"/>
        </w:rPr>
        <w:t xml:space="preserve"> </w:t>
      </w:r>
      <w:r>
        <w:rPr>
          <w:rFonts w:ascii="Arial MT" w:hAnsi="Arial MT"/>
          <w:sz w:val="18"/>
        </w:rPr>
        <w:t>por</w:t>
      </w:r>
      <w:r>
        <w:rPr>
          <w:rFonts w:ascii="Arial MT" w:hAnsi="Arial MT"/>
          <w:spacing w:val="-1"/>
          <w:sz w:val="18"/>
        </w:rPr>
        <w:t xml:space="preserve"> </w:t>
      </w:r>
      <w:r>
        <w:rPr>
          <w:rFonts w:ascii="Arial MT" w:hAnsi="Arial MT"/>
          <w:sz w:val="18"/>
        </w:rPr>
        <w:t>la</w:t>
      </w:r>
      <w:r>
        <w:rPr>
          <w:rFonts w:ascii="Arial MT" w:hAnsi="Arial MT"/>
          <w:spacing w:val="-1"/>
          <w:sz w:val="18"/>
        </w:rPr>
        <w:t xml:space="preserve"> </w:t>
      </w:r>
      <w:r>
        <w:rPr>
          <w:rFonts w:ascii="Arial MT" w:hAnsi="Arial MT"/>
          <w:sz w:val="18"/>
        </w:rPr>
        <w:t>falta</w:t>
      </w:r>
      <w:r>
        <w:rPr>
          <w:rFonts w:ascii="Arial MT" w:hAnsi="Arial MT"/>
          <w:spacing w:val="-1"/>
          <w:sz w:val="18"/>
        </w:rPr>
        <w:t xml:space="preserve"> </w:t>
      </w:r>
      <w:r>
        <w:rPr>
          <w:rFonts w:ascii="Arial MT" w:hAnsi="Arial MT"/>
          <w:sz w:val="18"/>
        </w:rPr>
        <w:t>de</w:t>
      </w:r>
      <w:r>
        <w:rPr>
          <w:rFonts w:ascii="Arial MT" w:hAnsi="Arial MT"/>
          <w:spacing w:val="-1"/>
          <w:sz w:val="18"/>
        </w:rPr>
        <w:t xml:space="preserve"> </w:t>
      </w:r>
      <w:r>
        <w:rPr>
          <w:rFonts w:ascii="Arial MT" w:hAnsi="Arial MT"/>
          <w:sz w:val="18"/>
        </w:rPr>
        <w:t>acceso a la salud de la población LGBTI. Sentencia T-314/12: ECI por la falta de protección de los derechos de las personas en situación de discapacidad mental. Sentencia T-538/13: ECI por la falta de acceso a la justicia de la población afrocolombiana.</w:t>
      </w:r>
    </w:p>
    <w:p w14:paraId="008DDEE6" w14:textId="77777777" w:rsidR="000E52B0" w:rsidRDefault="00F60D74">
      <w:pPr>
        <w:ind w:left="720" w:right="713"/>
        <w:jc w:val="both"/>
        <w:rPr>
          <w:rFonts w:ascii="Arial MT" w:hAnsi="Arial MT"/>
          <w:sz w:val="18"/>
        </w:rPr>
      </w:pPr>
      <w:r>
        <w:rPr>
          <w:rFonts w:ascii="Arial MT" w:hAnsi="Arial MT"/>
          <w:sz w:val="18"/>
        </w:rPr>
        <w:t>Sentencia</w:t>
      </w:r>
      <w:r>
        <w:rPr>
          <w:rFonts w:ascii="Arial MT" w:hAnsi="Arial MT"/>
          <w:spacing w:val="-9"/>
          <w:sz w:val="18"/>
        </w:rPr>
        <w:t xml:space="preserve"> </w:t>
      </w:r>
      <w:r>
        <w:rPr>
          <w:rFonts w:ascii="Arial MT" w:hAnsi="Arial MT"/>
          <w:sz w:val="18"/>
        </w:rPr>
        <w:t>T-431/14:</w:t>
      </w:r>
      <w:r>
        <w:rPr>
          <w:rFonts w:ascii="Arial MT" w:hAnsi="Arial MT"/>
          <w:spacing w:val="-7"/>
          <w:sz w:val="18"/>
        </w:rPr>
        <w:t xml:space="preserve"> </w:t>
      </w:r>
      <w:r>
        <w:rPr>
          <w:rFonts w:ascii="Arial MT" w:hAnsi="Arial MT"/>
          <w:sz w:val="18"/>
        </w:rPr>
        <w:t>ECI</w:t>
      </w:r>
      <w:r>
        <w:rPr>
          <w:rFonts w:ascii="Arial MT" w:hAnsi="Arial MT"/>
          <w:spacing w:val="-9"/>
          <w:sz w:val="18"/>
        </w:rPr>
        <w:t xml:space="preserve"> </w:t>
      </w:r>
      <w:r>
        <w:rPr>
          <w:rFonts w:ascii="Arial MT" w:hAnsi="Arial MT"/>
          <w:sz w:val="18"/>
        </w:rPr>
        <w:t>por</w:t>
      </w:r>
      <w:r>
        <w:rPr>
          <w:rFonts w:ascii="Arial MT" w:hAnsi="Arial MT"/>
          <w:spacing w:val="-9"/>
          <w:sz w:val="18"/>
        </w:rPr>
        <w:t xml:space="preserve"> </w:t>
      </w:r>
      <w:r>
        <w:rPr>
          <w:rFonts w:ascii="Arial MT" w:hAnsi="Arial MT"/>
          <w:sz w:val="18"/>
        </w:rPr>
        <w:t>la</w:t>
      </w:r>
      <w:r>
        <w:rPr>
          <w:rFonts w:ascii="Arial MT" w:hAnsi="Arial MT"/>
          <w:spacing w:val="-9"/>
          <w:sz w:val="18"/>
        </w:rPr>
        <w:t xml:space="preserve"> </w:t>
      </w:r>
      <w:r>
        <w:rPr>
          <w:rFonts w:ascii="Arial MT" w:hAnsi="Arial MT"/>
          <w:sz w:val="18"/>
        </w:rPr>
        <w:t>falta</w:t>
      </w:r>
      <w:r>
        <w:rPr>
          <w:rFonts w:ascii="Arial MT" w:hAnsi="Arial MT"/>
          <w:spacing w:val="-6"/>
          <w:sz w:val="18"/>
        </w:rPr>
        <w:t xml:space="preserve"> </w:t>
      </w:r>
      <w:r>
        <w:rPr>
          <w:rFonts w:ascii="Arial MT" w:hAnsi="Arial MT"/>
          <w:sz w:val="18"/>
        </w:rPr>
        <w:t>de</w:t>
      </w:r>
      <w:r>
        <w:rPr>
          <w:rFonts w:ascii="Arial MT" w:hAnsi="Arial MT"/>
          <w:spacing w:val="-6"/>
          <w:sz w:val="18"/>
        </w:rPr>
        <w:t xml:space="preserve"> </w:t>
      </w:r>
      <w:r>
        <w:rPr>
          <w:rFonts w:ascii="Arial MT" w:hAnsi="Arial MT"/>
          <w:sz w:val="18"/>
        </w:rPr>
        <w:t>protección</w:t>
      </w:r>
      <w:r>
        <w:rPr>
          <w:rFonts w:ascii="Arial MT" w:hAnsi="Arial MT"/>
          <w:spacing w:val="-9"/>
          <w:sz w:val="18"/>
        </w:rPr>
        <w:t xml:space="preserve"> </w:t>
      </w:r>
      <w:r>
        <w:rPr>
          <w:rFonts w:ascii="Arial MT" w:hAnsi="Arial MT"/>
          <w:sz w:val="18"/>
        </w:rPr>
        <w:t>de</w:t>
      </w:r>
      <w:r>
        <w:rPr>
          <w:rFonts w:ascii="Arial MT" w:hAnsi="Arial MT"/>
          <w:spacing w:val="-9"/>
          <w:sz w:val="18"/>
        </w:rPr>
        <w:t xml:space="preserve"> </w:t>
      </w:r>
      <w:r>
        <w:rPr>
          <w:rFonts w:ascii="Arial MT" w:hAnsi="Arial MT"/>
          <w:sz w:val="18"/>
        </w:rPr>
        <w:t>los</w:t>
      </w:r>
      <w:r>
        <w:rPr>
          <w:rFonts w:ascii="Arial MT" w:hAnsi="Arial MT"/>
          <w:spacing w:val="-6"/>
          <w:sz w:val="18"/>
        </w:rPr>
        <w:t xml:space="preserve"> </w:t>
      </w:r>
      <w:r>
        <w:rPr>
          <w:rFonts w:ascii="Arial MT" w:hAnsi="Arial MT"/>
          <w:sz w:val="18"/>
        </w:rPr>
        <w:t>derechos</w:t>
      </w:r>
      <w:r>
        <w:rPr>
          <w:rFonts w:ascii="Arial MT" w:hAnsi="Arial MT"/>
          <w:spacing w:val="-6"/>
          <w:sz w:val="18"/>
        </w:rPr>
        <w:t xml:space="preserve"> </w:t>
      </w:r>
      <w:r>
        <w:rPr>
          <w:rFonts w:ascii="Arial MT" w:hAnsi="Arial MT"/>
          <w:sz w:val="18"/>
        </w:rPr>
        <w:t>de</w:t>
      </w:r>
      <w:r>
        <w:rPr>
          <w:rFonts w:ascii="Arial MT" w:hAnsi="Arial MT"/>
          <w:spacing w:val="-6"/>
          <w:sz w:val="18"/>
        </w:rPr>
        <w:t xml:space="preserve"> </w:t>
      </w:r>
      <w:proofErr w:type="gramStart"/>
      <w:r>
        <w:rPr>
          <w:rFonts w:ascii="Arial MT" w:hAnsi="Arial MT"/>
          <w:sz w:val="18"/>
        </w:rPr>
        <w:t>los</w:t>
      </w:r>
      <w:r>
        <w:rPr>
          <w:rFonts w:ascii="Arial MT" w:hAnsi="Arial MT"/>
          <w:spacing w:val="-8"/>
          <w:sz w:val="18"/>
        </w:rPr>
        <w:t xml:space="preserve"> </w:t>
      </w:r>
      <w:r>
        <w:rPr>
          <w:rFonts w:ascii="Arial MT" w:hAnsi="Arial MT"/>
          <w:sz w:val="18"/>
        </w:rPr>
        <w:t>niños</w:t>
      </w:r>
      <w:r>
        <w:rPr>
          <w:rFonts w:ascii="Arial MT" w:hAnsi="Arial MT"/>
          <w:spacing w:val="-8"/>
          <w:sz w:val="18"/>
        </w:rPr>
        <w:t xml:space="preserve"> </w:t>
      </w:r>
      <w:r>
        <w:rPr>
          <w:rFonts w:ascii="Arial MT" w:hAnsi="Arial MT"/>
          <w:sz w:val="18"/>
        </w:rPr>
        <w:t>y</w:t>
      </w:r>
      <w:r>
        <w:rPr>
          <w:rFonts w:ascii="Arial MT" w:hAnsi="Arial MT"/>
          <w:spacing w:val="-8"/>
          <w:sz w:val="18"/>
        </w:rPr>
        <w:t xml:space="preserve"> </w:t>
      </w:r>
      <w:r>
        <w:rPr>
          <w:rFonts w:ascii="Arial MT" w:hAnsi="Arial MT"/>
          <w:sz w:val="18"/>
        </w:rPr>
        <w:t>niñas</w:t>
      </w:r>
      <w:proofErr w:type="gramEnd"/>
      <w:r>
        <w:rPr>
          <w:rFonts w:ascii="Arial MT" w:hAnsi="Arial MT"/>
          <w:spacing w:val="-1"/>
          <w:sz w:val="18"/>
        </w:rPr>
        <w:t xml:space="preserve"> </w:t>
      </w:r>
      <w:r>
        <w:rPr>
          <w:rFonts w:ascii="Arial MT" w:hAnsi="Arial MT"/>
          <w:sz w:val="18"/>
        </w:rPr>
        <w:t>en</w:t>
      </w:r>
      <w:r>
        <w:rPr>
          <w:rFonts w:ascii="Arial MT" w:hAnsi="Arial MT"/>
          <w:spacing w:val="-9"/>
          <w:sz w:val="18"/>
        </w:rPr>
        <w:t xml:space="preserve"> </w:t>
      </w:r>
      <w:r>
        <w:rPr>
          <w:rFonts w:ascii="Arial MT" w:hAnsi="Arial MT"/>
          <w:sz w:val="18"/>
        </w:rPr>
        <w:t>el</w:t>
      </w:r>
      <w:r>
        <w:rPr>
          <w:rFonts w:ascii="Arial MT" w:hAnsi="Arial MT"/>
          <w:spacing w:val="-9"/>
          <w:sz w:val="18"/>
        </w:rPr>
        <w:t xml:space="preserve"> </w:t>
      </w:r>
      <w:r>
        <w:rPr>
          <w:rFonts w:ascii="Arial MT" w:hAnsi="Arial MT"/>
          <w:sz w:val="18"/>
        </w:rPr>
        <w:t>sistema</w:t>
      </w:r>
      <w:r>
        <w:rPr>
          <w:rFonts w:ascii="Arial MT" w:hAnsi="Arial MT"/>
          <w:spacing w:val="-9"/>
          <w:sz w:val="18"/>
        </w:rPr>
        <w:t xml:space="preserve"> </w:t>
      </w:r>
      <w:r>
        <w:rPr>
          <w:rFonts w:ascii="Arial MT" w:hAnsi="Arial MT"/>
          <w:sz w:val="18"/>
        </w:rPr>
        <w:t>de</w:t>
      </w:r>
      <w:r>
        <w:rPr>
          <w:rFonts w:ascii="Arial MT" w:hAnsi="Arial MT"/>
          <w:spacing w:val="-9"/>
          <w:sz w:val="18"/>
        </w:rPr>
        <w:t xml:space="preserve"> </w:t>
      </w:r>
      <w:r>
        <w:rPr>
          <w:rFonts w:ascii="Arial MT" w:hAnsi="Arial MT"/>
          <w:sz w:val="18"/>
        </w:rPr>
        <w:t>adopción. Sentencia</w:t>
      </w:r>
      <w:r>
        <w:rPr>
          <w:rFonts w:ascii="Arial MT" w:hAnsi="Arial MT"/>
          <w:spacing w:val="-2"/>
          <w:sz w:val="18"/>
        </w:rPr>
        <w:t xml:space="preserve"> </w:t>
      </w:r>
      <w:r>
        <w:rPr>
          <w:rFonts w:ascii="Arial MT" w:hAnsi="Arial MT"/>
          <w:sz w:val="18"/>
        </w:rPr>
        <w:t>T-649/15: ECI</w:t>
      </w:r>
      <w:r>
        <w:rPr>
          <w:rFonts w:ascii="Arial MT" w:hAnsi="Arial MT"/>
          <w:spacing w:val="-2"/>
          <w:sz w:val="18"/>
        </w:rPr>
        <w:t xml:space="preserve"> </w:t>
      </w:r>
      <w:r>
        <w:rPr>
          <w:rFonts w:ascii="Arial MT" w:hAnsi="Arial MT"/>
          <w:sz w:val="18"/>
        </w:rPr>
        <w:t>por</w:t>
      </w:r>
      <w:r>
        <w:rPr>
          <w:rFonts w:ascii="Arial MT" w:hAnsi="Arial MT"/>
          <w:spacing w:val="-2"/>
          <w:sz w:val="18"/>
        </w:rPr>
        <w:t xml:space="preserve"> </w:t>
      </w:r>
      <w:r>
        <w:rPr>
          <w:rFonts w:ascii="Arial MT" w:hAnsi="Arial MT"/>
          <w:sz w:val="18"/>
        </w:rPr>
        <w:t>la falta</w:t>
      </w:r>
      <w:r>
        <w:rPr>
          <w:rFonts w:ascii="Arial MT" w:hAnsi="Arial MT"/>
          <w:spacing w:val="-2"/>
          <w:sz w:val="18"/>
        </w:rPr>
        <w:t xml:space="preserve"> </w:t>
      </w:r>
      <w:r>
        <w:rPr>
          <w:rFonts w:ascii="Arial MT" w:hAnsi="Arial MT"/>
          <w:sz w:val="18"/>
        </w:rPr>
        <w:t>de</w:t>
      </w:r>
      <w:r>
        <w:rPr>
          <w:rFonts w:ascii="Arial MT" w:hAnsi="Arial MT"/>
          <w:spacing w:val="-2"/>
          <w:sz w:val="18"/>
        </w:rPr>
        <w:t xml:space="preserve"> </w:t>
      </w:r>
      <w:r>
        <w:rPr>
          <w:rFonts w:ascii="Arial MT" w:hAnsi="Arial MT"/>
          <w:sz w:val="18"/>
        </w:rPr>
        <w:t>acceso</w:t>
      </w:r>
      <w:r>
        <w:rPr>
          <w:rFonts w:ascii="Arial MT" w:hAnsi="Arial MT"/>
          <w:spacing w:val="-2"/>
          <w:sz w:val="18"/>
        </w:rPr>
        <w:t xml:space="preserve"> </w:t>
      </w:r>
      <w:r>
        <w:rPr>
          <w:rFonts w:ascii="Arial MT" w:hAnsi="Arial MT"/>
          <w:sz w:val="18"/>
        </w:rPr>
        <w:t>a la educación de la población rural. Sentencia</w:t>
      </w:r>
      <w:r>
        <w:rPr>
          <w:rFonts w:ascii="Arial MT" w:hAnsi="Arial MT"/>
          <w:spacing w:val="-2"/>
          <w:sz w:val="18"/>
        </w:rPr>
        <w:t xml:space="preserve"> </w:t>
      </w:r>
      <w:r>
        <w:rPr>
          <w:rFonts w:ascii="Arial MT" w:hAnsi="Arial MT"/>
          <w:sz w:val="18"/>
        </w:rPr>
        <w:t>T-368/16: ECI</w:t>
      </w:r>
      <w:r>
        <w:rPr>
          <w:rFonts w:ascii="Arial MT" w:hAnsi="Arial MT"/>
          <w:spacing w:val="-2"/>
          <w:sz w:val="18"/>
        </w:rPr>
        <w:t xml:space="preserve"> </w:t>
      </w:r>
      <w:r>
        <w:rPr>
          <w:rFonts w:ascii="Arial MT" w:hAnsi="Arial MT"/>
          <w:sz w:val="18"/>
        </w:rPr>
        <w:t>por la</w:t>
      </w:r>
      <w:r>
        <w:rPr>
          <w:rFonts w:ascii="Arial MT" w:hAnsi="Arial MT"/>
          <w:spacing w:val="-5"/>
          <w:sz w:val="18"/>
        </w:rPr>
        <w:t xml:space="preserve"> </w:t>
      </w:r>
      <w:r>
        <w:rPr>
          <w:rFonts w:ascii="Arial MT" w:hAnsi="Arial MT"/>
          <w:sz w:val="18"/>
        </w:rPr>
        <w:t>falta</w:t>
      </w:r>
      <w:r>
        <w:rPr>
          <w:rFonts w:ascii="Arial MT" w:hAnsi="Arial MT"/>
          <w:spacing w:val="-5"/>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protección</w:t>
      </w:r>
      <w:r>
        <w:rPr>
          <w:rFonts w:ascii="Arial MT" w:hAnsi="Arial MT"/>
          <w:spacing w:val="-5"/>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los</w:t>
      </w:r>
      <w:r>
        <w:rPr>
          <w:rFonts w:ascii="Arial MT" w:hAnsi="Arial MT"/>
          <w:spacing w:val="-5"/>
          <w:sz w:val="18"/>
        </w:rPr>
        <w:t xml:space="preserve"> </w:t>
      </w:r>
      <w:r>
        <w:rPr>
          <w:rFonts w:ascii="Arial MT" w:hAnsi="Arial MT"/>
          <w:sz w:val="18"/>
        </w:rPr>
        <w:t>derechos</w:t>
      </w:r>
      <w:r>
        <w:rPr>
          <w:rFonts w:ascii="Arial MT" w:hAnsi="Arial MT"/>
          <w:spacing w:val="-5"/>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las</w:t>
      </w:r>
      <w:r>
        <w:rPr>
          <w:rFonts w:ascii="Arial MT" w:hAnsi="Arial MT"/>
          <w:spacing w:val="-5"/>
          <w:sz w:val="18"/>
        </w:rPr>
        <w:t xml:space="preserve"> </w:t>
      </w:r>
      <w:r>
        <w:rPr>
          <w:rFonts w:ascii="Arial MT" w:hAnsi="Arial MT"/>
          <w:sz w:val="18"/>
        </w:rPr>
        <w:t>víctimas</w:t>
      </w:r>
      <w:r>
        <w:rPr>
          <w:rFonts w:ascii="Arial MT" w:hAnsi="Arial MT"/>
          <w:spacing w:val="-5"/>
          <w:sz w:val="18"/>
        </w:rPr>
        <w:t xml:space="preserve"> </w:t>
      </w:r>
      <w:r>
        <w:rPr>
          <w:rFonts w:ascii="Arial MT" w:hAnsi="Arial MT"/>
          <w:sz w:val="18"/>
        </w:rPr>
        <w:t>del</w:t>
      </w:r>
      <w:r>
        <w:rPr>
          <w:rFonts w:ascii="Arial MT" w:hAnsi="Arial MT"/>
          <w:spacing w:val="-5"/>
          <w:sz w:val="18"/>
        </w:rPr>
        <w:t xml:space="preserve"> </w:t>
      </w:r>
      <w:r>
        <w:rPr>
          <w:rFonts w:ascii="Arial MT" w:hAnsi="Arial MT"/>
          <w:sz w:val="18"/>
        </w:rPr>
        <w:t>conflicto</w:t>
      </w:r>
      <w:r>
        <w:rPr>
          <w:rFonts w:ascii="Arial MT" w:hAnsi="Arial MT"/>
          <w:spacing w:val="-5"/>
          <w:sz w:val="18"/>
        </w:rPr>
        <w:t xml:space="preserve"> </w:t>
      </w:r>
      <w:r>
        <w:rPr>
          <w:rFonts w:ascii="Arial MT" w:hAnsi="Arial MT"/>
          <w:sz w:val="18"/>
        </w:rPr>
        <w:t>armado.</w:t>
      </w:r>
      <w:r>
        <w:rPr>
          <w:rFonts w:ascii="Arial MT" w:hAnsi="Arial MT"/>
          <w:spacing w:val="-6"/>
          <w:sz w:val="18"/>
        </w:rPr>
        <w:t xml:space="preserve"> </w:t>
      </w:r>
      <w:r>
        <w:rPr>
          <w:rFonts w:ascii="Arial MT" w:hAnsi="Arial MT"/>
          <w:sz w:val="18"/>
        </w:rPr>
        <w:t>Sentencia</w:t>
      </w:r>
      <w:r>
        <w:rPr>
          <w:rFonts w:ascii="Arial MT" w:hAnsi="Arial MT"/>
          <w:spacing w:val="-5"/>
          <w:sz w:val="18"/>
        </w:rPr>
        <w:t xml:space="preserve"> </w:t>
      </w:r>
      <w:r>
        <w:rPr>
          <w:rFonts w:ascii="Arial MT" w:hAnsi="Arial MT"/>
          <w:sz w:val="18"/>
        </w:rPr>
        <w:t>T-302/17:</w:t>
      </w:r>
      <w:r>
        <w:rPr>
          <w:rFonts w:ascii="Arial MT" w:hAnsi="Arial MT"/>
          <w:spacing w:val="-6"/>
          <w:sz w:val="18"/>
        </w:rPr>
        <w:t xml:space="preserve"> </w:t>
      </w:r>
      <w:r>
        <w:rPr>
          <w:rFonts w:ascii="Arial MT" w:hAnsi="Arial MT"/>
          <w:sz w:val="18"/>
        </w:rPr>
        <w:t>ECI</w:t>
      </w:r>
      <w:r>
        <w:rPr>
          <w:rFonts w:ascii="Arial MT" w:hAnsi="Arial MT"/>
          <w:spacing w:val="-6"/>
          <w:sz w:val="18"/>
        </w:rPr>
        <w:t xml:space="preserve"> </w:t>
      </w:r>
      <w:r>
        <w:rPr>
          <w:rFonts w:ascii="Arial MT" w:hAnsi="Arial MT"/>
          <w:sz w:val="18"/>
        </w:rPr>
        <w:t>por</w:t>
      </w:r>
      <w:r>
        <w:rPr>
          <w:rFonts w:ascii="Arial MT" w:hAnsi="Arial MT"/>
          <w:spacing w:val="-6"/>
          <w:sz w:val="18"/>
        </w:rPr>
        <w:t xml:space="preserve"> </w:t>
      </w:r>
      <w:r>
        <w:rPr>
          <w:rFonts w:ascii="Arial MT" w:hAnsi="Arial MT"/>
          <w:sz w:val="18"/>
        </w:rPr>
        <w:t>la</w:t>
      </w:r>
      <w:r>
        <w:rPr>
          <w:rFonts w:ascii="Arial MT" w:hAnsi="Arial MT"/>
          <w:spacing w:val="-5"/>
          <w:sz w:val="18"/>
        </w:rPr>
        <w:t xml:space="preserve"> </w:t>
      </w:r>
      <w:r>
        <w:rPr>
          <w:rFonts w:ascii="Arial MT" w:hAnsi="Arial MT"/>
          <w:sz w:val="18"/>
        </w:rPr>
        <w:t>falta</w:t>
      </w:r>
      <w:r>
        <w:rPr>
          <w:rFonts w:ascii="Arial MT" w:hAnsi="Arial MT"/>
          <w:spacing w:val="-5"/>
          <w:sz w:val="18"/>
        </w:rPr>
        <w:t xml:space="preserve"> </w:t>
      </w:r>
      <w:r>
        <w:rPr>
          <w:rFonts w:ascii="Arial MT" w:hAnsi="Arial MT"/>
          <w:sz w:val="18"/>
        </w:rPr>
        <w:t xml:space="preserve">de acceso a la salud, agua potable y alimentación de la población </w:t>
      </w:r>
      <w:proofErr w:type="spellStart"/>
      <w:r>
        <w:rPr>
          <w:rFonts w:ascii="Arial MT" w:hAnsi="Arial MT"/>
          <w:sz w:val="18"/>
        </w:rPr>
        <w:t>Wayúu</w:t>
      </w:r>
      <w:proofErr w:type="spellEnd"/>
      <w:r>
        <w:rPr>
          <w:rFonts w:ascii="Arial MT" w:hAnsi="Arial MT"/>
          <w:sz w:val="18"/>
        </w:rPr>
        <w:t xml:space="preserve"> en La Guajira. Sentencia SU-098/18: ECI por la falta de implementación del Acuerdo Final para la Terminación del Conflicto y la Construcción de una Paz Estable y Duradera. Sentencia T-764/19: ECI por la falta de protección de los derechos de </w:t>
      </w:r>
      <w:proofErr w:type="gramStart"/>
      <w:r>
        <w:rPr>
          <w:rFonts w:ascii="Arial MT" w:hAnsi="Arial MT"/>
          <w:sz w:val="18"/>
        </w:rPr>
        <w:t>los niños y niñas</w:t>
      </w:r>
      <w:proofErr w:type="gramEnd"/>
      <w:r>
        <w:rPr>
          <w:rFonts w:ascii="Arial MT" w:hAnsi="Arial MT"/>
          <w:sz w:val="18"/>
        </w:rPr>
        <w:t xml:space="preserve"> migrantes. Sentencia SU-045/20: ECI por la falta de atención a la crisis carcelaria en Colombia. Sentencia SU- 080/21: ECI por la falta de acceso a la educación de la población en el contexto de la pandemia por COVID-19. Sentencia SU-020/22: ECI por la falta de protección de los derechos de los excombatientes de las FARC-EP. Sentencia SU-144/23: ECI por la falta de protección de los derechos de los pueblos indígenas en el contexto del cambio</w:t>
      </w:r>
      <w:r>
        <w:rPr>
          <w:rFonts w:ascii="Arial MT" w:hAnsi="Arial MT"/>
          <w:spacing w:val="-1"/>
          <w:sz w:val="18"/>
        </w:rPr>
        <w:t xml:space="preserve"> </w:t>
      </w:r>
      <w:r>
        <w:rPr>
          <w:rFonts w:ascii="Arial MT" w:hAnsi="Arial MT"/>
          <w:sz w:val="18"/>
        </w:rPr>
        <w:t>climático. Sentencia T-085/24: ECI por</w:t>
      </w:r>
      <w:r>
        <w:rPr>
          <w:rFonts w:ascii="Arial MT" w:hAnsi="Arial MT"/>
          <w:spacing w:val="-1"/>
          <w:sz w:val="18"/>
        </w:rPr>
        <w:t xml:space="preserve"> </w:t>
      </w:r>
      <w:r>
        <w:rPr>
          <w:rFonts w:ascii="Arial MT" w:hAnsi="Arial MT"/>
          <w:sz w:val="18"/>
        </w:rPr>
        <w:t>la falta de acceso a la</w:t>
      </w:r>
      <w:r>
        <w:rPr>
          <w:rFonts w:ascii="Arial MT" w:hAnsi="Arial MT"/>
          <w:spacing w:val="-1"/>
          <w:sz w:val="18"/>
        </w:rPr>
        <w:t xml:space="preserve"> </w:t>
      </w:r>
      <w:r>
        <w:rPr>
          <w:rFonts w:ascii="Arial MT" w:hAnsi="Arial MT"/>
          <w:sz w:val="18"/>
        </w:rPr>
        <w:t>vivienda</w:t>
      </w:r>
      <w:r>
        <w:rPr>
          <w:rFonts w:ascii="Arial MT" w:hAnsi="Arial MT"/>
          <w:spacing w:val="-1"/>
          <w:sz w:val="18"/>
        </w:rPr>
        <w:t xml:space="preserve"> </w:t>
      </w:r>
      <w:r>
        <w:rPr>
          <w:rFonts w:ascii="Arial MT" w:hAnsi="Arial MT"/>
          <w:sz w:val="18"/>
        </w:rPr>
        <w:t>digna de</w:t>
      </w:r>
      <w:r>
        <w:rPr>
          <w:rFonts w:ascii="Arial MT" w:hAnsi="Arial MT"/>
          <w:spacing w:val="-1"/>
          <w:sz w:val="18"/>
        </w:rPr>
        <w:t xml:space="preserve"> </w:t>
      </w:r>
      <w:r>
        <w:rPr>
          <w:rFonts w:ascii="Arial MT" w:hAnsi="Arial MT"/>
          <w:sz w:val="18"/>
        </w:rPr>
        <w:t>la</w:t>
      </w:r>
      <w:r>
        <w:rPr>
          <w:rFonts w:ascii="Arial MT" w:hAnsi="Arial MT"/>
          <w:spacing w:val="-1"/>
          <w:sz w:val="18"/>
        </w:rPr>
        <w:t xml:space="preserve"> </w:t>
      </w:r>
      <w:r>
        <w:rPr>
          <w:rFonts w:ascii="Arial MT" w:hAnsi="Arial MT"/>
          <w:sz w:val="18"/>
        </w:rPr>
        <w:t>población en</w:t>
      </w:r>
      <w:r>
        <w:rPr>
          <w:rFonts w:ascii="Arial MT" w:hAnsi="Arial MT"/>
          <w:spacing w:val="-1"/>
          <w:sz w:val="18"/>
        </w:rPr>
        <w:t xml:space="preserve"> </w:t>
      </w:r>
      <w:r>
        <w:rPr>
          <w:rFonts w:ascii="Arial MT" w:hAnsi="Arial MT"/>
          <w:sz w:val="18"/>
        </w:rPr>
        <w:t>situación de pobreza.</w:t>
      </w:r>
    </w:p>
    <w:p w14:paraId="5DACCBB6" w14:textId="77777777" w:rsidR="000E52B0" w:rsidRDefault="000E52B0">
      <w:pPr>
        <w:jc w:val="both"/>
        <w:rPr>
          <w:rFonts w:ascii="Arial MT" w:hAnsi="Arial MT"/>
          <w:sz w:val="18"/>
        </w:rPr>
        <w:sectPr w:rsidR="000E52B0">
          <w:pgSz w:w="11910" w:h="16840"/>
          <w:pgMar w:top="1340" w:right="720" w:bottom="1180" w:left="720" w:header="0" w:footer="995" w:gutter="0"/>
          <w:cols w:space="720"/>
        </w:sectPr>
      </w:pPr>
    </w:p>
    <w:p w14:paraId="490FDAC3" w14:textId="77777777" w:rsidR="000E52B0" w:rsidRDefault="00F60D74">
      <w:pPr>
        <w:pStyle w:val="Textoindependiente"/>
        <w:spacing w:before="83"/>
        <w:ind w:right="716"/>
        <w:jc w:val="both"/>
      </w:pPr>
      <w:r>
        <w:lastRenderedPageBreak/>
        <w:t>está motivada por la ausencia de condiciones que tramiten las situaciones de</w:t>
      </w:r>
      <w:r>
        <w:rPr>
          <w:spacing w:val="-16"/>
        </w:rPr>
        <w:t xml:space="preserve"> </w:t>
      </w:r>
      <w:r>
        <w:t>injusticia</w:t>
      </w:r>
      <w:r>
        <w:rPr>
          <w:spacing w:val="-15"/>
        </w:rPr>
        <w:t xml:space="preserve"> </w:t>
      </w:r>
      <w:r>
        <w:t>y</w:t>
      </w:r>
      <w:r>
        <w:rPr>
          <w:spacing w:val="-17"/>
        </w:rPr>
        <w:t xml:space="preserve"> </w:t>
      </w:r>
      <w:r>
        <w:t>desventaja</w:t>
      </w:r>
      <w:r>
        <w:rPr>
          <w:spacing w:val="-14"/>
        </w:rPr>
        <w:t xml:space="preserve"> </w:t>
      </w:r>
      <w:r>
        <w:t>que</w:t>
      </w:r>
      <w:r>
        <w:rPr>
          <w:spacing w:val="-16"/>
        </w:rPr>
        <w:t xml:space="preserve"> </w:t>
      </w:r>
      <w:r>
        <w:t>hacen</w:t>
      </w:r>
      <w:r>
        <w:rPr>
          <w:spacing w:val="-15"/>
        </w:rPr>
        <w:t xml:space="preserve"> </w:t>
      </w:r>
      <w:r>
        <w:t>parte</w:t>
      </w:r>
      <w:r>
        <w:rPr>
          <w:spacing w:val="-15"/>
        </w:rPr>
        <w:t xml:space="preserve"> </w:t>
      </w:r>
      <w:r>
        <w:t>estructural</w:t>
      </w:r>
      <w:r>
        <w:rPr>
          <w:spacing w:val="-15"/>
        </w:rPr>
        <w:t xml:space="preserve"> </w:t>
      </w:r>
      <w:r>
        <w:t>de</w:t>
      </w:r>
      <w:r>
        <w:rPr>
          <w:spacing w:val="-16"/>
        </w:rPr>
        <w:t xml:space="preserve"> </w:t>
      </w:r>
      <w:r>
        <w:t>la</w:t>
      </w:r>
      <w:r>
        <w:rPr>
          <w:spacing w:val="-13"/>
        </w:rPr>
        <w:t xml:space="preserve"> </w:t>
      </w:r>
      <w:r>
        <w:t>vida</w:t>
      </w:r>
      <w:r>
        <w:rPr>
          <w:spacing w:val="-17"/>
        </w:rPr>
        <w:t xml:space="preserve"> </w:t>
      </w:r>
      <w:r>
        <w:t>en</w:t>
      </w:r>
      <w:r>
        <w:rPr>
          <w:spacing w:val="-12"/>
        </w:rPr>
        <w:t xml:space="preserve"> </w:t>
      </w:r>
      <w:r>
        <w:t xml:space="preserve">algunas poblaciones especificas: infancias, mujeres, personas mayores, sujetos étnicos, excombatientes, población carcelaria, migrantes, población con discapacidad o con orientación sexual y de genero no hegemónicas, o en </w:t>
      </w:r>
      <w:proofErr w:type="spellStart"/>
      <w:r>
        <w:t>habitancia</w:t>
      </w:r>
      <w:proofErr w:type="spellEnd"/>
      <w:r>
        <w:rPr>
          <w:spacing w:val="-7"/>
        </w:rPr>
        <w:t xml:space="preserve"> </w:t>
      </w:r>
      <w:r>
        <w:t>de</w:t>
      </w:r>
      <w:r>
        <w:rPr>
          <w:spacing w:val="-8"/>
        </w:rPr>
        <w:t xml:space="preserve"> </w:t>
      </w:r>
      <w:r>
        <w:t>calle,</w:t>
      </w:r>
      <w:r>
        <w:rPr>
          <w:spacing w:val="-5"/>
        </w:rPr>
        <w:t xml:space="preserve"> </w:t>
      </w:r>
      <w:r>
        <w:t>para</w:t>
      </w:r>
      <w:r>
        <w:rPr>
          <w:spacing w:val="-8"/>
        </w:rPr>
        <w:t xml:space="preserve"> </w:t>
      </w:r>
      <w:r>
        <w:t>quienes</w:t>
      </w:r>
      <w:r>
        <w:rPr>
          <w:spacing w:val="-8"/>
        </w:rPr>
        <w:t xml:space="preserve"> </w:t>
      </w:r>
      <w:r>
        <w:t>solo</w:t>
      </w:r>
      <w:r>
        <w:rPr>
          <w:spacing w:val="-8"/>
        </w:rPr>
        <w:t xml:space="preserve"> </w:t>
      </w:r>
      <w:r>
        <w:t>hasta</w:t>
      </w:r>
      <w:r>
        <w:rPr>
          <w:spacing w:val="-9"/>
        </w:rPr>
        <w:t xml:space="preserve"> </w:t>
      </w:r>
      <w:r>
        <w:t>la</w:t>
      </w:r>
      <w:r>
        <w:rPr>
          <w:spacing w:val="-7"/>
        </w:rPr>
        <w:t xml:space="preserve"> </w:t>
      </w:r>
      <w:r>
        <w:t>última</w:t>
      </w:r>
      <w:r>
        <w:rPr>
          <w:spacing w:val="-9"/>
        </w:rPr>
        <w:t xml:space="preserve"> </w:t>
      </w:r>
      <w:r>
        <w:t>dos</w:t>
      </w:r>
      <w:r>
        <w:rPr>
          <w:spacing w:val="-7"/>
        </w:rPr>
        <w:t xml:space="preserve"> </w:t>
      </w:r>
      <w:r>
        <w:t>décadas</w:t>
      </w:r>
      <w:r>
        <w:rPr>
          <w:spacing w:val="-9"/>
        </w:rPr>
        <w:t xml:space="preserve"> </w:t>
      </w:r>
      <w:r>
        <w:t>se</w:t>
      </w:r>
      <w:r>
        <w:rPr>
          <w:spacing w:val="-8"/>
        </w:rPr>
        <w:t xml:space="preserve"> </w:t>
      </w:r>
      <w:r>
        <w:t>están pensando respuestas diferenciadas, en esa respuesta estatal pertinente, que garantice que toda la ciudadanía colombiana, comparte puntos de partida y el mismo mínimo de condiciones suficientes para la realización plena y completa de sus vidas, indistintamente de la edad, del fenotipo o pensamiento, de las condiciones de su cuerpo, o su lugar de permanencia o nacimiento.</w:t>
      </w:r>
    </w:p>
    <w:p w14:paraId="00484163" w14:textId="2FD322BB" w:rsidR="000E52B0" w:rsidRDefault="00F60D74">
      <w:pPr>
        <w:pStyle w:val="Textoindependiente"/>
        <w:spacing w:before="160"/>
        <w:ind w:right="716"/>
        <w:jc w:val="both"/>
      </w:pPr>
      <w:r>
        <w:t>Del mismo modo, la biodiversidad por la que Colombia es reconocido internacionalmente es patrimonio común que ha sido sustentado principalmente</w:t>
      </w:r>
      <w:r>
        <w:rPr>
          <w:spacing w:val="-1"/>
        </w:rPr>
        <w:t xml:space="preserve"> </w:t>
      </w:r>
      <w:r>
        <w:t>por</w:t>
      </w:r>
      <w:r>
        <w:rPr>
          <w:spacing w:val="-2"/>
        </w:rPr>
        <w:t xml:space="preserve"> </w:t>
      </w:r>
      <w:r>
        <w:t>las</w:t>
      </w:r>
      <w:r>
        <w:rPr>
          <w:spacing w:val="-3"/>
        </w:rPr>
        <w:t xml:space="preserve"> </w:t>
      </w:r>
      <w:r>
        <w:t>culturas</w:t>
      </w:r>
      <w:r>
        <w:rPr>
          <w:spacing w:val="-2"/>
        </w:rPr>
        <w:t xml:space="preserve"> </w:t>
      </w:r>
      <w:r>
        <w:t>que incluyen</w:t>
      </w:r>
      <w:r>
        <w:rPr>
          <w:spacing w:val="-3"/>
        </w:rPr>
        <w:t xml:space="preserve"> </w:t>
      </w:r>
      <w:r>
        <w:t>entre</w:t>
      </w:r>
      <w:r>
        <w:rPr>
          <w:spacing w:val="-1"/>
        </w:rPr>
        <w:t xml:space="preserve"> </w:t>
      </w:r>
      <w:r>
        <w:t>sus</w:t>
      </w:r>
      <w:r>
        <w:rPr>
          <w:spacing w:val="-3"/>
        </w:rPr>
        <w:t xml:space="preserve"> </w:t>
      </w:r>
      <w:r>
        <w:t>prácticas</w:t>
      </w:r>
      <w:r>
        <w:rPr>
          <w:spacing w:val="-3"/>
        </w:rPr>
        <w:t xml:space="preserve"> </w:t>
      </w:r>
      <w:r>
        <w:t xml:space="preserve">cotidianas de vida, un relacionamiento armónico </w:t>
      </w:r>
      <w:r w:rsidR="00A964A8">
        <w:t>Inter especie</w:t>
      </w:r>
      <w:r>
        <w:t>. Los actuales modelos de</w:t>
      </w:r>
      <w:r>
        <w:rPr>
          <w:spacing w:val="-16"/>
        </w:rPr>
        <w:t xml:space="preserve"> </w:t>
      </w:r>
      <w:r>
        <w:t>ciudad</w:t>
      </w:r>
      <w:r>
        <w:rPr>
          <w:spacing w:val="-18"/>
        </w:rPr>
        <w:t xml:space="preserve"> </w:t>
      </w:r>
      <w:r>
        <w:t>que</w:t>
      </w:r>
      <w:r>
        <w:rPr>
          <w:spacing w:val="-16"/>
        </w:rPr>
        <w:t xml:space="preserve"> </w:t>
      </w:r>
      <w:r>
        <w:t>se</w:t>
      </w:r>
      <w:r>
        <w:rPr>
          <w:spacing w:val="-16"/>
        </w:rPr>
        <w:t xml:space="preserve"> </w:t>
      </w:r>
      <w:r>
        <w:t>han</w:t>
      </w:r>
      <w:r>
        <w:rPr>
          <w:spacing w:val="-18"/>
        </w:rPr>
        <w:t xml:space="preserve"> </w:t>
      </w:r>
      <w:r>
        <w:t>estado</w:t>
      </w:r>
      <w:r>
        <w:rPr>
          <w:spacing w:val="-16"/>
        </w:rPr>
        <w:t xml:space="preserve"> </w:t>
      </w:r>
      <w:r>
        <w:t>financiando</w:t>
      </w:r>
      <w:r>
        <w:rPr>
          <w:spacing w:val="-13"/>
        </w:rPr>
        <w:t xml:space="preserve"> </w:t>
      </w:r>
      <w:r>
        <w:t>con</w:t>
      </w:r>
      <w:r>
        <w:rPr>
          <w:spacing w:val="-17"/>
        </w:rPr>
        <w:t xml:space="preserve"> </w:t>
      </w:r>
      <w:r>
        <w:t>gasto</w:t>
      </w:r>
      <w:r>
        <w:rPr>
          <w:spacing w:val="-16"/>
        </w:rPr>
        <w:t xml:space="preserve"> </w:t>
      </w:r>
      <w:r>
        <w:t>público</w:t>
      </w:r>
      <w:r>
        <w:rPr>
          <w:spacing w:val="-15"/>
        </w:rPr>
        <w:t xml:space="preserve"> </w:t>
      </w:r>
      <w:r>
        <w:t>desde</w:t>
      </w:r>
      <w:r>
        <w:rPr>
          <w:spacing w:val="-16"/>
        </w:rPr>
        <w:t xml:space="preserve"> </w:t>
      </w:r>
      <w:r>
        <w:t>inicios</w:t>
      </w:r>
      <w:r>
        <w:rPr>
          <w:spacing w:val="-17"/>
        </w:rPr>
        <w:t xml:space="preserve"> </w:t>
      </w:r>
      <w:r>
        <w:t>del siglo</w:t>
      </w:r>
      <w:r>
        <w:rPr>
          <w:spacing w:val="-12"/>
        </w:rPr>
        <w:t xml:space="preserve"> </w:t>
      </w:r>
      <w:r>
        <w:t>XIX;</w:t>
      </w:r>
      <w:r>
        <w:rPr>
          <w:spacing w:val="-13"/>
        </w:rPr>
        <w:t xml:space="preserve"> </w:t>
      </w:r>
      <w:r>
        <w:t>han</w:t>
      </w:r>
      <w:r>
        <w:rPr>
          <w:spacing w:val="-13"/>
        </w:rPr>
        <w:t xml:space="preserve"> </w:t>
      </w:r>
      <w:r>
        <w:t>respondido</w:t>
      </w:r>
      <w:r>
        <w:rPr>
          <w:spacing w:val="-8"/>
        </w:rPr>
        <w:t xml:space="preserve"> </w:t>
      </w:r>
      <w:r>
        <w:t>parcialmente</w:t>
      </w:r>
      <w:r>
        <w:rPr>
          <w:spacing w:val="-9"/>
        </w:rPr>
        <w:t xml:space="preserve"> </w:t>
      </w:r>
      <w:r>
        <w:t>a</w:t>
      </w:r>
      <w:r>
        <w:rPr>
          <w:spacing w:val="-9"/>
        </w:rPr>
        <w:t xml:space="preserve"> </w:t>
      </w:r>
      <w:r>
        <w:t>la</w:t>
      </w:r>
      <w:r>
        <w:rPr>
          <w:spacing w:val="-13"/>
        </w:rPr>
        <w:t xml:space="preserve"> </w:t>
      </w:r>
      <w:r>
        <w:t>protección</w:t>
      </w:r>
      <w:r>
        <w:rPr>
          <w:spacing w:val="-10"/>
        </w:rPr>
        <w:t xml:space="preserve"> </w:t>
      </w:r>
      <w:r>
        <w:t>del</w:t>
      </w:r>
      <w:r>
        <w:rPr>
          <w:spacing w:val="-13"/>
        </w:rPr>
        <w:t xml:space="preserve"> </w:t>
      </w:r>
      <w:r>
        <w:t>ambiente,</w:t>
      </w:r>
      <w:r>
        <w:rPr>
          <w:spacing w:val="-11"/>
        </w:rPr>
        <w:t xml:space="preserve"> </w:t>
      </w:r>
      <w:r>
        <w:t>como un derecho colectivo, delimitando y organizando áreas del espacio geográfico</w:t>
      </w:r>
      <w:r>
        <w:rPr>
          <w:spacing w:val="-3"/>
        </w:rPr>
        <w:t xml:space="preserve"> </w:t>
      </w:r>
      <w:r>
        <w:t>nacional,</w:t>
      </w:r>
      <w:r>
        <w:rPr>
          <w:spacing w:val="-1"/>
        </w:rPr>
        <w:t xml:space="preserve"> </w:t>
      </w:r>
      <w:r>
        <w:t>como</w:t>
      </w:r>
      <w:r>
        <w:rPr>
          <w:spacing w:val="-2"/>
        </w:rPr>
        <w:t xml:space="preserve"> </w:t>
      </w:r>
      <w:r>
        <w:t>zonas</w:t>
      </w:r>
      <w:r>
        <w:rPr>
          <w:spacing w:val="-3"/>
        </w:rPr>
        <w:t xml:space="preserve"> </w:t>
      </w:r>
      <w:r>
        <w:t>de</w:t>
      </w:r>
      <w:r>
        <w:rPr>
          <w:spacing w:val="-2"/>
        </w:rPr>
        <w:t xml:space="preserve"> </w:t>
      </w:r>
      <w:r>
        <w:t>conservación,</w:t>
      </w:r>
      <w:r>
        <w:rPr>
          <w:spacing w:val="-4"/>
        </w:rPr>
        <w:t xml:space="preserve"> </w:t>
      </w:r>
      <w:r>
        <w:t>cuya</w:t>
      </w:r>
      <w:r>
        <w:rPr>
          <w:spacing w:val="-3"/>
        </w:rPr>
        <w:t xml:space="preserve"> </w:t>
      </w:r>
      <w:r>
        <w:t>condición</w:t>
      </w:r>
      <w:r>
        <w:rPr>
          <w:spacing w:val="-1"/>
        </w:rPr>
        <w:t xml:space="preserve"> </w:t>
      </w:r>
      <w:r>
        <w:t>principal para su conservación es la restricción de la interacción humana con ecosistemas específicos.</w:t>
      </w:r>
    </w:p>
    <w:p w14:paraId="6F011E92" w14:textId="77777777" w:rsidR="000E52B0" w:rsidRDefault="00F60D74">
      <w:pPr>
        <w:pStyle w:val="Textoindependiente"/>
        <w:spacing w:before="160"/>
        <w:ind w:right="712"/>
        <w:jc w:val="both"/>
        <w:rPr>
          <w:i/>
        </w:rPr>
      </w:pPr>
      <w:r>
        <w:t>El carácter pluriétnico y multicultural del Estado Colombiano, ha identificado que los territorios habitados por culturas que han establecido ritmos</w:t>
      </w:r>
      <w:r>
        <w:rPr>
          <w:spacing w:val="-8"/>
        </w:rPr>
        <w:t xml:space="preserve"> </w:t>
      </w:r>
      <w:r>
        <w:t>acompasados</w:t>
      </w:r>
      <w:r>
        <w:rPr>
          <w:spacing w:val="-8"/>
        </w:rPr>
        <w:t xml:space="preserve"> </w:t>
      </w:r>
      <w:r>
        <w:t>a</w:t>
      </w:r>
      <w:r>
        <w:rPr>
          <w:spacing w:val="-8"/>
        </w:rPr>
        <w:t xml:space="preserve"> </w:t>
      </w:r>
      <w:r>
        <w:t>los</w:t>
      </w:r>
      <w:r>
        <w:rPr>
          <w:spacing w:val="-6"/>
        </w:rPr>
        <w:t xml:space="preserve"> </w:t>
      </w:r>
      <w:r>
        <w:t>tiempos</w:t>
      </w:r>
      <w:r>
        <w:rPr>
          <w:spacing w:val="-8"/>
        </w:rPr>
        <w:t xml:space="preserve"> </w:t>
      </w:r>
      <w:r>
        <w:t>de</w:t>
      </w:r>
      <w:r>
        <w:rPr>
          <w:spacing w:val="-7"/>
        </w:rPr>
        <w:t xml:space="preserve"> </w:t>
      </w:r>
      <w:r>
        <w:t>las</w:t>
      </w:r>
      <w:r>
        <w:rPr>
          <w:spacing w:val="-8"/>
        </w:rPr>
        <w:t xml:space="preserve"> </w:t>
      </w:r>
      <w:r>
        <w:t>especies</w:t>
      </w:r>
      <w:r>
        <w:rPr>
          <w:spacing w:val="-6"/>
        </w:rPr>
        <w:t xml:space="preserve"> </w:t>
      </w:r>
      <w:r>
        <w:t>del</w:t>
      </w:r>
      <w:r>
        <w:rPr>
          <w:spacing w:val="-6"/>
        </w:rPr>
        <w:t xml:space="preserve"> </w:t>
      </w:r>
      <w:r>
        <w:t>medio</w:t>
      </w:r>
      <w:r>
        <w:rPr>
          <w:spacing w:val="-7"/>
        </w:rPr>
        <w:t xml:space="preserve"> </w:t>
      </w:r>
      <w:r>
        <w:t>ecosistémico; cumplen una función ecológica para la nación y para las generaciones futuras; con ese punto de partida, el Estado Colombiano reconoce a partir de la Constitución del 91, derechos territoriales que hacen parte de la integridad cultural de las gentes que los pueblan. Esos mismos derechos, están protegidos a nivel nacional e internacional por la Constitución y los convenios</w:t>
      </w:r>
      <w:r>
        <w:rPr>
          <w:spacing w:val="-11"/>
        </w:rPr>
        <w:t xml:space="preserve"> </w:t>
      </w:r>
      <w:r>
        <w:t>ratificados</w:t>
      </w:r>
      <w:r>
        <w:rPr>
          <w:spacing w:val="-11"/>
        </w:rPr>
        <w:t xml:space="preserve"> </w:t>
      </w:r>
      <w:r>
        <w:t>que</w:t>
      </w:r>
      <w:r>
        <w:rPr>
          <w:spacing w:val="-8"/>
        </w:rPr>
        <w:t xml:space="preserve"> </w:t>
      </w:r>
      <w:r>
        <w:t>hacen</w:t>
      </w:r>
      <w:r>
        <w:rPr>
          <w:spacing w:val="-11"/>
        </w:rPr>
        <w:t xml:space="preserve"> </w:t>
      </w:r>
      <w:r>
        <w:t>parte</w:t>
      </w:r>
      <w:r>
        <w:rPr>
          <w:spacing w:val="-10"/>
        </w:rPr>
        <w:t xml:space="preserve"> </w:t>
      </w:r>
      <w:r>
        <w:t>del</w:t>
      </w:r>
      <w:r>
        <w:rPr>
          <w:spacing w:val="-12"/>
        </w:rPr>
        <w:t xml:space="preserve"> </w:t>
      </w:r>
      <w:r>
        <w:t>bloque</w:t>
      </w:r>
      <w:r>
        <w:rPr>
          <w:spacing w:val="-10"/>
        </w:rPr>
        <w:t xml:space="preserve"> </w:t>
      </w:r>
      <w:r>
        <w:t>de</w:t>
      </w:r>
      <w:r>
        <w:rPr>
          <w:spacing w:val="-10"/>
        </w:rPr>
        <w:t xml:space="preserve"> </w:t>
      </w:r>
      <w:r>
        <w:t>constitucionalidad.</w:t>
      </w:r>
      <w:r>
        <w:rPr>
          <w:spacing w:val="-10"/>
        </w:rPr>
        <w:t xml:space="preserve"> </w:t>
      </w:r>
      <w:r>
        <w:t>Sin embargo, actuaciones administrativas del Estado han permitido su explotación,</w:t>
      </w:r>
      <w:r>
        <w:rPr>
          <w:spacing w:val="40"/>
        </w:rPr>
        <w:t xml:space="preserve"> </w:t>
      </w:r>
      <w:r>
        <w:t>deforestación, cambio de la vocación de uso, contaminación hasta el punto de que ha sido necesario, declarar sujetos de especial protección, como ocurre por ejemplo con el rio Atrato</w:t>
      </w:r>
      <w:hyperlink w:anchor="_bookmark163" w:history="1">
        <w:r w:rsidR="000E52B0">
          <w:rPr>
            <w:position w:val="8"/>
            <w:sz w:val="16"/>
          </w:rPr>
          <w:t>133</w:t>
        </w:r>
      </w:hyperlink>
      <w:r>
        <w:t>, Bogotá</w:t>
      </w:r>
      <w:hyperlink w:anchor="_bookmark164" w:history="1">
        <w:r w:rsidR="000E52B0">
          <w:rPr>
            <w:position w:val="8"/>
            <w:sz w:val="16"/>
          </w:rPr>
          <w:t>134</w:t>
        </w:r>
      </w:hyperlink>
      <w:r>
        <w:t>, Magdalena</w:t>
      </w:r>
      <w:r>
        <w:rPr>
          <w:spacing w:val="-2"/>
        </w:rPr>
        <w:t xml:space="preserve"> </w:t>
      </w:r>
      <w:r>
        <w:t>y</w:t>
      </w:r>
      <w:r>
        <w:rPr>
          <w:spacing w:val="-6"/>
        </w:rPr>
        <w:t xml:space="preserve"> </w:t>
      </w:r>
      <w:r>
        <w:t>Patía</w:t>
      </w:r>
      <w:hyperlink w:anchor="_bookmark165" w:history="1">
        <w:r w:rsidR="000E52B0">
          <w:rPr>
            <w:position w:val="8"/>
            <w:sz w:val="16"/>
          </w:rPr>
          <w:t>135</w:t>
        </w:r>
      </w:hyperlink>
      <w:r>
        <w:t>,</w:t>
      </w:r>
      <w:r>
        <w:rPr>
          <w:spacing w:val="-6"/>
        </w:rPr>
        <w:t xml:space="preserve"> </w:t>
      </w:r>
      <w:r>
        <w:t>Cauca</w:t>
      </w:r>
      <w:hyperlink w:anchor="_bookmark166" w:history="1">
        <w:r w:rsidR="000E52B0">
          <w:rPr>
            <w:position w:val="8"/>
            <w:sz w:val="16"/>
          </w:rPr>
          <w:t>136</w:t>
        </w:r>
      </w:hyperlink>
      <w:r>
        <w:t>,</w:t>
      </w:r>
      <w:r>
        <w:rPr>
          <w:spacing w:val="-6"/>
        </w:rPr>
        <w:t xml:space="preserve"> </w:t>
      </w:r>
      <w:r>
        <w:t>los</w:t>
      </w:r>
      <w:r>
        <w:rPr>
          <w:spacing w:val="-5"/>
        </w:rPr>
        <w:t xml:space="preserve"> </w:t>
      </w:r>
      <w:r>
        <w:t>ecosistemas</w:t>
      </w:r>
      <w:r>
        <w:rPr>
          <w:spacing w:val="-6"/>
        </w:rPr>
        <w:t xml:space="preserve"> </w:t>
      </w:r>
      <w:r>
        <w:t>de</w:t>
      </w:r>
      <w:r>
        <w:rPr>
          <w:spacing w:val="-4"/>
        </w:rPr>
        <w:t xml:space="preserve"> </w:t>
      </w:r>
      <w:r>
        <w:t>paramos</w:t>
      </w:r>
      <w:hyperlink w:anchor="_bookmark167" w:history="1">
        <w:r w:rsidR="000E52B0">
          <w:rPr>
            <w:position w:val="8"/>
            <w:sz w:val="16"/>
          </w:rPr>
          <w:t>137</w:t>
        </w:r>
      </w:hyperlink>
      <w:r>
        <w:t>,</w:t>
      </w:r>
      <w:r>
        <w:rPr>
          <w:spacing w:val="-6"/>
        </w:rPr>
        <w:t xml:space="preserve"> </w:t>
      </w:r>
      <w:r>
        <w:t>como</w:t>
      </w:r>
      <w:r>
        <w:rPr>
          <w:spacing w:val="-7"/>
        </w:rPr>
        <w:t xml:space="preserve"> </w:t>
      </w:r>
      <w:r>
        <w:t>es</w:t>
      </w:r>
      <w:r>
        <w:rPr>
          <w:spacing w:val="-10"/>
        </w:rPr>
        <w:t xml:space="preserve"> </w:t>
      </w:r>
      <w:r>
        <w:t>el caso del de Pisba</w:t>
      </w:r>
      <w:hyperlink w:anchor="_bookmark168" w:history="1">
        <w:r w:rsidR="000E52B0">
          <w:rPr>
            <w:position w:val="8"/>
            <w:sz w:val="16"/>
          </w:rPr>
          <w:t>138</w:t>
        </w:r>
      </w:hyperlink>
      <w:r>
        <w:rPr>
          <w:spacing w:val="40"/>
          <w:position w:val="8"/>
          <w:sz w:val="16"/>
        </w:rPr>
        <w:t xml:space="preserve"> </w:t>
      </w:r>
      <w:r>
        <w:t>así como áreas geográficas completas como la Amazonia.</w:t>
      </w:r>
      <w:hyperlink w:anchor="_bookmark169" w:history="1">
        <w:r w:rsidR="000E52B0">
          <w:rPr>
            <w:position w:val="8"/>
            <w:sz w:val="16"/>
          </w:rPr>
          <w:t>139</w:t>
        </w:r>
      </w:hyperlink>
      <w:r>
        <w:rPr>
          <w:spacing w:val="30"/>
          <w:position w:val="8"/>
          <w:sz w:val="16"/>
        </w:rPr>
        <w:t xml:space="preserve"> </w:t>
      </w:r>
      <w:r>
        <w:t xml:space="preserve">producto de: </w:t>
      </w:r>
      <w:r>
        <w:rPr>
          <w:i/>
        </w:rPr>
        <w:t>”la inefectividad (.,.) hasta ahora a resolver:</w:t>
      </w:r>
      <w:r>
        <w:rPr>
          <w:i/>
          <w:spacing w:val="-2"/>
        </w:rPr>
        <w:t xml:space="preserve"> </w:t>
      </w:r>
      <w:r>
        <w:rPr>
          <w:i/>
        </w:rPr>
        <w:t>al tratarse de un problema estructural, que requiere la adopción de medidas complejas y de una articulación interinstitucional que supera los alcances</w:t>
      </w:r>
    </w:p>
    <w:p w14:paraId="18FEBC4E" w14:textId="77777777" w:rsidR="000E52B0" w:rsidRDefault="00F60D74">
      <w:pPr>
        <w:pStyle w:val="Textoindependiente"/>
        <w:spacing w:before="8"/>
        <w:ind w:left="0"/>
        <w:rPr>
          <w:i/>
          <w:sz w:val="14"/>
        </w:rPr>
      </w:pPr>
      <w:r>
        <w:rPr>
          <w:i/>
          <w:noProof/>
          <w:sz w:val="14"/>
        </w:rPr>
        <mc:AlternateContent>
          <mc:Choice Requires="wps">
            <w:drawing>
              <wp:anchor distT="0" distB="0" distL="0" distR="0" simplePos="0" relativeHeight="487672320" behindDoc="1" locked="0" layoutInCell="1" allowOverlap="1" wp14:anchorId="29AA6562" wp14:editId="09002B89">
                <wp:simplePos x="0" y="0"/>
                <wp:positionH relativeFrom="page">
                  <wp:posOffset>914704</wp:posOffset>
                </wp:positionH>
                <wp:positionV relativeFrom="paragraph">
                  <wp:posOffset>128912</wp:posOffset>
                </wp:positionV>
                <wp:extent cx="1829435" cy="7620"/>
                <wp:effectExtent l="0" t="0" r="0" b="0"/>
                <wp:wrapTopAndBottom/>
                <wp:docPr id="750" name="Graphi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8A4038" id="Graphic 750" o:spid="_x0000_s1026" style="position:absolute;margin-left:1in;margin-top:10.15pt;width:144.05pt;height:.6pt;z-index:-1564416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" path="m1829054,l,,,7620r1829054,l1829054,xe" fillcolor="black" stroked="f">
                <v:path arrowok="t"/>
                <w10:wrap type="topAndBottom" anchorx="page"/>
              </v:shape>
            </w:pict>
          </mc:Fallback>
        </mc:AlternateContent>
      </w:r>
    </w:p>
    <w:p w14:paraId="7F8AC889" w14:textId="77777777" w:rsidR="000E52B0" w:rsidRDefault="00F60D74">
      <w:pPr>
        <w:spacing w:before="96" w:line="209" w:lineRule="exact"/>
        <w:ind w:left="720"/>
        <w:rPr>
          <w:rFonts w:ascii="Arial MT"/>
          <w:sz w:val="18"/>
        </w:rPr>
      </w:pPr>
      <w:bookmarkStart w:id="163" w:name="_bookmark163"/>
      <w:bookmarkEnd w:id="163"/>
      <w:r>
        <w:rPr>
          <w:rFonts w:ascii="Arial MT"/>
          <w:position w:val="6"/>
          <w:sz w:val="12"/>
        </w:rPr>
        <w:t>133</w:t>
      </w:r>
      <w:r>
        <w:rPr>
          <w:rFonts w:ascii="Arial MT"/>
          <w:spacing w:val="12"/>
          <w:position w:val="6"/>
          <w:sz w:val="12"/>
        </w:rPr>
        <w:t xml:space="preserve"> </w:t>
      </w:r>
      <w:proofErr w:type="gramStart"/>
      <w:r>
        <w:rPr>
          <w:rFonts w:ascii="Arial MT"/>
          <w:sz w:val="18"/>
        </w:rPr>
        <w:t>Corte</w:t>
      </w:r>
      <w:proofErr w:type="gramEnd"/>
      <w:r>
        <w:rPr>
          <w:rFonts w:ascii="Arial MT"/>
          <w:spacing w:val="-4"/>
          <w:sz w:val="18"/>
        </w:rPr>
        <w:t xml:space="preserve"> </w:t>
      </w:r>
      <w:r>
        <w:rPr>
          <w:rFonts w:ascii="Arial MT"/>
          <w:sz w:val="18"/>
        </w:rPr>
        <w:t>Constitucional,</w:t>
      </w:r>
      <w:r>
        <w:rPr>
          <w:rFonts w:ascii="Arial MT"/>
          <w:spacing w:val="-3"/>
          <w:sz w:val="18"/>
        </w:rPr>
        <w:t xml:space="preserve"> </w:t>
      </w:r>
      <w:r>
        <w:rPr>
          <w:rFonts w:ascii="Arial MT"/>
          <w:color w:val="232323"/>
          <w:sz w:val="18"/>
        </w:rPr>
        <w:t>Sentencia</w:t>
      </w:r>
      <w:r>
        <w:rPr>
          <w:rFonts w:ascii="Arial MT"/>
          <w:color w:val="232323"/>
          <w:spacing w:val="-4"/>
          <w:sz w:val="18"/>
        </w:rPr>
        <w:t xml:space="preserve"> </w:t>
      </w:r>
      <w:r>
        <w:rPr>
          <w:rFonts w:ascii="Arial MT"/>
          <w:color w:val="232323"/>
          <w:sz w:val="18"/>
        </w:rPr>
        <w:t>T-622</w:t>
      </w:r>
      <w:r>
        <w:rPr>
          <w:rFonts w:ascii="Arial MT"/>
          <w:color w:val="232323"/>
          <w:spacing w:val="-5"/>
          <w:sz w:val="18"/>
        </w:rPr>
        <w:t xml:space="preserve"> </w:t>
      </w:r>
      <w:r>
        <w:rPr>
          <w:rFonts w:ascii="Arial MT"/>
          <w:color w:val="232323"/>
          <w:sz w:val="18"/>
        </w:rPr>
        <w:t>de</w:t>
      </w:r>
      <w:r>
        <w:rPr>
          <w:rFonts w:ascii="Arial MT"/>
          <w:color w:val="232323"/>
          <w:spacing w:val="-4"/>
          <w:sz w:val="18"/>
        </w:rPr>
        <w:t xml:space="preserve"> 2016.</w:t>
      </w:r>
    </w:p>
    <w:p w14:paraId="0A3C258F" w14:textId="77777777" w:rsidR="000E52B0" w:rsidRDefault="00F60D74">
      <w:pPr>
        <w:spacing w:line="206" w:lineRule="exact"/>
        <w:ind w:left="720"/>
        <w:rPr>
          <w:rFonts w:ascii="Arial MT"/>
          <w:sz w:val="18"/>
        </w:rPr>
      </w:pPr>
      <w:bookmarkStart w:id="164" w:name="_bookmark164"/>
      <w:bookmarkEnd w:id="164"/>
      <w:r>
        <w:rPr>
          <w:rFonts w:ascii="Arial MT"/>
          <w:position w:val="6"/>
          <w:sz w:val="12"/>
        </w:rPr>
        <w:t>134</w:t>
      </w:r>
      <w:r>
        <w:rPr>
          <w:rFonts w:ascii="Arial MT"/>
          <w:spacing w:val="13"/>
          <w:position w:val="6"/>
          <w:sz w:val="12"/>
        </w:rPr>
        <w:t xml:space="preserve"> </w:t>
      </w:r>
      <w:proofErr w:type="gramStart"/>
      <w:r>
        <w:rPr>
          <w:rFonts w:ascii="Arial MT"/>
          <w:color w:val="232323"/>
          <w:sz w:val="18"/>
        </w:rPr>
        <w:t>Sentencia</w:t>
      </w:r>
      <w:proofErr w:type="gramEnd"/>
      <w:r>
        <w:rPr>
          <w:rFonts w:ascii="Arial MT"/>
          <w:color w:val="232323"/>
          <w:spacing w:val="-3"/>
          <w:sz w:val="18"/>
        </w:rPr>
        <w:t xml:space="preserve"> </w:t>
      </w:r>
      <w:r>
        <w:rPr>
          <w:rFonts w:ascii="Arial MT"/>
          <w:color w:val="232323"/>
          <w:sz w:val="18"/>
        </w:rPr>
        <w:t>T-302</w:t>
      </w:r>
      <w:r>
        <w:rPr>
          <w:rFonts w:ascii="Arial MT"/>
          <w:color w:val="232323"/>
          <w:spacing w:val="-4"/>
          <w:sz w:val="18"/>
        </w:rPr>
        <w:t xml:space="preserve"> </w:t>
      </w:r>
      <w:r>
        <w:rPr>
          <w:rFonts w:ascii="Arial MT"/>
          <w:color w:val="232323"/>
          <w:sz w:val="18"/>
        </w:rPr>
        <w:t>de</w:t>
      </w:r>
      <w:r>
        <w:rPr>
          <w:rFonts w:ascii="Arial MT"/>
          <w:color w:val="232323"/>
          <w:spacing w:val="-3"/>
          <w:sz w:val="18"/>
        </w:rPr>
        <w:t xml:space="preserve"> </w:t>
      </w:r>
      <w:r>
        <w:rPr>
          <w:rFonts w:ascii="Arial MT"/>
          <w:color w:val="232323"/>
          <w:spacing w:val="-4"/>
          <w:sz w:val="18"/>
        </w:rPr>
        <w:t>2017</w:t>
      </w:r>
    </w:p>
    <w:p w14:paraId="4079A71B" w14:textId="77777777" w:rsidR="000E52B0" w:rsidRDefault="00F60D74">
      <w:pPr>
        <w:spacing w:line="208" w:lineRule="exact"/>
        <w:ind w:left="720"/>
        <w:rPr>
          <w:rFonts w:ascii="Arial MT"/>
          <w:sz w:val="18"/>
        </w:rPr>
      </w:pPr>
      <w:bookmarkStart w:id="165" w:name="_bookmark165"/>
      <w:bookmarkEnd w:id="165"/>
      <w:r>
        <w:rPr>
          <w:rFonts w:ascii="Arial MT"/>
          <w:position w:val="6"/>
          <w:sz w:val="12"/>
        </w:rPr>
        <w:t>135</w:t>
      </w:r>
      <w:r>
        <w:rPr>
          <w:rFonts w:ascii="Arial MT"/>
          <w:spacing w:val="13"/>
          <w:position w:val="6"/>
          <w:sz w:val="12"/>
        </w:rPr>
        <w:t xml:space="preserve"> </w:t>
      </w:r>
      <w:proofErr w:type="gramStart"/>
      <w:r>
        <w:rPr>
          <w:rFonts w:ascii="Arial MT"/>
          <w:color w:val="232323"/>
          <w:sz w:val="18"/>
        </w:rPr>
        <w:t>Sentencia</w:t>
      </w:r>
      <w:proofErr w:type="gramEnd"/>
      <w:r>
        <w:rPr>
          <w:rFonts w:ascii="Arial MT"/>
          <w:color w:val="232323"/>
          <w:spacing w:val="-3"/>
          <w:sz w:val="18"/>
        </w:rPr>
        <w:t xml:space="preserve"> </w:t>
      </w:r>
      <w:r>
        <w:rPr>
          <w:rFonts w:ascii="Arial MT"/>
          <w:color w:val="232323"/>
          <w:sz w:val="18"/>
        </w:rPr>
        <w:t>T-1062</w:t>
      </w:r>
      <w:r>
        <w:rPr>
          <w:rFonts w:ascii="Arial MT"/>
          <w:color w:val="232323"/>
          <w:spacing w:val="-5"/>
          <w:sz w:val="18"/>
        </w:rPr>
        <w:t xml:space="preserve"> </w:t>
      </w:r>
      <w:r>
        <w:rPr>
          <w:rFonts w:ascii="Arial MT"/>
          <w:color w:val="232323"/>
          <w:sz w:val="18"/>
        </w:rPr>
        <w:t>de</w:t>
      </w:r>
      <w:r>
        <w:rPr>
          <w:rFonts w:ascii="Arial MT"/>
          <w:color w:val="232323"/>
          <w:spacing w:val="-3"/>
          <w:sz w:val="18"/>
        </w:rPr>
        <w:t xml:space="preserve"> </w:t>
      </w:r>
      <w:r>
        <w:rPr>
          <w:rFonts w:ascii="Arial MT"/>
          <w:color w:val="232323"/>
          <w:spacing w:val="-4"/>
          <w:sz w:val="18"/>
        </w:rPr>
        <w:t>2021</w:t>
      </w:r>
    </w:p>
    <w:p w14:paraId="160C8D94" w14:textId="77777777" w:rsidR="000E52B0" w:rsidRDefault="00F60D74">
      <w:pPr>
        <w:spacing w:line="208" w:lineRule="exact"/>
        <w:ind w:left="720"/>
        <w:rPr>
          <w:rFonts w:ascii="Arial MT" w:hAnsi="Arial MT"/>
          <w:sz w:val="18"/>
        </w:rPr>
      </w:pPr>
      <w:bookmarkStart w:id="166" w:name="_bookmark166"/>
      <w:bookmarkEnd w:id="166"/>
      <w:r>
        <w:rPr>
          <w:rFonts w:ascii="Arial MT" w:hAnsi="Arial MT"/>
          <w:position w:val="6"/>
          <w:sz w:val="12"/>
        </w:rPr>
        <w:t>136</w:t>
      </w:r>
      <w:r>
        <w:rPr>
          <w:rFonts w:ascii="Arial MT" w:hAnsi="Arial MT"/>
          <w:spacing w:val="12"/>
          <w:position w:val="6"/>
          <w:sz w:val="12"/>
        </w:rPr>
        <w:t xml:space="preserve"> </w:t>
      </w:r>
      <w:proofErr w:type="gramStart"/>
      <w:r>
        <w:rPr>
          <w:rFonts w:ascii="Arial MT" w:hAnsi="Arial MT"/>
          <w:sz w:val="18"/>
        </w:rPr>
        <w:t>Tribunal</w:t>
      </w:r>
      <w:proofErr w:type="gramEnd"/>
      <w:r>
        <w:rPr>
          <w:rFonts w:ascii="Arial MT" w:hAnsi="Arial MT"/>
          <w:spacing w:val="-3"/>
          <w:sz w:val="18"/>
        </w:rPr>
        <w:t xml:space="preserve"> </w:t>
      </w:r>
      <w:r>
        <w:rPr>
          <w:rFonts w:ascii="Arial MT" w:hAnsi="Arial MT"/>
          <w:sz w:val="18"/>
        </w:rPr>
        <w:t>Superior</w:t>
      </w:r>
      <w:r>
        <w:rPr>
          <w:rFonts w:ascii="Arial MT" w:hAnsi="Arial MT"/>
          <w:spacing w:val="-4"/>
          <w:sz w:val="18"/>
        </w:rPr>
        <w:t xml:space="preserve"> </w:t>
      </w:r>
      <w:r>
        <w:rPr>
          <w:rFonts w:ascii="Arial MT" w:hAnsi="Arial MT"/>
          <w:sz w:val="18"/>
        </w:rPr>
        <w:t>de</w:t>
      </w:r>
      <w:r>
        <w:rPr>
          <w:rFonts w:ascii="Arial MT" w:hAnsi="Arial MT"/>
          <w:spacing w:val="-4"/>
          <w:sz w:val="18"/>
        </w:rPr>
        <w:t xml:space="preserve"> </w:t>
      </w:r>
      <w:r>
        <w:rPr>
          <w:rFonts w:ascii="Arial MT" w:hAnsi="Arial MT"/>
          <w:sz w:val="18"/>
        </w:rPr>
        <w:t>Medellín:</w:t>
      </w:r>
      <w:r>
        <w:rPr>
          <w:rFonts w:ascii="Arial MT" w:hAnsi="Arial MT"/>
          <w:spacing w:val="-2"/>
          <w:sz w:val="18"/>
        </w:rPr>
        <w:t xml:space="preserve"> </w:t>
      </w:r>
      <w:r>
        <w:rPr>
          <w:rFonts w:ascii="Arial MT" w:hAnsi="Arial MT"/>
          <w:color w:val="232323"/>
          <w:sz w:val="18"/>
        </w:rPr>
        <w:t>expediente</w:t>
      </w:r>
      <w:r>
        <w:rPr>
          <w:rFonts w:ascii="Arial MT" w:hAnsi="Arial MT"/>
          <w:color w:val="232323"/>
          <w:spacing w:val="-6"/>
          <w:sz w:val="18"/>
        </w:rPr>
        <w:t xml:space="preserve"> </w:t>
      </w:r>
      <w:r>
        <w:rPr>
          <w:rFonts w:ascii="Arial MT" w:hAnsi="Arial MT"/>
          <w:color w:val="232323"/>
          <w:sz w:val="18"/>
        </w:rPr>
        <w:t>05001</w:t>
      </w:r>
      <w:r>
        <w:rPr>
          <w:rFonts w:ascii="Arial MT" w:hAnsi="Arial MT"/>
          <w:color w:val="232323"/>
          <w:spacing w:val="-4"/>
          <w:sz w:val="18"/>
        </w:rPr>
        <w:t xml:space="preserve"> </w:t>
      </w:r>
      <w:r>
        <w:rPr>
          <w:rFonts w:ascii="Arial MT" w:hAnsi="Arial MT"/>
          <w:color w:val="232323"/>
          <w:sz w:val="18"/>
        </w:rPr>
        <w:t>31</w:t>
      </w:r>
      <w:r>
        <w:rPr>
          <w:rFonts w:ascii="Arial MT" w:hAnsi="Arial MT"/>
          <w:color w:val="232323"/>
          <w:spacing w:val="-4"/>
          <w:sz w:val="18"/>
        </w:rPr>
        <w:t xml:space="preserve"> </w:t>
      </w:r>
      <w:r>
        <w:rPr>
          <w:rFonts w:ascii="Arial MT" w:hAnsi="Arial MT"/>
          <w:color w:val="232323"/>
          <w:sz w:val="18"/>
        </w:rPr>
        <w:t>03</w:t>
      </w:r>
      <w:r>
        <w:rPr>
          <w:rFonts w:ascii="Arial MT" w:hAnsi="Arial MT"/>
          <w:color w:val="232323"/>
          <w:spacing w:val="-6"/>
          <w:sz w:val="18"/>
        </w:rPr>
        <w:t xml:space="preserve"> </w:t>
      </w:r>
      <w:r>
        <w:rPr>
          <w:rFonts w:ascii="Arial MT" w:hAnsi="Arial MT"/>
          <w:color w:val="232323"/>
          <w:sz w:val="18"/>
        </w:rPr>
        <w:t>004</w:t>
      </w:r>
      <w:r>
        <w:rPr>
          <w:rFonts w:ascii="Arial MT" w:hAnsi="Arial MT"/>
          <w:color w:val="232323"/>
          <w:spacing w:val="-8"/>
          <w:sz w:val="18"/>
        </w:rPr>
        <w:t xml:space="preserve"> </w:t>
      </w:r>
      <w:r>
        <w:rPr>
          <w:rFonts w:ascii="Arial MT" w:hAnsi="Arial MT"/>
          <w:color w:val="232323"/>
          <w:sz w:val="18"/>
        </w:rPr>
        <w:t>2019</w:t>
      </w:r>
      <w:r>
        <w:rPr>
          <w:rFonts w:ascii="Arial MT" w:hAnsi="Arial MT"/>
          <w:color w:val="232323"/>
          <w:spacing w:val="-6"/>
          <w:sz w:val="18"/>
        </w:rPr>
        <w:t xml:space="preserve"> </w:t>
      </w:r>
      <w:r>
        <w:rPr>
          <w:rFonts w:ascii="Arial MT" w:hAnsi="Arial MT"/>
          <w:color w:val="232323"/>
          <w:sz w:val="18"/>
        </w:rPr>
        <w:t>00071</w:t>
      </w:r>
      <w:r>
        <w:rPr>
          <w:rFonts w:ascii="Arial MT" w:hAnsi="Arial MT"/>
          <w:color w:val="232323"/>
          <w:spacing w:val="-5"/>
          <w:sz w:val="18"/>
        </w:rPr>
        <w:t xml:space="preserve"> 01.</w:t>
      </w:r>
    </w:p>
    <w:p w14:paraId="7AA02747" w14:textId="77777777" w:rsidR="000E52B0" w:rsidRDefault="00F60D74">
      <w:pPr>
        <w:spacing w:line="206" w:lineRule="exact"/>
        <w:ind w:left="720"/>
        <w:rPr>
          <w:rFonts w:ascii="Arial MT" w:hAnsi="Arial MT"/>
          <w:sz w:val="18"/>
        </w:rPr>
      </w:pPr>
      <w:bookmarkStart w:id="167" w:name="_bookmark167"/>
      <w:bookmarkEnd w:id="167"/>
      <w:r>
        <w:rPr>
          <w:rFonts w:ascii="Arial MT" w:hAnsi="Arial MT"/>
          <w:position w:val="6"/>
          <w:sz w:val="12"/>
        </w:rPr>
        <w:t>137</w:t>
      </w:r>
      <w:r>
        <w:rPr>
          <w:rFonts w:ascii="Arial MT" w:hAnsi="Arial MT"/>
          <w:spacing w:val="12"/>
          <w:position w:val="6"/>
          <w:sz w:val="12"/>
        </w:rPr>
        <w:t xml:space="preserve"> </w:t>
      </w:r>
      <w:bookmarkStart w:id="168" w:name="_bookmark168"/>
      <w:bookmarkEnd w:id="168"/>
      <w:proofErr w:type="gramStart"/>
      <w:r>
        <w:rPr>
          <w:rFonts w:ascii="Arial MT" w:hAnsi="Arial MT"/>
          <w:sz w:val="18"/>
        </w:rPr>
        <w:t>Corte</w:t>
      </w:r>
      <w:proofErr w:type="gramEnd"/>
      <w:r>
        <w:rPr>
          <w:rFonts w:ascii="Arial MT" w:hAnsi="Arial MT"/>
          <w:spacing w:val="-4"/>
          <w:sz w:val="18"/>
        </w:rPr>
        <w:t xml:space="preserve"> </w:t>
      </w:r>
      <w:r>
        <w:rPr>
          <w:rFonts w:ascii="Arial MT" w:hAnsi="Arial MT"/>
          <w:sz w:val="18"/>
        </w:rPr>
        <w:t>Constitucional:</w:t>
      </w:r>
      <w:r>
        <w:rPr>
          <w:rFonts w:ascii="Arial MT" w:hAnsi="Arial MT"/>
          <w:spacing w:val="-2"/>
          <w:sz w:val="18"/>
        </w:rPr>
        <w:t xml:space="preserve"> </w:t>
      </w:r>
      <w:r>
        <w:rPr>
          <w:rFonts w:ascii="Arial MT" w:hAnsi="Arial MT"/>
          <w:color w:val="232323"/>
          <w:sz w:val="18"/>
        </w:rPr>
        <w:t>Sentencia</w:t>
      </w:r>
      <w:r>
        <w:rPr>
          <w:rFonts w:ascii="Arial MT" w:hAnsi="Arial MT"/>
          <w:color w:val="232323"/>
          <w:spacing w:val="-4"/>
          <w:sz w:val="18"/>
        </w:rPr>
        <w:t xml:space="preserve"> </w:t>
      </w:r>
      <w:r>
        <w:rPr>
          <w:rFonts w:ascii="Arial MT" w:hAnsi="Arial MT"/>
          <w:color w:val="232323"/>
          <w:sz w:val="18"/>
        </w:rPr>
        <w:t>SU-349</w:t>
      </w:r>
      <w:r>
        <w:rPr>
          <w:rFonts w:ascii="Arial MT" w:hAnsi="Arial MT"/>
          <w:color w:val="232323"/>
          <w:spacing w:val="-6"/>
          <w:sz w:val="18"/>
        </w:rPr>
        <w:t xml:space="preserve"> </w:t>
      </w:r>
      <w:r>
        <w:rPr>
          <w:rFonts w:ascii="Arial MT" w:hAnsi="Arial MT"/>
          <w:color w:val="232323"/>
          <w:sz w:val="18"/>
        </w:rPr>
        <w:t>de</w:t>
      </w:r>
      <w:r>
        <w:rPr>
          <w:rFonts w:ascii="Arial MT" w:hAnsi="Arial MT"/>
          <w:color w:val="232323"/>
          <w:spacing w:val="-6"/>
          <w:sz w:val="18"/>
        </w:rPr>
        <w:t xml:space="preserve"> </w:t>
      </w:r>
      <w:r>
        <w:rPr>
          <w:rFonts w:ascii="Arial MT" w:hAnsi="Arial MT"/>
          <w:color w:val="232323"/>
          <w:sz w:val="18"/>
        </w:rPr>
        <w:t>2018:</w:t>
      </w:r>
      <w:r>
        <w:rPr>
          <w:rFonts w:ascii="Arial MT" w:hAnsi="Arial MT"/>
          <w:color w:val="232323"/>
          <w:spacing w:val="-5"/>
          <w:sz w:val="18"/>
        </w:rPr>
        <w:t xml:space="preserve"> </w:t>
      </w:r>
      <w:r>
        <w:rPr>
          <w:rFonts w:ascii="Arial MT" w:hAnsi="Arial MT"/>
          <w:color w:val="232323"/>
          <w:sz w:val="18"/>
        </w:rPr>
        <w:t>Protección</w:t>
      </w:r>
      <w:r>
        <w:rPr>
          <w:rFonts w:ascii="Arial MT" w:hAnsi="Arial MT"/>
          <w:color w:val="232323"/>
          <w:spacing w:val="-6"/>
          <w:sz w:val="18"/>
        </w:rPr>
        <w:t xml:space="preserve"> </w:t>
      </w:r>
      <w:r>
        <w:rPr>
          <w:rFonts w:ascii="Arial MT" w:hAnsi="Arial MT"/>
          <w:color w:val="232323"/>
          <w:sz w:val="18"/>
        </w:rPr>
        <w:t>de</w:t>
      </w:r>
      <w:r>
        <w:rPr>
          <w:rFonts w:ascii="Arial MT" w:hAnsi="Arial MT"/>
          <w:color w:val="232323"/>
          <w:spacing w:val="-4"/>
          <w:sz w:val="18"/>
        </w:rPr>
        <w:t xml:space="preserve"> </w:t>
      </w:r>
      <w:r>
        <w:rPr>
          <w:rFonts w:ascii="Arial MT" w:hAnsi="Arial MT"/>
          <w:color w:val="232323"/>
          <w:spacing w:val="-2"/>
          <w:sz w:val="18"/>
        </w:rPr>
        <w:t>páramos</w:t>
      </w:r>
    </w:p>
    <w:p w14:paraId="6D0FB7B1" w14:textId="77777777" w:rsidR="000E52B0" w:rsidRDefault="00F60D74">
      <w:pPr>
        <w:ind w:left="720" w:right="723"/>
        <w:rPr>
          <w:rFonts w:ascii="Arial MT" w:hAnsi="Arial MT"/>
          <w:sz w:val="18"/>
        </w:rPr>
      </w:pPr>
      <w:r>
        <w:rPr>
          <w:rFonts w:ascii="Arial MT" w:hAnsi="Arial MT"/>
          <w:position w:val="6"/>
          <w:sz w:val="12"/>
        </w:rPr>
        <w:t>138</w:t>
      </w:r>
      <w:r>
        <w:rPr>
          <w:rFonts w:ascii="Arial MT" w:hAnsi="Arial MT"/>
          <w:spacing w:val="13"/>
          <w:position w:val="6"/>
          <w:sz w:val="12"/>
        </w:rPr>
        <w:t xml:space="preserve"> </w:t>
      </w:r>
      <w:proofErr w:type="gramStart"/>
      <w:r>
        <w:rPr>
          <w:rFonts w:ascii="Arial MT" w:hAnsi="Arial MT"/>
          <w:color w:val="232323"/>
          <w:sz w:val="18"/>
        </w:rPr>
        <w:t>Sentencia</w:t>
      </w:r>
      <w:proofErr w:type="gramEnd"/>
      <w:r>
        <w:rPr>
          <w:rFonts w:ascii="Arial MT" w:hAnsi="Arial MT"/>
          <w:color w:val="232323"/>
          <w:spacing w:val="-4"/>
          <w:sz w:val="18"/>
        </w:rPr>
        <w:t xml:space="preserve"> </w:t>
      </w:r>
      <w:r>
        <w:rPr>
          <w:rFonts w:ascii="Arial MT" w:hAnsi="Arial MT"/>
          <w:color w:val="232323"/>
          <w:sz w:val="18"/>
        </w:rPr>
        <w:t>del</w:t>
      </w:r>
      <w:r>
        <w:rPr>
          <w:rFonts w:ascii="Arial MT" w:hAnsi="Arial MT"/>
          <w:color w:val="232323"/>
          <w:spacing w:val="-4"/>
          <w:sz w:val="18"/>
        </w:rPr>
        <w:t xml:space="preserve"> </w:t>
      </w:r>
      <w:r>
        <w:rPr>
          <w:rFonts w:ascii="Arial MT" w:hAnsi="Arial MT"/>
          <w:color w:val="232323"/>
          <w:sz w:val="18"/>
        </w:rPr>
        <w:t>Tribunal</w:t>
      </w:r>
      <w:r>
        <w:rPr>
          <w:rFonts w:ascii="Arial MT" w:hAnsi="Arial MT"/>
          <w:color w:val="232323"/>
          <w:spacing w:val="-4"/>
          <w:sz w:val="18"/>
        </w:rPr>
        <w:t xml:space="preserve"> </w:t>
      </w:r>
      <w:r>
        <w:rPr>
          <w:rFonts w:ascii="Arial MT" w:hAnsi="Arial MT"/>
          <w:color w:val="232323"/>
          <w:sz w:val="18"/>
        </w:rPr>
        <w:t>Administrativo</w:t>
      </w:r>
      <w:r>
        <w:rPr>
          <w:rFonts w:ascii="Arial MT" w:hAnsi="Arial MT"/>
          <w:color w:val="232323"/>
          <w:spacing w:val="-4"/>
          <w:sz w:val="18"/>
        </w:rPr>
        <w:t xml:space="preserve"> </w:t>
      </w:r>
      <w:r>
        <w:rPr>
          <w:rFonts w:ascii="Arial MT" w:hAnsi="Arial MT"/>
          <w:color w:val="232323"/>
          <w:sz w:val="18"/>
        </w:rPr>
        <w:t>de</w:t>
      </w:r>
      <w:r>
        <w:rPr>
          <w:rFonts w:ascii="Arial MT" w:hAnsi="Arial MT"/>
          <w:color w:val="232323"/>
          <w:spacing w:val="-4"/>
          <w:sz w:val="18"/>
        </w:rPr>
        <w:t xml:space="preserve"> </w:t>
      </w:r>
      <w:r>
        <w:rPr>
          <w:rFonts w:ascii="Arial MT" w:hAnsi="Arial MT"/>
          <w:color w:val="232323"/>
          <w:sz w:val="18"/>
        </w:rPr>
        <w:t>Boyacá</w:t>
      </w:r>
      <w:r>
        <w:rPr>
          <w:rFonts w:ascii="Arial MT" w:hAnsi="Arial MT"/>
          <w:color w:val="232323"/>
          <w:spacing w:val="-4"/>
          <w:sz w:val="18"/>
        </w:rPr>
        <w:t xml:space="preserve"> </w:t>
      </w:r>
      <w:r>
        <w:rPr>
          <w:rFonts w:ascii="Arial MT" w:hAnsi="Arial MT"/>
          <w:color w:val="232323"/>
          <w:sz w:val="18"/>
        </w:rPr>
        <w:t>de</w:t>
      </w:r>
      <w:r>
        <w:rPr>
          <w:rFonts w:ascii="Arial MT" w:hAnsi="Arial MT"/>
          <w:color w:val="232323"/>
          <w:spacing w:val="-4"/>
          <w:sz w:val="18"/>
        </w:rPr>
        <w:t xml:space="preserve"> </w:t>
      </w:r>
      <w:r>
        <w:rPr>
          <w:rFonts w:ascii="Arial MT" w:hAnsi="Arial MT"/>
          <w:color w:val="232323"/>
          <w:sz w:val="18"/>
        </w:rPr>
        <w:t>9</w:t>
      </w:r>
      <w:r>
        <w:rPr>
          <w:rFonts w:ascii="Arial MT" w:hAnsi="Arial MT"/>
          <w:color w:val="232323"/>
          <w:spacing w:val="-4"/>
          <w:sz w:val="18"/>
        </w:rPr>
        <w:t xml:space="preserve"> </w:t>
      </w:r>
      <w:r>
        <w:rPr>
          <w:rFonts w:ascii="Arial MT" w:hAnsi="Arial MT"/>
          <w:color w:val="232323"/>
          <w:sz w:val="18"/>
        </w:rPr>
        <w:t>de</w:t>
      </w:r>
      <w:r>
        <w:rPr>
          <w:rFonts w:ascii="Arial MT" w:hAnsi="Arial MT"/>
          <w:color w:val="232323"/>
          <w:spacing w:val="-4"/>
          <w:sz w:val="18"/>
        </w:rPr>
        <w:t xml:space="preserve"> </w:t>
      </w:r>
      <w:r>
        <w:rPr>
          <w:rFonts w:ascii="Arial MT" w:hAnsi="Arial MT"/>
          <w:color w:val="232323"/>
          <w:sz w:val="18"/>
        </w:rPr>
        <w:t>agosto</w:t>
      </w:r>
      <w:r>
        <w:rPr>
          <w:rFonts w:ascii="Arial MT" w:hAnsi="Arial MT"/>
          <w:color w:val="232323"/>
          <w:spacing w:val="-4"/>
          <w:sz w:val="18"/>
        </w:rPr>
        <w:t xml:space="preserve"> </w:t>
      </w:r>
      <w:r>
        <w:rPr>
          <w:rFonts w:ascii="Arial MT" w:hAnsi="Arial MT"/>
          <w:color w:val="232323"/>
          <w:sz w:val="18"/>
        </w:rPr>
        <w:t>de</w:t>
      </w:r>
      <w:r>
        <w:rPr>
          <w:rFonts w:ascii="Arial MT" w:hAnsi="Arial MT"/>
          <w:color w:val="232323"/>
          <w:spacing w:val="-4"/>
          <w:sz w:val="18"/>
        </w:rPr>
        <w:t xml:space="preserve"> </w:t>
      </w:r>
      <w:r>
        <w:rPr>
          <w:rFonts w:ascii="Arial MT" w:hAnsi="Arial MT"/>
          <w:color w:val="232323"/>
          <w:sz w:val="18"/>
        </w:rPr>
        <w:t>2018:</w:t>
      </w:r>
      <w:r>
        <w:rPr>
          <w:rFonts w:ascii="Arial MT" w:hAnsi="Arial MT"/>
          <w:color w:val="232323"/>
          <w:spacing w:val="40"/>
          <w:sz w:val="18"/>
        </w:rPr>
        <w:t xml:space="preserve"> </w:t>
      </w:r>
      <w:r>
        <w:rPr>
          <w:rFonts w:ascii="Arial MT" w:hAnsi="Arial MT"/>
          <w:color w:val="232323"/>
          <w:sz w:val="18"/>
        </w:rPr>
        <w:t>Expediente</w:t>
      </w:r>
      <w:r>
        <w:rPr>
          <w:rFonts w:ascii="Arial MT" w:hAnsi="Arial MT"/>
          <w:color w:val="232323"/>
          <w:spacing w:val="-4"/>
          <w:sz w:val="18"/>
        </w:rPr>
        <w:t xml:space="preserve"> </w:t>
      </w:r>
      <w:proofErr w:type="spellStart"/>
      <w:r>
        <w:rPr>
          <w:rFonts w:ascii="Arial MT" w:hAnsi="Arial MT"/>
          <w:color w:val="232323"/>
          <w:sz w:val="18"/>
        </w:rPr>
        <w:t>expediente</w:t>
      </w:r>
      <w:proofErr w:type="spellEnd"/>
      <w:r>
        <w:rPr>
          <w:rFonts w:ascii="Arial MT" w:hAnsi="Arial MT"/>
          <w:color w:val="232323"/>
          <w:spacing w:val="-4"/>
          <w:sz w:val="18"/>
        </w:rPr>
        <w:t xml:space="preserve"> </w:t>
      </w:r>
      <w:r>
        <w:rPr>
          <w:rFonts w:ascii="Arial MT" w:hAnsi="Arial MT"/>
          <w:color w:val="232323"/>
          <w:sz w:val="18"/>
        </w:rPr>
        <w:t>15238</w:t>
      </w:r>
      <w:r>
        <w:rPr>
          <w:rFonts w:ascii="Arial MT" w:hAnsi="Arial MT"/>
          <w:color w:val="232323"/>
          <w:spacing w:val="-4"/>
          <w:sz w:val="18"/>
        </w:rPr>
        <w:t xml:space="preserve"> </w:t>
      </w:r>
      <w:r>
        <w:rPr>
          <w:rFonts w:ascii="Arial MT" w:hAnsi="Arial MT"/>
          <w:color w:val="232323"/>
          <w:sz w:val="18"/>
        </w:rPr>
        <w:t>3333 002 2018 00016.</w:t>
      </w:r>
    </w:p>
    <w:p w14:paraId="0F06E688" w14:textId="77777777" w:rsidR="000E52B0" w:rsidRDefault="00F60D74">
      <w:pPr>
        <w:spacing w:line="208" w:lineRule="exact"/>
        <w:ind w:left="720"/>
        <w:rPr>
          <w:rFonts w:ascii="Arial MT"/>
          <w:sz w:val="18"/>
        </w:rPr>
      </w:pPr>
      <w:bookmarkStart w:id="169" w:name="_bookmark169"/>
      <w:bookmarkEnd w:id="169"/>
      <w:r>
        <w:rPr>
          <w:rFonts w:ascii="Arial MT"/>
          <w:position w:val="6"/>
          <w:sz w:val="12"/>
        </w:rPr>
        <w:t>139</w:t>
      </w:r>
      <w:r>
        <w:rPr>
          <w:rFonts w:ascii="Arial MT"/>
          <w:spacing w:val="13"/>
          <w:position w:val="6"/>
          <w:sz w:val="12"/>
        </w:rPr>
        <w:t xml:space="preserve"> </w:t>
      </w:r>
      <w:proofErr w:type="gramStart"/>
      <w:r>
        <w:rPr>
          <w:rFonts w:ascii="Arial MT"/>
          <w:sz w:val="18"/>
        </w:rPr>
        <w:t>Corte</w:t>
      </w:r>
      <w:proofErr w:type="gramEnd"/>
      <w:r>
        <w:rPr>
          <w:rFonts w:ascii="Arial MT"/>
          <w:spacing w:val="-3"/>
          <w:sz w:val="18"/>
        </w:rPr>
        <w:t xml:space="preserve"> </w:t>
      </w:r>
      <w:r>
        <w:rPr>
          <w:rFonts w:ascii="Arial MT"/>
          <w:sz w:val="18"/>
        </w:rPr>
        <w:t>Suprema</w:t>
      </w:r>
      <w:r>
        <w:rPr>
          <w:rFonts w:ascii="Arial MT"/>
          <w:spacing w:val="-3"/>
          <w:sz w:val="18"/>
        </w:rPr>
        <w:t xml:space="preserve"> </w:t>
      </w:r>
      <w:r>
        <w:rPr>
          <w:rFonts w:ascii="Arial MT"/>
          <w:sz w:val="18"/>
        </w:rPr>
        <w:t>de</w:t>
      </w:r>
      <w:r>
        <w:rPr>
          <w:rFonts w:ascii="Arial MT"/>
          <w:spacing w:val="-5"/>
          <w:sz w:val="18"/>
        </w:rPr>
        <w:t xml:space="preserve"> </w:t>
      </w:r>
      <w:r>
        <w:rPr>
          <w:rFonts w:ascii="Arial MT"/>
          <w:sz w:val="18"/>
        </w:rPr>
        <w:t>Justicia,</w:t>
      </w:r>
      <w:r>
        <w:rPr>
          <w:rFonts w:ascii="Arial MT"/>
          <w:spacing w:val="-3"/>
          <w:sz w:val="18"/>
        </w:rPr>
        <w:t xml:space="preserve"> </w:t>
      </w:r>
      <w:r>
        <w:rPr>
          <w:rFonts w:ascii="Arial MT"/>
          <w:sz w:val="18"/>
        </w:rPr>
        <w:t>STC4360-</w:t>
      </w:r>
      <w:r>
        <w:rPr>
          <w:rFonts w:ascii="Arial MT"/>
          <w:spacing w:val="-4"/>
          <w:sz w:val="18"/>
        </w:rPr>
        <w:t>2018.</w:t>
      </w:r>
    </w:p>
    <w:p w14:paraId="16C6B22C" w14:textId="77777777" w:rsidR="000E52B0" w:rsidRDefault="000E52B0">
      <w:pPr>
        <w:spacing w:line="208" w:lineRule="exact"/>
        <w:rPr>
          <w:rFonts w:ascii="Arial MT"/>
          <w:sz w:val="18"/>
        </w:rPr>
        <w:sectPr w:rsidR="000E52B0">
          <w:pgSz w:w="11910" w:h="16840"/>
          <w:pgMar w:top="1340" w:right="720" w:bottom="1180" w:left="720" w:header="0" w:footer="995" w:gutter="0"/>
          <w:cols w:space="720"/>
        </w:sectPr>
      </w:pPr>
    </w:p>
    <w:p w14:paraId="5FADEF64" w14:textId="77777777" w:rsidR="000E52B0" w:rsidRDefault="00F60D74">
      <w:pPr>
        <w:spacing w:before="83"/>
        <w:ind w:left="720" w:right="715"/>
        <w:jc w:val="both"/>
        <w:rPr>
          <w:sz w:val="24"/>
        </w:rPr>
      </w:pPr>
      <w:r>
        <w:rPr>
          <w:i/>
          <w:sz w:val="24"/>
        </w:rPr>
        <w:lastRenderedPageBreak/>
        <w:t>normativos</w:t>
      </w:r>
      <w:r>
        <w:rPr>
          <w:i/>
          <w:spacing w:val="-8"/>
          <w:sz w:val="24"/>
        </w:rPr>
        <w:t xml:space="preserve"> </w:t>
      </w:r>
      <w:r>
        <w:rPr>
          <w:i/>
          <w:sz w:val="24"/>
        </w:rPr>
        <w:t>y</w:t>
      </w:r>
      <w:r>
        <w:rPr>
          <w:i/>
          <w:spacing w:val="-8"/>
          <w:sz w:val="24"/>
        </w:rPr>
        <w:t xml:space="preserve"> </w:t>
      </w:r>
      <w:r>
        <w:rPr>
          <w:i/>
          <w:sz w:val="24"/>
        </w:rPr>
        <w:t>prácticos</w:t>
      </w:r>
      <w:r>
        <w:rPr>
          <w:i/>
          <w:spacing w:val="-8"/>
          <w:sz w:val="24"/>
        </w:rPr>
        <w:t xml:space="preserve"> </w:t>
      </w:r>
      <w:r>
        <w:rPr>
          <w:i/>
          <w:sz w:val="24"/>
        </w:rPr>
        <w:t>de</w:t>
      </w:r>
      <w:r>
        <w:rPr>
          <w:i/>
          <w:spacing w:val="-8"/>
          <w:sz w:val="24"/>
        </w:rPr>
        <w:t xml:space="preserve"> </w:t>
      </w:r>
      <w:r>
        <w:rPr>
          <w:i/>
          <w:sz w:val="24"/>
        </w:rPr>
        <w:t>la</w:t>
      </w:r>
      <w:r>
        <w:rPr>
          <w:i/>
          <w:spacing w:val="-8"/>
          <w:sz w:val="24"/>
        </w:rPr>
        <w:t xml:space="preserve"> </w:t>
      </w:r>
      <w:r>
        <w:rPr>
          <w:i/>
          <w:sz w:val="24"/>
        </w:rPr>
        <w:t>acción</w:t>
      </w:r>
      <w:r>
        <w:rPr>
          <w:i/>
          <w:spacing w:val="-8"/>
          <w:sz w:val="24"/>
        </w:rPr>
        <w:t xml:space="preserve"> </w:t>
      </w:r>
      <w:r>
        <w:rPr>
          <w:i/>
          <w:sz w:val="24"/>
        </w:rPr>
        <w:t>en</w:t>
      </w:r>
      <w:r>
        <w:rPr>
          <w:i/>
          <w:spacing w:val="-7"/>
          <w:sz w:val="24"/>
        </w:rPr>
        <w:t xml:space="preserve"> </w:t>
      </w:r>
      <w:r>
        <w:rPr>
          <w:i/>
          <w:sz w:val="24"/>
        </w:rPr>
        <w:t>mención;</w:t>
      </w:r>
      <w:r>
        <w:rPr>
          <w:i/>
          <w:spacing w:val="-9"/>
          <w:sz w:val="24"/>
        </w:rPr>
        <w:t xml:space="preserve"> </w:t>
      </w:r>
      <w:r>
        <w:rPr>
          <w:i/>
          <w:sz w:val="24"/>
        </w:rPr>
        <w:t>pero</w:t>
      </w:r>
      <w:r>
        <w:rPr>
          <w:i/>
          <w:spacing w:val="-7"/>
          <w:sz w:val="24"/>
        </w:rPr>
        <w:t xml:space="preserve"> </w:t>
      </w:r>
      <w:r>
        <w:rPr>
          <w:i/>
          <w:sz w:val="24"/>
        </w:rPr>
        <w:t>con</w:t>
      </w:r>
      <w:r>
        <w:rPr>
          <w:i/>
          <w:spacing w:val="-8"/>
          <w:sz w:val="24"/>
        </w:rPr>
        <w:t xml:space="preserve"> </w:t>
      </w:r>
      <w:r>
        <w:rPr>
          <w:i/>
          <w:sz w:val="24"/>
        </w:rPr>
        <w:t>los</w:t>
      </w:r>
      <w:r>
        <w:rPr>
          <w:i/>
          <w:spacing w:val="-8"/>
          <w:sz w:val="24"/>
        </w:rPr>
        <w:t xml:space="preserve"> </w:t>
      </w:r>
      <w:r>
        <w:rPr>
          <w:i/>
          <w:sz w:val="24"/>
        </w:rPr>
        <w:t>que</w:t>
      </w:r>
      <w:r>
        <w:rPr>
          <w:i/>
          <w:spacing w:val="-8"/>
          <w:sz w:val="24"/>
        </w:rPr>
        <w:t xml:space="preserve"> </w:t>
      </w:r>
      <w:r>
        <w:rPr>
          <w:i/>
          <w:sz w:val="24"/>
        </w:rPr>
        <w:t>sí</w:t>
      </w:r>
      <w:r>
        <w:rPr>
          <w:i/>
          <w:spacing w:val="-9"/>
          <w:sz w:val="24"/>
        </w:rPr>
        <w:t xml:space="preserve"> </w:t>
      </w:r>
      <w:r>
        <w:rPr>
          <w:i/>
          <w:sz w:val="24"/>
        </w:rPr>
        <w:t>cuenta la acción de amparo, que fue diseñada precisamente para dar respuesta a problemas</w:t>
      </w:r>
      <w:r>
        <w:rPr>
          <w:i/>
          <w:spacing w:val="-22"/>
          <w:sz w:val="24"/>
        </w:rPr>
        <w:t xml:space="preserve"> </w:t>
      </w:r>
      <w:r>
        <w:rPr>
          <w:i/>
          <w:sz w:val="24"/>
        </w:rPr>
        <w:t>complejos</w:t>
      </w:r>
      <w:r>
        <w:rPr>
          <w:i/>
          <w:spacing w:val="-21"/>
          <w:sz w:val="24"/>
        </w:rPr>
        <w:t xml:space="preserve"> </w:t>
      </w:r>
      <w:r>
        <w:rPr>
          <w:i/>
          <w:sz w:val="24"/>
        </w:rPr>
        <w:t>y</w:t>
      </w:r>
      <w:r>
        <w:rPr>
          <w:i/>
          <w:spacing w:val="-21"/>
          <w:sz w:val="24"/>
        </w:rPr>
        <w:t xml:space="preserve"> </w:t>
      </w:r>
      <w:r>
        <w:rPr>
          <w:i/>
          <w:sz w:val="24"/>
        </w:rPr>
        <w:t>estructurale</w:t>
      </w:r>
      <w:r>
        <w:rPr>
          <w:sz w:val="24"/>
        </w:rPr>
        <w:t>s</w:t>
      </w:r>
      <w:hyperlink w:anchor="_bookmark171" w:history="1">
        <w:r w:rsidR="000E52B0">
          <w:rPr>
            <w:position w:val="8"/>
            <w:sz w:val="16"/>
          </w:rPr>
          <w:t>140</w:t>
        </w:r>
      </w:hyperlink>
      <w:r>
        <w:rPr>
          <w:sz w:val="24"/>
        </w:rPr>
        <w:t>”</w:t>
      </w:r>
      <w:r>
        <w:rPr>
          <w:spacing w:val="-21"/>
          <w:sz w:val="24"/>
        </w:rPr>
        <w:t xml:space="preserve"> </w:t>
      </w:r>
      <w:r>
        <w:rPr>
          <w:sz w:val="24"/>
        </w:rPr>
        <w:t>ámbitos</w:t>
      </w:r>
      <w:r>
        <w:rPr>
          <w:spacing w:val="-21"/>
          <w:sz w:val="24"/>
        </w:rPr>
        <w:t xml:space="preserve"> </w:t>
      </w:r>
      <w:r>
        <w:rPr>
          <w:sz w:val="24"/>
        </w:rPr>
        <w:t>que</w:t>
      </w:r>
      <w:r>
        <w:rPr>
          <w:spacing w:val="-21"/>
          <w:sz w:val="24"/>
        </w:rPr>
        <w:t xml:space="preserve"> </w:t>
      </w:r>
      <w:r>
        <w:rPr>
          <w:sz w:val="24"/>
        </w:rPr>
        <w:t>justifican</w:t>
      </w:r>
      <w:r>
        <w:rPr>
          <w:spacing w:val="-21"/>
          <w:sz w:val="24"/>
        </w:rPr>
        <w:t xml:space="preserve"> </w:t>
      </w:r>
      <w:r>
        <w:rPr>
          <w:sz w:val="24"/>
        </w:rPr>
        <w:t>la</w:t>
      </w:r>
      <w:r>
        <w:rPr>
          <w:spacing w:val="-21"/>
          <w:sz w:val="24"/>
        </w:rPr>
        <w:t xml:space="preserve"> </w:t>
      </w:r>
      <w:r>
        <w:rPr>
          <w:sz w:val="24"/>
        </w:rPr>
        <w:t>existencia del Ministerio de Igualdad y Equidad.</w:t>
      </w:r>
    </w:p>
    <w:p w14:paraId="2EC5AC04" w14:textId="77777777" w:rsidR="000E52B0" w:rsidRDefault="000E52B0">
      <w:pPr>
        <w:pStyle w:val="Textoindependiente"/>
        <w:spacing w:before="38"/>
        <w:ind w:left="0"/>
      </w:pPr>
    </w:p>
    <w:p w14:paraId="7064E360" w14:textId="77777777" w:rsidR="000E52B0" w:rsidRDefault="00F60D74">
      <w:pPr>
        <w:pStyle w:val="Ttulo2"/>
        <w:ind w:right="723"/>
      </w:pPr>
      <w:bookmarkStart w:id="170" w:name="_bookmark170"/>
      <w:bookmarkEnd w:id="170"/>
      <w:r>
        <w:rPr>
          <w:color w:val="B3176C"/>
        </w:rPr>
        <w:t>Constitucionalidad</w:t>
      </w:r>
      <w:r>
        <w:rPr>
          <w:color w:val="B3176C"/>
          <w:spacing w:val="-15"/>
        </w:rPr>
        <w:t xml:space="preserve"> </w:t>
      </w:r>
      <w:r>
        <w:rPr>
          <w:color w:val="B3176C"/>
        </w:rPr>
        <w:t>de</w:t>
      </w:r>
      <w:r>
        <w:rPr>
          <w:color w:val="B3176C"/>
          <w:spacing w:val="-18"/>
        </w:rPr>
        <w:t xml:space="preserve"> </w:t>
      </w:r>
      <w:r>
        <w:rPr>
          <w:color w:val="B3176C"/>
        </w:rPr>
        <w:t>la</w:t>
      </w:r>
      <w:r>
        <w:rPr>
          <w:color w:val="B3176C"/>
          <w:spacing w:val="-17"/>
        </w:rPr>
        <w:t xml:space="preserve"> </w:t>
      </w:r>
      <w:r>
        <w:rPr>
          <w:color w:val="B3176C"/>
        </w:rPr>
        <w:t>creación</w:t>
      </w:r>
      <w:r>
        <w:rPr>
          <w:color w:val="B3176C"/>
          <w:spacing w:val="-19"/>
        </w:rPr>
        <w:t xml:space="preserve"> </w:t>
      </w:r>
      <w:r>
        <w:rPr>
          <w:color w:val="B3176C"/>
        </w:rPr>
        <w:t>del</w:t>
      </w:r>
      <w:r>
        <w:rPr>
          <w:color w:val="B3176C"/>
          <w:spacing w:val="-19"/>
        </w:rPr>
        <w:t xml:space="preserve"> </w:t>
      </w:r>
      <w:r>
        <w:rPr>
          <w:color w:val="B3176C"/>
        </w:rPr>
        <w:t>Ministerio</w:t>
      </w:r>
      <w:r>
        <w:rPr>
          <w:color w:val="B3176C"/>
          <w:spacing w:val="-17"/>
        </w:rPr>
        <w:t xml:space="preserve"> </w:t>
      </w:r>
      <w:r>
        <w:rPr>
          <w:color w:val="B3176C"/>
        </w:rPr>
        <w:t>de</w:t>
      </w:r>
      <w:r>
        <w:rPr>
          <w:color w:val="B3176C"/>
          <w:spacing w:val="-20"/>
        </w:rPr>
        <w:t xml:space="preserve"> </w:t>
      </w:r>
      <w:r>
        <w:rPr>
          <w:color w:val="B3176C"/>
        </w:rPr>
        <w:t>Igualdad</w:t>
      </w:r>
      <w:r>
        <w:rPr>
          <w:color w:val="B3176C"/>
          <w:spacing w:val="-19"/>
        </w:rPr>
        <w:t xml:space="preserve"> </w:t>
      </w:r>
      <w:r>
        <w:rPr>
          <w:color w:val="B3176C"/>
        </w:rPr>
        <w:t>y</w:t>
      </w:r>
      <w:r>
        <w:rPr>
          <w:color w:val="B3176C"/>
          <w:spacing w:val="-18"/>
        </w:rPr>
        <w:t xml:space="preserve"> </w:t>
      </w:r>
      <w:r>
        <w:rPr>
          <w:color w:val="B3176C"/>
        </w:rPr>
        <w:t>Equidad con un proyecto de ley distinto a la Ley 2281 de 2023</w:t>
      </w:r>
    </w:p>
    <w:p w14:paraId="6973D67B" w14:textId="77777777" w:rsidR="000E52B0" w:rsidRDefault="00F60D74">
      <w:pPr>
        <w:pStyle w:val="Textoindependiente"/>
        <w:spacing w:before="293"/>
        <w:ind w:right="714"/>
        <w:jc w:val="both"/>
      </w:pPr>
      <w:r>
        <w:t>El artículo 150 de la Constitución Política, en su numeral 7, establece la competencia</w:t>
      </w:r>
      <w:r>
        <w:rPr>
          <w:spacing w:val="-4"/>
        </w:rPr>
        <w:t xml:space="preserve"> </w:t>
      </w:r>
      <w:r>
        <w:t>del</w:t>
      </w:r>
      <w:r>
        <w:rPr>
          <w:spacing w:val="-6"/>
        </w:rPr>
        <w:t xml:space="preserve"> </w:t>
      </w:r>
      <w:r>
        <w:t>Congreso</w:t>
      </w:r>
      <w:r>
        <w:rPr>
          <w:spacing w:val="-4"/>
        </w:rPr>
        <w:t xml:space="preserve"> </w:t>
      </w:r>
      <w:r>
        <w:t>de</w:t>
      </w:r>
      <w:r>
        <w:rPr>
          <w:spacing w:val="-4"/>
        </w:rPr>
        <w:t xml:space="preserve"> </w:t>
      </w:r>
      <w:r>
        <w:t>la</w:t>
      </w:r>
      <w:r>
        <w:rPr>
          <w:spacing w:val="-4"/>
        </w:rPr>
        <w:t xml:space="preserve"> </w:t>
      </w:r>
      <w:r>
        <w:t>República</w:t>
      </w:r>
      <w:r>
        <w:rPr>
          <w:spacing w:val="-5"/>
        </w:rPr>
        <w:t xml:space="preserve"> </w:t>
      </w:r>
      <w:r>
        <w:t>para</w:t>
      </w:r>
      <w:r>
        <w:rPr>
          <w:spacing w:val="-4"/>
        </w:rPr>
        <w:t xml:space="preserve"> </w:t>
      </w:r>
      <w:r>
        <w:t>expedir</w:t>
      </w:r>
      <w:r>
        <w:rPr>
          <w:spacing w:val="-4"/>
        </w:rPr>
        <w:t xml:space="preserve"> </w:t>
      </w:r>
      <w:r>
        <w:t>leyes</w:t>
      </w:r>
      <w:r>
        <w:rPr>
          <w:spacing w:val="-5"/>
        </w:rPr>
        <w:t xml:space="preserve"> </w:t>
      </w:r>
      <w:r>
        <w:t>mediante</w:t>
      </w:r>
      <w:r>
        <w:rPr>
          <w:spacing w:val="-4"/>
        </w:rPr>
        <w:t xml:space="preserve"> </w:t>
      </w:r>
      <w:r>
        <w:t>las cuales se determine la estructura de la administración nacional y con las cuales se creen, suprimen o se fusionen ministerios, departamentos administrativos, superintendencias, establecimientos públicos y otras entidades del orden nacional. Sin embargo, a la luz del artículo 185, numerales</w:t>
      </w:r>
      <w:r>
        <w:rPr>
          <w:spacing w:val="-13"/>
        </w:rPr>
        <w:t xml:space="preserve"> </w:t>
      </w:r>
      <w:r>
        <w:t>15,</w:t>
      </w:r>
      <w:r>
        <w:rPr>
          <w:spacing w:val="-13"/>
        </w:rPr>
        <w:t xml:space="preserve"> </w:t>
      </w:r>
      <w:r>
        <w:t>16</w:t>
      </w:r>
      <w:r>
        <w:rPr>
          <w:spacing w:val="-12"/>
        </w:rPr>
        <w:t xml:space="preserve"> </w:t>
      </w:r>
      <w:r>
        <w:t>y</w:t>
      </w:r>
      <w:r>
        <w:rPr>
          <w:spacing w:val="-13"/>
        </w:rPr>
        <w:t xml:space="preserve"> </w:t>
      </w:r>
      <w:r>
        <w:t>17,</w:t>
      </w:r>
      <w:r>
        <w:rPr>
          <w:spacing w:val="-13"/>
        </w:rPr>
        <w:t xml:space="preserve"> </w:t>
      </w:r>
      <w:r>
        <w:t>se</w:t>
      </w:r>
      <w:r>
        <w:rPr>
          <w:spacing w:val="-12"/>
        </w:rPr>
        <w:t xml:space="preserve"> </w:t>
      </w:r>
      <w:r>
        <w:t>establece</w:t>
      </w:r>
      <w:r>
        <w:rPr>
          <w:spacing w:val="-11"/>
        </w:rPr>
        <w:t xml:space="preserve"> </w:t>
      </w:r>
      <w:r>
        <w:t>que</w:t>
      </w:r>
      <w:r>
        <w:rPr>
          <w:spacing w:val="-12"/>
        </w:rPr>
        <w:t xml:space="preserve"> </w:t>
      </w:r>
      <w:r>
        <w:t>la</w:t>
      </w:r>
      <w:r>
        <w:rPr>
          <w:spacing w:val="-13"/>
        </w:rPr>
        <w:t xml:space="preserve"> </w:t>
      </w:r>
      <w:r>
        <w:t>creación</w:t>
      </w:r>
      <w:r>
        <w:rPr>
          <w:spacing w:val="-13"/>
        </w:rPr>
        <w:t xml:space="preserve"> </w:t>
      </w:r>
      <w:r>
        <w:t>de</w:t>
      </w:r>
      <w:r>
        <w:rPr>
          <w:spacing w:val="-12"/>
        </w:rPr>
        <w:t xml:space="preserve"> </w:t>
      </w:r>
      <w:r>
        <w:t>los</w:t>
      </w:r>
      <w:r>
        <w:rPr>
          <w:spacing w:val="-10"/>
        </w:rPr>
        <w:t xml:space="preserve"> </w:t>
      </w:r>
      <w:r>
        <w:t>ministerios</w:t>
      </w:r>
      <w:r>
        <w:rPr>
          <w:spacing w:val="-13"/>
        </w:rPr>
        <w:t xml:space="preserve"> </w:t>
      </w:r>
      <w:r>
        <w:t>y</w:t>
      </w:r>
      <w:r>
        <w:rPr>
          <w:spacing w:val="-10"/>
        </w:rPr>
        <w:t xml:space="preserve"> </w:t>
      </w:r>
      <w:r>
        <w:t>las entidades</w:t>
      </w:r>
      <w:r>
        <w:rPr>
          <w:spacing w:val="-22"/>
        </w:rPr>
        <w:t xml:space="preserve"> </w:t>
      </w:r>
      <w:r>
        <w:t>públicas</w:t>
      </w:r>
      <w:r>
        <w:rPr>
          <w:spacing w:val="-21"/>
        </w:rPr>
        <w:t xml:space="preserve"> </w:t>
      </w:r>
      <w:r>
        <w:t>del</w:t>
      </w:r>
      <w:r>
        <w:rPr>
          <w:spacing w:val="-21"/>
        </w:rPr>
        <w:t xml:space="preserve"> </w:t>
      </w:r>
      <w:r>
        <w:t>orden</w:t>
      </w:r>
      <w:r>
        <w:rPr>
          <w:spacing w:val="-21"/>
        </w:rPr>
        <w:t xml:space="preserve"> </w:t>
      </w:r>
      <w:r>
        <w:t>nacional</w:t>
      </w:r>
      <w:r>
        <w:rPr>
          <w:spacing w:val="-21"/>
        </w:rPr>
        <w:t xml:space="preserve"> </w:t>
      </w:r>
      <w:r>
        <w:t>del</w:t>
      </w:r>
      <w:r>
        <w:rPr>
          <w:spacing w:val="-21"/>
        </w:rPr>
        <w:t xml:space="preserve"> </w:t>
      </w:r>
      <w:r>
        <w:t>sector</w:t>
      </w:r>
      <w:r>
        <w:rPr>
          <w:spacing w:val="-21"/>
        </w:rPr>
        <w:t xml:space="preserve"> </w:t>
      </w:r>
      <w:r>
        <w:t>central</w:t>
      </w:r>
      <w:r>
        <w:rPr>
          <w:spacing w:val="-21"/>
        </w:rPr>
        <w:t xml:space="preserve"> </w:t>
      </w:r>
      <w:r>
        <w:t>de</w:t>
      </w:r>
      <w:r>
        <w:rPr>
          <w:spacing w:val="-21"/>
        </w:rPr>
        <w:t xml:space="preserve"> </w:t>
      </w:r>
      <w:r>
        <w:t>la</w:t>
      </w:r>
      <w:r>
        <w:rPr>
          <w:spacing w:val="-21"/>
        </w:rPr>
        <w:t xml:space="preserve"> </w:t>
      </w:r>
      <w:r>
        <w:t>administración pública</w:t>
      </w:r>
      <w:r>
        <w:rPr>
          <w:spacing w:val="-16"/>
        </w:rPr>
        <w:t xml:space="preserve"> </w:t>
      </w:r>
      <w:r>
        <w:t>es</w:t>
      </w:r>
      <w:r>
        <w:rPr>
          <w:spacing w:val="-14"/>
        </w:rPr>
        <w:t xml:space="preserve"> </w:t>
      </w:r>
      <w:r>
        <w:t>una</w:t>
      </w:r>
      <w:r>
        <w:rPr>
          <w:spacing w:val="-16"/>
        </w:rPr>
        <w:t xml:space="preserve"> </w:t>
      </w:r>
      <w:r>
        <w:t>competencia</w:t>
      </w:r>
      <w:r>
        <w:rPr>
          <w:spacing w:val="-16"/>
        </w:rPr>
        <w:t xml:space="preserve"> </w:t>
      </w:r>
      <w:r>
        <w:t>compartida</w:t>
      </w:r>
      <w:r>
        <w:rPr>
          <w:spacing w:val="-14"/>
        </w:rPr>
        <w:t xml:space="preserve"> </w:t>
      </w:r>
      <w:r>
        <w:t>entre</w:t>
      </w:r>
      <w:r>
        <w:rPr>
          <w:spacing w:val="-14"/>
        </w:rPr>
        <w:t xml:space="preserve"> </w:t>
      </w:r>
      <w:r>
        <w:t>el</w:t>
      </w:r>
      <w:r>
        <w:rPr>
          <w:spacing w:val="-16"/>
        </w:rPr>
        <w:t xml:space="preserve"> </w:t>
      </w:r>
      <w:r>
        <w:t>poder</w:t>
      </w:r>
      <w:r>
        <w:rPr>
          <w:spacing w:val="-15"/>
        </w:rPr>
        <w:t xml:space="preserve"> </w:t>
      </w:r>
      <w:r>
        <w:t>legislativo</w:t>
      </w:r>
      <w:r>
        <w:rPr>
          <w:spacing w:val="-15"/>
        </w:rPr>
        <w:t xml:space="preserve"> </w:t>
      </w:r>
      <w:r>
        <w:t>y</w:t>
      </w:r>
      <w:r>
        <w:rPr>
          <w:spacing w:val="-14"/>
        </w:rPr>
        <w:t xml:space="preserve"> </w:t>
      </w:r>
      <w:r>
        <w:t>el</w:t>
      </w:r>
      <w:r>
        <w:rPr>
          <w:spacing w:val="-16"/>
        </w:rPr>
        <w:t xml:space="preserve"> </w:t>
      </w:r>
      <w:r>
        <w:t>poder ejecutivo, ya que se establecen como facultades permanentes del Presidente el poder suprimir o fusionar entidades u organismos administrativos, modificar la estructura de los ministerios</w:t>
      </w:r>
      <w:r>
        <w:rPr>
          <w:spacing w:val="40"/>
        </w:rPr>
        <w:t xml:space="preserve"> </w:t>
      </w:r>
      <w:r>
        <w:t>y distribuir los negocios según la naturaleza entre ministerios, departamentos administrativos y establecimientos públicos.</w:t>
      </w:r>
    </w:p>
    <w:p w14:paraId="1BF80939" w14:textId="77777777" w:rsidR="000E52B0" w:rsidRDefault="000E52B0">
      <w:pPr>
        <w:pStyle w:val="Textoindependiente"/>
        <w:ind w:left="0"/>
      </w:pPr>
    </w:p>
    <w:p w14:paraId="15868FB3" w14:textId="77777777" w:rsidR="000E52B0" w:rsidRDefault="00F60D74">
      <w:pPr>
        <w:pStyle w:val="Textoindependiente"/>
        <w:spacing w:before="1"/>
        <w:ind w:right="713"/>
        <w:jc w:val="both"/>
      </w:pPr>
      <w:r>
        <w:t>La competencia compartida se manifiesta entonces con la iniciativa privativa que tiene el poder ejecutivo para proponer al Congreso de la República la creación de una nueva entidad del orden nacional, del sector central</w:t>
      </w:r>
      <w:r>
        <w:rPr>
          <w:spacing w:val="-19"/>
        </w:rPr>
        <w:t xml:space="preserve"> </w:t>
      </w:r>
      <w:r>
        <w:t>de</w:t>
      </w:r>
      <w:r>
        <w:rPr>
          <w:spacing w:val="-17"/>
        </w:rPr>
        <w:t xml:space="preserve"> </w:t>
      </w:r>
      <w:r>
        <w:t>la</w:t>
      </w:r>
      <w:r>
        <w:rPr>
          <w:spacing w:val="-19"/>
        </w:rPr>
        <w:t xml:space="preserve"> </w:t>
      </w:r>
      <w:r>
        <w:t>administración</w:t>
      </w:r>
      <w:r>
        <w:rPr>
          <w:spacing w:val="-18"/>
        </w:rPr>
        <w:t xml:space="preserve"> </w:t>
      </w:r>
      <w:r>
        <w:t>pública,</w:t>
      </w:r>
      <w:r>
        <w:rPr>
          <w:spacing w:val="-16"/>
        </w:rPr>
        <w:t xml:space="preserve"> </w:t>
      </w:r>
      <w:r>
        <w:t>manifestada</w:t>
      </w:r>
      <w:r>
        <w:rPr>
          <w:spacing w:val="-16"/>
        </w:rPr>
        <w:t xml:space="preserve"> </w:t>
      </w:r>
      <w:r>
        <w:t>de</w:t>
      </w:r>
      <w:r>
        <w:rPr>
          <w:spacing w:val="-17"/>
        </w:rPr>
        <w:t xml:space="preserve"> </w:t>
      </w:r>
      <w:r>
        <w:t>manera</w:t>
      </w:r>
      <w:r>
        <w:rPr>
          <w:spacing w:val="-18"/>
        </w:rPr>
        <w:t xml:space="preserve"> </w:t>
      </w:r>
      <w:r>
        <w:t>taxativa</w:t>
      </w:r>
      <w:r>
        <w:rPr>
          <w:spacing w:val="-18"/>
        </w:rPr>
        <w:t xml:space="preserve"> </w:t>
      </w:r>
      <w:r>
        <w:t>en</w:t>
      </w:r>
      <w:r>
        <w:rPr>
          <w:spacing w:val="-19"/>
        </w:rPr>
        <w:t xml:space="preserve"> </w:t>
      </w:r>
      <w:r>
        <w:t>los numerales</w:t>
      </w:r>
      <w:r>
        <w:rPr>
          <w:spacing w:val="-9"/>
        </w:rPr>
        <w:t xml:space="preserve"> </w:t>
      </w:r>
      <w:r>
        <w:t>2</w:t>
      </w:r>
      <w:r>
        <w:rPr>
          <w:spacing w:val="-8"/>
        </w:rPr>
        <w:t xml:space="preserve"> </w:t>
      </w:r>
      <w:r>
        <w:t>y</w:t>
      </w:r>
      <w:r>
        <w:rPr>
          <w:spacing w:val="-9"/>
        </w:rPr>
        <w:t xml:space="preserve"> </w:t>
      </w:r>
      <w:r>
        <w:t>3</w:t>
      </w:r>
      <w:r>
        <w:rPr>
          <w:spacing w:val="-7"/>
        </w:rPr>
        <w:t xml:space="preserve"> </w:t>
      </w:r>
      <w:r>
        <w:t>del</w:t>
      </w:r>
      <w:r>
        <w:rPr>
          <w:spacing w:val="-10"/>
        </w:rPr>
        <w:t xml:space="preserve"> </w:t>
      </w:r>
      <w:r>
        <w:t>artículo</w:t>
      </w:r>
      <w:r>
        <w:rPr>
          <w:spacing w:val="-8"/>
        </w:rPr>
        <w:t xml:space="preserve"> </w:t>
      </w:r>
      <w:r>
        <w:t>142</w:t>
      </w:r>
      <w:r>
        <w:rPr>
          <w:spacing w:val="-8"/>
        </w:rPr>
        <w:t xml:space="preserve"> </w:t>
      </w:r>
      <w:r>
        <w:t>del</w:t>
      </w:r>
      <w:r>
        <w:rPr>
          <w:spacing w:val="-10"/>
        </w:rPr>
        <w:t xml:space="preserve"> </w:t>
      </w:r>
      <w:r>
        <w:t>Reglamento</w:t>
      </w:r>
      <w:r>
        <w:rPr>
          <w:spacing w:val="-8"/>
        </w:rPr>
        <w:t xml:space="preserve"> </w:t>
      </w:r>
      <w:r>
        <w:t>Interno</w:t>
      </w:r>
      <w:r>
        <w:rPr>
          <w:spacing w:val="-8"/>
        </w:rPr>
        <w:t xml:space="preserve"> </w:t>
      </w:r>
      <w:r>
        <w:t>del</w:t>
      </w:r>
      <w:r>
        <w:rPr>
          <w:spacing w:val="-10"/>
        </w:rPr>
        <w:t xml:space="preserve"> </w:t>
      </w:r>
      <w:r>
        <w:t>Congreso</w:t>
      </w:r>
      <w:r>
        <w:rPr>
          <w:spacing w:val="-4"/>
        </w:rPr>
        <w:t xml:space="preserve"> </w:t>
      </w:r>
      <w:r>
        <w:t>y</w:t>
      </w:r>
      <w:r>
        <w:rPr>
          <w:spacing w:val="-9"/>
        </w:rPr>
        <w:t xml:space="preserve"> </w:t>
      </w:r>
      <w:r>
        <w:t>se ve reflejada en aspectos como la estructura orgánica de la nueva entidad ya que, según las Sentencias C-784 de 2004 y C-047 de 20021, corresponde al Congreso determinar la estructura orgánica para que el ejecutivo, en uso de sus facultades permanentes, pueda modificar la estructura de cada entidad con sujeción a los límites constitucionales y legales. En palabras de la Corte Constitucional:</w:t>
      </w:r>
    </w:p>
    <w:p w14:paraId="66437E26" w14:textId="77777777" w:rsidR="000E52B0" w:rsidRDefault="00F60D74">
      <w:pPr>
        <w:spacing w:before="159"/>
        <w:ind w:left="720" w:right="719"/>
        <w:jc w:val="both"/>
        <w:rPr>
          <w:i/>
          <w:sz w:val="24"/>
        </w:rPr>
      </w:pPr>
      <w:r>
        <w:rPr>
          <w:i/>
          <w:sz w:val="24"/>
        </w:rPr>
        <w:t>De</w:t>
      </w:r>
      <w:r>
        <w:rPr>
          <w:i/>
          <w:spacing w:val="-1"/>
          <w:sz w:val="24"/>
        </w:rPr>
        <w:t xml:space="preserve"> </w:t>
      </w:r>
      <w:r>
        <w:rPr>
          <w:i/>
          <w:sz w:val="24"/>
        </w:rPr>
        <w:t>acuerdo</w:t>
      </w:r>
      <w:r>
        <w:rPr>
          <w:i/>
          <w:spacing w:val="-1"/>
          <w:sz w:val="24"/>
        </w:rPr>
        <w:t xml:space="preserve"> </w:t>
      </w:r>
      <w:r>
        <w:rPr>
          <w:i/>
          <w:sz w:val="24"/>
        </w:rPr>
        <w:t>con</w:t>
      </w:r>
      <w:r>
        <w:rPr>
          <w:i/>
          <w:spacing w:val="-2"/>
          <w:sz w:val="24"/>
        </w:rPr>
        <w:t xml:space="preserve"> </w:t>
      </w:r>
      <w:r>
        <w:rPr>
          <w:i/>
          <w:sz w:val="24"/>
        </w:rPr>
        <w:t>el</w:t>
      </w:r>
      <w:r>
        <w:rPr>
          <w:i/>
          <w:spacing w:val="-3"/>
          <w:sz w:val="24"/>
        </w:rPr>
        <w:t xml:space="preserve"> </w:t>
      </w:r>
      <w:r>
        <w:rPr>
          <w:i/>
          <w:sz w:val="24"/>
        </w:rPr>
        <w:t>artículo 150,</w:t>
      </w:r>
      <w:r>
        <w:rPr>
          <w:i/>
          <w:spacing w:val="-3"/>
          <w:sz w:val="24"/>
        </w:rPr>
        <w:t xml:space="preserve"> </w:t>
      </w:r>
      <w:r>
        <w:rPr>
          <w:i/>
          <w:sz w:val="24"/>
        </w:rPr>
        <w:t>numeral</w:t>
      </w:r>
      <w:r>
        <w:rPr>
          <w:i/>
          <w:spacing w:val="-2"/>
          <w:sz w:val="24"/>
        </w:rPr>
        <w:t xml:space="preserve"> </w:t>
      </w:r>
      <w:r>
        <w:rPr>
          <w:i/>
          <w:sz w:val="24"/>
        </w:rPr>
        <w:t>7</w:t>
      </w:r>
      <w:r>
        <w:rPr>
          <w:i/>
          <w:spacing w:val="-1"/>
          <w:sz w:val="24"/>
        </w:rPr>
        <w:t xml:space="preserve"> </w:t>
      </w:r>
      <w:r>
        <w:rPr>
          <w:i/>
          <w:sz w:val="24"/>
        </w:rPr>
        <w:t>de la Constitución,</w:t>
      </w:r>
      <w:r>
        <w:rPr>
          <w:i/>
          <w:spacing w:val="-3"/>
          <w:sz w:val="24"/>
        </w:rPr>
        <w:t xml:space="preserve"> </w:t>
      </w:r>
      <w:r>
        <w:rPr>
          <w:i/>
          <w:sz w:val="24"/>
        </w:rPr>
        <w:t>corresponde al Congreso de la República, por medio de ley, ‘[d]</w:t>
      </w:r>
      <w:proofErr w:type="spellStart"/>
      <w:r>
        <w:rPr>
          <w:i/>
          <w:sz w:val="24"/>
        </w:rPr>
        <w:t>eterminar</w:t>
      </w:r>
      <w:proofErr w:type="spellEnd"/>
      <w:r>
        <w:rPr>
          <w:i/>
          <w:sz w:val="24"/>
        </w:rPr>
        <w:t xml:space="preserve"> la estructura de la administración nacional...’ competencia que comprende, según se desprende de la misma disposición, en armonía con lo dispuesto en el artículo 121 de la Carta, la de señalar la estructura orgánica y las competencias</w:t>
      </w:r>
      <w:r>
        <w:rPr>
          <w:i/>
          <w:spacing w:val="-6"/>
          <w:sz w:val="24"/>
        </w:rPr>
        <w:t xml:space="preserve"> </w:t>
      </w:r>
      <w:r>
        <w:rPr>
          <w:i/>
          <w:sz w:val="24"/>
        </w:rPr>
        <w:t>de</w:t>
      </w:r>
      <w:r>
        <w:rPr>
          <w:i/>
          <w:spacing w:val="-7"/>
          <w:sz w:val="24"/>
        </w:rPr>
        <w:t xml:space="preserve"> </w:t>
      </w:r>
      <w:r>
        <w:rPr>
          <w:i/>
          <w:sz w:val="24"/>
        </w:rPr>
        <w:t>las</w:t>
      </w:r>
      <w:r>
        <w:rPr>
          <w:i/>
          <w:spacing w:val="-6"/>
          <w:sz w:val="24"/>
        </w:rPr>
        <w:t xml:space="preserve"> </w:t>
      </w:r>
      <w:r>
        <w:rPr>
          <w:i/>
          <w:sz w:val="24"/>
        </w:rPr>
        <w:t>entidades</w:t>
      </w:r>
      <w:r>
        <w:rPr>
          <w:i/>
          <w:spacing w:val="-8"/>
          <w:sz w:val="24"/>
        </w:rPr>
        <w:t xml:space="preserve"> </w:t>
      </w:r>
      <w:r>
        <w:rPr>
          <w:i/>
          <w:sz w:val="24"/>
        </w:rPr>
        <w:t>que</w:t>
      </w:r>
      <w:r>
        <w:rPr>
          <w:i/>
          <w:spacing w:val="-7"/>
          <w:sz w:val="24"/>
        </w:rPr>
        <w:t xml:space="preserve"> </w:t>
      </w:r>
      <w:r>
        <w:rPr>
          <w:i/>
          <w:sz w:val="24"/>
        </w:rPr>
        <w:t>se</w:t>
      </w:r>
      <w:r>
        <w:rPr>
          <w:i/>
          <w:spacing w:val="-7"/>
          <w:sz w:val="24"/>
        </w:rPr>
        <w:t xml:space="preserve"> </w:t>
      </w:r>
      <w:r>
        <w:rPr>
          <w:i/>
          <w:sz w:val="24"/>
        </w:rPr>
        <w:t>creen.</w:t>
      </w:r>
      <w:r>
        <w:rPr>
          <w:i/>
          <w:spacing w:val="-9"/>
          <w:sz w:val="24"/>
        </w:rPr>
        <w:t xml:space="preserve"> </w:t>
      </w:r>
      <w:r>
        <w:rPr>
          <w:i/>
          <w:sz w:val="24"/>
        </w:rPr>
        <w:t>A</w:t>
      </w:r>
      <w:r>
        <w:rPr>
          <w:i/>
          <w:spacing w:val="-8"/>
          <w:sz w:val="24"/>
        </w:rPr>
        <w:t xml:space="preserve"> </w:t>
      </w:r>
      <w:r>
        <w:rPr>
          <w:i/>
          <w:sz w:val="24"/>
        </w:rPr>
        <w:t>su</w:t>
      </w:r>
      <w:r>
        <w:rPr>
          <w:i/>
          <w:spacing w:val="-9"/>
          <w:sz w:val="24"/>
        </w:rPr>
        <w:t xml:space="preserve"> </w:t>
      </w:r>
      <w:r>
        <w:rPr>
          <w:i/>
          <w:sz w:val="24"/>
        </w:rPr>
        <w:t>vez,</w:t>
      </w:r>
      <w:r>
        <w:rPr>
          <w:i/>
          <w:spacing w:val="-9"/>
          <w:sz w:val="24"/>
        </w:rPr>
        <w:t xml:space="preserve"> </w:t>
      </w:r>
      <w:r>
        <w:rPr>
          <w:i/>
          <w:sz w:val="24"/>
        </w:rPr>
        <w:t>el</w:t>
      </w:r>
      <w:r>
        <w:rPr>
          <w:i/>
          <w:spacing w:val="-9"/>
          <w:sz w:val="24"/>
        </w:rPr>
        <w:t xml:space="preserve"> </w:t>
      </w:r>
      <w:r>
        <w:rPr>
          <w:i/>
          <w:sz w:val="24"/>
        </w:rPr>
        <w:t>artículo</w:t>
      </w:r>
      <w:r>
        <w:rPr>
          <w:i/>
          <w:spacing w:val="-7"/>
          <w:sz w:val="24"/>
        </w:rPr>
        <w:t xml:space="preserve"> </w:t>
      </w:r>
      <w:r>
        <w:rPr>
          <w:i/>
          <w:sz w:val="24"/>
        </w:rPr>
        <w:t>189</w:t>
      </w:r>
      <w:r>
        <w:rPr>
          <w:i/>
          <w:spacing w:val="-7"/>
          <w:sz w:val="24"/>
        </w:rPr>
        <w:t xml:space="preserve"> </w:t>
      </w:r>
      <w:r>
        <w:rPr>
          <w:i/>
          <w:sz w:val="24"/>
        </w:rPr>
        <w:t>de</w:t>
      </w:r>
      <w:r>
        <w:rPr>
          <w:i/>
          <w:spacing w:val="-7"/>
          <w:sz w:val="24"/>
        </w:rPr>
        <w:t xml:space="preserve"> </w:t>
      </w:r>
      <w:r>
        <w:rPr>
          <w:i/>
          <w:sz w:val="24"/>
        </w:rPr>
        <w:t>la Constitución</w:t>
      </w:r>
      <w:r>
        <w:rPr>
          <w:i/>
          <w:spacing w:val="-12"/>
          <w:sz w:val="24"/>
        </w:rPr>
        <w:t xml:space="preserve"> </w:t>
      </w:r>
      <w:r>
        <w:rPr>
          <w:i/>
          <w:sz w:val="24"/>
        </w:rPr>
        <w:t>dispone</w:t>
      </w:r>
      <w:r>
        <w:rPr>
          <w:i/>
          <w:spacing w:val="-13"/>
          <w:sz w:val="24"/>
        </w:rPr>
        <w:t xml:space="preserve"> </w:t>
      </w:r>
      <w:r>
        <w:rPr>
          <w:i/>
          <w:sz w:val="24"/>
        </w:rPr>
        <w:t>que</w:t>
      </w:r>
      <w:r>
        <w:rPr>
          <w:i/>
          <w:spacing w:val="-13"/>
          <w:sz w:val="24"/>
        </w:rPr>
        <w:t xml:space="preserve"> </w:t>
      </w:r>
      <w:r>
        <w:rPr>
          <w:i/>
          <w:sz w:val="24"/>
        </w:rPr>
        <w:t>corresponde</w:t>
      </w:r>
      <w:r>
        <w:rPr>
          <w:i/>
          <w:spacing w:val="-13"/>
          <w:sz w:val="24"/>
        </w:rPr>
        <w:t xml:space="preserve"> </w:t>
      </w:r>
      <w:r>
        <w:rPr>
          <w:i/>
          <w:sz w:val="24"/>
        </w:rPr>
        <w:t>al</w:t>
      </w:r>
      <w:r>
        <w:rPr>
          <w:i/>
          <w:spacing w:val="-15"/>
          <w:sz w:val="24"/>
        </w:rPr>
        <w:t xml:space="preserve"> </w:t>
      </w:r>
      <w:proofErr w:type="gramStart"/>
      <w:r>
        <w:rPr>
          <w:i/>
          <w:sz w:val="24"/>
        </w:rPr>
        <w:t>Presidente</w:t>
      </w:r>
      <w:proofErr w:type="gramEnd"/>
      <w:r>
        <w:rPr>
          <w:i/>
          <w:spacing w:val="-13"/>
          <w:sz w:val="24"/>
        </w:rPr>
        <w:t xml:space="preserve"> </w:t>
      </w:r>
      <w:r>
        <w:rPr>
          <w:i/>
          <w:sz w:val="24"/>
        </w:rPr>
        <w:t>de</w:t>
      </w:r>
      <w:r>
        <w:rPr>
          <w:i/>
          <w:spacing w:val="-10"/>
          <w:sz w:val="24"/>
        </w:rPr>
        <w:t xml:space="preserve"> </w:t>
      </w:r>
      <w:r>
        <w:rPr>
          <w:i/>
          <w:sz w:val="24"/>
        </w:rPr>
        <w:t>la</w:t>
      </w:r>
      <w:r>
        <w:rPr>
          <w:i/>
          <w:spacing w:val="-14"/>
          <w:sz w:val="24"/>
        </w:rPr>
        <w:t xml:space="preserve"> </w:t>
      </w:r>
      <w:r>
        <w:rPr>
          <w:i/>
          <w:sz w:val="24"/>
        </w:rPr>
        <w:t>República,</w:t>
      </w:r>
      <w:r>
        <w:rPr>
          <w:i/>
          <w:spacing w:val="-13"/>
          <w:sz w:val="24"/>
        </w:rPr>
        <w:t xml:space="preserve"> </w:t>
      </w:r>
      <w:r>
        <w:rPr>
          <w:i/>
          <w:sz w:val="24"/>
        </w:rPr>
        <w:t>por</w:t>
      </w:r>
      <w:r>
        <w:rPr>
          <w:i/>
          <w:spacing w:val="-13"/>
          <w:sz w:val="24"/>
        </w:rPr>
        <w:t xml:space="preserve"> </w:t>
      </w:r>
      <w:r>
        <w:rPr>
          <w:i/>
          <w:sz w:val="24"/>
        </w:rPr>
        <w:t>un lado, ‘[c]</w:t>
      </w:r>
      <w:proofErr w:type="spellStart"/>
      <w:r>
        <w:rPr>
          <w:i/>
          <w:sz w:val="24"/>
        </w:rPr>
        <w:t>rear</w:t>
      </w:r>
      <w:proofErr w:type="spellEnd"/>
      <w:r>
        <w:rPr>
          <w:i/>
          <w:sz w:val="24"/>
        </w:rPr>
        <w:t>, fusionar o suprimir, conforme a la ley, los empleos que demande la administración central, señalar sus funciones especiales...’ (Numeral 14), y, por otro, ‘[m]</w:t>
      </w:r>
      <w:proofErr w:type="spellStart"/>
      <w:r>
        <w:rPr>
          <w:i/>
          <w:sz w:val="24"/>
        </w:rPr>
        <w:t>odificar</w:t>
      </w:r>
      <w:proofErr w:type="spellEnd"/>
      <w:r>
        <w:rPr>
          <w:i/>
          <w:sz w:val="24"/>
        </w:rPr>
        <w:t xml:space="preserve"> la estructura de los Ministerios, </w:t>
      </w:r>
      <w:proofErr w:type="gramStart"/>
      <w:r>
        <w:rPr>
          <w:i/>
          <w:sz w:val="24"/>
        </w:rPr>
        <w:t>Departamentos</w:t>
      </w:r>
      <w:r>
        <w:rPr>
          <w:i/>
          <w:spacing w:val="51"/>
          <w:sz w:val="24"/>
        </w:rPr>
        <w:t xml:space="preserve">  </w:t>
      </w:r>
      <w:r>
        <w:rPr>
          <w:i/>
          <w:sz w:val="24"/>
        </w:rPr>
        <w:t>Administrativos</w:t>
      </w:r>
      <w:proofErr w:type="gramEnd"/>
      <w:r>
        <w:rPr>
          <w:i/>
          <w:spacing w:val="51"/>
          <w:sz w:val="24"/>
        </w:rPr>
        <w:t xml:space="preserve">  </w:t>
      </w:r>
      <w:proofErr w:type="gramStart"/>
      <w:r>
        <w:rPr>
          <w:i/>
          <w:sz w:val="24"/>
        </w:rPr>
        <w:t>y</w:t>
      </w:r>
      <w:r>
        <w:rPr>
          <w:i/>
          <w:spacing w:val="51"/>
          <w:sz w:val="24"/>
        </w:rPr>
        <w:t xml:space="preserve">  </w:t>
      </w:r>
      <w:r>
        <w:rPr>
          <w:i/>
          <w:sz w:val="24"/>
        </w:rPr>
        <w:t>demás</w:t>
      </w:r>
      <w:proofErr w:type="gramEnd"/>
      <w:r>
        <w:rPr>
          <w:i/>
          <w:spacing w:val="52"/>
          <w:sz w:val="24"/>
        </w:rPr>
        <w:t xml:space="preserve">  </w:t>
      </w:r>
      <w:proofErr w:type="gramStart"/>
      <w:r>
        <w:rPr>
          <w:i/>
          <w:sz w:val="24"/>
        </w:rPr>
        <w:t>entidades</w:t>
      </w:r>
      <w:r>
        <w:rPr>
          <w:i/>
          <w:spacing w:val="51"/>
          <w:sz w:val="24"/>
        </w:rPr>
        <w:t xml:space="preserve">  </w:t>
      </w:r>
      <w:r>
        <w:rPr>
          <w:i/>
          <w:sz w:val="24"/>
        </w:rPr>
        <w:t>u</w:t>
      </w:r>
      <w:proofErr w:type="gramEnd"/>
      <w:r>
        <w:rPr>
          <w:i/>
          <w:spacing w:val="51"/>
          <w:sz w:val="24"/>
        </w:rPr>
        <w:t xml:space="preserve">  </w:t>
      </w:r>
      <w:r>
        <w:rPr>
          <w:i/>
          <w:spacing w:val="-2"/>
          <w:sz w:val="24"/>
        </w:rPr>
        <w:t>organismos</w:t>
      </w:r>
    </w:p>
    <w:p w14:paraId="464B5384" w14:textId="77777777" w:rsidR="000E52B0" w:rsidRDefault="00F60D74">
      <w:pPr>
        <w:pStyle w:val="Textoindependiente"/>
        <w:spacing w:before="11"/>
        <w:ind w:left="0"/>
        <w:rPr>
          <w:i/>
          <w:sz w:val="19"/>
        </w:rPr>
      </w:pPr>
      <w:r>
        <w:rPr>
          <w:i/>
          <w:noProof/>
          <w:sz w:val="19"/>
        </w:rPr>
        <mc:AlternateContent>
          <mc:Choice Requires="wps">
            <w:drawing>
              <wp:anchor distT="0" distB="0" distL="0" distR="0" simplePos="0" relativeHeight="487672832" behindDoc="1" locked="0" layoutInCell="1" allowOverlap="1" wp14:anchorId="6692CC75" wp14:editId="28BA8C5B">
                <wp:simplePos x="0" y="0"/>
                <wp:positionH relativeFrom="page">
                  <wp:posOffset>914704</wp:posOffset>
                </wp:positionH>
                <wp:positionV relativeFrom="paragraph">
                  <wp:posOffset>169037</wp:posOffset>
                </wp:positionV>
                <wp:extent cx="1829435" cy="7620"/>
                <wp:effectExtent l="0" t="0" r="0" b="0"/>
                <wp:wrapTopAndBottom/>
                <wp:docPr id="751" name="Graphi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50013B" id="Graphic 751" o:spid="_x0000_s1026" style="position:absolute;margin-left:1in;margin-top:13.3pt;width:144.05pt;height:.6pt;z-index:-156436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" path="m1829054,l,,,7619r1829054,l1829054,xe" fillcolor="black" stroked="f">
                <v:path arrowok="t"/>
                <w10:wrap type="topAndBottom" anchorx="page"/>
              </v:shape>
            </w:pict>
          </mc:Fallback>
        </mc:AlternateContent>
      </w:r>
    </w:p>
    <w:p w14:paraId="52CFD561" w14:textId="77777777" w:rsidR="000E52B0" w:rsidRDefault="00F60D74">
      <w:pPr>
        <w:spacing w:before="96"/>
        <w:ind w:left="720"/>
        <w:rPr>
          <w:rFonts w:ascii="Arial MT"/>
          <w:sz w:val="18"/>
        </w:rPr>
      </w:pPr>
      <w:bookmarkStart w:id="171" w:name="_bookmark171"/>
      <w:bookmarkEnd w:id="171"/>
      <w:r>
        <w:rPr>
          <w:rFonts w:ascii="Arial MT"/>
          <w:position w:val="6"/>
          <w:sz w:val="12"/>
        </w:rPr>
        <w:t>140</w:t>
      </w:r>
      <w:r>
        <w:rPr>
          <w:rFonts w:ascii="Arial MT"/>
          <w:spacing w:val="12"/>
          <w:position w:val="6"/>
          <w:sz w:val="12"/>
        </w:rPr>
        <w:t xml:space="preserve"> </w:t>
      </w:r>
      <w:proofErr w:type="gramStart"/>
      <w:r>
        <w:rPr>
          <w:rFonts w:ascii="Arial MT"/>
          <w:sz w:val="18"/>
        </w:rPr>
        <w:t>Corte</w:t>
      </w:r>
      <w:proofErr w:type="gramEnd"/>
      <w:r>
        <w:rPr>
          <w:rFonts w:ascii="Arial MT"/>
          <w:spacing w:val="-4"/>
          <w:sz w:val="18"/>
        </w:rPr>
        <w:t xml:space="preserve"> </w:t>
      </w:r>
      <w:r>
        <w:rPr>
          <w:rFonts w:ascii="Arial MT"/>
          <w:sz w:val="18"/>
        </w:rPr>
        <w:t>Constitucional,</w:t>
      </w:r>
      <w:r>
        <w:rPr>
          <w:rFonts w:ascii="Arial MT"/>
          <w:spacing w:val="-3"/>
          <w:sz w:val="18"/>
        </w:rPr>
        <w:t xml:space="preserve"> </w:t>
      </w:r>
      <w:r>
        <w:rPr>
          <w:rFonts w:ascii="Arial MT"/>
          <w:color w:val="232323"/>
          <w:sz w:val="18"/>
        </w:rPr>
        <w:t>Sentencia</w:t>
      </w:r>
      <w:r>
        <w:rPr>
          <w:rFonts w:ascii="Arial MT"/>
          <w:color w:val="232323"/>
          <w:spacing w:val="-4"/>
          <w:sz w:val="18"/>
        </w:rPr>
        <w:t xml:space="preserve"> </w:t>
      </w:r>
      <w:r>
        <w:rPr>
          <w:rFonts w:ascii="Arial MT"/>
          <w:color w:val="232323"/>
          <w:sz w:val="18"/>
        </w:rPr>
        <w:t>T-622</w:t>
      </w:r>
      <w:r>
        <w:rPr>
          <w:rFonts w:ascii="Arial MT"/>
          <w:color w:val="232323"/>
          <w:spacing w:val="-5"/>
          <w:sz w:val="18"/>
        </w:rPr>
        <w:t xml:space="preserve"> </w:t>
      </w:r>
      <w:r>
        <w:rPr>
          <w:rFonts w:ascii="Arial MT"/>
          <w:color w:val="232323"/>
          <w:sz w:val="18"/>
        </w:rPr>
        <w:t>de</w:t>
      </w:r>
      <w:r>
        <w:rPr>
          <w:rFonts w:ascii="Arial MT"/>
          <w:color w:val="232323"/>
          <w:spacing w:val="-4"/>
          <w:sz w:val="18"/>
        </w:rPr>
        <w:t xml:space="preserve"> 2016.</w:t>
      </w:r>
    </w:p>
    <w:p w14:paraId="0A39CFB2" w14:textId="77777777" w:rsidR="000E52B0" w:rsidRDefault="000E52B0">
      <w:pPr>
        <w:rPr>
          <w:rFonts w:ascii="Arial MT"/>
          <w:sz w:val="18"/>
        </w:rPr>
        <w:sectPr w:rsidR="000E52B0">
          <w:pgSz w:w="11910" w:h="16840"/>
          <w:pgMar w:top="1340" w:right="720" w:bottom="1180" w:left="720" w:header="0" w:footer="995" w:gutter="0"/>
          <w:cols w:space="720"/>
        </w:sectPr>
      </w:pPr>
    </w:p>
    <w:p w14:paraId="66E190E4" w14:textId="77777777" w:rsidR="000E52B0" w:rsidRDefault="00F60D74">
      <w:pPr>
        <w:spacing w:before="83"/>
        <w:ind w:left="720"/>
        <w:jc w:val="both"/>
        <w:rPr>
          <w:i/>
          <w:sz w:val="24"/>
        </w:rPr>
      </w:pPr>
      <w:r>
        <w:rPr>
          <w:i/>
          <w:sz w:val="24"/>
        </w:rPr>
        <w:lastRenderedPageBreak/>
        <w:t>nacionales,</w:t>
      </w:r>
      <w:r>
        <w:rPr>
          <w:i/>
          <w:spacing w:val="20"/>
          <w:sz w:val="24"/>
        </w:rPr>
        <w:t xml:space="preserve"> </w:t>
      </w:r>
      <w:r>
        <w:rPr>
          <w:i/>
          <w:sz w:val="24"/>
        </w:rPr>
        <w:t>con</w:t>
      </w:r>
      <w:r>
        <w:rPr>
          <w:i/>
          <w:spacing w:val="22"/>
          <w:sz w:val="24"/>
        </w:rPr>
        <w:t xml:space="preserve"> </w:t>
      </w:r>
      <w:r>
        <w:rPr>
          <w:i/>
          <w:sz w:val="24"/>
        </w:rPr>
        <w:t>sujeción</w:t>
      </w:r>
      <w:r>
        <w:rPr>
          <w:i/>
          <w:spacing w:val="21"/>
          <w:sz w:val="24"/>
        </w:rPr>
        <w:t xml:space="preserve"> </w:t>
      </w:r>
      <w:r>
        <w:rPr>
          <w:i/>
          <w:sz w:val="24"/>
        </w:rPr>
        <w:t>a</w:t>
      </w:r>
      <w:r>
        <w:rPr>
          <w:i/>
          <w:spacing w:val="22"/>
          <w:sz w:val="24"/>
        </w:rPr>
        <w:t xml:space="preserve"> </w:t>
      </w:r>
      <w:r>
        <w:rPr>
          <w:i/>
          <w:sz w:val="24"/>
        </w:rPr>
        <w:t>los</w:t>
      </w:r>
      <w:r>
        <w:rPr>
          <w:i/>
          <w:spacing w:val="22"/>
          <w:sz w:val="24"/>
        </w:rPr>
        <w:t xml:space="preserve"> </w:t>
      </w:r>
      <w:r>
        <w:rPr>
          <w:i/>
          <w:sz w:val="24"/>
        </w:rPr>
        <w:t>principios</w:t>
      </w:r>
      <w:r>
        <w:rPr>
          <w:i/>
          <w:spacing w:val="21"/>
          <w:sz w:val="24"/>
        </w:rPr>
        <w:t xml:space="preserve"> </w:t>
      </w:r>
      <w:r>
        <w:rPr>
          <w:i/>
          <w:sz w:val="24"/>
        </w:rPr>
        <w:t>y</w:t>
      </w:r>
      <w:r>
        <w:rPr>
          <w:i/>
          <w:spacing w:val="21"/>
          <w:sz w:val="24"/>
        </w:rPr>
        <w:t xml:space="preserve"> </w:t>
      </w:r>
      <w:r>
        <w:rPr>
          <w:i/>
          <w:sz w:val="24"/>
        </w:rPr>
        <w:t>reglas</w:t>
      </w:r>
      <w:r>
        <w:rPr>
          <w:i/>
          <w:spacing w:val="23"/>
          <w:sz w:val="24"/>
        </w:rPr>
        <w:t xml:space="preserve"> </w:t>
      </w:r>
      <w:r>
        <w:rPr>
          <w:i/>
          <w:sz w:val="24"/>
        </w:rPr>
        <w:t>generales</w:t>
      </w:r>
      <w:r>
        <w:rPr>
          <w:i/>
          <w:spacing w:val="21"/>
          <w:sz w:val="24"/>
        </w:rPr>
        <w:t xml:space="preserve"> </w:t>
      </w:r>
      <w:r>
        <w:rPr>
          <w:i/>
          <w:sz w:val="24"/>
        </w:rPr>
        <w:t>que</w:t>
      </w:r>
      <w:r>
        <w:rPr>
          <w:i/>
          <w:spacing w:val="22"/>
          <w:sz w:val="24"/>
        </w:rPr>
        <w:t xml:space="preserve"> </w:t>
      </w:r>
      <w:r>
        <w:rPr>
          <w:i/>
          <w:sz w:val="24"/>
        </w:rPr>
        <w:t>defina</w:t>
      </w:r>
      <w:r>
        <w:rPr>
          <w:i/>
          <w:spacing w:val="23"/>
          <w:sz w:val="24"/>
        </w:rPr>
        <w:t xml:space="preserve"> </w:t>
      </w:r>
      <w:r>
        <w:rPr>
          <w:i/>
          <w:spacing w:val="-5"/>
          <w:sz w:val="24"/>
        </w:rPr>
        <w:t>la</w:t>
      </w:r>
    </w:p>
    <w:p w14:paraId="768061A0" w14:textId="77777777" w:rsidR="000E52B0" w:rsidRDefault="00F60D74">
      <w:pPr>
        <w:spacing w:before="1"/>
        <w:ind w:left="720"/>
        <w:jc w:val="both"/>
        <w:rPr>
          <w:i/>
          <w:sz w:val="24"/>
        </w:rPr>
      </w:pPr>
      <w:r>
        <w:rPr>
          <w:i/>
          <w:sz w:val="24"/>
        </w:rPr>
        <w:t>ley.’</w:t>
      </w:r>
      <w:r>
        <w:rPr>
          <w:i/>
          <w:spacing w:val="-8"/>
          <w:sz w:val="24"/>
        </w:rPr>
        <w:t xml:space="preserve"> </w:t>
      </w:r>
      <w:r>
        <w:rPr>
          <w:i/>
          <w:sz w:val="24"/>
        </w:rPr>
        <w:t>(Numeral</w:t>
      </w:r>
      <w:r>
        <w:rPr>
          <w:i/>
          <w:spacing w:val="-6"/>
          <w:sz w:val="24"/>
        </w:rPr>
        <w:t xml:space="preserve"> </w:t>
      </w:r>
      <w:r>
        <w:rPr>
          <w:i/>
          <w:spacing w:val="-4"/>
          <w:sz w:val="24"/>
        </w:rPr>
        <w:t>16).</w:t>
      </w:r>
    </w:p>
    <w:p w14:paraId="362E3F6C" w14:textId="77777777" w:rsidR="000E52B0" w:rsidRDefault="00F60D74">
      <w:pPr>
        <w:spacing w:before="157"/>
        <w:ind w:left="720" w:right="719"/>
        <w:jc w:val="both"/>
        <w:rPr>
          <w:i/>
          <w:sz w:val="24"/>
        </w:rPr>
      </w:pPr>
      <w:r>
        <w:rPr>
          <w:i/>
          <w:sz w:val="24"/>
        </w:rPr>
        <w:t>La</w:t>
      </w:r>
      <w:r>
        <w:rPr>
          <w:i/>
          <w:spacing w:val="-7"/>
          <w:sz w:val="24"/>
        </w:rPr>
        <w:t xml:space="preserve"> </w:t>
      </w:r>
      <w:r>
        <w:rPr>
          <w:i/>
          <w:sz w:val="24"/>
        </w:rPr>
        <w:t>armónica</w:t>
      </w:r>
      <w:r>
        <w:rPr>
          <w:i/>
          <w:spacing w:val="-6"/>
          <w:sz w:val="24"/>
        </w:rPr>
        <w:t xml:space="preserve"> </w:t>
      </w:r>
      <w:r>
        <w:rPr>
          <w:i/>
          <w:sz w:val="24"/>
        </w:rPr>
        <w:t>interpretación</w:t>
      </w:r>
      <w:r>
        <w:rPr>
          <w:i/>
          <w:spacing w:val="-8"/>
          <w:sz w:val="24"/>
        </w:rPr>
        <w:t xml:space="preserve"> </w:t>
      </w:r>
      <w:r>
        <w:rPr>
          <w:i/>
          <w:sz w:val="24"/>
        </w:rPr>
        <w:t>de</w:t>
      </w:r>
      <w:r>
        <w:rPr>
          <w:i/>
          <w:spacing w:val="-5"/>
          <w:sz w:val="24"/>
        </w:rPr>
        <w:t xml:space="preserve"> </w:t>
      </w:r>
      <w:r>
        <w:rPr>
          <w:i/>
          <w:sz w:val="24"/>
        </w:rPr>
        <w:t>las</w:t>
      </w:r>
      <w:r>
        <w:rPr>
          <w:i/>
          <w:spacing w:val="-6"/>
          <w:sz w:val="24"/>
        </w:rPr>
        <w:t xml:space="preserve"> </w:t>
      </w:r>
      <w:r>
        <w:rPr>
          <w:i/>
          <w:sz w:val="24"/>
        </w:rPr>
        <w:t>anteriores</w:t>
      </w:r>
      <w:r>
        <w:rPr>
          <w:i/>
          <w:spacing w:val="-8"/>
          <w:sz w:val="24"/>
        </w:rPr>
        <w:t xml:space="preserve"> </w:t>
      </w:r>
      <w:r>
        <w:rPr>
          <w:i/>
          <w:sz w:val="24"/>
        </w:rPr>
        <w:t>disposiciones</w:t>
      </w:r>
      <w:r>
        <w:rPr>
          <w:i/>
          <w:spacing w:val="-6"/>
          <w:sz w:val="24"/>
        </w:rPr>
        <w:t xml:space="preserve"> </w:t>
      </w:r>
      <w:r>
        <w:rPr>
          <w:i/>
          <w:sz w:val="24"/>
        </w:rPr>
        <w:t>permite</w:t>
      </w:r>
      <w:r>
        <w:rPr>
          <w:i/>
          <w:spacing w:val="-7"/>
          <w:sz w:val="24"/>
        </w:rPr>
        <w:t xml:space="preserve"> </w:t>
      </w:r>
      <w:r>
        <w:rPr>
          <w:i/>
          <w:sz w:val="24"/>
        </w:rPr>
        <w:t>concluir que, al paso que a la ley corresponde, para determinar la estructura de la administración nacional, crear los distintos órganos que la componen, señalando</w:t>
      </w:r>
      <w:r>
        <w:rPr>
          <w:i/>
          <w:spacing w:val="-1"/>
          <w:sz w:val="24"/>
        </w:rPr>
        <w:t xml:space="preserve"> </w:t>
      </w:r>
      <w:r>
        <w:rPr>
          <w:i/>
          <w:sz w:val="24"/>
        </w:rPr>
        <w:t>para</w:t>
      </w:r>
      <w:r>
        <w:rPr>
          <w:i/>
          <w:spacing w:val="-3"/>
          <w:sz w:val="24"/>
        </w:rPr>
        <w:t xml:space="preserve"> </w:t>
      </w:r>
      <w:r>
        <w:rPr>
          <w:i/>
          <w:sz w:val="24"/>
        </w:rPr>
        <w:t>el</w:t>
      </w:r>
      <w:r>
        <w:rPr>
          <w:i/>
          <w:spacing w:val="-4"/>
          <w:sz w:val="24"/>
        </w:rPr>
        <w:t xml:space="preserve"> </w:t>
      </w:r>
      <w:r>
        <w:rPr>
          <w:i/>
          <w:sz w:val="24"/>
        </w:rPr>
        <w:t>efecto</w:t>
      </w:r>
      <w:r>
        <w:rPr>
          <w:i/>
          <w:spacing w:val="-3"/>
          <w:sz w:val="24"/>
        </w:rPr>
        <w:t xml:space="preserve"> </w:t>
      </w:r>
      <w:r>
        <w:rPr>
          <w:i/>
          <w:sz w:val="24"/>
        </w:rPr>
        <w:t>sus</w:t>
      </w:r>
      <w:r>
        <w:rPr>
          <w:i/>
          <w:spacing w:val="-4"/>
          <w:sz w:val="24"/>
        </w:rPr>
        <w:t xml:space="preserve"> </w:t>
      </w:r>
      <w:r>
        <w:rPr>
          <w:i/>
          <w:sz w:val="24"/>
        </w:rPr>
        <w:t>respectivas</w:t>
      </w:r>
      <w:r>
        <w:rPr>
          <w:i/>
          <w:spacing w:val="-1"/>
          <w:sz w:val="24"/>
        </w:rPr>
        <w:t xml:space="preserve"> </w:t>
      </w:r>
      <w:r>
        <w:rPr>
          <w:i/>
          <w:sz w:val="24"/>
        </w:rPr>
        <w:t>competencias,</w:t>
      </w:r>
      <w:r>
        <w:rPr>
          <w:i/>
          <w:spacing w:val="-4"/>
          <w:sz w:val="24"/>
        </w:rPr>
        <w:t xml:space="preserve"> </w:t>
      </w:r>
      <w:r>
        <w:rPr>
          <w:i/>
          <w:sz w:val="24"/>
        </w:rPr>
        <w:t>al</w:t>
      </w:r>
      <w:r>
        <w:rPr>
          <w:i/>
          <w:spacing w:val="-4"/>
          <w:sz w:val="24"/>
        </w:rPr>
        <w:t xml:space="preserve"> </w:t>
      </w:r>
      <w:r>
        <w:rPr>
          <w:i/>
          <w:sz w:val="24"/>
        </w:rPr>
        <w:t>Presidente</w:t>
      </w:r>
      <w:r>
        <w:rPr>
          <w:i/>
          <w:spacing w:val="-3"/>
          <w:sz w:val="24"/>
        </w:rPr>
        <w:t xml:space="preserve"> </w:t>
      </w:r>
      <w:r>
        <w:rPr>
          <w:i/>
          <w:sz w:val="24"/>
        </w:rPr>
        <w:t>de</w:t>
      </w:r>
      <w:r>
        <w:rPr>
          <w:i/>
          <w:spacing w:val="-3"/>
          <w:sz w:val="24"/>
        </w:rPr>
        <w:t xml:space="preserve"> </w:t>
      </w:r>
      <w:r>
        <w:rPr>
          <w:i/>
          <w:sz w:val="24"/>
        </w:rPr>
        <w:t>la República le corresponde, con sujeción a la ley, fijar la estructura interna de cada una de las entidades nacionales, así como el señalamiento, tanto de las plantas de personal como de las funciones especiales que correspondan a los distintos empleos.</w:t>
      </w:r>
    </w:p>
    <w:p w14:paraId="2743D54C" w14:textId="77777777" w:rsidR="000E52B0" w:rsidRDefault="00F60D74">
      <w:pPr>
        <w:spacing w:before="160"/>
        <w:ind w:left="720" w:right="712"/>
        <w:jc w:val="both"/>
        <w:rPr>
          <w:i/>
          <w:sz w:val="24"/>
        </w:rPr>
      </w:pPr>
      <w:r>
        <w:rPr>
          <w:i/>
          <w:sz w:val="24"/>
        </w:rPr>
        <w:t>Dentro de los anteriores parámetros constitucionales, el deslinde competencial corresponde al legislador, en ejercicio de su potestad de configuración, puesto que, al establecer la estructura orgánica de las entidades</w:t>
      </w:r>
      <w:r>
        <w:rPr>
          <w:i/>
          <w:spacing w:val="-1"/>
          <w:sz w:val="24"/>
        </w:rPr>
        <w:t xml:space="preserve"> </w:t>
      </w:r>
      <w:r>
        <w:rPr>
          <w:i/>
          <w:sz w:val="24"/>
        </w:rPr>
        <w:t>que cree,</w:t>
      </w:r>
      <w:r>
        <w:rPr>
          <w:i/>
          <w:spacing w:val="-2"/>
          <w:sz w:val="24"/>
        </w:rPr>
        <w:t xml:space="preserve"> </w:t>
      </w:r>
      <w:r>
        <w:rPr>
          <w:i/>
          <w:sz w:val="24"/>
        </w:rPr>
        <w:t>puede hacerlo con</w:t>
      </w:r>
      <w:r>
        <w:rPr>
          <w:i/>
          <w:spacing w:val="-1"/>
          <w:sz w:val="24"/>
        </w:rPr>
        <w:t xml:space="preserve"> </w:t>
      </w:r>
      <w:r>
        <w:rPr>
          <w:i/>
          <w:sz w:val="24"/>
        </w:rPr>
        <w:t>mayor o menor detalle,</w:t>
      </w:r>
      <w:r>
        <w:rPr>
          <w:i/>
          <w:spacing w:val="-2"/>
          <w:sz w:val="24"/>
        </w:rPr>
        <w:t xml:space="preserve"> </w:t>
      </w:r>
      <w:r>
        <w:rPr>
          <w:i/>
          <w:sz w:val="24"/>
        </w:rPr>
        <w:t>y</w:t>
      </w:r>
      <w:r>
        <w:rPr>
          <w:i/>
          <w:spacing w:val="-1"/>
          <w:sz w:val="24"/>
        </w:rPr>
        <w:t xml:space="preserve"> </w:t>
      </w:r>
      <w:r>
        <w:rPr>
          <w:i/>
          <w:sz w:val="24"/>
        </w:rPr>
        <w:t>lo mismo acontece respecto del señalamiento de las respectivas competencias. Así, entre más detallado y preciso sea el señalamiento de las competencias de un órgano, menor es el espacio para la concreción reglamentaria de las funciones que corresponden a sus distintos empleos. (Sentencia C-992 de 2001, postura reiterada en Sentencias C-954 de 2001, C-306 de 2004, C- 784 de 2004, C-691 de 2007, C-953 de 2007, C-580 de 2013 y C-047 de</w:t>
      </w:r>
    </w:p>
    <w:p w14:paraId="705A8DE3" w14:textId="77777777" w:rsidR="000E52B0" w:rsidRDefault="00F60D74">
      <w:pPr>
        <w:spacing w:before="2"/>
        <w:ind w:left="720"/>
        <w:rPr>
          <w:i/>
          <w:sz w:val="24"/>
        </w:rPr>
      </w:pPr>
      <w:r>
        <w:rPr>
          <w:i/>
          <w:spacing w:val="-2"/>
          <w:sz w:val="24"/>
        </w:rPr>
        <w:t>2021)</w:t>
      </w:r>
    </w:p>
    <w:p w14:paraId="5D023007" w14:textId="77777777" w:rsidR="000E52B0" w:rsidRDefault="00F60D74">
      <w:pPr>
        <w:pStyle w:val="Textoindependiente"/>
        <w:spacing w:before="160"/>
        <w:ind w:right="716"/>
        <w:jc w:val="both"/>
      </w:pPr>
      <w:r>
        <w:t xml:space="preserve">La Sentencia C-161 de 2024, que declaró la </w:t>
      </w:r>
      <w:proofErr w:type="spellStart"/>
      <w:r>
        <w:t>inexequibilidad</w:t>
      </w:r>
      <w:proofErr w:type="spellEnd"/>
      <w:r>
        <w:t xml:space="preserve"> diferida de la creación del Ministerio de Igualdad y Equidad, reconoció la competencia constitucional del Congreso de la República para que, a solicitud del Gobierno Nacional, se cree una nueva entidad del orden nacional que contribuya a la materialización de los fines esenciales del Estado y que responda, de manera certera y puntual, a los principios y mandatos del artículo</w:t>
      </w:r>
      <w:r>
        <w:rPr>
          <w:spacing w:val="-1"/>
        </w:rPr>
        <w:t xml:space="preserve"> </w:t>
      </w:r>
      <w:r>
        <w:t>13</w:t>
      </w:r>
      <w:r>
        <w:rPr>
          <w:spacing w:val="-1"/>
        </w:rPr>
        <w:t xml:space="preserve"> </w:t>
      </w:r>
      <w:r>
        <w:t>constitucional, ya que,</w:t>
      </w:r>
      <w:r>
        <w:rPr>
          <w:spacing w:val="-2"/>
        </w:rPr>
        <w:t xml:space="preserve"> </w:t>
      </w:r>
      <w:r>
        <w:t>en</w:t>
      </w:r>
      <w:r>
        <w:rPr>
          <w:spacing w:val="-2"/>
        </w:rPr>
        <w:t xml:space="preserve"> </w:t>
      </w:r>
      <w:r>
        <w:t>el apartado</w:t>
      </w:r>
      <w:r>
        <w:rPr>
          <w:spacing w:val="-1"/>
        </w:rPr>
        <w:t xml:space="preserve"> </w:t>
      </w:r>
      <w:r>
        <w:t>297</w:t>
      </w:r>
      <w:r>
        <w:rPr>
          <w:spacing w:val="-1"/>
        </w:rPr>
        <w:t xml:space="preserve"> </w:t>
      </w:r>
      <w:r>
        <w:t>de</w:t>
      </w:r>
      <w:r>
        <w:rPr>
          <w:spacing w:val="-1"/>
        </w:rPr>
        <w:t xml:space="preserve"> </w:t>
      </w:r>
      <w:r>
        <w:t>la providencia, la Corte</w:t>
      </w:r>
      <w:r>
        <w:rPr>
          <w:spacing w:val="-14"/>
        </w:rPr>
        <w:t xml:space="preserve"> </w:t>
      </w:r>
      <w:r>
        <w:t>difiere</w:t>
      </w:r>
      <w:r>
        <w:rPr>
          <w:spacing w:val="-14"/>
        </w:rPr>
        <w:t xml:space="preserve"> </w:t>
      </w:r>
      <w:r>
        <w:t>en</w:t>
      </w:r>
      <w:r>
        <w:rPr>
          <w:spacing w:val="-16"/>
        </w:rPr>
        <w:t xml:space="preserve"> </w:t>
      </w:r>
      <w:r>
        <w:t>dos</w:t>
      </w:r>
      <w:r>
        <w:rPr>
          <w:spacing w:val="-11"/>
        </w:rPr>
        <w:t xml:space="preserve"> </w:t>
      </w:r>
      <w:r>
        <w:t>legislaturas</w:t>
      </w:r>
      <w:r>
        <w:rPr>
          <w:spacing w:val="-12"/>
        </w:rPr>
        <w:t xml:space="preserve"> </w:t>
      </w:r>
      <w:r>
        <w:t>la</w:t>
      </w:r>
      <w:r>
        <w:rPr>
          <w:spacing w:val="-13"/>
        </w:rPr>
        <w:t xml:space="preserve"> </w:t>
      </w:r>
      <w:r>
        <w:t>vigencia</w:t>
      </w:r>
      <w:r>
        <w:rPr>
          <w:spacing w:val="-13"/>
        </w:rPr>
        <w:t xml:space="preserve"> </w:t>
      </w:r>
      <w:r>
        <w:t>de</w:t>
      </w:r>
      <w:r>
        <w:rPr>
          <w:spacing w:val="-14"/>
        </w:rPr>
        <w:t xml:space="preserve"> </w:t>
      </w:r>
      <w:r>
        <w:t>la</w:t>
      </w:r>
      <w:r>
        <w:rPr>
          <w:spacing w:val="-13"/>
        </w:rPr>
        <w:t xml:space="preserve"> </w:t>
      </w:r>
      <w:r>
        <w:t>Ley</w:t>
      </w:r>
      <w:r>
        <w:rPr>
          <w:spacing w:val="-15"/>
        </w:rPr>
        <w:t xml:space="preserve"> </w:t>
      </w:r>
      <w:r>
        <w:t>2281</w:t>
      </w:r>
      <w:r>
        <w:rPr>
          <w:spacing w:val="-14"/>
        </w:rPr>
        <w:t xml:space="preserve"> </w:t>
      </w:r>
      <w:r>
        <w:t>para</w:t>
      </w:r>
      <w:r>
        <w:rPr>
          <w:spacing w:val="-15"/>
        </w:rPr>
        <w:t xml:space="preserve"> </w:t>
      </w:r>
      <w:r>
        <w:t>que,</w:t>
      </w:r>
      <w:r>
        <w:rPr>
          <w:spacing w:val="-14"/>
        </w:rPr>
        <w:t xml:space="preserve"> </w:t>
      </w:r>
      <w:r>
        <w:t>en</w:t>
      </w:r>
      <w:r>
        <w:rPr>
          <w:spacing w:val="-9"/>
        </w:rPr>
        <w:t xml:space="preserve"> </w:t>
      </w:r>
      <w:r>
        <w:t xml:space="preserve">sus palabras, “el Legislador, por iniciativa legislativa del Gobierno Nacional, si así lo considera, apruebe la creación del Ministerio de Igualdad y Equidad </w:t>
      </w:r>
      <w:r>
        <w:rPr>
          <w:spacing w:val="-2"/>
        </w:rPr>
        <w:t>de</w:t>
      </w:r>
      <w:r>
        <w:rPr>
          <w:spacing w:val="-11"/>
        </w:rPr>
        <w:t xml:space="preserve"> </w:t>
      </w:r>
      <w:r>
        <w:rPr>
          <w:spacing w:val="-2"/>
        </w:rPr>
        <w:t>conformidad</w:t>
      </w:r>
      <w:r>
        <w:rPr>
          <w:spacing w:val="-12"/>
        </w:rPr>
        <w:t xml:space="preserve"> </w:t>
      </w:r>
      <w:r>
        <w:rPr>
          <w:spacing w:val="-2"/>
        </w:rPr>
        <w:t>con</w:t>
      </w:r>
      <w:r>
        <w:rPr>
          <w:spacing w:val="-5"/>
        </w:rPr>
        <w:t xml:space="preserve"> </w:t>
      </w:r>
      <w:r>
        <w:rPr>
          <w:spacing w:val="-2"/>
        </w:rPr>
        <w:t>la</w:t>
      </w:r>
      <w:r>
        <w:rPr>
          <w:spacing w:val="-11"/>
        </w:rPr>
        <w:t xml:space="preserve"> </w:t>
      </w:r>
      <w:r>
        <w:rPr>
          <w:spacing w:val="-2"/>
        </w:rPr>
        <w:t>totalidad</w:t>
      </w:r>
      <w:r>
        <w:rPr>
          <w:spacing w:val="-11"/>
        </w:rPr>
        <w:t xml:space="preserve"> </w:t>
      </w:r>
      <w:r>
        <w:rPr>
          <w:spacing w:val="-2"/>
        </w:rPr>
        <w:t>de</w:t>
      </w:r>
      <w:r>
        <w:rPr>
          <w:spacing w:val="-9"/>
        </w:rPr>
        <w:t xml:space="preserve"> </w:t>
      </w:r>
      <w:r>
        <w:rPr>
          <w:spacing w:val="-2"/>
        </w:rPr>
        <w:t>exigencias</w:t>
      </w:r>
      <w:r>
        <w:rPr>
          <w:spacing w:val="-11"/>
        </w:rPr>
        <w:t xml:space="preserve"> </w:t>
      </w:r>
      <w:r>
        <w:rPr>
          <w:spacing w:val="-2"/>
        </w:rPr>
        <w:t>constitucionales</w:t>
      </w:r>
      <w:r>
        <w:rPr>
          <w:spacing w:val="-10"/>
        </w:rPr>
        <w:t xml:space="preserve"> </w:t>
      </w:r>
      <w:r>
        <w:rPr>
          <w:spacing w:val="-2"/>
        </w:rPr>
        <w:t>y</w:t>
      </w:r>
      <w:r>
        <w:rPr>
          <w:spacing w:val="-10"/>
        </w:rPr>
        <w:t xml:space="preserve"> </w:t>
      </w:r>
      <w:r>
        <w:rPr>
          <w:spacing w:val="-2"/>
        </w:rPr>
        <w:t>orgánicas."</w:t>
      </w:r>
    </w:p>
    <w:p w14:paraId="37F97268" w14:textId="77777777" w:rsidR="000E52B0" w:rsidRDefault="00F60D74">
      <w:pPr>
        <w:pStyle w:val="Textoindependiente"/>
        <w:spacing w:before="159"/>
        <w:ind w:right="717"/>
        <w:jc w:val="both"/>
      </w:pPr>
      <w:r>
        <w:t>Las exigencias constitucionales y orgánicas definidas en la Constitución y en la jurisprudencia de la Corte Constitucional son debidamente atendidas con</w:t>
      </w:r>
      <w:r>
        <w:rPr>
          <w:spacing w:val="-6"/>
        </w:rPr>
        <w:t xml:space="preserve"> </w:t>
      </w:r>
      <w:r>
        <w:t>la</w:t>
      </w:r>
      <w:r>
        <w:rPr>
          <w:spacing w:val="-7"/>
        </w:rPr>
        <w:t xml:space="preserve"> </w:t>
      </w:r>
      <w:r>
        <w:t>radicación</w:t>
      </w:r>
      <w:r>
        <w:rPr>
          <w:spacing w:val="-7"/>
        </w:rPr>
        <w:t xml:space="preserve"> </w:t>
      </w:r>
      <w:r>
        <w:t>de</w:t>
      </w:r>
      <w:r>
        <w:rPr>
          <w:spacing w:val="-3"/>
        </w:rPr>
        <w:t xml:space="preserve"> </w:t>
      </w:r>
      <w:r>
        <w:t>esta</w:t>
      </w:r>
      <w:r>
        <w:rPr>
          <w:spacing w:val="-6"/>
        </w:rPr>
        <w:t xml:space="preserve"> </w:t>
      </w:r>
      <w:r>
        <w:t>iniciativa,</w:t>
      </w:r>
      <w:r>
        <w:rPr>
          <w:spacing w:val="-7"/>
        </w:rPr>
        <w:t xml:space="preserve"> </w:t>
      </w:r>
      <w:r>
        <w:t>ya</w:t>
      </w:r>
      <w:r>
        <w:rPr>
          <w:spacing w:val="-7"/>
        </w:rPr>
        <w:t xml:space="preserve"> </w:t>
      </w:r>
      <w:r>
        <w:t>que</w:t>
      </w:r>
      <w:r>
        <w:rPr>
          <w:spacing w:val="-5"/>
        </w:rPr>
        <w:t xml:space="preserve"> </w:t>
      </w:r>
      <w:r>
        <w:t>en</w:t>
      </w:r>
      <w:r>
        <w:rPr>
          <w:spacing w:val="-7"/>
        </w:rPr>
        <w:t xml:space="preserve"> </w:t>
      </w:r>
      <w:r>
        <w:t>el</w:t>
      </w:r>
      <w:r>
        <w:rPr>
          <w:spacing w:val="-7"/>
        </w:rPr>
        <w:t xml:space="preserve"> </w:t>
      </w:r>
      <w:r>
        <w:t>apartado</w:t>
      </w:r>
      <w:r>
        <w:rPr>
          <w:spacing w:val="-6"/>
        </w:rPr>
        <w:t xml:space="preserve"> </w:t>
      </w:r>
      <w:r>
        <w:t>de</w:t>
      </w:r>
      <w:r>
        <w:rPr>
          <w:spacing w:val="-5"/>
        </w:rPr>
        <w:t xml:space="preserve"> </w:t>
      </w:r>
      <w:r>
        <w:t>impacto</w:t>
      </w:r>
      <w:r>
        <w:rPr>
          <w:spacing w:val="-6"/>
        </w:rPr>
        <w:t xml:space="preserve"> </w:t>
      </w:r>
      <w:r>
        <w:t>fiscal se atienden las exigencias de la Sala para la materialización del artículo 7 de la Ley 819. Adicionalmente, con la puesta en marcha del Ministerio de Igualdad y Equidad se demuestra la necesidad que tiene actualmente el país</w:t>
      </w:r>
      <w:r>
        <w:rPr>
          <w:spacing w:val="-5"/>
        </w:rPr>
        <w:t xml:space="preserve"> </w:t>
      </w:r>
      <w:r>
        <w:t>de</w:t>
      </w:r>
      <w:r>
        <w:rPr>
          <w:spacing w:val="-4"/>
        </w:rPr>
        <w:t xml:space="preserve"> </w:t>
      </w:r>
      <w:r>
        <w:t>contar</w:t>
      </w:r>
      <w:r>
        <w:rPr>
          <w:spacing w:val="-4"/>
        </w:rPr>
        <w:t xml:space="preserve"> </w:t>
      </w:r>
      <w:r>
        <w:t>con</w:t>
      </w:r>
      <w:r>
        <w:rPr>
          <w:spacing w:val="-4"/>
        </w:rPr>
        <w:t xml:space="preserve"> </w:t>
      </w:r>
      <w:r>
        <w:t>una</w:t>
      </w:r>
      <w:r>
        <w:rPr>
          <w:spacing w:val="-4"/>
        </w:rPr>
        <w:t xml:space="preserve"> </w:t>
      </w:r>
      <w:r>
        <w:t>entidad</w:t>
      </w:r>
      <w:r>
        <w:rPr>
          <w:spacing w:val="-5"/>
        </w:rPr>
        <w:t xml:space="preserve"> </w:t>
      </w:r>
      <w:r>
        <w:t>del</w:t>
      </w:r>
      <w:r>
        <w:rPr>
          <w:spacing w:val="-6"/>
        </w:rPr>
        <w:t xml:space="preserve"> </w:t>
      </w:r>
      <w:r>
        <w:t>sector</w:t>
      </w:r>
      <w:r>
        <w:rPr>
          <w:spacing w:val="-4"/>
        </w:rPr>
        <w:t xml:space="preserve"> </w:t>
      </w:r>
      <w:r>
        <w:t>central</w:t>
      </w:r>
      <w:r>
        <w:rPr>
          <w:spacing w:val="-5"/>
        </w:rPr>
        <w:t xml:space="preserve"> </w:t>
      </w:r>
      <w:r>
        <w:t>que,</w:t>
      </w:r>
      <w:r>
        <w:rPr>
          <w:spacing w:val="-5"/>
        </w:rPr>
        <w:t xml:space="preserve"> </w:t>
      </w:r>
      <w:r>
        <w:t>además</w:t>
      </w:r>
      <w:r>
        <w:rPr>
          <w:spacing w:val="-5"/>
        </w:rPr>
        <w:t xml:space="preserve"> </w:t>
      </w:r>
      <w:r>
        <w:t>de</w:t>
      </w:r>
      <w:r>
        <w:rPr>
          <w:spacing w:val="-4"/>
        </w:rPr>
        <w:t xml:space="preserve"> </w:t>
      </w:r>
      <w:r>
        <w:t>formular programas y proyectos, lidere un sector, tenga iniciativa legislativa y articule</w:t>
      </w:r>
      <w:r>
        <w:rPr>
          <w:spacing w:val="-8"/>
        </w:rPr>
        <w:t xml:space="preserve"> </w:t>
      </w:r>
      <w:r>
        <w:t>la</w:t>
      </w:r>
      <w:r>
        <w:rPr>
          <w:spacing w:val="-9"/>
        </w:rPr>
        <w:t xml:space="preserve"> </w:t>
      </w:r>
      <w:r>
        <w:t>respuesta</w:t>
      </w:r>
      <w:r>
        <w:rPr>
          <w:spacing w:val="-8"/>
        </w:rPr>
        <w:t xml:space="preserve"> </w:t>
      </w:r>
      <w:r>
        <w:t>institucional</w:t>
      </w:r>
      <w:r>
        <w:rPr>
          <w:spacing w:val="-10"/>
        </w:rPr>
        <w:t xml:space="preserve"> </w:t>
      </w:r>
      <w:r>
        <w:t>en</w:t>
      </w:r>
      <w:r>
        <w:rPr>
          <w:spacing w:val="-9"/>
        </w:rPr>
        <w:t xml:space="preserve"> </w:t>
      </w:r>
      <w:r>
        <w:t>favor</w:t>
      </w:r>
      <w:r>
        <w:rPr>
          <w:spacing w:val="-8"/>
        </w:rPr>
        <w:t xml:space="preserve"> </w:t>
      </w:r>
      <w:r>
        <w:t>de</w:t>
      </w:r>
      <w:r>
        <w:rPr>
          <w:spacing w:val="-8"/>
        </w:rPr>
        <w:t xml:space="preserve"> </w:t>
      </w:r>
      <w:r>
        <w:t>las</w:t>
      </w:r>
      <w:r>
        <w:rPr>
          <w:spacing w:val="-9"/>
        </w:rPr>
        <w:t xml:space="preserve"> </w:t>
      </w:r>
      <w:r>
        <w:t>poblaciones</w:t>
      </w:r>
      <w:r>
        <w:rPr>
          <w:spacing w:val="-9"/>
        </w:rPr>
        <w:t xml:space="preserve"> </w:t>
      </w:r>
      <w:r>
        <w:t>marginadas</w:t>
      </w:r>
      <w:r>
        <w:rPr>
          <w:spacing w:val="-9"/>
        </w:rPr>
        <w:t xml:space="preserve"> </w:t>
      </w:r>
      <w:r>
        <w:t>e históricamente</w:t>
      </w:r>
      <w:r>
        <w:rPr>
          <w:spacing w:val="-13"/>
        </w:rPr>
        <w:t xml:space="preserve"> </w:t>
      </w:r>
      <w:r>
        <w:t>excluidas,</w:t>
      </w:r>
      <w:r>
        <w:rPr>
          <w:spacing w:val="-14"/>
        </w:rPr>
        <w:t xml:space="preserve"> </w:t>
      </w:r>
      <w:r>
        <w:t>que</w:t>
      </w:r>
      <w:r>
        <w:rPr>
          <w:spacing w:val="-13"/>
        </w:rPr>
        <w:t xml:space="preserve"> </w:t>
      </w:r>
      <w:r>
        <w:t>ya</w:t>
      </w:r>
      <w:r>
        <w:rPr>
          <w:spacing w:val="-14"/>
        </w:rPr>
        <w:t xml:space="preserve"> </w:t>
      </w:r>
      <w:r>
        <w:t>fueron</w:t>
      </w:r>
      <w:r>
        <w:rPr>
          <w:spacing w:val="-14"/>
        </w:rPr>
        <w:t xml:space="preserve"> </w:t>
      </w:r>
      <w:r>
        <w:t>definidas</w:t>
      </w:r>
      <w:r>
        <w:rPr>
          <w:spacing w:val="-14"/>
        </w:rPr>
        <w:t xml:space="preserve"> </w:t>
      </w:r>
      <w:r>
        <w:t>por</w:t>
      </w:r>
      <w:r>
        <w:rPr>
          <w:spacing w:val="-13"/>
        </w:rPr>
        <w:t xml:space="preserve"> </w:t>
      </w:r>
      <w:r>
        <w:t>el</w:t>
      </w:r>
      <w:r>
        <w:rPr>
          <w:spacing w:val="-15"/>
        </w:rPr>
        <w:t xml:space="preserve"> </w:t>
      </w:r>
      <w:r>
        <w:t>legislador</w:t>
      </w:r>
      <w:r>
        <w:rPr>
          <w:spacing w:val="-13"/>
        </w:rPr>
        <w:t xml:space="preserve"> </w:t>
      </w:r>
      <w:r>
        <w:t>y</w:t>
      </w:r>
      <w:r>
        <w:rPr>
          <w:spacing w:val="-14"/>
        </w:rPr>
        <w:t xml:space="preserve"> </w:t>
      </w:r>
      <w:r>
        <w:t>que</w:t>
      </w:r>
      <w:r>
        <w:rPr>
          <w:spacing w:val="-13"/>
        </w:rPr>
        <w:t xml:space="preserve"> </w:t>
      </w:r>
      <w:r>
        <w:t xml:space="preserve">ya tienen, en la práctica, una Entidad que responde a sus necesidades y </w:t>
      </w:r>
      <w:r>
        <w:rPr>
          <w:spacing w:val="-2"/>
        </w:rPr>
        <w:t>problemas.</w:t>
      </w:r>
    </w:p>
    <w:p w14:paraId="77A6CEE7" w14:textId="77777777" w:rsidR="000E52B0" w:rsidRDefault="000E52B0">
      <w:pPr>
        <w:pStyle w:val="Textoindependiente"/>
        <w:jc w:val="both"/>
        <w:sectPr w:rsidR="000E52B0">
          <w:pgSz w:w="11910" w:h="16840"/>
          <w:pgMar w:top="1340" w:right="720" w:bottom="1180" w:left="720" w:header="0" w:footer="995" w:gutter="0"/>
          <w:cols w:space="720"/>
        </w:sectPr>
      </w:pPr>
    </w:p>
    <w:p w14:paraId="555C6CED" w14:textId="77777777" w:rsidR="000E52B0" w:rsidRDefault="00F60D74">
      <w:pPr>
        <w:pStyle w:val="Textoindependiente"/>
        <w:spacing w:before="83"/>
        <w:ind w:right="714"/>
        <w:jc w:val="both"/>
      </w:pPr>
      <w:r>
        <w:lastRenderedPageBreak/>
        <w:t>La Ley 2281 de 2023 definió, como ámbito de competencia del Ministerio de Igualdad y Equidad, catorce (14) poblaciones con énfasis en los territorios marginados y excluidos. Cada población asignada por el legislador, para que el nuevo ministerio articule la respuesta institucional en función de ella, tiene un robusto bloque jurisprudencial que demuestra la necesidad de contar, en la administración central, con una Entidad que responda a sus intereses y satisfaga sus necesidades. A continuación, se relacionan,</w:t>
      </w:r>
      <w:r>
        <w:rPr>
          <w:spacing w:val="-20"/>
        </w:rPr>
        <w:t xml:space="preserve"> </w:t>
      </w:r>
      <w:r>
        <w:t>por</w:t>
      </w:r>
      <w:r>
        <w:rPr>
          <w:spacing w:val="-18"/>
        </w:rPr>
        <w:t xml:space="preserve"> </w:t>
      </w:r>
      <w:r>
        <w:t>cada</w:t>
      </w:r>
      <w:r>
        <w:rPr>
          <w:spacing w:val="-17"/>
        </w:rPr>
        <w:t xml:space="preserve"> </w:t>
      </w:r>
      <w:r>
        <w:t>población</w:t>
      </w:r>
      <w:r>
        <w:rPr>
          <w:spacing w:val="-20"/>
        </w:rPr>
        <w:t xml:space="preserve"> </w:t>
      </w:r>
      <w:r>
        <w:t>que</w:t>
      </w:r>
      <w:r>
        <w:rPr>
          <w:spacing w:val="-18"/>
        </w:rPr>
        <w:t xml:space="preserve"> </w:t>
      </w:r>
      <w:r>
        <w:t>se</w:t>
      </w:r>
      <w:r>
        <w:rPr>
          <w:spacing w:val="-18"/>
        </w:rPr>
        <w:t xml:space="preserve"> </w:t>
      </w:r>
      <w:r>
        <w:t>definió</w:t>
      </w:r>
      <w:r>
        <w:rPr>
          <w:spacing w:val="-19"/>
        </w:rPr>
        <w:t xml:space="preserve"> </w:t>
      </w:r>
      <w:r>
        <w:t>como</w:t>
      </w:r>
      <w:r>
        <w:rPr>
          <w:spacing w:val="-19"/>
        </w:rPr>
        <w:t xml:space="preserve"> </w:t>
      </w:r>
      <w:r>
        <w:t>ámbito</w:t>
      </w:r>
      <w:r>
        <w:rPr>
          <w:spacing w:val="-19"/>
        </w:rPr>
        <w:t xml:space="preserve"> </w:t>
      </w:r>
      <w:r>
        <w:t>de</w:t>
      </w:r>
      <w:r>
        <w:rPr>
          <w:spacing w:val="-18"/>
        </w:rPr>
        <w:t xml:space="preserve"> </w:t>
      </w:r>
      <w:r>
        <w:t>competencia, los pronunciamientos jurisprudenciales que justifican la necesidad del Ministerio de Igualdad y Equidad.</w:t>
      </w:r>
    </w:p>
    <w:p w14:paraId="55CBA76C" w14:textId="77777777" w:rsidR="000E52B0" w:rsidRDefault="000E52B0">
      <w:pPr>
        <w:pStyle w:val="Textoindependiente"/>
        <w:spacing w:before="37"/>
        <w:ind w:left="0"/>
      </w:pPr>
    </w:p>
    <w:p w14:paraId="00E2C696" w14:textId="77777777" w:rsidR="000E52B0" w:rsidRDefault="00F60D74">
      <w:pPr>
        <w:pStyle w:val="Ttulo2"/>
        <w:spacing w:before="1"/>
        <w:ind w:right="717"/>
      </w:pPr>
      <w:bookmarkStart w:id="172" w:name="_bookmark172"/>
      <w:bookmarkEnd w:id="172"/>
      <w:r>
        <w:rPr>
          <w:color w:val="B3176C"/>
        </w:rPr>
        <w:t xml:space="preserve">Pronunciamientos constitucionales sobre la necesidad de contar con políticas y estrategias de protección y garantía de derechos a las poblaciones ámbito de competencia del Ministerio de Igualdad y </w:t>
      </w:r>
      <w:r>
        <w:rPr>
          <w:color w:val="B3176C"/>
          <w:spacing w:val="-2"/>
        </w:rPr>
        <w:t>Equidad:</w:t>
      </w:r>
    </w:p>
    <w:p w14:paraId="16E90EA2" w14:textId="77777777" w:rsidR="000E52B0" w:rsidRDefault="000E52B0">
      <w:pPr>
        <w:pStyle w:val="Textoindependiente"/>
        <w:spacing w:before="17"/>
        <w:ind w:left="0"/>
        <w:rPr>
          <w:sz w:val="26"/>
        </w:rPr>
      </w:pPr>
    </w:p>
    <w:p w14:paraId="05E321CA" w14:textId="77777777" w:rsidR="000E52B0" w:rsidRDefault="00F60D74">
      <w:pPr>
        <w:pStyle w:val="Textoindependiente"/>
        <w:jc w:val="both"/>
      </w:pPr>
      <w:bookmarkStart w:id="173" w:name="_bookmark173"/>
      <w:bookmarkEnd w:id="173"/>
      <w:r>
        <w:rPr>
          <w:color w:val="770F47"/>
        </w:rPr>
        <w:t>Mujeres</w:t>
      </w:r>
      <w:r>
        <w:rPr>
          <w:color w:val="770F47"/>
          <w:spacing w:val="-3"/>
        </w:rPr>
        <w:t xml:space="preserve"> </w:t>
      </w:r>
      <w:r>
        <w:rPr>
          <w:color w:val="770F47"/>
        </w:rPr>
        <w:t>en</w:t>
      </w:r>
      <w:r>
        <w:rPr>
          <w:color w:val="770F47"/>
          <w:spacing w:val="-2"/>
        </w:rPr>
        <w:t xml:space="preserve"> </w:t>
      </w:r>
      <w:r>
        <w:rPr>
          <w:color w:val="770F47"/>
        </w:rPr>
        <w:t>todas</w:t>
      </w:r>
      <w:r>
        <w:rPr>
          <w:color w:val="770F47"/>
          <w:spacing w:val="-2"/>
        </w:rPr>
        <w:t xml:space="preserve"> </w:t>
      </w:r>
      <w:r>
        <w:rPr>
          <w:color w:val="770F47"/>
        </w:rPr>
        <w:t>sus</w:t>
      </w:r>
      <w:r>
        <w:rPr>
          <w:color w:val="770F47"/>
          <w:spacing w:val="-2"/>
        </w:rPr>
        <w:t xml:space="preserve"> diversidades</w:t>
      </w:r>
    </w:p>
    <w:p w14:paraId="7594058E" w14:textId="77777777" w:rsidR="000E52B0" w:rsidRDefault="000E52B0">
      <w:pPr>
        <w:pStyle w:val="Textoindependiente"/>
        <w:ind w:left="0"/>
      </w:pPr>
    </w:p>
    <w:p w14:paraId="4AA5FF80" w14:textId="77777777" w:rsidR="000E52B0" w:rsidRDefault="00F60D74">
      <w:pPr>
        <w:pStyle w:val="Textoindependiente"/>
        <w:ind w:right="716"/>
        <w:jc w:val="both"/>
      </w:pPr>
      <w:r>
        <w:t>Históricamente se ha venido luchando contra la disparidad entre hombres y mujeres en términos de derechos, oportunidades y trato, así como en la mitigación de prácticas y estructuras sociales que perpetúan la injusticia, la violencia y la desigualdad sistemática hacia las mujeres.</w:t>
      </w:r>
      <w:r>
        <w:rPr>
          <w:spacing w:val="40"/>
        </w:rPr>
        <w:t xml:space="preserve"> </w:t>
      </w:r>
      <w:r>
        <w:t>La violencia contra las mujeres, como el acoso sexual o la violencia doméstica, son un ejemplo de inequidad porque refleja un trato injusto y desproporcionado que</w:t>
      </w:r>
      <w:r>
        <w:rPr>
          <w:spacing w:val="-16"/>
        </w:rPr>
        <w:t xml:space="preserve"> </w:t>
      </w:r>
      <w:r>
        <w:t>las</w:t>
      </w:r>
      <w:r>
        <w:rPr>
          <w:spacing w:val="-15"/>
        </w:rPr>
        <w:t xml:space="preserve"> </w:t>
      </w:r>
      <w:r>
        <w:t>mujeres</w:t>
      </w:r>
      <w:r>
        <w:rPr>
          <w:spacing w:val="-18"/>
        </w:rPr>
        <w:t xml:space="preserve"> </w:t>
      </w:r>
      <w:r>
        <w:t>sufren</w:t>
      </w:r>
      <w:r>
        <w:rPr>
          <w:spacing w:val="-18"/>
        </w:rPr>
        <w:t xml:space="preserve"> </w:t>
      </w:r>
      <w:r>
        <w:t>por</w:t>
      </w:r>
      <w:r>
        <w:rPr>
          <w:spacing w:val="-16"/>
        </w:rPr>
        <w:t xml:space="preserve"> </w:t>
      </w:r>
      <w:r>
        <w:t>su</w:t>
      </w:r>
      <w:r>
        <w:rPr>
          <w:spacing w:val="-16"/>
        </w:rPr>
        <w:t xml:space="preserve"> </w:t>
      </w:r>
      <w:r>
        <w:t>género</w:t>
      </w:r>
      <w:r>
        <w:rPr>
          <w:spacing w:val="-16"/>
        </w:rPr>
        <w:t xml:space="preserve"> </w:t>
      </w:r>
      <w:r>
        <w:t>y</w:t>
      </w:r>
      <w:r>
        <w:rPr>
          <w:spacing w:val="-16"/>
        </w:rPr>
        <w:t xml:space="preserve"> </w:t>
      </w:r>
      <w:r>
        <w:t>que</w:t>
      </w:r>
      <w:r>
        <w:rPr>
          <w:spacing w:val="-16"/>
        </w:rPr>
        <w:t xml:space="preserve"> </w:t>
      </w:r>
      <w:r>
        <w:t>las</w:t>
      </w:r>
      <w:r>
        <w:rPr>
          <w:spacing w:val="-15"/>
        </w:rPr>
        <w:t xml:space="preserve"> </w:t>
      </w:r>
      <w:r>
        <w:t>afecta</w:t>
      </w:r>
      <w:r>
        <w:rPr>
          <w:spacing w:val="-15"/>
        </w:rPr>
        <w:t xml:space="preserve"> </w:t>
      </w:r>
      <w:r>
        <w:t>en</w:t>
      </w:r>
      <w:r>
        <w:rPr>
          <w:spacing w:val="-16"/>
        </w:rPr>
        <w:t xml:space="preserve"> </w:t>
      </w:r>
      <w:r>
        <w:t>todos</w:t>
      </w:r>
      <w:r>
        <w:rPr>
          <w:spacing w:val="-18"/>
        </w:rPr>
        <w:t xml:space="preserve"> </w:t>
      </w:r>
      <w:r>
        <w:t>los</w:t>
      </w:r>
      <w:r>
        <w:rPr>
          <w:spacing w:val="-17"/>
        </w:rPr>
        <w:t xml:space="preserve"> </w:t>
      </w:r>
      <w:r>
        <w:t>aspectos de su vida.</w:t>
      </w:r>
    </w:p>
    <w:p w14:paraId="5D47AABD" w14:textId="77777777" w:rsidR="000E52B0" w:rsidRDefault="00F60D74">
      <w:pPr>
        <w:pStyle w:val="Textoindependiente"/>
        <w:spacing w:before="161"/>
        <w:ind w:right="714"/>
        <w:jc w:val="both"/>
      </w:pPr>
      <w:r>
        <w:t>Sobre el particular, la Corte Constitucional, en la Sentencia SU – 080 de 2020 (MP Ruth Stella Correa Palacio y Carlos Bernal Pulido), precisó la definición de violencia de género contra la mujer, la cual implica la existencia de las siguientes tres características básicas:</w:t>
      </w:r>
    </w:p>
    <w:p w14:paraId="216DFB50" w14:textId="77777777" w:rsidR="000E52B0" w:rsidRDefault="00F60D74">
      <w:pPr>
        <w:spacing w:before="160"/>
        <w:ind w:left="720"/>
        <w:jc w:val="both"/>
        <w:rPr>
          <w:i/>
          <w:sz w:val="24"/>
        </w:rPr>
      </w:pPr>
      <w:r>
        <w:rPr>
          <w:i/>
          <w:sz w:val="24"/>
        </w:rPr>
        <w:t>“a)</w:t>
      </w:r>
      <w:r>
        <w:rPr>
          <w:i/>
          <w:spacing w:val="8"/>
          <w:sz w:val="24"/>
        </w:rPr>
        <w:t xml:space="preserve"> </w:t>
      </w:r>
      <w:r>
        <w:rPr>
          <w:i/>
          <w:sz w:val="24"/>
        </w:rPr>
        <w:t>El</w:t>
      </w:r>
      <w:r>
        <w:rPr>
          <w:i/>
          <w:spacing w:val="10"/>
          <w:sz w:val="24"/>
        </w:rPr>
        <w:t xml:space="preserve"> </w:t>
      </w:r>
      <w:r>
        <w:rPr>
          <w:i/>
          <w:sz w:val="24"/>
        </w:rPr>
        <w:t>sexo</w:t>
      </w:r>
      <w:r>
        <w:rPr>
          <w:i/>
          <w:spacing w:val="12"/>
          <w:sz w:val="24"/>
        </w:rPr>
        <w:t xml:space="preserve"> </w:t>
      </w:r>
      <w:r>
        <w:rPr>
          <w:i/>
          <w:sz w:val="24"/>
        </w:rPr>
        <w:t>de</w:t>
      </w:r>
      <w:r>
        <w:rPr>
          <w:i/>
          <w:spacing w:val="12"/>
          <w:sz w:val="24"/>
        </w:rPr>
        <w:t xml:space="preserve"> </w:t>
      </w:r>
      <w:r>
        <w:rPr>
          <w:i/>
          <w:sz w:val="24"/>
        </w:rPr>
        <w:t>quien</w:t>
      </w:r>
      <w:r>
        <w:rPr>
          <w:i/>
          <w:spacing w:val="11"/>
          <w:sz w:val="24"/>
        </w:rPr>
        <w:t xml:space="preserve"> </w:t>
      </w:r>
      <w:r>
        <w:rPr>
          <w:i/>
          <w:sz w:val="24"/>
        </w:rPr>
        <w:t>sufre</w:t>
      </w:r>
      <w:r>
        <w:rPr>
          <w:i/>
          <w:spacing w:val="12"/>
          <w:sz w:val="24"/>
        </w:rPr>
        <w:t xml:space="preserve"> </w:t>
      </w:r>
      <w:r>
        <w:rPr>
          <w:i/>
          <w:sz w:val="24"/>
        </w:rPr>
        <w:t>la</w:t>
      </w:r>
      <w:r>
        <w:rPr>
          <w:i/>
          <w:spacing w:val="11"/>
          <w:sz w:val="24"/>
        </w:rPr>
        <w:t xml:space="preserve"> </w:t>
      </w:r>
      <w:r>
        <w:rPr>
          <w:i/>
          <w:sz w:val="24"/>
        </w:rPr>
        <w:t>violencia</w:t>
      </w:r>
      <w:r>
        <w:rPr>
          <w:i/>
          <w:spacing w:val="14"/>
          <w:sz w:val="24"/>
        </w:rPr>
        <w:t xml:space="preserve"> </w:t>
      </w:r>
      <w:r>
        <w:rPr>
          <w:i/>
          <w:sz w:val="24"/>
        </w:rPr>
        <w:t>y</w:t>
      </w:r>
      <w:r>
        <w:rPr>
          <w:i/>
          <w:spacing w:val="11"/>
          <w:sz w:val="24"/>
        </w:rPr>
        <w:t xml:space="preserve"> </w:t>
      </w:r>
      <w:r>
        <w:rPr>
          <w:i/>
          <w:sz w:val="24"/>
        </w:rPr>
        <w:t>de</w:t>
      </w:r>
      <w:r>
        <w:rPr>
          <w:i/>
          <w:spacing w:val="12"/>
          <w:sz w:val="24"/>
        </w:rPr>
        <w:t xml:space="preserve"> </w:t>
      </w:r>
      <w:r>
        <w:rPr>
          <w:i/>
          <w:sz w:val="24"/>
        </w:rPr>
        <w:t>quien</w:t>
      </w:r>
      <w:r>
        <w:rPr>
          <w:i/>
          <w:spacing w:val="11"/>
          <w:sz w:val="24"/>
        </w:rPr>
        <w:t xml:space="preserve"> </w:t>
      </w:r>
      <w:r>
        <w:rPr>
          <w:i/>
          <w:sz w:val="24"/>
        </w:rPr>
        <w:t>la</w:t>
      </w:r>
      <w:r>
        <w:rPr>
          <w:i/>
          <w:spacing w:val="13"/>
          <w:sz w:val="24"/>
        </w:rPr>
        <w:t xml:space="preserve"> </w:t>
      </w:r>
      <w:r>
        <w:rPr>
          <w:i/>
          <w:sz w:val="24"/>
        </w:rPr>
        <w:t>ejerce:</w:t>
      </w:r>
      <w:r>
        <w:rPr>
          <w:i/>
          <w:spacing w:val="10"/>
          <w:sz w:val="24"/>
        </w:rPr>
        <w:t xml:space="preserve"> </w:t>
      </w:r>
      <w:r>
        <w:rPr>
          <w:i/>
          <w:sz w:val="24"/>
        </w:rPr>
        <w:t>la</w:t>
      </w:r>
      <w:r>
        <w:rPr>
          <w:i/>
          <w:spacing w:val="11"/>
          <w:sz w:val="24"/>
        </w:rPr>
        <w:t xml:space="preserve"> </w:t>
      </w:r>
      <w:r>
        <w:rPr>
          <w:i/>
          <w:sz w:val="24"/>
        </w:rPr>
        <w:t>ejercen</w:t>
      </w:r>
      <w:r>
        <w:rPr>
          <w:i/>
          <w:spacing w:val="12"/>
          <w:sz w:val="24"/>
        </w:rPr>
        <w:t xml:space="preserve"> </w:t>
      </w:r>
      <w:r>
        <w:rPr>
          <w:i/>
          <w:spacing w:val="-5"/>
          <w:sz w:val="24"/>
        </w:rPr>
        <w:t>los</w:t>
      </w:r>
    </w:p>
    <w:p w14:paraId="134F000F" w14:textId="77777777" w:rsidR="000E52B0" w:rsidRDefault="00F60D74">
      <w:pPr>
        <w:spacing w:before="1"/>
        <w:ind w:left="720"/>
        <w:jc w:val="both"/>
        <w:rPr>
          <w:i/>
          <w:sz w:val="24"/>
        </w:rPr>
      </w:pPr>
      <w:r>
        <w:rPr>
          <w:i/>
          <w:sz w:val="24"/>
        </w:rPr>
        <w:t>hombres</w:t>
      </w:r>
      <w:r>
        <w:rPr>
          <w:i/>
          <w:spacing w:val="-3"/>
          <w:sz w:val="24"/>
        </w:rPr>
        <w:t xml:space="preserve"> </w:t>
      </w:r>
      <w:r>
        <w:rPr>
          <w:i/>
          <w:sz w:val="24"/>
        </w:rPr>
        <w:t>sobre las</w:t>
      </w:r>
      <w:r>
        <w:rPr>
          <w:i/>
          <w:spacing w:val="-2"/>
          <w:sz w:val="24"/>
        </w:rPr>
        <w:t xml:space="preserve"> mujeres.</w:t>
      </w:r>
    </w:p>
    <w:p w14:paraId="58C20AAD" w14:textId="77777777" w:rsidR="000E52B0" w:rsidRDefault="00F60D74">
      <w:pPr>
        <w:pStyle w:val="Prrafodelista"/>
        <w:numPr>
          <w:ilvl w:val="0"/>
          <w:numId w:val="44"/>
        </w:numPr>
        <w:tabs>
          <w:tab w:val="left" w:pos="1134"/>
        </w:tabs>
        <w:spacing w:before="157"/>
        <w:ind w:right="722" w:firstLine="0"/>
        <w:jc w:val="both"/>
        <w:rPr>
          <w:i/>
          <w:sz w:val="24"/>
        </w:rPr>
      </w:pPr>
      <w:r>
        <w:rPr>
          <w:i/>
          <w:sz w:val="24"/>
        </w:rPr>
        <w:t>La causa de esta violencia: se basa en la desigualdad histórica y universal, que ha situado en una posición de subordinación a las mujeres respecto a los hombres.</w:t>
      </w:r>
    </w:p>
    <w:p w14:paraId="272076C6" w14:textId="77777777" w:rsidR="000E52B0" w:rsidRDefault="00F60D74">
      <w:pPr>
        <w:pStyle w:val="Prrafodelista"/>
        <w:numPr>
          <w:ilvl w:val="0"/>
          <w:numId w:val="44"/>
        </w:numPr>
        <w:tabs>
          <w:tab w:val="left" w:pos="1037"/>
        </w:tabs>
        <w:spacing w:before="163"/>
        <w:ind w:right="725" w:firstLine="0"/>
        <w:jc w:val="both"/>
        <w:rPr>
          <w:i/>
          <w:sz w:val="24"/>
        </w:rPr>
      </w:pPr>
      <w:r>
        <w:rPr>
          <w:i/>
          <w:sz w:val="24"/>
        </w:rPr>
        <w:t>La</w:t>
      </w:r>
      <w:r>
        <w:rPr>
          <w:i/>
          <w:spacing w:val="-2"/>
          <w:sz w:val="24"/>
        </w:rPr>
        <w:t xml:space="preserve"> </w:t>
      </w:r>
      <w:r>
        <w:rPr>
          <w:i/>
          <w:sz w:val="24"/>
        </w:rPr>
        <w:t>generalidad</w:t>
      </w:r>
      <w:r>
        <w:rPr>
          <w:i/>
          <w:spacing w:val="-3"/>
          <w:sz w:val="24"/>
        </w:rPr>
        <w:t xml:space="preserve"> </w:t>
      </w:r>
      <w:r>
        <w:rPr>
          <w:i/>
          <w:sz w:val="24"/>
        </w:rPr>
        <w:t>de</w:t>
      </w:r>
      <w:r>
        <w:rPr>
          <w:i/>
          <w:spacing w:val="-1"/>
          <w:sz w:val="24"/>
        </w:rPr>
        <w:t xml:space="preserve"> </w:t>
      </w:r>
      <w:r>
        <w:rPr>
          <w:i/>
          <w:sz w:val="24"/>
        </w:rPr>
        <w:t>los</w:t>
      </w:r>
      <w:r>
        <w:rPr>
          <w:i/>
          <w:spacing w:val="-2"/>
          <w:sz w:val="24"/>
        </w:rPr>
        <w:t xml:space="preserve"> </w:t>
      </w:r>
      <w:r>
        <w:rPr>
          <w:i/>
          <w:sz w:val="24"/>
        </w:rPr>
        <w:t>ámbitos</w:t>
      </w:r>
      <w:r>
        <w:rPr>
          <w:i/>
          <w:spacing w:val="-2"/>
          <w:sz w:val="24"/>
        </w:rPr>
        <w:t xml:space="preserve"> </w:t>
      </w:r>
      <w:r>
        <w:rPr>
          <w:i/>
          <w:sz w:val="24"/>
        </w:rPr>
        <w:t>en</w:t>
      </w:r>
      <w:r>
        <w:rPr>
          <w:i/>
          <w:spacing w:val="-2"/>
          <w:sz w:val="24"/>
        </w:rPr>
        <w:t xml:space="preserve"> </w:t>
      </w:r>
      <w:r>
        <w:rPr>
          <w:i/>
          <w:sz w:val="24"/>
        </w:rPr>
        <w:t>que</w:t>
      </w:r>
      <w:r>
        <w:rPr>
          <w:i/>
          <w:spacing w:val="-1"/>
          <w:sz w:val="24"/>
        </w:rPr>
        <w:t xml:space="preserve"> </w:t>
      </w:r>
      <w:r>
        <w:rPr>
          <w:i/>
          <w:sz w:val="24"/>
        </w:rPr>
        <w:t>se</w:t>
      </w:r>
      <w:r>
        <w:rPr>
          <w:i/>
          <w:spacing w:val="-1"/>
          <w:sz w:val="24"/>
        </w:rPr>
        <w:t xml:space="preserve"> </w:t>
      </w:r>
      <w:r>
        <w:rPr>
          <w:i/>
          <w:sz w:val="24"/>
        </w:rPr>
        <w:t>ejerce:</w:t>
      </w:r>
      <w:r>
        <w:rPr>
          <w:i/>
          <w:spacing w:val="-3"/>
          <w:sz w:val="24"/>
        </w:rPr>
        <w:t xml:space="preserve"> </w:t>
      </w:r>
      <w:r>
        <w:rPr>
          <w:i/>
          <w:sz w:val="24"/>
        </w:rPr>
        <w:t>todos</w:t>
      </w:r>
      <w:r>
        <w:rPr>
          <w:i/>
          <w:spacing w:val="-2"/>
          <w:sz w:val="24"/>
        </w:rPr>
        <w:t xml:space="preserve"> </w:t>
      </w:r>
      <w:r>
        <w:rPr>
          <w:i/>
          <w:sz w:val="24"/>
        </w:rPr>
        <w:t>los</w:t>
      </w:r>
      <w:r>
        <w:rPr>
          <w:i/>
          <w:spacing w:val="-2"/>
          <w:sz w:val="24"/>
        </w:rPr>
        <w:t xml:space="preserve"> </w:t>
      </w:r>
      <w:r>
        <w:rPr>
          <w:i/>
          <w:sz w:val="24"/>
        </w:rPr>
        <w:t>ámbitos</w:t>
      </w:r>
      <w:r>
        <w:rPr>
          <w:i/>
          <w:spacing w:val="-2"/>
          <w:sz w:val="24"/>
        </w:rPr>
        <w:t xml:space="preserve"> </w:t>
      </w:r>
      <w:r>
        <w:rPr>
          <w:i/>
          <w:sz w:val="24"/>
        </w:rPr>
        <w:t>de</w:t>
      </w:r>
      <w:r>
        <w:rPr>
          <w:i/>
          <w:spacing w:val="-1"/>
          <w:sz w:val="24"/>
        </w:rPr>
        <w:t xml:space="preserve"> </w:t>
      </w:r>
      <w:r>
        <w:rPr>
          <w:i/>
          <w:sz w:val="24"/>
        </w:rPr>
        <w:t>la vida, ya que la desigualdad se cristaliza en la pareja, familia, trabajo, economía, cultura política, religión, etc.”</w:t>
      </w:r>
    </w:p>
    <w:p w14:paraId="2379614C" w14:textId="77777777" w:rsidR="000E52B0" w:rsidRDefault="00F60D74">
      <w:pPr>
        <w:spacing w:before="159"/>
        <w:ind w:left="720" w:right="716"/>
        <w:jc w:val="both"/>
        <w:rPr>
          <w:i/>
          <w:sz w:val="24"/>
        </w:rPr>
      </w:pPr>
      <w:r>
        <w:rPr>
          <w:sz w:val="24"/>
        </w:rPr>
        <w:t>Esta postura es desarrollada por la Corte desde el año 2014, en donde se reconoció</w:t>
      </w:r>
      <w:r>
        <w:rPr>
          <w:spacing w:val="-18"/>
          <w:sz w:val="24"/>
        </w:rPr>
        <w:t xml:space="preserve"> </w:t>
      </w:r>
      <w:r>
        <w:rPr>
          <w:sz w:val="24"/>
        </w:rPr>
        <w:t>que</w:t>
      </w:r>
      <w:r>
        <w:rPr>
          <w:spacing w:val="-17"/>
          <w:sz w:val="24"/>
        </w:rPr>
        <w:t xml:space="preserve"> </w:t>
      </w:r>
      <w:r>
        <w:rPr>
          <w:sz w:val="24"/>
        </w:rPr>
        <w:t>el</w:t>
      </w:r>
      <w:r>
        <w:rPr>
          <w:spacing w:val="-19"/>
          <w:sz w:val="24"/>
        </w:rPr>
        <w:t xml:space="preserve"> </w:t>
      </w:r>
      <w:r>
        <w:rPr>
          <w:sz w:val="24"/>
        </w:rPr>
        <w:t>Estado</w:t>
      </w:r>
      <w:r>
        <w:rPr>
          <w:spacing w:val="-17"/>
          <w:sz w:val="24"/>
        </w:rPr>
        <w:t xml:space="preserve"> </w:t>
      </w:r>
      <w:r>
        <w:rPr>
          <w:sz w:val="24"/>
        </w:rPr>
        <w:t>tiene</w:t>
      </w:r>
      <w:r>
        <w:rPr>
          <w:spacing w:val="-15"/>
          <w:sz w:val="24"/>
        </w:rPr>
        <w:t xml:space="preserve"> </w:t>
      </w:r>
      <w:r>
        <w:rPr>
          <w:sz w:val="24"/>
        </w:rPr>
        <w:t>la</w:t>
      </w:r>
      <w:r>
        <w:rPr>
          <w:spacing w:val="-19"/>
          <w:sz w:val="24"/>
        </w:rPr>
        <w:t xml:space="preserve"> </w:t>
      </w:r>
      <w:r>
        <w:rPr>
          <w:sz w:val="24"/>
        </w:rPr>
        <w:t>obligación</w:t>
      </w:r>
      <w:r>
        <w:rPr>
          <w:spacing w:val="-19"/>
          <w:sz w:val="24"/>
        </w:rPr>
        <w:t xml:space="preserve"> </w:t>
      </w:r>
      <w:r>
        <w:rPr>
          <w:sz w:val="24"/>
        </w:rPr>
        <w:t>ineludible</w:t>
      </w:r>
      <w:r>
        <w:rPr>
          <w:spacing w:val="-18"/>
          <w:sz w:val="24"/>
        </w:rPr>
        <w:t xml:space="preserve"> </w:t>
      </w:r>
      <w:r>
        <w:rPr>
          <w:sz w:val="24"/>
        </w:rPr>
        <w:t>de</w:t>
      </w:r>
      <w:r>
        <w:rPr>
          <w:spacing w:val="-17"/>
          <w:sz w:val="24"/>
        </w:rPr>
        <w:t xml:space="preserve"> </w:t>
      </w:r>
      <w:r>
        <w:rPr>
          <w:sz w:val="24"/>
        </w:rPr>
        <w:t>garantizar</w:t>
      </w:r>
      <w:r>
        <w:rPr>
          <w:spacing w:val="-17"/>
          <w:sz w:val="24"/>
        </w:rPr>
        <w:t xml:space="preserve"> </w:t>
      </w:r>
      <w:r>
        <w:rPr>
          <w:sz w:val="24"/>
        </w:rPr>
        <w:t>una</w:t>
      </w:r>
      <w:r>
        <w:rPr>
          <w:spacing w:val="-16"/>
          <w:sz w:val="24"/>
        </w:rPr>
        <w:t xml:space="preserve"> </w:t>
      </w:r>
      <w:r>
        <w:rPr>
          <w:sz w:val="24"/>
        </w:rPr>
        <w:t>vida libre de violencia y discriminación por razón del sexo y de “</w:t>
      </w:r>
      <w:r>
        <w:rPr>
          <w:i/>
          <w:sz w:val="24"/>
        </w:rPr>
        <w:t>prevenir y proteger a las mujeres y las niñas de cualquier tipo de discriminación o violencia</w:t>
      </w:r>
      <w:r>
        <w:rPr>
          <w:i/>
          <w:spacing w:val="40"/>
          <w:sz w:val="24"/>
        </w:rPr>
        <w:t xml:space="preserve"> </w:t>
      </w:r>
      <w:r>
        <w:rPr>
          <w:i/>
          <w:sz w:val="24"/>
        </w:rPr>
        <w:t>ejercida</w:t>
      </w:r>
      <w:r>
        <w:rPr>
          <w:i/>
          <w:spacing w:val="40"/>
          <w:sz w:val="24"/>
        </w:rPr>
        <w:t xml:space="preserve"> </w:t>
      </w:r>
      <w:r>
        <w:rPr>
          <w:i/>
          <w:sz w:val="24"/>
        </w:rPr>
        <w:t>en</w:t>
      </w:r>
      <w:r>
        <w:rPr>
          <w:i/>
          <w:spacing w:val="40"/>
          <w:sz w:val="24"/>
        </w:rPr>
        <w:t xml:space="preserve"> </w:t>
      </w:r>
      <w:r>
        <w:rPr>
          <w:i/>
          <w:sz w:val="24"/>
        </w:rPr>
        <w:t>su</w:t>
      </w:r>
      <w:r>
        <w:rPr>
          <w:i/>
          <w:spacing w:val="40"/>
          <w:sz w:val="24"/>
        </w:rPr>
        <w:t xml:space="preserve"> </w:t>
      </w:r>
      <w:r>
        <w:rPr>
          <w:i/>
          <w:sz w:val="24"/>
        </w:rPr>
        <w:t>contra;</w:t>
      </w:r>
      <w:r>
        <w:rPr>
          <w:i/>
          <w:spacing w:val="40"/>
          <w:sz w:val="24"/>
        </w:rPr>
        <w:t xml:space="preserve"> </w:t>
      </w:r>
      <w:r>
        <w:rPr>
          <w:i/>
          <w:sz w:val="24"/>
        </w:rPr>
        <w:t>e</w:t>
      </w:r>
      <w:r>
        <w:rPr>
          <w:i/>
          <w:spacing w:val="40"/>
          <w:sz w:val="24"/>
        </w:rPr>
        <w:t xml:space="preserve"> </w:t>
      </w:r>
      <w:r>
        <w:rPr>
          <w:i/>
          <w:sz w:val="24"/>
        </w:rPr>
        <w:t>c)</w:t>
      </w:r>
      <w:r>
        <w:rPr>
          <w:i/>
          <w:spacing w:val="40"/>
          <w:sz w:val="24"/>
        </w:rPr>
        <w:t xml:space="preserve"> </w:t>
      </w:r>
      <w:r>
        <w:rPr>
          <w:i/>
          <w:sz w:val="24"/>
        </w:rPr>
        <w:t>investigar,</w:t>
      </w:r>
      <w:r>
        <w:rPr>
          <w:i/>
          <w:spacing w:val="40"/>
          <w:sz w:val="24"/>
        </w:rPr>
        <w:t xml:space="preserve"> </w:t>
      </w:r>
      <w:r>
        <w:rPr>
          <w:i/>
          <w:sz w:val="24"/>
        </w:rPr>
        <w:t>sancionar</w:t>
      </w:r>
      <w:r>
        <w:rPr>
          <w:i/>
          <w:spacing w:val="40"/>
          <w:sz w:val="24"/>
        </w:rPr>
        <w:t xml:space="preserve"> </w:t>
      </w:r>
      <w:r>
        <w:rPr>
          <w:i/>
          <w:sz w:val="24"/>
        </w:rPr>
        <w:t>y</w:t>
      </w:r>
      <w:r>
        <w:rPr>
          <w:i/>
          <w:spacing w:val="40"/>
          <w:sz w:val="24"/>
        </w:rPr>
        <w:t xml:space="preserve"> </w:t>
      </w:r>
      <w:r>
        <w:rPr>
          <w:i/>
          <w:sz w:val="24"/>
        </w:rPr>
        <w:t>reparar</w:t>
      </w:r>
      <w:r>
        <w:rPr>
          <w:i/>
          <w:spacing w:val="40"/>
          <w:sz w:val="24"/>
        </w:rPr>
        <w:t xml:space="preserve"> </w:t>
      </w:r>
      <w:r>
        <w:rPr>
          <w:i/>
          <w:sz w:val="24"/>
        </w:rPr>
        <w:t>la</w:t>
      </w:r>
    </w:p>
    <w:p w14:paraId="02967283" w14:textId="77777777" w:rsidR="000E52B0" w:rsidRDefault="000E52B0">
      <w:pPr>
        <w:jc w:val="both"/>
        <w:rPr>
          <w:i/>
          <w:sz w:val="24"/>
        </w:rPr>
        <w:sectPr w:rsidR="000E52B0">
          <w:pgSz w:w="11910" w:h="16840"/>
          <w:pgMar w:top="1340" w:right="720" w:bottom="1180" w:left="720" w:header="0" w:footer="995" w:gutter="0"/>
          <w:cols w:space="720"/>
        </w:sectPr>
      </w:pPr>
    </w:p>
    <w:p w14:paraId="60B3AD28" w14:textId="77777777" w:rsidR="000E52B0" w:rsidRDefault="00F60D74">
      <w:pPr>
        <w:spacing w:before="83"/>
        <w:ind w:left="720"/>
        <w:jc w:val="both"/>
        <w:rPr>
          <w:sz w:val="24"/>
        </w:rPr>
      </w:pPr>
      <w:r>
        <w:rPr>
          <w:i/>
          <w:sz w:val="24"/>
        </w:rPr>
        <w:lastRenderedPageBreak/>
        <w:t>violencia</w:t>
      </w:r>
      <w:r>
        <w:rPr>
          <w:i/>
          <w:spacing w:val="22"/>
          <w:sz w:val="24"/>
        </w:rPr>
        <w:t xml:space="preserve"> </w:t>
      </w:r>
      <w:r>
        <w:rPr>
          <w:i/>
          <w:sz w:val="24"/>
        </w:rPr>
        <w:t>estructural</w:t>
      </w:r>
      <w:r>
        <w:rPr>
          <w:i/>
          <w:spacing w:val="24"/>
          <w:sz w:val="24"/>
        </w:rPr>
        <w:t xml:space="preserve"> </w:t>
      </w:r>
      <w:r>
        <w:rPr>
          <w:i/>
          <w:sz w:val="24"/>
        </w:rPr>
        <w:t>contra</w:t>
      </w:r>
      <w:r>
        <w:rPr>
          <w:i/>
          <w:spacing w:val="25"/>
          <w:sz w:val="24"/>
        </w:rPr>
        <w:t xml:space="preserve"> </w:t>
      </w:r>
      <w:r>
        <w:rPr>
          <w:i/>
          <w:sz w:val="24"/>
        </w:rPr>
        <w:t>la</w:t>
      </w:r>
      <w:r>
        <w:rPr>
          <w:i/>
          <w:spacing w:val="27"/>
          <w:sz w:val="24"/>
        </w:rPr>
        <w:t xml:space="preserve"> </w:t>
      </w:r>
      <w:r>
        <w:rPr>
          <w:i/>
          <w:sz w:val="24"/>
        </w:rPr>
        <w:t>mujer,</w:t>
      </w:r>
      <w:r>
        <w:rPr>
          <w:i/>
          <w:spacing w:val="25"/>
          <w:sz w:val="24"/>
        </w:rPr>
        <w:t xml:space="preserve"> </w:t>
      </w:r>
      <w:r>
        <w:rPr>
          <w:i/>
          <w:sz w:val="24"/>
        </w:rPr>
        <w:t>entre</w:t>
      </w:r>
      <w:r>
        <w:rPr>
          <w:i/>
          <w:spacing w:val="25"/>
          <w:sz w:val="24"/>
        </w:rPr>
        <w:t xml:space="preserve"> </w:t>
      </w:r>
      <w:r>
        <w:rPr>
          <w:i/>
          <w:sz w:val="24"/>
        </w:rPr>
        <w:t>muchas</w:t>
      </w:r>
      <w:r>
        <w:rPr>
          <w:i/>
          <w:spacing w:val="24"/>
          <w:sz w:val="24"/>
        </w:rPr>
        <w:t xml:space="preserve"> </w:t>
      </w:r>
      <w:r>
        <w:rPr>
          <w:i/>
          <w:sz w:val="24"/>
        </w:rPr>
        <w:t>otras”</w:t>
      </w:r>
      <w:r>
        <w:rPr>
          <w:i/>
          <w:spacing w:val="34"/>
          <w:sz w:val="24"/>
        </w:rPr>
        <w:t xml:space="preserve"> </w:t>
      </w:r>
      <w:r>
        <w:rPr>
          <w:sz w:val="24"/>
        </w:rPr>
        <w:t>Sentencia</w:t>
      </w:r>
      <w:r>
        <w:rPr>
          <w:spacing w:val="25"/>
          <w:sz w:val="24"/>
        </w:rPr>
        <w:t xml:space="preserve"> </w:t>
      </w:r>
      <w:r>
        <w:rPr>
          <w:sz w:val="24"/>
        </w:rPr>
        <w:t>T</w:t>
      </w:r>
      <w:r>
        <w:rPr>
          <w:spacing w:val="28"/>
          <w:sz w:val="24"/>
        </w:rPr>
        <w:t xml:space="preserve"> </w:t>
      </w:r>
      <w:r>
        <w:rPr>
          <w:spacing w:val="-10"/>
          <w:sz w:val="24"/>
        </w:rPr>
        <w:t>–</w:t>
      </w:r>
    </w:p>
    <w:p w14:paraId="6806BFC2" w14:textId="77777777" w:rsidR="000E52B0" w:rsidRDefault="00F60D74">
      <w:pPr>
        <w:pStyle w:val="Textoindependiente"/>
        <w:spacing w:before="1"/>
        <w:jc w:val="both"/>
      </w:pPr>
      <w:r>
        <w:t>967</w:t>
      </w:r>
      <w:r>
        <w:rPr>
          <w:spacing w:val="-2"/>
        </w:rPr>
        <w:t xml:space="preserve"> </w:t>
      </w:r>
      <w:r>
        <w:t>de</w:t>
      </w:r>
      <w:r>
        <w:rPr>
          <w:spacing w:val="-2"/>
        </w:rPr>
        <w:t xml:space="preserve"> </w:t>
      </w:r>
      <w:r>
        <w:t>2014</w:t>
      </w:r>
      <w:r>
        <w:rPr>
          <w:spacing w:val="-1"/>
        </w:rPr>
        <w:t xml:space="preserve"> </w:t>
      </w:r>
      <w:r>
        <w:t>(MP</w:t>
      </w:r>
      <w:r>
        <w:rPr>
          <w:spacing w:val="-4"/>
        </w:rPr>
        <w:t xml:space="preserve"> </w:t>
      </w:r>
      <w:r>
        <w:t>Gloria</w:t>
      </w:r>
      <w:r>
        <w:rPr>
          <w:spacing w:val="-1"/>
        </w:rPr>
        <w:t xml:space="preserve"> </w:t>
      </w:r>
      <w:r>
        <w:t>Stella</w:t>
      </w:r>
      <w:r>
        <w:rPr>
          <w:spacing w:val="-2"/>
        </w:rPr>
        <w:t xml:space="preserve"> </w:t>
      </w:r>
      <w:r>
        <w:t>Ortiz</w:t>
      </w:r>
      <w:r>
        <w:rPr>
          <w:spacing w:val="-1"/>
        </w:rPr>
        <w:t xml:space="preserve"> </w:t>
      </w:r>
      <w:r>
        <w:rPr>
          <w:spacing w:val="-2"/>
        </w:rPr>
        <w:t>Delgado).</w:t>
      </w:r>
    </w:p>
    <w:p w14:paraId="65F7595B" w14:textId="77777777" w:rsidR="000E52B0" w:rsidRDefault="00F60D74">
      <w:pPr>
        <w:spacing w:before="157"/>
        <w:ind w:left="720" w:right="717"/>
        <w:jc w:val="both"/>
        <w:rPr>
          <w:i/>
          <w:sz w:val="24"/>
        </w:rPr>
      </w:pPr>
      <w:r>
        <w:rPr>
          <w:sz w:val="24"/>
        </w:rPr>
        <w:t>Las Violencias Basadas en Genero (VBG) representan un problema social que demanda los mayores esfuerzos institucionales para abordar la problemática</w:t>
      </w:r>
      <w:r>
        <w:rPr>
          <w:spacing w:val="-7"/>
          <w:sz w:val="24"/>
        </w:rPr>
        <w:t xml:space="preserve"> </w:t>
      </w:r>
      <w:r>
        <w:rPr>
          <w:sz w:val="24"/>
        </w:rPr>
        <w:t>de</w:t>
      </w:r>
      <w:r>
        <w:rPr>
          <w:spacing w:val="-5"/>
          <w:sz w:val="24"/>
        </w:rPr>
        <w:t xml:space="preserve"> </w:t>
      </w:r>
      <w:r>
        <w:rPr>
          <w:sz w:val="24"/>
        </w:rPr>
        <w:t>manera</w:t>
      </w:r>
      <w:r>
        <w:rPr>
          <w:spacing w:val="-8"/>
          <w:sz w:val="24"/>
        </w:rPr>
        <w:t xml:space="preserve"> </w:t>
      </w:r>
      <w:r>
        <w:rPr>
          <w:sz w:val="24"/>
        </w:rPr>
        <w:t>efectiva.</w:t>
      </w:r>
      <w:r>
        <w:rPr>
          <w:spacing w:val="-7"/>
          <w:sz w:val="24"/>
        </w:rPr>
        <w:t xml:space="preserve"> </w:t>
      </w:r>
      <w:r>
        <w:rPr>
          <w:sz w:val="24"/>
        </w:rPr>
        <w:t>Por</w:t>
      </w:r>
      <w:r>
        <w:rPr>
          <w:spacing w:val="-8"/>
          <w:sz w:val="24"/>
        </w:rPr>
        <w:t xml:space="preserve"> </w:t>
      </w:r>
      <w:r>
        <w:rPr>
          <w:sz w:val="24"/>
        </w:rPr>
        <w:t>esa</w:t>
      </w:r>
      <w:r>
        <w:rPr>
          <w:spacing w:val="-9"/>
          <w:sz w:val="24"/>
        </w:rPr>
        <w:t xml:space="preserve"> </w:t>
      </w:r>
      <w:r>
        <w:rPr>
          <w:sz w:val="24"/>
        </w:rPr>
        <w:t>razón,</w:t>
      </w:r>
      <w:r>
        <w:rPr>
          <w:spacing w:val="-10"/>
          <w:sz w:val="24"/>
        </w:rPr>
        <w:t xml:space="preserve"> </w:t>
      </w:r>
      <w:r>
        <w:rPr>
          <w:sz w:val="24"/>
        </w:rPr>
        <w:t>la</w:t>
      </w:r>
      <w:r>
        <w:rPr>
          <w:spacing w:val="-7"/>
          <w:sz w:val="24"/>
        </w:rPr>
        <w:t xml:space="preserve"> </w:t>
      </w:r>
      <w:r>
        <w:rPr>
          <w:sz w:val="24"/>
        </w:rPr>
        <w:t>Corte</w:t>
      </w:r>
      <w:r>
        <w:rPr>
          <w:spacing w:val="-8"/>
          <w:sz w:val="24"/>
        </w:rPr>
        <w:t xml:space="preserve"> </w:t>
      </w:r>
      <w:r>
        <w:rPr>
          <w:sz w:val="24"/>
        </w:rPr>
        <w:t>Constitucional</w:t>
      </w:r>
      <w:r>
        <w:rPr>
          <w:spacing w:val="-10"/>
          <w:sz w:val="24"/>
        </w:rPr>
        <w:t xml:space="preserve"> </w:t>
      </w:r>
      <w:r>
        <w:rPr>
          <w:sz w:val="24"/>
        </w:rPr>
        <w:t>ha reconocido</w:t>
      </w:r>
      <w:r>
        <w:rPr>
          <w:spacing w:val="-13"/>
          <w:sz w:val="24"/>
        </w:rPr>
        <w:t xml:space="preserve"> </w:t>
      </w:r>
      <w:r>
        <w:rPr>
          <w:sz w:val="24"/>
        </w:rPr>
        <w:t>el</w:t>
      </w:r>
      <w:r>
        <w:rPr>
          <w:spacing w:val="-15"/>
          <w:sz w:val="24"/>
        </w:rPr>
        <w:t xml:space="preserve"> </w:t>
      </w:r>
      <w:r>
        <w:rPr>
          <w:sz w:val="24"/>
        </w:rPr>
        <w:t>derecho</w:t>
      </w:r>
      <w:r>
        <w:rPr>
          <w:spacing w:val="-13"/>
          <w:sz w:val="24"/>
        </w:rPr>
        <w:t xml:space="preserve"> </w:t>
      </w:r>
      <w:r>
        <w:rPr>
          <w:sz w:val="24"/>
        </w:rPr>
        <w:t>fundamental</w:t>
      </w:r>
      <w:r>
        <w:rPr>
          <w:spacing w:val="-13"/>
          <w:sz w:val="24"/>
        </w:rPr>
        <w:t xml:space="preserve"> </w:t>
      </w:r>
      <w:r>
        <w:rPr>
          <w:sz w:val="24"/>
        </w:rPr>
        <w:t>de</w:t>
      </w:r>
      <w:r>
        <w:rPr>
          <w:spacing w:val="-13"/>
          <w:sz w:val="24"/>
        </w:rPr>
        <w:t xml:space="preserve"> </w:t>
      </w:r>
      <w:r>
        <w:rPr>
          <w:sz w:val="24"/>
        </w:rPr>
        <w:t>las</w:t>
      </w:r>
      <w:r>
        <w:rPr>
          <w:spacing w:val="-14"/>
          <w:sz w:val="24"/>
        </w:rPr>
        <w:t xml:space="preserve"> </w:t>
      </w:r>
      <w:r>
        <w:rPr>
          <w:sz w:val="24"/>
        </w:rPr>
        <w:t>mujeres</w:t>
      </w:r>
      <w:r>
        <w:rPr>
          <w:spacing w:val="-14"/>
          <w:sz w:val="24"/>
        </w:rPr>
        <w:t xml:space="preserve"> </w:t>
      </w:r>
      <w:r>
        <w:rPr>
          <w:sz w:val="24"/>
        </w:rPr>
        <w:t>a</w:t>
      </w:r>
      <w:r>
        <w:rPr>
          <w:spacing w:val="-14"/>
          <w:sz w:val="24"/>
        </w:rPr>
        <w:t xml:space="preserve"> </w:t>
      </w:r>
      <w:r>
        <w:rPr>
          <w:sz w:val="24"/>
        </w:rPr>
        <w:t>tener</w:t>
      </w:r>
      <w:r>
        <w:rPr>
          <w:spacing w:val="-15"/>
          <w:sz w:val="24"/>
        </w:rPr>
        <w:t xml:space="preserve"> </w:t>
      </w:r>
      <w:r>
        <w:rPr>
          <w:sz w:val="24"/>
        </w:rPr>
        <w:t>una</w:t>
      </w:r>
      <w:r>
        <w:rPr>
          <w:spacing w:val="-14"/>
          <w:sz w:val="24"/>
        </w:rPr>
        <w:t xml:space="preserve"> </w:t>
      </w:r>
      <w:r>
        <w:rPr>
          <w:sz w:val="24"/>
        </w:rPr>
        <w:t>vida</w:t>
      </w:r>
      <w:r>
        <w:rPr>
          <w:spacing w:val="-12"/>
          <w:sz w:val="24"/>
        </w:rPr>
        <w:t xml:space="preserve"> </w:t>
      </w:r>
      <w:r>
        <w:rPr>
          <w:sz w:val="24"/>
        </w:rPr>
        <w:t>libre</w:t>
      </w:r>
      <w:r>
        <w:rPr>
          <w:spacing w:val="-13"/>
          <w:sz w:val="24"/>
        </w:rPr>
        <w:t xml:space="preserve"> </w:t>
      </w:r>
      <w:r>
        <w:rPr>
          <w:sz w:val="24"/>
        </w:rPr>
        <w:t xml:space="preserve">de todo tipo de violencias. Así las cosas, el Alto Tribunal Constitucional, en la Sentencia T – 093 de 2019 (MP Alberto Rojas Ríos) , determinó que </w:t>
      </w:r>
      <w:r>
        <w:rPr>
          <w:i/>
          <w:sz w:val="24"/>
        </w:rPr>
        <w:t>“(...) partir de la definición de violencia contra la mujer puede decirse que el derecho fundamental a una vida libre de violencia consiste en la posición jurídica que tiene toda mujer, para exigirle al Estado que se abstenga de realizar</w:t>
      </w:r>
      <w:r>
        <w:rPr>
          <w:i/>
          <w:spacing w:val="-22"/>
          <w:sz w:val="24"/>
        </w:rPr>
        <w:t xml:space="preserve"> </w:t>
      </w:r>
      <w:r>
        <w:rPr>
          <w:i/>
          <w:sz w:val="24"/>
        </w:rPr>
        <w:t>conductas</w:t>
      </w:r>
      <w:r>
        <w:rPr>
          <w:i/>
          <w:spacing w:val="-21"/>
          <w:sz w:val="24"/>
        </w:rPr>
        <w:t xml:space="preserve"> </w:t>
      </w:r>
      <w:r>
        <w:rPr>
          <w:i/>
          <w:sz w:val="24"/>
        </w:rPr>
        <w:t>que</w:t>
      </w:r>
      <w:r>
        <w:rPr>
          <w:i/>
          <w:spacing w:val="-21"/>
          <w:sz w:val="24"/>
        </w:rPr>
        <w:t xml:space="preserve"> </w:t>
      </w:r>
      <w:r>
        <w:rPr>
          <w:i/>
          <w:sz w:val="24"/>
        </w:rPr>
        <w:t>constituyan</w:t>
      </w:r>
      <w:r>
        <w:rPr>
          <w:i/>
          <w:spacing w:val="-19"/>
          <w:sz w:val="24"/>
        </w:rPr>
        <w:t xml:space="preserve"> </w:t>
      </w:r>
      <w:r>
        <w:rPr>
          <w:i/>
          <w:sz w:val="24"/>
        </w:rPr>
        <w:t>una</w:t>
      </w:r>
      <w:r>
        <w:rPr>
          <w:i/>
          <w:spacing w:val="-19"/>
          <w:sz w:val="24"/>
        </w:rPr>
        <w:t xml:space="preserve"> </w:t>
      </w:r>
      <w:r>
        <w:rPr>
          <w:i/>
          <w:sz w:val="24"/>
        </w:rPr>
        <w:t>agresión</w:t>
      </w:r>
      <w:r>
        <w:rPr>
          <w:i/>
          <w:spacing w:val="-22"/>
          <w:sz w:val="24"/>
        </w:rPr>
        <w:t xml:space="preserve"> </w:t>
      </w:r>
      <w:r>
        <w:rPr>
          <w:i/>
          <w:sz w:val="24"/>
        </w:rPr>
        <w:t>en</w:t>
      </w:r>
      <w:r>
        <w:rPr>
          <w:i/>
          <w:spacing w:val="-21"/>
          <w:sz w:val="24"/>
        </w:rPr>
        <w:t xml:space="preserve"> </w:t>
      </w:r>
      <w:r>
        <w:rPr>
          <w:i/>
          <w:sz w:val="24"/>
        </w:rPr>
        <w:t>los</w:t>
      </w:r>
      <w:r>
        <w:rPr>
          <w:i/>
          <w:spacing w:val="-21"/>
          <w:sz w:val="24"/>
        </w:rPr>
        <w:t xml:space="preserve"> </w:t>
      </w:r>
      <w:r>
        <w:rPr>
          <w:i/>
          <w:sz w:val="24"/>
        </w:rPr>
        <w:t>términos</w:t>
      </w:r>
      <w:r>
        <w:rPr>
          <w:i/>
          <w:spacing w:val="-21"/>
          <w:sz w:val="24"/>
        </w:rPr>
        <w:t xml:space="preserve"> </w:t>
      </w:r>
      <w:r>
        <w:rPr>
          <w:i/>
          <w:sz w:val="24"/>
        </w:rPr>
        <w:t xml:space="preserve">expuestos, así como para exigirle que despliegue conductas que le garanticen a la mujer no ser víctima de actos de violencia por parte de los particulares </w:t>
      </w:r>
      <w:r>
        <w:rPr>
          <w:i/>
          <w:spacing w:val="-2"/>
          <w:sz w:val="24"/>
        </w:rPr>
        <w:t>(...)”</w:t>
      </w:r>
    </w:p>
    <w:p w14:paraId="5D2BD6C4" w14:textId="77777777" w:rsidR="000E52B0" w:rsidRDefault="00F60D74">
      <w:pPr>
        <w:spacing w:before="162"/>
        <w:ind w:left="720" w:right="717"/>
        <w:jc w:val="both"/>
        <w:rPr>
          <w:i/>
          <w:sz w:val="24"/>
        </w:rPr>
      </w:pPr>
      <w:r>
        <w:rPr>
          <w:sz w:val="24"/>
        </w:rPr>
        <w:t xml:space="preserve">Además, en Sentencia T-064 de 2023 (MP Cristina Pardo Schlesinger) insiste en que </w:t>
      </w:r>
      <w:r>
        <w:rPr>
          <w:i/>
          <w:sz w:val="24"/>
        </w:rPr>
        <w:t>“(...) no cabe duda sobre el amplio interés y preocupación por</w:t>
      </w:r>
      <w:r>
        <w:rPr>
          <w:i/>
          <w:spacing w:val="-12"/>
          <w:sz w:val="24"/>
        </w:rPr>
        <w:t xml:space="preserve"> </w:t>
      </w:r>
      <w:r>
        <w:rPr>
          <w:i/>
          <w:sz w:val="24"/>
        </w:rPr>
        <w:t>parte</w:t>
      </w:r>
      <w:r>
        <w:rPr>
          <w:i/>
          <w:spacing w:val="-12"/>
          <w:sz w:val="24"/>
        </w:rPr>
        <w:t xml:space="preserve"> </w:t>
      </w:r>
      <w:r>
        <w:rPr>
          <w:i/>
          <w:sz w:val="24"/>
        </w:rPr>
        <w:t>de</w:t>
      </w:r>
      <w:r>
        <w:rPr>
          <w:i/>
          <w:spacing w:val="-12"/>
          <w:sz w:val="24"/>
        </w:rPr>
        <w:t xml:space="preserve"> </w:t>
      </w:r>
      <w:r>
        <w:rPr>
          <w:i/>
          <w:sz w:val="24"/>
        </w:rPr>
        <w:t>la</w:t>
      </w:r>
      <w:r>
        <w:rPr>
          <w:i/>
          <w:spacing w:val="-10"/>
          <w:sz w:val="24"/>
        </w:rPr>
        <w:t xml:space="preserve"> </w:t>
      </w:r>
      <w:r>
        <w:rPr>
          <w:i/>
          <w:sz w:val="24"/>
        </w:rPr>
        <w:t>comunidad</w:t>
      </w:r>
      <w:r>
        <w:rPr>
          <w:i/>
          <w:spacing w:val="-13"/>
          <w:sz w:val="24"/>
        </w:rPr>
        <w:t xml:space="preserve"> </w:t>
      </w:r>
      <w:r>
        <w:rPr>
          <w:i/>
          <w:sz w:val="24"/>
        </w:rPr>
        <w:t>internacional</w:t>
      </w:r>
      <w:r>
        <w:rPr>
          <w:i/>
          <w:spacing w:val="-11"/>
          <w:sz w:val="24"/>
        </w:rPr>
        <w:t xml:space="preserve"> </w:t>
      </w:r>
      <w:r>
        <w:rPr>
          <w:i/>
          <w:sz w:val="24"/>
        </w:rPr>
        <w:t>y</w:t>
      </w:r>
      <w:r>
        <w:rPr>
          <w:i/>
          <w:spacing w:val="-13"/>
          <w:sz w:val="24"/>
        </w:rPr>
        <w:t xml:space="preserve"> </w:t>
      </w:r>
      <w:r>
        <w:rPr>
          <w:i/>
          <w:sz w:val="24"/>
        </w:rPr>
        <w:t>de</w:t>
      </w:r>
      <w:r>
        <w:rPr>
          <w:i/>
          <w:spacing w:val="-12"/>
          <w:sz w:val="24"/>
        </w:rPr>
        <w:t xml:space="preserve"> </w:t>
      </w:r>
      <w:r>
        <w:rPr>
          <w:i/>
          <w:sz w:val="24"/>
        </w:rPr>
        <w:t>los</w:t>
      </w:r>
      <w:r>
        <w:rPr>
          <w:i/>
          <w:spacing w:val="-11"/>
          <w:sz w:val="24"/>
        </w:rPr>
        <w:t xml:space="preserve"> </w:t>
      </w:r>
      <w:r>
        <w:rPr>
          <w:i/>
          <w:sz w:val="24"/>
        </w:rPr>
        <w:t>Estados</w:t>
      </w:r>
      <w:r>
        <w:rPr>
          <w:i/>
          <w:spacing w:val="-13"/>
          <w:sz w:val="24"/>
        </w:rPr>
        <w:t xml:space="preserve"> </w:t>
      </w:r>
      <w:r>
        <w:rPr>
          <w:i/>
          <w:sz w:val="24"/>
        </w:rPr>
        <w:t>que</w:t>
      </w:r>
      <w:r>
        <w:rPr>
          <w:i/>
          <w:spacing w:val="-12"/>
          <w:sz w:val="24"/>
        </w:rPr>
        <w:t xml:space="preserve"> </w:t>
      </w:r>
      <w:r>
        <w:rPr>
          <w:i/>
          <w:sz w:val="24"/>
        </w:rPr>
        <w:t>han</w:t>
      </w:r>
      <w:r>
        <w:rPr>
          <w:i/>
          <w:spacing w:val="-13"/>
          <w:sz w:val="24"/>
        </w:rPr>
        <w:t xml:space="preserve"> </w:t>
      </w:r>
      <w:r>
        <w:rPr>
          <w:i/>
          <w:sz w:val="24"/>
        </w:rPr>
        <w:t>ratificado los instrumentos internacionales en mención, en la eliminación de la violencia contra la mujer manifestada de tantas y diversas maneras en un contexto cultural y social que históricamente ha disminuido su posición dejándola en desventaja en todos los ámbitos de su vida social, laboral, familiar y cultural, entre otros. Por ello, esta corporación no desconoce la importancia de las normas jurídicas en materia de prevención de la violencia</w:t>
      </w:r>
      <w:r>
        <w:rPr>
          <w:i/>
          <w:spacing w:val="-11"/>
          <w:sz w:val="24"/>
        </w:rPr>
        <w:t xml:space="preserve"> </w:t>
      </w:r>
      <w:r>
        <w:rPr>
          <w:i/>
          <w:sz w:val="24"/>
        </w:rPr>
        <w:t>contra</w:t>
      </w:r>
      <w:r>
        <w:rPr>
          <w:i/>
          <w:spacing w:val="-10"/>
          <w:sz w:val="24"/>
        </w:rPr>
        <w:t xml:space="preserve"> </w:t>
      </w:r>
      <w:r>
        <w:rPr>
          <w:i/>
          <w:sz w:val="24"/>
        </w:rPr>
        <w:t>la</w:t>
      </w:r>
      <w:r>
        <w:rPr>
          <w:i/>
          <w:spacing w:val="-11"/>
          <w:sz w:val="24"/>
        </w:rPr>
        <w:t xml:space="preserve"> </w:t>
      </w:r>
      <w:r>
        <w:rPr>
          <w:i/>
          <w:sz w:val="24"/>
        </w:rPr>
        <w:t>mujer,</w:t>
      </w:r>
      <w:r>
        <w:rPr>
          <w:i/>
          <w:spacing w:val="-14"/>
          <w:sz w:val="24"/>
        </w:rPr>
        <w:t xml:space="preserve"> </w:t>
      </w:r>
      <w:r>
        <w:rPr>
          <w:i/>
          <w:sz w:val="24"/>
        </w:rPr>
        <w:t>pero</w:t>
      </w:r>
      <w:r>
        <w:rPr>
          <w:i/>
          <w:spacing w:val="-12"/>
          <w:sz w:val="24"/>
        </w:rPr>
        <w:t xml:space="preserve"> </w:t>
      </w:r>
      <w:r>
        <w:rPr>
          <w:i/>
          <w:sz w:val="24"/>
        </w:rPr>
        <w:t>ha</w:t>
      </w:r>
      <w:r>
        <w:rPr>
          <w:i/>
          <w:spacing w:val="-11"/>
          <w:sz w:val="24"/>
        </w:rPr>
        <w:t xml:space="preserve"> </w:t>
      </w:r>
      <w:r>
        <w:rPr>
          <w:i/>
          <w:sz w:val="24"/>
        </w:rPr>
        <w:t>resaltado</w:t>
      </w:r>
      <w:r>
        <w:rPr>
          <w:i/>
          <w:spacing w:val="-13"/>
          <w:sz w:val="24"/>
        </w:rPr>
        <w:t xml:space="preserve"> </w:t>
      </w:r>
      <w:r>
        <w:rPr>
          <w:i/>
          <w:sz w:val="24"/>
        </w:rPr>
        <w:t>que</w:t>
      </w:r>
      <w:r>
        <w:rPr>
          <w:i/>
          <w:spacing w:val="-10"/>
          <w:sz w:val="24"/>
        </w:rPr>
        <w:t xml:space="preserve"> </w:t>
      </w:r>
      <w:r>
        <w:rPr>
          <w:i/>
          <w:sz w:val="24"/>
        </w:rPr>
        <w:t>no</w:t>
      </w:r>
      <w:r>
        <w:rPr>
          <w:i/>
          <w:spacing w:val="-13"/>
          <w:sz w:val="24"/>
        </w:rPr>
        <w:t xml:space="preserve"> </w:t>
      </w:r>
      <w:r>
        <w:rPr>
          <w:i/>
          <w:sz w:val="24"/>
        </w:rPr>
        <w:t>es</w:t>
      </w:r>
      <w:r>
        <w:rPr>
          <w:i/>
          <w:spacing w:val="-14"/>
          <w:sz w:val="24"/>
        </w:rPr>
        <w:t xml:space="preserve"> </w:t>
      </w:r>
      <w:r>
        <w:rPr>
          <w:i/>
          <w:sz w:val="24"/>
        </w:rPr>
        <w:t>suficiente</w:t>
      </w:r>
      <w:r>
        <w:rPr>
          <w:i/>
          <w:spacing w:val="-13"/>
          <w:sz w:val="24"/>
        </w:rPr>
        <w:t xml:space="preserve"> </w:t>
      </w:r>
      <w:r>
        <w:rPr>
          <w:i/>
          <w:sz w:val="24"/>
        </w:rPr>
        <w:t>contar</w:t>
      </w:r>
      <w:r>
        <w:rPr>
          <w:i/>
          <w:spacing w:val="-13"/>
          <w:sz w:val="24"/>
        </w:rPr>
        <w:t xml:space="preserve"> </w:t>
      </w:r>
      <w:r>
        <w:rPr>
          <w:i/>
          <w:sz w:val="24"/>
        </w:rPr>
        <w:t>con todo</w:t>
      </w:r>
      <w:r>
        <w:rPr>
          <w:i/>
          <w:spacing w:val="-8"/>
          <w:sz w:val="24"/>
        </w:rPr>
        <w:t xml:space="preserve"> </w:t>
      </w:r>
      <w:r>
        <w:rPr>
          <w:i/>
          <w:sz w:val="24"/>
        </w:rPr>
        <w:t>un</w:t>
      </w:r>
      <w:r>
        <w:rPr>
          <w:i/>
          <w:spacing w:val="-7"/>
          <w:sz w:val="24"/>
        </w:rPr>
        <w:t xml:space="preserve"> </w:t>
      </w:r>
      <w:r>
        <w:rPr>
          <w:i/>
          <w:sz w:val="24"/>
        </w:rPr>
        <w:t>cuerpo</w:t>
      </w:r>
      <w:r>
        <w:rPr>
          <w:i/>
          <w:spacing w:val="-8"/>
          <w:sz w:val="24"/>
        </w:rPr>
        <w:t xml:space="preserve"> </w:t>
      </w:r>
      <w:r>
        <w:rPr>
          <w:i/>
          <w:sz w:val="24"/>
        </w:rPr>
        <w:t>normativo</w:t>
      </w:r>
      <w:r>
        <w:rPr>
          <w:i/>
          <w:spacing w:val="-8"/>
          <w:sz w:val="24"/>
        </w:rPr>
        <w:t xml:space="preserve"> </w:t>
      </w:r>
      <w:r>
        <w:rPr>
          <w:i/>
          <w:sz w:val="24"/>
        </w:rPr>
        <w:t>en</w:t>
      </w:r>
      <w:r>
        <w:rPr>
          <w:i/>
          <w:spacing w:val="-7"/>
          <w:sz w:val="24"/>
        </w:rPr>
        <w:t xml:space="preserve"> </w:t>
      </w:r>
      <w:r>
        <w:rPr>
          <w:i/>
          <w:sz w:val="24"/>
        </w:rPr>
        <w:t>esa</w:t>
      </w:r>
      <w:r>
        <w:rPr>
          <w:i/>
          <w:spacing w:val="-9"/>
          <w:sz w:val="24"/>
        </w:rPr>
        <w:t xml:space="preserve"> </w:t>
      </w:r>
      <w:r>
        <w:rPr>
          <w:i/>
          <w:sz w:val="24"/>
        </w:rPr>
        <w:t>materia,</w:t>
      </w:r>
      <w:r>
        <w:rPr>
          <w:i/>
          <w:spacing w:val="-10"/>
          <w:sz w:val="24"/>
        </w:rPr>
        <w:t xml:space="preserve"> </w:t>
      </w:r>
      <w:r>
        <w:rPr>
          <w:i/>
          <w:sz w:val="24"/>
        </w:rPr>
        <w:t>cuando</w:t>
      </w:r>
      <w:r>
        <w:rPr>
          <w:i/>
          <w:spacing w:val="-8"/>
          <w:sz w:val="24"/>
        </w:rPr>
        <w:t xml:space="preserve"> </w:t>
      </w:r>
      <w:r>
        <w:rPr>
          <w:i/>
          <w:sz w:val="24"/>
        </w:rPr>
        <w:t>se</w:t>
      </w:r>
      <w:r>
        <w:rPr>
          <w:i/>
          <w:spacing w:val="-5"/>
          <w:sz w:val="24"/>
        </w:rPr>
        <w:t xml:space="preserve"> </w:t>
      </w:r>
      <w:r>
        <w:rPr>
          <w:i/>
          <w:sz w:val="24"/>
        </w:rPr>
        <w:t>trata</w:t>
      </w:r>
      <w:r>
        <w:rPr>
          <w:i/>
          <w:spacing w:val="-6"/>
          <w:sz w:val="24"/>
        </w:rPr>
        <w:t xml:space="preserve"> </w:t>
      </w:r>
      <w:r>
        <w:rPr>
          <w:i/>
          <w:sz w:val="24"/>
        </w:rPr>
        <w:t>de</w:t>
      </w:r>
      <w:r>
        <w:rPr>
          <w:i/>
          <w:spacing w:val="-8"/>
          <w:sz w:val="24"/>
        </w:rPr>
        <w:t xml:space="preserve"> </w:t>
      </w:r>
      <w:r>
        <w:rPr>
          <w:i/>
          <w:sz w:val="24"/>
        </w:rPr>
        <w:t>una</w:t>
      </w:r>
      <w:r>
        <w:rPr>
          <w:i/>
          <w:spacing w:val="-9"/>
          <w:sz w:val="24"/>
        </w:rPr>
        <w:t xml:space="preserve"> </w:t>
      </w:r>
      <w:r>
        <w:rPr>
          <w:i/>
          <w:sz w:val="24"/>
        </w:rPr>
        <w:t>cuestión cultural</w:t>
      </w:r>
      <w:r>
        <w:rPr>
          <w:i/>
          <w:spacing w:val="-2"/>
          <w:sz w:val="24"/>
        </w:rPr>
        <w:t xml:space="preserve"> </w:t>
      </w:r>
      <w:r>
        <w:rPr>
          <w:i/>
          <w:sz w:val="24"/>
        </w:rPr>
        <w:t>por</w:t>
      </w:r>
      <w:r>
        <w:rPr>
          <w:i/>
          <w:spacing w:val="-1"/>
          <w:sz w:val="24"/>
        </w:rPr>
        <w:t xml:space="preserve"> </w:t>
      </w:r>
      <w:r>
        <w:rPr>
          <w:i/>
          <w:sz w:val="24"/>
        </w:rPr>
        <w:t>resolver.</w:t>
      </w:r>
      <w:r>
        <w:rPr>
          <w:i/>
          <w:spacing w:val="-3"/>
          <w:sz w:val="24"/>
        </w:rPr>
        <w:t xml:space="preserve"> </w:t>
      </w:r>
      <w:r>
        <w:rPr>
          <w:i/>
          <w:sz w:val="24"/>
        </w:rPr>
        <w:t>En</w:t>
      </w:r>
      <w:r>
        <w:rPr>
          <w:i/>
          <w:spacing w:val="-3"/>
          <w:sz w:val="24"/>
        </w:rPr>
        <w:t xml:space="preserve"> </w:t>
      </w:r>
      <w:r>
        <w:rPr>
          <w:i/>
          <w:sz w:val="24"/>
        </w:rPr>
        <w:t>este</w:t>
      </w:r>
      <w:r>
        <w:rPr>
          <w:i/>
          <w:spacing w:val="-1"/>
          <w:sz w:val="24"/>
        </w:rPr>
        <w:t xml:space="preserve"> </w:t>
      </w:r>
      <w:r>
        <w:rPr>
          <w:i/>
          <w:sz w:val="24"/>
        </w:rPr>
        <w:t>sentido</w:t>
      </w:r>
      <w:r>
        <w:rPr>
          <w:i/>
          <w:spacing w:val="-1"/>
          <w:sz w:val="24"/>
        </w:rPr>
        <w:t xml:space="preserve"> </w:t>
      </w:r>
      <w:r>
        <w:rPr>
          <w:i/>
          <w:sz w:val="24"/>
        </w:rPr>
        <w:t>ha señalado</w:t>
      </w:r>
      <w:r>
        <w:rPr>
          <w:i/>
          <w:spacing w:val="-1"/>
          <w:sz w:val="24"/>
        </w:rPr>
        <w:t xml:space="preserve"> </w:t>
      </w:r>
      <w:r>
        <w:rPr>
          <w:i/>
          <w:sz w:val="24"/>
        </w:rPr>
        <w:t>que</w:t>
      </w:r>
      <w:r>
        <w:rPr>
          <w:i/>
          <w:spacing w:val="-1"/>
          <w:sz w:val="24"/>
        </w:rPr>
        <w:t xml:space="preserve"> </w:t>
      </w:r>
      <w:r>
        <w:rPr>
          <w:i/>
          <w:sz w:val="24"/>
        </w:rPr>
        <w:t>la igualdad material de género aún constituye una meta, ya que subsisten realidades sociales desiguales. De ahí que la mujer es sujeto constitucional de especial protección</w:t>
      </w:r>
      <w:r>
        <w:rPr>
          <w:i/>
          <w:spacing w:val="-19"/>
          <w:sz w:val="24"/>
        </w:rPr>
        <w:t xml:space="preserve"> </w:t>
      </w:r>
      <w:r>
        <w:rPr>
          <w:i/>
          <w:sz w:val="24"/>
        </w:rPr>
        <w:t>y</w:t>
      </w:r>
      <w:r>
        <w:rPr>
          <w:i/>
          <w:spacing w:val="-18"/>
          <w:sz w:val="24"/>
        </w:rPr>
        <w:t xml:space="preserve"> </w:t>
      </w:r>
      <w:r>
        <w:rPr>
          <w:i/>
          <w:sz w:val="24"/>
        </w:rPr>
        <w:t>en</w:t>
      </w:r>
      <w:r>
        <w:rPr>
          <w:i/>
          <w:spacing w:val="-17"/>
          <w:sz w:val="24"/>
        </w:rPr>
        <w:t xml:space="preserve"> </w:t>
      </w:r>
      <w:r>
        <w:rPr>
          <w:i/>
          <w:sz w:val="24"/>
        </w:rPr>
        <w:t>esa</w:t>
      </w:r>
      <w:r>
        <w:rPr>
          <w:i/>
          <w:spacing w:val="-16"/>
          <w:sz w:val="24"/>
        </w:rPr>
        <w:t xml:space="preserve"> </w:t>
      </w:r>
      <w:r>
        <w:rPr>
          <w:i/>
          <w:sz w:val="24"/>
        </w:rPr>
        <w:t>medida</w:t>
      </w:r>
      <w:r>
        <w:rPr>
          <w:i/>
          <w:spacing w:val="-16"/>
          <w:sz w:val="24"/>
        </w:rPr>
        <w:t xml:space="preserve"> </w:t>
      </w:r>
      <w:r>
        <w:rPr>
          <w:i/>
          <w:sz w:val="24"/>
        </w:rPr>
        <w:t>no</w:t>
      </w:r>
      <w:r>
        <w:rPr>
          <w:i/>
          <w:spacing w:val="-18"/>
          <w:sz w:val="24"/>
        </w:rPr>
        <w:t xml:space="preserve"> </w:t>
      </w:r>
      <w:r>
        <w:rPr>
          <w:i/>
          <w:sz w:val="24"/>
        </w:rPr>
        <w:t>sólo</w:t>
      </w:r>
      <w:r>
        <w:rPr>
          <w:i/>
          <w:spacing w:val="-18"/>
          <w:sz w:val="24"/>
        </w:rPr>
        <w:t xml:space="preserve"> </w:t>
      </w:r>
      <w:r>
        <w:rPr>
          <w:i/>
          <w:sz w:val="24"/>
        </w:rPr>
        <w:t>sus</w:t>
      </w:r>
      <w:r>
        <w:rPr>
          <w:i/>
          <w:spacing w:val="-16"/>
          <w:sz w:val="24"/>
        </w:rPr>
        <w:t xml:space="preserve"> </w:t>
      </w:r>
      <w:r>
        <w:rPr>
          <w:i/>
          <w:sz w:val="24"/>
        </w:rPr>
        <w:t>derechos</w:t>
      </w:r>
      <w:r>
        <w:rPr>
          <w:i/>
          <w:spacing w:val="-19"/>
          <w:sz w:val="24"/>
        </w:rPr>
        <w:t xml:space="preserve"> </w:t>
      </w:r>
      <w:r>
        <w:rPr>
          <w:i/>
          <w:sz w:val="24"/>
        </w:rPr>
        <w:t>generales</w:t>
      </w:r>
      <w:r>
        <w:rPr>
          <w:i/>
          <w:spacing w:val="-18"/>
          <w:sz w:val="24"/>
        </w:rPr>
        <w:t xml:space="preserve"> </w:t>
      </w:r>
      <w:r>
        <w:rPr>
          <w:i/>
          <w:sz w:val="24"/>
        </w:rPr>
        <w:t>sino</w:t>
      </w:r>
      <w:r>
        <w:rPr>
          <w:i/>
          <w:spacing w:val="-18"/>
          <w:sz w:val="24"/>
        </w:rPr>
        <w:t xml:space="preserve"> </w:t>
      </w:r>
      <w:r>
        <w:rPr>
          <w:i/>
          <w:sz w:val="24"/>
        </w:rPr>
        <w:t xml:space="preserve">igualmente </w:t>
      </w:r>
      <w:r>
        <w:rPr>
          <w:i/>
          <w:spacing w:val="-2"/>
          <w:sz w:val="24"/>
        </w:rPr>
        <w:t>los</w:t>
      </w:r>
      <w:r>
        <w:rPr>
          <w:i/>
          <w:spacing w:val="-14"/>
          <w:sz w:val="24"/>
        </w:rPr>
        <w:t xml:space="preserve"> </w:t>
      </w:r>
      <w:r>
        <w:rPr>
          <w:i/>
          <w:spacing w:val="-2"/>
          <w:sz w:val="24"/>
        </w:rPr>
        <w:t>específicos,</w:t>
      </w:r>
      <w:r>
        <w:rPr>
          <w:i/>
          <w:spacing w:val="-14"/>
          <w:sz w:val="24"/>
        </w:rPr>
        <w:t xml:space="preserve"> </w:t>
      </w:r>
      <w:r>
        <w:rPr>
          <w:i/>
          <w:spacing w:val="-2"/>
          <w:sz w:val="24"/>
        </w:rPr>
        <w:t>requieren</w:t>
      </w:r>
      <w:r>
        <w:rPr>
          <w:i/>
          <w:spacing w:val="-14"/>
          <w:sz w:val="24"/>
        </w:rPr>
        <w:t xml:space="preserve"> </w:t>
      </w:r>
      <w:r>
        <w:rPr>
          <w:i/>
          <w:spacing w:val="-2"/>
          <w:sz w:val="24"/>
        </w:rPr>
        <w:t>de</w:t>
      </w:r>
      <w:r>
        <w:rPr>
          <w:i/>
          <w:spacing w:val="-13"/>
          <w:sz w:val="24"/>
        </w:rPr>
        <w:t xml:space="preserve"> </w:t>
      </w:r>
      <w:r>
        <w:rPr>
          <w:i/>
          <w:spacing w:val="-2"/>
          <w:sz w:val="24"/>
        </w:rPr>
        <w:t>atención</w:t>
      </w:r>
      <w:r>
        <w:rPr>
          <w:i/>
          <w:spacing w:val="-12"/>
          <w:sz w:val="24"/>
        </w:rPr>
        <w:t xml:space="preserve"> </w:t>
      </w:r>
      <w:r>
        <w:rPr>
          <w:i/>
          <w:spacing w:val="-2"/>
          <w:sz w:val="24"/>
        </w:rPr>
        <w:t>fija</w:t>
      </w:r>
      <w:r>
        <w:rPr>
          <w:i/>
          <w:spacing w:val="-14"/>
          <w:sz w:val="24"/>
        </w:rPr>
        <w:t xml:space="preserve"> </w:t>
      </w:r>
      <w:r>
        <w:rPr>
          <w:i/>
          <w:spacing w:val="-2"/>
          <w:sz w:val="24"/>
        </w:rPr>
        <w:t>por</w:t>
      </w:r>
      <w:r>
        <w:rPr>
          <w:i/>
          <w:spacing w:val="-13"/>
          <w:sz w:val="24"/>
        </w:rPr>
        <w:t xml:space="preserve"> </w:t>
      </w:r>
      <w:r>
        <w:rPr>
          <w:i/>
          <w:spacing w:val="-2"/>
          <w:sz w:val="24"/>
        </w:rPr>
        <w:t>parte</w:t>
      </w:r>
      <w:r>
        <w:rPr>
          <w:i/>
          <w:spacing w:val="-13"/>
          <w:sz w:val="24"/>
        </w:rPr>
        <w:t xml:space="preserve"> </w:t>
      </w:r>
      <w:r>
        <w:rPr>
          <w:i/>
          <w:spacing w:val="-2"/>
          <w:sz w:val="24"/>
        </w:rPr>
        <w:t>de</w:t>
      </w:r>
      <w:r>
        <w:rPr>
          <w:i/>
          <w:spacing w:val="-10"/>
          <w:sz w:val="24"/>
        </w:rPr>
        <w:t xml:space="preserve"> </w:t>
      </w:r>
      <w:r>
        <w:rPr>
          <w:i/>
          <w:spacing w:val="-2"/>
          <w:sz w:val="24"/>
        </w:rPr>
        <w:t>todo</w:t>
      </w:r>
      <w:r>
        <w:rPr>
          <w:i/>
          <w:spacing w:val="-11"/>
          <w:sz w:val="24"/>
        </w:rPr>
        <w:t xml:space="preserve"> </w:t>
      </w:r>
      <w:r>
        <w:rPr>
          <w:i/>
          <w:spacing w:val="-2"/>
          <w:sz w:val="24"/>
        </w:rPr>
        <w:t>el</w:t>
      </w:r>
      <w:r>
        <w:rPr>
          <w:i/>
          <w:spacing w:val="-15"/>
          <w:sz w:val="24"/>
        </w:rPr>
        <w:t xml:space="preserve"> </w:t>
      </w:r>
      <w:r>
        <w:rPr>
          <w:i/>
          <w:spacing w:val="-2"/>
          <w:sz w:val="24"/>
        </w:rPr>
        <w:t>poder</w:t>
      </w:r>
      <w:r>
        <w:rPr>
          <w:i/>
          <w:spacing w:val="-13"/>
          <w:sz w:val="24"/>
        </w:rPr>
        <w:t xml:space="preserve"> </w:t>
      </w:r>
      <w:r>
        <w:rPr>
          <w:i/>
          <w:spacing w:val="-2"/>
          <w:sz w:val="24"/>
        </w:rPr>
        <w:t xml:space="preserve">público, </w:t>
      </w:r>
      <w:r>
        <w:rPr>
          <w:i/>
          <w:sz w:val="24"/>
        </w:rPr>
        <w:t>donde se incluyen los operadores jurídicos Por tal motivo, la Corte ha considerado</w:t>
      </w:r>
      <w:r>
        <w:rPr>
          <w:i/>
          <w:spacing w:val="-13"/>
          <w:sz w:val="24"/>
        </w:rPr>
        <w:t xml:space="preserve"> </w:t>
      </w:r>
      <w:r>
        <w:rPr>
          <w:i/>
          <w:sz w:val="24"/>
        </w:rPr>
        <w:t>que</w:t>
      </w:r>
      <w:r>
        <w:rPr>
          <w:i/>
          <w:spacing w:val="-13"/>
          <w:sz w:val="24"/>
        </w:rPr>
        <w:t xml:space="preserve"> </w:t>
      </w:r>
      <w:r>
        <w:rPr>
          <w:i/>
          <w:sz w:val="24"/>
        </w:rPr>
        <w:t>los</w:t>
      </w:r>
      <w:r>
        <w:rPr>
          <w:i/>
          <w:spacing w:val="-14"/>
          <w:sz w:val="24"/>
        </w:rPr>
        <w:t xml:space="preserve"> </w:t>
      </w:r>
      <w:r>
        <w:rPr>
          <w:i/>
          <w:sz w:val="24"/>
        </w:rPr>
        <w:t>actos</w:t>
      </w:r>
      <w:r>
        <w:rPr>
          <w:i/>
          <w:spacing w:val="-14"/>
          <w:sz w:val="24"/>
        </w:rPr>
        <w:t xml:space="preserve"> </w:t>
      </w:r>
      <w:r>
        <w:rPr>
          <w:i/>
          <w:sz w:val="24"/>
        </w:rPr>
        <w:t>de</w:t>
      </w:r>
      <w:r>
        <w:rPr>
          <w:i/>
          <w:spacing w:val="-13"/>
          <w:sz w:val="24"/>
        </w:rPr>
        <w:t xml:space="preserve"> </w:t>
      </w:r>
      <w:r>
        <w:rPr>
          <w:i/>
          <w:sz w:val="24"/>
        </w:rPr>
        <w:t>violencia</w:t>
      </w:r>
      <w:r>
        <w:rPr>
          <w:i/>
          <w:spacing w:val="-14"/>
          <w:sz w:val="24"/>
        </w:rPr>
        <w:t xml:space="preserve"> </w:t>
      </w:r>
      <w:r>
        <w:rPr>
          <w:i/>
          <w:sz w:val="24"/>
        </w:rPr>
        <w:t>contra</w:t>
      </w:r>
      <w:r>
        <w:rPr>
          <w:i/>
          <w:spacing w:val="-13"/>
          <w:sz w:val="24"/>
        </w:rPr>
        <w:t xml:space="preserve"> </w:t>
      </w:r>
      <w:r>
        <w:rPr>
          <w:i/>
          <w:sz w:val="24"/>
        </w:rPr>
        <w:t>las</w:t>
      </w:r>
      <w:r>
        <w:rPr>
          <w:i/>
          <w:spacing w:val="-14"/>
          <w:sz w:val="24"/>
        </w:rPr>
        <w:t xml:space="preserve"> </w:t>
      </w:r>
      <w:r>
        <w:rPr>
          <w:i/>
          <w:sz w:val="24"/>
        </w:rPr>
        <w:t>mujeres</w:t>
      </w:r>
      <w:r>
        <w:rPr>
          <w:i/>
          <w:spacing w:val="-14"/>
          <w:sz w:val="24"/>
        </w:rPr>
        <w:t xml:space="preserve"> </w:t>
      </w:r>
      <w:r>
        <w:rPr>
          <w:i/>
          <w:sz w:val="24"/>
        </w:rPr>
        <w:t>son</w:t>
      </w:r>
      <w:r>
        <w:rPr>
          <w:i/>
          <w:spacing w:val="-14"/>
          <w:sz w:val="24"/>
        </w:rPr>
        <w:t xml:space="preserve"> </w:t>
      </w:r>
      <w:r>
        <w:rPr>
          <w:i/>
          <w:sz w:val="24"/>
        </w:rPr>
        <w:t>de</w:t>
      </w:r>
      <w:r>
        <w:rPr>
          <w:i/>
          <w:spacing w:val="-13"/>
          <w:sz w:val="24"/>
        </w:rPr>
        <w:t xml:space="preserve"> </w:t>
      </w:r>
      <w:r>
        <w:rPr>
          <w:i/>
          <w:sz w:val="24"/>
        </w:rPr>
        <w:t xml:space="preserve">gravedad, teniendo en cuenta que obstaculizan el goce efectivo de sus derechos </w:t>
      </w:r>
      <w:r>
        <w:rPr>
          <w:i/>
          <w:spacing w:val="-2"/>
          <w:sz w:val="24"/>
        </w:rPr>
        <w:t>fundamentales.”</w:t>
      </w:r>
    </w:p>
    <w:p w14:paraId="75DB0DD1" w14:textId="77777777" w:rsidR="000E52B0" w:rsidRDefault="00F60D74">
      <w:pPr>
        <w:spacing w:before="160"/>
        <w:ind w:left="720" w:right="716"/>
        <w:jc w:val="both"/>
        <w:rPr>
          <w:i/>
          <w:sz w:val="24"/>
        </w:rPr>
      </w:pPr>
      <w:r>
        <w:rPr>
          <w:sz w:val="24"/>
        </w:rPr>
        <w:t>Adicionalmente, en la Sentencia T – 140 de 2021(MP Cristina Pardo Schlesinger), la Honorable Corte Constitucional se refirió a la vida libre de violencia para las mujeres y destacó que las instituciones deben tener mecanismos adecuados para proteger a las víctimas y para implementar medidas</w:t>
      </w:r>
      <w:r>
        <w:rPr>
          <w:spacing w:val="-9"/>
          <w:sz w:val="24"/>
        </w:rPr>
        <w:t xml:space="preserve"> </w:t>
      </w:r>
      <w:r>
        <w:rPr>
          <w:sz w:val="24"/>
        </w:rPr>
        <w:t>de</w:t>
      </w:r>
      <w:r>
        <w:rPr>
          <w:spacing w:val="-8"/>
          <w:sz w:val="24"/>
        </w:rPr>
        <w:t xml:space="preserve"> </w:t>
      </w:r>
      <w:r>
        <w:rPr>
          <w:sz w:val="24"/>
        </w:rPr>
        <w:t>prevención</w:t>
      </w:r>
      <w:r>
        <w:rPr>
          <w:spacing w:val="-9"/>
          <w:sz w:val="24"/>
        </w:rPr>
        <w:t xml:space="preserve"> </w:t>
      </w:r>
      <w:r>
        <w:rPr>
          <w:sz w:val="24"/>
        </w:rPr>
        <w:t>y</w:t>
      </w:r>
      <w:r>
        <w:rPr>
          <w:spacing w:val="-9"/>
          <w:sz w:val="24"/>
        </w:rPr>
        <w:t xml:space="preserve"> </w:t>
      </w:r>
      <w:r>
        <w:rPr>
          <w:sz w:val="24"/>
        </w:rPr>
        <w:t>sanción</w:t>
      </w:r>
      <w:r>
        <w:rPr>
          <w:spacing w:val="-9"/>
          <w:sz w:val="24"/>
        </w:rPr>
        <w:t xml:space="preserve"> </w:t>
      </w:r>
      <w:r>
        <w:rPr>
          <w:sz w:val="24"/>
        </w:rPr>
        <w:t>de</w:t>
      </w:r>
      <w:r>
        <w:rPr>
          <w:spacing w:val="-8"/>
          <w:sz w:val="24"/>
        </w:rPr>
        <w:t xml:space="preserve"> </w:t>
      </w:r>
      <w:r>
        <w:rPr>
          <w:sz w:val="24"/>
        </w:rPr>
        <w:t>la</w:t>
      </w:r>
      <w:r>
        <w:rPr>
          <w:spacing w:val="-9"/>
          <w:sz w:val="24"/>
        </w:rPr>
        <w:t xml:space="preserve"> </w:t>
      </w:r>
      <w:r>
        <w:rPr>
          <w:sz w:val="24"/>
        </w:rPr>
        <w:t>violencia</w:t>
      </w:r>
      <w:r>
        <w:rPr>
          <w:spacing w:val="-9"/>
          <w:sz w:val="24"/>
        </w:rPr>
        <w:t xml:space="preserve"> </w:t>
      </w:r>
      <w:r>
        <w:rPr>
          <w:sz w:val="24"/>
        </w:rPr>
        <w:t>de</w:t>
      </w:r>
      <w:r>
        <w:rPr>
          <w:spacing w:val="-8"/>
          <w:sz w:val="24"/>
        </w:rPr>
        <w:t xml:space="preserve"> </w:t>
      </w:r>
      <w:r>
        <w:rPr>
          <w:sz w:val="24"/>
        </w:rPr>
        <w:t>género,</w:t>
      </w:r>
      <w:r>
        <w:rPr>
          <w:spacing w:val="-10"/>
          <w:sz w:val="24"/>
        </w:rPr>
        <w:t xml:space="preserve"> </w:t>
      </w:r>
      <w:r>
        <w:rPr>
          <w:sz w:val="24"/>
        </w:rPr>
        <w:t>así:</w:t>
      </w:r>
      <w:r>
        <w:rPr>
          <w:spacing w:val="-7"/>
          <w:sz w:val="24"/>
        </w:rPr>
        <w:t xml:space="preserve"> </w:t>
      </w:r>
      <w:r>
        <w:rPr>
          <w:i/>
          <w:sz w:val="24"/>
        </w:rPr>
        <w:t>“La</w:t>
      </w:r>
      <w:r>
        <w:rPr>
          <w:i/>
          <w:spacing w:val="-9"/>
          <w:sz w:val="24"/>
        </w:rPr>
        <w:t xml:space="preserve"> </w:t>
      </w:r>
      <w:r>
        <w:rPr>
          <w:i/>
          <w:sz w:val="24"/>
        </w:rPr>
        <w:t>debida diligencia, atribuye a las autoridades estatales y a los particulares la obligación de atender casos de violencia y/o discriminación contra las mujeres</w:t>
      </w:r>
      <w:r>
        <w:rPr>
          <w:i/>
          <w:spacing w:val="-9"/>
          <w:sz w:val="24"/>
        </w:rPr>
        <w:t xml:space="preserve"> </w:t>
      </w:r>
      <w:r>
        <w:rPr>
          <w:i/>
          <w:sz w:val="24"/>
        </w:rPr>
        <w:t>por</w:t>
      </w:r>
      <w:r>
        <w:rPr>
          <w:i/>
          <w:spacing w:val="-10"/>
          <w:sz w:val="24"/>
        </w:rPr>
        <w:t xml:space="preserve"> </w:t>
      </w:r>
      <w:r>
        <w:rPr>
          <w:i/>
          <w:sz w:val="24"/>
        </w:rPr>
        <w:t>motivos</w:t>
      </w:r>
      <w:r>
        <w:rPr>
          <w:i/>
          <w:spacing w:val="-9"/>
          <w:sz w:val="24"/>
        </w:rPr>
        <w:t xml:space="preserve"> </w:t>
      </w:r>
      <w:r>
        <w:rPr>
          <w:i/>
          <w:sz w:val="24"/>
        </w:rPr>
        <w:t>de</w:t>
      </w:r>
      <w:r>
        <w:rPr>
          <w:i/>
          <w:spacing w:val="-10"/>
          <w:sz w:val="24"/>
        </w:rPr>
        <w:t xml:space="preserve"> </w:t>
      </w:r>
      <w:r>
        <w:rPr>
          <w:i/>
          <w:sz w:val="24"/>
        </w:rPr>
        <w:t>género</w:t>
      </w:r>
      <w:r>
        <w:rPr>
          <w:i/>
          <w:spacing w:val="-10"/>
          <w:sz w:val="24"/>
        </w:rPr>
        <w:t xml:space="preserve"> </w:t>
      </w:r>
      <w:r>
        <w:rPr>
          <w:i/>
          <w:sz w:val="24"/>
        </w:rPr>
        <w:t>de</w:t>
      </w:r>
      <w:r>
        <w:rPr>
          <w:i/>
          <w:spacing w:val="-8"/>
          <w:sz w:val="24"/>
        </w:rPr>
        <w:t xml:space="preserve"> </w:t>
      </w:r>
      <w:r>
        <w:rPr>
          <w:i/>
          <w:sz w:val="24"/>
        </w:rPr>
        <w:t>manera</w:t>
      </w:r>
      <w:r>
        <w:rPr>
          <w:i/>
          <w:spacing w:val="-10"/>
          <w:sz w:val="24"/>
        </w:rPr>
        <w:t xml:space="preserve"> </w:t>
      </w:r>
      <w:r>
        <w:rPr>
          <w:i/>
          <w:sz w:val="24"/>
        </w:rPr>
        <w:t>célere</w:t>
      </w:r>
      <w:r>
        <w:rPr>
          <w:i/>
          <w:spacing w:val="-10"/>
          <w:sz w:val="24"/>
        </w:rPr>
        <w:t xml:space="preserve"> </w:t>
      </w:r>
      <w:r>
        <w:rPr>
          <w:i/>
          <w:sz w:val="24"/>
        </w:rPr>
        <w:t>y</w:t>
      </w:r>
      <w:r>
        <w:rPr>
          <w:i/>
          <w:spacing w:val="-9"/>
          <w:sz w:val="24"/>
        </w:rPr>
        <w:t xml:space="preserve"> </w:t>
      </w:r>
      <w:r>
        <w:rPr>
          <w:i/>
          <w:sz w:val="24"/>
        </w:rPr>
        <w:t>efectiva,</w:t>
      </w:r>
      <w:r>
        <w:rPr>
          <w:i/>
          <w:spacing w:val="-12"/>
          <w:sz w:val="24"/>
        </w:rPr>
        <w:t xml:space="preserve"> </w:t>
      </w:r>
      <w:r>
        <w:rPr>
          <w:i/>
          <w:sz w:val="24"/>
        </w:rPr>
        <w:t>sujetándose</w:t>
      </w:r>
      <w:r>
        <w:rPr>
          <w:i/>
          <w:spacing w:val="-8"/>
          <w:sz w:val="24"/>
        </w:rPr>
        <w:t xml:space="preserve"> </w:t>
      </w:r>
      <w:r>
        <w:rPr>
          <w:i/>
          <w:sz w:val="24"/>
        </w:rPr>
        <w:t>a estándares de debida diligencia.”</w:t>
      </w:r>
    </w:p>
    <w:p w14:paraId="6FAE0B5A" w14:textId="77777777" w:rsidR="000E52B0" w:rsidRDefault="000E52B0">
      <w:pPr>
        <w:jc w:val="both"/>
        <w:rPr>
          <w:i/>
          <w:sz w:val="24"/>
        </w:rPr>
        <w:sectPr w:rsidR="000E52B0">
          <w:pgSz w:w="11910" w:h="16840"/>
          <w:pgMar w:top="1340" w:right="720" w:bottom="1180" w:left="720" w:header="0" w:footer="995" w:gutter="0"/>
          <w:cols w:space="720"/>
        </w:sectPr>
      </w:pPr>
    </w:p>
    <w:p w14:paraId="02F6626D" w14:textId="77777777" w:rsidR="000E52B0" w:rsidRDefault="00F60D74">
      <w:pPr>
        <w:pStyle w:val="Textoindependiente"/>
        <w:spacing w:before="83"/>
        <w:ind w:right="713"/>
        <w:jc w:val="both"/>
      </w:pPr>
      <w:r>
        <w:lastRenderedPageBreak/>
        <w:t>Al igual que el derecho fundamental a tener una vida libre de todo tipo de violencias, la Corte ha desarrollado el derecho a la autonomía económica de las mujeres teniendo en cuenta diversidad de contextos. En particular, se</w:t>
      </w:r>
      <w:r>
        <w:rPr>
          <w:spacing w:val="-10"/>
        </w:rPr>
        <w:t xml:space="preserve"> </w:t>
      </w:r>
      <w:r>
        <w:t>retoman</w:t>
      </w:r>
      <w:r>
        <w:rPr>
          <w:spacing w:val="-12"/>
        </w:rPr>
        <w:t xml:space="preserve"> </w:t>
      </w:r>
      <w:r>
        <w:t>las</w:t>
      </w:r>
      <w:r>
        <w:rPr>
          <w:spacing w:val="-9"/>
        </w:rPr>
        <w:t xml:space="preserve"> </w:t>
      </w:r>
      <w:r>
        <w:t>experiencias</w:t>
      </w:r>
      <w:r>
        <w:rPr>
          <w:spacing w:val="-12"/>
        </w:rPr>
        <w:t xml:space="preserve"> </w:t>
      </w:r>
      <w:r>
        <w:t>de</w:t>
      </w:r>
      <w:r>
        <w:rPr>
          <w:spacing w:val="-8"/>
        </w:rPr>
        <w:t xml:space="preserve"> </w:t>
      </w:r>
      <w:r>
        <w:t>las</w:t>
      </w:r>
      <w:r>
        <w:rPr>
          <w:spacing w:val="-9"/>
        </w:rPr>
        <w:t xml:space="preserve"> </w:t>
      </w:r>
      <w:r>
        <w:t>mujeres</w:t>
      </w:r>
      <w:r>
        <w:rPr>
          <w:spacing w:val="-11"/>
        </w:rPr>
        <w:t xml:space="preserve"> </w:t>
      </w:r>
      <w:r>
        <w:t>indígenas,</w:t>
      </w:r>
      <w:r>
        <w:rPr>
          <w:spacing w:val="-10"/>
        </w:rPr>
        <w:t xml:space="preserve"> </w:t>
      </w:r>
      <w:r>
        <w:t>las</w:t>
      </w:r>
      <w:r>
        <w:rPr>
          <w:spacing w:val="-9"/>
        </w:rPr>
        <w:t xml:space="preserve"> </w:t>
      </w:r>
      <w:r>
        <w:t>mujeres</w:t>
      </w:r>
      <w:r>
        <w:rPr>
          <w:spacing w:val="-11"/>
        </w:rPr>
        <w:t xml:space="preserve"> </w:t>
      </w:r>
      <w:r>
        <w:t>urbanas que han dedicado su vida a cuidar de sus familias y no accedieron a pensión, las mujeres firmantes del Acuerdo de Paz y las mujeres afrodescendientes. A propósito de estas providencias, la Corte Constitucional ha definido que el derecho a la autonomía económica incluye,</w:t>
      </w:r>
      <w:r>
        <w:rPr>
          <w:spacing w:val="-8"/>
        </w:rPr>
        <w:t xml:space="preserve"> </w:t>
      </w:r>
      <w:r>
        <w:t>por</w:t>
      </w:r>
      <w:r>
        <w:rPr>
          <w:spacing w:val="-7"/>
        </w:rPr>
        <w:t xml:space="preserve"> </w:t>
      </w:r>
      <w:r>
        <w:t>un</w:t>
      </w:r>
      <w:r>
        <w:rPr>
          <w:spacing w:val="-6"/>
        </w:rPr>
        <w:t xml:space="preserve"> </w:t>
      </w:r>
      <w:r>
        <w:t>lado,</w:t>
      </w:r>
      <w:r>
        <w:rPr>
          <w:spacing w:val="-9"/>
        </w:rPr>
        <w:t xml:space="preserve"> </w:t>
      </w:r>
      <w:r>
        <w:t>el</w:t>
      </w:r>
      <w:r>
        <w:rPr>
          <w:spacing w:val="-9"/>
        </w:rPr>
        <w:t xml:space="preserve"> </w:t>
      </w:r>
      <w:r>
        <w:t>acceso</w:t>
      </w:r>
      <w:r>
        <w:rPr>
          <w:spacing w:val="-7"/>
        </w:rPr>
        <w:t xml:space="preserve"> </w:t>
      </w:r>
      <w:r>
        <w:t>a</w:t>
      </w:r>
      <w:r>
        <w:rPr>
          <w:spacing w:val="-8"/>
        </w:rPr>
        <w:t xml:space="preserve"> </w:t>
      </w:r>
      <w:r>
        <w:t>los</w:t>
      </w:r>
      <w:r>
        <w:rPr>
          <w:spacing w:val="-6"/>
        </w:rPr>
        <w:t xml:space="preserve"> </w:t>
      </w:r>
      <w:r>
        <w:t>recursos,</w:t>
      </w:r>
      <w:r>
        <w:rPr>
          <w:spacing w:val="-9"/>
        </w:rPr>
        <w:t xml:space="preserve"> </w:t>
      </w:r>
      <w:r>
        <w:t>el</w:t>
      </w:r>
      <w:r>
        <w:rPr>
          <w:spacing w:val="-9"/>
        </w:rPr>
        <w:t xml:space="preserve"> </w:t>
      </w:r>
      <w:r>
        <w:t>control</w:t>
      </w:r>
      <w:r>
        <w:rPr>
          <w:spacing w:val="-9"/>
        </w:rPr>
        <w:t xml:space="preserve"> </w:t>
      </w:r>
      <w:r>
        <w:t>y</w:t>
      </w:r>
      <w:r>
        <w:rPr>
          <w:spacing w:val="-6"/>
        </w:rPr>
        <w:t xml:space="preserve"> </w:t>
      </w:r>
      <w:r>
        <w:t>la</w:t>
      </w:r>
      <w:r>
        <w:rPr>
          <w:spacing w:val="-6"/>
        </w:rPr>
        <w:t xml:space="preserve"> </w:t>
      </w:r>
      <w:r>
        <w:t>administración de estos, y por el otro, la definición y el ejercicio de los medios mediante los</w:t>
      </w:r>
      <w:r>
        <w:rPr>
          <w:spacing w:val="-5"/>
        </w:rPr>
        <w:t xml:space="preserve"> </w:t>
      </w:r>
      <w:r>
        <w:t>cuales</w:t>
      </w:r>
      <w:r>
        <w:rPr>
          <w:spacing w:val="-5"/>
        </w:rPr>
        <w:t xml:space="preserve"> </w:t>
      </w:r>
      <w:r>
        <w:t>se</w:t>
      </w:r>
      <w:r>
        <w:rPr>
          <w:spacing w:val="-4"/>
        </w:rPr>
        <w:t xml:space="preserve"> </w:t>
      </w:r>
      <w:r>
        <w:t>adquieren</w:t>
      </w:r>
      <w:r>
        <w:rPr>
          <w:spacing w:val="-6"/>
        </w:rPr>
        <w:t xml:space="preserve"> </w:t>
      </w:r>
      <w:r>
        <w:t>los</w:t>
      </w:r>
      <w:r>
        <w:rPr>
          <w:spacing w:val="-5"/>
        </w:rPr>
        <w:t xml:space="preserve"> </w:t>
      </w:r>
      <w:r>
        <w:t>recursos</w:t>
      </w:r>
      <w:r>
        <w:rPr>
          <w:spacing w:val="-6"/>
        </w:rPr>
        <w:t xml:space="preserve"> </w:t>
      </w:r>
      <w:r>
        <w:t>y</w:t>
      </w:r>
      <w:r>
        <w:rPr>
          <w:spacing w:val="-6"/>
        </w:rPr>
        <w:t xml:space="preserve"> </w:t>
      </w:r>
      <w:r>
        <w:t>el</w:t>
      </w:r>
      <w:r>
        <w:rPr>
          <w:spacing w:val="-4"/>
        </w:rPr>
        <w:t xml:space="preserve"> </w:t>
      </w:r>
      <w:r>
        <w:t>patrimonio.</w:t>
      </w:r>
      <w:r>
        <w:rPr>
          <w:spacing w:val="-4"/>
        </w:rPr>
        <w:t xml:space="preserve"> </w:t>
      </w:r>
      <w:r>
        <w:t>(Corte</w:t>
      </w:r>
      <w:r>
        <w:rPr>
          <w:spacing w:val="-3"/>
        </w:rPr>
        <w:t xml:space="preserve"> </w:t>
      </w:r>
      <w:r>
        <w:t>Constitucional. Sentencias T-462-21 MP Alberto Rojas Ríos, SU091-23 MP Alejandro Linares Cantillo, SU020-22 MP Cristina Pardo Schlesinger, C-197-23 MS Juan Carlos Cortés González)</w:t>
      </w:r>
    </w:p>
    <w:p w14:paraId="412AA446" w14:textId="77777777" w:rsidR="000E52B0" w:rsidRDefault="00F60D74">
      <w:pPr>
        <w:pStyle w:val="Textoindependiente"/>
        <w:spacing w:before="160"/>
        <w:ind w:right="717"/>
        <w:jc w:val="both"/>
      </w:pPr>
      <w:r>
        <w:t>Por otra parte, en Sentencia T-582 de 2018 (MP Cristina Pardo Schlesinger), esta misma instancia se pronunció frente a los derechos de las mujeres en actividades sexuales, específicamente, a recibir atención médica y psicológica de manera integral y sin la discriminación que se genera a partir de roles, estereotipos, creencias, mitos, prácticas e imaginarios</w:t>
      </w:r>
      <w:r>
        <w:rPr>
          <w:spacing w:val="-16"/>
        </w:rPr>
        <w:t xml:space="preserve"> </w:t>
      </w:r>
      <w:r>
        <w:t>y</w:t>
      </w:r>
      <w:r>
        <w:rPr>
          <w:spacing w:val="-16"/>
        </w:rPr>
        <w:t xml:space="preserve"> </w:t>
      </w:r>
      <w:r>
        <w:t>relaciones</w:t>
      </w:r>
      <w:r>
        <w:rPr>
          <w:spacing w:val="-16"/>
        </w:rPr>
        <w:t xml:space="preserve"> </w:t>
      </w:r>
      <w:r>
        <w:t>de</w:t>
      </w:r>
      <w:r>
        <w:rPr>
          <w:spacing w:val="-15"/>
        </w:rPr>
        <w:t xml:space="preserve"> </w:t>
      </w:r>
      <w:r>
        <w:t>poder.</w:t>
      </w:r>
      <w:r>
        <w:rPr>
          <w:spacing w:val="40"/>
        </w:rPr>
        <w:t xml:space="preserve"> </w:t>
      </w:r>
      <w:r>
        <w:t>Desde</w:t>
      </w:r>
      <w:r>
        <w:rPr>
          <w:spacing w:val="-15"/>
        </w:rPr>
        <w:t xml:space="preserve"> </w:t>
      </w:r>
      <w:r>
        <w:t>este</w:t>
      </w:r>
      <w:r>
        <w:rPr>
          <w:spacing w:val="-15"/>
        </w:rPr>
        <w:t xml:space="preserve"> </w:t>
      </w:r>
      <w:r>
        <w:t>enfoque,</w:t>
      </w:r>
      <w:r>
        <w:rPr>
          <w:spacing w:val="-17"/>
        </w:rPr>
        <w:t xml:space="preserve"> </w:t>
      </w:r>
      <w:r>
        <w:t>las</w:t>
      </w:r>
      <w:r>
        <w:rPr>
          <w:spacing w:val="-16"/>
        </w:rPr>
        <w:t xml:space="preserve"> </w:t>
      </w:r>
      <w:r>
        <w:t>autoridades</w:t>
      </w:r>
      <w:r>
        <w:rPr>
          <w:spacing w:val="-16"/>
        </w:rPr>
        <w:t xml:space="preserve"> </w:t>
      </w:r>
      <w:r>
        <w:t>del Estado</w:t>
      </w:r>
      <w:r>
        <w:rPr>
          <w:spacing w:val="-17"/>
        </w:rPr>
        <w:t xml:space="preserve"> </w:t>
      </w:r>
      <w:r>
        <w:t>deben</w:t>
      </w:r>
      <w:r>
        <w:rPr>
          <w:spacing w:val="-19"/>
        </w:rPr>
        <w:t xml:space="preserve"> </w:t>
      </w:r>
      <w:r>
        <w:t>desarrollar</w:t>
      </w:r>
      <w:r>
        <w:rPr>
          <w:spacing w:val="-17"/>
        </w:rPr>
        <w:t xml:space="preserve"> </w:t>
      </w:r>
      <w:r>
        <w:t>acciones</w:t>
      </w:r>
      <w:r>
        <w:rPr>
          <w:spacing w:val="-18"/>
        </w:rPr>
        <w:t xml:space="preserve"> </w:t>
      </w:r>
      <w:r>
        <w:t>dirigidas</w:t>
      </w:r>
      <w:r>
        <w:rPr>
          <w:spacing w:val="-18"/>
        </w:rPr>
        <w:t xml:space="preserve"> </w:t>
      </w:r>
      <w:r>
        <w:t>a</w:t>
      </w:r>
      <w:r>
        <w:rPr>
          <w:spacing w:val="-18"/>
        </w:rPr>
        <w:t xml:space="preserve"> </w:t>
      </w:r>
      <w:r>
        <w:t>modificar</w:t>
      </w:r>
      <w:r>
        <w:rPr>
          <w:spacing w:val="-17"/>
        </w:rPr>
        <w:t xml:space="preserve"> </w:t>
      </w:r>
      <w:r>
        <w:t>patrones</w:t>
      </w:r>
      <w:r>
        <w:rPr>
          <w:spacing w:val="-18"/>
        </w:rPr>
        <w:t xml:space="preserve"> </w:t>
      </w:r>
      <w:r>
        <w:t>culturales, que se fundamentan en roles, estereotipos, prácticas e imaginarios, así como intervenir las relaciones asimétricas de poder que naturalizan la violencia por razones de sexo o género.</w:t>
      </w:r>
    </w:p>
    <w:p w14:paraId="1BECDF83" w14:textId="77777777" w:rsidR="000E52B0" w:rsidRDefault="00F60D74">
      <w:pPr>
        <w:spacing w:before="160"/>
        <w:ind w:left="720" w:right="715"/>
        <w:jc w:val="both"/>
        <w:rPr>
          <w:sz w:val="24"/>
        </w:rPr>
      </w:pPr>
      <w:r>
        <w:rPr>
          <w:sz w:val="24"/>
        </w:rPr>
        <w:t>Frente</w:t>
      </w:r>
      <w:r>
        <w:rPr>
          <w:spacing w:val="-7"/>
          <w:sz w:val="24"/>
        </w:rPr>
        <w:t xml:space="preserve"> </w:t>
      </w:r>
      <w:r>
        <w:rPr>
          <w:sz w:val="24"/>
        </w:rPr>
        <w:t>a</w:t>
      </w:r>
      <w:r>
        <w:rPr>
          <w:spacing w:val="-8"/>
          <w:sz w:val="24"/>
        </w:rPr>
        <w:t xml:space="preserve"> </w:t>
      </w:r>
      <w:r>
        <w:rPr>
          <w:sz w:val="24"/>
        </w:rPr>
        <w:t>los</w:t>
      </w:r>
      <w:r>
        <w:rPr>
          <w:spacing w:val="-5"/>
          <w:sz w:val="24"/>
        </w:rPr>
        <w:t xml:space="preserve"> </w:t>
      </w:r>
      <w:r>
        <w:rPr>
          <w:sz w:val="24"/>
        </w:rPr>
        <w:t>derechos</w:t>
      </w:r>
      <w:r>
        <w:rPr>
          <w:spacing w:val="-8"/>
          <w:sz w:val="24"/>
        </w:rPr>
        <w:t xml:space="preserve"> </w:t>
      </w:r>
      <w:r>
        <w:rPr>
          <w:sz w:val="24"/>
        </w:rPr>
        <w:t>sexuales</w:t>
      </w:r>
      <w:r>
        <w:rPr>
          <w:spacing w:val="-5"/>
          <w:sz w:val="24"/>
        </w:rPr>
        <w:t xml:space="preserve"> </w:t>
      </w:r>
      <w:r>
        <w:rPr>
          <w:sz w:val="24"/>
        </w:rPr>
        <w:t>y</w:t>
      </w:r>
      <w:r>
        <w:rPr>
          <w:spacing w:val="-6"/>
          <w:sz w:val="24"/>
        </w:rPr>
        <w:t xml:space="preserve"> </w:t>
      </w:r>
      <w:r>
        <w:rPr>
          <w:sz w:val="24"/>
        </w:rPr>
        <w:t>reproductivos,</w:t>
      </w:r>
      <w:r>
        <w:rPr>
          <w:spacing w:val="-9"/>
          <w:sz w:val="24"/>
        </w:rPr>
        <w:t xml:space="preserve"> </w:t>
      </w:r>
      <w:r>
        <w:rPr>
          <w:sz w:val="24"/>
        </w:rPr>
        <w:t>en</w:t>
      </w:r>
      <w:r>
        <w:rPr>
          <w:spacing w:val="-6"/>
          <w:sz w:val="24"/>
        </w:rPr>
        <w:t xml:space="preserve"> </w:t>
      </w:r>
      <w:r>
        <w:rPr>
          <w:sz w:val="24"/>
        </w:rPr>
        <w:t>la</w:t>
      </w:r>
      <w:r>
        <w:rPr>
          <w:spacing w:val="-7"/>
          <w:sz w:val="24"/>
        </w:rPr>
        <w:t xml:space="preserve"> </w:t>
      </w:r>
      <w:r>
        <w:rPr>
          <w:sz w:val="24"/>
        </w:rPr>
        <w:t>Sentencia</w:t>
      </w:r>
      <w:r>
        <w:rPr>
          <w:spacing w:val="-6"/>
          <w:sz w:val="24"/>
        </w:rPr>
        <w:t xml:space="preserve"> </w:t>
      </w:r>
      <w:r>
        <w:rPr>
          <w:sz w:val="24"/>
        </w:rPr>
        <w:t>SU-096</w:t>
      </w:r>
      <w:r>
        <w:rPr>
          <w:spacing w:val="-7"/>
          <w:sz w:val="24"/>
        </w:rPr>
        <w:t xml:space="preserve"> </w:t>
      </w:r>
      <w:r>
        <w:rPr>
          <w:sz w:val="24"/>
        </w:rPr>
        <w:t xml:space="preserve">de 2018 (MP José Fernando Reyes Cuartas), la Corte Constitucional </w:t>
      </w:r>
      <w:r>
        <w:rPr>
          <w:i/>
          <w:sz w:val="24"/>
        </w:rPr>
        <w:t>“ha precisado cual es el fundamento y el alcance de los derechos sexuales y reproductivos en el ordenamiento jurídico colombiano. En tal sentido ha indicado que la estructura de estas garantías se edifica sobre dos dimensiones. La primera, relacionada con la libertad, que supone la imposibilidad del estado y la sociedad de implantar restricciones injustificadas en contra de las determinaciones adoptadas por cada persona; y la segunda, prestacional, que implica la responsabilidad de adoptar medidas positivas para garantizar el goce efectivo de estos derechos”</w:t>
      </w:r>
      <w:r>
        <w:rPr>
          <w:sz w:val="24"/>
        </w:rPr>
        <w:t>. Esto, en concomitancia con la demás jurisprudencia relativa al aborto libre (Sentencia C-055).</w:t>
      </w:r>
    </w:p>
    <w:p w14:paraId="6947530B" w14:textId="77777777" w:rsidR="000E52B0" w:rsidRDefault="00F60D74">
      <w:pPr>
        <w:spacing w:before="161"/>
        <w:ind w:left="720" w:right="716"/>
        <w:jc w:val="both"/>
        <w:rPr>
          <w:i/>
          <w:sz w:val="24"/>
        </w:rPr>
      </w:pPr>
      <w:r>
        <w:rPr>
          <w:sz w:val="24"/>
        </w:rPr>
        <w:t>Corolario a lo expuesto, el Consejo de Estado, en sentencia del 20 de septiembre de 2017 – NR 25000-23-36-000-2017-00431-01(AC), reitera la obligación del Estado frente a la garantía de la no discriminación contra la mujer y manifiesta que “</w:t>
      </w:r>
      <w:r>
        <w:rPr>
          <w:i/>
          <w:sz w:val="24"/>
        </w:rPr>
        <w:t>El Estado colombiano se encuentra en la obligación</w:t>
      </w:r>
      <w:r>
        <w:rPr>
          <w:i/>
          <w:spacing w:val="-9"/>
          <w:sz w:val="24"/>
        </w:rPr>
        <w:t xml:space="preserve"> </w:t>
      </w:r>
      <w:r>
        <w:rPr>
          <w:i/>
          <w:sz w:val="24"/>
        </w:rPr>
        <w:t>de</w:t>
      </w:r>
      <w:r>
        <w:rPr>
          <w:i/>
          <w:spacing w:val="-10"/>
          <w:sz w:val="24"/>
        </w:rPr>
        <w:t xml:space="preserve"> </w:t>
      </w:r>
      <w:r>
        <w:rPr>
          <w:i/>
          <w:sz w:val="24"/>
        </w:rPr>
        <w:t>asumir</w:t>
      </w:r>
      <w:r>
        <w:rPr>
          <w:i/>
          <w:spacing w:val="-10"/>
          <w:sz w:val="24"/>
        </w:rPr>
        <w:t xml:space="preserve"> </w:t>
      </w:r>
      <w:r>
        <w:rPr>
          <w:i/>
          <w:sz w:val="24"/>
        </w:rPr>
        <w:t>la</w:t>
      </w:r>
      <w:r>
        <w:rPr>
          <w:i/>
          <w:spacing w:val="-9"/>
          <w:sz w:val="24"/>
        </w:rPr>
        <w:t xml:space="preserve"> </w:t>
      </w:r>
      <w:r>
        <w:rPr>
          <w:i/>
          <w:sz w:val="24"/>
        </w:rPr>
        <w:t>dirección</w:t>
      </w:r>
      <w:r>
        <w:rPr>
          <w:i/>
          <w:spacing w:val="-10"/>
          <w:sz w:val="24"/>
        </w:rPr>
        <w:t xml:space="preserve"> </w:t>
      </w:r>
      <w:r>
        <w:rPr>
          <w:i/>
          <w:sz w:val="24"/>
        </w:rPr>
        <w:t>de</w:t>
      </w:r>
      <w:r>
        <w:rPr>
          <w:i/>
          <w:spacing w:val="-8"/>
          <w:sz w:val="24"/>
        </w:rPr>
        <w:t xml:space="preserve"> </w:t>
      </w:r>
      <w:r>
        <w:rPr>
          <w:i/>
          <w:sz w:val="24"/>
        </w:rPr>
        <w:t>las</w:t>
      </w:r>
      <w:r>
        <w:rPr>
          <w:i/>
          <w:spacing w:val="-7"/>
          <w:sz w:val="24"/>
        </w:rPr>
        <w:t xml:space="preserve"> </w:t>
      </w:r>
      <w:r>
        <w:rPr>
          <w:i/>
          <w:sz w:val="24"/>
        </w:rPr>
        <w:t>políticas</w:t>
      </w:r>
      <w:r>
        <w:rPr>
          <w:i/>
          <w:spacing w:val="-10"/>
          <w:sz w:val="24"/>
        </w:rPr>
        <w:t xml:space="preserve"> </w:t>
      </w:r>
      <w:r>
        <w:rPr>
          <w:i/>
          <w:sz w:val="24"/>
        </w:rPr>
        <w:t>preventivas,</w:t>
      </w:r>
      <w:r>
        <w:rPr>
          <w:i/>
          <w:spacing w:val="-12"/>
          <w:sz w:val="24"/>
        </w:rPr>
        <w:t xml:space="preserve"> </w:t>
      </w:r>
      <w:r>
        <w:rPr>
          <w:i/>
          <w:sz w:val="24"/>
        </w:rPr>
        <w:t>de</w:t>
      </w:r>
      <w:r>
        <w:rPr>
          <w:i/>
          <w:spacing w:val="-8"/>
          <w:sz w:val="24"/>
        </w:rPr>
        <w:t xml:space="preserve"> </w:t>
      </w:r>
      <w:r>
        <w:rPr>
          <w:i/>
          <w:sz w:val="24"/>
        </w:rPr>
        <w:t>atención</w:t>
      </w:r>
      <w:r>
        <w:rPr>
          <w:i/>
          <w:spacing w:val="-12"/>
          <w:sz w:val="24"/>
        </w:rPr>
        <w:t xml:space="preserve"> </w:t>
      </w:r>
      <w:r>
        <w:rPr>
          <w:i/>
          <w:sz w:val="24"/>
        </w:rPr>
        <w:t xml:space="preserve">y correctivas frente a los hechos que sean constitutivos de discriminación contra la mujer, </w:t>
      </w:r>
      <w:proofErr w:type="gramStart"/>
      <w:r>
        <w:rPr>
          <w:i/>
          <w:sz w:val="24"/>
        </w:rPr>
        <w:t>en razón de</w:t>
      </w:r>
      <w:proofErr w:type="gramEnd"/>
      <w:r>
        <w:rPr>
          <w:i/>
          <w:sz w:val="24"/>
        </w:rPr>
        <w:t xml:space="preserve"> su condición (…)”.</w:t>
      </w:r>
    </w:p>
    <w:p w14:paraId="7049BE83" w14:textId="77777777" w:rsidR="000E52B0" w:rsidRDefault="00F60D74">
      <w:pPr>
        <w:pStyle w:val="Textoindependiente"/>
        <w:spacing w:before="159"/>
        <w:ind w:right="718"/>
        <w:jc w:val="both"/>
      </w:pPr>
      <w:r>
        <w:t>Atendiendo lo antes analizado, la puesta en marcha del Ministerio de Igualdad</w:t>
      </w:r>
      <w:r>
        <w:rPr>
          <w:spacing w:val="25"/>
        </w:rPr>
        <w:t xml:space="preserve"> </w:t>
      </w:r>
      <w:r>
        <w:t>y</w:t>
      </w:r>
      <w:r>
        <w:rPr>
          <w:spacing w:val="25"/>
        </w:rPr>
        <w:t xml:space="preserve"> </w:t>
      </w:r>
      <w:r>
        <w:t>Equidad</w:t>
      </w:r>
      <w:r>
        <w:rPr>
          <w:spacing w:val="28"/>
        </w:rPr>
        <w:t xml:space="preserve"> </w:t>
      </w:r>
      <w:r>
        <w:t>busca,</w:t>
      </w:r>
      <w:r>
        <w:rPr>
          <w:spacing w:val="25"/>
        </w:rPr>
        <w:t xml:space="preserve"> </w:t>
      </w:r>
      <w:r>
        <w:t>a</w:t>
      </w:r>
      <w:r>
        <w:rPr>
          <w:spacing w:val="29"/>
        </w:rPr>
        <w:t xml:space="preserve"> </w:t>
      </w:r>
      <w:r>
        <w:t>través</w:t>
      </w:r>
      <w:r>
        <w:rPr>
          <w:spacing w:val="28"/>
        </w:rPr>
        <w:t xml:space="preserve"> </w:t>
      </w:r>
      <w:r>
        <w:t>de</w:t>
      </w:r>
      <w:r>
        <w:rPr>
          <w:spacing w:val="26"/>
        </w:rPr>
        <w:t xml:space="preserve"> </w:t>
      </w:r>
      <w:r>
        <w:t>la</w:t>
      </w:r>
      <w:r>
        <w:rPr>
          <w:spacing w:val="29"/>
        </w:rPr>
        <w:t xml:space="preserve"> </w:t>
      </w:r>
      <w:r>
        <w:t>Dirección</w:t>
      </w:r>
      <w:r>
        <w:rPr>
          <w:spacing w:val="27"/>
        </w:rPr>
        <w:t xml:space="preserve"> </w:t>
      </w:r>
      <w:r>
        <w:t>para</w:t>
      </w:r>
      <w:r>
        <w:rPr>
          <w:spacing w:val="27"/>
        </w:rPr>
        <w:t xml:space="preserve"> </w:t>
      </w:r>
      <w:r>
        <w:t>la</w:t>
      </w:r>
      <w:r>
        <w:rPr>
          <w:spacing w:val="26"/>
        </w:rPr>
        <w:t xml:space="preserve"> </w:t>
      </w:r>
      <w:r>
        <w:t>Prevención</w:t>
      </w:r>
      <w:r>
        <w:rPr>
          <w:spacing w:val="26"/>
        </w:rPr>
        <w:t xml:space="preserve"> </w:t>
      </w:r>
      <w:r>
        <w:rPr>
          <w:spacing w:val="-10"/>
        </w:rPr>
        <w:t>y</w:t>
      </w:r>
    </w:p>
    <w:p w14:paraId="581E888C" w14:textId="77777777" w:rsidR="000E52B0" w:rsidRDefault="000E52B0">
      <w:pPr>
        <w:pStyle w:val="Textoindependiente"/>
        <w:jc w:val="both"/>
        <w:sectPr w:rsidR="000E52B0">
          <w:pgSz w:w="11910" w:h="16840"/>
          <w:pgMar w:top="1340" w:right="720" w:bottom="1180" w:left="720" w:header="0" w:footer="995" w:gutter="0"/>
          <w:cols w:space="720"/>
        </w:sectPr>
      </w:pPr>
    </w:p>
    <w:p w14:paraId="26693E80" w14:textId="77777777" w:rsidR="000E52B0" w:rsidRDefault="00F60D74">
      <w:pPr>
        <w:pStyle w:val="Textoindependiente"/>
        <w:spacing w:before="83"/>
        <w:ind w:right="716"/>
        <w:jc w:val="both"/>
      </w:pPr>
      <w:r>
        <w:lastRenderedPageBreak/>
        <w:t>Atención de las Violencias contra las Mujeres, la Dirección para la Autonomía Económica de las Mujeres, la Dirección para la Garantía de los Derechos de las Mujeres, la Dirección para las Mujeres en Actividades Sexuales</w:t>
      </w:r>
      <w:r>
        <w:rPr>
          <w:spacing w:val="-9"/>
        </w:rPr>
        <w:t xml:space="preserve"> </w:t>
      </w:r>
      <w:r>
        <w:t>Pagas</w:t>
      </w:r>
      <w:r>
        <w:rPr>
          <w:spacing w:val="-9"/>
        </w:rPr>
        <w:t xml:space="preserve"> </w:t>
      </w:r>
      <w:r>
        <w:t>y</w:t>
      </w:r>
      <w:r>
        <w:rPr>
          <w:spacing w:val="-9"/>
        </w:rPr>
        <w:t xml:space="preserve"> </w:t>
      </w:r>
      <w:r>
        <w:t>la</w:t>
      </w:r>
      <w:r>
        <w:rPr>
          <w:spacing w:val="-8"/>
        </w:rPr>
        <w:t xml:space="preserve"> </w:t>
      </w:r>
      <w:r>
        <w:t>Dirección</w:t>
      </w:r>
      <w:r>
        <w:rPr>
          <w:spacing w:val="-9"/>
        </w:rPr>
        <w:t xml:space="preserve"> </w:t>
      </w:r>
      <w:r>
        <w:t>para</w:t>
      </w:r>
      <w:r>
        <w:rPr>
          <w:spacing w:val="-9"/>
        </w:rPr>
        <w:t xml:space="preserve"> </w:t>
      </w:r>
      <w:r>
        <w:t>las</w:t>
      </w:r>
      <w:r>
        <w:rPr>
          <w:spacing w:val="-9"/>
        </w:rPr>
        <w:t xml:space="preserve"> </w:t>
      </w:r>
      <w:r>
        <w:t>Madres</w:t>
      </w:r>
      <w:r>
        <w:rPr>
          <w:spacing w:val="-7"/>
        </w:rPr>
        <w:t xml:space="preserve"> </w:t>
      </w:r>
      <w:r>
        <w:t>Cabeza</w:t>
      </w:r>
      <w:r>
        <w:rPr>
          <w:spacing w:val="-11"/>
        </w:rPr>
        <w:t xml:space="preserve"> </w:t>
      </w:r>
      <w:r>
        <w:t>de</w:t>
      </w:r>
      <w:r>
        <w:rPr>
          <w:spacing w:val="-9"/>
        </w:rPr>
        <w:t xml:space="preserve"> </w:t>
      </w:r>
      <w:r>
        <w:t>Familia,</w:t>
      </w:r>
      <w:r>
        <w:rPr>
          <w:spacing w:val="-10"/>
        </w:rPr>
        <w:t xml:space="preserve"> </w:t>
      </w:r>
      <w:r>
        <w:t>liderar</w:t>
      </w:r>
      <w:r>
        <w:rPr>
          <w:spacing w:val="-9"/>
        </w:rPr>
        <w:t xml:space="preserve"> </w:t>
      </w:r>
      <w:r>
        <w:t>la formulación, implementación, seguimiento y evaluación de políticas, planes, programas y proyectos para la promoción de los derechos de las mujeres en su diversidad y, en ese sentido, se propenda por enfrentar, prevenir,</w:t>
      </w:r>
      <w:r>
        <w:rPr>
          <w:spacing w:val="-19"/>
        </w:rPr>
        <w:t xml:space="preserve"> </w:t>
      </w:r>
      <w:r>
        <w:t>atender</w:t>
      </w:r>
      <w:r>
        <w:rPr>
          <w:spacing w:val="-17"/>
        </w:rPr>
        <w:t xml:space="preserve"> </w:t>
      </w:r>
      <w:r>
        <w:t>y</w:t>
      </w:r>
      <w:r>
        <w:rPr>
          <w:spacing w:val="-19"/>
        </w:rPr>
        <w:t xml:space="preserve"> </w:t>
      </w:r>
      <w:r>
        <w:t>eliminar</w:t>
      </w:r>
      <w:r>
        <w:rPr>
          <w:spacing w:val="40"/>
        </w:rPr>
        <w:t xml:space="preserve"> </w:t>
      </w:r>
      <w:r>
        <w:t>las</w:t>
      </w:r>
      <w:r>
        <w:rPr>
          <w:spacing w:val="-19"/>
        </w:rPr>
        <w:t xml:space="preserve"> </w:t>
      </w:r>
      <w:r>
        <w:t>formas</w:t>
      </w:r>
      <w:r>
        <w:rPr>
          <w:spacing w:val="-19"/>
        </w:rPr>
        <w:t xml:space="preserve"> </w:t>
      </w:r>
      <w:r>
        <w:t>de</w:t>
      </w:r>
      <w:r>
        <w:rPr>
          <w:spacing w:val="-17"/>
        </w:rPr>
        <w:t xml:space="preserve"> </w:t>
      </w:r>
      <w:r>
        <w:t>violencia</w:t>
      </w:r>
      <w:r>
        <w:rPr>
          <w:spacing w:val="-18"/>
        </w:rPr>
        <w:t xml:space="preserve"> </w:t>
      </w:r>
      <w:r>
        <w:t>y</w:t>
      </w:r>
      <w:r>
        <w:rPr>
          <w:spacing w:val="-19"/>
        </w:rPr>
        <w:t xml:space="preserve"> </w:t>
      </w:r>
      <w:r>
        <w:t>discriminación</w:t>
      </w:r>
      <w:r>
        <w:rPr>
          <w:spacing w:val="-19"/>
        </w:rPr>
        <w:t xml:space="preserve"> </w:t>
      </w:r>
      <w:r>
        <w:t>contra las mujeres en su diversidad; atender las mujeres víctimas de violencias basadas en género, en articulación con las instituciones encargadas de servicios</w:t>
      </w:r>
      <w:r>
        <w:rPr>
          <w:spacing w:val="-1"/>
        </w:rPr>
        <w:t xml:space="preserve"> </w:t>
      </w:r>
      <w:r>
        <w:t>de justicia, salud</w:t>
      </w:r>
      <w:r>
        <w:rPr>
          <w:spacing w:val="-1"/>
        </w:rPr>
        <w:t xml:space="preserve"> </w:t>
      </w:r>
      <w:r>
        <w:t>y</w:t>
      </w:r>
      <w:r>
        <w:rPr>
          <w:spacing w:val="-1"/>
        </w:rPr>
        <w:t xml:space="preserve"> </w:t>
      </w:r>
      <w:r>
        <w:t>educación; fomentar la</w:t>
      </w:r>
      <w:r>
        <w:rPr>
          <w:spacing w:val="-1"/>
        </w:rPr>
        <w:t xml:space="preserve"> </w:t>
      </w:r>
      <w:r>
        <w:t>autonomía</w:t>
      </w:r>
      <w:r>
        <w:rPr>
          <w:spacing w:val="-1"/>
        </w:rPr>
        <w:t xml:space="preserve"> </w:t>
      </w:r>
      <w:r>
        <w:t>económica de</w:t>
      </w:r>
      <w:r>
        <w:rPr>
          <w:spacing w:val="-10"/>
        </w:rPr>
        <w:t xml:space="preserve"> </w:t>
      </w:r>
      <w:r>
        <w:t>las</w:t>
      </w:r>
      <w:r>
        <w:rPr>
          <w:spacing w:val="-11"/>
        </w:rPr>
        <w:t xml:space="preserve"> </w:t>
      </w:r>
      <w:r>
        <w:t>mujeres</w:t>
      </w:r>
      <w:r>
        <w:rPr>
          <w:spacing w:val="-11"/>
        </w:rPr>
        <w:t xml:space="preserve"> </w:t>
      </w:r>
      <w:r>
        <w:t>a</w:t>
      </w:r>
      <w:r>
        <w:rPr>
          <w:spacing w:val="-11"/>
        </w:rPr>
        <w:t xml:space="preserve"> </w:t>
      </w:r>
      <w:r>
        <w:t>partir</w:t>
      </w:r>
      <w:r>
        <w:rPr>
          <w:spacing w:val="-10"/>
        </w:rPr>
        <w:t xml:space="preserve"> </w:t>
      </w:r>
      <w:r>
        <w:t>de</w:t>
      </w:r>
      <w:r>
        <w:rPr>
          <w:spacing w:val="-10"/>
        </w:rPr>
        <w:t xml:space="preserve"> </w:t>
      </w:r>
      <w:r>
        <w:t>la</w:t>
      </w:r>
      <w:r>
        <w:rPr>
          <w:spacing w:val="-12"/>
        </w:rPr>
        <w:t xml:space="preserve"> </w:t>
      </w:r>
      <w:r>
        <w:t>cualificación</w:t>
      </w:r>
      <w:r>
        <w:rPr>
          <w:spacing w:val="-9"/>
        </w:rPr>
        <w:t xml:space="preserve"> </w:t>
      </w:r>
      <w:r>
        <w:t>laboral</w:t>
      </w:r>
      <w:r>
        <w:rPr>
          <w:spacing w:val="-12"/>
        </w:rPr>
        <w:t xml:space="preserve"> </w:t>
      </w:r>
      <w:r>
        <w:t>de</w:t>
      </w:r>
      <w:r>
        <w:rPr>
          <w:spacing w:val="-10"/>
        </w:rPr>
        <w:t xml:space="preserve"> </w:t>
      </w:r>
      <w:r>
        <w:t>las</w:t>
      </w:r>
      <w:r>
        <w:rPr>
          <w:spacing w:val="-11"/>
        </w:rPr>
        <w:t xml:space="preserve"> </w:t>
      </w:r>
      <w:r>
        <w:t>mujeres,</w:t>
      </w:r>
      <w:r>
        <w:rPr>
          <w:spacing w:val="-12"/>
        </w:rPr>
        <w:t xml:space="preserve"> </w:t>
      </w:r>
      <w:r>
        <w:t>el</w:t>
      </w:r>
      <w:r>
        <w:rPr>
          <w:spacing w:val="-12"/>
        </w:rPr>
        <w:t xml:space="preserve"> </w:t>
      </w:r>
      <w:r>
        <w:t>impulso económico y el acceso a servicios financieros para las mujeres en su diversidad; y garantizar la autonomía de la mujer sobre su cuerpo y promover</w:t>
      </w:r>
      <w:r>
        <w:rPr>
          <w:spacing w:val="-15"/>
        </w:rPr>
        <w:t xml:space="preserve"> </w:t>
      </w:r>
      <w:r>
        <w:t>rutas</w:t>
      </w:r>
      <w:r>
        <w:rPr>
          <w:spacing w:val="-16"/>
        </w:rPr>
        <w:t xml:space="preserve"> </w:t>
      </w:r>
      <w:r>
        <w:t>de</w:t>
      </w:r>
      <w:r>
        <w:rPr>
          <w:spacing w:val="-15"/>
        </w:rPr>
        <w:t xml:space="preserve"> </w:t>
      </w:r>
      <w:r>
        <w:t>atención</w:t>
      </w:r>
      <w:r>
        <w:rPr>
          <w:spacing w:val="-17"/>
        </w:rPr>
        <w:t xml:space="preserve"> </w:t>
      </w:r>
      <w:r>
        <w:t>para</w:t>
      </w:r>
      <w:r>
        <w:rPr>
          <w:spacing w:val="-16"/>
        </w:rPr>
        <w:t xml:space="preserve"> </w:t>
      </w:r>
      <w:r>
        <w:t>la</w:t>
      </w:r>
      <w:r>
        <w:rPr>
          <w:spacing w:val="-16"/>
        </w:rPr>
        <w:t xml:space="preserve"> </w:t>
      </w:r>
      <w:r>
        <w:t>garantía</w:t>
      </w:r>
      <w:r>
        <w:rPr>
          <w:spacing w:val="-16"/>
        </w:rPr>
        <w:t xml:space="preserve"> </w:t>
      </w:r>
      <w:r>
        <w:t>de</w:t>
      </w:r>
      <w:r>
        <w:rPr>
          <w:spacing w:val="-15"/>
        </w:rPr>
        <w:t xml:space="preserve"> </w:t>
      </w:r>
      <w:r>
        <w:t>los</w:t>
      </w:r>
      <w:r>
        <w:rPr>
          <w:spacing w:val="-16"/>
        </w:rPr>
        <w:t xml:space="preserve"> </w:t>
      </w:r>
      <w:r>
        <w:t>derechos</w:t>
      </w:r>
      <w:r>
        <w:rPr>
          <w:spacing w:val="-16"/>
        </w:rPr>
        <w:t xml:space="preserve"> </w:t>
      </w:r>
      <w:r>
        <w:t>de</w:t>
      </w:r>
      <w:r>
        <w:rPr>
          <w:spacing w:val="-15"/>
        </w:rPr>
        <w:t xml:space="preserve"> </w:t>
      </w:r>
      <w:r>
        <w:t>las</w:t>
      </w:r>
      <w:r>
        <w:rPr>
          <w:spacing w:val="-16"/>
        </w:rPr>
        <w:t xml:space="preserve"> </w:t>
      </w:r>
      <w:r>
        <w:t>mujeres en actividades sexuales pagas en cualquiera de sus modalidades.</w:t>
      </w:r>
    </w:p>
    <w:p w14:paraId="2E8F6D99" w14:textId="77777777" w:rsidR="000E52B0" w:rsidRDefault="00F60D74">
      <w:pPr>
        <w:pStyle w:val="Textoindependiente"/>
        <w:spacing w:before="40"/>
        <w:jc w:val="both"/>
      </w:pPr>
      <w:bookmarkStart w:id="174" w:name="_bookmark174"/>
      <w:bookmarkEnd w:id="174"/>
      <w:r>
        <w:rPr>
          <w:color w:val="770F47"/>
        </w:rPr>
        <w:t>Población</w:t>
      </w:r>
      <w:r>
        <w:rPr>
          <w:color w:val="770F47"/>
          <w:spacing w:val="-6"/>
        </w:rPr>
        <w:t xml:space="preserve"> </w:t>
      </w:r>
      <w:r>
        <w:rPr>
          <w:color w:val="770F47"/>
          <w:spacing w:val="-2"/>
        </w:rPr>
        <w:t>LGBTIQ+.</w:t>
      </w:r>
    </w:p>
    <w:p w14:paraId="4F6C49CB" w14:textId="77777777" w:rsidR="000E52B0" w:rsidRDefault="000E52B0">
      <w:pPr>
        <w:pStyle w:val="Textoindependiente"/>
        <w:ind w:left="0"/>
      </w:pPr>
    </w:p>
    <w:p w14:paraId="0857C7F7" w14:textId="77777777" w:rsidR="000E52B0" w:rsidRDefault="00F60D74">
      <w:pPr>
        <w:pStyle w:val="Textoindependiente"/>
        <w:ind w:right="717"/>
        <w:jc w:val="both"/>
      </w:pPr>
      <w:r>
        <w:t>La población con orientaciones sexuales e identidades de género no hegemónicas (OSIGNH) enfrenta una situación crítica en términos de derechos humanos. Históricamente, esta comunidad ha sido excluida y discriminada,</w:t>
      </w:r>
      <w:r>
        <w:rPr>
          <w:spacing w:val="-6"/>
        </w:rPr>
        <w:t xml:space="preserve"> </w:t>
      </w:r>
      <w:r>
        <w:t>lo</w:t>
      </w:r>
      <w:r>
        <w:rPr>
          <w:spacing w:val="-6"/>
        </w:rPr>
        <w:t xml:space="preserve"> </w:t>
      </w:r>
      <w:r>
        <w:t>que</w:t>
      </w:r>
      <w:r>
        <w:rPr>
          <w:spacing w:val="-4"/>
        </w:rPr>
        <w:t xml:space="preserve"> </w:t>
      </w:r>
      <w:r>
        <w:t>la</w:t>
      </w:r>
      <w:r>
        <w:rPr>
          <w:spacing w:val="-7"/>
        </w:rPr>
        <w:t xml:space="preserve"> </w:t>
      </w:r>
      <w:r>
        <w:t>expone</w:t>
      </w:r>
      <w:r>
        <w:rPr>
          <w:spacing w:val="-6"/>
        </w:rPr>
        <w:t xml:space="preserve"> </w:t>
      </w:r>
      <w:r>
        <w:t>a</w:t>
      </w:r>
      <w:r>
        <w:rPr>
          <w:spacing w:val="-6"/>
        </w:rPr>
        <w:t xml:space="preserve"> </w:t>
      </w:r>
      <w:r>
        <w:t>condiciones</w:t>
      </w:r>
      <w:r>
        <w:rPr>
          <w:spacing w:val="-7"/>
        </w:rPr>
        <w:t xml:space="preserve"> </w:t>
      </w:r>
      <w:r>
        <w:t>de</w:t>
      </w:r>
      <w:r>
        <w:rPr>
          <w:spacing w:val="-6"/>
        </w:rPr>
        <w:t xml:space="preserve"> </w:t>
      </w:r>
      <w:r>
        <w:t>vulnerabilidad</w:t>
      </w:r>
      <w:r>
        <w:rPr>
          <w:spacing w:val="-7"/>
        </w:rPr>
        <w:t xml:space="preserve"> </w:t>
      </w:r>
      <w:r>
        <w:t>que</w:t>
      </w:r>
      <w:r>
        <w:rPr>
          <w:spacing w:val="-6"/>
        </w:rPr>
        <w:t xml:space="preserve"> </w:t>
      </w:r>
      <w:r>
        <w:t>afectan profundamente</w:t>
      </w:r>
      <w:r>
        <w:rPr>
          <w:spacing w:val="-9"/>
        </w:rPr>
        <w:t xml:space="preserve"> </w:t>
      </w:r>
      <w:r>
        <w:t>su</w:t>
      </w:r>
      <w:r>
        <w:rPr>
          <w:spacing w:val="-8"/>
        </w:rPr>
        <w:t xml:space="preserve"> </w:t>
      </w:r>
      <w:r>
        <w:t>calidad</w:t>
      </w:r>
      <w:r>
        <w:rPr>
          <w:spacing w:val="-10"/>
        </w:rPr>
        <w:t xml:space="preserve"> </w:t>
      </w:r>
      <w:r>
        <w:t>de</w:t>
      </w:r>
      <w:r>
        <w:rPr>
          <w:spacing w:val="-9"/>
        </w:rPr>
        <w:t xml:space="preserve"> </w:t>
      </w:r>
      <w:r>
        <w:t>vida.</w:t>
      </w:r>
      <w:r>
        <w:rPr>
          <w:spacing w:val="-8"/>
        </w:rPr>
        <w:t xml:space="preserve"> </w:t>
      </w:r>
      <w:r>
        <w:t>Estas</w:t>
      </w:r>
      <w:r>
        <w:rPr>
          <w:spacing w:val="-10"/>
        </w:rPr>
        <w:t xml:space="preserve"> </w:t>
      </w:r>
      <w:r>
        <w:t>condiciones</w:t>
      </w:r>
      <w:r>
        <w:rPr>
          <w:spacing w:val="-9"/>
        </w:rPr>
        <w:t xml:space="preserve"> </w:t>
      </w:r>
      <w:r>
        <w:t>no</w:t>
      </w:r>
      <w:r>
        <w:rPr>
          <w:spacing w:val="-9"/>
        </w:rPr>
        <w:t xml:space="preserve"> </w:t>
      </w:r>
      <w:r>
        <w:t>solo</w:t>
      </w:r>
      <w:r>
        <w:rPr>
          <w:spacing w:val="-9"/>
        </w:rPr>
        <w:t xml:space="preserve"> </w:t>
      </w:r>
      <w:r>
        <w:t>contribuyen</w:t>
      </w:r>
      <w:r>
        <w:rPr>
          <w:spacing w:val="-4"/>
        </w:rPr>
        <w:t xml:space="preserve"> </w:t>
      </w:r>
      <w:r>
        <w:t>a su precarización económica y social, sino que también crean barreras de acceso</w:t>
      </w:r>
      <w:r>
        <w:rPr>
          <w:spacing w:val="-2"/>
        </w:rPr>
        <w:t xml:space="preserve"> </w:t>
      </w:r>
      <w:r>
        <w:t>a</w:t>
      </w:r>
      <w:r>
        <w:rPr>
          <w:spacing w:val="-2"/>
        </w:rPr>
        <w:t xml:space="preserve"> </w:t>
      </w:r>
      <w:r>
        <w:t>los</w:t>
      </w:r>
      <w:r>
        <w:rPr>
          <w:spacing w:val="-2"/>
        </w:rPr>
        <w:t xml:space="preserve"> </w:t>
      </w:r>
      <w:r>
        <w:t>recursos</w:t>
      </w:r>
      <w:r>
        <w:rPr>
          <w:spacing w:val="-2"/>
        </w:rPr>
        <w:t xml:space="preserve"> </w:t>
      </w:r>
      <w:r>
        <w:t>necesarios</w:t>
      </w:r>
      <w:r>
        <w:rPr>
          <w:spacing w:val="-2"/>
        </w:rPr>
        <w:t xml:space="preserve"> </w:t>
      </w:r>
      <w:r>
        <w:t>para</w:t>
      </w:r>
      <w:r>
        <w:rPr>
          <w:spacing w:val="-2"/>
        </w:rPr>
        <w:t xml:space="preserve"> </w:t>
      </w:r>
      <w:r>
        <w:t>su</w:t>
      </w:r>
      <w:r>
        <w:rPr>
          <w:spacing w:val="-2"/>
        </w:rPr>
        <w:t xml:space="preserve"> </w:t>
      </w:r>
      <w:r>
        <w:t>desarrollo</w:t>
      </w:r>
      <w:r>
        <w:rPr>
          <w:spacing w:val="-2"/>
        </w:rPr>
        <w:t xml:space="preserve"> </w:t>
      </w:r>
      <w:r>
        <w:t>personal</w:t>
      </w:r>
      <w:r>
        <w:rPr>
          <w:spacing w:val="-3"/>
        </w:rPr>
        <w:t xml:space="preserve"> </w:t>
      </w:r>
      <w:r>
        <w:t>y</w:t>
      </w:r>
      <w:r>
        <w:rPr>
          <w:spacing w:val="-2"/>
        </w:rPr>
        <w:t xml:space="preserve"> </w:t>
      </w:r>
      <w:r>
        <w:t>profesional, limitando así su participación en la sociedad y su derecho fundamental a vivir dignamente.</w:t>
      </w:r>
    </w:p>
    <w:p w14:paraId="2A9F12B1" w14:textId="77777777" w:rsidR="000E52B0" w:rsidRDefault="00F60D74">
      <w:pPr>
        <w:pStyle w:val="Textoindependiente"/>
        <w:spacing w:before="291"/>
        <w:ind w:right="714"/>
        <w:jc w:val="both"/>
      </w:pPr>
      <w:r>
        <w:t>Pese a los pasos que se han dado para la inclusión de la comunidad LGTBIQ+,</w:t>
      </w:r>
      <w:r>
        <w:rPr>
          <w:spacing w:val="80"/>
        </w:rPr>
        <w:t xml:space="preserve"> </w:t>
      </w:r>
      <w:r>
        <w:t>la lucha por la igualdad y la eliminación de la discriminación continúa siendo una tarea crucial para garantizar que todas las personas, independientemente de su identidad de género u orientación sexual, puedan vivir en una sociales libre de excusiones.</w:t>
      </w:r>
    </w:p>
    <w:p w14:paraId="339CE07A" w14:textId="77777777" w:rsidR="000E52B0" w:rsidRDefault="00F60D74">
      <w:pPr>
        <w:spacing w:before="159"/>
        <w:ind w:left="720" w:right="715"/>
        <w:jc w:val="both"/>
        <w:rPr>
          <w:i/>
          <w:sz w:val="24"/>
        </w:rPr>
      </w:pPr>
      <w:r>
        <w:rPr>
          <w:sz w:val="24"/>
        </w:rPr>
        <w:t>La Corte Constitucional ha emitido varios pronunciamientos dirigidos</w:t>
      </w:r>
      <w:r>
        <w:rPr>
          <w:spacing w:val="40"/>
          <w:sz w:val="24"/>
        </w:rPr>
        <w:t xml:space="preserve"> </w:t>
      </w:r>
      <w:r>
        <w:rPr>
          <w:sz w:val="24"/>
        </w:rPr>
        <w:t>al amparo</w:t>
      </w:r>
      <w:r>
        <w:rPr>
          <w:spacing w:val="-9"/>
          <w:sz w:val="24"/>
        </w:rPr>
        <w:t xml:space="preserve"> </w:t>
      </w:r>
      <w:r>
        <w:rPr>
          <w:sz w:val="24"/>
        </w:rPr>
        <w:t>de</w:t>
      </w:r>
      <w:r>
        <w:rPr>
          <w:spacing w:val="-9"/>
          <w:sz w:val="24"/>
        </w:rPr>
        <w:t xml:space="preserve"> </w:t>
      </w:r>
      <w:r>
        <w:rPr>
          <w:sz w:val="24"/>
        </w:rPr>
        <w:t>derechos</w:t>
      </w:r>
      <w:r>
        <w:rPr>
          <w:spacing w:val="-10"/>
          <w:sz w:val="24"/>
        </w:rPr>
        <w:t xml:space="preserve"> </w:t>
      </w:r>
      <w:r>
        <w:rPr>
          <w:sz w:val="24"/>
        </w:rPr>
        <w:t>fundamentales</w:t>
      </w:r>
      <w:r>
        <w:rPr>
          <w:spacing w:val="-8"/>
          <w:sz w:val="24"/>
        </w:rPr>
        <w:t xml:space="preserve"> </w:t>
      </w:r>
      <w:r>
        <w:rPr>
          <w:sz w:val="24"/>
        </w:rPr>
        <w:t>de</w:t>
      </w:r>
      <w:r>
        <w:rPr>
          <w:spacing w:val="-9"/>
          <w:sz w:val="24"/>
        </w:rPr>
        <w:t xml:space="preserve"> </w:t>
      </w:r>
      <w:r>
        <w:rPr>
          <w:sz w:val="24"/>
        </w:rPr>
        <w:t>la</w:t>
      </w:r>
      <w:r>
        <w:rPr>
          <w:spacing w:val="-10"/>
          <w:sz w:val="24"/>
        </w:rPr>
        <w:t xml:space="preserve"> </w:t>
      </w:r>
      <w:r>
        <w:rPr>
          <w:sz w:val="24"/>
        </w:rPr>
        <w:t>población</w:t>
      </w:r>
      <w:r>
        <w:rPr>
          <w:spacing w:val="-10"/>
          <w:sz w:val="24"/>
        </w:rPr>
        <w:t xml:space="preserve"> </w:t>
      </w:r>
      <w:r>
        <w:rPr>
          <w:sz w:val="24"/>
        </w:rPr>
        <w:t>OSIGNH,</w:t>
      </w:r>
      <w:r>
        <w:rPr>
          <w:spacing w:val="-4"/>
          <w:sz w:val="24"/>
        </w:rPr>
        <w:t xml:space="preserve"> </w:t>
      </w:r>
      <w:r>
        <w:rPr>
          <w:sz w:val="24"/>
        </w:rPr>
        <w:t>entre</w:t>
      </w:r>
      <w:r>
        <w:rPr>
          <w:spacing w:val="-8"/>
          <w:sz w:val="24"/>
        </w:rPr>
        <w:t xml:space="preserve"> </w:t>
      </w:r>
      <w:r>
        <w:rPr>
          <w:sz w:val="24"/>
        </w:rPr>
        <w:t>los</w:t>
      </w:r>
      <w:r>
        <w:rPr>
          <w:spacing w:val="-10"/>
          <w:sz w:val="24"/>
        </w:rPr>
        <w:t xml:space="preserve"> </w:t>
      </w:r>
      <w:r>
        <w:rPr>
          <w:sz w:val="24"/>
        </w:rPr>
        <w:t>que se</w:t>
      </w:r>
      <w:r>
        <w:rPr>
          <w:spacing w:val="-3"/>
          <w:sz w:val="24"/>
        </w:rPr>
        <w:t xml:space="preserve"> </w:t>
      </w:r>
      <w:r>
        <w:rPr>
          <w:sz w:val="24"/>
        </w:rPr>
        <w:t>destaca</w:t>
      </w:r>
      <w:r>
        <w:rPr>
          <w:spacing w:val="-4"/>
          <w:sz w:val="24"/>
        </w:rPr>
        <w:t xml:space="preserve"> </w:t>
      </w:r>
      <w:r>
        <w:rPr>
          <w:sz w:val="24"/>
        </w:rPr>
        <w:t>la</w:t>
      </w:r>
      <w:r>
        <w:rPr>
          <w:spacing w:val="-1"/>
          <w:sz w:val="24"/>
        </w:rPr>
        <w:t xml:space="preserve"> </w:t>
      </w:r>
      <w:r>
        <w:rPr>
          <w:sz w:val="24"/>
        </w:rPr>
        <w:t>Sentencia</w:t>
      </w:r>
      <w:r>
        <w:rPr>
          <w:spacing w:val="-3"/>
          <w:sz w:val="24"/>
        </w:rPr>
        <w:t xml:space="preserve"> </w:t>
      </w:r>
      <w:r>
        <w:rPr>
          <w:sz w:val="24"/>
        </w:rPr>
        <w:t>T-314</w:t>
      </w:r>
      <w:r>
        <w:rPr>
          <w:spacing w:val="-3"/>
          <w:sz w:val="24"/>
        </w:rPr>
        <w:t xml:space="preserve"> </w:t>
      </w:r>
      <w:r>
        <w:rPr>
          <w:sz w:val="24"/>
        </w:rPr>
        <w:t>de</w:t>
      </w:r>
      <w:r>
        <w:rPr>
          <w:spacing w:val="-3"/>
          <w:sz w:val="24"/>
        </w:rPr>
        <w:t xml:space="preserve"> </w:t>
      </w:r>
      <w:r>
        <w:rPr>
          <w:sz w:val="24"/>
        </w:rPr>
        <w:t>2011</w:t>
      </w:r>
      <w:r>
        <w:rPr>
          <w:spacing w:val="-3"/>
          <w:sz w:val="24"/>
        </w:rPr>
        <w:t xml:space="preserve"> </w:t>
      </w:r>
      <w:r>
        <w:rPr>
          <w:sz w:val="24"/>
        </w:rPr>
        <w:t>(MP</w:t>
      </w:r>
      <w:r>
        <w:rPr>
          <w:spacing w:val="-2"/>
          <w:sz w:val="24"/>
        </w:rPr>
        <w:t xml:space="preserve"> </w:t>
      </w:r>
      <w:r>
        <w:rPr>
          <w:sz w:val="24"/>
        </w:rPr>
        <w:t>Jorge</w:t>
      </w:r>
      <w:r>
        <w:rPr>
          <w:spacing w:val="-2"/>
          <w:sz w:val="24"/>
        </w:rPr>
        <w:t xml:space="preserve"> </w:t>
      </w:r>
      <w:r>
        <w:rPr>
          <w:sz w:val="24"/>
        </w:rPr>
        <w:t>Iván</w:t>
      </w:r>
      <w:r>
        <w:rPr>
          <w:spacing w:val="-4"/>
          <w:sz w:val="24"/>
        </w:rPr>
        <w:t xml:space="preserve"> </w:t>
      </w:r>
      <w:r>
        <w:rPr>
          <w:sz w:val="24"/>
        </w:rPr>
        <w:t>Palacio</w:t>
      </w:r>
      <w:r>
        <w:rPr>
          <w:spacing w:val="-3"/>
          <w:sz w:val="24"/>
        </w:rPr>
        <w:t xml:space="preserve"> </w:t>
      </w:r>
      <w:r>
        <w:rPr>
          <w:sz w:val="24"/>
        </w:rPr>
        <w:t>Palacio),</w:t>
      </w:r>
      <w:r>
        <w:rPr>
          <w:spacing w:val="-2"/>
          <w:sz w:val="24"/>
        </w:rPr>
        <w:t xml:space="preserve"> </w:t>
      </w:r>
      <w:r>
        <w:rPr>
          <w:sz w:val="24"/>
        </w:rPr>
        <w:t xml:space="preserve">en la que el Tribunal Constitucional consideró que en </w:t>
      </w:r>
      <w:r>
        <w:rPr>
          <w:i/>
          <w:sz w:val="24"/>
        </w:rPr>
        <w:t>“(...) lo relativo a la orientación sexual como criterio de discriminación, esta Corporación ha especificado</w:t>
      </w:r>
      <w:r>
        <w:rPr>
          <w:i/>
          <w:spacing w:val="-15"/>
          <w:sz w:val="24"/>
        </w:rPr>
        <w:t xml:space="preserve"> </w:t>
      </w:r>
      <w:r>
        <w:rPr>
          <w:i/>
          <w:sz w:val="24"/>
        </w:rPr>
        <w:t>que</w:t>
      </w:r>
      <w:r>
        <w:rPr>
          <w:i/>
          <w:spacing w:val="-17"/>
          <w:sz w:val="24"/>
        </w:rPr>
        <w:t xml:space="preserve"> </w:t>
      </w:r>
      <w:r>
        <w:rPr>
          <w:i/>
          <w:sz w:val="24"/>
        </w:rPr>
        <w:t>el</w:t>
      </w:r>
      <w:r>
        <w:rPr>
          <w:i/>
          <w:spacing w:val="-17"/>
          <w:sz w:val="24"/>
        </w:rPr>
        <w:t xml:space="preserve"> </w:t>
      </w:r>
      <w:r>
        <w:rPr>
          <w:i/>
          <w:sz w:val="24"/>
        </w:rPr>
        <w:t>Estado</w:t>
      </w:r>
      <w:r>
        <w:rPr>
          <w:i/>
          <w:spacing w:val="-18"/>
          <w:sz w:val="24"/>
        </w:rPr>
        <w:t xml:space="preserve"> </w:t>
      </w:r>
      <w:r>
        <w:rPr>
          <w:i/>
          <w:sz w:val="24"/>
        </w:rPr>
        <w:t>como</w:t>
      </w:r>
      <w:r>
        <w:rPr>
          <w:i/>
          <w:spacing w:val="-15"/>
          <w:sz w:val="24"/>
        </w:rPr>
        <w:t xml:space="preserve"> </w:t>
      </w:r>
      <w:r>
        <w:rPr>
          <w:i/>
          <w:sz w:val="24"/>
        </w:rPr>
        <w:t>garante</w:t>
      </w:r>
      <w:r>
        <w:rPr>
          <w:i/>
          <w:spacing w:val="-17"/>
          <w:sz w:val="24"/>
        </w:rPr>
        <w:t xml:space="preserve"> </w:t>
      </w:r>
      <w:r>
        <w:rPr>
          <w:i/>
          <w:sz w:val="24"/>
        </w:rPr>
        <w:t>de</w:t>
      </w:r>
      <w:r>
        <w:rPr>
          <w:i/>
          <w:spacing w:val="-17"/>
          <w:sz w:val="24"/>
        </w:rPr>
        <w:t xml:space="preserve"> </w:t>
      </w:r>
      <w:r>
        <w:rPr>
          <w:i/>
          <w:sz w:val="24"/>
        </w:rPr>
        <w:t>la</w:t>
      </w:r>
      <w:r>
        <w:rPr>
          <w:i/>
          <w:spacing w:val="-18"/>
          <w:sz w:val="24"/>
        </w:rPr>
        <w:t xml:space="preserve"> </w:t>
      </w:r>
      <w:r>
        <w:rPr>
          <w:i/>
          <w:sz w:val="24"/>
        </w:rPr>
        <w:t>pluralidad</w:t>
      </w:r>
      <w:r>
        <w:rPr>
          <w:i/>
          <w:spacing w:val="-17"/>
          <w:sz w:val="24"/>
        </w:rPr>
        <w:t xml:space="preserve"> </w:t>
      </w:r>
      <w:r>
        <w:rPr>
          <w:i/>
          <w:sz w:val="24"/>
        </w:rPr>
        <w:t>de</w:t>
      </w:r>
      <w:r>
        <w:rPr>
          <w:i/>
          <w:spacing w:val="-15"/>
          <w:sz w:val="24"/>
        </w:rPr>
        <w:t xml:space="preserve"> </w:t>
      </w:r>
      <w:r>
        <w:rPr>
          <w:i/>
          <w:sz w:val="24"/>
        </w:rPr>
        <w:t>derechos,</w:t>
      </w:r>
      <w:r>
        <w:rPr>
          <w:i/>
          <w:spacing w:val="-19"/>
          <w:sz w:val="24"/>
        </w:rPr>
        <w:t xml:space="preserve"> </w:t>
      </w:r>
      <w:r>
        <w:rPr>
          <w:i/>
          <w:sz w:val="24"/>
        </w:rPr>
        <w:t>debe proteger</w:t>
      </w:r>
      <w:r>
        <w:rPr>
          <w:i/>
          <w:spacing w:val="-1"/>
          <w:sz w:val="24"/>
        </w:rPr>
        <w:t xml:space="preserve"> </w:t>
      </w:r>
      <w:r>
        <w:rPr>
          <w:i/>
          <w:sz w:val="24"/>
        </w:rPr>
        <w:t>la</w:t>
      </w:r>
      <w:r>
        <w:rPr>
          <w:i/>
          <w:spacing w:val="-2"/>
          <w:sz w:val="24"/>
        </w:rPr>
        <w:t xml:space="preserve"> </w:t>
      </w:r>
      <w:r>
        <w:rPr>
          <w:i/>
          <w:sz w:val="24"/>
        </w:rPr>
        <w:t>coexistencia</w:t>
      </w:r>
      <w:r>
        <w:rPr>
          <w:i/>
          <w:spacing w:val="-2"/>
          <w:sz w:val="24"/>
        </w:rPr>
        <w:t xml:space="preserve"> </w:t>
      </w:r>
      <w:r>
        <w:rPr>
          <w:i/>
          <w:sz w:val="24"/>
        </w:rPr>
        <w:t>las</w:t>
      </w:r>
      <w:r>
        <w:rPr>
          <w:i/>
          <w:spacing w:val="-2"/>
          <w:sz w:val="24"/>
        </w:rPr>
        <w:t xml:space="preserve"> </w:t>
      </w:r>
      <w:r>
        <w:rPr>
          <w:i/>
          <w:sz w:val="24"/>
        </w:rPr>
        <w:t>distintas</w:t>
      </w:r>
      <w:r>
        <w:rPr>
          <w:i/>
          <w:spacing w:val="-2"/>
          <w:sz w:val="24"/>
        </w:rPr>
        <w:t xml:space="preserve"> </w:t>
      </w:r>
      <w:r>
        <w:rPr>
          <w:i/>
          <w:sz w:val="24"/>
        </w:rPr>
        <w:t>manifestaciones</w:t>
      </w:r>
      <w:r>
        <w:rPr>
          <w:i/>
          <w:spacing w:val="-2"/>
          <w:sz w:val="24"/>
        </w:rPr>
        <w:t xml:space="preserve"> </w:t>
      </w:r>
      <w:r>
        <w:rPr>
          <w:i/>
          <w:sz w:val="24"/>
        </w:rPr>
        <w:t>humanas,</w:t>
      </w:r>
      <w:r>
        <w:rPr>
          <w:i/>
          <w:spacing w:val="-3"/>
          <w:sz w:val="24"/>
        </w:rPr>
        <w:t xml:space="preserve"> </w:t>
      </w:r>
      <w:r>
        <w:rPr>
          <w:i/>
          <w:sz w:val="24"/>
        </w:rPr>
        <w:t>por</w:t>
      </w:r>
      <w:r>
        <w:rPr>
          <w:i/>
          <w:spacing w:val="-1"/>
          <w:sz w:val="24"/>
        </w:rPr>
        <w:t xml:space="preserve"> </w:t>
      </w:r>
      <w:r>
        <w:rPr>
          <w:i/>
          <w:sz w:val="24"/>
        </w:rPr>
        <w:t>lo</w:t>
      </w:r>
      <w:r>
        <w:rPr>
          <w:i/>
          <w:spacing w:val="-1"/>
          <w:sz w:val="24"/>
        </w:rPr>
        <w:t xml:space="preserve"> </w:t>
      </w:r>
      <w:r>
        <w:rPr>
          <w:i/>
          <w:sz w:val="24"/>
        </w:rPr>
        <w:t xml:space="preserve">que no puede vulnerar la esfera privada, a menos que con el ejercicio del derecho se desconozcan ilegítimamente los derechos de los demás o el orden jurídico. Por </w:t>
      </w:r>
      <w:proofErr w:type="gramStart"/>
      <w:r>
        <w:rPr>
          <w:i/>
          <w:sz w:val="24"/>
        </w:rPr>
        <w:t>tanto</w:t>
      </w:r>
      <w:proofErr w:type="gramEnd"/>
      <w:r>
        <w:rPr>
          <w:i/>
          <w:sz w:val="24"/>
        </w:rPr>
        <w:t xml:space="preserve"> se debe propugnar tanto por las </w:t>
      </w:r>
      <w:proofErr w:type="gramStart"/>
      <w:r>
        <w:rPr>
          <w:i/>
          <w:sz w:val="24"/>
        </w:rPr>
        <w:t>autoridades públicas</w:t>
      </w:r>
      <w:proofErr w:type="gramEnd"/>
      <w:r>
        <w:rPr>
          <w:i/>
          <w:sz w:val="24"/>
        </w:rPr>
        <w:t xml:space="preserve"> como por parte de los particulares que las actitudes ante las expresiones sexuales diversas propias de la comunidad LGBTI, se abstengan</w:t>
      </w:r>
      <w:r>
        <w:rPr>
          <w:i/>
          <w:spacing w:val="-22"/>
          <w:sz w:val="24"/>
        </w:rPr>
        <w:t xml:space="preserve"> </w:t>
      </w:r>
      <w:r>
        <w:rPr>
          <w:i/>
          <w:sz w:val="24"/>
        </w:rPr>
        <w:t>de</w:t>
      </w:r>
      <w:r>
        <w:rPr>
          <w:i/>
          <w:spacing w:val="-21"/>
          <w:sz w:val="24"/>
        </w:rPr>
        <w:t xml:space="preserve"> </w:t>
      </w:r>
      <w:r>
        <w:rPr>
          <w:i/>
          <w:sz w:val="24"/>
        </w:rPr>
        <w:t>imponer</w:t>
      </w:r>
      <w:r>
        <w:rPr>
          <w:i/>
          <w:spacing w:val="-21"/>
          <w:sz w:val="24"/>
        </w:rPr>
        <w:t xml:space="preserve"> </w:t>
      </w:r>
      <w:r>
        <w:rPr>
          <w:i/>
          <w:sz w:val="24"/>
        </w:rPr>
        <w:t>criterios</w:t>
      </w:r>
      <w:r>
        <w:rPr>
          <w:i/>
          <w:spacing w:val="-21"/>
          <w:sz w:val="24"/>
        </w:rPr>
        <w:t xml:space="preserve"> </w:t>
      </w:r>
      <w:r>
        <w:rPr>
          <w:i/>
          <w:sz w:val="24"/>
        </w:rPr>
        <w:t>o</w:t>
      </w:r>
      <w:r>
        <w:rPr>
          <w:i/>
          <w:spacing w:val="-21"/>
          <w:sz w:val="24"/>
        </w:rPr>
        <w:t xml:space="preserve"> </w:t>
      </w:r>
      <w:r>
        <w:rPr>
          <w:i/>
          <w:sz w:val="24"/>
        </w:rPr>
        <w:t>cánones</w:t>
      </w:r>
      <w:r>
        <w:rPr>
          <w:i/>
          <w:spacing w:val="-21"/>
          <w:sz w:val="24"/>
        </w:rPr>
        <w:t xml:space="preserve"> </w:t>
      </w:r>
      <w:r>
        <w:rPr>
          <w:i/>
          <w:sz w:val="24"/>
        </w:rPr>
        <w:t>específicos</w:t>
      </w:r>
      <w:r>
        <w:rPr>
          <w:i/>
          <w:spacing w:val="-21"/>
          <w:sz w:val="24"/>
        </w:rPr>
        <w:t xml:space="preserve"> </w:t>
      </w:r>
      <w:r>
        <w:rPr>
          <w:i/>
          <w:sz w:val="24"/>
        </w:rPr>
        <w:t>basados</w:t>
      </w:r>
      <w:r>
        <w:rPr>
          <w:i/>
          <w:spacing w:val="-21"/>
          <w:sz w:val="24"/>
        </w:rPr>
        <w:t xml:space="preserve"> </w:t>
      </w:r>
      <w:r>
        <w:rPr>
          <w:i/>
          <w:sz w:val="24"/>
        </w:rPr>
        <w:t>en</w:t>
      </w:r>
      <w:r>
        <w:rPr>
          <w:i/>
          <w:spacing w:val="-21"/>
          <w:sz w:val="24"/>
        </w:rPr>
        <w:t xml:space="preserve"> </w:t>
      </w:r>
      <w:r>
        <w:rPr>
          <w:i/>
          <w:sz w:val="24"/>
        </w:rPr>
        <w:t xml:space="preserve">esquemas </w:t>
      </w:r>
      <w:r>
        <w:rPr>
          <w:i/>
          <w:spacing w:val="-2"/>
          <w:sz w:val="24"/>
        </w:rPr>
        <w:t>heterosexistas.”</w:t>
      </w:r>
    </w:p>
    <w:p w14:paraId="245C696F" w14:textId="77777777" w:rsidR="000E52B0" w:rsidRDefault="000E52B0">
      <w:pPr>
        <w:jc w:val="both"/>
        <w:rPr>
          <w:i/>
          <w:sz w:val="24"/>
        </w:rPr>
        <w:sectPr w:rsidR="000E52B0">
          <w:pgSz w:w="11910" w:h="16840"/>
          <w:pgMar w:top="1340" w:right="720" w:bottom="1180" w:left="720" w:header="0" w:footer="995" w:gutter="0"/>
          <w:cols w:space="720"/>
        </w:sectPr>
      </w:pPr>
    </w:p>
    <w:p w14:paraId="08459B3F" w14:textId="77777777" w:rsidR="000E52B0" w:rsidRDefault="00F60D74">
      <w:pPr>
        <w:pStyle w:val="Textoindependiente"/>
        <w:spacing w:before="83"/>
        <w:ind w:right="712"/>
        <w:jc w:val="both"/>
      </w:pPr>
      <w:r>
        <w:lastRenderedPageBreak/>
        <w:t>Sobre la autonomía de las personas para definir su orientación sexual e identidad de género, la Corte se ha pronunciado en diversas sentencias como</w:t>
      </w:r>
      <w:r>
        <w:rPr>
          <w:spacing w:val="-6"/>
        </w:rPr>
        <w:t xml:space="preserve"> </w:t>
      </w:r>
      <w:r>
        <w:t>una</w:t>
      </w:r>
      <w:r>
        <w:rPr>
          <w:spacing w:val="-6"/>
        </w:rPr>
        <w:t xml:space="preserve"> </w:t>
      </w:r>
      <w:r>
        <w:t>opción</w:t>
      </w:r>
      <w:r>
        <w:rPr>
          <w:spacing w:val="-4"/>
        </w:rPr>
        <w:t xml:space="preserve"> </w:t>
      </w:r>
      <w:r>
        <w:t>de</w:t>
      </w:r>
      <w:r>
        <w:rPr>
          <w:spacing w:val="-5"/>
        </w:rPr>
        <w:t xml:space="preserve"> </w:t>
      </w:r>
      <w:r>
        <w:t>vida</w:t>
      </w:r>
      <w:r>
        <w:rPr>
          <w:spacing w:val="-3"/>
        </w:rPr>
        <w:t xml:space="preserve"> </w:t>
      </w:r>
      <w:r>
        <w:t>no</w:t>
      </w:r>
      <w:r>
        <w:rPr>
          <w:spacing w:val="-6"/>
        </w:rPr>
        <w:t xml:space="preserve"> </w:t>
      </w:r>
      <w:r>
        <w:t>sometida</w:t>
      </w:r>
      <w:r>
        <w:rPr>
          <w:spacing w:val="-4"/>
        </w:rPr>
        <w:t xml:space="preserve"> </w:t>
      </w:r>
      <w:r>
        <w:t>a</w:t>
      </w:r>
      <w:r>
        <w:rPr>
          <w:spacing w:val="-3"/>
        </w:rPr>
        <w:t xml:space="preserve"> </w:t>
      </w:r>
      <w:r>
        <w:t>la</w:t>
      </w:r>
      <w:r>
        <w:rPr>
          <w:spacing w:val="-6"/>
        </w:rPr>
        <w:t xml:space="preserve"> </w:t>
      </w:r>
      <w:r>
        <w:t>interferencia</w:t>
      </w:r>
      <w:r>
        <w:rPr>
          <w:spacing w:val="-6"/>
        </w:rPr>
        <w:t xml:space="preserve"> </w:t>
      </w:r>
      <w:r>
        <w:t>o</w:t>
      </w:r>
      <w:r>
        <w:rPr>
          <w:spacing w:val="-6"/>
        </w:rPr>
        <w:t xml:space="preserve"> </w:t>
      </w:r>
      <w:r>
        <w:t>a</w:t>
      </w:r>
      <w:r>
        <w:rPr>
          <w:spacing w:val="-6"/>
        </w:rPr>
        <w:t xml:space="preserve"> </w:t>
      </w:r>
      <w:r>
        <w:t>la</w:t>
      </w:r>
      <w:r>
        <w:rPr>
          <w:spacing w:val="-6"/>
        </w:rPr>
        <w:t xml:space="preserve"> </w:t>
      </w:r>
      <w:r>
        <w:t>dirección</w:t>
      </w:r>
      <w:r>
        <w:rPr>
          <w:spacing w:val="-7"/>
        </w:rPr>
        <w:t xml:space="preserve"> </w:t>
      </w:r>
      <w:r>
        <w:t>del Estado (C-098 de 1996 MP Eduardo Cifuentes Muñoz, SU-337 de 1999 MP Alejandro Martínez Caballero, T-551 de 1999 MP Alejandro Martínez Caballero,</w:t>
      </w:r>
      <w:r>
        <w:rPr>
          <w:spacing w:val="-4"/>
        </w:rPr>
        <w:t xml:space="preserve"> </w:t>
      </w:r>
      <w:r>
        <w:t>C-507</w:t>
      </w:r>
      <w:r>
        <w:rPr>
          <w:spacing w:val="-3"/>
        </w:rPr>
        <w:t xml:space="preserve"> </w:t>
      </w:r>
      <w:r>
        <w:t>de</w:t>
      </w:r>
      <w:r>
        <w:rPr>
          <w:spacing w:val="-5"/>
        </w:rPr>
        <w:t xml:space="preserve"> </w:t>
      </w:r>
      <w:r>
        <w:t>1999</w:t>
      </w:r>
      <w:r>
        <w:rPr>
          <w:spacing w:val="-1"/>
        </w:rPr>
        <w:t xml:space="preserve"> </w:t>
      </w:r>
      <w:r>
        <w:t>MP</w:t>
      </w:r>
      <w:r>
        <w:rPr>
          <w:spacing w:val="-5"/>
        </w:rPr>
        <w:t xml:space="preserve"> </w:t>
      </w:r>
      <w:r>
        <w:t>Vladimiro</w:t>
      </w:r>
      <w:r>
        <w:rPr>
          <w:spacing w:val="-3"/>
        </w:rPr>
        <w:t xml:space="preserve"> </w:t>
      </w:r>
      <w:r>
        <w:t>Naranjo</w:t>
      </w:r>
      <w:r>
        <w:rPr>
          <w:spacing w:val="-3"/>
        </w:rPr>
        <w:t xml:space="preserve"> </w:t>
      </w:r>
      <w:r>
        <w:t>Mesa,</w:t>
      </w:r>
      <w:r>
        <w:rPr>
          <w:spacing w:val="-4"/>
        </w:rPr>
        <w:t xml:space="preserve"> </w:t>
      </w:r>
      <w:r>
        <w:t>T-1096</w:t>
      </w:r>
      <w:r>
        <w:rPr>
          <w:spacing w:val="-3"/>
        </w:rPr>
        <w:t xml:space="preserve"> </w:t>
      </w:r>
      <w:r>
        <w:t>de</w:t>
      </w:r>
      <w:r>
        <w:rPr>
          <w:spacing w:val="-5"/>
        </w:rPr>
        <w:t xml:space="preserve"> </w:t>
      </w:r>
      <w:r>
        <w:t>2004</w:t>
      </w:r>
      <w:r>
        <w:rPr>
          <w:spacing w:val="-1"/>
        </w:rPr>
        <w:t xml:space="preserve"> </w:t>
      </w:r>
      <w:r>
        <w:t>MP Manuel</w:t>
      </w:r>
      <w:r>
        <w:rPr>
          <w:spacing w:val="-17"/>
        </w:rPr>
        <w:t xml:space="preserve"> </w:t>
      </w:r>
      <w:r>
        <w:t>José</w:t>
      </w:r>
      <w:r>
        <w:rPr>
          <w:spacing w:val="-17"/>
        </w:rPr>
        <w:t xml:space="preserve"> </w:t>
      </w:r>
      <w:r>
        <w:t>Cepeda</w:t>
      </w:r>
      <w:r>
        <w:rPr>
          <w:spacing w:val="-18"/>
        </w:rPr>
        <w:t xml:space="preserve"> </w:t>
      </w:r>
      <w:r>
        <w:t>Espinosa,</w:t>
      </w:r>
      <w:r>
        <w:rPr>
          <w:spacing w:val="-19"/>
        </w:rPr>
        <w:t xml:space="preserve"> </w:t>
      </w:r>
      <w:r>
        <w:t>C-577</w:t>
      </w:r>
      <w:r>
        <w:rPr>
          <w:spacing w:val="-17"/>
        </w:rPr>
        <w:t xml:space="preserve"> </w:t>
      </w:r>
      <w:r>
        <w:t>de</w:t>
      </w:r>
      <w:r>
        <w:rPr>
          <w:spacing w:val="-15"/>
        </w:rPr>
        <w:t xml:space="preserve"> </w:t>
      </w:r>
      <w:r>
        <w:t>2011</w:t>
      </w:r>
      <w:r>
        <w:rPr>
          <w:spacing w:val="-15"/>
        </w:rPr>
        <w:t xml:space="preserve"> </w:t>
      </w:r>
      <w:r>
        <w:t>MP</w:t>
      </w:r>
      <w:r>
        <w:rPr>
          <w:spacing w:val="-19"/>
        </w:rPr>
        <w:t xml:space="preserve"> </w:t>
      </w:r>
      <w:r>
        <w:t>Gabriel</w:t>
      </w:r>
      <w:r>
        <w:rPr>
          <w:spacing w:val="-19"/>
        </w:rPr>
        <w:t xml:space="preserve"> </w:t>
      </w:r>
      <w:r>
        <w:t>Eduardo</w:t>
      </w:r>
      <w:r>
        <w:rPr>
          <w:spacing w:val="-18"/>
        </w:rPr>
        <w:t xml:space="preserve"> </w:t>
      </w:r>
      <w:r>
        <w:t>Mendoza Martelo, T-196 de 2016 MP Luis Ernesto Vargas Silva y C-584 de 2015 MP Gloria Stella Ortiz Delgado, entre otras). Igualmente, la Corte ha considerado la identidad de género y la orientación sexual como expresiones propias de la autonomía, identidad y libre desarrollo de la personalidad. Además, ha instado a subsanar vacíos existentes en la normatividad</w:t>
      </w:r>
      <w:r>
        <w:rPr>
          <w:spacing w:val="-22"/>
        </w:rPr>
        <w:t xml:space="preserve"> </w:t>
      </w:r>
      <w:r>
        <w:t>vigente</w:t>
      </w:r>
      <w:r>
        <w:rPr>
          <w:spacing w:val="-21"/>
        </w:rPr>
        <w:t xml:space="preserve"> </w:t>
      </w:r>
      <w:r>
        <w:t>con</w:t>
      </w:r>
      <w:r>
        <w:rPr>
          <w:spacing w:val="-21"/>
        </w:rPr>
        <w:t xml:space="preserve"> </w:t>
      </w:r>
      <w:r>
        <w:t>el</w:t>
      </w:r>
      <w:r>
        <w:rPr>
          <w:spacing w:val="-21"/>
        </w:rPr>
        <w:t xml:space="preserve"> </w:t>
      </w:r>
      <w:r>
        <w:t>objeto</w:t>
      </w:r>
      <w:r>
        <w:rPr>
          <w:spacing w:val="-21"/>
        </w:rPr>
        <w:t xml:space="preserve"> </w:t>
      </w:r>
      <w:r>
        <w:t>de</w:t>
      </w:r>
      <w:r>
        <w:rPr>
          <w:spacing w:val="-21"/>
        </w:rPr>
        <w:t xml:space="preserve"> </w:t>
      </w:r>
      <w:r>
        <w:t>ampliar</w:t>
      </w:r>
      <w:r>
        <w:rPr>
          <w:spacing w:val="-21"/>
        </w:rPr>
        <w:t xml:space="preserve"> </w:t>
      </w:r>
      <w:r>
        <w:t>la</w:t>
      </w:r>
      <w:r>
        <w:rPr>
          <w:spacing w:val="-21"/>
        </w:rPr>
        <w:t xml:space="preserve"> </w:t>
      </w:r>
      <w:r>
        <w:t>protección</w:t>
      </w:r>
      <w:r>
        <w:rPr>
          <w:spacing w:val="-21"/>
        </w:rPr>
        <w:t xml:space="preserve"> </w:t>
      </w:r>
      <w:r>
        <w:t>y</w:t>
      </w:r>
      <w:r>
        <w:rPr>
          <w:spacing w:val="-21"/>
        </w:rPr>
        <w:t xml:space="preserve"> </w:t>
      </w:r>
      <w:r>
        <w:t>eliminar</w:t>
      </w:r>
      <w:r>
        <w:rPr>
          <w:spacing w:val="-21"/>
        </w:rPr>
        <w:t xml:space="preserve"> </w:t>
      </w:r>
      <w:r>
        <w:t>todas las formas de discriminación.</w:t>
      </w:r>
    </w:p>
    <w:p w14:paraId="71618425" w14:textId="77777777" w:rsidR="000E52B0" w:rsidRDefault="00F60D74">
      <w:pPr>
        <w:pStyle w:val="Textoindependiente"/>
        <w:spacing w:before="160"/>
        <w:ind w:right="718"/>
        <w:jc w:val="both"/>
      </w:pPr>
      <w:r>
        <w:t>Con relación a los escenarios constitucionales que comprometen el goce efectivo de derechos en razón a la intersexualidad, la orientación sexual e identidades de género diversas, la Corte determinó estándares de protección entre los que se destacan la posibilidad de que las parejas del mismo sexo:</w:t>
      </w:r>
    </w:p>
    <w:p w14:paraId="45176B7D" w14:textId="77777777" w:rsidR="000E52B0" w:rsidRDefault="00F60D74">
      <w:pPr>
        <w:pStyle w:val="Prrafodelista"/>
        <w:numPr>
          <w:ilvl w:val="0"/>
          <w:numId w:val="43"/>
        </w:numPr>
        <w:tabs>
          <w:tab w:val="left" w:pos="1083"/>
        </w:tabs>
        <w:spacing w:before="159"/>
        <w:ind w:right="712" w:firstLine="0"/>
        <w:jc w:val="both"/>
        <w:rPr>
          <w:sz w:val="24"/>
        </w:rPr>
      </w:pPr>
      <w:r>
        <w:rPr>
          <w:sz w:val="24"/>
        </w:rPr>
        <w:t>conformen</w:t>
      </w:r>
      <w:r>
        <w:rPr>
          <w:spacing w:val="-7"/>
          <w:sz w:val="24"/>
        </w:rPr>
        <w:t xml:space="preserve"> </w:t>
      </w:r>
      <w:r>
        <w:rPr>
          <w:sz w:val="24"/>
        </w:rPr>
        <w:t>familia</w:t>
      </w:r>
      <w:r>
        <w:rPr>
          <w:spacing w:val="-6"/>
          <w:sz w:val="24"/>
        </w:rPr>
        <w:t xml:space="preserve"> </w:t>
      </w:r>
      <w:r>
        <w:rPr>
          <w:sz w:val="24"/>
        </w:rPr>
        <w:t>mediante</w:t>
      </w:r>
      <w:r>
        <w:rPr>
          <w:spacing w:val="-5"/>
          <w:sz w:val="24"/>
        </w:rPr>
        <w:t xml:space="preserve"> </w:t>
      </w:r>
      <w:r>
        <w:rPr>
          <w:sz w:val="24"/>
        </w:rPr>
        <w:t>la</w:t>
      </w:r>
      <w:r>
        <w:rPr>
          <w:spacing w:val="-5"/>
          <w:sz w:val="24"/>
        </w:rPr>
        <w:t xml:space="preserve"> </w:t>
      </w:r>
      <w:r>
        <w:rPr>
          <w:sz w:val="24"/>
        </w:rPr>
        <w:t>unión</w:t>
      </w:r>
      <w:r>
        <w:rPr>
          <w:spacing w:val="-5"/>
          <w:sz w:val="24"/>
        </w:rPr>
        <w:t xml:space="preserve"> </w:t>
      </w:r>
      <w:r>
        <w:rPr>
          <w:sz w:val="24"/>
        </w:rPr>
        <w:t>marital</w:t>
      </w:r>
      <w:r>
        <w:rPr>
          <w:spacing w:val="-7"/>
          <w:sz w:val="24"/>
        </w:rPr>
        <w:t xml:space="preserve"> </w:t>
      </w:r>
      <w:r>
        <w:rPr>
          <w:sz w:val="24"/>
        </w:rPr>
        <w:t>de</w:t>
      </w:r>
      <w:r>
        <w:rPr>
          <w:spacing w:val="-3"/>
          <w:sz w:val="24"/>
        </w:rPr>
        <w:t xml:space="preserve"> </w:t>
      </w:r>
      <w:r>
        <w:rPr>
          <w:sz w:val="24"/>
        </w:rPr>
        <w:t>hecho</w:t>
      </w:r>
      <w:r>
        <w:rPr>
          <w:spacing w:val="-6"/>
          <w:sz w:val="24"/>
        </w:rPr>
        <w:t xml:space="preserve"> </w:t>
      </w:r>
      <w:r>
        <w:rPr>
          <w:sz w:val="24"/>
        </w:rPr>
        <w:t>(sentencia</w:t>
      </w:r>
      <w:r>
        <w:rPr>
          <w:spacing w:val="-6"/>
          <w:sz w:val="24"/>
        </w:rPr>
        <w:t xml:space="preserve"> </w:t>
      </w:r>
      <w:r>
        <w:rPr>
          <w:sz w:val="24"/>
        </w:rPr>
        <w:t>T-717 de</w:t>
      </w:r>
      <w:r>
        <w:rPr>
          <w:spacing w:val="-3"/>
          <w:sz w:val="24"/>
        </w:rPr>
        <w:t xml:space="preserve"> </w:t>
      </w:r>
      <w:r>
        <w:rPr>
          <w:sz w:val="24"/>
        </w:rPr>
        <w:t>2011</w:t>
      </w:r>
      <w:r>
        <w:rPr>
          <w:spacing w:val="-2"/>
          <w:sz w:val="24"/>
        </w:rPr>
        <w:t xml:space="preserve"> </w:t>
      </w:r>
      <w:r>
        <w:rPr>
          <w:sz w:val="24"/>
        </w:rPr>
        <w:t>MP</w:t>
      </w:r>
      <w:r>
        <w:rPr>
          <w:spacing w:val="-5"/>
          <w:sz w:val="24"/>
        </w:rPr>
        <w:t xml:space="preserve"> </w:t>
      </w:r>
      <w:r>
        <w:rPr>
          <w:sz w:val="24"/>
        </w:rPr>
        <w:t>Luis</w:t>
      </w:r>
      <w:r>
        <w:rPr>
          <w:spacing w:val="-4"/>
          <w:sz w:val="24"/>
        </w:rPr>
        <w:t xml:space="preserve"> </w:t>
      </w:r>
      <w:r>
        <w:rPr>
          <w:sz w:val="24"/>
        </w:rPr>
        <w:t>Ernesto</w:t>
      </w:r>
      <w:r>
        <w:rPr>
          <w:spacing w:val="-2"/>
          <w:sz w:val="24"/>
        </w:rPr>
        <w:t xml:space="preserve"> </w:t>
      </w:r>
      <w:r>
        <w:rPr>
          <w:sz w:val="24"/>
        </w:rPr>
        <w:t>Vargas</w:t>
      </w:r>
      <w:r>
        <w:rPr>
          <w:spacing w:val="-4"/>
          <w:sz w:val="24"/>
        </w:rPr>
        <w:t xml:space="preserve"> </w:t>
      </w:r>
      <w:r>
        <w:rPr>
          <w:sz w:val="24"/>
        </w:rPr>
        <w:t>Silva)</w:t>
      </w:r>
      <w:r>
        <w:rPr>
          <w:spacing w:val="-3"/>
          <w:sz w:val="24"/>
        </w:rPr>
        <w:t xml:space="preserve"> </w:t>
      </w:r>
      <w:r>
        <w:rPr>
          <w:sz w:val="24"/>
        </w:rPr>
        <w:t>y</w:t>
      </w:r>
      <w:r>
        <w:rPr>
          <w:spacing w:val="-4"/>
          <w:sz w:val="24"/>
        </w:rPr>
        <w:t xml:space="preserve"> </w:t>
      </w:r>
      <w:r>
        <w:rPr>
          <w:sz w:val="24"/>
        </w:rPr>
        <w:t>el</w:t>
      </w:r>
      <w:r>
        <w:rPr>
          <w:spacing w:val="-5"/>
          <w:sz w:val="24"/>
        </w:rPr>
        <w:t xml:space="preserve"> </w:t>
      </w:r>
      <w:r>
        <w:rPr>
          <w:sz w:val="24"/>
        </w:rPr>
        <w:t>matrimonio</w:t>
      </w:r>
      <w:r>
        <w:rPr>
          <w:spacing w:val="-3"/>
          <w:sz w:val="24"/>
        </w:rPr>
        <w:t xml:space="preserve"> </w:t>
      </w:r>
      <w:r>
        <w:rPr>
          <w:sz w:val="24"/>
        </w:rPr>
        <w:t>civil</w:t>
      </w:r>
      <w:r>
        <w:rPr>
          <w:spacing w:val="-2"/>
          <w:sz w:val="24"/>
        </w:rPr>
        <w:t xml:space="preserve"> </w:t>
      </w:r>
      <w:r>
        <w:rPr>
          <w:sz w:val="24"/>
        </w:rPr>
        <w:t>(sentencias</w:t>
      </w:r>
      <w:r>
        <w:rPr>
          <w:spacing w:val="-2"/>
          <w:sz w:val="24"/>
        </w:rPr>
        <w:t xml:space="preserve"> </w:t>
      </w:r>
      <w:r>
        <w:rPr>
          <w:sz w:val="24"/>
        </w:rPr>
        <w:t>C- 577 de 2011 MP Gabriel Eduardo Mendoza Martelo y SU214 de 2016 MP Alberto Rojas Ríos).</w:t>
      </w:r>
    </w:p>
    <w:p w14:paraId="2E83718E" w14:textId="77777777" w:rsidR="000E52B0" w:rsidRDefault="00F60D74">
      <w:pPr>
        <w:pStyle w:val="Prrafodelista"/>
        <w:numPr>
          <w:ilvl w:val="0"/>
          <w:numId w:val="43"/>
        </w:numPr>
        <w:tabs>
          <w:tab w:val="left" w:pos="1169"/>
        </w:tabs>
        <w:spacing w:before="161"/>
        <w:ind w:right="717" w:firstLine="0"/>
        <w:jc w:val="both"/>
        <w:rPr>
          <w:sz w:val="24"/>
        </w:rPr>
      </w:pPr>
      <w:r>
        <w:rPr>
          <w:sz w:val="24"/>
        </w:rPr>
        <w:t>accedan al registro civil de sus hijos acorde a la realidad familiar que componen (sentencias SU696 de 2015 MP Gloria Stella Ortiz Delgado y T- 196 de 2016 MP Luis Ernesto Vargas Silva).</w:t>
      </w:r>
    </w:p>
    <w:p w14:paraId="03A81195" w14:textId="77777777" w:rsidR="000E52B0" w:rsidRDefault="00F60D74">
      <w:pPr>
        <w:pStyle w:val="Prrafodelista"/>
        <w:numPr>
          <w:ilvl w:val="0"/>
          <w:numId w:val="43"/>
        </w:numPr>
        <w:tabs>
          <w:tab w:val="left" w:pos="1225"/>
        </w:tabs>
        <w:spacing w:before="160"/>
        <w:ind w:right="712" w:firstLine="0"/>
        <w:jc w:val="both"/>
        <w:rPr>
          <w:sz w:val="24"/>
        </w:rPr>
      </w:pPr>
      <w:r>
        <w:rPr>
          <w:sz w:val="24"/>
        </w:rPr>
        <w:t>accedan a los efectos jurídicos que el Sistema de Seguridad Social en Salud y Pensiones confiere a las familias (sentencia SU623 de 2001 MP Rodrigo Escobar Gil).</w:t>
      </w:r>
    </w:p>
    <w:p w14:paraId="61B72F0F" w14:textId="77777777" w:rsidR="000E52B0" w:rsidRDefault="00F60D74">
      <w:pPr>
        <w:pStyle w:val="Prrafodelista"/>
        <w:numPr>
          <w:ilvl w:val="0"/>
          <w:numId w:val="43"/>
        </w:numPr>
        <w:tabs>
          <w:tab w:val="left" w:pos="1264"/>
        </w:tabs>
        <w:spacing w:before="159"/>
        <w:ind w:right="717" w:firstLine="0"/>
        <w:jc w:val="both"/>
        <w:rPr>
          <w:sz w:val="24"/>
        </w:rPr>
      </w:pPr>
      <w:r>
        <w:rPr>
          <w:sz w:val="24"/>
        </w:rPr>
        <w:t xml:space="preserve">sean candidatas para acceder al proceso de adopción homoparental que hoy día se encuentra contemplada en el Código de la Infancia y la Adolescencia. (Sentencias C-071 de 2015 MP Jorge Iván Palacio </w:t>
      </w:r>
      <w:proofErr w:type="spellStart"/>
      <w:r>
        <w:rPr>
          <w:sz w:val="24"/>
        </w:rPr>
        <w:t>Palacio</w:t>
      </w:r>
      <w:proofErr w:type="spellEnd"/>
      <w:r>
        <w:rPr>
          <w:sz w:val="24"/>
        </w:rPr>
        <w:t xml:space="preserve"> y C-683 de 2015)</w:t>
      </w:r>
    </w:p>
    <w:p w14:paraId="4B95398D" w14:textId="77777777" w:rsidR="000E52B0" w:rsidRDefault="00F60D74">
      <w:pPr>
        <w:pStyle w:val="Textoindependiente"/>
        <w:spacing w:before="161"/>
        <w:ind w:right="712"/>
        <w:jc w:val="both"/>
      </w:pPr>
      <w:r>
        <w:t>En lo que respecta a las personas con experiencia de vida trans e intersexuales, la Corte determinó reglas constitucionales para el acceso al cambio del componente nombre y sexo en los documentos de identidad (sentencias</w:t>
      </w:r>
      <w:r>
        <w:rPr>
          <w:spacing w:val="-19"/>
        </w:rPr>
        <w:t xml:space="preserve"> </w:t>
      </w:r>
      <w:r>
        <w:t>T-087</w:t>
      </w:r>
      <w:r>
        <w:rPr>
          <w:spacing w:val="-20"/>
        </w:rPr>
        <w:t xml:space="preserve"> </w:t>
      </w:r>
      <w:r>
        <w:t>de</w:t>
      </w:r>
      <w:r>
        <w:rPr>
          <w:spacing w:val="-20"/>
        </w:rPr>
        <w:t xml:space="preserve"> </w:t>
      </w:r>
      <w:r>
        <w:t>2014</w:t>
      </w:r>
      <w:r>
        <w:rPr>
          <w:spacing w:val="-18"/>
        </w:rPr>
        <w:t xml:space="preserve"> </w:t>
      </w:r>
      <w:r>
        <w:t>MP</w:t>
      </w:r>
      <w:r>
        <w:rPr>
          <w:spacing w:val="-21"/>
        </w:rPr>
        <w:t xml:space="preserve"> </w:t>
      </w:r>
      <w:r>
        <w:t>Jorge</w:t>
      </w:r>
      <w:r>
        <w:rPr>
          <w:spacing w:val="-20"/>
        </w:rPr>
        <w:t xml:space="preserve"> </w:t>
      </w:r>
      <w:r>
        <w:t>Ignacio</w:t>
      </w:r>
      <w:r>
        <w:rPr>
          <w:spacing w:val="-20"/>
        </w:rPr>
        <w:t xml:space="preserve"> </w:t>
      </w:r>
      <w:r>
        <w:t>Pretelt</w:t>
      </w:r>
      <w:r>
        <w:rPr>
          <w:spacing w:val="-22"/>
        </w:rPr>
        <w:t xml:space="preserve"> </w:t>
      </w:r>
      <w:r>
        <w:t>Chaljub,</w:t>
      </w:r>
      <w:r>
        <w:rPr>
          <w:spacing w:val="-18"/>
        </w:rPr>
        <w:t xml:space="preserve"> </w:t>
      </w:r>
      <w:r>
        <w:t>T-797</w:t>
      </w:r>
      <w:r>
        <w:rPr>
          <w:spacing w:val="-20"/>
        </w:rPr>
        <w:t xml:space="preserve"> </w:t>
      </w:r>
      <w:r>
        <w:t>de</w:t>
      </w:r>
      <w:r>
        <w:rPr>
          <w:spacing w:val="-20"/>
        </w:rPr>
        <w:t xml:space="preserve"> </w:t>
      </w:r>
      <w:r>
        <w:t>2012 MP María Victoria Calle Correa y T-099 de 2015 MP Gloria Stella Ortiz Delgado), así como a procesos de reafirmación genital o de transformaciones</w:t>
      </w:r>
      <w:r>
        <w:rPr>
          <w:spacing w:val="-1"/>
        </w:rPr>
        <w:t xml:space="preserve"> </w:t>
      </w:r>
      <w:r>
        <w:t>corporales</w:t>
      </w:r>
      <w:r>
        <w:rPr>
          <w:spacing w:val="-1"/>
        </w:rPr>
        <w:t xml:space="preserve"> </w:t>
      </w:r>
      <w:r>
        <w:t>asistidas</w:t>
      </w:r>
      <w:r>
        <w:rPr>
          <w:spacing w:val="-1"/>
        </w:rPr>
        <w:t xml:space="preserve"> </w:t>
      </w:r>
      <w:r>
        <w:t>médicamente en</w:t>
      </w:r>
      <w:r>
        <w:rPr>
          <w:spacing w:val="-1"/>
        </w:rPr>
        <w:t xml:space="preserve"> </w:t>
      </w:r>
      <w:r>
        <w:t>el</w:t>
      </w:r>
      <w:r>
        <w:rPr>
          <w:spacing w:val="-1"/>
        </w:rPr>
        <w:t xml:space="preserve"> </w:t>
      </w:r>
      <w:r>
        <w:t>Sistema General de Seguridad Social en Salud (sentencias T-450A de 2013 MP Mauricio González Cuervo y T-622 de 2014 MP Jorge Ignacio Pretelt Chaljub), a la regulación</w:t>
      </w:r>
      <w:r>
        <w:rPr>
          <w:spacing w:val="-7"/>
        </w:rPr>
        <w:t xml:space="preserve"> </w:t>
      </w:r>
      <w:r>
        <w:t>de</w:t>
      </w:r>
      <w:r>
        <w:rPr>
          <w:spacing w:val="-5"/>
        </w:rPr>
        <w:t xml:space="preserve"> </w:t>
      </w:r>
      <w:r>
        <w:t>la</w:t>
      </w:r>
      <w:r>
        <w:rPr>
          <w:spacing w:val="-7"/>
        </w:rPr>
        <w:t xml:space="preserve"> </w:t>
      </w:r>
      <w:r>
        <w:t>situación</w:t>
      </w:r>
      <w:r>
        <w:rPr>
          <w:spacing w:val="-7"/>
        </w:rPr>
        <w:t xml:space="preserve"> </w:t>
      </w:r>
      <w:r>
        <w:t>militar,</w:t>
      </w:r>
      <w:r>
        <w:rPr>
          <w:spacing w:val="-7"/>
        </w:rPr>
        <w:t xml:space="preserve"> </w:t>
      </w:r>
      <w:r>
        <w:t>de</w:t>
      </w:r>
      <w:r>
        <w:rPr>
          <w:spacing w:val="-5"/>
        </w:rPr>
        <w:t xml:space="preserve"> </w:t>
      </w:r>
      <w:r>
        <w:t>conformidad</w:t>
      </w:r>
      <w:r>
        <w:rPr>
          <w:spacing w:val="-7"/>
        </w:rPr>
        <w:t xml:space="preserve"> </w:t>
      </w:r>
      <w:r>
        <w:t>a</w:t>
      </w:r>
      <w:r>
        <w:rPr>
          <w:spacing w:val="-6"/>
        </w:rPr>
        <w:t xml:space="preserve"> </w:t>
      </w:r>
      <w:r>
        <w:t>su</w:t>
      </w:r>
      <w:r>
        <w:rPr>
          <w:spacing w:val="-4"/>
        </w:rPr>
        <w:t xml:space="preserve"> </w:t>
      </w:r>
      <w:r>
        <w:t>identidad</w:t>
      </w:r>
      <w:r>
        <w:rPr>
          <w:spacing w:val="-7"/>
        </w:rPr>
        <w:t xml:space="preserve"> </w:t>
      </w:r>
      <w:r>
        <w:t>de</w:t>
      </w:r>
      <w:r>
        <w:rPr>
          <w:spacing w:val="-5"/>
        </w:rPr>
        <w:t xml:space="preserve"> </w:t>
      </w:r>
      <w:r>
        <w:t>género (sentencias</w:t>
      </w:r>
      <w:r>
        <w:rPr>
          <w:spacing w:val="9"/>
        </w:rPr>
        <w:t xml:space="preserve"> </w:t>
      </w:r>
      <w:r>
        <w:t>T-476</w:t>
      </w:r>
      <w:r>
        <w:rPr>
          <w:spacing w:val="12"/>
        </w:rPr>
        <w:t xml:space="preserve"> </w:t>
      </w:r>
      <w:r>
        <w:t>de</w:t>
      </w:r>
      <w:r>
        <w:rPr>
          <w:spacing w:val="13"/>
        </w:rPr>
        <w:t xml:space="preserve"> </w:t>
      </w:r>
      <w:r>
        <w:t>2014</w:t>
      </w:r>
      <w:r>
        <w:rPr>
          <w:spacing w:val="15"/>
        </w:rPr>
        <w:t xml:space="preserve"> </w:t>
      </w:r>
      <w:r>
        <w:t>MP</w:t>
      </w:r>
      <w:r>
        <w:rPr>
          <w:spacing w:val="12"/>
        </w:rPr>
        <w:t xml:space="preserve"> </w:t>
      </w:r>
      <w:r>
        <w:t>Alberto</w:t>
      </w:r>
      <w:r>
        <w:rPr>
          <w:spacing w:val="12"/>
        </w:rPr>
        <w:t xml:space="preserve"> </w:t>
      </w:r>
      <w:r>
        <w:t>Rojas</w:t>
      </w:r>
      <w:r>
        <w:rPr>
          <w:spacing w:val="11"/>
        </w:rPr>
        <w:t xml:space="preserve"> </w:t>
      </w:r>
      <w:r>
        <w:t>Ríos</w:t>
      </w:r>
      <w:r>
        <w:rPr>
          <w:spacing w:val="12"/>
        </w:rPr>
        <w:t xml:space="preserve"> </w:t>
      </w:r>
      <w:r>
        <w:t>y</w:t>
      </w:r>
      <w:r>
        <w:rPr>
          <w:spacing w:val="11"/>
        </w:rPr>
        <w:t xml:space="preserve"> </w:t>
      </w:r>
      <w:r>
        <w:t>T-099</w:t>
      </w:r>
      <w:r>
        <w:rPr>
          <w:spacing w:val="11"/>
        </w:rPr>
        <w:t xml:space="preserve"> </w:t>
      </w:r>
      <w:r>
        <w:t>de</w:t>
      </w:r>
      <w:r>
        <w:rPr>
          <w:spacing w:val="12"/>
        </w:rPr>
        <w:t xml:space="preserve"> </w:t>
      </w:r>
      <w:r>
        <w:t>2015</w:t>
      </w:r>
      <w:r>
        <w:rPr>
          <w:spacing w:val="15"/>
        </w:rPr>
        <w:t xml:space="preserve"> </w:t>
      </w:r>
      <w:r>
        <w:rPr>
          <w:spacing w:val="-2"/>
        </w:rPr>
        <w:t>Gloria</w:t>
      </w:r>
    </w:p>
    <w:p w14:paraId="36CDADAA" w14:textId="77777777" w:rsidR="000E52B0" w:rsidRDefault="000E52B0">
      <w:pPr>
        <w:pStyle w:val="Textoindependiente"/>
        <w:jc w:val="both"/>
        <w:sectPr w:rsidR="000E52B0">
          <w:pgSz w:w="11910" w:h="16840"/>
          <w:pgMar w:top="1340" w:right="720" w:bottom="1180" w:left="720" w:header="0" w:footer="995" w:gutter="0"/>
          <w:cols w:space="720"/>
        </w:sectPr>
      </w:pPr>
    </w:p>
    <w:p w14:paraId="0B8C2BA0" w14:textId="77777777" w:rsidR="000E52B0" w:rsidRDefault="00F60D74">
      <w:pPr>
        <w:pStyle w:val="Textoindependiente"/>
        <w:spacing w:before="83"/>
        <w:ind w:right="715"/>
        <w:jc w:val="both"/>
      </w:pPr>
      <w:r>
        <w:lastRenderedPageBreak/>
        <w:t>Stella Ortiz Delgado) así como el derecho a la identidad de género y al trabajo en condiciones dignas y justas (SentenciaT-236 de 2023), y el derecho</w:t>
      </w:r>
      <w:r>
        <w:rPr>
          <w:spacing w:val="-8"/>
        </w:rPr>
        <w:t xml:space="preserve"> </w:t>
      </w:r>
      <w:r>
        <w:t>a</w:t>
      </w:r>
      <w:r>
        <w:rPr>
          <w:spacing w:val="-9"/>
        </w:rPr>
        <w:t xml:space="preserve"> </w:t>
      </w:r>
      <w:r>
        <w:t>la</w:t>
      </w:r>
      <w:r>
        <w:rPr>
          <w:spacing w:val="-9"/>
        </w:rPr>
        <w:t xml:space="preserve"> </w:t>
      </w:r>
      <w:r>
        <w:t>igualdad,</w:t>
      </w:r>
      <w:r>
        <w:rPr>
          <w:spacing w:val="-10"/>
        </w:rPr>
        <w:t xml:space="preserve"> </w:t>
      </w:r>
      <w:r>
        <w:t>al</w:t>
      </w:r>
      <w:r>
        <w:rPr>
          <w:spacing w:val="-10"/>
        </w:rPr>
        <w:t xml:space="preserve"> </w:t>
      </w:r>
      <w:r>
        <w:t>libre</w:t>
      </w:r>
      <w:r>
        <w:rPr>
          <w:spacing w:val="-7"/>
        </w:rPr>
        <w:t xml:space="preserve"> </w:t>
      </w:r>
      <w:r>
        <w:t>desarrollo</w:t>
      </w:r>
      <w:r>
        <w:rPr>
          <w:spacing w:val="-8"/>
        </w:rPr>
        <w:t xml:space="preserve"> </w:t>
      </w:r>
      <w:r>
        <w:t>de</w:t>
      </w:r>
      <w:r>
        <w:rPr>
          <w:spacing w:val="-8"/>
        </w:rPr>
        <w:t xml:space="preserve"> </w:t>
      </w:r>
      <w:r>
        <w:t>la</w:t>
      </w:r>
      <w:r>
        <w:rPr>
          <w:spacing w:val="-9"/>
        </w:rPr>
        <w:t xml:space="preserve"> </w:t>
      </w:r>
      <w:r>
        <w:t>personalidad</w:t>
      </w:r>
      <w:r>
        <w:rPr>
          <w:spacing w:val="-7"/>
        </w:rPr>
        <w:t xml:space="preserve"> </w:t>
      </w:r>
      <w:r>
        <w:t>y</w:t>
      </w:r>
      <w:r>
        <w:rPr>
          <w:spacing w:val="-9"/>
        </w:rPr>
        <w:t xml:space="preserve"> </w:t>
      </w:r>
      <w:r>
        <w:t>a</w:t>
      </w:r>
      <w:r>
        <w:rPr>
          <w:spacing w:val="-9"/>
        </w:rPr>
        <w:t xml:space="preserve"> </w:t>
      </w:r>
      <w:r>
        <w:t>la</w:t>
      </w:r>
      <w:r>
        <w:rPr>
          <w:spacing w:val="-9"/>
        </w:rPr>
        <w:t xml:space="preserve"> </w:t>
      </w:r>
      <w:r>
        <w:t>intimidad de persona privada de la libertad perteneciente a comunidad LGBTI (Sentencia T-288-18 MP Carlos Bernal Pulido).</w:t>
      </w:r>
    </w:p>
    <w:p w14:paraId="1B725CF0" w14:textId="77777777" w:rsidR="000E52B0" w:rsidRDefault="00F60D74">
      <w:pPr>
        <w:spacing w:before="159"/>
        <w:ind w:left="720" w:right="714"/>
        <w:jc w:val="both"/>
        <w:rPr>
          <w:i/>
          <w:sz w:val="24"/>
        </w:rPr>
      </w:pPr>
      <w:r>
        <w:rPr>
          <w:sz w:val="24"/>
        </w:rPr>
        <w:t>Ahora</w:t>
      </w:r>
      <w:r>
        <w:rPr>
          <w:spacing w:val="-8"/>
          <w:sz w:val="24"/>
        </w:rPr>
        <w:t xml:space="preserve"> </w:t>
      </w:r>
      <w:r>
        <w:rPr>
          <w:sz w:val="24"/>
        </w:rPr>
        <w:t>bien,</w:t>
      </w:r>
      <w:r>
        <w:rPr>
          <w:spacing w:val="-10"/>
          <w:sz w:val="24"/>
        </w:rPr>
        <w:t xml:space="preserve"> </w:t>
      </w:r>
      <w:r>
        <w:rPr>
          <w:sz w:val="24"/>
        </w:rPr>
        <w:t>frente</w:t>
      </w:r>
      <w:r>
        <w:rPr>
          <w:spacing w:val="-8"/>
          <w:sz w:val="24"/>
        </w:rPr>
        <w:t xml:space="preserve"> </w:t>
      </w:r>
      <w:r>
        <w:rPr>
          <w:sz w:val="24"/>
        </w:rPr>
        <w:t>al</w:t>
      </w:r>
      <w:r>
        <w:rPr>
          <w:spacing w:val="-10"/>
          <w:sz w:val="24"/>
        </w:rPr>
        <w:t xml:space="preserve"> </w:t>
      </w:r>
      <w:r>
        <w:rPr>
          <w:sz w:val="24"/>
        </w:rPr>
        <w:t>derecho</w:t>
      </w:r>
      <w:r>
        <w:rPr>
          <w:spacing w:val="-7"/>
          <w:sz w:val="24"/>
        </w:rPr>
        <w:t xml:space="preserve"> </w:t>
      </w:r>
      <w:r>
        <w:rPr>
          <w:sz w:val="24"/>
        </w:rPr>
        <w:t>a</w:t>
      </w:r>
      <w:r>
        <w:rPr>
          <w:spacing w:val="-9"/>
          <w:sz w:val="24"/>
        </w:rPr>
        <w:t xml:space="preserve"> </w:t>
      </w:r>
      <w:r>
        <w:rPr>
          <w:sz w:val="24"/>
        </w:rPr>
        <w:t>la</w:t>
      </w:r>
      <w:r>
        <w:rPr>
          <w:spacing w:val="-9"/>
          <w:sz w:val="24"/>
        </w:rPr>
        <w:t xml:space="preserve"> </w:t>
      </w:r>
      <w:r>
        <w:rPr>
          <w:sz w:val="24"/>
        </w:rPr>
        <w:t>no</w:t>
      </w:r>
      <w:r>
        <w:rPr>
          <w:spacing w:val="-8"/>
          <w:sz w:val="24"/>
        </w:rPr>
        <w:t xml:space="preserve"> </w:t>
      </w:r>
      <w:r>
        <w:rPr>
          <w:sz w:val="24"/>
        </w:rPr>
        <w:t>discriminación</w:t>
      </w:r>
      <w:r>
        <w:rPr>
          <w:spacing w:val="-9"/>
          <w:sz w:val="24"/>
        </w:rPr>
        <w:t xml:space="preserve"> </w:t>
      </w:r>
      <w:r>
        <w:rPr>
          <w:sz w:val="24"/>
        </w:rPr>
        <w:t>por</w:t>
      </w:r>
      <w:r>
        <w:rPr>
          <w:spacing w:val="-8"/>
          <w:sz w:val="24"/>
        </w:rPr>
        <w:t xml:space="preserve"> </w:t>
      </w:r>
      <w:r>
        <w:rPr>
          <w:sz w:val="24"/>
        </w:rPr>
        <w:t>orientación</w:t>
      </w:r>
      <w:r>
        <w:rPr>
          <w:spacing w:val="-9"/>
          <w:sz w:val="24"/>
        </w:rPr>
        <w:t xml:space="preserve"> </w:t>
      </w:r>
      <w:r>
        <w:rPr>
          <w:sz w:val="24"/>
        </w:rPr>
        <w:t>sexual, en Sentencia T-068</w:t>
      </w:r>
      <w:r>
        <w:rPr>
          <w:spacing w:val="-1"/>
          <w:sz w:val="24"/>
        </w:rPr>
        <w:t xml:space="preserve"> </w:t>
      </w:r>
      <w:r>
        <w:rPr>
          <w:sz w:val="24"/>
        </w:rPr>
        <w:t xml:space="preserve">de 2021 (MP Diana Fajardo Rivera), la Corte reconoce que </w:t>
      </w:r>
      <w:r>
        <w:rPr>
          <w:i/>
          <w:sz w:val="24"/>
        </w:rPr>
        <w:t>“(…)</w:t>
      </w:r>
      <w:r>
        <w:rPr>
          <w:i/>
          <w:spacing w:val="40"/>
          <w:sz w:val="24"/>
        </w:rPr>
        <w:t xml:space="preserve"> </w:t>
      </w:r>
      <w:r>
        <w:rPr>
          <w:i/>
          <w:sz w:val="24"/>
        </w:rPr>
        <w:t>las personas que hacen parte de la población LGBTI son sujetos de especial protección constitucional, pues son un grupo históricamente marginado y por tanto sometido a una discriminación estructural”.</w:t>
      </w:r>
    </w:p>
    <w:p w14:paraId="0D64256D" w14:textId="77777777" w:rsidR="000E52B0" w:rsidRDefault="00F60D74">
      <w:pPr>
        <w:spacing w:before="159"/>
        <w:ind w:left="720" w:right="717"/>
        <w:jc w:val="both"/>
        <w:rPr>
          <w:i/>
          <w:sz w:val="24"/>
        </w:rPr>
      </w:pPr>
      <w:r>
        <w:rPr>
          <w:sz w:val="24"/>
        </w:rPr>
        <w:t>Frente</w:t>
      </w:r>
      <w:r>
        <w:rPr>
          <w:spacing w:val="-22"/>
          <w:sz w:val="24"/>
        </w:rPr>
        <w:t xml:space="preserve"> </w:t>
      </w:r>
      <w:r>
        <w:rPr>
          <w:sz w:val="24"/>
        </w:rPr>
        <w:t>al</w:t>
      </w:r>
      <w:r>
        <w:rPr>
          <w:spacing w:val="-21"/>
          <w:sz w:val="24"/>
        </w:rPr>
        <w:t xml:space="preserve"> </w:t>
      </w:r>
      <w:r>
        <w:rPr>
          <w:sz w:val="24"/>
        </w:rPr>
        <w:t>particular,</w:t>
      </w:r>
      <w:r>
        <w:rPr>
          <w:spacing w:val="-21"/>
          <w:sz w:val="24"/>
        </w:rPr>
        <w:t xml:space="preserve"> </w:t>
      </w:r>
      <w:r>
        <w:rPr>
          <w:sz w:val="24"/>
        </w:rPr>
        <w:t>el</w:t>
      </w:r>
      <w:r>
        <w:rPr>
          <w:spacing w:val="-21"/>
          <w:sz w:val="24"/>
        </w:rPr>
        <w:t xml:space="preserve"> </w:t>
      </w:r>
      <w:r>
        <w:rPr>
          <w:sz w:val="24"/>
        </w:rPr>
        <w:t>Consejo</w:t>
      </w:r>
      <w:r>
        <w:rPr>
          <w:spacing w:val="-21"/>
          <w:sz w:val="24"/>
        </w:rPr>
        <w:t xml:space="preserve"> </w:t>
      </w:r>
      <w:r>
        <w:rPr>
          <w:sz w:val="24"/>
        </w:rPr>
        <w:t>de</w:t>
      </w:r>
      <w:r>
        <w:rPr>
          <w:spacing w:val="-21"/>
          <w:sz w:val="24"/>
        </w:rPr>
        <w:t xml:space="preserve"> </w:t>
      </w:r>
      <w:r>
        <w:rPr>
          <w:sz w:val="24"/>
        </w:rPr>
        <w:t>Estado</w:t>
      </w:r>
      <w:r>
        <w:rPr>
          <w:spacing w:val="-21"/>
          <w:sz w:val="24"/>
        </w:rPr>
        <w:t xml:space="preserve"> </w:t>
      </w:r>
      <w:r>
        <w:rPr>
          <w:sz w:val="24"/>
        </w:rPr>
        <w:t>también</w:t>
      </w:r>
      <w:r>
        <w:rPr>
          <w:spacing w:val="-21"/>
          <w:sz w:val="24"/>
        </w:rPr>
        <w:t xml:space="preserve"> </w:t>
      </w:r>
      <w:r>
        <w:rPr>
          <w:sz w:val="24"/>
        </w:rPr>
        <w:t>ha</w:t>
      </w:r>
      <w:r>
        <w:rPr>
          <w:spacing w:val="-21"/>
          <w:sz w:val="24"/>
        </w:rPr>
        <w:t xml:space="preserve"> </w:t>
      </w:r>
      <w:r>
        <w:rPr>
          <w:sz w:val="24"/>
        </w:rPr>
        <w:t>establecido</w:t>
      </w:r>
      <w:r>
        <w:rPr>
          <w:spacing w:val="-21"/>
          <w:sz w:val="24"/>
        </w:rPr>
        <w:t xml:space="preserve"> </w:t>
      </w:r>
      <w:r>
        <w:rPr>
          <w:sz w:val="24"/>
        </w:rPr>
        <w:t>su</w:t>
      </w:r>
      <w:r>
        <w:rPr>
          <w:spacing w:val="-22"/>
          <w:sz w:val="24"/>
        </w:rPr>
        <w:t xml:space="preserve"> </w:t>
      </w:r>
      <w:r>
        <w:rPr>
          <w:sz w:val="24"/>
        </w:rPr>
        <w:t>postura en algunos pronunciamiento como, por ejemplo, en la sentencia del 2 marzo</w:t>
      </w:r>
      <w:r>
        <w:rPr>
          <w:spacing w:val="-2"/>
          <w:sz w:val="24"/>
        </w:rPr>
        <w:t xml:space="preserve"> </w:t>
      </w:r>
      <w:r>
        <w:rPr>
          <w:sz w:val="24"/>
        </w:rPr>
        <w:t>de</w:t>
      </w:r>
      <w:r>
        <w:rPr>
          <w:spacing w:val="-2"/>
          <w:sz w:val="24"/>
        </w:rPr>
        <w:t xml:space="preserve"> </w:t>
      </w:r>
      <w:r>
        <w:rPr>
          <w:sz w:val="24"/>
        </w:rPr>
        <w:t>2016</w:t>
      </w:r>
      <w:r>
        <w:rPr>
          <w:spacing w:val="-2"/>
          <w:sz w:val="24"/>
        </w:rPr>
        <w:t xml:space="preserve"> </w:t>
      </w:r>
      <w:r>
        <w:rPr>
          <w:sz w:val="24"/>
        </w:rPr>
        <w:t>NR-25000-23-41-000-2015-02489-01(AC),</w:t>
      </w:r>
      <w:r>
        <w:rPr>
          <w:spacing w:val="-4"/>
          <w:sz w:val="24"/>
        </w:rPr>
        <w:t xml:space="preserve"> </w:t>
      </w:r>
      <w:r>
        <w:rPr>
          <w:sz w:val="24"/>
        </w:rPr>
        <w:t>donde</w:t>
      </w:r>
      <w:r>
        <w:rPr>
          <w:spacing w:val="-2"/>
          <w:sz w:val="24"/>
        </w:rPr>
        <w:t xml:space="preserve"> </w:t>
      </w:r>
      <w:r>
        <w:rPr>
          <w:sz w:val="24"/>
        </w:rPr>
        <w:t xml:space="preserve">sostuvo que </w:t>
      </w:r>
      <w:r>
        <w:rPr>
          <w:i/>
          <w:sz w:val="24"/>
        </w:rPr>
        <w:t>“(…) El anterior panorama constitucional y legal permiten a la Sala deducir</w:t>
      </w:r>
      <w:r>
        <w:rPr>
          <w:i/>
          <w:spacing w:val="-18"/>
          <w:sz w:val="24"/>
        </w:rPr>
        <w:t xml:space="preserve"> </w:t>
      </w:r>
      <w:r>
        <w:rPr>
          <w:i/>
          <w:sz w:val="24"/>
        </w:rPr>
        <w:t>las</w:t>
      </w:r>
      <w:r>
        <w:rPr>
          <w:i/>
          <w:spacing w:val="-19"/>
          <w:sz w:val="24"/>
        </w:rPr>
        <w:t xml:space="preserve"> </w:t>
      </w:r>
      <w:r>
        <w:rPr>
          <w:i/>
          <w:sz w:val="24"/>
        </w:rPr>
        <w:t>siguientes</w:t>
      </w:r>
      <w:r>
        <w:rPr>
          <w:i/>
          <w:spacing w:val="-19"/>
          <w:sz w:val="24"/>
        </w:rPr>
        <w:t xml:space="preserve"> </w:t>
      </w:r>
      <w:r>
        <w:rPr>
          <w:i/>
          <w:sz w:val="24"/>
        </w:rPr>
        <w:t>reglas</w:t>
      </w:r>
      <w:r>
        <w:rPr>
          <w:i/>
          <w:spacing w:val="-19"/>
          <w:sz w:val="24"/>
        </w:rPr>
        <w:t xml:space="preserve"> </w:t>
      </w:r>
      <w:r>
        <w:rPr>
          <w:i/>
          <w:sz w:val="24"/>
        </w:rPr>
        <w:t>de</w:t>
      </w:r>
      <w:r>
        <w:rPr>
          <w:i/>
          <w:spacing w:val="-18"/>
          <w:sz w:val="24"/>
        </w:rPr>
        <w:t xml:space="preserve"> </w:t>
      </w:r>
      <w:r>
        <w:rPr>
          <w:i/>
          <w:sz w:val="24"/>
        </w:rPr>
        <w:t>protección</w:t>
      </w:r>
      <w:r>
        <w:rPr>
          <w:i/>
          <w:spacing w:val="-19"/>
          <w:sz w:val="24"/>
        </w:rPr>
        <w:t xml:space="preserve"> </w:t>
      </w:r>
      <w:r>
        <w:rPr>
          <w:i/>
          <w:sz w:val="24"/>
        </w:rPr>
        <w:t>del</w:t>
      </w:r>
      <w:r>
        <w:rPr>
          <w:i/>
          <w:spacing w:val="-19"/>
          <w:sz w:val="24"/>
        </w:rPr>
        <w:t xml:space="preserve"> </w:t>
      </w:r>
      <w:r>
        <w:rPr>
          <w:i/>
          <w:sz w:val="24"/>
        </w:rPr>
        <w:t>derecho</w:t>
      </w:r>
      <w:r>
        <w:rPr>
          <w:i/>
          <w:spacing w:val="-19"/>
          <w:sz w:val="24"/>
        </w:rPr>
        <w:t xml:space="preserve"> </w:t>
      </w:r>
      <w:r>
        <w:rPr>
          <w:i/>
          <w:sz w:val="24"/>
        </w:rPr>
        <w:t>a</w:t>
      </w:r>
      <w:r>
        <w:rPr>
          <w:i/>
          <w:spacing w:val="-19"/>
          <w:sz w:val="24"/>
        </w:rPr>
        <w:t xml:space="preserve"> </w:t>
      </w:r>
      <w:r>
        <w:rPr>
          <w:i/>
          <w:sz w:val="24"/>
        </w:rPr>
        <w:t>la</w:t>
      </w:r>
      <w:r>
        <w:rPr>
          <w:i/>
          <w:spacing w:val="-19"/>
          <w:sz w:val="24"/>
        </w:rPr>
        <w:t xml:space="preserve"> </w:t>
      </w:r>
      <w:r>
        <w:rPr>
          <w:i/>
          <w:sz w:val="24"/>
        </w:rPr>
        <w:t>identidad</w:t>
      </w:r>
      <w:r>
        <w:rPr>
          <w:i/>
          <w:spacing w:val="-19"/>
          <w:sz w:val="24"/>
        </w:rPr>
        <w:t xml:space="preserve"> </w:t>
      </w:r>
      <w:r>
        <w:rPr>
          <w:i/>
          <w:sz w:val="24"/>
        </w:rPr>
        <w:t>sexual de las personas: 1) El derecho de toda persona a que el sexo consignado en el registro civil coincida con la identidad sexual y de género efectivamente asumida y vivida por esta. 2) La prohibición de establecer obstáculos</w:t>
      </w:r>
      <w:r>
        <w:rPr>
          <w:i/>
          <w:spacing w:val="-16"/>
          <w:sz w:val="24"/>
        </w:rPr>
        <w:t xml:space="preserve"> </w:t>
      </w:r>
      <w:r>
        <w:rPr>
          <w:i/>
          <w:sz w:val="24"/>
        </w:rPr>
        <w:t>innecesarios</w:t>
      </w:r>
      <w:r>
        <w:rPr>
          <w:i/>
          <w:spacing w:val="-18"/>
          <w:sz w:val="24"/>
        </w:rPr>
        <w:t xml:space="preserve"> </w:t>
      </w:r>
      <w:r>
        <w:rPr>
          <w:i/>
          <w:sz w:val="24"/>
        </w:rPr>
        <w:t>para</w:t>
      </w:r>
      <w:r>
        <w:rPr>
          <w:i/>
          <w:spacing w:val="-18"/>
          <w:sz w:val="24"/>
        </w:rPr>
        <w:t xml:space="preserve"> </w:t>
      </w:r>
      <w:r>
        <w:rPr>
          <w:i/>
          <w:sz w:val="24"/>
        </w:rPr>
        <w:t>lograr</w:t>
      </w:r>
      <w:r>
        <w:rPr>
          <w:i/>
          <w:spacing w:val="-17"/>
          <w:sz w:val="24"/>
        </w:rPr>
        <w:t xml:space="preserve"> </w:t>
      </w:r>
      <w:r>
        <w:rPr>
          <w:i/>
          <w:sz w:val="24"/>
        </w:rPr>
        <w:t>la</w:t>
      </w:r>
      <w:r>
        <w:rPr>
          <w:i/>
          <w:spacing w:val="-18"/>
          <w:sz w:val="24"/>
        </w:rPr>
        <w:t xml:space="preserve"> </w:t>
      </w:r>
      <w:r>
        <w:rPr>
          <w:i/>
          <w:sz w:val="24"/>
        </w:rPr>
        <w:t>corrección</w:t>
      </w:r>
      <w:r>
        <w:rPr>
          <w:i/>
          <w:spacing w:val="-19"/>
          <w:sz w:val="24"/>
        </w:rPr>
        <w:t xml:space="preserve"> </w:t>
      </w:r>
      <w:r>
        <w:rPr>
          <w:i/>
          <w:sz w:val="24"/>
        </w:rPr>
        <w:t>del</w:t>
      </w:r>
      <w:r>
        <w:rPr>
          <w:i/>
          <w:spacing w:val="-19"/>
          <w:sz w:val="24"/>
        </w:rPr>
        <w:t xml:space="preserve"> </w:t>
      </w:r>
      <w:r>
        <w:rPr>
          <w:i/>
          <w:sz w:val="24"/>
        </w:rPr>
        <w:t>sexo</w:t>
      </w:r>
      <w:r>
        <w:rPr>
          <w:i/>
          <w:spacing w:val="-18"/>
          <w:sz w:val="24"/>
        </w:rPr>
        <w:t xml:space="preserve"> </w:t>
      </w:r>
      <w:r>
        <w:rPr>
          <w:i/>
          <w:sz w:val="24"/>
        </w:rPr>
        <w:t>en</w:t>
      </w:r>
      <w:r>
        <w:rPr>
          <w:i/>
          <w:spacing w:val="-21"/>
          <w:sz w:val="24"/>
        </w:rPr>
        <w:t xml:space="preserve"> </w:t>
      </w:r>
      <w:r>
        <w:rPr>
          <w:i/>
          <w:sz w:val="24"/>
        </w:rPr>
        <w:t>el</w:t>
      </w:r>
      <w:r>
        <w:rPr>
          <w:i/>
          <w:spacing w:val="-19"/>
          <w:sz w:val="24"/>
        </w:rPr>
        <w:t xml:space="preserve"> </w:t>
      </w:r>
      <w:r>
        <w:rPr>
          <w:i/>
          <w:sz w:val="24"/>
        </w:rPr>
        <w:t>registro</w:t>
      </w:r>
      <w:r>
        <w:rPr>
          <w:i/>
          <w:spacing w:val="-17"/>
          <w:sz w:val="24"/>
        </w:rPr>
        <w:t xml:space="preserve"> </w:t>
      </w:r>
      <w:r>
        <w:rPr>
          <w:i/>
          <w:sz w:val="24"/>
        </w:rPr>
        <w:t>civil y demás documentos con los que la persona pueda realizarse y llevar una vida</w:t>
      </w:r>
      <w:r>
        <w:rPr>
          <w:i/>
          <w:spacing w:val="-6"/>
          <w:sz w:val="24"/>
        </w:rPr>
        <w:t xml:space="preserve"> </w:t>
      </w:r>
      <w:r>
        <w:rPr>
          <w:i/>
          <w:sz w:val="24"/>
        </w:rPr>
        <w:t>plena</w:t>
      </w:r>
      <w:r>
        <w:rPr>
          <w:i/>
          <w:spacing w:val="-6"/>
          <w:sz w:val="24"/>
        </w:rPr>
        <w:t xml:space="preserve"> </w:t>
      </w:r>
      <w:r>
        <w:rPr>
          <w:i/>
          <w:sz w:val="24"/>
        </w:rPr>
        <w:t>acorde</w:t>
      </w:r>
      <w:r>
        <w:rPr>
          <w:i/>
          <w:spacing w:val="-5"/>
          <w:sz w:val="24"/>
        </w:rPr>
        <w:t xml:space="preserve"> </w:t>
      </w:r>
      <w:r>
        <w:rPr>
          <w:i/>
          <w:sz w:val="24"/>
        </w:rPr>
        <w:t>con</w:t>
      </w:r>
      <w:r>
        <w:rPr>
          <w:i/>
          <w:spacing w:val="-6"/>
          <w:sz w:val="24"/>
        </w:rPr>
        <w:t xml:space="preserve"> </w:t>
      </w:r>
      <w:r>
        <w:rPr>
          <w:i/>
          <w:sz w:val="24"/>
        </w:rPr>
        <w:t>su</w:t>
      </w:r>
      <w:r>
        <w:rPr>
          <w:i/>
          <w:spacing w:val="-7"/>
          <w:sz w:val="24"/>
        </w:rPr>
        <w:t xml:space="preserve"> </w:t>
      </w:r>
      <w:r>
        <w:rPr>
          <w:i/>
          <w:sz w:val="24"/>
        </w:rPr>
        <w:t>identidad</w:t>
      </w:r>
      <w:r>
        <w:rPr>
          <w:i/>
          <w:spacing w:val="-7"/>
          <w:sz w:val="24"/>
        </w:rPr>
        <w:t xml:space="preserve"> </w:t>
      </w:r>
      <w:r>
        <w:rPr>
          <w:i/>
          <w:sz w:val="24"/>
        </w:rPr>
        <w:t>de</w:t>
      </w:r>
      <w:r>
        <w:rPr>
          <w:i/>
          <w:spacing w:val="-5"/>
          <w:sz w:val="24"/>
        </w:rPr>
        <w:t xml:space="preserve"> </w:t>
      </w:r>
      <w:r>
        <w:rPr>
          <w:i/>
          <w:sz w:val="24"/>
        </w:rPr>
        <w:t>género.</w:t>
      </w:r>
      <w:r>
        <w:rPr>
          <w:i/>
          <w:spacing w:val="-10"/>
          <w:sz w:val="24"/>
        </w:rPr>
        <w:t xml:space="preserve"> </w:t>
      </w:r>
      <w:r>
        <w:rPr>
          <w:i/>
          <w:sz w:val="24"/>
        </w:rPr>
        <w:t>3)</w:t>
      </w:r>
      <w:r>
        <w:rPr>
          <w:i/>
          <w:spacing w:val="-7"/>
          <w:sz w:val="24"/>
        </w:rPr>
        <w:t xml:space="preserve"> </w:t>
      </w:r>
      <w:r>
        <w:rPr>
          <w:i/>
          <w:sz w:val="24"/>
        </w:rPr>
        <w:t>La</w:t>
      </w:r>
      <w:r>
        <w:rPr>
          <w:i/>
          <w:spacing w:val="-6"/>
          <w:sz w:val="24"/>
        </w:rPr>
        <w:t xml:space="preserve"> </w:t>
      </w:r>
      <w:r>
        <w:rPr>
          <w:i/>
          <w:sz w:val="24"/>
        </w:rPr>
        <w:t>corrección</w:t>
      </w:r>
      <w:r>
        <w:rPr>
          <w:i/>
          <w:spacing w:val="-7"/>
          <w:sz w:val="24"/>
        </w:rPr>
        <w:t xml:space="preserve"> </w:t>
      </w:r>
      <w:r>
        <w:rPr>
          <w:i/>
          <w:sz w:val="24"/>
        </w:rPr>
        <w:t>del</w:t>
      </w:r>
      <w:r>
        <w:rPr>
          <w:i/>
          <w:spacing w:val="-7"/>
          <w:sz w:val="24"/>
        </w:rPr>
        <w:t xml:space="preserve"> </w:t>
      </w:r>
      <w:r>
        <w:rPr>
          <w:i/>
          <w:sz w:val="24"/>
        </w:rPr>
        <w:t>sexo</w:t>
      </w:r>
      <w:r>
        <w:rPr>
          <w:i/>
          <w:spacing w:val="-6"/>
          <w:sz w:val="24"/>
        </w:rPr>
        <w:t xml:space="preserve"> </w:t>
      </w:r>
      <w:r>
        <w:rPr>
          <w:i/>
          <w:sz w:val="24"/>
        </w:rPr>
        <w:t>en el registro civil sin acudir a un proceso de jurisdicción voluntaria, siempre que se cuente con las pruebas médicas o sicológicas que sustenten la petición. 4) La obligación de acudir al procedimiento de jurisdicción voluntaria</w:t>
      </w:r>
      <w:r>
        <w:rPr>
          <w:i/>
          <w:spacing w:val="-10"/>
          <w:sz w:val="24"/>
        </w:rPr>
        <w:t xml:space="preserve"> </w:t>
      </w:r>
      <w:r>
        <w:rPr>
          <w:i/>
          <w:sz w:val="24"/>
        </w:rPr>
        <w:t>para</w:t>
      </w:r>
      <w:r>
        <w:rPr>
          <w:i/>
          <w:spacing w:val="-12"/>
          <w:sz w:val="24"/>
        </w:rPr>
        <w:t xml:space="preserve"> </w:t>
      </w:r>
      <w:r>
        <w:rPr>
          <w:i/>
          <w:sz w:val="24"/>
        </w:rPr>
        <w:t>realizar</w:t>
      </w:r>
      <w:r>
        <w:rPr>
          <w:i/>
          <w:spacing w:val="-12"/>
          <w:sz w:val="24"/>
        </w:rPr>
        <w:t xml:space="preserve"> </w:t>
      </w:r>
      <w:r>
        <w:rPr>
          <w:i/>
          <w:sz w:val="24"/>
        </w:rPr>
        <w:t>la</w:t>
      </w:r>
      <w:r>
        <w:rPr>
          <w:i/>
          <w:spacing w:val="-13"/>
          <w:sz w:val="24"/>
        </w:rPr>
        <w:t xml:space="preserve"> </w:t>
      </w:r>
      <w:r>
        <w:rPr>
          <w:i/>
          <w:sz w:val="24"/>
        </w:rPr>
        <w:t>corrección</w:t>
      </w:r>
      <w:r>
        <w:rPr>
          <w:i/>
          <w:spacing w:val="-13"/>
          <w:sz w:val="24"/>
        </w:rPr>
        <w:t xml:space="preserve"> </w:t>
      </w:r>
      <w:r>
        <w:rPr>
          <w:i/>
          <w:sz w:val="24"/>
        </w:rPr>
        <w:t>del</w:t>
      </w:r>
      <w:r>
        <w:rPr>
          <w:i/>
          <w:spacing w:val="-14"/>
          <w:sz w:val="24"/>
        </w:rPr>
        <w:t xml:space="preserve"> </w:t>
      </w:r>
      <w:r>
        <w:rPr>
          <w:i/>
          <w:sz w:val="24"/>
        </w:rPr>
        <w:t>sexo</w:t>
      </w:r>
      <w:r>
        <w:rPr>
          <w:i/>
          <w:spacing w:val="-12"/>
          <w:sz w:val="24"/>
        </w:rPr>
        <w:t xml:space="preserve"> </w:t>
      </w:r>
      <w:r>
        <w:rPr>
          <w:i/>
          <w:sz w:val="24"/>
        </w:rPr>
        <w:t>inscrito</w:t>
      </w:r>
      <w:r>
        <w:rPr>
          <w:i/>
          <w:spacing w:val="-12"/>
          <w:sz w:val="24"/>
        </w:rPr>
        <w:t xml:space="preserve"> </w:t>
      </w:r>
      <w:r>
        <w:rPr>
          <w:i/>
          <w:sz w:val="24"/>
        </w:rPr>
        <w:t>en</w:t>
      </w:r>
      <w:r>
        <w:rPr>
          <w:i/>
          <w:spacing w:val="-13"/>
          <w:sz w:val="24"/>
        </w:rPr>
        <w:t xml:space="preserve"> </w:t>
      </w:r>
      <w:r>
        <w:rPr>
          <w:i/>
          <w:sz w:val="24"/>
        </w:rPr>
        <w:t>el</w:t>
      </w:r>
      <w:r>
        <w:rPr>
          <w:i/>
          <w:spacing w:val="-14"/>
          <w:sz w:val="24"/>
        </w:rPr>
        <w:t xml:space="preserve"> </w:t>
      </w:r>
      <w:r>
        <w:rPr>
          <w:i/>
          <w:sz w:val="24"/>
        </w:rPr>
        <w:t>registro</w:t>
      </w:r>
      <w:r>
        <w:rPr>
          <w:i/>
          <w:spacing w:val="-11"/>
          <w:sz w:val="24"/>
        </w:rPr>
        <w:t xml:space="preserve"> </w:t>
      </w:r>
      <w:r>
        <w:rPr>
          <w:i/>
          <w:sz w:val="24"/>
        </w:rPr>
        <w:t>civil,</w:t>
      </w:r>
      <w:r>
        <w:rPr>
          <w:i/>
          <w:spacing w:val="-13"/>
          <w:sz w:val="24"/>
        </w:rPr>
        <w:t xml:space="preserve"> </w:t>
      </w:r>
      <w:r>
        <w:rPr>
          <w:i/>
          <w:sz w:val="24"/>
        </w:rPr>
        <w:t>es una</w:t>
      </w:r>
      <w:r>
        <w:rPr>
          <w:i/>
          <w:spacing w:val="-2"/>
          <w:sz w:val="24"/>
        </w:rPr>
        <w:t xml:space="preserve"> </w:t>
      </w:r>
      <w:r>
        <w:rPr>
          <w:i/>
          <w:sz w:val="24"/>
        </w:rPr>
        <w:t>medida</w:t>
      </w:r>
      <w:r>
        <w:rPr>
          <w:i/>
          <w:spacing w:val="-2"/>
          <w:sz w:val="24"/>
        </w:rPr>
        <w:t xml:space="preserve"> </w:t>
      </w:r>
      <w:r>
        <w:rPr>
          <w:i/>
          <w:sz w:val="24"/>
        </w:rPr>
        <w:t>innecesaria</w:t>
      </w:r>
      <w:r>
        <w:rPr>
          <w:i/>
          <w:spacing w:val="-2"/>
          <w:sz w:val="24"/>
        </w:rPr>
        <w:t xml:space="preserve"> </w:t>
      </w:r>
      <w:r>
        <w:rPr>
          <w:i/>
          <w:sz w:val="24"/>
        </w:rPr>
        <w:t>y</w:t>
      </w:r>
      <w:r>
        <w:rPr>
          <w:i/>
          <w:spacing w:val="-2"/>
          <w:sz w:val="24"/>
        </w:rPr>
        <w:t xml:space="preserve"> </w:t>
      </w:r>
      <w:r>
        <w:rPr>
          <w:i/>
          <w:sz w:val="24"/>
        </w:rPr>
        <w:t>gravosa</w:t>
      </w:r>
      <w:r>
        <w:rPr>
          <w:i/>
          <w:spacing w:val="-2"/>
          <w:sz w:val="24"/>
        </w:rPr>
        <w:t xml:space="preserve"> </w:t>
      </w:r>
      <w:r>
        <w:rPr>
          <w:i/>
          <w:sz w:val="24"/>
        </w:rPr>
        <w:t>para</w:t>
      </w:r>
      <w:r>
        <w:rPr>
          <w:i/>
          <w:spacing w:val="-1"/>
          <w:sz w:val="24"/>
        </w:rPr>
        <w:t xml:space="preserve"> </w:t>
      </w:r>
      <w:r>
        <w:rPr>
          <w:i/>
          <w:sz w:val="24"/>
        </w:rPr>
        <w:t>los</w:t>
      </w:r>
      <w:r>
        <w:rPr>
          <w:i/>
          <w:spacing w:val="-2"/>
          <w:sz w:val="24"/>
        </w:rPr>
        <w:t xml:space="preserve"> </w:t>
      </w:r>
      <w:r>
        <w:rPr>
          <w:i/>
          <w:sz w:val="24"/>
        </w:rPr>
        <w:t>derechos</w:t>
      </w:r>
      <w:r>
        <w:rPr>
          <w:i/>
          <w:spacing w:val="-2"/>
          <w:sz w:val="24"/>
        </w:rPr>
        <w:t xml:space="preserve"> </w:t>
      </w:r>
      <w:r>
        <w:rPr>
          <w:i/>
          <w:sz w:val="24"/>
        </w:rPr>
        <w:t>fundamentales</w:t>
      </w:r>
      <w:r>
        <w:rPr>
          <w:i/>
          <w:spacing w:val="-2"/>
          <w:sz w:val="24"/>
        </w:rPr>
        <w:t xml:space="preserve"> </w:t>
      </w:r>
      <w:r>
        <w:rPr>
          <w:i/>
          <w:sz w:val="24"/>
        </w:rPr>
        <w:t>de</w:t>
      </w:r>
      <w:r>
        <w:rPr>
          <w:i/>
          <w:spacing w:val="-1"/>
          <w:sz w:val="24"/>
        </w:rPr>
        <w:t xml:space="preserve"> </w:t>
      </w:r>
      <w:r>
        <w:rPr>
          <w:i/>
          <w:sz w:val="24"/>
        </w:rPr>
        <w:t>las personas</w:t>
      </w:r>
      <w:r>
        <w:rPr>
          <w:i/>
          <w:spacing w:val="-22"/>
          <w:sz w:val="24"/>
        </w:rPr>
        <w:t xml:space="preserve"> </w:t>
      </w:r>
      <w:r>
        <w:rPr>
          <w:i/>
          <w:sz w:val="24"/>
        </w:rPr>
        <w:t>transgénero…</w:t>
      </w:r>
      <w:r>
        <w:rPr>
          <w:i/>
          <w:spacing w:val="-21"/>
          <w:sz w:val="24"/>
        </w:rPr>
        <w:t xml:space="preserve"> </w:t>
      </w:r>
      <w:r>
        <w:rPr>
          <w:i/>
          <w:sz w:val="24"/>
        </w:rPr>
        <w:t>la</w:t>
      </w:r>
      <w:r>
        <w:rPr>
          <w:i/>
          <w:spacing w:val="-21"/>
          <w:sz w:val="24"/>
        </w:rPr>
        <w:t xml:space="preserve"> </w:t>
      </w:r>
      <w:r>
        <w:rPr>
          <w:i/>
          <w:sz w:val="24"/>
        </w:rPr>
        <w:t>Sala</w:t>
      </w:r>
      <w:r>
        <w:rPr>
          <w:i/>
          <w:spacing w:val="-21"/>
          <w:sz w:val="24"/>
        </w:rPr>
        <w:t xml:space="preserve"> </w:t>
      </w:r>
      <w:r>
        <w:rPr>
          <w:i/>
          <w:sz w:val="24"/>
        </w:rPr>
        <w:t>considera</w:t>
      </w:r>
      <w:r>
        <w:rPr>
          <w:i/>
          <w:spacing w:val="-21"/>
          <w:sz w:val="24"/>
        </w:rPr>
        <w:t xml:space="preserve"> </w:t>
      </w:r>
      <w:r>
        <w:rPr>
          <w:i/>
          <w:sz w:val="24"/>
        </w:rPr>
        <w:t>que</w:t>
      </w:r>
      <w:r>
        <w:rPr>
          <w:i/>
          <w:spacing w:val="-21"/>
          <w:sz w:val="24"/>
        </w:rPr>
        <w:t xml:space="preserve"> </w:t>
      </w:r>
      <w:r>
        <w:rPr>
          <w:i/>
          <w:sz w:val="24"/>
        </w:rPr>
        <w:t>las</w:t>
      </w:r>
      <w:r>
        <w:rPr>
          <w:i/>
          <w:spacing w:val="-21"/>
          <w:sz w:val="24"/>
        </w:rPr>
        <w:t xml:space="preserve"> </w:t>
      </w:r>
      <w:r>
        <w:rPr>
          <w:i/>
          <w:sz w:val="24"/>
        </w:rPr>
        <w:t>autoridades</w:t>
      </w:r>
      <w:r>
        <w:rPr>
          <w:i/>
          <w:spacing w:val="-21"/>
          <w:sz w:val="24"/>
        </w:rPr>
        <w:t xml:space="preserve"> </w:t>
      </w:r>
      <w:r>
        <w:rPr>
          <w:i/>
          <w:sz w:val="24"/>
        </w:rPr>
        <w:t>se</w:t>
      </w:r>
      <w:r>
        <w:rPr>
          <w:i/>
          <w:spacing w:val="-21"/>
          <w:sz w:val="24"/>
        </w:rPr>
        <w:t xml:space="preserve"> </w:t>
      </w:r>
      <w:r>
        <w:rPr>
          <w:i/>
          <w:sz w:val="24"/>
        </w:rPr>
        <w:t>encuentran en la obligación de facilitar los trámites y actuaciones necesarios para garantizar</w:t>
      </w:r>
      <w:r>
        <w:rPr>
          <w:i/>
          <w:spacing w:val="-18"/>
          <w:sz w:val="24"/>
        </w:rPr>
        <w:t xml:space="preserve"> </w:t>
      </w:r>
      <w:r>
        <w:rPr>
          <w:i/>
          <w:sz w:val="24"/>
        </w:rPr>
        <w:t>el</w:t>
      </w:r>
      <w:r>
        <w:rPr>
          <w:i/>
          <w:spacing w:val="-19"/>
          <w:sz w:val="24"/>
        </w:rPr>
        <w:t xml:space="preserve"> </w:t>
      </w:r>
      <w:r>
        <w:rPr>
          <w:i/>
          <w:sz w:val="24"/>
        </w:rPr>
        <w:t>ejercicio</w:t>
      </w:r>
      <w:r>
        <w:rPr>
          <w:i/>
          <w:spacing w:val="-18"/>
          <w:sz w:val="24"/>
        </w:rPr>
        <w:t xml:space="preserve"> </w:t>
      </w:r>
      <w:r>
        <w:rPr>
          <w:i/>
          <w:sz w:val="24"/>
        </w:rPr>
        <w:t>de</w:t>
      </w:r>
      <w:r>
        <w:rPr>
          <w:i/>
          <w:spacing w:val="-17"/>
          <w:sz w:val="24"/>
        </w:rPr>
        <w:t xml:space="preserve"> </w:t>
      </w:r>
      <w:r>
        <w:rPr>
          <w:i/>
          <w:sz w:val="24"/>
        </w:rPr>
        <w:t>los</w:t>
      </w:r>
      <w:r>
        <w:rPr>
          <w:i/>
          <w:spacing w:val="-19"/>
          <w:sz w:val="24"/>
        </w:rPr>
        <w:t xml:space="preserve"> </w:t>
      </w:r>
      <w:r>
        <w:rPr>
          <w:i/>
          <w:sz w:val="24"/>
        </w:rPr>
        <w:t>derechos</w:t>
      </w:r>
      <w:r>
        <w:rPr>
          <w:i/>
          <w:spacing w:val="-19"/>
          <w:sz w:val="24"/>
        </w:rPr>
        <w:t xml:space="preserve"> </w:t>
      </w:r>
      <w:r>
        <w:rPr>
          <w:i/>
          <w:sz w:val="24"/>
        </w:rPr>
        <w:t>de</w:t>
      </w:r>
      <w:r>
        <w:rPr>
          <w:i/>
          <w:spacing w:val="-20"/>
          <w:sz w:val="24"/>
        </w:rPr>
        <w:t xml:space="preserve"> </w:t>
      </w:r>
      <w:r>
        <w:rPr>
          <w:i/>
          <w:sz w:val="24"/>
        </w:rPr>
        <w:t>las</w:t>
      </w:r>
      <w:r>
        <w:rPr>
          <w:i/>
          <w:spacing w:val="-19"/>
          <w:sz w:val="24"/>
        </w:rPr>
        <w:t xml:space="preserve"> </w:t>
      </w:r>
      <w:r>
        <w:rPr>
          <w:i/>
          <w:sz w:val="24"/>
        </w:rPr>
        <w:t>personas</w:t>
      </w:r>
      <w:r>
        <w:rPr>
          <w:i/>
          <w:spacing w:val="-19"/>
          <w:sz w:val="24"/>
        </w:rPr>
        <w:t xml:space="preserve"> </w:t>
      </w:r>
      <w:r>
        <w:rPr>
          <w:i/>
          <w:sz w:val="24"/>
        </w:rPr>
        <w:t>transgénero,</w:t>
      </w:r>
      <w:r>
        <w:rPr>
          <w:i/>
          <w:spacing w:val="-19"/>
          <w:sz w:val="24"/>
        </w:rPr>
        <w:t xml:space="preserve"> </w:t>
      </w:r>
      <w:r>
        <w:rPr>
          <w:i/>
          <w:sz w:val="24"/>
        </w:rPr>
        <w:t>quienes no deben ser sometidas a restricciones legales que les impidan el goce efectivo de sus derechos derivados de la identidad asumida.”</w:t>
      </w:r>
    </w:p>
    <w:p w14:paraId="55FC8FF4" w14:textId="77777777" w:rsidR="000E52B0" w:rsidRDefault="00F60D74">
      <w:pPr>
        <w:spacing w:before="162"/>
        <w:ind w:left="720" w:right="716"/>
        <w:jc w:val="both"/>
        <w:rPr>
          <w:i/>
          <w:sz w:val="24"/>
        </w:rPr>
      </w:pPr>
      <w:r>
        <w:rPr>
          <w:sz w:val="24"/>
        </w:rPr>
        <w:t>A</w:t>
      </w:r>
      <w:r>
        <w:rPr>
          <w:spacing w:val="-2"/>
          <w:sz w:val="24"/>
        </w:rPr>
        <w:t xml:space="preserve"> </w:t>
      </w:r>
      <w:r>
        <w:rPr>
          <w:sz w:val="24"/>
        </w:rPr>
        <w:t>este punto es</w:t>
      </w:r>
      <w:r>
        <w:rPr>
          <w:spacing w:val="-1"/>
          <w:sz w:val="24"/>
        </w:rPr>
        <w:t xml:space="preserve"> </w:t>
      </w:r>
      <w:r>
        <w:rPr>
          <w:sz w:val="24"/>
        </w:rPr>
        <w:t>necesario traer a</w:t>
      </w:r>
      <w:r>
        <w:rPr>
          <w:spacing w:val="-1"/>
          <w:sz w:val="24"/>
        </w:rPr>
        <w:t xml:space="preserve"> </w:t>
      </w:r>
      <w:r>
        <w:rPr>
          <w:sz w:val="24"/>
        </w:rPr>
        <w:t>colación</w:t>
      </w:r>
      <w:r>
        <w:rPr>
          <w:spacing w:val="-1"/>
          <w:sz w:val="24"/>
        </w:rPr>
        <w:t xml:space="preserve"> </w:t>
      </w:r>
      <w:r>
        <w:rPr>
          <w:sz w:val="24"/>
        </w:rPr>
        <w:t xml:space="preserve">nuevamente lo manifestado por la Honorable Corte Constitucional en Sentencia T-314 de 2011 (MP Diana Fajardo Rivera) sobre la pertinencia de </w:t>
      </w:r>
      <w:r>
        <w:rPr>
          <w:i/>
          <w:sz w:val="24"/>
        </w:rPr>
        <w:t>“(…) articular una política integral pública nacional LGBTI, concebida desde la construcción participativa, con metodologías,</w:t>
      </w:r>
      <w:r>
        <w:rPr>
          <w:i/>
          <w:spacing w:val="-11"/>
          <w:sz w:val="24"/>
        </w:rPr>
        <w:t xml:space="preserve"> </w:t>
      </w:r>
      <w:r>
        <w:rPr>
          <w:i/>
          <w:sz w:val="24"/>
        </w:rPr>
        <w:t>tiempos,</w:t>
      </w:r>
      <w:r>
        <w:rPr>
          <w:i/>
          <w:spacing w:val="-11"/>
          <w:sz w:val="24"/>
        </w:rPr>
        <w:t xml:space="preserve"> </w:t>
      </w:r>
      <w:r>
        <w:rPr>
          <w:i/>
          <w:sz w:val="24"/>
        </w:rPr>
        <w:t>recursos</w:t>
      </w:r>
      <w:r>
        <w:rPr>
          <w:i/>
          <w:spacing w:val="-10"/>
          <w:sz w:val="24"/>
        </w:rPr>
        <w:t xml:space="preserve"> </w:t>
      </w:r>
      <w:r>
        <w:rPr>
          <w:i/>
          <w:sz w:val="24"/>
        </w:rPr>
        <w:t>técnicos</w:t>
      </w:r>
      <w:r>
        <w:rPr>
          <w:i/>
          <w:spacing w:val="-9"/>
          <w:sz w:val="24"/>
        </w:rPr>
        <w:t xml:space="preserve"> </w:t>
      </w:r>
      <w:r>
        <w:rPr>
          <w:i/>
          <w:sz w:val="24"/>
        </w:rPr>
        <w:t>y</w:t>
      </w:r>
      <w:r>
        <w:rPr>
          <w:i/>
          <w:spacing w:val="-10"/>
          <w:sz w:val="24"/>
        </w:rPr>
        <w:t xml:space="preserve"> </w:t>
      </w:r>
      <w:r>
        <w:rPr>
          <w:i/>
          <w:sz w:val="24"/>
        </w:rPr>
        <w:t>financieros</w:t>
      </w:r>
      <w:r>
        <w:rPr>
          <w:i/>
          <w:spacing w:val="-10"/>
          <w:sz w:val="24"/>
        </w:rPr>
        <w:t xml:space="preserve"> </w:t>
      </w:r>
      <w:r>
        <w:rPr>
          <w:i/>
          <w:sz w:val="24"/>
        </w:rPr>
        <w:t>claros</w:t>
      </w:r>
      <w:r>
        <w:rPr>
          <w:i/>
          <w:spacing w:val="-10"/>
          <w:sz w:val="24"/>
        </w:rPr>
        <w:t xml:space="preserve"> </w:t>
      </w:r>
      <w:r>
        <w:rPr>
          <w:i/>
          <w:sz w:val="24"/>
        </w:rPr>
        <w:t>y</w:t>
      </w:r>
      <w:r>
        <w:rPr>
          <w:i/>
          <w:spacing w:val="-10"/>
          <w:sz w:val="24"/>
        </w:rPr>
        <w:t xml:space="preserve"> </w:t>
      </w:r>
      <w:r>
        <w:rPr>
          <w:i/>
          <w:sz w:val="24"/>
        </w:rPr>
        <w:t>adecuados. Así</w:t>
      </w:r>
      <w:r>
        <w:rPr>
          <w:i/>
          <w:spacing w:val="-10"/>
          <w:sz w:val="24"/>
        </w:rPr>
        <w:t xml:space="preserve"> </w:t>
      </w:r>
      <w:r>
        <w:rPr>
          <w:i/>
          <w:sz w:val="24"/>
        </w:rPr>
        <w:t>como</w:t>
      </w:r>
      <w:r>
        <w:rPr>
          <w:i/>
          <w:spacing w:val="-6"/>
          <w:sz w:val="24"/>
        </w:rPr>
        <w:t xml:space="preserve"> </w:t>
      </w:r>
      <w:r>
        <w:rPr>
          <w:i/>
          <w:sz w:val="24"/>
        </w:rPr>
        <w:t>con</w:t>
      </w:r>
      <w:r>
        <w:rPr>
          <w:i/>
          <w:spacing w:val="-6"/>
          <w:sz w:val="24"/>
        </w:rPr>
        <w:t xml:space="preserve"> </w:t>
      </w:r>
      <w:r>
        <w:rPr>
          <w:i/>
          <w:sz w:val="24"/>
        </w:rPr>
        <w:t>las</w:t>
      </w:r>
      <w:r>
        <w:rPr>
          <w:i/>
          <w:spacing w:val="-7"/>
          <w:sz w:val="24"/>
        </w:rPr>
        <w:t xml:space="preserve"> </w:t>
      </w:r>
      <w:r>
        <w:rPr>
          <w:i/>
          <w:sz w:val="24"/>
        </w:rPr>
        <w:t>metodologías,</w:t>
      </w:r>
      <w:r>
        <w:rPr>
          <w:i/>
          <w:spacing w:val="-8"/>
          <w:sz w:val="24"/>
        </w:rPr>
        <w:t xml:space="preserve"> </w:t>
      </w:r>
      <w:r>
        <w:rPr>
          <w:i/>
          <w:sz w:val="24"/>
        </w:rPr>
        <w:t>fases</w:t>
      </w:r>
      <w:r>
        <w:rPr>
          <w:i/>
          <w:spacing w:val="-9"/>
          <w:sz w:val="24"/>
        </w:rPr>
        <w:t xml:space="preserve"> </w:t>
      </w:r>
      <w:r>
        <w:rPr>
          <w:i/>
          <w:sz w:val="24"/>
        </w:rPr>
        <w:t>y</w:t>
      </w:r>
      <w:r>
        <w:rPr>
          <w:i/>
          <w:spacing w:val="-7"/>
          <w:sz w:val="24"/>
        </w:rPr>
        <w:t xml:space="preserve"> </w:t>
      </w:r>
      <w:r>
        <w:rPr>
          <w:i/>
          <w:sz w:val="24"/>
        </w:rPr>
        <w:t>tiempos</w:t>
      </w:r>
      <w:r>
        <w:rPr>
          <w:i/>
          <w:spacing w:val="-9"/>
          <w:sz w:val="24"/>
        </w:rPr>
        <w:t xml:space="preserve"> </w:t>
      </w:r>
      <w:r>
        <w:rPr>
          <w:i/>
          <w:sz w:val="24"/>
        </w:rPr>
        <w:t>requeridos</w:t>
      </w:r>
      <w:r>
        <w:rPr>
          <w:i/>
          <w:spacing w:val="-7"/>
          <w:sz w:val="24"/>
        </w:rPr>
        <w:t xml:space="preserve"> </w:t>
      </w:r>
      <w:r>
        <w:rPr>
          <w:i/>
          <w:sz w:val="24"/>
        </w:rPr>
        <w:t>para</w:t>
      </w:r>
      <w:r>
        <w:rPr>
          <w:i/>
          <w:spacing w:val="-8"/>
          <w:sz w:val="24"/>
        </w:rPr>
        <w:t xml:space="preserve"> </w:t>
      </w:r>
      <w:r>
        <w:rPr>
          <w:i/>
          <w:sz w:val="24"/>
        </w:rPr>
        <w:t>garantizar un ejercicio efectivo de formulación de políticas públicas sociales con énfasis en poblaciones y territorios.</w:t>
      </w:r>
    </w:p>
    <w:p w14:paraId="552B56CF" w14:textId="77777777" w:rsidR="000E52B0" w:rsidRDefault="00F60D74">
      <w:pPr>
        <w:pStyle w:val="Textoindependiente"/>
        <w:spacing w:before="160"/>
        <w:ind w:right="717"/>
        <w:jc w:val="both"/>
      </w:pPr>
      <w:r>
        <w:t>Así las cosas, el Ministerio de Igualdad y Equidad desde su Dirección para la Garantía de los Derechos que hace parte del Viceministerio de las Diversidades pretende adoptar y ejecutar políticas, planes, programas y proyectos orientados a la aplicación de enfoques de género</w:t>
      </w:r>
      <w:r>
        <w:rPr>
          <w:spacing w:val="-1"/>
        </w:rPr>
        <w:t xml:space="preserve"> </w:t>
      </w:r>
      <w:r>
        <w:t>y diferenciales que enfrenten, prevengan y eliminen las diversas formas de violencia y discriminación</w:t>
      </w:r>
      <w:r>
        <w:rPr>
          <w:spacing w:val="28"/>
        </w:rPr>
        <w:t xml:space="preserve"> </w:t>
      </w:r>
      <w:r>
        <w:t>contra</w:t>
      </w:r>
      <w:r>
        <w:rPr>
          <w:spacing w:val="31"/>
        </w:rPr>
        <w:t xml:space="preserve"> </w:t>
      </w:r>
      <w:r>
        <w:t>la</w:t>
      </w:r>
      <w:r>
        <w:rPr>
          <w:spacing w:val="33"/>
        </w:rPr>
        <w:t xml:space="preserve"> </w:t>
      </w:r>
      <w:r>
        <w:t>población</w:t>
      </w:r>
      <w:r>
        <w:rPr>
          <w:spacing w:val="30"/>
        </w:rPr>
        <w:t xml:space="preserve"> </w:t>
      </w:r>
      <w:r>
        <w:t>LGBTIQ+</w:t>
      </w:r>
      <w:r>
        <w:rPr>
          <w:spacing w:val="32"/>
        </w:rPr>
        <w:t xml:space="preserve"> </w:t>
      </w:r>
      <w:r>
        <w:t>y</w:t>
      </w:r>
      <w:r>
        <w:rPr>
          <w:spacing w:val="30"/>
        </w:rPr>
        <w:t xml:space="preserve"> </w:t>
      </w:r>
      <w:r>
        <w:t>promuevan</w:t>
      </w:r>
      <w:r>
        <w:rPr>
          <w:spacing w:val="33"/>
        </w:rPr>
        <w:t xml:space="preserve"> </w:t>
      </w:r>
      <w:r>
        <w:t>la</w:t>
      </w:r>
      <w:r>
        <w:rPr>
          <w:spacing w:val="32"/>
        </w:rPr>
        <w:t xml:space="preserve"> </w:t>
      </w:r>
      <w:r>
        <w:t>garantía</w:t>
      </w:r>
      <w:r>
        <w:rPr>
          <w:spacing w:val="31"/>
        </w:rPr>
        <w:t xml:space="preserve"> </w:t>
      </w:r>
      <w:r>
        <w:rPr>
          <w:spacing w:val="-5"/>
        </w:rPr>
        <w:t>de</w:t>
      </w:r>
    </w:p>
    <w:p w14:paraId="7AAE34DD" w14:textId="77777777" w:rsidR="000E52B0" w:rsidRDefault="000E52B0">
      <w:pPr>
        <w:pStyle w:val="Textoindependiente"/>
        <w:jc w:val="both"/>
        <w:sectPr w:rsidR="000E52B0">
          <w:pgSz w:w="11910" w:h="16840"/>
          <w:pgMar w:top="1340" w:right="720" w:bottom="1180" w:left="720" w:header="0" w:footer="995" w:gutter="0"/>
          <w:cols w:space="720"/>
        </w:sectPr>
      </w:pPr>
    </w:p>
    <w:p w14:paraId="082EF12F" w14:textId="77777777" w:rsidR="000E52B0" w:rsidRDefault="00F60D74">
      <w:pPr>
        <w:pStyle w:val="Textoindependiente"/>
        <w:spacing w:before="83"/>
        <w:ind w:right="717"/>
        <w:jc w:val="both"/>
      </w:pPr>
      <w:r>
        <w:lastRenderedPageBreak/>
        <w:t>sus derechos, fortalezcan la atención para población LGBTIQ+ víctima de violencias basadas en género, así como la educación, sensibilización y concientización sobre la diversidad sexual y de género, por parte de las instituciones</w:t>
      </w:r>
      <w:r>
        <w:rPr>
          <w:spacing w:val="-1"/>
        </w:rPr>
        <w:t xml:space="preserve"> </w:t>
      </w:r>
      <w:r>
        <w:t>encargadas</w:t>
      </w:r>
      <w:r>
        <w:rPr>
          <w:spacing w:val="-2"/>
        </w:rPr>
        <w:t xml:space="preserve"> </w:t>
      </w:r>
      <w:r>
        <w:t>de</w:t>
      </w:r>
      <w:r>
        <w:rPr>
          <w:spacing w:val="-1"/>
        </w:rPr>
        <w:t xml:space="preserve"> </w:t>
      </w:r>
      <w:r>
        <w:t>estos</w:t>
      </w:r>
      <w:r>
        <w:rPr>
          <w:spacing w:val="-2"/>
        </w:rPr>
        <w:t xml:space="preserve"> </w:t>
      </w:r>
      <w:r>
        <w:t>servicios,</w:t>
      </w:r>
      <w:r>
        <w:rPr>
          <w:spacing w:val="80"/>
        </w:rPr>
        <w:t xml:space="preserve"> </w:t>
      </w:r>
      <w:r>
        <w:t>fomentar la</w:t>
      </w:r>
      <w:r>
        <w:rPr>
          <w:spacing w:val="-2"/>
        </w:rPr>
        <w:t xml:space="preserve"> </w:t>
      </w:r>
      <w:r>
        <w:t>capacidad</w:t>
      </w:r>
      <w:r>
        <w:rPr>
          <w:spacing w:val="-2"/>
        </w:rPr>
        <w:t xml:space="preserve"> </w:t>
      </w:r>
      <w:r>
        <w:t>de</w:t>
      </w:r>
      <w:r>
        <w:rPr>
          <w:spacing w:val="-1"/>
        </w:rPr>
        <w:t xml:space="preserve"> </w:t>
      </w:r>
      <w:r>
        <w:t>los operadores</w:t>
      </w:r>
      <w:r>
        <w:rPr>
          <w:spacing w:val="-9"/>
        </w:rPr>
        <w:t xml:space="preserve"> </w:t>
      </w:r>
      <w:r>
        <w:t>de</w:t>
      </w:r>
      <w:r>
        <w:rPr>
          <w:spacing w:val="-8"/>
        </w:rPr>
        <w:t xml:space="preserve"> </w:t>
      </w:r>
      <w:r>
        <w:t>justicia</w:t>
      </w:r>
      <w:r>
        <w:rPr>
          <w:spacing w:val="-9"/>
        </w:rPr>
        <w:t xml:space="preserve"> </w:t>
      </w:r>
      <w:r>
        <w:t>para</w:t>
      </w:r>
      <w:r>
        <w:rPr>
          <w:spacing w:val="-8"/>
        </w:rPr>
        <w:t xml:space="preserve"> </w:t>
      </w:r>
      <w:r>
        <w:t>la</w:t>
      </w:r>
      <w:r>
        <w:rPr>
          <w:spacing w:val="-9"/>
        </w:rPr>
        <w:t xml:space="preserve"> </w:t>
      </w:r>
      <w:r>
        <w:t>investigación,</w:t>
      </w:r>
      <w:r>
        <w:rPr>
          <w:spacing w:val="-10"/>
        </w:rPr>
        <w:t xml:space="preserve"> </w:t>
      </w:r>
      <w:r>
        <w:t>el</w:t>
      </w:r>
      <w:r>
        <w:rPr>
          <w:spacing w:val="-10"/>
        </w:rPr>
        <w:t xml:space="preserve"> </w:t>
      </w:r>
      <w:r>
        <w:t>juzgamiento</w:t>
      </w:r>
      <w:r>
        <w:rPr>
          <w:spacing w:val="-6"/>
        </w:rPr>
        <w:t xml:space="preserve"> </w:t>
      </w:r>
      <w:r>
        <w:t>y</w:t>
      </w:r>
      <w:r>
        <w:rPr>
          <w:spacing w:val="-9"/>
        </w:rPr>
        <w:t xml:space="preserve"> </w:t>
      </w:r>
      <w:r>
        <w:t>la</w:t>
      </w:r>
      <w:r>
        <w:rPr>
          <w:spacing w:val="-9"/>
        </w:rPr>
        <w:t xml:space="preserve"> </w:t>
      </w:r>
      <w:r>
        <w:t>sanción</w:t>
      </w:r>
      <w:r>
        <w:rPr>
          <w:spacing w:val="-9"/>
        </w:rPr>
        <w:t xml:space="preserve"> </w:t>
      </w:r>
      <w:r>
        <w:t>de casos de violencia y discriminación por motivos de orientación sexual o identidad de género en articulación con el Ministerio de Justicia y del Derecho, diseñar y poner en marcha programas y campañas de sensibilización y pedagogía sobre la garantía de derechos, al acceso a servicios</w:t>
      </w:r>
      <w:r>
        <w:rPr>
          <w:spacing w:val="-5"/>
        </w:rPr>
        <w:t xml:space="preserve"> </w:t>
      </w:r>
      <w:r>
        <w:t>disponibles</w:t>
      </w:r>
      <w:r>
        <w:rPr>
          <w:spacing w:val="-4"/>
        </w:rPr>
        <w:t xml:space="preserve"> </w:t>
      </w:r>
      <w:r>
        <w:t>para</w:t>
      </w:r>
      <w:r>
        <w:rPr>
          <w:spacing w:val="-4"/>
        </w:rPr>
        <w:t xml:space="preserve"> </w:t>
      </w:r>
      <w:r>
        <w:t>la</w:t>
      </w:r>
      <w:r>
        <w:rPr>
          <w:spacing w:val="-4"/>
        </w:rPr>
        <w:t xml:space="preserve"> </w:t>
      </w:r>
      <w:r>
        <w:t>atención,</w:t>
      </w:r>
      <w:r>
        <w:rPr>
          <w:spacing w:val="-5"/>
        </w:rPr>
        <w:t xml:space="preserve"> </w:t>
      </w:r>
      <w:r>
        <w:t>la</w:t>
      </w:r>
      <w:r>
        <w:rPr>
          <w:spacing w:val="-4"/>
        </w:rPr>
        <w:t xml:space="preserve"> </w:t>
      </w:r>
      <w:r>
        <w:t>prevención</w:t>
      </w:r>
      <w:r>
        <w:rPr>
          <w:spacing w:val="-5"/>
        </w:rPr>
        <w:t xml:space="preserve"> </w:t>
      </w:r>
      <w:r>
        <w:t>y</w:t>
      </w:r>
      <w:r>
        <w:rPr>
          <w:spacing w:val="-5"/>
        </w:rPr>
        <w:t xml:space="preserve"> </w:t>
      </w:r>
      <w:r>
        <w:t>la</w:t>
      </w:r>
      <w:r>
        <w:rPr>
          <w:spacing w:val="-4"/>
        </w:rPr>
        <w:t xml:space="preserve"> </w:t>
      </w:r>
      <w:r>
        <w:t>eliminación</w:t>
      </w:r>
      <w:r>
        <w:rPr>
          <w:spacing w:val="-5"/>
        </w:rPr>
        <w:t xml:space="preserve"> </w:t>
      </w:r>
      <w:r>
        <w:t>de</w:t>
      </w:r>
      <w:r>
        <w:rPr>
          <w:spacing w:val="-4"/>
        </w:rPr>
        <w:t xml:space="preserve"> </w:t>
      </w:r>
      <w:r>
        <w:t>las violencias basadas en género contra la población LGBTIQ+.</w:t>
      </w:r>
      <w:r>
        <w:rPr>
          <w:spacing w:val="40"/>
        </w:rPr>
        <w:t xml:space="preserve"> </w:t>
      </w:r>
      <w:r>
        <w:t>e impulsar medidas de acompañamiento a entidades de salud para el acceso a los servicios de salud, en condiciones de igualdad y equidad para la población LGBTIQ+ en colaboración con el Ministerio de Salud.</w:t>
      </w:r>
    </w:p>
    <w:p w14:paraId="0BE744F6" w14:textId="77777777" w:rsidR="000E52B0" w:rsidRDefault="00F60D74">
      <w:pPr>
        <w:pStyle w:val="Textoindependiente"/>
        <w:spacing w:before="266"/>
        <w:ind w:right="717"/>
        <w:jc w:val="both"/>
      </w:pPr>
      <w:bookmarkStart w:id="175" w:name="_bookmark175"/>
      <w:bookmarkEnd w:id="175"/>
      <w:r>
        <w:rPr>
          <w:color w:val="770F47"/>
        </w:rPr>
        <w:t xml:space="preserve">Pueblos Afrodescendientes, Negros, Raizales, Palenqueros, Indígenas y </w:t>
      </w:r>
      <w:proofErr w:type="spellStart"/>
      <w:r>
        <w:rPr>
          <w:color w:val="770F47"/>
          <w:spacing w:val="-4"/>
        </w:rPr>
        <w:t>Rrom</w:t>
      </w:r>
      <w:proofErr w:type="spellEnd"/>
    </w:p>
    <w:p w14:paraId="424D3D46" w14:textId="77777777" w:rsidR="000E52B0" w:rsidRDefault="000E52B0">
      <w:pPr>
        <w:pStyle w:val="Textoindependiente"/>
        <w:ind w:left="0"/>
      </w:pPr>
    </w:p>
    <w:p w14:paraId="28349134" w14:textId="77777777" w:rsidR="000E52B0" w:rsidRDefault="00F60D74">
      <w:pPr>
        <w:spacing w:before="1"/>
        <w:ind w:left="720" w:right="715"/>
        <w:jc w:val="both"/>
        <w:rPr>
          <w:i/>
          <w:sz w:val="24"/>
        </w:rPr>
      </w:pPr>
      <w:r>
        <w:rPr>
          <w:sz w:val="24"/>
        </w:rPr>
        <w:t>La discriminación y los tratos desiguales de los cuales son objeto las personas</w:t>
      </w:r>
      <w:r>
        <w:rPr>
          <w:spacing w:val="-16"/>
          <w:sz w:val="24"/>
        </w:rPr>
        <w:t xml:space="preserve"> </w:t>
      </w:r>
      <w:r>
        <w:rPr>
          <w:sz w:val="24"/>
        </w:rPr>
        <w:t>con</w:t>
      </w:r>
      <w:r>
        <w:rPr>
          <w:spacing w:val="-16"/>
          <w:sz w:val="24"/>
        </w:rPr>
        <w:t xml:space="preserve"> </w:t>
      </w:r>
      <w:r>
        <w:rPr>
          <w:sz w:val="24"/>
        </w:rPr>
        <w:t>pertenencia</w:t>
      </w:r>
      <w:r>
        <w:rPr>
          <w:spacing w:val="-16"/>
          <w:sz w:val="24"/>
        </w:rPr>
        <w:t xml:space="preserve"> </w:t>
      </w:r>
      <w:r>
        <w:rPr>
          <w:sz w:val="24"/>
        </w:rPr>
        <w:t>étnica</w:t>
      </w:r>
      <w:r>
        <w:rPr>
          <w:spacing w:val="-16"/>
          <w:sz w:val="24"/>
        </w:rPr>
        <w:t xml:space="preserve"> </w:t>
      </w:r>
      <w:r>
        <w:rPr>
          <w:sz w:val="24"/>
        </w:rPr>
        <w:t>es</w:t>
      </w:r>
      <w:r>
        <w:rPr>
          <w:spacing w:val="-14"/>
          <w:sz w:val="24"/>
        </w:rPr>
        <w:t xml:space="preserve"> </w:t>
      </w:r>
      <w:r>
        <w:rPr>
          <w:sz w:val="24"/>
        </w:rPr>
        <w:t>un</w:t>
      </w:r>
      <w:r>
        <w:rPr>
          <w:spacing w:val="-14"/>
          <w:sz w:val="24"/>
        </w:rPr>
        <w:t xml:space="preserve"> </w:t>
      </w:r>
      <w:r>
        <w:rPr>
          <w:sz w:val="24"/>
        </w:rPr>
        <w:t>problema</w:t>
      </w:r>
      <w:r>
        <w:rPr>
          <w:spacing w:val="-16"/>
          <w:sz w:val="24"/>
        </w:rPr>
        <w:t xml:space="preserve"> </w:t>
      </w:r>
      <w:r>
        <w:rPr>
          <w:sz w:val="24"/>
        </w:rPr>
        <w:t>históricamente</w:t>
      </w:r>
      <w:r>
        <w:rPr>
          <w:spacing w:val="-15"/>
          <w:sz w:val="24"/>
        </w:rPr>
        <w:t xml:space="preserve"> </w:t>
      </w:r>
      <w:r>
        <w:rPr>
          <w:sz w:val="24"/>
        </w:rPr>
        <w:t>reconocido en Colombia, en especial, cuando se ven obligados dejar sus territorios y migrar a la ciudad en búsqueda de nuevas oportunidades, tal como lo demuestra el DANE en su estudio “Desigualdades poblacionales y migratorias de los pueblos indígenas de Colombia”, publicado en el año 2022,</w:t>
      </w:r>
      <w:r>
        <w:rPr>
          <w:spacing w:val="-17"/>
          <w:sz w:val="24"/>
        </w:rPr>
        <w:t xml:space="preserve"> </w:t>
      </w:r>
      <w:r>
        <w:rPr>
          <w:sz w:val="24"/>
        </w:rPr>
        <w:t>en</w:t>
      </w:r>
      <w:r>
        <w:rPr>
          <w:spacing w:val="-16"/>
          <w:sz w:val="24"/>
        </w:rPr>
        <w:t xml:space="preserve"> </w:t>
      </w:r>
      <w:r>
        <w:rPr>
          <w:sz w:val="24"/>
        </w:rPr>
        <w:t>donde</w:t>
      </w:r>
      <w:r>
        <w:rPr>
          <w:spacing w:val="-13"/>
          <w:sz w:val="24"/>
        </w:rPr>
        <w:t xml:space="preserve"> </w:t>
      </w:r>
      <w:r>
        <w:rPr>
          <w:sz w:val="24"/>
        </w:rPr>
        <w:t>plantea</w:t>
      </w:r>
      <w:r>
        <w:rPr>
          <w:spacing w:val="-16"/>
          <w:sz w:val="24"/>
        </w:rPr>
        <w:t xml:space="preserve"> </w:t>
      </w:r>
      <w:r>
        <w:rPr>
          <w:sz w:val="24"/>
        </w:rPr>
        <w:t>que</w:t>
      </w:r>
      <w:r>
        <w:rPr>
          <w:spacing w:val="-12"/>
          <w:sz w:val="24"/>
        </w:rPr>
        <w:t xml:space="preserve"> </w:t>
      </w:r>
      <w:r>
        <w:rPr>
          <w:i/>
          <w:sz w:val="24"/>
        </w:rPr>
        <w:t>“Los</w:t>
      </w:r>
      <w:r>
        <w:rPr>
          <w:i/>
          <w:spacing w:val="-16"/>
          <w:sz w:val="24"/>
        </w:rPr>
        <w:t xml:space="preserve"> </w:t>
      </w:r>
      <w:r>
        <w:rPr>
          <w:i/>
          <w:sz w:val="24"/>
        </w:rPr>
        <w:t>campesinos</w:t>
      </w:r>
      <w:r>
        <w:rPr>
          <w:i/>
          <w:spacing w:val="-16"/>
          <w:sz w:val="24"/>
        </w:rPr>
        <w:t xml:space="preserve"> </w:t>
      </w:r>
      <w:r>
        <w:rPr>
          <w:i/>
          <w:sz w:val="24"/>
        </w:rPr>
        <w:t>y</w:t>
      </w:r>
      <w:r>
        <w:rPr>
          <w:i/>
          <w:spacing w:val="-14"/>
          <w:sz w:val="24"/>
        </w:rPr>
        <w:t xml:space="preserve"> </w:t>
      </w:r>
      <w:r>
        <w:rPr>
          <w:i/>
          <w:sz w:val="24"/>
        </w:rPr>
        <w:t>pueblos</w:t>
      </w:r>
      <w:r>
        <w:rPr>
          <w:i/>
          <w:spacing w:val="-14"/>
          <w:sz w:val="24"/>
        </w:rPr>
        <w:t xml:space="preserve"> </w:t>
      </w:r>
      <w:r>
        <w:rPr>
          <w:i/>
          <w:sz w:val="24"/>
        </w:rPr>
        <w:t>étnicos</w:t>
      </w:r>
      <w:r>
        <w:rPr>
          <w:i/>
          <w:spacing w:val="-16"/>
          <w:sz w:val="24"/>
        </w:rPr>
        <w:t xml:space="preserve"> </w:t>
      </w:r>
      <w:r>
        <w:rPr>
          <w:i/>
          <w:sz w:val="24"/>
        </w:rPr>
        <w:t>que</w:t>
      </w:r>
      <w:r>
        <w:rPr>
          <w:i/>
          <w:spacing w:val="-13"/>
          <w:sz w:val="24"/>
        </w:rPr>
        <w:t xml:space="preserve"> </w:t>
      </w:r>
      <w:r>
        <w:rPr>
          <w:i/>
          <w:sz w:val="24"/>
        </w:rPr>
        <w:t>arriban a</w:t>
      </w:r>
      <w:r>
        <w:rPr>
          <w:i/>
          <w:spacing w:val="-6"/>
          <w:sz w:val="24"/>
        </w:rPr>
        <w:t xml:space="preserve"> </w:t>
      </w:r>
      <w:r>
        <w:rPr>
          <w:i/>
          <w:sz w:val="24"/>
        </w:rPr>
        <w:t>las</w:t>
      </w:r>
      <w:r>
        <w:rPr>
          <w:i/>
          <w:spacing w:val="-7"/>
          <w:sz w:val="24"/>
        </w:rPr>
        <w:t xml:space="preserve"> </w:t>
      </w:r>
      <w:r>
        <w:rPr>
          <w:i/>
          <w:sz w:val="24"/>
        </w:rPr>
        <w:t>ciudades</w:t>
      </w:r>
      <w:r>
        <w:rPr>
          <w:i/>
          <w:spacing w:val="-7"/>
          <w:sz w:val="24"/>
        </w:rPr>
        <w:t xml:space="preserve"> </w:t>
      </w:r>
      <w:r>
        <w:rPr>
          <w:i/>
          <w:sz w:val="24"/>
        </w:rPr>
        <w:t>escapando</w:t>
      </w:r>
      <w:r>
        <w:rPr>
          <w:i/>
          <w:spacing w:val="-6"/>
          <w:sz w:val="24"/>
        </w:rPr>
        <w:t xml:space="preserve"> </w:t>
      </w:r>
      <w:r>
        <w:rPr>
          <w:i/>
          <w:sz w:val="24"/>
        </w:rPr>
        <w:t>de</w:t>
      </w:r>
      <w:r>
        <w:rPr>
          <w:i/>
          <w:spacing w:val="-5"/>
          <w:sz w:val="24"/>
        </w:rPr>
        <w:t xml:space="preserve"> </w:t>
      </w:r>
      <w:r>
        <w:rPr>
          <w:i/>
          <w:sz w:val="24"/>
        </w:rPr>
        <w:t>la</w:t>
      </w:r>
      <w:r>
        <w:rPr>
          <w:i/>
          <w:spacing w:val="-6"/>
          <w:sz w:val="24"/>
        </w:rPr>
        <w:t xml:space="preserve"> </w:t>
      </w:r>
      <w:r>
        <w:rPr>
          <w:i/>
          <w:sz w:val="24"/>
        </w:rPr>
        <w:t>pobreza,</w:t>
      </w:r>
      <w:r>
        <w:rPr>
          <w:i/>
          <w:spacing w:val="-7"/>
          <w:sz w:val="24"/>
        </w:rPr>
        <w:t xml:space="preserve"> </w:t>
      </w:r>
      <w:r>
        <w:rPr>
          <w:i/>
          <w:sz w:val="24"/>
        </w:rPr>
        <w:t>la</w:t>
      </w:r>
      <w:r>
        <w:rPr>
          <w:i/>
          <w:spacing w:val="-6"/>
          <w:sz w:val="24"/>
        </w:rPr>
        <w:t xml:space="preserve"> </w:t>
      </w:r>
      <w:r>
        <w:rPr>
          <w:i/>
          <w:sz w:val="24"/>
        </w:rPr>
        <w:t>inseguridad</w:t>
      </w:r>
      <w:r>
        <w:rPr>
          <w:i/>
          <w:spacing w:val="-7"/>
          <w:sz w:val="24"/>
        </w:rPr>
        <w:t xml:space="preserve"> </w:t>
      </w:r>
      <w:r>
        <w:rPr>
          <w:i/>
          <w:sz w:val="24"/>
        </w:rPr>
        <w:t>y</w:t>
      </w:r>
      <w:r>
        <w:rPr>
          <w:i/>
          <w:spacing w:val="-3"/>
          <w:sz w:val="24"/>
        </w:rPr>
        <w:t xml:space="preserve"> </w:t>
      </w:r>
      <w:r>
        <w:rPr>
          <w:i/>
          <w:sz w:val="24"/>
        </w:rPr>
        <w:t>la</w:t>
      </w:r>
      <w:r>
        <w:rPr>
          <w:i/>
          <w:spacing w:val="-3"/>
          <w:sz w:val="24"/>
        </w:rPr>
        <w:t xml:space="preserve"> </w:t>
      </w:r>
      <w:r>
        <w:rPr>
          <w:i/>
          <w:sz w:val="24"/>
        </w:rPr>
        <w:t>ausencia</w:t>
      </w:r>
      <w:r>
        <w:rPr>
          <w:i/>
          <w:spacing w:val="-6"/>
          <w:sz w:val="24"/>
        </w:rPr>
        <w:t xml:space="preserve"> </w:t>
      </w:r>
      <w:r>
        <w:rPr>
          <w:i/>
          <w:sz w:val="24"/>
        </w:rPr>
        <w:t>de</w:t>
      </w:r>
      <w:r>
        <w:rPr>
          <w:i/>
          <w:spacing w:val="-5"/>
          <w:sz w:val="24"/>
        </w:rPr>
        <w:t xml:space="preserve"> </w:t>
      </w:r>
      <w:r>
        <w:rPr>
          <w:i/>
          <w:sz w:val="24"/>
        </w:rPr>
        <w:t>un Estado que los proteja y que haga respetar sus derechos, ha hecho que aumenten los niveles de pobreza, desigualdad, exclusión y violencia. Para investigadores</w:t>
      </w:r>
      <w:r>
        <w:rPr>
          <w:i/>
          <w:spacing w:val="-2"/>
          <w:sz w:val="24"/>
        </w:rPr>
        <w:t xml:space="preserve"> </w:t>
      </w:r>
      <w:r>
        <w:rPr>
          <w:i/>
          <w:sz w:val="24"/>
        </w:rPr>
        <w:t>nacionales</w:t>
      </w:r>
      <w:r>
        <w:rPr>
          <w:i/>
          <w:spacing w:val="-2"/>
          <w:sz w:val="24"/>
        </w:rPr>
        <w:t xml:space="preserve"> </w:t>
      </w:r>
      <w:r>
        <w:rPr>
          <w:i/>
          <w:sz w:val="24"/>
        </w:rPr>
        <w:t>como</w:t>
      </w:r>
      <w:r>
        <w:rPr>
          <w:i/>
          <w:spacing w:val="-1"/>
          <w:sz w:val="24"/>
        </w:rPr>
        <w:t xml:space="preserve"> </w:t>
      </w:r>
      <w:proofErr w:type="spellStart"/>
      <w:r>
        <w:rPr>
          <w:i/>
          <w:sz w:val="24"/>
        </w:rPr>
        <w:t>Bodnar</w:t>
      </w:r>
      <w:proofErr w:type="spellEnd"/>
      <w:r>
        <w:rPr>
          <w:i/>
          <w:sz w:val="24"/>
        </w:rPr>
        <w:t>, la</w:t>
      </w:r>
      <w:r>
        <w:rPr>
          <w:i/>
          <w:spacing w:val="-2"/>
          <w:sz w:val="24"/>
        </w:rPr>
        <w:t xml:space="preserve"> </w:t>
      </w:r>
      <w:r>
        <w:rPr>
          <w:i/>
          <w:sz w:val="24"/>
        </w:rPr>
        <w:t>llegada</w:t>
      </w:r>
      <w:r>
        <w:rPr>
          <w:i/>
          <w:spacing w:val="-2"/>
          <w:sz w:val="24"/>
        </w:rPr>
        <w:t xml:space="preserve"> </w:t>
      </w:r>
      <w:r>
        <w:rPr>
          <w:i/>
          <w:sz w:val="24"/>
        </w:rPr>
        <w:t>de</w:t>
      </w:r>
      <w:r>
        <w:rPr>
          <w:i/>
          <w:spacing w:val="-1"/>
          <w:sz w:val="24"/>
        </w:rPr>
        <w:t xml:space="preserve"> </w:t>
      </w:r>
      <w:r>
        <w:rPr>
          <w:i/>
          <w:sz w:val="24"/>
        </w:rPr>
        <w:t>población</w:t>
      </w:r>
      <w:r>
        <w:rPr>
          <w:i/>
          <w:spacing w:val="-2"/>
          <w:sz w:val="24"/>
        </w:rPr>
        <w:t xml:space="preserve"> </w:t>
      </w:r>
      <w:r>
        <w:rPr>
          <w:i/>
          <w:sz w:val="24"/>
        </w:rPr>
        <w:t>rural</w:t>
      </w:r>
      <w:r>
        <w:rPr>
          <w:i/>
          <w:spacing w:val="-2"/>
          <w:sz w:val="24"/>
        </w:rPr>
        <w:t xml:space="preserve"> </w:t>
      </w:r>
      <w:r>
        <w:rPr>
          <w:i/>
          <w:sz w:val="24"/>
        </w:rPr>
        <w:t xml:space="preserve">a las ciudades grandes e intermedias ha alterado el orden público, económico e institucional.” </w:t>
      </w:r>
      <w:r>
        <w:rPr>
          <w:sz w:val="24"/>
        </w:rPr>
        <w:t xml:space="preserve">Además, insiste en que, respecto a la población indígena y ante “(...) </w:t>
      </w:r>
      <w:r>
        <w:rPr>
          <w:i/>
          <w:sz w:val="24"/>
        </w:rPr>
        <w:t>dichas condiciones de desigualdad con las que históricamente han vivido los indígenas dentro de sus comunidades y comparados con otros grupos de la sociedad colombiana, es posible afirmar que dicha desigualdad persiste y es apreciable en el territorio, por ejemplo, a través de</w:t>
      </w:r>
      <w:r>
        <w:rPr>
          <w:i/>
          <w:spacing w:val="-6"/>
          <w:sz w:val="24"/>
        </w:rPr>
        <w:t xml:space="preserve"> </w:t>
      </w:r>
      <w:r>
        <w:rPr>
          <w:i/>
          <w:sz w:val="24"/>
        </w:rPr>
        <w:t>la</w:t>
      </w:r>
      <w:r>
        <w:rPr>
          <w:i/>
          <w:spacing w:val="-7"/>
          <w:sz w:val="24"/>
        </w:rPr>
        <w:t xml:space="preserve"> </w:t>
      </w:r>
      <w:r>
        <w:rPr>
          <w:i/>
          <w:sz w:val="24"/>
        </w:rPr>
        <w:t>concentración</w:t>
      </w:r>
      <w:r>
        <w:rPr>
          <w:i/>
          <w:spacing w:val="-8"/>
          <w:sz w:val="24"/>
        </w:rPr>
        <w:t xml:space="preserve"> </w:t>
      </w:r>
      <w:r>
        <w:rPr>
          <w:i/>
          <w:sz w:val="24"/>
        </w:rPr>
        <w:t>de</w:t>
      </w:r>
      <w:r>
        <w:rPr>
          <w:i/>
          <w:spacing w:val="-6"/>
          <w:sz w:val="24"/>
        </w:rPr>
        <w:t xml:space="preserve"> </w:t>
      </w:r>
      <w:r>
        <w:rPr>
          <w:i/>
          <w:sz w:val="24"/>
        </w:rPr>
        <w:t>indígenas</w:t>
      </w:r>
      <w:r>
        <w:rPr>
          <w:i/>
          <w:spacing w:val="-8"/>
          <w:sz w:val="24"/>
        </w:rPr>
        <w:t xml:space="preserve"> </w:t>
      </w:r>
      <w:r>
        <w:rPr>
          <w:i/>
          <w:sz w:val="24"/>
        </w:rPr>
        <w:t>y</w:t>
      </w:r>
      <w:r>
        <w:rPr>
          <w:i/>
          <w:spacing w:val="-7"/>
          <w:sz w:val="24"/>
        </w:rPr>
        <w:t xml:space="preserve"> </w:t>
      </w:r>
      <w:r>
        <w:rPr>
          <w:i/>
          <w:sz w:val="24"/>
        </w:rPr>
        <w:t>migrantes</w:t>
      </w:r>
      <w:r>
        <w:rPr>
          <w:i/>
          <w:spacing w:val="-8"/>
          <w:sz w:val="24"/>
        </w:rPr>
        <w:t xml:space="preserve"> </w:t>
      </w:r>
      <w:r>
        <w:rPr>
          <w:i/>
          <w:sz w:val="24"/>
        </w:rPr>
        <w:t>en</w:t>
      </w:r>
      <w:r>
        <w:rPr>
          <w:i/>
          <w:spacing w:val="-8"/>
          <w:sz w:val="24"/>
        </w:rPr>
        <w:t xml:space="preserve"> </w:t>
      </w:r>
      <w:r>
        <w:rPr>
          <w:i/>
          <w:sz w:val="24"/>
        </w:rPr>
        <w:t>las</w:t>
      </w:r>
      <w:r>
        <w:rPr>
          <w:i/>
          <w:spacing w:val="-8"/>
          <w:sz w:val="24"/>
        </w:rPr>
        <w:t xml:space="preserve"> </w:t>
      </w:r>
      <w:r>
        <w:rPr>
          <w:i/>
          <w:sz w:val="24"/>
        </w:rPr>
        <w:t>cabeceras</w:t>
      </w:r>
      <w:r>
        <w:rPr>
          <w:i/>
          <w:spacing w:val="-8"/>
          <w:sz w:val="24"/>
        </w:rPr>
        <w:t xml:space="preserve"> </w:t>
      </w:r>
      <w:r>
        <w:rPr>
          <w:i/>
          <w:sz w:val="24"/>
        </w:rPr>
        <w:t>municipales en sectores con más pobreza multidimensional principalmente, y por las acentuadas brechas estructurales y que son claves para el avance en el cumplimiento de los ODS. Estas desigualdades se acentúan para los indígenas en cuanto a los aspectos de género, al igual que cuando son comparadas</w:t>
      </w:r>
      <w:r>
        <w:rPr>
          <w:i/>
          <w:spacing w:val="-11"/>
          <w:sz w:val="24"/>
        </w:rPr>
        <w:t xml:space="preserve"> </w:t>
      </w:r>
      <w:r>
        <w:rPr>
          <w:i/>
          <w:sz w:val="24"/>
        </w:rPr>
        <w:t>con</w:t>
      </w:r>
      <w:r>
        <w:rPr>
          <w:i/>
          <w:spacing w:val="-9"/>
          <w:sz w:val="24"/>
        </w:rPr>
        <w:t xml:space="preserve"> </w:t>
      </w:r>
      <w:r>
        <w:rPr>
          <w:i/>
          <w:sz w:val="24"/>
        </w:rPr>
        <w:t>los</w:t>
      </w:r>
      <w:r>
        <w:rPr>
          <w:i/>
          <w:spacing w:val="-9"/>
          <w:sz w:val="24"/>
        </w:rPr>
        <w:t xml:space="preserve"> </w:t>
      </w:r>
      <w:r>
        <w:rPr>
          <w:i/>
          <w:sz w:val="24"/>
        </w:rPr>
        <w:t>grupos</w:t>
      </w:r>
      <w:r>
        <w:rPr>
          <w:i/>
          <w:spacing w:val="-11"/>
          <w:sz w:val="24"/>
        </w:rPr>
        <w:t xml:space="preserve"> </w:t>
      </w:r>
      <w:r>
        <w:rPr>
          <w:i/>
          <w:sz w:val="24"/>
        </w:rPr>
        <w:t>no</w:t>
      </w:r>
      <w:r>
        <w:rPr>
          <w:i/>
          <w:spacing w:val="-11"/>
          <w:sz w:val="24"/>
        </w:rPr>
        <w:t xml:space="preserve"> </w:t>
      </w:r>
      <w:r>
        <w:rPr>
          <w:i/>
          <w:sz w:val="24"/>
        </w:rPr>
        <w:t>étnicos.</w:t>
      </w:r>
      <w:r>
        <w:rPr>
          <w:i/>
          <w:spacing w:val="-12"/>
          <w:sz w:val="24"/>
        </w:rPr>
        <w:t xml:space="preserve"> </w:t>
      </w:r>
      <w:r>
        <w:rPr>
          <w:i/>
          <w:sz w:val="24"/>
        </w:rPr>
        <w:t>Las</w:t>
      </w:r>
      <w:r>
        <w:rPr>
          <w:i/>
          <w:spacing w:val="-12"/>
          <w:sz w:val="24"/>
        </w:rPr>
        <w:t xml:space="preserve"> </w:t>
      </w:r>
      <w:r>
        <w:rPr>
          <w:i/>
          <w:sz w:val="24"/>
        </w:rPr>
        <w:t>brechas</w:t>
      </w:r>
      <w:r>
        <w:rPr>
          <w:i/>
          <w:spacing w:val="-12"/>
          <w:sz w:val="24"/>
        </w:rPr>
        <w:t xml:space="preserve"> </w:t>
      </w:r>
      <w:r>
        <w:rPr>
          <w:i/>
          <w:sz w:val="24"/>
        </w:rPr>
        <w:t>observadas</w:t>
      </w:r>
      <w:r>
        <w:rPr>
          <w:i/>
          <w:spacing w:val="-12"/>
          <w:sz w:val="24"/>
        </w:rPr>
        <w:t xml:space="preserve"> </w:t>
      </w:r>
      <w:r>
        <w:rPr>
          <w:i/>
          <w:sz w:val="24"/>
        </w:rPr>
        <w:t>dan</w:t>
      </w:r>
      <w:r>
        <w:rPr>
          <w:i/>
          <w:spacing w:val="-10"/>
          <w:sz w:val="24"/>
        </w:rPr>
        <w:t xml:space="preserve"> </w:t>
      </w:r>
      <w:r>
        <w:rPr>
          <w:i/>
          <w:sz w:val="24"/>
        </w:rPr>
        <w:t>cuenta del</w:t>
      </w:r>
      <w:r>
        <w:rPr>
          <w:i/>
          <w:spacing w:val="-22"/>
          <w:sz w:val="24"/>
        </w:rPr>
        <w:t xml:space="preserve"> </w:t>
      </w:r>
      <w:r>
        <w:rPr>
          <w:i/>
          <w:sz w:val="24"/>
        </w:rPr>
        <w:t>esfuerzo</w:t>
      </w:r>
      <w:r>
        <w:rPr>
          <w:i/>
          <w:spacing w:val="-21"/>
          <w:sz w:val="24"/>
        </w:rPr>
        <w:t xml:space="preserve"> </w:t>
      </w:r>
      <w:r>
        <w:rPr>
          <w:i/>
          <w:sz w:val="24"/>
        </w:rPr>
        <w:t>que</w:t>
      </w:r>
      <w:r>
        <w:rPr>
          <w:i/>
          <w:spacing w:val="-21"/>
          <w:sz w:val="24"/>
        </w:rPr>
        <w:t xml:space="preserve"> </w:t>
      </w:r>
      <w:r>
        <w:rPr>
          <w:i/>
          <w:sz w:val="24"/>
        </w:rPr>
        <w:t>se</w:t>
      </w:r>
      <w:r>
        <w:rPr>
          <w:i/>
          <w:spacing w:val="-21"/>
          <w:sz w:val="24"/>
        </w:rPr>
        <w:t xml:space="preserve"> </w:t>
      </w:r>
      <w:r>
        <w:rPr>
          <w:i/>
          <w:sz w:val="24"/>
        </w:rPr>
        <w:t>ha</w:t>
      </w:r>
      <w:r>
        <w:rPr>
          <w:i/>
          <w:spacing w:val="-21"/>
          <w:sz w:val="24"/>
        </w:rPr>
        <w:t xml:space="preserve"> </w:t>
      </w:r>
      <w:r>
        <w:rPr>
          <w:i/>
          <w:sz w:val="24"/>
        </w:rPr>
        <w:t>hecho</w:t>
      </w:r>
      <w:r>
        <w:rPr>
          <w:i/>
          <w:spacing w:val="-21"/>
          <w:sz w:val="24"/>
        </w:rPr>
        <w:t xml:space="preserve"> </w:t>
      </w:r>
      <w:r>
        <w:rPr>
          <w:i/>
          <w:sz w:val="24"/>
        </w:rPr>
        <w:t>para</w:t>
      </w:r>
      <w:r>
        <w:rPr>
          <w:i/>
          <w:spacing w:val="-21"/>
          <w:sz w:val="24"/>
        </w:rPr>
        <w:t xml:space="preserve"> </w:t>
      </w:r>
      <w:r>
        <w:rPr>
          <w:i/>
          <w:sz w:val="24"/>
        </w:rPr>
        <w:t>su</w:t>
      </w:r>
      <w:r>
        <w:rPr>
          <w:i/>
          <w:spacing w:val="-21"/>
          <w:sz w:val="24"/>
        </w:rPr>
        <w:t xml:space="preserve"> </w:t>
      </w:r>
      <w:r>
        <w:rPr>
          <w:i/>
          <w:sz w:val="24"/>
        </w:rPr>
        <w:t>disminución,</w:t>
      </w:r>
      <w:r>
        <w:rPr>
          <w:i/>
          <w:spacing w:val="-21"/>
          <w:sz w:val="24"/>
        </w:rPr>
        <w:t xml:space="preserve"> </w:t>
      </w:r>
      <w:r>
        <w:rPr>
          <w:i/>
          <w:sz w:val="24"/>
        </w:rPr>
        <w:t>pero</w:t>
      </w:r>
      <w:r>
        <w:rPr>
          <w:i/>
          <w:spacing w:val="-21"/>
          <w:sz w:val="24"/>
        </w:rPr>
        <w:t xml:space="preserve"> </w:t>
      </w:r>
      <w:r>
        <w:rPr>
          <w:i/>
          <w:sz w:val="24"/>
        </w:rPr>
        <w:t>también</w:t>
      </w:r>
      <w:r>
        <w:rPr>
          <w:i/>
          <w:spacing w:val="-22"/>
          <w:sz w:val="24"/>
        </w:rPr>
        <w:t xml:space="preserve"> </w:t>
      </w:r>
      <w:r>
        <w:rPr>
          <w:i/>
          <w:sz w:val="24"/>
        </w:rPr>
        <w:t>del</w:t>
      </w:r>
      <w:r>
        <w:rPr>
          <w:i/>
          <w:spacing w:val="-21"/>
          <w:sz w:val="24"/>
        </w:rPr>
        <w:t xml:space="preserve"> </w:t>
      </w:r>
      <w:r>
        <w:rPr>
          <w:i/>
          <w:sz w:val="24"/>
        </w:rPr>
        <w:t>enorme camino que queda por recorrer”.</w:t>
      </w:r>
    </w:p>
    <w:p w14:paraId="03B34B84" w14:textId="77777777" w:rsidR="000E52B0" w:rsidRDefault="000E52B0">
      <w:pPr>
        <w:pStyle w:val="Textoindependiente"/>
        <w:spacing w:before="1"/>
        <w:ind w:left="0"/>
        <w:rPr>
          <w:i/>
        </w:rPr>
      </w:pPr>
    </w:p>
    <w:p w14:paraId="1064AF58" w14:textId="525CE5FA" w:rsidR="000E52B0" w:rsidRDefault="00F60D74">
      <w:pPr>
        <w:pStyle w:val="Textoindependiente"/>
        <w:ind w:right="719"/>
        <w:jc w:val="both"/>
      </w:pPr>
      <w:r>
        <w:t>A</w:t>
      </w:r>
      <w:r>
        <w:rPr>
          <w:spacing w:val="-14"/>
        </w:rPr>
        <w:t xml:space="preserve"> </w:t>
      </w:r>
      <w:r>
        <w:t>pesar</w:t>
      </w:r>
      <w:r>
        <w:rPr>
          <w:spacing w:val="-13"/>
        </w:rPr>
        <w:t xml:space="preserve"> </w:t>
      </w:r>
      <w:r>
        <w:t>de</w:t>
      </w:r>
      <w:r>
        <w:rPr>
          <w:spacing w:val="-13"/>
        </w:rPr>
        <w:t xml:space="preserve"> </w:t>
      </w:r>
      <w:r>
        <w:t>los</w:t>
      </w:r>
      <w:r>
        <w:rPr>
          <w:spacing w:val="-13"/>
        </w:rPr>
        <w:t xml:space="preserve"> </w:t>
      </w:r>
      <w:r>
        <w:t>avances</w:t>
      </w:r>
      <w:r>
        <w:rPr>
          <w:spacing w:val="-13"/>
        </w:rPr>
        <w:t xml:space="preserve"> </w:t>
      </w:r>
      <w:r>
        <w:t>en</w:t>
      </w:r>
      <w:r>
        <w:rPr>
          <w:spacing w:val="-14"/>
        </w:rPr>
        <w:t xml:space="preserve"> </w:t>
      </w:r>
      <w:r>
        <w:t>derechos</w:t>
      </w:r>
      <w:r>
        <w:rPr>
          <w:spacing w:val="-14"/>
        </w:rPr>
        <w:t xml:space="preserve"> </w:t>
      </w:r>
      <w:r>
        <w:t>humanos</w:t>
      </w:r>
      <w:r>
        <w:rPr>
          <w:spacing w:val="-14"/>
        </w:rPr>
        <w:t xml:space="preserve"> </w:t>
      </w:r>
      <w:r>
        <w:t>y</w:t>
      </w:r>
      <w:r>
        <w:rPr>
          <w:spacing w:val="-14"/>
        </w:rPr>
        <w:t xml:space="preserve"> </w:t>
      </w:r>
      <w:r>
        <w:t>justicia</w:t>
      </w:r>
      <w:r>
        <w:rPr>
          <w:spacing w:val="-14"/>
        </w:rPr>
        <w:t xml:space="preserve"> </w:t>
      </w:r>
      <w:r>
        <w:t>social,</w:t>
      </w:r>
      <w:r>
        <w:rPr>
          <w:spacing w:val="-15"/>
        </w:rPr>
        <w:t xml:space="preserve"> </w:t>
      </w:r>
      <w:r>
        <w:t>estas</w:t>
      </w:r>
      <w:r>
        <w:rPr>
          <w:spacing w:val="-14"/>
        </w:rPr>
        <w:t xml:space="preserve"> </w:t>
      </w:r>
      <w:r>
        <w:t xml:space="preserve">formas de exclusión siguen siendo una barrera significativa para la igualdad y la </w:t>
      </w:r>
      <w:r w:rsidR="00711074">
        <w:t>dignidad</w:t>
      </w:r>
      <w:r w:rsidR="00711074">
        <w:rPr>
          <w:spacing w:val="56"/>
        </w:rPr>
        <w:t xml:space="preserve"> humana</w:t>
      </w:r>
      <w:r>
        <w:t>.</w:t>
      </w:r>
      <w:r>
        <w:rPr>
          <w:spacing w:val="56"/>
        </w:rPr>
        <w:t xml:space="preserve">  </w:t>
      </w:r>
      <w:r w:rsidR="00711074">
        <w:t>Estos</w:t>
      </w:r>
      <w:r w:rsidR="00711074">
        <w:rPr>
          <w:spacing w:val="56"/>
        </w:rPr>
        <w:t xml:space="preserve"> </w:t>
      </w:r>
      <w:proofErr w:type="gramStart"/>
      <w:r w:rsidR="00711074">
        <w:rPr>
          <w:spacing w:val="56"/>
        </w:rPr>
        <w:t>grupos</w:t>
      </w:r>
      <w:r>
        <w:rPr>
          <w:spacing w:val="57"/>
        </w:rPr>
        <w:t xml:space="preserve">  </w:t>
      </w:r>
      <w:r>
        <w:t>poblacionales</w:t>
      </w:r>
      <w:proofErr w:type="gramEnd"/>
      <w:r>
        <w:rPr>
          <w:spacing w:val="56"/>
        </w:rPr>
        <w:t xml:space="preserve">  </w:t>
      </w:r>
      <w:r>
        <w:rPr>
          <w:spacing w:val="-2"/>
        </w:rPr>
        <w:t>constitucionalmente</w:t>
      </w:r>
    </w:p>
    <w:p w14:paraId="01A772C7" w14:textId="77777777" w:rsidR="000E52B0" w:rsidRDefault="000E52B0">
      <w:pPr>
        <w:pStyle w:val="Textoindependiente"/>
        <w:jc w:val="both"/>
        <w:sectPr w:rsidR="000E52B0">
          <w:pgSz w:w="11910" w:h="16840"/>
          <w:pgMar w:top="1340" w:right="720" w:bottom="1180" w:left="720" w:header="0" w:footer="995" w:gutter="0"/>
          <w:cols w:space="720"/>
        </w:sectPr>
      </w:pPr>
    </w:p>
    <w:p w14:paraId="0FEAEB6D" w14:textId="77777777" w:rsidR="000E52B0" w:rsidRDefault="00F60D74">
      <w:pPr>
        <w:pStyle w:val="Textoindependiente"/>
        <w:spacing w:before="83"/>
        <w:ind w:right="721"/>
        <w:jc w:val="both"/>
      </w:pPr>
      <w:r>
        <w:lastRenderedPageBreak/>
        <w:t>reconocidos como sujetos de especial protección, a menudo, enfrentan situaciones</w:t>
      </w:r>
      <w:r>
        <w:rPr>
          <w:spacing w:val="-1"/>
        </w:rPr>
        <w:t xml:space="preserve"> </w:t>
      </w:r>
      <w:r>
        <w:t>de pobreza,</w:t>
      </w:r>
      <w:r>
        <w:rPr>
          <w:spacing w:val="-3"/>
        </w:rPr>
        <w:t xml:space="preserve"> </w:t>
      </w:r>
      <w:r>
        <w:t>violencia física y</w:t>
      </w:r>
      <w:r>
        <w:rPr>
          <w:spacing w:val="-2"/>
        </w:rPr>
        <w:t xml:space="preserve"> </w:t>
      </w:r>
      <w:r>
        <w:t>verbal</w:t>
      </w:r>
      <w:r>
        <w:rPr>
          <w:spacing w:val="-3"/>
        </w:rPr>
        <w:t xml:space="preserve"> </w:t>
      </w:r>
      <w:r>
        <w:t>y limitaciones</w:t>
      </w:r>
      <w:r>
        <w:rPr>
          <w:spacing w:val="-2"/>
        </w:rPr>
        <w:t xml:space="preserve"> </w:t>
      </w:r>
      <w:r>
        <w:t>en</w:t>
      </w:r>
      <w:r>
        <w:rPr>
          <w:spacing w:val="-2"/>
        </w:rPr>
        <w:t xml:space="preserve"> </w:t>
      </w:r>
      <w:r>
        <w:t>términos de vivienda, la educación y el empleo, lo que menoscaba considerablemente calidad de vida.</w:t>
      </w:r>
    </w:p>
    <w:p w14:paraId="425671BE" w14:textId="77777777" w:rsidR="000E52B0" w:rsidRDefault="00F60D74">
      <w:pPr>
        <w:pStyle w:val="Textoindependiente"/>
        <w:spacing w:before="158"/>
        <w:ind w:right="719"/>
        <w:jc w:val="both"/>
      </w:pPr>
      <w:r>
        <w:t>Socialmente, la discriminación puede limitar la participación plena en la vida comunitaria y cultural, afectando la integración y el sentido de pertenencia. Esta exclusión social refuerza la percepción de desigualdad y perpetúa el ciclo de discriminación.</w:t>
      </w:r>
    </w:p>
    <w:p w14:paraId="09564D65" w14:textId="77777777" w:rsidR="000E52B0" w:rsidRDefault="00F60D74">
      <w:pPr>
        <w:pStyle w:val="Textoindependiente"/>
        <w:spacing w:before="160"/>
        <w:ind w:right="719"/>
        <w:jc w:val="both"/>
      </w:pPr>
      <w:r>
        <w:t>Para lograr la erradicación del fenómeno de desigualdad e inequidad por razones de raza</w:t>
      </w:r>
      <w:r>
        <w:rPr>
          <w:spacing w:val="80"/>
        </w:rPr>
        <w:t xml:space="preserve"> </w:t>
      </w:r>
      <w:r>
        <w:t>resulta fundamental promover la educación y la sensibilización</w:t>
      </w:r>
      <w:r>
        <w:rPr>
          <w:spacing w:val="-5"/>
        </w:rPr>
        <w:t xml:space="preserve"> </w:t>
      </w:r>
      <w:r>
        <w:t>sobre</w:t>
      </w:r>
      <w:r>
        <w:rPr>
          <w:spacing w:val="-4"/>
        </w:rPr>
        <w:t xml:space="preserve"> </w:t>
      </w:r>
      <w:r>
        <w:t>la</w:t>
      </w:r>
      <w:r>
        <w:rPr>
          <w:spacing w:val="-4"/>
        </w:rPr>
        <w:t xml:space="preserve"> </w:t>
      </w:r>
      <w:r>
        <w:t>diversidad</w:t>
      </w:r>
      <w:r>
        <w:rPr>
          <w:spacing w:val="-5"/>
        </w:rPr>
        <w:t xml:space="preserve"> </w:t>
      </w:r>
      <w:r>
        <w:t>cultural</w:t>
      </w:r>
      <w:r>
        <w:rPr>
          <w:spacing w:val="-5"/>
        </w:rPr>
        <w:t xml:space="preserve"> </w:t>
      </w:r>
      <w:r>
        <w:t>y</w:t>
      </w:r>
      <w:r>
        <w:rPr>
          <w:spacing w:val="-5"/>
        </w:rPr>
        <w:t xml:space="preserve"> </w:t>
      </w:r>
      <w:r>
        <w:t>la</w:t>
      </w:r>
      <w:r>
        <w:rPr>
          <w:spacing w:val="-4"/>
        </w:rPr>
        <w:t xml:space="preserve"> </w:t>
      </w:r>
      <w:r>
        <w:t>historia</w:t>
      </w:r>
      <w:r>
        <w:rPr>
          <w:spacing w:val="-4"/>
        </w:rPr>
        <w:t xml:space="preserve"> </w:t>
      </w:r>
      <w:r>
        <w:t>de</w:t>
      </w:r>
      <w:r>
        <w:rPr>
          <w:spacing w:val="-4"/>
        </w:rPr>
        <w:t xml:space="preserve"> </w:t>
      </w:r>
      <w:r>
        <w:t>las</w:t>
      </w:r>
      <w:r>
        <w:rPr>
          <w:spacing w:val="-5"/>
        </w:rPr>
        <w:t xml:space="preserve"> </w:t>
      </w:r>
      <w:r>
        <w:t>comunidades étnicas. La implementación de políticas inclusivas y la protección legal eficaz son cruciales para asegurar que todos los individuos tengan acceso a</w:t>
      </w:r>
      <w:r>
        <w:rPr>
          <w:spacing w:val="-14"/>
        </w:rPr>
        <w:t xml:space="preserve"> </w:t>
      </w:r>
      <w:r>
        <w:t>las</w:t>
      </w:r>
      <w:r>
        <w:rPr>
          <w:spacing w:val="-12"/>
        </w:rPr>
        <w:t xml:space="preserve"> </w:t>
      </w:r>
      <w:r>
        <w:t>mismas</w:t>
      </w:r>
      <w:r>
        <w:rPr>
          <w:spacing w:val="-14"/>
        </w:rPr>
        <w:t xml:space="preserve"> </w:t>
      </w:r>
      <w:r>
        <w:t>oportunidades</w:t>
      </w:r>
      <w:r>
        <w:rPr>
          <w:spacing w:val="-12"/>
        </w:rPr>
        <w:t xml:space="preserve"> </w:t>
      </w:r>
      <w:r>
        <w:t>y</w:t>
      </w:r>
      <w:r>
        <w:rPr>
          <w:spacing w:val="-14"/>
        </w:rPr>
        <w:t xml:space="preserve"> </w:t>
      </w:r>
      <w:r>
        <w:t>recursos.</w:t>
      </w:r>
      <w:r>
        <w:rPr>
          <w:spacing w:val="-12"/>
        </w:rPr>
        <w:t xml:space="preserve"> </w:t>
      </w:r>
      <w:r>
        <w:t>El</w:t>
      </w:r>
      <w:r>
        <w:rPr>
          <w:spacing w:val="-15"/>
        </w:rPr>
        <w:t xml:space="preserve"> </w:t>
      </w:r>
      <w:r>
        <w:t>activismo,</w:t>
      </w:r>
      <w:r>
        <w:rPr>
          <w:spacing w:val="-12"/>
        </w:rPr>
        <w:t xml:space="preserve"> </w:t>
      </w:r>
      <w:r>
        <w:t>el</w:t>
      </w:r>
      <w:r>
        <w:rPr>
          <w:spacing w:val="-15"/>
        </w:rPr>
        <w:t xml:space="preserve"> </w:t>
      </w:r>
      <w:r>
        <w:t>apoyo</w:t>
      </w:r>
      <w:r>
        <w:rPr>
          <w:spacing w:val="-13"/>
        </w:rPr>
        <w:t xml:space="preserve"> </w:t>
      </w:r>
      <w:r>
        <w:t>comunitario, así como el respeto y garantía de sus derechos colectivos al territorio, la participación,</w:t>
      </w:r>
      <w:r>
        <w:rPr>
          <w:spacing w:val="-17"/>
        </w:rPr>
        <w:t xml:space="preserve"> </w:t>
      </w:r>
      <w:r>
        <w:t>la</w:t>
      </w:r>
      <w:r>
        <w:rPr>
          <w:spacing w:val="-15"/>
        </w:rPr>
        <w:t xml:space="preserve"> </w:t>
      </w:r>
      <w:r>
        <w:t>identidad</w:t>
      </w:r>
      <w:r>
        <w:rPr>
          <w:spacing w:val="-17"/>
        </w:rPr>
        <w:t xml:space="preserve"> </w:t>
      </w:r>
      <w:r>
        <w:t>cultural,</w:t>
      </w:r>
      <w:r>
        <w:rPr>
          <w:spacing w:val="-17"/>
        </w:rPr>
        <w:t xml:space="preserve"> </w:t>
      </w:r>
      <w:r>
        <w:t>autonomía</w:t>
      </w:r>
      <w:r>
        <w:rPr>
          <w:spacing w:val="-16"/>
        </w:rPr>
        <w:t xml:space="preserve"> </w:t>
      </w:r>
      <w:r>
        <w:t>y</w:t>
      </w:r>
      <w:r>
        <w:rPr>
          <w:spacing w:val="-15"/>
        </w:rPr>
        <w:t xml:space="preserve"> </w:t>
      </w:r>
      <w:r>
        <w:t>gobierno</w:t>
      </w:r>
      <w:r>
        <w:rPr>
          <w:spacing w:val="-16"/>
        </w:rPr>
        <w:t xml:space="preserve"> </w:t>
      </w:r>
      <w:r>
        <w:t>propio,</w:t>
      </w:r>
      <w:r>
        <w:rPr>
          <w:spacing w:val="-17"/>
        </w:rPr>
        <w:t xml:space="preserve"> </w:t>
      </w:r>
      <w:r>
        <w:t>juegan</w:t>
      </w:r>
      <w:r>
        <w:rPr>
          <w:spacing w:val="-17"/>
        </w:rPr>
        <w:t xml:space="preserve"> </w:t>
      </w:r>
      <w:r>
        <w:t>un papel vital en la lucha contra la discriminación y en la promoción de la justicia social.</w:t>
      </w:r>
    </w:p>
    <w:p w14:paraId="4EE3E2DF" w14:textId="77777777" w:rsidR="000E52B0" w:rsidRDefault="00F60D74">
      <w:pPr>
        <w:pStyle w:val="Textoindependiente"/>
        <w:spacing w:before="161"/>
        <w:ind w:right="719"/>
        <w:jc w:val="both"/>
      </w:pPr>
      <w:r>
        <w:t xml:space="preserve">Además, fortalecer las leyes que protegen contra la discriminación y garantizar su aplicación efectiva son pasos clave hacia la erradicación de esta forma de injusticia racial. La creación de un entorno inclusivo y equitativo es esencial para garantizar que todas las personas, independientemente de su origen étnico, puedan vivir con dignidad y </w:t>
      </w:r>
      <w:r>
        <w:rPr>
          <w:spacing w:val="-2"/>
        </w:rPr>
        <w:t>respeto.</w:t>
      </w:r>
    </w:p>
    <w:p w14:paraId="17837448" w14:textId="77777777" w:rsidR="000E52B0" w:rsidRDefault="00F60D74">
      <w:pPr>
        <w:spacing w:before="161"/>
        <w:ind w:left="720" w:right="712"/>
        <w:jc w:val="both"/>
        <w:rPr>
          <w:i/>
          <w:sz w:val="24"/>
        </w:rPr>
      </w:pPr>
      <w:r>
        <w:rPr>
          <w:sz w:val="24"/>
        </w:rPr>
        <w:t>En</w:t>
      </w:r>
      <w:r>
        <w:rPr>
          <w:spacing w:val="-14"/>
          <w:sz w:val="24"/>
        </w:rPr>
        <w:t xml:space="preserve"> </w:t>
      </w:r>
      <w:r>
        <w:rPr>
          <w:sz w:val="24"/>
        </w:rPr>
        <w:t>concordancia</w:t>
      </w:r>
      <w:r>
        <w:rPr>
          <w:spacing w:val="-13"/>
          <w:sz w:val="24"/>
        </w:rPr>
        <w:t xml:space="preserve"> </w:t>
      </w:r>
      <w:r>
        <w:rPr>
          <w:sz w:val="24"/>
        </w:rPr>
        <w:t>con</w:t>
      </w:r>
      <w:r>
        <w:rPr>
          <w:spacing w:val="-11"/>
          <w:sz w:val="24"/>
        </w:rPr>
        <w:t xml:space="preserve"> </w:t>
      </w:r>
      <w:r>
        <w:rPr>
          <w:sz w:val="24"/>
        </w:rPr>
        <w:t>lo</w:t>
      </w:r>
      <w:r>
        <w:rPr>
          <w:spacing w:val="-12"/>
          <w:sz w:val="24"/>
        </w:rPr>
        <w:t xml:space="preserve"> </w:t>
      </w:r>
      <w:r>
        <w:rPr>
          <w:sz w:val="24"/>
        </w:rPr>
        <w:t>antes</w:t>
      </w:r>
      <w:r>
        <w:rPr>
          <w:spacing w:val="-13"/>
          <w:sz w:val="24"/>
        </w:rPr>
        <w:t xml:space="preserve"> </w:t>
      </w:r>
      <w:r>
        <w:rPr>
          <w:sz w:val="24"/>
        </w:rPr>
        <w:t>señalado,</w:t>
      </w:r>
      <w:r>
        <w:rPr>
          <w:spacing w:val="-11"/>
          <w:sz w:val="24"/>
        </w:rPr>
        <w:t xml:space="preserve"> </w:t>
      </w:r>
      <w:r>
        <w:rPr>
          <w:sz w:val="24"/>
        </w:rPr>
        <w:t>la</w:t>
      </w:r>
      <w:r>
        <w:rPr>
          <w:spacing w:val="-12"/>
          <w:sz w:val="24"/>
        </w:rPr>
        <w:t xml:space="preserve"> </w:t>
      </w:r>
      <w:r>
        <w:rPr>
          <w:sz w:val="24"/>
        </w:rPr>
        <w:t>Corte</w:t>
      </w:r>
      <w:r>
        <w:rPr>
          <w:spacing w:val="-12"/>
          <w:sz w:val="24"/>
        </w:rPr>
        <w:t xml:space="preserve"> </w:t>
      </w:r>
      <w:r>
        <w:rPr>
          <w:sz w:val="24"/>
        </w:rPr>
        <w:t>Constitucional</w:t>
      </w:r>
      <w:r>
        <w:rPr>
          <w:spacing w:val="-14"/>
          <w:sz w:val="24"/>
        </w:rPr>
        <w:t xml:space="preserve"> </w:t>
      </w:r>
      <w:r>
        <w:rPr>
          <w:sz w:val="24"/>
        </w:rPr>
        <w:t>ha</w:t>
      </w:r>
      <w:r>
        <w:rPr>
          <w:spacing w:val="-10"/>
          <w:sz w:val="24"/>
        </w:rPr>
        <w:t xml:space="preserve"> </w:t>
      </w:r>
      <w:r>
        <w:rPr>
          <w:sz w:val="24"/>
        </w:rPr>
        <w:t>proferido un amplio número de sentencias donde reconoce a los pueblos y comunidades</w:t>
      </w:r>
      <w:r>
        <w:rPr>
          <w:spacing w:val="-4"/>
          <w:sz w:val="24"/>
        </w:rPr>
        <w:t xml:space="preserve"> </w:t>
      </w:r>
      <w:r>
        <w:rPr>
          <w:sz w:val="24"/>
        </w:rPr>
        <w:t>étnicas</w:t>
      </w:r>
      <w:r>
        <w:rPr>
          <w:spacing w:val="-4"/>
          <w:sz w:val="24"/>
        </w:rPr>
        <w:t xml:space="preserve"> </w:t>
      </w:r>
      <w:r>
        <w:rPr>
          <w:sz w:val="24"/>
        </w:rPr>
        <w:t>como</w:t>
      </w:r>
      <w:r>
        <w:rPr>
          <w:spacing w:val="-3"/>
          <w:sz w:val="24"/>
        </w:rPr>
        <w:t xml:space="preserve"> </w:t>
      </w:r>
      <w:r>
        <w:rPr>
          <w:sz w:val="24"/>
        </w:rPr>
        <w:t>sujetos</w:t>
      </w:r>
      <w:r>
        <w:rPr>
          <w:spacing w:val="-4"/>
          <w:sz w:val="24"/>
        </w:rPr>
        <w:t xml:space="preserve"> </w:t>
      </w:r>
      <w:r>
        <w:rPr>
          <w:sz w:val="24"/>
        </w:rPr>
        <w:t>de</w:t>
      </w:r>
      <w:r>
        <w:rPr>
          <w:spacing w:val="-3"/>
          <w:sz w:val="24"/>
        </w:rPr>
        <w:t xml:space="preserve"> </w:t>
      </w:r>
      <w:r>
        <w:rPr>
          <w:sz w:val="24"/>
        </w:rPr>
        <w:t>especial</w:t>
      </w:r>
      <w:r>
        <w:rPr>
          <w:spacing w:val="-3"/>
          <w:sz w:val="24"/>
        </w:rPr>
        <w:t xml:space="preserve"> </w:t>
      </w:r>
      <w:r>
        <w:rPr>
          <w:sz w:val="24"/>
        </w:rPr>
        <w:t>protección,</w:t>
      </w:r>
      <w:r>
        <w:rPr>
          <w:spacing w:val="-3"/>
          <w:sz w:val="24"/>
        </w:rPr>
        <w:t xml:space="preserve"> </w:t>
      </w:r>
      <w:r>
        <w:rPr>
          <w:sz w:val="24"/>
        </w:rPr>
        <w:t>entre</w:t>
      </w:r>
      <w:r>
        <w:rPr>
          <w:spacing w:val="-2"/>
          <w:sz w:val="24"/>
        </w:rPr>
        <w:t xml:space="preserve"> </w:t>
      </w:r>
      <w:r>
        <w:rPr>
          <w:sz w:val="24"/>
        </w:rPr>
        <w:t>las</w:t>
      </w:r>
      <w:r>
        <w:rPr>
          <w:spacing w:val="-4"/>
          <w:sz w:val="24"/>
        </w:rPr>
        <w:t xml:space="preserve"> </w:t>
      </w:r>
      <w:r>
        <w:rPr>
          <w:sz w:val="24"/>
        </w:rPr>
        <w:t>cuales se encuentra la Sentencia T-492 de 2014 (MP Mauricio González Cuervo</w:t>
      </w:r>
      <w:r>
        <w:rPr>
          <w:color w:val="2C2C2C"/>
          <w:sz w:val="24"/>
        </w:rPr>
        <w:t xml:space="preserve">) </w:t>
      </w:r>
      <w:r>
        <w:rPr>
          <w:sz w:val="24"/>
        </w:rPr>
        <w:t xml:space="preserve">que establece que, </w:t>
      </w:r>
      <w:r>
        <w:rPr>
          <w:i/>
          <w:sz w:val="24"/>
        </w:rPr>
        <w:t>“(...)</w:t>
      </w:r>
      <w:r>
        <w:rPr>
          <w:i/>
          <w:spacing w:val="-1"/>
          <w:sz w:val="24"/>
        </w:rPr>
        <w:t xml:space="preserve"> </w:t>
      </w:r>
      <w:r>
        <w:rPr>
          <w:i/>
          <w:sz w:val="24"/>
        </w:rPr>
        <w:t>La jurisprudencia constitucional</w:t>
      </w:r>
      <w:r>
        <w:rPr>
          <w:i/>
          <w:spacing w:val="-2"/>
          <w:sz w:val="24"/>
        </w:rPr>
        <w:t xml:space="preserve"> </w:t>
      </w:r>
      <w:r>
        <w:rPr>
          <w:i/>
          <w:sz w:val="24"/>
        </w:rPr>
        <w:t>ha reconocido de manera reiterada y pacífica a la población indígena como sujetos de especial protección constitucional. Los postulados de la Carta Política que han dado fundamento o sustento a dicha protección -además de varios instrumentos internacionales- han sido el reconocimiento de Colombia como un Estado pluralista que protege la diversidad étnica y cultural y el derecho fundamental a la igualdad. Este último ha sido interpretado más allá que un trato igual a todos, sino como una prioritaria atención para aquellos</w:t>
      </w:r>
      <w:r>
        <w:rPr>
          <w:i/>
          <w:spacing w:val="-12"/>
          <w:sz w:val="24"/>
        </w:rPr>
        <w:t xml:space="preserve"> </w:t>
      </w:r>
      <w:r>
        <w:rPr>
          <w:i/>
          <w:sz w:val="24"/>
        </w:rPr>
        <w:t>grupos</w:t>
      </w:r>
      <w:r>
        <w:rPr>
          <w:i/>
          <w:spacing w:val="-12"/>
          <w:sz w:val="24"/>
        </w:rPr>
        <w:t xml:space="preserve"> </w:t>
      </w:r>
      <w:r>
        <w:rPr>
          <w:i/>
          <w:sz w:val="24"/>
        </w:rPr>
        <w:t>poblaciones</w:t>
      </w:r>
      <w:r>
        <w:rPr>
          <w:i/>
          <w:spacing w:val="-12"/>
          <w:sz w:val="24"/>
        </w:rPr>
        <w:t xml:space="preserve"> </w:t>
      </w:r>
      <w:r>
        <w:rPr>
          <w:i/>
          <w:sz w:val="24"/>
        </w:rPr>
        <w:t>que</w:t>
      </w:r>
      <w:r>
        <w:rPr>
          <w:i/>
          <w:spacing w:val="-14"/>
          <w:sz w:val="24"/>
        </w:rPr>
        <w:t xml:space="preserve"> </w:t>
      </w:r>
      <w:r>
        <w:rPr>
          <w:i/>
          <w:sz w:val="24"/>
        </w:rPr>
        <w:t>tradicionalmente</w:t>
      </w:r>
      <w:r>
        <w:rPr>
          <w:i/>
          <w:spacing w:val="-11"/>
          <w:sz w:val="24"/>
        </w:rPr>
        <w:t xml:space="preserve"> </w:t>
      </w:r>
      <w:r>
        <w:rPr>
          <w:i/>
          <w:sz w:val="24"/>
        </w:rPr>
        <w:t>han</w:t>
      </w:r>
      <w:r>
        <w:rPr>
          <w:i/>
          <w:spacing w:val="-13"/>
          <w:sz w:val="24"/>
        </w:rPr>
        <w:t xml:space="preserve"> </w:t>
      </w:r>
      <w:r>
        <w:rPr>
          <w:i/>
          <w:sz w:val="24"/>
        </w:rPr>
        <w:t>sido</w:t>
      </w:r>
      <w:r>
        <w:rPr>
          <w:i/>
          <w:spacing w:val="-14"/>
          <w:sz w:val="24"/>
        </w:rPr>
        <w:t xml:space="preserve"> </w:t>
      </w:r>
      <w:r>
        <w:rPr>
          <w:i/>
          <w:sz w:val="24"/>
        </w:rPr>
        <w:t>discriminados</w:t>
      </w:r>
      <w:r>
        <w:rPr>
          <w:i/>
          <w:spacing w:val="-13"/>
          <w:sz w:val="24"/>
        </w:rPr>
        <w:t xml:space="preserve"> </w:t>
      </w:r>
      <w:r>
        <w:rPr>
          <w:i/>
          <w:sz w:val="24"/>
        </w:rPr>
        <w:t>o se encuentran en una situación de especial vulnerabilidad o indefensión. Las comunidades indígenas son sujetos de mayor relevancia para la diversidad étnica</w:t>
      </w:r>
      <w:r>
        <w:rPr>
          <w:i/>
          <w:spacing w:val="-1"/>
          <w:sz w:val="24"/>
        </w:rPr>
        <w:t xml:space="preserve"> </w:t>
      </w:r>
      <w:r>
        <w:rPr>
          <w:i/>
          <w:sz w:val="24"/>
        </w:rPr>
        <w:t>y cultural. Esta Corporación</w:t>
      </w:r>
      <w:r>
        <w:rPr>
          <w:i/>
          <w:spacing w:val="-1"/>
          <w:sz w:val="24"/>
        </w:rPr>
        <w:t xml:space="preserve"> </w:t>
      </w:r>
      <w:r>
        <w:rPr>
          <w:i/>
          <w:sz w:val="24"/>
        </w:rPr>
        <w:t>no sólo ha reconocido en los individuos el derecho fundamental a la identidad cultural, sino adicionalmente, también lo ha hecho con las propias comunidades como sujetos autónomos titulares de derechos fundamentales”</w:t>
      </w:r>
    </w:p>
    <w:p w14:paraId="2910BDE2" w14:textId="77777777" w:rsidR="000E52B0" w:rsidRDefault="00F60D74">
      <w:pPr>
        <w:spacing w:before="161"/>
        <w:ind w:left="720" w:right="715"/>
        <w:jc w:val="both"/>
        <w:rPr>
          <w:i/>
          <w:sz w:val="24"/>
        </w:rPr>
      </w:pPr>
      <w:r>
        <w:rPr>
          <w:sz w:val="24"/>
        </w:rPr>
        <w:t>De igual forma en Sentencia 414 de 2015 (MP Luis Guillermo Guerrero Pérez)</w:t>
      </w:r>
      <w:r>
        <w:rPr>
          <w:spacing w:val="-7"/>
          <w:sz w:val="24"/>
        </w:rPr>
        <w:t xml:space="preserve"> </w:t>
      </w:r>
      <w:r>
        <w:rPr>
          <w:sz w:val="24"/>
        </w:rPr>
        <w:t>la</w:t>
      </w:r>
      <w:r>
        <w:rPr>
          <w:spacing w:val="-7"/>
          <w:sz w:val="24"/>
        </w:rPr>
        <w:t xml:space="preserve"> </w:t>
      </w:r>
      <w:r>
        <w:rPr>
          <w:sz w:val="24"/>
        </w:rPr>
        <w:t>Corte</w:t>
      </w:r>
      <w:r>
        <w:rPr>
          <w:spacing w:val="-5"/>
          <w:sz w:val="24"/>
        </w:rPr>
        <w:t xml:space="preserve"> </w:t>
      </w:r>
      <w:r>
        <w:rPr>
          <w:sz w:val="24"/>
        </w:rPr>
        <w:t>insiste</w:t>
      </w:r>
      <w:r>
        <w:rPr>
          <w:spacing w:val="-5"/>
          <w:sz w:val="24"/>
        </w:rPr>
        <w:t xml:space="preserve"> </w:t>
      </w:r>
      <w:r>
        <w:rPr>
          <w:sz w:val="24"/>
        </w:rPr>
        <w:t>en</w:t>
      </w:r>
      <w:r>
        <w:rPr>
          <w:spacing w:val="-7"/>
          <w:sz w:val="24"/>
        </w:rPr>
        <w:t xml:space="preserve"> </w:t>
      </w:r>
      <w:r>
        <w:rPr>
          <w:sz w:val="24"/>
        </w:rPr>
        <w:t>que</w:t>
      </w:r>
      <w:r>
        <w:rPr>
          <w:spacing w:val="-5"/>
          <w:sz w:val="24"/>
        </w:rPr>
        <w:t xml:space="preserve"> </w:t>
      </w:r>
      <w:r>
        <w:rPr>
          <w:i/>
          <w:sz w:val="24"/>
        </w:rPr>
        <w:t>“(...)</w:t>
      </w:r>
      <w:r>
        <w:rPr>
          <w:i/>
          <w:spacing w:val="-7"/>
          <w:sz w:val="24"/>
        </w:rPr>
        <w:t xml:space="preserve"> </w:t>
      </w:r>
      <w:r>
        <w:rPr>
          <w:i/>
          <w:sz w:val="24"/>
        </w:rPr>
        <w:t>ha</w:t>
      </w:r>
      <w:r>
        <w:rPr>
          <w:i/>
          <w:spacing w:val="-6"/>
          <w:sz w:val="24"/>
        </w:rPr>
        <w:t xml:space="preserve"> </w:t>
      </w:r>
      <w:r>
        <w:rPr>
          <w:i/>
          <w:sz w:val="24"/>
        </w:rPr>
        <w:t>sido</w:t>
      </w:r>
      <w:r>
        <w:rPr>
          <w:i/>
          <w:spacing w:val="-6"/>
          <w:sz w:val="24"/>
        </w:rPr>
        <w:t xml:space="preserve"> </w:t>
      </w:r>
      <w:r>
        <w:rPr>
          <w:i/>
          <w:sz w:val="24"/>
        </w:rPr>
        <w:t>clara</w:t>
      </w:r>
      <w:r>
        <w:rPr>
          <w:i/>
          <w:spacing w:val="-6"/>
          <w:sz w:val="24"/>
        </w:rPr>
        <w:t xml:space="preserve"> </w:t>
      </w:r>
      <w:r>
        <w:rPr>
          <w:i/>
          <w:sz w:val="24"/>
        </w:rPr>
        <w:t>al</w:t>
      </w:r>
      <w:r>
        <w:rPr>
          <w:i/>
          <w:spacing w:val="-8"/>
          <w:sz w:val="24"/>
        </w:rPr>
        <w:t xml:space="preserve"> </w:t>
      </w:r>
      <w:r>
        <w:rPr>
          <w:i/>
          <w:sz w:val="24"/>
        </w:rPr>
        <w:t>señalar</w:t>
      </w:r>
      <w:r>
        <w:rPr>
          <w:i/>
          <w:spacing w:val="-6"/>
          <w:sz w:val="24"/>
        </w:rPr>
        <w:t xml:space="preserve"> </w:t>
      </w:r>
      <w:r>
        <w:rPr>
          <w:i/>
          <w:sz w:val="24"/>
        </w:rPr>
        <w:t>que</w:t>
      </w:r>
      <w:r>
        <w:rPr>
          <w:i/>
          <w:spacing w:val="-3"/>
          <w:sz w:val="24"/>
        </w:rPr>
        <w:t xml:space="preserve"> </w:t>
      </w:r>
      <w:r>
        <w:rPr>
          <w:i/>
          <w:sz w:val="24"/>
        </w:rPr>
        <w:t>los</w:t>
      </w:r>
      <w:r>
        <w:rPr>
          <w:i/>
          <w:spacing w:val="-7"/>
          <w:sz w:val="24"/>
        </w:rPr>
        <w:t xml:space="preserve"> </w:t>
      </w:r>
      <w:r>
        <w:rPr>
          <w:i/>
          <w:sz w:val="24"/>
        </w:rPr>
        <w:t>pueblos</w:t>
      </w:r>
    </w:p>
    <w:p w14:paraId="025144C6" w14:textId="77777777" w:rsidR="000E52B0" w:rsidRDefault="000E52B0">
      <w:pPr>
        <w:jc w:val="both"/>
        <w:rPr>
          <w:i/>
          <w:sz w:val="24"/>
        </w:rPr>
        <w:sectPr w:rsidR="000E52B0">
          <w:pgSz w:w="11910" w:h="16840"/>
          <w:pgMar w:top="1340" w:right="720" w:bottom="1180" w:left="720" w:header="0" w:footer="995" w:gutter="0"/>
          <w:cols w:space="720"/>
        </w:sectPr>
      </w:pPr>
    </w:p>
    <w:p w14:paraId="02C7FFDA" w14:textId="77777777" w:rsidR="000E52B0" w:rsidRDefault="00F60D74">
      <w:pPr>
        <w:spacing w:before="83"/>
        <w:ind w:left="720" w:right="719"/>
        <w:jc w:val="both"/>
        <w:rPr>
          <w:i/>
          <w:sz w:val="24"/>
        </w:rPr>
      </w:pPr>
      <w:r>
        <w:rPr>
          <w:i/>
          <w:sz w:val="24"/>
        </w:rPr>
        <w:lastRenderedPageBreak/>
        <w:t>indígenas</w:t>
      </w:r>
      <w:r>
        <w:rPr>
          <w:i/>
          <w:spacing w:val="-3"/>
          <w:sz w:val="24"/>
        </w:rPr>
        <w:t xml:space="preserve"> </w:t>
      </w:r>
      <w:r>
        <w:rPr>
          <w:i/>
          <w:sz w:val="24"/>
        </w:rPr>
        <w:t>y</w:t>
      </w:r>
      <w:r>
        <w:rPr>
          <w:i/>
          <w:spacing w:val="-1"/>
          <w:sz w:val="24"/>
        </w:rPr>
        <w:t xml:space="preserve"> </w:t>
      </w:r>
      <w:r>
        <w:rPr>
          <w:i/>
          <w:sz w:val="24"/>
        </w:rPr>
        <w:t>las</w:t>
      </w:r>
      <w:r>
        <w:rPr>
          <w:i/>
          <w:spacing w:val="-3"/>
          <w:sz w:val="24"/>
        </w:rPr>
        <w:t xml:space="preserve"> </w:t>
      </w:r>
      <w:r>
        <w:rPr>
          <w:i/>
          <w:sz w:val="24"/>
        </w:rPr>
        <w:t>comunidades</w:t>
      </w:r>
      <w:r>
        <w:rPr>
          <w:i/>
          <w:spacing w:val="-3"/>
          <w:sz w:val="24"/>
        </w:rPr>
        <w:t xml:space="preserve"> </w:t>
      </w:r>
      <w:r>
        <w:rPr>
          <w:i/>
          <w:sz w:val="24"/>
        </w:rPr>
        <w:t>negras,</w:t>
      </w:r>
      <w:r>
        <w:rPr>
          <w:i/>
          <w:spacing w:val="-4"/>
          <w:sz w:val="24"/>
        </w:rPr>
        <w:t xml:space="preserve"> </w:t>
      </w:r>
      <w:r>
        <w:rPr>
          <w:i/>
          <w:sz w:val="24"/>
        </w:rPr>
        <w:t>afrodescendientes</w:t>
      </w:r>
      <w:r>
        <w:rPr>
          <w:i/>
          <w:spacing w:val="-3"/>
          <w:sz w:val="24"/>
        </w:rPr>
        <w:t xml:space="preserve"> </w:t>
      </w:r>
      <w:r>
        <w:rPr>
          <w:i/>
          <w:sz w:val="24"/>
        </w:rPr>
        <w:t>o</w:t>
      </w:r>
      <w:r>
        <w:rPr>
          <w:i/>
          <w:spacing w:val="-2"/>
          <w:sz w:val="24"/>
        </w:rPr>
        <w:t xml:space="preserve"> </w:t>
      </w:r>
      <w:r>
        <w:rPr>
          <w:i/>
          <w:sz w:val="24"/>
        </w:rPr>
        <w:t>afrocolombianas son titulares de derechos fundamentales y sujetos de especial protección constitucional. De manera que, tratándose de la protección efectiva que pueda ofrecer la acción de tutela para sus derechos fundamentales, la agencia oficiosa puede, en dado caso, ser una herramienta adecuada e incluso necesaria para garantizarlos. (...)”</w:t>
      </w:r>
    </w:p>
    <w:p w14:paraId="4DAF1035" w14:textId="77777777" w:rsidR="000E52B0" w:rsidRDefault="00F60D74">
      <w:pPr>
        <w:spacing w:before="158"/>
        <w:ind w:left="720" w:right="714"/>
        <w:jc w:val="both"/>
        <w:rPr>
          <w:i/>
          <w:sz w:val="24"/>
        </w:rPr>
      </w:pPr>
      <w:r>
        <w:rPr>
          <w:sz w:val="24"/>
        </w:rPr>
        <w:t>A</w:t>
      </w:r>
      <w:r>
        <w:rPr>
          <w:spacing w:val="-5"/>
          <w:sz w:val="24"/>
        </w:rPr>
        <w:t xml:space="preserve"> </w:t>
      </w:r>
      <w:r>
        <w:rPr>
          <w:sz w:val="24"/>
        </w:rPr>
        <w:t>su</w:t>
      </w:r>
      <w:r>
        <w:rPr>
          <w:spacing w:val="-4"/>
          <w:sz w:val="24"/>
        </w:rPr>
        <w:t xml:space="preserve"> </w:t>
      </w:r>
      <w:r>
        <w:rPr>
          <w:sz w:val="24"/>
        </w:rPr>
        <w:t>vez,</w:t>
      </w:r>
      <w:r>
        <w:rPr>
          <w:spacing w:val="-4"/>
          <w:sz w:val="24"/>
        </w:rPr>
        <w:t xml:space="preserve"> </w:t>
      </w:r>
      <w:r>
        <w:rPr>
          <w:sz w:val="24"/>
        </w:rPr>
        <w:t>el</w:t>
      </w:r>
      <w:r>
        <w:rPr>
          <w:spacing w:val="-3"/>
          <w:sz w:val="24"/>
        </w:rPr>
        <w:t xml:space="preserve"> </w:t>
      </w:r>
      <w:r>
        <w:rPr>
          <w:sz w:val="24"/>
        </w:rPr>
        <w:t>Consejo</w:t>
      </w:r>
      <w:r>
        <w:rPr>
          <w:spacing w:val="-3"/>
          <w:sz w:val="24"/>
        </w:rPr>
        <w:t xml:space="preserve"> </w:t>
      </w:r>
      <w:r>
        <w:rPr>
          <w:sz w:val="24"/>
        </w:rPr>
        <w:t>de</w:t>
      </w:r>
      <w:r>
        <w:rPr>
          <w:spacing w:val="-3"/>
          <w:sz w:val="24"/>
        </w:rPr>
        <w:t xml:space="preserve"> </w:t>
      </w:r>
      <w:r>
        <w:rPr>
          <w:sz w:val="24"/>
        </w:rPr>
        <w:t>Estado</w:t>
      </w:r>
      <w:r>
        <w:rPr>
          <w:spacing w:val="-2"/>
          <w:sz w:val="24"/>
        </w:rPr>
        <w:t xml:space="preserve"> </w:t>
      </w:r>
      <w:r>
        <w:rPr>
          <w:sz w:val="24"/>
        </w:rPr>
        <w:t>en</w:t>
      </w:r>
      <w:r>
        <w:rPr>
          <w:spacing w:val="-5"/>
          <w:sz w:val="24"/>
        </w:rPr>
        <w:t xml:space="preserve"> </w:t>
      </w:r>
      <w:r>
        <w:rPr>
          <w:sz w:val="24"/>
        </w:rPr>
        <w:t>sentencia</w:t>
      </w:r>
      <w:r>
        <w:rPr>
          <w:spacing w:val="-3"/>
          <w:sz w:val="24"/>
        </w:rPr>
        <w:t xml:space="preserve"> </w:t>
      </w:r>
      <w:r>
        <w:rPr>
          <w:sz w:val="24"/>
        </w:rPr>
        <w:t>del</w:t>
      </w:r>
      <w:r>
        <w:rPr>
          <w:spacing w:val="-3"/>
          <w:sz w:val="24"/>
        </w:rPr>
        <w:t xml:space="preserve"> </w:t>
      </w:r>
      <w:r>
        <w:rPr>
          <w:sz w:val="24"/>
        </w:rPr>
        <w:t>10</w:t>
      </w:r>
      <w:r>
        <w:rPr>
          <w:spacing w:val="-3"/>
          <w:sz w:val="24"/>
        </w:rPr>
        <w:t xml:space="preserve"> </w:t>
      </w:r>
      <w:r>
        <w:rPr>
          <w:sz w:val="24"/>
        </w:rPr>
        <w:t>diciembre</w:t>
      </w:r>
      <w:r>
        <w:rPr>
          <w:spacing w:val="-2"/>
          <w:sz w:val="24"/>
        </w:rPr>
        <w:t xml:space="preserve"> </w:t>
      </w:r>
      <w:r>
        <w:rPr>
          <w:sz w:val="24"/>
        </w:rPr>
        <w:t>de</w:t>
      </w:r>
      <w:r>
        <w:rPr>
          <w:spacing w:val="-3"/>
          <w:sz w:val="24"/>
        </w:rPr>
        <w:t xml:space="preserve"> </w:t>
      </w:r>
      <w:r>
        <w:rPr>
          <w:sz w:val="24"/>
        </w:rPr>
        <w:t>2021</w:t>
      </w:r>
      <w:r>
        <w:rPr>
          <w:spacing w:val="-5"/>
          <w:sz w:val="24"/>
        </w:rPr>
        <w:t xml:space="preserve"> </w:t>
      </w:r>
      <w:r>
        <w:rPr>
          <w:sz w:val="24"/>
        </w:rPr>
        <w:t xml:space="preserve">NR- 11001-03-15-000-2021-07071-00 reconocer que </w:t>
      </w:r>
      <w:r>
        <w:rPr>
          <w:i/>
          <w:sz w:val="24"/>
        </w:rPr>
        <w:t>“(...) la Corte Constitucional, en las sentencias C-169 de 2001 y T025 de 2004, y en el auto A-005 de 2009, entre otras providencias, reconoció el amparo reforzado</w:t>
      </w:r>
      <w:r>
        <w:rPr>
          <w:i/>
          <w:spacing w:val="-4"/>
          <w:sz w:val="24"/>
        </w:rPr>
        <w:t xml:space="preserve"> </w:t>
      </w:r>
      <w:r>
        <w:rPr>
          <w:i/>
          <w:sz w:val="24"/>
        </w:rPr>
        <w:t>del</w:t>
      </w:r>
      <w:r>
        <w:rPr>
          <w:i/>
          <w:spacing w:val="-5"/>
          <w:sz w:val="24"/>
        </w:rPr>
        <w:t xml:space="preserve"> </w:t>
      </w:r>
      <w:r>
        <w:rPr>
          <w:i/>
          <w:sz w:val="24"/>
        </w:rPr>
        <w:t>que</w:t>
      </w:r>
      <w:r>
        <w:rPr>
          <w:i/>
          <w:spacing w:val="-4"/>
          <w:sz w:val="24"/>
        </w:rPr>
        <w:t xml:space="preserve"> </w:t>
      </w:r>
      <w:r>
        <w:rPr>
          <w:i/>
          <w:sz w:val="24"/>
        </w:rPr>
        <w:t>gozan</w:t>
      </w:r>
      <w:r>
        <w:rPr>
          <w:i/>
          <w:spacing w:val="-5"/>
          <w:sz w:val="24"/>
        </w:rPr>
        <w:t xml:space="preserve"> </w:t>
      </w:r>
      <w:r>
        <w:rPr>
          <w:i/>
          <w:sz w:val="24"/>
        </w:rPr>
        <w:t>las</w:t>
      </w:r>
      <w:r>
        <w:rPr>
          <w:i/>
          <w:spacing w:val="-5"/>
          <w:sz w:val="24"/>
        </w:rPr>
        <w:t xml:space="preserve"> </w:t>
      </w:r>
      <w:r>
        <w:rPr>
          <w:i/>
          <w:sz w:val="24"/>
        </w:rPr>
        <w:t>personas</w:t>
      </w:r>
      <w:r>
        <w:rPr>
          <w:i/>
          <w:spacing w:val="-5"/>
          <w:sz w:val="24"/>
        </w:rPr>
        <w:t xml:space="preserve"> </w:t>
      </w:r>
      <w:r>
        <w:rPr>
          <w:i/>
          <w:sz w:val="24"/>
        </w:rPr>
        <w:t>afrodescendientes</w:t>
      </w:r>
      <w:r>
        <w:rPr>
          <w:i/>
          <w:spacing w:val="-5"/>
          <w:sz w:val="24"/>
        </w:rPr>
        <w:t xml:space="preserve"> </w:t>
      </w:r>
      <w:r>
        <w:rPr>
          <w:i/>
          <w:sz w:val="24"/>
        </w:rPr>
        <w:t>como</w:t>
      </w:r>
      <w:r>
        <w:rPr>
          <w:i/>
          <w:spacing w:val="-4"/>
          <w:sz w:val="24"/>
        </w:rPr>
        <w:t xml:space="preserve"> </w:t>
      </w:r>
      <w:r>
        <w:rPr>
          <w:i/>
          <w:sz w:val="24"/>
        </w:rPr>
        <w:t>individuos</w:t>
      </w:r>
      <w:r>
        <w:rPr>
          <w:i/>
          <w:spacing w:val="-5"/>
          <w:sz w:val="24"/>
        </w:rPr>
        <w:t xml:space="preserve"> </w:t>
      </w:r>
      <w:r>
        <w:rPr>
          <w:i/>
          <w:sz w:val="24"/>
        </w:rPr>
        <w:t>y comunidades, como sujetos de especial protección, dada la histórica situación de marginalidad y segregación que han afrontado(...)”</w:t>
      </w:r>
    </w:p>
    <w:p w14:paraId="500DB311" w14:textId="77777777" w:rsidR="000E52B0" w:rsidRDefault="000E52B0">
      <w:pPr>
        <w:pStyle w:val="Textoindependiente"/>
        <w:spacing w:before="2"/>
        <w:ind w:left="0"/>
        <w:rPr>
          <w:i/>
        </w:rPr>
      </w:pPr>
    </w:p>
    <w:p w14:paraId="389B6200" w14:textId="77777777" w:rsidR="000E52B0" w:rsidRDefault="00F60D74">
      <w:pPr>
        <w:pStyle w:val="Textoindependiente"/>
        <w:ind w:right="715"/>
        <w:jc w:val="both"/>
      </w:pPr>
      <w:r>
        <w:t>Respecto</w:t>
      </w:r>
      <w:r>
        <w:rPr>
          <w:spacing w:val="-11"/>
        </w:rPr>
        <w:t xml:space="preserve"> </w:t>
      </w:r>
      <w:r>
        <w:t>del</w:t>
      </w:r>
      <w:r>
        <w:rPr>
          <w:spacing w:val="-11"/>
        </w:rPr>
        <w:t xml:space="preserve"> </w:t>
      </w:r>
      <w:r>
        <w:t>amparo</w:t>
      </w:r>
      <w:r>
        <w:rPr>
          <w:spacing w:val="-11"/>
        </w:rPr>
        <w:t xml:space="preserve"> </w:t>
      </w:r>
      <w:r>
        <w:t>de</w:t>
      </w:r>
      <w:r>
        <w:rPr>
          <w:spacing w:val="-10"/>
        </w:rPr>
        <w:t xml:space="preserve"> </w:t>
      </w:r>
      <w:r>
        <w:t>derechos</w:t>
      </w:r>
      <w:r>
        <w:rPr>
          <w:spacing w:val="-11"/>
        </w:rPr>
        <w:t xml:space="preserve"> </w:t>
      </w:r>
      <w:r>
        <w:t>fundamentales</w:t>
      </w:r>
      <w:r>
        <w:rPr>
          <w:spacing w:val="-9"/>
        </w:rPr>
        <w:t xml:space="preserve"> </w:t>
      </w:r>
      <w:r>
        <w:t>de</w:t>
      </w:r>
      <w:r>
        <w:rPr>
          <w:spacing w:val="-10"/>
        </w:rPr>
        <w:t xml:space="preserve"> </w:t>
      </w:r>
      <w:r>
        <w:t>los</w:t>
      </w:r>
      <w:r>
        <w:rPr>
          <w:spacing w:val="-9"/>
        </w:rPr>
        <w:t xml:space="preserve"> </w:t>
      </w:r>
      <w:r>
        <w:t>pueblos</w:t>
      </w:r>
      <w:r>
        <w:rPr>
          <w:spacing w:val="-11"/>
        </w:rPr>
        <w:t xml:space="preserve"> </w:t>
      </w:r>
      <w:r>
        <w:t>indígenas, las comunidades Negras, Afrocolombianas, Raizales y Palanqueras, el Alto Tribunal</w:t>
      </w:r>
      <w:r>
        <w:rPr>
          <w:spacing w:val="-22"/>
        </w:rPr>
        <w:t xml:space="preserve"> </w:t>
      </w:r>
      <w:r>
        <w:t>Constitucional</w:t>
      </w:r>
      <w:r>
        <w:rPr>
          <w:spacing w:val="-21"/>
        </w:rPr>
        <w:t xml:space="preserve"> </w:t>
      </w:r>
      <w:r>
        <w:t>en</w:t>
      </w:r>
      <w:r>
        <w:rPr>
          <w:spacing w:val="-21"/>
        </w:rPr>
        <w:t xml:space="preserve"> </w:t>
      </w:r>
      <w:r>
        <w:t>Sentencias</w:t>
      </w:r>
      <w:r>
        <w:rPr>
          <w:spacing w:val="-21"/>
        </w:rPr>
        <w:t xml:space="preserve"> </w:t>
      </w:r>
      <w:r>
        <w:t>T-433</w:t>
      </w:r>
      <w:r>
        <w:rPr>
          <w:spacing w:val="-21"/>
        </w:rPr>
        <w:t xml:space="preserve"> </w:t>
      </w:r>
      <w:r>
        <w:t>de</w:t>
      </w:r>
      <w:r>
        <w:rPr>
          <w:spacing w:val="-21"/>
        </w:rPr>
        <w:t xml:space="preserve"> </w:t>
      </w:r>
      <w:r>
        <w:t>2011</w:t>
      </w:r>
      <w:r>
        <w:rPr>
          <w:spacing w:val="-21"/>
        </w:rPr>
        <w:t xml:space="preserve"> </w:t>
      </w:r>
      <w:r>
        <w:t>(MP</w:t>
      </w:r>
      <w:r>
        <w:rPr>
          <w:spacing w:val="-21"/>
        </w:rPr>
        <w:t xml:space="preserve"> </w:t>
      </w:r>
      <w:r>
        <w:t>Mauricio</w:t>
      </w:r>
      <w:r>
        <w:rPr>
          <w:spacing w:val="-21"/>
        </w:rPr>
        <w:t xml:space="preserve"> </w:t>
      </w:r>
      <w:r>
        <w:t>González Cuervo)</w:t>
      </w:r>
      <w:r>
        <w:rPr>
          <w:spacing w:val="-22"/>
        </w:rPr>
        <w:t xml:space="preserve"> </w:t>
      </w:r>
      <w:r>
        <w:t>T-009</w:t>
      </w:r>
      <w:r>
        <w:rPr>
          <w:spacing w:val="-21"/>
        </w:rPr>
        <w:t xml:space="preserve"> </w:t>
      </w:r>
      <w:r>
        <w:t>de</w:t>
      </w:r>
      <w:r>
        <w:rPr>
          <w:spacing w:val="-21"/>
        </w:rPr>
        <w:t xml:space="preserve"> </w:t>
      </w:r>
      <w:r>
        <w:t>2013</w:t>
      </w:r>
      <w:r>
        <w:rPr>
          <w:spacing w:val="-18"/>
        </w:rPr>
        <w:t xml:space="preserve"> </w:t>
      </w:r>
      <w:r>
        <w:t>(MP</w:t>
      </w:r>
      <w:r>
        <w:rPr>
          <w:spacing w:val="-21"/>
        </w:rPr>
        <w:t xml:space="preserve"> </w:t>
      </w:r>
      <w:r>
        <w:t>Jorge</w:t>
      </w:r>
      <w:r>
        <w:rPr>
          <w:spacing w:val="-20"/>
        </w:rPr>
        <w:t xml:space="preserve"> </w:t>
      </w:r>
      <w:r>
        <w:t>Ignacio</w:t>
      </w:r>
      <w:r>
        <w:rPr>
          <w:spacing w:val="-20"/>
        </w:rPr>
        <w:t xml:space="preserve"> </w:t>
      </w:r>
      <w:r>
        <w:t>Pretelt</w:t>
      </w:r>
      <w:r>
        <w:rPr>
          <w:spacing w:val="-22"/>
        </w:rPr>
        <w:t xml:space="preserve"> </w:t>
      </w:r>
      <w:r>
        <w:t>Chaljub),</w:t>
      </w:r>
      <w:r>
        <w:rPr>
          <w:spacing w:val="-21"/>
        </w:rPr>
        <w:t xml:space="preserve"> </w:t>
      </w:r>
      <w:r>
        <w:t>y</w:t>
      </w:r>
      <w:r>
        <w:rPr>
          <w:spacing w:val="-18"/>
        </w:rPr>
        <w:t xml:space="preserve"> </w:t>
      </w:r>
      <w:r>
        <w:t>T-379</w:t>
      </w:r>
      <w:r>
        <w:rPr>
          <w:spacing w:val="-22"/>
        </w:rPr>
        <w:t xml:space="preserve"> </w:t>
      </w:r>
      <w:r>
        <w:t>de</w:t>
      </w:r>
      <w:r>
        <w:rPr>
          <w:spacing w:val="-19"/>
        </w:rPr>
        <w:t xml:space="preserve"> </w:t>
      </w:r>
      <w:r>
        <w:t>2014 (MP Jorge Ignacio Pretelt Chaljub), explica que la base de nuestro Estado Social de Derecho se encuentra en la diversidad étnica y cultural de la Nación colombiana, y que esta no puede concebirse sin el reconocimiento integral del derecho territorial de los grupos étnicos a las tierras que tradicionalmente ocupan.</w:t>
      </w:r>
    </w:p>
    <w:p w14:paraId="3C0B7723" w14:textId="77777777" w:rsidR="000E52B0" w:rsidRDefault="00F60D74">
      <w:pPr>
        <w:spacing w:before="159"/>
        <w:ind w:left="720" w:right="717"/>
        <w:jc w:val="both"/>
        <w:rPr>
          <w:i/>
          <w:sz w:val="24"/>
        </w:rPr>
      </w:pPr>
      <w:r>
        <w:rPr>
          <w:sz w:val="24"/>
        </w:rPr>
        <w:t>En</w:t>
      </w:r>
      <w:r>
        <w:rPr>
          <w:spacing w:val="-18"/>
          <w:sz w:val="24"/>
        </w:rPr>
        <w:t xml:space="preserve"> </w:t>
      </w:r>
      <w:r>
        <w:rPr>
          <w:sz w:val="24"/>
        </w:rPr>
        <w:t>este</w:t>
      </w:r>
      <w:r>
        <w:rPr>
          <w:spacing w:val="-16"/>
          <w:sz w:val="24"/>
        </w:rPr>
        <w:t xml:space="preserve"> </w:t>
      </w:r>
      <w:r>
        <w:rPr>
          <w:sz w:val="24"/>
        </w:rPr>
        <w:t>mismo</w:t>
      </w:r>
      <w:r>
        <w:rPr>
          <w:spacing w:val="-17"/>
          <w:sz w:val="24"/>
        </w:rPr>
        <w:t xml:space="preserve"> </w:t>
      </w:r>
      <w:r>
        <w:rPr>
          <w:sz w:val="24"/>
        </w:rPr>
        <w:t>sentido,</w:t>
      </w:r>
      <w:r>
        <w:rPr>
          <w:spacing w:val="-18"/>
          <w:sz w:val="24"/>
        </w:rPr>
        <w:t xml:space="preserve"> </w:t>
      </w:r>
      <w:r>
        <w:rPr>
          <w:sz w:val="24"/>
        </w:rPr>
        <w:t>el</w:t>
      </w:r>
      <w:r>
        <w:rPr>
          <w:spacing w:val="-18"/>
          <w:sz w:val="24"/>
        </w:rPr>
        <w:t xml:space="preserve"> </w:t>
      </w:r>
      <w:r>
        <w:rPr>
          <w:sz w:val="24"/>
        </w:rPr>
        <w:t>Consejo</w:t>
      </w:r>
      <w:r>
        <w:rPr>
          <w:spacing w:val="-17"/>
          <w:sz w:val="24"/>
        </w:rPr>
        <w:t xml:space="preserve"> </w:t>
      </w:r>
      <w:r>
        <w:rPr>
          <w:sz w:val="24"/>
        </w:rPr>
        <w:t>de</w:t>
      </w:r>
      <w:r>
        <w:rPr>
          <w:spacing w:val="-14"/>
          <w:sz w:val="24"/>
        </w:rPr>
        <w:t xml:space="preserve"> </w:t>
      </w:r>
      <w:r>
        <w:rPr>
          <w:sz w:val="24"/>
        </w:rPr>
        <w:t>Estado</w:t>
      </w:r>
      <w:r>
        <w:rPr>
          <w:spacing w:val="-17"/>
          <w:sz w:val="24"/>
        </w:rPr>
        <w:t xml:space="preserve"> </w:t>
      </w:r>
      <w:r>
        <w:rPr>
          <w:sz w:val="24"/>
        </w:rPr>
        <w:t>hace</w:t>
      </w:r>
      <w:r>
        <w:rPr>
          <w:spacing w:val="-17"/>
          <w:sz w:val="24"/>
        </w:rPr>
        <w:t xml:space="preserve"> </w:t>
      </w:r>
      <w:r>
        <w:rPr>
          <w:sz w:val="24"/>
        </w:rPr>
        <w:t>referencia</w:t>
      </w:r>
      <w:r>
        <w:rPr>
          <w:spacing w:val="-17"/>
          <w:sz w:val="24"/>
        </w:rPr>
        <w:t xml:space="preserve"> </w:t>
      </w:r>
      <w:r>
        <w:rPr>
          <w:sz w:val="24"/>
        </w:rPr>
        <w:t>a</w:t>
      </w:r>
      <w:r>
        <w:rPr>
          <w:spacing w:val="-17"/>
          <w:sz w:val="24"/>
        </w:rPr>
        <w:t xml:space="preserve"> </w:t>
      </w:r>
      <w:r>
        <w:rPr>
          <w:sz w:val="24"/>
        </w:rPr>
        <w:t>la</w:t>
      </w:r>
      <w:r>
        <w:rPr>
          <w:spacing w:val="-16"/>
          <w:sz w:val="24"/>
        </w:rPr>
        <w:t xml:space="preserve"> </w:t>
      </w:r>
      <w:r>
        <w:rPr>
          <w:sz w:val="24"/>
        </w:rPr>
        <w:t>obligación del Estado de proteger la diversidad y la identidad cultural en Colombia, desacuerdo</w:t>
      </w:r>
      <w:r>
        <w:rPr>
          <w:spacing w:val="-9"/>
          <w:sz w:val="24"/>
        </w:rPr>
        <w:t xml:space="preserve"> </w:t>
      </w:r>
      <w:r>
        <w:rPr>
          <w:sz w:val="24"/>
        </w:rPr>
        <w:t>a</w:t>
      </w:r>
      <w:r>
        <w:rPr>
          <w:spacing w:val="-10"/>
          <w:sz w:val="24"/>
        </w:rPr>
        <w:t xml:space="preserve"> </w:t>
      </w:r>
      <w:r>
        <w:rPr>
          <w:sz w:val="24"/>
        </w:rPr>
        <w:t>los</w:t>
      </w:r>
      <w:r>
        <w:rPr>
          <w:spacing w:val="-10"/>
          <w:sz w:val="24"/>
        </w:rPr>
        <w:t xml:space="preserve"> </w:t>
      </w:r>
      <w:r>
        <w:rPr>
          <w:sz w:val="24"/>
        </w:rPr>
        <w:t>estándares</w:t>
      </w:r>
      <w:r>
        <w:rPr>
          <w:spacing w:val="-10"/>
          <w:sz w:val="24"/>
        </w:rPr>
        <w:t xml:space="preserve"> </w:t>
      </w:r>
      <w:r>
        <w:rPr>
          <w:sz w:val="24"/>
        </w:rPr>
        <w:t>internacionales</w:t>
      </w:r>
      <w:r>
        <w:rPr>
          <w:spacing w:val="-10"/>
          <w:sz w:val="24"/>
        </w:rPr>
        <w:t xml:space="preserve"> </w:t>
      </w:r>
      <w:r>
        <w:rPr>
          <w:sz w:val="24"/>
        </w:rPr>
        <w:t>y</w:t>
      </w:r>
      <w:r>
        <w:rPr>
          <w:spacing w:val="-10"/>
          <w:sz w:val="24"/>
        </w:rPr>
        <w:t xml:space="preserve"> </w:t>
      </w:r>
      <w:r>
        <w:rPr>
          <w:sz w:val="24"/>
        </w:rPr>
        <w:t>nacionales.</w:t>
      </w:r>
      <w:r>
        <w:rPr>
          <w:spacing w:val="-8"/>
          <w:sz w:val="24"/>
        </w:rPr>
        <w:t xml:space="preserve"> </w:t>
      </w:r>
      <w:r>
        <w:rPr>
          <w:sz w:val="24"/>
        </w:rPr>
        <w:t>Explica</w:t>
      </w:r>
      <w:r>
        <w:rPr>
          <w:spacing w:val="-10"/>
          <w:sz w:val="24"/>
        </w:rPr>
        <w:t xml:space="preserve"> </w:t>
      </w:r>
      <w:r>
        <w:rPr>
          <w:sz w:val="24"/>
        </w:rPr>
        <w:t>que</w:t>
      </w:r>
      <w:r>
        <w:rPr>
          <w:spacing w:val="-2"/>
          <w:sz w:val="24"/>
        </w:rPr>
        <w:t xml:space="preserve"> </w:t>
      </w:r>
      <w:r>
        <w:rPr>
          <w:i/>
          <w:sz w:val="24"/>
        </w:rPr>
        <w:t>“(…) durante siglos, poblaciones como las indígenas y las negras tuvieron que soportar</w:t>
      </w:r>
      <w:r>
        <w:rPr>
          <w:i/>
          <w:spacing w:val="-13"/>
          <w:sz w:val="24"/>
        </w:rPr>
        <w:t xml:space="preserve"> </w:t>
      </w:r>
      <w:r>
        <w:rPr>
          <w:i/>
          <w:sz w:val="24"/>
        </w:rPr>
        <w:t>un</w:t>
      </w:r>
      <w:r>
        <w:rPr>
          <w:i/>
          <w:spacing w:val="-14"/>
          <w:sz w:val="24"/>
        </w:rPr>
        <w:t xml:space="preserve"> </w:t>
      </w:r>
      <w:r>
        <w:rPr>
          <w:i/>
          <w:sz w:val="24"/>
        </w:rPr>
        <w:t>modelo</w:t>
      </w:r>
      <w:r>
        <w:rPr>
          <w:i/>
          <w:spacing w:val="-13"/>
          <w:sz w:val="24"/>
        </w:rPr>
        <w:t xml:space="preserve"> </w:t>
      </w:r>
      <w:r>
        <w:rPr>
          <w:i/>
          <w:sz w:val="24"/>
        </w:rPr>
        <w:t>de</w:t>
      </w:r>
      <w:r>
        <w:rPr>
          <w:i/>
          <w:spacing w:val="-13"/>
          <w:sz w:val="24"/>
        </w:rPr>
        <w:t xml:space="preserve"> </w:t>
      </w:r>
      <w:r>
        <w:rPr>
          <w:i/>
          <w:sz w:val="24"/>
        </w:rPr>
        <w:t>poder</w:t>
      </w:r>
      <w:r>
        <w:rPr>
          <w:i/>
          <w:spacing w:val="-13"/>
          <w:sz w:val="24"/>
        </w:rPr>
        <w:t xml:space="preserve"> </w:t>
      </w:r>
      <w:r>
        <w:rPr>
          <w:i/>
          <w:sz w:val="24"/>
        </w:rPr>
        <w:t>que</w:t>
      </w:r>
      <w:r>
        <w:rPr>
          <w:i/>
          <w:spacing w:val="-13"/>
          <w:sz w:val="24"/>
        </w:rPr>
        <w:t xml:space="preserve"> </w:t>
      </w:r>
      <w:r>
        <w:rPr>
          <w:i/>
          <w:sz w:val="24"/>
        </w:rPr>
        <w:t>se</w:t>
      </w:r>
      <w:r>
        <w:rPr>
          <w:i/>
          <w:spacing w:val="-15"/>
          <w:sz w:val="24"/>
        </w:rPr>
        <w:t xml:space="preserve"> </w:t>
      </w:r>
      <w:r>
        <w:rPr>
          <w:i/>
          <w:sz w:val="24"/>
        </w:rPr>
        <w:t>instauró</w:t>
      </w:r>
      <w:r>
        <w:rPr>
          <w:i/>
          <w:spacing w:val="-12"/>
          <w:sz w:val="24"/>
        </w:rPr>
        <w:t xml:space="preserve"> </w:t>
      </w:r>
      <w:r>
        <w:rPr>
          <w:i/>
          <w:sz w:val="24"/>
        </w:rPr>
        <w:t>con</w:t>
      </w:r>
      <w:r>
        <w:rPr>
          <w:i/>
          <w:spacing w:val="-14"/>
          <w:sz w:val="24"/>
        </w:rPr>
        <w:t xml:space="preserve"> </w:t>
      </w:r>
      <w:r>
        <w:rPr>
          <w:i/>
          <w:sz w:val="24"/>
        </w:rPr>
        <w:t>los</w:t>
      </w:r>
      <w:r>
        <w:rPr>
          <w:i/>
          <w:spacing w:val="-14"/>
          <w:sz w:val="24"/>
        </w:rPr>
        <w:t xml:space="preserve"> </w:t>
      </w:r>
      <w:r>
        <w:rPr>
          <w:i/>
          <w:sz w:val="24"/>
        </w:rPr>
        <w:t>procesos</w:t>
      </w:r>
      <w:r>
        <w:rPr>
          <w:i/>
          <w:spacing w:val="-14"/>
          <w:sz w:val="24"/>
        </w:rPr>
        <w:t xml:space="preserve"> </w:t>
      </w:r>
      <w:r>
        <w:rPr>
          <w:i/>
          <w:sz w:val="24"/>
        </w:rPr>
        <w:t>de</w:t>
      </w:r>
      <w:r>
        <w:rPr>
          <w:i/>
          <w:spacing w:val="-13"/>
          <w:sz w:val="24"/>
        </w:rPr>
        <w:t xml:space="preserve"> </w:t>
      </w:r>
      <w:r>
        <w:rPr>
          <w:i/>
          <w:sz w:val="24"/>
        </w:rPr>
        <w:t>conquista y colonización, caracterizado por la explotación, la discriminación, la violencia y los abusos ejercidos en contra de sus integrantes. Históricamente,</w:t>
      </w:r>
      <w:r>
        <w:rPr>
          <w:i/>
          <w:spacing w:val="-10"/>
          <w:sz w:val="24"/>
        </w:rPr>
        <w:t xml:space="preserve"> </w:t>
      </w:r>
      <w:r>
        <w:rPr>
          <w:i/>
          <w:sz w:val="24"/>
        </w:rPr>
        <w:t>uno</w:t>
      </w:r>
      <w:r>
        <w:rPr>
          <w:i/>
          <w:spacing w:val="-8"/>
          <w:sz w:val="24"/>
        </w:rPr>
        <w:t xml:space="preserve"> </w:t>
      </w:r>
      <w:r>
        <w:rPr>
          <w:i/>
          <w:sz w:val="24"/>
        </w:rPr>
        <w:t>de</w:t>
      </w:r>
      <w:r>
        <w:rPr>
          <w:i/>
          <w:spacing w:val="-8"/>
          <w:sz w:val="24"/>
        </w:rPr>
        <w:t xml:space="preserve"> </w:t>
      </w:r>
      <w:r>
        <w:rPr>
          <w:i/>
          <w:sz w:val="24"/>
        </w:rPr>
        <w:t>los</w:t>
      </w:r>
      <w:r>
        <w:rPr>
          <w:i/>
          <w:spacing w:val="-7"/>
          <w:sz w:val="24"/>
        </w:rPr>
        <w:t xml:space="preserve"> </w:t>
      </w:r>
      <w:r>
        <w:rPr>
          <w:i/>
          <w:sz w:val="24"/>
        </w:rPr>
        <w:t>innumerables</w:t>
      </w:r>
      <w:r>
        <w:rPr>
          <w:i/>
          <w:spacing w:val="-9"/>
          <w:sz w:val="24"/>
        </w:rPr>
        <w:t xml:space="preserve"> </w:t>
      </w:r>
      <w:r>
        <w:rPr>
          <w:i/>
          <w:sz w:val="24"/>
        </w:rPr>
        <w:t>atropellos</w:t>
      </w:r>
      <w:r>
        <w:rPr>
          <w:i/>
          <w:spacing w:val="-7"/>
          <w:sz w:val="24"/>
        </w:rPr>
        <w:t xml:space="preserve"> </w:t>
      </w:r>
      <w:r>
        <w:rPr>
          <w:i/>
          <w:sz w:val="24"/>
        </w:rPr>
        <w:t>de</w:t>
      </w:r>
      <w:r>
        <w:rPr>
          <w:i/>
          <w:spacing w:val="-8"/>
          <w:sz w:val="24"/>
        </w:rPr>
        <w:t xml:space="preserve"> </w:t>
      </w:r>
      <w:r>
        <w:rPr>
          <w:i/>
          <w:sz w:val="24"/>
        </w:rPr>
        <w:t>que</w:t>
      </w:r>
      <w:r>
        <w:rPr>
          <w:i/>
          <w:spacing w:val="-3"/>
          <w:sz w:val="24"/>
        </w:rPr>
        <w:t xml:space="preserve"> </w:t>
      </w:r>
      <w:r>
        <w:rPr>
          <w:i/>
          <w:sz w:val="24"/>
        </w:rPr>
        <w:t>han</w:t>
      </w:r>
      <w:r>
        <w:rPr>
          <w:i/>
          <w:spacing w:val="-10"/>
          <w:sz w:val="24"/>
        </w:rPr>
        <w:t xml:space="preserve"> </w:t>
      </w:r>
      <w:r>
        <w:rPr>
          <w:i/>
          <w:sz w:val="24"/>
        </w:rPr>
        <w:t>sido</w:t>
      </w:r>
      <w:r>
        <w:rPr>
          <w:i/>
          <w:spacing w:val="-8"/>
          <w:sz w:val="24"/>
        </w:rPr>
        <w:t xml:space="preserve"> </w:t>
      </w:r>
      <w:r>
        <w:rPr>
          <w:i/>
          <w:sz w:val="24"/>
        </w:rPr>
        <w:t>objeto estos</w:t>
      </w:r>
      <w:r>
        <w:rPr>
          <w:i/>
          <w:spacing w:val="-4"/>
          <w:sz w:val="24"/>
        </w:rPr>
        <w:t xml:space="preserve"> </w:t>
      </w:r>
      <w:r>
        <w:rPr>
          <w:i/>
          <w:sz w:val="24"/>
        </w:rPr>
        <w:t>grupos</w:t>
      </w:r>
      <w:r>
        <w:rPr>
          <w:i/>
          <w:spacing w:val="-4"/>
          <w:sz w:val="24"/>
        </w:rPr>
        <w:t xml:space="preserve"> </w:t>
      </w:r>
      <w:r>
        <w:rPr>
          <w:i/>
          <w:sz w:val="24"/>
        </w:rPr>
        <w:t>sociales,</w:t>
      </w:r>
      <w:r>
        <w:rPr>
          <w:i/>
          <w:spacing w:val="-5"/>
          <w:sz w:val="24"/>
        </w:rPr>
        <w:t xml:space="preserve"> </w:t>
      </w:r>
      <w:r>
        <w:rPr>
          <w:i/>
          <w:sz w:val="24"/>
        </w:rPr>
        <w:t>consiste</w:t>
      </w:r>
      <w:r>
        <w:rPr>
          <w:i/>
          <w:spacing w:val="-3"/>
          <w:sz w:val="24"/>
        </w:rPr>
        <w:t xml:space="preserve"> </w:t>
      </w:r>
      <w:r>
        <w:rPr>
          <w:i/>
          <w:sz w:val="24"/>
        </w:rPr>
        <w:t>en</w:t>
      </w:r>
      <w:r>
        <w:rPr>
          <w:i/>
          <w:spacing w:val="-4"/>
          <w:sz w:val="24"/>
        </w:rPr>
        <w:t xml:space="preserve"> </w:t>
      </w:r>
      <w:r>
        <w:rPr>
          <w:i/>
          <w:sz w:val="24"/>
        </w:rPr>
        <w:t>el</w:t>
      </w:r>
      <w:r>
        <w:rPr>
          <w:i/>
          <w:spacing w:val="-2"/>
          <w:sz w:val="24"/>
        </w:rPr>
        <w:t xml:space="preserve"> </w:t>
      </w:r>
      <w:r>
        <w:rPr>
          <w:i/>
          <w:sz w:val="24"/>
        </w:rPr>
        <w:t>desconocimiento</w:t>
      </w:r>
      <w:r>
        <w:rPr>
          <w:i/>
          <w:spacing w:val="-1"/>
          <w:sz w:val="24"/>
        </w:rPr>
        <w:t xml:space="preserve"> </w:t>
      </w:r>
      <w:r>
        <w:rPr>
          <w:i/>
          <w:sz w:val="24"/>
        </w:rPr>
        <w:t>de</w:t>
      </w:r>
      <w:r>
        <w:rPr>
          <w:i/>
          <w:spacing w:val="-3"/>
          <w:sz w:val="24"/>
        </w:rPr>
        <w:t xml:space="preserve"> </w:t>
      </w:r>
      <w:r>
        <w:rPr>
          <w:i/>
          <w:sz w:val="24"/>
        </w:rPr>
        <w:t>la cultura</w:t>
      </w:r>
      <w:r>
        <w:rPr>
          <w:i/>
          <w:spacing w:val="-3"/>
          <w:sz w:val="24"/>
        </w:rPr>
        <w:t xml:space="preserve"> </w:t>
      </w:r>
      <w:r>
        <w:rPr>
          <w:i/>
          <w:sz w:val="24"/>
        </w:rPr>
        <w:t>que</w:t>
      </w:r>
      <w:r>
        <w:rPr>
          <w:i/>
          <w:spacing w:val="-1"/>
          <w:sz w:val="24"/>
        </w:rPr>
        <w:t xml:space="preserve"> </w:t>
      </w:r>
      <w:r>
        <w:rPr>
          <w:i/>
          <w:sz w:val="24"/>
        </w:rPr>
        <w:t>les es propia y que los define como tal. (…) En efecto, aquellas épocas estuvieron marcadas por la estigmatización de la cultura originaria y, con ello, por el especial interés de los colonizadores de imponerle a estos pueblos su religión, lengua, costumbres y, en general, formas de vida civilizadoras. Esta forma de proceder se mantuvo con el paso del tiempo, generando, en los Estados modernos, una política de asimilación cultural, entendida</w:t>
      </w:r>
      <w:r>
        <w:rPr>
          <w:i/>
          <w:spacing w:val="-2"/>
          <w:sz w:val="24"/>
        </w:rPr>
        <w:t xml:space="preserve"> </w:t>
      </w:r>
      <w:r>
        <w:rPr>
          <w:i/>
          <w:sz w:val="24"/>
        </w:rPr>
        <w:t>como</w:t>
      </w:r>
      <w:r>
        <w:rPr>
          <w:i/>
          <w:spacing w:val="-1"/>
          <w:sz w:val="24"/>
        </w:rPr>
        <w:t xml:space="preserve"> </w:t>
      </w:r>
      <w:r>
        <w:rPr>
          <w:i/>
          <w:sz w:val="24"/>
        </w:rPr>
        <w:t>un proceso</w:t>
      </w:r>
      <w:r>
        <w:rPr>
          <w:i/>
          <w:spacing w:val="-1"/>
          <w:sz w:val="24"/>
        </w:rPr>
        <w:t xml:space="preserve"> </w:t>
      </w:r>
      <w:r>
        <w:rPr>
          <w:i/>
          <w:sz w:val="24"/>
        </w:rPr>
        <w:t>que</w:t>
      </w:r>
      <w:r>
        <w:rPr>
          <w:i/>
          <w:spacing w:val="-1"/>
          <w:sz w:val="24"/>
        </w:rPr>
        <w:t xml:space="preserve"> </w:t>
      </w:r>
      <w:r>
        <w:rPr>
          <w:i/>
          <w:sz w:val="24"/>
        </w:rPr>
        <w:t>busca</w:t>
      </w:r>
      <w:r>
        <w:rPr>
          <w:i/>
          <w:spacing w:val="-2"/>
          <w:sz w:val="24"/>
        </w:rPr>
        <w:t xml:space="preserve"> </w:t>
      </w:r>
      <w:r>
        <w:rPr>
          <w:i/>
          <w:sz w:val="24"/>
        </w:rPr>
        <w:t>la</w:t>
      </w:r>
      <w:r>
        <w:rPr>
          <w:i/>
          <w:spacing w:val="-2"/>
          <w:sz w:val="24"/>
        </w:rPr>
        <w:t xml:space="preserve"> </w:t>
      </w:r>
      <w:r>
        <w:rPr>
          <w:i/>
          <w:sz w:val="24"/>
        </w:rPr>
        <w:t>integración</w:t>
      </w:r>
      <w:r>
        <w:rPr>
          <w:i/>
          <w:spacing w:val="-2"/>
          <w:sz w:val="24"/>
        </w:rPr>
        <w:t xml:space="preserve"> </w:t>
      </w:r>
      <w:r>
        <w:rPr>
          <w:i/>
          <w:sz w:val="24"/>
        </w:rPr>
        <w:t>de</w:t>
      </w:r>
      <w:r>
        <w:rPr>
          <w:i/>
          <w:spacing w:val="-1"/>
          <w:sz w:val="24"/>
        </w:rPr>
        <w:t xml:space="preserve"> </w:t>
      </w:r>
      <w:r>
        <w:rPr>
          <w:i/>
          <w:sz w:val="24"/>
        </w:rPr>
        <w:t>los grupos</w:t>
      </w:r>
      <w:r>
        <w:rPr>
          <w:i/>
          <w:spacing w:val="-2"/>
          <w:sz w:val="24"/>
        </w:rPr>
        <w:t xml:space="preserve"> </w:t>
      </w:r>
      <w:r>
        <w:rPr>
          <w:i/>
          <w:sz w:val="24"/>
        </w:rPr>
        <w:t xml:space="preserve">étnicos minoritarios en la comunidad mayoritaria, con el aparente propósito de garantizar la convivencia dentro del Estado a costa de que esta absorción genere la pérdida parcial o absoluta de aquellos rasgos que determinan la identidad cultural de esas minorías. </w:t>
      </w:r>
      <w:r>
        <w:rPr>
          <w:sz w:val="24"/>
        </w:rPr>
        <w:t xml:space="preserve">Además añade </w:t>
      </w:r>
      <w:r>
        <w:rPr>
          <w:i/>
          <w:sz w:val="24"/>
        </w:rPr>
        <w:t>que “dentro de ese contexto normativo, la jurisprudencia constitucional ha sostenido que la relación entre el Estado y estas comunidades tiene como premisas la existencia de diversidad de culturas e identidades étnicas; que todas ellas</w:t>
      </w:r>
    </w:p>
    <w:p w14:paraId="1EE64B17" w14:textId="77777777" w:rsidR="000E52B0" w:rsidRDefault="000E52B0">
      <w:pPr>
        <w:jc w:val="both"/>
        <w:rPr>
          <w:i/>
          <w:sz w:val="24"/>
        </w:rPr>
        <w:sectPr w:rsidR="000E52B0">
          <w:pgSz w:w="11910" w:h="16840"/>
          <w:pgMar w:top="1340" w:right="720" w:bottom="1180" w:left="720" w:header="0" w:footer="995" w:gutter="0"/>
          <w:cols w:space="720"/>
        </w:sectPr>
      </w:pPr>
    </w:p>
    <w:p w14:paraId="03DB6EE0" w14:textId="77777777" w:rsidR="000E52B0" w:rsidRDefault="00F60D74">
      <w:pPr>
        <w:spacing w:before="83"/>
        <w:ind w:left="720" w:right="722"/>
        <w:jc w:val="both"/>
        <w:rPr>
          <w:i/>
          <w:sz w:val="24"/>
        </w:rPr>
      </w:pPr>
      <w:r>
        <w:rPr>
          <w:i/>
          <w:sz w:val="24"/>
        </w:rPr>
        <w:lastRenderedPageBreak/>
        <w:t>hacen parte de la identidad general del país; que todas tienen derecho a conservarse</w:t>
      </w:r>
      <w:r>
        <w:rPr>
          <w:i/>
          <w:spacing w:val="-18"/>
          <w:sz w:val="24"/>
        </w:rPr>
        <w:t xml:space="preserve"> </w:t>
      </w:r>
      <w:r>
        <w:rPr>
          <w:i/>
          <w:sz w:val="24"/>
        </w:rPr>
        <w:t>en</w:t>
      </w:r>
      <w:r>
        <w:rPr>
          <w:i/>
          <w:spacing w:val="-21"/>
          <w:sz w:val="24"/>
        </w:rPr>
        <w:t xml:space="preserve"> </w:t>
      </w:r>
      <w:r>
        <w:rPr>
          <w:i/>
          <w:sz w:val="24"/>
        </w:rPr>
        <w:t>el</w:t>
      </w:r>
      <w:r>
        <w:rPr>
          <w:i/>
          <w:spacing w:val="-19"/>
          <w:sz w:val="24"/>
        </w:rPr>
        <w:t xml:space="preserve"> </w:t>
      </w:r>
      <w:r>
        <w:rPr>
          <w:i/>
          <w:sz w:val="24"/>
        </w:rPr>
        <w:t>tiempo</w:t>
      </w:r>
      <w:r>
        <w:rPr>
          <w:i/>
          <w:spacing w:val="-19"/>
          <w:sz w:val="24"/>
        </w:rPr>
        <w:t xml:space="preserve"> </w:t>
      </w:r>
      <w:r>
        <w:rPr>
          <w:i/>
          <w:sz w:val="24"/>
        </w:rPr>
        <w:t>con</w:t>
      </w:r>
      <w:r>
        <w:rPr>
          <w:i/>
          <w:spacing w:val="-19"/>
          <w:sz w:val="24"/>
        </w:rPr>
        <w:t xml:space="preserve"> </w:t>
      </w:r>
      <w:r>
        <w:rPr>
          <w:i/>
          <w:sz w:val="24"/>
        </w:rPr>
        <w:t>sus</w:t>
      </w:r>
      <w:r>
        <w:rPr>
          <w:i/>
          <w:spacing w:val="-19"/>
          <w:sz w:val="24"/>
        </w:rPr>
        <w:t xml:space="preserve"> </w:t>
      </w:r>
      <w:r>
        <w:rPr>
          <w:i/>
          <w:sz w:val="24"/>
        </w:rPr>
        <w:t>costumbres,</w:t>
      </w:r>
      <w:r>
        <w:rPr>
          <w:i/>
          <w:spacing w:val="-19"/>
          <w:sz w:val="24"/>
        </w:rPr>
        <w:t xml:space="preserve"> </w:t>
      </w:r>
      <w:r>
        <w:rPr>
          <w:i/>
          <w:sz w:val="24"/>
        </w:rPr>
        <w:t>prácticas,</w:t>
      </w:r>
      <w:r>
        <w:rPr>
          <w:i/>
          <w:spacing w:val="-20"/>
          <w:sz w:val="24"/>
        </w:rPr>
        <w:t xml:space="preserve"> </w:t>
      </w:r>
      <w:r>
        <w:rPr>
          <w:i/>
          <w:sz w:val="24"/>
        </w:rPr>
        <w:t>creencias,</w:t>
      </w:r>
      <w:r>
        <w:rPr>
          <w:i/>
          <w:spacing w:val="-20"/>
          <w:sz w:val="24"/>
        </w:rPr>
        <w:t xml:space="preserve"> </w:t>
      </w:r>
      <w:r>
        <w:rPr>
          <w:i/>
          <w:sz w:val="24"/>
        </w:rPr>
        <w:t>lenguas y</w:t>
      </w:r>
      <w:r>
        <w:rPr>
          <w:i/>
          <w:spacing w:val="-22"/>
          <w:sz w:val="24"/>
        </w:rPr>
        <w:t xml:space="preserve"> </w:t>
      </w:r>
      <w:r>
        <w:rPr>
          <w:i/>
          <w:sz w:val="24"/>
        </w:rPr>
        <w:t>cosmovisión,</w:t>
      </w:r>
      <w:r>
        <w:rPr>
          <w:i/>
          <w:spacing w:val="-21"/>
          <w:sz w:val="24"/>
        </w:rPr>
        <w:t xml:space="preserve"> </w:t>
      </w:r>
      <w:r>
        <w:rPr>
          <w:i/>
          <w:sz w:val="24"/>
        </w:rPr>
        <w:t>así</w:t>
      </w:r>
      <w:r>
        <w:rPr>
          <w:i/>
          <w:spacing w:val="-21"/>
          <w:sz w:val="24"/>
        </w:rPr>
        <w:t xml:space="preserve"> </w:t>
      </w:r>
      <w:r>
        <w:rPr>
          <w:i/>
          <w:sz w:val="24"/>
        </w:rPr>
        <w:t>como</w:t>
      </w:r>
      <w:r>
        <w:rPr>
          <w:i/>
          <w:spacing w:val="-20"/>
          <w:sz w:val="24"/>
        </w:rPr>
        <w:t xml:space="preserve"> </w:t>
      </w:r>
      <w:r>
        <w:rPr>
          <w:i/>
          <w:sz w:val="24"/>
        </w:rPr>
        <w:t>a</w:t>
      </w:r>
      <w:r>
        <w:rPr>
          <w:i/>
          <w:spacing w:val="-21"/>
          <w:sz w:val="24"/>
        </w:rPr>
        <w:t xml:space="preserve"> </w:t>
      </w:r>
      <w:r>
        <w:rPr>
          <w:i/>
          <w:sz w:val="24"/>
        </w:rPr>
        <w:t>que</w:t>
      </w:r>
      <w:r>
        <w:rPr>
          <w:i/>
          <w:spacing w:val="-20"/>
          <w:sz w:val="24"/>
        </w:rPr>
        <w:t xml:space="preserve"> </w:t>
      </w:r>
      <w:r>
        <w:rPr>
          <w:i/>
          <w:sz w:val="24"/>
        </w:rPr>
        <w:t>se</w:t>
      </w:r>
      <w:r>
        <w:rPr>
          <w:i/>
          <w:spacing w:val="-20"/>
          <w:sz w:val="24"/>
        </w:rPr>
        <w:t xml:space="preserve"> </w:t>
      </w:r>
      <w:r>
        <w:rPr>
          <w:i/>
          <w:sz w:val="24"/>
        </w:rPr>
        <w:t>les</w:t>
      </w:r>
      <w:r>
        <w:rPr>
          <w:i/>
          <w:spacing w:val="-21"/>
          <w:sz w:val="24"/>
        </w:rPr>
        <w:t xml:space="preserve"> </w:t>
      </w:r>
      <w:r>
        <w:rPr>
          <w:i/>
          <w:sz w:val="24"/>
        </w:rPr>
        <w:t>trate</w:t>
      </w:r>
      <w:r>
        <w:rPr>
          <w:i/>
          <w:spacing w:val="-20"/>
          <w:sz w:val="24"/>
        </w:rPr>
        <w:t xml:space="preserve"> </w:t>
      </w:r>
      <w:r>
        <w:rPr>
          <w:i/>
          <w:sz w:val="24"/>
        </w:rPr>
        <w:t>sin</w:t>
      </w:r>
      <w:r>
        <w:rPr>
          <w:i/>
          <w:spacing w:val="-21"/>
          <w:sz w:val="24"/>
        </w:rPr>
        <w:t xml:space="preserve"> </w:t>
      </w:r>
      <w:r>
        <w:rPr>
          <w:i/>
          <w:sz w:val="24"/>
        </w:rPr>
        <w:t>discriminación</w:t>
      </w:r>
      <w:r>
        <w:rPr>
          <w:i/>
          <w:spacing w:val="-19"/>
          <w:sz w:val="24"/>
        </w:rPr>
        <w:t xml:space="preserve"> </w:t>
      </w:r>
      <w:r>
        <w:rPr>
          <w:i/>
          <w:sz w:val="24"/>
        </w:rPr>
        <w:t>y</w:t>
      </w:r>
      <w:r>
        <w:rPr>
          <w:i/>
          <w:spacing w:val="-21"/>
          <w:sz w:val="24"/>
        </w:rPr>
        <w:t xml:space="preserve"> </w:t>
      </w:r>
      <w:r>
        <w:rPr>
          <w:i/>
          <w:sz w:val="24"/>
        </w:rPr>
        <w:t>con</w:t>
      </w:r>
      <w:r>
        <w:rPr>
          <w:i/>
          <w:spacing w:val="-21"/>
          <w:sz w:val="24"/>
        </w:rPr>
        <w:t xml:space="preserve"> </w:t>
      </w:r>
      <w:r>
        <w:rPr>
          <w:i/>
          <w:sz w:val="24"/>
        </w:rPr>
        <w:t>el</w:t>
      </w:r>
      <w:r>
        <w:rPr>
          <w:i/>
          <w:spacing w:val="-22"/>
          <w:sz w:val="24"/>
        </w:rPr>
        <w:t xml:space="preserve"> </w:t>
      </w:r>
      <w:r>
        <w:rPr>
          <w:i/>
          <w:sz w:val="24"/>
        </w:rPr>
        <w:t>mismo respeto que se trata a cualquier grupo poblacional.”</w:t>
      </w:r>
    </w:p>
    <w:p w14:paraId="14393FB9" w14:textId="77777777" w:rsidR="000E52B0" w:rsidRDefault="00F60D74">
      <w:pPr>
        <w:pStyle w:val="Textoindependiente"/>
        <w:spacing w:before="158"/>
        <w:ind w:right="715"/>
        <w:jc w:val="both"/>
      </w:pPr>
      <w:r>
        <w:t>Así mismo, en Sentencia T-576 de 2014 (MP Luis Ernesto Vargas Silva), analiza la</w:t>
      </w:r>
      <w:r>
        <w:rPr>
          <w:spacing w:val="-2"/>
        </w:rPr>
        <w:t xml:space="preserve"> </w:t>
      </w:r>
      <w:r>
        <w:t>situación de</w:t>
      </w:r>
      <w:r>
        <w:rPr>
          <w:spacing w:val="-1"/>
        </w:rPr>
        <w:t xml:space="preserve"> </w:t>
      </w:r>
      <w:r>
        <w:t>las</w:t>
      </w:r>
      <w:r>
        <w:rPr>
          <w:spacing w:val="-2"/>
        </w:rPr>
        <w:t xml:space="preserve"> </w:t>
      </w:r>
      <w:r>
        <w:t>comunidades Negras,</w:t>
      </w:r>
      <w:r>
        <w:rPr>
          <w:spacing w:val="-2"/>
        </w:rPr>
        <w:t xml:space="preserve"> </w:t>
      </w:r>
      <w:r>
        <w:t>Afrocolombianas,</w:t>
      </w:r>
      <w:r>
        <w:rPr>
          <w:spacing w:val="-3"/>
        </w:rPr>
        <w:t xml:space="preserve"> </w:t>
      </w:r>
      <w:r>
        <w:t>Raizales y Palenqueras, en relación con sus derechos territoriales y culturales, así, desde</w:t>
      </w:r>
      <w:r>
        <w:rPr>
          <w:spacing w:val="-4"/>
        </w:rPr>
        <w:t xml:space="preserve"> </w:t>
      </w:r>
      <w:r>
        <w:t>el</w:t>
      </w:r>
      <w:r>
        <w:rPr>
          <w:spacing w:val="-6"/>
        </w:rPr>
        <w:t xml:space="preserve"> </w:t>
      </w:r>
      <w:r>
        <w:t>mismo</w:t>
      </w:r>
      <w:r>
        <w:rPr>
          <w:spacing w:val="-2"/>
        </w:rPr>
        <w:t xml:space="preserve"> </w:t>
      </w:r>
      <w:r>
        <w:t>derecho</w:t>
      </w:r>
      <w:r>
        <w:rPr>
          <w:spacing w:val="-5"/>
        </w:rPr>
        <w:t xml:space="preserve"> </w:t>
      </w:r>
      <w:r>
        <w:t>a</w:t>
      </w:r>
      <w:r>
        <w:rPr>
          <w:spacing w:val="-5"/>
        </w:rPr>
        <w:t xml:space="preserve"> </w:t>
      </w:r>
      <w:r>
        <w:t>la</w:t>
      </w:r>
      <w:r>
        <w:rPr>
          <w:spacing w:val="-6"/>
        </w:rPr>
        <w:t xml:space="preserve"> </w:t>
      </w:r>
      <w:r>
        <w:t>consulta</w:t>
      </w:r>
      <w:r>
        <w:rPr>
          <w:spacing w:val="-3"/>
        </w:rPr>
        <w:t xml:space="preserve"> </w:t>
      </w:r>
      <w:r>
        <w:t>previa,</w:t>
      </w:r>
      <w:r>
        <w:rPr>
          <w:spacing w:val="-6"/>
        </w:rPr>
        <w:t xml:space="preserve"> </w:t>
      </w:r>
      <w:r>
        <w:t>enfatiza</w:t>
      </w:r>
      <w:r>
        <w:rPr>
          <w:spacing w:val="-5"/>
        </w:rPr>
        <w:t xml:space="preserve"> </w:t>
      </w:r>
      <w:r>
        <w:t>en</w:t>
      </w:r>
      <w:r>
        <w:rPr>
          <w:spacing w:val="-6"/>
        </w:rPr>
        <w:t xml:space="preserve"> </w:t>
      </w:r>
      <w:r>
        <w:t>que</w:t>
      </w:r>
      <w:r>
        <w:rPr>
          <w:spacing w:val="-4"/>
        </w:rPr>
        <w:t xml:space="preserve"> </w:t>
      </w:r>
      <w:r>
        <w:t>esta</w:t>
      </w:r>
      <w:r>
        <w:rPr>
          <w:spacing w:val="-5"/>
        </w:rPr>
        <w:t xml:space="preserve"> </w:t>
      </w:r>
      <w:r>
        <w:t>no</w:t>
      </w:r>
      <w:r>
        <w:rPr>
          <w:spacing w:val="-5"/>
        </w:rPr>
        <w:t xml:space="preserve"> </w:t>
      </w:r>
      <w:r>
        <w:t>debe convertirse meramente en un tramité, por el contrario, debe ser el mecanismo principal para la garantía de igualdad e inclusión. Desde el punto de vista del reconocimiento de saberes, la sentencia exige que la consulta previa se realice de manera respetuosa con las particularidades culturales y organizativas, validando la importancia de los conocimientos ancestrales y los sistemas normativos tradicionales, la legitimidad de las visiones del mundo y las formas de relacionarse con el territorio.</w:t>
      </w:r>
    </w:p>
    <w:p w14:paraId="734E6675" w14:textId="77777777" w:rsidR="000E52B0" w:rsidRDefault="00F60D74">
      <w:pPr>
        <w:pStyle w:val="Textoindependiente"/>
        <w:spacing w:before="162"/>
        <w:ind w:right="716"/>
        <w:jc w:val="both"/>
      </w:pPr>
      <w:r>
        <w:t>Igualmente,</w:t>
      </w:r>
      <w:r>
        <w:rPr>
          <w:spacing w:val="-13"/>
        </w:rPr>
        <w:t xml:space="preserve"> </w:t>
      </w:r>
      <w:r>
        <w:t>la</w:t>
      </w:r>
      <w:r>
        <w:rPr>
          <w:spacing w:val="-15"/>
        </w:rPr>
        <w:t xml:space="preserve"> </w:t>
      </w:r>
      <w:r>
        <w:t>Honorable</w:t>
      </w:r>
      <w:r>
        <w:rPr>
          <w:spacing w:val="-14"/>
        </w:rPr>
        <w:t xml:space="preserve"> </w:t>
      </w:r>
      <w:r>
        <w:t>Corte</w:t>
      </w:r>
      <w:r>
        <w:rPr>
          <w:spacing w:val="-10"/>
        </w:rPr>
        <w:t xml:space="preserve"> </w:t>
      </w:r>
      <w:r>
        <w:t>Constitucional</w:t>
      </w:r>
      <w:r>
        <w:rPr>
          <w:spacing w:val="-15"/>
        </w:rPr>
        <w:t xml:space="preserve"> </w:t>
      </w:r>
      <w:r>
        <w:t>en</w:t>
      </w:r>
      <w:r>
        <w:rPr>
          <w:spacing w:val="-13"/>
        </w:rPr>
        <w:t xml:space="preserve"> </w:t>
      </w:r>
      <w:r>
        <w:t>Sentencia</w:t>
      </w:r>
      <w:r>
        <w:rPr>
          <w:spacing w:val="-13"/>
        </w:rPr>
        <w:t xml:space="preserve"> </w:t>
      </w:r>
      <w:r>
        <w:t>T-485</w:t>
      </w:r>
      <w:r>
        <w:rPr>
          <w:spacing w:val="-14"/>
        </w:rPr>
        <w:t xml:space="preserve"> </w:t>
      </w:r>
      <w:r>
        <w:t>de</w:t>
      </w:r>
      <w:r>
        <w:rPr>
          <w:spacing w:val="-14"/>
        </w:rPr>
        <w:t xml:space="preserve"> </w:t>
      </w:r>
      <w:r>
        <w:t xml:space="preserve">2015 (MP Myriam Ávila Roldan), afirma que los pueblos Indígenas, Afrodescendientes y </w:t>
      </w:r>
      <w:proofErr w:type="spellStart"/>
      <w:r>
        <w:t>Rrom</w:t>
      </w:r>
      <w:proofErr w:type="spellEnd"/>
      <w:r>
        <w:t xml:space="preserve"> tienen un derecho constitucional definido a mantener su diversidad étnica y cultural, el cual se expresa en el ejercicio libre de sus prácticas tradicionales. Por ende, en aquellos casos en que desde</w:t>
      </w:r>
      <w:r>
        <w:rPr>
          <w:spacing w:val="-18"/>
        </w:rPr>
        <w:t xml:space="preserve"> </w:t>
      </w:r>
      <w:r>
        <w:t>el</w:t>
      </w:r>
      <w:r>
        <w:rPr>
          <w:spacing w:val="-20"/>
        </w:rPr>
        <w:t xml:space="preserve"> </w:t>
      </w:r>
      <w:r>
        <w:t>Estado</w:t>
      </w:r>
      <w:r>
        <w:rPr>
          <w:spacing w:val="-19"/>
        </w:rPr>
        <w:t xml:space="preserve"> </w:t>
      </w:r>
      <w:r>
        <w:t>o</w:t>
      </w:r>
      <w:r>
        <w:rPr>
          <w:spacing w:val="-19"/>
        </w:rPr>
        <w:t xml:space="preserve"> </w:t>
      </w:r>
      <w:r>
        <w:t>desde</w:t>
      </w:r>
      <w:r>
        <w:rPr>
          <w:spacing w:val="-18"/>
        </w:rPr>
        <w:t xml:space="preserve"> </w:t>
      </w:r>
      <w:r>
        <w:t>organizaciones</w:t>
      </w:r>
      <w:r>
        <w:rPr>
          <w:spacing w:val="-17"/>
        </w:rPr>
        <w:t xml:space="preserve"> </w:t>
      </w:r>
      <w:r>
        <w:t>privadas</w:t>
      </w:r>
      <w:r>
        <w:rPr>
          <w:spacing w:val="-20"/>
        </w:rPr>
        <w:t xml:space="preserve"> </w:t>
      </w:r>
      <w:r>
        <w:t>se</w:t>
      </w:r>
      <w:r>
        <w:rPr>
          <w:spacing w:val="-18"/>
        </w:rPr>
        <w:t xml:space="preserve"> </w:t>
      </w:r>
      <w:r>
        <w:t>adoptan</w:t>
      </w:r>
      <w:r>
        <w:rPr>
          <w:spacing w:val="-15"/>
        </w:rPr>
        <w:t xml:space="preserve"> </w:t>
      </w:r>
      <w:r>
        <w:t>decisiones</w:t>
      </w:r>
      <w:r>
        <w:rPr>
          <w:spacing w:val="-20"/>
        </w:rPr>
        <w:t xml:space="preserve"> </w:t>
      </w:r>
      <w:r>
        <w:t>que inciden</w:t>
      </w:r>
      <w:r>
        <w:rPr>
          <w:spacing w:val="-4"/>
        </w:rPr>
        <w:t xml:space="preserve"> </w:t>
      </w:r>
      <w:r>
        <w:t>en</w:t>
      </w:r>
      <w:r>
        <w:rPr>
          <w:spacing w:val="-4"/>
        </w:rPr>
        <w:t xml:space="preserve"> </w:t>
      </w:r>
      <w:r>
        <w:t>la</w:t>
      </w:r>
      <w:r>
        <w:rPr>
          <w:spacing w:val="-4"/>
        </w:rPr>
        <w:t xml:space="preserve"> </w:t>
      </w:r>
      <w:r>
        <w:t>forma</w:t>
      </w:r>
      <w:r>
        <w:rPr>
          <w:spacing w:val="-2"/>
        </w:rPr>
        <w:t xml:space="preserve"> </w:t>
      </w:r>
      <w:r>
        <w:t>en</w:t>
      </w:r>
      <w:r>
        <w:rPr>
          <w:spacing w:val="-4"/>
        </w:rPr>
        <w:t xml:space="preserve"> </w:t>
      </w:r>
      <w:r>
        <w:t>cómo</w:t>
      </w:r>
      <w:r>
        <w:rPr>
          <w:spacing w:val="-3"/>
        </w:rPr>
        <w:t xml:space="preserve"> </w:t>
      </w:r>
      <w:r>
        <w:t>se</w:t>
      </w:r>
      <w:r>
        <w:rPr>
          <w:spacing w:val="-3"/>
        </w:rPr>
        <w:t xml:space="preserve"> </w:t>
      </w:r>
      <w:r>
        <w:t>ejercen</w:t>
      </w:r>
      <w:r>
        <w:rPr>
          <w:spacing w:val="-6"/>
        </w:rPr>
        <w:t xml:space="preserve"> </w:t>
      </w:r>
      <w:r>
        <w:t>dichas</w:t>
      </w:r>
      <w:r>
        <w:rPr>
          <w:spacing w:val="-2"/>
        </w:rPr>
        <w:t xml:space="preserve"> </w:t>
      </w:r>
      <w:r>
        <w:t>prácticas,</w:t>
      </w:r>
      <w:r>
        <w:rPr>
          <w:spacing w:val="-4"/>
        </w:rPr>
        <w:t xml:space="preserve"> </w:t>
      </w:r>
      <w:r>
        <w:t>es</w:t>
      </w:r>
      <w:r>
        <w:rPr>
          <w:spacing w:val="-1"/>
        </w:rPr>
        <w:t xml:space="preserve"> </w:t>
      </w:r>
      <w:r>
        <w:t>imprescindible la participación de las comunidades afectadas, con el fin de evitar que medidas jurídicas o proyectos de explotación económica terminen por afectar dichas prácticas o incluso pongan en riesgo la identidad cultural diversa de estas comunidades. Existe una relación intrínseca y necesaria entre la eficacia del principio de protección y reconocimiento de la diversidad étnica y cultural, y la garantía de espacios suficientes y adecuados de participación a favor de las comunidades étnicas.</w:t>
      </w:r>
    </w:p>
    <w:p w14:paraId="21BD96EF" w14:textId="77777777" w:rsidR="000E52B0" w:rsidRDefault="00F60D74">
      <w:pPr>
        <w:pStyle w:val="Textoindependiente"/>
        <w:spacing w:before="160"/>
        <w:ind w:right="716"/>
        <w:jc w:val="both"/>
      </w:pPr>
      <w:r>
        <w:t>En Sentencia</w:t>
      </w:r>
      <w:r>
        <w:rPr>
          <w:spacing w:val="-2"/>
        </w:rPr>
        <w:t xml:space="preserve"> </w:t>
      </w:r>
      <w:r>
        <w:t>T-576</w:t>
      </w:r>
      <w:r>
        <w:rPr>
          <w:spacing w:val="-1"/>
        </w:rPr>
        <w:t xml:space="preserve"> </w:t>
      </w:r>
      <w:r>
        <w:t>de 2014 (MP Luis Ernesto Vargas Silva), estableció de forma clara que el artículo 55 transitorio superior y la Ley 70 de 1993 no son una barrera que impida proteger la diversidad étnica y los derechos reconocidos</w:t>
      </w:r>
      <w:r>
        <w:rPr>
          <w:spacing w:val="-18"/>
        </w:rPr>
        <w:t xml:space="preserve"> </w:t>
      </w:r>
      <w:r>
        <w:t>en</w:t>
      </w:r>
      <w:r>
        <w:rPr>
          <w:spacing w:val="-18"/>
        </w:rPr>
        <w:t xml:space="preserve"> </w:t>
      </w:r>
      <w:r>
        <w:t>el</w:t>
      </w:r>
      <w:r>
        <w:rPr>
          <w:spacing w:val="-17"/>
        </w:rPr>
        <w:t xml:space="preserve"> </w:t>
      </w:r>
      <w:r>
        <w:t>bloque</w:t>
      </w:r>
      <w:r>
        <w:rPr>
          <w:spacing w:val="-17"/>
        </w:rPr>
        <w:t xml:space="preserve"> </w:t>
      </w:r>
      <w:r>
        <w:t>de</w:t>
      </w:r>
      <w:r>
        <w:rPr>
          <w:spacing w:val="-17"/>
        </w:rPr>
        <w:t xml:space="preserve"> </w:t>
      </w:r>
      <w:r>
        <w:t>constitucionalidad</w:t>
      </w:r>
      <w:r>
        <w:rPr>
          <w:spacing w:val="-17"/>
        </w:rPr>
        <w:t xml:space="preserve"> </w:t>
      </w:r>
      <w:r>
        <w:t>en</w:t>
      </w:r>
      <w:r>
        <w:rPr>
          <w:spacing w:val="-18"/>
        </w:rPr>
        <w:t xml:space="preserve"> </w:t>
      </w:r>
      <w:r>
        <w:t>favor</w:t>
      </w:r>
      <w:r>
        <w:rPr>
          <w:spacing w:val="-15"/>
        </w:rPr>
        <w:t xml:space="preserve"> </w:t>
      </w:r>
      <w:r>
        <w:t>de</w:t>
      </w:r>
      <w:r>
        <w:rPr>
          <w:spacing w:val="-15"/>
        </w:rPr>
        <w:t xml:space="preserve"> </w:t>
      </w:r>
      <w:r>
        <w:t>las</w:t>
      </w:r>
      <w:r>
        <w:rPr>
          <w:spacing w:val="-18"/>
        </w:rPr>
        <w:t xml:space="preserve"> </w:t>
      </w:r>
      <w:r>
        <w:t>comunidades negras.</w:t>
      </w:r>
      <w:r>
        <w:rPr>
          <w:spacing w:val="-11"/>
        </w:rPr>
        <w:t xml:space="preserve"> </w:t>
      </w:r>
      <w:r>
        <w:t>Por</w:t>
      </w:r>
      <w:r>
        <w:rPr>
          <w:spacing w:val="-10"/>
        </w:rPr>
        <w:t xml:space="preserve"> </w:t>
      </w:r>
      <w:r>
        <w:t>el</w:t>
      </w:r>
      <w:r>
        <w:rPr>
          <w:spacing w:val="-11"/>
        </w:rPr>
        <w:t xml:space="preserve"> </w:t>
      </w:r>
      <w:r>
        <w:t>contrario,</w:t>
      </w:r>
      <w:r>
        <w:rPr>
          <w:spacing w:val="-11"/>
        </w:rPr>
        <w:t xml:space="preserve"> </w:t>
      </w:r>
      <w:r>
        <w:t>el</w:t>
      </w:r>
      <w:r>
        <w:rPr>
          <w:spacing w:val="-11"/>
        </w:rPr>
        <w:t xml:space="preserve"> </w:t>
      </w:r>
      <w:r>
        <w:t>Estado</w:t>
      </w:r>
      <w:r>
        <w:rPr>
          <w:spacing w:val="-10"/>
        </w:rPr>
        <w:t xml:space="preserve"> </w:t>
      </w:r>
      <w:r>
        <w:t>debe</w:t>
      </w:r>
      <w:r>
        <w:rPr>
          <w:spacing w:val="-8"/>
        </w:rPr>
        <w:t xml:space="preserve"> </w:t>
      </w:r>
      <w:r>
        <w:t>brindarles</w:t>
      </w:r>
      <w:r>
        <w:rPr>
          <w:spacing w:val="-10"/>
        </w:rPr>
        <w:t xml:space="preserve"> </w:t>
      </w:r>
      <w:r>
        <w:t>un</w:t>
      </w:r>
      <w:r>
        <w:rPr>
          <w:spacing w:val="-9"/>
        </w:rPr>
        <w:t xml:space="preserve"> </w:t>
      </w:r>
      <w:r>
        <w:t>trato</w:t>
      </w:r>
      <w:r>
        <w:rPr>
          <w:spacing w:val="-8"/>
        </w:rPr>
        <w:t xml:space="preserve"> </w:t>
      </w:r>
      <w:r>
        <w:t>preferente</w:t>
      </w:r>
      <w:r>
        <w:rPr>
          <w:spacing w:val="-10"/>
        </w:rPr>
        <w:t xml:space="preserve"> </w:t>
      </w:r>
      <w:r>
        <w:t>a</w:t>
      </w:r>
      <w:r>
        <w:rPr>
          <w:spacing w:val="-10"/>
        </w:rPr>
        <w:t xml:space="preserve"> </w:t>
      </w:r>
      <w:r>
        <w:t>las comunidades negras independientemente de las zonas geográficas que habiten o de la relación que mantengan con sus tierras.</w:t>
      </w:r>
    </w:p>
    <w:p w14:paraId="01540F31" w14:textId="77777777" w:rsidR="000E52B0" w:rsidRDefault="00F60D74">
      <w:pPr>
        <w:spacing w:before="159"/>
        <w:ind w:left="720" w:right="718"/>
        <w:jc w:val="both"/>
        <w:rPr>
          <w:i/>
          <w:sz w:val="24"/>
        </w:rPr>
      </w:pPr>
      <w:r>
        <w:rPr>
          <w:sz w:val="24"/>
        </w:rPr>
        <w:t xml:space="preserve">Finalmente, frente al pueblo </w:t>
      </w:r>
      <w:proofErr w:type="spellStart"/>
      <w:r>
        <w:rPr>
          <w:sz w:val="24"/>
        </w:rPr>
        <w:t>Rrom</w:t>
      </w:r>
      <w:proofErr w:type="spellEnd"/>
      <w:r>
        <w:rPr>
          <w:sz w:val="24"/>
        </w:rPr>
        <w:t>, la Corte Constitucional reconoce el estado de vulnerabilidad</w:t>
      </w:r>
      <w:r>
        <w:rPr>
          <w:spacing w:val="-1"/>
          <w:sz w:val="24"/>
        </w:rPr>
        <w:t xml:space="preserve"> </w:t>
      </w:r>
      <w:r>
        <w:rPr>
          <w:sz w:val="24"/>
        </w:rPr>
        <w:t>de este grupo poblacional</w:t>
      </w:r>
      <w:r>
        <w:rPr>
          <w:spacing w:val="-1"/>
          <w:sz w:val="24"/>
        </w:rPr>
        <w:t xml:space="preserve"> </w:t>
      </w:r>
      <w:r>
        <w:rPr>
          <w:sz w:val="24"/>
        </w:rPr>
        <w:t>y</w:t>
      </w:r>
      <w:r>
        <w:rPr>
          <w:spacing w:val="-1"/>
          <w:sz w:val="24"/>
        </w:rPr>
        <w:t xml:space="preserve"> </w:t>
      </w:r>
      <w:r>
        <w:rPr>
          <w:sz w:val="24"/>
        </w:rPr>
        <w:t>subraya</w:t>
      </w:r>
      <w:r>
        <w:rPr>
          <w:spacing w:val="-1"/>
          <w:sz w:val="24"/>
        </w:rPr>
        <w:t xml:space="preserve"> </w:t>
      </w:r>
      <w:r>
        <w:rPr>
          <w:sz w:val="24"/>
        </w:rPr>
        <w:t>la</w:t>
      </w:r>
      <w:r>
        <w:rPr>
          <w:spacing w:val="-1"/>
          <w:sz w:val="24"/>
        </w:rPr>
        <w:t xml:space="preserve"> </w:t>
      </w:r>
      <w:r>
        <w:rPr>
          <w:sz w:val="24"/>
        </w:rPr>
        <w:t>necesidad de garantizar sus derechos como parte de las comunidades étnicas que habitan el territorio nacional. En Sentencia C-359 de 2013 (MP Jorge Iván Palacio Palacio), manifestó que</w:t>
      </w:r>
      <w:r>
        <w:rPr>
          <w:spacing w:val="40"/>
          <w:sz w:val="24"/>
        </w:rPr>
        <w:t xml:space="preserve"> </w:t>
      </w:r>
      <w:r>
        <w:rPr>
          <w:i/>
          <w:sz w:val="24"/>
        </w:rPr>
        <w:t xml:space="preserve">“(…) La población </w:t>
      </w:r>
      <w:proofErr w:type="spellStart"/>
      <w:r>
        <w:rPr>
          <w:i/>
          <w:sz w:val="24"/>
        </w:rPr>
        <w:t>Rrom</w:t>
      </w:r>
      <w:proofErr w:type="spellEnd"/>
      <w:r>
        <w:rPr>
          <w:i/>
          <w:sz w:val="24"/>
        </w:rPr>
        <w:t xml:space="preserve"> o Gitana de Colombia, a pesar de su antigua presencia en el territorio y de haber contribuido a la cimentación de la nacionalidad colombiana, ha vivido al margen de cualquier tipo de ciudadanía económica, social, política y cultural,</w:t>
      </w:r>
      <w:r>
        <w:rPr>
          <w:i/>
          <w:spacing w:val="-9"/>
          <w:sz w:val="24"/>
        </w:rPr>
        <w:t xml:space="preserve"> </w:t>
      </w:r>
      <w:r>
        <w:rPr>
          <w:i/>
          <w:sz w:val="24"/>
        </w:rPr>
        <w:t>lo</w:t>
      </w:r>
      <w:r>
        <w:rPr>
          <w:i/>
          <w:spacing w:val="-10"/>
          <w:sz w:val="24"/>
        </w:rPr>
        <w:t xml:space="preserve"> </w:t>
      </w:r>
      <w:r>
        <w:rPr>
          <w:i/>
          <w:sz w:val="24"/>
        </w:rPr>
        <w:t>cual</w:t>
      </w:r>
      <w:r>
        <w:rPr>
          <w:i/>
          <w:spacing w:val="-9"/>
          <w:sz w:val="24"/>
        </w:rPr>
        <w:t xml:space="preserve"> </w:t>
      </w:r>
      <w:r>
        <w:rPr>
          <w:i/>
          <w:sz w:val="24"/>
        </w:rPr>
        <w:t>los</w:t>
      </w:r>
      <w:r>
        <w:rPr>
          <w:i/>
          <w:spacing w:val="-8"/>
          <w:sz w:val="24"/>
        </w:rPr>
        <w:t xml:space="preserve"> </w:t>
      </w:r>
      <w:r>
        <w:rPr>
          <w:i/>
          <w:sz w:val="24"/>
        </w:rPr>
        <w:t>ha</w:t>
      </w:r>
      <w:r>
        <w:rPr>
          <w:i/>
          <w:spacing w:val="-10"/>
          <w:sz w:val="24"/>
        </w:rPr>
        <w:t xml:space="preserve"> </w:t>
      </w:r>
      <w:r>
        <w:rPr>
          <w:i/>
          <w:sz w:val="24"/>
        </w:rPr>
        <w:t>llevado</w:t>
      </w:r>
      <w:r>
        <w:rPr>
          <w:i/>
          <w:spacing w:val="-10"/>
          <w:sz w:val="24"/>
        </w:rPr>
        <w:t xml:space="preserve"> </w:t>
      </w:r>
      <w:r>
        <w:rPr>
          <w:i/>
          <w:sz w:val="24"/>
        </w:rPr>
        <w:t>a</w:t>
      </w:r>
      <w:r>
        <w:rPr>
          <w:i/>
          <w:spacing w:val="-10"/>
          <w:sz w:val="24"/>
        </w:rPr>
        <w:t xml:space="preserve"> </w:t>
      </w:r>
      <w:r>
        <w:rPr>
          <w:i/>
          <w:sz w:val="24"/>
        </w:rPr>
        <w:t>vivir</w:t>
      </w:r>
      <w:r>
        <w:rPr>
          <w:i/>
          <w:spacing w:val="-7"/>
          <w:sz w:val="24"/>
        </w:rPr>
        <w:t xml:space="preserve"> </w:t>
      </w:r>
      <w:r>
        <w:rPr>
          <w:i/>
          <w:sz w:val="24"/>
        </w:rPr>
        <w:t>bajo</w:t>
      </w:r>
      <w:r>
        <w:rPr>
          <w:i/>
          <w:spacing w:val="-10"/>
          <w:sz w:val="24"/>
        </w:rPr>
        <w:t xml:space="preserve"> </w:t>
      </w:r>
      <w:r>
        <w:rPr>
          <w:i/>
          <w:sz w:val="24"/>
        </w:rPr>
        <w:t>exclusión</w:t>
      </w:r>
      <w:r>
        <w:rPr>
          <w:i/>
          <w:spacing w:val="-11"/>
          <w:sz w:val="24"/>
        </w:rPr>
        <w:t xml:space="preserve"> </w:t>
      </w:r>
      <w:r>
        <w:rPr>
          <w:i/>
          <w:sz w:val="24"/>
        </w:rPr>
        <w:t>y</w:t>
      </w:r>
      <w:r>
        <w:rPr>
          <w:i/>
          <w:spacing w:val="-8"/>
          <w:sz w:val="24"/>
        </w:rPr>
        <w:t xml:space="preserve"> </w:t>
      </w:r>
      <w:r>
        <w:rPr>
          <w:i/>
          <w:sz w:val="24"/>
        </w:rPr>
        <w:t>marginalidad,</w:t>
      </w:r>
      <w:r>
        <w:rPr>
          <w:i/>
          <w:spacing w:val="-9"/>
          <w:sz w:val="24"/>
        </w:rPr>
        <w:t xml:space="preserve"> </w:t>
      </w:r>
      <w:r>
        <w:rPr>
          <w:i/>
          <w:sz w:val="24"/>
        </w:rPr>
        <w:t>en</w:t>
      </w:r>
      <w:r>
        <w:rPr>
          <w:i/>
          <w:spacing w:val="-11"/>
          <w:sz w:val="24"/>
        </w:rPr>
        <w:t xml:space="preserve"> </w:t>
      </w:r>
      <w:r>
        <w:rPr>
          <w:i/>
          <w:sz w:val="24"/>
        </w:rPr>
        <w:t>una</w:t>
      </w:r>
    </w:p>
    <w:p w14:paraId="10D77F67" w14:textId="77777777" w:rsidR="000E52B0" w:rsidRDefault="000E52B0">
      <w:pPr>
        <w:jc w:val="both"/>
        <w:rPr>
          <w:i/>
          <w:sz w:val="24"/>
        </w:rPr>
        <w:sectPr w:rsidR="000E52B0">
          <w:pgSz w:w="11910" w:h="16840"/>
          <w:pgMar w:top="1340" w:right="720" w:bottom="1180" w:left="720" w:header="0" w:footer="995" w:gutter="0"/>
          <w:cols w:space="720"/>
        </w:sectPr>
      </w:pPr>
    </w:p>
    <w:p w14:paraId="363F5987" w14:textId="77777777" w:rsidR="000E52B0" w:rsidRDefault="00F60D74">
      <w:pPr>
        <w:spacing w:before="83"/>
        <w:ind w:left="720" w:right="725"/>
        <w:jc w:val="both"/>
        <w:rPr>
          <w:i/>
          <w:sz w:val="24"/>
        </w:rPr>
      </w:pPr>
      <w:r>
        <w:rPr>
          <w:i/>
          <w:sz w:val="24"/>
        </w:rPr>
        <w:lastRenderedPageBreak/>
        <w:t>forma</w:t>
      </w:r>
      <w:r>
        <w:rPr>
          <w:i/>
          <w:spacing w:val="-7"/>
          <w:sz w:val="24"/>
        </w:rPr>
        <w:t xml:space="preserve"> </w:t>
      </w:r>
      <w:r>
        <w:rPr>
          <w:i/>
          <w:sz w:val="24"/>
        </w:rPr>
        <w:t>de</w:t>
      </w:r>
      <w:r>
        <w:rPr>
          <w:i/>
          <w:spacing w:val="-6"/>
          <w:sz w:val="24"/>
        </w:rPr>
        <w:t xml:space="preserve"> </w:t>
      </w:r>
      <w:r>
        <w:rPr>
          <w:i/>
          <w:sz w:val="24"/>
        </w:rPr>
        <w:t>auto</w:t>
      </w:r>
      <w:r>
        <w:rPr>
          <w:i/>
          <w:spacing w:val="-7"/>
          <w:sz w:val="24"/>
        </w:rPr>
        <w:t xml:space="preserve"> </w:t>
      </w:r>
      <w:proofErr w:type="spellStart"/>
      <w:r>
        <w:rPr>
          <w:i/>
          <w:sz w:val="24"/>
        </w:rPr>
        <w:t>invisibilización</w:t>
      </w:r>
      <w:proofErr w:type="spellEnd"/>
      <w:r>
        <w:rPr>
          <w:i/>
          <w:sz w:val="24"/>
        </w:rPr>
        <w:t>,</w:t>
      </w:r>
      <w:r>
        <w:rPr>
          <w:i/>
          <w:spacing w:val="-6"/>
          <w:sz w:val="24"/>
        </w:rPr>
        <w:t xml:space="preserve"> </w:t>
      </w:r>
      <w:r>
        <w:rPr>
          <w:i/>
          <w:sz w:val="24"/>
        </w:rPr>
        <w:t>y</w:t>
      </w:r>
      <w:r>
        <w:rPr>
          <w:i/>
          <w:spacing w:val="-4"/>
          <w:sz w:val="24"/>
        </w:rPr>
        <w:t xml:space="preserve"> </w:t>
      </w:r>
      <w:r>
        <w:rPr>
          <w:i/>
          <w:sz w:val="24"/>
        </w:rPr>
        <w:t>durante</w:t>
      </w:r>
      <w:r>
        <w:rPr>
          <w:i/>
          <w:spacing w:val="-4"/>
          <w:sz w:val="24"/>
        </w:rPr>
        <w:t xml:space="preserve"> </w:t>
      </w:r>
      <w:r>
        <w:rPr>
          <w:i/>
          <w:sz w:val="24"/>
        </w:rPr>
        <w:t>mucho</w:t>
      </w:r>
      <w:r>
        <w:rPr>
          <w:i/>
          <w:spacing w:val="-7"/>
          <w:sz w:val="24"/>
        </w:rPr>
        <w:t xml:space="preserve"> </w:t>
      </w:r>
      <w:r>
        <w:rPr>
          <w:i/>
          <w:sz w:val="24"/>
        </w:rPr>
        <w:t>tiempo,</w:t>
      </w:r>
      <w:r>
        <w:rPr>
          <w:i/>
          <w:spacing w:val="-8"/>
          <w:sz w:val="24"/>
        </w:rPr>
        <w:t xml:space="preserve"> </w:t>
      </w:r>
      <w:r>
        <w:rPr>
          <w:i/>
          <w:sz w:val="24"/>
        </w:rPr>
        <w:t>siglos</w:t>
      </w:r>
      <w:r>
        <w:rPr>
          <w:i/>
          <w:spacing w:val="-8"/>
          <w:sz w:val="24"/>
        </w:rPr>
        <w:t xml:space="preserve"> </w:t>
      </w:r>
      <w:r>
        <w:rPr>
          <w:i/>
          <w:sz w:val="24"/>
        </w:rPr>
        <w:t>incluso,</w:t>
      </w:r>
      <w:r>
        <w:rPr>
          <w:i/>
          <w:spacing w:val="-6"/>
          <w:sz w:val="24"/>
        </w:rPr>
        <w:t xml:space="preserve"> </w:t>
      </w:r>
      <w:r>
        <w:rPr>
          <w:i/>
          <w:sz w:val="24"/>
        </w:rPr>
        <w:t>han sido testigos mudos de diversos procesos que se han producido en la historia social y política del país.”</w:t>
      </w:r>
    </w:p>
    <w:p w14:paraId="375A5D7B" w14:textId="77777777" w:rsidR="000E52B0" w:rsidRDefault="00F60D74">
      <w:pPr>
        <w:pStyle w:val="Textoindependiente"/>
        <w:spacing w:before="159"/>
        <w:ind w:right="715"/>
        <w:jc w:val="both"/>
      </w:pPr>
      <w:r>
        <w:t>De acuerdo a todo lo expuesto, el Ministerio del Igualdad y Equidad, a través de la Dirección para la Igualdad y la Equidad de Comunidades Negras, Afrodescendientes, Raizales y Palenqueras, Dirección para la Igualdad</w:t>
      </w:r>
      <w:r>
        <w:rPr>
          <w:spacing w:val="-6"/>
        </w:rPr>
        <w:t xml:space="preserve"> </w:t>
      </w:r>
      <w:r>
        <w:t>y</w:t>
      </w:r>
      <w:r>
        <w:rPr>
          <w:spacing w:val="-4"/>
        </w:rPr>
        <w:t xml:space="preserve"> </w:t>
      </w:r>
      <w:r>
        <w:t>la</w:t>
      </w:r>
      <w:r>
        <w:rPr>
          <w:spacing w:val="-4"/>
        </w:rPr>
        <w:t xml:space="preserve"> </w:t>
      </w:r>
      <w:r>
        <w:t>Equidad</w:t>
      </w:r>
      <w:r>
        <w:rPr>
          <w:spacing w:val="-6"/>
        </w:rPr>
        <w:t xml:space="preserve"> </w:t>
      </w:r>
      <w:r>
        <w:t>de</w:t>
      </w:r>
      <w:r>
        <w:rPr>
          <w:spacing w:val="-4"/>
        </w:rPr>
        <w:t xml:space="preserve"> </w:t>
      </w:r>
      <w:r>
        <w:t>Pueblos</w:t>
      </w:r>
      <w:r>
        <w:rPr>
          <w:spacing w:val="-5"/>
        </w:rPr>
        <w:t xml:space="preserve"> </w:t>
      </w:r>
      <w:r>
        <w:t>Indígenas</w:t>
      </w:r>
      <w:r>
        <w:rPr>
          <w:spacing w:val="-6"/>
        </w:rPr>
        <w:t xml:space="preserve"> </w:t>
      </w:r>
      <w:r>
        <w:t>y</w:t>
      </w:r>
      <w:r>
        <w:rPr>
          <w:spacing w:val="-6"/>
        </w:rPr>
        <w:t xml:space="preserve"> </w:t>
      </w:r>
      <w:r>
        <w:t>la</w:t>
      </w:r>
      <w:r>
        <w:rPr>
          <w:spacing w:val="-2"/>
        </w:rPr>
        <w:t xml:space="preserve"> </w:t>
      </w:r>
      <w:r>
        <w:t>Dirección</w:t>
      </w:r>
      <w:r>
        <w:rPr>
          <w:spacing w:val="-3"/>
        </w:rPr>
        <w:t xml:space="preserve"> </w:t>
      </w:r>
      <w:r>
        <w:t>para</w:t>
      </w:r>
      <w:r>
        <w:rPr>
          <w:spacing w:val="-5"/>
        </w:rPr>
        <w:t xml:space="preserve"> </w:t>
      </w:r>
      <w:r>
        <w:t>la</w:t>
      </w:r>
      <w:r>
        <w:rPr>
          <w:spacing w:val="-6"/>
        </w:rPr>
        <w:t xml:space="preserve"> </w:t>
      </w:r>
      <w:r>
        <w:t xml:space="preserve">Igualdad y la Equidad del Pueblo </w:t>
      </w:r>
      <w:proofErr w:type="spellStart"/>
      <w:r>
        <w:t>Rrom</w:t>
      </w:r>
      <w:proofErr w:type="spellEnd"/>
      <w:r>
        <w:t xml:space="preserve"> pretende, en términos generales, adoptar y ejecutar políticas, planes, programas y proyectos orientados a la superación de brechas de</w:t>
      </w:r>
      <w:r>
        <w:rPr>
          <w:spacing w:val="40"/>
        </w:rPr>
        <w:t xml:space="preserve"> </w:t>
      </w:r>
      <w:r>
        <w:t>desigualdad, inequidad y el racismo contra las comunidades</w:t>
      </w:r>
      <w:r>
        <w:rPr>
          <w:spacing w:val="-9"/>
        </w:rPr>
        <w:t xml:space="preserve"> </w:t>
      </w:r>
      <w:r>
        <w:t>Indígenas,</w:t>
      </w:r>
      <w:r>
        <w:rPr>
          <w:spacing w:val="-9"/>
        </w:rPr>
        <w:t xml:space="preserve"> </w:t>
      </w:r>
      <w:r>
        <w:t>Negras,</w:t>
      </w:r>
      <w:r>
        <w:rPr>
          <w:spacing w:val="-7"/>
        </w:rPr>
        <w:t xml:space="preserve"> </w:t>
      </w:r>
      <w:r>
        <w:t>Afrodescendientes,</w:t>
      </w:r>
      <w:r>
        <w:rPr>
          <w:spacing w:val="-7"/>
        </w:rPr>
        <w:t xml:space="preserve"> </w:t>
      </w:r>
      <w:r>
        <w:t>Raizales,</w:t>
      </w:r>
      <w:r>
        <w:rPr>
          <w:spacing w:val="-9"/>
        </w:rPr>
        <w:t xml:space="preserve"> </w:t>
      </w:r>
      <w:r>
        <w:t xml:space="preserve">Palenqueras y </w:t>
      </w:r>
      <w:proofErr w:type="spellStart"/>
      <w:r>
        <w:t>Rrom</w:t>
      </w:r>
      <w:proofErr w:type="spellEnd"/>
      <w:r>
        <w:t>, propiciar la incorporación de un enfoque que reconozca positivamente las diferencias de las comunidades étnicas en la política pública</w:t>
      </w:r>
      <w:r>
        <w:rPr>
          <w:spacing w:val="-4"/>
        </w:rPr>
        <w:t xml:space="preserve"> </w:t>
      </w:r>
      <w:r>
        <w:t>de</w:t>
      </w:r>
      <w:r>
        <w:rPr>
          <w:spacing w:val="-4"/>
        </w:rPr>
        <w:t xml:space="preserve"> </w:t>
      </w:r>
      <w:r>
        <w:t>especiales</w:t>
      </w:r>
      <w:r>
        <w:rPr>
          <w:spacing w:val="-4"/>
        </w:rPr>
        <w:t xml:space="preserve"> </w:t>
      </w:r>
      <w:r>
        <w:t>sectores,</w:t>
      </w:r>
      <w:r>
        <w:rPr>
          <w:spacing w:val="-6"/>
        </w:rPr>
        <w:t xml:space="preserve"> </w:t>
      </w:r>
      <w:r>
        <w:t>así</w:t>
      </w:r>
      <w:r>
        <w:rPr>
          <w:spacing w:val="-6"/>
        </w:rPr>
        <w:t xml:space="preserve"> </w:t>
      </w:r>
      <w:r>
        <w:t>como</w:t>
      </w:r>
      <w:r>
        <w:rPr>
          <w:spacing w:val="-2"/>
        </w:rPr>
        <w:t xml:space="preserve"> </w:t>
      </w:r>
      <w:r>
        <w:t>brindar</w:t>
      </w:r>
      <w:r>
        <w:rPr>
          <w:spacing w:val="-4"/>
        </w:rPr>
        <w:t xml:space="preserve"> </w:t>
      </w:r>
      <w:r>
        <w:t>asistencias</w:t>
      </w:r>
      <w:r>
        <w:rPr>
          <w:spacing w:val="-3"/>
        </w:rPr>
        <w:t xml:space="preserve"> </w:t>
      </w:r>
      <w:r>
        <w:t>técnicas</w:t>
      </w:r>
      <w:r>
        <w:rPr>
          <w:spacing w:val="-5"/>
        </w:rPr>
        <w:t xml:space="preserve"> </w:t>
      </w:r>
      <w:r>
        <w:t>sobre el tema.</w:t>
      </w:r>
    </w:p>
    <w:p w14:paraId="20C11A24" w14:textId="77777777" w:rsidR="000E52B0" w:rsidRDefault="000E52B0">
      <w:pPr>
        <w:pStyle w:val="Textoindependiente"/>
        <w:spacing w:before="15"/>
        <w:ind w:left="0"/>
      </w:pPr>
    </w:p>
    <w:p w14:paraId="2B14A47B" w14:textId="77777777" w:rsidR="000E52B0" w:rsidRDefault="00F60D74">
      <w:pPr>
        <w:pStyle w:val="Textoindependiente"/>
        <w:jc w:val="both"/>
      </w:pPr>
      <w:bookmarkStart w:id="176" w:name="_bookmark176"/>
      <w:bookmarkEnd w:id="176"/>
      <w:r>
        <w:rPr>
          <w:color w:val="770F47"/>
        </w:rPr>
        <w:t>Campesinas</w:t>
      </w:r>
      <w:r>
        <w:rPr>
          <w:color w:val="770F47"/>
          <w:spacing w:val="-6"/>
        </w:rPr>
        <w:t xml:space="preserve"> </w:t>
      </w:r>
      <w:r>
        <w:rPr>
          <w:color w:val="770F47"/>
        </w:rPr>
        <w:t>y</w:t>
      </w:r>
      <w:r>
        <w:rPr>
          <w:color w:val="770F47"/>
          <w:spacing w:val="-3"/>
        </w:rPr>
        <w:t xml:space="preserve"> </w:t>
      </w:r>
      <w:r>
        <w:rPr>
          <w:color w:val="770F47"/>
          <w:spacing w:val="-2"/>
        </w:rPr>
        <w:t>Campesinos</w:t>
      </w:r>
    </w:p>
    <w:p w14:paraId="51F6CE83" w14:textId="77777777" w:rsidR="000E52B0" w:rsidRDefault="000E52B0">
      <w:pPr>
        <w:pStyle w:val="Textoindependiente"/>
        <w:ind w:left="0"/>
      </w:pPr>
    </w:p>
    <w:p w14:paraId="045D4A8A" w14:textId="77777777" w:rsidR="000E52B0" w:rsidRDefault="00F60D74">
      <w:pPr>
        <w:pStyle w:val="Textoindependiente"/>
        <w:ind w:right="719"/>
        <w:jc w:val="both"/>
      </w:pPr>
      <w:r>
        <w:t>La inequidad y desigualdad campesina se manifiestan en la disparidad de acceso a recursos y oportunidades entre los campesinos y otros sectores de la población. Factores como la inseguridad en la tenencia de tierras, la falta de acceso a servicios básicos y financieros, y la deficiente infraestructura rural contribuyen a estas desigualdades. Como resultado, muchos campesinos enfrentan altos niveles de pobreza, limitadas oportunidades educativas y problemas de salud. Para abordar estas desigualdades, es fundamental implementar reformas que garanticen el acceso equitativo a la tierra, mejorar la infraestructura y desarrollar políticas</w:t>
      </w:r>
      <w:r>
        <w:rPr>
          <w:spacing w:val="-15"/>
        </w:rPr>
        <w:t xml:space="preserve"> </w:t>
      </w:r>
      <w:r>
        <w:t>públicas</w:t>
      </w:r>
      <w:r>
        <w:rPr>
          <w:spacing w:val="-15"/>
        </w:rPr>
        <w:t xml:space="preserve"> </w:t>
      </w:r>
      <w:r>
        <w:t>inclusivas</w:t>
      </w:r>
      <w:r>
        <w:rPr>
          <w:spacing w:val="-15"/>
        </w:rPr>
        <w:t xml:space="preserve"> </w:t>
      </w:r>
      <w:r>
        <w:t>que</w:t>
      </w:r>
      <w:r>
        <w:rPr>
          <w:spacing w:val="-14"/>
        </w:rPr>
        <w:t xml:space="preserve"> </w:t>
      </w:r>
      <w:r>
        <w:t>respondan</w:t>
      </w:r>
      <w:r>
        <w:rPr>
          <w:spacing w:val="-15"/>
        </w:rPr>
        <w:t xml:space="preserve"> </w:t>
      </w:r>
      <w:r>
        <w:t>a</w:t>
      </w:r>
      <w:r>
        <w:rPr>
          <w:spacing w:val="-15"/>
        </w:rPr>
        <w:t xml:space="preserve"> </w:t>
      </w:r>
      <w:r>
        <w:t>las</w:t>
      </w:r>
      <w:r>
        <w:rPr>
          <w:spacing w:val="-15"/>
        </w:rPr>
        <w:t xml:space="preserve"> </w:t>
      </w:r>
      <w:r>
        <w:t>necesidades</w:t>
      </w:r>
      <w:r>
        <w:rPr>
          <w:spacing w:val="-15"/>
        </w:rPr>
        <w:t xml:space="preserve"> </w:t>
      </w:r>
      <w:r>
        <w:t>específicas</w:t>
      </w:r>
      <w:r>
        <w:rPr>
          <w:spacing w:val="-15"/>
        </w:rPr>
        <w:t xml:space="preserve"> </w:t>
      </w:r>
      <w:r>
        <w:t>de las comunidades rurales.</w:t>
      </w:r>
    </w:p>
    <w:p w14:paraId="0A014689" w14:textId="77777777" w:rsidR="000E52B0" w:rsidRDefault="00F60D74">
      <w:pPr>
        <w:spacing w:before="1"/>
        <w:ind w:left="720" w:right="717"/>
        <w:jc w:val="both"/>
        <w:rPr>
          <w:i/>
          <w:sz w:val="24"/>
        </w:rPr>
      </w:pPr>
      <w:r>
        <w:rPr>
          <w:sz w:val="24"/>
        </w:rPr>
        <w:t>Al respecto, la Honorable Corte Constitucional ha realizado diferentes pronunciamientos</w:t>
      </w:r>
      <w:r>
        <w:rPr>
          <w:spacing w:val="-3"/>
          <w:sz w:val="24"/>
        </w:rPr>
        <w:t xml:space="preserve"> </w:t>
      </w:r>
      <w:r>
        <w:rPr>
          <w:sz w:val="24"/>
        </w:rPr>
        <w:t>en</w:t>
      </w:r>
      <w:r>
        <w:rPr>
          <w:spacing w:val="-3"/>
          <w:sz w:val="24"/>
        </w:rPr>
        <w:t xml:space="preserve"> </w:t>
      </w:r>
      <w:r>
        <w:rPr>
          <w:sz w:val="24"/>
        </w:rPr>
        <w:t>relación</w:t>
      </w:r>
      <w:r>
        <w:rPr>
          <w:spacing w:val="-3"/>
          <w:sz w:val="24"/>
        </w:rPr>
        <w:t xml:space="preserve"> </w:t>
      </w:r>
      <w:r>
        <w:rPr>
          <w:sz w:val="24"/>
        </w:rPr>
        <w:t>con</w:t>
      </w:r>
      <w:r>
        <w:rPr>
          <w:spacing w:val="-3"/>
          <w:sz w:val="24"/>
        </w:rPr>
        <w:t xml:space="preserve"> </w:t>
      </w:r>
      <w:r>
        <w:rPr>
          <w:sz w:val="24"/>
        </w:rPr>
        <w:t>la</w:t>
      </w:r>
      <w:r>
        <w:rPr>
          <w:spacing w:val="-3"/>
          <w:sz w:val="24"/>
        </w:rPr>
        <w:t xml:space="preserve"> </w:t>
      </w:r>
      <w:r>
        <w:rPr>
          <w:sz w:val="24"/>
        </w:rPr>
        <w:t>población</w:t>
      </w:r>
      <w:r>
        <w:rPr>
          <w:spacing w:val="-3"/>
          <w:sz w:val="24"/>
        </w:rPr>
        <w:t xml:space="preserve"> </w:t>
      </w:r>
      <w:r>
        <w:rPr>
          <w:sz w:val="24"/>
        </w:rPr>
        <w:t>campesina</w:t>
      </w:r>
      <w:r>
        <w:rPr>
          <w:spacing w:val="-3"/>
          <w:sz w:val="24"/>
        </w:rPr>
        <w:t xml:space="preserve"> </w:t>
      </w:r>
      <w:r>
        <w:rPr>
          <w:sz w:val="24"/>
        </w:rPr>
        <w:t>como</w:t>
      </w:r>
      <w:r>
        <w:rPr>
          <w:spacing w:val="-2"/>
          <w:sz w:val="24"/>
        </w:rPr>
        <w:t xml:space="preserve"> </w:t>
      </w:r>
      <w:r>
        <w:rPr>
          <w:sz w:val="24"/>
        </w:rPr>
        <w:t>sujetos</w:t>
      </w:r>
      <w:r>
        <w:rPr>
          <w:spacing w:val="-3"/>
          <w:sz w:val="24"/>
        </w:rPr>
        <w:t xml:space="preserve"> </w:t>
      </w:r>
      <w:r>
        <w:rPr>
          <w:sz w:val="24"/>
        </w:rPr>
        <w:t xml:space="preserve">de especial protección constitucional. En sentencia T-090 de 2023 (MP José Fernando Reyes Cuartas) advierte que </w:t>
      </w:r>
      <w:r>
        <w:rPr>
          <w:i/>
          <w:sz w:val="24"/>
        </w:rPr>
        <w:t>“(…) el principal objetivo de la constitucionalización de la propiedad agraria fue mejorar el ingreso y la calidad de vida de la</w:t>
      </w:r>
      <w:r>
        <w:rPr>
          <w:i/>
          <w:spacing w:val="-1"/>
          <w:sz w:val="24"/>
        </w:rPr>
        <w:t xml:space="preserve"> </w:t>
      </w:r>
      <w:r>
        <w:rPr>
          <w:i/>
          <w:sz w:val="24"/>
        </w:rPr>
        <w:t>población campesina, dada su condición</w:t>
      </w:r>
      <w:r>
        <w:rPr>
          <w:i/>
          <w:spacing w:val="-1"/>
          <w:sz w:val="24"/>
        </w:rPr>
        <w:t xml:space="preserve"> </w:t>
      </w:r>
      <w:r>
        <w:rPr>
          <w:i/>
          <w:sz w:val="24"/>
        </w:rPr>
        <w:t>de sujeto de especial</w:t>
      </w:r>
      <w:r>
        <w:rPr>
          <w:i/>
          <w:spacing w:val="-9"/>
          <w:sz w:val="24"/>
        </w:rPr>
        <w:t xml:space="preserve"> </w:t>
      </w:r>
      <w:r>
        <w:rPr>
          <w:i/>
          <w:sz w:val="24"/>
        </w:rPr>
        <w:t>protección</w:t>
      </w:r>
      <w:r>
        <w:rPr>
          <w:i/>
          <w:spacing w:val="-5"/>
          <w:sz w:val="24"/>
        </w:rPr>
        <w:t xml:space="preserve"> </w:t>
      </w:r>
      <w:r>
        <w:rPr>
          <w:i/>
          <w:sz w:val="24"/>
        </w:rPr>
        <w:t>constitucional.</w:t>
      </w:r>
      <w:r>
        <w:rPr>
          <w:i/>
          <w:spacing w:val="-5"/>
          <w:sz w:val="24"/>
        </w:rPr>
        <w:t xml:space="preserve"> </w:t>
      </w:r>
      <w:r>
        <w:rPr>
          <w:i/>
          <w:sz w:val="24"/>
        </w:rPr>
        <w:t>Sobre</w:t>
      </w:r>
      <w:r>
        <w:rPr>
          <w:i/>
          <w:spacing w:val="-6"/>
          <w:sz w:val="24"/>
        </w:rPr>
        <w:t xml:space="preserve"> </w:t>
      </w:r>
      <w:r>
        <w:rPr>
          <w:i/>
          <w:sz w:val="24"/>
        </w:rPr>
        <w:t>este</w:t>
      </w:r>
      <w:r>
        <w:rPr>
          <w:i/>
          <w:spacing w:val="-6"/>
          <w:sz w:val="24"/>
        </w:rPr>
        <w:t xml:space="preserve"> </w:t>
      </w:r>
      <w:r>
        <w:rPr>
          <w:i/>
          <w:sz w:val="24"/>
        </w:rPr>
        <w:t>punto</w:t>
      </w:r>
      <w:r>
        <w:rPr>
          <w:i/>
          <w:spacing w:val="-7"/>
          <w:sz w:val="24"/>
        </w:rPr>
        <w:t xml:space="preserve"> </w:t>
      </w:r>
      <w:r>
        <w:rPr>
          <w:i/>
          <w:sz w:val="24"/>
        </w:rPr>
        <w:t>la</w:t>
      </w:r>
      <w:r>
        <w:rPr>
          <w:i/>
          <w:spacing w:val="-7"/>
          <w:sz w:val="24"/>
        </w:rPr>
        <w:t xml:space="preserve"> </w:t>
      </w:r>
      <w:r>
        <w:rPr>
          <w:i/>
          <w:sz w:val="24"/>
        </w:rPr>
        <w:t>Corte</w:t>
      </w:r>
      <w:r>
        <w:rPr>
          <w:i/>
          <w:spacing w:val="-6"/>
          <w:sz w:val="24"/>
        </w:rPr>
        <w:t xml:space="preserve"> </w:t>
      </w:r>
      <w:r>
        <w:rPr>
          <w:i/>
          <w:sz w:val="24"/>
        </w:rPr>
        <w:t>explicó</w:t>
      </w:r>
      <w:r>
        <w:rPr>
          <w:i/>
          <w:spacing w:val="-7"/>
          <w:sz w:val="24"/>
        </w:rPr>
        <w:t xml:space="preserve"> </w:t>
      </w:r>
      <w:r>
        <w:rPr>
          <w:i/>
          <w:sz w:val="24"/>
        </w:rPr>
        <w:t>que</w:t>
      </w:r>
      <w:r>
        <w:rPr>
          <w:i/>
          <w:spacing w:val="-6"/>
          <w:sz w:val="24"/>
        </w:rPr>
        <w:t xml:space="preserve"> </w:t>
      </w:r>
      <w:r>
        <w:rPr>
          <w:i/>
          <w:sz w:val="24"/>
        </w:rPr>
        <w:t>la población campesina ha atravesado múltiples desventajas que afectan el acceso a condiciones de vida dignas, por lo que es necesaria la implementación</w:t>
      </w:r>
      <w:r>
        <w:rPr>
          <w:i/>
          <w:spacing w:val="-18"/>
          <w:sz w:val="24"/>
        </w:rPr>
        <w:t xml:space="preserve"> </w:t>
      </w:r>
      <w:r>
        <w:rPr>
          <w:i/>
          <w:sz w:val="24"/>
        </w:rPr>
        <w:t>de</w:t>
      </w:r>
      <w:r>
        <w:rPr>
          <w:i/>
          <w:spacing w:val="-18"/>
          <w:sz w:val="24"/>
        </w:rPr>
        <w:t xml:space="preserve"> </w:t>
      </w:r>
      <w:r>
        <w:rPr>
          <w:i/>
          <w:sz w:val="24"/>
        </w:rPr>
        <w:t>acciones</w:t>
      </w:r>
      <w:r>
        <w:rPr>
          <w:i/>
          <w:spacing w:val="-20"/>
          <w:sz w:val="24"/>
        </w:rPr>
        <w:t xml:space="preserve"> </w:t>
      </w:r>
      <w:r>
        <w:rPr>
          <w:i/>
          <w:sz w:val="24"/>
        </w:rPr>
        <w:t>afirmativas</w:t>
      </w:r>
      <w:r>
        <w:rPr>
          <w:i/>
          <w:spacing w:val="-18"/>
          <w:sz w:val="24"/>
        </w:rPr>
        <w:t xml:space="preserve"> </w:t>
      </w:r>
      <w:r>
        <w:rPr>
          <w:i/>
          <w:sz w:val="24"/>
        </w:rPr>
        <w:t>que</w:t>
      </w:r>
      <w:r>
        <w:rPr>
          <w:i/>
          <w:spacing w:val="-18"/>
          <w:sz w:val="24"/>
        </w:rPr>
        <w:t xml:space="preserve"> </w:t>
      </w:r>
      <w:r>
        <w:rPr>
          <w:i/>
          <w:sz w:val="24"/>
        </w:rPr>
        <w:t>contribuyan</w:t>
      </w:r>
      <w:r>
        <w:rPr>
          <w:i/>
          <w:spacing w:val="-20"/>
          <w:sz w:val="24"/>
        </w:rPr>
        <w:t xml:space="preserve"> </w:t>
      </w:r>
      <w:r>
        <w:rPr>
          <w:i/>
          <w:sz w:val="24"/>
        </w:rPr>
        <w:t>a</w:t>
      </w:r>
      <w:r>
        <w:rPr>
          <w:i/>
          <w:spacing w:val="-17"/>
          <w:sz w:val="24"/>
        </w:rPr>
        <w:t xml:space="preserve"> </w:t>
      </w:r>
      <w:r>
        <w:rPr>
          <w:i/>
          <w:sz w:val="24"/>
        </w:rPr>
        <w:t>la</w:t>
      </w:r>
      <w:r>
        <w:rPr>
          <w:i/>
          <w:spacing w:val="-19"/>
          <w:sz w:val="24"/>
        </w:rPr>
        <w:t xml:space="preserve"> </w:t>
      </w:r>
      <w:r>
        <w:rPr>
          <w:i/>
          <w:sz w:val="24"/>
        </w:rPr>
        <w:t>superación</w:t>
      </w:r>
      <w:r>
        <w:rPr>
          <w:i/>
          <w:spacing w:val="-20"/>
          <w:sz w:val="24"/>
        </w:rPr>
        <w:t xml:space="preserve"> </w:t>
      </w:r>
      <w:r>
        <w:rPr>
          <w:i/>
          <w:sz w:val="24"/>
        </w:rPr>
        <w:t>de tales dificultades (…).</w:t>
      </w:r>
    </w:p>
    <w:p w14:paraId="6DFBA44C" w14:textId="77777777" w:rsidR="000E52B0" w:rsidRDefault="00F60D74">
      <w:pPr>
        <w:pStyle w:val="Textoindependiente"/>
        <w:spacing w:before="162"/>
        <w:ind w:right="716"/>
        <w:jc w:val="both"/>
      </w:pPr>
      <w:r>
        <w:t>Así mismo, este Tribunal Constitucional ha señalado que esta especial protección</w:t>
      </w:r>
      <w:r>
        <w:rPr>
          <w:spacing w:val="-10"/>
        </w:rPr>
        <w:t xml:space="preserve"> </w:t>
      </w:r>
      <w:r>
        <w:t>atiende</w:t>
      </w:r>
      <w:r>
        <w:rPr>
          <w:spacing w:val="-9"/>
        </w:rPr>
        <w:t xml:space="preserve"> </w:t>
      </w:r>
      <w:r>
        <w:t>a</w:t>
      </w:r>
      <w:r>
        <w:rPr>
          <w:spacing w:val="-8"/>
        </w:rPr>
        <w:t xml:space="preserve"> </w:t>
      </w:r>
      <w:r>
        <w:t>las</w:t>
      </w:r>
      <w:r>
        <w:rPr>
          <w:spacing w:val="-8"/>
        </w:rPr>
        <w:t xml:space="preserve"> </w:t>
      </w:r>
      <w:r>
        <w:t>condiciones</w:t>
      </w:r>
      <w:r>
        <w:rPr>
          <w:spacing w:val="-8"/>
        </w:rPr>
        <w:t xml:space="preserve"> </w:t>
      </w:r>
      <w:r>
        <w:t>de</w:t>
      </w:r>
      <w:r>
        <w:rPr>
          <w:spacing w:val="-6"/>
        </w:rPr>
        <w:t xml:space="preserve"> </w:t>
      </w:r>
      <w:r>
        <w:t>vulnerabilidad</w:t>
      </w:r>
      <w:r>
        <w:rPr>
          <w:spacing w:val="-8"/>
        </w:rPr>
        <w:t xml:space="preserve"> </w:t>
      </w:r>
      <w:r>
        <w:t>y</w:t>
      </w:r>
      <w:r>
        <w:rPr>
          <w:spacing w:val="-10"/>
        </w:rPr>
        <w:t xml:space="preserve"> </w:t>
      </w:r>
      <w:r>
        <w:t>discriminación</w:t>
      </w:r>
      <w:r>
        <w:rPr>
          <w:spacing w:val="-8"/>
        </w:rPr>
        <w:t xml:space="preserve"> </w:t>
      </w:r>
      <w:r>
        <w:t>que los</w:t>
      </w:r>
      <w:r>
        <w:rPr>
          <w:spacing w:val="-3"/>
        </w:rPr>
        <w:t xml:space="preserve"> </w:t>
      </w:r>
      <w:r>
        <w:t>han</w:t>
      </w:r>
      <w:r>
        <w:rPr>
          <w:spacing w:val="-3"/>
        </w:rPr>
        <w:t xml:space="preserve"> </w:t>
      </w:r>
      <w:r>
        <w:t>afectado</w:t>
      </w:r>
      <w:r>
        <w:rPr>
          <w:spacing w:val="-3"/>
        </w:rPr>
        <w:t xml:space="preserve"> </w:t>
      </w:r>
      <w:r>
        <w:t>históricamente,</w:t>
      </w:r>
      <w:r>
        <w:rPr>
          <w:spacing w:val="-4"/>
        </w:rPr>
        <w:t xml:space="preserve"> </w:t>
      </w:r>
      <w:r>
        <w:t>de</w:t>
      </w:r>
      <w:r>
        <w:rPr>
          <w:spacing w:val="-1"/>
        </w:rPr>
        <w:t xml:space="preserve"> </w:t>
      </w:r>
      <w:r>
        <w:t>una</w:t>
      </w:r>
      <w:r>
        <w:rPr>
          <w:spacing w:val="-1"/>
        </w:rPr>
        <w:t xml:space="preserve"> </w:t>
      </w:r>
      <w:r>
        <w:t>parte,</w:t>
      </w:r>
      <w:r>
        <w:rPr>
          <w:spacing w:val="-4"/>
        </w:rPr>
        <w:t xml:space="preserve"> </w:t>
      </w:r>
      <w:r>
        <w:t>y,</w:t>
      </w:r>
      <w:r>
        <w:rPr>
          <w:spacing w:val="-4"/>
        </w:rPr>
        <w:t xml:space="preserve"> </w:t>
      </w:r>
      <w:r>
        <w:t>de</w:t>
      </w:r>
      <w:r>
        <w:rPr>
          <w:spacing w:val="-3"/>
        </w:rPr>
        <w:t xml:space="preserve"> </w:t>
      </w:r>
      <w:r>
        <w:t>la</w:t>
      </w:r>
      <w:r>
        <w:rPr>
          <w:spacing w:val="-3"/>
        </w:rPr>
        <w:t xml:space="preserve"> </w:t>
      </w:r>
      <w:r>
        <w:t>otra,</w:t>
      </w:r>
      <w:r>
        <w:rPr>
          <w:spacing w:val="-2"/>
        </w:rPr>
        <w:t xml:space="preserve"> </w:t>
      </w:r>
      <w:r>
        <w:t>a</w:t>
      </w:r>
      <w:r>
        <w:rPr>
          <w:spacing w:val="-4"/>
        </w:rPr>
        <w:t xml:space="preserve"> </w:t>
      </w:r>
      <w:r>
        <w:t>los</w:t>
      </w:r>
      <w:r>
        <w:rPr>
          <w:spacing w:val="-3"/>
        </w:rPr>
        <w:t xml:space="preserve"> </w:t>
      </w:r>
      <w:r>
        <w:t>cambios profundos que se están produciendo, tanto en materia de producción de alimentos, como en los usos y la explotación de los recursos naturales. También</w:t>
      </w:r>
      <w:r>
        <w:rPr>
          <w:spacing w:val="-11"/>
        </w:rPr>
        <w:t xml:space="preserve"> </w:t>
      </w:r>
      <w:r>
        <w:t>ha</w:t>
      </w:r>
      <w:r>
        <w:rPr>
          <w:spacing w:val="-10"/>
        </w:rPr>
        <w:t xml:space="preserve"> </w:t>
      </w:r>
      <w:r>
        <w:t>precisado</w:t>
      </w:r>
      <w:r>
        <w:rPr>
          <w:spacing w:val="-11"/>
        </w:rPr>
        <w:t xml:space="preserve"> </w:t>
      </w:r>
      <w:r>
        <w:t>que</w:t>
      </w:r>
      <w:r>
        <w:rPr>
          <w:spacing w:val="-9"/>
        </w:rPr>
        <w:t xml:space="preserve"> </w:t>
      </w:r>
      <w:r>
        <w:t>nuestro</w:t>
      </w:r>
      <w:r>
        <w:rPr>
          <w:spacing w:val="-10"/>
        </w:rPr>
        <w:t xml:space="preserve"> </w:t>
      </w:r>
      <w:r>
        <w:t>ordenamiento</w:t>
      </w:r>
      <w:r>
        <w:rPr>
          <w:spacing w:val="-10"/>
        </w:rPr>
        <w:t xml:space="preserve"> </w:t>
      </w:r>
      <w:r>
        <w:t>jurídico</w:t>
      </w:r>
      <w:r>
        <w:rPr>
          <w:spacing w:val="-11"/>
        </w:rPr>
        <w:t xml:space="preserve"> </w:t>
      </w:r>
      <w:r>
        <w:t>no</w:t>
      </w:r>
      <w:r>
        <w:rPr>
          <w:spacing w:val="-10"/>
        </w:rPr>
        <w:t xml:space="preserve"> </w:t>
      </w:r>
      <w:r>
        <w:t>reconoce</w:t>
      </w:r>
      <w:r>
        <w:rPr>
          <w:spacing w:val="-10"/>
        </w:rPr>
        <w:t xml:space="preserve"> </w:t>
      </w:r>
      <w:r>
        <w:t>a</w:t>
      </w:r>
      <w:r>
        <w:rPr>
          <w:spacing w:val="-10"/>
        </w:rPr>
        <w:t xml:space="preserve"> </w:t>
      </w:r>
      <w:r>
        <w:rPr>
          <w:spacing w:val="-5"/>
        </w:rPr>
        <w:t>los</w:t>
      </w:r>
    </w:p>
    <w:p w14:paraId="69DAF018" w14:textId="77777777" w:rsidR="000E52B0" w:rsidRDefault="000E52B0">
      <w:pPr>
        <w:pStyle w:val="Textoindependiente"/>
        <w:jc w:val="both"/>
        <w:sectPr w:rsidR="000E52B0">
          <w:pgSz w:w="11910" w:h="16840"/>
          <w:pgMar w:top="1340" w:right="720" w:bottom="1180" w:left="720" w:header="0" w:footer="995" w:gutter="0"/>
          <w:cols w:space="720"/>
        </w:sectPr>
      </w:pPr>
    </w:p>
    <w:p w14:paraId="0F39A58F" w14:textId="77777777" w:rsidR="000E52B0" w:rsidRDefault="00F60D74">
      <w:pPr>
        <w:pStyle w:val="Textoindependiente"/>
        <w:spacing w:before="83"/>
        <w:ind w:right="723"/>
        <w:jc w:val="both"/>
      </w:pPr>
      <w:r>
        <w:lastRenderedPageBreak/>
        <w:t>campesinos y trabajadores agrarios, per se, como sujetos de especial protección constitucional. Sin embargo, a nivel jurisprudencial se han establecido algunos criterios bajo los cuales adquieren esta condición.</w:t>
      </w:r>
    </w:p>
    <w:p w14:paraId="31911473" w14:textId="77777777" w:rsidR="000E52B0" w:rsidRDefault="00F60D74">
      <w:pPr>
        <w:pStyle w:val="Textoindependiente"/>
        <w:spacing w:before="159"/>
        <w:ind w:right="718"/>
        <w:jc w:val="both"/>
      </w:pPr>
      <w:r>
        <w:t>Atendiendo a lo antes planteado, Dirección para la Igualdad y la Equidad del Campesinado perteneciente al Viceministerio de Pueblos Étnicos y Campesinos</w:t>
      </w:r>
      <w:r>
        <w:rPr>
          <w:spacing w:val="-8"/>
        </w:rPr>
        <w:t xml:space="preserve"> </w:t>
      </w:r>
      <w:r>
        <w:t>del</w:t>
      </w:r>
      <w:r>
        <w:rPr>
          <w:spacing w:val="-6"/>
        </w:rPr>
        <w:t xml:space="preserve"> </w:t>
      </w:r>
      <w:r>
        <w:t>Ministerio</w:t>
      </w:r>
      <w:r>
        <w:rPr>
          <w:spacing w:val="-7"/>
        </w:rPr>
        <w:t xml:space="preserve"> </w:t>
      </w:r>
      <w:r>
        <w:t>de</w:t>
      </w:r>
      <w:r>
        <w:rPr>
          <w:spacing w:val="-7"/>
        </w:rPr>
        <w:t xml:space="preserve"> </w:t>
      </w:r>
      <w:r>
        <w:t>la</w:t>
      </w:r>
      <w:r>
        <w:rPr>
          <w:spacing w:val="-8"/>
        </w:rPr>
        <w:t xml:space="preserve"> </w:t>
      </w:r>
      <w:r>
        <w:t>Igualdad</w:t>
      </w:r>
      <w:r>
        <w:rPr>
          <w:spacing w:val="-8"/>
        </w:rPr>
        <w:t xml:space="preserve"> </w:t>
      </w:r>
      <w:r>
        <w:t>y</w:t>
      </w:r>
      <w:r>
        <w:rPr>
          <w:spacing w:val="-8"/>
        </w:rPr>
        <w:t xml:space="preserve"> </w:t>
      </w:r>
      <w:r>
        <w:t>la</w:t>
      </w:r>
      <w:r>
        <w:rPr>
          <w:spacing w:val="-6"/>
        </w:rPr>
        <w:t xml:space="preserve"> </w:t>
      </w:r>
      <w:r>
        <w:t>Equidad,</w:t>
      </w:r>
      <w:r>
        <w:rPr>
          <w:spacing w:val="40"/>
        </w:rPr>
        <w:t xml:space="preserve"> </w:t>
      </w:r>
      <w:r>
        <w:t>en</w:t>
      </w:r>
      <w:r>
        <w:rPr>
          <w:spacing w:val="-8"/>
        </w:rPr>
        <w:t xml:space="preserve"> </w:t>
      </w:r>
      <w:r>
        <w:t>la</w:t>
      </w:r>
      <w:r>
        <w:rPr>
          <w:spacing w:val="-8"/>
        </w:rPr>
        <w:t xml:space="preserve"> </w:t>
      </w:r>
      <w:r>
        <w:t>órbita</w:t>
      </w:r>
      <w:r>
        <w:rPr>
          <w:spacing w:val="-8"/>
        </w:rPr>
        <w:t xml:space="preserve"> </w:t>
      </w:r>
      <w:r>
        <w:t>de</w:t>
      </w:r>
      <w:r>
        <w:rPr>
          <w:spacing w:val="40"/>
        </w:rPr>
        <w:t xml:space="preserve"> </w:t>
      </w:r>
      <w:r>
        <w:t>sus competencias tiene como propósito, en términos generales,</w:t>
      </w:r>
      <w:r>
        <w:rPr>
          <w:spacing w:val="40"/>
        </w:rPr>
        <w:t xml:space="preserve"> </w:t>
      </w:r>
      <w:r>
        <w:t>impulsar</w:t>
      </w:r>
      <w:r>
        <w:rPr>
          <w:spacing w:val="40"/>
        </w:rPr>
        <w:t xml:space="preserve"> </w:t>
      </w:r>
      <w:r>
        <w:t>la política pública orientados a la superación de brechas de desigualdad e inequidad</w:t>
      </w:r>
      <w:r>
        <w:rPr>
          <w:spacing w:val="-18"/>
        </w:rPr>
        <w:t xml:space="preserve"> </w:t>
      </w:r>
      <w:r>
        <w:t>del</w:t>
      </w:r>
      <w:r>
        <w:rPr>
          <w:spacing w:val="-18"/>
        </w:rPr>
        <w:t xml:space="preserve"> </w:t>
      </w:r>
      <w:r>
        <w:t>campesinado,</w:t>
      </w:r>
      <w:r>
        <w:rPr>
          <w:spacing w:val="-18"/>
        </w:rPr>
        <w:t xml:space="preserve"> </w:t>
      </w:r>
      <w:r>
        <w:t>brindar</w:t>
      </w:r>
      <w:r>
        <w:rPr>
          <w:spacing w:val="-16"/>
        </w:rPr>
        <w:t xml:space="preserve"> </w:t>
      </w:r>
      <w:r>
        <w:t>asesoría,</w:t>
      </w:r>
      <w:r>
        <w:rPr>
          <w:spacing w:val="-18"/>
        </w:rPr>
        <w:t xml:space="preserve"> </w:t>
      </w:r>
      <w:r>
        <w:t>asistencia</w:t>
      </w:r>
      <w:r>
        <w:rPr>
          <w:spacing w:val="-17"/>
        </w:rPr>
        <w:t xml:space="preserve"> </w:t>
      </w:r>
      <w:r>
        <w:t>técnica</w:t>
      </w:r>
      <w:r>
        <w:rPr>
          <w:spacing w:val="-17"/>
        </w:rPr>
        <w:t xml:space="preserve"> </w:t>
      </w:r>
      <w:r>
        <w:t>y</w:t>
      </w:r>
      <w:r>
        <w:rPr>
          <w:spacing w:val="-17"/>
        </w:rPr>
        <w:t xml:space="preserve"> </w:t>
      </w:r>
      <w:r>
        <w:t>coordinar la</w:t>
      </w:r>
      <w:r>
        <w:rPr>
          <w:spacing w:val="-18"/>
        </w:rPr>
        <w:t xml:space="preserve"> </w:t>
      </w:r>
      <w:r>
        <w:t>transversalización</w:t>
      </w:r>
      <w:r>
        <w:rPr>
          <w:spacing w:val="-19"/>
        </w:rPr>
        <w:t xml:space="preserve"> </w:t>
      </w:r>
      <w:r>
        <w:t>y</w:t>
      </w:r>
      <w:r>
        <w:rPr>
          <w:spacing w:val="-18"/>
        </w:rPr>
        <w:t xml:space="preserve"> </w:t>
      </w:r>
      <w:proofErr w:type="spellStart"/>
      <w:r>
        <w:t>territoria-lización</w:t>
      </w:r>
      <w:proofErr w:type="spellEnd"/>
      <w:r>
        <w:rPr>
          <w:spacing w:val="-16"/>
        </w:rPr>
        <w:t xml:space="preserve"> </w:t>
      </w:r>
      <w:r>
        <w:t>de</w:t>
      </w:r>
      <w:r>
        <w:rPr>
          <w:spacing w:val="-19"/>
        </w:rPr>
        <w:t xml:space="preserve"> </w:t>
      </w:r>
      <w:r>
        <w:t>las</w:t>
      </w:r>
      <w:r>
        <w:rPr>
          <w:spacing w:val="-18"/>
        </w:rPr>
        <w:t xml:space="preserve"> </w:t>
      </w:r>
      <w:r>
        <w:t>políticas</w:t>
      </w:r>
      <w:r>
        <w:rPr>
          <w:spacing w:val="-18"/>
        </w:rPr>
        <w:t xml:space="preserve"> </w:t>
      </w:r>
      <w:r>
        <w:t>públicas</w:t>
      </w:r>
      <w:r>
        <w:rPr>
          <w:spacing w:val="-20"/>
        </w:rPr>
        <w:t xml:space="preserve"> </w:t>
      </w:r>
      <w:r>
        <w:t>en</w:t>
      </w:r>
      <w:r>
        <w:rPr>
          <w:spacing w:val="-14"/>
        </w:rPr>
        <w:t xml:space="preserve"> </w:t>
      </w:r>
      <w:r>
        <w:t>materia de igualdad y equidad de apoyo al campesinado entre otras cosas.</w:t>
      </w:r>
    </w:p>
    <w:p w14:paraId="25CA4DC8" w14:textId="77777777" w:rsidR="000E52B0" w:rsidRDefault="000E52B0">
      <w:pPr>
        <w:pStyle w:val="Textoindependiente"/>
        <w:spacing w:before="39"/>
        <w:ind w:left="0"/>
      </w:pPr>
    </w:p>
    <w:p w14:paraId="5D16A881" w14:textId="77777777" w:rsidR="000E52B0" w:rsidRDefault="00F60D74">
      <w:pPr>
        <w:pStyle w:val="Textoindependiente"/>
        <w:spacing w:before="1"/>
      </w:pPr>
      <w:bookmarkStart w:id="177" w:name="_bookmark177"/>
      <w:bookmarkEnd w:id="177"/>
      <w:r>
        <w:rPr>
          <w:color w:val="770F47"/>
          <w:spacing w:val="-2"/>
        </w:rPr>
        <w:t>Jóvenes</w:t>
      </w:r>
    </w:p>
    <w:p w14:paraId="494B3534" w14:textId="77777777" w:rsidR="000E52B0" w:rsidRDefault="00F60D74">
      <w:pPr>
        <w:pStyle w:val="Textoindependiente"/>
        <w:spacing w:before="291"/>
        <w:ind w:right="717"/>
        <w:jc w:val="both"/>
      </w:pPr>
      <w:r>
        <w:rPr>
          <w:spacing w:val="-2"/>
        </w:rPr>
        <w:t>En</w:t>
      </w:r>
      <w:r>
        <w:rPr>
          <w:spacing w:val="-11"/>
        </w:rPr>
        <w:t xml:space="preserve"> </w:t>
      </w:r>
      <w:r>
        <w:rPr>
          <w:spacing w:val="-2"/>
        </w:rPr>
        <w:t>Colombia,</w:t>
      </w:r>
      <w:r>
        <w:rPr>
          <w:spacing w:val="-7"/>
        </w:rPr>
        <w:t xml:space="preserve"> </w:t>
      </w:r>
      <w:r>
        <w:rPr>
          <w:spacing w:val="-2"/>
        </w:rPr>
        <w:t>los</w:t>
      </w:r>
      <w:r>
        <w:rPr>
          <w:spacing w:val="-6"/>
        </w:rPr>
        <w:t xml:space="preserve"> </w:t>
      </w:r>
      <w:r>
        <w:rPr>
          <w:spacing w:val="-2"/>
        </w:rPr>
        <w:t>jóvenes</w:t>
      </w:r>
      <w:r>
        <w:rPr>
          <w:spacing w:val="-9"/>
        </w:rPr>
        <w:t xml:space="preserve"> </w:t>
      </w:r>
      <w:r>
        <w:rPr>
          <w:spacing w:val="-2"/>
        </w:rPr>
        <w:t>enfrentan</w:t>
      </w:r>
      <w:r>
        <w:rPr>
          <w:spacing w:val="-10"/>
        </w:rPr>
        <w:t xml:space="preserve"> </w:t>
      </w:r>
      <w:r>
        <w:rPr>
          <w:spacing w:val="-2"/>
        </w:rPr>
        <w:t>significativas</w:t>
      </w:r>
      <w:r>
        <w:rPr>
          <w:spacing w:val="-7"/>
        </w:rPr>
        <w:t xml:space="preserve"> </w:t>
      </w:r>
      <w:r>
        <w:rPr>
          <w:spacing w:val="-2"/>
        </w:rPr>
        <w:t>barreras</w:t>
      </w:r>
      <w:r>
        <w:rPr>
          <w:spacing w:val="-9"/>
        </w:rPr>
        <w:t xml:space="preserve"> </w:t>
      </w:r>
      <w:r>
        <w:rPr>
          <w:spacing w:val="-2"/>
        </w:rPr>
        <w:t>de</w:t>
      </w:r>
      <w:r>
        <w:rPr>
          <w:spacing w:val="-9"/>
        </w:rPr>
        <w:t xml:space="preserve"> </w:t>
      </w:r>
      <w:r>
        <w:rPr>
          <w:spacing w:val="-2"/>
        </w:rPr>
        <w:t xml:space="preserve">discriminación </w:t>
      </w:r>
      <w:r>
        <w:t>y segregación que limitan su acceso a la educación y a espacios de participación social. Estas limitaciones no solo restringen el desarrollo de sus capacidades productivas, sino que también dificultan su integración al mercado</w:t>
      </w:r>
      <w:r>
        <w:rPr>
          <w:spacing w:val="-22"/>
        </w:rPr>
        <w:t xml:space="preserve"> </w:t>
      </w:r>
      <w:r>
        <w:t>laboral.</w:t>
      </w:r>
      <w:r>
        <w:rPr>
          <w:spacing w:val="-21"/>
        </w:rPr>
        <w:t xml:space="preserve"> </w:t>
      </w:r>
      <w:r>
        <w:t>Esta</w:t>
      </w:r>
      <w:r>
        <w:rPr>
          <w:spacing w:val="-21"/>
        </w:rPr>
        <w:t xml:space="preserve"> </w:t>
      </w:r>
      <w:r>
        <w:t>situación</w:t>
      </w:r>
      <w:r>
        <w:rPr>
          <w:spacing w:val="-21"/>
        </w:rPr>
        <w:t xml:space="preserve"> </w:t>
      </w:r>
      <w:r>
        <w:t>es</w:t>
      </w:r>
      <w:r>
        <w:rPr>
          <w:spacing w:val="-21"/>
        </w:rPr>
        <w:t xml:space="preserve"> </w:t>
      </w:r>
      <w:r>
        <w:t>especialmente</w:t>
      </w:r>
      <w:r>
        <w:rPr>
          <w:spacing w:val="-21"/>
        </w:rPr>
        <w:t xml:space="preserve"> </w:t>
      </w:r>
      <w:r>
        <w:t>pronunciada</w:t>
      </w:r>
      <w:r>
        <w:rPr>
          <w:spacing w:val="-21"/>
        </w:rPr>
        <w:t xml:space="preserve"> </w:t>
      </w:r>
      <w:r>
        <w:t>en</w:t>
      </w:r>
      <w:r>
        <w:rPr>
          <w:spacing w:val="-21"/>
        </w:rPr>
        <w:t xml:space="preserve"> </w:t>
      </w:r>
      <w:r>
        <w:t>territorios marginados y excluidos, donde las oportunidades son escasas y las condiciones de vida son más precarias. La falta de acceso a recursos y oportunidades</w:t>
      </w:r>
      <w:r>
        <w:rPr>
          <w:spacing w:val="-7"/>
        </w:rPr>
        <w:t xml:space="preserve"> </w:t>
      </w:r>
      <w:r>
        <w:t>adecuada</w:t>
      </w:r>
      <w:r>
        <w:rPr>
          <w:spacing w:val="-6"/>
        </w:rPr>
        <w:t xml:space="preserve"> </w:t>
      </w:r>
      <w:r>
        <w:t>impide</w:t>
      </w:r>
      <w:r>
        <w:rPr>
          <w:spacing w:val="-6"/>
        </w:rPr>
        <w:t xml:space="preserve"> </w:t>
      </w:r>
      <w:r>
        <w:t>que</w:t>
      </w:r>
      <w:r>
        <w:rPr>
          <w:spacing w:val="-6"/>
        </w:rPr>
        <w:t xml:space="preserve"> </w:t>
      </w:r>
      <w:r>
        <w:t>los</w:t>
      </w:r>
      <w:r>
        <w:rPr>
          <w:spacing w:val="-9"/>
        </w:rPr>
        <w:t xml:space="preserve"> </w:t>
      </w:r>
      <w:r>
        <w:t>jóvenes</w:t>
      </w:r>
      <w:r>
        <w:rPr>
          <w:spacing w:val="-9"/>
        </w:rPr>
        <w:t xml:space="preserve"> </w:t>
      </w:r>
      <w:r>
        <w:t>y</w:t>
      </w:r>
      <w:r>
        <w:rPr>
          <w:spacing w:val="-7"/>
        </w:rPr>
        <w:t xml:space="preserve"> </w:t>
      </w:r>
      <w:r>
        <w:t>sus</w:t>
      </w:r>
      <w:r>
        <w:rPr>
          <w:spacing w:val="-7"/>
        </w:rPr>
        <w:t xml:space="preserve"> </w:t>
      </w:r>
      <w:r>
        <w:t>familias</w:t>
      </w:r>
      <w:r>
        <w:rPr>
          <w:spacing w:val="-9"/>
        </w:rPr>
        <w:t xml:space="preserve"> </w:t>
      </w:r>
      <w:r>
        <w:t>alcancen</w:t>
      </w:r>
      <w:r>
        <w:rPr>
          <w:spacing w:val="-6"/>
        </w:rPr>
        <w:t xml:space="preserve"> </w:t>
      </w:r>
      <w:r>
        <w:t>un nivel de vida digno, intensificando así la brecha de desigualdad en el país.</w:t>
      </w:r>
    </w:p>
    <w:p w14:paraId="6544EBA6" w14:textId="77777777" w:rsidR="000E52B0" w:rsidRDefault="000E52B0">
      <w:pPr>
        <w:pStyle w:val="Textoindependiente"/>
        <w:spacing w:before="2"/>
        <w:ind w:left="0"/>
      </w:pPr>
    </w:p>
    <w:p w14:paraId="20111E64" w14:textId="77777777" w:rsidR="000E52B0" w:rsidRDefault="00F60D74">
      <w:pPr>
        <w:pStyle w:val="Textoindependiente"/>
        <w:ind w:right="723"/>
        <w:rPr>
          <w:position w:val="8"/>
          <w:sz w:val="16"/>
        </w:rPr>
      </w:pPr>
      <w:r>
        <w:t>Teniendo en cuenta lo anterior, la corte constitucional se ha pronunciado en</w:t>
      </w:r>
      <w:r>
        <w:rPr>
          <w:spacing w:val="4"/>
        </w:rPr>
        <w:t xml:space="preserve"> </w:t>
      </w:r>
      <w:r>
        <w:t>la</w:t>
      </w:r>
      <w:r>
        <w:rPr>
          <w:spacing w:val="6"/>
        </w:rPr>
        <w:t xml:space="preserve"> </w:t>
      </w:r>
      <w:r>
        <w:t>Sentencia</w:t>
      </w:r>
      <w:r>
        <w:rPr>
          <w:spacing w:val="9"/>
        </w:rPr>
        <w:t xml:space="preserve"> </w:t>
      </w:r>
      <w:r>
        <w:t>C-050</w:t>
      </w:r>
      <w:r>
        <w:rPr>
          <w:spacing w:val="7"/>
        </w:rPr>
        <w:t xml:space="preserve"> </w:t>
      </w:r>
      <w:r>
        <w:t>de</w:t>
      </w:r>
      <w:r>
        <w:rPr>
          <w:spacing w:val="8"/>
        </w:rPr>
        <w:t xml:space="preserve"> </w:t>
      </w:r>
      <w:r>
        <w:t>2021</w:t>
      </w:r>
      <w:r>
        <w:rPr>
          <w:spacing w:val="10"/>
        </w:rPr>
        <w:t xml:space="preserve"> </w:t>
      </w:r>
      <w:r>
        <w:t>(M.P.</w:t>
      </w:r>
      <w:r>
        <w:rPr>
          <w:spacing w:val="8"/>
        </w:rPr>
        <w:t xml:space="preserve"> </w:t>
      </w:r>
      <w:r>
        <w:t>ALEJANDRO</w:t>
      </w:r>
      <w:r>
        <w:rPr>
          <w:spacing w:val="7"/>
        </w:rPr>
        <w:t xml:space="preserve"> </w:t>
      </w:r>
      <w:r>
        <w:t>LINARES</w:t>
      </w:r>
      <w:r>
        <w:rPr>
          <w:spacing w:val="6"/>
        </w:rPr>
        <w:t xml:space="preserve"> </w:t>
      </w:r>
      <w:r>
        <w:rPr>
          <w:spacing w:val="-2"/>
        </w:rPr>
        <w:t>CANTILLO),</w:t>
      </w:r>
      <w:hyperlink w:anchor="_bookmark178" w:history="1">
        <w:r w:rsidR="000E52B0">
          <w:rPr>
            <w:spacing w:val="-2"/>
            <w:position w:val="8"/>
            <w:sz w:val="16"/>
          </w:rPr>
          <w:t>141</w:t>
        </w:r>
      </w:hyperlink>
    </w:p>
    <w:p w14:paraId="4BC7A90F" w14:textId="77777777" w:rsidR="000E52B0" w:rsidRDefault="00F60D74">
      <w:pPr>
        <w:pStyle w:val="Textoindependiente"/>
        <w:ind w:right="718"/>
        <w:jc w:val="both"/>
      </w:pPr>
      <w:r>
        <w:t xml:space="preserve">en el cual hizo un llamado a mejorar las condiciones laborales de los jóvenes. A su vez reconoció que muchos enfrentan precariedad laboral, altos índices de desempleo y dificultades para acceder a empleos dignos y bien remunerados. La Corte enfatizó que el Estado debe implementar políticas activas que promuevan la igualdad de oportunidades laborales, especialmente para jóvenes que provienen de sectores vulnerables, de modo que puedan superar las barreras estructurales que perpetúan la </w:t>
      </w:r>
      <w:r>
        <w:rPr>
          <w:spacing w:val="-2"/>
        </w:rPr>
        <w:t>desigualdad.</w:t>
      </w:r>
    </w:p>
    <w:p w14:paraId="45AD9045" w14:textId="77777777" w:rsidR="000E52B0" w:rsidRDefault="00F60D74">
      <w:pPr>
        <w:pStyle w:val="Textoindependiente"/>
        <w:spacing w:before="160"/>
        <w:ind w:right="716"/>
        <w:jc w:val="both"/>
      </w:pPr>
      <w:r>
        <w:t>A</w:t>
      </w:r>
      <w:r>
        <w:rPr>
          <w:spacing w:val="-10"/>
        </w:rPr>
        <w:t xml:space="preserve"> </w:t>
      </w:r>
      <w:r>
        <w:t>su</w:t>
      </w:r>
      <w:r>
        <w:rPr>
          <w:spacing w:val="-10"/>
        </w:rPr>
        <w:t xml:space="preserve"> </w:t>
      </w:r>
      <w:r>
        <w:t>vez</w:t>
      </w:r>
      <w:r>
        <w:rPr>
          <w:spacing w:val="-7"/>
        </w:rPr>
        <w:t xml:space="preserve"> </w:t>
      </w:r>
      <w:r>
        <w:t>la</w:t>
      </w:r>
      <w:r>
        <w:rPr>
          <w:spacing w:val="-9"/>
        </w:rPr>
        <w:t xml:space="preserve"> </w:t>
      </w:r>
      <w:r>
        <w:t>Sentencia</w:t>
      </w:r>
      <w:r>
        <w:rPr>
          <w:spacing w:val="-7"/>
        </w:rPr>
        <w:t xml:space="preserve"> </w:t>
      </w:r>
      <w:r>
        <w:t>C</w:t>
      </w:r>
      <w:r>
        <w:rPr>
          <w:spacing w:val="-8"/>
        </w:rPr>
        <w:t xml:space="preserve"> </w:t>
      </w:r>
      <w:r>
        <w:t>-484</w:t>
      </w:r>
      <w:r>
        <w:rPr>
          <w:spacing w:val="-8"/>
        </w:rPr>
        <w:t xml:space="preserve"> </w:t>
      </w:r>
      <w:r>
        <w:t>de</w:t>
      </w:r>
      <w:r>
        <w:rPr>
          <w:spacing w:val="-10"/>
        </w:rPr>
        <w:t xml:space="preserve"> </w:t>
      </w:r>
      <w:r>
        <w:t>2017</w:t>
      </w:r>
      <w:r>
        <w:rPr>
          <w:spacing w:val="-6"/>
        </w:rPr>
        <w:t xml:space="preserve"> </w:t>
      </w:r>
      <w:r>
        <w:t>(M.P.</w:t>
      </w:r>
      <w:r>
        <w:rPr>
          <w:spacing w:val="-10"/>
        </w:rPr>
        <w:t xml:space="preserve"> </w:t>
      </w:r>
      <w:r>
        <w:t>IVÁN</w:t>
      </w:r>
      <w:r>
        <w:rPr>
          <w:spacing w:val="-8"/>
        </w:rPr>
        <w:t xml:space="preserve"> </w:t>
      </w:r>
      <w:r>
        <w:t>HUMBERTO</w:t>
      </w:r>
      <w:r>
        <w:rPr>
          <w:spacing w:val="-8"/>
        </w:rPr>
        <w:t xml:space="preserve"> </w:t>
      </w:r>
      <w:r>
        <w:t>ESCRUCERÍA MAYOLO,</w:t>
      </w:r>
      <w:hyperlink w:anchor="_bookmark179" w:history="1">
        <w:r w:rsidR="000E52B0">
          <w:rPr>
            <w:position w:val="8"/>
            <w:sz w:val="16"/>
          </w:rPr>
          <w:t>142</w:t>
        </w:r>
      </w:hyperlink>
      <w:r>
        <w:t>)</w:t>
      </w:r>
      <w:r>
        <w:rPr>
          <w:spacing w:val="-14"/>
        </w:rPr>
        <w:t xml:space="preserve"> </w:t>
      </w:r>
      <w:r>
        <w:t>la</w:t>
      </w:r>
      <w:r>
        <w:rPr>
          <w:spacing w:val="-12"/>
        </w:rPr>
        <w:t xml:space="preserve"> </w:t>
      </w:r>
      <w:r>
        <w:t>Corte</w:t>
      </w:r>
      <w:r>
        <w:rPr>
          <w:spacing w:val="-13"/>
        </w:rPr>
        <w:t xml:space="preserve"> </w:t>
      </w:r>
      <w:r>
        <w:t>Constitucional</w:t>
      </w:r>
      <w:r>
        <w:rPr>
          <w:spacing w:val="-15"/>
        </w:rPr>
        <w:t xml:space="preserve"> </w:t>
      </w:r>
      <w:r>
        <w:t>abordó</w:t>
      </w:r>
      <w:r>
        <w:rPr>
          <w:spacing w:val="-13"/>
        </w:rPr>
        <w:t xml:space="preserve"> </w:t>
      </w:r>
      <w:r>
        <w:t>la</w:t>
      </w:r>
      <w:r>
        <w:rPr>
          <w:spacing w:val="-12"/>
        </w:rPr>
        <w:t xml:space="preserve"> </w:t>
      </w:r>
      <w:r>
        <w:t>falta</w:t>
      </w:r>
      <w:r>
        <w:rPr>
          <w:spacing w:val="-11"/>
        </w:rPr>
        <w:t xml:space="preserve"> </w:t>
      </w:r>
      <w:r>
        <w:t>de</w:t>
      </w:r>
      <w:r>
        <w:rPr>
          <w:spacing w:val="-13"/>
        </w:rPr>
        <w:t xml:space="preserve"> </w:t>
      </w:r>
      <w:r>
        <w:t>participación</w:t>
      </w:r>
      <w:r>
        <w:rPr>
          <w:spacing w:val="-12"/>
        </w:rPr>
        <w:t xml:space="preserve"> </w:t>
      </w:r>
      <w:r>
        <w:t>política de los jóvenes en procesos de toma de decisiones, señalando que la exclusión de estos espacios contribuye a perpetuar las desigualdades. La Corte</w:t>
      </w:r>
      <w:r>
        <w:rPr>
          <w:spacing w:val="-22"/>
        </w:rPr>
        <w:t xml:space="preserve"> </w:t>
      </w:r>
      <w:r>
        <w:t>subrayó</w:t>
      </w:r>
      <w:r>
        <w:rPr>
          <w:spacing w:val="-21"/>
        </w:rPr>
        <w:t xml:space="preserve"> </w:t>
      </w:r>
      <w:r>
        <w:t>que</w:t>
      </w:r>
      <w:r>
        <w:rPr>
          <w:spacing w:val="-21"/>
        </w:rPr>
        <w:t xml:space="preserve"> </w:t>
      </w:r>
      <w:r>
        <w:t>el</w:t>
      </w:r>
      <w:r>
        <w:rPr>
          <w:spacing w:val="-21"/>
        </w:rPr>
        <w:t xml:space="preserve"> </w:t>
      </w:r>
      <w:r>
        <w:t>Estado</w:t>
      </w:r>
      <w:r>
        <w:rPr>
          <w:spacing w:val="-21"/>
        </w:rPr>
        <w:t xml:space="preserve"> </w:t>
      </w:r>
      <w:r>
        <w:t>tiene</w:t>
      </w:r>
      <w:r>
        <w:rPr>
          <w:spacing w:val="-21"/>
        </w:rPr>
        <w:t xml:space="preserve"> </w:t>
      </w:r>
      <w:r>
        <w:t>la</w:t>
      </w:r>
      <w:r>
        <w:rPr>
          <w:spacing w:val="-21"/>
        </w:rPr>
        <w:t xml:space="preserve"> </w:t>
      </w:r>
      <w:r>
        <w:t>obligación</w:t>
      </w:r>
      <w:r>
        <w:rPr>
          <w:spacing w:val="-21"/>
        </w:rPr>
        <w:t xml:space="preserve"> </w:t>
      </w:r>
      <w:r>
        <w:t>de</w:t>
      </w:r>
      <w:r>
        <w:rPr>
          <w:spacing w:val="-21"/>
        </w:rPr>
        <w:t xml:space="preserve"> </w:t>
      </w:r>
      <w:r>
        <w:t>facilitar</w:t>
      </w:r>
      <w:r>
        <w:rPr>
          <w:spacing w:val="-21"/>
        </w:rPr>
        <w:t xml:space="preserve"> </w:t>
      </w:r>
      <w:r>
        <w:t>mecanismos</w:t>
      </w:r>
      <w:r>
        <w:rPr>
          <w:spacing w:val="-22"/>
        </w:rPr>
        <w:t xml:space="preserve"> </w:t>
      </w:r>
      <w:r>
        <w:t>para garantizar una participación más amplia e inclusiva de la juventud, tanto en la esfera política como en la construcción de políticas públicas, reconociendo su rol fundamental en el desarrollo de una sociedad más equitativa y justa.</w:t>
      </w:r>
    </w:p>
    <w:p w14:paraId="2E848F85" w14:textId="77777777" w:rsidR="000E52B0" w:rsidRDefault="000E52B0">
      <w:pPr>
        <w:pStyle w:val="Textoindependiente"/>
        <w:ind w:left="0"/>
        <w:rPr>
          <w:sz w:val="20"/>
        </w:rPr>
      </w:pPr>
    </w:p>
    <w:p w14:paraId="2E829CBC" w14:textId="77777777" w:rsidR="000E52B0" w:rsidRDefault="00F60D74">
      <w:pPr>
        <w:pStyle w:val="Textoindependiente"/>
        <w:spacing w:before="18"/>
        <w:ind w:left="0"/>
        <w:rPr>
          <w:sz w:val="20"/>
        </w:rPr>
      </w:pPr>
      <w:r>
        <w:rPr>
          <w:noProof/>
          <w:sz w:val="20"/>
        </w:rPr>
        <mc:AlternateContent>
          <mc:Choice Requires="wps">
            <w:drawing>
              <wp:anchor distT="0" distB="0" distL="0" distR="0" simplePos="0" relativeHeight="487673344" behindDoc="1" locked="0" layoutInCell="1" allowOverlap="1" wp14:anchorId="17A74F76" wp14:editId="08A01186">
                <wp:simplePos x="0" y="0"/>
                <wp:positionH relativeFrom="page">
                  <wp:posOffset>914704</wp:posOffset>
                </wp:positionH>
                <wp:positionV relativeFrom="paragraph">
                  <wp:posOffset>181170</wp:posOffset>
                </wp:positionV>
                <wp:extent cx="1829435" cy="7620"/>
                <wp:effectExtent l="0" t="0" r="0" b="0"/>
                <wp:wrapTopAndBottom/>
                <wp:docPr id="752" name="Graphic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0C3B28" id="Graphic 752" o:spid="_x0000_s1026" style="position:absolute;margin-left:1in;margin-top:14.25pt;width:144.05pt;height:.6pt;z-index:-156431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" path="m1829054,l,,,7619r1829054,l1829054,xe" fillcolor="black" stroked="f">
                <v:path arrowok="t"/>
                <w10:wrap type="topAndBottom" anchorx="page"/>
              </v:shape>
            </w:pict>
          </mc:Fallback>
        </mc:AlternateContent>
      </w:r>
    </w:p>
    <w:p w14:paraId="63C3B3B5" w14:textId="77777777" w:rsidR="000E52B0" w:rsidRDefault="00F60D74">
      <w:pPr>
        <w:spacing w:before="96" w:line="210" w:lineRule="exact"/>
        <w:ind w:left="720"/>
        <w:rPr>
          <w:rFonts w:ascii="Arial MT"/>
          <w:sz w:val="18"/>
        </w:rPr>
      </w:pPr>
      <w:bookmarkStart w:id="178" w:name="_bookmark178"/>
      <w:bookmarkEnd w:id="178"/>
      <w:r>
        <w:rPr>
          <w:rFonts w:ascii="Arial MT"/>
          <w:spacing w:val="-2"/>
          <w:position w:val="6"/>
          <w:sz w:val="12"/>
        </w:rPr>
        <w:t>141</w:t>
      </w:r>
      <w:r>
        <w:rPr>
          <w:rFonts w:ascii="Arial MT"/>
          <w:spacing w:val="35"/>
          <w:position w:val="6"/>
          <w:sz w:val="12"/>
        </w:rPr>
        <w:t xml:space="preserve">  </w:t>
      </w:r>
      <w:hyperlink r:id="rId217">
        <w:r w:rsidR="000E52B0">
          <w:rPr>
            <w:rFonts w:ascii="Arial MT"/>
            <w:color w:val="E22C91"/>
            <w:spacing w:val="-2"/>
            <w:sz w:val="18"/>
            <w:u w:val="single" w:color="E22C91"/>
          </w:rPr>
          <w:t>https://www.corteconstitucional.gov.co/relatoria/2021/C-050-21.htm</w:t>
        </w:r>
      </w:hyperlink>
    </w:p>
    <w:p w14:paraId="65D217AB" w14:textId="77777777" w:rsidR="000E52B0" w:rsidRDefault="00F60D74">
      <w:pPr>
        <w:spacing w:line="210" w:lineRule="exact"/>
        <w:ind w:left="720"/>
        <w:rPr>
          <w:rFonts w:ascii="Arial MT"/>
          <w:sz w:val="18"/>
        </w:rPr>
      </w:pPr>
      <w:bookmarkStart w:id="179" w:name="_bookmark179"/>
      <w:bookmarkEnd w:id="179"/>
      <w:r>
        <w:rPr>
          <w:rFonts w:ascii="Arial MT"/>
          <w:spacing w:val="-2"/>
          <w:position w:val="6"/>
          <w:sz w:val="12"/>
        </w:rPr>
        <w:t>142</w:t>
      </w:r>
      <w:r>
        <w:rPr>
          <w:rFonts w:ascii="Arial MT"/>
          <w:spacing w:val="35"/>
          <w:position w:val="6"/>
          <w:sz w:val="12"/>
        </w:rPr>
        <w:t xml:space="preserve">  </w:t>
      </w:r>
      <w:hyperlink r:id="rId218">
        <w:r w:rsidR="000E52B0">
          <w:rPr>
            <w:rFonts w:ascii="Arial MT"/>
            <w:color w:val="E22C91"/>
            <w:spacing w:val="-2"/>
            <w:sz w:val="18"/>
            <w:u w:val="single" w:color="E22C91"/>
          </w:rPr>
          <w:t>https://www.corteconstitucional.gov.co/relatoria/2017/C-484-17.htm</w:t>
        </w:r>
      </w:hyperlink>
    </w:p>
    <w:p w14:paraId="47E2F10F" w14:textId="77777777" w:rsidR="000E52B0" w:rsidRDefault="000E52B0">
      <w:pPr>
        <w:spacing w:line="210" w:lineRule="exact"/>
        <w:rPr>
          <w:rFonts w:ascii="Arial MT"/>
          <w:sz w:val="18"/>
        </w:rPr>
        <w:sectPr w:rsidR="000E52B0">
          <w:pgSz w:w="11910" w:h="16840"/>
          <w:pgMar w:top="1340" w:right="720" w:bottom="1180" w:left="720" w:header="0" w:footer="995" w:gutter="0"/>
          <w:cols w:space="720"/>
        </w:sectPr>
      </w:pPr>
    </w:p>
    <w:p w14:paraId="6846A28A" w14:textId="77777777" w:rsidR="000E52B0" w:rsidRDefault="00F60D74">
      <w:pPr>
        <w:pStyle w:val="Textoindependiente"/>
        <w:spacing w:before="83"/>
        <w:ind w:right="716"/>
        <w:jc w:val="both"/>
      </w:pPr>
      <w:r>
        <w:lastRenderedPageBreak/>
        <w:t>la sentencia 11001-03-24-000-2019-00010-00, del Consejo de Estado abordó la participación y la inclusión social de los jóvenes en la toma de decisiones</w:t>
      </w:r>
      <w:r>
        <w:rPr>
          <w:spacing w:val="-20"/>
        </w:rPr>
        <w:t xml:space="preserve"> </w:t>
      </w:r>
      <w:r>
        <w:t>públicas.</w:t>
      </w:r>
      <w:r>
        <w:rPr>
          <w:spacing w:val="-18"/>
        </w:rPr>
        <w:t xml:space="preserve"> </w:t>
      </w:r>
      <w:r>
        <w:t>Este</w:t>
      </w:r>
      <w:r>
        <w:rPr>
          <w:spacing w:val="-18"/>
        </w:rPr>
        <w:t xml:space="preserve"> </w:t>
      </w:r>
      <w:r>
        <w:t>fallo</w:t>
      </w:r>
      <w:r>
        <w:rPr>
          <w:spacing w:val="-16"/>
        </w:rPr>
        <w:t xml:space="preserve"> </w:t>
      </w:r>
      <w:r>
        <w:t>adujo</w:t>
      </w:r>
      <w:r>
        <w:rPr>
          <w:spacing w:val="-16"/>
        </w:rPr>
        <w:t xml:space="preserve"> </w:t>
      </w:r>
      <w:r>
        <w:t>lo</w:t>
      </w:r>
      <w:r>
        <w:rPr>
          <w:spacing w:val="-19"/>
        </w:rPr>
        <w:t xml:space="preserve"> </w:t>
      </w:r>
      <w:r>
        <w:t>importante</w:t>
      </w:r>
      <w:r>
        <w:rPr>
          <w:spacing w:val="-18"/>
        </w:rPr>
        <w:t xml:space="preserve"> </w:t>
      </w:r>
      <w:r>
        <w:t>que</w:t>
      </w:r>
      <w:r>
        <w:rPr>
          <w:spacing w:val="-16"/>
        </w:rPr>
        <w:t xml:space="preserve"> </w:t>
      </w:r>
      <w:r>
        <w:t>los</w:t>
      </w:r>
      <w:r>
        <w:rPr>
          <w:spacing w:val="-19"/>
        </w:rPr>
        <w:t xml:space="preserve"> </w:t>
      </w:r>
      <w:r>
        <w:t>jóvenes</w:t>
      </w:r>
      <w:r>
        <w:rPr>
          <w:spacing w:val="-20"/>
        </w:rPr>
        <w:t xml:space="preserve"> </w:t>
      </w:r>
      <w:r>
        <w:t xml:space="preserve">formulen e implementen la política que les afectan estén afectando directamente. También destacó que la falta de participación de los jóvenes en estos procesos conmemora la exclusión y limita su capacidad para influir en las decisiones que afectan su futuro. El fallo instó al Estado a promover mecanismos de participación juvenil que fortalezcan la inclusión y </w:t>
      </w:r>
      <w:r>
        <w:rPr>
          <w:spacing w:val="-2"/>
        </w:rPr>
        <w:t>representación.</w:t>
      </w:r>
    </w:p>
    <w:p w14:paraId="78D67D05" w14:textId="77777777" w:rsidR="000E52B0" w:rsidRDefault="00F60D74">
      <w:pPr>
        <w:pStyle w:val="Textoindependiente"/>
        <w:spacing w:before="159"/>
        <w:ind w:right="720"/>
        <w:jc w:val="both"/>
      </w:pPr>
      <w:r>
        <w:t>Por eso a través del Ministerio de Igualdad y Equidad en articulación con las</w:t>
      </w:r>
      <w:r>
        <w:rPr>
          <w:spacing w:val="-16"/>
        </w:rPr>
        <w:t xml:space="preserve"> </w:t>
      </w:r>
      <w:r>
        <w:t>diferentes</w:t>
      </w:r>
      <w:r>
        <w:rPr>
          <w:spacing w:val="-16"/>
        </w:rPr>
        <w:t xml:space="preserve"> </w:t>
      </w:r>
      <w:r>
        <w:t>entidades</w:t>
      </w:r>
      <w:r>
        <w:rPr>
          <w:spacing w:val="-16"/>
        </w:rPr>
        <w:t xml:space="preserve"> </w:t>
      </w:r>
      <w:r>
        <w:t>competentes</w:t>
      </w:r>
      <w:r>
        <w:rPr>
          <w:spacing w:val="-16"/>
        </w:rPr>
        <w:t xml:space="preserve"> </w:t>
      </w:r>
      <w:r>
        <w:t>en</w:t>
      </w:r>
      <w:r>
        <w:rPr>
          <w:spacing w:val="-17"/>
        </w:rPr>
        <w:t xml:space="preserve"> </w:t>
      </w:r>
      <w:r>
        <w:t>el</w:t>
      </w:r>
      <w:r>
        <w:rPr>
          <w:spacing w:val="-17"/>
        </w:rPr>
        <w:t xml:space="preserve"> </w:t>
      </w:r>
      <w:r>
        <w:t>desarrollo</w:t>
      </w:r>
      <w:r>
        <w:rPr>
          <w:spacing w:val="-15"/>
        </w:rPr>
        <w:t xml:space="preserve"> </w:t>
      </w:r>
      <w:r>
        <w:t>de</w:t>
      </w:r>
      <w:r>
        <w:rPr>
          <w:spacing w:val="-15"/>
        </w:rPr>
        <w:t xml:space="preserve"> </w:t>
      </w:r>
      <w:r>
        <w:t>acciones</w:t>
      </w:r>
      <w:r>
        <w:rPr>
          <w:spacing w:val="-16"/>
        </w:rPr>
        <w:t xml:space="preserve"> </w:t>
      </w:r>
      <w:r>
        <w:t>del</w:t>
      </w:r>
      <w:r>
        <w:rPr>
          <w:spacing w:val="-17"/>
        </w:rPr>
        <w:t xml:space="preserve"> </w:t>
      </w:r>
      <w:r>
        <w:t>cierre de</w:t>
      </w:r>
      <w:r>
        <w:rPr>
          <w:spacing w:val="-1"/>
        </w:rPr>
        <w:t xml:space="preserve"> </w:t>
      </w:r>
      <w:r>
        <w:t>brechas</w:t>
      </w:r>
      <w:r>
        <w:rPr>
          <w:spacing w:val="-2"/>
        </w:rPr>
        <w:t xml:space="preserve"> </w:t>
      </w:r>
      <w:r>
        <w:t>y</w:t>
      </w:r>
      <w:r>
        <w:rPr>
          <w:spacing w:val="-2"/>
        </w:rPr>
        <w:t xml:space="preserve"> </w:t>
      </w:r>
      <w:r>
        <w:t>desigualdad para</w:t>
      </w:r>
      <w:r>
        <w:rPr>
          <w:spacing w:val="-1"/>
        </w:rPr>
        <w:t xml:space="preserve"> </w:t>
      </w:r>
      <w:r>
        <w:t>la juventud</w:t>
      </w:r>
      <w:r>
        <w:rPr>
          <w:spacing w:val="-2"/>
        </w:rPr>
        <w:t xml:space="preserve"> </w:t>
      </w:r>
      <w:r>
        <w:t>que</w:t>
      </w:r>
      <w:r>
        <w:rPr>
          <w:spacing w:val="-1"/>
        </w:rPr>
        <w:t xml:space="preserve"> </w:t>
      </w:r>
      <w:r>
        <w:t>se</w:t>
      </w:r>
      <w:r>
        <w:rPr>
          <w:spacing w:val="-1"/>
        </w:rPr>
        <w:t xml:space="preserve"> </w:t>
      </w:r>
      <w:r>
        <w:t>encuentran</w:t>
      </w:r>
      <w:r>
        <w:rPr>
          <w:spacing w:val="-3"/>
        </w:rPr>
        <w:t xml:space="preserve"> </w:t>
      </w:r>
      <w:r>
        <w:t>en</w:t>
      </w:r>
      <w:r>
        <w:rPr>
          <w:spacing w:val="-2"/>
        </w:rPr>
        <w:t xml:space="preserve"> </w:t>
      </w:r>
      <w:r>
        <w:t>situación de extrema pobreza, jóvenes rurales, explotación sexual, vinculados a dinámicas</w:t>
      </w:r>
      <w:r>
        <w:rPr>
          <w:spacing w:val="-3"/>
        </w:rPr>
        <w:t xml:space="preserve"> </w:t>
      </w:r>
      <w:r>
        <w:t>de</w:t>
      </w:r>
      <w:r>
        <w:rPr>
          <w:spacing w:val="-4"/>
        </w:rPr>
        <w:t xml:space="preserve"> </w:t>
      </w:r>
      <w:r>
        <w:t>criminalidad</w:t>
      </w:r>
      <w:r>
        <w:rPr>
          <w:spacing w:val="-5"/>
        </w:rPr>
        <w:t xml:space="preserve"> </w:t>
      </w:r>
      <w:r>
        <w:t>y</w:t>
      </w:r>
      <w:r>
        <w:rPr>
          <w:spacing w:val="-3"/>
        </w:rPr>
        <w:t xml:space="preserve"> </w:t>
      </w:r>
      <w:r>
        <w:t>en</w:t>
      </w:r>
      <w:r>
        <w:rPr>
          <w:spacing w:val="-5"/>
        </w:rPr>
        <w:t xml:space="preserve"> </w:t>
      </w:r>
      <w:r>
        <w:t>condiciones</w:t>
      </w:r>
      <w:r>
        <w:rPr>
          <w:spacing w:val="-4"/>
        </w:rPr>
        <w:t xml:space="preserve"> </w:t>
      </w:r>
      <w:r>
        <w:t>de</w:t>
      </w:r>
      <w:r>
        <w:rPr>
          <w:spacing w:val="-4"/>
        </w:rPr>
        <w:t xml:space="preserve"> </w:t>
      </w:r>
      <w:r>
        <w:t>vulnerabilidad</w:t>
      </w:r>
      <w:r>
        <w:rPr>
          <w:spacing w:val="-5"/>
        </w:rPr>
        <w:t xml:space="preserve"> </w:t>
      </w:r>
      <w:r>
        <w:t>en</w:t>
      </w:r>
      <w:r>
        <w:rPr>
          <w:spacing w:val="-3"/>
        </w:rPr>
        <w:t xml:space="preserve"> </w:t>
      </w:r>
      <w:r>
        <w:t>territorios afectados lidera la formulación, la implementación, el seguimiento y la evaluación de políticas públicas a través de los planes, programas y proyectos dirigidos a los jóvenes.</w:t>
      </w:r>
    </w:p>
    <w:p w14:paraId="57871071" w14:textId="77777777" w:rsidR="000E52B0" w:rsidRDefault="000E52B0">
      <w:pPr>
        <w:pStyle w:val="Textoindependiente"/>
        <w:spacing w:before="15"/>
        <w:ind w:left="0"/>
      </w:pPr>
    </w:p>
    <w:p w14:paraId="738EA0FB" w14:textId="77777777" w:rsidR="000E52B0" w:rsidRDefault="00F60D74">
      <w:pPr>
        <w:pStyle w:val="Textoindependiente"/>
        <w:jc w:val="both"/>
      </w:pPr>
      <w:bookmarkStart w:id="180" w:name="_bookmark180"/>
      <w:bookmarkEnd w:id="180"/>
      <w:r>
        <w:rPr>
          <w:color w:val="770F47"/>
        </w:rPr>
        <w:t>Miembros</w:t>
      </w:r>
      <w:r>
        <w:rPr>
          <w:color w:val="770F47"/>
          <w:spacing w:val="-5"/>
        </w:rPr>
        <w:t xml:space="preserve"> </w:t>
      </w:r>
      <w:r>
        <w:rPr>
          <w:color w:val="770F47"/>
        </w:rPr>
        <w:t>de</w:t>
      </w:r>
      <w:r>
        <w:rPr>
          <w:color w:val="770F47"/>
          <w:spacing w:val="-2"/>
        </w:rPr>
        <w:t xml:space="preserve"> </w:t>
      </w:r>
      <w:r>
        <w:rPr>
          <w:color w:val="770F47"/>
        </w:rPr>
        <w:t>hogares</w:t>
      </w:r>
      <w:r>
        <w:rPr>
          <w:color w:val="770F47"/>
          <w:spacing w:val="-2"/>
        </w:rPr>
        <w:t xml:space="preserve"> </w:t>
      </w:r>
      <w:r>
        <w:rPr>
          <w:color w:val="770F47"/>
        </w:rPr>
        <w:t>en</w:t>
      </w:r>
      <w:r>
        <w:rPr>
          <w:color w:val="770F47"/>
          <w:spacing w:val="-3"/>
        </w:rPr>
        <w:t xml:space="preserve"> </w:t>
      </w:r>
      <w:r>
        <w:rPr>
          <w:color w:val="770F47"/>
        </w:rPr>
        <w:t>situación</w:t>
      </w:r>
      <w:r>
        <w:rPr>
          <w:color w:val="770F47"/>
          <w:spacing w:val="-2"/>
        </w:rPr>
        <w:t xml:space="preserve"> </w:t>
      </w:r>
      <w:r>
        <w:rPr>
          <w:color w:val="770F47"/>
        </w:rPr>
        <w:t>de</w:t>
      </w:r>
      <w:r>
        <w:rPr>
          <w:color w:val="770F47"/>
          <w:spacing w:val="-1"/>
        </w:rPr>
        <w:t xml:space="preserve"> </w:t>
      </w:r>
      <w:r>
        <w:rPr>
          <w:color w:val="770F47"/>
        </w:rPr>
        <w:t>pobreza</w:t>
      </w:r>
      <w:r>
        <w:rPr>
          <w:color w:val="770F47"/>
          <w:spacing w:val="-1"/>
        </w:rPr>
        <w:t xml:space="preserve"> </w:t>
      </w:r>
      <w:r>
        <w:rPr>
          <w:color w:val="770F47"/>
        </w:rPr>
        <w:t>y</w:t>
      </w:r>
      <w:r>
        <w:rPr>
          <w:color w:val="770F47"/>
          <w:spacing w:val="-4"/>
        </w:rPr>
        <w:t xml:space="preserve"> </w:t>
      </w:r>
      <w:r>
        <w:rPr>
          <w:color w:val="770F47"/>
        </w:rPr>
        <w:t>pobreza</w:t>
      </w:r>
      <w:r>
        <w:rPr>
          <w:color w:val="770F47"/>
          <w:spacing w:val="-1"/>
        </w:rPr>
        <w:t xml:space="preserve"> </w:t>
      </w:r>
      <w:r>
        <w:rPr>
          <w:color w:val="770F47"/>
          <w:spacing w:val="-2"/>
        </w:rPr>
        <w:t>extrema</w:t>
      </w:r>
    </w:p>
    <w:p w14:paraId="41C2A688" w14:textId="77777777" w:rsidR="000E52B0" w:rsidRDefault="000E52B0">
      <w:pPr>
        <w:pStyle w:val="Textoindependiente"/>
        <w:ind w:left="0"/>
      </w:pPr>
    </w:p>
    <w:p w14:paraId="637B983B" w14:textId="77777777" w:rsidR="000E52B0" w:rsidRDefault="00F60D74">
      <w:pPr>
        <w:pStyle w:val="Textoindependiente"/>
        <w:ind w:right="717"/>
        <w:jc w:val="both"/>
      </w:pPr>
      <w:r>
        <w:t>La Sentencia T-307 de 1999 M.P EDUARDO CIFUENTES MUÑOZ</w:t>
      </w:r>
      <w:hyperlink w:anchor="_bookmark182" w:history="1">
        <w:r w:rsidR="000E52B0">
          <w:rPr>
            <w:position w:val="8"/>
            <w:sz w:val="16"/>
          </w:rPr>
          <w:t>143</w:t>
        </w:r>
      </w:hyperlink>
      <w:r>
        <w:rPr>
          <w:spacing w:val="40"/>
          <w:position w:val="8"/>
          <w:sz w:val="16"/>
        </w:rPr>
        <w:t xml:space="preserve"> </w:t>
      </w:r>
      <w:r>
        <w:t>señala que las políticas públicas diseñadas y ejecutadas con el propósito de garantizar el derecho al mínimo vital y a la igualdad material de personas en situación de vulnerabilidad económica, deben estar tendientes a la erradicación de la marginación y la pobreza deben tener acceso a toda la información</w:t>
      </w:r>
      <w:r>
        <w:rPr>
          <w:spacing w:val="-8"/>
        </w:rPr>
        <w:t xml:space="preserve"> </w:t>
      </w:r>
      <w:r>
        <w:t>disponible</w:t>
      </w:r>
      <w:r>
        <w:rPr>
          <w:spacing w:val="-9"/>
        </w:rPr>
        <w:t xml:space="preserve"> </w:t>
      </w:r>
      <w:r>
        <w:t>acerca</w:t>
      </w:r>
      <w:r>
        <w:rPr>
          <w:spacing w:val="-10"/>
        </w:rPr>
        <w:t xml:space="preserve"> </w:t>
      </w:r>
      <w:r>
        <w:t>de</w:t>
      </w:r>
      <w:r>
        <w:rPr>
          <w:spacing w:val="-9"/>
        </w:rPr>
        <w:t xml:space="preserve"> </w:t>
      </w:r>
      <w:r>
        <w:t>esos</w:t>
      </w:r>
      <w:r>
        <w:rPr>
          <w:spacing w:val="-9"/>
        </w:rPr>
        <w:t xml:space="preserve"> </w:t>
      </w:r>
      <w:r>
        <w:t>programas</w:t>
      </w:r>
      <w:r>
        <w:rPr>
          <w:spacing w:val="-10"/>
        </w:rPr>
        <w:t xml:space="preserve"> </w:t>
      </w:r>
      <w:r>
        <w:t>en</w:t>
      </w:r>
      <w:r>
        <w:rPr>
          <w:spacing w:val="-10"/>
        </w:rPr>
        <w:t xml:space="preserve"> </w:t>
      </w:r>
      <w:r>
        <w:t>especial,</w:t>
      </w:r>
      <w:r>
        <w:rPr>
          <w:spacing w:val="-11"/>
        </w:rPr>
        <w:t xml:space="preserve"> </w:t>
      </w:r>
      <w:r>
        <w:t>deben</w:t>
      </w:r>
      <w:r>
        <w:rPr>
          <w:spacing w:val="-8"/>
        </w:rPr>
        <w:t xml:space="preserve"> </w:t>
      </w:r>
      <w:r>
        <w:t>poder solicitar</w:t>
      </w:r>
      <w:r>
        <w:rPr>
          <w:spacing w:val="-21"/>
        </w:rPr>
        <w:t xml:space="preserve"> </w:t>
      </w:r>
      <w:r>
        <w:t>la</w:t>
      </w:r>
      <w:r>
        <w:rPr>
          <w:spacing w:val="-21"/>
        </w:rPr>
        <w:t xml:space="preserve"> </w:t>
      </w:r>
      <w:r>
        <w:t>asistencia</w:t>
      </w:r>
      <w:r>
        <w:rPr>
          <w:spacing w:val="-21"/>
        </w:rPr>
        <w:t xml:space="preserve"> </w:t>
      </w:r>
      <w:r>
        <w:t>estatal,</w:t>
      </w:r>
      <w:r>
        <w:rPr>
          <w:spacing w:val="-21"/>
        </w:rPr>
        <w:t xml:space="preserve"> </w:t>
      </w:r>
      <w:r>
        <w:t>recibiendo</w:t>
      </w:r>
      <w:r>
        <w:rPr>
          <w:spacing w:val="-20"/>
        </w:rPr>
        <w:t xml:space="preserve"> </w:t>
      </w:r>
      <w:r>
        <w:t>un</w:t>
      </w:r>
      <w:r>
        <w:rPr>
          <w:spacing w:val="-21"/>
        </w:rPr>
        <w:t xml:space="preserve"> </w:t>
      </w:r>
      <w:r>
        <w:t>trato</w:t>
      </w:r>
      <w:r>
        <w:rPr>
          <w:spacing w:val="-20"/>
        </w:rPr>
        <w:t xml:space="preserve"> </w:t>
      </w:r>
      <w:r>
        <w:t>amable</w:t>
      </w:r>
      <w:r>
        <w:rPr>
          <w:spacing w:val="-20"/>
        </w:rPr>
        <w:t xml:space="preserve"> </w:t>
      </w:r>
      <w:r>
        <w:t>y</w:t>
      </w:r>
      <w:r>
        <w:rPr>
          <w:spacing w:val="-19"/>
        </w:rPr>
        <w:t xml:space="preserve"> </w:t>
      </w:r>
      <w:r>
        <w:t>comprensivo</w:t>
      </w:r>
      <w:r>
        <w:rPr>
          <w:spacing w:val="-20"/>
        </w:rPr>
        <w:t xml:space="preserve"> </w:t>
      </w:r>
      <w:r>
        <w:t>que se adecue a su situación particular de vulnerabilidad social.”</w:t>
      </w:r>
    </w:p>
    <w:p w14:paraId="178BEDB2" w14:textId="77777777" w:rsidR="000E52B0" w:rsidRDefault="000E52B0">
      <w:pPr>
        <w:pStyle w:val="Textoindependiente"/>
        <w:spacing w:before="1"/>
        <w:ind w:left="0"/>
      </w:pPr>
    </w:p>
    <w:p w14:paraId="6E2A8C78" w14:textId="77777777" w:rsidR="000E52B0" w:rsidRDefault="00F60D74">
      <w:pPr>
        <w:pStyle w:val="Textoindependiente"/>
        <w:jc w:val="both"/>
      </w:pPr>
      <w:bookmarkStart w:id="181" w:name="_bookmark181"/>
      <w:bookmarkEnd w:id="181"/>
      <w:r>
        <w:rPr>
          <w:color w:val="770F47"/>
        </w:rPr>
        <w:t>Personas</w:t>
      </w:r>
      <w:r>
        <w:rPr>
          <w:color w:val="770F47"/>
          <w:spacing w:val="-2"/>
        </w:rPr>
        <w:t xml:space="preserve"> </w:t>
      </w:r>
      <w:r>
        <w:rPr>
          <w:color w:val="770F47"/>
        </w:rPr>
        <w:t>con</w:t>
      </w:r>
      <w:r>
        <w:rPr>
          <w:color w:val="770F47"/>
          <w:spacing w:val="-1"/>
        </w:rPr>
        <w:t xml:space="preserve"> </w:t>
      </w:r>
      <w:r>
        <w:rPr>
          <w:color w:val="770F47"/>
          <w:spacing w:val="-2"/>
        </w:rPr>
        <w:t>discapacidad</w:t>
      </w:r>
    </w:p>
    <w:p w14:paraId="715BCA62" w14:textId="77777777" w:rsidR="000E52B0" w:rsidRDefault="000E52B0">
      <w:pPr>
        <w:pStyle w:val="Textoindependiente"/>
        <w:ind w:left="0"/>
      </w:pPr>
    </w:p>
    <w:p w14:paraId="696FF5EE" w14:textId="77777777" w:rsidR="000E52B0" w:rsidRDefault="00F60D74">
      <w:pPr>
        <w:pStyle w:val="Textoindependiente"/>
        <w:ind w:right="715"/>
        <w:jc w:val="both"/>
      </w:pPr>
      <w:r>
        <w:t>En todo el país vive población con discapacidad, por las capacidades institucionales, y las condiciones materiales de las personas con discapacidad, en algunos territorios la situación para superar las brechas de desigualdad e inequidad que se han mencionado son más críticas.</w:t>
      </w:r>
    </w:p>
    <w:p w14:paraId="073A8DB2" w14:textId="77777777" w:rsidR="000E52B0" w:rsidRDefault="00F60D74">
      <w:pPr>
        <w:pStyle w:val="Textoindependiente"/>
        <w:ind w:right="714"/>
        <w:jc w:val="both"/>
      </w:pPr>
      <w:r>
        <w:t>Si</w:t>
      </w:r>
      <w:r>
        <w:rPr>
          <w:spacing w:val="-14"/>
        </w:rPr>
        <w:t xml:space="preserve"> </w:t>
      </w:r>
      <w:r>
        <w:t>bien</w:t>
      </w:r>
      <w:r>
        <w:rPr>
          <w:spacing w:val="-13"/>
        </w:rPr>
        <w:t xml:space="preserve"> </w:t>
      </w:r>
      <w:r>
        <w:t>es</w:t>
      </w:r>
      <w:r>
        <w:rPr>
          <w:spacing w:val="-13"/>
        </w:rPr>
        <w:t xml:space="preserve"> </w:t>
      </w:r>
      <w:r>
        <w:t>cierto</w:t>
      </w:r>
      <w:r>
        <w:rPr>
          <w:spacing w:val="-12"/>
        </w:rPr>
        <w:t xml:space="preserve"> </w:t>
      </w:r>
      <w:r>
        <w:t>la</w:t>
      </w:r>
      <w:r>
        <w:rPr>
          <w:spacing w:val="-13"/>
        </w:rPr>
        <w:t xml:space="preserve"> </w:t>
      </w:r>
      <w:r>
        <w:t>corte</w:t>
      </w:r>
      <w:r>
        <w:rPr>
          <w:spacing w:val="-12"/>
        </w:rPr>
        <w:t xml:space="preserve"> </w:t>
      </w:r>
      <w:r>
        <w:t>constitucional</w:t>
      </w:r>
      <w:r>
        <w:rPr>
          <w:spacing w:val="-14"/>
        </w:rPr>
        <w:t xml:space="preserve"> </w:t>
      </w:r>
      <w:r>
        <w:t>en</w:t>
      </w:r>
      <w:r>
        <w:rPr>
          <w:spacing w:val="-13"/>
        </w:rPr>
        <w:t xml:space="preserve"> </w:t>
      </w:r>
      <w:r>
        <w:t>sus</w:t>
      </w:r>
      <w:r>
        <w:rPr>
          <w:spacing w:val="-13"/>
        </w:rPr>
        <w:t xml:space="preserve"> </w:t>
      </w:r>
      <w:r>
        <w:t>fallos</w:t>
      </w:r>
      <w:r>
        <w:rPr>
          <w:spacing w:val="-12"/>
        </w:rPr>
        <w:t xml:space="preserve"> </w:t>
      </w:r>
      <w:r>
        <w:t>protege</w:t>
      </w:r>
      <w:r>
        <w:rPr>
          <w:spacing w:val="-12"/>
        </w:rPr>
        <w:t xml:space="preserve"> </w:t>
      </w:r>
      <w:r>
        <w:t>en</w:t>
      </w:r>
      <w:r>
        <w:rPr>
          <w:spacing w:val="-13"/>
        </w:rPr>
        <w:t xml:space="preserve"> </w:t>
      </w:r>
      <w:r>
        <w:t>integralidad los</w:t>
      </w:r>
      <w:r>
        <w:rPr>
          <w:spacing w:val="-16"/>
        </w:rPr>
        <w:t xml:space="preserve"> </w:t>
      </w:r>
      <w:r>
        <w:t>derechos</w:t>
      </w:r>
      <w:r>
        <w:rPr>
          <w:spacing w:val="-16"/>
        </w:rPr>
        <w:t xml:space="preserve"> </w:t>
      </w:r>
      <w:r>
        <w:t>fundamentales</w:t>
      </w:r>
      <w:r>
        <w:rPr>
          <w:spacing w:val="-16"/>
        </w:rPr>
        <w:t xml:space="preserve"> </w:t>
      </w:r>
      <w:r>
        <w:t>de</w:t>
      </w:r>
      <w:r>
        <w:rPr>
          <w:spacing w:val="-15"/>
        </w:rPr>
        <w:t xml:space="preserve"> </w:t>
      </w:r>
      <w:r>
        <w:t>las</w:t>
      </w:r>
      <w:r>
        <w:rPr>
          <w:spacing w:val="-16"/>
        </w:rPr>
        <w:t xml:space="preserve"> </w:t>
      </w:r>
      <w:r>
        <w:t>personas</w:t>
      </w:r>
      <w:r>
        <w:rPr>
          <w:spacing w:val="-16"/>
        </w:rPr>
        <w:t xml:space="preserve"> </w:t>
      </w:r>
      <w:r>
        <w:t>con</w:t>
      </w:r>
      <w:r>
        <w:rPr>
          <w:spacing w:val="-16"/>
        </w:rPr>
        <w:t xml:space="preserve"> </w:t>
      </w:r>
      <w:r>
        <w:t>discapacidad,</w:t>
      </w:r>
      <w:r>
        <w:rPr>
          <w:spacing w:val="-17"/>
        </w:rPr>
        <w:t xml:space="preserve"> </w:t>
      </w:r>
      <w:r>
        <w:t>los</w:t>
      </w:r>
      <w:r>
        <w:rPr>
          <w:spacing w:val="-16"/>
        </w:rPr>
        <w:t xml:space="preserve"> </w:t>
      </w:r>
      <w:r>
        <w:t>cobija</w:t>
      </w:r>
      <w:r>
        <w:rPr>
          <w:spacing w:val="-16"/>
        </w:rPr>
        <w:t xml:space="preserve"> </w:t>
      </w:r>
      <w:r>
        <w:t>en reiteradas</w:t>
      </w:r>
      <w:r>
        <w:rPr>
          <w:spacing w:val="-22"/>
        </w:rPr>
        <w:t xml:space="preserve"> </w:t>
      </w:r>
      <w:r>
        <w:t>ocasiones</w:t>
      </w:r>
      <w:r>
        <w:rPr>
          <w:spacing w:val="-21"/>
        </w:rPr>
        <w:t xml:space="preserve"> </w:t>
      </w:r>
      <w:r>
        <w:t>en</w:t>
      </w:r>
      <w:r>
        <w:rPr>
          <w:spacing w:val="-21"/>
        </w:rPr>
        <w:t xml:space="preserve"> </w:t>
      </w:r>
      <w:r>
        <w:t>su</w:t>
      </w:r>
      <w:r>
        <w:rPr>
          <w:spacing w:val="-21"/>
        </w:rPr>
        <w:t xml:space="preserve"> </w:t>
      </w:r>
      <w:r>
        <w:t>derecho</w:t>
      </w:r>
      <w:r>
        <w:rPr>
          <w:spacing w:val="-21"/>
        </w:rPr>
        <w:t xml:space="preserve"> </w:t>
      </w:r>
      <w:r>
        <w:t>a</w:t>
      </w:r>
      <w:r>
        <w:rPr>
          <w:spacing w:val="-21"/>
        </w:rPr>
        <w:t xml:space="preserve"> </w:t>
      </w:r>
      <w:r>
        <w:t>la</w:t>
      </w:r>
      <w:r>
        <w:rPr>
          <w:spacing w:val="-21"/>
        </w:rPr>
        <w:t xml:space="preserve"> </w:t>
      </w:r>
      <w:r>
        <w:t>adaptación</w:t>
      </w:r>
      <w:r>
        <w:rPr>
          <w:spacing w:val="-21"/>
        </w:rPr>
        <w:t xml:space="preserve"> </w:t>
      </w:r>
      <w:r>
        <w:t>a</w:t>
      </w:r>
      <w:r>
        <w:rPr>
          <w:spacing w:val="-21"/>
        </w:rPr>
        <w:t xml:space="preserve"> </w:t>
      </w:r>
      <w:r>
        <w:t>su</w:t>
      </w:r>
      <w:r>
        <w:rPr>
          <w:spacing w:val="-21"/>
        </w:rPr>
        <w:t xml:space="preserve"> </w:t>
      </w:r>
      <w:r>
        <w:t>entorno</w:t>
      </w:r>
      <w:r>
        <w:rPr>
          <w:spacing w:val="-22"/>
        </w:rPr>
        <w:t xml:space="preserve"> </w:t>
      </w:r>
      <w:r>
        <w:t>social</w:t>
      </w:r>
      <w:r>
        <w:rPr>
          <w:spacing w:val="-21"/>
        </w:rPr>
        <w:t xml:space="preserve"> </w:t>
      </w:r>
      <w:r>
        <w:t>como lo</w:t>
      </w:r>
      <w:r>
        <w:rPr>
          <w:spacing w:val="-15"/>
        </w:rPr>
        <w:t xml:space="preserve"> </w:t>
      </w:r>
      <w:r>
        <w:t>realizó</w:t>
      </w:r>
      <w:r>
        <w:rPr>
          <w:spacing w:val="-14"/>
        </w:rPr>
        <w:t xml:space="preserve"> </w:t>
      </w:r>
      <w:r>
        <w:t>en</w:t>
      </w:r>
      <w:r>
        <w:rPr>
          <w:spacing w:val="-16"/>
        </w:rPr>
        <w:t xml:space="preserve"> </w:t>
      </w:r>
      <w:r>
        <w:t>la</w:t>
      </w:r>
      <w:r>
        <w:rPr>
          <w:spacing w:val="-15"/>
        </w:rPr>
        <w:t xml:space="preserve"> </w:t>
      </w:r>
      <w:r>
        <w:t>sentencia</w:t>
      </w:r>
      <w:r>
        <w:rPr>
          <w:spacing w:val="-14"/>
        </w:rPr>
        <w:t xml:space="preserve"> </w:t>
      </w:r>
      <w:r>
        <w:t>T</w:t>
      </w:r>
      <w:r>
        <w:rPr>
          <w:spacing w:val="-14"/>
        </w:rPr>
        <w:t xml:space="preserve"> </w:t>
      </w:r>
      <w:r>
        <w:t>474</w:t>
      </w:r>
      <w:r>
        <w:rPr>
          <w:spacing w:val="-14"/>
        </w:rPr>
        <w:t xml:space="preserve"> </w:t>
      </w:r>
      <w:r>
        <w:t>de</w:t>
      </w:r>
      <w:r>
        <w:rPr>
          <w:spacing w:val="-16"/>
        </w:rPr>
        <w:t xml:space="preserve"> </w:t>
      </w:r>
      <w:r>
        <w:t>2015</w:t>
      </w:r>
      <w:r>
        <w:rPr>
          <w:spacing w:val="-16"/>
        </w:rPr>
        <w:t xml:space="preserve"> </w:t>
      </w:r>
      <w:r>
        <w:t>M.P.</w:t>
      </w:r>
      <w:r>
        <w:rPr>
          <w:spacing w:val="-14"/>
        </w:rPr>
        <w:t xml:space="preserve"> </w:t>
      </w:r>
      <w:r>
        <w:t>Myriam</w:t>
      </w:r>
      <w:r>
        <w:rPr>
          <w:spacing w:val="-16"/>
        </w:rPr>
        <w:t xml:space="preserve"> </w:t>
      </w:r>
      <w:r>
        <w:t>Ávila</w:t>
      </w:r>
      <w:r>
        <w:rPr>
          <w:spacing w:val="-15"/>
        </w:rPr>
        <w:t xml:space="preserve"> </w:t>
      </w:r>
      <w:r>
        <w:t>Roldán</w:t>
      </w:r>
      <w:hyperlink w:anchor="_bookmark183" w:history="1">
        <w:r w:rsidR="000E52B0">
          <w:rPr>
            <w:position w:val="8"/>
            <w:sz w:val="16"/>
          </w:rPr>
          <w:t>144</w:t>
        </w:r>
      </w:hyperlink>
      <w:r>
        <w:rPr>
          <w:spacing w:val="80"/>
          <w:position w:val="8"/>
          <w:sz w:val="16"/>
        </w:rPr>
        <w:t xml:space="preserve"> </w:t>
      </w:r>
      <w:r>
        <w:t>donde subrayó que las personas con discapacidad son titulares de derechos fundamentales que deben ser protegidos sin discriminación. En este fallo, se destacó la necesidad la accesibilidad del espacio físico es un factor de integración social, por la cual para efectos de garantizar que la igualdad sea real y material y, reiterando.</w:t>
      </w:r>
    </w:p>
    <w:p w14:paraId="6C5A9E28" w14:textId="77777777" w:rsidR="000E52B0" w:rsidRDefault="00F60D74">
      <w:pPr>
        <w:pStyle w:val="Textoindependiente"/>
        <w:spacing w:before="154"/>
        <w:ind w:left="0"/>
        <w:rPr>
          <w:sz w:val="20"/>
        </w:rPr>
      </w:pPr>
      <w:r>
        <w:rPr>
          <w:noProof/>
          <w:sz w:val="20"/>
        </w:rPr>
        <mc:AlternateContent>
          <mc:Choice Requires="wps">
            <w:drawing>
              <wp:anchor distT="0" distB="0" distL="0" distR="0" simplePos="0" relativeHeight="487673856" behindDoc="1" locked="0" layoutInCell="1" allowOverlap="1" wp14:anchorId="7FCD093C" wp14:editId="77E82E8A">
                <wp:simplePos x="0" y="0"/>
                <wp:positionH relativeFrom="page">
                  <wp:posOffset>914704</wp:posOffset>
                </wp:positionH>
                <wp:positionV relativeFrom="paragraph">
                  <wp:posOffset>267978</wp:posOffset>
                </wp:positionV>
                <wp:extent cx="1829435" cy="7620"/>
                <wp:effectExtent l="0" t="0" r="0" b="0"/>
                <wp:wrapTopAndBottom/>
                <wp:docPr id="753" name="Graphic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2207AD" id="Graphic 753" o:spid="_x0000_s1026" style="position:absolute;margin-left:1in;margin-top:21.1pt;width:144.05pt;height:.6pt;z-index:-156426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" path="m1829054,l,,,7619r1829054,l1829054,xe" fillcolor="black" stroked="f">
                <v:path arrowok="t"/>
                <w10:wrap type="topAndBottom" anchorx="page"/>
              </v:shape>
            </w:pict>
          </mc:Fallback>
        </mc:AlternateContent>
      </w:r>
    </w:p>
    <w:p w14:paraId="6B726315" w14:textId="77777777" w:rsidR="000E52B0" w:rsidRDefault="00F60D74">
      <w:pPr>
        <w:spacing w:before="96" w:line="210" w:lineRule="exact"/>
        <w:ind w:left="720"/>
        <w:rPr>
          <w:rFonts w:ascii="Arial MT"/>
          <w:sz w:val="18"/>
        </w:rPr>
      </w:pPr>
      <w:bookmarkStart w:id="182" w:name="_bookmark182"/>
      <w:bookmarkEnd w:id="182"/>
      <w:r>
        <w:rPr>
          <w:rFonts w:ascii="Arial MT"/>
          <w:spacing w:val="-2"/>
          <w:position w:val="6"/>
          <w:sz w:val="12"/>
        </w:rPr>
        <w:t>143</w:t>
      </w:r>
      <w:r>
        <w:rPr>
          <w:rFonts w:ascii="Arial MT"/>
          <w:spacing w:val="35"/>
          <w:position w:val="6"/>
          <w:sz w:val="12"/>
        </w:rPr>
        <w:t xml:space="preserve">  </w:t>
      </w:r>
      <w:hyperlink r:id="rId219">
        <w:r w:rsidR="000E52B0">
          <w:rPr>
            <w:rFonts w:ascii="Arial MT"/>
            <w:color w:val="E22C91"/>
            <w:spacing w:val="-2"/>
            <w:sz w:val="18"/>
            <w:u w:val="single" w:color="E22C91"/>
          </w:rPr>
          <w:t>https://www.corteconstitucional.gov.co/Relatoria/1999/T-307-99.htm</w:t>
        </w:r>
      </w:hyperlink>
    </w:p>
    <w:p w14:paraId="1E5014E4" w14:textId="77777777" w:rsidR="000E52B0" w:rsidRDefault="00F60D74">
      <w:pPr>
        <w:spacing w:line="210" w:lineRule="exact"/>
        <w:ind w:left="720"/>
        <w:rPr>
          <w:rFonts w:ascii="Arial MT"/>
          <w:sz w:val="18"/>
        </w:rPr>
      </w:pPr>
      <w:bookmarkStart w:id="183" w:name="_bookmark183"/>
      <w:bookmarkEnd w:id="183"/>
      <w:r>
        <w:rPr>
          <w:rFonts w:ascii="Arial MT"/>
          <w:spacing w:val="-2"/>
          <w:position w:val="6"/>
          <w:sz w:val="12"/>
        </w:rPr>
        <w:t>144</w:t>
      </w:r>
      <w:r>
        <w:rPr>
          <w:rFonts w:ascii="Arial MT"/>
          <w:spacing w:val="35"/>
          <w:position w:val="6"/>
          <w:sz w:val="12"/>
        </w:rPr>
        <w:t xml:space="preserve">  </w:t>
      </w:r>
      <w:hyperlink r:id="rId220">
        <w:r w:rsidR="000E52B0">
          <w:rPr>
            <w:rFonts w:ascii="Arial MT"/>
            <w:color w:val="E22C91"/>
            <w:spacing w:val="-2"/>
            <w:sz w:val="18"/>
            <w:u w:val="single" w:color="E22C91"/>
          </w:rPr>
          <w:t>https://www.corteconstitucional.gov.co/relatoria/2015/t-747-15.htm</w:t>
        </w:r>
      </w:hyperlink>
    </w:p>
    <w:p w14:paraId="013E36D7" w14:textId="77777777" w:rsidR="000E52B0" w:rsidRDefault="000E52B0">
      <w:pPr>
        <w:spacing w:line="210" w:lineRule="exact"/>
        <w:rPr>
          <w:rFonts w:ascii="Arial MT"/>
          <w:sz w:val="18"/>
        </w:rPr>
        <w:sectPr w:rsidR="000E52B0">
          <w:pgSz w:w="11910" w:h="16840"/>
          <w:pgMar w:top="1340" w:right="720" w:bottom="1180" w:left="720" w:header="0" w:footer="995" w:gutter="0"/>
          <w:cols w:space="720"/>
        </w:sectPr>
      </w:pPr>
    </w:p>
    <w:p w14:paraId="4ACA7892" w14:textId="77777777" w:rsidR="000E52B0" w:rsidRDefault="00F60D74">
      <w:pPr>
        <w:pStyle w:val="Textoindependiente"/>
        <w:spacing w:before="83"/>
        <w:ind w:right="718"/>
        <w:jc w:val="both"/>
      </w:pPr>
      <w:r>
        <w:lastRenderedPageBreak/>
        <w:t>A</w:t>
      </w:r>
      <w:r>
        <w:rPr>
          <w:spacing w:val="-4"/>
        </w:rPr>
        <w:t xml:space="preserve"> </w:t>
      </w:r>
      <w:r>
        <w:t>su</w:t>
      </w:r>
      <w:r>
        <w:rPr>
          <w:spacing w:val="-2"/>
        </w:rPr>
        <w:t xml:space="preserve"> </w:t>
      </w:r>
      <w:r>
        <w:t>vez</w:t>
      </w:r>
      <w:r>
        <w:rPr>
          <w:spacing w:val="-3"/>
        </w:rPr>
        <w:t xml:space="preserve"> </w:t>
      </w:r>
      <w:r>
        <w:t>en</w:t>
      </w:r>
      <w:r>
        <w:rPr>
          <w:spacing w:val="-4"/>
        </w:rPr>
        <w:t xml:space="preserve"> </w:t>
      </w:r>
      <w:r>
        <w:t>esta</w:t>
      </w:r>
      <w:r>
        <w:rPr>
          <w:spacing w:val="-3"/>
        </w:rPr>
        <w:t xml:space="preserve"> </w:t>
      </w:r>
      <w:r>
        <w:t>misma</w:t>
      </w:r>
      <w:r>
        <w:rPr>
          <w:spacing w:val="-3"/>
        </w:rPr>
        <w:t xml:space="preserve"> </w:t>
      </w:r>
      <w:r>
        <w:t>sentencia la</w:t>
      </w:r>
      <w:r>
        <w:rPr>
          <w:spacing w:val="-4"/>
        </w:rPr>
        <w:t xml:space="preserve"> </w:t>
      </w:r>
      <w:r>
        <w:t>Corte,</w:t>
      </w:r>
      <w:r>
        <w:rPr>
          <w:spacing w:val="-4"/>
        </w:rPr>
        <w:t xml:space="preserve"> </w:t>
      </w:r>
      <w:r>
        <w:t>dice</w:t>
      </w:r>
      <w:r>
        <w:rPr>
          <w:spacing w:val="-1"/>
        </w:rPr>
        <w:t xml:space="preserve"> </w:t>
      </w:r>
      <w:r>
        <w:t>que,</w:t>
      </w:r>
      <w:r>
        <w:rPr>
          <w:spacing w:val="-3"/>
        </w:rPr>
        <w:t xml:space="preserve"> </w:t>
      </w:r>
      <w:r>
        <w:t>dentro</w:t>
      </w:r>
      <w:r>
        <w:rPr>
          <w:spacing w:val="-2"/>
        </w:rPr>
        <w:t xml:space="preserve"> </w:t>
      </w:r>
      <w:r>
        <w:t>del</w:t>
      </w:r>
      <w:r>
        <w:rPr>
          <w:spacing w:val="-5"/>
        </w:rPr>
        <w:t xml:space="preserve"> </w:t>
      </w:r>
      <w:r>
        <w:t>ámbito</w:t>
      </w:r>
      <w:r>
        <w:rPr>
          <w:spacing w:val="-1"/>
        </w:rPr>
        <w:t xml:space="preserve"> </w:t>
      </w:r>
      <w:r>
        <w:t>de protección del derecho a la locomoción de una persona con discapacidad, está la accesibilidad a instalaciones, edificios y espacios públicos en condiciones de igualdad, esto es, sin tener que soportar barreras o limitaciones que impongan cargas excesivas, puesto que “los grupos de discapacitados tienen el derecho a que se remuevan las cargas desproporcionadas que les impiden integrarse cabalmente a la sociedad”.</w:t>
      </w:r>
    </w:p>
    <w:p w14:paraId="54806828" w14:textId="77777777" w:rsidR="000E52B0" w:rsidRDefault="00F60D74">
      <w:pPr>
        <w:pStyle w:val="Textoindependiente"/>
        <w:spacing w:before="159"/>
        <w:ind w:right="715"/>
        <w:jc w:val="both"/>
      </w:pPr>
      <w:r>
        <w:t xml:space="preserve">Así mismos la sentencia T-598 de 2013 M.P. JORGE IGNACIO PRETELT CHALJUB </w:t>
      </w:r>
      <w:hyperlink w:anchor="_bookmark185" w:history="1">
        <w:r w:rsidR="000E52B0">
          <w:rPr>
            <w:position w:val="8"/>
            <w:sz w:val="16"/>
          </w:rPr>
          <w:t>145</w:t>
        </w:r>
      </w:hyperlink>
      <w:r>
        <w:t>señaló que las personas con discapacidad tienen derecho a recibir una educación inclusiva y de calidad. En este fallo, la Corte</w:t>
      </w:r>
      <w:r>
        <w:rPr>
          <w:spacing w:val="40"/>
        </w:rPr>
        <w:t xml:space="preserve"> </w:t>
      </w:r>
      <w:r>
        <w:t>ha reconocido que son muchas las barreras y los obstáculos que han tenido que padecer las personas con limitaciones o en situación de discapacidad en nuestra sociedad, los cuales impiden que gocen efectivamente de sus derechos fundamentales, así como también impiden la inserción social y laboral de esta población, e imposibilitan su participación efectiva en los asuntos que les interesa, lo cual se traduce en una clara vulneración de la dignidad</w:t>
      </w:r>
      <w:r>
        <w:rPr>
          <w:spacing w:val="-22"/>
        </w:rPr>
        <w:t xml:space="preserve"> </w:t>
      </w:r>
      <w:r>
        <w:t>de</w:t>
      </w:r>
      <w:r>
        <w:rPr>
          <w:spacing w:val="-21"/>
        </w:rPr>
        <w:t xml:space="preserve"> </w:t>
      </w:r>
      <w:r>
        <w:t>este</w:t>
      </w:r>
      <w:r>
        <w:rPr>
          <w:spacing w:val="-21"/>
        </w:rPr>
        <w:t xml:space="preserve"> </w:t>
      </w:r>
      <w:r>
        <w:t>grupo</w:t>
      </w:r>
      <w:r>
        <w:rPr>
          <w:spacing w:val="-21"/>
        </w:rPr>
        <w:t xml:space="preserve"> </w:t>
      </w:r>
      <w:r>
        <w:t>poblacional</w:t>
      </w:r>
      <w:r>
        <w:rPr>
          <w:spacing w:val="-21"/>
        </w:rPr>
        <w:t xml:space="preserve"> </w:t>
      </w:r>
      <w:r>
        <w:t>y</w:t>
      </w:r>
      <w:r>
        <w:rPr>
          <w:spacing w:val="-21"/>
        </w:rPr>
        <w:t xml:space="preserve"> </w:t>
      </w:r>
      <w:r>
        <w:t>perpetúa</w:t>
      </w:r>
      <w:r>
        <w:rPr>
          <w:spacing w:val="-21"/>
        </w:rPr>
        <w:t xml:space="preserve"> </w:t>
      </w:r>
      <w:r>
        <w:t>situaciones</w:t>
      </w:r>
      <w:r>
        <w:rPr>
          <w:spacing w:val="-21"/>
        </w:rPr>
        <w:t xml:space="preserve"> </w:t>
      </w:r>
      <w:r>
        <w:t>de</w:t>
      </w:r>
      <w:r>
        <w:rPr>
          <w:spacing w:val="-21"/>
        </w:rPr>
        <w:t xml:space="preserve"> </w:t>
      </w:r>
      <w:r>
        <w:t>discriminación y marginalidad</w:t>
      </w:r>
    </w:p>
    <w:p w14:paraId="5D28BA25" w14:textId="77777777" w:rsidR="000E52B0" w:rsidRDefault="00F60D74">
      <w:pPr>
        <w:pStyle w:val="Textoindependiente"/>
        <w:spacing w:before="159"/>
        <w:ind w:right="719"/>
        <w:jc w:val="both"/>
      </w:pPr>
      <w:r>
        <w:t>Teniendo en cuenta lo anterior podemos concluir que las personas con discapacidad, en la actualidad no cuentan articulación institucional para poder</w:t>
      </w:r>
      <w:r>
        <w:rPr>
          <w:spacing w:val="-22"/>
        </w:rPr>
        <w:t xml:space="preserve"> </w:t>
      </w:r>
      <w:r>
        <w:t>superar</w:t>
      </w:r>
      <w:r>
        <w:rPr>
          <w:spacing w:val="-21"/>
        </w:rPr>
        <w:t xml:space="preserve"> </w:t>
      </w:r>
      <w:r>
        <w:t>las</w:t>
      </w:r>
      <w:r>
        <w:rPr>
          <w:spacing w:val="-21"/>
        </w:rPr>
        <w:t xml:space="preserve"> </w:t>
      </w:r>
      <w:r>
        <w:t>barreras</w:t>
      </w:r>
      <w:r>
        <w:rPr>
          <w:spacing w:val="-21"/>
        </w:rPr>
        <w:t xml:space="preserve"> </w:t>
      </w:r>
      <w:r>
        <w:t>de</w:t>
      </w:r>
      <w:r>
        <w:rPr>
          <w:spacing w:val="-21"/>
        </w:rPr>
        <w:t xml:space="preserve"> </w:t>
      </w:r>
      <w:r>
        <w:t>desigualdad,</w:t>
      </w:r>
      <w:r>
        <w:rPr>
          <w:spacing w:val="-21"/>
        </w:rPr>
        <w:t xml:space="preserve"> </w:t>
      </w:r>
      <w:r>
        <w:t>por</w:t>
      </w:r>
      <w:r>
        <w:rPr>
          <w:spacing w:val="-21"/>
        </w:rPr>
        <w:t xml:space="preserve"> </w:t>
      </w:r>
      <w:r>
        <w:t>eso</w:t>
      </w:r>
      <w:r>
        <w:rPr>
          <w:spacing w:val="-21"/>
        </w:rPr>
        <w:t xml:space="preserve"> </w:t>
      </w:r>
      <w:r>
        <w:t>el</w:t>
      </w:r>
      <w:r>
        <w:rPr>
          <w:spacing w:val="-21"/>
        </w:rPr>
        <w:t xml:space="preserve"> </w:t>
      </w:r>
      <w:r>
        <w:t>Ministerio</w:t>
      </w:r>
      <w:r>
        <w:rPr>
          <w:spacing w:val="-21"/>
        </w:rPr>
        <w:t xml:space="preserve"> </w:t>
      </w:r>
      <w:r>
        <w:t>de</w:t>
      </w:r>
      <w:r>
        <w:rPr>
          <w:spacing w:val="-22"/>
        </w:rPr>
        <w:t xml:space="preserve"> </w:t>
      </w:r>
      <w:r>
        <w:t>Igualdad y</w:t>
      </w:r>
      <w:r>
        <w:rPr>
          <w:spacing w:val="-8"/>
        </w:rPr>
        <w:t xml:space="preserve"> </w:t>
      </w:r>
      <w:r>
        <w:t>Equidad</w:t>
      </w:r>
      <w:r>
        <w:rPr>
          <w:spacing w:val="-8"/>
        </w:rPr>
        <w:t xml:space="preserve"> </w:t>
      </w:r>
      <w:r>
        <w:t>con</w:t>
      </w:r>
      <w:r>
        <w:rPr>
          <w:spacing w:val="-5"/>
        </w:rPr>
        <w:t xml:space="preserve"> </w:t>
      </w:r>
      <w:r>
        <w:t>articulación</w:t>
      </w:r>
      <w:r>
        <w:rPr>
          <w:spacing w:val="-5"/>
        </w:rPr>
        <w:t xml:space="preserve"> </w:t>
      </w:r>
      <w:r>
        <w:t>interinstitucional</w:t>
      </w:r>
      <w:r>
        <w:rPr>
          <w:spacing w:val="-9"/>
        </w:rPr>
        <w:t xml:space="preserve"> </w:t>
      </w:r>
      <w:r>
        <w:t>está</w:t>
      </w:r>
      <w:r>
        <w:rPr>
          <w:spacing w:val="-7"/>
        </w:rPr>
        <w:t xml:space="preserve"> </w:t>
      </w:r>
      <w:r>
        <w:t>fortaleciendo</w:t>
      </w:r>
      <w:r>
        <w:rPr>
          <w:spacing w:val="-7"/>
        </w:rPr>
        <w:t xml:space="preserve"> </w:t>
      </w:r>
      <w:r>
        <w:t>la</w:t>
      </w:r>
      <w:r>
        <w:rPr>
          <w:spacing w:val="-8"/>
        </w:rPr>
        <w:t xml:space="preserve"> </w:t>
      </w:r>
      <w:r>
        <w:t>respuesta institucional</w:t>
      </w:r>
      <w:r>
        <w:rPr>
          <w:spacing w:val="-1"/>
        </w:rPr>
        <w:t xml:space="preserve"> </w:t>
      </w:r>
      <w:r>
        <w:t>del</w:t>
      </w:r>
      <w:r>
        <w:rPr>
          <w:spacing w:val="-3"/>
        </w:rPr>
        <w:t xml:space="preserve"> </w:t>
      </w:r>
      <w:r>
        <w:t>Estado</w:t>
      </w:r>
      <w:r>
        <w:rPr>
          <w:spacing w:val="-2"/>
        </w:rPr>
        <w:t xml:space="preserve"> </w:t>
      </w:r>
      <w:r>
        <w:t>de</w:t>
      </w:r>
      <w:r>
        <w:rPr>
          <w:spacing w:val="-2"/>
        </w:rPr>
        <w:t xml:space="preserve"> </w:t>
      </w:r>
      <w:r>
        <w:t>manera</w:t>
      </w:r>
      <w:r>
        <w:rPr>
          <w:spacing w:val="-2"/>
        </w:rPr>
        <w:t xml:space="preserve"> </w:t>
      </w:r>
      <w:r>
        <w:t>integral,</w:t>
      </w:r>
      <w:r>
        <w:rPr>
          <w:spacing w:val="-3"/>
        </w:rPr>
        <w:t xml:space="preserve"> </w:t>
      </w:r>
      <w:r>
        <w:t>de</w:t>
      </w:r>
      <w:r>
        <w:rPr>
          <w:spacing w:val="-2"/>
        </w:rPr>
        <w:t xml:space="preserve"> </w:t>
      </w:r>
      <w:r>
        <w:t>manera</w:t>
      </w:r>
      <w:r>
        <w:rPr>
          <w:spacing w:val="-2"/>
        </w:rPr>
        <w:t xml:space="preserve"> </w:t>
      </w:r>
      <w:r>
        <w:t>que</w:t>
      </w:r>
      <w:r>
        <w:rPr>
          <w:spacing w:val="-2"/>
        </w:rPr>
        <w:t xml:space="preserve"> </w:t>
      </w:r>
      <w:r>
        <w:t>responda</w:t>
      </w:r>
      <w:r>
        <w:rPr>
          <w:spacing w:val="-3"/>
        </w:rPr>
        <w:t xml:space="preserve"> </w:t>
      </w:r>
      <w:r>
        <w:t>a</w:t>
      </w:r>
      <w:r>
        <w:rPr>
          <w:spacing w:val="-3"/>
        </w:rPr>
        <w:t xml:space="preserve"> </w:t>
      </w:r>
      <w:r>
        <w:t>las necesidades de la población con discapacidad y sea posible avanzar efectivamente en la garantía de derechos.</w:t>
      </w:r>
    </w:p>
    <w:p w14:paraId="7E7A01B1" w14:textId="77777777" w:rsidR="000E52B0" w:rsidRDefault="00F60D74">
      <w:pPr>
        <w:pStyle w:val="Textoindependiente"/>
        <w:spacing w:before="162"/>
        <w:ind w:right="716"/>
        <w:jc w:val="both"/>
      </w:pPr>
      <w:r>
        <w:t>El Consejo de Estado ha abordado estas desigualdades en varias sentencias,</w:t>
      </w:r>
      <w:r>
        <w:rPr>
          <w:spacing w:val="-20"/>
        </w:rPr>
        <w:t xml:space="preserve"> </w:t>
      </w:r>
      <w:r>
        <w:t>subrayando</w:t>
      </w:r>
      <w:r>
        <w:rPr>
          <w:spacing w:val="-19"/>
        </w:rPr>
        <w:t xml:space="preserve"> </w:t>
      </w:r>
      <w:r>
        <w:t>la</w:t>
      </w:r>
      <w:r>
        <w:rPr>
          <w:spacing w:val="-20"/>
        </w:rPr>
        <w:t xml:space="preserve"> </w:t>
      </w:r>
      <w:r>
        <w:t>responsabilidad</w:t>
      </w:r>
      <w:r>
        <w:rPr>
          <w:spacing w:val="-20"/>
        </w:rPr>
        <w:t xml:space="preserve"> </w:t>
      </w:r>
      <w:r>
        <w:t>del</w:t>
      </w:r>
      <w:r>
        <w:rPr>
          <w:spacing w:val="-20"/>
        </w:rPr>
        <w:t xml:space="preserve"> </w:t>
      </w:r>
      <w:r>
        <w:t>Estado</w:t>
      </w:r>
      <w:r>
        <w:rPr>
          <w:spacing w:val="-19"/>
        </w:rPr>
        <w:t xml:space="preserve"> </w:t>
      </w:r>
      <w:r>
        <w:t>de</w:t>
      </w:r>
      <w:r>
        <w:rPr>
          <w:spacing w:val="-18"/>
        </w:rPr>
        <w:t xml:space="preserve"> </w:t>
      </w:r>
      <w:r>
        <w:t>garantizar</w:t>
      </w:r>
      <w:r>
        <w:rPr>
          <w:spacing w:val="-18"/>
        </w:rPr>
        <w:t xml:space="preserve"> </w:t>
      </w:r>
      <w:r>
        <w:t>la</w:t>
      </w:r>
      <w:r>
        <w:rPr>
          <w:spacing w:val="-20"/>
        </w:rPr>
        <w:t xml:space="preserve"> </w:t>
      </w:r>
      <w:r>
        <w:t>plena inclusión y participación de estas personas en la sociedad. En la sentencia 11001-03-24-000-2015-00023-00, el Consejo de Estado destacó que la falta de accesibilidad en infraestructura y servicios públicos limita gravemente</w:t>
      </w:r>
      <w:r>
        <w:rPr>
          <w:spacing w:val="-16"/>
        </w:rPr>
        <w:t xml:space="preserve"> </w:t>
      </w:r>
      <w:r>
        <w:t>la</w:t>
      </w:r>
      <w:r>
        <w:rPr>
          <w:spacing w:val="-17"/>
        </w:rPr>
        <w:t xml:space="preserve"> </w:t>
      </w:r>
      <w:r>
        <w:t>capacidad</w:t>
      </w:r>
      <w:r>
        <w:rPr>
          <w:spacing w:val="-18"/>
        </w:rPr>
        <w:t xml:space="preserve"> </w:t>
      </w:r>
      <w:r>
        <w:t>de</w:t>
      </w:r>
      <w:r>
        <w:rPr>
          <w:spacing w:val="-16"/>
        </w:rPr>
        <w:t xml:space="preserve"> </w:t>
      </w:r>
      <w:r>
        <w:t>las</w:t>
      </w:r>
      <w:r>
        <w:rPr>
          <w:spacing w:val="-17"/>
        </w:rPr>
        <w:t xml:space="preserve"> </w:t>
      </w:r>
      <w:r>
        <w:t>personas</w:t>
      </w:r>
      <w:r>
        <w:rPr>
          <w:spacing w:val="-17"/>
        </w:rPr>
        <w:t xml:space="preserve"> </w:t>
      </w:r>
      <w:r>
        <w:t>con</w:t>
      </w:r>
      <w:r>
        <w:rPr>
          <w:spacing w:val="-17"/>
        </w:rPr>
        <w:t xml:space="preserve"> </w:t>
      </w:r>
      <w:r>
        <w:t>discapacidad</w:t>
      </w:r>
      <w:r>
        <w:rPr>
          <w:spacing w:val="-18"/>
        </w:rPr>
        <w:t xml:space="preserve"> </w:t>
      </w:r>
      <w:r>
        <w:t>para</w:t>
      </w:r>
      <w:r>
        <w:rPr>
          <w:spacing w:val="-17"/>
        </w:rPr>
        <w:t xml:space="preserve"> </w:t>
      </w:r>
      <w:r>
        <w:t>ejercer</w:t>
      </w:r>
      <w:r>
        <w:rPr>
          <w:spacing w:val="-16"/>
        </w:rPr>
        <w:t xml:space="preserve"> </w:t>
      </w:r>
      <w:r>
        <w:t>sus derechos.</w:t>
      </w:r>
      <w:r>
        <w:rPr>
          <w:spacing w:val="-5"/>
        </w:rPr>
        <w:t xml:space="preserve"> </w:t>
      </w:r>
      <w:r>
        <w:t>El</w:t>
      </w:r>
      <w:r>
        <w:rPr>
          <w:spacing w:val="-2"/>
        </w:rPr>
        <w:t xml:space="preserve"> </w:t>
      </w:r>
      <w:r>
        <w:t>fallo</w:t>
      </w:r>
      <w:r>
        <w:rPr>
          <w:spacing w:val="-3"/>
        </w:rPr>
        <w:t xml:space="preserve"> </w:t>
      </w:r>
      <w:r>
        <w:t>reafirmó</w:t>
      </w:r>
      <w:r>
        <w:rPr>
          <w:spacing w:val="-3"/>
        </w:rPr>
        <w:t xml:space="preserve"> </w:t>
      </w:r>
      <w:r>
        <w:t>la</w:t>
      </w:r>
      <w:r>
        <w:rPr>
          <w:spacing w:val="-1"/>
        </w:rPr>
        <w:t xml:space="preserve"> </w:t>
      </w:r>
      <w:r>
        <w:t>obligación</w:t>
      </w:r>
      <w:r>
        <w:rPr>
          <w:spacing w:val="-2"/>
        </w:rPr>
        <w:t xml:space="preserve"> </w:t>
      </w:r>
      <w:r>
        <w:t>del</w:t>
      </w:r>
      <w:r>
        <w:rPr>
          <w:spacing w:val="-5"/>
        </w:rPr>
        <w:t xml:space="preserve"> </w:t>
      </w:r>
      <w:r>
        <w:t>Estado</w:t>
      </w:r>
      <w:r>
        <w:rPr>
          <w:spacing w:val="-1"/>
        </w:rPr>
        <w:t xml:space="preserve"> </w:t>
      </w:r>
      <w:r>
        <w:t>de</w:t>
      </w:r>
      <w:r>
        <w:rPr>
          <w:spacing w:val="-3"/>
        </w:rPr>
        <w:t xml:space="preserve"> </w:t>
      </w:r>
      <w:r>
        <w:t>adaptar</w:t>
      </w:r>
      <w:r>
        <w:rPr>
          <w:spacing w:val="-3"/>
        </w:rPr>
        <w:t xml:space="preserve"> </w:t>
      </w:r>
      <w:r>
        <w:t>los</w:t>
      </w:r>
      <w:r>
        <w:rPr>
          <w:spacing w:val="-3"/>
        </w:rPr>
        <w:t xml:space="preserve"> </w:t>
      </w:r>
      <w:r>
        <w:t>espacios y servicios para asegurar la igualdad de acceso y la participación plena en la vida comunitaria.</w:t>
      </w:r>
    </w:p>
    <w:p w14:paraId="299FE4DA" w14:textId="77777777" w:rsidR="000E52B0" w:rsidRDefault="00F60D74">
      <w:pPr>
        <w:pStyle w:val="Textoindependiente"/>
        <w:spacing w:before="160"/>
        <w:ind w:right="716"/>
        <w:jc w:val="both"/>
      </w:pPr>
      <w:r>
        <w:t>Es de agregar que un articulado en el Plan Nacional de Desarrollo que ordena el fomento del empleo y educación de personas con discapacidad en el sector público y privado, así como la construcción e implementación de</w:t>
      </w:r>
      <w:r>
        <w:rPr>
          <w:spacing w:val="-20"/>
        </w:rPr>
        <w:t xml:space="preserve"> </w:t>
      </w:r>
      <w:r>
        <w:t>un</w:t>
      </w:r>
      <w:r>
        <w:rPr>
          <w:spacing w:val="-21"/>
        </w:rPr>
        <w:t xml:space="preserve"> </w:t>
      </w:r>
      <w:r>
        <w:t>plan</w:t>
      </w:r>
      <w:r>
        <w:rPr>
          <w:spacing w:val="-19"/>
        </w:rPr>
        <w:t xml:space="preserve"> </w:t>
      </w:r>
      <w:r>
        <w:t>nacional</w:t>
      </w:r>
      <w:r>
        <w:rPr>
          <w:spacing w:val="-19"/>
        </w:rPr>
        <w:t xml:space="preserve"> </w:t>
      </w:r>
      <w:r>
        <w:t>de</w:t>
      </w:r>
      <w:r>
        <w:rPr>
          <w:spacing w:val="-20"/>
        </w:rPr>
        <w:t xml:space="preserve"> </w:t>
      </w:r>
      <w:r>
        <w:t>accesibilidad</w:t>
      </w:r>
      <w:r>
        <w:rPr>
          <w:spacing w:val="-22"/>
        </w:rPr>
        <w:t xml:space="preserve"> </w:t>
      </w:r>
      <w:r>
        <w:t>para</w:t>
      </w:r>
      <w:r>
        <w:rPr>
          <w:spacing w:val="-19"/>
        </w:rPr>
        <w:t xml:space="preserve"> </w:t>
      </w:r>
      <w:r>
        <w:t>las</w:t>
      </w:r>
      <w:r>
        <w:rPr>
          <w:spacing w:val="-19"/>
        </w:rPr>
        <w:t xml:space="preserve"> </w:t>
      </w:r>
      <w:r>
        <w:t>personas</w:t>
      </w:r>
      <w:r>
        <w:rPr>
          <w:spacing w:val="-21"/>
        </w:rPr>
        <w:t xml:space="preserve"> </w:t>
      </w:r>
      <w:r>
        <w:t>con</w:t>
      </w:r>
      <w:r>
        <w:rPr>
          <w:spacing w:val="-21"/>
        </w:rPr>
        <w:t xml:space="preserve"> </w:t>
      </w:r>
      <w:r>
        <w:t>discapacidad</w:t>
      </w:r>
      <w:r>
        <w:rPr>
          <w:spacing w:val="-19"/>
        </w:rPr>
        <w:t xml:space="preserve"> </w:t>
      </w:r>
      <w:r>
        <w:t>que está a cargo del Ministerio de Igualdad y Equidad.</w:t>
      </w:r>
    </w:p>
    <w:p w14:paraId="761B5B47" w14:textId="77777777" w:rsidR="000E52B0" w:rsidRDefault="000E52B0">
      <w:pPr>
        <w:pStyle w:val="Textoindependiente"/>
        <w:spacing w:before="1"/>
        <w:ind w:left="0"/>
      </w:pPr>
    </w:p>
    <w:p w14:paraId="1289BC11" w14:textId="77777777" w:rsidR="000E52B0" w:rsidRDefault="00F60D74">
      <w:pPr>
        <w:pStyle w:val="Textoindependiente"/>
        <w:jc w:val="both"/>
      </w:pPr>
      <w:bookmarkStart w:id="184" w:name="_bookmark184"/>
      <w:bookmarkEnd w:id="184"/>
      <w:r>
        <w:rPr>
          <w:color w:val="770F47"/>
        </w:rPr>
        <w:t>Habitantes</w:t>
      </w:r>
      <w:r>
        <w:rPr>
          <w:color w:val="770F47"/>
          <w:spacing w:val="-5"/>
        </w:rPr>
        <w:t xml:space="preserve"> </w:t>
      </w:r>
      <w:r>
        <w:rPr>
          <w:color w:val="770F47"/>
        </w:rPr>
        <w:t>de</w:t>
      </w:r>
      <w:r>
        <w:rPr>
          <w:color w:val="770F47"/>
          <w:spacing w:val="-4"/>
        </w:rPr>
        <w:t xml:space="preserve"> </w:t>
      </w:r>
      <w:r>
        <w:rPr>
          <w:color w:val="770F47"/>
          <w:spacing w:val="-2"/>
        </w:rPr>
        <w:t>Calle</w:t>
      </w:r>
    </w:p>
    <w:p w14:paraId="490082A9" w14:textId="77777777" w:rsidR="000E52B0" w:rsidRDefault="000E52B0">
      <w:pPr>
        <w:pStyle w:val="Textoindependiente"/>
        <w:ind w:left="0"/>
      </w:pPr>
    </w:p>
    <w:p w14:paraId="33A166DC" w14:textId="77777777" w:rsidR="000E52B0" w:rsidRDefault="00F60D74">
      <w:pPr>
        <w:pStyle w:val="Textoindependiente"/>
        <w:ind w:right="717"/>
        <w:jc w:val="both"/>
      </w:pPr>
      <w:r>
        <w:t>En un país como Colombia donde se manifiestan diversas formas de discriminación</w:t>
      </w:r>
      <w:r>
        <w:rPr>
          <w:spacing w:val="35"/>
        </w:rPr>
        <w:t xml:space="preserve"> </w:t>
      </w:r>
      <w:r>
        <w:t>social,</w:t>
      </w:r>
      <w:r>
        <w:rPr>
          <w:spacing w:val="36"/>
        </w:rPr>
        <w:t xml:space="preserve"> </w:t>
      </w:r>
      <w:r>
        <w:t>económico,</w:t>
      </w:r>
      <w:r>
        <w:rPr>
          <w:spacing w:val="37"/>
        </w:rPr>
        <w:t xml:space="preserve"> </w:t>
      </w:r>
      <w:r>
        <w:t>político,</w:t>
      </w:r>
      <w:r>
        <w:rPr>
          <w:spacing w:val="38"/>
        </w:rPr>
        <w:t xml:space="preserve"> </w:t>
      </w:r>
      <w:r>
        <w:t>cultural</w:t>
      </w:r>
      <w:r>
        <w:rPr>
          <w:spacing w:val="37"/>
        </w:rPr>
        <w:t xml:space="preserve"> </w:t>
      </w:r>
      <w:r>
        <w:t>y</w:t>
      </w:r>
      <w:r>
        <w:rPr>
          <w:spacing w:val="37"/>
        </w:rPr>
        <w:t xml:space="preserve"> </w:t>
      </w:r>
      <w:r>
        <w:t>territorial,</w:t>
      </w:r>
      <w:r>
        <w:rPr>
          <w:spacing w:val="36"/>
        </w:rPr>
        <w:t xml:space="preserve"> </w:t>
      </w:r>
      <w:r>
        <w:t>se</w:t>
      </w:r>
      <w:r>
        <w:rPr>
          <w:spacing w:val="39"/>
        </w:rPr>
        <w:t xml:space="preserve"> </w:t>
      </w:r>
      <w:r>
        <w:rPr>
          <w:spacing w:val="-2"/>
        </w:rPr>
        <w:t>hacen</w:t>
      </w:r>
    </w:p>
    <w:p w14:paraId="51F3DB1D" w14:textId="77777777" w:rsidR="000E52B0" w:rsidRDefault="00F60D74">
      <w:pPr>
        <w:pStyle w:val="Textoindependiente"/>
        <w:spacing w:before="7"/>
        <w:ind w:left="0"/>
        <w:rPr>
          <w:sz w:val="11"/>
        </w:rPr>
      </w:pPr>
      <w:r>
        <w:rPr>
          <w:noProof/>
          <w:sz w:val="11"/>
        </w:rPr>
        <mc:AlternateContent>
          <mc:Choice Requires="wps">
            <w:drawing>
              <wp:anchor distT="0" distB="0" distL="0" distR="0" simplePos="0" relativeHeight="487674368" behindDoc="1" locked="0" layoutInCell="1" allowOverlap="1" wp14:anchorId="214E6C21" wp14:editId="5896FB8A">
                <wp:simplePos x="0" y="0"/>
                <wp:positionH relativeFrom="page">
                  <wp:posOffset>914704</wp:posOffset>
                </wp:positionH>
                <wp:positionV relativeFrom="paragraph">
                  <wp:posOffset>104656</wp:posOffset>
                </wp:positionV>
                <wp:extent cx="1829435" cy="7620"/>
                <wp:effectExtent l="0" t="0" r="0" b="0"/>
                <wp:wrapTopAndBottom/>
                <wp:docPr id="754" name="Graphic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62F372" id="Graphic 754" o:spid="_x0000_s1026" style="position:absolute;margin-left:1in;margin-top:8.25pt;width:144.05pt;height:.6pt;z-index:-156421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" path="m1829054,l,,,7619r1829054,l1829054,xe" fillcolor="black" stroked="f">
                <v:path arrowok="t"/>
                <w10:wrap type="topAndBottom" anchorx="page"/>
              </v:shape>
            </w:pict>
          </mc:Fallback>
        </mc:AlternateContent>
      </w:r>
    </w:p>
    <w:p w14:paraId="1329D588" w14:textId="77777777" w:rsidR="000E52B0" w:rsidRDefault="00F60D74">
      <w:pPr>
        <w:spacing w:before="96"/>
        <w:ind w:left="720"/>
        <w:rPr>
          <w:rFonts w:ascii="Arial MT"/>
          <w:sz w:val="18"/>
        </w:rPr>
      </w:pPr>
      <w:bookmarkStart w:id="185" w:name="_bookmark185"/>
      <w:bookmarkEnd w:id="185"/>
      <w:proofErr w:type="gramStart"/>
      <w:r>
        <w:rPr>
          <w:rFonts w:ascii="Arial MT"/>
          <w:spacing w:val="-2"/>
          <w:position w:val="6"/>
          <w:sz w:val="12"/>
        </w:rPr>
        <w:t>145</w:t>
      </w:r>
      <w:r>
        <w:rPr>
          <w:rFonts w:ascii="Arial MT"/>
          <w:spacing w:val="34"/>
          <w:position w:val="6"/>
          <w:sz w:val="12"/>
        </w:rPr>
        <w:t xml:space="preserve">  </w:t>
      </w:r>
      <w:r>
        <w:rPr>
          <w:rFonts w:ascii="Arial MT"/>
          <w:spacing w:val="-2"/>
          <w:sz w:val="18"/>
        </w:rPr>
        <w:t>https</w:t>
      </w:r>
      <w:proofErr w:type="gramEnd"/>
      <w:r>
        <w:rPr>
          <w:rFonts w:ascii="Arial MT"/>
          <w:spacing w:val="-2"/>
          <w:sz w:val="18"/>
        </w:rPr>
        <w:t>:/</w:t>
      </w:r>
      <w:hyperlink r:id="rId221">
        <w:r w:rsidR="000E52B0">
          <w:rPr>
            <w:rFonts w:ascii="Arial MT"/>
            <w:spacing w:val="-2"/>
            <w:sz w:val="18"/>
          </w:rPr>
          <w:t>/www.corteconstitucional.gov.co/relatoria/2013/T-598-13.htm</w:t>
        </w:r>
      </w:hyperlink>
    </w:p>
    <w:p w14:paraId="46F18EC2" w14:textId="77777777" w:rsidR="000E52B0" w:rsidRDefault="000E52B0">
      <w:pPr>
        <w:rPr>
          <w:rFonts w:ascii="Arial MT"/>
          <w:sz w:val="18"/>
        </w:rPr>
        <w:sectPr w:rsidR="000E52B0">
          <w:pgSz w:w="11910" w:h="16840"/>
          <w:pgMar w:top="1340" w:right="720" w:bottom="1180" w:left="720" w:header="0" w:footer="995" w:gutter="0"/>
          <w:cols w:space="720"/>
        </w:sectPr>
      </w:pPr>
    </w:p>
    <w:p w14:paraId="3BFE85D6" w14:textId="77777777" w:rsidR="000E52B0" w:rsidRDefault="00F60D74">
      <w:pPr>
        <w:pStyle w:val="Textoindependiente"/>
        <w:spacing w:before="83"/>
        <w:ind w:right="714"/>
        <w:jc w:val="both"/>
      </w:pPr>
      <w:r>
        <w:lastRenderedPageBreak/>
        <w:t>crecientes fenómenos como la exclusión social de y tratos inhumados contra</w:t>
      </w:r>
      <w:r>
        <w:rPr>
          <w:spacing w:val="-8"/>
        </w:rPr>
        <w:t xml:space="preserve"> </w:t>
      </w:r>
      <w:r>
        <w:t>personas</w:t>
      </w:r>
      <w:r>
        <w:rPr>
          <w:spacing w:val="-9"/>
        </w:rPr>
        <w:t xml:space="preserve"> </w:t>
      </w:r>
      <w:r>
        <w:t>de</w:t>
      </w:r>
      <w:r>
        <w:rPr>
          <w:spacing w:val="-8"/>
        </w:rPr>
        <w:t xml:space="preserve"> </w:t>
      </w:r>
      <w:r>
        <w:t>diferentes</w:t>
      </w:r>
      <w:r>
        <w:rPr>
          <w:spacing w:val="-9"/>
        </w:rPr>
        <w:t xml:space="preserve"> </w:t>
      </w:r>
      <w:r>
        <w:t>edades</w:t>
      </w:r>
      <w:r>
        <w:rPr>
          <w:spacing w:val="-9"/>
        </w:rPr>
        <w:t xml:space="preserve"> </w:t>
      </w:r>
      <w:r>
        <w:t>que</w:t>
      </w:r>
      <w:r>
        <w:rPr>
          <w:spacing w:val="-8"/>
        </w:rPr>
        <w:t xml:space="preserve"> </w:t>
      </w:r>
      <w:r>
        <w:t>se</w:t>
      </w:r>
      <w:r>
        <w:rPr>
          <w:spacing w:val="-8"/>
        </w:rPr>
        <w:t xml:space="preserve"> </w:t>
      </w:r>
      <w:r>
        <w:t>obligaron</w:t>
      </w:r>
      <w:r>
        <w:rPr>
          <w:spacing w:val="-9"/>
        </w:rPr>
        <w:t xml:space="preserve"> </w:t>
      </w:r>
      <w:r>
        <w:t>a</w:t>
      </w:r>
      <w:r>
        <w:rPr>
          <w:spacing w:val="-9"/>
        </w:rPr>
        <w:t xml:space="preserve"> </w:t>
      </w:r>
      <w:r>
        <w:t>habitar</w:t>
      </w:r>
      <w:r>
        <w:rPr>
          <w:spacing w:val="-8"/>
        </w:rPr>
        <w:t xml:space="preserve"> </w:t>
      </w:r>
      <w:r>
        <w:t>la</w:t>
      </w:r>
      <w:r>
        <w:rPr>
          <w:spacing w:val="-9"/>
        </w:rPr>
        <w:t xml:space="preserve"> </w:t>
      </w:r>
      <w:r>
        <w:t>calle</w:t>
      </w:r>
      <w:r>
        <w:rPr>
          <w:spacing w:val="-8"/>
        </w:rPr>
        <w:t xml:space="preserve"> </w:t>
      </w:r>
      <w:r>
        <w:t>en condiciones</w:t>
      </w:r>
      <w:r>
        <w:rPr>
          <w:spacing w:val="-6"/>
        </w:rPr>
        <w:t xml:space="preserve"> </w:t>
      </w:r>
      <w:r>
        <w:t>de</w:t>
      </w:r>
      <w:r>
        <w:rPr>
          <w:spacing w:val="-8"/>
        </w:rPr>
        <w:t xml:space="preserve"> </w:t>
      </w:r>
      <w:r>
        <w:t>vulnerabilidad</w:t>
      </w:r>
      <w:r>
        <w:rPr>
          <w:spacing w:val="-9"/>
        </w:rPr>
        <w:t xml:space="preserve"> </w:t>
      </w:r>
      <w:r>
        <w:t>y</w:t>
      </w:r>
      <w:r>
        <w:rPr>
          <w:spacing w:val="-7"/>
        </w:rPr>
        <w:t xml:space="preserve"> </w:t>
      </w:r>
      <w:r>
        <w:t>violación</w:t>
      </w:r>
      <w:r>
        <w:rPr>
          <w:spacing w:val="-9"/>
        </w:rPr>
        <w:t xml:space="preserve"> </w:t>
      </w:r>
      <w:r>
        <w:t>de</w:t>
      </w:r>
      <w:r>
        <w:rPr>
          <w:spacing w:val="-5"/>
        </w:rPr>
        <w:t xml:space="preserve"> </w:t>
      </w:r>
      <w:r>
        <w:t>sus</w:t>
      </w:r>
      <w:r>
        <w:rPr>
          <w:spacing w:val="-7"/>
        </w:rPr>
        <w:t xml:space="preserve"> </w:t>
      </w:r>
      <w:r>
        <w:t>derechos</w:t>
      </w:r>
      <w:r>
        <w:rPr>
          <w:b/>
        </w:rPr>
        <w:t>,</w:t>
      </w:r>
      <w:r>
        <w:rPr>
          <w:b/>
          <w:spacing w:val="-7"/>
        </w:rPr>
        <w:t xml:space="preserve"> </w:t>
      </w:r>
      <w:r>
        <w:t>situación</w:t>
      </w:r>
      <w:r>
        <w:rPr>
          <w:spacing w:val="-7"/>
        </w:rPr>
        <w:t xml:space="preserve"> </w:t>
      </w:r>
      <w:r>
        <w:t>que</w:t>
      </w:r>
      <w:r>
        <w:rPr>
          <w:spacing w:val="-8"/>
        </w:rPr>
        <w:t xml:space="preserve"> </w:t>
      </w:r>
      <w:r>
        <w:t>se intensifica</w:t>
      </w:r>
      <w:r>
        <w:rPr>
          <w:spacing w:val="-22"/>
        </w:rPr>
        <w:t xml:space="preserve"> </w:t>
      </w:r>
      <w:r>
        <w:t>debido</w:t>
      </w:r>
      <w:r>
        <w:rPr>
          <w:spacing w:val="-20"/>
        </w:rPr>
        <w:t xml:space="preserve"> </w:t>
      </w:r>
      <w:r>
        <w:t>a</w:t>
      </w:r>
      <w:r>
        <w:rPr>
          <w:spacing w:val="-21"/>
        </w:rPr>
        <w:t xml:space="preserve"> </w:t>
      </w:r>
      <w:r>
        <w:t>las</w:t>
      </w:r>
      <w:r>
        <w:rPr>
          <w:spacing w:val="-21"/>
        </w:rPr>
        <w:t xml:space="preserve"> </w:t>
      </w:r>
      <w:r>
        <w:t>condiciones</w:t>
      </w:r>
      <w:r>
        <w:rPr>
          <w:spacing w:val="-20"/>
        </w:rPr>
        <w:t xml:space="preserve"> </w:t>
      </w:r>
      <w:r>
        <w:t>graves</w:t>
      </w:r>
      <w:r>
        <w:rPr>
          <w:spacing w:val="-21"/>
        </w:rPr>
        <w:t xml:space="preserve"> </w:t>
      </w:r>
      <w:r>
        <w:t>de</w:t>
      </w:r>
      <w:r>
        <w:rPr>
          <w:spacing w:val="-20"/>
        </w:rPr>
        <w:t xml:space="preserve"> </w:t>
      </w:r>
      <w:r>
        <w:t>pobreza,</w:t>
      </w:r>
      <w:r>
        <w:rPr>
          <w:spacing w:val="-22"/>
        </w:rPr>
        <w:t xml:space="preserve"> </w:t>
      </w:r>
      <w:r>
        <w:t>fácil</w:t>
      </w:r>
      <w:r>
        <w:rPr>
          <w:spacing w:val="-21"/>
        </w:rPr>
        <w:t xml:space="preserve"> </w:t>
      </w:r>
      <w:r>
        <w:t>acceso</w:t>
      </w:r>
      <w:r>
        <w:rPr>
          <w:spacing w:val="-19"/>
        </w:rPr>
        <w:t xml:space="preserve"> </w:t>
      </w:r>
      <w:r>
        <w:t>a</w:t>
      </w:r>
      <w:r>
        <w:rPr>
          <w:spacing w:val="-21"/>
        </w:rPr>
        <w:t xml:space="preserve"> </w:t>
      </w:r>
      <w:r>
        <w:t>drogas y</w:t>
      </w:r>
      <w:r>
        <w:rPr>
          <w:spacing w:val="-22"/>
        </w:rPr>
        <w:t xml:space="preserve"> </w:t>
      </w:r>
      <w:r>
        <w:t>prevalencia</w:t>
      </w:r>
      <w:r>
        <w:rPr>
          <w:spacing w:val="-21"/>
        </w:rPr>
        <w:t xml:space="preserve"> </w:t>
      </w:r>
      <w:r>
        <w:t>de</w:t>
      </w:r>
      <w:r>
        <w:rPr>
          <w:spacing w:val="-21"/>
        </w:rPr>
        <w:t xml:space="preserve"> </w:t>
      </w:r>
      <w:r>
        <w:t>actos</w:t>
      </w:r>
      <w:r>
        <w:rPr>
          <w:spacing w:val="-21"/>
        </w:rPr>
        <w:t xml:space="preserve"> </w:t>
      </w:r>
      <w:r>
        <w:t>de</w:t>
      </w:r>
      <w:r>
        <w:rPr>
          <w:spacing w:val="-21"/>
        </w:rPr>
        <w:t xml:space="preserve"> </w:t>
      </w:r>
      <w:r>
        <w:t>violencia.</w:t>
      </w:r>
      <w:r>
        <w:rPr>
          <w:spacing w:val="-21"/>
        </w:rPr>
        <w:t xml:space="preserve"> </w:t>
      </w:r>
      <w:r>
        <w:t>La</w:t>
      </w:r>
      <w:r>
        <w:rPr>
          <w:spacing w:val="-21"/>
        </w:rPr>
        <w:t xml:space="preserve"> </w:t>
      </w:r>
      <w:r>
        <w:t>solución</w:t>
      </w:r>
      <w:r>
        <w:rPr>
          <w:spacing w:val="-21"/>
        </w:rPr>
        <w:t xml:space="preserve"> </w:t>
      </w:r>
      <w:r>
        <w:t>a</w:t>
      </w:r>
      <w:r>
        <w:rPr>
          <w:spacing w:val="-21"/>
        </w:rPr>
        <w:t xml:space="preserve"> </w:t>
      </w:r>
      <w:r>
        <w:t>la</w:t>
      </w:r>
      <w:r>
        <w:rPr>
          <w:spacing w:val="-21"/>
        </w:rPr>
        <w:t xml:space="preserve"> </w:t>
      </w:r>
      <w:r>
        <w:t>desigualdad</w:t>
      </w:r>
      <w:r>
        <w:rPr>
          <w:spacing w:val="-22"/>
        </w:rPr>
        <w:t xml:space="preserve"> </w:t>
      </w:r>
      <w:r>
        <w:t>e</w:t>
      </w:r>
      <w:r>
        <w:rPr>
          <w:spacing w:val="-20"/>
        </w:rPr>
        <w:t xml:space="preserve"> </w:t>
      </w:r>
      <w:r>
        <w:t>inequidad enfrentada por las personas habitantes de calle requiere una respuesta institucional</w:t>
      </w:r>
      <w:r>
        <w:rPr>
          <w:spacing w:val="-2"/>
        </w:rPr>
        <w:t xml:space="preserve"> </w:t>
      </w:r>
      <w:r>
        <w:t>que</w:t>
      </w:r>
      <w:r>
        <w:rPr>
          <w:spacing w:val="-3"/>
        </w:rPr>
        <w:t xml:space="preserve"> </w:t>
      </w:r>
      <w:r>
        <w:t>garantice</w:t>
      </w:r>
      <w:r>
        <w:rPr>
          <w:spacing w:val="-3"/>
        </w:rPr>
        <w:t xml:space="preserve"> </w:t>
      </w:r>
      <w:r>
        <w:t>la</w:t>
      </w:r>
      <w:r>
        <w:rPr>
          <w:spacing w:val="-1"/>
        </w:rPr>
        <w:t xml:space="preserve"> </w:t>
      </w:r>
      <w:r>
        <w:t>vida</w:t>
      </w:r>
      <w:r>
        <w:rPr>
          <w:spacing w:val="-3"/>
        </w:rPr>
        <w:t xml:space="preserve"> </w:t>
      </w:r>
      <w:r>
        <w:t>digna</w:t>
      </w:r>
      <w:r>
        <w:rPr>
          <w:spacing w:val="-1"/>
        </w:rPr>
        <w:t xml:space="preserve"> </w:t>
      </w:r>
      <w:r>
        <w:t>de</w:t>
      </w:r>
      <w:r>
        <w:rPr>
          <w:spacing w:val="-3"/>
        </w:rPr>
        <w:t xml:space="preserve"> </w:t>
      </w:r>
      <w:r>
        <w:t>la</w:t>
      </w:r>
      <w:r>
        <w:rPr>
          <w:spacing w:val="-2"/>
        </w:rPr>
        <w:t xml:space="preserve"> </w:t>
      </w:r>
      <w:r>
        <w:t>población</w:t>
      </w:r>
      <w:r>
        <w:rPr>
          <w:spacing w:val="-4"/>
        </w:rPr>
        <w:t xml:space="preserve"> </w:t>
      </w:r>
      <w:r>
        <w:t>habitante</w:t>
      </w:r>
      <w:r>
        <w:rPr>
          <w:spacing w:val="-3"/>
        </w:rPr>
        <w:t xml:space="preserve"> </w:t>
      </w:r>
      <w:r>
        <w:t>de</w:t>
      </w:r>
      <w:r>
        <w:rPr>
          <w:spacing w:val="-3"/>
        </w:rPr>
        <w:t xml:space="preserve"> </w:t>
      </w:r>
      <w:r>
        <w:t>calle, el acceso a bienes y servicios básicos y propender por la participación de este grupo poblacional en el ejercicio y exigibilidad de sus derechos.</w:t>
      </w:r>
    </w:p>
    <w:p w14:paraId="2E614905" w14:textId="77777777" w:rsidR="000E52B0" w:rsidRDefault="00F60D74">
      <w:pPr>
        <w:spacing w:before="291"/>
        <w:ind w:left="720" w:right="716"/>
        <w:jc w:val="both"/>
        <w:rPr>
          <w:i/>
          <w:sz w:val="24"/>
        </w:rPr>
      </w:pPr>
      <w:r>
        <w:rPr>
          <w:sz w:val="24"/>
        </w:rPr>
        <w:t>La</w:t>
      </w:r>
      <w:r>
        <w:rPr>
          <w:spacing w:val="-11"/>
          <w:sz w:val="24"/>
        </w:rPr>
        <w:t xml:space="preserve"> </w:t>
      </w:r>
      <w:r>
        <w:rPr>
          <w:sz w:val="24"/>
        </w:rPr>
        <w:t>Corte</w:t>
      </w:r>
      <w:r>
        <w:rPr>
          <w:spacing w:val="-10"/>
          <w:sz w:val="24"/>
        </w:rPr>
        <w:t xml:space="preserve"> </w:t>
      </w:r>
      <w:r>
        <w:rPr>
          <w:sz w:val="24"/>
        </w:rPr>
        <w:t>Constitucional</w:t>
      </w:r>
      <w:r>
        <w:rPr>
          <w:spacing w:val="-12"/>
          <w:sz w:val="24"/>
        </w:rPr>
        <w:t xml:space="preserve"> </w:t>
      </w:r>
      <w:r>
        <w:rPr>
          <w:sz w:val="24"/>
        </w:rPr>
        <w:t>en</w:t>
      </w:r>
      <w:r>
        <w:rPr>
          <w:spacing w:val="-12"/>
          <w:sz w:val="24"/>
        </w:rPr>
        <w:t xml:space="preserve"> </w:t>
      </w:r>
      <w:r>
        <w:rPr>
          <w:sz w:val="24"/>
        </w:rPr>
        <w:t>Sentencia</w:t>
      </w:r>
      <w:r>
        <w:rPr>
          <w:spacing w:val="-12"/>
          <w:sz w:val="24"/>
        </w:rPr>
        <w:t xml:space="preserve"> </w:t>
      </w:r>
      <w:r>
        <w:rPr>
          <w:sz w:val="24"/>
        </w:rPr>
        <w:t>C-062</w:t>
      </w:r>
      <w:r>
        <w:rPr>
          <w:spacing w:val="-10"/>
          <w:sz w:val="24"/>
        </w:rPr>
        <w:t xml:space="preserve"> </w:t>
      </w:r>
      <w:r>
        <w:rPr>
          <w:sz w:val="24"/>
        </w:rPr>
        <w:t>de</w:t>
      </w:r>
      <w:r>
        <w:rPr>
          <w:spacing w:val="-13"/>
          <w:sz w:val="24"/>
        </w:rPr>
        <w:t xml:space="preserve"> </w:t>
      </w:r>
      <w:r>
        <w:rPr>
          <w:sz w:val="24"/>
        </w:rPr>
        <w:t>2021</w:t>
      </w:r>
      <w:r>
        <w:rPr>
          <w:spacing w:val="-9"/>
          <w:sz w:val="24"/>
        </w:rPr>
        <w:t xml:space="preserve"> </w:t>
      </w:r>
      <w:r>
        <w:rPr>
          <w:sz w:val="24"/>
        </w:rPr>
        <w:t>(MS</w:t>
      </w:r>
      <w:r>
        <w:rPr>
          <w:spacing w:val="-11"/>
          <w:sz w:val="24"/>
        </w:rPr>
        <w:t xml:space="preserve"> </w:t>
      </w:r>
      <w:r>
        <w:rPr>
          <w:sz w:val="24"/>
        </w:rPr>
        <w:t>Gloria</w:t>
      </w:r>
      <w:r>
        <w:rPr>
          <w:spacing w:val="-13"/>
          <w:sz w:val="24"/>
        </w:rPr>
        <w:t xml:space="preserve"> </w:t>
      </w:r>
      <w:r>
        <w:rPr>
          <w:sz w:val="24"/>
        </w:rPr>
        <w:t>Stella</w:t>
      </w:r>
      <w:r>
        <w:rPr>
          <w:spacing w:val="-11"/>
          <w:sz w:val="24"/>
        </w:rPr>
        <w:t xml:space="preserve"> </w:t>
      </w:r>
      <w:r>
        <w:rPr>
          <w:sz w:val="24"/>
        </w:rPr>
        <w:t>Ortiz Delgado) tituló a los habitantes de la calle como sujetos de especial protección</w:t>
      </w:r>
      <w:r>
        <w:rPr>
          <w:spacing w:val="-17"/>
          <w:sz w:val="24"/>
        </w:rPr>
        <w:t xml:space="preserve"> </w:t>
      </w:r>
      <w:r>
        <w:rPr>
          <w:sz w:val="24"/>
        </w:rPr>
        <w:t>constitucional</w:t>
      </w:r>
      <w:r>
        <w:rPr>
          <w:spacing w:val="-17"/>
          <w:sz w:val="24"/>
        </w:rPr>
        <w:t xml:space="preserve"> </w:t>
      </w:r>
      <w:r>
        <w:rPr>
          <w:sz w:val="24"/>
        </w:rPr>
        <w:t>y</w:t>
      </w:r>
      <w:r>
        <w:rPr>
          <w:spacing w:val="-14"/>
          <w:sz w:val="24"/>
        </w:rPr>
        <w:t xml:space="preserve"> </w:t>
      </w:r>
      <w:r>
        <w:rPr>
          <w:sz w:val="24"/>
        </w:rPr>
        <w:t>se</w:t>
      </w:r>
      <w:r>
        <w:rPr>
          <w:spacing w:val="-15"/>
          <w:sz w:val="24"/>
        </w:rPr>
        <w:t xml:space="preserve"> </w:t>
      </w:r>
      <w:r>
        <w:rPr>
          <w:sz w:val="24"/>
        </w:rPr>
        <w:t>refirió</w:t>
      </w:r>
      <w:r>
        <w:rPr>
          <w:spacing w:val="-15"/>
          <w:sz w:val="24"/>
        </w:rPr>
        <w:t xml:space="preserve"> </w:t>
      </w:r>
      <w:r>
        <w:rPr>
          <w:sz w:val="24"/>
        </w:rPr>
        <w:t>a</w:t>
      </w:r>
      <w:r>
        <w:rPr>
          <w:spacing w:val="-16"/>
          <w:sz w:val="24"/>
        </w:rPr>
        <w:t xml:space="preserve"> </w:t>
      </w:r>
      <w:r>
        <w:rPr>
          <w:sz w:val="24"/>
        </w:rPr>
        <w:t>ellos</w:t>
      </w:r>
      <w:r>
        <w:rPr>
          <w:spacing w:val="-16"/>
          <w:sz w:val="24"/>
        </w:rPr>
        <w:t xml:space="preserve"> </w:t>
      </w:r>
      <w:r>
        <w:rPr>
          <w:sz w:val="24"/>
        </w:rPr>
        <w:t>como</w:t>
      </w:r>
      <w:r>
        <w:rPr>
          <w:spacing w:val="-15"/>
          <w:sz w:val="24"/>
        </w:rPr>
        <w:t xml:space="preserve"> </w:t>
      </w:r>
      <w:r>
        <w:rPr>
          <w:sz w:val="24"/>
        </w:rPr>
        <w:t>“</w:t>
      </w:r>
      <w:r>
        <w:rPr>
          <w:i/>
          <w:sz w:val="24"/>
        </w:rPr>
        <w:t>las</w:t>
      </w:r>
      <w:r>
        <w:rPr>
          <w:i/>
          <w:spacing w:val="-14"/>
          <w:sz w:val="24"/>
        </w:rPr>
        <w:t xml:space="preserve"> </w:t>
      </w:r>
      <w:r>
        <w:rPr>
          <w:i/>
          <w:sz w:val="24"/>
        </w:rPr>
        <w:t>personas</w:t>
      </w:r>
      <w:r>
        <w:rPr>
          <w:i/>
          <w:spacing w:val="-16"/>
          <w:sz w:val="24"/>
        </w:rPr>
        <w:t xml:space="preserve"> </w:t>
      </w:r>
      <w:r>
        <w:rPr>
          <w:i/>
          <w:sz w:val="24"/>
        </w:rPr>
        <w:t>que,</w:t>
      </w:r>
      <w:r>
        <w:rPr>
          <w:i/>
          <w:spacing w:val="-15"/>
          <w:sz w:val="24"/>
        </w:rPr>
        <w:t xml:space="preserve"> </w:t>
      </w:r>
      <w:r>
        <w:rPr>
          <w:i/>
          <w:sz w:val="24"/>
        </w:rPr>
        <w:t>debido a las condiciones especiales de pobreza</w:t>
      </w:r>
      <w:r>
        <w:rPr>
          <w:i/>
          <w:spacing w:val="-1"/>
          <w:sz w:val="24"/>
        </w:rPr>
        <w:t xml:space="preserve"> </w:t>
      </w:r>
      <w:r>
        <w:rPr>
          <w:i/>
          <w:sz w:val="24"/>
        </w:rPr>
        <w:t>y desigualdad social en las que se encuentran, carecen de los recursos económicos mínimos para subsistir dignamente y no cuentan con redes de apoyo familiar o social que concurran en su protección socioeconómica. Esa definición coincidió, en algunos elementos, con la establecida en el artículo 2º de la Ley 1641 de 2013[28],</w:t>
      </w:r>
      <w:r>
        <w:rPr>
          <w:i/>
          <w:spacing w:val="-12"/>
          <w:sz w:val="24"/>
        </w:rPr>
        <w:t xml:space="preserve"> </w:t>
      </w:r>
      <w:r>
        <w:rPr>
          <w:i/>
          <w:sz w:val="24"/>
        </w:rPr>
        <w:t>al</w:t>
      </w:r>
      <w:r>
        <w:rPr>
          <w:i/>
          <w:spacing w:val="-12"/>
          <w:sz w:val="24"/>
        </w:rPr>
        <w:t xml:space="preserve"> </w:t>
      </w:r>
      <w:r>
        <w:rPr>
          <w:i/>
          <w:sz w:val="24"/>
        </w:rPr>
        <w:t>disponer</w:t>
      </w:r>
      <w:r>
        <w:rPr>
          <w:i/>
          <w:spacing w:val="-10"/>
          <w:sz w:val="24"/>
        </w:rPr>
        <w:t xml:space="preserve"> </w:t>
      </w:r>
      <w:r>
        <w:rPr>
          <w:i/>
          <w:sz w:val="24"/>
        </w:rPr>
        <w:t>que</w:t>
      </w:r>
      <w:r>
        <w:rPr>
          <w:i/>
          <w:spacing w:val="-10"/>
          <w:sz w:val="24"/>
        </w:rPr>
        <w:t xml:space="preserve"> </w:t>
      </w:r>
      <w:r>
        <w:rPr>
          <w:i/>
          <w:sz w:val="24"/>
        </w:rPr>
        <w:t>un</w:t>
      </w:r>
      <w:r>
        <w:rPr>
          <w:i/>
          <w:spacing w:val="-12"/>
          <w:sz w:val="24"/>
        </w:rPr>
        <w:t xml:space="preserve"> </w:t>
      </w:r>
      <w:r>
        <w:rPr>
          <w:i/>
          <w:sz w:val="24"/>
        </w:rPr>
        <w:t>habitante</w:t>
      </w:r>
      <w:r>
        <w:rPr>
          <w:i/>
          <w:spacing w:val="-8"/>
          <w:sz w:val="24"/>
        </w:rPr>
        <w:t xml:space="preserve"> </w:t>
      </w:r>
      <w:r>
        <w:rPr>
          <w:i/>
          <w:sz w:val="24"/>
        </w:rPr>
        <w:t>de</w:t>
      </w:r>
      <w:r>
        <w:rPr>
          <w:i/>
          <w:spacing w:val="-10"/>
          <w:sz w:val="24"/>
        </w:rPr>
        <w:t xml:space="preserve"> </w:t>
      </w:r>
      <w:r>
        <w:rPr>
          <w:i/>
          <w:sz w:val="24"/>
        </w:rPr>
        <w:t>la</w:t>
      </w:r>
      <w:r>
        <w:rPr>
          <w:i/>
          <w:spacing w:val="-11"/>
          <w:sz w:val="24"/>
        </w:rPr>
        <w:t xml:space="preserve"> </w:t>
      </w:r>
      <w:r>
        <w:rPr>
          <w:i/>
          <w:sz w:val="24"/>
        </w:rPr>
        <w:t>calle</w:t>
      </w:r>
      <w:r>
        <w:rPr>
          <w:i/>
          <w:spacing w:val="-10"/>
          <w:sz w:val="24"/>
        </w:rPr>
        <w:t xml:space="preserve"> </w:t>
      </w:r>
      <w:r>
        <w:rPr>
          <w:i/>
          <w:sz w:val="24"/>
        </w:rPr>
        <w:t>es</w:t>
      </w:r>
      <w:r>
        <w:rPr>
          <w:i/>
          <w:spacing w:val="-11"/>
          <w:sz w:val="24"/>
        </w:rPr>
        <w:t xml:space="preserve"> </w:t>
      </w:r>
      <w:r>
        <w:rPr>
          <w:i/>
          <w:sz w:val="24"/>
        </w:rPr>
        <w:t>toda</w:t>
      </w:r>
      <w:r>
        <w:rPr>
          <w:i/>
          <w:spacing w:val="-11"/>
          <w:sz w:val="24"/>
        </w:rPr>
        <w:t xml:space="preserve"> </w:t>
      </w:r>
      <w:r>
        <w:rPr>
          <w:i/>
          <w:sz w:val="24"/>
        </w:rPr>
        <w:t>persona</w:t>
      </w:r>
      <w:r>
        <w:rPr>
          <w:i/>
          <w:spacing w:val="-11"/>
          <w:sz w:val="24"/>
        </w:rPr>
        <w:t xml:space="preserve"> </w:t>
      </w:r>
      <w:r>
        <w:rPr>
          <w:i/>
          <w:sz w:val="24"/>
        </w:rPr>
        <w:t>que,</w:t>
      </w:r>
      <w:r>
        <w:rPr>
          <w:i/>
          <w:spacing w:val="-12"/>
          <w:sz w:val="24"/>
        </w:rPr>
        <w:t xml:space="preserve"> </w:t>
      </w:r>
      <w:r>
        <w:rPr>
          <w:i/>
          <w:sz w:val="24"/>
        </w:rPr>
        <w:t>sin distinción</w:t>
      </w:r>
      <w:r>
        <w:rPr>
          <w:i/>
          <w:spacing w:val="-2"/>
          <w:sz w:val="24"/>
        </w:rPr>
        <w:t xml:space="preserve"> </w:t>
      </w:r>
      <w:r>
        <w:rPr>
          <w:i/>
          <w:sz w:val="24"/>
        </w:rPr>
        <w:t>de</w:t>
      </w:r>
      <w:r>
        <w:rPr>
          <w:i/>
          <w:spacing w:val="-1"/>
          <w:sz w:val="24"/>
        </w:rPr>
        <w:t xml:space="preserve"> </w:t>
      </w:r>
      <w:r>
        <w:rPr>
          <w:i/>
          <w:sz w:val="24"/>
        </w:rPr>
        <w:t>sexo,</w:t>
      </w:r>
      <w:r>
        <w:rPr>
          <w:i/>
          <w:spacing w:val="-3"/>
          <w:sz w:val="24"/>
        </w:rPr>
        <w:t xml:space="preserve"> </w:t>
      </w:r>
      <w:r>
        <w:rPr>
          <w:i/>
          <w:sz w:val="24"/>
        </w:rPr>
        <w:t>raza</w:t>
      </w:r>
      <w:r>
        <w:rPr>
          <w:i/>
          <w:spacing w:val="-2"/>
          <w:sz w:val="24"/>
        </w:rPr>
        <w:t xml:space="preserve"> </w:t>
      </w:r>
      <w:r>
        <w:rPr>
          <w:i/>
          <w:sz w:val="24"/>
        </w:rPr>
        <w:t>o</w:t>
      </w:r>
      <w:r>
        <w:rPr>
          <w:i/>
          <w:spacing w:val="-1"/>
          <w:sz w:val="24"/>
        </w:rPr>
        <w:t xml:space="preserve"> </w:t>
      </w:r>
      <w:r>
        <w:rPr>
          <w:i/>
          <w:sz w:val="24"/>
        </w:rPr>
        <w:t>edad,</w:t>
      </w:r>
      <w:r>
        <w:rPr>
          <w:i/>
          <w:spacing w:val="-3"/>
          <w:sz w:val="24"/>
        </w:rPr>
        <w:t xml:space="preserve"> </w:t>
      </w:r>
      <w:r>
        <w:rPr>
          <w:i/>
          <w:sz w:val="24"/>
        </w:rPr>
        <w:t>hace</w:t>
      </w:r>
      <w:r>
        <w:rPr>
          <w:i/>
          <w:spacing w:val="-1"/>
          <w:sz w:val="24"/>
        </w:rPr>
        <w:t xml:space="preserve"> </w:t>
      </w:r>
      <w:r>
        <w:rPr>
          <w:i/>
          <w:sz w:val="24"/>
        </w:rPr>
        <w:t>de</w:t>
      </w:r>
      <w:r>
        <w:rPr>
          <w:i/>
          <w:spacing w:val="-1"/>
          <w:sz w:val="24"/>
        </w:rPr>
        <w:t xml:space="preserve"> </w:t>
      </w:r>
      <w:r>
        <w:rPr>
          <w:i/>
          <w:sz w:val="24"/>
        </w:rPr>
        <w:t>la</w:t>
      </w:r>
      <w:r>
        <w:rPr>
          <w:i/>
          <w:spacing w:val="-2"/>
          <w:sz w:val="24"/>
        </w:rPr>
        <w:t xml:space="preserve"> </w:t>
      </w:r>
      <w:r>
        <w:rPr>
          <w:i/>
          <w:sz w:val="24"/>
        </w:rPr>
        <w:t>calle</w:t>
      </w:r>
      <w:r>
        <w:rPr>
          <w:i/>
          <w:spacing w:val="-1"/>
          <w:sz w:val="24"/>
        </w:rPr>
        <w:t xml:space="preserve"> </w:t>
      </w:r>
      <w:r>
        <w:rPr>
          <w:i/>
          <w:sz w:val="24"/>
        </w:rPr>
        <w:t>su lugar</w:t>
      </w:r>
      <w:r>
        <w:rPr>
          <w:i/>
          <w:spacing w:val="-1"/>
          <w:sz w:val="24"/>
        </w:rPr>
        <w:t xml:space="preserve"> </w:t>
      </w:r>
      <w:r>
        <w:rPr>
          <w:i/>
          <w:sz w:val="24"/>
        </w:rPr>
        <w:t>de habitación, ya sea de forma permanente o transitoria y que ha roto vínculos con su entorno familiar. Esta disposición también indica que quien habita en la calle, no cumple con la totalidad de los elementos para solventar las necesidades básicas de un ser humano (…).</w:t>
      </w:r>
    </w:p>
    <w:p w14:paraId="653B1C55" w14:textId="77777777" w:rsidR="000E52B0" w:rsidRDefault="00F60D74">
      <w:pPr>
        <w:pStyle w:val="Textoindependiente"/>
        <w:spacing w:before="160"/>
        <w:ind w:right="717"/>
        <w:jc w:val="both"/>
      </w:pPr>
      <w:r>
        <w:t>No obstante, la Sentencia C-385 de 2014 (MP Gabriel Eduardo Mendoza Martelo)</w:t>
      </w:r>
      <w:r>
        <w:rPr>
          <w:spacing w:val="-5"/>
        </w:rPr>
        <w:t xml:space="preserve"> </w:t>
      </w:r>
      <w:r>
        <w:t>declaró</w:t>
      </w:r>
      <w:r>
        <w:rPr>
          <w:spacing w:val="-2"/>
        </w:rPr>
        <w:t xml:space="preserve"> </w:t>
      </w:r>
      <w:r>
        <w:t>la</w:t>
      </w:r>
      <w:r>
        <w:rPr>
          <w:spacing w:val="-1"/>
        </w:rPr>
        <w:t xml:space="preserve"> </w:t>
      </w:r>
      <w:proofErr w:type="spellStart"/>
      <w:r>
        <w:t>inexequibilidad</w:t>
      </w:r>
      <w:proofErr w:type="spellEnd"/>
      <w:r>
        <w:rPr>
          <w:spacing w:val="-3"/>
        </w:rPr>
        <w:t xml:space="preserve"> </w:t>
      </w:r>
      <w:r>
        <w:t>del</w:t>
      </w:r>
      <w:r>
        <w:rPr>
          <w:spacing w:val="-5"/>
        </w:rPr>
        <w:t xml:space="preserve"> </w:t>
      </w:r>
      <w:r>
        <w:t>apartado</w:t>
      </w:r>
      <w:r>
        <w:rPr>
          <w:spacing w:val="-3"/>
        </w:rPr>
        <w:t xml:space="preserve"> </w:t>
      </w:r>
      <w:r>
        <w:t>y</w:t>
      </w:r>
      <w:r>
        <w:rPr>
          <w:spacing w:val="-3"/>
        </w:rPr>
        <w:t xml:space="preserve"> </w:t>
      </w:r>
      <w:r>
        <w:t>que</w:t>
      </w:r>
      <w:r>
        <w:rPr>
          <w:spacing w:val="-3"/>
        </w:rPr>
        <w:t xml:space="preserve"> </w:t>
      </w:r>
      <w:r>
        <w:t>ha</w:t>
      </w:r>
      <w:r>
        <w:rPr>
          <w:spacing w:val="-3"/>
        </w:rPr>
        <w:t xml:space="preserve"> </w:t>
      </w:r>
      <w:r>
        <w:t>roto</w:t>
      </w:r>
      <w:r>
        <w:rPr>
          <w:spacing w:val="-3"/>
        </w:rPr>
        <w:t xml:space="preserve"> </w:t>
      </w:r>
      <w:r>
        <w:t>vínculos</w:t>
      </w:r>
      <w:r>
        <w:rPr>
          <w:spacing w:val="-3"/>
        </w:rPr>
        <w:t xml:space="preserve"> </w:t>
      </w:r>
      <w:r>
        <w:t>con su entorno familiar por considerarlo violatorio de la igualdad. La Corte señaló</w:t>
      </w:r>
      <w:r>
        <w:rPr>
          <w:spacing w:val="-15"/>
        </w:rPr>
        <w:t xml:space="preserve"> </w:t>
      </w:r>
      <w:r>
        <w:t>que</w:t>
      </w:r>
      <w:r>
        <w:rPr>
          <w:spacing w:val="-15"/>
        </w:rPr>
        <w:t xml:space="preserve"> </w:t>
      </w:r>
      <w:r>
        <w:t>ante</w:t>
      </w:r>
      <w:r>
        <w:rPr>
          <w:spacing w:val="-15"/>
        </w:rPr>
        <w:t xml:space="preserve"> </w:t>
      </w:r>
      <w:r>
        <w:t>la</w:t>
      </w:r>
      <w:r>
        <w:rPr>
          <w:spacing w:val="-16"/>
        </w:rPr>
        <w:t xml:space="preserve"> </w:t>
      </w:r>
      <w:r>
        <w:t>ausencia</w:t>
      </w:r>
      <w:r>
        <w:rPr>
          <w:spacing w:val="-16"/>
        </w:rPr>
        <w:t xml:space="preserve"> </w:t>
      </w:r>
      <w:r>
        <w:t>de</w:t>
      </w:r>
      <w:r>
        <w:rPr>
          <w:spacing w:val="-13"/>
        </w:rPr>
        <w:t xml:space="preserve"> </w:t>
      </w:r>
      <w:r>
        <w:t>una</w:t>
      </w:r>
      <w:r>
        <w:rPr>
          <w:spacing w:val="-16"/>
        </w:rPr>
        <w:t xml:space="preserve"> </w:t>
      </w:r>
      <w:r>
        <w:t>definición</w:t>
      </w:r>
      <w:r>
        <w:rPr>
          <w:spacing w:val="-14"/>
        </w:rPr>
        <w:t xml:space="preserve"> </w:t>
      </w:r>
      <w:r>
        <w:t>constitucional</w:t>
      </w:r>
      <w:r>
        <w:rPr>
          <w:spacing w:val="-15"/>
        </w:rPr>
        <w:t xml:space="preserve"> </w:t>
      </w:r>
      <w:r>
        <w:t>de</w:t>
      </w:r>
      <w:r>
        <w:rPr>
          <w:spacing w:val="-15"/>
        </w:rPr>
        <w:t xml:space="preserve"> </w:t>
      </w:r>
      <w:r>
        <w:t>la</w:t>
      </w:r>
      <w:r>
        <w:rPr>
          <w:spacing w:val="-16"/>
        </w:rPr>
        <w:t xml:space="preserve"> </w:t>
      </w:r>
      <w:r>
        <w:t>expresión “habitante de la calle”, el Legislador está dotado de la facultad para proporcionarla y, en tal situación, se discute la amplitud de la potestad de configuración</w:t>
      </w:r>
      <w:r>
        <w:rPr>
          <w:spacing w:val="-2"/>
        </w:rPr>
        <w:t xml:space="preserve"> </w:t>
      </w:r>
      <w:r>
        <w:t>que le</w:t>
      </w:r>
      <w:r>
        <w:rPr>
          <w:spacing w:val="-1"/>
        </w:rPr>
        <w:t xml:space="preserve"> </w:t>
      </w:r>
      <w:r>
        <w:t>corresponde</w:t>
      </w:r>
      <w:r>
        <w:rPr>
          <w:spacing w:val="-1"/>
        </w:rPr>
        <w:t xml:space="preserve"> </w:t>
      </w:r>
      <w:r>
        <w:t>para</w:t>
      </w:r>
      <w:r>
        <w:rPr>
          <w:spacing w:val="-1"/>
        </w:rPr>
        <w:t xml:space="preserve"> </w:t>
      </w:r>
      <w:r>
        <w:t>precisar</w:t>
      </w:r>
      <w:r>
        <w:rPr>
          <w:spacing w:val="-1"/>
        </w:rPr>
        <w:t xml:space="preserve"> </w:t>
      </w:r>
      <w:r>
        <w:t>dicho</w:t>
      </w:r>
      <w:r>
        <w:rPr>
          <w:spacing w:val="-1"/>
        </w:rPr>
        <w:t xml:space="preserve"> </w:t>
      </w:r>
      <w:r>
        <w:t>concepto</w:t>
      </w:r>
      <w:r>
        <w:rPr>
          <w:spacing w:val="-1"/>
        </w:rPr>
        <w:t xml:space="preserve"> </w:t>
      </w:r>
      <w:r>
        <w:t>jurídico.</w:t>
      </w:r>
      <w:r>
        <w:rPr>
          <w:spacing w:val="-3"/>
        </w:rPr>
        <w:t xml:space="preserve"> </w:t>
      </w:r>
      <w:r>
        <w:t>En particular, manifestó que, aunque el mandato del artículo 13 superior no designa a los beneficiarios de las medidas favorables, es necesario tener en cuenta que la determinación de las PHC tiene el propósito superior de hacerlas titulares de una protección constitucionalmente debida.”</w:t>
      </w:r>
    </w:p>
    <w:p w14:paraId="27BAC8B7" w14:textId="77777777" w:rsidR="000E52B0" w:rsidRDefault="00F60D74">
      <w:pPr>
        <w:pStyle w:val="Textoindependiente"/>
        <w:spacing w:before="162" w:line="291" w:lineRule="exact"/>
        <w:jc w:val="both"/>
      </w:pPr>
      <w:r>
        <w:t>Por</w:t>
      </w:r>
      <w:r>
        <w:rPr>
          <w:spacing w:val="-6"/>
        </w:rPr>
        <w:t xml:space="preserve"> </w:t>
      </w:r>
      <w:r>
        <w:t>otra</w:t>
      </w:r>
      <w:r>
        <w:rPr>
          <w:spacing w:val="-4"/>
        </w:rPr>
        <w:t xml:space="preserve"> </w:t>
      </w:r>
      <w:r>
        <w:t>parte,</w:t>
      </w:r>
      <w:r>
        <w:rPr>
          <w:spacing w:val="-6"/>
        </w:rPr>
        <w:t xml:space="preserve"> </w:t>
      </w:r>
      <w:r>
        <w:t>mediante</w:t>
      </w:r>
      <w:r>
        <w:rPr>
          <w:spacing w:val="-3"/>
        </w:rPr>
        <w:t xml:space="preserve"> </w:t>
      </w:r>
      <w:r>
        <w:t>Sentencia</w:t>
      </w:r>
      <w:r>
        <w:rPr>
          <w:spacing w:val="-5"/>
        </w:rPr>
        <w:t xml:space="preserve"> </w:t>
      </w:r>
      <w:r>
        <w:t>T-266</w:t>
      </w:r>
      <w:r>
        <w:rPr>
          <w:spacing w:val="-4"/>
        </w:rPr>
        <w:t xml:space="preserve"> </w:t>
      </w:r>
      <w:r>
        <w:t>de</w:t>
      </w:r>
      <w:r>
        <w:rPr>
          <w:spacing w:val="-3"/>
        </w:rPr>
        <w:t xml:space="preserve"> </w:t>
      </w:r>
      <w:r>
        <w:t>2014</w:t>
      </w:r>
      <w:r>
        <w:rPr>
          <w:spacing w:val="-2"/>
        </w:rPr>
        <w:t xml:space="preserve"> </w:t>
      </w:r>
      <w:r>
        <w:t>(MP</w:t>
      </w:r>
      <w:r>
        <w:rPr>
          <w:spacing w:val="-6"/>
        </w:rPr>
        <w:t xml:space="preserve"> </w:t>
      </w:r>
      <w:r>
        <w:t>Alberto</w:t>
      </w:r>
      <w:r>
        <w:rPr>
          <w:spacing w:val="-4"/>
        </w:rPr>
        <w:t xml:space="preserve"> </w:t>
      </w:r>
      <w:r>
        <w:t>Rojas</w:t>
      </w:r>
      <w:r>
        <w:rPr>
          <w:spacing w:val="-5"/>
        </w:rPr>
        <w:t xml:space="preserve"> </w:t>
      </w:r>
      <w:r>
        <w:rPr>
          <w:spacing w:val="-2"/>
        </w:rPr>
        <w:t>Ríos)</w:t>
      </w:r>
    </w:p>
    <w:p w14:paraId="43B2D42B" w14:textId="77777777" w:rsidR="000E52B0" w:rsidRDefault="00F60D74">
      <w:pPr>
        <w:ind w:left="720" w:right="720"/>
        <w:jc w:val="both"/>
        <w:rPr>
          <w:i/>
          <w:sz w:val="24"/>
        </w:rPr>
      </w:pPr>
      <w:r>
        <w:rPr>
          <w:sz w:val="24"/>
        </w:rPr>
        <w:t xml:space="preserve">, esta corporación constitucional preciso que, </w:t>
      </w:r>
      <w:r>
        <w:rPr>
          <w:i/>
          <w:sz w:val="24"/>
        </w:rPr>
        <w:t>“con fundamento en el artículo 49 de la Constitución, se desarrolló un régimen legal encaminado a garantizar el acceso de todas las personas a la salud y sus diferentes modalidades de prestación, con lo cual se asegura que los grupos más marginados</w:t>
      </w:r>
      <w:r>
        <w:rPr>
          <w:i/>
          <w:spacing w:val="-8"/>
          <w:sz w:val="24"/>
        </w:rPr>
        <w:t xml:space="preserve"> </w:t>
      </w:r>
      <w:r>
        <w:rPr>
          <w:i/>
          <w:sz w:val="24"/>
        </w:rPr>
        <w:t>de</w:t>
      </w:r>
      <w:r>
        <w:rPr>
          <w:i/>
          <w:spacing w:val="-9"/>
          <w:sz w:val="24"/>
        </w:rPr>
        <w:t xml:space="preserve"> </w:t>
      </w:r>
      <w:r>
        <w:rPr>
          <w:i/>
          <w:sz w:val="24"/>
        </w:rPr>
        <w:t>la</w:t>
      </w:r>
      <w:r>
        <w:rPr>
          <w:i/>
          <w:spacing w:val="-10"/>
          <w:sz w:val="24"/>
        </w:rPr>
        <w:t xml:space="preserve"> </w:t>
      </w:r>
      <w:r>
        <w:rPr>
          <w:i/>
          <w:sz w:val="24"/>
        </w:rPr>
        <w:t>sociedad,</w:t>
      </w:r>
      <w:r>
        <w:rPr>
          <w:i/>
          <w:spacing w:val="-8"/>
          <w:sz w:val="24"/>
        </w:rPr>
        <w:t xml:space="preserve"> </w:t>
      </w:r>
      <w:r>
        <w:rPr>
          <w:i/>
          <w:sz w:val="24"/>
        </w:rPr>
        <w:t>incluidas</w:t>
      </w:r>
      <w:r>
        <w:rPr>
          <w:i/>
          <w:spacing w:val="-10"/>
          <w:sz w:val="24"/>
        </w:rPr>
        <w:t xml:space="preserve"> </w:t>
      </w:r>
      <w:r>
        <w:rPr>
          <w:i/>
          <w:sz w:val="24"/>
        </w:rPr>
        <w:t>las</w:t>
      </w:r>
      <w:r>
        <w:rPr>
          <w:i/>
          <w:spacing w:val="-8"/>
          <w:sz w:val="24"/>
        </w:rPr>
        <w:t xml:space="preserve"> </w:t>
      </w:r>
      <w:r>
        <w:rPr>
          <w:i/>
          <w:sz w:val="24"/>
        </w:rPr>
        <w:t>personas</w:t>
      </w:r>
      <w:r>
        <w:rPr>
          <w:i/>
          <w:spacing w:val="-10"/>
          <w:sz w:val="24"/>
        </w:rPr>
        <w:t xml:space="preserve"> </w:t>
      </w:r>
      <w:r>
        <w:rPr>
          <w:i/>
          <w:sz w:val="24"/>
        </w:rPr>
        <w:t>en</w:t>
      </w:r>
      <w:r>
        <w:rPr>
          <w:i/>
          <w:spacing w:val="-10"/>
          <w:sz w:val="24"/>
        </w:rPr>
        <w:t xml:space="preserve"> </w:t>
      </w:r>
      <w:r>
        <w:rPr>
          <w:i/>
          <w:sz w:val="24"/>
        </w:rPr>
        <w:t>condición</w:t>
      </w:r>
      <w:r>
        <w:rPr>
          <w:i/>
          <w:spacing w:val="-10"/>
          <w:sz w:val="24"/>
        </w:rPr>
        <w:t xml:space="preserve"> </w:t>
      </w:r>
      <w:r>
        <w:rPr>
          <w:i/>
          <w:sz w:val="24"/>
        </w:rPr>
        <w:t>de</w:t>
      </w:r>
      <w:r>
        <w:rPr>
          <w:i/>
          <w:spacing w:val="-9"/>
          <w:sz w:val="24"/>
        </w:rPr>
        <w:t xml:space="preserve"> </w:t>
      </w:r>
      <w:r>
        <w:rPr>
          <w:i/>
          <w:sz w:val="24"/>
        </w:rPr>
        <w:t>extrema pobreza y los habitantes de la calle que no están en capacidad de cumplir con los requisitos exigidos por la ley, tengan la posibilidad de acceder a la salud como derecho, y a los servicios médicos por ellos requeridos, como parte de la justicia social que orienta al Estado social de derecho”.</w:t>
      </w:r>
    </w:p>
    <w:p w14:paraId="3E825E99" w14:textId="77777777" w:rsidR="000E52B0" w:rsidRDefault="000E52B0">
      <w:pPr>
        <w:jc w:val="both"/>
        <w:rPr>
          <w:i/>
          <w:sz w:val="24"/>
        </w:rPr>
        <w:sectPr w:rsidR="000E52B0">
          <w:pgSz w:w="11910" w:h="16840"/>
          <w:pgMar w:top="1340" w:right="720" w:bottom="1180" w:left="720" w:header="0" w:footer="995" w:gutter="0"/>
          <w:cols w:space="720"/>
        </w:sectPr>
      </w:pPr>
    </w:p>
    <w:p w14:paraId="2A73D96B" w14:textId="77777777" w:rsidR="000E52B0" w:rsidRDefault="00F60D74">
      <w:pPr>
        <w:spacing w:before="83"/>
        <w:ind w:left="720" w:right="720"/>
        <w:jc w:val="both"/>
        <w:rPr>
          <w:sz w:val="24"/>
        </w:rPr>
      </w:pPr>
      <w:r>
        <w:rPr>
          <w:sz w:val="24"/>
        </w:rPr>
        <w:lastRenderedPageBreak/>
        <w:t>En</w:t>
      </w:r>
      <w:r>
        <w:rPr>
          <w:spacing w:val="-10"/>
          <w:sz w:val="24"/>
        </w:rPr>
        <w:t xml:space="preserve"> </w:t>
      </w:r>
      <w:r>
        <w:rPr>
          <w:sz w:val="24"/>
        </w:rPr>
        <w:t>cuanto</w:t>
      </w:r>
      <w:r>
        <w:rPr>
          <w:spacing w:val="-8"/>
          <w:sz w:val="24"/>
        </w:rPr>
        <w:t xml:space="preserve"> </w:t>
      </w:r>
      <w:r>
        <w:rPr>
          <w:sz w:val="24"/>
        </w:rPr>
        <w:t>a</w:t>
      </w:r>
      <w:r>
        <w:rPr>
          <w:spacing w:val="-9"/>
          <w:sz w:val="24"/>
        </w:rPr>
        <w:t xml:space="preserve"> </w:t>
      </w:r>
      <w:r>
        <w:rPr>
          <w:sz w:val="24"/>
        </w:rPr>
        <w:t>la</w:t>
      </w:r>
      <w:r>
        <w:rPr>
          <w:spacing w:val="-9"/>
          <w:sz w:val="24"/>
        </w:rPr>
        <w:t xml:space="preserve"> </w:t>
      </w:r>
      <w:r>
        <w:rPr>
          <w:sz w:val="24"/>
        </w:rPr>
        <w:t>situación</w:t>
      </w:r>
      <w:r>
        <w:rPr>
          <w:spacing w:val="-9"/>
          <w:sz w:val="24"/>
        </w:rPr>
        <w:t xml:space="preserve"> </w:t>
      </w:r>
      <w:r>
        <w:rPr>
          <w:sz w:val="24"/>
        </w:rPr>
        <w:t>de</w:t>
      </w:r>
      <w:r>
        <w:rPr>
          <w:spacing w:val="-8"/>
          <w:sz w:val="24"/>
        </w:rPr>
        <w:t xml:space="preserve"> </w:t>
      </w:r>
      <w:r>
        <w:rPr>
          <w:sz w:val="24"/>
        </w:rPr>
        <w:t>pobreza</w:t>
      </w:r>
      <w:r>
        <w:rPr>
          <w:spacing w:val="-9"/>
          <w:sz w:val="24"/>
        </w:rPr>
        <w:t xml:space="preserve"> </w:t>
      </w:r>
      <w:r>
        <w:rPr>
          <w:sz w:val="24"/>
        </w:rPr>
        <w:t>extrema</w:t>
      </w:r>
      <w:r>
        <w:rPr>
          <w:spacing w:val="-9"/>
          <w:sz w:val="24"/>
        </w:rPr>
        <w:t xml:space="preserve"> </w:t>
      </w:r>
      <w:r>
        <w:rPr>
          <w:sz w:val="24"/>
        </w:rPr>
        <w:t>y</w:t>
      </w:r>
      <w:r>
        <w:rPr>
          <w:spacing w:val="-9"/>
          <w:sz w:val="24"/>
        </w:rPr>
        <w:t xml:space="preserve"> </w:t>
      </w:r>
      <w:r>
        <w:rPr>
          <w:sz w:val="24"/>
        </w:rPr>
        <w:t>desigualdad</w:t>
      </w:r>
      <w:r>
        <w:rPr>
          <w:spacing w:val="-7"/>
          <w:sz w:val="24"/>
        </w:rPr>
        <w:t xml:space="preserve"> </w:t>
      </w:r>
      <w:r>
        <w:rPr>
          <w:sz w:val="24"/>
        </w:rPr>
        <w:t>social</w:t>
      </w:r>
      <w:r>
        <w:rPr>
          <w:spacing w:val="-10"/>
          <w:sz w:val="24"/>
        </w:rPr>
        <w:t xml:space="preserve"> </w:t>
      </w:r>
      <w:r>
        <w:rPr>
          <w:sz w:val="24"/>
        </w:rPr>
        <w:t>en</w:t>
      </w:r>
      <w:r>
        <w:rPr>
          <w:spacing w:val="-9"/>
          <w:sz w:val="24"/>
        </w:rPr>
        <w:t xml:space="preserve"> </w:t>
      </w:r>
      <w:r>
        <w:rPr>
          <w:sz w:val="24"/>
        </w:rPr>
        <w:t>la</w:t>
      </w:r>
      <w:r>
        <w:rPr>
          <w:spacing w:val="-9"/>
          <w:sz w:val="24"/>
        </w:rPr>
        <w:t xml:space="preserve"> </w:t>
      </w:r>
      <w:r>
        <w:rPr>
          <w:sz w:val="24"/>
        </w:rPr>
        <w:t xml:space="preserve">que viven los habitantes de la calle en Colombia, este máximo tribunal ha manifestado que, </w:t>
      </w:r>
      <w:r>
        <w:rPr>
          <w:i/>
          <w:sz w:val="24"/>
        </w:rPr>
        <w:t xml:space="preserve">“sus causas estructurales [deben ser] combatidas mediante políticas legislativas y macro - económicas. Sus efectos, en cambio, exigen de una intervención estatal directa e inmediata, cuyo fundamento no es otro que la naturaleza social del Estado y la efectividad de los principios, derechos y deberes consagrados en la Constitución” </w:t>
      </w:r>
      <w:r>
        <w:rPr>
          <w:sz w:val="24"/>
        </w:rPr>
        <w:t>(Sentencia T-092 de 2015 MP Gloria Stella Ortiz Delgado).</w:t>
      </w:r>
    </w:p>
    <w:p w14:paraId="39689C70" w14:textId="77777777" w:rsidR="000E52B0" w:rsidRDefault="00F60D74">
      <w:pPr>
        <w:pStyle w:val="Textoindependiente"/>
        <w:spacing w:before="158"/>
        <w:ind w:right="716"/>
        <w:jc w:val="both"/>
      </w:pPr>
      <w:r>
        <w:t>Con relación a la falta de acceso de la población habitante de calle a infraestructura sanitaria, la Corte en Sentencia C-062 de 2021 (MP Gloria Stella Ortiz Delgado) señaló que esto implica una grave afectación de su derecho a la dignidad humana, particularmente en sus componentes de autonomía</w:t>
      </w:r>
      <w:r>
        <w:rPr>
          <w:spacing w:val="-3"/>
        </w:rPr>
        <w:t xml:space="preserve"> </w:t>
      </w:r>
      <w:r>
        <w:t>y</w:t>
      </w:r>
      <w:r>
        <w:rPr>
          <w:spacing w:val="-3"/>
        </w:rPr>
        <w:t xml:space="preserve"> </w:t>
      </w:r>
      <w:r>
        <w:t>goce</w:t>
      </w:r>
      <w:r>
        <w:rPr>
          <w:spacing w:val="-2"/>
        </w:rPr>
        <w:t xml:space="preserve"> </w:t>
      </w:r>
      <w:r>
        <w:t>de</w:t>
      </w:r>
      <w:r>
        <w:rPr>
          <w:spacing w:val="-2"/>
        </w:rPr>
        <w:t xml:space="preserve"> </w:t>
      </w:r>
      <w:r>
        <w:t>condiciones</w:t>
      </w:r>
      <w:r>
        <w:rPr>
          <w:spacing w:val="-2"/>
        </w:rPr>
        <w:t xml:space="preserve"> </w:t>
      </w:r>
      <w:r>
        <w:t>materiales</w:t>
      </w:r>
      <w:r>
        <w:rPr>
          <w:spacing w:val="-2"/>
        </w:rPr>
        <w:t xml:space="preserve"> </w:t>
      </w:r>
      <w:r>
        <w:t>mínimas</w:t>
      </w:r>
      <w:r>
        <w:rPr>
          <w:spacing w:val="-3"/>
        </w:rPr>
        <w:t xml:space="preserve"> </w:t>
      </w:r>
      <w:r>
        <w:t>para</w:t>
      </w:r>
      <w:r>
        <w:rPr>
          <w:spacing w:val="-2"/>
        </w:rPr>
        <w:t xml:space="preserve"> </w:t>
      </w:r>
      <w:r>
        <w:t>la</w:t>
      </w:r>
      <w:r>
        <w:rPr>
          <w:spacing w:val="-3"/>
        </w:rPr>
        <w:t xml:space="preserve"> </w:t>
      </w:r>
      <w:r>
        <w:t>subsistencia. No es posible adoptar decisiones libres y carentes de coacción cuando aspectos</w:t>
      </w:r>
      <w:r>
        <w:rPr>
          <w:spacing w:val="-13"/>
        </w:rPr>
        <w:t xml:space="preserve"> </w:t>
      </w:r>
      <w:r>
        <w:t>naturales</w:t>
      </w:r>
      <w:r>
        <w:rPr>
          <w:spacing w:val="-8"/>
        </w:rPr>
        <w:t xml:space="preserve"> </w:t>
      </w:r>
      <w:r>
        <w:t>y</w:t>
      </w:r>
      <w:r>
        <w:rPr>
          <w:spacing w:val="-13"/>
        </w:rPr>
        <w:t xml:space="preserve"> </w:t>
      </w:r>
      <w:r>
        <w:t>básicos</w:t>
      </w:r>
      <w:r>
        <w:rPr>
          <w:spacing w:val="-10"/>
        </w:rPr>
        <w:t xml:space="preserve"> </w:t>
      </w:r>
      <w:r>
        <w:t>de</w:t>
      </w:r>
      <w:r>
        <w:rPr>
          <w:spacing w:val="-12"/>
        </w:rPr>
        <w:t xml:space="preserve"> </w:t>
      </w:r>
      <w:r>
        <w:t>la</w:t>
      </w:r>
      <w:r>
        <w:rPr>
          <w:spacing w:val="-11"/>
        </w:rPr>
        <w:t xml:space="preserve"> </w:t>
      </w:r>
      <w:r>
        <w:t>existencia</w:t>
      </w:r>
      <w:r>
        <w:rPr>
          <w:spacing w:val="-13"/>
        </w:rPr>
        <w:t xml:space="preserve"> </w:t>
      </w:r>
      <w:r>
        <w:t>biológica,</w:t>
      </w:r>
      <w:r>
        <w:rPr>
          <w:spacing w:val="-12"/>
        </w:rPr>
        <w:t xml:space="preserve"> </w:t>
      </w:r>
      <w:r>
        <w:t>como</w:t>
      </w:r>
      <w:r>
        <w:rPr>
          <w:spacing w:val="-12"/>
        </w:rPr>
        <w:t xml:space="preserve"> </w:t>
      </w:r>
      <w:r>
        <w:t>es</w:t>
      </w:r>
      <w:r>
        <w:rPr>
          <w:spacing w:val="-13"/>
        </w:rPr>
        <w:t xml:space="preserve"> </w:t>
      </w:r>
      <w:r>
        <w:t>realizar</w:t>
      </w:r>
      <w:r>
        <w:rPr>
          <w:spacing w:val="-11"/>
        </w:rPr>
        <w:t xml:space="preserve"> </w:t>
      </w:r>
      <w:r>
        <w:t>las necesidades fisiológicas, no pueden adelantarse bajo presupuestos esenciales, como es contar con un lugar adecuado para el efecto.</w:t>
      </w:r>
    </w:p>
    <w:p w14:paraId="7D4641DC" w14:textId="77777777" w:rsidR="000E52B0" w:rsidRDefault="00F60D74">
      <w:pPr>
        <w:pStyle w:val="Textoindependiente"/>
        <w:spacing w:before="161"/>
        <w:ind w:right="718"/>
        <w:jc w:val="both"/>
      </w:pPr>
      <w:r>
        <w:t>En</w:t>
      </w:r>
      <w:r>
        <w:rPr>
          <w:spacing w:val="-15"/>
        </w:rPr>
        <w:t xml:space="preserve"> </w:t>
      </w:r>
      <w:r>
        <w:t>concordancia</w:t>
      </w:r>
      <w:r>
        <w:rPr>
          <w:spacing w:val="-14"/>
        </w:rPr>
        <w:t xml:space="preserve"> </w:t>
      </w:r>
      <w:r>
        <w:t>con</w:t>
      </w:r>
      <w:r>
        <w:rPr>
          <w:spacing w:val="-12"/>
        </w:rPr>
        <w:t xml:space="preserve"> </w:t>
      </w:r>
      <w:r>
        <w:t>lo</w:t>
      </w:r>
      <w:r>
        <w:rPr>
          <w:spacing w:val="-13"/>
        </w:rPr>
        <w:t xml:space="preserve"> </w:t>
      </w:r>
      <w:r>
        <w:t>ates</w:t>
      </w:r>
      <w:r>
        <w:rPr>
          <w:spacing w:val="-14"/>
        </w:rPr>
        <w:t xml:space="preserve"> </w:t>
      </w:r>
      <w:r>
        <w:t>descrito,</w:t>
      </w:r>
      <w:r>
        <w:rPr>
          <w:spacing w:val="40"/>
        </w:rPr>
        <w:t xml:space="preserve"> </w:t>
      </w:r>
      <w:r>
        <w:t>la</w:t>
      </w:r>
      <w:r>
        <w:rPr>
          <w:spacing w:val="-14"/>
        </w:rPr>
        <w:t xml:space="preserve"> </w:t>
      </w:r>
      <w:r>
        <w:t>Honorable</w:t>
      </w:r>
      <w:r>
        <w:rPr>
          <w:spacing w:val="-13"/>
        </w:rPr>
        <w:t xml:space="preserve"> </w:t>
      </w:r>
      <w:r>
        <w:t>Corte</w:t>
      </w:r>
      <w:r>
        <w:rPr>
          <w:spacing w:val="-15"/>
        </w:rPr>
        <w:t xml:space="preserve"> </w:t>
      </w:r>
      <w:r>
        <w:t>Constitucional</w:t>
      </w:r>
      <w:r>
        <w:rPr>
          <w:spacing w:val="40"/>
        </w:rPr>
        <w:t xml:space="preserve"> </w:t>
      </w:r>
      <w:r>
        <w:t>en Sentencia</w:t>
      </w:r>
      <w:r>
        <w:rPr>
          <w:spacing w:val="-4"/>
        </w:rPr>
        <w:t xml:space="preserve"> </w:t>
      </w:r>
      <w:r>
        <w:t>T-398</w:t>
      </w:r>
      <w:r>
        <w:rPr>
          <w:spacing w:val="-5"/>
        </w:rPr>
        <w:t xml:space="preserve"> </w:t>
      </w:r>
      <w:r>
        <w:t>de</w:t>
      </w:r>
      <w:r>
        <w:rPr>
          <w:spacing w:val="-5"/>
        </w:rPr>
        <w:t xml:space="preserve"> </w:t>
      </w:r>
      <w:r>
        <w:t>2019</w:t>
      </w:r>
      <w:r>
        <w:rPr>
          <w:spacing w:val="-3"/>
        </w:rPr>
        <w:t xml:space="preserve"> </w:t>
      </w:r>
      <w:r>
        <w:t>(MP</w:t>
      </w:r>
      <w:r>
        <w:rPr>
          <w:spacing w:val="-5"/>
        </w:rPr>
        <w:t xml:space="preserve"> </w:t>
      </w:r>
      <w:r>
        <w:t>Alberto</w:t>
      </w:r>
      <w:r>
        <w:rPr>
          <w:spacing w:val="-6"/>
        </w:rPr>
        <w:t xml:space="preserve"> </w:t>
      </w:r>
      <w:r>
        <w:t>Rojas</w:t>
      </w:r>
      <w:r>
        <w:rPr>
          <w:spacing w:val="-7"/>
        </w:rPr>
        <w:t xml:space="preserve"> </w:t>
      </w:r>
      <w:r>
        <w:t>Ríos)</w:t>
      </w:r>
      <w:r>
        <w:rPr>
          <w:spacing w:val="-4"/>
        </w:rPr>
        <w:t xml:space="preserve"> </w:t>
      </w:r>
      <w:r>
        <w:t>subrayó</w:t>
      </w:r>
      <w:r>
        <w:rPr>
          <w:spacing w:val="-1"/>
        </w:rPr>
        <w:t xml:space="preserve"> </w:t>
      </w:r>
      <w:r>
        <w:t>que,</w:t>
      </w:r>
      <w:r>
        <w:rPr>
          <w:spacing w:val="-7"/>
        </w:rPr>
        <w:t xml:space="preserve"> </w:t>
      </w:r>
      <w:r>
        <w:t>en</w:t>
      </w:r>
      <w:r>
        <w:rPr>
          <w:spacing w:val="-5"/>
        </w:rPr>
        <w:t xml:space="preserve"> </w:t>
      </w:r>
      <w:r>
        <w:t>materia de</w:t>
      </w:r>
      <w:r>
        <w:rPr>
          <w:spacing w:val="-1"/>
        </w:rPr>
        <w:t xml:space="preserve"> </w:t>
      </w:r>
      <w:r>
        <w:t>dignidad de</w:t>
      </w:r>
      <w:r>
        <w:rPr>
          <w:spacing w:val="-1"/>
        </w:rPr>
        <w:t xml:space="preserve"> </w:t>
      </w:r>
      <w:r>
        <w:t>la</w:t>
      </w:r>
      <w:r>
        <w:rPr>
          <w:spacing w:val="-2"/>
        </w:rPr>
        <w:t xml:space="preserve"> </w:t>
      </w:r>
      <w:r>
        <w:t>mujer</w:t>
      </w:r>
      <w:r>
        <w:rPr>
          <w:spacing w:val="-1"/>
        </w:rPr>
        <w:t xml:space="preserve"> </w:t>
      </w:r>
      <w:r>
        <w:t>habitante</w:t>
      </w:r>
      <w:r>
        <w:rPr>
          <w:spacing w:val="-1"/>
        </w:rPr>
        <w:t xml:space="preserve"> </w:t>
      </w:r>
      <w:r>
        <w:t>de</w:t>
      </w:r>
      <w:r>
        <w:rPr>
          <w:spacing w:val="-1"/>
        </w:rPr>
        <w:t xml:space="preserve"> </w:t>
      </w:r>
      <w:r>
        <w:t>calle</w:t>
      </w:r>
      <w:r>
        <w:rPr>
          <w:spacing w:val="-1"/>
        </w:rPr>
        <w:t xml:space="preserve"> </w:t>
      </w:r>
      <w:r>
        <w:t>y</w:t>
      </w:r>
      <w:r>
        <w:rPr>
          <w:spacing w:val="-2"/>
        </w:rPr>
        <w:t xml:space="preserve"> </w:t>
      </w:r>
      <w:r>
        <w:t>gestión de</w:t>
      </w:r>
      <w:r>
        <w:rPr>
          <w:spacing w:val="-1"/>
        </w:rPr>
        <w:t xml:space="preserve"> </w:t>
      </w:r>
      <w:r>
        <w:t>higiene</w:t>
      </w:r>
      <w:r>
        <w:rPr>
          <w:spacing w:val="-1"/>
        </w:rPr>
        <w:t xml:space="preserve"> </w:t>
      </w:r>
      <w:r>
        <w:t xml:space="preserve">menstrual, en particular, el Estado está en la obligación de brindar instalaciones adecuadas, como baños públicos, hogares de paso, entre otros, para que las mujeres puedan realizar las actividades (entre ellas higiene) relacionadas con su proyecto de vida; y el Estado debe tomar todas las medidas necesarias para que superen las situaciones de estigmatización y </w:t>
      </w:r>
      <w:r>
        <w:rPr>
          <w:spacing w:val="-2"/>
        </w:rPr>
        <w:t>exclusión.</w:t>
      </w:r>
    </w:p>
    <w:p w14:paraId="0B599893" w14:textId="77777777" w:rsidR="000E52B0" w:rsidRDefault="00F60D74">
      <w:pPr>
        <w:spacing w:before="160"/>
        <w:ind w:left="720" w:right="717"/>
        <w:jc w:val="both"/>
        <w:rPr>
          <w:sz w:val="24"/>
        </w:rPr>
      </w:pPr>
      <w:r>
        <w:rPr>
          <w:sz w:val="24"/>
        </w:rPr>
        <w:t>Respecto</w:t>
      </w:r>
      <w:r>
        <w:rPr>
          <w:spacing w:val="-18"/>
          <w:sz w:val="24"/>
        </w:rPr>
        <w:t xml:space="preserve"> </w:t>
      </w:r>
      <w:r>
        <w:rPr>
          <w:sz w:val="24"/>
        </w:rPr>
        <w:t>al</w:t>
      </w:r>
      <w:r>
        <w:rPr>
          <w:spacing w:val="-20"/>
          <w:sz w:val="24"/>
        </w:rPr>
        <w:t xml:space="preserve"> </w:t>
      </w:r>
      <w:r>
        <w:rPr>
          <w:sz w:val="24"/>
        </w:rPr>
        <w:t>tema</w:t>
      </w:r>
      <w:r>
        <w:rPr>
          <w:spacing w:val="-18"/>
          <w:sz w:val="24"/>
        </w:rPr>
        <w:t xml:space="preserve"> </w:t>
      </w:r>
      <w:r>
        <w:rPr>
          <w:sz w:val="24"/>
        </w:rPr>
        <w:t>de</w:t>
      </w:r>
      <w:r>
        <w:rPr>
          <w:spacing w:val="-20"/>
          <w:sz w:val="24"/>
        </w:rPr>
        <w:t xml:space="preserve"> </w:t>
      </w:r>
      <w:r>
        <w:rPr>
          <w:sz w:val="24"/>
        </w:rPr>
        <w:t>salud,</w:t>
      </w:r>
      <w:r>
        <w:rPr>
          <w:spacing w:val="-19"/>
          <w:sz w:val="24"/>
        </w:rPr>
        <w:t xml:space="preserve"> </w:t>
      </w:r>
      <w:r>
        <w:rPr>
          <w:sz w:val="24"/>
        </w:rPr>
        <w:t>el</w:t>
      </w:r>
      <w:r>
        <w:rPr>
          <w:spacing w:val="-19"/>
          <w:sz w:val="24"/>
        </w:rPr>
        <w:t xml:space="preserve"> </w:t>
      </w:r>
      <w:r>
        <w:rPr>
          <w:sz w:val="24"/>
        </w:rPr>
        <w:t>Tribunal</w:t>
      </w:r>
      <w:r>
        <w:rPr>
          <w:spacing w:val="-19"/>
          <w:sz w:val="24"/>
        </w:rPr>
        <w:t xml:space="preserve"> </w:t>
      </w:r>
      <w:r>
        <w:rPr>
          <w:sz w:val="24"/>
        </w:rPr>
        <w:t>Constitucional</w:t>
      </w:r>
      <w:r>
        <w:rPr>
          <w:spacing w:val="-19"/>
          <w:sz w:val="24"/>
        </w:rPr>
        <w:t xml:space="preserve"> </w:t>
      </w:r>
      <w:r>
        <w:rPr>
          <w:sz w:val="24"/>
        </w:rPr>
        <w:t>es</w:t>
      </w:r>
      <w:r>
        <w:rPr>
          <w:spacing w:val="-19"/>
          <w:sz w:val="24"/>
        </w:rPr>
        <w:t xml:space="preserve"> </w:t>
      </w:r>
      <w:r>
        <w:rPr>
          <w:sz w:val="24"/>
        </w:rPr>
        <w:t>claro</w:t>
      </w:r>
      <w:r>
        <w:rPr>
          <w:spacing w:val="-17"/>
          <w:sz w:val="24"/>
        </w:rPr>
        <w:t xml:space="preserve"> </w:t>
      </w:r>
      <w:r>
        <w:rPr>
          <w:sz w:val="24"/>
        </w:rPr>
        <w:t>al</w:t>
      </w:r>
      <w:r>
        <w:rPr>
          <w:spacing w:val="-20"/>
          <w:sz w:val="24"/>
        </w:rPr>
        <w:t xml:space="preserve"> </w:t>
      </w:r>
      <w:r>
        <w:rPr>
          <w:sz w:val="24"/>
        </w:rPr>
        <w:t>afirmar</w:t>
      </w:r>
      <w:r>
        <w:rPr>
          <w:spacing w:val="-18"/>
          <w:sz w:val="24"/>
        </w:rPr>
        <w:t xml:space="preserve"> </w:t>
      </w:r>
      <w:r>
        <w:rPr>
          <w:sz w:val="24"/>
        </w:rPr>
        <w:t>que frente</w:t>
      </w:r>
      <w:r>
        <w:rPr>
          <w:spacing w:val="-10"/>
          <w:sz w:val="24"/>
        </w:rPr>
        <w:t xml:space="preserve"> </w:t>
      </w:r>
      <w:r>
        <w:rPr>
          <w:sz w:val="24"/>
        </w:rPr>
        <w:t>a</w:t>
      </w:r>
      <w:r>
        <w:rPr>
          <w:spacing w:val="-11"/>
          <w:sz w:val="24"/>
        </w:rPr>
        <w:t xml:space="preserve"> </w:t>
      </w:r>
      <w:r>
        <w:rPr>
          <w:sz w:val="24"/>
        </w:rPr>
        <w:t>las</w:t>
      </w:r>
      <w:r>
        <w:rPr>
          <w:spacing w:val="-9"/>
          <w:sz w:val="24"/>
        </w:rPr>
        <w:t xml:space="preserve"> </w:t>
      </w:r>
      <w:r>
        <w:rPr>
          <w:sz w:val="24"/>
        </w:rPr>
        <w:t>obligaciones</w:t>
      </w:r>
      <w:r>
        <w:rPr>
          <w:spacing w:val="-11"/>
          <w:sz w:val="24"/>
        </w:rPr>
        <w:t xml:space="preserve"> </w:t>
      </w:r>
      <w:r>
        <w:rPr>
          <w:sz w:val="24"/>
        </w:rPr>
        <w:t>que</w:t>
      </w:r>
      <w:r>
        <w:rPr>
          <w:spacing w:val="-10"/>
          <w:sz w:val="24"/>
        </w:rPr>
        <w:t xml:space="preserve"> </w:t>
      </w:r>
      <w:r>
        <w:rPr>
          <w:sz w:val="24"/>
        </w:rPr>
        <w:t>tiene</w:t>
      </w:r>
      <w:r>
        <w:rPr>
          <w:spacing w:val="-10"/>
          <w:sz w:val="24"/>
        </w:rPr>
        <w:t xml:space="preserve"> </w:t>
      </w:r>
      <w:r>
        <w:rPr>
          <w:sz w:val="24"/>
        </w:rPr>
        <w:t>el</w:t>
      </w:r>
      <w:r>
        <w:rPr>
          <w:spacing w:val="-10"/>
          <w:sz w:val="24"/>
        </w:rPr>
        <w:t xml:space="preserve"> </w:t>
      </w:r>
      <w:r>
        <w:rPr>
          <w:sz w:val="24"/>
        </w:rPr>
        <w:t>Estado</w:t>
      </w:r>
      <w:r>
        <w:rPr>
          <w:spacing w:val="-11"/>
          <w:sz w:val="24"/>
        </w:rPr>
        <w:t xml:space="preserve"> </w:t>
      </w:r>
      <w:r>
        <w:rPr>
          <w:sz w:val="24"/>
        </w:rPr>
        <w:t>está</w:t>
      </w:r>
      <w:r>
        <w:rPr>
          <w:spacing w:val="-9"/>
          <w:sz w:val="24"/>
        </w:rPr>
        <w:t xml:space="preserve"> </w:t>
      </w:r>
      <w:r>
        <w:rPr>
          <w:sz w:val="24"/>
        </w:rPr>
        <w:t>la</w:t>
      </w:r>
      <w:r>
        <w:rPr>
          <w:spacing w:val="-9"/>
          <w:sz w:val="24"/>
        </w:rPr>
        <w:t xml:space="preserve"> </w:t>
      </w:r>
      <w:r>
        <w:rPr>
          <w:sz w:val="24"/>
        </w:rPr>
        <w:t>de</w:t>
      </w:r>
      <w:r>
        <w:rPr>
          <w:spacing w:val="-10"/>
          <w:sz w:val="24"/>
        </w:rPr>
        <w:t xml:space="preserve"> </w:t>
      </w:r>
      <w:r>
        <w:rPr>
          <w:sz w:val="24"/>
        </w:rPr>
        <w:t>la</w:t>
      </w:r>
      <w:r>
        <w:rPr>
          <w:spacing w:val="-9"/>
          <w:sz w:val="24"/>
        </w:rPr>
        <w:t xml:space="preserve"> </w:t>
      </w:r>
      <w:r>
        <w:rPr>
          <w:sz w:val="24"/>
        </w:rPr>
        <w:t>de</w:t>
      </w:r>
      <w:r>
        <w:rPr>
          <w:spacing w:val="-6"/>
          <w:sz w:val="24"/>
        </w:rPr>
        <w:t xml:space="preserve"> </w:t>
      </w:r>
      <w:r>
        <w:rPr>
          <w:i/>
          <w:sz w:val="24"/>
        </w:rPr>
        <w:t>“(…)</w:t>
      </w:r>
      <w:r>
        <w:rPr>
          <w:i/>
          <w:spacing w:val="-10"/>
          <w:sz w:val="24"/>
        </w:rPr>
        <w:t xml:space="preserve"> </w:t>
      </w:r>
      <w:r>
        <w:rPr>
          <w:i/>
          <w:sz w:val="24"/>
        </w:rPr>
        <w:t>promover condiciones equitativas de los sujetos más vulnerables y otorgar acciones afirmativas</w:t>
      </w:r>
      <w:r>
        <w:rPr>
          <w:i/>
          <w:spacing w:val="-22"/>
          <w:sz w:val="24"/>
        </w:rPr>
        <w:t xml:space="preserve"> </w:t>
      </w:r>
      <w:r>
        <w:rPr>
          <w:i/>
          <w:sz w:val="24"/>
        </w:rPr>
        <w:t>que,</w:t>
      </w:r>
      <w:r>
        <w:rPr>
          <w:i/>
          <w:spacing w:val="-21"/>
          <w:sz w:val="24"/>
        </w:rPr>
        <w:t xml:space="preserve"> </w:t>
      </w:r>
      <w:r>
        <w:rPr>
          <w:i/>
          <w:sz w:val="24"/>
        </w:rPr>
        <w:t>por</w:t>
      </w:r>
      <w:r>
        <w:rPr>
          <w:i/>
          <w:spacing w:val="-21"/>
          <w:sz w:val="24"/>
        </w:rPr>
        <w:t xml:space="preserve"> </w:t>
      </w:r>
      <w:r>
        <w:rPr>
          <w:i/>
          <w:sz w:val="24"/>
        </w:rPr>
        <w:t>supuesto,</w:t>
      </w:r>
      <w:r>
        <w:rPr>
          <w:i/>
          <w:spacing w:val="-21"/>
          <w:sz w:val="24"/>
        </w:rPr>
        <w:t xml:space="preserve"> </w:t>
      </w:r>
      <w:r>
        <w:rPr>
          <w:i/>
          <w:sz w:val="24"/>
        </w:rPr>
        <w:t>incluyen</w:t>
      </w:r>
      <w:r>
        <w:rPr>
          <w:i/>
          <w:spacing w:val="-21"/>
          <w:sz w:val="24"/>
        </w:rPr>
        <w:t xml:space="preserve"> </w:t>
      </w:r>
      <w:r>
        <w:rPr>
          <w:i/>
          <w:sz w:val="24"/>
        </w:rPr>
        <w:t>la</w:t>
      </w:r>
      <w:r>
        <w:rPr>
          <w:i/>
          <w:spacing w:val="-21"/>
          <w:sz w:val="24"/>
        </w:rPr>
        <w:t xml:space="preserve"> </w:t>
      </w:r>
      <w:r>
        <w:rPr>
          <w:i/>
          <w:sz w:val="24"/>
        </w:rPr>
        <w:t>población</w:t>
      </w:r>
      <w:r>
        <w:rPr>
          <w:i/>
          <w:spacing w:val="-21"/>
          <w:sz w:val="24"/>
        </w:rPr>
        <w:t xml:space="preserve"> </w:t>
      </w:r>
      <w:r>
        <w:rPr>
          <w:i/>
          <w:sz w:val="24"/>
        </w:rPr>
        <w:t>habitante</w:t>
      </w:r>
      <w:r>
        <w:rPr>
          <w:i/>
          <w:spacing w:val="-21"/>
          <w:sz w:val="24"/>
        </w:rPr>
        <w:t xml:space="preserve"> </w:t>
      </w:r>
      <w:r>
        <w:rPr>
          <w:i/>
          <w:sz w:val="24"/>
        </w:rPr>
        <w:t>de</w:t>
      </w:r>
      <w:r>
        <w:rPr>
          <w:i/>
          <w:spacing w:val="-21"/>
          <w:sz w:val="24"/>
        </w:rPr>
        <w:t xml:space="preserve"> </w:t>
      </w:r>
      <w:r>
        <w:rPr>
          <w:i/>
          <w:sz w:val="24"/>
        </w:rPr>
        <w:t>calle.</w:t>
      </w:r>
      <w:r>
        <w:rPr>
          <w:i/>
          <w:spacing w:val="-21"/>
          <w:sz w:val="24"/>
        </w:rPr>
        <w:t xml:space="preserve"> </w:t>
      </w:r>
      <w:r>
        <w:rPr>
          <w:i/>
          <w:sz w:val="24"/>
        </w:rPr>
        <w:t>Esta población es titular del derecho a la salud y entre sus contenidos se encuentra</w:t>
      </w:r>
      <w:r>
        <w:rPr>
          <w:i/>
          <w:spacing w:val="-9"/>
          <w:sz w:val="24"/>
        </w:rPr>
        <w:t xml:space="preserve"> </w:t>
      </w:r>
      <w:r>
        <w:rPr>
          <w:i/>
          <w:sz w:val="24"/>
        </w:rPr>
        <w:t>la</w:t>
      </w:r>
      <w:r>
        <w:rPr>
          <w:i/>
          <w:spacing w:val="-10"/>
          <w:sz w:val="24"/>
        </w:rPr>
        <w:t xml:space="preserve"> </w:t>
      </w:r>
      <w:r>
        <w:rPr>
          <w:i/>
          <w:sz w:val="24"/>
        </w:rPr>
        <w:t>obligación</w:t>
      </w:r>
      <w:r>
        <w:rPr>
          <w:i/>
          <w:spacing w:val="-10"/>
          <w:sz w:val="24"/>
        </w:rPr>
        <w:t xml:space="preserve"> </w:t>
      </w:r>
      <w:r>
        <w:rPr>
          <w:i/>
          <w:sz w:val="24"/>
        </w:rPr>
        <w:t>correlativa</w:t>
      </w:r>
      <w:r>
        <w:rPr>
          <w:i/>
          <w:spacing w:val="-10"/>
          <w:sz w:val="24"/>
        </w:rPr>
        <w:t xml:space="preserve"> </w:t>
      </w:r>
      <w:r>
        <w:rPr>
          <w:i/>
          <w:sz w:val="24"/>
        </w:rPr>
        <w:t>del</w:t>
      </w:r>
      <w:r>
        <w:rPr>
          <w:i/>
          <w:spacing w:val="-11"/>
          <w:sz w:val="24"/>
        </w:rPr>
        <w:t xml:space="preserve"> </w:t>
      </w:r>
      <w:r>
        <w:rPr>
          <w:i/>
          <w:sz w:val="24"/>
        </w:rPr>
        <w:t>Estado</w:t>
      </w:r>
      <w:r>
        <w:rPr>
          <w:i/>
          <w:spacing w:val="-9"/>
          <w:sz w:val="24"/>
        </w:rPr>
        <w:t xml:space="preserve"> </w:t>
      </w:r>
      <w:r>
        <w:rPr>
          <w:i/>
          <w:sz w:val="24"/>
        </w:rPr>
        <w:t>de</w:t>
      </w:r>
      <w:r>
        <w:rPr>
          <w:i/>
          <w:spacing w:val="-9"/>
          <w:sz w:val="24"/>
        </w:rPr>
        <w:t xml:space="preserve"> </w:t>
      </w:r>
      <w:r>
        <w:rPr>
          <w:i/>
          <w:sz w:val="24"/>
        </w:rPr>
        <w:t>satisfacer</w:t>
      </w:r>
      <w:r>
        <w:rPr>
          <w:i/>
          <w:spacing w:val="-9"/>
          <w:sz w:val="24"/>
        </w:rPr>
        <w:t xml:space="preserve"> </w:t>
      </w:r>
      <w:r>
        <w:rPr>
          <w:i/>
          <w:sz w:val="24"/>
        </w:rPr>
        <w:t>las</w:t>
      </w:r>
      <w:r>
        <w:rPr>
          <w:i/>
          <w:spacing w:val="-10"/>
          <w:sz w:val="24"/>
        </w:rPr>
        <w:t xml:space="preserve"> </w:t>
      </w:r>
      <w:r>
        <w:rPr>
          <w:i/>
          <w:sz w:val="24"/>
        </w:rPr>
        <w:t>necesidades de salud de esta población vulnerable. Dichos deberes incluyen la faceta preventiva, la cual debe garantizarse en consonancia con los principios de igualdad</w:t>
      </w:r>
      <w:r>
        <w:rPr>
          <w:i/>
          <w:spacing w:val="-3"/>
          <w:sz w:val="24"/>
        </w:rPr>
        <w:t xml:space="preserve"> </w:t>
      </w:r>
      <w:r>
        <w:rPr>
          <w:i/>
          <w:sz w:val="24"/>
        </w:rPr>
        <w:t>y</w:t>
      </w:r>
      <w:r>
        <w:rPr>
          <w:i/>
          <w:spacing w:val="-3"/>
          <w:sz w:val="24"/>
        </w:rPr>
        <w:t xml:space="preserve"> </w:t>
      </w:r>
      <w:r>
        <w:rPr>
          <w:i/>
          <w:sz w:val="24"/>
        </w:rPr>
        <w:t>equidad.</w:t>
      </w:r>
      <w:r>
        <w:rPr>
          <w:i/>
          <w:spacing w:val="-2"/>
          <w:sz w:val="24"/>
        </w:rPr>
        <w:t xml:space="preserve"> </w:t>
      </w:r>
      <w:r>
        <w:rPr>
          <w:i/>
          <w:sz w:val="24"/>
        </w:rPr>
        <w:t>Ahora</w:t>
      </w:r>
      <w:r>
        <w:rPr>
          <w:i/>
          <w:spacing w:val="-3"/>
          <w:sz w:val="24"/>
        </w:rPr>
        <w:t xml:space="preserve"> </w:t>
      </w:r>
      <w:r>
        <w:rPr>
          <w:i/>
          <w:sz w:val="24"/>
        </w:rPr>
        <w:t>bien,</w:t>
      </w:r>
      <w:r>
        <w:rPr>
          <w:i/>
          <w:spacing w:val="-3"/>
          <w:sz w:val="24"/>
        </w:rPr>
        <w:t xml:space="preserve"> </w:t>
      </w:r>
      <w:r>
        <w:rPr>
          <w:i/>
          <w:sz w:val="24"/>
        </w:rPr>
        <w:t>la</w:t>
      </w:r>
      <w:r>
        <w:rPr>
          <w:i/>
          <w:spacing w:val="-3"/>
          <w:sz w:val="24"/>
        </w:rPr>
        <w:t xml:space="preserve"> </w:t>
      </w:r>
      <w:r>
        <w:rPr>
          <w:i/>
          <w:sz w:val="24"/>
        </w:rPr>
        <w:t>garantía</w:t>
      </w:r>
      <w:r>
        <w:rPr>
          <w:i/>
          <w:spacing w:val="-1"/>
          <w:sz w:val="24"/>
        </w:rPr>
        <w:t xml:space="preserve"> </w:t>
      </w:r>
      <w:r>
        <w:rPr>
          <w:i/>
          <w:sz w:val="24"/>
        </w:rPr>
        <w:t>del</w:t>
      </w:r>
      <w:r>
        <w:rPr>
          <w:i/>
          <w:spacing w:val="-3"/>
          <w:sz w:val="24"/>
        </w:rPr>
        <w:t xml:space="preserve"> </w:t>
      </w:r>
      <w:r>
        <w:rPr>
          <w:i/>
          <w:sz w:val="24"/>
        </w:rPr>
        <w:t>derecho</w:t>
      </w:r>
      <w:r>
        <w:rPr>
          <w:i/>
          <w:spacing w:val="-3"/>
          <w:sz w:val="24"/>
        </w:rPr>
        <w:t xml:space="preserve"> </w:t>
      </w:r>
      <w:r>
        <w:rPr>
          <w:i/>
          <w:sz w:val="24"/>
        </w:rPr>
        <w:t>a</w:t>
      </w:r>
      <w:r>
        <w:rPr>
          <w:i/>
          <w:spacing w:val="-4"/>
          <w:sz w:val="24"/>
        </w:rPr>
        <w:t xml:space="preserve"> </w:t>
      </w:r>
      <w:r>
        <w:rPr>
          <w:i/>
          <w:sz w:val="24"/>
        </w:rPr>
        <w:t>la</w:t>
      </w:r>
      <w:r>
        <w:rPr>
          <w:i/>
          <w:spacing w:val="-3"/>
          <w:sz w:val="24"/>
        </w:rPr>
        <w:t xml:space="preserve"> </w:t>
      </w:r>
      <w:r>
        <w:rPr>
          <w:i/>
          <w:sz w:val="24"/>
        </w:rPr>
        <w:t>salud</w:t>
      </w:r>
      <w:r>
        <w:rPr>
          <w:i/>
          <w:spacing w:val="-4"/>
          <w:sz w:val="24"/>
        </w:rPr>
        <w:t xml:space="preserve"> </w:t>
      </w:r>
      <w:r>
        <w:rPr>
          <w:i/>
          <w:sz w:val="24"/>
        </w:rPr>
        <w:t>también supone, dado su carácter interdependiente con otras prerrogativas fundamentales,</w:t>
      </w:r>
      <w:r>
        <w:rPr>
          <w:i/>
          <w:spacing w:val="-19"/>
          <w:sz w:val="24"/>
        </w:rPr>
        <w:t xml:space="preserve"> </w:t>
      </w:r>
      <w:r>
        <w:rPr>
          <w:i/>
          <w:sz w:val="24"/>
        </w:rPr>
        <w:t>la</w:t>
      </w:r>
      <w:r>
        <w:rPr>
          <w:i/>
          <w:spacing w:val="-18"/>
          <w:sz w:val="24"/>
        </w:rPr>
        <w:t xml:space="preserve"> </w:t>
      </w:r>
      <w:r>
        <w:rPr>
          <w:i/>
          <w:sz w:val="24"/>
        </w:rPr>
        <w:t>protección</w:t>
      </w:r>
      <w:r>
        <w:rPr>
          <w:i/>
          <w:spacing w:val="-20"/>
          <w:sz w:val="24"/>
        </w:rPr>
        <w:t xml:space="preserve"> </w:t>
      </w:r>
      <w:r>
        <w:rPr>
          <w:i/>
          <w:sz w:val="24"/>
        </w:rPr>
        <w:t>del</w:t>
      </w:r>
      <w:r>
        <w:rPr>
          <w:i/>
          <w:spacing w:val="-21"/>
          <w:sz w:val="24"/>
        </w:rPr>
        <w:t xml:space="preserve"> </w:t>
      </w:r>
      <w:r>
        <w:rPr>
          <w:i/>
          <w:sz w:val="24"/>
        </w:rPr>
        <w:t>acceso</w:t>
      </w:r>
      <w:r>
        <w:rPr>
          <w:i/>
          <w:spacing w:val="-19"/>
          <w:sz w:val="24"/>
        </w:rPr>
        <w:t xml:space="preserve"> </w:t>
      </w:r>
      <w:r>
        <w:rPr>
          <w:i/>
          <w:sz w:val="24"/>
        </w:rPr>
        <w:t>a</w:t>
      </w:r>
      <w:r>
        <w:rPr>
          <w:i/>
          <w:spacing w:val="-20"/>
          <w:sz w:val="24"/>
        </w:rPr>
        <w:t xml:space="preserve"> </w:t>
      </w:r>
      <w:r>
        <w:rPr>
          <w:i/>
          <w:sz w:val="24"/>
        </w:rPr>
        <w:t>una</w:t>
      </w:r>
      <w:r>
        <w:rPr>
          <w:i/>
          <w:spacing w:val="-20"/>
          <w:sz w:val="24"/>
        </w:rPr>
        <w:t xml:space="preserve"> </w:t>
      </w:r>
      <w:r>
        <w:rPr>
          <w:i/>
          <w:sz w:val="24"/>
        </w:rPr>
        <w:t>vivienda</w:t>
      </w:r>
      <w:r>
        <w:rPr>
          <w:i/>
          <w:spacing w:val="-20"/>
          <w:sz w:val="24"/>
        </w:rPr>
        <w:t xml:space="preserve"> </w:t>
      </w:r>
      <w:r>
        <w:rPr>
          <w:i/>
          <w:sz w:val="24"/>
        </w:rPr>
        <w:t>adecuada</w:t>
      </w:r>
      <w:r>
        <w:rPr>
          <w:i/>
          <w:spacing w:val="-20"/>
          <w:sz w:val="24"/>
        </w:rPr>
        <w:t xml:space="preserve"> </w:t>
      </w:r>
      <w:r>
        <w:rPr>
          <w:i/>
          <w:sz w:val="24"/>
        </w:rPr>
        <w:t>como</w:t>
      </w:r>
      <w:r>
        <w:rPr>
          <w:i/>
          <w:spacing w:val="-17"/>
          <w:sz w:val="24"/>
        </w:rPr>
        <w:t xml:space="preserve"> </w:t>
      </w:r>
      <w:r>
        <w:rPr>
          <w:i/>
          <w:sz w:val="24"/>
        </w:rPr>
        <w:t>uno de</w:t>
      </w:r>
      <w:r>
        <w:rPr>
          <w:i/>
          <w:spacing w:val="-10"/>
          <w:sz w:val="24"/>
        </w:rPr>
        <w:t xml:space="preserve"> </w:t>
      </w:r>
      <w:r>
        <w:rPr>
          <w:i/>
          <w:sz w:val="24"/>
        </w:rPr>
        <w:t>sus</w:t>
      </w:r>
      <w:r>
        <w:rPr>
          <w:i/>
          <w:spacing w:val="-9"/>
          <w:sz w:val="24"/>
        </w:rPr>
        <w:t xml:space="preserve"> </w:t>
      </w:r>
      <w:r>
        <w:rPr>
          <w:i/>
          <w:sz w:val="24"/>
        </w:rPr>
        <w:t>factores</w:t>
      </w:r>
      <w:r>
        <w:rPr>
          <w:i/>
          <w:spacing w:val="-11"/>
          <w:sz w:val="24"/>
        </w:rPr>
        <w:t xml:space="preserve"> </w:t>
      </w:r>
      <w:r>
        <w:rPr>
          <w:i/>
          <w:sz w:val="24"/>
        </w:rPr>
        <w:t>determinantes.”</w:t>
      </w:r>
      <w:r>
        <w:rPr>
          <w:i/>
          <w:spacing w:val="-6"/>
          <w:sz w:val="24"/>
        </w:rPr>
        <w:t xml:space="preserve"> </w:t>
      </w:r>
      <w:r>
        <w:rPr>
          <w:sz w:val="24"/>
        </w:rPr>
        <w:t>(Sentencia</w:t>
      </w:r>
      <w:r>
        <w:rPr>
          <w:spacing w:val="-11"/>
          <w:sz w:val="24"/>
        </w:rPr>
        <w:t xml:space="preserve"> </w:t>
      </w:r>
      <w:r>
        <w:rPr>
          <w:sz w:val="24"/>
        </w:rPr>
        <w:t>T-088</w:t>
      </w:r>
      <w:r>
        <w:rPr>
          <w:spacing w:val="-10"/>
          <w:sz w:val="24"/>
        </w:rPr>
        <w:t xml:space="preserve"> </w:t>
      </w:r>
      <w:r>
        <w:rPr>
          <w:sz w:val="24"/>
        </w:rPr>
        <w:t>de</w:t>
      </w:r>
      <w:r>
        <w:rPr>
          <w:spacing w:val="-10"/>
          <w:sz w:val="24"/>
        </w:rPr>
        <w:t xml:space="preserve"> </w:t>
      </w:r>
      <w:r>
        <w:rPr>
          <w:sz w:val="24"/>
        </w:rPr>
        <w:t>2021</w:t>
      </w:r>
      <w:r>
        <w:rPr>
          <w:spacing w:val="-8"/>
          <w:sz w:val="24"/>
        </w:rPr>
        <w:t xml:space="preserve"> </w:t>
      </w:r>
      <w:r>
        <w:rPr>
          <w:sz w:val="24"/>
        </w:rPr>
        <w:t>MP</w:t>
      </w:r>
      <w:r>
        <w:rPr>
          <w:spacing w:val="-12"/>
          <w:sz w:val="24"/>
        </w:rPr>
        <w:t xml:space="preserve"> </w:t>
      </w:r>
      <w:r>
        <w:rPr>
          <w:sz w:val="24"/>
        </w:rPr>
        <w:t>Gloria</w:t>
      </w:r>
      <w:r>
        <w:rPr>
          <w:spacing w:val="-10"/>
          <w:sz w:val="24"/>
        </w:rPr>
        <w:t xml:space="preserve"> </w:t>
      </w:r>
      <w:r>
        <w:rPr>
          <w:sz w:val="24"/>
        </w:rPr>
        <w:t>Stella Ortiz Delgado)</w:t>
      </w:r>
    </w:p>
    <w:p w14:paraId="073EF86D" w14:textId="77777777" w:rsidR="000E52B0" w:rsidRDefault="00F60D74">
      <w:pPr>
        <w:pStyle w:val="Textoindependiente"/>
        <w:spacing w:before="161"/>
        <w:ind w:right="717"/>
        <w:jc w:val="both"/>
      </w:pPr>
      <w:r>
        <w:t>A su vez, el Consejo de Estado también se ha pronunciado frente a la evidente</w:t>
      </w:r>
      <w:r>
        <w:rPr>
          <w:spacing w:val="-1"/>
        </w:rPr>
        <w:t xml:space="preserve"> </w:t>
      </w:r>
      <w:r>
        <w:t>situación</w:t>
      </w:r>
      <w:r>
        <w:rPr>
          <w:spacing w:val="-2"/>
        </w:rPr>
        <w:t xml:space="preserve"> </w:t>
      </w:r>
      <w:r>
        <w:t>de</w:t>
      </w:r>
      <w:r>
        <w:rPr>
          <w:spacing w:val="-1"/>
        </w:rPr>
        <w:t xml:space="preserve"> </w:t>
      </w:r>
      <w:r>
        <w:t>vulneración</w:t>
      </w:r>
      <w:r>
        <w:rPr>
          <w:spacing w:val="-2"/>
        </w:rPr>
        <w:t xml:space="preserve"> </w:t>
      </w:r>
      <w:r>
        <w:t>de</w:t>
      </w:r>
      <w:r>
        <w:rPr>
          <w:spacing w:val="-1"/>
        </w:rPr>
        <w:t xml:space="preserve"> </w:t>
      </w:r>
      <w:r>
        <w:t>los habitantes</w:t>
      </w:r>
      <w:r>
        <w:rPr>
          <w:spacing w:val="-2"/>
        </w:rPr>
        <w:t xml:space="preserve"> </w:t>
      </w:r>
      <w:r>
        <w:t>de</w:t>
      </w:r>
      <w:r>
        <w:rPr>
          <w:spacing w:val="-1"/>
        </w:rPr>
        <w:t xml:space="preserve"> </w:t>
      </w:r>
      <w:r>
        <w:t>calle</w:t>
      </w:r>
      <w:r>
        <w:rPr>
          <w:spacing w:val="-1"/>
        </w:rPr>
        <w:t xml:space="preserve"> </w:t>
      </w:r>
      <w:r>
        <w:t>y</w:t>
      </w:r>
      <w:r>
        <w:rPr>
          <w:spacing w:val="-2"/>
        </w:rPr>
        <w:t xml:space="preserve"> </w:t>
      </w:r>
      <w:r>
        <w:t>la</w:t>
      </w:r>
      <w:r>
        <w:rPr>
          <w:spacing w:val="-2"/>
        </w:rPr>
        <w:t xml:space="preserve"> </w:t>
      </w:r>
      <w:r>
        <w:t>obligación del</w:t>
      </w:r>
      <w:r>
        <w:rPr>
          <w:spacing w:val="-12"/>
        </w:rPr>
        <w:t xml:space="preserve"> </w:t>
      </w:r>
      <w:r>
        <w:t>Estado</w:t>
      </w:r>
      <w:r>
        <w:rPr>
          <w:spacing w:val="-11"/>
        </w:rPr>
        <w:t xml:space="preserve"> </w:t>
      </w:r>
      <w:r>
        <w:t>de</w:t>
      </w:r>
      <w:r>
        <w:rPr>
          <w:spacing w:val="-10"/>
        </w:rPr>
        <w:t xml:space="preserve"> </w:t>
      </w:r>
      <w:r>
        <w:t>propender</w:t>
      </w:r>
      <w:r>
        <w:rPr>
          <w:spacing w:val="-10"/>
        </w:rPr>
        <w:t xml:space="preserve"> </w:t>
      </w:r>
      <w:r>
        <w:t>por</w:t>
      </w:r>
      <w:r>
        <w:rPr>
          <w:spacing w:val="-10"/>
        </w:rPr>
        <w:t xml:space="preserve"> </w:t>
      </w:r>
      <w:r>
        <w:t>una</w:t>
      </w:r>
      <w:r>
        <w:rPr>
          <w:spacing w:val="-9"/>
        </w:rPr>
        <w:t xml:space="preserve"> </w:t>
      </w:r>
      <w:r>
        <w:t>ubicación</w:t>
      </w:r>
      <w:r>
        <w:rPr>
          <w:spacing w:val="-12"/>
        </w:rPr>
        <w:t xml:space="preserve"> </w:t>
      </w:r>
      <w:r>
        <w:t>estratégica</w:t>
      </w:r>
      <w:r>
        <w:rPr>
          <w:spacing w:val="-9"/>
        </w:rPr>
        <w:t xml:space="preserve"> </w:t>
      </w:r>
      <w:r>
        <w:t>de</w:t>
      </w:r>
      <w:r>
        <w:rPr>
          <w:spacing w:val="-10"/>
        </w:rPr>
        <w:t xml:space="preserve"> </w:t>
      </w:r>
      <w:r>
        <w:t>esta</w:t>
      </w:r>
      <w:r>
        <w:rPr>
          <w:spacing w:val="-11"/>
        </w:rPr>
        <w:t xml:space="preserve"> </w:t>
      </w:r>
      <w:r>
        <w:t>población,</w:t>
      </w:r>
      <w:r>
        <w:rPr>
          <w:spacing w:val="-12"/>
        </w:rPr>
        <w:t xml:space="preserve"> </w:t>
      </w:r>
      <w:r>
        <w:t>y en esta misma vía, garantizar la seguridad de los demás ciudadanos. En Auto</w:t>
      </w:r>
      <w:r>
        <w:rPr>
          <w:spacing w:val="-3"/>
        </w:rPr>
        <w:t xml:space="preserve"> </w:t>
      </w:r>
      <w:r>
        <w:t>05001-23-31-000-2003-01700-01</w:t>
      </w:r>
      <w:r>
        <w:rPr>
          <w:spacing w:val="-1"/>
        </w:rPr>
        <w:t xml:space="preserve"> </w:t>
      </w:r>
      <w:r>
        <w:t>AP-01700</w:t>
      </w:r>
      <w:r>
        <w:rPr>
          <w:spacing w:val="-1"/>
        </w:rPr>
        <w:t xml:space="preserve"> </w:t>
      </w:r>
      <w:r>
        <w:t>-</w:t>
      </w:r>
      <w:r>
        <w:rPr>
          <w:spacing w:val="-2"/>
        </w:rPr>
        <w:t xml:space="preserve"> </w:t>
      </w:r>
      <w:r>
        <w:t>NR:</w:t>
      </w:r>
      <w:r>
        <w:rPr>
          <w:spacing w:val="-3"/>
        </w:rPr>
        <w:t xml:space="preserve"> </w:t>
      </w:r>
      <w:r>
        <w:t>227837 del</w:t>
      </w:r>
      <w:r>
        <w:rPr>
          <w:spacing w:val="-3"/>
        </w:rPr>
        <w:t xml:space="preserve"> </w:t>
      </w:r>
      <w:r>
        <w:t xml:space="preserve">30 </w:t>
      </w:r>
      <w:r>
        <w:rPr>
          <w:spacing w:val="-5"/>
        </w:rPr>
        <w:t>de</w:t>
      </w:r>
    </w:p>
    <w:p w14:paraId="15CD29D8" w14:textId="77777777" w:rsidR="000E52B0" w:rsidRDefault="00F60D74">
      <w:pPr>
        <w:spacing w:before="1"/>
        <w:ind w:left="720"/>
        <w:jc w:val="both"/>
        <w:rPr>
          <w:i/>
          <w:sz w:val="24"/>
        </w:rPr>
      </w:pPr>
      <w:r>
        <w:rPr>
          <w:sz w:val="24"/>
        </w:rPr>
        <w:t>noviembre</w:t>
      </w:r>
      <w:r>
        <w:rPr>
          <w:spacing w:val="-7"/>
          <w:sz w:val="24"/>
        </w:rPr>
        <w:t xml:space="preserve"> </w:t>
      </w:r>
      <w:r>
        <w:rPr>
          <w:sz w:val="24"/>
        </w:rPr>
        <w:t>de</w:t>
      </w:r>
      <w:r>
        <w:rPr>
          <w:spacing w:val="-4"/>
          <w:sz w:val="24"/>
        </w:rPr>
        <w:t xml:space="preserve"> </w:t>
      </w:r>
      <w:r>
        <w:rPr>
          <w:sz w:val="24"/>
        </w:rPr>
        <w:t>2008</w:t>
      </w:r>
      <w:r>
        <w:rPr>
          <w:spacing w:val="-7"/>
          <w:sz w:val="24"/>
        </w:rPr>
        <w:t xml:space="preserve"> </w:t>
      </w:r>
      <w:r>
        <w:rPr>
          <w:sz w:val="24"/>
        </w:rPr>
        <w:t>,</w:t>
      </w:r>
      <w:r>
        <w:rPr>
          <w:spacing w:val="-6"/>
          <w:sz w:val="24"/>
        </w:rPr>
        <w:t xml:space="preserve"> </w:t>
      </w:r>
      <w:r>
        <w:rPr>
          <w:sz w:val="24"/>
        </w:rPr>
        <w:t>esta</w:t>
      </w:r>
      <w:r>
        <w:rPr>
          <w:spacing w:val="-5"/>
          <w:sz w:val="24"/>
        </w:rPr>
        <w:t xml:space="preserve"> </w:t>
      </w:r>
      <w:r>
        <w:rPr>
          <w:sz w:val="24"/>
        </w:rPr>
        <w:t>instancia</w:t>
      </w:r>
      <w:r>
        <w:rPr>
          <w:spacing w:val="-6"/>
          <w:sz w:val="24"/>
        </w:rPr>
        <w:t xml:space="preserve"> </w:t>
      </w:r>
      <w:r>
        <w:rPr>
          <w:sz w:val="24"/>
        </w:rPr>
        <w:t>advierte</w:t>
      </w:r>
      <w:r>
        <w:rPr>
          <w:spacing w:val="-1"/>
          <w:sz w:val="24"/>
        </w:rPr>
        <w:t xml:space="preserve"> </w:t>
      </w:r>
      <w:r>
        <w:rPr>
          <w:i/>
          <w:sz w:val="24"/>
        </w:rPr>
        <w:t>que</w:t>
      </w:r>
      <w:r>
        <w:rPr>
          <w:i/>
          <w:spacing w:val="-4"/>
          <w:sz w:val="24"/>
        </w:rPr>
        <w:t xml:space="preserve"> </w:t>
      </w:r>
      <w:r>
        <w:rPr>
          <w:i/>
          <w:sz w:val="24"/>
        </w:rPr>
        <w:t>“</w:t>
      </w:r>
      <w:r>
        <w:rPr>
          <w:i/>
          <w:spacing w:val="-5"/>
          <w:sz w:val="24"/>
        </w:rPr>
        <w:t xml:space="preserve"> </w:t>
      </w:r>
      <w:r>
        <w:rPr>
          <w:i/>
          <w:sz w:val="24"/>
        </w:rPr>
        <w:t>(…)</w:t>
      </w:r>
      <w:r>
        <w:rPr>
          <w:i/>
          <w:spacing w:val="-6"/>
          <w:sz w:val="24"/>
        </w:rPr>
        <w:t xml:space="preserve"> </w:t>
      </w:r>
      <w:r>
        <w:rPr>
          <w:i/>
          <w:sz w:val="24"/>
        </w:rPr>
        <w:t>hasta</w:t>
      </w:r>
      <w:r>
        <w:rPr>
          <w:i/>
          <w:spacing w:val="-3"/>
          <w:sz w:val="24"/>
        </w:rPr>
        <w:t xml:space="preserve"> </w:t>
      </w:r>
      <w:r>
        <w:rPr>
          <w:i/>
          <w:sz w:val="24"/>
        </w:rPr>
        <w:t>tanto</w:t>
      </w:r>
      <w:r>
        <w:rPr>
          <w:i/>
          <w:spacing w:val="-5"/>
          <w:sz w:val="24"/>
        </w:rPr>
        <w:t xml:space="preserve"> </w:t>
      </w:r>
      <w:r>
        <w:rPr>
          <w:i/>
          <w:sz w:val="24"/>
        </w:rPr>
        <w:t>no</w:t>
      </w:r>
      <w:r>
        <w:rPr>
          <w:i/>
          <w:spacing w:val="-5"/>
          <w:sz w:val="24"/>
        </w:rPr>
        <w:t xml:space="preserve"> </w:t>
      </w:r>
      <w:r>
        <w:rPr>
          <w:i/>
          <w:spacing w:val="-4"/>
          <w:sz w:val="24"/>
        </w:rPr>
        <w:t>haya</w:t>
      </w:r>
    </w:p>
    <w:p w14:paraId="7ACAF871" w14:textId="77777777" w:rsidR="000E52B0" w:rsidRDefault="000E52B0">
      <w:pPr>
        <w:jc w:val="both"/>
        <w:rPr>
          <w:i/>
          <w:sz w:val="24"/>
        </w:rPr>
        <w:sectPr w:rsidR="000E52B0">
          <w:pgSz w:w="11910" w:h="16840"/>
          <w:pgMar w:top="1340" w:right="720" w:bottom="1180" w:left="720" w:header="0" w:footer="995" w:gutter="0"/>
          <w:cols w:space="720"/>
        </w:sectPr>
      </w:pPr>
    </w:p>
    <w:p w14:paraId="57A9F100" w14:textId="77777777" w:rsidR="000E52B0" w:rsidRDefault="00F60D74">
      <w:pPr>
        <w:spacing w:before="83"/>
        <w:ind w:left="720" w:right="716"/>
        <w:jc w:val="both"/>
        <w:rPr>
          <w:i/>
          <w:sz w:val="24"/>
        </w:rPr>
      </w:pPr>
      <w:r>
        <w:rPr>
          <w:i/>
          <w:sz w:val="24"/>
        </w:rPr>
        <w:lastRenderedPageBreak/>
        <w:t>una solución viable de reubicación las expectativas ciudadanas en materia de seguridad y de uso del espacio público no pueden ir en contravía de la realidad socioeconómica por la que atraviesa el país, ni desconocer que el desempleo y la falta de educación, ha generado una grave problemática social que, entre otras, se traduce en la indigencia que aqueja un importante</w:t>
      </w:r>
      <w:r>
        <w:rPr>
          <w:i/>
          <w:spacing w:val="-13"/>
          <w:sz w:val="24"/>
        </w:rPr>
        <w:t xml:space="preserve"> </w:t>
      </w:r>
      <w:r>
        <w:rPr>
          <w:i/>
          <w:sz w:val="24"/>
        </w:rPr>
        <w:t>sector</w:t>
      </w:r>
      <w:r>
        <w:rPr>
          <w:i/>
          <w:spacing w:val="-13"/>
          <w:sz w:val="24"/>
        </w:rPr>
        <w:t xml:space="preserve"> </w:t>
      </w:r>
      <w:r>
        <w:rPr>
          <w:i/>
          <w:sz w:val="24"/>
        </w:rPr>
        <w:t>de</w:t>
      </w:r>
      <w:r>
        <w:rPr>
          <w:i/>
          <w:spacing w:val="-13"/>
          <w:sz w:val="24"/>
        </w:rPr>
        <w:t xml:space="preserve"> </w:t>
      </w:r>
      <w:r>
        <w:rPr>
          <w:i/>
          <w:sz w:val="24"/>
        </w:rPr>
        <w:t>la</w:t>
      </w:r>
      <w:r>
        <w:rPr>
          <w:i/>
          <w:spacing w:val="-14"/>
          <w:sz w:val="24"/>
        </w:rPr>
        <w:t xml:space="preserve"> </w:t>
      </w:r>
      <w:r>
        <w:rPr>
          <w:i/>
          <w:sz w:val="24"/>
        </w:rPr>
        <w:t>población.</w:t>
      </w:r>
      <w:r>
        <w:rPr>
          <w:i/>
          <w:spacing w:val="-12"/>
          <w:sz w:val="24"/>
        </w:rPr>
        <w:t xml:space="preserve"> </w:t>
      </w:r>
      <w:r>
        <w:rPr>
          <w:i/>
          <w:sz w:val="24"/>
        </w:rPr>
        <w:t>Ante</w:t>
      </w:r>
      <w:r>
        <w:rPr>
          <w:i/>
          <w:spacing w:val="-10"/>
          <w:sz w:val="24"/>
        </w:rPr>
        <w:t xml:space="preserve"> </w:t>
      </w:r>
      <w:r>
        <w:rPr>
          <w:i/>
          <w:sz w:val="24"/>
        </w:rPr>
        <w:t>esa</w:t>
      </w:r>
      <w:r>
        <w:rPr>
          <w:i/>
          <w:spacing w:val="-14"/>
          <w:sz w:val="24"/>
        </w:rPr>
        <w:t xml:space="preserve"> </w:t>
      </w:r>
      <w:r>
        <w:rPr>
          <w:i/>
          <w:sz w:val="24"/>
        </w:rPr>
        <w:t>preocupante</w:t>
      </w:r>
      <w:r>
        <w:rPr>
          <w:i/>
          <w:spacing w:val="-13"/>
          <w:sz w:val="24"/>
        </w:rPr>
        <w:t xml:space="preserve"> </w:t>
      </w:r>
      <w:r>
        <w:rPr>
          <w:i/>
          <w:sz w:val="24"/>
        </w:rPr>
        <w:t>realidad</w:t>
      </w:r>
      <w:r>
        <w:rPr>
          <w:i/>
          <w:spacing w:val="-14"/>
          <w:sz w:val="24"/>
        </w:rPr>
        <w:t xml:space="preserve"> </w:t>
      </w:r>
      <w:r>
        <w:rPr>
          <w:i/>
          <w:sz w:val="24"/>
        </w:rPr>
        <w:t>social,</w:t>
      </w:r>
      <w:r>
        <w:rPr>
          <w:i/>
          <w:spacing w:val="-14"/>
          <w:sz w:val="24"/>
        </w:rPr>
        <w:t xml:space="preserve"> </w:t>
      </w:r>
      <w:r>
        <w:rPr>
          <w:i/>
          <w:sz w:val="24"/>
        </w:rPr>
        <w:t>en las actuales circunstancias no es dable a las autoridades municipales resolver las tensiones sociales que causa la ocupación del espacio público con medidas de desalojo que desconocen el derecho a una digna subsistencia, pues a éste deben las autoridades igual protección constitucional, razón por la que están obligadas a hacerlo efectivo. En la hora presente un desalojo sin reubicación agrava el problema social y agudiza</w:t>
      </w:r>
      <w:r>
        <w:rPr>
          <w:i/>
          <w:spacing w:val="-3"/>
          <w:sz w:val="24"/>
        </w:rPr>
        <w:t xml:space="preserve"> </w:t>
      </w:r>
      <w:r>
        <w:rPr>
          <w:i/>
          <w:sz w:val="24"/>
        </w:rPr>
        <w:t>los</w:t>
      </w:r>
      <w:r>
        <w:rPr>
          <w:i/>
          <w:spacing w:val="-7"/>
          <w:sz w:val="24"/>
        </w:rPr>
        <w:t xml:space="preserve"> </w:t>
      </w:r>
      <w:r>
        <w:rPr>
          <w:i/>
          <w:sz w:val="24"/>
        </w:rPr>
        <w:t>factores</w:t>
      </w:r>
      <w:r>
        <w:rPr>
          <w:i/>
          <w:spacing w:val="-7"/>
          <w:sz w:val="24"/>
        </w:rPr>
        <w:t xml:space="preserve"> </w:t>
      </w:r>
      <w:r>
        <w:rPr>
          <w:i/>
          <w:sz w:val="24"/>
        </w:rPr>
        <w:t>generadores</w:t>
      </w:r>
      <w:r>
        <w:rPr>
          <w:i/>
          <w:spacing w:val="-7"/>
          <w:sz w:val="24"/>
        </w:rPr>
        <w:t xml:space="preserve"> </w:t>
      </w:r>
      <w:r>
        <w:rPr>
          <w:i/>
          <w:sz w:val="24"/>
        </w:rPr>
        <w:t>de</w:t>
      </w:r>
      <w:r>
        <w:rPr>
          <w:i/>
          <w:spacing w:val="-5"/>
          <w:sz w:val="24"/>
        </w:rPr>
        <w:t xml:space="preserve"> </w:t>
      </w:r>
      <w:r>
        <w:rPr>
          <w:i/>
          <w:sz w:val="24"/>
        </w:rPr>
        <w:t>inseguridad.</w:t>
      </w:r>
      <w:r>
        <w:rPr>
          <w:i/>
          <w:spacing w:val="-7"/>
          <w:sz w:val="24"/>
        </w:rPr>
        <w:t xml:space="preserve"> </w:t>
      </w:r>
      <w:r>
        <w:rPr>
          <w:i/>
          <w:sz w:val="24"/>
        </w:rPr>
        <w:t>Lo</w:t>
      </w:r>
      <w:r>
        <w:rPr>
          <w:i/>
          <w:spacing w:val="-6"/>
          <w:sz w:val="24"/>
        </w:rPr>
        <w:t xml:space="preserve"> </w:t>
      </w:r>
      <w:r>
        <w:rPr>
          <w:i/>
          <w:sz w:val="24"/>
        </w:rPr>
        <w:t>dicho</w:t>
      </w:r>
      <w:r>
        <w:rPr>
          <w:i/>
          <w:spacing w:val="-6"/>
          <w:sz w:val="24"/>
        </w:rPr>
        <w:t xml:space="preserve"> </w:t>
      </w:r>
      <w:r>
        <w:rPr>
          <w:i/>
          <w:sz w:val="24"/>
        </w:rPr>
        <w:t>en</w:t>
      </w:r>
      <w:r>
        <w:rPr>
          <w:i/>
          <w:spacing w:val="-7"/>
          <w:sz w:val="24"/>
        </w:rPr>
        <w:t xml:space="preserve"> </w:t>
      </w:r>
      <w:r>
        <w:rPr>
          <w:i/>
          <w:sz w:val="24"/>
        </w:rPr>
        <w:t>modo</w:t>
      </w:r>
      <w:r>
        <w:rPr>
          <w:i/>
          <w:spacing w:val="-6"/>
          <w:sz w:val="24"/>
        </w:rPr>
        <w:t xml:space="preserve"> </w:t>
      </w:r>
      <w:r>
        <w:rPr>
          <w:i/>
          <w:sz w:val="24"/>
        </w:rPr>
        <w:t>alguno significa que la problemática de ocupación del espacio público pueda permanecer</w:t>
      </w:r>
      <w:r>
        <w:rPr>
          <w:i/>
          <w:spacing w:val="-6"/>
          <w:sz w:val="24"/>
        </w:rPr>
        <w:t xml:space="preserve"> </w:t>
      </w:r>
      <w:r>
        <w:rPr>
          <w:i/>
          <w:sz w:val="24"/>
        </w:rPr>
        <w:t>sin</w:t>
      </w:r>
      <w:r>
        <w:rPr>
          <w:i/>
          <w:spacing w:val="-8"/>
          <w:sz w:val="24"/>
        </w:rPr>
        <w:t xml:space="preserve"> </w:t>
      </w:r>
      <w:r>
        <w:rPr>
          <w:i/>
          <w:sz w:val="24"/>
        </w:rPr>
        <w:t>solución</w:t>
      </w:r>
      <w:r>
        <w:rPr>
          <w:i/>
          <w:spacing w:val="-8"/>
          <w:sz w:val="24"/>
        </w:rPr>
        <w:t xml:space="preserve"> </w:t>
      </w:r>
      <w:r>
        <w:rPr>
          <w:i/>
          <w:sz w:val="24"/>
        </w:rPr>
        <w:t>indefinidamente.</w:t>
      </w:r>
      <w:r>
        <w:rPr>
          <w:i/>
          <w:spacing w:val="-8"/>
          <w:sz w:val="24"/>
        </w:rPr>
        <w:t xml:space="preserve"> </w:t>
      </w:r>
      <w:r>
        <w:rPr>
          <w:i/>
          <w:sz w:val="24"/>
        </w:rPr>
        <w:t>Las</w:t>
      </w:r>
      <w:r>
        <w:rPr>
          <w:i/>
          <w:spacing w:val="-8"/>
          <w:sz w:val="24"/>
        </w:rPr>
        <w:t xml:space="preserve"> </w:t>
      </w:r>
      <w:r>
        <w:rPr>
          <w:i/>
          <w:sz w:val="24"/>
        </w:rPr>
        <w:t>autoridades</w:t>
      </w:r>
      <w:r>
        <w:rPr>
          <w:i/>
          <w:spacing w:val="-8"/>
          <w:sz w:val="24"/>
        </w:rPr>
        <w:t xml:space="preserve"> </w:t>
      </w:r>
      <w:r>
        <w:rPr>
          <w:i/>
          <w:sz w:val="24"/>
        </w:rPr>
        <w:t>locales</w:t>
      </w:r>
      <w:r>
        <w:rPr>
          <w:i/>
          <w:spacing w:val="-8"/>
          <w:sz w:val="24"/>
        </w:rPr>
        <w:t xml:space="preserve"> </w:t>
      </w:r>
      <w:r>
        <w:rPr>
          <w:i/>
          <w:sz w:val="24"/>
        </w:rPr>
        <w:t>tienen</w:t>
      </w:r>
      <w:r>
        <w:rPr>
          <w:i/>
          <w:spacing w:val="-8"/>
          <w:sz w:val="24"/>
        </w:rPr>
        <w:t xml:space="preserve"> </w:t>
      </w:r>
      <w:r>
        <w:rPr>
          <w:i/>
          <w:sz w:val="24"/>
        </w:rPr>
        <w:t>el deber de formular los proyectos, de preverlos en el Plan de Desarrollo y disponer la apropiación respectiva en el presupuesto, de modo que las obras requeridas para efectuar la reubicación puedan ejecutarse en un plazo razonable y esta problemática no permanezca sin solución indefinidamente. Las autoridades municipales deben además adoptar cronogramas de ejecución, para monitorear que las sucesivas fases se agoten en forma gradual de modo que se avance en tiempo real en la realización de las distintas tareas.</w:t>
      </w:r>
    </w:p>
    <w:p w14:paraId="2D8F60D9" w14:textId="77777777" w:rsidR="000E52B0" w:rsidRDefault="00F60D74">
      <w:pPr>
        <w:pStyle w:val="Textoindependiente"/>
        <w:spacing w:before="158"/>
        <w:ind w:right="716"/>
        <w:jc w:val="both"/>
      </w:pPr>
      <w:r>
        <w:t>Así</w:t>
      </w:r>
      <w:r>
        <w:rPr>
          <w:spacing w:val="-4"/>
        </w:rPr>
        <w:t xml:space="preserve"> </w:t>
      </w:r>
      <w:r>
        <w:t>las</w:t>
      </w:r>
      <w:r>
        <w:rPr>
          <w:spacing w:val="-3"/>
        </w:rPr>
        <w:t xml:space="preserve"> </w:t>
      </w:r>
      <w:r>
        <w:t>cosas,</w:t>
      </w:r>
      <w:r>
        <w:rPr>
          <w:spacing w:val="-4"/>
        </w:rPr>
        <w:t xml:space="preserve"> </w:t>
      </w:r>
      <w:r>
        <w:t>en</w:t>
      </w:r>
      <w:r>
        <w:rPr>
          <w:spacing w:val="-3"/>
        </w:rPr>
        <w:t xml:space="preserve"> </w:t>
      </w:r>
      <w:r>
        <w:t>objetivo</w:t>
      </w:r>
      <w:r>
        <w:rPr>
          <w:spacing w:val="-2"/>
        </w:rPr>
        <w:t xml:space="preserve"> </w:t>
      </w:r>
      <w:r>
        <w:t>del</w:t>
      </w:r>
      <w:r>
        <w:rPr>
          <w:spacing w:val="-4"/>
        </w:rPr>
        <w:t xml:space="preserve"> </w:t>
      </w:r>
      <w:r>
        <w:t>Ministerio</w:t>
      </w:r>
      <w:r>
        <w:rPr>
          <w:spacing w:val="-2"/>
        </w:rPr>
        <w:t xml:space="preserve"> </w:t>
      </w:r>
      <w:r>
        <w:t>de</w:t>
      </w:r>
      <w:r>
        <w:rPr>
          <w:spacing w:val="-2"/>
        </w:rPr>
        <w:t xml:space="preserve"> </w:t>
      </w:r>
      <w:r>
        <w:t>Igualdad</w:t>
      </w:r>
      <w:r>
        <w:rPr>
          <w:spacing w:val="-3"/>
        </w:rPr>
        <w:t xml:space="preserve"> </w:t>
      </w:r>
      <w:r>
        <w:t>y</w:t>
      </w:r>
      <w:r>
        <w:rPr>
          <w:spacing w:val="-3"/>
        </w:rPr>
        <w:t xml:space="preserve"> </w:t>
      </w:r>
      <w:r>
        <w:t>Equidad</w:t>
      </w:r>
      <w:r>
        <w:rPr>
          <w:spacing w:val="-3"/>
        </w:rPr>
        <w:t xml:space="preserve"> </w:t>
      </w:r>
      <w:r>
        <w:t>en</w:t>
      </w:r>
      <w:r>
        <w:rPr>
          <w:spacing w:val="-3"/>
        </w:rPr>
        <w:t xml:space="preserve"> </w:t>
      </w:r>
      <w:r>
        <w:t>el</w:t>
      </w:r>
      <w:r>
        <w:rPr>
          <w:spacing w:val="-4"/>
        </w:rPr>
        <w:t xml:space="preserve"> </w:t>
      </w:r>
      <w:r>
        <w:t>marco de</w:t>
      </w:r>
      <w:r>
        <w:rPr>
          <w:spacing w:val="-17"/>
        </w:rPr>
        <w:t xml:space="preserve"> </w:t>
      </w:r>
      <w:r>
        <w:t>su</w:t>
      </w:r>
      <w:r>
        <w:rPr>
          <w:spacing w:val="-18"/>
        </w:rPr>
        <w:t xml:space="preserve"> </w:t>
      </w:r>
      <w:r>
        <w:t>competencia</w:t>
      </w:r>
      <w:r>
        <w:rPr>
          <w:spacing w:val="-18"/>
        </w:rPr>
        <w:t xml:space="preserve"> </w:t>
      </w:r>
      <w:r>
        <w:t>trabajara</w:t>
      </w:r>
      <w:r>
        <w:rPr>
          <w:spacing w:val="-18"/>
        </w:rPr>
        <w:t xml:space="preserve"> </w:t>
      </w:r>
      <w:r>
        <w:t>desde</w:t>
      </w:r>
      <w:r>
        <w:rPr>
          <w:spacing w:val="-17"/>
        </w:rPr>
        <w:t xml:space="preserve"> </w:t>
      </w:r>
      <w:r>
        <w:t>la</w:t>
      </w:r>
      <w:r>
        <w:rPr>
          <w:spacing w:val="40"/>
        </w:rPr>
        <w:t xml:space="preserve"> </w:t>
      </w:r>
      <w:r>
        <w:t>Dirección</w:t>
      </w:r>
      <w:r>
        <w:rPr>
          <w:spacing w:val="-18"/>
        </w:rPr>
        <w:t xml:space="preserve"> </w:t>
      </w:r>
      <w:r>
        <w:t>para</w:t>
      </w:r>
      <w:r>
        <w:rPr>
          <w:spacing w:val="-18"/>
        </w:rPr>
        <w:t xml:space="preserve"> </w:t>
      </w:r>
      <w:r>
        <w:t>Personas</w:t>
      </w:r>
      <w:r>
        <w:rPr>
          <w:spacing w:val="-18"/>
        </w:rPr>
        <w:t xml:space="preserve"> </w:t>
      </w:r>
      <w:r>
        <w:t>en</w:t>
      </w:r>
      <w:r>
        <w:rPr>
          <w:spacing w:val="-18"/>
        </w:rPr>
        <w:t xml:space="preserve"> </w:t>
      </w:r>
      <w:r>
        <w:t>Situación de Calle del Viceministerio para las</w:t>
      </w:r>
      <w:r>
        <w:rPr>
          <w:spacing w:val="-1"/>
        </w:rPr>
        <w:t xml:space="preserve"> </w:t>
      </w:r>
      <w:r>
        <w:t>Poblaciones</w:t>
      </w:r>
      <w:r>
        <w:rPr>
          <w:spacing w:val="-1"/>
        </w:rPr>
        <w:t xml:space="preserve"> </w:t>
      </w:r>
      <w:r>
        <w:t>y</w:t>
      </w:r>
      <w:r>
        <w:rPr>
          <w:spacing w:val="-1"/>
        </w:rPr>
        <w:t xml:space="preserve"> </w:t>
      </w:r>
      <w:r>
        <w:t>Territorios</w:t>
      </w:r>
      <w:r>
        <w:rPr>
          <w:spacing w:val="-1"/>
        </w:rPr>
        <w:t xml:space="preserve"> </w:t>
      </w:r>
      <w:r>
        <w:t>Excluidos y</w:t>
      </w:r>
      <w:r>
        <w:rPr>
          <w:spacing w:val="-1"/>
        </w:rPr>
        <w:t xml:space="preserve"> </w:t>
      </w:r>
      <w:r>
        <w:t>la Superación de la Pobreza, por dar impulso a la política pública orientada a la protección social y reivindicación de la dignidad de las personas en situación</w:t>
      </w:r>
      <w:r>
        <w:rPr>
          <w:spacing w:val="-4"/>
        </w:rPr>
        <w:t xml:space="preserve"> </w:t>
      </w:r>
      <w:r>
        <w:t>de</w:t>
      </w:r>
      <w:r>
        <w:rPr>
          <w:spacing w:val="-5"/>
        </w:rPr>
        <w:t xml:space="preserve"> </w:t>
      </w:r>
      <w:r>
        <w:t>calle,</w:t>
      </w:r>
      <w:r>
        <w:rPr>
          <w:spacing w:val="-4"/>
        </w:rPr>
        <w:t xml:space="preserve"> </w:t>
      </w:r>
      <w:r>
        <w:t>bajo</w:t>
      </w:r>
      <w:r>
        <w:rPr>
          <w:spacing w:val="-6"/>
        </w:rPr>
        <w:t xml:space="preserve"> </w:t>
      </w:r>
      <w:r>
        <w:t>la</w:t>
      </w:r>
      <w:r>
        <w:rPr>
          <w:spacing w:val="-5"/>
        </w:rPr>
        <w:t xml:space="preserve"> </w:t>
      </w:r>
      <w:r>
        <w:t>observancia</w:t>
      </w:r>
      <w:r>
        <w:rPr>
          <w:spacing w:val="-4"/>
        </w:rPr>
        <w:t xml:space="preserve"> </w:t>
      </w:r>
      <w:r>
        <w:t>del</w:t>
      </w:r>
      <w:r>
        <w:rPr>
          <w:spacing w:val="-7"/>
        </w:rPr>
        <w:t xml:space="preserve"> </w:t>
      </w:r>
      <w:r>
        <w:t>enfoques</w:t>
      </w:r>
      <w:r>
        <w:rPr>
          <w:spacing w:val="-7"/>
        </w:rPr>
        <w:t xml:space="preserve"> </w:t>
      </w:r>
      <w:r>
        <w:t>diferenciales,</w:t>
      </w:r>
      <w:r>
        <w:rPr>
          <w:spacing w:val="-5"/>
        </w:rPr>
        <w:t xml:space="preserve"> </w:t>
      </w:r>
      <w:r>
        <w:t>así</w:t>
      </w:r>
      <w:r>
        <w:rPr>
          <w:spacing w:val="-6"/>
        </w:rPr>
        <w:t xml:space="preserve"> </w:t>
      </w:r>
      <w:r>
        <w:t>como en</w:t>
      </w:r>
      <w:r>
        <w:rPr>
          <w:spacing w:val="-8"/>
        </w:rPr>
        <w:t xml:space="preserve"> </w:t>
      </w:r>
      <w:r>
        <w:t>el</w:t>
      </w:r>
      <w:r>
        <w:rPr>
          <w:spacing w:val="40"/>
        </w:rPr>
        <w:t xml:space="preserve"> </w:t>
      </w:r>
      <w:r>
        <w:t>seguimiento</w:t>
      </w:r>
      <w:r>
        <w:rPr>
          <w:spacing w:val="-7"/>
        </w:rPr>
        <w:t xml:space="preserve"> </w:t>
      </w:r>
      <w:r>
        <w:t>y</w:t>
      </w:r>
      <w:r>
        <w:rPr>
          <w:spacing w:val="-6"/>
        </w:rPr>
        <w:t xml:space="preserve"> </w:t>
      </w:r>
      <w:r>
        <w:t>la</w:t>
      </w:r>
      <w:r>
        <w:rPr>
          <w:spacing w:val="-8"/>
        </w:rPr>
        <w:t xml:space="preserve"> </w:t>
      </w:r>
      <w:r>
        <w:t>evaluación</w:t>
      </w:r>
      <w:r>
        <w:rPr>
          <w:spacing w:val="-8"/>
        </w:rPr>
        <w:t xml:space="preserve"> </w:t>
      </w:r>
      <w:r>
        <w:t>de</w:t>
      </w:r>
      <w:r>
        <w:rPr>
          <w:spacing w:val="-7"/>
        </w:rPr>
        <w:t xml:space="preserve"> </w:t>
      </w:r>
      <w:r>
        <w:t>políticas,</w:t>
      </w:r>
      <w:r>
        <w:rPr>
          <w:spacing w:val="-7"/>
        </w:rPr>
        <w:t xml:space="preserve"> </w:t>
      </w:r>
      <w:r>
        <w:t>planes</w:t>
      </w:r>
      <w:r>
        <w:rPr>
          <w:spacing w:val="-8"/>
        </w:rPr>
        <w:t xml:space="preserve"> </w:t>
      </w:r>
      <w:r>
        <w:t>y</w:t>
      </w:r>
      <w:r>
        <w:rPr>
          <w:spacing w:val="-8"/>
        </w:rPr>
        <w:t xml:space="preserve"> </w:t>
      </w:r>
      <w:r>
        <w:t>programas</w:t>
      </w:r>
      <w:r>
        <w:rPr>
          <w:spacing w:val="-8"/>
        </w:rPr>
        <w:t xml:space="preserve"> </w:t>
      </w:r>
      <w:r>
        <w:t>a</w:t>
      </w:r>
      <w:r>
        <w:rPr>
          <w:spacing w:val="-8"/>
        </w:rPr>
        <w:t xml:space="preserve"> </w:t>
      </w:r>
      <w:r>
        <w:t>cargo de</w:t>
      </w:r>
      <w:r>
        <w:rPr>
          <w:spacing w:val="-5"/>
        </w:rPr>
        <w:t xml:space="preserve"> </w:t>
      </w:r>
      <w:r>
        <w:t>las</w:t>
      </w:r>
      <w:r>
        <w:rPr>
          <w:spacing w:val="-7"/>
        </w:rPr>
        <w:t xml:space="preserve"> </w:t>
      </w:r>
      <w:r>
        <w:t>entidades</w:t>
      </w:r>
      <w:r>
        <w:rPr>
          <w:spacing w:val="-7"/>
        </w:rPr>
        <w:t xml:space="preserve"> </w:t>
      </w:r>
      <w:r>
        <w:t>territoriales</w:t>
      </w:r>
      <w:r>
        <w:rPr>
          <w:spacing w:val="-6"/>
        </w:rPr>
        <w:t xml:space="preserve"> </w:t>
      </w:r>
      <w:r>
        <w:t>competentes</w:t>
      </w:r>
      <w:r>
        <w:rPr>
          <w:spacing w:val="-7"/>
        </w:rPr>
        <w:t xml:space="preserve"> </w:t>
      </w:r>
      <w:r>
        <w:t>para</w:t>
      </w:r>
      <w:r>
        <w:rPr>
          <w:spacing w:val="-6"/>
        </w:rPr>
        <w:t xml:space="preserve"> </w:t>
      </w:r>
      <w:r>
        <w:t>la</w:t>
      </w:r>
      <w:r>
        <w:rPr>
          <w:spacing w:val="-5"/>
        </w:rPr>
        <w:t xml:space="preserve"> </w:t>
      </w:r>
      <w:r>
        <w:t>garantía</w:t>
      </w:r>
      <w:r>
        <w:rPr>
          <w:spacing w:val="-4"/>
        </w:rPr>
        <w:t xml:space="preserve"> </w:t>
      </w:r>
      <w:r>
        <w:t>de</w:t>
      </w:r>
      <w:r>
        <w:rPr>
          <w:spacing w:val="-5"/>
        </w:rPr>
        <w:t xml:space="preserve"> </w:t>
      </w:r>
      <w:r>
        <w:t>los</w:t>
      </w:r>
      <w:r>
        <w:rPr>
          <w:spacing w:val="-6"/>
        </w:rPr>
        <w:t xml:space="preserve"> </w:t>
      </w:r>
      <w:r>
        <w:t>derechos de estas personas. Esto a través de acciones para mitigar el deterioro progresivo de las condiciones de vida de la población habitante de calle, acciones para la superación de barreras de acceso a condiciones de vida dignas y oportunidades vitales, acciones de cambio cultural para la eliminación</w:t>
      </w:r>
      <w:r>
        <w:rPr>
          <w:spacing w:val="-3"/>
        </w:rPr>
        <w:t xml:space="preserve"> </w:t>
      </w:r>
      <w:r>
        <w:t>de</w:t>
      </w:r>
      <w:r>
        <w:rPr>
          <w:spacing w:val="-2"/>
        </w:rPr>
        <w:t xml:space="preserve"> </w:t>
      </w:r>
      <w:r>
        <w:t>estigmas</w:t>
      </w:r>
      <w:r>
        <w:rPr>
          <w:spacing w:val="-3"/>
        </w:rPr>
        <w:t xml:space="preserve"> </w:t>
      </w:r>
      <w:r>
        <w:t>y</w:t>
      </w:r>
      <w:r>
        <w:rPr>
          <w:spacing w:val="-3"/>
        </w:rPr>
        <w:t xml:space="preserve"> </w:t>
      </w:r>
      <w:r>
        <w:t>transformación</w:t>
      </w:r>
      <w:r>
        <w:rPr>
          <w:spacing w:val="-3"/>
        </w:rPr>
        <w:t xml:space="preserve"> </w:t>
      </w:r>
      <w:r>
        <w:t>de</w:t>
      </w:r>
      <w:r>
        <w:rPr>
          <w:spacing w:val="-2"/>
        </w:rPr>
        <w:t xml:space="preserve"> </w:t>
      </w:r>
      <w:r>
        <w:t>representaciones</w:t>
      </w:r>
      <w:r>
        <w:rPr>
          <w:spacing w:val="-3"/>
        </w:rPr>
        <w:t xml:space="preserve"> </w:t>
      </w:r>
      <w:r>
        <w:t>negativas</w:t>
      </w:r>
      <w:r>
        <w:rPr>
          <w:spacing w:val="-3"/>
        </w:rPr>
        <w:t xml:space="preserve"> </w:t>
      </w:r>
      <w:r>
        <w:t>y acciones para la garantía del derecho a la participación de la población habitante de calle.</w:t>
      </w:r>
    </w:p>
    <w:p w14:paraId="7083221F" w14:textId="77777777" w:rsidR="000E52B0" w:rsidRDefault="000E52B0">
      <w:pPr>
        <w:pStyle w:val="Textoindependiente"/>
        <w:spacing w:before="17"/>
        <w:ind w:left="0"/>
      </w:pPr>
    </w:p>
    <w:p w14:paraId="71C0EF6D" w14:textId="77777777" w:rsidR="000E52B0" w:rsidRDefault="00F60D74">
      <w:pPr>
        <w:pStyle w:val="Textoindependiente"/>
        <w:jc w:val="both"/>
      </w:pPr>
      <w:bookmarkStart w:id="186" w:name="_bookmark186"/>
      <w:bookmarkEnd w:id="186"/>
      <w:r>
        <w:rPr>
          <w:color w:val="770F47"/>
        </w:rPr>
        <w:t>Población</w:t>
      </w:r>
      <w:r>
        <w:rPr>
          <w:color w:val="770F47"/>
          <w:spacing w:val="-3"/>
        </w:rPr>
        <w:t xml:space="preserve"> </w:t>
      </w:r>
      <w:r>
        <w:rPr>
          <w:color w:val="770F47"/>
        </w:rPr>
        <w:t>en</w:t>
      </w:r>
      <w:r>
        <w:rPr>
          <w:color w:val="770F47"/>
          <w:spacing w:val="-4"/>
        </w:rPr>
        <w:t xml:space="preserve"> </w:t>
      </w:r>
      <w:r>
        <w:rPr>
          <w:color w:val="770F47"/>
        </w:rPr>
        <w:t>territorios</w:t>
      </w:r>
      <w:r>
        <w:rPr>
          <w:color w:val="770F47"/>
          <w:spacing w:val="-4"/>
        </w:rPr>
        <w:t xml:space="preserve"> </w:t>
      </w:r>
      <w:r>
        <w:rPr>
          <w:color w:val="770F47"/>
          <w:spacing w:val="-2"/>
        </w:rPr>
        <w:t>excluidos</w:t>
      </w:r>
    </w:p>
    <w:p w14:paraId="11AE25A8" w14:textId="77777777" w:rsidR="000E52B0" w:rsidRDefault="000E52B0">
      <w:pPr>
        <w:pStyle w:val="Textoindependiente"/>
        <w:spacing w:before="2"/>
        <w:ind w:left="0"/>
      </w:pPr>
    </w:p>
    <w:p w14:paraId="60E757A6" w14:textId="77777777" w:rsidR="000E52B0" w:rsidRDefault="00F60D74">
      <w:pPr>
        <w:pStyle w:val="Textoindependiente"/>
        <w:ind w:right="715"/>
        <w:jc w:val="both"/>
      </w:pPr>
      <w:r>
        <w:t>Se entienden territorios marginados y excluidos, aquellos que vieron interrumpida, conducida y sometidas sus relaciones sociales, culturales, políticas y económicas, durante el proceso de configuración del actual Estado</w:t>
      </w:r>
      <w:r>
        <w:rPr>
          <w:spacing w:val="-10"/>
        </w:rPr>
        <w:t xml:space="preserve"> </w:t>
      </w:r>
      <w:r>
        <w:t>Nación</w:t>
      </w:r>
      <w:r>
        <w:rPr>
          <w:spacing w:val="-11"/>
        </w:rPr>
        <w:t xml:space="preserve"> </w:t>
      </w:r>
      <w:r>
        <w:t>Colombiano.</w:t>
      </w:r>
      <w:r>
        <w:rPr>
          <w:spacing w:val="40"/>
        </w:rPr>
        <w:t xml:space="preserve"> </w:t>
      </w:r>
      <w:r>
        <w:t>Son</w:t>
      </w:r>
      <w:r>
        <w:rPr>
          <w:spacing w:val="-9"/>
        </w:rPr>
        <w:t xml:space="preserve"> </w:t>
      </w:r>
      <w:r>
        <w:t>todos</w:t>
      </w:r>
      <w:r>
        <w:rPr>
          <w:spacing w:val="-9"/>
        </w:rPr>
        <w:t xml:space="preserve"> </w:t>
      </w:r>
      <w:r>
        <w:t>los</w:t>
      </w:r>
      <w:r>
        <w:rPr>
          <w:spacing w:val="-10"/>
        </w:rPr>
        <w:t xml:space="preserve"> </w:t>
      </w:r>
      <w:r>
        <w:t>territorios</w:t>
      </w:r>
      <w:r>
        <w:rPr>
          <w:spacing w:val="-10"/>
        </w:rPr>
        <w:t xml:space="preserve"> </w:t>
      </w:r>
      <w:r>
        <w:t>que</w:t>
      </w:r>
      <w:r>
        <w:rPr>
          <w:spacing w:val="-9"/>
        </w:rPr>
        <w:t xml:space="preserve"> </w:t>
      </w:r>
      <w:r>
        <w:t>han</w:t>
      </w:r>
      <w:r>
        <w:rPr>
          <w:spacing w:val="-11"/>
        </w:rPr>
        <w:t xml:space="preserve"> </w:t>
      </w:r>
      <w:r>
        <w:t>sido</w:t>
      </w:r>
      <w:r>
        <w:rPr>
          <w:spacing w:val="-10"/>
        </w:rPr>
        <w:t xml:space="preserve"> </w:t>
      </w:r>
      <w:r>
        <w:t>forzados a interrumpir sus dinámicas socioculturales y ecosistémicas por la instauración</w:t>
      </w:r>
      <w:r>
        <w:rPr>
          <w:spacing w:val="63"/>
          <w:w w:val="150"/>
        </w:rPr>
        <w:t xml:space="preserve"> </w:t>
      </w:r>
      <w:r>
        <w:t>de</w:t>
      </w:r>
      <w:r>
        <w:rPr>
          <w:spacing w:val="65"/>
          <w:w w:val="150"/>
        </w:rPr>
        <w:t xml:space="preserve"> </w:t>
      </w:r>
      <w:r>
        <w:t>instituciones</w:t>
      </w:r>
      <w:r>
        <w:rPr>
          <w:spacing w:val="64"/>
          <w:w w:val="150"/>
        </w:rPr>
        <w:t xml:space="preserve"> </w:t>
      </w:r>
      <w:r>
        <w:t>y</w:t>
      </w:r>
      <w:r>
        <w:rPr>
          <w:spacing w:val="62"/>
          <w:w w:val="150"/>
        </w:rPr>
        <w:t xml:space="preserve"> </w:t>
      </w:r>
      <w:r>
        <w:t>decisiones</w:t>
      </w:r>
      <w:r>
        <w:rPr>
          <w:spacing w:val="64"/>
          <w:w w:val="150"/>
        </w:rPr>
        <w:t xml:space="preserve"> </w:t>
      </w:r>
      <w:r>
        <w:t>modernas,</w:t>
      </w:r>
      <w:r>
        <w:rPr>
          <w:spacing w:val="63"/>
          <w:w w:val="150"/>
        </w:rPr>
        <w:t xml:space="preserve"> </w:t>
      </w:r>
      <w:r>
        <w:t>que</w:t>
      </w:r>
      <w:r>
        <w:rPr>
          <w:spacing w:val="64"/>
          <w:w w:val="150"/>
        </w:rPr>
        <w:t xml:space="preserve"> </w:t>
      </w:r>
      <w:r>
        <w:t>hasta</w:t>
      </w:r>
      <w:r>
        <w:rPr>
          <w:spacing w:val="64"/>
          <w:w w:val="150"/>
        </w:rPr>
        <w:t xml:space="preserve"> </w:t>
      </w:r>
      <w:r>
        <w:rPr>
          <w:spacing w:val="-5"/>
        </w:rPr>
        <w:t>hoy</w:t>
      </w:r>
    </w:p>
    <w:p w14:paraId="261A6F4C" w14:textId="77777777" w:rsidR="000E52B0" w:rsidRDefault="000E52B0">
      <w:pPr>
        <w:pStyle w:val="Textoindependiente"/>
        <w:jc w:val="both"/>
        <w:sectPr w:rsidR="000E52B0">
          <w:pgSz w:w="11910" w:h="16840"/>
          <w:pgMar w:top="1340" w:right="720" w:bottom="1180" w:left="720" w:header="0" w:footer="995" w:gutter="0"/>
          <w:cols w:space="720"/>
        </w:sectPr>
      </w:pPr>
    </w:p>
    <w:p w14:paraId="5F2C70FA" w14:textId="77777777" w:rsidR="000E52B0" w:rsidRDefault="00F60D74">
      <w:pPr>
        <w:pStyle w:val="Textoindependiente"/>
        <w:spacing w:before="83"/>
        <w:ind w:right="721"/>
        <w:jc w:val="both"/>
      </w:pPr>
      <w:r>
        <w:lastRenderedPageBreak/>
        <w:t>obstaculizan la redistribución de la participación en las decisiones y los recursos del país, en términos que su pluralidad requiere y en los que se reproducen condiciones de exclusión y marginalidad como elementos constitutivos de la desigualdad.</w:t>
      </w:r>
    </w:p>
    <w:p w14:paraId="46F713C4" w14:textId="77777777" w:rsidR="000E52B0" w:rsidRDefault="00F60D74">
      <w:pPr>
        <w:pStyle w:val="Textoindependiente"/>
        <w:spacing w:before="290"/>
        <w:ind w:right="718"/>
        <w:jc w:val="both"/>
      </w:pPr>
      <w:r>
        <w:t>Son territorios en los que se han favorecido las condiciones para la acumulación por desposesión que origina, reproduce y sostienen instituciones, jurisprudencia y narrativas qué a partir de una visión de desarrollo centrada en el crecimiento económico, justifica políticamente la existencia de rezagos históricos y/o nula inversión pública en infraestructura de servicios públicos, evade la inclusión de los mismos en procesos de recolección y actualización de información oficial, y donde la vocación</w:t>
      </w:r>
      <w:r>
        <w:rPr>
          <w:spacing w:val="-22"/>
        </w:rPr>
        <w:t xml:space="preserve"> </w:t>
      </w:r>
      <w:r>
        <w:t>productiva</w:t>
      </w:r>
      <w:r>
        <w:rPr>
          <w:spacing w:val="-21"/>
        </w:rPr>
        <w:t xml:space="preserve"> </w:t>
      </w:r>
      <w:r>
        <w:t>se</w:t>
      </w:r>
      <w:r>
        <w:rPr>
          <w:spacing w:val="-21"/>
        </w:rPr>
        <w:t xml:space="preserve"> </w:t>
      </w:r>
      <w:r>
        <w:t>ha</w:t>
      </w:r>
      <w:r>
        <w:rPr>
          <w:spacing w:val="-21"/>
        </w:rPr>
        <w:t xml:space="preserve"> </w:t>
      </w:r>
      <w:r>
        <w:t>vinculado</w:t>
      </w:r>
      <w:r>
        <w:rPr>
          <w:spacing w:val="-21"/>
        </w:rPr>
        <w:t xml:space="preserve"> </w:t>
      </w:r>
      <w:r>
        <w:t>históricamente</w:t>
      </w:r>
      <w:r>
        <w:rPr>
          <w:spacing w:val="-21"/>
        </w:rPr>
        <w:t xml:space="preserve"> </w:t>
      </w:r>
      <w:r>
        <w:t>a</w:t>
      </w:r>
      <w:r>
        <w:rPr>
          <w:spacing w:val="-21"/>
        </w:rPr>
        <w:t xml:space="preserve"> </w:t>
      </w:r>
      <w:r>
        <w:t>economías</w:t>
      </w:r>
      <w:r>
        <w:rPr>
          <w:spacing w:val="-21"/>
        </w:rPr>
        <w:t xml:space="preserve"> </w:t>
      </w:r>
      <w:r>
        <w:t>de</w:t>
      </w:r>
      <w:r>
        <w:rPr>
          <w:spacing w:val="-21"/>
        </w:rPr>
        <w:t xml:space="preserve"> </w:t>
      </w:r>
      <w:r>
        <w:t>enclave vinculadas</w:t>
      </w:r>
      <w:r>
        <w:rPr>
          <w:spacing w:val="-22"/>
        </w:rPr>
        <w:t xml:space="preserve"> </w:t>
      </w:r>
      <w:r>
        <w:t>a</w:t>
      </w:r>
      <w:r>
        <w:rPr>
          <w:spacing w:val="-21"/>
        </w:rPr>
        <w:t xml:space="preserve"> </w:t>
      </w:r>
      <w:r>
        <w:t>la</w:t>
      </w:r>
      <w:r>
        <w:rPr>
          <w:spacing w:val="-21"/>
        </w:rPr>
        <w:t xml:space="preserve"> </w:t>
      </w:r>
      <w:r>
        <w:t>sostenibilidad</w:t>
      </w:r>
      <w:r>
        <w:rPr>
          <w:spacing w:val="-21"/>
        </w:rPr>
        <w:t xml:space="preserve"> </w:t>
      </w:r>
      <w:r>
        <w:t>de</w:t>
      </w:r>
      <w:r>
        <w:rPr>
          <w:spacing w:val="-21"/>
        </w:rPr>
        <w:t xml:space="preserve"> </w:t>
      </w:r>
      <w:r>
        <w:t>centros</w:t>
      </w:r>
      <w:r>
        <w:rPr>
          <w:spacing w:val="-21"/>
        </w:rPr>
        <w:t xml:space="preserve"> </w:t>
      </w:r>
      <w:r>
        <w:t>urbanos</w:t>
      </w:r>
      <w:r>
        <w:rPr>
          <w:spacing w:val="-21"/>
        </w:rPr>
        <w:t xml:space="preserve"> </w:t>
      </w:r>
      <w:r>
        <w:t>y</w:t>
      </w:r>
      <w:r>
        <w:rPr>
          <w:spacing w:val="40"/>
        </w:rPr>
        <w:t xml:space="preserve"> </w:t>
      </w:r>
      <w:r>
        <w:t>donde</w:t>
      </w:r>
      <w:r>
        <w:rPr>
          <w:spacing w:val="-22"/>
        </w:rPr>
        <w:t xml:space="preserve"> </w:t>
      </w:r>
      <w:r>
        <w:t>los</w:t>
      </w:r>
      <w:r>
        <w:rPr>
          <w:spacing w:val="-20"/>
        </w:rPr>
        <w:t xml:space="preserve"> </w:t>
      </w:r>
      <w:r>
        <w:t>usos</w:t>
      </w:r>
      <w:r>
        <w:rPr>
          <w:spacing w:val="-20"/>
        </w:rPr>
        <w:t xml:space="preserve"> </w:t>
      </w:r>
      <w:r>
        <w:t>del</w:t>
      </w:r>
      <w:r>
        <w:rPr>
          <w:spacing w:val="-22"/>
        </w:rPr>
        <w:t xml:space="preserve"> </w:t>
      </w:r>
      <w:r>
        <w:t>suelo han sido establecidos desde el orden central.</w:t>
      </w:r>
    </w:p>
    <w:p w14:paraId="0FBE2417" w14:textId="77777777" w:rsidR="000E52B0" w:rsidRDefault="00F60D74">
      <w:pPr>
        <w:pStyle w:val="Textoindependiente"/>
        <w:spacing w:before="160"/>
        <w:ind w:right="717"/>
        <w:jc w:val="both"/>
      </w:pPr>
      <w:r>
        <w:t>Son</w:t>
      </w:r>
      <w:r>
        <w:rPr>
          <w:spacing w:val="-2"/>
        </w:rPr>
        <w:t xml:space="preserve"> </w:t>
      </w:r>
      <w:r>
        <w:t>territorios</w:t>
      </w:r>
      <w:r>
        <w:rPr>
          <w:spacing w:val="-2"/>
        </w:rPr>
        <w:t xml:space="preserve"> </w:t>
      </w:r>
      <w:r>
        <w:t>con</w:t>
      </w:r>
      <w:r>
        <w:rPr>
          <w:spacing w:val="-2"/>
        </w:rPr>
        <w:t xml:space="preserve"> </w:t>
      </w:r>
      <w:r>
        <w:t>limitada</w:t>
      </w:r>
      <w:r>
        <w:rPr>
          <w:spacing w:val="-2"/>
        </w:rPr>
        <w:t xml:space="preserve"> </w:t>
      </w:r>
      <w:r>
        <w:t>o</w:t>
      </w:r>
      <w:r>
        <w:rPr>
          <w:spacing w:val="-1"/>
        </w:rPr>
        <w:t xml:space="preserve"> </w:t>
      </w:r>
      <w:r>
        <w:t>inexistente</w:t>
      </w:r>
      <w:r>
        <w:rPr>
          <w:spacing w:val="-1"/>
        </w:rPr>
        <w:t xml:space="preserve"> </w:t>
      </w:r>
      <w:r>
        <w:t>presencia</w:t>
      </w:r>
      <w:r>
        <w:rPr>
          <w:spacing w:val="-2"/>
        </w:rPr>
        <w:t xml:space="preserve"> </w:t>
      </w:r>
      <w:r>
        <w:t>y</w:t>
      </w:r>
      <w:r>
        <w:rPr>
          <w:spacing w:val="-2"/>
        </w:rPr>
        <w:t xml:space="preserve"> </w:t>
      </w:r>
      <w:r>
        <w:t>capacidad</w:t>
      </w:r>
      <w:r>
        <w:rPr>
          <w:spacing w:val="-2"/>
        </w:rPr>
        <w:t xml:space="preserve"> </w:t>
      </w:r>
      <w:r>
        <w:t>del</w:t>
      </w:r>
      <w:r>
        <w:rPr>
          <w:spacing w:val="-2"/>
        </w:rPr>
        <w:t xml:space="preserve"> </w:t>
      </w:r>
      <w:r>
        <w:t>Estado civil y habitados por poblaciones discriminadas históricamente, con presencia</w:t>
      </w:r>
      <w:r>
        <w:rPr>
          <w:spacing w:val="-4"/>
        </w:rPr>
        <w:t xml:space="preserve"> </w:t>
      </w:r>
      <w:r>
        <w:t>de</w:t>
      </w:r>
      <w:r>
        <w:rPr>
          <w:spacing w:val="-2"/>
        </w:rPr>
        <w:t xml:space="preserve"> </w:t>
      </w:r>
      <w:r>
        <w:t>territorios</w:t>
      </w:r>
      <w:r>
        <w:rPr>
          <w:spacing w:val="-4"/>
        </w:rPr>
        <w:t xml:space="preserve"> </w:t>
      </w:r>
      <w:r>
        <w:t>colectivos</w:t>
      </w:r>
      <w:r>
        <w:rPr>
          <w:spacing w:val="-4"/>
        </w:rPr>
        <w:t xml:space="preserve"> </w:t>
      </w:r>
      <w:r>
        <w:t>y</w:t>
      </w:r>
      <w:r>
        <w:rPr>
          <w:spacing w:val="-3"/>
        </w:rPr>
        <w:t xml:space="preserve"> </w:t>
      </w:r>
      <w:r>
        <w:t>son</w:t>
      </w:r>
      <w:r>
        <w:rPr>
          <w:spacing w:val="-3"/>
        </w:rPr>
        <w:t xml:space="preserve"> </w:t>
      </w:r>
      <w:r>
        <w:t>territorios</w:t>
      </w:r>
      <w:r>
        <w:rPr>
          <w:spacing w:val="-4"/>
        </w:rPr>
        <w:t xml:space="preserve"> </w:t>
      </w:r>
      <w:r>
        <w:t>con</w:t>
      </w:r>
      <w:r>
        <w:rPr>
          <w:spacing w:val="-2"/>
        </w:rPr>
        <w:t xml:space="preserve"> </w:t>
      </w:r>
      <w:r>
        <w:t>barreras</w:t>
      </w:r>
      <w:r>
        <w:rPr>
          <w:spacing w:val="-4"/>
        </w:rPr>
        <w:t xml:space="preserve"> </w:t>
      </w:r>
      <w:r>
        <w:t>materiales generalizadas</w:t>
      </w:r>
      <w:r>
        <w:rPr>
          <w:spacing w:val="-5"/>
        </w:rPr>
        <w:t xml:space="preserve"> </w:t>
      </w:r>
      <w:r>
        <w:t>de</w:t>
      </w:r>
      <w:r>
        <w:rPr>
          <w:spacing w:val="-4"/>
        </w:rPr>
        <w:t xml:space="preserve"> </w:t>
      </w:r>
      <w:r>
        <w:t>acceso</w:t>
      </w:r>
      <w:r>
        <w:rPr>
          <w:spacing w:val="-3"/>
        </w:rPr>
        <w:t xml:space="preserve"> </w:t>
      </w:r>
      <w:r>
        <w:t>a</w:t>
      </w:r>
      <w:r>
        <w:rPr>
          <w:spacing w:val="-5"/>
        </w:rPr>
        <w:t xml:space="preserve"> </w:t>
      </w:r>
      <w:r>
        <w:t>derechos</w:t>
      </w:r>
      <w:r>
        <w:rPr>
          <w:spacing w:val="-3"/>
        </w:rPr>
        <w:t xml:space="preserve"> </w:t>
      </w:r>
      <w:r>
        <w:t>fundamentales</w:t>
      </w:r>
      <w:r>
        <w:rPr>
          <w:spacing w:val="-5"/>
        </w:rPr>
        <w:t xml:space="preserve"> </w:t>
      </w:r>
      <w:r>
        <w:t>vinculados</w:t>
      </w:r>
      <w:r>
        <w:rPr>
          <w:spacing w:val="-5"/>
        </w:rPr>
        <w:t xml:space="preserve"> </w:t>
      </w:r>
      <w:r>
        <w:t>a</w:t>
      </w:r>
      <w:r>
        <w:rPr>
          <w:spacing w:val="-4"/>
        </w:rPr>
        <w:t xml:space="preserve"> </w:t>
      </w:r>
      <w:r>
        <w:t>la</w:t>
      </w:r>
      <w:r>
        <w:rPr>
          <w:spacing w:val="-4"/>
        </w:rPr>
        <w:t xml:space="preserve"> </w:t>
      </w:r>
      <w:r>
        <w:t>vida</w:t>
      </w:r>
      <w:r>
        <w:rPr>
          <w:spacing w:val="-4"/>
        </w:rPr>
        <w:t xml:space="preserve"> </w:t>
      </w:r>
      <w:r>
        <w:t xml:space="preserve">en </w:t>
      </w:r>
      <w:r>
        <w:rPr>
          <w:spacing w:val="-2"/>
        </w:rPr>
        <w:t>dignidad.</w:t>
      </w:r>
    </w:p>
    <w:p w14:paraId="0C7B50B0" w14:textId="77777777" w:rsidR="000E52B0" w:rsidRDefault="00F60D74">
      <w:pPr>
        <w:pStyle w:val="Textoindependiente"/>
        <w:spacing w:before="162"/>
        <w:ind w:right="718"/>
        <w:jc w:val="both"/>
      </w:pPr>
      <w:r>
        <w:t>El problema se manifiesta a través de las barreras que enfrentan las comunidades y poblaciones excluidas para el goce efectivo de derechos fundamentales como la salud, la educación, el acceso al agua y el saneamiento básico. Estas dificultades son el resultado de un rezago histórico en la inversión en infraestructura en estos territorios y la concentración</w:t>
      </w:r>
      <w:r>
        <w:rPr>
          <w:spacing w:val="-2"/>
        </w:rPr>
        <w:t xml:space="preserve"> </w:t>
      </w:r>
      <w:r>
        <w:t>de</w:t>
      </w:r>
      <w:r>
        <w:rPr>
          <w:spacing w:val="-1"/>
        </w:rPr>
        <w:t xml:space="preserve"> </w:t>
      </w:r>
      <w:r>
        <w:t>los</w:t>
      </w:r>
      <w:r>
        <w:rPr>
          <w:spacing w:val="-2"/>
        </w:rPr>
        <w:t xml:space="preserve"> </w:t>
      </w:r>
      <w:r>
        <w:t>recursos</w:t>
      </w:r>
      <w:r>
        <w:rPr>
          <w:spacing w:val="-2"/>
        </w:rPr>
        <w:t xml:space="preserve"> </w:t>
      </w:r>
      <w:r>
        <w:t>en</w:t>
      </w:r>
      <w:r>
        <w:rPr>
          <w:spacing w:val="-2"/>
        </w:rPr>
        <w:t xml:space="preserve"> </w:t>
      </w:r>
      <w:r>
        <w:t>actividades</w:t>
      </w:r>
      <w:r>
        <w:rPr>
          <w:spacing w:val="-2"/>
        </w:rPr>
        <w:t xml:space="preserve"> </w:t>
      </w:r>
      <w:r>
        <w:t>industriales</w:t>
      </w:r>
      <w:r>
        <w:rPr>
          <w:spacing w:val="-2"/>
        </w:rPr>
        <w:t xml:space="preserve"> </w:t>
      </w:r>
      <w:r>
        <w:t>y de</w:t>
      </w:r>
      <w:r>
        <w:rPr>
          <w:spacing w:val="-1"/>
        </w:rPr>
        <w:t xml:space="preserve"> </w:t>
      </w:r>
      <w:r>
        <w:t>explotación. La falta de inversión adecuada y la gestión ineficaz de los recursos han perpetuado las desigualdades y limitado el acceso a servicios esenciales para las poblaciones más vulnerables.</w:t>
      </w:r>
    </w:p>
    <w:p w14:paraId="71D32A9B" w14:textId="77777777" w:rsidR="000E52B0" w:rsidRDefault="00F60D74">
      <w:pPr>
        <w:pStyle w:val="Textoindependiente"/>
        <w:spacing w:before="159"/>
        <w:ind w:right="715"/>
        <w:jc w:val="both"/>
      </w:pPr>
      <w:r>
        <w:t>Entre</w:t>
      </w:r>
      <w:r>
        <w:rPr>
          <w:spacing w:val="-11"/>
        </w:rPr>
        <w:t xml:space="preserve"> </w:t>
      </w:r>
      <w:r>
        <w:t>los</w:t>
      </w:r>
      <w:r>
        <w:rPr>
          <w:spacing w:val="-12"/>
        </w:rPr>
        <w:t xml:space="preserve"> </w:t>
      </w:r>
      <w:r>
        <w:t>efectos</w:t>
      </w:r>
      <w:r>
        <w:rPr>
          <w:spacing w:val="-12"/>
        </w:rPr>
        <w:t xml:space="preserve"> </w:t>
      </w:r>
      <w:r>
        <w:t>inmediatos</w:t>
      </w:r>
      <w:r>
        <w:rPr>
          <w:spacing w:val="-12"/>
        </w:rPr>
        <w:t xml:space="preserve"> </w:t>
      </w:r>
      <w:r>
        <w:t>identificados,</w:t>
      </w:r>
      <w:r>
        <w:rPr>
          <w:spacing w:val="-13"/>
        </w:rPr>
        <w:t xml:space="preserve"> </w:t>
      </w:r>
      <w:r>
        <w:t>se</w:t>
      </w:r>
      <w:r>
        <w:rPr>
          <w:spacing w:val="-11"/>
        </w:rPr>
        <w:t xml:space="preserve"> </w:t>
      </w:r>
      <w:r>
        <w:t>observa</w:t>
      </w:r>
      <w:r>
        <w:rPr>
          <w:spacing w:val="-13"/>
        </w:rPr>
        <w:t xml:space="preserve"> </w:t>
      </w:r>
      <w:r>
        <w:t>que</w:t>
      </w:r>
      <w:r>
        <w:rPr>
          <w:spacing w:val="-13"/>
        </w:rPr>
        <w:t xml:space="preserve"> </w:t>
      </w:r>
      <w:r>
        <w:t>las</w:t>
      </w:r>
      <w:r>
        <w:rPr>
          <w:spacing w:val="-12"/>
        </w:rPr>
        <w:t xml:space="preserve"> </w:t>
      </w:r>
      <w:r>
        <w:t>comunidades en territorios marginados y excluidos recurren a mecanismos de afrontamiento negativos, que impactan principalmente a mujeres y jóvenes. Estos mecanismos no solo afectan la calidad de vida de estos grupos, sino que también contribuyen a la aparición y exacerbación de problemas de salud pública en dichos territorios. La combinación de estas dificultades</w:t>
      </w:r>
      <w:r>
        <w:rPr>
          <w:spacing w:val="-12"/>
        </w:rPr>
        <w:t xml:space="preserve"> </w:t>
      </w:r>
      <w:r>
        <w:t>subraya</w:t>
      </w:r>
      <w:r>
        <w:rPr>
          <w:spacing w:val="-10"/>
        </w:rPr>
        <w:t xml:space="preserve"> </w:t>
      </w:r>
      <w:r>
        <w:t>la</w:t>
      </w:r>
      <w:r>
        <w:rPr>
          <w:spacing w:val="-13"/>
        </w:rPr>
        <w:t xml:space="preserve"> </w:t>
      </w:r>
      <w:r>
        <w:t>urgencia</w:t>
      </w:r>
      <w:r>
        <w:rPr>
          <w:spacing w:val="-13"/>
        </w:rPr>
        <w:t xml:space="preserve"> </w:t>
      </w:r>
      <w:r>
        <w:t>de</w:t>
      </w:r>
      <w:r>
        <w:rPr>
          <w:spacing w:val="-11"/>
        </w:rPr>
        <w:t xml:space="preserve"> </w:t>
      </w:r>
      <w:r>
        <w:t>abordar</w:t>
      </w:r>
      <w:r>
        <w:rPr>
          <w:spacing w:val="-12"/>
        </w:rPr>
        <w:t xml:space="preserve"> </w:t>
      </w:r>
      <w:r>
        <w:t>las</w:t>
      </w:r>
      <w:r>
        <w:rPr>
          <w:spacing w:val="-12"/>
        </w:rPr>
        <w:t xml:space="preserve"> </w:t>
      </w:r>
      <w:r>
        <w:t>desigualdades</w:t>
      </w:r>
      <w:r>
        <w:rPr>
          <w:spacing w:val="-12"/>
        </w:rPr>
        <w:t xml:space="preserve"> </w:t>
      </w:r>
      <w:r>
        <w:t>estructurales y</w:t>
      </w:r>
      <w:r>
        <w:rPr>
          <w:spacing w:val="-7"/>
        </w:rPr>
        <w:t xml:space="preserve"> </w:t>
      </w:r>
      <w:r>
        <w:t>mejorar</w:t>
      </w:r>
      <w:r>
        <w:rPr>
          <w:spacing w:val="-6"/>
        </w:rPr>
        <w:t xml:space="preserve"> </w:t>
      </w:r>
      <w:r>
        <w:t>las</w:t>
      </w:r>
      <w:r>
        <w:rPr>
          <w:spacing w:val="-7"/>
        </w:rPr>
        <w:t xml:space="preserve"> </w:t>
      </w:r>
      <w:r>
        <w:t>condiciones</w:t>
      </w:r>
      <w:r>
        <w:rPr>
          <w:spacing w:val="-7"/>
        </w:rPr>
        <w:t xml:space="preserve"> </w:t>
      </w:r>
      <w:r>
        <w:t>de</w:t>
      </w:r>
      <w:r>
        <w:rPr>
          <w:spacing w:val="-6"/>
        </w:rPr>
        <w:t xml:space="preserve"> </w:t>
      </w:r>
      <w:r>
        <w:t>vida</w:t>
      </w:r>
      <w:r>
        <w:rPr>
          <w:spacing w:val="-4"/>
        </w:rPr>
        <w:t xml:space="preserve"> </w:t>
      </w:r>
      <w:r>
        <w:t>mediante</w:t>
      </w:r>
      <w:r>
        <w:rPr>
          <w:spacing w:val="-6"/>
        </w:rPr>
        <w:t xml:space="preserve"> </w:t>
      </w:r>
      <w:r>
        <w:t>una</w:t>
      </w:r>
      <w:r>
        <w:rPr>
          <w:spacing w:val="-4"/>
        </w:rPr>
        <w:t xml:space="preserve"> </w:t>
      </w:r>
      <w:r>
        <w:t>inversión</w:t>
      </w:r>
      <w:r>
        <w:rPr>
          <w:spacing w:val="-7"/>
        </w:rPr>
        <w:t xml:space="preserve"> </w:t>
      </w:r>
      <w:r>
        <w:t>más</w:t>
      </w:r>
      <w:r>
        <w:rPr>
          <w:spacing w:val="-7"/>
        </w:rPr>
        <w:t xml:space="preserve"> </w:t>
      </w:r>
      <w:r>
        <w:t>equitativa</w:t>
      </w:r>
      <w:r>
        <w:rPr>
          <w:spacing w:val="-5"/>
        </w:rPr>
        <w:t xml:space="preserve"> </w:t>
      </w:r>
      <w:r>
        <w:t>y sostenible en infraestructura y recursos.</w:t>
      </w:r>
    </w:p>
    <w:p w14:paraId="4D165EC4" w14:textId="77777777" w:rsidR="000E52B0" w:rsidRDefault="00F60D74">
      <w:pPr>
        <w:pStyle w:val="Textoindependiente"/>
        <w:spacing w:before="160"/>
        <w:ind w:right="713"/>
        <w:jc w:val="both"/>
      </w:pPr>
      <w:r>
        <w:t>En la Sentencia T-466 de 2016 del M.P. Alejandro Linares Cantill</w:t>
      </w:r>
      <w:r>
        <w:rPr>
          <w:b/>
        </w:rPr>
        <w:t>o</w:t>
      </w:r>
      <w:hyperlink w:anchor="_bookmark187" w:history="1">
        <w:r w:rsidR="000E52B0">
          <w:rPr>
            <w:position w:val="8"/>
            <w:sz w:val="16"/>
          </w:rPr>
          <w:t>146</w:t>
        </w:r>
      </w:hyperlink>
      <w:r>
        <w:t>, la Corte se refirió a las barreras de acceso a la educación en zonas rurales, subrayando</w:t>
      </w:r>
      <w:r>
        <w:rPr>
          <w:spacing w:val="-9"/>
        </w:rPr>
        <w:t xml:space="preserve"> </w:t>
      </w:r>
      <w:r>
        <w:t>que</w:t>
      </w:r>
      <w:r>
        <w:rPr>
          <w:spacing w:val="-9"/>
        </w:rPr>
        <w:t xml:space="preserve"> </w:t>
      </w:r>
      <w:r>
        <w:t>la</w:t>
      </w:r>
      <w:r>
        <w:rPr>
          <w:spacing w:val="-10"/>
        </w:rPr>
        <w:t xml:space="preserve"> </w:t>
      </w:r>
      <w:r>
        <w:t>falta</w:t>
      </w:r>
      <w:r>
        <w:rPr>
          <w:spacing w:val="-10"/>
        </w:rPr>
        <w:t xml:space="preserve"> </w:t>
      </w:r>
      <w:r>
        <w:t>de</w:t>
      </w:r>
      <w:r>
        <w:rPr>
          <w:spacing w:val="-9"/>
        </w:rPr>
        <w:t xml:space="preserve"> </w:t>
      </w:r>
      <w:r>
        <w:t>infraestructura</w:t>
      </w:r>
      <w:r>
        <w:rPr>
          <w:spacing w:val="-9"/>
        </w:rPr>
        <w:t xml:space="preserve"> </w:t>
      </w:r>
      <w:r>
        <w:t>y</w:t>
      </w:r>
      <w:r>
        <w:rPr>
          <w:spacing w:val="-10"/>
        </w:rPr>
        <w:t xml:space="preserve"> </w:t>
      </w:r>
      <w:r>
        <w:t>personal</w:t>
      </w:r>
      <w:r>
        <w:rPr>
          <w:spacing w:val="-11"/>
        </w:rPr>
        <w:t xml:space="preserve"> </w:t>
      </w:r>
      <w:r>
        <w:t>docente</w:t>
      </w:r>
      <w:r>
        <w:rPr>
          <w:spacing w:val="-9"/>
        </w:rPr>
        <w:t xml:space="preserve"> </w:t>
      </w:r>
      <w:r>
        <w:t>adecuado</w:t>
      </w:r>
      <w:r>
        <w:rPr>
          <w:spacing w:val="-9"/>
        </w:rPr>
        <w:t xml:space="preserve"> </w:t>
      </w:r>
      <w:r>
        <w:t>en territorios excluidos representa una grave violación al derecho a la educación. La Corte ordenó la implementación de políticas que mejoren la calidad y cobertura educativa en estas regiones, reconociendo que la falta</w:t>
      </w:r>
    </w:p>
    <w:p w14:paraId="6E3E52C0" w14:textId="77777777" w:rsidR="000E52B0" w:rsidRDefault="00F60D74">
      <w:pPr>
        <w:pStyle w:val="Textoindependiente"/>
        <w:spacing w:before="8"/>
        <w:ind w:left="0"/>
        <w:rPr>
          <w:sz w:val="11"/>
        </w:rPr>
      </w:pPr>
      <w:r>
        <w:rPr>
          <w:noProof/>
          <w:sz w:val="11"/>
        </w:rPr>
        <mc:AlternateContent>
          <mc:Choice Requires="wps">
            <w:drawing>
              <wp:anchor distT="0" distB="0" distL="0" distR="0" simplePos="0" relativeHeight="487674880" behindDoc="1" locked="0" layoutInCell="1" allowOverlap="1" wp14:anchorId="333CB6E6" wp14:editId="3B416042">
                <wp:simplePos x="0" y="0"/>
                <wp:positionH relativeFrom="page">
                  <wp:posOffset>914704</wp:posOffset>
                </wp:positionH>
                <wp:positionV relativeFrom="paragraph">
                  <wp:posOffset>105723</wp:posOffset>
                </wp:positionV>
                <wp:extent cx="1829435" cy="7620"/>
                <wp:effectExtent l="0" t="0" r="0" b="0"/>
                <wp:wrapTopAndBottom/>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FAA8D6" id="Graphic 755" o:spid="_x0000_s1026" style="position:absolute;margin-left:1in;margin-top:8.3pt;width:144.05pt;height:.6pt;z-index:-156416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" path="m1829054,l,,,7619r1829054,l1829054,xe" fillcolor="black" stroked="f">
                <v:path arrowok="t"/>
                <w10:wrap type="topAndBottom" anchorx="page"/>
              </v:shape>
            </w:pict>
          </mc:Fallback>
        </mc:AlternateContent>
      </w:r>
    </w:p>
    <w:p w14:paraId="67F98FE0" w14:textId="77777777" w:rsidR="000E52B0" w:rsidRDefault="00F60D74">
      <w:pPr>
        <w:spacing w:before="96"/>
        <w:ind w:left="720"/>
        <w:rPr>
          <w:rFonts w:ascii="Arial MT"/>
          <w:sz w:val="18"/>
        </w:rPr>
      </w:pPr>
      <w:bookmarkStart w:id="187" w:name="_bookmark187"/>
      <w:bookmarkEnd w:id="187"/>
      <w:r>
        <w:rPr>
          <w:rFonts w:ascii="Arial MT"/>
          <w:spacing w:val="-2"/>
          <w:position w:val="6"/>
          <w:sz w:val="12"/>
        </w:rPr>
        <w:t>146</w:t>
      </w:r>
      <w:r>
        <w:rPr>
          <w:rFonts w:ascii="Arial MT"/>
          <w:spacing w:val="35"/>
          <w:position w:val="6"/>
          <w:sz w:val="12"/>
        </w:rPr>
        <w:t xml:space="preserve">  </w:t>
      </w:r>
      <w:hyperlink r:id="rId222">
        <w:r w:rsidR="000E52B0">
          <w:rPr>
            <w:rFonts w:ascii="Arial MT"/>
            <w:color w:val="E22C91"/>
            <w:spacing w:val="-2"/>
            <w:sz w:val="18"/>
            <w:u w:val="single" w:color="E22C91"/>
          </w:rPr>
          <w:t>https://www.corteconstitucional.gov.co/relatoria/2016/t-466-16.htm</w:t>
        </w:r>
      </w:hyperlink>
    </w:p>
    <w:p w14:paraId="6C117597" w14:textId="77777777" w:rsidR="000E52B0" w:rsidRDefault="000E52B0">
      <w:pPr>
        <w:rPr>
          <w:rFonts w:ascii="Arial MT"/>
          <w:sz w:val="18"/>
        </w:rPr>
        <w:sectPr w:rsidR="000E52B0">
          <w:pgSz w:w="11910" w:h="16840"/>
          <w:pgMar w:top="1340" w:right="720" w:bottom="1180" w:left="720" w:header="0" w:footer="995" w:gutter="0"/>
          <w:cols w:space="720"/>
        </w:sectPr>
      </w:pPr>
    </w:p>
    <w:p w14:paraId="74D90D4D" w14:textId="77777777" w:rsidR="000E52B0" w:rsidRDefault="00F60D74">
      <w:pPr>
        <w:pStyle w:val="Textoindependiente"/>
        <w:spacing w:before="83"/>
        <w:ind w:right="721"/>
        <w:jc w:val="both"/>
      </w:pPr>
      <w:r>
        <w:lastRenderedPageBreak/>
        <w:t>de oportunidades educativas perpetúa las brechas sociales y económicas entre los territorios urbanos y rurales, afectando gravemente a las comunidades campesinas, indígenas y afrodescendientes.</w:t>
      </w:r>
    </w:p>
    <w:p w14:paraId="45E02F18" w14:textId="77777777" w:rsidR="000E52B0" w:rsidRDefault="00F60D74">
      <w:pPr>
        <w:pStyle w:val="Textoindependiente"/>
        <w:spacing w:before="159"/>
        <w:ind w:right="719"/>
        <w:jc w:val="both"/>
      </w:pPr>
      <w:r>
        <w:t>Así mismo, la Sentencia C-035 de 2016 del M.P Gloria Stella Ortiz Delgado</w:t>
      </w:r>
      <w:hyperlink w:anchor="_bookmark189" w:history="1">
        <w:r w:rsidR="000E52B0">
          <w:rPr>
            <w:position w:val="8"/>
            <w:sz w:val="16"/>
          </w:rPr>
          <w:t>147</w:t>
        </w:r>
      </w:hyperlink>
      <w:r>
        <w:t>, la Corte Constitucional hizo énfasis en la desigualdad que enfrentan</w:t>
      </w:r>
      <w:r>
        <w:rPr>
          <w:spacing w:val="-4"/>
        </w:rPr>
        <w:t xml:space="preserve"> </w:t>
      </w:r>
      <w:r>
        <w:t>las</w:t>
      </w:r>
      <w:r>
        <w:rPr>
          <w:spacing w:val="-4"/>
        </w:rPr>
        <w:t xml:space="preserve"> </w:t>
      </w:r>
      <w:r>
        <w:t>comunidades</w:t>
      </w:r>
      <w:r>
        <w:rPr>
          <w:spacing w:val="-4"/>
        </w:rPr>
        <w:t xml:space="preserve"> </w:t>
      </w:r>
      <w:r>
        <w:t>rurales</w:t>
      </w:r>
      <w:r>
        <w:rPr>
          <w:spacing w:val="-4"/>
        </w:rPr>
        <w:t xml:space="preserve"> </w:t>
      </w:r>
      <w:r>
        <w:t>en</w:t>
      </w:r>
      <w:r>
        <w:rPr>
          <w:spacing w:val="-4"/>
        </w:rPr>
        <w:t xml:space="preserve"> </w:t>
      </w:r>
      <w:r>
        <w:t>el</w:t>
      </w:r>
      <w:r>
        <w:rPr>
          <w:spacing w:val="-4"/>
        </w:rPr>
        <w:t xml:space="preserve"> </w:t>
      </w:r>
      <w:r>
        <w:t>acceso</w:t>
      </w:r>
      <w:r>
        <w:rPr>
          <w:spacing w:val="-3"/>
        </w:rPr>
        <w:t xml:space="preserve"> </w:t>
      </w:r>
      <w:r>
        <w:t>a</w:t>
      </w:r>
      <w:r>
        <w:rPr>
          <w:spacing w:val="-4"/>
        </w:rPr>
        <w:t xml:space="preserve"> </w:t>
      </w:r>
      <w:r>
        <w:t>la</w:t>
      </w:r>
      <w:r>
        <w:rPr>
          <w:spacing w:val="-4"/>
        </w:rPr>
        <w:t xml:space="preserve"> </w:t>
      </w:r>
      <w:r>
        <w:t>salud.</w:t>
      </w:r>
      <w:r>
        <w:rPr>
          <w:spacing w:val="-3"/>
        </w:rPr>
        <w:t xml:space="preserve"> </w:t>
      </w:r>
      <w:r>
        <w:t>La</w:t>
      </w:r>
      <w:r>
        <w:rPr>
          <w:spacing w:val="-3"/>
        </w:rPr>
        <w:t xml:space="preserve"> </w:t>
      </w:r>
      <w:r>
        <w:t>Corte</w:t>
      </w:r>
      <w:r>
        <w:rPr>
          <w:spacing w:val="-3"/>
        </w:rPr>
        <w:t xml:space="preserve"> </w:t>
      </w:r>
      <w:r>
        <w:t>señaló que, en muchos territorios excluidos, no existen suficientes centros de salud ni personal médico adecuado, lo que deja a sus habitantes en una situación de indefensión frente a enfermedades y emergencias. La Corte ordenó la implementación de políticas que garanticen el acceso a una atención</w:t>
      </w:r>
      <w:r>
        <w:rPr>
          <w:spacing w:val="-17"/>
        </w:rPr>
        <w:t xml:space="preserve"> </w:t>
      </w:r>
      <w:r>
        <w:t>médica</w:t>
      </w:r>
      <w:r>
        <w:rPr>
          <w:spacing w:val="-16"/>
        </w:rPr>
        <w:t xml:space="preserve"> </w:t>
      </w:r>
      <w:r>
        <w:t>oportuna</w:t>
      </w:r>
      <w:r>
        <w:rPr>
          <w:spacing w:val="-16"/>
        </w:rPr>
        <w:t xml:space="preserve"> </w:t>
      </w:r>
      <w:r>
        <w:t>y</w:t>
      </w:r>
      <w:r>
        <w:rPr>
          <w:spacing w:val="-16"/>
        </w:rPr>
        <w:t xml:space="preserve"> </w:t>
      </w:r>
      <w:r>
        <w:t>de</w:t>
      </w:r>
      <w:r>
        <w:rPr>
          <w:spacing w:val="-15"/>
        </w:rPr>
        <w:t xml:space="preserve"> </w:t>
      </w:r>
      <w:r>
        <w:t>calidad</w:t>
      </w:r>
      <w:r>
        <w:rPr>
          <w:spacing w:val="-14"/>
        </w:rPr>
        <w:t xml:space="preserve"> </w:t>
      </w:r>
      <w:r>
        <w:t>en</w:t>
      </w:r>
      <w:r>
        <w:rPr>
          <w:spacing w:val="-17"/>
        </w:rPr>
        <w:t xml:space="preserve"> </w:t>
      </w:r>
      <w:r>
        <w:t>estos</w:t>
      </w:r>
      <w:r>
        <w:rPr>
          <w:spacing w:val="-16"/>
        </w:rPr>
        <w:t xml:space="preserve"> </w:t>
      </w:r>
      <w:r>
        <w:t>territorios,</w:t>
      </w:r>
      <w:r>
        <w:rPr>
          <w:spacing w:val="-15"/>
        </w:rPr>
        <w:t xml:space="preserve"> </w:t>
      </w:r>
      <w:r>
        <w:t>subrayando</w:t>
      </w:r>
      <w:r>
        <w:rPr>
          <w:spacing w:val="-13"/>
        </w:rPr>
        <w:t xml:space="preserve"> </w:t>
      </w:r>
      <w:r>
        <w:t>que la</w:t>
      </w:r>
      <w:r>
        <w:rPr>
          <w:spacing w:val="-4"/>
        </w:rPr>
        <w:t xml:space="preserve"> </w:t>
      </w:r>
      <w:r>
        <w:t>salud</w:t>
      </w:r>
      <w:r>
        <w:rPr>
          <w:spacing w:val="-2"/>
        </w:rPr>
        <w:t xml:space="preserve"> </w:t>
      </w:r>
      <w:r>
        <w:t>es</w:t>
      </w:r>
      <w:r>
        <w:rPr>
          <w:spacing w:val="-3"/>
        </w:rPr>
        <w:t xml:space="preserve"> </w:t>
      </w:r>
      <w:r>
        <w:t>un</w:t>
      </w:r>
      <w:r>
        <w:rPr>
          <w:spacing w:val="-2"/>
        </w:rPr>
        <w:t xml:space="preserve"> </w:t>
      </w:r>
      <w:r>
        <w:t>derecho</w:t>
      </w:r>
      <w:r>
        <w:rPr>
          <w:spacing w:val="-3"/>
        </w:rPr>
        <w:t xml:space="preserve"> </w:t>
      </w:r>
      <w:r>
        <w:t>fundamental</w:t>
      </w:r>
      <w:r>
        <w:rPr>
          <w:spacing w:val="-3"/>
        </w:rPr>
        <w:t xml:space="preserve"> </w:t>
      </w:r>
      <w:r>
        <w:t>que</w:t>
      </w:r>
      <w:r>
        <w:rPr>
          <w:spacing w:val="-3"/>
        </w:rPr>
        <w:t xml:space="preserve"> </w:t>
      </w:r>
      <w:r>
        <w:t>no</w:t>
      </w:r>
      <w:r>
        <w:rPr>
          <w:spacing w:val="-3"/>
        </w:rPr>
        <w:t xml:space="preserve"> </w:t>
      </w:r>
      <w:r>
        <w:t>debe</w:t>
      </w:r>
      <w:r>
        <w:rPr>
          <w:spacing w:val="-3"/>
        </w:rPr>
        <w:t xml:space="preserve"> </w:t>
      </w:r>
      <w:r>
        <w:t>estar</w:t>
      </w:r>
      <w:r>
        <w:rPr>
          <w:spacing w:val="-3"/>
        </w:rPr>
        <w:t xml:space="preserve"> </w:t>
      </w:r>
      <w:r>
        <w:t>condicionado por</w:t>
      </w:r>
      <w:r>
        <w:rPr>
          <w:spacing w:val="-3"/>
        </w:rPr>
        <w:t xml:space="preserve"> </w:t>
      </w:r>
      <w:r>
        <w:t>el lugar de residencia.</w:t>
      </w:r>
    </w:p>
    <w:p w14:paraId="447B89C1" w14:textId="77777777" w:rsidR="000E52B0" w:rsidRDefault="000E52B0">
      <w:pPr>
        <w:pStyle w:val="Textoindependiente"/>
        <w:spacing w:before="15"/>
        <w:ind w:left="0"/>
      </w:pPr>
    </w:p>
    <w:p w14:paraId="52608961" w14:textId="77777777" w:rsidR="000E52B0" w:rsidRDefault="00F60D74">
      <w:pPr>
        <w:pStyle w:val="Textoindependiente"/>
        <w:jc w:val="both"/>
      </w:pPr>
      <w:bookmarkStart w:id="188" w:name="_bookmark188"/>
      <w:bookmarkEnd w:id="188"/>
      <w:r>
        <w:rPr>
          <w:color w:val="770F47"/>
        </w:rPr>
        <w:t>Mujeres</w:t>
      </w:r>
      <w:r>
        <w:rPr>
          <w:color w:val="770F47"/>
          <w:spacing w:val="-4"/>
        </w:rPr>
        <w:t xml:space="preserve"> </w:t>
      </w:r>
      <w:r>
        <w:rPr>
          <w:color w:val="770F47"/>
        </w:rPr>
        <w:t>cabezas</w:t>
      </w:r>
      <w:r>
        <w:rPr>
          <w:color w:val="770F47"/>
          <w:spacing w:val="-4"/>
        </w:rPr>
        <w:t xml:space="preserve"> </w:t>
      </w:r>
      <w:r>
        <w:rPr>
          <w:color w:val="770F47"/>
        </w:rPr>
        <w:t>de</w:t>
      </w:r>
      <w:r>
        <w:rPr>
          <w:color w:val="770F47"/>
          <w:spacing w:val="-2"/>
        </w:rPr>
        <w:t xml:space="preserve"> familia</w:t>
      </w:r>
    </w:p>
    <w:p w14:paraId="5C832707" w14:textId="77777777" w:rsidR="000E52B0" w:rsidRDefault="000E52B0">
      <w:pPr>
        <w:pStyle w:val="Textoindependiente"/>
        <w:ind w:left="0"/>
      </w:pPr>
    </w:p>
    <w:p w14:paraId="2E7D1AC0" w14:textId="77777777" w:rsidR="000E52B0" w:rsidRDefault="00F60D74">
      <w:pPr>
        <w:pStyle w:val="Textoindependiente"/>
        <w:ind w:right="715"/>
        <w:jc w:val="both"/>
      </w:pPr>
      <w:r>
        <w:t>El</w:t>
      </w:r>
      <w:r>
        <w:rPr>
          <w:spacing w:val="-22"/>
        </w:rPr>
        <w:t xml:space="preserve"> </w:t>
      </w:r>
      <w:r>
        <w:t>Ministerio</w:t>
      </w:r>
      <w:r>
        <w:rPr>
          <w:spacing w:val="-21"/>
        </w:rPr>
        <w:t xml:space="preserve"> </w:t>
      </w:r>
      <w:r>
        <w:t>de</w:t>
      </w:r>
      <w:r>
        <w:rPr>
          <w:spacing w:val="-21"/>
        </w:rPr>
        <w:t xml:space="preserve"> </w:t>
      </w:r>
      <w:r>
        <w:t>Igualdad</w:t>
      </w:r>
      <w:r>
        <w:rPr>
          <w:spacing w:val="-21"/>
        </w:rPr>
        <w:t xml:space="preserve"> </w:t>
      </w:r>
      <w:r>
        <w:t>y</w:t>
      </w:r>
      <w:r>
        <w:rPr>
          <w:spacing w:val="-21"/>
        </w:rPr>
        <w:t xml:space="preserve"> </w:t>
      </w:r>
      <w:r>
        <w:t>Equidad</w:t>
      </w:r>
      <w:r>
        <w:rPr>
          <w:spacing w:val="-21"/>
        </w:rPr>
        <w:t xml:space="preserve"> </w:t>
      </w:r>
      <w:r>
        <w:t>a</w:t>
      </w:r>
      <w:r>
        <w:rPr>
          <w:spacing w:val="-21"/>
        </w:rPr>
        <w:t xml:space="preserve"> </w:t>
      </w:r>
      <w:r>
        <w:t>través</w:t>
      </w:r>
      <w:r>
        <w:rPr>
          <w:spacing w:val="-21"/>
        </w:rPr>
        <w:t xml:space="preserve"> </w:t>
      </w:r>
      <w:r>
        <w:t>de</w:t>
      </w:r>
      <w:r>
        <w:rPr>
          <w:spacing w:val="-21"/>
        </w:rPr>
        <w:t xml:space="preserve"> </w:t>
      </w:r>
      <w:r>
        <w:t>su</w:t>
      </w:r>
      <w:r>
        <w:rPr>
          <w:spacing w:val="-21"/>
        </w:rPr>
        <w:t xml:space="preserve"> </w:t>
      </w:r>
      <w:r>
        <w:t>viceministerio</w:t>
      </w:r>
      <w:r>
        <w:rPr>
          <w:spacing w:val="-22"/>
        </w:rPr>
        <w:t xml:space="preserve"> </w:t>
      </w:r>
      <w:r>
        <w:t>de</w:t>
      </w:r>
      <w:r>
        <w:rPr>
          <w:spacing w:val="-21"/>
        </w:rPr>
        <w:t xml:space="preserve"> </w:t>
      </w:r>
      <w:r>
        <w:t>mujeres tiene en sus funciones incluir la adopción y ejecución de políticas, planes, programas y proyectos destinados a fomentar la inclusión productiva, el emprendimiento</w:t>
      </w:r>
      <w:r>
        <w:rPr>
          <w:spacing w:val="-3"/>
        </w:rPr>
        <w:t xml:space="preserve"> </w:t>
      </w:r>
      <w:r>
        <w:t>y</w:t>
      </w:r>
      <w:r>
        <w:rPr>
          <w:spacing w:val="-4"/>
        </w:rPr>
        <w:t xml:space="preserve"> </w:t>
      </w:r>
      <w:r>
        <w:t>el</w:t>
      </w:r>
      <w:r>
        <w:rPr>
          <w:spacing w:val="-5"/>
        </w:rPr>
        <w:t xml:space="preserve"> </w:t>
      </w:r>
      <w:r>
        <w:t>acceso</w:t>
      </w:r>
      <w:r>
        <w:rPr>
          <w:spacing w:val="-3"/>
        </w:rPr>
        <w:t xml:space="preserve"> </w:t>
      </w:r>
      <w:r>
        <w:t>a</w:t>
      </w:r>
      <w:r>
        <w:rPr>
          <w:spacing w:val="-4"/>
        </w:rPr>
        <w:t xml:space="preserve"> </w:t>
      </w:r>
      <w:r>
        <w:t>servicios</w:t>
      </w:r>
      <w:r>
        <w:rPr>
          <w:spacing w:val="-4"/>
        </w:rPr>
        <w:t xml:space="preserve"> </w:t>
      </w:r>
      <w:r>
        <w:t>para</w:t>
      </w:r>
      <w:r>
        <w:rPr>
          <w:spacing w:val="-3"/>
        </w:rPr>
        <w:t xml:space="preserve"> </w:t>
      </w:r>
      <w:r>
        <w:t>las</w:t>
      </w:r>
      <w:r>
        <w:rPr>
          <w:spacing w:val="-4"/>
        </w:rPr>
        <w:t xml:space="preserve"> </w:t>
      </w:r>
      <w:r>
        <w:t>madres</w:t>
      </w:r>
      <w:r>
        <w:rPr>
          <w:spacing w:val="-4"/>
        </w:rPr>
        <w:t xml:space="preserve"> </w:t>
      </w:r>
      <w:r>
        <w:t>cabeza</w:t>
      </w:r>
      <w:r>
        <w:rPr>
          <w:spacing w:val="-3"/>
        </w:rPr>
        <w:t xml:space="preserve"> </w:t>
      </w:r>
      <w:r>
        <w:t>de</w:t>
      </w:r>
      <w:r>
        <w:rPr>
          <w:spacing w:val="-3"/>
        </w:rPr>
        <w:t xml:space="preserve"> </w:t>
      </w:r>
      <w:r>
        <w:t>familia. Estas</w:t>
      </w:r>
      <w:r>
        <w:rPr>
          <w:spacing w:val="-7"/>
        </w:rPr>
        <w:t xml:space="preserve"> </w:t>
      </w:r>
      <w:r>
        <w:t>acciones</w:t>
      </w:r>
      <w:r>
        <w:rPr>
          <w:spacing w:val="-6"/>
        </w:rPr>
        <w:t xml:space="preserve"> </w:t>
      </w:r>
      <w:r>
        <w:t>buscan</w:t>
      </w:r>
      <w:r>
        <w:rPr>
          <w:spacing w:val="-10"/>
        </w:rPr>
        <w:t xml:space="preserve"> </w:t>
      </w:r>
      <w:r>
        <w:t>no</w:t>
      </w:r>
      <w:r>
        <w:rPr>
          <w:spacing w:val="-6"/>
        </w:rPr>
        <w:t xml:space="preserve"> </w:t>
      </w:r>
      <w:r>
        <w:t>solo</w:t>
      </w:r>
      <w:r>
        <w:rPr>
          <w:spacing w:val="-8"/>
        </w:rPr>
        <w:t xml:space="preserve"> </w:t>
      </w:r>
      <w:r>
        <w:t>proporcionar</w:t>
      </w:r>
      <w:r>
        <w:rPr>
          <w:spacing w:val="-8"/>
        </w:rPr>
        <w:t xml:space="preserve"> </w:t>
      </w:r>
      <w:r>
        <w:t>apoyo</w:t>
      </w:r>
      <w:r>
        <w:rPr>
          <w:spacing w:val="-8"/>
        </w:rPr>
        <w:t xml:space="preserve"> </w:t>
      </w:r>
      <w:r>
        <w:t>económico</w:t>
      </w:r>
      <w:r>
        <w:rPr>
          <w:spacing w:val="-8"/>
        </w:rPr>
        <w:t xml:space="preserve"> </w:t>
      </w:r>
      <w:r>
        <w:t>y</w:t>
      </w:r>
      <w:r>
        <w:rPr>
          <w:spacing w:val="-9"/>
        </w:rPr>
        <w:t xml:space="preserve"> </w:t>
      </w:r>
      <w:r>
        <w:t>social,</w:t>
      </w:r>
      <w:r>
        <w:rPr>
          <w:spacing w:val="-8"/>
        </w:rPr>
        <w:t xml:space="preserve"> </w:t>
      </w:r>
      <w:r>
        <w:t>sino también</w:t>
      </w:r>
      <w:r>
        <w:rPr>
          <w:spacing w:val="-15"/>
        </w:rPr>
        <w:t xml:space="preserve"> </w:t>
      </w:r>
      <w:r>
        <w:t>facilitar</w:t>
      </w:r>
      <w:r>
        <w:rPr>
          <w:spacing w:val="-14"/>
        </w:rPr>
        <w:t xml:space="preserve"> </w:t>
      </w:r>
      <w:r>
        <w:t>las</w:t>
      </w:r>
      <w:r>
        <w:rPr>
          <w:spacing w:val="-12"/>
        </w:rPr>
        <w:t xml:space="preserve"> </w:t>
      </w:r>
      <w:r>
        <w:t>condiciones</w:t>
      </w:r>
      <w:r>
        <w:rPr>
          <w:spacing w:val="-14"/>
        </w:rPr>
        <w:t xml:space="preserve"> </w:t>
      </w:r>
      <w:r>
        <w:t>necesarias</w:t>
      </w:r>
      <w:r>
        <w:rPr>
          <w:spacing w:val="-15"/>
        </w:rPr>
        <w:t xml:space="preserve"> </w:t>
      </w:r>
      <w:r>
        <w:t>para</w:t>
      </w:r>
      <w:r>
        <w:rPr>
          <w:spacing w:val="-14"/>
        </w:rPr>
        <w:t xml:space="preserve"> </w:t>
      </w:r>
      <w:r>
        <w:t>que</w:t>
      </w:r>
      <w:r>
        <w:rPr>
          <w:spacing w:val="-14"/>
        </w:rPr>
        <w:t xml:space="preserve"> </w:t>
      </w:r>
      <w:r>
        <w:t>estas</w:t>
      </w:r>
      <w:r>
        <w:rPr>
          <w:spacing w:val="-15"/>
        </w:rPr>
        <w:t xml:space="preserve"> </w:t>
      </w:r>
      <w:r>
        <w:t>mujeres</w:t>
      </w:r>
      <w:r>
        <w:rPr>
          <w:spacing w:val="-15"/>
        </w:rPr>
        <w:t xml:space="preserve"> </w:t>
      </w:r>
      <w:r>
        <w:t>puedan mejorar su calidad de vida y contribuir activamente a la economía. Es fundamental que estos esfuerzos estén alineados con un enfoque integral y adaptado a las necesidades específicas de este grupo poblacional.</w:t>
      </w:r>
    </w:p>
    <w:p w14:paraId="1077FE1C" w14:textId="77777777" w:rsidR="000E52B0" w:rsidRDefault="000E52B0">
      <w:pPr>
        <w:pStyle w:val="Textoindependiente"/>
        <w:spacing w:before="2"/>
        <w:ind w:left="0"/>
      </w:pPr>
    </w:p>
    <w:p w14:paraId="665C4126" w14:textId="77777777" w:rsidR="000E52B0" w:rsidRDefault="00F60D74">
      <w:pPr>
        <w:pStyle w:val="Textoindependiente"/>
        <w:ind w:right="717"/>
        <w:jc w:val="both"/>
      </w:pPr>
      <w:r>
        <w:t>Además, se imparte directrices que incorporen el enfoque de género e interseccional en el diseño, la implementación, el seguimiento y la evaluación de políticas, planes y programas. Este enfoque es crucial para abordar y superar las brechas de desigualdad, inequidad y pobreza que afectan a las madres cabeza de familia.</w:t>
      </w:r>
    </w:p>
    <w:p w14:paraId="7C3C4BDB" w14:textId="77777777" w:rsidR="000E52B0" w:rsidRDefault="00F60D74">
      <w:pPr>
        <w:pStyle w:val="Textoindependiente"/>
        <w:spacing w:before="239"/>
        <w:ind w:right="715"/>
        <w:jc w:val="both"/>
      </w:pPr>
      <w:r>
        <w:t>En</w:t>
      </w:r>
      <w:r>
        <w:rPr>
          <w:spacing w:val="-12"/>
        </w:rPr>
        <w:t xml:space="preserve"> </w:t>
      </w:r>
      <w:r>
        <w:t>la</w:t>
      </w:r>
      <w:r>
        <w:rPr>
          <w:spacing w:val="-12"/>
        </w:rPr>
        <w:t xml:space="preserve"> </w:t>
      </w:r>
      <w:r>
        <w:t>sentencia</w:t>
      </w:r>
      <w:r>
        <w:rPr>
          <w:spacing w:val="-11"/>
        </w:rPr>
        <w:t xml:space="preserve"> </w:t>
      </w:r>
      <w:r>
        <w:t>de</w:t>
      </w:r>
      <w:r>
        <w:rPr>
          <w:spacing w:val="-10"/>
        </w:rPr>
        <w:t xml:space="preserve"> </w:t>
      </w:r>
      <w:r>
        <w:t>T-629</w:t>
      </w:r>
      <w:r>
        <w:rPr>
          <w:spacing w:val="-10"/>
        </w:rPr>
        <w:t xml:space="preserve"> </w:t>
      </w:r>
      <w:r>
        <w:t>de</w:t>
      </w:r>
      <w:r>
        <w:rPr>
          <w:spacing w:val="-13"/>
        </w:rPr>
        <w:t xml:space="preserve"> </w:t>
      </w:r>
      <w:r>
        <w:t>2016</w:t>
      </w:r>
      <w:r>
        <w:rPr>
          <w:spacing w:val="-9"/>
        </w:rPr>
        <w:t xml:space="preserve"> </w:t>
      </w:r>
      <w:r>
        <w:t>M.P</w:t>
      </w:r>
      <w:r>
        <w:rPr>
          <w:spacing w:val="-11"/>
        </w:rPr>
        <w:t xml:space="preserve"> </w:t>
      </w:r>
      <w:r>
        <w:t>Gabriel</w:t>
      </w:r>
      <w:r>
        <w:rPr>
          <w:spacing w:val="-12"/>
        </w:rPr>
        <w:t xml:space="preserve"> </w:t>
      </w:r>
      <w:r>
        <w:t>Eduardo</w:t>
      </w:r>
      <w:r>
        <w:rPr>
          <w:spacing w:val="-11"/>
        </w:rPr>
        <w:t xml:space="preserve"> </w:t>
      </w:r>
      <w:r>
        <w:t>Mendoza</w:t>
      </w:r>
      <w:r>
        <w:rPr>
          <w:spacing w:val="-11"/>
        </w:rPr>
        <w:t xml:space="preserve"> </w:t>
      </w:r>
      <w:r>
        <w:t>Martelo,</w:t>
      </w:r>
      <w:r>
        <w:rPr>
          <w:spacing w:val="-12"/>
        </w:rPr>
        <w:t xml:space="preserve"> </w:t>
      </w:r>
      <w:r>
        <w:t>la Corte analizó la estabilidad laboral reforzada que el ordenamiento jurídico colombiano</w:t>
      </w:r>
      <w:r>
        <w:rPr>
          <w:spacing w:val="-14"/>
        </w:rPr>
        <w:t xml:space="preserve"> </w:t>
      </w:r>
      <w:r>
        <w:t>brinda</w:t>
      </w:r>
      <w:r>
        <w:rPr>
          <w:spacing w:val="-17"/>
        </w:rPr>
        <w:t xml:space="preserve"> </w:t>
      </w:r>
      <w:r>
        <w:t>a</w:t>
      </w:r>
      <w:r>
        <w:rPr>
          <w:spacing w:val="-15"/>
        </w:rPr>
        <w:t xml:space="preserve"> </w:t>
      </w:r>
      <w:r>
        <w:t>las</w:t>
      </w:r>
      <w:r>
        <w:rPr>
          <w:spacing w:val="-15"/>
        </w:rPr>
        <w:t xml:space="preserve"> </w:t>
      </w:r>
      <w:r>
        <w:t>madres</w:t>
      </w:r>
      <w:r>
        <w:rPr>
          <w:spacing w:val="-18"/>
        </w:rPr>
        <w:t xml:space="preserve"> </w:t>
      </w:r>
      <w:r>
        <w:t>cabeza</w:t>
      </w:r>
      <w:r>
        <w:rPr>
          <w:spacing w:val="-17"/>
        </w:rPr>
        <w:t xml:space="preserve"> </w:t>
      </w:r>
      <w:r>
        <w:t>de</w:t>
      </w:r>
      <w:r>
        <w:rPr>
          <w:spacing w:val="-16"/>
        </w:rPr>
        <w:t xml:space="preserve"> </w:t>
      </w:r>
      <w:r>
        <w:t>familia,</w:t>
      </w:r>
      <w:r>
        <w:rPr>
          <w:spacing w:val="-18"/>
        </w:rPr>
        <w:t xml:space="preserve"> </w:t>
      </w:r>
      <w:r>
        <w:t>en</w:t>
      </w:r>
      <w:r>
        <w:rPr>
          <w:spacing w:val="-16"/>
        </w:rPr>
        <w:t xml:space="preserve"> </w:t>
      </w:r>
      <w:r>
        <w:t>especial</w:t>
      </w:r>
      <w:r>
        <w:rPr>
          <w:spacing w:val="-19"/>
        </w:rPr>
        <w:t xml:space="preserve"> </w:t>
      </w:r>
      <w:r>
        <w:t>en</w:t>
      </w:r>
      <w:r>
        <w:rPr>
          <w:spacing w:val="-16"/>
        </w:rPr>
        <w:t xml:space="preserve"> </w:t>
      </w:r>
      <w:r>
        <w:t>contextos de precariedad económica. La Corte falló a favor de la accionante, considerando que el despido violaba sus derechos fundamentales, en particular los relacionados con el trabajo y el mínimo vital, al no haberse tenido en cuenta su condición de madre cabeza de familia y la protección constitucional especial que ello implica. La Corte subrayó que las madres cabeza</w:t>
      </w:r>
      <w:r>
        <w:rPr>
          <w:spacing w:val="-22"/>
        </w:rPr>
        <w:t xml:space="preserve"> </w:t>
      </w:r>
      <w:r>
        <w:t>de</w:t>
      </w:r>
      <w:r>
        <w:rPr>
          <w:spacing w:val="-19"/>
        </w:rPr>
        <w:t xml:space="preserve"> </w:t>
      </w:r>
      <w:r>
        <w:t>familia</w:t>
      </w:r>
      <w:r>
        <w:rPr>
          <w:spacing w:val="-21"/>
        </w:rPr>
        <w:t xml:space="preserve"> </w:t>
      </w:r>
      <w:r>
        <w:t>son</w:t>
      </w:r>
      <w:r>
        <w:rPr>
          <w:spacing w:val="-21"/>
        </w:rPr>
        <w:t xml:space="preserve"> </w:t>
      </w:r>
      <w:r>
        <w:t>sujetas</w:t>
      </w:r>
      <w:r>
        <w:rPr>
          <w:spacing w:val="-21"/>
        </w:rPr>
        <w:t xml:space="preserve"> </w:t>
      </w:r>
      <w:r>
        <w:t>de</w:t>
      </w:r>
      <w:r>
        <w:rPr>
          <w:spacing w:val="-20"/>
        </w:rPr>
        <w:t xml:space="preserve"> </w:t>
      </w:r>
      <w:r>
        <w:t>especial</w:t>
      </w:r>
      <w:r>
        <w:rPr>
          <w:spacing w:val="-22"/>
        </w:rPr>
        <w:t xml:space="preserve"> </w:t>
      </w:r>
      <w:r>
        <w:t>protección</w:t>
      </w:r>
      <w:r>
        <w:rPr>
          <w:spacing w:val="-20"/>
        </w:rPr>
        <w:t xml:space="preserve"> </w:t>
      </w:r>
      <w:r>
        <w:t>y</w:t>
      </w:r>
      <w:r>
        <w:rPr>
          <w:spacing w:val="-21"/>
        </w:rPr>
        <w:t xml:space="preserve"> </w:t>
      </w:r>
      <w:r>
        <w:t>que</w:t>
      </w:r>
      <w:r>
        <w:rPr>
          <w:spacing w:val="-20"/>
        </w:rPr>
        <w:t xml:space="preserve"> </w:t>
      </w:r>
      <w:r>
        <w:t>cualquier</w:t>
      </w:r>
      <w:r>
        <w:rPr>
          <w:spacing w:val="-20"/>
        </w:rPr>
        <w:t xml:space="preserve"> </w:t>
      </w:r>
      <w:r>
        <w:t>medida que afecte su estabilidad económica debe ser sometida a un análisis más riguroso, a fin de evitar perpetuar las condiciones de desigualdad social y económica que enfrentan.</w:t>
      </w:r>
    </w:p>
    <w:p w14:paraId="303716D5" w14:textId="77777777" w:rsidR="000E52B0" w:rsidRDefault="000E52B0">
      <w:pPr>
        <w:pStyle w:val="Textoindependiente"/>
        <w:ind w:left="0"/>
        <w:rPr>
          <w:sz w:val="20"/>
        </w:rPr>
      </w:pPr>
    </w:p>
    <w:p w14:paraId="4C73B009" w14:textId="77777777" w:rsidR="000E52B0" w:rsidRDefault="00F60D74">
      <w:pPr>
        <w:pStyle w:val="Textoindependiente"/>
        <w:spacing w:before="172"/>
        <w:ind w:left="0"/>
        <w:rPr>
          <w:sz w:val="20"/>
        </w:rPr>
      </w:pPr>
      <w:r>
        <w:rPr>
          <w:noProof/>
          <w:sz w:val="20"/>
        </w:rPr>
        <mc:AlternateContent>
          <mc:Choice Requires="wps">
            <w:drawing>
              <wp:anchor distT="0" distB="0" distL="0" distR="0" simplePos="0" relativeHeight="487675392" behindDoc="1" locked="0" layoutInCell="1" allowOverlap="1" wp14:anchorId="5616A17C" wp14:editId="3D3E0643">
                <wp:simplePos x="0" y="0"/>
                <wp:positionH relativeFrom="page">
                  <wp:posOffset>914704</wp:posOffset>
                </wp:positionH>
                <wp:positionV relativeFrom="paragraph">
                  <wp:posOffset>279036</wp:posOffset>
                </wp:positionV>
                <wp:extent cx="1829435" cy="7620"/>
                <wp:effectExtent l="0" t="0" r="0" b="0"/>
                <wp:wrapTopAndBottom/>
                <wp:docPr id="756" name="Graphic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09AB1B" id="Graphic 756" o:spid="_x0000_s1026" style="position:absolute;margin-left:1in;margin-top:21.95pt;width:144.05pt;height:.6pt;z-index:-1564108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" path="m1829054,l,,,7619r1829054,l1829054,xe" fillcolor="black" stroked="f">
                <v:path arrowok="t"/>
                <w10:wrap type="topAndBottom" anchorx="page"/>
              </v:shape>
            </w:pict>
          </mc:Fallback>
        </mc:AlternateContent>
      </w:r>
    </w:p>
    <w:p w14:paraId="0D352E20" w14:textId="77777777" w:rsidR="000E52B0" w:rsidRDefault="00F60D74">
      <w:pPr>
        <w:spacing w:before="96"/>
        <w:ind w:left="720"/>
        <w:rPr>
          <w:rFonts w:ascii="Arial MT"/>
          <w:sz w:val="18"/>
        </w:rPr>
      </w:pPr>
      <w:bookmarkStart w:id="189" w:name="_bookmark189"/>
      <w:bookmarkEnd w:id="189"/>
      <w:r>
        <w:rPr>
          <w:rFonts w:ascii="Arial MT"/>
          <w:spacing w:val="-2"/>
          <w:position w:val="6"/>
          <w:sz w:val="12"/>
        </w:rPr>
        <w:t>147</w:t>
      </w:r>
      <w:r>
        <w:rPr>
          <w:rFonts w:ascii="Arial MT"/>
          <w:spacing w:val="36"/>
          <w:position w:val="6"/>
          <w:sz w:val="12"/>
        </w:rPr>
        <w:t xml:space="preserve">  </w:t>
      </w:r>
      <w:hyperlink r:id="rId223">
        <w:r w:rsidR="000E52B0">
          <w:rPr>
            <w:rFonts w:ascii="Arial MT"/>
            <w:color w:val="E22C91"/>
            <w:spacing w:val="-2"/>
            <w:sz w:val="18"/>
            <w:u w:val="single" w:color="E22C91"/>
          </w:rPr>
          <w:t>https://www.corteconstitucional.gov.co/Relatoria/2016/C-035-16.htm</w:t>
        </w:r>
      </w:hyperlink>
    </w:p>
    <w:p w14:paraId="4C3747D5" w14:textId="77777777" w:rsidR="000E52B0" w:rsidRDefault="000E52B0">
      <w:pPr>
        <w:rPr>
          <w:rFonts w:ascii="Arial MT"/>
          <w:sz w:val="18"/>
        </w:rPr>
        <w:sectPr w:rsidR="000E52B0">
          <w:pgSz w:w="11910" w:h="16840"/>
          <w:pgMar w:top="1340" w:right="720" w:bottom="1180" w:left="720" w:header="0" w:footer="995" w:gutter="0"/>
          <w:cols w:space="720"/>
        </w:sectPr>
      </w:pPr>
    </w:p>
    <w:p w14:paraId="7FCB97C8" w14:textId="77777777" w:rsidR="000E52B0" w:rsidRDefault="00F60D74">
      <w:pPr>
        <w:pStyle w:val="Textoindependiente"/>
        <w:spacing w:before="83"/>
        <w:ind w:right="716"/>
        <w:jc w:val="both"/>
      </w:pPr>
      <w:r>
        <w:lastRenderedPageBreak/>
        <w:t>A su vez la Sentencia T-102 de 2012 M.P Mauricio González Cuervo</w:t>
      </w:r>
      <w:hyperlink w:anchor="_bookmark211" w:history="1">
        <w:r w:rsidR="000E52B0">
          <w:rPr>
            <w:position w:val="8"/>
            <w:sz w:val="16"/>
          </w:rPr>
          <w:t>i</w:t>
        </w:r>
      </w:hyperlink>
      <w:r>
        <w:t>, la Corte ha reiterado que más allá de las normas legales que existan en la materia, la protección especial a la mujer cabeza de familia se deriva directamente de la Constitución, de los artículos 5, 13, 43, y 44, y genera una</w:t>
      </w:r>
      <w:r>
        <w:rPr>
          <w:spacing w:val="-10"/>
        </w:rPr>
        <w:t xml:space="preserve"> </w:t>
      </w:r>
      <w:r>
        <w:t>obligación</w:t>
      </w:r>
      <w:r>
        <w:rPr>
          <w:spacing w:val="-9"/>
        </w:rPr>
        <w:t xml:space="preserve"> </w:t>
      </w:r>
      <w:r>
        <w:t>en</w:t>
      </w:r>
      <w:r>
        <w:rPr>
          <w:spacing w:val="-11"/>
        </w:rPr>
        <w:t xml:space="preserve"> </w:t>
      </w:r>
      <w:r>
        <w:t>cabeza</w:t>
      </w:r>
      <w:r>
        <w:rPr>
          <w:spacing w:val="-10"/>
        </w:rPr>
        <w:t xml:space="preserve"> </w:t>
      </w:r>
      <w:r>
        <w:t>del</w:t>
      </w:r>
      <w:r>
        <w:rPr>
          <w:spacing w:val="-11"/>
        </w:rPr>
        <w:t xml:space="preserve"> </w:t>
      </w:r>
      <w:r>
        <w:t>Estado</w:t>
      </w:r>
      <w:r>
        <w:rPr>
          <w:spacing w:val="-10"/>
        </w:rPr>
        <w:t xml:space="preserve"> </w:t>
      </w:r>
      <w:r>
        <w:t>el</w:t>
      </w:r>
      <w:r>
        <w:rPr>
          <w:spacing w:val="-9"/>
        </w:rPr>
        <w:t xml:space="preserve"> </w:t>
      </w:r>
      <w:r>
        <w:t>cual</w:t>
      </w:r>
      <w:r>
        <w:rPr>
          <w:spacing w:val="-3"/>
        </w:rPr>
        <w:t xml:space="preserve"> </w:t>
      </w:r>
      <w:r>
        <w:t>debe</w:t>
      </w:r>
      <w:r>
        <w:rPr>
          <w:spacing w:val="-9"/>
        </w:rPr>
        <w:t xml:space="preserve"> </w:t>
      </w:r>
      <w:r>
        <w:t>garantizar</w:t>
      </w:r>
      <w:r>
        <w:rPr>
          <w:spacing w:val="-7"/>
        </w:rPr>
        <w:t xml:space="preserve"> </w:t>
      </w:r>
      <w:r>
        <w:t>sus</w:t>
      </w:r>
      <w:r>
        <w:rPr>
          <w:spacing w:val="-10"/>
        </w:rPr>
        <w:t xml:space="preserve"> </w:t>
      </w:r>
      <w:r>
        <w:t>derechos</w:t>
      </w:r>
      <w:r>
        <w:rPr>
          <w:spacing w:val="-10"/>
        </w:rPr>
        <w:t xml:space="preserve"> </w:t>
      </w:r>
      <w:r>
        <w:t>y apoyarlas teniendo en cuenta la situación en la que se encuentran. Adicionalmente, se ha considerado que el deber del Estado de brindar protección</w:t>
      </w:r>
      <w:r>
        <w:rPr>
          <w:spacing w:val="-17"/>
        </w:rPr>
        <w:t xml:space="preserve"> </w:t>
      </w:r>
      <w:r>
        <w:t>a</w:t>
      </w:r>
      <w:r>
        <w:rPr>
          <w:spacing w:val="-16"/>
        </w:rPr>
        <w:t xml:space="preserve"> </w:t>
      </w:r>
      <w:r>
        <w:t>las</w:t>
      </w:r>
      <w:r>
        <w:rPr>
          <w:spacing w:val="-14"/>
        </w:rPr>
        <w:t xml:space="preserve"> </w:t>
      </w:r>
      <w:r>
        <w:t>madres</w:t>
      </w:r>
      <w:r>
        <w:rPr>
          <w:spacing w:val="-16"/>
        </w:rPr>
        <w:t xml:space="preserve"> </w:t>
      </w:r>
      <w:r>
        <w:t>cabeza</w:t>
      </w:r>
      <w:r>
        <w:rPr>
          <w:spacing w:val="-16"/>
        </w:rPr>
        <w:t xml:space="preserve"> </w:t>
      </w:r>
      <w:r>
        <w:t>de</w:t>
      </w:r>
      <w:r>
        <w:rPr>
          <w:spacing w:val="-15"/>
        </w:rPr>
        <w:t xml:space="preserve"> </w:t>
      </w:r>
      <w:r>
        <w:t>familia,</w:t>
      </w:r>
      <w:r>
        <w:rPr>
          <w:spacing w:val="-17"/>
        </w:rPr>
        <w:t xml:space="preserve"> </w:t>
      </w:r>
      <w:r>
        <w:t>como</w:t>
      </w:r>
      <w:r>
        <w:rPr>
          <w:spacing w:val="-15"/>
        </w:rPr>
        <w:t xml:space="preserve"> </w:t>
      </w:r>
      <w:r>
        <w:t>sujetos</w:t>
      </w:r>
      <w:r>
        <w:rPr>
          <w:spacing w:val="-16"/>
        </w:rPr>
        <w:t xml:space="preserve"> </w:t>
      </w:r>
      <w:r>
        <w:t>que</w:t>
      </w:r>
      <w:r>
        <w:rPr>
          <w:spacing w:val="-15"/>
        </w:rPr>
        <w:t xml:space="preserve"> </w:t>
      </w:r>
      <w:r>
        <w:t>se</w:t>
      </w:r>
      <w:r>
        <w:rPr>
          <w:spacing w:val="-15"/>
        </w:rPr>
        <w:t xml:space="preserve"> </w:t>
      </w:r>
      <w:r>
        <w:t>encuentran en un estado de indefensión y vulnerabilidad, se extiende al amparo de la familia,</w:t>
      </w:r>
      <w:r>
        <w:rPr>
          <w:spacing w:val="-10"/>
        </w:rPr>
        <w:t xml:space="preserve"> </w:t>
      </w:r>
      <w:r>
        <w:t>de</w:t>
      </w:r>
      <w:r>
        <w:rPr>
          <w:spacing w:val="-8"/>
        </w:rPr>
        <w:t xml:space="preserve"> </w:t>
      </w:r>
      <w:r>
        <w:t>los</w:t>
      </w:r>
      <w:r>
        <w:rPr>
          <w:spacing w:val="-9"/>
        </w:rPr>
        <w:t xml:space="preserve"> </w:t>
      </w:r>
      <w:r>
        <w:t>niños</w:t>
      </w:r>
      <w:r>
        <w:rPr>
          <w:spacing w:val="-7"/>
        </w:rPr>
        <w:t xml:space="preserve"> </w:t>
      </w:r>
      <w:r>
        <w:t>y</w:t>
      </w:r>
      <w:r>
        <w:rPr>
          <w:spacing w:val="-9"/>
        </w:rPr>
        <w:t xml:space="preserve"> </w:t>
      </w:r>
      <w:r>
        <w:t>de</w:t>
      </w:r>
      <w:r>
        <w:rPr>
          <w:spacing w:val="-8"/>
        </w:rPr>
        <w:t xml:space="preserve"> </w:t>
      </w:r>
      <w:r>
        <w:t>las</w:t>
      </w:r>
      <w:r>
        <w:rPr>
          <w:spacing w:val="-9"/>
        </w:rPr>
        <w:t xml:space="preserve"> </w:t>
      </w:r>
      <w:r>
        <w:t>personas</w:t>
      </w:r>
      <w:r>
        <w:rPr>
          <w:spacing w:val="-9"/>
        </w:rPr>
        <w:t xml:space="preserve"> </w:t>
      </w:r>
      <w:r>
        <w:t>de</w:t>
      </w:r>
      <w:r>
        <w:rPr>
          <w:spacing w:val="-8"/>
        </w:rPr>
        <w:t xml:space="preserve"> </w:t>
      </w:r>
      <w:r>
        <w:t>la</w:t>
      </w:r>
      <w:r>
        <w:rPr>
          <w:spacing w:val="-9"/>
        </w:rPr>
        <w:t xml:space="preserve"> </w:t>
      </w:r>
      <w:r>
        <w:t>tercera</w:t>
      </w:r>
      <w:r>
        <w:rPr>
          <w:spacing w:val="-10"/>
        </w:rPr>
        <w:t xml:space="preserve"> </w:t>
      </w:r>
      <w:r>
        <w:t>edad,</w:t>
      </w:r>
      <w:r>
        <w:rPr>
          <w:spacing w:val="-10"/>
        </w:rPr>
        <w:t xml:space="preserve"> </w:t>
      </w:r>
      <w:r>
        <w:t>según</w:t>
      </w:r>
      <w:r>
        <w:rPr>
          <w:spacing w:val="-9"/>
        </w:rPr>
        <w:t xml:space="preserve"> </w:t>
      </w:r>
      <w:r>
        <w:t>como</w:t>
      </w:r>
      <w:r>
        <w:rPr>
          <w:spacing w:val="-8"/>
        </w:rPr>
        <w:t xml:space="preserve"> </w:t>
      </w:r>
      <w:r>
        <w:t>esté integrado</w:t>
      </w:r>
      <w:r>
        <w:rPr>
          <w:spacing w:val="-13"/>
        </w:rPr>
        <w:t xml:space="preserve"> </w:t>
      </w:r>
      <w:r>
        <w:t>cada</w:t>
      </w:r>
      <w:r>
        <w:rPr>
          <w:spacing w:val="-14"/>
        </w:rPr>
        <w:t xml:space="preserve"> </w:t>
      </w:r>
      <w:r>
        <w:t>núcleo</w:t>
      </w:r>
      <w:r>
        <w:rPr>
          <w:spacing w:val="-13"/>
        </w:rPr>
        <w:t xml:space="preserve"> </w:t>
      </w:r>
      <w:r>
        <w:t>familiar.</w:t>
      </w:r>
      <w:r>
        <w:rPr>
          <w:spacing w:val="-14"/>
        </w:rPr>
        <w:t xml:space="preserve"> </w:t>
      </w:r>
      <w:r>
        <w:t>Lo</w:t>
      </w:r>
      <w:r>
        <w:rPr>
          <w:spacing w:val="-13"/>
        </w:rPr>
        <w:t xml:space="preserve"> </w:t>
      </w:r>
      <w:r>
        <w:t>anterior,</w:t>
      </w:r>
      <w:r>
        <w:rPr>
          <w:spacing w:val="-14"/>
        </w:rPr>
        <w:t xml:space="preserve"> </w:t>
      </w:r>
      <w:r>
        <w:t>ha</w:t>
      </w:r>
      <w:r>
        <w:rPr>
          <w:spacing w:val="-14"/>
        </w:rPr>
        <w:t xml:space="preserve"> </w:t>
      </w:r>
      <w:r>
        <w:t>llevado</w:t>
      </w:r>
      <w:r>
        <w:rPr>
          <w:spacing w:val="-13"/>
        </w:rPr>
        <w:t xml:space="preserve"> </w:t>
      </w:r>
      <w:r>
        <w:t>a</w:t>
      </w:r>
      <w:r>
        <w:rPr>
          <w:spacing w:val="-14"/>
        </w:rPr>
        <w:t xml:space="preserve"> </w:t>
      </w:r>
      <w:r>
        <w:t>la</w:t>
      </w:r>
      <w:r>
        <w:rPr>
          <w:spacing w:val="-14"/>
        </w:rPr>
        <w:t xml:space="preserve"> </w:t>
      </w:r>
      <w:r>
        <w:t>Corte</w:t>
      </w:r>
      <w:r>
        <w:rPr>
          <w:spacing w:val="-13"/>
        </w:rPr>
        <w:t xml:space="preserve"> </w:t>
      </w:r>
      <w:r>
        <w:t>a</w:t>
      </w:r>
      <w:r>
        <w:rPr>
          <w:spacing w:val="-14"/>
        </w:rPr>
        <w:t xml:space="preserve"> </w:t>
      </w:r>
      <w:r>
        <w:t>sostener que</w:t>
      </w:r>
      <w:r>
        <w:rPr>
          <w:spacing w:val="-22"/>
        </w:rPr>
        <w:t xml:space="preserve"> </w:t>
      </w:r>
      <w:r>
        <w:t>“las</w:t>
      </w:r>
      <w:r>
        <w:rPr>
          <w:spacing w:val="-21"/>
        </w:rPr>
        <w:t xml:space="preserve"> </w:t>
      </w:r>
      <w:r>
        <w:t>medidas</w:t>
      </w:r>
      <w:r>
        <w:rPr>
          <w:spacing w:val="-21"/>
        </w:rPr>
        <w:t xml:space="preserve"> </w:t>
      </w:r>
      <w:r>
        <w:t>que</w:t>
      </w:r>
      <w:r>
        <w:rPr>
          <w:spacing w:val="-21"/>
        </w:rPr>
        <w:t xml:space="preserve"> </w:t>
      </w:r>
      <w:r>
        <w:t>protegen</w:t>
      </w:r>
      <w:r>
        <w:rPr>
          <w:spacing w:val="-21"/>
        </w:rPr>
        <w:t xml:space="preserve"> </w:t>
      </w:r>
      <w:r>
        <w:t>a</w:t>
      </w:r>
      <w:r>
        <w:rPr>
          <w:spacing w:val="-21"/>
        </w:rPr>
        <w:t xml:space="preserve"> </w:t>
      </w:r>
      <w:r>
        <w:t>la</w:t>
      </w:r>
      <w:r>
        <w:rPr>
          <w:spacing w:val="-21"/>
        </w:rPr>
        <w:t xml:space="preserve"> </w:t>
      </w:r>
      <w:r>
        <w:t>mujer</w:t>
      </w:r>
      <w:r>
        <w:rPr>
          <w:spacing w:val="-21"/>
        </w:rPr>
        <w:t xml:space="preserve"> </w:t>
      </w:r>
      <w:r>
        <w:t>cabeza</w:t>
      </w:r>
      <w:r>
        <w:rPr>
          <w:spacing w:val="-21"/>
        </w:rPr>
        <w:t xml:space="preserve"> </w:t>
      </w:r>
      <w:r>
        <w:t>de</w:t>
      </w:r>
      <w:r>
        <w:rPr>
          <w:spacing w:val="-21"/>
        </w:rPr>
        <w:t xml:space="preserve"> </w:t>
      </w:r>
      <w:r>
        <w:t>familia</w:t>
      </w:r>
      <w:r>
        <w:rPr>
          <w:spacing w:val="-22"/>
        </w:rPr>
        <w:t xml:space="preserve"> </w:t>
      </w:r>
      <w:r>
        <w:t>no</w:t>
      </w:r>
      <w:r>
        <w:rPr>
          <w:spacing w:val="-21"/>
        </w:rPr>
        <w:t xml:space="preserve"> </w:t>
      </w:r>
      <w:r>
        <w:t>se</w:t>
      </w:r>
      <w:r>
        <w:rPr>
          <w:spacing w:val="-21"/>
        </w:rPr>
        <w:t xml:space="preserve"> </w:t>
      </w:r>
      <w:r>
        <w:t>proyectan sobre sí misma, sino que deben asumirse como extendidas al núcleo familiar que de ella dependa, el cual se supone compuesto por los hijos menores propios y otras personas incapaces o incapacitadas para trabajar</w:t>
      </w:r>
    </w:p>
    <w:p w14:paraId="408AD8F4" w14:textId="77777777" w:rsidR="000E52B0" w:rsidRDefault="00F60D74">
      <w:pPr>
        <w:pStyle w:val="Textoindependiente"/>
        <w:spacing w:before="159"/>
        <w:ind w:right="718"/>
        <w:jc w:val="both"/>
      </w:pPr>
      <w:r>
        <w:t>En la sentencia 11001-03-24-000-2017-00042-00, el Consejo de Estado reafirmó</w:t>
      </w:r>
      <w:r>
        <w:rPr>
          <w:spacing w:val="-3"/>
        </w:rPr>
        <w:t xml:space="preserve"> </w:t>
      </w:r>
      <w:r>
        <w:t>la</w:t>
      </w:r>
      <w:r>
        <w:rPr>
          <w:spacing w:val="-3"/>
        </w:rPr>
        <w:t xml:space="preserve"> </w:t>
      </w:r>
      <w:r>
        <w:t>obligación</w:t>
      </w:r>
      <w:r>
        <w:rPr>
          <w:spacing w:val="-4"/>
        </w:rPr>
        <w:t xml:space="preserve"> </w:t>
      </w:r>
      <w:r>
        <w:t>del</w:t>
      </w:r>
      <w:r>
        <w:rPr>
          <w:spacing w:val="-5"/>
        </w:rPr>
        <w:t xml:space="preserve"> </w:t>
      </w:r>
      <w:r>
        <w:t>Estado</w:t>
      </w:r>
      <w:r>
        <w:rPr>
          <w:spacing w:val="-1"/>
        </w:rPr>
        <w:t xml:space="preserve"> </w:t>
      </w:r>
      <w:r>
        <w:t>de</w:t>
      </w:r>
      <w:r>
        <w:rPr>
          <w:spacing w:val="-3"/>
        </w:rPr>
        <w:t xml:space="preserve"> </w:t>
      </w:r>
      <w:r>
        <w:t>proporcionar</w:t>
      </w:r>
      <w:r>
        <w:rPr>
          <w:spacing w:val="-3"/>
        </w:rPr>
        <w:t xml:space="preserve"> </w:t>
      </w:r>
      <w:r>
        <w:t>un</w:t>
      </w:r>
      <w:r>
        <w:rPr>
          <w:spacing w:val="-4"/>
        </w:rPr>
        <w:t xml:space="preserve"> </w:t>
      </w:r>
      <w:r>
        <w:t>apoyo</w:t>
      </w:r>
      <w:r>
        <w:rPr>
          <w:spacing w:val="-3"/>
        </w:rPr>
        <w:t xml:space="preserve"> </w:t>
      </w:r>
      <w:r>
        <w:t>específico</w:t>
      </w:r>
      <w:r>
        <w:rPr>
          <w:spacing w:val="-3"/>
        </w:rPr>
        <w:t xml:space="preserve"> </w:t>
      </w:r>
      <w:r>
        <w:t>para las</w:t>
      </w:r>
      <w:r>
        <w:rPr>
          <w:spacing w:val="-10"/>
        </w:rPr>
        <w:t xml:space="preserve"> </w:t>
      </w:r>
      <w:r>
        <w:t>madres</w:t>
      </w:r>
      <w:r>
        <w:rPr>
          <w:spacing w:val="-13"/>
        </w:rPr>
        <w:t xml:space="preserve"> </w:t>
      </w:r>
      <w:r>
        <w:t>cabeza</w:t>
      </w:r>
      <w:r>
        <w:rPr>
          <w:spacing w:val="-13"/>
        </w:rPr>
        <w:t xml:space="preserve"> </w:t>
      </w:r>
      <w:r>
        <w:t>de</w:t>
      </w:r>
      <w:r>
        <w:rPr>
          <w:spacing w:val="-12"/>
        </w:rPr>
        <w:t xml:space="preserve"> </w:t>
      </w:r>
      <w:r>
        <w:t>hogar,</w:t>
      </w:r>
      <w:r>
        <w:rPr>
          <w:spacing w:val="-13"/>
        </w:rPr>
        <w:t xml:space="preserve"> </w:t>
      </w:r>
      <w:r>
        <w:t>reconociendo</w:t>
      </w:r>
      <w:r>
        <w:rPr>
          <w:spacing w:val="-12"/>
        </w:rPr>
        <w:t xml:space="preserve"> </w:t>
      </w:r>
      <w:r>
        <w:t>que</w:t>
      </w:r>
      <w:r>
        <w:rPr>
          <w:spacing w:val="-12"/>
        </w:rPr>
        <w:t xml:space="preserve"> </w:t>
      </w:r>
      <w:r>
        <w:t>estas</w:t>
      </w:r>
      <w:r>
        <w:rPr>
          <w:spacing w:val="-11"/>
        </w:rPr>
        <w:t xml:space="preserve"> </w:t>
      </w:r>
      <w:r>
        <w:t>mujeres</w:t>
      </w:r>
      <w:r>
        <w:rPr>
          <w:spacing w:val="-13"/>
        </w:rPr>
        <w:t xml:space="preserve"> </w:t>
      </w:r>
      <w:r>
        <w:t>están</w:t>
      </w:r>
      <w:r>
        <w:rPr>
          <w:spacing w:val="-11"/>
        </w:rPr>
        <w:t xml:space="preserve"> </w:t>
      </w:r>
      <w:r>
        <w:t>en</w:t>
      </w:r>
      <w:r>
        <w:rPr>
          <w:spacing w:val="-11"/>
        </w:rPr>
        <w:t xml:space="preserve"> </w:t>
      </w:r>
      <w:r>
        <w:t>una situación</w:t>
      </w:r>
      <w:r>
        <w:rPr>
          <w:spacing w:val="-10"/>
        </w:rPr>
        <w:t xml:space="preserve"> </w:t>
      </w:r>
      <w:r>
        <w:t>de</w:t>
      </w:r>
      <w:r>
        <w:rPr>
          <w:spacing w:val="-9"/>
        </w:rPr>
        <w:t xml:space="preserve"> </w:t>
      </w:r>
      <w:r>
        <w:t>vulnerabilidad</w:t>
      </w:r>
      <w:r>
        <w:rPr>
          <w:spacing w:val="-11"/>
        </w:rPr>
        <w:t xml:space="preserve"> </w:t>
      </w:r>
      <w:r>
        <w:t>exacerbada.</w:t>
      </w:r>
      <w:r>
        <w:rPr>
          <w:spacing w:val="-8"/>
        </w:rPr>
        <w:t xml:space="preserve"> </w:t>
      </w:r>
      <w:r>
        <w:t>La</w:t>
      </w:r>
      <w:r>
        <w:rPr>
          <w:spacing w:val="-10"/>
        </w:rPr>
        <w:t xml:space="preserve"> </w:t>
      </w:r>
      <w:r>
        <w:t>Corte</w:t>
      </w:r>
      <w:r>
        <w:rPr>
          <w:spacing w:val="-9"/>
        </w:rPr>
        <w:t xml:space="preserve"> </w:t>
      </w:r>
      <w:r>
        <w:t>destacó</w:t>
      </w:r>
      <w:r>
        <w:rPr>
          <w:spacing w:val="-9"/>
        </w:rPr>
        <w:t xml:space="preserve"> </w:t>
      </w:r>
      <w:r>
        <w:t>la</w:t>
      </w:r>
      <w:r>
        <w:rPr>
          <w:spacing w:val="-10"/>
        </w:rPr>
        <w:t xml:space="preserve"> </w:t>
      </w:r>
      <w:r>
        <w:t>importancia</w:t>
      </w:r>
      <w:r>
        <w:rPr>
          <w:spacing w:val="-7"/>
        </w:rPr>
        <w:t xml:space="preserve"> </w:t>
      </w:r>
      <w:r>
        <w:t>de implementar políticas públicas que incluyan medidas de protección social, acceso a servicios de salud, educación y programas de empleo que respondan a sus necesidades particulares. Esta sentencia resalta la necesidad de un enfoque integral para abordar las disparidades que enfrentan estas madres, quienes a menudo son la principal fuente de sustento de sus familias.</w:t>
      </w:r>
    </w:p>
    <w:p w14:paraId="29B1E7E0" w14:textId="77777777" w:rsidR="000E52B0" w:rsidRDefault="000E52B0">
      <w:pPr>
        <w:pStyle w:val="Textoindependiente"/>
        <w:ind w:left="0"/>
      </w:pPr>
    </w:p>
    <w:p w14:paraId="2919510C" w14:textId="77777777" w:rsidR="000E52B0" w:rsidRDefault="00F60D74">
      <w:pPr>
        <w:pStyle w:val="Textoindependiente"/>
        <w:spacing w:before="1"/>
        <w:jc w:val="both"/>
      </w:pPr>
      <w:bookmarkStart w:id="190" w:name="_bookmark190"/>
      <w:bookmarkEnd w:id="190"/>
      <w:r>
        <w:rPr>
          <w:color w:val="770F47"/>
        </w:rPr>
        <w:t>Personas</w:t>
      </w:r>
      <w:r>
        <w:rPr>
          <w:color w:val="770F47"/>
          <w:spacing w:val="-2"/>
        </w:rPr>
        <w:t xml:space="preserve"> mayores</w:t>
      </w:r>
    </w:p>
    <w:p w14:paraId="4B46F693" w14:textId="77777777" w:rsidR="000E52B0" w:rsidRDefault="00F60D74">
      <w:pPr>
        <w:spacing w:before="291"/>
        <w:ind w:left="720" w:right="717"/>
        <w:jc w:val="both"/>
        <w:rPr>
          <w:i/>
          <w:sz w:val="24"/>
        </w:rPr>
      </w:pPr>
      <w:r>
        <w:rPr>
          <w:sz w:val="24"/>
        </w:rPr>
        <w:t>La Corte Constitucional ha proferido diferentes pronunciamientos para el amparo de los derechos fundamentales de las personas mayores. Dentro de estas se encuentra la sentencia T-024 de 2014 (MP Gabriel Eduardo Mendoza</w:t>
      </w:r>
      <w:r>
        <w:rPr>
          <w:spacing w:val="-2"/>
          <w:sz w:val="24"/>
        </w:rPr>
        <w:t xml:space="preserve"> </w:t>
      </w:r>
      <w:r>
        <w:rPr>
          <w:sz w:val="24"/>
        </w:rPr>
        <w:t>Martelo)</w:t>
      </w:r>
      <w:r>
        <w:rPr>
          <w:spacing w:val="-1"/>
          <w:sz w:val="24"/>
        </w:rPr>
        <w:t xml:space="preserve"> </w:t>
      </w:r>
      <w:r>
        <w:rPr>
          <w:sz w:val="24"/>
        </w:rPr>
        <w:t>en</w:t>
      </w:r>
      <w:r>
        <w:rPr>
          <w:spacing w:val="-2"/>
          <w:sz w:val="24"/>
        </w:rPr>
        <w:t xml:space="preserve"> </w:t>
      </w:r>
      <w:r>
        <w:rPr>
          <w:sz w:val="24"/>
        </w:rPr>
        <w:t>la</w:t>
      </w:r>
      <w:r>
        <w:rPr>
          <w:spacing w:val="-2"/>
          <w:sz w:val="24"/>
        </w:rPr>
        <w:t xml:space="preserve"> </w:t>
      </w:r>
      <w:r>
        <w:rPr>
          <w:sz w:val="24"/>
        </w:rPr>
        <w:t>cual</w:t>
      </w:r>
      <w:r>
        <w:rPr>
          <w:spacing w:val="-3"/>
          <w:sz w:val="24"/>
        </w:rPr>
        <w:t xml:space="preserve"> </w:t>
      </w:r>
      <w:r>
        <w:rPr>
          <w:sz w:val="24"/>
        </w:rPr>
        <w:t>se</w:t>
      </w:r>
      <w:r>
        <w:rPr>
          <w:spacing w:val="-1"/>
          <w:sz w:val="24"/>
        </w:rPr>
        <w:t xml:space="preserve"> </w:t>
      </w:r>
      <w:r>
        <w:rPr>
          <w:sz w:val="24"/>
        </w:rPr>
        <w:t>reconoce</w:t>
      </w:r>
      <w:r>
        <w:rPr>
          <w:spacing w:val="-1"/>
          <w:sz w:val="24"/>
        </w:rPr>
        <w:t xml:space="preserve"> </w:t>
      </w:r>
      <w:r>
        <w:rPr>
          <w:sz w:val="24"/>
        </w:rPr>
        <w:t>el</w:t>
      </w:r>
      <w:r>
        <w:rPr>
          <w:spacing w:val="-3"/>
          <w:sz w:val="24"/>
        </w:rPr>
        <w:t xml:space="preserve"> </w:t>
      </w:r>
      <w:r>
        <w:rPr>
          <w:sz w:val="24"/>
        </w:rPr>
        <w:t>papel</w:t>
      </w:r>
      <w:r>
        <w:rPr>
          <w:spacing w:val="-3"/>
          <w:sz w:val="24"/>
        </w:rPr>
        <w:t xml:space="preserve"> </w:t>
      </w:r>
      <w:r>
        <w:rPr>
          <w:sz w:val="24"/>
        </w:rPr>
        <w:t>protagónico</w:t>
      </w:r>
      <w:r>
        <w:rPr>
          <w:spacing w:val="-1"/>
          <w:sz w:val="24"/>
        </w:rPr>
        <w:t xml:space="preserve"> </w:t>
      </w:r>
      <w:r>
        <w:rPr>
          <w:sz w:val="24"/>
        </w:rPr>
        <w:t>de</w:t>
      </w:r>
      <w:r>
        <w:rPr>
          <w:spacing w:val="-1"/>
          <w:sz w:val="24"/>
        </w:rPr>
        <w:t xml:space="preserve"> </w:t>
      </w:r>
      <w:r>
        <w:rPr>
          <w:sz w:val="24"/>
        </w:rPr>
        <w:t>la</w:t>
      </w:r>
      <w:r>
        <w:rPr>
          <w:spacing w:val="-2"/>
          <w:sz w:val="24"/>
        </w:rPr>
        <w:t xml:space="preserve"> </w:t>
      </w:r>
      <w:r>
        <w:rPr>
          <w:sz w:val="24"/>
        </w:rPr>
        <w:t>familia en</w:t>
      </w:r>
      <w:r>
        <w:rPr>
          <w:spacing w:val="-17"/>
          <w:sz w:val="24"/>
        </w:rPr>
        <w:t xml:space="preserve"> </w:t>
      </w:r>
      <w:r>
        <w:rPr>
          <w:sz w:val="24"/>
        </w:rPr>
        <w:t>el</w:t>
      </w:r>
      <w:r>
        <w:rPr>
          <w:spacing w:val="-17"/>
          <w:sz w:val="24"/>
        </w:rPr>
        <w:t xml:space="preserve"> </w:t>
      </w:r>
      <w:r>
        <w:rPr>
          <w:sz w:val="24"/>
        </w:rPr>
        <w:t>cuidado</w:t>
      </w:r>
      <w:r>
        <w:rPr>
          <w:spacing w:val="-15"/>
          <w:sz w:val="24"/>
        </w:rPr>
        <w:t xml:space="preserve"> </w:t>
      </w:r>
      <w:r>
        <w:rPr>
          <w:sz w:val="24"/>
        </w:rPr>
        <w:t>y</w:t>
      </w:r>
      <w:r>
        <w:rPr>
          <w:spacing w:val="-14"/>
          <w:sz w:val="24"/>
        </w:rPr>
        <w:t xml:space="preserve"> </w:t>
      </w:r>
      <w:r>
        <w:rPr>
          <w:sz w:val="24"/>
        </w:rPr>
        <w:t>protección</w:t>
      </w:r>
      <w:r>
        <w:rPr>
          <w:spacing w:val="-17"/>
          <w:sz w:val="24"/>
        </w:rPr>
        <w:t xml:space="preserve"> </w:t>
      </w:r>
      <w:r>
        <w:rPr>
          <w:sz w:val="24"/>
        </w:rPr>
        <w:t>de</w:t>
      </w:r>
      <w:r>
        <w:rPr>
          <w:spacing w:val="-15"/>
          <w:sz w:val="24"/>
        </w:rPr>
        <w:t xml:space="preserve"> </w:t>
      </w:r>
      <w:r>
        <w:rPr>
          <w:sz w:val="24"/>
        </w:rPr>
        <w:t>las</w:t>
      </w:r>
      <w:r>
        <w:rPr>
          <w:spacing w:val="-16"/>
          <w:sz w:val="24"/>
        </w:rPr>
        <w:t xml:space="preserve"> </w:t>
      </w:r>
      <w:r>
        <w:rPr>
          <w:sz w:val="24"/>
        </w:rPr>
        <w:t>personas</w:t>
      </w:r>
      <w:r>
        <w:rPr>
          <w:spacing w:val="-16"/>
          <w:sz w:val="24"/>
        </w:rPr>
        <w:t xml:space="preserve"> </w:t>
      </w:r>
      <w:r>
        <w:rPr>
          <w:sz w:val="24"/>
        </w:rPr>
        <w:t>mayores,</w:t>
      </w:r>
      <w:r>
        <w:rPr>
          <w:spacing w:val="-17"/>
          <w:sz w:val="24"/>
        </w:rPr>
        <w:t xml:space="preserve"> </w:t>
      </w:r>
      <w:r>
        <w:rPr>
          <w:sz w:val="24"/>
        </w:rPr>
        <w:t>fungiendo</w:t>
      </w:r>
      <w:r>
        <w:rPr>
          <w:spacing w:val="-15"/>
          <w:sz w:val="24"/>
        </w:rPr>
        <w:t xml:space="preserve"> </w:t>
      </w:r>
      <w:r>
        <w:rPr>
          <w:sz w:val="24"/>
        </w:rPr>
        <w:t>como</w:t>
      </w:r>
      <w:r>
        <w:rPr>
          <w:spacing w:val="-15"/>
          <w:sz w:val="24"/>
        </w:rPr>
        <w:t xml:space="preserve"> </w:t>
      </w:r>
      <w:r>
        <w:rPr>
          <w:sz w:val="24"/>
        </w:rPr>
        <w:t>apoyo idóneo para brindarles guarda, cariño y apoyo mediante el desarrollo constante</w:t>
      </w:r>
      <w:r>
        <w:rPr>
          <w:spacing w:val="-3"/>
          <w:sz w:val="24"/>
        </w:rPr>
        <w:t xml:space="preserve"> </w:t>
      </w:r>
      <w:r>
        <w:rPr>
          <w:sz w:val="24"/>
        </w:rPr>
        <w:t>de</w:t>
      </w:r>
      <w:r>
        <w:rPr>
          <w:spacing w:val="-5"/>
          <w:sz w:val="24"/>
        </w:rPr>
        <w:t xml:space="preserve"> </w:t>
      </w:r>
      <w:r>
        <w:rPr>
          <w:sz w:val="24"/>
        </w:rPr>
        <w:t>actuaciones</w:t>
      </w:r>
      <w:r>
        <w:rPr>
          <w:spacing w:val="-6"/>
          <w:sz w:val="24"/>
        </w:rPr>
        <w:t xml:space="preserve"> </w:t>
      </w:r>
      <w:r>
        <w:rPr>
          <w:sz w:val="24"/>
        </w:rPr>
        <w:t>solidarias</w:t>
      </w:r>
      <w:r>
        <w:rPr>
          <w:spacing w:val="-5"/>
          <w:sz w:val="24"/>
        </w:rPr>
        <w:t xml:space="preserve"> </w:t>
      </w:r>
      <w:r>
        <w:rPr>
          <w:sz w:val="24"/>
        </w:rPr>
        <w:t>y</w:t>
      </w:r>
      <w:r>
        <w:rPr>
          <w:spacing w:val="-7"/>
          <w:sz w:val="24"/>
        </w:rPr>
        <w:t xml:space="preserve"> </w:t>
      </w:r>
      <w:r>
        <w:rPr>
          <w:sz w:val="24"/>
        </w:rPr>
        <w:t>resalta</w:t>
      </w:r>
      <w:r>
        <w:rPr>
          <w:spacing w:val="-4"/>
          <w:sz w:val="24"/>
        </w:rPr>
        <w:t xml:space="preserve"> </w:t>
      </w:r>
      <w:r>
        <w:rPr>
          <w:sz w:val="24"/>
        </w:rPr>
        <w:t>que</w:t>
      </w:r>
      <w:r>
        <w:rPr>
          <w:spacing w:val="-3"/>
          <w:sz w:val="24"/>
        </w:rPr>
        <w:t xml:space="preserve"> </w:t>
      </w:r>
      <w:r>
        <w:rPr>
          <w:sz w:val="24"/>
        </w:rPr>
        <w:t>como</w:t>
      </w:r>
      <w:r>
        <w:rPr>
          <w:spacing w:val="-6"/>
          <w:sz w:val="24"/>
        </w:rPr>
        <w:t xml:space="preserve"> </w:t>
      </w:r>
      <w:r>
        <w:rPr>
          <w:sz w:val="24"/>
        </w:rPr>
        <w:t>sujetos</w:t>
      </w:r>
      <w:r>
        <w:rPr>
          <w:spacing w:val="-7"/>
          <w:sz w:val="24"/>
        </w:rPr>
        <w:t xml:space="preserve"> </w:t>
      </w:r>
      <w:r>
        <w:rPr>
          <w:sz w:val="24"/>
        </w:rPr>
        <w:t>de</w:t>
      </w:r>
      <w:r>
        <w:rPr>
          <w:spacing w:val="-5"/>
          <w:sz w:val="24"/>
        </w:rPr>
        <w:t xml:space="preserve"> </w:t>
      </w:r>
      <w:r>
        <w:rPr>
          <w:sz w:val="24"/>
        </w:rPr>
        <w:t xml:space="preserve">espacial protección el </w:t>
      </w:r>
      <w:r>
        <w:rPr>
          <w:i/>
          <w:sz w:val="24"/>
        </w:rPr>
        <w:t>“(…) Estado tiene la obligación de asegurar que les sea brindada la totalidad del tratamiento previsto para su enfermedad, así como también, para que logren su integración social través de todos los medios</w:t>
      </w:r>
      <w:r>
        <w:rPr>
          <w:i/>
          <w:spacing w:val="-1"/>
          <w:sz w:val="24"/>
        </w:rPr>
        <w:t xml:space="preserve"> </w:t>
      </w:r>
      <w:r>
        <w:rPr>
          <w:i/>
          <w:sz w:val="24"/>
        </w:rPr>
        <w:t>que se encuentren</w:t>
      </w:r>
      <w:r>
        <w:rPr>
          <w:i/>
          <w:spacing w:val="-1"/>
          <w:sz w:val="24"/>
        </w:rPr>
        <w:t xml:space="preserve"> </w:t>
      </w:r>
      <w:r>
        <w:rPr>
          <w:i/>
          <w:sz w:val="24"/>
        </w:rPr>
        <w:t>disponibles, bien</w:t>
      </w:r>
      <w:r>
        <w:rPr>
          <w:i/>
          <w:spacing w:val="-1"/>
          <w:sz w:val="24"/>
        </w:rPr>
        <w:t xml:space="preserve"> </w:t>
      </w:r>
      <w:r>
        <w:rPr>
          <w:i/>
          <w:sz w:val="24"/>
        </w:rPr>
        <w:t>sean</w:t>
      </w:r>
      <w:r>
        <w:rPr>
          <w:i/>
          <w:spacing w:val="-1"/>
          <w:sz w:val="24"/>
        </w:rPr>
        <w:t xml:space="preserve"> </w:t>
      </w:r>
      <w:r>
        <w:rPr>
          <w:i/>
          <w:sz w:val="24"/>
        </w:rPr>
        <w:t>médicos o educativos de forma</w:t>
      </w:r>
      <w:r>
        <w:rPr>
          <w:i/>
          <w:spacing w:val="-4"/>
          <w:sz w:val="24"/>
        </w:rPr>
        <w:t xml:space="preserve"> </w:t>
      </w:r>
      <w:r>
        <w:rPr>
          <w:i/>
          <w:sz w:val="24"/>
        </w:rPr>
        <w:t>especializada</w:t>
      </w:r>
      <w:r>
        <w:rPr>
          <w:i/>
          <w:spacing w:val="-2"/>
          <w:sz w:val="24"/>
        </w:rPr>
        <w:t xml:space="preserve"> </w:t>
      </w:r>
      <w:r>
        <w:rPr>
          <w:i/>
          <w:sz w:val="24"/>
        </w:rPr>
        <w:t>eficiente</w:t>
      </w:r>
      <w:r>
        <w:rPr>
          <w:i/>
          <w:spacing w:val="-4"/>
          <w:sz w:val="24"/>
        </w:rPr>
        <w:t xml:space="preserve"> </w:t>
      </w:r>
      <w:r>
        <w:rPr>
          <w:i/>
          <w:sz w:val="24"/>
        </w:rPr>
        <w:t>e</w:t>
      </w:r>
      <w:r>
        <w:rPr>
          <w:i/>
          <w:spacing w:val="-4"/>
          <w:sz w:val="24"/>
        </w:rPr>
        <w:t xml:space="preserve"> </w:t>
      </w:r>
      <w:r>
        <w:rPr>
          <w:i/>
          <w:sz w:val="24"/>
        </w:rPr>
        <w:t>integral,</w:t>
      </w:r>
      <w:r>
        <w:rPr>
          <w:i/>
          <w:spacing w:val="-3"/>
          <w:sz w:val="24"/>
        </w:rPr>
        <w:t xml:space="preserve"> </w:t>
      </w:r>
      <w:r>
        <w:rPr>
          <w:i/>
          <w:sz w:val="24"/>
        </w:rPr>
        <w:t>encaminados</w:t>
      </w:r>
      <w:r>
        <w:rPr>
          <w:i/>
          <w:spacing w:val="-5"/>
          <w:sz w:val="24"/>
        </w:rPr>
        <w:t xml:space="preserve"> </w:t>
      </w:r>
      <w:r>
        <w:rPr>
          <w:i/>
          <w:sz w:val="24"/>
        </w:rPr>
        <w:t>a</w:t>
      </w:r>
      <w:r>
        <w:rPr>
          <w:i/>
          <w:spacing w:val="-3"/>
          <w:sz w:val="24"/>
        </w:rPr>
        <w:t xml:space="preserve"> </w:t>
      </w:r>
      <w:r>
        <w:rPr>
          <w:i/>
          <w:sz w:val="24"/>
        </w:rPr>
        <w:t>mejorar</w:t>
      </w:r>
      <w:r>
        <w:rPr>
          <w:i/>
          <w:spacing w:val="-3"/>
          <w:sz w:val="24"/>
        </w:rPr>
        <w:t xml:space="preserve"> </w:t>
      </w:r>
      <w:r>
        <w:rPr>
          <w:i/>
          <w:sz w:val="24"/>
        </w:rPr>
        <w:t>su</w:t>
      </w:r>
      <w:r>
        <w:rPr>
          <w:i/>
          <w:spacing w:val="-5"/>
          <w:sz w:val="24"/>
        </w:rPr>
        <w:t xml:space="preserve"> </w:t>
      </w:r>
      <w:r>
        <w:rPr>
          <w:i/>
          <w:sz w:val="24"/>
        </w:rPr>
        <w:t>calidad de</w:t>
      </w:r>
      <w:r>
        <w:rPr>
          <w:i/>
          <w:spacing w:val="-15"/>
          <w:sz w:val="24"/>
        </w:rPr>
        <w:t xml:space="preserve"> </w:t>
      </w:r>
      <w:r>
        <w:rPr>
          <w:i/>
          <w:sz w:val="24"/>
        </w:rPr>
        <w:t>vida.(…)</w:t>
      </w:r>
      <w:r>
        <w:rPr>
          <w:i/>
          <w:spacing w:val="-16"/>
          <w:sz w:val="24"/>
        </w:rPr>
        <w:t xml:space="preserve"> </w:t>
      </w:r>
      <w:r>
        <w:rPr>
          <w:i/>
          <w:sz w:val="24"/>
        </w:rPr>
        <w:t>Con</w:t>
      </w:r>
      <w:r>
        <w:rPr>
          <w:i/>
          <w:spacing w:val="-17"/>
          <w:sz w:val="24"/>
        </w:rPr>
        <w:t xml:space="preserve"> </w:t>
      </w:r>
      <w:r>
        <w:rPr>
          <w:i/>
          <w:sz w:val="24"/>
        </w:rPr>
        <w:t>la</w:t>
      </w:r>
      <w:r>
        <w:rPr>
          <w:i/>
          <w:spacing w:val="-16"/>
          <w:sz w:val="24"/>
        </w:rPr>
        <w:t xml:space="preserve"> </w:t>
      </w:r>
      <w:r>
        <w:rPr>
          <w:i/>
          <w:sz w:val="24"/>
        </w:rPr>
        <w:t>anotada</w:t>
      </w:r>
      <w:r>
        <w:rPr>
          <w:i/>
          <w:spacing w:val="-16"/>
          <w:sz w:val="24"/>
        </w:rPr>
        <w:t xml:space="preserve"> </w:t>
      </w:r>
      <w:r>
        <w:rPr>
          <w:i/>
          <w:sz w:val="24"/>
        </w:rPr>
        <w:t>finalidad,</w:t>
      </w:r>
      <w:r>
        <w:rPr>
          <w:i/>
          <w:spacing w:val="-17"/>
          <w:sz w:val="24"/>
        </w:rPr>
        <w:t xml:space="preserve"> </w:t>
      </w:r>
      <w:r>
        <w:rPr>
          <w:i/>
          <w:sz w:val="24"/>
        </w:rPr>
        <w:t>el</w:t>
      </w:r>
      <w:r>
        <w:rPr>
          <w:i/>
          <w:spacing w:val="-15"/>
          <w:sz w:val="24"/>
        </w:rPr>
        <w:t xml:space="preserve"> </w:t>
      </w:r>
      <w:r>
        <w:rPr>
          <w:i/>
          <w:sz w:val="24"/>
        </w:rPr>
        <w:t>Estado</w:t>
      </w:r>
      <w:r>
        <w:rPr>
          <w:i/>
          <w:spacing w:val="-15"/>
          <w:sz w:val="24"/>
        </w:rPr>
        <w:t xml:space="preserve"> </w:t>
      </w:r>
      <w:r>
        <w:rPr>
          <w:i/>
          <w:sz w:val="24"/>
        </w:rPr>
        <w:t>debe</w:t>
      </w:r>
      <w:r>
        <w:rPr>
          <w:i/>
          <w:spacing w:val="-15"/>
          <w:sz w:val="24"/>
        </w:rPr>
        <w:t xml:space="preserve"> </w:t>
      </w:r>
      <w:r>
        <w:rPr>
          <w:i/>
          <w:sz w:val="24"/>
        </w:rPr>
        <w:t>ofrecer</w:t>
      </w:r>
      <w:r>
        <w:rPr>
          <w:i/>
          <w:spacing w:val="-17"/>
          <w:sz w:val="24"/>
        </w:rPr>
        <w:t xml:space="preserve"> </w:t>
      </w:r>
      <w:r>
        <w:rPr>
          <w:i/>
          <w:sz w:val="24"/>
        </w:rPr>
        <w:t>las</w:t>
      </w:r>
      <w:r>
        <w:rPr>
          <w:i/>
          <w:spacing w:val="-16"/>
          <w:sz w:val="24"/>
        </w:rPr>
        <w:t xml:space="preserve"> </w:t>
      </w:r>
      <w:r>
        <w:rPr>
          <w:i/>
          <w:sz w:val="24"/>
        </w:rPr>
        <w:t>condiciones normativas y materiales</w:t>
      </w:r>
      <w:r>
        <w:rPr>
          <w:i/>
          <w:spacing w:val="-2"/>
          <w:sz w:val="24"/>
        </w:rPr>
        <w:t xml:space="preserve"> </w:t>
      </w:r>
      <w:r>
        <w:rPr>
          <w:i/>
          <w:sz w:val="24"/>
        </w:rPr>
        <w:t>que permitan, en</w:t>
      </w:r>
      <w:r>
        <w:rPr>
          <w:i/>
          <w:spacing w:val="-2"/>
          <w:sz w:val="24"/>
        </w:rPr>
        <w:t xml:space="preserve"> </w:t>
      </w:r>
      <w:r>
        <w:rPr>
          <w:i/>
          <w:sz w:val="24"/>
        </w:rPr>
        <w:t>la medida de lo posible, que las personas colocadas en situaciones de debilidad manifiesta, superen su condición de desigualdad. Misión en la que también deberá participar el legislador y los jueces quienes han de adoptar medidas de amparo específicas según las circunstancias de cada caso en concreto.”</w:t>
      </w:r>
    </w:p>
    <w:p w14:paraId="7C6E4E99" w14:textId="77777777" w:rsidR="000E52B0" w:rsidRDefault="000E52B0">
      <w:pPr>
        <w:jc w:val="both"/>
        <w:rPr>
          <w:i/>
          <w:sz w:val="24"/>
        </w:rPr>
        <w:sectPr w:rsidR="000E52B0">
          <w:pgSz w:w="11910" w:h="16840"/>
          <w:pgMar w:top="1340" w:right="720" w:bottom="1180" w:left="720" w:header="0" w:footer="995" w:gutter="0"/>
          <w:cols w:space="720"/>
        </w:sectPr>
      </w:pPr>
    </w:p>
    <w:p w14:paraId="2ECA44AF" w14:textId="77777777" w:rsidR="000E52B0" w:rsidRDefault="00F60D74">
      <w:pPr>
        <w:spacing w:before="83"/>
        <w:ind w:left="720" w:right="715"/>
        <w:jc w:val="both"/>
        <w:rPr>
          <w:sz w:val="24"/>
        </w:rPr>
      </w:pPr>
      <w:r>
        <w:rPr>
          <w:sz w:val="24"/>
        </w:rPr>
        <w:lastRenderedPageBreak/>
        <w:t xml:space="preserve">Igualmente, la Honorable Corte Constitucional por medio de la </w:t>
      </w:r>
      <w:r>
        <w:rPr>
          <w:b/>
          <w:sz w:val="24"/>
        </w:rPr>
        <w:t>s</w:t>
      </w:r>
      <w:r>
        <w:rPr>
          <w:sz w:val="24"/>
        </w:rPr>
        <w:t>entencia T-252 de 2017 (MP Mauricio González Cuervo), señala que “</w:t>
      </w:r>
      <w:r>
        <w:rPr>
          <w:i/>
          <w:sz w:val="24"/>
        </w:rPr>
        <w:t xml:space="preserve">Los adultos mayores son un grupo vulnerable, por ello han sido catalogados como sujetos de especial protección constitucional en múltiples sentencias de esta Corporación. Desde el punto de vista teórico, esto puede obedecer a los tipos de opresión, maltrato o abandono a los que puede llegar a estar sometida la población mayor, dadas las condiciones, físicas, económicas o sociológicas, que la diferencian de los otros tipos de colectivos o sujetos”. </w:t>
      </w:r>
      <w:r>
        <w:rPr>
          <w:sz w:val="24"/>
        </w:rPr>
        <w:t xml:space="preserve">Así mismas personas mayores necesitan </w:t>
      </w:r>
      <w:r>
        <w:rPr>
          <w:i/>
          <w:sz w:val="24"/>
        </w:rPr>
        <w:t xml:space="preserve">“dejar de experimentar situaciones de marginación y carencia de poder en los espacios que los afectan”, </w:t>
      </w:r>
      <w:r>
        <w:rPr>
          <w:sz w:val="24"/>
        </w:rPr>
        <w:t>por lo cual el Estado como ente garante debe propiciarles protección y ayuda para subsanar las necesidades que con el paso del tiempo</w:t>
      </w:r>
      <w:r>
        <w:rPr>
          <w:spacing w:val="-1"/>
          <w:sz w:val="24"/>
        </w:rPr>
        <w:t xml:space="preserve"> </w:t>
      </w:r>
      <w:r>
        <w:rPr>
          <w:sz w:val="24"/>
        </w:rPr>
        <w:t>estos</w:t>
      </w:r>
      <w:r>
        <w:rPr>
          <w:spacing w:val="-2"/>
          <w:sz w:val="24"/>
        </w:rPr>
        <w:t xml:space="preserve"> </w:t>
      </w:r>
      <w:r>
        <w:rPr>
          <w:sz w:val="24"/>
        </w:rPr>
        <w:t>individuos.</w:t>
      </w:r>
      <w:r>
        <w:rPr>
          <w:spacing w:val="-3"/>
          <w:sz w:val="24"/>
        </w:rPr>
        <w:t xml:space="preserve"> </w:t>
      </w:r>
      <w:r>
        <w:rPr>
          <w:sz w:val="24"/>
        </w:rPr>
        <w:t>Además,</w:t>
      </w:r>
      <w:r>
        <w:rPr>
          <w:spacing w:val="-3"/>
          <w:sz w:val="24"/>
        </w:rPr>
        <w:t xml:space="preserve"> </w:t>
      </w:r>
      <w:r>
        <w:rPr>
          <w:sz w:val="24"/>
        </w:rPr>
        <w:t>la sentencia</w:t>
      </w:r>
      <w:r>
        <w:rPr>
          <w:spacing w:val="-2"/>
          <w:sz w:val="24"/>
        </w:rPr>
        <w:t xml:space="preserve"> </w:t>
      </w:r>
      <w:r>
        <w:rPr>
          <w:sz w:val="24"/>
        </w:rPr>
        <w:t>T-066</w:t>
      </w:r>
      <w:r>
        <w:rPr>
          <w:spacing w:val="-1"/>
          <w:sz w:val="24"/>
        </w:rPr>
        <w:t xml:space="preserve"> </w:t>
      </w:r>
      <w:r>
        <w:rPr>
          <w:sz w:val="24"/>
        </w:rPr>
        <w:t>de</w:t>
      </w:r>
      <w:r>
        <w:rPr>
          <w:spacing w:val="-1"/>
          <w:sz w:val="24"/>
        </w:rPr>
        <w:t xml:space="preserve"> </w:t>
      </w:r>
      <w:r>
        <w:rPr>
          <w:sz w:val="24"/>
        </w:rPr>
        <w:t>2020 (MP</w:t>
      </w:r>
      <w:r>
        <w:rPr>
          <w:spacing w:val="-2"/>
          <w:sz w:val="24"/>
        </w:rPr>
        <w:t xml:space="preserve"> </w:t>
      </w:r>
      <w:r>
        <w:rPr>
          <w:sz w:val="24"/>
        </w:rPr>
        <w:t>Cristina Pardo</w:t>
      </w:r>
      <w:r>
        <w:rPr>
          <w:spacing w:val="-22"/>
          <w:sz w:val="24"/>
        </w:rPr>
        <w:t xml:space="preserve"> </w:t>
      </w:r>
      <w:r>
        <w:rPr>
          <w:sz w:val="24"/>
        </w:rPr>
        <w:t>Schlesinger)</w:t>
      </w:r>
      <w:r>
        <w:rPr>
          <w:spacing w:val="-21"/>
          <w:sz w:val="24"/>
        </w:rPr>
        <w:t xml:space="preserve"> </w:t>
      </w:r>
      <w:r>
        <w:rPr>
          <w:sz w:val="24"/>
        </w:rPr>
        <w:t>establece</w:t>
      </w:r>
      <w:r>
        <w:rPr>
          <w:spacing w:val="-21"/>
          <w:sz w:val="24"/>
        </w:rPr>
        <w:t xml:space="preserve"> </w:t>
      </w:r>
      <w:r>
        <w:rPr>
          <w:sz w:val="24"/>
        </w:rPr>
        <w:t>que</w:t>
      </w:r>
      <w:r>
        <w:rPr>
          <w:spacing w:val="-21"/>
          <w:sz w:val="24"/>
        </w:rPr>
        <w:t xml:space="preserve"> </w:t>
      </w:r>
      <w:r>
        <w:rPr>
          <w:sz w:val="24"/>
        </w:rPr>
        <w:t>Colombia</w:t>
      </w:r>
      <w:r>
        <w:rPr>
          <w:spacing w:val="-21"/>
          <w:sz w:val="24"/>
        </w:rPr>
        <w:t xml:space="preserve"> </w:t>
      </w:r>
      <w:r>
        <w:rPr>
          <w:sz w:val="24"/>
        </w:rPr>
        <w:t>como</w:t>
      </w:r>
      <w:r>
        <w:rPr>
          <w:spacing w:val="-21"/>
          <w:sz w:val="24"/>
        </w:rPr>
        <w:t xml:space="preserve"> </w:t>
      </w:r>
      <w:r>
        <w:rPr>
          <w:sz w:val="24"/>
        </w:rPr>
        <w:t>Estado</w:t>
      </w:r>
      <w:r>
        <w:rPr>
          <w:spacing w:val="-21"/>
          <w:sz w:val="24"/>
        </w:rPr>
        <w:t xml:space="preserve"> </w:t>
      </w:r>
      <w:r>
        <w:rPr>
          <w:sz w:val="24"/>
        </w:rPr>
        <w:t>Social</w:t>
      </w:r>
      <w:r>
        <w:rPr>
          <w:spacing w:val="-21"/>
          <w:sz w:val="24"/>
        </w:rPr>
        <w:t xml:space="preserve"> </w:t>
      </w:r>
      <w:r>
        <w:rPr>
          <w:sz w:val="24"/>
        </w:rPr>
        <w:t>de</w:t>
      </w:r>
      <w:r>
        <w:rPr>
          <w:spacing w:val="-21"/>
          <w:sz w:val="24"/>
        </w:rPr>
        <w:t xml:space="preserve"> </w:t>
      </w:r>
      <w:r>
        <w:rPr>
          <w:sz w:val="24"/>
        </w:rPr>
        <w:t>Derecho, tiene la obligación de proporcionar una vida digna a las personas mayores mediante el acceso a la salud, al trabajo, al mínimo vital y espacios socioculturales</w:t>
      </w:r>
      <w:r>
        <w:rPr>
          <w:spacing w:val="-10"/>
          <w:sz w:val="24"/>
        </w:rPr>
        <w:t xml:space="preserve"> </w:t>
      </w:r>
      <w:r>
        <w:rPr>
          <w:sz w:val="24"/>
        </w:rPr>
        <w:t>que</w:t>
      </w:r>
      <w:r>
        <w:rPr>
          <w:spacing w:val="-6"/>
          <w:sz w:val="24"/>
        </w:rPr>
        <w:t xml:space="preserve"> </w:t>
      </w:r>
      <w:r>
        <w:rPr>
          <w:sz w:val="24"/>
        </w:rPr>
        <w:t>permitan</w:t>
      </w:r>
      <w:r>
        <w:rPr>
          <w:spacing w:val="-8"/>
          <w:sz w:val="24"/>
        </w:rPr>
        <w:t xml:space="preserve"> </w:t>
      </w:r>
      <w:r>
        <w:rPr>
          <w:sz w:val="24"/>
        </w:rPr>
        <w:t>seguir</w:t>
      </w:r>
      <w:r>
        <w:rPr>
          <w:spacing w:val="-7"/>
          <w:sz w:val="24"/>
        </w:rPr>
        <w:t xml:space="preserve"> </w:t>
      </w:r>
      <w:r>
        <w:rPr>
          <w:sz w:val="24"/>
        </w:rPr>
        <w:t>desarrollando</w:t>
      </w:r>
      <w:r>
        <w:rPr>
          <w:spacing w:val="-9"/>
          <w:sz w:val="24"/>
        </w:rPr>
        <w:t xml:space="preserve"> </w:t>
      </w:r>
      <w:r>
        <w:rPr>
          <w:sz w:val="24"/>
        </w:rPr>
        <w:t>sus</w:t>
      </w:r>
      <w:r>
        <w:rPr>
          <w:spacing w:val="-8"/>
          <w:sz w:val="24"/>
        </w:rPr>
        <w:t xml:space="preserve"> </w:t>
      </w:r>
      <w:r>
        <w:rPr>
          <w:sz w:val="24"/>
        </w:rPr>
        <w:t>actividades</w:t>
      </w:r>
      <w:r>
        <w:rPr>
          <w:spacing w:val="-10"/>
          <w:sz w:val="24"/>
        </w:rPr>
        <w:t xml:space="preserve"> </w:t>
      </w:r>
      <w:r>
        <w:rPr>
          <w:sz w:val="24"/>
        </w:rPr>
        <w:t>en</w:t>
      </w:r>
      <w:r>
        <w:rPr>
          <w:spacing w:val="-8"/>
          <w:sz w:val="24"/>
        </w:rPr>
        <w:t xml:space="preserve"> </w:t>
      </w:r>
      <w:r>
        <w:rPr>
          <w:sz w:val="24"/>
        </w:rPr>
        <w:t>todas las esferas y dimensiones posibles.</w:t>
      </w:r>
    </w:p>
    <w:p w14:paraId="20B9C637" w14:textId="77777777" w:rsidR="000E52B0" w:rsidRDefault="00F60D74">
      <w:pPr>
        <w:spacing w:before="160"/>
        <w:ind w:left="720" w:right="717"/>
        <w:jc w:val="both"/>
        <w:rPr>
          <w:i/>
          <w:sz w:val="24"/>
        </w:rPr>
      </w:pPr>
      <w:r>
        <w:rPr>
          <w:sz w:val="24"/>
        </w:rPr>
        <w:t>En la sentencia SU109 de 2022 (MP Paola Andrea Meneses Mosquera), el máximo tribunal constitucional reafirma que el Estado debe concurrir a la protección y asistencia de las personas mayores proporcionándole el goce efectivo</w:t>
      </w:r>
      <w:r>
        <w:rPr>
          <w:spacing w:val="-5"/>
          <w:sz w:val="24"/>
        </w:rPr>
        <w:t xml:space="preserve"> </w:t>
      </w:r>
      <w:r>
        <w:rPr>
          <w:sz w:val="24"/>
        </w:rPr>
        <w:t>de</w:t>
      </w:r>
      <w:r>
        <w:rPr>
          <w:spacing w:val="-4"/>
          <w:sz w:val="24"/>
        </w:rPr>
        <w:t xml:space="preserve"> </w:t>
      </w:r>
      <w:r>
        <w:rPr>
          <w:sz w:val="24"/>
        </w:rPr>
        <w:t>sus</w:t>
      </w:r>
      <w:r>
        <w:rPr>
          <w:spacing w:val="-6"/>
          <w:sz w:val="24"/>
        </w:rPr>
        <w:t xml:space="preserve"> </w:t>
      </w:r>
      <w:r>
        <w:rPr>
          <w:sz w:val="24"/>
        </w:rPr>
        <w:t>derechos</w:t>
      </w:r>
      <w:r>
        <w:rPr>
          <w:spacing w:val="-6"/>
          <w:sz w:val="24"/>
        </w:rPr>
        <w:t xml:space="preserve"> </w:t>
      </w:r>
      <w:r>
        <w:rPr>
          <w:sz w:val="24"/>
        </w:rPr>
        <w:t>y</w:t>
      </w:r>
      <w:r>
        <w:rPr>
          <w:spacing w:val="-6"/>
          <w:sz w:val="24"/>
        </w:rPr>
        <w:t xml:space="preserve"> </w:t>
      </w:r>
      <w:r>
        <w:rPr>
          <w:sz w:val="24"/>
        </w:rPr>
        <w:t>resalta</w:t>
      </w:r>
      <w:r>
        <w:rPr>
          <w:spacing w:val="-5"/>
          <w:sz w:val="24"/>
        </w:rPr>
        <w:t xml:space="preserve"> </w:t>
      </w:r>
      <w:r>
        <w:rPr>
          <w:sz w:val="24"/>
        </w:rPr>
        <w:t>que</w:t>
      </w:r>
      <w:r>
        <w:rPr>
          <w:spacing w:val="-4"/>
          <w:sz w:val="24"/>
        </w:rPr>
        <w:t xml:space="preserve"> </w:t>
      </w:r>
      <w:r>
        <w:rPr>
          <w:sz w:val="24"/>
        </w:rPr>
        <w:t>“</w:t>
      </w:r>
      <w:r>
        <w:rPr>
          <w:i/>
          <w:sz w:val="24"/>
        </w:rPr>
        <w:t>los</w:t>
      </w:r>
      <w:r>
        <w:rPr>
          <w:i/>
          <w:spacing w:val="-6"/>
          <w:sz w:val="24"/>
        </w:rPr>
        <w:t xml:space="preserve"> </w:t>
      </w:r>
      <w:r>
        <w:rPr>
          <w:i/>
          <w:sz w:val="24"/>
        </w:rPr>
        <w:t>adultos</w:t>
      </w:r>
      <w:r>
        <w:rPr>
          <w:i/>
          <w:spacing w:val="-6"/>
          <w:sz w:val="24"/>
        </w:rPr>
        <w:t xml:space="preserve"> </w:t>
      </w:r>
      <w:r>
        <w:rPr>
          <w:i/>
          <w:sz w:val="24"/>
        </w:rPr>
        <w:t>mayores</w:t>
      </w:r>
      <w:r>
        <w:rPr>
          <w:i/>
          <w:spacing w:val="-6"/>
          <w:sz w:val="24"/>
        </w:rPr>
        <w:t xml:space="preserve"> </w:t>
      </w:r>
      <w:r>
        <w:rPr>
          <w:i/>
          <w:sz w:val="24"/>
        </w:rPr>
        <w:t>no</w:t>
      </w:r>
      <w:r>
        <w:rPr>
          <w:i/>
          <w:spacing w:val="-5"/>
          <w:sz w:val="24"/>
        </w:rPr>
        <w:t xml:space="preserve"> </w:t>
      </w:r>
      <w:r>
        <w:rPr>
          <w:i/>
          <w:sz w:val="24"/>
        </w:rPr>
        <w:t>pueden</w:t>
      </w:r>
      <w:r>
        <w:rPr>
          <w:i/>
          <w:spacing w:val="-6"/>
          <w:sz w:val="24"/>
        </w:rPr>
        <w:t xml:space="preserve"> </w:t>
      </w:r>
      <w:r>
        <w:rPr>
          <w:i/>
          <w:sz w:val="24"/>
        </w:rPr>
        <w:t xml:space="preserve">ser discriminados ni marginados </w:t>
      </w:r>
      <w:proofErr w:type="gramStart"/>
      <w:r>
        <w:rPr>
          <w:i/>
          <w:sz w:val="24"/>
        </w:rPr>
        <w:t>en razón de</w:t>
      </w:r>
      <w:proofErr w:type="gramEnd"/>
      <w:r>
        <w:rPr>
          <w:i/>
          <w:sz w:val="24"/>
        </w:rPr>
        <w:t xml:space="preserve"> su edad, pues además de transgredir sus derechos fundamentales, se priva a la sociedad de contar con su experiencia de manera enriquecedora”.</w:t>
      </w:r>
    </w:p>
    <w:p w14:paraId="11F60141" w14:textId="77777777" w:rsidR="000E52B0" w:rsidRDefault="00F60D74">
      <w:pPr>
        <w:spacing w:before="159"/>
        <w:ind w:left="720" w:right="714"/>
        <w:jc w:val="both"/>
        <w:rPr>
          <w:sz w:val="24"/>
        </w:rPr>
      </w:pPr>
      <w:r>
        <w:rPr>
          <w:sz w:val="24"/>
        </w:rPr>
        <w:t>Por otra parte,</w:t>
      </w:r>
      <w:r>
        <w:rPr>
          <w:spacing w:val="40"/>
          <w:sz w:val="24"/>
        </w:rPr>
        <w:t xml:space="preserve"> </w:t>
      </w:r>
      <w:r>
        <w:rPr>
          <w:sz w:val="24"/>
        </w:rPr>
        <w:t>el Consejo de Estado se ha pronunciado frente a las personas</w:t>
      </w:r>
      <w:r>
        <w:rPr>
          <w:spacing w:val="-11"/>
          <w:sz w:val="24"/>
        </w:rPr>
        <w:t xml:space="preserve"> </w:t>
      </w:r>
      <w:r>
        <w:rPr>
          <w:sz w:val="24"/>
        </w:rPr>
        <w:t>de</w:t>
      </w:r>
      <w:r>
        <w:rPr>
          <w:spacing w:val="-9"/>
          <w:sz w:val="24"/>
        </w:rPr>
        <w:t xml:space="preserve"> </w:t>
      </w:r>
      <w:r>
        <w:rPr>
          <w:sz w:val="24"/>
        </w:rPr>
        <w:t>la</w:t>
      </w:r>
      <w:r>
        <w:rPr>
          <w:spacing w:val="-11"/>
          <w:sz w:val="24"/>
        </w:rPr>
        <w:t xml:space="preserve"> </w:t>
      </w:r>
      <w:r>
        <w:rPr>
          <w:sz w:val="24"/>
        </w:rPr>
        <w:t>tercera</w:t>
      </w:r>
      <w:r>
        <w:rPr>
          <w:spacing w:val="-9"/>
          <w:sz w:val="24"/>
        </w:rPr>
        <w:t xml:space="preserve"> </w:t>
      </w:r>
      <w:r>
        <w:rPr>
          <w:sz w:val="24"/>
        </w:rPr>
        <w:t>edad</w:t>
      </w:r>
      <w:r>
        <w:rPr>
          <w:spacing w:val="-11"/>
          <w:sz w:val="24"/>
        </w:rPr>
        <w:t xml:space="preserve"> </w:t>
      </w:r>
      <w:r>
        <w:rPr>
          <w:sz w:val="24"/>
        </w:rPr>
        <w:t>como</w:t>
      </w:r>
      <w:r>
        <w:rPr>
          <w:spacing w:val="-10"/>
          <w:sz w:val="24"/>
        </w:rPr>
        <w:t xml:space="preserve"> </w:t>
      </w:r>
      <w:r>
        <w:rPr>
          <w:sz w:val="24"/>
        </w:rPr>
        <w:t>sujetos</w:t>
      </w:r>
      <w:r>
        <w:rPr>
          <w:spacing w:val="-10"/>
          <w:sz w:val="24"/>
        </w:rPr>
        <w:t xml:space="preserve"> </w:t>
      </w:r>
      <w:r>
        <w:rPr>
          <w:sz w:val="24"/>
        </w:rPr>
        <w:t>de</w:t>
      </w:r>
      <w:r>
        <w:rPr>
          <w:spacing w:val="-9"/>
          <w:sz w:val="24"/>
        </w:rPr>
        <w:t xml:space="preserve"> </w:t>
      </w:r>
      <w:r>
        <w:rPr>
          <w:sz w:val="24"/>
        </w:rPr>
        <w:t>especial</w:t>
      </w:r>
      <w:r>
        <w:rPr>
          <w:spacing w:val="-11"/>
          <w:sz w:val="24"/>
        </w:rPr>
        <w:t xml:space="preserve"> </w:t>
      </w:r>
      <w:r>
        <w:rPr>
          <w:sz w:val="24"/>
        </w:rPr>
        <w:t>protección</w:t>
      </w:r>
      <w:r>
        <w:rPr>
          <w:spacing w:val="-11"/>
          <w:sz w:val="24"/>
        </w:rPr>
        <w:t xml:space="preserve"> </w:t>
      </w:r>
      <w:r>
        <w:rPr>
          <w:sz w:val="24"/>
        </w:rPr>
        <w:t>y</w:t>
      </w:r>
      <w:r>
        <w:rPr>
          <w:spacing w:val="-10"/>
          <w:sz w:val="24"/>
        </w:rPr>
        <w:t xml:space="preserve"> </w:t>
      </w:r>
      <w:r>
        <w:rPr>
          <w:sz w:val="24"/>
        </w:rPr>
        <w:t xml:space="preserve">advierte que </w:t>
      </w:r>
      <w:r>
        <w:rPr>
          <w:i/>
          <w:sz w:val="24"/>
        </w:rPr>
        <w:t xml:space="preserve">“es claro que aun cuando existe un especial deber de solidaridad en cabeza de la sociedad y la familia para con los adultos mayores, lo cierto es que el Estado, a través de sus órganos e instituciones, es el primero llamado a cuidar de la vejez, en tanto desde la carta política se le ha asignado dicha carga, por lo que es necesario que cree y promueva políticas, mecanismo y acciones que permitan el correcto cuidado, protección e integración del adulto mayor en la esfera social.” </w:t>
      </w:r>
      <w:r>
        <w:rPr>
          <w:sz w:val="24"/>
        </w:rPr>
        <w:t xml:space="preserve">Destaca además que” resulta </w:t>
      </w:r>
      <w:r>
        <w:rPr>
          <w:i/>
          <w:sz w:val="24"/>
        </w:rPr>
        <w:t>indispensable que el Estado asuma las medidas necesarias para proteger a este grupo frente a las omisiones o acciones que puedan generar violación de sus derechos o que puedan menoscabar su integridad física, mental, emocional o moral</w:t>
      </w:r>
      <w:r>
        <w:rPr>
          <w:b/>
          <w:sz w:val="24"/>
        </w:rPr>
        <w:t xml:space="preserve">.” </w:t>
      </w:r>
      <w:r>
        <w:rPr>
          <w:sz w:val="24"/>
        </w:rPr>
        <w:t>(NR- 17001-23-33-000- 2019-00456-01 (5351-2022) del 23 de marzo de 2023)</w:t>
      </w:r>
    </w:p>
    <w:p w14:paraId="259AC2DA" w14:textId="77777777" w:rsidR="000E52B0" w:rsidRDefault="00F60D74">
      <w:pPr>
        <w:pStyle w:val="Textoindependiente"/>
        <w:spacing w:before="161"/>
        <w:ind w:right="716"/>
        <w:jc w:val="both"/>
      </w:pPr>
      <w:r>
        <w:t>En este sentido, se hace necesario</w:t>
      </w:r>
      <w:r>
        <w:rPr>
          <w:spacing w:val="40"/>
        </w:rPr>
        <w:t xml:space="preserve"> </w:t>
      </w:r>
      <w:r>
        <w:t>que, desde la Dirección para Personas Mayores del Ministerio de la Igualdad y Equidad, se ponga en marcha una política pública orientada a promover el bienestar y la protección de las personas mayores, reconociendo y garantizando sus derechos y su inclusión social, a través de acciones dirigidas fomentar el cuidado de las Personas</w:t>
      </w:r>
      <w:r>
        <w:rPr>
          <w:spacing w:val="-5"/>
        </w:rPr>
        <w:t xml:space="preserve"> </w:t>
      </w:r>
      <w:r>
        <w:t>Mayores</w:t>
      </w:r>
      <w:r>
        <w:rPr>
          <w:spacing w:val="-4"/>
        </w:rPr>
        <w:t xml:space="preserve"> </w:t>
      </w:r>
      <w:r>
        <w:t>y</w:t>
      </w:r>
      <w:r>
        <w:rPr>
          <w:spacing w:val="-6"/>
        </w:rPr>
        <w:t xml:space="preserve"> </w:t>
      </w:r>
      <w:r>
        <w:t>sus</w:t>
      </w:r>
      <w:r>
        <w:rPr>
          <w:spacing w:val="-4"/>
        </w:rPr>
        <w:t xml:space="preserve"> </w:t>
      </w:r>
      <w:r>
        <w:t>entornos</w:t>
      </w:r>
      <w:r>
        <w:rPr>
          <w:spacing w:val="-4"/>
        </w:rPr>
        <w:t xml:space="preserve"> </w:t>
      </w:r>
      <w:r>
        <w:t>en</w:t>
      </w:r>
      <w:r>
        <w:rPr>
          <w:spacing w:val="-4"/>
        </w:rPr>
        <w:t xml:space="preserve"> </w:t>
      </w:r>
      <w:r>
        <w:t>articulación</w:t>
      </w:r>
      <w:r>
        <w:rPr>
          <w:spacing w:val="-4"/>
        </w:rPr>
        <w:t xml:space="preserve"> </w:t>
      </w:r>
      <w:r>
        <w:t>con</w:t>
      </w:r>
      <w:r>
        <w:rPr>
          <w:spacing w:val="-4"/>
        </w:rPr>
        <w:t xml:space="preserve"> </w:t>
      </w:r>
      <w:r>
        <w:t>el</w:t>
      </w:r>
      <w:r>
        <w:rPr>
          <w:spacing w:val="-5"/>
        </w:rPr>
        <w:t xml:space="preserve"> </w:t>
      </w:r>
      <w:r>
        <w:t>Programa</w:t>
      </w:r>
      <w:r>
        <w:rPr>
          <w:spacing w:val="-4"/>
        </w:rPr>
        <w:t xml:space="preserve"> </w:t>
      </w:r>
      <w:r>
        <w:t>Nacional de</w:t>
      </w:r>
      <w:r>
        <w:rPr>
          <w:spacing w:val="19"/>
        </w:rPr>
        <w:t xml:space="preserve"> </w:t>
      </w:r>
      <w:r>
        <w:t>Cuidado</w:t>
      </w:r>
      <w:r>
        <w:rPr>
          <w:spacing w:val="20"/>
        </w:rPr>
        <w:t xml:space="preserve"> </w:t>
      </w:r>
      <w:r>
        <w:t>y</w:t>
      </w:r>
      <w:r>
        <w:rPr>
          <w:spacing w:val="19"/>
        </w:rPr>
        <w:t xml:space="preserve"> </w:t>
      </w:r>
      <w:r>
        <w:t>alianzas</w:t>
      </w:r>
      <w:r>
        <w:rPr>
          <w:spacing w:val="19"/>
        </w:rPr>
        <w:t xml:space="preserve"> </w:t>
      </w:r>
      <w:r>
        <w:t>institucionales,</w:t>
      </w:r>
      <w:r>
        <w:rPr>
          <w:spacing w:val="21"/>
        </w:rPr>
        <w:t xml:space="preserve"> </w:t>
      </w:r>
      <w:r>
        <w:t>sociales,</w:t>
      </w:r>
      <w:r>
        <w:rPr>
          <w:spacing w:val="18"/>
        </w:rPr>
        <w:t xml:space="preserve"> </w:t>
      </w:r>
      <w:r>
        <w:t>comunitarias</w:t>
      </w:r>
      <w:r>
        <w:rPr>
          <w:spacing w:val="19"/>
        </w:rPr>
        <w:t xml:space="preserve"> </w:t>
      </w:r>
      <w:r>
        <w:t>y</w:t>
      </w:r>
      <w:r>
        <w:rPr>
          <w:spacing w:val="20"/>
        </w:rPr>
        <w:t xml:space="preserve">  </w:t>
      </w:r>
      <w:r>
        <w:t>la</w:t>
      </w:r>
      <w:r>
        <w:rPr>
          <w:spacing w:val="21"/>
        </w:rPr>
        <w:t xml:space="preserve"> </w:t>
      </w:r>
      <w:r>
        <w:rPr>
          <w:spacing w:val="-2"/>
        </w:rPr>
        <w:t>Política</w:t>
      </w:r>
    </w:p>
    <w:p w14:paraId="3D31ED6D" w14:textId="77777777" w:rsidR="000E52B0" w:rsidRDefault="000E52B0">
      <w:pPr>
        <w:pStyle w:val="Textoindependiente"/>
        <w:jc w:val="both"/>
        <w:sectPr w:rsidR="000E52B0">
          <w:pgSz w:w="11910" w:h="16840"/>
          <w:pgMar w:top="1340" w:right="720" w:bottom="1180" w:left="720" w:header="0" w:footer="995" w:gutter="0"/>
          <w:cols w:space="720"/>
        </w:sectPr>
      </w:pPr>
    </w:p>
    <w:p w14:paraId="3F6E4C55" w14:textId="77777777" w:rsidR="000E52B0" w:rsidRDefault="00F60D74">
      <w:pPr>
        <w:pStyle w:val="Textoindependiente"/>
        <w:spacing w:before="83"/>
        <w:ind w:right="722"/>
        <w:jc w:val="both"/>
      </w:pPr>
      <w:r>
        <w:lastRenderedPageBreak/>
        <w:t>Pública Nacional de Envejecimiento; acciones que permitan fortalecer la participación de las Personas Mayores en las diferentes instancias de decisión; y acciones que promuevan el reconocimiento de las personas mayores por sus saberes y conocimientos.</w:t>
      </w:r>
    </w:p>
    <w:p w14:paraId="05733BA3" w14:textId="77777777" w:rsidR="000E52B0" w:rsidRDefault="00F60D74">
      <w:pPr>
        <w:pStyle w:val="Textoindependiente"/>
        <w:spacing w:before="290"/>
      </w:pPr>
      <w:bookmarkStart w:id="191" w:name="_bookmark191"/>
      <w:bookmarkEnd w:id="191"/>
      <w:r>
        <w:rPr>
          <w:color w:val="770F47"/>
          <w:spacing w:val="-2"/>
        </w:rPr>
        <w:t>Familias</w:t>
      </w:r>
    </w:p>
    <w:p w14:paraId="30C39F21" w14:textId="77777777" w:rsidR="000E52B0" w:rsidRDefault="000E52B0">
      <w:pPr>
        <w:pStyle w:val="Textoindependiente"/>
        <w:ind w:left="0"/>
      </w:pPr>
    </w:p>
    <w:p w14:paraId="5BBC7055" w14:textId="77777777" w:rsidR="000E52B0" w:rsidRDefault="00F60D74">
      <w:pPr>
        <w:pStyle w:val="Textoindependiente"/>
        <w:ind w:right="718"/>
        <w:jc w:val="both"/>
      </w:pPr>
      <w:r>
        <w:t>La</w:t>
      </w:r>
      <w:r>
        <w:rPr>
          <w:spacing w:val="-11"/>
        </w:rPr>
        <w:t xml:space="preserve"> </w:t>
      </w:r>
      <w:r>
        <w:t>desigualdad</w:t>
      </w:r>
      <w:r>
        <w:rPr>
          <w:spacing w:val="-12"/>
        </w:rPr>
        <w:t xml:space="preserve"> </w:t>
      </w:r>
      <w:r>
        <w:t>revela</w:t>
      </w:r>
      <w:r>
        <w:rPr>
          <w:spacing w:val="-11"/>
        </w:rPr>
        <w:t xml:space="preserve"> </w:t>
      </w:r>
      <w:r>
        <w:t>la</w:t>
      </w:r>
      <w:r>
        <w:rPr>
          <w:spacing w:val="-11"/>
        </w:rPr>
        <w:t xml:space="preserve"> </w:t>
      </w:r>
      <w:r>
        <w:t>vulnerabilidad</w:t>
      </w:r>
      <w:r>
        <w:rPr>
          <w:spacing w:val="-9"/>
        </w:rPr>
        <w:t xml:space="preserve"> </w:t>
      </w:r>
      <w:r>
        <w:t>de</w:t>
      </w:r>
      <w:r>
        <w:rPr>
          <w:spacing w:val="-10"/>
        </w:rPr>
        <w:t xml:space="preserve"> </w:t>
      </w:r>
      <w:r>
        <w:t>grupos</w:t>
      </w:r>
      <w:r>
        <w:rPr>
          <w:spacing w:val="-11"/>
        </w:rPr>
        <w:t xml:space="preserve"> </w:t>
      </w:r>
      <w:r>
        <w:t>poblacionales</w:t>
      </w:r>
      <w:r>
        <w:rPr>
          <w:spacing w:val="-5"/>
        </w:rPr>
        <w:t xml:space="preserve"> </w:t>
      </w:r>
      <w:r>
        <w:t>específicos que no tienen pleno acceso a derechos fundamentales como el trabajo, la educación</w:t>
      </w:r>
      <w:r>
        <w:rPr>
          <w:spacing w:val="-2"/>
        </w:rPr>
        <w:t xml:space="preserve"> </w:t>
      </w:r>
      <w:r>
        <w:t>y</w:t>
      </w:r>
      <w:r>
        <w:rPr>
          <w:spacing w:val="-2"/>
        </w:rPr>
        <w:t xml:space="preserve"> </w:t>
      </w:r>
      <w:r>
        <w:t>la</w:t>
      </w:r>
      <w:r>
        <w:rPr>
          <w:spacing w:val="-2"/>
        </w:rPr>
        <w:t xml:space="preserve"> </w:t>
      </w:r>
      <w:r>
        <w:t>salud.</w:t>
      </w:r>
      <w:r>
        <w:rPr>
          <w:spacing w:val="-3"/>
        </w:rPr>
        <w:t xml:space="preserve"> </w:t>
      </w:r>
      <w:r>
        <w:t>Esta</w:t>
      </w:r>
      <w:r>
        <w:rPr>
          <w:spacing w:val="-2"/>
        </w:rPr>
        <w:t xml:space="preserve"> </w:t>
      </w:r>
      <w:r>
        <w:t>falta</w:t>
      </w:r>
      <w:r>
        <w:rPr>
          <w:spacing w:val="-2"/>
        </w:rPr>
        <w:t xml:space="preserve"> </w:t>
      </w:r>
      <w:r>
        <w:t>de</w:t>
      </w:r>
      <w:r>
        <w:rPr>
          <w:spacing w:val="-1"/>
        </w:rPr>
        <w:t xml:space="preserve"> </w:t>
      </w:r>
      <w:r>
        <w:t>acceso</w:t>
      </w:r>
      <w:r>
        <w:rPr>
          <w:spacing w:val="-1"/>
        </w:rPr>
        <w:t xml:space="preserve"> </w:t>
      </w:r>
      <w:r>
        <w:t>no</w:t>
      </w:r>
      <w:r>
        <w:rPr>
          <w:spacing w:val="-1"/>
        </w:rPr>
        <w:t xml:space="preserve"> </w:t>
      </w:r>
      <w:r>
        <w:t>solo</w:t>
      </w:r>
      <w:r>
        <w:rPr>
          <w:spacing w:val="-1"/>
        </w:rPr>
        <w:t xml:space="preserve"> </w:t>
      </w:r>
      <w:r>
        <w:t>limita</w:t>
      </w:r>
      <w:r>
        <w:rPr>
          <w:spacing w:val="-2"/>
        </w:rPr>
        <w:t xml:space="preserve"> </w:t>
      </w:r>
      <w:r>
        <w:t>sus oportunidades de desarrollo, sino que también compromete su bienestar general. La imposibilidad</w:t>
      </w:r>
      <w:r>
        <w:rPr>
          <w:spacing w:val="-18"/>
        </w:rPr>
        <w:t xml:space="preserve"> </w:t>
      </w:r>
      <w:r>
        <w:t>de</w:t>
      </w:r>
      <w:r>
        <w:rPr>
          <w:spacing w:val="-17"/>
        </w:rPr>
        <w:t xml:space="preserve"> </w:t>
      </w:r>
      <w:r>
        <w:t>disfrutar</w:t>
      </w:r>
      <w:r>
        <w:rPr>
          <w:spacing w:val="-17"/>
        </w:rPr>
        <w:t xml:space="preserve"> </w:t>
      </w:r>
      <w:r>
        <w:t>de</w:t>
      </w:r>
      <w:r>
        <w:rPr>
          <w:spacing w:val="-17"/>
        </w:rPr>
        <w:t xml:space="preserve"> </w:t>
      </w:r>
      <w:r>
        <w:t>estos</w:t>
      </w:r>
      <w:r>
        <w:rPr>
          <w:spacing w:val="-17"/>
        </w:rPr>
        <w:t xml:space="preserve"> </w:t>
      </w:r>
      <w:r>
        <w:t>derechos</w:t>
      </w:r>
      <w:r>
        <w:rPr>
          <w:spacing w:val="-17"/>
        </w:rPr>
        <w:t xml:space="preserve"> </w:t>
      </w:r>
      <w:r>
        <w:t>básicos</w:t>
      </w:r>
      <w:r>
        <w:rPr>
          <w:spacing w:val="-17"/>
        </w:rPr>
        <w:t xml:space="preserve"> </w:t>
      </w:r>
      <w:r>
        <w:t>afecta</w:t>
      </w:r>
      <w:r>
        <w:rPr>
          <w:spacing w:val="-17"/>
        </w:rPr>
        <w:t xml:space="preserve"> </w:t>
      </w:r>
      <w:r>
        <w:t>directamente</w:t>
      </w:r>
      <w:r>
        <w:rPr>
          <w:spacing w:val="-17"/>
        </w:rPr>
        <w:t xml:space="preserve"> </w:t>
      </w:r>
      <w:r>
        <w:t xml:space="preserve">su calidad de vida y su capacidad para alcanzar un desarrollo integral y </w:t>
      </w:r>
      <w:r>
        <w:rPr>
          <w:spacing w:val="-2"/>
        </w:rPr>
        <w:t>satisfactorio.</w:t>
      </w:r>
    </w:p>
    <w:p w14:paraId="672E4152" w14:textId="77777777" w:rsidR="000E52B0" w:rsidRDefault="000E52B0">
      <w:pPr>
        <w:pStyle w:val="Textoindependiente"/>
        <w:spacing w:before="2"/>
        <w:ind w:left="0"/>
      </w:pPr>
    </w:p>
    <w:p w14:paraId="748CDBD3" w14:textId="77777777" w:rsidR="000E52B0" w:rsidRDefault="00F60D74">
      <w:pPr>
        <w:pStyle w:val="Textoindependiente"/>
        <w:ind w:right="717"/>
        <w:jc w:val="both"/>
      </w:pPr>
      <w:r>
        <w:t>Además, cuando la desigualdad se vincula con la pobreza, el riesgo para las familias marginadas aumenta significativamente. La pobreza exacerba las dificultades en el acceso a servicios esenciales y pone en peligro la supervivencia misma de las personas afectadas. En este contexto, la desigualdad no solo perpetúa las brechas sociales y económicas, sino que también agrava las condiciones de vida de las personas más desfavorecidas,</w:t>
      </w:r>
      <w:r>
        <w:rPr>
          <w:spacing w:val="-22"/>
        </w:rPr>
        <w:t xml:space="preserve"> </w:t>
      </w:r>
      <w:r>
        <w:t>aumentando</w:t>
      </w:r>
      <w:r>
        <w:rPr>
          <w:spacing w:val="-21"/>
        </w:rPr>
        <w:t xml:space="preserve"> </w:t>
      </w:r>
      <w:r>
        <w:t>su</w:t>
      </w:r>
      <w:r>
        <w:rPr>
          <w:spacing w:val="-21"/>
        </w:rPr>
        <w:t xml:space="preserve"> </w:t>
      </w:r>
      <w:r>
        <w:t>vulnerabilidad</w:t>
      </w:r>
      <w:r>
        <w:rPr>
          <w:spacing w:val="-21"/>
        </w:rPr>
        <w:t xml:space="preserve"> </w:t>
      </w:r>
      <w:r>
        <w:t>y</w:t>
      </w:r>
      <w:r>
        <w:rPr>
          <w:spacing w:val="-21"/>
        </w:rPr>
        <w:t xml:space="preserve"> </w:t>
      </w:r>
      <w:r>
        <w:t>limitando</w:t>
      </w:r>
      <w:r>
        <w:rPr>
          <w:spacing w:val="-21"/>
        </w:rPr>
        <w:t xml:space="preserve"> </w:t>
      </w:r>
      <w:r>
        <w:t>sus</w:t>
      </w:r>
      <w:r>
        <w:rPr>
          <w:spacing w:val="-21"/>
        </w:rPr>
        <w:t xml:space="preserve"> </w:t>
      </w:r>
      <w:r>
        <w:t>posibilidades de mejorar su situación.</w:t>
      </w:r>
    </w:p>
    <w:p w14:paraId="5ADA2337" w14:textId="77777777" w:rsidR="000E52B0" w:rsidRDefault="00F60D74">
      <w:pPr>
        <w:pStyle w:val="Textoindependiente"/>
        <w:spacing w:before="290"/>
        <w:ind w:right="721"/>
        <w:jc w:val="both"/>
      </w:pPr>
      <w:r>
        <w:t>La</w:t>
      </w:r>
      <w:r>
        <w:rPr>
          <w:spacing w:val="-22"/>
        </w:rPr>
        <w:t xml:space="preserve"> </w:t>
      </w:r>
      <w:r>
        <w:t>Corte</w:t>
      </w:r>
      <w:r>
        <w:rPr>
          <w:spacing w:val="-20"/>
        </w:rPr>
        <w:t xml:space="preserve"> </w:t>
      </w:r>
      <w:r>
        <w:t>Constitucional</w:t>
      </w:r>
      <w:r>
        <w:rPr>
          <w:spacing w:val="-21"/>
        </w:rPr>
        <w:t xml:space="preserve"> </w:t>
      </w:r>
      <w:r>
        <w:t>se</w:t>
      </w:r>
      <w:r>
        <w:rPr>
          <w:spacing w:val="-21"/>
        </w:rPr>
        <w:t xml:space="preserve"> </w:t>
      </w:r>
      <w:r>
        <w:t>ha</w:t>
      </w:r>
      <w:r>
        <w:rPr>
          <w:spacing w:val="-20"/>
        </w:rPr>
        <w:t xml:space="preserve"> </w:t>
      </w:r>
      <w:r>
        <w:t>pronunciado</w:t>
      </w:r>
      <w:r>
        <w:rPr>
          <w:spacing w:val="-21"/>
        </w:rPr>
        <w:t xml:space="preserve"> </w:t>
      </w:r>
      <w:r>
        <w:t>constantemente</w:t>
      </w:r>
      <w:r>
        <w:rPr>
          <w:spacing w:val="-18"/>
        </w:rPr>
        <w:t xml:space="preserve"> </w:t>
      </w:r>
      <w:r>
        <w:t>que</w:t>
      </w:r>
      <w:r>
        <w:rPr>
          <w:spacing w:val="-21"/>
        </w:rPr>
        <w:t xml:space="preserve"> </w:t>
      </w:r>
      <w:r>
        <w:t>las</w:t>
      </w:r>
      <w:r>
        <w:rPr>
          <w:spacing w:val="-20"/>
        </w:rPr>
        <w:t xml:space="preserve"> </w:t>
      </w:r>
      <w:r>
        <w:t>barreras estructurales</w:t>
      </w:r>
      <w:r>
        <w:rPr>
          <w:spacing w:val="-13"/>
        </w:rPr>
        <w:t xml:space="preserve"> </w:t>
      </w:r>
      <w:r>
        <w:t>y</w:t>
      </w:r>
      <w:r>
        <w:rPr>
          <w:spacing w:val="-11"/>
        </w:rPr>
        <w:t xml:space="preserve"> </w:t>
      </w:r>
      <w:r>
        <w:t>la</w:t>
      </w:r>
      <w:r>
        <w:rPr>
          <w:spacing w:val="-11"/>
        </w:rPr>
        <w:t xml:space="preserve"> </w:t>
      </w:r>
      <w:r>
        <w:t>falta</w:t>
      </w:r>
      <w:r>
        <w:rPr>
          <w:spacing w:val="-13"/>
        </w:rPr>
        <w:t xml:space="preserve"> </w:t>
      </w:r>
      <w:r>
        <w:t>de</w:t>
      </w:r>
      <w:r>
        <w:rPr>
          <w:spacing w:val="-12"/>
        </w:rPr>
        <w:t xml:space="preserve"> </w:t>
      </w:r>
      <w:r>
        <w:t>acceso</w:t>
      </w:r>
      <w:r>
        <w:rPr>
          <w:spacing w:val="-12"/>
        </w:rPr>
        <w:t xml:space="preserve"> </w:t>
      </w:r>
      <w:r>
        <w:t>a</w:t>
      </w:r>
      <w:r>
        <w:rPr>
          <w:spacing w:val="-13"/>
        </w:rPr>
        <w:t xml:space="preserve"> </w:t>
      </w:r>
      <w:r>
        <w:t>servicios</w:t>
      </w:r>
      <w:r>
        <w:rPr>
          <w:spacing w:val="-13"/>
        </w:rPr>
        <w:t xml:space="preserve"> </w:t>
      </w:r>
      <w:r>
        <w:t>básicos</w:t>
      </w:r>
      <w:r>
        <w:rPr>
          <w:spacing w:val="-13"/>
        </w:rPr>
        <w:t xml:space="preserve"> </w:t>
      </w:r>
      <w:r>
        <w:t>como</w:t>
      </w:r>
      <w:r>
        <w:rPr>
          <w:spacing w:val="-12"/>
        </w:rPr>
        <w:t xml:space="preserve"> </w:t>
      </w:r>
      <w:r>
        <w:t>educación,</w:t>
      </w:r>
      <w:r>
        <w:rPr>
          <w:spacing w:val="-13"/>
        </w:rPr>
        <w:t xml:space="preserve"> </w:t>
      </w:r>
      <w:r>
        <w:t>salud y vivienda adecuada perpetúan la marginalidad y la exclusión. En la sentencia C-284 de 2009, el alto tribunal abordó el acceso limitado de las poblaciones marginadas a servicios esenciales, resaltando que el Estado tiene</w:t>
      </w:r>
      <w:r>
        <w:rPr>
          <w:spacing w:val="-2"/>
        </w:rPr>
        <w:t xml:space="preserve"> </w:t>
      </w:r>
      <w:r>
        <w:t>la</w:t>
      </w:r>
      <w:r>
        <w:rPr>
          <w:spacing w:val="-3"/>
        </w:rPr>
        <w:t xml:space="preserve"> </w:t>
      </w:r>
      <w:r>
        <w:t>obligación</w:t>
      </w:r>
      <w:r>
        <w:rPr>
          <w:spacing w:val="-1"/>
        </w:rPr>
        <w:t xml:space="preserve"> </w:t>
      </w:r>
      <w:r>
        <w:t>de</w:t>
      </w:r>
      <w:r>
        <w:rPr>
          <w:spacing w:val="-2"/>
        </w:rPr>
        <w:t xml:space="preserve"> </w:t>
      </w:r>
      <w:r>
        <w:t>garantizar</w:t>
      </w:r>
      <w:r>
        <w:rPr>
          <w:spacing w:val="-2"/>
        </w:rPr>
        <w:t xml:space="preserve"> </w:t>
      </w:r>
      <w:r>
        <w:t>el</w:t>
      </w:r>
      <w:r>
        <w:rPr>
          <w:spacing w:val="-4"/>
        </w:rPr>
        <w:t xml:space="preserve"> </w:t>
      </w:r>
      <w:r>
        <w:t>cumplimiento de</w:t>
      </w:r>
      <w:r>
        <w:rPr>
          <w:spacing w:val="-2"/>
        </w:rPr>
        <w:t xml:space="preserve"> </w:t>
      </w:r>
      <w:r>
        <w:t>derechos</w:t>
      </w:r>
      <w:r>
        <w:rPr>
          <w:spacing w:val="-3"/>
        </w:rPr>
        <w:t xml:space="preserve"> </w:t>
      </w:r>
      <w:r>
        <w:t>económicos, sociales y culturales. Esta sentencia refuerza la necesidad de políticas públicas que aborden las brechas de desigualdad y mejoren el acceso a servicios básicos para las familias más desfavorecidas.</w:t>
      </w:r>
    </w:p>
    <w:p w14:paraId="7D85CEAB" w14:textId="77777777" w:rsidR="000E52B0" w:rsidRDefault="00F60D74">
      <w:pPr>
        <w:pStyle w:val="Textoindependiente"/>
        <w:spacing w:before="162"/>
        <w:ind w:right="718"/>
        <w:jc w:val="both"/>
      </w:pPr>
      <w:r>
        <w:t>La</w:t>
      </w:r>
      <w:r>
        <w:rPr>
          <w:spacing w:val="-11"/>
        </w:rPr>
        <w:t xml:space="preserve"> </w:t>
      </w:r>
      <w:r>
        <w:t>C-577</w:t>
      </w:r>
      <w:r>
        <w:rPr>
          <w:spacing w:val="-12"/>
        </w:rPr>
        <w:t xml:space="preserve"> </w:t>
      </w:r>
      <w:r>
        <w:t>de</w:t>
      </w:r>
      <w:r>
        <w:rPr>
          <w:spacing w:val="-10"/>
        </w:rPr>
        <w:t xml:space="preserve"> </w:t>
      </w:r>
      <w:r>
        <w:t>2010,</w:t>
      </w:r>
      <w:r>
        <w:rPr>
          <w:spacing w:val="-12"/>
        </w:rPr>
        <w:t xml:space="preserve"> </w:t>
      </w:r>
      <w:r>
        <w:t>en</w:t>
      </w:r>
      <w:r>
        <w:rPr>
          <w:spacing w:val="-12"/>
        </w:rPr>
        <w:t xml:space="preserve"> </w:t>
      </w:r>
      <w:r>
        <w:t>la</w:t>
      </w:r>
      <w:r>
        <w:rPr>
          <w:spacing w:val="-12"/>
        </w:rPr>
        <w:t xml:space="preserve"> </w:t>
      </w:r>
      <w:r>
        <w:t>cual</w:t>
      </w:r>
      <w:r>
        <w:rPr>
          <w:spacing w:val="-10"/>
        </w:rPr>
        <w:t xml:space="preserve"> </w:t>
      </w:r>
      <w:r>
        <w:t>la</w:t>
      </w:r>
      <w:r>
        <w:rPr>
          <w:spacing w:val="-12"/>
        </w:rPr>
        <w:t xml:space="preserve"> </w:t>
      </w:r>
      <w:r>
        <w:t>Corte</w:t>
      </w:r>
      <w:r>
        <w:rPr>
          <w:spacing w:val="-10"/>
        </w:rPr>
        <w:t xml:space="preserve"> </w:t>
      </w:r>
      <w:r>
        <w:t>Constitucional</w:t>
      </w:r>
      <w:r>
        <w:rPr>
          <w:spacing w:val="-12"/>
        </w:rPr>
        <w:t xml:space="preserve"> </w:t>
      </w:r>
      <w:r>
        <w:t>destaca</w:t>
      </w:r>
      <w:r>
        <w:rPr>
          <w:spacing w:val="-10"/>
        </w:rPr>
        <w:t xml:space="preserve"> </w:t>
      </w:r>
      <w:r>
        <w:t>la</w:t>
      </w:r>
      <w:r>
        <w:rPr>
          <w:spacing w:val="-12"/>
        </w:rPr>
        <w:t xml:space="preserve"> </w:t>
      </w:r>
      <w:r>
        <w:t>importancia de</w:t>
      </w:r>
      <w:r>
        <w:rPr>
          <w:spacing w:val="-3"/>
        </w:rPr>
        <w:t xml:space="preserve"> </w:t>
      </w:r>
      <w:r>
        <w:t>adoptar</w:t>
      </w:r>
      <w:r>
        <w:rPr>
          <w:spacing w:val="-3"/>
        </w:rPr>
        <w:t xml:space="preserve"> </w:t>
      </w:r>
      <w:r>
        <w:t>medidas</w:t>
      </w:r>
      <w:r>
        <w:rPr>
          <w:spacing w:val="-2"/>
        </w:rPr>
        <w:t xml:space="preserve"> </w:t>
      </w:r>
      <w:r>
        <w:t>especiales</w:t>
      </w:r>
      <w:r>
        <w:rPr>
          <w:spacing w:val="-4"/>
        </w:rPr>
        <w:t xml:space="preserve"> </w:t>
      </w:r>
      <w:r>
        <w:t>para</w:t>
      </w:r>
      <w:r>
        <w:rPr>
          <w:spacing w:val="-3"/>
        </w:rPr>
        <w:t xml:space="preserve"> </w:t>
      </w:r>
      <w:r>
        <w:t>proteger</w:t>
      </w:r>
      <w:r>
        <w:rPr>
          <w:spacing w:val="-3"/>
        </w:rPr>
        <w:t xml:space="preserve"> </w:t>
      </w:r>
      <w:r>
        <w:t>a</w:t>
      </w:r>
      <w:r>
        <w:rPr>
          <w:spacing w:val="-3"/>
        </w:rPr>
        <w:t xml:space="preserve"> </w:t>
      </w:r>
      <w:r>
        <w:t>las</w:t>
      </w:r>
      <w:r>
        <w:rPr>
          <w:spacing w:val="-4"/>
        </w:rPr>
        <w:t xml:space="preserve"> </w:t>
      </w:r>
      <w:r>
        <w:t>familias</w:t>
      </w:r>
      <w:r>
        <w:rPr>
          <w:spacing w:val="-2"/>
        </w:rPr>
        <w:t xml:space="preserve"> </w:t>
      </w:r>
      <w:r>
        <w:t>en</w:t>
      </w:r>
      <w:r>
        <w:rPr>
          <w:spacing w:val="-4"/>
        </w:rPr>
        <w:t xml:space="preserve"> </w:t>
      </w:r>
      <w:r>
        <w:t>situación</w:t>
      </w:r>
      <w:r>
        <w:rPr>
          <w:spacing w:val="-4"/>
        </w:rPr>
        <w:t xml:space="preserve"> </w:t>
      </w:r>
      <w:r>
        <w:t>de vulnerabilidad. La Corte hace énfasis que la falta de medidas adecuadas para superar la desigualdad y la exclusión puede acentuar las condiciones adversas que enfrentan estas familias. Esta sentencia resalta la necesidad de un enfoque integral que incluya la participación de las comunidades marginadas en la formulación e implementación de políticas públicas.</w:t>
      </w:r>
    </w:p>
    <w:p w14:paraId="11566039" w14:textId="77777777" w:rsidR="000E52B0" w:rsidRDefault="00F60D74">
      <w:pPr>
        <w:pStyle w:val="Textoindependiente"/>
        <w:spacing w:before="267"/>
      </w:pPr>
      <w:bookmarkStart w:id="192" w:name="_bookmark192"/>
      <w:bookmarkEnd w:id="192"/>
      <w:r>
        <w:rPr>
          <w:color w:val="770F47"/>
          <w:spacing w:val="-2"/>
        </w:rPr>
        <w:t>Niñez</w:t>
      </w:r>
    </w:p>
    <w:p w14:paraId="39B625FA" w14:textId="77777777" w:rsidR="000E52B0" w:rsidRDefault="000E52B0">
      <w:pPr>
        <w:pStyle w:val="Textoindependiente"/>
        <w:ind w:left="0"/>
      </w:pPr>
    </w:p>
    <w:p w14:paraId="1BDBB54C" w14:textId="77777777" w:rsidR="000E52B0" w:rsidRDefault="00F60D74">
      <w:pPr>
        <w:pStyle w:val="Textoindependiente"/>
        <w:ind w:right="718"/>
        <w:jc w:val="both"/>
      </w:pPr>
      <w:r>
        <w:t>Si bien es cierto que el Ministerio de Igualdad y Equidad no desarrolla de manera directa la política pública en materia de niñez, es importante destacar que la mayoría de los planes, programas y proyectos implementados</w:t>
      </w:r>
      <w:r>
        <w:rPr>
          <w:spacing w:val="1"/>
        </w:rPr>
        <w:t xml:space="preserve"> </w:t>
      </w:r>
      <w:r>
        <w:t>por</w:t>
      </w:r>
      <w:r>
        <w:rPr>
          <w:spacing w:val="5"/>
        </w:rPr>
        <w:t xml:space="preserve"> </w:t>
      </w:r>
      <w:r>
        <w:t>esta</w:t>
      </w:r>
      <w:r>
        <w:rPr>
          <w:spacing w:val="2"/>
        </w:rPr>
        <w:t xml:space="preserve"> </w:t>
      </w:r>
      <w:r>
        <w:t>entidad</w:t>
      </w:r>
      <w:r>
        <w:rPr>
          <w:spacing w:val="3"/>
        </w:rPr>
        <w:t xml:space="preserve"> </w:t>
      </w:r>
      <w:r>
        <w:t>impactan</w:t>
      </w:r>
      <w:r>
        <w:rPr>
          <w:spacing w:val="1"/>
        </w:rPr>
        <w:t xml:space="preserve"> </w:t>
      </w:r>
      <w:r>
        <w:t>de</w:t>
      </w:r>
      <w:r>
        <w:rPr>
          <w:spacing w:val="5"/>
        </w:rPr>
        <w:t xml:space="preserve"> </w:t>
      </w:r>
      <w:r>
        <w:t>manera</w:t>
      </w:r>
      <w:r>
        <w:rPr>
          <w:spacing w:val="7"/>
        </w:rPr>
        <w:t xml:space="preserve"> </w:t>
      </w:r>
      <w:r>
        <w:t>directa</w:t>
      </w:r>
      <w:r>
        <w:rPr>
          <w:spacing w:val="2"/>
        </w:rPr>
        <w:t xml:space="preserve"> </w:t>
      </w:r>
      <w:r>
        <w:t>o</w:t>
      </w:r>
      <w:r>
        <w:rPr>
          <w:spacing w:val="5"/>
        </w:rPr>
        <w:t xml:space="preserve"> </w:t>
      </w:r>
      <w:r>
        <w:t>indirecta</w:t>
      </w:r>
      <w:r>
        <w:rPr>
          <w:spacing w:val="2"/>
        </w:rPr>
        <w:t xml:space="preserve"> </w:t>
      </w:r>
      <w:r>
        <w:rPr>
          <w:spacing w:val="-10"/>
        </w:rPr>
        <w:t>a</w:t>
      </w:r>
    </w:p>
    <w:p w14:paraId="56C6F767" w14:textId="77777777" w:rsidR="000E52B0" w:rsidRDefault="000E52B0">
      <w:pPr>
        <w:pStyle w:val="Textoindependiente"/>
        <w:jc w:val="both"/>
        <w:sectPr w:rsidR="000E52B0">
          <w:pgSz w:w="11910" w:h="16840"/>
          <w:pgMar w:top="1340" w:right="720" w:bottom="1180" w:left="720" w:header="0" w:footer="995" w:gutter="0"/>
          <w:cols w:space="720"/>
        </w:sectPr>
      </w:pPr>
    </w:p>
    <w:p w14:paraId="2A0E1F9C" w14:textId="77777777" w:rsidR="000E52B0" w:rsidRDefault="00F60D74">
      <w:pPr>
        <w:pStyle w:val="Textoindependiente"/>
        <w:spacing w:before="83"/>
        <w:ind w:right="723"/>
        <w:jc w:val="both"/>
      </w:pPr>
      <w:r>
        <w:lastRenderedPageBreak/>
        <w:t>este grupo, considerado sujeto de especial protección constitucional. Esto se evidencia en la atención que se brinda a madres cabeza de familia, familias marginadas y excluidas, poblaciones en territorios excluidos, personas con discapacidad, entre otros.</w:t>
      </w:r>
    </w:p>
    <w:p w14:paraId="7ADF5A71" w14:textId="77777777" w:rsidR="000E52B0" w:rsidRDefault="00F60D74">
      <w:pPr>
        <w:pStyle w:val="Textoindependiente"/>
        <w:ind w:right="717"/>
        <w:jc w:val="both"/>
      </w:pPr>
      <w:r>
        <w:t>Un</w:t>
      </w:r>
      <w:r>
        <w:rPr>
          <w:spacing w:val="-22"/>
        </w:rPr>
        <w:t xml:space="preserve"> </w:t>
      </w:r>
      <w:r>
        <w:t>referente</w:t>
      </w:r>
      <w:r>
        <w:rPr>
          <w:spacing w:val="-21"/>
        </w:rPr>
        <w:t xml:space="preserve"> </w:t>
      </w:r>
      <w:r>
        <w:t>clave</w:t>
      </w:r>
      <w:r>
        <w:rPr>
          <w:spacing w:val="-20"/>
        </w:rPr>
        <w:t xml:space="preserve"> </w:t>
      </w:r>
      <w:r>
        <w:t>en</w:t>
      </w:r>
      <w:r>
        <w:rPr>
          <w:spacing w:val="-21"/>
        </w:rPr>
        <w:t xml:space="preserve"> </w:t>
      </w:r>
      <w:r>
        <w:t>este</w:t>
      </w:r>
      <w:r>
        <w:rPr>
          <w:spacing w:val="-20"/>
        </w:rPr>
        <w:t xml:space="preserve"> </w:t>
      </w:r>
      <w:r>
        <w:t>ámbito</w:t>
      </w:r>
      <w:r>
        <w:rPr>
          <w:spacing w:val="-20"/>
        </w:rPr>
        <w:t xml:space="preserve"> </w:t>
      </w:r>
      <w:r>
        <w:t>es</w:t>
      </w:r>
      <w:r>
        <w:rPr>
          <w:spacing w:val="-21"/>
        </w:rPr>
        <w:t xml:space="preserve"> </w:t>
      </w:r>
      <w:r>
        <w:t>la</w:t>
      </w:r>
      <w:r>
        <w:rPr>
          <w:spacing w:val="-19"/>
        </w:rPr>
        <w:t xml:space="preserve"> </w:t>
      </w:r>
      <w:r>
        <w:t>Sentencia</w:t>
      </w:r>
      <w:r>
        <w:rPr>
          <w:spacing w:val="-21"/>
        </w:rPr>
        <w:t xml:space="preserve"> </w:t>
      </w:r>
      <w:r>
        <w:t>T-029</w:t>
      </w:r>
      <w:r>
        <w:rPr>
          <w:spacing w:val="-19"/>
        </w:rPr>
        <w:t xml:space="preserve"> </w:t>
      </w:r>
      <w:r>
        <w:t>de</w:t>
      </w:r>
      <w:r>
        <w:rPr>
          <w:spacing w:val="-22"/>
        </w:rPr>
        <w:t xml:space="preserve"> </w:t>
      </w:r>
      <w:r>
        <w:t>2014</w:t>
      </w:r>
      <w:r>
        <w:rPr>
          <w:spacing w:val="-19"/>
        </w:rPr>
        <w:t xml:space="preserve"> </w:t>
      </w:r>
      <w:r>
        <w:t>(M.P</w:t>
      </w:r>
      <w:r>
        <w:rPr>
          <w:spacing w:val="-21"/>
        </w:rPr>
        <w:t xml:space="preserve"> </w:t>
      </w:r>
      <w:r>
        <w:t>Jorge Ignacio Pretelt Chaljub)</w:t>
      </w:r>
    </w:p>
    <w:p w14:paraId="659D98C9" w14:textId="77777777" w:rsidR="000E52B0" w:rsidRDefault="00F60D74">
      <w:pPr>
        <w:pStyle w:val="Textoindependiente"/>
        <w:spacing w:before="158"/>
        <w:ind w:right="715"/>
        <w:jc w:val="both"/>
      </w:pPr>
      <w:r>
        <w:t>Por su parte, en la Sentencia T-736 de 2013 (M.P. Alberto Rojas Ríos), la Corte Constitucional resaltó que ha insistido en que “el amparo reforzado de los sujetos de especial protección constitucional, parte del reconocimiento</w:t>
      </w:r>
      <w:r>
        <w:rPr>
          <w:spacing w:val="-13"/>
        </w:rPr>
        <w:t xml:space="preserve"> </w:t>
      </w:r>
      <w:r>
        <w:t>que</w:t>
      </w:r>
      <w:r>
        <w:rPr>
          <w:spacing w:val="-10"/>
        </w:rPr>
        <w:t xml:space="preserve"> </w:t>
      </w:r>
      <w:r>
        <w:t>el</w:t>
      </w:r>
      <w:r>
        <w:rPr>
          <w:spacing w:val="-15"/>
        </w:rPr>
        <w:t xml:space="preserve"> </w:t>
      </w:r>
      <w:r>
        <w:t>Constituyente</w:t>
      </w:r>
      <w:r>
        <w:rPr>
          <w:spacing w:val="-10"/>
        </w:rPr>
        <w:t xml:space="preserve"> </w:t>
      </w:r>
      <w:r>
        <w:t>de</w:t>
      </w:r>
      <w:r>
        <w:rPr>
          <w:spacing w:val="-11"/>
        </w:rPr>
        <w:t xml:space="preserve"> </w:t>
      </w:r>
      <w:r>
        <w:t>1991</w:t>
      </w:r>
      <w:r>
        <w:rPr>
          <w:spacing w:val="-13"/>
        </w:rPr>
        <w:t xml:space="preserve"> </w:t>
      </w:r>
      <w:r>
        <w:t>hizo</w:t>
      </w:r>
      <w:r>
        <w:rPr>
          <w:spacing w:val="-12"/>
        </w:rPr>
        <w:t xml:space="preserve"> </w:t>
      </w:r>
      <w:r>
        <w:t>de</w:t>
      </w:r>
      <w:r>
        <w:rPr>
          <w:spacing w:val="-13"/>
        </w:rPr>
        <w:t xml:space="preserve"> </w:t>
      </w:r>
      <w:r>
        <w:t>la</w:t>
      </w:r>
      <w:r>
        <w:rPr>
          <w:spacing w:val="-12"/>
        </w:rPr>
        <w:t xml:space="preserve"> </w:t>
      </w:r>
      <w:r>
        <w:t>desigualdad</w:t>
      </w:r>
      <w:r>
        <w:rPr>
          <w:spacing w:val="-14"/>
        </w:rPr>
        <w:t xml:space="preserve"> </w:t>
      </w:r>
      <w:r>
        <w:t>formal y</w:t>
      </w:r>
      <w:r>
        <w:rPr>
          <w:spacing w:val="-20"/>
        </w:rPr>
        <w:t xml:space="preserve"> </w:t>
      </w:r>
      <w:r>
        <w:t>real</w:t>
      </w:r>
      <w:r>
        <w:rPr>
          <w:spacing w:val="-21"/>
        </w:rPr>
        <w:t xml:space="preserve"> </w:t>
      </w:r>
      <w:r>
        <w:t>a</w:t>
      </w:r>
      <w:r>
        <w:rPr>
          <w:spacing w:val="-17"/>
        </w:rPr>
        <w:t xml:space="preserve"> </w:t>
      </w:r>
      <w:r>
        <w:t>la</w:t>
      </w:r>
      <w:r>
        <w:rPr>
          <w:spacing w:val="-18"/>
        </w:rPr>
        <w:t xml:space="preserve"> </w:t>
      </w:r>
      <w:r>
        <w:t>que</w:t>
      </w:r>
      <w:r>
        <w:rPr>
          <w:spacing w:val="-19"/>
        </w:rPr>
        <w:t xml:space="preserve"> </w:t>
      </w:r>
      <w:r>
        <w:t>se</w:t>
      </w:r>
      <w:r>
        <w:rPr>
          <w:spacing w:val="-19"/>
        </w:rPr>
        <w:t xml:space="preserve"> </w:t>
      </w:r>
      <w:r>
        <w:t>han</w:t>
      </w:r>
      <w:r>
        <w:rPr>
          <w:spacing w:val="-20"/>
        </w:rPr>
        <w:t xml:space="preserve"> </w:t>
      </w:r>
      <w:r>
        <w:t>visto</w:t>
      </w:r>
      <w:r>
        <w:rPr>
          <w:spacing w:val="-19"/>
        </w:rPr>
        <w:t xml:space="preserve"> </w:t>
      </w:r>
      <w:r>
        <w:t>sometidos</w:t>
      </w:r>
      <w:r>
        <w:rPr>
          <w:spacing w:val="-20"/>
        </w:rPr>
        <w:t xml:space="preserve"> </w:t>
      </w:r>
      <w:r>
        <w:t>históricamente”,</w:t>
      </w:r>
      <w:r>
        <w:rPr>
          <w:spacing w:val="-20"/>
        </w:rPr>
        <w:t xml:space="preserve"> </w:t>
      </w:r>
      <w:r>
        <w:t>entre</w:t>
      </w:r>
      <w:r>
        <w:rPr>
          <w:spacing w:val="-18"/>
        </w:rPr>
        <w:t xml:space="preserve"> </w:t>
      </w:r>
      <w:r>
        <w:t>ellos,</w:t>
      </w:r>
      <w:r>
        <w:rPr>
          <w:spacing w:val="-18"/>
        </w:rPr>
        <w:t xml:space="preserve"> </w:t>
      </w:r>
      <w:r>
        <w:t>las</w:t>
      </w:r>
      <w:r>
        <w:rPr>
          <w:spacing w:val="-18"/>
        </w:rPr>
        <w:t xml:space="preserve"> </w:t>
      </w:r>
      <w:r>
        <w:t>niñas y niños.</w:t>
      </w:r>
    </w:p>
    <w:p w14:paraId="69FB3B0C" w14:textId="77777777" w:rsidR="000E52B0" w:rsidRDefault="00F60D74">
      <w:pPr>
        <w:pStyle w:val="Textoindependiente"/>
        <w:spacing w:before="161"/>
        <w:ind w:right="714"/>
        <w:jc w:val="both"/>
      </w:pPr>
      <w:r>
        <w:t>El Consejo de Estado, a través de sentencia radicado 11001-03-06-000- 2022-00176-00,</w:t>
      </w:r>
      <w:r>
        <w:rPr>
          <w:spacing w:val="-16"/>
        </w:rPr>
        <w:t xml:space="preserve"> </w:t>
      </w:r>
      <w:r>
        <w:t>afirma</w:t>
      </w:r>
      <w:r>
        <w:rPr>
          <w:spacing w:val="-16"/>
        </w:rPr>
        <w:t xml:space="preserve"> </w:t>
      </w:r>
      <w:r>
        <w:t>que</w:t>
      </w:r>
      <w:r>
        <w:rPr>
          <w:spacing w:val="-15"/>
        </w:rPr>
        <w:t xml:space="preserve"> </w:t>
      </w:r>
      <w:r>
        <w:t>“La</w:t>
      </w:r>
      <w:r>
        <w:rPr>
          <w:spacing w:val="-14"/>
        </w:rPr>
        <w:t xml:space="preserve"> </w:t>
      </w:r>
      <w:r>
        <w:t>protección</w:t>
      </w:r>
      <w:r>
        <w:rPr>
          <w:spacing w:val="-17"/>
        </w:rPr>
        <w:t xml:space="preserve"> </w:t>
      </w:r>
      <w:r>
        <w:t>integral</w:t>
      </w:r>
      <w:r>
        <w:rPr>
          <w:spacing w:val="-16"/>
        </w:rPr>
        <w:t xml:space="preserve"> </w:t>
      </w:r>
      <w:r>
        <w:t>de</w:t>
      </w:r>
      <w:r>
        <w:rPr>
          <w:spacing w:val="-13"/>
        </w:rPr>
        <w:t xml:space="preserve"> </w:t>
      </w:r>
      <w:r>
        <w:t>los</w:t>
      </w:r>
      <w:r>
        <w:rPr>
          <w:spacing w:val="-16"/>
        </w:rPr>
        <w:t xml:space="preserve"> </w:t>
      </w:r>
      <w:r>
        <w:t>niños</w:t>
      </w:r>
      <w:r>
        <w:rPr>
          <w:spacing w:val="-16"/>
        </w:rPr>
        <w:t xml:space="preserve"> </w:t>
      </w:r>
      <w:r>
        <w:t>comprende la</w:t>
      </w:r>
      <w:r>
        <w:rPr>
          <w:spacing w:val="-2"/>
        </w:rPr>
        <w:t xml:space="preserve"> </w:t>
      </w:r>
      <w:r>
        <w:t>garantía</w:t>
      </w:r>
      <w:r>
        <w:rPr>
          <w:spacing w:val="-2"/>
        </w:rPr>
        <w:t xml:space="preserve"> </w:t>
      </w:r>
      <w:r>
        <w:t>y</w:t>
      </w:r>
      <w:r>
        <w:rPr>
          <w:spacing w:val="-2"/>
        </w:rPr>
        <w:t xml:space="preserve"> </w:t>
      </w:r>
      <w:r>
        <w:t>efectividad</w:t>
      </w:r>
      <w:r>
        <w:rPr>
          <w:spacing w:val="-3"/>
        </w:rPr>
        <w:t xml:space="preserve"> </w:t>
      </w:r>
      <w:r>
        <w:t>de</w:t>
      </w:r>
      <w:r>
        <w:rPr>
          <w:spacing w:val="-1"/>
        </w:rPr>
        <w:t xml:space="preserve"> </w:t>
      </w:r>
      <w:r>
        <w:t>sus</w:t>
      </w:r>
      <w:r>
        <w:rPr>
          <w:spacing w:val="-2"/>
        </w:rPr>
        <w:t xml:space="preserve"> </w:t>
      </w:r>
      <w:r>
        <w:t>derechos</w:t>
      </w:r>
      <w:r>
        <w:rPr>
          <w:spacing w:val="-2"/>
        </w:rPr>
        <w:t xml:space="preserve"> </w:t>
      </w:r>
      <w:r>
        <w:t>prevalentes,</w:t>
      </w:r>
      <w:r>
        <w:rPr>
          <w:spacing w:val="-3"/>
        </w:rPr>
        <w:t xml:space="preserve"> </w:t>
      </w:r>
      <w:r>
        <w:t>desde</w:t>
      </w:r>
      <w:r>
        <w:rPr>
          <w:spacing w:val="-1"/>
        </w:rPr>
        <w:t xml:space="preserve"> </w:t>
      </w:r>
      <w:r>
        <w:t>la</w:t>
      </w:r>
      <w:r>
        <w:rPr>
          <w:spacing w:val="-2"/>
        </w:rPr>
        <w:t xml:space="preserve"> </w:t>
      </w:r>
      <w:r>
        <w:t>prevención de cualquier situación que los amenace hasta el restablecimiento de tales derechos, cuando les son vulnerados. Asimismo, implica que siempre se debe aplicar la norma o la interpretación más favorable al interés superior del niño”.</w:t>
      </w:r>
    </w:p>
    <w:p w14:paraId="66152801" w14:textId="77777777" w:rsidR="000E52B0" w:rsidRDefault="00F60D74">
      <w:pPr>
        <w:pStyle w:val="Textoindependiente"/>
        <w:spacing w:before="161"/>
        <w:ind w:right="718"/>
        <w:jc w:val="both"/>
      </w:pPr>
      <w:r>
        <w:t>En este contexto, el Ministerio de Igualdad y Equidad, a través de sus proyectos y programas, busca contribuir a la creación de condiciones que favorezcan el bienestar integral de los niños, asegurando la inclusión de sus familias en iniciativas que promuevan la igualdad, la equidad y el desarrollo social.</w:t>
      </w:r>
    </w:p>
    <w:p w14:paraId="54AC96BD" w14:textId="77777777" w:rsidR="000E52B0" w:rsidRDefault="000E52B0">
      <w:pPr>
        <w:pStyle w:val="Textoindependiente"/>
        <w:spacing w:before="38"/>
        <w:ind w:left="0"/>
      </w:pPr>
    </w:p>
    <w:p w14:paraId="7C1FAB78" w14:textId="77777777" w:rsidR="000E52B0" w:rsidRDefault="00F60D74">
      <w:pPr>
        <w:pStyle w:val="Textoindependiente"/>
        <w:jc w:val="both"/>
      </w:pPr>
      <w:bookmarkStart w:id="193" w:name="_bookmark193"/>
      <w:bookmarkEnd w:id="193"/>
      <w:r>
        <w:rPr>
          <w:color w:val="770F47"/>
        </w:rPr>
        <w:t>Población</w:t>
      </w:r>
      <w:r>
        <w:rPr>
          <w:color w:val="770F47"/>
          <w:spacing w:val="-5"/>
        </w:rPr>
        <w:t xml:space="preserve"> </w:t>
      </w:r>
      <w:r>
        <w:rPr>
          <w:color w:val="770F47"/>
        </w:rPr>
        <w:t>migrante</w:t>
      </w:r>
      <w:r>
        <w:rPr>
          <w:color w:val="770F47"/>
          <w:spacing w:val="-1"/>
        </w:rPr>
        <w:t xml:space="preserve"> </w:t>
      </w:r>
      <w:r>
        <w:rPr>
          <w:color w:val="770F47"/>
        </w:rPr>
        <w:t>regular,</w:t>
      </w:r>
      <w:r>
        <w:rPr>
          <w:color w:val="770F47"/>
          <w:spacing w:val="-4"/>
        </w:rPr>
        <w:t xml:space="preserve"> </w:t>
      </w:r>
      <w:r>
        <w:rPr>
          <w:color w:val="770F47"/>
        </w:rPr>
        <w:t>irregular,</w:t>
      </w:r>
      <w:r>
        <w:rPr>
          <w:color w:val="770F47"/>
          <w:spacing w:val="-5"/>
        </w:rPr>
        <w:t xml:space="preserve"> </w:t>
      </w:r>
      <w:r>
        <w:rPr>
          <w:color w:val="770F47"/>
        </w:rPr>
        <w:t>refugiado,</w:t>
      </w:r>
      <w:r>
        <w:rPr>
          <w:color w:val="770F47"/>
          <w:spacing w:val="-4"/>
        </w:rPr>
        <w:t xml:space="preserve"> </w:t>
      </w:r>
      <w:r>
        <w:rPr>
          <w:color w:val="770F47"/>
        </w:rPr>
        <w:t>en</w:t>
      </w:r>
      <w:r>
        <w:rPr>
          <w:color w:val="770F47"/>
          <w:spacing w:val="-2"/>
        </w:rPr>
        <w:t xml:space="preserve"> </w:t>
      </w:r>
      <w:r>
        <w:rPr>
          <w:color w:val="770F47"/>
        </w:rPr>
        <w:t>tránsito</w:t>
      </w:r>
      <w:r>
        <w:rPr>
          <w:color w:val="770F47"/>
          <w:spacing w:val="-3"/>
        </w:rPr>
        <w:t xml:space="preserve"> </w:t>
      </w:r>
      <w:r>
        <w:rPr>
          <w:color w:val="770F47"/>
        </w:rPr>
        <w:t>y</w:t>
      </w:r>
      <w:r>
        <w:rPr>
          <w:color w:val="770F47"/>
          <w:spacing w:val="-4"/>
        </w:rPr>
        <w:t xml:space="preserve"> </w:t>
      </w:r>
      <w:r>
        <w:rPr>
          <w:color w:val="770F47"/>
          <w:spacing w:val="-2"/>
        </w:rPr>
        <w:t>retornado</w:t>
      </w:r>
    </w:p>
    <w:p w14:paraId="6602207D" w14:textId="77777777" w:rsidR="000E52B0" w:rsidRDefault="000E52B0">
      <w:pPr>
        <w:pStyle w:val="Textoindependiente"/>
        <w:spacing w:before="2"/>
        <w:ind w:left="0"/>
      </w:pPr>
    </w:p>
    <w:p w14:paraId="7AA54C06" w14:textId="77777777" w:rsidR="000E52B0" w:rsidRDefault="00F60D74">
      <w:pPr>
        <w:pStyle w:val="Textoindependiente"/>
        <w:spacing w:before="1"/>
        <w:ind w:right="714"/>
        <w:jc w:val="both"/>
      </w:pPr>
      <w:r>
        <w:t>En los últimos años, se ha evidenciado una fuerte crisis humanitaria en Colombia a causa del arribo de población migrante regular, irregular, refugiado, en tránsito y retornado, quienes se desplazan de manera individual o masiva debido a conflictos políticos o recesiones económicas. Esto hace que en ocasiones se enfrenten a condiciones de extrema necesidad y vulnerabilidad en el proceso, toda vez que se someten a situaciones como explotación sexual, trabajo forzado, matrimonios forzados, violencia sexual, sexo por supervivencia, para solventar las necesidades básicas.</w:t>
      </w:r>
    </w:p>
    <w:p w14:paraId="3262829C" w14:textId="77777777" w:rsidR="000E52B0" w:rsidRDefault="00F60D74">
      <w:pPr>
        <w:pStyle w:val="Textoindependiente"/>
        <w:spacing w:before="291"/>
        <w:ind w:right="721"/>
        <w:jc w:val="both"/>
      </w:pPr>
      <w:r>
        <w:t>Ahora</w:t>
      </w:r>
      <w:r>
        <w:rPr>
          <w:spacing w:val="-9"/>
        </w:rPr>
        <w:t xml:space="preserve"> </w:t>
      </w:r>
      <w:r>
        <w:t>bien,</w:t>
      </w:r>
      <w:r>
        <w:rPr>
          <w:spacing w:val="-11"/>
        </w:rPr>
        <w:t xml:space="preserve"> </w:t>
      </w:r>
      <w:r>
        <w:t>las</w:t>
      </w:r>
      <w:r>
        <w:rPr>
          <w:spacing w:val="-10"/>
        </w:rPr>
        <w:t xml:space="preserve"> </w:t>
      </w:r>
      <w:r>
        <w:t>prácticas</w:t>
      </w:r>
      <w:r>
        <w:rPr>
          <w:spacing w:val="-10"/>
        </w:rPr>
        <w:t xml:space="preserve"> </w:t>
      </w:r>
      <w:r>
        <w:t>de</w:t>
      </w:r>
      <w:r>
        <w:rPr>
          <w:spacing w:val="-9"/>
        </w:rPr>
        <w:t xml:space="preserve"> </w:t>
      </w:r>
      <w:r>
        <w:t>discriminación</w:t>
      </w:r>
      <w:r>
        <w:rPr>
          <w:spacing w:val="-10"/>
        </w:rPr>
        <w:t xml:space="preserve"> </w:t>
      </w:r>
      <w:r>
        <w:t>hacia</w:t>
      </w:r>
      <w:r>
        <w:rPr>
          <w:spacing w:val="-10"/>
        </w:rPr>
        <w:t xml:space="preserve"> </w:t>
      </w:r>
      <w:r>
        <w:t>la</w:t>
      </w:r>
      <w:r>
        <w:rPr>
          <w:spacing w:val="-10"/>
        </w:rPr>
        <w:t xml:space="preserve"> </w:t>
      </w:r>
      <w:r>
        <w:t>población</w:t>
      </w:r>
      <w:r>
        <w:rPr>
          <w:spacing w:val="-10"/>
        </w:rPr>
        <w:t xml:space="preserve"> </w:t>
      </w:r>
      <w:r>
        <w:t>migrante</w:t>
      </w:r>
      <w:r>
        <w:rPr>
          <w:spacing w:val="-9"/>
        </w:rPr>
        <w:t xml:space="preserve"> </w:t>
      </w:r>
      <w:r>
        <w:t>que ejercen otros grupos poblacionales impiden su integración social, económica y cultural, su acceso a bienes y servicios de forma concreta y directa, y hacen que cada vez estén más expuestos actos de violencia.</w:t>
      </w:r>
      <w:r>
        <w:rPr>
          <w:spacing w:val="40"/>
        </w:rPr>
        <w:t xml:space="preserve"> </w:t>
      </w:r>
      <w:r>
        <w:t>El acceso</w:t>
      </w:r>
      <w:r>
        <w:rPr>
          <w:spacing w:val="-3"/>
        </w:rPr>
        <w:t xml:space="preserve"> </w:t>
      </w:r>
      <w:r>
        <w:t>al</w:t>
      </w:r>
      <w:r>
        <w:rPr>
          <w:spacing w:val="-5"/>
        </w:rPr>
        <w:t xml:space="preserve"> </w:t>
      </w:r>
      <w:r>
        <w:t>mercado</w:t>
      </w:r>
      <w:r>
        <w:rPr>
          <w:spacing w:val="-3"/>
        </w:rPr>
        <w:t xml:space="preserve"> </w:t>
      </w:r>
      <w:r>
        <w:t>laboral,</w:t>
      </w:r>
      <w:r>
        <w:rPr>
          <w:spacing w:val="-4"/>
        </w:rPr>
        <w:t xml:space="preserve"> </w:t>
      </w:r>
      <w:r>
        <w:t>a</w:t>
      </w:r>
      <w:r>
        <w:rPr>
          <w:spacing w:val="-4"/>
        </w:rPr>
        <w:t xml:space="preserve"> </w:t>
      </w:r>
      <w:r>
        <w:t>oportunidades</w:t>
      </w:r>
      <w:r>
        <w:rPr>
          <w:spacing w:val="-4"/>
        </w:rPr>
        <w:t xml:space="preserve"> </w:t>
      </w:r>
      <w:r>
        <w:t>de</w:t>
      </w:r>
      <w:r>
        <w:rPr>
          <w:spacing w:val="-3"/>
        </w:rPr>
        <w:t xml:space="preserve"> </w:t>
      </w:r>
      <w:r>
        <w:t>emprendimiento</w:t>
      </w:r>
      <w:r>
        <w:rPr>
          <w:spacing w:val="-3"/>
        </w:rPr>
        <w:t xml:space="preserve"> </w:t>
      </w:r>
      <w:r>
        <w:t>y</w:t>
      </w:r>
      <w:r>
        <w:rPr>
          <w:spacing w:val="-4"/>
        </w:rPr>
        <w:t xml:space="preserve"> </w:t>
      </w:r>
      <w:r>
        <w:t>al</w:t>
      </w:r>
      <w:r>
        <w:rPr>
          <w:spacing w:val="-5"/>
        </w:rPr>
        <w:t xml:space="preserve"> </w:t>
      </w:r>
      <w:r>
        <w:t>sector financiero</w:t>
      </w:r>
      <w:r>
        <w:rPr>
          <w:spacing w:val="-3"/>
        </w:rPr>
        <w:t xml:space="preserve"> </w:t>
      </w:r>
      <w:r>
        <w:t>ha</w:t>
      </w:r>
      <w:r>
        <w:rPr>
          <w:spacing w:val="-3"/>
        </w:rPr>
        <w:t xml:space="preserve"> </w:t>
      </w:r>
      <w:r>
        <w:t>sido</w:t>
      </w:r>
      <w:r>
        <w:rPr>
          <w:spacing w:val="-3"/>
        </w:rPr>
        <w:t xml:space="preserve"> </w:t>
      </w:r>
      <w:r>
        <w:t>limitado,</w:t>
      </w:r>
      <w:r>
        <w:rPr>
          <w:spacing w:val="-4"/>
        </w:rPr>
        <w:t xml:space="preserve"> </w:t>
      </w:r>
      <w:r>
        <w:t>lo que</w:t>
      </w:r>
      <w:r>
        <w:rPr>
          <w:spacing w:val="-3"/>
        </w:rPr>
        <w:t xml:space="preserve"> </w:t>
      </w:r>
      <w:r>
        <w:t>resulta</w:t>
      </w:r>
      <w:r>
        <w:rPr>
          <w:spacing w:val="-3"/>
        </w:rPr>
        <w:t xml:space="preserve"> </w:t>
      </w:r>
      <w:r>
        <w:t>en</w:t>
      </w:r>
      <w:r>
        <w:rPr>
          <w:spacing w:val="-2"/>
        </w:rPr>
        <w:t xml:space="preserve"> </w:t>
      </w:r>
      <w:r>
        <w:t>una</w:t>
      </w:r>
      <w:r>
        <w:rPr>
          <w:spacing w:val="-2"/>
        </w:rPr>
        <w:t xml:space="preserve"> </w:t>
      </w:r>
      <w:r>
        <w:t>generación</w:t>
      </w:r>
      <w:r>
        <w:rPr>
          <w:spacing w:val="-4"/>
        </w:rPr>
        <w:t xml:space="preserve"> </w:t>
      </w:r>
      <w:r>
        <w:t>de</w:t>
      </w:r>
      <w:r>
        <w:rPr>
          <w:spacing w:val="-1"/>
        </w:rPr>
        <w:t xml:space="preserve"> </w:t>
      </w:r>
      <w:r>
        <w:t>ingresos</w:t>
      </w:r>
      <w:r>
        <w:rPr>
          <w:spacing w:val="-3"/>
        </w:rPr>
        <w:t xml:space="preserve"> </w:t>
      </w:r>
      <w:r>
        <w:t>y autonomía económica muy reducida.</w:t>
      </w:r>
      <w:r>
        <w:rPr>
          <w:spacing w:val="40"/>
        </w:rPr>
        <w:t xml:space="preserve"> </w:t>
      </w:r>
      <w:r>
        <w:t>Como consecuencia esto, muchas personas</w:t>
      </w:r>
      <w:r>
        <w:rPr>
          <w:spacing w:val="10"/>
        </w:rPr>
        <w:t xml:space="preserve"> </w:t>
      </w:r>
      <w:r>
        <w:t>migrantes</w:t>
      </w:r>
      <w:r>
        <w:rPr>
          <w:spacing w:val="12"/>
        </w:rPr>
        <w:t xml:space="preserve"> </w:t>
      </w:r>
      <w:r>
        <w:t>se</w:t>
      </w:r>
      <w:r>
        <w:rPr>
          <w:spacing w:val="13"/>
        </w:rPr>
        <w:t xml:space="preserve"> </w:t>
      </w:r>
      <w:r>
        <w:t>ven</w:t>
      </w:r>
      <w:r>
        <w:rPr>
          <w:spacing w:val="12"/>
        </w:rPr>
        <w:t xml:space="preserve"> </w:t>
      </w:r>
      <w:r>
        <w:t>atrapadas</w:t>
      </w:r>
      <w:r>
        <w:rPr>
          <w:spacing w:val="12"/>
        </w:rPr>
        <w:t xml:space="preserve"> </w:t>
      </w:r>
      <w:r>
        <w:t>en</w:t>
      </w:r>
      <w:r>
        <w:rPr>
          <w:spacing w:val="11"/>
        </w:rPr>
        <w:t xml:space="preserve"> </w:t>
      </w:r>
      <w:r>
        <w:t>una</w:t>
      </w:r>
      <w:r>
        <w:rPr>
          <w:spacing w:val="11"/>
        </w:rPr>
        <w:t xml:space="preserve"> </w:t>
      </w:r>
      <w:r>
        <w:t>economía</w:t>
      </w:r>
      <w:r>
        <w:rPr>
          <w:spacing w:val="13"/>
        </w:rPr>
        <w:t xml:space="preserve"> </w:t>
      </w:r>
      <w:r>
        <w:t>de</w:t>
      </w:r>
      <w:r>
        <w:rPr>
          <w:spacing w:val="14"/>
        </w:rPr>
        <w:t xml:space="preserve"> </w:t>
      </w:r>
      <w:r>
        <w:rPr>
          <w:spacing w:val="-2"/>
        </w:rPr>
        <w:t>supervivencia,</w:t>
      </w:r>
    </w:p>
    <w:p w14:paraId="08395B0A" w14:textId="77777777" w:rsidR="000E52B0" w:rsidRDefault="000E52B0">
      <w:pPr>
        <w:pStyle w:val="Textoindependiente"/>
        <w:jc w:val="both"/>
        <w:sectPr w:rsidR="000E52B0">
          <w:pgSz w:w="11910" w:h="16840"/>
          <w:pgMar w:top="1340" w:right="720" w:bottom="1180" w:left="720" w:header="0" w:footer="995" w:gutter="0"/>
          <w:cols w:space="720"/>
        </w:sectPr>
      </w:pPr>
    </w:p>
    <w:p w14:paraId="1B66433C" w14:textId="77777777" w:rsidR="000E52B0" w:rsidRDefault="00F60D74">
      <w:pPr>
        <w:pStyle w:val="Textoindependiente"/>
        <w:spacing w:before="83"/>
        <w:ind w:right="717"/>
        <w:jc w:val="both"/>
      </w:pPr>
      <w:r>
        <w:lastRenderedPageBreak/>
        <w:t>caracterizada por la informalidad y la búsqueda constante de ingresos a través de actividades informales.</w:t>
      </w:r>
    </w:p>
    <w:p w14:paraId="3D2E1BE8" w14:textId="50EF76A5" w:rsidR="000E52B0" w:rsidRDefault="00F60D74">
      <w:pPr>
        <w:spacing w:before="158"/>
        <w:ind w:left="720" w:right="716"/>
        <w:jc w:val="both"/>
        <w:rPr>
          <w:sz w:val="24"/>
        </w:rPr>
      </w:pPr>
      <w:r>
        <w:rPr>
          <w:sz w:val="24"/>
        </w:rPr>
        <w:t>A nivel jurisprudencial, la Corte Constitucional ha proferido un amplio número de sentencias para el amparo de derechos fundamentales de la población migrante en Colombia,</w:t>
      </w:r>
      <w:r>
        <w:rPr>
          <w:spacing w:val="40"/>
          <w:sz w:val="24"/>
        </w:rPr>
        <w:t xml:space="preserve"> </w:t>
      </w:r>
      <w:r>
        <w:rPr>
          <w:sz w:val="24"/>
        </w:rPr>
        <w:t>dentro de las cuales se encuentra la Sentencia T-386 de 2021 (MP Cristina Pardo Schlesinger),</w:t>
      </w:r>
      <w:r>
        <w:rPr>
          <w:spacing w:val="80"/>
          <w:sz w:val="24"/>
        </w:rPr>
        <w:t xml:space="preserve"> </w:t>
      </w:r>
      <w:r>
        <w:rPr>
          <w:sz w:val="24"/>
        </w:rPr>
        <w:t xml:space="preserve">donde se advierte que “(…) </w:t>
      </w:r>
      <w:r>
        <w:rPr>
          <w:i/>
          <w:sz w:val="24"/>
        </w:rPr>
        <w:t>la Carta Política y la jurisprudencia constitucional se deriva que los extranjeros tienen los mismos derechos que los nacionales y que la facultad de establecer tratos diferenciados entre estos grupos encuentra un límite infranqueable en la imposibilidad de restringir los derechos fundamentales reconocidos en la Constitución, en los tratados y convenios internacionales por razones de la nacionalidad. De ahí que las garantías ius</w:t>
      </w:r>
      <w:r w:rsidR="00711074">
        <w:rPr>
          <w:i/>
          <w:sz w:val="24"/>
        </w:rPr>
        <w:t xml:space="preserve"> </w:t>
      </w:r>
      <w:r>
        <w:rPr>
          <w:i/>
          <w:sz w:val="24"/>
        </w:rPr>
        <w:t>fundamentales al buen nombre, a la honra o a la no discriminación tengan plena vigencia para los extranjeros residentes en Colombia”</w:t>
      </w:r>
      <w:r>
        <w:rPr>
          <w:i/>
          <w:spacing w:val="40"/>
          <w:sz w:val="24"/>
        </w:rPr>
        <w:t xml:space="preserve"> </w:t>
      </w:r>
      <w:r>
        <w:rPr>
          <w:sz w:val="24"/>
        </w:rPr>
        <w:t xml:space="preserve">Igualmente, esta corporación reconoce que “ </w:t>
      </w:r>
      <w:r>
        <w:rPr>
          <w:i/>
          <w:sz w:val="24"/>
        </w:rPr>
        <w:t>la crisis humanitaria que se vive en Venezuela ha generado una migración masiva de sus nacionales hacia territorio colombiano, lo que representa un reto para</w:t>
      </w:r>
      <w:r>
        <w:rPr>
          <w:i/>
          <w:spacing w:val="-7"/>
          <w:sz w:val="24"/>
        </w:rPr>
        <w:t xml:space="preserve"> </w:t>
      </w:r>
      <w:r>
        <w:rPr>
          <w:i/>
          <w:sz w:val="24"/>
        </w:rPr>
        <w:t>el</w:t>
      </w:r>
      <w:r>
        <w:rPr>
          <w:i/>
          <w:spacing w:val="-8"/>
          <w:sz w:val="24"/>
        </w:rPr>
        <w:t xml:space="preserve"> </w:t>
      </w:r>
      <w:r>
        <w:rPr>
          <w:i/>
          <w:sz w:val="24"/>
        </w:rPr>
        <w:t>Estado</w:t>
      </w:r>
      <w:r>
        <w:rPr>
          <w:i/>
          <w:spacing w:val="-7"/>
          <w:sz w:val="24"/>
        </w:rPr>
        <w:t xml:space="preserve"> </w:t>
      </w:r>
      <w:r>
        <w:rPr>
          <w:i/>
          <w:sz w:val="24"/>
        </w:rPr>
        <w:t>y</w:t>
      </w:r>
      <w:r>
        <w:rPr>
          <w:i/>
          <w:spacing w:val="-7"/>
          <w:sz w:val="24"/>
        </w:rPr>
        <w:t xml:space="preserve"> </w:t>
      </w:r>
      <w:r>
        <w:rPr>
          <w:i/>
          <w:sz w:val="24"/>
        </w:rPr>
        <w:t>sus</w:t>
      </w:r>
      <w:r>
        <w:rPr>
          <w:i/>
          <w:spacing w:val="-8"/>
          <w:sz w:val="24"/>
        </w:rPr>
        <w:t xml:space="preserve"> </w:t>
      </w:r>
      <w:r>
        <w:rPr>
          <w:i/>
          <w:sz w:val="24"/>
        </w:rPr>
        <w:t>instituciones,</w:t>
      </w:r>
      <w:r>
        <w:rPr>
          <w:i/>
          <w:spacing w:val="-8"/>
          <w:sz w:val="24"/>
        </w:rPr>
        <w:t xml:space="preserve"> </w:t>
      </w:r>
      <w:r>
        <w:rPr>
          <w:i/>
          <w:sz w:val="24"/>
        </w:rPr>
        <w:t>pues</w:t>
      </w:r>
      <w:r>
        <w:rPr>
          <w:i/>
          <w:spacing w:val="-8"/>
          <w:sz w:val="24"/>
        </w:rPr>
        <w:t xml:space="preserve"> </w:t>
      </w:r>
      <w:r>
        <w:rPr>
          <w:i/>
          <w:sz w:val="24"/>
        </w:rPr>
        <w:t>requiere</w:t>
      </w:r>
      <w:r>
        <w:rPr>
          <w:i/>
          <w:spacing w:val="-6"/>
          <w:sz w:val="24"/>
        </w:rPr>
        <w:t xml:space="preserve"> </w:t>
      </w:r>
      <w:r>
        <w:rPr>
          <w:i/>
          <w:sz w:val="24"/>
        </w:rPr>
        <w:t>una</w:t>
      </w:r>
      <w:r>
        <w:rPr>
          <w:i/>
          <w:spacing w:val="-7"/>
          <w:sz w:val="24"/>
        </w:rPr>
        <w:t xml:space="preserve"> </w:t>
      </w:r>
      <w:r>
        <w:rPr>
          <w:i/>
          <w:sz w:val="24"/>
        </w:rPr>
        <w:t>respuesta</w:t>
      </w:r>
      <w:r>
        <w:rPr>
          <w:i/>
          <w:spacing w:val="-7"/>
          <w:sz w:val="24"/>
        </w:rPr>
        <w:t xml:space="preserve"> </w:t>
      </w:r>
      <w:r>
        <w:rPr>
          <w:i/>
          <w:sz w:val="24"/>
        </w:rPr>
        <w:t>coordinada y que garantice la dignidad humana”</w:t>
      </w:r>
      <w:r>
        <w:rPr>
          <w:i/>
          <w:spacing w:val="40"/>
          <w:sz w:val="24"/>
        </w:rPr>
        <w:t xml:space="preserve"> </w:t>
      </w:r>
      <w:r>
        <w:rPr>
          <w:sz w:val="24"/>
        </w:rPr>
        <w:t>y hacer referencia además a los discursos discriminatorios contra servidores públicos.</w:t>
      </w:r>
    </w:p>
    <w:p w14:paraId="2CF15538" w14:textId="77777777" w:rsidR="000E52B0" w:rsidRDefault="00F60D74">
      <w:pPr>
        <w:pStyle w:val="Textoindependiente"/>
        <w:spacing w:before="162"/>
        <w:ind w:right="712"/>
        <w:jc w:val="both"/>
      </w:pPr>
      <w:r>
        <w:t>Es de anotar que, antes de la mencionada providencia, el alto tribunal ya se había pronunciado sobre la</w:t>
      </w:r>
      <w:r>
        <w:rPr>
          <w:spacing w:val="40"/>
        </w:rPr>
        <w:t xml:space="preserve"> </w:t>
      </w:r>
      <w:r>
        <w:t>crisis humanitaria</w:t>
      </w:r>
      <w:r>
        <w:rPr>
          <w:spacing w:val="40"/>
        </w:rPr>
        <w:t xml:space="preserve"> </w:t>
      </w:r>
      <w:r>
        <w:t>que se vive aún hoy en día el pueblo venezolano y la migración masiva de sus ciudadanos a Colombia, refiriéndose al principio de solidaridad y cubrimiento universal en el sistema de protección y seguridad social y al deber de las entidades territoriales de proteger el derecho a la vida digna y la integridad física de los</w:t>
      </w:r>
      <w:r>
        <w:rPr>
          <w:spacing w:val="-22"/>
        </w:rPr>
        <w:t xml:space="preserve"> </w:t>
      </w:r>
      <w:r>
        <w:t>extranjeros</w:t>
      </w:r>
      <w:r>
        <w:rPr>
          <w:spacing w:val="-21"/>
        </w:rPr>
        <w:t xml:space="preserve"> </w:t>
      </w:r>
      <w:r>
        <w:t>en</w:t>
      </w:r>
      <w:r>
        <w:rPr>
          <w:spacing w:val="-21"/>
        </w:rPr>
        <w:t xml:space="preserve"> </w:t>
      </w:r>
      <w:r>
        <w:t>situación</w:t>
      </w:r>
      <w:r>
        <w:rPr>
          <w:spacing w:val="-21"/>
        </w:rPr>
        <w:t xml:space="preserve"> </w:t>
      </w:r>
      <w:r>
        <w:t>migratoria</w:t>
      </w:r>
      <w:r>
        <w:rPr>
          <w:spacing w:val="-21"/>
        </w:rPr>
        <w:t xml:space="preserve"> </w:t>
      </w:r>
      <w:r>
        <w:t>irregular</w:t>
      </w:r>
      <w:r>
        <w:rPr>
          <w:spacing w:val="-21"/>
        </w:rPr>
        <w:t xml:space="preserve"> </w:t>
      </w:r>
      <w:r>
        <w:t>(Sentencia</w:t>
      </w:r>
      <w:r>
        <w:rPr>
          <w:spacing w:val="-21"/>
        </w:rPr>
        <w:t xml:space="preserve"> </w:t>
      </w:r>
      <w:r>
        <w:t>SU677</w:t>
      </w:r>
      <w:r>
        <w:rPr>
          <w:spacing w:val="-21"/>
        </w:rPr>
        <w:t xml:space="preserve"> </w:t>
      </w:r>
      <w:r>
        <w:t>de</w:t>
      </w:r>
      <w:r>
        <w:rPr>
          <w:spacing w:val="-21"/>
        </w:rPr>
        <w:t xml:space="preserve"> </w:t>
      </w:r>
      <w:r>
        <w:t>2017, MP Gloria Stella Ortiz Delgado).</w:t>
      </w:r>
    </w:p>
    <w:p w14:paraId="415F1930" w14:textId="77777777" w:rsidR="000E52B0" w:rsidRDefault="00F60D74">
      <w:pPr>
        <w:spacing w:before="159"/>
        <w:ind w:left="720" w:right="712"/>
        <w:jc w:val="both"/>
        <w:rPr>
          <w:sz w:val="24"/>
        </w:rPr>
      </w:pPr>
      <w:r>
        <w:rPr>
          <w:sz w:val="24"/>
        </w:rPr>
        <w:t>Por</w:t>
      </w:r>
      <w:r>
        <w:rPr>
          <w:spacing w:val="-14"/>
          <w:sz w:val="24"/>
        </w:rPr>
        <w:t xml:space="preserve"> </w:t>
      </w:r>
      <w:r>
        <w:rPr>
          <w:sz w:val="24"/>
        </w:rPr>
        <w:t>su</w:t>
      </w:r>
      <w:r>
        <w:rPr>
          <w:spacing w:val="-16"/>
          <w:sz w:val="24"/>
        </w:rPr>
        <w:t xml:space="preserve"> </w:t>
      </w:r>
      <w:r>
        <w:rPr>
          <w:sz w:val="24"/>
        </w:rPr>
        <w:t>parte,</w:t>
      </w:r>
      <w:r>
        <w:rPr>
          <w:spacing w:val="-15"/>
          <w:sz w:val="24"/>
        </w:rPr>
        <w:t xml:space="preserve"> </w:t>
      </w:r>
      <w:r>
        <w:rPr>
          <w:sz w:val="24"/>
        </w:rPr>
        <w:t>el</w:t>
      </w:r>
      <w:r>
        <w:rPr>
          <w:spacing w:val="-16"/>
          <w:sz w:val="24"/>
        </w:rPr>
        <w:t xml:space="preserve"> </w:t>
      </w:r>
      <w:r>
        <w:rPr>
          <w:sz w:val="24"/>
        </w:rPr>
        <w:t>Consejo</w:t>
      </w:r>
      <w:r>
        <w:rPr>
          <w:spacing w:val="-14"/>
          <w:sz w:val="24"/>
        </w:rPr>
        <w:t xml:space="preserve"> </w:t>
      </w:r>
      <w:r>
        <w:rPr>
          <w:sz w:val="24"/>
        </w:rPr>
        <w:t>de</w:t>
      </w:r>
      <w:r>
        <w:rPr>
          <w:spacing w:val="-14"/>
          <w:sz w:val="24"/>
        </w:rPr>
        <w:t xml:space="preserve"> </w:t>
      </w:r>
      <w:r>
        <w:rPr>
          <w:sz w:val="24"/>
        </w:rPr>
        <w:t>Estado</w:t>
      </w:r>
      <w:r>
        <w:rPr>
          <w:spacing w:val="-14"/>
          <w:sz w:val="24"/>
        </w:rPr>
        <w:t xml:space="preserve"> </w:t>
      </w:r>
      <w:r>
        <w:rPr>
          <w:sz w:val="24"/>
        </w:rPr>
        <w:t>ha</w:t>
      </w:r>
      <w:r>
        <w:rPr>
          <w:spacing w:val="-15"/>
          <w:sz w:val="24"/>
        </w:rPr>
        <w:t xml:space="preserve"> </w:t>
      </w:r>
      <w:r>
        <w:rPr>
          <w:sz w:val="24"/>
        </w:rPr>
        <w:t>reconocido</w:t>
      </w:r>
      <w:r>
        <w:rPr>
          <w:spacing w:val="-13"/>
          <w:sz w:val="24"/>
        </w:rPr>
        <w:t xml:space="preserve"> </w:t>
      </w:r>
      <w:r>
        <w:rPr>
          <w:sz w:val="24"/>
        </w:rPr>
        <w:t>que,</w:t>
      </w:r>
      <w:r>
        <w:rPr>
          <w:spacing w:val="-16"/>
          <w:sz w:val="24"/>
        </w:rPr>
        <w:t xml:space="preserve"> </w:t>
      </w:r>
      <w:r>
        <w:rPr>
          <w:sz w:val="24"/>
        </w:rPr>
        <w:t>si</w:t>
      </w:r>
      <w:r>
        <w:rPr>
          <w:spacing w:val="-14"/>
          <w:sz w:val="24"/>
        </w:rPr>
        <w:t xml:space="preserve"> </w:t>
      </w:r>
      <w:r>
        <w:rPr>
          <w:sz w:val="24"/>
        </w:rPr>
        <w:t>bien</w:t>
      </w:r>
      <w:r>
        <w:rPr>
          <w:spacing w:val="-16"/>
          <w:sz w:val="24"/>
        </w:rPr>
        <w:t xml:space="preserve"> </w:t>
      </w:r>
      <w:r>
        <w:rPr>
          <w:sz w:val="24"/>
        </w:rPr>
        <w:t>los</w:t>
      </w:r>
      <w:r>
        <w:rPr>
          <w:spacing w:val="-15"/>
          <w:sz w:val="24"/>
        </w:rPr>
        <w:t xml:space="preserve"> </w:t>
      </w:r>
      <w:r>
        <w:rPr>
          <w:sz w:val="24"/>
        </w:rPr>
        <w:t>nacionales y</w:t>
      </w:r>
      <w:r>
        <w:rPr>
          <w:spacing w:val="-15"/>
          <w:sz w:val="24"/>
        </w:rPr>
        <w:t xml:space="preserve"> </w:t>
      </w:r>
      <w:r>
        <w:rPr>
          <w:sz w:val="24"/>
        </w:rPr>
        <w:t>los</w:t>
      </w:r>
      <w:r>
        <w:rPr>
          <w:spacing w:val="-15"/>
          <w:sz w:val="24"/>
        </w:rPr>
        <w:t xml:space="preserve"> </w:t>
      </w:r>
      <w:r>
        <w:rPr>
          <w:sz w:val="24"/>
        </w:rPr>
        <w:t>extranjeros</w:t>
      </w:r>
      <w:r>
        <w:rPr>
          <w:spacing w:val="-15"/>
          <w:sz w:val="24"/>
        </w:rPr>
        <w:t xml:space="preserve"> </w:t>
      </w:r>
      <w:r>
        <w:rPr>
          <w:sz w:val="24"/>
        </w:rPr>
        <w:t>tiene</w:t>
      </w:r>
      <w:r>
        <w:rPr>
          <w:spacing w:val="-15"/>
          <w:sz w:val="24"/>
        </w:rPr>
        <w:t xml:space="preserve"> </w:t>
      </w:r>
      <w:r>
        <w:rPr>
          <w:sz w:val="24"/>
        </w:rPr>
        <w:t>obligaciones</w:t>
      </w:r>
      <w:r>
        <w:rPr>
          <w:spacing w:val="-15"/>
          <w:sz w:val="24"/>
        </w:rPr>
        <w:t xml:space="preserve"> </w:t>
      </w:r>
      <w:r>
        <w:rPr>
          <w:sz w:val="24"/>
        </w:rPr>
        <w:t>e</w:t>
      </w:r>
      <w:r>
        <w:rPr>
          <w:spacing w:val="-13"/>
          <w:sz w:val="24"/>
        </w:rPr>
        <w:t xml:space="preserve"> </w:t>
      </w:r>
      <w:r>
        <w:rPr>
          <w:sz w:val="24"/>
        </w:rPr>
        <w:t>incluso</w:t>
      </w:r>
      <w:r>
        <w:rPr>
          <w:spacing w:val="-15"/>
          <w:sz w:val="24"/>
        </w:rPr>
        <w:t xml:space="preserve"> </w:t>
      </w:r>
      <w:r>
        <w:rPr>
          <w:sz w:val="24"/>
        </w:rPr>
        <w:t>restricciones,</w:t>
      </w:r>
      <w:r>
        <w:rPr>
          <w:spacing w:val="-10"/>
          <w:sz w:val="24"/>
        </w:rPr>
        <w:t xml:space="preserve"> </w:t>
      </w:r>
      <w:r>
        <w:rPr>
          <w:i/>
          <w:sz w:val="24"/>
        </w:rPr>
        <w:t>“(…)</w:t>
      </w:r>
      <w:r>
        <w:rPr>
          <w:i/>
          <w:spacing w:val="-16"/>
          <w:sz w:val="24"/>
        </w:rPr>
        <w:t xml:space="preserve"> </w:t>
      </w:r>
      <w:r>
        <w:rPr>
          <w:i/>
          <w:sz w:val="24"/>
        </w:rPr>
        <w:t>el</w:t>
      </w:r>
      <w:r>
        <w:rPr>
          <w:i/>
          <w:spacing w:val="-15"/>
          <w:sz w:val="24"/>
        </w:rPr>
        <w:t xml:space="preserve"> </w:t>
      </w:r>
      <w:r>
        <w:rPr>
          <w:i/>
          <w:sz w:val="24"/>
        </w:rPr>
        <w:t>gobierno nacional</w:t>
      </w:r>
      <w:r>
        <w:rPr>
          <w:i/>
          <w:spacing w:val="-7"/>
          <w:sz w:val="24"/>
        </w:rPr>
        <w:t xml:space="preserve"> </w:t>
      </w:r>
      <w:r>
        <w:rPr>
          <w:i/>
          <w:sz w:val="24"/>
        </w:rPr>
        <w:t>tiene</w:t>
      </w:r>
      <w:r>
        <w:rPr>
          <w:i/>
          <w:spacing w:val="-7"/>
          <w:sz w:val="24"/>
        </w:rPr>
        <w:t xml:space="preserve"> </w:t>
      </w:r>
      <w:r>
        <w:rPr>
          <w:i/>
          <w:sz w:val="24"/>
        </w:rPr>
        <w:t>como</w:t>
      </w:r>
      <w:r>
        <w:rPr>
          <w:i/>
          <w:spacing w:val="-7"/>
          <w:sz w:val="24"/>
        </w:rPr>
        <w:t xml:space="preserve"> </w:t>
      </w:r>
      <w:r>
        <w:rPr>
          <w:i/>
          <w:sz w:val="24"/>
        </w:rPr>
        <w:t>obligación</w:t>
      </w:r>
      <w:r>
        <w:rPr>
          <w:i/>
          <w:spacing w:val="-8"/>
          <w:sz w:val="24"/>
        </w:rPr>
        <w:t xml:space="preserve"> </w:t>
      </w:r>
      <w:r>
        <w:rPr>
          <w:i/>
          <w:sz w:val="24"/>
        </w:rPr>
        <w:t>velar</w:t>
      </w:r>
      <w:r>
        <w:rPr>
          <w:i/>
          <w:spacing w:val="-7"/>
          <w:sz w:val="24"/>
        </w:rPr>
        <w:t xml:space="preserve"> </w:t>
      </w:r>
      <w:r>
        <w:rPr>
          <w:i/>
          <w:sz w:val="24"/>
        </w:rPr>
        <w:t>por</w:t>
      </w:r>
      <w:r>
        <w:rPr>
          <w:i/>
          <w:spacing w:val="-5"/>
          <w:sz w:val="24"/>
        </w:rPr>
        <w:t xml:space="preserve"> </w:t>
      </w:r>
      <w:r>
        <w:rPr>
          <w:i/>
          <w:sz w:val="24"/>
        </w:rPr>
        <w:t>la</w:t>
      </w:r>
      <w:r>
        <w:rPr>
          <w:i/>
          <w:spacing w:val="-7"/>
          <w:sz w:val="24"/>
        </w:rPr>
        <w:t xml:space="preserve"> </w:t>
      </w:r>
      <w:r>
        <w:rPr>
          <w:i/>
          <w:sz w:val="24"/>
        </w:rPr>
        <w:t>tranquilidad</w:t>
      </w:r>
      <w:r>
        <w:rPr>
          <w:i/>
          <w:spacing w:val="-8"/>
          <w:sz w:val="24"/>
        </w:rPr>
        <w:t xml:space="preserve"> </w:t>
      </w:r>
      <w:r>
        <w:rPr>
          <w:i/>
          <w:sz w:val="24"/>
        </w:rPr>
        <w:t>de</w:t>
      </w:r>
      <w:r>
        <w:rPr>
          <w:i/>
          <w:spacing w:val="-2"/>
          <w:sz w:val="24"/>
        </w:rPr>
        <w:t xml:space="preserve"> </w:t>
      </w:r>
      <w:r>
        <w:rPr>
          <w:i/>
          <w:sz w:val="24"/>
        </w:rPr>
        <w:t>subnacionales</w:t>
      </w:r>
      <w:r>
        <w:rPr>
          <w:i/>
          <w:spacing w:val="-7"/>
          <w:sz w:val="24"/>
        </w:rPr>
        <w:t xml:space="preserve"> </w:t>
      </w:r>
      <w:r>
        <w:rPr>
          <w:i/>
          <w:sz w:val="24"/>
        </w:rPr>
        <w:t xml:space="preserve">y de los extranjeros que se encuentren en el territorio nacional. </w:t>
      </w:r>
      <w:r>
        <w:rPr>
          <w:sz w:val="24"/>
        </w:rPr>
        <w:t>(NR 11001- 03-24-000-2003-00285-01 del 19 de junio de 2008).</w:t>
      </w:r>
    </w:p>
    <w:p w14:paraId="78562A17" w14:textId="77777777" w:rsidR="000E52B0" w:rsidRDefault="00F60D74">
      <w:pPr>
        <w:spacing w:before="161"/>
        <w:ind w:left="720" w:right="716"/>
        <w:jc w:val="both"/>
        <w:rPr>
          <w:i/>
          <w:sz w:val="24"/>
        </w:rPr>
      </w:pPr>
      <w:r>
        <w:rPr>
          <w:sz w:val="24"/>
        </w:rPr>
        <w:t>En Sentencia T-535 de 2020 (MP José Fernando Reyes Cuartas), la Corte recalca que la condición de migrante y mujer, especialmente en situación irregular</w:t>
      </w:r>
      <w:r>
        <w:rPr>
          <w:spacing w:val="-15"/>
          <w:sz w:val="24"/>
        </w:rPr>
        <w:t xml:space="preserve"> </w:t>
      </w:r>
      <w:r>
        <w:rPr>
          <w:sz w:val="24"/>
        </w:rPr>
        <w:t>y</w:t>
      </w:r>
      <w:r>
        <w:rPr>
          <w:spacing w:val="-16"/>
          <w:sz w:val="24"/>
        </w:rPr>
        <w:t xml:space="preserve"> </w:t>
      </w:r>
      <w:r>
        <w:rPr>
          <w:sz w:val="24"/>
        </w:rPr>
        <w:t>en</w:t>
      </w:r>
      <w:r>
        <w:rPr>
          <w:spacing w:val="-14"/>
          <w:sz w:val="24"/>
        </w:rPr>
        <w:t xml:space="preserve"> </w:t>
      </w:r>
      <w:r>
        <w:rPr>
          <w:sz w:val="24"/>
        </w:rPr>
        <w:t>el</w:t>
      </w:r>
      <w:r>
        <w:rPr>
          <w:spacing w:val="-16"/>
          <w:sz w:val="24"/>
        </w:rPr>
        <w:t xml:space="preserve"> </w:t>
      </w:r>
      <w:r>
        <w:rPr>
          <w:sz w:val="24"/>
        </w:rPr>
        <w:t>ámbito</w:t>
      </w:r>
      <w:r>
        <w:rPr>
          <w:spacing w:val="-13"/>
          <w:sz w:val="24"/>
        </w:rPr>
        <w:t xml:space="preserve"> </w:t>
      </w:r>
      <w:r>
        <w:rPr>
          <w:sz w:val="24"/>
        </w:rPr>
        <w:t>laboral</w:t>
      </w:r>
      <w:r>
        <w:rPr>
          <w:spacing w:val="-14"/>
          <w:sz w:val="24"/>
        </w:rPr>
        <w:t xml:space="preserve"> </w:t>
      </w:r>
      <w:r>
        <w:rPr>
          <w:sz w:val="24"/>
        </w:rPr>
        <w:t>genera</w:t>
      </w:r>
      <w:r>
        <w:rPr>
          <w:spacing w:val="-13"/>
          <w:sz w:val="24"/>
        </w:rPr>
        <w:t xml:space="preserve"> </w:t>
      </w:r>
      <w:r>
        <w:rPr>
          <w:sz w:val="24"/>
        </w:rPr>
        <w:t>grandes</w:t>
      </w:r>
      <w:r>
        <w:rPr>
          <w:spacing w:val="-16"/>
          <w:sz w:val="24"/>
        </w:rPr>
        <w:t xml:space="preserve"> </w:t>
      </w:r>
      <w:r>
        <w:rPr>
          <w:sz w:val="24"/>
        </w:rPr>
        <w:t>desigualdades</w:t>
      </w:r>
      <w:r>
        <w:rPr>
          <w:spacing w:val="-16"/>
          <w:sz w:val="24"/>
        </w:rPr>
        <w:t xml:space="preserve"> </w:t>
      </w:r>
      <w:r>
        <w:rPr>
          <w:sz w:val="24"/>
        </w:rPr>
        <w:t>y</w:t>
      </w:r>
      <w:r>
        <w:rPr>
          <w:spacing w:val="-16"/>
          <w:sz w:val="24"/>
        </w:rPr>
        <w:t xml:space="preserve"> </w:t>
      </w:r>
      <w:r>
        <w:rPr>
          <w:sz w:val="24"/>
        </w:rPr>
        <w:t>enfatiza</w:t>
      </w:r>
      <w:r>
        <w:rPr>
          <w:spacing w:val="-15"/>
          <w:sz w:val="24"/>
        </w:rPr>
        <w:t xml:space="preserve"> </w:t>
      </w:r>
      <w:r>
        <w:rPr>
          <w:sz w:val="24"/>
        </w:rPr>
        <w:t xml:space="preserve">en que </w:t>
      </w:r>
      <w:r>
        <w:rPr>
          <w:i/>
          <w:sz w:val="24"/>
        </w:rPr>
        <w:t>“(…) El Estado colombiano ha adquirido una serie de obligaciones a través de diferentes instrumentos internacionales, entre ellas, el deber de hacer respetar a todos los trabajadores migratorios y sus familiares, las condiciones de vida adecuadas sin distinción alguna.</w:t>
      </w:r>
      <w:r>
        <w:rPr>
          <w:i/>
          <w:spacing w:val="40"/>
          <w:sz w:val="24"/>
        </w:rPr>
        <w:t xml:space="preserve"> </w:t>
      </w:r>
      <w:r>
        <w:rPr>
          <w:i/>
          <w:sz w:val="24"/>
        </w:rPr>
        <w:t>En tal sentido es deber</w:t>
      </w:r>
      <w:r>
        <w:rPr>
          <w:i/>
          <w:spacing w:val="-3"/>
          <w:sz w:val="24"/>
        </w:rPr>
        <w:t xml:space="preserve"> </w:t>
      </w:r>
      <w:r>
        <w:rPr>
          <w:i/>
          <w:sz w:val="24"/>
        </w:rPr>
        <w:t>de</w:t>
      </w:r>
      <w:r>
        <w:rPr>
          <w:i/>
          <w:spacing w:val="-3"/>
          <w:sz w:val="24"/>
        </w:rPr>
        <w:t xml:space="preserve"> </w:t>
      </w:r>
      <w:r>
        <w:rPr>
          <w:i/>
          <w:sz w:val="24"/>
        </w:rPr>
        <w:t>las</w:t>
      </w:r>
      <w:r>
        <w:rPr>
          <w:i/>
          <w:spacing w:val="-2"/>
          <w:sz w:val="24"/>
        </w:rPr>
        <w:t xml:space="preserve"> </w:t>
      </w:r>
      <w:r>
        <w:rPr>
          <w:i/>
          <w:sz w:val="24"/>
        </w:rPr>
        <w:t>autoridades</w:t>
      </w:r>
      <w:r>
        <w:rPr>
          <w:i/>
          <w:spacing w:val="-4"/>
          <w:sz w:val="24"/>
        </w:rPr>
        <w:t xml:space="preserve"> </w:t>
      </w:r>
      <w:r>
        <w:rPr>
          <w:i/>
          <w:sz w:val="24"/>
        </w:rPr>
        <w:t>evitar</w:t>
      </w:r>
      <w:r>
        <w:rPr>
          <w:i/>
          <w:spacing w:val="-1"/>
          <w:sz w:val="24"/>
        </w:rPr>
        <w:t xml:space="preserve"> </w:t>
      </w:r>
      <w:r>
        <w:rPr>
          <w:i/>
          <w:sz w:val="24"/>
        </w:rPr>
        <w:t>que</w:t>
      </w:r>
      <w:r>
        <w:rPr>
          <w:i/>
          <w:spacing w:val="-3"/>
          <w:sz w:val="24"/>
        </w:rPr>
        <w:t xml:space="preserve"> </w:t>
      </w:r>
      <w:r>
        <w:rPr>
          <w:i/>
          <w:sz w:val="24"/>
        </w:rPr>
        <w:t>la</w:t>
      </w:r>
      <w:r>
        <w:rPr>
          <w:i/>
          <w:spacing w:val="-3"/>
          <w:sz w:val="24"/>
        </w:rPr>
        <w:t xml:space="preserve"> </w:t>
      </w:r>
      <w:r>
        <w:rPr>
          <w:i/>
          <w:sz w:val="24"/>
        </w:rPr>
        <w:t>problemática</w:t>
      </w:r>
      <w:r>
        <w:rPr>
          <w:i/>
          <w:spacing w:val="-2"/>
          <w:sz w:val="24"/>
        </w:rPr>
        <w:t xml:space="preserve"> </w:t>
      </w:r>
      <w:r>
        <w:rPr>
          <w:i/>
          <w:sz w:val="24"/>
        </w:rPr>
        <w:t>laboral generada</w:t>
      </w:r>
      <w:r>
        <w:rPr>
          <w:i/>
          <w:spacing w:val="-4"/>
          <w:sz w:val="24"/>
        </w:rPr>
        <w:t xml:space="preserve"> </w:t>
      </w:r>
      <w:r>
        <w:rPr>
          <w:i/>
          <w:sz w:val="24"/>
        </w:rPr>
        <w:t>en</w:t>
      </w:r>
      <w:r>
        <w:rPr>
          <w:i/>
          <w:spacing w:val="-4"/>
          <w:sz w:val="24"/>
        </w:rPr>
        <w:t xml:space="preserve"> </w:t>
      </w:r>
      <w:r>
        <w:rPr>
          <w:i/>
          <w:sz w:val="24"/>
        </w:rPr>
        <w:t>el marco</w:t>
      </w:r>
      <w:r>
        <w:rPr>
          <w:i/>
          <w:spacing w:val="-22"/>
          <w:sz w:val="24"/>
        </w:rPr>
        <w:t xml:space="preserve"> </w:t>
      </w:r>
      <w:r>
        <w:rPr>
          <w:i/>
          <w:sz w:val="24"/>
        </w:rPr>
        <w:t>de</w:t>
      </w:r>
      <w:r>
        <w:rPr>
          <w:i/>
          <w:spacing w:val="-21"/>
          <w:sz w:val="24"/>
        </w:rPr>
        <w:t xml:space="preserve"> </w:t>
      </w:r>
      <w:r>
        <w:rPr>
          <w:i/>
          <w:sz w:val="24"/>
        </w:rPr>
        <w:t>las</w:t>
      </w:r>
      <w:r>
        <w:rPr>
          <w:i/>
          <w:spacing w:val="-21"/>
          <w:sz w:val="24"/>
        </w:rPr>
        <w:t xml:space="preserve"> </w:t>
      </w:r>
      <w:r>
        <w:rPr>
          <w:i/>
          <w:sz w:val="24"/>
        </w:rPr>
        <w:t>migraciones</w:t>
      </w:r>
      <w:r>
        <w:rPr>
          <w:i/>
          <w:spacing w:val="-21"/>
          <w:sz w:val="24"/>
        </w:rPr>
        <w:t xml:space="preserve"> </w:t>
      </w:r>
      <w:r>
        <w:rPr>
          <w:i/>
          <w:sz w:val="24"/>
        </w:rPr>
        <w:t>masivas</w:t>
      </w:r>
      <w:r>
        <w:rPr>
          <w:i/>
          <w:spacing w:val="-21"/>
          <w:sz w:val="24"/>
        </w:rPr>
        <w:t xml:space="preserve"> </w:t>
      </w:r>
      <w:r>
        <w:rPr>
          <w:i/>
          <w:sz w:val="24"/>
        </w:rPr>
        <w:t>se</w:t>
      </w:r>
      <w:r>
        <w:rPr>
          <w:i/>
          <w:spacing w:val="-21"/>
          <w:sz w:val="24"/>
        </w:rPr>
        <w:t xml:space="preserve"> </w:t>
      </w:r>
      <w:r>
        <w:rPr>
          <w:i/>
          <w:sz w:val="24"/>
        </w:rPr>
        <w:t>traduzca</w:t>
      </w:r>
      <w:r>
        <w:rPr>
          <w:i/>
          <w:spacing w:val="-21"/>
          <w:sz w:val="24"/>
        </w:rPr>
        <w:t xml:space="preserve"> </w:t>
      </w:r>
      <w:r>
        <w:rPr>
          <w:i/>
          <w:sz w:val="24"/>
        </w:rPr>
        <w:t>en</w:t>
      </w:r>
      <w:r>
        <w:rPr>
          <w:i/>
          <w:spacing w:val="-21"/>
          <w:sz w:val="24"/>
        </w:rPr>
        <w:t xml:space="preserve"> </w:t>
      </w:r>
      <w:r>
        <w:rPr>
          <w:i/>
          <w:sz w:val="24"/>
        </w:rPr>
        <w:t>un</w:t>
      </w:r>
      <w:r>
        <w:rPr>
          <w:i/>
          <w:spacing w:val="-21"/>
          <w:sz w:val="24"/>
        </w:rPr>
        <w:t xml:space="preserve"> </w:t>
      </w:r>
      <w:r>
        <w:rPr>
          <w:i/>
          <w:sz w:val="24"/>
        </w:rPr>
        <w:t>trato</w:t>
      </w:r>
      <w:r>
        <w:rPr>
          <w:i/>
          <w:spacing w:val="-21"/>
          <w:sz w:val="24"/>
        </w:rPr>
        <w:t xml:space="preserve"> </w:t>
      </w:r>
      <w:r>
        <w:rPr>
          <w:i/>
          <w:sz w:val="24"/>
        </w:rPr>
        <w:t>menos</w:t>
      </w:r>
      <w:r>
        <w:rPr>
          <w:i/>
          <w:spacing w:val="-22"/>
          <w:sz w:val="24"/>
        </w:rPr>
        <w:t xml:space="preserve"> </w:t>
      </w:r>
      <w:r>
        <w:rPr>
          <w:i/>
          <w:sz w:val="24"/>
        </w:rPr>
        <w:t>favorable, particularmente, para quienes ingresan en condiciones de irregularidad.”</w:t>
      </w:r>
    </w:p>
    <w:p w14:paraId="1C99A487" w14:textId="77777777" w:rsidR="000E52B0" w:rsidRDefault="00F60D74">
      <w:pPr>
        <w:pStyle w:val="Textoindependiente"/>
        <w:spacing w:before="161"/>
        <w:ind w:right="717"/>
        <w:jc w:val="both"/>
      </w:pPr>
      <w:r>
        <w:t>Ahora bien, esta misma corporación, en Sentencia T-236 de 2021 (MP Antonio</w:t>
      </w:r>
      <w:r>
        <w:rPr>
          <w:spacing w:val="7"/>
        </w:rPr>
        <w:t xml:space="preserve"> </w:t>
      </w:r>
      <w:r>
        <w:t>José</w:t>
      </w:r>
      <w:r>
        <w:rPr>
          <w:spacing w:val="7"/>
        </w:rPr>
        <w:t xml:space="preserve"> </w:t>
      </w:r>
      <w:r>
        <w:t>Lizarazo</w:t>
      </w:r>
      <w:r>
        <w:rPr>
          <w:spacing w:val="7"/>
        </w:rPr>
        <w:t xml:space="preserve"> </w:t>
      </w:r>
      <w:r>
        <w:t>Ocampo)</w:t>
      </w:r>
      <w:r>
        <w:rPr>
          <w:spacing w:val="8"/>
        </w:rPr>
        <w:t xml:space="preserve"> </w:t>
      </w:r>
      <w:r>
        <w:t>manifiesta</w:t>
      </w:r>
      <w:r>
        <w:rPr>
          <w:spacing w:val="7"/>
        </w:rPr>
        <w:t xml:space="preserve"> </w:t>
      </w:r>
      <w:r>
        <w:t>que</w:t>
      </w:r>
      <w:r>
        <w:rPr>
          <w:spacing w:val="7"/>
        </w:rPr>
        <w:t xml:space="preserve"> </w:t>
      </w:r>
      <w:r>
        <w:t>los</w:t>
      </w:r>
      <w:r>
        <w:rPr>
          <w:spacing w:val="9"/>
        </w:rPr>
        <w:t xml:space="preserve"> </w:t>
      </w:r>
      <w:r>
        <w:t>migrantes</w:t>
      </w:r>
      <w:r>
        <w:rPr>
          <w:spacing w:val="6"/>
        </w:rPr>
        <w:t xml:space="preserve"> </w:t>
      </w:r>
      <w:r>
        <w:t>y</w:t>
      </w:r>
      <w:r>
        <w:rPr>
          <w:spacing w:val="7"/>
        </w:rPr>
        <w:t xml:space="preserve"> </w:t>
      </w:r>
      <w:r>
        <w:rPr>
          <w:spacing w:val="-2"/>
        </w:rPr>
        <w:t>refugiados</w:t>
      </w:r>
    </w:p>
    <w:p w14:paraId="4D497F5F" w14:textId="77777777" w:rsidR="000E52B0" w:rsidRDefault="000E52B0">
      <w:pPr>
        <w:pStyle w:val="Textoindependiente"/>
        <w:jc w:val="both"/>
        <w:sectPr w:rsidR="000E52B0">
          <w:pgSz w:w="11910" w:h="16840"/>
          <w:pgMar w:top="1340" w:right="720" w:bottom="1180" w:left="720" w:header="0" w:footer="995" w:gutter="0"/>
          <w:cols w:space="720"/>
        </w:sectPr>
      </w:pPr>
    </w:p>
    <w:p w14:paraId="17A83F6C" w14:textId="77777777" w:rsidR="000E52B0" w:rsidRDefault="00F60D74">
      <w:pPr>
        <w:pStyle w:val="Textoindependiente"/>
        <w:spacing w:before="83"/>
        <w:ind w:right="717"/>
        <w:jc w:val="both"/>
      </w:pPr>
      <w:r>
        <w:lastRenderedPageBreak/>
        <w:t>en</w:t>
      </w:r>
      <w:r>
        <w:rPr>
          <w:spacing w:val="-3"/>
        </w:rPr>
        <w:t xml:space="preserve"> </w:t>
      </w:r>
      <w:r>
        <w:t>Colombia</w:t>
      </w:r>
      <w:r>
        <w:rPr>
          <w:spacing w:val="-3"/>
        </w:rPr>
        <w:t xml:space="preserve"> </w:t>
      </w:r>
      <w:r>
        <w:t>tienen derechos</w:t>
      </w:r>
      <w:r>
        <w:rPr>
          <w:spacing w:val="-2"/>
        </w:rPr>
        <w:t xml:space="preserve"> </w:t>
      </w:r>
      <w:r>
        <w:t>fundamentales</w:t>
      </w:r>
      <w:r>
        <w:rPr>
          <w:spacing w:val="-3"/>
        </w:rPr>
        <w:t xml:space="preserve"> </w:t>
      </w:r>
      <w:r>
        <w:t>que</w:t>
      </w:r>
      <w:r>
        <w:rPr>
          <w:spacing w:val="-2"/>
        </w:rPr>
        <w:t xml:space="preserve"> </w:t>
      </w:r>
      <w:r>
        <w:t>deben</w:t>
      </w:r>
      <w:r>
        <w:rPr>
          <w:spacing w:val="-3"/>
        </w:rPr>
        <w:t xml:space="preserve"> </w:t>
      </w:r>
      <w:r>
        <w:t>ser</w:t>
      </w:r>
      <w:r>
        <w:rPr>
          <w:spacing w:val="-1"/>
        </w:rPr>
        <w:t xml:space="preserve"> </w:t>
      </w:r>
      <w:r>
        <w:t>protegidos</w:t>
      </w:r>
      <w:r>
        <w:rPr>
          <w:spacing w:val="-3"/>
        </w:rPr>
        <w:t xml:space="preserve"> </w:t>
      </w:r>
      <w:r>
        <w:t>por las autoridades y la sociedad en su conjunto. Esto incluye el derecho a la vida, la integridad</w:t>
      </w:r>
      <w:r>
        <w:rPr>
          <w:spacing w:val="-1"/>
        </w:rPr>
        <w:t xml:space="preserve"> </w:t>
      </w:r>
      <w:r>
        <w:t>personal,</w:t>
      </w:r>
      <w:r>
        <w:rPr>
          <w:spacing w:val="-2"/>
        </w:rPr>
        <w:t xml:space="preserve"> </w:t>
      </w:r>
      <w:r>
        <w:t>la igualdad,</w:t>
      </w:r>
      <w:r>
        <w:rPr>
          <w:spacing w:val="-2"/>
        </w:rPr>
        <w:t xml:space="preserve"> </w:t>
      </w:r>
      <w:r>
        <w:t>la no discriminación</w:t>
      </w:r>
      <w:r>
        <w:rPr>
          <w:spacing w:val="-1"/>
        </w:rPr>
        <w:t xml:space="preserve"> </w:t>
      </w:r>
      <w:r>
        <w:t>y</w:t>
      </w:r>
      <w:r>
        <w:rPr>
          <w:spacing w:val="-1"/>
        </w:rPr>
        <w:t xml:space="preserve"> </w:t>
      </w:r>
      <w:r>
        <w:t>el acceso a servicios</w:t>
      </w:r>
      <w:r>
        <w:rPr>
          <w:spacing w:val="-22"/>
        </w:rPr>
        <w:t xml:space="preserve"> </w:t>
      </w:r>
      <w:r>
        <w:t>básicos,</w:t>
      </w:r>
      <w:r>
        <w:rPr>
          <w:spacing w:val="-21"/>
        </w:rPr>
        <w:t xml:space="preserve"> </w:t>
      </w:r>
      <w:r>
        <w:t>como</w:t>
      </w:r>
      <w:r>
        <w:rPr>
          <w:spacing w:val="-19"/>
        </w:rPr>
        <w:t xml:space="preserve"> </w:t>
      </w:r>
      <w:r>
        <w:t>la</w:t>
      </w:r>
      <w:r>
        <w:rPr>
          <w:spacing w:val="-21"/>
        </w:rPr>
        <w:t xml:space="preserve"> </w:t>
      </w:r>
      <w:r>
        <w:t>atención</w:t>
      </w:r>
      <w:r>
        <w:rPr>
          <w:spacing w:val="-19"/>
        </w:rPr>
        <w:t xml:space="preserve"> </w:t>
      </w:r>
      <w:r>
        <w:t>médica</w:t>
      </w:r>
      <w:r>
        <w:rPr>
          <w:spacing w:val="-21"/>
        </w:rPr>
        <w:t xml:space="preserve"> </w:t>
      </w:r>
      <w:r>
        <w:t>y</w:t>
      </w:r>
      <w:r>
        <w:rPr>
          <w:spacing w:val="-21"/>
        </w:rPr>
        <w:t xml:space="preserve"> </w:t>
      </w:r>
      <w:r>
        <w:t>la</w:t>
      </w:r>
      <w:r>
        <w:rPr>
          <w:spacing w:val="-21"/>
        </w:rPr>
        <w:t xml:space="preserve"> </w:t>
      </w:r>
      <w:r>
        <w:t>educación.</w:t>
      </w:r>
      <w:r>
        <w:rPr>
          <w:spacing w:val="-22"/>
        </w:rPr>
        <w:t xml:space="preserve"> </w:t>
      </w:r>
      <w:r>
        <w:t>También</w:t>
      </w:r>
      <w:r>
        <w:rPr>
          <w:spacing w:val="-20"/>
        </w:rPr>
        <w:t xml:space="preserve"> </w:t>
      </w:r>
      <w:r>
        <w:t>destaca la importancia del acceso a la educación para los migrantes y refugiados, en especial para los niños, niñas y adolescentes.</w:t>
      </w:r>
    </w:p>
    <w:p w14:paraId="2C95D8E5" w14:textId="77777777" w:rsidR="000E52B0" w:rsidRDefault="00F60D74">
      <w:pPr>
        <w:pStyle w:val="Textoindependiente"/>
        <w:spacing w:before="158"/>
        <w:ind w:right="719"/>
        <w:jc w:val="both"/>
      </w:pPr>
      <w:r>
        <w:t>A partir</w:t>
      </w:r>
      <w:r>
        <w:rPr>
          <w:spacing w:val="40"/>
        </w:rPr>
        <w:t xml:space="preserve"> </w:t>
      </w:r>
      <w:r>
        <w:t>de los pronunciamientos jurisprudenciales antes señalados, el Ministerio de Igualdad y Equidad, desde su</w:t>
      </w:r>
      <w:r>
        <w:rPr>
          <w:spacing w:val="40"/>
        </w:rPr>
        <w:t xml:space="preserve"> </w:t>
      </w:r>
      <w:r>
        <w:t>Dirección para la Población Migrante</w:t>
      </w:r>
      <w:r>
        <w:rPr>
          <w:spacing w:val="-8"/>
        </w:rPr>
        <w:t xml:space="preserve"> </w:t>
      </w:r>
      <w:r>
        <w:t>del</w:t>
      </w:r>
      <w:r>
        <w:rPr>
          <w:spacing w:val="-10"/>
        </w:rPr>
        <w:t xml:space="preserve"> </w:t>
      </w:r>
      <w:r>
        <w:t>Viceministerio</w:t>
      </w:r>
      <w:r>
        <w:rPr>
          <w:spacing w:val="-8"/>
        </w:rPr>
        <w:t xml:space="preserve"> </w:t>
      </w:r>
      <w:r>
        <w:t>para</w:t>
      </w:r>
      <w:r>
        <w:rPr>
          <w:spacing w:val="-11"/>
        </w:rPr>
        <w:t xml:space="preserve"> </w:t>
      </w:r>
      <w:r>
        <w:t>las</w:t>
      </w:r>
      <w:r>
        <w:rPr>
          <w:spacing w:val="-9"/>
        </w:rPr>
        <w:t xml:space="preserve"> </w:t>
      </w:r>
      <w:r>
        <w:t>Poblaciones</w:t>
      </w:r>
      <w:r>
        <w:rPr>
          <w:spacing w:val="-9"/>
        </w:rPr>
        <w:t xml:space="preserve"> </w:t>
      </w:r>
      <w:r>
        <w:t>y</w:t>
      </w:r>
      <w:r>
        <w:rPr>
          <w:spacing w:val="-11"/>
        </w:rPr>
        <w:t xml:space="preserve"> </w:t>
      </w:r>
      <w:r>
        <w:t>Territorios</w:t>
      </w:r>
      <w:r>
        <w:rPr>
          <w:spacing w:val="-11"/>
        </w:rPr>
        <w:t xml:space="preserve"> </w:t>
      </w:r>
      <w:r>
        <w:t>Excluidos</w:t>
      </w:r>
      <w:r>
        <w:rPr>
          <w:spacing w:val="-11"/>
        </w:rPr>
        <w:t xml:space="preserve"> </w:t>
      </w:r>
      <w:r>
        <w:t>y</w:t>
      </w:r>
      <w:r>
        <w:rPr>
          <w:spacing w:val="-9"/>
        </w:rPr>
        <w:t xml:space="preserve"> </w:t>
      </w:r>
      <w:r>
        <w:t>la Superación</w:t>
      </w:r>
      <w:r>
        <w:rPr>
          <w:spacing w:val="-15"/>
        </w:rPr>
        <w:t xml:space="preserve"> </w:t>
      </w:r>
      <w:r>
        <w:t>de</w:t>
      </w:r>
      <w:r>
        <w:rPr>
          <w:spacing w:val="-14"/>
        </w:rPr>
        <w:t xml:space="preserve"> </w:t>
      </w:r>
      <w:r>
        <w:t>la</w:t>
      </w:r>
      <w:r>
        <w:rPr>
          <w:spacing w:val="-15"/>
        </w:rPr>
        <w:t xml:space="preserve"> </w:t>
      </w:r>
      <w:r>
        <w:t>Pobreza,</w:t>
      </w:r>
      <w:r>
        <w:rPr>
          <w:spacing w:val="-16"/>
        </w:rPr>
        <w:t xml:space="preserve"> </w:t>
      </w:r>
      <w:r>
        <w:t>tiene</w:t>
      </w:r>
      <w:r>
        <w:rPr>
          <w:spacing w:val="-14"/>
        </w:rPr>
        <w:t xml:space="preserve"> </w:t>
      </w:r>
      <w:r>
        <w:t>como</w:t>
      </w:r>
      <w:r>
        <w:rPr>
          <w:spacing w:val="-14"/>
        </w:rPr>
        <w:t xml:space="preserve"> </w:t>
      </w:r>
      <w:r>
        <w:t>finalidad</w:t>
      </w:r>
      <w:r>
        <w:rPr>
          <w:spacing w:val="-15"/>
        </w:rPr>
        <w:t xml:space="preserve"> </w:t>
      </w:r>
      <w:r>
        <w:t>adoptar</w:t>
      </w:r>
      <w:r>
        <w:rPr>
          <w:spacing w:val="-14"/>
        </w:rPr>
        <w:t xml:space="preserve"> </w:t>
      </w:r>
      <w:r>
        <w:t>y</w:t>
      </w:r>
      <w:r>
        <w:rPr>
          <w:spacing w:val="-15"/>
        </w:rPr>
        <w:t xml:space="preserve"> </w:t>
      </w:r>
      <w:r>
        <w:t>ejecutar</w:t>
      </w:r>
      <w:r>
        <w:rPr>
          <w:spacing w:val="-14"/>
        </w:rPr>
        <w:t xml:space="preserve"> </w:t>
      </w:r>
      <w:r>
        <w:t>políticas, planes, programas y proyectos orientados a fomentar la promoción de los derechos</w:t>
      </w:r>
      <w:r>
        <w:rPr>
          <w:spacing w:val="-10"/>
        </w:rPr>
        <w:t xml:space="preserve"> </w:t>
      </w:r>
      <w:r>
        <w:t>de</w:t>
      </w:r>
      <w:r>
        <w:rPr>
          <w:spacing w:val="-9"/>
        </w:rPr>
        <w:t xml:space="preserve"> </w:t>
      </w:r>
      <w:r>
        <w:t>la</w:t>
      </w:r>
      <w:r>
        <w:rPr>
          <w:spacing w:val="-10"/>
        </w:rPr>
        <w:t xml:space="preserve"> </w:t>
      </w:r>
      <w:r>
        <w:t>población</w:t>
      </w:r>
      <w:r>
        <w:rPr>
          <w:spacing w:val="-10"/>
        </w:rPr>
        <w:t xml:space="preserve"> </w:t>
      </w:r>
      <w:r>
        <w:t>migrante</w:t>
      </w:r>
      <w:r>
        <w:rPr>
          <w:spacing w:val="-9"/>
        </w:rPr>
        <w:t xml:space="preserve"> </w:t>
      </w:r>
      <w:r>
        <w:t>regular,</w:t>
      </w:r>
      <w:r>
        <w:rPr>
          <w:spacing w:val="-10"/>
        </w:rPr>
        <w:t xml:space="preserve"> </w:t>
      </w:r>
      <w:r>
        <w:t>irregular,</w:t>
      </w:r>
      <w:r>
        <w:rPr>
          <w:spacing w:val="-10"/>
        </w:rPr>
        <w:t xml:space="preserve"> </w:t>
      </w:r>
      <w:r>
        <w:t>refugiada,</w:t>
      </w:r>
      <w:r>
        <w:rPr>
          <w:spacing w:val="-11"/>
        </w:rPr>
        <w:t xml:space="preserve"> </w:t>
      </w:r>
      <w:r>
        <w:t>en</w:t>
      </w:r>
      <w:r>
        <w:rPr>
          <w:spacing w:val="-10"/>
        </w:rPr>
        <w:t xml:space="preserve"> </w:t>
      </w:r>
      <w:r>
        <w:t>tránsito y</w:t>
      </w:r>
      <w:r>
        <w:rPr>
          <w:spacing w:val="-4"/>
        </w:rPr>
        <w:t xml:space="preserve"> </w:t>
      </w:r>
      <w:r>
        <w:t>retornada</w:t>
      </w:r>
      <w:r>
        <w:rPr>
          <w:spacing w:val="-3"/>
        </w:rPr>
        <w:t xml:space="preserve"> </w:t>
      </w:r>
      <w:r>
        <w:t>en</w:t>
      </w:r>
      <w:r>
        <w:rPr>
          <w:spacing w:val="-4"/>
        </w:rPr>
        <w:t xml:space="preserve"> </w:t>
      </w:r>
      <w:r>
        <w:t>el</w:t>
      </w:r>
      <w:r>
        <w:rPr>
          <w:spacing w:val="-5"/>
        </w:rPr>
        <w:t xml:space="preserve"> </w:t>
      </w:r>
      <w:r>
        <w:t>país,</w:t>
      </w:r>
      <w:r>
        <w:rPr>
          <w:spacing w:val="-5"/>
        </w:rPr>
        <w:t xml:space="preserve"> </w:t>
      </w:r>
      <w:r>
        <w:t>la</w:t>
      </w:r>
      <w:r>
        <w:rPr>
          <w:spacing w:val="-3"/>
        </w:rPr>
        <w:t xml:space="preserve"> </w:t>
      </w:r>
      <w:r>
        <w:t>implementación</w:t>
      </w:r>
      <w:r>
        <w:rPr>
          <w:spacing w:val="-4"/>
        </w:rPr>
        <w:t xml:space="preserve"> </w:t>
      </w:r>
      <w:r>
        <w:t>de</w:t>
      </w:r>
      <w:r>
        <w:rPr>
          <w:spacing w:val="-3"/>
        </w:rPr>
        <w:t xml:space="preserve"> </w:t>
      </w:r>
      <w:r>
        <w:t>estrategias</w:t>
      </w:r>
      <w:r>
        <w:rPr>
          <w:spacing w:val="-4"/>
        </w:rPr>
        <w:t xml:space="preserve"> </w:t>
      </w:r>
      <w:r>
        <w:t>y</w:t>
      </w:r>
      <w:r>
        <w:rPr>
          <w:spacing w:val="-2"/>
        </w:rPr>
        <w:t xml:space="preserve"> </w:t>
      </w:r>
      <w:r>
        <w:t>políticas</w:t>
      </w:r>
      <w:r>
        <w:rPr>
          <w:spacing w:val="-4"/>
        </w:rPr>
        <w:t xml:space="preserve"> </w:t>
      </w:r>
      <w:r>
        <w:t>para</w:t>
      </w:r>
      <w:r>
        <w:rPr>
          <w:spacing w:val="-3"/>
        </w:rPr>
        <w:t xml:space="preserve"> </w:t>
      </w:r>
      <w:r>
        <w:t>la atención inmediata y humanitaria, la integración socioeconómica y productiva de esta población,</w:t>
      </w:r>
      <w:r>
        <w:rPr>
          <w:spacing w:val="40"/>
        </w:rPr>
        <w:t xml:space="preserve"> </w:t>
      </w:r>
      <w:r>
        <w:t>el acceso a servicios educativos, la protección y atención especializada de niños, niñas y adolescentes, así como</w:t>
      </w:r>
      <w:r>
        <w:rPr>
          <w:spacing w:val="-18"/>
        </w:rPr>
        <w:t xml:space="preserve"> </w:t>
      </w:r>
      <w:r>
        <w:t>la</w:t>
      </w:r>
      <w:r>
        <w:rPr>
          <w:spacing w:val="-19"/>
        </w:rPr>
        <w:t xml:space="preserve"> </w:t>
      </w:r>
      <w:r>
        <w:t>prevención</w:t>
      </w:r>
      <w:r>
        <w:rPr>
          <w:spacing w:val="-17"/>
        </w:rPr>
        <w:t xml:space="preserve"> </w:t>
      </w:r>
      <w:r>
        <w:t>de</w:t>
      </w:r>
      <w:r>
        <w:rPr>
          <w:spacing w:val="-17"/>
        </w:rPr>
        <w:t xml:space="preserve"> </w:t>
      </w:r>
      <w:r>
        <w:t>la</w:t>
      </w:r>
      <w:r>
        <w:rPr>
          <w:spacing w:val="-19"/>
        </w:rPr>
        <w:t xml:space="preserve"> </w:t>
      </w:r>
      <w:r>
        <w:t>violencia</w:t>
      </w:r>
      <w:r>
        <w:rPr>
          <w:spacing w:val="-19"/>
        </w:rPr>
        <w:t xml:space="preserve"> </w:t>
      </w:r>
      <w:r>
        <w:t>y</w:t>
      </w:r>
      <w:r>
        <w:rPr>
          <w:spacing w:val="-19"/>
        </w:rPr>
        <w:t xml:space="preserve"> </w:t>
      </w:r>
      <w:r>
        <w:t>explotación</w:t>
      </w:r>
      <w:r>
        <w:rPr>
          <w:spacing w:val="-17"/>
        </w:rPr>
        <w:t xml:space="preserve"> </w:t>
      </w:r>
      <w:r>
        <w:t>infantil.</w:t>
      </w:r>
      <w:r>
        <w:rPr>
          <w:spacing w:val="-20"/>
        </w:rPr>
        <w:t xml:space="preserve"> </w:t>
      </w:r>
      <w:r>
        <w:t>en</w:t>
      </w:r>
      <w:r>
        <w:rPr>
          <w:spacing w:val="-17"/>
        </w:rPr>
        <w:t xml:space="preserve"> </w:t>
      </w:r>
      <w:r>
        <w:t>articulación</w:t>
      </w:r>
      <w:r>
        <w:rPr>
          <w:spacing w:val="-19"/>
        </w:rPr>
        <w:t xml:space="preserve"> </w:t>
      </w:r>
      <w:r>
        <w:t>con el ICBF. Esto a partir de los principios definidos en la Política Integral Migratoria (PIM).</w:t>
      </w:r>
    </w:p>
    <w:p w14:paraId="0BAE87AF" w14:textId="77777777" w:rsidR="000E52B0" w:rsidRDefault="000E52B0">
      <w:pPr>
        <w:pStyle w:val="Textoindependiente"/>
        <w:spacing w:before="15"/>
        <w:ind w:left="0"/>
      </w:pPr>
    </w:p>
    <w:p w14:paraId="41980AC8" w14:textId="77777777" w:rsidR="000E52B0" w:rsidRDefault="00F60D74">
      <w:pPr>
        <w:pStyle w:val="Ttulo2"/>
        <w:ind w:right="723"/>
      </w:pPr>
      <w:bookmarkStart w:id="194" w:name="_bookmark194"/>
      <w:bookmarkEnd w:id="194"/>
      <w:r>
        <w:rPr>
          <w:color w:val="B3176C"/>
        </w:rPr>
        <w:t xml:space="preserve">Pronunciamientos convencionales sobre la necesidad de contar con políticas y estrategias de protección y garantía de derechos a las poblaciones ámbito de competencia del Ministerio de Igualdad y </w:t>
      </w:r>
      <w:r>
        <w:rPr>
          <w:color w:val="B3176C"/>
          <w:spacing w:val="-2"/>
        </w:rPr>
        <w:t>Equidad</w:t>
      </w:r>
    </w:p>
    <w:p w14:paraId="00E27C11" w14:textId="77777777" w:rsidR="000E52B0" w:rsidRDefault="00F60D74">
      <w:pPr>
        <w:pStyle w:val="Textoindependiente"/>
        <w:spacing w:before="295"/>
        <w:ind w:right="720"/>
        <w:jc w:val="both"/>
      </w:pPr>
      <w:r>
        <w:t>La</w:t>
      </w:r>
      <w:r>
        <w:rPr>
          <w:spacing w:val="-20"/>
        </w:rPr>
        <w:t xml:space="preserve"> </w:t>
      </w:r>
      <w:r>
        <w:t>Comisión</w:t>
      </w:r>
      <w:r>
        <w:rPr>
          <w:spacing w:val="-21"/>
        </w:rPr>
        <w:t xml:space="preserve"> </w:t>
      </w:r>
      <w:r>
        <w:t>Interamericana</w:t>
      </w:r>
      <w:r>
        <w:rPr>
          <w:spacing w:val="-20"/>
        </w:rPr>
        <w:t xml:space="preserve"> </w:t>
      </w:r>
      <w:r>
        <w:t>de</w:t>
      </w:r>
      <w:r>
        <w:rPr>
          <w:spacing w:val="-19"/>
        </w:rPr>
        <w:t xml:space="preserve"> </w:t>
      </w:r>
      <w:r>
        <w:t>Derechos</w:t>
      </w:r>
      <w:r>
        <w:rPr>
          <w:spacing w:val="-21"/>
        </w:rPr>
        <w:t xml:space="preserve"> </w:t>
      </w:r>
      <w:r>
        <w:t>Humanos</w:t>
      </w:r>
      <w:r>
        <w:rPr>
          <w:spacing w:val="-21"/>
        </w:rPr>
        <w:t xml:space="preserve"> </w:t>
      </w:r>
      <w:r>
        <w:t>como</w:t>
      </w:r>
      <w:r>
        <w:rPr>
          <w:spacing w:val="-20"/>
        </w:rPr>
        <w:t xml:space="preserve"> </w:t>
      </w:r>
      <w:r>
        <w:t>órgano</w:t>
      </w:r>
      <w:r>
        <w:rPr>
          <w:spacing w:val="-20"/>
        </w:rPr>
        <w:t xml:space="preserve"> </w:t>
      </w:r>
      <w:r>
        <w:t>autónomo de la Organización de los Estados Americanos realiza de manera periódica y sectorial, por tema y por país, informes de referencia que compilan la situación de los derechos humanos en la región. Los siguientes son los informes</w:t>
      </w:r>
      <w:r>
        <w:rPr>
          <w:spacing w:val="-7"/>
        </w:rPr>
        <w:t xml:space="preserve"> </w:t>
      </w:r>
      <w:r>
        <w:t>que</w:t>
      </w:r>
      <w:r>
        <w:rPr>
          <w:spacing w:val="-5"/>
        </w:rPr>
        <w:t xml:space="preserve"> </w:t>
      </w:r>
      <w:r>
        <w:t>desde</w:t>
      </w:r>
      <w:r>
        <w:rPr>
          <w:spacing w:val="-3"/>
        </w:rPr>
        <w:t xml:space="preserve"> </w:t>
      </w:r>
      <w:r>
        <w:t>el</w:t>
      </w:r>
      <w:r>
        <w:rPr>
          <w:spacing w:val="-7"/>
        </w:rPr>
        <w:t xml:space="preserve"> </w:t>
      </w:r>
      <w:r>
        <w:t>año</w:t>
      </w:r>
      <w:r>
        <w:rPr>
          <w:spacing w:val="-4"/>
        </w:rPr>
        <w:t xml:space="preserve"> </w:t>
      </w:r>
      <w:r>
        <w:t>2020</w:t>
      </w:r>
      <w:r>
        <w:rPr>
          <w:spacing w:val="-5"/>
        </w:rPr>
        <w:t xml:space="preserve"> </w:t>
      </w:r>
      <w:r>
        <w:t>ha</w:t>
      </w:r>
      <w:r>
        <w:rPr>
          <w:spacing w:val="-6"/>
        </w:rPr>
        <w:t xml:space="preserve"> </w:t>
      </w:r>
      <w:r>
        <w:t>expedido</w:t>
      </w:r>
      <w:r>
        <w:rPr>
          <w:spacing w:val="-6"/>
        </w:rPr>
        <w:t xml:space="preserve"> </w:t>
      </w:r>
      <w:r>
        <w:t>la</w:t>
      </w:r>
      <w:r>
        <w:rPr>
          <w:spacing w:val="-5"/>
        </w:rPr>
        <w:t xml:space="preserve"> </w:t>
      </w:r>
      <w:r>
        <w:t>C.I.D.H</w:t>
      </w:r>
      <w:r>
        <w:rPr>
          <w:spacing w:val="-7"/>
        </w:rPr>
        <w:t xml:space="preserve"> </w:t>
      </w:r>
      <w:r>
        <w:t>en</w:t>
      </w:r>
      <w:r>
        <w:rPr>
          <w:spacing w:val="-2"/>
        </w:rPr>
        <w:t xml:space="preserve"> </w:t>
      </w:r>
      <w:r>
        <w:t>relación</w:t>
      </w:r>
      <w:r>
        <w:rPr>
          <w:spacing w:val="-7"/>
        </w:rPr>
        <w:t xml:space="preserve"> </w:t>
      </w:r>
      <w:r>
        <w:t>con</w:t>
      </w:r>
      <w:r>
        <w:rPr>
          <w:spacing w:val="-4"/>
        </w:rPr>
        <w:t xml:space="preserve"> </w:t>
      </w:r>
      <w:r>
        <w:t>las poblaciones que son el ámbito de competencia del Ministerio en donde se reconoce</w:t>
      </w:r>
      <w:r>
        <w:rPr>
          <w:spacing w:val="-3"/>
        </w:rPr>
        <w:t xml:space="preserve"> </w:t>
      </w:r>
      <w:r>
        <w:t>la</w:t>
      </w:r>
      <w:r>
        <w:rPr>
          <w:spacing w:val="-4"/>
        </w:rPr>
        <w:t xml:space="preserve"> </w:t>
      </w:r>
      <w:r>
        <w:t>necesidad</w:t>
      </w:r>
      <w:r>
        <w:rPr>
          <w:spacing w:val="-5"/>
        </w:rPr>
        <w:t xml:space="preserve"> </w:t>
      </w:r>
      <w:r>
        <w:t>de</w:t>
      </w:r>
      <w:r>
        <w:rPr>
          <w:spacing w:val="-4"/>
        </w:rPr>
        <w:t xml:space="preserve"> </w:t>
      </w:r>
      <w:r>
        <w:t>contar</w:t>
      </w:r>
      <w:r>
        <w:rPr>
          <w:spacing w:val="-4"/>
        </w:rPr>
        <w:t xml:space="preserve"> </w:t>
      </w:r>
      <w:r>
        <w:t>con</w:t>
      </w:r>
      <w:r>
        <w:rPr>
          <w:spacing w:val="-5"/>
        </w:rPr>
        <w:t xml:space="preserve"> </w:t>
      </w:r>
      <w:r>
        <w:t>estrategias</w:t>
      </w:r>
      <w:r>
        <w:rPr>
          <w:spacing w:val="-5"/>
        </w:rPr>
        <w:t xml:space="preserve"> </w:t>
      </w:r>
      <w:r>
        <w:t>y</w:t>
      </w:r>
      <w:r>
        <w:rPr>
          <w:spacing w:val="-5"/>
        </w:rPr>
        <w:t xml:space="preserve"> </w:t>
      </w:r>
      <w:r>
        <w:t>políticas</w:t>
      </w:r>
      <w:r>
        <w:rPr>
          <w:spacing w:val="-3"/>
        </w:rPr>
        <w:t xml:space="preserve"> </w:t>
      </w:r>
      <w:r>
        <w:t>de</w:t>
      </w:r>
      <w:r>
        <w:rPr>
          <w:spacing w:val="-4"/>
        </w:rPr>
        <w:t xml:space="preserve"> </w:t>
      </w:r>
      <w:r>
        <w:t>protección</w:t>
      </w:r>
      <w:r>
        <w:rPr>
          <w:spacing w:val="-5"/>
        </w:rPr>
        <w:t xml:space="preserve"> </w:t>
      </w:r>
      <w:r>
        <w:t>y garantía de sus derechos humanos como las que diseña y ejecuta el Ministerio de Igualdad y Equidad:</w:t>
      </w:r>
    </w:p>
    <w:p w14:paraId="0BBE50C0" w14:textId="77777777" w:rsidR="000E52B0" w:rsidRDefault="000E52B0">
      <w:pPr>
        <w:pStyle w:val="Textoindependiente"/>
        <w:ind w:left="0"/>
      </w:pPr>
    </w:p>
    <w:p w14:paraId="1F2C8E8D" w14:textId="77777777" w:rsidR="000E52B0" w:rsidRDefault="00F60D74">
      <w:pPr>
        <w:pStyle w:val="Prrafodelista"/>
        <w:numPr>
          <w:ilvl w:val="0"/>
          <w:numId w:val="42"/>
        </w:numPr>
        <w:tabs>
          <w:tab w:val="left" w:pos="1440"/>
        </w:tabs>
        <w:ind w:right="714"/>
        <w:jc w:val="both"/>
        <w:rPr>
          <w:sz w:val="24"/>
        </w:rPr>
      </w:pPr>
      <w:r>
        <w:rPr>
          <w:i/>
          <w:sz w:val="24"/>
        </w:rPr>
        <w:t>Personas Refugiadas y Migrantes Provenientes de Venezuela</w:t>
      </w:r>
      <w:r>
        <w:rPr>
          <w:sz w:val="24"/>
        </w:rPr>
        <w:t>, Comisión Interamericana de Derechos Humanos Relatoría Especial sobre los Derechos de los Migrantes, 2023.</w:t>
      </w:r>
    </w:p>
    <w:p w14:paraId="0B656A11" w14:textId="77777777" w:rsidR="000E52B0" w:rsidRDefault="00F60D74">
      <w:pPr>
        <w:pStyle w:val="Textoindependiente"/>
        <w:spacing w:before="157"/>
        <w:ind w:right="714"/>
        <w:jc w:val="both"/>
      </w:pPr>
      <w:r>
        <w:t>El objeto de este informe es demostrar, que, considerando la naturaleza forzada del desplazamiento de la población migrante, se requiere un enfoque</w:t>
      </w:r>
      <w:r>
        <w:rPr>
          <w:spacing w:val="-11"/>
        </w:rPr>
        <w:t xml:space="preserve"> </w:t>
      </w:r>
      <w:r>
        <w:t>efectivo,</w:t>
      </w:r>
      <w:r>
        <w:rPr>
          <w:spacing w:val="-13"/>
        </w:rPr>
        <w:t xml:space="preserve"> </w:t>
      </w:r>
      <w:r>
        <w:t>holístico</w:t>
      </w:r>
      <w:r>
        <w:rPr>
          <w:spacing w:val="-12"/>
        </w:rPr>
        <w:t xml:space="preserve"> </w:t>
      </w:r>
      <w:r>
        <w:t>y</w:t>
      </w:r>
      <w:r>
        <w:rPr>
          <w:spacing w:val="-12"/>
        </w:rPr>
        <w:t xml:space="preserve"> </w:t>
      </w:r>
      <w:r>
        <w:t>coordinado</w:t>
      </w:r>
      <w:r>
        <w:rPr>
          <w:spacing w:val="-12"/>
        </w:rPr>
        <w:t xml:space="preserve"> </w:t>
      </w:r>
      <w:r>
        <w:t>bajo</w:t>
      </w:r>
      <w:r>
        <w:rPr>
          <w:spacing w:val="-12"/>
        </w:rPr>
        <w:t xml:space="preserve"> </w:t>
      </w:r>
      <w:r>
        <w:t>la</w:t>
      </w:r>
      <w:r>
        <w:rPr>
          <w:spacing w:val="-13"/>
        </w:rPr>
        <w:t xml:space="preserve"> </w:t>
      </w:r>
      <w:r>
        <w:t>responsabilidad</w:t>
      </w:r>
      <w:r>
        <w:rPr>
          <w:spacing w:val="-13"/>
        </w:rPr>
        <w:t xml:space="preserve"> </w:t>
      </w:r>
      <w:r>
        <w:t>compartida y</w:t>
      </w:r>
      <w:r>
        <w:rPr>
          <w:spacing w:val="-2"/>
        </w:rPr>
        <w:t xml:space="preserve"> </w:t>
      </w:r>
      <w:r>
        <w:t>el</w:t>
      </w:r>
      <w:r>
        <w:rPr>
          <w:spacing w:val="-3"/>
        </w:rPr>
        <w:t xml:space="preserve"> </w:t>
      </w:r>
      <w:r>
        <w:t>respeto</w:t>
      </w:r>
      <w:r>
        <w:rPr>
          <w:spacing w:val="-1"/>
        </w:rPr>
        <w:t xml:space="preserve"> </w:t>
      </w:r>
      <w:r>
        <w:t>y</w:t>
      </w:r>
      <w:r>
        <w:rPr>
          <w:spacing w:val="-2"/>
        </w:rPr>
        <w:t xml:space="preserve"> </w:t>
      </w:r>
      <w:r>
        <w:t>la</w:t>
      </w:r>
      <w:r>
        <w:rPr>
          <w:spacing w:val="-2"/>
        </w:rPr>
        <w:t xml:space="preserve"> </w:t>
      </w:r>
      <w:r>
        <w:t>garantía de</w:t>
      </w:r>
      <w:r>
        <w:rPr>
          <w:spacing w:val="-1"/>
        </w:rPr>
        <w:t xml:space="preserve"> </w:t>
      </w:r>
      <w:r>
        <w:t>los</w:t>
      </w:r>
      <w:r>
        <w:rPr>
          <w:spacing w:val="-2"/>
        </w:rPr>
        <w:t xml:space="preserve"> </w:t>
      </w:r>
      <w:r>
        <w:t>derechos</w:t>
      </w:r>
      <w:r>
        <w:rPr>
          <w:spacing w:val="-2"/>
        </w:rPr>
        <w:t xml:space="preserve"> </w:t>
      </w:r>
      <w:r>
        <w:t>humanos. Al</w:t>
      </w:r>
      <w:r>
        <w:rPr>
          <w:spacing w:val="-1"/>
        </w:rPr>
        <w:t xml:space="preserve"> </w:t>
      </w:r>
      <w:r>
        <w:t>respecto,</w:t>
      </w:r>
      <w:r>
        <w:rPr>
          <w:spacing w:val="-1"/>
        </w:rPr>
        <w:t xml:space="preserve"> </w:t>
      </w:r>
      <w:r>
        <w:t>establece que los Estados deben reconocer la condición de persona refugiada, cobijando a las personas que huyen por riesgos a su vida, seguridad, libertad o por la violación masiva de los derechos humanos.</w:t>
      </w:r>
    </w:p>
    <w:p w14:paraId="4CA2B7CC" w14:textId="77777777" w:rsidR="000E52B0" w:rsidRDefault="000E52B0">
      <w:pPr>
        <w:pStyle w:val="Textoindependiente"/>
        <w:jc w:val="both"/>
        <w:sectPr w:rsidR="000E52B0">
          <w:pgSz w:w="11910" w:h="16840"/>
          <w:pgMar w:top="1340" w:right="720" w:bottom="1180" w:left="720" w:header="0" w:footer="995" w:gutter="0"/>
          <w:cols w:space="720"/>
        </w:sectPr>
      </w:pPr>
    </w:p>
    <w:p w14:paraId="1971F659" w14:textId="77777777" w:rsidR="000E52B0" w:rsidRDefault="00F60D74">
      <w:pPr>
        <w:pStyle w:val="Textoindependiente"/>
        <w:spacing w:before="83"/>
        <w:jc w:val="both"/>
      </w:pPr>
      <w:r>
        <w:lastRenderedPageBreak/>
        <w:t>En</w:t>
      </w:r>
      <w:r>
        <w:rPr>
          <w:spacing w:val="-6"/>
        </w:rPr>
        <w:t xml:space="preserve"> </w:t>
      </w:r>
      <w:r>
        <w:t>palabras</w:t>
      </w:r>
      <w:r>
        <w:rPr>
          <w:spacing w:val="-2"/>
        </w:rPr>
        <w:t xml:space="preserve"> </w:t>
      </w:r>
      <w:r>
        <w:t>de</w:t>
      </w:r>
      <w:r>
        <w:rPr>
          <w:spacing w:val="-2"/>
        </w:rPr>
        <w:t xml:space="preserve"> </w:t>
      </w:r>
      <w:r>
        <w:t xml:space="preserve">la </w:t>
      </w:r>
      <w:r>
        <w:rPr>
          <w:spacing w:val="-2"/>
        </w:rPr>
        <w:t>Comisión:</w:t>
      </w:r>
    </w:p>
    <w:p w14:paraId="44047F69" w14:textId="77777777" w:rsidR="000E52B0" w:rsidRDefault="00F60D74">
      <w:pPr>
        <w:pStyle w:val="Textoindependiente"/>
        <w:spacing w:before="159"/>
        <w:ind w:right="720"/>
        <w:jc w:val="both"/>
      </w:pPr>
      <w:r>
        <w:t>En muchos casos, en los países de acogida, las personas que tienen un estatus migratorio irregular enfrentan restricciones legales y de facto que les</w:t>
      </w:r>
      <w:r>
        <w:rPr>
          <w:spacing w:val="-11"/>
        </w:rPr>
        <w:t xml:space="preserve"> </w:t>
      </w:r>
      <w:r>
        <w:t>impide</w:t>
      </w:r>
      <w:r>
        <w:rPr>
          <w:spacing w:val="-10"/>
        </w:rPr>
        <w:t xml:space="preserve"> </w:t>
      </w:r>
      <w:r>
        <w:t>acceder</w:t>
      </w:r>
      <w:r>
        <w:rPr>
          <w:spacing w:val="-10"/>
        </w:rPr>
        <w:t xml:space="preserve"> </w:t>
      </w:r>
      <w:r>
        <w:t>en</w:t>
      </w:r>
      <w:r>
        <w:rPr>
          <w:spacing w:val="-12"/>
        </w:rPr>
        <w:t xml:space="preserve"> </w:t>
      </w:r>
      <w:r>
        <w:t>condiciones</w:t>
      </w:r>
      <w:r>
        <w:rPr>
          <w:spacing w:val="-11"/>
        </w:rPr>
        <w:t xml:space="preserve"> </w:t>
      </w:r>
      <w:r>
        <w:t>de</w:t>
      </w:r>
      <w:r>
        <w:rPr>
          <w:spacing w:val="-10"/>
        </w:rPr>
        <w:t xml:space="preserve"> </w:t>
      </w:r>
      <w:r>
        <w:t>igualdad</w:t>
      </w:r>
      <w:r>
        <w:rPr>
          <w:spacing w:val="-12"/>
        </w:rPr>
        <w:t xml:space="preserve"> </w:t>
      </w:r>
      <w:r>
        <w:t>a</w:t>
      </w:r>
      <w:r>
        <w:rPr>
          <w:spacing w:val="-9"/>
        </w:rPr>
        <w:t xml:space="preserve"> </w:t>
      </w:r>
      <w:r>
        <w:t>derechos</w:t>
      </w:r>
      <w:r>
        <w:rPr>
          <w:spacing w:val="-11"/>
        </w:rPr>
        <w:t xml:space="preserve"> </w:t>
      </w:r>
      <w:r>
        <w:t>como</w:t>
      </w:r>
      <w:r>
        <w:rPr>
          <w:spacing w:val="-11"/>
        </w:rPr>
        <w:t xml:space="preserve"> </w:t>
      </w:r>
      <w:r>
        <w:t>la</w:t>
      </w:r>
      <w:r>
        <w:rPr>
          <w:spacing w:val="-12"/>
        </w:rPr>
        <w:t xml:space="preserve"> </w:t>
      </w:r>
      <w:r>
        <w:t>salud,</w:t>
      </w:r>
      <w:r>
        <w:rPr>
          <w:spacing w:val="-10"/>
        </w:rPr>
        <w:t xml:space="preserve"> </w:t>
      </w:r>
      <w:r>
        <w:t>la vivienda y el trabajo. Como resultado, terminan enfrentando algunos desafíos</w:t>
      </w:r>
      <w:r>
        <w:rPr>
          <w:spacing w:val="-16"/>
        </w:rPr>
        <w:t xml:space="preserve"> </w:t>
      </w:r>
      <w:r>
        <w:t>que</w:t>
      </w:r>
      <w:r>
        <w:rPr>
          <w:spacing w:val="-15"/>
        </w:rPr>
        <w:t xml:space="preserve"> </w:t>
      </w:r>
      <w:r>
        <w:t>les</w:t>
      </w:r>
      <w:r>
        <w:rPr>
          <w:spacing w:val="-16"/>
        </w:rPr>
        <w:t xml:space="preserve"> </w:t>
      </w:r>
      <w:r>
        <w:t>obligaron</w:t>
      </w:r>
      <w:r>
        <w:rPr>
          <w:spacing w:val="-17"/>
        </w:rPr>
        <w:t xml:space="preserve"> </w:t>
      </w:r>
      <w:r>
        <w:t>a</w:t>
      </w:r>
      <w:r>
        <w:rPr>
          <w:spacing w:val="-16"/>
        </w:rPr>
        <w:t xml:space="preserve"> </w:t>
      </w:r>
      <w:r>
        <w:t>salir</w:t>
      </w:r>
      <w:r>
        <w:rPr>
          <w:spacing w:val="-16"/>
        </w:rPr>
        <w:t xml:space="preserve"> </w:t>
      </w:r>
      <w:r>
        <w:t>de</w:t>
      </w:r>
      <w:r>
        <w:rPr>
          <w:spacing w:val="-15"/>
        </w:rPr>
        <w:t xml:space="preserve"> </w:t>
      </w:r>
      <w:r>
        <w:t>Venezuela.</w:t>
      </w:r>
      <w:r>
        <w:rPr>
          <w:spacing w:val="-17"/>
        </w:rPr>
        <w:t xml:space="preserve"> </w:t>
      </w:r>
      <w:r>
        <w:t>Adicionalmente,</w:t>
      </w:r>
      <w:r>
        <w:rPr>
          <w:spacing w:val="-17"/>
        </w:rPr>
        <w:t xml:space="preserve"> </w:t>
      </w:r>
      <w:r>
        <w:t>en</w:t>
      </w:r>
      <w:r>
        <w:rPr>
          <w:spacing w:val="-17"/>
        </w:rPr>
        <w:t xml:space="preserve"> </w:t>
      </w:r>
      <w:r>
        <w:t>algunos Estados, las hijas y los hijos de las personas con estatus migratorio irregular no pueden acceder automáticamente a la nacionalidad del territorio,</w:t>
      </w:r>
      <w:r>
        <w:rPr>
          <w:spacing w:val="-7"/>
        </w:rPr>
        <w:t xml:space="preserve"> </w:t>
      </w:r>
      <w:r>
        <w:t>corriendo</w:t>
      </w:r>
      <w:r>
        <w:rPr>
          <w:spacing w:val="-8"/>
        </w:rPr>
        <w:t xml:space="preserve"> </w:t>
      </w:r>
      <w:r>
        <w:t>el</w:t>
      </w:r>
      <w:r>
        <w:rPr>
          <w:spacing w:val="-7"/>
        </w:rPr>
        <w:t xml:space="preserve"> </w:t>
      </w:r>
      <w:r>
        <w:t>riesgo</w:t>
      </w:r>
      <w:r>
        <w:rPr>
          <w:spacing w:val="-6"/>
        </w:rPr>
        <w:t xml:space="preserve"> </w:t>
      </w:r>
      <w:r>
        <w:t>de</w:t>
      </w:r>
      <w:r>
        <w:rPr>
          <w:spacing w:val="-6"/>
        </w:rPr>
        <w:t xml:space="preserve"> </w:t>
      </w:r>
      <w:r>
        <w:t>quedar</w:t>
      </w:r>
      <w:r>
        <w:rPr>
          <w:spacing w:val="-8"/>
        </w:rPr>
        <w:t xml:space="preserve"> </w:t>
      </w:r>
      <w:r>
        <w:t>en</w:t>
      </w:r>
      <w:r>
        <w:rPr>
          <w:spacing w:val="-7"/>
        </w:rPr>
        <w:t xml:space="preserve"> </w:t>
      </w:r>
      <w:r>
        <w:t>una</w:t>
      </w:r>
      <w:r>
        <w:rPr>
          <w:spacing w:val="-6"/>
        </w:rPr>
        <w:t xml:space="preserve"> </w:t>
      </w:r>
      <w:r>
        <w:t>situación</w:t>
      </w:r>
      <w:r>
        <w:rPr>
          <w:spacing w:val="-7"/>
        </w:rPr>
        <w:t xml:space="preserve"> </w:t>
      </w:r>
      <w:r>
        <w:t>de</w:t>
      </w:r>
      <w:r>
        <w:rPr>
          <w:spacing w:val="-4"/>
        </w:rPr>
        <w:t xml:space="preserve"> </w:t>
      </w:r>
      <w:r>
        <w:t>apatridia.</w:t>
      </w:r>
      <w:r>
        <w:rPr>
          <w:spacing w:val="-7"/>
        </w:rPr>
        <w:t xml:space="preserve"> </w:t>
      </w:r>
      <w:r>
        <w:t>Algo similar</w:t>
      </w:r>
      <w:r>
        <w:rPr>
          <w:spacing w:val="-22"/>
        </w:rPr>
        <w:t xml:space="preserve"> </w:t>
      </w:r>
      <w:r>
        <w:t>acontece</w:t>
      </w:r>
      <w:r>
        <w:rPr>
          <w:spacing w:val="-21"/>
        </w:rPr>
        <w:t xml:space="preserve"> </w:t>
      </w:r>
      <w:r>
        <w:t>con</w:t>
      </w:r>
      <w:r>
        <w:rPr>
          <w:spacing w:val="-21"/>
        </w:rPr>
        <w:t xml:space="preserve"> </w:t>
      </w:r>
      <w:r>
        <w:t>las</w:t>
      </w:r>
      <w:r>
        <w:rPr>
          <w:spacing w:val="-21"/>
        </w:rPr>
        <w:t xml:space="preserve"> </w:t>
      </w:r>
      <w:r>
        <w:t>niñas</w:t>
      </w:r>
      <w:r>
        <w:rPr>
          <w:spacing w:val="-21"/>
        </w:rPr>
        <w:t xml:space="preserve"> </w:t>
      </w:r>
      <w:r>
        <w:t>y</w:t>
      </w:r>
      <w:r>
        <w:rPr>
          <w:spacing w:val="-21"/>
        </w:rPr>
        <w:t xml:space="preserve"> </w:t>
      </w:r>
      <w:r>
        <w:t>los</w:t>
      </w:r>
      <w:r>
        <w:rPr>
          <w:spacing w:val="-21"/>
        </w:rPr>
        <w:t xml:space="preserve"> </w:t>
      </w:r>
      <w:r>
        <w:t>niños</w:t>
      </w:r>
      <w:r>
        <w:rPr>
          <w:spacing w:val="-21"/>
        </w:rPr>
        <w:t xml:space="preserve"> </w:t>
      </w:r>
      <w:r>
        <w:t>nacidos</w:t>
      </w:r>
      <w:r>
        <w:rPr>
          <w:spacing w:val="-21"/>
        </w:rPr>
        <w:t xml:space="preserve"> </w:t>
      </w:r>
      <w:r>
        <w:t>en</w:t>
      </w:r>
      <w:r>
        <w:rPr>
          <w:spacing w:val="-21"/>
        </w:rPr>
        <w:t xml:space="preserve"> </w:t>
      </w:r>
      <w:r>
        <w:t>Venezuela</w:t>
      </w:r>
      <w:r>
        <w:rPr>
          <w:spacing w:val="-21"/>
        </w:rPr>
        <w:t xml:space="preserve"> </w:t>
      </w:r>
      <w:r>
        <w:t>que</w:t>
      </w:r>
      <w:r>
        <w:rPr>
          <w:spacing w:val="-21"/>
        </w:rPr>
        <w:t xml:space="preserve"> </w:t>
      </w:r>
      <w:r>
        <w:t>no</w:t>
      </w:r>
      <w:r>
        <w:rPr>
          <w:spacing w:val="-20"/>
        </w:rPr>
        <w:t xml:space="preserve"> </w:t>
      </w:r>
      <w:r>
        <w:t>tiene acceso a documentos vigentes que acrediten su nacionalidad.</w:t>
      </w:r>
    </w:p>
    <w:p w14:paraId="7B98B921" w14:textId="77777777" w:rsidR="000E52B0" w:rsidRDefault="00F60D74">
      <w:pPr>
        <w:pStyle w:val="Prrafodelista"/>
        <w:numPr>
          <w:ilvl w:val="0"/>
          <w:numId w:val="42"/>
        </w:numPr>
        <w:tabs>
          <w:tab w:val="left" w:pos="1440"/>
        </w:tabs>
        <w:spacing w:before="161"/>
        <w:ind w:right="713"/>
        <w:jc w:val="both"/>
        <w:rPr>
          <w:sz w:val="24"/>
        </w:rPr>
      </w:pPr>
      <w:r>
        <w:rPr>
          <w:i/>
          <w:sz w:val="24"/>
        </w:rPr>
        <w:t>Movilidad Humana y Obligaciones de Protección</w:t>
      </w:r>
      <w:r>
        <w:rPr>
          <w:sz w:val="24"/>
        </w:rPr>
        <w:t>, Comisión Interamericana de Derechos Humanos Relatoría Especial sobre los Derechos de los Migrantes, 2023.</w:t>
      </w:r>
    </w:p>
    <w:p w14:paraId="2D032CF6" w14:textId="77777777" w:rsidR="000E52B0" w:rsidRDefault="00F60D74">
      <w:pPr>
        <w:pStyle w:val="Textoindependiente"/>
        <w:spacing w:before="157"/>
        <w:ind w:right="716"/>
        <w:jc w:val="both"/>
      </w:pPr>
      <w:r>
        <w:t>El</w:t>
      </w:r>
      <w:r>
        <w:rPr>
          <w:spacing w:val="-3"/>
        </w:rPr>
        <w:t xml:space="preserve"> </w:t>
      </w:r>
      <w:r>
        <w:t>informe</w:t>
      </w:r>
      <w:r>
        <w:rPr>
          <w:spacing w:val="-1"/>
        </w:rPr>
        <w:t xml:space="preserve"> </w:t>
      </w:r>
      <w:r>
        <w:t>aborda</w:t>
      </w:r>
      <w:r>
        <w:rPr>
          <w:spacing w:val="-2"/>
        </w:rPr>
        <w:t xml:space="preserve"> </w:t>
      </w:r>
      <w:r>
        <w:t>la movilidad</w:t>
      </w:r>
      <w:r>
        <w:rPr>
          <w:spacing w:val="-1"/>
        </w:rPr>
        <w:t xml:space="preserve"> </w:t>
      </w:r>
      <w:r>
        <w:t>humana desde</w:t>
      </w:r>
      <w:r>
        <w:rPr>
          <w:spacing w:val="-1"/>
        </w:rPr>
        <w:t xml:space="preserve"> </w:t>
      </w:r>
      <w:r>
        <w:t>una</w:t>
      </w:r>
      <w:r>
        <w:rPr>
          <w:spacing w:val="-2"/>
        </w:rPr>
        <w:t xml:space="preserve"> </w:t>
      </w:r>
      <w:r>
        <w:t>perspectiva</w:t>
      </w:r>
      <w:r>
        <w:rPr>
          <w:spacing w:val="-2"/>
        </w:rPr>
        <w:t xml:space="preserve"> </w:t>
      </w:r>
      <w:r>
        <w:t>multilateral y subregional, enfocándose en las características territoriales e institucionales</w:t>
      </w:r>
      <w:r>
        <w:rPr>
          <w:spacing w:val="-12"/>
        </w:rPr>
        <w:t xml:space="preserve"> </w:t>
      </w:r>
      <w:r>
        <w:t>de</w:t>
      </w:r>
      <w:r>
        <w:rPr>
          <w:spacing w:val="-14"/>
        </w:rPr>
        <w:t xml:space="preserve"> </w:t>
      </w:r>
      <w:r>
        <w:t>los</w:t>
      </w:r>
      <w:r>
        <w:rPr>
          <w:spacing w:val="-14"/>
        </w:rPr>
        <w:t xml:space="preserve"> </w:t>
      </w:r>
      <w:r>
        <w:t>movimientos</w:t>
      </w:r>
      <w:r>
        <w:rPr>
          <w:spacing w:val="-15"/>
        </w:rPr>
        <w:t xml:space="preserve"> </w:t>
      </w:r>
      <w:r>
        <w:t>humanos;</w:t>
      </w:r>
      <w:r>
        <w:rPr>
          <w:spacing w:val="-15"/>
        </w:rPr>
        <w:t xml:space="preserve"> </w:t>
      </w:r>
      <w:r>
        <w:t>el</w:t>
      </w:r>
      <w:r>
        <w:rPr>
          <w:spacing w:val="-16"/>
        </w:rPr>
        <w:t xml:space="preserve"> </w:t>
      </w:r>
      <w:r>
        <w:t>informe</w:t>
      </w:r>
      <w:r>
        <w:rPr>
          <w:spacing w:val="-12"/>
        </w:rPr>
        <w:t xml:space="preserve"> </w:t>
      </w:r>
      <w:r>
        <w:t>pretende</w:t>
      </w:r>
      <w:r>
        <w:rPr>
          <w:spacing w:val="-14"/>
        </w:rPr>
        <w:t xml:space="preserve"> </w:t>
      </w:r>
      <w:r>
        <w:t>apoyar</w:t>
      </w:r>
      <w:r>
        <w:rPr>
          <w:spacing w:val="-14"/>
        </w:rPr>
        <w:t xml:space="preserve"> </w:t>
      </w:r>
      <w:r>
        <w:t>el avance de estándares interamericanos para atender las situaciones de desplazamiento y los desafíos de protección de este grupo</w:t>
      </w:r>
      <w:r>
        <w:rPr>
          <w:spacing w:val="-1"/>
        </w:rPr>
        <w:t xml:space="preserve"> </w:t>
      </w:r>
      <w:r>
        <w:t>de personas en las Américas.</w:t>
      </w:r>
    </w:p>
    <w:p w14:paraId="6DE0AA83" w14:textId="77777777" w:rsidR="000E52B0" w:rsidRDefault="00F60D74">
      <w:pPr>
        <w:pStyle w:val="Textoindependiente"/>
        <w:spacing w:before="160"/>
        <w:ind w:right="719"/>
        <w:jc w:val="both"/>
      </w:pPr>
      <w:r>
        <w:t>En el abordaje del informe se consideran la perspectiva de género y enfoques diferenciados, y la interseccionalidad de más de un factor que pueda caracterizar una situación de vulnerabilidad compleja. Finalmente, el</w:t>
      </w:r>
      <w:r>
        <w:rPr>
          <w:spacing w:val="-8"/>
        </w:rPr>
        <w:t xml:space="preserve"> </w:t>
      </w:r>
      <w:r>
        <w:t>informe</w:t>
      </w:r>
      <w:r>
        <w:rPr>
          <w:spacing w:val="-6"/>
        </w:rPr>
        <w:t xml:space="preserve"> </w:t>
      </w:r>
      <w:r>
        <w:t>pretende</w:t>
      </w:r>
      <w:r>
        <w:rPr>
          <w:spacing w:val="-6"/>
        </w:rPr>
        <w:t xml:space="preserve"> </w:t>
      </w:r>
      <w:r>
        <w:t>proponer</w:t>
      </w:r>
      <w:r>
        <w:rPr>
          <w:spacing w:val="-6"/>
        </w:rPr>
        <w:t xml:space="preserve"> </w:t>
      </w:r>
      <w:r>
        <w:t>lineamientos</w:t>
      </w:r>
      <w:r>
        <w:rPr>
          <w:spacing w:val="-8"/>
        </w:rPr>
        <w:t xml:space="preserve"> </w:t>
      </w:r>
      <w:r>
        <w:t>para</w:t>
      </w:r>
      <w:r>
        <w:rPr>
          <w:spacing w:val="-5"/>
        </w:rPr>
        <w:t xml:space="preserve"> </w:t>
      </w:r>
      <w:r>
        <w:t>formular</w:t>
      </w:r>
      <w:r>
        <w:rPr>
          <w:spacing w:val="-4"/>
        </w:rPr>
        <w:t xml:space="preserve"> </w:t>
      </w:r>
      <w:r>
        <w:t>políticas</w:t>
      </w:r>
      <w:r>
        <w:rPr>
          <w:spacing w:val="-5"/>
        </w:rPr>
        <w:t xml:space="preserve"> </w:t>
      </w:r>
      <w:r>
        <w:t>públicas de protección de derechos humanos de las poblaciones en condición de movilidad humana internacional útiles a los Estados.</w:t>
      </w:r>
    </w:p>
    <w:p w14:paraId="5EFA58ED" w14:textId="77777777" w:rsidR="000E52B0" w:rsidRDefault="00F60D74">
      <w:pPr>
        <w:pStyle w:val="Textoindependiente"/>
        <w:spacing w:before="161"/>
        <w:ind w:right="721"/>
        <w:jc w:val="both"/>
      </w:pPr>
      <w:r>
        <w:t>En conclusión, este informe recomienda implementar mecanismos para identificar a las personas con mayor vulnerabilidad o necesidades específicas de protección. En particular, mujeres, niños, niñas y adolescentes, las personas LGTBI, pueblos indígenas, personas afrodescendientes</w:t>
      </w:r>
      <w:r>
        <w:rPr>
          <w:spacing w:val="-17"/>
        </w:rPr>
        <w:t xml:space="preserve"> </w:t>
      </w:r>
      <w:r>
        <w:t>y</w:t>
      </w:r>
      <w:r>
        <w:rPr>
          <w:spacing w:val="-15"/>
        </w:rPr>
        <w:t xml:space="preserve"> </w:t>
      </w:r>
      <w:r>
        <w:t>personas</w:t>
      </w:r>
      <w:r>
        <w:rPr>
          <w:spacing w:val="-17"/>
        </w:rPr>
        <w:t xml:space="preserve"> </w:t>
      </w:r>
      <w:r>
        <w:t>con</w:t>
      </w:r>
      <w:r>
        <w:rPr>
          <w:spacing w:val="-17"/>
        </w:rPr>
        <w:t xml:space="preserve"> </w:t>
      </w:r>
      <w:r>
        <w:t>discapacidad,</w:t>
      </w:r>
      <w:r>
        <w:rPr>
          <w:spacing w:val="-18"/>
        </w:rPr>
        <w:t xml:space="preserve"> </w:t>
      </w:r>
      <w:r>
        <w:t>de</w:t>
      </w:r>
      <w:r>
        <w:rPr>
          <w:spacing w:val="-16"/>
        </w:rPr>
        <w:t xml:space="preserve"> </w:t>
      </w:r>
      <w:r>
        <w:t>manera</w:t>
      </w:r>
      <w:r>
        <w:rPr>
          <w:spacing w:val="-16"/>
        </w:rPr>
        <w:t xml:space="preserve"> </w:t>
      </w:r>
      <w:r>
        <w:t>que</w:t>
      </w:r>
      <w:r>
        <w:rPr>
          <w:spacing w:val="-16"/>
        </w:rPr>
        <w:t xml:space="preserve"> </w:t>
      </w:r>
      <w:r>
        <w:t>sea</w:t>
      </w:r>
      <w:r>
        <w:rPr>
          <w:spacing w:val="-16"/>
        </w:rPr>
        <w:t xml:space="preserve"> </w:t>
      </w:r>
      <w:r>
        <w:t>posible la garantía del goce y ejercicio de sus derechos humanos en igualdad de condiciones y sin discriminación.</w:t>
      </w:r>
    </w:p>
    <w:p w14:paraId="45326752" w14:textId="77777777" w:rsidR="000E52B0" w:rsidRDefault="00F60D74">
      <w:pPr>
        <w:pStyle w:val="Prrafodelista"/>
        <w:numPr>
          <w:ilvl w:val="0"/>
          <w:numId w:val="42"/>
        </w:numPr>
        <w:tabs>
          <w:tab w:val="left" w:pos="1440"/>
        </w:tabs>
        <w:spacing w:before="160"/>
        <w:ind w:right="717"/>
        <w:jc w:val="both"/>
        <w:rPr>
          <w:sz w:val="24"/>
        </w:rPr>
      </w:pPr>
      <w:r>
        <w:rPr>
          <w:sz w:val="24"/>
        </w:rPr>
        <w:t>P</w:t>
      </w:r>
      <w:r>
        <w:rPr>
          <w:i/>
          <w:sz w:val="24"/>
        </w:rPr>
        <w:t>obreza,</w:t>
      </w:r>
      <w:r>
        <w:rPr>
          <w:i/>
          <w:spacing w:val="-5"/>
          <w:sz w:val="24"/>
        </w:rPr>
        <w:t xml:space="preserve"> </w:t>
      </w:r>
      <w:r>
        <w:rPr>
          <w:i/>
          <w:sz w:val="24"/>
        </w:rPr>
        <w:t>Cambio</w:t>
      </w:r>
      <w:r>
        <w:rPr>
          <w:i/>
          <w:spacing w:val="-3"/>
          <w:sz w:val="24"/>
        </w:rPr>
        <w:t xml:space="preserve"> </w:t>
      </w:r>
      <w:r>
        <w:rPr>
          <w:i/>
          <w:sz w:val="24"/>
        </w:rPr>
        <w:t>Climático</w:t>
      </w:r>
      <w:r>
        <w:rPr>
          <w:i/>
          <w:spacing w:val="-2"/>
          <w:sz w:val="24"/>
        </w:rPr>
        <w:t xml:space="preserve"> </w:t>
      </w:r>
      <w:r>
        <w:rPr>
          <w:i/>
          <w:sz w:val="24"/>
        </w:rPr>
        <w:t>y</w:t>
      </w:r>
      <w:r>
        <w:rPr>
          <w:i/>
          <w:spacing w:val="-3"/>
          <w:sz w:val="24"/>
        </w:rPr>
        <w:t xml:space="preserve"> </w:t>
      </w:r>
      <w:r>
        <w:rPr>
          <w:i/>
          <w:sz w:val="24"/>
        </w:rPr>
        <w:t>DESCA</w:t>
      </w:r>
      <w:r>
        <w:rPr>
          <w:i/>
          <w:spacing w:val="-2"/>
          <w:sz w:val="24"/>
        </w:rPr>
        <w:t xml:space="preserve"> </w:t>
      </w:r>
      <w:r>
        <w:rPr>
          <w:i/>
          <w:sz w:val="24"/>
        </w:rPr>
        <w:t>en</w:t>
      </w:r>
      <w:r>
        <w:rPr>
          <w:i/>
          <w:spacing w:val="-2"/>
          <w:sz w:val="24"/>
        </w:rPr>
        <w:t xml:space="preserve"> </w:t>
      </w:r>
      <w:r>
        <w:rPr>
          <w:i/>
          <w:sz w:val="24"/>
        </w:rPr>
        <w:t>Centro</w:t>
      </w:r>
      <w:r>
        <w:rPr>
          <w:i/>
          <w:spacing w:val="-2"/>
          <w:sz w:val="24"/>
        </w:rPr>
        <w:t xml:space="preserve"> </w:t>
      </w:r>
      <w:r>
        <w:rPr>
          <w:i/>
          <w:sz w:val="24"/>
        </w:rPr>
        <w:t>América</w:t>
      </w:r>
      <w:r>
        <w:rPr>
          <w:i/>
          <w:spacing w:val="-4"/>
          <w:sz w:val="24"/>
        </w:rPr>
        <w:t xml:space="preserve"> </w:t>
      </w:r>
      <w:r>
        <w:rPr>
          <w:i/>
          <w:sz w:val="24"/>
        </w:rPr>
        <w:t>y</w:t>
      </w:r>
      <w:r>
        <w:rPr>
          <w:i/>
          <w:spacing w:val="-2"/>
          <w:sz w:val="24"/>
        </w:rPr>
        <w:t xml:space="preserve"> </w:t>
      </w:r>
      <w:r>
        <w:rPr>
          <w:i/>
          <w:sz w:val="24"/>
        </w:rPr>
        <w:t>México,</w:t>
      </w:r>
      <w:r>
        <w:rPr>
          <w:i/>
          <w:spacing w:val="-4"/>
          <w:sz w:val="24"/>
        </w:rPr>
        <w:t xml:space="preserve"> </w:t>
      </w:r>
      <w:r>
        <w:rPr>
          <w:i/>
          <w:sz w:val="24"/>
        </w:rPr>
        <w:t>en el Contexto de Movilidad Humana</w:t>
      </w:r>
      <w:r>
        <w:rPr>
          <w:sz w:val="24"/>
        </w:rPr>
        <w:t>, Comisión Interamericana de Derechos Humanos Relatoría Especial sobre Derechos Económicos Sociales Culturales y Ambientales, 2023.</w:t>
      </w:r>
    </w:p>
    <w:p w14:paraId="39B28BDB" w14:textId="77777777" w:rsidR="000E52B0" w:rsidRDefault="00F60D74">
      <w:pPr>
        <w:pStyle w:val="Textoindependiente"/>
        <w:spacing w:before="158"/>
        <w:ind w:right="716"/>
        <w:jc w:val="both"/>
      </w:pPr>
      <w:r>
        <w:t>Se realiza este informe en el marco de un proyecto en marcha con la Cooperación</w:t>
      </w:r>
      <w:r>
        <w:rPr>
          <w:spacing w:val="-14"/>
        </w:rPr>
        <w:t xml:space="preserve"> </w:t>
      </w:r>
      <w:r>
        <w:t>de</w:t>
      </w:r>
      <w:r>
        <w:rPr>
          <w:spacing w:val="-13"/>
        </w:rPr>
        <w:t xml:space="preserve"> </w:t>
      </w:r>
      <w:r>
        <w:t>Noruega,</w:t>
      </w:r>
      <w:r>
        <w:rPr>
          <w:spacing w:val="-15"/>
        </w:rPr>
        <w:t xml:space="preserve"> </w:t>
      </w:r>
      <w:r>
        <w:t>con</w:t>
      </w:r>
      <w:r>
        <w:rPr>
          <w:spacing w:val="-14"/>
        </w:rPr>
        <w:t xml:space="preserve"> </w:t>
      </w:r>
      <w:r>
        <w:t>el</w:t>
      </w:r>
      <w:r>
        <w:rPr>
          <w:spacing w:val="-15"/>
        </w:rPr>
        <w:t xml:space="preserve"> </w:t>
      </w:r>
      <w:r>
        <w:t>fin</w:t>
      </w:r>
      <w:r>
        <w:rPr>
          <w:spacing w:val="-14"/>
        </w:rPr>
        <w:t xml:space="preserve"> </w:t>
      </w:r>
      <w:r>
        <w:t>de</w:t>
      </w:r>
      <w:r>
        <w:rPr>
          <w:spacing w:val="-13"/>
        </w:rPr>
        <w:t xml:space="preserve"> </w:t>
      </w:r>
      <w:r>
        <w:t>aportar</w:t>
      </w:r>
      <w:r>
        <w:rPr>
          <w:spacing w:val="-13"/>
        </w:rPr>
        <w:t xml:space="preserve"> </w:t>
      </w:r>
      <w:r>
        <w:t>al</w:t>
      </w:r>
      <w:r>
        <w:rPr>
          <w:spacing w:val="-15"/>
        </w:rPr>
        <w:t xml:space="preserve"> </w:t>
      </w:r>
      <w:r>
        <w:t>diagnóstico</w:t>
      </w:r>
      <w:r>
        <w:rPr>
          <w:spacing w:val="-13"/>
        </w:rPr>
        <w:t xml:space="preserve"> </w:t>
      </w:r>
      <w:r>
        <w:t>de</w:t>
      </w:r>
      <w:r>
        <w:rPr>
          <w:spacing w:val="-13"/>
        </w:rPr>
        <w:t xml:space="preserve"> </w:t>
      </w:r>
      <w:r>
        <w:t>la</w:t>
      </w:r>
      <w:r>
        <w:rPr>
          <w:spacing w:val="-14"/>
        </w:rPr>
        <w:t xml:space="preserve"> </w:t>
      </w:r>
      <w:r>
        <w:t>situación desde un ángulo novedoso y propositivo, que además de identificar los problemas, pueda también contribuir en cuanto a las soluciones desde un enfoque integral de derechos humanos. Así, el informe, brinda orientaciones a los Estados, a la sociedad civil y demás actores relevantes en la adopción de medidas y políticas públicas centradas en abordar tales</w:t>
      </w:r>
    </w:p>
    <w:p w14:paraId="11AC2CF3" w14:textId="77777777" w:rsidR="000E52B0" w:rsidRDefault="000E52B0">
      <w:pPr>
        <w:pStyle w:val="Textoindependiente"/>
        <w:jc w:val="both"/>
        <w:sectPr w:rsidR="000E52B0">
          <w:pgSz w:w="11910" w:h="16840"/>
          <w:pgMar w:top="1340" w:right="720" w:bottom="1180" w:left="720" w:header="0" w:footer="995" w:gutter="0"/>
          <w:cols w:space="720"/>
        </w:sectPr>
      </w:pPr>
    </w:p>
    <w:p w14:paraId="15451855" w14:textId="77777777" w:rsidR="000E52B0" w:rsidRDefault="00F60D74">
      <w:pPr>
        <w:pStyle w:val="Textoindependiente"/>
        <w:spacing w:before="83"/>
        <w:ind w:right="721"/>
        <w:jc w:val="both"/>
      </w:pPr>
      <w:r>
        <w:lastRenderedPageBreak/>
        <w:t>causas, así como incentivar respuestas coordinadas, oportunas y eficaces que protejan a los sectores más vulnerables de las sociedades.</w:t>
      </w:r>
    </w:p>
    <w:p w14:paraId="16C3353F" w14:textId="77777777" w:rsidR="000E52B0" w:rsidRDefault="00F60D74">
      <w:pPr>
        <w:pStyle w:val="Textoindependiente"/>
        <w:spacing w:before="158"/>
        <w:ind w:right="715"/>
        <w:jc w:val="both"/>
      </w:pPr>
      <w:r>
        <w:t>El informe propone garantizar el principio de igualdad y no discriminación en</w:t>
      </w:r>
      <w:r>
        <w:rPr>
          <w:spacing w:val="-11"/>
        </w:rPr>
        <w:t xml:space="preserve"> </w:t>
      </w:r>
      <w:r>
        <w:t>las</w:t>
      </w:r>
      <w:r>
        <w:rPr>
          <w:spacing w:val="-9"/>
        </w:rPr>
        <w:t xml:space="preserve"> </w:t>
      </w:r>
      <w:r>
        <w:t>políticas</w:t>
      </w:r>
      <w:r>
        <w:rPr>
          <w:spacing w:val="-9"/>
        </w:rPr>
        <w:t xml:space="preserve"> </w:t>
      </w:r>
      <w:r>
        <w:t>y</w:t>
      </w:r>
      <w:r>
        <w:rPr>
          <w:spacing w:val="-9"/>
        </w:rPr>
        <w:t xml:space="preserve"> </w:t>
      </w:r>
      <w:r>
        <w:t>programas</w:t>
      </w:r>
      <w:r>
        <w:rPr>
          <w:spacing w:val="-11"/>
        </w:rPr>
        <w:t xml:space="preserve"> </w:t>
      </w:r>
      <w:r>
        <w:t>sociales</w:t>
      </w:r>
      <w:r>
        <w:rPr>
          <w:spacing w:val="-9"/>
        </w:rPr>
        <w:t xml:space="preserve"> </w:t>
      </w:r>
      <w:r>
        <w:t>en</w:t>
      </w:r>
      <w:r>
        <w:rPr>
          <w:spacing w:val="-11"/>
        </w:rPr>
        <w:t xml:space="preserve"> </w:t>
      </w:r>
      <w:r>
        <w:t>todos</w:t>
      </w:r>
      <w:r>
        <w:rPr>
          <w:spacing w:val="-9"/>
        </w:rPr>
        <w:t xml:space="preserve"> </w:t>
      </w:r>
      <w:r>
        <w:t>los</w:t>
      </w:r>
      <w:r>
        <w:rPr>
          <w:spacing w:val="-10"/>
        </w:rPr>
        <w:t xml:space="preserve"> </w:t>
      </w:r>
      <w:r>
        <w:t>niveles</w:t>
      </w:r>
      <w:r>
        <w:rPr>
          <w:spacing w:val="-10"/>
        </w:rPr>
        <w:t xml:space="preserve"> </w:t>
      </w:r>
      <w:r>
        <w:t>de</w:t>
      </w:r>
      <w:r>
        <w:rPr>
          <w:spacing w:val="-8"/>
        </w:rPr>
        <w:t xml:space="preserve"> </w:t>
      </w:r>
      <w:r>
        <w:t>gobierno,</w:t>
      </w:r>
      <w:r>
        <w:rPr>
          <w:spacing w:val="-10"/>
        </w:rPr>
        <w:t xml:space="preserve"> </w:t>
      </w:r>
      <w:r>
        <w:t>para garantizar</w:t>
      </w:r>
      <w:r>
        <w:rPr>
          <w:spacing w:val="-17"/>
        </w:rPr>
        <w:t xml:space="preserve"> </w:t>
      </w:r>
      <w:r>
        <w:t>el</w:t>
      </w:r>
      <w:r>
        <w:rPr>
          <w:spacing w:val="-19"/>
        </w:rPr>
        <w:t xml:space="preserve"> </w:t>
      </w:r>
      <w:r>
        <w:t>acceso</w:t>
      </w:r>
      <w:r>
        <w:rPr>
          <w:spacing w:val="-15"/>
        </w:rPr>
        <w:t xml:space="preserve"> </w:t>
      </w:r>
      <w:r>
        <w:t>a</w:t>
      </w:r>
      <w:r>
        <w:rPr>
          <w:spacing w:val="-18"/>
        </w:rPr>
        <w:t xml:space="preserve"> </w:t>
      </w:r>
      <w:r>
        <w:t>todos</w:t>
      </w:r>
      <w:r>
        <w:rPr>
          <w:spacing w:val="-19"/>
        </w:rPr>
        <w:t xml:space="preserve"> </w:t>
      </w:r>
      <w:r>
        <w:t>los</w:t>
      </w:r>
      <w:r>
        <w:rPr>
          <w:spacing w:val="-18"/>
        </w:rPr>
        <w:t xml:space="preserve"> </w:t>
      </w:r>
      <w:r>
        <w:t>servicios</w:t>
      </w:r>
      <w:r>
        <w:rPr>
          <w:spacing w:val="-16"/>
        </w:rPr>
        <w:t xml:space="preserve"> </w:t>
      </w:r>
      <w:r>
        <w:t>públicos,</w:t>
      </w:r>
      <w:r>
        <w:rPr>
          <w:spacing w:val="-17"/>
        </w:rPr>
        <w:t xml:space="preserve"> </w:t>
      </w:r>
      <w:r>
        <w:t>incluidos</w:t>
      </w:r>
      <w:r>
        <w:rPr>
          <w:spacing w:val="-19"/>
        </w:rPr>
        <w:t xml:space="preserve"> </w:t>
      </w:r>
      <w:r>
        <w:t>los</w:t>
      </w:r>
      <w:r>
        <w:rPr>
          <w:spacing w:val="-19"/>
        </w:rPr>
        <w:t xml:space="preserve"> </w:t>
      </w:r>
      <w:r>
        <w:t>privatizados o tercerizados, orientados a proteger los Derechos Económicos Sociales Culturales</w:t>
      </w:r>
      <w:r>
        <w:rPr>
          <w:spacing w:val="-17"/>
        </w:rPr>
        <w:t xml:space="preserve"> </w:t>
      </w:r>
      <w:r>
        <w:t>y</w:t>
      </w:r>
      <w:r>
        <w:rPr>
          <w:spacing w:val="-20"/>
        </w:rPr>
        <w:t xml:space="preserve"> </w:t>
      </w:r>
      <w:r>
        <w:t>Ambientales</w:t>
      </w:r>
      <w:r>
        <w:rPr>
          <w:spacing w:val="-17"/>
        </w:rPr>
        <w:t xml:space="preserve"> </w:t>
      </w:r>
      <w:r>
        <w:t>de</w:t>
      </w:r>
      <w:r>
        <w:rPr>
          <w:spacing w:val="-18"/>
        </w:rPr>
        <w:t xml:space="preserve"> </w:t>
      </w:r>
      <w:r>
        <w:t>personas</w:t>
      </w:r>
      <w:r>
        <w:rPr>
          <w:spacing w:val="-20"/>
        </w:rPr>
        <w:t xml:space="preserve"> </w:t>
      </w:r>
      <w:r>
        <w:t>con</w:t>
      </w:r>
      <w:r>
        <w:rPr>
          <w:spacing w:val="-20"/>
        </w:rPr>
        <w:t xml:space="preserve"> </w:t>
      </w:r>
      <w:r>
        <w:t>movilidad.</w:t>
      </w:r>
      <w:r>
        <w:rPr>
          <w:spacing w:val="-18"/>
        </w:rPr>
        <w:t xml:space="preserve"> </w:t>
      </w:r>
      <w:r>
        <w:t>Asimismo,</w:t>
      </w:r>
      <w:r>
        <w:rPr>
          <w:spacing w:val="-16"/>
        </w:rPr>
        <w:t xml:space="preserve"> </w:t>
      </w:r>
      <w:r>
        <w:t>los</w:t>
      </w:r>
      <w:r>
        <w:rPr>
          <w:spacing w:val="-19"/>
        </w:rPr>
        <w:t xml:space="preserve"> </w:t>
      </w:r>
      <w:r>
        <w:t xml:space="preserve">estados deben asegurarse de que existan mecanismos de acceso a la justicia y medios de impugnación idóneos y eficaces para la protección de sus </w:t>
      </w:r>
      <w:r>
        <w:rPr>
          <w:spacing w:val="-2"/>
        </w:rPr>
        <w:t>derechos.</w:t>
      </w:r>
    </w:p>
    <w:p w14:paraId="59DE667C" w14:textId="77777777" w:rsidR="000E52B0" w:rsidRDefault="00F60D74">
      <w:pPr>
        <w:pStyle w:val="Prrafodelista"/>
        <w:numPr>
          <w:ilvl w:val="0"/>
          <w:numId w:val="42"/>
        </w:numPr>
        <w:tabs>
          <w:tab w:val="left" w:pos="1440"/>
        </w:tabs>
        <w:spacing w:before="160"/>
        <w:ind w:right="714"/>
        <w:jc w:val="both"/>
        <w:rPr>
          <w:sz w:val="24"/>
        </w:rPr>
      </w:pPr>
      <w:r>
        <w:rPr>
          <w:i/>
          <w:sz w:val="24"/>
        </w:rPr>
        <w:t>Derechos Humanos de las personas mayores y sistemas nacionales de</w:t>
      </w:r>
      <w:r>
        <w:rPr>
          <w:i/>
          <w:spacing w:val="-16"/>
          <w:sz w:val="24"/>
        </w:rPr>
        <w:t xml:space="preserve"> </w:t>
      </w:r>
      <w:r>
        <w:rPr>
          <w:i/>
          <w:sz w:val="24"/>
        </w:rPr>
        <w:t>protección</w:t>
      </w:r>
      <w:r>
        <w:rPr>
          <w:i/>
          <w:spacing w:val="-15"/>
          <w:sz w:val="24"/>
        </w:rPr>
        <w:t xml:space="preserve"> </w:t>
      </w:r>
      <w:r>
        <w:rPr>
          <w:i/>
          <w:sz w:val="24"/>
        </w:rPr>
        <w:t>de</w:t>
      </w:r>
      <w:r>
        <w:rPr>
          <w:i/>
          <w:spacing w:val="-16"/>
          <w:sz w:val="24"/>
        </w:rPr>
        <w:t xml:space="preserve"> </w:t>
      </w:r>
      <w:r>
        <w:rPr>
          <w:i/>
          <w:sz w:val="24"/>
        </w:rPr>
        <w:t>las</w:t>
      </w:r>
      <w:r>
        <w:rPr>
          <w:i/>
          <w:spacing w:val="-15"/>
          <w:sz w:val="24"/>
        </w:rPr>
        <w:t xml:space="preserve"> </w:t>
      </w:r>
      <w:r>
        <w:rPr>
          <w:i/>
          <w:sz w:val="24"/>
        </w:rPr>
        <w:t>Américas</w:t>
      </w:r>
      <w:r>
        <w:rPr>
          <w:sz w:val="24"/>
        </w:rPr>
        <w:t>,</w:t>
      </w:r>
      <w:r>
        <w:rPr>
          <w:spacing w:val="-16"/>
          <w:sz w:val="24"/>
        </w:rPr>
        <w:t xml:space="preserve"> </w:t>
      </w:r>
      <w:r>
        <w:rPr>
          <w:sz w:val="24"/>
        </w:rPr>
        <w:t>Comisión</w:t>
      </w:r>
      <w:r>
        <w:rPr>
          <w:spacing w:val="-15"/>
          <w:sz w:val="24"/>
        </w:rPr>
        <w:t xml:space="preserve"> </w:t>
      </w:r>
      <w:r>
        <w:rPr>
          <w:sz w:val="24"/>
        </w:rPr>
        <w:t>Interamericana</w:t>
      </w:r>
      <w:r>
        <w:rPr>
          <w:spacing w:val="-15"/>
          <w:sz w:val="24"/>
        </w:rPr>
        <w:t xml:space="preserve"> </w:t>
      </w:r>
      <w:r>
        <w:rPr>
          <w:sz w:val="24"/>
        </w:rPr>
        <w:t>de</w:t>
      </w:r>
      <w:r>
        <w:rPr>
          <w:spacing w:val="-13"/>
          <w:sz w:val="24"/>
        </w:rPr>
        <w:t xml:space="preserve"> </w:t>
      </w:r>
      <w:r>
        <w:rPr>
          <w:sz w:val="24"/>
        </w:rPr>
        <w:t xml:space="preserve">Derechos Humanos, Relatoría sobre los Derechos de las Personas Mayores, </w:t>
      </w:r>
      <w:r>
        <w:rPr>
          <w:spacing w:val="-2"/>
          <w:sz w:val="24"/>
        </w:rPr>
        <w:t>2022.</w:t>
      </w:r>
    </w:p>
    <w:p w14:paraId="440E9084" w14:textId="77777777" w:rsidR="000E52B0" w:rsidRDefault="00F60D74">
      <w:pPr>
        <w:pStyle w:val="Textoindependiente"/>
        <w:spacing w:before="159"/>
        <w:ind w:right="718"/>
        <w:jc w:val="both"/>
      </w:pPr>
      <w:r>
        <w:t>El principal objetivo de este informe es dar cuenta del resultado de un proceso que ha permitido integrar los principales estándares normativos y jurisprudenciales</w:t>
      </w:r>
      <w:r>
        <w:rPr>
          <w:spacing w:val="-20"/>
        </w:rPr>
        <w:t xml:space="preserve"> </w:t>
      </w:r>
      <w:r>
        <w:t>en</w:t>
      </w:r>
      <w:r>
        <w:rPr>
          <w:spacing w:val="-18"/>
        </w:rPr>
        <w:t xml:space="preserve"> </w:t>
      </w:r>
      <w:r>
        <w:t>la</w:t>
      </w:r>
      <w:r>
        <w:rPr>
          <w:spacing w:val="-20"/>
        </w:rPr>
        <w:t xml:space="preserve"> </w:t>
      </w:r>
      <w:r>
        <w:t>materia</w:t>
      </w:r>
      <w:r>
        <w:rPr>
          <w:spacing w:val="-19"/>
        </w:rPr>
        <w:t xml:space="preserve"> </w:t>
      </w:r>
      <w:r>
        <w:t>e</w:t>
      </w:r>
      <w:r>
        <w:rPr>
          <w:spacing w:val="-18"/>
        </w:rPr>
        <w:t xml:space="preserve"> </w:t>
      </w:r>
      <w:r>
        <w:t>identificar</w:t>
      </w:r>
      <w:r>
        <w:rPr>
          <w:spacing w:val="-19"/>
        </w:rPr>
        <w:t xml:space="preserve"> </w:t>
      </w:r>
      <w:r>
        <w:t>los</w:t>
      </w:r>
      <w:r>
        <w:rPr>
          <w:spacing w:val="-19"/>
        </w:rPr>
        <w:t xml:space="preserve"> </w:t>
      </w:r>
      <w:r>
        <w:t>desarrollos</w:t>
      </w:r>
      <w:r>
        <w:rPr>
          <w:spacing w:val="-20"/>
        </w:rPr>
        <w:t xml:space="preserve"> </w:t>
      </w:r>
      <w:r>
        <w:t>de</w:t>
      </w:r>
      <w:r>
        <w:rPr>
          <w:spacing w:val="-18"/>
        </w:rPr>
        <w:t xml:space="preserve"> </w:t>
      </w:r>
      <w:r>
        <w:t>otros</w:t>
      </w:r>
      <w:r>
        <w:rPr>
          <w:spacing w:val="-20"/>
        </w:rPr>
        <w:t xml:space="preserve"> </w:t>
      </w:r>
      <w:r>
        <w:t>órganos de</w:t>
      </w:r>
      <w:r>
        <w:rPr>
          <w:spacing w:val="-1"/>
        </w:rPr>
        <w:t xml:space="preserve"> </w:t>
      </w:r>
      <w:r>
        <w:t>derechos</w:t>
      </w:r>
      <w:r>
        <w:rPr>
          <w:spacing w:val="-2"/>
        </w:rPr>
        <w:t xml:space="preserve"> </w:t>
      </w:r>
      <w:r>
        <w:t>humanos</w:t>
      </w:r>
      <w:r>
        <w:rPr>
          <w:spacing w:val="-2"/>
        </w:rPr>
        <w:t xml:space="preserve"> </w:t>
      </w:r>
      <w:r>
        <w:t>especializados</w:t>
      </w:r>
      <w:r>
        <w:rPr>
          <w:spacing w:val="-2"/>
        </w:rPr>
        <w:t xml:space="preserve"> </w:t>
      </w:r>
      <w:r>
        <w:t>en</w:t>
      </w:r>
      <w:r>
        <w:rPr>
          <w:spacing w:val="-2"/>
        </w:rPr>
        <w:t xml:space="preserve"> </w:t>
      </w:r>
      <w:r>
        <w:t>la</w:t>
      </w:r>
      <w:r>
        <w:rPr>
          <w:spacing w:val="-2"/>
        </w:rPr>
        <w:t xml:space="preserve"> </w:t>
      </w:r>
      <w:r>
        <w:t>atención de</w:t>
      </w:r>
      <w:r>
        <w:rPr>
          <w:spacing w:val="-1"/>
        </w:rPr>
        <w:t xml:space="preserve"> </w:t>
      </w:r>
      <w:r>
        <w:t>los derechos</w:t>
      </w:r>
      <w:r>
        <w:rPr>
          <w:spacing w:val="-2"/>
        </w:rPr>
        <w:t xml:space="preserve"> </w:t>
      </w:r>
      <w:r>
        <w:t>de</w:t>
      </w:r>
      <w:r>
        <w:rPr>
          <w:spacing w:val="-1"/>
        </w:rPr>
        <w:t xml:space="preserve"> </w:t>
      </w:r>
      <w:r>
        <w:t>las personas mayores. Asimismo, la CIDH ha consultado directamente a los Estados de las Américas sobre sus sistemas de protección, y a personas y organizaciones de sociedad civil especializadas, en dicha consulta se identificaron una serie de desafíos en relación con el ejercicio de algunos derechos humanos, tales como el acceso a la vivienda, el trabajo, la protección</w:t>
      </w:r>
      <w:r>
        <w:rPr>
          <w:spacing w:val="-8"/>
        </w:rPr>
        <w:t xml:space="preserve"> </w:t>
      </w:r>
      <w:r>
        <w:t>social,</w:t>
      </w:r>
      <w:r>
        <w:rPr>
          <w:spacing w:val="-9"/>
        </w:rPr>
        <w:t xml:space="preserve"> </w:t>
      </w:r>
      <w:r>
        <w:t>la</w:t>
      </w:r>
      <w:r>
        <w:rPr>
          <w:spacing w:val="-6"/>
        </w:rPr>
        <w:t xml:space="preserve"> </w:t>
      </w:r>
      <w:r>
        <w:t>salud</w:t>
      </w:r>
      <w:r>
        <w:rPr>
          <w:spacing w:val="-6"/>
        </w:rPr>
        <w:t xml:space="preserve"> </w:t>
      </w:r>
      <w:r>
        <w:t>y</w:t>
      </w:r>
      <w:r>
        <w:rPr>
          <w:spacing w:val="-8"/>
        </w:rPr>
        <w:t xml:space="preserve"> </w:t>
      </w:r>
      <w:r>
        <w:t>los</w:t>
      </w:r>
      <w:r>
        <w:rPr>
          <w:spacing w:val="-8"/>
        </w:rPr>
        <w:t xml:space="preserve"> </w:t>
      </w:r>
      <w:r>
        <w:t>cuidados</w:t>
      </w:r>
      <w:r>
        <w:rPr>
          <w:spacing w:val="-8"/>
        </w:rPr>
        <w:t xml:space="preserve"> </w:t>
      </w:r>
      <w:r>
        <w:t>paliativos,</w:t>
      </w:r>
      <w:r>
        <w:rPr>
          <w:spacing w:val="-9"/>
        </w:rPr>
        <w:t xml:space="preserve"> </w:t>
      </w:r>
      <w:r>
        <w:t>así</w:t>
      </w:r>
      <w:r>
        <w:rPr>
          <w:spacing w:val="-9"/>
        </w:rPr>
        <w:t xml:space="preserve"> </w:t>
      </w:r>
      <w:r>
        <w:t>como,</w:t>
      </w:r>
      <w:r>
        <w:rPr>
          <w:spacing w:val="-9"/>
        </w:rPr>
        <w:t xml:space="preserve"> </w:t>
      </w:r>
      <w:r>
        <w:t>la</w:t>
      </w:r>
      <w:r>
        <w:rPr>
          <w:spacing w:val="-8"/>
        </w:rPr>
        <w:t xml:space="preserve"> </w:t>
      </w:r>
      <w:r>
        <w:t>protección de toda forma de violencia y discriminación, entre otros.</w:t>
      </w:r>
    </w:p>
    <w:p w14:paraId="7DCB0040" w14:textId="77777777" w:rsidR="000E52B0" w:rsidRDefault="00F60D74">
      <w:pPr>
        <w:pStyle w:val="Textoindependiente"/>
        <w:spacing w:before="161"/>
        <w:ind w:right="722"/>
        <w:jc w:val="both"/>
      </w:pPr>
      <w:r>
        <w:t>Es necesario crear conciencia regional respecto de la escasez de políticas públicas</w:t>
      </w:r>
      <w:r>
        <w:rPr>
          <w:spacing w:val="-17"/>
        </w:rPr>
        <w:t xml:space="preserve"> </w:t>
      </w:r>
      <w:r>
        <w:t>con</w:t>
      </w:r>
      <w:r>
        <w:rPr>
          <w:spacing w:val="-18"/>
        </w:rPr>
        <w:t xml:space="preserve"> </w:t>
      </w:r>
      <w:r>
        <w:t>enfoque</w:t>
      </w:r>
      <w:r>
        <w:rPr>
          <w:spacing w:val="-17"/>
        </w:rPr>
        <w:t xml:space="preserve"> </w:t>
      </w:r>
      <w:r>
        <w:t>etario</w:t>
      </w:r>
      <w:r>
        <w:rPr>
          <w:spacing w:val="-18"/>
        </w:rPr>
        <w:t xml:space="preserve"> </w:t>
      </w:r>
      <w:r>
        <w:t>y</w:t>
      </w:r>
      <w:r>
        <w:rPr>
          <w:spacing w:val="-16"/>
        </w:rPr>
        <w:t xml:space="preserve"> </w:t>
      </w:r>
      <w:r>
        <w:t>de</w:t>
      </w:r>
      <w:r>
        <w:rPr>
          <w:spacing w:val="-17"/>
        </w:rPr>
        <w:t xml:space="preserve"> </w:t>
      </w:r>
      <w:r>
        <w:t>legislación</w:t>
      </w:r>
      <w:r>
        <w:rPr>
          <w:spacing w:val="-19"/>
        </w:rPr>
        <w:t xml:space="preserve"> </w:t>
      </w:r>
      <w:r>
        <w:t>que</w:t>
      </w:r>
      <w:r>
        <w:rPr>
          <w:spacing w:val="-17"/>
        </w:rPr>
        <w:t xml:space="preserve"> </w:t>
      </w:r>
      <w:r>
        <w:t>responda</w:t>
      </w:r>
      <w:r>
        <w:rPr>
          <w:spacing w:val="-18"/>
        </w:rPr>
        <w:t xml:space="preserve"> </w:t>
      </w:r>
      <w:r>
        <w:t>a</w:t>
      </w:r>
      <w:r>
        <w:rPr>
          <w:spacing w:val="-16"/>
        </w:rPr>
        <w:t xml:space="preserve"> </w:t>
      </w:r>
      <w:r>
        <w:t>las</w:t>
      </w:r>
      <w:r>
        <w:rPr>
          <w:spacing w:val="-19"/>
        </w:rPr>
        <w:t xml:space="preserve"> </w:t>
      </w:r>
      <w:r>
        <w:t xml:space="preserve">necesidades de las personas mayores como grupo en situación de vulnerabilidad; así como de la institucionalidad insuficiente y recursos limitados para atender las especiales necesidades de protección que tienen estas personas en las </w:t>
      </w:r>
      <w:r>
        <w:rPr>
          <w:spacing w:val="-2"/>
        </w:rPr>
        <w:t>Américas.</w:t>
      </w:r>
    </w:p>
    <w:p w14:paraId="6FD59175" w14:textId="77777777" w:rsidR="000E52B0" w:rsidRDefault="00F60D74">
      <w:pPr>
        <w:pStyle w:val="Textoindependiente"/>
        <w:spacing w:before="158"/>
        <w:ind w:right="717"/>
        <w:jc w:val="both"/>
      </w:pPr>
      <w:r>
        <w:t>Las políticas y programas dirigidos a hacer efectiva la integridad de las personas mayores abarcan un amplio espectro de objetivos específicos, formas de trabajo, modalidades de servicios y actores responsables. La existencia de campañas públicas de difusión, sensibilización y prevención del</w:t>
      </w:r>
      <w:r>
        <w:rPr>
          <w:spacing w:val="-12"/>
        </w:rPr>
        <w:t xml:space="preserve"> </w:t>
      </w:r>
      <w:r>
        <w:t>abuso</w:t>
      </w:r>
      <w:r>
        <w:rPr>
          <w:spacing w:val="-11"/>
        </w:rPr>
        <w:t xml:space="preserve"> </w:t>
      </w:r>
      <w:r>
        <w:t>y</w:t>
      </w:r>
      <w:r>
        <w:rPr>
          <w:spacing w:val="-9"/>
        </w:rPr>
        <w:t xml:space="preserve"> </w:t>
      </w:r>
      <w:r>
        <w:t>maltrato</w:t>
      </w:r>
      <w:r>
        <w:rPr>
          <w:spacing w:val="-11"/>
        </w:rPr>
        <w:t xml:space="preserve"> </w:t>
      </w:r>
      <w:r>
        <w:t>hacia</w:t>
      </w:r>
      <w:r>
        <w:rPr>
          <w:spacing w:val="-9"/>
        </w:rPr>
        <w:t xml:space="preserve"> </w:t>
      </w:r>
      <w:r>
        <w:t>las</w:t>
      </w:r>
      <w:r>
        <w:rPr>
          <w:spacing w:val="-11"/>
        </w:rPr>
        <w:t xml:space="preserve"> </w:t>
      </w:r>
      <w:r>
        <w:t>personas</w:t>
      </w:r>
      <w:r>
        <w:rPr>
          <w:spacing w:val="-9"/>
        </w:rPr>
        <w:t xml:space="preserve"> </w:t>
      </w:r>
      <w:r>
        <w:t>mayores</w:t>
      </w:r>
      <w:r>
        <w:rPr>
          <w:spacing w:val="-11"/>
        </w:rPr>
        <w:t xml:space="preserve"> </w:t>
      </w:r>
      <w:r>
        <w:t>que</w:t>
      </w:r>
      <w:r>
        <w:rPr>
          <w:spacing w:val="-10"/>
        </w:rPr>
        <w:t xml:space="preserve"> </w:t>
      </w:r>
      <w:r>
        <w:t>comprenden</w:t>
      </w:r>
      <w:r>
        <w:rPr>
          <w:spacing w:val="-12"/>
        </w:rPr>
        <w:t xml:space="preserve"> </w:t>
      </w:r>
      <w:r>
        <w:t>también programas de capacitación de funcionarios públicos para el buen trato a esta</w:t>
      </w:r>
      <w:r>
        <w:rPr>
          <w:spacing w:val="-22"/>
        </w:rPr>
        <w:t xml:space="preserve"> </w:t>
      </w:r>
      <w:r>
        <w:t>población</w:t>
      </w:r>
      <w:r>
        <w:rPr>
          <w:spacing w:val="-21"/>
        </w:rPr>
        <w:t xml:space="preserve"> </w:t>
      </w:r>
      <w:r>
        <w:t>en</w:t>
      </w:r>
      <w:r>
        <w:rPr>
          <w:spacing w:val="-21"/>
        </w:rPr>
        <w:t xml:space="preserve"> </w:t>
      </w:r>
      <w:r>
        <w:t>la</w:t>
      </w:r>
      <w:r>
        <w:rPr>
          <w:spacing w:val="-21"/>
        </w:rPr>
        <w:t xml:space="preserve"> </w:t>
      </w:r>
      <w:r>
        <w:t>prestación</w:t>
      </w:r>
      <w:r>
        <w:rPr>
          <w:spacing w:val="-21"/>
        </w:rPr>
        <w:t xml:space="preserve"> </w:t>
      </w:r>
      <w:r>
        <w:t>de</w:t>
      </w:r>
      <w:r>
        <w:rPr>
          <w:spacing w:val="-21"/>
        </w:rPr>
        <w:t xml:space="preserve"> </w:t>
      </w:r>
      <w:r>
        <w:t>servicios</w:t>
      </w:r>
      <w:r>
        <w:rPr>
          <w:spacing w:val="-21"/>
        </w:rPr>
        <w:t xml:space="preserve"> </w:t>
      </w:r>
      <w:r>
        <w:t>públicos</w:t>
      </w:r>
      <w:r>
        <w:rPr>
          <w:spacing w:val="-21"/>
        </w:rPr>
        <w:t xml:space="preserve"> </w:t>
      </w:r>
      <w:r>
        <w:t>es</w:t>
      </w:r>
      <w:r>
        <w:rPr>
          <w:spacing w:val="-21"/>
        </w:rPr>
        <w:t xml:space="preserve"> </w:t>
      </w:r>
      <w:r>
        <w:t>una</w:t>
      </w:r>
      <w:r>
        <w:rPr>
          <w:spacing w:val="-21"/>
        </w:rPr>
        <w:t xml:space="preserve"> </w:t>
      </w:r>
      <w:r>
        <w:t>práctica</w:t>
      </w:r>
      <w:r>
        <w:rPr>
          <w:spacing w:val="-22"/>
        </w:rPr>
        <w:t xml:space="preserve"> </w:t>
      </w:r>
      <w:r>
        <w:t>positiva emergente</w:t>
      </w:r>
      <w:r>
        <w:rPr>
          <w:spacing w:val="-20"/>
        </w:rPr>
        <w:t xml:space="preserve"> </w:t>
      </w:r>
      <w:r>
        <w:t>en</w:t>
      </w:r>
      <w:r>
        <w:rPr>
          <w:spacing w:val="-21"/>
        </w:rPr>
        <w:t xml:space="preserve"> </w:t>
      </w:r>
      <w:r>
        <w:t>la</w:t>
      </w:r>
      <w:r>
        <w:rPr>
          <w:spacing w:val="-21"/>
        </w:rPr>
        <w:t xml:space="preserve"> </w:t>
      </w:r>
      <w:r>
        <w:t>región.</w:t>
      </w:r>
      <w:r>
        <w:rPr>
          <w:spacing w:val="-22"/>
        </w:rPr>
        <w:t xml:space="preserve"> </w:t>
      </w:r>
      <w:r>
        <w:t>El</w:t>
      </w:r>
      <w:r>
        <w:rPr>
          <w:spacing w:val="-21"/>
        </w:rPr>
        <w:t xml:space="preserve"> </w:t>
      </w:r>
      <w:r>
        <w:t>desarrollo</w:t>
      </w:r>
      <w:r>
        <w:rPr>
          <w:spacing w:val="-19"/>
        </w:rPr>
        <w:t xml:space="preserve"> </w:t>
      </w:r>
      <w:r>
        <w:t>mecanismos</w:t>
      </w:r>
      <w:r>
        <w:rPr>
          <w:spacing w:val="-21"/>
        </w:rPr>
        <w:t xml:space="preserve"> </w:t>
      </w:r>
      <w:r>
        <w:t>de</w:t>
      </w:r>
      <w:r>
        <w:rPr>
          <w:spacing w:val="-20"/>
        </w:rPr>
        <w:t xml:space="preserve"> </w:t>
      </w:r>
      <w:r>
        <w:t>respuesta</w:t>
      </w:r>
      <w:r>
        <w:rPr>
          <w:spacing w:val="-21"/>
        </w:rPr>
        <w:t xml:space="preserve"> </w:t>
      </w:r>
      <w:r>
        <w:t>y</w:t>
      </w:r>
      <w:r>
        <w:rPr>
          <w:spacing w:val="-21"/>
        </w:rPr>
        <w:t xml:space="preserve"> </w:t>
      </w:r>
      <w:r>
        <w:t>asistencia ante</w:t>
      </w:r>
      <w:r>
        <w:rPr>
          <w:spacing w:val="-22"/>
        </w:rPr>
        <w:t xml:space="preserve"> </w:t>
      </w:r>
      <w:r>
        <w:t>situaciones</w:t>
      </w:r>
      <w:r>
        <w:rPr>
          <w:spacing w:val="-21"/>
        </w:rPr>
        <w:t xml:space="preserve"> </w:t>
      </w:r>
      <w:r>
        <w:t>de</w:t>
      </w:r>
      <w:r>
        <w:rPr>
          <w:spacing w:val="-21"/>
        </w:rPr>
        <w:t xml:space="preserve"> </w:t>
      </w:r>
      <w:r>
        <w:t>violencia</w:t>
      </w:r>
      <w:r>
        <w:rPr>
          <w:spacing w:val="-21"/>
        </w:rPr>
        <w:t xml:space="preserve"> </w:t>
      </w:r>
      <w:r>
        <w:t>mediante</w:t>
      </w:r>
      <w:r>
        <w:rPr>
          <w:spacing w:val="-21"/>
        </w:rPr>
        <w:t xml:space="preserve"> </w:t>
      </w:r>
      <w:r>
        <w:t>unidades</w:t>
      </w:r>
      <w:r>
        <w:rPr>
          <w:spacing w:val="-21"/>
        </w:rPr>
        <w:t xml:space="preserve"> </w:t>
      </w:r>
      <w:r>
        <w:t>especializadas</w:t>
      </w:r>
      <w:r>
        <w:rPr>
          <w:spacing w:val="-21"/>
        </w:rPr>
        <w:t xml:space="preserve"> </w:t>
      </w:r>
      <w:r>
        <w:t>en</w:t>
      </w:r>
      <w:r>
        <w:rPr>
          <w:spacing w:val="-21"/>
        </w:rPr>
        <w:t xml:space="preserve"> </w:t>
      </w:r>
      <w:r>
        <w:t>los</w:t>
      </w:r>
      <w:r>
        <w:rPr>
          <w:spacing w:val="-21"/>
        </w:rPr>
        <w:t xml:space="preserve"> </w:t>
      </w:r>
      <w:r>
        <w:t>casos que las víctimas son personas mayores, desarrollando así, acciones de diverso tipo como la investigación de los hechos, apoyo jurídico y contención psicológica son experiencias positivas de políticas pública que deben extenderse en las Américas.</w:t>
      </w:r>
    </w:p>
    <w:p w14:paraId="6F3A193B" w14:textId="77777777" w:rsidR="000E52B0" w:rsidRDefault="000E52B0">
      <w:pPr>
        <w:pStyle w:val="Textoindependiente"/>
        <w:jc w:val="both"/>
        <w:sectPr w:rsidR="000E52B0">
          <w:pgSz w:w="11910" w:h="16840"/>
          <w:pgMar w:top="1340" w:right="720" w:bottom="1180" w:left="720" w:header="0" w:footer="995" w:gutter="0"/>
          <w:cols w:space="720"/>
        </w:sectPr>
      </w:pPr>
    </w:p>
    <w:p w14:paraId="22E6E3A6" w14:textId="77777777" w:rsidR="000E52B0" w:rsidRDefault="00F60D74">
      <w:pPr>
        <w:pStyle w:val="Prrafodelista"/>
        <w:numPr>
          <w:ilvl w:val="0"/>
          <w:numId w:val="42"/>
        </w:numPr>
        <w:tabs>
          <w:tab w:val="left" w:pos="1440"/>
        </w:tabs>
        <w:spacing w:before="83"/>
        <w:ind w:right="714"/>
        <w:jc w:val="both"/>
        <w:rPr>
          <w:sz w:val="24"/>
        </w:rPr>
      </w:pPr>
      <w:r>
        <w:rPr>
          <w:i/>
          <w:sz w:val="24"/>
        </w:rPr>
        <w:lastRenderedPageBreak/>
        <w:t>Derechos económicos, sociales, culturales y ambientales de pueblos indígenas y afrodescendientes tribales</w:t>
      </w:r>
      <w:r>
        <w:rPr>
          <w:sz w:val="24"/>
        </w:rPr>
        <w:t>, Comisión Interamericana de Derechos Humanos, Relatoría Especial sobre los Derechos de los Pueblos Indígenas, 2023.</w:t>
      </w:r>
    </w:p>
    <w:p w14:paraId="0EB80A7C" w14:textId="77777777" w:rsidR="000E52B0" w:rsidRDefault="00F60D74">
      <w:pPr>
        <w:pStyle w:val="Textoindependiente"/>
        <w:spacing w:before="156"/>
        <w:ind w:right="716"/>
        <w:jc w:val="both"/>
      </w:pPr>
      <w:r>
        <w:t>Este informe identifica los desafíos para el goce efectivo de Derechos Económicos Sociales Culturales y Ambientales de los pueblos indígenas y afrodescendientes tribales según la normativa y los estándares interamericanos, y promueve acciones para superar estos obstáculos, la situación de precariedad de estas garantías deriva de factores históricos y estructurales que incluyen la violencia y discriminación, la desposesión histórica</w:t>
      </w:r>
      <w:r>
        <w:rPr>
          <w:spacing w:val="-4"/>
        </w:rPr>
        <w:t xml:space="preserve"> </w:t>
      </w:r>
      <w:r>
        <w:t>de</w:t>
      </w:r>
      <w:r>
        <w:rPr>
          <w:spacing w:val="-4"/>
        </w:rPr>
        <w:t xml:space="preserve"> </w:t>
      </w:r>
      <w:r>
        <w:t>tierras</w:t>
      </w:r>
      <w:r>
        <w:rPr>
          <w:spacing w:val="-4"/>
        </w:rPr>
        <w:t xml:space="preserve"> </w:t>
      </w:r>
      <w:r>
        <w:t>y</w:t>
      </w:r>
      <w:r>
        <w:rPr>
          <w:spacing w:val="-6"/>
        </w:rPr>
        <w:t xml:space="preserve"> </w:t>
      </w:r>
      <w:r>
        <w:t>territorios,</w:t>
      </w:r>
      <w:r>
        <w:rPr>
          <w:spacing w:val="-4"/>
        </w:rPr>
        <w:t xml:space="preserve"> </w:t>
      </w:r>
      <w:r>
        <w:t>los</w:t>
      </w:r>
      <w:r>
        <w:rPr>
          <w:spacing w:val="-6"/>
        </w:rPr>
        <w:t xml:space="preserve"> </w:t>
      </w:r>
      <w:r>
        <w:t>conflictos</w:t>
      </w:r>
      <w:r>
        <w:rPr>
          <w:spacing w:val="-6"/>
        </w:rPr>
        <w:t xml:space="preserve"> </w:t>
      </w:r>
      <w:r>
        <w:t>armados</w:t>
      </w:r>
      <w:r>
        <w:rPr>
          <w:spacing w:val="-3"/>
        </w:rPr>
        <w:t xml:space="preserve"> </w:t>
      </w:r>
      <w:r>
        <w:t>vividos</w:t>
      </w:r>
      <w:r>
        <w:rPr>
          <w:spacing w:val="-6"/>
        </w:rPr>
        <w:t xml:space="preserve"> </w:t>
      </w:r>
      <w:r>
        <w:t>en</w:t>
      </w:r>
      <w:r>
        <w:rPr>
          <w:spacing w:val="-6"/>
        </w:rPr>
        <w:t xml:space="preserve"> </w:t>
      </w:r>
      <w:r>
        <w:t>la</w:t>
      </w:r>
      <w:r>
        <w:rPr>
          <w:spacing w:val="-4"/>
        </w:rPr>
        <w:t xml:space="preserve"> </w:t>
      </w:r>
      <w:r>
        <w:t>región y las actuales políticas de desarrollo contrarias a los estándares internacionales impuestas en sus territorios.</w:t>
      </w:r>
    </w:p>
    <w:p w14:paraId="4576ECD8" w14:textId="77777777" w:rsidR="000E52B0" w:rsidRDefault="00F60D74">
      <w:pPr>
        <w:pStyle w:val="Textoindependiente"/>
        <w:spacing w:before="161"/>
        <w:ind w:right="714"/>
        <w:jc w:val="both"/>
      </w:pPr>
      <w:r>
        <w:t>En vista de lo anterior, la Comisión y la Relatoría Especial reiteran que la situación precaria de los derechos económicos, sociales, culturales y ambientales de los pueblos indígenas y afrodescendientes deriva de factores</w:t>
      </w:r>
      <w:r>
        <w:rPr>
          <w:spacing w:val="-1"/>
        </w:rPr>
        <w:t xml:space="preserve"> </w:t>
      </w:r>
      <w:r>
        <w:t>históricos</w:t>
      </w:r>
      <w:r>
        <w:rPr>
          <w:spacing w:val="-1"/>
        </w:rPr>
        <w:t xml:space="preserve"> </w:t>
      </w:r>
      <w:r>
        <w:t>y</w:t>
      </w:r>
      <w:r>
        <w:rPr>
          <w:spacing w:val="-1"/>
        </w:rPr>
        <w:t xml:space="preserve"> </w:t>
      </w:r>
      <w:r>
        <w:t>estructurales,</w:t>
      </w:r>
      <w:r>
        <w:rPr>
          <w:spacing w:val="-1"/>
        </w:rPr>
        <w:t xml:space="preserve"> </w:t>
      </w:r>
      <w:r>
        <w:t>incluyendo la</w:t>
      </w:r>
      <w:r>
        <w:rPr>
          <w:spacing w:val="-1"/>
        </w:rPr>
        <w:t xml:space="preserve"> </w:t>
      </w:r>
      <w:r>
        <w:t>violencia y discriminación que</w:t>
      </w:r>
      <w:r>
        <w:rPr>
          <w:spacing w:val="-10"/>
        </w:rPr>
        <w:t xml:space="preserve"> </w:t>
      </w:r>
      <w:r>
        <w:t>enfrentaron</w:t>
      </w:r>
      <w:r>
        <w:rPr>
          <w:spacing w:val="-12"/>
        </w:rPr>
        <w:t xml:space="preserve"> </w:t>
      </w:r>
      <w:r>
        <w:t>por</w:t>
      </w:r>
      <w:r>
        <w:rPr>
          <w:spacing w:val="-13"/>
        </w:rPr>
        <w:t xml:space="preserve"> </w:t>
      </w:r>
      <w:r>
        <w:t>la</w:t>
      </w:r>
      <w:r>
        <w:rPr>
          <w:spacing w:val="-12"/>
        </w:rPr>
        <w:t xml:space="preserve"> </w:t>
      </w:r>
      <w:r>
        <w:t>desposesión</w:t>
      </w:r>
      <w:r>
        <w:rPr>
          <w:spacing w:val="-11"/>
        </w:rPr>
        <w:t xml:space="preserve"> </w:t>
      </w:r>
      <w:r>
        <w:t>histórica</w:t>
      </w:r>
      <w:r>
        <w:rPr>
          <w:spacing w:val="-11"/>
        </w:rPr>
        <w:t xml:space="preserve"> </w:t>
      </w:r>
      <w:r>
        <w:t>de</w:t>
      </w:r>
      <w:r>
        <w:rPr>
          <w:spacing w:val="-10"/>
        </w:rPr>
        <w:t xml:space="preserve"> </w:t>
      </w:r>
      <w:r>
        <w:t>sus</w:t>
      </w:r>
      <w:r>
        <w:rPr>
          <w:spacing w:val="-11"/>
        </w:rPr>
        <w:t xml:space="preserve"> </w:t>
      </w:r>
      <w:r>
        <w:t>tierras</w:t>
      </w:r>
      <w:r>
        <w:rPr>
          <w:spacing w:val="-11"/>
        </w:rPr>
        <w:t xml:space="preserve"> </w:t>
      </w:r>
      <w:r>
        <w:t>y</w:t>
      </w:r>
      <w:r>
        <w:rPr>
          <w:spacing w:val="-11"/>
        </w:rPr>
        <w:t xml:space="preserve"> </w:t>
      </w:r>
      <w:r>
        <w:t>territorios,</w:t>
      </w:r>
      <w:r>
        <w:rPr>
          <w:spacing w:val="-12"/>
        </w:rPr>
        <w:t xml:space="preserve"> </w:t>
      </w:r>
      <w:r>
        <w:t>los conflictos</w:t>
      </w:r>
      <w:r>
        <w:rPr>
          <w:spacing w:val="-22"/>
        </w:rPr>
        <w:t xml:space="preserve"> </w:t>
      </w:r>
      <w:r>
        <w:t>armados</w:t>
      </w:r>
      <w:r>
        <w:rPr>
          <w:spacing w:val="-21"/>
        </w:rPr>
        <w:t xml:space="preserve"> </w:t>
      </w:r>
      <w:r>
        <w:t>vividos</w:t>
      </w:r>
      <w:r>
        <w:rPr>
          <w:spacing w:val="-20"/>
        </w:rPr>
        <w:t xml:space="preserve"> </w:t>
      </w:r>
      <w:r>
        <w:t>en</w:t>
      </w:r>
      <w:r>
        <w:rPr>
          <w:spacing w:val="-21"/>
        </w:rPr>
        <w:t xml:space="preserve"> </w:t>
      </w:r>
      <w:r>
        <w:t>la</w:t>
      </w:r>
      <w:r>
        <w:rPr>
          <w:spacing w:val="-21"/>
        </w:rPr>
        <w:t xml:space="preserve"> </w:t>
      </w:r>
      <w:r>
        <w:t>región,</w:t>
      </w:r>
      <w:r>
        <w:rPr>
          <w:spacing w:val="-22"/>
        </w:rPr>
        <w:t xml:space="preserve"> </w:t>
      </w:r>
      <w:r>
        <w:t>y</w:t>
      </w:r>
      <w:r>
        <w:rPr>
          <w:spacing w:val="-18"/>
        </w:rPr>
        <w:t xml:space="preserve"> </w:t>
      </w:r>
      <w:r>
        <w:t>las</w:t>
      </w:r>
      <w:r>
        <w:rPr>
          <w:spacing w:val="-21"/>
        </w:rPr>
        <w:t xml:space="preserve"> </w:t>
      </w:r>
      <w:r>
        <w:t>actuales</w:t>
      </w:r>
      <w:r>
        <w:rPr>
          <w:spacing w:val="-21"/>
        </w:rPr>
        <w:t xml:space="preserve"> </w:t>
      </w:r>
      <w:r>
        <w:t>políticas</w:t>
      </w:r>
      <w:r>
        <w:rPr>
          <w:spacing w:val="-21"/>
        </w:rPr>
        <w:t xml:space="preserve"> </w:t>
      </w:r>
      <w:r>
        <w:t>de</w:t>
      </w:r>
      <w:r>
        <w:rPr>
          <w:spacing w:val="-20"/>
        </w:rPr>
        <w:t xml:space="preserve"> </w:t>
      </w:r>
      <w:r>
        <w:t>desarrollo impuestas en sus territorios. Este contexto está en la raíz de las graves desigualdades socioeconómicas y políticas y la consiguiente pobreza multidimensional</w:t>
      </w:r>
      <w:r>
        <w:rPr>
          <w:spacing w:val="-1"/>
        </w:rPr>
        <w:t xml:space="preserve"> </w:t>
      </w:r>
      <w:r>
        <w:t>que enfrentan</w:t>
      </w:r>
      <w:r>
        <w:rPr>
          <w:spacing w:val="-1"/>
        </w:rPr>
        <w:t xml:space="preserve"> </w:t>
      </w:r>
      <w:r>
        <w:t>los pueblos indígenas</w:t>
      </w:r>
      <w:r>
        <w:rPr>
          <w:spacing w:val="-1"/>
        </w:rPr>
        <w:t xml:space="preserve"> </w:t>
      </w:r>
      <w:r>
        <w:t>y</w:t>
      </w:r>
      <w:r>
        <w:rPr>
          <w:spacing w:val="-1"/>
        </w:rPr>
        <w:t xml:space="preserve"> </w:t>
      </w:r>
      <w:r>
        <w:t>afrodescendientes tribales, todo lo cual desencadena violaciones interdependientes e interseccionales a sus derechos humanos.</w:t>
      </w:r>
    </w:p>
    <w:p w14:paraId="7E690457" w14:textId="77777777" w:rsidR="000E52B0" w:rsidRDefault="00F60D74">
      <w:pPr>
        <w:pStyle w:val="Textoindependiente"/>
        <w:spacing w:before="160"/>
        <w:ind w:right="717"/>
        <w:jc w:val="both"/>
      </w:pPr>
      <w:r>
        <w:t>Este contexto requiere de medidas de protección y reparación integral y colectiva que partan del reconocimiento de la deuda histórica con estos pueblos.</w:t>
      </w:r>
      <w:r>
        <w:rPr>
          <w:spacing w:val="-16"/>
        </w:rPr>
        <w:t xml:space="preserve"> </w:t>
      </w:r>
      <w:r>
        <w:t>El</w:t>
      </w:r>
      <w:r>
        <w:rPr>
          <w:spacing w:val="-17"/>
        </w:rPr>
        <w:t xml:space="preserve"> </w:t>
      </w:r>
      <w:r>
        <w:t>reconocimiento</w:t>
      </w:r>
      <w:r>
        <w:rPr>
          <w:spacing w:val="-17"/>
        </w:rPr>
        <w:t xml:space="preserve"> </w:t>
      </w:r>
      <w:r>
        <w:t>y</w:t>
      </w:r>
      <w:r>
        <w:rPr>
          <w:spacing w:val="-16"/>
        </w:rPr>
        <w:t xml:space="preserve"> </w:t>
      </w:r>
      <w:r>
        <w:t>respeto</w:t>
      </w:r>
      <w:r>
        <w:rPr>
          <w:spacing w:val="-17"/>
        </w:rPr>
        <w:t xml:space="preserve"> </w:t>
      </w:r>
      <w:r>
        <w:t>del</w:t>
      </w:r>
      <w:r>
        <w:rPr>
          <w:spacing w:val="-16"/>
        </w:rPr>
        <w:t xml:space="preserve"> </w:t>
      </w:r>
      <w:r>
        <w:t>derecho</w:t>
      </w:r>
      <w:r>
        <w:rPr>
          <w:spacing w:val="-17"/>
        </w:rPr>
        <w:t xml:space="preserve"> </w:t>
      </w:r>
      <w:r>
        <w:t>de</w:t>
      </w:r>
      <w:r>
        <w:rPr>
          <w:spacing w:val="-16"/>
        </w:rPr>
        <w:t xml:space="preserve"> </w:t>
      </w:r>
      <w:r>
        <w:t>estos</w:t>
      </w:r>
      <w:r>
        <w:rPr>
          <w:spacing w:val="-18"/>
        </w:rPr>
        <w:t xml:space="preserve"> </w:t>
      </w:r>
      <w:r>
        <w:t>pueblos</w:t>
      </w:r>
      <w:r>
        <w:rPr>
          <w:spacing w:val="-17"/>
        </w:rPr>
        <w:t xml:space="preserve"> </w:t>
      </w:r>
      <w:r>
        <w:t>a</w:t>
      </w:r>
      <w:r>
        <w:rPr>
          <w:spacing w:val="-15"/>
        </w:rPr>
        <w:t xml:space="preserve"> </w:t>
      </w:r>
      <w:r>
        <w:t>la</w:t>
      </w:r>
      <w:r>
        <w:rPr>
          <w:spacing w:val="-16"/>
        </w:rPr>
        <w:t xml:space="preserve"> </w:t>
      </w:r>
      <w:r>
        <w:t xml:space="preserve">libre determinación es un elemento central para la reparación colectiva por las violaciones históricas y sistemáticas de los derechos humanos de estos </w:t>
      </w:r>
      <w:r>
        <w:rPr>
          <w:spacing w:val="-2"/>
        </w:rPr>
        <w:t>pueblos.</w:t>
      </w:r>
    </w:p>
    <w:p w14:paraId="1DD870B3" w14:textId="77777777" w:rsidR="000E52B0" w:rsidRDefault="00F60D74">
      <w:pPr>
        <w:pStyle w:val="Prrafodelista"/>
        <w:numPr>
          <w:ilvl w:val="0"/>
          <w:numId w:val="42"/>
        </w:numPr>
        <w:tabs>
          <w:tab w:val="left" w:pos="1440"/>
        </w:tabs>
        <w:spacing w:before="160"/>
        <w:ind w:right="716"/>
        <w:jc w:val="both"/>
        <w:rPr>
          <w:sz w:val="24"/>
        </w:rPr>
      </w:pPr>
      <w:r>
        <w:rPr>
          <w:i/>
          <w:sz w:val="24"/>
        </w:rPr>
        <w:t>Niñez, libertad de expresión y medios de comunicación en las Américas,</w:t>
      </w:r>
      <w:r>
        <w:rPr>
          <w:i/>
          <w:spacing w:val="-14"/>
          <w:sz w:val="24"/>
        </w:rPr>
        <w:t xml:space="preserve"> </w:t>
      </w:r>
      <w:r>
        <w:rPr>
          <w:sz w:val="24"/>
        </w:rPr>
        <w:t>Comisión</w:t>
      </w:r>
      <w:r>
        <w:rPr>
          <w:spacing w:val="-12"/>
          <w:sz w:val="24"/>
        </w:rPr>
        <w:t xml:space="preserve"> </w:t>
      </w:r>
      <w:r>
        <w:rPr>
          <w:sz w:val="24"/>
        </w:rPr>
        <w:t>Interamericana</w:t>
      </w:r>
      <w:r>
        <w:rPr>
          <w:spacing w:val="-14"/>
          <w:sz w:val="24"/>
        </w:rPr>
        <w:t xml:space="preserve"> </w:t>
      </w:r>
      <w:r>
        <w:rPr>
          <w:sz w:val="24"/>
        </w:rPr>
        <w:t>de</w:t>
      </w:r>
      <w:r>
        <w:rPr>
          <w:spacing w:val="-11"/>
          <w:sz w:val="24"/>
        </w:rPr>
        <w:t xml:space="preserve"> </w:t>
      </w:r>
      <w:r>
        <w:rPr>
          <w:sz w:val="24"/>
        </w:rPr>
        <w:t>Derechos</w:t>
      </w:r>
      <w:r>
        <w:rPr>
          <w:spacing w:val="-14"/>
          <w:sz w:val="24"/>
        </w:rPr>
        <w:t xml:space="preserve"> </w:t>
      </w:r>
      <w:r>
        <w:rPr>
          <w:sz w:val="24"/>
        </w:rPr>
        <w:t>Humanos,</w:t>
      </w:r>
      <w:r>
        <w:rPr>
          <w:spacing w:val="-15"/>
          <w:sz w:val="24"/>
        </w:rPr>
        <w:t xml:space="preserve"> </w:t>
      </w:r>
      <w:r>
        <w:rPr>
          <w:sz w:val="24"/>
        </w:rPr>
        <w:t>Relatoría Especial para la libertad de expresión, 2019.</w:t>
      </w:r>
    </w:p>
    <w:p w14:paraId="13683682" w14:textId="77777777" w:rsidR="000E52B0" w:rsidRDefault="00F60D74">
      <w:pPr>
        <w:pStyle w:val="Textoindependiente"/>
        <w:spacing w:before="157"/>
        <w:ind w:right="721"/>
        <w:jc w:val="both"/>
      </w:pPr>
      <w:r>
        <w:t>La CIDH y su Relatoría Especial quieren destacar la importancia de las políticas públicas y prácticas desarrolladas por los Estados sobre la protección y promoción de los derechos de los Niños Niñas y Adolescentes vinculados</w:t>
      </w:r>
      <w:r>
        <w:rPr>
          <w:spacing w:val="-9"/>
        </w:rPr>
        <w:t xml:space="preserve"> </w:t>
      </w:r>
      <w:r>
        <w:t>a</w:t>
      </w:r>
      <w:r>
        <w:rPr>
          <w:spacing w:val="-7"/>
        </w:rPr>
        <w:t xml:space="preserve"> </w:t>
      </w:r>
      <w:r>
        <w:t>su</w:t>
      </w:r>
      <w:r>
        <w:rPr>
          <w:spacing w:val="-7"/>
        </w:rPr>
        <w:t xml:space="preserve"> </w:t>
      </w:r>
      <w:r>
        <w:t>libertad</w:t>
      </w:r>
      <w:r>
        <w:rPr>
          <w:spacing w:val="-10"/>
        </w:rPr>
        <w:t xml:space="preserve"> </w:t>
      </w:r>
      <w:r>
        <w:t>de</w:t>
      </w:r>
      <w:r>
        <w:rPr>
          <w:spacing w:val="-8"/>
        </w:rPr>
        <w:t xml:space="preserve"> </w:t>
      </w:r>
      <w:r>
        <w:t>expresión</w:t>
      </w:r>
      <w:r>
        <w:rPr>
          <w:spacing w:val="-7"/>
        </w:rPr>
        <w:t xml:space="preserve"> </w:t>
      </w:r>
      <w:r>
        <w:t>y</w:t>
      </w:r>
      <w:r>
        <w:rPr>
          <w:spacing w:val="-9"/>
        </w:rPr>
        <w:t xml:space="preserve"> </w:t>
      </w:r>
      <w:r>
        <w:t>al</w:t>
      </w:r>
      <w:r>
        <w:rPr>
          <w:spacing w:val="-10"/>
        </w:rPr>
        <w:t xml:space="preserve"> </w:t>
      </w:r>
      <w:r>
        <w:t>cumplimiento</w:t>
      </w:r>
      <w:r>
        <w:rPr>
          <w:spacing w:val="-8"/>
        </w:rPr>
        <w:t xml:space="preserve"> </w:t>
      </w:r>
      <w:r>
        <w:t>de</w:t>
      </w:r>
      <w:r>
        <w:rPr>
          <w:spacing w:val="-8"/>
        </w:rPr>
        <w:t xml:space="preserve"> </w:t>
      </w:r>
      <w:r>
        <w:t>las</w:t>
      </w:r>
      <w:r>
        <w:rPr>
          <w:spacing w:val="-9"/>
        </w:rPr>
        <w:t xml:space="preserve"> </w:t>
      </w:r>
      <w:r>
        <w:t xml:space="preserve">obligaciones del Derecho Internacional, siendo así se debe revisar la normatividad que establezca restricciones desproporcionadas a la libertad de expresión y </w:t>
      </w:r>
      <w:r>
        <w:rPr>
          <w:spacing w:val="-2"/>
        </w:rPr>
        <w:t>opinión.</w:t>
      </w:r>
    </w:p>
    <w:p w14:paraId="1FFFC48A" w14:textId="77777777" w:rsidR="000E52B0" w:rsidRDefault="00F60D74">
      <w:pPr>
        <w:pStyle w:val="Textoindependiente"/>
        <w:spacing w:before="162"/>
        <w:ind w:right="722"/>
        <w:jc w:val="both"/>
      </w:pPr>
      <w:r>
        <w:t>Los Estados deben adoptar medidas para garantizar el acceso a los NNA a Internet en todos los entornos, teniendo en cuenta el papel central que juega la promoción de todos los derechos de la niñez, en particular del derecho a la libertad de expresión, a la participación a la vida pública y la</w:t>
      </w:r>
    </w:p>
    <w:p w14:paraId="32239529" w14:textId="77777777" w:rsidR="000E52B0" w:rsidRDefault="000E52B0">
      <w:pPr>
        <w:pStyle w:val="Textoindependiente"/>
        <w:jc w:val="both"/>
        <w:sectPr w:rsidR="000E52B0">
          <w:pgSz w:w="11910" w:h="16840"/>
          <w:pgMar w:top="1340" w:right="720" w:bottom="1180" w:left="720" w:header="0" w:footer="995" w:gutter="0"/>
          <w:cols w:space="720"/>
        </w:sectPr>
      </w:pPr>
    </w:p>
    <w:p w14:paraId="1A1E141F" w14:textId="77777777" w:rsidR="000E52B0" w:rsidRDefault="00F60D74">
      <w:pPr>
        <w:pStyle w:val="Textoindependiente"/>
        <w:spacing w:before="83"/>
        <w:ind w:right="720"/>
        <w:jc w:val="both"/>
      </w:pPr>
      <w:r>
        <w:lastRenderedPageBreak/>
        <w:t>educación. Para ello, es indispensable adoptar medidas de diferenciación positiva</w:t>
      </w:r>
      <w:r>
        <w:rPr>
          <w:spacing w:val="-17"/>
        </w:rPr>
        <w:t xml:space="preserve"> </w:t>
      </w:r>
      <w:r>
        <w:t>para</w:t>
      </w:r>
      <w:r>
        <w:rPr>
          <w:spacing w:val="-17"/>
        </w:rPr>
        <w:t xml:space="preserve"> </w:t>
      </w:r>
      <w:r>
        <w:t>cerrar</w:t>
      </w:r>
      <w:r>
        <w:rPr>
          <w:spacing w:val="-18"/>
        </w:rPr>
        <w:t xml:space="preserve"> </w:t>
      </w:r>
      <w:r>
        <w:t>la</w:t>
      </w:r>
      <w:r>
        <w:rPr>
          <w:spacing w:val="-17"/>
        </w:rPr>
        <w:t xml:space="preserve"> </w:t>
      </w:r>
      <w:r>
        <w:t>brecha</w:t>
      </w:r>
      <w:r>
        <w:rPr>
          <w:spacing w:val="-17"/>
        </w:rPr>
        <w:t xml:space="preserve"> </w:t>
      </w:r>
      <w:r>
        <w:t>digital</w:t>
      </w:r>
      <w:r>
        <w:rPr>
          <w:spacing w:val="-18"/>
        </w:rPr>
        <w:t xml:space="preserve"> </w:t>
      </w:r>
      <w:r>
        <w:t>respecto</w:t>
      </w:r>
      <w:r>
        <w:rPr>
          <w:spacing w:val="-16"/>
        </w:rPr>
        <w:t xml:space="preserve"> </w:t>
      </w:r>
      <w:r>
        <w:t>de</w:t>
      </w:r>
      <w:r>
        <w:rPr>
          <w:spacing w:val="-16"/>
        </w:rPr>
        <w:t xml:space="preserve"> </w:t>
      </w:r>
      <w:r>
        <w:t>niños</w:t>
      </w:r>
      <w:r>
        <w:rPr>
          <w:spacing w:val="-15"/>
        </w:rPr>
        <w:t xml:space="preserve"> </w:t>
      </w:r>
      <w:r>
        <w:t>de</w:t>
      </w:r>
      <w:r>
        <w:rPr>
          <w:spacing w:val="-16"/>
        </w:rPr>
        <w:t xml:space="preserve"> </w:t>
      </w:r>
      <w:r>
        <w:t>comunidades</w:t>
      </w:r>
      <w:r>
        <w:rPr>
          <w:spacing w:val="-17"/>
        </w:rPr>
        <w:t xml:space="preserve"> </w:t>
      </w:r>
      <w:r>
        <w:t>que tienen un acceso muy limitado o carecen de él.</w:t>
      </w:r>
    </w:p>
    <w:p w14:paraId="0EF6B504" w14:textId="77777777" w:rsidR="000E52B0" w:rsidRDefault="00F60D74">
      <w:pPr>
        <w:pStyle w:val="Prrafodelista"/>
        <w:numPr>
          <w:ilvl w:val="0"/>
          <w:numId w:val="42"/>
        </w:numPr>
        <w:tabs>
          <w:tab w:val="left" w:pos="1440"/>
        </w:tabs>
        <w:spacing w:before="159"/>
        <w:ind w:right="720"/>
        <w:jc w:val="both"/>
        <w:rPr>
          <w:sz w:val="24"/>
        </w:rPr>
      </w:pPr>
      <w:r>
        <w:rPr>
          <w:i/>
          <w:sz w:val="24"/>
        </w:rPr>
        <w:t>Derechos</w:t>
      </w:r>
      <w:r>
        <w:rPr>
          <w:i/>
          <w:spacing w:val="-17"/>
          <w:sz w:val="24"/>
        </w:rPr>
        <w:t xml:space="preserve"> </w:t>
      </w:r>
      <w:r>
        <w:rPr>
          <w:i/>
          <w:sz w:val="24"/>
        </w:rPr>
        <w:t>económicos,</w:t>
      </w:r>
      <w:r>
        <w:rPr>
          <w:i/>
          <w:spacing w:val="-18"/>
          <w:sz w:val="24"/>
        </w:rPr>
        <w:t xml:space="preserve"> </w:t>
      </w:r>
      <w:r>
        <w:rPr>
          <w:i/>
          <w:sz w:val="24"/>
        </w:rPr>
        <w:t>sociales,</w:t>
      </w:r>
      <w:r>
        <w:rPr>
          <w:i/>
          <w:spacing w:val="-18"/>
          <w:sz w:val="24"/>
        </w:rPr>
        <w:t xml:space="preserve"> </w:t>
      </w:r>
      <w:r>
        <w:rPr>
          <w:i/>
          <w:sz w:val="24"/>
        </w:rPr>
        <w:t>culturales</w:t>
      </w:r>
      <w:r>
        <w:rPr>
          <w:i/>
          <w:spacing w:val="-17"/>
          <w:sz w:val="24"/>
        </w:rPr>
        <w:t xml:space="preserve"> </w:t>
      </w:r>
      <w:r>
        <w:rPr>
          <w:i/>
          <w:sz w:val="24"/>
        </w:rPr>
        <w:t>y</w:t>
      </w:r>
      <w:r>
        <w:rPr>
          <w:i/>
          <w:spacing w:val="-17"/>
          <w:sz w:val="24"/>
        </w:rPr>
        <w:t xml:space="preserve"> </w:t>
      </w:r>
      <w:r>
        <w:rPr>
          <w:i/>
          <w:sz w:val="24"/>
        </w:rPr>
        <w:t>ambientales</w:t>
      </w:r>
      <w:r>
        <w:rPr>
          <w:i/>
          <w:spacing w:val="-15"/>
          <w:sz w:val="24"/>
        </w:rPr>
        <w:t xml:space="preserve"> </w:t>
      </w:r>
      <w:r>
        <w:rPr>
          <w:i/>
          <w:sz w:val="24"/>
        </w:rPr>
        <w:t>de</w:t>
      </w:r>
      <w:r>
        <w:rPr>
          <w:i/>
          <w:spacing w:val="-16"/>
          <w:sz w:val="24"/>
        </w:rPr>
        <w:t xml:space="preserve"> </w:t>
      </w:r>
      <w:r>
        <w:rPr>
          <w:i/>
          <w:sz w:val="24"/>
        </w:rPr>
        <w:t xml:space="preserve">personas afrodescendientes, </w:t>
      </w:r>
      <w:r>
        <w:rPr>
          <w:sz w:val="24"/>
        </w:rPr>
        <w:t>Comisión Interamericana de Derechos Humanos Relatoría sobre los Derechos de las Personas Afrodescendientes y contra la Discriminación Racial, 2021.</w:t>
      </w:r>
    </w:p>
    <w:p w14:paraId="298B266F" w14:textId="77777777" w:rsidR="000E52B0" w:rsidRDefault="00F60D74">
      <w:pPr>
        <w:pStyle w:val="Textoindependiente"/>
        <w:spacing w:before="158"/>
        <w:ind w:right="717"/>
        <w:jc w:val="both"/>
      </w:pPr>
      <w:r>
        <w:t>Este informe tiene como objeto visibilizar la situación de las personas afrodescendientes</w:t>
      </w:r>
      <w:r>
        <w:rPr>
          <w:spacing w:val="-9"/>
        </w:rPr>
        <w:t xml:space="preserve"> </w:t>
      </w:r>
      <w:r>
        <w:t>en</w:t>
      </w:r>
      <w:r>
        <w:rPr>
          <w:spacing w:val="-9"/>
        </w:rPr>
        <w:t xml:space="preserve"> </w:t>
      </w:r>
      <w:r>
        <w:t>las</w:t>
      </w:r>
      <w:r>
        <w:rPr>
          <w:spacing w:val="-8"/>
        </w:rPr>
        <w:t xml:space="preserve"> </w:t>
      </w:r>
      <w:r>
        <w:t>Américas,</w:t>
      </w:r>
      <w:r>
        <w:rPr>
          <w:spacing w:val="-8"/>
        </w:rPr>
        <w:t xml:space="preserve"> </w:t>
      </w:r>
      <w:r>
        <w:t>tomando</w:t>
      </w:r>
      <w:r>
        <w:rPr>
          <w:spacing w:val="-8"/>
        </w:rPr>
        <w:t xml:space="preserve"> </w:t>
      </w:r>
      <w:r>
        <w:t>como</w:t>
      </w:r>
      <w:r>
        <w:rPr>
          <w:spacing w:val="-8"/>
        </w:rPr>
        <w:t xml:space="preserve"> </w:t>
      </w:r>
      <w:r>
        <w:t>base</w:t>
      </w:r>
      <w:r>
        <w:rPr>
          <w:spacing w:val="-7"/>
        </w:rPr>
        <w:t xml:space="preserve"> </w:t>
      </w:r>
      <w:r>
        <w:t>los</w:t>
      </w:r>
      <w:r>
        <w:rPr>
          <w:spacing w:val="-8"/>
        </w:rPr>
        <w:t xml:space="preserve"> </w:t>
      </w:r>
      <w:r>
        <w:t>avances</w:t>
      </w:r>
      <w:r>
        <w:rPr>
          <w:spacing w:val="-7"/>
        </w:rPr>
        <w:t xml:space="preserve"> </w:t>
      </w:r>
      <w:r>
        <w:t>de</w:t>
      </w:r>
      <w:r>
        <w:rPr>
          <w:spacing w:val="-8"/>
        </w:rPr>
        <w:t xml:space="preserve"> </w:t>
      </w:r>
      <w:r>
        <w:t>los Estados</w:t>
      </w:r>
      <w:r>
        <w:rPr>
          <w:spacing w:val="-11"/>
        </w:rPr>
        <w:t xml:space="preserve"> </w:t>
      </w:r>
      <w:r>
        <w:t>en</w:t>
      </w:r>
      <w:r>
        <w:rPr>
          <w:spacing w:val="-9"/>
        </w:rPr>
        <w:t xml:space="preserve"> </w:t>
      </w:r>
      <w:r>
        <w:t>la</w:t>
      </w:r>
      <w:r>
        <w:rPr>
          <w:spacing w:val="-9"/>
        </w:rPr>
        <w:t xml:space="preserve"> </w:t>
      </w:r>
      <w:r>
        <w:t>materia,</w:t>
      </w:r>
      <w:r>
        <w:rPr>
          <w:spacing w:val="-12"/>
        </w:rPr>
        <w:t xml:space="preserve"> </w:t>
      </w:r>
      <w:r>
        <w:t>con</w:t>
      </w:r>
      <w:r>
        <w:rPr>
          <w:spacing w:val="-9"/>
        </w:rPr>
        <w:t xml:space="preserve"> </w:t>
      </w:r>
      <w:r>
        <w:t>miras</w:t>
      </w:r>
      <w:r>
        <w:rPr>
          <w:spacing w:val="-9"/>
        </w:rPr>
        <w:t xml:space="preserve"> </w:t>
      </w:r>
      <w:r>
        <w:t>a</w:t>
      </w:r>
      <w:r>
        <w:rPr>
          <w:spacing w:val="-11"/>
        </w:rPr>
        <w:t xml:space="preserve"> </w:t>
      </w:r>
      <w:r>
        <w:t>impulsar</w:t>
      </w:r>
      <w:r>
        <w:rPr>
          <w:spacing w:val="-11"/>
        </w:rPr>
        <w:t xml:space="preserve"> </w:t>
      </w:r>
      <w:r>
        <w:t>el</w:t>
      </w:r>
      <w:r>
        <w:rPr>
          <w:spacing w:val="-12"/>
        </w:rPr>
        <w:t xml:space="preserve"> </w:t>
      </w:r>
      <w:r>
        <w:t>desarrollo</w:t>
      </w:r>
      <w:r>
        <w:rPr>
          <w:spacing w:val="-11"/>
        </w:rPr>
        <w:t xml:space="preserve"> </w:t>
      </w:r>
      <w:r>
        <w:t>progresivo</w:t>
      </w:r>
      <w:r>
        <w:rPr>
          <w:spacing w:val="-11"/>
        </w:rPr>
        <w:t xml:space="preserve"> </w:t>
      </w:r>
      <w:r>
        <w:t>de</w:t>
      </w:r>
      <w:r>
        <w:rPr>
          <w:spacing w:val="-10"/>
        </w:rPr>
        <w:t xml:space="preserve"> </w:t>
      </w:r>
      <w:r>
        <w:t>sus derechos</w:t>
      </w:r>
      <w:r>
        <w:rPr>
          <w:spacing w:val="-11"/>
        </w:rPr>
        <w:t xml:space="preserve"> </w:t>
      </w:r>
      <w:r>
        <w:t>económicos,</w:t>
      </w:r>
      <w:r>
        <w:rPr>
          <w:spacing w:val="-12"/>
        </w:rPr>
        <w:t xml:space="preserve"> </w:t>
      </w:r>
      <w:r>
        <w:t>sociales,</w:t>
      </w:r>
      <w:r>
        <w:rPr>
          <w:spacing w:val="-10"/>
        </w:rPr>
        <w:t xml:space="preserve"> </w:t>
      </w:r>
      <w:r>
        <w:t>culturales</w:t>
      </w:r>
      <w:r>
        <w:rPr>
          <w:spacing w:val="-11"/>
        </w:rPr>
        <w:t xml:space="preserve"> </w:t>
      </w:r>
      <w:r>
        <w:t>y</w:t>
      </w:r>
      <w:r>
        <w:rPr>
          <w:spacing w:val="-9"/>
        </w:rPr>
        <w:t xml:space="preserve"> </w:t>
      </w:r>
      <w:r>
        <w:t>ambientales.</w:t>
      </w:r>
      <w:r>
        <w:rPr>
          <w:spacing w:val="-10"/>
        </w:rPr>
        <w:t xml:space="preserve"> </w:t>
      </w:r>
      <w:r>
        <w:t>Para</w:t>
      </w:r>
      <w:r>
        <w:rPr>
          <w:spacing w:val="-11"/>
        </w:rPr>
        <w:t xml:space="preserve"> </w:t>
      </w:r>
      <w:r>
        <w:t>esos</w:t>
      </w:r>
      <w:r>
        <w:rPr>
          <w:spacing w:val="-11"/>
        </w:rPr>
        <w:t xml:space="preserve"> </w:t>
      </w:r>
      <w:r>
        <w:t>efectos y en ámbito de sus competencias, la Comisión propone desarrollar estándares</w:t>
      </w:r>
      <w:r>
        <w:rPr>
          <w:spacing w:val="-7"/>
        </w:rPr>
        <w:t xml:space="preserve"> </w:t>
      </w:r>
      <w:r>
        <w:t>para</w:t>
      </w:r>
      <w:r>
        <w:rPr>
          <w:spacing w:val="-6"/>
        </w:rPr>
        <w:t xml:space="preserve"> </w:t>
      </w:r>
      <w:r>
        <w:t>combatir</w:t>
      </w:r>
      <w:r>
        <w:rPr>
          <w:spacing w:val="-3"/>
        </w:rPr>
        <w:t xml:space="preserve"> </w:t>
      </w:r>
      <w:r>
        <w:t>la</w:t>
      </w:r>
      <w:r>
        <w:rPr>
          <w:spacing w:val="-6"/>
        </w:rPr>
        <w:t xml:space="preserve"> </w:t>
      </w:r>
      <w:r>
        <w:t>discriminación</w:t>
      </w:r>
      <w:r>
        <w:rPr>
          <w:spacing w:val="-7"/>
        </w:rPr>
        <w:t xml:space="preserve"> </w:t>
      </w:r>
      <w:r>
        <w:t>racial</w:t>
      </w:r>
      <w:r>
        <w:rPr>
          <w:spacing w:val="-7"/>
        </w:rPr>
        <w:t xml:space="preserve"> </w:t>
      </w:r>
      <w:r>
        <w:t>estructural</w:t>
      </w:r>
      <w:r>
        <w:rPr>
          <w:spacing w:val="-7"/>
        </w:rPr>
        <w:t xml:space="preserve"> </w:t>
      </w:r>
      <w:r>
        <w:t>en</w:t>
      </w:r>
      <w:r>
        <w:rPr>
          <w:spacing w:val="-7"/>
        </w:rPr>
        <w:t xml:space="preserve"> </w:t>
      </w:r>
      <w:r>
        <w:t>la</w:t>
      </w:r>
      <w:r>
        <w:rPr>
          <w:spacing w:val="-5"/>
        </w:rPr>
        <w:t xml:space="preserve"> </w:t>
      </w:r>
      <w:r>
        <w:t>región</w:t>
      </w:r>
      <w:r>
        <w:rPr>
          <w:spacing w:val="-7"/>
        </w:rPr>
        <w:t xml:space="preserve"> </w:t>
      </w:r>
      <w:r>
        <w:t>y promover su aplicación para mitigar esta situación, identificando vacíos y obstáculos en la garantía de estos derechos en la población afrodescendiente, para facilitar el cumplimiento de las obligaciones de los Estados</w:t>
      </w:r>
      <w:r>
        <w:rPr>
          <w:spacing w:val="-4"/>
        </w:rPr>
        <w:t xml:space="preserve"> </w:t>
      </w:r>
      <w:r>
        <w:t>mediante</w:t>
      </w:r>
      <w:r>
        <w:rPr>
          <w:spacing w:val="-5"/>
        </w:rPr>
        <w:t xml:space="preserve"> </w:t>
      </w:r>
      <w:r>
        <w:t>instrumentos</w:t>
      </w:r>
      <w:r>
        <w:rPr>
          <w:spacing w:val="-4"/>
        </w:rPr>
        <w:t xml:space="preserve"> </w:t>
      </w:r>
      <w:r>
        <w:t>interamericanos.</w:t>
      </w:r>
      <w:r>
        <w:rPr>
          <w:spacing w:val="-7"/>
        </w:rPr>
        <w:t xml:space="preserve"> </w:t>
      </w:r>
      <w:r>
        <w:t>A</w:t>
      </w:r>
      <w:r>
        <w:rPr>
          <w:spacing w:val="-5"/>
        </w:rPr>
        <w:t xml:space="preserve"> </w:t>
      </w:r>
      <w:r>
        <w:t>la</w:t>
      </w:r>
      <w:r>
        <w:rPr>
          <w:spacing w:val="-5"/>
        </w:rPr>
        <w:t xml:space="preserve"> </w:t>
      </w:r>
      <w:r>
        <w:t>vez,</w:t>
      </w:r>
      <w:r>
        <w:rPr>
          <w:spacing w:val="-7"/>
        </w:rPr>
        <w:t xml:space="preserve"> </w:t>
      </w:r>
      <w:r>
        <w:t>que</w:t>
      </w:r>
      <w:r>
        <w:rPr>
          <w:spacing w:val="-5"/>
        </w:rPr>
        <w:t xml:space="preserve"> </w:t>
      </w:r>
      <w:r>
        <w:t>les</w:t>
      </w:r>
      <w:r>
        <w:rPr>
          <w:spacing w:val="-6"/>
        </w:rPr>
        <w:t xml:space="preserve"> </w:t>
      </w:r>
      <w:r>
        <w:t>ayude</w:t>
      </w:r>
      <w:r>
        <w:rPr>
          <w:spacing w:val="-5"/>
        </w:rPr>
        <w:t xml:space="preserve"> </w:t>
      </w:r>
      <w:r>
        <w:t>a avanzar en el diseño de políticas públicas mediante acciones, planes, programas o estrategias orientadas a proteger y garantizar sus derechos humanos, desde una visión transversal que incluya, un enfoque interseccional, intercultural y de género.</w:t>
      </w:r>
    </w:p>
    <w:p w14:paraId="5A4E2AD8" w14:textId="77777777" w:rsidR="000E52B0" w:rsidRDefault="00F60D74">
      <w:pPr>
        <w:pStyle w:val="Textoindependiente"/>
        <w:spacing w:before="161"/>
        <w:ind w:right="713"/>
        <w:jc w:val="both"/>
      </w:pPr>
      <w:r>
        <w:t>La</w:t>
      </w:r>
      <w:r>
        <w:rPr>
          <w:spacing w:val="-1"/>
        </w:rPr>
        <w:t xml:space="preserve"> </w:t>
      </w:r>
      <w:r>
        <w:t>CIDH</w:t>
      </w:r>
      <w:r>
        <w:rPr>
          <w:spacing w:val="-1"/>
        </w:rPr>
        <w:t xml:space="preserve"> </w:t>
      </w:r>
      <w:r>
        <w:t>considera imprescindible que todos</w:t>
      </w:r>
      <w:r>
        <w:rPr>
          <w:spacing w:val="-1"/>
        </w:rPr>
        <w:t xml:space="preserve"> </w:t>
      </w:r>
      <w:r>
        <w:t>los</w:t>
      </w:r>
      <w:r>
        <w:rPr>
          <w:spacing w:val="-1"/>
        </w:rPr>
        <w:t xml:space="preserve"> </w:t>
      </w:r>
      <w:r>
        <w:t>Estados</w:t>
      </w:r>
      <w:r>
        <w:rPr>
          <w:spacing w:val="-1"/>
        </w:rPr>
        <w:t xml:space="preserve"> </w:t>
      </w:r>
      <w:r>
        <w:t>de la</w:t>
      </w:r>
      <w:r>
        <w:rPr>
          <w:spacing w:val="-1"/>
        </w:rPr>
        <w:t xml:space="preserve"> </w:t>
      </w:r>
      <w:r>
        <w:t>región</w:t>
      </w:r>
      <w:r>
        <w:rPr>
          <w:spacing w:val="-1"/>
        </w:rPr>
        <w:t xml:space="preserve"> </w:t>
      </w:r>
      <w:r>
        <w:t>y sus Poderes Públicos reconozcan necesidades particulares de los afrodescendientes,</w:t>
      </w:r>
      <w:r>
        <w:rPr>
          <w:spacing w:val="-3"/>
        </w:rPr>
        <w:t xml:space="preserve"> </w:t>
      </w:r>
      <w:r>
        <w:t>el</w:t>
      </w:r>
      <w:r>
        <w:rPr>
          <w:spacing w:val="-3"/>
        </w:rPr>
        <w:t xml:space="preserve"> </w:t>
      </w:r>
      <w:r>
        <w:t>Ejecutivo</w:t>
      </w:r>
      <w:r>
        <w:rPr>
          <w:spacing w:val="-2"/>
        </w:rPr>
        <w:t xml:space="preserve"> </w:t>
      </w:r>
      <w:r>
        <w:t>encargado</w:t>
      </w:r>
      <w:r>
        <w:rPr>
          <w:spacing w:val="-2"/>
        </w:rPr>
        <w:t xml:space="preserve"> </w:t>
      </w:r>
      <w:r>
        <w:t>del</w:t>
      </w:r>
      <w:r>
        <w:rPr>
          <w:spacing w:val="-3"/>
        </w:rPr>
        <w:t xml:space="preserve"> </w:t>
      </w:r>
      <w:r>
        <w:t>ciclo</w:t>
      </w:r>
      <w:r>
        <w:rPr>
          <w:spacing w:val="-2"/>
        </w:rPr>
        <w:t xml:space="preserve"> </w:t>
      </w:r>
      <w:r>
        <w:t>integral</w:t>
      </w:r>
      <w:r>
        <w:rPr>
          <w:spacing w:val="-1"/>
        </w:rPr>
        <w:t xml:space="preserve"> </w:t>
      </w:r>
      <w:r>
        <w:t>de</w:t>
      </w:r>
      <w:r>
        <w:rPr>
          <w:spacing w:val="-2"/>
        </w:rPr>
        <w:t xml:space="preserve"> </w:t>
      </w:r>
      <w:r>
        <w:t>las</w:t>
      </w:r>
      <w:r>
        <w:rPr>
          <w:spacing w:val="-3"/>
        </w:rPr>
        <w:t xml:space="preserve"> </w:t>
      </w:r>
      <w:r>
        <w:t>políticas públicas y el Legislativo encargado de adoptar medidas legales centradas en</w:t>
      </w:r>
      <w:r>
        <w:rPr>
          <w:spacing w:val="-19"/>
        </w:rPr>
        <w:t xml:space="preserve"> </w:t>
      </w:r>
      <w:r>
        <w:t>derechos</w:t>
      </w:r>
      <w:r>
        <w:rPr>
          <w:spacing w:val="-19"/>
        </w:rPr>
        <w:t xml:space="preserve"> </w:t>
      </w:r>
      <w:r>
        <w:t>humanos,</w:t>
      </w:r>
      <w:r>
        <w:rPr>
          <w:spacing w:val="-19"/>
        </w:rPr>
        <w:t xml:space="preserve"> </w:t>
      </w:r>
      <w:r>
        <w:t>e</w:t>
      </w:r>
      <w:r>
        <w:rPr>
          <w:spacing w:val="-17"/>
        </w:rPr>
        <w:t xml:space="preserve"> </w:t>
      </w:r>
      <w:r>
        <w:t>incluso</w:t>
      </w:r>
      <w:r>
        <w:rPr>
          <w:spacing w:val="-18"/>
        </w:rPr>
        <w:t xml:space="preserve"> </w:t>
      </w:r>
      <w:r>
        <w:t>el</w:t>
      </w:r>
      <w:r>
        <w:rPr>
          <w:spacing w:val="-17"/>
        </w:rPr>
        <w:t xml:space="preserve"> </w:t>
      </w:r>
      <w:r>
        <w:t>Judicial</w:t>
      </w:r>
      <w:r>
        <w:rPr>
          <w:spacing w:val="-19"/>
        </w:rPr>
        <w:t xml:space="preserve"> </w:t>
      </w:r>
      <w:r>
        <w:t>encargado</w:t>
      </w:r>
      <w:r>
        <w:rPr>
          <w:spacing w:val="-18"/>
        </w:rPr>
        <w:t xml:space="preserve"> </w:t>
      </w:r>
      <w:r>
        <w:t>de</w:t>
      </w:r>
      <w:r>
        <w:rPr>
          <w:spacing w:val="-17"/>
        </w:rPr>
        <w:t xml:space="preserve"> </w:t>
      </w:r>
      <w:r>
        <w:t>velar</w:t>
      </w:r>
      <w:r>
        <w:rPr>
          <w:spacing w:val="-18"/>
        </w:rPr>
        <w:t xml:space="preserve"> </w:t>
      </w:r>
      <w:r>
        <w:t>por</w:t>
      </w:r>
      <w:r>
        <w:rPr>
          <w:spacing w:val="-17"/>
        </w:rPr>
        <w:t xml:space="preserve"> </w:t>
      </w:r>
      <w:r>
        <w:t>el</w:t>
      </w:r>
      <w:r>
        <w:rPr>
          <w:spacing w:val="-19"/>
        </w:rPr>
        <w:t xml:space="preserve"> </w:t>
      </w:r>
      <w:r>
        <w:t>acceso a</w:t>
      </w:r>
      <w:r>
        <w:rPr>
          <w:spacing w:val="-14"/>
        </w:rPr>
        <w:t xml:space="preserve"> </w:t>
      </w:r>
      <w:r>
        <w:t>la</w:t>
      </w:r>
      <w:r>
        <w:rPr>
          <w:spacing w:val="-14"/>
        </w:rPr>
        <w:t xml:space="preserve"> </w:t>
      </w:r>
      <w:r>
        <w:t>justicia.</w:t>
      </w:r>
      <w:r>
        <w:rPr>
          <w:spacing w:val="-14"/>
        </w:rPr>
        <w:t xml:space="preserve"> </w:t>
      </w:r>
      <w:r>
        <w:t>Es</w:t>
      </w:r>
      <w:r>
        <w:rPr>
          <w:spacing w:val="-14"/>
        </w:rPr>
        <w:t xml:space="preserve"> </w:t>
      </w:r>
      <w:r>
        <w:t>imperativo</w:t>
      </w:r>
      <w:r>
        <w:rPr>
          <w:spacing w:val="-13"/>
        </w:rPr>
        <w:t xml:space="preserve"> </w:t>
      </w:r>
      <w:r>
        <w:t>que</w:t>
      </w:r>
      <w:r>
        <w:rPr>
          <w:spacing w:val="-13"/>
        </w:rPr>
        <w:t xml:space="preserve"> </w:t>
      </w:r>
      <w:r>
        <w:t>le</w:t>
      </w:r>
      <w:r>
        <w:rPr>
          <w:spacing w:val="-13"/>
        </w:rPr>
        <w:t xml:space="preserve"> </w:t>
      </w:r>
      <w:r>
        <w:t>brinden</w:t>
      </w:r>
      <w:r>
        <w:rPr>
          <w:spacing w:val="-14"/>
        </w:rPr>
        <w:t xml:space="preserve"> </w:t>
      </w:r>
      <w:r>
        <w:t>a</w:t>
      </w:r>
      <w:r>
        <w:rPr>
          <w:spacing w:val="-14"/>
        </w:rPr>
        <w:t xml:space="preserve"> </w:t>
      </w:r>
      <w:r>
        <w:t>ese</w:t>
      </w:r>
      <w:r>
        <w:rPr>
          <w:spacing w:val="-13"/>
        </w:rPr>
        <w:t xml:space="preserve"> </w:t>
      </w:r>
      <w:r>
        <w:t>grupo</w:t>
      </w:r>
      <w:r>
        <w:rPr>
          <w:spacing w:val="-13"/>
        </w:rPr>
        <w:t xml:space="preserve"> </w:t>
      </w:r>
      <w:r>
        <w:t>social</w:t>
      </w:r>
      <w:r>
        <w:rPr>
          <w:spacing w:val="-15"/>
        </w:rPr>
        <w:t xml:space="preserve"> </w:t>
      </w:r>
      <w:r>
        <w:t>históricamente discriminado</w:t>
      </w:r>
      <w:r>
        <w:rPr>
          <w:spacing w:val="-22"/>
        </w:rPr>
        <w:t xml:space="preserve"> </w:t>
      </w:r>
      <w:r>
        <w:t>las</w:t>
      </w:r>
      <w:r>
        <w:rPr>
          <w:spacing w:val="-21"/>
        </w:rPr>
        <w:t xml:space="preserve"> </w:t>
      </w:r>
      <w:r>
        <w:t>condiciones</w:t>
      </w:r>
      <w:r>
        <w:rPr>
          <w:spacing w:val="-21"/>
        </w:rPr>
        <w:t xml:space="preserve"> </w:t>
      </w:r>
      <w:r>
        <w:t>necesarias</w:t>
      </w:r>
      <w:r>
        <w:rPr>
          <w:spacing w:val="-21"/>
        </w:rPr>
        <w:t xml:space="preserve"> </w:t>
      </w:r>
      <w:r>
        <w:t>para</w:t>
      </w:r>
      <w:r>
        <w:rPr>
          <w:spacing w:val="-21"/>
        </w:rPr>
        <w:t xml:space="preserve"> </w:t>
      </w:r>
      <w:r>
        <w:t>avanzar</w:t>
      </w:r>
      <w:r>
        <w:rPr>
          <w:spacing w:val="-21"/>
        </w:rPr>
        <w:t xml:space="preserve"> </w:t>
      </w:r>
      <w:r>
        <w:t>de</w:t>
      </w:r>
      <w:r>
        <w:rPr>
          <w:spacing w:val="-21"/>
        </w:rPr>
        <w:t xml:space="preserve"> </w:t>
      </w:r>
      <w:r>
        <w:t>manera</w:t>
      </w:r>
      <w:r>
        <w:rPr>
          <w:spacing w:val="-21"/>
        </w:rPr>
        <w:t xml:space="preserve"> </w:t>
      </w:r>
      <w:r>
        <w:t>progresiva y efectiva en la realización de los Derechos Económicos, Sociales, Culturales</w:t>
      </w:r>
      <w:r>
        <w:rPr>
          <w:spacing w:val="-15"/>
        </w:rPr>
        <w:t xml:space="preserve"> </w:t>
      </w:r>
      <w:r>
        <w:t>y</w:t>
      </w:r>
      <w:r>
        <w:rPr>
          <w:spacing w:val="-13"/>
        </w:rPr>
        <w:t xml:space="preserve"> </w:t>
      </w:r>
      <w:r>
        <w:t>Ambientales,</w:t>
      </w:r>
      <w:r>
        <w:rPr>
          <w:spacing w:val="-13"/>
        </w:rPr>
        <w:t xml:space="preserve"> </w:t>
      </w:r>
      <w:r>
        <w:t>y</w:t>
      </w:r>
      <w:r>
        <w:rPr>
          <w:spacing w:val="-13"/>
        </w:rPr>
        <w:t xml:space="preserve"> </w:t>
      </w:r>
      <w:r>
        <w:t>contrarrestar</w:t>
      </w:r>
      <w:r>
        <w:rPr>
          <w:spacing w:val="-14"/>
        </w:rPr>
        <w:t xml:space="preserve"> </w:t>
      </w:r>
      <w:r>
        <w:t>las</w:t>
      </w:r>
      <w:r>
        <w:rPr>
          <w:spacing w:val="-15"/>
        </w:rPr>
        <w:t xml:space="preserve"> </w:t>
      </w:r>
      <w:r>
        <w:t>disparidades</w:t>
      </w:r>
      <w:r>
        <w:rPr>
          <w:spacing w:val="-15"/>
        </w:rPr>
        <w:t xml:space="preserve"> </w:t>
      </w:r>
      <w:r>
        <w:t>socioeconómicas que</w:t>
      </w:r>
      <w:r>
        <w:rPr>
          <w:spacing w:val="-16"/>
        </w:rPr>
        <w:t xml:space="preserve"> </w:t>
      </w:r>
      <w:r>
        <w:t>dificultan</w:t>
      </w:r>
      <w:r>
        <w:rPr>
          <w:spacing w:val="-16"/>
        </w:rPr>
        <w:t xml:space="preserve"> </w:t>
      </w:r>
      <w:r>
        <w:t>el</w:t>
      </w:r>
      <w:r>
        <w:rPr>
          <w:spacing w:val="-18"/>
        </w:rPr>
        <w:t xml:space="preserve"> </w:t>
      </w:r>
      <w:r>
        <w:t>pleno</w:t>
      </w:r>
      <w:r>
        <w:rPr>
          <w:spacing w:val="-17"/>
        </w:rPr>
        <w:t xml:space="preserve"> </w:t>
      </w:r>
      <w:r>
        <w:t>goce</w:t>
      </w:r>
      <w:r>
        <w:rPr>
          <w:spacing w:val="-16"/>
        </w:rPr>
        <w:t xml:space="preserve"> </w:t>
      </w:r>
      <w:r>
        <w:t>de</w:t>
      </w:r>
      <w:r>
        <w:rPr>
          <w:spacing w:val="-16"/>
        </w:rPr>
        <w:t xml:space="preserve"> </w:t>
      </w:r>
      <w:r>
        <w:t>estos.</w:t>
      </w:r>
      <w:r>
        <w:rPr>
          <w:spacing w:val="-18"/>
        </w:rPr>
        <w:t xml:space="preserve"> </w:t>
      </w:r>
      <w:r>
        <w:t>Para</w:t>
      </w:r>
      <w:r>
        <w:rPr>
          <w:spacing w:val="-17"/>
        </w:rPr>
        <w:t xml:space="preserve"> </w:t>
      </w:r>
      <w:r>
        <w:t>tal</w:t>
      </w:r>
      <w:r>
        <w:rPr>
          <w:spacing w:val="-19"/>
        </w:rPr>
        <w:t xml:space="preserve"> </w:t>
      </w:r>
      <w:r>
        <w:t>fin,</w:t>
      </w:r>
      <w:r>
        <w:rPr>
          <w:spacing w:val="-16"/>
        </w:rPr>
        <w:t xml:space="preserve"> </w:t>
      </w:r>
      <w:r>
        <w:t>corresponde</w:t>
      </w:r>
      <w:r>
        <w:rPr>
          <w:spacing w:val="-16"/>
        </w:rPr>
        <w:t xml:space="preserve"> </w:t>
      </w:r>
      <w:r>
        <w:t>a</w:t>
      </w:r>
      <w:r>
        <w:rPr>
          <w:spacing w:val="-17"/>
        </w:rPr>
        <w:t xml:space="preserve"> </w:t>
      </w:r>
      <w:r>
        <w:t>los</w:t>
      </w:r>
      <w:r>
        <w:rPr>
          <w:spacing w:val="-17"/>
        </w:rPr>
        <w:t xml:space="preserve"> </w:t>
      </w:r>
      <w:r>
        <w:t>Estados identificar y atender, desde un enfoque interseccional, las especificidades de personas afrodescendientes que requieren de protección adicional por traerse de mujeres, niñas y niños, personas con discapacidad, personas mayores, personas LGBTI, personas privadas de libertad, migrantes y desplazadas internas.</w:t>
      </w:r>
    </w:p>
    <w:p w14:paraId="03CE74FE" w14:textId="77777777" w:rsidR="000E52B0" w:rsidRDefault="00F60D74">
      <w:pPr>
        <w:pStyle w:val="Prrafodelista"/>
        <w:numPr>
          <w:ilvl w:val="0"/>
          <w:numId w:val="42"/>
        </w:numPr>
        <w:tabs>
          <w:tab w:val="left" w:pos="1440"/>
        </w:tabs>
        <w:spacing w:before="159"/>
        <w:ind w:right="714"/>
        <w:jc w:val="both"/>
        <w:rPr>
          <w:sz w:val="24"/>
        </w:rPr>
      </w:pPr>
      <w:r>
        <w:rPr>
          <w:i/>
          <w:sz w:val="24"/>
        </w:rPr>
        <w:t>Violencia y Discriminación contra Mujeres, Niñas y Adolescentes</w:t>
      </w:r>
      <w:r>
        <w:rPr>
          <w:sz w:val="24"/>
        </w:rPr>
        <w:t>, Comisión Interamericana de Derechos Humanos, Relatoría Especial sobre la Violencia contra las Mujeres, 2019.</w:t>
      </w:r>
    </w:p>
    <w:p w14:paraId="226AE38E" w14:textId="77777777" w:rsidR="000E52B0" w:rsidRDefault="00F60D74">
      <w:pPr>
        <w:pStyle w:val="Textoindependiente"/>
        <w:spacing w:before="159"/>
        <w:ind w:right="717"/>
        <w:jc w:val="both"/>
      </w:pPr>
      <w:r>
        <w:t xml:space="preserve">El objetivo principal del proyecto, a la luz de los estándares y recomendaciones de la CIDH, es contribuir a la implementación de las normas interamericanas por parte de los Estados Miembros para prevenir y erradicar la violencia y la discriminación contra las mujeres, niñas y </w:t>
      </w:r>
      <w:r>
        <w:rPr>
          <w:spacing w:val="-2"/>
        </w:rPr>
        <w:t>adolescentes.</w:t>
      </w:r>
    </w:p>
    <w:p w14:paraId="79A889A9" w14:textId="77777777" w:rsidR="000E52B0" w:rsidRDefault="000E52B0">
      <w:pPr>
        <w:pStyle w:val="Textoindependiente"/>
        <w:jc w:val="both"/>
        <w:sectPr w:rsidR="000E52B0">
          <w:pgSz w:w="11910" w:h="16840"/>
          <w:pgMar w:top="1340" w:right="720" w:bottom="1180" w:left="720" w:header="0" w:footer="995" w:gutter="0"/>
          <w:cols w:space="720"/>
        </w:sectPr>
      </w:pPr>
    </w:p>
    <w:p w14:paraId="51B618BF" w14:textId="77777777" w:rsidR="000E52B0" w:rsidRDefault="00F60D74">
      <w:pPr>
        <w:pStyle w:val="Textoindependiente"/>
        <w:spacing w:before="83"/>
        <w:ind w:right="716"/>
        <w:jc w:val="both"/>
      </w:pPr>
      <w:r>
        <w:lastRenderedPageBreak/>
        <w:t>De la mano de lo anterior, la CIDH reitera la necesidad de garantizar que la voz, las preocupaciones y las prioridades de las mujeres se vean integradas en la agenda pública605 para así lograr el desarrollo y mantenimiento de un entorno institucional y político que permita valorar los riesgos generales y específicos de las diversas formas de violencia de género y</w:t>
      </w:r>
      <w:r>
        <w:rPr>
          <w:spacing w:val="-2"/>
        </w:rPr>
        <w:t xml:space="preserve"> </w:t>
      </w:r>
      <w:r>
        <w:t>contribuya a</w:t>
      </w:r>
      <w:r>
        <w:rPr>
          <w:spacing w:val="-2"/>
        </w:rPr>
        <w:t xml:space="preserve"> </w:t>
      </w:r>
      <w:r>
        <w:t>disminuirlos.</w:t>
      </w:r>
      <w:r>
        <w:rPr>
          <w:spacing w:val="-1"/>
        </w:rPr>
        <w:t xml:space="preserve"> </w:t>
      </w:r>
      <w:r>
        <w:t>Así,</w:t>
      </w:r>
      <w:r>
        <w:rPr>
          <w:spacing w:val="-1"/>
        </w:rPr>
        <w:t xml:space="preserve"> </w:t>
      </w:r>
      <w:r>
        <w:t>la</w:t>
      </w:r>
      <w:r>
        <w:rPr>
          <w:spacing w:val="-2"/>
        </w:rPr>
        <w:t xml:space="preserve"> </w:t>
      </w:r>
      <w:r>
        <w:t>CIDH destaca la importancia</w:t>
      </w:r>
      <w:r>
        <w:rPr>
          <w:spacing w:val="-2"/>
        </w:rPr>
        <w:t xml:space="preserve"> </w:t>
      </w:r>
      <w:r>
        <w:t>de incluir en justicia, educación y política, entre otros sectores, a mujeres de todos los sectores de la sociedad, haciendo prueba de diversidad y pluralismo, para fortalecer la promoción y protección de los derechos humanos de las mujeres. En este sentido, resulta imperativa la participación de las mujeres, niñas y adolescentes en los procesos de diseño,</w:t>
      </w:r>
      <w:r>
        <w:rPr>
          <w:spacing w:val="-21"/>
        </w:rPr>
        <w:t xml:space="preserve"> </w:t>
      </w:r>
      <w:r>
        <w:t>adopción</w:t>
      </w:r>
      <w:r>
        <w:rPr>
          <w:spacing w:val="-18"/>
        </w:rPr>
        <w:t xml:space="preserve"> </w:t>
      </w:r>
      <w:r>
        <w:t>e</w:t>
      </w:r>
      <w:r>
        <w:rPr>
          <w:spacing w:val="-19"/>
        </w:rPr>
        <w:t xml:space="preserve"> </w:t>
      </w:r>
      <w:r>
        <w:t>implementación</w:t>
      </w:r>
      <w:r>
        <w:rPr>
          <w:spacing w:val="-18"/>
        </w:rPr>
        <w:t xml:space="preserve"> </w:t>
      </w:r>
      <w:r>
        <w:t>de</w:t>
      </w:r>
      <w:r>
        <w:rPr>
          <w:spacing w:val="-19"/>
        </w:rPr>
        <w:t xml:space="preserve"> </w:t>
      </w:r>
      <w:r>
        <w:t>leyes</w:t>
      </w:r>
      <w:r>
        <w:rPr>
          <w:spacing w:val="-19"/>
        </w:rPr>
        <w:t xml:space="preserve"> </w:t>
      </w:r>
      <w:r>
        <w:t>y/o</w:t>
      </w:r>
      <w:r>
        <w:rPr>
          <w:spacing w:val="-19"/>
        </w:rPr>
        <w:t xml:space="preserve"> </w:t>
      </w:r>
      <w:r>
        <w:t>políticas</w:t>
      </w:r>
      <w:r>
        <w:rPr>
          <w:spacing w:val="-18"/>
        </w:rPr>
        <w:t xml:space="preserve"> </w:t>
      </w:r>
      <w:r>
        <w:t>públicas,</w:t>
      </w:r>
      <w:r>
        <w:rPr>
          <w:spacing w:val="-21"/>
        </w:rPr>
        <w:t xml:space="preserve"> </w:t>
      </w:r>
      <w:r>
        <w:t>así</w:t>
      </w:r>
      <w:r>
        <w:rPr>
          <w:spacing w:val="-19"/>
        </w:rPr>
        <w:t xml:space="preserve"> </w:t>
      </w:r>
      <w:r>
        <w:t>como la</w:t>
      </w:r>
      <w:r>
        <w:rPr>
          <w:spacing w:val="-22"/>
        </w:rPr>
        <w:t xml:space="preserve"> </w:t>
      </w:r>
      <w:r>
        <w:t>colaboración</w:t>
      </w:r>
      <w:r>
        <w:rPr>
          <w:spacing w:val="-21"/>
        </w:rPr>
        <w:t xml:space="preserve"> </w:t>
      </w:r>
      <w:r>
        <w:t>y</w:t>
      </w:r>
      <w:r>
        <w:rPr>
          <w:spacing w:val="-21"/>
        </w:rPr>
        <w:t xml:space="preserve"> </w:t>
      </w:r>
      <w:r>
        <w:t>el</w:t>
      </w:r>
      <w:r>
        <w:rPr>
          <w:spacing w:val="-21"/>
        </w:rPr>
        <w:t xml:space="preserve"> </w:t>
      </w:r>
      <w:r>
        <w:t>compromiso</w:t>
      </w:r>
      <w:r>
        <w:rPr>
          <w:spacing w:val="-21"/>
        </w:rPr>
        <w:t xml:space="preserve"> </w:t>
      </w:r>
      <w:r>
        <w:t>de</w:t>
      </w:r>
      <w:r>
        <w:rPr>
          <w:spacing w:val="-21"/>
        </w:rPr>
        <w:t xml:space="preserve"> </w:t>
      </w:r>
      <w:r>
        <w:t>una</w:t>
      </w:r>
      <w:r>
        <w:rPr>
          <w:spacing w:val="-21"/>
        </w:rPr>
        <w:t xml:space="preserve"> </w:t>
      </w:r>
      <w:r>
        <w:t>amplia</w:t>
      </w:r>
      <w:r>
        <w:rPr>
          <w:spacing w:val="-21"/>
        </w:rPr>
        <w:t xml:space="preserve"> </w:t>
      </w:r>
      <w:r>
        <w:t>gama</w:t>
      </w:r>
      <w:r>
        <w:rPr>
          <w:spacing w:val="-21"/>
        </w:rPr>
        <w:t xml:space="preserve"> </w:t>
      </w:r>
      <w:r>
        <w:t>de</w:t>
      </w:r>
      <w:r>
        <w:rPr>
          <w:spacing w:val="-21"/>
        </w:rPr>
        <w:t xml:space="preserve"> </w:t>
      </w:r>
      <w:r>
        <w:t>actores</w:t>
      </w:r>
      <w:r>
        <w:rPr>
          <w:spacing w:val="-22"/>
        </w:rPr>
        <w:t xml:space="preserve"> </w:t>
      </w:r>
      <w:r>
        <w:t>y</w:t>
      </w:r>
      <w:r>
        <w:rPr>
          <w:spacing w:val="-21"/>
        </w:rPr>
        <w:t xml:space="preserve"> </w:t>
      </w:r>
      <w:r>
        <w:t>entidades para que los esfuerzos se traduzcan en resultados concretos para las mujeres de las Américas.</w:t>
      </w:r>
    </w:p>
    <w:p w14:paraId="51E03712" w14:textId="77777777" w:rsidR="000E52B0" w:rsidRDefault="00F60D74">
      <w:pPr>
        <w:pStyle w:val="Prrafodelista"/>
        <w:numPr>
          <w:ilvl w:val="0"/>
          <w:numId w:val="42"/>
        </w:numPr>
        <w:tabs>
          <w:tab w:val="left" w:pos="1440"/>
        </w:tabs>
        <w:spacing w:before="161"/>
        <w:rPr>
          <w:sz w:val="24"/>
        </w:rPr>
      </w:pPr>
      <w:r>
        <w:rPr>
          <w:sz w:val="24"/>
        </w:rPr>
        <w:t>Observaciones</w:t>
      </w:r>
      <w:r>
        <w:rPr>
          <w:spacing w:val="-6"/>
          <w:sz w:val="24"/>
        </w:rPr>
        <w:t xml:space="preserve"> </w:t>
      </w:r>
      <w:r>
        <w:rPr>
          <w:sz w:val="24"/>
        </w:rPr>
        <w:t>preliminares</w:t>
      </w:r>
      <w:r>
        <w:rPr>
          <w:spacing w:val="-3"/>
          <w:sz w:val="24"/>
        </w:rPr>
        <w:t xml:space="preserve"> </w:t>
      </w:r>
      <w:r>
        <w:rPr>
          <w:sz w:val="24"/>
        </w:rPr>
        <w:t>visita</w:t>
      </w:r>
      <w:r>
        <w:rPr>
          <w:spacing w:val="-2"/>
          <w:sz w:val="24"/>
        </w:rPr>
        <w:t xml:space="preserve"> </w:t>
      </w:r>
      <w:r>
        <w:rPr>
          <w:sz w:val="24"/>
        </w:rPr>
        <w:t>In</w:t>
      </w:r>
      <w:r>
        <w:rPr>
          <w:spacing w:val="-3"/>
          <w:sz w:val="24"/>
        </w:rPr>
        <w:t xml:space="preserve"> </w:t>
      </w:r>
      <w:r>
        <w:rPr>
          <w:sz w:val="24"/>
        </w:rPr>
        <w:t>Loco</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CIDH</w:t>
      </w:r>
      <w:r>
        <w:rPr>
          <w:spacing w:val="-3"/>
          <w:sz w:val="24"/>
        </w:rPr>
        <w:t xml:space="preserve"> </w:t>
      </w:r>
      <w:r>
        <w:rPr>
          <w:sz w:val="24"/>
        </w:rPr>
        <w:t>a</w:t>
      </w:r>
      <w:r>
        <w:rPr>
          <w:spacing w:val="-3"/>
          <w:sz w:val="24"/>
        </w:rPr>
        <w:t xml:space="preserve"> </w:t>
      </w:r>
      <w:r>
        <w:rPr>
          <w:spacing w:val="-2"/>
          <w:sz w:val="24"/>
        </w:rPr>
        <w:t>Colombia.</w:t>
      </w:r>
    </w:p>
    <w:p w14:paraId="21AD85A8" w14:textId="77777777" w:rsidR="000E52B0" w:rsidRDefault="00F60D74">
      <w:pPr>
        <w:pStyle w:val="Textoindependiente"/>
        <w:spacing w:before="155"/>
        <w:ind w:right="717"/>
        <w:jc w:val="both"/>
      </w:pPr>
      <w:r>
        <w:t xml:space="preserve">La Comisión Interamericana ha seguido de cerca la situación de los </w:t>
      </w:r>
      <w:r>
        <w:rPr>
          <w:spacing w:val="-2"/>
        </w:rPr>
        <w:t>Derechos</w:t>
      </w:r>
      <w:r>
        <w:rPr>
          <w:spacing w:val="-14"/>
        </w:rPr>
        <w:t xml:space="preserve"> </w:t>
      </w:r>
      <w:r>
        <w:rPr>
          <w:spacing w:val="-2"/>
        </w:rPr>
        <w:t>Humanos</w:t>
      </w:r>
      <w:r>
        <w:rPr>
          <w:spacing w:val="-12"/>
        </w:rPr>
        <w:t xml:space="preserve"> </w:t>
      </w:r>
      <w:r>
        <w:rPr>
          <w:spacing w:val="-2"/>
        </w:rPr>
        <w:t>en</w:t>
      </w:r>
      <w:r>
        <w:rPr>
          <w:spacing w:val="-15"/>
        </w:rPr>
        <w:t xml:space="preserve"> </w:t>
      </w:r>
      <w:r>
        <w:rPr>
          <w:spacing w:val="-2"/>
        </w:rPr>
        <w:t>Colombia.</w:t>
      </w:r>
      <w:r>
        <w:rPr>
          <w:spacing w:val="-13"/>
        </w:rPr>
        <w:t xml:space="preserve"> </w:t>
      </w:r>
      <w:r>
        <w:rPr>
          <w:spacing w:val="-2"/>
        </w:rPr>
        <w:t>La</w:t>
      </w:r>
      <w:r>
        <w:rPr>
          <w:spacing w:val="-15"/>
        </w:rPr>
        <w:t xml:space="preserve"> </w:t>
      </w:r>
      <w:r>
        <w:rPr>
          <w:spacing w:val="-2"/>
        </w:rPr>
        <w:t>última</w:t>
      </w:r>
      <w:r>
        <w:rPr>
          <w:spacing w:val="-15"/>
        </w:rPr>
        <w:t xml:space="preserve"> </w:t>
      </w:r>
      <w:r>
        <w:rPr>
          <w:spacing w:val="-2"/>
        </w:rPr>
        <w:t>visita</w:t>
      </w:r>
      <w:r>
        <w:rPr>
          <w:spacing w:val="-12"/>
        </w:rPr>
        <w:t xml:space="preserve"> </w:t>
      </w:r>
      <w:r>
        <w:rPr>
          <w:spacing w:val="-2"/>
        </w:rPr>
        <w:t>in</w:t>
      </w:r>
      <w:r>
        <w:rPr>
          <w:spacing w:val="-15"/>
        </w:rPr>
        <w:t xml:space="preserve"> </w:t>
      </w:r>
      <w:r>
        <w:rPr>
          <w:spacing w:val="-2"/>
        </w:rPr>
        <w:t>loco</w:t>
      </w:r>
      <w:r>
        <w:rPr>
          <w:spacing w:val="-12"/>
        </w:rPr>
        <w:t xml:space="preserve"> </w:t>
      </w:r>
      <w:r>
        <w:rPr>
          <w:spacing w:val="-2"/>
        </w:rPr>
        <w:t>tuvo</w:t>
      </w:r>
      <w:r>
        <w:rPr>
          <w:spacing w:val="-14"/>
        </w:rPr>
        <w:t xml:space="preserve"> </w:t>
      </w:r>
      <w:r>
        <w:rPr>
          <w:spacing w:val="-2"/>
        </w:rPr>
        <w:t>lugar</w:t>
      </w:r>
      <w:r>
        <w:rPr>
          <w:spacing w:val="-14"/>
        </w:rPr>
        <w:t xml:space="preserve"> </w:t>
      </w:r>
      <w:r>
        <w:rPr>
          <w:spacing w:val="-2"/>
        </w:rPr>
        <w:t>en</w:t>
      </w:r>
      <w:r>
        <w:rPr>
          <w:spacing w:val="-13"/>
        </w:rPr>
        <w:t xml:space="preserve"> </w:t>
      </w:r>
      <w:r>
        <w:rPr>
          <w:spacing w:val="-2"/>
        </w:rPr>
        <w:t xml:space="preserve">2012, </w:t>
      </w:r>
      <w:r>
        <w:t>durante la cual se formularon varias recomendaciones específicas en el marco del</w:t>
      </w:r>
      <w:r>
        <w:rPr>
          <w:spacing w:val="-1"/>
        </w:rPr>
        <w:t xml:space="preserve"> </w:t>
      </w:r>
      <w:r>
        <w:t>conflicto armado,</w:t>
      </w:r>
      <w:r>
        <w:rPr>
          <w:spacing w:val="-1"/>
        </w:rPr>
        <w:t xml:space="preserve"> </w:t>
      </w:r>
      <w:r>
        <w:t>las cuales hemos</w:t>
      </w:r>
      <w:r>
        <w:rPr>
          <w:spacing w:val="-1"/>
        </w:rPr>
        <w:t xml:space="preserve"> </w:t>
      </w:r>
      <w:r>
        <w:t>atendido desde el</w:t>
      </w:r>
      <w:r>
        <w:rPr>
          <w:spacing w:val="-1"/>
        </w:rPr>
        <w:t xml:space="preserve"> </w:t>
      </w:r>
      <w:r>
        <w:t>Ministerio de Igualdad y Equidad así:</w:t>
      </w:r>
    </w:p>
    <w:p w14:paraId="18ED48E3" w14:textId="77777777" w:rsidR="000E52B0" w:rsidRDefault="00F60D74">
      <w:pPr>
        <w:pStyle w:val="Textoindependiente"/>
        <w:spacing w:before="162"/>
        <w:ind w:right="714"/>
        <w:jc w:val="both"/>
      </w:pPr>
      <w:r>
        <w:t>El Ministerio de Igualdad y Equidad fue creado mediante la Ley 2281 de 2023, El Decreto 1075 de 2023 establece la estructura del Ministerio, integrado por el Viceministerio de las Mujeres, Viceministerio de la juventud, Viceministerio para las Poblaciones y Territorios Excluidos y la Superación de la Pobreza, Viceministerio de las Diversidades y el Viceministerio de Pueblos Étnicos y Campesinos. Los equipos de los cinco Viceministerios trabajan rápidamente en el diseño de programas y proyectos para cerrar las brechas de desigualdad e inequidad.</w:t>
      </w:r>
    </w:p>
    <w:p w14:paraId="6211F18C" w14:textId="77777777" w:rsidR="000E52B0" w:rsidRDefault="00F60D74">
      <w:pPr>
        <w:pStyle w:val="Textoindependiente"/>
        <w:spacing w:before="160"/>
        <w:ind w:right="722"/>
        <w:jc w:val="both"/>
      </w:pPr>
      <w:r>
        <w:t>Recomendación de la CIDH: Fortalecer los mecanismos de recopilación de datos sobre violencia contra las mujeres, especialmente indígenas, campesinas y afrodescendientes, y contra personas LGBTI que permitan adoptar políticas de prevención y protección adecuadas a los riesgos diferenciados que enfrentan.</w:t>
      </w:r>
    </w:p>
    <w:p w14:paraId="656C73D4" w14:textId="77777777" w:rsidR="000E52B0" w:rsidRDefault="00F60D74">
      <w:pPr>
        <w:pStyle w:val="Textoindependiente"/>
        <w:spacing w:before="160"/>
        <w:ind w:right="722"/>
        <w:jc w:val="both"/>
      </w:pPr>
      <w:r>
        <w:t>Recomendación: Adoptar e implementar una estrategia integral multisectorial para desarticular los patrones de discriminación estructural contra las mujeres y personas LGBTI, reducir la tolerancia social a la violencia contra ellas y promover la igualdad de género.</w:t>
      </w:r>
    </w:p>
    <w:p w14:paraId="0CA48268" w14:textId="77777777" w:rsidR="000E52B0" w:rsidRDefault="00F60D74">
      <w:pPr>
        <w:pStyle w:val="Textoindependiente"/>
        <w:spacing w:before="160"/>
        <w:ind w:right="715"/>
        <w:jc w:val="both"/>
      </w:pPr>
      <w:r>
        <w:t>Atención a la recomendación desde el Ministerio: En este momento, el Ministerio de Igualdad y Equidad lidera la construcción de seis políticas públicas para cerrar brechas de desigualdad e inequidad, Política Nacional de Cuidado, Política Pública de Discapacidad, Política Pública LGBTIQ+, la política</w:t>
      </w:r>
      <w:r>
        <w:rPr>
          <w:spacing w:val="10"/>
        </w:rPr>
        <w:t xml:space="preserve"> </w:t>
      </w:r>
      <w:r>
        <w:t>pública</w:t>
      </w:r>
      <w:r>
        <w:rPr>
          <w:spacing w:val="13"/>
        </w:rPr>
        <w:t xml:space="preserve"> </w:t>
      </w:r>
      <w:r>
        <w:t>para</w:t>
      </w:r>
      <w:r>
        <w:rPr>
          <w:spacing w:val="14"/>
        </w:rPr>
        <w:t xml:space="preserve"> </w:t>
      </w:r>
      <w:r>
        <w:t>la</w:t>
      </w:r>
      <w:r>
        <w:rPr>
          <w:spacing w:val="13"/>
        </w:rPr>
        <w:t xml:space="preserve"> </w:t>
      </w:r>
      <w:r>
        <w:t>erradicación</w:t>
      </w:r>
      <w:r>
        <w:rPr>
          <w:spacing w:val="13"/>
        </w:rPr>
        <w:t xml:space="preserve"> </w:t>
      </w:r>
      <w:r>
        <w:t>del</w:t>
      </w:r>
      <w:r>
        <w:rPr>
          <w:spacing w:val="15"/>
        </w:rPr>
        <w:t xml:space="preserve"> </w:t>
      </w:r>
      <w:r>
        <w:t>racismo</w:t>
      </w:r>
      <w:r>
        <w:rPr>
          <w:spacing w:val="12"/>
        </w:rPr>
        <w:t xml:space="preserve"> </w:t>
      </w:r>
      <w:r>
        <w:t>y</w:t>
      </w:r>
      <w:r>
        <w:rPr>
          <w:spacing w:val="13"/>
        </w:rPr>
        <w:t xml:space="preserve"> </w:t>
      </w:r>
      <w:r>
        <w:t>la</w:t>
      </w:r>
      <w:r>
        <w:rPr>
          <w:spacing w:val="13"/>
        </w:rPr>
        <w:t xml:space="preserve"> </w:t>
      </w:r>
      <w:r>
        <w:t>discriminación</w:t>
      </w:r>
      <w:r>
        <w:rPr>
          <w:spacing w:val="11"/>
        </w:rPr>
        <w:t xml:space="preserve"> </w:t>
      </w:r>
      <w:r>
        <w:rPr>
          <w:spacing w:val="-2"/>
        </w:rPr>
        <w:t>racial,</w:t>
      </w:r>
    </w:p>
    <w:p w14:paraId="1E2B82F6" w14:textId="77777777" w:rsidR="000E52B0" w:rsidRDefault="000E52B0">
      <w:pPr>
        <w:pStyle w:val="Textoindependiente"/>
        <w:jc w:val="both"/>
        <w:sectPr w:rsidR="000E52B0">
          <w:pgSz w:w="11910" w:h="16840"/>
          <w:pgMar w:top="1340" w:right="720" w:bottom="1180" w:left="720" w:header="0" w:footer="995" w:gutter="0"/>
          <w:cols w:space="720"/>
        </w:sectPr>
      </w:pPr>
    </w:p>
    <w:p w14:paraId="064BCD2B" w14:textId="77777777" w:rsidR="000E52B0" w:rsidRDefault="00F60D74">
      <w:pPr>
        <w:pStyle w:val="Textoindependiente"/>
        <w:spacing w:before="83"/>
        <w:ind w:right="727"/>
        <w:jc w:val="both"/>
      </w:pPr>
      <w:r>
        <w:lastRenderedPageBreak/>
        <w:t xml:space="preserve">Política Pública de Derechos Humano a la alimentación, Política Pública de </w:t>
      </w:r>
      <w:r>
        <w:rPr>
          <w:spacing w:val="-2"/>
        </w:rPr>
        <w:t>Juventudes.</w:t>
      </w:r>
    </w:p>
    <w:p w14:paraId="250AAE22" w14:textId="77777777" w:rsidR="000E52B0" w:rsidRDefault="00F60D74">
      <w:pPr>
        <w:pStyle w:val="Textoindependiente"/>
        <w:spacing w:before="158"/>
        <w:ind w:right="714"/>
        <w:jc w:val="both"/>
      </w:pPr>
      <w:r>
        <w:t>En cumplimiento del Plan Nacional de Desarrollo 2022–2026 en sus artículos 72, 73 y 101, y para garantizar el derecho a la autonomía económica de las mujeres en todas sus diversidades; facilitando las condiciones para una vida digna, el fortalecimiento de los procesos asociativos de las mujeres y el vínculo con los circuitos de economía popular, comunitaria y solidaria; el Ministerio de Igualdad y Equidad, mediante el Viceministerio de las mujeres, creó el Programa Autonomía Económica para las Mujeres.</w:t>
      </w:r>
    </w:p>
    <w:p w14:paraId="25C71B14" w14:textId="77777777" w:rsidR="000E52B0" w:rsidRDefault="00F60D74">
      <w:pPr>
        <w:pStyle w:val="Textoindependiente"/>
        <w:spacing w:before="160"/>
        <w:ind w:right="718"/>
        <w:jc w:val="both"/>
      </w:pPr>
      <w:r>
        <w:t>El Abordaje Integral de las violencias contra las mujeres, es un programa desarrollado por el Ministerio de Igualdad y Equidad para garantizar el derecho de las mujeres a una vida libre de violencias.</w:t>
      </w:r>
    </w:p>
    <w:p w14:paraId="6266A81A" w14:textId="77777777" w:rsidR="000E52B0" w:rsidRDefault="00F60D74">
      <w:pPr>
        <w:pStyle w:val="Textoindependiente"/>
        <w:spacing w:before="160"/>
        <w:ind w:right="717"/>
        <w:jc w:val="both"/>
      </w:pPr>
      <w:r>
        <w:rPr>
          <w:color w:val="3A3A3A"/>
        </w:rPr>
        <w:t>Las</w:t>
      </w:r>
      <w:r>
        <w:rPr>
          <w:color w:val="3A3A3A"/>
          <w:spacing w:val="-12"/>
        </w:rPr>
        <w:t xml:space="preserve"> </w:t>
      </w:r>
      <w:r>
        <w:rPr>
          <w:color w:val="3A3A3A"/>
        </w:rPr>
        <w:t>Casas</w:t>
      </w:r>
      <w:r>
        <w:rPr>
          <w:color w:val="3A3A3A"/>
          <w:spacing w:val="-12"/>
        </w:rPr>
        <w:t xml:space="preserve"> </w:t>
      </w:r>
      <w:r>
        <w:rPr>
          <w:color w:val="3A3A3A"/>
        </w:rPr>
        <w:t>para</w:t>
      </w:r>
      <w:r>
        <w:rPr>
          <w:color w:val="3A3A3A"/>
          <w:spacing w:val="-11"/>
        </w:rPr>
        <w:t xml:space="preserve"> </w:t>
      </w:r>
      <w:r>
        <w:rPr>
          <w:color w:val="3A3A3A"/>
        </w:rPr>
        <w:t>la</w:t>
      </w:r>
      <w:r>
        <w:rPr>
          <w:color w:val="3A3A3A"/>
          <w:spacing w:val="-12"/>
        </w:rPr>
        <w:t xml:space="preserve"> </w:t>
      </w:r>
      <w:r>
        <w:rPr>
          <w:color w:val="3A3A3A"/>
        </w:rPr>
        <w:t>Dignidad</w:t>
      </w:r>
      <w:r>
        <w:rPr>
          <w:color w:val="3A3A3A"/>
          <w:spacing w:val="-12"/>
        </w:rPr>
        <w:t xml:space="preserve"> </w:t>
      </w:r>
      <w:r>
        <w:rPr>
          <w:color w:val="3A3A3A"/>
        </w:rPr>
        <w:t>de</w:t>
      </w:r>
      <w:r>
        <w:rPr>
          <w:color w:val="3A3A3A"/>
          <w:spacing w:val="-10"/>
        </w:rPr>
        <w:t xml:space="preserve"> </w:t>
      </w:r>
      <w:r>
        <w:rPr>
          <w:color w:val="3A3A3A"/>
        </w:rPr>
        <w:t>las</w:t>
      </w:r>
      <w:r>
        <w:rPr>
          <w:color w:val="3A3A3A"/>
          <w:spacing w:val="-9"/>
        </w:rPr>
        <w:t xml:space="preserve"> </w:t>
      </w:r>
      <w:r>
        <w:rPr>
          <w:color w:val="3A3A3A"/>
        </w:rPr>
        <w:t>Mujeres,</w:t>
      </w:r>
      <w:r>
        <w:rPr>
          <w:color w:val="3A3A3A"/>
          <w:spacing w:val="-12"/>
        </w:rPr>
        <w:t xml:space="preserve"> </w:t>
      </w:r>
      <w:r>
        <w:rPr>
          <w:color w:val="3A3A3A"/>
        </w:rPr>
        <w:t>es</w:t>
      </w:r>
      <w:r>
        <w:rPr>
          <w:color w:val="3A3A3A"/>
          <w:spacing w:val="-11"/>
        </w:rPr>
        <w:t xml:space="preserve"> </w:t>
      </w:r>
      <w:r>
        <w:rPr>
          <w:color w:val="3A3A3A"/>
        </w:rPr>
        <w:t>un</w:t>
      </w:r>
      <w:r>
        <w:rPr>
          <w:color w:val="3A3A3A"/>
          <w:spacing w:val="-12"/>
        </w:rPr>
        <w:t xml:space="preserve"> </w:t>
      </w:r>
      <w:r>
        <w:rPr>
          <w:color w:val="3A3A3A"/>
        </w:rPr>
        <w:t>programa</w:t>
      </w:r>
      <w:r>
        <w:rPr>
          <w:color w:val="3A3A3A"/>
          <w:spacing w:val="-9"/>
        </w:rPr>
        <w:t xml:space="preserve"> </w:t>
      </w:r>
      <w:r>
        <w:rPr>
          <w:color w:val="3A3A3A"/>
        </w:rPr>
        <w:t>que</w:t>
      </w:r>
      <w:r>
        <w:rPr>
          <w:color w:val="3A3A3A"/>
          <w:spacing w:val="-10"/>
        </w:rPr>
        <w:t xml:space="preserve"> </w:t>
      </w:r>
      <w:r>
        <w:rPr>
          <w:color w:val="3A3A3A"/>
        </w:rPr>
        <w:t>materializa la</w:t>
      </w:r>
      <w:r>
        <w:rPr>
          <w:color w:val="3A3A3A"/>
          <w:spacing w:val="-14"/>
        </w:rPr>
        <w:t xml:space="preserve"> </w:t>
      </w:r>
      <w:r>
        <w:rPr>
          <w:color w:val="3A3A3A"/>
        </w:rPr>
        <w:t>respuesta</w:t>
      </w:r>
      <w:r>
        <w:rPr>
          <w:color w:val="3A3A3A"/>
          <w:spacing w:val="-14"/>
        </w:rPr>
        <w:t xml:space="preserve"> </w:t>
      </w:r>
      <w:r>
        <w:rPr>
          <w:color w:val="3A3A3A"/>
        </w:rPr>
        <w:t>institucional</w:t>
      </w:r>
      <w:r>
        <w:rPr>
          <w:color w:val="3A3A3A"/>
          <w:spacing w:val="-15"/>
        </w:rPr>
        <w:t xml:space="preserve"> </w:t>
      </w:r>
      <w:r>
        <w:rPr>
          <w:color w:val="3A3A3A"/>
        </w:rPr>
        <w:t>para</w:t>
      </w:r>
      <w:r>
        <w:rPr>
          <w:color w:val="3A3A3A"/>
          <w:spacing w:val="-11"/>
        </w:rPr>
        <w:t xml:space="preserve"> </w:t>
      </w:r>
      <w:r>
        <w:rPr>
          <w:color w:val="3A3A3A"/>
        </w:rPr>
        <w:t>garantizar</w:t>
      </w:r>
      <w:r>
        <w:rPr>
          <w:color w:val="3A3A3A"/>
          <w:spacing w:val="-12"/>
        </w:rPr>
        <w:t xml:space="preserve"> </w:t>
      </w:r>
      <w:r>
        <w:rPr>
          <w:color w:val="3A3A3A"/>
        </w:rPr>
        <w:t>los</w:t>
      </w:r>
      <w:r>
        <w:rPr>
          <w:color w:val="3A3A3A"/>
          <w:spacing w:val="-13"/>
        </w:rPr>
        <w:t xml:space="preserve"> </w:t>
      </w:r>
      <w:r>
        <w:rPr>
          <w:color w:val="3A3A3A"/>
        </w:rPr>
        <w:t>derechos</w:t>
      </w:r>
      <w:r>
        <w:rPr>
          <w:color w:val="3A3A3A"/>
          <w:spacing w:val="-14"/>
        </w:rPr>
        <w:t xml:space="preserve"> </w:t>
      </w:r>
      <w:r>
        <w:rPr>
          <w:color w:val="3A3A3A"/>
        </w:rPr>
        <w:t>de</w:t>
      </w:r>
      <w:r>
        <w:rPr>
          <w:color w:val="3A3A3A"/>
          <w:spacing w:val="-13"/>
        </w:rPr>
        <w:t xml:space="preserve"> </w:t>
      </w:r>
      <w:r>
        <w:rPr>
          <w:color w:val="3A3A3A"/>
        </w:rPr>
        <w:t>las</w:t>
      </w:r>
      <w:r>
        <w:rPr>
          <w:color w:val="3A3A3A"/>
          <w:spacing w:val="-14"/>
        </w:rPr>
        <w:t xml:space="preserve"> </w:t>
      </w:r>
      <w:r>
        <w:rPr>
          <w:color w:val="3A3A3A"/>
        </w:rPr>
        <w:t>mujeres</w:t>
      </w:r>
      <w:r>
        <w:rPr>
          <w:color w:val="3A3A3A"/>
          <w:spacing w:val="-14"/>
        </w:rPr>
        <w:t xml:space="preserve"> </w:t>
      </w:r>
      <w:r>
        <w:rPr>
          <w:color w:val="3A3A3A"/>
        </w:rPr>
        <w:t>en</w:t>
      </w:r>
      <w:r>
        <w:rPr>
          <w:color w:val="3A3A3A"/>
          <w:spacing w:val="-14"/>
        </w:rPr>
        <w:t xml:space="preserve"> </w:t>
      </w:r>
      <w:r>
        <w:rPr>
          <w:color w:val="3A3A3A"/>
        </w:rPr>
        <w:t>su diversidad, mediante programas, proyectos y acciones que fortalezcan los derechos de las mujeres; prevención y atención a las violencias contra las mujeres; cierre de brechas digitales y de formación; apoyo psicosocial, y socio</w:t>
      </w:r>
      <w:r>
        <w:rPr>
          <w:color w:val="3A3A3A"/>
          <w:spacing w:val="-14"/>
        </w:rPr>
        <w:t xml:space="preserve"> </w:t>
      </w:r>
      <w:r>
        <w:rPr>
          <w:color w:val="3A3A3A"/>
        </w:rPr>
        <w:t>jurídico;</w:t>
      </w:r>
      <w:r>
        <w:rPr>
          <w:color w:val="3A3A3A"/>
          <w:spacing w:val="-13"/>
        </w:rPr>
        <w:t xml:space="preserve"> </w:t>
      </w:r>
      <w:r>
        <w:rPr>
          <w:color w:val="3A3A3A"/>
        </w:rPr>
        <w:t>fortalecimiento</w:t>
      </w:r>
      <w:r>
        <w:rPr>
          <w:color w:val="3A3A3A"/>
          <w:spacing w:val="-12"/>
        </w:rPr>
        <w:t xml:space="preserve"> </w:t>
      </w:r>
      <w:r>
        <w:rPr>
          <w:color w:val="3A3A3A"/>
        </w:rPr>
        <w:t>y</w:t>
      </w:r>
      <w:r>
        <w:rPr>
          <w:color w:val="3A3A3A"/>
          <w:spacing w:val="-15"/>
        </w:rPr>
        <w:t xml:space="preserve"> </w:t>
      </w:r>
      <w:r>
        <w:rPr>
          <w:color w:val="3A3A3A"/>
        </w:rPr>
        <w:t>fomentación</w:t>
      </w:r>
      <w:r>
        <w:rPr>
          <w:color w:val="3A3A3A"/>
          <w:spacing w:val="-13"/>
        </w:rPr>
        <w:t xml:space="preserve"> </w:t>
      </w:r>
      <w:r>
        <w:rPr>
          <w:color w:val="3A3A3A"/>
        </w:rPr>
        <w:t>de</w:t>
      </w:r>
      <w:r>
        <w:rPr>
          <w:color w:val="3A3A3A"/>
          <w:spacing w:val="-14"/>
        </w:rPr>
        <w:t xml:space="preserve"> </w:t>
      </w:r>
      <w:r>
        <w:rPr>
          <w:color w:val="3A3A3A"/>
        </w:rPr>
        <w:t>los</w:t>
      </w:r>
      <w:r>
        <w:rPr>
          <w:color w:val="3A3A3A"/>
          <w:spacing w:val="-12"/>
        </w:rPr>
        <w:t xml:space="preserve"> </w:t>
      </w:r>
      <w:r>
        <w:rPr>
          <w:color w:val="3A3A3A"/>
        </w:rPr>
        <w:t>procesos</w:t>
      </w:r>
      <w:r>
        <w:rPr>
          <w:color w:val="3A3A3A"/>
          <w:spacing w:val="-15"/>
        </w:rPr>
        <w:t xml:space="preserve"> </w:t>
      </w:r>
      <w:r>
        <w:rPr>
          <w:color w:val="3A3A3A"/>
        </w:rPr>
        <w:t>organizativos, iniciativas de autonomía económica y expresiones culturales y deportivas de las mujeres.</w:t>
      </w:r>
    </w:p>
    <w:p w14:paraId="174BE57C" w14:textId="77777777" w:rsidR="000E52B0" w:rsidRDefault="00F60D74">
      <w:pPr>
        <w:pStyle w:val="Textoindependiente"/>
        <w:spacing w:before="160"/>
        <w:ind w:right="717"/>
        <w:jc w:val="both"/>
      </w:pPr>
      <w:r>
        <w:t>Economía Popular y Comunitaria para la Superación de la Pobreza, las apuestas de este programa son fortalecer las capacidades productivas, asociativas, financieras y administrativas de los actores de la economía popular y comunitaria para la superación de las brechas de pobreza, mediante actividades de capacitación, talleres, giras de intercambio en aspectos organizacionales, financieros y administrativos.</w:t>
      </w:r>
    </w:p>
    <w:p w14:paraId="55AF7912" w14:textId="77777777" w:rsidR="000E52B0" w:rsidRDefault="00F60D74">
      <w:pPr>
        <w:pStyle w:val="Textoindependiente"/>
        <w:spacing w:before="161"/>
        <w:ind w:right="718"/>
        <w:jc w:val="both"/>
      </w:pPr>
      <w:r>
        <w:t>Diversidad en Dignidad, para atender las brechas de desigualdad y las discriminaciones que enfrenta la población LGBTIQ+ para el ejercicio de sus</w:t>
      </w:r>
      <w:r>
        <w:rPr>
          <w:spacing w:val="-8"/>
        </w:rPr>
        <w:t xml:space="preserve"> </w:t>
      </w:r>
      <w:r>
        <w:t>derechos,</w:t>
      </w:r>
      <w:r>
        <w:rPr>
          <w:spacing w:val="-9"/>
        </w:rPr>
        <w:t xml:space="preserve"> </w:t>
      </w:r>
      <w:r>
        <w:t>se</w:t>
      </w:r>
      <w:r>
        <w:rPr>
          <w:spacing w:val="-7"/>
        </w:rPr>
        <w:t xml:space="preserve"> </w:t>
      </w:r>
      <w:r>
        <w:t>creó</w:t>
      </w:r>
      <w:r>
        <w:rPr>
          <w:spacing w:val="-7"/>
        </w:rPr>
        <w:t xml:space="preserve"> </w:t>
      </w:r>
      <w:r>
        <w:t>el</w:t>
      </w:r>
      <w:r>
        <w:rPr>
          <w:spacing w:val="-9"/>
        </w:rPr>
        <w:t xml:space="preserve"> </w:t>
      </w:r>
      <w:r>
        <w:t>Programa</w:t>
      </w:r>
      <w:r>
        <w:rPr>
          <w:spacing w:val="-8"/>
        </w:rPr>
        <w:t xml:space="preserve"> </w:t>
      </w:r>
      <w:r>
        <w:t>Diversidad</w:t>
      </w:r>
      <w:r>
        <w:rPr>
          <w:spacing w:val="-6"/>
        </w:rPr>
        <w:t xml:space="preserve"> </w:t>
      </w:r>
      <w:r>
        <w:t>en</w:t>
      </w:r>
      <w:r>
        <w:rPr>
          <w:spacing w:val="-8"/>
        </w:rPr>
        <w:t xml:space="preserve"> </w:t>
      </w:r>
      <w:r>
        <w:t>Dignidad,</w:t>
      </w:r>
      <w:r>
        <w:rPr>
          <w:spacing w:val="-6"/>
        </w:rPr>
        <w:t xml:space="preserve"> </w:t>
      </w:r>
      <w:r>
        <w:t>que</w:t>
      </w:r>
      <w:r>
        <w:rPr>
          <w:spacing w:val="-7"/>
        </w:rPr>
        <w:t xml:space="preserve"> </w:t>
      </w:r>
      <w:r>
        <w:t>tiene</w:t>
      </w:r>
      <w:r>
        <w:rPr>
          <w:spacing w:val="-5"/>
        </w:rPr>
        <w:t xml:space="preserve"> </w:t>
      </w:r>
      <w:r>
        <w:t>como objetivo,</w:t>
      </w:r>
      <w:r>
        <w:rPr>
          <w:spacing w:val="-3"/>
        </w:rPr>
        <w:t xml:space="preserve"> </w:t>
      </w:r>
      <w:r>
        <w:t>avanzar</w:t>
      </w:r>
      <w:r>
        <w:rPr>
          <w:spacing w:val="-1"/>
        </w:rPr>
        <w:t xml:space="preserve"> </w:t>
      </w:r>
      <w:r>
        <w:t>en</w:t>
      </w:r>
      <w:r>
        <w:rPr>
          <w:spacing w:val="-2"/>
        </w:rPr>
        <w:t xml:space="preserve"> </w:t>
      </w:r>
      <w:r>
        <w:t>la</w:t>
      </w:r>
      <w:r>
        <w:rPr>
          <w:spacing w:val="-2"/>
        </w:rPr>
        <w:t xml:space="preserve"> </w:t>
      </w:r>
      <w:r>
        <w:t>garantía</w:t>
      </w:r>
      <w:r>
        <w:rPr>
          <w:spacing w:val="-2"/>
        </w:rPr>
        <w:t xml:space="preserve"> </w:t>
      </w:r>
      <w:r>
        <w:t>de</w:t>
      </w:r>
      <w:r>
        <w:rPr>
          <w:spacing w:val="-1"/>
        </w:rPr>
        <w:t xml:space="preserve"> </w:t>
      </w:r>
      <w:r>
        <w:t>los derechos</w:t>
      </w:r>
      <w:r>
        <w:rPr>
          <w:spacing w:val="-2"/>
        </w:rPr>
        <w:t xml:space="preserve"> </w:t>
      </w:r>
      <w:r>
        <w:t>para</w:t>
      </w:r>
      <w:r>
        <w:rPr>
          <w:spacing w:val="-1"/>
        </w:rPr>
        <w:t xml:space="preserve"> </w:t>
      </w:r>
      <w:r>
        <w:t>una</w:t>
      </w:r>
      <w:r>
        <w:rPr>
          <w:spacing w:val="-2"/>
        </w:rPr>
        <w:t xml:space="preserve"> </w:t>
      </w:r>
      <w:r>
        <w:t>vida</w:t>
      </w:r>
      <w:r>
        <w:rPr>
          <w:spacing w:val="-2"/>
        </w:rPr>
        <w:t xml:space="preserve"> </w:t>
      </w:r>
      <w:r>
        <w:t>digna,</w:t>
      </w:r>
      <w:r>
        <w:rPr>
          <w:spacing w:val="-3"/>
        </w:rPr>
        <w:t xml:space="preserve"> </w:t>
      </w:r>
      <w:r>
        <w:t>libre de violencias y discriminación a las personas de las personas con orientaciones sexuales e identidades de género no hegemónicas (LGBTIQ+), se encuentra en fase de desarrollo el módulo de SALVIA, un mecanismo de registro y consulta nominal para la identificación y seguimiento</w:t>
      </w:r>
      <w:r>
        <w:rPr>
          <w:spacing w:val="-3"/>
        </w:rPr>
        <w:t xml:space="preserve"> </w:t>
      </w:r>
      <w:r>
        <w:t>a</w:t>
      </w:r>
      <w:r>
        <w:rPr>
          <w:spacing w:val="-4"/>
        </w:rPr>
        <w:t xml:space="preserve"> </w:t>
      </w:r>
      <w:r>
        <w:t>casos</w:t>
      </w:r>
      <w:r>
        <w:rPr>
          <w:spacing w:val="-1"/>
        </w:rPr>
        <w:t xml:space="preserve"> </w:t>
      </w:r>
      <w:r>
        <w:t>de</w:t>
      </w:r>
      <w:r>
        <w:rPr>
          <w:spacing w:val="-3"/>
        </w:rPr>
        <w:t xml:space="preserve"> </w:t>
      </w:r>
      <w:r>
        <w:t>violencias,</w:t>
      </w:r>
      <w:r>
        <w:rPr>
          <w:spacing w:val="-2"/>
        </w:rPr>
        <w:t xml:space="preserve"> </w:t>
      </w:r>
      <w:r>
        <w:t>que</w:t>
      </w:r>
      <w:r>
        <w:rPr>
          <w:spacing w:val="-1"/>
        </w:rPr>
        <w:t xml:space="preserve"> </w:t>
      </w:r>
      <w:r>
        <w:t>se</w:t>
      </w:r>
      <w:r>
        <w:rPr>
          <w:spacing w:val="-3"/>
        </w:rPr>
        <w:t xml:space="preserve"> </w:t>
      </w:r>
      <w:r>
        <w:t>implementará</w:t>
      </w:r>
      <w:r>
        <w:rPr>
          <w:spacing w:val="-3"/>
        </w:rPr>
        <w:t xml:space="preserve"> </w:t>
      </w:r>
      <w:r>
        <w:t>en</w:t>
      </w:r>
      <w:r>
        <w:rPr>
          <w:spacing w:val="-2"/>
        </w:rPr>
        <w:t xml:space="preserve"> </w:t>
      </w:r>
      <w:r>
        <w:t>con</w:t>
      </w:r>
      <w:r>
        <w:rPr>
          <w:spacing w:val="-4"/>
        </w:rPr>
        <w:t xml:space="preserve"> </w:t>
      </w:r>
      <w:r>
        <w:t>la</w:t>
      </w:r>
      <w:r>
        <w:rPr>
          <w:spacing w:val="-1"/>
        </w:rPr>
        <w:t xml:space="preserve"> </w:t>
      </w:r>
      <w:r>
        <w:t>línea</w:t>
      </w:r>
      <w:r>
        <w:rPr>
          <w:spacing w:val="-3"/>
        </w:rPr>
        <w:t xml:space="preserve"> </w:t>
      </w:r>
      <w:r>
        <w:t>de atención a víctimas de violencia por prejuicio y el mecanismo articulador para la prevención y atención de violencias por prejuicio.</w:t>
      </w:r>
    </w:p>
    <w:p w14:paraId="47C49C21" w14:textId="77777777" w:rsidR="000E52B0" w:rsidRDefault="00F60D74">
      <w:pPr>
        <w:pStyle w:val="Textoindependiente"/>
        <w:spacing w:before="162"/>
        <w:ind w:right="714"/>
        <w:jc w:val="both"/>
      </w:pPr>
      <w:r>
        <w:t>Recomendación de la CIDH: Adoptar medidas concretas para erradicar la pobreza y mitigar la desigualdad destinadas a fortalecer la garantía y protección</w:t>
      </w:r>
      <w:r>
        <w:rPr>
          <w:spacing w:val="-1"/>
        </w:rPr>
        <w:t xml:space="preserve"> </w:t>
      </w:r>
      <w:r>
        <w:t>de los</w:t>
      </w:r>
      <w:r>
        <w:rPr>
          <w:spacing w:val="-1"/>
        </w:rPr>
        <w:t xml:space="preserve"> </w:t>
      </w:r>
      <w:r>
        <w:t>DESCA, en</w:t>
      </w:r>
      <w:r>
        <w:rPr>
          <w:spacing w:val="-1"/>
        </w:rPr>
        <w:t xml:space="preserve"> </w:t>
      </w:r>
      <w:r>
        <w:t>especial los</w:t>
      </w:r>
      <w:r>
        <w:rPr>
          <w:spacing w:val="-1"/>
        </w:rPr>
        <w:t xml:space="preserve"> </w:t>
      </w:r>
      <w:r>
        <w:t>derechos</w:t>
      </w:r>
      <w:r>
        <w:rPr>
          <w:spacing w:val="-1"/>
        </w:rPr>
        <w:t xml:space="preserve"> </w:t>
      </w:r>
      <w:r>
        <w:t>a la</w:t>
      </w:r>
      <w:r>
        <w:rPr>
          <w:spacing w:val="-1"/>
        </w:rPr>
        <w:t xml:space="preserve"> </w:t>
      </w:r>
      <w:r>
        <w:t>salud, al agua, a la alimentación, a la educación y al trabajo, con enfoque territorial, intercultural, de género, de igualdad y no discriminación, participación ciudadana efectiva y rendición de cuentas.</w:t>
      </w:r>
    </w:p>
    <w:p w14:paraId="5CA669BD" w14:textId="77777777" w:rsidR="000E52B0" w:rsidRDefault="000E52B0">
      <w:pPr>
        <w:pStyle w:val="Textoindependiente"/>
        <w:jc w:val="both"/>
        <w:sectPr w:rsidR="000E52B0">
          <w:pgSz w:w="11910" w:h="16840"/>
          <w:pgMar w:top="1340" w:right="720" w:bottom="1180" w:left="720" w:header="0" w:footer="995" w:gutter="0"/>
          <w:cols w:space="720"/>
        </w:sectPr>
      </w:pPr>
    </w:p>
    <w:p w14:paraId="773369FF" w14:textId="77777777" w:rsidR="000E52B0" w:rsidRDefault="00F60D74">
      <w:pPr>
        <w:pStyle w:val="Textoindependiente"/>
        <w:spacing w:before="83"/>
        <w:ind w:right="721"/>
        <w:jc w:val="both"/>
      </w:pPr>
      <w:r>
        <w:rPr>
          <w:color w:val="3A3A3A"/>
        </w:rPr>
        <w:lastRenderedPageBreak/>
        <w:t>Atención de la recomendación desde el Ministerio: El Programa Hambre Cero, tiene como objetivo avanzar en la garantía progresiva del Derecho Humano a la Alimentación, a través de articulación interinstitucional para erradicar el hambre en Colombia.</w:t>
      </w:r>
    </w:p>
    <w:p w14:paraId="0A7662E3" w14:textId="77777777" w:rsidR="000E52B0" w:rsidRDefault="00F60D74">
      <w:pPr>
        <w:pStyle w:val="Textoindependiente"/>
        <w:spacing w:before="158"/>
        <w:ind w:right="717"/>
        <w:jc w:val="both"/>
      </w:pPr>
      <w:r>
        <w:rPr>
          <w:color w:val="3A3A3A"/>
        </w:rPr>
        <w:t>Como resultado de este programa, el Ministerio de Igualdad y Equidad, llega a estos territorios para entregar 900 mil raciones de alimento, impulsar la puesta en marcha de 150 Mercados campesinos, además de otras 150 iniciativas productivas de alimentos y avanzar en las acciones para la construcción de cinco Centros de Abastecimiento Regional en Planeta Rica, Córdoba, Medio Baudó y Unión Panamericana en el Chocó.</w:t>
      </w:r>
    </w:p>
    <w:p w14:paraId="7ABC4CB1" w14:textId="77777777" w:rsidR="000E52B0" w:rsidRDefault="00F60D74">
      <w:pPr>
        <w:pStyle w:val="Textoindependiente"/>
        <w:spacing w:before="160"/>
        <w:ind w:right="720"/>
        <w:jc w:val="both"/>
      </w:pPr>
      <w:r>
        <w:t xml:space="preserve">Programa Nacional de Cuidado, el </w:t>
      </w:r>
      <w:r>
        <w:rPr>
          <w:color w:val="3A3A3A"/>
        </w:rPr>
        <w:t>objetivo del Programa Nacional de Cuidado es avanzar en la garantía del derecho a cuidar en condiciones dignas y en el reconocimiento y fortalecimiento de las formas de cuidado como función social interdependiente al sostenimiento de la vida.</w:t>
      </w:r>
    </w:p>
    <w:p w14:paraId="24D72547" w14:textId="77777777" w:rsidR="000E52B0" w:rsidRDefault="00F60D74">
      <w:pPr>
        <w:pStyle w:val="Ttulo1"/>
        <w:numPr>
          <w:ilvl w:val="0"/>
          <w:numId w:val="53"/>
        </w:numPr>
        <w:tabs>
          <w:tab w:val="left" w:pos="1440"/>
        </w:tabs>
        <w:spacing w:before="239"/>
        <w:ind w:hanging="830"/>
        <w:jc w:val="left"/>
      </w:pPr>
      <w:bookmarkStart w:id="195" w:name="_bookmark195"/>
      <w:bookmarkEnd w:id="195"/>
      <w:r>
        <w:rPr>
          <w:color w:val="B3176C"/>
        </w:rPr>
        <w:t>Tendencias</w:t>
      </w:r>
      <w:r>
        <w:rPr>
          <w:color w:val="B3176C"/>
          <w:spacing w:val="-16"/>
        </w:rPr>
        <w:t xml:space="preserve"> </w:t>
      </w:r>
      <w:r>
        <w:rPr>
          <w:color w:val="B3176C"/>
          <w:spacing w:val="-2"/>
        </w:rPr>
        <w:t>internacionales</w:t>
      </w:r>
    </w:p>
    <w:p w14:paraId="6CBDDBBF" w14:textId="77777777" w:rsidR="000E52B0" w:rsidRDefault="00F60D74">
      <w:pPr>
        <w:pStyle w:val="Ttulo2"/>
        <w:spacing w:before="332"/>
        <w:ind w:right="723"/>
      </w:pPr>
      <w:bookmarkStart w:id="196" w:name="_bookmark196"/>
      <w:bookmarkEnd w:id="196"/>
      <w:r>
        <w:rPr>
          <w:color w:val="B3176C"/>
        </w:rPr>
        <w:t>Sustento Normativo Internacional – Derecho Internacional de los Derechos Humanos</w:t>
      </w:r>
    </w:p>
    <w:p w14:paraId="4AA42F1D" w14:textId="77777777" w:rsidR="000E52B0" w:rsidRDefault="00F60D74">
      <w:pPr>
        <w:pStyle w:val="Textoindependiente"/>
        <w:spacing w:before="269"/>
        <w:ind w:right="718"/>
        <w:jc w:val="both"/>
      </w:pPr>
      <w:r>
        <w:t>El Gobierno Nacional, mediante el Ministerio de Igualdad y Equidad, fortalece y cumple con las obligaciones internacionales de Derechos Humanos, en especial, los enfocados a la igualdad y las poblaciones históricamente</w:t>
      </w:r>
      <w:r>
        <w:rPr>
          <w:spacing w:val="-2"/>
        </w:rPr>
        <w:t xml:space="preserve"> </w:t>
      </w:r>
      <w:r>
        <w:t>marginadas</w:t>
      </w:r>
      <w:r>
        <w:rPr>
          <w:spacing w:val="-3"/>
        </w:rPr>
        <w:t xml:space="preserve"> </w:t>
      </w:r>
      <w:r>
        <w:t>y</w:t>
      </w:r>
      <w:r>
        <w:rPr>
          <w:spacing w:val="-3"/>
        </w:rPr>
        <w:t xml:space="preserve"> </w:t>
      </w:r>
      <w:r>
        <w:t>excluidas.</w:t>
      </w:r>
      <w:r>
        <w:rPr>
          <w:spacing w:val="-1"/>
        </w:rPr>
        <w:t xml:space="preserve"> </w:t>
      </w:r>
      <w:r>
        <w:t>El</w:t>
      </w:r>
      <w:r>
        <w:rPr>
          <w:spacing w:val="-4"/>
        </w:rPr>
        <w:t xml:space="preserve"> </w:t>
      </w:r>
      <w:r>
        <w:t>cumplimiento</w:t>
      </w:r>
      <w:r>
        <w:rPr>
          <w:spacing w:val="-2"/>
        </w:rPr>
        <w:t xml:space="preserve"> </w:t>
      </w:r>
      <w:r>
        <w:t>de</w:t>
      </w:r>
      <w:r>
        <w:rPr>
          <w:spacing w:val="-2"/>
        </w:rPr>
        <w:t xml:space="preserve"> </w:t>
      </w:r>
      <w:r>
        <w:t>los</w:t>
      </w:r>
      <w:r>
        <w:rPr>
          <w:spacing w:val="-3"/>
        </w:rPr>
        <w:t xml:space="preserve"> </w:t>
      </w:r>
      <w:r>
        <w:t>estándares internacionales se encuentra sustentado en el concepto de “Bloque de Constitucionalidad” del artículo 93 de la Constitución Política de Colombia, por el cual los Tratados y Convenios Internacionales que reconocen los Derechos Humanos y han sido ratificados por Colombia prevalecen en el orden interno, y a su vez, son fuente de interpretación de los derechos consagrados en la Carta Máxima.</w:t>
      </w:r>
    </w:p>
    <w:p w14:paraId="17B047C6" w14:textId="77777777" w:rsidR="000E52B0" w:rsidRDefault="000E52B0">
      <w:pPr>
        <w:pStyle w:val="Textoindependiente"/>
        <w:ind w:left="0"/>
      </w:pPr>
    </w:p>
    <w:p w14:paraId="60BE4168" w14:textId="77777777" w:rsidR="000E52B0" w:rsidRDefault="00F60D74">
      <w:pPr>
        <w:pStyle w:val="Textoindependiente"/>
        <w:ind w:right="715"/>
        <w:jc w:val="both"/>
      </w:pPr>
      <w:r>
        <w:t>En</w:t>
      </w:r>
      <w:r>
        <w:rPr>
          <w:spacing w:val="-19"/>
        </w:rPr>
        <w:t xml:space="preserve"> </w:t>
      </w:r>
      <w:r>
        <w:t>primer</w:t>
      </w:r>
      <w:r>
        <w:rPr>
          <w:spacing w:val="-17"/>
        </w:rPr>
        <w:t xml:space="preserve"> </w:t>
      </w:r>
      <w:r>
        <w:t>lugar,</w:t>
      </w:r>
      <w:r>
        <w:rPr>
          <w:spacing w:val="-17"/>
        </w:rPr>
        <w:t xml:space="preserve"> </w:t>
      </w:r>
      <w:r>
        <w:t>el</w:t>
      </w:r>
      <w:r>
        <w:rPr>
          <w:spacing w:val="-19"/>
        </w:rPr>
        <w:t xml:space="preserve"> </w:t>
      </w:r>
      <w:r>
        <w:t>Sistema</w:t>
      </w:r>
      <w:r>
        <w:rPr>
          <w:spacing w:val="-18"/>
        </w:rPr>
        <w:t xml:space="preserve"> </w:t>
      </w:r>
      <w:r>
        <w:t>Universal</w:t>
      </w:r>
      <w:r>
        <w:rPr>
          <w:spacing w:val="-17"/>
        </w:rPr>
        <w:t xml:space="preserve"> </w:t>
      </w:r>
      <w:r>
        <w:t>de</w:t>
      </w:r>
      <w:r>
        <w:rPr>
          <w:spacing w:val="-15"/>
        </w:rPr>
        <w:t xml:space="preserve"> </w:t>
      </w:r>
      <w:r>
        <w:t>Protección</w:t>
      </w:r>
      <w:r>
        <w:rPr>
          <w:spacing w:val="-19"/>
        </w:rPr>
        <w:t xml:space="preserve"> </w:t>
      </w:r>
      <w:r>
        <w:t>se</w:t>
      </w:r>
      <w:r>
        <w:rPr>
          <w:spacing w:val="-17"/>
        </w:rPr>
        <w:t xml:space="preserve"> </w:t>
      </w:r>
      <w:r>
        <w:t>rige,</w:t>
      </w:r>
      <w:r>
        <w:rPr>
          <w:spacing w:val="-16"/>
        </w:rPr>
        <w:t xml:space="preserve"> </w:t>
      </w:r>
      <w:r>
        <w:t>principalmente, por la Declaración Universal de los Derechos Humanos. Este hito fundamental</w:t>
      </w:r>
      <w:r>
        <w:rPr>
          <w:spacing w:val="-22"/>
        </w:rPr>
        <w:t xml:space="preserve"> </w:t>
      </w:r>
      <w:r>
        <w:t>reconoce</w:t>
      </w:r>
      <w:r>
        <w:rPr>
          <w:spacing w:val="-21"/>
        </w:rPr>
        <w:t xml:space="preserve"> </w:t>
      </w:r>
      <w:r>
        <w:t>que</w:t>
      </w:r>
      <w:r>
        <w:rPr>
          <w:spacing w:val="-21"/>
        </w:rPr>
        <w:t xml:space="preserve"> </w:t>
      </w:r>
      <w:r>
        <w:t>todos</w:t>
      </w:r>
      <w:r>
        <w:rPr>
          <w:spacing w:val="-21"/>
        </w:rPr>
        <w:t xml:space="preserve"> </w:t>
      </w:r>
      <w:r>
        <w:t>los</w:t>
      </w:r>
      <w:r>
        <w:rPr>
          <w:spacing w:val="-21"/>
        </w:rPr>
        <w:t xml:space="preserve"> </w:t>
      </w:r>
      <w:r>
        <w:t>seres</w:t>
      </w:r>
      <w:r>
        <w:rPr>
          <w:spacing w:val="-21"/>
        </w:rPr>
        <w:t xml:space="preserve"> </w:t>
      </w:r>
      <w:r>
        <w:t>humanos</w:t>
      </w:r>
      <w:r>
        <w:rPr>
          <w:spacing w:val="-21"/>
        </w:rPr>
        <w:t xml:space="preserve"> </w:t>
      </w:r>
      <w:r>
        <w:t>son</w:t>
      </w:r>
      <w:r>
        <w:rPr>
          <w:spacing w:val="-21"/>
        </w:rPr>
        <w:t xml:space="preserve"> </w:t>
      </w:r>
      <w:r>
        <w:t>iguales</w:t>
      </w:r>
      <w:r>
        <w:rPr>
          <w:spacing w:val="-21"/>
        </w:rPr>
        <w:t xml:space="preserve"> </w:t>
      </w:r>
      <w:r>
        <w:t>en</w:t>
      </w:r>
      <w:r>
        <w:rPr>
          <w:spacing w:val="-21"/>
        </w:rPr>
        <w:t xml:space="preserve"> </w:t>
      </w:r>
      <w:r>
        <w:t>dignidad y</w:t>
      </w:r>
      <w:r>
        <w:rPr>
          <w:spacing w:val="-16"/>
        </w:rPr>
        <w:t xml:space="preserve"> </w:t>
      </w:r>
      <w:r>
        <w:t>derechos,</w:t>
      </w:r>
      <w:r>
        <w:rPr>
          <w:spacing w:val="-17"/>
        </w:rPr>
        <w:t xml:space="preserve"> </w:t>
      </w:r>
      <w:r>
        <w:t>y</w:t>
      </w:r>
      <w:r>
        <w:rPr>
          <w:spacing w:val="-16"/>
        </w:rPr>
        <w:t xml:space="preserve"> </w:t>
      </w:r>
      <w:r>
        <w:t>que</w:t>
      </w:r>
      <w:r>
        <w:rPr>
          <w:spacing w:val="-15"/>
        </w:rPr>
        <w:t xml:space="preserve"> </w:t>
      </w:r>
      <w:r>
        <w:t>estos</w:t>
      </w:r>
      <w:r>
        <w:rPr>
          <w:spacing w:val="-16"/>
        </w:rPr>
        <w:t xml:space="preserve"> </w:t>
      </w:r>
      <w:r>
        <w:t>derechos</w:t>
      </w:r>
      <w:r>
        <w:rPr>
          <w:spacing w:val="-16"/>
        </w:rPr>
        <w:t xml:space="preserve"> </w:t>
      </w:r>
      <w:r>
        <w:t>se</w:t>
      </w:r>
      <w:r>
        <w:rPr>
          <w:spacing w:val="-15"/>
        </w:rPr>
        <w:t xml:space="preserve"> </w:t>
      </w:r>
      <w:r>
        <w:t>tienen</w:t>
      </w:r>
      <w:r>
        <w:rPr>
          <w:spacing w:val="-14"/>
        </w:rPr>
        <w:t xml:space="preserve"> </w:t>
      </w:r>
      <w:r>
        <w:t>sin</w:t>
      </w:r>
      <w:r>
        <w:rPr>
          <w:spacing w:val="-17"/>
        </w:rPr>
        <w:t xml:space="preserve"> </w:t>
      </w:r>
      <w:r>
        <w:t>ningún</w:t>
      </w:r>
      <w:r>
        <w:rPr>
          <w:spacing w:val="-17"/>
        </w:rPr>
        <w:t xml:space="preserve"> </w:t>
      </w:r>
      <w:r>
        <w:t>tipo</w:t>
      </w:r>
      <w:r>
        <w:rPr>
          <w:spacing w:val="-13"/>
        </w:rPr>
        <w:t xml:space="preserve"> </w:t>
      </w:r>
      <w:r>
        <w:t>de</w:t>
      </w:r>
      <w:r>
        <w:rPr>
          <w:spacing w:val="-15"/>
        </w:rPr>
        <w:t xml:space="preserve"> </w:t>
      </w:r>
      <w:r>
        <w:t>distinción</w:t>
      </w:r>
      <w:r>
        <w:rPr>
          <w:spacing w:val="-14"/>
        </w:rPr>
        <w:t xml:space="preserve"> </w:t>
      </w:r>
      <w:r>
        <w:t>por raza, color, sexo, idioma, religión, opinión política o de cualquier otra índole,</w:t>
      </w:r>
      <w:r>
        <w:rPr>
          <w:spacing w:val="-16"/>
        </w:rPr>
        <w:t xml:space="preserve"> </w:t>
      </w:r>
      <w:r>
        <w:t>origen</w:t>
      </w:r>
      <w:r>
        <w:rPr>
          <w:spacing w:val="-15"/>
        </w:rPr>
        <w:t xml:space="preserve"> </w:t>
      </w:r>
      <w:r>
        <w:t>nacional</w:t>
      </w:r>
      <w:r>
        <w:rPr>
          <w:spacing w:val="-17"/>
        </w:rPr>
        <w:t xml:space="preserve"> </w:t>
      </w:r>
      <w:r>
        <w:t>o</w:t>
      </w:r>
      <w:r>
        <w:rPr>
          <w:spacing w:val="-16"/>
        </w:rPr>
        <w:t xml:space="preserve"> </w:t>
      </w:r>
      <w:r>
        <w:t>social,</w:t>
      </w:r>
      <w:r>
        <w:rPr>
          <w:spacing w:val="-16"/>
        </w:rPr>
        <w:t xml:space="preserve"> </w:t>
      </w:r>
      <w:r>
        <w:t>posición</w:t>
      </w:r>
      <w:r>
        <w:rPr>
          <w:spacing w:val="-17"/>
        </w:rPr>
        <w:t xml:space="preserve"> </w:t>
      </w:r>
      <w:r>
        <w:t>económica,</w:t>
      </w:r>
      <w:r>
        <w:rPr>
          <w:spacing w:val="-16"/>
        </w:rPr>
        <w:t xml:space="preserve"> </w:t>
      </w:r>
      <w:r>
        <w:t>nacimiento</w:t>
      </w:r>
      <w:r>
        <w:rPr>
          <w:spacing w:val="-16"/>
        </w:rPr>
        <w:t xml:space="preserve"> </w:t>
      </w:r>
      <w:r>
        <w:t>o</w:t>
      </w:r>
      <w:r>
        <w:rPr>
          <w:spacing w:val="-16"/>
        </w:rPr>
        <w:t xml:space="preserve"> </w:t>
      </w:r>
      <w:r>
        <w:t>cualquier otra condición. De esta manera, la ley debe proteger a todos por igual, especialmente, protección contra toda forma o provocación de discriminación. Según esta norma internacional, el Estado Colombiano tiene la obligación de la satisfacción de los Derechos Económicos Sociales y Culturales indispensables a la dignidad de toda persona y de establecer un orden social que haga plenamente efectivos los derechos de la declaración mencionada.</w:t>
      </w:r>
    </w:p>
    <w:p w14:paraId="7DE021BF" w14:textId="77777777" w:rsidR="000E52B0" w:rsidRDefault="000E52B0">
      <w:pPr>
        <w:pStyle w:val="Textoindependiente"/>
        <w:jc w:val="both"/>
        <w:sectPr w:rsidR="000E52B0">
          <w:pgSz w:w="11910" w:h="16840"/>
          <w:pgMar w:top="1340" w:right="720" w:bottom="1180" w:left="720" w:header="0" w:footer="995" w:gutter="0"/>
          <w:cols w:space="720"/>
        </w:sectPr>
      </w:pPr>
    </w:p>
    <w:p w14:paraId="1A7B9CF7" w14:textId="77777777" w:rsidR="000E52B0" w:rsidRDefault="00F60D74">
      <w:pPr>
        <w:pStyle w:val="Textoindependiente"/>
        <w:spacing w:before="83"/>
        <w:ind w:right="717"/>
        <w:jc w:val="both"/>
      </w:pPr>
      <w:r>
        <w:lastRenderedPageBreak/>
        <w:t>En</w:t>
      </w:r>
      <w:r>
        <w:rPr>
          <w:spacing w:val="-2"/>
        </w:rPr>
        <w:t xml:space="preserve"> </w:t>
      </w:r>
      <w:r>
        <w:t>este sistema,</w:t>
      </w:r>
      <w:r>
        <w:rPr>
          <w:spacing w:val="-2"/>
        </w:rPr>
        <w:t xml:space="preserve"> </w:t>
      </w:r>
      <w:r>
        <w:t>el principio de igualdad</w:t>
      </w:r>
      <w:r>
        <w:rPr>
          <w:spacing w:val="-1"/>
        </w:rPr>
        <w:t xml:space="preserve"> </w:t>
      </w:r>
      <w:r>
        <w:t>ante la</w:t>
      </w:r>
      <w:r>
        <w:rPr>
          <w:spacing w:val="-1"/>
        </w:rPr>
        <w:t xml:space="preserve"> </w:t>
      </w:r>
      <w:r>
        <w:t>ley</w:t>
      </w:r>
      <w:r>
        <w:rPr>
          <w:spacing w:val="-1"/>
        </w:rPr>
        <w:t xml:space="preserve"> </w:t>
      </w:r>
      <w:r>
        <w:t>y la protección</w:t>
      </w:r>
      <w:r>
        <w:rPr>
          <w:spacing w:val="-1"/>
        </w:rPr>
        <w:t xml:space="preserve"> </w:t>
      </w:r>
      <w:r>
        <w:t>ante la discriminación es reforzado en el Pacto de Derechos Civiles y Políticos, artículo 26 de dicho tratado. Adicionalmente, proscribe la negación de derechos a las minorías étnicas a la vida cultural, a profesar su religión y emplear su propio idioma. Por su parte, el Pacto de Derechos Económicos Sociales y Culturales - DESC establece el principio de no discriminación para los derechos y garantías de ese mecanismo, de manera explícita la igualdad</w:t>
      </w:r>
      <w:r>
        <w:rPr>
          <w:spacing w:val="-11"/>
        </w:rPr>
        <w:t xml:space="preserve"> </w:t>
      </w:r>
      <w:r>
        <w:t>en</w:t>
      </w:r>
      <w:r>
        <w:rPr>
          <w:spacing w:val="-13"/>
        </w:rPr>
        <w:t xml:space="preserve"> </w:t>
      </w:r>
      <w:r>
        <w:t>garantía</w:t>
      </w:r>
      <w:r>
        <w:rPr>
          <w:spacing w:val="-13"/>
        </w:rPr>
        <w:t xml:space="preserve"> </w:t>
      </w:r>
      <w:r>
        <w:t>de</w:t>
      </w:r>
      <w:r>
        <w:rPr>
          <w:spacing w:val="-12"/>
        </w:rPr>
        <w:t xml:space="preserve"> </w:t>
      </w:r>
      <w:r>
        <w:t>los</w:t>
      </w:r>
      <w:r>
        <w:rPr>
          <w:spacing w:val="-10"/>
        </w:rPr>
        <w:t xml:space="preserve"> </w:t>
      </w:r>
      <w:r>
        <w:t>derechos</w:t>
      </w:r>
      <w:r>
        <w:rPr>
          <w:spacing w:val="-13"/>
        </w:rPr>
        <w:t xml:space="preserve"> </w:t>
      </w:r>
      <w:r>
        <w:t>entre</w:t>
      </w:r>
      <w:r>
        <w:rPr>
          <w:spacing w:val="-11"/>
        </w:rPr>
        <w:t xml:space="preserve"> </w:t>
      </w:r>
      <w:r>
        <w:t>hombres</w:t>
      </w:r>
      <w:r>
        <w:rPr>
          <w:spacing w:val="-13"/>
        </w:rPr>
        <w:t xml:space="preserve"> </w:t>
      </w:r>
      <w:r>
        <w:t>y</w:t>
      </w:r>
      <w:r>
        <w:rPr>
          <w:spacing w:val="-13"/>
        </w:rPr>
        <w:t xml:space="preserve"> </w:t>
      </w:r>
      <w:r>
        <w:t>mujeres;</w:t>
      </w:r>
      <w:r>
        <w:rPr>
          <w:spacing w:val="-14"/>
        </w:rPr>
        <w:t xml:space="preserve"> </w:t>
      </w:r>
      <w:r>
        <w:t>también</w:t>
      </w:r>
      <w:r>
        <w:rPr>
          <w:spacing w:val="-13"/>
        </w:rPr>
        <w:t xml:space="preserve"> </w:t>
      </w:r>
      <w:r>
        <w:t>se reconocen</w:t>
      </w:r>
      <w:r>
        <w:rPr>
          <w:spacing w:val="-11"/>
        </w:rPr>
        <w:t xml:space="preserve"> </w:t>
      </w:r>
      <w:r>
        <w:t>las</w:t>
      </w:r>
      <w:r>
        <w:rPr>
          <w:spacing w:val="-10"/>
        </w:rPr>
        <w:t xml:space="preserve"> </w:t>
      </w:r>
      <w:r>
        <w:t>obligaciones</w:t>
      </w:r>
      <w:r>
        <w:rPr>
          <w:spacing w:val="-10"/>
        </w:rPr>
        <w:t xml:space="preserve"> </w:t>
      </w:r>
      <w:r>
        <w:t>estatales</w:t>
      </w:r>
      <w:r>
        <w:rPr>
          <w:spacing w:val="-10"/>
        </w:rPr>
        <w:t xml:space="preserve"> </w:t>
      </w:r>
      <w:r>
        <w:t>frente</w:t>
      </w:r>
      <w:r>
        <w:rPr>
          <w:spacing w:val="-9"/>
        </w:rPr>
        <w:t xml:space="preserve"> </w:t>
      </w:r>
      <w:r>
        <w:t>a</w:t>
      </w:r>
      <w:r>
        <w:rPr>
          <w:spacing w:val="-8"/>
        </w:rPr>
        <w:t xml:space="preserve"> </w:t>
      </w:r>
      <w:r>
        <w:t>los</w:t>
      </w:r>
      <w:r>
        <w:rPr>
          <w:spacing w:val="-8"/>
        </w:rPr>
        <w:t xml:space="preserve"> </w:t>
      </w:r>
      <w:r>
        <w:t>derechos</w:t>
      </w:r>
      <w:r>
        <w:rPr>
          <w:spacing w:val="-10"/>
        </w:rPr>
        <w:t xml:space="preserve"> </w:t>
      </w:r>
      <w:r>
        <w:t>de</w:t>
      </w:r>
      <w:r>
        <w:rPr>
          <w:spacing w:val="-9"/>
        </w:rPr>
        <w:t xml:space="preserve"> </w:t>
      </w:r>
      <w:r>
        <w:t>protección</w:t>
      </w:r>
      <w:r>
        <w:rPr>
          <w:spacing w:val="-11"/>
        </w:rPr>
        <w:t xml:space="preserve"> </w:t>
      </w:r>
      <w:r>
        <w:t>de las mujeres madres durante el periodo de gestación y posparto, la no discriminación de niños, niñas y adolescentes. Asimismo, el derecho de todas las personas a un nivel de vida adecuado que incluye alimentación, vivienda y vestido y la mejora de las condiciones de existencia, entendido como la superación de la pobreza. Puntualmente, se reconoce el derecho fundamental de toda persona a estar protegida contra el hambre, a participar en la vida cultural del país.</w:t>
      </w:r>
    </w:p>
    <w:p w14:paraId="13417DE2" w14:textId="77777777" w:rsidR="000E52B0" w:rsidRDefault="000E52B0">
      <w:pPr>
        <w:pStyle w:val="Textoindependiente"/>
        <w:ind w:left="0"/>
      </w:pPr>
    </w:p>
    <w:p w14:paraId="52870BE3" w14:textId="77777777" w:rsidR="000E52B0" w:rsidRDefault="00F60D74">
      <w:pPr>
        <w:pStyle w:val="Textoindependiente"/>
        <w:ind w:right="715"/>
        <w:jc w:val="both"/>
      </w:pPr>
      <w:r>
        <w:t>Respecto</w:t>
      </w:r>
      <w:r>
        <w:rPr>
          <w:spacing w:val="-6"/>
        </w:rPr>
        <w:t xml:space="preserve"> </w:t>
      </w:r>
      <w:r>
        <w:t>de</w:t>
      </w:r>
      <w:r>
        <w:rPr>
          <w:spacing w:val="-8"/>
        </w:rPr>
        <w:t xml:space="preserve"> </w:t>
      </w:r>
      <w:r>
        <w:t>estos</w:t>
      </w:r>
      <w:r>
        <w:rPr>
          <w:spacing w:val="-7"/>
        </w:rPr>
        <w:t xml:space="preserve"> </w:t>
      </w:r>
      <w:r>
        <w:t>dos</w:t>
      </w:r>
      <w:r>
        <w:rPr>
          <w:spacing w:val="-7"/>
        </w:rPr>
        <w:t xml:space="preserve"> </w:t>
      </w:r>
      <w:r>
        <w:t>mecanismos,</w:t>
      </w:r>
      <w:r>
        <w:rPr>
          <w:spacing w:val="-7"/>
        </w:rPr>
        <w:t xml:space="preserve"> </w:t>
      </w:r>
      <w:r>
        <w:t>el</w:t>
      </w:r>
      <w:r>
        <w:rPr>
          <w:spacing w:val="-7"/>
        </w:rPr>
        <w:t xml:space="preserve"> </w:t>
      </w:r>
      <w:r>
        <w:t>Ministerio</w:t>
      </w:r>
      <w:r>
        <w:rPr>
          <w:spacing w:val="-6"/>
        </w:rPr>
        <w:t xml:space="preserve"> </w:t>
      </w:r>
      <w:r>
        <w:t>de</w:t>
      </w:r>
      <w:r>
        <w:rPr>
          <w:spacing w:val="-5"/>
        </w:rPr>
        <w:t xml:space="preserve"> </w:t>
      </w:r>
      <w:r>
        <w:t>Igualdad</w:t>
      </w:r>
      <w:r>
        <w:rPr>
          <w:spacing w:val="-7"/>
        </w:rPr>
        <w:t xml:space="preserve"> </w:t>
      </w:r>
      <w:r>
        <w:t>y</w:t>
      </w:r>
      <w:r>
        <w:rPr>
          <w:spacing w:val="-7"/>
        </w:rPr>
        <w:t xml:space="preserve"> </w:t>
      </w:r>
      <w:r>
        <w:t>Equidad</w:t>
      </w:r>
      <w:r>
        <w:rPr>
          <w:spacing w:val="-7"/>
        </w:rPr>
        <w:t xml:space="preserve"> </w:t>
      </w:r>
      <w:r>
        <w:t>en el año 2024 ha sido el responsable institucional frente al Comité de Seguimiento</w:t>
      </w:r>
      <w:r>
        <w:rPr>
          <w:spacing w:val="-17"/>
        </w:rPr>
        <w:t xml:space="preserve"> </w:t>
      </w:r>
      <w:r>
        <w:t>al</w:t>
      </w:r>
      <w:r>
        <w:rPr>
          <w:spacing w:val="-16"/>
        </w:rPr>
        <w:t xml:space="preserve"> </w:t>
      </w:r>
      <w:r>
        <w:t>Pacto</w:t>
      </w:r>
      <w:r>
        <w:rPr>
          <w:spacing w:val="-17"/>
        </w:rPr>
        <w:t xml:space="preserve"> </w:t>
      </w:r>
      <w:r>
        <w:t>DESC</w:t>
      </w:r>
      <w:r>
        <w:rPr>
          <w:spacing w:val="-17"/>
        </w:rPr>
        <w:t xml:space="preserve"> </w:t>
      </w:r>
      <w:r>
        <w:t>en</w:t>
      </w:r>
      <w:r>
        <w:rPr>
          <w:spacing w:val="-16"/>
        </w:rPr>
        <w:t xml:space="preserve"> </w:t>
      </w:r>
      <w:r>
        <w:t>la</w:t>
      </w:r>
      <w:r>
        <w:rPr>
          <w:spacing w:val="-16"/>
        </w:rPr>
        <w:t xml:space="preserve"> </w:t>
      </w:r>
      <w:r>
        <w:t>presentación</w:t>
      </w:r>
      <w:r>
        <w:rPr>
          <w:spacing w:val="-16"/>
        </w:rPr>
        <w:t xml:space="preserve"> </w:t>
      </w:r>
      <w:r>
        <w:t>de</w:t>
      </w:r>
      <w:r>
        <w:rPr>
          <w:spacing w:val="-14"/>
        </w:rPr>
        <w:t xml:space="preserve"> </w:t>
      </w:r>
      <w:r>
        <w:t>informes</w:t>
      </w:r>
      <w:r>
        <w:rPr>
          <w:spacing w:val="-18"/>
        </w:rPr>
        <w:t xml:space="preserve"> </w:t>
      </w:r>
      <w:r>
        <w:t>periódicos</w:t>
      </w:r>
      <w:r>
        <w:rPr>
          <w:spacing w:val="-18"/>
        </w:rPr>
        <w:t xml:space="preserve"> </w:t>
      </w:r>
      <w:r>
        <w:t xml:space="preserve">sobre los compromisos adquiridos por la equidad de oportunidades para pueblos indígenas y comunidades negras, afros, raizales, palenqueras y </w:t>
      </w:r>
      <w:proofErr w:type="spellStart"/>
      <w:r>
        <w:t>Rrom</w:t>
      </w:r>
      <w:proofErr w:type="spellEnd"/>
      <w:r>
        <w:t>; el impacto de las medidas legislativas, administrativas y de política públicas adoptadas para reducir las disparidades en el disfrute de los derechos del Pacto a nivel regional; entre las zonas urbanas y rurales, y en particular, en relación con la disponibilidad de servicios públicos, particularmente el acceso</w:t>
      </w:r>
      <w:r>
        <w:rPr>
          <w:spacing w:val="-22"/>
        </w:rPr>
        <w:t xml:space="preserve"> </w:t>
      </w:r>
      <w:r>
        <w:t>al</w:t>
      </w:r>
      <w:r>
        <w:rPr>
          <w:spacing w:val="-21"/>
        </w:rPr>
        <w:t xml:space="preserve"> </w:t>
      </w:r>
      <w:r>
        <w:t>agua</w:t>
      </w:r>
      <w:r>
        <w:rPr>
          <w:spacing w:val="-21"/>
        </w:rPr>
        <w:t xml:space="preserve"> </w:t>
      </w:r>
      <w:r>
        <w:t>potable;</w:t>
      </w:r>
      <w:r>
        <w:rPr>
          <w:spacing w:val="-21"/>
        </w:rPr>
        <w:t xml:space="preserve"> </w:t>
      </w:r>
      <w:r>
        <w:t>las</w:t>
      </w:r>
      <w:r>
        <w:rPr>
          <w:spacing w:val="-21"/>
        </w:rPr>
        <w:t xml:space="preserve"> </w:t>
      </w:r>
      <w:r>
        <w:t>recomendaciones</w:t>
      </w:r>
      <w:r>
        <w:rPr>
          <w:spacing w:val="-21"/>
        </w:rPr>
        <w:t xml:space="preserve"> </w:t>
      </w:r>
      <w:r>
        <w:t>del</w:t>
      </w:r>
      <w:r>
        <w:rPr>
          <w:spacing w:val="-21"/>
        </w:rPr>
        <w:t xml:space="preserve"> </w:t>
      </w:r>
      <w:r>
        <w:t>Comité</w:t>
      </w:r>
      <w:r>
        <w:rPr>
          <w:spacing w:val="-21"/>
        </w:rPr>
        <w:t xml:space="preserve"> </w:t>
      </w:r>
      <w:r>
        <w:t>para</w:t>
      </w:r>
      <w:r>
        <w:rPr>
          <w:spacing w:val="-21"/>
        </w:rPr>
        <w:t xml:space="preserve"> </w:t>
      </w:r>
      <w:r>
        <w:t>la</w:t>
      </w:r>
      <w:r>
        <w:rPr>
          <w:spacing w:val="-21"/>
        </w:rPr>
        <w:t xml:space="preserve"> </w:t>
      </w:r>
      <w:r>
        <w:t>Eliminación de la Discriminación Racial, igualdad de género y los avances en los sistemas de cuidado que redistribuya los cuidados entre los hombres y las mujeres y entre el Estado, el sector privado y la familia.</w:t>
      </w:r>
    </w:p>
    <w:p w14:paraId="21DFD391" w14:textId="77777777" w:rsidR="000E52B0" w:rsidRDefault="00F60D74">
      <w:pPr>
        <w:pStyle w:val="Textoindependiente"/>
        <w:spacing w:before="291"/>
        <w:ind w:right="716"/>
        <w:jc w:val="both"/>
      </w:pPr>
      <w:r>
        <w:t>En</w:t>
      </w:r>
      <w:r>
        <w:rPr>
          <w:spacing w:val="-16"/>
        </w:rPr>
        <w:t xml:space="preserve"> </w:t>
      </w:r>
      <w:r>
        <w:t>el</w:t>
      </w:r>
      <w:r>
        <w:rPr>
          <w:spacing w:val="-16"/>
        </w:rPr>
        <w:t xml:space="preserve"> </w:t>
      </w:r>
      <w:r>
        <w:t>marco</w:t>
      </w:r>
      <w:r>
        <w:rPr>
          <w:spacing w:val="-14"/>
        </w:rPr>
        <w:t xml:space="preserve"> </w:t>
      </w:r>
      <w:r>
        <w:t>regional,</w:t>
      </w:r>
      <w:r>
        <w:rPr>
          <w:spacing w:val="-16"/>
        </w:rPr>
        <w:t xml:space="preserve"> </w:t>
      </w:r>
      <w:r>
        <w:t>Colombia</w:t>
      </w:r>
      <w:r>
        <w:rPr>
          <w:spacing w:val="-14"/>
        </w:rPr>
        <w:t xml:space="preserve"> </w:t>
      </w:r>
      <w:r>
        <w:t>tiene</w:t>
      </w:r>
      <w:r>
        <w:rPr>
          <w:spacing w:val="-14"/>
        </w:rPr>
        <w:t xml:space="preserve"> </w:t>
      </w:r>
      <w:r>
        <w:t>obligación</w:t>
      </w:r>
      <w:r>
        <w:rPr>
          <w:spacing w:val="-16"/>
        </w:rPr>
        <w:t xml:space="preserve"> </w:t>
      </w:r>
      <w:r>
        <w:t>en</w:t>
      </w:r>
      <w:r>
        <w:rPr>
          <w:spacing w:val="-16"/>
        </w:rPr>
        <w:t xml:space="preserve"> </w:t>
      </w:r>
      <w:r>
        <w:t>el</w:t>
      </w:r>
      <w:r>
        <w:rPr>
          <w:spacing w:val="-16"/>
        </w:rPr>
        <w:t xml:space="preserve"> </w:t>
      </w:r>
      <w:r>
        <w:t>respeto</w:t>
      </w:r>
      <w:r>
        <w:rPr>
          <w:spacing w:val="-14"/>
        </w:rPr>
        <w:t xml:space="preserve"> </w:t>
      </w:r>
      <w:r>
        <w:t>y</w:t>
      </w:r>
      <w:r>
        <w:rPr>
          <w:spacing w:val="-15"/>
        </w:rPr>
        <w:t xml:space="preserve"> </w:t>
      </w:r>
      <w:r>
        <w:t>a</w:t>
      </w:r>
      <w:r>
        <w:rPr>
          <w:spacing w:val="-15"/>
        </w:rPr>
        <w:t xml:space="preserve"> </w:t>
      </w:r>
      <w:r>
        <w:t>garantizar el libre y pleno ejercicio de lo consignado en la Convención Americana de Derechos Humanos “Pacto de San José”. En relación con el mandato del Ministerio de Igualdad y Equidad, se ordena que el Estado tome medidas apropiadas para asegurar la igualdad de derechos de los cónyuges en cuanto al matrimonio. Sobre los derechos asociados a la migración, en el artículo 22 se menciona que toda persona tiene el derecho de buscar y solicitar asilo, se prohíbe la expulsión de extranjeros que se hallen de manera regular en el</w:t>
      </w:r>
      <w:r>
        <w:rPr>
          <w:spacing w:val="-2"/>
        </w:rPr>
        <w:t xml:space="preserve"> </w:t>
      </w:r>
      <w:r>
        <w:t>país.</w:t>
      </w:r>
      <w:r>
        <w:rPr>
          <w:spacing w:val="-2"/>
        </w:rPr>
        <w:t xml:space="preserve"> </w:t>
      </w:r>
      <w:r>
        <w:t>Centralmente,</w:t>
      </w:r>
      <w:r>
        <w:rPr>
          <w:spacing w:val="-2"/>
        </w:rPr>
        <w:t xml:space="preserve"> </w:t>
      </w:r>
      <w:r>
        <w:t>se instituye el</w:t>
      </w:r>
      <w:r>
        <w:rPr>
          <w:spacing w:val="-2"/>
        </w:rPr>
        <w:t xml:space="preserve"> </w:t>
      </w:r>
      <w:r>
        <w:t>derecho a</w:t>
      </w:r>
      <w:r>
        <w:rPr>
          <w:spacing w:val="-1"/>
        </w:rPr>
        <w:t xml:space="preserve"> </w:t>
      </w:r>
      <w:r>
        <w:t>la</w:t>
      </w:r>
      <w:r>
        <w:rPr>
          <w:spacing w:val="-1"/>
        </w:rPr>
        <w:t xml:space="preserve"> </w:t>
      </w:r>
      <w:r>
        <w:t>igual protección por parte de la ley sin ningún tipo de discriminación.</w:t>
      </w:r>
    </w:p>
    <w:p w14:paraId="22C41BD2" w14:textId="77777777" w:rsidR="000E52B0" w:rsidRDefault="000E52B0">
      <w:pPr>
        <w:pStyle w:val="Textoindependiente"/>
        <w:spacing w:before="1"/>
        <w:ind w:left="0"/>
      </w:pPr>
    </w:p>
    <w:p w14:paraId="586C1F54" w14:textId="77777777" w:rsidR="000E52B0" w:rsidRDefault="00F60D74">
      <w:pPr>
        <w:pStyle w:val="Textoindependiente"/>
        <w:ind w:right="716"/>
        <w:jc w:val="both"/>
      </w:pPr>
      <w:r>
        <w:t>Adicionalmente, la Carta de la Organización de los Estados Americanos recoge la voluntad de los Estados, incluido el colombiano, en aunar esfuerzos para el desarrollo integral de sus pueblos en los campos económico, social, cultural y tecnológico, y teniendo como objetivo la incorporación</w:t>
      </w:r>
      <w:r>
        <w:rPr>
          <w:spacing w:val="-21"/>
        </w:rPr>
        <w:t xml:space="preserve"> </w:t>
      </w:r>
      <w:r>
        <w:t>y</w:t>
      </w:r>
      <w:r>
        <w:rPr>
          <w:spacing w:val="-20"/>
        </w:rPr>
        <w:t xml:space="preserve"> </w:t>
      </w:r>
      <w:r>
        <w:t>creciente</w:t>
      </w:r>
      <w:r>
        <w:rPr>
          <w:spacing w:val="-19"/>
        </w:rPr>
        <w:t xml:space="preserve"> </w:t>
      </w:r>
      <w:r>
        <w:t>participación</w:t>
      </w:r>
      <w:r>
        <w:rPr>
          <w:spacing w:val="-20"/>
        </w:rPr>
        <w:t xml:space="preserve"> </w:t>
      </w:r>
      <w:r>
        <w:t>de</w:t>
      </w:r>
      <w:r>
        <w:rPr>
          <w:spacing w:val="-20"/>
        </w:rPr>
        <w:t xml:space="preserve"> </w:t>
      </w:r>
      <w:r>
        <w:t>los</w:t>
      </w:r>
      <w:r>
        <w:rPr>
          <w:spacing w:val="-20"/>
        </w:rPr>
        <w:t xml:space="preserve"> </w:t>
      </w:r>
      <w:r>
        <w:t>sectores</w:t>
      </w:r>
      <w:r>
        <w:rPr>
          <w:spacing w:val="-20"/>
        </w:rPr>
        <w:t xml:space="preserve"> </w:t>
      </w:r>
      <w:r>
        <w:t>marginales</w:t>
      </w:r>
      <w:r>
        <w:rPr>
          <w:spacing w:val="-20"/>
        </w:rPr>
        <w:t xml:space="preserve"> </w:t>
      </w:r>
      <w:r>
        <w:t>en</w:t>
      </w:r>
      <w:r>
        <w:rPr>
          <w:spacing w:val="-20"/>
        </w:rPr>
        <w:t xml:space="preserve"> </w:t>
      </w:r>
      <w:r>
        <w:t>la</w:t>
      </w:r>
      <w:r>
        <w:rPr>
          <w:spacing w:val="-20"/>
        </w:rPr>
        <w:t xml:space="preserve"> </w:t>
      </w:r>
      <w:r>
        <w:rPr>
          <w:spacing w:val="-4"/>
        </w:rPr>
        <w:t>vida</w:t>
      </w:r>
    </w:p>
    <w:p w14:paraId="46FAC3C4" w14:textId="77777777" w:rsidR="000E52B0" w:rsidRDefault="000E52B0">
      <w:pPr>
        <w:pStyle w:val="Textoindependiente"/>
        <w:jc w:val="both"/>
        <w:sectPr w:rsidR="000E52B0">
          <w:pgSz w:w="11910" w:h="16840"/>
          <w:pgMar w:top="1340" w:right="720" w:bottom="1180" w:left="720" w:header="0" w:footer="995" w:gutter="0"/>
          <w:cols w:space="720"/>
        </w:sectPr>
      </w:pPr>
    </w:p>
    <w:p w14:paraId="1D34FF69" w14:textId="76BBF4CD" w:rsidR="000E52B0" w:rsidRDefault="00F60D74">
      <w:pPr>
        <w:pStyle w:val="Textoindependiente"/>
        <w:spacing w:before="83"/>
        <w:ind w:right="716"/>
        <w:jc w:val="both"/>
      </w:pPr>
      <w:r>
        <w:lastRenderedPageBreak/>
        <w:t>económica, social, cívica, cultural y política de la nación, a fin de lograr el aceleramiento del proceso de movilidad social y la consolidación del régimen democrático; de esta manera, la igualdad de oportunidades, la eliminación de la pobreza crítica y la distribución equitativa de la riqueza son objetivos del desarrollo integral. Derivada de estas obligaciones internacionales se deben alcanzar, entre otras, las siguientes metas: i. modernización</w:t>
      </w:r>
      <w:r>
        <w:rPr>
          <w:spacing w:val="-18"/>
        </w:rPr>
        <w:t xml:space="preserve"> </w:t>
      </w:r>
      <w:r>
        <w:t>de</w:t>
      </w:r>
      <w:r>
        <w:rPr>
          <w:spacing w:val="-17"/>
        </w:rPr>
        <w:t xml:space="preserve"> </w:t>
      </w:r>
      <w:r>
        <w:t>la</w:t>
      </w:r>
      <w:r>
        <w:rPr>
          <w:spacing w:val="-17"/>
        </w:rPr>
        <w:t xml:space="preserve"> </w:t>
      </w:r>
      <w:r>
        <w:t>vida</w:t>
      </w:r>
      <w:r>
        <w:rPr>
          <w:spacing w:val="-18"/>
        </w:rPr>
        <w:t xml:space="preserve"> </w:t>
      </w:r>
      <w:r>
        <w:t>rural,</w:t>
      </w:r>
      <w:r>
        <w:rPr>
          <w:spacing w:val="-17"/>
        </w:rPr>
        <w:t xml:space="preserve"> </w:t>
      </w:r>
      <w:r w:rsidR="00711074">
        <w:t>II</w:t>
      </w:r>
      <w:r>
        <w:t>.</w:t>
      </w:r>
      <w:r>
        <w:rPr>
          <w:spacing w:val="-19"/>
        </w:rPr>
        <w:t xml:space="preserve"> </w:t>
      </w:r>
      <w:r>
        <w:t>diversificación</w:t>
      </w:r>
      <w:r>
        <w:rPr>
          <w:spacing w:val="-17"/>
        </w:rPr>
        <w:t xml:space="preserve"> </w:t>
      </w:r>
      <w:r>
        <w:t>de</w:t>
      </w:r>
      <w:r>
        <w:rPr>
          <w:spacing w:val="-17"/>
        </w:rPr>
        <w:t xml:space="preserve"> </w:t>
      </w:r>
      <w:r>
        <w:t>la</w:t>
      </w:r>
      <w:r>
        <w:rPr>
          <w:spacing w:val="-19"/>
        </w:rPr>
        <w:t xml:space="preserve"> </w:t>
      </w:r>
      <w:r>
        <w:t>producción</w:t>
      </w:r>
      <w:r>
        <w:rPr>
          <w:spacing w:val="-19"/>
        </w:rPr>
        <w:t xml:space="preserve"> </w:t>
      </w:r>
      <w:r>
        <w:t>y</w:t>
      </w:r>
      <w:r>
        <w:rPr>
          <w:spacing w:val="-19"/>
        </w:rPr>
        <w:t xml:space="preserve"> </w:t>
      </w:r>
      <w:r>
        <w:t xml:space="preserve">mejores sistemas para la industrialización y comercialización de productos agrícolas; </w:t>
      </w:r>
      <w:r w:rsidR="00711074">
        <w:t>III</w:t>
      </w:r>
      <w:r>
        <w:t>. nutrición adecuada, particularmente por medio de la aceleración de los esfuerzos nacionales para incrementar la producción y disponibilidad</w:t>
      </w:r>
      <w:r>
        <w:rPr>
          <w:spacing w:val="-11"/>
        </w:rPr>
        <w:t xml:space="preserve"> </w:t>
      </w:r>
      <w:r>
        <w:t>de</w:t>
      </w:r>
      <w:r>
        <w:rPr>
          <w:spacing w:val="-9"/>
        </w:rPr>
        <w:t xml:space="preserve"> </w:t>
      </w:r>
      <w:r>
        <w:t>alimentos</w:t>
      </w:r>
      <w:r>
        <w:rPr>
          <w:spacing w:val="-10"/>
        </w:rPr>
        <w:t xml:space="preserve"> </w:t>
      </w:r>
      <w:r>
        <w:t>y</w:t>
      </w:r>
      <w:r>
        <w:rPr>
          <w:spacing w:val="-10"/>
        </w:rPr>
        <w:t xml:space="preserve"> </w:t>
      </w:r>
      <w:r w:rsidR="00711074">
        <w:t>IV</w:t>
      </w:r>
      <w:r>
        <w:t>.</w:t>
      </w:r>
      <w:r>
        <w:rPr>
          <w:spacing w:val="-9"/>
        </w:rPr>
        <w:t xml:space="preserve"> </w:t>
      </w:r>
      <w:r>
        <w:t>vivienda</w:t>
      </w:r>
      <w:r>
        <w:rPr>
          <w:spacing w:val="-10"/>
        </w:rPr>
        <w:t xml:space="preserve"> </w:t>
      </w:r>
      <w:r>
        <w:t>adecuada</w:t>
      </w:r>
      <w:r>
        <w:rPr>
          <w:spacing w:val="-10"/>
        </w:rPr>
        <w:t xml:space="preserve"> </w:t>
      </w:r>
      <w:r>
        <w:t>para</w:t>
      </w:r>
      <w:r>
        <w:rPr>
          <w:spacing w:val="-9"/>
        </w:rPr>
        <w:t xml:space="preserve"> </w:t>
      </w:r>
      <w:r>
        <w:t>todos</w:t>
      </w:r>
      <w:r>
        <w:rPr>
          <w:spacing w:val="-10"/>
        </w:rPr>
        <w:t xml:space="preserve"> </w:t>
      </w:r>
      <w:r>
        <w:t>los</w:t>
      </w:r>
      <w:r>
        <w:rPr>
          <w:spacing w:val="-10"/>
        </w:rPr>
        <w:t xml:space="preserve"> </w:t>
      </w:r>
      <w:r>
        <w:t>sectores de la población.</w:t>
      </w:r>
    </w:p>
    <w:p w14:paraId="15372462" w14:textId="77777777" w:rsidR="000E52B0" w:rsidRDefault="00F60D74">
      <w:pPr>
        <w:pStyle w:val="Textoindependiente"/>
        <w:spacing w:before="290"/>
        <w:ind w:right="718"/>
        <w:jc w:val="both"/>
      </w:pPr>
      <w:r>
        <w:t>Cabe señalar que el Ministerio de Igualdad y Equidad ha presentado respuesta a las observaciones hechas por la Comisión Interamericana de Derechos</w:t>
      </w:r>
      <w:r>
        <w:rPr>
          <w:spacing w:val="-11"/>
        </w:rPr>
        <w:t xml:space="preserve"> </w:t>
      </w:r>
      <w:r>
        <w:t>Humanos,</w:t>
      </w:r>
      <w:r>
        <w:rPr>
          <w:spacing w:val="-12"/>
        </w:rPr>
        <w:t xml:space="preserve"> </w:t>
      </w:r>
      <w:r>
        <w:t>en</w:t>
      </w:r>
      <w:r>
        <w:rPr>
          <w:spacing w:val="-12"/>
        </w:rPr>
        <w:t xml:space="preserve"> </w:t>
      </w:r>
      <w:r>
        <w:t>su</w:t>
      </w:r>
      <w:r>
        <w:rPr>
          <w:spacing w:val="-12"/>
        </w:rPr>
        <w:t xml:space="preserve"> </w:t>
      </w:r>
      <w:r>
        <w:t>visita</w:t>
      </w:r>
      <w:r>
        <w:rPr>
          <w:spacing w:val="-11"/>
        </w:rPr>
        <w:t xml:space="preserve"> </w:t>
      </w:r>
      <w:r>
        <w:t>in</w:t>
      </w:r>
      <w:r>
        <w:rPr>
          <w:spacing w:val="-12"/>
        </w:rPr>
        <w:t xml:space="preserve"> </w:t>
      </w:r>
      <w:r>
        <w:t>loco</w:t>
      </w:r>
      <w:r>
        <w:rPr>
          <w:spacing w:val="-9"/>
        </w:rPr>
        <w:t xml:space="preserve"> </w:t>
      </w:r>
      <w:r>
        <w:t>de</w:t>
      </w:r>
      <w:r>
        <w:rPr>
          <w:spacing w:val="-11"/>
        </w:rPr>
        <w:t xml:space="preserve"> </w:t>
      </w:r>
      <w:r>
        <w:t>abril</w:t>
      </w:r>
      <w:r>
        <w:rPr>
          <w:spacing w:val="-12"/>
        </w:rPr>
        <w:t xml:space="preserve"> </w:t>
      </w:r>
      <w:r>
        <w:t>de</w:t>
      </w:r>
      <w:r>
        <w:rPr>
          <w:spacing w:val="-11"/>
        </w:rPr>
        <w:t xml:space="preserve"> </w:t>
      </w:r>
      <w:r>
        <w:t>2024,</w:t>
      </w:r>
      <w:r>
        <w:rPr>
          <w:spacing w:val="-12"/>
        </w:rPr>
        <w:t xml:space="preserve"> </w:t>
      </w:r>
      <w:r>
        <w:t>sobre</w:t>
      </w:r>
      <w:r>
        <w:rPr>
          <w:spacing w:val="-11"/>
        </w:rPr>
        <w:t xml:space="preserve"> </w:t>
      </w:r>
      <w:r>
        <w:t>los</w:t>
      </w:r>
      <w:r>
        <w:rPr>
          <w:spacing w:val="-11"/>
        </w:rPr>
        <w:t xml:space="preserve"> </w:t>
      </w:r>
      <w:r>
        <w:t>avances contra la discriminación a los pueblos indígenas, comunidades negras, afrocolombianas,</w:t>
      </w:r>
      <w:r>
        <w:rPr>
          <w:spacing w:val="-22"/>
        </w:rPr>
        <w:t xml:space="preserve"> </w:t>
      </w:r>
      <w:r>
        <w:t>raizales</w:t>
      </w:r>
      <w:r>
        <w:rPr>
          <w:spacing w:val="-21"/>
        </w:rPr>
        <w:t xml:space="preserve"> </w:t>
      </w:r>
      <w:r>
        <w:t>y</w:t>
      </w:r>
      <w:r>
        <w:rPr>
          <w:spacing w:val="-21"/>
        </w:rPr>
        <w:t xml:space="preserve"> </w:t>
      </w:r>
      <w:r>
        <w:t>palenqueras;</w:t>
      </w:r>
      <w:r>
        <w:rPr>
          <w:spacing w:val="-21"/>
        </w:rPr>
        <w:t xml:space="preserve"> </w:t>
      </w:r>
      <w:r>
        <w:t>adolescentes,</w:t>
      </w:r>
      <w:r>
        <w:rPr>
          <w:spacing w:val="-21"/>
        </w:rPr>
        <w:t xml:space="preserve"> </w:t>
      </w:r>
      <w:r>
        <w:t>mujeres</w:t>
      </w:r>
      <w:r>
        <w:rPr>
          <w:spacing w:val="-21"/>
        </w:rPr>
        <w:t xml:space="preserve"> </w:t>
      </w:r>
      <w:r>
        <w:t>y</w:t>
      </w:r>
      <w:r>
        <w:rPr>
          <w:spacing w:val="-21"/>
        </w:rPr>
        <w:t xml:space="preserve"> </w:t>
      </w:r>
      <w:r>
        <w:t xml:space="preserve">personas de los sectores LGBTIQ+, personas en movilidad humana, personas con discapacidad y, finalmente, los avances para combatir la pobreza y la </w:t>
      </w:r>
      <w:r>
        <w:rPr>
          <w:spacing w:val="-2"/>
        </w:rPr>
        <w:t>desigualdad.</w:t>
      </w:r>
    </w:p>
    <w:p w14:paraId="7F7B70C8" w14:textId="77777777" w:rsidR="000E52B0" w:rsidRDefault="000E52B0">
      <w:pPr>
        <w:pStyle w:val="Textoindependiente"/>
        <w:ind w:left="0"/>
      </w:pPr>
    </w:p>
    <w:p w14:paraId="3DA296CD" w14:textId="77777777" w:rsidR="000E52B0" w:rsidRDefault="00F60D74">
      <w:pPr>
        <w:pStyle w:val="Textoindependiente"/>
        <w:ind w:right="721"/>
        <w:jc w:val="both"/>
      </w:pPr>
      <w:r>
        <w:t>Igualmente, en marzo del año 2024, como responsable institucional del Programa Nacional de Cuidado, se presentó en audiencia de opinión consultiva ante la Corte Interamericana de Derechos Humanos la posición del</w:t>
      </w:r>
      <w:r>
        <w:rPr>
          <w:spacing w:val="-4"/>
        </w:rPr>
        <w:t xml:space="preserve"> </w:t>
      </w:r>
      <w:r>
        <w:t>Estado</w:t>
      </w:r>
      <w:r>
        <w:rPr>
          <w:spacing w:val="-2"/>
        </w:rPr>
        <w:t xml:space="preserve"> </w:t>
      </w:r>
      <w:r>
        <w:t>Colombiano</w:t>
      </w:r>
      <w:r>
        <w:rPr>
          <w:spacing w:val="-2"/>
        </w:rPr>
        <w:t xml:space="preserve"> </w:t>
      </w:r>
      <w:r>
        <w:t>de</w:t>
      </w:r>
      <w:r>
        <w:rPr>
          <w:spacing w:val="-2"/>
        </w:rPr>
        <w:t xml:space="preserve"> </w:t>
      </w:r>
      <w:r>
        <w:t>considerar</w:t>
      </w:r>
      <w:r>
        <w:rPr>
          <w:spacing w:val="-2"/>
        </w:rPr>
        <w:t xml:space="preserve"> </w:t>
      </w:r>
      <w:r>
        <w:t>el</w:t>
      </w:r>
      <w:r>
        <w:rPr>
          <w:spacing w:val="-4"/>
        </w:rPr>
        <w:t xml:space="preserve"> </w:t>
      </w:r>
      <w:r>
        <w:t>cuidado</w:t>
      </w:r>
      <w:r>
        <w:rPr>
          <w:spacing w:val="-2"/>
        </w:rPr>
        <w:t xml:space="preserve"> </w:t>
      </w:r>
      <w:r>
        <w:t>como</w:t>
      </w:r>
      <w:r>
        <w:rPr>
          <w:spacing w:val="-2"/>
        </w:rPr>
        <w:t xml:space="preserve"> </w:t>
      </w:r>
      <w:r>
        <w:t>un</w:t>
      </w:r>
      <w:r>
        <w:rPr>
          <w:spacing w:val="-3"/>
        </w:rPr>
        <w:t xml:space="preserve"> </w:t>
      </w:r>
      <w:r>
        <w:t>derecho</w:t>
      </w:r>
      <w:r>
        <w:rPr>
          <w:spacing w:val="-2"/>
        </w:rPr>
        <w:t xml:space="preserve"> </w:t>
      </w:r>
      <w:r>
        <w:t>humano en América, allí se resaltó el avance institucional y legal del Sistema Nacional de Cuidado en favor de los derechos de las personas cuidadoras, de las personas que requieren cuidado y la equidad de género.</w:t>
      </w:r>
    </w:p>
    <w:p w14:paraId="218010EA" w14:textId="77777777" w:rsidR="000E52B0" w:rsidRDefault="000E52B0">
      <w:pPr>
        <w:pStyle w:val="Textoindependiente"/>
        <w:spacing w:before="2"/>
        <w:ind w:left="0"/>
      </w:pPr>
    </w:p>
    <w:p w14:paraId="49159DB3" w14:textId="77777777" w:rsidR="000E52B0" w:rsidRDefault="00F60D74">
      <w:pPr>
        <w:spacing w:before="1"/>
        <w:ind w:left="720" w:right="719"/>
        <w:jc w:val="both"/>
        <w:rPr>
          <w:sz w:val="24"/>
        </w:rPr>
      </w:pPr>
      <w:r>
        <w:rPr>
          <w:sz w:val="24"/>
        </w:rPr>
        <w:t xml:space="preserve">En este mismo sistema regional, el Ministerio de Igualdad y Equidad por medio de la Dirección para Personas Mayores presentó observaciones a la propuesta de proyecto de resolución titulado </w:t>
      </w:r>
      <w:r>
        <w:rPr>
          <w:i/>
          <w:sz w:val="24"/>
        </w:rPr>
        <w:t>"Examen de las Recomendaciones relativas a la identificación de posibles lagunas en la protección de los derechos humanos de las personas mayores y la mejor manera</w:t>
      </w:r>
      <w:r>
        <w:rPr>
          <w:i/>
          <w:spacing w:val="-10"/>
          <w:sz w:val="24"/>
        </w:rPr>
        <w:t xml:space="preserve"> </w:t>
      </w:r>
      <w:r>
        <w:rPr>
          <w:i/>
          <w:sz w:val="24"/>
        </w:rPr>
        <w:t>de</w:t>
      </w:r>
      <w:r>
        <w:rPr>
          <w:i/>
          <w:spacing w:val="-10"/>
          <w:sz w:val="24"/>
        </w:rPr>
        <w:t xml:space="preserve"> </w:t>
      </w:r>
      <w:r>
        <w:rPr>
          <w:i/>
          <w:sz w:val="24"/>
        </w:rPr>
        <w:t>afrontarlas"</w:t>
      </w:r>
      <w:r>
        <w:rPr>
          <w:i/>
          <w:spacing w:val="-9"/>
          <w:sz w:val="24"/>
        </w:rPr>
        <w:t xml:space="preserve"> </w:t>
      </w:r>
      <w:r>
        <w:rPr>
          <w:sz w:val="24"/>
        </w:rPr>
        <w:t>en</w:t>
      </w:r>
      <w:r>
        <w:rPr>
          <w:spacing w:val="-12"/>
          <w:sz w:val="24"/>
        </w:rPr>
        <w:t xml:space="preserve"> </w:t>
      </w:r>
      <w:r>
        <w:rPr>
          <w:sz w:val="24"/>
        </w:rPr>
        <w:t>el</w:t>
      </w:r>
      <w:r>
        <w:rPr>
          <w:spacing w:val="-12"/>
          <w:sz w:val="24"/>
        </w:rPr>
        <w:t xml:space="preserve"> </w:t>
      </w:r>
      <w:r>
        <w:rPr>
          <w:sz w:val="24"/>
        </w:rPr>
        <w:t>marco</w:t>
      </w:r>
      <w:r>
        <w:rPr>
          <w:spacing w:val="-10"/>
          <w:sz w:val="24"/>
        </w:rPr>
        <w:t xml:space="preserve"> </w:t>
      </w:r>
      <w:r>
        <w:rPr>
          <w:sz w:val="24"/>
        </w:rPr>
        <w:t>de</w:t>
      </w:r>
      <w:r>
        <w:rPr>
          <w:spacing w:val="-8"/>
          <w:sz w:val="24"/>
        </w:rPr>
        <w:t xml:space="preserve"> </w:t>
      </w:r>
      <w:r>
        <w:rPr>
          <w:sz w:val="24"/>
        </w:rPr>
        <w:t>la</w:t>
      </w:r>
      <w:r>
        <w:rPr>
          <w:spacing w:val="-11"/>
          <w:sz w:val="24"/>
        </w:rPr>
        <w:t xml:space="preserve"> </w:t>
      </w:r>
      <w:r>
        <w:rPr>
          <w:sz w:val="24"/>
        </w:rPr>
        <w:t>Convención</w:t>
      </w:r>
      <w:r>
        <w:rPr>
          <w:spacing w:val="-12"/>
          <w:sz w:val="24"/>
        </w:rPr>
        <w:t xml:space="preserve"> </w:t>
      </w:r>
      <w:r>
        <w:rPr>
          <w:sz w:val="24"/>
        </w:rPr>
        <w:t>interamericana</w:t>
      </w:r>
      <w:r>
        <w:rPr>
          <w:spacing w:val="-11"/>
          <w:sz w:val="24"/>
        </w:rPr>
        <w:t xml:space="preserve"> </w:t>
      </w:r>
      <w:r>
        <w:rPr>
          <w:sz w:val="24"/>
        </w:rPr>
        <w:t>sobre la protección de los derechos humanos de las Personas Mayores.</w:t>
      </w:r>
    </w:p>
    <w:p w14:paraId="5D4FBACF" w14:textId="77777777" w:rsidR="000E52B0" w:rsidRDefault="00F60D74">
      <w:pPr>
        <w:pStyle w:val="Textoindependiente"/>
        <w:spacing w:before="291"/>
        <w:ind w:right="721"/>
        <w:jc w:val="both"/>
      </w:pPr>
      <w:r>
        <w:t>A continuación, se presenta la relación sobre los instrumentos internacionales que sustentan la necesidad del Ministerio de Igualdad y Equidad como la más avanzada respuesta institucional de garantía progresiva de los derechos humanos.</w:t>
      </w:r>
    </w:p>
    <w:p w14:paraId="56BE8EC9" w14:textId="77777777" w:rsidR="000E52B0" w:rsidRDefault="000E52B0">
      <w:pPr>
        <w:pStyle w:val="Textoindependiente"/>
        <w:jc w:val="both"/>
        <w:sectPr w:rsidR="000E52B0">
          <w:pgSz w:w="11910" w:h="16840"/>
          <w:pgMar w:top="1340" w:right="720" w:bottom="1180" w:left="720" w:header="0" w:footer="995" w:gutter="0"/>
          <w:cols w:space="720"/>
        </w:sectPr>
      </w:pPr>
    </w:p>
    <w:tbl>
      <w:tblPr>
        <w:tblStyle w:val="TableNormal"/>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94"/>
        <w:gridCol w:w="3524"/>
        <w:gridCol w:w="3798"/>
      </w:tblGrid>
      <w:tr w:rsidR="000E52B0" w14:paraId="42C39392" w14:textId="77777777">
        <w:trPr>
          <w:trHeight w:val="1094"/>
        </w:trPr>
        <w:tc>
          <w:tcPr>
            <w:tcW w:w="1694" w:type="dxa"/>
            <w:shd w:val="clear" w:color="auto" w:fill="D44673"/>
          </w:tcPr>
          <w:p w14:paraId="67788AF6" w14:textId="77777777" w:rsidR="000E52B0" w:rsidRDefault="00F60D74">
            <w:pPr>
              <w:pStyle w:val="TableParagraph"/>
              <w:ind w:left="189" w:right="171" w:firstLine="4"/>
              <w:jc w:val="center"/>
              <w:rPr>
                <w:b/>
                <w:sz w:val="18"/>
              </w:rPr>
            </w:pPr>
            <w:r>
              <w:rPr>
                <w:b/>
                <w:color w:val="FFFFFF"/>
                <w:spacing w:val="-2"/>
                <w:sz w:val="18"/>
              </w:rPr>
              <w:lastRenderedPageBreak/>
              <w:t xml:space="preserve">Población </w:t>
            </w:r>
            <w:r>
              <w:rPr>
                <w:b/>
                <w:color w:val="FFFFFF"/>
                <w:sz w:val="18"/>
              </w:rPr>
              <w:t xml:space="preserve">Ámbito de </w:t>
            </w:r>
            <w:r>
              <w:rPr>
                <w:b/>
                <w:color w:val="FFFFFF"/>
                <w:spacing w:val="-2"/>
                <w:sz w:val="18"/>
              </w:rPr>
              <w:t xml:space="preserve">Competencia </w:t>
            </w:r>
            <w:r>
              <w:rPr>
                <w:b/>
                <w:color w:val="FFFFFF"/>
                <w:sz w:val="18"/>
              </w:rPr>
              <w:t>Ministerio</w:t>
            </w:r>
            <w:r>
              <w:rPr>
                <w:b/>
                <w:color w:val="FFFFFF"/>
                <w:spacing w:val="-4"/>
                <w:sz w:val="18"/>
              </w:rPr>
              <w:t xml:space="preserve"> </w:t>
            </w:r>
            <w:r>
              <w:rPr>
                <w:b/>
                <w:color w:val="FFFFFF"/>
                <w:spacing w:val="-5"/>
                <w:sz w:val="18"/>
              </w:rPr>
              <w:t>de</w:t>
            </w:r>
          </w:p>
          <w:p w14:paraId="1677E652" w14:textId="77777777" w:rsidR="000E52B0" w:rsidRDefault="00F60D74">
            <w:pPr>
              <w:pStyle w:val="TableParagraph"/>
              <w:spacing w:line="199" w:lineRule="exact"/>
              <w:ind w:left="99" w:right="82"/>
              <w:jc w:val="center"/>
              <w:rPr>
                <w:b/>
                <w:sz w:val="18"/>
              </w:rPr>
            </w:pPr>
            <w:r>
              <w:rPr>
                <w:b/>
                <w:color w:val="FFFFFF"/>
                <w:spacing w:val="-2"/>
                <w:sz w:val="18"/>
              </w:rPr>
              <w:t>Igualdad</w:t>
            </w:r>
          </w:p>
        </w:tc>
        <w:tc>
          <w:tcPr>
            <w:tcW w:w="3524" w:type="dxa"/>
            <w:shd w:val="clear" w:color="auto" w:fill="D44673"/>
          </w:tcPr>
          <w:p w14:paraId="10CBA14C" w14:textId="77777777" w:rsidR="000E52B0" w:rsidRDefault="000E52B0">
            <w:pPr>
              <w:pStyle w:val="TableParagraph"/>
              <w:rPr>
                <w:sz w:val="18"/>
              </w:rPr>
            </w:pPr>
          </w:p>
          <w:p w14:paraId="6EF79B5A" w14:textId="77777777" w:rsidR="000E52B0" w:rsidRDefault="000E52B0">
            <w:pPr>
              <w:pStyle w:val="TableParagraph"/>
              <w:rPr>
                <w:sz w:val="18"/>
              </w:rPr>
            </w:pPr>
          </w:p>
          <w:p w14:paraId="2C0FB51F" w14:textId="77777777" w:rsidR="000E52B0" w:rsidRDefault="00F60D74">
            <w:pPr>
              <w:pStyle w:val="TableParagraph"/>
              <w:ind w:left="408"/>
              <w:rPr>
                <w:b/>
                <w:sz w:val="18"/>
              </w:rPr>
            </w:pPr>
            <w:r>
              <w:rPr>
                <w:b/>
                <w:color w:val="FFFFFF"/>
                <w:sz w:val="18"/>
              </w:rPr>
              <w:t>Instrumento</w:t>
            </w:r>
            <w:r>
              <w:rPr>
                <w:b/>
                <w:color w:val="FFFFFF"/>
                <w:spacing w:val="-5"/>
                <w:sz w:val="18"/>
              </w:rPr>
              <w:t xml:space="preserve"> </w:t>
            </w:r>
            <w:r>
              <w:rPr>
                <w:b/>
                <w:color w:val="FFFFFF"/>
                <w:spacing w:val="-2"/>
                <w:sz w:val="18"/>
              </w:rPr>
              <w:t>Internacional</w:t>
            </w:r>
          </w:p>
        </w:tc>
        <w:tc>
          <w:tcPr>
            <w:tcW w:w="3798" w:type="dxa"/>
            <w:shd w:val="clear" w:color="auto" w:fill="D44673"/>
          </w:tcPr>
          <w:p w14:paraId="71A42F9D" w14:textId="77777777" w:rsidR="000E52B0" w:rsidRDefault="00F60D74">
            <w:pPr>
              <w:pStyle w:val="TableParagraph"/>
              <w:spacing w:before="109"/>
              <w:ind w:left="30" w:right="16"/>
              <w:jc w:val="center"/>
              <w:rPr>
                <w:b/>
                <w:sz w:val="18"/>
              </w:rPr>
            </w:pPr>
            <w:r>
              <w:rPr>
                <w:b/>
                <w:color w:val="FFFFFF"/>
                <w:sz w:val="18"/>
              </w:rPr>
              <w:t>Programa</w:t>
            </w:r>
            <w:r>
              <w:rPr>
                <w:b/>
                <w:color w:val="FFFFFF"/>
                <w:spacing w:val="-11"/>
                <w:sz w:val="18"/>
              </w:rPr>
              <w:t xml:space="preserve"> </w:t>
            </w:r>
            <w:r>
              <w:rPr>
                <w:b/>
                <w:color w:val="FFFFFF"/>
                <w:sz w:val="18"/>
              </w:rPr>
              <w:t>o</w:t>
            </w:r>
            <w:r>
              <w:rPr>
                <w:b/>
                <w:color w:val="FFFFFF"/>
                <w:spacing w:val="-10"/>
                <w:sz w:val="18"/>
              </w:rPr>
              <w:t xml:space="preserve"> </w:t>
            </w:r>
            <w:r>
              <w:rPr>
                <w:b/>
                <w:color w:val="FFFFFF"/>
                <w:sz w:val="18"/>
              </w:rPr>
              <w:t>Proyecto</w:t>
            </w:r>
            <w:r>
              <w:rPr>
                <w:b/>
                <w:color w:val="FFFFFF"/>
                <w:spacing w:val="-10"/>
                <w:sz w:val="18"/>
              </w:rPr>
              <w:t xml:space="preserve"> </w:t>
            </w:r>
            <w:r>
              <w:rPr>
                <w:b/>
                <w:color w:val="FFFFFF"/>
                <w:sz w:val="18"/>
              </w:rPr>
              <w:t>del</w:t>
            </w:r>
            <w:r>
              <w:rPr>
                <w:b/>
                <w:color w:val="FFFFFF"/>
                <w:spacing w:val="-10"/>
                <w:sz w:val="18"/>
              </w:rPr>
              <w:t xml:space="preserve"> </w:t>
            </w:r>
            <w:r>
              <w:rPr>
                <w:b/>
                <w:color w:val="FFFFFF"/>
                <w:sz w:val="18"/>
              </w:rPr>
              <w:t>Ministerio de Igualdad y Equidad que contribuye a materializar los instrumentos internacionales</w:t>
            </w:r>
          </w:p>
        </w:tc>
      </w:tr>
      <w:tr w:rsidR="000E52B0" w14:paraId="28CC0DA7" w14:textId="77777777">
        <w:trPr>
          <w:trHeight w:val="10325"/>
        </w:trPr>
        <w:tc>
          <w:tcPr>
            <w:tcW w:w="1694" w:type="dxa"/>
          </w:tcPr>
          <w:p w14:paraId="6401137D" w14:textId="77777777" w:rsidR="000E52B0" w:rsidRDefault="000E52B0">
            <w:pPr>
              <w:pStyle w:val="TableParagraph"/>
              <w:rPr>
                <w:sz w:val="18"/>
              </w:rPr>
            </w:pPr>
          </w:p>
          <w:p w14:paraId="18559F3E" w14:textId="77777777" w:rsidR="000E52B0" w:rsidRDefault="000E52B0">
            <w:pPr>
              <w:pStyle w:val="TableParagraph"/>
              <w:rPr>
                <w:sz w:val="18"/>
              </w:rPr>
            </w:pPr>
          </w:p>
          <w:p w14:paraId="27CAD887" w14:textId="77777777" w:rsidR="000E52B0" w:rsidRDefault="000E52B0">
            <w:pPr>
              <w:pStyle w:val="TableParagraph"/>
              <w:rPr>
                <w:sz w:val="18"/>
              </w:rPr>
            </w:pPr>
          </w:p>
          <w:p w14:paraId="2BE18611" w14:textId="77777777" w:rsidR="000E52B0" w:rsidRDefault="000E52B0">
            <w:pPr>
              <w:pStyle w:val="TableParagraph"/>
              <w:rPr>
                <w:sz w:val="18"/>
              </w:rPr>
            </w:pPr>
          </w:p>
          <w:p w14:paraId="05E0F78C" w14:textId="77777777" w:rsidR="000E52B0" w:rsidRDefault="000E52B0">
            <w:pPr>
              <w:pStyle w:val="TableParagraph"/>
              <w:rPr>
                <w:sz w:val="18"/>
              </w:rPr>
            </w:pPr>
          </w:p>
          <w:p w14:paraId="22856045" w14:textId="77777777" w:rsidR="000E52B0" w:rsidRDefault="000E52B0">
            <w:pPr>
              <w:pStyle w:val="TableParagraph"/>
              <w:rPr>
                <w:sz w:val="18"/>
              </w:rPr>
            </w:pPr>
          </w:p>
          <w:p w14:paraId="71CB098F" w14:textId="77777777" w:rsidR="000E52B0" w:rsidRDefault="000E52B0">
            <w:pPr>
              <w:pStyle w:val="TableParagraph"/>
              <w:rPr>
                <w:sz w:val="18"/>
              </w:rPr>
            </w:pPr>
          </w:p>
          <w:p w14:paraId="153AB2A1" w14:textId="77777777" w:rsidR="000E52B0" w:rsidRDefault="000E52B0">
            <w:pPr>
              <w:pStyle w:val="TableParagraph"/>
              <w:rPr>
                <w:sz w:val="18"/>
              </w:rPr>
            </w:pPr>
          </w:p>
          <w:p w14:paraId="07E391C0" w14:textId="77777777" w:rsidR="000E52B0" w:rsidRDefault="000E52B0">
            <w:pPr>
              <w:pStyle w:val="TableParagraph"/>
              <w:rPr>
                <w:sz w:val="18"/>
              </w:rPr>
            </w:pPr>
          </w:p>
          <w:p w14:paraId="405B1C43" w14:textId="77777777" w:rsidR="000E52B0" w:rsidRDefault="000E52B0">
            <w:pPr>
              <w:pStyle w:val="TableParagraph"/>
              <w:rPr>
                <w:sz w:val="18"/>
              </w:rPr>
            </w:pPr>
          </w:p>
          <w:p w14:paraId="025801F2" w14:textId="77777777" w:rsidR="000E52B0" w:rsidRDefault="000E52B0">
            <w:pPr>
              <w:pStyle w:val="TableParagraph"/>
              <w:rPr>
                <w:sz w:val="18"/>
              </w:rPr>
            </w:pPr>
          </w:p>
          <w:p w14:paraId="054F5EF5" w14:textId="77777777" w:rsidR="000E52B0" w:rsidRDefault="000E52B0">
            <w:pPr>
              <w:pStyle w:val="TableParagraph"/>
              <w:rPr>
                <w:sz w:val="18"/>
              </w:rPr>
            </w:pPr>
          </w:p>
          <w:p w14:paraId="50FA9FC4" w14:textId="77777777" w:rsidR="000E52B0" w:rsidRDefault="000E52B0">
            <w:pPr>
              <w:pStyle w:val="TableParagraph"/>
              <w:rPr>
                <w:sz w:val="18"/>
              </w:rPr>
            </w:pPr>
          </w:p>
          <w:p w14:paraId="39D00CF8" w14:textId="77777777" w:rsidR="000E52B0" w:rsidRDefault="000E52B0">
            <w:pPr>
              <w:pStyle w:val="TableParagraph"/>
              <w:rPr>
                <w:sz w:val="18"/>
              </w:rPr>
            </w:pPr>
          </w:p>
          <w:p w14:paraId="7D8E4A6D" w14:textId="77777777" w:rsidR="000E52B0" w:rsidRDefault="000E52B0">
            <w:pPr>
              <w:pStyle w:val="TableParagraph"/>
              <w:rPr>
                <w:sz w:val="18"/>
              </w:rPr>
            </w:pPr>
          </w:p>
          <w:p w14:paraId="56CA2A9D" w14:textId="77777777" w:rsidR="000E52B0" w:rsidRDefault="000E52B0">
            <w:pPr>
              <w:pStyle w:val="TableParagraph"/>
              <w:rPr>
                <w:sz w:val="18"/>
              </w:rPr>
            </w:pPr>
          </w:p>
          <w:p w14:paraId="24D19BFC" w14:textId="77777777" w:rsidR="000E52B0" w:rsidRDefault="000E52B0">
            <w:pPr>
              <w:pStyle w:val="TableParagraph"/>
              <w:rPr>
                <w:sz w:val="18"/>
              </w:rPr>
            </w:pPr>
          </w:p>
          <w:p w14:paraId="1859C8F3" w14:textId="77777777" w:rsidR="000E52B0" w:rsidRDefault="000E52B0">
            <w:pPr>
              <w:pStyle w:val="TableParagraph"/>
              <w:rPr>
                <w:sz w:val="18"/>
              </w:rPr>
            </w:pPr>
          </w:p>
          <w:p w14:paraId="477EC0CF" w14:textId="77777777" w:rsidR="000E52B0" w:rsidRDefault="000E52B0">
            <w:pPr>
              <w:pStyle w:val="TableParagraph"/>
              <w:rPr>
                <w:sz w:val="18"/>
              </w:rPr>
            </w:pPr>
          </w:p>
          <w:p w14:paraId="64B79752" w14:textId="77777777" w:rsidR="000E52B0" w:rsidRDefault="000E52B0">
            <w:pPr>
              <w:pStyle w:val="TableParagraph"/>
              <w:rPr>
                <w:sz w:val="18"/>
              </w:rPr>
            </w:pPr>
          </w:p>
          <w:p w14:paraId="7235019F" w14:textId="77777777" w:rsidR="000E52B0" w:rsidRDefault="000E52B0">
            <w:pPr>
              <w:pStyle w:val="TableParagraph"/>
              <w:rPr>
                <w:sz w:val="18"/>
              </w:rPr>
            </w:pPr>
          </w:p>
          <w:p w14:paraId="768C32FC" w14:textId="77777777" w:rsidR="000E52B0" w:rsidRDefault="000E52B0">
            <w:pPr>
              <w:pStyle w:val="TableParagraph"/>
              <w:spacing w:before="22"/>
              <w:rPr>
                <w:sz w:val="18"/>
              </w:rPr>
            </w:pPr>
          </w:p>
          <w:p w14:paraId="7B8CE20F" w14:textId="77777777" w:rsidR="000E52B0" w:rsidRDefault="00F60D74">
            <w:pPr>
              <w:pStyle w:val="TableParagraph"/>
              <w:ind w:left="282" w:right="260" w:hanging="3"/>
              <w:jc w:val="center"/>
              <w:rPr>
                <w:sz w:val="18"/>
              </w:rPr>
            </w:pPr>
            <w:r>
              <w:rPr>
                <w:sz w:val="18"/>
              </w:rPr>
              <w:t xml:space="preserve">Mujeres en todas sus </w:t>
            </w:r>
            <w:r>
              <w:rPr>
                <w:spacing w:val="-2"/>
                <w:sz w:val="18"/>
              </w:rPr>
              <w:t>diversidades</w:t>
            </w:r>
          </w:p>
        </w:tc>
        <w:tc>
          <w:tcPr>
            <w:tcW w:w="3524" w:type="dxa"/>
          </w:tcPr>
          <w:p w14:paraId="66C944AB" w14:textId="77777777" w:rsidR="000E52B0" w:rsidRDefault="00F60D74">
            <w:pPr>
              <w:pStyle w:val="TableParagraph"/>
              <w:numPr>
                <w:ilvl w:val="0"/>
                <w:numId w:val="41"/>
              </w:numPr>
              <w:tabs>
                <w:tab w:val="left" w:pos="396"/>
                <w:tab w:val="left" w:pos="398"/>
              </w:tabs>
              <w:ind w:right="88"/>
              <w:jc w:val="both"/>
              <w:rPr>
                <w:sz w:val="18"/>
              </w:rPr>
            </w:pPr>
            <w:r>
              <w:rPr>
                <w:sz w:val="18"/>
              </w:rPr>
              <w:t>Convención De La Naciones Unidas Sobre La Eliminación De Todas Las Formas De Discriminación</w:t>
            </w:r>
            <w:r>
              <w:rPr>
                <w:spacing w:val="-5"/>
                <w:sz w:val="18"/>
              </w:rPr>
              <w:t xml:space="preserve"> </w:t>
            </w:r>
            <w:r>
              <w:rPr>
                <w:sz w:val="18"/>
              </w:rPr>
              <w:t>Contra</w:t>
            </w:r>
            <w:r>
              <w:rPr>
                <w:spacing w:val="-6"/>
                <w:sz w:val="18"/>
              </w:rPr>
              <w:t xml:space="preserve"> </w:t>
            </w:r>
            <w:r>
              <w:rPr>
                <w:sz w:val="18"/>
              </w:rPr>
              <w:t>La</w:t>
            </w:r>
            <w:r>
              <w:rPr>
                <w:spacing w:val="-7"/>
                <w:sz w:val="18"/>
              </w:rPr>
              <w:t xml:space="preserve"> </w:t>
            </w:r>
            <w:r>
              <w:rPr>
                <w:sz w:val="18"/>
              </w:rPr>
              <w:t>Mujer</w:t>
            </w:r>
            <w:r>
              <w:rPr>
                <w:spacing w:val="-6"/>
                <w:sz w:val="18"/>
              </w:rPr>
              <w:t xml:space="preserve"> </w:t>
            </w:r>
            <w:r>
              <w:rPr>
                <w:sz w:val="18"/>
              </w:rPr>
              <w:t>y su protocolo facultativo.</w:t>
            </w:r>
          </w:p>
          <w:p w14:paraId="525C51A0" w14:textId="77777777" w:rsidR="000E52B0" w:rsidRDefault="00F60D74">
            <w:pPr>
              <w:pStyle w:val="TableParagraph"/>
              <w:numPr>
                <w:ilvl w:val="0"/>
                <w:numId w:val="41"/>
              </w:numPr>
              <w:tabs>
                <w:tab w:val="left" w:pos="396"/>
                <w:tab w:val="left" w:pos="398"/>
              </w:tabs>
              <w:ind w:right="89"/>
              <w:jc w:val="both"/>
              <w:rPr>
                <w:sz w:val="18"/>
              </w:rPr>
            </w:pPr>
            <w:r>
              <w:rPr>
                <w:sz w:val="18"/>
              </w:rPr>
              <w:t>Convención Interamericana Para Prevenir, Sancionar Y Erradicar La Violencia Contra La Mujer Convención De Belém do Pará</w:t>
            </w:r>
          </w:p>
          <w:p w14:paraId="3AB44A7B" w14:textId="77777777" w:rsidR="000E52B0" w:rsidRDefault="00F60D74">
            <w:pPr>
              <w:pStyle w:val="TableParagraph"/>
              <w:numPr>
                <w:ilvl w:val="0"/>
                <w:numId w:val="41"/>
              </w:numPr>
              <w:tabs>
                <w:tab w:val="left" w:pos="396"/>
                <w:tab w:val="left" w:pos="398"/>
              </w:tabs>
              <w:ind w:right="86"/>
              <w:jc w:val="both"/>
              <w:rPr>
                <w:sz w:val="18"/>
              </w:rPr>
            </w:pPr>
            <w:r>
              <w:rPr>
                <w:sz w:val="18"/>
              </w:rPr>
              <w:t>Convención Interamericana Sobre Concesión De Los Derechos Políticos A La Mujer</w:t>
            </w:r>
          </w:p>
          <w:p w14:paraId="319A24FB" w14:textId="77777777" w:rsidR="000E52B0" w:rsidRDefault="00F60D74">
            <w:pPr>
              <w:pStyle w:val="TableParagraph"/>
              <w:numPr>
                <w:ilvl w:val="0"/>
                <w:numId w:val="41"/>
              </w:numPr>
              <w:tabs>
                <w:tab w:val="left" w:pos="396"/>
                <w:tab w:val="left" w:pos="398"/>
              </w:tabs>
              <w:ind w:right="86"/>
              <w:jc w:val="both"/>
              <w:rPr>
                <w:sz w:val="18"/>
              </w:rPr>
            </w:pPr>
            <w:r>
              <w:rPr>
                <w:sz w:val="18"/>
              </w:rPr>
              <w:t>Convención Interamericana Sobre Concesión De Los Derechos Civiles a la Mujer</w:t>
            </w:r>
          </w:p>
          <w:p w14:paraId="018971ED" w14:textId="77777777" w:rsidR="000E52B0" w:rsidRDefault="00F60D74">
            <w:pPr>
              <w:pStyle w:val="TableParagraph"/>
              <w:numPr>
                <w:ilvl w:val="0"/>
                <w:numId w:val="41"/>
              </w:numPr>
              <w:tabs>
                <w:tab w:val="left" w:pos="396"/>
                <w:tab w:val="left" w:pos="398"/>
              </w:tabs>
              <w:ind w:right="86"/>
              <w:jc w:val="both"/>
              <w:rPr>
                <w:sz w:val="18"/>
              </w:rPr>
            </w:pPr>
            <w:r>
              <w:rPr>
                <w:sz w:val="18"/>
              </w:rPr>
              <w:t>C003 - Convenio sobre la protección de la maternidad, 1919 de la Organización Internacional del Trabajo</w:t>
            </w:r>
          </w:p>
          <w:p w14:paraId="10E4422E" w14:textId="77777777" w:rsidR="000E52B0" w:rsidRDefault="00F60D74">
            <w:pPr>
              <w:pStyle w:val="TableParagraph"/>
              <w:numPr>
                <w:ilvl w:val="0"/>
                <w:numId w:val="41"/>
              </w:numPr>
              <w:tabs>
                <w:tab w:val="left" w:pos="396"/>
                <w:tab w:val="left" w:pos="398"/>
              </w:tabs>
              <w:ind w:right="86"/>
              <w:jc w:val="both"/>
              <w:rPr>
                <w:sz w:val="18"/>
              </w:rPr>
            </w:pPr>
            <w:r>
              <w:rPr>
                <w:sz w:val="18"/>
              </w:rPr>
              <w:t>Convenio OIT Relativo a la Igualdad de Remuneración entre la Mano de Obra Masculina y la Mano de Obra Femenina por un Trabajo de Igual Valor, Ginebra, 29 de junio de 1951</w:t>
            </w:r>
          </w:p>
          <w:p w14:paraId="1FCB9137" w14:textId="77777777" w:rsidR="000E52B0" w:rsidRDefault="00F60D74">
            <w:pPr>
              <w:pStyle w:val="TableParagraph"/>
              <w:numPr>
                <w:ilvl w:val="0"/>
                <w:numId w:val="41"/>
              </w:numPr>
              <w:tabs>
                <w:tab w:val="left" w:pos="396"/>
                <w:tab w:val="left" w:pos="398"/>
              </w:tabs>
              <w:ind w:right="86"/>
              <w:jc w:val="both"/>
              <w:rPr>
                <w:sz w:val="18"/>
              </w:rPr>
            </w:pPr>
            <w:r>
              <w:rPr>
                <w:sz w:val="18"/>
              </w:rPr>
              <w:t>Resolución 1325 del 2000 del Consejo de Seguridad de las Naciones Unidas</w:t>
            </w:r>
          </w:p>
        </w:tc>
        <w:tc>
          <w:tcPr>
            <w:tcW w:w="3798" w:type="dxa"/>
          </w:tcPr>
          <w:p w14:paraId="5F8EBA4A" w14:textId="77777777" w:rsidR="000E52B0" w:rsidRDefault="00F60D74">
            <w:pPr>
              <w:pStyle w:val="TableParagraph"/>
              <w:ind w:left="108" w:right="87"/>
              <w:jc w:val="both"/>
              <w:rPr>
                <w:sz w:val="18"/>
              </w:rPr>
            </w:pPr>
            <w:r>
              <w:rPr>
                <w:sz w:val="18"/>
              </w:rPr>
              <w:t xml:space="preserve">Programa </w:t>
            </w:r>
            <w:r>
              <w:rPr>
                <w:b/>
                <w:sz w:val="18"/>
              </w:rPr>
              <w:t>“Casas para la Dignidad”</w:t>
            </w:r>
            <w:r>
              <w:rPr>
                <w:sz w:val="18"/>
              </w:rPr>
              <w:t>: garantiza los derechos de las mujeres con acciones que previenen violencias, cierra brechas digitales, ofrece apoyo psicosocial y fortalece y fomenta procesos organizativos.</w:t>
            </w:r>
          </w:p>
          <w:p w14:paraId="018DA023" w14:textId="77777777" w:rsidR="000E52B0" w:rsidRDefault="00F60D74">
            <w:pPr>
              <w:pStyle w:val="TableParagraph"/>
              <w:spacing w:before="217"/>
              <w:ind w:left="108" w:right="83"/>
              <w:jc w:val="both"/>
              <w:rPr>
                <w:sz w:val="18"/>
              </w:rPr>
            </w:pPr>
            <w:r>
              <w:rPr>
                <w:sz w:val="18"/>
              </w:rPr>
              <w:t xml:space="preserve">Programa </w:t>
            </w:r>
            <w:r>
              <w:rPr>
                <w:b/>
                <w:sz w:val="18"/>
              </w:rPr>
              <w:t>“Garantías, derechos y alternativas de vida para las mujeres en actividades sexuales pagas diversas y diferenciales</w:t>
            </w:r>
            <w:r>
              <w:rPr>
                <w:sz w:val="18"/>
              </w:rPr>
              <w:t>”: avanza</w:t>
            </w:r>
            <w:r>
              <w:rPr>
                <w:spacing w:val="-13"/>
                <w:sz w:val="18"/>
              </w:rPr>
              <w:t xml:space="preserve"> </w:t>
            </w:r>
            <w:r>
              <w:rPr>
                <w:sz w:val="18"/>
              </w:rPr>
              <w:t>en</w:t>
            </w:r>
            <w:r>
              <w:rPr>
                <w:spacing w:val="-11"/>
                <w:sz w:val="18"/>
              </w:rPr>
              <w:t xml:space="preserve"> </w:t>
            </w:r>
            <w:r>
              <w:rPr>
                <w:sz w:val="18"/>
              </w:rPr>
              <w:t>la</w:t>
            </w:r>
            <w:r>
              <w:rPr>
                <w:spacing w:val="-13"/>
                <w:sz w:val="18"/>
              </w:rPr>
              <w:t xml:space="preserve"> </w:t>
            </w:r>
            <w:r>
              <w:rPr>
                <w:sz w:val="18"/>
              </w:rPr>
              <w:t>protección</w:t>
            </w:r>
            <w:r>
              <w:rPr>
                <w:spacing w:val="-11"/>
                <w:sz w:val="18"/>
              </w:rPr>
              <w:t xml:space="preserve"> </w:t>
            </w:r>
            <w:r>
              <w:rPr>
                <w:sz w:val="18"/>
              </w:rPr>
              <w:t>de</w:t>
            </w:r>
            <w:r>
              <w:rPr>
                <w:spacing w:val="-14"/>
                <w:sz w:val="18"/>
              </w:rPr>
              <w:t xml:space="preserve"> </w:t>
            </w:r>
            <w:r>
              <w:rPr>
                <w:sz w:val="18"/>
              </w:rPr>
              <w:t>los</w:t>
            </w:r>
            <w:r>
              <w:rPr>
                <w:spacing w:val="-13"/>
                <w:sz w:val="18"/>
              </w:rPr>
              <w:t xml:space="preserve"> </w:t>
            </w:r>
            <w:r>
              <w:rPr>
                <w:sz w:val="18"/>
              </w:rPr>
              <w:t>derechos de</w:t>
            </w:r>
            <w:r>
              <w:rPr>
                <w:spacing w:val="-2"/>
                <w:sz w:val="18"/>
              </w:rPr>
              <w:t xml:space="preserve"> </w:t>
            </w:r>
            <w:r>
              <w:rPr>
                <w:sz w:val="18"/>
              </w:rPr>
              <w:t>las</w:t>
            </w:r>
            <w:r>
              <w:rPr>
                <w:spacing w:val="-3"/>
                <w:sz w:val="18"/>
              </w:rPr>
              <w:t xml:space="preserve"> </w:t>
            </w:r>
            <w:r>
              <w:rPr>
                <w:sz w:val="18"/>
              </w:rPr>
              <w:t>Mujeres</w:t>
            </w:r>
            <w:r>
              <w:rPr>
                <w:spacing w:val="-3"/>
                <w:sz w:val="18"/>
              </w:rPr>
              <w:t xml:space="preserve"> </w:t>
            </w:r>
            <w:r>
              <w:rPr>
                <w:sz w:val="18"/>
              </w:rPr>
              <w:t>en</w:t>
            </w:r>
            <w:r>
              <w:rPr>
                <w:spacing w:val="-2"/>
                <w:sz w:val="18"/>
              </w:rPr>
              <w:t xml:space="preserve"> </w:t>
            </w:r>
            <w:r>
              <w:rPr>
                <w:sz w:val="18"/>
              </w:rPr>
              <w:t>Actividades</w:t>
            </w:r>
            <w:r>
              <w:rPr>
                <w:spacing w:val="-3"/>
                <w:sz w:val="18"/>
              </w:rPr>
              <w:t xml:space="preserve"> </w:t>
            </w:r>
            <w:r>
              <w:rPr>
                <w:sz w:val="18"/>
              </w:rPr>
              <w:t>Sexuales Pagas</w:t>
            </w:r>
            <w:r>
              <w:rPr>
                <w:spacing w:val="-6"/>
                <w:sz w:val="18"/>
              </w:rPr>
              <w:t xml:space="preserve"> </w:t>
            </w:r>
            <w:r>
              <w:rPr>
                <w:sz w:val="18"/>
              </w:rPr>
              <w:t>diversas</w:t>
            </w:r>
            <w:r>
              <w:rPr>
                <w:spacing w:val="-6"/>
                <w:sz w:val="18"/>
              </w:rPr>
              <w:t xml:space="preserve"> </w:t>
            </w:r>
            <w:r>
              <w:rPr>
                <w:sz w:val="18"/>
              </w:rPr>
              <w:t>y</w:t>
            </w:r>
            <w:r>
              <w:rPr>
                <w:spacing w:val="-6"/>
                <w:sz w:val="18"/>
              </w:rPr>
              <w:t xml:space="preserve"> </w:t>
            </w:r>
            <w:r>
              <w:rPr>
                <w:sz w:val="18"/>
              </w:rPr>
              <w:t>diferenciales</w:t>
            </w:r>
            <w:r>
              <w:rPr>
                <w:spacing w:val="-5"/>
                <w:sz w:val="18"/>
              </w:rPr>
              <w:t xml:space="preserve"> </w:t>
            </w:r>
            <w:r>
              <w:rPr>
                <w:sz w:val="18"/>
              </w:rPr>
              <w:t>para</w:t>
            </w:r>
            <w:r>
              <w:rPr>
                <w:spacing w:val="-5"/>
                <w:sz w:val="18"/>
              </w:rPr>
              <w:t xml:space="preserve"> </w:t>
            </w:r>
            <w:r>
              <w:rPr>
                <w:sz w:val="18"/>
              </w:rPr>
              <w:t>que vivan</w:t>
            </w:r>
            <w:r>
              <w:rPr>
                <w:spacing w:val="-11"/>
                <w:sz w:val="18"/>
              </w:rPr>
              <w:t xml:space="preserve"> </w:t>
            </w:r>
            <w:r>
              <w:rPr>
                <w:sz w:val="18"/>
              </w:rPr>
              <w:t>en</w:t>
            </w:r>
            <w:r>
              <w:rPr>
                <w:spacing w:val="-11"/>
                <w:sz w:val="18"/>
              </w:rPr>
              <w:t xml:space="preserve"> </w:t>
            </w:r>
            <w:r>
              <w:rPr>
                <w:sz w:val="18"/>
              </w:rPr>
              <w:t>dignidad,</w:t>
            </w:r>
            <w:r>
              <w:rPr>
                <w:spacing w:val="-14"/>
                <w:sz w:val="18"/>
              </w:rPr>
              <w:t xml:space="preserve"> </w:t>
            </w:r>
            <w:r>
              <w:rPr>
                <w:sz w:val="18"/>
              </w:rPr>
              <w:t>libres</w:t>
            </w:r>
            <w:r>
              <w:rPr>
                <w:spacing w:val="-12"/>
                <w:sz w:val="18"/>
              </w:rPr>
              <w:t xml:space="preserve"> </w:t>
            </w:r>
            <w:r>
              <w:rPr>
                <w:sz w:val="18"/>
              </w:rPr>
              <w:t>de</w:t>
            </w:r>
            <w:r>
              <w:rPr>
                <w:spacing w:val="-12"/>
                <w:sz w:val="18"/>
              </w:rPr>
              <w:t xml:space="preserve"> </w:t>
            </w:r>
            <w:r>
              <w:rPr>
                <w:sz w:val="18"/>
              </w:rPr>
              <w:t>violencias</w:t>
            </w:r>
            <w:r>
              <w:rPr>
                <w:spacing w:val="-13"/>
                <w:sz w:val="18"/>
              </w:rPr>
              <w:t xml:space="preserve"> </w:t>
            </w:r>
            <w:r>
              <w:rPr>
                <w:sz w:val="18"/>
              </w:rPr>
              <w:t>y sin discriminación.</w:t>
            </w:r>
          </w:p>
          <w:p w14:paraId="31450215" w14:textId="77777777" w:rsidR="000E52B0" w:rsidRDefault="00F60D74">
            <w:pPr>
              <w:pStyle w:val="TableParagraph"/>
              <w:spacing w:before="2"/>
              <w:ind w:left="108" w:right="84"/>
              <w:jc w:val="both"/>
              <w:rPr>
                <w:sz w:val="18"/>
              </w:rPr>
            </w:pPr>
            <w:r>
              <w:rPr>
                <w:sz w:val="18"/>
              </w:rPr>
              <w:t xml:space="preserve">Programa </w:t>
            </w:r>
            <w:r>
              <w:rPr>
                <w:b/>
                <w:sz w:val="18"/>
              </w:rPr>
              <w:t xml:space="preserve">“abordaje integral de las violencias contra las mujeres” </w:t>
            </w:r>
            <w:r>
              <w:rPr>
                <w:sz w:val="18"/>
              </w:rPr>
              <w:t>avanza en la garantía del derecho a la autonomía económica de las mujeres en todas sus diversidades; facilitándolas condiciones para la realización de una vida digna, el fortalecimiento de los procesos asociativos de las mujeres y el vínculo con los circuitos de economía popular, comunitaria y solidaria.</w:t>
            </w:r>
          </w:p>
          <w:p w14:paraId="3F6DAF47" w14:textId="77777777" w:rsidR="000E52B0" w:rsidRDefault="000E52B0">
            <w:pPr>
              <w:pStyle w:val="TableParagraph"/>
              <w:spacing w:before="159"/>
              <w:rPr>
                <w:sz w:val="18"/>
              </w:rPr>
            </w:pPr>
          </w:p>
          <w:p w14:paraId="6DEA1F5A" w14:textId="77777777" w:rsidR="000E52B0" w:rsidRDefault="00F60D74">
            <w:pPr>
              <w:pStyle w:val="TableParagraph"/>
              <w:ind w:left="108" w:right="86"/>
              <w:jc w:val="both"/>
              <w:rPr>
                <w:sz w:val="18"/>
              </w:rPr>
            </w:pPr>
            <w:r>
              <w:rPr>
                <w:sz w:val="18"/>
              </w:rPr>
              <w:t>Programa</w:t>
            </w:r>
            <w:r>
              <w:rPr>
                <w:spacing w:val="-16"/>
                <w:sz w:val="18"/>
              </w:rPr>
              <w:t xml:space="preserve"> </w:t>
            </w:r>
            <w:r>
              <w:rPr>
                <w:b/>
                <w:sz w:val="18"/>
              </w:rPr>
              <w:t>“Mujeres</w:t>
            </w:r>
            <w:r>
              <w:rPr>
                <w:b/>
                <w:spacing w:val="-16"/>
                <w:sz w:val="18"/>
              </w:rPr>
              <w:t xml:space="preserve"> </w:t>
            </w:r>
            <w:r>
              <w:rPr>
                <w:b/>
                <w:sz w:val="18"/>
              </w:rPr>
              <w:t>en</w:t>
            </w:r>
            <w:r>
              <w:rPr>
                <w:b/>
                <w:spacing w:val="-15"/>
                <w:sz w:val="18"/>
              </w:rPr>
              <w:t xml:space="preserve"> </w:t>
            </w:r>
            <w:r>
              <w:rPr>
                <w:b/>
                <w:sz w:val="18"/>
              </w:rPr>
              <w:t>el</w:t>
            </w:r>
            <w:r>
              <w:rPr>
                <w:b/>
                <w:spacing w:val="-15"/>
                <w:sz w:val="18"/>
              </w:rPr>
              <w:t xml:space="preserve"> </w:t>
            </w:r>
            <w:r>
              <w:rPr>
                <w:b/>
                <w:sz w:val="18"/>
              </w:rPr>
              <w:t>centro</w:t>
            </w:r>
            <w:r>
              <w:rPr>
                <w:b/>
                <w:spacing w:val="-16"/>
                <w:sz w:val="18"/>
              </w:rPr>
              <w:t xml:space="preserve"> </w:t>
            </w:r>
            <w:r>
              <w:rPr>
                <w:b/>
                <w:sz w:val="18"/>
              </w:rPr>
              <w:t>de</w:t>
            </w:r>
            <w:r>
              <w:rPr>
                <w:b/>
                <w:spacing w:val="-15"/>
                <w:sz w:val="18"/>
              </w:rPr>
              <w:t xml:space="preserve"> </w:t>
            </w:r>
            <w:r>
              <w:rPr>
                <w:b/>
                <w:sz w:val="18"/>
              </w:rPr>
              <w:t xml:space="preserve">la política, la vida, la paz y el territorio” </w:t>
            </w:r>
            <w:r>
              <w:rPr>
                <w:sz w:val="18"/>
              </w:rPr>
              <w:t>garantiza las condiciones para el fortalecimiento de los procesos organizativos y comunitarios, liderazgos e iniciativas de las mujeres en todas sus diversidades para la participación incidente en escenarios sociales, políticos, económicos, culturales, ambientales y de construcción de paz.</w:t>
            </w:r>
          </w:p>
          <w:p w14:paraId="49C1BF13" w14:textId="77777777" w:rsidR="000E52B0" w:rsidRDefault="00F60D74">
            <w:pPr>
              <w:pStyle w:val="TableParagraph"/>
              <w:spacing w:before="162"/>
              <w:ind w:left="108" w:right="86"/>
              <w:jc w:val="both"/>
              <w:rPr>
                <w:sz w:val="18"/>
              </w:rPr>
            </w:pPr>
            <w:r>
              <w:rPr>
                <w:sz w:val="18"/>
              </w:rPr>
              <w:t>Programa</w:t>
            </w:r>
            <w:r>
              <w:rPr>
                <w:spacing w:val="-16"/>
                <w:sz w:val="18"/>
              </w:rPr>
              <w:t xml:space="preserve"> </w:t>
            </w:r>
            <w:r>
              <w:rPr>
                <w:sz w:val="18"/>
              </w:rPr>
              <w:t>“</w:t>
            </w:r>
            <w:r>
              <w:rPr>
                <w:b/>
                <w:sz w:val="18"/>
              </w:rPr>
              <w:t>Mujeres</w:t>
            </w:r>
            <w:r>
              <w:rPr>
                <w:b/>
                <w:spacing w:val="-16"/>
                <w:sz w:val="18"/>
              </w:rPr>
              <w:t xml:space="preserve"> </w:t>
            </w:r>
            <w:r>
              <w:rPr>
                <w:b/>
                <w:sz w:val="18"/>
              </w:rPr>
              <w:t>fortalecidas</w:t>
            </w:r>
            <w:r>
              <w:rPr>
                <w:b/>
                <w:spacing w:val="-15"/>
                <w:sz w:val="18"/>
              </w:rPr>
              <w:t xml:space="preserve"> </w:t>
            </w:r>
            <w:r>
              <w:rPr>
                <w:b/>
                <w:sz w:val="18"/>
              </w:rPr>
              <w:t>en</w:t>
            </w:r>
            <w:r>
              <w:rPr>
                <w:b/>
                <w:spacing w:val="-15"/>
                <w:sz w:val="18"/>
              </w:rPr>
              <w:t xml:space="preserve"> </w:t>
            </w:r>
            <w:r>
              <w:rPr>
                <w:b/>
                <w:sz w:val="18"/>
              </w:rPr>
              <w:t xml:space="preserve">la salvaguarda de la familia extensa” </w:t>
            </w:r>
            <w:r>
              <w:rPr>
                <w:sz w:val="18"/>
              </w:rPr>
              <w:t xml:space="preserve">avanza en la garantía a una vida digna </w:t>
            </w:r>
            <w:r>
              <w:rPr>
                <w:spacing w:val="-2"/>
                <w:sz w:val="18"/>
              </w:rPr>
              <w:t>para</w:t>
            </w:r>
            <w:r>
              <w:rPr>
                <w:spacing w:val="-12"/>
                <w:sz w:val="18"/>
              </w:rPr>
              <w:t xml:space="preserve"> </w:t>
            </w:r>
            <w:r>
              <w:rPr>
                <w:spacing w:val="-2"/>
                <w:sz w:val="18"/>
              </w:rPr>
              <w:t>las</w:t>
            </w:r>
            <w:r>
              <w:rPr>
                <w:spacing w:val="-12"/>
                <w:sz w:val="18"/>
              </w:rPr>
              <w:t xml:space="preserve"> </w:t>
            </w:r>
            <w:r>
              <w:rPr>
                <w:spacing w:val="-2"/>
                <w:sz w:val="18"/>
              </w:rPr>
              <w:t>mujeres</w:t>
            </w:r>
            <w:r>
              <w:rPr>
                <w:spacing w:val="-12"/>
                <w:sz w:val="18"/>
              </w:rPr>
              <w:t xml:space="preserve"> </w:t>
            </w:r>
            <w:r>
              <w:rPr>
                <w:spacing w:val="-2"/>
                <w:sz w:val="18"/>
              </w:rPr>
              <w:t>cabeza</w:t>
            </w:r>
            <w:r>
              <w:rPr>
                <w:spacing w:val="-12"/>
                <w:sz w:val="18"/>
              </w:rPr>
              <w:t xml:space="preserve"> </w:t>
            </w:r>
            <w:r>
              <w:rPr>
                <w:spacing w:val="-2"/>
                <w:sz w:val="18"/>
              </w:rPr>
              <w:t>de</w:t>
            </w:r>
            <w:r>
              <w:rPr>
                <w:spacing w:val="-13"/>
                <w:sz w:val="18"/>
              </w:rPr>
              <w:t xml:space="preserve"> </w:t>
            </w:r>
            <w:r>
              <w:rPr>
                <w:spacing w:val="-2"/>
                <w:sz w:val="18"/>
              </w:rPr>
              <w:t>familia</w:t>
            </w:r>
            <w:r>
              <w:rPr>
                <w:spacing w:val="-12"/>
                <w:sz w:val="18"/>
              </w:rPr>
              <w:t xml:space="preserve"> </w:t>
            </w:r>
            <w:r>
              <w:rPr>
                <w:spacing w:val="-2"/>
                <w:sz w:val="18"/>
              </w:rPr>
              <w:t>y</w:t>
            </w:r>
            <w:r>
              <w:rPr>
                <w:spacing w:val="-13"/>
                <w:sz w:val="18"/>
              </w:rPr>
              <w:t xml:space="preserve"> </w:t>
            </w:r>
            <w:r>
              <w:rPr>
                <w:spacing w:val="-2"/>
                <w:sz w:val="18"/>
              </w:rPr>
              <w:t>sus familias.</w:t>
            </w:r>
          </w:p>
        </w:tc>
      </w:tr>
      <w:tr w:rsidR="000E52B0" w14:paraId="0E51B8CC" w14:textId="77777777">
        <w:trPr>
          <w:trHeight w:val="2406"/>
        </w:trPr>
        <w:tc>
          <w:tcPr>
            <w:tcW w:w="1694" w:type="dxa"/>
          </w:tcPr>
          <w:p w14:paraId="373479AA" w14:textId="77777777" w:rsidR="000E52B0" w:rsidRDefault="000E52B0">
            <w:pPr>
              <w:pStyle w:val="TableParagraph"/>
              <w:rPr>
                <w:sz w:val="18"/>
              </w:rPr>
            </w:pPr>
          </w:p>
          <w:p w14:paraId="732C38DC" w14:textId="77777777" w:rsidR="000E52B0" w:rsidRDefault="000E52B0">
            <w:pPr>
              <w:pStyle w:val="TableParagraph"/>
              <w:rPr>
                <w:sz w:val="18"/>
              </w:rPr>
            </w:pPr>
          </w:p>
          <w:p w14:paraId="028E426B" w14:textId="77777777" w:rsidR="000E52B0" w:rsidRDefault="000E52B0">
            <w:pPr>
              <w:pStyle w:val="TableParagraph"/>
              <w:rPr>
                <w:sz w:val="18"/>
              </w:rPr>
            </w:pPr>
          </w:p>
          <w:p w14:paraId="2696A4F7" w14:textId="77777777" w:rsidR="000E52B0" w:rsidRDefault="000E52B0">
            <w:pPr>
              <w:pStyle w:val="TableParagraph"/>
              <w:spacing w:before="218"/>
              <w:rPr>
                <w:sz w:val="18"/>
              </w:rPr>
            </w:pPr>
          </w:p>
          <w:p w14:paraId="7C436402" w14:textId="77777777" w:rsidR="000E52B0" w:rsidRDefault="00F60D74">
            <w:pPr>
              <w:pStyle w:val="TableParagraph"/>
              <w:ind w:left="335"/>
              <w:rPr>
                <w:sz w:val="18"/>
              </w:rPr>
            </w:pPr>
            <w:r>
              <w:rPr>
                <w:spacing w:val="-2"/>
                <w:sz w:val="18"/>
              </w:rPr>
              <w:t>Juventudes</w:t>
            </w:r>
          </w:p>
        </w:tc>
        <w:tc>
          <w:tcPr>
            <w:tcW w:w="3524" w:type="dxa"/>
          </w:tcPr>
          <w:p w14:paraId="40608E1F" w14:textId="77777777" w:rsidR="000E52B0" w:rsidRDefault="00F60D74">
            <w:pPr>
              <w:pStyle w:val="TableParagraph"/>
              <w:numPr>
                <w:ilvl w:val="0"/>
                <w:numId w:val="40"/>
              </w:numPr>
              <w:tabs>
                <w:tab w:val="left" w:pos="396"/>
                <w:tab w:val="left" w:pos="398"/>
              </w:tabs>
              <w:ind w:right="88"/>
              <w:jc w:val="both"/>
              <w:rPr>
                <w:sz w:val="18"/>
              </w:rPr>
            </w:pPr>
            <w:r>
              <w:rPr>
                <w:sz w:val="18"/>
              </w:rPr>
              <w:t>Convención Iberoamericana de los Derechos de los Jóvenes</w:t>
            </w:r>
          </w:p>
          <w:p w14:paraId="53391C98" w14:textId="77777777" w:rsidR="000E52B0" w:rsidRDefault="00F60D74">
            <w:pPr>
              <w:pStyle w:val="TableParagraph"/>
              <w:numPr>
                <w:ilvl w:val="0"/>
                <w:numId w:val="40"/>
              </w:numPr>
              <w:tabs>
                <w:tab w:val="left" w:pos="396"/>
                <w:tab w:val="left" w:pos="398"/>
              </w:tabs>
              <w:spacing w:line="237" w:lineRule="auto"/>
              <w:ind w:right="89"/>
              <w:jc w:val="both"/>
              <w:rPr>
                <w:sz w:val="18"/>
              </w:rPr>
            </w:pPr>
            <w:r>
              <w:rPr>
                <w:sz w:val="18"/>
              </w:rPr>
              <w:t>Consenso de Montevideo sobre población y desarrollo</w:t>
            </w:r>
          </w:p>
          <w:p w14:paraId="510ACB2F" w14:textId="77777777" w:rsidR="000E52B0" w:rsidRDefault="00F60D74">
            <w:pPr>
              <w:pStyle w:val="TableParagraph"/>
              <w:numPr>
                <w:ilvl w:val="0"/>
                <w:numId w:val="40"/>
              </w:numPr>
              <w:tabs>
                <w:tab w:val="left" w:pos="396"/>
                <w:tab w:val="left" w:pos="398"/>
              </w:tabs>
              <w:spacing w:before="2" w:line="237" w:lineRule="auto"/>
              <w:ind w:right="85"/>
              <w:jc w:val="both"/>
              <w:rPr>
                <w:sz w:val="18"/>
              </w:rPr>
            </w:pPr>
            <w:r>
              <w:rPr>
                <w:sz w:val="18"/>
              </w:rPr>
              <w:t xml:space="preserve">Declaración de Medellín: Juventudes y Valores </w:t>
            </w:r>
            <w:r>
              <w:rPr>
                <w:spacing w:val="-2"/>
                <w:sz w:val="18"/>
              </w:rPr>
              <w:t>Democráticos</w:t>
            </w:r>
          </w:p>
          <w:p w14:paraId="2621AD5B" w14:textId="77777777" w:rsidR="000E52B0" w:rsidRDefault="00F60D74">
            <w:pPr>
              <w:pStyle w:val="TableParagraph"/>
              <w:numPr>
                <w:ilvl w:val="0"/>
                <w:numId w:val="40"/>
              </w:numPr>
              <w:tabs>
                <w:tab w:val="left" w:pos="396"/>
                <w:tab w:val="left" w:pos="398"/>
              </w:tabs>
              <w:spacing w:before="6" w:line="237" w:lineRule="auto"/>
              <w:ind w:right="86"/>
              <w:jc w:val="both"/>
              <w:rPr>
                <w:sz w:val="18"/>
              </w:rPr>
            </w:pPr>
            <w:r>
              <w:rPr>
                <w:sz w:val="18"/>
              </w:rPr>
              <w:t>Resolución 2250 del 2015 del Consejo de Seguridad de las Naciones Unidas</w:t>
            </w:r>
          </w:p>
        </w:tc>
        <w:tc>
          <w:tcPr>
            <w:tcW w:w="3798" w:type="dxa"/>
          </w:tcPr>
          <w:p w14:paraId="75044962" w14:textId="77777777" w:rsidR="000E52B0" w:rsidRDefault="00F60D74">
            <w:pPr>
              <w:pStyle w:val="TableParagraph"/>
              <w:ind w:left="108" w:right="85"/>
              <w:jc w:val="both"/>
              <w:rPr>
                <w:sz w:val="18"/>
              </w:rPr>
            </w:pPr>
            <w:r>
              <w:rPr>
                <w:b/>
                <w:sz w:val="18"/>
              </w:rPr>
              <w:t xml:space="preserve">Programa Barrismo Social “Aguante Popular por la vida”, </w:t>
            </w:r>
            <w:r>
              <w:rPr>
                <w:sz w:val="18"/>
              </w:rPr>
              <w:t>fortalece los procesos populares sociales barristas para mejorar las condiciones de vida de las juventudes barristas y sus familias, proveer los medios para el fortalecimiento de las culturas</w:t>
            </w:r>
            <w:r>
              <w:rPr>
                <w:spacing w:val="-3"/>
                <w:sz w:val="18"/>
              </w:rPr>
              <w:t xml:space="preserve"> </w:t>
            </w:r>
            <w:r>
              <w:rPr>
                <w:sz w:val="18"/>
              </w:rPr>
              <w:t>vivas</w:t>
            </w:r>
            <w:r>
              <w:rPr>
                <w:spacing w:val="-3"/>
                <w:sz w:val="18"/>
              </w:rPr>
              <w:t xml:space="preserve"> </w:t>
            </w:r>
            <w:r>
              <w:rPr>
                <w:sz w:val="18"/>
              </w:rPr>
              <w:t>comunitarias</w:t>
            </w:r>
            <w:r>
              <w:rPr>
                <w:spacing w:val="-3"/>
                <w:sz w:val="18"/>
              </w:rPr>
              <w:t xml:space="preserve"> </w:t>
            </w:r>
            <w:r>
              <w:rPr>
                <w:sz w:val="18"/>
              </w:rPr>
              <w:t>a</w:t>
            </w:r>
            <w:r>
              <w:rPr>
                <w:spacing w:val="-3"/>
                <w:sz w:val="18"/>
              </w:rPr>
              <w:t xml:space="preserve"> </w:t>
            </w:r>
            <w:r>
              <w:rPr>
                <w:sz w:val="18"/>
              </w:rPr>
              <w:t>través</w:t>
            </w:r>
            <w:r>
              <w:rPr>
                <w:spacing w:val="-1"/>
                <w:sz w:val="18"/>
              </w:rPr>
              <w:t xml:space="preserve"> </w:t>
            </w:r>
            <w:r>
              <w:rPr>
                <w:sz w:val="18"/>
              </w:rPr>
              <w:t xml:space="preserve">de </w:t>
            </w:r>
            <w:proofErr w:type="gramStart"/>
            <w:r>
              <w:rPr>
                <w:sz w:val="18"/>
              </w:rPr>
              <w:t>iniciativas</w:t>
            </w:r>
            <w:r>
              <w:rPr>
                <w:spacing w:val="57"/>
                <w:w w:val="150"/>
                <w:sz w:val="18"/>
              </w:rPr>
              <w:t xml:space="preserve">  </w:t>
            </w:r>
            <w:r>
              <w:rPr>
                <w:sz w:val="18"/>
              </w:rPr>
              <w:t>sociales,</w:t>
            </w:r>
            <w:r>
              <w:rPr>
                <w:spacing w:val="58"/>
                <w:w w:val="150"/>
                <w:sz w:val="18"/>
              </w:rPr>
              <w:t xml:space="preserve">  </w:t>
            </w:r>
            <w:r>
              <w:rPr>
                <w:sz w:val="18"/>
              </w:rPr>
              <w:t>culturales</w:t>
            </w:r>
            <w:proofErr w:type="gramEnd"/>
            <w:r>
              <w:rPr>
                <w:spacing w:val="60"/>
                <w:w w:val="150"/>
                <w:sz w:val="18"/>
              </w:rPr>
              <w:t xml:space="preserve">  </w:t>
            </w:r>
            <w:r>
              <w:rPr>
                <w:spacing w:val="-10"/>
                <w:sz w:val="18"/>
              </w:rPr>
              <w:t>y</w:t>
            </w:r>
          </w:p>
          <w:p w14:paraId="40801FD3" w14:textId="77777777" w:rsidR="000E52B0" w:rsidRDefault="00F60D74">
            <w:pPr>
              <w:pStyle w:val="TableParagraph"/>
              <w:spacing w:line="218" w:lineRule="exact"/>
              <w:ind w:left="108" w:right="88"/>
              <w:jc w:val="both"/>
              <w:rPr>
                <w:sz w:val="18"/>
              </w:rPr>
            </w:pPr>
            <w:r>
              <w:rPr>
                <w:sz w:val="18"/>
              </w:rPr>
              <w:t xml:space="preserve">productivas propias del Barrismo y sus </w:t>
            </w:r>
            <w:r>
              <w:rPr>
                <w:spacing w:val="-2"/>
                <w:sz w:val="18"/>
              </w:rPr>
              <w:t>integrantes.</w:t>
            </w:r>
          </w:p>
        </w:tc>
      </w:tr>
    </w:tbl>
    <w:p w14:paraId="702B2719" w14:textId="77777777" w:rsidR="000E52B0" w:rsidRDefault="000E52B0">
      <w:pPr>
        <w:pStyle w:val="TableParagraph"/>
        <w:spacing w:line="218" w:lineRule="exact"/>
        <w:jc w:val="both"/>
        <w:rPr>
          <w:sz w:val="18"/>
        </w:rPr>
        <w:sectPr w:rsidR="000E52B0">
          <w:pgSz w:w="11910" w:h="16840"/>
          <w:pgMar w:top="1400" w:right="720" w:bottom="1180" w:left="720" w:header="0" w:footer="995" w:gutter="0"/>
          <w:cols w:space="720"/>
        </w:sectPr>
      </w:pPr>
    </w:p>
    <w:tbl>
      <w:tblPr>
        <w:tblStyle w:val="TableNormal"/>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94"/>
        <w:gridCol w:w="3524"/>
        <w:gridCol w:w="3798"/>
      </w:tblGrid>
      <w:tr w:rsidR="000E52B0" w14:paraId="31C7F0ED" w14:textId="77777777">
        <w:trPr>
          <w:trHeight w:val="1094"/>
        </w:trPr>
        <w:tc>
          <w:tcPr>
            <w:tcW w:w="1694" w:type="dxa"/>
            <w:shd w:val="clear" w:color="auto" w:fill="D44673"/>
          </w:tcPr>
          <w:p w14:paraId="4287E4BD" w14:textId="77777777" w:rsidR="000E52B0" w:rsidRDefault="00F60D74">
            <w:pPr>
              <w:pStyle w:val="TableParagraph"/>
              <w:ind w:left="189" w:right="171" w:firstLine="4"/>
              <w:jc w:val="center"/>
              <w:rPr>
                <w:b/>
                <w:sz w:val="18"/>
              </w:rPr>
            </w:pPr>
            <w:r>
              <w:rPr>
                <w:b/>
                <w:color w:val="FFFFFF"/>
                <w:spacing w:val="-2"/>
                <w:sz w:val="18"/>
              </w:rPr>
              <w:lastRenderedPageBreak/>
              <w:t xml:space="preserve">Población </w:t>
            </w:r>
            <w:r>
              <w:rPr>
                <w:b/>
                <w:color w:val="FFFFFF"/>
                <w:sz w:val="18"/>
              </w:rPr>
              <w:t xml:space="preserve">Ámbito de </w:t>
            </w:r>
            <w:r>
              <w:rPr>
                <w:b/>
                <w:color w:val="FFFFFF"/>
                <w:spacing w:val="-2"/>
                <w:sz w:val="18"/>
              </w:rPr>
              <w:t xml:space="preserve">Competencia </w:t>
            </w:r>
            <w:r>
              <w:rPr>
                <w:b/>
                <w:color w:val="FFFFFF"/>
                <w:sz w:val="18"/>
              </w:rPr>
              <w:t>Ministerio</w:t>
            </w:r>
            <w:r>
              <w:rPr>
                <w:b/>
                <w:color w:val="FFFFFF"/>
                <w:spacing w:val="-4"/>
                <w:sz w:val="18"/>
              </w:rPr>
              <w:t xml:space="preserve"> </w:t>
            </w:r>
            <w:r>
              <w:rPr>
                <w:b/>
                <w:color w:val="FFFFFF"/>
                <w:spacing w:val="-5"/>
                <w:sz w:val="18"/>
              </w:rPr>
              <w:t>de</w:t>
            </w:r>
          </w:p>
          <w:p w14:paraId="725F0DD5" w14:textId="77777777" w:rsidR="000E52B0" w:rsidRDefault="00F60D74">
            <w:pPr>
              <w:pStyle w:val="TableParagraph"/>
              <w:spacing w:line="199" w:lineRule="exact"/>
              <w:ind w:left="99" w:right="82"/>
              <w:jc w:val="center"/>
              <w:rPr>
                <w:b/>
                <w:sz w:val="18"/>
              </w:rPr>
            </w:pPr>
            <w:r>
              <w:rPr>
                <w:b/>
                <w:color w:val="FFFFFF"/>
                <w:spacing w:val="-2"/>
                <w:sz w:val="18"/>
              </w:rPr>
              <w:t>Igualdad</w:t>
            </w:r>
          </w:p>
        </w:tc>
        <w:tc>
          <w:tcPr>
            <w:tcW w:w="3524" w:type="dxa"/>
            <w:shd w:val="clear" w:color="auto" w:fill="D44673"/>
          </w:tcPr>
          <w:p w14:paraId="43A2A927" w14:textId="77777777" w:rsidR="000E52B0" w:rsidRDefault="000E52B0">
            <w:pPr>
              <w:pStyle w:val="TableParagraph"/>
              <w:rPr>
                <w:sz w:val="18"/>
              </w:rPr>
            </w:pPr>
          </w:p>
          <w:p w14:paraId="524011E9" w14:textId="77777777" w:rsidR="000E52B0" w:rsidRDefault="000E52B0">
            <w:pPr>
              <w:pStyle w:val="TableParagraph"/>
              <w:rPr>
                <w:sz w:val="18"/>
              </w:rPr>
            </w:pPr>
          </w:p>
          <w:p w14:paraId="7EFC0230" w14:textId="77777777" w:rsidR="000E52B0" w:rsidRDefault="00F60D74">
            <w:pPr>
              <w:pStyle w:val="TableParagraph"/>
              <w:ind w:left="408"/>
              <w:rPr>
                <w:b/>
                <w:sz w:val="18"/>
              </w:rPr>
            </w:pPr>
            <w:r>
              <w:rPr>
                <w:b/>
                <w:color w:val="FFFFFF"/>
                <w:sz w:val="18"/>
              </w:rPr>
              <w:t>Instrumento</w:t>
            </w:r>
            <w:r>
              <w:rPr>
                <w:b/>
                <w:color w:val="FFFFFF"/>
                <w:spacing w:val="-5"/>
                <w:sz w:val="18"/>
              </w:rPr>
              <w:t xml:space="preserve"> </w:t>
            </w:r>
            <w:r>
              <w:rPr>
                <w:b/>
                <w:color w:val="FFFFFF"/>
                <w:spacing w:val="-2"/>
                <w:sz w:val="18"/>
              </w:rPr>
              <w:t>Internacional</w:t>
            </w:r>
          </w:p>
        </w:tc>
        <w:tc>
          <w:tcPr>
            <w:tcW w:w="3798" w:type="dxa"/>
            <w:shd w:val="clear" w:color="auto" w:fill="D44673"/>
          </w:tcPr>
          <w:p w14:paraId="24ECF6E2" w14:textId="77777777" w:rsidR="000E52B0" w:rsidRDefault="00F60D74">
            <w:pPr>
              <w:pStyle w:val="TableParagraph"/>
              <w:spacing w:before="109"/>
              <w:ind w:left="30" w:right="16"/>
              <w:jc w:val="center"/>
              <w:rPr>
                <w:b/>
                <w:sz w:val="18"/>
              </w:rPr>
            </w:pPr>
            <w:r>
              <w:rPr>
                <w:b/>
                <w:color w:val="FFFFFF"/>
                <w:sz w:val="18"/>
              </w:rPr>
              <w:t>Programa</w:t>
            </w:r>
            <w:r>
              <w:rPr>
                <w:b/>
                <w:color w:val="FFFFFF"/>
                <w:spacing w:val="-11"/>
                <w:sz w:val="18"/>
              </w:rPr>
              <w:t xml:space="preserve"> </w:t>
            </w:r>
            <w:r>
              <w:rPr>
                <w:b/>
                <w:color w:val="FFFFFF"/>
                <w:sz w:val="18"/>
              </w:rPr>
              <w:t>o</w:t>
            </w:r>
            <w:r>
              <w:rPr>
                <w:b/>
                <w:color w:val="FFFFFF"/>
                <w:spacing w:val="-10"/>
                <w:sz w:val="18"/>
              </w:rPr>
              <w:t xml:space="preserve"> </w:t>
            </w:r>
            <w:r>
              <w:rPr>
                <w:b/>
                <w:color w:val="FFFFFF"/>
                <w:sz w:val="18"/>
              </w:rPr>
              <w:t>Proyecto</w:t>
            </w:r>
            <w:r>
              <w:rPr>
                <w:b/>
                <w:color w:val="FFFFFF"/>
                <w:spacing w:val="-10"/>
                <w:sz w:val="18"/>
              </w:rPr>
              <w:t xml:space="preserve"> </w:t>
            </w:r>
            <w:r>
              <w:rPr>
                <w:b/>
                <w:color w:val="FFFFFF"/>
                <w:sz w:val="18"/>
              </w:rPr>
              <w:t>del</w:t>
            </w:r>
            <w:r>
              <w:rPr>
                <w:b/>
                <w:color w:val="FFFFFF"/>
                <w:spacing w:val="-10"/>
                <w:sz w:val="18"/>
              </w:rPr>
              <w:t xml:space="preserve"> </w:t>
            </w:r>
            <w:r>
              <w:rPr>
                <w:b/>
                <w:color w:val="FFFFFF"/>
                <w:sz w:val="18"/>
              </w:rPr>
              <w:t>Ministerio de Igualdad y Equidad que contribuye a materializar los instrumentos internacionales</w:t>
            </w:r>
          </w:p>
        </w:tc>
      </w:tr>
      <w:tr w:rsidR="000E52B0" w14:paraId="53B6ACD4" w14:textId="77777777">
        <w:trPr>
          <w:trHeight w:val="12471"/>
        </w:trPr>
        <w:tc>
          <w:tcPr>
            <w:tcW w:w="1694" w:type="dxa"/>
          </w:tcPr>
          <w:p w14:paraId="5E72901C" w14:textId="77777777" w:rsidR="000E52B0" w:rsidRDefault="000E52B0">
            <w:pPr>
              <w:pStyle w:val="TableParagraph"/>
              <w:rPr>
                <w:rFonts w:ascii="Times New Roman"/>
                <w:sz w:val="18"/>
              </w:rPr>
            </w:pPr>
          </w:p>
        </w:tc>
        <w:tc>
          <w:tcPr>
            <w:tcW w:w="3524" w:type="dxa"/>
          </w:tcPr>
          <w:p w14:paraId="6C0F5E1B" w14:textId="77777777" w:rsidR="000E52B0" w:rsidRDefault="000E52B0">
            <w:pPr>
              <w:pStyle w:val="TableParagraph"/>
              <w:rPr>
                <w:rFonts w:ascii="Times New Roman"/>
                <w:sz w:val="18"/>
              </w:rPr>
            </w:pPr>
          </w:p>
        </w:tc>
        <w:tc>
          <w:tcPr>
            <w:tcW w:w="3798" w:type="dxa"/>
          </w:tcPr>
          <w:p w14:paraId="249A2D24" w14:textId="77777777" w:rsidR="000E52B0" w:rsidRDefault="000E52B0">
            <w:pPr>
              <w:pStyle w:val="TableParagraph"/>
              <w:rPr>
                <w:sz w:val="18"/>
              </w:rPr>
            </w:pPr>
          </w:p>
          <w:p w14:paraId="49C29751" w14:textId="77777777" w:rsidR="000E52B0" w:rsidRDefault="00F60D74">
            <w:pPr>
              <w:pStyle w:val="TableParagraph"/>
              <w:ind w:left="108" w:right="86"/>
              <w:jc w:val="both"/>
              <w:rPr>
                <w:sz w:val="18"/>
              </w:rPr>
            </w:pPr>
            <w:r>
              <w:rPr>
                <w:b/>
                <w:sz w:val="18"/>
              </w:rPr>
              <w:t xml:space="preserve">Programa “Jóvenes Guardianes de la Naturaleza” </w:t>
            </w:r>
            <w:r>
              <w:rPr>
                <w:sz w:val="18"/>
              </w:rPr>
              <w:t xml:space="preserve">El programa tiene como objetivo reducir las brechas de desigualdad entre la población joven a través del modelo de Economía Circular, en territorios marginados y </w:t>
            </w:r>
            <w:r>
              <w:rPr>
                <w:spacing w:val="-2"/>
                <w:sz w:val="18"/>
              </w:rPr>
              <w:t>excluidos.</w:t>
            </w:r>
          </w:p>
          <w:p w14:paraId="4933E514" w14:textId="77777777" w:rsidR="000E52B0" w:rsidRDefault="000E52B0">
            <w:pPr>
              <w:pStyle w:val="TableParagraph"/>
              <w:rPr>
                <w:sz w:val="18"/>
              </w:rPr>
            </w:pPr>
          </w:p>
          <w:p w14:paraId="66E80442" w14:textId="77777777" w:rsidR="000E52B0" w:rsidRDefault="00F60D74">
            <w:pPr>
              <w:pStyle w:val="TableParagraph"/>
              <w:ind w:left="108" w:right="85"/>
              <w:jc w:val="both"/>
              <w:rPr>
                <w:sz w:val="18"/>
              </w:rPr>
            </w:pPr>
            <w:r>
              <w:rPr>
                <w:b/>
                <w:color w:val="333333"/>
                <w:sz w:val="18"/>
              </w:rPr>
              <w:t xml:space="preserve">Programa “Jóvenes en Paz” </w:t>
            </w:r>
            <w:r>
              <w:rPr>
                <w:color w:val="333333"/>
                <w:sz w:val="18"/>
              </w:rPr>
              <w:t>su objetivo es implementar una ruta de atención integral para jóvenes que se encuentren en condición de pobreza extrema, vulnerabilidad, explotación sexual, o que estén en riesgo de vincularse en dinámicas de criminalidad. La ruta integral tiene como propósito contribuir en la eliminación de las desigualdades económicas, territoriales, políticas y sociales,</w:t>
            </w:r>
            <w:r>
              <w:rPr>
                <w:color w:val="333333"/>
                <w:spacing w:val="-12"/>
                <w:sz w:val="18"/>
              </w:rPr>
              <w:t xml:space="preserve"> </w:t>
            </w:r>
            <w:r>
              <w:rPr>
                <w:color w:val="333333"/>
                <w:sz w:val="18"/>
              </w:rPr>
              <w:t>impulsar</w:t>
            </w:r>
            <w:r>
              <w:rPr>
                <w:color w:val="333333"/>
                <w:spacing w:val="-11"/>
                <w:sz w:val="18"/>
              </w:rPr>
              <w:t xml:space="preserve"> </w:t>
            </w:r>
            <w:r>
              <w:rPr>
                <w:color w:val="333333"/>
                <w:sz w:val="18"/>
              </w:rPr>
              <w:t>el</w:t>
            </w:r>
            <w:r>
              <w:rPr>
                <w:color w:val="333333"/>
                <w:spacing w:val="-10"/>
                <w:sz w:val="18"/>
              </w:rPr>
              <w:t xml:space="preserve"> </w:t>
            </w:r>
            <w:r>
              <w:rPr>
                <w:color w:val="333333"/>
                <w:sz w:val="18"/>
              </w:rPr>
              <w:t>goce</w:t>
            </w:r>
            <w:r>
              <w:rPr>
                <w:color w:val="333333"/>
                <w:spacing w:val="-11"/>
                <w:sz w:val="18"/>
              </w:rPr>
              <w:t xml:space="preserve"> </w:t>
            </w:r>
            <w:r>
              <w:rPr>
                <w:color w:val="333333"/>
                <w:sz w:val="18"/>
              </w:rPr>
              <w:t>del</w:t>
            </w:r>
            <w:r>
              <w:rPr>
                <w:color w:val="333333"/>
                <w:spacing w:val="-10"/>
                <w:sz w:val="18"/>
              </w:rPr>
              <w:t xml:space="preserve"> </w:t>
            </w:r>
            <w:r>
              <w:rPr>
                <w:color w:val="333333"/>
                <w:sz w:val="18"/>
              </w:rPr>
              <w:t>derecho</w:t>
            </w:r>
            <w:r>
              <w:rPr>
                <w:color w:val="333333"/>
                <w:spacing w:val="-10"/>
                <w:sz w:val="18"/>
              </w:rPr>
              <w:t xml:space="preserve"> </w:t>
            </w:r>
            <w:r>
              <w:rPr>
                <w:color w:val="333333"/>
                <w:sz w:val="18"/>
              </w:rPr>
              <w:t>a la igualdad, el cumplimiento de los principios de no discriminación y no regresividad, y la construcción de paz en los territorios.</w:t>
            </w:r>
          </w:p>
          <w:p w14:paraId="6DF84991" w14:textId="77777777" w:rsidR="000E52B0" w:rsidRDefault="00F60D74">
            <w:pPr>
              <w:pStyle w:val="TableParagraph"/>
              <w:spacing w:before="218"/>
              <w:ind w:left="108" w:right="87"/>
              <w:jc w:val="both"/>
              <w:rPr>
                <w:sz w:val="18"/>
              </w:rPr>
            </w:pPr>
            <w:r>
              <w:rPr>
                <w:b/>
                <w:sz w:val="18"/>
              </w:rPr>
              <w:t xml:space="preserve">Programa “Juventudes Tejiendo Bien- estar”. </w:t>
            </w:r>
            <w:r>
              <w:rPr>
                <w:sz w:val="18"/>
              </w:rPr>
              <w:t xml:space="preserve">facilita los medios que aseguren el bienestar emocional de las juventudes con una respuesta institucional holística y del fortalecimiento de sus entornos protectores y de sus redes afectivas y </w:t>
            </w:r>
            <w:r>
              <w:rPr>
                <w:spacing w:val="-2"/>
                <w:sz w:val="18"/>
              </w:rPr>
              <w:t>comunitarias.</w:t>
            </w:r>
          </w:p>
          <w:p w14:paraId="692B2799" w14:textId="77777777" w:rsidR="000E52B0" w:rsidRDefault="000E52B0">
            <w:pPr>
              <w:pStyle w:val="TableParagraph"/>
              <w:spacing w:before="2"/>
              <w:rPr>
                <w:sz w:val="18"/>
              </w:rPr>
            </w:pPr>
          </w:p>
          <w:p w14:paraId="379B1663" w14:textId="77777777" w:rsidR="000E52B0" w:rsidRDefault="00F60D74">
            <w:pPr>
              <w:pStyle w:val="TableParagraph"/>
              <w:ind w:left="108" w:right="83"/>
              <w:jc w:val="both"/>
              <w:rPr>
                <w:sz w:val="18"/>
              </w:rPr>
            </w:pPr>
            <w:r>
              <w:rPr>
                <w:b/>
                <w:sz w:val="18"/>
              </w:rPr>
              <w:t>Programa “Oportunidades para la vida de las juventudes”.</w:t>
            </w:r>
            <w:r>
              <w:rPr>
                <w:b/>
                <w:spacing w:val="40"/>
                <w:sz w:val="18"/>
              </w:rPr>
              <w:t xml:space="preserve"> </w:t>
            </w:r>
            <w:r>
              <w:rPr>
                <w:sz w:val="18"/>
              </w:rPr>
              <w:t>avanza en el cierre de brechas de desigualdad e inequidad de las juventudes en todas sus diversidades a través de la implementación de acciones que permitan fortalecer los procesos de economía popular y colectiva, los procesos culturales y creativos de las juventudes en todas sus diversidades, así como facilitar las condiciones para una vida digna en términos de educación, trabajo y cuidado y las condiciones para que las juventudes participen y fortalezcan sus redes afectivas y comunitarias para reparar las</w:t>
            </w:r>
            <w:r>
              <w:rPr>
                <w:spacing w:val="-16"/>
                <w:sz w:val="18"/>
              </w:rPr>
              <w:t xml:space="preserve"> </w:t>
            </w:r>
            <w:r>
              <w:rPr>
                <w:sz w:val="18"/>
              </w:rPr>
              <w:t>inequidades</w:t>
            </w:r>
            <w:r>
              <w:rPr>
                <w:spacing w:val="-16"/>
                <w:sz w:val="18"/>
              </w:rPr>
              <w:t xml:space="preserve"> </w:t>
            </w:r>
            <w:r>
              <w:rPr>
                <w:sz w:val="18"/>
              </w:rPr>
              <w:t>existentes</w:t>
            </w:r>
            <w:r>
              <w:rPr>
                <w:spacing w:val="-16"/>
                <w:sz w:val="18"/>
              </w:rPr>
              <w:t xml:space="preserve"> </w:t>
            </w:r>
            <w:r>
              <w:rPr>
                <w:sz w:val="18"/>
              </w:rPr>
              <w:t>para</w:t>
            </w:r>
            <w:r>
              <w:rPr>
                <w:spacing w:val="-16"/>
                <w:sz w:val="18"/>
              </w:rPr>
              <w:t xml:space="preserve"> </w:t>
            </w:r>
            <w:r>
              <w:rPr>
                <w:sz w:val="18"/>
              </w:rPr>
              <w:t>las</w:t>
            </w:r>
            <w:r>
              <w:rPr>
                <w:spacing w:val="-16"/>
                <w:sz w:val="18"/>
              </w:rPr>
              <w:t xml:space="preserve"> </w:t>
            </w:r>
            <w:r>
              <w:rPr>
                <w:sz w:val="18"/>
              </w:rPr>
              <w:t>y</w:t>
            </w:r>
            <w:r>
              <w:rPr>
                <w:spacing w:val="-15"/>
                <w:sz w:val="18"/>
              </w:rPr>
              <w:t xml:space="preserve"> </w:t>
            </w:r>
            <w:r>
              <w:rPr>
                <w:sz w:val="18"/>
              </w:rPr>
              <w:t>los jóvenes de territorios marginados y excluidos del país.</w:t>
            </w:r>
          </w:p>
        </w:tc>
      </w:tr>
    </w:tbl>
    <w:p w14:paraId="22112B31" w14:textId="77777777" w:rsidR="000E52B0" w:rsidRDefault="000E52B0">
      <w:pPr>
        <w:pStyle w:val="TableParagraph"/>
        <w:jc w:val="both"/>
        <w:rPr>
          <w:sz w:val="18"/>
        </w:rPr>
        <w:sectPr w:rsidR="000E52B0">
          <w:type w:val="continuous"/>
          <w:pgSz w:w="11910" w:h="16840"/>
          <w:pgMar w:top="1400" w:right="720" w:bottom="1180" w:left="720" w:header="0" w:footer="995" w:gutter="0"/>
          <w:cols w:space="720"/>
        </w:sectPr>
      </w:pPr>
    </w:p>
    <w:tbl>
      <w:tblPr>
        <w:tblStyle w:val="TableNormal"/>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94"/>
        <w:gridCol w:w="3524"/>
        <w:gridCol w:w="3798"/>
      </w:tblGrid>
      <w:tr w:rsidR="000E52B0" w14:paraId="5F12D816" w14:textId="77777777">
        <w:trPr>
          <w:trHeight w:val="1094"/>
        </w:trPr>
        <w:tc>
          <w:tcPr>
            <w:tcW w:w="1694" w:type="dxa"/>
            <w:shd w:val="clear" w:color="auto" w:fill="D44673"/>
          </w:tcPr>
          <w:p w14:paraId="07B2B90B" w14:textId="77777777" w:rsidR="000E52B0" w:rsidRDefault="00F60D74">
            <w:pPr>
              <w:pStyle w:val="TableParagraph"/>
              <w:ind w:left="189" w:right="171" w:firstLine="4"/>
              <w:jc w:val="center"/>
              <w:rPr>
                <w:b/>
                <w:sz w:val="18"/>
              </w:rPr>
            </w:pPr>
            <w:r>
              <w:rPr>
                <w:b/>
                <w:color w:val="FFFFFF"/>
                <w:spacing w:val="-2"/>
                <w:sz w:val="18"/>
              </w:rPr>
              <w:lastRenderedPageBreak/>
              <w:t xml:space="preserve">Población </w:t>
            </w:r>
            <w:r>
              <w:rPr>
                <w:b/>
                <w:color w:val="FFFFFF"/>
                <w:sz w:val="18"/>
              </w:rPr>
              <w:t xml:space="preserve">Ámbito de </w:t>
            </w:r>
            <w:r>
              <w:rPr>
                <w:b/>
                <w:color w:val="FFFFFF"/>
                <w:spacing w:val="-2"/>
                <w:sz w:val="18"/>
              </w:rPr>
              <w:t xml:space="preserve">Competencia </w:t>
            </w:r>
            <w:r>
              <w:rPr>
                <w:b/>
                <w:color w:val="FFFFFF"/>
                <w:sz w:val="18"/>
              </w:rPr>
              <w:t>Ministerio</w:t>
            </w:r>
            <w:r>
              <w:rPr>
                <w:b/>
                <w:color w:val="FFFFFF"/>
                <w:spacing w:val="-4"/>
                <w:sz w:val="18"/>
              </w:rPr>
              <w:t xml:space="preserve"> </w:t>
            </w:r>
            <w:r>
              <w:rPr>
                <w:b/>
                <w:color w:val="FFFFFF"/>
                <w:spacing w:val="-5"/>
                <w:sz w:val="18"/>
              </w:rPr>
              <w:t>de</w:t>
            </w:r>
          </w:p>
          <w:p w14:paraId="6E717DFC" w14:textId="77777777" w:rsidR="000E52B0" w:rsidRDefault="00F60D74">
            <w:pPr>
              <w:pStyle w:val="TableParagraph"/>
              <w:spacing w:line="199" w:lineRule="exact"/>
              <w:ind w:left="99" w:right="82"/>
              <w:jc w:val="center"/>
              <w:rPr>
                <w:b/>
                <w:sz w:val="18"/>
              </w:rPr>
            </w:pPr>
            <w:r>
              <w:rPr>
                <w:b/>
                <w:color w:val="FFFFFF"/>
                <w:spacing w:val="-2"/>
                <w:sz w:val="18"/>
              </w:rPr>
              <w:t>Igualdad</w:t>
            </w:r>
          </w:p>
        </w:tc>
        <w:tc>
          <w:tcPr>
            <w:tcW w:w="3524" w:type="dxa"/>
            <w:shd w:val="clear" w:color="auto" w:fill="D44673"/>
          </w:tcPr>
          <w:p w14:paraId="12FB2615" w14:textId="77777777" w:rsidR="000E52B0" w:rsidRDefault="000E52B0">
            <w:pPr>
              <w:pStyle w:val="TableParagraph"/>
              <w:rPr>
                <w:sz w:val="18"/>
              </w:rPr>
            </w:pPr>
          </w:p>
          <w:p w14:paraId="47F0BF15" w14:textId="77777777" w:rsidR="000E52B0" w:rsidRDefault="000E52B0">
            <w:pPr>
              <w:pStyle w:val="TableParagraph"/>
              <w:rPr>
                <w:sz w:val="18"/>
              </w:rPr>
            </w:pPr>
          </w:p>
          <w:p w14:paraId="79DF5F18" w14:textId="77777777" w:rsidR="000E52B0" w:rsidRDefault="00F60D74">
            <w:pPr>
              <w:pStyle w:val="TableParagraph"/>
              <w:ind w:left="408"/>
              <w:rPr>
                <w:b/>
                <w:sz w:val="18"/>
              </w:rPr>
            </w:pPr>
            <w:r>
              <w:rPr>
                <w:b/>
                <w:color w:val="FFFFFF"/>
                <w:sz w:val="18"/>
              </w:rPr>
              <w:t>Instrumento</w:t>
            </w:r>
            <w:r>
              <w:rPr>
                <w:b/>
                <w:color w:val="FFFFFF"/>
                <w:spacing w:val="-5"/>
                <w:sz w:val="18"/>
              </w:rPr>
              <w:t xml:space="preserve"> </w:t>
            </w:r>
            <w:r>
              <w:rPr>
                <w:b/>
                <w:color w:val="FFFFFF"/>
                <w:spacing w:val="-2"/>
                <w:sz w:val="18"/>
              </w:rPr>
              <w:t>Internacional</w:t>
            </w:r>
          </w:p>
        </w:tc>
        <w:tc>
          <w:tcPr>
            <w:tcW w:w="3798" w:type="dxa"/>
            <w:shd w:val="clear" w:color="auto" w:fill="D44673"/>
          </w:tcPr>
          <w:p w14:paraId="09500D17" w14:textId="77777777" w:rsidR="000E52B0" w:rsidRDefault="00F60D74">
            <w:pPr>
              <w:pStyle w:val="TableParagraph"/>
              <w:spacing w:before="109"/>
              <w:ind w:left="30" w:right="16"/>
              <w:jc w:val="center"/>
              <w:rPr>
                <w:b/>
                <w:sz w:val="18"/>
              </w:rPr>
            </w:pPr>
            <w:r>
              <w:rPr>
                <w:b/>
                <w:color w:val="FFFFFF"/>
                <w:sz w:val="18"/>
              </w:rPr>
              <w:t>Programa</w:t>
            </w:r>
            <w:r>
              <w:rPr>
                <w:b/>
                <w:color w:val="FFFFFF"/>
                <w:spacing w:val="-11"/>
                <w:sz w:val="18"/>
              </w:rPr>
              <w:t xml:space="preserve"> </w:t>
            </w:r>
            <w:r>
              <w:rPr>
                <w:b/>
                <w:color w:val="FFFFFF"/>
                <w:sz w:val="18"/>
              </w:rPr>
              <w:t>o</w:t>
            </w:r>
            <w:r>
              <w:rPr>
                <w:b/>
                <w:color w:val="FFFFFF"/>
                <w:spacing w:val="-10"/>
                <w:sz w:val="18"/>
              </w:rPr>
              <w:t xml:space="preserve"> </w:t>
            </w:r>
            <w:r>
              <w:rPr>
                <w:b/>
                <w:color w:val="FFFFFF"/>
                <w:sz w:val="18"/>
              </w:rPr>
              <w:t>Proyecto</w:t>
            </w:r>
            <w:r>
              <w:rPr>
                <w:b/>
                <w:color w:val="FFFFFF"/>
                <w:spacing w:val="-10"/>
                <w:sz w:val="18"/>
              </w:rPr>
              <w:t xml:space="preserve"> </w:t>
            </w:r>
            <w:r>
              <w:rPr>
                <w:b/>
                <w:color w:val="FFFFFF"/>
                <w:sz w:val="18"/>
              </w:rPr>
              <w:t>del</w:t>
            </w:r>
            <w:r>
              <w:rPr>
                <w:b/>
                <w:color w:val="FFFFFF"/>
                <w:spacing w:val="-10"/>
                <w:sz w:val="18"/>
              </w:rPr>
              <w:t xml:space="preserve"> </w:t>
            </w:r>
            <w:r>
              <w:rPr>
                <w:b/>
                <w:color w:val="FFFFFF"/>
                <w:sz w:val="18"/>
              </w:rPr>
              <w:t>Ministerio de Igualdad y Equidad que contribuye a materializar los instrumentos internacionales</w:t>
            </w:r>
          </w:p>
        </w:tc>
      </w:tr>
      <w:tr w:rsidR="000E52B0" w14:paraId="3CB1F529" w14:textId="77777777">
        <w:trPr>
          <w:trHeight w:val="12689"/>
        </w:trPr>
        <w:tc>
          <w:tcPr>
            <w:tcW w:w="1694" w:type="dxa"/>
          </w:tcPr>
          <w:p w14:paraId="70F8AEB0" w14:textId="77777777" w:rsidR="000E52B0" w:rsidRDefault="000E52B0">
            <w:pPr>
              <w:pStyle w:val="TableParagraph"/>
              <w:rPr>
                <w:sz w:val="18"/>
              </w:rPr>
            </w:pPr>
          </w:p>
          <w:p w14:paraId="0F5288F5" w14:textId="77777777" w:rsidR="000E52B0" w:rsidRDefault="000E52B0">
            <w:pPr>
              <w:pStyle w:val="TableParagraph"/>
              <w:rPr>
                <w:sz w:val="18"/>
              </w:rPr>
            </w:pPr>
          </w:p>
          <w:p w14:paraId="6C5CCB95" w14:textId="77777777" w:rsidR="000E52B0" w:rsidRDefault="000E52B0">
            <w:pPr>
              <w:pStyle w:val="TableParagraph"/>
              <w:rPr>
                <w:sz w:val="18"/>
              </w:rPr>
            </w:pPr>
          </w:p>
          <w:p w14:paraId="3EFB1641" w14:textId="77777777" w:rsidR="000E52B0" w:rsidRDefault="000E52B0">
            <w:pPr>
              <w:pStyle w:val="TableParagraph"/>
              <w:rPr>
                <w:sz w:val="18"/>
              </w:rPr>
            </w:pPr>
          </w:p>
          <w:p w14:paraId="419190A8" w14:textId="77777777" w:rsidR="000E52B0" w:rsidRDefault="000E52B0">
            <w:pPr>
              <w:pStyle w:val="TableParagraph"/>
              <w:rPr>
                <w:sz w:val="18"/>
              </w:rPr>
            </w:pPr>
          </w:p>
          <w:p w14:paraId="08675D18" w14:textId="77777777" w:rsidR="000E52B0" w:rsidRDefault="000E52B0">
            <w:pPr>
              <w:pStyle w:val="TableParagraph"/>
              <w:rPr>
                <w:sz w:val="18"/>
              </w:rPr>
            </w:pPr>
          </w:p>
          <w:p w14:paraId="006B0FF4" w14:textId="77777777" w:rsidR="000E52B0" w:rsidRDefault="000E52B0">
            <w:pPr>
              <w:pStyle w:val="TableParagraph"/>
              <w:rPr>
                <w:sz w:val="18"/>
              </w:rPr>
            </w:pPr>
          </w:p>
          <w:p w14:paraId="264FB9E4" w14:textId="77777777" w:rsidR="000E52B0" w:rsidRDefault="000E52B0">
            <w:pPr>
              <w:pStyle w:val="TableParagraph"/>
              <w:rPr>
                <w:sz w:val="18"/>
              </w:rPr>
            </w:pPr>
          </w:p>
          <w:p w14:paraId="5B9B26C9" w14:textId="77777777" w:rsidR="000E52B0" w:rsidRDefault="000E52B0">
            <w:pPr>
              <w:pStyle w:val="TableParagraph"/>
              <w:rPr>
                <w:sz w:val="18"/>
              </w:rPr>
            </w:pPr>
          </w:p>
          <w:p w14:paraId="6A2BD2E2" w14:textId="77777777" w:rsidR="000E52B0" w:rsidRDefault="000E52B0">
            <w:pPr>
              <w:pStyle w:val="TableParagraph"/>
              <w:rPr>
                <w:sz w:val="18"/>
              </w:rPr>
            </w:pPr>
          </w:p>
          <w:p w14:paraId="2E4612CD" w14:textId="77777777" w:rsidR="000E52B0" w:rsidRDefault="000E52B0">
            <w:pPr>
              <w:pStyle w:val="TableParagraph"/>
              <w:rPr>
                <w:sz w:val="18"/>
              </w:rPr>
            </w:pPr>
          </w:p>
          <w:p w14:paraId="514C0F20" w14:textId="77777777" w:rsidR="000E52B0" w:rsidRDefault="000E52B0">
            <w:pPr>
              <w:pStyle w:val="TableParagraph"/>
              <w:rPr>
                <w:sz w:val="18"/>
              </w:rPr>
            </w:pPr>
          </w:p>
          <w:p w14:paraId="6DED117E" w14:textId="77777777" w:rsidR="000E52B0" w:rsidRDefault="000E52B0">
            <w:pPr>
              <w:pStyle w:val="TableParagraph"/>
              <w:rPr>
                <w:sz w:val="18"/>
              </w:rPr>
            </w:pPr>
          </w:p>
          <w:p w14:paraId="3AC50AEE" w14:textId="77777777" w:rsidR="000E52B0" w:rsidRDefault="000E52B0">
            <w:pPr>
              <w:pStyle w:val="TableParagraph"/>
              <w:rPr>
                <w:sz w:val="18"/>
              </w:rPr>
            </w:pPr>
          </w:p>
          <w:p w14:paraId="3441258D" w14:textId="77777777" w:rsidR="000E52B0" w:rsidRDefault="000E52B0">
            <w:pPr>
              <w:pStyle w:val="TableParagraph"/>
              <w:rPr>
                <w:sz w:val="18"/>
              </w:rPr>
            </w:pPr>
          </w:p>
          <w:p w14:paraId="424A6AF0" w14:textId="77777777" w:rsidR="000E52B0" w:rsidRDefault="000E52B0">
            <w:pPr>
              <w:pStyle w:val="TableParagraph"/>
              <w:rPr>
                <w:sz w:val="18"/>
              </w:rPr>
            </w:pPr>
          </w:p>
          <w:p w14:paraId="3BF5556D" w14:textId="77777777" w:rsidR="000E52B0" w:rsidRDefault="000E52B0">
            <w:pPr>
              <w:pStyle w:val="TableParagraph"/>
              <w:rPr>
                <w:sz w:val="18"/>
              </w:rPr>
            </w:pPr>
          </w:p>
          <w:p w14:paraId="4DDB0113" w14:textId="77777777" w:rsidR="000E52B0" w:rsidRDefault="000E52B0">
            <w:pPr>
              <w:pStyle w:val="TableParagraph"/>
              <w:spacing w:before="110"/>
              <w:rPr>
                <w:sz w:val="18"/>
              </w:rPr>
            </w:pPr>
          </w:p>
          <w:p w14:paraId="65C524DF" w14:textId="77777777" w:rsidR="000E52B0" w:rsidRDefault="00F60D74">
            <w:pPr>
              <w:pStyle w:val="TableParagraph"/>
              <w:ind w:left="215" w:right="197" w:firstLine="2"/>
              <w:jc w:val="center"/>
              <w:rPr>
                <w:sz w:val="18"/>
              </w:rPr>
            </w:pPr>
            <w:r>
              <w:rPr>
                <w:sz w:val="18"/>
              </w:rPr>
              <w:t>Poblaciones</w:t>
            </w:r>
            <w:r>
              <w:rPr>
                <w:spacing w:val="-5"/>
                <w:sz w:val="18"/>
              </w:rPr>
              <w:t xml:space="preserve"> </w:t>
            </w:r>
            <w:r>
              <w:rPr>
                <w:sz w:val="18"/>
              </w:rPr>
              <w:t xml:space="preserve">y </w:t>
            </w:r>
            <w:r>
              <w:rPr>
                <w:spacing w:val="-2"/>
                <w:sz w:val="18"/>
              </w:rPr>
              <w:t xml:space="preserve">territorios </w:t>
            </w:r>
            <w:r>
              <w:rPr>
                <w:sz w:val="18"/>
              </w:rPr>
              <w:t>excluidos</w:t>
            </w:r>
            <w:r>
              <w:rPr>
                <w:spacing w:val="-2"/>
                <w:sz w:val="18"/>
              </w:rPr>
              <w:t xml:space="preserve"> </w:t>
            </w:r>
            <w:r>
              <w:rPr>
                <w:sz w:val="18"/>
              </w:rPr>
              <w:t>y</w:t>
            </w:r>
            <w:r>
              <w:rPr>
                <w:spacing w:val="-3"/>
                <w:sz w:val="18"/>
              </w:rPr>
              <w:t xml:space="preserve"> </w:t>
            </w:r>
            <w:r>
              <w:rPr>
                <w:sz w:val="18"/>
              </w:rPr>
              <w:t>la superación</w:t>
            </w:r>
            <w:r>
              <w:rPr>
                <w:spacing w:val="-16"/>
                <w:sz w:val="18"/>
              </w:rPr>
              <w:t xml:space="preserve"> </w:t>
            </w:r>
            <w:r>
              <w:rPr>
                <w:sz w:val="18"/>
              </w:rPr>
              <w:t>de la pobreza:</w:t>
            </w:r>
          </w:p>
          <w:p w14:paraId="57245939" w14:textId="77777777" w:rsidR="000E52B0" w:rsidRDefault="000E52B0">
            <w:pPr>
              <w:pStyle w:val="TableParagraph"/>
              <w:rPr>
                <w:sz w:val="18"/>
              </w:rPr>
            </w:pPr>
          </w:p>
          <w:p w14:paraId="287FD439" w14:textId="77777777" w:rsidR="000E52B0" w:rsidRDefault="00F60D74">
            <w:pPr>
              <w:pStyle w:val="TableParagraph"/>
              <w:ind w:left="198" w:right="182"/>
              <w:jc w:val="center"/>
              <w:rPr>
                <w:sz w:val="18"/>
              </w:rPr>
            </w:pPr>
            <w:r>
              <w:rPr>
                <w:sz w:val="18"/>
              </w:rPr>
              <w:t>Superación</w:t>
            </w:r>
            <w:r>
              <w:rPr>
                <w:spacing w:val="-16"/>
                <w:sz w:val="18"/>
              </w:rPr>
              <w:t xml:space="preserve"> </w:t>
            </w:r>
            <w:r>
              <w:rPr>
                <w:sz w:val="18"/>
              </w:rPr>
              <w:t xml:space="preserve">de la pobreza </w:t>
            </w:r>
            <w:r>
              <w:rPr>
                <w:spacing w:val="-2"/>
                <w:sz w:val="18"/>
              </w:rPr>
              <w:t xml:space="preserve">Programa </w:t>
            </w:r>
            <w:r>
              <w:rPr>
                <w:sz w:val="18"/>
              </w:rPr>
              <w:t xml:space="preserve">Nacional de </w:t>
            </w:r>
            <w:r>
              <w:rPr>
                <w:spacing w:val="-2"/>
                <w:sz w:val="18"/>
              </w:rPr>
              <w:t xml:space="preserve">Cuidado Población Migrante Acceso </w:t>
            </w:r>
            <w:r>
              <w:rPr>
                <w:sz w:val="18"/>
              </w:rPr>
              <w:t xml:space="preserve">Igualitario al </w:t>
            </w:r>
            <w:r>
              <w:rPr>
                <w:spacing w:val="-4"/>
                <w:sz w:val="18"/>
              </w:rPr>
              <w:t>Agua</w:t>
            </w:r>
            <w:r>
              <w:rPr>
                <w:spacing w:val="40"/>
                <w:sz w:val="18"/>
              </w:rPr>
              <w:t xml:space="preserve"> </w:t>
            </w:r>
            <w:r>
              <w:rPr>
                <w:sz w:val="18"/>
              </w:rPr>
              <w:t xml:space="preserve">Personas en situación de </w:t>
            </w:r>
            <w:r>
              <w:rPr>
                <w:spacing w:val="-2"/>
                <w:sz w:val="18"/>
              </w:rPr>
              <w:t>calle</w:t>
            </w:r>
          </w:p>
          <w:p w14:paraId="4AFD537E" w14:textId="77777777" w:rsidR="000E52B0" w:rsidRDefault="00F60D74">
            <w:pPr>
              <w:pStyle w:val="TableParagraph"/>
              <w:spacing w:before="1"/>
              <w:ind w:left="99" w:right="80"/>
              <w:jc w:val="center"/>
              <w:rPr>
                <w:sz w:val="18"/>
              </w:rPr>
            </w:pPr>
            <w:r>
              <w:rPr>
                <w:spacing w:val="-2"/>
                <w:sz w:val="18"/>
              </w:rPr>
              <w:t>Personas Mayores</w:t>
            </w:r>
          </w:p>
        </w:tc>
        <w:tc>
          <w:tcPr>
            <w:tcW w:w="3524" w:type="dxa"/>
          </w:tcPr>
          <w:p w14:paraId="7378D8DE" w14:textId="77777777" w:rsidR="000E52B0" w:rsidRDefault="00F60D74">
            <w:pPr>
              <w:pStyle w:val="TableParagraph"/>
              <w:numPr>
                <w:ilvl w:val="0"/>
                <w:numId w:val="39"/>
              </w:numPr>
              <w:tabs>
                <w:tab w:val="left" w:pos="396"/>
                <w:tab w:val="left" w:pos="398"/>
              </w:tabs>
              <w:ind w:right="85"/>
              <w:jc w:val="both"/>
              <w:rPr>
                <w:sz w:val="18"/>
              </w:rPr>
            </w:pPr>
            <w:r>
              <w:rPr>
                <w:sz w:val="18"/>
              </w:rPr>
              <w:t>Resolución Aprobada por la Asamblea</w:t>
            </w:r>
            <w:r>
              <w:rPr>
                <w:spacing w:val="-11"/>
                <w:sz w:val="18"/>
              </w:rPr>
              <w:t xml:space="preserve"> </w:t>
            </w:r>
            <w:r>
              <w:rPr>
                <w:sz w:val="18"/>
              </w:rPr>
              <w:t>General</w:t>
            </w:r>
            <w:r>
              <w:rPr>
                <w:spacing w:val="-11"/>
                <w:sz w:val="18"/>
              </w:rPr>
              <w:t xml:space="preserve"> </w:t>
            </w:r>
            <w:r>
              <w:rPr>
                <w:sz w:val="18"/>
              </w:rPr>
              <w:t>70/1</w:t>
            </w:r>
            <w:r>
              <w:rPr>
                <w:spacing w:val="-11"/>
                <w:sz w:val="18"/>
              </w:rPr>
              <w:t xml:space="preserve"> </w:t>
            </w:r>
            <w:r>
              <w:rPr>
                <w:sz w:val="18"/>
              </w:rPr>
              <w:t>del</w:t>
            </w:r>
            <w:r>
              <w:rPr>
                <w:spacing w:val="-13"/>
                <w:sz w:val="18"/>
              </w:rPr>
              <w:t xml:space="preserve"> </w:t>
            </w:r>
            <w:r>
              <w:rPr>
                <w:sz w:val="18"/>
              </w:rPr>
              <w:t>25</w:t>
            </w:r>
            <w:r>
              <w:rPr>
                <w:spacing w:val="-11"/>
                <w:sz w:val="18"/>
              </w:rPr>
              <w:t xml:space="preserve"> </w:t>
            </w:r>
            <w:r>
              <w:rPr>
                <w:sz w:val="18"/>
              </w:rPr>
              <w:t>de septiembre</w:t>
            </w:r>
            <w:r>
              <w:rPr>
                <w:spacing w:val="80"/>
                <w:w w:val="150"/>
                <w:sz w:val="18"/>
              </w:rPr>
              <w:t xml:space="preserve">   </w:t>
            </w:r>
            <w:r>
              <w:rPr>
                <w:sz w:val="18"/>
              </w:rPr>
              <w:t>de</w:t>
            </w:r>
            <w:r>
              <w:rPr>
                <w:spacing w:val="80"/>
                <w:w w:val="150"/>
                <w:sz w:val="18"/>
              </w:rPr>
              <w:t xml:space="preserve">   </w:t>
            </w:r>
            <w:r>
              <w:rPr>
                <w:sz w:val="18"/>
              </w:rPr>
              <w:t>2015:</w:t>
            </w:r>
          </w:p>
          <w:p w14:paraId="7E24C384" w14:textId="77777777" w:rsidR="000E52B0" w:rsidRDefault="00F60D74">
            <w:pPr>
              <w:pStyle w:val="TableParagraph"/>
              <w:ind w:left="398" w:right="85"/>
              <w:jc w:val="both"/>
              <w:rPr>
                <w:sz w:val="18"/>
              </w:rPr>
            </w:pPr>
            <w:r>
              <w:rPr>
                <w:sz w:val="18"/>
              </w:rPr>
              <w:t>Transformar nuestro mundo: la Agenda 2030 para el Desarrollo Sostenible - Objetivo 1 poner fin a</w:t>
            </w:r>
            <w:r>
              <w:rPr>
                <w:spacing w:val="-5"/>
                <w:sz w:val="18"/>
              </w:rPr>
              <w:t xml:space="preserve"> </w:t>
            </w:r>
            <w:r>
              <w:rPr>
                <w:sz w:val="18"/>
              </w:rPr>
              <w:t>la</w:t>
            </w:r>
            <w:r>
              <w:rPr>
                <w:spacing w:val="-5"/>
                <w:sz w:val="18"/>
              </w:rPr>
              <w:t xml:space="preserve"> </w:t>
            </w:r>
            <w:r>
              <w:rPr>
                <w:sz w:val="18"/>
              </w:rPr>
              <w:t>pobreza</w:t>
            </w:r>
            <w:r>
              <w:rPr>
                <w:spacing w:val="-5"/>
                <w:sz w:val="18"/>
              </w:rPr>
              <w:t xml:space="preserve"> </w:t>
            </w:r>
            <w:r>
              <w:rPr>
                <w:sz w:val="18"/>
              </w:rPr>
              <w:t>en</w:t>
            </w:r>
            <w:r>
              <w:rPr>
                <w:spacing w:val="-6"/>
                <w:sz w:val="18"/>
              </w:rPr>
              <w:t xml:space="preserve"> </w:t>
            </w:r>
            <w:r>
              <w:rPr>
                <w:sz w:val="18"/>
              </w:rPr>
              <w:t>todas</w:t>
            </w:r>
            <w:r>
              <w:rPr>
                <w:spacing w:val="-6"/>
                <w:sz w:val="18"/>
              </w:rPr>
              <w:t xml:space="preserve"> </w:t>
            </w:r>
            <w:r>
              <w:rPr>
                <w:sz w:val="18"/>
              </w:rPr>
              <w:t>sus</w:t>
            </w:r>
            <w:r>
              <w:rPr>
                <w:spacing w:val="-5"/>
                <w:sz w:val="18"/>
              </w:rPr>
              <w:t xml:space="preserve"> </w:t>
            </w:r>
            <w:r>
              <w:rPr>
                <w:sz w:val="18"/>
              </w:rPr>
              <w:t>formas y en todo el mundo</w:t>
            </w:r>
          </w:p>
          <w:p w14:paraId="636D9D5B" w14:textId="77777777" w:rsidR="000E52B0" w:rsidRDefault="00F60D74">
            <w:pPr>
              <w:pStyle w:val="TableParagraph"/>
              <w:numPr>
                <w:ilvl w:val="0"/>
                <w:numId w:val="39"/>
              </w:numPr>
              <w:tabs>
                <w:tab w:val="left" w:pos="396"/>
                <w:tab w:val="left" w:pos="398"/>
              </w:tabs>
              <w:spacing w:line="237" w:lineRule="auto"/>
              <w:ind w:right="90"/>
              <w:jc w:val="both"/>
              <w:rPr>
                <w:sz w:val="18"/>
              </w:rPr>
            </w:pPr>
            <w:r>
              <w:rPr>
                <w:sz w:val="18"/>
              </w:rPr>
              <w:t>Declaración Universal de Derechos Humanos, 1948, art. 25º inciso 2; art. 22º</w:t>
            </w:r>
          </w:p>
          <w:p w14:paraId="7F3A9661" w14:textId="77777777" w:rsidR="000E52B0" w:rsidRDefault="00F60D74">
            <w:pPr>
              <w:pStyle w:val="TableParagraph"/>
              <w:numPr>
                <w:ilvl w:val="0"/>
                <w:numId w:val="39"/>
              </w:numPr>
              <w:tabs>
                <w:tab w:val="left" w:pos="396"/>
                <w:tab w:val="left" w:pos="398"/>
              </w:tabs>
              <w:spacing w:before="3"/>
              <w:ind w:right="89"/>
              <w:jc w:val="both"/>
              <w:rPr>
                <w:sz w:val="18"/>
              </w:rPr>
            </w:pPr>
            <w:r>
              <w:rPr>
                <w:sz w:val="18"/>
              </w:rPr>
              <w:t>Convención sobre la eliminación de todas las formas de discriminación contra la mujer (CEDAW) 1979. Art. No 5.a, 11º</w:t>
            </w:r>
          </w:p>
          <w:p w14:paraId="05A7FDC7" w14:textId="77777777" w:rsidR="000E52B0" w:rsidRDefault="00F60D74">
            <w:pPr>
              <w:pStyle w:val="TableParagraph"/>
              <w:ind w:left="398" w:right="90"/>
              <w:jc w:val="both"/>
              <w:rPr>
                <w:sz w:val="18"/>
              </w:rPr>
            </w:pPr>
            <w:r>
              <w:rPr>
                <w:sz w:val="18"/>
              </w:rPr>
              <w:t>incisos</w:t>
            </w:r>
            <w:r>
              <w:rPr>
                <w:spacing w:val="-10"/>
                <w:sz w:val="18"/>
              </w:rPr>
              <w:t xml:space="preserve"> </w:t>
            </w:r>
            <w:r>
              <w:rPr>
                <w:sz w:val="18"/>
              </w:rPr>
              <w:t>2</w:t>
            </w:r>
            <w:r>
              <w:rPr>
                <w:spacing w:val="-10"/>
                <w:sz w:val="18"/>
              </w:rPr>
              <w:t xml:space="preserve"> </w:t>
            </w:r>
            <w:r>
              <w:rPr>
                <w:sz w:val="18"/>
              </w:rPr>
              <w:t>y</w:t>
            </w:r>
            <w:r>
              <w:rPr>
                <w:spacing w:val="-11"/>
                <w:sz w:val="18"/>
              </w:rPr>
              <w:t xml:space="preserve"> </w:t>
            </w:r>
            <w:r>
              <w:rPr>
                <w:sz w:val="18"/>
              </w:rPr>
              <w:t>2.c.</w:t>
            </w:r>
            <w:r>
              <w:rPr>
                <w:spacing w:val="-9"/>
                <w:sz w:val="18"/>
              </w:rPr>
              <w:t xml:space="preserve"> </w:t>
            </w:r>
            <w:r>
              <w:rPr>
                <w:sz w:val="18"/>
              </w:rPr>
              <w:t>Art.</w:t>
            </w:r>
            <w:r>
              <w:rPr>
                <w:spacing w:val="-9"/>
                <w:sz w:val="18"/>
              </w:rPr>
              <w:t xml:space="preserve"> </w:t>
            </w:r>
            <w:r>
              <w:rPr>
                <w:sz w:val="18"/>
              </w:rPr>
              <w:t>No</w:t>
            </w:r>
            <w:r>
              <w:rPr>
                <w:spacing w:val="-9"/>
                <w:sz w:val="18"/>
              </w:rPr>
              <w:t xml:space="preserve"> </w:t>
            </w:r>
            <w:r>
              <w:rPr>
                <w:sz w:val="18"/>
              </w:rPr>
              <w:t>11.2a,</w:t>
            </w:r>
            <w:r>
              <w:rPr>
                <w:spacing w:val="-11"/>
                <w:sz w:val="18"/>
              </w:rPr>
              <w:t xml:space="preserve"> </w:t>
            </w:r>
            <w:r>
              <w:rPr>
                <w:sz w:val="18"/>
              </w:rPr>
              <w:t>b</w:t>
            </w:r>
            <w:r>
              <w:rPr>
                <w:spacing w:val="-10"/>
                <w:sz w:val="18"/>
              </w:rPr>
              <w:t xml:space="preserve"> </w:t>
            </w:r>
            <w:r>
              <w:rPr>
                <w:sz w:val="18"/>
              </w:rPr>
              <w:t xml:space="preserve">y </w:t>
            </w:r>
            <w:r>
              <w:rPr>
                <w:spacing w:val="-6"/>
                <w:sz w:val="18"/>
              </w:rPr>
              <w:t>c.</w:t>
            </w:r>
          </w:p>
          <w:p w14:paraId="18BF7C8F" w14:textId="77777777" w:rsidR="000E52B0" w:rsidRDefault="00F60D74">
            <w:pPr>
              <w:pStyle w:val="TableParagraph"/>
              <w:numPr>
                <w:ilvl w:val="0"/>
                <w:numId w:val="39"/>
              </w:numPr>
              <w:tabs>
                <w:tab w:val="left" w:pos="396"/>
                <w:tab w:val="left" w:pos="398"/>
              </w:tabs>
              <w:ind w:right="87"/>
              <w:jc w:val="both"/>
              <w:rPr>
                <w:sz w:val="18"/>
              </w:rPr>
            </w:pPr>
            <w:r>
              <w:rPr>
                <w:sz w:val="18"/>
              </w:rPr>
              <w:t>Recomendación general CEDAW: No 17, (1991) Medición y cuantificación del trabajo doméstico no remunerado de la mujer y su reconocimiento en el producto nacional bruto.</w:t>
            </w:r>
          </w:p>
          <w:p w14:paraId="051A3572" w14:textId="77777777" w:rsidR="000E52B0" w:rsidRDefault="00F60D74">
            <w:pPr>
              <w:pStyle w:val="TableParagraph"/>
              <w:numPr>
                <w:ilvl w:val="0"/>
                <w:numId w:val="39"/>
              </w:numPr>
              <w:tabs>
                <w:tab w:val="left" w:pos="396"/>
                <w:tab w:val="left" w:pos="398"/>
              </w:tabs>
              <w:ind w:right="88"/>
              <w:jc w:val="both"/>
              <w:rPr>
                <w:sz w:val="18"/>
              </w:rPr>
            </w:pPr>
            <w:r>
              <w:rPr>
                <w:sz w:val="18"/>
              </w:rPr>
              <w:t>Recomendación</w:t>
            </w:r>
            <w:r>
              <w:rPr>
                <w:spacing w:val="-1"/>
                <w:sz w:val="18"/>
              </w:rPr>
              <w:t xml:space="preserve"> </w:t>
            </w:r>
            <w:r>
              <w:rPr>
                <w:sz w:val="18"/>
              </w:rPr>
              <w:t>general</w:t>
            </w:r>
            <w:r>
              <w:rPr>
                <w:spacing w:val="-1"/>
                <w:sz w:val="18"/>
              </w:rPr>
              <w:t xml:space="preserve"> </w:t>
            </w:r>
            <w:r>
              <w:rPr>
                <w:sz w:val="18"/>
              </w:rPr>
              <w:t xml:space="preserve">CEDAW: No 21: La igualdad en el matrimonio y en las relaciones </w:t>
            </w:r>
            <w:r>
              <w:rPr>
                <w:spacing w:val="-2"/>
                <w:sz w:val="18"/>
              </w:rPr>
              <w:t>familiares.</w:t>
            </w:r>
          </w:p>
          <w:p w14:paraId="5981126E" w14:textId="77777777" w:rsidR="000E52B0" w:rsidRDefault="00F60D74">
            <w:pPr>
              <w:pStyle w:val="TableParagraph"/>
              <w:numPr>
                <w:ilvl w:val="0"/>
                <w:numId w:val="39"/>
              </w:numPr>
              <w:tabs>
                <w:tab w:val="left" w:pos="396"/>
                <w:tab w:val="left" w:pos="398"/>
              </w:tabs>
              <w:ind w:right="88"/>
              <w:jc w:val="both"/>
              <w:rPr>
                <w:sz w:val="18"/>
              </w:rPr>
            </w:pPr>
            <w:r>
              <w:rPr>
                <w:sz w:val="18"/>
              </w:rPr>
              <w:t>Recomendación</w:t>
            </w:r>
            <w:r>
              <w:rPr>
                <w:spacing w:val="-1"/>
                <w:sz w:val="18"/>
              </w:rPr>
              <w:t xml:space="preserve"> </w:t>
            </w:r>
            <w:r>
              <w:rPr>
                <w:sz w:val="18"/>
              </w:rPr>
              <w:t>general</w:t>
            </w:r>
            <w:r>
              <w:rPr>
                <w:spacing w:val="-1"/>
                <w:sz w:val="18"/>
              </w:rPr>
              <w:t xml:space="preserve"> </w:t>
            </w:r>
            <w:r>
              <w:rPr>
                <w:sz w:val="18"/>
              </w:rPr>
              <w:t xml:space="preserve">CEDAW: No 26: sobre las trabajadoras </w:t>
            </w:r>
            <w:r>
              <w:rPr>
                <w:spacing w:val="-2"/>
                <w:sz w:val="18"/>
              </w:rPr>
              <w:t>migratorias.</w:t>
            </w:r>
          </w:p>
          <w:p w14:paraId="47ACF2C2" w14:textId="77777777" w:rsidR="000E52B0" w:rsidRDefault="00F60D74">
            <w:pPr>
              <w:pStyle w:val="TableParagraph"/>
              <w:numPr>
                <w:ilvl w:val="0"/>
                <w:numId w:val="39"/>
              </w:numPr>
              <w:tabs>
                <w:tab w:val="left" w:pos="396"/>
                <w:tab w:val="left" w:pos="398"/>
              </w:tabs>
              <w:ind w:right="86"/>
              <w:jc w:val="both"/>
              <w:rPr>
                <w:sz w:val="18"/>
              </w:rPr>
            </w:pPr>
            <w:r>
              <w:rPr>
                <w:sz w:val="18"/>
              </w:rPr>
              <w:t>Recomendación general CEDAW: No 27 (2010), sobre las mujeres de edad y la protección de sus derechos</w:t>
            </w:r>
            <w:r>
              <w:rPr>
                <w:spacing w:val="-16"/>
                <w:sz w:val="18"/>
              </w:rPr>
              <w:t xml:space="preserve"> </w:t>
            </w:r>
            <w:r>
              <w:rPr>
                <w:sz w:val="18"/>
              </w:rPr>
              <w:t>humanos,</w:t>
            </w:r>
            <w:r>
              <w:rPr>
                <w:spacing w:val="-16"/>
                <w:sz w:val="18"/>
              </w:rPr>
              <w:t xml:space="preserve"> </w:t>
            </w:r>
            <w:r>
              <w:rPr>
                <w:sz w:val="18"/>
              </w:rPr>
              <w:t>párrafos</w:t>
            </w:r>
            <w:r>
              <w:rPr>
                <w:spacing w:val="-16"/>
                <w:sz w:val="18"/>
              </w:rPr>
              <w:t xml:space="preserve"> </w:t>
            </w:r>
            <w:r>
              <w:rPr>
                <w:sz w:val="18"/>
              </w:rPr>
              <w:t>43</w:t>
            </w:r>
            <w:r>
              <w:rPr>
                <w:spacing w:val="-16"/>
                <w:sz w:val="18"/>
              </w:rPr>
              <w:t xml:space="preserve"> </w:t>
            </w:r>
            <w:r>
              <w:rPr>
                <w:sz w:val="18"/>
              </w:rPr>
              <w:t xml:space="preserve">y </w:t>
            </w:r>
            <w:r>
              <w:rPr>
                <w:spacing w:val="-4"/>
                <w:sz w:val="18"/>
              </w:rPr>
              <w:t>44.</w:t>
            </w:r>
          </w:p>
          <w:p w14:paraId="50E9CC6D" w14:textId="77777777" w:rsidR="000E52B0" w:rsidRDefault="00F60D74">
            <w:pPr>
              <w:pStyle w:val="TableParagraph"/>
              <w:numPr>
                <w:ilvl w:val="0"/>
                <w:numId w:val="39"/>
              </w:numPr>
              <w:tabs>
                <w:tab w:val="left" w:pos="396"/>
                <w:tab w:val="left" w:pos="398"/>
              </w:tabs>
              <w:spacing w:line="237" w:lineRule="auto"/>
              <w:ind w:right="88"/>
              <w:jc w:val="both"/>
              <w:rPr>
                <w:sz w:val="18"/>
              </w:rPr>
            </w:pPr>
            <w:r>
              <w:rPr>
                <w:sz w:val="18"/>
              </w:rPr>
              <w:t>Convención de los Derechos del Niño (1981), art. 3º, 4º, 18º, 23º, 30º y 24º inciso 2.</w:t>
            </w:r>
          </w:p>
          <w:p w14:paraId="3454442B" w14:textId="77777777" w:rsidR="000E52B0" w:rsidRDefault="00F60D74">
            <w:pPr>
              <w:pStyle w:val="TableParagraph"/>
              <w:numPr>
                <w:ilvl w:val="0"/>
                <w:numId w:val="39"/>
              </w:numPr>
              <w:tabs>
                <w:tab w:val="left" w:pos="396"/>
                <w:tab w:val="left" w:pos="398"/>
              </w:tabs>
              <w:ind w:right="86"/>
              <w:jc w:val="both"/>
              <w:rPr>
                <w:sz w:val="18"/>
              </w:rPr>
            </w:pPr>
            <w:r>
              <w:rPr>
                <w:sz w:val="18"/>
              </w:rPr>
              <w:t xml:space="preserve">Protocolo Adicional a la Convención Americana sobre </w:t>
            </w:r>
            <w:r>
              <w:rPr>
                <w:spacing w:val="-2"/>
                <w:sz w:val="18"/>
              </w:rPr>
              <w:t>Derechos</w:t>
            </w:r>
            <w:r>
              <w:rPr>
                <w:spacing w:val="-13"/>
                <w:sz w:val="18"/>
              </w:rPr>
              <w:t xml:space="preserve"> </w:t>
            </w:r>
            <w:r>
              <w:rPr>
                <w:spacing w:val="-2"/>
                <w:sz w:val="18"/>
              </w:rPr>
              <w:t>Humanos</w:t>
            </w:r>
            <w:r>
              <w:rPr>
                <w:spacing w:val="-13"/>
                <w:sz w:val="18"/>
              </w:rPr>
              <w:t xml:space="preserve"> </w:t>
            </w:r>
            <w:r>
              <w:rPr>
                <w:spacing w:val="-2"/>
                <w:sz w:val="18"/>
              </w:rPr>
              <w:t>en</w:t>
            </w:r>
            <w:r>
              <w:rPr>
                <w:spacing w:val="-12"/>
                <w:sz w:val="18"/>
              </w:rPr>
              <w:t xml:space="preserve"> </w:t>
            </w:r>
            <w:r>
              <w:rPr>
                <w:spacing w:val="-2"/>
                <w:sz w:val="18"/>
              </w:rPr>
              <w:t>materia</w:t>
            </w:r>
            <w:r>
              <w:rPr>
                <w:spacing w:val="-13"/>
                <w:sz w:val="18"/>
              </w:rPr>
              <w:t xml:space="preserve"> </w:t>
            </w:r>
            <w:r>
              <w:rPr>
                <w:spacing w:val="-2"/>
                <w:sz w:val="18"/>
              </w:rPr>
              <w:t xml:space="preserve">de </w:t>
            </w:r>
            <w:r>
              <w:rPr>
                <w:sz w:val="18"/>
              </w:rPr>
              <w:t>Derechos</w:t>
            </w:r>
            <w:r>
              <w:rPr>
                <w:spacing w:val="-6"/>
                <w:sz w:val="18"/>
              </w:rPr>
              <w:t xml:space="preserve"> </w:t>
            </w:r>
            <w:r>
              <w:rPr>
                <w:sz w:val="18"/>
              </w:rPr>
              <w:t>Económicos,</w:t>
            </w:r>
            <w:r>
              <w:rPr>
                <w:spacing w:val="-7"/>
                <w:sz w:val="18"/>
              </w:rPr>
              <w:t xml:space="preserve"> </w:t>
            </w:r>
            <w:r>
              <w:rPr>
                <w:sz w:val="18"/>
              </w:rPr>
              <w:t>Sociales</w:t>
            </w:r>
            <w:r>
              <w:rPr>
                <w:spacing w:val="-6"/>
                <w:sz w:val="18"/>
              </w:rPr>
              <w:t xml:space="preserve"> </w:t>
            </w:r>
            <w:r>
              <w:rPr>
                <w:sz w:val="18"/>
              </w:rPr>
              <w:t>y Culturales, Protocolo de San Salvador (1988), artículo 17º</w:t>
            </w:r>
          </w:p>
          <w:p w14:paraId="1FC805E8" w14:textId="77777777" w:rsidR="000E52B0" w:rsidRDefault="00F60D74">
            <w:pPr>
              <w:pStyle w:val="TableParagraph"/>
              <w:numPr>
                <w:ilvl w:val="0"/>
                <w:numId w:val="39"/>
              </w:numPr>
              <w:tabs>
                <w:tab w:val="left" w:pos="396"/>
                <w:tab w:val="left" w:pos="398"/>
              </w:tabs>
              <w:ind w:right="87"/>
              <w:jc w:val="both"/>
              <w:rPr>
                <w:sz w:val="18"/>
              </w:rPr>
            </w:pPr>
            <w:r>
              <w:rPr>
                <w:sz w:val="18"/>
              </w:rPr>
              <w:t>Convenio N.º 156 de la OIT, sobre los trabajadores con responsabilidades familiares, (1981), art. 5°. b.</w:t>
            </w:r>
          </w:p>
          <w:p w14:paraId="5797586A" w14:textId="77777777" w:rsidR="000E52B0" w:rsidRDefault="00F60D74">
            <w:pPr>
              <w:pStyle w:val="TableParagraph"/>
              <w:numPr>
                <w:ilvl w:val="0"/>
                <w:numId w:val="39"/>
              </w:numPr>
              <w:tabs>
                <w:tab w:val="left" w:pos="396"/>
                <w:tab w:val="left" w:pos="398"/>
              </w:tabs>
              <w:spacing w:line="237" w:lineRule="auto"/>
              <w:ind w:right="87"/>
              <w:jc w:val="both"/>
              <w:rPr>
                <w:sz w:val="18"/>
              </w:rPr>
            </w:pPr>
            <w:r>
              <w:rPr>
                <w:sz w:val="18"/>
              </w:rPr>
              <w:t xml:space="preserve">Recomendación general N°165, al Convenio N.º 156 de la OIT </w:t>
            </w:r>
            <w:r>
              <w:rPr>
                <w:spacing w:val="-2"/>
                <w:sz w:val="18"/>
              </w:rPr>
              <w:t>(1981).</w:t>
            </w:r>
          </w:p>
          <w:p w14:paraId="6427D11E" w14:textId="77777777" w:rsidR="000E52B0" w:rsidRDefault="00F60D74">
            <w:pPr>
              <w:pStyle w:val="TableParagraph"/>
              <w:numPr>
                <w:ilvl w:val="0"/>
                <w:numId w:val="39"/>
              </w:numPr>
              <w:tabs>
                <w:tab w:val="left" w:pos="396"/>
                <w:tab w:val="left" w:pos="398"/>
              </w:tabs>
              <w:ind w:right="86"/>
              <w:jc w:val="both"/>
              <w:rPr>
                <w:sz w:val="18"/>
              </w:rPr>
            </w:pPr>
            <w:r>
              <w:rPr>
                <w:sz w:val="18"/>
              </w:rPr>
              <w:t>Convenio</w:t>
            </w:r>
            <w:r>
              <w:rPr>
                <w:spacing w:val="-16"/>
                <w:sz w:val="18"/>
              </w:rPr>
              <w:t xml:space="preserve"> </w:t>
            </w:r>
            <w:r>
              <w:rPr>
                <w:sz w:val="18"/>
              </w:rPr>
              <w:t>No</w:t>
            </w:r>
            <w:r>
              <w:rPr>
                <w:spacing w:val="-14"/>
                <w:sz w:val="18"/>
              </w:rPr>
              <w:t xml:space="preserve"> </w:t>
            </w:r>
            <w:r>
              <w:rPr>
                <w:sz w:val="18"/>
              </w:rPr>
              <w:t>189</w:t>
            </w:r>
            <w:r>
              <w:rPr>
                <w:spacing w:val="-15"/>
                <w:sz w:val="18"/>
              </w:rPr>
              <w:t xml:space="preserve"> </w:t>
            </w:r>
            <w:r>
              <w:rPr>
                <w:sz w:val="18"/>
              </w:rPr>
              <w:t>de</w:t>
            </w:r>
            <w:r>
              <w:rPr>
                <w:spacing w:val="-15"/>
                <w:sz w:val="18"/>
              </w:rPr>
              <w:t xml:space="preserve"> </w:t>
            </w:r>
            <w:r>
              <w:rPr>
                <w:sz w:val="18"/>
              </w:rPr>
              <w:t>la</w:t>
            </w:r>
            <w:r>
              <w:rPr>
                <w:spacing w:val="-16"/>
                <w:sz w:val="18"/>
              </w:rPr>
              <w:t xml:space="preserve"> </w:t>
            </w:r>
            <w:r>
              <w:rPr>
                <w:sz w:val="18"/>
              </w:rPr>
              <w:t>OIT,</w:t>
            </w:r>
            <w:r>
              <w:rPr>
                <w:spacing w:val="-16"/>
                <w:sz w:val="18"/>
              </w:rPr>
              <w:t xml:space="preserve"> </w:t>
            </w:r>
            <w:r>
              <w:rPr>
                <w:sz w:val="18"/>
              </w:rPr>
              <w:t>sobre las trabajadoras y trabajadores domésticos (2011), art. 2o y 3o; y su Recomendación No 201.</w:t>
            </w:r>
          </w:p>
          <w:p w14:paraId="668E5A57" w14:textId="77777777" w:rsidR="000E52B0" w:rsidRDefault="00F60D74">
            <w:pPr>
              <w:pStyle w:val="TableParagraph"/>
              <w:numPr>
                <w:ilvl w:val="0"/>
                <w:numId w:val="39"/>
              </w:numPr>
              <w:tabs>
                <w:tab w:val="left" w:pos="396"/>
                <w:tab w:val="left" w:pos="398"/>
              </w:tabs>
              <w:spacing w:line="218" w:lineRule="exact"/>
              <w:ind w:right="86"/>
              <w:jc w:val="both"/>
              <w:rPr>
                <w:sz w:val="18"/>
              </w:rPr>
            </w:pPr>
            <w:r>
              <w:rPr>
                <w:sz w:val="18"/>
              </w:rPr>
              <w:t>Observación</w:t>
            </w:r>
            <w:r>
              <w:rPr>
                <w:spacing w:val="-11"/>
                <w:sz w:val="18"/>
              </w:rPr>
              <w:t xml:space="preserve"> </w:t>
            </w:r>
            <w:r>
              <w:rPr>
                <w:sz w:val="18"/>
              </w:rPr>
              <w:t>general</w:t>
            </w:r>
            <w:r>
              <w:rPr>
                <w:spacing w:val="-9"/>
                <w:sz w:val="18"/>
              </w:rPr>
              <w:t xml:space="preserve"> </w:t>
            </w:r>
            <w:r>
              <w:rPr>
                <w:sz w:val="18"/>
              </w:rPr>
              <w:t>No</w:t>
            </w:r>
            <w:r>
              <w:rPr>
                <w:spacing w:val="-9"/>
                <w:sz w:val="18"/>
              </w:rPr>
              <w:t xml:space="preserve"> </w:t>
            </w:r>
            <w:r>
              <w:rPr>
                <w:sz w:val="18"/>
              </w:rPr>
              <w:t>6</w:t>
            </w:r>
            <w:r>
              <w:rPr>
                <w:spacing w:val="-11"/>
                <w:sz w:val="18"/>
              </w:rPr>
              <w:t xml:space="preserve"> </w:t>
            </w:r>
            <w:r>
              <w:rPr>
                <w:sz w:val="18"/>
              </w:rPr>
              <w:t>(1995) del Pacto Internacional de Derechos</w:t>
            </w:r>
            <w:r>
              <w:rPr>
                <w:spacing w:val="-6"/>
                <w:sz w:val="18"/>
              </w:rPr>
              <w:t xml:space="preserve"> </w:t>
            </w:r>
            <w:r>
              <w:rPr>
                <w:sz w:val="18"/>
              </w:rPr>
              <w:t>Económicos,</w:t>
            </w:r>
            <w:r>
              <w:rPr>
                <w:spacing w:val="-7"/>
                <w:sz w:val="18"/>
              </w:rPr>
              <w:t xml:space="preserve"> </w:t>
            </w:r>
            <w:r>
              <w:rPr>
                <w:sz w:val="18"/>
              </w:rPr>
              <w:t>Sociales</w:t>
            </w:r>
            <w:r>
              <w:rPr>
                <w:spacing w:val="-6"/>
                <w:sz w:val="18"/>
              </w:rPr>
              <w:t xml:space="preserve"> </w:t>
            </w:r>
            <w:r>
              <w:rPr>
                <w:sz w:val="18"/>
              </w:rPr>
              <w:t>y</w:t>
            </w:r>
          </w:p>
        </w:tc>
        <w:tc>
          <w:tcPr>
            <w:tcW w:w="3798" w:type="dxa"/>
          </w:tcPr>
          <w:p w14:paraId="7E2CB1C4" w14:textId="77777777" w:rsidR="000E52B0" w:rsidRDefault="00F60D74">
            <w:pPr>
              <w:pStyle w:val="TableParagraph"/>
              <w:ind w:left="108" w:right="85"/>
              <w:jc w:val="both"/>
              <w:rPr>
                <w:sz w:val="18"/>
              </w:rPr>
            </w:pPr>
            <w:r>
              <w:rPr>
                <w:b/>
                <w:sz w:val="18"/>
              </w:rPr>
              <w:t xml:space="preserve">Programa “Agua es Vida”. </w:t>
            </w:r>
            <w:r>
              <w:rPr>
                <w:sz w:val="18"/>
              </w:rPr>
              <w:t xml:space="preserve">Pretende avanzar en la garantía del derecho al agua y saneamiento en cuanto a disponibilidad y acceso en territorios marginados y excluidos. </w:t>
            </w:r>
            <w:r>
              <w:rPr>
                <w:color w:val="3A3A3A"/>
                <w:sz w:val="18"/>
              </w:rPr>
              <w:t>Para lograr esto se han definido cuatro líneas de acción: infraestructura de sistemas convencionales y no convencionales, instalación de soluciones no convencionales, fortalecimiento de infraestructura comunitaria y fortalecimiento de la gobernanza territorial del agua.</w:t>
            </w:r>
          </w:p>
          <w:p w14:paraId="13AC9734" w14:textId="77777777" w:rsidR="000E52B0" w:rsidRDefault="000E52B0">
            <w:pPr>
              <w:pStyle w:val="TableParagraph"/>
              <w:spacing w:before="159"/>
              <w:rPr>
                <w:sz w:val="18"/>
              </w:rPr>
            </w:pPr>
          </w:p>
          <w:p w14:paraId="5F31680D" w14:textId="77777777" w:rsidR="000E52B0" w:rsidRDefault="00F60D74">
            <w:pPr>
              <w:pStyle w:val="TableParagraph"/>
              <w:ind w:left="108" w:right="85"/>
              <w:jc w:val="both"/>
              <w:rPr>
                <w:sz w:val="18"/>
              </w:rPr>
            </w:pPr>
            <w:r>
              <w:rPr>
                <w:b/>
                <w:sz w:val="18"/>
              </w:rPr>
              <w:t xml:space="preserve">Programa “Hambre Cero”. </w:t>
            </w:r>
            <w:r>
              <w:rPr>
                <w:color w:val="3A3A3A"/>
                <w:sz w:val="18"/>
              </w:rPr>
              <w:t>pretende avanzar en la garantía progresiva del Derecho Humano a la Alimentación, mediante articulación interinstitucional para erradicar el hambre en Colombia.</w:t>
            </w:r>
          </w:p>
          <w:p w14:paraId="0571A37A" w14:textId="77777777" w:rsidR="000E52B0" w:rsidRDefault="000E52B0">
            <w:pPr>
              <w:pStyle w:val="TableParagraph"/>
              <w:spacing w:before="1"/>
              <w:rPr>
                <w:sz w:val="18"/>
              </w:rPr>
            </w:pPr>
          </w:p>
          <w:p w14:paraId="7399303F" w14:textId="77777777" w:rsidR="000E52B0" w:rsidRDefault="00F60D74">
            <w:pPr>
              <w:pStyle w:val="TableParagraph"/>
              <w:ind w:left="108" w:right="84"/>
              <w:jc w:val="both"/>
              <w:rPr>
                <w:sz w:val="18"/>
              </w:rPr>
            </w:pPr>
            <w:r>
              <w:rPr>
                <w:b/>
                <w:sz w:val="18"/>
              </w:rPr>
              <w:t>Programa ´´Economía Popular Y Comunitaria</w:t>
            </w:r>
            <w:r>
              <w:rPr>
                <w:b/>
                <w:spacing w:val="-8"/>
                <w:sz w:val="18"/>
              </w:rPr>
              <w:t xml:space="preserve"> </w:t>
            </w:r>
            <w:r>
              <w:rPr>
                <w:b/>
                <w:sz w:val="18"/>
              </w:rPr>
              <w:t>Para</w:t>
            </w:r>
            <w:r>
              <w:rPr>
                <w:b/>
                <w:spacing w:val="-8"/>
                <w:sz w:val="18"/>
              </w:rPr>
              <w:t xml:space="preserve"> </w:t>
            </w:r>
            <w:r>
              <w:rPr>
                <w:b/>
                <w:sz w:val="18"/>
              </w:rPr>
              <w:t>La</w:t>
            </w:r>
            <w:r>
              <w:rPr>
                <w:b/>
                <w:spacing w:val="-8"/>
                <w:sz w:val="18"/>
              </w:rPr>
              <w:t xml:space="preserve"> </w:t>
            </w:r>
            <w:r>
              <w:rPr>
                <w:b/>
                <w:sz w:val="18"/>
              </w:rPr>
              <w:t>Superación</w:t>
            </w:r>
            <w:r>
              <w:rPr>
                <w:b/>
                <w:spacing w:val="-9"/>
                <w:sz w:val="18"/>
              </w:rPr>
              <w:t xml:space="preserve"> </w:t>
            </w:r>
            <w:r>
              <w:rPr>
                <w:b/>
                <w:sz w:val="18"/>
              </w:rPr>
              <w:t xml:space="preserve">De La Pobreza”, </w:t>
            </w:r>
            <w:r>
              <w:rPr>
                <w:sz w:val="18"/>
              </w:rPr>
              <w:t xml:space="preserve">Busca fortalecer las capacidades productivas, asociativas, financieras y administrativas de los actores de la economía popular y comunitaria para la superación de las brechas de pobreza, mediante actividades de capacitación, talleres, giras de intercambio en aspectos organizacionales, financieros y </w:t>
            </w:r>
            <w:r>
              <w:rPr>
                <w:spacing w:val="-2"/>
                <w:sz w:val="18"/>
              </w:rPr>
              <w:t>administrativos.</w:t>
            </w:r>
          </w:p>
          <w:p w14:paraId="56DCD22D" w14:textId="77777777" w:rsidR="000E52B0" w:rsidRDefault="000E52B0">
            <w:pPr>
              <w:pStyle w:val="TableParagraph"/>
              <w:rPr>
                <w:sz w:val="18"/>
              </w:rPr>
            </w:pPr>
          </w:p>
          <w:p w14:paraId="7077FAC3" w14:textId="77777777" w:rsidR="000E52B0" w:rsidRDefault="000E52B0">
            <w:pPr>
              <w:pStyle w:val="TableParagraph"/>
              <w:spacing w:before="101"/>
              <w:rPr>
                <w:sz w:val="18"/>
              </w:rPr>
            </w:pPr>
          </w:p>
          <w:p w14:paraId="45DBF2B1" w14:textId="77777777" w:rsidR="000E52B0" w:rsidRDefault="00F60D74">
            <w:pPr>
              <w:pStyle w:val="TableParagraph"/>
              <w:ind w:left="108" w:right="86"/>
              <w:jc w:val="both"/>
              <w:rPr>
                <w:sz w:val="18"/>
              </w:rPr>
            </w:pPr>
            <w:r>
              <w:rPr>
                <w:b/>
                <w:sz w:val="18"/>
              </w:rPr>
              <w:t xml:space="preserve">Programa “Construyendo Dignidad Para Personas Habitantes De Calle”. </w:t>
            </w:r>
            <w:r>
              <w:rPr>
                <w:sz w:val="18"/>
              </w:rPr>
              <w:t xml:space="preserve">El programa se diseñó para cerrar brechas de desigualdad e inequidad, desde los enfoques misionales del Ministerio, y cuyas acciones se orientan a implementar desde el enfoque de derechos, a partir de facilitar respuestas diferenciadas </w:t>
            </w:r>
            <w:r>
              <w:rPr>
                <w:spacing w:val="-2"/>
                <w:sz w:val="18"/>
              </w:rPr>
              <w:t>concretas.</w:t>
            </w:r>
          </w:p>
          <w:p w14:paraId="21FA40DA" w14:textId="77777777" w:rsidR="000E52B0" w:rsidRDefault="000E52B0">
            <w:pPr>
              <w:pStyle w:val="TableParagraph"/>
              <w:spacing w:before="162"/>
              <w:rPr>
                <w:sz w:val="18"/>
              </w:rPr>
            </w:pPr>
          </w:p>
          <w:p w14:paraId="1896A8CA" w14:textId="77777777" w:rsidR="000E52B0" w:rsidRDefault="00F60D74">
            <w:pPr>
              <w:pStyle w:val="TableParagraph"/>
              <w:ind w:left="108" w:right="83"/>
              <w:jc w:val="both"/>
              <w:rPr>
                <w:sz w:val="18"/>
              </w:rPr>
            </w:pPr>
            <w:r>
              <w:rPr>
                <w:b/>
                <w:sz w:val="18"/>
              </w:rPr>
              <w:t>Programa “Reconocimiento Y Dignidad</w:t>
            </w:r>
            <w:r>
              <w:rPr>
                <w:b/>
                <w:spacing w:val="-7"/>
                <w:sz w:val="18"/>
              </w:rPr>
              <w:t xml:space="preserve"> </w:t>
            </w:r>
            <w:r>
              <w:rPr>
                <w:b/>
                <w:sz w:val="18"/>
              </w:rPr>
              <w:t>Para</w:t>
            </w:r>
            <w:r>
              <w:rPr>
                <w:b/>
                <w:spacing w:val="-6"/>
                <w:sz w:val="18"/>
              </w:rPr>
              <w:t xml:space="preserve"> </w:t>
            </w:r>
            <w:r>
              <w:rPr>
                <w:b/>
                <w:sz w:val="18"/>
              </w:rPr>
              <w:t>La</w:t>
            </w:r>
            <w:r>
              <w:rPr>
                <w:b/>
                <w:spacing w:val="-6"/>
                <w:sz w:val="18"/>
              </w:rPr>
              <w:t xml:space="preserve"> </w:t>
            </w:r>
            <w:r>
              <w:rPr>
                <w:b/>
                <w:sz w:val="18"/>
              </w:rPr>
              <w:t>Vida</w:t>
            </w:r>
            <w:r>
              <w:rPr>
                <w:b/>
                <w:spacing w:val="-6"/>
                <w:sz w:val="18"/>
              </w:rPr>
              <w:t xml:space="preserve"> </w:t>
            </w:r>
            <w:r>
              <w:rPr>
                <w:b/>
                <w:sz w:val="18"/>
              </w:rPr>
              <w:t>Plena</w:t>
            </w:r>
            <w:r>
              <w:rPr>
                <w:b/>
                <w:spacing w:val="-6"/>
                <w:sz w:val="18"/>
              </w:rPr>
              <w:t xml:space="preserve"> </w:t>
            </w:r>
            <w:r>
              <w:rPr>
                <w:b/>
                <w:sz w:val="18"/>
              </w:rPr>
              <w:t>De</w:t>
            </w:r>
            <w:r>
              <w:rPr>
                <w:b/>
                <w:spacing w:val="-5"/>
                <w:sz w:val="18"/>
              </w:rPr>
              <w:t xml:space="preserve"> </w:t>
            </w:r>
            <w:r>
              <w:rPr>
                <w:b/>
                <w:sz w:val="18"/>
              </w:rPr>
              <w:t xml:space="preserve">Las Personas Mayores”. </w:t>
            </w:r>
            <w:r>
              <w:rPr>
                <w:sz w:val="18"/>
              </w:rPr>
              <w:t>Este programa que tiene como objetivo, avanzar en la garantía del pleno ejercicio de los derechos de las personas mayores en relación con el cuidado, el reconocimiento, la autonomía y la erradicación</w:t>
            </w:r>
            <w:r>
              <w:rPr>
                <w:spacing w:val="77"/>
                <w:w w:val="150"/>
                <w:sz w:val="18"/>
              </w:rPr>
              <w:t xml:space="preserve"> </w:t>
            </w:r>
            <w:r>
              <w:rPr>
                <w:sz w:val="18"/>
              </w:rPr>
              <w:t>de</w:t>
            </w:r>
            <w:r>
              <w:rPr>
                <w:spacing w:val="78"/>
                <w:w w:val="150"/>
                <w:sz w:val="18"/>
              </w:rPr>
              <w:t xml:space="preserve"> </w:t>
            </w:r>
            <w:r>
              <w:rPr>
                <w:sz w:val="18"/>
              </w:rPr>
              <w:t>la</w:t>
            </w:r>
            <w:r>
              <w:rPr>
                <w:spacing w:val="77"/>
                <w:w w:val="150"/>
                <w:sz w:val="18"/>
              </w:rPr>
              <w:t xml:space="preserve"> </w:t>
            </w:r>
            <w:r>
              <w:rPr>
                <w:sz w:val="18"/>
              </w:rPr>
              <w:t>discriminación</w:t>
            </w:r>
            <w:r>
              <w:rPr>
                <w:spacing w:val="78"/>
                <w:w w:val="150"/>
                <w:sz w:val="18"/>
              </w:rPr>
              <w:t xml:space="preserve"> </w:t>
            </w:r>
            <w:r>
              <w:rPr>
                <w:spacing w:val="-10"/>
                <w:sz w:val="18"/>
              </w:rPr>
              <w:t>y</w:t>
            </w:r>
          </w:p>
          <w:p w14:paraId="66D60CB2" w14:textId="77777777" w:rsidR="000E52B0" w:rsidRDefault="00F60D74">
            <w:pPr>
              <w:pStyle w:val="TableParagraph"/>
              <w:spacing w:line="218" w:lineRule="exact"/>
              <w:ind w:left="108" w:right="83"/>
              <w:jc w:val="both"/>
              <w:rPr>
                <w:sz w:val="18"/>
              </w:rPr>
            </w:pPr>
            <w:r>
              <w:rPr>
                <w:sz w:val="18"/>
              </w:rPr>
              <w:t>todas las formas de violencias, busca fortalecer</w:t>
            </w:r>
            <w:r>
              <w:rPr>
                <w:spacing w:val="-10"/>
                <w:sz w:val="18"/>
              </w:rPr>
              <w:t xml:space="preserve"> </w:t>
            </w:r>
            <w:r>
              <w:rPr>
                <w:sz w:val="18"/>
              </w:rPr>
              <w:t>los</w:t>
            </w:r>
            <w:r>
              <w:rPr>
                <w:spacing w:val="-11"/>
                <w:sz w:val="18"/>
              </w:rPr>
              <w:t xml:space="preserve"> </w:t>
            </w:r>
            <w:r>
              <w:rPr>
                <w:sz w:val="18"/>
              </w:rPr>
              <w:t>entornos</w:t>
            </w:r>
            <w:r>
              <w:rPr>
                <w:spacing w:val="-11"/>
                <w:sz w:val="18"/>
              </w:rPr>
              <w:t xml:space="preserve"> </w:t>
            </w:r>
            <w:r>
              <w:rPr>
                <w:sz w:val="18"/>
              </w:rPr>
              <w:t>protectores</w:t>
            </w:r>
            <w:r>
              <w:rPr>
                <w:spacing w:val="-11"/>
                <w:sz w:val="18"/>
              </w:rPr>
              <w:t xml:space="preserve"> </w:t>
            </w:r>
            <w:r>
              <w:rPr>
                <w:sz w:val="18"/>
              </w:rPr>
              <w:t>y</w:t>
            </w:r>
            <w:r>
              <w:rPr>
                <w:spacing w:val="-10"/>
                <w:sz w:val="18"/>
              </w:rPr>
              <w:t xml:space="preserve"> </w:t>
            </w:r>
            <w:r>
              <w:rPr>
                <w:spacing w:val="-5"/>
                <w:sz w:val="18"/>
              </w:rPr>
              <w:t>las</w:t>
            </w:r>
          </w:p>
        </w:tc>
      </w:tr>
    </w:tbl>
    <w:p w14:paraId="12170056" w14:textId="77777777" w:rsidR="000E52B0" w:rsidRDefault="000E52B0">
      <w:pPr>
        <w:pStyle w:val="TableParagraph"/>
        <w:spacing w:line="218" w:lineRule="exact"/>
        <w:jc w:val="both"/>
        <w:rPr>
          <w:sz w:val="18"/>
        </w:rPr>
        <w:sectPr w:rsidR="000E52B0">
          <w:type w:val="continuous"/>
          <w:pgSz w:w="11910" w:h="16840"/>
          <w:pgMar w:top="1400" w:right="720" w:bottom="1180" w:left="720" w:header="0" w:footer="995" w:gutter="0"/>
          <w:cols w:space="720"/>
        </w:sectPr>
      </w:pPr>
    </w:p>
    <w:tbl>
      <w:tblPr>
        <w:tblStyle w:val="TableNormal"/>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94"/>
        <w:gridCol w:w="3524"/>
        <w:gridCol w:w="3798"/>
      </w:tblGrid>
      <w:tr w:rsidR="000E52B0" w14:paraId="413B9336" w14:textId="77777777">
        <w:trPr>
          <w:trHeight w:val="1094"/>
        </w:trPr>
        <w:tc>
          <w:tcPr>
            <w:tcW w:w="1694" w:type="dxa"/>
            <w:shd w:val="clear" w:color="auto" w:fill="D44673"/>
          </w:tcPr>
          <w:p w14:paraId="17749FF0" w14:textId="77777777" w:rsidR="000E52B0" w:rsidRDefault="00F60D74">
            <w:pPr>
              <w:pStyle w:val="TableParagraph"/>
              <w:ind w:left="189" w:right="171" w:firstLine="4"/>
              <w:jc w:val="center"/>
              <w:rPr>
                <w:b/>
                <w:sz w:val="18"/>
              </w:rPr>
            </w:pPr>
            <w:r>
              <w:rPr>
                <w:b/>
                <w:color w:val="FFFFFF"/>
                <w:spacing w:val="-2"/>
                <w:sz w:val="18"/>
              </w:rPr>
              <w:lastRenderedPageBreak/>
              <w:t xml:space="preserve">Población </w:t>
            </w:r>
            <w:r>
              <w:rPr>
                <w:b/>
                <w:color w:val="FFFFFF"/>
                <w:sz w:val="18"/>
              </w:rPr>
              <w:t xml:space="preserve">Ámbito de </w:t>
            </w:r>
            <w:r>
              <w:rPr>
                <w:b/>
                <w:color w:val="FFFFFF"/>
                <w:spacing w:val="-2"/>
                <w:sz w:val="18"/>
              </w:rPr>
              <w:t xml:space="preserve">Competencia </w:t>
            </w:r>
            <w:r>
              <w:rPr>
                <w:b/>
                <w:color w:val="FFFFFF"/>
                <w:sz w:val="18"/>
              </w:rPr>
              <w:t>Ministerio</w:t>
            </w:r>
            <w:r>
              <w:rPr>
                <w:b/>
                <w:color w:val="FFFFFF"/>
                <w:spacing w:val="-4"/>
                <w:sz w:val="18"/>
              </w:rPr>
              <w:t xml:space="preserve"> </w:t>
            </w:r>
            <w:r>
              <w:rPr>
                <w:b/>
                <w:color w:val="FFFFFF"/>
                <w:spacing w:val="-5"/>
                <w:sz w:val="18"/>
              </w:rPr>
              <w:t>de</w:t>
            </w:r>
          </w:p>
          <w:p w14:paraId="7028729B" w14:textId="77777777" w:rsidR="000E52B0" w:rsidRDefault="00F60D74">
            <w:pPr>
              <w:pStyle w:val="TableParagraph"/>
              <w:spacing w:line="199" w:lineRule="exact"/>
              <w:ind w:left="99" w:right="82"/>
              <w:jc w:val="center"/>
              <w:rPr>
                <w:b/>
                <w:sz w:val="18"/>
              </w:rPr>
            </w:pPr>
            <w:r>
              <w:rPr>
                <w:b/>
                <w:color w:val="FFFFFF"/>
                <w:spacing w:val="-2"/>
                <w:sz w:val="18"/>
              </w:rPr>
              <w:t>Igualdad</w:t>
            </w:r>
          </w:p>
        </w:tc>
        <w:tc>
          <w:tcPr>
            <w:tcW w:w="3524" w:type="dxa"/>
            <w:shd w:val="clear" w:color="auto" w:fill="D44673"/>
          </w:tcPr>
          <w:p w14:paraId="5AC19BE5" w14:textId="77777777" w:rsidR="000E52B0" w:rsidRDefault="000E52B0">
            <w:pPr>
              <w:pStyle w:val="TableParagraph"/>
              <w:rPr>
                <w:sz w:val="18"/>
              </w:rPr>
            </w:pPr>
          </w:p>
          <w:p w14:paraId="50867622" w14:textId="77777777" w:rsidR="000E52B0" w:rsidRDefault="000E52B0">
            <w:pPr>
              <w:pStyle w:val="TableParagraph"/>
              <w:rPr>
                <w:sz w:val="18"/>
              </w:rPr>
            </w:pPr>
          </w:p>
          <w:p w14:paraId="516EDD4D" w14:textId="77777777" w:rsidR="000E52B0" w:rsidRDefault="00F60D74">
            <w:pPr>
              <w:pStyle w:val="TableParagraph"/>
              <w:ind w:left="408"/>
              <w:rPr>
                <w:b/>
                <w:sz w:val="18"/>
              </w:rPr>
            </w:pPr>
            <w:r>
              <w:rPr>
                <w:b/>
                <w:color w:val="FFFFFF"/>
                <w:sz w:val="18"/>
              </w:rPr>
              <w:t>Instrumento</w:t>
            </w:r>
            <w:r>
              <w:rPr>
                <w:b/>
                <w:color w:val="FFFFFF"/>
                <w:spacing w:val="-5"/>
                <w:sz w:val="18"/>
              </w:rPr>
              <w:t xml:space="preserve"> </w:t>
            </w:r>
            <w:r>
              <w:rPr>
                <w:b/>
                <w:color w:val="FFFFFF"/>
                <w:spacing w:val="-2"/>
                <w:sz w:val="18"/>
              </w:rPr>
              <w:t>Internacional</w:t>
            </w:r>
          </w:p>
        </w:tc>
        <w:tc>
          <w:tcPr>
            <w:tcW w:w="3798" w:type="dxa"/>
            <w:shd w:val="clear" w:color="auto" w:fill="D44673"/>
          </w:tcPr>
          <w:p w14:paraId="252CC2D8" w14:textId="77777777" w:rsidR="000E52B0" w:rsidRDefault="00F60D74">
            <w:pPr>
              <w:pStyle w:val="TableParagraph"/>
              <w:spacing w:before="109"/>
              <w:ind w:left="30" w:right="16"/>
              <w:jc w:val="center"/>
              <w:rPr>
                <w:b/>
                <w:sz w:val="18"/>
              </w:rPr>
            </w:pPr>
            <w:r>
              <w:rPr>
                <w:b/>
                <w:color w:val="FFFFFF"/>
                <w:sz w:val="18"/>
              </w:rPr>
              <w:t>Programa</w:t>
            </w:r>
            <w:r>
              <w:rPr>
                <w:b/>
                <w:color w:val="FFFFFF"/>
                <w:spacing w:val="-11"/>
                <w:sz w:val="18"/>
              </w:rPr>
              <w:t xml:space="preserve"> </w:t>
            </w:r>
            <w:r>
              <w:rPr>
                <w:b/>
                <w:color w:val="FFFFFF"/>
                <w:sz w:val="18"/>
              </w:rPr>
              <w:t>o</w:t>
            </w:r>
            <w:r>
              <w:rPr>
                <w:b/>
                <w:color w:val="FFFFFF"/>
                <w:spacing w:val="-10"/>
                <w:sz w:val="18"/>
              </w:rPr>
              <w:t xml:space="preserve"> </w:t>
            </w:r>
            <w:r>
              <w:rPr>
                <w:b/>
                <w:color w:val="FFFFFF"/>
                <w:sz w:val="18"/>
              </w:rPr>
              <w:t>Proyecto</w:t>
            </w:r>
            <w:r>
              <w:rPr>
                <w:b/>
                <w:color w:val="FFFFFF"/>
                <w:spacing w:val="-10"/>
                <w:sz w:val="18"/>
              </w:rPr>
              <w:t xml:space="preserve"> </w:t>
            </w:r>
            <w:r>
              <w:rPr>
                <w:b/>
                <w:color w:val="FFFFFF"/>
                <w:sz w:val="18"/>
              </w:rPr>
              <w:t>del</w:t>
            </w:r>
            <w:r>
              <w:rPr>
                <w:b/>
                <w:color w:val="FFFFFF"/>
                <w:spacing w:val="-10"/>
                <w:sz w:val="18"/>
              </w:rPr>
              <w:t xml:space="preserve"> </w:t>
            </w:r>
            <w:r>
              <w:rPr>
                <w:b/>
                <w:color w:val="FFFFFF"/>
                <w:sz w:val="18"/>
              </w:rPr>
              <w:t>Ministerio de Igualdad y Equidad que contribuye a materializar los instrumentos internacionales</w:t>
            </w:r>
          </w:p>
        </w:tc>
      </w:tr>
      <w:tr w:rsidR="000E52B0" w14:paraId="256761D0" w14:textId="77777777">
        <w:trPr>
          <w:trHeight w:val="12034"/>
        </w:trPr>
        <w:tc>
          <w:tcPr>
            <w:tcW w:w="1694" w:type="dxa"/>
          </w:tcPr>
          <w:p w14:paraId="258B680B" w14:textId="77777777" w:rsidR="000E52B0" w:rsidRDefault="000E52B0">
            <w:pPr>
              <w:pStyle w:val="TableParagraph"/>
              <w:rPr>
                <w:rFonts w:ascii="Times New Roman"/>
                <w:sz w:val="18"/>
              </w:rPr>
            </w:pPr>
          </w:p>
        </w:tc>
        <w:tc>
          <w:tcPr>
            <w:tcW w:w="3524" w:type="dxa"/>
          </w:tcPr>
          <w:p w14:paraId="70233746" w14:textId="77777777" w:rsidR="000E52B0" w:rsidRDefault="00F60D74">
            <w:pPr>
              <w:pStyle w:val="TableParagraph"/>
              <w:ind w:left="398" w:right="86"/>
              <w:jc w:val="both"/>
              <w:rPr>
                <w:sz w:val="18"/>
              </w:rPr>
            </w:pPr>
            <w:r>
              <w:rPr>
                <w:sz w:val="18"/>
              </w:rPr>
              <w:t>Culturales:</w:t>
            </w:r>
            <w:r>
              <w:rPr>
                <w:spacing w:val="40"/>
                <w:sz w:val="18"/>
              </w:rPr>
              <w:t xml:space="preserve"> </w:t>
            </w:r>
            <w:r>
              <w:rPr>
                <w:sz w:val="18"/>
              </w:rPr>
              <w:t>Los derechos económicos,</w:t>
            </w:r>
            <w:r>
              <w:rPr>
                <w:spacing w:val="-7"/>
                <w:sz w:val="18"/>
              </w:rPr>
              <w:t xml:space="preserve"> </w:t>
            </w:r>
            <w:r>
              <w:rPr>
                <w:sz w:val="18"/>
              </w:rPr>
              <w:t>sociales</w:t>
            </w:r>
            <w:r>
              <w:rPr>
                <w:spacing w:val="-6"/>
                <w:sz w:val="18"/>
              </w:rPr>
              <w:t xml:space="preserve"> </w:t>
            </w:r>
            <w:r>
              <w:rPr>
                <w:sz w:val="18"/>
              </w:rPr>
              <w:t>y</w:t>
            </w:r>
            <w:r>
              <w:rPr>
                <w:spacing w:val="-7"/>
                <w:sz w:val="18"/>
              </w:rPr>
              <w:t xml:space="preserve"> </w:t>
            </w:r>
            <w:r>
              <w:rPr>
                <w:sz w:val="18"/>
              </w:rPr>
              <w:t>culturales de las personas mayores, párrafos 20 y 30.</w:t>
            </w:r>
          </w:p>
          <w:p w14:paraId="120C6B00" w14:textId="77777777" w:rsidR="000E52B0" w:rsidRDefault="00F60D74">
            <w:pPr>
              <w:pStyle w:val="TableParagraph"/>
              <w:numPr>
                <w:ilvl w:val="0"/>
                <w:numId w:val="38"/>
              </w:numPr>
              <w:tabs>
                <w:tab w:val="left" w:pos="396"/>
                <w:tab w:val="left" w:pos="398"/>
              </w:tabs>
              <w:spacing w:before="1" w:line="237" w:lineRule="auto"/>
              <w:ind w:right="87"/>
              <w:jc w:val="both"/>
              <w:rPr>
                <w:sz w:val="18"/>
              </w:rPr>
            </w:pPr>
            <w:r>
              <w:rPr>
                <w:sz w:val="18"/>
              </w:rPr>
              <w:t>Recomendación</w:t>
            </w:r>
            <w:r>
              <w:rPr>
                <w:spacing w:val="-16"/>
                <w:sz w:val="18"/>
              </w:rPr>
              <w:t xml:space="preserve"> </w:t>
            </w:r>
            <w:r>
              <w:rPr>
                <w:sz w:val="18"/>
              </w:rPr>
              <w:t>N.</w:t>
            </w:r>
            <w:r>
              <w:rPr>
                <w:spacing w:val="-16"/>
                <w:sz w:val="18"/>
              </w:rPr>
              <w:t xml:space="preserve"> </w:t>
            </w:r>
            <w:r>
              <w:rPr>
                <w:sz w:val="18"/>
              </w:rPr>
              <w:t>202</w:t>
            </w:r>
            <w:r>
              <w:rPr>
                <w:spacing w:val="-16"/>
                <w:sz w:val="18"/>
              </w:rPr>
              <w:t xml:space="preserve"> </w:t>
            </w:r>
            <w:r>
              <w:rPr>
                <w:sz w:val="18"/>
              </w:rPr>
              <w:t>(2012)</w:t>
            </w:r>
            <w:r>
              <w:rPr>
                <w:spacing w:val="-16"/>
                <w:sz w:val="18"/>
              </w:rPr>
              <w:t xml:space="preserve"> </w:t>
            </w:r>
            <w:r>
              <w:rPr>
                <w:sz w:val="18"/>
              </w:rPr>
              <w:t>de la OIT sobre los Pisos de Protección Social.</w:t>
            </w:r>
          </w:p>
          <w:p w14:paraId="01718824" w14:textId="77777777" w:rsidR="000E52B0" w:rsidRDefault="00F60D74">
            <w:pPr>
              <w:pStyle w:val="TableParagraph"/>
              <w:numPr>
                <w:ilvl w:val="0"/>
                <w:numId w:val="38"/>
              </w:numPr>
              <w:tabs>
                <w:tab w:val="left" w:pos="396"/>
                <w:tab w:val="left" w:pos="398"/>
              </w:tabs>
              <w:spacing w:before="2"/>
              <w:ind w:right="86"/>
              <w:jc w:val="both"/>
              <w:rPr>
                <w:sz w:val="18"/>
              </w:rPr>
            </w:pPr>
            <w:r>
              <w:rPr>
                <w:sz w:val="18"/>
              </w:rPr>
              <w:t>Convención Interamericana</w:t>
            </w:r>
            <w:r>
              <w:rPr>
                <w:spacing w:val="40"/>
                <w:sz w:val="18"/>
              </w:rPr>
              <w:t xml:space="preserve"> </w:t>
            </w:r>
            <w:r>
              <w:rPr>
                <w:sz w:val="18"/>
              </w:rPr>
              <w:t xml:space="preserve">sobre la Protección de los Derechos Humanos de las Personas Mayores, 2015, art. </w:t>
            </w:r>
            <w:r>
              <w:rPr>
                <w:spacing w:val="-4"/>
                <w:sz w:val="18"/>
              </w:rPr>
              <w:t>12º.</w:t>
            </w:r>
          </w:p>
          <w:p w14:paraId="7B8075D6" w14:textId="77777777" w:rsidR="000E52B0" w:rsidRDefault="00F60D74">
            <w:pPr>
              <w:pStyle w:val="TableParagraph"/>
              <w:numPr>
                <w:ilvl w:val="0"/>
                <w:numId w:val="38"/>
              </w:numPr>
              <w:tabs>
                <w:tab w:val="left" w:pos="396"/>
                <w:tab w:val="left" w:pos="398"/>
              </w:tabs>
              <w:ind w:right="87"/>
              <w:jc w:val="both"/>
              <w:rPr>
                <w:sz w:val="18"/>
              </w:rPr>
            </w:pPr>
            <w:r>
              <w:rPr>
                <w:sz w:val="18"/>
              </w:rPr>
              <w:t>Resolución 45/158 de la Asamblea General Convención internacional sobre la protección de los derechos de todos los trabajadores</w:t>
            </w:r>
            <w:r>
              <w:rPr>
                <w:spacing w:val="-16"/>
                <w:sz w:val="18"/>
              </w:rPr>
              <w:t xml:space="preserve"> </w:t>
            </w:r>
            <w:r>
              <w:rPr>
                <w:sz w:val="18"/>
              </w:rPr>
              <w:t>migratorios</w:t>
            </w:r>
            <w:r>
              <w:rPr>
                <w:spacing w:val="-16"/>
                <w:sz w:val="18"/>
              </w:rPr>
              <w:t xml:space="preserve"> </w:t>
            </w:r>
            <w:r>
              <w:rPr>
                <w:sz w:val="18"/>
              </w:rPr>
              <w:t>y</w:t>
            </w:r>
            <w:r>
              <w:rPr>
                <w:spacing w:val="-16"/>
                <w:sz w:val="18"/>
              </w:rPr>
              <w:t xml:space="preserve"> </w:t>
            </w:r>
            <w:r>
              <w:rPr>
                <w:sz w:val="18"/>
              </w:rPr>
              <w:t>de</w:t>
            </w:r>
            <w:r>
              <w:rPr>
                <w:spacing w:val="-16"/>
                <w:sz w:val="18"/>
              </w:rPr>
              <w:t xml:space="preserve"> </w:t>
            </w:r>
            <w:r>
              <w:rPr>
                <w:sz w:val="18"/>
              </w:rPr>
              <w:t xml:space="preserve">sus </w:t>
            </w:r>
            <w:r>
              <w:rPr>
                <w:spacing w:val="-2"/>
                <w:sz w:val="18"/>
              </w:rPr>
              <w:t>familiares</w:t>
            </w:r>
          </w:p>
          <w:p w14:paraId="0A358BC2" w14:textId="77777777" w:rsidR="000E52B0" w:rsidRDefault="00F60D74">
            <w:pPr>
              <w:pStyle w:val="TableParagraph"/>
              <w:numPr>
                <w:ilvl w:val="0"/>
                <w:numId w:val="38"/>
              </w:numPr>
              <w:tabs>
                <w:tab w:val="left" w:pos="396"/>
                <w:tab w:val="left" w:pos="398"/>
              </w:tabs>
              <w:ind w:right="86"/>
              <w:jc w:val="both"/>
              <w:rPr>
                <w:sz w:val="18"/>
              </w:rPr>
            </w:pPr>
            <w:r>
              <w:rPr>
                <w:sz w:val="18"/>
              </w:rPr>
              <w:t>Protocolo Contra el Tráfico Ilícito de Migrantes por Tierra, Mar y Aire, que Complementa la Convención de las Naciones Unidas Contra la Delincuencia Organizada Transnacional</w:t>
            </w:r>
          </w:p>
          <w:p w14:paraId="433F379D" w14:textId="77777777" w:rsidR="000E52B0" w:rsidRDefault="00F60D74">
            <w:pPr>
              <w:pStyle w:val="TableParagraph"/>
              <w:numPr>
                <w:ilvl w:val="0"/>
                <w:numId w:val="38"/>
              </w:numPr>
              <w:tabs>
                <w:tab w:val="left" w:pos="396"/>
                <w:tab w:val="left" w:pos="398"/>
              </w:tabs>
              <w:ind w:right="88"/>
              <w:jc w:val="both"/>
              <w:rPr>
                <w:sz w:val="18"/>
              </w:rPr>
            </w:pPr>
            <w:r>
              <w:rPr>
                <w:sz w:val="18"/>
              </w:rPr>
              <w:t>Convenio sobre la Protección y Utilización</w:t>
            </w:r>
            <w:r>
              <w:rPr>
                <w:spacing w:val="-4"/>
                <w:sz w:val="18"/>
              </w:rPr>
              <w:t xml:space="preserve"> </w:t>
            </w:r>
            <w:r>
              <w:rPr>
                <w:sz w:val="18"/>
              </w:rPr>
              <w:t>de</w:t>
            </w:r>
            <w:r>
              <w:rPr>
                <w:spacing w:val="-6"/>
                <w:sz w:val="18"/>
              </w:rPr>
              <w:t xml:space="preserve"> </w:t>
            </w:r>
            <w:r>
              <w:rPr>
                <w:sz w:val="18"/>
              </w:rPr>
              <w:t>los</w:t>
            </w:r>
            <w:r>
              <w:rPr>
                <w:spacing w:val="-5"/>
                <w:sz w:val="18"/>
              </w:rPr>
              <w:t xml:space="preserve"> </w:t>
            </w:r>
            <w:r>
              <w:rPr>
                <w:sz w:val="18"/>
              </w:rPr>
              <w:t>Cursos</w:t>
            </w:r>
            <w:r>
              <w:rPr>
                <w:spacing w:val="-5"/>
                <w:sz w:val="18"/>
              </w:rPr>
              <w:t xml:space="preserve"> </w:t>
            </w:r>
            <w:r>
              <w:rPr>
                <w:sz w:val="18"/>
              </w:rPr>
              <w:t>de</w:t>
            </w:r>
            <w:r>
              <w:rPr>
                <w:spacing w:val="-4"/>
                <w:sz w:val="18"/>
              </w:rPr>
              <w:t xml:space="preserve"> </w:t>
            </w:r>
            <w:r>
              <w:rPr>
                <w:sz w:val="18"/>
              </w:rPr>
              <w:t xml:space="preserve">Agua Transfronterizos y de los Lagos </w:t>
            </w:r>
            <w:r>
              <w:rPr>
                <w:spacing w:val="-2"/>
                <w:sz w:val="18"/>
              </w:rPr>
              <w:t>Internacionales</w:t>
            </w:r>
          </w:p>
          <w:p w14:paraId="6B456D55" w14:textId="77777777" w:rsidR="000E52B0" w:rsidRDefault="00F60D74">
            <w:pPr>
              <w:pStyle w:val="TableParagraph"/>
              <w:numPr>
                <w:ilvl w:val="0"/>
                <w:numId w:val="38"/>
              </w:numPr>
              <w:tabs>
                <w:tab w:val="left" w:pos="396"/>
                <w:tab w:val="left" w:pos="398"/>
              </w:tabs>
              <w:ind w:right="89"/>
              <w:jc w:val="both"/>
              <w:rPr>
                <w:sz w:val="18"/>
              </w:rPr>
            </w:pPr>
            <w:r>
              <w:rPr>
                <w:sz w:val="18"/>
              </w:rPr>
              <w:t>Protocolo adicional a la convención americana sobre derechos</w:t>
            </w:r>
            <w:r>
              <w:rPr>
                <w:spacing w:val="-14"/>
                <w:sz w:val="18"/>
              </w:rPr>
              <w:t xml:space="preserve"> </w:t>
            </w:r>
            <w:r>
              <w:rPr>
                <w:sz w:val="18"/>
              </w:rPr>
              <w:t>humanos</w:t>
            </w:r>
            <w:r>
              <w:rPr>
                <w:spacing w:val="-14"/>
                <w:sz w:val="18"/>
              </w:rPr>
              <w:t xml:space="preserve"> </w:t>
            </w:r>
            <w:r>
              <w:rPr>
                <w:sz w:val="18"/>
              </w:rPr>
              <w:t>en</w:t>
            </w:r>
            <w:r>
              <w:rPr>
                <w:spacing w:val="-13"/>
                <w:sz w:val="18"/>
              </w:rPr>
              <w:t xml:space="preserve"> </w:t>
            </w:r>
            <w:r>
              <w:rPr>
                <w:sz w:val="18"/>
              </w:rPr>
              <w:t>materia</w:t>
            </w:r>
            <w:r>
              <w:rPr>
                <w:spacing w:val="-14"/>
                <w:sz w:val="18"/>
              </w:rPr>
              <w:t xml:space="preserve"> </w:t>
            </w:r>
            <w:r>
              <w:rPr>
                <w:sz w:val="18"/>
              </w:rPr>
              <w:t xml:space="preserve">de derechos económicos, sociales y culturales "protocolo de san </w:t>
            </w:r>
            <w:r>
              <w:rPr>
                <w:spacing w:val="-2"/>
                <w:sz w:val="18"/>
              </w:rPr>
              <w:t>salvador"</w:t>
            </w:r>
          </w:p>
          <w:p w14:paraId="618033EA" w14:textId="77777777" w:rsidR="000E52B0" w:rsidRDefault="00F60D74">
            <w:pPr>
              <w:pStyle w:val="TableParagraph"/>
              <w:numPr>
                <w:ilvl w:val="0"/>
                <w:numId w:val="38"/>
              </w:numPr>
              <w:tabs>
                <w:tab w:val="left" w:pos="396"/>
                <w:tab w:val="left" w:pos="398"/>
              </w:tabs>
              <w:ind w:right="86"/>
              <w:jc w:val="both"/>
              <w:rPr>
                <w:sz w:val="18"/>
              </w:rPr>
            </w:pPr>
            <w:r>
              <w:rPr>
                <w:sz w:val="18"/>
              </w:rPr>
              <w:t>Cuestiones sustantivas que se plantean en la aplicación del pacto internacional de derechos económicos,</w:t>
            </w:r>
            <w:r>
              <w:rPr>
                <w:spacing w:val="-7"/>
                <w:sz w:val="18"/>
              </w:rPr>
              <w:t xml:space="preserve"> </w:t>
            </w:r>
            <w:r>
              <w:rPr>
                <w:sz w:val="18"/>
              </w:rPr>
              <w:t>sociales</w:t>
            </w:r>
            <w:r>
              <w:rPr>
                <w:spacing w:val="-6"/>
                <w:sz w:val="18"/>
              </w:rPr>
              <w:t xml:space="preserve"> </w:t>
            </w:r>
            <w:r>
              <w:rPr>
                <w:sz w:val="18"/>
              </w:rPr>
              <w:t>y</w:t>
            </w:r>
            <w:r>
              <w:rPr>
                <w:spacing w:val="-7"/>
                <w:sz w:val="18"/>
              </w:rPr>
              <w:t xml:space="preserve"> </w:t>
            </w:r>
            <w:r>
              <w:rPr>
                <w:sz w:val="18"/>
              </w:rPr>
              <w:t xml:space="preserve">culturales Observación general N.º 15 (2002) El derecho al agua (artículos 11 y 12 del Pacto Internacional de Derechos Económicos, Sociales y </w:t>
            </w:r>
            <w:r>
              <w:rPr>
                <w:spacing w:val="-2"/>
                <w:sz w:val="18"/>
              </w:rPr>
              <w:t>Culturales)</w:t>
            </w:r>
          </w:p>
          <w:p w14:paraId="0E54705A" w14:textId="77777777" w:rsidR="000E52B0" w:rsidRDefault="00F60D74">
            <w:pPr>
              <w:pStyle w:val="TableParagraph"/>
              <w:numPr>
                <w:ilvl w:val="0"/>
                <w:numId w:val="38"/>
              </w:numPr>
              <w:tabs>
                <w:tab w:val="left" w:pos="396"/>
                <w:tab w:val="left" w:pos="398"/>
              </w:tabs>
              <w:spacing w:line="237" w:lineRule="auto"/>
              <w:ind w:right="86"/>
              <w:jc w:val="both"/>
              <w:rPr>
                <w:sz w:val="18"/>
              </w:rPr>
            </w:pPr>
            <w:r>
              <w:rPr>
                <w:sz w:val="18"/>
              </w:rPr>
              <w:t>Consejo de Derechos Humanos Decisión 2/104.</w:t>
            </w:r>
            <w:r>
              <w:rPr>
                <w:spacing w:val="40"/>
                <w:sz w:val="18"/>
              </w:rPr>
              <w:t xml:space="preserve"> </w:t>
            </w:r>
            <w:r>
              <w:rPr>
                <w:sz w:val="18"/>
              </w:rPr>
              <w:t>Los derechos humanos y el acceso al agua</w:t>
            </w:r>
          </w:p>
          <w:p w14:paraId="5866E617" w14:textId="77777777" w:rsidR="000E52B0" w:rsidRDefault="00F60D74">
            <w:pPr>
              <w:pStyle w:val="TableParagraph"/>
              <w:numPr>
                <w:ilvl w:val="0"/>
                <w:numId w:val="38"/>
              </w:numPr>
              <w:tabs>
                <w:tab w:val="left" w:pos="396"/>
                <w:tab w:val="left" w:pos="398"/>
              </w:tabs>
              <w:ind w:right="86"/>
              <w:jc w:val="both"/>
              <w:rPr>
                <w:sz w:val="18"/>
              </w:rPr>
            </w:pPr>
            <w:r>
              <w:rPr>
                <w:sz w:val="18"/>
              </w:rPr>
              <w:t>Resolución aprobada por la Asamblea General el 28 de julio de 2010 64/292. El derecho humano</w:t>
            </w:r>
            <w:r>
              <w:rPr>
                <w:spacing w:val="-16"/>
                <w:sz w:val="18"/>
              </w:rPr>
              <w:t xml:space="preserve"> </w:t>
            </w:r>
            <w:r>
              <w:rPr>
                <w:sz w:val="18"/>
              </w:rPr>
              <w:t>al</w:t>
            </w:r>
            <w:r>
              <w:rPr>
                <w:spacing w:val="-16"/>
                <w:sz w:val="18"/>
              </w:rPr>
              <w:t xml:space="preserve"> </w:t>
            </w:r>
            <w:r>
              <w:rPr>
                <w:sz w:val="18"/>
              </w:rPr>
              <w:t>agua</w:t>
            </w:r>
            <w:r>
              <w:rPr>
                <w:spacing w:val="-16"/>
                <w:sz w:val="18"/>
              </w:rPr>
              <w:t xml:space="preserve"> </w:t>
            </w:r>
            <w:r>
              <w:rPr>
                <w:sz w:val="18"/>
              </w:rPr>
              <w:t>y</w:t>
            </w:r>
            <w:r>
              <w:rPr>
                <w:spacing w:val="-16"/>
                <w:sz w:val="18"/>
              </w:rPr>
              <w:t xml:space="preserve"> </w:t>
            </w:r>
            <w:r>
              <w:rPr>
                <w:sz w:val="18"/>
              </w:rPr>
              <w:t>el</w:t>
            </w:r>
            <w:r>
              <w:rPr>
                <w:spacing w:val="-16"/>
                <w:sz w:val="18"/>
              </w:rPr>
              <w:t xml:space="preserve"> </w:t>
            </w:r>
            <w:r>
              <w:rPr>
                <w:sz w:val="18"/>
              </w:rPr>
              <w:t>saneamiento</w:t>
            </w:r>
          </w:p>
          <w:p w14:paraId="7E95DF70" w14:textId="77777777" w:rsidR="000E52B0" w:rsidRDefault="00F60D74">
            <w:pPr>
              <w:pStyle w:val="TableParagraph"/>
              <w:numPr>
                <w:ilvl w:val="0"/>
                <w:numId w:val="38"/>
              </w:numPr>
              <w:tabs>
                <w:tab w:val="left" w:pos="396"/>
                <w:tab w:val="left" w:pos="398"/>
              </w:tabs>
              <w:spacing w:line="237" w:lineRule="auto"/>
              <w:ind w:right="85"/>
              <w:jc w:val="both"/>
              <w:rPr>
                <w:sz w:val="18"/>
              </w:rPr>
            </w:pPr>
            <w:r>
              <w:rPr>
                <w:sz w:val="18"/>
              </w:rPr>
              <w:t>Convención</w:t>
            </w:r>
            <w:r>
              <w:rPr>
                <w:spacing w:val="-16"/>
                <w:sz w:val="18"/>
              </w:rPr>
              <w:t xml:space="preserve"> </w:t>
            </w:r>
            <w:r>
              <w:rPr>
                <w:sz w:val="18"/>
              </w:rPr>
              <w:t>interamericana</w:t>
            </w:r>
            <w:r>
              <w:rPr>
                <w:spacing w:val="-16"/>
                <w:sz w:val="18"/>
              </w:rPr>
              <w:t xml:space="preserve"> </w:t>
            </w:r>
            <w:r>
              <w:rPr>
                <w:sz w:val="18"/>
              </w:rPr>
              <w:t xml:space="preserve">sobre la protección de los derechos </w:t>
            </w:r>
            <w:proofErr w:type="gramStart"/>
            <w:r>
              <w:rPr>
                <w:sz w:val="18"/>
              </w:rPr>
              <w:t>humanos</w:t>
            </w:r>
            <w:r>
              <w:rPr>
                <w:spacing w:val="54"/>
                <w:w w:val="150"/>
                <w:sz w:val="18"/>
              </w:rPr>
              <w:t xml:space="preserve">  </w:t>
            </w:r>
            <w:r>
              <w:rPr>
                <w:sz w:val="18"/>
              </w:rPr>
              <w:t>de</w:t>
            </w:r>
            <w:proofErr w:type="gramEnd"/>
            <w:r>
              <w:rPr>
                <w:spacing w:val="55"/>
                <w:w w:val="150"/>
                <w:sz w:val="18"/>
              </w:rPr>
              <w:t xml:space="preserve">  </w:t>
            </w:r>
            <w:proofErr w:type="gramStart"/>
            <w:r>
              <w:rPr>
                <w:sz w:val="18"/>
              </w:rPr>
              <w:t>las</w:t>
            </w:r>
            <w:r>
              <w:rPr>
                <w:spacing w:val="55"/>
                <w:w w:val="150"/>
                <w:sz w:val="18"/>
              </w:rPr>
              <w:t xml:space="preserve">  </w:t>
            </w:r>
            <w:r>
              <w:rPr>
                <w:spacing w:val="-2"/>
                <w:sz w:val="18"/>
              </w:rPr>
              <w:t>personas</w:t>
            </w:r>
            <w:proofErr w:type="gramEnd"/>
          </w:p>
          <w:p w14:paraId="56A9B8C8" w14:textId="77777777" w:rsidR="000E52B0" w:rsidRDefault="00F60D74">
            <w:pPr>
              <w:pStyle w:val="TableParagraph"/>
              <w:spacing w:before="1" w:line="199" w:lineRule="exact"/>
              <w:ind w:left="398"/>
              <w:rPr>
                <w:sz w:val="18"/>
              </w:rPr>
            </w:pPr>
            <w:r>
              <w:rPr>
                <w:spacing w:val="-2"/>
                <w:sz w:val="18"/>
              </w:rPr>
              <w:t>mayores</w:t>
            </w:r>
          </w:p>
        </w:tc>
        <w:tc>
          <w:tcPr>
            <w:tcW w:w="3798" w:type="dxa"/>
          </w:tcPr>
          <w:p w14:paraId="4822BC7A" w14:textId="77777777" w:rsidR="000E52B0" w:rsidRDefault="00F60D74">
            <w:pPr>
              <w:pStyle w:val="TableParagraph"/>
              <w:spacing w:line="242" w:lineRule="auto"/>
              <w:ind w:left="108" w:right="89"/>
              <w:jc w:val="both"/>
              <w:rPr>
                <w:sz w:val="18"/>
              </w:rPr>
            </w:pPr>
            <w:r>
              <w:rPr>
                <w:sz w:val="18"/>
              </w:rPr>
              <w:t>redes de cuidado comunitario de las personas mayores.</w:t>
            </w:r>
          </w:p>
          <w:p w14:paraId="77A57CC4" w14:textId="77777777" w:rsidR="000E52B0" w:rsidRDefault="00F60D74">
            <w:pPr>
              <w:pStyle w:val="TableParagraph"/>
              <w:tabs>
                <w:tab w:val="left" w:pos="1306"/>
                <w:tab w:val="left" w:pos="3531"/>
              </w:tabs>
              <w:spacing w:before="214"/>
              <w:ind w:left="108" w:right="87"/>
              <w:jc w:val="both"/>
              <w:rPr>
                <w:sz w:val="18"/>
              </w:rPr>
            </w:pPr>
            <w:r>
              <w:rPr>
                <w:b/>
                <w:sz w:val="18"/>
              </w:rPr>
              <w:t xml:space="preserve">Programa Nacional De Cuidado </w:t>
            </w:r>
            <w:r>
              <w:rPr>
                <w:color w:val="3A3A3A"/>
                <w:sz w:val="18"/>
              </w:rPr>
              <w:t>El objetivo del Programa Nacional de Cuidado es avanzar en la garantía del derecho</w:t>
            </w:r>
            <w:r>
              <w:rPr>
                <w:color w:val="3A3A3A"/>
                <w:spacing w:val="-2"/>
                <w:sz w:val="18"/>
              </w:rPr>
              <w:t xml:space="preserve"> </w:t>
            </w:r>
            <w:r>
              <w:rPr>
                <w:color w:val="3A3A3A"/>
                <w:sz w:val="18"/>
              </w:rPr>
              <w:t>a</w:t>
            </w:r>
            <w:r>
              <w:rPr>
                <w:color w:val="3A3A3A"/>
                <w:spacing w:val="-3"/>
                <w:sz w:val="18"/>
              </w:rPr>
              <w:t xml:space="preserve"> </w:t>
            </w:r>
            <w:r>
              <w:rPr>
                <w:color w:val="3A3A3A"/>
                <w:sz w:val="18"/>
              </w:rPr>
              <w:t>cuidar</w:t>
            </w:r>
            <w:r>
              <w:rPr>
                <w:color w:val="3A3A3A"/>
                <w:spacing w:val="-3"/>
                <w:sz w:val="18"/>
              </w:rPr>
              <w:t xml:space="preserve"> </w:t>
            </w:r>
            <w:r>
              <w:rPr>
                <w:color w:val="3A3A3A"/>
                <w:sz w:val="18"/>
              </w:rPr>
              <w:t>en</w:t>
            </w:r>
            <w:r>
              <w:rPr>
                <w:color w:val="3A3A3A"/>
                <w:spacing w:val="-2"/>
                <w:sz w:val="18"/>
              </w:rPr>
              <w:t xml:space="preserve"> </w:t>
            </w:r>
            <w:r>
              <w:rPr>
                <w:color w:val="3A3A3A"/>
                <w:sz w:val="18"/>
              </w:rPr>
              <w:t>condiciones</w:t>
            </w:r>
            <w:r>
              <w:rPr>
                <w:color w:val="3A3A3A"/>
                <w:spacing w:val="-3"/>
                <w:sz w:val="18"/>
              </w:rPr>
              <w:t xml:space="preserve"> </w:t>
            </w:r>
            <w:r>
              <w:rPr>
                <w:color w:val="3A3A3A"/>
                <w:sz w:val="18"/>
              </w:rPr>
              <w:t>dignas y</w:t>
            </w:r>
            <w:r>
              <w:rPr>
                <w:color w:val="3A3A3A"/>
                <w:spacing w:val="-16"/>
                <w:sz w:val="18"/>
              </w:rPr>
              <w:t xml:space="preserve"> </w:t>
            </w:r>
            <w:r>
              <w:rPr>
                <w:color w:val="3A3A3A"/>
                <w:sz w:val="18"/>
              </w:rPr>
              <w:t>en</w:t>
            </w:r>
            <w:r>
              <w:rPr>
                <w:color w:val="3A3A3A"/>
                <w:spacing w:val="-16"/>
                <w:sz w:val="18"/>
              </w:rPr>
              <w:t xml:space="preserve"> </w:t>
            </w:r>
            <w:r>
              <w:rPr>
                <w:color w:val="3A3A3A"/>
                <w:sz w:val="18"/>
              </w:rPr>
              <w:t>el</w:t>
            </w:r>
            <w:r>
              <w:rPr>
                <w:color w:val="3A3A3A"/>
                <w:spacing w:val="-16"/>
                <w:sz w:val="18"/>
              </w:rPr>
              <w:t xml:space="preserve"> </w:t>
            </w:r>
            <w:r>
              <w:rPr>
                <w:color w:val="3A3A3A"/>
                <w:sz w:val="18"/>
              </w:rPr>
              <w:t>reconocimiento</w:t>
            </w:r>
            <w:r>
              <w:rPr>
                <w:color w:val="3A3A3A"/>
                <w:spacing w:val="-16"/>
                <w:sz w:val="18"/>
              </w:rPr>
              <w:t xml:space="preserve"> </w:t>
            </w:r>
            <w:r>
              <w:rPr>
                <w:color w:val="3A3A3A"/>
                <w:sz w:val="18"/>
              </w:rPr>
              <w:t>y</w:t>
            </w:r>
            <w:r>
              <w:rPr>
                <w:color w:val="3A3A3A"/>
                <w:spacing w:val="-16"/>
                <w:sz w:val="18"/>
              </w:rPr>
              <w:t xml:space="preserve"> </w:t>
            </w:r>
            <w:r>
              <w:rPr>
                <w:color w:val="3A3A3A"/>
                <w:sz w:val="18"/>
              </w:rPr>
              <w:t>fortalecimiento de las</w:t>
            </w:r>
            <w:r>
              <w:rPr>
                <w:color w:val="3A3A3A"/>
                <w:spacing w:val="-1"/>
                <w:sz w:val="18"/>
              </w:rPr>
              <w:t xml:space="preserve"> </w:t>
            </w:r>
            <w:r>
              <w:rPr>
                <w:color w:val="3A3A3A"/>
                <w:sz w:val="18"/>
              </w:rPr>
              <w:t>formas</w:t>
            </w:r>
            <w:r>
              <w:rPr>
                <w:color w:val="3A3A3A"/>
                <w:spacing w:val="-1"/>
                <w:sz w:val="18"/>
              </w:rPr>
              <w:t xml:space="preserve"> </w:t>
            </w:r>
            <w:r>
              <w:rPr>
                <w:color w:val="3A3A3A"/>
                <w:sz w:val="18"/>
              </w:rPr>
              <w:t>de cuidado</w:t>
            </w:r>
            <w:r>
              <w:rPr>
                <w:color w:val="3A3A3A"/>
                <w:spacing w:val="-1"/>
                <w:sz w:val="18"/>
              </w:rPr>
              <w:t xml:space="preserve"> </w:t>
            </w:r>
            <w:r>
              <w:rPr>
                <w:color w:val="3A3A3A"/>
                <w:sz w:val="18"/>
              </w:rPr>
              <w:t xml:space="preserve">como función </w:t>
            </w:r>
            <w:r>
              <w:rPr>
                <w:color w:val="3A3A3A"/>
                <w:spacing w:val="-2"/>
                <w:sz w:val="18"/>
              </w:rPr>
              <w:t>social</w:t>
            </w:r>
            <w:r>
              <w:rPr>
                <w:color w:val="3A3A3A"/>
                <w:sz w:val="18"/>
              </w:rPr>
              <w:tab/>
            </w:r>
            <w:r>
              <w:rPr>
                <w:color w:val="3A3A3A"/>
                <w:spacing w:val="-2"/>
                <w:sz w:val="18"/>
              </w:rPr>
              <w:t>interdependiente</w:t>
            </w:r>
            <w:r>
              <w:rPr>
                <w:color w:val="3A3A3A"/>
                <w:sz w:val="18"/>
              </w:rPr>
              <w:tab/>
            </w:r>
            <w:r>
              <w:rPr>
                <w:color w:val="3A3A3A"/>
                <w:spacing w:val="-6"/>
                <w:sz w:val="18"/>
              </w:rPr>
              <w:t xml:space="preserve">al </w:t>
            </w:r>
            <w:r>
              <w:rPr>
                <w:color w:val="3A3A3A"/>
                <w:sz w:val="18"/>
              </w:rPr>
              <w:t>sostenimiento de la vida.</w:t>
            </w:r>
          </w:p>
          <w:p w14:paraId="22B0735A" w14:textId="77777777" w:rsidR="000E52B0" w:rsidRDefault="000E52B0">
            <w:pPr>
              <w:pStyle w:val="TableParagraph"/>
              <w:spacing w:before="218"/>
              <w:rPr>
                <w:sz w:val="18"/>
              </w:rPr>
            </w:pPr>
          </w:p>
          <w:p w14:paraId="6645F8D1" w14:textId="77777777" w:rsidR="000E52B0" w:rsidRDefault="00F60D74">
            <w:pPr>
              <w:pStyle w:val="TableParagraph"/>
              <w:ind w:left="108" w:right="86"/>
              <w:jc w:val="both"/>
              <w:rPr>
                <w:sz w:val="18"/>
              </w:rPr>
            </w:pPr>
            <w:r>
              <w:rPr>
                <w:b/>
                <w:sz w:val="18"/>
              </w:rPr>
              <w:t>Programa “Raíces En Movimiento: Programa</w:t>
            </w:r>
            <w:r>
              <w:rPr>
                <w:b/>
                <w:spacing w:val="-16"/>
                <w:sz w:val="18"/>
              </w:rPr>
              <w:t xml:space="preserve"> </w:t>
            </w:r>
            <w:r>
              <w:rPr>
                <w:b/>
                <w:sz w:val="18"/>
              </w:rPr>
              <w:t>Para</w:t>
            </w:r>
            <w:r>
              <w:rPr>
                <w:b/>
                <w:spacing w:val="-15"/>
                <w:sz w:val="18"/>
              </w:rPr>
              <w:t xml:space="preserve"> </w:t>
            </w:r>
            <w:r>
              <w:rPr>
                <w:b/>
                <w:sz w:val="18"/>
              </w:rPr>
              <w:t>La</w:t>
            </w:r>
            <w:r>
              <w:rPr>
                <w:b/>
                <w:spacing w:val="-16"/>
                <w:sz w:val="18"/>
              </w:rPr>
              <w:t xml:space="preserve"> </w:t>
            </w:r>
            <w:r>
              <w:rPr>
                <w:b/>
                <w:sz w:val="18"/>
              </w:rPr>
              <w:t>Migración</w:t>
            </w:r>
            <w:r>
              <w:rPr>
                <w:b/>
                <w:spacing w:val="-15"/>
                <w:sz w:val="18"/>
              </w:rPr>
              <w:t xml:space="preserve"> </w:t>
            </w:r>
            <w:r>
              <w:rPr>
                <w:b/>
                <w:sz w:val="18"/>
              </w:rPr>
              <w:t>Segura Y La Acogida En Dignidad”.</w:t>
            </w:r>
            <w:r>
              <w:rPr>
                <w:b/>
                <w:spacing w:val="40"/>
                <w:sz w:val="18"/>
              </w:rPr>
              <w:t xml:space="preserve"> </w:t>
            </w:r>
            <w:r>
              <w:rPr>
                <w:sz w:val="18"/>
              </w:rPr>
              <w:t>Este programa para atender, proteger e integrar</w:t>
            </w:r>
            <w:r>
              <w:rPr>
                <w:spacing w:val="-4"/>
                <w:sz w:val="18"/>
              </w:rPr>
              <w:t xml:space="preserve"> </w:t>
            </w:r>
            <w:r>
              <w:rPr>
                <w:sz w:val="18"/>
              </w:rPr>
              <w:t>social,</w:t>
            </w:r>
            <w:r>
              <w:rPr>
                <w:spacing w:val="-4"/>
                <w:sz w:val="18"/>
              </w:rPr>
              <w:t xml:space="preserve"> </w:t>
            </w:r>
            <w:r>
              <w:rPr>
                <w:sz w:val="18"/>
              </w:rPr>
              <w:t>económica</w:t>
            </w:r>
            <w:r>
              <w:rPr>
                <w:spacing w:val="-6"/>
                <w:sz w:val="18"/>
              </w:rPr>
              <w:t xml:space="preserve"> </w:t>
            </w:r>
            <w:r>
              <w:rPr>
                <w:sz w:val="18"/>
              </w:rPr>
              <w:t>y</w:t>
            </w:r>
            <w:r>
              <w:rPr>
                <w:spacing w:val="-5"/>
                <w:sz w:val="18"/>
              </w:rPr>
              <w:t xml:space="preserve"> </w:t>
            </w:r>
            <w:r>
              <w:rPr>
                <w:sz w:val="18"/>
              </w:rPr>
              <w:t>cultural</w:t>
            </w:r>
            <w:r>
              <w:rPr>
                <w:spacing w:val="-3"/>
                <w:sz w:val="18"/>
              </w:rPr>
              <w:t xml:space="preserve"> </w:t>
            </w:r>
            <w:r>
              <w:rPr>
                <w:sz w:val="18"/>
              </w:rPr>
              <w:t>de la población migrante y</w:t>
            </w:r>
            <w:r>
              <w:rPr>
                <w:spacing w:val="-1"/>
                <w:sz w:val="18"/>
              </w:rPr>
              <w:t xml:space="preserve"> </w:t>
            </w:r>
            <w:r>
              <w:rPr>
                <w:sz w:val="18"/>
              </w:rPr>
              <w:t>retornada para una vida digna y sin discriminación.</w:t>
            </w:r>
          </w:p>
        </w:tc>
      </w:tr>
      <w:tr w:rsidR="000E52B0" w14:paraId="5257D8AE" w14:textId="77777777">
        <w:trPr>
          <w:trHeight w:val="656"/>
        </w:trPr>
        <w:tc>
          <w:tcPr>
            <w:tcW w:w="1694" w:type="dxa"/>
          </w:tcPr>
          <w:p w14:paraId="0A203405" w14:textId="77777777" w:rsidR="000E52B0" w:rsidRDefault="00F60D74">
            <w:pPr>
              <w:pStyle w:val="TableParagraph"/>
              <w:spacing w:line="218" w:lineRule="exact"/>
              <w:ind w:left="186" w:right="166" w:hanging="1"/>
              <w:jc w:val="center"/>
              <w:rPr>
                <w:sz w:val="18"/>
              </w:rPr>
            </w:pPr>
            <w:r>
              <w:rPr>
                <w:sz w:val="18"/>
              </w:rPr>
              <w:t>Garantía de derechos</w:t>
            </w:r>
            <w:r>
              <w:rPr>
                <w:spacing w:val="-16"/>
                <w:sz w:val="18"/>
              </w:rPr>
              <w:t xml:space="preserve"> </w:t>
            </w:r>
            <w:r>
              <w:rPr>
                <w:sz w:val="18"/>
              </w:rPr>
              <w:t>de</w:t>
            </w:r>
            <w:r>
              <w:rPr>
                <w:spacing w:val="-16"/>
                <w:sz w:val="18"/>
              </w:rPr>
              <w:t xml:space="preserve"> </w:t>
            </w:r>
            <w:r>
              <w:rPr>
                <w:sz w:val="18"/>
              </w:rPr>
              <w:t xml:space="preserve">la </w:t>
            </w:r>
            <w:r>
              <w:rPr>
                <w:spacing w:val="-2"/>
                <w:sz w:val="18"/>
              </w:rPr>
              <w:t>población</w:t>
            </w:r>
          </w:p>
        </w:tc>
        <w:tc>
          <w:tcPr>
            <w:tcW w:w="3524" w:type="dxa"/>
          </w:tcPr>
          <w:p w14:paraId="107853EC" w14:textId="77777777" w:rsidR="000E52B0" w:rsidRDefault="00F60D74">
            <w:pPr>
              <w:pStyle w:val="TableParagraph"/>
              <w:numPr>
                <w:ilvl w:val="0"/>
                <w:numId w:val="37"/>
              </w:numPr>
              <w:tabs>
                <w:tab w:val="left" w:pos="398"/>
              </w:tabs>
              <w:spacing w:line="237" w:lineRule="auto"/>
              <w:ind w:right="86"/>
              <w:rPr>
                <w:sz w:val="18"/>
              </w:rPr>
            </w:pPr>
            <w:r>
              <w:rPr>
                <w:sz w:val="18"/>
              </w:rPr>
              <w:t>Convención</w:t>
            </w:r>
            <w:r>
              <w:rPr>
                <w:spacing w:val="40"/>
                <w:sz w:val="18"/>
              </w:rPr>
              <w:t xml:space="preserve"> </w:t>
            </w:r>
            <w:r>
              <w:rPr>
                <w:sz w:val="18"/>
              </w:rPr>
              <w:t>sobre</w:t>
            </w:r>
            <w:r>
              <w:rPr>
                <w:spacing w:val="40"/>
                <w:sz w:val="18"/>
              </w:rPr>
              <w:t xml:space="preserve"> </w:t>
            </w:r>
            <w:r>
              <w:rPr>
                <w:sz w:val="18"/>
              </w:rPr>
              <w:t>los</w:t>
            </w:r>
            <w:r>
              <w:rPr>
                <w:spacing w:val="40"/>
                <w:sz w:val="18"/>
              </w:rPr>
              <w:t xml:space="preserve"> </w:t>
            </w:r>
            <w:r>
              <w:rPr>
                <w:sz w:val="18"/>
              </w:rPr>
              <w:t>derechos de</w:t>
            </w:r>
            <w:r>
              <w:rPr>
                <w:spacing w:val="-8"/>
                <w:sz w:val="18"/>
              </w:rPr>
              <w:t xml:space="preserve"> </w:t>
            </w:r>
            <w:r>
              <w:rPr>
                <w:sz w:val="18"/>
              </w:rPr>
              <w:t>las</w:t>
            </w:r>
            <w:r>
              <w:rPr>
                <w:spacing w:val="-8"/>
                <w:sz w:val="18"/>
              </w:rPr>
              <w:t xml:space="preserve"> </w:t>
            </w:r>
            <w:r>
              <w:rPr>
                <w:sz w:val="18"/>
              </w:rPr>
              <w:t>personas</w:t>
            </w:r>
            <w:r>
              <w:rPr>
                <w:spacing w:val="-8"/>
                <w:sz w:val="18"/>
              </w:rPr>
              <w:t xml:space="preserve"> </w:t>
            </w:r>
            <w:r>
              <w:rPr>
                <w:sz w:val="18"/>
              </w:rPr>
              <w:t>con</w:t>
            </w:r>
            <w:r>
              <w:rPr>
                <w:spacing w:val="-7"/>
                <w:sz w:val="18"/>
              </w:rPr>
              <w:t xml:space="preserve"> </w:t>
            </w:r>
            <w:r>
              <w:rPr>
                <w:sz w:val="18"/>
              </w:rPr>
              <w:t>discapacidad</w:t>
            </w:r>
          </w:p>
        </w:tc>
        <w:tc>
          <w:tcPr>
            <w:tcW w:w="3798" w:type="dxa"/>
          </w:tcPr>
          <w:p w14:paraId="73384FBC" w14:textId="77777777" w:rsidR="000E52B0" w:rsidRDefault="00F60D74">
            <w:pPr>
              <w:pStyle w:val="TableParagraph"/>
              <w:spacing w:line="218" w:lineRule="exact"/>
              <w:ind w:left="108" w:right="88"/>
              <w:jc w:val="both"/>
              <w:rPr>
                <w:sz w:val="18"/>
              </w:rPr>
            </w:pPr>
            <w:r>
              <w:rPr>
                <w:b/>
                <w:sz w:val="18"/>
              </w:rPr>
              <w:t>Programa</w:t>
            </w:r>
            <w:r>
              <w:rPr>
                <w:b/>
                <w:spacing w:val="-9"/>
                <w:sz w:val="18"/>
              </w:rPr>
              <w:t xml:space="preserve"> </w:t>
            </w:r>
            <w:r>
              <w:rPr>
                <w:b/>
                <w:sz w:val="18"/>
              </w:rPr>
              <w:t>“Diversidad</w:t>
            </w:r>
            <w:r>
              <w:rPr>
                <w:b/>
                <w:spacing w:val="-10"/>
                <w:sz w:val="18"/>
              </w:rPr>
              <w:t xml:space="preserve"> </w:t>
            </w:r>
            <w:r>
              <w:rPr>
                <w:b/>
                <w:sz w:val="18"/>
              </w:rPr>
              <w:t>en</w:t>
            </w:r>
            <w:r>
              <w:rPr>
                <w:b/>
                <w:spacing w:val="-10"/>
                <w:sz w:val="18"/>
              </w:rPr>
              <w:t xml:space="preserve"> </w:t>
            </w:r>
            <w:r>
              <w:rPr>
                <w:b/>
                <w:sz w:val="18"/>
              </w:rPr>
              <w:t xml:space="preserve">Dignidad, </w:t>
            </w:r>
            <w:r>
              <w:rPr>
                <w:sz w:val="18"/>
              </w:rPr>
              <w:t>avanza en la garantía de los derechos para</w:t>
            </w:r>
            <w:r>
              <w:rPr>
                <w:spacing w:val="2"/>
                <w:sz w:val="18"/>
              </w:rPr>
              <w:t xml:space="preserve"> </w:t>
            </w:r>
            <w:r>
              <w:rPr>
                <w:sz w:val="18"/>
              </w:rPr>
              <w:t>una</w:t>
            </w:r>
            <w:r>
              <w:rPr>
                <w:spacing w:val="3"/>
                <w:sz w:val="18"/>
              </w:rPr>
              <w:t xml:space="preserve"> </w:t>
            </w:r>
            <w:r>
              <w:rPr>
                <w:sz w:val="18"/>
              </w:rPr>
              <w:t>vida</w:t>
            </w:r>
            <w:r>
              <w:rPr>
                <w:spacing w:val="3"/>
                <w:sz w:val="18"/>
              </w:rPr>
              <w:t xml:space="preserve"> </w:t>
            </w:r>
            <w:r>
              <w:rPr>
                <w:sz w:val="18"/>
              </w:rPr>
              <w:t>digna,</w:t>
            </w:r>
            <w:r>
              <w:rPr>
                <w:spacing w:val="1"/>
                <w:sz w:val="18"/>
              </w:rPr>
              <w:t xml:space="preserve"> </w:t>
            </w:r>
            <w:r>
              <w:rPr>
                <w:sz w:val="18"/>
              </w:rPr>
              <w:t>libre</w:t>
            </w:r>
            <w:r>
              <w:rPr>
                <w:spacing w:val="1"/>
                <w:sz w:val="18"/>
              </w:rPr>
              <w:t xml:space="preserve"> </w:t>
            </w:r>
            <w:r>
              <w:rPr>
                <w:sz w:val="18"/>
              </w:rPr>
              <w:t>de</w:t>
            </w:r>
            <w:r>
              <w:rPr>
                <w:spacing w:val="4"/>
                <w:sz w:val="18"/>
              </w:rPr>
              <w:t xml:space="preserve"> </w:t>
            </w:r>
            <w:r>
              <w:rPr>
                <w:spacing w:val="-2"/>
                <w:sz w:val="18"/>
              </w:rPr>
              <w:t>violencias</w:t>
            </w:r>
          </w:p>
        </w:tc>
      </w:tr>
    </w:tbl>
    <w:p w14:paraId="0F206EF2" w14:textId="77777777" w:rsidR="000E52B0" w:rsidRDefault="000E52B0">
      <w:pPr>
        <w:pStyle w:val="TableParagraph"/>
        <w:spacing w:line="218" w:lineRule="exact"/>
        <w:jc w:val="both"/>
        <w:rPr>
          <w:sz w:val="18"/>
        </w:rPr>
        <w:sectPr w:rsidR="000E52B0">
          <w:type w:val="continuous"/>
          <w:pgSz w:w="11910" w:h="16840"/>
          <w:pgMar w:top="1400" w:right="720" w:bottom="1180" w:left="720" w:header="0" w:footer="995" w:gutter="0"/>
          <w:cols w:space="720"/>
        </w:sectPr>
      </w:pPr>
    </w:p>
    <w:tbl>
      <w:tblPr>
        <w:tblStyle w:val="TableNormal"/>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94"/>
        <w:gridCol w:w="3524"/>
        <w:gridCol w:w="3798"/>
      </w:tblGrid>
      <w:tr w:rsidR="000E52B0" w14:paraId="665CA465" w14:textId="77777777">
        <w:trPr>
          <w:trHeight w:val="1094"/>
        </w:trPr>
        <w:tc>
          <w:tcPr>
            <w:tcW w:w="1694" w:type="dxa"/>
            <w:shd w:val="clear" w:color="auto" w:fill="D44673"/>
          </w:tcPr>
          <w:p w14:paraId="6A4CE452" w14:textId="77777777" w:rsidR="000E52B0" w:rsidRDefault="00F60D74">
            <w:pPr>
              <w:pStyle w:val="TableParagraph"/>
              <w:ind w:left="189" w:right="171" w:firstLine="4"/>
              <w:jc w:val="center"/>
              <w:rPr>
                <w:b/>
                <w:sz w:val="18"/>
              </w:rPr>
            </w:pPr>
            <w:r>
              <w:rPr>
                <w:b/>
                <w:color w:val="FFFFFF"/>
                <w:spacing w:val="-2"/>
                <w:sz w:val="18"/>
              </w:rPr>
              <w:lastRenderedPageBreak/>
              <w:t xml:space="preserve">Población </w:t>
            </w:r>
            <w:r>
              <w:rPr>
                <w:b/>
                <w:color w:val="FFFFFF"/>
                <w:sz w:val="18"/>
              </w:rPr>
              <w:t xml:space="preserve">Ámbito de </w:t>
            </w:r>
            <w:r>
              <w:rPr>
                <w:b/>
                <w:color w:val="FFFFFF"/>
                <w:spacing w:val="-2"/>
                <w:sz w:val="18"/>
              </w:rPr>
              <w:t xml:space="preserve">Competencia </w:t>
            </w:r>
            <w:r>
              <w:rPr>
                <w:b/>
                <w:color w:val="FFFFFF"/>
                <w:sz w:val="18"/>
              </w:rPr>
              <w:t>Ministerio</w:t>
            </w:r>
            <w:r>
              <w:rPr>
                <w:b/>
                <w:color w:val="FFFFFF"/>
                <w:spacing w:val="-4"/>
                <w:sz w:val="18"/>
              </w:rPr>
              <w:t xml:space="preserve"> </w:t>
            </w:r>
            <w:r>
              <w:rPr>
                <w:b/>
                <w:color w:val="FFFFFF"/>
                <w:spacing w:val="-5"/>
                <w:sz w:val="18"/>
              </w:rPr>
              <w:t>de</w:t>
            </w:r>
          </w:p>
          <w:p w14:paraId="22E016A7" w14:textId="77777777" w:rsidR="000E52B0" w:rsidRDefault="00F60D74">
            <w:pPr>
              <w:pStyle w:val="TableParagraph"/>
              <w:spacing w:line="199" w:lineRule="exact"/>
              <w:ind w:left="99" w:right="82"/>
              <w:jc w:val="center"/>
              <w:rPr>
                <w:b/>
                <w:sz w:val="18"/>
              </w:rPr>
            </w:pPr>
            <w:r>
              <w:rPr>
                <w:b/>
                <w:color w:val="FFFFFF"/>
                <w:spacing w:val="-2"/>
                <w:sz w:val="18"/>
              </w:rPr>
              <w:t>Igualdad</w:t>
            </w:r>
          </w:p>
        </w:tc>
        <w:tc>
          <w:tcPr>
            <w:tcW w:w="3524" w:type="dxa"/>
            <w:shd w:val="clear" w:color="auto" w:fill="D44673"/>
          </w:tcPr>
          <w:p w14:paraId="09D1B79F" w14:textId="77777777" w:rsidR="000E52B0" w:rsidRDefault="000E52B0">
            <w:pPr>
              <w:pStyle w:val="TableParagraph"/>
              <w:rPr>
                <w:sz w:val="18"/>
              </w:rPr>
            </w:pPr>
          </w:p>
          <w:p w14:paraId="4D7E1605" w14:textId="77777777" w:rsidR="000E52B0" w:rsidRDefault="000E52B0">
            <w:pPr>
              <w:pStyle w:val="TableParagraph"/>
              <w:rPr>
                <w:sz w:val="18"/>
              </w:rPr>
            </w:pPr>
          </w:p>
          <w:p w14:paraId="791F8DB0" w14:textId="77777777" w:rsidR="000E52B0" w:rsidRDefault="00F60D74">
            <w:pPr>
              <w:pStyle w:val="TableParagraph"/>
              <w:ind w:left="408"/>
              <w:rPr>
                <w:b/>
                <w:sz w:val="18"/>
              </w:rPr>
            </w:pPr>
            <w:r>
              <w:rPr>
                <w:b/>
                <w:color w:val="FFFFFF"/>
                <w:sz w:val="18"/>
              </w:rPr>
              <w:t>Instrumento</w:t>
            </w:r>
            <w:r>
              <w:rPr>
                <w:b/>
                <w:color w:val="FFFFFF"/>
                <w:spacing w:val="-5"/>
                <w:sz w:val="18"/>
              </w:rPr>
              <w:t xml:space="preserve"> </w:t>
            </w:r>
            <w:r>
              <w:rPr>
                <w:b/>
                <w:color w:val="FFFFFF"/>
                <w:spacing w:val="-2"/>
                <w:sz w:val="18"/>
              </w:rPr>
              <w:t>Internacional</w:t>
            </w:r>
          </w:p>
        </w:tc>
        <w:tc>
          <w:tcPr>
            <w:tcW w:w="3798" w:type="dxa"/>
            <w:shd w:val="clear" w:color="auto" w:fill="D44673"/>
          </w:tcPr>
          <w:p w14:paraId="4A8B8AE7" w14:textId="77777777" w:rsidR="000E52B0" w:rsidRDefault="00F60D74">
            <w:pPr>
              <w:pStyle w:val="TableParagraph"/>
              <w:spacing w:before="109"/>
              <w:ind w:left="30" w:right="16"/>
              <w:jc w:val="center"/>
              <w:rPr>
                <w:b/>
                <w:sz w:val="18"/>
              </w:rPr>
            </w:pPr>
            <w:r>
              <w:rPr>
                <w:b/>
                <w:color w:val="FFFFFF"/>
                <w:sz w:val="18"/>
              </w:rPr>
              <w:t>Programa</w:t>
            </w:r>
            <w:r>
              <w:rPr>
                <w:b/>
                <w:color w:val="FFFFFF"/>
                <w:spacing w:val="-11"/>
                <w:sz w:val="18"/>
              </w:rPr>
              <w:t xml:space="preserve"> </w:t>
            </w:r>
            <w:r>
              <w:rPr>
                <w:b/>
                <w:color w:val="FFFFFF"/>
                <w:sz w:val="18"/>
              </w:rPr>
              <w:t>o</w:t>
            </w:r>
            <w:r>
              <w:rPr>
                <w:b/>
                <w:color w:val="FFFFFF"/>
                <w:spacing w:val="-10"/>
                <w:sz w:val="18"/>
              </w:rPr>
              <w:t xml:space="preserve"> </w:t>
            </w:r>
            <w:r>
              <w:rPr>
                <w:b/>
                <w:color w:val="FFFFFF"/>
                <w:sz w:val="18"/>
              </w:rPr>
              <w:t>Proyecto</w:t>
            </w:r>
            <w:r>
              <w:rPr>
                <w:b/>
                <w:color w:val="FFFFFF"/>
                <w:spacing w:val="-10"/>
                <w:sz w:val="18"/>
              </w:rPr>
              <w:t xml:space="preserve"> </w:t>
            </w:r>
            <w:r>
              <w:rPr>
                <w:b/>
                <w:color w:val="FFFFFF"/>
                <w:sz w:val="18"/>
              </w:rPr>
              <w:t>del</w:t>
            </w:r>
            <w:r>
              <w:rPr>
                <w:b/>
                <w:color w:val="FFFFFF"/>
                <w:spacing w:val="-10"/>
                <w:sz w:val="18"/>
              </w:rPr>
              <w:t xml:space="preserve"> </w:t>
            </w:r>
            <w:r>
              <w:rPr>
                <w:b/>
                <w:color w:val="FFFFFF"/>
                <w:sz w:val="18"/>
              </w:rPr>
              <w:t>Ministerio de Igualdad y Equidad que contribuye a materializar los instrumentos internacionales</w:t>
            </w:r>
          </w:p>
        </w:tc>
      </w:tr>
      <w:tr w:rsidR="000E52B0" w14:paraId="68AD9366" w14:textId="77777777">
        <w:trPr>
          <w:trHeight w:val="3282"/>
        </w:trPr>
        <w:tc>
          <w:tcPr>
            <w:tcW w:w="1694" w:type="dxa"/>
          </w:tcPr>
          <w:p w14:paraId="0B1BA6CA" w14:textId="77777777" w:rsidR="000E52B0" w:rsidRDefault="00F60D74">
            <w:pPr>
              <w:pStyle w:val="TableParagraph"/>
              <w:ind w:left="138" w:right="120" w:firstLine="2"/>
              <w:jc w:val="center"/>
              <w:rPr>
                <w:sz w:val="18"/>
              </w:rPr>
            </w:pPr>
            <w:r>
              <w:rPr>
                <w:sz w:val="18"/>
              </w:rPr>
              <w:t>LGBTIQ+ y la Garantía de los derechos</w:t>
            </w:r>
            <w:r>
              <w:rPr>
                <w:spacing w:val="-16"/>
                <w:sz w:val="18"/>
              </w:rPr>
              <w:t xml:space="preserve"> </w:t>
            </w:r>
            <w:r>
              <w:rPr>
                <w:sz w:val="18"/>
              </w:rPr>
              <w:t>de</w:t>
            </w:r>
            <w:r>
              <w:rPr>
                <w:spacing w:val="-16"/>
                <w:sz w:val="18"/>
              </w:rPr>
              <w:t xml:space="preserve"> </w:t>
            </w:r>
            <w:r>
              <w:rPr>
                <w:sz w:val="18"/>
              </w:rPr>
              <w:t xml:space="preserve">las personas con </w:t>
            </w:r>
            <w:r>
              <w:rPr>
                <w:spacing w:val="-2"/>
                <w:sz w:val="18"/>
              </w:rPr>
              <w:t>discapacidad</w:t>
            </w:r>
          </w:p>
        </w:tc>
        <w:tc>
          <w:tcPr>
            <w:tcW w:w="3524" w:type="dxa"/>
          </w:tcPr>
          <w:p w14:paraId="3EDA3CAB" w14:textId="77777777" w:rsidR="000E52B0" w:rsidRDefault="00F60D74">
            <w:pPr>
              <w:pStyle w:val="TableParagraph"/>
              <w:numPr>
                <w:ilvl w:val="0"/>
                <w:numId w:val="36"/>
              </w:numPr>
              <w:tabs>
                <w:tab w:val="left" w:pos="396"/>
                <w:tab w:val="left" w:pos="398"/>
                <w:tab w:val="left" w:pos="2895"/>
              </w:tabs>
              <w:ind w:right="88"/>
              <w:jc w:val="both"/>
              <w:rPr>
                <w:sz w:val="18"/>
              </w:rPr>
            </w:pPr>
            <w:r>
              <w:rPr>
                <w:sz w:val="18"/>
              </w:rPr>
              <w:t>Convenio</w:t>
            </w:r>
            <w:r>
              <w:rPr>
                <w:spacing w:val="80"/>
                <w:w w:val="150"/>
                <w:sz w:val="18"/>
              </w:rPr>
              <w:t xml:space="preserve"> </w:t>
            </w:r>
            <w:r>
              <w:rPr>
                <w:sz w:val="18"/>
              </w:rPr>
              <w:t>No.159</w:t>
            </w:r>
            <w:r>
              <w:rPr>
                <w:sz w:val="18"/>
              </w:rPr>
              <w:tab/>
              <w:t>y la recomendación 168 de naciones unidas sobre la readaptación profesional y el empleo de personas invalidas</w:t>
            </w:r>
          </w:p>
          <w:p w14:paraId="5556492E" w14:textId="77777777" w:rsidR="000E52B0" w:rsidRDefault="00F60D74">
            <w:pPr>
              <w:pStyle w:val="TableParagraph"/>
              <w:numPr>
                <w:ilvl w:val="0"/>
                <w:numId w:val="36"/>
              </w:numPr>
              <w:tabs>
                <w:tab w:val="left" w:pos="396"/>
                <w:tab w:val="left" w:pos="398"/>
              </w:tabs>
              <w:ind w:right="90"/>
              <w:jc w:val="both"/>
              <w:rPr>
                <w:sz w:val="18"/>
              </w:rPr>
            </w:pPr>
            <w:r>
              <w:rPr>
                <w:sz w:val="18"/>
              </w:rPr>
              <w:t>Convención interamericana para la</w:t>
            </w:r>
            <w:r>
              <w:rPr>
                <w:spacing w:val="-16"/>
                <w:sz w:val="18"/>
              </w:rPr>
              <w:t xml:space="preserve"> </w:t>
            </w:r>
            <w:r>
              <w:rPr>
                <w:sz w:val="18"/>
              </w:rPr>
              <w:t>eliminación</w:t>
            </w:r>
            <w:r>
              <w:rPr>
                <w:spacing w:val="-14"/>
                <w:sz w:val="18"/>
              </w:rPr>
              <w:t xml:space="preserve"> </w:t>
            </w:r>
            <w:r>
              <w:rPr>
                <w:sz w:val="18"/>
              </w:rPr>
              <w:t>de</w:t>
            </w:r>
            <w:r>
              <w:rPr>
                <w:spacing w:val="-15"/>
                <w:sz w:val="18"/>
              </w:rPr>
              <w:t xml:space="preserve"> </w:t>
            </w:r>
            <w:r>
              <w:rPr>
                <w:sz w:val="18"/>
              </w:rPr>
              <w:t>todas</w:t>
            </w:r>
            <w:r>
              <w:rPr>
                <w:spacing w:val="-16"/>
                <w:sz w:val="18"/>
              </w:rPr>
              <w:t xml:space="preserve"> </w:t>
            </w:r>
            <w:r>
              <w:rPr>
                <w:sz w:val="18"/>
              </w:rPr>
              <w:t>formas</w:t>
            </w:r>
            <w:r>
              <w:rPr>
                <w:spacing w:val="-16"/>
                <w:sz w:val="18"/>
              </w:rPr>
              <w:t xml:space="preserve"> </w:t>
            </w:r>
            <w:r>
              <w:rPr>
                <w:sz w:val="18"/>
              </w:rPr>
              <w:t>de discriminación contra las Personas con Discapacidad</w:t>
            </w:r>
          </w:p>
          <w:p w14:paraId="6A425A7A" w14:textId="77777777" w:rsidR="000E52B0" w:rsidRDefault="00F60D74">
            <w:pPr>
              <w:pStyle w:val="TableParagraph"/>
              <w:numPr>
                <w:ilvl w:val="0"/>
                <w:numId w:val="36"/>
              </w:numPr>
              <w:tabs>
                <w:tab w:val="left" w:pos="396"/>
                <w:tab w:val="left" w:pos="398"/>
              </w:tabs>
              <w:ind w:right="86"/>
              <w:jc w:val="both"/>
              <w:rPr>
                <w:sz w:val="18"/>
              </w:rPr>
            </w:pPr>
            <w:r>
              <w:rPr>
                <w:sz w:val="18"/>
              </w:rPr>
              <w:t>Principios de Yogyakarta: sobre la aplicación de la legislación internacional de Derechos Humanos en relación con la orientación</w:t>
            </w:r>
            <w:r>
              <w:rPr>
                <w:spacing w:val="-14"/>
                <w:sz w:val="18"/>
              </w:rPr>
              <w:t xml:space="preserve"> </w:t>
            </w:r>
            <w:r>
              <w:rPr>
                <w:sz w:val="18"/>
              </w:rPr>
              <w:t>sexual</w:t>
            </w:r>
            <w:r>
              <w:rPr>
                <w:spacing w:val="-15"/>
                <w:sz w:val="18"/>
              </w:rPr>
              <w:t xml:space="preserve"> </w:t>
            </w:r>
            <w:r>
              <w:rPr>
                <w:sz w:val="18"/>
              </w:rPr>
              <w:t>y</w:t>
            </w:r>
            <w:r>
              <w:rPr>
                <w:spacing w:val="-16"/>
                <w:sz w:val="18"/>
              </w:rPr>
              <w:t xml:space="preserve"> </w:t>
            </w:r>
            <w:r>
              <w:rPr>
                <w:sz w:val="18"/>
              </w:rPr>
              <w:t>la</w:t>
            </w:r>
            <w:r>
              <w:rPr>
                <w:spacing w:val="-16"/>
                <w:sz w:val="18"/>
              </w:rPr>
              <w:t xml:space="preserve"> </w:t>
            </w:r>
            <w:r>
              <w:rPr>
                <w:sz w:val="18"/>
              </w:rPr>
              <w:t>entidad</w:t>
            </w:r>
            <w:r>
              <w:rPr>
                <w:spacing w:val="-15"/>
                <w:sz w:val="18"/>
              </w:rPr>
              <w:t xml:space="preserve"> </w:t>
            </w:r>
            <w:r>
              <w:rPr>
                <w:sz w:val="18"/>
              </w:rPr>
              <w:t>de</w:t>
            </w:r>
          </w:p>
          <w:p w14:paraId="0E95E253" w14:textId="77777777" w:rsidR="000E52B0" w:rsidRDefault="00F60D74">
            <w:pPr>
              <w:pStyle w:val="TableParagraph"/>
              <w:spacing w:line="198" w:lineRule="exact"/>
              <w:ind w:left="398"/>
              <w:rPr>
                <w:sz w:val="18"/>
              </w:rPr>
            </w:pPr>
            <w:r>
              <w:rPr>
                <w:spacing w:val="-2"/>
                <w:sz w:val="18"/>
              </w:rPr>
              <w:t>género</w:t>
            </w:r>
          </w:p>
        </w:tc>
        <w:tc>
          <w:tcPr>
            <w:tcW w:w="3798" w:type="dxa"/>
          </w:tcPr>
          <w:p w14:paraId="27184220" w14:textId="77777777" w:rsidR="000E52B0" w:rsidRDefault="00F60D74">
            <w:pPr>
              <w:pStyle w:val="TableParagraph"/>
              <w:ind w:left="108" w:right="84"/>
              <w:jc w:val="both"/>
              <w:rPr>
                <w:sz w:val="18"/>
              </w:rPr>
            </w:pPr>
            <w:r>
              <w:rPr>
                <w:sz w:val="18"/>
              </w:rPr>
              <w:t>y discriminación a las personas de las personas con orientaciones sexuales e identidades</w:t>
            </w:r>
            <w:r>
              <w:rPr>
                <w:spacing w:val="-16"/>
                <w:sz w:val="18"/>
              </w:rPr>
              <w:t xml:space="preserve"> </w:t>
            </w:r>
            <w:r>
              <w:rPr>
                <w:sz w:val="18"/>
              </w:rPr>
              <w:t>de</w:t>
            </w:r>
            <w:r>
              <w:rPr>
                <w:spacing w:val="-16"/>
                <w:sz w:val="18"/>
              </w:rPr>
              <w:t xml:space="preserve"> </w:t>
            </w:r>
            <w:r>
              <w:rPr>
                <w:sz w:val="18"/>
              </w:rPr>
              <w:t>género</w:t>
            </w:r>
            <w:r>
              <w:rPr>
                <w:spacing w:val="-16"/>
                <w:sz w:val="18"/>
              </w:rPr>
              <w:t xml:space="preserve"> </w:t>
            </w:r>
            <w:r>
              <w:rPr>
                <w:sz w:val="18"/>
              </w:rPr>
              <w:t>no</w:t>
            </w:r>
            <w:r>
              <w:rPr>
                <w:spacing w:val="-15"/>
                <w:sz w:val="18"/>
              </w:rPr>
              <w:t xml:space="preserve"> </w:t>
            </w:r>
            <w:r>
              <w:rPr>
                <w:sz w:val="18"/>
              </w:rPr>
              <w:t>hegemónicas, facilitar los medios para el acceso a salud,</w:t>
            </w:r>
            <w:r>
              <w:rPr>
                <w:spacing w:val="-3"/>
                <w:sz w:val="18"/>
              </w:rPr>
              <w:t xml:space="preserve"> </w:t>
            </w:r>
            <w:r>
              <w:rPr>
                <w:sz w:val="18"/>
              </w:rPr>
              <w:t>educación,</w:t>
            </w:r>
            <w:r>
              <w:rPr>
                <w:spacing w:val="-3"/>
                <w:sz w:val="18"/>
              </w:rPr>
              <w:t xml:space="preserve"> </w:t>
            </w:r>
            <w:r>
              <w:rPr>
                <w:sz w:val="18"/>
              </w:rPr>
              <w:t>desarrollo</w:t>
            </w:r>
            <w:r>
              <w:rPr>
                <w:spacing w:val="-2"/>
                <w:sz w:val="18"/>
              </w:rPr>
              <w:t xml:space="preserve"> </w:t>
            </w:r>
            <w:r>
              <w:rPr>
                <w:sz w:val="18"/>
              </w:rPr>
              <w:t>económico y</w:t>
            </w:r>
            <w:r>
              <w:rPr>
                <w:spacing w:val="-3"/>
                <w:sz w:val="18"/>
              </w:rPr>
              <w:t xml:space="preserve"> </w:t>
            </w:r>
            <w:r>
              <w:rPr>
                <w:sz w:val="18"/>
              </w:rPr>
              <w:t>social</w:t>
            </w:r>
            <w:r>
              <w:rPr>
                <w:spacing w:val="-2"/>
                <w:sz w:val="18"/>
              </w:rPr>
              <w:t xml:space="preserve"> </w:t>
            </w:r>
            <w:r>
              <w:rPr>
                <w:sz w:val="18"/>
              </w:rPr>
              <w:t>de</w:t>
            </w:r>
            <w:r>
              <w:rPr>
                <w:spacing w:val="-2"/>
                <w:sz w:val="18"/>
              </w:rPr>
              <w:t xml:space="preserve"> </w:t>
            </w:r>
            <w:r>
              <w:rPr>
                <w:sz w:val="18"/>
              </w:rPr>
              <w:t>las</w:t>
            </w:r>
            <w:r>
              <w:rPr>
                <w:spacing w:val="-3"/>
                <w:sz w:val="18"/>
              </w:rPr>
              <w:t xml:space="preserve"> </w:t>
            </w:r>
            <w:r>
              <w:rPr>
                <w:sz w:val="18"/>
              </w:rPr>
              <w:t>personas</w:t>
            </w:r>
            <w:r>
              <w:rPr>
                <w:spacing w:val="-3"/>
                <w:sz w:val="18"/>
              </w:rPr>
              <w:t xml:space="preserve"> </w:t>
            </w:r>
            <w:r>
              <w:rPr>
                <w:sz w:val="18"/>
              </w:rPr>
              <w:t>de</w:t>
            </w:r>
            <w:r>
              <w:rPr>
                <w:spacing w:val="-4"/>
                <w:sz w:val="18"/>
              </w:rPr>
              <w:t xml:space="preserve"> </w:t>
            </w:r>
            <w:r>
              <w:rPr>
                <w:sz w:val="18"/>
              </w:rPr>
              <w:t>los</w:t>
            </w:r>
            <w:r>
              <w:rPr>
                <w:spacing w:val="-2"/>
                <w:sz w:val="18"/>
              </w:rPr>
              <w:t xml:space="preserve"> </w:t>
            </w:r>
            <w:r>
              <w:rPr>
                <w:sz w:val="18"/>
              </w:rPr>
              <w:t>sectores orientaciones</w:t>
            </w:r>
            <w:r>
              <w:rPr>
                <w:spacing w:val="-14"/>
                <w:sz w:val="18"/>
              </w:rPr>
              <w:t xml:space="preserve"> </w:t>
            </w:r>
            <w:r>
              <w:rPr>
                <w:sz w:val="18"/>
              </w:rPr>
              <w:t>sexuales</w:t>
            </w:r>
            <w:r>
              <w:rPr>
                <w:spacing w:val="-14"/>
                <w:sz w:val="18"/>
              </w:rPr>
              <w:t xml:space="preserve"> </w:t>
            </w:r>
            <w:r>
              <w:rPr>
                <w:sz w:val="18"/>
              </w:rPr>
              <w:t>e</w:t>
            </w:r>
            <w:r>
              <w:rPr>
                <w:spacing w:val="-14"/>
                <w:sz w:val="18"/>
              </w:rPr>
              <w:t xml:space="preserve"> </w:t>
            </w:r>
            <w:r>
              <w:rPr>
                <w:sz w:val="18"/>
              </w:rPr>
              <w:t>identidades</w:t>
            </w:r>
            <w:r>
              <w:rPr>
                <w:spacing w:val="-14"/>
                <w:sz w:val="18"/>
              </w:rPr>
              <w:t xml:space="preserve"> </w:t>
            </w:r>
            <w:r>
              <w:rPr>
                <w:sz w:val="18"/>
              </w:rPr>
              <w:t>de género no hegemónicas.</w:t>
            </w:r>
          </w:p>
        </w:tc>
      </w:tr>
      <w:tr w:rsidR="000E52B0" w14:paraId="539D5990" w14:textId="77777777">
        <w:trPr>
          <w:trHeight w:val="7817"/>
        </w:trPr>
        <w:tc>
          <w:tcPr>
            <w:tcW w:w="1694" w:type="dxa"/>
          </w:tcPr>
          <w:p w14:paraId="65FC9EB9" w14:textId="77777777" w:rsidR="000E52B0" w:rsidRDefault="000E52B0">
            <w:pPr>
              <w:pStyle w:val="TableParagraph"/>
              <w:rPr>
                <w:sz w:val="18"/>
              </w:rPr>
            </w:pPr>
          </w:p>
          <w:p w14:paraId="276203EA" w14:textId="77777777" w:rsidR="000E52B0" w:rsidRDefault="000E52B0">
            <w:pPr>
              <w:pStyle w:val="TableParagraph"/>
              <w:rPr>
                <w:sz w:val="18"/>
              </w:rPr>
            </w:pPr>
          </w:p>
          <w:p w14:paraId="763CE047" w14:textId="77777777" w:rsidR="000E52B0" w:rsidRDefault="000E52B0">
            <w:pPr>
              <w:pStyle w:val="TableParagraph"/>
              <w:rPr>
                <w:sz w:val="18"/>
              </w:rPr>
            </w:pPr>
          </w:p>
          <w:p w14:paraId="1874ED72" w14:textId="77777777" w:rsidR="000E52B0" w:rsidRDefault="000E52B0">
            <w:pPr>
              <w:pStyle w:val="TableParagraph"/>
              <w:rPr>
                <w:sz w:val="18"/>
              </w:rPr>
            </w:pPr>
          </w:p>
          <w:p w14:paraId="58C5E662" w14:textId="77777777" w:rsidR="000E52B0" w:rsidRDefault="000E52B0">
            <w:pPr>
              <w:pStyle w:val="TableParagraph"/>
              <w:rPr>
                <w:sz w:val="18"/>
              </w:rPr>
            </w:pPr>
          </w:p>
          <w:p w14:paraId="3B2431BE" w14:textId="77777777" w:rsidR="000E52B0" w:rsidRDefault="000E52B0">
            <w:pPr>
              <w:pStyle w:val="TableParagraph"/>
              <w:rPr>
                <w:sz w:val="18"/>
              </w:rPr>
            </w:pPr>
          </w:p>
          <w:p w14:paraId="76950E54" w14:textId="77777777" w:rsidR="000E52B0" w:rsidRDefault="000E52B0">
            <w:pPr>
              <w:pStyle w:val="TableParagraph"/>
              <w:rPr>
                <w:sz w:val="18"/>
              </w:rPr>
            </w:pPr>
          </w:p>
          <w:p w14:paraId="4F539138" w14:textId="77777777" w:rsidR="000E52B0" w:rsidRDefault="000E52B0">
            <w:pPr>
              <w:pStyle w:val="TableParagraph"/>
              <w:rPr>
                <w:sz w:val="18"/>
              </w:rPr>
            </w:pPr>
          </w:p>
          <w:p w14:paraId="53F6EFFA" w14:textId="77777777" w:rsidR="000E52B0" w:rsidRDefault="000E52B0">
            <w:pPr>
              <w:pStyle w:val="TableParagraph"/>
              <w:rPr>
                <w:sz w:val="18"/>
              </w:rPr>
            </w:pPr>
          </w:p>
          <w:p w14:paraId="43613378" w14:textId="77777777" w:rsidR="000E52B0" w:rsidRDefault="000E52B0">
            <w:pPr>
              <w:pStyle w:val="TableParagraph"/>
              <w:rPr>
                <w:sz w:val="18"/>
              </w:rPr>
            </w:pPr>
          </w:p>
          <w:p w14:paraId="030060C8" w14:textId="77777777" w:rsidR="000E52B0" w:rsidRDefault="000E52B0">
            <w:pPr>
              <w:pStyle w:val="TableParagraph"/>
              <w:rPr>
                <w:sz w:val="18"/>
              </w:rPr>
            </w:pPr>
          </w:p>
          <w:p w14:paraId="408D987F" w14:textId="77777777" w:rsidR="000E52B0" w:rsidRDefault="000E52B0">
            <w:pPr>
              <w:pStyle w:val="TableParagraph"/>
              <w:rPr>
                <w:sz w:val="18"/>
              </w:rPr>
            </w:pPr>
          </w:p>
          <w:p w14:paraId="132010B1" w14:textId="77777777" w:rsidR="000E52B0" w:rsidRDefault="000E52B0">
            <w:pPr>
              <w:pStyle w:val="TableParagraph"/>
              <w:rPr>
                <w:sz w:val="18"/>
              </w:rPr>
            </w:pPr>
          </w:p>
          <w:p w14:paraId="502D0488" w14:textId="77777777" w:rsidR="000E52B0" w:rsidRDefault="000E52B0">
            <w:pPr>
              <w:pStyle w:val="TableParagraph"/>
              <w:rPr>
                <w:sz w:val="18"/>
              </w:rPr>
            </w:pPr>
          </w:p>
          <w:p w14:paraId="6A13B204" w14:textId="77777777" w:rsidR="000E52B0" w:rsidRDefault="000E52B0">
            <w:pPr>
              <w:pStyle w:val="TableParagraph"/>
              <w:spacing w:before="188"/>
              <w:rPr>
                <w:sz w:val="18"/>
              </w:rPr>
            </w:pPr>
          </w:p>
          <w:p w14:paraId="10A130C7" w14:textId="77777777" w:rsidR="000E52B0" w:rsidRDefault="00F60D74">
            <w:pPr>
              <w:pStyle w:val="TableParagraph"/>
              <w:ind w:left="138" w:right="118" w:firstLine="19"/>
              <w:jc w:val="both"/>
              <w:rPr>
                <w:sz w:val="18"/>
              </w:rPr>
            </w:pPr>
            <w:r>
              <w:rPr>
                <w:sz w:val="18"/>
              </w:rPr>
              <w:t>Garantía</w:t>
            </w:r>
            <w:r>
              <w:rPr>
                <w:spacing w:val="-8"/>
                <w:sz w:val="18"/>
              </w:rPr>
              <w:t xml:space="preserve"> </w:t>
            </w:r>
            <w:r>
              <w:rPr>
                <w:sz w:val="18"/>
              </w:rPr>
              <w:t>de</w:t>
            </w:r>
            <w:r>
              <w:rPr>
                <w:spacing w:val="-8"/>
                <w:sz w:val="18"/>
              </w:rPr>
              <w:t xml:space="preserve"> </w:t>
            </w:r>
            <w:r>
              <w:rPr>
                <w:sz w:val="18"/>
              </w:rPr>
              <w:t>los derechos</w:t>
            </w:r>
            <w:r>
              <w:rPr>
                <w:spacing w:val="-16"/>
                <w:sz w:val="18"/>
              </w:rPr>
              <w:t xml:space="preserve"> </w:t>
            </w:r>
            <w:r>
              <w:rPr>
                <w:sz w:val="18"/>
              </w:rPr>
              <w:t>de</w:t>
            </w:r>
            <w:r>
              <w:rPr>
                <w:spacing w:val="-16"/>
                <w:sz w:val="18"/>
              </w:rPr>
              <w:t xml:space="preserve"> </w:t>
            </w:r>
            <w:r>
              <w:rPr>
                <w:sz w:val="18"/>
              </w:rPr>
              <w:t>los pueblos</w:t>
            </w:r>
            <w:r>
              <w:rPr>
                <w:spacing w:val="-16"/>
                <w:sz w:val="18"/>
              </w:rPr>
              <w:t xml:space="preserve"> </w:t>
            </w:r>
            <w:r>
              <w:rPr>
                <w:sz w:val="18"/>
              </w:rPr>
              <w:t>étnicos y campesinos</w:t>
            </w:r>
          </w:p>
        </w:tc>
        <w:tc>
          <w:tcPr>
            <w:tcW w:w="3524" w:type="dxa"/>
          </w:tcPr>
          <w:p w14:paraId="12D8F64C" w14:textId="77777777" w:rsidR="000E52B0" w:rsidRDefault="00F60D74">
            <w:pPr>
              <w:pStyle w:val="TableParagraph"/>
              <w:numPr>
                <w:ilvl w:val="0"/>
                <w:numId w:val="35"/>
              </w:numPr>
              <w:tabs>
                <w:tab w:val="left" w:pos="396"/>
                <w:tab w:val="left" w:pos="398"/>
              </w:tabs>
              <w:spacing w:line="237" w:lineRule="auto"/>
              <w:ind w:right="87"/>
              <w:jc w:val="both"/>
              <w:rPr>
                <w:sz w:val="18"/>
              </w:rPr>
            </w:pPr>
            <w:r>
              <w:rPr>
                <w:sz w:val="18"/>
              </w:rPr>
              <w:t xml:space="preserve">Convenio No. 169 sobre Pueblos Indígenas y Tribales en países </w:t>
            </w:r>
            <w:r>
              <w:rPr>
                <w:spacing w:val="-2"/>
                <w:sz w:val="18"/>
              </w:rPr>
              <w:t>Independientes</w:t>
            </w:r>
          </w:p>
          <w:p w14:paraId="286D7756" w14:textId="77777777" w:rsidR="000E52B0" w:rsidRDefault="00F60D74">
            <w:pPr>
              <w:pStyle w:val="TableParagraph"/>
              <w:numPr>
                <w:ilvl w:val="0"/>
                <w:numId w:val="35"/>
              </w:numPr>
              <w:tabs>
                <w:tab w:val="left" w:pos="396"/>
                <w:tab w:val="left" w:pos="398"/>
              </w:tabs>
              <w:spacing w:before="2"/>
              <w:ind w:right="87"/>
              <w:jc w:val="both"/>
              <w:rPr>
                <w:sz w:val="18"/>
              </w:rPr>
            </w:pPr>
            <w:r>
              <w:rPr>
                <w:sz w:val="18"/>
              </w:rPr>
              <w:t xml:space="preserve">Convenio no. 107 relativo a la protección e integración de las poblaciones indígenas y de otras poblaciones tribuales y semi tribales en los países </w:t>
            </w:r>
            <w:r>
              <w:rPr>
                <w:spacing w:val="-2"/>
                <w:sz w:val="18"/>
              </w:rPr>
              <w:t>independientes</w:t>
            </w:r>
          </w:p>
          <w:p w14:paraId="0A87DACA" w14:textId="77777777" w:rsidR="000E52B0" w:rsidRDefault="00F60D74">
            <w:pPr>
              <w:pStyle w:val="TableParagraph"/>
              <w:numPr>
                <w:ilvl w:val="0"/>
                <w:numId w:val="35"/>
              </w:numPr>
              <w:tabs>
                <w:tab w:val="left" w:pos="396"/>
                <w:tab w:val="left" w:pos="398"/>
              </w:tabs>
              <w:ind w:right="86"/>
              <w:jc w:val="both"/>
              <w:rPr>
                <w:sz w:val="18"/>
              </w:rPr>
            </w:pPr>
            <w:r>
              <w:rPr>
                <w:sz w:val="18"/>
              </w:rPr>
              <w:t>Resolución aprobada por el Consejo</w:t>
            </w:r>
            <w:r>
              <w:rPr>
                <w:spacing w:val="-15"/>
                <w:sz w:val="18"/>
              </w:rPr>
              <w:t xml:space="preserve"> </w:t>
            </w:r>
            <w:r>
              <w:rPr>
                <w:sz w:val="18"/>
              </w:rPr>
              <w:t>de</w:t>
            </w:r>
            <w:r>
              <w:rPr>
                <w:spacing w:val="-15"/>
                <w:sz w:val="18"/>
              </w:rPr>
              <w:t xml:space="preserve"> </w:t>
            </w:r>
            <w:r>
              <w:rPr>
                <w:sz w:val="18"/>
              </w:rPr>
              <w:t>Derechos</w:t>
            </w:r>
            <w:r>
              <w:rPr>
                <w:spacing w:val="-16"/>
                <w:sz w:val="18"/>
              </w:rPr>
              <w:t xml:space="preserve"> </w:t>
            </w:r>
            <w:r>
              <w:rPr>
                <w:sz w:val="18"/>
              </w:rPr>
              <w:t>Humanos</w:t>
            </w:r>
            <w:r>
              <w:rPr>
                <w:spacing w:val="-16"/>
                <w:sz w:val="18"/>
              </w:rPr>
              <w:t xml:space="preserve"> </w:t>
            </w:r>
            <w:r>
              <w:rPr>
                <w:sz w:val="18"/>
              </w:rPr>
              <w:t>el 28</w:t>
            </w:r>
            <w:r>
              <w:rPr>
                <w:spacing w:val="-16"/>
                <w:sz w:val="18"/>
              </w:rPr>
              <w:t xml:space="preserve"> </w:t>
            </w:r>
            <w:r>
              <w:rPr>
                <w:sz w:val="18"/>
              </w:rPr>
              <w:t>de</w:t>
            </w:r>
            <w:r>
              <w:rPr>
                <w:spacing w:val="-16"/>
                <w:sz w:val="18"/>
              </w:rPr>
              <w:t xml:space="preserve"> </w:t>
            </w:r>
            <w:r>
              <w:rPr>
                <w:sz w:val="18"/>
              </w:rPr>
              <w:t>septiembre</w:t>
            </w:r>
            <w:r>
              <w:rPr>
                <w:spacing w:val="-16"/>
                <w:sz w:val="18"/>
              </w:rPr>
              <w:t xml:space="preserve"> </w:t>
            </w:r>
            <w:r>
              <w:rPr>
                <w:sz w:val="18"/>
              </w:rPr>
              <w:t>de</w:t>
            </w:r>
            <w:r>
              <w:rPr>
                <w:spacing w:val="-16"/>
                <w:sz w:val="18"/>
              </w:rPr>
              <w:t xml:space="preserve"> </w:t>
            </w:r>
            <w:r>
              <w:rPr>
                <w:sz w:val="18"/>
              </w:rPr>
              <w:t>2018</w:t>
            </w:r>
            <w:r>
              <w:rPr>
                <w:spacing w:val="-16"/>
                <w:sz w:val="18"/>
              </w:rPr>
              <w:t xml:space="preserve"> </w:t>
            </w:r>
            <w:r>
              <w:rPr>
                <w:sz w:val="18"/>
              </w:rPr>
              <w:t>39/12. Declaración de las Naciones Unidas</w:t>
            </w:r>
            <w:r>
              <w:rPr>
                <w:spacing w:val="-2"/>
                <w:sz w:val="18"/>
              </w:rPr>
              <w:t xml:space="preserve"> </w:t>
            </w:r>
            <w:r>
              <w:rPr>
                <w:sz w:val="18"/>
              </w:rPr>
              <w:t>sobre</w:t>
            </w:r>
            <w:r>
              <w:rPr>
                <w:spacing w:val="-2"/>
                <w:sz w:val="18"/>
              </w:rPr>
              <w:t xml:space="preserve"> </w:t>
            </w:r>
            <w:r>
              <w:rPr>
                <w:sz w:val="18"/>
              </w:rPr>
              <w:t>los</w:t>
            </w:r>
            <w:r>
              <w:rPr>
                <w:spacing w:val="-2"/>
                <w:sz w:val="18"/>
              </w:rPr>
              <w:t xml:space="preserve"> </w:t>
            </w:r>
            <w:r>
              <w:rPr>
                <w:sz w:val="18"/>
              </w:rPr>
              <w:t>Derechos</w:t>
            </w:r>
            <w:r>
              <w:rPr>
                <w:spacing w:val="-4"/>
                <w:sz w:val="18"/>
              </w:rPr>
              <w:t xml:space="preserve"> </w:t>
            </w:r>
            <w:r>
              <w:rPr>
                <w:sz w:val="18"/>
              </w:rPr>
              <w:t>de</w:t>
            </w:r>
            <w:r>
              <w:rPr>
                <w:spacing w:val="-2"/>
                <w:sz w:val="18"/>
              </w:rPr>
              <w:t xml:space="preserve"> </w:t>
            </w:r>
            <w:r>
              <w:rPr>
                <w:sz w:val="18"/>
              </w:rPr>
              <w:t xml:space="preserve">los Campesinos y de Otras Personas que Trabajan en las Zonas </w:t>
            </w:r>
            <w:r>
              <w:rPr>
                <w:spacing w:val="-2"/>
                <w:sz w:val="18"/>
              </w:rPr>
              <w:t>Rurales</w:t>
            </w:r>
          </w:p>
        </w:tc>
        <w:tc>
          <w:tcPr>
            <w:tcW w:w="3798" w:type="dxa"/>
          </w:tcPr>
          <w:p w14:paraId="18E121DF" w14:textId="77777777" w:rsidR="000E52B0" w:rsidRDefault="00F60D74">
            <w:pPr>
              <w:pStyle w:val="TableParagraph"/>
              <w:ind w:left="108" w:right="86"/>
              <w:jc w:val="both"/>
              <w:rPr>
                <w:sz w:val="18"/>
              </w:rPr>
            </w:pPr>
            <w:r>
              <w:rPr>
                <w:b/>
                <w:sz w:val="18"/>
              </w:rPr>
              <w:t xml:space="preserve">Programa “Reconociendo Saberes en la diferencia”. </w:t>
            </w:r>
            <w:r>
              <w:rPr>
                <w:sz w:val="18"/>
              </w:rPr>
              <w:t>Busca reducir el racismo, la discriminación racial, la exclusión y la desigualdad de los Pueblos Étnicos y el Campesinado, a partir</w:t>
            </w:r>
            <w:r>
              <w:rPr>
                <w:spacing w:val="-16"/>
                <w:sz w:val="18"/>
              </w:rPr>
              <w:t xml:space="preserve"> </w:t>
            </w:r>
            <w:r>
              <w:rPr>
                <w:sz w:val="18"/>
              </w:rPr>
              <w:t>de</w:t>
            </w:r>
            <w:r>
              <w:rPr>
                <w:spacing w:val="-16"/>
                <w:sz w:val="18"/>
              </w:rPr>
              <w:t xml:space="preserve"> </w:t>
            </w:r>
            <w:r>
              <w:rPr>
                <w:sz w:val="18"/>
              </w:rPr>
              <w:t>la</w:t>
            </w:r>
            <w:r>
              <w:rPr>
                <w:spacing w:val="-16"/>
                <w:sz w:val="18"/>
              </w:rPr>
              <w:t xml:space="preserve"> </w:t>
            </w:r>
            <w:r>
              <w:rPr>
                <w:sz w:val="18"/>
              </w:rPr>
              <w:t>provisión</w:t>
            </w:r>
            <w:r>
              <w:rPr>
                <w:spacing w:val="-16"/>
                <w:sz w:val="18"/>
              </w:rPr>
              <w:t xml:space="preserve"> </w:t>
            </w:r>
            <w:r>
              <w:rPr>
                <w:sz w:val="18"/>
              </w:rPr>
              <w:t>de</w:t>
            </w:r>
            <w:r>
              <w:rPr>
                <w:spacing w:val="-16"/>
                <w:sz w:val="18"/>
              </w:rPr>
              <w:t xml:space="preserve"> </w:t>
            </w:r>
            <w:r>
              <w:rPr>
                <w:sz w:val="18"/>
              </w:rPr>
              <w:t>los</w:t>
            </w:r>
            <w:r>
              <w:rPr>
                <w:spacing w:val="-15"/>
                <w:sz w:val="18"/>
              </w:rPr>
              <w:t xml:space="preserve"> </w:t>
            </w:r>
            <w:r>
              <w:rPr>
                <w:sz w:val="18"/>
              </w:rPr>
              <w:t>medios</w:t>
            </w:r>
            <w:r>
              <w:rPr>
                <w:spacing w:val="-16"/>
                <w:sz w:val="18"/>
              </w:rPr>
              <w:t xml:space="preserve"> </w:t>
            </w:r>
            <w:r>
              <w:rPr>
                <w:sz w:val="18"/>
              </w:rPr>
              <w:t xml:space="preserve">para fortalecer los procesos organizativos y comunitarios y de los saberes de los Pueblos Étnicos y Campesinos, y de garantizar una respuesta institucional adecuada y efectiva para erradicar el </w:t>
            </w:r>
            <w:r>
              <w:rPr>
                <w:spacing w:val="-2"/>
                <w:sz w:val="18"/>
              </w:rPr>
              <w:t>racismo.</w:t>
            </w:r>
          </w:p>
          <w:p w14:paraId="0FDD1B1E" w14:textId="47E6E179" w:rsidR="000E52B0" w:rsidRDefault="00F60D74">
            <w:pPr>
              <w:pStyle w:val="TableParagraph"/>
              <w:spacing w:before="218"/>
              <w:ind w:left="108" w:right="85"/>
              <w:jc w:val="both"/>
              <w:rPr>
                <w:sz w:val="18"/>
              </w:rPr>
            </w:pPr>
            <w:r>
              <w:rPr>
                <w:b/>
                <w:sz w:val="18"/>
              </w:rPr>
              <w:t xml:space="preserve">Programa “Tejiendo Sistemas Económicos </w:t>
            </w:r>
            <w:r w:rsidR="00711074">
              <w:rPr>
                <w:b/>
                <w:sz w:val="18"/>
              </w:rPr>
              <w:t>Propios”.</w:t>
            </w:r>
            <w:r w:rsidR="00711074">
              <w:rPr>
                <w:sz w:val="18"/>
              </w:rPr>
              <w:t xml:space="preserve"> Quiere</w:t>
            </w:r>
            <w:r>
              <w:rPr>
                <w:sz w:val="18"/>
              </w:rPr>
              <w:t xml:space="preserve"> reducir las brechas de desigualdad económica de los pueblos étnicos y campesinos a partir del fortalecimiento de sistemas económicos propios basados en prácticas culturales, comunitarias y saberes de los pueblos étnicos y el </w:t>
            </w:r>
            <w:r>
              <w:rPr>
                <w:spacing w:val="-2"/>
                <w:sz w:val="18"/>
              </w:rPr>
              <w:t>campesinado.</w:t>
            </w:r>
          </w:p>
          <w:p w14:paraId="3065FCBB" w14:textId="77777777" w:rsidR="000E52B0" w:rsidRDefault="00F60D74">
            <w:pPr>
              <w:pStyle w:val="TableParagraph"/>
              <w:spacing w:before="217"/>
              <w:ind w:left="108" w:right="83"/>
              <w:jc w:val="both"/>
              <w:rPr>
                <w:sz w:val="18"/>
              </w:rPr>
            </w:pPr>
            <w:r>
              <w:rPr>
                <w:b/>
                <w:sz w:val="18"/>
              </w:rPr>
              <w:t xml:space="preserve">Programa “Cuidando La Vida En El Territorio Con Los Pueblos Étnicos Y Campesinos”, </w:t>
            </w:r>
            <w:r>
              <w:rPr>
                <w:sz w:val="18"/>
              </w:rPr>
              <w:t>busca fortalecer y equilibrar</w:t>
            </w:r>
            <w:r>
              <w:rPr>
                <w:spacing w:val="-10"/>
                <w:sz w:val="18"/>
              </w:rPr>
              <w:t xml:space="preserve"> </w:t>
            </w:r>
            <w:r>
              <w:rPr>
                <w:sz w:val="18"/>
              </w:rPr>
              <w:t>los</w:t>
            </w:r>
            <w:r>
              <w:rPr>
                <w:spacing w:val="-10"/>
                <w:sz w:val="18"/>
              </w:rPr>
              <w:t xml:space="preserve"> </w:t>
            </w:r>
            <w:r>
              <w:rPr>
                <w:sz w:val="18"/>
              </w:rPr>
              <w:t>derechos</w:t>
            </w:r>
            <w:r>
              <w:rPr>
                <w:spacing w:val="-10"/>
                <w:sz w:val="18"/>
              </w:rPr>
              <w:t xml:space="preserve"> </w:t>
            </w:r>
            <w:r>
              <w:rPr>
                <w:sz w:val="18"/>
              </w:rPr>
              <w:t>colectivos</w:t>
            </w:r>
            <w:r>
              <w:rPr>
                <w:spacing w:val="-10"/>
                <w:sz w:val="18"/>
              </w:rPr>
              <w:t xml:space="preserve"> </w:t>
            </w:r>
            <w:r>
              <w:rPr>
                <w:sz w:val="18"/>
              </w:rPr>
              <w:t>de</w:t>
            </w:r>
            <w:r>
              <w:rPr>
                <w:spacing w:val="-9"/>
                <w:sz w:val="18"/>
              </w:rPr>
              <w:t xml:space="preserve"> </w:t>
            </w:r>
            <w:r>
              <w:rPr>
                <w:sz w:val="18"/>
              </w:rPr>
              <w:t>los pueblos étnicos y campesinos a partir del reconocimiento de las prácticas de cuidado propias como articuladoras de las relaciones territoriales y comunitarias que dinamizan reproducen</w:t>
            </w:r>
            <w:r>
              <w:rPr>
                <w:spacing w:val="-15"/>
                <w:sz w:val="18"/>
              </w:rPr>
              <w:t xml:space="preserve"> </w:t>
            </w:r>
            <w:r>
              <w:rPr>
                <w:sz w:val="18"/>
              </w:rPr>
              <w:t>y</w:t>
            </w:r>
            <w:r>
              <w:rPr>
                <w:spacing w:val="-15"/>
                <w:sz w:val="18"/>
              </w:rPr>
              <w:t xml:space="preserve"> </w:t>
            </w:r>
            <w:r>
              <w:rPr>
                <w:sz w:val="18"/>
              </w:rPr>
              <w:t>salvaguardan</w:t>
            </w:r>
            <w:r>
              <w:rPr>
                <w:spacing w:val="-16"/>
                <w:sz w:val="18"/>
              </w:rPr>
              <w:t xml:space="preserve"> </w:t>
            </w:r>
            <w:r>
              <w:rPr>
                <w:sz w:val="18"/>
              </w:rPr>
              <w:t>las</w:t>
            </w:r>
            <w:r>
              <w:rPr>
                <w:spacing w:val="-14"/>
                <w:sz w:val="18"/>
              </w:rPr>
              <w:t xml:space="preserve"> </w:t>
            </w:r>
            <w:r>
              <w:rPr>
                <w:spacing w:val="-2"/>
                <w:sz w:val="18"/>
              </w:rPr>
              <w:t>culturas.</w:t>
            </w:r>
          </w:p>
        </w:tc>
      </w:tr>
    </w:tbl>
    <w:p w14:paraId="5681DC07" w14:textId="77777777" w:rsidR="000E52B0" w:rsidRDefault="000E52B0">
      <w:pPr>
        <w:pStyle w:val="Textoindependiente"/>
        <w:spacing w:before="37"/>
        <w:ind w:left="0"/>
        <w:rPr>
          <w:sz w:val="26"/>
        </w:rPr>
      </w:pPr>
    </w:p>
    <w:p w14:paraId="4EE2D5E7" w14:textId="77777777" w:rsidR="000E52B0" w:rsidRDefault="00F60D74">
      <w:pPr>
        <w:pStyle w:val="Ttulo2"/>
        <w:jc w:val="left"/>
      </w:pPr>
      <w:bookmarkStart w:id="197" w:name="_bookmark197"/>
      <w:bookmarkEnd w:id="197"/>
      <w:r>
        <w:rPr>
          <w:color w:val="B3176C"/>
        </w:rPr>
        <w:t>Panorama</w:t>
      </w:r>
      <w:r>
        <w:rPr>
          <w:color w:val="B3176C"/>
          <w:spacing w:val="-10"/>
        </w:rPr>
        <w:t xml:space="preserve"> </w:t>
      </w:r>
      <w:r>
        <w:rPr>
          <w:color w:val="B3176C"/>
        </w:rPr>
        <w:t>de</w:t>
      </w:r>
      <w:r>
        <w:rPr>
          <w:color w:val="B3176C"/>
          <w:spacing w:val="-12"/>
        </w:rPr>
        <w:t xml:space="preserve"> </w:t>
      </w:r>
      <w:r>
        <w:rPr>
          <w:color w:val="B3176C"/>
        </w:rPr>
        <w:t>instituciones</w:t>
      </w:r>
      <w:r>
        <w:rPr>
          <w:color w:val="B3176C"/>
          <w:spacing w:val="-10"/>
        </w:rPr>
        <w:t xml:space="preserve"> </w:t>
      </w:r>
      <w:r>
        <w:rPr>
          <w:color w:val="B3176C"/>
        </w:rPr>
        <w:t>internacionales</w:t>
      </w:r>
      <w:r>
        <w:rPr>
          <w:color w:val="B3176C"/>
          <w:spacing w:val="-10"/>
        </w:rPr>
        <w:t xml:space="preserve"> </w:t>
      </w:r>
      <w:r>
        <w:rPr>
          <w:color w:val="B3176C"/>
        </w:rPr>
        <w:t>de</w:t>
      </w:r>
      <w:r>
        <w:rPr>
          <w:color w:val="B3176C"/>
          <w:spacing w:val="-11"/>
        </w:rPr>
        <w:t xml:space="preserve"> </w:t>
      </w:r>
      <w:r>
        <w:rPr>
          <w:color w:val="B3176C"/>
        </w:rPr>
        <w:t>igualdad</w:t>
      </w:r>
      <w:r>
        <w:rPr>
          <w:color w:val="B3176C"/>
          <w:spacing w:val="-10"/>
        </w:rPr>
        <w:t xml:space="preserve"> </w:t>
      </w:r>
      <w:r>
        <w:rPr>
          <w:color w:val="B3176C"/>
        </w:rPr>
        <w:t>y</w:t>
      </w:r>
      <w:r>
        <w:rPr>
          <w:color w:val="B3176C"/>
          <w:spacing w:val="-12"/>
        </w:rPr>
        <w:t xml:space="preserve"> </w:t>
      </w:r>
      <w:r>
        <w:rPr>
          <w:color w:val="B3176C"/>
          <w:spacing w:val="-2"/>
        </w:rPr>
        <w:t>equidad</w:t>
      </w:r>
    </w:p>
    <w:p w14:paraId="6F34E531" w14:textId="77777777" w:rsidR="000E52B0" w:rsidRDefault="00F60D74">
      <w:pPr>
        <w:pStyle w:val="Textoindependiente"/>
        <w:spacing w:before="268"/>
      </w:pPr>
      <w:r>
        <w:t>Como se argumentó en el apartado anterior, la creación del Ministerio de Igualdad</w:t>
      </w:r>
      <w:r>
        <w:rPr>
          <w:spacing w:val="35"/>
        </w:rPr>
        <w:t xml:space="preserve"> </w:t>
      </w:r>
      <w:r>
        <w:t>y</w:t>
      </w:r>
      <w:r>
        <w:rPr>
          <w:spacing w:val="38"/>
        </w:rPr>
        <w:t xml:space="preserve"> </w:t>
      </w:r>
      <w:r>
        <w:t>Equidad</w:t>
      </w:r>
      <w:r>
        <w:rPr>
          <w:spacing w:val="39"/>
        </w:rPr>
        <w:t xml:space="preserve"> </w:t>
      </w:r>
      <w:r>
        <w:t>en</w:t>
      </w:r>
      <w:r>
        <w:rPr>
          <w:spacing w:val="38"/>
        </w:rPr>
        <w:t xml:space="preserve"> </w:t>
      </w:r>
      <w:r>
        <w:t>Colombia</w:t>
      </w:r>
      <w:r>
        <w:rPr>
          <w:spacing w:val="37"/>
        </w:rPr>
        <w:t xml:space="preserve"> </w:t>
      </w:r>
      <w:r>
        <w:t>se</w:t>
      </w:r>
      <w:r>
        <w:rPr>
          <w:spacing w:val="39"/>
        </w:rPr>
        <w:t xml:space="preserve"> </w:t>
      </w:r>
      <w:r>
        <w:t>alinea,</w:t>
      </w:r>
      <w:r>
        <w:rPr>
          <w:spacing w:val="37"/>
        </w:rPr>
        <w:t xml:space="preserve"> </w:t>
      </w:r>
      <w:r>
        <w:t>no</w:t>
      </w:r>
      <w:r>
        <w:rPr>
          <w:spacing w:val="39"/>
        </w:rPr>
        <w:t xml:space="preserve"> </w:t>
      </w:r>
      <w:r>
        <w:t>sólo</w:t>
      </w:r>
      <w:r>
        <w:rPr>
          <w:spacing w:val="38"/>
        </w:rPr>
        <w:t xml:space="preserve"> </w:t>
      </w:r>
      <w:r>
        <w:t>con</w:t>
      </w:r>
      <w:r>
        <w:rPr>
          <w:spacing w:val="38"/>
        </w:rPr>
        <w:t xml:space="preserve"> </w:t>
      </w:r>
      <w:r>
        <w:t>las</w:t>
      </w:r>
      <w:r>
        <w:rPr>
          <w:spacing w:val="38"/>
        </w:rPr>
        <w:t xml:space="preserve"> </w:t>
      </w:r>
      <w:r>
        <w:rPr>
          <w:spacing w:val="-2"/>
        </w:rPr>
        <w:t>obligaciones</w:t>
      </w:r>
    </w:p>
    <w:p w14:paraId="5B4986AE" w14:textId="77777777" w:rsidR="000E52B0" w:rsidRDefault="000E52B0">
      <w:pPr>
        <w:pStyle w:val="Textoindependiente"/>
        <w:sectPr w:rsidR="000E52B0">
          <w:type w:val="continuous"/>
          <w:pgSz w:w="11910" w:h="16840"/>
          <w:pgMar w:top="1400" w:right="720" w:bottom="1180" w:left="720" w:header="0" w:footer="995" w:gutter="0"/>
          <w:cols w:space="720"/>
        </w:sectPr>
      </w:pPr>
    </w:p>
    <w:p w14:paraId="2EC0A10C" w14:textId="77777777" w:rsidR="000E52B0" w:rsidRDefault="00F60D74">
      <w:pPr>
        <w:pStyle w:val="Textoindependiente"/>
        <w:spacing w:before="83"/>
        <w:ind w:right="719"/>
        <w:jc w:val="both"/>
      </w:pPr>
      <w:r>
        <w:lastRenderedPageBreak/>
        <w:t>internacionales en la materia, sino también con la tendencia internacional que</w:t>
      </w:r>
      <w:r>
        <w:rPr>
          <w:spacing w:val="-14"/>
        </w:rPr>
        <w:t xml:space="preserve"> </w:t>
      </w:r>
      <w:r>
        <w:t>se</w:t>
      </w:r>
      <w:r>
        <w:rPr>
          <w:spacing w:val="-14"/>
        </w:rPr>
        <w:t xml:space="preserve"> </w:t>
      </w:r>
      <w:r>
        <w:t>registra</w:t>
      </w:r>
      <w:r>
        <w:rPr>
          <w:spacing w:val="-14"/>
        </w:rPr>
        <w:t xml:space="preserve"> </w:t>
      </w:r>
      <w:r>
        <w:t>desde</w:t>
      </w:r>
      <w:r>
        <w:rPr>
          <w:spacing w:val="-14"/>
        </w:rPr>
        <w:t xml:space="preserve"> </w:t>
      </w:r>
      <w:r>
        <w:t>la</w:t>
      </w:r>
      <w:r>
        <w:rPr>
          <w:spacing w:val="-15"/>
        </w:rPr>
        <w:t xml:space="preserve"> </w:t>
      </w:r>
      <w:r>
        <w:t>década</w:t>
      </w:r>
      <w:r>
        <w:rPr>
          <w:spacing w:val="-15"/>
        </w:rPr>
        <w:t xml:space="preserve"> </w:t>
      </w:r>
      <w:r>
        <w:t>de</w:t>
      </w:r>
      <w:r>
        <w:rPr>
          <w:spacing w:val="-14"/>
        </w:rPr>
        <w:t xml:space="preserve"> </w:t>
      </w:r>
      <w:r>
        <w:t>los</w:t>
      </w:r>
      <w:r>
        <w:rPr>
          <w:spacing w:val="-14"/>
        </w:rPr>
        <w:t xml:space="preserve"> </w:t>
      </w:r>
      <w:r>
        <w:t>años</w:t>
      </w:r>
      <w:r>
        <w:rPr>
          <w:spacing w:val="-15"/>
        </w:rPr>
        <w:t xml:space="preserve"> </w:t>
      </w:r>
      <w:r>
        <w:t>60s,</w:t>
      </w:r>
      <w:r>
        <w:rPr>
          <w:spacing w:val="-15"/>
        </w:rPr>
        <w:t xml:space="preserve"> </w:t>
      </w:r>
      <w:r>
        <w:t>de</w:t>
      </w:r>
      <w:r>
        <w:rPr>
          <w:spacing w:val="-14"/>
        </w:rPr>
        <w:t xml:space="preserve"> </w:t>
      </w:r>
      <w:r>
        <w:t>desarrollo</w:t>
      </w:r>
      <w:r>
        <w:rPr>
          <w:spacing w:val="-14"/>
        </w:rPr>
        <w:t xml:space="preserve"> </w:t>
      </w:r>
      <w:r>
        <w:t>de</w:t>
      </w:r>
      <w:r>
        <w:rPr>
          <w:spacing w:val="-14"/>
        </w:rPr>
        <w:t xml:space="preserve"> </w:t>
      </w:r>
      <w:r>
        <w:t>entidades o dependencias, en la estructura de los Estados, que buscan reducir las brechas de desigualdad e inequidad.</w:t>
      </w:r>
    </w:p>
    <w:p w14:paraId="2EEF090D" w14:textId="77777777" w:rsidR="000E52B0" w:rsidRDefault="00F60D74">
      <w:pPr>
        <w:pStyle w:val="Textoindependiente"/>
        <w:spacing w:before="290"/>
        <w:ind w:right="720"/>
        <w:jc w:val="both"/>
      </w:pPr>
      <w:r>
        <w:t>Un análisis realizado por la Vicepresidencia de la República de Colombia encontró que al menos 30 Estados a nivel internacional cuentan con Ministerios, Secretarías u Oficinas dedicadas a promover la igualdad y la equidad, desde diferentes enfoques poblacionales o sectoriales. A continuación, una relación de las entidades creadas</w:t>
      </w:r>
    </w:p>
    <w:p w14:paraId="233AFA56" w14:textId="77777777" w:rsidR="000E52B0" w:rsidRDefault="000E52B0">
      <w:pPr>
        <w:pStyle w:val="Textoindependiente"/>
        <w:spacing w:before="49"/>
        <w:ind w:left="0"/>
        <w:rPr>
          <w:sz w:val="20"/>
        </w:rPr>
      </w:pPr>
    </w:p>
    <w:tbl>
      <w:tblPr>
        <w:tblStyle w:val="TableNormal"/>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89"/>
        <w:gridCol w:w="1563"/>
        <w:gridCol w:w="1532"/>
        <w:gridCol w:w="4633"/>
      </w:tblGrid>
      <w:tr w:rsidR="000E52B0" w14:paraId="3001B210" w14:textId="77777777">
        <w:trPr>
          <w:trHeight w:val="542"/>
        </w:trPr>
        <w:tc>
          <w:tcPr>
            <w:tcW w:w="1289" w:type="dxa"/>
            <w:shd w:val="clear" w:color="auto" w:fill="D44673"/>
          </w:tcPr>
          <w:p w14:paraId="28A27B14" w14:textId="77777777" w:rsidR="000E52B0" w:rsidRDefault="00F60D74">
            <w:pPr>
              <w:pStyle w:val="TableParagraph"/>
              <w:spacing w:before="172"/>
              <w:ind w:left="21" w:right="3"/>
              <w:jc w:val="center"/>
              <w:rPr>
                <w:b/>
                <w:sz w:val="16"/>
              </w:rPr>
            </w:pPr>
            <w:r>
              <w:rPr>
                <w:b/>
                <w:color w:val="FFFFFF"/>
                <w:spacing w:val="-4"/>
                <w:sz w:val="16"/>
              </w:rPr>
              <w:t>País</w:t>
            </w:r>
          </w:p>
        </w:tc>
        <w:tc>
          <w:tcPr>
            <w:tcW w:w="1563" w:type="dxa"/>
            <w:shd w:val="clear" w:color="auto" w:fill="D44673"/>
          </w:tcPr>
          <w:p w14:paraId="7C586CD4" w14:textId="77777777" w:rsidR="000E52B0" w:rsidRDefault="00F60D74">
            <w:pPr>
              <w:pStyle w:val="TableParagraph"/>
              <w:spacing w:before="172"/>
              <w:ind w:left="438"/>
              <w:rPr>
                <w:b/>
                <w:sz w:val="16"/>
              </w:rPr>
            </w:pPr>
            <w:r>
              <w:rPr>
                <w:b/>
                <w:color w:val="FFFFFF"/>
                <w:spacing w:val="-2"/>
                <w:sz w:val="16"/>
              </w:rPr>
              <w:t>Entidad</w:t>
            </w:r>
          </w:p>
        </w:tc>
        <w:tc>
          <w:tcPr>
            <w:tcW w:w="1532" w:type="dxa"/>
            <w:shd w:val="clear" w:color="auto" w:fill="D44673"/>
          </w:tcPr>
          <w:p w14:paraId="6753F48E" w14:textId="77777777" w:rsidR="000E52B0" w:rsidRDefault="00F60D74">
            <w:pPr>
              <w:pStyle w:val="TableParagraph"/>
              <w:spacing w:before="76"/>
              <w:ind w:left="373" w:right="353" w:firstLine="79"/>
              <w:rPr>
                <w:b/>
                <w:sz w:val="16"/>
              </w:rPr>
            </w:pPr>
            <w:r>
              <w:rPr>
                <w:b/>
                <w:color w:val="FFFFFF"/>
                <w:sz w:val="16"/>
              </w:rPr>
              <w:t xml:space="preserve">Año de </w:t>
            </w:r>
            <w:r>
              <w:rPr>
                <w:b/>
                <w:color w:val="FFFFFF"/>
                <w:spacing w:val="-2"/>
                <w:sz w:val="16"/>
              </w:rPr>
              <w:t>Creación</w:t>
            </w:r>
          </w:p>
        </w:tc>
        <w:tc>
          <w:tcPr>
            <w:tcW w:w="4633" w:type="dxa"/>
            <w:shd w:val="clear" w:color="auto" w:fill="D44673"/>
          </w:tcPr>
          <w:p w14:paraId="1AD9C906" w14:textId="77777777" w:rsidR="000E52B0" w:rsidRDefault="00F60D74">
            <w:pPr>
              <w:pStyle w:val="TableParagraph"/>
              <w:spacing w:before="172"/>
              <w:ind w:left="1424"/>
              <w:rPr>
                <w:b/>
                <w:sz w:val="16"/>
              </w:rPr>
            </w:pPr>
            <w:r>
              <w:rPr>
                <w:b/>
                <w:color w:val="FFFFFF"/>
                <w:sz w:val="16"/>
              </w:rPr>
              <w:t>Misión</w:t>
            </w:r>
            <w:r>
              <w:rPr>
                <w:b/>
                <w:color w:val="FFFFFF"/>
                <w:spacing w:val="-6"/>
                <w:sz w:val="16"/>
              </w:rPr>
              <w:t xml:space="preserve"> </w:t>
            </w:r>
            <w:r>
              <w:rPr>
                <w:b/>
                <w:color w:val="FFFFFF"/>
                <w:spacing w:val="-2"/>
                <w:sz w:val="16"/>
              </w:rPr>
              <w:t>Institucional</w:t>
            </w:r>
          </w:p>
        </w:tc>
      </w:tr>
      <w:tr w:rsidR="000E52B0" w14:paraId="7A304C78" w14:textId="77777777">
        <w:trPr>
          <w:trHeight w:val="944"/>
        </w:trPr>
        <w:tc>
          <w:tcPr>
            <w:tcW w:w="1289" w:type="dxa"/>
          </w:tcPr>
          <w:p w14:paraId="4C18E335" w14:textId="77777777" w:rsidR="000E52B0" w:rsidRDefault="000E52B0">
            <w:pPr>
              <w:pStyle w:val="TableParagraph"/>
              <w:spacing w:before="179"/>
              <w:rPr>
                <w:sz w:val="16"/>
              </w:rPr>
            </w:pPr>
          </w:p>
          <w:p w14:paraId="71D14876" w14:textId="77777777" w:rsidR="000E52B0" w:rsidRDefault="00F60D74">
            <w:pPr>
              <w:pStyle w:val="TableParagraph"/>
              <w:ind w:left="21" w:right="4"/>
              <w:jc w:val="center"/>
              <w:rPr>
                <w:b/>
                <w:sz w:val="16"/>
              </w:rPr>
            </w:pPr>
            <w:r>
              <w:rPr>
                <w:b/>
                <w:spacing w:val="-2"/>
                <w:sz w:val="16"/>
              </w:rPr>
              <w:t>Canadá</w:t>
            </w:r>
          </w:p>
        </w:tc>
        <w:tc>
          <w:tcPr>
            <w:tcW w:w="1563" w:type="dxa"/>
          </w:tcPr>
          <w:p w14:paraId="04D5B967" w14:textId="77777777" w:rsidR="000E52B0" w:rsidRDefault="00F60D74">
            <w:pPr>
              <w:pStyle w:val="TableParagraph"/>
              <w:spacing w:before="83"/>
              <w:ind w:left="88" w:right="69"/>
              <w:jc w:val="center"/>
              <w:rPr>
                <w:b/>
                <w:sz w:val="16"/>
              </w:rPr>
            </w:pPr>
            <w:r>
              <w:rPr>
                <w:b/>
                <w:sz w:val="16"/>
              </w:rPr>
              <w:t>Comisión Real sobre la Condición</w:t>
            </w:r>
            <w:r>
              <w:rPr>
                <w:b/>
                <w:spacing w:val="-14"/>
                <w:sz w:val="16"/>
              </w:rPr>
              <w:t xml:space="preserve"> </w:t>
            </w:r>
            <w:r>
              <w:rPr>
                <w:b/>
                <w:sz w:val="16"/>
              </w:rPr>
              <w:t>de</w:t>
            </w:r>
            <w:r>
              <w:rPr>
                <w:b/>
                <w:spacing w:val="-14"/>
                <w:sz w:val="16"/>
              </w:rPr>
              <w:t xml:space="preserve"> </w:t>
            </w:r>
            <w:r>
              <w:rPr>
                <w:b/>
                <w:sz w:val="16"/>
              </w:rPr>
              <w:t xml:space="preserve">la </w:t>
            </w:r>
            <w:r>
              <w:rPr>
                <w:b/>
                <w:spacing w:val="-2"/>
                <w:sz w:val="16"/>
              </w:rPr>
              <w:t>Mujer</w:t>
            </w:r>
          </w:p>
        </w:tc>
        <w:tc>
          <w:tcPr>
            <w:tcW w:w="1532" w:type="dxa"/>
          </w:tcPr>
          <w:p w14:paraId="16365280" w14:textId="77777777" w:rsidR="000E52B0" w:rsidRDefault="000E52B0">
            <w:pPr>
              <w:pStyle w:val="TableParagraph"/>
              <w:spacing w:before="100"/>
              <w:rPr>
                <w:sz w:val="16"/>
              </w:rPr>
            </w:pPr>
          </w:p>
          <w:p w14:paraId="3D07C72D" w14:textId="77777777" w:rsidR="000E52B0" w:rsidRDefault="00F60D74">
            <w:pPr>
              <w:pStyle w:val="TableParagraph"/>
              <w:ind w:left="14"/>
              <w:jc w:val="center"/>
              <w:rPr>
                <w:b/>
                <w:sz w:val="16"/>
              </w:rPr>
            </w:pPr>
            <w:r>
              <w:rPr>
                <w:b/>
                <w:spacing w:val="-4"/>
                <w:sz w:val="16"/>
              </w:rPr>
              <w:t>1967</w:t>
            </w:r>
          </w:p>
        </w:tc>
        <w:tc>
          <w:tcPr>
            <w:tcW w:w="4633" w:type="dxa"/>
          </w:tcPr>
          <w:p w14:paraId="6E70D88B" w14:textId="77777777" w:rsidR="000E52B0" w:rsidRDefault="00F60D74">
            <w:pPr>
              <w:pStyle w:val="TableParagraph"/>
              <w:spacing w:before="179"/>
              <w:ind w:left="68" w:right="46"/>
              <w:jc w:val="both"/>
              <w:rPr>
                <w:sz w:val="16"/>
              </w:rPr>
            </w:pPr>
            <w:r>
              <w:rPr>
                <w:sz w:val="16"/>
              </w:rPr>
              <w:t>Promueve la igualdad de género y la total participación de las mujeres en la vida económica, social, cultural y política del país</w:t>
            </w:r>
          </w:p>
        </w:tc>
      </w:tr>
      <w:tr w:rsidR="000E52B0" w14:paraId="3348F13A" w14:textId="77777777">
        <w:trPr>
          <w:trHeight w:val="971"/>
        </w:trPr>
        <w:tc>
          <w:tcPr>
            <w:tcW w:w="1289" w:type="dxa"/>
          </w:tcPr>
          <w:p w14:paraId="29F2A117" w14:textId="77777777" w:rsidR="000E52B0" w:rsidRDefault="000E52B0">
            <w:pPr>
              <w:pStyle w:val="TableParagraph"/>
              <w:spacing w:before="193"/>
              <w:rPr>
                <w:sz w:val="16"/>
              </w:rPr>
            </w:pPr>
          </w:p>
          <w:p w14:paraId="5C1AAED1" w14:textId="77777777" w:rsidR="000E52B0" w:rsidRDefault="00F60D74">
            <w:pPr>
              <w:pStyle w:val="TableParagraph"/>
              <w:spacing w:before="1"/>
              <w:ind w:left="21" w:right="3"/>
              <w:jc w:val="center"/>
              <w:rPr>
                <w:b/>
                <w:sz w:val="16"/>
              </w:rPr>
            </w:pPr>
            <w:r>
              <w:rPr>
                <w:b/>
                <w:spacing w:val="-2"/>
                <w:sz w:val="16"/>
              </w:rPr>
              <w:t>Haití</w:t>
            </w:r>
          </w:p>
        </w:tc>
        <w:tc>
          <w:tcPr>
            <w:tcW w:w="1563" w:type="dxa"/>
          </w:tcPr>
          <w:p w14:paraId="06B1825D" w14:textId="77777777" w:rsidR="000E52B0" w:rsidRDefault="00F60D74">
            <w:pPr>
              <w:pStyle w:val="TableParagraph"/>
              <w:spacing w:before="98"/>
              <w:ind w:left="196" w:right="177"/>
              <w:jc w:val="center"/>
              <w:rPr>
                <w:b/>
                <w:sz w:val="16"/>
              </w:rPr>
            </w:pPr>
            <w:r>
              <w:rPr>
                <w:b/>
                <w:sz w:val="16"/>
              </w:rPr>
              <w:t>Ministerio</w:t>
            </w:r>
            <w:r>
              <w:rPr>
                <w:b/>
                <w:spacing w:val="-14"/>
                <w:sz w:val="16"/>
              </w:rPr>
              <w:t xml:space="preserve"> </w:t>
            </w:r>
            <w:r>
              <w:rPr>
                <w:b/>
                <w:sz w:val="16"/>
              </w:rPr>
              <w:t xml:space="preserve">de </w:t>
            </w:r>
            <w:r>
              <w:rPr>
                <w:b/>
                <w:spacing w:val="-2"/>
                <w:sz w:val="16"/>
              </w:rPr>
              <w:t xml:space="preserve">Asuntos </w:t>
            </w:r>
            <w:r>
              <w:rPr>
                <w:b/>
                <w:sz w:val="16"/>
              </w:rPr>
              <w:t>Sociales</w:t>
            </w:r>
            <w:r>
              <w:rPr>
                <w:b/>
                <w:spacing w:val="-14"/>
                <w:sz w:val="16"/>
              </w:rPr>
              <w:t xml:space="preserve"> </w:t>
            </w:r>
            <w:r>
              <w:rPr>
                <w:b/>
                <w:sz w:val="16"/>
              </w:rPr>
              <w:t>y</w:t>
            </w:r>
            <w:r>
              <w:rPr>
                <w:b/>
                <w:spacing w:val="-14"/>
                <w:sz w:val="16"/>
              </w:rPr>
              <w:t xml:space="preserve"> </w:t>
            </w:r>
            <w:r>
              <w:rPr>
                <w:b/>
                <w:sz w:val="16"/>
              </w:rPr>
              <w:t xml:space="preserve">de </w:t>
            </w:r>
            <w:r>
              <w:rPr>
                <w:b/>
                <w:spacing w:val="-2"/>
                <w:sz w:val="16"/>
              </w:rPr>
              <w:t>Trabajo</w:t>
            </w:r>
          </w:p>
        </w:tc>
        <w:tc>
          <w:tcPr>
            <w:tcW w:w="1532" w:type="dxa"/>
          </w:tcPr>
          <w:p w14:paraId="62E2D59E" w14:textId="77777777" w:rsidR="000E52B0" w:rsidRDefault="000E52B0">
            <w:pPr>
              <w:pStyle w:val="TableParagraph"/>
              <w:spacing w:before="193"/>
              <w:rPr>
                <w:sz w:val="16"/>
              </w:rPr>
            </w:pPr>
          </w:p>
          <w:p w14:paraId="3329F234" w14:textId="77777777" w:rsidR="000E52B0" w:rsidRDefault="00F60D74">
            <w:pPr>
              <w:pStyle w:val="TableParagraph"/>
              <w:spacing w:before="1"/>
              <w:ind w:left="14"/>
              <w:jc w:val="center"/>
              <w:rPr>
                <w:b/>
                <w:sz w:val="16"/>
              </w:rPr>
            </w:pPr>
            <w:r>
              <w:rPr>
                <w:b/>
                <w:spacing w:val="-4"/>
                <w:sz w:val="16"/>
              </w:rPr>
              <w:t>1983</w:t>
            </w:r>
          </w:p>
        </w:tc>
        <w:tc>
          <w:tcPr>
            <w:tcW w:w="4633" w:type="dxa"/>
          </w:tcPr>
          <w:p w14:paraId="6B3D8CA1" w14:textId="77777777" w:rsidR="000E52B0" w:rsidRDefault="00F60D74">
            <w:pPr>
              <w:pStyle w:val="TableParagraph"/>
              <w:spacing w:line="194" w:lineRule="exact"/>
              <w:ind w:left="68" w:right="46"/>
              <w:jc w:val="both"/>
              <w:rPr>
                <w:sz w:val="16"/>
              </w:rPr>
            </w:pPr>
            <w:r>
              <w:rPr>
                <w:sz w:val="16"/>
              </w:rPr>
              <w:t>Su misión es definir y ejecutar la política social del Gobierno en protección de los trabajadores; liderar la lucha</w:t>
            </w:r>
            <w:r>
              <w:rPr>
                <w:spacing w:val="-1"/>
                <w:sz w:val="16"/>
              </w:rPr>
              <w:t xml:space="preserve"> </w:t>
            </w:r>
            <w:r>
              <w:rPr>
                <w:sz w:val="16"/>
              </w:rPr>
              <w:t>contra</w:t>
            </w:r>
            <w:r>
              <w:rPr>
                <w:spacing w:val="-4"/>
                <w:sz w:val="16"/>
              </w:rPr>
              <w:t xml:space="preserve"> </w:t>
            </w:r>
            <w:r>
              <w:rPr>
                <w:sz w:val="16"/>
              </w:rPr>
              <w:t>el</w:t>
            </w:r>
            <w:r>
              <w:rPr>
                <w:spacing w:val="-4"/>
                <w:sz w:val="16"/>
              </w:rPr>
              <w:t xml:space="preserve"> </w:t>
            </w:r>
            <w:r>
              <w:rPr>
                <w:sz w:val="16"/>
              </w:rPr>
              <w:t>hambre,</w:t>
            </w:r>
            <w:r>
              <w:rPr>
                <w:spacing w:val="-2"/>
                <w:sz w:val="16"/>
              </w:rPr>
              <w:t xml:space="preserve"> </w:t>
            </w:r>
            <w:r>
              <w:rPr>
                <w:sz w:val="16"/>
              </w:rPr>
              <w:t>la</w:t>
            </w:r>
            <w:r>
              <w:rPr>
                <w:spacing w:val="-4"/>
                <w:sz w:val="16"/>
              </w:rPr>
              <w:t xml:space="preserve"> </w:t>
            </w:r>
            <w:r>
              <w:rPr>
                <w:sz w:val="16"/>
              </w:rPr>
              <w:t>desnutrición,</w:t>
            </w:r>
            <w:r>
              <w:rPr>
                <w:spacing w:val="-2"/>
                <w:sz w:val="16"/>
              </w:rPr>
              <w:t xml:space="preserve"> </w:t>
            </w:r>
            <w:r>
              <w:rPr>
                <w:sz w:val="16"/>
              </w:rPr>
              <w:t>el</w:t>
            </w:r>
            <w:r>
              <w:rPr>
                <w:spacing w:val="-4"/>
                <w:sz w:val="16"/>
              </w:rPr>
              <w:t xml:space="preserve"> </w:t>
            </w:r>
            <w:r>
              <w:rPr>
                <w:sz w:val="16"/>
              </w:rPr>
              <w:t>desempleo</w:t>
            </w:r>
            <w:r>
              <w:rPr>
                <w:spacing w:val="-3"/>
                <w:sz w:val="16"/>
              </w:rPr>
              <w:t xml:space="preserve"> </w:t>
            </w:r>
            <w:r>
              <w:rPr>
                <w:sz w:val="16"/>
              </w:rPr>
              <w:t>y la</w:t>
            </w:r>
            <w:r>
              <w:rPr>
                <w:spacing w:val="-12"/>
                <w:sz w:val="16"/>
              </w:rPr>
              <w:t xml:space="preserve"> </w:t>
            </w:r>
            <w:r>
              <w:rPr>
                <w:sz w:val="16"/>
              </w:rPr>
              <w:t>indigencia;</w:t>
            </w:r>
            <w:r>
              <w:rPr>
                <w:spacing w:val="-12"/>
                <w:sz w:val="16"/>
              </w:rPr>
              <w:t xml:space="preserve"> </w:t>
            </w:r>
            <w:r>
              <w:rPr>
                <w:sz w:val="16"/>
              </w:rPr>
              <w:t>crear,</w:t>
            </w:r>
            <w:r>
              <w:rPr>
                <w:spacing w:val="-14"/>
                <w:sz w:val="16"/>
              </w:rPr>
              <w:t xml:space="preserve"> </w:t>
            </w:r>
            <w:r>
              <w:rPr>
                <w:sz w:val="16"/>
              </w:rPr>
              <w:t>autorizar,</w:t>
            </w:r>
            <w:r>
              <w:rPr>
                <w:spacing w:val="-12"/>
                <w:sz w:val="16"/>
              </w:rPr>
              <w:t xml:space="preserve"> </w:t>
            </w:r>
            <w:r>
              <w:rPr>
                <w:sz w:val="16"/>
              </w:rPr>
              <w:t>fomentar</w:t>
            </w:r>
            <w:r>
              <w:rPr>
                <w:spacing w:val="-13"/>
                <w:sz w:val="16"/>
              </w:rPr>
              <w:t xml:space="preserve"> </w:t>
            </w:r>
            <w:r>
              <w:rPr>
                <w:sz w:val="16"/>
              </w:rPr>
              <w:t>y</w:t>
            </w:r>
            <w:r>
              <w:rPr>
                <w:spacing w:val="-13"/>
                <w:sz w:val="16"/>
              </w:rPr>
              <w:t xml:space="preserve"> </w:t>
            </w:r>
            <w:r>
              <w:rPr>
                <w:sz w:val="16"/>
              </w:rPr>
              <w:t>supervisar</w:t>
            </w:r>
            <w:r>
              <w:rPr>
                <w:spacing w:val="-13"/>
                <w:sz w:val="16"/>
              </w:rPr>
              <w:t xml:space="preserve"> </w:t>
            </w:r>
            <w:r>
              <w:rPr>
                <w:sz w:val="16"/>
              </w:rPr>
              <w:t>las obras</w:t>
            </w:r>
            <w:r>
              <w:rPr>
                <w:spacing w:val="-8"/>
                <w:sz w:val="16"/>
              </w:rPr>
              <w:t xml:space="preserve"> </w:t>
            </w:r>
            <w:r>
              <w:rPr>
                <w:sz w:val="16"/>
              </w:rPr>
              <w:t>de</w:t>
            </w:r>
            <w:r>
              <w:rPr>
                <w:spacing w:val="-7"/>
                <w:sz w:val="16"/>
              </w:rPr>
              <w:t xml:space="preserve"> </w:t>
            </w:r>
            <w:r>
              <w:rPr>
                <w:sz w:val="16"/>
              </w:rPr>
              <w:t>asistencia</w:t>
            </w:r>
            <w:r>
              <w:rPr>
                <w:spacing w:val="-9"/>
                <w:sz w:val="16"/>
              </w:rPr>
              <w:t xml:space="preserve"> </w:t>
            </w:r>
            <w:r>
              <w:rPr>
                <w:sz w:val="16"/>
              </w:rPr>
              <w:t>social</w:t>
            </w:r>
            <w:r>
              <w:rPr>
                <w:spacing w:val="-5"/>
                <w:sz w:val="16"/>
              </w:rPr>
              <w:t xml:space="preserve"> </w:t>
            </w:r>
            <w:r>
              <w:rPr>
                <w:sz w:val="16"/>
              </w:rPr>
              <w:t>tanto</w:t>
            </w:r>
            <w:r>
              <w:rPr>
                <w:spacing w:val="-7"/>
                <w:sz w:val="16"/>
              </w:rPr>
              <w:t xml:space="preserve"> </w:t>
            </w:r>
            <w:r>
              <w:rPr>
                <w:sz w:val="16"/>
              </w:rPr>
              <w:t>públicas</w:t>
            </w:r>
            <w:r>
              <w:rPr>
                <w:spacing w:val="-7"/>
                <w:sz w:val="16"/>
              </w:rPr>
              <w:t xml:space="preserve"> </w:t>
            </w:r>
            <w:r>
              <w:rPr>
                <w:sz w:val="16"/>
              </w:rPr>
              <w:t>como</w:t>
            </w:r>
            <w:r>
              <w:rPr>
                <w:spacing w:val="-9"/>
                <w:sz w:val="16"/>
              </w:rPr>
              <w:t xml:space="preserve"> </w:t>
            </w:r>
            <w:r>
              <w:rPr>
                <w:spacing w:val="-2"/>
                <w:sz w:val="16"/>
              </w:rPr>
              <w:t>privadas.</w:t>
            </w:r>
          </w:p>
        </w:tc>
      </w:tr>
      <w:tr w:rsidR="000E52B0" w14:paraId="2923423D" w14:textId="77777777">
        <w:trPr>
          <w:trHeight w:val="1362"/>
        </w:trPr>
        <w:tc>
          <w:tcPr>
            <w:tcW w:w="1289" w:type="dxa"/>
          </w:tcPr>
          <w:p w14:paraId="105B17EA" w14:textId="77777777" w:rsidR="000E52B0" w:rsidRDefault="000E52B0">
            <w:pPr>
              <w:pStyle w:val="TableParagraph"/>
              <w:rPr>
                <w:sz w:val="16"/>
              </w:rPr>
            </w:pPr>
          </w:p>
          <w:p w14:paraId="11B11752" w14:textId="77777777" w:rsidR="000E52B0" w:rsidRDefault="000E52B0">
            <w:pPr>
              <w:pStyle w:val="TableParagraph"/>
              <w:rPr>
                <w:sz w:val="16"/>
              </w:rPr>
            </w:pPr>
          </w:p>
          <w:p w14:paraId="51D857D1" w14:textId="77777777" w:rsidR="000E52B0" w:rsidRDefault="000E52B0">
            <w:pPr>
              <w:pStyle w:val="TableParagraph"/>
              <w:spacing w:before="1"/>
              <w:rPr>
                <w:sz w:val="16"/>
              </w:rPr>
            </w:pPr>
          </w:p>
          <w:p w14:paraId="73ADBB26" w14:textId="77777777" w:rsidR="000E52B0" w:rsidRDefault="00F60D74">
            <w:pPr>
              <w:pStyle w:val="TableParagraph"/>
              <w:ind w:left="21" w:right="4"/>
              <w:jc w:val="center"/>
              <w:rPr>
                <w:b/>
                <w:sz w:val="16"/>
              </w:rPr>
            </w:pPr>
            <w:r>
              <w:rPr>
                <w:b/>
                <w:spacing w:val="-2"/>
                <w:sz w:val="16"/>
              </w:rPr>
              <w:t>Belice</w:t>
            </w:r>
          </w:p>
        </w:tc>
        <w:tc>
          <w:tcPr>
            <w:tcW w:w="1563" w:type="dxa"/>
          </w:tcPr>
          <w:p w14:paraId="6AF192EB" w14:textId="77777777" w:rsidR="000E52B0" w:rsidRDefault="00F60D74">
            <w:pPr>
              <w:pStyle w:val="TableParagraph"/>
              <w:ind w:left="124" w:right="103" w:hanging="3"/>
              <w:jc w:val="center"/>
              <w:rPr>
                <w:b/>
                <w:sz w:val="16"/>
              </w:rPr>
            </w:pPr>
            <w:r>
              <w:rPr>
                <w:b/>
                <w:sz w:val="16"/>
              </w:rPr>
              <w:t xml:space="preserve">Ministerio de </w:t>
            </w:r>
            <w:r>
              <w:rPr>
                <w:b/>
                <w:spacing w:val="-2"/>
                <w:sz w:val="16"/>
              </w:rPr>
              <w:t xml:space="preserve">Desarrollo Humano, </w:t>
            </w:r>
            <w:r>
              <w:rPr>
                <w:b/>
                <w:sz w:val="16"/>
              </w:rPr>
              <w:t>Familia y Asuntos</w:t>
            </w:r>
            <w:r>
              <w:rPr>
                <w:b/>
                <w:spacing w:val="-14"/>
                <w:sz w:val="16"/>
              </w:rPr>
              <w:t xml:space="preserve"> </w:t>
            </w:r>
            <w:r>
              <w:rPr>
                <w:b/>
                <w:sz w:val="16"/>
              </w:rPr>
              <w:t>de</w:t>
            </w:r>
            <w:r>
              <w:rPr>
                <w:b/>
                <w:spacing w:val="-14"/>
                <w:sz w:val="16"/>
              </w:rPr>
              <w:t xml:space="preserve"> </w:t>
            </w:r>
            <w:r>
              <w:rPr>
                <w:b/>
                <w:sz w:val="16"/>
              </w:rPr>
              <w:t xml:space="preserve">los </w:t>
            </w:r>
            <w:r>
              <w:rPr>
                <w:b/>
                <w:spacing w:val="-2"/>
                <w:sz w:val="16"/>
              </w:rPr>
              <w:t>Pueblos</w:t>
            </w:r>
          </w:p>
          <w:p w14:paraId="509E33C9" w14:textId="77777777" w:rsidR="000E52B0" w:rsidRDefault="00F60D74">
            <w:pPr>
              <w:pStyle w:val="TableParagraph"/>
              <w:spacing w:before="1" w:line="174" w:lineRule="exact"/>
              <w:ind w:left="16"/>
              <w:jc w:val="center"/>
              <w:rPr>
                <w:b/>
                <w:sz w:val="16"/>
              </w:rPr>
            </w:pPr>
            <w:r>
              <w:rPr>
                <w:b/>
                <w:spacing w:val="-2"/>
                <w:sz w:val="16"/>
              </w:rPr>
              <w:t>Indígenas</w:t>
            </w:r>
          </w:p>
        </w:tc>
        <w:tc>
          <w:tcPr>
            <w:tcW w:w="1532" w:type="dxa"/>
          </w:tcPr>
          <w:p w14:paraId="60358DF2" w14:textId="77777777" w:rsidR="000E52B0" w:rsidRDefault="000E52B0">
            <w:pPr>
              <w:pStyle w:val="TableParagraph"/>
              <w:rPr>
                <w:sz w:val="16"/>
              </w:rPr>
            </w:pPr>
          </w:p>
          <w:p w14:paraId="01935449" w14:textId="77777777" w:rsidR="000E52B0" w:rsidRDefault="000E52B0">
            <w:pPr>
              <w:pStyle w:val="TableParagraph"/>
              <w:rPr>
                <w:sz w:val="16"/>
              </w:rPr>
            </w:pPr>
          </w:p>
          <w:p w14:paraId="0C15200E" w14:textId="77777777" w:rsidR="000E52B0" w:rsidRDefault="000E52B0">
            <w:pPr>
              <w:pStyle w:val="TableParagraph"/>
              <w:spacing w:before="1"/>
              <w:rPr>
                <w:sz w:val="16"/>
              </w:rPr>
            </w:pPr>
          </w:p>
          <w:p w14:paraId="217B8105" w14:textId="77777777" w:rsidR="000E52B0" w:rsidRDefault="00F60D74">
            <w:pPr>
              <w:pStyle w:val="TableParagraph"/>
              <w:ind w:left="14"/>
              <w:jc w:val="center"/>
              <w:rPr>
                <w:b/>
                <w:sz w:val="16"/>
              </w:rPr>
            </w:pPr>
            <w:r>
              <w:rPr>
                <w:b/>
                <w:spacing w:val="-4"/>
                <w:sz w:val="16"/>
              </w:rPr>
              <w:t>1990</w:t>
            </w:r>
          </w:p>
        </w:tc>
        <w:tc>
          <w:tcPr>
            <w:tcW w:w="4633" w:type="dxa"/>
          </w:tcPr>
          <w:p w14:paraId="1A116A2F" w14:textId="77777777" w:rsidR="000E52B0" w:rsidRDefault="00F60D74">
            <w:pPr>
              <w:pStyle w:val="TableParagraph"/>
              <w:spacing w:before="194"/>
              <w:ind w:left="68" w:right="46"/>
              <w:jc w:val="both"/>
              <w:rPr>
                <w:sz w:val="16"/>
              </w:rPr>
            </w:pPr>
            <w:r>
              <w:rPr>
                <w:sz w:val="16"/>
              </w:rPr>
              <w:t>Su misión consiste en facilitar el desarrollo de políticas y la implementación de programas para promover la justicia y la equidad social, favoreciendo la autosuficiencia,</w:t>
            </w:r>
            <w:r>
              <w:rPr>
                <w:spacing w:val="-6"/>
                <w:sz w:val="16"/>
              </w:rPr>
              <w:t xml:space="preserve"> </w:t>
            </w:r>
            <w:r>
              <w:rPr>
                <w:sz w:val="16"/>
              </w:rPr>
              <w:t>la</w:t>
            </w:r>
            <w:r>
              <w:rPr>
                <w:spacing w:val="-8"/>
                <w:sz w:val="16"/>
              </w:rPr>
              <w:t xml:space="preserve"> </w:t>
            </w:r>
            <w:r>
              <w:rPr>
                <w:sz w:val="16"/>
              </w:rPr>
              <w:t>responsabilidad</w:t>
            </w:r>
            <w:r>
              <w:rPr>
                <w:spacing w:val="-7"/>
                <w:sz w:val="16"/>
              </w:rPr>
              <w:t xml:space="preserve"> </w:t>
            </w:r>
            <w:r>
              <w:rPr>
                <w:sz w:val="16"/>
              </w:rPr>
              <w:t>y</w:t>
            </w:r>
            <w:r>
              <w:rPr>
                <w:spacing w:val="-7"/>
                <w:sz w:val="16"/>
              </w:rPr>
              <w:t xml:space="preserve"> </w:t>
            </w:r>
            <w:r>
              <w:rPr>
                <w:sz w:val="16"/>
              </w:rPr>
              <w:t>la</w:t>
            </w:r>
            <w:r>
              <w:rPr>
                <w:spacing w:val="-8"/>
                <w:sz w:val="16"/>
              </w:rPr>
              <w:t xml:space="preserve"> </w:t>
            </w:r>
            <w:r>
              <w:rPr>
                <w:sz w:val="16"/>
              </w:rPr>
              <w:t>productividad</w:t>
            </w:r>
            <w:r>
              <w:rPr>
                <w:spacing w:val="-7"/>
                <w:sz w:val="16"/>
              </w:rPr>
              <w:t xml:space="preserve"> </w:t>
            </w:r>
            <w:r>
              <w:rPr>
                <w:sz w:val="16"/>
              </w:rPr>
              <w:t>de las personas.</w:t>
            </w:r>
          </w:p>
        </w:tc>
      </w:tr>
      <w:tr w:rsidR="000E52B0" w14:paraId="4BD0430F" w14:textId="77777777">
        <w:trPr>
          <w:trHeight w:val="796"/>
        </w:trPr>
        <w:tc>
          <w:tcPr>
            <w:tcW w:w="1289" w:type="dxa"/>
          </w:tcPr>
          <w:p w14:paraId="48B0DFFC" w14:textId="77777777" w:rsidR="000E52B0" w:rsidRDefault="000E52B0">
            <w:pPr>
              <w:pStyle w:val="TableParagraph"/>
              <w:spacing w:before="105"/>
              <w:rPr>
                <w:sz w:val="16"/>
              </w:rPr>
            </w:pPr>
          </w:p>
          <w:p w14:paraId="448DA31F" w14:textId="77777777" w:rsidR="000E52B0" w:rsidRDefault="00F60D74">
            <w:pPr>
              <w:pStyle w:val="TableParagraph"/>
              <w:ind w:left="21" w:right="4"/>
              <w:jc w:val="center"/>
              <w:rPr>
                <w:b/>
                <w:sz w:val="16"/>
              </w:rPr>
            </w:pPr>
            <w:r>
              <w:rPr>
                <w:b/>
                <w:spacing w:val="-2"/>
                <w:sz w:val="16"/>
              </w:rPr>
              <w:t>Chile</w:t>
            </w:r>
          </w:p>
        </w:tc>
        <w:tc>
          <w:tcPr>
            <w:tcW w:w="1563" w:type="dxa"/>
          </w:tcPr>
          <w:p w14:paraId="08B7B2E2" w14:textId="77777777" w:rsidR="000E52B0" w:rsidRDefault="00F60D74">
            <w:pPr>
              <w:pStyle w:val="TableParagraph"/>
              <w:spacing w:line="190" w:lineRule="atLeast"/>
              <w:ind w:left="88" w:right="69"/>
              <w:jc w:val="center"/>
              <w:rPr>
                <w:b/>
                <w:sz w:val="16"/>
              </w:rPr>
            </w:pPr>
            <w:r>
              <w:rPr>
                <w:b/>
                <w:sz w:val="16"/>
              </w:rPr>
              <w:t>Ministerio</w:t>
            </w:r>
            <w:r>
              <w:rPr>
                <w:b/>
                <w:spacing w:val="-14"/>
                <w:sz w:val="16"/>
              </w:rPr>
              <w:t xml:space="preserve"> </w:t>
            </w:r>
            <w:r>
              <w:rPr>
                <w:b/>
                <w:sz w:val="16"/>
              </w:rPr>
              <w:t>de</w:t>
            </w:r>
            <w:r>
              <w:rPr>
                <w:b/>
                <w:spacing w:val="-14"/>
                <w:sz w:val="16"/>
              </w:rPr>
              <w:t xml:space="preserve"> </w:t>
            </w:r>
            <w:r>
              <w:rPr>
                <w:b/>
                <w:sz w:val="16"/>
              </w:rPr>
              <w:t xml:space="preserve">la Mujer y Equidad de </w:t>
            </w:r>
            <w:r>
              <w:rPr>
                <w:b/>
                <w:spacing w:val="-2"/>
                <w:sz w:val="16"/>
              </w:rPr>
              <w:t>Género</w:t>
            </w:r>
          </w:p>
        </w:tc>
        <w:tc>
          <w:tcPr>
            <w:tcW w:w="1532" w:type="dxa"/>
          </w:tcPr>
          <w:p w14:paraId="0A563AAF" w14:textId="77777777" w:rsidR="000E52B0" w:rsidRDefault="000E52B0">
            <w:pPr>
              <w:pStyle w:val="TableParagraph"/>
              <w:spacing w:before="105"/>
              <w:rPr>
                <w:sz w:val="16"/>
              </w:rPr>
            </w:pPr>
          </w:p>
          <w:p w14:paraId="2915EFFE" w14:textId="77777777" w:rsidR="000E52B0" w:rsidRDefault="00F60D74">
            <w:pPr>
              <w:pStyle w:val="TableParagraph"/>
              <w:ind w:left="14"/>
              <w:jc w:val="center"/>
              <w:rPr>
                <w:b/>
                <w:sz w:val="16"/>
              </w:rPr>
            </w:pPr>
            <w:r>
              <w:rPr>
                <w:b/>
                <w:spacing w:val="-4"/>
                <w:sz w:val="16"/>
              </w:rPr>
              <w:t>1991</w:t>
            </w:r>
          </w:p>
        </w:tc>
        <w:tc>
          <w:tcPr>
            <w:tcW w:w="4633" w:type="dxa"/>
          </w:tcPr>
          <w:p w14:paraId="49A4A164" w14:textId="77777777" w:rsidR="000E52B0" w:rsidRDefault="00F60D74">
            <w:pPr>
              <w:pStyle w:val="TableParagraph"/>
              <w:spacing w:line="190" w:lineRule="atLeast"/>
              <w:ind w:left="68" w:right="45"/>
              <w:jc w:val="both"/>
              <w:rPr>
                <w:sz w:val="16"/>
              </w:rPr>
            </w:pPr>
            <w:r>
              <w:rPr>
                <w:sz w:val="16"/>
              </w:rPr>
              <w:t>Tiene por misión promover y asegurar la igualdad de derechos y obligaciones entre mujeres y hombres; y asegurar tolerancia cero a la violencia contra la mujer, en todas sus formas.</w:t>
            </w:r>
          </w:p>
        </w:tc>
      </w:tr>
      <w:tr w:rsidR="000E52B0" w14:paraId="11649EB3" w14:textId="77777777">
        <w:trPr>
          <w:trHeight w:val="1395"/>
        </w:trPr>
        <w:tc>
          <w:tcPr>
            <w:tcW w:w="1289" w:type="dxa"/>
          </w:tcPr>
          <w:p w14:paraId="0FA9661A" w14:textId="77777777" w:rsidR="000E52B0" w:rsidRDefault="000E52B0">
            <w:pPr>
              <w:pStyle w:val="TableParagraph"/>
              <w:rPr>
                <w:sz w:val="16"/>
              </w:rPr>
            </w:pPr>
          </w:p>
          <w:p w14:paraId="70BEAA24" w14:textId="77777777" w:rsidR="000E52B0" w:rsidRDefault="000E52B0">
            <w:pPr>
              <w:pStyle w:val="TableParagraph"/>
              <w:rPr>
                <w:sz w:val="16"/>
              </w:rPr>
            </w:pPr>
          </w:p>
          <w:p w14:paraId="5D9217D8" w14:textId="77777777" w:rsidR="000E52B0" w:rsidRDefault="000E52B0">
            <w:pPr>
              <w:pStyle w:val="TableParagraph"/>
              <w:spacing w:before="18"/>
              <w:rPr>
                <w:sz w:val="16"/>
              </w:rPr>
            </w:pPr>
          </w:p>
          <w:p w14:paraId="48A9A18B" w14:textId="77777777" w:rsidR="000E52B0" w:rsidRDefault="00F60D74">
            <w:pPr>
              <w:pStyle w:val="TableParagraph"/>
              <w:ind w:left="21" w:right="1"/>
              <w:jc w:val="center"/>
              <w:rPr>
                <w:b/>
                <w:sz w:val="16"/>
              </w:rPr>
            </w:pPr>
            <w:r>
              <w:rPr>
                <w:b/>
                <w:spacing w:val="-2"/>
                <w:sz w:val="16"/>
              </w:rPr>
              <w:t>Alemania</w:t>
            </w:r>
          </w:p>
        </w:tc>
        <w:tc>
          <w:tcPr>
            <w:tcW w:w="1563" w:type="dxa"/>
          </w:tcPr>
          <w:p w14:paraId="2EA736CD" w14:textId="77777777" w:rsidR="000E52B0" w:rsidRDefault="00F60D74">
            <w:pPr>
              <w:pStyle w:val="TableParagraph"/>
              <w:spacing w:before="114"/>
              <w:ind w:left="162" w:right="142" w:hanging="1"/>
              <w:jc w:val="center"/>
              <w:rPr>
                <w:b/>
                <w:sz w:val="16"/>
              </w:rPr>
            </w:pPr>
            <w:r>
              <w:rPr>
                <w:b/>
                <w:spacing w:val="-2"/>
                <w:sz w:val="16"/>
              </w:rPr>
              <w:t xml:space="preserve">Ministerio </w:t>
            </w:r>
            <w:r>
              <w:rPr>
                <w:b/>
                <w:sz w:val="16"/>
              </w:rPr>
              <w:t xml:space="preserve">Federal de </w:t>
            </w:r>
            <w:r>
              <w:rPr>
                <w:b/>
                <w:spacing w:val="-2"/>
                <w:sz w:val="16"/>
              </w:rPr>
              <w:t xml:space="preserve">Familia, </w:t>
            </w:r>
            <w:r>
              <w:rPr>
                <w:b/>
                <w:sz w:val="16"/>
              </w:rPr>
              <w:t>Tercera</w:t>
            </w:r>
            <w:r>
              <w:rPr>
                <w:b/>
                <w:spacing w:val="-14"/>
                <w:sz w:val="16"/>
              </w:rPr>
              <w:t xml:space="preserve"> </w:t>
            </w:r>
            <w:r>
              <w:rPr>
                <w:b/>
                <w:sz w:val="16"/>
              </w:rPr>
              <w:t xml:space="preserve">Edad, Mujeres y </w:t>
            </w:r>
            <w:r>
              <w:rPr>
                <w:b/>
                <w:spacing w:val="-2"/>
                <w:sz w:val="16"/>
              </w:rPr>
              <w:t>Juventud</w:t>
            </w:r>
          </w:p>
        </w:tc>
        <w:tc>
          <w:tcPr>
            <w:tcW w:w="1532" w:type="dxa"/>
          </w:tcPr>
          <w:p w14:paraId="5FEE2020" w14:textId="77777777" w:rsidR="000E52B0" w:rsidRDefault="000E52B0">
            <w:pPr>
              <w:pStyle w:val="TableParagraph"/>
              <w:rPr>
                <w:sz w:val="16"/>
              </w:rPr>
            </w:pPr>
          </w:p>
          <w:p w14:paraId="4D535AAB" w14:textId="77777777" w:rsidR="000E52B0" w:rsidRDefault="000E52B0">
            <w:pPr>
              <w:pStyle w:val="TableParagraph"/>
              <w:rPr>
                <w:sz w:val="16"/>
              </w:rPr>
            </w:pPr>
          </w:p>
          <w:p w14:paraId="11CA334E" w14:textId="77777777" w:rsidR="000E52B0" w:rsidRDefault="000E52B0">
            <w:pPr>
              <w:pStyle w:val="TableParagraph"/>
              <w:spacing w:before="18"/>
              <w:rPr>
                <w:sz w:val="16"/>
              </w:rPr>
            </w:pPr>
          </w:p>
          <w:p w14:paraId="151F015E" w14:textId="77777777" w:rsidR="000E52B0" w:rsidRDefault="00F60D74">
            <w:pPr>
              <w:pStyle w:val="TableParagraph"/>
              <w:ind w:left="14"/>
              <w:jc w:val="center"/>
              <w:rPr>
                <w:b/>
                <w:sz w:val="16"/>
              </w:rPr>
            </w:pPr>
            <w:r>
              <w:rPr>
                <w:b/>
                <w:spacing w:val="-4"/>
                <w:sz w:val="16"/>
              </w:rPr>
              <w:t>1994</w:t>
            </w:r>
          </w:p>
        </w:tc>
        <w:tc>
          <w:tcPr>
            <w:tcW w:w="4633" w:type="dxa"/>
          </w:tcPr>
          <w:p w14:paraId="6184384E" w14:textId="77777777" w:rsidR="000E52B0" w:rsidRDefault="000E52B0">
            <w:pPr>
              <w:pStyle w:val="TableParagraph"/>
              <w:spacing w:before="114"/>
              <w:rPr>
                <w:sz w:val="16"/>
              </w:rPr>
            </w:pPr>
          </w:p>
          <w:p w14:paraId="2870FB47" w14:textId="77777777" w:rsidR="000E52B0" w:rsidRDefault="00F60D74">
            <w:pPr>
              <w:pStyle w:val="TableParagraph"/>
              <w:ind w:left="68" w:right="45"/>
              <w:jc w:val="both"/>
              <w:rPr>
                <w:sz w:val="16"/>
              </w:rPr>
            </w:pPr>
            <w:r>
              <w:rPr>
                <w:sz w:val="16"/>
              </w:rPr>
              <w:t>Busca promover políticas a favor de las siguientes poblaciones: personas mayores, las mujeres, los niños y</w:t>
            </w:r>
            <w:r>
              <w:rPr>
                <w:spacing w:val="-1"/>
                <w:sz w:val="16"/>
              </w:rPr>
              <w:t xml:space="preserve"> </w:t>
            </w:r>
            <w:r>
              <w:rPr>
                <w:sz w:val="16"/>
              </w:rPr>
              <w:t>jóvenes,</w:t>
            </w:r>
            <w:r>
              <w:rPr>
                <w:spacing w:val="-5"/>
                <w:sz w:val="16"/>
              </w:rPr>
              <w:t xml:space="preserve"> </w:t>
            </w:r>
            <w:r>
              <w:rPr>
                <w:sz w:val="16"/>
              </w:rPr>
              <w:t>servicio</w:t>
            </w:r>
            <w:r>
              <w:rPr>
                <w:spacing w:val="-6"/>
                <w:sz w:val="16"/>
              </w:rPr>
              <w:t xml:space="preserve"> </w:t>
            </w:r>
            <w:r>
              <w:rPr>
                <w:sz w:val="16"/>
              </w:rPr>
              <w:t>civil,</w:t>
            </w:r>
            <w:r>
              <w:rPr>
                <w:spacing w:val="-3"/>
                <w:sz w:val="16"/>
              </w:rPr>
              <w:t xml:space="preserve"> </w:t>
            </w:r>
            <w:r>
              <w:rPr>
                <w:sz w:val="16"/>
              </w:rPr>
              <w:t>voluntariado</w:t>
            </w:r>
            <w:r>
              <w:rPr>
                <w:spacing w:val="-2"/>
                <w:sz w:val="16"/>
              </w:rPr>
              <w:t xml:space="preserve"> </w:t>
            </w:r>
            <w:r>
              <w:rPr>
                <w:sz w:val="16"/>
              </w:rPr>
              <w:t>y</w:t>
            </w:r>
            <w:r>
              <w:rPr>
                <w:spacing w:val="-3"/>
                <w:sz w:val="16"/>
              </w:rPr>
              <w:t xml:space="preserve"> </w:t>
            </w:r>
            <w:r>
              <w:rPr>
                <w:sz w:val="16"/>
              </w:rPr>
              <w:t>asistencia</w:t>
            </w:r>
            <w:r>
              <w:rPr>
                <w:spacing w:val="-5"/>
                <w:sz w:val="16"/>
              </w:rPr>
              <w:t xml:space="preserve"> </w:t>
            </w:r>
            <w:r>
              <w:rPr>
                <w:sz w:val="16"/>
              </w:rPr>
              <w:t xml:space="preserve">social </w:t>
            </w:r>
            <w:r>
              <w:rPr>
                <w:spacing w:val="-2"/>
                <w:sz w:val="16"/>
              </w:rPr>
              <w:t>benéfica</w:t>
            </w:r>
          </w:p>
        </w:tc>
      </w:tr>
      <w:tr w:rsidR="000E52B0" w14:paraId="4CB617C1" w14:textId="77777777">
        <w:trPr>
          <w:trHeight w:val="1261"/>
        </w:trPr>
        <w:tc>
          <w:tcPr>
            <w:tcW w:w="1289" w:type="dxa"/>
          </w:tcPr>
          <w:p w14:paraId="5C28EC94" w14:textId="77777777" w:rsidR="000E52B0" w:rsidRDefault="000E52B0">
            <w:pPr>
              <w:pStyle w:val="TableParagraph"/>
              <w:rPr>
                <w:sz w:val="16"/>
              </w:rPr>
            </w:pPr>
          </w:p>
          <w:p w14:paraId="2908C268" w14:textId="77777777" w:rsidR="000E52B0" w:rsidRDefault="000E52B0">
            <w:pPr>
              <w:pStyle w:val="TableParagraph"/>
              <w:spacing w:before="145"/>
              <w:rPr>
                <w:sz w:val="16"/>
              </w:rPr>
            </w:pPr>
          </w:p>
          <w:p w14:paraId="5016E50D" w14:textId="77777777" w:rsidR="000E52B0" w:rsidRDefault="00F60D74">
            <w:pPr>
              <w:pStyle w:val="TableParagraph"/>
              <w:spacing w:before="1"/>
              <w:ind w:left="21" w:right="1"/>
              <w:jc w:val="center"/>
              <w:rPr>
                <w:b/>
                <w:sz w:val="16"/>
              </w:rPr>
            </w:pPr>
            <w:r>
              <w:rPr>
                <w:b/>
                <w:spacing w:val="-2"/>
                <w:sz w:val="16"/>
              </w:rPr>
              <w:t>Luxemburgo</w:t>
            </w:r>
          </w:p>
        </w:tc>
        <w:tc>
          <w:tcPr>
            <w:tcW w:w="1563" w:type="dxa"/>
          </w:tcPr>
          <w:p w14:paraId="195DF253" w14:textId="77777777" w:rsidR="000E52B0" w:rsidRDefault="00F60D74">
            <w:pPr>
              <w:pStyle w:val="TableParagraph"/>
              <w:spacing w:before="47"/>
              <w:ind w:left="109" w:right="91"/>
              <w:jc w:val="center"/>
              <w:rPr>
                <w:b/>
                <w:sz w:val="16"/>
              </w:rPr>
            </w:pPr>
            <w:r>
              <w:rPr>
                <w:b/>
                <w:sz w:val="16"/>
              </w:rPr>
              <w:t xml:space="preserve">Ministerio de </w:t>
            </w:r>
            <w:r>
              <w:rPr>
                <w:b/>
                <w:spacing w:val="-2"/>
                <w:sz w:val="16"/>
              </w:rPr>
              <w:t xml:space="preserve">Asuntos </w:t>
            </w:r>
            <w:r>
              <w:rPr>
                <w:b/>
                <w:sz w:val="16"/>
              </w:rPr>
              <w:t>Internos e Igualdad</w:t>
            </w:r>
            <w:r>
              <w:rPr>
                <w:b/>
                <w:spacing w:val="-14"/>
                <w:sz w:val="16"/>
              </w:rPr>
              <w:t xml:space="preserve"> </w:t>
            </w:r>
            <w:r>
              <w:rPr>
                <w:b/>
                <w:sz w:val="16"/>
              </w:rPr>
              <w:t xml:space="preserve">entre Mujeres y </w:t>
            </w:r>
            <w:r>
              <w:rPr>
                <w:b/>
                <w:spacing w:val="-2"/>
                <w:sz w:val="16"/>
              </w:rPr>
              <w:t>Hombres</w:t>
            </w:r>
          </w:p>
        </w:tc>
        <w:tc>
          <w:tcPr>
            <w:tcW w:w="1532" w:type="dxa"/>
          </w:tcPr>
          <w:p w14:paraId="44262262" w14:textId="77777777" w:rsidR="000E52B0" w:rsidRDefault="000E52B0">
            <w:pPr>
              <w:pStyle w:val="TableParagraph"/>
              <w:rPr>
                <w:sz w:val="16"/>
              </w:rPr>
            </w:pPr>
          </w:p>
          <w:p w14:paraId="0601E757" w14:textId="77777777" w:rsidR="000E52B0" w:rsidRDefault="000E52B0">
            <w:pPr>
              <w:pStyle w:val="TableParagraph"/>
              <w:spacing w:before="145"/>
              <w:rPr>
                <w:sz w:val="16"/>
              </w:rPr>
            </w:pPr>
          </w:p>
          <w:p w14:paraId="1214B100" w14:textId="77777777" w:rsidR="000E52B0" w:rsidRDefault="00F60D74">
            <w:pPr>
              <w:pStyle w:val="TableParagraph"/>
              <w:spacing w:before="1"/>
              <w:ind w:left="14"/>
              <w:jc w:val="center"/>
              <w:rPr>
                <w:b/>
                <w:sz w:val="16"/>
              </w:rPr>
            </w:pPr>
            <w:r>
              <w:rPr>
                <w:b/>
                <w:spacing w:val="-4"/>
                <w:sz w:val="16"/>
              </w:rPr>
              <w:t>1995</w:t>
            </w:r>
          </w:p>
        </w:tc>
        <w:tc>
          <w:tcPr>
            <w:tcW w:w="4633" w:type="dxa"/>
          </w:tcPr>
          <w:p w14:paraId="3ED70FE9" w14:textId="77777777" w:rsidR="000E52B0" w:rsidRDefault="000E52B0">
            <w:pPr>
              <w:pStyle w:val="TableParagraph"/>
              <w:rPr>
                <w:sz w:val="16"/>
              </w:rPr>
            </w:pPr>
          </w:p>
          <w:p w14:paraId="5B8A3F5A" w14:textId="77777777" w:rsidR="000E52B0" w:rsidRDefault="000E52B0">
            <w:pPr>
              <w:pStyle w:val="TableParagraph"/>
              <w:spacing w:before="47"/>
              <w:rPr>
                <w:sz w:val="16"/>
              </w:rPr>
            </w:pPr>
          </w:p>
          <w:p w14:paraId="61AD3423" w14:textId="77777777" w:rsidR="000E52B0" w:rsidRDefault="00F60D74">
            <w:pPr>
              <w:pStyle w:val="TableParagraph"/>
              <w:ind w:left="68"/>
              <w:rPr>
                <w:sz w:val="16"/>
              </w:rPr>
            </w:pPr>
            <w:r>
              <w:rPr>
                <w:sz w:val="16"/>
              </w:rPr>
              <w:t>Su</w:t>
            </w:r>
            <w:r>
              <w:rPr>
                <w:spacing w:val="-11"/>
                <w:sz w:val="16"/>
              </w:rPr>
              <w:t xml:space="preserve"> </w:t>
            </w:r>
            <w:r>
              <w:rPr>
                <w:sz w:val="16"/>
              </w:rPr>
              <w:t>misión</w:t>
            </w:r>
            <w:r>
              <w:rPr>
                <w:spacing w:val="-11"/>
                <w:sz w:val="16"/>
              </w:rPr>
              <w:t xml:space="preserve"> </w:t>
            </w:r>
            <w:r>
              <w:rPr>
                <w:sz w:val="16"/>
              </w:rPr>
              <w:t>es</w:t>
            </w:r>
            <w:r>
              <w:rPr>
                <w:spacing w:val="-10"/>
                <w:sz w:val="16"/>
              </w:rPr>
              <w:t xml:space="preserve"> </w:t>
            </w:r>
            <w:r>
              <w:rPr>
                <w:sz w:val="16"/>
              </w:rPr>
              <w:t>impulsar</w:t>
            </w:r>
            <w:r>
              <w:rPr>
                <w:spacing w:val="-10"/>
                <w:sz w:val="16"/>
              </w:rPr>
              <w:t xml:space="preserve"> </w:t>
            </w:r>
            <w:r>
              <w:rPr>
                <w:sz w:val="16"/>
              </w:rPr>
              <w:t>políticas</w:t>
            </w:r>
            <w:r>
              <w:rPr>
                <w:spacing w:val="-11"/>
                <w:sz w:val="16"/>
              </w:rPr>
              <w:t xml:space="preserve"> </w:t>
            </w:r>
            <w:r>
              <w:rPr>
                <w:sz w:val="16"/>
              </w:rPr>
              <w:t>públicas</w:t>
            </w:r>
            <w:r>
              <w:rPr>
                <w:spacing w:val="-13"/>
                <w:sz w:val="16"/>
              </w:rPr>
              <w:t xml:space="preserve"> </w:t>
            </w:r>
            <w:r>
              <w:rPr>
                <w:sz w:val="16"/>
              </w:rPr>
              <w:t>para</w:t>
            </w:r>
            <w:r>
              <w:rPr>
                <w:spacing w:val="-11"/>
                <w:sz w:val="16"/>
              </w:rPr>
              <w:t xml:space="preserve"> </w:t>
            </w:r>
            <w:r>
              <w:rPr>
                <w:sz w:val="16"/>
              </w:rPr>
              <w:t>la</w:t>
            </w:r>
            <w:r>
              <w:rPr>
                <w:spacing w:val="-11"/>
                <w:sz w:val="16"/>
              </w:rPr>
              <w:t xml:space="preserve"> </w:t>
            </w:r>
            <w:r>
              <w:rPr>
                <w:sz w:val="16"/>
              </w:rPr>
              <w:t>igualdad entre hombres y mujeres.</w:t>
            </w:r>
          </w:p>
        </w:tc>
      </w:tr>
      <w:tr w:rsidR="000E52B0" w14:paraId="5EC9837D" w14:textId="77777777">
        <w:trPr>
          <w:trHeight w:val="1360"/>
        </w:trPr>
        <w:tc>
          <w:tcPr>
            <w:tcW w:w="1289" w:type="dxa"/>
          </w:tcPr>
          <w:p w14:paraId="00BA1651" w14:textId="77777777" w:rsidR="000E52B0" w:rsidRDefault="000E52B0">
            <w:pPr>
              <w:pStyle w:val="TableParagraph"/>
              <w:rPr>
                <w:sz w:val="16"/>
              </w:rPr>
            </w:pPr>
          </w:p>
          <w:p w14:paraId="7DF6D4AC" w14:textId="77777777" w:rsidR="000E52B0" w:rsidRDefault="000E52B0">
            <w:pPr>
              <w:pStyle w:val="TableParagraph"/>
              <w:spacing w:before="194"/>
              <w:rPr>
                <w:sz w:val="16"/>
              </w:rPr>
            </w:pPr>
          </w:p>
          <w:p w14:paraId="0149D3FC" w14:textId="77777777" w:rsidR="000E52B0" w:rsidRDefault="00F60D74">
            <w:pPr>
              <w:pStyle w:val="TableParagraph"/>
              <w:ind w:left="21" w:right="3"/>
              <w:jc w:val="center"/>
              <w:rPr>
                <w:b/>
                <w:sz w:val="16"/>
              </w:rPr>
            </w:pPr>
            <w:r>
              <w:rPr>
                <w:b/>
                <w:spacing w:val="-4"/>
                <w:sz w:val="16"/>
              </w:rPr>
              <w:t>Perú</w:t>
            </w:r>
          </w:p>
        </w:tc>
        <w:tc>
          <w:tcPr>
            <w:tcW w:w="1563" w:type="dxa"/>
          </w:tcPr>
          <w:p w14:paraId="08560F31" w14:textId="77777777" w:rsidR="000E52B0" w:rsidRDefault="000E52B0">
            <w:pPr>
              <w:pStyle w:val="TableParagraph"/>
              <w:spacing w:before="98"/>
              <w:rPr>
                <w:sz w:val="16"/>
              </w:rPr>
            </w:pPr>
          </w:p>
          <w:p w14:paraId="68917775" w14:textId="77777777" w:rsidR="000E52B0" w:rsidRDefault="00F60D74">
            <w:pPr>
              <w:pStyle w:val="TableParagraph"/>
              <w:ind w:left="88" w:right="69"/>
              <w:jc w:val="center"/>
              <w:rPr>
                <w:b/>
                <w:sz w:val="16"/>
              </w:rPr>
            </w:pPr>
            <w:r>
              <w:rPr>
                <w:b/>
                <w:sz w:val="16"/>
              </w:rPr>
              <w:t>Ministerio</w:t>
            </w:r>
            <w:r>
              <w:rPr>
                <w:b/>
                <w:spacing w:val="-14"/>
                <w:sz w:val="16"/>
              </w:rPr>
              <w:t xml:space="preserve"> </w:t>
            </w:r>
            <w:r>
              <w:rPr>
                <w:b/>
                <w:sz w:val="16"/>
              </w:rPr>
              <w:t>de</w:t>
            </w:r>
            <w:r>
              <w:rPr>
                <w:b/>
                <w:spacing w:val="-14"/>
                <w:sz w:val="16"/>
              </w:rPr>
              <w:t xml:space="preserve"> </w:t>
            </w:r>
            <w:r>
              <w:rPr>
                <w:b/>
                <w:sz w:val="16"/>
              </w:rPr>
              <w:t xml:space="preserve">la Mujer y </w:t>
            </w:r>
            <w:r>
              <w:rPr>
                <w:b/>
                <w:spacing w:val="-2"/>
                <w:sz w:val="16"/>
              </w:rPr>
              <w:t>Poblaciones Vulnerables</w:t>
            </w:r>
          </w:p>
        </w:tc>
        <w:tc>
          <w:tcPr>
            <w:tcW w:w="1532" w:type="dxa"/>
          </w:tcPr>
          <w:p w14:paraId="2FA0B2BC" w14:textId="77777777" w:rsidR="000E52B0" w:rsidRDefault="000E52B0">
            <w:pPr>
              <w:pStyle w:val="TableParagraph"/>
              <w:rPr>
                <w:sz w:val="16"/>
              </w:rPr>
            </w:pPr>
          </w:p>
          <w:p w14:paraId="42F5B5C1" w14:textId="77777777" w:rsidR="000E52B0" w:rsidRDefault="000E52B0">
            <w:pPr>
              <w:pStyle w:val="TableParagraph"/>
              <w:spacing w:before="194"/>
              <w:rPr>
                <w:sz w:val="16"/>
              </w:rPr>
            </w:pPr>
          </w:p>
          <w:p w14:paraId="674A96AF" w14:textId="77777777" w:rsidR="000E52B0" w:rsidRDefault="00F60D74">
            <w:pPr>
              <w:pStyle w:val="TableParagraph"/>
              <w:ind w:left="14"/>
              <w:jc w:val="center"/>
              <w:rPr>
                <w:b/>
                <w:sz w:val="16"/>
              </w:rPr>
            </w:pPr>
            <w:r>
              <w:rPr>
                <w:b/>
                <w:spacing w:val="-4"/>
                <w:sz w:val="16"/>
              </w:rPr>
              <w:t>1996</w:t>
            </w:r>
          </w:p>
        </w:tc>
        <w:tc>
          <w:tcPr>
            <w:tcW w:w="4633" w:type="dxa"/>
          </w:tcPr>
          <w:p w14:paraId="3383B528" w14:textId="77777777" w:rsidR="000E52B0" w:rsidRDefault="00F60D74">
            <w:pPr>
              <w:pStyle w:val="TableParagraph"/>
              <w:spacing w:line="190" w:lineRule="atLeast"/>
              <w:ind w:left="68" w:right="46"/>
              <w:jc w:val="both"/>
              <w:rPr>
                <w:sz w:val="16"/>
              </w:rPr>
            </w:pPr>
            <w:r>
              <w:rPr>
                <w:sz w:val="16"/>
              </w:rPr>
              <w:t xml:space="preserve">Su misión es diseñar, establecer, promover, ejecutar y supervisar políticas públicas a favor de las mujeres, niñas, niños, adolescentes, personas adultas mayores, personas con discapacidad y migrantes internos, para garantizar el ejercicio de sus derechos y una vida libre </w:t>
            </w:r>
            <w:r>
              <w:rPr>
                <w:spacing w:val="-2"/>
                <w:sz w:val="16"/>
              </w:rPr>
              <w:t>de</w:t>
            </w:r>
            <w:r>
              <w:rPr>
                <w:spacing w:val="-7"/>
                <w:sz w:val="16"/>
              </w:rPr>
              <w:t xml:space="preserve"> </w:t>
            </w:r>
            <w:r>
              <w:rPr>
                <w:spacing w:val="-2"/>
                <w:sz w:val="16"/>
              </w:rPr>
              <w:t>violencia,</w:t>
            </w:r>
            <w:r>
              <w:rPr>
                <w:spacing w:val="-4"/>
                <w:sz w:val="16"/>
              </w:rPr>
              <w:t xml:space="preserve"> </w:t>
            </w:r>
            <w:r>
              <w:rPr>
                <w:spacing w:val="-2"/>
                <w:sz w:val="16"/>
              </w:rPr>
              <w:t>desprotección</w:t>
            </w:r>
            <w:r>
              <w:rPr>
                <w:spacing w:val="-8"/>
                <w:sz w:val="16"/>
              </w:rPr>
              <w:t xml:space="preserve"> </w:t>
            </w:r>
            <w:r>
              <w:rPr>
                <w:spacing w:val="-2"/>
                <w:sz w:val="16"/>
              </w:rPr>
              <w:t>y</w:t>
            </w:r>
            <w:r>
              <w:rPr>
                <w:spacing w:val="-5"/>
                <w:sz w:val="16"/>
              </w:rPr>
              <w:t xml:space="preserve"> </w:t>
            </w:r>
            <w:r>
              <w:rPr>
                <w:spacing w:val="-2"/>
                <w:sz w:val="16"/>
              </w:rPr>
              <w:t>discriminación,</w:t>
            </w:r>
            <w:r>
              <w:rPr>
                <w:spacing w:val="-4"/>
                <w:sz w:val="16"/>
              </w:rPr>
              <w:t xml:space="preserve"> </w:t>
            </w:r>
            <w:r>
              <w:rPr>
                <w:spacing w:val="-2"/>
                <w:sz w:val="16"/>
              </w:rPr>
              <w:t>en</w:t>
            </w:r>
            <w:r>
              <w:rPr>
                <w:spacing w:val="-4"/>
                <w:sz w:val="16"/>
              </w:rPr>
              <w:t xml:space="preserve"> </w:t>
            </w:r>
            <w:r>
              <w:rPr>
                <w:spacing w:val="-2"/>
                <w:sz w:val="16"/>
              </w:rPr>
              <w:t>el</w:t>
            </w:r>
            <w:r>
              <w:rPr>
                <w:spacing w:val="-4"/>
                <w:sz w:val="16"/>
              </w:rPr>
              <w:t xml:space="preserve"> </w:t>
            </w:r>
            <w:r>
              <w:rPr>
                <w:spacing w:val="-2"/>
                <w:sz w:val="16"/>
              </w:rPr>
              <w:t xml:space="preserve">marco </w:t>
            </w:r>
            <w:r>
              <w:rPr>
                <w:sz w:val="16"/>
              </w:rPr>
              <w:t>de una cultura de paz.</w:t>
            </w:r>
          </w:p>
        </w:tc>
      </w:tr>
      <w:tr w:rsidR="000E52B0" w14:paraId="27CE8702" w14:textId="77777777">
        <w:trPr>
          <w:trHeight w:val="1260"/>
        </w:trPr>
        <w:tc>
          <w:tcPr>
            <w:tcW w:w="1289" w:type="dxa"/>
          </w:tcPr>
          <w:p w14:paraId="73C648F2" w14:textId="77777777" w:rsidR="000E52B0" w:rsidRDefault="000E52B0">
            <w:pPr>
              <w:pStyle w:val="TableParagraph"/>
              <w:rPr>
                <w:sz w:val="16"/>
              </w:rPr>
            </w:pPr>
          </w:p>
          <w:p w14:paraId="18E95365" w14:textId="77777777" w:rsidR="000E52B0" w:rsidRDefault="000E52B0">
            <w:pPr>
              <w:pStyle w:val="TableParagraph"/>
              <w:spacing w:before="145"/>
              <w:rPr>
                <w:sz w:val="16"/>
              </w:rPr>
            </w:pPr>
          </w:p>
          <w:p w14:paraId="4A30F753" w14:textId="77777777" w:rsidR="000E52B0" w:rsidRDefault="00F60D74">
            <w:pPr>
              <w:pStyle w:val="TableParagraph"/>
              <w:ind w:left="21" w:right="1"/>
              <w:jc w:val="center"/>
              <w:rPr>
                <w:b/>
                <w:sz w:val="16"/>
              </w:rPr>
            </w:pPr>
            <w:r>
              <w:rPr>
                <w:b/>
                <w:spacing w:val="-2"/>
                <w:sz w:val="16"/>
              </w:rPr>
              <w:t>Jamaica</w:t>
            </w:r>
          </w:p>
        </w:tc>
        <w:tc>
          <w:tcPr>
            <w:tcW w:w="1563" w:type="dxa"/>
          </w:tcPr>
          <w:p w14:paraId="538CF661" w14:textId="77777777" w:rsidR="000E52B0" w:rsidRDefault="000E52B0">
            <w:pPr>
              <w:pStyle w:val="TableParagraph"/>
              <w:spacing w:before="46"/>
              <w:rPr>
                <w:sz w:val="16"/>
              </w:rPr>
            </w:pPr>
          </w:p>
          <w:p w14:paraId="61D4CF29" w14:textId="77777777" w:rsidR="000E52B0" w:rsidRDefault="00F60D74">
            <w:pPr>
              <w:pStyle w:val="TableParagraph"/>
              <w:spacing w:before="1"/>
              <w:ind w:left="131" w:right="112"/>
              <w:jc w:val="center"/>
              <w:rPr>
                <w:b/>
                <w:sz w:val="16"/>
              </w:rPr>
            </w:pPr>
            <w:r>
              <w:rPr>
                <w:b/>
                <w:sz w:val="16"/>
              </w:rPr>
              <w:t>Ministerio</w:t>
            </w:r>
            <w:r>
              <w:rPr>
                <w:b/>
                <w:spacing w:val="-14"/>
                <w:sz w:val="16"/>
              </w:rPr>
              <w:t xml:space="preserve"> </w:t>
            </w:r>
            <w:r>
              <w:rPr>
                <w:b/>
                <w:sz w:val="16"/>
              </w:rPr>
              <w:t xml:space="preserve">de Trabajo y </w:t>
            </w:r>
            <w:r>
              <w:rPr>
                <w:b/>
                <w:spacing w:val="-2"/>
                <w:sz w:val="16"/>
              </w:rPr>
              <w:t>Seguridad Social</w:t>
            </w:r>
          </w:p>
        </w:tc>
        <w:tc>
          <w:tcPr>
            <w:tcW w:w="1532" w:type="dxa"/>
          </w:tcPr>
          <w:p w14:paraId="3C1C55A0" w14:textId="77777777" w:rsidR="000E52B0" w:rsidRDefault="000E52B0">
            <w:pPr>
              <w:pStyle w:val="TableParagraph"/>
              <w:rPr>
                <w:sz w:val="16"/>
              </w:rPr>
            </w:pPr>
          </w:p>
          <w:p w14:paraId="260DAD06" w14:textId="77777777" w:rsidR="000E52B0" w:rsidRDefault="000E52B0">
            <w:pPr>
              <w:pStyle w:val="TableParagraph"/>
              <w:spacing w:before="145"/>
              <w:rPr>
                <w:sz w:val="16"/>
              </w:rPr>
            </w:pPr>
          </w:p>
          <w:p w14:paraId="75B3871C" w14:textId="77777777" w:rsidR="000E52B0" w:rsidRDefault="00F60D74">
            <w:pPr>
              <w:pStyle w:val="TableParagraph"/>
              <w:ind w:left="14"/>
              <w:jc w:val="center"/>
              <w:rPr>
                <w:b/>
                <w:sz w:val="16"/>
              </w:rPr>
            </w:pPr>
            <w:r>
              <w:rPr>
                <w:b/>
                <w:spacing w:val="-4"/>
                <w:sz w:val="16"/>
              </w:rPr>
              <w:t>1996</w:t>
            </w:r>
          </w:p>
        </w:tc>
        <w:tc>
          <w:tcPr>
            <w:tcW w:w="4633" w:type="dxa"/>
          </w:tcPr>
          <w:p w14:paraId="03532567" w14:textId="77777777" w:rsidR="000E52B0" w:rsidRDefault="00F60D74">
            <w:pPr>
              <w:pStyle w:val="TableParagraph"/>
              <w:spacing w:before="47"/>
              <w:ind w:left="68" w:right="43"/>
              <w:jc w:val="both"/>
              <w:rPr>
                <w:sz w:val="16"/>
              </w:rPr>
            </w:pPr>
            <w:r>
              <w:rPr>
                <w:sz w:val="16"/>
              </w:rPr>
              <w:t>Sus mandatos principales son: proveer una protección social</w:t>
            </w:r>
            <w:r>
              <w:rPr>
                <w:spacing w:val="-3"/>
                <w:sz w:val="16"/>
              </w:rPr>
              <w:t xml:space="preserve"> </w:t>
            </w:r>
            <w:r>
              <w:rPr>
                <w:sz w:val="16"/>
              </w:rPr>
              <w:t>efectiva</w:t>
            </w:r>
            <w:r>
              <w:rPr>
                <w:spacing w:val="-4"/>
                <w:sz w:val="16"/>
              </w:rPr>
              <w:t xml:space="preserve"> </w:t>
            </w:r>
            <w:r>
              <w:rPr>
                <w:sz w:val="16"/>
              </w:rPr>
              <w:t>y</w:t>
            </w:r>
            <w:r>
              <w:rPr>
                <w:spacing w:val="-3"/>
                <w:sz w:val="16"/>
              </w:rPr>
              <w:t xml:space="preserve"> </w:t>
            </w:r>
            <w:r>
              <w:rPr>
                <w:sz w:val="16"/>
              </w:rPr>
              <w:t>promover</w:t>
            </w:r>
            <w:r>
              <w:rPr>
                <w:spacing w:val="-3"/>
                <w:sz w:val="16"/>
              </w:rPr>
              <w:t xml:space="preserve"> </w:t>
            </w:r>
            <w:r>
              <w:rPr>
                <w:sz w:val="16"/>
              </w:rPr>
              <w:t>la</w:t>
            </w:r>
            <w:r>
              <w:rPr>
                <w:spacing w:val="-2"/>
                <w:sz w:val="16"/>
              </w:rPr>
              <w:t xml:space="preserve"> </w:t>
            </w:r>
            <w:r>
              <w:rPr>
                <w:sz w:val="16"/>
              </w:rPr>
              <w:t>inclusión</w:t>
            </w:r>
            <w:r>
              <w:rPr>
                <w:spacing w:val="-2"/>
                <w:sz w:val="16"/>
              </w:rPr>
              <w:t xml:space="preserve"> </w:t>
            </w:r>
            <w:r>
              <w:rPr>
                <w:sz w:val="16"/>
              </w:rPr>
              <w:t>social;</w:t>
            </w:r>
            <w:r>
              <w:rPr>
                <w:spacing w:val="-3"/>
                <w:sz w:val="16"/>
              </w:rPr>
              <w:t xml:space="preserve"> </w:t>
            </w:r>
            <w:r>
              <w:rPr>
                <w:sz w:val="16"/>
              </w:rPr>
              <w:t>promover un clima estable de relaciones industriales; promover una</w:t>
            </w:r>
            <w:r>
              <w:rPr>
                <w:spacing w:val="-9"/>
                <w:sz w:val="16"/>
              </w:rPr>
              <w:t xml:space="preserve"> </w:t>
            </w:r>
            <w:r>
              <w:rPr>
                <w:sz w:val="16"/>
              </w:rPr>
              <w:t>mayor</w:t>
            </w:r>
            <w:r>
              <w:rPr>
                <w:spacing w:val="-7"/>
                <w:sz w:val="16"/>
              </w:rPr>
              <w:t xml:space="preserve"> </w:t>
            </w:r>
            <w:r>
              <w:rPr>
                <w:sz w:val="16"/>
              </w:rPr>
              <w:t>productividad;</w:t>
            </w:r>
            <w:r>
              <w:rPr>
                <w:spacing w:val="-9"/>
                <w:sz w:val="16"/>
              </w:rPr>
              <w:t xml:space="preserve"> </w:t>
            </w:r>
            <w:r>
              <w:rPr>
                <w:sz w:val="16"/>
              </w:rPr>
              <w:t>asegurar</w:t>
            </w:r>
            <w:r>
              <w:rPr>
                <w:spacing w:val="-9"/>
                <w:sz w:val="16"/>
              </w:rPr>
              <w:t xml:space="preserve"> </w:t>
            </w:r>
            <w:r>
              <w:rPr>
                <w:sz w:val="16"/>
              </w:rPr>
              <w:t>la</w:t>
            </w:r>
            <w:r>
              <w:rPr>
                <w:spacing w:val="-9"/>
                <w:sz w:val="16"/>
              </w:rPr>
              <w:t xml:space="preserve"> </w:t>
            </w:r>
            <w:r>
              <w:rPr>
                <w:sz w:val="16"/>
              </w:rPr>
              <w:t>seguridad</w:t>
            </w:r>
            <w:r>
              <w:rPr>
                <w:spacing w:val="-10"/>
                <w:sz w:val="16"/>
              </w:rPr>
              <w:t xml:space="preserve"> </w:t>
            </w:r>
            <w:r>
              <w:rPr>
                <w:sz w:val="16"/>
              </w:rPr>
              <w:t>y</w:t>
            </w:r>
            <w:r>
              <w:rPr>
                <w:spacing w:val="-10"/>
                <w:sz w:val="16"/>
              </w:rPr>
              <w:t xml:space="preserve"> </w:t>
            </w:r>
            <w:r>
              <w:rPr>
                <w:sz w:val="16"/>
              </w:rPr>
              <w:t>salud de los trabajadores; mantener un mercado laboral efectivo y eficiente.</w:t>
            </w:r>
          </w:p>
        </w:tc>
      </w:tr>
    </w:tbl>
    <w:p w14:paraId="391E201C" w14:textId="77777777" w:rsidR="000E52B0" w:rsidRDefault="000E52B0">
      <w:pPr>
        <w:pStyle w:val="TableParagraph"/>
        <w:jc w:val="both"/>
        <w:rPr>
          <w:sz w:val="16"/>
        </w:rPr>
        <w:sectPr w:rsidR="000E52B0">
          <w:pgSz w:w="11910" w:h="16840"/>
          <w:pgMar w:top="1340" w:right="720" w:bottom="1846" w:left="720" w:header="0" w:footer="995" w:gutter="0"/>
          <w:cols w:space="720"/>
        </w:sectPr>
      </w:pPr>
    </w:p>
    <w:tbl>
      <w:tblPr>
        <w:tblStyle w:val="TableNormal"/>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89"/>
        <w:gridCol w:w="1563"/>
        <w:gridCol w:w="1532"/>
        <w:gridCol w:w="4633"/>
      </w:tblGrid>
      <w:tr w:rsidR="000E52B0" w14:paraId="7A197523" w14:textId="77777777">
        <w:trPr>
          <w:trHeight w:val="542"/>
        </w:trPr>
        <w:tc>
          <w:tcPr>
            <w:tcW w:w="1289" w:type="dxa"/>
            <w:shd w:val="clear" w:color="auto" w:fill="D44673"/>
          </w:tcPr>
          <w:p w14:paraId="53C2AE7C" w14:textId="77777777" w:rsidR="000E52B0" w:rsidRDefault="00F60D74">
            <w:pPr>
              <w:pStyle w:val="TableParagraph"/>
              <w:spacing w:before="175"/>
              <w:ind w:left="21" w:right="3"/>
              <w:jc w:val="center"/>
              <w:rPr>
                <w:b/>
                <w:sz w:val="16"/>
              </w:rPr>
            </w:pPr>
            <w:r>
              <w:rPr>
                <w:b/>
                <w:color w:val="FFFFFF"/>
                <w:spacing w:val="-4"/>
                <w:sz w:val="16"/>
              </w:rPr>
              <w:lastRenderedPageBreak/>
              <w:t>País</w:t>
            </w:r>
          </w:p>
        </w:tc>
        <w:tc>
          <w:tcPr>
            <w:tcW w:w="1563" w:type="dxa"/>
            <w:shd w:val="clear" w:color="auto" w:fill="D44673"/>
          </w:tcPr>
          <w:p w14:paraId="6EAC9C7E" w14:textId="77777777" w:rsidR="000E52B0" w:rsidRDefault="00F60D74">
            <w:pPr>
              <w:pStyle w:val="TableParagraph"/>
              <w:spacing w:before="175"/>
              <w:ind w:left="438"/>
              <w:rPr>
                <w:b/>
                <w:sz w:val="16"/>
              </w:rPr>
            </w:pPr>
            <w:r>
              <w:rPr>
                <w:b/>
                <w:color w:val="FFFFFF"/>
                <w:spacing w:val="-2"/>
                <w:sz w:val="16"/>
              </w:rPr>
              <w:t>Entidad</w:t>
            </w:r>
          </w:p>
        </w:tc>
        <w:tc>
          <w:tcPr>
            <w:tcW w:w="1532" w:type="dxa"/>
            <w:shd w:val="clear" w:color="auto" w:fill="D44673"/>
          </w:tcPr>
          <w:p w14:paraId="6EFC789E" w14:textId="77777777" w:rsidR="000E52B0" w:rsidRDefault="00F60D74">
            <w:pPr>
              <w:pStyle w:val="TableParagraph"/>
              <w:spacing w:before="76"/>
              <w:ind w:left="373" w:right="353" w:firstLine="79"/>
              <w:rPr>
                <w:b/>
                <w:sz w:val="16"/>
              </w:rPr>
            </w:pPr>
            <w:r>
              <w:rPr>
                <w:b/>
                <w:color w:val="FFFFFF"/>
                <w:sz w:val="16"/>
              </w:rPr>
              <w:t xml:space="preserve">Año de </w:t>
            </w:r>
            <w:r>
              <w:rPr>
                <w:b/>
                <w:color w:val="FFFFFF"/>
                <w:spacing w:val="-2"/>
                <w:sz w:val="16"/>
              </w:rPr>
              <w:t>Creación</w:t>
            </w:r>
          </w:p>
        </w:tc>
        <w:tc>
          <w:tcPr>
            <w:tcW w:w="4633" w:type="dxa"/>
            <w:shd w:val="clear" w:color="auto" w:fill="D44673"/>
          </w:tcPr>
          <w:p w14:paraId="66AC467F" w14:textId="77777777" w:rsidR="000E52B0" w:rsidRDefault="00F60D74">
            <w:pPr>
              <w:pStyle w:val="TableParagraph"/>
              <w:spacing w:before="175"/>
              <w:ind w:left="1424"/>
              <w:rPr>
                <w:b/>
                <w:sz w:val="16"/>
              </w:rPr>
            </w:pPr>
            <w:r>
              <w:rPr>
                <w:b/>
                <w:color w:val="FFFFFF"/>
                <w:sz w:val="16"/>
              </w:rPr>
              <w:t>Misión</w:t>
            </w:r>
            <w:r>
              <w:rPr>
                <w:b/>
                <w:color w:val="FFFFFF"/>
                <w:spacing w:val="-6"/>
                <w:sz w:val="16"/>
              </w:rPr>
              <w:t xml:space="preserve"> </w:t>
            </w:r>
            <w:r>
              <w:rPr>
                <w:b/>
                <w:color w:val="FFFFFF"/>
                <w:spacing w:val="-2"/>
                <w:sz w:val="16"/>
              </w:rPr>
              <w:t>Institucional</w:t>
            </w:r>
          </w:p>
        </w:tc>
      </w:tr>
      <w:tr w:rsidR="000E52B0" w14:paraId="4766F195" w14:textId="77777777">
        <w:trPr>
          <w:trHeight w:val="1405"/>
        </w:trPr>
        <w:tc>
          <w:tcPr>
            <w:tcW w:w="1289" w:type="dxa"/>
          </w:tcPr>
          <w:p w14:paraId="3DAFBB59" w14:textId="77777777" w:rsidR="000E52B0" w:rsidRDefault="000E52B0">
            <w:pPr>
              <w:pStyle w:val="TableParagraph"/>
              <w:rPr>
                <w:sz w:val="16"/>
              </w:rPr>
            </w:pPr>
          </w:p>
          <w:p w14:paraId="19B31416" w14:textId="77777777" w:rsidR="000E52B0" w:rsidRDefault="000E52B0">
            <w:pPr>
              <w:pStyle w:val="TableParagraph"/>
              <w:rPr>
                <w:sz w:val="16"/>
              </w:rPr>
            </w:pPr>
          </w:p>
          <w:p w14:paraId="06163FCD" w14:textId="77777777" w:rsidR="000E52B0" w:rsidRDefault="000E52B0">
            <w:pPr>
              <w:pStyle w:val="TableParagraph"/>
              <w:spacing w:before="23"/>
              <w:rPr>
                <w:sz w:val="16"/>
              </w:rPr>
            </w:pPr>
          </w:p>
          <w:p w14:paraId="1E9A4A9B" w14:textId="77777777" w:rsidR="000E52B0" w:rsidRDefault="00F60D74">
            <w:pPr>
              <w:pStyle w:val="TableParagraph"/>
              <w:ind w:left="21" w:right="4"/>
              <w:jc w:val="center"/>
              <w:rPr>
                <w:b/>
                <w:sz w:val="16"/>
              </w:rPr>
            </w:pPr>
            <w:r>
              <w:rPr>
                <w:b/>
                <w:sz w:val="16"/>
              </w:rPr>
              <w:t>Costa</w:t>
            </w:r>
            <w:r>
              <w:rPr>
                <w:b/>
                <w:spacing w:val="-4"/>
                <w:sz w:val="16"/>
              </w:rPr>
              <w:t xml:space="preserve"> Rica</w:t>
            </w:r>
          </w:p>
        </w:tc>
        <w:tc>
          <w:tcPr>
            <w:tcW w:w="1563" w:type="dxa"/>
          </w:tcPr>
          <w:p w14:paraId="202CD974" w14:textId="77777777" w:rsidR="000E52B0" w:rsidRDefault="00F60D74">
            <w:pPr>
              <w:pStyle w:val="TableParagraph"/>
              <w:ind w:left="88" w:right="69"/>
              <w:jc w:val="center"/>
              <w:rPr>
                <w:b/>
                <w:sz w:val="16"/>
              </w:rPr>
            </w:pPr>
            <w:r>
              <w:rPr>
                <w:b/>
                <w:sz w:val="16"/>
              </w:rPr>
              <w:t>Ministerio</w:t>
            </w:r>
            <w:r>
              <w:rPr>
                <w:b/>
                <w:spacing w:val="-14"/>
                <w:sz w:val="16"/>
              </w:rPr>
              <w:t xml:space="preserve"> </w:t>
            </w:r>
            <w:r>
              <w:rPr>
                <w:b/>
                <w:sz w:val="16"/>
              </w:rPr>
              <w:t>de</w:t>
            </w:r>
            <w:r>
              <w:rPr>
                <w:b/>
                <w:spacing w:val="-14"/>
                <w:sz w:val="16"/>
              </w:rPr>
              <w:t xml:space="preserve"> </w:t>
            </w:r>
            <w:r>
              <w:rPr>
                <w:b/>
                <w:sz w:val="16"/>
              </w:rPr>
              <w:t>la Condición</w:t>
            </w:r>
            <w:r>
              <w:rPr>
                <w:b/>
                <w:spacing w:val="-11"/>
                <w:sz w:val="16"/>
              </w:rPr>
              <w:t xml:space="preserve"> </w:t>
            </w:r>
            <w:r>
              <w:rPr>
                <w:b/>
                <w:sz w:val="16"/>
              </w:rPr>
              <w:t>de</w:t>
            </w:r>
            <w:r>
              <w:rPr>
                <w:b/>
                <w:spacing w:val="-12"/>
                <w:sz w:val="16"/>
              </w:rPr>
              <w:t xml:space="preserve"> </w:t>
            </w:r>
            <w:r>
              <w:rPr>
                <w:b/>
                <w:sz w:val="16"/>
              </w:rPr>
              <w:t xml:space="preserve">la Mujer - </w:t>
            </w:r>
            <w:r>
              <w:rPr>
                <w:b/>
                <w:spacing w:val="-2"/>
                <w:sz w:val="16"/>
              </w:rPr>
              <w:t xml:space="preserve">Instituto </w:t>
            </w:r>
            <w:r>
              <w:rPr>
                <w:b/>
                <w:sz w:val="16"/>
              </w:rPr>
              <w:t>Nacional</w:t>
            </w:r>
            <w:r>
              <w:rPr>
                <w:b/>
                <w:spacing w:val="-9"/>
                <w:sz w:val="16"/>
              </w:rPr>
              <w:t xml:space="preserve"> </w:t>
            </w:r>
            <w:r>
              <w:rPr>
                <w:b/>
                <w:sz w:val="16"/>
              </w:rPr>
              <w:t>de</w:t>
            </w:r>
            <w:r>
              <w:rPr>
                <w:b/>
                <w:spacing w:val="-7"/>
                <w:sz w:val="16"/>
              </w:rPr>
              <w:t xml:space="preserve"> </w:t>
            </w:r>
            <w:r>
              <w:rPr>
                <w:b/>
                <w:sz w:val="16"/>
              </w:rPr>
              <w:t xml:space="preserve">las </w:t>
            </w:r>
            <w:r>
              <w:rPr>
                <w:b/>
                <w:spacing w:val="-2"/>
                <w:sz w:val="16"/>
              </w:rPr>
              <w:t>Mujeres</w:t>
            </w:r>
          </w:p>
        </w:tc>
        <w:tc>
          <w:tcPr>
            <w:tcW w:w="1532" w:type="dxa"/>
          </w:tcPr>
          <w:p w14:paraId="739EF301" w14:textId="77777777" w:rsidR="000E52B0" w:rsidRDefault="000E52B0">
            <w:pPr>
              <w:pStyle w:val="TableParagraph"/>
              <w:rPr>
                <w:sz w:val="16"/>
              </w:rPr>
            </w:pPr>
          </w:p>
          <w:p w14:paraId="33DD7296" w14:textId="77777777" w:rsidR="000E52B0" w:rsidRDefault="000E52B0">
            <w:pPr>
              <w:pStyle w:val="TableParagraph"/>
              <w:rPr>
                <w:sz w:val="16"/>
              </w:rPr>
            </w:pPr>
          </w:p>
          <w:p w14:paraId="5181BCD5" w14:textId="77777777" w:rsidR="000E52B0" w:rsidRDefault="000E52B0">
            <w:pPr>
              <w:pStyle w:val="TableParagraph"/>
              <w:spacing w:before="23"/>
              <w:rPr>
                <w:sz w:val="16"/>
              </w:rPr>
            </w:pPr>
          </w:p>
          <w:p w14:paraId="79361722" w14:textId="77777777" w:rsidR="000E52B0" w:rsidRDefault="00F60D74">
            <w:pPr>
              <w:pStyle w:val="TableParagraph"/>
              <w:ind w:left="14"/>
              <w:jc w:val="center"/>
              <w:rPr>
                <w:b/>
                <w:sz w:val="16"/>
              </w:rPr>
            </w:pPr>
            <w:r>
              <w:rPr>
                <w:b/>
                <w:spacing w:val="-4"/>
                <w:sz w:val="16"/>
              </w:rPr>
              <w:t>1998</w:t>
            </w:r>
          </w:p>
        </w:tc>
        <w:tc>
          <w:tcPr>
            <w:tcW w:w="4633" w:type="dxa"/>
          </w:tcPr>
          <w:p w14:paraId="2B2278CD" w14:textId="77777777" w:rsidR="000E52B0" w:rsidRDefault="000E52B0">
            <w:pPr>
              <w:pStyle w:val="TableParagraph"/>
              <w:spacing w:before="23"/>
              <w:rPr>
                <w:sz w:val="16"/>
              </w:rPr>
            </w:pPr>
          </w:p>
          <w:p w14:paraId="64811747" w14:textId="77777777" w:rsidR="000E52B0" w:rsidRDefault="00F60D74">
            <w:pPr>
              <w:pStyle w:val="TableParagraph"/>
              <w:ind w:left="68" w:right="45"/>
              <w:jc w:val="both"/>
              <w:rPr>
                <w:sz w:val="16"/>
              </w:rPr>
            </w:pPr>
            <w:r>
              <w:rPr>
                <w:sz w:val="16"/>
              </w:rPr>
              <w:t>Tiene como misión formular e impulsar la política nacional para la igualdad y equidad de género, en coordinación con las instituciones públicas, las instancias</w:t>
            </w:r>
            <w:r>
              <w:rPr>
                <w:spacing w:val="-5"/>
                <w:sz w:val="16"/>
              </w:rPr>
              <w:t xml:space="preserve"> </w:t>
            </w:r>
            <w:r>
              <w:rPr>
                <w:sz w:val="16"/>
              </w:rPr>
              <w:t>estatales</w:t>
            </w:r>
            <w:r>
              <w:rPr>
                <w:spacing w:val="-5"/>
                <w:sz w:val="16"/>
              </w:rPr>
              <w:t xml:space="preserve"> </w:t>
            </w:r>
            <w:r>
              <w:rPr>
                <w:sz w:val="16"/>
              </w:rPr>
              <w:t>que</w:t>
            </w:r>
            <w:r>
              <w:rPr>
                <w:spacing w:val="-5"/>
                <w:sz w:val="16"/>
              </w:rPr>
              <w:t xml:space="preserve"> </w:t>
            </w:r>
            <w:r>
              <w:rPr>
                <w:sz w:val="16"/>
              </w:rPr>
              <w:t>desarrollan</w:t>
            </w:r>
            <w:r>
              <w:rPr>
                <w:spacing w:val="-6"/>
                <w:sz w:val="16"/>
              </w:rPr>
              <w:t xml:space="preserve"> </w:t>
            </w:r>
            <w:r>
              <w:rPr>
                <w:sz w:val="16"/>
              </w:rPr>
              <w:t>programas</w:t>
            </w:r>
            <w:r>
              <w:rPr>
                <w:spacing w:val="-7"/>
                <w:sz w:val="16"/>
              </w:rPr>
              <w:t xml:space="preserve"> </w:t>
            </w:r>
            <w:r>
              <w:rPr>
                <w:sz w:val="16"/>
              </w:rPr>
              <w:t>para</w:t>
            </w:r>
            <w:r>
              <w:rPr>
                <w:spacing w:val="-6"/>
                <w:sz w:val="16"/>
              </w:rPr>
              <w:t xml:space="preserve"> </w:t>
            </w:r>
            <w:r>
              <w:rPr>
                <w:sz w:val="16"/>
              </w:rPr>
              <w:t>las mujeres y las organizaciones sociales.</w:t>
            </w:r>
          </w:p>
        </w:tc>
      </w:tr>
      <w:tr w:rsidR="000E52B0" w14:paraId="589DEB97" w14:textId="77777777">
        <w:trPr>
          <w:trHeight w:val="779"/>
        </w:trPr>
        <w:tc>
          <w:tcPr>
            <w:tcW w:w="1289" w:type="dxa"/>
          </w:tcPr>
          <w:p w14:paraId="534EC575" w14:textId="77777777" w:rsidR="000E52B0" w:rsidRDefault="000E52B0">
            <w:pPr>
              <w:pStyle w:val="TableParagraph"/>
              <w:spacing w:before="97"/>
              <w:rPr>
                <w:sz w:val="16"/>
              </w:rPr>
            </w:pPr>
          </w:p>
          <w:p w14:paraId="0FF9FBAA" w14:textId="77777777" w:rsidR="000E52B0" w:rsidRDefault="00F60D74">
            <w:pPr>
              <w:pStyle w:val="TableParagraph"/>
              <w:spacing w:before="1"/>
              <w:ind w:left="21" w:right="1"/>
              <w:jc w:val="center"/>
              <w:rPr>
                <w:b/>
                <w:sz w:val="16"/>
              </w:rPr>
            </w:pPr>
            <w:r>
              <w:rPr>
                <w:b/>
                <w:spacing w:val="-4"/>
                <w:sz w:val="16"/>
              </w:rPr>
              <w:t>Cuba</w:t>
            </w:r>
          </w:p>
        </w:tc>
        <w:tc>
          <w:tcPr>
            <w:tcW w:w="1563" w:type="dxa"/>
          </w:tcPr>
          <w:p w14:paraId="04385A4A" w14:textId="77777777" w:rsidR="000E52B0" w:rsidRDefault="00F60D74">
            <w:pPr>
              <w:pStyle w:val="TableParagraph"/>
              <w:spacing w:line="190" w:lineRule="atLeast"/>
              <w:ind w:left="131" w:right="112"/>
              <w:jc w:val="center"/>
              <w:rPr>
                <w:b/>
                <w:sz w:val="16"/>
              </w:rPr>
            </w:pPr>
            <w:r>
              <w:rPr>
                <w:b/>
                <w:sz w:val="16"/>
              </w:rPr>
              <w:t>Ministerio</w:t>
            </w:r>
            <w:r>
              <w:rPr>
                <w:b/>
                <w:spacing w:val="-14"/>
                <w:sz w:val="16"/>
              </w:rPr>
              <w:t xml:space="preserve"> </w:t>
            </w:r>
            <w:r>
              <w:rPr>
                <w:b/>
                <w:sz w:val="16"/>
              </w:rPr>
              <w:t xml:space="preserve">de Trabajo y </w:t>
            </w:r>
            <w:r>
              <w:rPr>
                <w:b/>
                <w:spacing w:val="-2"/>
                <w:sz w:val="16"/>
              </w:rPr>
              <w:t>Seguridad Social</w:t>
            </w:r>
          </w:p>
        </w:tc>
        <w:tc>
          <w:tcPr>
            <w:tcW w:w="1532" w:type="dxa"/>
          </w:tcPr>
          <w:p w14:paraId="00EC7ED6" w14:textId="77777777" w:rsidR="000E52B0" w:rsidRDefault="000E52B0">
            <w:pPr>
              <w:pStyle w:val="TableParagraph"/>
              <w:spacing w:before="97"/>
              <w:rPr>
                <w:sz w:val="16"/>
              </w:rPr>
            </w:pPr>
          </w:p>
          <w:p w14:paraId="0BCA82D4" w14:textId="77777777" w:rsidR="000E52B0" w:rsidRDefault="00F60D74">
            <w:pPr>
              <w:pStyle w:val="TableParagraph"/>
              <w:spacing w:before="1"/>
              <w:ind w:left="14"/>
              <w:jc w:val="center"/>
              <w:rPr>
                <w:b/>
                <w:sz w:val="16"/>
              </w:rPr>
            </w:pPr>
            <w:r>
              <w:rPr>
                <w:b/>
                <w:spacing w:val="-4"/>
                <w:sz w:val="16"/>
              </w:rPr>
              <w:t>2001</w:t>
            </w:r>
          </w:p>
        </w:tc>
        <w:tc>
          <w:tcPr>
            <w:tcW w:w="4633" w:type="dxa"/>
          </w:tcPr>
          <w:p w14:paraId="7309C380" w14:textId="77777777" w:rsidR="000E52B0" w:rsidRDefault="00F60D74">
            <w:pPr>
              <w:pStyle w:val="TableParagraph"/>
              <w:spacing w:line="190" w:lineRule="atLeast"/>
              <w:ind w:left="68" w:right="48"/>
              <w:jc w:val="both"/>
              <w:rPr>
                <w:sz w:val="16"/>
              </w:rPr>
            </w:pPr>
            <w:r>
              <w:rPr>
                <w:sz w:val="16"/>
              </w:rPr>
              <w:t>Busca</w:t>
            </w:r>
            <w:r>
              <w:rPr>
                <w:spacing w:val="-3"/>
                <w:sz w:val="16"/>
              </w:rPr>
              <w:t xml:space="preserve"> </w:t>
            </w:r>
            <w:r>
              <w:rPr>
                <w:sz w:val="16"/>
              </w:rPr>
              <w:t>proponer,</w:t>
            </w:r>
            <w:r>
              <w:rPr>
                <w:spacing w:val="-4"/>
                <w:sz w:val="16"/>
              </w:rPr>
              <w:t xml:space="preserve"> </w:t>
            </w:r>
            <w:r>
              <w:rPr>
                <w:sz w:val="16"/>
              </w:rPr>
              <w:t>dirigir</w:t>
            </w:r>
            <w:r>
              <w:rPr>
                <w:spacing w:val="-5"/>
                <w:sz w:val="16"/>
              </w:rPr>
              <w:t xml:space="preserve"> </w:t>
            </w:r>
            <w:r>
              <w:rPr>
                <w:sz w:val="16"/>
              </w:rPr>
              <w:t>y</w:t>
            </w:r>
            <w:r>
              <w:rPr>
                <w:spacing w:val="-3"/>
                <w:sz w:val="16"/>
              </w:rPr>
              <w:t xml:space="preserve"> </w:t>
            </w:r>
            <w:r>
              <w:rPr>
                <w:sz w:val="16"/>
              </w:rPr>
              <w:t>controlar</w:t>
            </w:r>
            <w:r>
              <w:rPr>
                <w:spacing w:val="-2"/>
                <w:sz w:val="16"/>
              </w:rPr>
              <w:t xml:space="preserve"> </w:t>
            </w:r>
            <w:r>
              <w:rPr>
                <w:sz w:val="16"/>
              </w:rPr>
              <w:t>la</w:t>
            </w:r>
            <w:r>
              <w:rPr>
                <w:spacing w:val="-4"/>
                <w:sz w:val="16"/>
              </w:rPr>
              <w:t xml:space="preserve"> </w:t>
            </w:r>
            <w:r>
              <w:rPr>
                <w:sz w:val="16"/>
              </w:rPr>
              <w:t>política</w:t>
            </w:r>
            <w:r>
              <w:rPr>
                <w:spacing w:val="-1"/>
                <w:sz w:val="16"/>
              </w:rPr>
              <w:t xml:space="preserve"> </w:t>
            </w:r>
            <w:r>
              <w:rPr>
                <w:sz w:val="16"/>
              </w:rPr>
              <w:t>del</w:t>
            </w:r>
            <w:r>
              <w:rPr>
                <w:spacing w:val="-4"/>
                <w:sz w:val="16"/>
              </w:rPr>
              <w:t xml:space="preserve"> </w:t>
            </w:r>
            <w:r>
              <w:rPr>
                <w:sz w:val="16"/>
              </w:rPr>
              <w:t>Estado y el gobierno en materia de trabajo, protección, seguridad e higiene del trabajo, seguridad social y prevención, asistencia y trabajo social.</w:t>
            </w:r>
          </w:p>
        </w:tc>
      </w:tr>
      <w:tr w:rsidR="000E52B0" w14:paraId="77ABF2E0" w14:textId="77777777">
        <w:trPr>
          <w:trHeight w:val="1166"/>
        </w:trPr>
        <w:tc>
          <w:tcPr>
            <w:tcW w:w="1289" w:type="dxa"/>
          </w:tcPr>
          <w:p w14:paraId="3D63D93F" w14:textId="77777777" w:rsidR="000E52B0" w:rsidRDefault="000E52B0">
            <w:pPr>
              <w:pStyle w:val="TableParagraph"/>
              <w:spacing w:before="193"/>
              <w:rPr>
                <w:sz w:val="16"/>
              </w:rPr>
            </w:pPr>
          </w:p>
          <w:p w14:paraId="3A92141D" w14:textId="77777777" w:rsidR="000E52B0" w:rsidRDefault="00F60D74">
            <w:pPr>
              <w:pStyle w:val="TableParagraph"/>
              <w:spacing w:before="1"/>
              <w:ind w:left="114" w:firstLine="88"/>
              <w:rPr>
                <w:b/>
                <w:sz w:val="16"/>
              </w:rPr>
            </w:pPr>
            <w:r>
              <w:rPr>
                <w:b/>
                <w:spacing w:val="-2"/>
                <w:sz w:val="16"/>
              </w:rPr>
              <w:t>República Dominicana</w:t>
            </w:r>
          </w:p>
        </w:tc>
        <w:tc>
          <w:tcPr>
            <w:tcW w:w="1563" w:type="dxa"/>
          </w:tcPr>
          <w:p w14:paraId="111A684A" w14:textId="77777777" w:rsidR="000E52B0" w:rsidRDefault="00F60D74">
            <w:pPr>
              <w:pStyle w:val="TableParagraph"/>
              <w:spacing w:before="95"/>
              <w:ind w:left="73" w:right="52" w:hanging="3"/>
              <w:jc w:val="center"/>
              <w:rPr>
                <w:b/>
                <w:sz w:val="16"/>
              </w:rPr>
            </w:pPr>
            <w:r>
              <w:rPr>
                <w:b/>
                <w:sz w:val="16"/>
              </w:rPr>
              <w:t xml:space="preserve">Gabinete de </w:t>
            </w:r>
            <w:r>
              <w:rPr>
                <w:b/>
                <w:spacing w:val="-2"/>
                <w:sz w:val="16"/>
              </w:rPr>
              <w:t>Coordinación</w:t>
            </w:r>
            <w:r>
              <w:rPr>
                <w:b/>
                <w:spacing w:val="40"/>
                <w:sz w:val="16"/>
              </w:rPr>
              <w:t xml:space="preserve"> </w:t>
            </w:r>
            <w:r>
              <w:rPr>
                <w:b/>
                <w:sz w:val="16"/>
              </w:rPr>
              <w:t xml:space="preserve">de Políticas Sociales de la </w:t>
            </w:r>
            <w:r>
              <w:rPr>
                <w:b/>
                <w:spacing w:val="-2"/>
                <w:sz w:val="16"/>
              </w:rPr>
              <w:t>Vicepresidencia</w:t>
            </w:r>
          </w:p>
        </w:tc>
        <w:tc>
          <w:tcPr>
            <w:tcW w:w="1532" w:type="dxa"/>
          </w:tcPr>
          <w:p w14:paraId="3D1FAADC" w14:textId="77777777" w:rsidR="000E52B0" w:rsidRDefault="000E52B0">
            <w:pPr>
              <w:pStyle w:val="TableParagraph"/>
              <w:rPr>
                <w:sz w:val="16"/>
              </w:rPr>
            </w:pPr>
          </w:p>
          <w:p w14:paraId="02EA9ACF" w14:textId="77777777" w:rsidR="000E52B0" w:rsidRDefault="000E52B0">
            <w:pPr>
              <w:pStyle w:val="TableParagraph"/>
              <w:spacing w:before="97"/>
              <w:rPr>
                <w:sz w:val="16"/>
              </w:rPr>
            </w:pPr>
          </w:p>
          <w:p w14:paraId="7D41A55A" w14:textId="77777777" w:rsidR="000E52B0" w:rsidRDefault="00F60D74">
            <w:pPr>
              <w:pStyle w:val="TableParagraph"/>
              <w:spacing w:before="1"/>
              <w:ind w:left="14"/>
              <w:jc w:val="center"/>
              <w:rPr>
                <w:b/>
                <w:sz w:val="16"/>
              </w:rPr>
            </w:pPr>
            <w:r>
              <w:rPr>
                <w:b/>
                <w:spacing w:val="-4"/>
                <w:sz w:val="16"/>
              </w:rPr>
              <w:t>2004</w:t>
            </w:r>
          </w:p>
        </w:tc>
        <w:tc>
          <w:tcPr>
            <w:tcW w:w="4633" w:type="dxa"/>
          </w:tcPr>
          <w:p w14:paraId="5A7169B4" w14:textId="77777777" w:rsidR="000E52B0" w:rsidRDefault="00F60D74">
            <w:pPr>
              <w:pStyle w:val="TableParagraph"/>
              <w:ind w:left="68" w:right="42"/>
              <w:jc w:val="both"/>
              <w:rPr>
                <w:sz w:val="16"/>
              </w:rPr>
            </w:pPr>
            <w:r>
              <w:rPr>
                <w:sz w:val="16"/>
              </w:rPr>
              <w:t>Instancia de articulación de la formulación, ejecución, seguimiento</w:t>
            </w:r>
            <w:r>
              <w:rPr>
                <w:spacing w:val="-5"/>
                <w:sz w:val="16"/>
              </w:rPr>
              <w:t xml:space="preserve"> </w:t>
            </w:r>
            <w:r>
              <w:rPr>
                <w:sz w:val="16"/>
              </w:rPr>
              <w:t>y</w:t>
            </w:r>
            <w:r>
              <w:rPr>
                <w:spacing w:val="-5"/>
                <w:sz w:val="16"/>
              </w:rPr>
              <w:t xml:space="preserve"> </w:t>
            </w:r>
            <w:r>
              <w:rPr>
                <w:sz w:val="16"/>
              </w:rPr>
              <w:t>evaluación</w:t>
            </w:r>
            <w:r>
              <w:rPr>
                <w:spacing w:val="-6"/>
                <w:sz w:val="16"/>
              </w:rPr>
              <w:t xml:space="preserve"> </w:t>
            </w:r>
            <w:r>
              <w:rPr>
                <w:sz w:val="16"/>
              </w:rPr>
              <w:t>de</w:t>
            </w:r>
            <w:r>
              <w:rPr>
                <w:spacing w:val="-6"/>
                <w:sz w:val="16"/>
              </w:rPr>
              <w:t xml:space="preserve"> </w:t>
            </w:r>
            <w:r>
              <w:rPr>
                <w:sz w:val="16"/>
              </w:rPr>
              <w:t>los</w:t>
            </w:r>
            <w:r>
              <w:rPr>
                <w:spacing w:val="-6"/>
                <w:sz w:val="16"/>
              </w:rPr>
              <w:t xml:space="preserve"> </w:t>
            </w:r>
            <w:r>
              <w:rPr>
                <w:sz w:val="16"/>
              </w:rPr>
              <w:t>programas</w:t>
            </w:r>
            <w:r>
              <w:rPr>
                <w:spacing w:val="-4"/>
                <w:sz w:val="16"/>
              </w:rPr>
              <w:t xml:space="preserve"> </w:t>
            </w:r>
            <w:r>
              <w:rPr>
                <w:sz w:val="16"/>
              </w:rPr>
              <w:t>incluidos</w:t>
            </w:r>
            <w:r>
              <w:rPr>
                <w:spacing w:val="-6"/>
                <w:sz w:val="16"/>
              </w:rPr>
              <w:t xml:space="preserve"> </w:t>
            </w:r>
            <w:r>
              <w:rPr>
                <w:sz w:val="16"/>
              </w:rPr>
              <w:t>en el Sistema de Protección Social de República Dominicana,</w:t>
            </w:r>
            <w:r>
              <w:rPr>
                <w:spacing w:val="-15"/>
                <w:sz w:val="16"/>
              </w:rPr>
              <w:t xml:space="preserve"> </w:t>
            </w:r>
            <w:r>
              <w:rPr>
                <w:sz w:val="16"/>
              </w:rPr>
              <w:t>basado</w:t>
            </w:r>
            <w:r>
              <w:rPr>
                <w:spacing w:val="-14"/>
                <w:sz w:val="16"/>
              </w:rPr>
              <w:t xml:space="preserve"> </w:t>
            </w:r>
            <w:r>
              <w:rPr>
                <w:sz w:val="16"/>
              </w:rPr>
              <w:t>en</w:t>
            </w:r>
            <w:r>
              <w:rPr>
                <w:spacing w:val="-13"/>
                <w:sz w:val="16"/>
              </w:rPr>
              <w:t xml:space="preserve"> </w:t>
            </w:r>
            <w:r>
              <w:rPr>
                <w:sz w:val="16"/>
              </w:rPr>
              <w:t>tres</w:t>
            </w:r>
            <w:r>
              <w:rPr>
                <w:spacing w:val="-13"/>
                <w:sz w:val="16"/>
              </w:rPr>
              <w:t xml:space="preserve"> </w:t>
            </w:r>
            <w:r>
              <w:rPr>
                <w:sz w:val="16"/>
              </w:rPr>
              <w:t>ejes</w:t>
            </w:r>
            <w:r>
              <w:rPr>
                <w:spacing w:val="-13"/>
                <w:sz w:val="16"/>
              </w:rPr>
              <w:t xml:space="preserve"> </w:t>
            </w:r>
            <w:r>
              <w:rPr>
                <w:sz w:val="16"/>
              </w:rPr>
              <w:t>principales:</w:t>
            </w:r>
            <w:r>
              <w:rPr>
                <w:spacing w:val="-14"/>
                <w:sz w:val="16"/>
              </w:rPr>
              <w:t xml:space="preserve"> </w:t>
            </w:r>
            <w:r>
              <w:rPr>
                <w:spacing w:val="-2"/>
                <w:sz w:val="16"/>
              </w:rPr>
              <w:t>programas</w:t>
            </w:r>
          </w:p>
          <w:p w14:paraId="4BF10079" w14:textId="77777777" w:rsidR="000E52B0" w:rsidRDefault="00F60D74">
            <w:pPr>
              <w:pStyle w:val="TableParagraph"/>
              <w:spacing w:line="190" w:lineRule="atLeast"/>
              <w:ind w:left="68" w:right="42"/>
              <w:jc w:val="both"/>
              <w:rPr>
                <w:sz w:val="16"/>
              </w:rPr>
            </w:pPr>
            <w:r>
              <w:rPr>
                <w:sz w:val="16"/>
              </w:rPr>
              <w:t>de</w:t>
            </w:r>
            <w:r>
              <w:rPr>
                <w:spacing w:val="-15"/>
                <w:sz w:val="16"/>
              </w:rPr>
              <w:t xml:space="preserve"> </w:t>
            </w:r>
            <w:r>
              <w:rPr>
                <w:sz w:val="16"/>
              </w:rPr>
              <w:t>transferencias</w:t>
            </w:r>
            <w:r>
              <w:rPr>
                <w:spacing w:val="-14"/>
                <w:sz w:val="16"/>
              </w:rPr>
              <w:t xml:space="preserve"> </w:t>
            </w:r>
            <w:r>
              <w:rPr>
                <w:sz w:val="16"/>
              </w:rPr>
              <w:t>condicionadas,</w:t>
            </w:r>
            <w:r>
              <w:rPr>
                <w:spacing w:val="-14"/>
                <w:sz w:val="16"/>
              </w:rPr>
              <w:t xml:space="preserve"> </w:t>
            </w:r>
            <w:r>
              <w:rPr>
                <w:sz w:val="16"/>
              </w:rPr>
              <w:t>programas</w:t>
            </w:r>
            <w:r>
              <w:rPr>
                <w:spacing w:val="-14"/>
                <w:sz w:val="16"/>
              </w:rPr>
              <w:t xml:space="preserve"> </w:t>
            </w:r>
            <w:r>
              <w:rPr>
                <w:sz w:val="16"/>
              </w:rPr>
              <w:t>de</w:t>
            </w:r>
            <w:r>
              <w:rPr>
                <w:spacing w:val="-14"/>
                <w:sz w:val="16"/>
              </w:rPr>
              <w:t xml:space="preserve"> </w:t>
            </w:r>
            <w:r>
              <w:rPr>
                <w:sz w:val="16"/>
              </w:rPr>
              <w:t>inclusión económica y programas de desarrollo humano y social.</w:t>
            </w:r>
          </w:p>
        </w:tc>
      </w:tr>
      <w:tr w:rsidR="000E52B0" w14:paraId="46B4B2EF" w14:textId="77777777">
        <w:trPr>
          <w:trHeight w:val="1589"/>
        </w:trPr>
        <w:tc>
          <w:tcPr>
            <w:tcW w:w="1289" w:type="dxa"/>
          </w:tcPr>
          <w:p w14:paraId="1A91822C" w14:textId="77777777" w:rsidR="000E52B0" w:rsidRDefault="000E52B0">
            <w:pPr>
              <w:pStyle w:val="TableParagraph"/>
              <w:rPr>
                <w:sz w:val="16"/>
              </w:rPr>
            </w:pPr>
          </w:p>
          <w:p w14:paraId="5B3BA321" w14:textId="77777777" w:rsidR="000E52B0" w:rsidRDefault="000E52B0">
            <w:pPr>
              <w:pStyle w:val="TableParagraph"/>
              <w:rPr>
                <w:sz w:val="16"/>
              </w:rPr>
            </w:pPr>
          </w:p>
          <w:p w14:paraId="19EE1E54" w14:textId="77777777" w:rsidR="000E52B0" w:rsidRDefault="000E52B0">
            <w:pPr>
              <w:pStyle w:val="TableParagraph"/>
              <w:spacing w:before="15"/>
              <w:rPr>
                <w:sz w:val="16"/>
              </w:rPr>
            </w:pPr>
          </w:p>
          <w:p w14:paraId="5F0E4139" w14:textId="77777777" w:rsidR="000E52B0" w:rsidRDefault="00F60D74">
            <w:pPr>
              <w:pStyle w:val="TableParagraph"/>
              <w:ind w:left="314" w:right="170" w:hanging="123"/>
              <w:rPr>
                <w:b/>
                <w:sz w:val="16"/>
              </w:rPr>
            </w:pPr>
            <w:r>
              <w:rPr>
                <w:b/>
                <w:sz w:val="16"/>
              </w:rPr>
              <w:t>Trinidad</w:t>
            </w:r>
            <w:r>
              <w:rPr>
                <w:b/>
                <w:spacing w:val="-14"/>
                <w:sz w:val="16"/>
              </w:rPr>
              <w:t xml:space="preserve"> </w:t>
            </w:r>
            <w:r>
              <w:rPr>
                <w:b/>
                <w:sz w:val="16"/>
              </w:rPr>
              <w:t xml:space="preserve">y </w:t>
            </w:r>
            <w:r>
              <w:rPr>
                <w:b/>
                <w:spacing w:val="-2"/>
                <w:sz w:val="16"/>
              </w:rPr>
              <w:t>Tobago</w:t>
            </w:r>
          </w:p>
        </w:tc>
        <w:tc>
          <w:tcPr>
            <w:tcW w:w="1563" w:type="dxa"/>
          </w:tcPr>
          <w:p w14:paraId="40E91733" w14:textId="77777777" w:rsidR="000E52B0" w:rsidRDefault="000E52B0">
            <w:pPr>
              <w:pStyle w:val="TableParagraph"/>
              <w:spacing w:before="114"/>
              <w:rPr>
                <w:sz w:val="16"/>
              </w:rPr>
            </w:pPr>
          </w:p>
          <w:p w14:paraId="492BE428" w14:textId="77777777" w:rsidR="000E52B0" w:rsidRDefault="00F60D74">
            <w:pPr>
              <w:pStyle w:val="TableParagraph"/>
              <w:ind w:left="196" w:right="177"/>
              <w:jc w:val="center"/>
              <w:rPr>
                <w:b/>
                <w:sz w:val="16"/>
              </w:rPr>
            </w:pPr>
            <w:r>
              <w:rPr>
                <w:b/>
                <w:sz w:val="16"/>
              </w:rPr>
              <w:t>Ministerio</w:t>
            </w:r>
            <w:r>
              <w:rPr>
                <w:b/>
                <w:spacing w:val="-14"/>
                <w:sz w:val="16"/>
              </w:rPr>
              <w:t xml:space="preserve"> </w:t>
            </w:r>
            <w:r>
              <w:rPr>
                <w:b/>
                <w:sz w:val="16"/>
              </w:rPr>
              <w:t xml:space="preserve">de </w:t>
            </w:r>
            <w:r>
              <w:rPr>
                <w:b/>
                <w:spacing w:val="-2"/>
                <w:sz w:val="16"/>
              </w:rPr>
              <w:t xml:space="preserve">Desarrollo </w:t>
            </w:r>
            <w:r>
              <w:rPr>
                <w:b/>
                <w:sz w:val="16"/>
              </w:rPr>
              <w:t xml:space="preserve">Social y </w:t>
            </w:r>
            <w:r>
              <w:rPr>
                <w:b/>
                <w:spacing w:val="-2"/>
                <w:sz w:val="16"/>
              </w:rPr>
              <w:t>Servicios Familiares</w:t>
            </w:r>
          </w:p>
        </w:tc>
        <w:tc>
          <w:tcPr>
            <w:tcW w:w="1532" w:type="dxa"/>
          </w:tcPr>
          <w:p w14:paraId="33DCAA33" w14:textId="77777777" w:rsidR="000E52B0" w:rsidRDefault="000E52B0">
            <w:pPr>
              <w:pStyle w:val="TableParagraph"/>
              <w:rPr>
                <w:sz w:val="16"/>
              </w:rPr>
            </w:pPr>
          </w:p>
          <w:p w14:paraId="337A2DEF" w14:textId="77777777" w:rsidR="000E52B0" w:rsidRDefault="000E52B0">
            <w:pPr>
              <w:pStyle w:val="TableParagraph"/>
              <w:rPr>
                <w:sz w:val="16"/>
              </w:rPr>
            </w:pPr>
          </w:p>
          <w:p w14:paraId="714107A2" w14:textId="77777777" w:rsidR="000E52B0" w:rsidRDefault="000E52B0">
            <w:pPr>
              <w:pStyle w:val="TableParagraph"/>
              <w:spacing w:before="114"/>
              <w:rPr>
                <w:sz w:val="16"/>
              </w:rPr>
            </w:pPr>
          </w:p>
          <w:p w14:paraId="66CEBB93" w14:textId="77777777" w:rsidR="000E52B0" w:rsidRDefault="00F60D74">
            <w:pPr>
              <w:pStyle w:val="TableParagraph"/>
              <w:ind w:left="14"/>
              <w:jc w:val="center"/>
              <w:rPr>
                <w:b/>
                <w:sz w:val="16"/>
              </w:rPr>
            </w:pPr>
            <w:r>
              <w:rPr>
                <w:b/>
                <w:spacing w:val="-4"/>
                <w:sz w:val="16"/>
              </w:rPr>
              <w:t>2004</w:t>
            </w:r>
          </w:p>
        </w:tc>
        <w:tc>
          <w:tcPr>
            <w:tcW w:w="4633" w:type="dxa"/>
          </w:tcPr>
          <w:p w14:paraId="23FEDBA2" w14:textId="37002478" w:rsidR="000E52B0" w:rsidRDefault="00F60D74">
            <w:pPr>
              <w:pStyle w:val="TableParagraph"/>
              <w:spacing w:before="16"/>
              <w:ind w:left="68" w:right="44"/>
              <w:jc w:val="both"/>
              <w:rPr>
                <w:sz w:val="16"/>
              </w:rPr>
            </w:pPr>
            <w:r>
              <w:rPr>
                <w:sz w:val="16"/>
              </w:rPr>
              <w:t>Tiene el mandato y la responsabilidad de enfrentar desafíos sociales como la pobreza, la desigualdad y la exclusión social. A través de la asistencia a grupos vulnerables y marginalizados como las mujeres, la infancia, las personas con</w:t>
            </w:r>
            <w:r>
              <w:rPr>
                <w:spacing w:val="-3"/>
                <w:sz w:val="16"/>
              </w:rPr>
              <w:t xml:space="preserve"> </w:t>
            </w:r>
            <w:r>
              <w:rPr>
                <w:sz w:val="16"/>
              </w:rPr>
              <w:t>discapacidades, las personas mayores, los pobres e indigentes, las personas socialmente</w:t>
            </w:r>
            <w:r>
              <w:rPr>
                <w:spacing w:val="55"/>
                <w:sz w:val="16"/>
              </w:rPr>
              <w:t xml:space="preserve"> </w:t>
            </w:r>
            <w:r>
              <w:rPr>
                <w:sz w:val="16"/>
              </w:rPr>
              <w:t>marginadas,</w:t>
            </w:r>
            <w:r>
              <w:rPr>
                <w:spacing w:val="53"/>
                <w:sz w:val="16"/>
              </w:rPr>
              <w:t xml:space="preserve"> </w:t>
            </w:r>
            <w:r w:rsidR="00711074">
              <w:rPr>
                <w:sz w:val="16"/>
              </w:rPr>
              <w:t>exconvictos</w:t>
            </w:r>
            <w:r>
              <w:rPr>
                <w:sz w:val="16"/>
              </w:rPr>
              <w:t>,</w:t>
            </w:r>
            <w:r>
              <w:rPr>
                <w:spacing w:val="53"/>
                <w:sz w:val="16"/>
              </w:rPr>
              <w:t xml:space="preserve"> </w:t>
            </w:r>
            <w:r>
              <w:rPr>
                <w:sz w:val="16"/>
              </w:rPr>
              <w:t>deportados</w:t>
            </w:r>
            <w:r>
              <w:rPr>
                <w:spacing w:val="52"/>
                <w:sz w:val="16"/>
              </w:rPr>
              <w:t xml:space="preserve"> </w:t>
            </w:r>
            <w:r>
              <w:rPr>
                <w:spacing w:val="-10"/>
                <w:sz w:val="16"/>
              </w:rPr>
              <w:t>y</w:t>
            </w:r>
          </w:p>
          <w:p w14:paraId="033C988B" w14:textId="77777777" w:rsidR="000E52B0" w:rsidRDefault="00F60D74">
            <w:pPr>
              <w:pStyle w:val="TableParagraph"/>
              <w:spacing w:before="2" w:line="191" w:lineRule="exact"/>
              <w:ind w:left="68"/>
              <w:jc w:val="both"/>
              <w:rPr>
                <w:sz w:val="16"/>
              </w:rPr>
            </w:pPr>
            <w:r>
              <w:rPr>
                <w:sz w:val="16"/>
              </w:rPr>
              <w:t>personas</w:t>
            </w:r>
            <w:r>
              <w:rPr>
                <w:spacing w:val="-6"/>
                <w:sz w:val="16"/>
              </w:rPr>
              <w:t xml:space="preserve"> </w:t>
            </w:r>
            <w:r>
              <w:rPr>
                <w:sz w:val="16"/>
              </w:rPr>
              <w:t>que</w:t>
            </w:r>
            <w:r>
              <w:rPr>
                <w:spacing w:val="-5"/>
                <w:sz w:val="16"/>
              </w:rPr>
              <w:t xml:space="preserve"> </w:t>
            </w:r>
            <w:r>
              <w:rPr>
                <w:sz w:val="16"/>
              </w:rPr>
              <w:t>viven</w:t>
            </w:r>
            <w:r>
              <w:rPr>
                <w:spacing w:val="-5"/>
                <w:sz w:val="16"/>
              </w:rPr>
              <w:t xml:space="preserve"> </w:t>
            </w:r>
            <w:r>
              <w:rPr>
                <w:sz w:val="16"/>
              </w:rPr>
              <w:t>con</w:t>
            </w:r>
            <w:r>
              <w:rPr>
                <w:spacing w:val="-5"/>
                <w:sz w:val="16"/>
              </w:rPr>
              <w:t xml:space="preserve"> </w:t>
            </w:r>
            <w:r>
              <w:rPr>
                <w:sz w:val="16"/>
              </w:rPr>
              <w:t>VIH-</w:t>
            </w:r>
            <w:r>
              <w:rPr>
                <w:spacing w:val="-2"/>
                <w:sz w:val="16"/>
              </w:rPr>
              <w:t>SIDA.</w:t>
            </w:r>
          </w:p>
        </w:tc>
      </w:tr>
      <w:tr w:rsidR="000E52B0" w14:paraId="1CC8C7B2" w14:textId="77777777">
        <w:trPr>
          <w:trHeight w:val="848"/>
        </w:trPr>
        <w:tc>
          <w:tcPr>
            <w:tcW w:w="1289" w:type="dxa"/>
          </w:tcPr>
          <w:p w14:paraId="1D415BA3" w14:textId="77777777" w:rsidR="000E52B0" w:rsidRDefault="000E52B0">
            <w:pPr>
              <w:pStyle w:val="TableParagraph"/>
              <w:spacing w:before="131"/>
              <w:rPr>
                <w:sz w:val="16"/>
              </w:rPr>
            </w:pPr>
          </w:p>
          <w:p w14:paraId="6F653A67" w14:textId="77777777" w:rsidR="000E52B0" w:rsidRDefault="00F60D74">
            <w:pPr>
              <w:pStyle w:val="TableParagraph"/>
              <w:ind w:left="21" w:right="1"/>
              <w:jc w:val="center"/>
              <w:rPr>
                <w:b/>
                <w:sz w:val="16"/>
              </w:rPr>
            </w:pPr>
            <w:r>
              <w:rPr>
                <w:b/>
                <w:spacing w:val="-2"/>
                <w:sz w:val="16"/>
              </w:rPr>
              <w:t>Panamá</w:t>
            </w:r>
          </w:p>
        </w:tc>
        <w:tc>
          <w:tcPr>
            <w:tcW w:w="1563" w:type="dxa"/>
          </w:tcPr>
          <w:p w14:paraId="197E787B" w14:textId="77777777" w:rsidR="000E52B0" w:rsidRDefault="00F60D74">
            <w:pPr>
              <w:pStyle w:val="TableParagraph"/>
              <w:spacing w:before="131"/>
              <w:ind w:left="196" w:right="177"/>
              <w:jc w:val="center"/>
              <w:rPr>
                <w:b/>
                <w:sz w:val="16"/>
              </w:rPr>
            </w:pPr>
            <w:r>
              <w:rPr>
                <w:b/>
                <w:sz w:val="16"/>
              </w:rPr>
              <w:t>Ministerio</w:t>
            </w:r>
            <w:r>
              <w:rPr>
                <w:b/>
                <w:spacing w:val="-14"/>
                <w:sz w:val="16"/>
              </w:rPr>
              <w:t xml:space="preserve"> </w:t>
            </w:r>
            <w:r>
              <w:rPr>
                <w:b/>
                <w:sz w:val="16"/>
              </w:rPr>
              <w:t xml:space="preserve">de </w:t>
            </w:r>
            <w:r>
              <w:rPr>
                <w:b/>
                <w:spacing w:val="-2"/>
                <w:sz w:val="16"/>
              </w:rPr>
              <w:t>Desarrollo Social</w:t>
            </w:r>
          </w:p>
        </w:tc>
        <w:tc>
          <w:tcPr>
            <w:tcW w:w="1532" w:type="dxa"/>
          </w:tcPr>
          <w:p w14:paraId="23E0D24A" w14:textId="77777777" w:rsidR="000E52B0" w:rsidRDefault="000E52B0">
            <w:pPr>
              <w:pStyle w:val="TableParagraph"/>
              <w:spacing w:before="131"/>
              <w:rPr>
                <w:sz w:val="16"/>
              </w:rPr>
            </w:pPr>
          </w:p>
          <w:p w14:paraId="02F01EED" w14:textId="77777777" w:rsidR="000E52B0" w:rsidRDefault="00F60D74">
            <w:pPr>
              <w:pStyle w:val="TableParagraph"/>
              <w:ind w:left="14"/>
              <w:jc w:val="center"/>
              <w:rPr>
                <w:b/>
                <w:sz w:val="16"/>
              </w:rPr>
            </w:pPr>
            <w:r>
              <w:rPr>
                <w:b/>
                <w:spacing w:val="-4"/>
                <w:sz w:val="16"/>
              </w:rPr>
              <w:t>2005</w:t>
            </w:r>
          </w:p>
        </w:tc>
        <w:tc>
          <w:tcPr>
            <w:tcW w:w="4633" w:type="dxa"/>
          </w:tcPr>
          <w:p w14:paraId="50DF2CDC" w14:textId="77777777" w:rsidR="000E52B0" w:rsidRDefault="00F60D74">
            <w:pPr>
              <w:pStyle w:val="TableParagraph"/>
              <w:spacing w:before="35"/>
              <w:ind w:left="68" w:right="46"/>
              <w:jc w:val="both"/>
              <w:rPr>
                <w:sz w:val="16"/>
              </w:rPr>
            </w:pPr>
            <w:r>
              <w:rPr>
                <w:sz w:val="16"/>
              </w:rPr>
              <w:t>Ente rector de las políticas sociales que lidera la inversión social para el fortalecimiento de las habilidades y capacidades del capital humano del país para lograr la sostenibilidad del desarrollo nacional.</w:t>
            </w:r>
          </w:p>
        </w:tc>
      </w:tr>
      <w:tr w:rsidR="000E52B0" w14:paraId="6A235DD4" w14:textId="77777777">
        <w:trPr>
          <w:trHeight w:val="971"/>
        </w:trPr>
        <w:tc>
          <w:tcPr>
            <w:tcW w:w="1289" w:type="dxa"/>
          </w:tcPr>
          <w:p w14:paraId="5DA1C4FD" w14:textId="77777777" w:rsidR="000E52B0" w:rsidRDefault="000E52B0">
            <w:pPr>
              <w:pStyle w:val="TableParagraph"/>
              <w:spacing w:before="193"/>
              <w:rPr>
                <w:sz w:val="16"/>
              </w:rPr>
            </w:pPr>
          </w:p>
          <w:p w14:paraId="220F0922" w14:textId="77777777" w:rsidR="000E52B0" w:rsidRDefault="00F60D74">
            <w:pPr>
              <w:pStyle w:val="TableParagraph"/>
              <w:spacing w:before="1"/>
              <w:ind w:left="21" w:right="1"/>
              <w:jc w:val="center"/>
              <w:rPr>
                <w:b/>
                <w:sz w:val="16"/>
              </w:rPr>
            </w:pPr>
            <w:r>
              <w:rPr>
                <w:b/>
                <w:spacing w:val="-2"/>
                <w:sz w:val="16"/>
              </w:rPr>
              <w:t>Uruguay</w:t>
            </w:r>
          </w:p>
        </w:tc>
        <w:tc>
          <w:tcPr>
            <w:tcW w:w="1563" w:type="dxa"/>
          </w:tcPr>
          <w:p w14:paraId="35DE346B" w14:textId="77777777" w:rsidR="000E52B0" w:rsidRDefault="00F60D74">
            <w:pPr>
              <w:pStyle w:val="TableParagraph"/>
              <w:spacing w:before="194"/>
              <w:ind w:left="196" w:right="177"/>
              <w:jc w:val="center"/>
              <w:rPr>
                <w:b/>
                <w:sz w:val="16"/>
              </w:rPr>
            </w:pPr>
            <w:r>
              <w:rPr>
                <w:b/>
                <w:sz w:val="16"/>
              </w:rPr>
              <w:t>Ministerio</w:t>
            </w:r>
            <w:r>
              <w:rPr>
                <w:b/>
                <w:spacing w:val="-14"/>
                <w:sz w:val="16"/>
              </w:rPr>
              <w:t xml:space="preserve"> </w:t>
            </w:r>
            <w:r>
              <w:rPr>
                <w:b/>
                <w:sz w:val="16"/>
              </w:rPr>
              <w:t xml:space="preserve">de </w:t>
            </w:r>
            <w:r>
              <w:rPr>
                <w:b/>
                <w:spacing w:val="-2"/>
                <w:sz w:val="16"/>
              </w:rPr>
              <w:t>Desarrollo Social</w:t>
            </w:r>
          </w:p>
        </w:tc>
        <w:tc>
          <w:tcPr>
            <w:tcW w:w="1532" w:type="dxa"/>
          </w:tcPr>
          <w:p w14:paraId="288DC942" w14:textId="77777777" w:rsidR="000E52B0" w:rsidRDefault="000E52B0">
            <w:pPr>
              <w:pStyle w:val="TableParagraph"/>
              <w:spacing w:before="193"/>
              <w:rPr>
                <w:sz w:val="16"/>
              </w:rPr>
            </w:pPr>
          </w:p>
          <w:p w14:paraId="626EC164" w14:textId="77777777" w:rsidR="000E52B0" w:rsidRDefault="00F60D74">
            <w:pPr>
              <w:pStyle w:val="TableParagraph"/>
              <w:spacing w:before="1"/>
              <w:ind w:left="14"/>
              <w:jc w:val="center"/>
              <w:rPr>
                <w:b/>
                <w:sz w:val="16"/>
              </w:rPr>
            </w:pPr>
            <w:r>
              <w:rPr>
                <w:b/>
                <w:spacing w:val="-4"/>
                <w:sz w:val="16"/>
              </w:rPr>
              <w:t>2005</w:t>
            </w:r>
          </w:p>
        </w:tc>
        <w:tc>
          <w:tcPr>
            <w:tcW w:w="4633" w:type="dxa"/>
          </w:tcPr>
          <w:p w14:paraId="4DFE000E" w14:textId="77777777" w:rsidR="000E52B0" w:rsidRDefault="00F60D74">
            <w:pPr>
              <w:pStyle w:val="TableParagraph"/>
              <w:ind w:left="68" w:right="46"/>
              <w:jc w:val="both"/>
              <w:rPr>
                <w:sz w:val="16"/>
              </w:rPr>
            </w:pPr>
            <w:r>
              <w:rPr>
                <w:sz w:val="16"/>
              </w:rPr>
              <w:t>Tiene como misión formular, ejecutar, supervisar, coordinar, programar, dar seguimiento y evaluar las políticas,</w:t>
            </w:r>
            <w:r>
              <w:rPr>
                <w:spacing w:val="-4"/>
                <w:sz w:val="16"/>
              </w:rPr>
              <w:t xml:space="preserve"> </w:t>
            </w:r>
            <w:r>
              <w:rPr>
                <w:sz w:val="16"/>
              </w:rPr>
              <w:t>estrategias</w:t>
            </w:r>
            <w:r>
              <w:rPr>
                <w:spacing w:val="-3"/>
                <w:sz w:val="16"/>
              </w:rPr>
              <w:t xml:space="preserve"> </w:t>
            </w:r>
            <w:r>
              <w:rPr>
                <w:sz w:val="16"/>
              </w:rPr>
              <w:t>y</w:t>
            </w:r>
            <w:r>
              <w:rPr>
                <w:spacing w:val="-5"/>
                <w:sz w:val="16"/>
              </w:rPr>
              <w:t xml:space="preserve"> </w:t>
            </w:r>
            <w:r>
              <w:rPr>
                <w:sz w:val="16"/>
              </w:rPr>
              <w:t>planes</w:t>
            </w:r>
            <w:r>
              <w:rPr>
                <w:spacing w:val="-5"/>
                <w:sz w:val="16"/>
              </w:rPr>
              <w:t xml:space="preserve"> </w:t>
            </w:r>
            <w:r>
              <w:rPr>
                <w:sz w:val="16"/>
              </w:rPr>
              <w:t>de</w:t>
            </w:r>
            <w:r>
              <w:rPr>
                <w:spacing w:val="-3"/>
                <w:sz w:val="16"/>
              </w:rPr>
              <w:t xml:space="preserve"> </w:t>
            </w:r>
            <w:r>
              <w:rPr>
                <w:sz w:val="16"/>
              </w:rPr>
              <w:t>las</w:t>
            </w:r>
            <w:r>
              <w:rPr>
                <w:spacing w:val="-3"/>
                <w:sz w:val="16"/>
              </w:rPr>
              <w:t xml:space="preserve"> </w:t>
            </w:r>
            <w:r>
              <w:rPr>
                <w:sz w:val="16"/>
              </w:rPr>
              <w:t>áreas</w:t>
            </w:r>
            <w:r>
              <w:rPr>
                <w:spacing w:val="-6"/>
                <w:sz w:val="16"/>
              </w:rPr>
              <w:t xml:space="preserve"> </w:t>
            </w:r>
            <w:r>
              <w:rPr>
                <w:sz w:val="16"/>
              </w:rPr>
              <w:t>de</w:t>
            </w:r>
            <w:r>
              <w:rPr>
                <w:spacing w:val="-3"/>
                <w:sz w:val="16"/>
              </w:rPr>
              <w:t xml:space="preserve"> </w:t>
            </w:r>
            <w:r>
              <w:rPr>
                <w:sz w:val="16"/>
              </w:rPr>
              <w:t>juventud, mujer</w:t>
            </w:r>
            <w:r>
              <w:rPr>
                <w:spacing w:val="75"/>
                <w:w w:val="150"/>
                <w:sz w:val="16"/>
              </w:rPr>
              <w:t xml:space="preserve"> </w:t>
            </w:r>
            <w:r>
              <w:rPr>
                <w:sz w:val="16"/>
              </w:rPr>
              <w:t>y</w:t>
            </w:r>
            <w:r>
              <w:rPr>
                <w:spacing w:val="77"/>
                <w:w w:val="150"/>
                <w:sz w:val="16"/>
              </w:rPr>
              <w:t xml:space="preserve"> </w:t>
            </w:r>
            <w:r>
              <w:rPr>
                <w:sz w:val="16"/>
              </w:rPr>
              <w:t>familia,</w:t>
            </w:r>
            <w:r>
              <w:rPr>
                <w:spacing w:val="75"/>
                <w:w w:val="150"/>
                <w:sz w:val="16"/>
              </w:rPr>
              <w:t xml:space="preserve"> </w:t>
            </w:r>
            <w:r>
              <w:rPr>
                <w:sz w:val="16"/>
              </w:rPr>
              <w:t>adultos</w:t>
            </w:r>
            <w:r>
              <w:rPr>
                <w:spacing w:val="74"/>
                <w:w w:val="150"/>
                <w:sz w:val="16"/>
              </w:rPr>
              <w:t xml:space="preserve"> </w:t>
            </w:r>
            <w:r>
              <w:rPr>
                <w:sz w:val="16"/>
              </w:rPr>
              <w:t>mayores,</w:t>
            </w:r>
            <w:r>
              <w:rPr>
                <w:spacing w:val="74"/>
                <w:w w:val="150"/>
                <w:sz w:val="16"/>
              </w:rPr>
              <w:t xml:space="preserve"> </w:t>
            </w:r>
            <w:r>
              <w:rPr>
                <w:sz w:val="16"/>
              </w:rPr>
              <w:t>personas</w:t>
            </w:r>
            <w:r>
              <w:rPr>
                <w:spacing w:val="74"/>
                <w:w w:val="150"/>
                <w:sz w:val="16"/>
              </w:rPr>
              <w:t xml:space="preserve"> </w:t>
            </w:r>
            <w:r>
              <w:rPr>
                <w:spacing w:val="-5"/>
                <w:sz w:val="16"/>
              </w:rPr>
              <w:t>con</w:t>
            </w:r>
          </w:p>
          <w:p w14:paraId="2454F40D" w14:textId="77777777" w:rsidR="000E52B0" w:rsidRDefault="00F60D74">
            <w:pPr>
              <w:pStyle w:val="TableParagraph"/>
              <w:spacing w:line="174" w:lineRule="exact"/>
              <w:ind w:left="68"/>
              <w:jc w:val="both"/>
              <w:rPr>
                <w:sz w:val="16"/>
              </w:rPr>
            </w:pPr>
            <w:r>
              <w:rPr>
                <w:sz w:val="16"/>
              </w:rPr>
              <w:t>discapacidad</w:t>
            </w:r>
            <w:r>
              <w:rPr>
                <w:spacing w:val="-6"/>
                <w:sz w:val="16"/>
              </w:rPr>
              <w:t xml:space="preserve"> </w:t>
            </w:r>
            <w:r>
              <w:rPr>
                <w:sz w:val="16"/>
              </w:rPr>
              <w:t>y</w:t>
            </w:r>
            <w:r>
              <w:rPr>
                <w:spacing w:val="-5"/>
                <w:sz w:val="16"/>
              </w:rPr>
              <w:t xml:space="preserve"> </w:t>
            </w:r>
            <w:r>
              <w:rPr>
                <w:sz w:val="16"/>
              </w:rPr>
              <w:t>desarrollo</w:t>
            </w:r>
            <w:r>
              <w:rPr>
                <w:spacing w:val="-5"/>
                <w:sz w:val="16"/>
              </w:rPr>
              <w:t xml:space="preserve"> </w:t>
            </w:r>
            <w:r>
              <w:rPr>
                <w:sz w:val="16"/>
              </w:rPr>
              <w:t>social</w:t>
            </w:r>
            <w:r>
              <w:rPr>
                <w:spacing w:val="-4"/>
                <w:sz w:val="16"/>
              </w:rPr>
              <w:t xml:space="preserve"> </w:t>
            </w:r>
            <w:r>
              <w:rPr>
                <w:sz w:val="16"/>
              </w:rPr>
              <w:t>en</w:t>
            </w:r>
            <w:r>
              <w:rPr>
                <w:spacing w:val="-4"/>
                <w:sz w:val="16"/>
              </w:rPr>
              <w:t xml:space="preserve"> </w:t>
            </w:r>
            <w:r>
              <w:rPr>
                <w:spacing w:val="-2"/>
                <w:sz w:val="16"/>
              </w:rPr>
              <w:t>general.</w:t>
            </w:r>
          </w:p>
        </w:tc>
      </w:tr>
      <w:tr w:rsidR="000E52B0" w14:paraId="0FDE9ADA" w14:textId="77777777">
        <w:trPr>
          <w:trHeight w:val="781"/>
        </w:trPr>
        <w:tc>
          <w:tcPr>
            <w:tcW w:w="1289" w:type="dxa"/>
          </w:tcPr>
          <w:p w14:paraId="69D37650" w14:textId="77777777" w:rsidR="000E52B0" w:rsidRDefault="000E52B0">
            <w:pPr>
              <w:pStyle w:val="TableParagraph"/>
              <w:spacing w:before="100"/>
              <w:rPr>
                <w:sz w:val="16"/>
              </w:rPr>
            </w:pPr>
          </w:p>
          <w:p w14:paraId="706ED545" w14:textId="77777777" w:rsidR="000E52B0" w:rsidRDefault="00F60D74">
            <w:pPr>
              <w:pStyle w:val="TableParagraph"/>
              <w:ind w:left="21" w:right="2"/>
              <w:jc w:val="center"/>
              <w:rPr>
                <w:b/>
                <w:sz w:val="16"/>
              </w:rPr>
            </w:pPr>
            <w:r>
              <w:rPr>
                <w:b/>
                <w:spacing w:val="-2"/>
                <w:sz w:val="16"/>
              </w:rPr>
              <w:t>Ecuador</w:t>
            </w:r>
          </w:p>
        </w:tc>
        <w:tc>
          <w:tcPr>
            <w:tcW w:w="1563" w:type="dxa"/>
          </w:tcPr>
          <w:p w14:paraId="66F89BB8" w14:textId="77777777" w:rsidR="000E52B0" w:rsidRDefault="00F60D74">
            <w:pPr>
              <w:pStyle w:val="TableParagraph"/>
              <w:spacing w:line="190" w:lineRule="atLeast"/>
              <w:ind w:left="196" w:right="177"/>
              <w:jc w:val="center"/>
              <w:rPr>
                <w:b/>
                <w:sz w:val="16"/>
              </w:rPr>
            </w:pPr>
            <w:r>
              <w:rPr>
                <w:b/>
                <w:sz w:val="16"/>
              </w:rPr>
              <w:t>Ministerio</w:t>
            </w:r>
            <w:r>
              <w:rPr>
                <w:b/>
                <w:spacing w:val="-14"/>
                <w:sz w:val="16"/>
              </w:rPr>
              <w:t xml:space="preserve"> </w:t>
            </w:r>
            <w:r>
              <w:rPr>
                <w:b/>
                <w:sz w:val="16"/>
              </w:rPr>
              <w:t xml:space="preserve">de </w:t>
            </w:r>
            <w:r>
              <w:rPr>
                <w:b/>
                <w:spacing w:val="-2"/>
                <w:sz w:val="16"/>
              </w:rPr>
              <w:t xml:space="preserve">Inclusión </w:t>
            </w:r>
            <w:r>
              <w:rPr>
                <w:b/>
                <w:sz w:val="16"/>
              </w:rPr>
              <w:t xml:space="preserve">Económica y </w:t>
            </w:r>
            <w:r>
              <w:rPr>
                <w:b/>
                <w:spacing w:val="-2"/>
                <w:sz w:val="16"/>
              </w:rPr>
              <w:t>Social</w:t>
            </w:r>
          </w:p>
        </w:tc>
        <w:tc>
          <w:tcPr>
            <w:tcW w:w="1532" w:type="dxa"/>
          </w:tcPr>
          <w:p w14:paraId="6A7AD229" w14:textId="77777777" w:rsidR="000E52B0" w:rsidRDefault="000E52B0">
            <w:pPr>
              <w:pStyle w:val="TableParagraph"/>
              <w:spacing w:before="100"/>
              <w:rPr>
                <w:sz w:val="16"/>
              </w:rPr>
            </w:pPr>
          </w:p>
          <w:p w14:paraId="04DD5374" w14:textId="77777777" w:rsidR="000E52B0" w:rsidRDefault="00F60D74">
            <w:pPr>
              <w:pStyle w:val="TableParagraph"/>
              <w:ind w:left="14"/>
              <w:jc w:val="center"/>
              <w:rPr>
                <w:b/>
                <w:sz w:val="16"/>
              </w:rPr>
            </w:pPr>
            <w:r>
              <w:rPr>
                <w:b/>
                <w:spacing w:val="-4"/>
                <w:sz w:val="16"/>
              </w:rPr>
              <w:t>2007</w:t>
            </w:r>
          </w:p>
        </w:tc>
        <w:tc>
          <w:tcPr>
            <w:tcW w:w="4633" w:type="dxa"/>
          </w:tcPr>
          <w:p w14:paraId="39D7337A" w14:textId="77777777" w:rsidR="000E52B0" w:rsidRDefault="00F60D74">
            <w:pPr>
              <w:pStyle w:val="TableParagraph"/>
              <w:spacing w:line="190" w:lineRule="atLeast"/>
              <w:ind w:left="68" w:right="45"/>
              <w:jc w:val="both"/>
              <w:rPr>
                <w:sz w:val="16"/>
              </w:rPr>
            </w:pPr>
            <w:r>
              <w:rPr>
                <w:sz w:val="16"/>
              </w:rPr>
              <w:t>Su mandato es definir y ejecutar políticas de inclusión económica</w:t>
            </w:r>
            <w:r>
              <w:rPr>
                <w:spacing w:val="-15"/>
                <w:sz w:val="16"/>
              </w:rPr>
              <w:t xml:space="preserve"> </w:t>
            </w:r>
            <w:r>
              <w:rPr>
                <w:sz w:val="16"/>
              </w:rPr>
              <w:t>y</w:t>
            </w:r>
            <w:r>
              <w:rPr>
                <w:spacing w:val="-14"/>
                <w:sz w:val="16"/>
              </w:rPr>
              <w:t xml:space="preserve"> </w:t>
            </w:r>
            <w:r>
              <w:rPr>
                <w:sz w:val="16"/>
              </w:rPr>
              <w:t>social,</w:t>
            </w:r>
            <w:r>
              <w:rPr>
                <w:spacing w:val="-14"/>
                <w:sz w:val="16"/>
              </w:rPr>
              <w:t xml:space="preserve"> </w:t>
            </w:r>
            <w:r>
              <w:rPr>
                <w:sz w:val="16"/>
              </w:rPr>
              <w:t>contribuyendo</w:t>
            </w:r>
            <w:r>
              <w:rPr>
                <w:spacing w:val="-14"/>
                <w:sz w:val="16"/>
              </w:rPr>
              <w:t xml:space="preserve"> </w:t>
            </w:r>
            <w:r>
              <w:rPr>
                <w:sz w:val="16"/>
              </w:rPr>
              <w:t>a</w:t>
            </w:r>
            <w:r>
              <w:rPr>
                <w:spacing w:val="-14"/>
                <w:sz w:val="16"/>
              </w:rPr>
              <w:t xml:space="preserve"> </w:t>
            </w:r>
            <w:r>
              <w:rPr>
                <w:sz w:val="16"/>
              </w:rPr>
              <w:t>la</w:t>
            </w:r>
            <w:r>
              <w:rPr>
                <w:spacing w:val="-14"/>
                <w:sz w:val="16"/>
              </w:rPr>
              <w:t xml:space="preserve"> </w:t>
            </w:r>
            <w:r>
              <w:rPr>
                <w:sz w:val="16"/>
              </w:rPr>
              <w:t>superación</w:t>
            </w:r>
            <w:r>
              <w:rPr>
                <w:spacing w:val="-14"/>
                <w:sz w:val="16"/>
              </w:rPr>
              <w:t xml:space="preserve"> </w:t>
            </w:r>
            <w:r>
              <w:rPr>
                <w:sz w:val="16"/>
              </w:rPr>
              <w:t>de</w:t>
            </w:r>
            <w:r>
              <w:rPr>
                <w:spacing w:val="-14"/>
                <w:sz w:val="16"/>
              </w:rPr>
              <w:t xml:space="preserve"> </w:t>
            </w:r>
            <w:r>
              <w:rPr>
                <w:sz w:val="16"/>
              </w:rPr>
              <w:t>las brechas de desigualdad, a través de la construcción conjunta del Buen Vivir para la población ecuatoriana.</w:t>
            </w:r>
          </w:p>
        </w:tc>
      </w:tr>
      <w:tr w:rsidR="000E52B0" w14:paraId="02598AAE" w14:textId="77777777">
        <w:trPr>
          <w:trHeight w:val="973"/>
        </w:trPr>
        <w:tc>
          <w:tcPr>
            <w:tcW w:w="1289" w:type="dxa"/>
          </w:tcPr>
          <w:p w14:paraId="69E75444" w14:textId="77777777" w:rsidR="000E52B0" w:rsidRDefault="000E52B0">
            <w:pPr>
              <w:pStyle w:val="TableParagraph"/>
              <w:rPr>
                <w:sz w:val="16"/>
              </w:rPr>
            </w:pPr>
          </w:p>
          <w:p w14:paraId="6A98A1F2" w14:textId="77777777" w:rsidR="000E52B0" w:rsidRDefault="000E52B0">
            <w:pPr>
              <w:pStyle w:val="TableParagraph"/>
              <w:spacing w:before="1"/>
              <w:rPr>
                <w:sz w:val="16"/>
              </w:rPr>
            </w:pPr>
          </w:p>
          <w:p w14:paraId="7C89BAAB" w14:textId="77777777" w:rsidR="000E52B0" w:rsidRDefault="00F60D74">
            <w:pPr>
              <w:pStyle w:val="TableParagraph"/>
              <w:spacing w:before="1"/>
              <w:ind w:left="21" w:right="1"/>
              <w:jc w:val="center"/>
              <w:rPr>
                <w:b/>
                <w:sz w:val="16"/>
              </w:rPr>
            </w:pPr>
            <w:r>
              <w:rPr>
                <w:b/>
                <w:spacing w:val="-2"/>
                <w:sz w:val="16"/>
              </w:rPr>
              <w:t>Nicaragua</w:t>
            </w:r>
          </w:p>
        </w:tc>
        <w:tc>
          <w:tcPr>
            <w:tcW w:w="1563" w:type="dxa"/>
          </w:tcPr>
          <w:p w14:paraId="4ACB38B1" w14:textId="77777777" w:rsidR="000E52B0" w:rsidRDefault="00F60D74">
            <w:pPr>
              <w:pStyle w:val="TableParagraph"/>
              <w:spacing w:before="98"/>
              <w:ind w:left="88" w:right="69"/>
              <w:jc w:val="center"/>
              <w:rPr>
                <w:b/>
                <w:sz w:val="16"/>
              </w:rPr>
            </w:pPr>
            <w:r>
              <w:rPr>
                <w:b/>
                <w:sz w:val="16"/>
              </w:rPr>
              <w:t>Ministerio</w:t>
            </w:r>
            <w:r>
              <w:rPr>
                <w:b/>
                <w:spacing w:val="-14"/>
                <w:sz w:val="16"/>
              </w:rPr>
              <w:t xml:space="preserve"> </w:t>
            </w:r>
            <w:r>
              <w:rPr>
                <w:b/>
                <w:sz w:val="16"/>
              </w:rPr>
              <w:t>de</w:t>
            </w:r>
            <w:r>
              <w:rPr>
                <w:b/>
                <w:spacing w:val="-14"/>
                <w:sz w:val="16"/>
              </w:rPr>
              <w:t xml:space="preserve"> </w:t>
            </w:r>
            <w:r>
              <w:rPr>
                <w:b/>
                <w:sz w:val="16"/>
              </w:rPr>
              <w:t xml:space="preserve">la </w:t>
            </w:r>
            <w:r>
              <w:rPr>
                <w:b/>
                <w:spacing w:val="-2"/>
                <w:sz w:val="16"/>
              </w:rPr>
              <w:t xml:space="preserve">Familia, </w:t>
            </w:r>
            <w:r>
              <w:rPr>
                <w:b/>
                <w:sz w:val="16"/>
              </w:rPr>
              <w:t xml:space="preserve">Adolescencia y </w:t>
            </w:r>
            <w:r>
              <w:rPr>
                <w:b/>
                <w:spacing w:val="-2"/>
                <w:sz w:val="16"/>
              </w:rPr>
              <w:t>Niñez</w:t>
            </w:r>
          </w:p>
        </w:tc>
        <w:tc>
          <w:tcPr>
            <w:tcW w:w="1532" w:type="dxa"/>
          </w:tcPr>
          <w:p w14:paraId="714AC0D4" w14:textId="77777777" w:rsidR="000E52B0" w:rsidRDefault="000E52B0">
            <w:pPr>
              <w:pStyle w:val="TableParagraph"/>
              <w:rPr>
                <w:sz w:val="16"/>
              </w:rPr>
            </w:pPr>
          </w:p>
          <w:p w14:paraId="5BD47FBF" w14:textId="77777777" w:rsidR="000E52B0" w:rsidRDefault="000E52B0">
            <w:pPr>
              <w:pStyle w:val="TableParagraph"/>
              <w:spacing w:before="1"/>
              <w:rPr>
                <w:sz w:val="16"/>
              </w:rPr>
            </w:pPr>
          </w:p>
          <w:p w14:paraId="0235B09C" w14:textId="77777777" w:rsidR="000E52B0" w:rsidRDefault="00F60D74">
            <w:pPr>
              <w:pStyle w:val="TableParagraph"/>
              <w:spacing w:before="1"/>
              <w:ind w:left="14"/>
              <w:jc w:val="center"/>
              <w:rPr>
                <w:b/>
                <w:sz w:val="16"/>
              </w:rPr>
            </w:pPr>
            <w:r>
              <w:rPr>
                <w:b/>
                <w:spacing w:val="-4"/>
                <w:sz w:val="16"/>
              </w:rPr>
              <w:t>2007</w:t>
            </w:r>
          </w:p>
        </w:tc>
        <w:tc>
          <w:tcPr>
            <w:tcW w:w="4633" w:type="dxa"/>
          </w:tcPr>
          <w:p w14:paraId="60C50B90" w14:textId="77777777" w:rsidR="000E52B0" w:rsidRDefault="00F60D74">
            <w:pPr>
              <w:pStyle w:val="TableParagraph"/>
              <w:spacing w:line="190" w:lineRule="atLeast"/>
              <w:ind w:left="68" w:right="47"/>
              <w:jc w:val="both"/>
              <w:rPr>
                <w:sz w:val="16"/>
              </w:rPr>
            </w:pPr>
            <w:r>
              <w:rPr>
                <w:sz w:val="16"/>
              </w:rPr>
              <w:t>Busca facilitar la ejecución de acciones integrales en beneficio de grupos de población vulnerable, niños desvalidos y abandonados, personas mayores y personas con capacidades diferentes, buscando ofrecer soluciones de auto sustento.</w:t>
            </w:r>
          </w:p>
        </w:tc>
      </w:tr>
      <w:tr w:rsidR="000E52B0" w14:paraId="195DE947" w14:textId="77777777">
        <w:trPr>
          <w:trHeight w:val="1165"/>
        </w:trPr>
        <w:tc>
          <w:tcPr>
            <w:tcW w:w="1289" w:type="dxa"/>
          </w:tcPr>
          <w:p w14:paraId="4029E6E4" w14:textId="77777777" w:rsidR="000E52B0" w:rsidRDefault="000E52B0">
            <w:pPr>
              <w:pStyle w:val="TableParagraph"/>
              <w:rPr>
                <w:sz w:val="16"/>
              </w:rPr>
            </w:pPr>
          </w:p>
          <w:p w14:paraId="228B7CB8" w14:textId="77777777" w:rsidR="000E52B0" w:rsidRDefault="000E52B0">
            <w:pPr>
              <w:pStyle w:val="TableParagraph"/>
              <w:spacing w:before="97"/>
              <w:rPr>
                <w:sz w:val="16"/>
              </w:rPr>
            </w:pPr>
          </w:p>
          <w:p w14:paraId="5C3C58B0" w14:textId="77777777" w:rsidR="000E52B0" w:rsidRDefault="00F60D74">
            <w:pPr>
              <w:pStyle w:val="TableParagraph"/>
              <w:spacing w:before="1"/>
              <w:ind w:left="21" w:right="4"/>
              <w:jc w:val="center"/>
              <w:rPr>
                <w:b/>
                <w:sz w:val="16"/>
              </w:rPr>
            </w:pPr>
            <w:r>
              <w:rPr>
                <w:b/>
                <w:spacing w:val="-2"/>
                <w:sz w:val="16"/>
              </w:rPr>
              <w:t>Barbados</w:t>
            </w:r>
          </w:p>
        </w:tc>
        <w:tc>
          <w:tcPr>
            <w:tcW w:w="1563" w:type="dxa"/>
          </w:tcPr>
          <w:p w14:paraId="12233A79" w14:textId="4591078F" w:rsidR="000E52B0" w:rsidRDefault="00F60D74">
            <w:pPr>
              <w:pStyle w:val="TableParagraph"/>
              <w:spacing w:line="194" w:lineRule="exact"/>
              <w:ind w:left="68" w:right="48" w:hanging="3"/>
              <w:jc w:val="center"/>
              <w:rPr>
                <w:b/>
                <w:sz w:val="16"/>
              </w:rPr>
            </w:pPr>
            <w:r>
              <w:rPr>
                <w:b/>
                <w:sz w:val="16"/>
              </w:rPr>
              <w:t xml:space="preserve">Ministerio de </w:t>
            </w:r>
            <w:proofErr w:type="gramStart"/>
            <w:r w:rsidR="00711074">
              <w:rPr>
                <w:b/>
                <w:spacing w:val="-2"/>
                <w:sz w:val="16"/>
              </w:rPr>
              <w:t>Empoderamiento</w:t>
            </w:r>
            <w:r>
              <w:rPr>
                <w:b/>
                <w:spacing w:val="-2"/>
                <w:sz w:val="16"/>
              </w:rPr>
              <w:t xml:space="preserve"> </w:t>
            </w:r>
            <w:r>
              <w:rPr>
                <w:b/>
                <w:sz w:val="16"/>
              </w:rPr>
              <w:t xml:space="preserve"> Popular</w:t>
            </w:r>
            <w:proofErr w:type="gramEnd"/>
            <w:r>
              <w:rPr>
                <w:b/>
                <w:sz w:val="16"/>
              </w:rPr>
              <w:t xml:space="preserve"> y Asuntos de </w:t>
            </w:r>
            <w:r>
              <w:rPr>
                <w:b/>
                <w:spacing w:val="-2"/>
                <w:sz w:val="16"/>
              </w:rPr>
              <w:t>Adultos</w:t>
            </w:r>
            <w:r>
              <w:rPr>
                <w:b/>
                <w:spacing w:val="40"/>
                <w:sz w:val="16"/>
              </w:rPr>
              <w:t xml:space="preserve"> </w:t>
            </w:r>
            <w:r>
              <w:rPr>
                <w:b/>
                <w:spacing w:val="-2"/>
                <w:sz w:val="16"/>
              </w:rPr>
              <w:t>Mayores</w:t>
            </w:r>
          </w:p>
        </w:tc>
        <w:tc>
          <w:tcPr>
            <w:tcW w:w="1532" w:type="dxa"/>
          </w:tcPr>
          <w:p w14:paraId="6C86E1F6" w14:textId="77777777" w:rsidR="000E52B0" w:rsidRDefault="000E52B0">
            <w:pPr>
              <w:pStyle w:val="TableParagraph"/>
              <w:rPr>
                <w:sz w:val="16"/>
              </w:rPr>
            </w:pPr>
          </w:p>
          <w:p w14:paraId="0D978871" w14:textId="77777777" w:rsidR="000E52B0" w:rsidRDefault="000E52B0">
            <w:pPr>
              <w:pStyle w:val="TableParagraph"/>
              <w:spacing w:before="97"/>
              <w:rPr>
                <w:sz w:val="16"/>
              </w:rPr>
            </w:pPr>
          </w:p>
          <w:p w14:paraId="095A0416" w14:textId="77777777" w:rsidR="000E52B0" w:rsidRDefault="00F60D74">
            <w:pPr>
              <w:pStyle w:val="TableParagraph"/>
              <w:spacing w:before="1"/>
              <w:ind w:left="14"/>
              <w:jc w:val="center"/>
              <w:rPr>
                <w:b/>
                <w:sz w:val="16"/>
              </w:rPr>
            </w:pPr>
            <w:r>
              <w:rPr>
                <w:b/>
                <w:spacing w:val="-4"/>
                <w:sz w:val="16"/>
              </w:rPr>
              <w:t>2008</w:t>
            </w:r>
          </w:p>
        </w:tc>
        <w:tc>
          <w:tcPr>
            <w:tcW w:w="4633" w:type="dxa"/>
          </w:tcPr>
          <w:p w14:paraId="5D5B79D6" w14:textId="605ED6FB" w:rsidR="000E52B0" w:rsidRDefault="00F60D74">
            <w:pPr>
              <w:pStyle w:val="TableParagraph"/>
              <w:spacing w:before="194"/>
              <w:ind w:left="68" w:right="46"/>
              <w:jc w:val="both"/>
              <w:rPr>
                <w:sz w:val="16"/>
              </w:rPr>
            </w:pPr>
            <w:r>
              <w:rPr>
                <w:sz w:val="16"/>
              </w:rPr>
              <w:t xml:space="preserve">Tiene como </w:t>
            </w:r>
            <w:r w:rsidR="00711074">
              <w:rPr>
                <w:sz w:val="16"/>
              </w:rPr>
              <w:t>propósito</w:t>
            </w:r>
            <w:r>
              <w:rPr>
                <w:sz w:val="16"/>
              </w:rPr>
              <w:t xml:space="preserve"> de que todos los ciudadanos</w:t>
            </w:r>
            <w:r>
              <w:rPr>
                <w:spacing w:val="-10"/>
                <w:sz w:val="16"/>
              </w:rPr>
              <w:t xml:space="preserve"> </w:t>
            </w:r>
            <w:r>
              <w:rPr>
                <w:sz w:val="16"/>
              </w:rPr>
              <w:t>alcancen</w:t>
            </w:r>
            <w:r>
              <w:rPr>
                <w:spacing w:val="-11"/>
                <w:sz w:val="16"/>
              </w:rPr>
              <w:t xml:space="preserve"> </w:t>
            </w:r>
            <w:r>
              <w:rPr>
                <w:sz w:val="16"/>
              </w:rPr>
              <w:t>mayores</w:t>
            </w:r>
            <w:r>
              <w:rPr>
                <w:spacing w:val="-12"/>
                <w:sz w:val="16"/>
              </w:rPr>
              <w:t xml:space="preserve"> </w:t>
            </w:r>
            <w:r>
              <w:rPr>
                <w:sz w:val="16"/>
              </w:rPr>
              <w:t>niveles</w:t>
            </w:r>
            <w:r>
              <w:rPr>
                <w:spacing w:val="-10"/>
                <w:sz w:val="16"/>
              </w:rPr>
              <w:t xml:space="preserve"> </w:t>
            </w:r>
            <w:r>
              <w:rPr>
                <w:sz w:val="16"/>
              </w:rPr>
              <w:t>de</w:t>
            </w:r>
            <w:r>
              <w:rPr>
                <w:spacing w:val="-10"/>
                <w:sz w:val="16"/>
              </w:rPr>
              <w:t xml:space="preserve"> </w:t>
            </w:r>
            <w:r>
              <w:rPr>
                <w:sz w:val="16"/>
              </w:rPr>
              <w:t>calidad</w:t>
            </w:r>
            <w:r>
              <w:rPr>
                <w:spacing w:val="-12"/>
                <w:sz w:val="16"/>
              </w:rPr>
              <w:t xml:space="preserve"> </w:t>
            </w:r>
            <w:r>
              <w:rPr>
                <w:sz w:val="16"/>
              </w:rPr>
              <w:t>de</w:t>
            </w:r>
            <w:r>
              <w:rPr>
                <w:spacing w:val="-10"/>
                <w:sz w:val="16"/>
              </w:rPr>
              <w:t xml:space="preserve"> </w:t>
            </w:r>
            <w:r>
              <w:rPr>
                <w:sz w:val="16"/>
              </w:rPr>
              <w:t>vida y</w:t>
            </w:r>
            <w:r>
              <w:rPr>
                <w:spacing w:val="-2"/>
                <w:sz w:val="16"/>
              </w:rPr>
              <w:t xml:space="preserve"> </w:t>
            </w:r>
            <w:r>
              <w:rPr>
                <w:sz w:val="16"/>
              </w:rPr>
              <w:t>la</w:t>
            </w:r>
            <w:r>
              <w:rPr>
                <w:spacing w:val="-5"/>
                <w:sz w:val="16"/>
              </w:rPr>
              <w:t xml:space="preserve"> </w:t>
            </w:r>
            <w:r>
              <w:rPr>
                <w:sz w:val="16"/>
              </w:rPr>
              <w:t>capacidad</w:t>
            </w:r>
            <w:r>
              <w:rPr>
                <w:spacing w:val="-4"/>
                <w:sz w:val="16"/>
              </w:rPr>
              <w:t xml:space="preserve"> </w:t>
            </w:r>
            <w:r>
              <w:rPr>
                <w:sz w:val="16"/>
              </w:rPr>
              <w:t>de</w:t>
            </w:r>
            <w:r>
              <w:rPr>
                <w:spacing w:val="-7"/>
                <w:sz w:val="16"/>
              </w:rPr>
              <w:t xml:space="preserve"> </w:t>
            </w:r>
            <w:r>
              <w:rPr>
                <w:sz w:val="16"/>
              </w:rPr>
              <w:t>participar</w:t>
            </w:r>
            <w:r>
              <w:rPr>
                <w:spacing w:val="-6"/>
                <w:sz w:val="16"/>
              </w:rPr>
              <w:t xml:space="preserve"> </w:t>
            </w:r>
            <w:r>
              <w:rPr>
                <w:sz w:val="16"/>
              </w:rPr>
              <w:t>plena</w:t>
            </w:r>
            <w:r>
              <w:rPr>
                <w:spacing w:val="-5"/>
                <w:sz w:val="16"/>
              </w:rPr>
              <w:t xml:space="preserve"> </w:t>
            </w:r>
            <w:r>
              <w:rPr>
                <w:sz w:val="16"/>
              </w:rPr>
              <w:t>y</w:t>
            </w:r>
            <w:r>
              <w:rPr>
                <w:spacing w:val="-4"/>
                <w:sz w:val="16"/>
              </w:rPr>
              <w:t xml:space="preserve"> </w:t>
            </w:r>
            <w:r>
              <w:rPr>
                <w:sz w:val="16"/>
              </w:rPr>
              <w:t>efectivamente</w:t>
            </w:r>
            <w:r>
              <w:rPr>
                <w:spacing w:val="-5"/>
                <w:sz w:val="16"/>
              </w:rPr>
              <w:t xml:space="preserve"> </w:t>
            </w:r>
            <w:r>
              <w:rPr>
                <w:sz w:val="16"/>
              </w:rPr>
              <w:t>en</w:t>
            </w:r>
            <w:r>
              <w:rPr>
                <w:spacing w:val="-6"/>
                <w:sz w:val="16"/>
              </w:rPr>
              <w:t xml:space="preserve"> </w:t>
            </w:r>
            <w:r>
              <w:rPr>
                <w:sz w:val="16"/>
              </w:rPr>
              <w:t>el desarrollo general del país.</w:t>
            </w:r>
          </w:p>
        </w:tc>
      </w:tr>
      <w:tr w:rsidR="000E52B0" w14:paraId="68BB2878" w14:textId="77777777">
        <w:trPr>
          <w:trHeight w:val="1552"/>
        </w:trPr>
        <w:tc>
          <w:tcPr>
            <w:tcW w:w="1289" w:type="dxa"/>
          </w:tcPr>
          <w:p w14:paraId="42CAF6CD" w14:textId="77777777" w:rsidR="000E52B0" w:rsidRDefault="000E52B0">
            <w:pPr>
              <w:pStyle w:val="TableParagraph"/>
              <w:rPr>
                <w:sz w:val="16"/>
              </w:rPr>
            </w:pPr>
          </w:p>
          <w:p w14:paraId="7F6ADE2D" w14:textId="77777777" w:rsidR="000E52B0" w:rsidRDefault="000E52B0">
            <w:pPr>
              <w:pStyle w:val="TableParagraph"/>
              <w:rPr>
                <w:sz w:val="16"/>
              </w:rPr>
            </w:pPr>
          </w:p>
          <w:p w14:paraId="41DA5E08" w14:textId="77777777" w:rsidR="000E52B0" w:rsidRDefault="000E52B0">
            <w:pPr>
              <w:pStyle w:val="TableParagraph"/>
              <w:spacing w:before="95"/>
              <w:rPr>
                <w:sz w:val="16"/>
              </w:rPr>
            </w:pPr>
          </w:p>
          <w:p w14:paraId="71563225" w14:textId="77777777" w:rsidR="000E52B0" w:rsidRDefault="00F60D74">
            <w:pPr>
              <w:pStyle w:val="TableParagraph"/>
              <w:spacing w:before="1"/>
              <w:ind w:left="21" w:right="4"/>
              <w:jc w:val="center"/>
              <w:rPr>
                <w:b/>
                <w:sz w:val="16"/>
              </w:rPr>
            </w:pPr>
            <w:r>
              <w:rPr>
                <w:b/>
                <w:spacing w:val="-2"/>
                <w:sz w:val="16"/>
              </w:rPr>
              <w:t>Venezuela</w:t>
            </w:r>
          </w:p>
        </w:tc>
        <w:tc>
          <w:tcPr>
            <w:tcW w:w="1563" w:type="dxa"/>
          </w:tcPr>
          <w:p w14:paraId="12CE9C19" w14:textId="77777777" w:rsidR="000E52B0" w:rsidRDefault="000E52B0">
            <w:pPr>
              <w:pStyle w:val="TableParagraph"/>
              <w:spacing w:before="96"/>
              <w:rPr>
                <w:sz w:val="16"/>
              </w:rPr>
            </w:pPr>
          </w:p>
          <w:p w14:paraId="1B4718DE" w14:textId="77777777" w:rsidR="000E52B0" w:rsidRDefault="00F60D74">
            <w:pPr>
              <w:pStyle w:val="TableParagraph"/>
              <w:ind w:left="102" w:right="86" w:firstLine="5"/>
              <w:jc w:val="center"/>
              <w:rPr>
                <w:b/>
                <w:sz w:val="16"/>
              </w:rPr>
            </w:pPr>
            <w:r>
              <w:rPr>
                <w:b/>
                <w:sz w:val="16"/>
              </w:rPr>
              <w:t>Ministerio del Poder Popular para</w:t>
            </w:r>
            <w:r>
              <w:rPr>
                <w:b/>
                <w:spacing w:val="-12"/>
                <w:sz w:val="16"/>
              </w:rPr>
              <w:t xml:space="preserve"> </w:t>
            </w:r>
            <w:r>
              <w:rPr>
                <w:b/>
                <w:sz w:val="16"/>
              </w:rPr>
              <w:t>la</w:t>
            </w:r>
            <w:r>
              <w:rPr>
                <w:b/>
                <w:spacing w:val="-12"/>
                <w:sz w:val="16"/>
              </w:rPr>
              <w:t xml:space="preserve"> </w:t>
            </w:r>
            <w:r>
              <w:rPr>
                <w:b/>
                <w:sz w:val="16"/>
              </w:rPr>
              <w:t>Mujer</w:t>
            </w:r>
            <w:r>
              <w:rPr>
                <w:b/>
                <w:spacing w:val="-13"/>
                <w:sz w:val="16"/>
              </w:rPr>
              <w:t xml:space="preserve"> </w:t>
            </w:r>
            <w:r>
              <w:rPr>
                <w:b/>
                <w:sz w:val="16"/>
              </w:rPr>
              <w:t xml:space="preserve">y la Igualdad de </w:t>
            </w:r>
            <w:r>
              <w:rPr>
                <w:b/>
                <w:spacing w:val="-2"/>
                <w:sz w:val="16"/>
              </w:rPr>
              <w:t>Género</w:t>
            </w:r>
          </w:p>
        </w:tc>
        <w:tc>
          <w:tcPr>
            <w:tcW w:w="1532" w:type="dxa"/>
          </w:tcPr>
          <w:p w14:paraId="1191AF74" w14:textId="77777777" w:rsidR="000E52B0" w:rsidRDefault="000E52B0">
            <w:pPr>
              <w:pStyle w:val="TableParagraph"/>
              <w:rPr>
                <w:sz w:val="16"/>
              </w:rPr>
            </w:pPr>
          </w:p>
          <w:p w14:paraId="1D04AE77" w14:textId="77777777" w:rsidR="000E52B0" w:rsidRDefault="000E52B0">
            <w:pPr>
              <w:pStyle w:val="TableParagraph"/>
              <w:rPr>
                <w:sz w:val="16"/>
              </w:rPr>
            </w:pPr>
          </w:p>
          <w:p w14:paraId="57A5BCFB" w14:textId="77777777" w:rsidR="000E52B0" w:rsidRDefault="000E52B0">
            <w:pPr>
              <w:pStyle w:val="TableParagraph"/>
              <w:spacing w:before="95"/>
              <w:rPr>
                <w:sz w:val="16"/>
              </w:rPr>
            </w:pPr>
          </w:p>
          <w:p w14:paraId="0C4FDA67" w14:textId="77777777" w:rsidR="000E52B0" w:rsidRDefault="00F60D74">
            <w:pPr>
              <w:pStyle w:val="TableParagraph"/>
              <w:spacing w:before="1"/>
              <w:ind w:left="14"/>
              <w:jc w:val="center"/>
              <w:rPr>
                <w:b/>
                <w:sz w:val="16"/>
              </w:rPr>
            </w:pPr>
            <w:r>
              <w:rPr>
                <w:b/>
                <w:spacing w:val="-4"/>
                <w:sz w:val="16"/>
              </w:rPr>
              <w:t>2009</w:t>
            </w:r>
          </w:p>
        </w:tc>
        <w:tc>
          <w:tcPr>
            <w:tcW w:w="4633" w:type="dxa"/>
          </w:tcPr>
          <w:p w14:paraId="6E7A6680" w14:textId="77777777" w:rsidR="000E52B0" w:rsidRDefault="00F60D74">
            <w:pPr>
              <w:pStyle w:val="TableParagraph"/>
              <w:spacing w:before="96"/>
              <w:ind w:left="68" w:right="46"/>
              <w:jc w:val="both"/>
              <w:rPr>
                <w:sz w:val="16"/>
              </w:rPr>
            </w:pPr>
            <w:r>
              <w:rPr>
                <w:sz w:val="16"/>
              </w:rPr>
              <w:t>Busca</w:t>
            </w:r>
            <w:r>
              <w:rPr>
                <w:spacing w:val="-2"/>
                <w:sz w:val="16"/>
              </w:rPr>
              <w:t xml:space="preserve"> </w:t>
            </w:r>
            <w:r>
              <w:rPr>
                <w:sz w:val="16"/>
              </w:rPr>
              <w:t>ejercer</w:t>
            </w:r>
            <w:r>
              <w:rPr>
                <w:spacing w:val="-1"/>
                <w:sz w:val="16"/>
              </w:rPr>
              <w:t xml:space="preserve"> </w:t>
            </w:r>
            <w:r>
              <w:rPr>
                <w:sz w:val="16"/>
              </w:rPr>
              <w:t>la</w:t>
            </w:r>
            <w:r>
              <w:rPr>
                <w:spacing w:val="-4"/>
                <w:sz w:val="16"/>
              </w:rPr>
              <w:t xml:space="preserve"> </w:t>
            </w:r>
            <w:r>
              <w:rPr>
                <w:sz w:val="16"/>
              </w:rPr>
              <w:t>rectoría,</w:t>
            </w:r>
            <w:r>
              <w:rPr>
                <w:spacing w:val="-2"/>
                <w:sz w:val="16"/>
              </w:rPr>
              <w:t xml:space="preserve"> </w:t>
            </w:r>
            <w:r>
              <w:rPr>
                <w:sz w:val="16"/>
              </w:rPr>
              <w:t>diseñar,</w:t>
            </w:r>
            <w:r>
              <w:rPr>
                <w:spacing w:val="-2"/>
                <w:sz w:val="16"/>
              </w:rPr>
              <w:t xml:space="preserve"> </w:t>
            </w:r>
            <w:r>
              <w:rPr>
                <w:sz w:val="16"/>
              </w:rPr>
              <w:t>planificar</w:t>
            </w:r>
            <w:r>
              <w:rPr>
                <w:spacing w:val="-3"/>
                <w:sz w:val="16"/>
              </w:rPr>
              <w:t xml:space="preserve"> </w:t>
            </w:r>
            <w:r>
              <w:rPr>
                <w:sz w:val="16"/>
              </w:rPr>
              <w:t>y</w:t>
            </w:r>
            <w:r>
              <w:rPr>
                <w:spacing w:val="-1"/>
                <w:sz w:val="16"/>
              </w:rPr>
              <w:t xml:space="preserve"> </w:t>
            </w:r>
            <w:r>
              <w:rPr>
                <w:sz w:val="16"/>
              </w:rPr>
              <w:t>coordinar estrategias y políticas públicas para la Mujer y la igualdad de género; y contribuir a la erradicación de la pobreza a través de una adecuada educación, protección,</w:t>
            </w:r>
            <w:r>
              <w:rPr>
                <w:spacing w:val="-15"/>
                <w:sz w:val="16"/>
              </w:rPr>
              <w:t xml:space="preserve"> </w:t>
            </w:r>
            <w:r>
              <w:rPr>
                <w:sz w:val="16"/>
              </w:rPr>
              <w:t>promoción</w:t>
            </w:r>
            <w:r>
              <w:rPr>
                <w:spacing w:val="-14"/>
                <w:sz w:val="16"/>
              </w:rPr>
              <w:t xml:space="preserve"> </w:t>
            </w:r>
            <w:r>
              <w:rPr>
                <w:sz w:val="16"/>
              </w:rPr>
              <w:t>familiar,</w:t>
            </w:r>
            <w:r>
              <w:rPr>
                <w:spacing w:val="-14"/>
                <w:sz w:val="16"/>
              </w:rPr>
              <w:t xml:space="preserve"> </w:t>
            </w:r>
            <w:r>
              <w:rPr>
                <w:sz w:val="16"/>
              </w:rPr>
              <w:t>procesos</w:t>
            </w:r>
            <w:r>
              <w:rPr>
                <w:spacing w:val="-14"/>
                <w:sz w:val="16"/>
              </w:rPr>
              <w:t xml:space="preserve"> </w:t>
            </w:r>
            <w:r>
              <w:rPr>
                <w:sz w:val="16"/>
              </w:rPr>
              <w:t>de</w:t>
            </w:r>
            <w:r>
              <w:rPr>
                <w:spacing w:val="-14"/>
                <w:sz w:val="16"/>
              </w:rPr>
              <w:t xml:space="preserve"> </w:t>
            </w:r>
            <w:r>
              <w:rPr>
                <w:sz w:val="16"/>
              </w:rPr>
              <w:t>integración, generación de empleos y el desarrollo de capacidades económicas para la competitividad.</w:t>
            </w:r>
          </w:p>
        </w:tc>
      </w:tr>
      <w:tr w:rsidR="000E52B0" w14:paraId="7A391AFC" w14:textId="77777777">
        <w:trPr>
          <w:trHeight w:val="1556"/>
        </w:trPr>
        <w:tc>
          <w:tcPr>
            <w:tcW w:w="1289" w:type="dxa"/>
          </w:tcPr>
          <w:p w14:paraId="6F0C7A0E" w14:textId="77777777" w:rsidR="000E52B0" w:rsidRDefault="000E52B0">
            <w:pPr>
              <w:pStyle w:val="TableParagraph"/>
              <w:spacing w:before="193"/>
              <w:rPr>
                <w:sz w:val="16"/>
              </w:rPr>
            </w:pPr>
          </w:p>
          <w:p w14:paraId="4CB34B98" w14:textId="77777777" w:rsidR="000E52B0" w:rsidRDefault="00F60D74">
            <w:pPr>
              <w:pStyle w:val="TableParagraph"/>
              <w:spacing w:before="1"/>
              <w:ind w:left="83" w:right="61" w:hanging="5"/>
              <w:jc w:val="center"/>
              <w:rPr>
                <w:b/>
                <w:sz w:val="16"/>
              </w:rPr>
            </w:pPr>
            <w:r>
              <w:rPr>
                <w:b/>
                <w:spacing w:val="-2"/>
                <w:sz w:val="16"/>
              </w:rPr>
              <w:t xml:space="preserve">Bolivia (Estado </w:t>
            </w:r>
            <w:proofErr w:type="spellStart"/>
            <w:r>
              <w:rPr>
                <w:b/>
                <w:spacing w:val="-2"/>
                <w:sz w:val="16"/>
              </w:rPr>
              <w:t>Plurinaciona</w:t>
            </w:r>
            <w:proofErr w:type="spellEnd"/>
            <w:r>
              <w:rPr>
                <w:b/>
                <w:spacing w:val="-2"/>
                <w:sz w:val="16"/>
              </w:rPr>
              <w:t xml:space="preserve"> </w:t>
            </w:r>
            <w:r>
              <w:rPr>
                <w:b/>
                <w:sz w:val="16"/>
              </w:rPr>
              <w:t>l de)</w:t>
            </w:r>
          </w:p>
        </w:tc>
        <w:tc>
          <w:tcPr>
            <w:tcW w:w="1563" w:type="dxa"/>
          </w:tcPr>
          <w:p w14:paraId="1567DE43" w14:textId="77777777" w:rsidR="000E52B0" w:rsidRDefault="000E52B0">
            <w:pPr>
              <w:pStyle w:val="TableParagraph"/>
              <w:rPr>
                <w:sz w:val="16"/>
              </w:rPr>
            </w:pPr>
          </w:p>
          <w:p w14:paraId="4CC67439" w14:textId="77777777" w:rsidR="000E52B0" w:rsidRDefault="000E52B0">
            <w:pPr>
              <w:pStyle w:val="TableParagraph"/>
              <w:spacing w:before="97"/>
              <w:rPr>
                <w:sz w:val="16"/>
              </w:rPr>
            </w:pPr>
          </w:p>
          <w:p w14:paraId="74659E46" w14:textId="77777777" w:rsidR="000E52B0" w:rsidRDefault="00F60D74">
            <w:pPr>
              <w:pStyle w:val="TableParagraph"/>
              <w:spacing w:before="1"/>
              <w:ind w:left="150" w:right="130" w:firstLine="45"/>
              <w:jc w:val="both"/>
              <w:rPr>
                <w:b/>
                <w:sz w:val="16"/>
              </w:rPr>
            </w:pPr>
            <w:r>
              <w:rPr>
                <w:b/>
                <w:sz w:val="16"/>
              </w:rPr>
              <w:t xml:space="preserve">Ministerio de </w:t>
            </w:r>
            <w:r>
              <w:rPr>
                <w:b/>
                <w:spacing w:val="-2"/>
                <w:sz w:val="16"/>
              </w:rPr>
              <w:t xml:space="preserve">Planificación </w:t>
            </w:r>
            <w:r>
              <w:rPr>
                <w:b/>
                <w:sz w:val="16"/>
              </w:rPr>
              <w:t>del</w:t>
            </w:r>
            <w:r>
              <w:rPr>
                <w:b/>
                <w:spacing w:val="-14"/>
                <w:sz w:val="16"/>
              </w:rPr>
              <w:t xml:space="preserve"> </w:t>
            </w:r>
            <w:r>
              <w:rPr>
                <w:b/>
                <w:sz w:val="16"/>
              </w:rPr>
              <w:t>Desarrollo</w:t>
            </w:r>
          </w:p>
        </w:tc>
        <w:tc>
          <w:tcPr>
            <w:tcW w:w="1532" w:type="dxa"/>
          </w:tcPr>
          <w:p w14:paraId="7975CF06" w14:textId="77777777" w:rsidR="000E52B0" w:rsidRDefault="000E52B0">
            <w:pPr>
              <w:pStyle w:val="TableParagraph"/>
              <w:rPr>
                <w:sz w:val="16"/>
              </w:rPr>
            </w:pPr>
          </w:p>
          <w:p w14:paraId="37941317" w14:textId="77777777" w:rsidR="000E52B0" w:rsidRDefault="000E52B0">
            <w:pPr>
              <w:pStyle w:val="TableParagraph"/>
              <w:rPr>
                <w:sz w:val="16"/>
              </w:rPr>
            </w:pPr>
          </w:p>
          <w:p w14:paraId="46AD2136" w14:textId="77777777" w:rsidR="000E52B0" w:rsidRDefault="000E52B0">
            <w:pPr>
              <w:pStyle w:val="TableParagraph"/>
              <w:spacing w:before="97"/>
              <w:rPr>
                <w:sz w:val="16"/>
              </w:rPr>
            </w:pPr>
          </w:p>
          <w:p w14:paraId="7ADFF5DF" w14:textId="77777777" w:rsidR="000E52B0" w:rsidRDefault="00F60D74">
            <w:pPr>
              <w:pStyle w:val="TableParagraph"/>
              <w:ind w:left="14"/>
              <w:jc w:val="center"/>
              <w:rPr>
                <w:b/>
                <w:sz w:val="16"/>
              </w:rPr>
            </w:pPr>
            <w:r>
              <w:rPr>
                <w:b/>
                <w:spacing w:val="-4"/>
                <w:sz w:val="16"/>
              </w:rPr>
              <w:t>2009</w:t>
            </w:r>
          </w:p>
        </w:tc>
        <w:tc>
          <w:tcPr>
            <w:tcW w:w="4633" w:type="dxa"/>
          </w:tcPr>
          <w:p w14:paraId="7CE8635E" w14:textId="77777777" w:rsidR="000E52B0" w:rsidRDefault="00F60D74">
            <w:pPr>
              <w:pStyle w:val="TableParagraph"/>
              <w:spacing w:line="194" w:lineRule="exact"/>
              <w:ind w:left="68" w:right="45"/>
              <w:jc w:val="both"/>
              <w:rPr>
                <w:sz w:val="16"/>
              </w:rPr>
            </w:pPr>
            <w:r>
              <w:rPr>
                <w:sz w:val="16"/>
              </w:rPr>
              <w:t>Tiene como misión dirigir la Planificación Integral del Estado Plurinacional, hacia el logro de los objetivos del Desarrollo Integral para Vivir Bien en armonía con la Madre Tierra. Sus pilares son: la erradicación de la pobreza extrema; la socialización y universalización de los servicios básicos con soberanía para Vivir Bien; la salud, educación y deporte para la formación de un</w:t>
            </w:r>
            <w:r>
              <w:rPr>
                <w:spacing w:val="-1"/>
                <w:sz w:val="16"/>
              </w:rPr>
              <w:t xml:space="preserve"> </w:t>
            </w:r>
            <w:r>
              <w:rPr>
                <w:sz w:val="16"/>
              </w:rPr>
              <w:t>ser humano integral; entre otras.</w:t>
            </w:r>
          </w:p>
        </w:tc>
      </w:tr>
    </w:tbl>
    <w:p w14:paraId="7BCD2FE7" w14:textId="77777777" w:rsidR="000E52B0" w:rsidRDefault="000E52B0">
      <w:pPr>
        <w:pStyle w:val="TableParagraph"/>
        <w:spacing w:line="194" w:lineRule="exact"/>
        <w:jc w:val="both"/>
        <w:rPr>
          <w:sz w:val="16"/>
        </w:rPr>
        <w:sectPr w:rsidR="000E52B0">
          <w:type w:val="continuous"/>
          <w:pgSz w:w="11910" w:h="16840"/>
          <w:pgMar w:top="1400" w:right="720" w:bottom="1580" w:left="720" w:header="0" w:footer="995" w:gutter="0"/>
          <w:cols w:space="720"/>
        </w:sectPr>
      </w:pPr>
    </w:p>
    <w:tbl>
      <w:tblPr>
        <w:tblStyle w:val="TableNormal"/>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89"/>
        <w:gridCol w:w="1563"/>
        <w:gridCol w:w="1532"/>
        <w:gridCol w:w="4633"/>
      </w:tblGrid>
      <w:tr w:rsidR="000E52B0" w14:paraId="71147C9F" w14:textId="77777777">
        <w:trPr>
          <w:trHeight w:val="542"/>
        </w:trPr>
        <w:tc>
          <w:tcPr>
            <w:tcW w:w="1289" w:type="dxa"/>
            <w:shd w:val="clear" w:color="auto" w:fill="D44673"/>
          </w:tcPr>
          <w:p w14:paraId="09B3A296" w14:textId="77777777" w:rsidR="000E52B0" w:rsidRDefault="00F60D74">
            <w:pPr>
              <w:pStyle w:val="TableParagraph"/>
              <w:spacing w:before="175"/>
              <w:ind w:left="21" w:right="3"/>
              <w:jc w:val="center"/>
              <w:rPr>
                <w:b/>
                <w:sz w:val="16"/>
              </w:rPr>
            </w:pPr>
            <w:r>
              <w:rPr>
                <w:b/>
                <w:color w:val="FFFFFF"/>
                <w:spacing w:val="-4"/>
                <w:sz w:val="16"/>
              </w:rPr>
              <w:lastRenderedPageBreak/>
              <w:t>País</w:t>
            </w:r>
          </w:p>
        </w:tc>
        <w:tc>
          <w:tcPr>
            <w:tcW w:w="1563" w:type="dxa"/>
            <w:shd w:val="clear" w:color="auto" w:fill="D44673"/>
          </w:tcPr>
          <w:p w14:paraId="4B711D19" w14:textId="77777777" w:rsidR="000E52B0" w:rsidRDefault="00F60D74">
            <w:pPr>
              <w:pStyle w:val="TableParagraph"/>
              <w:spacing w:before="175"/>
              <w:ind w:left="438"/>
              <w:rPr>
                <w:b/>
                <w:sz w:val="16"/>
              </w:rPr>
            </w:pPr>
            <w:r>
              <w:rPr>
                <w:b/>
                <w:color w:val="FFFFFF"/>
                <w:spacing w:val="-2"/>
                <w:sz w:val="16"/>
              </w:rPr>
              <w:t>Entidad</w:t>
            </w:r>
          </w:p>
        </w:tc>
        <w:tc>
          <w:tcPr>
            <w:tcW w:w="1532" w:type="dxa"/>
            <w:shd w:val="clear" w:color="auto" w:fill="D44673"/>
          </w:tcPr>
          <w:p w14:paraId="4D76224C" w14:textId="77777777" w:rsidR="000E52B0" w:rsidRDefault="00F60D74">
            <w:pPr>
              <w:pStyle w:val="TableParagraph"/>
              <w:spacing w:before="76"/>
              <w:ind w:left="373" w:right="353" w:firstLine="79"/>
              <w:rPr>
                <w:b/>
                <w:sz w:val="16"/>
              </w:rPr>
            </w:pPr>
            <w:r>
              <w:rPr>
                <w:b/>
                <w:color w:val="FFFFFF"/>
                <w:sz w:val="16"/>
              </w:rPr>
              <w:t xml:space="preserve">Año de </w:t>
            </w:r>
            <w:r>
              <w:rPr>
                <w:b/>
                <w:color w:val="FFFFFF"/>
                <w:spacing w:val="-2"/>
                <w:sz w:val="16"/>
              </w:rPr>
              <w:t>Creación</w:t>
            </w:r>
          </w:p>
        </w:tc>
        <w:tc>
          <w:tcPr>
            <w:tcW w:w="4633" w:type="dxa"/>
            <w:shd w:val="clear" w:color="auto" w:fill="D44673"/>
          </w:tcPr>
          <w:p w14:paraId="480E8BC2" w14:textId="77777777" w:rsidR="000E52B0" w:rsidRDefault="00F60D74">
            <w:pPr>
              <w:pStyle w:val="TableParagraph"/>
              <w:spacing w:before="175"/>
              <w:ind w:left="1424"/>
              <w:rPr>
                <w:b/>
                <w:sz w:val="16"/>
              </w:rPr>
            </w:pPr>
            <w:r>
              <w:rPr>
                <w:b/>
                <w:color w:val="FFFFFF"/>
                <w:sz w:val="16"/>
              </w:rPr>
              <w:t>Misión</w:t>
            </w:r>
            <w:r>
              <w:rPr>
                <w:b/>
                <w:color w:val="FFFFFF"/>
                <w:spacing w:val="-6"/>
                <w:sz w:val="16"/>
              </w:rPr>
              <w:t xml:space="preserve"> </w:t>
            </w:r>
            <w:r>
              <w:rPr>
                <w:b/>
                <w:color w:val="FFFFFF"/>
                <w:spacing w:val="-2"/>
                <w:sz w:val="16"/>
              </w:rPr>
              <w:t>Institucional</w:t>
            </w:r>
          </w:p>
        </w:tc>
      </w:tr>
      <w:tr w:rsidR="000E52B0" w14:paraId="36AB6847" w14:textId="77777777">
        <w:trPr>
          <w:trHeight w:val="1201"/>
        </w:trPr>
        <w:tc>
          <w:tcPr>
            <w:tcW w:w="1289" w:type="dxa"/>
          </w:tcPr>
          <w:p w14:paraId="39FDD639" w14:textId="77777777" w:rsidR="000E52B0" w:rsidRDefault="000E52B0">
            <w:pPr>
              <w:pStyle w:val="TableParagraph"/>
              <w:rPr>
                <w:sz w:val="16"/>
              </w:rPr>
            </w:pPr>
          </w:p>
          <w:p w14:paraId="5A10294A" w14:textId="77777777" w:rsidR="000E52B0" w:rsidRDefault="000E52B0">
            <w:pPr>
              <w:pStyle w:val="TableParagraph"/>
              <w:spacing w:before="114"/>
              <w:rPr>
                <w:sz w:val="16"/>
              </w:rPr>
            </w:pPr>
          </w:p>
          <w:p w14:paraId="390CDAE5" w14:textId="77777777" w:rsidR="000E52B0" w:rsidRDefault="00F60D74">
            <w:pPr>
              <w:pStyle w:val="TableParagraph"/>
              <w:ind w:left="21"/>
              <w:jc w:val="center"/>
              <w:rPr>
                <w:b/>
                <w:sz w:val="16"/>
              </w:rPr>
            </w:pPr>
            <w:r>
              <w:rPr>
                <w:b/>
                <w:sz w:val="16"/>
              </w:rPr>
              <w:t>El</w:t>
            </w:r>
            <w:r>
              <w:rPr>
                <w:b/>
                <w:spacing w:val="-2"/>
                <w:sz w:val="16"/>
              </w:rPr>
              <w:t xml:space="preserve"> Salvador</w:t>
            </w:r>
          </w:p>
        </w:tc>
        <w:tc>
          <w:tcPr>
            <w:tcW w:w="1563" w:type="dxa"/>
          </w:tcPr>
          <w:p w14:paraId="3D3642F5" w14:textId="77777777" w:rsidR="000E52B0" w:rsidRDefault="000E52B0">
            <w:pPr>
              <w:pStyle w:val="TableParagraph"/>
              <w:spacing w:before="114"/>
              <w:rPr>
                <w:sz w:val="16"/>
              </w:rPr>
            </w:pPr>
          </w:p>
          <w:p w14:paraId="65B37A95" w14:textId="77777777" w:rsidR="000E52B0" w:rsidRDefault="00F60D74">
            <w:pPr>
              <w:pStyle w:val="TableParagraph"/>
              <w:ind w:left="131" w:right="112"/>
              <w:jc w:val="center"/>
              <w:rPr>
                <w:b/>
                <w:sz w:val="16"/>
              </w:rPr>
            </w:pPr>
            <w:r>
              <w:rPr>
                <w:b/>
                <w:sz w:val="16"/>
              </w:rPr>
              <w:t>Ministerio</w:t>
            </w:r>
            <w:r>
              <w:rPr>
                <w:b/>
                <w:spacing w:val="-14"/>
                <w:sz w:val="16"/>
              </w:rPr>
              <w:t xml:space="preserve"> </w:t>
            </w:r>
            <w:r>
              <w:rPr>
                <w:b/>
                <w:sz w:val="16"/>
              </w:rPr>
              <w:t xml:space="preserve">de </w:t>
            </w:r>
            <w:r>
              <w:rPr>
                <w:b/>
                <w:spacing w:val="-2"/>
                <w:sz w:val="16"/>
              </w:rPr>
              <w:t>Desarrollo Local</w:t>
            </w:r>
          </w:p>
        </w:tc>
        <w:tc>
          <w:tcPr>
            <w:tcW w:w="1532" w:type="dxa"/>
          </w:tcPr>
          <w:p w14:paraId="31728E35" w14:textId="77777777" w:rsidR="000E52B0" w:rsidRDefault="000E52B0">
            <w:pPr>
              <w:pStyle w:val="TableParagraph"/>
              <w:rPr>
                <w:sz w:val="16"/>
              </w:rPr>
            </w:pPr>
          </w:p>
          <w:p w14:paraId="12C64632" w14:textId="77777777" w:rsidR="000E52B0" w:rsidRDefault="000E52B0">
            <w:pPr>
              <w:pStyle w:val="TableParagraph"/>
              <w:spacing w:before="114"/>
              <w:rPr>
                <w:sz w:val="16"/>
              </w:rPr>
            </w:pPr>
          </w:p>
          <w:p w14:paraId="5B7FB5D1" w14:textId="77777777" w:rsidR="000E52B0" w:rsidRDefault="00F60D74">
            <w:pPr>
              <w:pStyle w:val="TableParagraph"/>
              <w:ind w:left="14"/>
              <w:jc w:val="center"/>
              <w:rPr>
                <w:b/>
                <w:sz w:val="16"/>
              </w:rPr>
            </w:pPr>
            <w:r>
              <w:rPr>
                <w:b/>
                <w:spacing w:val="-4"/>
                <w:sz w:val="16"/>
              </w:rPr>
              <w:t>2009</w:t>
            </w:r>
          </w:p>
        </w:tc>
        <w:tc>
          <w:tcPr>
            <w:tcW w:w="4633" w:type="dxa"/>
          </w:tcPr>
          <w:p w14:paraId="4D6F01F8" w14:textId="77777777" w:rsidR="000E52B0" w:rsidRDefault="00F60D74">
            <w:pPr>
              <w:pStyle w:val="TableParagraph"/>
              <w:spacing w:before="15" w:line="190" w:lineRule="atLeast"/>
              <w:ind w:left="68" w:right="44"/>
              <w:jc w:val="both"/>
              <w:rPr>
                <w:sz w:val="16"/>
              </w:rPr>
            </w:pPr>
            <w:r>
              <w:rPr>
                <w:sz w:val="16"/>
              </w:rPr>
              <w:t>Es una unidad de apoyo destinada al servicio de la Presidencia</w:t>
            </w:r>
            <w:r>
              <w:rPr>
                <w:spacing w:val="-1"/>
                <w:sz w:val="16"/>
              </w:rPr>
              <w:t xml:space="preserve"> </w:t>
            </w:r>
            <w:r>
              <w:rPr>
                <w:sz w:val="16"/>
              </w:rPr>
              <w:t>de la República, de modo que contribuya al cumplimiento</w:t>
            </w:r>
            <w:r>
              <w:rPr>
                <w:spacing w:val="-7"/>
                <w:sz w:val="16"/>
              </w:rPr>
              <w:t xml:space="preserve"> </w:t>
            </w:r>
            <w:r>
              <w:rPr>
                <w:sz w:val="16"/>
              </w:rPr>
              <w:t>de</w:t>
            </w:r>
            <w:r>
              <w:rPr>
                <w:spacing w:val="-8"/>
                <w:sz w:val="16"/>
              </w:rPr>
              <w:t xml:space="preserve"> </w:t>
            </w:r>
            <w:r>
              <w:rPr>
                <w:sz w:val="16"/>
              </w:rPr>
              <w:t>las</w:t>
            </w:r>
            <w:r>
              <w:rPr>
                <w:spacing w:val="-5"/>
                <w:sz w:val="16"/>
              </w:rPr>
              <w:t xml:space="preserve"> </w:t>
            </w:r>
            <w:r>
              <w:rPr>
                <w:sz w:val="16"/>
              </w:rPr>
              <w:t>atribuciones</w:t>
            </w:r>
            <w:r>
              <w:rPr>
                <w:spacing w:val="-8"/>
                <w:sz w:val="16"/>
              </w:rPr>
              <w:t xml:space="preserve"> </w:t>
            </w:r>
            <w:r>
              <w:rPr>
                <w:sz w:val="16"/>
              </w:rPr>
              <w:t>y</w:t>
            </w:r>
            <w:r>
              <w:rPr>
                <w:spacing w:val="-7"/>
                <w:sz w:val="16"/>
              </w:rPr>
              <w:t xml:space="preserve"> </w:t>
            </w:r>
            <w:r>
              <w:rPr>
                <w:sz w:val="16"/>
              </w:rPr>
              <w:t>funciones</w:t>
            </w:r>
            <w:r>
              <w:rPr>
                <w:spacing w:val="-10"/>
                <w:sz w:val="16"/>
              </w:rPr>
              <w:t xml:space="preserve"> </w:t>
            </w:r>
            <w:r>
              <w:rPr>
                <w:sz w:val="16"/>
              </w:rPr>
              <w:t>que</w:t>
            </w:r>
            <w:r>
              <w:rPr>
                <w:spacing w:val="-5"/>
                <w:sz w:val="16"/>
              </w:rPr>
              <w:t xml:space="preserve"> </w:t>
            </w:r>
            <w:r>
              <w:rPr>
                <w:sz w:val="16"/>
              </w:rPr>
              <w:t>a</w:t>
            </w:r>
            <w:r>
              <w:rPr>
                <w:spacing w:val="-9"/>
                <w:sz w:val="16"/>
              </w:rPr>
              <w:t xml:space="preserve"> </w:t>
            </w:r>
            <w:r>
              <w:rPr>
                <w:sz w:val="16"/>
              </w:rPr>
              <w:t xml:space="preserve">esta entidad le corresponden. Su objetivo esencial es velar por la viabilidad técnica de las principales acciones </w:t>
            </w:r>
            <w:r>
              <w:rPr>
                <w:spacing w:val="-2"/>
                <w:sz w:val="16"/>
              </w:rPr>
              <w:t>gubernamentales.</w:t>
            </w:r>
          </w:p>
        </w:tc>
      </w:tr>
      <w:tr w:rsidR="000E52B0" w14:paraId="24C27691" w14:textId="77777777">
        <w:trPr>
          <w:trHeight w:val="1765"/>
        </w:trPr>
        <w:tc>
          <w:tcPr>
            <w:tcW w:w="1289" w:type="dxa"/>
          </w:tcPr>
          <w:p w14:paraId="68CC35D2" w14:textId="77777777" w:rsidR="000E52B0" w:rsidRDefault="000E52B0">
            <w:pPr>
              <w:pStyle w:val="TableParagraph"/>
              <w:rPr>
                <w:sz w:val="16"/>
              </w:rPr>
            </w:pPr>
          </w:p>
          <w:p w14:paraId="7D39A4CF" w14:textId="77777777" w:rsidR="000E52B0" w:rsidRDefault="000E52B0">
            <w:pPr>
              <w:pStyle w:val="TableParagraph"/>
              <w:spacing w:before="105"/>
              <w:rPr>
                <w:sz w:val="16"/>
              </w:rPr>
            </w:pPr>
          </w:p>
          <w:p w14:paraId="27748C24" w14:textId="77777777" w:rsidR="000E52B0" w:rsidRDefault="00F60D74">
            <w:pPr>
              <w:pStyle w:val="TableParagraph"/>
              <w:ind w:left="136" w:right="116" w:hanging="1"/>
              <w:jc w:val="center"/>
              <w:rPr>
                <w:b/>
                <w:sz w:val="16"/>
              </w:rPr>
            </w:pPr>
            <w:r>
              <w:rPr>
                <w:b/>
                <w:spacing w:val="-2"/>
                <w:sz w:val="16"/>
              </w:rPr>
              <w:t xml:space="preserve">Venezuela (República Bolivariana </w:t>
            </w:r>
            <w:r>
              <w:rPr>
                <w:b/>
                <w:spacing w:val="-4"/>
                <w:sz w:val="16"/>
              </w:rPr>
              <w:t>de)</w:t>
            </w:r>
          </w:p>
        </w:tc>
        <w:tc>
          <w:tcPr>
            <w:tcW w:w="1563" w:type="dxa"/>
          </w:tcPr>
          <w:p w14:paraId="3D310D21" w14:textId="77777777" w:rsidR="000E52B0" w:rsidRDefault="000E52B0">
            <w:pPr>
              <w:pStyle w:val="TableParagraph"/>
              <w:spacing w:before="105"/>
              <w:rPr>
                <w:sz w:val="16"/>
              </w:rPr>
            </w:pPr>
          </w:p>
          <w:p w14:paraId="1DD192D7" w14:textId="77777777" w:rsidR="000E52B0" w:rsidRDefault="00F60D74">
            <w:pPr>
              <w:pStyle w:val="TableParagraph"/>
              <w:ind w:left="128" w:right="113" w:firstLine="5"/>
              <w:jc w:val="center"/>
              <w:rPr>
                <w:b/>
                <w:sz w:val="16"/>
              </w:rPr>
            </w:pPr>
            <w:r>
              <w:rPr>
                <w:b/>
                <w:sz w:val="16"/>
              </w:rPr>
              <w:t>Ministerio del Poder</w:t>
            </w:r>
            <w:r>
              <w:rPr>
                <w:b/>
                <w:spacing w:val="-12"/>
                <w:sz w:val="16"/>
              </w:rPr>
              <w:t xml:space="preserve"> </w:t>
            </w:r>
            <w:r>
              <w:rPr>
                <w:b/>
                <w:sz w:val="16"/>
              </w:rPr>
              <w:t>Popular para las Comunas</w:t>
            </w:r>
            <w:r>
              <w:rPr>
                <w:b/>
                <w:spacing w:val="-14"/>
                <w:sz w:val="16"/>
              </w:rPr>
              <w:t xml:space="preserve"> </w:t>
            </w:r>
            <w:r>
              <w:rPr>
                <w:b/>
                <w:sz w:val="16"/>
              </w:rPr>
              <w:t>y</w:t>
            </w:r>
            <w:r>
              <w:rPr>
                <w:b/>
                <w:spacing w:val="-14"/>
                <w:sz w:val="16"/>
              </w:rPr>
              <w:t xml:space="preserve"> </w:t>
            </w:r>
            <w:r>
              <w:rPr>
                <w:b/>
                <w:sz w:val="16"/>
              </w:rPr>
              <w:t xml:space="preserve">los </w:t>
            </w:r>
            <w:r>
              <w:rPr>
                <w:b/>
                <w:spacing w:val="-2"/>
                <w:sz w:val="16"/>
              </w:rPr>
              <w:t>Movimientos Sociales</w:t>
            </w:r>
          </w:p>
        </w:tc>
        <w:tc>
          <w:tcPr>
            <w:tcW w:w="1532" w:type="dxa"/>
          </w:tcPr>
          <w:p w14:paraId="0BFB1282" w14:textId="77777777" w:rsidR="000E52B0" w:rsidRDefault="000E52B0">
            <w:pPr>
              <w:pStyle w:val="TableParagraph"/>
              <w:rPr>
                <w:sz w:val="16"/>
              </w:rPr>
            </w:pPr>
          </w:p>
          <w:p w14:paraId="3A01B4E2" w14:textId="77777777" w:rsidR="000E52B0" w:rsidRDefault="000E52B0">
            <w:pPr>
              <w:pStyle w:val="TableParagraph"/>
              <w:rPr>
                <w:sz w:val="16"/>
              </w:rPr>
            </w:pPr>
          </w:p>
          <w:p w14:paraId="6E8509A8" w14:textId="77777777" w:rsidR="000E52B0" w:rsidRDefault="000E52B0">
            <w:pPr>
              <w:pStyle w:val="TableParagraph"/>
              <w:rPr>
                <w:sz w:val="16"/>
              </w:rPr>
            </w:pPr>
          </w:p>
          <w:p w14:paraId="00D05DC8" w14:textId="77777777" w:rsidR="000E52B0" w:rsidRDefault="000E52B0">
            <w:pPr>
              <w:pStyle w:val="TableParagraph"/>
              <w:spacing w:before="6"/>
              <w:rPr>
                <w:sz w:val="16"/>
              </w:rPr>
            </w:pPr>
          </w:p>
          <w:p w14:paraId="54AA7CEC" w14:textId="77777777" w:rsidR="000E52B0" w:rsidRDefault="00F60D74">
            <w:pPr>
              <w:pStyle w:val="TableParagraph"/>
              <w:ind w:left="14"/>
              <w:jc w:val="center"/>
              <w:rPr>
                <w:b/>
                <w:sz w:val="16"/>
              </w:rPr>
            </w:pPr>
            <w:r>
              <w:rPr>
                <w:b/>
                <w:spacing w:val="-4"/>
                <w:sz w:val="16"/>
              </w:rPr>
              <w:t>2009</w:t>
            </w:r>
          </w:p>
        </w:tc>
        <w:tc>
          <w:tcPr>
            <w:tcW w:w="4633" w:type="dxa"/>
          </w:tcPr>
          <w:p w14:paraId="2B875D94" w14:textId="77777777" w:rsidR="000E52B0" w:rsidRDefault="00F60D74">
            <w:pPr>
              <w:pStyle w:val="TableParagraph"/>
              <w:spacing w:before="6"/>
              <w:ind w:left="68" w:right="45"/>
              <w:jc w:val="both"/>
              <w:rPr>
                <w:sz w:val="16"/>
              </w:rPr>
            </w:pPr>
            <w:r>
              <w:rPr>
                <w:sz w:val="16"/>
              </w:rPr>
              <w:t>Tiene como mandato implementar políticas sociales en materia de promoción, asistencia y desarrollo social integral y participativo, a través de comités, planes, programas</w:t>
            </w:r>
            <w:r>
              <w:rPr>
                <w:spacing w:val="-10"/>
                <w:sz w:val="16"/>
              </w:rPr>
              <w:t xml:space="preserve"> </w:t>
            </w:r>
            <w:r>
              <w:rPr>
                <w:sz w:val="16"/>
              </w:rPr>
              <w:t>y</w:t>
            </w:r>
            <w:r>
              <w:rPr>
                <w:spacing w:val="-10"/>
                <w:sz w:val="16"/>
              </w:rPr>
              <w:t xml:space="preserve"> </w:t>
            </w:r>
            <w:r>
              <w:rPr>
                <w:sz w:val="16"/>
              </w:rPr>
              <w:t>proyectos</w:t>
            </w:r>
            <w:r>
              <w:rPr>
                <w:spacing w:val="-10"/>
                <w:sz w:val="16"/>
              </w:rPr>
              <w:t xml:space="preserve"> </w:t>
            </w:r>
            <w:r>
              <w:rPr>
                <w:sz w:val="16"/>
              </w:rPr>
              <w:t>del</w:t>
            </w:r>
            <w:r>
              <w:rPr>
                <w:spacing w:val="-11"/>
                <w:sz w:val="16"/>
              </w:rPr>
              <w:t xml:space="preserve"> </w:t>
            </w:r>
            <w:r>
              <w:rPr>
                <w:sz w:val="16"/>
              </w:rPr>
              <w:t>sistema</w:t>
            </w:r>
            <w:r>
              <w:rPr>
                <w:spacing w:val="-9"/>
                <w:sz w:val="16"/>
              </w:rPr>
              <w:t xml:space="preserve"> </w:t>
            </w:r>
            <w:r>
              <w:rPr>
                <w:sz w:val="16"/>
              </w:rPr>
              <w:t>de</w:t>
            </w:r>
            <w:r>
              <w:rPr>
                <w:spacing w:val="-10"/>
                <w:sz w:val="16"/>
              </w:rPr>
              <w:t xml:space="preserve"> </w:t>
            </w:r>
            <w:r>
              <w:rPr>
                <w:sz w:val="16"/>
              </w:rPr>
              <w:t>protección</w:t>
            </w:r>
            <w:r>
              <w:rPr>
                <w:spacing w:val="-11"/>
                <w:sz w:val="16"/>
              </w:rPr>
              <w:t xml:space="preserve"> </w:t>
            </w:r>
            <w:r>
              <w:rPr>
                <w:sz w:val="16"/>
              </w:rPr>
              <w:t>social, fundamentado en la integralidad no solo de la atención inmediata</w:t>
            </w:r>
            <w:r>
              <w:rPr>
                <w:spacing w:val="-9"/>
                <w:sz w:val="16"/>
              </w:rPr>
              <w:t xml:space="preserve"> </w:t>
            </w:r>
            <w:r>
              <w:rPr>
                <w:sz w:val="16"/>
              </w:rPr>
              <w:t>y</w:t>
            </w:r>
            <w:r>
              <w:rPr>
                <w:spacing w:val="-7"/>
                <w:sz w:val="16"/>
              </w:rPr>
              <w:t xml:space="preserve"> </w:t>
            </w:r>
            <w:r>
              <w:rPr>
                <w:sz w:val="16"/>
              </w:rPr>
              <w:t>directa</w:t>
            </w:r>
            <w:r>
              <w:rPr>
                <w:spacing w:val="-9"/>
                <w:sz w:val="16"/>
              </w:rPr>
              <w:t xml:space="preserve"> </w:t>
            </w:r>
            <w:r>
              <w:rPr>
                <w:sz w:val="16"/>
              </w:rPr>
              <w:t>al</w:t>
            </w:r>
            <w:r>
              <w:rPr>
                <w:spacing w:val="-9"/>
                <w:sz w:val="16"/>
              </w:rPr>
              <w:t xml:space="preserve"> </w:t>
            </w:r>
            <w:r>
              <w:rPr>
                <w:sz w:val="16"/>
              </w:rPr>
              <w:t>afectado</w:t>
            </w:r>
            <w:r>
              <w:rPr>
                <w:spacing w:val="-7"/>
                <w:sz w:val="16"/>
              </w:rPr>
              <w:t xml:space="preserve"> </w:t>
            </w:r>
            <w:r>
              <w:rPr>
                <w:sz w:val="16"/>
              </w:rPr>
              <w:t>o</w:t>
            </w:r>
            <w:r>
              <w:rPr>
                <w:spacing w:val="-10"/>
                <w:sz w:val="16"/>
              </w:rPr>
              <w:t xml:space="preserve"> </w:t>
            </w:r>
            <w:r>
              <w:rPr>
                <w:sz w:val="16"/>
              </w:rPr>
              <w:t>grupo</w:t>
            </w:r>
            <w:r>
              <w:rPr>
                <w:spacing w:val="-10"/>
                <w:sz w:val="16"/>
              </w:rPr>
              <w:t xml:space="preserve"> </w:t>
            </w:r>
            <w:r>
              <w:rPr>
                <w:sz w:val="16"/>
              </w:rPr>
              <w:t>social</w:t>
            </w:r>
            <w:r>
              <w:rPr>
                <w:spacing w:val="-9"/>
                <w:sz w:val="16"/>
              </w:rPr>
              <w:t xml:space="preserve"> </w:t>
            </w:r>
            <w:r>
              <w:rPr>
                <w:sz w:val="16"/>
              </w:rPr>
              <w:t>vulnerado en</w:t>
            </w:r>
            <w:r>
              <w:rPr>
                <w:spacing w:val="25"/>
                <w:sz w:val="16"/>
              </w:rPr>
              <w:t xml:space="preserve"> </w:t>
            </w:r>
            <w:r>
              <w:rPr>
                <w:sz w:val="16"/>
              </w:rPr>
              <w:t>situación</w:t>
            </w:r>
            <w:r>
              <w:rPr>
                <w:spacing w:val="26"/>
                <w:sz w:val="16"/>
              </w:rPr>
              <w:t xml:space="preserve"> </w:t>
            </w:r>
            <w:r>
              <w:rPr>
                <w:sz w:val="16"/>
              </w:rPr>
              <w:t>de</w:t>
            </w:r>
            <w:r>
              <w:rPr>
                <w:spacing w:val="26"/>
                <w:sz w:val="16"/>
              </w:rPr>
              <w:t xml:space="preserve"> </w:t>
            </w:r>
            <w:r>
              <w:rPr>
                <w:sz w:val="16"/>
              </w:rPr>
              <w:t>pobreza</w:t>
            </w:r>
            <w:r>
              <w:rPr>
                <w:spacing w:val="24"/>
                <w:sz w:val="16"/>
              </w:rPr>
              <w:t xml:space="preserve"> </w:t>
            </w:r>
            <w:r>
              <w:rPr>
                <w:sz w:val="16"/>
              </w:rPr>
              <w:t>extrema</w:t>
            </w:r>
            <w:r>
              <w:rPr>
                <w:spacing w:val="25"/>
                <w:sz w:val="16"/>
              </w:rPr>
              <w:t xml:space="preserve"> </w:t>
            </w:r>
            <w:r>
              <w:rPr>
                <w:sz w:val="16"/>
              </w:rPr>
              <w:t>o</w:t>
            </w:r>
            <w:r>
              <w:rPr>
                <w:spacing w:val="25"/>
                <w:sz w:val="16"/>
              </w:rPr>
              <w:t xml:space="preserve"> </w:t>
            </w:r>
            <w:r>
              <w:rPr>
                <w:sz w:val="16"/>
              </w:rPr>
              <w:t>máxima</w:t>
            </w:r>
            <w:r>
              <w:rPr>
                <w:spacing w:val="24"/>
                <w:sz w:val="16"/>
              </w:rPr>
              <w:t xml:space="preserve"> </w:t>
            </w:r>
            <w:r>
              <w:rPr>
                <w:spacing w:val="-2"/>
                <w:sz w:val="16"/>
              </w:rPr>
              <w:t>exclusión</w:t>
            </w:r>
          </w:p>
          <w:p w14:paraId="031DAEAB" w14:textId="77777777" w:rsidR="000E52B0" w:rsidRDefault="00F60D74">
            <w:pPr>
              <w:pStyle w:val="TableParagraph"/>
              <w:spacing w:line="190" w:lineRule="atLeast"/>
              <w:ind w:left="68" w:right="48"/>
              <w:jc w:val="both"/>
              <w:rPr>
                <w:sz w:val="16"/>
              </w:rPr>
            </w:pPr>
            <w:r>
              <w:rPr>
                <w:sz w:val="16"/>
              </w:rPr>
              <w:t>social, sino también al contexto social que rodea a la población afectada o vulnerable en posible riesgo.</w:t>
            </w:r>
          </w:p>
        </w:tc>
      </w:tr>
      <w:tr w:rsidR="000E52B0" w14:paraId="43252B39" w14:textId="77777777">
        <w:trPr>
          <w:trHeight w:val="1139"/>
        </w:trPr>
        <w:tc>
          <w:tcPr>
            <w:tcW w:w="1289" w:type="dxa"/>
          </w:tcPr>
          <w:p w14:paraId="534B651B" w14:textId="77777777" w:rsidR="000E52B0" w:rsidRDefault="000E52B0">
            <w:pPr>
              <w:pStyle w:val="TableParagraph"/>
              <w:spacing w:before="182"/>
              <w:rPr>
                <w:sz w:val="16"/>
              </w:rPr>
            </w:pPr>
          </w:p>
          <w:p w14:paraId="0E7291C8" w14:textId="77777777" w:rsidR="000E52B0" w:rsidRDefault="00F60D74">
            <w:pPr>
              <w:pStyle w:val="TableParagraph"/>
              <w:ind w:left="114" w:firstLine="88"/>
              <w:rPr>
                <w:b/>
                <w:sz w:val="16"/>
              </w:rPr>
            </w:pPr>
            <w:r>
              <w:rPr>
                <w:b/>
                <w:spacing w:val="-2"/>
                <w:sz w:val="16"/>
              </w:rPr>
              <w:t>República Dominicana</w:t>
            </w:r>
          </w:p>
        </w:tc>
        <w:tc>
          <w:tcPr>
            <w:tcW w:w="1563" w:type="dxa"/>
          </w:tcPr>
          <w:p w14:paraId="5C4F5862" w14:textId="77777777" w:rsidR="000E52B0" w:rsidRDefault="000E52B0">
            <w:pPr>
              <w:pStyle w:val="TableParagraph"/>
              <w:spacing w:before="182"/>
              <w:rPr>
                <w:sz w:val="16"/>
              </w:rPr>
            </w:pPr>
          </w:p>
          <w:p w14:paraId="6AFE8050" w14:textId="77777777" w:rsidR="000E52B0" w:rsidRDefault="00F60D74">
            <w:pPr>
              <w:pStyle w:val="TableParagraph"/>
              <w:ind w:left="522" w:hanging="435"/>
              <w:rPr>
                <w:b/>
                <w:sz w:val="16"/>
              </w:rPr>
            </w:pPr>
            <w:r>
              <w:rPr>
                <w:b/>
                <w:sz w:val="16"/>
              </w:rPr>
              <w:t>Ministerio</w:t>
            </w:r>
            <w:r>
              <w:rPr>
                <w:b/>
                <w:spacing w:val="-14"/>
                <w:sz w:val="16"/>
              </w:rPr>
              <w:t xml:space="preserve"> </w:t>
            </w:r>
            <w:r>
              <w:rPr>
                <w:b/>
                <w:sz w:val="16"/>
              </w:rPr>
              <w:t>de</w:t>
            </w:r>
            <w:r>
              <w:rPr>
                <w:b/>
                <w:spacing w:val="-14"/>
                <w:sz w:val="16"/>
              </w:rPr>
              <w:t xml:space="preserve"> </w:t>
            </w:r>
            <w:r>
              <w:rPr>
                <w:b/>
                <w:sz w:val="16"/>
              </w:rPr>
              <w:t xml:space="preserve">la </w:t>
            </w:r>
            <w:r>
              <w:rPr>
                <w:b/>
                <w:spacing w:val="-2"/>
                <w:sz w:val="16"/>
              </w:rPr>
              <w:t>Mujer</w:t>
            </w:r>
          </w:p>
        </w:tc>
        <w:tc>
          <w:tcPr>
            <w:tcW w:w="1532" w:type="dxa"/>
          </w:tcPr>
          <w:p w14:paraId="408D7FAA" w14:textId="77777777" w:rsidR="000E52B0" w:rsidRDefault="000E52B0">
            <w:pPr>
              <w:pStyle w:val="TableParagraph"/>
              <w:rPr>
                <w:sz w:val="16"/>
              </w:rPr>
            </w:pPr>
          </w:p>
          <w:p w14:paraId="0F676751" w14:textId="77777777" w:rsidR="000E52B0" w:rsidRDefault="000E52B0">
            <w:pPr>
              <w:pStyle w:val="TableParagraph"/>
              <w:spacing w:before="84"/>
              <w:rPr>
                <w:sz w:val="16"/>
              </w:rPr>
            </w:pPr>
          </w:p>
          <w:p w14:paraId="0CF337A4" w14:textId="77777777" w:rsidR="000E52B0" w:rsidRDefault="00F60D74">
            <w:pPr>
              <w:pStyle w:val="TableParagraph"/>
              <w:ind w:left="14"/>
              <w:jc w:val="center"/>
              <w:rPr>
                <w:b/>
                <w:sz w:val="16"/>
              </w:rPr>
            </w:pPr>
            <w:r>
              <w:rPr>
                <w:b/>
                <w:spacing w:val="-4"/>
                <w:sz w:val="16"/>
              </w:rPr>
              <w:t>2010</w:t>
            </w:r>
          </w:p>
        </w:tc>
        <w:tc>
          <w:tcPr>
            <w:tcW w:w="4633" w:type="dxa"/>
          </w:tcPr>
          <w:p w14:paraId="69AA3E4E" w14:textId="77777777" w:rsidR="000E52B0" w:rsidRDefault="00F60D74">
            <w:pPr>
              <w:pStyle w:val="TableParagraph"/>
              <w:spacing w:before="182"/>
              <w:ind w:left="68" w:right="48"/>
              <w:jc w:val="both"/>
              <w:rPr>
                <w:sz w:val="16"/>
              </w:rPr>
            </w:pPr>
            <w:r>
              <w:rPr>
                <w:sz w:val="16"/>
              </w:rPr>
              <w:t>Tiene como misión definir y liderar la ejecución de políticas públicas, planes y programas que contribuyan a</w:t>
            </w:r>
            <w:r>
              <w:rPr>
                <w:spacing w:val="-3"/>
                <w:sz w:val="16"/>
              </w:rPr>
              <w:t xml:space="preserve"> </w:t>
            </w:r>
            <w:r>
              <w:rPr>
                <w:sz w:val="16"/>
              </w:rPr>
              <w:t>la</w:t>
            </w:r>
            <w:r>
              <w:rPr>
                <w:spacing w:val="-3"/>
                <w:sz w:val="16"/>
              </w:rPr>
              <w:t xml:space="preserve"> </w:t>
            </w:r>
            <w:r>
              <w:rPr>
                <w:sz w:val="16"/>
              </w:rPr>
              <w:t>igualdad</w:t>
            </w:r>
            <w:r>
              <w:rPr>
                <w:spacing w:val="-4"/>
                <w:sz w:val="16"/>
              </w:rPr>
              <w:t xml:space="preserve"> </w:t>
            </w:r>
            <w:r>
              <w:rPr>
                <w:sz w:val="16"/>
              </w:rPr>
              <w:t>y</w:t>
            </w:r>
            <w:r>
              <w:rPr>
                <w:spacing w:val="-4"/>
                <w:sz w:val="16"/>
              </w:rPr>
              <w:t xml:space="preserve"> </w:t>
            </w:r>
            <w:r>
              <w:rPr>
                <w:sz w:val="16"/>
              </w:rPr>
              <w:t>la</w:t>
            </w:r>
            <w:r>
              <w:rPr>
                <w:spacing w:val="-5"/>
                <w:sz w:val="16"/>
              </w:rPr>
              <w:t xml:space="preserve"> </w:t>
            </w:r>
            <w:r>
              <w:rPr>
                <w:sz w:val="16"/>
              </w:rPr>
              <w:t>equidad</w:t>
            </w:r>
            <w:r>
              <w:rPr>
                <w:spacing w:val="-6"/>
                <w:sz w:val="16"/>
              </w:rPr>
              <w:t xml:space="preserve"> </w:t>
            </w:r>
            <w:r>
              <w:rPr>
                <w:sz w:val="16"/>
              </w:rPr>
              <w:t>de</w:t>
            </w:r>
            <w:r>
              <w:rPr>
                <w:spacing w:val="-4"/>
                <w:sz w:val="16"/>
              </w:rPr>
              <w:t xml:space="preserve"> </w:t>
            </w:r>
            <w:r>
              <w:rPr>
                <w:sz w:val="16"/>
              </w:rPr>
              <w:t>género</w:t>
            </w:r>
            <w:r>
              <w:rPr>
                <w:spacing w:val="-4"/>
                <w:sz w:val="16"/>
              </w:rPr>
              <w:t xml:space="preserve"> </w:t>
            </w:r>
            <w:r>
              <w:rPr>
                <w:sz w:val="16"/>
              </w:rPr>
              <w:t>y</w:t>
            </w:r>
            <w:r>
              <w:rPr>
                <w:spacing w:val="-4"/>
                <w:sz w:val="16"/>
              </w:rPr>
              <w:t xml:space="preserve"> </w:t>
            </w:r>
            <w:r>
              <w:rPr>
                <w:sz w:val="16"/>
              </w:rPr>
              <w:t>al</w:t>
            </w:r>
            <w:r>
              <w:rPr>
                <w:spacing w:val="-3"/>
                <w:sz w:val="16"/>
              </w:rPr>
              <w:t xml:space="preserve"> </w:t>
            </w:r>
            <w:r>
              <w:rPr>
                <w:sz w:val="16"/>
              </w:rPr>
              <w:t>pleno</w:t>
            </w:r>
            <w:r>
              <w:rPr>
                <w:spacing w:val="-4"/>
                <w:sz w:val="16"/>
              </w:rPr>
              <w:t xml:space="preserve"> </w:t>
            </w:r>
            <w:r>
              <w:rPr>
                <w:sz w:val="16"/>
              </w:rPr>
              <w:t>ejercicio de la ciudadanía de las mujeres.</w:t>
            </w:r>
          </w:p>
        </w:tc>
      </w:tr>
      <w:tr w:rsidR="000E52B0" w14:paraId="20BF01E5" w14:textId="77777777">
        <w:trPr>
          <w:trHeight w:val="1556"/>
        </w:trPr>
        <w:tc>
          <w:tcPr>
            <w:tcW w:w="1289" w:type="dxa"/>
          </w:tcPr>
          <w:p w14:paraId="03F81156" w14:textId="77777777" w:rsidR="000E52B0" w:rsidRDefault="000E52B0">
            <w:pPr>
              <w:pStyle w:val="TableParagraph"/>
              <w:rPr>
                <w:sz w:val="16"/>
              </w:rPr>
            </w:pPr>
          </w:p>
          <w:p w14:paraId="5EBDCBBC" w14:textId="77777777" w:rsidR="000E52B0" w:rsidRDefault="000E52B0">
            <w:pPr>
              <w:pStyle w:val="TableParagraph"/>
              <w:rPr>
                <w:sz w:val="16"/>
              </w:rPr>
            </w:pPr>
          </w:p>
          <w:p w14:paraId="323DCDAE" w14:textId="77777777" w:rsidR="000E52B0" w:rsidRDefault="000E52B0">
            <w:pPr>
              <w:pStyle w:val="TableParagraph"/>
              <w:spacing w:before="97"/>
              <w:rPr>
                <w:sz w:val="16"/>
              </w:rPr>
            </w:pPr>
          </w:p>
          <w:p w14:paraId="080852A6" w14:textId="77777777" w:rsidR="000E52B0" w:rsidRDefault="00F60D74">
            <w:pPr>
              <w:pStyle w:val="TableParagraph"/>
              <w:ind w:left="21" w:right="4"/>
              <w:jc w:val="center"/>
              <w:rPr>
                <w:b/>
                <w:sz w:val="16"/>
              </w:rPr>
            </w:pPr>
            <w:r>
              <w:rPr>
                <w:b/>
                <w:sz w:val="16"/>
              </w:rPr>
              <w:t>Costa</w:t>
            </w:r>
            <w:r>
              <w:rPr>
                <w:b/>
                <w:spacing w:val="-4"/>
                <w:sz w:val="16"/>
              </w:rPr>
              <w:t xml:space="preserve"> Rica</w:t>
            </w:r>
          </w:p>
        </w:tc>
        <w:tc>
          <w:tcPr>
            <w:tcW w:w="1563" w:type="dxa"/>
          </w:tcPr>
          <w:p w14:paraId="425753E4" w14:textId="77777777" w:rsidR="000E52B0" w:rsidRDefault="00F60D74">
            <w:pPr>
              <w:pStyle w:val="TableParagraph"/>
              <w:spacing w:line="190" w:lineRule="atLeast"/>
              <w:ind w:left="116" w:right="96" w:hanging="3"/>
              <w:jc w:val="center"/>
              <w:rPr>
                <w:b/>
                <w:sz w:val="16"/>
              </w:rPr>
            </w:pPr>
            <w:r>
              <w:rPr>
                <w:b/>
                <w:sz w:val="16"/>
              </w:rPr>
              <w:t xml:space="preserve">Ministerio de </w:t>
            </w:r>
            <w:r>
              <w:rPr>
                <w:b/>
                <w:spacing w:val="-2"/>
                <w:sz w:val="16"/>
              </w:rPr>
              <w:t xml:space="preserve">Desarrollo </w:t>
            </w:r>
            <w:r>
              <w:rPr>
                <w:b/>
                <w:sz w:val="16"/>
              </w:rPr>
              <w:t xml:space="preserve">Humano e </w:t>
            </w:r>
            <w:r>
              <w:rPr>
                <w:b/>
                <w:spacing w:val="-2"/>
                <w:sz w:val="16"/>
              </w:rPr>
              <w:t>Inclusión Social/</w:t>
            </w:r>
            <w:proofErr w:type="spellStart"/>
            <w:r>
              <w:rPr>
                <w:b/>
                <w:spacing w:val="-2"/>
                <w:sz w:val="16"/>
              </w:rPr>
              <w:t>Institut</w:t>
            </w:r>
            <w:proofErr w:type="spellEnd"/>
            <w:r>
              <w:rPr>
                <w:b/>
                <w:spacing w:val="-2"/>
                <w:sz w:val="16"/>
              </w:rPr>
              <w:t xml:space="preserve"> </w:t>
            </w:r>
            <w:r>
              <w:rPr>
                <w:b/>
                <w:sz w:val="16"/>
              </w:rPr>
              <w:t xml:space="preserve">o Mixto de Ayuda Social </w:t>
            </w:r>
            <w:r>
              <w:rPr>
                <w:b/>
                <w:spacing w:val="-2"/>
                <w:sz w:val="16"/>
              </w:rPr>
              <w:t>(IMAS)</w:t>
            </w:r>
          </w:p>
        </w:tc>
        <w:tc>
          <w:tcPr>
            <w:tcW w:w="1532" w:type="dxa"/>
          </w:tcPr>
          <w:p w14:paraId="2B3A2467" w14:textId="77777777" w:rsidR="000E52B0" w:rsidRDefault="000E52B0">
            <w:pPr>
              <w:pStyle w:val="TableParagraph"/>
              <w:rPr>
                <w:sz w:val="16"/>
              </w:rPr>
            </w:pPr>
          </w:p>
          <w:p w14:paraId="70933D56" w14:textId="77777777" w:rsidR="000E52B0" w:rsidRDefault="000E52B0">
            <w:pPr>
              <w:pStyle w:val="TableParagraph"/>
              <w:rPr>
                <w:sz w:val="16"/>
              </w:rPr>
            </w:pPr>
          </w:p>
          <w:p w14:paraId="5BA4F5BD" w14:textId="77777777" w:rsidR="000E52B0" w:rsidRDefault="000E52B0">
            <w:pPr>
              <w:pStyle w:val="TableParagraph"/>
              <w:spacing w:before="97"/>
              <w:rPr>
                <w:sz w:val="16"/>
              </w:rPr>
            </w:pPr>
          </w:p>
          <w:p w14:paraId="62744A45" w14:textId="77777777" w:rsidR="000E52B0" w:rsidRDefault="00F60D74">
            <w:pPr>
              <w:pStyle w:val="TableParagraph"/>
              <w:ind w:left="14"/>
              <w:jc w:val="center"/>
              <w:rPr>
                <w:b/>
                <w:sz w:val="16"/>
              </w:rPr>
            </w:pPr>
            <w:r>
              <w:rPr>
                <w:b/>
                <w:spacing w:val="-4"/>
                <w:sz w:val="16"/>
              </w:rPr>
              <w:t>2010</w:t>
            </w:r>
          </w:p>
        </w:tc>
        <w:tc>
          <w:tcPr>
            <w:tcW w:w="4633" w:type="dxa"/>
          </w:tcPr>
          <w:p w14:paraId="22522783" w14:textId="77777777" w:rsidR="000E52B0" w:rsidRDefault="000E52B0">
            <w:pPr>
              <w:pStyle w:val="TableParagraph"/>
              <w:rPr>
                <w:sz w:val="16"/>
              </w:rPr>
            </w:pPr>
          </w:p>
          <w:p w14:paraId="44C29C63" w14:textId="77777777" w:rsidR="000E52B0" w:rsidRDefault="000E52B0">
            <w:pPr>
              <w:pStyle w:val="TableParagraph"/>
              <w:spacing w:before="1"/>
              <w:rPr>
                <w:sz w:val="16"/>
              </w:rPr>
            </w:pPr>
          </w:p>
          <w:p w14:paraId="78F66CF6" w14:textId="77777777" w:rsidR="000E52B0" w:rsidRDefault="00F60D74">
            <w:pPr>
              <w:pStyle w:val="TableParagraph"/>
              <w:spacing w:before="1"/>
              <w:ind w:left="68" w:right="47"/>
              <w:jc w:val="both"/>
              <w:rPr>
                <w:sz w:val="16"/>
              </w:rPr>
            </w:pPr>
            <w:r>
              <w:rPr>
                <w:sz w:val="16"/>
              </w:rPr>
              <w:t>Tiene por misión promover condiciones de vida</w:t>
            </w:r>
            <w:r>
              <w:rPr>
                <w:spacing w:val="-1"/>
                <w:sz w:val="16"/>
              </w:rPr>
              <w:t xml:space="preserve"> </w:t>
            </w:r>
            <w:r>
              <w:rPr>
                <w:sz w:val="16"/>
              </w:rPr>
              <w:t>digna y el</w:t>
            </w:r>
            <w:r>
              <w:rPr>
                <w:spacing w:val="-1"/>
                <w:sz w:val="16"/>
              </w:rPr>
              <w:t xml:space="preserve"> </w:t>
            </w:r>
            <w:r>
              <w:rPr>
                <w:sz w:val="16"/>
              </w:rPr>
              <w:t>desarrollo</w:t>
            </w:r>
            <w:r>
              <w:rPr>
                <w:spacing w:val="-2"/>
                <w:sz w:val="16"/>
              </w:rPr>
              <w:t xml:space="preserve"> </w:t>
            </w:r>
            <w:r>
              <w:rPr>
                <w:sz w:val="16"/>
              </w:rPr>
              <w:t>social</w:t>
            </w:r>
            <w:r>
              <w:rPr>
                <w:spacing w:val="-1"/>
                <w:sz w:val="16"/>
              </w:rPr>
              <w:t xml:space="preserve"> </w:t>
            </w:r>
            <w:r>
              <w:rPr>
                <w:sz w:val="16"/>
              </w:rPr>
              <w:t>de</w:t>
            </w:r>
            <w:r>
              <w:rPr>
                <w:spacing w:val="-2"/>
                <w:sz w:val="16"/>
              </w:rPr>
              <w:t xml:space="preserve"> </w:t>
            </w:r>
            <w:r>
              <w:rPr>
                <w:sz w:val="16"/>
              </w:rPr>
              <w:t>las</w:t>
            </w:r>
            <w:r>
              <w:rPr>
                <w:spacing w:val="-2"/>
                <w:sz w:val="16"/>
              </w:rPr>
              <w:t xml:space="preserve"> </w:t>
            </w:r>
            <w:r>
              <w:rPr>
                <w:sz w:val="16"/>
              </w:rPr>
              <w:t>personas,</w:t>
            </w:r>
            <w:r>
              <w:rPr>
                <w:spacing w:val="-1"/>
                <w:sz w:val="16"/>
              </w:rPr>
              <w:t xml:space="preserve"> </w:t>
            </w:r>
            <w:r>
              <w:rPr>
                <w:sz w:val="16"/>
              </w:rPr>
              <w:t>de las</w:t>
            </w:r>
            <w:r>
              <w:rPr>
                <w:spacing w:val="-2"/>
                <w:sz w:val="16"/>
              </w:rPr>
              <w:t xml:space="preserve"> </w:t>
            </w:r>
            <w:r>
              <w:rPr>
                <w:sz w:val="16"/>
              </w:rPr>
              <w:t>familias</w:t>
            </w:r>
            <w:r>
              <w:rPr>
                <w:spacing w:val="-2"/>
                <w:sz w:val="16"/>
              </w:rPr>
              <w:t xml:space="preserve"> </w:t>
            </w:r>
            <w:r>
              <w:rPr>
                <w:sz w:val="16"/>
              </w:rPr>
              <w:t>y</w:t>
            </w:r>
            <w:r>
              <w:rPr>
                <w:spacing w:val="-2"/>
                <w:sz w:val="16"/>
              </w:rPr>
              <w:t xml:space="preserve"> </w:t>
            </w:r>
            <w:r>
              <w:rPr>
                <w:sz w:val="16"/>
              </w:rPr>
              <w:t>de las comunidades en situación de pobreza o riesgo y vulnerabilidad social, con énfasis en pobreza extrema.</w:t>
            </w:r>
          </w:p>
        </w:tc>
      </w:tr>
      <w:tr w:rsidR="000E52B0" w14:paraId="78890C68" w14:textId="77777777">
        <w:trPr>
          <w:trHeight w:val="1166"/>
        </w:trPr>
        <w:tc>
          <w:tcPr>
            <w:tcW w:w="1289" w:type="dxa"/>
          </w:tcPr>
          <w:p w14:paraId="5AB870A7" w14:textId="77777777" w:rsidR="000E52B0" w:rsidRDefault="000E52B0">
            <w:pPr>
              <w:pStyle w:val="TableParagraph"/>
              <w:rPr>
                <w:sz w:val="16"/>
              </w:rPr>
            </w:pPr>
          </w:p>
          <w:p w14:paraId="70C694ED" w14:textId="77777777" w:rsidR="000E52B0" w:rsidRDefault="000E52B0">
            <w:pPr>
              <w:pStyle w:val="TableParagraph"/>
              <w:spacing w:before="97"/>
              <w:rPr>
                <w:sz w:val="16"/>
              </w:rPr>
            </w:pPr>
          </w:p>
          <w:p w14:paraId="0D4C3546" w14:textId="77777777" w:rsidR="000E52B0" w:rsidRDefault="00F60D74">
            <w:pPr>
              <w:pStyle w:val="TableParagraph"/>
              <w:spacing w:before="1"/>
              <w:ind w:left="21" w:right="3"/>
              <w:jc w:val="center"/>
              <w:rPr>
                <w:b/>
                <w:sz w:val="16"/>
              </w:rPr>
            </w:pPr>
            <w:r>
              <w:rPr>
                <w:b/>
                <w:spacing w:val="-2"/>
                <w:sz w:val="16"/>
              </w:rPr>
              <w:t>Honduras</w:t>
            </w:r>
          </w:p>
        </w:tc>
        <w:tc>
          <w:tcPr>
            <w:tcW w:w="1563" w:type="dxa"/>
          </w:tcPr>
          <w:p w14:paraId="3FA46492" w14:textId="77777777" w:rsidR="000E52B0" w:rsidRDefault="00F60D74">
            <w:pPr>
              <w:pStyle w:val="TableParagraph"/>
              <w:spacing w:before="194"/>
              <w:ind w:left="130" w:right="114"/>
              <w:jc w:val="center"/>
              <w:rPr>
                <w:b/>
                <w:sz w:val="16"/>
              </w:rPr>
            </w:pPr>
            <w:r>
              <w:rPr>
                <w:b/>
                <w:sz w:val="16"/>
              </w:rPr>
              <w:t>Secretaría</w:t>
            </w:r>
            <w:r>
              <w:rPr>
                <w:b/>
                <w:spacing w:val="-14"/>
                <w:sz w:val="16"/>
              </w:rPr>
              <w:t xml:space="preserve"> </w:t>
            </w:r>
            <w:r>
              <w:rPr>
                <w:b/>
                <w:sz w:val="16"/>
              </w:rPr>
              <w:t xml:space="preserve">de Desarrollo e </w:t>
            </w:r>
            <w:r>
              <w:rPr>
                <w:b/>
                <w:spacing w:val="-2"/>
                <w:sz w:val="16"/>
              </w:rPr>
              <w:t>Inclusión Social</w:t>
            </w:r>
          </w:p>
        </w:tc>
        <w:tc>
          <w:tcPr>
            <w:tcW w:w="1532" w:type="dxa"/>
          </w:tcPr>
          <w:p w14:paraId="20B2F9FA" w14:textId="77777777" w:rsidR="000E52B0" w:rsidRDefault="000E52B0">
            <w:pPr>
              <w:pStyle w:val="TableParagraph"/>
              <w:rPr>
                <w:sz w:val="16"/>
              </w:rPr>
            </w:pPr>
          </w:p>
          <w:p w14:paraId="0D2CA37F" w14:textId="77777777" w:rsidR="000E52B0" w:rsidRDefault="000E52B0">
            <w:pPr>
              <w:pStyle w:val="TableParagraph"/>
              <w:spacing w:before="97"/>
              <w:rPr>
                <w:sz w:val="16"/>
              </w:rPr>
            </w:pPr>
          </w:p>
          <w:p w14:paraId="0488F10B" w14:textId="77777777" w:rsidR="000E52B0" w:rsidRDefault="00F60D74">
            <w:pPr>
              <w:pStyle w:val="TableParagraph"/>
              <w:spacing w:before="1"/>
              <w:ind w:left="14"/>
              <w:jc w:val="center"/>
              <w:rPr>
                <w:b/>
                <w:sz w:val="16"/>
              </w:rPr>
            </w:pPr>
            <w:r>
              <w:rPr>
                <w:b/>
                <w:spacing w:val="-4"/>
                <w:sz w:val="16"/>
              </w:rPr>
              <w:t>2010</w:t>
            </w:r>
          </w:p>
        </w:tc>
        <w:tc>
          <w:tcPr>
            <w:tcW w:w="4633" w:type="dxa"/>
          </w:tcPr>
          <w:p w14:paraId="1493E56D" w14:textId="77777777" w:rsidR="000E52B0" w:rsidRDefault="00F60D74">
            <w:pPr>
              <w:pStyle w:val="TableParagraph"/>
              <w:ind w:left="68" w:right="46"/>
              <w:jc w:val="both"/>
              <w:rPr>
                <w:sz w:val="16"/>
              </w:rPr>
            </w:pPr>
            <w:r>
              <w:rPr>
                <w:sz w:val="16"/>
              </w:rPr>
              <w:t>Entidad rectora de las políticas públicas en materia social y articuladora de programas y proyectos orientados a la reducción de la pobreza, generando oportunidades de inclusión y desarrollo humano de forma</w:t>
            </w:r>
            <w:r>
              <w:rPr>
                <w:spacing w:val="70"/>
                <w:sz w:val="16"/>
              </w:rPr>
              <w:t xml:space="preserve"> </w:t>
            </w:r>
            <w:r>
              <w:rPr>
                <w:sz w:val="16"/>
              </w:rPr>
              <w:t>integral</w:t>
            </w:r>
            <w:r>
              <w:rPr>
                <w:spacing w:val="71"/>
                <w:sz w:val="16"/>
              </w:rPr>
              <w:t xml:space="preserve"> </w:t>
            </w:r>
            <w:r>
              <w:rPr>
                <w:sz w:val="16"/>
              </w:rPr>
              <w:t>a</w:t>
            </w:r>
            <w:r>
              <w:rPr>
                <w:spacing w:val="69"/>
                <w:sz w:val="16"/>
              </w:rPr>
              <w:t xml:space="preserve"> </w:t>
            </w:r>
            <w:r>
              <w:rPr>
                <w:sz w:val="16"/>
              </w:rPr>
              <w:t>Sectores</w:t>
            </w:r>
            <w:r>
              <w:rPr>
                <w:spacing w:val="69"/>
                <w:sz w:val="16"/>
              </w:rPr>
              <w:t xml:space="preserve"> </w:t>
            </w:r>
            <w:r>
              <w:rPr>
                <w:sz w:val="16"/>
              </w:rPr>
              <w:t>vulnerables</w:t>
            </w:r>
            <w:r>
              <w:rPr>
                <w:spacing w:val="70"/>
                <w:sz w:val="16"/>
              </w:rPr>
              <w:t xml:space="preserve"> </w:t>
            </w:r>
            <w:r>
              <w:rPr>
                <w:sz w:val="16"/>
              </w:rPr>
              <w:t>en</w:t>
            </w:r>
            <w:r>
              <w:rPr>
                <w:spacing w:val="69"/>
                <w:sz w:val="16"/>
              </w:rPr>
              <w:t xml:space="preserve"> </w:t>
            </w:r>
            <w:r>
              <w:rPr>
                <w:sz w:val="16"/>
              </w:rPr>
              <w:t>riesgo</w:t>
            </w:r>
            <w:r>
              <w:rPr>
                <w:spacing w:val="70"/>
                <w:sz w:val="16"/>
              </w:rPr>
              <w:t xml:space="preserve"> </w:t>
            </w:r>
            <w:r>
              <w:rPr>
                <w:spacing w:val="-10"/>
                <w:sz w:val="16"/>
              </w:rPr>
              <w:t>y</w:t>
            </w:r>
          </w:p>
          <w:p w14:paraId="08D54371" w14:textId="77777777" w:rsidR="000E52B0" w:rsidRDefault="00F60D74">
            <w:pPr>
              <w:pStyle w:val="TableParagraph"/>
              <w:spacing w:line="174" w:lineRule="exact"/>
              <w:ind w:left="68"/>
              <w:jc w:val="both"/>
              <w:rPr>
                <w:sz w:val="16"/>
              </w:rPr>
            </w:pPr>
            <w:r>
              <w:rPr>
                <w:sz w:val="16"/>
              </w:rPr>
              <w:t>exclusión</w:t>
            </w:r>
            <w:r>
              <w:rPr>
                <w:spacing w:val="-5"/>
                <w:sz w:val="16"/>
              </w:rPr>
              <w:t xml:space="preserve"> </w:t>
            </w:r>
            <w:r>
              <w:rPr>
                <w:sz w:val="16"/>
              </w:rPr>
              <w:t>para</w:t>
            </w:r>
            <w:r>
              <w:rPr>
                <w:spacing w:val="-5"/>
                <w:sz w:val="16"/>
              </w:rPr>
              <w:t xml:space="preserve"> </w:t>
            </w:r>
            <w:r>
              <w:rPr>
                <w:sz w:val="16"/>
              </w:rPr>
              <w:t>aminorar</w:t>
            </w:r>
            <w:r>
              <w:rPr>
                <w:spacing w:val="-4"/>
                <w:sz w:val="16"/>
              </w:rPr>
              <w:t xml:space="preserve"> </w:t>
            </w:r>
            <w:r>
              <w:rPr>
                <w:sz w:val="16"/>
              </w:rPr>
              <w:t>la</w:t>
            </w:r>
            <w:r>
              <w:rPr>
                <w:spacing w:val="-3"/>
                <w:sz w:val="16"/>
              </w:rPr>
              <w:t xml:space="preserve"> </w:t>
            </w:r>
            <w:r>
              <w:rPr>
                <w:sz w:val="16"/>
              </w:rPr>
              <w:t>brecha</w:t>
            </w:r>
            <w:r>
              <w:rPr>
                <w:spacing w:val="-4"/>
                <w:sz w:val="16"/>
              </w:rPr>
              <w:t xml:space="preserve"> </w:t>
            </w:r>
            <w:r>
              <w:rPr>
                <w:sz w:val="16"/>
              </w:rPr>
              <w:t>social</w:t>
            </w:r>
            <w:r>
              <w:rPr>
                <w:spacing w:val="-3"/>
                <w:sz w:val="16"/>
              </w:rPr>
              <w:t xml:space="preserve"> </w:t>
            </w:r>
            <w:r>
              <w:rPr>
                <w:sz w:val="16"/>
              </w:rPr>
              <w:t>en</w:t>
            </w:r>
            <w:r>
              <w:rPr>
                <w:spacing w:val="-5"/>
                <w:sz w:val="16"/>
              </w:rPr>
              <w:t xml:space="preserve"> </w:t>
            </w:r>
            <w:r>
              <w:rPr>
                <w:spacing w:val="-2"/>
                <w:sz w:val="16"/>
              </w:rPr>
              <w:t>Honduras.</w:t>
            </w:r>
          </w:p>
        </w:tc>
      </w:tr>
      <w:tr w:rsidR="000E52B0" w14:paraId="00A9F492" w14:textId="77777777">
        <w:trPr>
          <w:trHeight w:val="973"/>
        </w:trPr>
        <w:tc>
          <w:tcPr>
            <w:tcW w:w="1289" w:type="dxa"/>
          </w:tcPr>
          <w:p w14:paraId="3CADE120" w14:textId="77777777" w:rsidR="000E52B0" w:rsidRDefault="000E52B0">
            <w:pPr>
              <w:pStyle w:val="TableParagraph"/>
              <w:rPr>
                <w:sz w:val="16"/>
              </w:rPr>
            </w:pPr>
          </w:p>
          <w:p w14:paraId="75A25F77" w14:textId="77777777" w:rsidR="000E52B0" w:rsidRDefault="000E52B0">
            <w:pPr>
              <w:pStyle w:val="TableParagraph"/>
              <w:spacing w:before="1"/>
              <w:rPr>
                <w:sz w:val="16"/>
              </w:rPr>
            </w:pPr>
          </w:p>
          <w:p w14:paraId="71354613" w14:textId="77777777" w:rsidR="000E52B0" w:rsidRDefault="00F60D74">
            <w:pPr>
              <w:pStyle w:val="TableParagraph"/>
              <w:spacing w:before="1"/>
              <w:ind w:left="21" w:right="4"/>
              <w:jc w:val="center"/>
              <w:rPr>
                <w:b/>
                <w:sz w:val="16"/>
              </w:rPr>
            </w:pPr>
            <w:r>
              <w:rPr>
                <w:b/>
                <w:spacing w:val="-2"/>
                <w:sz w:val="16"/>
              </w:rPr>
              <w:t>Chile</w:t>
            </w:r>
          </w:p>
        </w:tc>
        <w:tc>
          <w:tcPr>
            <w:tcW w:w="1563" w:type="dxa"/>
          </w:tcPr>
          <w:p w14:paraId="23CE2BD5" w14:textId="77777777" w:rsidR="000E52B0" w:rsidRDefault="000E52B0">
            <w:pPr>
              <w:pStyle w:val="TableParagraph"/>
              <w:spacing w:before="1"/>
              <w:rPr>
                <w:sz w:val="16"/>
              </w:rPr>
            </w:pPr>
          </w:p>
          <w:p w14:paraId="377457A1" w14:textId="77777777" w:rsidR="000E52B0" w:rsidRDefault="00F60D74">
            <w:pPr>
              <w:pStyle w:val="TableParagraph"/>
              <w:spacing w:before="1"/>
              <w:ind w:left="80" w:right="60" w:hanging="3"/>
              <w:jc w:val="center"/>
              <w:rPr>
                <w:b/>
                <w:sz w:val="16"/>
              </w:rPr>
            </w:pPr>
            <w:r>
              <w:rPr>
                <w:b/>
                <w:sz w:val="16"/>
              </w:rPr>
              <w:t xml:space="preserve">Ministerio de </w:t>
            </w:r>
            <w:r>
              <w:rPr>
                <w:b/>
                <w:spacing w:val="-2"/>
                <w:sz w:val="16"/>
              </w:rPr>
              <w:t xml:space="preserve">Desarrollo </w:t>
            </w:r>
            <w:r>
              <w:rPr>
                <w:b/>
                <w:sz w:val="16"/>
              </w:rPr>
              <w:t>Social</w:t>
            </w:r>
            <w:r>
              <w:rPr>
                <w:b/>
                <w:spacing w:val="-14"/>
                <w:sz w:val="16"/>
              </w:rPr>
              <w:t xml:space="preserve"> </w:t>
            </w:r>
            <w:r>
              <w:rPr>
                <w:b/>
                <w:sz w:val="16"/>
              </w:rPr>
              <w:t>y</w:t>
            </w:r>
            <w:r>
              <w:rPr>
                <w:b/>
                <w:spacing w:val="-14"/>
                <w:sz w:val="16"/>
              </w:rPr>
              <w:t xml:space="preserve"> </w:t>
            </w:r>
            <w:r>
              <w:rPr>
                <w:b/>
                <w:sz w:val="16"/>
              </w:rPr>
              <w:t>Familia</w:t>
            </w:r>
          </w:p>
        </w:tc>
        <w:tc>
          <w:tcPr>
            <w:tcW w:w="1532" w:type="dxa"/>
          </w:tcPr>
          <w:p w14:paraId="05529FBF" w14:textId="77777777" w:rsidR="000E52B0" w:rsidRDefault="000E52B0">
            <w:pPr>
              <w:pStyle w:val="TableParagraph"/>
              <w:rPr>
                <w:sz w:val="16"/>
              </w:rPr>
            </w:pPr>
          </w:p>
          <w:p w14:paraId="4DC71736" w14:textId="77777777" w:rsidR="000E52B0" w:rsidRDefault="000E52B0">
            <w:pPr>
              <w:pStyle w:val="TableParagraph"/>
              <w:spacing w:before="1"/>
              <w:rPr>
                <w:sz w:val="16"/>
              </w:rPr>
            </w:pPr>
          </w:p>
          <w:p w14:paraId="69D24EA0" w14:textId="77777777" w:rsidR="000E52B0" w:rsidRDefault="00F60D74">
            <w:pPr>
              <w:pStyle w:val="TableParagraph"/>
              <w:spacing w:before="1"/>
              <w:ind w:left="14"/>
              <w:jc w:val="center"/>
              <w:rPr>
                <w:b/>
                <w:sz w:val="16"/>
              </w:rPr>
            </w:pPr>
            <w:r>
              <w:rPr>
                <w:b/>
                <w:spacing w:val="-4"/>
                <w:sz w:val="16"/>
              </w:rPr>
              <w:t>2011</w:t>
            </w:r>
          </w:p>
        </w:tc>
        <w:tc>
          <w:tcPr>
            <w:tcW w:w="4633" w:type="dxa"/>
          </w:tcPr>
          <w:p w14:paraId="441F526D" w14:textId="77777777" w:rsidR="000E52B0" w:rsidRDefault="00F60D74">
            <w:pPr>
              <w:pStyle w:val="TableParagraph"/>
              <w:spacing w:line="190" w:lineRule="atLeast"/>
              <w:ind w:left="68" w:right="45"/>
              <w:jc w:val="both"/>
              <w:rPr>
                <w:sz w:val="16"/>
              </w:rPr>
            </w:pPr>
            <w:r>
              <w:rPr>
                <w:sz w:val="16"/>
              </w:rPr>
              <w:t>Busca contribuir al diseño y aplicación de políticas, planes y programas de desarrollo social, en especial aquellos destinados a erradicar la pobreza y brindar protección social a las personas vulnerables, promoviendo la movilidad y la inclusión social.</w:t>
            </w:r>
          </w:p>
        </w:tc>
      </w:tr>
      <w:tr w:rsidR="000E52B0" w14:paraId="1CD0156D" w14:textId="77777777">
        <w:trPr>
          <w:trHeight w:val="1165"/>
        </w:trPr>
        <w:tc>
          <w:tcPr>
            <w:tcW w:w="1289" w:type="dxa"/>
          </w:tcPr>
          <w:p w14:paraId="131837C5" w14:textId="77777777" w:rsidR="000E52B0" w:rsidRDefault="000E52B0">
            <w:pPr>
              <w:pStyle w:val="TableParagraph"/>
              <w:rPr>
                <w:sz w:val="16"/>
              </w:rPr>
            </w:pPr>
          </w:p>
          <w:p w14:paraId="232032EC" w14:textId="77777777" w:rsidR="000E52B0" w:rsidRDefault="000E52B0">
            <w:pPr>
              <w:pStyle w:val="TableParagraph"/>
              <w:spacing w:before="97"/>
              <w:rPr>
                <w:sz w:val="16"/>
              </w:rPr>
            </w:pPr>
          </w:p>
          <w:p w14:paraId="254E491C" w14:textId="77777777" w:rsidR="000E52B0" w:rsidRDefault="00F60D74">
            <w:pPr>
              <w:pStyle w:val="TableParagraph"/>
              <w:spacing w:before="1"/>
              <w:ind w:left="21" w:right="3"/>
              <w:jc w:val="center"/>
              <w:rPr>
                <w:b/>
                <w:sz w:val="16"/>
              </w:rPr>
            </w:pPr>
            <w:r>
              <w:rPr>
                <w:b/>
                <w:spacing w:val="-4"/>
                <w:sz w:val="16"/>
              </w:rPr>
              <w:t>Perú</w:t>
            </w:r>
          </w:p>
        </w:tc>
        <w:tc>
          <w:tcPr>
            <w:tcW w:w="1563" w:type="dxa"/>
          </w:tcPr>
          <w:p w14:paraId="4757904D" w14:textId="77777777" w:rsidR="000E52B0" w:rsidRDefault="00F60D74">
            <w:pPr>
              <w:pStyle w:val="TableParagraph"/>
              <w:spacing w:before="194"/>
              <w:ind w:left="131" w:right="112"/>
              <w:jc w:val="center"/>
              <w:rPr>
                <w:b/>
                <w:sz w:val="16"/>
              </w:rPr>
            </w:pPr>
            <w:r>
              <w:rPr>
                <w:b/>
                <w:sz w:val="16"/>
              </w:rPr>
              <w:t>Ministerio</w:t>
            </w:r>
            <w:r>
              <w:rPr>
                <w:b/>
                <w:spacing w:val="-14"/>
                <w:sz w:val="16"/>
              </w:rPr>
              <w:t xml:space="preserve"> </w:t>
            </w:r>
            <w:r>
              <w:rPr>
                <w:b/>
                <w:sz w:val="16"/>
              </w:rPr>
              <w:t xml:space="preserve">de Desarrollo e </w:t>
            </w:r>
            <w:r>
              <w:rPr>
                <w:b/>
                <w:spacing w:val="-2"/>
                <w:sz w:val="16"/>
              </w:rPr>
              <w:t>Inclusión Social</w:t>
            </w:r>
          </w:p>
        </w:tc>
        <w:tc>
          <w:tcPr>
            <w:tcW w:w="1532" w:type="dxa"/>
          </w:tcPr>
          <w:p w14:paraId="0547A2FF" w14:textId="77777777" w:rsidR="000E52B0" w:rsidRDefault="000E52B0">
            <w:pPr>
              <w:pStyle w:val="TableParagraph"/>
              <w:rPr>
                <w:sz w:val="16"/>
              </w:rPr>
            </w:pPr>
          </w:p>
          <w:p w14:paraId="2844B14F" w14:textId="77777777" w:rsidR="000E52B0" w:rsidRDefault="000E52B0">
            <w:pPr>
              <w:pStyle w:val="TableParagraph"/>
              <w:spacing w:before="97"/>
              <w:rPr>
                <w:sz w:val="16"/>
              </w:rPr>
            </w:pPr>
          </w:p>
          <w:p w14:paraId="6E52DEAA" w14:textId="77777777" w:rsidR="000E52B0" w:rsidRDefault="00F60D74">
            <w:pPr>
              <w:pStyle w:val="TableParagraph"/>
              <w:spacing w:before="1"/>
              <w:ind w:left="14"/>
              <w:jc w:val="center"/>
              <w:rPr>
                <w:b/>
                <w:sz w:val="16"/>
              </w:rPr>
            </w:pPr>
            <w:r>
              <w:rPr>
                <w:b/>
                <w:spacing w:val="-4"/>
                <w:sz w:val="16"/>
              </w:rPr>
              <w:t>2011</w:t>
            </w:r>
          </w:p>
        </w:tc>
        <w:tc>
          <w:tcPr>
            <w:tcW w:w="4633" w:type="dxa"/>
          </w:tcPr>
          <w:p w14:paraId="7C351E15" w14:textId="77777777" w:rsidR="000E52B0" w:rsidRDefault="00F60D74">
            <w:pPr>
              <w:pStyle w:val="TableParagraph"/>
              <w:spacing w:line="194" w:lineRule="exact"/>
              <w:ind w:left="68" w:right="47"/>
              <w:jc w:val="both"/>
              <w:rPr>
                <w:sz w:val="16"/>
              </w:rPr>
            </w:pPr>
            <w:r>
              <w:rPr>
                <w:sz w:val="16"/>
              </w:rPr>
              <w:t>Su misión es garantizar que las políticas y programas sociales</w:t>
            </w:r>
            <w:r>
              <w:rPr>
                <w:spacing w:val="-8"/>
                <w:sz w:val="16"/>
              </w:rPr>
              <w:t xml:space="preserve"> </w:t>
            </w:r>
            <w:r>
              <w:rPr>
                <w:sz w:val="16"/>
              </w:rPr>
              <w:t>de</w:t>
            </w:r>
            <w:r>
              <w:rPr>
                <w:spacing w:val="-8"/>
                <w:sz w:val="16"/>
              </w:rPr>
              <w:t xml:space="preserve"> </w:t>
            </w:r>
            <w:r>
              <w:rPr>
                <w:sz w:val="16"/>
              </w:rPr>
              <w:t>los</w:t>
            </w:r>
            <w:r>
              <w:rPr>
                <w:spacing w:val="-8"/>
                <w:sz w:val="16"/>
              </w:rPr>
              <w:t xml:space="preserve"> </w:t>
            </w:r>
            <w:r>
              <w:rPr>
                <w:sz w:val="16"/>
              </w:rPr>
              <w:t>diferentes</w:t>
            </w:r>
            <w:r>
              <w:rPr>
                <w:spacing w:val="-8"/>
                <w:sz w:val="16"/>
              </w:rPr>
              <w:t xml:space="preserve"> </w:t>
            </w:r>
            <w:r>
              <w:rPr>
                <w:sz w:val="16"/>
              </w:rPr>
              <w:t>sectores</w:t>
            </w:r>
            <w:r>
              <w:rPr>
                <w:spacing w:val="-8"/>
                <w:sz w:val="16"/>
              </w:rPr>
              <w:t xml:space="preserve"> </w:t>
            </w:r>
            <w:r>
              <w:rPr>
                <w:sz w:val="16"/>
              </w:rPr>
              <w:t>y</w:t>
            </w:r>
            <w:r>
              <w:rPr>
                <w:spacing w:val="-7"/>
                <w:sz w:val="16"/>
              </w:rPr>
              <w:t xml:space="preserve"> </w:t>
            </w:r>
            <w:r>
              <w:rPr>
                <w:sz w:val="16"/>
              </w:rPr>
              <w:t>niveles</w:t>
            </w:r>
            <w:r>
              <w:rPr>
                <w:spacing w:val="-8"/>
                <w:sz w:val="16"/>
              </w:rPr>
              <w:t xml:space="preserve"> </w:t>
            </w:r>
            <w:r>
              <w:rPr>
                <w:sz w:val="16"/>
              </w:rPr>
              <w:t>de</w:t>
            </w:r>
            <w:r>
              <w:rPr>
                <w:spacing w:val="-8"/>
                <w:sz w:val="16"/>
              </w:rPr>
              <w:t xml:space="preserve"> </w:t>
            </w:r>
            <w:r>
              <w:rPr>
                <w:sz w:val="16"/>
              </w:rPr>
              <w:t>gobierno actúen de manera coordinada y articulada para cerrar las</w:t>
            </w:r>
            <w:r>
              <w:rPr>
                <w:spacing w:val="-15"/>
                <w:sz w:val="16"/>
              </w:rPr>
              <w:t xml:space="preserve"> </w:t>
            </w:r>
            <w:r>
              <w:rPr>
                <w:sz w:val="16"/>
              </w:rPr>
              <w:t>brechas</w:t>
            </w:r>
            <w:r>
              <w:rPr>
                <w:spacing w:val="-14"/>
                <w:sz w:val="16"/>
              </w:rPr>
              <w:t xml:space="preserve"> </w:t>
            </w:r>
            <w:r>
              <w:rPr>
                <w:sz w:val="16"/>
              </w:rPr>
              <w:t>de</w:t>
            </w:r>
            <w:r>
              <w:rPr>
                <w:spacing w:val="-14"/>
                <w:sz w:val="16"/>
              </w:rPr>
              <w:t xml:space="preserve"> </w:t>
            </w:r>
            <w:r>
              <w:rPr>
                <w:sz w:val="16"/>
              </w:rPr>
              <w:t>acceso</w:t>
            </w:r>
            <w:r>
              <w:rPr>
                <w:spacing w:val="-14"/>
                <w:sz w:val="16"/>
              </w:rPr>
              <w:t xml:space="preserve"> </w:t>
            </w:r>
            <w:r>
              <w:rPr>
                <w:sz w:val="16"/>
              </w:rPr>
              <w:t>a</w:t>
            </w:r>
            <w:r>
              <w:rPr>
                <w:spacing w:val="-14"/>
                <w:sz w:val="16"/>
              </w:rPr>
              <w:t xml:space="preserve"> </w:t>
            </w:r>
            <w:r>
              <w:rPr>
                <w:sz w:val="16"/>
              </w:rPr>
              <w:t>servicios</w:t>
            </w:r>
            <w:r>
              <w:rPr>
                <w:spacing w:val="-14"/>
                <w:sz w:val="16"/>
              </w:rPr>
              <w:t xml:space="preserve"> </w:t>
            </w:r>
            <w:r>
              <w:rPr>
                <w:sz w:val="16"/>
              </w:rPr>
              <w:t>públicos</w:t>
            </w:r>
            <w:r>
              <w:rPr>
                <w:spacing w:val="-14"/>
                <w:sz w:val="16"/>
              </w:rPr>
              <w:t xml:space="preserve"> </w:t>
            </w:r>
            <w:r>
              <w:rPr>
                <w:sz w:val="16"/>
              </w:rPr>
              <w:t>universales</w:t>
            </w:r>
            <w:r>
              <w:rPr>
                <w:spacing w:val="-14"/>
                <w:sz w:val="16"/>
              </w:rPr>
              <w:t xml:space="preserve"> </w:t>
            </w:r>
            <w:r>
              <w:rPr>
                <w:sz w:val="16"/>
              </w:rPr>
              <w:t>de calidad y de acceso a las oportunidades que abre el crecimiento económico.</w:t>
            </w:r>
          </w:p>
        </w:tc>
      </w:tr>
      <w:tr w:rsidR="000E52B0" w14:paraId="4653124D" w14:textId="77777777">
        <w:trPr>
          <w:trHeight w:val="973"/>
        </w:trPr>
        <w:tc>
          <w:tcPr>
            <w:tcW w:w="1289" w:type="dxa"/>
          </w:tcPr>
          <w:p w14:paraId="75D2AB92" w14:textId="77777777" w:rsidR="000E52B0" w:rsidRDefault="000E52B0">
            <w:pPr>
              <w:pStyle w:val="TableParagraph"/>
              <w:rPr>
                <w:sz w:val="16"/>
              </w:rPr>
            </w:pPr>
          </w:p>
          <w:p w14:paraId="2E0CE9FD" w14:textId="77777777" w:rsidR="000E52B0" w:rsidRDefault="000E52B0">
            <w:pPr>
              <w:pStyle w:val="TableParagraph"/>
              <w:spacing w:before="1"/>
              <w:rPr>
                <w:sz w:val="16"/>
              </w:rPr>
            </w:pPr>
          </w:p>
          <w:p w14:paraId="407962C1" w14:textId="77777777" w:rsidR="000E52B0" w:rsidRDefault="00F60D74">
            <w:pPr>
              <w:pStyle w:val="TableParagraph"/>
              <w:spacing w:before="1"/>
              <w:ind w:left="21" w:right="1"/>
              <w:jc w:val="center"/>
              <w:rPr>
                <w:b/>
                <w:sz w:val="16"/>
              </w:rPr>
            </w:pPr>
            <w:r>
              <w:rPr>
                <w:b/>
                <w:spacing w:val="-2"/>
                <w:sz w:val="16"/>
              </w:rPr>
              <w:t>Paraguay</w:t>
            </w:r>
          </w:p>
        </w:tc>
        <w:tc>
          <w:tcPr>
            <w:tcW w:w="1563" w:type="dxa"/>
          </w:tcPr>
          <w:p w14:paraId="0BCE69C5" w14:textId="77777777" w:rsidR="000E52B0" w:rsidRDefault="000E52B0">
            <w:pPr>
              <w:pStyle w:val="TableParagraph"/>
              <w:spacing w:before="97"/>
              <w:rPr>
                <w:sz w:val="16"/>
              </w:rPr>
            </w:pPr>
          </w:p>
          <w:p w14:paraId="08BC7460" w14:textId="77777777" w:rsidR="000E52B0" w:rsidRDefault="00F60D74">
            <w:pPr>
              <w:pStyle w:val="TableParagraph"/>
              <w:spacing w:before="1"/>
              <w:ind w:left="522" w:hanging="435"/>
              <w:rPr>
                <w:b/>
                <w:sz w:val="16"/>
              </w:rPr>
            </w:pPr>
            <w:r>
              <w:rPr>
                <w:b/>
                <w:sz w:val="16"/>
              </w:rPr>
              <w:t>Ministerio</w:t>
            </w:r>
            <w:r>
              <w:rPr>
                <w:b/>
                <w:spacing w:val="-14"/>
                <w:sz w:val="16"/>
              </w:rPr>
              <w:t xml:space="preserve"> </w:t>
            </w:r>
            <w:r>
              <w:rPr>
                <w:b/>
                <w:sz w:val="16"/>
              </w:rPr>
              <w:t>de</w:t>
            </w:r>
            <w:r>
              <w:rPr>
                <w:b/>
                <w:spacing w:val="-14"/>
                <w:sz w:val="16"/>
              </w:rPr>
              <w:t xml:space="preserve"> </w:t>
            </w:r>
            <w:r>
              <w:rPr>
                <w:b/>
                <w:sz w:val="16"/>
              </w:rPr>
              <w:t xml:space="preserve">la </w:t>
            </w:r>
            <w:r>
              <w:rPr>
                <w:b/>
                <w:spacing w:val="-2"/>
                <w:sz w:val="16"/>
              </w:rPr>
              <w:t>Mujer</w:t>
            </w:r>
          </w:p>
        </w:tc>
        <w:tc>
          <w:tcPr>
            <w:tcW w:w="1532" w:type="dxa"/>
          </w:tcPr>
          <w:p w14:paraId="40C93721" w14:textId="77777777" w:rsidR="000E52B0" w:rsidRDefault="000E52B0">
            <w:pPr>
              <w:pStyle w:val="TableParagraph"/>
              <w:rPr>
                <w:sz w:val="16"/>
              </w:rPr>
            </w:pPr>
          </w:p>
          <w:p w14:paraId="0254C5EF" w14:textId="77777777" w:rsidR="000E52B0" w:rsidRDefault="000E52B0">
            <w:pPr>
              <w:pStyle w:val="TableParagraph"/>
              <w:spacing w:before="1"/>
              <w:rPr>
                <w:sz w:val="16"/>
              </w:rPr>
            </w:pPr>
          </w:p>
          <w:p w14:paraId="093A063E" w14:textId="77777777" w:rsidR="000E52B0" w:rsidRDefault="00F60D74">
            <w:pPr>
              <w:pStyle w:val="TableParagraph"/>
              <w:spacing w:before="1"/>
              <w:ind w:left="14"/>
              <w:jc w:val="center"/>
              <w:rPr>
                <w:b/>
                <w:sz w:val="16"/>
              </w:rPr>
            </w:pPr>
            <w:r>
              <w:rPr>
                <w:b/>
                <w:spacing w:val="-4"/>
                <w:sz w:val="16"/>
              </w:rPr>
              <w:t>2012</w:t>
            </w:r>
          </w:p>
        </w:tc>
        <w:tc>
          <w:tcPr>
            <w:tcW w:w="4633" w:type="dxa"/>
          </w:tcPr>
          <w:p w14:paraId="120E36A5" w14:textId="77777777" w:rsidR="000E52B0" w:rsidRDefault="00F60D74">
            <w:pPr>
              <w:pStyle w:val="TableParagraph"/>
              <w:spacing w:line="190" w:lineRule="atLeast"/>
              <w:ind w:left="68" w:right="47"/>
              <w:jc w:val="both"/>
              <w:rPr>
                <w:sz w:val="16"/>
              </w:rPr>
            </w:pPr>
            <w:r>
              <w:rPr>
                <w:sz w:val="16"/>
              </w:rPr>
              <w:t>Institución</w:t>
            </w:r>
            <w:r>
              <w:rPr>
                <w:spacing w:val="-12"/>
                <w:sz w:val="16"/>
              </w:rPr>
              <w:t xml:space="preserve"> </w:t>
            </w:r>
            <w:r>
              <w:rPr>
                <w:sz w:val="16"/>
              </w:rPr>
              <w:t>rectora,</w:t>
            </w:r>
            <w:r>
              <w:rPr>
                <w:spacing w:val="-12"/>
                <w:sz w:val="16"/>
              </w:rPr>
              <w:t xml:space="preserve"> </w:t>
            </w:r>
            <w:r>
              <w:rPr>
                <w:sz w:val="16"/>
              </w:rPr>
              <w:t>normativa</w:t>
            </w:r>
            <w:r>
              <w:rPr>
                <w:spacing w:val="-14"/>
                <w:sz w:val="16"/>
              </w:rPr>
              <w:t xml:space="preserve"> </w:t>
            </w:r>
            <w:r>
              <w:rPr>
                <w:sz w:val="16"/>
              </w:rPr>
              <w:t>y</w:t>
            </w:r>
            <w:r>
              <w:rPr>
                <w:spacing w:val="-12"/>
                <w:sz w:val="16"/>
              </w:rPr>
              <w:t xml:space="preserve"> </w:t>
            </w:r>
            <w:r>
              <w:rPr>
                <w:sz w:val="16"/>
              </w:rPr>
              <w:t>articuladora</w:t>
            </w:r>
            <w:r>
              <w:rPr>
                <w:spacing w:val="-14"/>
                <w:sz w:val="16"/>
              </w:rPr>
              <w:t xml:space="preserve"> </w:t>
            </w:r>
            <w:r>
              <w:rPr>
                <w:sz w:val="16"/>
              </w:rPr>
              <w:t>de</w:t>
            </w:r>
            <w:r>
              <w:rPr>
                <w:spacing w:val="-13"/>
                <w:sz w:val="16"/>
              </w:rPr>
              <w:t xml:space="preserve"> </w:t>
            </w:r>
            <w:r>
              <w:rPr>
                <w:sz w:val="16"/>
              </w:rPr>
              <w:t xml:space="preserve">políticas públicas para lograr la igualdad sustantiva entre mujeres y hombres, allanando los obstáculos y eliminando toda forma de discriminación hacia las </w:t>
            </w:r>
            <w:r>
              <w:rPr>
                <w:spacing w:val="-2"/>
                <w:sz w:val="16"/>
              </w:rPr>
              <w:t>mujeres.</w:t>
            </w:r>
          </w:p>
        </w:tc>
      </w:tr>
      <w:tr w:rsidR="000E52B0" w14:paraId="6828DEBF" w14:textId="77777777">
        <w:trPr>
          <w:trHeight w:val="971"/>
        </w:trPr>
        <w:tc>
          <w:tcPr>
            <w:tcW w:w="1289" w:type="dxa"/>
          </w:tcPr>
          <w:p w14:paraId="7BF1F1AB" w14:textId="77777777" w:rsidR="000E52B0" w:rsidRDefault="000E52B0">
            <w:pPr>
              <w:pStyle w:val="TableParagraph"/>
              <w:spacing w:before="194"/>
              <w:rPr>
                <w:sz w:val="16"/>
              </w:rPr>
            </w:pPr>
          </w:p>
          <w:p w14:paraId="0BD11F9D" w14:textId="77777777" w:rsidR="000E52B0" w:rsidRDefault="00F60D74">
            <w:pPr>
              <w:pStyle w:val="TableParagraph"/>
              <w:ind w:left="21" w:right="1"/>
              <w:jc w:val="center"/>
              <w:rPr>
                <w:b/>
                <w:sz w:val="16"/>
              </w:rPr>
            </w:pPr>
            <w:r>
              <w:rPr>
                <w:b/>
                <w:spacing w:val="-2"/>
                <w:sz w:val="16"/>
              </w:rPr>
              <w:t>Guatemala</w:t>
            </w:r>
          </w:p>
        </w:tc>
        <w:tc>
          <w:tcPr>
            <w:tcW w:w="1563" w:type="dxa"/>
          </w:tcPr>
          <w:p w14:paraId="70B6927D" w14:textId="77777777" w:rsidR="000E52B0" w:rsidRDefault="00F60D74">
            <w:pPr>
              <w:pStyle w:val="TableParagraph"/>
              <w:spacing w:before="194"/>
              <w:ind w:left="196" w:right="177"/>
              <w:jc w:val="center"/>
              <w:rPr>
                <w:b/>
                <w:sz w:val="16"/>
              </w:rPr>
            </w:pPr>
            <w:r>
              <w:rPr>
                <w:b/>
                <w:sz w:val="16"/>
              </w:rPr>
              <w:t>Ministerio</w:t>
            </w:r>
            <w:r>
              <w:rPr>
                <w:b/>
                <w:spacing w:val="-14"/>
                <w:sz w:val="16"/>
              </w:rPr>
              <w:t xml:space="preserve"> </w:t>
            </w:r>
            <w:r>
              <w:rPr>
                <w:b/>
                <w:sz w:val="16"/>
              </w:rPr>
              <w:t xml:space="preserve">de </w:t>
            </w:r>
            <w:r>
              <w:rPr>
                <w:b/>
                <w:spacing w:val="-2"/>
                <w:sz w:val="16"/>
              </w:rPr>
              <w:t>Desarrollo Social</w:t>
            </w:r>
          </w:p>
        </w:tc>
        <w:tc>
          <w:tcPr>
            <w:tcW w:w="1532" w:type="dxa"/>
          </w:tcPr>
          <w:p w14:paraId="271EB80D" w14:textId="77777777" w:rsidR="000E52B0" w:rsidRDefault="000E52B0">
            <w:pPr>
              <w:pStyle w:val="TableParagraph"/>
              <w:spacing w:before="194"/>
              <w:rPr>
                <w:sz w:val="16"/>
              </w:rPr>
            </w:pPr>
          </w:p>
          <w:p w14:paraId="6087A143" w14:textId="77777777" w:rsidR="000E52B0" w:rsidRDefault="00F60D74">
            <w:pPr>
              <w:pStyle w:val="TableParagraph"/>
              <w:ind w:left="14"/>
              <w:jc w:val="center"/>
              <w:rPr>
                <w:b/>
                <w:sz w:val="16"/>
              </w:rPr>
            </w:pPr>
            <w:r>
              <w:rPr>
                <w:b/>
                <w:spacing w:val="-4"/>
                <w:sz w:val="16"/>
              </w:rPr>
              <w:t>2012</w:t>
            </w:r>
          </w:p>
        </w:tc>
        <w:tc>
          <w:tcPr>
            <w:tcW w:w="4633" w:type="dxa"/>
          </w:tcPr>
          <w:p w14:paraId="4E427FAD" w14:textId="77777777" w:rsidR="000E52B0" w:rsidRDefault="00F60D74">
            <w:pPr>
              <w:pStyle w:val="TableParagraph"/>
              <w:spacing w:line="194" w:lineRule="exact"/>
              <w:ind w:left="68" w:right="48"/>
              <w:jc w:val="both"/>
              <w:rPr>
                <w:sz w:val="16"/>
              </w:rPr>
            </w:pPr>
            <w:r>
              <w:rPr>
                <w:sz w:val="16"/>
              </w:rPr>
              <w:t>Es</w:t>
            </w:r>
            <w:r>
              <w:rPr>
                <w:spacing w:val="-8"/>
                <w:sz w:val="16"/>
              </w:rPr>
              <w:t xml:space="preserve"> </w:t>
            </w:r>
            <w:r>
              <w:rPr>
                <w:sz w:val="16"/>
              </w:rPr>
              <w:t>la</w:t>
            </w:r>
            <w:r>
              <w:rPr>
                <w:spacing w:val="-11"/>
                <w:sz w:val="16"/>
              </w:rPr>
              <w:t xml:space="preserve"> </w:t>
            </w:r>
            <w:r>
              <w:rPr>
                <w:sz w:val="16"/>
              </w:rPr>
              <w:t>entidad</w:t>
            </w:r>
            <w:r>
              <w:rPr>
                <w:spacing w:val="-10"/>
                <w:sz w:val="16"/>
              </w:rPr>
              <w:t xml:space="preserve"> </w:t>
            </w:r>
            <w:r>
              <w:rPr>
                <w:sz w:val="16"/>
              </w:rPr>
              <w:t>rectora</w:t>
            </w:r>
            <w:r>
              <w:rPr>
                <w:spacing w:val="-11"/>
                <w:sz w:val="16"/>
              </w:rPr>
              <w:t xml:space="preserve"> </w:t>
            </w:r>
            <w:r>
              <w:rPr>
                <w:sz w:val="16"/>
              </w:rPr>
              <w:t>que</w:t>
            </w:r>
            <w:r>
              <w:rPr>
                <w:spacing w:val="-13"/>
                <w:sz w:val="16"/>
              </w:rPr>
              <w:t xml:space="preserve"> </w:t>
            </w:r>
            <w:r>
              <w:rPr>
                <w:sz w:val="16"/>
              </w:rPr>
              <w:t>promueve</w:t>
            </w:r>
            <w:r>
              <w:rPr>
                <w:spacing w:val="-13"/>
                <w:sz w:val="16"/>
              </w:rPr>
              <w:t xml:space="preserve"> </w:t>
            </w:r>
            <w:r>
              <w:rPr>
                <w:sz w:val="16"/>
              </w:rPr>
              <w:t>y</w:t>
            </w:r>
            <w:r>
              <w:rPr>
                <w:spacing w:val="-7"/>
                <w:sz w:val="16"/>
              </w:rPr>
              <w:t xml:space="preserve"> </w:t>
            </w:r>
            <w:r>
              <w:rPr>
                <w:sz w:val="16"/>
              </w:rPr>
              <w:t>articula</w:t>
            </w:r>
            <w:r>
              <w:rPr>
                <w:spacing w:val="-9"/>
                <w:sz w:val="16"/>
              </w:rPr>
              <w:t xml:space="preserve"> </w:t>
            </w:r>
            <w:r>
              <w:rPr>
                <w:sz w:val="16"/>
              </w:rPr>
              <w:t>políticas</w:t>
            </w:r>
            <w:r>
              <w:rPr>
                <w:spacing w:val="-11"/>
                <w:sz w:val="16"/>
              </w:rPr>
              <w:t xml:space="preserve"> </w:t>
            </w:r>
            <w:r>
              <w:rPr>
                <w:sz w:val="16"/>
              </w:rPr>
              <w:t>y acciones para el desarrollo social sostenible de la población</w:t>
            </w:r>
            <w:r>
              <w:rPr>
                <w:spacing w:val="-5"/>
                <w:sz w:val="16"/>
              </w:rPr>
              <w:t xml:space="preserve"> </w:t>
            </w:r>
            <w:r>
              <w:rPr>
                <w:sz w:val="16"/>
              </w:rPr>
              <w:t>excluida</w:t>
            </w:r>
            <w:r>
              <w:rPr>
                <w:spacing w:val="-5"/>
                <w:sz w:val="16"/>
              </w:rPr>
              <w:t xml:space="preserve"> </w:t>
            </w:r>
            <w:r>
              <w:rPr>
                <w:sz w:val="16"/>
              </w:rPr>
              <w:t>de</w:t>
            </w:r>
            <w:r>
              <w:rPr>
                <w:spacing w:val="-5"/>
                <w:sz w:val="16"/>
              </w:rPr>
              <w:t xml:space="preserve"> </w:t>
            </w:r>
            <w:r>
              <w:rPr>
                <w:sz w:val="16"/>
              </w:rPr>
              <w:t>sus</w:t>
            </w:r>
            <w:r>
              <w:rPr>
                <w:spacing w:val="-5"/>
                <w:sz w:val="16"/>
              </w:rPr>
              <w:t xml:space="preserve"> </w:t>
            </w:r>
            <w:r>
              <w:rPr>
                <w:sz w:val="16"/>
              </w:rPr>
              <w:t>oportunidades</w:t>
            </w:r>
            <w:r>
              <w:rPr>
                <w:spacing w:val="-5"/>
                <w:sz w:val="16"/>
              </w:rPr>
              <w:t xml:space="preserve"> </w:t>
            </w:r>
            <w:r>
              <w:rPr>
                <w:sz w:val="16"/>
              </w:rPr>
              <w:t>básicas,</w:t>
            </w:r>
            <w:r>
              <w:rPr>
                <w:spacing w:val="-5"/>
                <w:sz w:val="16"/>
              </w:rPr>
              <w:t xml:space="preserve"> </w:t>
            </w:r>
            <w:r>
              <w:rPr>
                <w:sz w:val="16"/>
              </w:rPr>
              <w:t>con</w:t>
            </w:r>
            <w:r>
              <w:rPr>
                <w:spacing w:val="-5"/>
                <w:sz w:val="16"/>
              </w:rPr>
              <w:t xml:space="preserve"> </w:t>
            </w:r>
            <w:r>
              <w:rPr>
                <w:sz w:val="16"/>
              </w:rPr>
              <w:t>el fin de contribuir a mejorar sus condiciones de vida y reducir la pobreza.</w:t>
            </w:r>
          </w:p>
        </w:tc>
      </w:tr>
      <w:tr w:rsidR="000E52B0" w14:paraId="3A56E08C" w14:textId="77777777">
        <w:trPr>
          <w:trHeight w:val="973"/>
        </w:trPr>
        <w:tc>
          <w:tcPr>
            <w:tcW w:w="1289" w:type="dxa"/>
          </w:tcPr>
          <w:p w14:paraId="02F6297F" w14:textId="77777777" w:rsidR="000E52B0" w:rsidRDefault="000E52B0">
            <w:pPr>
              <w:pStyle w:val="TableParagraph"/>
              <w:rPr>
                <w:sz w:val="16"/>
              </w:rPr>
            </w:pPr>
          </w:p>
          <w:p w14:paraId="38A29406" w14:textId="77777777" w:rsidR="000E52B0" w:rsidRDefault="000E52B0">
            <w:pPr>
              <w:pStyle w:val="TableParagraph"/>
              <w:spacing w:before="1"/>
              <w:rPr>
                <w:sz w:val="16"/>
              </w:rPr>
            </w:pPr>
          </w:p>
          <w:p w14:paraId="50158E6F" w14:textId="77777777" w:rsidR="000E52B0" w:rsidRDefault="00F60D74">
            <w:pPr>
              <w:pStyle w:val="TableParagraph"/>
              <w:spacing w:before="1"/>
              <w:ind w:left="21" w:right="3"/>
              <w:jc w:val="center"/>
              <w:rPr>
                <w:b/>
                <w:sz w:val="16"/>
              </w:rPr>
            </w:pPr>
            <w:r>
              <w:rPr>
                <w:b/>
                <w:spacing w:val="-2"/>
                <w:sz w:val="16"/>
              </w:rPr>
              <w:t>Argentina</w:t>
            </w:r>
          </w:p>
        </w:tc>
        <w:tc>
          <w:tcPr>
            <w:tcW w:w="1563" w:type="dxa"/>
          </w:tcPr>
          <w:p w14:paraId="66062A83" w14:textId="77777777" w:rsidR="000E52B0" w:rsidRDefault="000E52B0">
            <w:pPr>
              <w:pStyle w:val="TableParagraph"/>
              <w:spacing w:before="1"/>
              <w:rPr>
                <w:sz w:val="16"/>
              </w:rPr>
            </w:pPr>
          </w:p>
          <w:p w14:paraId="1599DCE7" w14:textId="77777777" w:rsidR="000E52B0" w:rsidRDefault="00F60D74">
            <w:pPr>
              <w:pStyle w:val="TableParagraph"/>
              <w:spacing w:before="1"/>
              <w:ind w:left="196" w:right="177"/>
              <w:jc w:val="center"/>
              <w:rPr>
                <w:b/>
                <w:sz w:val="16"/>
              </w:rPr>
            </w:pPr>
            <w:r>
              <w:rPr>
                <w:b/>
                <w:sz w:val="16"/>
              </w:rPr>
              <w:t>Ministerio</w:t>
            </w:r>
            <w:r>
              <w:rPr>
                <w:b/>
                <w:spacing w:val="-14"/>
                <w:sz w:val="16"/>
              </w:rPr>
              <w:t xml:space="preserve"> </w:t>
            </w:r>
            <w:r>
              <w:rPr>
                <w:b/>
                <w:sz w:val="16"/>
              </w:rPr>
              <w:t xml:space="preserve">de </w:t>
            </w:r>
            <w:r>
              <w:rPr>
                <w:b/>
                <w:spacing w:val="-2"/>
                <w:sz w:val="16"/>
              </w:rPr>
              <w:t>Desarrollo Social</w:t>
            </w:r>
          </w:p>
        </w:tc>
        <w:tc>
          <w:tcPr>
            <w:tcW w:w="1532" w:type="dxa"/>
          </w:tcPr>
          <w:p w14:paraId="4ABC4051" w14:textId="77777777" w:rsidR="000E52B0" w:rsidRDefault="000E52B0">
            <w:pPr>
              <w:pStyle w:val="TableParagraph"/>
              <w:rPr>
                <w:sz w:val="16"/>
              </w:rPr>
            </w:pPr>
          </w:p>
          <w:p w14:paraId="32FC3852" w14:textId="77777777" w:rsidR="000E52B0" w:rsidRDefault="000E52B0">
            <w:pPr>
              <w:pStyle w:val="TableParagraph"/>
              <w:spacing w:before="1"/>
              <w:rPr>
                <w:sz w:val="16"/>
              </w:rPr>
            </w:pPr>
          </w:p>
          <w:p w14:paraId="110973EA" w14:textId="77777777" w:rsidR="000E52B0" w:rsidRDefault="00F60D74">
            <w:pPr>
              <w:pStyle w:val="TableParagraph"/>
              <w:spacing w:before="1"/>
              <w:ind w:left="14"/>
              <w:jc w:val="center"/>
              <w:rPr>
                <w:b/>
                <w:sz w:val="16"/>
              </w:rPr>
            </w:pPr>
            <w:r>
              <w:rPr>
                <w:b/>
                <w:spacing w:val="-4"/>
                <w:sz w:val="16"/>
              </w:rPr>
              <w:t>2018</w:t>
            </w:r>
          </w:p>
        </w:tc>
        <w:tc>
          <w:tcPr>
            <w:tcW w:w="4633" w:type="dxa"/>
          </w:tcPr>
          <w:p w14:paraId="32B08E7B" w14:textId="77777777" w:rsidR="000E52B0" w:rsidRDefault="00F60D74">
            <w:pPr>
              <w:pStyle w:val="TableParagraph"/>
              <w:spacing w:line="190" w:lineRule="atLeast"/>
              <w:ind w:left="68" w:right="43"/>
              <w:jc w:val="both"/>
              <w:rPr>
                <w:sz w:val="16"/>
              </w:rPr>
            </w:pPr>
            <w:r>
              <w:rPr>
                <w:sz w:val="16"/>
              </w:rPr>
              <w:t>Tiene</w:t>
            </w:r>
            <w:r>
              <w:rPr>
                <w:spacing w:val="-8"/>
                <w:sz w:val="16"/>
              </w:rPr>
              <w:t xml:space="preserve"> </w:t>
            </w:r>
            <w:r>
              <w:rPr>
                <w:sz w:val="16"/>
              </w:rPr>
              <w:t>por</w:t>
            </w:r>
            <w:r>
              <w:rPr>
                <w:spacing w:val="-8"/>
                <w:sz w:val="16"/>
              </w:rPr>
              <w:t xml:space="preserve"> </w:t>
            </w:r>
            <w:r>
              <w:rPr>
                <w:sz w:val="16"/>
              </w:rPr>
              <w:t>mandato</w:t>
            </w:r>
            <w:r>
              <w:rPr>
                <w:spacing w:val="-9"/>
                <w:sz w:val="16"/>
              </w:rPr>
              <w:t xml:space="preserve"> </w:t>
            </w:r>
            <w:r>
              <w:rPr>
                <w:sz w:val="16"/>
              </w:rPr>
              <w:t>asistir</w:t>
            </w:r>
            <w:r>
              <w:rPr>
                <w:spacing w:val="-8"/>
                <w:sz w:val="16"/>
              </w:rPr>
              <w:t xml:space="preserve"> </w:t>
            </w:r>
            <w:r>
              <w:rPr>
                <w:sz w:val="16"/>
              </w:rPr>
              <w:t>al</w:t>
            </w:r>
            <w:r>
              <w:rPr>
                <w:spacing w:val="-10"/>
                <w:sz w:val="16"/>
              </w:rPr>
              <w:t xml:space="preserve"> </w:t>
            </w:r>
            <w:r>
              <w:rPr>
                <w:sz w:val="16"/>
              </w:rPr>
              <w:t>presidente</w:t>
            </w:r>
            <w:r>
              <w:rPr>
                <w:spacing w:val="-9"/>
                <w:sz w:val="16"/>
              </w:rPr>
              <w:t xml:space="preserve"> </w:t>
            </w:r>
            <w:r>
              <w:rPr>
                <w:sz w:val="16"/>
              </w:rPr>
              <w:t>de</w:t>
            </w:r>
            <w:r>
              <w:rPr>
                <w:spacing w:val="-9"/>
                <w:sz w:val="16"/>
              </w:rPr>
              <w:t xml:space="preserve"> </w:t>
            </w:r>
            <w:r>
              <w:rPr>
                <w:sz w:val="16"/>
              </w:rPr>
              <w:t>la</w:t>
            </w:r>
            <w:r>
              <w:rPr>
                <w:spacing w:val="-10"/>
                <w:sz w:val="16"/>
              </w:rPr>
              <w:t xml:space="preserve"> </w:t>
            </w:r>
            <w:r>
              <w:rPr>
                <w:sz w:val="16"/>
              </w:rPr>
              <w:t>Nación</w:t>
            </w:r>
            <w:r>
              <w:rPr>
                <w:spacing w:val="-12"/>
                <w:sz w:val="16"/>
              </w:rPr>
              <w:t xml:space="preserve"> </w:t>
            </w:r>
            <w:r>
              <w:rPr>
                <w:sz w:val="16"/>
              </w:rPr>
              <w:t>y</w:t>
            </w:r>
            <w:r>
              <w:rPr>
                <w:spacing w:val="-7"/>
                <w:sz w:val="16"/>
              </w:rPr>
              <w:t xml:space="preserve"> </w:t>
            </w:r>
            <w:r>
              <w:rPr>
                <w:sz w:val="16"/>
              </w:rPr>
              <w:t>al jefe de Gabinete de ministros, en orden a sus competencias, en todo lo que hace al desarrollo social de</w:t>
            </w:r>
            <w:r>
              <w:rPr>
                <w:spacing w:val="-2"/>
                <w:sz w:val="16"/>
              </w:rPr>
              <w:t xml:space="preserve"> </w:t>
            </w:r>
            <w:r>
              <w:rPr>
                <w:sz w:val="16"/>
              </w:rPr>
              <w:t>las</w:t>
            </w:r>
            <w:r>
              <w:rPr>
                <w:spacing w:val="-4"/>
                <w:sz w:val="16"/>
              </w:rPr>
              <w:t xml:space="preserve"> </w:t>
            </w:r>
            <w:r>
              <w:rPr>
                <w:sz w:val="16"/>
              </w:rPr>
              <w:t>personas,</w:t>
            </w:r>
            <w:r>
              <w:rPr>
                <w:spacing w:val="-3"/>
                <w:sz w:val="16"/>
              </w:rPr>
              <w:t xml:space="preserve"> </w:t>
            </w:r>
            <w:r>
              <w:rPr>
                <w:sz w:val="16"/>
              </w:rPr>
              <w:t>las</w:t>
            </w:r>
            <w:r>
              <w:rPr>
                <w:spacing w:val="-4"/>
                <w:sz w:val="16"/>
              </w:rPr>
              <w:t xml:space="preserve"> </w:t>
            </w:r>
            <w:r>
              <w:rPr>
                <w:sz w:val="16"/>
              </w:rPr>
              <w:t>familias</w:t>
            </w:r>
            <w:r>
              <w:rPr>
                <w:spacing w:val="-2"/>
                <w:sz w:val="16"/>
              </w:rPr>
              <w:t xml:space="preserve"> </w:t>
            </w:r>
            <w:r>
              <w:rPr>
                <w:sz w:val="16"/>
              </w:rPr>
              <w:t>y</w:t>
            </w:r>
            <w:r>
              <w:rPr>
                <w:spacing w:val="-4"/>
                <w:sz w:val="16"/>
              </w:rPr>
              <w:t xml:space="preserve"> </w:t>
            </w:r>
            <w:r>
              <w:rPr>
                <w:sz w:val="16"/>
              </w:rPr>
              <w:t>las</w:t>
            </w:r>
            <w:r>
              <w:rPr>
                <w:spacing w:val="-2"/>
                <w:sz w:val="16"/>
              </w:rPr>
              <w:t xml:space="preserve"> </w:t>
            </w:r>
            <w:r>
              <w:rPr>
                <w:sz w:val="16"/>
              </w:rPr>
              <w:t>comunidades</w:t>
            </w:r>
            <w:r>
              <w:rPr>
                <w:spacing w:val="-4"/>
                <w:sz w:val="16"/>
              </w:rPr>
              <w:t xml:space="preserve"> </w:t>
            </w:r>
            <w:r>
              <w:rPr>
                <w:sz w:val="16"/>
              </w:rPr>
              <w:t>del</w:t>
            </w:r>
            <w:r>
              <w:rPr>
                <w:spacing w:val="-3"/>
                <w:sz w:val="16"/>
              </w:rPr>
              <w:t xml:space="preserve"> </w:t>
            </w:r>
            <w:r>
              <w:rPr>
                <w:sz w:val="16"/>
              </w:rPr>
              <w:t>país en un marco de derechos y equidad territorial.</w:t>
            </w:r>
          </w:p>
        </w:tc>
      </w:tr>
    </w:tbl>
    <w:p w14:paraId="31F128DC" w14:textId="77777777" w:rsidR="000E52B0" w:rsidRDefault="000E52B0">
      <w:pPr>
        <w:pStyle w:val="TableParagraph"/>
        <w:spacing w:line="190" w:lineRule="atLeast"/>
        <w:jc w:val="both"/>
        <w:rPr>
          <w:sz w:val="16"/>
        </w:rPr>
        <w:sectPr w:rsidR="000E52B0">
          <w:type w:val="continuous"/>
          <w:pgSz w:w="11910" w:h="16840"/>
          <w:pgMar w:top="1400" w:right="720" w:bottom="2504" w:left="720" w:header="0" w:footer="995" w:gutter="0"/>
          <w:cols w:space="720"/>
        </w:sectPr>
      </w:pPr>
    </w:p>
    <w:tbl>
      <w:tblPr>
        <w:tblStyle w:val="TableNormal"/>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89"/>
        <w:gridCol w:w="1563"/>
        <w:gridCol w:w="1532"/>
        <w:gridCol w:w="4633"/>
      </w:tblGrid>
      <w:tr w:rsidR="000E52B0" w14:paraId="51E9E780" w14:textId="77777777">
        <w:trPr>
          <w:trHeight w:val="542"/>
        </w:trPr>
        <w:tc>
          <w:tcPr>
            <w:tcW w:w="1289" w:type="dxa"/>
            <w:shd w:val="clear" w:color="auto" w:fill="D44673"/>
          </w:tcPr>
          <w:p w14:paraId="0BB95D23" w14:textId="77777777" w:rsidR="000E52B0" w:rsidRDefault="00F60D74">
            <w:pPr>
              <w:pStyle w:val="TableParagraph"/>
              <w:spacing w:before="175"/>
              <w:ind w:left="21" w:right="3"/>
              <w:jc w:val="center"/>
              <w:rPr>
                <w:b/>
                <w:sz w:val="16"/>
              </w:rPr>
            </w:pPr>
            <w:r>
              <w:rPr>
                <w:b/>
                <w:color w:val="FFFFFF"/>
                <w:spacing w:val="-4"/>
                <w:sz w:val="16"/>
              </w:rPr>
              <w:lastRenderedPageBreak/>
              <w:t>País</w:t>
            </w:r>
          </w:p>
        </w:tc>
        <w:tc>
          <w:tcPr>
            <w:tcW w:w="1563" w:type="dxa"/>
            <w:shd w:val="clear" w:color="auto" w:fill="D44673"/>
          </w:tcPr>
          <w:p w14:paraId="6136B9B1" w14:textId="77777777" w:rsidR="000E52B0" w:rsidRDefault="00F60D74">
            <w:pPr>
              <w:pStyle w:val="TableParagraph"/>
              <w:spacing w:before="175"/>
              <w:ind w:left="438"/>
              <w:rPr>
                <w:b/>
                <w:sz w:val="16"/>
              </w:rPr>
            </w:pPr>
            <w:r>
              <w:rPr>
                <w:b/>
                <w:color w:val="FFFFFF"/>
                <w:spacing w:val="-2"/>
                <w:sz w:val="16"/>
              </w:rPr>
              <w:t>Entidad</w:t>
            </w:r>
          </w:p>
        </w:tc>
        <w:tc>
          <w:tcPr>
            <w:tcW w:w="1532" w:type="dxa"/>
            <w:shd w:val="clear" w:color="auto" w:fill="D44673"/>
          </w:tcPr>
          <w:p w14:paraId="0B7E9B10" w14:textId="77777777" w:rsidR="000E52B0" w:rsidRDefault="00F60D74">
            <w:pPr>
              <w:pStyle w:val="TableParagraph"/>
              <w:spacing w:before="76"/>
              <w:ind w:left="373" w:right="353" w:firstLine="79"/>
              <w:rPr>
                <w:b/>
                <w:sz w:val="16"/>
              </w:rPr>
            </w:pPr>
            <w:r>
              <w:rPr>
                <w:b/>
                <w:color w:val="FFFFFF"/>
                <w:sz w:val="16"/>
              </w:rPr>
              <w:t xml:space="preserve">Año de </w:t>
            </w:r>
            <w:r>
              <w:rPr>
                <w:b/>
                <w:color w:val="FFFFFF"/>
                <w:spacing w:val="-2"/>
                <w:sz w:val="16"/>
              </w:rPr>
              <w:t>Creación</w:t>
            </w:r>
          </w:p>
        </w:tc>
        <w:tc>
          <w:tcPr>
            <w:tcW w:w="4633" w:type="dxa"/>
            <w:shd w:val="clear" w:color="auto" w:fill="D44673"/>
          </w:tcPr>
          <w:p w14:paraId="130F6D89" w14:textId="77777777" w:rsidR="000E52B0" w:rsidRDefault="00F60D74">
            <w:pPr>
              <w:pStyle w:val="TableParagraph"/>
              <w:spacing w:before="175"/>
              <w:ind w:left="1424"/>
              <w:rPr>
                <w:b/>
                <w:sz w:val="16"/>
              </w:rPr>
            </w:pPr>
            <w:r>
              <w:rPr>
                <w:b/>
                <w:color w:val="FFFFFF"/>
                <w:sz w:val="16"/>
              </w:rPr>
              <w:t>Misión</w:t>
            </w:r>
            <w:r>
              <w:rPr>
                <w:b/>
                <w:color w:val="FFFFFF"/>
                <w:spacing w:val="-6"/>
                <w:sz w:val="16"/>
              </w:rPr>
              <w:t xml:space="preserve"> </w:t>
            </w:r>
            <w:r>
              <w:rPr>
                <w:b/>
                <w:color w:val="FFFFFF"/>
                <w:spacing w:val="-2"/>
                <w:sz w:val="16"/>
              </w:rPr>
              <w:t>Institucional</w:t>
            </w:r>
          </w:p>
        </w:tc>
      </w:tr>
      <w:tr w:rsidR="000E52B0" w14:paraId="5D0CA6BA" w14:textId="77777777">
        <w:trPr>
          <w:trHeight w:val="1943"/>
        </w:trPr>
        <w:tc>
          <w:tcPr>
            <w:tcW w:w="1289" w:type="dxa"/>
          </w:tcPr>
          <w:p w14:paraId="15630553" w14:textId="77777777" w:rsidR="000E52B0" w:rsidRDefault="000E52B0">
            <w:pPr>
              <w:pStyle w:val="TableParagraph"/>
              <w:rPr>
                <w:sz w:val="16"/>
              </w:rPr>
            </w:pPr>
          </w:p>
          <w:p w14:paraId="12D0033E" w14:textId="77777777" w:rsidR="000E52B0" w:rsidRDefault="000E52B0">
            <w:pPr>
              <w:pStyle w:val="TableParagraph"/>
              <w:rPr>
                <w:sz w:val="16"/>
              </w:rPr>
            </w:pPr>
          </w:p>
          <w:p w14:paraId="51191CF1" w14:textId="77777777" w:rsidR="000E52B0" w:rsidRDefault="000E52B0">
            <w:pPr>
              <w:pStyle w:val="TableParagraph"/>
              <w:rPr>
                <w:sz w:val="16"/>
              </w:rPr>
            </w:pPr>
          </w:p>
          <w:p w14:paraId="4B7824F7" w14:textId="77777777" w:rsidR="000E52B0" w:rsidRDefault="000E52B0">
            <w:pPr>
              <w:pStyle w:val="TableParagraph"/>
              <w:spacing w:before="97"/>
              <w:rPr>
                <w:sz w:val="16"/>
              </w:rPr>
            </w:pPr>
          </w:p>
          <w:p w14:paraId="5B2EE248" w14:textId="77777777" w:rsidR="000E52B0" w:rsidRDefault="00F60D74">
            <w:pPr>
              <w:pStyle w:val="TableParagraph"/>
              <w:ind w:left="21" w:right="3"/>
              <w:jc w:val="center"/>
              <w:rPr>
                <w:b/>
                <w:sz w:val="16"/>
              </w:rPr>
            </w:pPr>
            <w:r>
              <w:rPr>
                <w:b/>
                <w:spacing w:val="-2"/>
                <w:sz w:val="16"/>
              </w:rPr>
              <w:t>México</w:t>
            </w:r>
          </w:p>
        </w:tc>
        <w:tc>
          <w:tcPr>
            <w:tcW w:w="1563" w:type="dxa"/>
          </w:tcPr>
          <w:p w14:paraId="30ABDA18" w14:textId="77777777" w:rsidR="000E52B0" w:rsidRDefault="000E52B0">
            <w:pPr>
              <w:pStyle w:val="TableParagraph"/>
              <w:rPr>
                <w:sz w:val="16"/>
              </w:rPr>
            </w:pPr>
          </w:p>
          <w:p w14:paraId="4BDAA0D0" w14:textId="77777777" w:rsidR="000E52B0" w:rsidRDefault="000E52B0">
            <w:pPr>
              <w:pStyle w:val="TableParagraph"/>
              <w:rPr>
                <w:sz w:val="16"/>
              </w:rPr>
            </w:pPr>
          </w:p>
          <w:p w14:paraId="1D581A17" w14:textId="77777777" w:rsidR="000E52B0" w:rsidRDefault="000E52B0">
            <w:pPr>
              <w:pStyle w:val="TableParagraph"/>
              <w:spacing w:before="193"/>
              <w:rPr>
                <w:sz w:val="16"/>
              </w:rPr>
            </w:pPr>
          </w:p>
          <w:p w14:paraId="57EDA59E" w14:textId="77777777" w:rsidR="000E52B0" w:rsidRDefault="00F60D74">
            <w:pPr>
              <w:pStyle w:val="TableParagraph"/>
              <w:ind w:left="352" w:right="133" w:hanging="197"/>
              <w:rPr>
                <w:b/>
                <w:sz w:val="16"/>
              </w:rPr>
            </w:pPr>
            <w:r>
              <w:rPr>
                <w:b/>
                <w:sz w:val="16"/>
              </w:rPr>
              <w:t>Secretaría</w:t>
            </w:r>
            <w:r>
              <w:rPr>
                <w:b/>
                <w:spacing w:val="-14"/>
                <w:sz w:val="16"/>
              </w:rPr>
              <w:t xml:space="preserve"> </w:t>
            </w:r>
            <w:r>
              <w:rPr>
                <w:b/>
                <w:sz w:val="16"/>
              </w:rPr>
              <w:t xml:space="preserve">del </w:t>
            </w:r>
            <w:r>
              <w:rPr>
                <w:b/>
                <w:spacing w:val="-2"/>
                <w:sz w:val="16"/>
              </w:rPr>
              <w:t>Bienestar</w:t>
            </w:r>
          </w:p>
        </w:tc>
        <w:tc>
          <w:tcPr>
            <w:tcW w:w="1532" w:type="dxa"/>
          </w:tcPr>
          <w:p w14:paraId="52F78041" w14:textId="77777777" w:rsidR="000E52B0" w:rsidRDefault="000E52B0">
            <w:pPr>
              <w:pStyle w:val="TableParagraph"/>
              <w:rPr>
                <w:sz w:val="16"/>
              </w:rPr>
            </w:pPr>
          </w:p>
          <w:p w14:paraId="7C001FFE" w14:textId="77777777" w:rsidR="000E52B0" w:rsidRDefault="000E52B0">
            <w:pPr>
              <w:pStyle w:val="TableParagraph"/>
              <w:rPr>
                <w:sz w:val="16"/>
              </w:rPr>
            </w:pPr>
          </w:p>
          <w:p w14:paraId="2BD84012" w14:textId="77777777" w:rsidR="000E52B0" w:rsidRDefault="000E52B0">
            <w:pPr>
              <w:pStyle w:val="TableParagraph"/>
              <w:rPr>
                <w:sz w:val="16"/>
              </w:rPr>
            </w:pPr>
          </w:p>
          <w:p w14:paraId="221EC27D" w14:textId="77777777" w:rsidR="000E52B0" w:rsidRDefault="000E52B0">
            <w:pPr>
              <w:pStyle w:val="TableParagraph"/>
              <w:spacing w:before="97"/>
              <w:rPr>
                <w:sz w:val="16"/>
              </w:rPr>
            </w:pPr>
          </w:p>
          <w:p w14:paraId="111807FC" w14:textId="77777777" w:rsidR="000E52B0" w:rsidRDefault="00F60D74">
            <w:pPr>
              <w:pStyle w:val="TableParagraph"/>
              <w:ind w:left="14"/>
              <w:jc w:val="center"/>
              <w:rPr>
                <w:b/>
                <w:sz w:val="16"/>
              </w:rPr>
            </w:pPr>
            <w:r>
              <w:rPr>
                <w:b/>
                <w:spacing w:val="-4"/>
                <w:sz w:val="16"/>
              </w:rPr>
              <w:t>2018</w:t>
            </w:r>
          </w:p>
        </w:tc>
        <w:tc>
          <w:tcPr>
            <w:tcW w:w="4633" w:type="dxa"/>
          </w:tcPr>
          <w:p w14:paraId="61F70877" w14:textId="77777777" w:rsidR="000E52B0" w:rsidRDefault="00F60D74">
            <w:pPr>
              <w:pStyle w:val="TableParagraph"/>
              <w:spacing w:line="194" w:lineRule="exact"/>
              <w:ind w:left="68" w:right="45"/>
              <w:jc w:val="both"/>
              <w:rPr>
                <w:sz w:val="16"/>
              </w:rPr>
            </w:pPr>
            <w:r>
              <w:rPr>
                <w:sz w:val="16"/>
              </w:rPr>
              <w:t>Tiene como función la coordinación, supervisión y seguimiento de las siguientes políticas: combate efectivo a la pobreza; atención específica a las necesidades</w:t>
            </w:r>
            <w:r>
              <w:rPr>
                <w:spacing w:val="-15"/>
                <w:sz w:val="16"/>
              </w:rPr>
              <w:t xml:space="preserve"> </w:t>
            </w:r>
            <w:r>
              <w:rPr>
                <w:sz w:val="16"/>
              </w:rPr>
              <w:t>de</w:t>
            </w:r>
            <w:r>
              <w:rPr>
                <w:spacing w:val="-14"/>
                <w:sz w:val="16"/>
              </w:rPr>
              <w:t xml:space="preserve"> </w:t>
            </w:r>
            <w:r>
              <w:rPr>
                <w:sz w:val="16"/>
              </w:rPr>
              <w:t>los</w:t>
            </w:r>
            <w:r>
              <w:rPr>
                <w:spacing w:val="-14"/>
                <w:sz w:val="16"/>
              </w:rPr>
              <w:t xml:space="preserve"> </w:t>
            </w:r>
            <w:r>
              <w:rPr>
                <w:sz w:val="16"/>
              </w:rPr>
              <w:t>sectores</w:t>
            </w:r>
            <w:r>
              <w:rPr>
                <w:spacing w:val="-14"/>
                <w:sz w:val="16"/>
              </w:rPr>
              <w:t xml:space="preserve"> </w:t>
            </w:r>
            <w:r>
              <w:rPr>
                <w:sz w:val="16"/>
              </w:rPr>
              <w:t>sociales</w:t>
            </w:r>
            <w:r>
              <w:rPr>
                <w:spacing w:val="-14"/>
                <w:sz w:val="16"/>
              </w:rPr>
              <w:t xml:space="preserve"> </w:t>
            </w:r>
            <w:r>
              <w:rPr>
                <w:sz w:val="16"/>
              </w:rPr>
              <w:t>más</w:t>
            </w:r>
            <w:r>
              <w:rPr>
                <w:spacing w:val="-14"/>
                <w:sz w:val="16"/>
              </w:rPr>
              <w:t xml:space="preserve"> </w:t>
            </w:r>
            <w:r>
              <w:rPr>
                <w:sz w:val="16"/>
              </w:rPr>
              <w:t>desprotegidos, en</w:t>
            </w:r>
            <w:r>
              <w:rPr>
                <w:spacing w:val="-3"/>
                <w:sz w:val="16"/>
              </w:rPr>
              <w:t xml:space="preserve"> </w:t>
            </w:r>
            <w:r>
              <w:rPr>
                <w:sz w:val="16"/>
              </w:rPr>
              <w:t>especial</w:t>
            </w:r>
            <w:r>
              <w:rPr>
                <w:spacing w:val="-3"/>
                <w:sz w:val="16"/>
              </w:rPr>
              <w:t xml:space="preserve"> </w:t>
            </w:r>
            <w:r>
              <w:rPr>
                <w:sz w:val="16"/>
              </w:rPr>
              <w:t>de</w:t>
            </w:r>
            <w:r>
              <w:rPr>
                <w:spacing w:val="-2"/>
                <w:sz w:val="16"/>
              </w:rPr>
              <w:t xml:space="preserve"> </w:t>
            </w:r>
            <w:r>
              <w:rPr>
                <w:sz w:val="16"/>
              </w:rPr>
              <w:t>los</w:t>
            </w:r>
            <w:r>
              <w:rPr>
                <w:spacing w:val="-4"/>
                <w:sz w:val="16"/>
              </w:rPr>
              <w:t xml:space="preserve"> </w:t>
            </w:r>
            <w:r>
              <w:rPr>
                <w:sz w:val="16"/>
              </w:rPr>
              <w:t>pobladores</w:t>
            </w:r>
            <w:r>
              <w:rPr>
                <w:spacing w:val="-7"/>
                <w:sz w:val="16"/>
              </w:rPr>
              <w:t xml:space="preserve"> </w:t>
            </w:r>
            <w:r>
              <w:rPr>
                <w:sz w:val="16"/>
              </w:rPr>
              <w:t>de</w:t>
            </w:r>
            <w:r>
              <w:rPr>
                <w:spacing w:val="-2"/>
                <w:sz w:val="16"/>
              </w:rPr>
              <w:t xml:space="preserve"> </w:t>
            </w:r>
            <w:r>
              <w:rPr>
                <w:sz w:val="16"/>
              </w:rPr>
              <w:t>las</w:t>
            </w:r>
            <w:r>
              <w:rPr>
                <w:spacing w:val="-2"/>
                <w:sz w:val="16"/>
              </w:rPr>
              <w:t xml:space="preserve"> </w:t>
            </w:r>
            <w:r>
              <w:rPr>
                <w:sz w:val="16"/>
              </w:rPr>
              <w:t>zonas</w:t>
            </w:r>
            <w:r>
              <w:rPr>
                <w:spacing w:val="-2"/>
                <w:sz w:val="16"/>
              </w:rPr>
              <w:t xml:space="preserve"> </w:t>
            </w:r>
            <w:r>
              <w:rPr>
                <w:sz w:val="16"/>
              </w:rPr>
              <w:t>áridas</w:t>
            </w:r>
            <w:r>
              <w:rPr>
                <w:spacing w:val="-2"/>
                <w:sz w:val="16"/>
              </w:rPr>
              <w:t xml:space="preserve"> </w:t>
            </w:r>
            <w:r>
              <w:rPr>
                <w:sz w:val="16"/>
              </w:rPr>
              <w:t>de</w:t>
            </w:r>
            <w:r>
              <w:rPr>
                <w:spacing w:val="-2"/>
                <w:sz w:val="16"/>
              </w:rPr>
              <w:t xml:space="preserve"> </w:t>
            </w:r>
            <w:r>
              <w:rPr>
                <w:sz w:val="16"/>
              </w:rPr>
              <w:t>las áreas</w:t>
            </w:r>
            <w:r>
              <w:rPr>
                <w:spacing w:val="-2"/>
                <w:sz w:val="16"/>
              </w:rPr>
              <w:t xml:space="preserve"> </w:t>
            </w:r>
            <w:r>
              <w:rPr>
                <w:sz w:val="16"/>
              </w:rPr>
              <w:t>rurales,</w:t>
            </w:r>
            <w:r>
              <w:rPr>
                <w:spacing w:val="-1"/>
                <w:sz w:val="16"/>
              </w:rPr>
              <w:t xml:space="preserve"> </w:t>
            </w:r>
            <w:r>
              <w:rPr>
                <w:sz w:val="16"/>
              </w:rPr>
              <w:t>así</w:t>
            </w:r>
            <w:r>
              <w:rPr>
                <w:spacing w:val="-1"/>
                <w:sz w:val="16"/>
              </w:rPr>
              <w:t xml:space="preserve"> </w:t>
            </w:r>
            <w:r>
              <w:rPr>
                <w:sz w:val="16"/>
              </w:rPr>
              <w:t>como</w:t>
            </w:r>
            <w:r>
              <w:rPr>
                <w:spacing w:val="-2"/>
                <w:sz w:val="16"/>
              </w:rPr>
              <w:t xml:space="preserve"> </w:t>
            </w:r>
            <w:r>
              <w:rPr>
                <w:sz w:val="16"/>
              </w:rPr>
              <w:t>de los</w:t>
            </w:r>
            <w:r>
              <w:rPr>
                <w:spacing w:val="-2"/>
                <w:sz w:val="16"/>
              </w:rPr>
              <w:t xml:space="preserve"> </w:t>
            </w:r>
            <w:r>
              <w:rPr>
                <w:sz w:val="16"/>
              </w:rPr>
              <w:t>colonos</w:t>
            </w:r>
            <w:r>
              <w:rPr>
                <w:spacing w:val="-2"/>
                <w:sz w:val="16"/>
              </w:rPr>
              <w:t xml:space="preserve"> </w:t>
            </w:r>
            <w:r>
              <w:rPr>
                <w:sz w:val="16"/>
              </w:rPr>
              <w:t>y</w:t>
            </w:r>
            <w:r>
              <w:rPr>
                <w:spacing w:val="-1"/>
                <w:sz w:val="16"/>
              </w:rPr>
              <w:t xml:space="preserve"> </w:t>
            </w:r>
            <w:r>
              <w:rPr>
                <w:sz w:val="16"/>
              </w:rPr>
              <w:t>marginados</w:t>
            </w:r>
            <w:r>
              <w:rPr>
                <w:spacing w:val="-2"/>
                <w:sz w:val="16"/>
              </w:rPr>
              <w:t xml:space="preserve"> </w:t>
            </w:r>
            <w:r>
              <w:rPr>
                <w:sz w:val="16"/>
              </w:rPr>
              <w:t>de las áreas urbanas; y atención preponderante a los derechos de la niñez, de la juventud, de los adultos mayores,</w:t>
            </w:r>
            <w:r>
              <w:rPr>
                <w:spacing w:val="-15"/>
                <w:sz w:val="16"/>
              </w:rPr>
              <w:t xml:space="preserve"> </w:t>
            </w:r>
            <w:r>
              <w:rPr>
                <w:sz w:val="16"/>
              </w:rPr>
              <w:t>de</w:t>
            </w:r>
            <w:r>
              <w:rPr>
                <w:spacing w:val="-14"/>
                <w:sz w:val="16"/>
              </w:rPr>
              <w:t xml:space="preserve"> </w:t>
            </w:r>
            <w:r>
              <w:rPr>
                <w:sz w:val="16"/>
              </w:rPr>
              <w:t>los</w:t>
            </w:r>
            <w:r>
              <w:rPr>
                <w:spacing w:val="-14"/>
                <w:sz w:val="16"/>
              </w:rPr>
              <w:t xml:space="preserve"> </w:t>
            </w:r>
            <w:r>
              <w:rPr>
                <w:sz w:val="16"/>
              </w:rPr>
              <w:t>pueblos</w:t>
            </w:r>
            <w:r>
              <w:rPr>
                <w:spacing w:val="-14"/>
                <w:sz w:val="16"/>
              </w:rPr>
              <w:t xml:space="preserve"> </w:t>
            </w:r>
            <w:r>
              <w:rPr>
                <w:sz w:val="16"/>
              </w:rPr>
              <w:t>indígenas</w:t>
            </w:r>
            <w:r>
              <w:rPr>
                <w:spacing w:val="-12"/>
                <w:sz w:val="16"/>
              </w:rPr>
              <w:t xml:space="preserve"> </w:t>
            </w:r>
            <w:r>
              <w:rPr>
                <w:sz w:val="16"/>
              </w:rPr>
              <w:t>y</w:t>
            </w:r>
            <w:r>
              <w:rPr>
                <w:spacing w:val="-13"/>
                <w:sz w:val="16"/>
              </w:rPr>
              <w:t xml:space="preserve"> </w:t>
            </w:r>
            <w:r>
              <w:rPr>
                <w:sz w:val="16"/>
              </w:rPr>
              <w:t>de</w:t>
            </w:r>
            <w:r>
              <w:rPr>
                <w:spacing w:val="-12"/>
                <w:sz w:val="16"/>
              </w:rPr>
              <w:t xml:space="preserve"> </w:t>
            </w:r>
            <w:r>
              <w:rPr>
                <w:sz w:val="16"/>
              </w:rPr>
              <w:t>las</w:t>
            </w:r>
            <w:r>
              <w:rPr>
                <w:spacing w:val="-15"/>
                <w:sz w:val="16"/>
              </w:rPr>
              <w:t xml:space="preserve"> </w:t>
            </w:r>
            <w:r>
              <w:rPr>
                <w:sz w:val="16"/>
              </w:rPr>
              <w:t>personas</w:t>
            </w:r>
            <w:r>
              <w:rPr>
                <w:spacing w:val="-11"/>
                <w:sz w:val="16"/>
              </w:rPr>
              <w:t xml:space="preserve"> </w:t>
            </w:r>
            <w:r>
              <w:rPr>
                <w:sz w:val="16"/>
              </w:rPr>
              <w:t xml:space="preserve">con </w:t>
            </w:r>
            <w:r>
              <w:rPr>
                <w:spacing w:val="-2"/>
                <w:sz w:val="16"/>
              </w:rPr>
              <w:t>discapacidad.</w:t>
            </w:r>
          </w:p>
        </w:tc>
      </w:tr>
      <w:tr w:rsidR="000E52B0" w14:paraId="7081595C" w14:textId="77777777">
        <w:trPr>
          <w:trHeight w:val="1751"/>
        </w:trPr>
        <w:tc>
          <w:tcPr>
            <w:tcW w:w="1289" w:type="dxa"/>
          </w:tcPr>
          <w:p w14:paraId="4965242E" w14:textId="77777777" w:rsidR="000E52B0" w:rsidRDefault="000E52B0">
            <w:pPr>
              <w:pStyle w:val="TableParagraph"/>
              <w:rPr>
                <w:sz w:val="16"/>
              </w:rPr>
            </w:pPr>
          </w:p>
          <w:p w14:paraId="4829E728" w14:textId="77777777" w:rsidR="000E52B0" w:rsidRDefault="000E52B0">
            <w:pPr>
              <w:pStyle w:val="TableParagraph"/>
              <w:rPr>
                <w:sz w:val="16"/>
              </w:rPr>
            </w:pPr>
          </w:p>
          <w:p w14:paraId="0A95B955" w14:textId="77777777" w:rsidR="000E52B0" w:rsidRDefault="000E52B0">
            <w:pPr>
              <w:pStyle w:val="TableParagraph"/>
              <w:rPr>
                <w:sz w:val="16"/>
              </w:rPr>
            </w:pPr>
          </w:p>
          <w:p w14:paraId="2CF3B684" w14:textId="77777777" w:rsidR="000E52B0" w:rsidRDefault="000E52B0">
            <w:pPr>
              <w:pStyle w:val="TableParagraph"/>
              <w:spacing w:before="1"/>
              <w:rPr>
                <w:sz w:val="16"/>
              </w:rPr>
            </w:pPr>
          </w:p>
          <w:p w14:paraId="1CADA81E" w14:textId="77777777" w:rsidR="000E52B0" w:rsidRDefault="00F60D74">
            <w:pPr>
              <w:pStyle w:val="TableParagraph"/>
              <w:ind w:left="21" w:right="1"/>
              <w:jc w:val="center"/>
              <w:rPr>
                <w:b/>
                <w:sz w:val="16"/>
              </w:rPr>
            </w:pPr>
            <w:r>
              <w:rPr>
                <w:b/>
                <w:spacing w:val="-2"/>
                <w:sz w:val="16"/>
              </w:rPr>
              <w:t>Paraguay</w:t>
            </w:r>
          </w:p>
        </w:tc>
        <w:tc>
          <w:tcPr>
            <w:tcW w:w="1563" w:type="dxa"/>
          </w:tcPr>
          <w:p w14:paraId="4D174949" w14:textId="77777777" w:rsidR="000E52B0" w:rsidRDefault="000E52B0">
            <w:pPr>
              <w:pStyle w:val="TableParagraph"/>
              <w:rPr>
                <w:sz w:val="16"/>
              </w:rPr>
            </w:pPr>
          </w:p>
          <w:p w14:paraId="11634CD0" w14:textId="77777777" w:rsidR="000E52B0" w:rsidRDefault="000E52B0">
            <w:pPr>
              <w:pStyle w:val="TableParagraph"/>
              <w:rPr>
                <w:sz w:val="16"/>
              </w:rPr>
            </w:pPr>
          </w:p>
          <w:p w14:paraId="2986927E" w14:textId="77777777" w:rsidR="000E52B0" w:rsidRDefault="000E52B0">
            <w:pPr>
              <w:pStyle w:val="TableParagraph"/>
              <w:spacing w:before="1"/>
              <w:rPr>
                <w:sz w:val="16"/>
              </w:rPr>
            </w:pPr>
          </w:p>
          <w:p w14:paraId="2AAEB7D4" w14:textId="77777777" w:rsidR="000E52B0" w:rsidRDefault="00F60D74">
            <w:pPr>
              <w:pStyle w:val="TableParagraph"/>
              <w:ind w:left="196" w:right="177"/>
              <w:jc w:val="center"/>
              <w:rPr>
                <w:b/>
                <w:sz w:val="16"/>
              </w:rPr>
            </w:pPr>
            <w:r>
              <w:rPr>
                <w:b/>
                <w:sz w:val="16"/>
              </w:rPr>
              <w:t>Ministerio</w:t>
            </w:r>
            <w:r>
              <w:rPr>
                <w:b/>
                <w:spacing w:val="-14"/>
                <w:sz w:val="16"/>
              </w:rPr>
              <w:t xml:space="preserve"> </w:t>
            </w:r>
            <w:r>
              <w:rPr>
                <w:b/>
                <w:sz w:val="16"/>
              </w:rPr>
              <w:t xml:space="preserve">de </w:t>
            </w:r>
            <w:r>
              <w:rPr>
                <w:b/>
                <w:spacing w:val="-2"/>
                <w:sz w:val="16"/>
              </w:rPr>
              <w:t>Desarrollo Social</w:t>
            </w:r>
          </w:p>
        </w:tc>
        <w:tc>
          <w:tcPr>
            <w:tcW w:w="1532" w:type="dxa"/>
          </w:tcPr>
          <w:p w14:paraId="0BCF0182" w14:textId="77777777" w:rsidR="000E52B0" w:rsidRDefault="000E52B0">
            <w:pPr>
              <w:pStyle w:val="TableParagraph"/>
              <w:rPr>
                <w:sz w:val="16"/>
              </w:rPr>
            </w:pPr>
          </w:p>
          <w:p w14:paraId="1F798243" w14:textId="77777777" w:rsidR="000E52B0" w:rsidRDefault="000E52B0">
            <w:pPr>
              <w:pStyle w:val="TableParagraph"/>
              <w:rPr>
                <w:sz w:val="16"/>
              </w:rPr>
            </w:pPr>
          </w:p>
          <w:p w14:paraId="13871A5C" w14:textId="77777777" w:rsidR="000E52B0" w:rsidRDefault="000E52B0">
            <w:pPr>
              <w:pStyle w:val="TableParagraph"/>
              <w:rPr>
                <w:sz w:val="16"/>
              </w:rPr>
            </w:pPr>
          </w:p>
          <w:p w14:paraId="410B02FB" w14:textId="77777777" w:rsidR="000E52B0" w:rsidRDefault="000E52B0">
            <w:pPr>
              <w:pStyle w:val="TableParagraph"/>
              <w:spacing w:before="1"/>
              <w:rPr>
                <w:sz w:val="16"/>
              </w:rPr>
            </w:pPr>
          </w:p>
          <w:p w14:paraId="5E7E1C91" w14:textId="77777777" w:rsidR="000E52B0" w:rsidRDefault="00F60D74">
            <w:pPr>
              <w:pStyle w:val="TableParagraph"/>
              <w:ind w:left="14"/>
              <w:jc w:val="center"/>
              <w:rPr>
                <w:b/>
                <w:sz w:val="16"/>
              </w:rPr>
            </w:pPr>
            <w:r>
              <w:rPr>
                <w:b/>
                <w:spacing w:val="-4"/>
                <w:sz w:val="16"/>
              </w:rPr>
              <w:t>2018</w:t>
            </w:r>
          </w:p>
        </w:tc>
        <w:tc>
          <w:tcPr>
            <w:tcW w:w="4633" w:type="dxa"/>
          </w:tcPr>
          <w:p w14:paraId="271AC829" w14:textId="77777777" w:rsidR="000E52B0" w:rsidRDefault="00F60D74">
            <w:pPr>
              <w:pStyle w:val="TableParagraph"/>
              <w:spacing w:before="2"/>
              <w:ind w:left="68" w:right="45"/>
              <w:jc w:val="both"/>
              <w:rPr>
                <w:sz w:val="16"/>
              </w:rPr>
            </w:pPr>
            <w:r>
              <w:rPr>
                <w:sz w:val="16"/>
              </w:rPr>
              <w:t>Tiene</w:t>
            </w:r>
            <w:r>
              <w:rPr>
                <w:spacing w:val="-15"/>
                <w:sz w:val="16"/>
              </w:rPr>
              <w:t xml:space="preserve"> </w:t>
            </w:r>
            <w:r>
              <w:rPr>
                <w:sz w:val="16"/>
              </w:rPr>
              <w:t>por</w:t>
            </w:r>
            <w:r>
              <w:rPr>
                <w:spacing w:val="-14"/>
                <w:sz w:val="16"/>
              </w:rPr>
              <w:t xml:space="preserve"> </w:t>
            </w:r>
            <w:r>
              <w:rPr>
                <w:sz w:val="16"/>
              </w:rPr>
              <w:t>objeto</w:t>
            </w:r>
            <w:r>
              <w:rPr>
                <w:spacing w:val="-14"/>
                <w:sz w:val="16"/>
              </w:rPr>
              <w:t xml:space="preserve"> </w:t>
            </w:r>
            <w:r>
              <w:rPr>
                <w:sz w:val="16"/>
              </w:rPr>
              <w:t>el</w:t>
            </w:r>
            <w:r>
              <w:rPr>
                <w:spacing w:val="-14"/>
                <w:sz w:val="16"/>
              </w:rPr>
              <w:t xml:space="preserve"> </w:t>
            </w:r>
            <w:r>
              <w:rPr>
                <w:sz w:val="16"/>
              </w:rPr>
              <w:t>diseño</w:t>
            </w:r>
            <w:r>
              <w:rPr>
                <w:spacing w:val="-14"/>
                <w:sz w:val="16"/>
              </w:rPr>
              <w:t xml:space="preserve"> </w:t>
            </w:r>
            <w:r>
              <w:rPr>
                <w:sz w:val="16"/>
              </w:rPr>
              <w:t>e</w:t>
            </w:r>
            <w:r>
              <w:rPr>
                <w:spacing w:val="-14"/>
                <w:sz w:val="16"/>
              </w:rPr>
              <w:t xml:space="preserve"> </w:t>
            </w:r>
            <w:r>
              <w:rPr>
                <w:sz w:val="16"/>
              </w:rPr>
              <w:t>implementación</w:t>
            </w:r>
            <w:r>
              <w:rPr>
                <w:spacing w:val="-14"/>
                <w:sz w:val="16"/>
              </w:rPr>
              <w:t xml:space="preserve"> </w:t>
            </w:r>
            <w:r>
              <w:rPr>
                <w:sz w:val="16"/>
              </w:rPr>
              <w:t>de</w:t>
            </w:r>
            <w:r>
              <w:rPr>
                <w:spacing w:val="-14"/>
                <w:sz w:val="16"/>
              </w:rPr>
              <w:t xml:space="preserve"> </w:t>
            </w:r>
            <w:r>
              <w:rPr>
                <w:sz w:val="16"/>
              </w:rPr>
              <w:t>políticas, planes, programas y proyectos tendientes a reducir las desigualdades y a mejorar la calidad de vida de la población en</w:t>
            </w:r>
            <w:r>
              <w:rPr>
                <w:spacing w:val="-2"/>
                <w:sz w:val="16"/>
              </w:rPr>
              <w:t xml:space="preserve"> </w:t>
            </w:r>
            <w:r>
              <w:rPr>
                <w:sz w:val="16"/>
              </w:rPr>
              <w:t>situación</w:t>
            </w:r>
            <w:r>
              <w:rPr>
                <w:spacing w:val="-1"/>
                <w:sz w:val="16"/>
              </w:rPr>
              <w:t xml:space="preserve"> </w:t>
            </w:r>
            <w:r>
              <w:rPr>
                <w:sz w:val="16"/>
              </w:rPr>
              <w:t>de</w:t>
            </w:r>
            <w:r>
              <w:rPr>
                <w:spacing w:val="-1"/>
                <w:sz w:val="16"/>
              </w:rPr>
              <w:t xml:space="preserve"> </w:t>
            </w:r>
            <w:r>
              <w:rPr>
                <w:sz w:val="16"/>
              </w:rPr>
              <w:t>pobreza</w:t>
            </w:r>
            <w:r>
              <w:rPr>
                <w:spacing w:val="-2"/>
                <w:sz w:val="16"/>
              </w:rPr>
              <w:t xml:space="preserve"> </w:t>
            </w:r>
            <w:r>
              <w:rPr>
                <w:sz w:val="16"/>
              </w:rPr>
              <w:t>y vulnerabilidad,</w:t>
            </w:r>
            <w:r>
              <w:rPr>
                <w:spacing w:val="-2"/>
                <w:sz w:val="16"/>
              </w:rPr>
              <w:t xml:space="preserve"> </w:t>
            </w:r>
            <w:r>
              <w:rPr>
                <w:sz w:val="16"/>
              </w:rPr>
              <w:t>con un enfoque a lo largo del ciclo de vida, fundado en los principios constitucionales y valores del respeto a los derechos humanos, justicia social, equidad, inclusión, solidaridad,</w:t>
            </w:r>
            <w:r>
              <w:rPr>
                <w:spacing w:val="-6"/>
                <w:sz w:val="16"/>
              </w:rPr>
              <w:t xml:space="preserve"> </w:t>
            </w:r>
            <w:r>
              <w:rPr>
                <w:sz w:val="16"/>
              </w:rPr>
              <w:t>sostenibilidad,</w:t>
            </w:r>
            <w:r>
              <w:rPr>
                <w:spacing w:val="-5"/>
                <w:sz w:val="16"/>
              </w:rPr>
              <w:t xml:space="preserve"> </w:t>
            </w:r>
            <w:r>
              <w:rPr>
                <w:sz w:val="16"/>
              </w:rPr>
              <w:t>igualdad</w:t>
            </w:r>
            <w:r>
              <w:rPr>
                <w:spacing w:val="-4"/>
                <w:sz w:val="16"/>
              </w:rPr>
              <w:t xml:space="preserve"> </w:t>
            </w:r>
            <w:r>
              <w:rPr>
                <w:sz w:val="16"/>
              </w:rPr>
              <w:t>de</w:t>
            </w:r>
            <w:r>
              <w:rPr>
                <w:spacing w:val="-6"/>
                <w:sz w:val="16"/>
              </w:rPr>
              <w:t xml:space="preserve"> </w:t>
            </w:r>
            <w:r>
              <w:rPr>
                <w:sz w:val="16"/>
              </w:rPr>
              <w:t>oportunidades</w:t>
            </w:r>
            <w:r>
              <w:rPr>
                <w:spacing w:val="-4"/>
                <w:sz w:val="16"/>
              </w:rPr>
              <w:t xml:space="preserve"> </w:t>
            </w:r>
            <w:r>
              <w:rPr>
                <w:spacing w:val="-10"/>
                <w:sz w:val="16"/>
              </w:rPr>
              <w:t>y</w:t>
            </w:r>
          </w:p>
          <w:p w14:paraId="497D8C6F" w14:textId="77777777" w:rsidR="000E52B0" w:rsidRDefault="00F60D74">
            <w:pPr>
              <w:pStyle w:val="TableParagraph"/>
              <w:spacing w:line="174" w:lineRule="exact"/>
              <w:ind w:left="68"/>
              <w:jc w:val="both"/>
              <w:rPr>
                <w:sz w:val="16"/>
              </w:rPr>
            </w:pPr>
            <w:r>
              <w:rPr>
                <w:sz w:val="16"/>
              </w:rPr>
              <w:t>participación</w:t>
            </w:r>
            <w:r>
              <w:rPr>
                <w:spacing w:val="-15"/>
                <w:sz w:val="16"/>
              </w:rPr>
              <w:t xml:space="preserve"> </w:t>
            </w:r>
            <w:r>
              <w:rPr>
                <w:spacing w:val="-2"/>
                <w:sz w:val="16"/>
              </w:rPr>
              <w:t>social.</w:t>
            </w:r>
          </w:p>
        </w:tc>
      </w:tr>
      <w:tr w:rsidR="000E52B0" w14:paraId="7DCF1D52" w14:textId="77777777">
        <w:trPr>
          <w:trHeight w:val="971"/>
        </w:trPr>
        <w:tc>
          <w:tcPr>
            <w:tcW w:w="1289" w:type="dxa"/>
          </w:tcPr>
          <w:p w14:paraId="2D4E12DD" w14:textId="77777777" w:rsidR="000E52B0" w:rsidRDefault="000E52B0">
            <w:pPr>
              <w:pStyle w:val="TableParagraph"/>
              <w:spacing w:before="193"/>
              <w:rPr>
                <w:sz w:val="16"/>
              </w:rPr>
            </w:pPr>
          </w:p>
          <w:p w14:paraId="27366641" w14:textId="77777777" w:rsidR="000E52B0" w:rsidRDefault="00F60D74">
            <w:pPr>
              <w:pStyle w:val="TableParagraph"/>
              <w:spacing w:before="1"/>
              <w:ind w:left="21" w:right="3"/>
              <w:jc w:val="center"/>
              <w:rPr>
                <w:b/>
                <w:sz w:val="16"/>
              </w:rPr>
            </w:pPr>
            <w:r>
              <w:rPr>
                <w:b/>
                <w:spacing w:val="-2"/>
                <w:sz w:val="16"/>
              </w:rPr>
              <w:t>Argentina</w:t>
            </w:r>
          </w:p>
        </w:tc>
        <w:tc>
          <w:tcPr>
            <w:tcW w:w="1563" w:type="dxa"/>
          </w:tcPr>
          <w:p w14:paraId="6CFD8767" w14:textId="77777777" w:rsidR="000E52B0" w:rsidRDefault="00F60D74">
            <w:pPr>
              <w:pStyle w:val="TableParagraph"/>
              <w:spacing w:before="98"/>
              <w:ind w:left="131" w:right="112"/>
              <w:jc w:val="center"/>
              <w:rPr>
                <w:b/>
                <w:sz w:val="16"/>
              </w:rPr>
            </w:pPr>
            <w:r>
              <w:rPr>
                <w:b/>
                <w:sz w:val="16"/>
              </w:rPr>
              <w:t>Ministerio</w:t>
            </w:r>
            <w:r>
              <w:rPr>
                <w:b/>
                <w:spacing w:val="-14"/>
                <w:sz w:val="16"/>
              </w:rPr>
              <w:t xml:space="preserve"> </w:t>
            </w:r>
            <w:r>
              <w:rPr>
                <w:b/>
                <w:sz w:val="16"/>
              </w:rPr>
              <w:t xml:space="preserve">de las Mujeres, Géneros y </w:t>
            </w:r>
            <w:r>
              <w:rPr>
                <w:b/>
                <w:spacing w:val="-2"/>
                <w:sz w:val="16"/>
              </w:rPr>
              <w:t>Diversidad</w:t>
            </w:r>
          </w:p>
        </w:tc>
        <w:tc>
          <w:tcPr>
            <w:tcW w:w="1532" w:type="dxa"/>
          </w:tcPr>
          <w:p w14:paraId="554078AC" w14:textId="77777777" w:rsidR="000E52B0" w:rsidRDefault="000E52B0">
            <w:pPr>
              <w:pStyle w:val="TableParagraph"/>
              <w:spacing w:before="193"/>
              <w:rPr>
                <w:sz w:val="16"/>
              </w:rPr>
            </w:pPr>
          </w:p>
          <w:p w14:paraId="25623ADF" w14:textId="77777777" w:rsidR="000E52B0" w:rsidRDefault="00F60D74">
            <w:pPr>
              <w:pStyle w:val="TableParagraph"/>
              <w:spacing w:before="1"/>
              <w:ind w:left="14"/>
              <w:jc w:val="center"/>
              <w:rPr>
                <w:b/>
                <w:sz w:val="16"/>
              </w:rPr>
            </w:pPr>
            <w:r>
              <w:rPr>
                <w:b/>
                <w:spacing w:val="-4"/>
                <w:sz w:val="16"/>
              </w:rPr>
              <w:t>2019</w:t>
            </w:r>
          </w:p>
        </w:tc>
        <w:tc>
          <w:tcPr>
            <w:tcW w:w="4633" w:type="dxa"/>
          </w:tcPr>
          <w:p w14:paraId="4479556D" w14:textId="77777777" w:rsidR="000E52B0" w:rsidRDefault="00F60D74">
            <w:pPr>
              <w:pStyle w:val="TableParagraph"/>
              <w:spacing w:line="194" w:lineRule="exact"/>
              <w:ind w:left="68" w:right="47"/>
              <w:jc w:val="both"/>
              <w:rPr>
                <w:sz w:val="16"/>
              </w:rPr>
            </w:pPr>
            <w:r>
              <w:rPr>
                <w:sz w:val="16"/>
              </w:rPr>
              <w:t>Busca ejecutar y evaluar políticas públicas nacionales para prevenir, erradicar y reparar la violencia por razones de género y para asistir integralmente a las víctimas en todos los ámbitos en</w:t>
            </w:r>
            <w:r>
              <w:rPr>
                <w:spacing w:val="-1"/>
                <w:sz w:val="16"/>
              </w:rPr>
              <w:t xml:space="preserve"> </w:t>
            </w:r>
            <w:r>
              <w:rPr>
                <w:sz w:val="16"/>
              </w:rPr>
              <w:t>que</w:t>
            </w:r>
            <w:r>
              <w:rPr>
                <w:spacing w:val="-2"/>
                <w:sz w:val="16"/>
              </w:rPr>
              <w:t xml:space="preserve"> </w:t>
            </w:r>
            <w:r>
              <w:rPr>
                <w:sz w:val="16"/>
              </w:rPr>
              <w:t>se desarrollan</w:t>
            </w:r>
            <w:r>
              <w:rPr>
                <w:spacing w:val="-1"/>
                <w:sz w:val="16"/>
              </w:rPr>
              <w:t xml:space="preserve"> </w:t>
            </w:r>
            <w:r>
              <w:rPr>
                <w:sz w:val="16"/>
              </w:rPr>
              <w:t>las relaciones interpersonales.</w:t>
            </w:r>
          </w:p>
        </w:tc>
      </w:tr>
      <w:tr w:rsidR="000E52B0" w14:paraId="5CE4F16D" w14:textId="77777777">
        <w:trPr>
          <w:trHeight w:val="1141"/>
        </w:trPr>
        <w:tc>
          <w:tcPr>
            <w:tcW w:w="1289" w:type="dxa"/>
          </w:tcPr>
          <w:p w14:paraId="0DA4D41E" w14:textId="77777777" w:rsidR="000E52B0" w:rsidRDefault="000E52B0">
            <w:pPr>
              <w:pStyle w:val="TableParagraph"/>
              <w:rPr>
                <w:sz w:val="16"/>
              </w:rPr>
            </w:pPr>
          </w:p>
          <w:p w14:paraId="076A4A29" w14:textId="77777777" w:rsidR="000E52B0" w:rsidRDefault="000E52B0">
            <w:pPr>
              <w:pStyle w:val="TableParagraph"/>
              <w:spacing w:before="85"/>
              <w:rPr>
                <w:sz w:val="16"/>
              </w:rPr>
            </w:pPr>
          </w:p>
          <w:p w14:paraId="13ABB068" w14:textId="77777777" w:rsidR="000E52B0" w:rsidRDefault="00F60D74">
            <w:pPr>
              <w:pStyle w:val="TableParagraph"/>
              <w:spacing w:before="1"/>
              <w:ind w:left="21" w:right="3"/>
              <w:jc w:val="center"/>
              <w:rPr>
                <w:b/>
                <w:sz w:val="16"/>
              </w:rPr>
            </w:pPr>
            <w:r>
              <w:rPr>
                <w:b/>
                <w:spacing w:val="-2"/>
                <w:sz w:val="16"/>
              </w:rPr>
              <w:t>Brasil</w:t>
            </w:r>
          </w:p>
        </w:tc>
        <w:tc>
          <w:tcPr>
            <w:tcW w:w="1563" w:type="dxa"/>
          </w:tcPr>
          <w:p w14:paraId="3C9B5162" w14:textId="77777777" w:rsidR="000E52B0" w:rsidRDefault="000E52B0">
            <w:pPr>
              <w:pStyle w:val="TableParagraph"/>
              <w:spacing w:before="181"/>
              <w:rPr>
                <w:sz w:val="16"/>
              </w:rPr>
            </w:pPr>
          </w:p>
          <w:p w14:paraId="2D8E0102" w14:textId="77777777" w:rsidR="000E52B0" w:rsidRDefault="00F60D74">
            <w:pPr>
              <w:pStyle w:val="TableParagraph"/>
              <w:spacing w:before="1"/>
              <w:ind w:left="280" w:right="174" w:hanging="84"/>
              <w:rPr>
                <w:b/>
                <w:sz w:val="16"/>
              </w:rPr>
            </w:pPr>
            <w:r>
              <w:rPr>
                <w:b/>
                <w:sz w:val="16"/>
              </w:rPr>
              <w:t>Ministerio</w:t>
            </w:r>
            <w:r>
              <w:rPr>
                <w:b/>
                <w:spacing w:val="-14"/>
                <w:sz w:val="16"/>
              </w:rPr>
              <w:t xml:space="preserve"> </w:t>
            </w:r>
            <w:r>
              <w:rPr>
                <w:b/>
                <w:sz w:val="16"/>
              </w:rPr>
              <w:t xml:space="preserve">da </w:t>
            </w:r>
            <w:r>
              <w:rPr>
                <w:b/>
                <w:spacing w:val="-2"/>
                <w:sz w:val="16"/>
              </w:rPr>
              <w:t>Ciudadanía</w:t>
            </w:r>
          </w:p>
        </w:tc>
        <w:tc>
          <w:tcPr>
            <w:tcW w:w="1532" w:type="dxa"/>
          </w:tcPr>
          <w:p w14:paraId="3BC96C7D" w14:textId="77777777" w:rsidR="000E52B0" w:rsidRDefault="000E52B0">
            <w:pPr>
              <w:pStyle w:val="TableParagraph"/>
              <w:rPr>
                <w:sz w:val="16"/>
              </w:rPr>
            </w:pPr>
          </w:p>
          <w:p w14:paraId="3953CB2E" w14:textId="77777777" w:rsidR="000E52B0" w:rsidRDefault="000E52B0">
            <w:pPr>
              <w:pStyle w:val="TableParagraph"/>
              <w:spacing w:before="85"/>
              <w:rPr>
                <w:sz w:val="16"/>
              </w:rPr>
            </w:pPr>
          </w:p>
          <w:p w14:paraId="5EA68065" w14:textId="77777777" w:rsidR="000E52B0" w:rsidRDefault="00F60D74">
            <w:pPr>
              <w:pStyle w:val="TableParagraph"/>
              <w:spacing w:before="1"/>
              <w:ind w:left="14"/>
              <w:jc w:val="center"/>
              <w:rPr>
                <w:b/>
                <w:sz w:val="16"/>
              </w:rPr>
            </w:pPr>
            <w:r>
              <w:rPr>
                <w:b/>
                <w:spacing w:val="-4"/>
                <w:sz w:val="16"/>
              </w:rPr>
              <w:t>2019</w:t>
            </w:r>
          </w:p>
        </w:tc>
        <w:tc>
          <w:tcPr>
            <w:tcW w:w="4633" w:type="dxa"/>
          </w:tcPr>
          <w:p w14:paraId="349896FB" w14:textId="77777777" w:rsidR="000E52B0" w:rsidRDefault="00F60D74">
            <w:pPr>
              <w:pStyle w:val="TableParagraph"/>
              <w:spacing w:before="86"/>
              <w:ind w:left="68" w:right="46"/>
              <w:jc w:val="both"/>
              <w:rPr>
                <w:sz w:val="16"/>
              </w:rPr>
            </w:pPr>
            <w:r>
              <w:rPr>
                <w:sz w:val="16"/>
              </w:rPr>
              <w:t>Tiene las siguientes áreas de competencia: la política nacional de desarrollo social; la política nacional de seguridad alimentaria y nutricional; la política nacional de asistencia social; la política nacional de ingresos básicos los ciudadanos, las políticas sobre drogas.</w:t>
            </w:r>
          </w:p>
        </w:tc>
      </w:tr>
      <w:tr w:rsidR="000E52B0" w14:paraId="0CEA05CE" w14:textId="77777777">
        <w:trPr>
          <w:trHeight w:val="1749"/>
        </w:trPr>
        <w:tc>
          <w:tcPr>
            <w:tcW w:w="1289" w:type="dxa"/>
          </w:tcPr>
          <w:p w14:paraId="560EBF0F" w14:textId="77777777" w:rsidR="000E52B0" w:rsidRDefault="000E52B0">
            <w:pPr>
              <w:pStyle w:val="TableParagraph"/>
              <w:rPr>
                <w:sz w:val="16"/>
              </w:rPr>
            </w:pPr>
          </w:p>
          <w:p w14:paraId="0EC481D6" w14:textId="77777777" w:rsidR="000E52B0" w:rsidRDefault="000E52B0">
            <w:pPr>
              <w:pStyle w:val="TableParagraph"/>
              <w:rPr>
                <w:sz w:val="16"/>
              </w:rPr>
            </w:pPr>
          </w:p>
          <w:p w14:paraId="23B5AAFD" w14:textId="77777777" w:rsidR="000E52B0" w:rsidRDefault="000E52B0">
            <w:pPr>
              <w:pStyle w:val="TableParagraph"/>
              <w:spacing w:before="194"/>
              <w:rPr>
                <w:sz w:val="16"/>
              </w:rPr>
            </w:pPr>
          </w:p>
          <w:p w14:paraId="0B6D60E3" w14:textId="77777777" w:rsidR="000E52B0" w:rsidRDefault="00F60D74">
            <w:pPr>
              <w:pStyle w:val="TableParagraph"/>
              <w:ind w:left="21" w:right="3"/>
              <w:jc w:val="center"/>
              <w:rPr>
                <w:b/>
                <w:sz w:val="16"/>
              </w:rPr>
            </w:pPr>
            <w:r>
              <w:rPr>
                <w:b/>
                <w:spacing w:val="-2"/>
                <w:sz w:val="16"/>
              </w:rPr>
              <w:t>España</w:t>
            </w:r>
          </w:p>
        </w:tc>
        <w:tc>
          <w:tcPr>
            <w:tcW w:w="1563" w:type="dxa"/>
          </w:tcPr>
          <w:p w14:paraId="7E2AA80C" w14:textId="77777777" w:rsidR="000E52B0" w:rsidRDefault="000E52B0">
            <w:pPr>
              <w:pStyle w:val="TableParagraph"/>
              <w:rPr>
                <w:sz w:val="16"/>
              </w:rPr>
            </w:pPr>
          </w:p>
          <w:p w14:paraId="457DCE6B" w14:textId="77777777" w:rsidR="000E52B0" w:rsidRDefault="000E52B0">
            <w:pPr>
              <w:pStyle w:val="TableParagraph"/>
              <w:rPr>
                <w:sz w:val="16"/>
              </w:rPr>
            </w:pPr>
          </w:p>
          <w:p w14:paraId="0664B4AB" w14:textId="77777777" w:rsidR="000E52B0" w:rsidRDefault="000E52B0">
            <w:pPr>
              <w:pStyle w:val="TableParagraph"/>
              <w:spacing w:before="98"/>
              <w:rPr>
                <w:sz w:val="16"/>
              </w:rPr>
            </w:pPr>
          </w:p>
          <w:p w14:paraId="6073B6C5" w14:textId="77777777" w:rsidR="000E52B0" w:rsidRDefault="00F60D74">
            <w:pPr>
              <w:pStyle w:val="TableParagraph"/>
              <w:ind w:left="376" w:right="175" w:hanging="180"/>
              <w:rPr>
                <w:b/>
                <w:sz w:val="16"/>
              </w:rPr>
            </w:pPr>
            <w:r>
              <w:rPr>
                <w:b/>
                <w:sz w:val="16"/>
              </w:rPr>
              <w:t>Ministerio</w:t>
            </w:r>
            <w:r>
              <w:rPr>
                <w:b/>
                <w:spacing w:val="-14"/>
                <w:sz w:val="16"/>
              </w:rPr>
              <w:t xml:space="preserve"> </w:t>
            </w:r>
            <w:r>
              <w:rPr>
                <w:b/>
                <w:sz w:val="16"/>
              </w:rPr>
              <w:t xml:space="preserve">de </w:t>
            </w:r>
            <w:r>
              <w:rPr>
                <w:b/>
                <w:spacing w:val="-2"/>
                <w:sz w:val="16"/>
              </w:rPr>
              <w:t>Igualdad</w:t>
            </w:r>
          </w:p>
        </w:tc>
        <w:tc>
          <w:tcPr>
            <w:tcW w:w="1532" w:type="dxa"/>
          </w:tcPr>
          <w:p w14:paraId="52379BAD" w14:textId="77777777" w:rsidR="000E52B0" w:rsidRDefault="000E52B0">
            <w:pPr>
              <w:pStyle w:val="TableParagraph"/>
              <w:rPr>
                <w:sz w:val="16"/>
              </w:rPr>
            </w:pPr>
          </w:p>
          <w:p w14:paraId="3A5C1C35" w14:textId="77777777" w:rsidR="000E52B0" w:rsidRDefault="000E52B0">
            <w:pPr>
              <w:pStyle w:val="TableParagraph"/>
              <w:rPr>
                <w:sz w:val="16"/>
              </w:rPr>
            </w:pPr>
          </w:p>
          <w:p w14:paraId="7AB2E75B" w14:textId="77777777" w:rsidR="000E52B0" w:rsidRDefault="000E52B0">
            <w:pPr>
              <w:pStyle w:val="TableParagraph"/>
              <w:spacing w:before="194"/>
              <w:rPr>
                <w:sz w:val="16"/>
              </w:rPr>
            </w:pPr>
          </w:p>
          <w:p w14:paraId="3C62808D" w14:textId="77777777" w:rsidR="000E52B0" w:rsidRDefault="00F60D74">
            <w:pPr>
              <w:pStyle w:val="TableParagraph"/>
              <w:ind w:left="14"/>
              <w:jc w:val="center"/>
              <w:rPr>
                <w:b/>
                <w:sz w:val="16"/>
              </w:rPr>
            </w:pPr>
            <w:r>
              <w:rPr>
                <w:b/>
                <w:spacing w:val="-4"/>
                <w:sz w:val="16"/>
              </w:rPr>
              <w:t>2008</w:t>
            </w:r>
          </w:p>
        </w:tc>
        <w:tc>
          <w:tcPr>
            <w:tcW w:w="4633" w:type="dxa"/>
          </w:tcPr>
          <w:p w14:paraId="29EA69AE" w14:textId="77777777" w:rsidR="000E52B0" w:rsidRDefault="00F60D74">
            <w:pPr>
              <w:pStyle w:val="TableParagraph"/>
              <w:ind w:left="68" w:right="44"/>
              <w:jc w:val="both"/>
              <w:rPr>
                <w:sz w:val="16"/>
              </w:rPr>
            </w:pPr>
            <w:r>
              <w:rPr>
                <w:sz w:val="16"/>
              </w:rPr>
              <w:t>Le corresponde la ejecución de la política del gobierno en materia de igualdad y de las políticas dirigidas a hacer real y efectiva la igualdad entre mujeres y hombres, la prevención y erradicación de las distintas formas de violencia contra la mujer y la eliminación de toda forma</w:t>
            </w:r>
            <w:r>
              <w:rPr>
                <w:spacing w:val="-3"/>
                <w:sz w:val="16"/>
              </w:rPr>
              <w:t xml:space="preserve"> </w:t>
            </w:r>
            <w:r>
              <w:rPr>
                <w:sz w:val="16"/>
              </w:rPr>
              <w:t>de discriminación por razón</w:t>
            </w:r>
            <w:r>
              <w:rPr>
                <w:spacing w:val="-1"/>
                <w:sz w:val="16"/>
              </w:rPr>
              <w:t xml:space="preserve"> </w:t>
            </w:r>
            <w:r>
              <w:rPr>
                <w:sz w:val="16"/>
              </w:rPr>
              <w:t>de sexo,</w:t>
            </w:r>
            <w:r>
              <w:rPr>
                <w:spacing w:val="-1"/>
                <w:sz w:val="16"/>
              </w:rPr>
              <w:t xml:space="preserve"> </w:t>
            </w:r>
            <w:r>
              <w:rPr>
                <w:sz w:val="16"/>
              </w:rPr>
              <w:t xml:space="preserve">origen racial o étnico, religión o ideología, orientación sexual, </w:t>
            </w:r>
            <w:r>
              <w:rPr>
                <w:spacing w:val="-2"/>
                <w:sz w:val="16"/>
              </w:rPr>
              <w:t>identidad</w:t>
            </w:r>
            <w:r>
              <w:rPr>
                <w:spacing w:val="-3"/>
                <w:sz w:val="16"/>
              </w:rPr>
              <w:t xml:space="preserve"> </w:t>
            </w:r>
            <w:r>
              <w:rPr>
                <w:spacing w:val="-2"/>
                <w:sz w:val="16"/>
              </w:rPr>
              <w:t>de</w:t>
            </w:r>
            <w:r>
              <w:rPr>
                <w:spacing w:val="-4"/>
                <w:sz w:val="16"/>
              </w:rPr>
              <w:t xml:space="preserve"> </w:t>
            </w:r>
            <w:r>
              <w:rPr>
                <w:spacing w:val="-2"/>
                <w:sz w:val="16"/>
              </w:rPr>
              <w:t>género,</w:t>
            </w:r>
            <w:r>
              <w:rPr>
                <w:spacing w:val="-4"/>
                <w:sz w:val="16"/>
              </w:rPr>
              <w:t xml:space="preserve"> </w:t>
            </w:r>
            <w:r>
              <w:rPr>
                <w:spacing w:val="-2"/>
                <w:sz w:val="16"/>
              </w:rPr>
              <w:t>edad,</w:t>
            </w:r>
            <w:r>
              <w:rPr>
                <w:spacing w:val="-6"/>
                <w:sz w:val="16"/>
              </w:rPr>
              <w:t xml:space="preserve"> </w:t>
            </w:r>
            <w:r>
              <w:rPr>
                <w:spacing w:val="-2"/>
                <w:sz w:val="16"/>
              </w:rPr>
              <w:t>discapacidad</w:t>
            </w:r>
            <w:r>
              <w:rPr>
                <w:spacing w:val="-4"/>
                <w:sz w:val="16"/>
              </w:rPr>
              <w:t xml:space="preserve"> </w:t>
            </w:r>
            <w:r>
              <w:rPr>
                <w:spacing w:val="-2"/>
                <w:sz w:val="16"/>
              </w:rPr>
              <w:t>o</w:t>
            </w:r>
            <w:r>
              <w:rPr>
                <w:spacing w:val="-5"/>
                <w:sz w:val="16"/>
              </w:rPr>
              <w:t xml:space="preserve"> </w:t>
            </w:r>
            <w:r>
              <w:rPr>
                <w:spacing w:val="-2"/>
                <w:sz w:val="16"/>
              </w:rPr>
              <w:t>cualquier</w:t>
            </w:r>
            <w:r>
              <w:rPr>
                <w:spacing w:val="-3"/>
                <w:sz w:val="16"/>
              </w:rPr>
              <w:t xml:space="preserve"> </w:t>
            </w:r>
            <w:r>
              <w:rPr>
                <w:spacing w:val="-4"/>
                <w:sz w:val="16"/>
              </w:rPr>
              <w:t>otra</w:t>
            </w:r>
          </w:p>
          <w:p w14:paraId="20E5047D" w14:textId="77777777" w:rsidR="000E52B0" w:rsidRDefault="00F60D74">
            <w:pPr>
              <w:pStyle w:val="TableParagraph"/>
              <w:spacing w:line="174" w:lineRule="exact"/>
              <w:ind w:left="68"/>
              <w:jc w:val="both"/>
              <w:rPr>
                <w:sz w:val="16"/>
              </w:rPr>
            </w:pPr>
            <w:r>
              <w:rPr>
                <w:sz w:val="16"/>
              </w:rPr>
              <w:t>condición</w:t>
            </w:r>
            <w:r>
              <w:rPr>
                <w:spacing w:val="-6"/>
                <w:sz w:val="16"/>
              </w:rPr>
              <w:t xml:space="preserve"> </w:t>
            </w:r>
            <w:r>
              <w:rPr>
                <w:sz w:val="16"/>
              </w:rPr>
              <w:t>o</w:t>
            </w:r>
            <w:r>
              <w:rPr>
                <w:spacing w:val="-4"/>
                <w:sz w:val="16"/>
              </w:rPr>
              <w:t xml:space="preserve"> </w:t>
            </w:r>
            <w:r>
              <w:rPr>
                <w:sz w:val="16"/>
              </w:rPr>
              <w:t>circunstancia</w:t>
            </w:r>
            <w:r>
              <w:rPr>
                <w:spacing w:val="-4"/>
                <w:sz w:val="16"/>
              </w:rPr>
              <w:t xml:space="preserve"> </w:t>
            </w:r>
            <w:r>
              <w:rPr>
                <w:sz w:val="16"/>
              </w:rPr>
              <w:t>personal</w:t>
            </w:r>
            <w:r>
              <w:rPr>
                <w:spacing w:val="-3"/>
                <w:sz w:val="16"/>
              </w:rPr>
              <w:t xml:space="preserve"> </w:t>
            </w:r>
            <w:r>
              <w:rPr>
                <w:sz w:val="16"/>
              </w:rPr>
              <w:t>o</w:t>
            </w:r>
            <w:r>
              <w:rPr>
                <w:spacing w:val="-4"/>
                <w:sz w:val="16"/>
              </w:rPr>
              <w:t xml:space="preserve"> </w:t>
            </w:r>
            <w:r>
              <w:rPr>
                <w:spacing w:val="-2"/>
                <w:sz w:val="16"/>
              </w:rPr>
              <w:t>social.</w:t>
            </w:r>
          </w:p>
        </w:tc>
      </w:tr>
      <w:tr w:rsidR="000E52B0" w14:paraId="0D2A0512" w14:textId="77777777">
        <w:trPr>
          <w:trHeight w:val="973"/>
        </w:trPr>
        <w:tc>
          <w:tcPr>
            <w:tcW w:w="1289" w:type="dxa"/>
          </w:tcPr>
          <w:p w14:paraId="08ED73E0" w14:textId="77777777" w:rsidR="000E52B0" w:rsidRDefault="000E52B0">
            <w:pPr>
              <w:pStyle w:val="TableParagraph"/>
              <w:spacing w:before="97"/>
              <w:rPr>
                <w:sz w:val="16"/>
              </w:rPr>
            </w:pPr>
          </w:p>
          <w:p w14:paraId="18830928" w14:textId="77777777" w:rsidR="000E52B0" w:rsidRDefault="00F60D74">
            <w:pPr>
              <w:pStyle w:val="TableParagraph"/>
              <w:spacing w:before="1"/>
              <w:ind w:left="265" w:right="193" w:hanging="53"/>
              <w:rPr>
                <w:b/>
                <w:sz w:val="16"/>
              </w:rPr>
            </w:pPr>
            <w:r>
              <w:rPr>
                <w:b/>
                <w:sz w:val="16"/>
              </w:rPr>
              <w:t>Antigua</w:t>
            </w:r>
            <w:r>
              <w:rPr>
                <w:b/>
                <w:spacing w:val="-14"/>
                <w:sz w:val="16"/>
              </w:rPr>
              <w:t xml:space="preserve"> </w:t>
            </w:r>
            <w:r>
              <w:rPr>
                <w:b/>
                <w:sz w:val="16"/>
              </w:rPr>
              <w:t xml:space="preserve">y </w:t>
            </w:r>
            <w:r>
              <w:rPr>
                <w:b/>
                <w:spacing w:val="-2"/>
                <w:sz w:val="16"/>
              </w:rPr>
              <w:t>Barbuda</w:t>
            </w:r>
          </w:p>
        </w:tc>
        <w:tc>
          <w:tcPr>
            <w:tcW w:w="1563" w:type="dxa"/>
          </w:tcPr>
          <w:p w14:paraId="76030085" w14:textId="77777777" w:rsidR="000E52B0" w:rsidRDefault="00F60D74">
            <w:pPr>
              <w:pStyle w:val="TableParagraph"/>
              <w:spacing w:line="242" w:lineRule="auto"/>
              <w:ind w:left="83" w:right="67" w:firstLine="1"/>
              <w:jc w:val="center"/>
              <w:rPr>
                <w:b/>
                <w:sz w:val="16"/>
              </w:rPr>
            </w:pPr>
            <w:proofErr w:type="spellStart"/>
            <w:r>
              <w:rPr>
                <w:b/>
                <w:sz w:val="16"/>
              </w:rPr>
              <w:t>Ministry</w:t>
            </w:r>
            <w:proofErr w:type="spellEnd"/>
            <w:r>
              <w:rPr>
                <w:b/>
                <w:sz w:val="16"/>
              </w:rPr>
              <w:t xml:space="preserve"> </w:t>
            </w:r>
            <w:proofErr w:type="spellStart"/>
            <w:r>
              <w:rPr>
                <w:b/>
                <w:sz w:val="16"/>
              </w:rPr>
              <w:t>of</w:t>
            </w:r>
            <w:proofErr w:type="spellEnd"/>
            <w:r>
              <w:rPr>
                <w:b/>
                <w:sz w:val="16"/>
              </w:rPr>
              <w:t xml:space="preserve"> </w:t>
            </w:r>
            <w:r>
              <w:rPr>
                <w:b/>
                <w:spacing w:val="-2"/>
                <w:sz w:val="16"/>
              </w:rPr>
              <w:t xml:space="preserve">Social </w:t>
            </w:r>
            <w:proofErr w:type="spellStart"/>
            <w:r>
              <w:rPr>
                <w:b/>
                <w:spacing w:val="-2"/>
                <w:sz w:val="16"/>
              </w:rPr>
              <w:t>Transformation</w:t>
            </w:r>
            <w:proofErr w:type="spellEnd"/>
          </w:p>
          <w:p w14:paraId="6C37E8F9" w14:textId="77777777" w:rsidR="000E52B0" w:rsidRDefault="00F60D74">
            <w:pPr>
              <w:pStyle w:val="TableParagraph"/>
              <w:spacing w:line="194" w:lineRule="exact"/>
              <w:ind w:left="212" w:right="194"/>
              <w:jc w:val="center"/>
              <w:rPr>
                <w:b/>
                <w:sz w:val="16"/>
              </w:rPr>
            </w:pPr>
            <w:r>
              <w:rPr>
                <w:b/>
                <w:sz w:val="16"/>
              </w:rPr>
              <w:t>and</w:t>
            </w:r>
            <w:r>
              <w:rPr>
                <w:b/>
                <w:spacing w:val="-14"/>
                <w:sz w:val="16"/>
              </w:rPr>
              <w:t xml:space="preserve"> </w:t>
            </w:r>
            <w:proofErr w:type="spellStart"/>
            <w:r>
              <w:rPr>
                <w:b/>
                <w:sz w:val="16"/>
              </w:rPr>
              <w:t>the</w:t>
            </w:r>
            <w:proofErr w:type="spellEnd"/>
            <w:r>
              <w:rPr>
                <w:b/>
                <w:spacing w:val="-14"/>
                <w:sz w:val="16"/>
              </w:rPr>
              <w:t xml:space="preserve"> </w:t>
            </w:r>
            <w:r>
              <w:rPr>
                <w:b/>
                <w:sz w:val="16"/>
              </w:rPr>
              <w:t xml:space="preserve">Blue </w:t>
            </w:r>
            <w:proofErr w:type="spellStart"/>
            <w:r>
              <w:rPr>
                <w:b/>
                <w:spacing w:val="-2"/>
                <w:sz w:val="16"/>
              </w:rPr>
              <w:t>Economy</w:t>
            </w:r>
            <w:proofErr w:type="spellEnd"/>
          </w:p>
        </w:tc>
        <w:tc>
          <w:tcPr>
            <w:tcW w:w="1532" w:type="dxa"/>
          </w:tcPr>
          <w:p w14:paraId="37F17FA2" w14:textId="77777777" w:rsidR="000E52B0" w:rsidRDefault="000E52B0">
            <w:pPr>
              <w:pStyle w:val="TableParagraph"/>
              <w:spacing w:before="114"/>
              <w:rPr>
                <w:sz w:val="16"/>
              </w:rPr>
            </w:pPr>
          </w:p>
          <w:p w14:paraId="46BA4856" w14:textId="77777777" w:rsidR="000E52B0" w:rsidRDefault="00F60D74">
            <w:pPr>
              <w:pStyle w:val="TableParagraph"/>
              <w:ind w:left="14"/>
              <w:jc w:val="center"/>
              <w:rPr>
                <w:b/>
                <w:sz w:val="16"/>
              </w:rPr>
            </w:pPr>
            <w:r>
              <w:rPr>
                <w:b/>
                <w:spacing w:val="-4"/>
                <w:sz w:val="16"/>
              </w:rPr>
              <w:t>2018</w:t>
            </w:r>
          </w:p>
        </w:tc>
        <w:tc>
          <w:tcPr>
            <w:tcW w:w="4633" w:type="dxa"/>
          </w:tcPr>
          <w:p w14:paraId="7375E6F4" w14:textId="77777777" w:rsidR="000E52B0" w:rsidRDefault="00F60D74">
            <w:pPr>
              <w:pStyle w:val="TableParagraph"/>
              <w:spacing w:before="98"/>
              <w:ind w:left="68" w:right="46"/>
              <w:jc w:val="both"/>
              <w:rPr>
                <w:sz w:val="16"/>
              </w:rPr>
            </w:pPr>
            <w:r>
              <w:rPr>
                <w:sz w:val="16"/>
              </w:rPr>
              <w:t>Ser</w:t>
            </w:r>
            <w:r>
              <w:rPr>
                <w:spacing w:val="-15"/>
                <w:sz w:val="16"/>
              </w:rPr>
              <w:t xml:space="preserve"> </w:t>
            </w:r>
            <w:r>
              <w:rPr>
                <w:sz w:val="16"/>
              </w:rPr>
              <w:t>responsable</w:t>
            </w:r>
            <w:r>
              <w:rPr>
                <w:spacing w:val="-14"/>
                <w:sz w:val="16"/>
              </w:rPr>
              <w:t xml:space="preserve"> </w:t>
            </w:r>
            <w:r>
              <w:rPr>
                <w:sz w:val="16"/>
              </w:rPr>
              <w:t>de</w:t>
            </w:r>
            <w:r>
              <w:rPr>
                <w:spacing w:val="-14"/>
                <w:sz w:val="16"/>
              </w:rPr>
              <w:t xml:space="preserve"> </w:t>
            </w:r>
            <w:r>
              <w:rPr>
                <w:sz w:val="16"/>
              </w:rPr>
              <w:t>los</w:t>
            </w:r>
            <w:r>
              <w:rPr>
                <w:spacing w:val="-14"/>
                <w:sz w:val="16"/>
              </w:rPr>
              <w:t xml:space="preserve"> </w:t>
            </w:r>
            <w:r>
              <w:rPr>
                <w:sz w:val="16"/>
              </w:rPr>
              <w:t>servicios</w:t>
            </w:r>
            <w:r>
              <w:rPr>
                <w:spacing w:val="-14"/>
                <w:sz w:val="16"/>
              </w:rPr>
              <w:t xml:space="preserve"> </w:t>
            </w:r>
            <w:r>
              <w:rPr>
                <w:sz w:val="16"/>
              </w:rPr>
              <w:t>comunitarios</w:t>
            </w:r>
            <w:r>
              <w:rPr>
                <w:spacing w:val="-13"/>
                <w:sz w:val="16"/>
              </w:rPr>
              <w:t xml:space="preserve"> </w:t>
            </w:r>
            <w:r>
              <w:rPr>
                <w:sz w:val="16"/>
              </w:rPr>
              <w:t>y</w:t>
            </w:r>
            <w:r>
              <w:rPr>
                <w:spacing w:val="-14"/>
                <w:sz w:val="16"/>
              </w:rPr>
              <w:t xml:space="preserve"> </w:t>
            </w:r>
            <w:r>
              <w:rPr>
                <w:sz w:val="16"/>
              </w:rPr>
              <w:t>sociales, con énfasis en</w:t>
            </w:r>
            <w:r>
              <w:rPr>
                <w:spacing w:val="-2"/>
                <w:sz w:val="16"/>
              </w:rPr>
              <w:t xml:space="preserve"> </w:t>
            </w:r>
            <w:r>
              <w:rPr>
                <w:sz w:val="16"/>
              </w:rPr>
              <w:t>la lucha contra</w:t>
            </w:r>
            <w:r>
              <w:rPr>
                <w:spacing w:val="-1"/>
                <w:sz w:val="16"/>
              </w:rPr>
              <w:t xml:space="preserve"> </w:t>
            </w:r>
            <w:r>
              <w:rPr>
                <w:sz w:val="16"/>
              </w:rPr>
              <w:t xml:space="preserve">la pobreza, promoviendo la igualdad y mejorando la calidad de vida de las </w:t>
            </w:r>
            <w:r>
              <w:rPr>
                <w:spacing w:val="-2"/>
                <w:sz w:val="16"/>
              </w:rPr>
              <w:t>personas.</w:t>
            </w:r>
          </w:p>
        </w:tc>
      </w:tr>
      <w:tr w:rsidR="000E52B0" w14:paraId="73EE0329" w14:textId="77777777">
        <w:trPr>
          <w:trHeight w:val="1255"/>
        </w:trPr>
        <w:tc>
          <w:tcPr>
            <w:tcW w:w="1289" w:type="dxa"/>
          </w:tcPr>
          <w:p w14:paraId="201142B5" w14:textId="77777777" w:rsidR="000E52B0" w:rsidRDefault="000E52B0">
            <w:pPr>
              <w:pStyle w:val="TableParagraph"/>
              <w:rPr>
                <w:sz w:val="16"/>
              </w:rPr>
            </w:pPr>
          </w:p>
          <w:p w14:paraId="5138D1F3" w14:textId="77777777" w:rsidR="000E52B0" w:rsidRDefault="000E52B0">
            <w:pPr>
              <w:pStyle w:val="TableParagraph"/>
              <w:spacing w:before="139"/>
              <w:rPr>
                <w:sz w:val="16"/>
              </w:rPr>
            </w:pPr>
          </w:p>
          <w:p w14:paraId="0BDB39F6" w14:textId="77777777" w:rsidR="000E52B0" w:rsidRDefault="00F60D74">
            <w:pPr>
              <w:pStyle w:val="TableParagraph"/>
              <w:spacing w:before="1"/>
              <w:ind w:left="21" w:right="4"/>
              <w:jc w:val="center"/>
              <w:rPr>
                <w:b/>
                <w:sz w:val="16"/>
              </w:rPr>
            </w:pPr>
            <w:r>
              <w:rPr>
                <w:b/>
                <w:spacing w:val="-2"/>
                <w:sz w:val="16"/>
              </w:rPr>
              <w:t>Bahamas</w:t>
            </w:r>
          </w:p>
        </w:tc>
        <w:tc>
          <w:tcPr>
            <w:tcW w:w="1563" w:type="dxa"/>
          </w:tcPr>
          <w:p w14:paraId="744B4E4F" w14:textId="77777777" w:rsidR="000E52B0" w:rsidRDefault="00F60D74">
            <w:pPr>
              <w:pStyle w:val="TableParagraph"/>
              <w:spacing w:before="140"/>
              <w:ind w:left="196" w:right="177"/>
              <w:jc w:val="center"/>
              <w:rPr>
                <w:b/>
                <w:sz w:val="16"/>
              </w:rPr>
            </w:pPr>
            <w:r>
              <w:rPr>
                <w:b/>
                <w:sz w:val="16"/>
              </w:rPr>
              <w:t>Ministerio</w:t>
            </w:r>
            <w:r>
              <w:rPr>
                <w:b/>
                <w:spacing w:val="-14"/>
                <w:sz w:val="16"/>
              </w:rPr>
              <w:t xml:space="preserve"> </w:t>
            </w:r>
            <w:r>
              <w:rPr>
                <w:b/>
                <w:sz w:val="16"/>
              </w:rPr>
              <w:t xml:space="preserve">de </w:t>
            </w:r>
            <w:r>
              <w:rPr>
                <w:b/>
                <w:spacing w:val="-2"/>
                <w:sz w:val="16"/>
              </w:rPr>
              <w:t xml:space="preserve">Servicios </w:t>
            </w:r>
            <w:r>
              <w:rPr>
                <w:b/>
                <w:sz w:val="16"/>
              </w:rPr>
              <w:t xml:space="preserve">Sociales y </w:t>
            </w:r>
            <w:r>
              <w:rPr>
                <w:b/>
                <w:spacing w:val="-2"/>
                <w:sz w:val="16"/>
              </w:rPr>
              <w:t>Desarrollo Urbano</w:t>
            </w:r>
          </w:p>
        </w:tc>
        <w:tc>
          <w:tcPr>
            <w:tcW w:w="1532" w:type="dxa"/>
          </w:tcPr>
          <w:p w14:paraId="08081288" w14:textId="77777777" w:rsidR="000E52B0" w:rsidRDefault="000E52B0">
            <w:pPr>
              <w:pStyle w:val="TableParagraph"/>
              <w:rPr>
                <w:sz w:val="16"/>
              </w:rPr>
            </w:pPr>
          </w:p>
          <w:p w14:paraId="38BB9930" w14:textId="77777777" w:rsidR="000E52B0" w:rsidRDefault="000E52B0">
            <w:pPr>
              <w:pStyle w:val="TableParagraph"/>
              <w:spacing w:before="60"/>
              <w:rPr>
                <w:sz w:val="16"/>
              </w:rPr>
            </w:pPr>
          </w:p>
          <w:p w14:paraId="0FF09F9B" w14:textId="77777777" w:rsidR="000E52B0" w:rsidRDefault="00F60D74">
            <w:pPr>
              <w:pStyle w:val="TableParagraph"/>
              <w:ind w:left="14"/>
              <w:jc w:val="center"/>
              <w:rPr>
                <w:b/>
                <w:sz w:val="16"/>
              </w:rPr>
            </w:pPr>
            <w:r>
              <w:rPr>
                <w:b/>
                <w:spacing w:val="-4"/>
                <w:sz w:val="16"/>
              </w:rPr>
              <w:t>1967</w:t>
            </w:r>
          </w:p>
        </w:tc>
        <w:tc>
          <w:tcPr>
            <w:tcW w:w="4633" w:type="dxa"/>
          </w:tcPr>
          <w:p w14:paraId="1D27B6A2" w14:textId="77777777" w:rsidR="000E52B0" w:rsidRDefault="000E52B0">
            <w:pPr>
              <w:pStyle w:val="TableParagraph"/>
              <w:spacing w:before="41"/>
              <w:rPr>
                <w:sz w:val="16"/>
              </w:rPr>
            </w:pPr>
          </w:p>
          <w:p w14:paraId="1796169B" w14:textId="77777777" w:rsidR="000E52B0" w:rsidRDefault="00F60D74">
            <w:pPr>
              <w:pStyle w:val="TableParagraph"/>
              <w:ind w:left="68" w:right="47"/>
              <w:jc w:val="both"/>
              <w:rPr>
                <w:sz w:val="16"/>
              </w:rPr>
            </w:pPr>
            <w:r>
              <w:rPr>
                <w:sz w:val="16"/>
              </w:rPr>
              <w:t>Ser responsable del desarrollo social y de diversos servicios</w:t>
            </w:r>
            <w:r>
              <w:rPr>
                <w:spacing w:val="-1"/>
                <w:sz w:val="16"/>
              </w:rPr>
              <w:t xml:space="preserve"> </w:t>
            </w:r>
            <w:r>
              <w:rPr>
                <w:sz w:val="16"/>
              </w:rPr>
              <w:t>orientados</w:t>
            </w:r>
            <w:r>
              <w:rPr>
                <w:spacing w:val="-2"/>
                <w:sz w:val="16"/>
              </w:rPr>
              <w:t xml:space="preserve"> </w:t>
            </w:r>
            <w:r>
              <w:rPr>
                <w:sz w:val="16"/>
              </w:rPr>
              <w:t>a prestar</w:t>
            </w:r>
            <w:r>
              <w:rPr>
                <w:spacing w:val="-1"/>
                <w:sz w:val="16"/>
              </w:rPr>
              <w:t xml:space="preserve"> </w:t>
            </w:r>
            <w:r>
              <w:rPr>
                <w:sz w:val="16"/>
              </w:rPr>
              <w:t>asistencia a niños, niñas, jóvenes,</w:t>
            </w:r>
            <w:r>
              <w:rPr>
                <w:spacing w:val="-7"/>
                <w:sz w:val="16"/>
              </w:rPr>
              <w:t xml:space="preserve"> </w:t>
            </w:r>
            <w:r>
              <w:rPr>
                <w:sz w:val="16"/>
              </w:rPr>
              <w:t>adultos,</w:t>
            </w:r>
            <w:r>
              <w:rPr>
                <w:spacing w:val="-7"/>
                <w:sz w:val="16"/>
              </w:rPr>
              <w:t xml:space="preserve"> </w:t>
            </w:r>
            <w:r>
              <w:rPr>
                <w:sz w:val="16"/>
              </w:rPr>
              <w:t>adultos</w:t>
            </w:r>
            <w:r>
              <w:rPr>
                <w:spacing w:val="-8"/>
                <w:sz w:val="16"/>
              </w:rPr>
              <w:t xml:space="preserve"> </w:t>
            </w:r>
            <w:r>
              <w:rPr>
                <w:sz w:val="16"/>
              </w:rPr>
              <w:t>mayores,</w:t>
            </w:r>
            <w:r>
              <w:rPr>
                <w:spacing w:val="-7"/>
                <w:sz w:val="16"/>
              </w:rPr>
              <w:t xml:space="preserve"> </w:t>
            </w:r>
            <w:r>
              <w:rPr>
                <w:sz w:val="16"/>
              </w:rPr>
              <w:t>personas</w:t>
            </w:r>
            <w:r>
              <w:rPr>
                <w:spacing w:val="-6"/>
                <w:sz w:val="16"/>
              </w:rPr>
              <w:t xml:space="preserve"> </w:t>
            </w:r>
            <w:r>
              <w:rPr>
                <w:sz w:val="16"/>
              </w:rPr>
              <w:t>indigentes y personas con discapacidad.</w:t>
            </w:r>
          </w:p>
        </w:tc>
      </w:tr>
      <w:tr w:rsidR="000E52B0" w14:paraId="24975D16" w14:textId="77777777">
        <w:trPr>
          <w:trHeight w:val="1943"/>
        </w:trPr>
        <w:tc>
          <w:tcPr>
            <w:tcW w:w="1289" w:type="dxa"/>
          </w:tcPr>
          <w:p w14:paraId="0CFC2758" w14:textId="77777777" w:rsidR="000E52B0" w:rsidRDefault="000E52B0">
            <w:pPr>
              <w:pStyle w:val="TableParagraph"/>
              <w:rPr>
                <w:sz w:val="16"/>
              </w:rPr>
            </w:pPr>
          </w:p>
          <w:p w14:paraId="407E20BA" w14:textId="77777777" w:rsidR="000E52B0" w:rsidRDefault="000E52B0">
            <w:pPr>
              <w:pStyle w:val="TableParagraph"/>
              <w:rPr>
                <w:sz w:val="16"/>
              </w:rPr>
            </w:pPr>
          </w:p>
          <w:p w14:paraId="41BA5D88" w14:textId="77777777" w:rsidR="000E52B0" w:rsidRDefault="000E52B0">
            <w:pPr>
              <w:pStyle w:val="TableParagraph"/>
              <w:rPr>
                <w:sz w:val="16"/>
              </w:rPr>
            </w:pPr>
          </w:p>
          <w:p w14:paraId="25A2FBB5" w14:textId="77777777" w:rsidR="000E52B0" w:rsidRDefault="000E52B0">
            <w:pPr>
              <w:pStyle w:val="TableParagraph"/>
              <w:spacing w:before="98"/>
              <w:rPr>
                <w:sz w:val="16"/>
              </w:rPr>
            </w:pPr>
          </w:p>
          <w:p w14:paraId="789F054C" w14:textId="77777777" w:rsidR="000E52B0" w:rsidRDefault="00F60D74">
            <w:pPr>
              <w:pStyle w:val="TableParagraph"/>
              <w:ind w:left="21" w:right="4"/>
              <w:jc w:val="center"/>
              <w:rPr>
                <w:b/>
                <w:sz w:val="16"/>
              </w:rPr>
            </w:pPr>
            <w:r>
              <w:rPr>
                <w:b/>
                <w:spacing w:val="-2"/>
                <w:sz w:val="16"/>
              </w:rPr>
              <w:t>Dominica</w:t>
            </w:r>
          </w:p>
        </w:tc>
        <w:tc>
          <w:tcPr>
            <w:tcW w:w="1563" w:type="dxa"/>
          </w:tcPr>
          <w:p w14:paraId="079B3DCF" w14:textId="77777777" w:rsidR="000E52B0" w:rsidRDefault="00F60D74">
            <w:pPr>
              <w:pStyle w:val="TableParagraph"/>
              <w:ind w:left="68" w:right="48" w:hanging="3"/>
              <w:jc w:val="center"/>
              <w:rPr>
                <w:b/>
                <w:sz w:val="16"/>
              </w:rPr>
            </w:pPr>
            <w:r>
              <w:rPr>
                <w:b/>
                <w:sz w:val="16"/>
              </w:rPr>
              <w:t xml:space="preserve">Ministerio de </w:t>
            </w:r>
            <w:r>
              <w:rPr>
                <w:b/>
                <w:spacing w:val="-2"/>
                <w:sz w:val="16"/>
              </w:rPr>
              <w:t xml:space="preserve">Gobernación, </w:t>
            </w:r>
            <w:r>
              <w:rPr>
                <w:b/>
                <w:sz w:val="16"/>
              </w:rPr>
              <w:t xml:space="preserve">Reforma del </w:t>
            </w:r>
            <w:r>
              <w:rPr>
                <w:b/>
                <w:spacing w:val="-2"/>
                <w:sz w:val="16"/>
              </w:rPr>
              <w:t>Servicio</w:t>
            </w:r>
            <w:r>
              <w:rPr>
                <w:b/>
                <w:spacing w:val="40"/>
                <w:sz w:val="16"/>
              </w:rPr>
              <w:t xml:space="preserve"> </w:t>
            </w:r>
            <w:r>
              <w:rPr>
                <w:b/>
                <w:spacing w:val="-2"/>
                <w:sz w:val="16"/>
              </w:rPr>
              <w:t xml:space="preserve">Público, </w:t>
            </w:r>
            <w:proofErr w:type="spellStart"/>
            <w:r>
              <w:rPr>
                <w:b/>
                <w:spacing w:val="-2"/>
                <w:sz w:val="16"/>
              </w:rPr>
              <w:t>Empoderamient</w:t>
            </w:r>
            <w:proofErr w:type="spellEnd"/>
            <w:r>
              <w:rPr>
                <w:b/>
                <w:spacing w:val="-2"/>
                <w:sz w:val="16"/>
              </w:rPr>
              <w:t xml:space="preserve"> </w:t>
            </w:r>
            <w:r>
              <w:rPr>
                <w:b/>
                <w:sz w:val="16"/>
              </w:rPr>
              <w:t>o Ciudadano, Justicia Social</w:t>
            </w:r>
          </w:p>
          <w:p w14:paraId="699ED1CA" w14:textId="77777777" w:rsidR="000E52B0" w:rsidRDefault="00F60D74">
            <w:pPr>
              <w:pStyle w:val="TableParagraph"/>
              <w:spacing w:line="190" w:lineRule="atLeast"/>
              <w:ind w:left="208" w:right="189"/>
              <w:jc w:val="center"/>
              <w:rPr>
                <w:b/>
                <w:sz w:val="16"/>
              </w:rPr>
            </w:pPr>
            <w:r>
              <w:rPr>
                <w:b/>
                <w:sz w:val="16"/>
              </w:rPr>
              <w:t xml:space="preserve">y Asuntos </w:t>
            </w:r>
            <w:r>
              <w:rPr>
                <w:b/>
                <w:spacing w:val="-2"/>
                <w:sz w:val="16"/>
              </w:rPr>
              <w:t>Eclesiásticos</w:t>
            </w:r>
          </w:p>
        </w:tc>
        <w:tc>
          <w:tcPr>
            <w:tcW w:w="1532" w:type="dxa"/>
          </w:tcPr>
          <w:p w14:paraId="0CE316F1" w14:textId="77777777" w:rsidR="000E52B0" w:rsidRDefault="000E52B0">
            <w:pPr>
              <w:pStyle w:val="TableParagraph"/>
              <w:rPr>
                <w:sz w:val="16"/>
              </w:rPr>
            </w:pPr>
          </w:p>
          <w:p w14:paraId="7EF3C5E2" w14:textId="77777777" w:rsidR="000E52B0" w:rsidRDefault="000E52B0">
            <w:pPr>
              <w:pStyle w:val="TableParagraph"/>
              <w:rPr>
                <w:sz w:val="16"/>
              </w:rPr>
            </w:pPr>
          </w:p>
          <w:p w14:paraId="68FB60FE" w14:textId="77777777" w:rsidR="000E52B0" w:rsidRDefault="000E52B0">
            <w:pPr>
              <w:pStyle w:val="TableParagraph"/>
              <w:rPr>
                <w:sz w:val="16"/>
              </w:rPr>
            </w:pPr>
          </w:p>
          <w:p w14:paraId="0EC4CDB6" w14:textId="77777777" w:rsidR="000E52B0" w:rsidRDefault="000E52B0">
            <w:pPr>
              <w:pStyle w:val="TableParagraph"/>
              <w:spacing w:before="19"/>
              <w:rPr>
                <w:sz w:val="16"/>
              </w:rPr>
            </w:pPr>
          </w:p>
          <w:p w14:paraId="2F148600" w14:textId="77777777" w:rsidR="000E52B0" w:rsidRDefault="00F60D74">
            <w:pPr>
              <w:pStyle w:val="TableParagraph"/>
              <w:ind w:left="14"/>
              <w:jc w:val="center"/>
              <w:rPr>
                <w:b/>
                <w:sz w:val="16"/>
              </w:rPr>
            </w:pPr>
            <w:r>
              <w:rPr>
                <w:b/>
                <w:spacing w:val="-4"/>
                <w:sz w:val="16"/>
              </w:rPr>
              <w:t>2020</w:t>
            </w:r>
          </w:p>
        </w:tc>
        <w:tc>
          <w:tcPr>
            <w:tcW w:w="4633" w:type="dxa"/>
          </w:tcPr>
          <w:p w14:paraId="41658165" w14:textId="77777777" w:rsidR="000E52B0" w:rsidRDefault="000E52B0">
            <w:pPr>
              <w:pStyle w:val="TableParagraph"/>
              <w:spacing w:before="98"/>
              <w:rPr>
                <w:sz w:val="16"/>
              </w:rPr>
            </w:pPr>
          </w:p>
          <w:p w14:paraId="6E21DFE6" w14:textId="77777777" w:rsidR="000E52B0" w:rsidRDefault="00F60D74">
            <w:pPr>
              <w:pStyle w:val="TableParagraph"/>
              <w:ind w:left="68" w:right="46"/>
              <w:jc w:val="both"/>
              <w:rPr>
                <w:sz w:val="16"/>
              </w:rPr>
            </w:pPr>
            <w:r>
              <w:rPr>
                <w:sz w:val="16"/>
              </w:rPr>
              <w:t>El Ministerio brindará servicios eficientes y eficaces orientados</w:t>
            </w:r>
            <w:r>
              <w:rPr>
                <w:spacing w:val="-10"/>
                <w:sz w:val="16"/>
              </w:rPr>
              <w:t xml:space="preserve"> </w:t>
            </w:r>
            <w:r>
              <w:rPr>
                <w:sz w:val="16"/>
              </w:rPr>
              <w:t>al</w:t>
            </w:r>
            <w:r>
              <w:rPr>
                <w:spacing w:val="-14"/>
                <w:sz w:val="16"/>
              </w:rPr>
              <w:t xml:space="preserve"> </w:t>
            </w:r>
            <w:r>
              <w:rPr>
                <w:sz w:val="16"/>
              </w:rPr>
              <w:t>empoderamiento</w:t>
            </w:r>
            <w:r>
              <w:rPr>
                <w:spacing w:val="-12"/>
                <w:sz w:val="16"/>
              </w:rPr>
              <w:t xml:space="preserve"> </w:t>
            </w:r>
            <w:r>
              <w:rPr>
                <w:sz w:val="16"/>
              </w:rPr>
              <w:t>de</w:t>
            </w:r>
            <w:r>
              <w:rPr>
                <w:spacing w:val="-13"/>
                <w:sz w:val="16"/>
              </w:rPr>
              <w:t xml:space="preserve"> </w:t>
            </w:r>
            <w:r>
              <w:rPr>
                <w:sz w:val="16"/>
              </w:rPr>
              <w:t>los</w:t>
            </w:r>
            <w:r>
              <w:rPr>
                <w:spacing w:val="-15"/>
                <w:sz w:val="16"/>
              </w:rPr>
              <w:t xml:space="preserve"> </w:t>
            </w:r>
            <w:r>
              <w:rPr>
                <w:sz w:val="16"/>
              </w:rPr>
              <w:t>dominicanos</w:t>
            </w:r>
            <w:r>
              <w:rPr>
                <w:spacing w:val="-12"/>
                <w:sz w:val="16"/>
              </w:rPr>
              <w:t xml:space="preserve"> </w:t>
            </w:r>
            <w:r>
              <w:rPr>
                <w:sz w:val="16"/>
              </w:rPr>
              <w:t>en</w:t>
            </w:r>
            <w:r>
              <w:rPr>
                <w:spacing w:val="-14"/>
                <w:sz w:val="16"/>
              </w:rPr>
              <w:t xml:space="preserve"> </w:t>
            </w:r>
            <w:r>
              <w:rPr>
                <w:sz w:val="16"/>
              </w:rPr>
              <w:t xml:space="preserve">su búsqueda por contribuir al desarrollo individual, comunitario y nacional; promoverá estilos de vida saludables y activos mediante la provisión de instalaciones, programas y servicios apropiados y de </w:t>
            </w:r>
            <w:r>
              <w:rPr>
                <w:spacing w:val="-2"/>
                <w:sz w:val="16"/>
              </w:rPr>
              <w:t>calidad</w:t>
            </w:r>
          </w:p>
        </w:tc>
      </w:tr>
      <w:tr w:rsidR="000E52B0" w14:paraId="272B0EF1" w14:textId="77777777">
        <w:trPr>
          <w:trHeight w:val="1166"/>
        </w:trPr>
        <w:tc>
          <w:tcPr>
            <w:tcW w:w="1289" w:type="dxa"/>
          </w:tcPr>
          <w:p w14:paraId="5DDAE96F" w14:textId="77777777" w:rsidR="000E52B0" w:rsidRDefault="000E52B0">
            <w:pPr>
              <w:pStyle w:val="TableParagraph"/>
              <w:rPr>
                <w:sz w:val="16"/>
              </w:rPr>
            </w:pPr>
          </w:p>
          <w:p w14:paraId="323A3C5D" w14:textId="77777777" w:rsidR="000E52B0" w:rsidRDefault="000E52B0">
            <w:pPr>
              <w:pStyle w:val="TableParagraph"/>
              <w:spacing w:before="97"/>
              <w:rPr>
                <w:sz w:val="16"/>
              </w:rPr>
            </w:pPr>
          </w:p>
          <w:p w14:paraId="7F2A8AFB" w14:textId="77777777" w:rsidR="000E52B0" w:rsidRDefault="00F60D74">
            <w:pPr>
              <w:pStyle w:val="TableParagraph"/>
              <w:ind w:left="21" w:right="1"/>
              <w:jc w:val="center"/>
              <w:rPr>
                <w:b/>
                <w:sz w:val="16"/>
              </w:rPr>
            </w:pPr>
            <w:r>
              <w:rPr>
                <w:b/>
                <w:spacing w:val="-2"/>
                <w:sz w:val="16"/>
              </w:rPr>
              <w:t>Granada</w:t>
            </w:r>
          </w:p>
        </w:tc>
        <w:tc>
          <w:tcPr>
            <w:tcW w:w="1563" w:type="dxa"/>
          </w:tcPr>
          <w:p w14:paraId="1E22BF2A" w14:textId="77777777" w:rsidR="000E52B0" w:rsidRDefault="00F60D74">
            <w:pPr>
              <w:pStyle w:val="TableParagraph"/>
              <w:spacing w:line="190" w:lineRule="atLeast"/>
              <w:ind w:left="148" w:right="132" w:firstLine="2"/>
              <w:jc w:val="center"/>
              <w:rPr>
                <w:b/>
                <w:sz w:val="16"/>
              </w:rPr>
            </w:pPr>
            <w:r>
              <w:rPr>
                <w:b/>
                <w:sz w:val="16"/>
              </w:rPr>
              <w:t xml:space="preserve">Ministerio de </w:t>
            </w:r>
            <w:r>
              <w:rPr>
                <w:b/>
                <w:spacing w:val="-2"/>
                <w:sz w:val="16"/>
              </w:rPr>
              <w:t xml:space="preserve">Vivienda, Desarrollo </w:t>
            </w:r>
            <w:r>
              <w:rPr>
                <w:b/>
                <w:sz w:val="16"/>
              </w:rPr>
              <w:t>Comunitario</w:t>
            </w:r>
            <w:r>
              <w:rPr>
                <w:b/>
                <w:spacing w:val="-14"/>
                <w:sz w:val="16"/>
              </w:rPr>
              <w:t xml:space="preserve"> </w:t>
            </w:r>
            <w:r>
              <w:rPr>
                <w:b/>
                <w:sz w:val="16"/>
              </w:rPr>
              <w:t xml:space="preserve">y </w:t>
            </w:r>
            <w:r>
              <w:rPr>
                <w:b/>
                <w:spacing w:val="-2"/>
                <w:sz w:val="16"/>
              </w:rPr>
              <w:t>Servicios Sociales</w:t>
            </w:r>
          </w:p>
        </w:tc>
        <w:tc>
          <w:tcPr>
            <w:tcW w:w="1532" w:type="dxa"/>
          </w:tcPr>
          <w:p w14:paraId="360C6B07" w14:textId="77777777" w:rsidR="000E52B0" w:rsidRDefault="000E52B0">
            <w:pPr>
              <w:pStyle w:val="TableParagraph"/>
              <w:rPr>
                <w:sz w:val="16"/>
              </w:rPr>
            </w:pPr>
          </w:p>
          <w:p w14:paraId="1572AAEF" w14:textId="77777777" w:rsidR="000E52B0" w:rsidRDefault="000E52B0">
            <w:pPr>
              <w:pStyle w:val="TableParagraph"/>
              <w:spacing w:before="17"/>
              <w:rPr>
                <w:sz w:val="16"/>
              </w:rPr>
            </w:pPr>
          </w:p>
          <w:p w14:paraId="6B145FEC" w14:textId="77777777" w:rsidR="000E52B0" w:rsidRDefault="00F60D74">
            <w:pPr>
              <w:pStyle w:val="TableParagraph"/>
              <w:spacing w:before="1"/>
              <w:ind w:left="14"/>
              <w:jc w:val="center"/>
              <w:rPr>
                <w:b/>
                <w:sz w:val="16"/>
              </w:rPr>
            </w:pPr>
            <w:r>
              <w:rPr>
                <w:b/>
                <w:spacing w:val="-4"/>
                <w:sz w:val="16"/>
              </w:rPr>
              <w:t>2008</w:t>
            </w:r>
          </w:p>
        </w:tc>
        <w:tc>
          <w:tcPr>
            <w:tcW w:w="4633" w:type="dxa"/>
          </w:tcPr>
          <w:p w14:paraId="07B0DD6B" w14:textId="77777777" w:rsidR="000E52B0" w:rsidRDefault="00F60D74">
            <w:pPr>
              <w:pStyle w:val="TableParagraph"/>
              <w:spacing w:before="97"/>
              <w:ind w:left="68" w:right="47"/>
              <w:jc w:val="both"/>
              <w:rPr>
                <w:sz w:val="16"/>
              </w:rPr>
            </w:pPr>
            <w:r>
              <w:rPr>
                <w:sz w:val="16"/>
              </w:rPr>
              <w:t>La prestación de</w:t>
            </w:r>
            <w:r>
              <w:rPr>
                <w:spacing w:val="-1"/>
                <w:sz w:val="16"/>
              </w:rPr>
              <w:t xml:space="preserve"> </w:t>
            </w:r>
            <w:r>
              <w:rPr>
                <w:sz w:val="16"/>
              </w:rPr>
              <w:t>servicios orientados a la resolución</w:t>
            </w:r>
            <w:r>
              <w:rPr>
                <w:spacing w:val="-1"/>
                <w:sz w:val="16"/>
              </w:rPr>
              <w:t xml:space="preserve"> </w:t>
            </w:r>
            <w:r>
              <w:rPr>
                <w:sz w:val="16"/>
              </w:rPr>
              <w:t>de problemas individuales y familiares, el alivio de la pobreza, la rehabilitación de los discapacitados, personas</w:t>
            </w:r>
            <w:r>
              <w:rPr>
                <w:spacing w:val="-9"/>
                <w:sz w:val="16"/>
              </w:rPr>
              <w:t xml:space="preserve"> </w:t>
            </w:r>
            <w:r>
              <w:rPr>
                <w:sz w:val="16"/>
              </w:rPr>
              <w:t>desfavorecidas,</w:t>
            </w:r>
            <w:r>
              <w:rPr>
                <w:spacing w:val="-7"/>
                <w:sz w:val="16"/>
              </w:rPr>
              <w:t xml:space="preserve"> </w:t>
            </w:r>
            <w:r>
              <w:rPr>
                <w:sz w:val="16"/>
              </w:rPr>
              <w:t>privados</w:t>
            </w:r>
            <w:r>
              <w:rPr>
                <w:spacing w:val="-9"/>
                <w:sz w:val="16"/>
              </w:rPr>
              <w:t xml:space="preserve"> </w:t>
            </w:r>
            <w:r>
              <w:rPr>
                <w:sz w:val="16"/>
              </w:rPr>
              <w:t>y</w:t>
            </w:r>
            <w:r>
              <w:rPr>
                <w:spacing w:val="-6"/>
                <w:sz w:val="16"/>
              </w:rPr>
              <w:t xml:space="preserve"> </w:t>
            </w:r>
            <w:r>
              <w:rPr>
                <w:sz w:val="16"/>
              </w:rPr>
              <w:t>la</w:t>
            </w:r>
            <w:r>
              <w:rPr>
                <w:spacing w:val="-7"/>
                <w:sz w:val="16"/>
              </w:rPr>
              <w:t xml:space="preserve"> </w:t>
            </w:r>
            <w:r>
              <w:rPr>
                <w:sz w:val="16"/>
              </w:rPr>
              <w:t>afectación</w:t>
            </w:r>
            <w:r>
              <w:rPr>
                <w:spacing w:val="-7"/>
                <w:sz w:val="16"/>
              </w:rPr>
              <w:t xml:space="preserve"> </w:t>
            </w:r>
            <w:r>
              <w:rPr>
                <w:sz w:val="16"/>
              </w:rPr>
              <w:t>por</w:t>
            </w:r>
            <w:r>
              <w:rPr>
                <w:spacing w:val="-8"/>
                <w:sz w:val="16"/>
              </w:rPr>
              <w:t xml:space="preserve"> </w:t>
            </w:r>
            <w:r>
              <w:rPr>
                <w:sz w:val="16"/>
              </w:rPr>
              <w:t>la crisis y los desastres naturales.</w:t>
            </w:r>
          </w:p>
        </w:tc>
      </w:tr>
    </w:tbl>
    <w:p w14:paraId="39E8E873" w14:textId="77777777" w:rsidR="000E52B0" w:rsidRDefault="000E52B0">
      <w:pPr>
        <w:pStyle w:val="TableParagraph"/>
        <w:jc w:val="both"/>
        <w:rPr>
          <w:sz w:val="16"/>
        </w:rPr>
        <w:sectPr w:rsidR="000E52B0">
          <w:type w:val="continuous"/>
          <w:pgSz w:w="11910" w:h="16840"/>
          <w:pgMar w:top="1400" w:right="720" w:bottom="1509" w:left="720" w:header="0" w:footer="995" w:gutter="0"/>
          <w:cols w:space="720"/>
        </w:sectPr>
      </w:pPr>
    </w:p>
    <w:tbl>
      <w:tblPr>
        <w:tblStyle w:val="TableNormal"/>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89"/>
        <w:gridCol w:w="1563"/>
        <w:gridCol w:w="1532"/>
        <w:gridCol w:w="4633"/>
      </w:tblGrid>
      <w:tr w:rsidR="000E52B0" w14:paraId="30FED194" w14:textId="77777777">
        <w:trPr>
          <w:trHeight w:val="542"/>
        </w:trPr>
        <w:tc>
          <w:tcPr>
            <w:tcW w:w="1289" w:type="dxa"/>
            <w:shd w:val="clear" w:color="auto" w:fill="D44673"/>
          </w:tcPr>
          <w:p w14:paraId="372A66C2" w14:textId="77777777" w:rsidR="000E52B0" w:rsidRDefault="00F60D74">
            <w:pPr>
              <w:pStyle w:val="TableParagraph"/>
              <w:spacing w:before="175"/>
              <w:ind w:left="21" w:right="3"/>
              <w:jc w:val="center"/>
              <w:rPr>
                <w:b/>
                <w:sz w:val="16"/>
              </w:rPr>
            </w:pPr>
            <w:r>
              <w:rPr>
                <w:b/>
                <w:color w:val="FFFFFF"/>
                <w:spacing w:val="-4"/>
                <w:sz w:val="16"/>
              </w:rPr>
              <w:lastRenderedPageBreak/>
              <w:t>País</w:t>
            </w:r>
          </w:p>
        </w:tc>
        <w:tc>
          <w:tcPr>
            <w:tcW w:w="1563" w:type="dxa"/>
            <w:shd w:val="clear" w:color="auto" w:fill="D44673"/>
          </w:tcPr>
          <w:p w14:paraId="70B4F84A" w14:textId="77777777" w:rsidR="000E52B0" w:rsidRDefault="00F60D74">
            <w:pPr>
              <w:pStyle w:val="TableParagraph"/>
              <w:spacing w:before="175"/>
              <w:ind w:left="438"/>
              <w:rPr>
                <w:b/>
                <w:sz w:val="16"/>
              </w:rPr>
            </w:pPr>
            <w:r>
              <w:rPr>
                <w:b/>
                <w:color w:val="FFFFFF"/>
                <w:spacing w:val="-2"/>
                <w:sz w:val="16"/>
              </w:rPr>
              <w:t>Entidad</w:t>
            </w:r>
          </w:p>
        </w:tc>
        <w:tc>
          <w:tcPr>
            <w:tcW w:w="1532" w:type="dxa"/>
            <w:shd w:val="clear" w:color="auto" w:fill="D44673"/>
          </w:tcPr>
          <w:p w14:paraId="69A62A96" w14:textId="77777777" w:rsidR="000E52B0" w:rsidRDefault="00F60D74">
            <w:pPr>
              <w:pStyle w:val="TableParagraph"/>
              <w:spacing w:before="76"/>
              <w:ind w:left="373" w:right="353" w:firstLine="79"/>
              <w:rPr>
                <w:b/>
                <w:sz w:val="16"/>
              </w:rPr>
            </w:pPr>
            <w:r>
              <w:rPr>
                <w:b/>
                <w:color w:val="FFFFFF"/>
                <w:sz w:val="16"/>
              </w:rPr>
              <w:t xml:space="preserve">Año de </w:t>
            </w:r>
            <w:r>
              <w:rPr>
                <w:b/>
                <w:color w:val="FFFFFF"/>
                <w:spacing w:val="-2"/>
                <w:sz w:val="16"/>
              </w:rPr>
              <w:t>Creación</w:t>
            </w:r>
          </w:p>
        </w:tc>
        <w:tc>
          <w:tcPr>
            <w:tcW w:w="4633" w:type="dxa"/>
            <w:shd w:val="clear" w:color="auto" w:fill="D44673"/>
          </w:tcPr>
          <w:p w14:paraId="26BCB880" w14:textId="77777777" w:rsidR="000E52B0" w:rsidRDefault="00F60D74">
            <w:pPr>
              <w:pStyle w:val="TableParagraph"/>
              <w:spacing w:before="175"/>
              <w:ind w:left="1424"/>
              <w:rPr>
                <w:b/>
                <w:sz w:val="16"/>
              </w:rPr>
            </w:pPr>
            <w:r>
              <w:rPr>
                <w:b/>
                <w:color w:val="FFFFFF"/>
                <w:sz w:val="16"/>
              </w:rPr>
              <w:t>Misión</w:t>
            </w:r>
            <w:r>
              <w:rPr>
                <w:b/>
                <w:color w:val="FFFFFF"/>
                <w:spacing w:val="-6"/>
                <w:sz w:val="16"/>
              </w:rPr>
              <w:t xml:space="preserve"> </w:t>
            </w:r>
            <w:r>
              <w:rPr>
                <w:b/>
                <w:color w:val="FFFFFF"/>
                <w:spacing w:val="-2"/>
                <w:sz w:val="16"/>
              </w:rPr>
              <w:t>Institucional</w:t>
            </w:r>
          </w:p>
        </w:tc>
      </w:tr>
      <w:tr w:rsidR="000E52B0" w14:paraId="1EEA7DB5" w14:textId="77777777">
        <w:trPr>
          <w:trHeight w:val="1165"/>
        </w:trPr>
        <w:tc>
          <w:tcPr>
            <w:tcW w:w="1289" w:type="dxa"/>
          </w:tcPr>
          <w:p w14:paraId="3ABAF4C1" w14:textId="77777777" w:rsidR="000E52B0" w:rsidRDefault="000E52B0">
            <w:pPr>
              <w:pStyle w:val="TableParagraph"/>
              <w:rPr>
                <w:sz w:val="16"/>
              </w:rPr>
            </w:pPr>
          </w:p>
          <w:p w14:paraId="314C6FB9" w14:textId="77777777" w:rsidR="000E52B0" w:rsidRDefault="000E52B0">
            <w:pPr>
              <w:pStyle w:val="TableParagraph"/>
              <w:spacing w:before="97"/>
              <w:rPr>
                <w:sz w:val="16"/>
              </w:rPr>
            </w:pPr>
          </w:p>
          <w:p w14:paraId="5C66DD5A" w14:textId="77777777" w:rsidR="000E52B0" w:rsidRDefault="00F60D74">
            <w:pPr>
              <w:pStyle w:val="TableParagraph"/>
              <w:spacing w:before="1"/>
              <w:ind w:left="21" w:right="4"/>
              <w:jc w:val="center"/>
              <w:rPr>
                <w:b/>
                <w:sz w:val="16"/>
              </w:rPr>
            </w:pPr>
            <w:r>
              <w:rPr>
                <w:b/>
                <w:spacing w:val="-2"/>
                <w:sz w:val="16"/>
              </w:rPr>
              <w:t>Guyana</w:t>
            </w:r>
          </w:p>
        </w:tc>
        <w:tc>
          <w:tcPr>
            <w:tcW w:w="1563" w:type="dxa"/>
          </w:tcPr>
          <w:p w14:paraId="7146BB08" w14:textId="77777777" w:rsidR="000E52B0" w:rsidRDefault="00F60D74">
            <w:pPr>
              <w:pStyle w:val="TableParagraph"/>
              <w:spacing w:before="98"/>
              <w:ind w:left="131" w:right="112"/>
              <w:jc w:val="center"/>
              <w:rPr>
                <w:b/>
                <w:sz w:val="16"/>
              </w:rPr>
            </w:pPr>
            <w:r>
              <w:rPr>
                <w:b/>
                <w:sz w:val="16"/>
              </w:rPr>
              <w:t>Ministerio</w:t>
            </w:r>
            <w:r>
              <w:rPr>
                <w:b/>
                <w:spacing w:val="-14"/>
                <w:sz w:val="16"/>
              </w:rPr>
              <w:t xml:space="preserve"> </w:t>
            </w:r>
            <w:r>
              <w:rPr>
                <w:b/>
                <w:sz w:val="16"/>
              </w:rPr>
              <w:t xml:space="preserve">de </w:t>
            </w:r>
            <w:r>
              <w:rPr>
                <w:b/>
                <w:spacing w:val="-2"/>
                <w:sz w:val="16"/>
              </w:rPr>
              <w:t xml:space="preserve">Servicios </w:t>
            </w:r>
            <w:r>
              <w:rPr>
                <w:b/>
                <w:sz w:val="16"/>
              </w:rPr>
              <w:t xml:space="preserve">Humanos y </w:t>
            </w:r>
            <w:r>
              <w:rPr>
                <w:b/>
                <w:spacing w:val="-2"/>
                <w:sz w:val="16"/>
              </w:rPr>
              <w:t>Seguridad Social</w:t>
            </w:r>
          </w:p>
        </w:tc>
        <w:tc>
          <w:tcPr>
            <w:tcW w:w="1532" w:type="dxa"/>
          </w:tcPr>
          <w:p w14:paraId="41820CFB" w14:textId="77777777" w:rsidR="000E52B0" w:rsidRDefault="000E52B0">
            <w:pPr>
              <w:pStyle w:val="TableParagraph"/>
              <w:rPr>
                <w:sz w:val="16"/>
              </w:rPr>
            </w:pPr>
          </w:p>
          <w:p w14:paraId="3538C264" w14:textId="77777777" w:rsidR="000E52B0" w:rsidRDefault="000E52B0">
            <w:pPr>
              <w:pStyle w:val="TableParagraph"/>
              <w:spacing w:before="16"/>
              <w:rPr>
                <w:sz w:val="16"/>
              </w:rPr>
            </w:pPr>
          </w:p>
          <w:p w14:paraId="5D863B8F" w14:textId="77777777" w:rsidR="000E52B0" w:rsidRDefault="00F60D74">
            <w:pPr>
              <w:pStyle w:val="TableParagraph"/>
              <w:ind w:left="14"/>
              <w:jc w:val="center"/>
              <w:rPr>
                <w:b/>
                <w:sz w:val="16"/>
              </w:rPr>
            </w:pPr>
            <w:r>
              <w:rPr>
                <w:b/>
                <w:spacing w:val="-4"/>
                <w:sz w:val="16"/>
              </w:rPr>
              <w:t>1965</w:t>
            </w:r>
          </w:p>
        </w:tc>
        <w:tc>
          <w:tcPr>
            <w:tcW w:w="4633" w:type="dxa"/>
          </w:tcPr>
          <w:p w14:paraId="01A7D6DD" w14:textId="77777777" w:rsidR="000E52B0" w:rsidRDefault="00F60D74">
            <w:pPr>
              <w:pStyle w:val="TableParagraph"/>
              <w:spacing w:line="194" w:lineRule="exact"/>
              <w:ind w:left="68" w:right="45"/>
              <w:jc w:val="both"/>
              <w:rPr>
                <w:sz w:val="16"/>
              </w:rPr>
            </w:pPr>
            <w:r>
              <w:rPr>
                <w:sz w:val="16"/>
              </w:rPr>
              <w:t>El</w:t>
            </w:r>
            <w:r>
              <w:rPr>
                <w:spacing w:val="-15"/>
                <w:sz w:val="16"/>
              </w:rPr>
              <w:t xml:space="preserve"> </w:t>
            </w:r>
            <w:r>
              <w:rPr>
                <w:sz w:val="16"/>
              </w:rPr>
              <w:t>Ministerio</w:t>
            </w:r>
            <w:r>
              <w:rPr>
                <w:spacing w:val="-14"/>
                <w:sz w:val="16"/>
              </w:rPr>
              <w:t xml:space="preserve"> </w:t>
            </w:r>
            <w:r>
              <w:rPr>
                <w:sz w:val="16"/>
              </w:rPr>
              <w:t>de</w:t>
            </w:r>
            <w:r>
              <w:rPr>
                <w:spacing w:val="-14"/>
                <w:sz w:val="16"/>
              </w:rPr>
              <w:t xml:space="preserve"> </w:t>
            </w:r>
            <w:r>
              <w:rPr>
                <w:sz w:val="16"/>
              </w:rPr>
              <w:t>Protección</w:t>
            </w:r>
            <w:r>
              <w:rPr>
                <w:spacing w:val="-14"/>
                <w:sz w:val="16"/>
              </w:rPr>
              <w:t xml:space="preserve"> </w:t>
            </w:r>
            <w:r>
              <w:rPr>
                <w:sz w:val="16"/>
              </w:rPr>
              <w:t>Social</w:t>
            </w:r>
            <w:r>
              <w:rPr>
                <w:spacing w:val="-14"/>
                <w:sz w:val="16"/>
              </w:rPr>
              <w:t xml:space="preserve"> </w:t>
            </w:r>
            <w:r>
              <w:rPr>
                <w:sz w:val="16"/>
              </w:rPr>
              <w:t>está</w:t>
            </w:r>
            <w:r>
              <w:rPr>
                <w:spacing w:val="-14"/>
                <w:sz w:val="16"/>
              </w:rPr>
              <w:t xml:space="preserve"> </w:t>
            </w:r>
            <w:r>
              <w:rPr>
                <w:sz w:val="16"/>
              </w:rPr>
              <w:t>comprometido</w:t>
            </w:r>
            <w:r>
              <w:rPr>
                <w:spacing w:val="-14"/>
                <w:sz w:val="16"/>
              </w:rPr>
              <w:t xml:space="preserve"> </w:t>
            </w:r>
            <w:r>
              <w:rPr>
                <w:sz w:val="16"/>
              </w:rPr>
              <w:t>con el desarrollo sostenible y la rehabilitación de los niños, las mujeres, las familias y los ancianos y brinda capacitación y servicios / programas sociales y de bienestar a personas en circunstancias difíciles y personas desfavorecidas.</w:t>
            </w:r>
          </w:p>
        </w:tc>
      </w:tr>
      <w:tr w:rsidR="000E52B0" w14:paraId="1A1C0B28" w14:textId="77777777">
        <w:trPr>
          <w:trHeight w:val="1751"/>
        </w:trPr>
        <w:tc>
          <w:tcPr>
            <w:tcW w:w="1289" w:type="dxa"/>
          </w:tcPr>
          <w:p w14:paraId="24E53CAF" w14:textId="77777777" w:rsidR="000E52B0" w:rsidRDefault="000E52B0">
            <w:pPr>
              <w:pStyle w:val="TableParagraph"/>
              <w:rPr>
                <w:sz w:val="16"/>
              </w:rPr>
            </w:pPr>
          </w:p>
          <w:p w14:paraId="0955BFD6" w14:textId="77777777" w:rsidR="000E52B0" w:rsidRDefault="000E52B0">
            <w:pPr>
              <w:pStyle w:val="TableParagraph"/>
              <w:rPr>
                <w:sz w:val="16"/>
              </w:rPr>
            </w:pPr>
          </w:p>
          <w:p w14:paraId="39AD1DB1" w14:textId="77777777" w:rsidR="000E52B0" w:rsidRDefault="000E52B0">
            <w:pPr>
              <w:pStyle w:val="TableParagraph"/>
              <w:spacing w:before="1"/>
              <w:rPr>
                <w:sz w:val="16"/>
              </w:rPr>
            </w:pPr>
          </w:p>
          <w:p w14:paraId="4158E030" w14:textId="5799FE23" w:rsidR="000E52B0" w:rsidRDefault="00F60D74">
            <w:pPr>
              <w:pStyle w:val="TableParagraph"/>
              <w:ind w:left="89" w:right="70"/>
              <w:jc w:val="center"/>
              <w:rPr>
                <w:b/>
                <w:sz w:val="16"/>
              </w:rPr>
            </w:pPr>
            <w:r>
              <w:rPr>
                <w:b/>
                <w:sz w:val="16"/>
              </w:rPr>
              <w:t>San</w:t>
            </w:r>
            <w:r>
              <w:rPr>
                <w:b/>
                <w:spacing w:val="-14"/>
                <w:sz w:val="16"/>
              </w:rPr>
              <w:t xml:space="preserve"> </w:t>
            </w:r>
            <w:r>
              <w:rPr>
                <w:b/>
                <w:sz w:val="16"/>
              </w:rPr>
              <w:t xml:space="preserve">Vicente y las </w:t>
            </w:r>
            <w:r w:rsidR="00711074">
              <w:rPr>
                <w:b/>
                <w:spacing w:val="-2"/>
                <w:sz w:val="16"/>
              </w:rPr>
              <w:t>granadinas</w:t>
            </w:r>
          </w:p>
        </w:tc>
        <w:tc>
          <w:tcPr>
            <w:tcW w:w="1563" w:type="dxa"/>
          </w:tcPr>
          <w:p w14:paraId="099D5B2C" w14:textId="77777777" w:rsidR="000E52B0" w:rsidRDefault="00F60D74">
            <w:pPr>
              <w:pStyle w:val="TableParagraph"/>
              <w:spacing w:line="190" w:lineRule="atLeast"/>
              <w:ind w:left="100" w:right="82"/>
              <w:jc w:val="center"/>
              <w:rPr>
                <w:b/>
                <w:sz w:val="16"/>
              </w:rPr>
            </w:pPr>
            <w:r>
              <w:rPr>
                <w:b/>
                <w:sz w:val="16"/>
              </w:rPr>
              <w:t xml:space="preserve">Ministerio de </w:t>
            </w:r>
            <w:r>
              <w:rPr>
                <w:b/>
                <w:spacing w:val="-2"/>
                <w:sz w:val="16"/>
              </w:rPr>
              <w:t xml:space="preserve">Movilización Nacional </w:t>
            </w:r>
            <w:r>
              <w:rPr>
                <w:b/>
                <w:sz w:val="16"/>
              </w:rPr>
              <w:t xml:space="preserve">encargado de </w:t>
            </w:r>
            <w:r>
              <w:rPr>
                <w:b/>
                <w:spacing w:val="-2"/>
                <w:sz w:val="16"/>
              </w:rPr>
              <w:t xml:space="preserve">Desarrollo </w:t>
            </w:r>
            <w:r>
              <w:rPr>
                <w:b/>
                <w:sz w:val="16"/>
              </w:rPr>
              <w:t>Social,</w:t>
            </w:r>
            <w:r>
              <w:rPr>
                <w:b/>
                <w:spacing w:val="-14"/>
                <w:sz w:val="16"/>
              </w:rPr>
              <w:t xml:space="preserve"> </w:t>
            </w:r>
            <w:r>
              <w:rPr>
                <w:b/>
                <w:sz w:val="16"/>
              </w:rPr>
              <w:t xml:space="preserve">Familia, Género y Asuntos de la </w:t>
            </w:r>
            <w:r>
              <w:rPr>
                <w:b/>
                <w:spacing w:val="-2"/>
                <w:sz w:val="16"/>
              </w:rPr>
              <w:t>Juventud</w:t>
            </w:r>
          </w:p>
        </w:tc>
        <w:tc>
          <w:tcPr>
            <w:tcW w:w="1532" w:type="dxa"/>
          </w:tcPr>
          <w:p w14:paraId="74BF5044" w14:textId="77777777" w:rsidR="000E52B0" w:rsidRDefault="000E52B0">
            <w:pPr>
              <w:pStyle w:val="TableParagraph"/>
              <w:rPr>
                <w:sz w:val="16"/>
              </w:rPr>
            </w:pPr>
          </w:p>
          <w:p w14:paraId="6A774420" w14:textId="77777777" w:rsidR="000E52B0" w:rsidRDefault="000E52B0">
            <w:pPr>
              <w:pStyle w:val="TableParagraph"/>
              <w:rPr>
                <w:sz w:val="16"/>
              </w:rPr>
            </w:pPr>
          </w:p>
          <w:p w14:paraId="7C7D708A" w14:textId="77777777" w:rsidR="000E52B0" w:rsidRDefault="000E52B0">
            <w:pPr>
              <w:pStyle w:val="TableParagraph"/>
              <w:spacing w:before="114"/>
              <w:rPr>
                <w:sz w:val="16"/>
              </w:rPr>
            </w:pPr>
          </w:p>
          <w:p w14:paraId="73535411" w14:textId="77777777" w:rsidR="000E52B0" w:rsidRDefault="00F60D74">
            <w:pPr>
              <w:pStyle w:val="TableParagraph"/>
              <w:ind w:left="14"/>
              <w:jc w:val="center"/>
              <w:rPr>
                <w:b/>
                <w:sz w:val="16"/>
              </w:rPr>
            </w:pPr>
            <w:r>
              <w:rPr>
                <w:b/>
                <w:spacing w:val="-4"/>
                <w:sz w:val="16"/>
              </w:rPr>
              <w:t>2001</w:t>
            </w:r>
          </w:p>
        </w:tc>
        <w:tc>
          <w:tcPr>
            <w:tcW w:w="4633" w:type="dxa"/>
          </w:tcPr>
          <w:p w14:paraId="5ECD0CC8" w14:textId="77777777" w:rsidR="000E52B0" w:rsidRDefault="000E52B0">
            <w:pPr>
              <w:pStyle w:val="TableParagraph"/>
              <w:spacing w:before="1"/>
              <w:rPr>
                <w:sz w:val="16"/>
              </w:rPr>
            </w:pPr>
          </w:p>
          <w:p w14:paraId="7B703130" w14:textId="77777777" w:rsidR="000E52B0" w:rsidRDefault="00F60D74">
            <w:pPr>
              <w:pStyle w:val="TableParagraph"/>
              <w:spacing w:before="1"/>
              <w:ind w:left="68" w:right="45"/>
              <w:jc w:val="both"/>
              <w:rPr>
                <w:sz w:val="16"/>
              </w:rPr>
            </w:pPr>
            <w:r>
              <w:rPr>
                <w:sz w:val="16"/>
              </w:rPr>
              <w:t>Facilitar</w:t>
            </w:r>
            <w:r>
              <w:rPr>
                <w:spacing w:val="-10"/>
                <w:sz w:val="16"/>
              </w:rPr>
              <w:t xml:space="preserve"> </w:t>
            </w:r>
            <w:r>
              <w:rPr>
                <w:sz w:val="16"/>
              </w:rPr>
              <w:t>el</w:t>
            </w:r>
            <w:r>
              <w:rPr>
                <w:spacing w:val="-11"/>
                <w:sz w:val="16"/>
              </w:rPr>
              <w:t xml:space="preserve"> </w:t>
            </w:r>
            <w:r>
              <w:rPr>
                <w:sz w:val="16"/>
              </w:rPr>
              <w:t>desarrollo</w:t>
            </w:r>
            <w:r>
              <w:rPr>
                <w:spacing w:val="-12"/>
                <w:sz w:val="16"/>
              </w:rPr>
              <w:t xml:space="preserve"> </w:t>
            </w:r>
            <w:r>
              <w:rPr>
                <w:sz w:val="16"/>
              </w:rPr>
              <w:t>social,</w:t>
            </w:r>
            <w:r>
              <w:rPr>
                <w:spacing w:val="-11"/>
                <w:sz w:val="16"/>
              </w:rPr>
              <w:t xml:space="preserve"> </w:t>
            </w:r>
            <w:r>
              <w:rPr>
                <w:sz w:val="16"/>
              </w:rPr>
              <w:t>cultural</w:t>
            </w:r>
            <w:r>
              <w:rPr>
                <w:spacing w:val="-11"/>
                <w:sz w:val="16"/>
              </w:rPr>
              <w:t xml:space="preserve"> </w:t>
            </w:r>
            <w:r>
              <w:rPr>
                <w:sz w:val="16"/>
              </w:rPr>
              <w:t>y</w:t>
            </w:r>
            <w:r>
              <w:rPr>
                <w:spacing w:val="-10"/>
                <w:sz w:val="16"/>
              </w:rPr>
              <w:t xml:space="preserve"> </w:t>
            </w:r>
            <w:r>
              <w:rPr>
                <w:sz w:val="16"/>
              </w:rPr>
              <w:t>económico</w:t>
            </w:r>
            <w:r>
              <w:rPr>
                <w:spacing w:val="-12"/>
                <w:sz w:val="16"/>
              </w:rPr>
              <w:t xml:space="preserve"> </w:t>
            </w:r>
            <w:r>
              <w:rPr>
                <w:sz w:val="16"/>
              </w:rPr>
              <w:t>a</w:t>
            </w:r>
            <w:r>
              <w:rPr>
                <w:spacing w:val="-11"/>
                <w:sz w:val="16"/>
              </w:rPr>
              <w:t xml:space="preserve"> </w:t>
            </w:r>
            <w:r>
              <w:rPr>
                <w:sz w:val="16"/>
              </w:rPr>
              <w:t>nivel comunitario; promover el desarrollo económico sostenible; proveer de manera persistente programas efectivos</w:t>
            </w:r>
            <w:r>
              <w:rPr>
                <w:spacing w:val="-8"/>
                <w:sz w:val="16"/>
              </w:rPr>
              <w:t xml:space="preserve"> </w:t>
            </w:r>
            <w:r>
              <w:rPr>
                <w:sz w:val="16"/>
              </w:rPr>
              <w:t>y</w:t>
            </w:r>
            <w:r>
              <w:rPr>
                <w:spacing w:val="-7"/>
                <w:sz w:val="16"/>
              </w:rPr>
              <w:t xml:space="preserve"> </w:t>
            </w:r>
            <w:r>
              <w:rPr>
                <w:sz w:val="16"/>
              </w:rPr>
              <w:t>servicios</w:t>
            </w:r>
            <w:r>
              <w:rPr>
                <w:spacing w:val="-7"/>
                <w:sz w:val="16"/>
              </w:rPr>
              <w:t xml:space="preserve"> </w:t>
            </w:r>
            <w:r>
              <w:rPr>
                <w:sz w:val="16"/>
              </w:rPr>
              <w:t>eficientes</w:t>
            </w:r>
            <w:r>
              <w:rPr>
                <w:spacing w:val="-8"/>
                <w:sz w:val="16"/>
              </w:rPr>
              <w:t xml:space="preserve"> </w:t>
            </w:r>
            <w:r>
              <w:rPr>
                <w:sz w:val="16"/>
              </w:rPr>
              <w:t>orientados</w:t>
            </w:r>
            <w:r>
              <w:rPr>
                <w:spacing w:val="-8"/>
                <w:sz w:val="16"/>
              </w:rPr>
              <w:t xml:space="preserve"> </w:t>
            </w:r>
            <w:r>
              <w:rPr>
                <w:sz w:val="16"/>
              </w:rPr>
              <w:t>a</w:t>
            </w:r>
            <w:r>
              <w:rPr>
                <w:spacing w:val="-9"/>
                <w:sz w:val="16"/>
              </w:rPr>
              <w:t xml:space="preserve"> </w:t>
            </w:r>
            <w:r>
              <w:rPr>
                <w:sz w:val="16"/>
              </w:rPr>
              <w:t>promover</w:t>
            </w:r>
            <w:r>
              <w:rPr>
                <w:spacing w:val="-7"/>
                <w:sz w:val="16"/>
              </w:rPr>
              <w:t xml:space="preserve"> </w:t>
            </w:r>
            <w:r>
              <w:rPr>
                <w:sz w:val="16"/>
              </w:rPr>
              <w:t>la equidad</w:t>
            </w:r>
            <w:r>
              <w:rPr>
                <w:spacing w:val="-6"/>
                <w:sz w:val="16"/>
              </w:rPr>
              <w:t xml:space="preserve"> </w:t>
            </w:r>
            <w:r>
              <w:rPr>
                <w:sz w:val="16"/>
              </w:rPr>
              <w:t>dentro</w:t>
            </w:r>
            <w:r>
              <w:rPr>
                <w:spacing w:val="-4"/>
                <w:sz w:val="16"/>
              </w:rPr>
              <w:t xml:space="preserve"> </w:t>
            </w:r>
            <w:r>
              <w:rPr>
                <w:sz w:val="16"/>
              </w:rPr>
              <w:t>de</w:t>
            </w:r>
            <w:r>
              <w:rPr>
                <w:spacing w:val="-4"/>
                <w:sz w:val="16"/>
              </w:rPr>
              <w:t xml:space="preserve"> </w:t>
            </w:r>
            <w:r>
              <w:rPr>
                <w:sz w:val="16"/>
              </w:rPr>
              <w:t>las</w:t>
            </w:r>
            <w:r>
              <w:rPr>
                <w:spacing w:val="-6"/>
                <w:sz w:val="16"/>
              </w:rPr>
              <w:t xml:space="preserve"> </w:t>
            </w:r>
            <w:r>
              <w:rPr>
                <w:sz w:val="16"/>
              </w:rPr>
              <w:t>relaciones</w:t>
            </w:r>
            <w:r>
              <w:rPr>
                <w:spacing w:val="-4"/>
                <w:sz w:val="16"/>
              </w:rPr>
              <w:t xml:space="preserve"> </w:t>
            </w:r>
            <w:r>
              <w:rPr>
                <w:sz w:val="16"/>
              </w:rPr>
              <w:t>familiares,</w:t>
            </w:r>
            <w:r>
              <w:rPr>
                <w:spacing w:val="-5"/>
                <w:sz w:val="16"/>
              </w:rPr>
              <w:t xml:space="preserve"> </w:t>
            </w:r>
            <w:r>
              <w:rPr>
                <w:sz w:val="16"/>
              </w:rPr>
              <w:t>impulsando los Derechos de los niños, de las personas con discapacidades, de las personas adultas mayores.</w:t>
            </w:r>
          </w:p>
        </w:tc>
      </w:tr>
      <w:tr w:rsidR="000E52B0" w14:paraId="2563C306" w14:textId="77777777">
        <w:trPr>
          <w:trHeight w:val="1749"/>
        </w:trPr>
        <w:tc>
          <w:tcPr>
            <w:tcW w:w="1289" w:type="dxa"/>
          </w:tcPr>
          <w:p w14:paraId="40E4B5CD" w14:textId="77777777" w:rsidR="000E52B0" w:rsidRDefault="000E52B0">
            <w:pPr>
              <w:pStyle w:val="TableParagraph"/>
              <w:rPr>
                <w:sz w:val="16"/>
              </w:rPr>
            </w:pPr>
          </w:p>
          <w:p w14:paraId="211F6320" w14:textId="77777777" w:rsidR="000E52B0" w:rsidRDefault="000E52B0">
            <w:pPr>
              <w:pStyle w:val="TableParagraph"/>
              <w:rPr>
                <w:sz w:val="16"/>
              </w:rPr>
            </w:pPr>
          </w:p>
          <w:p w14:paraId="4C2A7A72" w14:textId="77777777" w:rsidR="000E52B0" w:rsidRDefault="000E52B0">
            <w:pPr>
              <w:pStyle w:val="TableParagraph"/>
              <w:spacing w:before="194"/>
              <w:rPr>
                <w:sz w:val="16"/>
              </w:rPr>
            </w:pPr>
          </w:p>
          <w:p w14:paraId="14A84D9F" w14:textId="77777777" w:rsidR="000E52B0" w:rsidRDefault="00F60D74">
            <w:pPr>
              <w:pStyle w:val="TableParagraph"/>
              <w:ind w:left="21" w:right="4"/>
              <w:jc w:val="center"/>
              <w:rPr>
                <w:b/>
                <w:sz w:val="16"/>
              </w:rPr>
            </w:pPr>
            <w:r>
              <w:rPr>
                <w:b/>
                <w:sz w:val="16"/>
              </w:rPr>
              <w:t>Santa</w:t>
            </w:r>
            <w:r>
              <w:rPr>
                <w:b/>
                <w:spacing w:val="-4"/>
                <w:sz w:val="16"/>
              </w:rPr>
              <w:t xml:space="preserve"> </w:t>
            </w:r>
            <w:r>
              <w:rPr>
                <w:b/>
                <w:spacing w:val="-2"/>
                <w:sz w:val="16"/>
              </w:rPr>
              <w:t>Lucía</w:t>
            </w:r>
          </w:p>
        </w:tc>
        <w:tc>
          <w:tcPr>
            <w:tcW w:w="1563" w:type="dxa"/>
          </w:tcPr>
          <w:p w14:paraId="17B676F3" w14:textId="77777777" w:rsidR="000E52B0" w:rsidRDefault="00F60D74">
            <w:pPr>
              <w:pStyle w:val="TableParagraph"/>
              <w:spacing w:line="190" w:lineRule="atLeast"/>
              <w:ind w:left="68" w:right="52" w:firstLine="1"/>
              <w:jc w:val="center"/>
              <w:rPr>
                <w:b/>
                <w:sz w:val="16"/>
              </w:rPr>
            </w:pPr>
            <w:r>
              <w:rPr>
                <w:b/>
                <w:sz w:val="16"/>
              </w:rPr>
              <w:t xml:space="preserve">Ministerio de </w:t>
            </w:r>
            <w:r>
              <w:rPr>
                <w:b/>
                <w:spacing w:val="-2"/>
                <w:sz w:val="16"/>
              </w:rPr>
              <w:t xml:space="preserve">Equidad, </w:t>
            </w:r>
            <w:r>
              <w:rPr>
                <w:b/>
                <w:sz w:val="16"/>
              </w:rPr>
              <w:t xml:space="preserve">Justicia Social, </w:t>
            </w:r>
            <w:r>
              <w:rPr>
                <w:b/>
                <w:spacing w:val="-6"/>
                <w:sz w:val="16"/>
              </w:rPr>
              <w:t>la</w:t>
            </w:r>
            <w:r>
              <w:rPr>
                <w:b/>
                <w:spacing w:val="80"/>
                <w:sz w:val="16"/>
              </w:rPr>
              <w:t xml:space="preserve"> </w:t>
            </w:r>
            <w:r>
              <w:rPr>
                <w:b/>
                <w:spacing w:val="-2"/>
                <w:sz w:val="16"/>
              </w:rPr>
              <w:t xml:space="preserve">Potenciación, </w:t>
            </w:r>
            <w:r>
              <w:rPr>
                <w:b/>
                <w:sz w:val="16"/>
              </w:rPr>
              <w:t>Desarrollo</w:t>
            </w:r>
            <w:r>
              <w:rPr>
                <w:b/>
                <w:spacing w:val="-14"/>
                <w:sz w:val="16"/>
              </w:rPr>
              <w:t xml:space="preserve"> </w:t>
            </w:r>
            <w:r>
              <w:rPr>
                <w:b/>
                <w:sz w:val="16"/>
              </w:rPr>
              <w:t>de</w:t>
            </w:r>
            <w:r>
              <w:rPr>
                <w:b/>
                <w:spacing w:val="-14"/>
                <w:sz w:val="16"/>
              </w:rPr>
              <w:t xml:space="preserve"> </w:t>
            </w:r>
            <w:r>
              <w:rPr>
                <w:b/>
                <w:sz w:val="16"/>
              </w:rPr>
              <w:t xml:space="preserve">la </w:t>
            </w:r>
            <w:r>
              <w:rPr>
                <w:b/>
                <w:spacing w:val="-2"/>
                <w:sz w:val="16"/>
              </w:rPr>
              <w:t xml:space="preserve">Juventud, </w:t>
            </w:r>
            <w:r>
              <w:rPr>
                <w:b/>
                <w:sz w:val="16"/>
              </w:rPr>
              <w:t>Deportes y Gobierno Local</w:t>
            </w:r>
          </w:p>
        </w:tc>
        <w:tc>
          <w:tcPr>
            <w:tcW w:w="1532" w:type="dxa"/>
          </w:tcPr>
          <w:p w14:paraId="4DFE05DE" w14:textId="77777777" w:rsidR="000E52B0" w:rsidRDefault="000E52B0">
            <w:pPr>
              <w:pStyle w:val="TableParagraph"/>
              <w:rPr>
                <w:sz w:val="16"/>
              </w:rPr>
            </w:pPr>
          </w:p>
          <w:p w14:paraId="2533FB54" w14:textId="77777777" w:rsidR="000E52B0" w:rsidRDefault="000E52B0">
            <w:pPr>
              <w:pStyle w:val="TableParagraph"/>
              <w:rPr>
                <w:sz w:val="16"/>
              </w:rPr>
            </w:pPr>
          </w:p>
          <w:p w14:paraId="563D8BA6" w14:textId="77777777" w:rsidR="000E52B0" w:rsidRDefault="000E52B0">
            <w:pPr>
              <w:pStyle w:val="TableParagraph"/>
              <w:spacing w:before="115"/>
              <w:rPr>
                <w:sz w:val="16"/>
              </w:rPr>
            </w:pPr>
          </w:p>
          <w:p w14:paraId="122339BF" w14:textId="77777777" w:rsidR="000E52B0" w:rsidRDefault="00F60D74">
            <w:pPr>
              <w:pStyle w:val="TableParagraph"/>
              <w:ind w:left="14"/>
              <w:jc w:val="center"/>
              <w:rPr>
                <w:b/>
                <w:sz w:val="16"/>
              </w:rPr>
            </w:pPr>
            <w:r>
              <w:rPr>
                <w:b/>
                <w:spacing w:val="-4"/>
                <w:sz w:val="16"/>
              </w:rPr>
              <w:t>2021</w:t>
            </w:r>
          </w:p>
        </w:tc>
        <w:tc>
          <w:tcPr>
            <w:tcW w:w="4633" w:type="dxa"/>
          </w:tcPr>
          <w:p w14:paraId="6C6B1114" w14:textId="77777777" w:rsidR="000E52B0" w:rsidRDefault="000E52B0">
            <w:pPr>
              <w:pStyle w:val="TableParagraph"/>
              <w:spacing w:before="98"/>
              <w:rPr>
                <w:sz w:val="16"/>
              </w:rPr>
            </w:pPr>
          </w:p>
          <w:p w14:paraId="627B0B0C" w14:textId="77777777" w:rsidR="000E52B0" w:rsidRDefault="00F60D74">
            <w:pPr>
              <w:pStyle w:val="TableParagraph"/>
              <w:ind w:left="68" w:right="47"/>
              <w:jc w:val="both"/>
              <w:rPr>
                <w:sz w:val="16"/>
              </w:rPr>
            </w:pPr>
            <w:r>
              <w:rPr>
                <w:sz w:val="16"/>
              </w:rPr>
              <w:t>Promover, apoyar y facilitar la participación, el desarrollo y la organización de la gente, para que utilicen sus propios recursos para efectuar un cambio autodirigido hacia el adelanto económico, social, cultural, político y espiritual de ellos mismos, sus comunidades y de la nación.</w:t>
            </w:r>
          </w:p>
        </w:tc>
      </w:tr>
      <w:tr w:rsidR="000E52B0" w14:paraId="77802ED9" w14:textId="77777777">
        <w:trPr>
          <w:trHeight w:val="1167"/>
        </w:trPr>
        <w:tc>
          <w:tcPr>
            <w:tcW w:w="1289" w:type="dxa"/>
          </w:tcPr>
          <w:p w14:paraId="7F3D73B9" w14:textId="77777777" w:rsidR="000E52B0" w:rsidRDefault="000E52B0">
            <w:pPr>
              <w:pStyle w:val="TableParagraph"/>
              <w:rPr>
                <w:sz w:val="16"/>
              </w:rPr>
            </w:pPr>
          </w:p>
          <w:p w14:paraId="738D8966" w14:textId="77777777" w:rsidR="000E52B0" w:rsidRDefault="000E52B0">
            <w:pPr>
              <w:pStyle w:val="TableParagraph"/>
              <w:spacing w:before="97"/>
              <w:rPr>
                <w:sz w:val="16"/>
              </w:rPr>
            </w:pPr>
          </w:p>
          <w:p w14:paraId="17DCFE60" w14:textId="77777777" w:rsidR="000E52B0" w:rsidRDefault="00F60D74">
            <w:pPr>
              <w:pStyle w:val="TableParagraph"/>
              <w:ind w:left="21" w:right="1"/>
              <w:jc w:val="center"/>
              <w:rPr>
                <w:b/>
                <w:sz w:val="16"/>
              </w:rPr>
            </w:pPr>
            <w:r>
              <w:rPr>
                <w:b/>
                <w:spacing w:val="-2"/>
                <w:sz w:val="16"/>
              </w:rPr>
              <w:t>Surinam</w:t>
            </w:r>
          </w:p>
        </w:tc>
        <w:tc>
          <w:tcPr>
            <w:tcW w:w="1563" w:type="dxa"/>
          </w:tcPr>
          <w:p w14:paraId="14176725" w14:textId="77777777" w:rsidR="000E52B0" w:rsidRDefault="00F60D74">
            <w:pPr>
              <w:pStyle w:val="TableParagraph"/>
              <w:spacing w:before="97"/>
              <w:ind w:left="196" w:right="177"/>
              <w:jc w:val="center"/>
              <w:rPr>
                <w:b/>
                <w:sz w:val="16"/>
              </w:rPr>
            </w:pPr>
            <w:r>
              <w:rPr>
                <w:b/>
                <w:sz w:val="16"/>
              </w:rPr>
              <w:t>Ministerio</w:t>
            </w:r>
            <w:r>
              <w:rPr>
                <w:b/>
                <w:spacing w:val="-14"/>
                <w:sz w:val="16"/>
              </w:rPr>
              <w:t xml:space="preserve"> </w:t>
            </w:r>
            <w:r>
              <w:rPr>
                <w:b/>
                <w:sz w:val="16"/>
              </w:rPr>
              <w:t xml:space="preserve">de </w:t>
            </w:r>
            <w:r>
              <w:rPr>
                <w:b/>
                <w:spacing w:val="-2"/>
                <w:sz w:val="16"/>
              </w:rPr>
              <w:t xml:space="preserve">Asuntos </w:t>
            </w:r>
            <w:r>
              <w:rPr>
                <w:b/>
                <w:sz w:val="16"/>
              </w:rPr>
              <w:t xml:space="preserve">Sociales y </w:t>
            </w:r>
            <w:r>
              <w:rPr>
                <w:b/>
                <w:spacing w:val="-2"/>
                <w:sz w:val="16"/>
              </w:rPr>
              <w:t>Vivienda Popular</w:t>
            </w:r>
          </w:p>
        </w:tc>
        <w:tc>
          <w:tcPr>
            <w:tcW w:w="1532" w:type="dxa"/>
          </w:tcPr>
          <w:p w14:paraId="60DCA7BE" w14:textId="77777777" w:rsidR="000E52B0" w:rsidRDefault="000E52B0">
            <w:pPr>
              <w:pStyle w:val="TableParagraph"/>
              <w:rPr>
                <w:sz w:val="16"/>
              </w:rPr>
            </w:pPr>
          </w:p>
          <w:p w14:paraId="0C1C11CC" w14:textId="77777777" w:rsidR="000E52B0" w:rsidRDefault="000E52B0">
            <w:pPr>
              <w:pStyle w:val="TableParagraph"/>
              <w:spacing w:before="17"/>
              <w:rPr>
                <w:sz w:val="16"/>
              </w:rPr>
            </w:pPr>
          </w:p>
          <w:p w14:paraId="2BE3768F" w14:textId="77777777" w:rsidR="000E52B0" w:rsidRDefault="00F60D74">
            <w:pPr>
              <w:pStyle w:val="TableParagraph"/>
              <w:spacing w:before="1"/>
              <w:ind w:left="14"/>
              <w:jc w:val="center"/>
              <w:rPr>
                <w:b/>
                <w:sz w:val="16"/>
              </w:rPr>
            </w:pPr>
            <w:r>
              <w:rPr>
                <w:b/>
                <w:spacing w:val="-4"/>
                <w:sz w:val="16"/>
              </w:rPr>
              <w:t>1975</w:t>
            </w:r>
          </w:p>
        </w:tc>
        <w:tc>
          <w:tcPr>
            <w:tcW w:w="4633" w:type="dxa"/>
          </w:tcPr>
          <w:p w14:paraId="50480F4F" w14:textId="77777777" w:rsidR="000E52B0" w:rsidRDefault="00F60D74">
            <w:pPr>
              <w:pStyle w:val="TableParagraph"/>
              <w:spacing w:line="190" w:lineRule="atLeast"/>
              <w:ind w:left="68" w:right="44"/>
              <w:jc w:val="both"/>
              <w:rPr>
                <w:sz w:val="16"/>
              </w:rPr>
            </w:pPr>
            <w:r>
              <w:rPr>
                <w:sz w:val="16"/>
              </w:rPr>
              <w:t>El ministerio apoya a los grupos vulnerables de la sociedad, para que también puedan gozar de una vida decente. Entre los grupos que apoya el ministerio se encuentran: niños y jóvenes; personas con discapacidad; personas adultas mayores; personas y familias de bajos ingresos.</w:t>
            </w:r>
          </w:p>
        </w:tc>
      </w:tr>
      <w:tr w:rsidR="000E52B0" w14:paraId="797748DB" w14:textId="77777777">
        <w:trPr>
          <w:trHeight w:val="1168"/>
        </w:trPr>
        <w:tc>
          <w:tcPr>
            <w:tcW w:w="1289" w:type="dxa"/>
          </w:tcPr>
          <w:p w14:paraId="0B924348" w14:textId="77777777" w:rsidR="000E52B0" w:rsidRDefault="000E52B0">
            <w:pPr>
              <w:pStyle w:val="TableParagraph"/>
              <w:rPr>
                <w:sz w:val="16"/>
              </w:rPr>
            </w:pPr>
          </w:p>
          <w:p w14:paraId="052BCBCB" w14:textId="77777777" w:rsidR="000E52B0" w:rsidRDefault="000E52B0">
            <w:pPr>
              <w:pStyle w:val="TableParagraph"/>
              <w:spacing w:before="97"/>
              <w:rPr>
                <w:sz w:val="16"/>
              </w:rPr>
            </w:pPr>
          </w:p>
          <w:p w14:paraId="7C35EBC8" w14:textId="77777777" w:rsidR="000E52B0" w:rsidRDefault="00F60D74">
            <w:pPr>
              <w:pStyle w:val="TableParagraph"/>
              <w:spacing w:before="1"/>
              <w:ind w:left="21" w:right="3"/>
              <w:jc w:val="center"/>
              <w:rPr>
                <w:b/>
                <w:sz w:val="16"/>
              </w:rPr>
            </w:pPr>
            <w:r>
              <w:rPr>
                <w:b/>
                <w:spacing w:val="-2"/>
                <w:sz w:val="16"/>
              </w:rPr>
              <w:t>España</w:t>
            </w:r>
          </w:p>
        </w:tc>
        <w:tc>
          <w:tcPr>
            <w:tcW w:w="1563" w:type="dxa"/>
          </w:tcPr>
          <w:p w14:paraId="3BA34AF9" w14:textId="77777777" w:rsidR="000E52B0" w:rsidRDefault="00F60D74">
            <w:pPr>
              <w:pStyle w:val="TableParagraph"/>
              <w:spacing w:before="98"/>
              <w:ind w:left="196" w:right="177"/>
              <w:jc w:val="center"/>
              <w:rPr>
                <w:b/>
                <w:sz w:val="16"/>
              </w:rPr>
            </w:pPr>
            <w:r>
              <w:rPr>
                <w:b/>
                <w:sz w:val="16"/>
              </w:rPr>
              <w:t>Ministerio</w:t>
            </w:r>
            <w:r>
              <w:rPr>
                <w:b/>
                <w:spacing w:val="-14"/>
                <w:sz w:val="16"/>
              </w:rPr>
              <w:t xml:space="preserve"> </w:t>
            </w:r>
            <w:r>
              <w:rPr>
                <w:b/>
                <w:sz w:val="16"/>
              </w:rPr>
              <w:t xml:space="preserve">de </w:t>
            </w:r>
            <w:r>
              <w:rPr>
                <w:b/>
                <w:spacing w:val="-2"/>
                <w:sz w:val="16"/>
              </w:rPr>
              <w:t xml:space="preserve">Inclusión, Seguridad </w:t>
            </w:r>
            <w:r>
              <w:rPr>
                <w:b/>
                <w:sz w:val="16"/>
              </w:rPr>
              <w:t xml:space="preserve">Social y </w:t>
            </w:r>
            <w:r>
              <w:rPr>
                <w:b/>
                <w:spacing w:val="-2"/>
                <w:sz w:val="16"/>
              </w:rPr>
              <w:t>Migraciones</w:t>
            </w:r>
          </w:p>
        </w:tc>
        <w:tc>
          <w:tcPr>
            <w:tcW w:w="1532" w:type="dxa"/>
          </w:tcPr>
          <w:p w14:paraId="027FFAEB" w14:textId="77777777" w:rsidR="000E52B0" w:rsidRDefault="000E52B0">
            <w:pPr>
              <w:pStyle w:val="TableParagraph"/>
              <w:rPr>
                <w:sz w:val="16"/>
              </w:rPr>
            </w:pPr>
          </w:p>
          <w:p w14:paraId="02C9AF4A" w14:textId="77777777" w:rsidR="000E52B0" w:rsidRDefault="000E52B0">
            <w:pPr>
              <w:pStyle w:val="TableParagraph"/>
              <w:spacing w:before="97"/>
              <w:rPr>
                <w:sz w:val="16"/>
              </w:rPr>
            </w:pPr>
          </w:p>
          <w:p w14:paraId="0E5659EB" w14:textId="77777777" w:rsidR="000E52B0" w:rsidRDefault="00F60D74">
            <w:pPr>
              <w:pStyle w:val="TableParagraph"/>
              <w:spacing w:before="1"/>
              <w:ind w:left="14"/>
              <w:jc w:val="center"/>
              <w:rPr>
                <w:b/>
                <w:sz w:val="16"/>
              </w:rPr>
            </w:pPr>
            <w:r>
              <w:rPr>
                <w:b/>
                <w:spacing w:val="-4"/>
                <w:sz w:val="16"/>
              </w:rPr>
              <w:t>2020</w:t>
            </w:r>
          </w:p>
        </w:tc>
        <w:tc>
          <w:tcPr>
            <w:tcW w:w="4633" w:type="dxa"/>
          </w:tcPr>
          <w:p w14:paraId="21C4410B" w14:textId="77777777" w:rsidR="000E52B0" w:rsidRDefault="00F60D74">
            <w:pPr>
              <w:pStyle w:val="TableParagraph"/>
              <w:ind w:left="68" w:right="47"/>
              <w:jc w:val="both"/>
              <w:rPr>
                <w:sz w:val="16"/>
              </w:rPr>
            </w:pPr>
            <w:r>
              <w:rPr>
                <w:sz w:val="16"/>
              </w:rPr>
              <w:t>El Ministerio de Inclusión, Seguridad Social y Migraciones es el departamento ministerial con competencias de Seguridad Social y clases pasivas, así como la elaboración y el desarrollo de la política del Gobierno</w:t>
            </w:r>
            <w:r>
              <w:rPr>
                <w:spacing w:val="70"/>
                <w:sz w:val="16"/>
              </w:rPr>
              <w:t xml:space="preserve"> </w:t>
            </w:r>
            <w:r>
              <w:rPr>
                <w:sz w:val="16"/>
              </w:rPr>
              <w:t>en</w:t>
            </w:r>
            <w:r>
              <w:rPr>
                <w:spacing w:val="69"/>
                <w:sz w:val="16"/>
              </w:rPr>
              <w:t xml:space="preserve"> </w:t>
            </w:r>
            <w:r>
              <w:rPr>
                <w:sz w:val="16"/>
              </w:rPr>
              <w:t>materia</w:t>
            </w:r>
            <w:r>
              <w:rPr>
                <w:spacing w:val="70"/>
                <w:sz w:val="16"/>
              </w:rPr>
              <w:t xml:space="preserve"> </w:t>
            </w:r>
            <w:r>
              <w:rPr>
                <w:sz w:val="16"/>
              </w:rPr>
              <w:t>de</w:t>
            </w:r>
            <w:r>
              <w:rPr>
                <w:spacing w:val="70"/>
                <w:sz w:val="16"/>
              </w:rPr>
              <w:t xml:space="preserve"> </w:t>
            </w:r>
            <w:r>
              <w:rPr>
                <w:sz w:val="16"/>
              </w:rPr>
              <w:t>extranjería,</w:t>
            </w:r>
            <w:r>
              <w:rPr>
                <w:spacing w:val="70"/>
                <w:sz w:val="16"/>
              </w:rPr>
              <w:t xml:space="preserve"> </w:t>
            </w:r>
            <w:r>
              <w:rPr>
                <w:sz w:val="16"/>
              </w:rPr>
              <w:t>inmigración</w:t>
            </w:r>
            <w:r>
              <w:rPr>
                <w:spacing w:val="70"/>
                <w:sz w:val="16"/>
              </w:rPr>
              <w:t xml:space="preserve"> </w:t>
            </w:r>
            <w:r>
              <w:rPr>
                <w:spacing w:val="-10"/>
                <w:sz w:val="16"/>
              </w:rPr>
              <w:t>y</w:t>
            </w:r>
          </w:p>
          <w:p w14:paraId="01000974" w14:textId="77777777" w:rsidR="000E52B0" w:rsidRDefault="00F60D74">
            <w:pPr>
              <w:pStyle w:val="TableParagraph"/>
              <w:spacing w:line="176" w:lineRule="exact"/>
              <w:ind w:left="68"/>
              <w:jc w:val="both"/>
              <w:rPr>
                <w:sz w:val="16"/>
              </w:rPr>
            </w:pPr>
            <w:r>
              <w:rPr>
                <w:sz w:val="16"/>
              </w:rPr>
              <w:t>emigración</w:t>
            </w:r>
            <w:r>
              <w:rPr>
                <w:spacing w:val="-6"/>
                <w:sz w:val="16"/>
              </w:rPr>
              <w:t xml:space="preserve"> </w:t>
            </w:r>
            <w:r>
              <w:rPr>
                <w:sz w:val="16"/>
              </w:rPr>
              <w:t>y</w:t>
            </w:r>
            <w:r>
              <w:rPr>
                <w:spacing w:val="-3"/>
                <w:sz w:val="16"/>
              </w:rPr>
              <w:t xml:space="preserve"> </w:t>
            </w:r>
            <w:r>
              <w:rPr>
                <w:sz w:val="16"/>
              </w:rPr>
              <w:t>de</w:t>
            </w:r>
            <w:r>
              <w:rPr>
                <w:spacing w:val="-4"/>
                <w:sz w:val="16"/>
              </w:rPr>
              <w:t xml:space="preserve"> </w:t>
            </w:r>
            <w:r>
              <w:rPr>
                <w:sz w:val="16"/>
              </w:rPr>
              <w:t>políticas</w:t>
            </w:r>
            <w:r>
              <w:rPr>
                <w:spacing w:val="-4"/>
                <w:sz w:val="16"/>
              </w:rPr>
              <w:t xml:space="preserve"> </w:t>
            </w:r>
            <w:r>
              <w:rPr>
                <w:sz w:val="16"/>
              </w:rPr>
              <w:t>de</w:t>
            </w:r>
            <w:r>
              <w:rPr>
                <w:spacing w:val="-4"/>
                <w:sz w:val="16"/>
              </w:rPr>
              <w:t xml:space="preserve"> </w:t>
            </w:r>
            <w:r>
              <w:rPr>
                <w:spacing w:val="-2"/>
                <w:sz w:val="16"/>
              </w:rPr>
              <w:t>inclusión.</w:t>
            </w:r>
          </w:p>
        </w:tc>
      </w:tr>
    </w:tbl>
    <w:p w14:paraId="7032EFB8" w14:textId="77777777" w:rsidR="000E52B0" w:rsidRDefault="00F60D74">
      <w:pPr>
        <w:pStyle w:val="Textoindependiente"/>
        <w:spacing w:before="287"/>
        <w:ind w:right="719"/>
        <w:jc w:val="both"/>
      </w:pPr>
      <w:r>
        <w:t>Producto de este estudio, la Vicepresidencia de Colombia, el Ministerio de Igualdad y Equidad, en alianza con la Embajada de Alemania y la Cooperación Alemana para el Desarrollo – GIZ, llevaron a cabo un Intercambio</w:t>
      </w:r>
      <w:r>
        <w:rPr>
          <w:spacing w:val="-1"/>
        </w:rPr>
        <w:t xml:space="preserve"> </w:t>
      </w:r>
      <w:r>
        <w:t>de</w:t>
      </w:r>
      <w:r>
        <w:rPr>
          <w:spacing w:val="-1"/>
        </w:rPr>
        <w:t xml:space="preserve"> </w:t>
      </w:r>
      <w:r>
        <w:t>Experiencias</w:t>
      </w:r>
      <w:r>
        <w:rPr>
          <w:spacing w:val="-2"/>
        </w:rPr>
        <w:t xml:space="preserve"> </w:t>
      </w:r>
      <w:r>
        <w:t>Internacionales</w:t>
      </w:r>
      <w:r>
        <w:rPr>
          <w:spacing w:val="-2"/>
        </w:rPr>
        <w:t xml:space="preserve"> </w:t>
      </w:r>
      <w:r>
        <w:t>sobre Igualdad</w:t>
      </w:r>
      <w:r>
        <w:rPr>
          <w:spacing w:val="-2"/>
        </w:rPr>
        <w:t xml:space="preserve"> </w:t>
      </w:r>
      <w:r>
        <w:t>y</w:t>
      </w:r>
      <w:r>
        <w:rPr>
          <w:spacing w:val="-2"/>
        </w:rPr>
        <w:t xml:space="preserve"> </w:t>
      </w:r>
      <w:r>
        <w:t>Equidad,</w:t>
      </w:r>
      <w:r>
        <w:rPr>
          <w:spacing w:val="-2"/>
        </w:rPr>
        <w:t xml:space="preserve"> </w:t>
      </w:r>
      <w:r>
        <w:t>en noviembre de 2023. El intercambio tuvo como propósito conocer las experiencias exitosas y las lecciones aprendidas sobre iniciativas de fortalecimiento institucional en torno a los temas de igualdad y equidad alrededor del mundo, y contó con la participación de delegaciones de Alemania, Brasil, Chile, Costa Rica, Ecuador, Honduras, Perú, Nigeria, Suecia y Sudáfrica.</w:t>
      </w:r>
    </w:p>
    <w:p w14:paraId="6D235C74" w14:textId="77777777" w:rsidR="000E52B0" w:rsidRDefault="000E52B0">
      <w:pPr>
        <w:pStyle w:val="Textoindependiente"/>
        <w:spacing w:before="1"/>
        <w:ind w:left="0"/>
      </w:pPr>
    </w:p>
    <w:p w14:paraId="009EBCAA" w14:textId="77777777" w:rsidR="000E52B0" w:rsidRDefault="00F60D74">
      <w:pPr>
        <w:pStyle w:val="Textoindependiente"/>
        <w:ind w:right="720"/>
        <w:jc w:val="both"/>
      </w:pPr>
      <w:r>
        <w:t>Las delegaciones que participaron en el intercambio coincidieron en la necesidad de contar con entidades dedicadas a promover la igualdad y equidad dentro de las estructuras institucionales de los Estados, en tanto estas</w:t>
      </w:r>
      <w:r>
        <w:rPr>
          <w:spacing w:val="-16"/>
        </w:rPr>
        <w:t xml:space="preserve"> </w:t>
      </w:r>
      <w:r>
        <w:t>permiten</w:t>
      </w:r>
      <w:r>
        <w:rPr>
          <w:spacing w:val="-14"/>
        </w:rPr>
        <w:t xml:space="preserve"> </w:t>
      </w:r>
      <w:r>
        <w:t>el</w:t>
      </w:r>
      <w:r>
        <w:rPr>
          <w:spacing w:val="-17"/>
        </w:rPr>
        <w:t xml:space="preserve"> </w:t>
      </w:r>
      <w:r>
        <w:t>diseño</w:t>
      </w:r>
      <w:r>
        <w:rPr>
          <w:spacing w:val="-15"/>
        </w:rPr>
        <w:t xml:space="preserve"> </w:t>
      </w:r>
      <w:r>
        <w:t>de</w:t>
      </w:r>
      <w:r>
        <w:rPr>
          <w:spacing w:val="-15"/>
        </w:rPr>
        <w:t xml:space="preserve"> </w:t>
      </w:r>
      <w:r>
        <w:t>políticas</w:t>
      </w:r>
      <w:r>
        <w:rPr>
          <w:spacing w:val="-14"/>
        </w:rPr>
        <w:t xml:space="preserve"> </w:t>
      </w:r>
      <w:r>
        <w:t>públicas</w:t>
      </w:r>
      <w:r>
        <w:rPr>
          <w:spacing w:val="-14"/>
        </w:rPr>
        <w:t xml:space="preserve"> </w:t>
      </w:r>
      <w:r>
        <w:t>de</w:t>
      </w:r>
      <w:r>
        <w:rPr>
          <w:spacing w:val="-15"/>
        </w:rPr>
        <w:t xml:space="preserve"> </w:t>
      </w:r>
      <w:r>
        <w:t>alto</w:t>
      </w:r>
      <w:r>
        <w:rPr>
          <w:spacing w:val="-13"/>
        </w:rPr>
        <w:t xml:space="preserve"> </w:t>
      </w:r>
      <w:r>
        <w:t>impacto,</w:t>
      </w:r>
      <w:r>
        <w:rPr>
          <w:spacing w:val="-17"/>
        </w:rPr>
        <w:t xml:space="preserve"> </w:t>
      </w:r>
      <w:r>
        <w:t>la</w:t>
      </w:r>
      <w:r>
        <w:rPr>
          <w:spacing w:val="-16"/>
        </w:rPr>
        <w:t xml:space="preserve"> </w:t>
      </w:r>
      <w:r>
        <w:t>asignación de presupuestos más robustos y la dedicación exclusiva de equipos humanos y técnicos al cierre de las brechas de inequidad y desigualdad.</w:t>
      </w:r>
    </w:p>
    <w:p w14:paraId="64B8763C" w14:textId="77777777" w:rsidR="000E52B0" w:rsidRDefault="000E52B0">
      <w:pPr>
        <w:pStyle w:val="Textoindependiente"/>
        <w:jc w:val="both"/>
        <w:sectPr w:rsidR="000E52B0">
          <w:type w:val="continuous"/>
          <w:pgSz w:w="11910" w:h="16840"/>
          <w:pgMar w:top="1400" w:right="720" w:bottom="1180" w:left="720" w:header="0" w:footer="995" w:gutter="0"/>
          <w:cols w:space="720"/>
        </w:sectPr>
      </w:pPr>
    </w:p>
    <w:p w14:paraId="139CC9A5" w14:textId="77777777" w:rsidR="000E52B0" w:rsidRDefault="00F60D74">
      <w:pPr>
        <w:pStyle w:val="Ttulo2"/>
        <w:spacing w:before="80"/>
        <w:ind w:right="718"/>
      </w:pPr>
      <w:bookmarkStart w:id="198" w:name="_bookmark198"/>
      <w:bookmarkEnd w:id="198"/>
      <w:r>
        <w:rPr>
          <w:color w:val="B3176C"/>
        </w:rPr>
        <w:lastRenderedPageBreak/>
        <w:t>Objetivos</w:t>
      </w:r>
      <w:r>
        <w:rPr>
          <w:color w:val="B3176C"/>
          <w:spacing w:val="-23"/>
        </w:rPr>
        <w:t xml:space="preserve"> </w:t>
      </w:r>
      <w:r>
        <w:rPr>
          <w:color w:val="B3176C"/>
        </w:rPr>
        <w:t>de</w:t>
      </w:r>
      <w:r>
        <w:rPr>
          <w:color w:val="B3176C"/>
          <w:spacing w:val="-23"/>
        </w:rPr>
        <w:t xml:space="preserve"> </w:t>
      </w:r>
      <w:r>
        <w:rPr>
          <w:color w:val="B3176C"/>
        </w:rPr>
        <w:t>Desarrollo</w:t>
      </w:r>
      <w:r>
        <w:rPr>
          <w:color w:val="B3176C"/>
          <w:spacing w:val="-23"/>
        </w:rPr>
        <w:t xml:space="preserve"> </w:t>
      </w:r>
      <w:r>
        <w:rPr>
          <w:color w:val="B3176C"/>
        </w:rPr>
        <w:t>Sostenible</w:t>
      </w:r>
      <w:r>
        <w:rPr>
          <w:color w:val="B3176C"/>
          <w:spacing w:val="-23"/>
        </w:rPr>
        <w:t xml:space="preserve"> </w:t>
      </w:r>
      <w:r>
        <w:rPr>
          <w:color w:val="B3176C"/>
        </w:rPr>
        <w:t>cuyas</w:t>
      </w:r>
      <w:r>
        <w:rPr>
          <w:color w:val="B3176C"/>
          <w:spacing w:val="-23"/>
        </w:rPr>
        <w:t xml:space="preserve"> </w:t>
      </w:r>
      <w:r>
        <w:rPr>
          <w:color w:val="B3176C"/>
        </w:rPr>
        <w:t>metas</w:t>
      </w:r>
      <w:r>
        <w:rPr>
          <w:color w:val="B3176C"/>
          <w:spacing w:val="-23"/>
        </w:rPr>
        <w:t xml:space="preserve"> </w:t>
      </w:r>
      <w:r>
        <w:rPr>
          <w:color w:val="B3176C"/>
        </w:rPr>
        <w:t>pueden</w:t>
      </w:r>
      <w:r>
        <w:rPr>
          <w:color w:val="B3176C"/>
          <w:spacing w:val="-22"/>
        </w:rPr>
        <w:t xml:space="preserve"> </w:t>
      </w:r>
      <w:r>
        <w:rPr>
          <w:color w:val="B3176C"/>
        </w:rPr>
        <w:t>ser</w:t>
      </w:r>
      <w:r>
        <w:rPr>
          <w:color w:val="B3176C"/>
          <w:spacing w:val="-23"/>
        </w:rPr>
        <w:t xml:space="preserve"> </w:t>
      </w:r>
      <w:r>
        <w:rPr>
          <w:color w:val="B3176C"/>
        </w:rPr>
        <w:t>cumplidas con la existencia del Ministerio de Igualdad y Equidad</w:t>
      </w:r>
    </w:p>
    <w:p w14:paraId="00F088D3" w14:textId="77777777" w:rsidR="000E52B0" w:rsidRDefault="000E52B0">
      <w:pPr>
        <w:pStyle w:val="Textoindependiente"/>
        <w:spacing w:before="137"/>
        <w:ind w:left="0"/>
        <w:rPr>
          <w:sz w:val="26"/>
        </w:rPr>
      </w:pPr>
    </w:p>
    <w:p w14:paraId="26BDBDE0" w14:textId="77777777" w:rsidR="000E52B0" w:rsidRDefault="00F60D74">
      <w:pPr>
        <w:pStyle w:val="Textoindependiente"/>
        <w:ind w:right="719"/>
        <w:jc w:val="both"/>
      </w:pPr>
      <w:r>
        <w:t>El ámbito de aplicación del Ministerio de Igualdad y Equidad, así como las funciones y el objeto que se definió para la Entidad coinciden con los objetivos de desarrollo sostenible para erradicar la pobreza y asegurar la prosperidad para todos. Dentro de cada objetivo definido por las Naciones Unidas existen una serie de metas cuyo cumplimiento deben asegurar los Estados</w:t>
      </w:r>
      <w:r>
        <w:rPr>
          <w:spacing w:val="-15"/>
        </w:rPr>
        <w:t xml:space="preserve"> </w:t>
      </w:r>
      <w:r>
        <w:t>y</w:t>
      </w:r>
      <w:r>
        <w:rPr>
          <w:spacing w:val="-15"/>
        </w:rPr>
        <w:t xml:space="preserve"> </w:t>
      </w:r>
      <w:r>
        <w:t>respecto</w:t>
      </w:r>
      <w:r>
        <w:rPr>
          <w:spacing w:val="-14"/>
        </w:rPr>
        <w:t xml:space="preserve"> </w:t>
      </w:r>
      <w:r>
        <w:t>las</w:t>
      </w:r>
      <w:r>
        <w:rPr>
          <w:spacing w:val="-15"/>
        </w:rPr>
        <w:t xml:space="preserve"> </w:t>
      </w:r>
      <w:r>
        <w:t>cuales</w:t>
      </w:r>
      <w:r>
        <w:rPr>
          <w:spacing w:val="-15"/>
        </w:rPr>
        <w:t xml:space="preserve"> </w:t>
      </w:r>
      <w:r>
        <w:t>la</w:t>
      </w:r>
      <w:r>
        <w:rPr>
          <w:spacing w:val="-15"/>
        </w:rPr>
        <w:t xml:space="preserve"> </w:t>
      </w:r>
      <w:r>
        <w:t>respuesta</w:t>
      </w:r>
      <w:r>
        <w:rPr>
          <w:spacing w:val="-15"/>
        </w:rPr>
        <w:t xml:space="preserve"> </w:t>
      </w:r>
      <w:r>
        <w:t>institucional</w:t>
      </w:r>
      <w:r>
        <w:rPr>
          <w:spacing w:val="-16"/>
        </w:rPr>
        <w:t xml:space="preserve"> </w:t>
      </w:r>
      <w:r>
        <w:t>del</w:t>
      </w:r>
      <w:r>
        <w:rPr>
          <w:spacing w:val="-16"/>
        </w:rPr>
        <w:t xml:space="preserve"> </w:t>
      </w:r>
      <w:r>
        <w:t>Ministerio</w:t>
      </w:r>
      <w:r>
        <w:rPr>
          <w:spacing w:val="-14"/>
        </w:rPr>
        <w:t xml:space="preserve"> </w:t>
      </w:r>
      <w:r>
        <w:t>puede contribuir conforme se explica a continuación</w:t>
      </w:r>
    </w:p>
    <w:p w14:paraId="582A0F32" w14:textId="77777777" w:rsidR="000E52B0" w:rsidRDefault="000E52B0">
      <w:pPr>
        <w:pStyle w:val="Textoindependiente"/>
        <w:spacing w:before="2" w:after="1"/>
        <w:ind w:left="0"/>
        <w:rPr>
          <w:sz w:val="13"/>
        </w:r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3752"/>
        <w:gridCol w:w="3870"/>
      </w:tblGrid>
      <w:tr w:rsidR="000E52B0" w14:paraId="087DDF07" w14:textId="77777777">
        <w:trPr>
          <w:trHeight w:val="437"/>
        </w:trPr>
        <w:tc>
          <w:tcPr>
            <w:tcW w:w="1394" w:type="dxa"/>
            <w:shd w:val="clear" w:color="auto" w:fill="D44673"/>
          </w:tcPr>
          <w:p w14:paraId="6095C7D1" w14:textId="77777777" w:rsidR="000E52B0" w:rsidRDefault="00F60D74">
            <w:pPr>
              <w:pStyle w:val="TableParagraph"/>
              <w:spacing w:before="109"/>
              <w:ind w:left="10"/>
              <w:jc w:val="center"/>
              <w:rPr>
                <w:b/>
                <w:sz w:val="18"/>
              </w:rPr>
            </w:pPr>
            <w:r>
              <w:rPr>
                <w:b/>
                <w:color w:val="FFFFFF"/>
                <w:spacing w:val="-5"/>
                <w:sz w:val="18"/>
              </w:rPr>
              <w:t>ODS</w:t>
            </w:r>
          </w:p>
        </w:tc>
        <w:tc>
          <w:tcPr>
            <w:tcW w:w="3752" w:type="dxa"/>
            <w:shd w:val="clear" w:color="auto" w:fill="D44673"/>
          </w:tcPr>
          <w:p w14:paraId="6D1F8C91" w14:textId="77777777" w:rsidR="000E52B0" w:rsidRDefault="00F60D74">
            <w:pPr>
              <w:pStyle w:val="TableParagraph"/>
              <w:spacing w:before="109"/>
              <w:ind w:left="6"/>
              <w:jc w:val="center"/>
              <w:rPr>
                <w:b/>
                <w:sz w:val="18"/>
              </w:rPr>
            </w:pPr>
            <w:r>
              <w:rPr>
                <w:b/>
                <w:color w:val="FFFFFF"/>
                <w:spacing w:val="-4"/>
                <w:sz w:val="18"/>
              </w:rPr>
              <w:t>Meta</w:t>
            </w:r>
          </w:p>
        </w:tc>
        <w:tc>
          <w:tcPr>
            <w:tcW w:w="3870" w:type="dxa"/>
            <w:shd w:val="clear" w:color="auto" w:fill="D44673"/>
          </w:tcPr>
          <w:p w14:paraId="6E60893D" w14:textId="77777777" w:rsidR="000E52B0" w:rsidRDefault="00F60D74">
            <w:pPr>
              <w:pStyle w:val="TableParagraph"/>
              <w:spacing w:line="220" w:lineRule="exact"/>
              <w:ind w:left="900" w:hanging="687"/>
              <w:rPr>
                <w:b/>
                <w:sz w:val="18"/>
              </w:rPr>
            </w:pPr>
            <w:r>
              <w:rPr>
                <w:b/>
                <w:color w:val="FFFFFF"/>
                <w:sz w:val="18"/>
              </w:rPr>
              <w:t>¿Cómo</w:t>
            </w:r>
            <w:r>
              <w:rPr>
                <w:b/>
                <w:color w:val="FFFFFF"/>
                <w:spacing w:val="-9"/>
                <w:sz w:val="18"/>
              </w:rPr>
              <w:t xml:space="preserve"> </w:t>
            </w:r>
            <w:r>
              <w:rPr>
                <w:b/>
                <w:color w:val="FFFFFF"/>
                <w:sz w:val="18"/>
              </w:rPr>
              <w:t>contribuye</w:t>
            </w:r>
            <w:r>
              <w:rPr>
                <w:b/>
                <w:color w:val="FFFFFF"/>
                <w:spacing w:val="-9"/>
                <w:sz w:val="18"/>
              </w:rPr>
              <w:t xml:space="preserve"> </w:t>
            </w:r>
            <w:r>
              <w:rPr>
                <w:b/>
                <w:color w:val="FFFFFF"/>
                <w:sz w:val="18"/>
              </w:rPr>
              <w:t>el</w:t>
            </w:r>
            <w:r>
              <w:rPr>
                <w:b/>
                <w:color w:val="FFFFFF"/>
                <w:spacing w:val="-9"/>
                <w:sz w:val="18"/>
              </w:rPr>
              <w:t xml:space="preserve"> </w:t>
            </w:r>
            <w:r>
              <w:rPr>
                <w:b/>
                <w:color w:val="FFFFFF"/>
                <w:sz w:val="18"/>
              </w:rPr>
              <w:t>Ministerio</w:t>
            </w:r>
            <w:r>
              <w:rPr>
                <w:b/>
                <w:color w:val="FFFFFF"/>
                <w:spacing w:val="-9"/>
                <w:sz w:val="18"/>
              </w:rPr>
              <w:t xml:space="preserve"> </w:t>
            </w:r>
            <w:r>
              <w:rPr>
                <w:b/>
                <w:color w:val="FFFFFF"/>
                <w:sz w:val="18"/>
              </w:rPr>
              <w:t>de Igualdad y Equidad?</w:t>
            </w:r>
          </w:p>
        </w:tc>
      </w:tr>
      <w:tr w:rsidR="000E52B0" w14:paraId="263A9A61" w14:textId="77777777">
        <w:trPr>
          <w:trHeight w:val="10063"/>
        </w:trPr>
        <w:tc>
          <w:tcPr>
            <w:tcW w:w="1394" w:type="dxa"/>
          </w:tcPr>
          <w:p w14:paraId="5FE1B861" w14:textId="77777777" w:rsidR="000E52B0" w:rsidRDefault="000E52B0">
            <w:pPr>
              <w:pStyle w:val="TableParagraph"/>
              <w:rPr>
                <w:sz w:val="18"/>
              </w:rPr>
            </w:pPr>
          </w:p>
          <w:p w14:paraId="716B3ADA" w14:textId="77777777" w:rsidR="000E52B0" w:rsidRDefault="000E52B0">
            <w:pPr>
              <w:pStyle w:val="TableParagraph"/>
              <w:rPr>
                <w:sz w:val="18"/>
              </w:rPr>
            </w:pPr>
          </w:p>
          <w:p w14:paraId="39BDA053" w14:textId="77777777" w:rsidR="000E52B0" w:rsidRDefault="000E52B0">
            <w:pPr>
              <w:pStyle w:val="TableParagraph"/>
              <w:rPr>
                <w:sz w:val="18"/>
              </w:rPr>
            </w:pPr>
          </w:p>
          <w:p w14:paraId="3ABC75FB" w14:textId="77777777" w:rsidR="000E52B0" w:rsidRDefault="000E52B0">
            <w:pPr>
              <w:pStyle w:val="TableParagraph"/>
              <w:rPr>
                <w:sz w:val="18"/>
              </w:rPr>
            </w:pPr>
          </w:p>
          <w:p w14:paraId="6B06F240" w14:textId="77777777" w:rsidR="000E52B0" w:rsidRDefault="000E52B0">
            <w:pPr>
              <w:pStyle w:val="TableParagraph"/>
              <w:rPr>
                <w:sz w:val="18"/>
              </w:rPr>
            </w:pPr>
          </w:p>
          <w:p w14:paraId="048879D0" w14:textId="77777777" w:rsidR="000E52B0" w:rsidRDefault="000E52B0">
            <w:pPr>
              <w:pStyle w:val="TableParagraph"/>
              <w:rPr>
                <w:sz w:val="18"/>
              </w:rPr>
            </w:pPr>
          </w:p>
          <w:p w14:paraId="02B5DE15" w14:textId="77777777" w:rsidR="000E52B0" w:rsidRDefault="000E52B0">
            <w:pPr>
              <w:pStyle w:val="TableParagraph"/>
              <w:rPr>
                <w:sz w:val="18"/>
              </w:rPr>
            </w:pPr>
          </w:p>
          <w:p w14:paraId="161583FA" w14:textId="77777777" w:rsidR="000E52B0" w:rsidRDefault="000E52B0">
            <w:pPr>
              <w:pStyle w:val="TableParagraph"/>
              <w:rPr>
                <w:sz w:val="18"/>
              </w:rPr>
            </w:pPr>
          </w:p>
          <w:p w14:paraId="5274D813" w14:textId="77777777" w:rsidR="000E52B0" w:rsidRDefault="000E52B0">
            <w:pPr>
              <w:pStyle w:val="TableParagraph"/>
              <w:rPr>
                <w:sz w:val="18"/>
              </w:rPr>
            </w:pPr>
          </w:p>
          <w:p w14:paraId="679241F8" w14:textId="77777777" w:rsidR="000E52B0" w:rsidRDefault="000E52B0">
            <w:pPr>
              <w:pStyle w:val="TableParagraph"/>
              <w:rPr>
                <w:sz w:val="18"/>
              </w:rPr>
            </w:pPr>
          </w:p>
          <w:p w14:paraId="70F9A49A" w14:textId="77777777" w:rsidR="000E52B0" w:rsidRDefault="000E52B0">
            <w:pPr>
              <w:pStyle w:val="TableParagraph"/>
              <w:rPr>
                <w:sz w:val="18"/>
              </w:rPr>
            </w:pPr>
          </w:p>
          <w:p w14:paraId="342C9C29" w14:textId="77777777" w:rsidR="000E52B0" w:rsidRDefault="000E52B0">
            <w:pPr>
              <w:pStyle w:val="TableParagraph"/>
              <w:rPr>
                <w:sz w:val="18"/>
              </w:rPr>
            </w:pPr>
          </w:p>
          <w:p w14:paraId="2E6FA03F" w14:textId="77777777" w:rsidR="000E52B0" w:rsidRDefault="000E52B0">
            <w:pPr>
              <w:pStyle w:val="TableParagraph"/>
              <w:rPr>
                <w:sz w:val="18"/>
              </w:rPr>
            </w:pPr>
          </w:p>
          <w:p w14:paraId="0B635214" w14:textId="77777777" w:rsidR="000E52B0" w:rsidRDefault="000E52B0">
            <w:pPr>
              <w:pStyle w:val="TableParagraph"/>
              <w:rPr>
                <w:sz w:val="18"/>
              </w:rPr>
            </w:pPr>
          </w:p>
          <w:p w14:paraId="7C507DC9" w14:textId="77777777" w:rsidR="000E52B0" w:rsidRDefault="000E52B0">
            <w:pPr>
              <w:pStyle w:val="TableParagraph"/>
              <w:rPr>
                <w:sz w:val="18"/>
              </w:rPr>
            </w:pPr>
          </w:p>
          <w:p w14:paraId="36F694E3" w14:textId="77777777" w:rsidR="000E52B0" w:rsidRDefault="000E52B0">
            <w:pPr>
              <w:pStyle w:val="TableParagraph"/>
              <w:rPr>
                <w:sz w:val="18"/>
              </w:rPr>
            </w:pPr>
          </w:p>
          <w:p w14:paraId="2CBA8E86" w14:textId="77777777" w:rsidR="000E52B0" w:rsidRDefault="000E52B0">
            <w:pPr>
              <w:pStyle w:val="TableParagraph"/>
              <w:spacing w:before="215"/>
              <w:rPr>
                <w:sz w:val="18"/>
              </w:rPr>
            </w:pPr>
          </w:p>
          <w:p w14:paraId="0BFA7E27" w14:textId="77777777" w:rsidR="000E52B0" w:rsidRDefault="00F60D74">
            <w:pPr>
              <w:pStyle w:val="TableParagraph"/>
              <w:ind w:left="107" w:right="140"/>
              <w:rPr>
                <w:sz w:val="18"/>
              </w:rPr>
            </w:pPr>
            <w:r>
              <w:rPr>
                <w:sz w:val="18"/>
              </w:rPr>
              <w:t>Fin</w:t>
            </w:r>
            <w:r>
              <w:rPr>
                <w:spacing w:val="-10"/>
                <w:sz w:val="18"/>
              </w:rPr>
              <w:t xml:space="preserve"> </w:t>
            </w:r>
            <w:r>
              <w:rPr>
                <w:sz w:val="18"/>
              </w:rPr>
              <w:t>de</w:t>
            </w:r>
            <w:r>
              <w:rPr>
                <w:spacing w:val="-11"/>
                <w:sz w:val="18"/>
              </w:rPr>
              <w:t xml:space="preserve"> </w:t>
            </w:r>
            <w:r>
              <w:rPr>
                <w:sz w:val="18"/>
              </w:rPr>
              <w:t xml:space="preserve">la </w:t>
            </w:r>
            <w:r>
              <w:rPr>
                <w:spacing w:val="-2"/>
                <w:sz w:val="18"/>
              </w:rPr>
              <w:t>pobreza.</w:t>
            </w:r>
          </w:p>
        </w:tc>
        <w:tc>
          <w:tcPr>
            <w:tcW w:w="3752" w:type="dxa"/>
          </w:tcPr>
          <w:p w14:paraId="23C65EFC" w14:textId="77777777" w:rsidR="000E52B0" w:rsidRDefault="000E52B0">
            <w:pPr>
              <w:pStyle w:val="TableParagraph"/>
              <w:rPr>
                <w:sz w:val="18"/>
              </w:rPr>
            </w:pPr>
          </w:p>
          <w:p w14:paraId="0C36A199" w14:textId="77777777" w:rsidR="000E52B0" w:rsidRDefault="000E52B0">
            <w:pPr>
              <w:pStyle w:val="TableParagraph"/>
              <w:rPr>
                <w:sz w:val="18"/>
              </w:rPr>
            </w:pPr>
          </w:p>
          <w:p w14:paraId="26E218F7" w14:textId="77777777" w:rsidR="000E52B0" w:rsidRDefault="000E52B0">
            <w:pPr>
              <w:pStyle w:val="TableParagraph"/>
              <w:rPr>
                <w:sz w:val="18"/>
              </w:rPr>
            </w:pPr>
          </w:p>
          <w:p w14:paraId="4AE47FEA" w14:textId="77777777" w:rsidR="000E52B0" w:rsidRDefault="000E52B0">
            <w:pPr>
              <w:pStyle w:val="TableParagraph"/>
              <w:spacing w:before="215"/>
              <w:rPr>
                <w:sz w:val="18"/>
              </w:rPr>
            </w:pPr>
          </w:p>
          <w:p w14:paraId="3B0C1916" w14:textId="77777777" w:rsidR="000E52B0" w:rsidRDefault="00F60D74">
            <w:pPr>
              <w:pStyle w:val="TableParagraph"/>
              <w:numPr>
                <w:ilvl w:val="1"/>
                <w:numId w:val="34"/>
              </w:numPr>
              <w:tabs>
                <w:tab w:val="left" w:pos="638"/>
              </w:tabs>
              <w:ind w:right="99" w:firstLine="0"/>
              <w:jc w:val="both"/>
              <w:rPr>
                <w:sz w:val="18"/>
              </w:rPr>
            </w:pPr>
            <w:r>
              <w:rPr>
                <w:sz w:val="18"/>
              </w:rPr>
              <w:t xml:space="preserve">Para 2030, reducir al menos a la mitad la proporción de hombres, mujeres y </w:t>
            </w:r>
            <w:proofErr w:type="gramStart"/>
            <w:r>
              <w:rPr>
                <w:sz w:val="18"/>
              </w:rPr>
              <w:t>niños y niñas</w:t>
            </w:r>
            <w:proofErr w:type="gramEnd"/>
            <w:r>
              <w:rPr>
                <w:sz w:val="18"/>
              </w:rPr>
              <w:t xml:space="preserve"> de todas las edades que viven en la pobreza en todas</w:t>
            </w:r>
            <w:r>
              <w:rPr>
                <w:spacing w:val="-16"/>
                <w:sz w:val="18"/>
              </w:rPr>
              <w:t xml:space="preserve"> </w:t>
            </w:r>
            <w:r>
              <w:rPr>
                <w:sz w:val="18"/>
              </w:rPr>
              <w:t>sus</w:t>
            </w:r>
            <w:r>
              <w:rPr>
                <w:spacing w:val="-16"/>
                <w:sz w:val="18"/>
              </w:rPr>
              <w:t xml:space="preserve"> </w:t>
            </w:r>
            <w:r>
              <w:rPr>
                <w:sz w:val="18"/>
              </w:rPr>
              <w:t>dimensiones</w:t>
            </w:r>
            <w:r>
              <w:rPr>
                <w:spacing w:val="-16"/>
                <w:sz w:val="18"/>
              </w:rPr>
              <w:t xml:space="preserve"> </w:t>
            </w:r>
            <w:r>
              <w:rPr>
                <w:sz w:val="18"/>
              </w:rPr>
              <w:t>con</w:t>
            </w:r>
            <w:r>
              <w:rPr>
                <w:spacing w:val="-16"/>
                <w:sz w:val="18"/>
              </w:rPr>
              <w:t xml:space="preserve"> </w:t>
            </w:r>
            <w:r>
              <w:rPr>
                <w:sz w:val="18"/>
              </w:rPr>
              <w:t>arreglo</w:t>
            </w:r>
            <w:r>
              <w:rPr>
                <w:spacing w:val="-16"/>
                <w:sz w:val="18"/>
              </w:rPr>
              <w:t xml:space="preserve"> </w:t>
            </w:r>
            <w:r>
              <w:rPr>
                <w:sz w:val="18"/>
              </w:rPr>
              <w:t>a</w:t>
            </w:r>
            <w:r>
              <w:rPr>
                <w:spacing w:val="-15"/>
                <w:sz w:val="18"/>
              </w:rPr>
              <w:t xml:space="preserve"> </w:t>
            </w:r>
            <w:r>
              <w:rPr>
                <w:sz w:val="18"/>
              </w:rPr>
              <w:t>las definiciones nacionales</w:t>
            </w:r>
          </w:p>
          <w:p w14:paraId="5A2B3C1B" w14:textId="77777777" w:rsidR="000E52B0" w:rsidRDefault="000E52B0">
            <w:pPr>
              <w:pStyle w:val="TableParagraph"/>
              <w:rPr>
                <w:sz w:val="18"/>
              </w:rPr>
            </w:pPr>
          </w:p>
          <w:p w14:paraId="47ADACDA" w14:textId="77777777" w:rsidR="000E52B0" w:rsidRDefault="00F60D74">
            <w:pPr>
              <w:pStyle w:val="TableParagraph"/>
              <w:numPr>
                <w:ilvl w:val="1"/>
                <w:numId w:val="34"/>
              </w:numPr>
              <w:tabs>
                <w:tab w:val="left" w:pos="606"/>
              </w:tabs>
              <w:ind w:right="100" w:firstLine="0"/>
              <w:jc w:val="both"/>
              <w:rPr>
                <w:sz w:val="18"/>
              </w:rPr>
            </w:pPr>
            <w:r>
              <w:rPr>
                <w:sz w:val="18"/>
              </w:rPr>
              <w:t>Poner</w:t>
            </w:r>
            <w:r>
              <w:rPr>
                <w:spacing w:val="-11"/>
                <w:sz w:val="18"/>
              </w:rPr>
              <w:t xml:space="preserve"> </w:t>
            </w:r>
            <w:r>
              <w:rPr>
                <w:sz w:val="18"/>
              </w:rPr>
              <w:t>en</w:t>
            </w:r>
            <w:r>
              <w:rPr>
                <w:spacing w:val="-10"/>
                <w:sz w:val="18"/>
              </w:rPr>
              <w:t xml:space="preserve"> </w:t>
            </w:r>
            <w:r>
              <w:rPr>
                <w:sz w:val="18"/>
              </w:rPr>
              <w:t>práctica</w:t>
            </w:r>
            <w:r>
              <w:rPr>
                <w:spacing w:val="-11"/>
                <w:sz w:val="18"/>
              </w:rPr>
              <w:t xml:space="preserve"> </w:t>
            </w:r>
            <w:r>
              <w:rPr>
                <w:sz w:val="18"/>
              </w:rPr>
              <w:t>a</w:t>
            </w:r>
            <w:r>
              <w:rPr>
                <w:spacing w:val="-12"/>
                <w:sz w:val="18"/>
              </w:rPr>
              <w:t xml:space="preserve"> </w:t>
            </w:r>
            <w:r>
              <w:rPr>
                <w:sz w:val="18"/>
              </w:rPr>
              <w:t>nivel</w:t>
            </w:r>
            <w:r>
              <w:rPr>
                <w:spacing w:val="-10"/>
                <w:sz w:val="18"/>
              </w:rPr>
              <w:t xml:space="preserve"> </w:t>
            </w:r>
            <w:r>
              <w:rPr>
                <w:sz w:val="18"/>
              </w:rPr>
              <w:t>nacional sistemas y medidas apropiadas de protección social para todos y, para 2030, lograr una amplia cobertura de los pobres y los más vulnerables.</w:t>
            </w:r>
          </w:p>
          <w:p w14:paraId="6CCD0740" w14:textId="77777777" w:rsidR="000E52B0" w:rsidRDefault="000E52B0">
            <w:pPr>
              <w:pStyle w:val="TableParagraph"/>
              <w:rPr>
                <w:sz w:val="18"/>
              </w:rPr>
            </w:pPr>
          </w:p>
          <w:p w14:paraId="109C1D36" w14:textId="285CF41F" w:rsidR="000E52B0" w:rsidRDefault="00F60D74">
            <w:pPr>
              <w:pStyle w:val="TableParagraph"/>
              <w:numPr>
                <w:ilvl w:val="1"/>
                <w:numId w:val="34"/>
              </w:numPr>
              <w:tabs>
                <w:tab w:val="left" w:pos="660"/>
                <w:tab w:val="left" w:pos="2009"/>
                <w:tab w:val="left" w:pos="3482"/>
              </w:tabs>
              <w:ind w:right="95" w:firstLine="0"/>
              <w:jc w:val="both"/>
              <w:rPr>
                <w:sz w:val="18"/>
              </w:rPr>
            </w:pPr>
            <w:r>
              <w:rPr>
                <w:sz w:val="18"/>
              </w:rPr>
              <w:t>Para 2030, garantizar que todos los hombres y mujeres, en particular los pobres y los más vulnerables, tengan los mismos derechos a los recursos económicos, así como acceso a los servicios básicos, la propiedad y el control de las</w:t>
            </w:r>
            <w:r>
              <w:rPr>
                <w:spacing w:val="-1"/>
                <w:sz w:val="18"/>
              </w:rPr>
              <w:t xml:space="preserve"> </w:t>
            </w:r>
            <w:r>
              <w:rPr>
                <w:sz w:val="18"/>
              </w:rPr>
              <w:t>tierras</w:t>
            </w:r>
            <w:r>
              <w:rPr>
                <w:spacing w:val="-1"/>
                <w:sz w:val="18"/>
              </w:rPr>
              <w:t xml:space="preserve"> </w:t>
            </w:r>
            <w:r>
              <w:rPr>
                <w:sz w:val="18"/>
              </w:rPr>
              <w:t>y otros</w:t>
            </w:r>
            <w:r>
              <w:rPr>
                <w:spacing w:val="-1"/>
                <w:sz w:val="18"/>
              </w:rPr>
              <w:t xml:space="preserve"> </w:t>
            </w:r>
            <w:r>
              <w:rPr>
                <w:sz w:val="18"/>
              </w:rPr>
              <w:t xml:space="preserve">bienes, la herencia, los recursos naturales, las nuevas tecnologías y los servicios </w:t>
            </w:r>
            <w:r>
              <w:rPr>
                <w:spacing w:val="-2"/>
                <w:sz w:val="18"/>
              </w:rPr>
              <w:t>económicos,</w:t>
            </w:r>
            <w:r>
              <w:rPr>
                <w:sz w:val="18"/>
              </w:rPr>
              <w:tab/>
            </w:r>
            <w:r>
              <w:rPr>
                <w:spacing w:val="-2"/>
                <w:sz w:val="18"/>
              </w:rPr>
              <w:t>incluida</w:t>
            </w:r>
            <w:r>
              <w:rPr>
                <w:sz w:val="18"/>
              </w:rPr>
              <w:tab/>
            </w:r>
            <w:r>
              <w:rPr>
                <w:spacing w:val="-6"/>
                <w:sz w:val="18"/>
              </w:rPr>
              <w:t xml:space="preserve">la </w:t>
            </w:r>
            <w:r w:rsidR="00711074">
              <w:rPr>
                <w:spacing w:val="-2"/>
                <w:sz w:val="18"/>
              </w:rPr>
              <w:t>micro financiación</w:t>
            </w:r>
            <w:r>
              <w:rPr>
                <w:spacing w:val="-2"/>
                <w:sz w:val="18"/>
              </w:rPr>
              <w:t>.</w:t>
            </w:r>
          </w:p>
        </w:tc>
        <w:tc>
          <w:tcPr>
            <w:tcW w:w="3870" w:type="dxa"/>
          </w:tcPr>
          <w:p w14:paraId="501956F1" w14:textId="77777777" w:rsidR="000E52B0" w:rsidRDefault="00F60D74">
            <w:pPr>
              <w:pStyle w:val="TableParagraph"/>
              <w:numPr>
                <w:ilvl w:val="0"/>
                <w:numId w:val="33"/>
              </w:numPr>
              <w:tabs>
                <w:tab w:val="left" w:pos="827"/>
              </w:tabs>
              <w:spacing w:before="216"/>
              <w:ind w:left="827" w:hanging="359"/>
              <w:rPr>
                <w:b/>
                <w:sz w:val="18"/>
              </w:rPr>
            </w:pPr>
            <w:r>
              <w:rPr>
                <w:b/>
                <w:spacing w:val="-2"/>
                <w:sz w:val="18"/>
              </w:rPr>
              <w:t>VICEMINISTERIO</w:t>
            </w:r>
          </w:p>
          <w:p w14:paraId="77292979" w14:textId="77777777" w:rsidR="000E52B0" w:rsidRDefault="00F60D74">
            <w:pPr>
              <w:pStyle w:val="TableParagraph"/>
              <w:spacing w:before="218"/>
              <w:ind w:left="108" w:right="94"/>
              <w:jc w:val="both"/>
              <w:rPr>
                <w:b/>
                <w:sz w:val="18"/>
              </w:rPr>
            </w:pPr>
            <w:r>
              <w:rPr>
                <w:b/>
                <w:sz w:val="18"/>
              </w:rPr>
              <w:t>FUNCIONES DEL VICEMINISTERIO PARA LAS POBLACIONES Y TERRITORIOS EXCLUIDOS Y LA SUPERACIÓN DE LA POBREZA:</w:t>
            </w:r>
          </w:p>
          <w:p w14:paraId="01290391" w14:textId="77777777" w:rsidR="000E52B0" w:rsidRDefault="00F60D74">
            <w:pPr>
              <w:pStyle w:val="TableParagraph"/>
              <w:spacing w:before="1"/>
              <w:ind w:left="108" w:right="96"/>
              <w:jc w:val="both"/>
              <w:rPr>
                <w:i/>
                <w:sz w:val="18"/>
              </w:rPr>
            </w:pPr>
            <w:r>
              <w:rPr>
                <w:i/>
                <w:color w:val="333333"/>
                <w:sz w:val="18"/>
              </w:rPr>
              <w:t>Liderar la formulación, la implementación, el seguimiento y la evaluación de políticas</w:t>
            </w:r>
            <w:r>
              <w:rPr>
                <w:i/>
                <w:color w:val="333333"/>
                <w:spacing w:val="-1"/>
                <w:sz w:val="18"/>
              </w:rPr>
              <w:t xml:space="preserve"> </w:t>
            </w:r>
            <w:r>
              <w:rPr>
                <w:i/>
                <w:color w:val="333333"/>
                <w:sz w:val="18"/>
              </w:rPr>
              <w:t>públicas,</w:t>
            </w:r>
            <w:r>
              <w:rPr>
                <w:i/>
                <w:color w:val="333333"/>
                <w:spacing w:val="-2"/>
                <w:sz w:val="18"/>
              </w:rPr>
              <w:t xml:space="preserve"> </w:t>
            </w:r>
            <w:r>
              <w:rPr>
                <w:i/>
                <w:color w:val="333333"/>
                <w:sz w:val="18"/>
              </w:rPr>
              <w:t>planes, programas y proyectos orientados a la superación de la pobreza de las poblaciones objeto del Ministerio de Igualdad y Equidad.</w:t>
            </w:r>
          </w:p>
          <w:p w14:paraId="1D7A87DA" w14:textId="77777777" w:rsidR="000E52B0" w:rsidRDefault="000E52B0">
            <w:pPr>
              <w:pStyle w:val="TableParagraph"/>
              <w:rPr>
                <w:sz w:val="18"/>
              </w:rPr>
            </w:pPr>
          </w:p>
          <w:p w14:paraId="00BA7630" w14:textId="77777777" w:rsidR="000E52B0" w:rsidRDefault="00F60D74">
            <w:pPr>
              <w:pStyle w:val="TableParagraph"/>
              <w:numPr>
                <w:ilvl w:val="0"/>
                <w:numId w:val="33"/>
              </w:numPr>
              <w:tabs>
                <w:tab w:val="left" w:pos="827"/>
              </w:tabs>
              <w:ind w:left="827" w:hanging="359"/>
              <w:rPr>
                <w:b/>
                <w:color w:val="333333"/>
                <w:sz w:val="18"/>
              </w:rPr>
            </w:pPr>
            <w:r>
              <w:rPr>
                <w:b/>
                <w:color w:val="333333"/>
                <w:sz w:val="18"/>
              </w:rPr>
              <w:t>DIRECCIONES</w:t>
            </w:r>
            <w:r>
              <w:rPr>
                <w:b/>
                <w:color w:val="333333"/>
                <w:spacing w:val="-7"/>
                <w:sz w:val="18"/>
              </w:rPr>
              <w:t xml:space="preserve"> </w:t>
            </w:r>
            <w:r>
              <w:rPr>
                <w:b/>
                <w:color w:val="333333"/>
                <w:spacing w:val="-2"/>
                <w:sz w:val="18"/>
              </w:rPr>
              <w:t>TÉCNICAS</w:t>
            </w:r>
          </w:p>
          <w:p w14:paraId="0C54D310" w14:textId="77777777" w:rsidR="000E52B0" w:rsidRDefault="00F60D74">
            <w:pPr>
              <w:pStyle w:val="TableParagraph"/>
              <w:spacing w:before="218"/>
              <w:ind w:left="108" w:right="95"/>
              <w:jc w:val="both"/>
              <w:rPr>
                <w:b/>
                <w:sz w:val="18"/>
              </w:rPr>
            </w:pPr>
            <w:r>
              <w:rPr>
                <w:b/>
                <w:color w:val="333333"/>
                <w:sz w:val="18"/>
              </w:rPr>
              <w:t>FUNCIONES</w:t>
            </w:r>
            <w:r>
              <w:rPr>
                <w:b/>
                <w:color w:val="333333"/>
                <w:spacing w:val="-16"/>
                <w:sz w:val="18"/>
              </w:rPr>
              <w:t xml:space="preserve"> </w:t>
            </w:r>
            <w:r>
              <w:rPr>
                <w:b/>
                <w:color w:val="333333"/>
                <w:sz w:val="18"/>
              </w:rPr>
              <w:t>DE</w:t>
            </w:r>
            <w:r>
              <w:rPr>
                <w:b/>
                <w:color w:val="333333"/>
                <w:spacing w:val="-15"/>
                <w:sz w:val="18"/>
              </w:rPr>
              <w:t xml:space="preserve"> </w:t>
            </w:r>
            <w:r>
              <w:rPr>
                <w:b/>
                <w:color w:val="333333"/>
                <w:sz w:val="18"/>
              </w:rPr>
              <w:t>LA</w:t>
            </w:r>
            <w:r>
              <w:rPr>
                <w:b/>
                <w:color w:val="333333"/>
                <w:spacing w:val="-16"/>
                <w:sz w:val="18"/>
              </w:rPr>
              <w:t xml:space="preserve"> </w:t>
            </w:r>
            <w:r>
              <w:rPr>
                <w:b/>
                <w:color w:val="333333"/>
                <w:sz w:val="18"/>
              </w:rPr>
              <w:t>DIRECCIÓN</w:t>
            </w:r>
            <w:r>
              <w:rPr>
                <w:b/>
                <w:color w:val="333333"/>
                <w:spacing w:val="-15"/>
                <w:sz w:val="18"/>
              </w:rPr>
              <w:t xml:space="preserve"> </w:t>
            </w:r>
            <w:r>
              <w:rPr>
                <w:b/>
                <w:color w:val="333333"/>
                <w:sz w:val="18"/>
              </w:rPr>
              <w:t>PARA LA SUPERACIÓN DE LA POBREZA</w:t>
            </w:r>
          </w:p>
          <w:p w14:paraId="2D31D0D0" w14:textId="77777777" w:rsidR="000E52B0" w:rsidRDefault="000E52B0">
            <w:pPr>
              <w:pStyle w:val="TableParagraph"/>
              <w:spacing w:before="1"/>
              <w:rPr>
                <w:sz w:val="18"/>
              </w:rPr>
            </w:pPr>
          </w:p>
          <w:p w14:paraId="6B24878A" w14:textId="77777777" w:rsidR="000E52B0" w:rsidRDefault="00F60D74">
            <w:pPr>
              <w:pStyle w:val="TableParagraph"/>
              <w:spacing w:before="1"/>
              <w:ind w:left="108" w:right="96"/>
              <w:jc w:val="both"/>
              <w:rPr>
                <w:i/>
                <w:sz w:val="18"/>
              </w:rPr>
            </w:pPr>
            <w:r>
              <w:rPr>
                <w:i/>
                <w:color w:val="333333"/>
                <w:sz w:val="18"/>
              </w:rPr>
              <w:t>Dirigir y coordinar la oferta social del Estado</w:t>
            </w:r>
            <w:r>
              <w:rPr>
                <w:i/>
                <w:color w:val="333333"/>
                <w:spacing w:val="-1"/>
                <w:sz w:val="18"/>
              </w:rPr>
              <w:t xml:space="preserve"> </w:t>
            </w:r>
            <w:r>
              <w:rPr>
                <w:i/>
                <w:color w:val="333333"/>
                <w:sz w:val="18"/>
              </w:rPr>
              <w:t>para</w:t>
            </w:r>
            <w:r>
              <w:rPr>
                <w:i/>
                <w:color w:val="333333"/>
                <w:spacing w:val="-3"/>
                <w:sz w:val="18"/>
              </w:rPr>
              <w:t xml:space="preserve"> </w:t>
            </w:r>
            <w:r>
              <w:rPr>
                <w:i/>
                <w:color w:val="333333"/>
                <w:sz w:val="18"/>
              </w:rPr>
              <w:t>la</w:t>
            </w:r>
            <w:r>
              <w:rPr>
                <w:i/>
                <w:color w:val="333333"/>
                <w:spacing w:val="-1"/>
                <w:sz w:val="18"/>
              </w:rPr>
              <w:t xml:space="preserve"> </w:t>
            </w:r>
            <w:r>
              <w:rPr>
                <w:i/>
                <w:color w:val="333333"/>
                <w:sz w:val="18"/>
              </w:rPr>
              <w:t>superación</w:t>
            </w:r>
            <w:r>
              <w:rPr>
                <w:i/>
                <w:color w:val="333333"/>
                <w:spacing w:val="-2"/>
                <w:sz w:val="18"/>
              </w:rPr>
              <w:t xml:space="preserve"> </w:t>
            </w:r>
            <w:r>
              <w:rPr>
                <w:i/>
                <w:color w:val="333333"/>
                <w:sz w:val="18"/>
              </w:rPr>
              <w:t>de</w:t>
            </w:r>
            <w:r>
              <w:rPr>
                <w:i/>
                <w:color w:val="333333"/>
                <w:spacing w:val="-2"/>
                <w:sz w:val="18"/>
              </w:rPr>
              <w:t xml:space="preserve"> </w:t>
            </w:r>
            <w:r>
              <w:rPr>
                <w:i/>
                <w:color w:val="333333"/>
                <w:sz w:val="18"/>
              </w:rPr>
              <w:t>la</w:t>
            </w:r>
            <w:r>
              <w:rPr>
                <w:i/>
                <w:color w:val="333333"/>
                <w:spacing w:val="-3"/>
                <w:sz w:val="18"/>
              </w:rPr>
              <w:t xml:space="preserve"> </w:t>
            </w:r>
            <w:r>
              <w:rPr>
                <w:i/>
                <w:color w:val="333333"/>
                <w:sz w:val="18"/>
              </w:rPr>
              <w:t>pobreza y pobreza extrema monetaria, la pobreza multidimensional y la estabilización socioeconómica de conformidad con la normativa vigente.</w:t>
            </w:r>
          </w:p>
          <w:p w14:paraId="73709A03" w14:textId="77777777" w:rsidR="000E52B0" w:rsidRDefault="00F60D74">
            <w:pPr>
              <w:pStyle w:val="TableParagraph"/>
              <w:numPr>
                <w:ilvl w:val="0"/>
                <w:numId w:val="33"/>
              </w:numPr>
              <w:tabs>
                <w:tab w:val="left" w:pos="828"/>
              </w:tabs>
              <w:spacing w:before="218"/>
              <w:ind w:right="94"/>
              <w:jc w:val="both"/>
              <w:rPr>
                <w:b/>
                <w:sz w:val="18"/>
              </w:rPr>
            </w:pPr>
            <w:r>
              <w:rPr>
                <w:b/>
                <w:sz w:val="18"/>
              </w:rPr>
              <w:t xml:space="preserve">DISEÑO, FORMULACIÓN Y EJECUCIÓN DE ACCIONES </w:t>
            </w:r>
            <w:r>
              <w:rPr>
                <w:b/>
                <w:spacing w:val="-2"/>
                <w:sz w:val="18"/>
              </w:rPr>
              <w:t>CONCRETAS</w:t>
            </w:r>
          </w:p>
          <w:p w14:paraId="41D1600C" w14:textId="77777777" w:rsidR="000E52B0" w:rsidRDefault="00F60D74">
            <w:pPr>
              <w:pStyle w:val="TableParagraph"/>
              <w:spacing w:before="218"/>
              <w:ind w:left="108" w:right="95"/>
              <w:jc w:val="both"/>
              <w:rPr>
                <w:sz w:val="18"/>
              </w:rPr>
            </w:pPr>
            <w:r>
              <w:rPr>
                <w:b/>
                <w:sz w:val="18"/>
              </w:rPr>
              <w:t xml:space="preserve">Programa “Agua es Vida”. </w:t>
            </w:r>
            <w:r>
              <w:rPr>
                <w:sz w:val="18"/>
              </w:rPr>
              <w:t>Pretende avanzar en la garantía del derecho al agua y saneamiento en cuanto a disponibilidad y acceso en territorios marginados y excluidos.</w:t>
            </w:r>
          </w:p>
          <w:p w14:paraId="185E890C" w14:textId="77777777" w:rsidR="000E52B0" w:rsidRDefault="000E52B0">
            <w:pPr>
              <w:pStyle w:val="TableParagraph"/>
              <w:rPr>
                <w:sz w:val="18"/>
              </w:rPr>
            </w:pPr>
          </w:p>
          <w:p w14:paraId="7DBC5F48" w14:textId="77777777" w:rsidR="000E52B0" w:rsidRDefault="00F60D74">
            <w:pPr>
              <w:pStyle w:val="TableParagraph"/>
              <w:ind w:left="108" w:right="95"/>
              <w:jc w:val="both"/>
              <w:rPr>
                <w:sz w:val="18"/>
              </w:rPr>
            </w:pPr>
            <w:r>
              <w:rPr>
                <w:b/>
                <w:sz w:val="18"/>
              </w:rPr>
              <w:t xml:space="preserve">Programa Economía Popular Y Comunitaria Para La Superación De La Pobreza, </w:t>
            </w:r>
            <w:r>
              <w:rPr>
                <w:sz w:val="18"/>
              </w:rPr>
              <w:t>Busca fortalecer las capacidades productivas, asociativas, financieras y administrativas de los actores de la economía popular y comunitaria para la superación de las brechas</w:t>
            </w:r>
            <w:r>
              <w:rPr>
                <w:spacing w:val="57"/>
                <w:sz w:val="18"/>
              </w:rPr>
              <w:t xml:space="preserve">   </w:t>
            </w:r>
            <w:r>
              <w:rPr>
                <w:sz w:val="18"/>
              </w:rPr>
              <w:t>de</w:t>
            </w:r>
            <w:r>
              <w:rPr>
                <w:spacing w:val="58"/>
                <w:sz w:val="18"/>
              </w:rPr>
              <w:t xml:space="preserve">   </w:t>
            </w:r>
            <w:r>
              <w:rPr>
                <w:sz w:val="18"/>
              </w:rPr>
              <w:t>pobreza,</w:t>
            </w:r>
            <w:r>
              <w:rPr>
                <w:spacing w:val="57"/>
                <w:sz w:val="18"/>
              </w:rPr>
              <w:t xml:space="preserve">   </w:t>
            </w:r>
            <w:r>
              <w:rPr>
                <w:spacing w:val="-2"/>
                <w:sz w:val="18"/>
              </w:rPr>
              <w:t>mediante</w:t>
            </w:r>
          </w:p>
          <w:p w14:paraId="3EA049C3" w14:textId="77777777" w:rsidR="000E52B0" w:rsidRDefault="00F60D74">
            <w:pPr>
              <w:pStyle w:val="TableParagraph"/>
              <w:spacing w:line="201" w:lineRule="exact"/>
              <w:ind w:left="108"/>
              <w:jc w:val="both"/>
              <w:rPr>
                <w:sz w:val="18"/>
              </w:rPr>
            </w:pPr>
            <w:r>
              <w:rPr>
                <w:sz w:val="18"/>
              </w:rPr>
              <w:t>actividades</w:t>
            </w:r>
            <w:r>
              <w:rPr>
                <w:spacing w:val="72"/>
                <w:w w:val="150"/>
                <w:sz w:val="18"/>
              </w:rPr>
              <w:t xml:space="preserve"> </w:t>
            </w:r>
            <w:r>
              <w:rPr>
                <w:sz w:val="18"/>
              </w:rPr>
              <w:t>de</w:t>
            </w:r>
            <w:r>
              <w:rPr>
                <w:spacing w:val="73"/>
                <w:w w:val="150"/>
                <w:sz w:val="18"/>
              </w:rPr>
              <w:t xml:space="preserve"> </w:t>
            </w:r>
            <w:r>
              <w:rPr>
                <w:sz w:val="18"/>
              </w:rPr>
              <w:t>capacitación,</w:t>
            </w:r>
            <w:r>
              <w:rPr>
                <w:spacing w:val="70"/>
                <w:w w:val="150"/>
                <w:sz w:val="18"/>
              </w:rPr>
              <w:t xml:space="preserve"> </w:t>
            </w:r>
            <w:r>
              <w:rPr>
                <w:spacing w:val="-2"/>
                <w:sz w:val="18"/>
              </w:rPr>
              <w:t>talleres,</w:t>
            </w:r>
          </w:p>
        </w:tc>
      </w:tr>
    </w:tbl>
    <w:p w14:paraId="31413B3A" w14:textId="77777777" w:rsidR="000E52B0" w:rsidRDefault="000E52B0">
      <w:pPr>
        <w:pStyle w:val="TableParagraph"/>
        <w:spacing w:line="201" w:lineRule="exact"/>
        <w:jc w:val="both"/>
        <w:rPr>
          <w:sz w:val="18"/>
        </w:rPr>
        <w:sectPr w:rsidR="000E52B0">
          <w:pgSz w:w="11910" w:h="16840"/>
          <w:pgMar w:top="1340" w:right="720" w:bottom="1381" w:left="720" w:header="0" w:footer="995"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3752"/>
        <w:gridCol w:w="3870"/>
      </w:tblGrid>
      <w:tr w:rsidR="000E52B0" w14:paraId="3DA391CC" w14:textId="77777777">
        <w:trPr>
          <w:trHeight w:val="436"/>
        </w:trPr>
        <w:tc>
          <w:tcPr>
            <w:tcW w:w="1394" w:type="dxa"/>
            <w:shd w:val="clear" w:color="auto" w:fill="D44673"/>
          </w:tcPr>
          <w:p w14:paraId="2E89FE8E" w14:textId="77777777" w:rsidR="000E52B0" w:rsidRDefault="00F60D74">
            <w:pPr>
              <w:pStyle w:val="TableParagraph"/>
              <w:spacing w:before="109"/>
              <w:ind w:left="10"/>
              <w:jc w:val="center"/>
              <w:rPr>
                <w:b/>
                <w:sz w:val="18"/>
              </w:rPr>
            </w:pPr>
            <w:r>
              <w:rPr>
                <w:b/>
                <w:color w:val="FFFFFF"/>
                <w:spacing w:val="-5"/>
                <w:sz w:val="18"/>
              </w:rPr>
              <w:lastRenderedPageBreak/>
              <w:t>ODS</w:t>
            </w:r>
          </w:p>
        </w:tc>
        <w:tc>
          <w:tcPr>
            <w:tcW w:w="3752" w:type="dxa"/>
            <w:shd w:val="clear" w:color="auto" w:fill="D44673"/>
          </w:tcPr>
          <w:p w14:paraId="7EF7694B" w14:textId="77777777" w:rsidR="000E52B0" w:rsidRDefault="00F60D74">
            <w:pPr>
              <w:pStyle w:val="TableParagraph"/>
              <w:spacing w:before="109"/>
              <w:ind w:left="6"/>
              <w:jc w:val="center"/>
              <w:rPr>
                <w:b/>
                <w:sz w:val="18"/>
              </w:rPr>
            </w:pPr>
            <w:r>
              <w:rPr>
                <w:b/>
                <w:color w:val="FFFFFF"/>
                <w:spacing w:val="-4"/>
                <w:sz w:val="18"/>
              </w:rPr>
              <w:t>Meta</w:t>
            </w:r>
          </w:p>
        </w:tc>
        <w:tc>
          <w:tcPr>
            <w:tcW w:w="3870" w:type="dxa"/>
            <w:shd w:val="clear" w:color="auto" w:fill="D44673"/>
          </w:tcPr>
          <w:p w14:paraId="748F6F09" w14:textId="77777777" w:rsidR="000E52B0" w:rsidRDefault="00F60D74">
            <w:pPr>
              <w:pStyle w:val="TableParagraph"/>
              <w:spacing w:line="218" w:lineRule="exact"/>
              <w:ind w:left="900" w:hanging="687"/>
              <w:rPr>
                <w:b/>
                <w:sz w:val="18"/>
              </w:rPr>
            </w:pPr>
            <w:r>
              <w:rPr>
                <w:b/>
                <w:color w:val="FFFFFF"/>
                <w:sz w:val="18"/>
              </w:rPr>
              <w:t>¿Cómo</w:t>
            </w:r>
            <w:r>
              <w:rPr>
                <w:b/>
                <w:color w:val="FFFFFF"/>
                <w:spacing w:val="-9"/>
                <w:sz w:val="18"/>
              </w:rPr>
              <w:t xml:space="preserve"> </w:t>
            </w:r>
            <w:r>
              <w:rPr>
                <w:b/>
                <w:color w:val="FFFFFF"/>
                <w:sz w:val="18"/>
              </w:rPr>
              <w:t>contribuye</w:t>
            </w:r>
            <w:r>
              <w:rPr>
                <w:b/>
                <w:color w:val="FFFFFF"/>
                <w:spacing w:val="-9"/>
                <w:sz w:val="18"/>
              </w:rPr>
              <w:t xml:space="preserve"> </w:t>
            </w:r>
            <w:r>
              <w:rPr>
                <w:b/>
                <w:color w:val="FFFFFF"/>
                <w:sz w:val="18"/>
              </w:rPr>
              <w:t>el</w:t>
            </w:r>
            <w:r>
              <w:rPr>
                <w:b/>
                <w:color w:val="FFFFFF"/>
                <w:spacing w:val="-9"/>
                <w:sz w:val="18"/>
              </w:rPr>
              <w:t xml:space="preserve"> </w:t>
            </w:r>
            <w:r>
              <w:rPr>
                <w:b/>
                <w:color w:val="FFFFFF"/>
                <w:sz w:val="18"/>
              </w:rPr>
              <w:t>Ministerio</w:t>
            </w:r>
            <w:r>
              <w:rPr>
                <w:b/>
                <w:color w:val="FFFFFF"/>
                <w:spacing w:val="-9"/>
                <w:sz w:val="18"/>
              </w:rPr>
              <w:t xml:space="preserve"> </w:t>
            </w:r>
            <w:r>
              <w:rPr>
                <w:b/>
                <w:color w:val="FFFFFF"/>
                <w:sz w:val="18"/>
              </w:rPr>
              <w:t>de Igualdad y Equidad?</w:t>
            </w:r>
          </w:p>
        </w:tc>
      </w:tr>
      <w:tr w:rsidR="000E52B0" w14:paraId="3C999D53" w14:textId="77777777">
        <w:trPr>
          <w:trHeight w:val="1036"/>
        </w:trPr>
        <w:tc>
          <w:tcPr>
            <w:tcW w:w="1394" w:type="dxa"/>
          </w:tcPr>
          <w:p w14:paraId="471D1DBE" w14:textId="77777777" w:rsidR="000E52B0" w:rsidRDefault="000E52B0">
            <w:pPr>
              <w:pStyle w:val="TableParagraph"/>
              <w:rPr>
                <w:rFonts w:ascii="Times New Roman"/>
                <w:sz w:val="18"/>
              </w:rPr>
            </w:pPr>
          </w:p>
        </w:tc>
        <w:tc>
          <w:tcPr>
            <w:tcW w:w="3752" w:type="dxa"/>
          </w:tcPr>
          <w:p w14:paraId="430AEBAC" w14:textId="77777777" w:rsidR="000E52B0" w:rsidRDefault="000E52B0">
            <w:pPr>
              <w:pStyle w:val="TableParagraph"/>
              <w:rPr>
                <w:rFonts w:ascii="Times New Roman"/>
                <w:sz w:val="18"/>
              </w:rPr>
            </w:pPr>
          </w:p>
        </w:tc>
        <w:tc>
          <w:tcPr>
            <w:tcW w:w="3870" w:type="dxa"/>
          </w:tcPr>
          <w:p w14:paraId="150003AC" w14:textId="77777777" w:rsidR="000E52B0" w:rsidRDefault="00F60D74">
            <w:pPr>
              <w:pStyle w:val="TableParagraph"/>
              <w:spacing w:before="1"/>
              <w:ind w:left="108" w:right="99"/>
              <w:jc w:val="both"/>
              <w:rPr>
                <w:sz w:val="18"/>
              </w:rPr>
            </w:pPr>
            <w:r>
              <w:rPr>
                <w:sz w:val="18"/>
              </w:rPr>
              <w:t xml:space="preserve">giras de intercambio en aspectos organizacionales, financieros y </w:t>
            </w:r>
            <w:r>
              <w:rPr>
                <w:spacing w:val="-2"/>
                <w:sz w:val="18"/>
              </w:rPr>
              <w:t>administrativos.</w:t>
            </w:r>
          </w:p>
        </w:tc>
      </w:tr>
      <w:tr w:rsidR="000E52B0" w14:paraId="56ED79CC" w14:textId="77777777">
        <w:trPr>
          <w:trHeight w:val="8314"/>
        </w:trPr>
        <w:tc>
          <w:tcPr>
            <w:tcW w:w="1394" w:type="dxa"/>
          </w:tcPr>
          <w:p w14:paraId="6C3549B3" w14:textId="77777777" w:rsidR="000E52B0" w:rsidRDefault="000E52B0">
            <w:pPr>
              <w:pStyle w:val="TableParagraph"/>
              <w:rPr>
                <w:sz w:val="18"/>
              </w:rPr>
            </w:pPr>
          </w:p>
          <w:p w14:paraId="53593BFB" w14:textId="77777777" w:rsidR="000E52B0" w:rsidRDefault="000E52B0">
            <w:pPr>
              <w:pStyle w:val="TableParagraph"/>
              <w:rPr>
                <w:sz w:val="18"/>
              </w:rPr>
            </w:pPr>
          </w:p>
          <w:p w14:paraId="215EF203" w14:textId="77777777" w:rsidR="000E52B0" w:rsidRDefault="000E52B0">
            <w:pPr>
              <w:pStyle w:val="TableParagraph"/>
              <w:rPr>
                <w:sz w:val="18"/>
              </w:rPr>
            </w:pPr>
          </w:p>
          <w:p w14:paraId="52773129" w14:textId="77777777" w:rsidR="000E52B0" w:rsidRDefault="000E52B0">
            <w:pPr>
              <w:pStyle w:val="TableParagraph"/>
              <w:rPr>
                <w:sz w:val="18"/>
              </w:rPr>
            </w:pPr>
          </w:p>
          <w:p w14:paraId="41A5C417" w14:textId="77777777" w:rsidR="000E52B0" w:rsidRDefault="000E52B0">
            <w:pPr>
              <w:pStyle w:val="TableParagraph"/>
              <w:rPr>
                <w:sz w:val="18"/>
              </w:rPr>
            </w:pPr>
          </w:p>
          <w:p w14:paraId="0F608A2A" w14:textId="77777777" w:rsidR="000E52B0" w:rsidRDefault="000E52B0">
            <w:pPr>
              <w:pStyle w:val="TableParagraph"/>
              <w:rPr>
                <w:sz w:val="18"/>
              </w:rPr>
            </w:pPr>
          </w:p>
          <w:p w14:paraId="05A11EA4" w14:textId="77777777" w:rsidR="000E52B0" w:rsidRDefault="000E52B0">
            <w:pPr>
              <w:pStyle w:val="TableParagraph"/>
              <w:rPr>
                <w:sz w:val="18"/>
              </w:rPr>
            </w:pPr>
          </w:p>
          <w:p w14:paraId="11212198" w14:textId="77777777" w:rsidR="000E52B0" w:rsidRDefault="000E52B0">
            <w:pPr>
              <w:pStyle w:val="TableParagraph"/>
              <w:rPr>
                <w:sz w:val="18"/>
              </w:rPr>
            </w:pPr>
          </w:p>
          <w:p w14:paraId="3F12778C" w14:textId="77777777" w:rsidR="000E52B0" w:rsidRDefault="000E52B0">
            <w:pPr>
              <w:pStyle w:val="TableParagraph"/>
              <w:rPr>
                <w:sz w:val="18"/>
              </w:rPr>
            </w:pPr>
          </w:p>
          <w:p w14:paraId="4280F998" w14:textId="77777777" w:rsidR="000E52B0" w:rsidRDefault="000E52B0">
            <w:pPr>
              <w:pStyle w:val="TableParagraph"/>
              <w:rPr>
                <w:sz w:val="18"/>
              </w:rPr>
            </w:pPr>
          </w:p>
          <w:p w14:paraId="68F41DD9" w14:textId="77777777" w:rsidR="000E52B0" w:rsidRDefault="000E52B0">
            <w:pPr>
              <w:pStyle w:val="TableParagraph"/>
              <w:rPr>
                <w:sz w:val="18"/>
              </w:rPr>
            </w:pPr>
          </w:p>
          <w:p w14:paraId="782A01AB" w14:textId="77777777" w:rsidR="000E52B0" w:rsidRDefault="000E52B0">
            <w:pPr>
              <w:pStyle w:val="TableParagraph"/>
              <w:rPr>
                <w:sz w:val="18"/>
              </w:rPr>
            </w:pPr>
          </w:p>
          <w:p w14:paraId="7E8EF647" w14:textId="77777777" w:rsidR="000E52B0" w:rsidRDefault="000E52B0">
            <w:pPr>
              <w:pStyle w:val="TableParagraph"/>
              <w:rPr>
                <w:sz w:val="18"/>
              </w:rPr>
            </w:pPr>
          </w:p>
          <w:p w14:paraId="4D8AF70E" w14:textId="77777777" w:rsidR="000E52B0" w:rsidRDefault="000E52B0">
            <w:pPr>
              <w:pStyle w:val="TableParagraph"/>
              <w:rPr>
                <w:sz w:val="18"/>
              </w:rPr>
            </w:pPr>
          </w:p>
          <w:p w14:paraId="6734B843" w14:textId="77777777" w:rsidR="000E52B0" w:rsidRDefault="000E52B0">
            <w:pPr>
              <w:pStyle w:val="TableParagraph"/>
              <w:spacing w:before="217"/>
              <w:rPr>
                <w:sz w:val="18"/>
              </w:rPr>
            </w:pPr>
          </w:p>
          <w:p w14:paraId="6C8DDCEC" w14:textId="77777777" w:rsidR="000E52B0" w:rsidRDefault="00F60D74">
            <w:pPr>
              <w:pStyle w:val="TableParagraph"/>
              <w:spacing w:line="242" w:lineRule="auto"/>
              <w:ind w:left="107" w:right="554"/>
              <w:rPr>
                <w:sz w:val="18"/>
              </w:rPr>
            </w:pPr>
            <w:r>
              <w:rPr>
                <w:spacing w:val="-2"/>
                <w:sz w:val="18"/>
              </w:rPr>
              <w:t xml:space="preserve">Hambre </w:t>
            </w:r>
            <w:r>
              <w:rPr>
                <w:spacing w:val="-4"/>
                <w:sz w:val="18"/>
              </w:rPr>
              <w:t>Cero</w:t>
            </w:r>
          </w:p>
        </w:tc>
        <w:tc>
          <w:tcPr>
            <w:tcW w:w="3752" w:type="dxa"/>
          </w:tcPr>
          <w:p w14:paraId="196129DF" w14:textId="77777777" w:rsidR="000E52B0" w:rsidRDefault="000E52B0">
            <w:pPr>
              <w:pStyle w:val="TableParagraph"/>
              <w:rPr>
                <w:sz w:val="18"/>
              </w:rPr>
            </w:pPr>
          </w:p>
          <w:p w14:paraId="3F900549" w14:textId="77777777" w:rsidR="000E52B0" w:rsidRDefault="000E52B0">
            <w:pPr>
              <w:pStyle w:val="TableParagraph"/>
              <w:rPr>
                <w:sz w:val="18"/>
              </w:rPr>
            </w:pPr>
          </w:p>
          <w:p w14:paraId="1327A0FB" w14:textId="77777777" w:rsidR="000E52B0" w:rsidRDefault="000E52B0">
            <w:pPr>
              <w:pStyle w:val="TableParagraph"/>
              <w:rPr>
                <w:sz w:val="18"/>
              </w:rPr>
            </w:pPr>
          </w:p>
          <w:p w14:paraId="72578064" w14:textId="77777777" w:rsidR="000E52B0" w:rsidRDefault="000E52B0">
            <w:pPr>
              <w:pStyle w:val="TableParagraph"/>
              <w:rPr>
                <w:sz w:val="18"/>
              </w:rPr>
            </w:pPr>
          </w:p>
          <w:p w14:paraId="21E579E9" w14:textId="77777777" w:rsidR="000E52B0" w:rsidRDefault="000E52B0">
            <w:pPr>
              <w:pStyle w:val="TableParagraph"/>
              <w:spacing w:before="217"/>
              <w:rPr>
                <w:sz w:val="18"/>
              </w:rPr>
            </w:pPr>
          </w:p>
          <w:p w14:paraId="7B82A39A" w14:textId="77777777" w:rsidR="000E52B0" w:rsidRDefault="00F60D74">
            <w:pPr>
              <w:pStyle w:val="TableParagraph"/>
              <w:numPr>
                <w:ilvl w:val="1"/>
                <w:numId w:val="32"/>
              </w:numPr>
              <w:tabs>
                <w:tab w:val="left" w:pos="510"/>
              </w:tabs>
              <w:spacing w:before="1"/>
              <w:ind w:right="98" w:firstLine="0"/>
              <w:jc w:val="both"/>
              <w:rPr>
                <w:sz w:val="18"/>
              </w:rPr>
            </w:pPr>
            <w:r>
              <w:rPr>
                <w:sz w:val="18"/>
              </w:rPr>
              <w:t>Para 2030, poner fin al hambre y asegurar el acceso de todas las personas,</w:t>
            </w:r>
            <w:r>
              <w:rPr>
                <w:spacing w:val="-12"/>
                <w:sz w:val="18"/>
              </w:rPr>
              <w:t xml:space="preserve"> </w:t>
            </w:r>
            <w:r>
              <w:rPr>
                <w:sz w:val="18"/>
              </w:rPr>
              <w:t>en</w:t>
            </w:r>
            <w:r>
              <w:rPr>
                <w:spacing w:val="-11"/>
                <w:sz w:val="18"/>
              </w:rPr>
              <w:t xml:space="preserve"> </w:t>
            </w:r>
            <w:r>
              <w:rPr>
                <w:sz w:val="18"/>
              </w:rPr>
              <w:t>particular</w:t>
            </w:r>
            <w:r>
              <w:rPr>
                <w:spacing w:val="-11"/>
                <w:sz w:val="18"/>
              </w:rPr>
              <w:t xml:space="preserve"> </w:t>
            </w:r>
            <w:r>
              <w:rPr>
                <w:sz w:val="18"/>
              </w:rPr>
              <w:t>los</w:t>
            </w:r>
            <w:r>
              <w:rPr>
                <w:spacing w:val="-11"/>
                <w:sz w:val="18"/>
              </w:rPr>
              <w:t xml:space="preserve"> </w:t>
            </w:r>
            <w:r>
              <w:rPr>
                <w:sz w:val="18"/>
              </w:rPr>
              <w:t>pobres</w:t>
            </w:r>
            <w:r>
              <w:rPr>
                <w:spacing w:val="-11"/>
                <w:sz w:val="18"/>
              </w:rPr>
              <w:t xml:space="preserve"> </w:t>
            </w:r>
            <w:r>
              <w:rPr>
                <w:sz w:val="18"/>
              </w:rPr>
              <w:t>y</w:t>
            </w:r>
            <w:r>
              <w:rPr>
                <w:spacing w:val="-12"/>
                <w:sz w:val="18"/>
              </w:rPr>
              <w:t xml:space="preserve"> </w:t>
            </w:r>
            <w:r>
              <w:rPr>
                <w:sz w:val="18"/>
              </w:rPr>
              <w:t>las personas en situaciones vulnerables, incluidos los lactantes, a una alimentación sana, nutritiva y suficiente durante todo el año</w:t>
            </w:r>
          </w:p>
          <w:p w14:paraId="5DCB417B" w14:textId="77777777" w:rsidR="000E52B0" w:rsidRDefault="00F60D74">
            <w:pPr>
              <w:pStyle w:val="TableParagraph"/>
              <w:numPr>
                <w:ilvl w:val="1"/>
                <w:numId w:val="32"/>
              </w:numPr>
              <w:tabs>
                <w:tab w:val="left" w:pos="779"/>
              </w:tabs>
              <w:spacing w:before="218"/>
              <w:ind w:right="97" w:firstLine="0"/>
              <w:jc w:val="both"/>
              <w:rPr>
                <w:sz w:val="18"/>
              </w:rPr>
            </w:pPr>
            <w:r>
              <w:rPr>
                <w:sz w:val="18"/>
              </w:rPr>
              <w:t>Para 2030, duplicar la productividad</w:t>
            </w:r>
            <w:r>
              <w:rPr>
                <w:spacing w:val="-16"/>
                <w:sz w:val="18"/>
              </w:rPr>
              <w:t xml:space="preserve"> </w:t>
            </w:r>
            <w:r>
              <w:rPr>
                <w:sz w:val="18"/>
              </w:rPr>
              <w:t>agrícola</w:t>
            </w:r>
            <w:r>
              <w:rPr>
                <w:spacing w:val="-16"/>
                <w:sz w:val="18"/>
              </w:rPr>
              <w:t xml:space="preserve"> </w:t>
            </w:r>
            <w:r>
              <w:rPr>
                <w:sz w:val="18"/>
              </w:rPr>
              <w:t>y</w:t>
            </w:r>
            <w:r>
              <w:rPr>
                <w:spacing w:val="-16"/>
                <w:sz w:val="18"/>
              </w:rPr>
              <w:t xml:space="preserve"> </w:t>
            </w:r>
            <w:r>
              <w:rPr>
                <w:sz w:val="18"/>
              </w:rPr>
              <w:t>los</w:t>
            </w:r>
            <w:r>
              <w:rPr>
                <w:spacing w:val="-16"/>
                <w:sz w:val="18"/>
              </w:rPr>
              <w:t xml:space="preserve"> </w:t>
            </w:r>
            <w:r>
              <w:rPr>
                <w:sz w:val="18"/>
              </w:rPr>
              <w:t>ingresos</w:t>
            </w:r>
            <w:r>
              <w:rPr>
                <w:spacing w:val="-16"/>
                <w:sz w:val="18"/>
              </w:rPr>
              <w:t xml:space="preserve"> </w:t>
            </w:r>
            <w:r>
              <w:rPr>
                <w:sz w:val="18"/>
              </w:rPr>
              <w:t xml:space="preserve">de los productores de alimentos en pequeña escala, en particular las mujeres, los pueblos indígenas, los agricultores familiares, los pastores y los pescadores, entre otras cosas </w:t>
            </w:r>
            <w:r>
              <w:rPr>
                <w:spacing w:val="-2"/>
                <w:sz w:val="18"/>
              </w:rPr>
              <w:t>mediante</w:t>
            </w:r>
            <w:r>
              <w:rPr>
                <w:spacing w:val="-12"/>
                <w:sz w:val="18"/>
              </w:rPr>
              <w:t xml:space="preserve"> </w:t>
            </w:r>
            <w:r>
              <w:rPr>
                <w:spacing w:val="-2"/>
                <w:sz w:val="18"/>
              </w:rPr>
              <w:t>un</w:t>
            </w:r>
            <w:r>
              <w:rPr>
                <w:spacing w:val="-10"/>
                <w:sz w:val="18"/>
              </w:rPr>
              <w:t xml:space="preserve"> </w:t>
            </w:r>
            <w:r>
              <w:rPr>
                <w:spacing w:val="-2"/>
                <w:sz w:val="18"/>
              </w:rPr>
              <w:t>acceso</w:t>
            </w:r>
            <w:r>
              <w:rPr>
                <w:spacing w:val="-8"/>
                <w:sz w:val="18"/>
              </w:rPr>
              <w:t xml:space="preserve"> </w:t>
            </w:r>
            <w:r>
              <w:rPr>
                <w:spacing w:val="-2"/>
                <w:sz w:val="18"/>
              </w:rPr>
              <w:t>seguro</w:t>
            </w:r>
            <w:r>
              <w:rPr>
                <w:spacing w:val="-10"/>
                <w:sz w:val="18"/>
              </w:rPr>
              <w:t xml:space="preserve"> </w:t>
            </w:r>
            <w:r>
              <w:rPr>
                <w:spacing w:val="-2"/>
                <w:sz w:val="18"/>
              </w:rPr>
              <w:t>y</w:t>
            </w:r>
            <w:r>
              <w:rPr>
                <w:spacing w:val="-10"/>
                <w:sz w:val="18"/>
              </w:rPr>
              <w:t xml:space="preserve"> </w:t>
            </w:r>
            <w:r>
              <w:rPr>
                <w:spacing w:val="-2"/>
                <w:sz w:val="18"/>
              </w:rPr>
              <w:t xml:space="preserve">equitativo </w:t>
            </w:r>
            <w:r>
              <w:rPr>
                <w:sz w:val="18"/>
              </w:rPr>
              <w:t>a las tierras, a otros recursos de producción e insumos, conocimientos, servicios financieros, mercados y oportunidades para la generación de valor añadido y empleos no agrícolas</w:t>
            </w:r>
          </w:p>
        </w:tc>
        <w:tc>
          <w:tcPr>
            <w:tcW w:w="3870" w:type="dxa"/>
          </w:tcPr>
          <w:p w14:paraId="599BF34F" w14:textId="77777777" w:rsidR="000E52B0" w:rsidRDefault="00F60D74">
            <w:pPr>
              <w:pStyle w:val="TableParagraph"/>
              <w:numPr>
                <w:ilvl w:val="0"/>
                <w:numId w:val="31"/>
              </w:numPr>
              <w:tabs>
                <w:tab w:val="left" w:pos="827"/>
              </w:tabs>
              <w:spacing w:before="217"/>
              <w:ind w:left="827" w:hanging="359"/>
              <w:rPr>
                <w:b/>
                <w:sz w:val="18"/>
              </w:rPr>
            </w:pPr>
            <w:r>
              <w:rPr>
                <w:b/>
                <w:spacing w:val="-2"/>
                <w:sz w:val="18"/>
              </w:rPr>
              <w:t>VICEMINISTERIO</w:t>
            </w:r>
          </w:p>
          <w:p w14:paraId="4ED1FF8E" w14:textId="77777777" w:rsidR="000E52B0" w:rsidRDefault="000E52B0">
            <w:pPr>
              <w:pStyle w:val="TableParagraph"/>
              <w:spacing w:before="1"/>
              <w:rPr>
                <w:sz w:val="18"/>
              </w:rPr>
            </w:pPr>
          </w:p>
          <w:p w14:paraId="6945CCF7" w14:textId="77777777" w:rsidR="000E52B0" w:rsidRDefault="00F60D74">
            <w:pPr>
              <w:pStyle w:val="TableParagraph"/>
              <w:spacing w:before="1"/>
              <w:ind w:left="108" w:right="95"/>
              <w:jc w:val="both"/>
              <w:rPr>
                <w:b/>
                <w:sz w:val="18"/>
              </w:rPr>
            </w:pPr>
            <w:r>
              <w:rPr>
                <w:b/>
                <w:sz w:val="18"/>
              </w:rPr>
              <w:t>FUNCIONES DEL VICEMINISTERIO PARA LAS POBLACIONES Y TERRITORIOS EXCLUIDOS Y LA SUPERACIÓN DE LA POBREZA:</w:t>
            </w:r>
          </w:p>
          <w:p w14:paraId="35D50C87" w14:textId="77777777" w:rsidR="000E52B0" w:rsidRDefault="00F60D74">
            <w:pPr>
              <w:pStyle w:val="TableParagraph"/>
              <w:ind w:left="108" w:right="97"/>
              <w:jc w:val="both"/>
              <w:rPr>
                <w:i/>
                <w:sz w:val="18"/>
              </w:rPr>
            </w:pPr>
            <w:r>
              <w:rPr>
                <w:i/>
                <w:color w:val="333333"/>
                <w:sz w:val="18"/>
              </w:rPr>
              <w:t xml:space="preserve">Articular y coordinar bajo los principios de concurrencia y complementariedad las acciones que permitan superar la malnutrición y el hambre, en cumplimiento de las disposiciones </w:t>
            </w:r>
            <w:r>
              <w:rPr>
                <w:i/>
                <w:color w:val="333333"/>
                <w:spacing w:val="-2"/>
                <w:sz w:val="18"/>
              </w:rPr>
              <w:t>legales</w:t>
            </w:r>
          </w:p>
          <w:p w14:paraId="494E66FE" w14:textId="77777777" w:rsidR="000E52B0" w:rsidRDefault="00F60D74">
            <w:pPr>
              <w:pStyle w:val="TableParagraph"/>
              <w:numPr>
                <w:ilvl w:val="0"/>
                <w:numId w:val="31"/>
              </w:numPr>
              <w:tabs>
                <w:tab w:val="left" w:pos="827"/>
              </w:tabs>
              <w:spacing w:before="217"/>
              <w:ind w:left="827" w:hanging="359"/>
              <w:rPr>
                <w:b/>
                <w:color w:val="333333"/>
                <w:sz w:val="18"/>
              </w:rPr>
            </w:pPr>
            <w:r>
              <w:rPr>
                <w:b/>
                <w:color w:val="333333"/>
                <w:sz w:val="18"/>
              </w:rPr>
              <w:t>DIRECCIONES</w:t>
            </w:r>
            <w:r>
              <w:rPr>
                <w:b/>
                <w:color w:val="333333"/>
                <w:spacing w:val="-7"/>
                <w:sz w:val="18"/>
              </w:rPr>
              <w:t xml:space="preserve"> </w:t>
            </w:r>
            <w:r>
              <w:rPr>
                <w:b/>
                <w:color w:val="333333"/>
                <w:spacing w:val="-2"/>
                <w:sz w:val="18"/>
              </w:rPr>
              <w:t>TÉCNICAS</w:t>
            </w:r>
          </w:p>
          <w:p w14:paraId="5FD1F0D8" w14:textId="77777777" w:rsidR="000E52B0" w:rsidRDefault="00F60D74">
            <w:pPr>
              <w:pStyle w:val="TableParagraph"/>
              <w:spacing w:before="218" w:line="242" w:lineRule="auto"/>
              <w:ind w:left="108" w:right="95"/>
              <w:jc w:val="both"/>
              <w:rPr>
                <w:b/>
                <w:sz w:val="18"/>
              </w:rPr>
            </w:pPr>
            <w:r>
              <w:rPr>
                <w:b/>
                <w:color w:val="333333"/>
                <w:sz w:val="18"/>
              </w:rPr>
              <w:t>FUNCIONES</w:t>
            </w:r>
            <w:r>
              <w:rPr>
                <w:b/>
                <w:color w:val="333333"/>
                <w:spacing w:val="-16"/>
                <w:sz w:val="18"/>
              </w:rPr>
              <w:t xml:space="preserve"> </w:t>
            </w:r>
            <w:r>
              <w:rPr>
                <w:b/>
                <w:color w:val="333333"/>
                <w:sz w:val="18"/>
              </w:rPr>
              <w:t>DE</w:t>
            </w:r>
            <w:r>
              <w:rPr>
                <w:b/>
                <w:color w:val="333333"/>
                <w:spacing w:val="-15"/>
                <w:sz w:val="18"/>
              </w:rPr>
              <w:t xml:space="preserve"> </w:t>
            </w:r>
            <w:r>
              <w:rPr>
                <w:b/>
                <w:color w:val="333333"/>
                <w:sz w:val="18"/>
              </w:rPr>
              <w:t>LA</w:t>
            </w:r>
            <w:r>
              <w:rPr>
                <w:b/>
                <w:color w:val="333333"/>
                <w:spacing w:val="-16"/>
                <w:sz w:val="18"/>
              </w:rPr>
              <w:t xml:space="preserve"> </w:t>
            </w:r>
            <w:r>
              <w:rPr>
                <w:b/>
                <w:color w:val="333333"/>
                <w:sz w:val="18"/>
              </w:rPr>
              <w:t>DIRECCIÓN</w:t>
            </w:r>
            <w:r>
              <w:rPr>
                <w:b/>
                <w:color w:val="333333"/>
                <w:spacing w:val="-15"/>
                <w:sz w:val="18"/>
              </w:rPr>
              <w:t xml:space="preserve"> </w:t>
            </w:r>
            <w:r>
              <w:rPr>
                <w:b/>
                <w:color w:val="333333"/>
                <w:sz w:val="18"/>
              </w:rPr>
              <w:t>PARA LA SUPERACIÓN DE LA POBREZA</w:t>
            </w:r>
          </w:p>
          <w:p w14:paraId="14116EC1" w14:textId="77777777" w:rsidR="000E52B0" w:rsidRDefault="00F60D74">
            <w:pPr>
              <w:pStyle w:val="TableParagraph"/>
              <w:ind w:left="108" w:right="97"/>
              <w:jc w:val="both"/>
              <w:rPr>
                <w:i/>
                <w:sz w:val="18"/>
              </w:rPr>
            </w:pPr>
            <w:r>
              <w:rPr>
                <w:i/>
                <w:color w:val="333333"/>
                <w:sz w:val="18"/>
              </w:rPr>
              <w:t>Adoptar y ejecutar políticas, planes, programas y proyectos orientados a fomentar la promoción de los derechos de las poblaciones de competencia del Ministerio, que se encuentran en condiciones de vulnerabilidad, malnutrición, hambre y extrema pobreza, para la superación de brechas de desigualdad e inequidad.</w:t>
            </w:r>
          </w:p>
          <w:p w14:paraId="7BD2A53F" w14:textId="77777777" w:rsidR="000E52B0" w:rsidRDefault="00F60D74">
            <w:pPr>
              <w:pStyle w:val="TableParagraph"/>
              <w:numPr>
                <w:ilvl w:val="0"/>
                <w:numId w:val="31"/>
              </w:numPr>
              <w:tabs>
                <w:tab w:val="left" w:pos="828"/>
                <w:tab w:val="left" w:pos="890"/>
              </w:tabs>
              <w:spacing w:before="216"/>
              <w:ind w:right="94"/>
              <w:jc w:val="both"/>
              <w:rPr>
                <w:b/>
                <w:sz w:val="18"/>
              </w:rPr>
            </w:pPr>
            <w:r>
              <w:rPr>
                <w:b/>
                <w:sz w:val="18"/>
              </w:rPr>
              <w:tab/>
              <w:t xml:space="preserve">DISEÑO, FORMULACIÓN Y EJECUCIÓN DE ACCIONES </w:t>
            </w:r>
            <w:r>
              <w:rPr>
                <w:b/>
                <w:spacing w:val="-2"/>
                <w:sz w:val="18"/>
              </w:rPr>
              <w:t>CONCRETAS</w:t>
            </w:r>
          </w:p>
          <w:p w14:paraId="5B1A587F" w14:textId="77777777" w:rsidR="000E52B0" w:rsidRDefault="000E52B0">
            <w:pPr>
              <w:pStyle w:val="TableParagraph"/>
              <w:rPr>
                <w:sz w:val="18"/>
              </w:rPr>
            </w:pPr>
          </w:p>
          <w:p w14:paraId="1CC1EEA9" w14:textId="77777777" w:rsidR="000E52B0" w:rsidRDefault="00F60D74">
            <w:pPr>
              <w:pStyle w:val="TableParagraph"/>
              <w:spacing w:before="1"/>
              <w:ind w:left="108" w:right="95"/>
              <w:jc w:val="both"/>
              <w:rPr>
                <w:sz w:val="18"/>
              </w:rPr>
            </w:pPr>
            <w:r>
              <w:rPr>
                <w:b/>
                <w:sz w:val="18"/>
              </w:rPr>
              <w:t xml:space="preserve">Programa “Hambre Cero”. </w:t>
            </w:r>
            <w:r>
              <w:rPr>
                <w:color w:val="3A3A3A"/>
                <w:sz w:val="18"/>
              </w:rPr>
              <w:t>pretende avanzar en la garantía progresiva del Derecho Humano a la Alimentación, mediante articulación interinstitucional para erradicar el hambre en Colombia.</w:t>
            </w:r>
          </w:p>
        </w:tc>
      </w:tr>
      <w:tr w:rsidR="000E52B0" w14:paraId="47274113" w14:textId="77777777">
        <w:trPr>
          <w:trHeight w:val="3938"/>
        </w:trPr>
        <w:tc>
          <w:tcPr>
            <w:tcW w:w="1394" w:type="dxa"/>
          </w:tcPr>
          <w:p w14:paraId="6F666DFC" w14:textId="77777777" w:rsidR="000E52B0" w:rsidRDefault="000E52B0">
            <w:pPr>
              <w:pStyle w:val="TableParagraph"/>
              <w:rPr>
                <w:rFonts w:ascii="Times New Roman"/>
                <w:sz w:val="18"/>
              </w:rPr>
            </w:pPr>
          </w:p>
        </w:tc>
        <w:tc>
          <w:tcPr>
            <w:tcW w:w="3752" w:type="dxa"/>
          </w:tcPr>
          <w:p w14:paraId="47964572" w14:textId="77777777" w:rsidR="000E52B0" w:rsidRDefault="000E52B0">
            <w:pPr>
              <w:pStyle w:val="TableParagraph"/>
              <w:rPr>
                <w:sz w:val="18"/>
              </w:rPr>
            </w:pPr>
          </w:p>
          <w:p w14:paraId="6AF30BA4" w14:textId="77777777" w:rsidR="000E52B0" w:rsidRDefault="000E52B0">
            <w:pPr>
              <w:pStyle w:val="TableParagraph"/>
              <w:rPr>
                <w:sz w:val="18"/>
              </w:rPr>
            </w:pPr>
          </w:p>
          <w:p w14:paraId="09127BA2" w14:textId="77777777" w:rsidR="000E52B0" w:rsidRDefault="000E52B0">
            <w:pPr>
              <w:pStyle w:val="TableParagraph"/>
              <w:rPr>
                <w:sz w:val="18"/>
              </w:rPr>
            </w:pPr>
          </w:p>
          <w:p w14:paraId="251D9C71" w14:textId="77777777" w:rsidR="000E52B0" w:rsidRDefault="000E52B0">
            <w:pPr>
              <w:pStyle w:val="TableParagraph"/>
              <w:rPr>
                <w:sz w:val="18"/>
              </w:rPr>
            </w:pPr>
          </w:p>
          <w:p w14:paraId="7C07636E" w14:textId="77777777" w:rsidR="000E52B0" w:rsidRDefault="000E52B0">
            <w:pPr>
              <w:pStyle w:val="TableParagraph"/>
              <w:spacing w:before="218"/>
              <w:rPr>
                <w:sz w:val="18"/>
              </w:rPr>
            </w:pPr>
          </w:p>
          <w:p w14:paraId="427E5EA2" w14:textId="77777777" w:rsidR="000E52B0" w:rsidRDefault="00F60D74">
            <w:pPr>
              <w:pStyle w:val="TableParagraph"/>
              <w:numPr>
                <w:ilvl w:val="1"/>
                <w:numId w:val="30"/>
              </w:numPr>
              <w:tabs>
                <w:tab w:val="left" w:pos="537"/>
              </w:tabs>
              <w:ind w:right="100" w:firstLine="0"/>
              <w:jc w:val="both"/>
              <w:rPr>
                <w:sz w:val="18"/>
              </w:rPr>
            </w:pPr>
            <w:r>
              <w:rPr>
                <w:sz w:val="18"/>
              </w:rPr>
              <w:t xml:space="preserve">Poner fin a todas las formas de </w:t>
            </w:r>
            <w:r>
              <w:rPr>
                <w:spacing w:val="-2"/>
                <w:sz w:val="18"/>
              </w:rPr>
              <w:t>discriminación</w:t>
            </w:r>
            <w:r>
              <w:rPr>
                <w:spacing w:val="-7"/>
                <w:sz w:val="18"/>
              </w:rPr>
              <w:t xml:space="preserve"> </w:t>
            </w:r>
            <w:r>
              <w:rPr>
                <w:spacing w:val="-2"/>
                <w:sz w:val="18"/>
              </w:rPr>
              <w:t>contra</w:t>
            </w:r>
            <w:r>
              <w:rPr>
                <w:spacing w:val="-8"/>
                <w:sz w:val="18"/>
              </w:rPr>
              <w:t xml:space="preserve"> </w:t>
            </w:r>
            <w:r>
              <w:rPr>
                <w:spacing w:val="-2"/>
                <w:sz w:val="18"/>
              </w:rPr>
              <w:t>todas</w:t>
            </w:r>
            <w:r>
              <w:rPr>
                <w:spacing w:val="-10"/>
                <w:sz w:val="18"/>
              </w:rPr>
              <w:t xml:space="preserve"> </w:t>
            </w:r>
            <w:r>
              <w:rPr>
                <w:spacing w:val="-2"/>
                <w:sz w:val="18"/>
              </w:rPr>
              <w:t>las</w:t>
            </w:r>
            <w:r>
              <w:rPr>
                <w:spacing w:val="-8"/>
                <w:sz w:val="18"/>
              </w:rPr>
              <w:t xml:space="preserve"> </w:t>
            </w:r>
            <w:r>
              <w:rPr>
                <w:spacing w:val="-2"/>
                <w:sz w:val="18"/>
              </w:rPr>
              <w:t xml:space="preserve">mujeres </w:t>
            </w:r>
            <w:r>
              <w:rPr>
                <w:sz w:val="18"/>
              </w:rPr>
              <w:t>y las niñas en todo el mundo</w:t>
            </w:r>
          </w:p>
          <w:p w14:paraId="05014772" w14:textId="77777777" w:rsidR="000E52B0" w:rsidRDefault="00F60D74">
            <w:pPr>
              <w:pStyle w:val="TableParagraph"/>
              <w:numPr>
                <w:ilvl w:val="1"/>
                <w:numId w:val="30"/>
              </w:numPr>
              <w:tabs>
                <w:tab w:val="left" w:pos="604"/>
              </w:tabs>
              <w:spacing w:before="217"/>
              <w:ind w:right="99" w:firstLine="0"/>
              <w:jc w:val="both"/>
              <w:rPr>
                <w:sz w:val="18"/>
              </w:rPr>
            </w:pPr>
            <w:r>
              <w:rPr>
                <w:sz w:val="18"/>
              </w:rPr>
              <w:t>Eliminar todas las formas de violencia</w:t>
            </w:r>
            <w:r>
              <w:rPr>
                <w:spacing w:val="-14"/>
                <w:sz w:val="18"/>
              </w:rPr>
              <w:t xml:space="preserve"> </w:t>
            </w:r>
            <w:r>
              <w:rPr>
                <w:sz w:val="18"/>
              </w:rPr>
              <w:t>contra</w:t>
            </w:r>
            <w:r>
              <w:rPr>
                <w:spacing w:val="-14"/>
                <w:sz w:val="18"/>
              </w:rPr>
              <w:t xml:space="preserve"> </w:t>
            </w:r>
            <w:r>
              <w:rPr>
                <w:sz w:val="18"/>
              </w:rPr>
              <w:t>todas</w:t>
            </w:r>
            <w:r>
              <w:rPr>
                <w:spacing w:val="-14"/>
                <w:sz w:val="18"/>
              </w:rPr>
              <w:t xml:space="preserve"> </w:t>
            </w:r>
            <w:r>
              <w:rPr>
                <w:sz w:val="18"/>
              </w:rPr>
              <w:t>las</w:t>
            </w:r>
            <w:r>
              <w:rPr>
                <w:spacing w:val="-16"/>
                <w:sz w:val="18"/>
              </w:rPr>
              <w:t xml:space="preserve"> </w:t>
            </w:r>
            <w:r>
              <w:rPr>
                <w:sz w:val="18"/>
              </w:rPr>
              <w:t>mujeres</w:t>
            </w:r>
            <w:r>
              <w:rPr>
                <w:spacing w:val="-14"/>
                <w:sz w:val="18"/>
              </w:rPr>
              <w:t xml:space="preserve"> </w:t>
            </w:r>
            <w:r>
              <w:rPr>
                <w:sz w:val="18"/>
              </w:rPr>
              <w:t>y</w:t>
            </w:r>
            <w:r>
              <w:rPr>
                <w:spacing w:val="-14"/>
                <w:sz w:val="18"/>
              </w:rPr>
              <w:t xml:space="preserve"> </w:t>
            </w:r>
            <w:r>
              <w:rPr>
                <w:sz w:val="18"/>
              </w:rPr>
              <w:t>las niñas</w:t>
            </w:r>
            <w:r>
              <w:rPr>
                <w:spacing w:val="-10"/>
                <w:sz w:val="18"/>
              </w:rPr>
              <w:t xml:space="preserve"> </w:t>
            </w:r>
            <w:r>
              <w:rPr>
                <w:sz w:val="18"/>
              </w:rPr>
              <w:t>en</w:t>
            </w:r>
            <w:r>
              <w:rPr>
                <w:spacing w:val="-6"/>
                <w:sz w:val="18"/>
              </w:rPr>
              <w:t xml:space="preserve"> </w:t>
            </w:r>
            <w:r>
              <w:rPr>
                <w:sz w:val="18"/>
              </w:rPr>
              <w:t>los</w:t>
            </w:r>
            <w:r>
              <w:rPr>
                <w:spacing w:val="-7"/>
                <w:sz w:val="18"/>
              </w:rPr>
              <w:t xml:space="preserve"> </w:t>
            </w:r>
            <w:r>
              <w:rPr>
                <w:sz w:val="18"/>
              </w:rPr>
              <w:t>ámbitos</w:t>
            </w:r>
            <w:r>
              <w:rPr>
                <w:spacing w:val="-7"/>
                <w:sz w:val="18"/>
              </w:rPr>
              <w:t xml:space="preserve"> </w:t>
            </w:r>
            <w:r>
              <w:rPr>
                <w:sz w:val="18"/>
              </w:rPr>
              <w:t>público</w:t>
            </w:r>
            <w:r>
              <w:rPr>
                <w:spacing w:val="-6"/>
                <w:sz w:val="18"/>
              </w:rPr>
              <w:t xml:space="preserve"> </w:t>
            </w:r>
            <w:r>
              <w:rPr>
                <w:sz w:val="18"/>
              </w:rPr>
              <w:t>y</w:t>
            </w:r>
            <w:r>
              <w:rPr>
                <w:spacing w:val="-8"/>
                <w:sz w:val="18"/>
              </w:rPr>
              <w:t xml:space="preserve"> </w:t>
            </w:r>
            <w:r>
              <w:rPr>
                <w:sz w:val="18"/>
              </w:rPr>
              <w:t xml:space="preserve">privado, </w:t>
            </w:r>
            <w:r>
              <w:rPr>
                <w:spacing w:val="-2"/>
                <w:sz w:val="18"/>
              </w:rPr>
              <w:t>incluidas</w:t>
            </w:r>
            <w:r>
              <w:rPr>
                <w:spacing w:val="-12"/>
                <w:sz w:val="18"/>
              </w:rPr>
              <w:t xml:space="preserve"> </w:t>
            </w:r>
            <w:r>
              <w:rPr>
                <w:spacing w:val="-2"/>
                <w:sz w:val="18"/>
              </w:rPr>
              <w:t>la</w:t>
            </w:r>
            <w:r>
              <w:rPr>
                <w:spacing w:val="-11"/>
                <w:sz w:val="18"/>
              </w:rPr>
              <w:t xml:space="preserve"> </w:t>
            </w:r>
            <w:r>
              <w:rPr>
                <w:spacing w:val="-2"/>
                <w:sz w:val="18"/>
              </w:rPr>
              <w:t>trata</w:t>
            </w:r>
            <w:r>
              <w:rPr>
                <w:spacing w:val="-11"/>
                <w:sz w:val="18"/>
              </w:rPr>
              <w:t xml:space="preserve"> </w:t>
            </w:r>
            <w:r>
              <w:rPr>
                <w:spacing w:val="-2"/>
                <w:sz w:val="18"/>
              </w:rPr>
              <w:t>y</w:t>
            </w:r>
            <w:r>
              <w:rPr>
                <w:spacing w:val="-10"/>
                <w:sz w:val="18"/>
              </w:rPr>
              <w:t xml:space="preserve"> </w:t>
            </w:r>
            <w:r>
              <w:rPr>
                <w:spacing w:val="-2"/>
                <w:sz w:val="18"/>
              </w:rPr>
              <w:t>la</w:t>
            </w:r>
            <w:r>
              <w:rPr>
                <w:spacing w:val="-11"/>
                <w:sz w:val="18"/>
              </w:rPr>
              <w:t xml:space="preserve"> </w:t>
            </w:r>
            <w:r>
              <w:rPr>
                <w:spacing w:val="-2"/>
                <w:sz w:val="18"/>
              </w:rPr>
              <w:t>explotación</w:t>
            </w:r>
            <w:r>
              <w:rPr>
                <w:spacing w:val="-10"/>
                <w:sz w:val="18"/>
              </w:rPr>
              <w:t xml:space="preserve"> </w:t>
            </w:r>
            <w:r>
              <w:rPr>
                <w:spacing w:val="-2"/>
                <w:sz w:val="18"/>
              </w:rPr>
              <w:t xml:space="preserve">sexual </w:t>
            </w:r>
            <w:r>
              <w:rPr>
                <w:sz w:val="18"/>
              </w:rPr>
              <w:t>y otros tipos de explotación</w:t>
            </w:r>
          </w:p>
          <w:p w14:paraId="1D1E84AF" w14:textId="77777777" w:rsidR="000E52B0" w:rsidRDefault="00F60D74">
            <w:pPr>
              <w:pStyle w:val="TableParagraph"/>
              <w:spacing w:before="203" w:line="218" w:lineRule="exact"/>
              <w:ind w:left="108" w:right="98"/>
              <w:jc w:val="both"/>
              <w:rPr>
                <w:sz w:val="18"/>
              </w:rPr>
            </w:pPr>
            <w:r>
              <w:rPr>
                <w:b/>
                <w:sz w:val="18"/>
              </w:rPr>
              <w:t>5.4</w:t>
            </w:r>
            <w:r>
              <w:rPr>
                <w:b/>
                <w:spacing w:val="-3"/>
                <w:sz w:val="18"/>
              </w:rPr>
              <w:t xml:space="preserve"> </w:t>
            </w:r>
            <w:r>
              <w:rPr>
                <w:sz w:val="18"/>
              </w:rPr>
              <w:t>Reconocer</w:t>
            </w:r>
            <w:r>
              <w:rPr>
                <w:spacing w:val="-5"/>
                <w:sz w:val="18"/>
              </w:rPr>
              <w:t xml:space="preserve"> </w:t>
            </w:r>
            <w:r>
              <w:rPr>
                <w:sz w:val="18"/>
              </w:rPr>
              <w:t>y</w:t>
            </w:r>
            <w:r>
              <w:rPr>
                <w:spacing w:val="-8"/>
                <w:sz w:val="18"/>
              </w:rPr>
              <w:t xml:space="preserve"> </w:t>
            </w:r>
            <w:r>
              <w:rPr>
                <w:sz w:val="18"/>
              </w:rPr>
              <w:t>valorar</w:t>
            </w:r>
            <w:r>
              <w:rPr>
                <w:spacing w:val="-7"/>
                <w:sz w:val="18"/>
              </w:rPr>
              <w:t xml:space="preserve"> </w:t>
            </w:r>
            <w:r>
              <w:rPr>
                <w:sz w:val="18"/>
              </w:rPr>
              <w:t>los</w:t>
            </w:r>
            <w:r>
              <w:rPr>
                <w:spacing w:val="-6"/>
                <w:sz w:val="18"/>
              </w:rPr>
              <w:t xml:space="preserve"> </w:t>
            </w:r>
            <w:r>
              <w:rPr>
                <w:sz w:val="18"/>
              </w:rPr>
              <w:t>cuidados</w:t>
            </w:r>
            <w:r>
              <w:rPr>
                <w:spacing w:val="-6"/>
                <w:sz w:val="18"/>
              </w:rPr>
              <w:t xml:space="preserve"> </w:t>
            </w:r>
            <w:r>
              <w:rPr>
                <w:sz w:val="18"/>
              </w:rPr>
              <w:t>y el</w:t>
            </w:r>
            <w:r>
              <w:rPr>
                <w:spacing w:val="30"/>
                <w:sz w:val="18"/>
              </w:rPr>
              <w:t xml:space="preserve"> </w:t>
            </w:r>
            <w:r>
              <w:rPr>
                <w:sz w:val="18"/>
              </w:rPr>
              <w:t>trabajo</w:t>
            </w:r>
            <w:r>
              <w:rPr>
                <w:spacing w:val="31"/>
                <w:sz w:val="18"/>
              </w:rPr>
              <w:t xml:space="preserve"> </w:t>
            </w:r>
            <w:r>
              <w:rPr>
                <w:sz w:val="18"/>
              </w:rPr>
              <w:t>doméstico</w:t>
            </w:r>
            <w:r>
              <w:rPr>
                <w:spacing w:val="31"/>
                <w:sz w:val="18"/>
              </w:rPr>
              <w:t xml:space="preserve"> </w:t>
            </w:r>
            <w:r>
              <w:rPr>
                <w:sz w:val="18"/>
              </w:rPr>
              <w:t>no</w:t>
            </w:r>
            <w:r>
              <w:rPr>
                <w:spacing w:val="31"/>
                <w:sz w:val="18"/>
              </w:rPr>
              <w:t xml:space="preserve"> </w:t>
            </w:r>
            <w:r>
              <w:rPr>
                <w:spacing w:val="-2"/>
                <w:sz w:val="18"/>
              </w:rPr>
              <w:t>remunerados</w:t>
            </w:r>
          </w:p>
        </w:tc>
        <w:tc>
          <w:tcPr>
            <w:tcW w:w="3870" w:type="dxa"/>
          </w:tcPr>
          <w:p w14:paraId="36D4DDC1" w14:textId="77777777" w:rsidR="000E52B0" w:rsidRDefault="00F60D74">
            <w:pPr>
              <w:pStyle w:val="TableParagraph"/>
              <w:spacing w:before="217"/>
              <w:ind w:left="828"/>
              <w:rPr>
                <w:b/>
                <w:sz w:val="18"/>
              </w:rPr>
            </w:pPr>
            <w:r>
              <w:rPr>
                <w:b/>
                <w:sz w:val="18"/>
              </w:rPr>
              <w:t>1.</w:t>
            </w:r>
            <w:r>
              <w:rPr>
                <w:b/>
                <w:spacing w:val="74"/>
                <w:w w:val="150"/>
                <w:sz w:val="18"/>
              </w:rPr>
              <w:t xml:space="preserve"> </w:t>
            </w:r>
            <w:r>
              <w:rPr>
                <w:b/>
                <w:spacing w:val="-2"/>
                <w:sz w:val="18"/>
              </w:rPr>
              <w:t>VICEMINISTERIO</w:t>
            </w:r>
          </w:p>
          <w:p w14:paraId="1F4C0716" w14:textId="77777777" w:rsidR="000E52B0" w:rsidRDefault="00F60D74">
            <w:pPr>
              <w:pStyle w:val="TableParagraph"/>
              <w:spacing w:before="218" w:line="242" w:lineRule="auto"/>
              <w:ind w:left="108" w:right="96"/>
              <w:jc w:val="both"/>
              <w:rPr>
                <w:b/>
                <w:sz w:val="18"/>
              </w:rPr>
            </w:pPr>
            <w:r>
              <w:rPr>
                <w:b/>
                <w:sz w:val="18"/>
              </w:rPr>
              <w:t>FUNCIONES DEL VICEMINISTERIO DE LAS MUJERES:</w:t>
            </w:r>
          </w:p>
          <w:p w14:paraId="42B8A5E4" w14:textId="77777777" w:rsidR="000E52B0" w:rsidRDefault="00F60D74">
            <w:pPr>
              <w:pStyle w:val="TableParagraph"/>
              <w:spacing w:before="216"/>
              <w:ind w:left="108" w:right="96"/>
              <w:jc w:val="both"/>
              <w:rPr>
                <w:i/>
                <w:sz w:val="18"/>
              </w:rPr>
            </w:pPr>
            <w:r>
              <w:rPr>
                <w:i/>
                <w:color w:val="333333"/>
                <w:sz w:val="18"/>
              </w:rPr>
              <w:t>Liderar la formulación, implementación, seguimiento y evaluación de políticas públicas,</w:t>
            </w:r>
            <w:r>
              <w:rPr>
                <w:i/>
                <w:color w:val="333333"/>
                <w:spacing w:val="-12"/>
                <w:sz w:val="18"/>
              </w:rPr>
              <w:t xml:space="preserve"> </w:t>
            </w:r>
            <w:r>
              <w:rPr>
                <w:i/>
                <w:color w:val="333333"/>
                <w:sz w:val="18"/>
              </w:rPr>
              <w:t>planes,</w:t>
            </w:r>
            <w:r>
              <w:rPr>
                <w:i/>
                <w:color w:val="333333"/>
                <w:spacing w:val="-12"/>
                <w:sz w:val="18"/>
              </w:rPr>
              <w:t xml:space="preserve"> </w:t>
            </w:r>
            <w:r>
              <w:rPr>
                <w:i/>
                <w:color w:val="333333"/>
                <w:sz w:val="18"/>
              </w:rPr>
              <w:t>programas</w:t>
            </w:r>
            <w:r>
              <w:rPr>
                <w:i/>
                <w:color w:val="333333"/>
                <w:spacing w:val="-12"/>
                <w:sz w:val="18"/>
              </w:rPr>
              <w:t xml:space="preserve"> </w:t>
            </w:r>
            <w:r>
              <w:rPr>
                <w:i/>
                <w:color w:val="333333"/>
                <w:sz w:val="18"/>
              </w:rPr>
              <w:t>y</w:t>
            </w:r>
            <w:r>
              <w:rPr>
                <w:i/>
                <w:color w:val="333333"/>
                <w:spacing w:val="-10"/>
                <w:sz w:val="18"/>
              </w:rPr>
              <w:t xml:space="preserve"> </w:t>
            </w:r>
            <w:r>
              <w:rPr>
                <w:i/>
                <w:color w:val="333333"/>
                <w:sz w:val="18"/>
              </w:rPr>
              <w:t>proyectos para</w:t>
            </w:r>
            <w:r>
              <w:rPr>
                <w:i/>
                <w:color w:val="333333"/>
                <w:spacing w:val="-14"/>
                <w:sz w:val="18"/>
              </w:rPr>
              <w:t xml:space="preserve"> </w:t>
            </w:r>
            <w:r>
              <w:rPr>
                <w:i/>
                <w:color w:val="333333"/>
                <w:sz w:val="18"/>
              </w:rPr>
              <w:t>la</w:t>
            </w:r>
            <w:r>
              <w:rPr>
                <w:i/>
                <w:color w:val="333333"/>
                <w:spacing w:val="-14"/>
                <w:sz w:val="18"/>
              </w:rPr>
              <w:t xml:space="preserve"> </w:t>
            </w:r>
            <w:r>
              <w:rPr>
                <w:i/>
                <w:color w:val="333333"/>
                <w:sz w:val="18"/>
              </w:rPr>
              <w:t>promoción</w:t>
            </w:r>
            <w:r>
              <w:rPr>
                <w:i/>
                <w:color w:val="333333"/>
                <w:spacing w:val="-13"/>
                <w:sz w:val="18"/>
              </w:rPr>
              <w:t xml:space="preserve"> </w:t>
            </w:r>
            <w:r>
              <w:rPr>
                <w:i/>
                <w:color w:val="333333"/>
                <w:sz w:val="18"/>
              </w:rPr>
              <w:t>de</w:t>
            </w:r>
            <w:r>
              <w:rPr>
                <w:i/>
                <w:color w:val="333333"/>
                <w:spacing w:val="-13"/>
                <w:sz w:val="18"/>
              </w:rPr>
              <w:t xml:space="preserve"> </w:t>
            </w:r>
            <w:r>
              <w:rPr>
                <w:i/>
                <w:color w:val="333333"/>
                <w:sz w:val="18"/>
              </w:rPr>
              <w:t>los</w:t>
            </w:r>
            <w:r>
              <w:rPr>
                <w:i/>
                <w:color w:val="333333"/>
                <w:spacing w:val="-14"/>
                <w:sz w:val="18"/>
              </w:rPr>
              <w:t xml:space="preserve"> </w:t>
            </w:r>
            <w:r>
              <w:rPr>
                <w:i/>
                <w:color w:val="333333"/>
                <w:sz w:val="18"/>
              </w:rPr>
              <w:t>derechos</w:t>
            </w:r>
            <w:r>
              <w:rPr>
                <w:i/>
                <w:color w:val="333333"/>
                <w:spacing w:val="-14"/>
                <w:sz w:val="18"/>
              </w:rPr>
              <w:t xml:space="preserve"> </w:t>
            </w:r>
            <w:r>
              <w:rPr>
                <w:i/>
                <w:color w:val="333333"/>
                <w:sz w:val="18"/>
              </w:rPr>
              <w:t>de</w:t>
            </w:r>
            <w:r>
              <w:rPr>
                <w:i/>
                <w:color w:val="333333"/>
                <w:spacing w:val="-15"/>
                <w:sz w:val="18"/>
              </w:rPr>
              <w:t xml:space="preserve"> </w:t>
            </w:r>
            <w:r>
              <w:rPr>
                <w:i/>
                <w:color w:val="333333"/>
                <w:sz w:val="18"/>
              </w:rPr>
              <w:t>las mujeres en su diversidad.</w:t>
            </w:r>
          </w:p>
          <w:p w14:paraId="40C0FFEF" w14:textId="77777777" w:rsidR="000E52B0" w:rsidRDefault="00F60D74">
            <w:pPr>
              <w:pStyle w:val="TableParagraph"/>
              <w:spacing w:before="205" w:line="218" w:lineRule="exact"/>
              <w:ind w:left="108" w:right="96"/>
              <w:jc w:val="both"/>
              <w:rPr>
                <w:i/>
                <w:sz w:val="18"/>
              </w:rPr>
            </w:pPr>
            <w:r>
              <w:rPr>
                <w:i/>
                <w:color w:val="333333"/>
                <w:sz w:val="18"/>
              </w:rPr>
              <w:t xml:space="preserve">Generar estrategias para promover la participación de las mujeres para facilitar la toma de decisiones y el fortalecimiento del control social de la gestión pública en los asuntos de su </w:t>
            </w:r>
            <w:r>
              <w:rPr>
                <w:i/>
                <w:color w:val="333333"/>
                <w:spacing w:val="-2"/>
                <w:sz w:val="18"/>
              </w:rPr>
              <w:t>competencia.</w:t>
            </w:r>
          </w:p>
        </w:tc>
      </w:tr>
    </w:tbl>
    <w:p w14:paraId="47F85A28" w14:textId="77777777" w:rsidR="000E52B0" w:rsidRDefault="000E52B0">
      <w:pPr>
        <w:pStyle w:val="TableParagraph"/>
        <w:spacing w:line="218" w:lineRule="exact"/>
        <w:jc w:val="both"/>
        <w:rPr>
          <w:i/>
          <w:sz w:val="18"/>
        </w:rPr>
        <w:sectPr w:rsidR="000E52B0">
          <w:type w:val="continuous"/>
          <w:pgSz w:w="11910" w:h="16840"/>
          <w:pgMar w:top="1400" w:right="720" w:bottom="1447" w:left="720" w:header="0" w:footer="995"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3752"/>
        <w:gridCol w:w="3870"/>
      </w:tblGrid>
      <w:tr w:rsidR="000E52B0" w14:paraId="0A37CB1C" w14:textId="77777777">
        <w:trPr>
          <w:trHeight w:val="436"/>
        </w:trPr>
        <w:tc>
          <w:tcPr>
            <w:tcW w:w="1394" w:type="dxa"/>
            <w:shd w:val="clear" w:color="auto" w:fill="D44673"/>
          </w:tcPr>
          <w:p w14:paraId="1DA78BB9" w14:textId="77777777" w:rsidR="000E52B0" w:rsidRDefault="00F60D74">
            <w:pPr>
              <w:pStyle w:val="TableParagraph"/>
              <w:spacing w:before="109"/>
              <w:ind w:left="10"/>
              <w:jc w:val="center"/>
              <w:rPr>
                <w:b/>
                <w:sz w:val="18"/>
              </w:rPr>
            </w:pPr>
            <w:r>
              <w:rPr>
                <w:b/>
                <w:color w:val="FFFFFF"/>
                <w:spacing w:val="-5"/>
                <w:sz w:val="18"/>
              </w:rPr>
              <w:lastRenderedPageBreak/>
              <w:t>ODS</w:t>
            </w:r>
          </w:p>
        </w:tc>
        <w:tc>
          <w:tcPr>
            <w:tcW w:w="3752" w:type="dxa"/>
            <w:shd w:val="clear" w:color="auto" w:fill="D44673"/>
          </w:tcPr>
          <w:p w14:paraId="3FA7EDDB" w14:textId="77777777" w:rsidR="000E52B0" w:rsidRDefault="00F60D74">
            <w:pPr>
              <w:pStyle w:val="TableParagraph"/>
              <w:spacing w:before="109"/>
              <w:ind w:left="6"/>
              <w:jc w:val="center"/>
              <w:rPr>
                <w:b/>
                <w:sz w:val="18"/>
              </w:rPr>
            </w:pPr>
            <w:r>
              <w:rPr>
                <w:b/>
                <w:color w:val="FFFFFF"/>
                <w:spacing w:val="-4"/>
                <w:sz w:val="18"/>
              </w:rPr>
              <w:t>Meta</w:t>
            </w:r>
          </w:p>
        </w:tc>
        <w:tc>
          <w:tcPr>
            <w:tcW w:w="3870" w:type="dxa"/>
            <w:shd w:val="clear" w:color="auto" w:fill="D44673"/>
          </w:tcPr>
          <w:p w14:paraId="285CC67F" w14:textId="77777777" w:rsidR="000E52B0" w:rsidRDefault="00F60D74">
            <w:pPr>
              <w:pStyle w:val="TableParagraph"/>
              <w:spacing w:line="218" w:lineRule="exact"/>
              <w:ind w:left="900" w:hanging="687"/>
              <w:rPr>
                <w:b/>
                <w:sz w:val="18"/>
              </w:rPr>
            </w:pPr>
            <w:r>
              <w:rPr>
                <w:b/>
                <w:color w:val="FFFFFF"/>
                <w:sz w:val="18"/>
              </w:rPr>
              <w:t>¿Cómo</w:t>
            </w:r>
            <w:r>
              <w:rPr>
                <w:b/>
                <w:color w:val="FFFFFF"/>
                <w:spacing w:val="-9"/>
                <w:sz w:val="18"/>
              </w:rPr>
              <w:t xml:space="preserve"> </w:t>
            </w:r>
            <w:r>
              <w:rPr>
                <w:b/>
                <w:color w:val="FFFFFF"/>
                <w:sz w:val="18"/>
              </w:rPr>
              <w:t>contribuye</w:t>
            </w:r>
            <w:r>
              <w:rPr>
                <w:b/>
                <w:color w:val="FFFFFF"/>
                <w:spacing w:val="-9"/>
                <w:sz w:val="18"/>
              </w:rPr>
              <w:t xml:space="preserve"> </w:t>
            </w:r>
            <w:r>
              <w:rPr>
                <w:b/>
                <w:color w:val="FFFFFF"/>
                <w:sz w:val="18"/>
              </w:rPr>
              <w:t>el</w:t>
            </w:r>
            <w:r>
              <w:rPr>
                <w:b/>
                <w:color w:val="FFFFFF"/>
                <w:spacing w:val="-9"/>
                <w:sz w:val="18"/>
              </w:rPr>
              <w:t xml:space="preserve"> </w:t>
            </w:r>
            <w:r>
              <w:rPr>
                <w:b/>
                <w:color w:val="FFFFFF"/>
                <w:sz w:val="18"/>
              </w:rPr>
              <w:t>Ministerio</w:t>
            </w:r>
            <w:r>
              <w:rPr>
                <w:b/>
                <w:color w:val="FFFFFF"/>
                <w:spacing w:val="-9"/>
                <w:sz w:val="18"/>
              </w:rPr>
              <w:t xml:space="preserve"> </w:t>
            </w:r>
            <w:r>
              <w:rPr>
                <w:b/>
                <w:color w:val="FFFFFF"/>
                <w:sz w:val="18"/>
              </w:rPr>
              <w:t>de Igualdad y Equidad?</w:t>
            </w:r>
          </w:p>
        </w:tc>
      </w:tr>
      <w:tr w:rsidR="000E52B0" w14:paraId="31AFDEA8" w14:textId="77777777">
        <w:trPr>
          <w:trHeight w:val="13347"/>
        </w:trPr>
        <w:tc>
          <w:tcPr>
            <w:tcW w:w="1394" w:type="dxa"/>
          </w:tcPr>
          <w:p w14:paraId="1977A3E7" w14:textId="77777777" w:rsidR="000E52B0" w:rsidRDefault="000E52B0">
            <w:pPr>
              <w:pStyle w:val="TableParagraph"/>
              <w:rPr>
                <w:sz w:val="18"/>
              </w:rPr>
            </w:pPr>
          </w:p>
          <w:p w14:paraId="1DD78746" w14:textId="77777777" w:rsidR="000E52B0" w:rsidRDefault="000E52B0">
            <w:pPr>
              <w:pStyle w:val="TableParagraph"/>
              <w:rPr>
                <w:sz w:val="18"/>
              </w:rPr>
            </w:pPr>
          </w:p>
          <w:p w14:paraId="706D3E4D" w14:textId="77777777" w:rsidR="000E52B0" w:rsidRDefault="000E52B0">
            <w:pPr>
              <w:pStyle w:val="TableParagraph"/>
              <w:spacing w:before="218"/>
              <w:rPr>
                <w:sz w:val="18"/>
              </w:rPr>
            </w:pPr>
          </w:p>
          <w:p w14:paraId="29FC00D1" w14:textId="77777777" w:rsidR="000E52B0" w:rsidRDefault="00F60D74">
            <w:pPr>
              <w:pStyle w:val="TableParagraph"/>
              <w:ind w:left="107" w:right="140"/>
              <w:rPr>
                <w:sz w:val="18"/>
              </w:rPr>
            </w:pPr>
            <w:r>
              <w:rPr>
                <w:sz w:val="18"/>
              </w:rPr>
              <w:t>Igualdad</w:t>
            </w:r>
            <w:r>
              <w:rPr>
                <w:spacing w:val="-16"/>
                <w:sz w:val="18"/>
              </w:rPr>
              <w:t xml:space="preserve"> </w:t>
            </w:r>
            <w:r>
              <w:rPr>
                <w:sz w:val="18"/>
              </w:rPr>
              <w:t xml:space="preserve">de </w:t>
            </w:r>
            <w:r>
              <w:rPr>
                <w:spacing w:val="-2"/>
                <w:sz w:val="18"/>
              </w:rPr>
              <w:t>Género</w:t>
            </w:r>
          </w:p>
        </w:tc>
        <w:tc>
          <w:tcPr>
            <w:tcW w:w="3752" w:type="dxa"/>
          </w:tcPr>
          <w:p w14:paraId="43B81AAE" w14:textId="77777777" w:rsidR="000E52B0" w:rsidRDefault="00F60D74">
            <w:pPr>
              <w:pStyle w:val="TableParagraph"/>
              <w:spacing w:before="1"/>
              <w:ind w:left="108" w:right="99"/>
              <w:jc w:val="both"/>
              <w:rPr>
                <w:sz w:val="18"/>
              </w:rPr>
            </w:pPr>
            <w:r>
              <w:rPr>
                <w:sz w:val="18"/>
              </w:rPr>
              <w:t>mediante servicios públicos, infraestructuras y políticas de protección social, y promoviendo la responsabilidad</w:t>
            </w:r>
            <w:r>
              <w:rPr>
                <w:spacing w:val="-16"/>
                <w:sz w:val="18"/>
              </w:rPr>
              <w:t xml:space="preserve"> </w:t>
            </w:r>
            <w:r>
              <w:rPr>
                <w:sz w:val="18"/>
              </w:rPr>
              <w:t>compartida</w:t>
            </w:r>
            <w:r>
              <w:rPr>
                <w:spacing w:val="-16"/>
                <w:sz w:val="18"/>
              </w:rPr>
              <w:t xml:space="preserve"> </w:t>
            </w:r>
            <w:r>
              <w:rPr>
                <w:sz w:val="18"/>
              </w:rPr>
              <w:t>en</w:t>
            </w:r>
            <w:r>
              <w:rPr>
                <w:spacing w:val="-16"/>
                <w:sz w:val="18"/>
              </w:rPr>
              <w:t xml:space="preserve"> </w:t>
            </w:r>
            <w:r>
              <w:rPr>
                <w:sz w:val="18"/>
              </w:rPr>
              <w:t>el</w:t>
            </w:r>
            <w:r>
              <w:rPr>
                <w:spacing w:val="-16"/>
                <w:sz w:val="18"/>
              </w:rPr>
              <w:t xml:space="preserve"> </w:t>
            </w:r>
            <w:r>
              <w:rPr>
                <w:sz w:val="18"/>
              </w:rPr>
              <w:t xml:space="preserve">hogar </w:t>
            </w:r>
            <w:r>
              <w:rPr>
                <w:spacing w:val="-2"/>
                <w:sz w:val="18"/>
              </w:rPr>
              <w:t>y</w:t>
            </w:r>
            <w:r>
              <w:rPr>
                <w:spacing w:val="-10"/>
                <w:sz w:val="18"/>
              </w:rPr>
              <w:t xml:space="preserve"> </w:t>
            </w:r>
            <w:r>
              <w:rPr>
                <w:spacing w:val="-2"/>
                <w:sz w:val="18"/>
              </w:rPr>
              <w:t>la</w:t>
            </w:r>
            <w:r>
              <w:rPr>
                <w:spacing w:val="-9"/>
                <w:sz w:val="18"/>
              </w:rPr>
              <w:t xml:space="preserve"> </w:t>
            </w:r>
            <w:r>
              <w:rPr>
                <w:spacing w:val="-2"/>
                <w:sz w:val="18"/>
              </w:rPr>
              <w:t>familia,</w:t>
            </w:r>
            <w:r>
              <w:rPr>
                <w:spacing w:val="-9"/>
                <w:sz w:val="18"/>
              </w:rPr>
              <w:t xml:space="preserve"> </w:t>
            </w:r>
            <w:r>
              <w:rPr>
                <w:spacing w:val="-2"/>
                <w:sz w:val="18"/>
              </w:rPr>
              <w:t>según</w:t>
            </w:r>
            <w:r>
              <w:rPr>
                <w:spacing w:val="-10"/>
                <w:sz w:val="18"/>
              </w:rPr>
              <w:t xml:space="preserve"> </w:t>
            </w:r>
            <w:r>
              <w:rPr>
                <w:spacing w:val="-2"/>
                <w:sz w:val="18"/>
              </w:rPr>
              <w:t>proceda</w:t>
            </w:r>
            <w:r>
              <w:rPr>
                <w:spacing w:val="-11"/>
                <w:sz w:val="18"/>
              </w:rPr>
              <w:t xml:space="preserve"> </w:t>
            </w:r>
            <w:r>
              <w:rPr>
                <w:spacing w:val="-2"/>
                <w:sz w:val="18"/>
              </w:rPr>
              <w:t>en</w:t>
            </w:r>
            <w:r>
              <w:rPr>
                <w:spacing w:val="-7"/>
                <w:sz w:val="18"/>
              </w:rPr>
              <w:t xml:space="preserve"> </w:t>
            </w:r>
            <w:r>
              <w:rPr>
                <w:spacing w:val="-2"/>
                <w:sz w:val="18"/>
              </w:rPr>
              <w:t>cada</w:t>
            </w:r>
            <w:r>
              <w:rPr>
                <w:spacing w:val="-8"/>
                <w:sz w:val="18"/>
              </w:rPr>
              <w:t xml:space="preserve"> </w:t>
            </w:r>
            <w:r>
              <w:rPr>
                <w:spacing w:val="-4"/>
                <w:sz w:val="18"/>
              </w:rPr>
              <w:t>país</w:t>
            </w:r>
          </w:p>
          <w:p w14:paraId="08E46D5D" w14:textId="77777777" w:rsidR="000E52B0" w:rsidRDefault="000E52B0">
            <w:pPr>
              <w:pStyle w:val="TableParagraph"/>
              <w:rPr>
                <w:sz w:val="18"/>
              </w:rPr>
            </w:pPr>
          </w:p>
          <w:p w14:paraId="3E444EB2" w14:textId="77777777" w:rsidR="000E52B0" w:rsidRDefault="00F60D74">
            <w:pPr>
              <w:pStyle w:val="TableParagraph"/>
              <w:numPr>
                <w:ilvl w:val="1"/>
                <w:numId w:val="29"/>
              </w:numPr>
              <w:tabs>
                <w:tab w:val="left" w:pos="527"/>
              </w:tabs>
              <w:ind w:right="99" w:firstLine="0"/>
              <w:jc w:val="both"/>
              <w:rPr>
                <w:sz w:val="18"/>
              </w:rPr>
            </w:pPr>
            <w:r>
              <w:rPr>
                <w:sz w:val="18"/>
              </w:rPr>
              <w:t>Asegurar la participación plena y efectiva</w:t>
            </w:r>
            <w:r>
              <w:rPr>
                <w:spacing w:val="-16"/>
                <w:sz w:val="18"/>
              </w:rPr>
              <w:t xml:space="preserve"> </w:t>
            </w:r>
            <w:r>
              <w:rPr>
                <w:sz w:val="18"/>
              </w:rPr>
              <w:t>de</w:t>
            </w:r>
            <w:r>
              <w:rPr>
                <w:spacing w:val="-16"/>
                <w:sz w:val="18"/>
              </w:rPr>
              <w:t xml:space="preserve"> </w:t>
            </w:r>
            <w:r>
              <w:rPr>
                <w:sz w:val="18"/>
              </w:rPr>
              <w:t>las</w:t>
            </w:r>
            <w:r>
              <w:rPr>
                <w:spacing w:val="-16"/>
                <w:sz w:val="18"/>
              </w:rPr>
              <w:t xml:space="preserve"> </w:t>
            </w:r>
            <w:r>
              <w:rPr>
                <w:sz w:val="18"/>
              </w:rPr>
              <w:t>mujeres</w:t>
            </w:r>
            <w:r>
              <w:rPr>
                <w:spacing w:val="-16"/>
                <w:sz w:val="18"/>
              </w:rPr>
              <w:t xml:space="preserve"> </w:t>
            </w:r>
            <w:r>
              <w:rPr>
                <w:sz w:val="18"/>
              </w:rPr>
              <w:t>y</w:t>
            </w:r>
            <w:r>
              <w:rPr>
                <w:spacing w:val="-16"/>
                <w:sz w:val="18"/>
              </w:rPr>
              <w:t xml:space="preserve"> </w:t>
            </w:r>
            <w:r>
              <w:rPr>
                <w:sz w:val="18"/>
              </w:rPr>
              <w:t>la</w:t>
            </w:r>
            <w:r>
              <w:rPr>
                <w:spacing w:val="-15"/>
                <w:sz w:val="18"/>
              </w:rPr>
              <w:t xml:space="preserve"> </w:t>
            </w:r>
            <w:r>
              <w:rPr>
                <w:sz w:val="18"/>
              </w:rPr>
              <w:t>igualdad</w:t>
            </w:r>
            <w:r>
              <w:rPr>
                <w:spacing w:val="-16"/>
                <w:sz w:val="18"/>
              </w:rPr>
              <w:t xml:space="preserve"> </w:t>
            </w:r>
            <w:r>
              <w:rPr>
                <w:sz w:val="18"/>
              </w:rPr>
              <w:t>de oportunidades</w:t>
            </w:r>
            <w:r>
              <w:rPr>
                <w:spacing w:val="-2"/>
                <w:sz w:val="18"/>
              </w:rPr>
              <w:t xml:space="preserve"> </w:t>
            </w:r>
            <w:r>
              <w:rPr>
                <w:sz w:val="18"/>
              </w:rPr>
              <w:t>de</w:t>
            </w:r>
            <w:r>
              <w:rPr>
                <w:spacing w:val="-2"/>
                <w:sz w:val="18"/>
              </w:rPr>
              <w:t xml:space="preserve"> </w:t>
            </w:r>
            <w:r>
              <w:rPr>
                <w:sz w:val="18"/>
              </w:rPr>
              <w:t>liderazgo</w:t>
            </w:r>
            <w:r>
              <w:rPr>
                <w:spacing w:val="-1"/>
                <w:sz w:val="18"/>
              </w:rPr>
              <w:t xml:space="preserve"> </w:t>
            </w:r>
            <w:r>
              <w:rPr>
                <w:sz w:val="18"/>
              </w:rPr>
              <w:t>a</w:t>
            </w:r>
            <w:r>
              <w:rPr>
                <w:spacing w:val="-2"/>
                <w:sz w:val="18"/>
              </w:rPr>
              <w:t xml:space="preserve"> </w:t>
            </w:r>
            <w:r>
              <w:rPr>
                <w:sz w:val="18"/>
              </w:rPr>
              <w:t>todos</w:t>
            </w:r>
            <w:r>
              <w:rPr>
                <w:spacing w:val="-2"/>
                <w:sz w:val="18"/>
              </w:rPr>
              <w:t xml:space="preserve"> </w:t>
            </w:r>
            <w:r>
              <w:rPr>
                <w:sz w:val="18"/>
              </w:rPr>
              <w:t>los niveles decisorios en la vida política, económica y pública</w:t>
            </w:r>
          </w:p>
          <w:p w14:paraId="5D8BC832" w14:textId="77777777" w:rsidR="000E52B0" w:rsidRDefault="00F60D74">
            <w:pPr>
              <w:pStyle w:val="TableParagraph"/>
              <w:numPr>
                <w:ilvl w:val="1"/>
                <w:numId w:val="29"/>
              </w:numPr>
              <w:tabs>
                <w:tab w:val="left" w:pos="623"/>
              </w:tabs>
              <w:spacing w:before="217"/>
              <w:ind w:right="98" w:firstLine="0"/>
              <w:jc w:val="both"/>
              <w:rPr>
                <w:sz w:val="18"/>
              </w:rPr>
            </w:pPr>
            <w:r>
              <w:rPr>
                <w:sz w:val="18"/>
              </w:rPr>
              <w:t>Aprobar y fortalecer políticas acertadas y leyes aplicables para promover la igualdad de género y el empoderamiento de todas las mujeres y las niñas a todos los niveles</w:t>
            </w:r>
          </w:p>
        </w:tc>
        <w:tc>
          <w:tcPr>
            <w:tcW w:w="3870" w:type="dxa"/>
          </w:tcPr>
          <w:p w14:paraId="568C1595" w14:textId="77777777" w:rsidR="000E52B0" w:rsidRDefault="000E52B0">
            <w:pPr>
              <w:pStyle w:val="TableParagraph"/>
              <w:rPr>
                <w:sz w:val="18"/>
              </w:rPr>
            </w:pPr>
          </w:p>
          <w:p w14:paraId="5724D2CA" w14:textId="77777777" w:rsidR="000E52B0" w:rsidRDefault="00F60D74">
            <w:pPr>
              <w:pStyle w:val="TableParagraph"/>
              <w:spacing w:before="1"/>
              <w:ind w:left="108" w:right="96"/>
              <w:jc w:val="both"/>
              <w:rPr>
                <w:i/>
                <w:sz w:val="18"/>
              </w:rPr>
            </w:pPr>
            <w:r>
              <w:rPr>
                <w:i/>
                <w:color w:val="333333"/>
                <w:sz w:val="18"/>
              </w:rPr>
              <w:t>Diseñar e impulsar estrategias para la transformación</w:t>
            </w:r>
            <w:r>
              <w:rPr>
                <w:i/>
                <w:color w:val="333333"/>
                <w:spacing w:val="-16"/>
                <w:sz w:val="18"/>
              </w:rPr>
              <w:t xml:space="preserve"> </w:t>
            </w:r>
            <w:r>
              <w:rPr>
                <w:i/>
                <w:color w:val="333333"/>
                <w:sz w:val="18"/>
              </w:rPr>
              <w:t>de</w:t>
            </w:r>
            <w:r>
              <w:rPr>
                <w:i/>
                <w:color w:val="333333"/>
                <w:spacing w:val="-16"/>
                <w:sz w:val="18"/>
              </w:rPr>
              <w:t xml:space="preserve"> </w:t>
            </w:r>
            <w:r>
              <w:rPr>
                <w:i/>
                <w:color w:val="333333"/>
                <w:sz w:val="18"/>
              </w:rPr>
              <w:t>la</w:t>
            </w:r>
            <w:r>
              <w:rPr>
                <w:i/>
                <w:color w:val="333333"/>
                <w:spacing w:val="-16"/>
                <w:sz w:val="18"/>
              </w:rPr>
              <w:t xml:space="preserve"> </w:t>
            </w:r>
            <w:r>
              <w:rPr>
                <w:i/>
                <w:color w:val="333333"/>
                <w:sz w:val="18"/>
              </w:rPr>
              <w:t>cultura</w:t>
            </w:r>
            <w:r>
              <w:rPr>
                <w:i/>
                <w:color w:val="333333"/>
                <w:spacing w:val="-16"/>
                <w:sz w:val="18"/>
              </w:rPr>
              <w:t xml:space="preserve"> </w:t>
            </w:r>
            <w:r>
              <w:rPr>
                <w:i/>
                <w:color w:val="333333"/>
                <w:sz w:val="18"/>
              </w:rPr>
              <w:t xml:space="preserve">institucional y ciudadana que permitan procesos de formación y difusión de los derechos de las mujeres, usando un lenguaje incluyente y otras formas comunicativas, de acuerdo con las disposiciones técnicas y legales </w:t>
            </w:r>
            <w:r>
              <w:rPr>
                <w:i/>
                <w:color w:val="333333"/>
                <w:spacing w:val="-2"/>
                <w:sz w:val="18"/>
              </w:rPr>
              <w:t>vigentes.</w:t>
            </w:r>
          </w:p>
          <w:p w14:paraId="3AB76B2C" w14:textId="77777777" w:rsidR="000E52B0" w:rsidRDefault="00F60D74">
            <w:pPr>
              <w:pStyle w:val="TableParagraph"/>
              <w:spacing w:before="217"/>
              <w:ind w:left="108" w:right="96"/>
              <w:jc w:val="both"/>
              <w:rPr>
                <w:i/>
                <w:sz w:val="18"/>
              </w:rPr>
            </w:pPr>
            <w:r>
              <w:rPr>
                <w:i/>
                <w:color w:val="333333"/>
                <w:sz w:val="18"/>
              </w:rPr>
              <w:t xml:space="preserve">Impartir directrices y liderar el posicionamiento de las mujeres en sus diversidades como agentes fundamentales de las estrategias del modelo de reconciliación y convivencia nacional ante los diferentes tipos de violencia, utilizando la promoción cultural, educativa y económica como herramientas fundamentales para la consecución de </w:t>
            </w:r>
            <w:proofErr w:type="gramStart"/>
            <w:r>
              <w:rPr>
                <w:i/>
                <w:color w:val="333333"/>
                <w:sz w:val="18"/>
              </w:rPr>
              <w:t>las mismas</w:t>
            </w:r>
            <w:proofErr w:type="gramEnd"/>
            <w:r>
              <w:rPr>
                <w:i/>
                <w:color w:val="333333"/>
                <w:sz w:val="18"/>
              </w:rPr>
              <w:t>, de acuerdo con los lineamientos técnicos y normativos vigentes.</w:t>
            </w:r>
          </w:p>
          <w:p w14:paraId="29973E05" w14:textId="77777777" w:rsidR="000E52B0" w:rsidRDefault="000E52B0">
            <w:pPr>
              <w:pStyle w:val="TableParagraph"/>
              <w:spacing w:before="1"/>
              <w:rPr>
                <w:sz w:val="18"/>
              </w:rPr>
            </w:pPr>
          </w:p>
          <w:p w14:paraId="2A3300C9" w14:textId="77777777" w:rsidR="000E52B0" w:rsidRDefault="00F60D74">
            <w:pPr>
              <w:pStyle w:val="TableParagraph"/>
              <w:ind w:left="468"/>
              <w:rPr>
                <w:b/>
                <w:sz w:val="18"/>
              </w:rPr>
            </w:pPr>
            <w:r>
              <w:rPr>
                <w:b/>
                <w:color w:val="333333"/>
                <w:sz w:val="18"/>
              </w:rPr>
              <w:t>1.</w:t>
            </w:r>
            <w:r>
              <w:rPr>
                <w:b/>
                <w:color w:val="333333"/>
                <w:spacing w:val="69"/>
                <w:w w:val="150"/>
                <w:sz w:val="18"/>
              </w:rPr>
              <w:t xml:space="preserve"> </w:t>
            </w:r>
            <w:r>
              <w:rPr>
                <w:b/>
                <w:color w:val="333333"/>
                <w:sz w:val="18"/>
              </w:rPr>
              <w:t>DIRECCIONES</w:t>
            </w:r>
            <w:r>
              <w:rPr>
                <w:b/>
                <w:color w:val="333333"/>
                <w:spacing w:val="-2"/>
                <w:sz w:val="18"/>
              </w:rPr>
              <w:t xml:space="preserve"> TÉCNICAS</w:t>
            </w:r>
          </w:p>
          <w:p w14:paraId="01B1F6FD" w14:textId="77777777" w:rsidR="000E52B0" w:rsidRDefault="000E52B0">
            <w:pPr>
              <w:pStyle w:val="TableParagraph"/>
              <w:spacing w:before="1"/>
              <w:rPr>
                <w:sz w:val="18"/>
              </w:rPr>
            </w:pPr>
          </w:p>
          <w:p w14:paraId="235D04D4" w14:textId="77777777" w:rsidR="000E52B0" w:rsidRDefault="00F60D74">
            <w:pPr>
              <w:pStyle w:val="TableParagraph"/>
              <w:spacing w:before="1"/>
              <w:ind w:left="108" w:right="95"/>
              <w:jc w:val="both"/>
              <w:rPr>
                <w:b/>
                <w:sz w:val="18"/>
              </w:rPr>
            </w:pPr>
            <w:r>
              <w:rPr>
                <w:b/>
                <w:color w:val="333333"/>
                <w:sz w:val="18"/>
              </w:rPr>
              <w:t>FUNCIONES</w:t>
            </w:r>
            <w:r>
              <w:rPr>
                <w:b/>
                <w:color w:val="333333"/>
                <w:spacing w:val="-16"/>
                <w:sz w:val="18"/>
              </w:rPr>
              <w:t xml:space="preserve"> </w:t>
            </w:r>
            <w:r>
              <w:rPr>
                <w:b/>
                <w:color w:val="333333"/>
                <w:sz w:val="18"/>
              </w:rPr>
              <w:t>DE</w:t>
            </w:r>
            <w:r>
              <w:rPr>
                <w:b/>
                <w:color w:val="333333"/>
                <w:spacing w:val="-15"/>
                <w:sz w:val="18"/>
              </w:rPr>
              <w:t xml:space="preserve"> </w:t>
            </w:r>
            <w:r>
              <w:rPr>
                <w:b/>
                <w:color w:val="333333"/>
                <w:sz w:val="18"/>
              </w:rPr>
              <w:t>LA</w:t>
            </w:r>
            <w:r>
              <w:rPr>
                <w:b/>
                <w:color w:val="333333"/>
                <w:spacing w:val="-16"/>
                <w:sz w:val="18"/>
              </w:rPr>
              <w:t xml:space="preserve"> </w:t>
            </w:r>
            <w:r>
              <w:rPr>
                <w:b/>
                <w:color w:val="333333"/>
                <w:sz w:val="18"/>
              </w:rPr>
              <w:t>DIRECCIÓN</w:t>
            </w:r>
            <w:r>
              <w:rPr>
                <w:b/>
                <w:color w:val="333333"/>
                <w:spacing w:val="-15"/>
                <w:sz w:val="18"/>
              </w:rPr>
              <w:t xml:space="preserve"> </w:t>
            </w:r>
            <w:r>
              <w:rPr>
                <w:b/>
                <w:color w:val="333333"/>
                <w:sz w:val="18"/>
              </w:rPr>
              <w:t xml:space="preserve">PARA LA PREVENCIÓN Y ATENCIÓN DE LAS VIOLENCIAS CONTRA LAS </w:t>
            </w:r>
            <w:r>
              <w:rPr>
                <w:b/>
                <w:color w:val="333333"/>
                <w:spacing w:val="-2"/>
                <w:sz w:val="18"/>
              </w:rPr>
              <w:t>MUJERES:</w:t>
            </w:r>
          </w:p>
          <w:p w14:paraId="428F0658" w14:textId="77777777" w:rsidR="000E52B0" w:rsidRDefault="00F60D74">
            <w:pPr>
              <w:pStyle w:val="TableParagraph"/>
              <w:spacing w:before="217"/>
              <w:ind w:left="108" w:right="96"/>
              <w:jc w:val="both"/>
              <w:rPr>
                <w:i/>
                <w:sz w:val="18"/>
              </w:rPr>
            </w:pPr>
            <w:r>
              <w:rPr>
                <w:i/>
                <w:color w:val="333333"/>
                <w:sz w:val="18"/>
              </w:rPr>
              <w:t>Adoptar y ejecutar políticas, planes, programas y proyectos orientados a la aplicación de enfoques de género y diferenciales</w:t>
            </w:r>
            <w:r>
              <w:rPr>
                <w:i/>
                <w:color w:val="333333"/>
                <w:spacing w:val="-1"/>
                <w:sz w:val="18"/>
              </w:rPr>
              <w:t xml:space="preserve"> </w:t>
            </w:r>
            <w:r>
              <w:rPr>
                <w:i/>
                <w:color w:val="333333"/>
                <w:sz w:val="18"/>
              </w:rPr>
              <w:t>que</w:t>
            </w:r>
            <w:r>
              <w:rPr>
                <w:i/>
                <w:color w:val="333333"/>
                <w:spacing w:val="-1"/>
                <w:sz w:val="18"/>
              </w:rPr>
              <w:t xml:space="preserve"> </w:t>
            </w:r>
            <w:r>
              <w:rPr>
                <w:i/>
                <w:color w:val="333333"/>
                <w:sz w:val="18"/>
              </w:rPr>
              <w:t>enfrenten,</w:t>
            </w:r>
            <w:r>
              <w:rPr>
                <w:i/>
                <w:color w:val="333333"/>
                <w:spacing w:val="-1"/>
                <w:sz w:val="18"/>
              </w:rPr>
              <w:t xml:space="preserve"> </w:t>
            </w:r>
            <w:r>
              <w:rPr>
                <w:i/>
                <w:color w:val="333333"/>
                <w:sz w:val="18"/>
              </w:rPr>
              <w:t>prevengan, atiendan y eliminen las formas de violencia y discriminación contra las mujeres en su diversidad. Diseñar programas</w:t>
            </w:r>
            <w:r>
              <w:rPr>
                <w:i/>
                <w:color w:val="333333"/>
                <w:spacing w:val="-11"/>
                <w:sz w:val="18"/>
              </w:rPr>
              <w:t xml:space="preserve"> </w:t>
            </w:r>
            <w:r>
              <w:rPr>
                <w:i/>
                <w:color w:val="333333"/>
                <w:sz w:val="18"/>
              </w:rPr>
              <w:t>y</w:t>
            </w:r>
            <w:r>
              <w:rPr>
                <w:i/>
                <w:color w:val="333333"/>
                <w:spacing w:val="-11"/>
                <w:sz w:val="18"/>
              </w:rPr>
              <w:t xml:space="preserve"> </w:t>
            </w:r>
            <w:r>
              <w:rPr>
                <w:i/>
                <w:color w:val="333333"/>
                <w:sz w:val="18"/>
              </w:rPr>
              <w:t>estrategias</w:t>
            </w:r>
            <w:r>
              <w:rPr>
                <w:i/>
                <w:color w:val="333333"/>
                <w:spacing w:val="-11"/>
                <w:sz w:val="18"/>
              </w:rPr>
              <w:t xml:space="preserve"> </w:t>
            </w:r>
            <w:r>
              <w:rPr>
                <w:i/>
                <w:color w:val="333333"/>
                <w:sz w:val="18"/>
              </w:rPr>
              <w:t>que</w:t>
            </w:r>
            <w:r>
              <w:rPr>
                <w:i/>
                <w:color w:val="333333"/>
                <w:spacing w:val="-10"/>
                <w:sz w:val="18"/>
              </w:rPr>
              <w:t xml:space="preserve"> </w:t>
            </w:r>
            <w:r>
              <w:rPr>
                <w:i/>
                <w:color w:val="333333"/>
                <w:sz w:val="18"/>
              </w:rPr>
              <w:t>fortalezcan la</w:t>
            </w:r>
            <w:r>
              <w:rPr>
                <w:i/>
                <w:color w:val="333333"/>
                <w:spacing w:val="-8"/>
                <w:sz w:val="18"/>
              </w:rPr>
              <w:t xml:space="preserve"> </w:t>
            </w:r>
            <w:r>
              <w:rPr>
                <w:i/>
                <w:color w:val="333333"/>
                <w:sz w:val="18"/>
              </w:rPr>
              <w:t>atención</w:t>
            </w:r>
            <w:r>
              <w:rPr>
                <w:i/>
                <w:color w:val="333333"/>
                <w:spacing w:val="-7"/>
                <w:sz w:val="18"/>
              </w:rPr>
              <w:t xml:space="preserve"> </w:t>
            </w:r>
            <w:r>
              <w:rPr>
                <w:i/>
                <w:color w:val="333333"/>
                <w:sz w:val="18"/>
              </w:rPr>
              <w:t>para</w:t>
            </w:r>
            <w:r>
              <w:rPr>
                <w:i/>
                <w:color w:val="333333"/>
                <w:spacing w:val="-8"/>
                <w:sz w:val="18"/>
              </w:rPr>
              <w:t xml:space="preserve"> </w:t>
            </w:r>
            <w:r>
              <w:rPr>
                <w:i/>
                <w:color w:val="333333"/>
                <w:sz w:val="18"/>
              </w:rPr>
              <w:t>las</w:t>
            </w:r>
            <w:r>
              <w:rPr>
                <w:i/>
                <w:color w:val="333333"/>
                <w:spacing w:val="-8"/>
                <w:sz w:val="18"/>
              </w:rPr>
              <w:t xml:space="preserve"> </w:t>
            </w:r>
            <w:r>
              <w:rPr>
                <w:i/>
                <w:color w:val="333333"/>
                <w:sz w:val="18"/>
              </w:rPr>
              <w:t>mujeres</w:t>
            </w:r>
            <w:r>
              <w:rPr>
                <w:i/>
                <w:color w:val="333333"/>
                <w:spacing w:val="-8"/>
                <w:sz w:val="18"/>
              </w:rPr>
              <w:t xml:space="preserve"> </w:t>
            </w:r>
            <w:r>
              <w:rPr>
                <w:i/>
                <w:color w:val="333333"/>
                <w:sz w:val="18"/>
              </w:rPr>
              <w:t>víctimas</w:t>
            </w:r>
            <w:r>
              <w:rPr>
                <w:i/>
                <w:color w:val="333333"/>
                <w:spacing w:val="-8"/>
                <w:sz w:val="18"/>
              </w:rPr>
              <w:t xml:space="preserve"> </w:t>
            </w:r>
            <w:r>
              <w:rPr>
                <w:i/>
                <w:color w:val="333333"/>
                <w:sz w:val="18"/>
              </w:rPr>
              <w:t>de violencias basadas en género, en articulación con las instituciones encargadas de servicios de justicia, salud</w:t>
            </w:r>
            <w:r>
              <w:rPr>
                <w:i/>
                <w:color w:val="333333"/>
                <w:spacing w:val="-16"/>
                <w:sz w:val="18"/>
              </w:rPr>
              <w:t xml:space="preserve"> </w:t>
            </w:r>
            <w:r>
              <w:rPr>
                <w:i/>
                <w:color w:val="333333"/>
                <w:sz w:val="18"/>
              </w:rPr>
              <w:t>y</w:t>
            </w:r>
            <w:r>
              <w:rPr>
                <w:i/>
                <w:color w:val="333333"/>
                <w:spacing w:val="-16"/>
                <w:sz w:val="18"/>
              </w:rPr>
              <w:t xml:space="preserve"> </w:t>
            </w:r>
            <w:r>
              <w:rPr>
                <w:i/>
                <w:color w:val="333333"/>
                <w:sz w:val="18"/>
              </w:rPr>
              <w:t>cualquier</w:t>
            </w:r>
            <w:r>
              <w:rPr>
                <w:i/>
                <w:color w:val="333333"/>
                <w:spacing w:val="-16"/>
                <w:sz w:val="18"/>
              </w:rPr>
              <w:t xml:space="preserve"> </w:t>
            </w:r>
            <w:r>
              <w:rPr>
                <w:i/>
                <w:color w:val="333333"/>
                <w:sz w:val="18"/>
              </w:rPr>
              <w:t>otro</w:t>
            </w:r>
            <w:r>
              <w:rPr>
                <w:i/>
                <w:color w:val="333333"/>
                <w:spacing w:val="-15"/>
                <w:sz w:val="18"/>
              </w:rPr>
              <w:t xml:space="preserve"> </w:t>
            </w:r>
            <w:r>
              <w:rPr>
                <w:i/>
                <w:color w:val="333333"/>
                <w:sz w:val="18"/>
              </w:rPr>
              <w:t>que</w:t>
            </w:r>
            <w:r>
              <w:rPr>
                <w:i/>
                <w:color w:val="333333"/>
                <w:spacing w:val="-16"/>
                <w:sz w:val="18"/>
              </w:rPr>
              <w:t xml:space="preserve"> </w:t>
            </w:r>
            <w:r>
              <w:rPr>
                <w:i/>
                <w:color w:val="333333"/>
                <w:sz w:val="18"/>
              </w:rPr>
              <w:t>se</w:t>
            </w:r>
            <w:r>
              <w:rPr>
                <w:i/>
                <w:color w:val="333333"/>
                <w:spacing w:val="-15"/>
                <w:sz w:val="18"/>
              </w:rPr>
              <w:t xml:space="preserve"> </w:t>
            </w:r>
            <w:r>
              <w:rPr>
                <w:i/>
                <w:color w:val="333333"/>
                <w:sz w:val="18"/>
              </w:rPr>
              <w:t>requiera</w:t>
            </w:r>
            <w:r>
              <w:rPr>
                <w:i/>
                <w:color w:val="333333"/>
                <w:spacing w:val="-16"/>
                <w:sz w:val="18"/>
              </w:rPr>
              <w:t xml:space="preserve"> </w:t>
            </w:r>
            <w:r>
              <w:rPr>
                <w:i/>
                <w:color w:val="333333"/>
                <w:sz w:val="18"/>
              </w:rPr>
              <w:t>en la atención.</w:t>
            </w:r>
          </w:p>
          <w:p w14:paraId="03F339D6" w14:textId="77777777" w:rsidR="000E52B0" w:rsidRDefault="000E52B0">
            <w:pPr>
              <w:pStyle w:val="TableParagraph"/>
              <w:spacing w:before="2"/>
              <w:rPr>
                <w:sz w:val="18"/>
              </w:rPr>
            </w:pPr>
          </w:p>
          <w:p w14:paraId="24FE6E62" w14:textId="77777777" w:rsidR="000E52B0" w:rsidRDefault="00F60D74">
            <w:pPr>
              <w:pStyle w:val="TableParagraph"/>
              <w:ind w:left="108" w:right="94"/>
              <w:jc w:val="both"/>
              <w:rPr>
                <w:b/>
                <w:sz w:val="18"/>
              </w:rPr>
            </w:pPr>
            <w:r>
              <w:rPr>
                <w:color w:val="333333"/>
                <w:sz w:val="18"/>
              </w:rPr>
              <w:t>F</w:t>
            </w:r>
            <w:r>
              <w:rPr>
                <w:b/>
                <w:color w:val="333333"/>
                <w:sz w:val="18"/>
              </w:rPr>
              <w:t>UNCIONES</w:t>
            </w:r>
            <w:r>
              <w:rPr>
                <w:b/>
                <w:color w:val="333333"/>
                <w:spacing w:val="-16"/>
                <w:sz w:val="18"/>
              </w:rPr>
              <w:t xml:space="preserve"> </w:t>
            </w:r>
            <w:r>
              <w:rPr>
                <w:b/>
                <w:color w:val="333333"/>
                <w:sz w:val="18"/>
              </w:rPr>
              <w:t>DE</w:t>
            </w:r>
            <w:r>
              <w:rPr>
                <w:b/>
                <w:color w:val="333333"/>
                <w:spacing w:val="-15"/>
                <w:sz w:val="18"/>
              </w:rPr>
              <w:t xml:space="preserve"> </w:t>
            </w:r>
            <w:r>
              <w:rPr>
                <w:b/>
                <w:color w:val="333333"/>
                <w:sz w:val="18"/>
              </w:rPr>
              <w:t>LA</w:t>
            </w:r>
            <w:r>
              <w:rPr>
                <w:b/>
                <w:color w:val="333333"/>
                <w:spacing w:val="-16"/>
                <w:sz w:val="18"/>
              </w:rPr>
              <w:t xml:space="preserve"> </w:t>
            </w:r>
            <w:r>
              <w:rPr>
                <w:b/>
                <w:color w:val="333333"/>
                <w:sz w:val="18"/>
              </w:rPr>
              <w:t>DIRECCIÓN</w:t>
            </w:r>
            <w:r>
              <w:rPr>
                <w:b/>
                <w:color w:val="333333"/>
                <w:spacing w:val="-15"/>
                <w:sz w:val="18"/>
              </w:rPr>
              <w:t xml:space="preserve"> </w:t>
            </w:r>
            <w:r>
              <w:rPr>
                <w:b/>
                <w:color w:val="333333"/>
                <w:sz w:val="18"/>
              </w:rPr>
              <w:t>PARA LA</w:t>
            </w:r>
            <w:r>
              <w:rPr>
                <w:b/>
                <w:color w:val="333333"/>
                <w:spacing w:val="-16"/>
                <w:sz w:val="18"/>
              </w:rPr>
              <w:t xml:space="preserve"> </w:t>
            </w:r>
            <w:r>
              <w:rPr>
                <w:b/>
                <w:color w:val="333333"/>
                <w:sz w:val="18"/>
              </w:rPr>
              <w:t>AUTONÓMIA</w:t>
            </w:r>
            <w:r>
              <w:rPr>
                <w:b/>
                <w:color w:val="333333"/>
                <w:spacing w:val="-15"/>
                <w:sz w:val="18"/>
              </w:rPr>
              <w:t xml:space="preserve"> </w:t>
            </w:r>
            <w:r>
              <w:rPr>
                <w:b/>
                <w:color w:val="333333"/>
                <w:sz w:val="18"/>
              </w:rPr>
              <w:t>ECONÓMICA</w:t>
            </w:r>
            <w:r>
              <w:rPr>
                <w:b/>
                <w:color w:val="333333"/>
                <w:spacing w:val="-16"/>
                <w:sz w:val="18"/>
              </w:rPr>
              <w:t xml:space="preserve"> </w:t>
            </w:r>
            <w:r>
              <w:rPr>
                <w:b/>
                <w:color w:val="333333"/>
                <w:sz w:val="18"/>
              </w:rPr>
              <w:t>DE</w:t>
            </w:r>
            <w:r>
              <w:rPr>
                <w:b/>
                <w:color w:val="333333"/>
                <w:spacing w:val="-15"/>
                <w:sz w:val="18"/>
              </w:rPr>
              <w:t xml:space="preserve"> </w:t>
            </w:r>
            <w:r>
              <w:rPr>
                <w:b/>
                <w:color w:val="333333"/>
                <w:sz w:val="18"/>
              </w:rPr>
              <w:t xml:space="preserve">LAS </w:t>
            </w:r>
            <w:r>
              <w:rPr>
                <w:b/>
                <w:color w:val="333333"/>
                <w:spacing w:val="-2"/>
                <w:sz w:val="18"/>
              </w:rPr>
              <w:t>MUJERES</w:t>
            </w:r>
          </w:p>
          <w:p w14:paraId="4FDD5C73" w14:textId="77777777" w:rsidR="000E52B0" w:rsidRDefault="00F60D74">
            <w:pPr>
              <w:pStyle w:val="TableParagraph"/>
              <w:spacing w:before="218"/>
              <w:ind w:left="108" w:right="97"/>
              <w:jc w:val="both"/>
              <w:rPr>
                <w:i/>
                <w:sz w:val="18"/>
              </w:rPr>
            </w:pPr>
            <w:r>
              <w:rPr>
                <w:i/>
                <w:color w:val="333333"/>
                <w:sz w:val="18"/>
              </w:rPr>
              <w:t>Adoptar y ejecutar políticas, planes, programas y proyectos orientados a fomentar</w:t>
            </w:r>
            <w:r>
              <w:rPr>
                <w:i/>
                <w:color w:val="333333"/>
                <w:spacing w:val="-15"/>
                <w:sz w:val="18"/>
              </w:rPr>
              <w:t xml:space="preserve"> </w:t>
            </w:r>
            <w:r>
              <w:rPr>
                <w:i/>
                <w:color w:val="333333"/>
                <w:sz w:val="18"/>
              </w:rPr>
              <w:t>la</w:t>
            </w:r>
            <w:r>
              <w:rPr>
                <w:i/>
                <w:color w:val="333333"/>
                <w:spacing w:val="-15"/>
                <w:sz w:val="18"/>
              </w:rPr>
              <w:t xml:space="preserve"> </w:t>
            </w:r>
            <w:r>
              <w:rPr>
                <w:i/>
                <w:color w:val="333333"/>
                <w:sz w:val="18"/>
              </w:rPr>
              <w:t>autonomía</w:t>
            </w:r>
            <w:r>
              <w:rPr>
                <w:i/>
                <w:color w:val="333333"/>
                <w:spacing w:val="-15"/>
                <w:sz w:val="18"/>
              </w:rPr>
              <w:t xml:space="preserve"> </w:t>
            </w:r>
            <w:r>
              <w:rPr>
                <w:i/>
                <w:color w:val="333333"/>
                <w:sz w:val="18"/>
              </w:rPr>
              <w:t>económica</w:t>
            </w:r>
            <w:r>
              <w:rPr>
                <w:i/>
                <w:color w:val="333333"/>
                <w:spacing w:val="-15"/>
                <w:sz w:val="18"/>
              </w:rPr>
              <w:t xml:space="preserve"> </w:t>
            </w:r>
            <w:r>
              <w:rPr>
                <w:i/>
                <w:color w:val="333333"/>
                <w:sz w:val="18"/>
              </w:rPr>
              <w:t>de</w:t>
            </w:r>
            <w:r>
              <w:rPr>
                <w:i/>
                <w:color w:val="333333"/>
                <w:spacing w:val="-14"/>
                <w:sz w:val="18"/>
              </w:rPr>
              <w:t xml:space="preserve"> </w:t>
            </w:r>
            <w:r>
              <w:rPr>
                <w:i/>
                <w:color w:val="333333"/>
                <w:sz w:val="18"/>
              </w:rPr>
              <w:t xml:space="preserve">las </w:t>
            </w:r>
            <w:r>
              <w:rPr>
                <w:i/>
                <w:color w:val="333333"/>
                <w:spacing w:val="-2"/>
                <w:sz w:val="18"/>
              </w:rPr>
              <w:t>mujeres.</w:t>
            </w:r>
          </w:p>
          <w:p w14:paraId="7A30801D" w14:textId="77777777" w:rsidR="000E52B0" w:rsidRDefault="00F60D74">
            <w:pPr>
              <w:pStyle w:val="TableParagraph"/>
              <w:spacing w:before="1"/>
              <w:ind w:left="108" w:right="97"/>
              <w:jc w:val="both"/>
              <w:rPr>
                <w:i/>
                <w:sz w:val="18"/>
              </w:rPr>
            </w:pPr>
            <w:r>
              <w:rPr>
                <w:i/>
                <w:color w:val="333333"/>
                <w:sz w:val="18"/>
              </w:rPr>
              <w:t xml:space="preserve">Articular acciones intersectoriales e interinstitucionales públicas y privadas, orientadas a facilitar el impulso económico y acceso a servicios financieros para las mujeres en su </w:t>
            </w:r>
            <w:r>
              <w:rPr>
                <w:i/>
                <w:color w:val="333333"/>
                <w:spacing w:val="-2"/>
                <w:sz w:val="18"/>
              </w:rPr>
              <w:t>diversidad.</w:t>
            </w:r>
          </w:p>
        </w:tc>
      </w:tr>
    </w:tbl>
    <w:p w14:paraId="42FDB244" w14:textId="77777777" w:rsidR="000E52B0" w:rsidRDefault="000E52B0">
      <w:pPr>
        <w:pStyle w:val="TableParagraph"/>
        <w:jc w:val="both"/>
        <w:rPr>
          <w:i/>
          <w:sz w:val="18"/>
        </w:rPr>
        <w:sectPr w:rsidR="000E52B0">
          <w:type w:val="continuous"/>
          <w:pgSz w:w="11910" w:h="16840"/>
          <w:pgMar w:top="1400" w:right="720" w:bottom="1408" w:left="720" w:header="0" w:footer="995"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3752"/>
        <w:gridCol w:w="3870"/>
      </w:tblGrid>
      <w:tr w:rsidR="000E52B0" w14:paraId="3298BC53" w14:textId="77777777">
        <w:trPr>
          <w:trHeight w:val="436"/>
        </w:trPr>
        <w:tc>
          <w:tcPr>
            <w:tcW w:w="1394" w:type="dxa"/>
            <w:shd w:val="clear" w:color="auto" w:fill="D44673"/>
          </w:tcPr>
          <w:p w14:paraId="19ACAF60" w14:textId="77777777" w:rsidR="000E52B0" w:rsidRDefault="00F60D74">
            <w:pPr>
              <w:pStyle w:val="TableParagraph"/>
              <w:spacing w:before="109"/>
              <w:ind w:left="10"/>
              <w:jc w:val="center"/>
              <w:rPr>
                <w:b/>
                <w:sz w:val="18"/>
              </w:rPr>
            </w:pPr>
            <w:r>
              <w:rPr>
                <w:b/>
                <w:color w:val="FFFFFF"/>
                <w:spacing w:val="-5"/>
                <w:sz w:val="18"/>
              </w:rPr>
              <w:lastRenderedPageBreak/>
              <w:t>ODS</w:t>
            </w:r>
          </w:p>
        </w:tc>
        <w:tc>
          <w:tcPr>
            <w:tcW w:w="3752" w:type="dxa"/>
            <w:shd w:val="clear" w:color="auto" w:fill="D44673"/>
          </w:tcPr>
          <w:p w14:paraId="10D0B318" w14:textId="77777777" w:rsidR="000E52B0" w:rsidRDefault="00F60D74">
            <w:pPr>
              <w:pStyle w:val="TableParagraph"/>
              <w:spacing w:before="109"/>
              <w:ind w:left="6"/>
              <w:jc w:val="center"/>
              <w:rPr>
                <w:b/>
                <w:sz w:val="18"/>
              </w:rPr>
            </w:pPr>
            <w:r>
              <w:rPr>
                <w:b/>
                <w:color w:val="FFFFFF"/>
                <w:spacing w:val="-4"/>
                <w:sz w:val="18"/>
              </w:rPr>
              <w:t>Meta</w:t>
            </w:r>
          </w:p>
        </w:tc>
        <w:tc>
          <w:tcPr>
            <w:tcW w:w="3870" w:type="dxa"/>
            <w:shd w:val="clear" w:color="auto" w:fill="D44673"/>
          </w:tcPr>
          <w:p w14:paraId="3173628E" w14:textId="77777777" w:rsidR="000E52B0" w:rsidRDefault="00F60D74">
            <w:pPr>
              <w:pStyle w:val="TableParagraph"/>
              <w:spacing w:line="218" w:lineRule="exact"/>
              <w:ind w:left="900" w:hanging="687"/>
              <w:rPr>
                <w:b/>
                <w:sz w:val="18"/>
              </w:rPr>
            </w:pPr>
            <w:r>
              <w:rPr>
                <w:b/>
                <w:color w:val="FFFFFF"/>
                <w:sz w:val="18"/>
              </w:rPr>
              <w:t>¿Cómo</w:t>
            </w:r>
            <w:r>
              <w:rPr>
                <w:b/>
                <w:color w:val="FFFFFF"/>
                <w:spacing w:val="-9"/>
                <w:sz w:val="18"/>
              </w:rPr>
              <w:t xml:space="preserve"> </w:t>
            </w:r>
            <w:r>
              <w:rPr>
                <w:b/>
                <w:color w:val="FFFFFF"/>
                <w:sz w:val="18"/>
              </w:rPr>
              <w:t>contribuye</w:t>
            </w:r>
            <w:r>
              <w:rPr>
                <w:b/>
                <w:color w:val="FFFFFF"/>
                <w:spacing w:val="-9"/>
                <w:sz w:val="18"/>
              </w:rPr>
              <w:t xml:space="preserve"> </w:t>
            </w:r>
            <w:r>
              <w:rPr>
                <w:b/>
                <w:color w:val="FFFFFF"/>
                <w:sz w:val="18"/>
              </w:rPr>
              <w:t>el</w:t>
            </w:r>
            <w:r>
              <w:rPr>
                <w:b/>
                <w:color w:val="FFFFFF"/>
                <w:spacing w:val="-9"/>
                <w:sz w:val="18"/>
              </w:rPr>
              <w:t xml:space="preserve"> </w:t>
            </w:r>
            <w:r>
              <w:rPr>
                <w:b/>
                <w:color w:val="FFFFFF"/>
                <w:sz w:val="18"/>
              </w:rPr>
              <w:t>Ministerio</w:t>
            </w:r>
            <w:r>
              <w:rPr>
                <w:b/>
                <w:color w:val="FFFFFF"/>
                <w:spacing w:val="-9"/>
                <w:sz w:val="18"/>
              </w:rPr>
              <w:t xml:space="preserve"> </w:t>
            </w:r>
            <w:r>
              <w:rPr>
                <w:b/>
                <w:color w:val="FFFFFF"/>
                <w:sz w:val="18"/>
              </w:rPr>
              <w:t>de Igualdad y Equidad?</w:t>
            </w:r>
          </w:p>
        </w:tc>
      </w:tr>
      <w:tr w:rsidR="000E52B0" w14:paraId="500AE0DC" w14:textId="77777777">
        <w:trPr>
          <w:trHeight w:val="13347"/>
        </w:trPr>
        <w:tc>
          <w:tcPr>
            <w:tcW w:w="1394" w:type="dxa"/>
          </w:tcPr>
          <w:p w14:paraId="287D94B8" w14:textId="77777777" w:rsidR="000E52B0" w:rsidRDefault="000E52B0">
            <w:pPr>
              <w:pStyle w:val="TableParagraph"/>
              <w:rPr>
                <w:rFonts w:ascii="Times New Roman"/>
                <w:sz w:val="18"/>
              </w:rPr>
            </w:pPr>
          </w:p>
        </w:tc>
        <w:tc>
          <w:tcPr>
            <w:tcW w:w="3752" w:type="dxa"/>
          </w:tcPr>
          <w:p w14:paraId="74BF2524" w14:textId="77777777" w:rsidR="000E52B0" w:rsidRDefault="000E52B0">
            <w:pPr>
              <w:pStyle w:val="TableParagraph"/>
              <w:rPr>
                <w:rFonts w:ascii="Times New Roman"/>
                <w:sz w:val="18"/>
              </w:rPr>
            </w:pPr>
          </w:p>
        </w:tc>
        <w:tc>
          <w:tcPr>
            <w:tcW w:w="3870" w:type="dxa"/>
          </w:tcPr>
          <w:p w14:paraId="6400CF29" w14:textId="77777777" w:rsidR="000E52B0" w:rsidRDefault="00F60D74">
            <w:pPr>
              <w:pStyle w:val="TableParagraph"/>
              <w:tabs>
                <w:tab w:val="left" w:pos="2830"/>
              </w:tabs>
              <w:spacing w:before="1"/>
              <w:ind w:left="108" w:right="95"/>
              <w:jc w:val="both"/>
              <w:rPr>
                <w:b/>
                <w:sz w:val="18"/>
              </w:rPr>
            </w:pPr>
            <w:r>
              <w:rPr>
                <w:b/>
                <w:color w:val="333333"/>
                <w:sz w:val="18"/>
              </w:rPr>
              <w:t>FUNCIONES</w:t>
            </w:r>
            <w:r>
              <w:rPr>
                <w:b/>
                <w:color w:val="333333"/>
                <w:spacing w:val="-16"/>
                <w:sz w:val="18"/>
              </w:rPr>
              <w:t xml:space="preserve"> </w:t>
            </w:r>
            <w:r>
              <w:rPr>
                <w:b/>
                <w:color w:val="333333"/>
                <w:sz w:val="18"/>
              </w:rPr>
              <w:t>DE</w:t>
            </w:r>
            <w:r>
              <w:rPr>
                <w:b/>
                <w:color w:val="333333"/>
                <w:spacing w:val="-15"/>
                <w:sz w:val="18"/>
              </w:rPr>
              <w:t xml:space="preserve"> </w:t>
            </w:r>
            <w:r>
              <w:rPr>
                <w:b/>
                <w:color w:val="333333"/>
                <w:sz w:val="18"/>
              </w:rPr>
              <w:t>LA</w:t>
            </w:r>
            <w:r>
              <w:rPr>
                <w:b/>
                <w:color w:val="333333"/>
                <w:spacing w:val="-16"/>
                <w:sz w:val="18"/>
              </w:rPr>
              <w:t xml:space="preserve"> </w:t>
            </w:r>
            <w:r>
              <w:rPr>
                <w:b/>
                <w:color w:val="333333"/>
                <w:sz w:val="18"/>
              </w:rPr>
              <w:t>DIRECCIÓN</w:t>
            </w:r>
            <w:r>
              <w:rPr>
                <w:b/>
                <w:color w:val="333333"/>
                <w:spacing w:val="-15"/>
                <w:sz w:val="18"/>
              </w:rPr>
              <w:t xml:space="preserve"> </w:t>
            </w:r>
            <w:r>
              <w:rPr>
                <w:b/>
                <w:color w:val="333333"/>
                <w:sz w:val="18"/>
              </w:rPr>
              <w:t>PARA LA</w:t>
            </w:r>
            <w:r>
              <w:rPr>
                <w:b/>
                <w:color w:val="333333"/>
                <w:spacing w:val="-12"/>
                <w:sz w:val="18"/>
              </w:rPr>
              <w:t xml:space="preserve"> </w:t>
            </w:r>
            <w:r>
              <w:rPr>
                <w:b/>
                <w:color w:val="333333"/>
                <w:sz w:val="18"/>
              </w:rPr>
              <w:t>GARANTÍA</w:t>
            </w:r>
            <w:r>
              <w:rPr>
                <w:b/>
                <w:color w:val="333333"/>
                <w:spacing w:val="-13"/>
                <w:sz w:val="18"/>
              </w:rPr>
              <w:t xml:space="preserve"> </w:t>
            </w:r>
            <w:r>
              <w:rPr>
                <w:b/>
                <w:color w:val="333333"/>
                <w:sz w:val="18"/>
              </w:rPr>
              <w:t>DE</w:t>
            </w:r>
            <w:r>
              <w:rPr>
                <w:b/>
                <w:color w:val="333333"/>
                <w:spacing w:val="-13"/>
                <w:sz w:val="18"/>
              </w:rPr>
              <w:t xml:space="preserve"> </w:t>
            </w:r>
            <w:r>
              <w:rPr>
                <w:b/>
                <w:color w:val="333333"/>
                <w:sz w:val="18"/>
              </w:rPr>
              <w:t>LOS</w:t>
            </w:r>
            <w:r>
              <w:rPr>
                <w:b/>
                <w:color w:val="333333"/>
                <w:spacing w:val="-13"/>
                <w:sz w:val="18"/>
              </w:rPr>
              <w:t xml:space="preserve"> </w:t>
            </w:r>
            <w:r>
              <w:rPr>
                <w:b/>
                <w:color w:val="333333"/>
                <w:sz w:val="18"/>
              </w:rPr>
              <w:t>DERECHOS</w:t>
            </w:r>
            <w:r>
              <w:rPr>
                <w:b/>
                <w:color w:val="333333"/>
                <w:spacing w:val="-13"/>
                <w:sz w:val="18"/>
              </w:rPr>
              <w:t xml:space="preserve"> </w:t>
            </w:r>
            <w:r>
              <w:rPr>
                <w:b/>
                <w:color w:val="333333"/>
                <w:sz w:val="18"/>
              </w:rPr>
              <w:t xml:space="preserve">DE </w:t>
            </w:r>
            <w:r>
              <w:rPr>
                <w:b/>
                <w:color w:val="333333"/>
                <w:spacing w:val="-5"/>
                <w:sz w:val="18"/>
              </w:rPr>
              <w:t>LAS</w:t>
            </w:r>
            <w:r>
              <w:rPr>
                <w:b/>
                <w:color w:val="333333"/>
                <w:sz w:val="18"/>
              </w:rPr>
              <w:tab/>
            </w:r>
            <w:r>
              <w:rPr>
                <w:b/>
                <w:color w:val="333333"/>
                <w:spacing w:val="-2"/>
                <w:sz w:val="18"/>
              </w:rPr>
              <w:t>MUJERES</w:t>
            </w:r>
          </w:p>
          <w:p w14:paraId="0E18461E" w14:textId="77777777" w:rsidR="000E52B0" w:rsidRDefault="00F60D74">
            <w:pPr>
              <w:pStyle w:val="TableParagraph"/>
              <w:ind w:left="108" w:right="95"/>
              <w:jc w:val="both"/>
              <w:rPr>
                <w:i/>
                <w:sz w:val="18"/>
              </w:rPr>
            </w:pPr>
            <w:r>
              <w:rPr>
                <w:i/>
                <w:color w:val="333333"/>
                <w:sz w:val="18"/>
              </w:rPr>
              <w:t>Adoptar y ejecutar lineamientos que incluyan el enfoque de género e interseccional en el diseño, la implementación, el seguimiento y la evaluación de políticas, planes y programas a cargo de las entidades territoriales competentes para la garantía</w:t>
            </w:r>
            <w:r>
              <w:rPr>
                <w:i/>
                <w:color w:val="333333"/>
                <w:spacing w:val="-1"/>
                <w:sz w:val="18"/>
              </w:rPr>
              <w:t xml:space="preserve"> </w:t>
            </w:r>
            <w:r>
              <w:rPr>
                <w:i/>
                <w:color w:val="333333"/>
                <w:sz w:val="18"/>
              </w:rPr>
              <w:t>de los</w:t>
            </w:r>
            <w:r>
              <w:rPr>
                <w:i/>
                <w:color w:val="333333"/>
                <w:spacing w:val="-1"/>
                <w:sz w:val="18"/>
              </w:rPr>
              <w:t xml:space="preserve"> </w:t>
            </w:r>
            <w:r>
              <w:rPr>
                <w:i/>
                <w:color w:val="333333"/>
                <w:sz w:val="18"/>
              </w:rPr>
              <w:t>derechos</w:t>
            </w:r>
            <w:r>
              <w:rPr>
                <w:i/>
                <w:color w:val="333333"/>
                <w:spacing w:val="-1"/>
                <w:sz w:val="18"/>
              </w:rPr>
              <w:t xml:space="preserve"> </w:t>
            </w:r>
            <w:r>
              <w:rPr>
                <w:i/>
                <w:color w:val="333333"/>
                <w:sz w:val="18"/>
              </w:rPr>
              <w:t>de las</w:t>
            </w:r>
            <w:r>
              <w:rPr>
                <w:i/>
                <w:color w:val="333333"/>
                <w:spacing w:val="-1"/>
                <w:sz w:val="18"/>
              </w:rPr>
              <w:t xml:space="preserve"> </w:t>
            </w:r>
            <w:r>
              <w:rPr>
                <w:i/>
                <w:color w:val="333333"/>
                <w:sz w:val="18"/>
              </w:rPr>
              <w:t>mujeres en su diversidad.</w:t>
            </w:r>
          </w:p>
          <w:p w14:paraId="5446A7CB" w14:textId="77777777" w:rsidR="000E52B0" w:rsidRDefault="000E52B0">
            <w:pPr>
              <w:pStyle w:val="TableParagraph"/>
              <w:rPr>
                <w:sz w:val="18"/>
              </w:rPr>
            </w:pPr>
          </w:p>
          <w:p w14:paraId="359FE7BF" w14:textId="77777777" w:rsidR="000E52B0" w:rsidRDefault="00F60D74">
            <w:pPr>
              <w:pStyle w:val="TableParagraph"/>
              <w:ind w:left="108" w:right="95"/>
              <w:jc w:val="both"/>
              <w:rPr>
                <w:b/>
                <w:sz w:val="18"/>
              </w:rPr>
            </w:pPr>
            <w:r>
              <w:rPr>
                <w:b/>
                <w:color w:val="333333"/>
                <w:sz w:val="18"/>
              </w:rPr>
              <w:t>FUNCIONES</w:t>
            </w:r>
            <w:r>
              <w:rPr>
                <w:b/>
                <w:color w:val="333333"/>
                <w:spacing w:val="-16"/>
                <w:sz w:val="18"/>
              </w:rPr>
              <w:t xml:space="preserve"> </w:t>
            </w:r>
            <w:r>
              <w:rPr>
                <w:b/>
                <w:color w:val="333333"/>
                <w:sz w:val="18"/>
              </w:rPr>
              <w:t>DE</w:t>
            </w:r>
            <w:r>
              <w:rPr>
                <w:b/>
                <w:color w:val="333333"/>
                <w:spacing w:val="-15"/>
                <w:sz w:val="18"/>
              </w:rPr>
              <w:t xml:space="preserve"> </w:t>
            </w:r>
            <w:r>
              <w:rPr>
                <w:b/>
                <w:color w:val="333333"/>
                <w:sz w:val="18"/>
              </w:rPr>
              <w:t>LA</w:t>
            </w:r>
            <w:r>
              <w:rPr>
                <w:b/>
                <w:color w:val="333333"/>
                <w:spacing w:val="-16"/>
                <w:sz w:val="18"/>
              </w:rPr>
              <w:t xml:space="preserve"> </w:t>
            </w:r>
            <w:r>
              <w:rPr>
                <w:b/>
                <w:color w:val="333333"/>
                <w:sz w:val="18"/>
              </w:rPr>
              <w:t>DIRECCIÓN</w:t>
            </w:r>
            <w:r>
              <w:rPr>
                <w:b/>
                <w:color w:val="333333"/>
                <w:spacing w:val="-15"/>
                <w:sz w:val="18"/>
              </w:rPr>
              <w:t xml:space="preserve"> </w:t>
            </w:r>
            <w:r>
              <w:rPr>
                <w:b/>
                <w:color w:val="333333"/>
                <w:sz w:val="18"/>
              </w:rPr>
              <w:t>PARA LAS MUJERES EN ACTIVIDADES SEXUALES PAGAS</w:t>
            </w:r>
          </w:p>
          <w:p w14:paraId="528A4B6C" w14:textId="77777777" w:rsidR="000E52B0" w:rsidRDefault="00F60D74">
            <w:pPr>
              <w:pStyle w:val="TableParagraph"/>
              <w:spacing w:before="218"/>
              <w:ind w:left="108" w:right="97"/>
              <w:jc w:val="both"/>
              <w:rPr>
                <w:i/>
                <w:sz w:val="18"/>
              </w:rPr>
            </w:pPr>
            <w:r>
              <w:rPr>
                <w:i/>
                <w:color w:val="333333"/>
                <w:sz w:val="18"/>
              </w:rPr>
              <w:t>Adoptar, diseñar e implementar lineamientos</w:t>
            </w:r>
            <w:r>
              <w:rPr>
                <w:i/>
                <w:color w:val="333333"/>
                <w:spacing w:val="-5"/>
                <w:sz w:val="18"/>
              </w:rPr>
              <w:t xml:space="preserve"> </w:t>
            </w:r>
            <w:r>
              <w:rPr>
                <w:i/>
                <w:color w:val="333333"/>
                <w:sz w:val="18"/>
              </w:rPr>
              <w:t>y</w:t>
            </w:r>
            <w:r>
              <w:rPr>
                <w:i/>
                <w:color w:val="333333"/>
                <w:spacing w:val="-6"/>
                <w:sz w:val="18"/>
              </w:rPr>
              <w:t xml:space="preserve"> </w:t>
            </w:r>
            <w:r>
              <w:rPr>
                <w:i/>
                <w:color w:val="333333"/>
                <w:sz w:val="18"/>
              </w:rPr>
              <w:t>rutas</w:t>
            </w:r>
            <w:r>
              <w:rPr>
                <w:i/>
                <w:color w:val="333333"/>
                <w:spacing w:val="-6"/>
                <w:sz w:val="18"/>
              </w:rPr>
              <w:t xml:space="preserve"> </w:t>
            </w:r>
            <w:r>
              <w:rPr>
                <w:i/>
                <w:color w:val="333333"/>
                <w:sz w:val="18"/>
              </w:rPr>
              <w:t>de</w:t>
            </w:r>
            <w:r>
              <w:rPr>
                <w:i/>
                <w:color w:val="333333"/>
                <w:spacing w:val="-5"/>
                <w:sz w:val="18"/>
              </w:rPr>
              <w:t xml:space="preserve"> </w:t>
            </w:r>
            <w:r>
              <w:rPr>
                <w:i/>
                <w:color w:val="333333"/>
                <w:sz w:val="18"/>
              </w:rPr>
              <w:t>atención</w:t>
            </w:r>
            <w:r>
              <w:rPr>
                <w:i/>
                <w:color w:val="333333"/>
                <w:spacing w:val="-6"/>
                <w:sz w:val="18"/>
              </w:rPr>
              <w:t xml:space="preserve"> </w:t>
            </w:r>
            <w:r>
              <w:rPr>
                <w:i/>
                <w:color w:val="333333"/>
                <w:sz w:val="18"/>
              </w:rPr>
              <w:t>para</w:t>
            </w:r>
            <w:r>
              <w:rPr>
                <w:i/>
                <w:color w:val="333333"/>
                <w:spacing w:val="-5"/>
                <w:sz w:val="18"/>
              </w:rPr>
              <w:t xml:space="preserve"> </w:t>
            </w:r>
            <w:r>
              <w:rPr>
                <w:i/>
                <w:color w:val="333333"/>
                <w:sz w:val="18"/>
              </w:rPr>
              <w:t>la garantía</w:t>
            </w:r>
            <w:r>
              <w:rPr>
                <w:i/>
                <w:color w:val="333333"/>
                <w:spacing w:val="-2"/>
                <w:sz w:val="18"/>
              </w:rPr>
              <w:t xml:space="preserve"> </w:t>
            </w:r>
            <w:r>
              <w:rPr>
                <w:i/>
                <w:color w:val="333333"/>
                <w:sz w:val="18"/>
              </w:rPr>
              <w:t>de</w:t>
            </w:r>
            <w:r>
              <w:rPr>
                <w:i/>
                <w:color w:val="333333"/>
                <w:spacing w:val="-1"/>
                <w:sz w:val="18"/>
              </w:rPr>
              <w:t xml:space="preserve"> </w:t>
            </w:r>
            <w:r>
              <w:rPr>
                <w:i/>
                <w:color w:val="333333"/>
                <w:sz w:val="18"/>
              </w:rPr>
              <w:t>los</w:t>
            </w:r>
            <w:r>
              <w:rPr>
                <w:i/>
                <w:color w:val="333333"/>
                <w:spacing w:val="-2"/>
                <w:sz w:val="18"/>
              </w:rPr>
              <w:t xml:space="preserve"> </w:t>
            </w:r>
            <w:r>
              <w:rPr>
                <w:i/>
                <w:color w:val="333333"/>
                <w:sz w:val="18"/>
              </w:rPr>
              <w:t>derechos</w:t>
            </w:r>
            <w:r>
              <w:rPr>
                <w:i/>
                <w:color w:val="333333"/>
                <w:spacing w:val="-2"/>
                <w:sz w:val="18"/>
              </w:rPr>
              <w:t xml:space="preserve"> </w:t>
            </w:r>
            <w:r>
              <w:rPr>
                <w:i/>
                <w:color w:val="333333"/>
                <w:sz w:val="18"/>
              </w:rPr>
              <w:t>de</w:t>
            </w:r>
            <w:r>
              <w:rPr>
                <w:i/>
                <w:color w:val="333333"/>
                <w:spacing w:val="-1"/>
                <w:sz w:val="18"/>
              </w:rPr>
              <w:t xml:space="preserve"> </w:t>
            </w:r>
            <w:r>
              <w:rPr>
                <w:i/>
                <w:color w:val="333333"/>
                <w:sz w:val="18"/>
              </w:rPr>
              <w:t>las</w:t>
            </w:r>
            <w:r>
              <w:rPr>
                <w:i/>
                <w:color w:val="333333"/>
                <w:spacing w:val="-2"/>
                <w:sz w:val="18"/>
              </w:rPr>
              <w:t xml:space="preserve"> </w:t>
            </w:r>
            <w:r>
              <w:rPr>
                <w:i/>
                <w:color w:val="333333"/>
                <w:sz w:val="18"/>
              </w:rPr>
              <w:t>mujeres en actividades sexuales pagas en cualquiera de sus modalidades.</w:t>
            </w:r>
          </w:p>
          <w:p w14:paraId="1E7C618D" w14:textId="77777777" w:rsidR="000E52B0" w:rsidRDefault="000E52B0">
            <w:pPr>
              <w:pStyle w:val="TableParagraph"/>
              <w:rPr>
                <w:sz w:val="18"/>
              </w:rPr>
            </w:pPr>
          </w:p>
          <w:p w14:paraId="24B7269B" w14:textId="77777777" w:rsidR="000E52B0" w:rsidRDefault="00F60D74">
            <w:pPr>
              <w:pStyle w:val="TableParagraph"/>
              <w:ind w:left="108" w:right="95"/>
              <w:jc w:val="both"/>
              <w:rPr>
                <w:b/>
                <w:sz w:val="18"/>
              </w:rPr>
            </w:pPr>
            <w:r>
              <w:rPr>
                <w:b/>
                <w:color w:val="333333"/>
                <w:sz w:val="18"/>
              </w:rPr>
              <w:t>FUNCIONES</w:t>
            </w:r>
            <w:r>
              <w:rPr>
                <w:b/>
                <w:color w:val="333333"/>
                <w:spacing w:val="-16"/>
                <w:sz w:val="18"/>
              </w:rPr>
              <w:t xml:space="preserve"> </w:t>
            </w:r>
            <w:r>
              <w:rPr>
                <w:b/>
                <w:color w:val="333333"/>
                <w:sz w:val="18"/>
              </w:rPr>
              <w:t>DE</w:t>
            </w:r>
            <w:r>
              <w:rPr>
                <w:b/>
                <w:color w:val="333333"/>
                <w:spacing w:val="-15"/>
                <w:sz w:val="18"/>
              </w:rPr>
              <w:t xml:space="preserve"> </w:t>
            </w:r>
            <w:r>
              <w:rPr>
                <w:b/>
                <w:color w:val="333333"/>
                <w:sz w:val="18"/>
              </w:rPr>
              <w:t>LA</w:t>
            </w:r>
            <w:r>
              <w:rPr>
                <w:b/>
                <w:color w:val="333333"/>
                <w:spacing w:val="-16"/>
                <w:sz w:val="18"/>
              </w:rPr>
              <w:t xml:space="preserve"> </w:t>
            </w:r>
            <w:r>
              <w:rPr>
                <w:b/>
                <w:color w:val="333333"/>
                <w:sz w:val="18"/>
              </w:rPr>
              <w:t>DIRECCIÓN</w:t>
            </w:r>
            <w:r>
              <w:rPr>
                <w:b/>
                <w:color w:val="333333"/>
                <w:spacing w:val="-15"/>
                <w:sz w:val="18"/>
              </w:rPr>
              <w:t xml:space="preserve"> </w:t>
            </w:r>
            <w:r>
              <w:rPr>
                <w:b/>
                <w:color w:val="333333"/>
                <w:sz w:val="18"/>
              </w:rPr>
              <w:t>PARA LAS MADRES CABEZA DE FAMILIA</w:t>
            </w:r>
          </w:p>
          <w:p w14:paraId="2150CD9F" w14:textId="77777777" w:rsidR="000E52B0" w:rsidRDefault="000E52B0">
            <w:pPr>
              <w:pStyle w:val="TableParagraph"/>
              <w:spacing w:before="1"/>
              <w:rPr>
                <w:sz w:val="18"/>
              </w:rPr>
            </w:pPr>
          </w:p>
          <w:p w14:paraId="33ED00EA" w14:textId="77777777" w:rsidR="000E52B0" w:rsidRDefault="00F60D74">
            <w:pPr>
              <w:pStyle w:val="TableParagraph"/>
              <w:spacing w:before="1"/>
              <w:ind w:left="108" w:right="97"/>
              <w:jc w:val="both"/>
              <w:rPr>
                <w:sz w:val="18"/>
              </w:rPr>
            </w:pPr>
            <w:r>
              <w:rPr>
                <w:i/>
                <w:color w:val="333333"/>
                <w:sz w:val="18"/>
              </w:rPr>
              <w:t>Adoptar y ejecutar políticas, planes, programas y proyectos orientados a fomentar la inclusión productiva, el emprendimiento y el acceso a servicios para las madres cabeza de familia</w:t>
            </w:r>
            <w:r>
              <w:rPr>
                <w:color w:val="333333"/>
                <w:sz w:val="18"/>
              </w:rPr>
              <w:t>.</w:t>
            </w:r>
          </w:p>
          <w:p w14:paraId="2648D4AC" w14:textId="77777777" w:rsidR="000E52B0" w:rsidRDefault="00F60D74">
            <w:pPr>
              <w:pStyle w:val="TableParagraph"/>
              <w:spacing w:before="217"/>
              <w:ind w:left="828" w:right="94" w:hanging="360"/>
              <w:jc w:val="both"/>
              <w:rPr>
                <w:b/>
                <w:sz w:val="18"/>
              </w:rPr>
            </w:pPr>
            <w:r>
              <w:rPr>
                <w:b/>
                <w:sz w:val="18"/>
              </w:rPr>
              <w:t xml:space="preserve">2. DISEÑO, FORMULACIÓN Y EJECUCIÓN DE ACCIONES </w:t>
            </w:r>
            <w:r>
              <w:rPr>
                <w:b/>
                <w:spacing w:val="-2"/>
                <w:sz w:val="18"/>
              </w:rPr>
              <w:t>CONCRETAS</w:t>
            </w:r>
          </w:p>
          <w:p w14:paraId="53137EC9" w14:textId="77777777" w:rsidR="000E52B0" w:rsidRDefault="000E52B0">
            <w:pPr>
              <w:pStyle w:val="TableParagraph"/>
              <w:rPr>
                <w:sz w:val="18"/>
              </w:rPr>
            </w:pPr>
          </w:p>
          <w:p w14:paraId="2DF3B69E" w14:textId="77777777" w:rsidR="000E52B0" w:rsidRDefault="00F60D74">
            <w:pPr>
              <w:pStyle w:val="TableParagraph"/>
              <w:spacing w:before="1"/>
              <w:ind w:left="828"/>
              <w:rPr>
                <w:sz w:val="18"/>
              </w:rPr>
            </w:pPr>
            <w:r>
              <w:rPr>
                <w:color w:val="333333"/>
                <w:spacing w:val="-2"/>
                <w:sz w:val="18"/>
              </w:rPr>
              <w:t>Programas</w:t>
            </w:r>
          </w:p>
          <w:p w14:paraId="79B19DD1" w14:textId="77777777" w:rsidR="000E52B0" w:rsidRDefault="00F60D74">
            <w:pPr>
              <w:pStyle w:val="TableParagraph"/>
              <w:spacing w:before="218"/>
              <w:ind w:left="108" w:right="95"/>
              <w:jc w:val="both"/>
              <w:rPr>
                <w:sz w:val="18"/>
              </w:rPr>
            </w:pPr>
            <w:r>
              <w:rPr>
                <w:b/>
                <w:sz w:val="18"/>
              </w:rPr>
              <w:t>programa</w:t>
            </w:r>
            <w:r>
              <w:rPr>
                <w:b/>
                <w:spacing w:val="-4"/>
                <w:sz w:val="18"/>
              </w:rPr>
              <w:t xml:space="preserve"> </w:t>
            </w:r>
            <w:r>
              <w:rPr>
                <w:b/>
                <w:sz w:val="18"/>
              </w:rPr>
              <w:t>“Casas</w:t>
            </w:r>
            <w:r>
              <w:rPr>
                <w:b/>
                <w:spacing w:val="-3"/>
                <w:sz w:val="18"/>
              </w:rPr>
              <w:t xml:space="preserve"> </w:t>
            </w:r>
            <w:r>
              <w:rPr>
                <w:b/>
                <w:sz w:val="18"/>
              </w:rPr>
              <w:t>para</w:t>
            </w:r>
            <w:r>
              <w:rPr>
                <w:b/>
                <w:spacing w:val="-4"/>
                <w:sz w:val="18"/>
              </w:rPr>
              <w:t xml:space="preserve"> </w:t>
            </w:r>
            <w:r>
              <w:rPr>
                <w:b/>
                <w:sz w:val="18"/>
              </w:rPr>
              <w:t>la</w:t>
            </w:r>
            <w:r>
              <w:rPr>
                <w:b/>
                <w:spacing w:val="-4"/>
                <w:sz w:val="18"/>
              </w:rPr>
              <w:t xml:space="preserve"> </w:t>
            </w:r>
            <w:r>
              <w:rPr>
                <w:b/>
                <w:sz w:val="18"/>
              </w:rPr>
              <w:t xml:space="preserve">Dignidad”. </w:t>
            </w:r>
            <w:r>
              <w:rPr>
                <w:sz w:val="18"/>
              </w:rPr>
              <w:t>Las Casas para la Dignidad de las Mujeres son espacios donde se materializa la respuesta institucional para garantizar los derechos de las mujeres</w:t>
            </w:r>
            <w:r>
              <w:rPr>
                <w:spacing w:val="-16"/>
                <w:sz w:val="18"/>
              </w:rPr>
              <w:t xml:space="preserve"> </w:t>
            </w:r>
            <w:r>
              <w:rPr>
                <w:sz w:val="18"/>
              </w:rPr>
              <w:t>en</w:t>
            </w:r>
            <w:r>
              <w:rPr>
                <w:spacing w:val="-16"/>
                <w:sz w:val="18"/>
              </w:rPr>
              <w:t xml:space="preserve"> </w:t>
            </w:r>
            <w:r>
              <w:rPr>
                <w:sz w:val="18"/>
              </w:rPr>
              <w:t>toda</w:t>
            </w:r>
            <w:r>
              <w:rPr>
                <w:spacing w:val="-16"/>
                <w:sz w:val="18"/>
              </w:rPr>
              <w:t xml:space="preserve"> </w:t>
            </w:r>
            <w:r>
              <w:rPr>
                <w:sz w:val="18"/>
              </w:rPr>
              <w:t>su</w:t>
            </w:r>
            <w:r>
              <w:rPr>
                <w:spacing w:val="-16"/>
                <w:sz w:val="18"/>
              </w:rPr>
              <w:t xml:space="preserve"> </w:t>
            </w:r>
            <w:r>
              <w:rPr>
                <w:sz w:val="18"/>
              </w:rPr>
              <w:t>diversidad,</w:t>
            </w:r>
            <w:r>
              <w:rPr>
                <w:spacing w:val="-16"/>
                <w:sz w:val="18"/>
              </w:rPr>
              <w:t xml:space="preserve"> </w:t>
            </w:r>
            <w:r>
              <w:rPr>
                <w:sz w:val="18"/>
              </w:rPr>
              <w:t>mediante programas, proyectos y acciones que permiten fortalecer los derechos de las mujeres; prevenir y atender las violencias contra las mujeres; cerrar brechas digitales y de formación; alcanzar condiciones laborales dignas; tener apoyo psicosocial; fortalecer y fomentar procesos organizativos, iniciativas de autonomía económica y expresiones culturales y deportivas de las mujeres.</w:t>
            </w:r>
          </w:p>
          <w:p w14:paraId="2E0053A3" w14:textId="77777777" w:rsidR="000E52B0" w:rsidRDefault="000E52B0">
            <w:pPr>
              <w:pStyle w:val="TableParagraph"/>
              <w:spacing w:before="1"/>
              <w:rPr>
                <w:sz w:val="18"/>
              </w:rPr>
            </w:pPr>
          </w:p>
          <w:p w14:paraId="5D955FAB" w14:textId="77777777" w:rsidR="000E52B0" w:rsidRDefault="00F60D74">
            <w:pPr>
              <w:pStyle w:val="TableParagraph"/>
              <w:ind w:left="108" w:right="95"/>
              <w:jc w:val="both"/>
              <w:rPr>
                <w:b/>
                <w:sz w:val="18"/>
              </w:rPr>
            </w:pPr>
            <w:r>
              <w:rPr>
                <w:b/>
                <w:sz w:val="18"/>
              </w:rPr>
              <w:t xml:space="preserve">Programa “Garantías, Derechos Y Alternativas De Vida Para Las Mujeres En Actividades Sexuales </w:t>
            </w:r>
            <w:proofErr w:type="gramStart"/>
            <w:r>
              <w:rPr>
                <w:b/>
                <w:sz w:val="18"/>
              </w:rPr>
              <w:t>Pagas</w:t>
            </w:r>
            <w:r>
              <w:rPr>
                <w:b/>
                <w:spacing w:val="30"/>
                <w:sz w:val="18"/>
              </w:rPr>
              <w:t xml:space="preserve">  </w:t>
            </w:r>
            <w:r>
              <w:rPr>
                <w:b/>
                <w:sz w:val="18"/>
              </w:rPr>
              <w:t>Diversas</w:t>
            </w:r>
            <w:proofErr w:type="gramEnd"/>
            <w:r>
              <w:rPr>
                <w:b/>
                <w:spacing w:val="29"/>
                <w:sz w:val="18"/>
              </w:rPr>
              <w:t xml:space="preserve">  </w:t>
            </w:r>
            <w:proofErr w:type="gramStart"/>
            <w:r>
              <w:rPr>
                <w:b/>
                <w:sz w:val="18"/>
              </w:rPr>
              <w:t>Y</w:t>
            </w:r>
            <w:r>
              <w:rPr>
                <w:b/>
                <w:spacing w:val="30"/>
                <w:sz w:val="18"/>
              </w:rPr>
              <w:t xml:space="preserve">  </w:t>
            </w:r>
            <w:r>
              <w:rPr>
                <w:b/>
                <w:spacing w:val="-2"/>
                <w:sz w:val="18"/>
              </w:rPr>
              <w:t>Diferenciales</w:t>
            </w:r>
            <w:proofErr w:type="gramEnd"/>
            <w:r>
              <w:rPr>
                <w:b/>
                <w:spacing w:val="-2"/>
                <w:sz w:val="18"/>
              </w:rPr>
              <w:t>”.</w:t>
            </w:r>
          </w:p>
          <w:p w14:paraId="4683F997" w14:textId="77777777" w:rsidR="000E52B0" w:rsidRDefault="00F60D74">
            <w:pPr>
              <w:pStyle w:val="TableParagraph"/>
              <w:spacing w:before="1" w:line="199" w:lineRule="exact"/>
              <w:ind w:left="108"/>
              <w:jc w:val="both"/>
              <w:rPr>
                <w:sz w:val="18"/>
              </w:rPr>
            </w:pPr>
            <w:r>
              <w:rPr>
                <w:sz w:val="18"/>
              </w:rPr>
              <w:t>Tiene</w:t>
            </w:r>
            <w:r>
              <w:rPr>
                <w:spacing w:val="72"/>
                <w:w w:val="150"/>
                <w:sz w:val="18"/>
              </w:rPr>
              <w:t xml:space="preserve"> </w:t>
            </w:r>
            <w:r>
              <w:rPr>
                <w:sz w:val="18"/>
              </w:rPr>
              <w:t>como</w:t>
            </w:r>
            <w:r>
              <w:rPr>
                <w:spacing w:val="73"/>
                <w:w w:val="150"/>
                <w:sz w:val="18"/>
              </w:rPr>
              <w:t xml:space="preserve"> </w:t>
            </w:r>
            <w:r>
              <w:rPr>
                <w:sz w:val="18"/>
              </w:rPr>
              <w:t>objetivo</w:t>
            </w:r>
            <w:r>
              <w:rPr>
                <w:spacing w:val="73"/>
                <w:w w:val="150"/>
                <w:sz w:val="18"/>
              </w:rPr>
              <w:t xml:space="preserve"> </w:t>
            </w:r>
            <w:r>
              <w:rPr>
                <w:sz w:val="18"/>
              </w:rPr>
              <w:t>avanzar</w:t>
            </w:r>
            <w:r>
              <w:rPr>
                <w:spacing w:val="72"/>
                <w:w w:val="150"/>
                <w:sz w:val="18"/>
              </w:rPr>
              <w:t xml:space="preserve"> </w:t>
            </w:r>
            <w:r>
              <w:rPr>
                <w:sz w:val="18"/>
              </w:rPr>
              <w:t>en</w:t>
            </w:r>
            <w:r>
              <w:rPr>
                <w:spacing w:val="73"/>
                <w:w w:val="150"/>
                <w:sz w:val="18"/>
              </w:rPr>
              <w:t xml:space="preserve"> </w:t>
            </w:r>
            <w:r>
              <w:rPr>
                <w:spacing w:val="-5"/>
                <w:sz w:val="18"/>
              </w:rPr>
              <w:t>la</w:t>
            </w:r>
          </w:p>
        </w:tc>
      </w:tr>
    </w:tbl>
    <w:p w14:paraId="4C612AF1" w14:textId="77777777" w:rsidR="000E52B0" w:rsidRDefault="000E52B0">
      <w:pPr>
        <w:pStyle w:val="TableParagraph"/>
        <w:spacing w:line="199" w:lineRule="exact"/>
        <w:jc w:val="both"/>
        <w:rPr>
          <w:sz w:val="18"/>
        </w:rPr>
        <w:sectPr w:rsidR="000E52B0">
          <w:type w:val="continuous"/>
          <w:pgSz w:w="11910" w:h="16840"/>
          <w:pgMar w:top="1400" w:right="720" w:bottom="1408" w:left="720" w:header="0" w:footer="995"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3752"/>
        <w:gridCol w:w="3870"/>
      </w:tblGrid>
      <w:tr w:rsidR="000E52B0" w14:paraId="1D66D552" w14:textId="77777777">
        <w:trPr>
          <w:trHeight w:val="436"/>
        </w:trPr>
        <w:tc>
          <w:tcPr>
            <w:tcW w:w="1394" w:type="dxa"/>
            <w:shd w:val="clear" w:color="auto" w:fill="D44673"/>
          </w:tcPr>
          <w:p w14:paraId="46B94348" w14:textId="77777777" w:rsidR="000E52B0" w:rsidRDefault="00F60D74">
            <w:pPr>
              <w:pStyle w:val="TableParagraph"/>
              <w:spacing w:before="109"/>
              <w:ind w:left="10"/>
              <w:jc w:val="center"/>
              <w:rPr>
                <w:b/>
                <w:sz w:val="18"/>
              </w:rPr>
            </w:pPr>
            <w:r>
              <w:rPr>
                <w:b/>
                <w:color w:val="FFFFFF"/>
                <w:spacing w:val="-5"/>
                <w:sz w:val="18"/>
              </w:rPr>
              <w:lastRenderedPageBreak/>
              <w:t>ODS</w:t>
            </w:r>
          </w:p>
        </w:tc>
        <w:tc>
          <w:tcPr>
            <w:tcW w:w="3752" w:type="dxa"/>
            <w:shd w:val="clear" w:color="auto" w:fill="D44673"/>
          </w:tcPr>
          <w:p w14:paraId="4C56F1EE" w14:textId="77777777" w:rsidR="000E52B0" w:rsidRDefault="00F60D74">
            <w:pPr>
              <w:pStyle w:val="TableParagraph"/>
              <w:spacing w:before="109"/>
              <w:ind w:left="6"/>
              <w:jc w:val="center"/>
              <w:rPr>
                <w:b/>
                <w:sz w:val="18"/>
              </w:rPr>
            </w:pPr>
            <w:r>
              <w:rPr>
                <w:b/>
                <w:color w:val="FFFFFF"/>
                <w:spacing w:val="-4"/>
                <w:sz w:val="18"/>
              </w:rPr>
              <w:t>Meta</w:t>
            </w:r>
          </w:p>
        </w:tc>
        <w:tc>
          <w:tcPr>
            <w:tcW w:w="3870" w:type="dxa"/>
            <w:shd w:val="clear" w:color="auto" w:fill="D44673"/>
          </w:tcPr>
          <w:p w14:paraId="3E8C09F5" w14:textId="77777777" w:rsidR="000E52B0" w:rsidRDefault="00F60D74">
            <w:pPr>
              <w:pStyle w:val="TableParagraph"/>
              <w:spacing w:line="218" w:lineRule="exact"/>
              <w:ind w:left="900" w:hanging="687"/>
              <w:rPr>
                <w:b/>
                <w:sz w:val="18"/>
              </w:rPr>
            </w:pPr>
            <w:r>
              <w:rPr>
                <w:b/>
                <w:color w:val="FFFFFF"/>
                <w:sz w:val="18"/>
              </w:rPr>
              <w:t>¿Cómo</w:t>
            </w:r>
            <w:r>
              <w:rPr>
                <w:b/>
                <w:color w:val="FFFFFF"/>
                <w:spacing w:val="-9"/>
                <w:sz w:val="18"/>
              </w:rPr>
              <w:t xml:space="preserve"> </w:t>
            </w:r>
            <w:r>
              <w:rPr>
                <w:b/>
                <w:color w:val="FFFFFF"/>
                <w:sz w:val="18"/>
              </w:rPr>
              <w:t>contribuye</w:t>
            </w:r>
            <w:r>
              <w:rPr>
                <w:b/>
                <w:color w:val="FFFFFF"/>
                <w:spacing w:val="-9"/>
                <w:sz w:val="18"/>
              </w:rPr>
              <w:t xml:space="preserve"> </w:t>
            </w:r>
            <w:r>
              <w:rPr>
                <w:b/>
                <w:color w:val="FFFFFF"/>
                <w:sz w:val="18"/>
              </w:rPr>
              <w:t>el</w:t>
            </w:r>
            <w:r>
              <w:rPr>
                <w:b/>
                <w:color w:val="FFFFFF"/>
                <w:spacing w:val="-9"/>
                <w:sz w:val="18"/>
              </w:rPr>
              <w:t xml:space="preserve"> </w:t>
            </w:r>
            <w:r>
              <w:rPr>
                <w:b/>
                <w:color w:val="FFFFFF"/>
                <w:sz w:val="18"/>
              </w:rPr>
              <w:t>Ministerio</w:t>
            </w:r>
            <w:r>
              <w:rPr>
                <w:b/>
                <w:color w:val="FFFFFF"/>
                <w:spacing w:val="-9"/>
                <w:sz w:val="18"/>
              </w:rPr>
              <w:t xml:space="preserve"> </w:t>
            </w:r>
            <w:r>
              <w:rPr>
                <w:b/>
                <w:color w:val="FFFFFF"/>
                <w:sz w:val="18"/>
              </w:rPr>
              <w:t>de Igualdad y Equidad?</w:t>
            </w:r>
          </w:p>
        </w:tc>
      </w:tr>
      <w:tr w:rsidR="000E52B0" w14:paraId="6794D983" w14:textId="77777777">
        <w:trPr>
          <w:trHeight w:val="10981"/>
        </w:trPr>
        <w:tc>
          <w:tcPr>
            <w:tcW w:w="1394" w:type="dxa"/>
          </w:tcPr>
          <w:p w14:paraId="0D12720D" w14:textId="77777777" w:rsidR="000E52B0" w:rsidRDefault="000E52B0">
            <w:pPr>
              <w:pStyle w:val="TableParagraph"/>
              <w:rPr>
                <w:rFonts w:ascii="Times New Roman"/>
                <w:sz w:val="18"/>
              </w:rPr>
            </w:pPr>
          </w:p>
        </w:tc>
        <w:tc>
          <w:tcPr>
            <w:tcW w:w="3752" w:type="dxa"/>
          </w:tcPr>
          <w:p w14:paraId="17AE063C" w14:textId="77777777" w:rsidR="000E52B0" w:rsidRDefault="000E52B0">
            <w:pPr>
              <w:pStyle w:val="TableParagraph"/>
              <w:rPr>
                <w:rFonts w:ascii="Times New Roman"/>
                <w:sz w:val="18"/>
              </w:rPr>
            </w:pPr>
          </w:p>
        </w:tc>
        <w:tc>
          <w:tcPr>
            <w:tcW w:w="3870" w:type="dxa"/>
          </w:tcPr>
          <w:p w14:paraId="0A31F767" w14:textId="77777777" w:rsidR="000E52B0" w:rsidRDefault="00F60D74">
            <w:pPr>
              <w:pStyle w:val="TableParagraph"/>
              <w:spacing w:before="1"/>
              <w:ind w:left="108" w:right="97"/>
              <w:jc w:val="both"/>
              <w:rPr>
                <w:sz w:val="18"/>
              </w:rPr>
            </w:pPr>
            <w:r>
              <w:rPr>
                <w:sz w:val="18"/>
              </w:rPr>
              <w:t xml:space="preserve">protección de los derechos de las Mujeres en Actividades Sexuales Pagas diversas y diferenciales para que vivan en dignidad, libres de violencias y sin </w:t>
            </w:r>
            <w:r>
              <w:rPr>
                <w:spacing w:val="-2"/>
                <w:sz w:val="18"/>
              </w:rPr>
              <w:t>discriminación.</w:t>
            </w:r>
          </w:p>
          <w:p w14:paraId="39ECE876" w14:textId="77777777" w:rsidR="000E52B0" w:rsidRDefault="000E52B0">
            <w:pPr>
              <w:pStyle w:val="TableParagraph"/>
              <w:rPr>
                <w:sz w:val="18"/>
              </w:rPr>
            </w:pPr>
          </w:p>
          <w:p w14:paraId="509EB9A1" w14:textId="77777777" w:rsidR="000E52B0" w:rsidRDefault="000E52B0">
            <w:pPr>
              <w:pStyle w:val="TableParagraph"/>
              <w:rPr>
                <w:sz w:val="18"/>
              </w:rPr>
            </w:pPr>
          </w:p>
          <w:p w14:paraId="74442941" w14:textId="77777777" w:rsidR="000E52B0" w:rsidRDefault="00F60D74">
            <w:pPr>
              <w:pStyle w:val="TableParagraph"/>
              <w:ind w:left="108" w:right="94"/>
              <w:jc w:val="both"/>
              <w:rPr>
                <w:b/>
                <w:sz w:val="18"/>
              </w:rPr>
            </w:pPr>
            <w:r>
              <w:rPr>
                <w:b/>
                <w:sz w:val="18"/>
              </w:rPr>
              <w:t xml:space="preserve">Programa “Mujeres En El Centro De La Política, La Vida, La Paz Y El </w:t>
            </w:r>
            <w:r>
              <w:rPr>
                <w:b/>
                <w:spacing w:val="-2"/>
                <w:sz w:val="18"/>
              </w:rPr>
              <w:t>Territorio”.</w:t>
            </w:r>
          </w:p>
          <w:p w14:paraId="75EFA5A9" w14:textId="77777777" w:rsidR="000E52B0" w:rsidRDefault="00F60D74">
            <w:pPr>
              <w:pStyle w:val="TableParagraph"/>
              <w:ind w:left="108" w:right="94"/>
              <w:jc w:val="both"/>
              <w:rPr>
                <w:sz w:val="18"/>
              </w:rPr>
            </w:pPr>
            <w:r>
              <w:rPr>
                <w:sz w:val="18"/>
              </w:rPr>
              <w:t>Tiene como objetivo garantizar las condiciones para el fortalecimiento de los procesos organizativos y comunitarios, liderazgos e</w:t>
            </w:r>
            <w:r>
              <w:rPr>
                <w:spacing w:val="-1"/>
                <w:sz w:val="18"/>
              </w:rPr>
              <w:t xml:space="preserve"> </w:t>
            </w:r>
            <w:r>
              <w:rPr>
                <w:sz w:val="18"/>
              </w:rPr>
              <w:t>iniciativas de las mujeres en todas sus diversidades para la participación incidente en escenarios sociales, políticos, económicos, culturales, ambientales y de construcción de paz.</w:t>
            </w:r>
          </w:p>
          <w:p w14:paraId="05B338C3" w14:textId="77777777" w:rsidR="000E52B0" w:rsidRDefault="000E52B0">
            <w:pPr>
              <w:pStyle w:val="TableParagraph"/>
              <w:spacing w:before="216"/>
              <w:rPr>
                <w:sz w:val="18"/>
              </w:rPr>
            </w:pPr>
          </w:p>
          <w:p w14:paraId="479547C3" w14:textId="77777777" w:rsidR="000E52B0" w:rsidRDefault="00F60D74">
            <w:pPr>
              <w:pStyle w:val="TableParagraph"/>
              <w:spacing w:before="1"/>
              <w:ind w:left="108" w:right="95"/>
              <w:jc w:val="both"/>
              <w:rPr>
                <w:b/>
                <w:sz w:val="18"/>
              </w:rPr>
            </w:pPr>
            <w:r>
              <w:rPr>
                <w:b/>
                <w:sz w:val="18"/>
              </w:rPr>
              <w:t>Programa “Autonomía económica de las Mujeres”</w:t>
            </w:r>
          </w:p>
          <w:p w14:paraId="44EEE326" w14:textId="77777777" w:rsidR="000E52B0" w:rsidRDefault="00F60D74">
            <w:pPr>
              <w:pStyle w:val="TableParagraph"/>
              <w:spacing w:before="160"/>
              <w:ind w:left="108" w:right="93"/>
              <w:jc w:val="both"/>
              <w:rPr>
                <w:sz w:val="18"/>
              </w:rPr>
            </w:pPr>
            <w:r>
              <w:rPr>
                <w:spacing w:val="-2"/>
                <w:sz w:val="18"/>
              </w:rPr>
              <w:t>Busca</w:t>
            </w:r>
            <w:r>
              <w:rPr>
                <w:spacing w:val="-10"/>
                <w:sz w:val="18"/>
              </w:rPr>
              <w:t xml:space="preserve"> </w:t>
            </w:r>
            <w:r>
              <w:rPr>
                <w:spacing w:val="-2"/>
                <w:sz w:val="18"/>
              </w:rPr>
              <w:t>avanzar</w:t>
            </w:r>
            <w:r>
              <w:rPr>
                <w:spacing w:val="-10"/>
                <w:sz w:val="18"/>
              </w:rPr>
              <w:t xml:space="preserve"> </w:t>
            </w:r>
            <w:r>
              <w:rPr>
                <w:spacing w:val="-2"/>
                <w:sz w:val="18"/>
              </w:rPr>
              <w:t>en</w:t>
            </w:r>
            <w:r>
              <w:rPr>
                <w:spacing w:val="-9"/>
                <w:sz w:val="18"/>
              </w:rPr>
              <w:t xml:space="preserve"> </w:t>
            </w:r>
            <w:r>
              <w:rPr>
                <w:spacing w:val="-2"/>
                <w:sz w:val="18"/>
              </w:rPr>
              <w:t>la</w:t>
            </w:r>
            <w:r>
              <w:rPr>
                <w:spacing w:val="-10"/>
                <w:sz w:val="18"/>
              </w:rPr>
              <w:t xml:space="preserve"> </w:t>
            </w:r>
            <w:r>
              <w:rPr>
                <w:spacing w:val="-2"/>
                <w:sz w:val="18"/>
              </w:rPr>
              <w:t>garantía</w:t>
            </w:r>
            <w:r>
              <w:rPr>
                <w:spacing w:val="-10"/>
                <w:sz w:val="18"/>
              </w:rPr>
              <w:t xml:space="preserve"> </w:t>
            </w:r>
            <w:r>
              <w:rPr>
                <w:spacing w:val="-2"/>
                <w:sz w:val="18"/>
              </w:rPr>
              <w:t>del</w:t>
            </w:r>
            <w:r>
              <w:rPr>
                <w:spacing w:val="-9"/>
                <w:sz w:val="18"/>
              </w:rPr>
              <w:t xml:space="preserve"> </w:t>
            </w:r>
            <w:r>
              <w:rPr>
                <w:spacing w:val="-2"/>
                <w:sz w:val="18"/>
              </w:rPr>
              <w:t xml:space="preserve">derecho </w:t>
            </w:r>
            <w:r>
              <w:rPr>
                <w:sz w:val="18"/>
              </w:rPr>
              <w:t>a la autonomía económica de las mujeres en todas sus diversidades, facilitándoles condiciones para la realización de una vida digna, el fortalecimiento de los procesos asociativos de las mujeres y el vínculo con los circuitos de economía popular, comunitaria y solidaria.</w:t>
            </w:r>
          </w:p>
          <w:p w14:paraId="1B8D0472" w14:textId="77777777" w:rsidR="000E52B0" w:rsidRDefault="00F60D74">
            <w:pPr>
              <w:pStyle w:val="TableParagraph"/>
              <w:spacing w:before="160"/>
              <w:ind w:left="108" w:right="93"/>
              <w:jc w:val="both"/>
              <w:rPr>
                <w:b/>
                <w:sz w:val="18"/>
              </w:rPr>
            </w:pPr>
            <w:r>
              <w:rPr>
                <w:b/>
                <w:sz w:val="18"/>
              </w:rPr>
              <w:t>Programa</w:t>
            </w:r>
            <w:r>
              <w:rPr>
                <w:b/>
                <w:spacing w:val="-9"/>
                <w:sz w:val="18"/>
              </w:rPr>
              <w:t xml:space="preserve"> </w:t>
            </w:r>
            <w:r>
              <w:rPr>
                <w:b/>
                <w:sz w:val="18"/>
              </w:rPr>
              <w:t>“Mujeres</w:t>
            </w:r>
            <w:r>
              <w:rPr>
                <w:b/>
                <w:spacing w:val="-9"/>
                <w:sz w:val="18"/>
              </w:rPr>
              <w:t xml:space="preserve"> </w:t>
            </w:r>
            <w:r>
              <w:rPr>
                <w:b/>
                <w:sz w:val="18"/>
              </w:rPr>
              <w:t>Fortalecidas:</w:t>
            </w:r>
            <w:r>
              <w:rPr>
                <w:b/>
                <w:spacing w:val="-10"/>
                <w:sz w:val="18"/>
              </w:rPr>
              <w:t xml:space="preserve"> </w:t>
            </w:r>
            <w:r>
              <w:rPr>
                <w:b/>
                <w:sz w:val="18"/>
              </w:rPr>
              <w:t xml:space="preserve">En La Salvaguarda De La Familia </w:t>
            </w:r>
            <w:r>
              <w:rPr>
                <w:b/>
                <w:spacing w:val="-2"/>
                <w:sz w:val="18"/>
              </w:rPr>
              <w:t>Extensa”.</w:t>
            </w:r>
          </w:p>
          <w:p w14:paraId="0BF04283" w14:textId="77777777" w:rsidR="000E52B0" w:rsidRDefault="00F60D74">
            <w:pPr>
              <w:pStyle w:val="TableParagraph"/>
              <w:spacing w:before="1"/>
              <w:ind w:left="108" w:right="96"/>
              <w:jc w:val="both"/>
              <w:rPr>
                <w:sz w:val="18"/>
              </w:rPr>
            </w:pPr>
            <w:r>
              <w:rPr>
                <w:sz w:val="18"/>
              </w:rPr>
              <w:t>Este Programa tiene como objetivo avanzar en la garantía a una vida digna para</w:t>
            </w:r>
            <w:r>
              <w:rPr>
                <w:spacing w:val="-11"/>
                <w:sz w:val="18"/>
              </w:rPr>
              <w:t xml:space="preserve"> </w:t>
            </w:r>
            <w:r>
              <w:rPr>
                <w:sz w:val="18"/>
              </w:rPr>
              <w:t>las</w:t>
            </w:r>
            <w:r>
              <w:rPr>
                <w:spacing w:val="-12"/>
                <w:sz w:val="18"/>
              </w:rPr>
              <w:t xml:space="preserve"> </w:t>
            </w:r>
            <w:r>
              <w:rPr>
                <w:sz w:val="18"/>
              </w:rPr>
              <w:t>mujeres</w:t>
            </w:r>
            <w:r>
              <w:rPr>
                <w:spacing w:val="-11"/>
                <w:sz w:val="18"/>
              </w:rPr>
              <w:t xml:space="preserve"> </w:t>
            </w:r>
            <w:r>
              <w:rPr>
                <w:sz w:val="18"/>
              </w:rPr>
              <w:t>cabeza</w:t>
            </w:r>
            <w:r>
              <w:rPr>
                <w:spacing w:val="-11"/>
                <w:sz w:val="18"/>
              </w:rPr>
              <w:t xml:space="preserve"> </w:t>
            </w:r>
            <w:r>
              <w:rPr>
                <w:sz w:val="18"/>
              </w:rPr>
              <w:t>de</w:t>
            </w:r>
            <w:r>
              <w:rPr>
                <w:spacing w:val="-11"/>
                <w:sz w:val="18"/>
              </w:rPr>
              <w:t xml:space="preserve"> </w:t>
            </w:r>
            <w:r>
              <w:rPr>
                <w:sz w:val="18"/>
              </w:rPr>
              <w:t>familia</w:t>
            </w:r>
            <w:r>
              <w:rPr>
                <w:spacing w:val="-11"/>
                <w:sz w:val="18"/>
              </w:rPr>
              <w:t xml:space="preserve"> </w:t>
            </w:r>
            <w:r>
              <w:rPr>
                <w:sz w:val="18"/>
              </w:rPr>
              <w:t>y</w:t>
            </w:r>
            <w:r>
              <w:rPr>
                <w:spacing w:val="-12"/>
                <w:sz w:val="18"/>
              </w:rPr>
              <w:t xml:space="preserve"> </w:t>
            </w:r>
            <w:r>
              <w:rPr>
                <w:sz w:val="18"/>
              </w:rPr>
              <w:t xml:space="preserve">sus </w:t>
            </w:r>
            <w:r>
              <w:rPr>
                <w:spacing w:val="-2"/>
                <w:sz w:val="18"/>
              </w:rPr>
              <w:t>familias.</w:t>
            </w:r>
          </w:p>
          <w:p w14:paraId="1B345ECE" w14:textId="77777777" w:rsidR="000E52B0" w:rsidRDefault="000E52B0">
            <w:pPr>
              <w:pStyle w:val="TableParagraph"/>
              <w:spacing w:before="159"/>
              <w:rPr>
                <w:sz w:val="18"/>
              </w:rPr>
            </w:pPr>
          </w:p>
          <w:p w14:paraId="4325B5B0" w14:textId="77777777" w:rsidR="000E52B0" w:rsidRDefault="00F60D74">
            <w:pPr>
              <w:pStyle w:val="TableParagraph"/>
              <w:ind w:left="108" w:right="96"/>
              <w:jc w:val="both"/>
              <w:rPr>
                <w:sz w:val="18"/>
              </w:rPr>
            </w:pPr>
            <w:r>
              <w:rPr>
                <w:b/>
                <w:sz w:val="18"/>
              </w:rPr>
              <w:t xml:space="preserve">Programa Nacional De Cuidado </w:t>
            </w:r>
            <w:r>
              <w:rPr>
                <w:color w:val="3A3A3A"/>
                <w:sz w:val="18"/>
              </w:rPr>
              <w:t>El objetivo del Programa Nacional de Cuidado es avanzar en la garantía del derecho a cuidar en condiciones dignas y</w:t>
            </w:r>
            <w:r>
              <w:rPr>
                <w:color w:val="3A3A3A"/>
                <w:spacing w:val="-6"/>
                <w:sz w:val="18"/>
              </w:rPr>
              <w:t xml:space="preserve"> </w:t>
            </w:r>
            <w:r>
              <w:rPr>
                <w:color w:val="3A3A3A"/>
                <w:sz w:val="18"/>
              </w:rPr>
              <w:t>en</w:t>
            </w:r>
            <w:r>
              <w:rPr>
                <w:color w:val="3A3A3A"/>
                <w:spacing w:val="-5"/>
                <w:sz w:val="18"/>
              </w:rPr>
              <w:t xml:space="preserve"> </w:t>
            </w:r>
            <w:r>
              <w:rPr>
                <w:color w:val="3A3A3A"/>
                <w:sz w:val="18"/>
              </w:rPr>
              <w:t>el</w:t>
            </w:r>
            <w:r>
              <w:rPr>
                <w:color w:val="3A3A3A"/>
                <w:spacing w:val="-5"/>
                <w:sz w:val="18"/>
              </w:rPr>
              <w:t xml:space="preserve"> </w:t>
            </w:r>
            <w:r>
              <w:rPr>
                <w:color w:val="3A3A3A"/>
                <w:sz w:val="18"/>
              </w:rPr>
              <w:t>reconocimiento</w:t>
            </w:r>
            <w:r>
              <w:rPr>
                <w:color w:val="3A3A3A"/>
                <w:spacing w:val="-5"/>
                <w:sz w:val="18"/>
              </w:rPr>
              <w:t xml:space="preserve"> </w:t>
            </w:r>
            <w:r>
              <w:rPr>
                <w:color w:val="3A3A3A"/>
                <w:sz w:val="18"/>
              </w:rPr>
              <w:t>y</w:t>
            </w:r>
            <w:r>
              <w:rPr>
                <w:color w:val="3A3A3A"/>
                <w:spacing w:val="-6"/>
                <w:sz w:val="18"/>
              </w:rPr>
              <w:t xml:space="preserve"> </w:t>
            </w:r>
            <w:r>
              <w:rPr>
                <w:color w:val="3A3A3A"/>
                <w:sz w:val="18"/>
              </w:rPr>
              <w:t>fortalecimiento de</w:t>
            </w:r>
            <w:r>
              <w:rPr>
                <w:color w:val="3A3A3A"/>
                <w:spacing w:val="17"/>
                <w:sz w:val="18"/>
              </w:rPr>
              <w:t xml:space="preserve"> </w:t>
            </w:r>
            <w:r>
              <w:rPr>
                <w:color w:val="3A3A3A"/>
                <w:sz w:val="18"/>
              </w:rPr>
              <w:t>las</w:t>
            </w:r>
            <w:r>
              <w:rPr>
                <w:color w:val="3A3A3A"/>
                <w:spacing w:val="16"/>
                <w:sz w:val="18"/>
              </w:rPr>
              <w:t xml:space="preserve"> </w:t>
            </w:r>
            <w:r>
              <w:rPr>
                <w:color w:val="3A3A3A"/>
                <w:sz w:val="18"/>
              </w:rPr>
              <w:t>formas</w:t>
            </w:r>
            <w:r>
              <w:rPr>
                <w:color w:val="3A3A3A"/>
                <w:spacing w:val="17"/>
                <w:sz w:val="18"/>
              </w:rPr>
              <w:t xml:space="preserve"> </w:t>
            </w:r>
            <w:r>
              <w:rPr>
                <w:color w:val="3A3A3A"/>
                <w:sz w:val="18"/>
              </w:rPr>
              <w:t>de</w:t>
            </w:r>
            <w:r>
              <w:rPr>
                <w:color w:val="3A3A3A"/>
                <w:spacing w:val="17"/>
                <w:sz w:val="18"/>
              </w:rPr>
              <w:t xml:space="preserve"> </w:t>
            </w:r>
            <w:r>
              <w:rPr>
                <w:color w:val="3A3A3A"/>
                <w:sz w:val="18"/>
              </w:rPr>
              <w:t>cuidado</w:t>
            </w:r>
            <w:r>
              <w:rPr>
                <w:color w:val="3A3A3A"/>
                <w:spacing w:val="15"/>
                <w:sz w:val="18"/>
              </w:rPr>
              <w:t xml:space="preserve"> </w:t>
            </w:r>
            <w:r>
              <w:rPr>
                <w:color w:val="3A3A3A"/>
                <w:sz w:val="18"/>
              </w:rPr>
              <w:t>como</w:t>
            </w:r>
            <w:r>
              <w:rPr>
                <w:color w:val="3A3A3A"/>
                <w:spacing w:val="19"/>
                <w:sz w:val="18"/>
              </w:rPr>
              <w:t xml:space="preserve"> </w:t>
            </w:r>
            <w:r>
              <w:rPr>
                <w:color w:val="3A3A3A"/>
                <w:spacing w:val="-2"/>
                <w:sz w:val="18"/>
              </w:rPr>
              <w:t>función</w:t>
            </w:r>
          </w:p>
          <w:p w14:paraId="18B80B43" w14:textId="77777777" w:rsidR="000E52B0" w:rsidRDefault="00F60D74">
            <w:pPr>
              <w:pStyle w:val="TableParagraph"/>
              <w:spacing w:line="218" w:lineRule="exact"/>
              <w:ind w:left="108" w:right="99"/>
              <w:jc w:val="both"/>
              <w:rPr>
                <w:sz w:val="18"/>
              </w:rPr>
            </w:pPr>
            <w:r>
              <w:rPr>
                <w:color w:val="3A3A3A"/>
                <w:sz w:val="18"/>
              </w:rPr>
              <w:t>social</w:t>
            </w:r>
            <w:r>
              <w:rPr>
                <w:color w:val="3A3A3A"/>
                <w:spacing w:val="-10"/>
                <w:sz w:val="18"/>
              </w:rPr>
              <w:t xml:space="preserve"> </w:t>
            </w:r>
            <w:r>
              <w:rPr>
                <w:color w:val="3A3A3A"/>
                <w:sz w:val="18"/>
              </w:rPr>
              <w:t>interdependiente</w:t>
            </w:r>
            <w:r>
              <w:rPr>
                <w:color w:val="3A3A3A"/>
                <w:spacing w:val="-12"/>
                <w:sz w:val="18"/>
              </w:rPr>
              <w:t xml:space="preserve"> </w:t>
            </w:r>
            <w:r>
              <w:rPr>
                <w:color w:val="3A3A3A"/>
                <w:sz w:val="18"/>
              </w:rPr>
              <w:t>al</w:t>
            </w:r>
            <w:r>
              <w:rPr>
                <w:color w:val="3A3A3A"/>
                <w:spacing w:val="-13"/>
                <w:sz w:val="18"/>
              </w:rPr>
              <w:t xml:space="preserve"> </w:t>
            </w:r>
            <w:r>
              <w:rPr>
                <w:color w:val="3A3A3A"/>
                <w:sz w:val="18"/>
              </w:rPr>
              <w:t>sostenimiento de la vida.</w:t>
            </w:r>
          </w:p>
        </w:tc>
      </w:tr>
      <w:tr w:rsidR="000E52B0" w14:paraId="2FDC389E" w14:textId="77777777">
        <w:trPr>
          <w:trHeight w:val="2406"/>
        </w:trPr>
        <w:tc>
          <w:tcPr>
            <w:tcW w:w="1394" w:type="dxa"/>
          </w:tcPr>
          <w:p w14:paraId="54695E11" w14:textId="77777777" w:rsidR="000E52B0" w:rsidRDefault="00F60D74">
            <w:pPr>
              <w:pStyle w:val="TableParagraph"/>
              <w:ind w:left="107" w:right="140"/>
              <w:rPr>
                <w:sz w:val="18"/>
              </w:rPr>
            </w:pPr>
            <w:r>
              <w:rPr>
                <w:sz w:val="18"/>
              </w:rPr>
              <w:t xml:space="preserve">Agua y </w:t>
            </w:r>
            <w:proofErr w:type="spellStart"/>
            <w:r>
              <w:rPr>
                <w:spacing w:val="-2"/>
                <w:sz w:val="18"/>
              </w:rPr>
              <w:t>Saneamient</w:t>
            </w:r>
            <w:proofErr w:type="spellEnd"/>
            <w:r>
              <w:rPr>
                <w:spacing w:val="-2"/>
                <w:sz w:val="18"/>
              </w:rPr>
              <w:t xml:space="preserve"> </w:t>
            </w:r>
            <w:r>
              <w:rPr>
                <w:spacing w:val="-10"/>
                <w:sz w:val="18"/>
              </w:rPr>
              <w:t>o</w:t>
            </w:r>
          </w:p>
        </w:tc>
        <w:tc>
          <w:tcPr>
            <w:tcW w:w="3752" w:type="dxa"/>
          </w:tcPr>
          <w:p w14:paraId="694A8618" w14:textId="77777777" w:rsidR="000E52B0" w:rsidRDefault="00F60D74">
            <w:pPr>
              <w:pStyle w:val="TableParagraph"/>
              <w:ind w:left="108" w:right="100"/>
              <w:jc w:val="both"/>
              <w:rPr>
                <w:sz w:val="18"/>
              </w:rPr>
            </w:pPr>
            <w:r>
              <w:rPr>
                <w:b/>
                <w:sz w:val="18"/>
              </w:rPr>
              <w:t xml:space="preserve">6.1 </w:t>
            </w:r>
            <w:r>
              <w:rPr>
                <w:sz w:val="18"/>
              </w:rPr>
              <w:t>De aquí a 2030, lograr el acceso universal</w:t>
            </w:r>
            <w:r>
              <w:rPr>
                <w:spacing w:val="-14"/>
                <w:sz w:val="18"/>
              </w:rPr>
              <w:t xml:space="preserve"> </w:t>
            </w:r>
            <w:r>
              <w:rPr>
                <w:sz w:val="18"/>
              </w:rPr>
              <w:t>y</w:t>
            </w:r>
            <w:r>
              <w:rPr>
                <w:spacing w:val="-15"/>
                <w:sz w:val="18"/>
              </w:rPr>
              <w:t xml:space="preserve"> </w:t>
            </w:r>
            <w:r>
              <w:rPr>
                <w:sz w:val="18"/>
              </w:rPr>
              <w:t>equitativo</w:t>
            </w:r>
            <w:r>
              <w:rPr>
                <w:spacing w:val="-14"/>
                <w:sz w:val="18"/>
              </w:rPr>
              <w:t xml:space="preserve"> </w:t>
            </w:r>
            <w:r>
              <w:rPr>
                <w:sz w:val="18"/>
              </w:rPr>
              <w:t>al</w:t>
            </w:r>
            <w:r>
              <w:rPr>
                <w:spacing w:val="-14"/>
                <w:sz w:val="18"/>
              </w:rPr>
              <w:t xml:space="preserve"> </w:t>
            </w:r>
            <w:r>
              <w:rPr>
                <w:sz w:val="18"/>
              </w:rPr>
              <w:t>agua</w:t>
            </w:r>
            <w:r>
              <w:rPr>
                <w:spacing w:val="-15"/>
                <w:sz w:val="18"/>
              </w:rPr>
              <w:t xml:space="preserve"> </w:t>
            </w:r>
            <w:r>
              <w:rPr>
                <w:sz w:val="18"/>
              </w:rPr>
              <w:t>potable</w:t>
            </w:r>
            <w:r>
              <w:rPr>
                <w:spacing w:val="-16"/>
                <w:sz w:val="18"/>
              </w:rPr>
              <w:t xml:space="preserve"> </w:t>
            </w:r>
            <w:r>
              <w:rPr>
                <w:sz w:val="18"/>
              </w:rPr>
              <w:t>a un precio asequible para todos</w:t>
            </w:r>
          </w:p>
          <w:p w14:paraId="6B073157" w14:textId="77777777" w:rsidR="000E52B0" w:rsidRDefault="00F60D74">
            <w:pPr>
              <w:pStyle w:val="TableParagraph"/>
              <w:spacing w:before="218"/>
              <w:ind w:left="108" w:right="99"/>
              <w:jc w:val="both"/>
              <w:rPr>
                <w:sz w:val="18"/>
              </w:rPr>
            </w:pPr>
            <w:r>
              <w:rPr>
                <w:b/>
                <w:sz w:val="18"/>
              </w:rPr>
              <w:t>6.3</w:t>
            </w:r>
            <w:r>
              <w:rPr>
                <w:b/>
                <w:spacing w:val="-5"/>
                <w:sz w:val="18"/>
              </w:rPr>
              <w:t xml:space="preserve"> </w:t>
            </w:r>
            <w:r>
              <w:rPr>
                <w:sz w:val="18"/>
              </w:rPr>
              <w:t>De</w:t>
            </w:r>
            <w:r>
              <w:rPr>
                <w:spacing w:val="-4"/>
                <w:sz w:val="18"/>
              </w:rPr>
              <w:t xml:space="preserve"> </w:t>
            </w:r>
            <w:r>
              <w:rPr>
                <w:sz w:val="18"/>
              </w:rPr>
              <w:t>aquí</w:t>
            </w:r>
            <w:r>
              <w:rPr>
                <w:spacing w:val="-4"/>
                <w:sz w:val="18"/>
              </w:rPr>
              <w:t xml:space="preserve"> </w:t>
            </w:r>
            <w:r>
              <w:rPr>
                <w:sz w:val="18"/>
              </w:rPr>
              <w:t>a</w:t>
            </w:r>
            <w:r>
              <w:rPr>
                <w:spacing w:val="-5"/>
                <w:sz w:val="18"/>
              </w:rPr>
              <w:t xml:space="preserve"> </w:t>
            </w:r>
            <w:r>
              <w:rPr>
                <w:sz w:val="18"/>
              </w:rPr>
              <w:t>2030,</w:t>
            </w:r>
            <w:r>
              <w:rPr>
                <w:spacing w:val="-6"/>
                <w:sz w:val="18"/>
              </w:rPr>
              <w:t xml:space="preserve"> </w:t>
            </w:r>
            <w:r>
              <w:rPr>
                <w:sz w:val="18"/>
              </w:rPr>
              <w:t>mejorar</w:t>
            </w:r>
            <w:r>
              <w:rPr>
                <w:spacing w:val="-6"/>
                <w:sz w:val="18"/>
              </w:rPr>
              <w:t xml:space="preserve"> </w:t>
            </w:r>
            <w:r>
              <w:rPr>
                <w:sz w:val="18"/>
              </w:rPr>
              <w:t>la</w:t>
            </w:r>
            <w:r>
              <w:rPr>
                <w:spacing w:val="-5"/>
                <w:sz w:val="18"/>
              </w:rPr>
              <w:t xml:space="preserve"> </w:t>
            </w:r>
            <w:r>
              <w:rPr>
                <w:sz w:val="18"/>
              </w:rPr>
              <w:t>calidad del agua reduciendo la contaminación, eliminando el vertimiento y minimizando la emisión de productos químicos y materiales peligrosos, reduciendo</w:t>
            </w:r>
            <w:r>
              <w:rPr>
                <w:spacing w:val="2"/>
                <w:sz w:val="18"/>
              </w:rPr>
              <w:t xml:space="preserve"> </w:t>
            </w:r>
            <w:r>
              <w:rPr>
                <w:sz w:val="18"/>
              </w:rPr>
              <w:t>a</w:t>
            </w:r>
            <w:r>
              <w:rPr>
                <w:spacing w:val="5"/>
                <w:sz w:val="18"/>
              </w:rPr>
              <w:t xml:space="preserve"> </w:t>
            </w:r>
            <w:r>
              <w:rPr>
                <w:sz w:val="18"/>
              </w:rPr>
              <w:t>la</w:t>
            </w:r>
            <w:r>
              <w:rPr>
                <w:spacing w:val="4"/>
                <w:sz w:val="18"/>
              </w:rPr>
              <w:t xml:space="preserve"> </w:t>
            </w:r>
            <w:r>
              <w:rPr>
                <w:sz w:val="18"/>
              </w:rPr>
              <w:t>mitad</w:t>
            </w:r>
            <w:r>
              <w:rPr>
                <w:spacing w:val="4"/>
                <w:sz w:val="18"/>
              </w:rPr>
              <w:t xml:space="preserve"> </w:t>
            </w:r>
            <w:r>
              <w:rPr>
                <w:sz w:val="18"/>
              </w:rPr>
              <w:t>el</w:t>
            </w:r>
            <w:r>
              <w:rPr>
                <w:spacing w:val="5"/>
                <w:sz w:val="18"/>
              </w:rPr>
              <w:t xml:space="preserve"> </w:t>
            </w:r>
            <w:r>
              <w:rPr>
                <w:sz w:val="18"/>
              </w:rPr>
              <w:t>porcentaje</w:t>
            </w:r>
            <w:r>
              <w:rPr>
                <w:spacing w:val="5"/>
                <w:sz w:val="18"/>
              </w:rPr>
              <w:t xml:space="preserve"> </w:t>
            </w:r>
            <w:r>
              <w:rPr>
                <w:spacing w:val="-5"/>
                <w:sz w:val="18"/>
              </w:rPr>
              <w:t>de</w:t>
            </w:r>
          </w:p>
          <w:p w14:paraId="0DFCC2A8" w14:textId="77777777" w:rsidR="000E52B0" w:rsidRDefault="00F60D74">
            <w:pPr>
              <w:pStyle w:val="TableParagraph"/>
              <w:spacing w:line="199" w:lineRule="exact"/>
              <w:ind w:left="108"/>
              <w:jc w:val="both"/>
              <w:rPr>
                <w:sz w:val="18"/>
              </w:rPr>
            </w:pPr>
            <w:proofErr w:type="gramStart"/>
            <w:r>
              <w:rPr>
                <w:sz w:val="18"/>
              </w:rPr>
              <w:t>aguas</w:t>
            </w:r>
            <w:r>
              <w:rPr>
                <w:spacing w:val="55"/>
                <w:w w:val="150"/>
                <w:sz w:val="18"/>
              </w:rPr>
              <w:t xml:space="preserve">  </w:t>
            </w:r>
            <w:r>
              <w:rPr>
                <w:sz w:val="18"/>
              </w:rPr>
              <w:t>residuales</w:t>
            </w:r>
            <w:proofErr w:type="gramEnd"/>
            <w:r>
              <w:rPr>
                <w:spacing w:val="55"/>
                <w:w w:val="150"/>
                <w:sz w:val="18"/>
              </w:rPr>
              <w:t xml:space="preserve">  </w:t>
            </w:r>
            <w:proofErr w:type="gramStart"/>
            <w:r>
              <w:rPr>
                <w:sz w:val="18"/>
              </w:rPr>
              <w:t>sin</w:t>
            </w:r>
            <w:r>
              <w:rPr>
                <w:spacing w:val="54"/>
                <w:w w:val="150"/>
                <w:sz w:val="18"/>
              </w:rPr>
              <w:t xml:space="preserve">  </w:t>
            </w:r>
            <w:r>
              <w:rPr>
                <w:sz w:val="18"/>
              </w:rPr>
              <w:t>tratar</w:t>
            </w:r>
            <w:proofErr w:type="gramEnd"/>
            <w:r>
              <w:rPr>
                <w:spacing w:val="55"/>
                <w:w w:val="150"/>
                <w:sz w:val="18"/>
              </w:rPr>
              <w:t xml:space="preserve">  </w:t>
            </w:r>
            <w:r>
              <w:rPr>
                <w:spacing w:val="-10"/>
                <w:sz w:val="18"/>
              </w:rPr>
              <w:t>y</w:t>
            </w:r>
          </w:p>
        </w:tc>
        <w:tc>
          <w:tcPr>
            <w:tcW w:w="3870" w:type="dxa"/>
          </w:tcPr>
          <w:p w14:paraId="34C457D0" w14:textId="77777777" w:rsidR="000E52B0" w:rsidRDefault="00F60D74">
            <w:pPr>
              <w:pStyle w:val="TableParagraph"/>
              <w:numPr>
                <w:ilvl w:val="0"/>
                <w:numId w:val="28"/>
              </w:numPr>
              <w:tabs>
                <w:tab w:val="left" w:pos="827"/>
              </w:tabs>
              <w:spacing w:line="218" w:lineRule="exact"/>
              <w:ind w:left="827" w:hanging="359"/>
              <w:rPr>
                <w:b/>
                <w:sz w:val="18"/>
              </w:rPr>
            </w:pPr>
            <w:r>
              <w:rPr>
                <w:b/>
                <w:spacing w:val="-2"/>
                <w:sz w:val="18"/>
              </w:rPr>
              <w:t>VICEMINISTERIO.</w:t>
            </w:r>
          </w:p>
          <w:p w14:paraId="6B69838D" w14:textId="77777777" w:rsidR="000E52B0" w:rsidRDefault="000E52B0">
            <w:pPr>
              <w:pStyle w:val="TableParagraph"/>
              <w:spacing w:before="1"/>
              <w:rPr>
                <w:sz w:val="18"/>
              </w:rPr>
            </w:pPr>
          </w:p>
          <w:p w14:paraId="49E8B2E1" w14:textId="77777777" w:rsidR="000E52B0" w:rsidRDefault="00F60D74">
            <w:pPr>
              <w:pStyle w:val="TableParagraph"/>
              <w:ind w:left="108" w:right="98"/>
              <w:jc w:val="both"/>
              <w:rPr>
                <w:sz w:val="18"/>
              </w:rPr>
            </w:pPr>
            <w:r>
              <w:rPr>
                <w:sz w:val="18"/>
              </w:rPr>
              <w:t>FUNCIONES</w:t>
            </w:r>
            <w:r>
              <w:rPr>
                <w:spacing w:val="-16"/>
                <w:sz w:val="18"/>
              </w:rPr>
              <w:t xml:space="preserve"> </w:t>
            </w:r>
            <w:r>
              <w:rPr>
                <w:sz w:val="18"/>
              </w:rPr>
              <w:t>DEL</w:t>
            </w:r>
            <w:r>
              <w:rPr>
                <w:spacing w:val="-16"/>
                <w:sz w:val="18"/>
              </w:rPr>
              <w:t xml:space="preserve"> </w:t>
            </w:r>
            <w:r>
              <w:rPr>
                <w:sz w:val="18"/>
              </w:rPr>
              <w:t>VICEMINISTERIO</w:t>
            </w:r>
            <w:r>
              <w:rPr>
                <w:spacing w:val="-16"/>
                <w:sz w:val="18"/>
              </w:rPr>
              <w:t xml:space="preserve"> </w:t>
            </w:r>
            <w:r>
              <w:rPr>
                <w:sz w:val="18"/>
              </w:rPr>
              <w:t xml:space="preserve">PARA LAS POBLACIONES Y TERRITORIOS EXCLUIDOS Y LA SUPERACIÓN DE LA </w:t>
            </w:r>
            <w:r>
              <w:rPr>
                <w:spacing w:val="-2"/>
                <w:sz w:val="18"/>
              </w:rPr>
              <w:t>POBREZA</w:t>
            </w:r>
          </w:p>
          <w:p w14:paraId="7F2348E9" w14:textId="77777777" w:rsidR="000E52B0" w:rsidRDefault="00F60D74">
            <w:pPr>
              <w:pStyle w:val="TableParagraph"/>
              <w:numPr>
                <w:ilvl w:val="0"/>
                <w:numId w:val="28"/>
              </w:numPr>
              <w:tabs>
                <w:tab w:val="left" w:pos="827"/>
              </w:tabs>
              <w:spacing w:before="217"/>
              <w:ind w:left="827" w:hanging="359"/>
              <w:rPr>
                <w:b/>
                <w:sz w:val="18"/>
              </w:rPr>
            </w:pPr>
            <w:r>
              <w:rPr>
                <w:b/>
                <w:sz w:val="18"/>
              </w:rPr>
              <w:t>DIRECCIONES</w:t>
            </w:r>
            <w:r>
              <w:rPr>
                <w:b/>
                <w:spacing w:val="-7"/>
                <w:sz w:val="18"/>
              </w:rPr>
              <w:t xml:space="preserve"> </w:t>
            </w:r>
            <w:r>
              <w:rPr>
                <w:b/>
                <w:spacing w:val="-2"/>
                <w:sz w:val="18"/>
              </w:rPr>
              <w:t>TÉCNICAS.</w:t>
            </w:r>
          </w:p>
          <w:p w14:paraId="07B1176C" w14:textId="77777777" w:rsidR="000E52B0" w:rsidRDefault="00F60D74">
            <w:pPr>
              <w:pStyle w:val="TableParagraph"/>
              <w:spacing w:before="202" w:line="218" w:lineRule="exact"/>
              <w:ind w:left="108" w:right="95"/>
              <w:jc w:val="both"/>
              <w:rPr>
                <w:b/>
                <w:sz w:val="18"/>
              </w:rPr>
            </w:pPr>
            <w:r>
              <w:rPr>
                <w:b/>
                <w:sz w:val="18"/>
              </w:rPr>
              <w:t>FUNCIONES</w:t>
            </w:r>
            <w:r>
              <w:rPr>
                <w:b/>
                <w:spacing w:val="-16"/>
                <w:sz w:val="18"/>
              </w:rPr>
              <w:t xml:space="preserve"> </w:t>
            </w:r>
            <w:r>
              <w:rPr>
                <w:b/>
                <w:sz w:val="18"/>
              </w:rPr>
              <w:t>DE</w:t>
            </w:r>
            <w:r>
              <w:rPr>
                <w:b/>
                <w:spacing w:val="-15"/>
                <w:sz w:val="18"/>
              </w:rPr>
              <w:t xml:space="preserve"> </w:t>
            </w:r>
            <w:r>
              <w:rPr>
                <w:b/>
                <w:sz w:val="18"/>
              </w:rPr>
              <w:t>LA</w:t>
            </w:r>
            <w:r>
              <w:rPr>
                <w:b/>
                <w:spacing w:val="-16"/>
                <w:sz w:val="18"/>
              </w:rPr>
              <w:t xml:space="preserve"> </w:t>
            </w:r>
            <w:r>
              <w:rPr>
                <w:b/>
                <w:sz w:val="18"/>
              </w:rPr>
              <w:t>DIRECCIÓN</w:t>
            </w:r>
            <w:r>
              <w:rPr>
                <w:b/>
                <w:spacing w:val="-15"/>
                <w:sz w:val="18"/>
              </w:rPr>
              <w:t xml:space="preserve"> </w:t>
            </w:r>
            <w:r>
              <w:rPr>
                <w:b/>
                <w:sz w:val="18"/>
              </w:rPr>
              <w:t>PARA EL</w:t>
            </w:r>
            <w:r>
              <w:rPr>
                <w:b/>
                <w:spacing w:val="-15"/>
                <w:sz w:val="18"/>
              </w:rPr>
              <w:t xml:space="preserve"> </w:t>
            </w:r>
            <w:r>
              <w:rPr>
                <w:b/>
                <w:sz w:val="18"/>
              </w:rPr>
              <w:t>ACCESO</w:t>
            </w:r>
            <w:r>
              <w:rPr>
                <w:b/>
                <w:spacing w:val="-12"/>
                <w:sz w:val="18"/>
              </w:rPr>
              <w:t xml:space="preserve"> </w:t>
            </w:r>
            <w:r>
              <w:rPr>
                <w:b/>
                <w:sz w:val="18"/>
              </w:rPr>
              <w:t>IGUALITARIO</w:t>
            </w:r>
            <w:r>
              <w:rPr>
                <w:b/>
                <w:spacing w:val="-13"/>
                <w:sz w:val="18"/>
              </w:rPr>
              <w:t xml:space="preserve"> </w:t>
            </w:r>
            <w:r>
              <w:rPr>
                <w:b/>
                <w:sz w:val="18"/>
              </w:rPr>
              <w:t>L</w:t>
            </w:r>
            <w:r>
              <w:rPr>
                <w:b/>
                <w:spacing w:val="-12"/>
                <w:sz w:val="18"/>
              </w:rPr>
              <w:t xml:space="preserve"> </w:t>
            </w:r>
            <w:r>
              <w:rPr>
                <w:b/>
                <w:sz w:val="18"/>
              </w:rPr>
              <w:t>AGUA</w:t>
            </w:r>
            <w:r>
              <w:rPr>
                <w:b/>
                <w:spacing w:val="-13"/>
                <w:sz w:val="18"/>
              </w:rPr>
              <w:t xml:space="preserve"> </w:t>
            </w:r>
            <w:r>
              <w:rPr>
                <w:b/>
                <w:spacing w:val="-5"/>
                <w:sz w:val="18"/>
              </w:rPr>
              <w:t>EN</w:t>
            </w:r>
          </w:p>
        </w:tc>
      </w:tr>
    </w:tbl>
    <w:p w14:paraId="2E74C996" w14:textId="77777777" w:rsidR="000E52B0" w:rsidRDefault="000E52B0">
      <w:pPr>
        <w:pStyle w:val="TableParagraph"/>
        <w:spacing w:line="218" w:lineRule="exact"/>
        <w:jc w:val="both"/>
        <w:rPr>
          <w:b/>
          <w:sz w:val="18"/>
        </w:rPr>
        <w:sectPr w:rsidR="000E52B0">
          <w:type w:val="continuous"/>
          <w:pgSz w:w="11910" w:h="16840"/>
          <w:pgMar w:top="1400" w:right="720" w:bottom="1358" w:left="720" w:header="0" w:footer="995"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3752"/>
        <w:gridCol w:w="3870"/>
      </w:tblGrid>
      <w:tr w:rsidR="000E52B0" w14:paraId="561CF8DC" w14:textId="77777777">
        <w:trPr>
          <w:trHeight w:val="436"/>
        </w:trPr>
        <w:tc>
          <w:tcPr>
            <w:tcW w:w="1394" w:type="dxa"/>
            <w:shd w:val="clear" w:color="auto" w:fill="D44673"/>
          </w:tcPr>
          <w:p w14:paraId="51663E35" w14:textId="77777777" w:rsidR="000E52B0" w:rsidRDefault="00F60D74">
            <w:pPr>
              <w:pStyle w:val="TableParagraph"/>
              <w:spacing w:before="109"/>
              <w:ind w:left="10"/>
              <w:jc w:val="center"/>
              <w:rPr>
                <w:b/>
                <w:sz w:val="18"/>
              </w:rPr>
            </w:pPr>
            <w:r>
              <w:rPr>
                <w:b/>
                <w:color w:val="FFFFFF"/>
                <w:spacing w:val="-5"/>
                <w:sz w:val="18"/>
              </w:rPr>
              <w:lastRenderedPageBreak/>
              <w:t>ODS</w:t>
            </w:r>
          </w:p>
        </w:tc>
        <w:tc>
          <w:tcPr>
            <w:tcW w:w="3752" w:type="dxa"/>
            <w:shd w:val="clear" w:color="auto" w:fill="D44673"/>
          </w:tcPr>
          <w:p w14:paraId="5A6D525E" w14:textId="77777777" w:rsidR="000E52B0" w:rsidRDefault="00F60D74">
            <w:pPr>
              <w:pStyle w:val="TableParagraph"/>
              <w:spacing w:before="109"/>
              <w:ind w:left="6"/>
              <w:jc w:val="center"/>
              <w:rPr>
                <w:b/>
                <w:sz w:val="18"/>
              </w:rPr>
            </w:pPr>
            <w:r>
              <w:rPr>
                <w:b/>
                <w:color w:val="FFFFFF"/>
                <w:spacing w:val="-4"/>
                <w:sz w:val="18"/>
              </w:rPr>
              <w:t>Meta</w:t>
            </w:r>
          </w:p>
        </w:tc>
        <w:tc>
          <w:tcPr>
            <w:tcW w:w="3870" w:type="dxa"/>
            <w:shd w:val="clear" w:color="auto" w:fill="D44673"/>
          </w:tcPr>
          <w:p w14:paraId="2EFDB532" w14:textId="77777777" w:rsidR="000E52B0" w:rsidRDefault="00F60D74">
            <w:pPr>
              <w:pStyle w:val="TableParagraph"/>
              <w:spacing w:line="218" w:lineRule="exact"/>
              <w:ind w:left="900" w:hanging="687"/>
              <w:rPr>
                <w:b/>
                <w:sz w:val="18"/>
              </w:rPr>
            </w:pPr>
            <w:r>
              <w:rPr>
                <w:b/>
                <w:color w:val="FFFFFF"/>
                <w:sz w:val="18"/>
              </w:rPr>
              <w:t>¿Cómo</w:t>
            </w:r>
            <w:r>
              <w:rPr>
                <w:b/>
                <w:color w:val="FFFFFF"/>
                <w:spacing w:val="-9"/>
                <w:sz w:val="18"/>
              </w:rPr>
              <w:t xml:space="preserve"> </w:t>
            </w:r>
            <w:r>
              <w:rPr>
                <w:b/>
                <w:color w:val="FFFFFF"/>
                <w:sz w:val="18"/>
              </w:rPr>
              <w:t>contribuye</w:t>
            </w:r>
            <w:r>
              <w:rPr>
                <w:b/>
                <w:color w:val="FFFFFF"/>
                <w:spacing w:val="-9"/>
                <w:sz w:val="18"/>
              </w:rPr>
              <w:t xml:space="preserve"> </w:t>
            </w:r>
            <w:r>
              <w:rPr>
                <w:b/>
                <w:color w:val="FFFFFF"/>
                <w:sz w:val="18"/>
              </w:rPr>
              <w:t>el</w:t>
            </w:r>
            <w:r>
              <w:rPr>
                <w:b/>
                <w:color w:val="FFFFFF"/>
                <w:spacing w:val="-9"/>
                <w:sz w:val="18"/>
              </w:rPr>
              <w:t xml:space="preserve"> </w:t>
            </w:r>
            <w:r>
              <w:rPr>
                <w:b/>
                <w:color w:val="FFFFFF"/>
                <w:sz w:val="18"/>
              </w:rPr>
              <w:t>Ministerio</w:t>
            </w:r>
            <w:r>
              <w:rPr>
                <w:b/>
                <w:color w:val="FFFFFF"/>
                <w:spacing w:val="-9"/>
                <w:sz w:val="18"/>
              </w:rPr>
              <w:t xml:space="preserve"> </w:t>
            </w:r>
            <w:r>
              <w:rPr>
                <w:b/>
                <w:color w:val="FFFFFF"/>
                <w:sz w:val="18"/>
              </w:rPr>
              <w:t>de Igualdad y Equidad?</w:t>
            </w:r>
          </w:p>
        </w:tc>
      </w:tr>
      <w:tr w:rsidR="000E52B0" w14:paraId="403C3637" w14:textId="77777777">
        <w:trPr>
          <w:trHeight w:val="651"/>
        </w:trPr>
        <w:tc>
          <w:tcPr>
            <w:tcW w:w="1394" w:type="dxa"/>
            <w:vMerge w:val="restart"/>
          </w:tcPr>
          <w:p w14:paraId="3083E484" w14:textId="77777777" w:rsidR="000E52B0" w:rsidRDefault="000E52B0">
            <w:pPr>
              <w:pStyle w:val="TableParagraph"/>
              <w:rPr>
                <w:rFonts w:ascii="Times New Roman"/>
                <w:sz w:val="18"/>
              </w:rPr>
            </w:pPr>
          </w:p>
        </w:tc>
        <w:tc>
          <w:tcPr>
            <w:tcW w:w="3752" w:type="dxa"/>
            <w:tcBorders>
              <w:bottom w:val="nil"/>
            </w:tcBorders>
          </w:tcPr>
          <w:p w14:paraId="4EE27890" w14:textId="77777777" w:rsidR="000E52B0" w:rsidRDefault="00F60D74">
            <w:pPr>
              <w:pStyle w:val="TableParagraph"/>
              <w:spacing w:line="218" w:lineRule="exact"/>
              <w:ind w:left="108" w:right="100"/>
              <w:jc w:val="both"/>
              <w:rPr>
                <w:sz w:val="18"/>
              </w:rPr>
            </w:pPr>
            <w:r>
              <w:rPr>
                <w:sz w:val="18"/>
              </w:rPr>
              <w:t>aumentando considerablemente el reciclado</w:t>
            </w:r>
            <w:r>
              <w:rPr>
                <w:spacing w:val="-7"/>
                <w:sz w:val="18"/>
              </w:rPr>
              <w:t xml:space="preserve"> </w:t>
            </w:r>
            <w:r>
              <w:rPr>
                <w:sz w:val="18"/>
              </w:rPr>
              <w:t>y</w:t>
            </w:r>
            <w:r>
              <w:rPr>
                <w:spacing w:val="-8"/>
                <w:sz w:val="18"/>
              </w:rPr>
              <w:t xml:space="preserve"> </w:t>
            </w:r>
            <w:r>
              <w:rPr>
                <w:sz w:val="18"/>
              </w:rPr>
              <w:t>la</w:t>
            </w:r>
            <w:r>
              <w:rPr>
                <w:spacing w:val="-8"/>
                <w:sz w:val="18"/>
              </w:rPr>
              <w:t xml:space="preserve"> </w:t>
            </w:r>
            <w:r>
              <w:rPr>
                <w:sz w:val="18"/>
              </w:rPr>
              <w:t>reutilización</w:t>
            </w:r>
            <w:r>
              <w:rPr>
                <w:spacing w:val="-9"/>
                <w:sz w:val="18"/>
              </w:rPr>
              <w:t xml:space="preserve"> </w:t>
            </w:r>
            <w:r>
              <w:rPr>
                <w:sz w:val="18"/>
              </w:rPr>
              <w:t>sin</w:t>
            </w:r>
            <w:r>
              <w:rPr>
                <w:spacing w:val="-7"/>
                <w:sz w:val="18"/>
              </w:rPr>
              <w:t xml:space="preserve"> </w:t>
            </w:r>
            <w:r>
              <w:rPr>
                <w:sz w:val="18"/>
              </w:rPr>
              <w:t>riesgos</w:t>
            </w:r>
            <w:r>
              <w:rPr>
                <w:spacing w:val="-8"/>
                <w:sz w:val="18"/>
              </w:rPr>
              <w:t xml:space="preserve"> </w:t>
            </w:r>
            <w:r>
              <w:rPr>
                <w:sz w:val="18"/>
              </w:rPr>
              <w:t>a nivel mundial</w:t>
            </w:r>
          </w:p>
        </w:tc>
        <w:tc>
          <w:tcPr>
            <w:tcW w:w="3870" w:type="dxa"/>
            <w:tcBorders>
              <w:bottom w:val="nil"/>
            </w:tcBorders>
          </w:tcPr>
          <w:p w14:paraId="613819A2" w14:textId="77777777" w:rsidR="000E52B0" w:rsidRDefault="00F60D74">
            <w:pPr>
              <w:pStyle w:val="TableParagraph"/>
              <w:tabs>
                <w:tab w:val="left" w:pos="1871"/>
                <w:tab w:val="left" w:pos="3629"/>
              </w:tabs>
              <w:spacing w:before="1"/>
              <w:ind w:left="108" w:right="95"/>
              <w:rPr>
                <w:b/>
                <w:sz w:val="18"/>
              </w:rPr>
            </w:pPr>
            <w:r>
              <w:rPr>
                <w:b/>
                <w:spacing w:val="-2"/>
                <w:sz w:val="18"/>
              </w:rPr>
              <w:t>TERRITORIOS</w:t>
            </w:r>
            <w:r>
              <w:rPr>
                <w:b/>
                <w:sz w:val="18"/>
              </w:rPr>
              <w:tab/>
            </w:r>
            <w:r>
              <w:rPr>
                <w:b/>
                <w:spacing w:val="-2"/>
                <w:sz w:val="18"/>
              </w:rPr>
              <w:t>MARGINADOS</w:t>
            </w:r>
            <w:r>
              <w:rPr>
                <w:b/>
                <w:sz w:val="18"/>
              </w:rPr>
              <w:tab/>
            </w:r>
            <w:r>
              <w:rPr>
                <w:b/>
                <w:spacing w:val="-10"/>
                <w:sz w:val="18"/>
              </w:rPr>
              <w:t xml:space="preserve">Y </w:t>
            </w:r>
            <w:r>
              <w:rPr>
                <w:b/>
                <w:spacing w:val="-2"/>
                <w:sz w:val="18"/>
              </w:rPr>
              <w:t>EXCLUIDOS</w:t>
            </w:r>
          </w:p>
        </w:tc>
      </w:tr>
      <w:tr w:rsidR="000E52B0" w14:paraId="76A17A36" w14:textId="77777777">
        <w:trPr>
          <w:trHeight w:val="6880"/>
        </w:trPr>
        <w:tc>
          <w:tcPr>
            <w:tcW w:w="1394" w:type="dxa"/>
            <w:vMerge/>
            <w:tcBorders>
              <w:top w:val="nil"/>
            </w:tcBorders>
          </w:tcPr>
          <w:p w14:paraId="60F8B811" w14:textId="77777777" w:rsidR="000E52B0" w:rsidRDefault="000E52B0">
            <w:pPr>
              <w:rPr>
                <w:sz w:val="2"/>
                <w:szCs w:val="2"/>
              </w:rPr>
            </w:pPr>
          </w:p>
        </w:tc>
        <w:tc>
          <w:tcPr>
            <w:tcW w:w="3752" w:type="dxa"/>
            <w:tcBorders>
              <w:top w:val="nil"/>
              <w:bottom w:val="nil"/>
            </w:tcBorders>
          </w:tcPr>
          <w:p w14:paraId="40BA4715" w14:textId="77777777" w:rsidR="000E52B0" w:rsidRDefault="00F60D74">
            <w:pPr>
              <w:pStyle w:val="TableParagraph"/>
              <w:spacing w:before="211"/>
              <w:ind w:left="108" w:right="98"/>
              <w:jc w:val="both"/>
              <w:rPr>
                <w:sz w:val="18"/>
              </w:rPr>
            </w:pPr>
            <w:r>
              <w:rPr>
                <w:b/>
                <w:sz w:val="18"/>
              </w:rPr>
              <w:t xml:space="preserve">6.4 </w:t>
            </w:r>
            <w:r>
              <w:rPr>
                <w:sz w:val="18"/>
              </w:rPr>
              <w:t>De aquí a 2030, aumentar considerablemente el uso eficiente de los recursos hídricos en todos los sectores</w:t>
            </w:r>
            <w:r>
              <w:rPr>
                <w:spacing w:val="-16"/>
                <w:sz w:val="18"/>
              </w:rPr>
              <w:t xml:space="preserve"> </w:t>
            </w:r>
            <w:r>
              <w:rPr>
                <w:sz w:val="18"/>
              </w:rPr>
              <w:t>y</w:t>
            </w:r>
            <w:r>
              <w:rPr>
                <w:spacing w:val="-16"/>
                <w:sz w:val="18"/>
              </w:rPr>
              <w:t xml:space="preserve"> </w:t>
            </w:r>
            <w:r>
              <w:rPr>
                <w:sz w:val="18"/>
              </w:rPr>
              <w:t>asegurar</w:t>
            </w:r>
            <w:r>
              <w:rPr>
                <w:spacing w:val="-16"/>
                <w:sz w:val="18"/>
              </w:rPr>
              <w:t xml:space="preserve"> </w:t>
            </w:r>
            <w:r>
              <w:rPr>
                <w:sz w:val="18"/>
              </w:rPr>
              <w:t>la</w:t>
            </w:r>
            <w:r>
              <w:rPr>
                <w:spacing w:val="-16"/>
                <w:sz w:val="18"/>
              </w:rPr>
              <w:t xml:space="preserve"> </w:t>
            </w:r>
            <w:r>
              <w:rPr>
                <w:sz w:val="18"/>
              </w:rPr>
              <w:t>sostenibilidad</w:t>
            </w:r>
            <w:r>
              <w:rPr>
                <w:spacing w:val="-16"/>
                <w:sz w:val="18"/>
              </w:rPr>
              <w:t xml:space="preserve"> </w:t>
            </w:r>
            <w:r>
              <w:rPr>
                <w:sz w:val="18"/>
              </w:rPr>
              <w:t>de la extracción y el abastecimiento de agua dulce para hacer frente a la escasez de agua y reducir considerablemente el número de personas que sufren falta de agua</w:t>
            </w:r>
          </w:p>
        </w:tc>
        <w:tc>
          <w:tcPr>
            <w:tcW w:w="3870" w:type="dxa"/>
            <w:tcBorders>
              <w:top w:val="nil"/>
              <w:bottom w:val="nil"/>
            </w:tcBorders>
          </w:tcPr>
          <w:p w14:paraId="4545C17A" w14:textId="77777777" w:rsidR="000E52B0" w:rsidRDefault="00F60D74">
            <w:pPr>
              <w:pStyle w:val="TableParagraph"/>
              <w:ind w:left="108" w:right="96"/>
              <w:jc w:val="both"/>
              <w:rPr>
                <w:i/>
                <w:sz w:val="18"/>
              </w:rPr>
            </w:pPr>
            <w:r>
              <w:rPr>
                <w:i/>
                <w:sz w:val="18"/>
              </w:rPr>
              <w:t>Adoptar</w:t>
            </w:r>
            <w:r>
              <w:rPr>
                <w:i/>
                <w:spacing w:val="-2"/>
                <w:sz w:val="18"/>
              </w:rPr>
              <w:t xml:space="preserve"> </w:t>
            </w:r>
            <w:r>
              <w:rPr>
                <w:i/>
                <w:sz w:val="18"/>
              </w:rPr>
              <w:t>y</w:t>
            </w:r>
            <w:r>
              <w:rPr>
                <w:i/>
                <w:spacing w:val="-2"/>
                <w:sz w:val="18"/>
              </w:rPr>
              <w:t xml:space="preserve"> </w:t>
            </w:r>
            <w:r>
              <w:rPr>
                <w:i/>
                <w:sz w:val="18"/>
              </w:rPr>
              <w:t>ejecutar,</w:t>
            </w:r>
            <w:r>
              <w:rPr>
                <w:i/>
                <w:spacing w:val="-2"/>
                <w:sz w:val="18"/>
              </w:rPr>
              <w:t xml:space="preserve"> </w:t>
            </w:r>
            <w:r>
              <w:rPr>
                <w:i/>
                <w:sz w:val="18"/>
              </w:rPr>
              <w:t>en coordinación con el Ministerio de Vivienda, Ciudad y Territorio y las entidades territoriales competentes, políticas, planes, programas, estrategias y proyectos, para el acceso al agua y saneamiento básico, incluyendo soluciones de infraestructura, en los territorios marginados</w:t>
            </w:r>
            <w:r>
              <w:rPr>
                <w:i/>
                <w:spacing w:val="-15"/>
                <w:sz w:val="18"/>
              </w:rPr>
              <w:t xml:space="preserve"> </w:t>
            </w:r>
            <w:r>
              <w:rPr>
                <w:i/>
                <w:sz w:val="18"/>
              </w:rPr>
              <w:t>y</w:t>
            </w:r>
            <w:r>
              <w:rPr>
                <w:i/>
                <w:spacing w:val="-16"/>
                <w:sz w:val="18"/>
              </w:rPr>
              <w:t xml:space="preserve"> </w:t>
            </w:r>
            <w:r>
              <w:rPr>
                <w:i/>
                <w:sz w:val="18"/>
              </w:rPr>
              <w:t>excluidos,</w:t>
            </w:r>
            <w:r>
              <w:rPr>
                <w:i/>
                <w:spacing w:val="-16"/>
                <w:sz w:val="18"/>
              </w:rPr>
              <w:t xml:space="preserve"> </w:t>
            </w:r>
            <w:r>
              <w:rPr>
                <w:i/>
                <w:sz w:val="18"/>
              </w:rPr>
              <w:t>que</w:t>
            </w:r>
            <w:r>
              <w:rPr>
                <w:i/>
                <w:spacing w:val="-15"/>
                <w:sz w:val="18"/>
              </w:rPr>
              <w:t xml:space="preserve"> </w:t>
            </w:r>
            <w:r>
              <w:rPr>
                <w:i/>
                <w:sz w:val="18"/>
              </w:rPr>
              <w:t>promuevan la eliminación de las desigualdades económicas, políticas y sociales; impulsen el goce del derecho a la igualdad; el cumplimiento de los principios de no discriminación y no regresividad; la defensa de los sujetos de</w:t>
            </w:r>
            <w:r>
              <w:rPr>
                <w:i/>
                <w:spacing w:val="-16"/>
                <w:sz w:val="18"/>
              </w:rPr>
              <w:t xml:space="preserve"> </w:t>
            </w:r>
            <w:r>
              <w:rPr>
                <w:i/>
                <w:sz w:val="18"/>
              </w:rPr>
              <w:t>especial</w:t>
            </w:r>
            <w:r>
              <w:rPr>
                <w:i/>
                <w:spacing w:val="-16"/>
                <w:sz w:val="18"/>
              </w:rPr>
              <w:t xml:space="preserve"> </w:t>
            </w:r>
            <w:r>
              <w:rPr>
                <w:i/>
                <w:sz w:val="18"/>
              </w:rPr>
              <w:t>protección</w:t>
            </w:r>
            <w:r>
              <w:rPr>
                <w:i/>
                <w:spacing w:val="-16"/>
                <w:sz w:val="18"/>
              </w:rPr>
              <w:t xml:space="preserve"> </w:t>
            </w:r>
            <w:r>
              <w:rPr>
                <w:i/>
                <w:sz w:val="18"/>
              </w:rPr>
              <w:t>constitucional</w:t>
            </w:r>
            <w:r>
              <w:rPr>
                <w:i/>
                <w:spacing w:val="-16"/>
                <w:sz w:val="18"/>
              </w:rPr>
              <w:t xml:space="preserve"> </w:t>
            </w:r>
            <w:r>
              <w:rPr>
                <w:i/>
                <w:sz w:val="18"/>
              </w:rPr>
              <w:t>y</w:t>
            </w:r>
            <w:r>
              <w:rPr>
                <w:i/>
                <w:spacing w:val="-16"/>
                <w:sz w:val="18"/>
              </w:rPr>
              <w:t xml:space="preserve"> </w:t>
            </w:r>
            <w:r>
              <w:rPr>
                <w:i/>
                <w:sz w:val="18"/>
              </w:rPr>
              <w:t xml:space="preserve">la adaptación igualitaria al cambio </w:t>
            </w:r>
            <w:r>
              <w:rPr>
                <w:i/>
                <w:spacing w:val="-2"/>
                <w:sz w:val="18"/>
              </w:rPr>
              <w:t>climático.</w:t>
            </w:r>
          </w:p>
          <w:p w14:paraId="201C3EC9" w14:textId="77777777" w:rsidR="000E52B0" w:rsidRDefault="00F60D74">
            <w:pPr>
              <w:pStyle w:val="TableParagraph"/>
              <w:ind w:left="108" w:right="96"/>
              <w:jc w:val="both"/>
              <w:rPr>
                <w:sz w:val="18"/>
              </w:rPr>
            </w:pPr>
            <w:r>
              <w:rPr>
                <w:i/>
                <w:sz w:val="18"/>
              </w:rPr>
              <w:t>Articular políticas, planes, estrategias y programas de acceso al agua y saneamiento básico en los territorios marginados</w:t>
            </w:r>
            <w:r>
              <w:rPr>
                <w:i/>
                <w:spacing w:val="-15"/>
                <w:sz w:val="18"/>
              </w:rPr>
              <w:t xml:space="preserve"> </w:t>
            </w:r>
            <w:r>
              <w:rPr>
                <w:i/>
                <w:sz w:val="18"/>
              </w:rPr>
              <w:t>y</w:t>
            </w:r>
            <w:r>
              <w:rPr>
                <w:i/>
                <w:spacing w:val="-15"/>
                <w:sz w:val="18"/>
              </w:rPr>
              <w:t xml:space="preserve"> </w:t>
            </w:r>
            <w:r>
              <w:rPr>
                <w:i/>
                <w:sz w:val="18"/>
              </w:rPr>
              <w:t>excluidos,</w:t>
            </w:r>
            <w:r>
              <w:rPr>
                <w:i/>
                <w:spacing w:val="-15"/>
                <w:sz w:val="18"/>
              </w:rPr>
              <w:t xml:space="preserve"> </w:t>
            </w:r>
            <w:r>
              <w:rPr>
                <w:i/>
                <w:sz w:val="18"/>
              </w:rPr>
              <w:t>con</w:t>
            </w:r>
            <w:r>
              <w:rPr>
                <w:i/>
                <w:spacing w:val="-13"/>
                <w:sz w:val="18"/>
              </w:rPr>
              <w:t xml:space="preserve"> </w:t>
            </w:r>
            <w:r>
              <w:rPr>
                <w:i/>
                <w:sz w:val="18"/>
              </w:rPr>
              <w:t>las</w:t>
            </w:r>
            <w:r>
              <w:rPr>
                <w:i/>
                <w:spacing w:val="-15"/>
                <w:sz w:val="18"/>
              </w:rPr>
              <w:t xml:space="preserve"> </w:t>
            </w:r>
            <w:r>
              <w:rPr>
                <w:i/>
                <w:sz w:val="18"/>
              </w:rPr>
              <w:t>políticas de</w:t>
            </w:r>
            <w:r>
              <w:rPr>
                <w:i/>
                <w:spacing w:val="-9"/>
                <w:sz w:val="18"/>
              </w:rPr>
              <w:t xml:space="preserve"> </w:t>
            </w:r>
            <w:r>
              <w:rPr>
                <w:i/>
                <w:sz w:val="18"/>
              </w:rPr>
              <w:t>manejo</w:t>
            </w:r>
            <w:r>
              <w:rPr>
                <w:i/>
                <w:spacing w:val="-8"/>
                <w:sz w:val="18"/>
              </w:rPr>
              <w:t xml:space="preserve"> </w:t>
            </w:r>
            <w:r>
              <w:rPr>
                <w:i/>
                <w:sz w:val="18"/>
              </w:rPr>
              <w:t>y</w:t>
            </w:r>
            <w:r>
              <w:rPr>
                <w:i/>
                <w:spacing w:val="-10"/>
                <w:sz w:val="18"/>
              </w:rPr>
              <w:t xml:space="preserve"> </w:t>
            </w:r>
            <w:r>
              <w:rPr>
                <w:i/>
                <w:sz w:val="18"/>
              </w:rPr>
              <w:t>gestión</w:t>
            </w:r>
            <w:r>
              <w:rPr>
                <w:i/>
                <w:spacing w:val="-9"/>
                <w:sz w:val="18"/>
              </w:rPr>
              <w:t xml:space="preserve"> </w:t>
            </w:r>
            <w:r>
              <w:rPr>
                <w:i/>
                <w:sz w:val="18"/>
              </w:rPr>
              <w:t>integral</w:t>
            </w:r>
            <w:r>
              <w:rPr>
                <w:i/>
                <w:spacing w:val="-9"/>
                <w:sz w:val="18"/>
              </w:rPr>
              <w:t xml:space="preserve"> </w:t>
            </w:r>
            <w:r>
              <w:rPr>
                <w:i/>
                <w:sz w:val="18"/>
              </w:rPr>
              <w:t>del</w:t>
            </w:r>
            <w:r>
              <w:rPr>
                <w:i/>
                <w:spacing w:val="-9"/>
                <w:sz w:val="18"/>
              </w:rPr>
              <w:t xml:space="preserve"> </w:t>
            </w:r>
            <w:r>
              <w:rPr>
                <w:i/>
                <w:sz w:val="18"/>
              </w:rPr>
              <w:t>recurso hídrico,</w:t>
            </w:r>
            <w:r>
              <w:rPr>
                <w:i/>
                <w:spacing w:val="-14"/>
                <w:sz w:val="18"/>
              </w:rPr>
              <w:t xml:space="preserve"> </w:t>
            </w:r>
            <w:r>
              <w:rPr>
                <w:i/>
                <w:sz w:val="18"/>
              </w:rPr>
              <w:t>adaptación</w:t>
            </w:r>
            <w:r>
              <w:rPr>
                <w:i/>
                <w:spacing w:val="-13"/>
                <w:sz w:val="18"/>
              </w:rPr>
              <w:t xml:space="preserve"> </w:t>
            </w:r>
            <w:r>
              <w:rPr>
                <w:i/>
                <w:sz w:val="18"/>
              </w:rPr>
              <w:t>al</w:t>
            </w:r>
            <w:r>
              <w:rPr>
                <w:i/>
                <w:spacing w:val="-15"/>
                <w:sz w:val="18"/>
              </w:rPr>
              <w:t xml:space="preserve"> </w:t>
            </w:r>
            <w:r>
              <w:rPr>
                <w:i/>
                <w:sz w:val="18"/>
              </w:rPr>
              <w:t>cambio</w:t>
            </w:r>
            <w:r>
              <w:rPr>
                <w:i/>
                <w:spacing w:val="-13"/>
                <w:sz w:val="18"/>
              </w:rPr>
              <w:t xml:space="preserve"> </w:t>
            </w:r>
            <w:r>
              <w:rPr>
                <w:i/>
                <w:sz w:val="18"/>
              </w:rPr>
              <w:t>climático</w:t>
            </w:r>
            <w:r>
              <w:rPr>
                <w:i/>
                <w:spacing w:val="-15"/>
                <w:sz w:val="18"/>
              </w:rPr>
              <w:t xml:space="preserve"> </w:t>
            </w:r>
            <w:r>
              <w:rPr>
                <w:i/>
                <w:sz w:val="18"/>
              </w:rPr>
              <w:t>y residuos sólidos del Ministerio de Ambiente y Desarrollo Sostenible y del Ministerio de Vivienda, Ciudad y Territorio,</w:t>
            </w:r>
            <w:r>
              <w:rPr>
                <w:i/>
                <w:spacing w:val="-2"/>
                <w:sz w:val="18"/>
              </w:rPr>
              <w:t xml:space="preserve"> </w:t>
            </w:r>
            <w:r>
              <w:rPr>
                <w:i/>
                <w:sz w:val="18"/>
              </w:rPr>
              <w:t>la</w:t>
            </w:r>
            <w:r>
              <w:rPr>
                <w:i/>
                <w:spacing w:val="-1"/>
                <w:sz w:val="18"/>
              </w:rPr>
              <w:t xml:space="preserve"> </w:t>
            </w:r>
            <w:r>
              <w:rPr>
                <w:i/>
                <w:sz w:val="18"/>
              </w:rPr>
              <w:t>Comisión</w:t>
            </w:r>
            <w:r>
              <w:rPr>
                <w:i/>
                <w:spacing w:val="-3"/>
                <w:sz w:val="18"/>
              </w:rPr>
              <w:t xml:space="preserve"> </w:t>
            </w:r>
            <w:r>
              <w:rPr>
                <w:i/>
                <w:sz w:val="18"/>
              </w:rPr>
              <w:t>de</w:t>
            </w:r>
            <w:r>
              <w:rPr>
                <w:i/>
                <w:spacing w:val="-3"/>
                <w:sz w:val="18"/>
              </w:rPr>
              <w:t xml:space="preserve"> </w:t>
            </w:r>
            <w:r>
              <w:rPr>
                <w:i/>
                <w:sz w:val="18"/>
              </w:rPr>
              <w:t xml:space="preserve">Regulación de Agua Potable de conformidad con las disposiciones técnicas y legales </w:t>
            </w:r>
            <w:r>
              <w:rPr>
                <w:i/>
                <w:spacing w:val="-2"/>
                <w:sz w:val="18"/>
              </w:rPr>
              <w:t>vigentes</w:t>
            </w:r>
            <w:r>
              <w:rPr>
                <w:spacing w:val="-2"/>
                <w:sz w:val="18"/>
              </w:rPr>
              <w:t>.</w:t>
            </w:r>
          </w:p>
        </w:tc>
      </w:tr>
      <w:tr w:rsidR="000E52B0" w14:paraId="42C33B94" w14:textId="77777777">
        <w:trPr>
          <w:trHeight w:val="863"/>
        </w:trPr>
        <w:tc>
          <w:tcPr>
            <w:tcW w:w="1394" w:type="dxa"/>
            <w:vMerge/>
            <w:tcBorders>
              <w:top w:val="nil"/>
            </w:tcBorders>
          </w:tcPr>
          <w:p w14:paraId="2BDA579D" w14:textId="77777777" w:rsidR="000E52B0" w:rsidRDefault="000E52B0">
            <w:pPr>
              <w:rPr>
                <w:sz w:val="2"/>
                <w:szCs w:val="2"/>
              </w:rPr>
            </w:pPr>
          </w:p>
        </w:tc>
        <w:tc>
          <w:tcPr>
            <w:tcW w:w="3752" w:type="dxa"/>
            <w:tcBorders>
              <w:top w:val="nil"/>
              <w:bottom w:val="nil"/>
            </w:tcBorders>
          </w:tcPr>
          <w:p w14:paraId="725FEE62" w14:textId="77777777" w:rsidR="000E52B0" w:rsidRDefault="000E52B0">
            <w:pPr>
              <w:pStyle w:val="TableParagraph"/>
              <w:rPr>
                <w:rFonts w:ascii="Times New Roman"/>
                <w:sz w:val="18"/>
              </w:rPr>
            </w:pPr>
          </w:p>
        </w:tc>
        <w:tc>
          <w:tcPr>
            <w:tcW w:w="3870" w:type="dxa"/>
            <w:tcBorders>
              <w:top w:val="nil"/>
              <w:bottom w:val="nil"/>
            </w:tcBorders>
          </w:tcPr>
          <w:p w14:paraId="65492953" w14:textId="77777777" w:rsidR="000E52B0" w:rsidRDefault="00F60D74">
            <w:pPr>
              <w:pStyle w:val="TableParagraph"/>
              <w:spacing w:before="104"/>
              <w:ind w:left="828" w:right="94" w:hanging="360"/>
              <w:jc w:val="both"/>
              <w:rPr>
                <w:b/>
                <w:sz w:val="18"/>
              </w:rPr>
            </w:pPr>
            <w:r>
              <w:rPr>
                <w:b/>
                <w:sz w:val="18"/>
              </w:rPr>
              <w:t xml:space="preserve">3. DISEÑO, FORMULACIÓN Y EJECUCIÓN DE ACCIONES </w:t>
            </w:r>
            <w:r>
              <w:rPr>
                <w:b/>
                <w:spacing w:val="-2"/>
                <w:sz w:val="18"/>
              </w:rPr>
              <w:t>CONCRETAS</w:t>
            </w:r>
          </w:p>
        </w:tc>
      </w:tr>
      <w:tr w:rsidR="000E52B0" w14:paraId="31E3340F" w14:textId="77777777">
        <w:trPr>
          <w:trHeight w:val="3546"/>
        </w:trPr>
        <w:tc>
          <w:tcPr>
            <w:tcW w:w="1394" w:type="dxa"/>
            <w:vMerge/>
            <w:tcBorders>
              <w:top w:val="nil"/>
            </w:tcBorders>
          </w:tcPr>
          <w:p w14:paraId="56D18238" w14:textId="77777777" w:rsidR="000E52B0" w:rsidRDefault="000E52B0">
            <w:pPr>
              <w:rPr>
                <w:sz w:val="2"/>
                <w:szCs w:val="2"/>
              </w:rPr>
            </w:pPr>
          </w:p>
        </w:tc>
        <w:tc>
          <w:tcPr>
            <w:tcW w:w="3752" w:type="dxa"/>
            <w:tcBorders>
              <w:top w:val="nil"/>
            </w:tcBorders>
          </w:tcPr>
          <w:p w14:paraId="3E7D75EF" w14:textId="77777777" w:rsidR="000E52B0" w:rsidRDefault="000E52B0">
            <w:pPr>
              <w:pStyle w:val="TableParagraph"/>
              <w:rPr>
                <w:rFonts w:ascii="Times New Roman"/>
                <w:sz w:val="18"/>
              </w:rPr>
            </w:pPr>
          </w:p>
        </w:tc>
        <w:tc>
          <w:tcPr>
            <w:tcW w:w="3870" w:type="dxa"/>
            <w:tcBorders>
              <w:top w:val="nil"/>
            </w:tcBorders>
          </w:tcPr>
          <w:p w14:paraId="6E2238A0" w14:textId="77777777" w:rsidR="000E52B0" w:rsidRDefault="00F60D74">
            <w:pPr>
              <w:pStyle w:val="TableParagraph"/>
              <w:spacing w:before="104"/>
              <w:ind w:left="108" w:right="95"/>
              <w:jc w:val="both"/>
              <w:rPr>
                <w:sz w:val="18"/>
              </w:rPr>
            </w:pPr>
            <w:r>
              <w:rPr>
                <w:b/>
                <w:sz w:val="18"/>
              </w:rPr>
              <w:t xml:space="preserve">Programa “Agua es Vida”. </w:t>
            </w:r>
            <w:r>
              <w:rPr>
                <w:sz w:val="18"/>
              </w:rPr>
              <w:t>Pretende avanzar en la garantía del derecho al agua y saneamiento en cuanto a disponibilidad y acceso en territorios marginados</w:t>
            </w:r>
            <w:r>
              <w:rPr>
                <w:spacing w:val="-16"/>
                <w:sz w:val="18"/>
              </w:rPr>
              <w:t xml:space="preserve"> </w:t>
            </w:r>
            <w:r>
              <w:rPr>
                <w:sz w:val="18"/>
              </w:rPr>
              <w:t>y</w:t>
            </w:r>
            <w:r>
              <w:rPr>
                <w:spacing w:val="-16"/>
                <w:sz w:val="18"/>
              </w:rPr>
              <w:t xml:space="preserve"> </w:t>
            </w:r>
            <w:r>
              <w:rPr>
                <w:sz w:val="18"/>
              </w:rPr>
              <w:t>excluidos.</w:t>
            </w:r>
            <w:r>
              <w:rPr>
                <w:spacing w:val="-16"/>
                <w:sz w:val="18"/>
              </w:rPr>
              <w:t xml:space="preserve"> </w:t>
            </w:r>
            <w:r>
              <w:rPr>
                <w:sz w:val="18"/>
              </w:rPr>
              <w:t>Para</w:t>
            </w:r>
            <w:r>
              <w:rPr>
                <w:spacing w:val="-16"/>
                <w:sz w:val="18"/>
              </w:rPr>
              <w:t xml:space="preserve"> </w:t>
            </w:r>
            <w:r>
              <w:rPr>
                <w:sz w:val="18"/>
              </w:rPr>
              <w:t>lograr</w:t>
            </w:r>
            <w:r>
              <w:rPr>
                <w:spacing w:val="-16"/>
                <w:sz w:val="18"/>
              </w:rPr>
              <w:t xml:space="preserve"> </w:t>
            </w:r>
            <w:r>
              <w:rPr>
                <w:sz w:val="18"/>
              </w:rPr>
              <w:t>esto se han definido cuatro líneas de acción: infraestructura de sistemas convencionales y no convencionales, instalación de soluciones no convencionales, fortalecimiento de infraestructura comunitaria y fortalecimiento de la gobernanza territorial del agua.</w:t>
            </w:r>
          </w:p>
        </w:tc>
      </w:tr>
      <w:tr w:rsidR="000E52B0" w14:paraId="33088026" w14:textId="77777777">
        <w:trPr>
          <w:trHeight w:val="219"/>
        </w:trPr>
        <w:tc>
          <w:tcPr>
            <w:tcW w:w="1394" w:type="dxa"/>
            <w:tcBorders>
              <w:bottom w:val="nil"/>
            </w:tcBorders>
          </w:tcPr>
          <w:p w14:paraId="7450E682" w14:textId="77777777" w:rsidR="000E52B0" w:rsidRDefault="00F60D74">
            <w:pPr>
              <w:pStyle w:val="TableParagraph"/>
              <w:spacing w:before="1" w:line="199" w:lineRule="exact"/>
              <w:ind w:left="107"/>
              <w:rPr>
                <w:sz w:val="18"/>
              </w:rPr>
            </w:pPr>
            <w:r>
              <w:rPr>
                <w:spacing w:val="-2"/>
                <w:sz w:val="18"/>
              </w:rPr>
              <w:t>Reducción</w:t>
            </w:r>
          </w:p>
        </w:tc>
        <w:tc>
          <w:tcPr>
            <w:tcW w:w="3752" w:type="dxa"/>
            <w:tcBorders>
              <w:bottom w:val="nil"/>
            </w:tcBorders>
          </w:tcPr>
          <w:p w14:paraId="5EA7F8DE" w14:textId="77777777" w:rsidR="000E52B0" w:rsidRDefault="00F60D74">
            <w:pPr>
              <w:pStyle w:val="TableParagraph"/>
              <w:spacing w:before="1" w:line="199" w:lineRule="exact"/>
              <w:ind w:left="108"/>
              <w:rPr>
                <w:sz w:val="18"/>
              </w:rPr>
            </w:pPr>
            <w:r>
              <w:rPr>
                <w:b/>
                <w:sz w:val="18"/>
              </w:rPr>
              <w:t>10.2</w:t>
            </w:r>
            <w:r>
              <w:rPr>
                <w:b/>
                <w:spacing w:val="51"/>
                <w:w w:val="150"/>
                <w:sz w:val="18"/>
              </w:rPr>
              <w:t xml:space="preserve"> </w:t>
            </w:r>
            <w:r>
              <w:rPr>
                <w:sz w:val="18"/>
              </w:rPr>
              <w:t>De</w:t>
            </w:r>
            <w:r>
              <w:rPr>
                <w:spacing w:val="49"/>
                <w:w w:val="150"/>
                <w:sz w:val="18"/>
              </w:rPr>
              <w:t xml:space="preserve"> </w:t>
            </w:r>
            <w:r>
              <w:rPr>
                <w:sz w:val="18"/>
              </w:rPr>
              <w:t>aquí</w:t>
            </w:r>
            <w:r>
              <w:rPr>
                <w:spacing w:val="49"/>
                <w:w w:val="150"/>
                <w:sz w:val="18"/>
              </w:rPr>
              <w:t xml:space="preserve"> </w:t>
            </w:r>
            <w:r>
              <w:rPr>
                <w:sz w:val="18"/>
              </w:rPr>
              <w:t>a</w:t>
            </w:r>
            <w:r>
              <w:rPr>
                <w:spacing w:val="50"/>
                <w:w w:val="150"/>
                <w:sz w:val="18"/>
              </w:rPr>
              <w:t xml:space="preserve"> </w:t>
            </w:r>
            <w:r>
              <w:rPr>
                <w:sz w:val="18"/>
              </w:rPr>
              <w:t>2030,</w:t>
            </w:r>
            <w:r>
              <w:rPr>
                <w:spacing w:val="49"/>
                <w:w w:val="150"/>
                <w:sz w:val="18"/>
              </w:rPr>
              <w:t xml:space="preserve"> </w:t>
            </w:r>
            <w:r>
              <w:rPr>
                <w:sz w:val="18"/>
              </w:rPr>
              <w:t>potenciar</w:t>
            </w:r>
            <w:r>
              <w:rPr>
                <w:spacing w:val="79"/>
                <w:sz w:val="18"/>
              </w:rPr>
              <w:t xml:space="preserve"> </w:t>
            </w:r>
            <w:r>
              <w:rPr>
                <w:spacing w:val="-10"/>
                <w:sz w:val="18"/>
              </w:rPr>
              <w:t>y</w:t>
            </w:r>
          </w:p>
        </w:tc>
        <w:tc>
          <w:tcPr>
            <w:tcW w:w="3870" w:type="dxa"/>
            <w:tcBorders>
              <w:bottom w:val="nil"/>
            </w:tcBorders>
          </w:tcPr>
          <w:p w14:paraId="6D034F5C" w14:textId="77777777" w:rsidR="000E52B0" w:rsidRDefault="00F60D74">
            <w:pPr>
              <w:pStyle w:val="TableParagraph"/>
              <w:tabs>
                <w:tab w:val="left" w:pos="2905"/>
              </w:tabs>
              <w:spacing w:before="1" w:line="199" w:lineRule="exact"/>
              <w:ind w:right="97"/>
              <w:jc w:val="right"/>
              <w:rPr>
                <w:b/>
                <w:sz w:val="18"/>
              </w:rPr>
            </w:pPr>
            <w:r>
              <w:rPr>
                <w:b/>
                <w:sz w:val="18"/>
              </w:rPr>
              <w:t>1.</w:t>
            </w:r>
            <w:r>
              <w:rPr>
                <w:b/>
                <w:spacing w:val="49"/>
                <w:w w:val="150"/>
                <w:sz w:val="18"/>
              </w:rPr>
              <w:t xml:space="preserve"> </w:t>
            </w:r>
            <w:r>
              <w:rPr>
                <w:b/>
                <w:spacing w:val="-2"/>
                <w:sz w:val="18"/>
              </w:rPr>
              <w:t>FUNCIONES</w:t>
            </w:r>
            <w:r>
              <w:rPr>
                <w:b/>
                <w:sz w:val="18"/>
              </w:rPr>
              <w:tab/>
            </w:r>
            <w:r>
              <w:rPr>
                <w:b/>
                <w:spacing w:val="-5"/>
                <w:sz w:val="18"/>
              </w:rPr>
              <w:t>DEL</w:t>
            </w:r>
          </w:p>
        </w:tc>
      </w:tr>
      <w:tr w:rsidR="000E52B0" w14:paraId="56869812" w14:textId="77777777">
        <w:trPr>
          <w:trHeight w:val="218"/>
        </w:trPr>
        <w:tc>
          <w:tcPr>
            <w:tcW w:w="1394" w:type="dxa"/>
            <w:tcBorders>
              <w:top w:val="nil"/>
              <w:bottom w:val="nil"/>
            </w:tcBorders>
          </w:tcPr>
          <w:p w14:paraId="6828F1DE" w14:textId="77777777" w:rsidR="000E52B0" w:rsidRDefault="00F60D74">
            <w:pPr>
              <w:pStyle w:val="TableParagraph"/>
              <w:spacing w:line="198" w:lineRule="exact"/>
              <w:ind w:left="107"/>
              <w:rPr>
                <w:sz w:val="18"/>
              </w:rPr>
            </w:pPr>
            <w:r>
              <w:rPr>
                <w:sz w:val="18"/>
              </w:rPr>
              <w:t>de</w:t>
            </w:r>
            <w:r>
              <w:rPr>
                <w:spacing w:val="-1"/>
                <w:sz w:val="18"/>
              </w:rPr>
              <w:t xml:space="preserve"> </w:t>
            </w:r>
            <w:r>
              <w:rPr>
                <w:spacing w:val="-5"/>
                <w:sz w:val="18"/>
              </w:rPr>
              <w:t>las</w:t>
            </w:r>
          </w:p>
        </w:tc>
        <w:tc>
          <w:tcPr>
            <w:tcW w:w="3752" w:type="dxa"/>
            <w:tcBorders>
              <w:top w:val="nil"/>
              <w:bottom w:val="nil"/>
            </w:tcBorders>
          </w:tcPr>
          <w:p w14:paraId="05D3B71B" w14:textId="77777777" w:rsidR="000E52B0" w:rsidRDefault="00F60D74">
            <w:pPr>
              <w:pStyle w:val="TableParagraph"/>
              <w:tabs>
                <w:tab w:val="left" w:pos="1263"/>
                <w:tab w:val="left" w:pos="1802"/>
                <w:tab w:val="left" w:pos="2969"/>
              </w:tabs>
              <w:spacing w:line="198" w:lineRule="exact"/>
              <w:ind w:left="6"/>
              <w:jc w:val="center"/>
              <w:rPr>
                <w:sz w:val="18"/>
              </w:rPr>
            </w:pPr>
            <w:r>
              <w:rPr>
                <w:spacing w:val="-2"/>
                <w:sz w:val="18"/>
              </w:rPr>
              <w:t>promover</w:t>
            </w:r>
            <w:r>
              <w:rPr>
                <w:sz w:val="18"/>
              </w:rPr>
              <w:tab/>
            </w:r>
            <w:r>
              <w:rPr>
                <w:spacing w:val="-5"/>
                <w:sz w:val="18"/>
              </w:rPr>
              <w:t>la</w:t>
            </w:r>
            <w:r>
              <w:rPr>
                <w:sz w:val="18"/>
              </w:rPr>
              <w:tab/>
            </w:r>
            <w:r>
              <w:rPr>
                <w:spacing w:val="-2"/>
                <w:sz w:val="18"/>
              </w:rPr>
              <w:t>inclusión</w:t>
            </w:r>
            <w:r>
              <w:rPr>
                <w:sz w:val="18"/>
              </w:rPr>
              <w:tab/>
            </w:r>
            <w:r>
              <w:rPr>
                <w:spacing w:val="-2"/>
                <w:sz w:val="18"/>
              </w:rPr>
              <w:t>social,</w:t>
            </w:r>
          </w:p>
        </w:tc>
        <w:tc>
          <w:tcPr>
            <w:tcW w:w="3870" w:type="dxa"/>
            <w:tcBorders>
              <w:top w:val="nil"/>
              <w:bottom w:val="nil"/>
            </w:tcBorders>
          </w:tcPr>
          <w:p w14:paraId="2624380A" w14:textId="77777777" w:rsidR="000E52B0" w:rsidRDefault="00F60D74">
            <w:pPr>
              <w:pStyle w:val="TableParagraph"/>
              <w:spacing w:line="198" w:lineRule="exact"/>
              <w:ind w:right="96"/>
              <w:jc w:val="right"/>
              <w:rPr>
                <w:b/>
                <w:sz w:val="18"/>
              </w:rPr>
            </w:pPr>
            <w:r>
              <w:rPr>
                <w:b/>
                <w:sz w:val="18"/>
              </w:rPr>
              <w:t>MINISTERIO</w:t>
            </w:r>
            <w:r>
              <w:rPr>
                <w:b/>
                <w:spacing w:val="-3"/>
                <w:sz w:val="18"/>
              </w:rPr>
              <w:t xml:space="preserve"> </w:t>
            </w:r>
            <w:r>
              <w:rPr>
                <w:b/>
                <w:sz w:val="18"/>
              </w:rPr>
              <w:t>DE</w:t>
            </w:r>
            <w:r>
              <w:rPr>
                <w:b/>
                <w:spacing w:val="-4"/>
                <w:sz w:val="18"/>
              </w:rPr>
              <w:t xml:space="preserve"> </w:t>
            </w:r>
            <w:r>
              <w:rPr>
                <w:b/>
                <w:sz w:val="18"/>
              </w:rPr>
              <w:t>IGUALDAD</w:t>
            </w:r>
            <w:r>
              <w:rPr>
                <w:b/>
                <w:spacing w:val="-4"/>
                <w:sz w:val="18"/>
              </w:rPr>
              <w:t xml:space="preserve"> </w:t>
            </w:r>
            <w:r>
              <w:rPr>
                <w:b/>
                <w:spacing w:val="-10"/>
                <w:sz w:val="18"/>
              </w:rPr>
              <w:t>Y</w:t>
            </w:r>
          </w:p>
        </w:tc>
      </w:tr>
      <w:tr w:rsidR="000E52B0" w14:paraId="7255AF77" w14:textId="77777777">
        <w:trPr>
          <w:trHeight w:val="655"/>
        </w:trPr>
        <w:tc>
          <w:tcPr>
            <w:tcW w:w="1394" w:type="dxa"/>
            <w:tcBorders>
              <w:top w:val="nil"/>
            </w:tcBorders>
          </w:tcPr>
          <w:p w14:paraId="0484CC79" w14:textId="77777777" w:rsidR="000E52B0" w:rsidRDefault="00F60D74">
            <w:pPr>
              <w:pStyle w:val="TableParagraph"/>
              <w:ind w:left="107" w:right="140"/>
              <w:rPr>
                <w:sz w:val="18"/>
              </w:rPr>
            </w:pPr>
            <w:r>
              <w:rPr>
                <w:spacing w:val="-2"/>
                <w:sz w:val="18"/>
              </w:rPr>
              <w:t xml:space="preserve">desigualdad </w:t>
            </w:r>
            <w:r>
              <w:rPr>
                <w:spacing w:val="-6"/>
                <w:sz w:val="18"/>
              </w:rPr>
              <w:t>es</w:t>
            </w:r>
          </w:p>
        </w:tc>
        <w:tc>
          <w:tcPr>
            <w:tcW w:w="3752" w:type="dxa"/>
            <w:tcBorders>
              <w:top w:val="nil"/>
            </w:tcBorders>
          </w:tcPr>
          <w:p w14:paraId="75A500F1" w14:textId="77777777" w:rsidR="000E52B0" w:rsidRDefault="00F60D74">
            <w:pPr>
              <w:pStyle w:val="TableParagraph"/>
              <w:spacing w:line="218" w:lineRule="exact"/>
              <w:ind w:left="108" w:right="99"/>
              <w:jc w:val="both"/>
              <w:rPr>
                <w:sz w:val="18"/>
              </w:rPr>
            </w:pPr>
            <w:r>
              <w:rPr>
                <w:sz w:val="18"/>
              </w:rPr>
              <w:t>económica y política de todas las personas, independientemente de su edad,</w:t>
            </w:r>
            <w:r>
              <w:rPr>
                <w:spacing w:val="23"/>
                <w:sz w:val="18"/>
              </w:rPr>
              <w:t xml:space="preserve"> </w:t>
            </w:r>
            <w:r>
              <w:rPr>
                <w:sz w:val="18"/>
              </w:rPr>
              <w:t>sexo,</w:t>
            </w:r>
            <w:r>
              <w:rPr>
                <w:spacing w:val="22"/>
                <w:sz w:val="18"/>
              </w:rPr>
              <w:t xml:space="preserve"> </w:t>
            </w:r>
            <w:r>
              <w:rPr>
                <w:sz w:val="18"/>
              </w:rPr>
              <w:t>discapacidad,</w:t>
            </w:r>
            <w:r>
              <w:rPr>
                <w:spacing w:val="20"/>
                <w:sz w:val="18"/>
              </w:rPr>
              <w:t xml:space="preserve"> </w:t>
            </w:r>
            <w:r>
              <w:rPr>
                <w:sz w:val="18"/>
              </w:rPr>
              <w:t>raza,</w:t>
            </w:r>
            <w:r>
              <w:rPr>
                <w:spacing w:val="25"/>
                <w:sz w:val="18"/>
              </w:rPr>
              <w:t xml:space="preserve"> </w:t>
            </w:r>
            <w:r>
              <w:rPr>
                <w:spacing w:val="-2"/>
                <w:sz w:val="18"/>
              </w:rPr>
              <w:t>etnia,</w:t>
            </w:r>
          </w:p>
        </w:tc>
        <w:tc>
          <w:tcPr>
            <w:tcW w:w="3870" w:type="dxa"/>
            <w:tcBorders>
              <w:top w:val="nil"/>
            </w:tcBorders>
          </w:tcPr>
          <w:p w14:paraId="56220639" w14:textId="77777777" w:rsidR="000E52B0" w:rsidRDefault="00F60D74">
            <w:pPr>
              <w:pStyle w:val="TableParagraph"/>
              <w:ind w:left="804"/>
              <w:rPr>
                <w:sz w:val="18"/>
              </w:rPr>
            </w:pPr>
            <w:r>
              <w:rPr>
                <w:b/>
                <w:spacing w:val="-2"/>
                <w:sz w:val="18"/>
              </w:rPr>
              <w:t>EQUIDAD</w:t>
            </w:r>
            <w:r>
              <w:rPr>
                <w:spacing w:val="-2"/>
                <w:sz w:val="18"/>
              </w:rPr>
              <w:t>.</w:t>
            </w:r>
          </w:p>
        </w:tc>
      </w:tr>
    </w:tbl>
    <w:p w14:paraId="5C39649C" w14:textId="77777777" w:rsidR="000E52B0" w:rsidRDefault="000E52B0">
      <w:pPr>
        <w:pStyle w:val="TableParagraph"/>
        <w:rPr>
          <w:sz w:val="18"/>
        </w:rPr>
        <w:sectPr w:rsidR="000E52B0">
          <w:type w:val="continuous"/>
          <w:pgSz w:w="11910" w:h="16840"/>
          <w:pgMar w:top="1400" w:right="720" w:bottom="1681" w:left="720" w:header="0" w:footer="995"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3752"/>
        <w:gridCol w:w="3870"/>
      </w:tblGrid>
      <w:tr w:rsidR="000E52B0" w14:paraId="5F8C5280" w14:textId="77777777">
        <w:trPr>
          <w:trHeight w:val="436"/>
        </w:trPr>
        <w:tc>
          <w:tcPr>
            <w:tcW w:w="1394" w:type="dxa"/>
            <w:shd w:val="clear" w:color="auto" w:fill="D44673"/>
          </w:tcPr>
          <w:p w14:paraId="20D5A298" w14:textId="77777777" w:rsidR="000E52B0" w:rsidRDefault="00F60D74">
            <w:pPr>
              <w:pStyle w:val="TableParagraph"/>
              <w:spacing w:before="109"/>
              <w:ind w:left="10"/>
              <w:jc w:val="center"/>
              <w:rPr>
                <w:b/>
                <w:sz w:val="18"/>
              </w:rPr>
            </w:pPr>
            <w:r>
              <w:rPr>
                <w:b/>
                <w:color w:val="FFFFFF"/>
                <w:spacing w:val="-5"/>
                <w:sz w:val="18"/>
              </w:rPr>
              <w:lastRenderedPageBreak/>
              <w:t>ODS</w:t>
            </w:r>
          </w:p>
        </w:tc>
        <w:tc>
          <w:tcPr>
            <w:tcW w:w="3752" w:type="dxa"/>
            <w:shd w:val="clear" w:color="auto" w:fill="D44673"/>
          </w:tcPr>
          <w:p w14:paraId="3ECB669A" w14:textId="77777777" w:rsidR="000E52B0" w:rsidRDefault="00F60D74">
            <w:pPr>
              <w:pStyle w:val="TableParagraph"/>
              <w:spacing w:before="109"/>
              <w:ind w:left="6"/>
              <w:jc w:val="center"/>
              <w:rPr>
                <w:b/>
                <w:sz w:val="18"/>
              </w:rPr>
            </w:pPr>
            <w:r>
              <w:rPr>
                <w:b/>
                <w:color w:val="FFFFFF"/>
                <w:spacing w:val="-4"/>
                <w:sz w:val="18"/>
              </w:rPr>
              <w:t>Meta</w:t>
            </w:r>
          </w:p>
        </w:tc>
        <w:tc>
          <w:tcPr>
            <w:tcW w:w="3870" w:type="dxa"/>
            <w:shd w:val="clear" w:color="auto" w:fill="D44673"/>
          </w:tcPr>
          <w:p w14:paraId="1C2C036E" w14:textId="77777777" w:rsidR="000E52B0" w:rsidRDefault="00F60D74">
            <w:pPr>
              <w:pStyle w:val="TableParagraph"/>
              <w:spacing w:line="218" w:lineRule="exact"/>
              <w:ind w:left="900" w:hanging="687"/>
              <w:rPr>
                <w:b/>
                <w:sz w:val="18"/>
              </w:rPr>
            </w:pPr>
            <w:r>
              <w:rPr>
                <w:b/>
                <w:color w:val="FFFFFF"/>
                <w:sz w:val="18"/>
              </w:rPr>
              <w:t>¿Cómo</w:t>
            </w:r>
            <w:r>
              <w:rPr>
                <w:b/>
                <w:color w:val="FFFFFF"/>
                <w:spacing w:val="-9"/>
                <w:sz w:val="18"/>
              </w:rPr>
              <w:t xml:space="preserve"> </w:t>
            </w:r>
            <w:r>
              <w:rPr>
                <w:b/>
                <w:color w:val="FFFFFF"/>
                <w:sz w:val="18"/>
              </w:rPr>
              <w:t>contribuye</w:t>
            </w:r>
            <w:r>
              <w:rPr>
                <w:b/>
                <w:color w:val="FFFFFF"/>
                <w:spacing w:val="-9"/>
                <w:sz w:val="18"/>
              </w:rPr>
              <w:t xml:space="preserve"> </w:t>
            </w:r>
            <w:r>
              <w:rPr>
                <w:b/>
                <w:color w:val="FFFFFF"/>
                <w:sz w:val="18"/>
              </w:rPr>
              <w:t>el</w:t>
            </w:r>
            <w:r>
              <w:rPr>
                <w:b/>
                <w:color w:val="FFFFFF"/>
                <w:spacing w:val="-9"/>
                <w:sz w:val="18"/>
              </w:rPr>
              <w:t xml:space="preserve"> </w:t>
            </w:r>
            <w:r>
              <w:rPr>
                <w:b/>
                <w:color w:val="FFFFFF"/>
                <w:sz w:val="18"/>
              </w:rPr>
              <w:t>Ministerio</w:t>
            </w:r>
            <w:r>
              <w:rPr>
                <w:b/>
                <w:color w:val="FFFFFF"/>
                <w:spacing w:val="-9"/>
                <w:sz w:val="18"/>
              </w:rPr>
              <w:t xml:space="preserve"> </w:t>
            </w:r>
            <w:r>
              <w:rPr>
                <w:b/>
                <w:color w:val="FFFFFF"/>
                <w:sz w:val="18"/>
              </w:rPr>
              <w:t>de Igualdad y Equidad?</w:t>
            </w:r>
          </w:p>
        </w:tc>
      </w:tr>
      <w:tr w:rsidR="000E52B0" w14:paraId="4358528C" w14:textId="77777777">
        <w:trPr>
          <w:trHeight w:val="651"/>
        </w:trPr>
        <w:tc>
          <w:tcPr>
            <w:tcW w:w="1394" w:type="dxa"/>
            <w:vMerge w:val="restart"/>
          </w:tcPr>
          <w:p w14:paraId="2545D38A" w14:textId="77777777" w:rsidR="000E52B0" w:rsidRDefault="000E52B0">
            <w:pPr>
              <w:pStyle w:val="TableParagraph"/>
              <w:rPr>
                <w:rFonts w:ascii="Times New Roman"/>
                <w:sz w:val="18"/>
              </w:rPr>
            </w:pPr>
          </w:p>
        </w:tc>
        <w:tc>
          <w:tcPr>
            <w:tcW w:w="3752" w:type="dxa"/>
            <w:tcBorders>
              <w:bottom w:val="nil"/>
            </w:tcBorders>
          </w:tcPr>
          <w:p w14:paraId="02D12336" w14:textId="77777777" w:rsidR="000E52B0" w:rsidRDefault="00F60D74">
            <w:pPr>
              <w:pStyle w:val="TableParagraph"/>
              <w:spacing w:before="1"/>
              <w:ind w:left="108" w:right="102"/>
              <w:rPr>
                <w:sz w:val="18"/>
              </w:rPr>
            </w:pPr>
            <w:r>
              <w:rPr>
                <w:sz w:val="18"/>
              </w:rPr>
              <w:t>origen, religión o situación económica u otra condición</w:t>
            </w:r>
          </w:p>
        </w:tc>
        <w:tc>
          <w:tcPr>
            <w:tcW w:w="3870" w:type="dxa"/>
            <w:tcBorders>
              <w:bottom w:val="nil"/>
            </w:tcBorders>
          </w:tcPr>
          <w:p w14:paraId="2C408C6F" w14:textId="77777777" w:rsidR="000E52B0" w:rsidRDefault="00F60D74">
            <w:pPr>
              <w:pStyle w:val="TableParagraph"/>
              <w:tabs>
                <w:tab w:val="left" w:pos="3374"/>
              </w:tabs>
              <w:spacing w:line="218" w:lineRule="exact"/>
              <w:ind w:left="828" w:right="94" w:hanging="360"/>
              <w:jc w:val="both"/>
              <w:rPr>
                <w:b/>
                <w:sz w:val="18"/>
              </w:rPr>
            </w:pPr>
            <w:r>
              <w:rPr>
                <w:b/>
                <w:sz w:val="18"/>
              </w:rPr>
              <w:t>2.</w:t>
            </w:r>
            <w:r>
              <w:rPr>
                <w:b/>
                <w:spacing w:val="80"/>
                <w:sz w:val="18"/>
              </w:rPr>
              <w:t xml:space="preserve"> </w:t>
            </w:r>
            <w:r>
              <w:rPr>
                <w:b/>
                <w:sz w:val="18"/>
              </w:rPr>
              <w:t>FUNCIONES</w:t>
            </w:r>
            <w:r>
              <w:rPr>
                <w:b/>
                <w:sz w:val="18"/>
              </w:rPr>
              <w:tab/>
            </w:r>
            <w:r>
              <w:rPr>
                <w:b/>
                <w:spacing w:val="-4"/>
                <w:sz w:val="18"/>
              </w:rPr>
              <w:t xml:space="preserve">DEL </w:t>
            </w:r>
            <w:r>
              <w:rPr>
                <w:b/>
                <w:sz w:val="18"/>
              </w:rPr>
              <w:t xml:space="preserve">VICEMINISTERIO DE LAS </w:t>
            </w:r>
            <w:r>
              <w:rPr>
                <w:b/>
                <w:spacing w:val="-2"/>
                <w:sz w:val="18"/>
              </w:rPr>
              <w:t>DIVERSIDADES.</w:t>
            </w:r>
          </w:p>
        </w:tc>
      </w:tr>
      <w:tr w:rsidR="000E52B0" w14:paraId="34924490" w14:textId="77777777">
        <w:trPr>
          <w:trHeight w:val="1628"/>
        </w:trPr>
        <w:tc>
          <w:tcPr>
            <w:tcW w:w="1394" w:type="dxa"/>
            <w:vMerge/>
            <w:tcBorders>
              <w:top w:val="nil"/>
            </w:tcBorders>
          </w:tcPr>
          <w:p w14:paraId="2E6395A2" w14:textId="77777777" w:rsidR="000E52B0" w:rsidRDefault="000E52B0">
            <w:pPr>
              <w:rPr>
                <w:sz w:val="2"/>
                <w:szCs w:val="2"/>
              </w:rPr>
            </w:pPr>
          </w:p>
        </w:tc>
        <w:tc>
          <w:tcPr>
            <w:tcW w:w="3752" w:type="dxa"/>
            <w:tcBorders>
              <w:top w:val="nil"/>
              <w:bottom w:val="nil"/>
            </w:tcBorders>
          </w:tcPr>
          <w:p w14:paraId="3D703A59" w14:textId="77777777" w:rsidR="000E52B0" w:rsidRDefault="00F60D74">
            <w:pPr>
              <w:pStyle w:val="TableParagraph"/>
              <w:ind w:left="108" w:right="98"/>
              <w:jc w:val="both"/>
              <w:rPr>
                <w:sz w:val="18"/>
              </w:rPr>
            </w:pPr>
            <w:r>
              <w:rPr>
                <w:b/>
                <w:sz w:val="18"/>
              </w:rPr>
              <w:t xml:space="preserve">10.3 </w:t>
            </w:r>
            <w:r>
              <w:rPr>
                <w:sz w:val="18"/>
              </w:rPr>
              <w:t>Garantizar la igualdad de oportunidades</w:t>
            </w:r>
            <w:r>
              <w:rPr>
                <w:spacing w:val="-5"/>
                <w:sz w:val="18"/>
              </w:rPr>
              <w:t xml:space="preserve"> </w:t>
            </w:r>
            <w:r>
              <w:rPr>
                <w:sz w:val="18"/>
              </w:rPr>
              <w:t>y</w:t>
            </w:r>
            <w:r>
              <w:rPr>
                <w:spacing w:val="-5"/>
                <w:sz w:val="18"/>
              </w:rPr>
              <w:t xml:space="preserve"> </w:t>
            </w:r>
            <w:r>
              <w:rPr>
                <w:sz w:val="18"/>
              </w:rPr>
              <w:t>reducir</w:t>
            </w:r>
            <w:r>
              <w:rPr>
                <w:spacing w:val="-5"/>
                <w:sz w:val="18"/>
              </w:rPr>
              <w:t xml:space="preserve"> </w:t>
            </w:r>
            <w:r>
              <w:rPr>
                <w:sz w:val="18"/>
              </w:rPr>
              <w:t>la</w:t>
            </w:r>
            <w:r>
              <w:rPr>
                <w:spacing w:val="-6"/>
                <w:sz w:val="18"/>
              </w:rPr>
              <w:t xml:space="preserve"> </w:t>
            </w:r>
            <w:r>
              <w:rPr>
                <w:sz w:val="18"/>
              </w:rPr>
              <w:t>desigualdad de resultados, incluso eliminando las leyes, políticas y prácticas discriminatorias y promoviendo legislaciones, políticas y medidas adecuadas a ese respecto</w:t>
            </w:r>
          </w:p>
        </w:tc>
        <w:tc>
          <w:tcPr>
            <w:tcW w:w="3870" w:type="dxa"/>
            <w:tcBorders>
              <w:top w:val="nil"/>
              <w:bottom w:val="nil"/>
            </w:tcBorders>
          </w:tcPr>
          <w:p w14:paraId="157B41A6" w14:textId="77777777" w:rsidR="000E52B0" w:rsidRDefault="00F60D74">
            <w:pPr>
              <w:pStyle w:val="TableParagraph"/>
              <w:spacing w:before="211"/>
              <w:ind w:left="108" w:right="96"/>
              <w:jc w:val="both"/>
              <w:rPr>
                <w:sz w:val="18"/>
              </w:rPr>
            </w:pPr>
            <w:r>
              <w:rPr>
                <w:i/>
                <w:color w:val="333333"/>
                <w:sz w:val="18"/>
              </w:rPr>
              <w:t>Liderar la formulación, implementación, seguimiento y evaluación de políticas públicas,</w:t>
            </w:r>
            <w:r>
              <w:rPr>
                <w:i/>
                <w:color w:val="333333"/>
                <w:spacing w:val="-12"/>
                <w:sz w:val="18"/>
              </w:rPr>
              <w:t xml:space="preserve"> </w:t>
            </w:r>
            <w:r>
              <w:rPr>
                <w:i/>
                <w:color w:val="333333"/>
                <w:sz w:val="18"/>
              </w:rPr>
              <w:t>planes,</w:t>
            </w:r>
            <w:r>
              <w:rPr>
                <w:i/>
                <w:color w:val="333333"/>
                <w:spacing w:val="-12"/>
                <w:sz w:val="18"/>
              </w:rPr>
              <w:t xml:space="preserve"> </w:t>
            </w:r>
            <w:r>
              <w:rPr>
                <w:i/>
                <w:color w:val="333333"/>
                <w:sz w:val="18"/>
              </w:rPr>
              <w:t>programas</w:t>
            </w:r>
            <w:r>
              <w:rPr>
                <w:i/>
                <w:color w:val="333333"/>
                <w:spacing w:val="-11"/>
                <w:sz w:val="18"/>
              </w:rPr>
              <w:t xml:space="preserve"> </w:t>
            </w:r>
            <w:r>
              <w:rPr>
                <w:i/>
                <w:color w:val="333333"/>
                <w:sz w:val="18"/>
              </w:rPr>
              <w:t>y</w:t>
            </w:r>
            <w:r>
              <w:rPr>
                <w:i/>
                <w:color w:val="333333"/>
                <w:spacing w:val="-10"/>
                <w:sz w:val="18"/>
              </w:rPr>
              <w:t xml:space="preserve"> </w:t>
            </w:r>
            <w:r>
              <w:rPr>
                <w:i/>
                <w:color w:val="333333"/>
                <w:sz w:val="18"/>
              </w:rPr>
              <w:t>proyectos para</w:t>
            </w:r>
            <w:r>
              <w:rPr>
                <w:i/>
                <w:color w:val="333333"/>
                <w:spacing w:val="-14"/>
                <w:sz w:val="18"/>
              </w:rPr>
              <w:t xml:space="preserve"> </w:t>
            </w:r>
            <w:r>
              <w:rPr>
                <w:i/>
                <w:color w:val="333333"/>
                <w:sz w:val="18"/>
              </w:rPr>
              <w:t>la</w:t>
            </w:r>
            <w:r>
              <w:rPr>
                <w:i/>
                <w:color w:val="333333"/>
                <w:spacing w:val="-14"/>
                <w:sz w:val="18"/>
              </w:rPr>
              <w:t xml:space="preserve"> </w:t>
            </w:r>
            <w:r>
              <w:rPr>
                <w:i/>
                <w:color w:val="333333"/>
                <w:sz w:val="18"/>
              </w:rPr>
              <w:t>promoción</w:t>
            </w:r>
            <w:r>
              <w:rPr>
                <w:i/>
                <w:color w:val="333333"/>
                <w:spacing w:val="-13"/>
                <w:sz w:val="18"/>
              </w:rPr>
              <w:t xml:space="preserve"> </w:t>
            </w:r>
            <w:r>
              <w:rPr>
                <w:i/>
                <w:color w:val="333333"/>
                <w:sz w:val="18"/>
              </w:rPr>
              <w:t>de</w:t>
            </w:r>
            <w:r>
              <w:rPr>
                <w:i/>
                <w:color w:val="333333"/>
                <w:spacing w:val="-13"/>
                <w:sz w:val="18"/>
              </w:rPr>
              <w:t xml:space="preserve"> </w:t>
            </w:r>
            <w:r>
              <w:rPr>
                <w:i/>
                <w:color w:val="333333"/>
                <w:sz w:val="18"/>
              </w:rPr>
              <w:t>los</w:t>
            </w:r>
            <w:r>
              <w:rPr>
                <w:i/>
                <w:color w:val="333333"/>
                <w:spacing w:val="-14"/>
                <w:sz w:val="18"/>
              </w:rPr>
              <w:t xml:space="preserve"> </w:t>
            </w:r>
            <w:r>
              <w:rPr>
                <w:i/>
                <w:color w:val="333333"/>
                <w:sz w:val="18"/>
              </w:rPr>
              <w:t>derechos</w:t>
            </w:r>
            <w:r>
              <w:rPr>
                <w:i/>
                <w:color w:val="333333"/>
                <w:spacing w:val="-14"/>
                <w:sz w:val="18"/>
              </w:rPr>
              <w:t xml:space="preserve"> </w:t>
            </w:r>
            <w:r>
              <w:rPr>
                <w:i/>
                <w:color w:val="333333"/>
                <w:sz w:val="18"/>
              </w:rPr>
              <w:t>de</w:t>
            </w:r>
            <w:r>
              <w:rPr>
                <w:i/>
                <w:color w:val="333333"/>
                <w:spacing w:val="-15"/>
                <w:sz w:val="18"/>
              </w:rPr>
              <w:t xml:space="preserve"> </w:t>
            </w:r>
            <w:r>
              <w:rPr>
                <w:i/>
                <w:color w:val="333333"/>
                <w:sz w:val="18"/>
              </w:rPr>
              <w:t xml:space="preserve">las personas con discapacidad, diversas y </w:t>
            </w:r>
            <w:r>
              <w:rPr>
                <w:i/>
                <w:color w:val="333333"/>
                <w:spacing w:val="-2"/>
                <w:sz w:val="18"/>
              </w:rPr>
              <w:t>LGBTIQ</w:t>
            </w:r>
            <w:r>
              <w:rPr>
                <w:color w:val="333333"/>
                <w:spacing w:val="-2"/>
                <w:sz w:val="18"/>
              </w:rPr>
              <w:t>+</w:t>
            </w:r>
          </w:p>
        </w:tc>
      </w:tr>
      <w:tr w:rsidR="000E52B0" w14:paraId="3B0A74B4" w14:textId="77777777">
        <w:trPr>
          <w:trHeight w:val="3053"/>
        </w:trPr>
        <w:tc>
          <w:tcPr>
            <w:tcW w:w="1394" w:type="dxa"/>
            <w:vMerge/>
            <w:tcBorders>
              <w:top w:val="nil"/>
            </w:tcBorders>
          </w:tcPr>
          <w:p w14:paraId="6A5D182F" w14:textId="77777777" w:rsidR="000E52B0" w:rsidRDefault="000E52B0">
            <w:pPr>
              <w:rPr>
                <w:sz w:val="2"/>
                <w:szCs w:val="2"/>
              </w:rPr>
            </w:pPr>
          </w:p>
        </w:tc>
        <w:tc>
          <w:tcPr>
            <w:tcW w:w="3752" w:type="dxa"/>
            <w:tcBorders>
              <w:top w:val="nil"/>
              <w:bottom w:val="nil"/>
            </w:tcBorders>
          </w:tcPr>
          <w:p w14:paraId="1075B50B" w14:textId="77777777" w:rsidR="000E52B0" w:rsidRDefault="00F60D74">
            <w:pPr>
              <w:pStyle w:val="TableParagraph"/>
              <w:spacing w:before="104"/>
              <w:ind w:left="108" w:right="97"/>
              <w:jc w:val="both"/>
              <w:rPr>
                <w:sz w:val="18"/>
              </w:rPr>
            </w:pPr>
            <w:r>
              <w:rPr>
                <w:b/>
                <w:sz w:val="18"/>
              </w:rPr>
              <w:t xml:space="preserve">10.7 </w:t>
            </w:r>
            <w:r>
              <w:rPr>
                <w:sz w:val="18"/>
              </w:rPr>
              <w:t>Facilitar la migración y la movilidad ordenadas, seguras, regulares y responsables de las personas, incluso mediante la aplicación de políticas migratorias planificadas y bien gestionadas</w:t>
            </w:r>
          </w:p>
        </w:tc>
        <w:tc>
          <w:tcPr>
            <w:tcW w:w="3870" w:type="dxa"/>
            <w:tcBorders>
              <w:top w:val="nil"/>
              <w:bottom w:val="nil"/>
            </w:tcBorders>
          </w:tcPr>
          <w:p w14:paraId="0EAF250A" w14:textId="77777777" w:rsidR="000E52B0" w:rsidRDefault="00F60D74">
            <w:pPr>
              <w:pStyle w:val="TableParagraph"/>
              <w:spacing w:before="104"/>
              <w:ind w:left="108" w:right="92" w:firstLine="360"/>
              <w:rPr>
                <w:b/>
                <w:sz w:val="18"/>
              </w:rPr>
            </w:pPr>
            <w:r>
              <w:rPr>
                <w:b/>
                <w:sz w:val="18"/>
              </w:rPr>
              <w:t>3.</w:t>
            </w:r>
            <w:r>
              <w:rPr>
                <w:b/>
                <w:spacing w:val="80"/>
                <w:sz w:val="18"/>
              </w:rPr>
              <w:t xml:space="preserve"> </w:t>
            </w:r>
            <w:r>
              <w:rPr>
                <w:b/>
                <w:sz w:val="18"/>
              </w:rPr>
              <w:t>DIRECCIONES TÉCNICAS FUNCIONES</w:t>
            </w:r>
            <w:r>
              <w:rPr>
                <w:b/>
                <w:spacing w:val="-16"/>
                <w:sz w:val="18"/>
              </w:rPr>
              <w:t xml:space="preserve"> </w:t>
            </w:r>
            <w:r>
              <w:rPr>
                <w:b/>
                <w:sz w:val="18"/>
              </w:rPr>
              <w:t>DE</w:t>
            </w:r>
            <w:r>
              <w:rPr>
                <w:b/>
                <w:spacing w:val="-15"/>
                <w:sz w:val="18"/>
              </w:rPr>
              <w:t xml:space="preserve"> </w:t>
            </w:r>
            <w:r>
              <w:rPr>
                <w:b/>
                <w:sz w:val="18"/>
              </w:rPr>
              <w:t>LA</w:t>
            </w:r>
            <w:r>
              <w:rPr>
                <w:b/>
                <w:spacing w:val="-16"/>
                <w:sz w:val="18"/>
              </w:rPr>
              <w:t xml:space="preserve"> </w:t>
            </w:r>
            <w:r>
              <w:rPr>
                <w:b/>
                <w:sz w:val="18"/>
              </w:rPr>
              <w:t>DIRECCIÓN</w:t>
            </w:r>
            <w:r>
              <w:rPr>
                <w:b/>
                <w:spacing w:val="-15"/>
                <w:sz w:val="18"/>
              </w:rPr>
              <w:t xml:space="preserve"> </w:t>
            </w:r>
            <w:r>
              <w:rPr>
                <w:b/>
                <w:sz w:val="18"/>
              </w:rPr>
              <w:t>PARA LA</w:t>
            </w:r>
            <w:r>
              <w:rPr>
                <w:b/>
                <w:spacing w:val="-12"/>
                <w:sz w:val="18"/>
              </w:rPr>
              <w:t xml:space="preserve"> </w:t>
            </w:r>
            <w:r>
              <w:rPr>
                <w:b/>
                <w:sz w:val="18"/>
              </w:rPr>
              <w:t>GARANTÍA</w:t>
            </w:r>
            <w:r>
              <w:rPr>
                <w:b/>
                <w:spacing w:val="-13"/>
                <w:sz w:val="18"/>
              </w:rPr>
              <w:t xml:space="preserve"> </w:t>
            </w:r>
            <w:r>
              <w:rPr>
                <w:b/>
                <w:sz w:val="18"/>
              </w:rPr>
              <w:t>DE</w:t>
            </w:r>
            <w:r>
              <w:rPr>
                <w:b/>
                <w:spacing w:val="-13"/>
                <w:sz w:val="18"/>
              </w:rPr>
              <w:t xml:space="preserve"> </w:t>
            </w:r>
            <w:r>
              <w:rPr>
                <w:b/>
                <w:sz w:val="18"/>
              </w:rPr>
              <w:t>LOS</w:t>
            </w:r>
            <w:r>
              <w:rPr>
                <w:b/>
                <w:spacing w:val="-13"/>
                <w:sz w:val="18"/>
              </w:rPr>
              <w:t xml:space="preserve"> </w:t>
            </w:r>
            <w:r>
              <w:rPr>
                <w:b/>
                <w:sz w:val="18"/>
              </w:rPr>
              <w:t>DERECHOS</w:t>
            </w:r>
            <w:r>
              <w:rPr>
                <w:b/>
                <w:spacing w:val="-13"/>
                <w:sz w:val="18"/>
              </w:rPr>
              <w:t xml:space="preserve"> </w:t>
            </w:r>
            <w:r>
              <w:rPr>
                <w:b/>
                <w:sz w:val="18"/>
              </w:rPr>
              <w:t>DE LA POBLACIÓN LGBTIQ+</w:t>
            </w:r>
          </w:p>
          <w:p w14:paraId="702CB364" w14:textId="77777777" w:rsidR="000E52B0" w:rsidRDefault="000E52B0">
            <w:pPr>
              <w:pStyle w:val="TableParagraph"/>
              <w:spacing w:before="1"/>
              <w:rPr>
                <w:sz w:val="18"/>
              </w:rPr>
            </w:pPr>
          </w:p>
          <w:p w14:paraId="7DEAFD75" w14:textId="77777777" w:rsidR="000E52B0" w:rsidRDefault="00F60D74">
            <w:pPr>
              <w:pStyle w:val="TableParagraph"/>
              <w:ind w:left="108" w:right="96"/>
              <w:jc w:val="both"/>
              <w:rPr>
                <w:i/>
                <w:sz w:val="18"/>
              </w:rPr>
            </w:pPr>
            <w:r>
              <w:rPr>
                <w:color w:val="333333"/>
                <w:sz w:val="18"/>
              </w:rPr>
              <w:t>A</w:t>
            </w:r>
            <w:r>
              <w:rPr>
                <w:i/>
                <w:color w:val="333333"/>
                <w:sz w:val="18"/>
              </w:rPr>
              <w:t>doptar y ejecutar políticas, planes, programas y proyectos orientados a la aplicación de enfoques de género y diferenciales que enfrenten, prevengan y eliminen las diversas formas de violencia y discriminación contra la población LGBTIQ+ y promuevan la garantía de sus derechos.</w:t>
            </w:r>
          </w:p>
        </w:tc>
      </w:tr>
      <w:tr w:rsidR="000E52B0" w14:paraId="1D28ED6F" w14:textId="77777777">
        <w:trPr>
          <w:trHeight w:val="865"/>
        </w:trPr>
        <w:tc>
          <w:tcPr>
            <w:tcW w:w="1394" w:type="dxa"/>
            <w:vMerge/>
            <w:tcBorders>
              <w:top w:val="nil"/>
            </w:tcBorders>
          </w:tcPr>
          <w:p w14:paraId="1B2BF955" w14:textId="77777777" w:rsidR="000E52B0" w:rsidRDefault="000E52B0">
            <w:pPr>
              <w:rPr>
                <w:sz w:val="2"/>
                <w:szCs w:val="2"/>
              </w:rPr>
            </w:pPr>
          </w:p>
        </w:tc>
        <w:tc>
          <w:tcPr>
            <w:tcW w:w="3752" w:type="dxa"/>
            <w:tcBorders>
              <w:top w:val="nil"/>
              <w:bottom w:val="nil"/>
            </w:tcBorders>
          </w:tcPr>
          <w:p w14:paraId="0108E07D" w14:textId="77777777" w:rsidR="000E52B0" w:rsidRDefault="000E52B0">
            <w:pPr>
              <w:pStyle w:val="TableParagraph"/>
              <w:rPr>
                <w:rFonts w:ascii="Times New Roman"/>
                <w:sz w:val="18"/>
              </w:rPr>
            </w:pPr>
          </w:p>
        </w:tc>
        <w:tc>
          <w:tcPr>
            <w:tcW w:w="3870" w:type="dxa"/>
            <w:tcBorders>
              <w:top w:val="nil"/>
              <w:bottom w:val="nil"/>
            </w:tcBorders>
          </w:tcPr>
          <w:p w14:paraId="4C98CE23" w14:textId="77777777" w:rsidR="000E52B0" w:rsidRDefault="00F60D74">
            <w:pPr>
              <w:pStyle w:val="TableParagraph"/>
              <w:spacing w:before="104"/>
              <w:ind w:left="108" w:right="95"/>
              <w:jc w:val="both"/>
              <w:rPr>
                <w:b/>
                <w:sz w:val="18"/>
              </w:rPr>
            </w:pPr>
            <w:r>
              <w:rPr>
                <w:b/>
                <w:sz w:val="18"/>
              </w:rPr>
              <w:t>FUNCIONES</w:t>
            </w:r>
            <w:r>
              <w:rPr>
                <w:b/>
                <w:spacing w:val="-16"/>
                <w:sz w:val="18"/>
              </w:rPr>
              <w:t xml:space="preserve"> </w:t>
            </w:r>
            <w:r>
              <w:rPr>
                <w:b/>
                <w:sz w:val="18"/>
              </w:rPr>
              <w:t>DE</w:t>
            </w:r>
            <w:r>
              <w:rPr>
                <w:b/>
                <w:spacing w:val="-15"/>
                <w:sz w:val="18"/>
              </w:rPr>
              <w:t xml:space="preserve"> </w:t>
            </w:r>
            <w:r>
              <w:rPr>
                <w:b/>
                <w:sz w:val="18"/>
              </w:rPr>
              <w:t>LA</w:t>
            </w:r>
            <w:r>
              <w:rPr>
                <w:b/>
                <w:spacing w:val="-16"/>
                <w:sz w:val="18"/>
              </w:rPr>
              <w:t xml:space="preserve"> </w:t>
            </w:r>
            <w:r>
              <w:rPr>
                <w:b/>
                <w:sz w:val="18"/>
              </w:rPr>
              <w:t>DIRECCIÓN</w:t>
            </w:r>
            <w:r>
              <w:rPr>
                <w:b/>
                <w:spacing w:val="-15"/>
                <w:sz w:val="18"/>
              </w:rPr>
              <w:t xml:space="preserve"> </w:t>
            </w:r>
            <w:r>
              <w:rPr>
                <w:b/>
                <w:sz w:val="18"/>
              </w:rPr>
              <w:t>PARA LA</w:t>
            </w:r>
            <w:r>
              <w:rPr>
                <w:b/>
                <w:spacing w:val="-12"/>
                <w:sz w:val="18"/>
              </w:rPr>
              <w:t xml:space="preserve"> </w:t>
            </w:r>
            <w:r>
              <w:rPr>
                <w:b/>
                <w:sz w:val="18"/>
              </w:rPr>
              <w:t>GARANTÍA</w:t>
            </w:r>
            <w:r>
              <w:rPr>
                <w:b/>
                <w:spacing w:val="-13"/>
                <w:sz w:val="18"/>
              </w:rPr>
              <w:t xml:space="preserve"> </w:t>
            </w:r>
            <w:r>
              <w:rPr>
                <w:b/>
                <w:sz w:val="18"/>
              </w:rPr>
              <w:t>DE</w:t>
            </w:r>
            <w:r>
              <w:rPr>
                <w:b/>
                <w:spacing w:val="-13"/>
                <w:sz w:val="18"/>
              </w:rPr>
              <w:t xml:space="preserve"> </w:t>
            </w:r>
            <w:r>
              <w:rPr>
                <w:b/>
                <w:sz w:val="18"/>
              </w:rPr>
              <w:t>LOS</w:t>
            </w:r>
            <w:r>
              <w:rPr>
                <w:b/>
                <w:spacing w:val="-13"/>
                <w:sz w:val="18"/>
              </w:rPr>
              <w:t xml:space="preserve"> </w:t>
            </w:r>
            <w:r>
              <w:rPr>
                <w:b/>
                <w:sz w:val="18"/>
              </w:rPr>
              <w:t>DERECHOS</w:t>
            </w:r>
            <w:r>
              <w:rPr>
                <w:b/>
                <w:spacing w:val="-13"/>
                <w:sz w:val="18"/>
              </w:rPr>
              <w:t xml:space="preserve"> </w:t>
            </w:r>
            <w:r>
              <w:rPr>
                <w:b/>
                <w:sz w:val="18"/>
              </w:rPr>
              <w:t>DE LAS</w:t>
            </w:r>
            <w:r>
              <w:rPr>
                <w:b/>
                <w:spacing w:val="-13"/>
                <w:sz w:val="18"/>
              </w:rPr>
              <w:t xml:space="preserve"> </w:t>
            </w:r>
            <w:r>
              <w:rPr>
                <w:b/>
                <w:sz w:val="18"/>
              </w:rPr>
              <w:t>PERSONAS</w:t>
            </w:r>
            <w:r>
              <w:rPr>
                <w:b/>
                <w:spacing w:val="-11"/>
                <w:sz w:val="18"/>
              </w:rPr>
              <w:t xml:space="preserve"> </w:t>
            </w:r>
            <w:r>
              <w:rPr>
                <w:b/>
                <w:sz w:val="18"/>
              </w:rPr>
              <w:t>CON</w:t>
            </w:r>
            <w:r>
              <w:rPr>
                <w:b/>
                <w:spacing w:val="-11"/>
                <w:sz w:val="18"/>
              </w:rPr>
              <w:t xml:space="preserve"> </w:t>
            </w:r>
            <w:r>
              <w:rPr>
                <w:b/>
                <w:spacing w:val="-2"/>
                <w:sz w:val="18"/>
              </w:rPr>
              <w:t>DISCAPACIDAD</w:t>
            </w:r>
          </w:p>
        </w:tc>
      </w:tr>
      <w:tr w:rsidR="000E52B0" w14:paraId="64A9831D" w14:textId="77777777">
        <w:trPr>
          <w:trHeight w:val="1958"/>
        </w:trPr>
        <w:tc>
          <w:tcPr>
            <w:tcW w:w="1394" w:type="dxa"/>
            <w:vMerge/>
            <w:tcBorders>
              <w:top w:val="nil"/>
            </w:tcBorders>
          </w:tcPr>
          <w:p w14:paraId="46297CA9" w14:textId="77777777" w:rsidR="000E52B0" w:rsidRDefault="000E52B0">
            <w:pPr>
              <w:rPr>
                <w:sz w:val="2"/>
                <w:szCs w:val="2"/>
              </w:rPr>
            </w:pPr>
          </w:p>
        </w:tc>
        <w:tc>
          <w:tcPr>
            <w:tcW w:w="3752" w:type="dxa"/>
            <w:tcBorders>
              <w:top w:val="nil"/>
              <w:bottom w:val="nil"/>
            </w:tcBorders>
          </w:tcPr>
          <w:p w14:paraId="40A04838" w14:textId="77777777" w:rsidR="000E52B0" w:rsidRDefault="000E52B0">
            <w:pPr>
              <w:pStyle w:val="TableParagraph"/>
              <w:rPr>
                <w:rFonts w:ascii="Times New Roman"/>
                <w:sz w:val="18"/>
              </w:rPr>
            </w:pPr>
          </w:p>
        </w:tc>
        <w:tc>
          <w:tcPr>
            <w:tcW w:w="3870" w:type="dxa"/>
            <w:tcBorders>
              <w:top w:val="nil"/>
              <w:bottom w:val="nil"/>
            </w:tcBorders>
          </w:tcPr>
          <w:p w14:paraId="5FFF6A9A" w14:textId="77777777" w:rsidR="000E52B0" w:rsidRDefault="00F60D74">
            <w:pPr>
              <w:pStyle w:val="TableParagraph"/>
              <w:spacing w:before="104"/>
              <w:ind w:left="108" w:right="95"/>
              <w:jc w:val="both"/>
              <w:rPr>
                <w:sz w:val="18"/>
              </w:rPr>
            </w:pPr>
            <w:r>
              <w:rPr>
                <w:i/>
                <w:color w:val="333333"/>
                <w:sz w:val="18"/>
              </w:rPr>
              <w:t>Adoptar y ejecutar políticas, planes, programas y proyectos orientados a fomentar</w:t>
            </w:r>
            <w:r>
              <w:rPr>
                <w:i/>
                <w:color w:val="333333"/>
                <w:spacing w:val="-16"/>
                <w:sz w:val="18"/>
              </w:rPr>
              <w:t xml:space="preserve"> </w:t>
            </w:r>
            <w:r>
              <w:rPr>
                <w:i/>
                <w:color w:val="333333"/>
                <w:sz w:val="18"/>
              </w:rPr>
              <w:t>la</w:t>
            </w:r>
            <w:r>
              <w:rPr>
                <w:i/>
                <w:color w:val="333333"/>
                <w:spacing w:val="-16"/>
                <w:sz w:val="18"/>
              </w:rPr>
              <w:t xml:space="preserve"> </w:t>
            </w:r>
            <w:r>
              <w:rPr>
                <w:i/>
                <w:color w:val="333333"/>
                <w:sz w:val="18"/>
              </w:rPr>
              <w:t>inclusión</w:t>
            </w:r>
            <w:r>
              <w:rPr>
                <w:i/>
                <w:color w:val="333333"/>
                <w:spacing w:val="-16"/>
                <w:sz w:val="18"/>
              </w:rPr>
              <w:t xml:space="preserve"> </w:t>
            </w:r>
            <w:r>
              <w:rPr>
                <w:i/>
                <w:color w:val="333333"/>
                <w:sz w:val="18"/>
              </w:rPr>
              <w:t>social</w:t>
            </w:r>
            <w:r>
              <w:rPr>
                <w:i/>
                <w:color w:val="333333"/>
                <w:spacing w:val="-16"/>
                <w:sz w:val="18"/>
              </w:rPr>
              <w:t xml:space="preserve"> </w:t>
            </w:r>
            <w:r>
              <w:rPr>
                <w:i/>
                <w:color w:val="333333"/>
                <w:sz w:val="18"/>
              </w:rPr>
              <w:t>y</w:t>
            </w:r>
            <w:r>
              <w:rPr>
                <w:i/>
                <w:color w:val="333333"/>
                <w:spacing w:val="-16"/>
                <w:sz w:val="18"/>
              </w:rPr>
              <w:t xml:space="preserve"> </w:t>
            </w:r>
            <w:r>
              <w:rPr>
                <w:i/>
                <w:color w:val="333333"/>
                <w:sz w:val="18"/>
              </w:rPr>
              <w:t xml:space="preserve">productiva, el acceso a los servicios de cuidado, la atención integral, la eliminación de la discriminación y la promoción de los derechos de la población con </w:t>
            </w:r>
            <w:r>
              <w:rPr>
                <w:i/>
                <w:color w:val="333333"/>
                <w:spacing w:val="-2"/>
                <w:sz w:val="18"/>
              </w:rPr>
              <w:t>discapacidad</w:t>
            </w:r>
            <w:r>
              <w:rPr>
                <w:color w:val="333333"/>
                <w:spacing w:val="-2"/>
                <w:sz w:val="18"/>
              </w:rPr>
              <w:t>.</w:t>
            </w:r>
          </w:p>
        </w:tc>
      </w:tr>
      <w:tr w:rsidR="000E52B0" w14:paraId="5E5B7E25" w14:textId="77777777">
        <w:trPr>
          <w:trHeight w:val="646"/>
        </w:trPr>
        <w:tc>
          <w:tcPr>
            <w:tcW w:w="1394" w:type="dxa"/>
            <w:vMerge/>
            <w:tcBorders>
              <w:top w:val="nil"/>
            </w:tcBorders>
          </w:tcPr>
          <w:p w14:paraId="5617E253" w14:textId="77777777" w:rsidR="000E52B0" w:rsidRDefault="000E52B0">
            <w:pPr>
              <w:rPr>
                <w:sz w:val="2"/>
                <w:szCs w:val="2"/>
              </w:rPr>
            </w:pPr>
          </w:p>
        </w:tc>
        <w:tc>
          <w:tcPr>
            <w:tcW w:w="3752" w:type="dxa"/>
            <w:tcBorders>
              <w:top w:val="nil"/>
              <w:bottom w:val="nil"/>
            </w:tcBorders>
          </w:tcPr>
          <w:p w14:paraId="6D526E7B" w14:textId="77777777" w:rsidR="000E52B0" w:rsidRDefault="000E52B0">
            <w:pPr>
              <w:pStyle w:val="TableParagraph"/>
              <w:rPr>
                <w:rFonts w:ascii="Times New Roman"/>
                <w:sz w:val="18"/>
              </w:rPr>
            </w:pPr>
          </w:p>
        </w:tc>
        <w:tc>
          <w:tcPr>
            <w:tcW w:w="3870" w:type="dxa"/>
            <w:tcBorders>
              <w:top w:val="nil"/>
              <w:bottom w:val="nil"/>
            </w:tcBorders>
          </w:tcPr>
          <w:p w14:paraId="0E6546D8" w14:textId="77777777" w:rsidR="000E52B0" w:rsidRDefault="00F60D74">
            <w:pPr>
              <w:pStyle w:val="TableParagraph"/>
              <w:spacing w:before="104"/>
              <w:ind w:left="108"/>
              <w:rPr>
                <w:b/>
                <w:sz w:val="18"/>
              </w:rPr>
            </w:pPr>
            <w:r>
              <w:rPr>
                <w:sz w:val="18"/>
              </w:rPr>
              <w:t>F</w:t>
            </w:r>
            <w:r>
              <w:rPr>
                <w:b/>
                <w:sz w:val="18"/>
              </w:rPr>
              <w:t>UNCIONES</w:t>
            </w:r>
            <w:r>
              <w:rPr>
                <w:b/>
                <w:spacing w:val="-16"/>
                <w:sz w:val="18"/>
              </w:rPr>
              <w:t xml:space="preserve"> </w:t>
            </w:r>
            <w:r>
              <w:rPr>
                <w:b/>
                <w:sz w:val="18"/>
              </w:rPr>
              <w:t>DE</w:t>
            </w:r>
            <w:r>
              <w:rPr>
                <w:b/>
                <w:spacing w:val="-15"/>
                <w:sz w:val="18"/>
              </w:rPr>
              <w:t xml:space="preserve"> </w:t>
            </w:r>
            <w:r>
              <w:rPr>
                <w:b/>
                <w:sz w:val="18"/>
              </w:rPr>
              <w:t>LA</w:t>
            </w:r>
            <w:r>
              <w:rPr>
                <w:b/>
                <w:spacing w:val="-16"/>
                <w:sz w:val="18"/>
              </w:rPr>
              <w:t xml:space="preserve"> </w:t>
            </w:r>
            <w:r>
              <w:rPr>
                <w:b/>
                <w:sz w:val="18"/>
              </w:rPr>
              <w:t>DIRECCIÓN</w:t>
            </w:r>
            <w:r>
              <w:rPr>
                <w:b/>
                <w:spacing w:val="-15"/>
                <w:sz w:val="18"/>
              </w:rPr>
              <w:t xml:space="preserve"> </w:t>
            </w:r>
            <w:r>
              <w:rPr>
                <w:b/>
                <w:sz w:val="18"/>
              </w:rPr>
              <w:t>PARA LA POBLACIÓN MIGRANTE</w:t>
            </w:r>
          </w:p>
        </w:tc>
      </w:tr>
      <w:tr w:rsidR="000E52B0" w14:paraId="7733442D" w14:textId="77777777">
        <w:trPr>
          <w:trHeight w:val="3491"/>
        </w:trPr>
        <w:tc>
          <w:tcPr>
            <w:tcW w:w="1394" w:type="dxa"/>
            <w:vMerge/>
            <w:tcBorders>
              <w:top w:val="nil"/>
            </w:tcBorders>
          </w:tcPr>
          <w:p w14:paraId="77033BB0" w14:textId="77777777" w:rsidR="000E52B0" w:rsidRDefault="000E52B0">
            <w:pPr>
              <w:rPr>
                <w:sz w:val="2"/>
                <w:szCs w:val="2"/>
              </w:rPr>
            </w:pPr>
          </w:p>
        </w:tc>
        <w:tc>
          <w:tcPr>
            <w:tcW w:w="3752" w:type="dxa"/>
            <w:tcBorders>
              <w:top w:val="nil"/>
              <w:bottom w:val="nil"/>
            </w:tcBorders>
          </w:tcPr>
          <w:p w14:paraId="5215BE81" w14:textId="77777777" w:rsidR="000E52B0" w:rsidRDefault="000E52B0">
            <w:pPr>
              <w:pStyle w:val="TableParagraph"/>
              <w:rPr>
                <w:rFonts w:ascii="Times New Roman"/>
                <w:sz w:val="18"/>
              </w:rPr>
            </w:pPr>
          </w:p>
        </w:tc>
        <w:tc>
          <w:tcPr>
            <w:tcW w:w="3870" w:type="dxa"/>
            <w:tcBorders>
              <w:top w:val="nil"/>
              <w:bottom w:val="nil"/>
            </w:tcBorders>
          </w:tcPr>
          <w:p w14:paraId="273A4689" w14:textId="77777777" w:rsidR="000E52B0" w:rsidRDefault="00F60D74">
            <w:pPr>
              <w:pStyle w:val="TableParagraph"/>
              <w:spacing w:before="105"/>
              <w:ind w:left="108" w:right="97"/>
              <w:jc w:val="both"/>
              <w:rPr>
                <w:i/>
                <w:sz w:val="18"/>
              </w:rPr>
            </w:pPr>
            <w:r>
              <w:rPr>
                <w:i/>
                <w:color w:val="333333"/>
                <w:sz w:val="18"/>
              </w:rPr>
              <w:t>Adoptar y ejecutar políticas, planes, programas y proyectos orientados a fomentar la promoción de los derechos de la población migrante regular, irregular, refugiada, en tránsito y retornada en el país.</w:t>
            </w:r>
          </w:p>
          <w:p w14:paraId="01B0D049" w14:textId="77777777" w:rsidR="000E52B0" w:rsidRDefault="00F60D74">
            <w:pPr>
              <w:pStyle w:val="TableParagraph"/>
              <w:spacing w:before="1"/>
              <w:ind w:left="108" w:right="97"/>
              <w:jc w:val="both"/>
              <w:rPr>
                <w:i/>
                <w:sz w:val="18"/>
              </w:rPr>
            </w:pPr>
            <w:r>
              <w:rPr>
                <w:i/>
                <w:color w:val="333333"/>
                <w:sz w:val="18"/>
              </w:rPr>
              <w:t>Coordinar con las instancias competentes en los ámbitos nacional y territorial, la implementación de estrategias y políticas para la atención inmediata y humanitaria, la integración socioeconómica y productiva de las personas migrantes asentadas en el territorio</w:t>
            </w:r>
            <w:r>
              <w:rPr>
                <w:i/>
                <w:color w:val="333333"/>
                <w:spacing w:val="-12"/>
                <w:sz w:val="18"/>
              </w:rPr>
              <w:t xml:space="preserve"> </w:t>
            </w:r>
            <w:r>
              <w:rPr>
                <w:i/>
                <w:color w:val="333333"/>
                <w:sz w:val="18"/>
              </w:rPr>
              <w:t>nacional</w:t>
            </w:r>
            <w:r>
              <w:rPr>
                <w:i/>
                <w:color w:val="333333"/>
                <w:spacing w:val="-12"/>
                <w:sz w:val="18"/>
              </w:rPr>
              <w:t xml:space="preserve"> </w:t>
            </w:r>
            <w:r>
              <w:rPr>
                <w:i/>
                <w:color w:val="333333"/>
                <w:sz w:val="18"/>
              </w:rPr>
              <w:t>y</w:t>
            </w:r>
            <w:r>
              <w:rPr>
                <w:i/>
                <w:color w:val="333333"/>
                <w:spacing w:val="-14"/>
                <w:sz w:val="18"/>
              </w:rPr>
              <w:t xml:space="preserve"> </w:t>
            </w:r>
            <w:r>
              <w:rPr>
                <w:i/>
                <w:color w:val="333333"/>
                <w:sz w:val="18"/>
              </w:rPr>
              <w:t>de</w:t>
            </w:r>
            <w:r>
              <w:rPr>
                <w:i/>
                <w:color w:val="333333"/>
                <w:spacing w:val="-13"/>
                <w:sz w:val="18"/>
              </w:rPr>
              <w:t xml:space="preserve"> </w:t>
            </w:r>
            <w:r>
              <w:rPr>
                <w:i/>
                <w:color w:val="333333"/>
                <w:sz w:val="18"/>
              </w:rPr>
              <w:t>sus</w:t>
            </w:r>
            <w:r>
              <w:rPr>
                <w:i/>
                <w:color w:val="333333"/>
                <w:spacing w:val="-11"/>
                <w:sz w:val="18"/>
              </w:rPr>
              <w:t xml:space="preserve"> </w:t>
            </w:r>
            <w:r>
              <w:rPr>
                <w:i/>
                <w:color w:val="333333"/>
                <w:sz w:val="18"/>
              </w:rPr>
              <w:t>comunidades de acogida.</w:t>
            </w:r>
          </w:p>
        </w:tc>
      </w:tr>
      <w:tr w:rsidR="000E52B0" w14:paraId="36DA78E9" w14:textId="77777777">
        <w:trPr>
          <w:trHeight w:val="980"/>
        </w:trPr>
        <w:tc>
          <w:tcPr>
            <w:tcW w:w="1394" w:type="dxa"/>
            <w:vMerge/>
            <w:tcBorders>
              <w:top w:val="nil"/>
            </w:tcBorders>
          </w:tcPr>
          <w:p w14:paraId="04CB7361" w14:textId="77777777" w:rsidR="000E52B0" w:rsidRDefault="000E52B0">
            <w:pPr>
              <w:rPr>
                <w:sz w:val="2"/>
                <w:szCs w:val="2"/>
              </w:rPr>
            </w:pPr>
          </w:p>
        </w:tc>
        <w:tc>
          <w:tcPr>
            <w:tcW w:w="3752" w:type="dxa"/>
            <w:tcBorders>
              <w:top w:val="nil"/>
            </w:tcBorders>
          </w:tcPr>
          <w:p w14:paraId="0C16128E" w14:textId="77777777" w:rsidR="000E52B0" w:rsidRDefault="000E52B0">
            <w:pPr>
              <w:pStyle w:val="TableParagraph"/>
              <w:rPr>
                <w:rFonts w:ascii="Times New Roman"/>
                <w:sz w:val="18"/>
              </w:rPr>
            </w:pPr>
          </w:p>
        </w:tc>
        <w:tc>
          <w:tcPr>
            <w:tcW w:w="3870" w:type="dxa"/>
            <w:tcBorders>
              <w:top w:val="nil"/>
            </w:tcBorders>
          </w:tcPr>
          <w:p w14:paraId="45D27B8C" w14:textId="77777777" w:rsidR="000E52B0" w:rsidRDefault="00F60D74">
            <w:pPr>
              <w:pStyle w:val="TableParagraph"/>
              <w:spacing w:before="104"/>
              <w:ind w:left="828" w:right="94" w:hanging="360"/>
              <w:jc w:val="both"/>
              <w:rPr>
                <w:b/>
                <w:sz w:val="18"/>
              </w:rPr>
            </w:pPr>
            <w:r>
              <w:rPr>
                <w:b/>
                <w:sz w:val="18"/>
              </w:rPr>
              <w:t xml:space="preserve">4. DISEÑO, FORMULACIÓN Y EJECUCIÓN DE ACCIONES </w:t>
            </w:r>
            <w:r>
              <w:rPr>
                <w:b/>
                <w:spacing w:val="-2"/>
                <w:sz w:val="18"/>
              </w:rPr>
              <w:t>CONCRETAS</w:t>
            </w:r>
          </w:p>
        </w:tc>
      </w:tr>
    </w:tbl>
    <w:p w14:paraId="765D4E52" w14:textId="77777777" w:rsidR="000E52B0" w:rsidRDefault="000E52B0">
      <w:pPr>
        <w:pStyle w:val="TableParagraph"/>
        <w:jc w:val="both"/>
        <w:rPr>
          <w:b/>
          <w:sz w:val="18"/>
        </w:rPr>
        <w:sectPr w:rsidR="000E52B0">
          <w:type w:val="continuous"/>
          <w:pgSz w:w="11910" w:h="16840"/>
          <w:pgMar w:top="1400" w:right="720" w:bottom="1411" w:left="720" w:header="0" w:footer="995" w:gutter="0"/>
          <w:cols w:space="720"/>
        </w:sect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3752"/>
        <w:gridCol w:w="3870"/>
      </w:tblGrid>
      <w:tr w:rsidR="000E52B0" w14:paraId="49CCFCF4" w14:textId="77777777">
        <w:trPr>
          <w:trHeight w:val="436"/>
        </w:trPr>
        <w:tc>
          <w:tcPr>
            <w:tcW w:w="1394" w:type="dxa"/>
            <w:shd w:val="clear" w:color="auto" w:fill="D44673"/>
          </w:tcPr>
          <w:p w14:paraId="74928B29" w14:textId="77777777" w:rsidR="000E52B0" w:rsidRDefault="00F60D74">
            <w:pPr>
              <w:pStyle w:val="TableParagraph"/>
              <w:spacing w:before="109"/>
              <w:ind w:left="10"/>
              <w:jc w:val="center"/>
              <w:rPr>
                <w:b/>
                <w:sz w:val="18"/>
              </w:rPr>
            </w:pPr>
            <w:r>
              <w:rPr>
                <w:b/>
                <w:color w:val="FFFFFF"/>
                <w:spacing w:val="-5"/>
                <w:sz w:val="18"/>
              </w:rPr>
              <w:lastRenderedPageBreak/>
              <w:t>ODS</w:t>
            </w:r>
          </w:p>
        </w:tc>
        <w:tc>
          <w:tcPr>
            <w:tcW w:w="3752" w:type="dxa"/>
            <w:shd w:val="clear" w:color="auto" w:fill="D44673"/>
          </w:tcPr>
          <w:p w14:paraId="34F188F9" w14:textId="77777777" w:rsidR="000E52B0" w:rsidRDefault="00F60D74">
            <w:pPr>
              <w:pStyle w:val="TableParagraph"/>
              <w:spacing w:before="109"/>
              <w:ind w:left="6"/>
              <w:jc w:val="center"/>
              <w:rPr>
                <w:b/>
                <w:sz w:val="18"/>
              </w:rPr>
            </w:pPr>
            <w:r>
              <w:rPr>
                <w:b/>
                <w:color w:val="FFFFFF"/>
                <w:spacing w:val="-4"/>
                <w:sz w:val="18"/>
              </w:rPr>
              <w:t>Meta</w:t>
            </w:r>
          </w:p>
        </w:tc>
        <w:tc>
          <w:tcPr>
            <w:tcW w:w="3870" w:type="dxa"/>
            <w:shd w:val="clear" w:color="auto" w:fill="D44673"/>
          </w:tcPr>
          <w:p w14:paraId="312093A5" w14:textId="77777777" w:rsidR="000E52B0" w:rsidRDefault="00F60D74">
            <w:pPr>
              <w:pStyle w:val="TableParagraph"/>
              <w:spacing w:line="218" w:lineRule="exact"/>
              <w:ind w:left="900" w:hanging="687"/>
              <w:rPr>
                <w:b/>
                <w:sz w:val="18"/>
              </w:rPr>
            </w:pPr>
            <w:r>
              <w:rPr>
                <w:b/>
                <w:color w:val="FFFFFF"/>
                <w:sz w:val="18"/>
              </w:rPr>
              <w:t>¿Cómo</w:t>
            </w:r>
            <w:r>
              <w:rPr>
                <w:b/>
                <w:color w:val="FFFFFF"/>
                <w:spacing w:val="-9"/>
                <w:sz w:val="18"/>
              </w:rPr>
              <w:t xml:space="preserve"> </w:t>
            </w:r>
            <w:r>
              <w:rPr>
                <w:b/>
                <w:color w:val="FFFFFF"/>
                <w:sz w:val="18"/>
              </w:rPr>
              <w:t>contribuye</w:t>
            </w:r>
            <w:r>
              <w:rPr>
                <w:b/>
                <w:color w:val="FFFFFF"/>
                <w:spacing w:val="-9"/>
                <w:sz w:val="18"/>
              </w:rPr>
              <w:t xml:space="preserve"> </w:t>
            </w:r>
            <w:r>
              <w:rPr>
                <w:b/>
                <w:color w:val="FFFFFF"/>
                <w:sz w:val="18"/>
              </w:rPr>
              <w:t>el</w:t>
            </w:r>
            <w:r>
              <w:rPr>
                <w:b/>
                <w:color w:val="FFFFFF"/>
                <w:spacing w:val="-9"/>
                <w:sz w:val="18"/>
              </w:rPr>
              <w:t xml:space="preserve"> </w:t>
            </w:r>
            <w:r>
              <w:rPr>
                <w:b/>
                <w:color w:val="FFFFFF"/>
                <w:sz w:val="18"/>
              </w:rPr>
              <w:t>Ministerio</w:t>
            </w:r>
            <w:r>
              <w:rPr>
                <w:b/>
                <w:color w:val="FFFFFF"/>
                <w:spacing w:val="-9"/>
                <w:sz w:val="18"/>
              </w:rPr>
              <w:t xml:space="preserve"> </w:t>
            </w:r>
            <w:r>
              <w:rPr>
                <w:b/>
                <w:color w:val="FFFFFF"/>
                <w:sz w:val="18"/>
              </w:rPr>
              <w:t>de Igualdad y Equidad?</w:t>
            </w:r>
          </w:p>
        </w:tc>
      </w:tr>
      <w:tr w:rsidR="000E52B0" w14:paraId="07DBCA43" w14:textId="77777777">
        <w:trPr>
          <w:trHeight w:val="4596"/>
        </w:trPr>
        <w:tc>
          <w:tcPr>
            <w:tcW w:w="1394" w:type="dxa"/>
          </w:tcPr>
          <w:p w14:paraId="5810F894" w14:textId="77777777" w:rsidR="000E52B0" w:rsidRDefault="000E52B0">
            <w:pPr>
              <w:pStyle w:val="TableParagraph"/>
              <w:rPr>
                <w:rFonts w:ascii="Times New Roman"/>
                <w:sz w:val="20"/>
              </w:rPr>
            </w:pPr>
          </w:p>
        </w:tc>
        <w:tc>
          <w:tcPr>
            <w:tcW w:w="3752" w:type="dxa"/>
          </w:tcPr>
          <w:p w14:paraId="1E1D1ABD" w14:textId="77777777" w:rsidR="000E52B0" w:rsidRDefault="000E52B0">
            <w:pPr>
              <w:pStyle w:val="TableParagraph"/>
              <w:rPr>
                <w:rFonts w:ascii="Times New Roman"/>
                <w:sz w:val="20"/>
              </w:rPr>
            </w:pPr>
          </w:p>
        </w:tc>
        <w:tc>
          <w:tcPr>
            <w:tcW w:w="3870" w:type="dxa"/>
          </w:tcPr>
          <w:p w14:paraId="5D977763" w14:textId="77777777" w:rsidR="000E52B0" w:rsidRDefault="00F60D74">
            <w:pPr>
              <w:pStyle w:val="TableParagraph"/>
              <w:spacing w:before="1"/>
              <w:ind w:left="108" w:right="97"/>
              <w:jc w:val="both"/>
              <w:rPr>
                <w:sz w:val="18"/>
              </w:rPr>
            </w:pPr>
            <w:r>
              <w:rPr>
                <w:b/>
                <w:sz w:val="18"/>
              </w:rPr>
              <w:t xml:space="preserve">Programa “Diversidad en Dignidad, </w:t>
            </w:r>
            <w:r>
              <w:rPr>
                <w:sz w:val="18"/>
              </w:rPr>
              <w:t>busca avanzar en la garantía de los derechos para una vida digna, libre de violencias y discriminación a las personas de las personas con orientaciones sexuales e identidades de género no hegemónicas, facilitar los medios para el acceso a salud, educación,</w:t>
            </w:r>
            <w:r>
              <w:rPr>
                <w:spacing w:val="-16"/>
                <w:sz w:val="18"/>
              </w:rPr>
              <w:t xml:space="preserve"> </w:t>
            </w:r>
            <w:r>
              <w:rPr>
                <w:sz w:val="18"/>
              </w:rPr>
              <w:t>desarrollo</w:t>
            </w:r>
            <w:r>
              <w:rPr>
                <w:spacing w:val="-16"/>
                <w:sz w:val="18"/>
              </w:rPr>
              <w:t xml:space="preserve"> </w:t>
            </w:r>
            <w:r>
              <w:rPr>
                <w:sz w:val="18"/>
              </w:rPr>
              <w:t>económico</w:t>
            </w:r>
            <w:r>
              <w:rPr>
                <w:spacing w:val="-16"/>
                <w:sz w:val="18"/>
              </w:rPr>
              <w:t xml:space="preserve"> </w:t>
            </w:r>
            <w:r>
              <w:rPr>
                <w:sz w:val="18"/>
              </w:rPr>
              <w:t>y</w:t>
            </w:r>
            <w:r>
              <w:rPr>
                <w:spacing w:val="-16"/>
                <w:sz w:val="18"/>
              </w:rPr>
              <w:t xml:space="preserve"> </w:t>
            </w:r>
            <w:r>
              <w:rPr>
                <w:sz w:val="18"/>
              </w:rPr>
              <w:t>social de las personas de los sectores orientaciones sexuales e identidades de género no hegemónicas.</w:t>
            </w:r>
          </w:p>
          <w:p w14:paraId="16CBE9AF" w14:textId="77777777" w:rsidR="000E52B0" w:rsidRDefault="000E52B0">
            <w:pPr>
              <w:pStyle w:val="TableParagraph"/>
              <w:rPr>
                <w:sz w:val="18"/>
              </w:rPr>
            </w:pPr>
          </w:p>
          <w:p w14:paraId="27D09473" w14:textId="77777777" w:rsidR="000E52B0" w:rsidRDefault="00F60D74">
            <w:pPr>
              <w:pStyle w:val="TableParagraph"/>
              <w:ind w:left="108" w:right="95"/>
              <w:jc w:val="both"/>
              <w:rPr>
                <w:sz w:val="18"/>
              </w:rPr>
            </w:pPr>
            <w:r>
              <w:rPr>
                <w:b/>
                <w:sz w:val="18"/>
              </w:rPr>
              <w:t>Programa “Raíces En Movimiento: Programa</w:t>
            </w:r>
            <w:r>
              <w:rPr>
                <w:b/>
                <w:spacing w:val="-4"/>
                <w:sz w:val="18"/>
              </w:rPr>
              <w:t xml:space="preserve"> </w:t>
            </w:r>
            <w:r>
              <w:rPr>
                <w:b/>
                <w:sz w:val="18"/>
              </w:rPr>
              <w:t>Para</w:t>
            </w:r>
            <w:r>
              <w:rPr>
                <w:b/>
                <w:spacing w:val="-4"/>
                <w:sz w:val="18"/>
              </w:rPr>
              <w:t xml:space="preserve"> </w:t>
            </w:r>
            <w:r>
              <w:rPr>
                <w:b/>
                <w:sz w:val="18"/>
              </w:rPr>
              <w:t>La</w:t>
            </w:r>
            <w:r>
              <w:rPr>
                <w:b/>
                <w:spacing w:val="-4"/>
                <w:sz w:val="18"/>
              </w:rPr>
              <w:t xml:space="preserve"> </w:t>
            </w:r>
            <w:r>
              <w:rPr>
                <w:b/>
                <w:sz w:val="18"/>
              </w:rPr>
              <w:t>Migración</w:t>
            </w:r>
            <w:r>
              <w:rPr>
                <w:b/>
                <w:spacing w:val="-5"/>
                <w:sz w:val="18"/>
              </w:rPr>
              <w:t xml:space="preserve"> </w:t>
            </w:r>
            <w:r>
              <w:rPr>
                <w:b/>
                <w:sz w:val="18"/>
              </w:rPr>
              <w:t>Segura Y La Acogida En Dignidad”.</w:t>
            </w:r>
            <w:r>
              <w:rPr>
                <w:b/>
                <w:spacing w:val="40"/>
                <w:sz w:val="18"/>
              </w:rPr>
              <w:t xml:space="preserve"> </w:t>
            </w:r>
            <w:r>
              <w:rPr>
                <w:sz w:val="18"/>
              </w:rPr>
              <w:t>Este programa para atender, proteger e integrar social, económica y cultural de la población migrante y retornada para una vida digna y sin discriminación.</w:t>
            </w:r>
          </w:p>
        </w:tc>
      </w:tr>
      <w:tr w:rsidR="000E52B0" w14:paraId="30893BE7" w14:textId="77777777">
        <w:trPr>
          <w:trHeight w:val="2625"/>
        </w:trPr>
        <w:tc>
          <w:tcPr>
            <w:tcW w:w="1394" w:type="dxa"/>
          </w:tcPr>
          <w:p w14:paraId="15EB0E96" w14:textId="77777777" w:rsidR="000E52B0" w:rsidRDefault="00F60D74">
            <w:pPr>
              <w:pStyle w:val="TableParagraph"/>
              <w:ind w:left="107" w:right="94"/>
              <w:rPr>
                <w:sz w:val="18"/>
              </w:rPr>
            </w:pPr>
            <w:r>
              <w:rPr>
                <w:sz w:val="18"/>
              </w:rPr>
              <w:t>Paz,</w:t>
            </w:r>
            <w:r>
              <w:rPr>
                <w:spacing w:val="61"/>
                <w:sz w:val="18"/>
              </w:rPr>
              <w:t xml:space="preserve"> </w:t>
            </w:r>
            <w:r>
              <w:rPr>
                <w:sz w:val="18"/>
              </w:rPr>
              <w:t xml:space="preserve">justicia </w:t>
            </w:r>
            <w:r>
              <w:rPr>
                <w:spacing w:val="-10"/>
                <w:sz w:val="18"/>
              </w:rPr>
              <w:t xml:space="preserve">e </w:t>
            </w:r>
            <w:r>
              <w:rPr>
                <w:spacing w:val="-2"/>
                <w:sz w:val="18"/>
              </w:rPr>
              <w:t>instituciones solidas</w:t>
            </w:r>
          </w:p>
        </w:tc>
        <w:tc>
          <w:tcPr>
            <w:tcW w:w="3752" w:type="dxa"/>
          </w:tcPr>
          <w:p w14:paraId="759B4457" w14:textId="77777777" w:rsidR="000E52B0" w:rsidRDefault="00F60D74">
            <w:pPr>
              <w:pStyle w:val="TableParagraph"/>
              <w:ind w:left="108" w:right="98"/>
              <w:jc w:val="both"/>
              <w:rPr>
                <w:sz w:val="18"/>
              </w:rPr>
            </w:pPr>
            <w:r>
              <w:rPr>
                <w:b/>
                <w:sz w:val="18"/>
              </w:rPr>
              <w:t xml:space="preserve">16.6 </w:t>
            </w:r>
            <w:r>
              <w:rPr>
                <w:sz w:val="18"/>
              </w:rPr>
              <w:t>Crear a todos los niveles instituciones eficaces y transparentes que rindan cuentas</w:t>
            </w:r>
          </w:p>
          <w:p w14:paraId="6099B21E" w14:textId="77777777" w:rsidR="000E52B0" w:rsidRDefault="00F60D74">
            <w:pPr>
              <w:pStyle w:val="TableParagraph"/>
              <w:spacing w:before="218"/>
              <w:ind w:left="108" w:right="98"/>
              <w:jc w:val="both"/>
              <w:rPr>
                <w:sz w:val="18"/>
              </w:rPr>
            </w:pPr>
            <w:r>
              <w:rPr>
                <w:b/>
                <w:sz w:val="18"/>
              </w:rPr>
              <w:t xml:space="preserve">16.a </w:t>
            </w:r>
            <w:r>
              <w:rPr>
                <w:sz w:val="18"/>
              </w:rPr>
              <w:t>Fortalecer las instituciones nacionales pertinentes, incluso mediante</w:t>
            </w:r>
            <w:r>
              <w:rPr>
                <w:spacing w:val="-3"/>
                <w:sz w:val="18"/>
              </w:rPr>
              <w:t xml:space="preserve"> </w:t>
            </w:r>
            <w:r>
              <w:rPr>
                <w:sz w:val="18"/>
              </w:rPr>
              <w:t>la</w:t>
            </w:r>
            <w:r>
              <w:rPr>
                <w:spacing w:val="-4"/>
                <w:sz w:val="18"/>
              </w:rPr>
              <w:t xml:space="preserve"> </w:t>
            </w:r>
            <w:r>
              <w:rPr>
                <w:sz w:val="18"/>
              </w:rPr>
              <w:t>cooperación</w:t>
            </w:r>
            <w:r>
              <w:rPr>
                <w:spacing w:val="-3"/>
                <w:sz w:val="18"/>
              </w:rPr>
              <w:t xml:space="preserve"> </w:t>
            </w:r>
            <w:r>
              <w:rPr>
                <w:sz w:val="18"/>
              </w:rPr>
              <w:t>internacional, para crear a todos los niveles, particularmente en los países en desarrollo, la capacidad de prevenir la violencia</w:t>
            </w:r>
            <w:r>
              <w:rPr>
                <w:spacing w:val="11"/>
                <w:sz w:val="18"/>
              </w:rPr>
              <w:t xml:space="preserve"> </w:t>
            </w:r>
            <w:r>
              <w:rPr>
                <w:sz w:val="18"/>
              </w:rPr>
              <w:t>y</w:t>
            </w:r>
            <w:r>
              <w:rPr>
                <w:spacing w:val="12"/>
                <w:sz w:val="18"/>
              </w:rPr>
              <w:t xml:space="preserve"> </w:t>
            </w:r>
            <w:r>
              <w:rPr>
                <w:sz w:val="18"/>
              </w:rPr>
              <w:t>combatir</w:t>
            </w:r>
            <w:r>
              <w:rPr>
                <w:spacing w:val="13"/>
                <w:sz w:val="18"/>
              </w:rPr>
              <w:t xml:space="preserve"> </w:t>
            </w:r>
            <w:r>
              <w:rPr>
                <w:sz w:val="18"/>
              </w:rPr>
              <w:t>el</w:t>
            </w:r>
            <w:r>
              <w:rPr>
                <w:spacing w:val="14"/>
                <w:sz w:val="18"/>
              </w:rPr>
              <w:t xml:space="preserve"> </w:t>
            </w:r>
            <w:r>
              <w:rPr>
                <w:sz w:val="18"/>
              </w:rPr>
              <w:t>terrorismo</w:t>
            </w:r>
            <w:r>
              <w:rPr>
                <w:spacing w:val="14"/>
                <w:sz w:val="18"/>
              </w:rPr>
              <w:t xml:space="preserve"> </w:t>
            </w:r>
            <w:r>
              <w:rPr>
                <w:sz w:val="18"/>
              </w:rPr>
              <w:t>y</w:t>
            </w:r>
            <w:r>
              <w:rPr>
                <w:spacing w:val="13"/>
                <w:sz w:val="18"/>
              </w:rPr>
              <w:t xml:space="preserve"> </w:t>
            </w:r>
            <w:r>
              <w:rPr>
                <w:spacing w:val="-5"/>
                <w:sz w:val="18"/>
              </w:rPr>
              <w:t>la</w:t>
            </w:r>
          </w:p>
          <w:p w14:paraId="03531420" w14:textId="77777777" w:rsidR="000E52B0" w:rsidRDefault="00F60D74">
            <w:pPr>
              <w:pStyle w:val="TableParagraph"/>
              <w:spacing w:before="1" w:line="199" w:lineRule="exact"/>
              <w:ind w:left="108"/>
              <w:rPr>
                <w:sz w:val="18"/>
              </w:rPr>
            </w:pPr>
            <w:r>
              <w:rPr>
                <w:spacing w:val="-2"/>
                <w:sz w:val="18"/>
              </w:rPr>
              <w:t>delincuencia</w:t>
            </w:r>
          </w:p>
        </w:tc>
        <w:tc>
          <w:tcPr>
            <w:tcW w:w="3870" w:type="dxa"/>
          </w:tcPr>
          <w:p w14:paraId="2537C055" w14:textId="77777777" w:rsidR="000E52B0" w:rsidRDefault="000E52B0">
            <w:pPr>
              <w:pStyle w:val="TableParagraph"/>
              <w:rPr>
                <w:sz w:val="18"/>
              </w:rPr>
            </w:pPr>
          </w:p>
          <w:p w14:paraId="66DA32E7" w14:textId="77777777" w:rsidR="000E52B0" w:rsidRDefault="000E52B0">
            <w:pPr>
              <w:pStyle w:val="TableParagraph"/>
              <w:spacing w:before="216"/>
              <w:rPr>
                <w:sz w:val="18"/>
              </w:rPr>
            </w:pPr>
          </w:p>
          <w:p w14:paraId="5BDFB756" w14:textId="77777777" w:rsidR="000E52B0" w:rsidRDefault="00F60D74">
            <w:pPr>
              <w:pStyle w:val="TableParagraph"/>
              <w:tabs>
                <w:tab w:val="left" w:pos="3376"/>
              </w:tabs>
              <w:ind w:left="108" w:right="95"/>
              <w:jc w:val="both"/>
              <w:rPr>
                <w:b/>
                <w:sz w:val="18"/>
              </w:rPr>
            </w:pPr>
            <w:r>
              <w:rPr>
                <w:b/>
                <w:sz w:val="18"/>
              </w:rPr>
              <w:t xml:space="preserve">CREACIÓN, EXISTENCIA Y </w:t>
            </w:r>
            <w:r>
              <w:rPr>
                <w:b/>
                <w:spacing w:val="-2"/>
                <w:sz w:val="18"/>
              </w:rPr>
              <w:t>FUNCIONAMIENTO</w:t>
            </w:r>
            <w:r>
              <w:rPr>
                <w:b/>
                <w:sz w:val="18"/>
              </w:rPr>
              <w:tab/>
            </w:r>
            <w:r>
              <w:rPr>
                <w:b/>
                <w:spacing w:val="-4"/>
                <w:sz w:val="18"/>
              </w:rPr>
              <w:t xml:space="preserve">DEL </w:t>
            </w:r>
            <w:r>
              <w:rPr>
                <w:b/>
                <w:sz w:val="18"/>
              </w:rPr>
              <w:t xml:space="preserve">MINISTERIO DE IGUALDAD Y </w:t>
            </w:r>
            <w:r>
              <w:rPr>
                <w:b/>
                <w:spacing w:val="-2"/>
                <w:sz w:val="18"/>
              </w:rPr>
              <w:t>EQUIDAD.</w:t>
            </w:r>
          </w:p>
        </w:tc>
      </w:tr>
    </w:tbl>
    <w:p w14:paraId="1BCBE8B5" w14:textId="77777777" w:rsidR="000E52B0" w:rsidRDefault="000E52B0">
      <w:pPr>
        <w:pStyle w:val="Textoindependiente"/>
        <w:spacing w:before="164"/>
        <w:ind w:left="0"/>
        <w:rPr>
          <w:sz w:val="32"/>
        </w:rPr>
      </w:pPr>
    </w:p>
    <w:p w14:paraId="78AB2EC8" w14:textId="77777777" w:rsidR="000E52B0" w:rsidRDefault="00F60D74">
      <w:pPr>
        <w:pStyle w:val="Ttulo1"/>
        <w:numPr>
          <w:ilvl w:val="0"/>
          <w:numId w:val="53"/>
        </w:numPr>
        <w:tabs>
          <w:tab w:val="left" w:pos="1440"/>
        </w:tabs>
        <w:ind w:hanging="696"/>
        <w:jc w:val="left"/>
      </w:pPr>
      <w:bookmarkStart w:id="199" w:name="_bookmark199"/>
      <w:bookmarkEnd w:id="199"/>
      <w:r>
        <w:rPr>
          <w:color w:val="B3176C"/>
        </w:rPr>
        <w:t>Igualdad</w:t>
      </w:r>
      <w:r>
        <w:rPr>
          <w:color w:val="B3176C"/>
          <w:spacing w:val="-12"/>
        </w:rPr>
        <w:t xml:space="preserve"> </w:t>
      </w:r>
      <w:r>
        <w:rPr>
          <w:color w:val="B3176C"/>
        </w:rPr>
        <w:t>y</w:t>
      </w:r>
      <w:r>
        <w:rPr>
          <w:color w:val="B3176C"/>
          <w:spacing w:val="-11"/>
        </w:rPr>
        <w:t xml:space="preserve"> </w:t>
      </w:r>
      <w:r>
        <w:rPr>
          <w:color w:val="B3176C"/>
        </w:rPr>
        <w:t>Equidad</w:t>
      </w:r>
      <w:r>
        <w:rPr>
          <w:color w:val="B3176C"/>
          <w:spacing w:val="-12"/>
        </w:rPr>
        <w:t xml:space="preserve"> </w:t>
      </w:r>
      <w:r>
        <w:rPr>
          <w:color w:val="B3176C"/>
        </w:rPr>
        <w:t>como</w:t>
      </w:r>
      <w:r>
        <w:rPr>
          <w:color w:val="B3176C"/>
          <w:spacing w:val="-11"/>
        </w:rPr>
        <w:t xml:space="preserve"> </w:t>
      </w:r>
      <w:r>
        <w:rPr>
          <w:color w:val="B3176C"/>
        </w:rPr>
        <w:t>innovación</w:t>
      </w:r>
      <w:r>
        <w:rPr>
          <w:color w:val="B3176C"/>
          <w:spacing w:val="-12"/>
        </w:rPr>
        <w:t xml:space="preserve"> </w:t>
      </w:r>
      <w:r>
        <w:rPr>
          <w:color w:val="B3176C"/>
          <w:spacing w:val="-2"/>
        </w:rPr>
        <w:t>pública</w:t>
      </w:r>
    </w:p>
    <w:p w14:paraId="5A2EB65A" w14:textId="77777777" w:rsidR="000E52B0" w:rsidRDefault="000E52B0">
      <w:pPr>
        <w:pStyle w:val="Textoindependiente"/>
        <w:spacing w:before="63"/>
        <w:ind w:left="0"/>
        <w:rPr>
          <w:sz w:val="32"/>
        </w:rPr>
      </w:pPr>
    </w:p>
    <w:p w14:paraId="4D1672BC" w14:textId="77777777" w:rsidR="000E52B0" w:rsidRDefault="00F60D74">
      <w:pPr>
        <w:pStyle w:val="Textoindependiente"/>
        <w:ind w:right="715"/>
        <w:jc w:val="both"/>
      </w:pPr>
      <w:r>
        <w:t>El objetivo común de las teorías de la modernización e innovación de la administración</w:t>
      </w:r>
      <w:r>
        <w:rPr>
          <w:spacing w:val="-22"/>
        </w:rPr>
        <w:t xml:space="preserve"> </w:t>
      </w:r>
      <w:r>
        <w:t>pública</w:t>
      </w:r>
      <w:r>
        <w:rPr>
          <w:spacing w:val="-21"/>
        </w:rPr>
        <w:t xml:space="preserve"> </w:t>
      </w:r>
      <w:r>
        <w:t>es</w:t>
      </w:r>
      <w:r>
        <w:rPr>
          <w:spacing w:val="-21"/>
        </w:rPr>
        <w:t xml:space="preserve"> </w:t>
      </w:r>
      <w:r>
        <w:t>la</w:t>
      </w:r>
      <w:r>
        <w:rPr>
          <w:spacing w:val="-21"/>
        </w:rPr>
        <w:t xml:space="preserve"> </w:t>
      </w:r>
      <w:r>
        <w:t>transformación</w:t>
      </w:r>
      <w:r>
        <w:rPr>
          <w:spacing w:val="-21"/>
        </w:rPr>
        <w:t xml:space="preserve"> </w:t>
      </w:r>
      <w:r>
        <w:t>continua</w:t>
      </w:r>
      <w:r>
        <w:rPr>
          <w:spacing w:val="-21"/>
        </w:rPr>
        <w:t xml:space="preserve"> </w:t>
      </w:r>
      <w:r>
        <w:t>de</w:t>
      </w:r>
      <w:r>
        <w:rPr>
          <w:spacing w:val="-21"/>
        </w:rPr>
        <w:t xml:space="preserve"> </w:t>
      </w:r>
      <w:r>
        <w:t>la</w:t>
      </w:r>
      <w:r>
        <w:rPr>
          <w:spacing w:val="-21"/>
        </w:rPr>
        <w:t xml:space="preserve"> </w:t>
      </w:r>
      <w:r>
        <w:t>respuesta</w:t>
      </w:r>
      <w:r>
        <w:rPr>
          <w:spacing w:val="-21"/>
        </w:rPr>
        <w:t xml:space="preserve"> </w:t>
      </w:r>
      <w:r>
        <w:t>estatal a</w:t>
      </w:r>
      <w:r>
        <w:rPr>
          <w:spacing w:val="-2"/>
        </w:rPr>
        <w:t xml:space="preserve"> </w:t>
      </w:r>
      <w:r>
        <w:t>las</w:t>
      </w:r>
      <w:r>
        <w:rPr>
          <w:spacing w:val="-1"/>
        </w:rPr>
        <w:t xml:space="preserve"> </w:t>
      </w:r>
      <w:r>
        <w:t>necesidades</w:t>
      </w:r>
      <w:r>
        <w:rPr>
          <w:spacing w:val="-3"/>
        </w:rPr>
        <w:t xml:space="preserve"> </w:t>
      </w:r>
      <w:r>
        <w:t>y amenazas</w:t>
      </w:r>
      <w:r>
        <w:rPr>
          <w:spacing w:val="-3"/>
        </w:rPr>
        <w:t xml:space="preserve"> </w:t>
      </w:r>
      <w:r>
        <w:t>del</w:t>
      </w:r>
      <w:r>
        <w:rPr>
          <w:spacing w:val="-1"/>
        </w:rPr>
        <w:t xml:space="preserve"> </w:t>
      </w:r>
      <w:r>
        <w:t>entorno,</w:t>
      </w:r>
      <w:r>
        <w:rPr>
          <w:spacing w:val="-3"/>
        </w:rPr>
        <w:t xml:space="preserve"> </w:t>
      </w:r>
      <w:r>
        <w:t>de manera</w:t>
      </w:r>
      <w:r>
        <w:rPr>
          <w:spacing w:val="-2"/>
        </w:rPr>
        <w:t xml:space="preserve"> </w:t>
      </w:r>
      <w:r>
        <w:t>tal</w:t>
      </w:r>
      <w:r>
        <w:rPr>
          <w:spacing w:val="-2"/>
        </w:rPr>
        <w:t xml:space="preserve"> </w:t>
      </w:r>
      <w:r>
        <w:t>que</w:t>
      </w:r>
      <w:r>
        <w:rPr>
          <w:spacing w:val="-2"/>
        </w:rPr>
        <w:t xml:space="preserve"> </w:t>
      </w:r>
      <w:r>
        <w:t>las</w:t>
      </w:r>
      <w:r>
        <w:rPr>
          <w:spacing w:val="-1"/>
        </w:rPr>
        <w:t xml:space="preserve"> </w:t>
      </w:r>
      <w:r>
        <w:t xml:space="preserve">acciones de la administración sean un reflejo de la realidad social de los administrados (Baena, 1976). La modernización de la administración pública, según </w:t>
      </w:r>
      <w:proofErr w:type="spellStart"/>
      <w:r>
        <w:t>Inglehart</w:t>
      </w:r>
      <w:proofErr w:type="spellEnd"/>
      <w:r>
        <w:t xml:space="preserve"> y </w:t>
      </w:r>
      <w:proofErr w:type="spellStart"/>
      <w:r>
        <w:t>Wenzel</w:t>
      </w:r>
      <w:proofErr w:type="spellEnd"/>
      <w:r>
        <w:t xml:space="preserve"> (2005), implica la racionalización del aparato</w:t>
      </w:r>
      <w:r>
        <w:rPr>
          <w:spacing w:val="-8"/>
        </w:rPr>
        <w:t xml:space="preserve"> </w:t>
      </w:r>
      <w:r>
        <w:t>estatal</w:t>
      </w:r>
      <w:r>
        <w:rPr>
          <w:spacing w:val="-10"/>
        </w:rPr>
        <w:t xml:space="preserve"> </w:t>
      </w:r>
      <w:r>
        <w:t>para</w:t>
      </w:r>
      <w:r>
        <w:rPr>
          <w:spacing w:val="-8"/>
        </w:rPr>
        <w:t xml:space="preserve"> </w:t>
      </w:r>
      <w:r>
        <w:t>mejorar</w:t>
      </w:r>
      <w:r>
        <w:rPr>
          <w:spacing w:val="-8"/>
        </w:rPr>
        <w:t xml:space="preserve"> </w:t>
      </w:r>
      <w:r>
        <w:t>las</w:t>
      </w:r>
      <w:r>
        <w:rPr>
          <w:spacing w:val="-9"/>
        </w:rPr>
        <w:t xml:space="preserve"> </w:t>
      </w:r>
      <w:r>
        <w:t>condiciones</w:t>
      </w:r>
      <w:r>
        <w:rPr>
          <w:spacing w:val="-9"/>
        </w:rPr>
        <w:t xml:space="preserve"> </w:t>
      </w:r>
      <w:r>
        <w:t>de</w:t>
      </w:r>
      <w:r>
        <w:rPr>
          <w:spacing w:val="-8"/>
        </w:rPr>
        <w:t xml:space="preserve"> </w:t>
      </w:r>
      <w:r>
        <w:t>vida</w:t>
      </w:r>
      <w:r>
        <w:rPr>
          <w:spacing w:val="-9"/>
        </w:rPr>
        <w:t xml:space="preserve"> </w:t>
      </w:r>
      <w:r>
        <w:t>de</w:t>
      </w:r>
      <w:r>
        <w:rPr>
          <w:spacing w:val="-8"/>
        </w:rPr>
        <w:t xml:space="preserve"> </w:t>
      </w:r>
      <w:r>
        <w:t>los</w:t>
      </w:r>
      <w:r>
        <w:rPr>
          <w:spacing w:val="-9"/>
        </w:rPr>
        <w:t xml:space="preserve"> </w:t>
      </w:r>
      <w:r>
        <w:t>ciudadanos</w:t>
      </w:r>
      <w:r>
        <w:rPr>
          <w:spacing w:val="-9"/>
        </w:rPr>
        <w:t xml:space="preserve"> </w:t>
      </w:r>
      <w:r>
        <w:t>con reformas</w:t>
      </w:r>
      <w:r>
        <w:rPr>
          <w:spacing w:val="-12"/>
        </w:rPr>
        <w:t xml:space="preserve"> </w:t>
      </w:r>
      <w:r>
        <w:t>orientadas</w:t>
      </w:r>
      <w:r>
        <w:rPr>
          <w:spacing w:val="-10"/>
        </w:rPr>
        <w:t xml:space="preserve"> </w:t>
      </w:r>
      <w:r>
        <w:t>a</w:t>
      </w:r>
      <w:r>
        <w:rPr>
          <w:spacing w:val="-12"/>
        </w:rPr>
        <w:t xml:space="preserve"> </w:t>
      </w:r>
      <w:r>
        <w:t>reducir</w:t>
      </w:r>
      <w:r>
        <w:rPr>
          <w:spacing w:val="-11"/>
        </w:rPr>
        <w:t xml:space="preserve"> </w:t>
      </w:r>
      <w:r>
        <w:t>la</w:t>
      </w:r>
      <w:r>
        <w:rPr>
          <w:spacing w:val="-13"/>
        </w:rPr>
        <w:t xml:space="preserve"> </w:t>
      </w:r>
      <w:r>
        <w:t>desconfianza</w:t>
      </w:r>
      <w:r>
        <w:rPr>
          <w:spacing w:val="-12"/>
        </w:rPr>
        <w:t xml:space="preserve"> </w:t>
      </w:r>
      <w:r>
        <w:t>institucional</w:t>
      </w:r>
      <w:r>
        <w:rPr>
          <w:spacing w:val="-13"/>
        </w:rPr>
        <w:t xml:space="preserve"> </w:t>
      </w:r>
      <w:r>
        <w:t>de</w:t>
      </w:r>
      <w:r>
        <w:rPr>
          <w:spacing w:val="-11"/>
        </w:rPr>
        <w:t xml:space="preserve"> </w:t>
      </w:r>
      <w:r>
        <w:t>la</w:t>
      </w:r>
      <w:r>
        <w:rPr>
          <w:spacing w:val="-13"/>
        </w:rPr>
        <w:t xml:space="preserve"> </w:t>
      </w:r>
      <w:r>
        <w:t>ciudadanía ante la ineficiencia e ineficacia de la respuesta estatal.</w:t>
      </w:r>
    </w:p>
    <w:p w14:paraId="713C808B" w14:textId="77777777" w:rsidR="000E52B0" w:rsidRDefault="00F60D74">
      <w:pPr>
        <w:pStyle w:val="Textoindependiente"/>
        <w:spacing w:before="162"/>
        <w:ind w:right="716"/>
        <w:jc w:val="both"/>
      </w:pPr>
      <w:r>
        <w:t>En Colombia, antes de la vigencia de la Ley 2281 de 2023 que creó el Ministerio de Igualdad y Equidad, no existía una Entidad de la rama ejecutiva</w:t>
      </w:r>
      <w:r>
        <w:rPr>
          <w:spacing w:val="-4"/>
        </w:rPr>
        <w:t xml:space="preserve"> </w:t>
      </w:r>
      <w:r>
        <w:t>del</w:t>
      </w:r>
      <w:r>
        <w:rPr>
          <w:spacing w:val="-7"/>
        </w:rPr>
        <w:t xml:space="preserve"> </w:t>
      </w:r>
      <w:r>
        <w:t>sector</w:t>
      </w:r>
      <w:r>
        <w:rPr>
          <w:spacing w:val="-5"/>
        </w:rPr>
        <w:t xml:space="preserve"> </w:t>
      </w:r>
      <w:r>
        <w:t>central</w:t>
      </w:r>
      <w:r>
        <w:rPr>
          <w:spacing w:val="-7"/>
        </w:rPr>
        <w:t xml:space="preserve"> </w:t>
      </w:r>
      <w:r>
        <w:t>que</w:t>
      </w:r>
      <w:r>
        <w:rPr>
          <w:spacing w:val="-5"/>
        </w:rPr>
        <w:t xml:space="preserve"> </w:t>
      </w:r>
      <w:r>
        <w:t>articulara</w:t>
      </w:r>
      <w:r>
        <w:rPr>
          <w:spacing w:val="-6"/>
        </w:rPr>
        <w:t xml:space="preserve"> </w:t>
      </w:r>
      <w:r>
        <w:t>y</w:t>
      </w:r>
      <w:r>
        <w:rPr>
          <w:spacing w:val="-7"/>
        </w:rPr>
        <w:t xml:space="preserve"> </w:t>
      </w:r>
      <w:r>
        <w:t>respondiera</w:t>
      </w:r>
      <w:r>
        <w:rPr>
          <w:spacing w:val="-6"/>
        </w:rPr>
        <w:t xml:space="preserve"> </w:t>
      </w:r>
      <w:r>
        <w:t>de</w:t>
      </w:r>
      <w:r>
        <w:rPr>
          <w:spacing w:val="-3"/>
        </w:rPr>
        <w:t xml:space="preserve"> </w:t>
      </w:r>
      <w:r>
        <w:t>manera</w:t>
      </w:r>
      <w:r>
        <w:rPr>
          <w:spacing w:val="-6"/>
        </w:rPr>
        <w:t xml:space="preserve"> </w:t>
      </w:r>
      <w:r>
        <w:t>directa a poblaciones y problemas transversales y dispersos a los sectores administrativos existentes. Por ello, la creación de este Ministerio es una muestra</w:t>
      </w:r>
      <w:r>
        <w:rPr>
          <w:spacing w:val="-8"/>
        </w:rPr>
        <w:t xml:space="preserve"> </w:t>
      </w:r>
      <w:r>
        <w:t>de</w:t>
      </w:r>
      <w:r>
        <w:rPr>
          <w:spacing w:val="-8"/>
        </w:rPr>
        <w:t xml:space="preserve"> </w:t>
      </w:r>
      <w:r>
        <w:t>la</w:t>
      </w:r>
      <w:r>
        <w:rPr>
          <w:spacing w:val="-9"/>
        </w:rPr>
        <w:t xml:space="preserve"> </w:t>
      </w:r>
      <w:r>
        <w:t>modernización</w:t>
      </w:r>
      <w:r>
        <w:rPr>
          <w:spacing w:val="-9"/>
        </w:rPr>
        <w:t xml:space="preserve"> </w:t>
      </w:r>
      <w:r>
        <w:t>del</w:t>
      </w:r>
      <w:r>
        <w:rPr>
          <w:spacing w:val="-10"/>
        </w:rPr>
        <w:t xml:space="preserve"> </w:t>
      </w:r>
      <w:r>
        <w:t>Estado</w:t>
      </w:r>
      <w:r>
        <w:rPr>
          <w:spacing w:val="-8"/>
        </w:rPr>
        <w:t xml:space="preserve"> </w:t>
      </w:r>
      <w:r>
        <w:t>Social</w:t>
      </w:r>
      <w:r>
        <w:rPr>
          <w:spacing w:val="-10"/>
        </w:rPr>
        <w:t xml:space="preserve"> </w:t>
      </w:r>
      <w:r>
        <w:t>de</w:t>
      </w:r>
      <w:r>
        <w:rPr>
          <w:spacing w:val="-8"/>
        </w:rPr>
        <w:t xml:space="preserve"> </w:t>
      </w:r>
      <w:r>
        <w:t>Derecho</w:t>
      </w:r>
      <w:r>
        <w:rPr>
          <w:spacing w:val="-11"/>
        </w:rPr>
        <w:t xml:space="preserve"> </w:t>
      </w:r>
      <w:r>
        <w:t>que</w:t>
      </w:r>
      <w:r>
        <w:rPr>
          <w:spacing w:val="-8"/>
        </w:rPr>
        <w:t xml:space="preserve"> </w:t>
      </w:r>
      <w:r>
        <w:t>introdujo</w:t>
      </w:r>
      <w:r>
        <w:rPr>
          <w:spacing w:val="-8"/>
        </w:rPr>
        <w:t xml:space="preserve"> </w:t>
      </w:r>
      <w:r>
        <w:t>la Constitución</w:t>
      </w:r>
      <w:r>
        <w:rPr>
          <w:spacing w:val="31"/>
        </w:rPr>
        <w:t xml:space="preserve"> </w:t>
      </w:r>
      <w:r>
        <w:t>de</w:t>
      </w:r>
      <w:r>
        <w:rPr>
          <w:spacing w:val="33"/>
        </w:rPr>
        <w:t xml:space="preserve"> </w:t>
      </w:r>
      <w:r>
        <w:t>1991</w:t>
      </w:r>
      <w:r>
        <w:rPr>
          <w:spacing w:val="34"/>
        </w:rPr>
        <w:t xml:space="preserve"> </w:t>
      </w:r>
      <w:r>
        <w:t>a</w:t>
      </w:r>
      <w:r>
        <w:rPr>
          <w:spacing w:val="32"/>
        </w:rPr>
        <w:t xml:space="preserve"> </w:t>
      </w:r>
      <w:r>
        <w:t>nuestro</w:t>
      </w:r>
      <w:r>
        <w:rPr>
          <w:spacing w:val="33"/>
        </w:rPr>
        <w:t xml:space="preserve"> </w:t>
      </w:r>
      <w:r>
        <w:t>ordenamiento</w:t>
      </w:r>
      <w:r>
        <w:rPr>
          <w:spacing w:val="33"/>
        </w:rPr>
        <w:t xml:space="preserve"> </w:t>
      </w:r>
      <w:r>
        <w:t>jurídico,</w:t>
      </w:r>
      <w:r>
        <w:rPr>
          <w:spacing w:val="31"/>
        </w:rPr>
        <w:t xml:space="preserve"> </w:t>
      </w:r>
      <w:r>
        <w:t>ya</w:t>
      </w:r>
      <w:r>
        <w:rPr>
          <w:spacing w:val="33"/>
        </w:rPr>
        <w:t xml:space="preserve"> </w:t>
      </w:r>
      <w:r>
        <w:t>que,</w:t>
      </w:r>
      <w:r>
        <w:rPr>
          <w:spacing w:val="31"/>
        </w:rPr>
        <w:t xml:space="preserve"> </w:t>
      </w:r>
      <w:r>
        <w:t>como</w:t>
      </w:r>
      <w:r>
        <w:rPr>
          <w:spacing w:val="33"/>
        </w:rPr>
        <w:t xml:space="preserve"> </w:t>
      </w:r>
      <w:r>
        <w:rPr>
          <w:spacing w:val="-5"/>
        </w:rPr>
        <w:t>se</w:t>
      </w:r>
    </w:p>
    <w:p w14:paraId="391C4411" w14:textId="77777777" w:rsidR="000E52B0" w:rsidRDefault="000E52B0">
      <w:pPr>
        <w:pStyle w:val="Textoindependiente"/>
        <w:jc w:val="both"/>
        <w:sectPr w:rsidR="000E52B0">
          <w:type w:val="continuous"/>
          <w:pgSz w:w="11910" w:h="16840"/>
          <w:pgMar w:top="1400" w:right="720" w:bottom="1180" w:left="720" w:header="0" w:footer="995" w:gutter="0"/>
          <w:cols w:space="720"/>
        </w:sectPr>
      </w:pPr>
    </w:p>
    <w:p w14:paraId="0C6C057D" w14:textId="77777777" w:rsidR="000E52B0" w:rsidRDefault="00F60D74">
      <w:pPr>
        <w:pStyle w:val="Textoindependiente"/>
        <w:spacing w:before="83"/>
        <w:ind w:right="719"/>
        <w:jc w:val="both"/>
      </w:pPr>
      <w:r>
        <w:lastRenderedPageBreak/>
        <w:t>demuestra a continuación, solo el Ministerio de Igualdad y Equidad responde a los fines esenciales del estado de prosperidad general (art. 2 constitucional), igualdad, no discriminación y protección de personas en circunstancias de debilidad manifiesta (art. 13 constitucional) y de diversidad étnica y cultural de la nación (art. 7 constitucional).</w:t>
      </w:r>
    </w:p>
    <w:p w14:paraId="271B4090" w14:textId="77777777" w:rsidR="000E52B0" w:rsidRDefault="00F60D74">
      <w:pPr>
        <w:pStyle w:val="Textoindependiente"/>
        <w:spacing w:before="159"/>
        <w:ind w:right="717"/>
        <w:jc w:val="both"/>
      </w:pPr>
      <w:r>
        <w:t>A</w:t>
      </w:r>
      <w:r>
        <w:rPr>
          <w:spacing w:val="-20"/>
        </w:rPr>
        <w:t xml:space="preserve"> </w:t>
      </w:r>
      <w:r>
        <w:t>continuación,</w:t>
      </w:r>
      <w:r>
        <w:rPr>
          <w:spacing w:val="-20"/>
        </w:rPr>
        <w:t xml:space="preserve"> </w:t>
      </w:r>
      <w:r>
        <w:t>se</w:t>
      </w:r>
      <w:r>
        <w:rPr>
          <w:spacing w:val="-18"/>
        </w:rPr>
        <w:t xml:space="preserve"> </w:t>
      </w:r>
      <w:r>
        <w:t>relacionan</w:t>
      </w:r>
      <w:r>
        <w:rPr>
          <w:spacing w:val="-20"/>
        </w:rPr>
        <w:t xml:space="preserve"> </w:t>
      </w:r>
      <w:r>
        <w:t>las</w:t>
      </w:r>
      <w:r>
        <w:rPr>
          <w:spacing w:val="-20"/>
        </w:rPr>
        <w:t xml:space="preserve"> </w:t>
      </w:r>
      <w:r>
        <w:t>diferencias</w:t>
      </w:r>
      <w:r>
        <w:rPr>
          <w:spacing w:val="-20"/>
        </w:rPr>
        <w:t xml:space="preserve"> </w:t>
      </w:r>
      <w:r>
        <w:t>entre</w:t>
      </w:r>
      <w:r>
        <w:rPr>
          <w:spacing w:val="-18"/>
        </w:rPr>
        <w:t xml:space="preserve"> </w:t>
      </w:r>
      <w:r>
        <w:t>los</w:t>
      </w:r>
      <w:r>
        <w:rPr>
          <w:spacing w:val="-19"/>
        </w:rPr>
        <w:t xml:space="preserve"> </w:t>
      </w:r>
      <w:r>
        <w:t>Ministerios</w:t>
      </w:r>
      <w:r>
        <w:rPr>
          <w:spacing w:val="-20"/>
        </w:rPr>
        <w:t xml:space="preserve"> </w:t>
      </w:r>
      <w:r>
        <w:t>existentes con anterioridad a la Ley 2281 de 2023 respecto los fines esenciales del Estado</w:t>
      </w:r>
      <w:r>
        <w:rPr>
          <w:spacing w:val="-12"/>
        </w:rPr>
        <w:t xml:space="preserve"> </w:t>
      </w:r>
      <w:r>
        <w:t>que</w:t>
      </w:r>
      <w:r>
        <w:rPr>
          <w:spacing w:val="-11"/>
        </w:rPr>
        <w:t xml:space="preserve"> </w:t>
      </w:r>
      <w:r>
        <w:t>atienden</w:t>
      </w:r>
      <w:r>
        <w:rPr>
          <w:spacing w:val="-11"/>
        </w:rPr>
        <w:t xml:space="preserve"> </w:t>
      </w:r>
      <w:r>
        <w:t>y</w:t>
      </w:r>
      <w:r>
        <w:rPr>
          <w:spacing w:val="-12"/>
        </w:rPr>
        <w:t xml:space="preserve"> </w:t>
      </w:r>
      <w:r>
        <w:t>los</w:t>
      </w:r>
      <w:r>
        <w:rPr>
          <w:spacing w:val="-12"/>
        </w:rPr>
        <w:t xml:space="preserve"> </w:t>
      </w:r>
      <w:r>
        <w:t>derechos</w:t>
      </w:r>
      <w:r>
        <w:rPr>
          <w:spacing w:val="-12"/>
        </w:rPr>
        <w:t xml:space="preserve"> </w:t>
      </w:r>
      <w:r>
        <w:t>humanos</w:t>
      </w:r>
      <w:r>
        <w:rPr>
          <w:spacing w:val="-12"/>
        </w:rPr>
        <w:t xml:space="preserve"> </w:t>
      </w:r>
      <w:r>
        <w:t>que</w:t>
      </w:r>
      <w:r>
        <w:rPr>
          <w:spacing w:val="-11"/>
        </w:rPr>
        <w:t xml:space="preserve"> </w:t>
      </w:r>
      <w:r>
        <w:t>garantizan</w:t>
      </w:r>
      <w:r>
        <w:rPr>
          <w:spacing w:val="-10"/>
        </w:rPr>
        <w:t xml:space="preserve"> </w:t>
      </w:r>
      <w:r>
        <w:t>a</w:t>
      </w:r>
      <w:r>
        <w:rPr>
          <w:spacing w:val="-12"/>
        </w:rPr>
        <w:t xml:space="preserve"> </w:t>
      </w:r>
      <w:r>
        <w:t>la</w:t>
      </w:r>
      <w:r>
        <w:rPr>
          <w:spacing w:val="-13"/>
        </w:rPr>
        <w:t xml:space="preserve"> </w:t>
      </w:r>
      <w:r>
        <w:t>población colombiana. Cabe resaltar que, con el ánimo de comparar las funciones legales de cada Ministerio, se observaron los instrumentos jurídicos de su creación y se analizaron de manera comparativa las primeras diez (10) funciones de cada cartera.</w:t>
      </w:r>
    </w:p>
    <w:p w14:paraId="5B8897F9" w14:textId="77777777" w:rsidR="000E52B0" w:rsidRDefault="00F60D74">
      <w:pPr>
        <w:pStyle w:val="Ttulo2"/>
        <w:spacing w:before="159"/>
        <w:ind w:right="724"/>
      </w:pPr>
      <w:bookmarkStart w:id="200" w:name="_bookmark200"/>
      <w:bookmarkEnd w:id="200"/>
      <w:r>
        <w:rPr>
          <w:color w:val="B3176C"/>
        </w:rPr>
        <w:t>Diferencias entre los ministerios existentes con anterioridad a la Ley 2281 de 2023</w:t>
      </w:r>
    </w:p>
    <w:p w14:paraId="223B061F" w14:textId="77777777" w:rsidR="000E52B0" w:rsidRDefault="000E52B0">
      <w:pPr>
        <w:pStyle w:val="Textoindependiente"/>
        <w:spacing w:before="209"/>
        <w:ind w:left="0"/>
        <w:rPr>
          <w:sz w:val="20"/>
        </w:rPr>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6"/>
        <w:gridCol w:w="1601"/>
        <w:gridCol w:w="2647"/>
        <w:gridCol w:w="1985"/>
        <w:gridCol w:w="1337"/>
      </w:tblGrid>
      <w:tr w:rsidR="000E52B0" w14:paraId="1206BA30" w14:textId="77777777">
        <w:trPr>
          <w:trHeight w:val="875"/>
        </w:trPr>
        <w:tc>
          <w:tcPr>
            <w:tcW w:w="1416" w:type="dxa"/>
            <w:tcBorders>
              <w:bottom w:val="single" w:sz="4" w:space="0" w:color="000000"/>
              <w:right w:val="single" w:sz="4" w:space="0" w:color="000000"/>
            </w:tcBorders>
            <w:shd w:val="clear" w:color="auto" w:fill="D44673"/>
          </w:tcPr>
          <w:p w14:paraId="4D66A4DC" w14:textId="77777777" w:rsidR="000E52B0" w:rsidRDefault="000E52B0">
            <w:pPr>
              <w:pStyle w:val="TableParagraph"/>
              <w:spacing w:before="108"/>
              <w:rPr>
                <w:sz w:val="18"/>
              </w:rPr>
            </w:pPr>
          </w:p>
          <w:p w14:paraId="75CF5E57" w14:textId="77777777" w:rsidR="000E52B0" w:rsidRDefault="00F60D74">
            <w:pPr>
              <w:pStyle w:val="TableParagraph"/>
              <w:ind w:left="206"/>
              <w:rPr>
                <w:b/>
                <w:sz w:val="18"/>
              </w:rPr>
            </w:pPr>
            <w:r>
              <w:rPr>
                <w:b/>
                <w:color w:val="FFFFFF"/>
                <w:spacing w:val="-2"/>
                <w:sz w:val="18"/>
              </w:rPr>
              <w:t>Ministerio</w:t>
            </w:r>
          </w:p>
        </w:tc>
        <w:tc>
          <w:tcPr>
            <w:tcW w:w="1601" w:type="dxa"/>
            <w:tcBorders>
              <w:left w:val="single" w:sz="4" w:space="0" w:color="000000"/>
              <w:bottom w:val="single" w:sz="4" w:space="0" w:color="000000"/>
              <w:right w:val="single" w:sz="4" w:space="0" w:color="000000"/>
            </w:tcBorders>
            <w:shd w:val="clear" w:color="auto" w:fill="D44673"/>
          </w:tcPr>
          <w:p w14:paraId="2F632851" w14:textId="77777777" w:rsidR="000E52B0" w:rsidRDefault="000E52B0">
            <w:pPr>
              <w:pStyle w:val="TableParagraph"/>
              <w:spacing w:before="108"/>
              <w:rPr>
                <w:sz w:val="18"/>
              </w:rPr>
            </w:pPr>
          </w:p>
          <w:p w14:paraId="0A0E76E2" w14:textId="77777777" w:rsidR="000E52B0" w:rsidRDefault="00F60D74">
            <w:pPr>
              <w:pStyle w:val="TableParagraph"/>
              <w:ind w:left="374"/>
              <w:rPr>
                <w:b/>
                <w:sz w:val="18"/>
              </w:rPr>
            </w:pPr>
            <w:r>
              <w:rPr>
                <w:b/>
                <w:color w:val="FFFFFF"/>
                <w:spacing w:val="-2"/>
                <w:sz w:val="18"/>
              </w:rPr>
              <w:t>Objetivo</w:t>
            </w:r>
          </w:p>
        </w:tc>
        <w:tc>
          <w:tcPr>
            <w:tcW w:w="2647" w:type="dxa"/>
            <w:tcBorders>
              <w:left w:val="single" w:sz="4" w:space="0" w:color="000000"/>
              <w:bottom w:val="single" w:sz="4" w:space="0" w:color="000000"/>
              <w:right w:val="single" w:sz="4" w:space="0" w:color="000000"/>
            </w:tcBorders>
            <w:shd w:val="clear" w:color="auto" w:fill="D44673"/>
          </w:tcPr>
          <w:p w14:paraId="67F36C34" w14:textId="77777777" w:rsidR="000E52B0" w:rsidRDefault="000E52B0">
            <w:pPr>
              <w:pStyle w:val="TableParagraph"/>
              <w:spacing w:before="108"/>
              <w:rPr>
                <w:sz w:val="18"/>
              </w:rPr>
            </w:pPr>
          </w:p>
          <w:p w14:paraId="008AF843" w14:textId="77777777" w:rsidR="000E52B0" w:rsidRDefault="00F60D74">
            <w:pPr>
              <w:pStyle w:val="TableParagraph"/>
              <w:ind w:left="813"/>
              <w:rPr>
                <w:b/>
                <w:sz w:val="18"/>
              </w:rPr>
            </w:pPr>
            <w:r>
              <w:rPr>
                <w:b/>
                <w:color w:val="FFFFFF"/>
                <w:spacing w:val="-2"/>
                <w:sz w:val="18"/>
              </w:rPr>
              <w:t>Funciones</w:t>
            </w:r>
          </w:p>
        </w:tc>
        <w:tc>
          <w:tcPr>
            <w:tcW w:w="1985" w:type="dxa"/>
            <w:tcBorders>
              <w:left w:val="single" w:sz="4" w:space="0" w:color="000000"/>
              <w:bottom w:val="single" w:sz="4" w:space="0" w:color="000000"/>
              <w:right w:val="single" w:sz="4" w:space="0" w:color="000000"/>
            </w:tcBorders>
            <w:shd w:val="clear" w:color="auto" w:fill="D44673"/>
          </w:tcPr>
          <w:p w14:paraId="6E62CEFF" w14:textId="77777777" w:rsidR="000E52B0" w:rsidRDefault="00F60D74">
            <w:pPr>
              <w:pStyle w:val="TableParagraph"/>
              <w:spacing w:line="218" w:lineRule="exact"/>
              <w:ind w:left="118" w:right="105" w:firstLine="1"/>
              <w:jc w:val="center"/>
              <w:rPr>
                <w:b/>
                <w:sz w:val="18"/>
              </w:rPr>
            </w:pPr>
            <w:r>
              <w:rPr>
                <w:b/>
                <w:color w:val="FFFFFF"/>
                <w:sz w:val="18"/>
              </w:rPr>
              <w:t>Derecho</w:t>
            </w:r>
            <w:r>
              <w:rPr>
                <w:b/>
                <w:color w:val="FFFFFF"/>
                <w:spacing w:val="-16"/>
                <w:sz w:val="18"/>
              </w:rPr>
              <w:t xml:space="preserve"> </w:t>
            </w:r>
            <w:r>
              <w:rPr>
                <w:b/>
                <w:color w:val="FFFFFF"/>
                <w:sz w:val="18"/>
              </w:rPr>
              <w:t>Humano o</w:t>
            </w:r>
            <w:r>
              <w:rPr>
                <w:b/>
                <w:color w:val="FFFFFF"/>
                <w:spacing w:val="-12"/>
                <w:sz w:val="18"/>
              </w:rPr>
              <w:t xml:space="preserve"> </w:t>
            </w:r>
            <w:r>
              <w:rPr>
                <w:b/>
                <w:color w:val="FFFFFF"/>
                <w:sz w:val="18"/>
              </w:rPr>
              <w:t>Fin</w:t>
            </w:r>
            <w:r>
              <w:rPr>
                <w:b/>
                <w:color w:val="FFFFFF"/>
                <w:spacing w:val="-14"/>
                <w:sz w:val="18"/>
              </w:rPr>
              <w:t xml:space="preserve"> </w:t>
            </w:r>
            <w:r>
              <w:rPr>
                <w:b/>
                <w:color w:val="FFFFFF"/>
                <w:sz w:val="18"/>
              </w:rPr>
              <w:t>Esencial</w:t>
            </w:r>
            <w:r>
              <w:rPr>
                <w:b/>
                <w:color w:val="FFFFFF"/>
                <w:spacing w:val="-12"/>
                <w:sz w:val="18"/>
              </w:rPr>
              <w:t xml:space="preserve"> </w:t>
            </w:r>
            <w:r>
              <w:rPr>
                <w:b/>
                <w:color w:val="FFFFFF"/>
                <w:sz w:val="18"/>
              </w:rPr>
              <w:t xml:space="preserve">del Estado al que </w:t>
            </w:r>
            <w:r>
              <w:rPr>
                <w:b/>
                <w:color w:val="FFFFFF"/>
                <w:spacing w:val="-2"/>
                <w:sz w:val="18"/>
              </w:rPr>
              <w:t>responde.</w:t>
            </w:r>
          </w:p>
        </w:tc>
        <w:tc>
          <w:tcPr>
            <w:tcW w:w="1337" w:type="dxa"/>
            <w:tcBorders>
              <w:left w:val="single" w:sz="4" w:space="0" w:color="000000"/>
              <w:bottom w:val="single" w:sz="4" w:space="0" w:color="000000"/>
            </w:tcBorders>
            <w:shd w:val="clear" w:color="auto" w:fill="D44673"/>
          </w:tcPr>
          <w:p w14:paraId="5FABF05E" w14:textId="77777777" w:rsidR="000E52B0" w:rsidRDefault="000E52B0">
            <w:pPr>
              <w:pStyle w:val="TableParagraph"/>
              <w:rPr>
                <w:sz w:val="18"/>
              </w:rPr>
            </w:pPr>
          </w:p>
          <w:p w14:paraId="62312289" w14:textId="77777777" w:rsidR="000E52B0" w:rsidRDefault="00F60D74">
            <w:pPr>
              <w:pStyle w:val="TableParagraph"/>
              <w:ind w:left="579" w:right="91" w:hanging="473"/>
              <w:rPr>
                <w:b/>
                <w:sz w:val="18"/>
              </w:rPr>
            </w:pPr>
            <w:proofErr w:type="spellStart"/>
            <w:r>
              <w:rPr>
                <w:b/>
                <w:color w:val="FFFFFF"/>
                <w:spacing w:val="-2"/>
                <w:sz w:val="18"/>
              </w:rPr>
              <w:t>Competenc</w:t>
            </w:r>
            <w:proofErr w:type="spellEnd"/>
            <w:r>
              <w:rPr>
                <w:b/>
                <w:color w:val="FFFFFF"/>
                <w:spacing w:val="-2"/>
                <w:sz w:val="18"/>
              </w:rPr>
              <w:t xml:space="preserve"> </w:t>
            </w:r>
            <w:proofErr w:type="spellStart"/>
            <w:r>
              <w:rPr>
                <w:b/>
                <w:color w:val="FFFFFF"/>
                <w:spacing w:val="-6"/>
                <w:sz w:val="18"/>
              </w:rPr>
              <w:t>ia</w:t>
            </w:r>
            <w:proofErr w:type="spellEnd"/>
          </w:p>
        </w:tc>
      </w:tr>
      <w:tr w:rsidR="000E52B0" w14:paraId="67802B56" w14:textId="77777777">
        <w:trPr>
          <w:trHeight w:val="7925"/>
        </w:trPr>
        <w:tc>
          <w:tcPr>
            <w:tcW w:w="1416" w:type="dxa"/>
            <w:tcBorders>
              <w:top w:val="single" w:sz="4" w:space="0" w:color="000000"/>
              <w:right w:val="single" w:sz="4" w:space="0" w:color="000000"/>
            </w:tcBorders>
          </w:tcPr>
          <w:p w14:paraId="272183CE" w14:textId="77777777" w:rsidR="000E52B0" w:rsidRDefault="00F60D74">
            <w:pPr>
              <w:pStyle w:val="TableParagraph"/>
              <w:ind w:left="90" w:right="88"/>
              <w:rPr>
                <w:sz w:val="18"/>
              </w:rPr>
            </w:pPr>
            <w:r>
              <w:rPr>
                <w:spacing w:val="-2"/>
                <w:sz w:val="18"/>
              </w:rPr>
              <w:t xml:space="preserve">MINISTERIO </w:t>
            </w:r>
            <w:r>
              <w:rPr>
                <w:spacing w:val="-6"/>
                <w:sz w:val="18"/>
              </w:rPr>
              <w:t>DE</w:t>
            </w:r>
            <w:r>
              <w:rPr>
                <w:spacing w:val="40"/>
                <w:sz w:val="18"/>
              </w:rPr>
              <w:t xml:space="preserve"> </w:t>
            </w:r>
            <w:r>
              <w:rPr>
                <w:sz w:val="18"/>
              </w:rPr>
              <w:t>IGUALDAD</w:t>
            </w:r>
            <w:r>
              <w:rPr>
                <w:spacing w:val="40"/>
                <w:sz w:val="18"/>
              </w:rPr>
              <w:t xml:space="preserve"> </w:t>
            </w:r>
            <w:r>
              <w:rPr>
                <w:sz w:val="18"/>
              </w:rPr>
              <w:t xml:space="preserve">Y </w:t>
            </w:r>
            <w:r>
              <w:rPr>
                <w:spacing w:val="-2"/>
                <w:sz w:val="18"/>
              </w:rPr>
              <w:t>EQUIDAD.</w:t>
            </w:r>
          </w:p>
          <w:p w14:paraId="4BCA2A6F" w14:textId="77777777" w:rsidR="000E52B0" w:rsidRDefault="00F60D74">
            <w:pPr>
              <w:pStyle w:val="TableParagraph"/>
              <w:spacing w:before="218"/>
              <w:ind w:left="90"/>
              <w:rPr>
                <w:sz w:val="18"/>
              </w:rPr>
            </w:pPr>
            <w:r>
              <w:rPr>
                <w:sz w:val="18"/>
              </w:rPr>
              <w:t>Ley</w:t>
            </w:r>
            <w:r>
              <w:rPr>
                <w:spacing w:val="57"/>
                <w:sz w:val="18"/>
              </w:rPr>
              <w:t xml:space="preserve"> </w:t>
            </w:r>
            <w:r>
              <w:rPr>
                <w:sz w:val="18"/>
              </w:rPr>
              <w:t>2281</w:t>
            </w:r>
            <w:r>
              <w:rPr>
                <w:spacing w:val="56"/>
                <w:sz w:val="18"/>
              </w:rPr>
              <w:t xml:space="preserve"> </w:t>
            </w:r>
            <w:r>
              <w:rPr>
                <w:spacing w:val="-5"/>
                <w:sz w:val="18"/>
              </w:rPr>
              <w:t>de</w:t>
            </w:r>
          </w:p>
          <w:p w14:paraId="25CAD1CC" w14:textId="77777777" w:rsidR="000E52B0" w:rsidRDefault="00F60D74">
            <w:pPr>
              <w:pStyle w:val="TableParagraph"/>
              <w:spacing w:line="219" w:lineRule="exact"/>
              <w:ind w:left="90"/>
              <w:rPr>
                <w:sz w:val="18"/>
              </w:rPr>
            </w:pPr>
            <w:r>
              <w:rPr>
                <w:spacing w:val="-2"/>
                <w:sz w:val="18"/>
              </w:rPr>
              <w:t>2023,</w:t>
            </w:r>
          </w:p>
          <w:p w14:paraId="70DF410B" w14:textId="77777777" w:rsidR="000E52B0" w:rsidRDefault="00F60D74">
            <w:pPr>
              <w:pStyle w:val="TableParagraph"/>
              <w:spacing w:line="218" w:lineRule="exact"/>
              <w:ind w:left="90"/>
              <w:rPr>
                <w:sz w:val="18"/>
              </w:rPr>
            </w:pPr>
            <w:r>
              <w:rPr>
                <w:sz w:val="18"/>
              </w:rPr>
              <w:t>Decreto</w:t>
            </w:r>
            <w:r>
              <w:rPr>
                <w:spacing w:val="8"/>
                <w:sz w:val="18"/>
              </w:rPr>
              <w:t xml:space="preserve"> </w:t>
            </w:r>
            <w:r>
              <w:rPr>
                <w:spacing w:val="-4"/>
                <w:sz w:val="18"/>
              </w:rPr>
              <w:t>1075</w:t>
            </w:r>
          </w:p>
          <w:p w14:paraId="3FCF3D34" w14:textId="77777777" w:rsidR="000E52B0" w:rsidRDefault="00F60D74">
            <w:pPr>
              <w:pStyle w:val="TableParagraph"/>
              <w:ind w:left="90"/>
              <w:rPr>
                <w:sz w:val="18"/>
              </w:rPr>
            </w:pPr>
            <w:r>
              <w:rPr>
                <w:sz w:val="18"/>
              </w:rPr>
              <w:t>de</w:t>
            </w:r>
            <w:r>
              <w:rPr>
                <w:spacing w:val="-1"/>
                <w:sz w:val="18"/>
              </w:rPr>
              <w:t xml:space="preserve"> </w:t>
            </w:r>
            <w:r>
              <w:rPr>
                <w:spacing w:val="-4"/>
                <w:sz w:val="18"/>
              </w:rPr>
              <w:t>2023</w:t>
            </w:r>
          </w:p>
        </w:tc>
        <w:tc>
          <w:tcPr>
            <w:tcW w:w="1601" w:type="dxa"/>
            <w:tcBorders>
              <w:top w:val="single" w:sz="4" w:space="0" w:color="000000"/>
              <w:left w:val="single" w:sz="4" w:space="0" w:color="000000"/>
              <w:right w:val="single" w:sz="4" w:space="0" w:color="000000"/>
            </w:tcBorders>
          </w:tcPr>
          <w:p w14:paraId="0C6BD7A0" w14:textId="77777777" w:rsidR="000E52B0" w:rsidRDefault="00F60D74">
            <w:pPr>
              <w:pStyle w:val="TableParagraph"/>
              <w:tabs>
                <w:tab w:val="left" w:pos="1107"/>
                <w:tab w:val="left" w:pos="1260"/>
                <w:tab w:val="left" w:pos="1354"/>
                <w:tab w:val="left" w:pos="1404"/>
              </w:tabs>
              <w:ind w:left="93" w:right="74"/>
              <w:rPr>
                <w:sz w:val="18"/>
              </w:rPr>
            </w:pPr>
            <w:r>
              <w:rPr>
                <w:spacing w:val="-2"/>
                <w:sz w:val="18"/>
              </w:rPr>
              <w:t xml:space="preserve">diseñar, formular, </w:t>
            </w:r>
            <w:r>
              <w:rPr>
                <w:sz w:val="18"/>
              </w:rPr>
              <w:t>adoptar,</w:t>
            </w:r>
            <w:r>
              <w:rPr>
                <w:spacing w:val="-16"/>
                <w:sz w:val="18"/>
              </w:rPr>
              <w:t xml:space="preserve"> </w:t>
            </w:r>
            <w:r>
              <w:rPr>
                <w:sz w:val="18"/>
              </w:rPr>
              <w:t xml:space="preserve">dirigir, </w:t>
            </w:r>
            <w:r>
              <w:rPr>
                <w:spacing w:val="-2"/>
                <w:sz w:val="18"/>
              </w:rPr>
              <w:t>coordinar</w:t>
            </w:r>
            <w:r>
              <w:rPr>
                <w:b/>
                <w:spacing w:val="-2"/>
                <w:sz w:val="18"/>
              </w:rPr>
              <w:t xml:space="preserve">, </w:t>
            </w:r>
            <w:r>
              <w:rPr>
                <w:b/>
                <w:spacing w:val="-2"/>
                <w:sz w:val="20"/>
              </w:rPr>
              <w:t>articular</w:t>
            </w:r>
            <w:r>
              <w:rPr>
                <w:b/>
                <w:spacing w:val="-2"/>
                <w:sz w:val="18"/>
              </w:rPr>
              <w:t xml:space="preserve">, </w:t>
            </w:r>
            <w:r>
              <w:rPr>
                <w:spacing w:val="-2"/>
                <w:sz w:val="18"/>
              </w:rPr>
              <w:t xml:space="preserve">ejecutar </w:t>
            </w:r>
            <w:r>
              <w:rPr>
                <w:b/>
                <w:spacing w:val="-2"/>
                <w:sz w:val="20"/>
              </w:rPr>
              <w:t>fortalecer</w:t>
            </w:r>
            <w:r>
              <w:rPr>
                <w:b/>
                <w:sz w:val="20"/>
              </w:rPr>
              <w:tab/>
            </w:r>
            <w:r>
              <w:rPr>
                <w:b/>
                <w:sz w:val="20"/>
              </w:rPr>
              <w:tab/>
            </w:r>
            <w:r>
              <w:rPr>
                <w:b/>
                <w:sz w:val="20"/>
              </w:rPr>
              <w:tab/>
            </w:r>
            <w:r>
              <w:rPr>
                <w:spacing w:val="-10"/>
                <w:sz w:val="18"/>
              </w:rPr>
              <w:t xml:space="preserve">y </w:t>
            </w:r>
            <w:r>
              <w:rPr>
                <w:spacing w:val="-2"/>
                <w:sz w:val="18"/>
              </w:rPr>
              <w:t>evaluar</w:t>
            </w:r>
            <w:r>
              <w:rPr>
                <w:sz w:val="18"/>
              </w:rPr>
              <w:tab/>
            </w:r>
            <w:r>
              <w:rPr>
                <w:sz w:val="18"/>
              </w:rPr>
              <w:tab/>
            </w:r>
            <w:r>
              <w:rPr>
                <w:spacing w:val="-4"/>
                <w:sz w:val="18"/>
              </w:rPr>
              <w:t xml:space="preserve">las </w:t>
            </w:r>
            <w:r>
              <w:rPr>
                <w:spacing w:val="-2"/>
                <w:sz w:val="18"/>
              </w:rPr>
              <w:t>políticas, planes, programas, estrategias, proyectos</w:t>
            </w:r>
            <w:r>
              <w:rPr>
                <w:sz w:val="18"/>
              </w:rPr>
              <w:tab/>
            </w:r>
            <w:r>
              <w:rPr>
                <w:sz w:val="18"/>
              </w:rPr>
              <w:tab/>
            </w:r>
            <w:r>
              <w:rPr>
                <w:sz w:val="18"/>
              </w:rPr>
              <w:tab/>
            </w:r>
            <w:r>
              <w:rPr>
                <w:sz w:val="18"/>
              </w:rPr>
              <w:tab/>
            </w:r>
            <w:r>
              <w:rPr>
                <w:spacing w:val="-63"/>
                <w:sz w:val="18"/>
              </w:rPr>
              <w:t xml:space="preserve"> </w:t>
            </w:r>
            <w:r>
              <w:rPr>
                <w:spacing w:val="-10"/>
                <w:sz w:val="18"/>
              </w:rPr>
              <w:t xml:space="preserve">y </w:t>
            </w:r>
            <w:r>
              <w:rPr>
                <w:spacing w:val="-2"/>
                <w:sz w:val="18"/>
              </w:rPr>
              <w:t>medidas</w:t>
            </w:r>
            <w:r>
              <w:rPr>
                <w:sz w:val="18"/>
              </w:rPr>
              <w:tab/>
            </w:r>
            <w:r>
              <w:rPr>
                <w:spacing w:val="-4"/>
                <w:sz w:val="18"/>
              </w:rPr>
              <w:t xml:space="preserve">para </w:t>
            </w:r>
            <w:r>
              <w:rPr>
                <w:sz w:val="18"/>
              </w:rPr>
              <w:t>contribuir en la eliminación</w:t>
            </w:r>
            <w:r>
              <w:rPr>
                <w:spacing w:val="80"/>
                <w:sz w:val="18"/>
              </w:rPr>
              <w:t xml:space="preserve"> </w:t>
            </w:r>
            <w:r>
              <w:rPr>
                <w:sz w:val="18"/>
              </w:rPr>
              <w:t xml:space="preserve">de </w:t>
            </w:r>
            <w:r>
              <w:rPr>
                <w:spacing w:val="-4"/>
                <w:sz w:val="18"/>
              </w:rPr>
              <w:t xml:space="preserve">las </w:t>
            </w:r>
            <w:r>
              <w:rPr>
                <w:spacing w:val="-2"/>
                <w:sz w:val="18"/>
              </w:rPr>
              <w:t>desigualdades económicas, políticas</w:t>
            </w:r>
            <w:r>
              <w:rPr>
                <w:sz w:val="18"/>
              </w:rPr>
              <w:tab/>
            </w:r>
            <w:r>
              <w:rPr>
                <w:sz w:val="18"/>
              </w:rPr>
              <w:tab/>
            </w:r>
            <w:r>
              <w:rPr>
                <w:sz w:val="18"/>
              </w:rPr>
              <w:tab/>
            </w:r>
            <w:r>
              <w:rPr>
                <w:sz w:val="18"/>
              </w:rPr>
              <w:tab/>
            </w:r>
            <w:r>
              <w:rPr>
                <w:spacing w:val="-61"/>
                <w:sz w:val="18"/>
              </w:rPr>
              <w:t xml:space="preserve"> </w:t>
            </w:r>
            <w:r>
              <w:rPr>
                <w:spacing w:val="-8"/>
                <w:sz w:val="18"/>
              </w:rPr>
              <w:t xml:space="preserve">y </w:t>
            </w:r>
            <w:r>
              <w:rPr>
                <w:spacing w:val="-2"/>
                <w:sz w:val="18"/>
              </w:rPr>
              <w:t>sociales; impulsar</w:t>
            </w:r>
            <w:r>
              <w:rPr>
                <w:sz w:val="18"/>
              </w:rPr>
              <w:tab/>
            </w:r>
            <w:r>
              <w:rPr>
                <w:sz w:val="18"/>
              </w:rPr>
              <w:tab/>
            </w:r>
            <w:r>
              <w:rPr>
                <w:sz w:val="18"/>
              </w:rPr>
              <w:tab/>
            </w:r>
            <w:r>
              <w:rPr>
                <w:spacing w:val="-5"/>
                <w:sz w:val="18"/>
              </w:rPr>
              <w:t>el</w:t>
            </w:r>
          </w:p>
          <w:p w14:paraId="203BBF89" w14:textId="77777777" w:rsidR="000E52B0" w:rsidRDefault="00F60D74">
            <w:pPr>
              <w:pStyle w:val="TableParagraph"/>
              <w:tabs>
                <w:tab w:val="left" w:pos="1244"/>
              </w:tabs>
              <w:spacing w:before="1" w:line="219" w:lineRule="exact"/>
              <w:ind w:left="93"/>
              <w:rPr>
                <w:sz w:val="18"/>
              </w:rPr>
            </w:pPr>
            <w:r>
              <w:rPr>
                <w:spacing w:val="-4"/>
                <w:sz w:val="18"/>
              </w:rPr>
              <w:t>goce</w:t>
            </w:r>
            <w:r>
              <w:rPr>
                <w:sz w:val="18"/>
              </w:rPr>
              <w:tab/>
            </w:r>
            <w:r>
              <w:rPr>
                <w:spacing w:val="-5"/>
                <w:sz w:val="18"/>
              </w:rPr>
              <w:t>del</w:t>
            </w:r>
          </w:p>
          <w:p w14:paraId="2F2FBD44" w14:textId="77777777" w:rsidR="000E52B0" w:rsidRDefault="00F60D74">
            <w:pPr>
              <w:pStyle w:val="TableParagraph"/>
              <w:tabs>
                <w:tab w:val="left" w:pos="1030"/>
                <w:tab w:val="left" w:pos="1259"/>
                <w:tab w:val="left" w:pos="1354"/>
              </w:tabs>
              <w:ind w:left="93" w:right="75"/>
              <w:rPr>
                <w:sz w:val="18"/>
              </w:rPr>
            </w:pPr>
            <w:r>
              <w:rPr>
                <w:spacing w:val="-2"/>
                <w:sz w:val="18"/>
              </w:rPr>
              <w:t>derecho</w:t>
            </w:r>
            <w:r>
              <w:rPr>
                <w:sz w:val="18"/>
              </w:rPr>
              <w:tab/>
            </w:r>
            <w:r>
              <w:rPr>
                <w:spacing w:val="-10"/>
                <w:sz w:val="18"/>
              </w:rPr>
              <w:t>a</w:t>
            </w:r>
            <w:r>
              <w:rPr>
                <w:sz w:val="18"/>
              </w:rPr>
              <w:tab/>
            </w:r>
            <w:r>
              <w:rPr>
                <w:sz w:val="18"/>
              </w:rPr>
              <w:tab/>
            </w:r>
            <w:r>
              <w:rPr>
                <w:spacing w:val="-6"/>
                <w:sz w:val="18"/>
              </w:rPr>
              <w:t xml:space="preserve">la </w:t>
            </w:r>
            <w:r>
              <w:rPr>
                <w:spacing w:val="-2"/>
                <w:sz w:val="18"/>
              </w:rPr>
              <w:t>igualdad;</w:t>
            </w:r>
            <w:r>
              <w:rPr>
                <w:sz w:val="18"/>
              </w:rPr>
              <w:tab/>
            </w:r>
            <w:r>
              <w:rPr>
                <w:sz w:val="18"/>
              </w:rPr>
              <w:tab/>
            </w:r>
            <w:r>
              <w:rPr>
                <w:sz w:val="18"/>
              </w:rPr>
              <w:tab/>
            </w:r>
            <w:r>
              <w:rPr>
                <w:spacing w:val="-61"/>
                <w:sz w:val="18"/>
              </w:rPr>
              <w:t xml:space="preserve"> </w:t>
            </w:r>
            <w:r>
              <w:rPr>
                <w:spacing w:val="-4"/>
                <w:sz w:val="18"/>
              </w:rPr>
              <w:t xml:space="preserve">el </w:t>
            </w:r>
            <w:r>
              <w:rPr>
                <w:spacing w:val="-2"/>
                <w:sz w:val="18"/>
              </w:rPr>
              <w:t xml:space="preserve">cumplimiento </w:t>
            </w:r>
            <w:r>
              <w:rPr>
                <w:spacing w:val="-5"/>
                <w:sz w:val="18"/>
              </w:rPr>
              <w:t>de</w:t>
            </w:r>
            <w:r>
              <w:rPr>
                <w:sz w:val="18"/>
              </w:rPr>
              <w:tab/>
            </w:r>
            <w:r>
              <w:rPr>
                <w:sz w:val="18"/>
              </w:rPr>
              <w:tab/>
            </w:r>
            <w:r>
              <w:rPr>
                <w:spacing w:val="-5"/>
                <w:sz w:val="18"/>
              </w:rPr>
              <w:t>los</w:t>
            </w:r>
          </w:p>
          <w:p w14:paraId="557CB304" w14:textId="77777777" w:rsidR="000E52B0" w:rsidRDefault="00F60D74">
            <w:pPr>
              <w:pStyle w:val="TableParagraph"/>
              <w:tabs>
                <w:tab w:val="left" w:pos="1288"/>
              </w:tabs>
              <w:ind w:left="93" w:right="75"/>
              <w:rPr>
                <w:sz w:val="18"/>
              </w:rPr>
            </w:pPr>
            <w:r>
              <w:rPr>
                <w:sz w:val="18"/>
              </w:rPr>
              <w:t>principios</w:t>
            </w:r>
            <w:r>
              <w:rPr>
                <w:spacing w:val="-16"/>
                <w:sz w:val="18"/>
              </w:rPr>
              <w:t xml:space="preserve"> </w:t>
            </w:r>
            <w:r>
              <w:rPr>
                <w:sz w:val="18"/>
              </w:rPr>
              <w:t>de</w:t>
            </w:r>
            <w:r>
              <w:rPr>
                <w:spacing w:val="-16"/>
                <w:sz w:val="18"/>
              </w:rPr>
              <w:t xml:space="preserve"> </w:t>
            </w:r>
            <w:r>
              <w:rPr>
                <w:sz w:val="18"/>
              </w:rPr>
              <w:t xml:space="preserve">no </w:t>
            </w:r>
            <w:r>
              <w:rPr>
                <w:spacing w:val="-2"/>
                <w:sz w:val="18"/>
              </w:rPr>
              <w:t>discriminación</w:t>
            </w:r>
            <w:r>
              <w:rPr>
                <w:spacing w:val="80"/>
                <w:sz w:val="18"/>
              </w:rPr>
              <w:t xml:space="preserve"> </w:t>
            </w:r>
            <w:r>
              <w:rPr>
                <w:spacing w:val="-10"/>
                <w:sz w:val="18"/>
              </w:rPr>
              <w:t>y</w:t>
            </w:r>
            <w:r>
              <w:rPr>
                <w:sz w:val="18"/>
              </w:rPr>
              <w:tab/>
            </w:r>
            <w:r>
              <w:rPr>
                <w:spacing w:val="-5"/>
                <w:sz w:val="18"/>
              </w:rPr>
              <w:t>no</w:t>
            </w:r>
          </w:p>
          <w:p w14:paraId="2BEC8E13" w14:textId="77777777" w:rsidR="000E52B0" w:rsidRDefault="00F60D74">
            <w:pPr>
              <w:pStyle w:val="TableParagraph"/>
              <w:tabs>
                <w:tab w:val="left" w:pos="1292"/>
              </w:tabs>
              <w:ind w:left="93" w:right="75"/>
              <w:rPr>
                <w:sz w:val="18"/>
              </w:rPr>
            </w:pPr>
            <w:r>
              <w:rPr>
                <w:sz w:val="18"/>
              </w:rPr>
              <w:t>regresividad;</w:t>
            </w:r>
            <w:r>
              <w:rPr>
                <w:spacing w:val="-16"/>
                <w:sz w:val="18"/>
              </w:rPr>
              <w:t xml:space="preserve"> </w:t>
            </w:r>
            <w:r>
              <w:rPr>
                <w:sz w:val="18"/>
              </w:rPr>
              <w:t>la defensa</w:t>
            </w:r>
            <w:r>
              <w:rPr>
                <w:spacing w:val="39"/>
                <w:sz w:val="18"/>
              </w:rPr>
              <w:t xml:space="preserve"> </w:t>
            </w:r>
            <w:r>
              <w:rPr>
                <w:sz w:val="18"/>
              </w:rPr>
              <w:t>de</w:t>
            </w:r>
            <w:r>
              <w:rPr>
                <w:spacing w:val="39"/>
                <w:sz w:val="18"/>
              </w:rPr>
              <w:t xml:space="preserve"> </w:t>
            </w:r>
            <w:r>
              <w:rPr>
                <w:sz w:val="18"/>
              </w:rPr>
              <w:t xml:space="preserve">los </w:t>
            </w:r>
            <w:r>
              <w:rPr>
                <w:spacing w:val="-2"/>
                <w:sz w:val="18"/>
              </w:rPr>
              <w:t>sujetos</w:t>
            </w:r>
            <w:r>
              <w:rPr>
                <w:sz w:val="18"/>
              </w:rPr>
              <w:tab/>
            </w:r>
            <w:r>
              <w:rPr>
                <w:spacing w:val="-6"/>
                <w:sz w:val="18"/>
              </w:rPr>
              <w:t xml:space="preserve">de </w:t>
            </w:r>
            <w:r>
              <w:rPr>
                <w:spacing w:val="-2"/>
                <w:sz w:val="18"/>
              </w:rPr>
              <w:t>especial protección</w:t>
            </w:r>
          </w:p>
          <w:p w14:paraId="2D133EC7" w14:textId="77777777" w:rsidR="000E52B0" w:rsidRDefault="00F60D74">
            <w:pPr>
              <w:pStyle w:val="TableParagraph"/>
              <w:spacing w:line="199" w:lineRule="exact"/>
              <w:ind w:left="93"/>
              <w:rPr>
                <w:sz w:val="18"/>
              </w:rPr>
            </w:pPr>
            <w:r>
              <w:rPr>
                <w:spacing w:val="-2"/>
                <w:sz w:val="18"/>
              </w:rPr>
              <w:t>constitucional,</w:t>
            </w:r>
          </w:p>
        </w:tc>
        <w:tc>
          <w:tcPr>
            <w:tcW w:w="2647" w:type="dxa"/>
            <w:tcBorders>
              <w:top w:val="single" w:sz="4" w:space="0" w:color="000000"/>
              <w:left w:val="single" w:sz="4" w:space="0" w:color="000000"/>
              <w:right w:val="single" w:sz="4" w:space="0" w:color="000000"/>
            </w:tcBorders>
          </w:tcPr>
          <w:p w14:paraId="565C23E5" w14:textId="77777777" w:rsidR="000E52B0" w:rsidRDefault="00F60D74">
            <w:pPr>
              <w:pStyle w:val="TableParagraph"/>
              <w:tabs>
                <w:tab w:val="left" w:pos="1542"/>
              </w:tabs>
              <w:ind w:left="72" w:right="57"/>
              <w:jc w:val="both"/>
              <w:rPr>
                <w:sz w:val="18"/>
              </w:rPr>
            </w:pPr>
            <w:r>
              <w:rPr>
                <w:sz w:val="18"/>
              </w:rPr>
              <w:t xml:space="preserve">Formular, adoptar, dirigir, coordinar, ejecutar y articular las políticas, </w:t>
            </w:r>
            <w:r>
              <w:rPr>
                <w:spacing w:val="-2"/>
                <w:sz w:val="18"/>
              </w:rPr>
              <w:t>planes,</w:t>
            </w:r>
            <w:r>
              <w:rPr>
                <w:sz w:val="18"/>
              </w:rPr>
              <w:tab/>
            </w:r>
            <w:r>
              <w:rPr>
                <w:spacing w:val="-2"/>
                <w:sz w:val="18"/>
              </w:rPr>
              <w:t xml:space="preserve">programas, </w:t>
            </w:r>
            <w:r>
              <w:rPr>
                <w:sz w:val="18"/>
              </w:rPr>
              <w:t>estrategias, proyectos y medidas para el cumplimiento</w:t>
            </w:r>
            <w:r>
              <w:rPr>
                <w:spacing w:val="-16"/>
                <w:sz w:val="18"/>
              </w:rPr>
              <w:t xml:space="preserve"> </w:t>
            </w:r>
            <w:r>
              <w:rPr>
                <w:sz w:val="18"/>
              </w:rPr>
              <w:t>del</w:t>
            </w:r>
            <w:r>
              <w:rPr>
                <w:spacing w:val="-16"/>
                <w:sz w:val="18"/>
              </w:rPr>
              <w:t xml:space="preserve"> </w:t>
            </w:r>
            <w:r>
              <w:rPr>
                <w:sz w:val="18"/>
              </w:rPr>
              <w:t>objeto</w:t>
            </w:r>
            <w:r>
              <w:rPr>
                <w:spacing w:val="-16"/>
                <w:sz w:val="18"/>
              </w:rPr>
              <w:t xml:space="preserve"> </w:t>
            </w:r>
            <w:r>
              <w:rPr>
                <w:sz w:val="18"/>
              </w:rPr>
              <w:t xml:space="preserve">del Ministerio y ámbito de </w:t>
            </w:r>
            <w:r>
              <w:rPr>
                <w:spacing w:val="-2"/>
                <w:sz w:val="18"/>
              </w:rPr>
              <w:t>competencias.</w:t>
            </w:r>
          </w:p>
          <w:p w14:paraId="27D9EC99" w14:textId="77777777" w:rsidR="000E52B0" w:rsidRDefault="000E52B0">
            <w:pPr>
              <w:pStyle w:val="TableParagraph"/>
              <w:rPr>
                <w:sz w:val="18"/>
              </w:rPr>
            </w:pPr>
          </w:p>
          <w:p w14:paraId="6E566C57" w14:textId="77777777" w:rsidR="000E52B0" w:rsidRDefault="00F60D74">
            <w:pPr>
              <w:pStyle w:val="TableParagraph"/>
              <w:tabs>
                <w:tab w:val="left" w:pos="1527"/>
                <w:tab w:val="left" w:pos="2338"/>
              </w:tabs>
              <w:ind w:left="91" w:right="77"/>
              <w:jc w:val="both"/>
              <w:rPr>
                <w:sz w:val="18"/>
              </w:rPr>
            </w:pPr>
            <w:r>
              <w:rPr>
                <w:sz w:val="18"/>
              </w:rPr>
              <w:t xml:space="preserve">Adoptar y ejecutar planes, programas, estrategias y proyectos para definir, gestionar y focalizar acciones dirigidas a la eliminación de todas las violencias contra las mujeres, así como la eliminación de barreras económicas, sociales y </w:t>
            </w:r>
            <w:r>
              <w:rPr>
                <w:spacing w:val="-2"/>
                <w:sz w:val="18"/>
              </w:rPr>
              <w:t>políticas</w:t>
            </w:r>
            <w:r>
              <w:rPr>
                <w:sz w:val="18"/>
              </w:rPr>
              <w:tab/>
            </w:r>
            <w:r>
              <w:rPr>
                <w:spacing w:val="-10"/>
                <w:sz w:val="18"/>
              </w:rPr>
              <w:t>o</w:t>
            </w:r>
            <w:r>
              <w:rPr>
                <w:sz w:val="18"/>
              </w:rPr>
              <w:tab/>
            </w:r>
            <w:r>
              <w:rPr>
                <w:spacing w:val="-6"/>
                <w:sz w:val="18"/>
              </w:rPr>
              <w:t xml:space="preserve">de </w:t>
            </w:r>
            <w:r>
              <w:rPr>
                <w:sz w:val="18"/>
              </w:rPr>
              <w:t>discriminación</w:t>
            </w:r>
            <w:r>
              <w:rPr>
                <w:spacing w:val="-6"/>
                <w:sz w:val="18"/>
              </w:rPr>
              <w:t xml:space="preserve"> </w:t>
            </w:r>
            <w:r>
              <w:rPr>
                <w:sz w:val="18"/>
              </w:rPr>
              <w:t>contra</w:t>
            </w:r>
            <w:r>
              <w:rPr>
                <w:spacing w:val="-6"/>
                <w:sz w:val="18"/>
              </w:rPr>
              <w:t xml:space="preserve"> </w:t>
            </w:r>
            <w:r>
              <w:rPr>
                <w:spacing w:val="-2"/>
                <w:sz w:val="18"/>
              </w:rPr>
              <w:t>ellas.</w:t>
            </w:r>
          </w:p>
          <w:p w14:paraId="04873FBE" w14:textId="77777777" w:rsidR="000E52B0" w:rsidRDefault="000E52B0">
            <w:pPr>
              <w:pStyle w:val="TableParagraph"/>
              <w:spacing w:before="1"/>
              <w:rPr>
                <w:sz w:val="18"/>
              </w:rPr>
            </w:pPr>
          </w:p>
          <w:p w14:paraId="53A5127F" w14:textId="77777777" w:rsidR="000E52B0" w:rsidRDefault="00F60D74">
            <w:pPr>
              <w:pStyle w:val="TableParagraph"/>
              <w:tabs>
                <w:tab w:val="left" w:pos="1907"/>
              </w:tabs>
              <w:ind w:left="91" w:right="76"/>
              <w:jc w:val="both"/>
              <w:rPr>
                <w:sz w:val="18"/>
              </w:rPr>
            </w:pPr>
            <w:r>
              <w:rPr>
                <w:sz w:val="18"/>
              </w:rPr>
              <w:t xml:space="preserve">Formular, adoptar y </w:t>
            </w:r>
            <w:r>
              <w:rPr>
                <w:spacing w:val="-2"/>
                <w:sz w:val="18"/>
              </w:rPr>
              <w:t>ejecutar</w:t>
            </w:r>
            <w:r>
              <w:rPr>
                <w:sz w:val="18"/>
              </w:rPr>
              <w:tab/>
            </w:r>
            <w:r>
              <w:rPr>
                <w:spacing w:val="-2"/>
                <w:sz w:val="18"/>
              </w:rPr>
              <w:t xml:space="preserve">planes, </w:t>
            </w:r>
            <w:r>
              <w:rPr>
                <w:sz w:val="18"/>
              </w:rPr>
              <w:t>programas, estrategias</w:t>
            </w:r>
          </w:p>
          <w:p w14:paraId="7EC36DFF" w14:textId="77777777" w:rsidR="000E52B0" w:rsidRDefault="00F60D74">
            <w:pPr>
              <w:pStyle w:val="TableParagraph"/>
              <w:tabs>
                <w:tab w:val="left" w:pos="2454"/>
              </w:tabs>
              <w:ind w:left="799" w:right="74" w:hanging="708"/>
              <w:jc w:val="both"/>
              <w:rPr>
                <w:sz w:val="18"/>
              </w:rPr>
            </w:pPr>
            <w:r>
              <w:rPr>
                <w:sz w:val="18"/>
              </w:rPr>
              <w:t xml:space="preserve">y proyectos para definir, </w:t>
            </w:r>
            <w:r>
              <w:rPr>
                <w:spacing w:val="-2"/>
                <w:sz w:val="18"/>
              </w:rPr>
              <w:t>gestionar</w:t>
            </w:r>
            <w:r>
              <w:rPr>
                <w:sz w:val="18"/>
              </w:rPr>
              <w:tab/>
            </w:r>
            <w:r>
              <w:rPr>
                <w:spacing w:val="-10"/>
                <w:sz w:val="18"/>
              </w:rPr>
              <w:t xml:space="preserve">y </w:t>
            </w:r>
            <w:r>
              <w:rPr>
                <w:sz w:val="18"/>
              </w:rPr>
              <w:t xml:space="preserve">focalizar la oferta </w:t>
            </w:r>
            <w:r>
              <w:rPr>
                <w:spacing w:val="-2"/>
                <w:sz w:val="18"/>
              </w:rPr>
              <w:t>social</w:t>
            </w:r>
          </w:p>
          <w:p w14:paraId="2A5FC401" w14:textId="77777777" w:rsidR="000E52B0" w:rsidRDefault="00F60D74">
            <w:pPr>
              <w:pStyle w:val="TableParagraph"/>
              <w:tabs>
                <w:tab w:val="left" w:pos="1544"/>
              </w:tabs>
              <w:ind w:left="69" w:right="78" w:firstLine="21"/>
              <w:jc w:val="both"/>
              <w:rPr>
                <w:sz w:val="18"/>
              </w:rPr>
            </w:pPr>
            <w:r>
              <w:rPr>
                <w:sz w:val="18"/>
              </w:rPr>
              <w:t>de las entidades del Orden Nacional en el territorio, con</w:t>
            </w:r>
            <w:r>
              <w:rPr>
                <w:spacing w:val="-1"/>
                <w:sz w:val="18"/>
              </w:rPr>
              <w:t xml:space="preserve"> </w:t>
            </w:r>
            <w:r>
              <w:rPr>
                <w:sz w:val="18"/>
              </w:rPr>
              <w:t>criterios</w:t>
            </w:r>
            <w:r>
              <w:rPr>
                <w:spacing w:val="-2"/>
                <w:sz w:val="18"/>
              </w:rPr>
              <w:t xml:space="preserve"> </w:t>
            </w:r>
            <w:r>
              <w:rPr>
                <w:sz w:val="18"/>
              </w:rPr>
              <w:t>de</w:t>
            </w:r>
            <w:r>
              <w:rPr>
                <w:spacing w:val="-2"/>
                <w:sz w:val="18"/>
              </w:rPr>
              <w:t xml:space="preserve"> </w:t>
            </w:r>
            <w:r>
              <w:rPr>
                <w:sz w:val="18"/>
              </w:rPr>
              <w:t>eficiencia</w:t>
            </w:r>
            <w:r>
              <w:rPr>
                <w:spacing w:val="-5"/>
                <w:sz w:val="18"/>
              </w:rPr>
              <w:t xml:space="preserve"> </w:t>
            </w:r>
            <w:r>
              <w:rPr>
                <w:sz w:val="18"/>
              </w:rPr>
              <w:t xml:space="preserve">y </w:t>
            </w:r>
            <w:r>
              <w:rPr>
                <w:spacing w:val="-2"/>
                <w:sz w:val="18"/>
              </w:rPr>
              <w:t>eficacia,</w:t>
            </w:r>
            <w:r>
              <w:rPr>
                <w:sz w:val="18"/>
              </w:rPr>
              <w:tab/>
            </w:r>
            <w:r>
              <w:rPr>
                <w:spacing w:val="-2"/>
                <w:sz w:val="18"/>
              </w:rPr>
              <w:t xml:space="preserve">priorizando </w:t>
            </w:r>
            <w:r>
              <w:rPr>
                <w:sz w:val="18"/>
              </w:rPr>
              <w:t>territorios y poblaciones históricamente excluidas</w:t>
            </w:r>
          </w:p>
        </w:tc>
        <w:tc>
          <w:tcPr>
            <w:tcW w:w="1985" w:type="dxa"/>
            <w:tcBorders>
              <w:top w:val="single" w:sz="4" w:space="0" w:color="000000"/>
              <w:left w:val="single" w:sz="4" w:space="0" w:color="000000"/>
              <w:right w:val="single" w:sz="4" w:space="0" w:color="000000"/>
            </w:tcBorders>
          </w:tcPr>
          <w:p w14:paraId="36EF1149" w14:textId="77777777" w:rsidR="000E52B0" w:rsidRDefault="00F60D74">
            <w:pPr>
              <w:pStyle w:val="TableParagraph"/>
              <w:tabs>
                <w:tab w:val="left" w:pos="1674"/>
              </w:tabs>
              <w:ind w:left="91" w:right="75"/>
              <w:rPr>
                <w:sz w:val="18"/>
              </w:rPr>
            </w:pPr>
            <w:r>
              <w:rPr>
                <w:spacing w:val="-2"/>
                <w:sz w:val="18"/>
              </w:rPr>
              <w:t>Igualdad,</w:t>
            </w:r>
            <w:r>
              <w:rPr>
                <w:sz w:val="18"/>
              </w:rPr>
              <w:tab/>
            </w:r>
            <w:r>
              <w:rPr>
                <w:spacing w:val="-6"/>
                <w:sz w:val="18"/>
              </w:rPr>
              <w:t xml:space="preserve">no </w:t>
            </w:r>
            <w:r>
              <w:rPr>
                <w:spacing w:val="-2"/>
                <w:sz w:val="18"/>
              </w:rPr>
              <w:t xml:space="preserve">discriminación </w:t>
            </w:r>
            <w:r>
              <w:rPr>
                <w:sz w:val="18"/>
              </w:rPr>
              <w:t>(inciso</w:t>
            </w:r>
            <w:r>
              <w:rPr>
                <w:spacing w:val="80"/>
                <w:sz w:val="18"/>
              </w:rPr>
              <w:t xml:space="preserve"> </w:t>
            </w:r>
            <w:r>
              <w:rPr>
                <w:sz w:val="18"/>
              </w:rPr>
              <w:t>1.</w:t>
            </w:r>
            <w:r>
              <w:rPr>
                <w:spacing w:val="80"/>
                <w:sz w:val="18"/>
              </w:rPr>
              <w:t xml:space="preserve"> </w:t>
            </w:r>
            <w:r>
              <w:rPr>
                <w:sz w:val="18"/>
              </w:rPr>
              <w:t>art.</w:t>
            </w:r>
            <w:r>
              <w:rPr>
                <w:spacing w:val="80"/>
                <w:sz w:val="18"/>
              </w:rPr>
              <w:t xml:space="preserve"> </w:t>
            </w:r>
            <w:r>
              <w:rPr>
                <w:sz w:val="18"/>
              </w:rPr>
              <w:t xml:space="preserve">13 </w:t>
            </w:r>
            <w:r>
              <w:rPr>
                <w:spacing w:val="-4"/>
                <w:sz w:val="18"/>
              </w:rPr>
              <w:t>C.P)</w:t>
            </w:r>
          </w:p>
          <w:p w14:paraId="0C76FCD5" w14:textId="77777777" w:rsidR="000E52B0" w:rsidRDefault="00F60D74">
            <w:pPr>
              <w:pStyle w:val="TableParagraph"/>
              <w:tabs>
                <w:tab w:val="left" w:pos="1676"/>
                <w:tab w:val="left" w:pos="1785"/>
              </w:tabs>
              <w:spacing w:before="218"/>
              <w:ind w:left="91" w:right="76"/>
              <w:rPr>
                <w:sz w:val="18"/>
              </w:rPr>
            </w:pPr>
            <w:r>
              <w:rPr>
                <w:spacing w:val="-2"/>
                <w:sz w:val="18"/>
              </w:rPr>
              <w:t>Adopción</w:t>
            </w:r>
            <w:r>
              <w:rPr>
                <w:sz w:val="18"/>
              </w:rPr>
              <w:tab/>
            </w:r>
            <w:r>
              <w:rPr>
                <w:spacing w:val="-6"/>
                <w:sz w:val="18"/>
              </w:rPr>
              <w:t xml:space="preserve">de </w:t>
            </w:r>
            <w:r>
              <w:rPr>
                <w:spacing w:val="-2"/>
                <w:sz w:val="18"/>
              </w:rPr>
              <w:t>medidas</w:t>
            </w:r>
            <w:r>
              <w:rPr>
                <w:spacing w:val="-19"/>
                <w:sz w:val="18"/>
              </w:rPr>
              <w:t xml:space="preserve"> </w:t>
            </w:r>
            <w:r>
              <w:rPr>
                <w:spacing w:val="-2"/>
                <w:sz w:val="18"/>
              </w:rPr>
              <w:t>en</w:t>
            </w:r>
            <w:r>
              <w:rPr>
                <w:spacing w:val="-17"/>
                <w:sz w:val="18"/>
              </w:rPr>
              <w:t xml:space="preserve"> </w:t>
            </w:r>
            <w:r>
              <w:rPr>
                <w:spacing w:val="-2"/>
                <w:sz w:val="18"/>
              </w:rPr>
              <w:t>favor</w:t>
            </w:r>
            <w:r>
              <w:rPr>
                <w:spacing w:val="-18"/>
                <w:sz w:val="18"/>
              </w:rPr>
              <w:t xml:space="preserve"> </w:t>
            </w:r>
            <w:r>
              <w:rPr>
                <w:spacing w:val="-2"/>
                <w:sz w:val="18"/>
              </w:rPr>
              <w:t>de grupos discriminados</w:t>
            </w:r>
            <w:r>
              <w:rPr>
                <w:sz w:val="18"/>
              </w:rPr>
              <w:tab/>
            </w:r>
            <w:r>
              <w:rPr>
                <w:sz w:val="18"/>
              </w:rPr>
              <w:tab/>
            </w:r>
            <w:r>
              <w:rPr>
                <w:spacing w:val="-10"/>
                <w:sz w:val="18"/>
              </w:rPr>
              <w:t xml:space="preserve">o </w:t>
            </w:r>
            <w:r>
              <w:rPr>
                <w:sz w:val="18"/>
              </w:rPr>
              <w:t>marginados</w:t>
            </w:r>
            <w:r>
              <w:rPr>
                <w:spacing w:val="40"/>
                <w:sz w:val="18"/>
              </w:rPr>
              <w:t xml:space="preserve"> </w:t>
            </w:r>
            <w:r>
              <w:rPr>
                <w:sz w:val="18"/>
              </w:rPr>
              <w:t>(inciso 2. art. 13 C.P.)</w:t>
            </w:r>
          </w:p>
          <w:p w14:paraId="4BCE2CA7" w14:textId="77777777" w:rsidR="000E52B0" w:rsidRDefault="000E52B0">
            <w:pPr>
              <w:pStyle w:val="TableParagraph"/>
              <w:rPr>
                <w:sz w:val="18"/>
              </w:rPr>
            </w:pPr>
          </w:p>
          <w:p w14:paraId="3F93E221" w14:textId="77777777" w:rsidR="000E52B0" w:rsidRDefault="00F60D74">
            <w:pPr>
              <w:pStyle w:val="TableParagraph"/>
              <w:ind w:left="91" w:right="75"/>
              <w:jc w:val="both"/>
              <w:rPr>
                <w:sz w:val="18"/>
              </w:rPr>
            </w:pPr>
            <w:r>
              <w:rPr>
                <w:sz w:val="18"/>
              </w:rPr>
              <w:t>Protección de personas que se encuentren en circunstancias de debilidad</w:t>
            </w:r>
            <w:r>
              <w:rPr>
                <w:spacing w:val="-16"/>
                <w:sz w:val="18"/>
              </w:rPr>
              <w:t xml:space="preserve"> </w:t>
            </w:r>
            <w:r>
              <w:rPr>
                <w:sz w:val="18"/>
              </w:rPr>
              <w:t xml:space="preserve">manifiesta (inciso 3 art. 13 </w:t>
            </w:r>
            <w:r>
              <w:rPr>
                <w:spacing w:val="-4"/>
                <w:sz w:val="18"/>
              </w:rPr>
              <w:t>C.P)</w:t>
            </w:r>
          </w:p>
          <w:p w14:paraId="2756CF33" w14:textId="77777777" w:rsidR="000E52B0" w:rsidRDefault="00F60D74">
            <w:pPr>
              <w:pStyle w:val="TableParagraph"/>
              <w:tabs>
                <w:tab w:val="left" w:pos="1791"/>
              </w:tabs>
              <w:spacing w:before="218"/>
              <w:ind w:left="91" w:right="74"/>
              <w:jc w:val="both"/>
              <w:rPr>
                <w:sz w:val="18"/>
              </w:rPr>
            </w:pPr>
            <w:r>
              <w:rPr>
                <w:spacing w:val="-2"/>
                <w:sz w:val="18"/>
              </w:rPr>
              <w:t>Protección</w:t>
            </w:r>
            <w:r>
              <w:rPr>
                <w:sz w:val="18"/>
              </w:rPr>
              <w:tab/>
            </w:r>
            <w:r>
              <w:rPr>
                <w:spacing w:val="-10"/>
                <w:sz w:val="18"/>
              </w:rPr>
              <w:t xml:space="preserve">y </w:t>
            </w:r>
            <w:r>
              <w:rPr>
                <w:sz w:val="18"/>
              </w:rPr>
              <w:t>reconocimiento de la diversidad étnica y cultural de la Nación (art. 7 C.P.)</w:t>
            </w:r>
          </w:p>
          <w:p w14:paraId="4857AEBE" w14:textId="77777777" w:rsidR="000E52B0" w:rsidRDefault="000E52B0">
            <w:pPr>
              <w:pStyle w:val="TableParagraph"/>
              <w:spacing w:before="1"/>
              <w:rPr>
                <w:sz w:val="18"/>
              </w:rPr>
            </w:pPr>
          </w:p>
          <w:p w14:paraId="66D79958" w14:textId="77777777" w:rsidR="000E52B0" w:rsidRDefault="00F60D74">
            <w:pPr>
              <w:pStyle w:val="TableParagraph"/>
              <w:tabs>
                <w:tab w:val="left" w:pos="1740"/>
              </w:tabs>
              <w:ind w:left="91" w:right="74"/>
              <w:jc w:val="both"/>
              <w:rPr>
                <w:sz w:val="18"/>
              </w:rPr>
            </w:pPr>
            <w:r>
              <w:rPr>
                <w:spacing w:val="-2"/>
                <w:sz w:val="18"/>
              </w:rPr>
              <w:t>Promover</w:t>
            </w:r>
            <w:r>
              <w:rPr>
                <w:sz w:val="18"/>
              </w:rPr>
              <w:tab/>
            </w:r>
            <w:r>
              <w:rPr>
                <w:spacing w:val="-6"/>
                <w:sz w:val="18"/>
              </w:rPr>
              <w:t xml:space="preserve">la </w:t>
            </w:r>
            <w:r>
              <w:rPr>
                <w:sz w:val="18"/>
              </w:rPr>
              <w:t>prosperidad</w:t>
            </w:r>
            <w:r>
              <w:rPr>
                <w:spacing w:val="-16"/>
                <w:sz w:val="18"/>
              </w:rPr>
              <w:t xml:space="preserve"> </w:t>
            </w:r>
            <w:r>
              <w:rPr>
                <w:sz w:val="18"/>
              </w:rPr>
              <w:t>general (art. 2 C.P.)</w:t>
            </w:r>
          </w:p>
        </w:tc>
        <w:tc>
          <w:tcPr>
            <w:tcW w:w="1337" w:type="dxa"/>
            <w:tcBorders>
              <w:top w:val="single" w:sz="4" w:space="0" w:color="000000"/>
              <w:left w:val="single" w:sz="4" w:space="0" w:color="000000"/>
            </w:tcBorders>
          </w:tcPr>
          <w:p w14:paraId="7822BB81" w14:textId="77777777" w:rsidR="000E52B0" w:rsidRDefault="00F60D74">
            <w:pPr>
              <w:pStyle w:val="TableParagraph"/>
              <w:tabs>
                <w:tab w:val="left" w:pos="1144"/>
              </w:tabs>
              <w:ind w:left="92" w:right="70"/>
              <w:rPr>
                <w:sz w:val="18"/>
              </w:rPr>
            </w:pPr>
            <w:r>
              <w:rPr>
                <w:spacing w:val="-2"/>
                <w:sz w:val="18"/>
              </w:rPr>
              <w:t>Sector Igualdad</w:t>
            </w:r>
            <w:r>
              <w:rPr>
                <w:sz w:val="18"/>
              </w:rPr>
              <w:tab/>
            </w:r>
            <w:r>
              <w:rPr>
                <w:spacing w:val="-10"/>
                <w:sz w:val="18"/>
              </w:rPr>
              <w:t xml:space="preserve">y </w:t>
            </w:r>
            <w:r>
              <w:rPr>
                <w:spacing w:val="-2"/>
                <w:sz w:val="18"/>
              </w:rPr>
              <w:t>Equidad.</w:t>
            </w:r>
          </w:p>
        </w:tc>
      </w:tr>
    </w:tbl>
    <w:p w14:paraId="3B0B7C9A" w14:textId="77777777" w:rsidR="000E52B0" w:rsidRDefault="000E52B0">
      <w:pPr>
        <w:pStyle w:val="TableParagraph"/>
        <w:rPr>
          <w:sz w:val="18"/>
        </w:rPr>
        <w:sectPr w:rsidR="000E52B0">
          <w:pgSz w:w="11910" w:h="16840"/>
          <w:pgMar w:top="1340" w:right="720" w:bottom="1180" w:left="720" w:header="0" w:footer="995" w:gutter="0"/>
          <w:cols w:space="720"/>
        </w:sectPr>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6"/>
        <w:gridCol w:w="1601"/>
        <w:gridCol w:w="2647"/>
        <w:gridCol w:w="1985"/>
        <w:gridCol w:w="1337"/>
      </w:tblGrid>
      <w:tr w:rsidR="000E52B0" w14:paraId="0138E31F" w14:textId="77777777">
        <w:trPr>
          <w:trHeight w:val="875"/>
        </w:trPr>
        <w:tc>
          <w:tcPr>
            <w:tcW w:w="1416" w:type="dxa"/>
            <w:tcBorders>
              <w:bottom w:val="single" w:sz="4" w:space="0" w:color="000000"/>
              <w:right w:val="single" w:sz="4" w:space="0" w:color="000000"/>
            </w:tcBorders>
            <w:shd w:val="clear" w:color="auto" w:fill="D44673"/>
          </w:tcPr>
          <w:p w14:paraId="42B7EB2C" w14:textId="77777777" w:rsidR="000E52B0" w:rsidRDefault="000E52B0">
            <w:pPr>
              <w:pStyle w:val="TableParagraph"/>
              <w:spacing w:before="109"/>
              <w:rPr>
                <w:sz w:val="18"/>
              </w:rPr>
            </w:pPr>
          </w:p>
          <w:p w14:paraId="24C5DEE9" w14:textId="77777777" w:rsidR="000E52B0" w:rsidRDefault="00F60D74">
            <w:pPr>
              <w:pStyle w:val="TableParagraph"/>
              <w:ind w:left="206"/>
              <w:rPr>
                <w:b/>
                <w:sz w:val="18"/>
              </w:rPr>
            </w:pPr>
            <w:r>
              <w:rPr>
                <w:b/>
                <w:color w:val="FFFFFF"/>
                <w:spacing w:val="-2"/>
                <w:sz w:val="18"/>
              </w:rPr>
              <w:t>Ministerio</w:t>
            </w:r>
          </w:p>
        </w:tc>
        <w:tc>
          <w:tcPr>
            <w:tcW w:w="1601" w:type="dxa"/>
            <w:tcBorders>
              <w:left w:val="single" w:sz="4" w:space="0" w:color="000000"/>
              <w:bottom w:val="single" w:sz="4" w:space="0" w:color="000000"/>
              <w:right w:val="single" w:sz="4" w:space="0" w:color="000000"/>
            </w:tcBorders>
            <w:shd w:val="clear" w:color="auto" w:fill="D44673"/>
          </w:tcPr>
          <w:p w14:paraId="56056803" w14:textId="77777777" w:rsidR="000E52B0" w:rsidRDefault="000E52B0">
            <w:pPr>
              <w:pStyle w:val="TableParagraph"/>
              <w:spacing w:before="109"/>
              <w:rPr>
                <w:sz w:val="18"/>
              </w:rPr>
            </w:pPr>
          </w:p>
          <w:p w14:paraId="28740CFD" w14:textId="77777777" w:rsidR="000E52B0" w:rsidRDefault="00F60D74">
            <w:pPr>
              <w:pStyle w:val="TableParagraph"/>
              <w:ind w:left="374"/>
              <w:rPr>
                <w:b/>
                <w:sz w:val="18"/>
              </w:rPr>
            </w:pPr>
            <w:r>
              <w:rPr>
                <w:b/>
                <w:color w:val="FFFFFF"/>
                <w:spacing w:val="-2"/>
                <w:sz w:val="18"/>
              </w:rPr>
              <w:t>Objetivo</w:t>
            </w:r>
          </w:p>
        </w:tc>
        <w:tc>
          <w:tcPr>
            <w:tcW w:w="2647" w:type="dxa"/>
            <w:tcBorders>
              <w:left w:val="single" w:sz="4" w:space="0" w:color="000000"/>
              <w:bottom w:val="single" w:sz="4" w:space="0" w:color="000000"/>
              <w:right w:val="single" w:sz="4" w:space="0" w:color="000000"/>
            </w:tcBorders>
            <w:shd w:val="clear" w:color="auto" w:fill="D44673"/>
          </w:tcPr>
          <w:p w14:paraId="07230DD8" w14:textId="77777777" w:rsidR="000E52B0" w:rsidRDefault="000E52B0">
            <w:pPr>
              <w:pStyle w:val="TableParagraph"/>
              <w:spacing w:before="109"/>
              <w:rPr>
                <w:sz w:val="18"/>
              </w:rPr>
            </w:pPr>
          </w:p>
          <w:p w14:paraId="66D6D954" w14:textId="77777777" w:rsidR="000E52B0" w:rsidRDefault="00F60D74">
            <w:pPr>
              <w:pStyle w:val="TableParagraph"/>
              <w:ind w:left="813"/>
              <w:rPr>
                <w:b/>
                <w:sz w:val="18"/>
              </w:rPr>
            </w:pPr>
            <w:r>
              <w:rPr>
                <w:b/>
                <w:color w:val="FFFFFF"/>
                <w:spacing w:val="-2"/>
                <w:sz w:val="18"/>
              </w:rPr>
              <w:t>Funciones</w:t>
            </w:r>
          </w:p>
        </w:tc>
        <w:tc>
          <w:tcPr>
            <w:tcW w:w="1985" w:type="dxa"/>
            <w:tcBorders>
              <w:left w:val="single" w:sz="4" w:space="0" w:color="000000"/>
              <w:bottom w:val="single" w:sz="4" w:space="0" w:color="000000"/>
              <w:right w:val="single" w:sz="4" w:space="0" w:color="000000"/>
            </w:tcBorders>
            <w:shd w:val="clear" w:color="auto" w:fill="D44673"/>
          </w:tcPr>
          <w:p w14:paraId="5B5C5EC1" w14:textId="77777777" w:rsidR="000E52B0" w:rsidRDefault="00F60D74">
            <w:pPr>
              <w:pStyle w:val="TableParagraph"/>
              <w:ind w:left="118" w:right="105" w:firstLine="1"/>
              <w:jc w:val="center"/>
              <w:rPr>
                <w:b/>
                <w:sz w:val="18"/>
              </w:rPr>
            </w:pPr>
            <w:r>
              <w:rPr>
                <w:b/>
                <w:color w:val="FFFFFF"/>
                <w:sz w:val="18"/>
              </w:rPr>
              <w:t>Derecho</w:t>
            </w:r>
            <w:r>
              <w:rPr>
                <w:b/>
                <w:color w:val="FFFFFF"/>
                <w:spacing w:val="-16"/>
                <w:sz w:val="18"/>
              </w:rPr>
              <w:t xml:space="preserve"> </w:t>
            </w:r>
            <w:r>
              <w:rPr>
                <w:b/>
                <w:color w:val="FFFFFF"/>
                <w:sz w:val="18"/>
              </w:rPr>
              <w:t>Humano o</w:t>
            </w:r>
            <w:r>
              <w:rPr>
                <w:b/>
                <w:color w:val="FFFFFF"/>
                <w:spacing w:val="-1"/>
                <w:sz w:val="18"/>
              </w:rPr>
              <w:t xml:space="preserve"> </w:t>
            </w:r>
            <w:r>
              <w:rPr>
                <w:b/>
                <w:color w:val="FFFFFF"/>
                <w:sz w:val="18"/>
              </w:rPr>
              <w:t>Fin</w:t>
            </w:r>
            <w:r>
              <w:rPr>
                <w:b/>
                <w:color w:val="FFFFFF"/>
                <w:spacing w:val="-3"/>
                <w:sz w:val="18"/>
              </w:rPr>
              <w:t xml:space="preserve"> </w:t>
            </w:r>
            <w:r>
              <w:rPr>
                <w:b/>
                <w:color w:val="FFFFFF"/>
                <w:sz w:val="18"/>
              </w:rPr>
              <w:t xml:space="preserve">Esencial </w:t>
            </w:r>
            <w:r>
              <w:rPr>
                <w:b/>
                <w:color w:val="FFFFFF"/>
                <w:spacing w:val="-5"/>
                <w:sz w:val="18"/>
              </w:rPr>
              <w:t>del</w:t>
            </w:r>
          </w:p>
          <w:p w14:paraId="01ABF9E5" w14:textId="77777777" w:rsidR="000E52B0" w:rsidRDefault="00F60D74">
            <w:pPr>
              <w:pStyle w:val="TableParagraph"/>
              <w:spacing w:line="218" w:lineRule="exact"/>
              <w:ind w:left="12"/>
              <w:jc w:val="center"/>
              <w:rPr>
                <w:b/>
                <w:sz w:val="18"/>
              </w:rPr>
            </w:pPr>
            <w:r>
              <w:rPr>
                <w:b/>
                <w:color w:val="FFFFFF"/>
                <w:sz w:val="18"/>
              </w:rPr>
              <w:t>Estado</w:t>
            </w:r>
            <w:r>
              <w:rPr>
                <w:b/>
                <w:color w:val="FFFFFF"/>
                <w:spacing w:val="-16"/>
                <w:sz w:val="18"/>
              </w:rPr>
              <w:t xml:space="preserve"> </w:t>
            </w:r>
            <w:r>
              <w:rPr>
                <w:b/>
                <w:color w:val="FFFFFF"/>
                <w:sz w:val="18"/>
              </w:rPr>
              <w:t>al</w:t>
            </w:r>
            <w:r>
              <w:rPr>
                <w:b/>
                <w:color w:val="FFFFFF"/>
                <w:spacing w:val="-15"/>
                <w:sz w:val="18"/>
              </w:rPr>
              <w:t xml:space="preserve"> </w:t>
            </w:r>
            <w:r>
              <w:rPr>
                <w:b/>
                <w:color w:val="FFFFFF"/>
                <w:sz w:val="18"/>
              </w:rPr>
              <w:t xml:space="preserve">que </w:t>
            </w:r>
            <w:r>
              <w:rPr>
                <w:b/>
                <w:color w:val="FFFFFF"/>
                <w:spacing w:val="-2"/>
                <w:sz w:val="18"/>
              </w:rPr>
              <w:t>responde.</w:t>
            </w:r>
          </w:p>
        </w:tc>
        <w:tc>
          <w:tcPr>
            <w:tcW w:w="1337" w:type="dxa"/>
            <w:tcBorders>
              <w:left w:val="single" w:sz="4" w:space="0" w:color="000000"/>
              <w:bottom w:val="single" w:sz="4" w:space="0" w:color="000000"/>
            </w:tcBorders>
            <w:shd w:val="clear" w:color="auto" w:fill="D44673"/>
          </w:tcPr>
          <w:p w14:paraId="3D9E6942" w14:textId="77777777" w:rsidR="000E52B0" w:rsidRDefault="00F60D74">
            <w:pPr>
              <w:pStyle w:val="TableParagraph"/>
              <w:spacing w:before="217" w:line="242" w:lineRule="auto"/>
              <w:ind w:left="579" w:right="91" w:hanging="473"/>
              <w:rPr>
                <w:b/>
                <w:sz w:val="18"/>
              </w:rPr>
            </w:pPr>
            <w:proofErr w:type="spellStart"/>
            <w:r>
              <w:rPr>
                <w:b/>
                <w:color w:val="FFFFFF"/>
                <w:spacing w:val="-2"/>
                <w:sz w:val="18"/>
              </w:rPr>
              <w:t>Competenc</w:t>
            </w:r>
            <w:proofErr w:type="spellEnd"/>
            <w:r>
              <w:rPr>
                <w:b/>
                <w:color w:val="FFFFFF"/>
                <w:spacing w:val="-2"/>
                <w:sz w:val="18"/>
              </w:rPr>
              <w:t xml:space="preserve"> </w:t>
            </w:r>
            <w:proofErr w:type="spellStart"/>
            <w:r>
              <w:rPr>
                <w:b/>
                <w:color w:val="FFFFFF"/>
                <w:spacing w:val="-6"/>
                <w:sz w:val="18"/>
              </w:rPr>
              <w:t>ia</w:t>
            </w:r>
            <w:proofErr w:type="spellEnd"/>
          </w:p>
        </w:tc>
      </w:tr>
      <w:tr w:rsidR="000E52B0" w14:paraId="3CE841CE" w14:textId="77777777">
        <w:trPr>
          <w:trHeight w:val="3067"/>
        </w:trPr>
        <w:tc>
          <w:tcPr>
            <w:tcW w:w="1416" w:type="dxa"/>
            <w:tcBorders>
              <w:top w:val="single" w:sz="4" w:space="0" w:color="000000"/>
              <w:bottom w:val="single" w:sz="4" w:space="0" w:color="000000"/>
              <w:right w:val="single" w:sz="4" w:space="0" w:color="000000"/>
            </w:tcBorders>
          </w:tcPr>
          <w:p w14:paraId="7E6DD414" w14:textId="77777777" w:rsidR="000E52B0" w:rsidRDefault="000E52B0">
            <w:pPr>
              <w:pStyle w:val="TableParagraph"/>
              <w:rPr>
                <w:rFonts w:ascii="Times New Roman"/>
                <w:sz w:val="18"/>
              </w:rPr>
            </w:pPr>
          </w:p>
        </w:tc>
        <w:tc>
          <w:tcPr>
            <w:tcW w:w="1601" w:type="dxa"/>
            <w:tcBorders>
              <w:top w:val="single" w:sz="4" w:space="0" w:color="000000"/>
              <w:left w:val="single" w:sz="4" w:space="0" w:color="000000"/>
              <w:bottom w:val="single" w:sz="4" w:space="0" w:color="000000"/>
              <w:right w:val="single" w:sz="4" w:space="0" w:color="000000"/>
            </w:tcBorders>
          </w:tcPr>
          <w:p w14:paraId="566E0FD5" w14:textId="77777777" w:rsidR="000E52B0" w:rsidRDefault="00F60D74">
            <w:pPr>
              <w:pStyle w:val="TableParagraph"/>
              <w:tabs>
                <w:tab w:val="left" w:pos="654"/>
                <w:tab w:val="left" w:pos="1258"/>
                <w:tab w:val="left" w:pos="1294"/>
              </w:tabs>
              <w:spacing w:before="3"/>
              <w:ind w:left="93" w:right="75"/>
              <w:rPr>
                <w:sz w:val="18"/>
              </w:rPr>
            </w:pPr>
            <w:r>
              <w:rPr>
                <w:spacing w:val="-6"/>
                <w:sz w:val="18"/>
              </w:rPr>
              <w:t>de</w:t>
            </w:r>
            <w:r>
              <w:rPr>
                <w:sz w:val="18"/>
              </w:rPr>
              <w:tab/>
            </w:r>
            <w:r>
              <w:rPr>
                <w:spacing w:val="-2"/>
                <w:sz w:val="18"/>
              </w:rPr>
              <w:t xml:space="preserve">población </w:t>
            </w:r>
            <w:r>
              <w:rPr>
                <w:sz w:val="18"/>
              </w:rPr>
              <w:t>vulnerable</w:t>
            </w:r>
            <w:r>
              <w:rPr>
                <w:spacing w:val="-7"/>
                <w:sz w:val="18"/>
              </w:rPr>
              <w:t xml:space="preserve"> </w:t>
            </w:r>
            <w:r>
              <w:rPr>
                <w:sz w:val="18"/>
              </w:rPr>
              <w:t>y</w:t>
            </w:r>
            <w:r>
              <w:rPr>
                <w:spacing w:val="-8"/>
                <w:sz w:val="18"/>
              </w:rPr>
              <w:t xml:space="preserve"> </w:t>
            </w:r>
            <w:r>
              <w:rPr>
                <w:sz w:val="18"/>
              </w:rPr>
              <w:t xml:space="preserve">de </w:t>
            </w:r>
            <w:r>
              <w:rPr>
                <w:spacing w:val="-2"/>
                <w:sz w:val="18"/>
              </w:rPr>
              <w:t xml:space="preserve">grupos históricamente </w:t>
            </w:r>
            <w:r>
              <w:rPr>
                <w:sz w:val="18"/>
              </w:rPr>
              <w:t>discriminados</w:t>
            </w:r>
            <w:r>
              <w:rPr>
                <w:spacing w:val="-16"/>
                <w:sz w:val="18"/>
              </w:rPr>
              <w:t xml:space="preserve"> </w:t>
            </w:r>
            <w:r>
              <w:rPr>
                <w:sz w:val="18"/>
              </w:rPr>
              <w:t xml:space="preserve">o </w:t>
            </w:r>
            <w:r>
              <w:rPr>
                <w:spacing w:val="-2"/>
                <w:sz w:val="18"/>
              </w:rPr>
              <w:t xml:space="preserve">marginados, </w:t>
            </w:r>
            <w:r>
              <w:rPr>
                <w:sz w:val="18"/>
              </w:rPr>
              <w:t>incorporando</w:t>
            </w:r>
            <w:r>
              <w:rPr>
                <w:spacing w:val="28"/>
                <w:sz w:val="18"/>
              </w:rPr>
              <w:t xml:space="preserve"> </w:t>
            </w:r>
            <w:r>
              <w:rPr>
                <w:sz w:val="18"/>
              </w:rPr>
              <w:t xml:space="preserve">y </w:t>
            </w:r>
            <w:r>
              <w:rPr>
                <w:spacing w:val="-2"/>
                <w:sz w:val="18"/>
              </w:rPr>
              <w:t>adoptando</w:t>
            </w:r>
            <w:r>
              <w:rPr>
                <w:sz w:val="18"/>
              </w:rPr>
              <w:tab/>
            </w:r>
            <w:r>
              <w:rPr>
                <w:spacing w:val="-4"/>
                <w:sz w:val="18"/>
              </w:rPr>
              <w:t xml:space="preserve">los </w:t>
            </w:r>
            <w:r>
              <w:rPr>
                <w:spacing w:val="-2"/>
                <w:sz w:val="18"/>
              </w:rPr>
              <w:t>enfoques</w:t>
            </w:r>
            <w:r>
              <w:rPr>
                <w:sz w:val="18"/>
              </w:rPr>
              <w:tab/>
            </w:r>
            <w:r>
              <w:rPr>
                <w:sz w:val="18"/>
              </w:rPr>
              <w:tab/>
            </w:r>
            <w:r>
              <w:rPr>
                <w:spacing w:val="-5"/>
                <w:sz w:val="18"/>
              </w:rPr>
              <w:t>de</w:t>
            </w:r>
          </w:p>
          <w:p w14:paraId="57623A77" w14:textId="77777777" w:rsidR="000E52B0" w:rsidRDefault="00F60D74">
            <w:pPr>
              <w:pStyle w:val="TableParagraph"/>
              <w:tabs>
                <w:tab w:val="left" w:pos="1292"/>
              </w:tabs>
              <w:ind w:left="93" w:right="76"/>
              <w:rPr>
                <w:sz w:val="18"/>
              </w:rPr>
            </w:pPr>
            <w:r>
              <w:rPr>
                <w:spacing w:val="-2"/>
                <w:sz w:val="18"/>
              </w:rPr>
              <w:t>derechos,</w:t>
            </w:r>
            <w:r>
              <w:rPr>
                <w:sz w:val="18"/>
              </w:rPr>
              <w:tab/>
            </w:r>
            <w:r>
              <w:rPr>
                <w:spacing w:val="-6"/>
                <w:sz w:val="18"/>
              </w:rPr>
              <w:t xml:space="preserve">de </w:t>
            </w:r>
            <w:r>
              <w:rPr>
                <w:spacing w:val="-2"/>
                <w:sz w:val="18"/>
              </w:rPr>
              <w:t>género, diferencial,</w:t>
            </w:r>
          </w:p>
          <w:p w14:paraId="6E69CA22" w14:textId="77777777" w:rsidR="000E52B0" w:rsidRDefault="00F60D74">
            <w:pPr>
              <w:pStyle w:val="TableParagraph"/>
              <w:spacing w:line="218" w:lineRule="exact"/>
              <w:ind w:left="93"/>
              <w:rPr>
                <w:sz w:val="18"/>
              </w:rPr>
            </w:pPr>
            <w:r>
              <w:rPr>
                <w:sz w:val="18"/>
              </w:rPr>
              <w:t>étnico-racial</w:t>
            </w:r>
            <w:r>
              <w:rPr>
                <w:spacing w:val="80"/>
                <w:sz w:val="18"/>
              </w:rPr>
              <w:t xml:space="preserve"> </w:t>
            </w:r>
            <w:r>
              <w:rPr>
                <w:sz w:val="18"/>
              </w:rPr>
              <w:t xml:space="preserve">e </w:t>
            </w:r>
            <w:r>
              <w:rPr>
                <w:spacing w:val="-2"/>
                <w:sz w:val="18"/>
              </w:rPr>
              <w:t>interseccional.</w:t>
            </w:r>
          </w:p>
        </w:tc>
        <w:tc>
          <w:tcPr>
            <w:tcW w:w="2647" w:type="dxa"/>
            <w:tcBorders>
              <w:top w:val="single" w:sz="4" w:space="0" w:color="000000"/>
              <w:left w:val="single" w:sz="4" w:space="0" w:color="000000"/>
              <w:bottom w:val="single" w:sz="4" w:space="0" w:color="000000"/>
              <w:right w:val="single" w:sz="4" w:space="0" w:color="000000"/>
            </w:tcBorders>
          </w:tcPr>
          <w:p w14:paraId="6B7C718F" w14:textId="77777777" w:rsidR="000E52B0" w:rsidRDefault="000E52B0">
            <w:pPr>
              <w:pStyle w:val="TableParagraph"/>
              <w:rPr>
                <w:rFonts w:ascii="Times New Roman"/>
                <w:sz w:val="18"/>
              </w:rPr>
            </w:pPr>
          </w:p>
        </w:tc>
        <w:tc>
          <w:tcPr>
            <w:tcW w:w="1985" w:type="dxa"/>
            <w:tcBorders>
              <w:top w:val="single" w:sz="4" w:space="0" w:color="000000"/>
              <w:left w:val="single" w:sz="4" w:space="0" w:color="000000"/>
              <w:bottom w:val="single" w:sz="4" w:space="0" w:color="000000"/>
              <w:right w:val="single" w:sz="4" w:space="0" w:color="000000"/>
            </w:tcBorders>
          </w:tcPr>
          <w:p w14:paraId="201D7ADB" w14:textId="77777777" w:rsidR="000E52B0" w:rsidRDefault="000E52B0">
            <w:pPr>
              <w:pStyle w:val="TableParagraph"/>
              <w:rPr>
                <w:rFonts w:ascii="Times New Roman"/>
                <w:sz w:val="18"/>
              </w:rPr>
            </w:pPr>
          </w:p>
        </w:tc>
        <w:tc>
          <w:tcPr>
            <w:tcW w:w="1337" w:type="dxa"/>
            <w:tcBorders>
              <w:top w:val="single" w:sz="4" w:space="0" w:color="000000"/>
              <w:left w:val="single" w:sz="4" w:space="0" w:color="000000"/>
              <w:bottom w:val="single" w:sz="4" w:space="0" w:color="000000"/>
            </w:tcBorders>
          </w:tcPr>
          <w:p w14:paraId="25FED96F" w14:textId="77777777" w:rsidR="000E52B0" w:rsidRDefault="000E52B0">
            <w:pPr>
              <w:pStyle w:val="TableParagraph"/>
              <w:rPr>
                <w:rFonts w:ascii="Times New Roman"/>
                <w:sz w:val="18"/>
              </w:rPr>
            </w:pPr>
          </w:p>
        </w:tc>
      </w:tr>
      <w:tr w:rsidR="000E52B0" w14:paraId="47A22B66" w14:textId="77777777">
        <w:trPr>
          <w:trHeight w:val="9626"/>
        </w:trPr>
        <w:tc>
          <w:tcPr>
            <w:tcW w:w="1416" w:type="dxa"/>
            <w:tcBorders>
              <w:top w:val="single" w:sz="4" w:space="0" w:color="000000"/>
              <w:right w:val="single" w:sz="4" w:space="0" w:color="000000"/>
            </w:tcBorders>
          </w:tcPr>
          <w:p w14:paraId="35314471" w14:textId="77777777" w:rsidR="000E52B0" w:rsidRDefault="00F60D74">
            <w:pPr>
              <w:pStyle w:val="TableParagraph"/>
              <w:ind w:left="90" w:right="75"/>
              <w:rPr>
                <w:sz w:val="18"/>
              </w:rPr>
            </w:pPr>
            <w:r>
              <w:rPr>
                <w:spacing w:val="-2"/>
                <w:sz w:val="18"/>
              </w:rPr>
              <w:t xml:space="preserve">MINISTERIO </w:t>
            </w:r>
            <w:r>
              <w:rPr>
                <w:spacing w:val="-4"/>
                <w:sz w:val="18"/>
              </w:rPr>
              <w:t xml:space="preserve">DEL </w:t>
            </w:r>
            <w:r>
              <w:rPr>
                <w:spacing w:val="-2"/>
                <w:sz w:val="18"/>
              </w:rPr>
              <w:t>INTERIOR.</w:t>
            </w:r>
          </w:p>
          <w:p w14:paraId="3E1B7D44" w14:textId="77777777" w:rsidR="000E52B0" w:rsidRDefault="00F60D74">
            <w:pPr>
              <w:pStyle w:val="TableParagraph"/>
              <w:spacing w:line="219" w:lineRule="exact"/>
              <w:ind w:left="90"/>
              <w:rPr>
                <w:sz w:val="18"/>
              </w:rPr>
            </w:pPr>
            <w:r>
              <w:rPr>
                <w:sz w:val="18"/>
              </w:rPr>
              <w:t>Ley</w:t>
            </w:r>
            <w:r>
              <w:rPr>
                <w:spacing w:val="57"/>
                <w:sz w:val="18"/>
              </w:rPr>
              <w:t xml:space="preserve"> </w:t>
            </w:r>
            <w:r>
              <w:rPr>
                <w:sz w:val="18"/>
              </w:rPr>
              <w:t>1444</w:t>
            </w:r>
            <w:r>
              <w:rPr>
                <w:spacing w:val="56"/>
                <w:sz w:val="18"/>
              </w:rPr>
              <w:t xml:space="preserve"> </w:t>
            </w:r>
            <w:r>
              <w:rPr>
                <w:spacing w:val="-5"/>
                <w:sz w:val="18"/>
              </w:rPr>
              <w:t>de</w:t>
            </w:r>
          </w:p>
          <w:p w14:paraId="3FA167DB" w14:textId="77777777" w:rsidR="000E52B0" w:rsidRDefault="00F60D74">
            <w:pPr>
              <w:pStyle w:val="TableParagraph"/>
              <w:tabs>
                <w:tab w:val="left" w:pos="1222"/>
              </w:tabs>
              <w:spacing w:line="218" w:lineRule="exact"/>
              <w:ind w:left="90"/>
              <w:rPr>
                <w:sz w:val="18"/>
              </w:rPr>
            </w:pPr>
            <w:r>
              <w:rPr>
                <w:spacing w:val="-4"/>
                <w:sz w:val="18"/>
              </w:rPr>
              <w:t>2011</w:t>
            </w:r>
            <w:r>
              <w:rPr>
                <w:sz w:val="18"/>
              </w:rPr>
              <w:tab/>
            </w:r>
            <w:r>
              <w:rPr>
                <w:spacing w:val="-10"/>
                <w:sz w:val="18"/>
              </w:rPr>
              <w:t>y</w:t>
            </w:r>
          </w:p>
          <w:p w14:paraId="2E1A0158" w14:textId="77777777" w:rsidR="000E52B0" w:rsidRDefault="00F60D74">
            <w:pPr>
              <w:pStyle w:val="TableParagraph"/>
              <w:spacing w:line="218" w:lineRule="exact"/>
              <w:ind w:left="90"/>
              <w:rPr>
                <w:sz w:val="18"/>
              </w:rPr>
            </w:pPr>
            <w:r>
              <w:rPr>
                <w:sz w:val="18"/>
              </w:rPr>
              <w:t>Decreto</w:t>
            </w:r>
            <w:r>
              <w:rPr>
                <w:spacing w:val="8"/>
                <w:sz w:val="18"/>
              </w:rPr>
              <w:t xml:space="preserve"> </w:t>
            </w:r>
            <w:r>
              <w:rPr>
                <w:spacing w:val="-4"/>
                <w:sz w:val="18"/>
              </w:rPr>
              <w:t>2893</w:t>
            </w:r>
          </w:p>
          <w:p w14:paraId="36B25D11" w14:textId="77777777" w:rsidR="000E52B0" w:rsidRDefault="00F60D74">
            <w:pPr>
              <w:pStyle w:val="TableParagraph"/>
              <w:ind w:left="90"/>
              <w:rPr>
                <w:sz w:val="18"/>
              </w:rPr>
            </w:pPr>
            <w:r>
              <w:rPr>
                <w:sz w:val="18"/>
              </w:rPr>
              <w:t>de</w:t>
            </w:r>
            <w:r>
              <w:rPr>
                <w:spacing w:val="-1"/>
                <w:sz w:val="18"/>
              </w:rPr>
              <w:t xml:space="preserve"> </w:t>
            </w:r>
            <w:r>
              <w:rPr>
                <w:spacing w:val="-4"/>
                <w:sz w:val="18"/>
              </w:rPr>
              <w:t>2011</w:t>
            </w:r>
          </w:p>
        </w:tc>
        <w:tc>
          <w:tcPr>
            <w:tcW w:w="1601" w:type="dxa"/>
            <w:tcBorders>
              <w:top w:val="single" w:sz="4" w:space="0" w:color="000000"/>
              <w:left w:val="single" w:sz="4" w:space="0" w:color="000000"/>
              <w:right w:val="single" w:sz="4" w:space="0" w:color="000000"/>
            </w:tcBorders>
          </w:tcPr>
          <w:p w14:paraId="73A935AE" w14:textId="77777777" w:rsidR="000E52B0" w:rsidRDefault="00F60D74">
            <w:pPr>
              <w:pStyle w:val="TableParagraph"/>
              <w:tabs>
                <w:tab w:val="left" w:pos="1407"/>
              </w:tabs>
              <w:ind w:left="93" w:right="75"/>
              <w:rPr>
                <w:sz w:val="18"/>
              </w:rPr>
            </w:pPr>
            <w:r>
              <w:rPr>
                <w:spacing w:val="-2"/>
                <w:sz w:val="18"/>
              </w:rPr>
              <w:t xml:space="preserve">formular, </w:t>
            </w:r>
            <w:r>
              <w:rPr>
                <w:sz w:val="18"/>
              </w:rPr>
              <w:t>adoptar,</w:t>
            </w:r>
            <w:r>
              <w:rPr>
                <w:spacing w:val="-16"/>
                <w:sz w:val="18"/>
              </w:rPr>
              <w:t xml:space="preserve"> </w:t>
            </w:r>
            <w:r>
              <w:rPr>
                <w:sz w:val="18"/>
              </w:rPr>
              <w:t xml:space="preserve">dirigir, </w:t>
            </w:r>
            <w:r>
              <w:rPr>
                <w:spacing w:val="-2"/>
                <w:sz w:val="18"/>
              </w:rPr>
              <w:t>coordinar</w:t>
            </w:r>
            <w:r>
              <w:rPr>
                <w:sz w:val="18"/>
              </w:rPr>
              <w:tab/>
            </w:r>
            <w:r>
              <w:rPr>
                <w:spacing w:val="-10"/>
                <w:sz w:val="18"/>
              </w:rPr>
              <w:t>y</w:t>
            </w:r>
          </w:p>
          <w:p w14:paraId="3D7D529E" w14:textId="77777777" w:rsidR="000E52B0" w:rsidRDefault="00F60D74">
            <w:pPr>
              <w:pStyle w:val="TableParagraph"/>
              <w:tabs>
                <w:tab w:val="left" w:pos="1355"/>
                <w:tab w:val="left" w:pos="1405"/>
              </w:tabs>
              <w:ind w:left="93" w:right="75"/>
              <w:rPr>
                <w:sz w:val="18"/>
              </w:rPr>
            </w:pPr>
            <w:r>
              <w:rPr>
                <w:spacing w:val="-2"/>
                <w:sz w:val="18"/>
              </w:rPr>
              <w:t>ejecutar</w:t>
            </w:r>
            <w:r>
              <w:rPr>
                <w:sz w:val="18"/>
              </w:rPr>
              <w:tab/>
            </w:r>
            <w:r>
              <w:rPr>
                <w:spacing w:val="-6"/>
                <w:sz w:val="18"/>
              </w:rPr>
              <w:t xml:space="preserve">la </w:t>
            </w:r>
            <w:r>
              <w:rPr>
                <w:sz w:val="18"/>
              </w:rPr>
              <w:t>política</w:t>
            </w:r>
            <w:r>
              <w:rPr>
                <w:spacing w:val="-16"/>
                <w:sz w:val="18"/>
              </w:rPr>
              <w:t xml:space="preserve"> </w:t>
            </w:r>
            <w:r>
              <w:rPr>
                <w:sz w:val="18"/>
              </w:rPr>
              <w:t xml:space="preserve">pública, </w:t>
            </w:r>
            <w:r>
              <w:rPr>
                <w:spacing w:val="-2"/>
                <w:sz w:val="18"/>
              </w:rPr>
              <w:t>planes, programas</w:t>
            </w:r>
            <w:r>
              <w:rPr>
                <w:sz w:val="18"/>
              </w:rPr>
              <w:tab/>
            </w:r>
            <w:r>
              <w:rPr>
                <w:sz w:val="18"/>
              </w:rPr>
              <w:tab/>
            </w:r>
            <w:r>
              <w:rPr>
                <w:spacing w:val="-10"/>
                <w:sz w:val="18"/>
              </w:rPr>
              <w:t>y</w:t>
            </w:r>
          </w:p>
          <w:p w14:paraId="0BD73B5D" w14:textId="77777777" w:rsidR="000E52B0" w:rsidRDefault="00F60D74">
            <w:pPr>
              <w:pStyle w:val="TableParagraph"/>
              <w:tabs>
                <w:tab w:val="left" w:pos="1290"/>
              </w:tabs>
              <w:spacing w:line="217" w:lineRule="exact"/>
              <w:ind w:left="93"/>
              <w:rPr>
                <w:sz w:val="18"/>
              </w:rPr>
            </w:pPr>
            <w:r>
              <w:rPr>
                <w:spacing w:val="-2"/>
                <w:sz w:val="18"/>
              </w:rPr>
              <w:t>proyectos</w:t>
            </w:r>
            <w:r>
              <w:rPr>
                <w:sz w:val="18"/>
              </w:rPr>
              <w:tab/>
            </w:r>
            <w:r>
              <w:rPr>
                <w:spacing w:val="-5"/>
                <w:sz w:val="18"/>
              </w:rPr>
              <w:t>en</w:t>
            </w:r>
          </w:p>
          <w:p w14:paraId="5B0D0898" w14:textId="77777777" w:rsidR="000E52B0" w:rsidRDefault="00F60D74">
            <w:pPr>
              <w:pStyle w:val="TableParagraph"/>
              <w:tabs>
                <w:tab w:val="left" w:pos="637"/>
                <w:tab w:val="left" w:pos="1294"/>
                <w:tab w:val="left" w:pos="1404"/>
              </w:tabs>
              <w:spacing w:before="2"/>
              <w:ind w:left="93" w:right="77"/>
              <w:rPr>
                <w:sz w:val="18"/>
              </w:rPr>
            </w:pPr>
            <w:r>
              <w:rPr>
                <w:spacing w:val="-2"/>
                <w:sz w:val="18"/>
              </w:rPr>
              <w:t>materia</w:t>
            </w:r>
            <w:r>
              <w:rPr>
                <w:sz w:val="18"/>
              </w:rPr>
              <w:tab/>
            </w:r>
            <w:r>
              <w:rPr>
                <w:spacing w:val="-6"/>
                <w:sz w:val="18"/>
              </w:rPr>
              <w:t xml:space="preserve">de </w:t>
            </w:r>
            <w:r>
              <w:rPr>
                <w:spacing w:val="-2"/>
                <w:sz w:val="18"/>
              </w:rPr>
              <w:t xml:space="preserve">derechos humanos, derecho internacional humanitario, </w:t>
            </w:r>
            <w:r>
              <w:rPr>
                <w:sz w:val="18"/>
              </w:rPr>
              <w:t>integración</w:t>
            </w:r>
            <w:r>
              <w:rPr>
                <w:spacing w:val="80"/>
                <w:sz w:val="18"/>
              </w:rPr>
              <w:t xml:space="preserve"> </w:t>
            </w:r>
            <w:r>
              <w:rPr>
                <w:sz w:val="18"/>
              </w:rPr>
              <w:t>de la</w:t>
            </w:r>
            <w:r>
              <w:rPr>
                <w:spacing w:val="80"/>
                <w:sz w:val="18"/>
              </w:rPr>
              <w:t xml:space="preserve"> </w:t>
            </w:r>
            <w:r>
              <w:rPr>
                <w:sz w:val="18"/>
              </w:rPr>
              <w:t>Nación</w:t>
            </w:r>
            <w:r>
              <w:rPr>
                <w:spacing w:val="80"/>
                <w:sz w:val="18"/>
              </w:rPr>
              <w:t xml:space="preserve"> </w:t>
            </w:r>
            <w:r>
              <w:rPr>
                <w:sz w:val="18"/>
              </w:rPr>
              <w:t xml:space="preserve">con </w:t>
            </w:r>
            <w:r>
              <w:rPr>
                <w:spacing w:val="-4"/>
                <w:sz w:val="18"/>
              </w:rPr>
              <w:t>las</w:t>
            </w:r>
            <w:r>
              <w:rPr>
                <w:sz w:val="18"/>
              </w:rPr>
              <w:tab/>
            </w:r>
            <w:r>
              <w:rPr>
                <w:spacing w:val="-2"/>
                <w:sz w:val="18"/>
              </w:rPr>
              <w:t>entidades territoriales, seguridad</w:t>
            </w:r>
            <w:r>
              <w:rPr>
                <w:sz w:val="18"/>
              </w:rPr>
              <w:tab/>
            </w:r>
            <w:r>
              <w:rPr>
                <w:sz w:val="18"/>
              </w:rPr>
              <w:tab/>
            </w:r>
            <w:r>
              <w:rPr>
                <w:spacing w:val="-10"/>
                <w:sz w:val="18"/>
              </w:rPr>
              <w:t xml:space="preserve">y </w:t>
            </w:r>
            <w:r>
              <w:rPr>
                <w:spacing w:val="-2"/>
                <w:sz w:val="18"/>
              </w:rPr>
              <w:t>convivencia ciudadana, asuntos</w:t>
            </w:r>
            <w:r>
              <w:rPr>
                <w:spacing w:val="40"/>
                <w:sz w:val="18"/>
              </w:rPr>
              <w:t xml:space="preserve"> </w:t>
            </w:r>
            <w:r>
              <w:rPr>
                <w:spacing w:val="-2"/>
                <w:sz w:val="18"/>
              </w:rPr>
              <w:t>étnicos, población LGBTI,</w:t>
            </w:r>
          </w:p>
          <w:p w14:paraId="1E0F96B2" w14:textId="77777777" w:rsidR="000E52B0" w:rsidRDefault="00F60D74">
            <w:pPr>
              <w:pStyle w:val="TableParagraph"/>
              <w:tabs>
                <w:tab w:val="left" w:pos="1354"/>
              </w:tabs>
              <w:ind w:left="93" w:right="76"/>
              <w:rPr>
                <w:sz w:val="18"/>
              </w:rPr>
            </w:pPr>
            <w:r>
              <w:rPr>
                <w:spacing w:val="-2"/>
                <w:sz w:val="18"/>
              </w:rPr>
              <w:t>población vulnerable, democracia, participación ciudadana, acción</w:t>
            </w:r>
            <w:r>
              <w:rPr>
                <w:spacing w:val="40"/>
                <w:sz w:val="18"/>
              </w:rPr>
              <w:t xml:space="preserve"> </w:t>
            </w:r>
            <w:r>
              <w:rPr>
                <w:spacing w:val="-2"/>
                <w:sz w:val="18"/>
              </w:rPr>
              <w:t>comunal,</w:t>
            </w:r>
            <w:r>
              <w:rPr>
                <w:sz w:val="18"/>
              </w:rPr>
              <w:tab/>
            </w:r>
            <w:r>
              <w:rPr>
                <w:spacing w:val="-5"/>
                <w:sz w:val="18"/>
              </w:rPr>
              <w:t>la</w:t>
            </w:r>
          </w:p>
          <w:p w14:paraId="5714FE95" w14:textId="77777777" w:rsidR="000E52B0" w:rsidRDefault="00F60D74">
            <w:pPr>
              <w:pStyle w:val="TableParagraph"/>
              <w:tabs>
                <w:tab w:val="left" w:pos="1294"/>
              </w:tabs>
              <w:spacing w:line="219" w:lineRule="exact"/>
              <w:ind w:left="93"/>
              <w:rPr>
                <w:sz w:val="18"/>
              </w:rPr>
            </w:pPr>
            <w:r>
              <w:rPr>
                <w:spacing w:val="-2"/>
                <w:sz w:val="18"/>
              </w:rPr>
              <w:t>libertad</w:t>
            </w:r>
            <w:r>
              <w:rPr>
                <w:sz w:val="18"/>
              </w:rPr>
              <w:tab/>
            </w:r>
            <w:r>
              <w:rPr>
                <w:spacing w:val="-5"/>
                <w:sz w:val="18"/>
              </w:rPr>
              <w:t>de</w:t>
            </w:r>
          </w:p>
          <w:p w14:paraId="5B7784C0" w14:textId="77777777" w:rsidR="000E52B0" w:rsidRDefault="00F60D74">
            <w:pPr>
              <w:pStyle w:val="TableParagraph"/>
              <w:tabs>
                <w:tab w:val="left" w:pos="937"/>
                <w:tab w:val="left" w:pos="1354"/>
                <w:tab w:val="left" w:pos="1404"/>
              </w:tabs>
              <w:ind w:left="93" w:right="76"/>
              <w:rPr>
                <w:sz w:val="18"/>
              </w:rPr>
            </w:pPr>
            <w:r>
              <w:rPr>
                <w:spacing w:val="-2"/>
                <w:sz w:val="18"/>
              </w:rPr>
              <w:t>cultos</w:t>
            </w:r>
            <w:r>
              <w:rPr>
                <w:sz w:val="18"/>
              </w:rPr>
              <w:tab/>
            </w:r>
            <w:r>
              <w:rPr>
                <w:spacing w:val="-10"/>
                <w:sz w:val="18"/>
              </w:rPr>
              <w:t>y</w:t>
            </w:r>
            <w:r>
              <w:rPr>
                <w:sz w:val="18"/>
              </w:rPr>
              <w:tab/>
            </w:r>
            <w:r>
              <w:rPr>
                <w:spacing w:val="-6"/>
                <w:sz w:val="18"/>
              </w:rPr>
              <w:t xml:space="preserve">el </w:t>
            </w:r>
            <w:r>
              <w:rPr>
                <w:spacing w:val="-2"/>
                <w:sz w:val="18"/>
              </w:rPr>
              <w:t>derecho individual</w:t>
            </w:r>
            <w:r>
              <w:rPr>
                <w:sz w:val="18"/>
              </w:rPr>
              <w:tab/>
            </w:r>
            <w:r>
              <w:rPr>
                <w:sz w:val="18"/>
              </w:rPr>
              <w:tab/>
            </w:r>
            <w:r>
              <w:rPr>
                <w:spacing w:val="-10"/>
                <w:sz w:val="18"/>
              </w:rPr>
              <w:t>a</w:t>
            </w:r>
          </w:p>
          <w:p w14:paraId="132CA5CD" w14:textId="77777777" w:rsidR="000E52B0" w:rsidRDefault="00F60D74">
            <w:pPr>
              <w:pStyle w:val="TableParagraph"/>
              <w:tabs>
                <w:tab w:val="left" w:pos="1175"/>
              </w:tabs>
              <w:spacing w:before="1" w:line="219" w:lineRule="exact"/>
              <w:ind w:left="93"/>
              <w:rPr>
                <w:sz w:val="18"/>
              </w:rPr>
            </w:pPr>
            <w:r>
              <w:rPr>
                <w:spacing w:val="-2"/>
                <w:sz w:val="18"/>
              </w:rPr>
              <w:t>profesar</w:t>
            </w:r>
            <w:r>
              <w:rPr>
                <w:sz w:val="18"/>
              </w:rPr>
              <w:tab/>
            </w:r>
            <w:r>
              <w:rPr>
                <w:spacing w:val="-5"/>
                <w:sz w:val="18"/>
              </w:rPr>
              <w:t>una</w:t>
            </w:r>
          </w:p>
          <w:p w14:paraId="32E15A1A" w14:textId="77777777" w:rsidR="000E52B0" w:rsidRDefault="00F60D74">
            <w:pPr>
              <w:pStyle w:val="TableParagraph"/>
              <w:tabs>
                <w:tab w:val="left" w:pos="1405"/>
              </w:tabs>
              <w:ind w:left="93" w:right="76"/>
              <w:jc w:val="both"/>
              <w:rPr>
                <w:sz w:val="18"/>
              </w:rPr>
            </w:pPr>
            <w:r>
              <w:rPr>
                <w:sz w:val="18"/>
              </w:rPr>
              <w:t xml:space="preserve">religión o credo, consulta </w:t>
            </w:r>
            <w:r>
              <w:rPr>
                <w:spacing w:val="-2"/>
                <w:sz w:val="18"/>
              </w:rPr>
              <w:t>previa</w:t>
            </w:r>
            <w:r>
              <w:rPr>
                <w:sz w:val="18"/>
              </w:rPr>
              <w:tab/>
            </w:r>
            <w:r>
              <w:rPr>
                <w:spacing w:val="-10"/>
                <w:sz w:val="18"/>
              </w:rPr>
              <w:t>y</w:t>
            </w:r>
          </w:p>
          <w:p w14:paraId="0A4A6CDE" w14:textId="77777777" w:rsidR="000E52B0" w:rsidRDefault="00F60D74">
            <w:pPr>
              <w:pStyle w:val="TableParagraph"/>
              <w:tabs>
                <w:tab w:val="left" w:pos="1292"/>
              </w:tabs>
              <w:spacing w:line="218" w:lineRule="exact"/>
              <w:ind w:left="93"/>
              <w:rPr>
                <w:sz w:val="18"/>
              </w:rPr>
            </w:pPr>
            <w:r>
              <w:rPr>
                <w:spacing w:val="-2"/>
                <w:sz w:val="18"/>
              </w:rPr>
              <w:t>derecho</w:t>
            </w:r>
            <w:r>
              <w:rPr>
                <w:sz w:val="18"/>
              </w:rPr>
              <w:tab/>
            </w:r>
            <w:r>
              <w:rPr>
                <w:spacing w:val="-5"/>
                <w:sz w:val="18"/>
              </w:rPr>
              <w:t>de</w:t>
            </w:r>
          </w:p>
          <w:p w14:paraId="643F36D2" w14:textId="77777777" w:rsidR="000E52B0" w:rsidRDefault="00F60D74">
            <w:pPr>
              <w:pStyle w:val="TableParagraph"/>
              <w:tabs>
                <w:tab w:val="left" w:pos="1407"/>
              </w:tabs>
              <w:spacing w:before="1" w:line="219" w:lineRule="exact"/>
              <w:ind w:left="93"/>
              <w:rPr>
                <w:sz w:val="18"/>
              </w:rPr>
            </w:pPr>
            <w:r>
              <w:rPr>
                <w:spacing w:val="-2"/>
                <w:sz w:val="18"/>
              </w:rPr>
              <w:t>autor</w:t>
            </w:r>
            <w:r>
              <w:rPr>
                <w:sz w:val="18"/>
              </w:rPr>
              <w:tab/>
            </w:r>
            <w:r>
              <w:rPr>
                <w:spacing w:val="-10"/>
                <w:sz w:val="18"/>
              </w:rPr>
              <w:t>y</w:t>
            </w:r>
          </w:p>
          <w:p w14:paraId="6826FCA4" w14:textId="77777777" w:rsidR="000E52B0" w:rsidRDefault="00F60D74">
            <w:pPr>
              <w:pStyle w:val="TableParagraph"/>
              <w:spacing w:line="218" w:lineRule="exact"/>
              <w:ind w:left="93" w:right="679"/>
              <w:rPr>
                <w:sz w:val="18"/>
              </w:rPr>
            </w:pPr>
            <w:r>
              <w:rPr>
                <w:spacing w:val="-2"/>
                <w:sz w:val="18"/>
              </w:rPr>
              <w:t>derechos conexos</w:t>
            </w:r>
          </w:p>
        </w:tc>
        <w:tc>
          <w:tcPr>
            <w:tcW w:w="2647" w:type="dxa"/>
            <w:tcBorders>
              <w:top w:val="single" w:sz="4" w:space="0" w:color="000000"/>
              <w:left w:val="single" w:sz="4" w:space="0" w:color="000000"/>
              <w:right w:val="single" w:sz="4" w:space="0" w:color="000000"/>
            </w:tcBorders>
          </w:tcPr>
          <w:p w14:paraId="3AB6FE10" w14:textId="77777777" w:rsidR="000E52B0" w:rsidRDefault="00F60D74">
            <w:pPr>
              <w:pStyle w:val="TableParagraph"/>
              <w:tabs>
                <w:tab w:val="left" w:pos="1360"/>
                <w:tab w:val="left" w:pos="2257"/>
              </w:tabs>
              <w:ind w:left="91" w:right="75"/>
              <w:jc w:val="both"/>
              <w:rPr>
                <w:sz w:val="18"/>
              </w:rPr>
            </w:pPr>
            <w:r>
              <w:rPr>
                <w:sz w:val="18"/>
              </w:rPr>
              <w:t>Articular la formulación, adopción, ejecución y evaluación de la política pública del Sector Administrativo</w:t>
            </w:r>
            <w:r>
              <w:rPr>
                <w:spacing w:val="-10"/>
                <w:sz w:val="18"/>
              </w:rPr>
              <w:t xml:space="preserve"> </w:t>
            </w:r>
            <w:r>
              <w:rPr>
                <w:sz w:val="18"/>
              </w:rPr>
              <w:t>del</w:t>
            </w:r>
            <w:r>
              <w:rPr>
                <w:spacing w:val="-10"/>
                <w:sz w:val="18"/>
              </w:rPr>
              <w:t xml:space="preserve"> </w:t>
            </w:r>
            <w:r>
              <w:rPr>
                <w:sz w:val="18"/>
              </w:rPr>
              <w:t>Interior. Diseñar e implementar de conformidad con la ley las políticas públicas de protección, promoción, respeto y garantía de los Derechos Humanos, en coordinación</w:t>
            </w:r>
            <w:r>
              <w:rPr>
                <w:spacing w:val="-16"/>
                <w:sz w:val="18"/>
              </w:rPr>
              <w:t xml:space="preserve"> </w:t>
            </w:r>
            <w:r>
              <w:rPr>
                <w:sz w:val="18"/>
              </w:rPr>
              <w:t>con</w:t>
            </w:r>
            <w:r>
              <w:rPr>
                <w:spacing w:val="-16"/>
                <w:sz w:val="18"/>
              </w:rPr>
              <w:t xml:space="preserve"> </w:t>
            </w:r>
            <w:r>
              <w:rPr>
                <w:sz w:val="18"/>
              </w:rPr>
              <w:t>las</w:t>
            </w:r>
            <w:r>
              <w:rPr>
                <w:spacing w:val="-16"/>
                <w:sz w:val="18"/>
              </w:rPr>
              <w:t xml:space="preserve"> </w:t>
            </w:r>
            <w:r>
              <w:rPr>
                <w:sz w:val="18"/>
              </w:rPr>
              <w:t>demás entidades del Estado competentes, así como la prevención a las violaciones de éstos y la observancia al Derecho Internacional Humanitario, con un enfoque integral, diferencial y social.</w:t>
            </w:r>
            <w:r>
              <w:rPr>
                <w:spacing w:val="40"/>
                <w:sz w:val="18"/>
              </w:rPr>
              <w:t xml:space="preserve"> </w:t>
            </w:r>
            <w:r>
              <w:rPr>
                <w:sz w:val="18"/>
              </w:rPr>
              <w:t>Servir de</w:t>
            </w:r>
            <w:r>
              <w:rPr>
                <w:spacing w:val="-4"/>
                <w:sz w:val="18"/>
              </w:rPr>
              <w:t xml:space="preserve"> </w:t>
            </w:r>
            <w:r>
              <w:rPr>
                <w:sz w:val="18"/>
              </w:rPr>
              <w:t>enlace</w:t>
            </w:r>
            <w:r>
              <w:rPr>
                <w:spacing w:val="-4"/>
                <w:sz w:val="18"/>
              </w:rPr>
              <w:t xml:space="preserve"> </w:t>
            </w:r>
            <w:r>
              <w:rPr>
                <w:sz w:val="18"/>
              </w:rPr>
              <w:t>y</w:t>
            </w:r>
            <w:r>
              <w:rPr>
                <w:spacing w:val="-6"/>
                <w:sz w:val="18"/>
              </w:rPr>
              <w:t xml:space="preserve"> </w:t>
            </w:r>
            <w:r>
              <w:rPr>
                <w:sz w:val="18"/>
              </w:rPr>
              <w:t>coordinador</w:t>
            </w:r>
            <w:r>
              <w:rPr>
                <w:spacing w:val="-5"/>
                <w:sz w:val="18"/>
              </w:rPr>
              <w:t xml:space="preserve"> </w:t>
            </w:r>
            <w:r>
              <w:rPr>
                <w:sz w:val="18"/>
              </w:rPr>
              <w:t>de las entidades del orden nacional</w:t>
            </w:r>
            <w:r>
              <w:rPr>
                <w:spacing w:val="-8"/>
                <w:sz w:val="18"/>
              </w:rPr>
              <w:t xml:space="preserve"> </w:t>
            </w:r>
            <w:r>
              <w:rPr>
                <w:sz w:val="18"/>
              </w:rPr>
              <w:t>en</w:t>
            </w:r>
            <w:r>
              <w:rPr>
                <w:spacing w:val="-5"/>
                <w:sz w:val="18"/>
              </w:rPr>
              <w:t xml:space="preserve"> </w:t>
            </w:r>
            <w:r>
              <w:rPr>
                <w:sz w:val="18"/>
              </w:rPr>
              <w:t>su</w:t>
            </w:r>
            <w:r>
              <w:rPr>
                <w:spacing w:val="-5"/>
                <w:sz w:val="18"/>
              </w:rPr>
              <w:t xml:space="preserve"> </w:t>
            </w:r>
            <w:r>
              <w:rPr>
                <w:sz w:val="18"/>
              </w:rPr>
              <w:t>relación</w:t>
            </w:r>
            <w:r>
              <w:rPr>
                <w:spacing w:val="-5"/>
                <w:sz w:val="18"/>
              </w:rPr>
              <w:t xml:space="preserve"> </w:t>
            </w:r>
            <w:r>
              <w:rPr>
                <w:sz w:val="18"/>
              </w:rPr>
              <w:t>con los entes territoriales y promover</w:t>
            </w:r>
            <w:r>
              <w:rPr>
                <w:spacing w:val="-5"/>
                <w:sz w:val="18"/>
              </w:rPr>
              <w:t xml:space="preserve"> </w:t>
            </w:r>
            <w:r>
              <w:rPr>
                <w:sz w:val="18"/>
              </w:rPr>
              <w:t>la</w:t>
            </w:r>
            <w:r>
              <w:rPr>
                <w:spacing w:val="-5"/>
                <w:sz w:val="18"/>
              </w:rPr>
              <w:t xml:space="preserve"> </w:t>
            </w:r>
            <w:r>
              <w:rPr>
                <w:sz w:val="18"/>
              </w:rPr>
              <w:t>integración</w:t>
            </w:r>
            <w:r>
              <w:rPr>
                <w:spacing w:val="-5"/>
                <w:sz w:val="18"/>
              </w:rPr>
              <w:t xml:space="preserve"> </w:t>
            </w:r>
            <w:r>
              <w:rPr>
                <w:sz w:val="18"/>
              </w:rPr>
              <w:t>de la</w:t>
            </w:r>
            <w:r>
              <w:rPr>
                <w:spacing w:val="-6"/>
                <w:sz w:val="18"/>
              </w:rPr>
              <w:t xml:space="preserve"> </w:t>
            </w:r>
            <w:r>
              <w:rPr>
                <w:sz w:val="18"/>
              </w:rPr>
              <w:t>Nación</w:t>
            </w:r>
            <w:r>
              <w:rPr>
                <w:spacing w:val="-5"/>
                <w:sz w:val="18"/>
              </w:rPr>
              <w:t xml:space="preserve"> </w:t>
            </w:r>
            <w:r>
              <w:rPr>
                <w:sz w:val="18"/>
              </w:rPr>
              <w:t>con</w:t>
            </w:r>
            <w:r>
              <w:rPr>
                <w:spacing w:val="-5"/>
                <w:sz w:val="18"/>
              </w:rPr>
              <w:t xml:space="preserve"> </w:t>
            </w:r>
            <w:r>
              <w:rPr>
                <w:sz w:val="18"/>
              </w:rPr>
              <w:t>el</w:t>
            </w:r>
            <w:r>
              <w:rPr>
                <w:spacing w:val="-7"/>
                <w:sz w:val="18"/>
              </w:rPr>
              <w:t xml:space="preserve"> </w:t>
            </w:r>
            <w:r>
              <w:rPr>
                <w:sz w:val="18"/>
              </w:rPr>
              <w:t>territorio</w:t>
            </w:r>
            <w:r>
              <w:rPr>
                <w:spacing w:val="-7"/>
                <w:sz w:val="18"/>
              </w:rPr>
              <w:t xml:space="preserve"> </w:t>
            </w:r>
            <w:r>
              <w:rPr>
                <w:sz w:val="18"/>
              </w:rPr>
              <w:t>y el desarrollo territorial a través</w:t>
            </w:r>
            <w:r>
              <w:rPr>
                <w:spacing w:val="-7"/>
                <w:sz w:val="18"/>
              </w:rPr>
              <w:t xml:space="preserve"> </w:t>
            </w:r>
            <w:r>
              <w:rPr>
                <w:sz w:val="18"/>
              </w:rPr>
              <w:t>de</w:t>
            </w:r>
            <w:r>
              <w:rPr>
                <w:spacing w:val="-6"/>
                <w:sz w:val="18"/>
              </w:rPr>
              <w:t xml:space="preserve"> </w:t>
            </w:r>
            <w:r>
              <w:rPr>
                <w:sz w:val="18"/>
              </w:rPr>
              <w:t>la</w:t>
            </w:r>
            <w:r>
              <w:rPr>
                <w:spacing w:val="-7"/>
                <w:sz w:val="18"/>
              </w:rPr>
              <w:t xml:space="preserve"> </w:t>
            </w:r>
            <w:r>
              <w:rPr>
                <w:sz w:val="18"/>
              </w:rPr>
              <w:t>profundización de la descentralización, ordenamiento</w:t>
            </w:r>
            <w:r>
              <w:rPr>
                <w:spacing w:val="-7"/>
                <w:sz w:val="18"/>
              </w:rPr>
              <w:t xml:space="preserve"> </w:t>
            </w:r>
            <w:r>
              <w:rPr>
                <w:sz w:val="18"/>
              </w:rPr>
              <w:t>y</w:t>
            </w:r>
            <w:r>
              <w:rPr>
                <w:spacing w:val="-8"/>
                <w:sz w:val="18"/>
              </w:rPr>
              <w:t xml:space="preserve"> </w:t>
            </w:r>
            <w:r>
              <w:rPr>
                <w:sz w:val="18"/>
              </w:rPr>
              <w:t>autonomía territorial</w:t>
            </w:r>
            <w:r>
              <w:rPr>
                <w:spacing w:val="-3"/>
                <w:sz w:val="18"/>
              </w:rPr>
              <w:t xml:space="preserve"> </w:t>
            </w:r>
            <w:r>
              <w:rPr>
                <w:sz w:val="18"/>
              </w:rPr>
              <w:t>y</w:t>
            </w:r>
            <w:r>
              <w:rPr>
                <w:spacing w:val="-2"/>
                <w:sz w:val="18"/>
              </w:rPr>
              <w:t xml:space="preserve"> </w:t>
            </w:r>
            <w:r>
              <w:rPr>
                <w:sz w:val="18"/>
              </w:rPr>
              <w:t>la</w:t>
            </w:r>
            <w:r>
              <w:rPr>
                <w:spacing w:val="-4"/>
                <w:sz w:val="18"/>
              </w:rPr>
              <w:t xml:space="preserve"> </w:t>
            </w:r>
            <w:r>
              <w:rPr>
                <w:sz w:val="18"/>
              </w:rPr>
              <w:t xml:space="preserve">coordinación y armonización de las agendas de los diversos sectores administrativos, </w:t>
            </w:r>
            <w:r>
              <w:rPr>
                <w:spacing w:val="-2"/>
                <w:sz w:val="18"/>
              </w:rPr>
              <w:t>dentro</w:t>
            </w:r>
            <w:r>
              <w:rPr>
                <w:sz w:val="18"/>
              </w:rPr>
              <w:tab/>
            </w:r>
            <w:r>
              <w:rPr>
                <w:spacing w:val="-6"/>
                <w:sz w:val="18"/>
              </w:rPr>
              <w:t>de</w:t>
            </w:r>
            <w:r>
              <w:rPr>
                <w:sz w:val="18"/>
              </w:rPr>
              <w:tab/>
            </w:r>
            <w:r>
              <w:rPr>
                <w:spacing w:val="-4"/>
                <w:sz w:val="18"/>
              </w:rPr>
              <w:t xml:space="preserve">sus </w:t>
            </w:r>
            <w:r>
              <w:rPr>
                <w:sz w:val="18"/>
              </w:rPr>
              <w:t>competencias, en procura de este objetivo</w:t>
            </w:r>
          </w:p>
        </w:tc>
        <w:tc>
          <w:tcPr>
            <w:tcW w:w="1985" w:type="dxa"/>
            <w:tcBorders>
              <w:top w:val="single" w:sz="4" w:space="0" w:color="000000"/>
              <w:left w:val="single" w:sz="4" w:space="0" w:color="000000"/>
              <w:right w:val="single" w:sz="4" w:space="0" w:color="000000"/>
            </w:tcBorders>
          </w:tcPr>
          <w:p w14:paraId="193D8787" w14:textId="77777777" w:rsidR="000E52B0" w:rsidRDefault="00F60D74">
            <w:pPr>
              <w:pStyle w:val="TableParagraph"/>
              <w:ind w:left="91" w:right="75"/>
              <w:jc w:val="both"/>
              <w:rPr>
                <w:sz w:val="18"/>
              </w:rPr>
            </w:pPr>
            <w:r>
              <w:rPr>
                <w:sz w:val="18"/>
              </w:rPr>
              <w:t>Derechos humanos en</w:t>
            </w:r>
            <w:r>
              <w:rPr>
                <w:spacing w:val="-14"/>
                <w:sz w:val="18"/>
              </w:rPr>
              <w:t xml:space="preserve"> </w:t>
            </w:r>
            <w:r>
              <w:rPr>
                <w:sz w:val="18"/>
              </w:rPr>
              <w:t>general</w:t>
            </w:r>
            <w:r>
              <w:rPr>
                <w:spacing w:val="-14"/>
                <w:sz w:val="18"/>
              </w:rPr>
              <w:t xml:space="preserve"> </w:t>
            </w:r>
            <w:r>
              <w:rPr>
                <w:sz w:val="18"/>
              </w:rPr>
              <w:t>(</w:t>
            </w:r>
            <w:proofErr w:type="spellStart"/>
            <w:r>
              <w:rPr>
                <w:sz w:val="18"/>
              </w:rPr>
              <w:t>art.s</w:t>
            </w:r>
            <w:proofErr w:type="spellEnd"/>
            <w:r>
              <w:rPr>
                <w:spacing w:val="-15"/>
                <w:sz w:val="18"/>
              </w:rPr>
              <w:t xml:space="preserve"> </w:t>
            </w:r>
            <w:r>
              <w:rPr>
                <w:sz w:val="18"/>
              </w:rPr>
              <w:t>11 al 44 C.P)</w:t>
            </w:r>
          </w:p>
          <w:p w14:paraId="6885061B" w14:textId="77777777" w:rsidR="000E52B0" w:rsidRDefault="00F60D74">
            <w:pPr>
              <w:pStyle w:val="TableParagraph"/>
              <w:tabs>
                <w:tab w:val="left" w:pos="1739"/>
              </w:tabs>
              <w:spacing w:before="218"/>
              <w:ind w:left="91" w:right="74"/>
              <w:jc w:val="both"/>
              <w:rPr>
                <w:sz w:val="18"/>
              </w:rPr>
            </w:pPr>
            <w:r>
              <w:rPr>
                <w:spacing w:val="-2"/>
                <w:sz w:val="18"/>
              </w:rPr>
              <w:t>Mantener</w:t>
            </w:r>
            <w:r>
              <w:rPr>
                <w:sz w:val="18"/>
              </w:rPr>
              <w:tab/>
            </w:r>
            <w:r>
              <w:rPr>
                <w:spacing w:val="-6"/>
                <w:sz w:val="18"/>
              </w:rPr>
              <w:t xml:space="preserve">la </w:t>
            </w:r>
            <w:r>
              <w:rPr>
                <w:spacing w:val="-2"/>
                <w:sz w:val="18"/>
              </w:rPr>
              <w:t>integridad</w:t>
            </w:r>
            <w:r>
              <w:rPr>
                <w:spacing w:val="-9"/>
                <w:sz w:val="18"/>
              </w:rPr>
              <w:t xml:space="preserve"> </w:t>
            </w:r>
            <w:r>
              <w:rPr>
                <w:spacing w:val="-2"/>
                <w:sz w:val="18"/>
              </w:rPr>
              <w:t xml:space="preserve">territorial </w:t>
            </w:r>
            <w:r>
              <w:rPr>
                <w:sz w:val="18"/>
              </w:rPr>
              <w:t>(art. 2 C.P)</w:t>
            </w:r>
          </w:p>
          <w:p w14:paraId="52481F43" w14:textId="77777777" w:rsidR="000E52B0" w:rsidRDefault="000E52B0">
            <w:pPr>
              <w:pStyle w:val="TableParagraph"/>
              <w:spacing w:before="1"/>
              <w:rPr>
                <w:sz w:val="18"/>
              </w:rPr>
            </w:pPr>
          </w:p>
          <w:p w14:paraId="33E424EF" w14:textId="77777777" w:rsidR="000E52B0" w:rsidRDefault="00F60D74">
            <w:pPr>
              <w:pStyle w:val="TableParagraph"/>
              <w:ind w:left="91" w:right="76"/>
              <w:jc w:val="both"/>
              <w:rPr>
                <w:sz w:val="18"/>
              </w:rPr>
            </w:pPr>
            <w:r>
              <w:rPr>
                <w:sz w:val="18"/>
              </w:rPr>
              <w:t xml:space="preserve">Servir a la comunidad (art. 2 </w:t>
            </w:r>
            <w:r>
              <w:rPr>
                <w:spacing w:val="-4"/>
                <w:sz w:val="18"/>
              </w:rPr>
              <w:t>C.P)</w:t>
            </w:r>
          </w:p>
          <w:p w14:paraId="5269A543" w14:textId="77777777" w:rsidR="000E52B0" w:rsidRDefault="00F60D74">
            <w:pPr>
              <w:pStyle w:val="TableParagraph"/>
              <w:tabs>
                <w:tab w:val="left" w:pos="1739"/>
              </w:tabs>
              <w:spacing w:before="218" w:line="219" w:lineRule="exact"/>
              <w:ind w:left="91"/>
              <w:jc w:val="both"/>
              <w:rPr>
                <w:sz w:val="18"/>
              </w:rPr>
            </w:pPr>
            <w:r>
              <w:rPr>
                <w:spacing w:val="-2"/>
                <w:sz w:val="18"/>
              </w:rPr>
              <w:t>Facilitar</w:t>
            </w:r>
            <w:r>
              <w:rPr>
                <w:sz w:val="18"/>
              </w:rPr>
              <w:tab/>
            </w:r>
            <w:r>
              <w:rPr>
                <w:spacing w:val="-5"/>
                <w:sz w:val="18"/>
              </w:rPr>
              <w:t>la</w:t>
            </w:r>
          </w:p>
          <w:p w14:paraId="39F5DD46" w14:textId="77777777" w:rsidR="000E52B0" w:rsidRDefault="00F60D74">
            <w:pPr>
              <w:pStyle w:val="TableParagraph"/>
              <w:tabs>
                <w:tab w:val="left" w:pos="1186"/>
              </w:tabs>
              <w:ind w:left="91" w:right="75"/>
              <w:jc w:val="both"/>
              <w:rPr>
                <w:sz w:val="18"/>
              </w:rPr>
            </w:pPr>
            <w:r>
              <w:rPr>
                <w:sz w:val="18"/>
              </w:rPr>
              <w:t>participación en todas</w:t>
            </w:r>
            <w:r>
              <w:rPr>
                <w:spacing w:val="-16"/>
                <w:sz w:val="18"/>
              </w:rPr>
              <w:t xml:space="preserve"> </w:t>
            </w:r>
            <w:r>
              <w:rPr>
                <w:sz w:val="18"/>
              </w:rPr>
              <w:t>las</w:t>
            </w:r>
            <w:r>
              <w:rPr>
                <w:spacing w:val="-16"/>
                <w:sz w:val="18"/>
              </w:rPr>
              <w:t xml:space="preserve"> </w:t>
            </w:r>
            <w:r>
              <w:rPr>
                <w:sz w:val="18"/>
              </w:rPr>
              <w:t xml:space="preserve">decisiones </w:t>
            </w:r>
            <w:r>
              <w:rPr>
                <w:spacing w:val="-2"/>
                <w:sz w:val="18"/>
              </w:rPr>
              <w:t>(...)</w:t>
            </w:r>
            <w:r>
              <w:rPr>
                <w:sz w:val="18"/>
              </w:rPr>
              <w:tab/>
            </w:r>
            <w:r>
              <w:rPr>
                <w:spacing w:val="-2"/>
                <w:sz w:val="18"/>
              </w:rPr>
              <w:t xml:space="preserve">política, </w:t>
            </w:r>
            <w:r>
              <w:rPr>
                <w:sz w:val="18"/>
              </w:rPr>
              <w:t>administrativa (art. 2 C.P)</w:t>
            </w:r>
          </w:p>
        </w:tc>
        <w:tc>
          <w:tcPr>
            <w:tcW w:w="1337" w:type="dxa"/>
            <w:tcBorders>
              <w:top w:val="single" w:sz="4" w:space="0" w:color="000000"/>
              <w:left w:val="single" w:sz="4" w:space="0" w:color="000000"/>
            </w:tcBorders>
          </w:tcPr>
          <w:p w14:paraId="2836896B" w14:textId="77777777" w:rsidR="000E52B0" w:rsidRDefault="00F60D74">
            <w:pPr>
              <w:pStyle w:val="TableParagraph"/>
              <w:tabs>
                <w:tab w:val="left" w:pos="979"/>
              </w:tabs>
              <w:ind w:left="92" w:right="72"/>
              <w:rPr>
                <w:sz w:val="18"/>
              </w:rPr>
            </w:pPr>
            <w:r>
              <w:rPr>
                <w:spacing w:val="-2"/>
                <w:sz w:val="18"/>
              </w:rPr>
              <w:t xml:space="preserve">Sector </w:t>
            </w:r>
            <w:proofErr w:type="spellStart"/>
            <w:r>
              <w:rPr>
                <w:spacing w:val="-2"/>
                <w:sz w:val="18"/>
              </w:rPr>
              <w:t>Administrati</w:t>
            </w:r>
            <w:proofErr w:type="spellEnd"/>
            <w:r>
              <w:rPr>
                <w:spacing w:val="-2"/>
                <w:sz w:val="18"/>
              </w:rPr>
              <w:t xml:space="preserve"> </w:t>
            </w:r>
            <w:proofErr w:type="spellStart"/>
            <w:r>
              <w:rPr>
                <w:spacing w:val="-5"/>
                <w:sz w:val="18"/>
              </w:rPr>
              <w:t>vo</w:t>
            </w:r>
            <w:proofErr w:type="spellEnd"/>
            <w:r>
              <w:rPr>
                <w:sz w:val="18"/>
              </w:rPr>
              <w:tab/>
            </w:r>
            <w:r>
              <w:rPr>
                <w:spacing w:val="-5"/>
                <w:sz w:val="18"/>
              </w:rPr>
              <w:t>del</w:t>
            </w:r>
          </w:p>
          <w:p w14:paraId="4F42902F" w14:textId="77777777" w:rsidR="000E52B0" w:rsidRDefault="00F60D74">
            <w:pPr>
              <w:pStyle w:val="TableParagraph"/>
              <w:ind w:left="92"/>
              <w:rPr>
                <w:sz w:val="18"/>
              </w:rPr>
            </w:pPr>
            <w:r>
              <w:rPr>
                <w:spacing w:val="-2"/>
                <w:sz w:val="18"/>
              </w:rPr>
              <w:t>Interior</w:t>
            </w:r>
          </w:p>
        </w:tc>
      </w:tr>
    </w:tbl>
    <w:p w14:paraId="3367B71B" w14:textId="77777777" w:rsidR="000E52B0" w:rsidRDefault="000E52B0">
      <w:pPr>
        <w:pStyle w:val="TableParagraph"/>
        <w:rPr>
          <w:sz w:val="18"/>
        </w:rPr>
        <w:sectPr w:rsidR="000E52B0">
          <w:type w:val="continuous"/>
          <w:pgSz w:w="11910" w:h="16840"/>
          <w:pgMar w:top="1400" w:right="720" w:bottom="1180" w:left="720" w:header="0" w:footer="995" w:gutter="0"/>
          <w:cols w:space="720"/>
        </w:sectPr>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6"/>
        <w:gridCol w:w="1601"/>
        <w:gridCol w:w="2647"/>
        <w:gridCol w:w="1985"/>
        <w:gridCol w:w="1337"/>
      </w:tblGrid>
      <w:tr w:rsidR="000E52B0" w14:paraId="3556FFC0" w14:textId="77777777">
        <w:trPr>
          <w:trHeight w:val="875"/>
        </w:trPr>
        <w:tc>
          <w:tcPr>
            <w:tcW w:w="1416" w:type="dxa"/>
            <w:tcBorders>
              <w:bottom w:val="single" w:sz="4" w:space="0" w:color="000000"/>
              <w:right w:val="single" w:sz="4" w:space="0" w:color="000000"/>
            </w:tcBorders>
            <w:shd w:val="clear" w:color="auto" w:fill="D44673"/>
          </w:tcPr>
          <w:p w14:paraId="2CE8527D" w14:textId="77777777" w:rsidR="000E52B0" w:rsidRDefault="000E52B0">
            <w:pPr>
              <w:pStyle w:val="TableParagraph"/>
              <w:spacing w:before="109"/>
              <w:rPr>
                <w:sz w:val="18"/>
              </w:rPr>
            </w:pPr>
          </w:p>
          <w:p w14:paraId="67B14A6B" w14:textId="77777777" w:rsidR="000E52B0" w:rsidRDefault="00F60D74">
            <w:pPr>
              <w:pStyle w:val="TableParagraph"/>
              <w:ind w:left="206"/>
              <w:rPr>
                <w:b/>
                <w:sz w:val="18"/>
              </w:rPr>
            </w:pPr>
            <w:r>
              <w:rPr>
                <w:b/>
                <w:color w:val="FFFFFF"/>
                <w:spacing w:val="-2"/>
                <w:sz w:val="18"/>
              </w:rPr>
              <w:t>Ministerio</w:t>
            </w:r>
          </w:p>
        </w:tc>
        <w:tc>
          <w:tcPr>
            <w:tcW w:w="1601" w:type="dxa"/>
            <w:tcBorders>
              <w:left w:val="single" w:sz="4" w:space="0" w:color="000000"/>
              <w:bottom w:val="single" w:sz="4" w:space="0" w:color="000000"/>
              <w:right w:val="single" w:sz="4" w:space="0" w:color="000000"/>
            </w:tcBorders>
            <w:shd w:val="clear" w:color="auto" w:fill="D44673"/>
          </w:tcPr>
          <w:p w14:paraId="1780CFE1" w14:textId="77777777" w:rsidR="000E52B0" w:rsidRDefault="000E52B0">
            <w:pPr>
              <w:pStyle w:val="TableParagraph"/>
              <w:spacing w:before="109"/>
              <w:rPr>
                <w:sz w:val="18"/>
              </w:rPr>
            </w:pPr>
          </w:p>
          <w:p w14:paraId="43B39885" w14:textId="77777777" w:rsidR="000E52B0" w:rsidRDefault="00F60D74">
            <w:pPr>
              <w:pStyle w:val="TableParagraph"/>
              <w:ind w:left="374"/>
              <w:rPr>
                <w:b/>
                <w:sz w:val="18"/>
              </w:rPr>
            </w:pPr>
            <w:r>
              <w:rPr>
                <w:b/>
                <w:color w:val="FFFFFF"/>
                <w:spacing w:val="-2"/>
                <w:sz w:val="18"/>
              </w:rPr>
              <w:t>Objetivo</w:t>
            </w:r>
          </w:p>
        </w:tc>
        <w:tc>
          <w:tcPr>
            <w:tcW w:w="2647" w:type="dxa"/>
            <w:tcBorders>
              <w:left w:val="single" w:sz="4" w:space="0" w:color="000000"/>
              <w:bottom w:val="single" w:sz="4" w:space="0" w:color="000000"/>
              <w:right w:val="single" w:sz="4" w:space="0" w:color="000000"/>
            </w:tcBorders>
            <w:shd w:val="clear" w:color="auto" w:fill="D44673"/>
          </w:tcPr>
          <w:p w14:paraId="5BEEFF7B" w14:textId="77777777" w:rsidR="000E52B0" w:rsidRDefault="000E52B0">
            <w:pPr>
              <w:pStyle w:val="TableParagraph"/>
              <w:spacing w:before="109"/>
              <w:rPr>
                <w:sz w:val="18"/>
              </w:rPr>
            </w:pPr>
          </w:p>
          <w:p w14:paraId="7ACBF15D" w14:textId="77777777" w:rsidR="000E52B0" w:rsidRDefault="00F60D74">
            <w:pPr>
              <w:pStyle w:val="TableParagraph"/>
              <w:ind w:left="813"/>
              <w:rPr>
                <w:b/>
                <w:sz w:val="18"/>
              </w:rPr>
            </w:pPr>
            <w:r>
              <w:rPr>
                <w:b/>
                <w:color w:val="FFFFFF"/>
                <w:spacing w:val="-2"/>
                <w:sz w:val="18"/>
              </w:rPr>
              <w:t>Funciones</w:t>
            </w:r>
          </w:p>
        </w:tc>
        <w:tc>
          <w:tcPr>
            <w:tcW w:w="1985" w:type="dxa"/>
            <w:tcBorders>
              <w:left w:val="single" w:sz="4" w:space="0" w:color="000000"/>
              <w:bottom w:val="single" w:sz="4" w:space="0" w:color="000000"/>
              <w:right w:val="single" w:sz="4" w:space="0" w:color="000000"/>
            </w:tcBorders>
            <w:shd w:val="clear" w:color="auto" w:fill="D44673"/>
          </w:tcPr>
          <w:p w14:paraId="7CF77B43" w14:textId="77777777" w:rsidR="000E52B0" w:rsidRDefault="00F60D74">
            <w:pPr>
              <w:pStyle w:val="TableParagraph"/>
              <w:ind w:left="118" w:right="105" w:firstLine="1"/>
              <w:jc w:val="center"/>
              <w:rPr>
                <w:b/>
                <w:sz w:val="18"/>
              </w:rPr>
            </w:pPr>
            <w:r>
              <w:rPr>
                <w:b/>
                <w:color w:val="FFFFFF"/>
                <w:sz w:val="18"/>
              </w:rPr>
              <w:t>Derecho</w:t>
            </w:r>
            <w:r>
              <w:rPr>
                <w:b/>
                <w:color w:val="FFFFFF"/>
                <w:spacing w:val="-16"/>
                <w:sz w:val="18"/>
              </w:rPr>
              <w:t xml:space="preserve"> </w:t>
            </w:r>
            <w:r>
              <w:rPr>
                <w:b/>
                <w:color w:val="FFFFFF"/>
                <w:sz w:val="18"/>
              </w:rPr>
              <w:t>Humano o</w:t>
            </w:r>
            <w:r>
              <w:rPr>
                <w:b/>
                <w:color w:val="FFFFFF"/>
                <w:spacing w:val="-1"/>
                <w:sz w:val="18"/>
              </w:rPr>
              <w:t xml:space="preserve"> </w:t>
            </w:r>
            <w:r>
              <w:rPr>
                <w:b/>
                <w:color w:val="FFFFFF"/>
                <w:sz w:val="18"/>
              </w:rPr>
              <w:t>Fin</w:t>
            </w:r>
            <w:r>
              <w:rPr>
                <w:b/>
                <w:color w:val="FFFFFF"/>
                <w:spacing w:val="-3"/>
                <w:sz w:val="18"/>
              </w:rPr>
              <w:t xml:space="preserve"> </w:t>
            </w:r>
            <w:r>
              <w:rPr>
                <w:b/>
                <w:color w:val="FFFFFF"/>
                <w:sz w:val="18"/>
              </w:rPr>
              <w:t xml:space="preserve">Esencial </w:t>
            </w:r>
            <w:r>
              <w:rPr>
                <w:b/>
                <w:color w:val="FFFFFF"/>
                <w:spacing w:val="-5"/>
                <w:sz w:val="18"/>
              </w:rPr>
              <w:t>del</w:t>
            </w:r>
          </w:p>
          <w:p w14:paraId="3D40AA8F" w14:textId="77777777" w:rsidR="000E52B0" w:rsidRDefault="00F60D74">
            <w:pPr>
              <w:pStyle w:val="TableParagraph"/>
              <w:spacing w:line="218" w:lineRule="exact"/>
              <w:ind w:left="12"/>
              <w:jc w:val="center"/>
              <w:rPr>
                <w:b/>
                <w:sz w:val="18"/>
              </w:rPr>
            </w:pPr>
            <w:r>
              <w:rPr>
                <w:b/>
                <w:color w:val="FFFFFF"/>
                <w:sz w:val="18"/>
              </w:rPr>
              <w:t>Estado</w:t>
            </w:r>
            <w:r>
              <w:rPr>
                <w:b/>
                <w:color w:val="FFFFFF"/>
                <w:spacing w:val="-16"/>
                <w:sz w:val="18"/>
              </w:rPr>
              <w:t xml:space="preserve"> </w:t>
            </w:r>
            <w:r>
              <w:rPr>
                <w:b/>
                <w:color w:val="FFFFFF"/>
                <w:sz w:val="18"/>
              </w:rPr>
              <w:t>al</w:t>
            </w:r>
            <w:r>
              <w:rPr>
                <w:b/>
                <w:color w:val="FFFFFF"/>
                <w:spacing w:val="-15"/>
                <w:sz w:val="18"/>
              </w:rPr>
              <w:t xml:space="preserve"> </w:t>
            </w:r>
            <w:r>
              <w:rPr>
                <w:b/>
                <w:color w:val="FFFFFF"/>
                <w:sz w:val="18"/>
              </w:rPr>
              <w:t xml:space="preserve">que </w:t>
            </w:r>
            <w:r>
              <w:rPr>
                <w:b/>
                <w:color w:val="FFFFFF"/>
                <w:spacing w:val="-2"/>
                <w:sz w:val="18"/>
              </w:rPr>
              <w:t>responde.</w:t>
            </w:r>
          </w:p>
        </w:tc>
        <w:tc>
          <w:tcPr>
            <w:tcW w:w="1337" w:type="dxa"/>
            <w:tcBorders>
              <w:left w:val="single" w:sz="4" w:space="0" w:color="000000"/>
              <w:bottom w:val="single" w:sz="4" w:space="0" w:color="000000"/>
            </w:tcBorders>
            <w:shd w:val="clear" w:color="auto" w:fill="D44673"/>
          </w:tcPr>
          <w:p w14:paraId="74DBF51B" w14:textId="77777777" w:rsidR="000E52B0" w:rsidRDefault="00F60D74">
            <w:pPr>
              <w:pStyle w:val="TableParagraph"/>
              <w:spacing w:before="217" w:line="242" w:lineRule="auto"/>
              <w:ind w:left="579" w:right="91" w:hanging="473"/>
              <w:rPr>
                <w:b/>
                <w:sz w:val="18"/>
              </w:rPr>
            </w:pPr>
            <w:proofErr w:type="spellStart"/>
            <w:r>
              <w:rPr>
                <w:b/>
                <w:color w:val="FFFFFF"/>
                <w:spacing w:val="-2"/>
                <w:sz w:val="18"/>
              </w:rPr>
              <w:t>Competenc</w:t>
            </w:r>
            <w:proofErr w:type="spellEnd"/>
            <w:r>
              <w:rPr>
                <w:b/>
                <w:color w:val="FFFFFF"/>
                <w:spacing w:val="-2"/>
                <w:sz w:val="18"/>
              </w:rPr>
              <w:t xml:space="preserve"> </w:t>
            </w:r>
            <w:proofErr w:type="spellStart"/>
            <w:r>
              <w:rPr>
                <w:b/>
                <w:color w:val="FFFFFF"/>
                <w:spacing w:val="-6"/>
                <w:sz w:val="18"/>
              </w:rPr>
              <w:t>ia</w:t>
            </w:r>
            <w:proofErr w:type="spellEnd"/>
          </w:p>
        </w:tc>
      </w:tr>
      <w:tr w:rsidR="000E52B0" w14:paraId="7EDFD7AC" w14:textId="77777777">
        <w:trPr>
          <w:trHeight w:val="8532"/>
        </w:trPr>
        <w:tc>
          <w:tcPr>
            <w:tcW w:w="1416" w:type="dxa"/>
            <w:tcBorders>
              <w:top w:val="single" w:sz="4" w:space="0" w:color="000000"/>
              <w:bottom w:val="single" w:sz="4" w:space="0" w:color="000000"/>
              <w:right w:val="single" w:sz="4" w:space="0" w:color="000000"/>
            </w:tcBorders>
          </w:tcPr>
          <w:p w14:paraId="659E34CD" w14:textId="77777777" w:rsidR="000E52B0" w:rsidRDefault="00F60D74">
            <w:pPr>
              <w:pStyle w:val="TableParagraph"/>
              <w:tabs>
                <w:tab w:val="left" w:pos="973"/>
              </w:tabs>
              <w:ind w:left="90" w:right="75"/>
              <w:rPr>
                <w:sz w:val="18"/>
              </w:rPr>
            </w:pPr>
            <w:r>
              <w:rPr>
                <w:spacing w:val="-2"/>
                <w:sz w:val="18"/>
              </w:rPr>
              <w:t xml:space="preserve">MINISTERIO </w:t>
            </w:r>
            <w:r>
              <w:rPr>
                <w:sz w:val="18"/>
              </w:rPr>
              <w:t>DE</w:t>
            </w:r>
            <w:r>
              <w:rPr>
                <w:spacing w:val="34"/>
                <w:sz w:val="18"/>
              </w:rPr>
              <w:t xml:space="preserve"> </w:t>
            </w:r>
            <w:r>
              <w:rPr>
                <w:sz w:val="18"/>
              </w:rPr>
              <w:t xml:space="preserve">JUSTICIA </w:t>
            </w:r>
            <w:r>
              <w:rPr>
                <w:spacing w:val="-10"/>
                <w:sz w:val="18"/>
              </w:rPr>
              <w:t>Y</w:t>
            </w:r>
            <w:r>
              <w:rPr>
                <w:sz w:val="18"/>
              </w:rPr>
              <w:tab/>
            </w:r>
            <w:r>
              <w:rPr>
                <w:spacing w:val="-5"/>
                <w:sz w:val="18"/>
              </w:rPr>
              <w:t>DEL</w:t>
            </w:r>
          </w:p>
          <w:p w14:paraId="015C8454" w14:textId="77777777" w:rsidR="000E52B0" w:rsidRDefault="00F60D74">
            <w:pPr>
              <w:pStyle w:val="TableParagraph"/>
              <w:spacing w:line="218" w:lineRule="exact"/>
              <w:ind w:left="90"/>
              <w:rPr>
                <w:sz w:val="18"/>
              </w:rPr>
            </w:pPr>
            <w:r>
              <w:rPr>
                <w:spacing w:val="-2"/>
                <w:sz w:val="18"/>
              </w:rPr>
              <w:t>DERECHO.</w:t>
            </w:r>
          </w:p>
          <w:p w14:paraId="554D348D" w14:textId="77777777" w:rsidR="000E52B0" w:rsidRDefault="00F60D74">
            <w:pPr>
              <w:pStyle w:val="TableParagraph"/>
              <w:spacing w:before="1" w:line="219" w:lineRule="exact"/>
              <w:ind w:left="90"/>
              <w:rPr>
                <w:sz w:val="18"/>
              </w:rPr>
            </w:pPr>
            <w:r>
              <w:rPr>
                <w:sz w:val="18"/>
              </w:rPr>
              <w:t>Ley</w:t>
            </w:r>
            <w:r>
              <w:rPr>
                <w:spacing w:val="57"/>
                <w:sz w:val="18"/>
              </w:rPr>
              <w:t xml:space="preserve"> </w:t>
            </w:r>
            <w:r>
              <w:rPr>
                <w:sz w:val="18"/>
              </w:rPr>
              <w:t>1444</w:t>
            </w:r>
            <w:r>
              <w:rPr>
                <w:spacing w:val="56"/>
                <w:sz w:val="18"/>
              </w:rPr>
              <w:t xml:space="preserve"> </w:t>
            </w:r>
            <w:r>
              <w:rPr>
                <w:spacing w:val="-5"/>
                <w:sz w:val="18"/>
              </w:rPr>
              <w:t>de</w:t>
            </w:r>
          </w:p>
          <w:p w14:paraId="0DE5DB3F" w14:textId="77777777" w:rsidR="000E52B0" w:rsidRDefault="00F60D74">
            <w:pPr>
              <w:pStyle w:val="TableParagraph"/>
              <w:tabs>
                <w:tab w:val="left" w:pos="1222"/>
              </w:tabs>
              <w:spacing w:line="218" w:lineRule="exact"/>
              <w:ind w:left="90"/>
              <w:rPr>
                <w:sz w:val="18"/>
              </w:rPr>
            </w:pPr>
            <w:r>
              <w:rPr>
                <w:spacing w:val="-4"/>
                <w:sz w:val="18"/>
              </w:rPr>
              <w:t>2011</w:t>
            </w:r>
            <w:r>
              <w:rPr>
                <w:sz w:val="18"/>
              </w:rPr>
              <w:tab/>
            </w:r>
            <w:r>
              <w:rPr>
                <w:spacing w:val="-10"/>
                <w:sz w:val="18"/>
              </w:rPr>
              <w:t>y</w:t>
            </w:r>
          </w:p>
          <w:p w14:paraId="4618AC8B" w14:textId="77777777" w:rsidR="000E52B0" w:rsidRDefault="00F60D74">
            <w:pPr>
              <w:pStyle w:val="TableParagraph"/>
              <w:spacing w:line="218" w:lineRule="exact"/>
              <w:ind w:left="90"/>
              <w:rPr>
                <w:sz w:val="18"/>
              </w:rPr>
            </w:pPr>
            <w:r>
              <w:rPr>
                <w:sz w:val="18"/>
              </w:rPr>
              <w:t>Decreto</w:t>
            </w:r>
            <w:r>
              <w:rPr>
                <w:spacing w:val="8"/>
                <w:sz w:val="18"/>
              </w:rPr>
              <w:t xml:space="preserve"> </w:t>
            </w:r>
            <w:r>
              <w:rPr>
                <w:spacing w:val="-4"/>
                <w:sz w:val="18"/>
              </w:rPr>
              <w:t>2897</w:t>
            </w:r>
          </w:p>
          <w:p w14:paraId="3BA0343A" w14:textId="77777777" w:rsidR="000E52B0" w:rsidRDefault="00F60D74">
            <w:pPr>
              <w:pStyle w:val="TableParagraph"/>
              <w:ind w:left="90"/>
              <w:rPr>
                <w:sz w:val="18"/>
              </w:rPr>
            </w:pPr>
            <w:r>
              <w:rPr>
                <w:sz w:val="18"/>
              </w:rPr>
              <w:t>de</w:t>
            </w:r>
            <w:r>
              <w:rPr>
                <w:spacing w:val="-1"/>
                <w:sz w:val="18"/>
              </w:rPr>
              <w:t xml:space="preserve"> </w:t>
            </w:r>
            <w:r>
              <w:rPr>
                <w:spacing w:val="-4"/>
                <w:sz w:val="18"/>
              </w:rPr>
              <w:t>2011</w:t>
            </w:r>
          </w:p>
        </w:tc>
        <w:tc>
          <w:tcPr>
            <w:tcW w:w="1601" w:type="dxa"/>
            <w:tcBorders>
              <w:top w:val="single" w:sz="4" w:space="0" w:color="000000"/>
              <w:left w:val="single" w:sz="4" w:space="0" w:color="000000"/>
              <w:bottom w:val="single" w:sz="4" w:space="0" w:color="000000"/>
              <w:right w:val="single" w:sz="4" w:space="0" w:color="000000"/>
            </w:tcBorders>
          </w:tcPr>
          <w:p w14:paraId="0C0065D9" w14:textId="77777777" w:rsidR="000E52B0" w:rsidRDefault="00F60D74">
            <w:pPr>
              <w:pStyle w:val="TableParagraph"/>
              <w:tabs>
                <w:tab w:val="left" w:pos="1407"/>
              </w:tabs>
              <w:ind w:left="93" w:right="75"/>
              <w:rPr>
                <w:sz w:val="18"/>
              </w:rPr>
            </w:pPr>
            <w:r>
              <w:rPr>
                <w:spacing w:val="-2"/>
                <w:sz w:val="18"/>
              </w:rPr>
              <w:t xml:space="preserve">formular, </w:t>
            </w:r>
            <w:r>
              <w:rPr>
                <w:sz w:val="18"/>
              </w:rPr>
              <w:t>adoptar,</w:t>
            </w:r>
            <w:r>
              <w:rPr>
                <w:spacing w:val="-16"/>
                <w:sz w:val="18"/>
              </w:rPr>
              <w:t xml:space="preserve"> </w:t>
            </w:r>
            <w:r>
              <w:rPr>
                <w:sz w:val="18"/>
              </w:rPr>
              <w:t xml:space="preserve">dirigir, </w:t>
            </w:r>
            <w:r>
              <w:rPr>
                <w:spacing w:val="-2"/>
                <w:sz w:val="18"/>
              </w:rPr>
              <w:t>coordinar</w:t>
            </w:r>
            <w:r>
              <w:rPr>
                <w:sz w:val="18"/>
              </w:rPr>
              <w:tab/>
            </w:r>
            <w:r>
              <w:rPr>
                <w:spacing w:val="-10"/>
                <w:sz w:val="18"/>
              </w:rPr>
              <w:t>y</w:t>
            </w:r>
          </w:p>
          <w:p w14:paraId="064FE1F8" w14:textId="77777777" w:rsidR="000E52B0" w:rsidRDefault="00F60D74">
            <w:pPr>
              <w:pStyle w:val="TableParagraph"/>
              <w:tabs>
                <w:tab w:val="left" w:pos="455"/>
                <w:tab w:val="left" w:pos="867"/>
                <w:tab w:val="left" w:pos="1355"/>
                <w:tab w:val="left" w:pos="1403"/>
              </w:tabs>
              <w:ind w:left="93" w:right="75"/>
              <w:rPr>
                <w:sz w:val="18"/>
              </w:rPr>
            </w:pPr>
            <w:r>
              <w:rPr>
                <w:spacing w:val="-2"/>
                <w:sz w:val="18"/>
              </w:rPr>
              <w:t>ejecutar</w:t>
            </w:r>
            <w:r>
              <w:rPr>
                <w:sz w:val="18"/>
              </w:rPr>
              <w:tab/>
            </w:r>
            <w:r>
              <w:rPr>
                <w:sz w:val="18"/>
              </w:rPr>
              <w:tab/>
            </w:r>
            <w:r>
              <w:rPr>
                <w:spacing w:val="-6"/>
                <w:sz w:val="18"/>
              </w:rPr>
              <w:t xml:space="preserve">la </w:t>
            </w:r>
            <w:r>
              <w:rPr>
                <w:sz w:val="18"/>
              </w:rPr>
              <w:t>política</w:t>
            </w:r>
            <w:r>
              <w:rPr>
                <w:spacing w:val="38"/>
                <w:sz w:val="18"/>
              </w:rPr>
              <w:t xml:space="preserve"> </w:t>
            </w:r>
            <w:r>
              <w:rPr>
                <w:sz w:val="18"/>
              </w:rPr>
              <w:t>pública en</w:t>
            </w:r>
            <w:r>
              <w:rPr>
                <w:spacing w:val="40"/>
                <w:sz w:val="18"/>
              </w:rPr>
              <w:t xml:space="preserve"> </w:t>
            </w:r>
            <w:r>
              <w:rPr>
                <w:sz w:val="18"/>
              </w:rPr>
              <w:t>materia</w:t>
            </w:r>
            <w:r>
              <w:rPr>
                <w:spacing w:val="40"/>
                <w:sz w:val="18"/>
              </w:rPr>
              <w:t xml:space="preserve"> </w:t>
            </w:r>
            <w:r>
              <w:rPr>
                <w:sz w:val="18"/>
              </w:rPr>
              <w:t xml:space="preserve">de </w:t>
            </w:r>
            <w:r>
              <w:rPr>
                <w:spacing w:val="-2"/>
                <w:sz w:val="18"/>
              </w:rPr>
              <w:t>ordenamiento jurídico, defensa</w:t>
            </w:r>
            <w:r>
              <w:rPr>
                <w:sz w:val="18"/>
              </w:rPr>
              <w:tab/>
            </w:r>
            <w:r>
              <w:rPr>
                <w:sz w:val="18"/>
              </w:rPr>
              <w:tab/>
            </w:r>
            <w:r>
              <w:rPr>
                <w:sz w:val="18"/>
              </w:rPr>
              <w:tab/>
            </w:r>
            <w:r>
              <w:rPr>
                <w:spacing w:val="-62"/>
                <w:sz w:val="18"/>
              </w:rPr>
              <w:t xml:space="preserve"> </w:t>
            </w:r>
            <w:r>
              <w:rPr>
                <w:spacing w:val="-10"/>
                <w:sz w:val="18"/>
              </w:rPr>
              <w:t xml:space="preserve">y </w:t>
            </w:r>
            <w:r>
              <w:rPr>
                <w:spacing w:val="-2"/>
                <w:sz w:val="18"/>
              </w:rPr>
              <w:t xml:space="preserve">seguridad </w:t>
            </w:r>
            <w:r>
              <w:rPr>
                <w:sz w:val="18"/>
              </w:rPr>
              <w:t>jurídica,</w:t>
            </w:r>
            <w:r>
              <w:rPr>
                <w:spacing w:val="-12"/>
                <w:sz w:val="18"/>
              </w:rPr>
              <w:t xml:space="preserve"> </w:t>
            </w:r>
            <w:r>
              <w:rPr>
                <w:sz w:val="18"/>
              </w:rPr>
              <w:t xml:space="preserve">acceso </w:t>
            </w:r>
            <w:r>
              <w:rPr>
                <w:spacing w:val="-10"/>
                <w:sz w:val="18"/>
              </w:rPr>
              <w:t>a</w:t>
            </w:r>
            <w:r>
              <w:rPr>
                <w:sz w:val="18"/>
              </w:rPr>
              <w:tab/>
            </w:r>
            <w:r>
              <w:rPr>
                <w:spacing w:val="-6"/>
                <w:sz w:val="18"/>
              </w:rPr>
              <w:t>la</w:t>
            </w:r>
            <w:r>
              <w:rPr>
                <w:sz w:val="18"/>
              </w:rPr>
              <w:tab/>
            </w:r>
            <w:r>
              <w:rPr>
                <w:spacing w:val="-2"/>
                <w:sz w:val="18"/>
              </w:rPr>
              <w:t>justicia formal</w:t>
            </w:r>
            <w:r>
              <w:rPr>
                <w:sz w:val="18"/>
              </w:rPr>
              <w:tab/>
            </w:r>
            <w:r>
              <w:rPr>
                <w:sz w:val="18"/>
              </w:rPr>
              <w:tab/>
            </w:r>
            <w:r>
              <w:rPr>
                <w:sz w:val="18"/>
              </w:rPr>
              <w:tab/>
            </w:r>
            <w:r>
              <w:rPr>
                <w:spacing w:val="-10"/>
                <w:sz w:val="18"/>
              </w:rPr>
              <w:t>y</w:t>
            </w:r>
          </w:p>
          <w:p w14:paraId="419C9A0C" w14:textId="77777777" w:rsidR="000E52B0" w:rsidRDefault="00F60D74">
            <w:pPr>
              <w:pStyle w:val="TableParagraph"/>
              <w:tabs>
                <w:tab w:val="left" w:pos="1408"/>
              </w:tabs>
              <w:ind w:left="93" w:right="73"/>
              <w:rPr>
                <w:sz w:val="18"/>
              </w:rPr>
            </w:pPr>
            <w:r>
              <w:rPr>
                <w:spacing w:val="-2"/>
                <w:sz w:val="18"/>
              </w:rPr>
              <w:t xml:space="preserve">alternativa, </w:t>
            </w:r>
            <w:r>
              <w:rPr>
                <w:sz w:val="18"/>
              </w:rPr>
              <w:t>lucha</w:t>
            </w:r>
            <w:r>
              <w:rPr>
                <w:spacing w:val="24"/>
                <w:sz w:val="18"/>
              </w:rPr>
              <w:t xml:space="preserve"> </w:t>
            </w:r>
            <w:r>
              <w:rPr>
                <w:sz w:val="18"/>
              </w:rPr>
              <w:t>contra</w:t>
            </w:r>
            <w:r>
              <w:rPr>
                <w:spacing w:val="24"/>
                <w:sz w:val="18"/>
              </w:rPr>
              <w:t xml:space="preserve"> </w:t>
            </w:r>
            <w:r>
              <w:rPr>
                <w:sz w:val="18"/>
              </w:rPr>
              <w:t xml:space="preserve">la </w:t>
            </w:r>
            <w:r>
              <w:rPr>
                <w:spacing w:val="-2"/>
                <w:sz w:val="18"/>
              </w:rPr>
              <w:t>criminalidad, mecanismos judiciales transicionales, prevención</w:t>
            </w:r>
            <w:r>
              <w:rPr>
                <w:sz w:val="18"/>
              </w:rPr>
              <w:tab/>
            </w:r>
            <w:r>
              <w:rPr>
                <w:spacing w:val="-10"/>
                <w:sz w:val="18"/>
              </w:rPr>
              <w:t>y</w:t>
            </w:r>
          </w:p>
          <w:p w14:paraId="2FCE859E" w14:textId="77777777" w:rsidR="000E52B0" w:rsidRDefault="00F60D74">
            <w:pPr>
              <w:pStyle w:val="TableParagraph"/>
              <w:tabs>
                <w:tab w:val="left" w:pos="1243"/>
                <w:tab w:val="left" w:pos="1292"/>
                <w:tab w:val="left" w:pos="1354"/>
                <w:tab w:val="left" w:pos="1406"/>
              </w:tabs>
              <w:ind w:left="93" w:right="75"/>
              <w:rPr>
                <w:sz w:val="18"/>
              </w:rPr>
            </w:pPr>
            <w:r>
              <w:rPr>
                <w:spacing w:val="-2"/>
                <w:sz w:val="18"/>
              </w:rPr>
              <w:t>control</w:t>
            </w:r>
            <w:r>
              <w:rPr>
                <w:sz w:val="18"/>
              </w:rPr>
              <w:tab/>
            </w:r>
            <w:r>
              <w:rPr>
                <w:spacing w:val="-4"/>
                <w:sz w:val="18"/>
              </w:rPr>
              <w:t xml:space="preserve">del </w:t>
            </w:r>
            <w:r>
              <w:rPr>
                <w:sz w:val="18"/>
              </w:rPr>
              <w:t>delito,</w:t>
            </w:r>
            <w:r>
              <w:rPr>
                <w:spacing w:val="40"/>
                <w:sz w:val="18"/>
              </w:rPr>
              <w:t xml:space="preserve"> </w:t>
            </w:r>
            <w:r>
              <w:rPr>
                <w:sz w:val="18"/>
              </w:rPr>
              <w:t xml:space="preserve">asuntos </w:t>
            </w:r>
            <w:r>
              <w:rPr>
                <w:spacing w:val="-2"/>
                <w:sz w:val="18"/>
              </w:rPr>
              <w:t>carcelarios</w:t>
            </w:r>
            <w:r>
              <w:rPr>
                <w:sz w:val="18"/>
              </w:rPr>
              <w:tab/>
            </w:r>
            <w:r>
              <w:rPr>
                <w:sz w:val="18"/>
              </w:rPr>
              <w:tab/>
            </w:r>
            <w:r>
              <w:rPr>
                <w:sz w:val="18"/>
              </w:rPr>
              <w:tab/>
            </w:r>
            <w:r>
              <w:rPr>
                <w:sz w:val="18"/>
              </w:rPr>
              <w:tab/>
            </w:r>
            <w:r>
              <w:rPr>
                <w:spacing w:val="-10"/>
                <w:sz w:val="18"/>
              </w:rPr>
              <w:t xml:space="preserve">y </w:t>
            </w:r>
            <w:r>
              <w:rPr>
                <w:spacing w:val="-2"/>
                <w:sz w:val="18"/>
              </w:rPr>
              <w:t>penitenciarios, promoción</w:t>
            </w:r>
            <w:r>
              <w:rPr>
                <w:sz w:val="18"/>
              </w:rPr>
              <w:tab/>
            </w:r>
            <w:r>
              <w:rPr>
                <w:sz w:val="18"/>
              </w:rPr>
              <w:tab/>
            </w:r>
            <w:r>
              <w:rPr>
                <w:spacing w:val="-6"/>
                <w:sz w:val="18"/>
              </w:rPr>
              <w:t xml:space="preserve">de </w:t>
            </w:r>
            <w:r>
              <w:rPr>
                <w:sz w:val="18"/>
              </w:rPr>
              <w:t xml:space="preserve">la cultura de la </w:t>
            </w:r>
            <w:r>
              <w:rPr>
                <w:spacing w:val="-2"/>
                <w:sz w:val="18"/>
              </w:rPr>
              <w:t>legalidad,</w:t>
            </w:r>
            <w:r>
              <w:rPr>
                <w:sz w:val="18"/>
              </w:rPr>
              <w:tab/>
            </w:r>
            <w:r>
              <w:rPr>
                <w:sz w:val="18"/>
              </w:rPr>
              <w:tab/>
            </w:r>
            <w:r>
              <w:rPr>
                <w:sz w:val="18"/>
              </w:rPr>
              <w:tab/>
            </w:r>
            <w:r>
              <w:rPr>
                <w:spacing w:val="-6"/>
                <w:sz w:val="18"/>
              </w:rPr>
              <w:t xml:space="preserve">la </w:t>
            </w:r>
            <w:r>
              <w:rPr>
                <w:sz w:val="18"/>
              </w:rPr>
              <w:t>concordia</w:t>
            </w:r>
            <w:r>
              <w:rPr>
                <w:spacing w:val="40"/>
                <w:sz w:val="18"/>
              </w:rPr>
              <w:t xml:space="preserve"> </w:t>
            </w:r>
            <w:r>
              <w:rPr>
                <w:sz w:val="18"/>
              </w:rPr>
              <w:t>y</w:t>
            </w:r>
            <w:r>
              <w:rPr>
                <w:spacing w:val="40"/>
                <w:sz w:val="18"/>
              </w:rPr>
              <w:t xml:space="preserve"> </w:t>
            </w:r>
            <w:r>
              <w:rPr>
                <w:sz w:val="18"/>
              </w:rPr>
              <w:t>el respeto</w:t>
            </w:r>
            <w:r>
              <w:rPr>
                <w:spacing w:val="80"/>
                <w:sz w:val="18"/>
              </w:rPr>
              <w:t xml:space="preserve"> </w:t>
            </w:r>
            <w:r>
              <w:rPr>
                <w:sz w:val="18"/>
              </w:rPr>
              <w:t>a</w:t>
            </w:r>
            <w:r>
              <w:rPr>
                <w:spacing w:val="80"/>
                <w:sz w:val="18"/>
              </w:rPr>
              <w:t xml:space="preserve"> </w:t>
            </w:r>
            <w:r>
              <w:rPr>
                <w:sz w:val="18"/>
              </w:rPr>
              <w:t xml:space="preserve">los </w:t>
            </w:r>
            <w:r>
              <w:rPr>
                <w:spacing w:val="-2"/>
                <w:sz w:val="18"/>
              </w:rPr>
              <w:t>derechos</w:t>
            </w:r>
          </w:p>
        </w:tc>
        <w:tc>
          <w:tcPr>
            <w:tcW w:w="2647" w:type="dxa"/>
            <w:tcBorders>
              <w:top w:val="single" w:sz="4" w:space="0" w:color="000000"/>
              <w:left w:val="single" w:sz="4" w:space="0" w:color="000000"/>
              <w:bottom w:val="single" w:sz="4" w:space="0" w:color="000000"/>
              <w:right w:val="single" w:sz="4" w:space="0" w:color="000000"/>
            </w:tcBorders>
          </w:tcPr>
          <w:p w14:paraId="20E8CE46" w14:textId="77777777" w:rsidR="000E52B0" w:rsidRDefault="00F60D74">
            <w:pPr>
              <w:pStyle w:val="TableParagraph"/>
              <w:tabs>
                <w:tab w:val="left" w:pos="1796"/>
              </w:tabs>
              <w:ind w:left="91" w:right="75"/>
              <w:jc w:val="both"/>
              <w:rPr>
                <w:sz w:val="18"/>
              </w:rPr>
            </w:pPr>
            <w:r>
              <w:rPr>
                <w:sz w:val="18"/>
              </w:rPr>
              <w:t>Articular la formulación, adopción, ejecución y evaluación de la política pública del Sector Administrativo</w:t>
            </w:r>
            <w:r>
              <w:rPr>
                <w:spacing w:val="-16"/>
                <w:sz w:val="18"/>
              </w:rPr>
              <w:t xml:space="preserve"> </w:t>
            </w:r>
            <w:r>
              <w:rPr>
                <w:sz w:val="18"/>
              </w:rPr>
              <w:t>de</w:t>
            </w:r>
            <w:r>
              <w:rPr>
                <w:spacing w:val="-16"/>
                <w:sz w:val="18"/>
              </w:rPr>
              <w:t xml:space="preserve"> </w:t>
            </w:r>
            <w:r>
              <w:rPr>
                <w:sz w:val="18"/>
              </w:rPr>
              <w:t>Justicia</w:t>
            </w:r>
            <w:r>
              <w:rPr>
                <w:spacing w:val="-16"/>
                <w:sz w:val="18"/>
              </w:rPr>
              <w:t xml:space="preserve"> </w:t>
            </w:r>
            <w:r>
              <w:rPr>
                <w:sz w:val="18"/>
              </w:rPr>
              <w:t>y del</w:t>
            </w:r>
            <w:r>
              <w:rPr>
                <w:spacing w:val="-8"/>
                <w:sz w:val="18"/>
              </w:rPr>
              <w:t xml:space="preserve"> </w:t>
            </w:r>
            <w:r>
              <w:rPr>
                <w:sz w:val="18"/>
              </w:rPr>
              <w:t>Derecho.</w:t>
            </w:r>
            <w:r>
              <w:rPr>
                <w:spacing w:val="40"/>
                <w:sz w:val="18"/>
              </w:rPr>
              <w:t xml:space="preserve"> </w:t>
            </w:r>
            <w:r>
              <w:rPr>
                <w:sz w:val="18"/>
              </w:rPr>
              <w:t>Coordinar</w:t>
            </w:r>
            <w:r>
              <w:rPr>
                <w:spacing w:val="-10"/>
                <w:sz w:val="18"/>
              </w:rPr>
              <w:t xml:space="preserve"> </w:t>
            </w:r>
            <w:r>
              <w:rPr>
                <w:sz w:val="18"/>
              </w:rPr>
              <w:t>las relaciones entre la Rama Ejecutiva,</w:t>
            </w:r>
            <w:r>
              <w:rPr>
                <w:spacing w:val="-16"/>
                <w:sz w:val="18"/>
              </w:rPr>
              <w:t xml:space="preserve"> </w:t>
            </w:r>
            <w:r>
              <w:rPr>
                <w:sz w:val="18"/>
              </w:rPr>
              <w:t>la</w:t>
            </w:r>
            <w:r>
              <w:rPr>
                <w:spacing w:val="-16"/>
                <w:sz w:val="18"/>
              </w:rPr>
              <w:t xml:space="preserve"> </w:t>
            </w:r>
            <w:r>
              <w:rPr>
                <w:sz w:val="18"/>
              </w:rPr>
              <w:t>Rama</w:t>
            </w:r>
            <w:r>
              <w:rPr>
                <w:spacing w:val="-16"/>
                <w:sz w:val="18"/>
              </w:rPr>
              <w:t xml:space="preserve"> </w:t>
            </w:r>
            <w:r>
              <w:rPr>
                <w:sz w:val="18"/>
              </w:rPr>
              <w:t>Judicial, el Ministerio Público y los organismos</w:t>
            </w:r>
            <w:r>
              <w:rPr>
                <w:spacing w:val="-16"/>
                <w:sz w:val="18"/>
              </w:rPr>
              <w:t xml:space="preserve"> </w:t>
            </w:r>
            <w:r>
              <w:rPr>
                <w:sz w:val="18"/>
              </w:rPr>
              <w:t>de</w:t>
            </w:r>
            <w:r>
              <w:rPr>
                <w:spacing w:val="-16"/>
                <w:sz w:val="18"/>
              </w:rPr>
              <w:t xml:space="preserve"> </w:t>
            </w:r>
            <w:r>
              <w:rPr>
                <w:sz w:val="18"/>
              </w:rPr>
              <w:t>control</w:t>
            </w:r>
            <w:r>
              <w:rPr>
                <w:spacing w:val="-16"/>
                <w:sz w:val="18"/>
              </w:rPr>
              <w:t xml:space="preserve"> </w:t>
            </w:r>
            <w:r>
              <w:rPr>
                <w:sz w:val="18"/>
              </w:rPr>
              <w:t xml:space="preserve">para el desarrollo y consolidación de la política pública en materia de justicia y del derecho. </w:t>
            </w:r>
            <w:r>
              <w:rPr>
                <w:spacing w:val="-2"/>
                <w:sz w:val="18"/>
              </w:rPr>
              <w:t>Formular,</w:t>
            </w:r>
            <w:r>
              <w:rPr>
                <w:sz w:val="18"/>
              </w:rPr>
              <w:tab/>
            </w:r>
            <w:r>
              <w:rPr>
                <w:spacing w:val="-2"/>
                <w:sz w:val="18"/>
              </w:rPr>
              <w:t xml:space="preserve">adoptar, </w:t>
            </w:r>
            <w:r>
              <w:rPr>
                <w:sz w:val="18"/>
              </w:rPr>
              <w:t>promover y coordinar las políticas y estrategias en: racionalización, reforma y defensa del ordenamiento jurídico; gestión jurídica pública del derecho; ejercicio de la</w:t>
            </w:r>
            <w:r>
              <w:rPr>
                <w:spacing w:val="-3"/>
                <w:sz w:val="18"/>
              </w:rPr>
              <w:t xml:space="preserve"> </w:t>
            </w:r>
            <w:r>
              <w:rPr>
                <w:sz w:val="18"/>
              </w:rPr>
              <w:t>profesión</w:t>
            </w:r>
            <w:r>
              <w:rPr>
                <w:spacing w:val="-2"/>
                <w:sz w:val="18"/>
              </w:rPr>
              <w:t xml:space="preserve"> </w:t>
            </w:r>
            <w:r>
              <w:rPr>
                <w:sz w:val="18"/>
              </w:rPr>
              <w:t>de abogado; socialización de la información jurídica; justicia transicional y restaurativa; y las que faciliten el acceso a la justicia formal y a la alternativa,</w:t>
            </w:r>
            <w:r>
              <w:rPr>
                <w:spacing w:val="-16"/>
                <w:sz w:val="18"/>
              </w:rPr>
              <w:t xml:space="preserve"> </w:t>
            </w:r>
            <w:r>
              <w:rPr>
                <w:sz w:val="18"/>
              </w:rPr>
              <w:t>en</w:t>
            </w:r>
            <w:r>
              <w:rPr>
                <w:spacing w:val="-16"/>
                <w:sz w:val="18"/>
              </w:rPr>
              <w:t xml:space="preserve"> </w:t>
            </w:r>
            <w:r>
              <w:rPr>
                <w:sz w:val="18"/>
              </w:rPr>
              <w:t>el</w:t>
            </w:r>
            <w:r>
              <w:rPr>
                <w:spacing w:val="-16"/>
                <w:sz w:val="18"/>
              </w:rPr>
              <w:t xml:space="preserve"> </w:t>
            </w:r>
            <w:r>
              <w:rPr>
                <w:sz w:val="18"/>
              </w:rPr>
              <w:t>marco</w:t>
            </w:r>
            <w:r>
              <w:rPr>
                <w:spacing w:val="-16"/>
                <w:sz w:val="18"/>
              </w:rPr>
              <w:t xml:space="preserve"> </w:t>
            </w:r>
            <w:r>
              <w:rPr>
                <w:sz w:val="18"/>
              </w:rPr>
              <w:t>del mandato contenido en las normas vigentes, al igual que</w:t>
            </w:r>
            <w:r>
              <w:rPr>
                <w:spacing w:val="-1"/>
                <w:sz w:val="18"/>
              </w:rPr>
              <w:t xml:space="preserve"> </w:t>
            </w:r>
            <w:r>
              <w:rPr>
                <w:sz w:val="18"/>
              </w:rPr>
              <w:t>las de lucha contra las drogas ilícitas, lavado de activos, enriquecimiento ilícito, financiamiento del terrorismo, administración de</w:t>
            </w:r>
            <w:r>
              <w:rPr>
                <w:spacing w:val="32"/>
                <w:sz w:val="18"/>
              </w:rPr>
              <w:t xml:space="preserve">  </w:t>
            </w:r>
            <w:r>
              <w:rPr>
                <w:sz w:val="18"/>
              </w:rPr>
              <w:t>bienes</w:t>
            </w:r>
            <w:r>
              <w:rPr>
                <w:spacing w:val="31"/>
                <w:sz w:val="18"/>
              </w:rPr>
              <w:t xml:space="preserve">  </w:t>
            </w:r>
            <w:r>
              <w:rPr>
                <w:sz w:val="18"/>
              </w:rPr>
              <w:t>incautados</w:t>
            </w:r>
            <w:r>
              <w:rPr>
                <w:spacing w:val="33"/>
                <w:sz w:val="18"/>
              </w:rPr>
              <w:t xml:space="preserve">  </w:t>
            </w:r>
            <w:r>
              <w:rPr>
                <w:spacing w:val="-10"/>
                <w:sz w:val="18"/>
              </w:rPr>
              <w:t>y</w:t>
            </w:r>
          </w:p>
          <w:p w14:paraId="1E3E1F09" w14:textId="77777777" w:rsidR="000E52B0" w:rsidRDefault="00F60D74">
            <w:pPr>
              <w:pStyle w:val="TableParagraph"/>
              <w:spacing w:line="218" w:lineRule="exact"/>
              <w:ind w:left="91" w:right="80"/>
              <w:jc w:val="both"/>
              <w:rPr>
                <w:sz w:val="18"/>
              </w:rPr>
            </w:pPr>
            <w:r>
              <w:rPr>
                <w:sz w:val="18"/>
              </w:rPr>
              <w:t xml:space="preserve">acciones de extinción de </w:t>
            </w:r>
            <w:r>
              <w:rPr>
                <w:spacing w:val="-2"/>
                <w:sz w:val="18"/>
              </w:rPr>
              <w:t>dominio.</w:t>
            </w:r>
          </w:p>
        </w:tc>
        <w:tc>
          <w:tcPr>
            <w:tcW w:w="1985" w:type="dxa"/>
            <w:tcBorders>
              <w:top w:val="single" w:sz="4" w:space="0" w:color="000000"/>
              <w:left w:val="single" w:sz="4" w:space="0" w:color="000000"/>
              <w:bottom w:val="single" w:sz="4" w:space="0" w:color="000000"/>
              <w:right w:val="single" w:sz="4" w:space="0" w:color="000000"/>
            </w:tcBorders>
          </w:tcPr>
          <w:p w14:paraId="50395A4F" w14:textId="77777777" w:rsidR="000E52B0" w:rsidRDefault="00F60D74">
            <w:pPr>
              <w:pStyle w:val="TableParagraph"/>
              <w:tabs>
                <w:tab w:val="left" w:pos="1739"/>
              </w:tabs>
              <w:ind w:left="91" w:right="74"/>
              <w:jc w:val="both"/>
              <w:rPr>
                <w:sz w:val="18"/>
              </w:rPr>
            </w:pPr>
            <w:r>
              <w:rPr>
                <w:spacing w:val="-2"/>
                <w:sz w:val="18"/>
              </w:rPr>
              <w:t>Garantizar</w:t>
            </w:r>
            <w:r>
              <w:rPr>
                <w:sz w:val="18"/>
              </w:rPr>
              <w:tab/>
            </w:r>
            <w:r>
              <w:rPr>
                <w:spacing w:val="-6"/>
                <w:sz w:val="18"/>
              </w:rPr>
              <w:t xml:space="preserve">la </w:t>
            </w:r>
            <w:r>
              <w:rPr>
                <w:sz w:val="18"/>
              </w:rPr>
              <w:t>efectividad de los principios,</w:t>
            </w:r>
            <w:r>
              <w:rPr>
                <w:spacing w:val="-16"/>
                <w:sz w:val="18"/>
              </w:rPr>
              <w:t xml:space="preserve"> </w:t>
            </w:r>
            <w:r>
              <w:rPr>
                <w:sz w:val="18"/>
              </w:rPr>
              <w:t xml:space="preserve">derechos y deberes (art. 2 </w:t>
            </w:r>
            <w:r>
              <w:rPr>
                <w:spacing w:val="-4"/>
                <w:sz w:val="18"/>
              </w:rPr>
              <w:t>C.P)</w:t>
            </w:r>
          </w:p>
          <w:p w14:paraId="434A71D3" w14:textId="77777777" w:rsidR="000E52B0" w:rsidRDefault="00F60D74">
            <w:pPr>
              <w:pStyle w:val="TableParagraph"/>
              <w:spacing w:before="218"/>
              <w:ind w:left="91" w:right="76"/>
              <w:jc w:val="both"/>
              <w:rPr>
                <w:sz w:val="18"/>
              </w:rPr>
            </w:pPr>
            <w:r>
              <w:rPr>
                <w:sz w:val="18"/>
              </w:rPr>
              <w:t xml:space="preserve">Debido proceso y tutela judicial efectiva (art. 29 </w:t>
            </w:r>
            <w:r>
              <w:rPr>
                <w:spacing w:val="-4"/>
                <w:sz w:val="18"/>
              </w:rPr>
              <w:t>C.P)</w:t>
            </w:r>
          </w:p>
          <w:p w14:paraId="19FD7F6D" w14:textId="77777777" w:rsidR="000E52B0" w:rsidRDefault="000E52B0">
            <w:pPr>
              <w:pStyle w:val="TableParagraph"/>
              <w:rPr>
                <w:sz w:val="18"/>
              </w:rPr>
            </w:pPr>
          </w:p>
          <w:p w14:paraId="2D0E2EEC" w14:textId="77777777" w:rsidR="000E52B0" w:rsidRPr="00203383" w:rsidRDefault="00F60D74">
            <w:pPr>
              <w:pStyle w:val="TableParagraph"/>
              <w:ind w:left="91" w:right="75"/>
              <w:jc w:val="both"/>
              <w:rPr>
                <w:sz w:val="18"/>
                <w:lang w:val="pt-PT"/>
              </w:rPr>
            </w:pPr>
            <w:r w:rsidRPr="00203383">
              <w:rPr>
                <w:sz w:val="18"/>
                <w:lang w:val="pt-PT"/>
              </w:rPr>
              <w:t>Rama judicial (Título VIII C.P)</w:t>
            </w:r>
          </w:p>
        </w:tc>
        <w:tc>
          <w:tcPr>
            <w:tcW w:w="1337" w:type="dxa"/>
            <w:tcBorders>
              <w:top w:val="single" w:sz="4" w:space="0" w:color="000000"/>
              <w:left w:val="single" w:sz="4" w:space="0" w:color="000000"/>
              <w:bottom w:val="single" w:sz="4" w:space="0" w:color="000000"/>
            </w:tcBorders>
          </w:tcPr>
          <w:p w14:paraId="142AE1AA" w14:textId="77777777" w:rsidR="000E52B0" w:rsidRDefault="00F60D74">
            <w:pPr>
              <w:pStyle w:val="TableParagraph"/>
              <w:tabs>
                <w:tab w:val="left" w:pos="1030"/>
              </w:tabs>
              <w:ind w:left="92" w:right="72"/>
              <w:rPr>
                <w:sz w:val="18"/>
              </w:rPr>
            </w:pPr>
            <w:r>
              <w:rPr>
                <w:spacing w:val="-2"/>
                <w:sz w:val="18"/>
              </w:rPr>
              <w:t xml:space="preserve">Sector </w:t>
            </w:r>
            <w:proofErr w:type="spellStart"/>
            <w:r>
              <w:rPr>
                <w:spacing w:val="-2"/>
                <w:sz w:val="18"/>
              </w:rPr>
              <w:t>administrati</w:t>
            </w:r>
            <w:proofErr w:type="spellEnd"/>
            <w:r>
              <w:rPr>
                <w:spacing w:val="-2"/>
                <w:sz w:val="18"/>
              </w:rPr>
              <w:t xml:space="preserve"> </w:t>
            </w:r>
            <w:proofErr w:type="spellStart"/>
            <w:r>
              <w:rPr>
                <w:spacing w:val="-5"/>
                <w:sz w:val="18"/>
              </w:rPr>
              <w:t>vo</w:t>
            </w:r>
            <w:proofErr w:type="spellEnd"/>
            <w:r>
              <w:rPr>
                <w:sz w:val="18"/>
              </w:rPr>
              <w:tab/>
            </w:r>
            <w:r>
              <w:rPr>
                <w:spacing w:val="-5"/>
                <w:sz w:val="18"/>
              </w:rPr>
              <w:t>de</w:t>
            </w:r>
          </w:p>
          <w:p w14:paraId="4C1FE6A3" w14:textId="77777777" w:rsidR="000E52B0" w:rsidRDefault="00F60D74">
            <w:pPr>
              <w:pStyle w:val="TableParagraph"/>
              <w:spacing w:line="242" w:lineRule="auto"/>
              <w:ind w:left="92" w:right="70"/>
              <w:rPr>
                <w:sz w:val="18"/>
              </w:rPr>
            </w:pPr>
            <w:r>
              <w:rPr>
                <w:sz w:val="18"/>
              </w:rPr>
              <w:t>Justicia</w:t>
            </w:r>
            <w:r>
              <w:rPr>
                <w:spacing w:val="-16"/>
                <w:sz w:val="18"/>
              </w:rPr>
              <w:t xml:space="preserve"> </w:t>
            </w:r>
            <w:r>
              <w:rPr>
                <w:sz w:val="18"/>
              </w:rPr>
              <w:t>y</w:t>
            </w:r>
            <w:r>
              <w:rPr>
                <w:spacing w:val="-16"/>
                <w:sz w:val="18"/>
              </w:rPr>
              <w:t xml:space="preserve"> </w:t>
            </w:r>
            <w:r>
              <w:rPr>
                <w:sz w:val="18"/>
              </w:rPr>
              <w:t xml:space="preserve">del </w:t>
            </w:r>
            <w:r>
              <w:rPr>
                <w:spacing w:val="-2"/>
                <w:sz w:val="18"/>
              </w:rPr>
              <w:t>Derecho</w:t>
            </w:r>
          </w:p>
        </w:tc>
      </w:tr>
      <w:tr w:rsidR="000E52B0" w14:paraId="777E23D8" w14:textId="77777777">
        <w:trPr>
          <w:trHeight w:val="3062"/>
        </w:trPr>
        <w:tc>
          <w:tcPr>
            <w:tcW w:w="1416" w:type="dxa"/>
            <w:tcBorders>
              <w:top w:val="single" w:sz="4" w:space="0" w:color="000000"/>
              <w:bottom w:val="single" w:sz="4" w:space="0" w:color="000000"/>
              <w:right w:val="single" w:sz="4" w:space="0" w:color="000000"/>
            </w:tcBorders>
          </w:tcPr>
          <w:p w14:paraId="6C61E73B" w14:textId="77777777" w:rsidR="000E52B0" w:rsidRDefault="00F60D74">
            <w:pPr>
              <w:pStyle w:val="TableParagraph"/>
              <w:ind w:left="90"/>
              <w:rPr>
                <w:sz w:val="18"/>
              </w:rPr>
            </w:pPr>
            <w:r>
              <w:rPr>
                <w:spacing w:val="-2"/>
                <w:sz w:val="18"/>
              </w:rPr>
              <w:t xml:space="preserve">MINISTERIO </w:t>
            </w:r>
            <w:r>
              <w:rPr>
                <w:spacing w:val="-6"/>
                <w:sz w:val="18"/>
              </w:rPr>
              <w:t xml:space="preserve">DE </w:t>
            </w:r>
            <w:r>
              <w:rPr>
                <w:spacing w:val="-2"/>
                <w:sz w:val="18"/>
              </w:rPr>
              <w:t>RELACIONES EXTERIORES.</w:t>
            </w:r>
          </w:p>
          <w:p w14:paraId="02F0A51E" w14:textId="77777777" w:rsidR="000E52B0" w:rsidRDefault="00F60D74">
            <w:pPr>
              <w:pStyle w:val="TableParagraph"/>
              <w:ind w:left="90"/>
              <w:rPr>
                <w:sz w:val="18"/>
              </w:rPr>
            </w:pPr>
            <w:proofErr w:type="gramStart"/>
            <w:r>
              <w:rPr>
                <w:sz w:val="18"/>
              </w:rPr>
              <w:t>Ley</w:t>
            </w:r>
            <w:r>
              <w:rPr>
                <w:spacing w:val="25"/>
                <w:sz w:val="18"/>
              </w:rPr>
              <w:t xml:space="preserve">  </w:t>
            </w:r>
            <w:r>
              <w:rPr>
                <w:sz w:val="18"/>
              </w:rPr>
              <w:t>489</w:t>
            </w:r>
            <w:proofErr w:type="gramEnd"/>
            <w:r>
              <w:rPr>
                <w:spacing w:val="26"/>
                <w:sz w:val="18"/>
              </w:rPr>
              <w:t xml:space="preserve">  </w:t>
            </w:r>
            <w:r>
              <w:rPr>
                <w:spacing w:val="-5"/>
                <w:sz w:val="18"/>
              </w:rPr>
              <w:t>de</w:t>
            </w:r>
          </w:p>
          <w:p w14:paraId="64FB2BEA" w14:textId="77777777" w:rsidR="000E52B0" w:rsidRDefault="00F60D74">
            <w:pPr>
              <w:pStyle w:val="TableParagraph"/>
              <w:tabs>
                <w:tab w:val="left" w:pos="1222"/>
              </w:tabs>
              <w:spacing w:line="219" w:lineRule="exact"/>
              <w:ind w:left="90"/>
              <w:rPr>
                <w:sz w:val="18"/>
              </w:rPr>
            </w:pPr>
            <w:r>
              <w:rPr>
                <w:spacing w:val="-4"/>
                <w:sz w:val="18"/>
              </w:rPr>
              <w:t>1998</w:t>
            </w:r>
            <w:r>
              <w:rPr>
                <w:sz w:val="18"/>
              </w:rPr>
              <w:tab/>
            </w:r>
            <w:r>
              <w:rPr>
                <w:spacing w:val="-10"/>
                <w:sz w:val="18"/>
              </w:rPr>
              <w:t>y</w:t>
            </w:r>
          </w:p>
          <w:p w14:paraId="12D09CCF" w14:textId="77777777" w:rsidR="000E52B0" w:rsidRDefault="00F60D74">
            <w:pPr>
              <w:pStyle w:val="TableParagraph"/>
              <w:spacing w:line="218" w:lineRule="exact"/>
              <w:ind w:left="90"/>
              <w:rPr>
                <w:sz w:val="18"/>
              </w:rPr>
            </w:pPr>
            <w:proofErr w:type="gramStart"/>
            <w:r>
              <w:rPr>
                <w:sz w:val="18"/>
              </w:rPr>
              <w:t>Decreto</w:t>
            </w:r>
            <w:r>
              <w:rPr>
                <w:spacing w:val="29"/>
                <w:sz w:val="18"/>
              </w:rPr>
              <w:t xml:space="preserve">  </w:t>
            </w:r>
            <w:r>
              <w:rPr>
                <w:spacing w:val="-5"/>
                <w:sz w:val="18"/>
              </w:rPr>
              <w:t>869</w:t>
            </w:r>
            <w:proofErr w:type="gramEnd"/>
          </w:p>
          <w:p w14:paraId="681C71C9" w14:textId="77777777" w:rsidR="000E52B0" w:rsidRDefault="00F60D74">
            <w:pPr>
              <w:pStyle w:val="TableParagraph"/>
              <w:ind w:left="90"/>
              <w:rPr>
                <w:sz w:val="18"/>
              </w:rPr>
            </w:pPr>
            <w:r>
              <w:rPr>
                <w:sz w:val="18"/>
              </w:rPr>
              <w:t>de</w:t>
            </w:r>
            <w:r>
              <w:rPr>
                <w:spacing w:val="-1"/>
                <w:sz w:val="18"/>
              </w:rPr>
              <w:t xml:space="preserve"> </w:t>
            </w:r>
            <w:r>
              <w:rPr>
                <w:spacing w:val="-4"/>
                <w:sz w:val="18"/>
              </w:rPr>
              <w:t>2016</w:t>
            </w:r>
          </w:p>
        </w:tc>
        <w:tc>
          <w:tcPr>
            <w:tcW w:w="1601" w:type="dxa"/>
            <w:tcBorders>
              <w:top w:val="single" w:sz="4" w:space="0" w:color="000000"/>
              <w:left w:val="single" w:sz="4" w:space="0" w:color="000000"/>
              <w:bottom w:val="single" w:sz="4" w:space="0" w:color="000000"/>
              <w:right w:val="single" w:sz="4" w:space="0" w:color="000000"/>
            </w:tcBorders>
          </w:tcPr>
          <w:p w14:paraId="26461BE4" w14:textId="77777777" w:rsidR="000E52B0" w:rsidRDefault="00F60D74">
            <w:pPr>
              <w:pStyle w:val="TableParagraph"/>
              <w:tabs>
                <w:tab w:val="left" w:pos="1405"/>
              </w:tabs>
              <w:ind w:left="93" w:right="76"/>
              <w:rPr>
                <w:sz w:val="18"/>
              </w:rPr>
            </w:pPr>
            <w:r>
              <w:rPr>
                <w:spacing w:val="-2"/>
                <w:sz w:val="18"/>
              </w:rPr>
              <w:t>formular, planear, coordinar, ejecutar</w:t>
            </w:r>
            <w:r>
              <w:rPr>
                <w:sz w:val="18"/>
              </w:rPr>
              <w:tab/>
            </w:r>
            <w:r>
              <w:rPr>
                <w:spacing w:val="-10"/>
                <w:sz w:val="18"/>
              </w:rPr>
              <w:t>y</w:t>
            </w:r>
          </w:p>
          <w:p w14:paraId="6AA8B492" w14:textId="77777777" w:rsidR="000E52B0" w:rsidRDefault="00F60D74">
            <w:pPr>
              <w:pStyle w:val="TableParagraph"/>
              <w:tabs>
                <w:tab w:val="left" w:pos="601"/>
                <w:tab w:val="left" w:pos="1354"/>
              </w:tabs>
              <w:ind w:left="93" w:right="74"/>
              <w:rPr>
                <w:sz w:val="18"/>
              </w:rPr>
            </w:pPr>
            <w:r>
              <w:rPr>
                <w:spacing w:val="-2"/>
                <w:sz w:val="18"/>
              </w:rPr>
              <w:t>evaluar</w:t>
            </w:r>
            <w:r>
              <w:rPr>
                <w:sz w:val="18"/>
              </w:rPr>
              <w:tab/>
            </w:r>
            <w:r>
              <w:rPr>
                <w:spacing w:val="-6"/>
                <w:sz w:val="18"/>
              </w:rPr>
              <w:t xml:space="preserve">la </w:t>
            </w:r>
            <w:r>
              <w:rPr>
                <w:sz w:val="18"/>
              </w:rPr>
              <w:t>política</w:t>
            </w:r>
            <w:r>
              <w:rPr>
                <w:spacing w:val="-16"/>
                <w:sz w:val="18"/>
              </w:rPr>
              <w:t xml:space="preserve"> </w:t>
            </w:r>
            <w:r>
              <w:rPr>
                <w:sz w:val="18"/>
              </w:rPr>
              <w:t xml:space="preserve">exterior </w:t>
            </w:r>
            <w:r>
              <w:rPr>
                <w:spacing w:val="-6"/>
                <w:sz w:val="18"/>
              </w:rPr>
              <w:t>de</w:t>
            </w:r>
            <w:r>
              <w:rPr>
                <w:sz w:val="18"/>
              </w:rPr>
              <w:tab/>
            </w:r>
            <w:r>
              <w:rPr>
                <w:spacing w:val="-56"/>
                <w:sz w:val="18"/>
              </w:rPr>
              <w:t xml:space="preserve"> </w:t>
            </w:r>
            <w:r>
              <w:rPr>
                <w:spacing w:val="-2"/>
                <w:sz w:val="18"/>
              </w:rPr>
              <w:t xml:space="preserve">Colombia, </w:t>
            </w:r>
            <w:r>
              <w:rPr>
                <w:spacing w:val="-4"/>
                <w:sz w:val="18"/>
              </w:rPr>
              <w:t>las</w:t>
            </w:r>
            <w:r>
              <w:rPr>
                <w:sz w:val="18"/>
              </w:rPr>
              <w:tab/>
            </w:r>
            <w:r>
              <w:rPr>
                <w:spacing w:val="-2"/>
                <w:sz w:val="18"/>
              </w:rPr>
              <w:t xml:space="preserve">relaciones internacionales </w:t>
            </w:r>
            <w:r>
              <w:rPr>
                <w:sz w:val="18"/>
              </w:rPr>
              <w:t>y</w:t>
            </w:r>
            <w:r>
              <w:rPr>
                <w:spacing w:val="-16"/>
                <w:sz w:val="18"/>
              </w:rPr>
              <w:t xml:space="preserve"> </w:t>
            </w:r>
            <w:r>
              <w:rPr>
                <w:sz w:val="18"/>
              </w:rPr>
              <w:t>administrar</w:t>
            </w:r>
            <w:r>
              <w:rPr>
                <w:spacing w:val="-16"/>
                <w:sz w:val="18"/>
              </w:rPr>
              <w:t xml:space="preserve"> </w:t>
            </w:r>
            <w:r>
              <w:rPr>
                <w:sz w:val="18"/>
              </w:rPr>
              <w:t xml:space="preserve">el </w:t>
            </w:r>
            <w:r>
              <w:rPr>
                <w:spacing w:val="-2"/>
                <w:sz w:val="18"/>
              </w:rPr>
              <w:t>servicio</w:t>
            </w:r>
            <w:r>
              <w:rPr>
                <w:spacing w:val="40"/>
                <w:sz w:val="18"/>
              </w:rPr>
              <w:t xml:space="preserve"> </w:t>
            </w:r>
            <w:r>
              <w:rPr>
                <w:sz w:val="18"/>
              </w:rPr>
              <w:t>exterior</w:t>
            </w:r>
            <w:r>
              <w:rPr>
                <w:spacing w:val="80"/>
                <w:sz w:val="18"/>
              </w:rPr>
              <w:t xml:space="preserve"> </w:t>
            </w:r>
            <w:r>
              <w:rPr>
                <w:sz w:val="18"/>
              </w:rPr>
              <w:t>de</w:t>
            </w:r>
            <w:r>
              <w:rPr>
                <w:spacing w:val="80"/>
                <w:sz w:val="18"/>
              </w:rPr>
              <w:t xml:space="preserve"> </w:t>
            </w:r>
            <w:r>
              <w:rPr>
                <w:sz w:val="18"/>
              </w:rPr>
              <w:t xml:space="preserve">la </w:t>
            </w:r>
            <w:r>
              <w:rPr>
                <w:spacing w:val="-2"/>
                <w:sz w:val="18"/>
              </w:rPr>
              <w:t>República.</w:t>
            </w:r>
          </w:p>
        </w:tc>
        <w:tc>
          <w:tcPr>
            <w:tcW w:w="2647" w:type="dxa"/>
            <w:tcBorders>
              <w:top w:val="single" w:sz="4" w:space="0" w:color="000000"/>
              <w:left w:val="single" w:sz="4" w:space="0" w:color="000000"/>
              <w:bottom w:val="single" w:sz="4" w:space="0" w:color="000000"/>
              <w:right w:val="single" w:sz="4" w:space="0" w:color="000000"/>
            </w:tcBorders>
          </w:tcPr>
          <w:p w14:paraId="65242E76" w14:textId="6531DBF4" w:rsidR="000E52B0" w:rsidRDefault="00F60D74">
            <w:pPr>
              <w:pStyle w:val="TableParagraph"/>
              <w:tabs>
                <w:tab w:val="left" w:pos="1468"/>
                <w:tab w:val="left" w:pos="2245"/>
              </w:tabs>
              <w:ind w:left="72" w:right="56"/>
              <w:jc w:val="both"/>
              <w:rPr>
                <w:sz w:val="18"/>
              </w:rPr>
            </w:pPr>
            <w:r>
              <w:rPr>
                <w:sz w:val="18"/>
              </w:rPr>
              <w:t xml:space="preserve">Formular y proponer al </w:t>
            </w:r>
            <w:r w:rsidR="00711074">
              <w:rPr>
                <w:sz w:val="18"/>
              </w:rPr>
              <w:t>presidente</w:t>
            </w:r>
            <w:r>
              <w:rPr>
                <w:sz w:val="18"/>
              </w:rPr>
              <w:t xml:space="preserve"> de la República la política exterior del </w:t>
            </w:r>
            <w:r>
              <w:rPr>
                <w:spacing w:val="-2"/>
                <w:sz w:val="18"/>
              </w:rPr>
              <w:t>Estado</w:t>
            </w:r>
            <w:r>
              <w:rPr>
                <w:sz w:val="18"/>
              </w:rPr>
              <w:tab/>
            </w:r>
            <w:r>
              <w:rPr>
                <w:spacing w:val="-2"/>
                <w:sz w:val="18"/>
              </w:rPr>
              <w:t xml:space="preserve">colombiano; </w:t>
            </w:r>
            <w:r>
              <w:rPr>
                <w:sz w:val="18"/>
              </w:rPr>
              <w:t>Ejecutar,</w:t>
            </w:r>
            <w:r>
              <w:rPr>
                <w:spacing w:val="-16"/>
                <w:sz w:val="18"/>
              </w:rPr>
              <w:t xml:space="preserve"> </w:t>
            </w:r>
            <w:r>
              <w:rPr>
                <w:sz w:val="18"/>
              </w:rPr>
              <w:t>de</w:t>
            </w:r>
            <w:r>
              <w:rPr>
                <w:spacing w:val="-16"/>
                <w:sz w:val="18"/>
              </w:rPr>
              <w:t xml:space="preserve"> </w:t>
            </w:r>
            <w:r>
              <w:rPr>
                <w:sz w:val="18"/>
              </w:rPr>
              <w:t>manera</w:t>
            </w:r>
            <w:r>
              <w:rPr>
                <w:spacing w:val="-16"/>
                <w:sz w:val="18"/>
              </w:rPr>
              <w:t xml:space="preserve"> </w:t>
            </w:r>
            <w:r>
              <w:rPr>
                <w:sz w:val="18"/>
              </w:rPr>
              <w:t>directa o a través de las distintas entidades</w:t>
            </w:r>
            <w:r>
              <w:rPr>
                <w:spacing w:val="-4"/>
                <w:sz w:val="18"/>
              </w:rPr>
              <w:t xml:space="preserve"> </w:t>
            </w:r>
            <w:r>
              <w:rPr>
                <w:sz w:val="18"/>
              </w:rPr>
              <w:t>y</w:t>
            </w:r>
            <w:r>
              <w:rPr>
                <w:spacing w:val="-5"/>
                <w:sz w:val="18"/>
              </w:rPr>
              <w:t xml:space="preserve"> </w:t>
            </w:r>
            <w:r>
              <w:rPr>
                <w:sz w:val="18"/>
              </w:rPr>
              <w:t>organismos</w:t>
            </w:r>
            <w:r>
              <w:rPr>
                <w:spacing w:val="-6"/>
                <w:sz w:val="18"/>
              </w:rPr>
              <w:t xml:space="preserve"> </w:t>
            </w:r>
            <w:r>
              <w:rPr>
                <w:sz w:val="18"/>
              </w:rPr>
              <w:t xml:space="preserve">del Estado, la política exterior del Estado colombiano; Evaluar la política exterior del Estado colombiano y proponer los ajustes y </w:t>
            </w:r>
            <w:r>
              <w:rPr>
                <w:spacing w:val="-2"/>
                <w:sz w:val="18"/>
              </w:rPr>
              <w:t>modificaciones</w:t>
            </w:r>
            <w:r>
              <w:rPr>
                <w:sz w:val="18"/>
              </w:rPr>
              <w:tab/>
            </w:r>
            <w:r>
              <w:rPr>
                <w:sz w:val="18"/>
              </w:rPr>
              <w:tab/>
            </w:r>
            <w:r>
              <w:rPr>
                <w:spacing w:val="-5"/>
                <w:sz w:val="18"/>
              </w:rPr>
              <w:t>que</w:t>
            </w:r>
          </w:p>
          <w:p w14:paraId="38175483" w14:textId="77777777" w:rsidR="000E52B0" w:rsidRDefault="00F60D74">
            <w:pPr>
              <w:pStyle w:val="TableParagraph"/>
              <w:spacing w:line="199" w:lineRule="exact"/>
              <w:ind w:left="72"/>
              <w:rPr>
                <w:sz w:val="18"/>
              </w:rPr>
            </w:pPr>
            <w:r>
              <w:rPr>
                <w:spacing w:val="-2"/>
                <w:sz w:val="18"/>
              </w:rPr>
              <w:t>correspondan.</w:t>
            </w:r>
          </w:p>
        </w:tc>
        <w:tc>
          <w:tcPr>
            <w:tcW w:w="1985" w:type="dxa"/>
            <w:tcBorders>
              <w:top w:val="single" w:sz="4" w:space="0" w:color="000000"/>
              <w:left w:val="single" w:sz="4" w:space="0" w:color="000000"/>
              <w:bottom w:val="single" w:sz="4" w:space="0" w:color="000000"/>
              <w:right w:val="single" w:sz="4" w:space="0" w:color="000000"/>
            </w:tcBorders>
          </w:tcPr>
          <w:p w14:paraId="7211F1CA" w14:textId="77777777" w:rsidR="000E52B0" w:rsidRDefault="00F60D74">
            <w:pPr>
              <w:pStyle w:val="TableParagraph"/>
              <w:tabs>
                <w:tab w:val="left" w:pos="1628"/>
              </w:tabs>
              <w:ind w:left="91" w:right="76"/>
              <w:rPr>
                <w:sz w:val="18"/>
              </w:rPr>
            </w:pPr>
            <w:r>
              <w:rPr>
                <w:spacing w:val="-2"/>
                <w:sz w:val="18"/>
              </w:rPr>
              <w:t>Relaciones exteriores</w:t>
            </w:r>
            <w:r>
              <w:rPr>
                <w:sz w:val="18"/>
              </w:rPr>
              <w:tab/>
            </w:r>
            <w:r>
              <w:rPr>
                <w:spacing w:val="-4"/>
                <w:sz w:val="18"/>
              </w:rPr>
              <w:t xml:space="preserve">del </w:t>
            </w:r>
            <w:r>
              <w:rPr>
                <w:sz w:val="18"/>
              </w:rPr>
              <w:t>Estado (art. 9 C.P)</w:t>
            </w:r>
          </w:p>
        </w:tc>
        <w:tc>
          <w:tcPr>
            <w:tcW w:w="1337" w:type="dxa"/>
            <w:tcBorders>
              <w:top w:val="single" w:sz="4" w:space="0" w:color="000000"/>
              <w:left w:val="single" w:sz="4" w:space="0" w:color="000000"/>
              <w:bottom w:val="single" w:sz="4" w:space="0" w:color="000000"/>
            </w:tcBorders>
          </w:tcPr>
          <w:p w14:paraId="3575C82C" w14:textId="77777777" w:rsidR="000E52B0" w:rsidRDefault="00F60D74">
            <w:pPr>
              <w:pStyle w:val="TableParagraph"/>
              <w:tabs>
                <w:tab w:val="left" w:pos="1030"/>
              </w:tabs>
              <w:ind w:left="92" w:right="72"/>
              <w:rPr>
                <w:sz w:val="18"/>
              </w:rPr>
            </w:pPr>
            <w:r>
              <w:rPr>
                <w:spacing w:val="-2"/>
                <w:sz w:val="18"/>
              </w:rPr>
              <w:t xml:space="preserve">Sector </w:t>
            </w:r>
            <w:proofErr w:type="spellStart"/>
            <w:r>
              <w:rPr>
                <w:spacing w:val="-2"/>
                <w:sz w:val="18"/>
              </w:rPr>
              <w:t>Administrati</w:t>
            </w:r>
            <w:proofErr w:type="spellEnd"/>
            <w:r>
              <w:rPr>
                <w:spacing w:val="-2"/>
                <w:sz w:val="18"/>
              </w:rPr>
              <w:t xml:space="preserve"> </w:t>
            </w:r>
            <w:proofErr w:type="spellStart"/>
            <w:r>
              <w:rPr>
                <w:spacing w:val="-5"/>
                <w:sz w:val="18"/>
              </w:rPr>
              <w:t>vo</w:t>
            </w:r>
            <w:proofErr w:type="spellEnd"/>
            <w:r>
              <w:rPr>
                <w:sz w:val="18"/>
              </w:rPr>
              <w:tab/>
            </w:r>
            <w:r>
              <w:rPr>
                <w:spacing w:val="-5"/>
                <w:sz w:val="18"/>
              </w:rPr>
              <w:t>de</w:t>
            </w:r>
          </w:p>
          <w:p w14:paraId="028D0825" w14:textId="77777777" w:rsidR="000E52B0" w:rsidRDefault="00F60D74">
            <w:pPr>
              <w:pStyle w:val="TableParagraph"/>
              <w:spacing w:line="242" w:lineRule="auto"/>
              <w:ind w:left="92" w:right="91"/>
              <w:rPr>
                <w:sz w:val="18"/>
              </w:rPr>
            </w:pPr>
            <w:r>
              <w:rPr>
                <w:spacing w:val="-2"/>
                <w:sz w:val="18"/>
              </w:rPr>
              <w:t>Relaciones Exteriores.</w:t>
            </w:r>
          </w:p>
        </w:tc>
      </w:tr>
      <w:tr w:rsidR="000E52B0" w14:paraId="6F1F1BF5" w14:textId="77777777">
        <w:trPr>
          <w:trHeight w:val="1312"/>
        </w:trPr>
        <w:tc>
          <w:tcPr>
            <w:tcW w:w="1416" w:type="dxa"/>
            <w:tcBorders>
              <w:top w:val="single" w:sz="4" w:space="0" w:color="000000"/>
              <w:right w:val="single" w:sz="4" w:space="0" w:color="000000"/>
            </w:tcBorders>
          </w:tcPr>
          <w:p w14:paraId="3D31FC59" w14:textId="77777777" w:rsidR="000E52B0" w:rsidRDefault="00F60D74">
            <w:pPr>
              <w:pStyle w:val="TableParagraph"/>
              <w:ind w:left="90" w:right="76"/>
              <w:rPr>
                <w:sz w:val="18"/>
              </w:rPr>
            </w:pPr>
            <w:r>
              <w:rPr>
                <w:spacing w:val="-2"/>
                <w:sz w:val="18"/>
              </w:rPr>
              <w:t xml:space="preserve">MINISTERIO </w:t>
            </w:r>
            <w:r>
              <w:rPr>
                <w:spacing w:val="-6"/>
                <w:sz w:val="18"/>
              </w:rPr>
              <w:t>DE</w:t>
            </w:r>
            <w:r>
              <w:rPr>
                <w:spacing w:val="40"/>
                <w:sz w:val="18"/>
              </w:rPr>
              <w:t xml:space="preserve"> </w:t>
            </w:r>
            <w:r>
              <w:rPr>
                <w:sz w:val="18"/>
              </w:rPr>
              <w:t>HACIENDA</w:t>
            </w:r>
            <w:r>
              <w:rPr>
                <w:spacing w:val="40"/>
                <w:sz w:val="18"/>
              </w:rPr>
              <w:t xml:space="preserve"> </w:t>
            </w:r>
            <w:r>
              <w:rPr>
                <w:sz w:val="18"/>
              </w:rPr>
              <w:t xml:space="preserve">Y </w:t>
            </w:r>
            <w:r>
              <w:rPr>
                <w:spacing w:val="-2"/>
                <w:sz w:val="18"/>
              </w:rPr>
              <w:t>CRÉDITO PÚBLICO.</w:t>
            </w:r>
            <w:r>
              <w:rPr>
                <w:spacing w:val="-3"/>
                <w:sz w:val="18"/>
              </w:rPr>
              <w:t xml:space="preserve"> </w:t>
            </w:r>
            <w:r>
              <w:rPr>
                <w:spacing w:val="-5"/>
                <w:sz w:val="18"/>
              </w:rPr>
              <w:t>Ley</w:t>
            </w:r>
          </w:p>
          <w:p w14:paraId="41AABBDF" w14:textId="77777777" w:rsidR="000E52B0" w:rsidRDefault="00F60D74">
            <w:pPr>
              <w:pStyle w:val="TableParagraph"/>
              <w:spacing w:line="199" w:lineRule="exact"/>
              <w:ind w:left="90"/>
              <w:rPr>
                <w:sz w:val="18"/>
              </w:rPr>
            </w:pPr>
            <w:r>
              <w:rPr>
                <w:sz w:val="18"/>
              </w:rPr>
              <w:t>31</w:t>
            </w:r>
            <w:r>
              <w:rPr>
                <w:spacing w:val="10"/>
                <w:sz w:val="18"/>
              </w:rPr>
              <w:t xml:space="preserve"> </w:t>
            </w:r>
            <w:r>
              <w:rPr>
                <w:sz w:val="18"/>
              </w:rPr>
              <w:t>de</w:t>
            </w:r>
            <w:r>
              <w:rPr>
                <w:spacing w:val="10"/>
                <w:sz w:val="18"/>
              </w:rPr>
              <w:t xml:space="preserve"> </w:t>
            </w:r>
            <w:r>
              <w:rPr>
                <w:sz w:val="18"/>
              </w:rPr>
              <w:t>1923</w:t>
            </w:r>
            <w:r>
              <w:rPr>
                <w:spacing w:val="11"/>
                <w:sz w:val="18"/>
              </w:rPr>
              <w:t xml:space="preserve"> </w:t>
            </w:r>
            <w:r>
              <w:rPr>
                <w:spacing w:val="-10"/>
                <w:sz w:val="18"/>
              </w:rPr>
              <w:t>y</w:t>
            </w:r>
          </w:p>
        </w:tc>
        <w:tc>
          <w:tcPr>
            <w:tcW w:w="1601" w:type="dxa"/>
            <w:tcBorders>
              <w:top w:val="single" w:sz="4" w:space="0" w:color="000000"/>
              <w:left w:val="single" w:sz="4" w:space="0" w:color="000000"/>
              <w:right w:val="single" w:sz="4" w:space="0" w:color="000000"/>
            </w:tcBorders>
          </w:tcPr>
          <w:p w14:paraId="4DF6362C" w14:textId="77777777" w:rsidR="000E52B0" w:rsidRDefault="00F60D74">
            <w:pPr>
              <w:pStyle w:val="TableParagraph"/>
              <w:tabs>
                <w:tab w:val="left" w:pos="1407"/>
              </w:tabs>
              <w:spacing w:line="217" w:lineRule="exact"/>
              <w:ind w:left="93"/>
              <w:rPr>
                <w:sz w:val="18"/>
              </w:rPr>
            </w:pPr>
            <w:r>
              <w:rPr>
                <w:spacing w:val="-2"/>
                <w:sz w:val="18"/>
              </w:rPr>
              <w:t>Formular</w:t>
            </w:r>
            <w:r>
              <w:rPr>
                <w:sz w:val="18"/>
              </w:rPr>
              <w:tab/>
            </w:r>
            <w:r>
              <w:rPr>
                <w:spacing w:val="-10"/>
                <w:sz w:val="18"/>
              </w:rPr>
              <w:t>y</w:t>
            </w:r>
          </w:p>
          <w:p w14:paraId="79891FDB" w14:textId="77777777" w:rsidR="000E52B0" w:rsidRDefault="00F60D74">
            <w:pPr>
              <w:pStyle w:val="TableParagraph"/>
              <w:tabs>
                <w:tab w:val="left" w:pos="1405"/>
              </w:tabs>
              <w:ind w:left="93"/>
              <w:rPr>
                <w:sz w:val="18"/>
              </w:rPr>
            </w:pPr>
            <w:r>
              <w:rPr>
                <w:spacing w:val="-2"/>
                <w:sz w:val="18"/>
              </w:rPr>
              <w:t>desarrollar</w:t>
            </w:r>
            <w:r>
              <w:rPr>
                <w:sz w:val="18"/>
              </w:rPr>
              <w:tab/>
            </w:r>
            <w:r>
              <w:rPr>
                <w:spacing w:val="-10"/>
                <w:sz w:val="18"/>
              </w:rPr>
              <w:t>a</w:t>
            </w:r>
          </w:p>
          <w:p w14:paraId="1C9807A7" w14:textId="77777777" w:rsidR="000E52B0" w:rsidRDefault="00F60D74">
            <w:pPr>
              <w:pStyle w:val="TableParagraph"/>
              <w:tabs>
                <w:tab w:val="left" w:pos="1244"/>
              </w:tabs>
              <w:spacing w:before="2"/>
              <w:ind w:left="93" w:right="75"/>
              <w:rPr>
                <w:sz w:val="18"/>
              </w:rPr>
            </w:pPr>
            <w:r>
              <w:rPr>
                <w:spacing w:val="-2"/>
                <w:sz w:val="18"/>
              </w:rPr>
              <w:t>nombre</w:t>
            </w:r>
            <w:r>
              <w:rPr>
                <w:sz w:val="18"/>
              </w:rPr>
              <w:tab/>
            </w:r>
            <w:r>
              <w:rPr>
                <w:spacing w:val="-4"/>
                <w:sz w:val="18"/>
              </w:rPr>
              <w:t xml:space="preserve">del </w:t>
            </w:r>
            <w:r>
              <w:rPr>
                <w:spacing w:val="-2"/>
                <w:sz w:val="18"/>
              </w:rPr>
              <w:t>Gobierno Nacional</w:t>
            </w:r>
            <w:r>
              <w:rPr>
                <w:sz w:val="18"/>
              </w:rPr>
              <w:tab/>
            </w:r>
            <w:r>
              <w:rPr>
                <w:spacing w:val="-47"/>
                <w:sz w:val="18"/>
              </w:rPr>
              <w:t xml:space="preserve"> </w:t>
            </w:r>
            <w:r>
              <w:rPr>
                <w:spacing w:val="-2"/>
                <w:sz w:val="18"/>
              </w:rPr>
              <w:t>las</w:t>
            </w:r>
          </w:p>
          <w:p w14:paraId="0F6A4526" w14:textId="77777777" w:rsidR="000E52B0" w:rsidRDefault="00F60D74">
            <w:pPr>
              <w:pStyle w:val="TableParagraph"/>
              <w:tabs>
                <w:tab w:val="left" w:pos="1244"/>
              </w:tabs>
              <w:spacing w:line="198" w:lineRule="exact"/>
              <w:ind w:left="93"/>
              <w:rPr>
                <w:sz w:val="18"/>
              </w:rPr>
            </w:pPr>
            <w:r>
              <w:rPr>
                <w:spacing w:val="-2"/>
                <w:sz w:val="18"/>
              </w:rPr>
              <w:t>políticas</w:t>
            </w:r>
            <w:r>
              <w:rPr>
                <w:sz w:val="18"/>
              </w:rPr>
              <w:tab/>
            </w:r>
            <w:r>
              <w:rPr>
                <w:spacing w:val="-5"/>
                <w:sz w:val="18"/>
              </w:rPr>
              <w:t>del</w:t>
            </w:r>
          </w:p>
        </w:tc>
        <w:tc>
          <w:tcPr>
            <w:tcW w:w="2647" w:type="dxa"/>
            <w:tcBorders>
              <w:top w:val="single" w:sz="4" w:space="0" w:color="000000"/>
              <w:left w:val="single" w:sz="4" w:space="0" w:color="000000"/>
              <w:right w:val="single" w:sz="4" w:space="0" w:color="000000"/>
            </w:tcBorders>
          </w:tcPr>
          <w:p w14:paraId="7AEB6E1C" w14:textId="77777777" w:rsidR="000E52B0" w:rsidRDefault="00F60D74">
            <w:pPr>
              <w:pStyle w:val="TableParagraph"/>
              <w:ind w:left="91" w:right="77"/>
              <w:jc w:val="both"/>
              <w:rPr>
                <w:sz w:val="18"/>
              </w:rPr>
            </w:pPr>
            <w:r>
              <w:rPr>
                <w:sz w:val="18"/>
              </w:rPr>
              <w:t xml:space="preserve">Dirigir y desarrollar la política económica y fiscal del Estado; Administrar y recuadrar los impuestos, </w:t>
            </w:r>
            <w:proofErr w:type="gramStart"/>
            <w:r>
              <w:rPr>
                <w:sz w:val="18"/>
              </w:rPr>
              <w:t>rentas,</w:t>
            </w:r>
            <w:r>
              <w:rPr>
                <w:spacing w:val="45"/>
                <w:sz w:val="18"/>
              </w:rPr>
              <w:t xml:space="preserve">  </w:t>
            </w:r>
            <w:r>
              <w:rPr>
                <w:sz w:val="18"/>
              </w:rPr>
              <w:t>tasas,</w:t>
            </w:r>
            <w:r>
              <w:rPr>
                <w:spacing w:val="46"/>
                <w:sz w:val="18"/>
              </w:rPr>
              <w:t xml:space="preserve">  </w:t>
            </w:r>
            <w:r>
              <w:rPr>
                <w:spacing w:val="-2"/>
                <w:sz w:val="18"/>
              </w:rPr>
              <w:t>servicios</w:t>
            </w:r>
            <w:proofErr w:type="gramEnd"/>
            <w:r>
              <w:rPr>
                <w:spacing w:val="-2"/>
                <w:sz w:val="18"/>
              </w:rPr>
              <w:t>,</w:t>
            </w:r>
          </w:p>
          <w:p w14:paraId="34EC27ED" w14:textId="77777777" w:rsidR="000E52B0" w:rsidRDefault="00F60D74">
            <w:pPr>
              <w:pStyle w:val="TableParagraph"/>
              <w:spacing w:line="199" w:lineRule="exact"/>
              <w:ind w:left="91"/>
              <w:jc w:val="both"/>
              <w:rPr>
                <w:sz w:val="18"/>
              </w:rPr>
            </w:pPr>
            <w:r>
              <w:rPr>
                <w:sz w:val="18"/>
              </w:rPr>
              <w:t>multas</w:t>
            </w:r>
            <w:r>
              <w:rPr>
                <w:spacing w:val="68"/>
                <w:sz w:val="18"/>
              </w:rPr>
              <w:t xml:space="preserve">   </w:t>
            </w:r>
            <w:r>
              <w:rPr>
                <w:sz w:val="18"/>
              </w:rPr>
              <w:t>nacionales</w:t>
            </w:r>
            <w:r>
              <w:rPr>
                <w:spacing w:val="69"/>
                <w:sz w:val="18"/>
              </w:rPr>
              <w:t xml:space="preserve">   </w:t>
            </w:r>
            <w:r>
              <w:rPr>
                <w:spacing w:val="-10"/>
                <w:sz w:val="18"/>
              </w:rPr>
              <w:t>y</w:t>
            </w:r>
          </w:p>
        </w:tc>
        <w:tc>
          <w:tcPr>
            <w:tcW w:w="1985" w:type="dxa"/>
            <w:tcBorders>
              <w:top w:val="single" w:sz="4" w:space="0" w:color="000000"/>
              <w:left w:val="single" w:sz="4" w:space="0" w:color="000000"/>
              <w:right w:val="single" w:sz="4" w:space="0" w:color="000000"/>
            </w:tcBorders>
          </w:tcPr>
          <w:p w14:paraId="62C47D65" w14:textId="77777777" w:rsidR="000E52B0" w:rsidRDefault="00F60D74">
            <w:pPr>
              <w:pStyle w:val="TableParagraph"/>
              <w:tabs>
                <w:tab w:val="left" w:pos="1739"/>
              </w:tabs>
              <w:spacing w:line="217" w:lineRule="exact"/>
              <w:ind w:left="91"/>
              <w:jc w:val="both"/>
              <w:rPr>
                <w:sz w:val="18"/>
              </w:rPr>
            </w:pPr>
            <w:r>
              <w:rPr>
                <w:spacing w:val="-2"/>
                <w:sz w:val="18"/>
              </w:rPr>
              <w:t>Facilitar</w:t>
            </w:r>
            <w:r>
              <w:rPr>
                <w:sz w:val="18"/>
              </w:rPr>
              <w:tab/>
            </w:r>
            <w:r>
              <w:rPr>
                <w:spacing w:val="-5"/>
                <w:sz w:val="18"/>
              </w:rPr>
              <w:t>la</w:t>
            </w:r>
          </w:p>
          <w:p w14:paraId="270B84C7" w14:textId="77777777" w:rsidR="000E52B0" w:rsidRDefault="00F60D74">
            <w:pPr>
              <w:pStyle w:val="TableParagraph"/>
              <w:ind w:left="91" w:right="75"/>
              <w:jc w:val="both"/>
              <w:rPr>
                <w:sz w:val="18"/>
              </w:rPr>
            </w:pPr>
            <w:r>
              <w:rPr>
                <w:sz w:val="18"/>
              </w:rPr>
              <w:t xml:space="preserve">participación de todos en la vida económica (art. 2 </w:t>
            </w:r>
            <w:r>
              <w:rPr>
                <w:spacing w:val="-2"/>
                <w:sz w:val="18"/>
              </w:rPr>
              <w:t>C.P.)</w:t>
            </w:r>
          </w:p>
        </w:tc>
        <w:tc>
          <w:tcPr>
            <w:tcW w:w="1337" w:type="dxa"/>
            <w:tcBorders>
              <w:top w:val="single" w:sz="4" w:space="0" w:color="000000"/>
              <w:left w:val="single" w:sz="4" w:space="0" w:color="000000"/>
            </w:tcBorders>
          </w:tcPr>
          <w:p w14:paraId="7FF18E25" w14:textId="77777777" w:rsidR="000E52B0" w:rsidRDefault="00F60D74">
            <w:pPr>
              <w:pStyle w:val="TableParagraph"/>
              <w:tabs>
                <w:tab w:val="left" w:pos="1030"/>
              </w:tabs>
              <w:ind w:left="92" w:right="72"/>
              <w:rPr>
                <w:sz w:val="18"/>
              </w:rPr>
            </w:pPr>
            <w:r>
              <w:rPr>
                <w:spacing w:val="-2"/>
                <w:sz w:val="18"/>
              </w:rPr>
              <w:t xml:space="preserve">Sector </w:t>
            </w:r>
            <w:proofErr w:type="spellStart"/>
            <w:r>
              <w:rPr>
                <w:spacing w:val="-2"/>
                <w:sz w:val="18"/>
              </w:rPr>
              <w:t>Administrati</w:t>
            </w:r>
            <w:proofErr w:type="spellEnd"/>
            <w:r>
              <w:rPr>
                <w:spacing w:val="-2"/>
                <w:sz w:val="18"/>
              </w:rPr>
              <w:t xml:space="preserve"> </w:t>
            </w:r>
            <w:proofErr w:type="spellStart"/>
            <w:r>
              <w:rPr>
                <w:spacing w:val="-5"/>
                <w:sz w:val="18"/>
              </w:rPr>
              <w:t>vo</w:t>
            </w:r>
            <w:proofErr w:type="spellEnd"/>
            <w:r>
              <w:rPr>
                <w:sz w:val="18"/>
              </w:rPr>
              <w:tab/>
            </w:r>
            <w:r>
              <w:rPr>
                <w:spacing w:val="-5"/>
                <w:sz w:val="18"/>
              </w:rPr>
              <w:t>de</w:t>
            </w:r>
          </w:p>
          <w:p w14:paraId="70E7290F" w14:textId="77777777" w:rsidR="000E52B0" w:rsidRDefault="00F60D74">
            <w:pPr>
              <w:pStyle w:val="TableParagraph"/>
              <w:tabs>
                <w:tab w:val="left" w:pos="1144"/>
              </w:tabs>
              <w:spacing w:line="218" w:lineRule="exact"/>
              <w:ind w:left="92" w:right="71"/>
              <w:rPr>
                <w:sz w:val="18"/>
              </w:rPr>
            </w:pPr>
            <w:r>
              <w:rPr>
                <w:spacing w:val="-2"/>
                <w:sz w:val="18"/>
              </w:rPr>
              <w:t>Hacienda</w:t>
            </w:r>
            <w:r>
              <w:rPr>
                <w:sz w:val="18"/>
              </w:rPr>
              <w:tab/>
            </w:r>
            <w:r>
              <w:rPr>
                <w:spacing w:val="-10"/>
                <w:sz w:val="18"/>
              </w:rPr>
              <w:t xml:space="preserve">y </w:t>
            </w:r>
            <w:r>
              <w:rPr>
                <w:spacing w:val="-2"/>
                <w:sz w:val="18"/>
              </w:rPr>
              <w:t>Crédito Público</w:t>
            </w:r>
          </w:p>
        </w:tc>
      </w:tr>
    </w:tbl>
    <w:p w14:paraId="17807B6B" w14:textId="77777777" w:rsidR="000E52B0" w:rsidRDefault="000E52B0">
      <w:pPr>
        <w:pStyle w:val="TableParagraph"/>
        <w:spacing w:line="218" w:lineRule="exact"/>
        <w:rPr>
          <w:sz w:val="18"/>
        </w:rPr>
        <w:sectPr w:rsidR="000E52B0">
          <w:type w:val="continuous"/>
          <w:pgSz w:w="11910" w:h="16840"/>
          <w:pgMar w:top="1400" w:right="720" w:bottom="1180" w:left="720" w:header="0" w:footer="995" w:gutter="0"/>
          <w:cols w:space="720"/>
        </w:sectPr>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6"/>
        <w:gridCol w:w="1601"/>
        <w:gridCol w:w="2647"/>
        <w:gridCol w:w="1985"/>
        <w:gridCol w:w="1337"/>
      </w:tblGrid>
      <w:tr w:rsidR="000E52B0" w14:paraId="2FC90193" w14:textId="77777777">
        <w:trPr>
          <w:trHeight w:val="875"/>
        </w:trPr>
        <w:tc>
          <w:tcPr>
            <w:tcW w:w="1416" w:type="dxa"/>
            <w:tcBorders>
              <w:bottom w:val="single" w:sz="4" w:space="0" w:color="000000"/>
              <w:right w:val="single" w:sz="4" w:space="0" w:color="000000"/>
            </w:tcBorders>
            <w:shd w:val="clear" w:color="auto" w:fill="D44673"/>
          </w:tcPr>
          <w:p w14:paraId="370B83A0" w14:textId="77777777" w:rsidR="000E52B0" w:rsidRDefault="000E52B0">
            <w:pPr>
              <w:pStyle w:val="TableParagraph"/>
              <w:spacing w:before="109"/>
              <w:rPr>
                <w:sz w:val="18"/>
              </w:rPr>
            </w:pPr>
          </w:p>
          <w:p w14:paraId="4FC55D1A" w14:textId="77777777" w:rsidR="000E52B0" w:rsidRDefault="00F60D74">
            <w:pPr>
              <w:pStyle w:val="TableParagraph"/>
              <w:ind w:left="206"/>
              <w:rPr>
                <w:b/>
                <w:sz w:val="18"/>
              </w:rPr>
            </w:pPr>
            <w:r>
              <w:rPr>
                <w:b/>
                <w:color w:val="FFFFFF"/>
                <w:spacing w:val="-2"/>
                <w:sz w:val="18"/>
              </w:rPr>
              <w:t>Ministerio</w:t>
            </w:r>
          </w:p>
        </w:tc>
        <w:tc>
          <w:tcPr>
            <w:tcW w:w="1601" w:type="dxa"/>
            <w:tcBorders>
              <w:left w:val="single" w:sz="4" w:space="0" w:color="000000"/>
              <w:bottom w:val="single" w:sz="4" w:space="0" w:color="000000"/>
              <w:right w:val="single" w:sz="4" w:space="0" w:color="000000"/>
            </w:tcBorders>
            <w:shd w:val="clear" w:color="auto" w:fill="D44673"/>
          </w:tcPr>
          <w:p w14:paraId="61918F53" w14:textId="77777777" w:rsidR="000E52B0" w:rsidRDefault="000E52B0">
            <w:pPr>
              <w:pStyle w:val="TableParagraph"/>
              <w:spacing w:before="109"/>
              <w:rPr>
                <w:sz w:val="18"/>
              </w:rPr>
            </w:pPr>
          </w:p>
          <w:p w14:paraId="28345E09" w14:textId="77777777" w:rsidR="000E52B0" w:rsidRDefault="00F60D74">
            <w:pPr>
              <w:pStyle w:val="TableParagraph"/>
              <w:ind w:left="374"/>
              <w:rPr>
                <w:b/>
                <w:sz w:val="18"/>
              </w:rPr>
            </w:pPr>
            <w:r>
              <w:rPr>
                <w:b/>
                <w:color w:val="FFFFFF"/>
                <w:spacing w:val="-2"/>
                <w:sz w:val="18"/>
              </w:rPr>
              <w:t>Objetivo</w:t>
            </w:r>
          </w:p>
        </w:tc>
        <w:tc>
          <w:tcPr>
            <w:tcW w:w="2647" w:type="dxa"/>
            <w:tcBorders>
              <w:left w:val="single" w:sz="4" w:space="0" w:color="000000"/>
              <w:bottom w:val="single" w:sz="4" w:space="0" w:color="000000"/>
              <w:right w:val="single" w:sz="4" w:space="0" w:color="000000"/>
            </w:tcBorders>
            <w:shd w:val="clear" w:color="auto" w:fill="D44673"/>
          </w:tcPr>
          <w:p w14:paraId="7C0854E9" w14:textId="77777777" w:rsidR="000E52B0" w:rsidRDefault="000E52B0">
            <w:pPr>
              <w:pStyle w:val="TableParagraph"/>
              <w:spacing w:before="109"/>
              <w:rPr>
                <w:sz w:val="18"/>
              </w:rPr>
            </w:pPr>
          </w:p>
          <w:p w14:paraId="66AE6015" w14:textId="77777777" w:rsidR="000E52B0" w:rsidRDefault="00F60D74">
            <w:pPr>
              <w:pStyle w:val="TableParagraph"/>
              <w:ind w:left="813"/>
              <w:rPr>
                <w:b/>
                <w:sz w:val="18"/>
              </w:rPr>
            </w:pPr>
            <w:r>
              <w:rPr>
                <w:b/>
                <w:color w:val="FFFFFF"/>
                <w:spacing w:val="-2"/>
                <w:sz w:val="18"/>
              </w:rPr>
              <w:t>Funciones</w:t>
            </w:r>
          </w:p>
        </w:tc>
        <w:tc>
          <w:tcPr>
            <w:tcW w:w="1985" w:type="dxa"/>
            <w:tcBorders>
              <w:left w:val="single" w:sz="4" w:space="0" w:color="000000"/>
              <w:bottom w:val="single" w:sz="4" w:space="0" w:color="000000"/>
              <w:right w:val="single" w:sz="4" w:space="0" w:color="000000"/>
            </w:tcBorders>
            <w:shd w:val="clear" w:color="auto" w:fill="D44673"/>
          </w:tcPr>
          <w:p w14:paraId="4AA90621" w14:textId="77777777" w:rsidR="000E52B0" w:rsidRDefault="00F60D74">
            <w:pPr>
              <w:pStyle w:val="TableParagraph"/>
              <w:ind w:left="118" w:right="105" w:firstLine="1"/>
              <w:jc w:val="center"/>
              <w:rPr>
                <w:b/>
                <w:sz w:val="18"/>
              </w:rPr>
            </w:pPr>
            <w:r>
              <w:rPr>
                <w:b/>
                <w:color w:val="FFFFFF"/>
                <w:sz w:val="18"/>
              </w:rPr>
              <w:t>Derecho</w:t>
            </w:r>
            <w:r>
              <w:rPr>
                <w:b/>
                <w:color w:val="FFFFFF"/>
                <w:spacing w:val="-16"/>
                <w:sz w:val="18"/>
              </w:rPr>
              <w:t xml:space="preserve"> </w:t>
            </w:r>
            <w:r>
              <w:rPr>
                <w:b/>
                <w:color w:val="FFFFFF"/>
                <w:sz w:val="18"/>
              </w:rPr>
              <w:t>Humano o</w:t>
            </w:r>
            <w:r>
              <w:rPr>
                <w:b/>
                <w:color w:val="FFFFFF"/>
                <w:spacing w:val="-1"/>
                <w:sz w:val="18"/>
              </w:rPr>
              <w:t xml:space="preserve"> </w:t>
            </w:r>
            <w:r>
              <w:rPr>
                <w:b/>
                <w:color w:val="FFFFFF"/>
                <w:sz w:val="18"/>
              </w:rPr>
              <w:t>Fin</w:t>
            </w:r>
            <w:r>
              <w:rPr>
                <w:b/>
                <w:color w:val="FFFFFF"/>
                <w:spacing w:val="-3"/>
                <w:sz w:val="18"/>
              </w:rPr>
              <w:t xml:space="preserve"> </w:t>
            </w:r>
            <w:r>
              <w:rPr>
                <w:b/>
                <w:color w:val="FFFFFF"/>
                <w:sz w:val="18"/>
              </w:rPr>
              <w:t xml:space="preserve">Esencial </w:t>
            </w:r>
            <w:r>
              <w:rPr>
                <w:b/>
                <w:color w:val="FFFFFF"/>
                <w:spacing w:val="-5"/>
                <w:sz w:val="18"/>
              </w:rPr>
              <w:t>del</w:t>
            </w:r>
          </w:p>
          <w:p w14:paraId="515D0D88" w14:textId="77777777" w:rsidR="000E52B0" w:rsidRDefault="00F60D74">
            <w:pPr>
              <w:pStyle w:val="TableParagraph"/>
              <w:spacing w:line="218" w:lineRule="exact"/>
              <w:ind w:left="12"/>
              <w:jc w:val="center"/>
              <w:rPr>
                <w:b/>
                <w:sz w:val="18"/>
              </w:rPr>
            </w:pPr>
            <w:r>
              <w:rPr>
                <w:b/>
                <w:color w:val="FFFFFF"/>
                <w:sz w:val="18"/>
              </w:rPr>
              <w:t>Estado</w:t>
            </w:r>
            <w:r>
              <w:rPr>
                <w:b/>
                <w:color w:val="FFFFFF"/>
                <w:spacing w:val="-16"/>
                <w:sz w:val="18"/>
              </w:rPr>
              <w:t xml:space="preserve"> </w:t>
            </w:r>
            <w:r>
              <w:rPr>
                <w:b/>
                <w:color w:val="FFFFFF"/>
                <w:sz w:val="18"/>
              </w:rPr>
              <w:t>al</w:t>
            </w:r>
            <w:r>
              <w:rPr>
                <w:b/>
                <w:color w:val="FFFFFF"/>
                <w:spacing w:val="-15"/>
                <w:sz w:val="18"/>
              </w:rPr>
              <w:t xml:space="preserve"> </w:t>
            </w:r>
            <w:r>
              <w:rPr>
                <w:b/>
                <w:color w:val="FFFFFF"/>
                <w:sz w:val="18"/>
              </w:rPr>
              <w:t xml:space="preserve">que </w:t>
            </w:r>
            <w:r>
              <w:rPr>
                <w:b/>
                <w:color w:val="FFFFFF"/>
                <w:spacing w:val="-2"/>
                <w:sz w:val="18"/>
              </w:rPr>
              <w:t>responde.</w:t>
            </w:r>
          </w:p>
        </w:tc>
        <w:tc>
          <w:tcPr>
            <w:tcW w:w="1337" w:type="dxa"/>
            <w:tcBorders>
              <w:left w:val="single" w:sz="4" w:space="0" w:color="000000"/>
              <w:bottom w:val="single" w:sz="4" w:space="0" w:color="000000"/>
            </w:tcBorders>
            <w:shd w:val="clear" w:color="auto" w:fill="D44673"/>
          </w:tcPr>
          <w:p w14:paraId="79DD09AC" w14:textId="77777777" w:rsidR="000E52B0" w:rsidRDefault="00F60D74">
            <w:pPr>
              <w:pStyle w:val="TableParagraph"/>
              <w:spacing w:before="217" w:line="242" w:lineRule="auto"/>
              <w:ind w:left="579" w:right="91" w:hanging="473"/>
              <w:rPr>
                <w:b/>
                <w:sz w:val="18"/>
              </w:rPr>
            </w:pPr>
            <w:proofErr w:type="spellStart"/>
            <w:r>
              <w:rPr>
                <w:b/>
                <w:color w:val="FFFFFF"/>
                <w:spacing w:val="-2"/>
                <w:sz w:val="18"/>
              </w:rPr>
              <w:t>Competenc</w:t>
            </w:r>
            <w:proofErr w:type="spellEnd"/>
            <w:r>
              <w:rPr>
                <w:b/>
                <w:color w:val="FFFFFF"/>
                <w:spacing w:val="-2"/>
                <w:sz w:val="18"/>
              </w:rPr>
              <w:t xml:space="preserve"> </w:t>
            </w:r>
            <w:proofErr w:type="spellStart"/>
            <w:r>
              <w:rPr>
                <w:b/>
                <w:color w:val="FFFFFF"/>
                <w:spacing w:val="-6"/>
                <w:sz w:val="18"/>
              </w:rPr>
              <w:t>ia</w:t>
            </w:r>
            <w:proofErr w:type="spellEnd"/>
          </w:p>
        </w:tc>
      </w:tr>
      <w:tr w:rsidR="000E52B0" w14:paraId="609D3631" w14:textId="77777777">
        <w:trPr>
          <w:trHeight w:val="5037"/>
        </w:trPr>
        <w:tc>
          <w:tcPr>
            <w:tcW w:w="1416" w:type="dxa"/>
            <w:tcBorders>
              <w:top w:val="single" w:sz="4" w:space="0" w:color="000000"/>
              <w:bottom w:val="single" w:sz="4" w:space="0" w:color="000000"/>
              <w:right w:val="single" w:sz="4" w:space="0" w:color="000000"/>
            </w:tcBorders>
          </w:tcPr>
          <w:p w14:paraId="4D4E2211" w14:textId="77777777" w:rsidR="000E52B0" w:rsidRDefault="00F60D74">
            <w:pPr>
              <w:pStyle w:val="TableParagraph"/>
              <w:spacing w:before="3" w:line="219" w:lineRule="exact"/>
              <w:ind w:left="90"/>
              <w:rPr>
                <w:sz w:val="18"/>
              </w:rPr>
            </w:pPr>
            <w:r>
              <w:rPr>
                <w:sz w:val="18"/>
              </w:rPr>
              <w:t>Decreto</w:t>
            </w:r>
            <w:r>
              <w:rPr>
                <w:spacing w:val="8"/>
                <w:sz w:val="18"/>
              </w:rPr>
              <w:t xml:space="preserve"> </w:t>
            </w:r>
            <w:r>
              <w:rPr>
                <w:spacing w:val="-4"/>
                <w:sz w:val="18"/>
              </w:rPr>
              <w:t>1642</w:t>
            </w:r>
          </w:p>
          <w:p w14:paraId="497DD2D2" w14:textId="77777777" w:rsidR="000E52B0" w:rsidRDefault="00F60D74">
            <w:pPr>
              <w:pStyle w:val="TableParagraph"/>
              <w:ind w:left="90"/>
              <w:rPr>
                <w:sz w:val="18"/>
              </w:rPr>
            </w:pPr>
            <w:r>
              <w:rPr>
                <w:sz w:val="18"/>
              </w:rPr>
              <w:t>de</w:t>
            </w:r>
            <w:r>
              <w:rPr>
                <w:spacing w:val="-1"/>
                <w:sz w:val="18"/>
              </w:rPr>
              <w:t xml:space="preserve"> </w:t>
            </w:r>
            <w:r>
              <w:rPr>
                <w:spacing w:val="-4"/>
                <w:sz w:val="18"/>
              </w:rPr>
              <w:t>1991</w:t>
            </w:r>
          </w:p>
        </w:tc>
        <w:tc>
          <w:tcPr>
            <w:tcW w:w="1601" w:type="dxa"/>
            <w:tcBorders>
              <w:top w:val="single" w:sz="4" w:space="0" w:color="000000"/>
              <w:left w:val="single" w:sz="4" w:space="0" w:color="000000"/>
              <w:bottom w:val="single" w:sz="4" w:space="0" w:color="000000"/>
              <w:right w:val="single" w:sz="4" w:space="0" w:color="000000"/>
            </w:tcBorders>
          </w:tcPr>
          <w:p w14:paraId="7B0DAAA9" w14:textId="77777777" w:rsidR="000E52B0" w:rsidRDefault="00F60D74">
            <w:pPr>
              <w:pStyle w:val="TableParagraph"/>
              <w:tabs>
                <w:tab w:val="left" w:pos="1290"/>
                <w:tab w:val="left" w:pos="1407"/>
              </w:tabs>
              <w:spacing w:before="3"/>
              <w:ind w:left="93" w:right="74"/>
              <w:rPr>
                <w:sz w:val="18"/>
              </w:rPr>
            </w:pPr>
            <w:r>
              <w:rPr>
                <w:spacing w:val="-2"/>
                <w:sz w:val="18"/>
              </w:rPr>
              <w:t>Estado</w:t>
            </w:r>
            <w:r>
              <w:rPr>
                <w:sz w:val="18"/>
              </w:rPr>
              <w:tab/>
            </w:r>
            <w:r>
              <w:rPr>
                <w:spacing w:val="-6"/>
                <w:sz w:val="18"/>
              </w:rPr>
              <w:t xml:space="preserve">en </w:t>
            </w:r>
            <w:r>
              <w:rPr>
                <w:spacing w:val="-2"/>
                <w:sz w:val="18"/>
              </w:rPr>
              <w:t>materia tributaria, aduanera,</w:t>
            </w:r>
            <w:r>
              <w:rPr>
                <w:sz w:val="18"/>
              </w:rPr>
              <w:tab/>
            </w:r>
            <w:r>
              <w:rPr>
                <w:spacing w:val="-62"/>
                <w:sz w:val="18"/>
              </w:rPr>
              <w:t xml:space="preserve"> </w:t>
            </w:r>
            <w:r>
              <w:rPr>
                <w:spacing w:val="-6"/>
                <w:sz w:val="18"/>
              </w:rPr>
              <w:t xml:space="preserve">de </w:t>
            </w:r>
            <w:r>
              <w:rPr>
                <w:sz w:val="18"/>
              </w:rPr>
              <w:t>crédito</w:t>
            </w:r>
            <w:r>
              <w:rPr>
                <w:spacing w:val="-2"/>
                <w:sz w:val="18"/>
              </w:rPr>
              <w:t xml:space="preserve"> </w:t>
            </w:r>
            <w:r>
              <w:rPr>
                <w:sz w:val="18"/>
              </w:rPr>
              <w:t xml:space="preserve">público, </w:t>
            </w:r>
            <w:r>
              <w:rPr>
                <w:spacing w:val="-2"/>
                <w:sz w:val="18"/>
              </w:rPr>
              <w:t>presupuestal</w:t>
            </w:r>
            <w:r>
              <w:rPr>
                <w:spacing w:val="80"/>
                <w:sz w:val="18"/>
              </w:rPr>
              <w:t xml:space="preserve"> </w:t>
            </w:r>
            <w:r>
              <w:rPr>
                <w:sz w:val="18"/>
              </w:rPr>
              <w:t>de</w:t>
            </w:r>
            <w:r>
              <w:rPr>
                <w:spacing w:val="80"/>
                <w:sz w:val="18"/>
              </w:rPr>
              <w:t xml:space="preserve"> </w:t>
            </w:r>
            <w:r>
              <w:rPr>
                <w:sz w:val="18"/>
              </w:rPr>
              <w:t>ingresos</w:t>
            </w:r>
            <w:r>
              <w:rPr>
                <w:spacing w:val="80"/>
                <w:sz w:val="18"/>
              </w:rPr>
              <w:t xml:space="preserve"> </w:t>
            </w:r>
            <w:r>
              <w:rPr>
                <w:sz w:val="18"/>
              </w:rPr>
              <w:t xml:space="preserve">y </w:t>
            </w:r>
            <w:r>
              <w:rPr>
                <w:spacing w:val="-2"/>
                <w:sz w:val="18"/>
              </w:rPr>
              <w:t>gastos:</w:t>
            </w:r>
            <w:r>
              <w:rPr>
                <w:sz w:val="18"/>
              </w:rPr>
              <w:tab/>
            </w:r>
            <w:r>
              <w:rPr>
                <w:spacing w:val="-62"/>
                <w:sz w:val="18"/>
              </w:rPr>
              <w:t xml:space="preserve"> </w:t>
            </w:r>
            <w:r>
              <w:rPr>
                <w:spacing w:val="-6"/>
                <w:sz w:val="18"/>
              </w:rPr>
              <w:t xml:space="preserve">de </w:t>
            </w:r>
            <w:r>
              <w:rPr>
                <w:spacing w:val="-2"/>
                <w:sz w:val="18"/>
              </w:rPr>
              <w:t xml:space="preserve">tesorería cambiaria, </w:t>
            </w:r>
            <w:r>
              <w:rPr>
                <w:sz w:val="18"/>
              </w:rPr>
              <w:t>monetaria</w:t>
            </w:r>
            <w:r>
              <w:rPr>
                <w:spacing w:val="-10"/>
                <w:sz w:val="18"/>
              </w:rPr>
              <w:t xml:space="preserve"> </w:t>
            </w:r>
            <w:r>
              <w:rPr>
                <w:sz w:val="18"/>
              </w:rPr>
              <w:t>y</w:t>
            </w:r>
            <w:r>
              <w:rPr>
                <w:spacing w:val="-11"/>
                <w:sz w:val="18"/>
              </w:rPr>
              <w:t xml:space="preserve"> </w:t>
            </w:r>
            <w:r>
              <w:rPr>
                <w:sz w:val="18"/>
              </w:rPr>
              <w:t xml:space="preserve">las </w:t>
            </w:r>
            <w:r>
              <w:rPr>
                <w:spacing w:val="-4"/>
                <w:sz w:val="18"/>
              </w:rPr>
              <w:t xml:space="preserve">que </w:t>
            </w:r>
            <w:r>
              <w:rPr>
                <w:sz w:val="18"/>
              </w:rPr>
              <w:t>correspondan</w:t>
            </w:r>
            <w:r>
              <w:rPr>
                <w:spacing w:val="-9"/>
                <w:sz w:val="18"/>
              </w:rPr>
              <w:t xml:space="preserve"> </w:t>
            </w:r>
            <w:r>
              <w:rPr>
                <w:sz w:val="18"/>
              </w:rPr>
              <w:t>a la</w:t>
            </w:r>
            <w:r>
              <w:rPr>
                <w:spacing w:val="40"/>
                <w:sz w:val="18"/>
              </w:rPr>
              <w:t xml:space="preserve"> </w:t>
            </w:r>
            <w:r>
              <w:rPr>
                <w:sz w:val="18"/>
              </w:rPr>
              <w:t>intervención del</w:t>
            </w:r>
            <w:r>
              <w:rPr>
                <w:spacing w:val="-16"/>
                <w:sz w:val="18"/>
              </w:rPr>
              <w:t xml:space="preserve"> </w:t>
            </w:r>
            <w:r>
              <w:rPr>
                <w:sz w:val="18"/>
              </w:rPr>
              <w:t>Estado</w:t>
            </w:r>
            <w:r>
              <w:rPr>
                <w:spacing w:val="-16"/>
                <w:sz w:val="18"/>
              </w:rPr>
              <w:t xml:space="preserve"> </w:t>
            </w:r>
            <w:r>
              <w:rPr>
                <w:sz w:val="18"/>
              </w:rPr>
              <w:t>en</w:t>
            </w:r>
            <w:r>
              <w:rPr>
                <w:spacing w:val="-16"/>
                <w:sz w:val="18"/>
              </w:rPr>
              <w:t xml:space="preserve"> </w:t>
            </w:r>
            <w:r>
              <w:rPr>
                <w:sz w:val="18"/>
              </w:rPr>
              <w:t xml:space="preserve">el </w:t>
            </w:r>
            <w:r>
              <w:rPr>
                <w:spacing w:val="-2"/>
                <w:sz w:val="18"/>
              </w:rPr>
              <w:t>sector financiero público</w:t>
            </w:r>
            <w:r>
              <w:rPr>
                <w:sz w:val="18"/>
              </w:rPr>
              <w:tab/>
            </w:r>
            <w:r>
              <w:rPr>
                <w:sz w:val="18"/>
              </w:rPr>
              <w:tab/>
            </w:r>
            <w:r>
              <w:rPr>
                <w:spacing w:val="-10"/>
                <w:sz w:val="18"/>
              </w:rPr>
              <w:t>y</w:t>
            </w:r>
          </w:p>
          <w:p w14:paraId="56591692" w14:textId="77777777" w:rsidR="000E52B0" w:rsidRDefault="00F60D74">
            <w:pPr>
              <w:pStyle w:val="TableParagraph"/>
              <w:tabs>
                <w:tab w:val="left" w:pos="1292"/>
                <w:tab w:val="left" w:pos="1355"/>
              </w:tabs>
              <w:spacing w:before="2"/>
              <w:ind w:left="93" w:right="75"/>
              <w:rPr>
                <w:sz w:val="18"/>
              </w:rPr>
            </w:pPr>
            <w:r>
              <w:rPr>
                <w:spacing w:val="-2"/>
                <w:sz w:val="18"/>
              </w:rPr>
              <w:t>privado</w:t>
            </w:r>
            <w:r>
              <w:rPr>
                <w:sz w:val="18"/>
              </w:rPr>
              <w:tab/>
            </w:r>
            <w:r>
              <w:rPr>
                <w:spacing w:val="-6"/>
                <w:sz w:val="18"/>
              </w:rPr>
              <w:t xml:space="preserve">de </w:t>
            </w:r>
            <w:r>
              <w:rPr>
                <w:spacing w:val="-2"/>
                <w:sz w:val="18"/>
              </w:rPr>
              <w:t xml:space="preserve">conformidad </w:t>
            </w:r>
            <w:r>
              <w:rPr>
                <w:spacing w:val="-5"/>
                <w:sz w:val="18"/>
              </w:rPr>
              <w:t>con</w:t>
            </w:r>
            <w:r>
              <w:rPr>
                <w:sz w:val="18"/>
              </w:rPr>
              <w:tab/>
            </w:r>
            <w:r>
              <w:rPr>
                <w:sz w:val="18"/>
              </w:rPr>
              <w:tab/>
            </w:r>
            <w:r>
              <w:rPr>
                <w:spacing w:val="-5"/>
                <w:sz w:val="18"/>
              </w:rPr>
              <w:t>la</w:t>
            </w:r>
          </w:p>
          <w:p w14:paraId="32C3BE93" w14:textId="77777777" w:rsidR="000E52B0" w:rsidRDefault="00F60D74">
            <w:pPr>
              <w:pStyle w:val="TableParagraph"/>
              <w:tabs>
                <w:tab w:val="left" w:pos="1408"/>
              </w:tabs>
              <w:spacing w:line="218" w:lineRule="exact"/>
              <w:ind w:left="93" w:right="73"/>
              <w:rPr>
                <w:sz w:val="18"/>
              </w:rPr>
            </w:pPr>
            <w:r>
              <w:rPr>
                <w:spacing w:val="-2"/>
                <w:sz w:val="18"/>
              </w:rPr>
              <w:t>constitución</w:t>
            </w:r>
            <w:r>
              <w:rPr>
                <w:sz w:val="18"/>
              </w:rPr>
              <w:tab/>
            </w:r>
            <w:r>
              <w:rPr>
                <w:spacing w:val="-10"/>
                <w:sz w:val="18"/>
              </w:rPr>
              <w:t xml:space="preserve">y </w:t>
            </w:r>
            <w:r>
              <w:rPr>
                <w:sz w:val="18"/>
              </w:rPr>
              <w:t>la Ley.</w:t>
            </w:r>
          </w:p>
        </w:tc>
        <w:tc>
          <w:tcPr>
            <w:tcW w:w="2647" w:type="dxa"/>
            <w:tcBorders>
              <w:top w:val="single" w:sz="4" w:space="0" w:color="000000"/>
              <w:left w:val="single" w:sz="4" w:space="0" w:color="000000"/>
              <w:bottom w:val="single" w:sz="4" w:space="0" w:color="000000"/>
              <w:right w:val="single" w:sz="4" w:space="0" w:color="000000"/>
            </w:tcBorders>
          </w:tcPr>
          <w:p w14:paraId="1A72D795" w14:textId="77777777" w:rsidR="000E52B0" w:rsidRDefault="00F60D74">
            <w:pPr>
              <w:pStyle w:val="TableParagraph"/>
              <w:tabs>
                <w:tab w:val="left" w:pos="2351"/>
              </w:tabs>
              <w:spacing w:before="3" w:line="219" w:lineRule="exact"/>
              <w:ind w:left="91"/>
              <w:jc w:val="both"/>
              <w:rPr>
                <w:sz w:val="18"/>
              </w:rPr>
            </w:pPr>
            <w:r>
              <w:rPr>
                <w:spacing w:val="-2"/>
                <w:sz w:val="18"/>
              </w:rPr>
              <w:t>registrar</w:t>
            </w:r>
            <w:r>
              <w:rPr>
                <w:sz w:val="18"/>
              </w:rPr>
              <w:tab/>
            </w:r>
            <w:r>
              <w:rPr>
                <w:spacing w:val="-5"/>
                <w:sz w:val="18"/>
              </w:rPr>
              <w:t>su</w:t>
            </w:r>
          </w:p>
          <w:p w14:paraId="42C54239" w14:textId="77777777" w:rsidR="000E52B0" w:rsidRDefault="00F60D74">
            <w:pPr>
              <w:pStyle w:val="TableParagraph"/>
              <w:ind w:left="91" w:right="77"/>
              <w:jc w:val="both"/>
              <w:rPr>
                <w:sz w:val="18"/>
              </w:rPr>
            </w:pPr>
            <w:r>
              <w:rPr>
                <w:sz w:val="18"/>
              </w:rPr>
              <w:t>contabilización; Controlar el proceso de aforo, tasación y recaudo de los gravámenes arancelarios</w:t>
            </w:r>
          </w:p>
        </w:tc>
        <w:tc>
          <w:tcPr>
            <w:tcW w:w="1985" w:type="dxa"/>
            <w:tcBorders>
              <w:top w:val="single" w:sz="4" w:space="0" w:color="000000"/>
              <w:left w:val="single" w:sz="4" w:space="0" w:color="000000"/>
              <w:bottom w:val="single" w:sz="4" w:space="0" w:color="000000"/>
              <w:right w:val="single" w:sz="4" w:space="0" w:color="000000"/>
            </w:tcBorders>
          </w:tcPr>
          <w:p w14:paraId="248A6F68" w14:textId="77777777" w:rsidR="000E52B0" w:rsidRDefault="00F60D74">
            <w:pPr>
              <w:pStyle w:val="TableParagraph"/>
              <w:spacing w:before="3"/>
              <w:ind w:left="91" w:right="76"/>
              <w:rPr>
                <w:sz w:val="18"/>
              </w:rPr>
            </w:pPr>
            <w:r>
              <w:rPr>
                <w:spacing w:val="-2"/>
                <w:sz w:val="18"/>
              </w:rPr>
              <w:t>Derechos económicos</w:t>
            </w:r>
            <w:r>
              <w:rPr>
                <w:spacing w:val="80"/>
                <w:sz w:val="18"/>
              </w:rPr>
              <w:t xml:space="preserve"> </w:t>
            </w:r>
            <w:r>
              <w:rPr>
                <w:sz w:val="18"/>
              </w:rPr>
              <w:t>sociales</w:t>
            </w:r>
            <w:r>
              <w:rPr>
                <w:spacing w:val="-16"/>
                <w:sz w:val="18"/>
              </w:rPr>
              <w:t xml:space="preserve"> </w:t>
            </w:r>
            <w:r>
              <w:rPr>
                <w:sz w:val="18"/>
              </w:rPr>
              <w:t>y</w:t>
            </w:r>
            <w:r>
              <w:rPr>
                <w:spacing w:val="-16"/>
                <w:sz w:val="18"/>
              </w:rPr>
              <w:t xml:space="preserve"> </w:t>
            </w:r>
            <w:r>
              <w:rPr>
                <w:sz w:val="18"/>
              </w:rPr>
              <w:t>culturales (Capítulo 2 C.P)</w:t>
            </w:r>
          </w:p>
        </w:tc>
        <w:tc>
          <w:tcPr>
            <w:tcW w:w="1337" w:type="dxa"/>
            <w:tcBorders>
              <w:top w:val="single" w:sz="4" w:space="0" w:color="000000"/>
              <w:left w:val="single" w:sz="4" w:space="0" w:color="000000"/>
              <w:bottom w:val="single" w:sz="4" w:space="0" w:color="000000"/>
            </w:tcBorders>
          </w:tcPr>
          <w:p w14:paraId="6DE0B56E" w14:textId="77777777" w:rsidR="000E52B0" w:rsidRDefault="000E52B0">
            <w:pPr>
              <w:pStyle w:val="TableParagraph"/>
              <w:rPr>
                <w:rFonts w:ascii="Times New Roman"/>
                <w:sz w:val="18"/>
              </w:rPr>
            </w:pPr>
          </w:p>
        </w:tc>
      </w:tr>
      <w:tr w:rsidR="000E52B0" w14:paraId="55BB75F7" w14:textId="77777777">
        <w:trPr>
          <w:trHeight w:val="6780"/>
        </w:trPr>
        <w:tc>
          <w:tcPr>
            <w:tcW w:w="1416" w:type="dxa"/>
            <w:tcBorders>
              <w:top w:val="single" w:sz="4" w:space="0" w:color="000000"/>
              <w:bottom w:val="single" w:sz="4" w:space="0" w:color="000000"/>
              <w:right w:val="single" w:sz="4" w:space="0" w:color="000000"/>
            </w:tcBorders>
          </w:tcPr>
          <w:p w14:paraId="0A34F21C" w14:textId="77777777" w:rsidR="000E52B0" w:rsidRDefault="00F60D74">
            <w:pPr>
              <w:pStyle w:val="TableParagraph"/>
              <w:ind w:left="90"/>
              <w:rPr>
                <w:sz w:val="18"/>
              </w:rPr>
            </w:pPr>
            <w:r>
              <w:rPr>
                <w:spacing w:val="-2"/>
                <w:sz w:val="18"/>
              </w:rPr>
              <w:t xml:space="preserve">MINISTERIO </w:t>
            </w:r>
            <w:r>
              <w:rPr>
                <w:sz w:val="18"/>
              </w:rPr>
              <w:t>DE</w:t>
            </w:r>
            <w:r>
              <w:rPr>
                <w:spacing w:val="28"/>
                <w:sz w:val="18"/>
              </w:rPr>
              <w:t xml:space="preserve"> </w:t>
            </w:r>
            <w:r>
              <w:rPr>
                <w:sz w:val="18"/>
              </w:rPr>
              <w:t xml:space="preserve">DEFENSA </w:t>
            </w:r>
            <w:r>
              <w:rPr>
                <w:spacing w:val="-2"/>
                <w:sz w:val="18"/>
              </w:rPr>
              <w:t>NACIONAL.</w:t>
            </w:r>
          </w:p>
          <w:p w14:paraId="2C38DCC3" w14:textId="77777777" w:rsidR="000E52B0" w:rsidRDefault="00F60D74">
            <w:pPr>
              <w:pStyle w:val="TableParagraph"/>
              <w:spacing w:line="218" w:lineRule="exact"/>
              <w:ind w:left="90"/>
              <w:rPr>
                <w:sz w:val="18"/>
              </w:rPr>
            </w:pPr>
            <w:proofErr w:type="gramStart"/>
            <w:r>
              <w:rPr>
                <w:sz w:val="18"/>
              </w:rPr>
              <w:t>Ley</w:t>
            </w:r>
            <w:r>
              <w:rPr>
                <w:spacing w:val="25"/>
                <w:sz w:val="18"/>
              </w:rPr>
              <w:t xml:space="preserve">  </w:t>
            </w:r>
            <w:r>
              <w:rPr>
                <w:sz w:val="18"/>
              </w:rPr>
              <w:t>489</w:t>
            </w:r>
            <w:proofErr w:type="gramEnd"/>
            <w:r>
              <w:rPr>
                <w:spacing w:val="26"/>
                <w:sz w:val="18"/>
              </w:rPr>
              <w:t xml:space="preserve">  </w:t>
            </w:r>
            <w:r>
              <w:rPr>
                <w:spacing w:val="-5"/>
                <w:sz w:val="18"/>
              </w:rPr>
              <w:t>de</w:t>
            </w:r>
          </w:p>
          <w:p w14:paraId="1C79EE59" w14:textId="77777777" w:rsidR="000E52B0" w:rsidRDefault="00F60D74">
            <w:pPr>
              <w:pStyle w:val="TableParagraph"/>
              <w:tabs>
                <w:tab w:val="left" w:pos="1222"/>
              </w:tabs>
              <w:ind w:left="90"/>
              <w:rPr>
                <w:sz w:val="18"/>
              </w:rPr>
            </w:pPr>
            <w:r>
              <w:rPr>
                <w:spacing w:val="-4"/>
                <w:sz w:val="18"/>
              </w:rPr>
              <w:t>1998</w:t>
            </w:r>
            <w:r>
              <w:rPr>
                <w:sz w:val="18"/>
              </w:rPr>
              <w:tab/>
            </w:r>
            <w:r>
              <w:rPr>
                <w:spacing w:val="-10"/>
                <w:sz w:val="18"/>
              </w:rPr>
              <w:t>y</w:t>
            </w:r>
          </w:p>
          <w:p w14:paraId="0CB98714" w14:textId="77777777" w:rsidR="000E52B0" w:rsidRDefault="00F60D74">
            <w:pPr>
              <w:pStyle w:val="TableParagraph"/>
              <w:ind w:left="90"/>
              <w:rPr>
                <w:sz w:val="18"/>
              </w:rPr>
            </w:pPr>
            <w:r>
              <w:rPr>
                <w:sz w:val="18"/>
              </w:rPr>
              <w:t>Decreto</w:t>
            </w:r>
            <w:r>
              <w:rPr>
                <w:spacing w:val="8"/>
                <w:sz w:val="18"/>
              </w:rPr>
              <w:t xml:space="preserve"> </w:t>
            </w:r>
            <w:r>
              <w:rPr>
                <w:spacing w:val="-4"/>
                <w:sz w:val="18"/>
              </w:rPr>
              <w:t>1512</w:t>
            </w:r>
          </w:p>
          <w:p w14:paraId="447FCD54" w14:textId="77777777" w:rsidR="000E52B0" w:rsidRDefault="00F60D74">
            <w:pPr>
              <w:pStyle w:val="TableParagraph"/>
              <w:ind w:left="90"/>
              <w:rPr>
                <w:sz w:val="18"/>
              </w:rPr>
            </w:pPr>
            <w:r>
              <w:rPr>
                <w:sz w:val="18"/>
              </w:rPr>
              <w:t xml:space="preserve">del </w:t>
            </w:r>
            <w:r>
              <w:rPr>
                <w:spacing w:val="-4"/>
                <w:sz w:val="18"/>
              </w:rPr>
              <w:t>2000</w:t>
            </w:r>
          </w:p>
        </w:tc>
        <w:tc>
          <w:tcPr>
            <w:tcW w:w="1601" w:type="dxa"/>
            <w:tcBorders>
              <w:top w:val="single" w:sz="4" w:space="0" w:color="000000"/>
              <w:left w:val="single" w:sz="4" w:space="0" w:color="000000"/>
              <w:bottom w:val="single" w:sz="4" w:space="0" w:color="000000"/>
              <w:right w:val="single" w:sz="4" w:space="0" w:color="000000"/>
            </w:tcBorders>
          </w:tcPr>
          <w:p w14:paraId="75F4D8CB" w14:textId="77777777" w:rsidR="000E52B0" w:rsidRDefault="00F60D74">
            <w:pPr>
              <w:pStyle w:val="TableParagraph"/>
              <w:tabs>
                <w:tab w:val="left" w:pos="460"/>
                <w:tab w:val="left" w:pos="992"/>
                <w:tab w:val="left" w:pos="1241"/>
                <w:tab w:val="left" w:pos="1354"/>
                <w:tab w:val="left" w:pos="1405"/>
              </w:tabs>
              <w:ind w:left="93" w:right="74"/>
              <w:rPr>
                <w:sz w:val="18"/>
              </w:rPr>
            </w:pPr>
            <w:r>
              <w:rPr>
                <w:spacing w:val="-2"/>
                <w:sz w:val="18"/>
              </w:rPr>
              <w:t>formulación</w:t>
            </w:r>
            <w:r>
              <w:rPr>
                <w:sz w:val="18"/>
              </w:rPr>
              <w:tab/>
            </w:r>
            <w:r>
              <w:rPr>
                <w:sz w:val="18"/>
              </w:rPr>
              <w:tab/>
            </w:r>
            <w:r>
              <w:rPr>
                <w:sz w:val="18"/>
              </w:rPr>
              <w:tab/>
            </w:r>
            <w:r>
              <w:rPr>
                <w:spacing w:val="-63"/>
                <w:sz w:val="18"/>
              </w:rPr>
              <w:t xml:space="preserve"> </w:t>
            </w:r>
            <w:r>
              <w:rPr>
                <w:spacing w:val="-10"/>
                <w:sz w:val="18"/>
              </w:rPr>
              <w:t xml:space="preserve">y </w:t>
            </w:r>
            <w:r>
              <w:rPr>
                <w:sz w:val="18"/>
              </w:rPr>
              <w:t>adopción</w:t>
            </w:r>
            <w:r>
              <w:rPr>
                <w:spacing w:val="-11"/>
                <w:sz w:val="18"/>
              </w:rPr>
              <w:t xml:space="preserve"> </w:t>
            </w:r>
            <w:r>
              <w:rPr>
                <w:sz w:val="18"/>
              </w:rPr>
              <w:t>de</w:t>
            </w:r>
            <w:r>
              <w:rPr>
                <w:spacing w:val="-12"/>
                <w:sz w:val="18"/>
              </w:rPr>
              <w:t xml:space="preserve"> </w:t>
            </w:r>
            <w:r>
              <w:rPr>
                <w:sz w:val="18"/>
              </w:rPr>
              <w:t xml:space="preserve">las </w:t>
            </w:r>
            <w:r>
              <w:rPr>
                <w:spacing w:val="-2"/>
                <w:sz w:val="18"/>
              </w:rPr>
              <w:t>políticas,</w:t>
            </w:r>
            <w:r>
              <w:rPr>
                <w:spacing w:val="80"/>
                <w:sz w:val="18"/>
              </w:rPr>
              <w:t xml:space="preserve"> </w:t>
            </w:r>
            <w:r>
              <w:rPr>
                <w:spacing w:val="-2"/>
                <w:sz w:val="18"/>
              </w:rPr>
              <w:t>planes generales, programas</w:t>
            </w:r>
            <w:r>
              <w:rPr>
                <w:sz w:val="18"/>
              </w:rPr>
              <w:tab/>
            </w:r>
            <w:r>
              <w:rPr>
                <w:sz w:val="18"/>
              </w:rPr>
              <w:tab/>
            </w:r>
            <w:r>
              <w:rPr>
                <w:sz w:val="18"/>
              </w:rPr>
              <w:tab/>
            </w:r>
            <w:r>
              <w:rPr>
                <w:spacing w:val="-10"/>
                <w:sz w:val="18"/>
              </w:rPr>
              <w:t xml:space="preserve">y </w:t>
            </w:r>
            <w:r>
              <w:rPr>
                <w:spacing w:val="-2"/>
                <w:sz w:val="18"/>
              </w:rPr>
              <w:t>proyectos</w:t>
            </w:r>
            <w:r>
              <w:rPr>
                <w:sz w:val="18"/>
              </w:rPr>
              <w:tab/>
            </w:r>
            <w:r>
              <w:rPr>
                <w:sz w:val="18"/>
              </w:rPr>
              <w:tab/>
            </w:r>
            <w:r>
              <w:rPr>
                <w:spacing w:val="-4"/>
                <w:sz w:val="18"/>
              </w:rPr>
              <w:t xml:space="preserve">del </w:t>
            </w:r>
            <w:r>
              <w:rPr>
                <w:spacing w:val="-2"/>
                <w:sz w:val="18"/>
              </w:rPr>
              <w:t xml:space="preserve">Sector Administrativo Defensa </w:t>
            </w:r>
            <w:r>
              <w:rPr>
                <w:sz w:val="18"/>
              </w:rPr>
              <w:t>Nacional,</w:t>
            </w:r>
            <w:r>
              <w:rPr>
                <w:spacing w:val="80"/>
                <w:sz w:val="18"/>
              </w:rPr>
              <w:t xml:space="preserve"> </w:t>
            </w:r>
            <w:r>
              <w:rPr>
                <w:sz w:val="18"/>
              </w:rPr>
              <w:t>para la</w:t>
            </w:r>
            <w:r>
              <w:rPr>
                <w:spacing w:val="-16"/>
                <w:sz w:val="18"/>
              </w:rPr>
              <w:t xml:space="preserve"> </w:t>
            </w:r>
            <w:r>
              <w:rPr>
                <w:sz w:val="18"/>
              </w:rPr>
              <w:t>defensa</w:t>
            </w:r>
            <w:r>
              <w:rPr>
                <w:spacing w:val="-16"/>
                <w:sz w:val="18"/>
              </w:rPr>
              <w:t xml:space="preserve"> </w:t>
            </w:r>
            <w:r>
              <w:rPr>
                <w:sz w:val="18"/>
              </w:rPr>
              <w:t>de</w:t>
            </w:r>
            <w:r>
              <w:rPr>
                <w:spacing w:val="-15"/>
                <w:sz w:val="18"/>
              </w:rPr>
              <w:t xml:space="preserve"> </w:t>
            </w:r>
            <w:r>
              <w:rPr>
                <w:sz w:val="18"/>
              </w:rPr>
              <w:t xml:space="preserve">la </w:t>
            </w:r>
            <w:r>
              <w:rPr>
                <w:spacing w:val="-2"/>
                <w:sz w:val="18"/>
              </w:rPr>
              <w:t>soberanía,</w:t>
            </w:r>
            <w:r>
              <w:rPr>
                <w:sz w:val="18"/>
              </w:rPr>
              <w:tab/>
            </w:r>
            <w:r>
              <w:rPr>
                <w:sz w:val="18"/>
              </w:rPr>
              <w:tab/>
            </w:r>
            <w:r>
              <w:rPr>
                <w:spacing w:val="-6"/>
                <w:sz w:val="18"/>
              </w:rPr>
              <w:t xml:space="preserve">la </w:t>
            </w:r>
            <w:r>
              <w:rPr>
                <w:spacing w:val="-2"/>
                <w:sz w:val="18"/>
              </w:rPr>
              <w:t>independencia</w:t>
            </w:r>
            <w:r>
              <w:rPr>
                <w:spacing w:val="40"/>
                <w:sz w:val="18"/>
              </w:rPr>
              <w:t xml:space="preserve"> </w:t>
            </w:r>
            <w:r>
              <w:rPr>
                <w:sz w:val="18"/>
              </w:rPr>
              <w:t>y</w:t>
            </w:r>
            <w:r>
              <w:rPr>
                <w:spacing w:val="40"/>
                <w:sz w:val="18"/>
              </w:rPr>
              <w:t xml:space="preserve"> </w:t>
            </w:r>
            <w:r>
              <w:rPr>
                <w:sz w:val="18"/>
              </w:rPr>
              <w:t>la</w:t>
            </w:r>
            <w:r>
              <w:rPr>
                <w:spacing w:val="40"/>
                <w:sz w:val="18"/>
              </w:rPr>
              <w:t xml:space="preserve"> </w:t>
            </w:r>
            <w:r>
              <w:rPr>
                <w:sz w:val="18"/>
              </w:rPr>
              <w:t xml:space="preserve">integridad </w:t>
            </w:r>
            <w:r>
              <w:rPr>
                <w:spacing w:val="-2"/>
                <w:sz w:val="18"/>
              </w:rPr>
              <w:t>territorial,</w:t>
            </w:r>
            <w:r>
              <w:rPr>
                <w:sz w:val="18"/>
              </w:rPr>
              <w:tab/>
            </w:r>
            <w:r>
              <w:rPr>
                <w:sz w:val="18"/>
              </w:rPr>
              <w:tab/>
            </w:r>
            <w:r>
              <w:rPr>
                <w:spacing w:val="-46"/>
                <w:sz w:val="18"/>
              </w:rPr>
              <w:t xml:space="preserve"> </w:t>
            </w:r>
            <w:r>
              <w:rPr>
                <w:spacing w:val="-2"/>
                <w:sz w:val="18"/>
              </w:rPr>
              <w:t xml:space="preserve">así </w:t>
            </w:r>
            <w:r>
              <w:rPr>
                <w:sz w:val="18"/>
              </w:rPr>
              <w:t>como</w:t>
            </w:r>
            <w:r>
              <w:rPr>
                <w:spacing w:val="80"/>
                <w:sz w:val="18"/>
              </w:rPr>
              <w:t xml:space="preserve"> </w:t>
            </w:r>
            <w:r>
              <w:rPr>
                <w:sz w:val="18"/>
              </w:rPr>
              <w:t>para</w:t>
            </w:r>
            <w:r>
              <w:rPr>
                <w:spacing w:val="80"/>
                <w:sz w:val="18"/>
              </w:rPr>
              <w:t xml:space="preserve"> </w:t>
            </w:r>
            <w:r>
              <w:rPr>
                <w:sz w:val="18"/>
              </w:rPr>
              <w:t xml:space="preserve">el </w:t>
            </w:r>
            <w:r>
              <w:rPr>
                <w:spacing w:val="-2"/>
                <w:sz w:val="18"/>
              </w:rPr>
              <w:t xml:space="preserve">mantenimiento </w:t>
            </w:r>
            <w:r>
              <w:rPr>
                <w:spacing w:val="-4"/>
                <w:sz w:val="18"/>
              </w:rPr>
              <w:t>del</w:t>
            </w:r>
            <w:r>
              <w:rPr>
                <w:sz w:val="18"/>
              </w:rPr>
              <w:tab/>
            </w:r>
            <w:r>
              <w:rPr>
                <w:sz w:val="18"/>
              </w:rPr>
              <w:tab/>
            </w:r>
            <w:r>
              <w:rPr>
                <w:spacing w:val="-4"/>
                <w:sz w:val="18"/>
              </w:rPr>
              <w:t xml:space="preserve">orden </w:t>
            </w:r>
            <w:r>
              <w:rPr>
                <w:sz w:val="18"/>
              </w:rPr>
              <w:t>constitucional</w:t>
            </w:r>
            <w:r>
              <w:rPr>
                <w:spacing w:val="-16"/>
                <w:sz w:val="18"/>
              </w:rPr>
              <w:t xml:space="preserve"> </w:t>
            </w:r>
            <w:r>
              <w:rPr>
                <w:sz w:val="18"/>
              </w:rPr>
              <w:t>y la</w:t>
            </w:r>
            <w:r>
              <w:rPr>
                <w:spacing w:val="40"/>
                <w:sz w:val="18"/>
              </w:rPr>
              <w:t xml:space="preserve"> </w:t>
            </w:r>
            <w:r>
              <w:rPr>
                <w:sz w:val="18"/>
              </w:rPr>
              <w:t>garantía</w:t>
            </w:r>
            <w:r>
              <w:rPr>
                <w:spacing w:val="40"/>
                <w:sz w:val="18"/>
              </w:rPr>
              <w:t xml:space="preserve"> </w:t>
            </w:r>
            <w:r>
              <w:rPr>
                <w:sz w:val="18"/>
              </w:rPr>
              <w:t xml:space="preserve">de </w:t>
            </w:r>
            <w:r>
              <w:rPr>
                <w:spacing w:val="-6"/>
                <w:sz w:val="18"/>
              </w:rPr>
              <w:t>la</w:t>
            </w:r>
            <w:r>
              <w:rPr>
                <w:sz w:val="18"/>
              </w:rPr>
              <w:tab/>
            </w:r>
            <w:r>
              <w:rPr>
                <w:spacing w:val="-2"/>
                <w:sz w:val="18"/>
              </w:rPr>
              <w:t>convivencia democrática</w:t>
            </w:r>
          </w:p>
        </w:tc>
        <w:tc>
          <w:tcPr>
            <w:tcW w:w="2647" w:type="dxa"/>
            <w:tcBorders>
              <w:top w:val="single" w:sz="4" w:space="0" w:color="000000"/>
              <w:left w:val="single" w:sz="4" w:space="0" w:color="000000"/>
              <w:bottom w:val="single" w:sz="4" w:space="0" w:color="000000"/>
              <w:right w:val="single" w:sz="4" w:space="0" w:color="000000"/>
            </w:tcBorders>
          </w:tcPr>
          <w:p w14:paraId="4D2DD650" w14:textId="77777777" w:rsidR="000E52B0" w:rsidRDefault="00F60D74">
            <w:pPr>
              <w:pStyle w:val="TableParagraph"/>
              <w:ind w:left="91" w:right="76"/>
              <w:jc w:val="both"/>
              <w:rPr>
                <w:sz w:val="18"/>
              </w:rPr>
            </w:pPr>
            <w:r>
              <w:rPr>
                <w:sz w:val="18"/>
              </w:rPr>
              <w:t>Participar en la definición, desarrollo y ejecución de las políticas de defensa y seguridad nacionales,</w:t>
            </w:r>
            <w:r>
              <w:rPr>
                <w:spacing w:val="-1"/>
                <w:sz w:val="18"/>
              </w:rPr>
              <w:t xml:space="preserve"> </w:t>
            </w:r>
            <w:r>
              <w:rPr>
                <w:sz w:val="18"/>
              </w:rPr>
              <w:t>para garantizar la soberanía nacional,</w:t>
            </w:r>
            <w:r>
              <w:rPr>
                <w:spacing w:val="-16"/>
                <w:sz w:val="18"/>
              </w:rPr>
              <w:t xml:space="preserve"> </w:t>
            </w:r>
            <w:r>
              <w:rPr>
                <w:sz w:val="18"/>
              </w:rPr>
              <w:t>la</w:t>
            </w:r>
            <w:r>
              <w:rPr>
                <w:spacing w:val="-16"/>
                <w:sz w:val="18"/>
              </w:rPr>
              <w:t xml:space="preserve"> </w:t>
            </w:r>
            <w:r>
              <w:rPr>
                <w:sz w:val="18"/>
              </w:rPr>
              <w:t>independencia, la</w:t>
            </w:r>
            <w:r>
              <w:rPr>
                <w:spacing w:val="-1"/>
                <w:sz w:val="18"/>
              </w:rPr>
              <w:t xml:space="preserve"> </w:t>
            </w:r>
            <w:r>
              <w:rPr>
                <w:sz w:val="18"/>
              </w:rPr>
              <w:t>integridad territorial y</w:t>
            </w:r>
            <w:r>
              <w:rPr>
                <w:spacing w:val="-2"/>
                <w:sz w:val="18"/>
              </w:rPr>
              <w:t xml:space="preserve"> </w:t>
            </w:r>
            <w:r>
              <w:rPr>
                <w:sz w:val="18"/>
              </w:rPr>
              <w:t>el orden constitucional, el mantenimiento de las condiciones necesarias para el ejercicio y el derecho de libertades públicas, y para asegurar que los habitantes de Colombia</w:t>
            </w:r>
            <w:r>
              <w:rPr>
                <w:spacing w:val="-6"/>
                <w:sz w:val="18"/>
              </w:rPr>
              <w:t xml:space="preserve"> </w:t>
            </w:r>
            <w:r>
              <w:rPr>
                <w:sz w:val="18"/>
              </w:rPr>
              <w:t>convivan</w:t>
            </w:r>
            <w:r>
              <w:rPr>
                <w:spacing w:val="-5"/>
                <w:sz w:val="18"/>
              </w:rPr>
              <w:t xml:space="preserve"> </w:t>
            </w:r>
            <w:r>
              <w:rPr>
                <w:sz w:val="18"/>
              </w:rPr>
              <w:t>en</w:t>
            </w:r>
            <w:r>
              <w:rPr>
                <w:spacing w:val="-8"/>
                <w:sz w:val="18"/>
              </w:rPr>
              <w:t xml:space="preserve"> </w:t>
            </w:r>
            <w:r>
              <w:rPr>
                <w:sz w:val="18"/>
              </w:rPr>
              <w:t xml:space="preserve">paz; Contribuir con los demás </w:t>
            </w:r>
            <w:r>
              <w:rPr>
                <w:spacing w:val="-2"/>
                <w:sz w:val="18"/>
              </w:rPr>
              <w:t>organismos</w:t>
            </w:r>
            <w:r>
              <w:rPr>
                <w:spacing w:val="-14"/>
                <w:sz w:val="18"/>
              </w:rPr>
              <w:t xml:space="preserve"> </w:t>
            </w:r>
            <w:r>
              <w:rPr>
                <w:spacing w:val="-2"/>
                <w:sz w:val="18"/>
              </w:rPr>
              <w:t>del</w:t>
            </w:r>
            <w:r>
              <w:rPr>
                <w:spacing w:val="-12"/>
                <w:sz w:val="18"/>
              </w:rPr>
              <w:t xml:space="preserve"> </w:t>
            </w:r>
            <w:r>
              <w:rPr>
                <w:spacing w:val="-2"/>
                <w:sz w:val="18"/>
              </w:rPr>
              <w:t>Estado</w:t>
            </w:r>
            <w:r>
              <w:rPr>
                <w:spacing w:val="-13"/>
                <w:sz w:val="18"/>
              </w:rPr>
              <w:t xml:space="preserve"> </w:t>
            </w:r>
            <w:r>
              <w:rPr>
                <w:spacing w:val="-2"/>
                <w:sz w:val="18"/>
              </w:rPr>
              <w:t xml:space="preserve">para </w:t>
            </w:r>
            <w:r>
              <w:rPr>
                <w:sz w:val="18"/>
              </w:rPr>
              <w:t>alcanzar las condiciones necesarias</w:t>
            </w:r>
            <w:r>
              <w:rPr>
                <w:spacing w:val="-8"/>
                <w:sz w:val="18"/>
              </w:rPr>
              <w:t xml:space="preserve"> </w:t>
            </w:r>
            <w:r>
              <w:rPr>
                <w:sz w:val="18"/>
              </w:rPr>
              <w:t>para</w:t>
            </w:r>
            <w:r>
              <w:rPr>
                <w:spacing w:val="-8"/>
                <w:sz w:val="18"/>
              </w:rPr>
              <w:t xml:space="preserve"> </w:t>
            </w:r>
            <w:r>
              <w:rPr>
                <w:sz w:val="18"/>
              </w:rPr>
              <w:t>el</w:t>
            </w:r>
            <w:r>
              <w:rPr>
                <w:spacing w:val="-8"/>
                <w:sz w:val="18"/>
              </w:rPr>
              <w:t xml:space="preserve"> </w:t>
            </w:r>
            <w:r>
              <w:rPr>
                <w:sz w:val="18"/>
              </w:rPr>
              <w:t>ejercicio de los derechos, obligaciones y libertades públicas; Coadyuvar al mantenimiento de la paz y la tranquilidad de los colombianos</w:t>
            </w:r>
            <w:r>
              <w:rPr>
                <w:spacing w:val="-5"/>
                <w:sz w:val="18"/>
              </w:rPr>
              <w:t xml:space="preserve"> </w:t>
            </w:r>
            <w:r>
              <w:rPr>
                <w:sz w:val="18"/>
              </w:rPr>
              <w:t>en</w:t>
            </w:r>
            <w:r>
              <w:rPr>
                <w:spacing w:val="-5"/>
                <w:sz w:val="18"/>
              </w:rPr>
              <w:t xml:space="preserve"> </w:t>
            </w:r>
            <w:r>
              <w:rPr>
                <w:sz w:val="18"/>
              </w:rPr>
              <w:t>procura</w:t>
            </w:r>
            <w:r>
              <w:rPr>
                <w:spacing w:val="-6"/>
                <w:sz w:val="18"/>
              </w:rPr>
              <w:t xml:space="preserve"> </w:t>
            </w:r>
            <w:r>
              <w:rPr>
                <w:sz w:val="18"/>
              </w:rPr>
              <w:t>de la seguridad que facilite el desarrollo económico, la protección y conservación de</w:t>
            </w:r>
            <w:r>
              <w:rPr>
                <w:spacing w:val="2"/>
                <w:sz w:val="18"/>
              </w:rPr>
              <w:t xml:space="preserve"> </w:t>
            </w:r>
            <w:r>
              <w:rPr>
                <w:sz w:val="18"/>
              </w:rPr>
              <w:t>los</w:t>
            </w:r>
            <w:r>
              <w:rPr>
                <w:spacing w:val="4"/>
                <w:sz w:val="18"/>
              </w:rPr>
              <w:t xml:space="preserve"> </w:t>
            </w:r>
            <w:r>
              <w:rPr>
                <w:sz w:val="18"/>
              </w:rPr>
              <w:t>recursos</w:t>
            </w:r>
            <w:r>
              <w:rPr>
                <w:spacing w:val="4"/>
                <w:sz w:val="18"/>
              </w:rPr>
              <w:t xml:space="preserve"> </w:t>
            </w:r>
            <w:r>
              <w:rPr>
                <w:sz w:val="18"/>
              </w:rPr>
              <w:t>naturales</w:t>
            </w:r>
            <w:r>
              <w:rPr>
                <w:spacing w:val="5"/>
                <w:sz w:val="18"/>
              </w:rPr>
              <w:t xml:space="preserve"> </w:t>
            </w:r>
            <w:r>
              <w:rPr>
                <w:spacing w:val="-10"/>
                <w:sz w:val="18"/>
              </w:rPr>
              <w:t>y</w:t>
            </w:r>
          </w:p>
          <w:p w14:paraId="72838A8F" w14:textId="77777777" w:rsidR="000E52B0" w:rsidRDefault="00F60D74">
            <w:pPr>
              <w:pStyle w:val="TableParagraph"/>
              <w:spacing w:line="218" w:lineRule="exact"/>
              <w:ind w:left="91" w:right="78"/>
              <w:jc w:val="both"/>
              <w:rPr>
                <w:sz w:val="18"/>
              </w:rPr>
            </w:pPr>
            <w:r>
              <w:rPr>
                <w:sz w:val="18"/>
              </w:rPr>
              <w:t>la promoción y protección de los Derechos Humanos.</w:t>
            </w:r>
          </w:p>
        </w:tc>
        <w:tc>
          <w:tcPr>
            <w:tcW w:w="1985" w:type="dxa"/>
            <w:tcBorders>
              <w:top w:val="single" w:sz="4" w:space="0" w:color="000000"/>
              <w:left w:val="single" w:sz="4" w:space="0" w:color="000000"/>
              <w:bottom w:val="single" w:sz="4" w:space="0" w:color="000000"/>
              <w:right w:val="single" w:sz="4" w:space="0" w:color="000000"/>
            </w:tcBorders>
          </w:tcPr>
          <w:p w14:paraId="3B678570" w14:textId="77777777" w:rsidR="000E52B0" w:rsidRDefault="00F60D74">
            <w:pPr>
              <w:pStyle w:val="TableParagraph"/>
              <w:tabs>
                <w:tab w:val="left" w:pos="1739"/>
              </w:tabs>
              <w:ind w:left="91" w:right="74"/>
              <w:rPr>
                <w:sz w:val="18"/>
              </w:rPr>
            </w:pPr>
            <w:r>
              <w:rPr>
                <w:spacing w:val="-2"/>
                <w:sz w:val="18"/>
              </w:rPr>
              <w:t>Defender</w:t>
            </w:r>
            <w:r>
              <w:rPr>
                <w:sz w:val="18"/>
              </w:rPr>
              <w:tab/>
            </w:r>
            <w:r>
              <w:rPr>
                <w:spacing w:val="-6"/>
                <w:sz w:val="18"/>
              </w:rPr>
              <w:t xml:space="preserve">la </w:t>
            </w:r>
            <w:r>
              <w:rPr>
                <w:spacing w:val="-2"/>
                <w:sz w:val="18"/>
              </w:rPr>
              <w:t xml:space="preserve">independencia </w:t>
            </w:r>
            <w:r>
              <w:rPr>
                <w:sz w:val="18"/>
              </w:rPr>
              <w:t>nacional</w:t>
            </w:r>
            <w:r>
              <w:rPr>
                <w:spacing w:val="-12"/>
                <w:sz w:val="18"/>
              </w:rPr>
              <w:t xml:space="preserve"> </w:t>
            </w:r>
            <w:r>
              <w:rPr>
                <w:sz w:val="18"/>
              </w:rPr>
              <w:t>(art.</w:t>
            </w:r>
            <w:r>
              <w:rPr>
                <w:spacing w:val="-12"/>
                <w:sz w:val="18"/>
              </w:rPr>
              <w:t xml:space="preserve"> </w:t>
            </w:r>
            <w:r>
              <w:rPr>
                <w:sz w:val="18"/>
              </w:rPr>
              <w:t>2</w:t>
            </w:r>
            <w:r>
              <w:rPr>
                <w:spacing w:val="-11"/>
                <w:sz w:val="18"/>
              </w:rPr>
              <w:t xml:space="preserve"> </w:t>
            </w:r>
            <w:r>
              <w:rPr>
                <w:spacing w:val="-4"/>
                <w:sz w:val="18"/>
              </w:rPr>
              <w:t>C.P)</w:t>
            </w:r>
          </w:p>
          <w:p w14:paraId="0D76EC56" w14:textId="77777777" w:rsidR="000E52B0" w:rsidRDefault="00F60D74">
            <w:pPr>
              <w:pStyle w:val="TableParagraph"/>
              <w:tabs>
                <w:tab w:val="left" w:pos="1739"/>
              </w:tabs>
              <w:spacing w:before="216"/>
              <w:ind w:left="91" w:right="74"/>
              <w:jc w:val="both"/>
              <w:rPr>
                <w:sz w:val="18"/>
              </w:rPr>
            </w:pPr>
            <w:r>
              <w:rPr>
                <w:spacing w:val="-2"/>
                <w:sz w:val="18"/>
              </w:rPr>
              <w:t>Mantener</w:t>
            </w:r>
            <w:r>
              <w:rPr>
                <w:sz w:val="18"/>
              </w:rPr>
              <w:tab/>
            </w:r>
            <w:r>
              <w:rPr>
                <w:spacing w:val="-6"/>
                <w:sz w:val="18"/>
              </w:rPr>
              <w:t xml:space="preserve">la </w:t>
            </w:r>
            <w:r>
              <w:rPr>
                <w:spacing w:val="-2"/>
                <w:sz w:val="18"/>
              </w:rPr>
              <w:t>integridad</w:t>
            </w:r>
            <w:r>
              <w:rPr>
                <w:spacing w:val="-9"/>
                <w:sz w:val="18"/>
              </w:rPr>
              <w:t xml:space="preserve"> </w:t>
            </w:r>
            <w:r>
              <w:rPr>
                <w:spacing w:val="-2"/>
                <w:sz w:val="18"/>
              </w:rPr>
              <w:t xml:space="preserve">territorial </w:t>
            </w:r>
            <w:r>
              <w:rPr>
                <w:sz w:val="18"/>
              </w:rPr>
              <w:t>(art. 2 C.P)</w:t>
            </w:r>
          </w:p>
          <w:p w14:paraId="26556022" w14:textId="77777777" w:rsidR="000E52B0" w:rsidRDefault="000E52B0">
            <w:pPr>
              <w:pStyle w:val="TableParagraph"/>
              <w:spacing w:before="1"/>
              <w:rPr>
                <w:sz w:val="18"/>
              </w:rPr>
            </w:pPr>
          </w:p>
          <w:p w14:paraId="3455B75E" w14:textId="77777777" w:rsidR="000E52B0" w:rsidRDefault="00F60D74">
            <w:pPr>
              <w:pStyle w:val="TableParagraph"/>
              <w:tabs>
                <w:tab w:val="left" w:pos="1739"/>
              </w:tabs>
              <w:ind w:left="91" w:right="74"/>
              <w:jc w:val="both"/>
              <w:rPr>
                <w:sz w:val="18"/>
              </w:rPr>
            </w:pPr>
            <w:r>
              <w:rPr>
                <w:spacing w:val="-2"/>
                <w:sz w:val="18"/>
              </w:rPr>
              <w:t>Asegurar</w:t>
            </w:r>
            <w:r>
              <w:rPr>
                <w:sz w:val="18"/>
              </w:rPr>
              <w:tab/>
            </w:r>
            <w:r>
              <w:rPr>
                <w:spacing w:val="-6"/>
                <w:sz w:val="18"/>
              </w:rPr>
              <w:t xml:space="preserve">la </w:t>
            </w:r>
            <w:r>
              <w:rPr>
                <w:sz w:val="18"/>
              </w:rPr>
              <w:t>convivencia</w:t>
            </w:r>
            <w:r>
              <w:rPr>
                <w:spacing w:val="-16"/>
                <w:sz w:val="18"/>
              </w:rPr>
              <w:t xml:space="preserve"> </w:t>
            </w:r>
            <w:r>
              <w:rPr>
                <w:sz w:val="18"/>
              </w:rPr>
              <w:t xml:space="preserve">pacífica y la vivencia de un orden justo (art. 2 </w:t>
            </w:r>
            <w:r>
              <w:rPr>
                <w:spacing w:val="-4"/>
                <w:sz w:val="18"/>
              </w:rPr>
              <w:t>C.P)</w:t>
            </w:r>
          </w:p>
        </w:tc>
        <w:tc>
          <w:tcPr>
            <w:tcW w:w="1337" w:type="dxa"/>
            <w:tcBorders>
              <w:top w:val="single" w:sz="4" w:space="0" w:color="000000"/>
              <w:left w:val="single" w:sz="4" w:space="0" w:color="000000"/>
              <w:bottom w:val="single" w:sz="4" w:space="0" w:color="000000"/>
            </w:tcBorders>
          </w:tcPr>
          <w:p w14:paraId="576861C5" w14:textId="77777777" w:rsidR="000E52B0" w:rsidRDefault="00F60D74">
            <w:pPr>
              <w:pStyle w:val="TableParagraph"/>
              <w:tabs>
                <w:tab w:val="left" w:pos="1030"/>
              </w:tabs>
              <w:ind w:left="92" w:right="72"/>
              <w:rPr>
                <w:sz w:val="18"/>
              </w:rPr>
            </w:pPr>
            <w:r>
              <w:rPr>
                <w:spacing w:val="-2"/>
                <w:sz w:val="18"/>
              </w:rPr>
              <w:t xml:space="preserve">Sector </w:t>
            </w:r>
            <w:proofErr w:type="spellStart"/>
            <w:r>
              <w:rPr>
                <w:spacing w:val="-2"/>
                <w:sz w:val="18"/>
              </w:rPr>
              <w:t>Administrati</w:t>
            </w:r>
            <w:proofErr w:type="spellEnd"/>
            <w:r>
              <w:rPr>
                <w:spacing w:val="-2"/>
                <w:sz w:val="18"/>
              </w:rPr>
              <w:t xml:space="preserve"> </w:t>
            </w:r>
            <w:proofErr w:type="spellStart"/>
            <w:r>
              <w:rPr>
                <w:spacing w:val="-5"/>
                <w:sz w:val="18"/>
              </w:rPr>
              <w:t>vo</w:t>
            </w:r>
            <w:proofErr w:type="spellEnd"/>
            <w:r>
              <w:rPr>
                <w:sz w:val="18"/>
              </w:rPr>
              <w:tab/>
            </w:r>
            <w:r>
              <w:rPr>
                <w:spacing w:val="-5"/>
                <w:sz w:val="18"/>
              </w:rPr>
              <w:t>de</w:t>
            </w:r>
          </w:p>
          <w:p w14:paraId="5A7BAD7D" w14:textId="77777777" w:rsidR="000E52B0" w:rsidRDefault="00F60D74">
            <w:pPr>
              <w:pStyle w:val="TableParagraph"/>
              <w:ind w:left="92" w:right="91"/>
              <w:rPr>
                <w:sz w:val="18"/>
              </w:rPr>
            </w:pPr>
            <w:r>
              <w:rPr>
                <w:spacing w:val="-2"/>
                <w:sz w:val="18"/>
              </w:rPr>
              <w:t>Defensa Nacional.</w:t>
            </w:r>
          </w:p>
        </w:tc>
      </w:tr>
      <w:tr w:rsidR="000E52B0" w14:paraId="4CA48BBC" w14:textId="77777777">
        <w:trPr>
          <w:trHeight w:val="1096"/>
        </w:trPr>
        <w:tc>
          <w:tcPr>
            <w:tcW w:w="1416" w:type="dxa"/>
            <w:tcBorders>
              <w:top w:val="single" w:sz="4" w:space="0" w:color="000000"/>
              <w:right w:val="single" w:sz="4" w:space="0" w:color="000000"/>
            </w:tcBorders>
          </w:tcPr>
          <w:p w14:paraId="13A9719B" w14:textId="77777777" w:rsidR="000E52B0" w:rsidRDefault="00F60D74">
            <w:pPr>
              <w:pStyle w:val="TableParagraph"/>
              <w:spacing w:line="218" w:lineRule="exact"/>
              <w:ind w:left="90" w:right="75"/>
              <w:rPr>
                <w:sz w:val="18"/>
              </w:rPr>
            </w:pPr>
            <w:r>
              <w:rPr>
                <w:spacing w:val="-2"/>
                <w:sz w:val="18"/>
              </w:rPr>
              <w:t xml:space="preserve">MINISTERIO </w:t>
            </w:r>
            <w:r>
              <w:rPr>
                <w:sz w:val="18"/>
              </w:rPr>
              <w:t>DE</w:t>
            </w:r>
            <w:r>
              <w:rPr>
                <w:spacing w:val="40"/>
                <w:sz w:val="18"/>
              </w:rPr>
              <w:t xml:space="preserve"> </w:t>
            </w:r>
            <w:r>
              <w:rPr>
                <w:sz w:val="18"/>
              </w:rPr>
              <w:t xml:space="preserve">CIENCIA, </w:t>
            </w:r>
            <w:r>
              <w:rPr>
                <w:spacing w:val="-2"/>
                <w:sz w:val="18"/>
              </w:rPr>
              <w:t xml:space="preserve">TECNOLOGÍA </w:t>
            </w:r>
            <w:r>
              <w:rPr>
                <w:spacing w:val="-10"/>
                <w:sz w:val="18"/>
              </w:rPr>
              <w:t xml:space="preserve">E </w:t>
            </w:r>
            <w:r>
              <w:rPr>
                <w:spacing w:val="-2"/>
                <w:sz w:val="18"/>
              </w:rPr>
              <w:t>INNOVACIÓN</w:t>
            </w:r>
          </w:p>
        </w:tc>
        <w:tc>
          <w:tcPr>
            <w:tcW w:w="1601" w:type="dxa"/>
            <w:tcBorders>
              <w:top w:val="single" w:sz="4" w:space="0" w:color="000000"/>
              <w:left w:val="single" w:sz="4" w:space="0" w:color="000000"/>
              <w:right w:val="single" w:sz="4" w:space="0" w:color="000000"/>
            </w:tcBorders>
          </w:tcPr>
          <w:p w14:paraId="6677F7DC" w14:textId="77777777" w:rsidR="000E52B0" w:rsidRDefault="00F60D74">
            <w:pPr>
              <w:pStyle w:val="TableParagraph"/>
              <w:spacing w:line="218" w:lineRule="exact"/>
              <w:ind w:left="93" w:right="75"/>
              <w:jc w:val="both"/>
              <w:rPr>
                <w:sz w:val="18"/>
              </w:rPr>
            </w:pPr>
            <w:r>
              <w:rPr>
                <w:sz w:val="18"/>
              </w:rPr>
              <w:t xml:space="preserve">Formular la política pública de ciencia, tecnología e </w:t>
            </w:r>
            <w:proofErr w:type="gramStart"/>
            <w:r>
              <w:rPr>
                <w:sz w:val="18"/>
              </w:rPr>
              <w:t>innovación</w:t>
            </w:r>
            <w:r>
              <w:rPr>
                <w:spacing w:val="24"/>
                <w:sz w:val="18"/>
              </w:rPr>
              <w:t xml:space="preserve">  </w:t>
            </w:r>
            <w:r>
              <w:rPr>
                <w:spacing w:val="-5"/>
                <w:sz w:val="18"/>
              </w:rPr>
              <w:t>del</w:t>
            </w:r>
            <w:proofErr w:type="gramEnd"/>
          </w:p>
        </w:tc>
        <w:tc>
          <w:tcPr>
            <w:tcW w:w="2647" w:type="dxa"/>
            <w:tcBorders>
              <w:top w:val="single" w:sz="4" w:space="0" w:color="000000"/>
              <w:left w:val="single" w:sz="4" w:space="0" w:color="000000"/>
              <w:right w:val="single" w:sz="4" w:space="0" w:color="000000"/>
            </w:tcBorders>
          </w:tcPr>
          <w:p w14:paraId="236CA7BD" w14:textId="77777777" w:rsidR="000E52B0" w:rsidRDefault="00F60D74">
            <w:pPr>
              <w:pStyle w:val="TableParagraph"/>
              <w:tabs>
                <w:tab w:val="left" w:pos="1719"/>
              </w:tabs>
              <w:spacing w:line="218" w:lineRule="exact"/>
              <w:ind w:left="91" w:right="77"/>
              <w:jc w:val="both"/>
              <w:rPr>
                <w:sz w:val="18"/>
              </w:rPr>
            </w:pPr>
            <w:r>
              <w:rPr>
                <w:spacing w:val="-2"/>
                <w:sz w:val="18"/>
              </w:rPr>
              <w:t>Diseñar,</w:t>
            </w:r>
            <w:r>
              <w:rPr>
                <w:sz w:val="18"/>
              </w:rPr>
              <w:tab/>
            </w:r>
            <w:r>
              <w:rPr>
                <w:spacing w:val="-2"/>
                <w:sz w:val="18"/>
              </w:rPr>
              <w:t xml:space="preserve">formular, </w:t>
            </w:r>
            <w:r>
              <w:rPr>
                <w:sz w:val="18"/>
              </w:rPr>
              <w:t>coordinar, promover la implementación y evaluar la política pública, los planes,</w:t>
            </w:r>
            <w:r>
              <w:rPr>
                <w:spacing w:val="58"/>
                <w:sz w:val="18"/>
              </w:rPr>
              <w:t xml:space="preserve">   </w:t>
            </w:r>
            <w:r>
              <w:rPr>
                <w:sz w:val="18"/>
              </w:rPr>
              <w:t>programas</w:t>
            </w:r>
            <w:r>
              <w:rPr>
                <w:spacing w:val="58"/>
                <w:sz w:val="18"/>
              </w:rPr>
              <w:t xml:space="preserve">   </w:t>
            </w:r>
            <w:r>
              <w:rPr>
                <w:spacing w:val="-10"/>
                <w:sz w:val="18"/>
              </w:rPr>
              <w:t>y</w:t>
            </w:r>
          </w:p>
        </w:tc>
        <w:tc>
          <w:tcPr>
            <w:tcW w:w="1985" w:type="dxa"/>
            <w:tcBorders>
              <w:top w:val="single" w:sz="4" w:space="0" w:color="000000"/>
              <w:left w:val="single" w:sz="4" w:space="0" w:color="000000"/>
              <w:right w:val="single" w:sz="4" w:space="0" w:color="000000"/>
            </w:tcBorders>
          </w:tcPr>
          <w:p w14:paraId="1A6BB7F5" w14:textId="77777777" w:rsidR="000E52B0" w:rsidRDefault="00F60D74">
            <w:pPr>
              <w:pStyle w:val="TableParagraph"/>
              <w:tabs>
                <w:tab w:val="left" w:pos="1273"/>
                <w:tab w:val="left" w:pos="1738"/>
              </w:tabs>
              <w:spacing w:before="1"/>
              <w:ind w:left="91" w:right="76"/>
              <w:rPr>
                <w:sz w:val="18"/>
              </w:rPr>
            </w:pPr>
            <w:r>
              <w:rPr>
                <w:spacing w:val="-2"/>
                <w:sz w:val="18"/>
              </w:rPr>
              <w:t>Protección</w:t>
            </w:r>
            <w:r>
              <w:rPr>
                <w:sz w:val="18"/>
              </w:rPr>
              <w:tab/>
            </w:r>
            <w:r>
              <w:rPr>
                <w:spacing w:val="-6"/>
                <w:sz w:val="18"/>
              </w:rPr>
              <w:t>de</w:t>
            </w:r>
            <w:r>
              <w:rPr>
                <w:sz w:val="18"/>
              </w:rPr>
              <w:tab/>
            </w:r>
            <w:r>
              <w:rPr>
                <w:spacing w:val="-6"/>
                <w:sz w:val="18"/>
              </w:rPr>
              <w:t xml:space="preserve">la </w:t>
            </w:r>
            <w:r>
              <w:rPr>
                <w:spacing w:val="-2"/>
                <w:sz w:val="18"/>
              </w:rPr>
              <w:t xml:space="preserve">propiedad </w:t>
            </w:r>
            <w:r>
              <w:rPr>
                <w:sz w:val="18"/>
              </w:rPr>
              <w:t>intelectual</w:t>
            </w:r>
            <w:r>
              <w:rPr>
                <w:spacing w:val="37"/>
                <w:sz w:val="18"/>
              </w:rPr>
              <w:t xml:space="preserve"> </w:t>
            </w:r>
            <w:r>
              <w:rPr>
                <w:sz w:val="18"/>
              </w:rPr>
              <w:t>(art.</w:t>
            </w:r>
            <w:r>
              <w:rPr>
                <w:spacing w:val="37"/>
                <w:sz w:val="18"/>
              </w:rPr>
              <w:t xml:space="preserve"> </w:t>
            </w:r>
            <w:r>
              <w:rPr>
                <w:sz w:val="18"/>
              </w:rPr>
              <w:t xml:space="preserve">61 </w:t>
            </w:r>
            <w:r>
              <w:rPr>
                <w:spacing w:val="-4"/>
                <w:sz w:val="18"/>
              </w:rPr>
              <w:t>C.P)</w:t>
            </w:r>
          </w:p>
        </w:tc>
        <w:tc>
          <w:tcPr>
            <w:tcW w:w="1337" w:type="dxa"/>
            <w:tcBorders>
              <w:top w:val="single" w:sz="4" w:space="0" w:color="000000"/>
              <w:left w:val="single" w:sz="4" w:space="0" w:color="000000"/>
            </w:tcBorders>
          </w:tcPr>
          <w:p w14:paraId="317CF19F" w14:textId="77777777" w:rsidR="000E52B0" w:rsidRDefault="00F60D74">
            <w:pPr>
              <w:pStyle w:val="TableParagraph"/>
              <w:tabs>
                <w:tab w:val="left" w:pos="1030"/>
              </w:tabs>
              <w:spacing w:before="1"/>
              <w:ind w:left="92" w:right="72"/>
              <w:rPr>
                <w:sz w:val="18"/>
              </w:rPr>
            </w:pPr>
            <w:r>
              <w:rPr>
                <w:spacing w:val="-2"/>
                <w:sz w:val="18"/>
              </w:rPr>
              <w:t xml:space="preserve">Sector </w:t>
            </w:r>
            <w:proofErr w:type="spellStart"/>
            <w:r>
              <w:rPr>
                <w:spacing w:val="-2"/>
                <w:sz w:val="18"/>
              </w:rPr>
              <w:t>Administrati</w:t>
            </w:r>
            <w:proofErr w:type="spellEnd"/>
            <w:r>
              <w:rPr>
                <w:spacing w:val="-2"/>
                <w:sz w:val="18"/>
              </w:rPr>
              <w:t xml:space="preserve"> </w:t>
            </w:r>
            <w:proofErr w:type="spellStart"/>
            <w:r>
              <w:rPr>
                <w:spacing w:val="-5"/>
                <w:sz w:val="18"/>
              </w:rPr>
              <w:t>vo</w:t>
            </w:r>
            <w:proofErr w:type="spellEnd"/>
            <w:r>
              <w:rPr>
                <w:sz w:val="18"/>
              </w:rPr>
              <w:tab/>
            </w:r>
            <w:r>
              <w:rPr>
                <w:spacing w:val="-5"/>
                <w:sz w:val="18"/>
              </w:rPr>
              <w:t>de</w:t>
            </w:r>
          </w:p>
          <w:p w14:paraId="214E1C68" w14:textId="77777777" w:rsidR="000E52B0" w:rsidRDefault="00F60D74">
            <w:pPr>
              <w:pStyle w:val="TableParagraph"/>
              <w:spacing w:line="218" w:lineRule="exact"/>
              <w:ind w:left="92"/>
              <w:rPr>
                <w:sz w:val="18"/>
              </w:rPr>
            </w:pPr>
            <w:r>
              <w:rPr>
                <w:spacing w:val="-2"/>
                <w:sz w:val="18"/>
              </w:rPr>
              <w:t>Ciencia,</w:t>
            </w:r>
          </w:p>
        </w:tc>
      </w:tr>
    </w:tbl>
    <w:p w14:paraId="5F918FD9" w14:textId="77777777" w:rsidR="000E52B0" w:rsidRDefault="000E52B0">
      <w:pPr>
        <w:pStyle w:val="TableParagraph"/>
        <w:spacing w:line="218" w:lineRule="exact"/>
        <w:rPr>
          <w:sz w:val="18"/>
        </w:rPr>
        <w:sectPr w:rsidR="000E52B0">
          <w:type w:val="continuous"/>
          <w:pgSz w:w="11910" w:h="16840"/>
          <w:pgMar w:top="1400" w:right="720" w:bottom="1180" w:left="720" w:header="0" w:footer="995" w:gutter="0"/>
          <w:cols w:space="720"/>
        </w:sectPr>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6"/>
        <w:gridCol w:w="1601"/>
        <w:gridCol w:w="2647"/>
        <w:gridCol w:w="1985"/>
        <w:gridCol w:w="1337"/>
      </w:tblGrid>
      <w:tr w:rsidR="000E52B0" w14:paraId="233E9760" w14:textId="77777777">
        <w:trPr>
          <w:trHeight w:val="875"/>
        </w:trPr>
        <w:tc>
          <w:tcPr>
            <w:tcW w:w="1416" w:type="dxa"/>
            <w:tcBorders>
              <w:bottom w:val="single" w:sz="4" w:space="0" w:color="000000"/>
              <w:right w:val="single" w:sz="4" w:space="0" w:color="000000"/>
            </w:tcBorders>
            <w:shd w:val="clear" w:color="auto" w:fill="D44673"/>
          </w:tcPr>
          <w:p w14:paraId="6E486EE4" w14:textId="77777777" w:rsidR="000E52B0" w:rsidRDefault="000E52B0">
            <w:pPr>
              <w:pStyle w:val="TableParagraph"/>
              <w:spacing w:before="109"/>
              <w:rPr>
                <w:sz w:val="18"/>
              </w:rPr>
            </w:pPr>
          </w:p>
          <w:p w14:paraId="6BD312B7" w14:textId="77777777" w:rsidR="000E52B0" w:rsidRDefault="00F60D74">
            <w:pPr>
              <w:pStyle w:val="TableParagraph"/>
              <w:ind w:left="206"/>
              <w:rPr>
                <w:b/>
                <w:sz w:val="18"/>
              </w:rPr>
            </w:pPr>
            <w:r>
              <w:rPr>
                <w:b/>
                <w:color w:val="FFFFFF"/>
                <w:spacing w:val="-2"/>
                <w:sz w:val="18"/>
              </w:rPr>
              <w:t>Ministerio</w:t>
            </w:r>
          </w:p>
        </w:tc>
        <w:tc>
          <w:tcPr>
            <w:tcW w:w="1601" w:type="dxa"/>
            <w:tcBorders>
              <w:left w:val="single" w:sz="4" w:space="0" w:color="000000"/>
              <w:bottom w:val="single" w:sz="4" w:space="0" w:color="000000"/>
              <w:right w:val="single" w:sz="4" w:space="0" w:color="000000"/>
            </w:tcBorders>
            <w:shd w:val="clear" w:color="auto" w:fill="D44673"/>
          </w:tcPr>
          <w:p w14:paraId="1B81FA48" w14:textId="77777777" w:rsidR="000E52B0" w:rsidRDefault="000E52B0">
            <w:pPr>
              <w:pStyle w:val="TableParagraph"/>
              <w:spacing w:before="109"/>
              <w:rPr>
                <w:sz w:val="18"/>
              </w:rPr>
            </w:pPr>
          </w:p>
          <w:p w14:paraId="646B631D" w14:textId="77777777" w:rsidR="000E52B0" w:rsidRDefault="00F60D74">
            <w:pPr>
              <w:pStyle w:val="TableParagraph"/>
              <w:ind w:left="374"/>
              <w:rPr>
                <w:b/>
                <w:sz w:val="18"/>
              </w:rPr>
            </w:pPr>
            <w:r>
              <w:rPr>
                <w:b/>
                <w:color w:val="FFFFFF"/>
                <w:spacing w:val="-2"/>
                <w:sz w:val="18"/>
              </w:rPr>
              <w:t>Objetivo</w:t>
            </w:r>
          </w:p>
        </w:tc>
        <w:tc>
          <w:tcPr>
            <w:tcW w:w="2647" w:type="dxa"/>
            <w:tcBorders>
              <w:left w:val="single" w:sz="4" w:space="0" w:color="000000"/>
              <w:bottom w:val="single" w:sz="4" w:space="0" w:color="000000"/>
              <w:right w:val="single" w:sz="4" w:space="0" w:color="000000"/>
            </w:tcBorders>
            <w:shd w:val="clear" w:color="auto" w:fill="D44673"/>
          </w:tcPr>
          <w:p w14:paraId="06C629E7" w14:textId="77777777" w:rsidR="000E52B0" w:rsidRDefault="000E52B0">
            <w:pPr>
              <w:pStyle w:val="TableParagraph"/>
              <w:spacing w:before="109"/>
              <w:rPr>
                <w:sz w:val="18"/>
              </w:rPr>
            </w:pPr>
          </w:p>
          <w:p w14:paraId="7B4238A3" w14:textId="77777777" w:rsidR="000E52B0" w:rsidRDefault="00F60D74">
            <w:pPr>
              <w:pStyle w:val="TableParagraph"/>
              <w:ind w:left="813"/>
              <w:rPr>
                <w:b/>
                <w:sz w:val="18"/>
              </w:rPr>
            </w:pPr>
            <w:r>
              <w:rPr>
                <w:b/>
                <w:color w:val="FFFFFF"/>
                <w:spacing w:val="-2"/>
                <w:sz w:val="18"/>
              </w:rPr>
              <w:t>Funciones</w:t>
            </w:r>
          </w:p>
        </w:tc>
        <w:tc>
          <w:tcPr>
            <w:tcW w:w="1985" w:type="dxa"/>
            <w:tcBorders>
              <w:left w:val="single" w:sz="4" w:space="0" w:color="000000"/>
              <w:bottom w:val="single" w:sz="4" w:space="0" w:color="000000"/>
              <w:right w:val="single" w:sz="4" w:space="0" w:color="000000"/>
            </w:tcBorders>
            <w:shd w:val="clear" w:color="auto" w:fill="D44673"/>
          </w:tcPr>
          <w:p w14:paraId="3683CE7C" w14:textId="77777777" w:rsidR="000E52B0" w:rsidRDefault="00F60D74">
            <w:pPr>
              <w:pStyle w:val="TableParagraph"/>
              <w:ind w:left="118" w:right="105" w:firstLine="1"/>
              <w:jc w:val="center"/>
              <w:rPr>
                <w:b/>
                <w:sz w:val="18"/>
              </w:rPr>
            </w:pPr>
            <w:r>
              <w:rPr>
                <w:b/>
                <w:color w:val="FFFFFF"/>
                <w:sz w:val="18"/>
              </w:rPr>
              <w:t>Derecho</w:t>
            </w:r>
            <w:r>
              <w:rPr>
                <w:b/>
                <w:color w:val="FFFFFF"/>
                <w:spacing w:val="-16"/>
                <w:sz w:val="18"/>
              </w:rPr>
              <w:t xml:space="preserve"> </w:t>
            </w:r>
            <w:r>
              <w:rPr>
                <w:b/>
                <w:color w:val="FFFFFF"/>
                <w:sz w:val="18"/>
              </w:rPr>
              <w:t>Humano o</w:t>
            </w:r>
            <w:r>
              <w:rPr>
                <w:b/>
                <w:color w:val="FFFFFF"/>
                <w:spacing w:val="-1"/>
                <w:sz w:val="18"/>
              </w:rPr>
              <w:t xml:space="preserve"> </w:t>
            </w:r>
            <w:r>
              <w:rPr>
                <w:b/>
                <w:color w:val="FFFFFF"/>
                <w:sz w:val="18"/>
              </w:rPr>
              <w:t>Fin</w:t>
            </w:r>
            <w:r>
              <w:rPr>
                <w:b/>
                <w:color w:val="FFFFFF"/>
                <w:spacing w:val="-3"/>
                <w:sz w:val="18"/>
              </w:rPr>
              <w:t xml:space="preserve"> </w:t>
            </w:r>
            <w:r>
              <w:rPr>
                <w:b/>
                <w:color w:val="FFFFFF"/>
                <w:sz w:val="18"/>
              </w:rPr>
              <w:t xml:space="preserve">Esencial </w:t>
            </w:r>
            <w:r>
              <w:rPr>
                <w:b/>
                <w:color w:val="FFFFFF"/>
                <w:spacing w:val="-5"/>
                <w:sz w:val="18"/>
              </w:rPr>
              <w:t>del</w:t>
            </w:r>
          </w:p>
          <w:p w14:paraId="79953BE4" w14:textId="77777777" w:rsidR="000E52B0" w:rsidRDefault="00F60D74">
            <w:pPr>
              <w:pStyle w:val="TableParagraph"/>
              <w:spacing w:line="218" w:lineRule="exact"/>
              <w:ind w:left="12"/>
              <w:jc w:val="center"/>
              <w:rPr>
                <w:b/>
                <w:sz w:val="18"/>
              </w:rPr>
            </w:pPr>
            <w:r>
              <w:rPr>
                <w:b/>
                <w:color w:val="FFFFFF"/>
                <w:sz w:val="18"/>
              </w:rPr>
              <w:t>Estado</w:t>
            </w:r>
            <w:r>
              <w:rPr>
                <w:b/>
                <w:color w:val="FFFFFF"/>
                <w:spacing w:val="-16"/>
                <w:sz w:val="18"/>
              </w:rPr>
              <w:t xml:space="preserve"> </w:t>
            </w:r>
            <w:r>
              <w:rPr>
                <w:b/>
                <w:color w:val="FFFFFF"/>
                <w:sz w:val="18"/>
              </w:rPr>
              <w:t>al</w:t>
            </w:r>
            <w:r>
              <w:rPr>
                <w:b/>
                <w:color w:val="FFFFFF"/>
                <w:spacing w:val="-15"/>
                <w:sz w:val="18"/>
              </w:rPr>
              <w:t xml:space="preserve"> </w:t>
            </w:r>
            <w:r>
              <w:rPr>
                <w:b/>
                <w:color w:val="FFFFFF"/>
                <w:sz w:val="18"/>
              </w:rPr>
              <w:t xml:space="preserve">que </w:t>
            </w:r>
            <w:r>
              <w:rPr>
                <w:b/>
                <w:color w:val="FFFFFF"/>
                <w:spacing w:val="-2"/>
                <w:sz w:val="18"/>
              </w:rPr>
              <w:t>responde.</w:t>
            </w:r>
          </w:p>
        </w:tc>
        <w:tc>
          <w:tcPr>
            <w:tcW w:w="1337" w:type="dxa"/>
            <w:tcBorders>
              <w:left w:val="single" w:sz="4" w:space="0" w:color="000000"/>
              <w:bottom w:val="single" w:sz="4" w:space="0" w:color="000000"/>
            </w:tcBorders>
            <w:shd w:val="clear" w:color="auto" w:fill="D44673"/>
          </w:tcPr>
          <w:p w14:paraId="6D2799A7" w14:textId="77777777" w:rsidR="000E52B0" w:rsidRDefault="00F60D74">
            <w:pPr>
              <w:pStyle w:val="TableParagraph"/>
              <w:spacing w:before="217" w:line="242" w:lineRule="auto"/>
              <w:ind w:left="579" w:right="91" w:hanging="473"/>
              <w:rPr>
                <w:b/>
                <w:sz w:val="18"/>
              </w:rPr>
            </w:pPr>
            <w:proofErr w:type="spellStart"/>
            <w:r>
              <w:rPr>
                <w:b/>
                <w:color w:val="FFFFFF"/>
                <w:spacing w:val="-2"/>
                <w:sz w:val="18"/>
              </w:rPr>
              <w:t>Competenc</w:t>
            </w:r>
            <w:proofErr w:type="spellEnd"/>
            <w:r>
              <w:rPr>
                <w:b/>
                <w:color w:val="FFFFFF"/>
                <w:spacing w:val="-2"/>
                <w:sz w:val="18"/>
              </w:rPr>
              <w:t xml:space="preserve"> </w:t>
            </w:r>
            <w:proofErr w:type="spellStart"/>
            <w:r>
              <w:rPr>
                <w:b/>
                <w:color w:val="FFFFFF"/>
                <w:spacing w:val="-6"/>
                <w:sz w:val="18"/>
              </w:rPr>
              <w:t>ia</w:t>
            </w:r>
            <w:proofErr w:type="spellEnd"/>
          </w:p>
        </w:tc>
      </w:tr>
      <w:tr w:rsidR="000E52B0" w14:paraId="1A150078" w14:textId="77777777">
        <w:trPr>
          <w:trHeight w:val="3285"/>
        </w:trPr>
        <w:tc>
          <w:tcPr>
            <w:tcW w:w="1416" w:type="dxa"/>
            <w:tcBorders>
              <w:top w:val="single" w:sz="4" w:space="0" w:color="000000"/>
              <w:bottom w:val="single" w:sz="4" w:space="0" w:color="000000"/>
              <w:right w:val="single" w:sz="4" w:space="0" w:color="000000"/>
            </w:tcBorders>
          </w:tcPr>
          <w:p w14:paraId="33421385" w14:textId="77777777" w:rsidR="000E52B0" w:rsidRDefault="00F60D74">
            <w:pPr>
              <w:pStyle w:val="TableParagraph"/>
              <w:spacing w:before="3"/>
              <w:ind w:left="90"/>
              <w:rPr>
                <w:sz w:val="18"/>
              </w:rPr>
            </w:pPr>
            <w:r>
              <w:rPr>
                <w:sz w:val="18"/>
              </w:rPr>
              <w:t>.</w:t>
            </w:r>
            <w:r>
              <w:rPr>
                <w:spacing w:val="-16"/>
                <w:sz w:val="18"/>
              </w:rPr>
              <w:t xml:space="preserve"> </w:t>
            </w:r>
            <w:r>
              <w:rPr>
                <w:sz w:val="18"/>
              </w:rPr>
              <w:t>Ley</w:t>
            </w:r>
            <w:r>
              <w:rPr>
                <w:spacing w:val="-16"/>
                <w:sz w:val="18"/>
              </w:rPr>
              <w:t xml:space="preserve"> </w:t>
            </w:r>
            <w:r>
              <w:rPr>
                <w:sz w:val="18"/>
              </w:rPr>
              <w:t>2162</w:t>
            </w:r>
            <w:r>
              <w:rPr>
                <w:spacing w:val="-16"/>
                <w:sz w:val="18"/>
              </w:rPr>
              <w:t xml:space="preserve"> </w:t>
            </w:r>
            <w:r>
              <w:rPr>
                <w:sz w:val="18"/>
              </w:rPr>
              <w:t xml:space="preserve">de </w:t>
            </w:r>
            <w:r>
              <w:rPr>
                <w:spacing w:val="-4"/>
                <w:sz w:val="18"/>
              </w:rPr>
              <w:t>2021</w:t>
            </w:r>
          </w:p>
        </w:tc>
        <w:tc>
          <w:tcPr>
            <w:tcW w:w="1601" w:type="dxa"/>
            <w:tcBorders>
              <w:top w:val="single" w:sz="4" w:space="0" w:color="000000"/>
              <w:left w:val="single" w:sz="4" w:space="0" w:color="000000"/>
              <w:bottom w:val="single" w:sz="4" w:space="0" w:color="000000"/>
              <w:right w:val="single" w:sz="4" w:space="0" w:color="000000"/>
            </w:tcBorders>
          </w:tcPr>
          <w:p w14:paraId="08F3A066" w14:textId="77777777" w:rsidR="000E52B0" w:rsidRDefault="00F60D74">
            <w:pPr>
              <w:pStyle w:val="TableParagraph"/>
              <w:tabs>
                <w:tab w:val="left" w:pos="476"/>
                <w:tab w:val="left" w:pos="1291"/>
              </w:tabs>
              <w:spacing w:before="3"/>
              <w:ind w:left="93" w:right="76"/>
              <w:rPr>
                <w:sz w:val="18"/>
              </w:rPr>
            </w:pPr>
            <w:r>
              <w:rPr>
                <w:spacing w:val="-2"/>
                <w:sz w:val="18"/>
              </w:rPr>
              <w:t>país, identificando</w:t>
            </w:r>
            <w:r>
              <w:rPr>
                <w:spacing w:val="40"/>
                <w:sz w:val="18"/>
              </w:rPr>
              <w:t xml:space="preserve"> </w:t>
            </w:r>
            <w:r>
              <w:rPr>
                <w:sz w:val="18"/>
              </w:rPr>
              <w:t>los</w:t>
            </w:r>
            <w:r>
              <w:rPr>
                <w:spacing w:val="-16"/>
                <w:sz w:val="18"/>
              </w:rPr>
              <w:t xml:space="preserve"> </w:t>
            </w:r>
            <w:r>
              <w:rPr>
                <w:sz w:val="18"/>
              </w:rPr>
              <w:t>intereses</w:t>
            </w:r>
            <w:r>
              <w:rPr>
                <w:spacing w:val="-16"/>
                <w:sz w:val="18"/>
              </w:rPr>
              <w:t xml:space="preserve"> </w:t>
            </w:r>
            <w:r>
              <w:rPr>
                <w:sz w:val="18"/>
              </w:rPr>
              <w:t xml:space="preserve">de </w:t>
            </w:r>
            <w:r>
              <w:rPr>
                <w:spacing w:val="-6"/>
                <w:sz w:val="18"/>
              </w:rPr>
              <w:t>la</w:t>
            </w:r>
            <w:r>
              <w:rPr>
                <w:sz w:val="18"/>
              </w:rPr>
              <w:tab/>
            </w:r>
            <w:r>
              <w:rPr>
                <w:spacing w:val="-2"/>
                <w:sz w:val="18"/>
              </w:rPr>
              <w:t>nación</w:t>
            </w:r>
            <w:r>
              <w:rPr>
                <w:sz w:val="18"/>
              </w:rPr>
              <w:tab/>
            </w:r>
            <w:r>
              <w:rPr>
                <w:spacing w:val="-6"/>
                <w:sz w:val="18"/>
              </w:rPr>
              <w:t xml:space="preserve">en </w:t>
            </w:r>
            <w:r>
              <w:rPr>
                <w:sz w:val="18"/>
              </w:rPr>
              <w:t>aquello</w:t>
            </w:r>
            <w:r>
              <w:rPr>
                <w:spacing w:val="-16"/>
                <w:sz w:val="18"/>
              </w:rPr>
              <w:t xml:space="preserve"> </w:t>
            </w:r>
            <w:r>
              <w:rPr>
                <w:sz w:val="18"/>
              </w:rPr>
              <w:t>que</w:t>
            </w:r>
            <w:r>
              <w:rPr>
                <w:spacing w:val="-16"/>
                <w:sz w:val="18"/>
              </w:rPr>
              <w:t xml:space="preserve"> </w:t>
            </w:r>
            <w:r>
              <w:rPr>
                <w:sz w:val="18"/>
              </w:rPr>
              <w:t>sea competencia</w:t>
            </w:r>
            <w:r>
              <w:rPr>
                <w:spacing w:val="-16"/>
                <w:sz w:val="18"/>
              </w:rPr>
              <w:t xml:space="preserve"> </w:t>
            </w:r>
            <w:r>
              <w:rPr>
                <w:sz w:val="18"/>
              </w:rPr>
              <w:t>de esta entidad.</w:t>
            </w:r>
          </w:p>
        </w:tc>
        <w:tc>
          <w:tcPr>
            <w:tcW w:w="2647" w:type="dxa"/>
            <w:tcBorders>
              <w:top w:val="single" w:sz="4" w:space="0" w:color="000000"/>
              <w:left w:val="single" w:sz="4" w:space="0" w:color="000000"/>
              <w:bottom w:val="single" w:sz="4" w:space="0" w:color="000000"/>
              <w:right w:val="single" w:sz="4" w:space="0" w:color="000000"/>
            </w:tcBorders>
          </w:tcPr>
          <w:p w14:paraId="055D1CAF" w14:textId="77777777" w:rsidR="000E52B0" w:rsidRDefault="00F60D74">
            <w:pPr>
              <w:pStyle w:val="TableParagraph"/>
              <w:spacing w:before="3"/>
              <w:ind w:left="91" w:right="77"/>
              <w:jc w:val="both"/>
              <w:rPr>
                <w:sz w:val="18"/>
              </w:rPr>
            </w:pPr>
            <w:r>
              <w:rPr>
                <w:sz w:val="18"/>
              </w:rPr>
              <w:t>estrategias que se encaminen a fomentar, fortalecer y desarrollar la ciencia, la tecnología y la innovación,</w:t>
            </w:r>
            <w:r>
              <w:rPr>
                <w:spacing w:val="-16"/>
                <w:sz w:val="18"/>
              </w:rPr>
              <w:t xml:space="preserve"> </w:t>
            </w:r>
            <w:r>
              <w:rPr>
                <w:sz w:val="18"/>
              </w:rPr>
              <w:t>para</w:t>
            </w:r>
            <w:r>
              <w:rPr>
                <w:spacing w:val="-16"/>
                <w:sz w:val="18"/>
              </w:rPr>
              <w:t xml:space="preserve"> </w:t>
            </w:r>
            <w:r>
              <w:rPr>
                <w:sz w:val="18"/>
              </w:rPr>
              <w:t>consolidar una sociedad basada en el conocimiento; Formular y coordinar el diseño, ejecución y evaluación del Plan Nacional de Ciencia, Tecnología e Innovación; Dirigir y coordinar el Sistema Nacional de Ciencia,</w:t>
            </w:r>
            <w:r>
              <w:rPr>
                <w:spacing w:val="73"/>
                <w:w w:val="150"/>
                <w:sz w:val="18"/>
              </w:rPr>
              <w:t xml:space="preserve">  </w:t>
            </w:r>
            <w:r>
              <w:rPr>
                <w:sz w:val="18"/>
              </w:rPr>
              <w:t>Tecnología</w:t>
            </w:r>
            <w:r>
              <w:rPr>
                <w:spacing w:val="72"/>
                <w:w w:val="150"/>
                <w:sz w:val="18"/>
              </w:rPr>
              <w:t xml:space="preserve">  </w:t>
            </w:r>
            <w:r>
              <w:rPr>
                <w:spacing w:val="-10"/>
                <w:sz w:val="18"/>
              </w:rPr>
              <w:t>e</w:t>
            </w:r>
          </w:p>
          <w:p w14:paraId="60221ED1" w14:textId="77777777" w:rsidR="000E52B0" w:rsidRDefault="00F60D74">
            <w:pPr>
              <w:pStyle w:val="TableParagraph"/>
              <w:spacing w:before="1" w:line="199" w:lineRule="exact"/>
              <w:ind w:left="91"/>
              <w:jc w:val="both"/>
              <w:rPr>
                <w:sz w:val="18"/>
              </w:rPr>
            </w:pPr>
            <w:r>
              <w:rPr>
                <w:sz w:val="18"/>
              </w:rPr>
              <w:t>Innovación</w:t>
            </w:r>
            <w:r>
              <w:rPr>
                <w:spacing w:val="-6"/>
                <w:sz w:val="18"/>
              </w:rPr>
              <w:t xml:space="preserve"> </w:t>
            </w:r>
            <w:r>
              <w:rPr>
                <w:spacing w:val="-2"/>
                <w:sz w:val="18"/>
              </w:rPr>
              <w:t>(SNCTI).</w:t>
            </w:r>
          </w:p>
        </w:tc>
        <w:tc>
          <w:tcPr>
            <w:tcW w:w="1985" w:type="dxa"/>
            <w:tcBorders>
              <w:top w:val="single" w:sz="4" w:space="0" w:color="000000"/>
              <w:left w:val="single" w:sz="4" w:space="0" w:color="000000"/>
              <w:bottom w:val="single" w:sz="4" w:space="0" w:color="000000"/>
              <w:right w:val="single" w:sz="4" w:space="0" w:color="000000"/>
            </w:tcBorders>
          </w:tcPr>
          <w:p w14:paraId="18052F70" w14:textId="77777777" w:rsidR="000E52B0" w:rsidRDefault="00F60D74">
            <w:pPr>
              <w:pStyle w:val="TableParagraph"/>
              <w:spacing w:before="3"/>
              <w:ind w:left="91" w:right="75"/>
              <w:jc w:val="both"/>
              <w:rPr>
                <w:sz w:val="18"/>
              </w:rPr>
            </w:pPr>
            <w:r>
              <w:rPr>
                <w:sz w:val="18"/>
              </w:rPr>
              <w:t xml:space="preserve">La búsqueda del conocimiento (art. </w:t>
            </w:r>
            <w:r>
              <w:rPr>
                <w:spacing w:val="-4"/>
                <w:sz w:val="18"/>
              </w:rPr>
              <w:t>71)</w:t>
            </w:r>
          </w:p>
        </w:tc>
        <w:tc>
          <w:tcPr>
            <w:tcW w:w="1337" w:type="dxa"/>
            <w:tcBorders>
              <w:top w:val="single" w:sz="4" w:space="0" w:color="000000"/>
              <w:left w:val="single" w:sz="4" w:space="0" w:color="000000"/>
              <w:bottom w:val="single" w:sz="4" w:space="0" w:color="000000"/>
            </w:tcBorders>
          </w:tcPr>
          <w:p w14:paraId="19F9AAAA" w14:textId="77777777" w:rsidR="000E52B0" w:rsidRDefault="00F60D74">
            <w:pPr>
              <w:pStyle w:val="TableParagraph"/>
              <w:spacing w:before="3"/>
              <w:ind w:left="92" w:right="70"/>
              <w:rPr>
                <w:sz w:val="18"/>
              </w:rPr>
            </w:pPr>
            <w:r>
              <w:rPr>
                <w:sz w:val="18"/>
              </w:rPr>
              <w:t>Tecnología</w:t>
            </w:r>
            <w:r>
              <w:rPr>
                <w:spacing w:val="-8"/>
                <w:sz w:val="18"/>
              </w:rPr>
              <w:t xml:space="preserve"> </w:t>
            </w:r>
            <w:r>
              <w:rPr>
                <w:sz w:val="18"/>
              </w:rPr>
              <w:t xml:space="preserve">e </w:t>
            </w:r>
            <w:r>
              <w:rPr>
                <w:spacing w:val="-2"/>
                <w:sz w:val="18"/>
              </w:rPr>
              <w:t>Innovación</w:t>
            </w:r>
          </w:p>
        </w:tc>
      </w:tr>
      <w:tr w:rsidR="000E52B0" w14:paraId="458629EE" w14:textId="77777777">
        <w:trPr>
          <w:trHeight w:val="6345"/>
        </w:trPr>
        <w:tc>
          <w:tcPr>
            <w:tcW w:w="1416" w:type="dxa"/>
            <w:tcBorders>
              <w:top w:val="single" w:sz="4" w:space="0" w:color="000000"/>
              <w:bottom w:val="single" w:sz="4" w:space="0" w:color="000000"/>
              <w:right w:val="single" w:sz="4" w:space="0" w:color="000000"/>
            </w:tcBorders>
          </w:tcPr>
          <w:p w14:paraId="32BFC4BA" w14:textId="77777777" w:rsidR="000E52B0" w:rsidRDefault="00F60D74">
            <w:pPr>
              <w:pStyle w:val="TableParagraph"/>
              <w:spacing w:before="1"/>
              <w:ind w:left="90"/>
              <w:rPr>
                <w:sz w:val="18"/>
              </w:rPr>
            </w:pPr>
            <w:r>
              <w:rPr>
                <w:spacing w:val="-2"/>
                <w:sz w:val="18"/>
              </w:rPr>
              <w:t xml:space="preserve">MINISTERIO </w:t>
            </w:r>
            <w:r>
              <w:rPr>
                <w:sz w:val="18"/>
              </w:rPr>
              <w:t>DE</w:t>
            </w:r>
            <w:r>
              <w:rPr>
                <w:spacing w:val="40"/>
                <w:sz w:val="18"/>
              </w:rPr>
              <w:t xml:space="preserve"> </w:t>
            </w:r>
            <w:r>
              <w:rPr>
                <w:sz w:val="18"/>
              </w:rPr>
              <w:t>SALUD</w:t>
            </w:r>
            <w:r>
              <w:rPr>
                <w:spacing w:val="40"/>
                <w:sz w:val="18"/>
              </w:rPr>
              <w:t xml:space="preserve"> </w:t>
            </w:r>
            <w:r>
              <w:rPr>
                <w:sz w:val="18"/>
              </w:rPr>
              <w:t xml:space="preserve">y </w:t>
            </w:r>
            <w:r>
              <w:rPr>
                <w:spacing w:val="-2"/>
                <w:sz w:val="18"/>
              </w:rPr>
              <w:t>PROTECCIÓN SOCIAL</w:t>
            </w:r>
          </w:p>
          <w:p w14:paraId="01EAD1D7" w14:textId="77777777" w:rsidR="000E52B0" w:rsidRDefault="00F60D74">
            <w:pPr>
              <w:pStyle w:val="TableParagraph"/>
              <w:spacing w:line="217" w:lineRule="exact"/>
              <w:ind w:left="90"/>
              <w:rPr>
                <w:sz w:val="18"/>
              </w:rPr>
            </w:pPr>
            <w:r>
              <w:rPr>
                <w:sz w:val="18"/>
              </w:rPr>
              <w:t>Decreto</w:t>
            </w:r>
            <w:r>
              <w:rPr>
                <w:spacing w:val="-3"/>
                <w:sz w:val="18"/>
              </w:rPr>
              <w:t xml:space="preserve"> </w:t>
            </w:r>
            <w:r>
              <w:rPr>
                <w:spacing w:val="-4"/>
                <w:sz w:val="18"/>
              </w:rPr>
              <w:t>4107</w:t>
            </w:r>
          </w:p>
        </w:tc>
        <w:tc>
          <w:tcPr>
            <w:tcW w:w="1601" w:type="dxa"/>
            <w:tcBorders>
              <w:top w:val="single" w:sz="4" w:space="0" w:color="000000"/>
              <w:left w:val="single" w:sz="4" w:space="0" w:color="000000"/>
              <w:bottom w:val="single" w:sz="4" w:space="0" w:color="000000"/>
              <w:right w:val="single" w:sz="4" w:space="0" w:color="000000"/>
            </w:tcBorders>
          </w:tcPr>
          <w:p w14:paraId="2880D669" w14:textId="77777777" w:rsidR="000E52B0" w:rsidRDefault="00F60D74">
            <w:pPr>
              <w:pStyle w:val="TableParagraph"/>
              <w:tabs>
                <w:tab w:val="left" w:pos="1405"/>
              </w:tabs>
              <w:spacing w:before="1"/>
              <w:ind w:left="93" w:right="75"/>
              <w:rPr>
                <w:sz w:val="18"/>
              </w:rPr>
            </w:pPr>
            <w:r>
              <w:rPr>
                <w:spacing w:val="-2"/>
                <w:sz w:val="18"/>
              </w:rPr>
              <w:t xml:space="preserve">formular, </w:t>
            </w:r>
            <w:r>
              <w:rPr>
                <w:sz w:val="18"/>
              </w:rPr>
              <w:t>adoptar,</w:t>
            </w:r>
            <w:r>
              <w:rPr>
                <w:spacing w:val="-16"/>
                <w:sz w:val="18"/>
              </w:rPr>
              <w:t xml:space="preserve"> </w:t>
            </w:r>
            <w:r>
              <w:rPr>
                <w:sz w:val="18"/>
              </w:rPr>
              <w:t xml:space="preserve">dirigir, </w:t>
            </w:r>
            <w:r>
              <w:rPr>
                <w:spacing w:val="-2"/>
                <w:sz w:val="18"/>
              </w:rPr>
              <w:t>coordinar, ejecutar</w:t>
            </w:r>
            <w:r>
              <w:rPr>
                <w:sz w:val="18"/>
              </w:rPr>
              <w:tab/>
            </w:r>
            <w:r>
              <w:rPr>
                <w:spacing w:val="-10"/>
                <w:sz w:val="18"/>
              </w:rPr>
              <w:t>y</w:t>
            </w:r>
          </w:p>
          <w:p w14:paraId="71AE418D" w14:textId="77777777" w:rsidR="000E52B0" w:rsidRDefault="00F60D74">
            <w:pPr>
              <w:pStyle w:val="TableParagraph"/>
              <w:ind w:left="93" w:right="75"/>
              <w:jc w:val="both"/>
              <w:rPr>
                <w:sz w:val="18"/>
              </w:rPr>
            </w:pPr>
            <w:r>
              <w:rPr>
                <w:sz w:val="18"/>
              </w:rPr>
              <w:t>evaluar la política pública en materia de salud,</w:t>
            </w:r>
            <w:r>
              <w:rPr>
                <w:spacing w:val="68"/>
                <w:sz w:val="18"/>
              </w:rPr>
              <w:t xml:space="preserve">   </w:t>
            </w:r>
            <w:r>
              <w:rPr>
                <w:spacing w:val="-2"/>
                <w:sz w:val="18"/>
              </w:rPr>
              <w:t>salud</w:t>
            </w:r>
          </w:p>
          <w:p w14:paraId="4515B309" w14:textId="77777777" w:rsidR="000E52B0" w:rsidRDefault="00F60D74">
            <w:pPr>
              <w:pStyle w:val="TableParagraph"/>
              <w:tabs>
                <w:tab w:val="left" w:pos="599"/>
                <w:tab w:val="left" w:pos="894"/>
                <w:tab w:val="left" w:pos="1177"/>
                <w:tab w:val="left" w:pos="1310"/>
                <w:tab w:val="left" w:pos="1352"/>
                <w:tab w:val="left" w:pos="1404"/>
              </w:tabs>
              <w:ind w:left="93" w:right="74"/>
              <w:rPr>
                <w:sz w:val="18"/>
              </w:rPr>
            </w:pPr>
            <w:r>
              <w:rPr>
                <w:spacing w:val="-2"/>
                <w:sz w:val="18"/>
              </w:rPr>
              <w:t>pública,</w:t>
            </w:r>
            <w:r>
              <w:rPr>
                <w:sz w:val="18"/>
              </w:rPr>
              <w:tab/>
            </w:r>
            <w:r>
              <w:rPr>
                <w:sz w:val="18"/>
              </w:rPr>
              <w:tab/>
            </w:r>
            <w:r>
              <w:rPr>
                <w:sz w:val="18"/>
              </w:rPr>
              <w:tab/>
            </w:r>
            <w:r>
              <w:rPr>
                <w:sz w:val="18"/>
              </w:rPr>
              <w:tab/>
            </w:r>
            <w:r>
              <w:rPr>
                <w:sz w:val="18"/>
              </w:rPr>
              <w:tab/>
            </w:r>
            <w:r>
              <w:rPr>
                <w:spacing w:val="-63"/>
                <w:sz w:val="18"/>
              </w:rPr>
              <w:t xml:space="preserve"> </w:t>
            </w:r>
            <w:r>
              <w:rPr>
                <w:spacing w:val="-10"/>
                <w:sz w:val="18"/>
              </w:rPr>
              <w:t xml:space="preserve">y </w:t>
            </w:r>
            <w:r>
              <w:rPr>
                <w:spacing w:val="-2"/>
                <w:sz w:val="18"/>
              </w:rPr>
              <w:t xml:space="preserve">promoción </w:t>
            </w:r>
            <w:r>
              <w:rPr>
                <w:sz w:val="18"/>
              </w:rPr>
              <w:t>social</w:t>
            </w:r>
            <w:r>
              <w:rPr>
                <w:spacing w:val="-6"/>
                <w:sz w:val="18"/>
              </w:rPr>
              <w:t xml:space="preserve"> </w:t>
            </w:r>
            <w:r>
              <w:rPr>
                <w:sz w:val="18"/>
              </w:rPr>
              <w:t>en</w:t>
            </w:r>
            <w:r>
              <w:rPr>
                <w:spacing w:val="-5"/>
                <w:sz w:val="18"/>
              </w:rPr>
              <w:t xml:space="preserve"> </w:t>
            </w:r>
            <w:r>
              <w:rPr>
                <w:sz w:val="18"/>
              </w:rPr>
              <w:t>salud, y</w:t>
            </w:r>
            <w:r>
              <w:rPr>
                <w:spacing w:val="35"/>
                <w:sz w:val="18"/>
              </w:rPr>
              <w:t xml:space="preserve"> </w:t>
            </w:r>
            <w:r>
              <w:rPr>
                <w:sz w:val="18"/>
              </w:rPr>
              <w:t>participar</w:t>
            </w:r>
            <w:r>
              <w:rPr>
                <w:spacing w:val="36"/>
                <w:sz w:val="18"/>
              </w:rPr>
              <w:t xml:space="preserve"> </w:t>
            </w:r>
            <w:r>
              <w:rPr>
                <w:sz w:val="18"/>
              </w:rPr>
              <w:t>en la</w:t>
            </w:r>
            <w:r>
              <w:rPr>
                <w:spacing w:val="80"/>
                <w:sz w:val="18"/>
              </w:rPr>
              <w:t xml:space="preserve"> </w:t>
            </w:r>
            <w:r>
              <w:rPr>
                <w:sz w:val="18"/>
              </w:rPr>
              <w:t>formulación de</w:t>
            </w:r>
            <w:r>
              <w:rPr>
                <w:spacing w:val="25"/>
                <w:sz w:val="18"/>
              </w:rPr>
              <w:t xml:space="preserve"> </w:t>
            </w:r>
            <w:r>
              <w:rPr>
                <w:sz w:val="18"/>
              </w:rPr>
              <w:t>las</w:t>
            </w:r>
            <w:r>
              <w:rPr>
                <w:spacing w:val="24"/>
                <w:sz w:val="18"/>
              </w:rPr>
              <w:t xml:space="preserve"> </w:t>
            </w:r>
            <w:r>
              <w:rPr>
                <w:sz w:val="18"/>
              </w:rPr>
              <w:t>políticas en</w:t>
            </w:r>
            <w:r>
              <w:rPr>
                <w:spacing w:val="40"/>
                <w:sz w:val="18"/>
              </w:rPr>
              <w:t xml:space="preserve"> </w:t>
            </w:r>
            <w:r>
              <w:rPr>
                <w:sz w:val="18"/>
              </w:rPr>
              <w:t>materia</w:t>
            </w:r>
            <w:r>
              <w:rPr>
                <w:spacing w:val="40"/>
                <w:sz w:val="18"/>
              </w:rPr>
              <w:t xml:space="preserve"> </w:t>
            </w:r>
            <w:r>
              <w:rPr>
                <w:sz w:val="18"/>
              </w:rPr>
              <w:t xml:space="preserve">de </w:t>
            </w:r>
            <w:r>
              <w:rPr>
                <w:spacing w:val="-2"/>
                <w:sz w:val="18"/>
              </w:rPr>
              <w:t>pensiones, beneficios económicos periódicos</w:t>
            </w:r>
            <w:r>
              <w:rPr>
                <w:sz w:val="18"/>
              </w:rPr>
              <w:tab/>
            </w:r>
            <w:r>
              <w:rPr>
                <w:sz w:val="18"/>
              </w:rPr>
              <w:tab/>
            </w:r>
            <w:r>
              <w:rPr>
                <w:sz w:val="18"/>
              </w:rPr>
              <w:tab/>
            </w:r>
            <w:r>
              <w:rPr>
                <w:sz w:val="18"/>
              </w:rPr>
              <w:tab/>
            </w:r>
            <w:r>
              <w:rPr>
                <w:spacing w:val="-10"/>
                <w:sz w:val="18"/>
              </w:rPr>
              <w:t xml:space="preserve">y </w:t>
            </w:r>
            <w:r>
              <w:rPr>
                <w:spacing w:val="-2"/>
                <w:sz w:val="18"/>
              </w:rPr>
              <w:t>riesgos profesionales,</w:t>
            </w:r>
            <w:r>
              <w:rPr>
                <w:spacing w:val="40"/>
                <w:sz w:val="18"/>
              </w:rPr>
              <w:t xml:space="preserve"> </w:t>
            </w:r>
            <w:r>
              <w:rPr>
                <w:spacing w:val="-6"/>
                <w:sz w:val="18"/>
              </w:rPr>
              <w:t>lo</w:t>
            </w:r>
            <w:r>
              <w:rPr>
                <w:sz w:val="18"/>
              </w:rPr>
              <w:tab/>
            </w:r>
            <w:r>
              <w:rPr>
                <w:spacing w:val="-4"/>
                <w:sz w:val="18"/>
              </w:rPr>
              <w:t>cual</w:t>
            </w:r>
            <w:r>
              <w:rPr>
                <w:sz w:val="18"/>
              </w:rPr>
              <w:tab/>
            </w:r>
            <w:r>
              <w:rPr>
                <w:sz w:val="18"/>
              </w:rPr>
              <w:tab/>
            </w:r>
            <w:r>
              <w:rPr>
                <w:spacing w:val="-6"/>
                <w:sz w:val="18"/>
              </w:rPr>
              <w:t xml:space="preserve">se </w:t>
            </w:r>
            <w:r>
              <w:rPr>
                <w:spacing w:val="-2"/>
                <w:sz w:val="18"/>
              </w:rPr>
              <w:t>desarrollará</w:t>
            </w:r>
            <w:r>
              <w:rPr>
                <w:sz w:val="18"/>
              </w:rPr>
              <w:tab/>
            </w:r>
            <w:r>
              <w:rPr>
                <w:sz w:val="18"/>
              </w:rPr>
              <w:tab/>
            </w:r>
            <w:r>
              <w:rPr>
                <w:sz w:val="18"/>
              </w:rPr>
              <w:tab/>
            </w:r>
            <w:r>
              <w:rPr>
                <w:sz w:val="18"/>
              </w:rPr>
              <w:tab/>
            </w:r>
            <w:r>
              <w:rPr>
                <w:spacing w:val="-63"/>
                <w:sz w:val="18"/>
              </w:rPr>
              <w:t xml:space="preserve"> </w:t>
            </w:r>
            <w:r>
              <w:rPr>
                <w:spacing w:val="-10"/>
                <w:sz w:val="18"/>
              </w:rPr>
              <w:t xml:space="preserve">a </w:t>
            </w:r>
            <w:r>
              <w:rPr>
                <w:spacing w:val="-2"/>
                <w:sz w:val="18"/>
              </w:rPr>
              <w:t>través</w:t>
            </w:r>
            <w:r>
              <w:rPr>
                <w:sz w:val="18"/>
              </w:rPr>
              <w:tab/>
            </w:r>
            <w:r>
              <w:rPr>
                <w:spacing w:val="-6"/>
                <w:sz w:val="18"/>
              </w:rPr>
              <w:t>de</w:t>
            </w:r>
            <w:r>
              <w:rPr>
                <w:sz w:val="18"/>
              </w:rPr>
              <w:tab/>
            </w:r>
            <w:r>
              <w:rPr>
                <w:sz w:val="18"/>
              </w:rPr>
              <w:tab/>
            </w:r>
            <w:r>
              <w:rPr>
                <w:sz w:val="18"/>
              </w:rPr>
              <w:tab/>
            </w:r>
            <w:r>
              <w:rPr>
                <w:spacing w:val="-6"/>
                <w:sz w:val="18"/>
              </w:rPr>
              <w:t xml:space="preserve">la </w:t>
            </w:r>
            <w:proofErr w:type="spellStart"/>
            <w:r>
              <w:rPr>
                <w:spacing w:val="-2"/>
                <w:sz w:val="18"/>
              </w:rPr>
              <w:t>institucionalida</w:t>
            </w:r>
            <w:proofErr w:type="spellEnd"/>
            <w:r>
              <w:rPr>
                <w:spacing w:val="-2"/>
                <w:sz w:val="18"/>
              </w:rPr>
              <w:t xml:space="preserve"> </w:t>
            </w:r>
            <w:r>
              <w:rPr>
                <w:spacing w:val="-10"/>
                <w:sz w:val="18"/>
              </w:rPr>
              <w:t>d</w:t>
            </w:r>
            <w:r>
              <w:rPr>
                <w:sz w:val="18"/>
              </w:rPr>
              <w:tab/>
            </w:r>
            <w:r>
              <w:rPr>
                <w:sz w:val="18"/>
              </w:rPr>
              <w:tab/>
            </w:r>
            <w:r>
              <w:rPr>
                <w:sz w:val="18"/>
              </w:rPr>
              <w:tab/>
            </w:r>
            <w:r>
              <w:rPr>
                <w:spacing w:val="-5"/>
                <w:sz w:val="18"/>
              </w:rPr>
              <w:t>que</w:t>
            </w:r>
          </w:p>
          <w:p w14:paraId="6C824100" w14:textId="77777777" w:rsidR="000E52B0" w:rsidRDefault="00F60D74">
            <w:pPr>
              <w:pStyle w:val="TableParagraph"/>
              <w:tabs>
                <w:tab w:val="left" w:pos="1356"/>
              </w:tabs>
              <w:spacing w:line="217" w:lineRule="exact"/>
              <w:ind w:left="93"/>
              <w:rPr>
                <w:sz w:val="18"/>
              </w:rPr>
            </w:pPr>
            <w:r>
              <w:rPr>
                <w:spacing w:val="-2"/>
                <w:sz w:val="18"/>
              </w:rPr>
              <w:t>comprende</w:t>
            </w:r>
            <w:r>
              <w:rPr>
                <w:sz w:val="18"/>
              </w:rPr>
              <w:tab/>
            </w:r>
            <w:r>
              <w:rPr>
                <w:spacing w:val="-5"/>
                <w:sz w:val="18"/>
              </w:rPr>
              <w:t>el</w:t>
            </w:r>
          </w:p>
          <w:p w14:paraId="5C0489F2" w14:textId="77777777" w:rsidR="000E52B0" w:rsidRDefault="00F60D74">
            <w:pPr>
              <w:pStyle w:val="TableParagraph"/>
              <w:spacing w:line="218" w:lineRule="exact"/>
              <w:ind w:left="93"/>
              <w:rPr>
                <w:sz w:val="18"/>
              </w:rPr>
            </w:pPr>
            <w:r>
              <w:rPr>
                <w:spacing w:val="-2"/>
                <w:sz w:val="18"/>
              </w:rPr>
              <w:t>sector administrativo</w:t>
            </w:r>
          </w:p>
        </w:tc>
        <w:tc>
          <w:tcPr>
            <w:tcW w:w="2647" w:type="dxa"/>
            <w:tcBorders>
              <w:top w:val="single" w:sz="4" w:space="0" w:color="000000"/>
              <w:left w:val="single" w:sz="4" w:space="0" w:color="000000"/>
              <w:bottom w:val="single" w:sz="4" w:space="0" w:color="000000"/>
              <w:right w:val="single" w:sz="4" w:space="0" w:color="000000"/>
            </w:tcBorders>
          </w:tcPr>
          <w:p w14:paraId="352CE6F3" w14:textId="77777777" w:rsidR="000E52B0" w:rsidRDefault="00F60D74">
            <w:pPr>
              <w:pStyle w:val="TableParagraph"/>
              <w:tabs>
                <w:tab w:val="left" w:pos="799"/>
                <w:tab w:val="left" w:pos="1036"/>
                <w:tab w:val="left" w:pos="1110"/>
                <w:tab w:val="left" w:pos="1338"/>
                <w:tab w:val="left" w:pos="1386"/>
                <w:tab w:val="left" w:pos="1693"/>
                <w:tab w:val="left" w:pos="1976"/>
                <w:tab w:val="left" w:pos="2302"/>
                <w:tab w:val="left" w:pos="2375"/>
                <w:tab w:val="left" w:pos="2451"/>
              </w:tabs>
              <w:spacing w:before="1"/>
              <w:ind w:left="91" w:right="74"/>
              <w:jc w:val="right"/>
              <w:rPr>
                <w:sz w:val="18"/>
              </w:rPr>
            </w:pPr>
            <w:r>
              <w:rPr>
                <w:spacing w:val="-6"/>
                <w:sz w:val="18"/>
              </w:rPr>
              <w:t>1.</w:t>
            </w:r>
            <w:r>
              <w:rPr>
                <w:sz w:val="18"/>
              </w:rPr>
              <w:tab/>
            </w:r>
            <w:r>
              <w:rPr>
                <w:spacing w:val="-2"/>
                <w:sz w:val="18"/>
              </w:rPr>
              <w:t>Formular</w:t>
            </w:r>
            <w:r>
              <w:rPr>
                <w:sz w:val="18"/>
              </w:rPr>
              <w:tab/>
            </w:r>
            <w:r>
              <w:rPr>
                <w:sz w:val="18"/>
              </w:rPr>
              <w:tab/>
            </w:r>
            <w:r>
              <w:rPr>
                <w:sz w:val="18"/>
              </w:rPr>
              <w:tab/>
            </w:r>
            <w:r>
              <w:rPr>
                <w:sz w:val="18"/>
              </w:rPr>
              <w:tab/>
            </w:r>
            <w:r>
              <w:rPr>
                <w:spacing w:val="-38"/>
                <w:sz w:val="18"/>
              </w:rPr>
              <w:t xml:space="preserve"> </w:t>
            </w:r>
            <w:r>
              <w:rPr>
                <w:spacing w:val="-4"/>
                <w:sz w:val="18"/>
              </w:rPr>
              <w:t xml:space="preserve">la </w:t>
            </w:r>
            <w:r>
              <w:rPr>
                <w:sz w:val="18"/>
              </w:rPr>
              <w:t>política,</w:t>
            </w:r>
            <w:r>
              <w:rPr>
                <w:spacing w:val="80"/>
                <w:sz w:val="18"/>
              </w:rPr>
              <w:t xml:space="preserve"> </w:t>
            </w:r>
            <w:r>
              <w:rPr>
                <w:sz w:val="18"/>
              </w:rPr>
              <w:t>dirigir,</w:t>
            </w:r>
            <w:r>
              <w:rPr>
                <w:spacing w:val="80"/>
                <w:sz w:val="18"/>
              </w:rPr>
              <w:t xml:space="preserve"> </w:t>
            </w:r>
            <w:r>
              <w:rPr>
                <w:sz w:val="18"/>
              </w:rPr>
              <w:t xml:space="preserve">orientar, </w:t>
            </w:r>
            <w:r>
              <w:rPr>
                <w:spacing w:val="-2"/>
                <w:sz w:val="18"/>
              </w:rPr>
              <w:t>adoptar</w:t>
            </w:r>
            <w:r>
              <w:rPr>
                <w:sz w:val="18"/>
              </w:rPr>
              <w:tab/>
            </w:r>
            <w:r>
              <w:rPr>
                <w:sz w:val="18"/>
              </w:rPr>
              <w:tab/>
            </w:r>
            <w:r>
              <w:rPr>
                <w:spacing w:val="-10"/>
                <w:sz w:val="18"/>
              </w:rPr>
              <w:t>y</w:t>
            </w:r>
            <w:r>
              <w:rPr>
                <w:sz w:val="18"/>
              </w:rPr>
              <w:tab/>
            </w:r>
            <w:r>
              <w:rPr>
                <w:sz w:val="18"/>
              </w:rPr>
              <w:tab/>
            </w:r>
            <w:r>
              <w:rPr>
                <w:spacing w:val="-2"/>
                <w:sz w:val="18"/>
              </w:rPr>
              <w:t>evaluar</w:t>
            </w:r>
            <w:r>
              <w:rPr>
                <w:sz w:val="18"/>
              </w:rPr>
              <w:tab/>
            </w:r>
            <w:r>
              <w:rPr>
                <w:spacing w:val="-4"/>
                <w:sz w:val="18"/>
              </w:rPr>
              <w:t xml:space="preserve">los </w:t>
            </w:r>
            <w:r>
              <w:rPr>
                <w:spacing w:val="-2"/>
                <w:sz w:val="18"/>
              </w:rPr>
              <w:t>planes,</w:t>
            </w:r>
            <w:r>
              <w:rPr>
                <w:sz w:val="18"/>
              </w:rPr>
              <w:tab/>
            </w:r>
            <w:r>
              <w:rPr>
                <w:sz w:val="18"/>
              </w:rPr>
              <w:tab/>
            </w:r>
            <w:r>
              <w:rPr>
                <w:sz w:val="18"/>
              </w:rPr>
              <w:tab/>
            </w:r>
            <w:r>
              <w:rPr>
                <w:spacing w:val="-2"/>
                <w:sz w:val="18"/>
              </w:rPr>
              <w:t>programas</w:t>
            </w:r>
            <w:r>
              <w:rPr>
                <w:sz w:val="18"/>
              </w:rPr>
              <w:tab/>
            </w:r>
            <w:r>
              <w:rPr>
                <w:sz w:val="18"/>
              </w:rPr>
              <w:tab/>
            </w:r>
            <w:r>
              <w:rPr>
                <w:sz w:val="18"/>
              </w:rPr>
              <w:tab/>
            </w:r>
            <w:r>
              <w:rPr>
                <w:spacing w:val="-10"/>
                <w:sz w:val="18"/>
              </w:rPr>
              <w:t xml:space="preserve">y </w:t>
            </w:r>
            <w:r>
              <w:rPr>
                <w:spacing w:val="-2"/>
                <w:sz w:val="18"/>
              </w:rPr>
              <w:t>proyectos</w:t>
            </w:r>
            <w:r>
              <w:rPr>
                <w:sz w:val="18"/>
              </w:rPr>
              <w:tab/>
            </w:r>
            <w:r>
              <w:rPr>
                <w:sz w:val="18"/>
              </w:rPr>
              <w:tab/>
            </w:r>
            <w:r>
              <w:rPr>
                <w:sz w:val="18"/>
              </w:rPr>
              <w:tab/>
            </w:r>
            <w:r>
              <w:rPr>
                <w:spacing w:val="-4"/>
                <w:sz w:val="18"/>
              </w:rPr>
              <w:t>del</w:t>
            </w:r>
            <w:r>
              <w:rPr>
                <w:sz w:val="18"/>
              </w:rPr>
              <w:tab/>
            </w:r>
            <w:r>
              <w:rPr>
                <w:sz w:val="18"/>
              </w:rPr>
              <w:tab/>
            </w:r>
            <w:r>
              <w:rPr>
                <w:spacing w:val="-2"/>
                <w:sz w:val="18"/>
              </w:rPr>
              <w:t xml:space="preserve">Sector </w:t>
            </w:r>
            <w:r>
              <w:rPr>
                <w:sz w:val="18"/>
              </w:rPr>
              <w:t>Administrativo</w:t>
            </w:r>
            <w:r>
              <w:rPr>
                <w:spacing w:val="34"/>
                <w:sz w:val="18"/>
              </w:rPr>
              <w:t xml:space="preserve"> </w:t>
            </w:r>
            <w:r>
              <w:rPr>
                <w:sz w:val="18"/>
              </w:rPr>
              <w:t>de</w:t>
            </w:r>
            <w:r>
              <w:rPr>
                <w:spacing w:val="33"/>
                <w:sz w:val="18"/>
              </w:rPr>
              <w:t xml:space="preserve"> </w:t>
            </w:r>
            <w:r>
              <w:rPr>
                <w:sz w:val="18"/>
              </w:rPr>
              <w:t>Salud</w:t>
            </w:r>
            <w:r>
              <w:rPr>
                <w:spacing w:val="33"/>
                <w:sz w:val="18"/>
              </w:rPr>
              <w:t xml:space="preserve"> </w:t>
            </w:r>
            <w:r>
              <w:rPr>
                <w:sz w:val="18"/>
              </w:rPr>
              <w:t xml:space="preserve">y </w:t>
            </w:r>
            <w:r>
              <w:rPr>
                <w:spacing w:val="-2"/>
                <w:sz w:val="18"/>
              </w:rPr>
              <w:t>Protección</w:t>
            </w:r>
            <w:r>
              <w:rPr>
                <w:sz w:val="18"/>
              </w:rPr>
              <w:tab/>
            </w:r>
            <w:r>
              <w:rPr>
                <w:sz w:val="18"/>
              </w:rPr>
              <w:tab/>
            </w:r>
            <w:r>
              <w:rPr>
                <w:sz w:val="18"/>
              </w:rPr>
              <w:tab/>
            </w:r>
            <w:r>
              <w:rPr>
                <w:sz w:val="18"/>
              </w:rPr>
              <w:tab/>
            </w:r>
            <w:r>
              <w:rPr>
                <w:spacing w:val="-48"/>
                <w:sz w:val="18"/>
              </w:rPr>
              <w:t xml:space="preserve"> </w:t>
            </w:r>
            <w:r>
              <w:rPr>
                <w:sz w:val="18"/>
              </w:rPr>
              <w:t>Social.</w:t>
            </w:r>
            <w:r>
              <w:rPr>
                <w:sz w:val="18"/>
              </w:rPr>
              <w:tab/>
            </w:r>
            <w:r>
              <w:rPr>
                <w:sz w:val="18"/>
              </w:rPr>
              <w:tab/>
            </w:r>
            <w:r>
              <w:rPr>
                <w:spacing w:val="-6"/>
                <w:sz w:val="18"/>
              </w:rPr>
              <w:t xml:space="preserve">2. </w:t>
            </w:r>
            <w:r>
              <w:rPr>
                <w:spacing w:val="-2"/>
                <w:sz w:val="18"/>
              </w:rPr>
              <w:t>Formular</w:t>
            </w:r>
            <w:r>
              <w:rPr>
                <w:sz w:val="18"/>
              </w:rPr>
              <w:tab/>
            </w:r>
            <w:r>
              <w:rPr>
                <w:sz w:val="18"/>
              </w:rPr>
              <w:tab/>
            </w:r>
            <w:r>
              <w:rPr>
                <w:sz w:val="18"/>
              </w:rPr>
              <w:tab/>
            </w:r>
            <w:r>
              <w:rPr>
                <w:sz w:val="18"/>
              </w:rPr>
              <w:tab/>
            </w:r>
            <w:r>
              <w:rPr>
                <w:sz w:val="18"/>
              </w:rPr>
              <w:tab/>
            </w:r>
            <w:r>
              <w:rPr>
                <w:spacing w:val="-6"/>
                <w:sz w:val="18"/>
              </w:rPr>
              <w:t xml:space="preserve">la </w:t>
            </w:r>
            <w:r>
              <w:rPr>
                <w:sz w:val="18"/>
              </w:rPr>
              <w:t>política,</w:t>
            </w:r>
            <w:r>
              <w:rPr>
                <w:spacing w:val="80"/>
                <w:sz w:val="18"/>
              </w:rPr>
              <w:t xml:space="preserve"> </w:t>
            </w:r>
            <w:r>
              <w:rPr>
                <w:sz w:val="18"/>
              </w:rPr>
              <w:t>dirigir,</w:t>
            </w:r>
            <w:r>
              <w:rPr>
                <w:spacing w:val="80"/>
                <w:sz w:val="18"/>
              </w:rPr>
              <w:t xml:space="preserve"> </w:t>
            </w:r>
            <w:r>
              <w:rPr>
                <w:sz w:val="18"/>
              </w:rPr>
              <w:t xml:space="preserve">orientar, </w:t>
            </w:r>
            <w:r>
              <w:rPr>
                <w:spacing w:val="-2"/>
                <w:sz w:val="18"/>
              </w:rPr>
              <w:t>adoptar</w:t>
            </w:r>
            <w:r>
              <w:rPr>
                <w:sz w:val="18"/>
              </w:rPr>
              <w:tab/>
            </w:r>
            <w:r>
              <w:rPr>
                <w:sz w:val="18"/>
              </w:rPr>
              <w:tab/>
            </w:r>
            <w:r>
              <w:rPr>
                <w:spacing w:val="-10"/>
                <w:sz w:val="18"/>
              </w:rPr>
              <w:t>y</w:t>
            </w:r>
            <w:r>
              <w:rPr>
                <w:sz w:val="18"/>
              </w:rPr>
              <w:tab/>
            </w:r>
            <w:r>
              <w:rPr>
                <w:sz w:val="18"/>
              </w:rPr>
              <w:tab/>
            </w:r>
            <w:r>
              <w:rPr>
                <w:spacing w:val="-2"/>
                <w:sz w:val="18"/>
              </w:rPr>
              <w:t>evaluar</w:t>
            </w:r>
            <w:r>
              <w:rPr>
                <w:sz w:val="18"/>
              </w:rPr>
              <w:tab/>
            </w:r>
            <w:r>
              <w:rPr>
                <w:spacing w:val="-4"/>
                <w:sz w:val="18"/>
              </w:rPr>
              <w:t xml:space="preserve">los </w:t>
            </w:r>
            <w:r>
              <w:rPr>
                <w:spacing w:val="-2"/>
                <w:sz w:val="18"/>
              </w:rPr>
              <w:t>planes,</w:t>
            </w:r>
            <w:r>
              <w:rPr>
                <w:sz w:val="18"/>
              </w:rPr>
              <w:tab/>
            </w:r>
            <w:r>
              <w:rPr>
                <w:sz w:val="18"/>
              </w:rPr>
              <w:tab/>
            </w:r>
            <w:r>
              <w:rPr>
                <w:sz w:val="18"/>
              </w:rPr>
              <w:tab/>
            </w:r>
            <w:r>
              <w:rPr>
                <w:spacing w:val="-2"/>
                <w:sz w:val="18"/>
              </w:rPr>
              <w:t>programas</w:t>
            </w:r>
            <w:r>
              <w:rPr>
                <w:sz w:val="18"/>
              </w:rPr>
              <w:tab/>
            </w:r>
            <w:r>
              <w:rPr>
                <w:sz w:val="18"/>
              </w:rPr>
              <w:tab/>
            </w:r>
            <w:r>
              <w:rPr>
                <w:sz w:val="18"/>
              </w:rPr>
              <w:tab/>
            </w:r>
            <w:r>
              <w:rPr>
                <w:spacing w:val="-10"/>
                <w:sz w:val="18"/>
              </w:rPr>
              <w:t xml:space="preserve">y </w:t>
            </w:r>
            <w:r>
              <w:rPr>
                <w:sz w:val="18"/>
              </w:rPr>
              <w:t>proyectos</w:t>
            </w:r>
            <w:r>
              <w:rPr>
                <w:spacing w:val="40"/>
                <w:sz w:val="18"/>
              </w:rPr>
              <w:t xml:space="preserve"> </w:t>
            </w:r>
            <w:r>
              <w:rPr>
                <w:sz w:val="18"/>
              </w:rPr>
              <w:t>en</w:t>
            </w:r>
            <w:r>
              <w:rPr>
                <w:spacing w:val="40"/>
                <w:sz w:val="18"/>
              </w:rPr>
              <w:t xml:space="preserve"> </w:t>
            </w:r>
            <w:r>
              <w:rPr>
                <w:sz w:val="18"/>
              </w:rPr>
              <w:t>materia</w:t>
            </w:r>
            <w:r>
              <w:rPr>
                <w:spacing w:val="40"/>
                <w:sz w:val="18"/>
              </w:rPr>
              <w:t xml:space="preserve"> </w:t>
            </w:r>
            <w:r>
              <w:rPr>
                <w:sz w:val="18"/>
              </w:rPr>
              <w:t>de Salud</w:t>
            </w:r>
            <w:r>
              <w:rPr>
                <w:spacing w:val="40"/>
                <w:sz w:val="18"/>
              </w:rPr>
              <w:t xml:space="preserve"> </w:t>
            </w:r>
            <w:r>
              <w:rPr>
                <w:sz w:val="18"/>
              </w:rPr>
              <w:t>y</w:t>
            </w:r>
            <w:r>
              <w:rPr>
                <w:spacing w:val="40"/>
                <w:sz w:val="18"/>
              </w:rPr>
              <w:t xml:space="preserve"> </w:t>
            </w:r>
            <w:r>
              <w:rPr>
                <w:sz w:val="18"/>
              </w:rPr>
              <w:t>Protección</w:t>
            </w:r>
            <w:r>
              <w:rPr>
                <w:spacing w:val="42"/>
                <w:sz w:val="18"/>
              </w:rPr>
              <w:t xml:space="preserve"> </w:t>
            </w:r>
            <w:r>
              <w:rPr>
                <w:spacing w:val="-2"/>
                <w:sz w:val="18"/>
              </w:rPr>
              <w:t>Social.</w:t>
            </w:r>
          </w:p>
          <w:p w14:paraId="16A4D08C" w14:textId="77777777" w:rsidR="000E52B0" w:rsidRDefault="00F60D74">
            <w:pPr>
              <w:pStyle w:val="TableParagraph"/>
              <w:tabs>
                <w:tab w:val="left" w:pos="1274"/>
                <w:tab w:val="left" w:pos="1907"/>
                <w:tab w:val="left" w:pos="2401"/>
              </w:tabs>
              <w:ind w:left="91" w:right="74"/>
              <w:jc w:val="both"/>
              <w:rPr>
                <w:sz w:val="18"/>
              </w:rPr>
            </w:pPr>
            <w:r>
              <w:rPr>
                <w:sz w:val="18"/>
              </w:rPr>
              <w:t>3.</w:t>
            </w:r>
            <w:r>
              <w:rPr>
                <w:spacing w:val="80"/>
                <w:w w:val="150"/>
                <w:sz w:val="18"/>
              </w:rPr>
              <w:t xml:space="preserve">  </w:t>
            </w:r>
            <w:r>
              <w:rPr>
                <w:sz w:val="18"/>
              </w:rPr>
              <w:t>Formular</w:t>
            </w:r>
            <w:r>
              <w:rPr>
                <w:sz w:val="18"/>
              </w:rPr>
              <w:tab/>
            </w:r>
            <w:r>
              <w:rPr>
                <w:sz w:val="18"/>
              </w:rPr>
              <w:tab/>
            </w:r>
            <w:r>
              <w:rPr>
                <w:spacing w:val="-6"/>
                <w:sz w:val="18"/>
              </w:rPr>
              <w:t xml:space="preserve">la </w:t>
            </w:r>
            <w:r>
              <w:rPr>
                <w:sz w:val="18"/>
              </w:rPr>
              <w:t xml:space="preserve">política, dirigir, orientar, adoptar y evaluar la </w:t>
            </w:r>
            <w:r>
              <w:rPr>
                <w:spacing w:val="-2"/>
                <w:sz w:val="18"/>
              </w:rPr>
              <w:t>ejecución,</w:t>
            </w:r>
            <w:r>
              <w:rPr>
                <w:sz w:val="18"/>
              </w:rPr>
              <w:tab/>
            </w:r>
            <w:r>
              <w:rPr>
                <w:sz w:val="18"/>
              </w:rPr>
              <w:tab/>
            </w:r>
            <w:r>
              <w:rPr>
                <w:spacing w:val="-2"/>
                <w:sz w:val="18"/>
              </w:rPr>
              <w:t xml:space="preserve">planes, </w:t>
            </w:r>
            <w:r>
              <w:rPr>
                <w:sz w:val="18"/>
              </w:rPr>
              <w:t xml:space="preserve">programas y proyectos del Gobierno Nacional en materia de salud, salud </w:t>
            </w:r>
            <w:r>
              <w:rPr>
                <w:spacing w:val="-2"/>
                <w:sz w:val="18"/>
              </w:rPr>
              <w:t>pública,</w:t>
            </w:r>
            <w:r>
              <w:rPr>
                <w:sz w:val="18"/>
              </w:rPr>
              <w:tab/>
            </w:r>
            <w:r>
              <w:rPr>
                <w:sz w:val="18"/>
              </w:rPr>
              <w:tab/>
            </w:r>
            <w:r>
              <w:rPr>
                <w:spacing w:val="-16"/>
                <w:sz w:val="18"/>
              </w:rPr>
              <w:t xml:space="preserve"> </w:t>
            </w:r>
            <w:r>
              <w:rPr>
                <w:spacing w:val="-8"/>
                <w:sz w:val="18"/>
              </w:rPr>
              <w:t xml:space="preserve">riesgos </w:t>
            </w:r>
            <w:r>
              <w:rPr>
                <w:sz w:val="18"/>
              </w:rPr>
              <w:t>profesionales, y de control de</w:t>
            </w:r>
            <w:r>
              <w:rPr>
                <w:spacing w:val="-13"/>
                <w:sz w:val="18"/>
              </w:rPr>
              <w:t xml:space="preserve"> </w:t>
            </w:r>
            <w:r>
              <w:rPr>
                <w:sz w:val="18"/>
              </w:rPr>
              <w:t>los</w:t>
            </w:r>
            <w:r>
              <w:rPr>
                <w:spacing w:val="-14"/>
                <w:sz w:val="18"/>
              </w:rPr>
              <w:t xml:space="preserve"> </w:t>
            </w:r>
            <w:r>
              <w:rPr>
                <w:sz w:val="18"/>
              </w:rPr>
              <w:t>riesgos</w:t>
            </w:r>
            <w:r>
              <w:rPr>
                <w:spacing w:val="-14"/>
                <w:sz w:val="18"/>
              </w:rPr>
              <w:t xml:space="preserve"> </w:t>
            </w:r>
            <w:r>
              <w:rPr>
                <w:sz w:val="18"/>
              </w:rPr>
              <w:t xml:space="preserve">provenientes </w:t>
            </w:r>
            <w:r>
              <w:rPr>
                <w:spacing w:val="-6"/>
                <w:sz w:val="18"/>
              </w:rPr>
              <w:t>de</w:t>
            </w:r>
            <w:r>
              <w:rPr>
                <w:sz w:val="18"/>
              </w:rPr>
              <w:tab/>
            </w:r>
            <w:r>
              <w:rPr>
                <w:spacing w:val="-2"/>
                <w:sz w:val="18"/>
              </w:rPr>
              <w:t xml:space="preserve">enfermedades </w:t>
            </w:r>
            <w:r>
              <w:rPr>
                <w:sz w:val="18"/>
              </w:rPr>
              <w:t>comunes, ambientales, sanitarias y psicosociales, que</w:t>
            </w:r>
            <w:r>
              <w:rPr>
                <w:spacing w:val="-7"/>
                <w:sz w:val="18"/>
              </w:rPr>
              <w:t xml:space="preserve"> </w:t>
            </w:r>
            <w:r>
              <w:rPr>
                <w:sz w:val="18"/>
              </w:rPr>
              <w:t>afecten</w:t>
            </w:r>
            <w:r>
              <w:rPr>
                <w:spacing w:val="-6"/>
                <w:sz w:val="18"/>
              </w:rPr>
              <w:t xml:space="preserve"> </w:t>
            </w:r>
            <w:r>
              <w:rPr>
                <w:sz w:val="18"/>
              </w:rPr>
              <w:t>a</w:t>
            </w:r>
            <w:r>
              <w:rPr>
                <w:spacing w:val="-9"/>
                <w:sz w:val="18"/>
              </w:rPr>
              <w:t xml:space="preserve"> </w:t>
            </w:r>
            <w:r>
              <w:rPr>
                <w:sz w:val="18"/>
              </w:rPr>
              <w:t>las</w:t>
            </w:r>
            <w:r>
              <w:rPr>
                <w:spacing w:val="-7"/>
                <w:sz w:val="18"/>
              </w:rPr>
              <w:t xml:space="preserve"> </w:t>
            </w:r>
            <w:r>
              <w:rPr>
                <w:spacing w:val="-2"/>
                <w:sz w:val="18"/>
              </w:rPr>
              <w:t>personas,</w:t>
            </w:r>
          </w:p>
          <w:p w14:paraId="4BE13D49" w14:textId="77777777" w:rsidR="000E52B0" w:rsidRDefault="00F60D74">
            <w:pPr>
              <w:pStyle w:val="TableParagraph"/>
              <w:spacing w:line="218" w:lineRule="exact"/>
              <w:ind w:left="91" w:right="80"/>
              <w:jc w:val="both"/>
              <w:rPr>
                <w:sz w:val="18"/>
              </w:rPr>
            </w:pPr>
            <w:r>
              <w:rPr>
                <w:sz w:val="18"/>
              </w:rPr>
              <w:t xml:space="preserve">grupos, familias o </w:t>
            </w:r>
            <w:r>
              <w:rPr>
                <w:spacing w:val="-2"/>
                <w:sz w:val="18"/>
              </w:rPr>
              <w:t>comunidades.</w:t>
            </w:r>
          </w:p>
        </w:tc>
        <w:tc>
          <w:tcPr>
            <w:tcW w:w="1985" w:type="dxa"/>
            <w:tcBorders>
              <w:top w:val="single" w:sz="4" w:space="0" w:color="000000"/>
              <w:left w:val="single" w:sz="4" w:space="0" w:color="000000"/>
              <w:bottom w:val="single" w:sz="4" w:space="0" w:color="000000"/>
              <w:right w:val="single" w:sz="4" w:space="0" w:color="000000"/>
            </w:tcBorders>
          </w:tcPr>
          <w:p w14:paraId="1AF8FCBA" w14:textId="77777777" w:rsidR="000E52B0" w:rsidRDefault="00F60D74">
            <w:pPr>
              <w:pStyle w:val="TableParagraph"/>
              <w:tabs>
                <w:tab w:val="left" w:pos="1393"/>
              </w:tabs>
              <w:spacing w:before="1"/>
              <w:ind w:left="91" w:right="77"/>
              <w:rPr>
                <w:sz w:val="18"/>
              </w:rPr>
            </w:pPr>
            <w:r>
              <w:rPr>
                <w:spacing w:val="-2"/>
                <w:sz w:val="18"/>
              </w:rPr>
              <w:t>Seguridad</w:t>
            </w:r>
            <w:r>
              <w:rPr>
                <w:sz w:val="18"/>
              </w:rPr>
              <w:tab/>
            </w:r>
            <w:r>
              <w:rPr>
                <w:spacing w:val="-2"/>
                <w:sz w:val="18"/>
              </w:rPr>
              <w:t xml:space="preserve">social </w:t>
            </w:r>
            <w:r>
              <w:rPr>
                <w:sz w:val="18"/>
              </w:rPr>
              <w:t>(art. 48 C.P)</w:t>
            </w:r>
          </w:p>
          <w:p w14:paraId="5D0431ED" w14:textId="77777777" w:rsidR="000E52B0" w:rsidRDefault="00F60D74">
            <w:pPr>
              <w:pStyle w:val="TableParagraph"/>
              <w:tabs>
                <w:tab w:val="left" w:pos="1790"/>
              </w:tabs>
              <w:spacing w:before="218" w:line="219" w:lineRule="exact"/>
              <w:ind w:left="91"/>
              <w:rPr>
                <w:sz w:val="18"/>
              </w:rPr>
            </w:pPr>
            <w:r>
              <w:rPr>
                <w:spacing w:val="-2"/>
                <w:sz w:val="18"/>
              </w:rPr>
              <w:t>Salud</w:t>
            </w:r>
            <w:r>
              <w:rPr>
                <w:sz w:val="18"/>
              </w:rPr>
              <w:tab/>
            </w:r>
            <w:r>
              <w:rPr>
                <w:spacing w:val="-10"/>
                <w:sz w:val="18"/>
              </w:rPr>
              <w:t>y</w:t>
            </w:r>
          </w:p>
          <w:p w14:paraId="04FC4072" w14:textId="77777777" w:rsidR="000E52B0" w:rsidRDefault="00F60D74">
            <w:pPr>
              <w:pStyle w:val="TableParagraph"/>
              <w:tabs>
                <w:tab w:val="left" w:pos="1493"/>
              </w:tabs>
              <w:ind w:left="91" w:right="75"/>
              <w:rPr>
                <w:sz w:val="18"/>
              </w:rPr>
            </w:pPr>
            <w:r>
              <w:rPr>
                <w:spacing w:val="-2"/>
                <w:sz w:val="18"/>
              </w:rPr>
              <w:t>saneamiento</w:t>
            </w:r>
            <w:r>
              <w:rPr>
                <w:sz w:val="18"/>
              </w:rPr>
              <w:tab/>
            </w:r>
            <w:r>
              <w:rPr>
                <w:spacing w:val="-4"/>
                <w:sz w:val="18"/>
              </w:rPr>
              <w:t xml:space="preserve">(art. </w:t>
            </w:r>
            <w:r>
              <w:rPr>
                <w:sz w:val="18"/>
              </w:rPr>
              <w:t>49 C.P)</w:t>
            </w:r>
          </w:p>
        </w:tc>
        <w:tc>
          <w:tcPr>
            <w:tcW w:w="1337" w:type="dxa"/>
            <w:tcBorders>
              <w:top w:val="single" w:sz="4" w:space="0" w:color="000000"/>
              <w:left w:val="single" w:sz="4" w:space="0" w:color="000000"/>
              <w:bottom w:val="single" w:sz="4" w:space="0" w:color="000000"/>
            </w:tcBorders>
          </w:tcPr>
          <w:p w14:paraId="5C4105BE" w14:textId="77777777" w:rsidR="000E52B0" w:rsidRDefault="00F60D74">
            <w:pPr>
              <w:pStyle w:val="TableParagraph"/>
              <w:spacing w:before="1"/>
              <w:ind w:left="92" w:right="643"/>
              <w:rPr>
                <w:sz w:val="18"/>
              </w:rPr>
            </w:pPr>
            <w:r>
              <w:rPr>
                <w:spacing w:val="-2"/>
                <w:sz w:val="18"/>
              </w:rPr>
              <w:t>Sector salud.</w:t>
            </w:r>
          </w:p>
        </w:tc>
      </w:tr>
      <w:tr w:rsidR="000E52B0" w14:paraId="1F7D2A5E" w14:textId="77777777">
        <w:trPr>
          <w:trHeight w:val="3283"/>
        </w:trPr>
        <w:tc>
          <w:tcPr>
            <w:tcW w:w="1416" w:type="dxa"/>
            <w:tcBorders>
              <w:top w:val="single" w:sz="4" w:space="0" w:color="000000"/>
              <w:right w:val="single" w:sz="4" w:space="0" w:color="000000"/>
            </w:tcBorders>
          </w:tcPr>
          <w:p w14:paraId="47037C7B" w14:textId="77777777" w:rsidR="000E52B0" w:rsidRDefault="00F60D74">
            <w:pPr>
              <w:pStyle w:val="TableParagraph"/>
              <w:ind w:left="90" w:right="77"/>
              <w:rPr>
                <w:sz w:val="18"/>
              </w:rPr>
            </w:pPr>
            <w:r>
              <w:rPr>
                <w:spacing w:val="-2"/>
                <w:sz w:val="18"/>
              </w:rPr>
              <w:t xml:space="preserve">MINISTERIO </w:t>
            </w:r>
            <w:r>
              <w:rPr>
                <w:spacing w:val="-6"/>
                <w:sz w:val="18"/>
              </w:rPr>
              <w:t>DE</w:t>
            </w:r>
            <w:r>
              <w:rPr>
                <w:spacing w:val="40"/>
                <w:sz w:val="18"/>
              </w:rPr>
              <w:t xml:space="preserve"> </w:t>
            </w:r>
            <w:r>
              <w:rPr>
                <w:sz w:val="18"/>
              </w:rPr>
              <w:t>AMBIENTE</w:t>
            </w:r>
            <w:r>
              <w:rPr>
                <w:spacing w:val="75"/>
                <w:sz w:val="18"/>
              </w:rPr>
              <w:t xml:space="preserve"> </w:t>
            </w:r>
            <w:r>
              <w:rPr>
                <w:sz w:val="18"/>
              </w:rPr>
              <w:t xml:space="preserve">Y </w:t>
            </w:r>
            <w:r>
              <w:rPr>
                <w:spacing w:val="-2"/>
                <w:sz w:val="18"/>
              </w:rPr>
              <w:t>DESARROLLO SOSTENIBLE.</w:t>
            </w:r>
          </w:p>
          <w:p w14:paraId="6BCB5F89" w14:textId="77777777" w:rsidR="000E52B0" w:rsidRDefault="00F60D74">
            <w:pPr>
              <w:pStyle w:val="TableParagraph"/>
              <w:spacing w:line="219" w:lineRule="exact"/>
              <w:ind w:left="90"/>
              <w:rPr>
                <w:sz w:val="18"/>
              </w:rPr>
            </w:pPr>
            <w:r>
              <w:rPr>
                <w:sz w:val="18"/>
              </w:rPr>
              <w:t>Ley</w:t>
            </w:r>
            <w:r>
              <w:rPr>
                <w:spacing w:val="57"/>
                <w:sz w:val="18"/>
              </w:rPr>
              <w:t xml:space="preserve"> </w:t>
            </w:r>
            <w:r>
              <w:rPr>
                <w:sz w:val="18"/>
              </w:rPr>
              <w:t>1444</w:t>
            </w:r>
            <w:r>
              <w:rPr>
                <w:spacing w:val="56"/>
                <w:sz w:val="18"/>
              </w:rPr>
              <w:t xml:space="preserve"> </w:t>
            </w:r>
            <w:r>
              <w:rPr>
                <w:spacing w:val="-5"/>
                <w:sz w:val="18"/>
              </w:rPr>
              <w:t>de</w:t>
            </w:r>
          </w:p>
          <w:p w14:paraId="741CF756" w14:textId="77777777" w:rsidR="000E52B0" w:rsidRDefault="00F60D74">
            <w:pPr>
              <w:pStyle w:val="TableParagraph"/>
              <w:tabs>
                <w:tab w:val="left" w:pos="1222"/>
              </w:tabs>
              <w:spacing w:line="218" w:lineRule="exact"/>
              <w:ind w:left="90"/>
              <w:rPr>
                <w:sz w:val="18"/>
              </w:rPr>
            </w:pPr>
            <w:r>
              <w:rPr>
                <w:spacing w:val="-4"/>
                <w:sz w:val="18"/>
              </w:rPr>
              <w:t>2011</w:t>
            </w:r>
            <w:r>
              <w:rPr>
                <w:sz w:val="18"/>
              </w:rPr>
              <w:tab/>
            </w:r>
            <w:r>
              <w:rPr>
                <w:spacing w:val="-10"/>
                <w:sz w:val="18"/>
              </w:rPr>
              <w:t>y</w:t>
            </w:r>
          </w:p>
          <w:p w14:paraId="1649A617" w14:textId="77777777" w:rsidR="000E52B0" w:rsidRDefault="00F60D74">
            <w:pPr>
              <w:pStyle w:val="TableParagraph"/>
              <w:spacing w:line="218" w:lineRule="exact"/>
              <w:ind w:left="90"/>
              <w:rPr>
                <w:sz w:val="18"/>
              </w:rPr>
            </w:pPr>
            <w:r>
              <w:rPr>
                <w:sz w:val="18"/>
              </w:rPr>
              <w:t>Decreto</w:t>
            </w:r>
            <w:r>
              <w:rPr>
                <w:spacing w:val="8"/>
                <w:sz w:val="18"/>
              </w:rPr>
              <w:t xml:space="preserve"> </w:t>
            </w:r>
            <w:r>
              <w:rPr>
                <w:spacing w:val="-4"/>
                <w:sz w:val="18"/>
              </w:rPr>
              <w:t>3570</w:t>
            </w:r>
          </w:p>
          <w:p w14:paraId="22757FF9" w14:textId="77777777" w:rsidR="000E52B0" w:rsidRDefault="00F60D74">
            <w:pPr>
              <w:pStyle w:val="TableParagraph"/>
              <w:ind w:left="90"/>
              <w:rPr>
                <w:sz w:val="18"/>
              </w:rPr>
            </w:pPr>
            <w:r>
              <w:rPr>
                <w:sz w:val="18"/>
              </w:rPr>
              <w:t>de</w:t>
            </w:r>
            <w:r>
              <w:rPr>
                <w:spacing w:val="-1"/>
                <w:sz w:val="18"/>
              </w:rPr>
              <w:t xml:space="preserve"> </w:t>
            </w:r>
            <w:r>
              <w:rPr>
                <w:spacing w:val="-4"/>
                <w:sz w:val="18"/>
              </w:rPr>
              <w:t>2011</w:t>
            </w:r>
          </w:p>
        </w:tc>
        <w:tc>
          <w:tcPr>
            <w:tcW w:w="1601" w:type="dxa"/>
            <w:tcBorders>
              <w:top w:val="single" w:sz="4" w:space="0" w:color="000000"/>
              <w:left w:val="single" w:sz="4" w:space="0" w:color="000000"/>
              <w:right w:val="single" w:sz="4" w:space="0" w:color="000000"/>
            </w:tcBorders>
          </w:tcPr>
          <w:p w14:paraId="10BB2F1A" w14:textId="77777777" w:rsidR="000E52B0" w:rsidRDefault="00F60D74">
            <w:pPr>
              <w:pStyle w:val="TableParagraph"/>
              <w:tabs>
                <w:tab w:val="left" w:pos="1404"/>
              </w:tabs>
              <w:spacing w:line="218" w:lineRule="exact"/>
              <w:ind w:left="155"/>
              <w:rPr>
                <w:sz w:val="18"/>
              </w:rPr>
            </w:pPr>
            <w:r>
              <w:rPr>
                <w:spacing w:val="-2"/>
                <w:sz w:val="18"/>
              </w:rPr>
              <w:t>orientar</w:t>
            </w:r>
            <w:r>
              <w:rPr>
                <w:sz w:val="18"/>
              </w:rPr>
              <w:tab/>
            </w:r>
            <w:r>
              <w:rPr>
                <w:spacing w:val="-10"/>
                <w:sz w:val="18"/>
              </w:rPr>
              <w:t>y</w:t>
            </w:r>
          </w:p>
          <w:p w14:paraId="780AC265" w14:textId="77777777" w:rsidR="000E52B0" w:rsidRDefault="00F60D74">
            <w:pPr>
              <w:pStyle w:val="TableParagraph"/>
              <w:tabs>
                <w:tab w:val="left" w:pos="1243"/>
                <w:tab w:val="left" w:pos="1355"/>
              </w:tabs>
              <w:ind w:left="93" w:right="75"/>
              <w:rPr>
                <w:sz w:val="18"/>
              </w:rPr>
            </w:pPr>
            <w:r>
              <w:rPr>
                <w:spacing w:val="-2"/>
                <w:sz w:val="18"/>
              </w:rPr>
              <w:t>regular</w:t>
            </w:r>
            <w:r>
              <w:rPr>
                <w:sz w:val="18"/>
              </w:rPr>
              <w:tab/>
            </w:r>
            <w:r>
              <w:rPr>
                <w:sz w:val="18"/>
              </w:rPr>
              <w:tab/>
            </w:r>
            <w:r>
              <w:rPr>
                <w:spacing w:val="-6"/>
                <w:sz w:val="18"/>
              </w:rPr>
              <w:t xml:space="preserve">el </w:t>
            </w:r>
            <w:r>
              <w:rPr>
                <w:spacing w:val="-2"/>
                <w:sz w:val="18"/>
              </w:rPr>
              <w:t>ordenamiento ambiental</w:t>
            </w:r>
            <w:r>
              <w:rPr>
                <w:sz w:val="18"/>
              </w:rPr>
              <w:tab/>
            </w:r>
            <w:r>
              <w:rPr>
                <w:spacing w:val="-4"/>
                <w:sz w:val="18"/>
              </w:rPr>
              <w:t xml:space="preserve">del </w:t>
            </w:r>
            <w:r>
              <w:rPr>
                <w:sz w:val="18"/>
              </w:rPr>
              <w:t>territorio</w:t>
            </w:r>
            <w:r>
              <w:rPr>
                <w:spacing w:val="40"/>
                <w:sz w:val="18"/>
              </w:rPr>
              <w:t xml:space="preserve"> </w:t>
            </w:r>
            <w:r>
              <w:rPr>
                <w:sz w:val="18"/>
              </w:rPr>
              <w:t>y</w:t>
            </w:r>
            <w:r>
              <w:rPr>
                <w:spacing w:val="40"/>
                <w:sz w:val="18"/>
              </w:rPr>
              <w:t xml:space="preserve"> </w:t>
            </w:r>
            <w:r>
              <w:rPr>
                <w:sz w:val="18"/>
              </w:rPr>
              <w:t xml:space="preserve">de </w:t>
            </w:r>
            <w:r>
              <w:rPr>
                <w:spacing w:val="-2"/>
                <w:sz w:val="18"/>
              </w:rPr>
              <w:t>definir</w:t>
            </w:r>
            <w:r>
              <w:rPr>
                <w:sz w:val="18"/>
              </w:rPr>
              <w:tab/>
            </w:r>
            <w:r>
              <w:rPr>
                <w:spacing w:val="-46"/>
                <w:sz w:val="18"/>
              </w:rPr>
              <w:t xml:space="preserve"> </w:t>
            </w:r>
            <w:r>
              <w:rPr>
                <w:spacing w:val="-2"/>
                <w:sz w:val="18"/>
              </w:rPr>
              <w:t>las</w:t>
            </w:r>
          </w:p>
          <w:p w14:paraId="4FD0A79C" w14:textId="77777777" w:rsidR="000E52B0" w:rsidRDefault="00F60D74">
            <w:pPr>
              <w:pStyle w:val="TableParagraph"/>
              <w:ind w:left="93" w:right="73"/>
              <w:jc w:val="both"/>
              <w:rPr>
                <w:sz w:val="18"/>
              </w:rPr>
            </w:pPr>
            <w:r>
              <w:rPr>
                <w:sz w:val="18"/>
              </w:rPr>
              <w:t xml:space="preserve">políticas y regulaciones a </w:t>
            </w:r>
            <w:proofErr w:type="gramStart"/>
            <w:r>
              <w:rPr>
                <w:sz w:val="18"/>
              </w:rPr>
              <w:t>las</w:t>
            </w:r>
            <w:r>
              <w:rPr>
                <w:spacing w:val="62"/>
                <w:w w:val="150"/>
                <w:sz w:val="18"/>
              </w:rPr>
              <w:t xml:space="preserve">  </w:t>
            </w:r>
            <w:r>
              <w:rPr>
                <w:sz w:val="18"/>
              </w:rPr>
              <w:t>que</w:t>
            </w:r>
            <w:proofErr w:type="gramEnd"/>
            <w:r>
              <w:rPr>
                <w:spacing w:val="64"/>
                <w:w w:val="150"/>
                <w:sz w:val="18"/>
              </w:rPr>
              <w:t xml:space="preserve">  </w:t>
            </w:r>
            <w:r>
              <w:rPr>
                <w:spacing w:val="-5"/>
                <w:sz w:val="18"/>
              </w:rPr>
              <w:t>se</w:t>
            </w:r>
          </w:p>
          <w:p w14:paraId="12BADC86" w14:textId="77777777" w:rsidR="000E52B0" w:rsidRDefault="00F60D74">
            <w:pPr>
              <w:pStyle w:val="TableParagraph"/>
              <w:tabs>
                <w:tab w:val="left" w:pos="1354"/>
              </w:tabs>
              <w:ind w:left="93" w:right="75"/>
              <w:rPr>
                <w:sz w:val="18"/>
              </w:rPr>
            </w:pPr>
            <w:r>
              <w:rPr>
                <w:spacing w:val="-2"/>
                <w:sz w:val="18"/>
              </w:rPr>
              <w:t>sujetarán</w:t>
            </w:r>
            <w:r>
              <w:rPr>
                <w:sz w:val="18"/>
              </w:rPr>
              <w:tab/>
            </w:r>
            <w:r>
              <w:rPr>
                <w:spacing w:val="-6"/>
                <w:sz w:val="18"/>
              </w:rPr>
              <w:t xml:space="preserve">la </w:t>
            </w:r>
            <w:r>
              <w:rPr>
                <w:spacing w:val="-2"/>
                <w:sz w:val="18"/>
              </w:rPr>
              <w:t>recuperación, conservación, protección,</w:t>
            </w:r>
          </w:p>
          <w:p w14:paraId="25AAB3C8" w14:textId="77777777" w:rsidR="000E52B0" w:rsidRDefault="00F60D74">
            <w:pPr>
              <w:pStyle w:val="TableParagraph"/>
              <w:spacing w:line="218" w:lineRule="exact"/>
              <w:ind w:left="93"/>
              <w:rPr>
                <w:sz w:val="18"/>
              </w:rPr>
            </w:pPr>
            <w:r>
              <w:rPr>
                <w:spacing w:val="-2"/>
                <w:sz w:val="18"/>
              </w:rPr>
              <w:t xml:space="preserve">ordenamiento, </w:t>
            </w:r>
            <w:r>
              <w:rPr>
                <w:sz w:val="18"/>
              </w:rPr>
              <w:t>manejo,</w:t>
            </w:r>
            <w:r>
              <w:rPr>
                <w:spacing w:val="40"/>
                <w:sz w:val="18"/>
              </w:rPr>
              <w:t xml:space="preserve"> </w:t>
            </w:r>
            <w:r>
              <w:rPr>
                <w:sz w:val="18"/>
              </w:rPr>
              <w:t>uso</w:t>
            </w:r>
            <w:r>
              <w:rPr>
                <w:spacing w:val="40"/>
                <w:sz w:val="18"/>
              </w:rPr>
              <w:t xml:space="preserve"> </w:t>
            </w:r>
            <w:r>
              <w:rPr>
                <w:sz w:val="18"/>
              </w:rPr>
              <w:t>y</w:t>
            </w:r>
          </w:p>
        </w:tc>
        <w:tc>
          <w:tcPr>
            <w:tcW w:w="2647" w:type="dxa"/>
            <w:tcBorders>
              <w:top w:val="single" w:sz="4" w:space="0" w:color="000000"/>
              <w:left w:val="single" w:sz="4" w:space="0" w:color="000000"/>
              <w:right w:val="single" w:sz="4" w:space="0" w:color="000000"/>
            </w:tcBorders>
          </w:tcPr>
          <w:p w14:paraId="20BFD4DA" w14:textId="77777777" w:rsidR="000E52B0" w:rsidRDefault="00F60D74">
            <w:pPr>
              <w:pStyle w:val="TableParagraph"/>
              <w:tabs>
                <w:tab w:val="left" w:pos="997"/>
                <w:tab w:val="left" w:pos="1717"/>
              </w:tabs>
              <w:ind w:left="91" w:right="77"/>
              <w:jc w:val="both"/>
              <w:rPr>
                <w:sz w:val="18"/>
              </w:rPr>
            </w:pPr>
            <w:r>
              <w:rPr>
                <w:sz w:val="18"/>
              </w:rPr>
              <w:t xml:space="preserve">Diseñar y formular la </w:t>
            </w:r>
            <w:r>
              <w:rPr>
                <w:spacing w:val="-2"/>
                <w:sz w:val="18"/>
              </w:rPr>
              <w:t>política</w:t>
            </w:r>
            <w:r>
              <w:rPr>
                <w:spacing w:val="-10"/>
                <w:sz w:val="18"/>
              </w:rPr>
              <w:t xml:space="preserve"> </w:t>
            </w:r>
            <w:r>
              <w:rPr>
                <w:spacing w:val="-2"/>
                <w:sz w:val="18"/>
              </w:rPr>
              <w:t>nacional</w:t>
            </w:r>
            <w:r>
              <w:rPr>
                <w:spacing w:val="-9"/>
                <w:sz w:val="18"/>
              </w:rPr>
              <w:t xml:space="preserve"> </w:t>
            </w:r>
            <w:r>
              <w:rPr>
                <w:spacing w:val="-2"/>
                <w:sz w:val="18"/>
              </w:rPr>
              <w:t>en</w:t>
            </w:r>
            <w:r>
              <w:rPr>
                <w:spacing w:val="-9"/>
                <w:sz w:val="18"/>
              </w:rPr>
              <w:t xml:space="preserve"> </w:t>
            </w:r>
            <w:r>
              <w:rPr>
                <w:spacing w:val="-2"/>
                <w:sz w:val="18"/>
              </w:rPr>
              <w:t xml:space="preserve">relación </w:t>
            </w:r>
            <w:r>
              <w:rPr>
                <w:sz w:val="18"/>
              </w:rPr>
              <w:t xml:space="preserve">con el ambiente y los </w:t>
            </w:r>
            <w:r>
              <w:rPr>
                <w:spacing w:val="-2"/>
                <w:sz w:val="18"/>
              </w:rPr>
              <w:t>recursos</w:t>
            </w:r>
            <w:r>
              <w:rPr>
                <w:sz w:val="18"/>
              </w:rPr>
              <w:tab/>
            </w:r>
            <w:r>
              <w:rPr>
                <w:sz w:val="18"/>
              </w:rPr>
              <w:tab/>
            </w:r>
            <w:r>
              <w:rPr>
                <w:spacing w:val="-2"/>
                <w:sz w:val="18"/>
              </w:rPr>
              <w:t xml:space="preserve">naturales </w:t>
            </w:r>
            <w:r>
              <w:rPr>
                <w:sz w:val="18"/>
              </w:rPr>
              <w:t xml:space="preserve">renovables, y establecer las reglas y criterios de </w:t>
            </w:r>
            <w:r>
              <w:rPr>
                <w:spacing w:val="-2"/>
                <w:sz w:val="18"/>
              </w:rPr>
              <w:t>ordenamiento</w:t>
            </w:r>
            <w:r>
              <w:rPr>
                <w:spacing w:val="-10"/>
                <w:sz w:val="18"/>
              </w:rPr>
              <w:t xml:space="preserve"> </w:t>
            </w:r>
            <w:r>
              <w:rPr>
                <w:spacing w:val="-2"/>
                <w:sz w:val="18"/>
              </w:rPr>
              <w:t>ambiental</w:t>
            </w:r>
            <w:r>
              <w:rPr>
                <w:spacing w:val="-10"/>
                <w:sz w:val="18"/>
              </w:rPr>
              <w:t xml:space="preserve"> </w:t>
            </w:r>
            <w:r>
              <w:rPr>
                <w:spacing w:val="-2"/>
                <w:sz w:val="18"/>
              </w:rPr>
              <w:t xml:space="preserve">de </w:t>
            </w:r>
            <w:r>
              <w:rPr>
                <w:sz w:val="18"/>
              </w:rPr>
              <w:t>uso del territorio y de los mares adyacentes, para asegurar</w:t>
            </w:r>
            <w:r>
              <w:rPr>
                <w:spacing w:val="-16"/>
                <w:sz w:val="18"/>
              </w:rPr>
              <w:t xml:space="preserve"> </w:t>
            </w:r>
            <w:r>
              <w:rPr>
                <w:sz w:val="18"/>
              </w:rPr>
              <w:t>su</w:t>
            </w:r>
            <w:r>
              <w:rPr>
                <w:spacing w:val="-16"/>
                <w:sz w:val="18"/>
              </w:rPr>
              <w:t xml:space="preserve"> </w:t>
            </w:r>
            <w:r>
              <w:rPr>
                <w:sz w:val="18"/>
              </w:rPr>
              <w:t>conservación</w:t>
            </w:r>
            <w:r>
              <w:rPr>
                <w:spacing w:val="-16"/>
                <w:sz w:val="18"/>
              </w:rPr>
              <w:t xml:space="preserve"> </w:t>
            </w:r>
            <w:r>
              <w:rPr>
                <w:sz w:val="18"/>
              </w:rPr>
              <w:t xml:space="preserve">y </w:t>
            </w:r>
            <w:r>
              <w:rPr>
                <w:spacing w:val="-6"/>
                <w:sz w:val="18"/>
              </w:rPr>
              <w:t>el</w:t>
            </w:r>
            <w:r>
              <w:rPr>
                <w:sz w:val="18"/>
              </w:rPr>
              <w:tab/>
            </w:r>
            <w:r>
              <w:rPr>
                <w:spacing w:val="-2"/>
                <w:sz w:val="18"/>
              </w:rPr>
              <w:t xml:space="preserve">aprovechamiento </w:t>
            </w:r>
            <w:r>
              <w:rPr>
                <w:sz w:val="18"/>
              </w:rPr>
              <w:t>sostenible de los recursos naturales renovables y del ambiente.;</w:t>
            </w:r>
            <w:r>
              <w:rPr>
                <w:spacing w:val="74"/>
                <w:w w:val="150"/>
                <w:sz w:val="18"/>
              </w:rPr>
              <w:t xml:space="preserve">  </w:t>
            </w:r>
            <w:r>
              <w:rPr>
                <w:sz w:val="18"/>
              </w:rPr>
              <w:t>Diseñar</w:t>
            </w:r>
            <w:r>
              <w:rPr>
                <w:spacing w:val="73"/>
                <w:w w:val="150"/>
                <w:sz w:val="18"/>
              </w:rPr>
              <w:t xml:space="preserve">  </w:t>
            </w:r>
            <w:r>
              <w:rPr>
                <w:spacing w:val="-10"/>
                <w:sz w:val="18"/>
              </w:rPr>
              <w:t>y</w:t>
            </w:r>
          </w:p>
          <w:p w14:paraId="7A5576D3" w14:textId="77777777" w:rsidR="000E52B0" w:rsidRDefault="00F60D74">
            <w:pPr>
              <w:pStyle w:val="TableParagraph"/>
              <w:spacing w:line="201" w:lineRule="exact"/>
              <w:ind w:left="91"/>
              <w:jc w:val="both"/>
              <w:rPr>
                <w:sz w:val="18"/>
              </w:rPr>
            </w:pPr>
            <w:r>
              <w:rPr>
                <w:sz w:val="18"/>
              </w:rPr>
              <w:t>regular</w:t>
            </w:r>
            <w:r>
              <w:rPr>
                <w:spacing w:val="75"/>
                <w:sz w:val="18"/>
              </w:rPr>
              <w:t xml:space="preserve">   </w:t>
            </w:r>
            <w:r>
              <w:rPr>
                <w:sz w:val="18"/>
              </w:rPr>
              <w:t>las</w:t>
            </w:r>
            <w:r>
              <w:rPr>
                <w:spacing w:val="75"/>
                <w:sz w:val="18"/>
              </w:rPr>
              <w:t xml:space="preserve">   </w:t>
            </w:r>
            <w:r>
              <w:rPr>
                <w:spacing w:val="-2"/>
                <w:sz w:val="18"/>
              </w:rPr>
              <w:t>políticas</w:t>
            </w:r>
          </w:p>
        </w:tc>
        <w:tc>
          <w:tcPr>
            <w:tcW w:w="1985" w:type="dxa"/>
            <w:tcBorders>
              <w:top w:val="single" w:sz="4" w:space="0" w:color="000000"/>
              <w:left w:val="single" w:sz="4" w:space="0" w:color="000000"/>
              <w:right w:val="single" w:sz="4" w:space="0" w:color="000000"/>
            </w:tcBorders>
          </w:tcPr>
          <w:p w14:paraId="3BBC6F5E" w14:textId="77777777" w:rsidR="000E52B0" w:rsidRDefault="00F60D74">
            <w:pPr>
              <w:pStyle w:val="TableParagraph"/>
              <w:ind w:left="91" w:right="75"/>
              <w:jc w:val="both"/>
              <w:rPr>
                <w:sz w:val="18"/>
              </w:rPr>
            </w:pPr>
            <w:r>
              <w:rPr>
                <w:sz w:val="18"/>
              </w:rPr>
              <w:t>Derechos</w:t>
            </w:r>
            <w:r>
              <w:rPr>
                <w:spacing w:val="-16"/>
                <w:sz w:val="18"/>
              </w:rPr>
              <w:t xml:space="preserve"> </w:t>
            </w:r>
            <w:r>
              <w:rPr>
                <w:sz w:val="18"/>
              </w:rPr>
              <w:t>colectivos y del ambiente (Capítulo 3 C.P)</w:t>
            </w:r>
          </w:p>
          <w:p w14:paraId="47094695" w14:textId="77777777" w:rsidR="000E52B0" w:rsidRDefault="000E52B0">
            <w:pPr>
              <w:pStyle w:val="TableParagraph"/>
              <w:rPr>
                <w:sz w:val="18"/>
              </w:rPr>
            </w:pPr>
          </w:p>
          <w:p w14:paraId="49E5AF60" w14:textId="77777777" w:rsidR="000E52B0" w:rsidRDefault="00F60D74">
            <w:pPr>
              <w:pStyle w:val="TableParagraph"/>
              <w:spacing w:line="219" w:lineRule="exact"/>
              <w:ind w:left="91"/>
              <w:jc w:val="both"/>
              <w:rPr>
                <w:sz w:val="18"/>
              </w:rPr>
            </w:pPr>
            <w:r>
              <w:rPr>
                <w:sz w:val="18"/>
              </w:rPr>
              <w:t>Obligación</w:t>
            </w:r>
            <w:r>
              <w:rPr>
                <w:spacing w:val="65"/>
                <w:w w:val="150"/>
                <w:sz w:val="18"/>
              </w:rPr>
              <w:t xml:space="preserve">    </w:t>
            </w:r>
            <w:r>
              <w:rPr>
                <w:spacing w:val="-5"/>
                <w:sz w:val="18"/>
              </w:rPr>
              <w:t>de</w:t>
            </w:r>
          </w:p>
          <w:p w14:paraId="0B85C946" w14:textId="77777777" w:rsidR="000E52B0" w:rsidRDefault="00F60D74">
            <w:pPr>
              <w:pStyle w:val="TableParagraph"/>
              <w:tabs>
                <w:tab w:val="left" w:pos="1646"/>
              </w:tabs>
              <w:ind w:left="91" w:right="74"/>
              <w:jc w:val="both"/>
              <w:rPr>
                <w:sz w:val="18"/>
              </w:rPr>
            </w:pPr>
            <w:r>
              <w:rPr>
                <w:spacing w:val="-2"/>
                <w:sz w:val="18"/>
              </w:rPr>
              <w:t>proteger</w:t>
            </w:r>
            <w:r>
              <w:rPr>
                <w:sz w:val="18"/>
              </w:rPr>
              <w:tab/>
            </w:r>
            <w:r>
              <w:rPr>
                <w:spacing w:val="-4"/>
                <w:sz w:val="18"/>
              </w:rPr>
              <w:t xml:space="preserve">las </w:t>
            </w:r>
            <w:r>
              <w:rPr>
                <w:sz w:val="18"/>
              </w:rPr>
              <w:t>riquezas naturales (art. 2 C.P)</w:t>
            </w:r>
          </w:p>
          <w:p w14:paraId="26873C47" w14:textId="77777777" w:rsidR="000E52B0" w:rsidRDefault="00F60D74">
            <w:pPr>
              <w:pStyle w:val="TableParagraph"/>
              <w:spacing w:before="217"/>
              <w:ind w:left="91" w:right="75"/>
              <w:rPr>
                <w:sz w:val="18"/>
              </w:rPr>
            </w:pPr>
            <w:r>
              <w:rPr>
                <w:spacing w:val="-2"/>
                <w:sz w:val="18"/>
              </w:rPr>
              <w:t xml:space="preserve">Saneamiento </w:t>
            </w:r>
            <w:r>
              <w:rPr>
                <w:sz w:val="18"/>
              </w:rPr>
              <w:t>ambiental</w:t>
            </w:r>
            <w:r>
              <w:rPr>
                <w:spacing w:val="40"/>
                <w:sz w:val="18"/>
              </w:rPr>
              <w:t xml:space="preserve"> </w:t>
            </w:r>
            <w:r>
              <w:rPr>
                <w:sz w:val="18"/>
              </w:rPr>
              <w:t>(art.</w:t>
            </w:r>
            <w:r>
              <w:rPr>
                <w:spacing w:val="40"/>
                <w:sz w:val="18"/>
              </w:rPr>
              <w:t xml:space="preserve"> </w:t>
            </w:r>
            <w:r>
              <w:rPr>
                <w:sz w:val="18"/>
              </w:rPr>
              <w:t xml:space="preserve">49 </w:t>
            </w:r>
            <w:r>
              <w:rPr>
                <w:spacing w:val="-4"/>
                <w:sz w:val="18"/>
              </w:rPr>
              <w:t>C.P)</w:t>
            </w:r>
          </w:p>
        </w:tc>
        <w:tc>
          <w:tcPr>
            <w:tcW w:w="1337" w:type="dxa"/>
            <w:tcBorders>
              <w:top w:val="single" w:sz="4" w:space="0" w:color="000000"/>
              <w:left w:val="single" w:sz="4" w:space="0" w:color="000000"/>
            </w:tcBorders>
          </w:tcPr>
          <w:p w14:paraId="2D202BF6" w14:textId="77777777" w:rsidR="000E52B0" w:rsidRDefault="00F60D74">
            <w:pPr>
              <w:pStyle w:val="TableParagraph"/>
              <w:tabs>
                <w:tab w:val="left" w:pos="1030"/>
              </w:tabs>
              <w:ind w:left="92" w:right="72"/>
              <w:rPr>
                <w:sz w:val="18"/>
              </w:rPr>
            </w:pPr>
            <w:r>
              <w:rPr>
                <w:spacing w:val="-2"/>
                <w:sz w:val="18"/>
              </w:rPr>
              <w:t xml:space="preserve">Sector </w:t>
            </w:r>
            <w:proofErr w:type="spellStart"/>
            <w:r>
              <w:rPr>
                <w:spacing w:val="-2"/>
                <w:sz w:val="18"/>
              </w:rPr>
              <w:t>Administrati</w:t>
            </w:r>
            <w:proofErr w:type="spellEnd"/>
            <w:r>
              <w:rPr>
                <w:spacing w:val="-2"/>
                <w:sz w:val="18"/>
              </w:rPr>
              <w:t xml:space="preserve"> </w:t>
            </w:r>
            <w:proofErr w:type="spellStart"/>
            <w:r>
              <w:rPr>
                <w:spacing w:val="-5"/>
                <w:sz w:val="18"/>
              </w:rPr>
              <w:t>vo</w:t>
            </w:r>
            <w:proofErr w:type="spellEnd"/>
            <w:r>
              <w:rPr>
                <w:sz w:val="18"/>
              </w:rPr>
              <w:tab/>
            </w:r>
            <w:r>
              <w:rPr>
                <w:spacing w:val="-5"/>
                <w:sz w:val="18"/>
              </w:rPr>
              <w:t>de</w:t>
            </w:r>
          </w:p>
          <w:p w14:paraId="464350BD" w14:textId="77777777" w:rsidR="000E52B0" w:rsidRDefault="00F60D74">
            <w:pPr>
              <w:pStyle w:val="TableParagraph"/>
              <w:ind w:left="92" w:right="70"/>
              <w:rPr>
                <w:sz w:val="18"/>
              </w:rPr>
            </w:pPr>
            <w:r>
              <w:rPr>
                <w:sz w:val="18"/>
              </w:rPr>
              <w:t>Ambiente</w:t>
            </w:r>
            <w:r>
              <w:rPr>
                <w:spacing w:val="80"/>
                <w:sz w:val="18"/>
              </w:rPr>
              <w:t xml:space="preserve"> </w:t>
            </w:r>
            <w:r>
              <w:rPr>
                <w:sz w:val="18"/>
              </w:rPr>
              <w:t xml:space="preserve">y </w:t>
            </w:r>
            <w:r>
              <w:rPr>
                <w:spacing w:val="-2"/>
                <w:sz w:val="18"/>
              </w:rPr>
              <w:t>Desarrollo Sostenible</w:t>
            </w:r>
          </w:p>
        </w:tc>
      </w:tr>
    </w:tbl>
    <w:p w14:paraId="1FCF2B79" w14:textId="77777777" w:rsidR="000E52B0" w:rsidRDefault="000E52B0">
      <w:pPr>
        <w:pStyle w:val="TableParagraph"/>
        <w:rPr>
          <w:sz w:val="18"/>
        </w:rPr>
        <w:sectPr w:rsidR="000E52B0">
          <w:type w:val="continuous"/>
          <w:pgSz w:w="11910" w:h="16840"/>
          <w:pgMar w:top="1400" w:right="720" w:bottom="1180" w:left="720" w:header="0" w:footer="995" w:gutter="0"/>
          <w:cols w:space="720"/>
        </w:sectPr>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6"/>
        <w:gridCol w:w="1601"/>
        <w:gridCol w:w="2647"/>
        <w:gridCol w:w="1985"/>
        <w:gridCol w:w="1337"/>
      </w:tblGrid>
      <w:tr w:rsidR="000E52B0" w14:paraId="4BD6B325" w14:textId="77777777">
        <w:trPr>
          <w:trHeight w:val="875"/>
        </w:trPr>
        <w:tc>
          <w:tcPr>
            <w:tcW w:w="1416" w:type="dxa"/>
            <w:tcBorders>
              <w:bottom w:val="single" w:sz="4" w:space="0" w:color="000000"/>
              <w:right w:val="single" w:sz="4" w:space="0" w:color="000000"/>
            </w:tcBorders>
            <w:shd w:val="clear" w:color="auto" w:fill="D44673"/>
          </w:tcPr>
          <w:p w14:paraId="69C373D5" w14:textId="77777777" w:rsidR="000E52B0" w:rsidRDefault="000E52B0">
            <w:pPr>
              <w:pStyle w:val="TableParagraph"/>
              <w:spacing w:before="109"/>
              <w:rPr>
                <w:sz w:val="18"/>
              </w:rPr>
            </w:pPr>
          </w:p>
          <w:p w14:paraId="0A3F9909" w14:textId="77777777" w:rsidR="000E52B0" w:rsidRDefault="00F60D74">
            <w:pPr>
              <w:pStyle w:val="TableParagraph"/>
              <w:ind w:left="206"/>
              <w:rPr>
                <w:b/>
                <w:sz w:val="18"/>
              </w:rPr>
            </w:pPr>
            <w:r>
              <w:rPr>
                <w:b/>
                <w:color w:val="FFFFFF"/>
                <w:spacing w:val="-2"/>
                <w:sz w:val="18"/>
              </w:rPr>
              <w:t>Ministerio</w:t>
            </w:r>
          </w:p>
        </w:tc>
        <w:tc>
          <w:tcPr>
            <w:tcW w:w="1601" w:type="dxa"/>
            <w:tcBorders>
              <w:left w:val="single" w:sz="4" w:space="0" w:color="000000"/>
              <w:bottom w:val="single" w:sz="4" w:space="0" w:color="000000"/>
              <w:right w:val="single" w:sz="4" w:space="0" w:color="000000"/>
            </w:tcBorders>
            <w:shd w:val="clear" w:color="auto" w:fill="D44673"/>
          </w:tcPr>
          <w:p w14:paraId="44DE9BE7" w14:textId="77777777" w:rsidR="000E52B0" w:rsidRDefault="000E52B0">
            <w:pPr>
              <w:pStyle w:val="TableParagraph"/>
              <w:spacing w:before="109"/>
              <w:rPr>
                <w:sz w:val="18"/>
              </w:rPr>
            </w:pPr>
          </w:p>
          <w:p w14:paraId="2B0FB826" w14:textId="77777777" w:rsidR="000E52B0" w:rsidRDefault="00F60D74">
            <w:pPr>
              <w:pStyle w:val="TableParagraph"/>
              <w:ind w:left="374"/>
              <w:rPr>
                <w:b/>
                <w:sz w:val="18"/>
              </w:rPr>
            </w:pPr>
            <w:r>
              <w:rPr>
                <w:b/>
                <w:color w:val="FFFFFF"/>
                <w:spacing w:val="-2"/>
                <w:sz w:val="18"/>
              </w:rPr>
              <w:t>Objetivo</w:t>
            </w:r>
          </w:p>
        </w:tc>
        <w:tc>
          <w:tcPr>
            <w:tcW w:w="2647" w:type="dxa"/>
            <w:tcBorders>
              <w:left w:val="single" w:sz="4" w:space="0" w:color="000000"/>
              <w:bottom w:val="single" w:sz="4" w:space="0" w:color="000000"/>
              <w:right w:val="single" w:sz="4" w:space="0" w:color="000000"/>
            </w:tcBorders>
            <w:shd w:val="clear" w:color="auto" w:fill="D44673"/>
          </w:tcPr>
          <w:p w14:paraId="15184B5F" w14:textId="77777777" w:rsidR="000E52B0" w:rsidRDefault="000E52B0">
            <w:pPr>
              <w:pStyle w:val="TableParagraph"/>
              <w:spacing w:before="109"/>
              <w:rPr>
                <w:sz w:val="18"/>
              </w:rPr>
            </w:pPr>
          </w:p>
          <w:p w14:paraId="60102C83" w14:textId="77777777" w:rsidR="000E52B0" w:rsidRDefault="00F60D74">
            <w:pPr>
              <w:pStyle w:val="TableParagraph"/>
              <w:ind w:left="813"/>
              <w:rPr>
                <w:b/>
                <w:sz w:val="18"/>
              </w:rPr>
            </w:pPr>
            <w:r>
              <w:rPr>
                <w:b/>
                <w:color w:val="FFFFFF"/>
                <w:spacing w:val="-2"/>
                <w:sz w:val="18"/>
              </w:rPr>
              <w:t>Funciones</w:t>
            </w:r>
          </w:p>
        </w:tc>
        <w:tc>
          <w:tcPr>
            <w:tcW w:w="1985" w:type="dxa"/>
            <w:tcBorders>
              <w:left w:val="single" w:sz="4" w:space="0" w:color="000000"/>
              <w:bottom w:val="single" w:sz="4" w:space="0" w:color="000000"/>
              <w:right w:val="single" w:sz="4" w:space="0" w:color="000000"/>
            </w:tcBorders>
            <w:shd w:val="clear" w:color="auto" w:fill="D44673"/>
          </w:tcPr>
          <w:p w14:paraId="678895D9" w14:textId="77777777" w:rsidR="000E52B0" w:rsidRDefault="00F60D74">
            <w:pPr>
              <w:pStyle w:val="TableParagraph"/>
              <w:ind w:left="118" w:right="105" w:firstLine="1"/>
              <w:jc w:val="center"/>
              <w:rPr>
                <w:b/>
                <w:sz w:val="18"/>
              </w:rPr>
            </w:pPr>
            <w:r>
              <w:rPr>
                <w:b/>
                <w:color w:val="FFFFFF"/>
                <w:sz w:val="18"/>
              </w:rPr>
              <w:t>Derecho</w:t>
            </w:r>
            <w:r>
              <w:rPr>
                <w:b/>
                <w:color w:val="FFFFFF"/>
                <w:spacing w:val="-16"/>
                <w:sz w:val="18"/>
              </w:rPr>
              <w:t xml:space="preserve"> </w:t>
            </w:r>
            <w:r>
              <w:rPr>
                <w:b/>
                <w:color w:val="FFFFFF"/>
                <w:sz w:val="18"/>
              </w:rPr>
              <w:t>Humano o</w:t>
            </w:r>
            <w:r>
              <w:rPr>
                <w:b/>
                <w:color w:val="FFFFFF"/>
                <w:spacing w:val="-1"/>
                <w:sz w:val="18"/>
              </w:rPr>
              <w:t xml:space="preserve"> </w:t>
            </w:r>
            <w:r>
              <w:rPr>
                <w:b/>
                <w:color w:val="FFFFFF"/>
                <w:sz w:val="18"/>
              </w:rPr>
              <w:t>Fin</w:t>
            </w:r>
            <w:r>
              <w:rPr>
                <w:b/>
                <w:color w:val="FFFFFF"/>
                <w:spacing w:val="-3"/>
                <w:sz w:val="18"/>
              </w:rPr>
              <w:t xml:space="preserve"> </w:t>
            </w:r>
            <w:r>
              <w:rPr>
                <w:b/>
                <w:color w:val="FFFFFF"/>
                <w:sz w:val="18"/>
              </w:rPr>
              <w:t xml:space="preserve">Esencial </w:t>
            </w:r>
            <w:r>
              <w:rPr>
                <w:b/>
                <w:color w:val="FFFFFF"/>
                <w:spacing w:val="-5"/>
                <w:sz w:val="18"/>
              </w:rPr>
              <w:t>del</w:t>
            </w:r>
          </w:p>
          <w:p w14:paraId="7DE9941F" w14:textId="77777777" w:rsidR="000E52B0" w:rsidRDefault="00F60D74">
            <w:pPr>
              <w:pStyle w:val="TableParagraph"/>
              <w:spacing w:line="218" w:lineRule="exact"/>
              <w:ind w:left="12"/>
              <w:jc w:val="center"/>
              <w:rPr>
                <w:b/>
                <w:sz w:val="18"/>
              </w:rPr>
            </w:pPr>
            <w:r>
              <w:rPr>
                <w:b/>
                <w:color w:val="FFFFFF"/>
                <w:sz w:val="18"/>
              </w:rPr>
              <w:t>Estado</w:t>
            </w:r>
            <w:r>
              <w:rPr>
                <w:b/>
                <w:color w:val="FFFFFF"/>
                <w:spacing w:val="-16"/>
                <w:sz w:val="18"/>
              </w:rPr>
              <w:t xml:space="preserve"> </w:t>
            </w:r>
            <w:r>
              <w:rPr>
                <w:b/>
                <w:color w:val="FFFFFF"/>
                <w:sz w:val="18"/>
              </w:rPr>
              <w:t>al</w:t>
            </w:r>
            <w:r>
              <w:rPr>
                <w:b/>
                <w:color w:val="FFFFFF"/>
                <w:spacing w:val="-15"/>
                <w:sz w:val="18"/>
              </w:rPr>
              <w:t xml:space="preserve"> </w:t>
            </w:r>
            <w:r>
              <w:rPr>
                <w:b/>
                <w:color w:val="FFFFFF"/>
                <w:sz w:val="18"/>
              </w:rPr>
              <w:t xml:space="preserve">que </w:t>
            </w:r>
            <w:r>
              <w:rPr>
                <w:b/>
                <w:color w:val="FFFFFF"/>
                <w:spacing w:val="-2"/>
                <w:sz w:val="18"/>
              </w:rPr>
              <w:t>responde.</w:t>
            </w:r>
          </w:p>
        </w:tc>
        <w:tc>
          <w:tcPr>
            <w:tcW w:w="1337" w:type="dxa"/>
            <w:tcBorders>
              <w:left w:val="single" w:sz="4" w:space="0" w:color="000000"/>
              <w:bottom w:val="single" w:sz="4" w:space="0" w:color="000000"/>
            </w:tcBorders>
            <w:shd w:val="clear" w:color="auto" w:fill="D44673"/>
          </w:tcPr>
          <w:p w14:paraId="04E477DB" w14:textId="77777777" w:rsidR="000E52B0" w:rsidRDefault="00F60D74">
            <w:pPr>
              <w:pStyle w:val="TableParagraph"/>
              <w:spacing w:before="217" w:line="242" w:lineRule="auto"/>
              <w:ind w:left="579" w:right="91" w:hanging="473"/>
              <w:rPr>
                <w:b/>
                <w:sz w:val="18"/>
              </w:rPr>
            </w:pPr>
            <w:proofErr w:type="spellStart"/>
            <w:r>
              <w:rPr>
                <w:b/>
                <w:color w:val="FFFFFF"/>
                <w:spacing w:val="-2"/>
                <w:sz w:val="18"/>
              </w:rPr>
              <w:t>Competenc</w:t>
            </w:r>
            <w:proofErr w:type="spellEnd"/>
            <w:r>
              <w:rPr>
                <w:b/>
                <w:color w:val="FFFFFF"/>
                <w:spacing w:val="-2"/>
                <w:sz w:val="18"/>
              </w:rPr>
              <w:t xml:space="preserve"> </w:t>
            </w:r>
            <w:proofErr w:type="spellStart"/>
            <w:r>
              <w:rPr>
                <w:b/>
                <w:color w:val="FFFFFF"/>
                <w:spacing w:val="-6"/>
                <w:sz w:val="18"/>
              </w:rPr>
              <w:t>ia</w:t>
            </w:r>
            <w:proofErr w:type="spellEnd"/>
          </w:p>
        </w:tc>
      </w:tr>
      <w:tr w:rsidR="000E52B0" w14:paraId="4DDA9CBA" w14:textId="77777777">
        <w:trPr>
          <w:trHeight w:val="6348"/>
        </w:trPr>
        <w:tc>
          <w:tcPr>
            <w:tcW w:w="1416" w:type="dxa"/>
            <w:tcBorders>
              <w:top w:val="single" w:sz="4" w:space="0" w:color="000000"/>
              <w:bottom w:val="single" w:sz="4" w:space="0" w:color="000000"/>
              <w:right w:val="single" w:sz="4" w:space="0" w:color="000000"/>
            </w:tcBorders>
          </w:tcPr>
          <w:p w14:paraId="06A38130" w14:textId="77777777" w:rsidR="000E52B0" w:rsidRDefault="000E52B0">
            <w:pPr>
              <w:pStyle w:val="TableParagraph"/>
              <w:rPr>
                <w:rFonts w:ascii="Times New Roman"/>
                <w:sz w:val="18"/>
              </w:rPr>
            </w:pPr>
          </w:p>
        </w:tc>
        <w:tc>
          <w:tcPr>
            <w:tcW w:w="1601" w:type="dxa"/>
            <w:tcBorders>
              <w:top w:val="single" w:sz="4" w:space="0" w:color="000000"/>
              <w:left w:val="single" w:sz="4" w:space="0" w:color="000000"/>
              <w:bottom w:val="single" w:sz="4" w:space="0" w:color="000000"/>
              <w:right w:val="single" w:sz="4" w:space="0" w:color="000000"/>
            </w:tcBorders>
          </w:tcPr>
          <w:p w14:paraId="499FD3BF" w14:textId="77777777" w:rsidR="000E52B0" w:rsidRDefault="00F60D74">
            <w:pPr>
              <w:pStyle w:val="TableParagraph"/>
              <w:tabs>
                <w:tab w:val="left" w:pos="620"/>
                <w:tab w:val="left" w:pos="668"/>
                <w:tab w:val="left" w:pos="747"/>
                <w:tab w:val="left" w:pos="1404"/>
              </w:tabs>
              <w:spacing w:before="3"/>
              <w:ind w:left="93" w:right="75"/>
              <w:rPr>
                <w:sz w:val="18"/>
              </w:rPr>
            </w:pPr>
            <w:proofErr w:type="spellStart"/>
            <w:r>
              <w:rPr>
                <w:spacing w:val="-2"/>
                <w:sz w:val="18"/>
              </w:rPr>
              <w:t>aprovechamien</w:t>
            </w:r>
            <w:proofErr w:type="spellEnd"/>
            <w:r>
              <w:rPr>
                <w:spacing w:val="-2"/>
                <w:sz w:val="18"/>
              </w:rPr>
              <w:t xml:space="preserve"> </w:t>
            </w:r>
            <w:proofErr w:type="spellStart"/>
            <w:r>
              <w:rPr>
                <w:sz w:val="18"/>
              </w:rPr>
              <w:t>to</w:t>
            </w:r>
            <w:proofErr w:type="spellEnd"/>
            <w:r>
              <w:rPr>
                <w:spacing w:val="-16"/>
                <w:sz w:val="18"/>
              </w:rPr>
              <w:t xml:space="preserve"> </w:t>
            </w:r>
            <w:r>
              <w:rPr>
                <w:sz w:val="18"/>
              </w:rPr>
              <w:t>sostenible</w:t>
            </w:r>
            <w:r>
              <w:rPr>
                <w:spacing w:val="-16"/>
                <w:sz w:val="18"/>
              </w:rPr>
              <w:t xml:space="preserve"> </w:t>
            </w:r>
            <w:r>
              <w:rPr>
                <w:sz w:val="18"/>
              </w:rPr>
              <w:t xml:space="preserve">de </w:t>
            </w:r>
            <w:r>
              <w:rPr>
                <w:spacing w:val="-4"/>
                <w:sz w:val="18"/>
              </w:rPr>
              <w:t>los</w:t>
            </w:r>
            <w:r>
              <w:rPr>
                <w:sz w:val="18"/>
              </w:rPr>
              <w:tab/>
            </w:r>
            <w:r>
              <w:rPr>
                <w:sz w:val="18"/>
              </w:rPr>
              <w:tab/>
            </w:r>
            <w:r>
              <w:rPr>
                <w:sz w:val="18"/>
              </w:rPr>
              <w:tab/>
            </w:r>
            <w:r>
              <w:rPr>
                <w:spacing w:val="-2"/>
                <w:sz w:val="18"/>
              </w:rPr>
              <w:t>recursos naturales renovables</w:t>
            </w:r>
            <w:r>
              <w:rPr>
                <w:sz w:val="18"/>
              </w:rPr>
              <w:tab/>
            </w:r>
            <w:r>
              <w:rPr>
                <w:spacing w:val="-10"/>
                <w:sz w:val="18"/>
              </w:rPr>
              <w:t xml:space="preserve">y </w:t>
            </w:r>
            <w:r>
              <w:rPr>
                <w:spacing w:val="-4"/>
                <w:sz w:val="18"/>
              </w:rPr>
              <w:t>del</w:t>
            </w:r>
            <w:r>
              <w:rPr>
                <w:sz w:val="18"/>
              </w:rPr>
              <w:tab/>
            </w:r>
            <w:r>
              <w:rPr>
                <w:sz w:val="18"/>
              </w:rPr>
              <w:tab/>
            </w:r>
            <w:r>
              <w:rPr>
                <w:spacing w:val="-2"/>
                <w:sz w:val="18"/>
              </w:rPr>
              <w:t xml:space="preserve">ambiente </w:t>
            </w:r>
            <w:r>
              <w:rPr>
                <w:sz w:val="18"/>
              </w:rPr>
              <w:t xml:space="preserve">de la nación, a fin de asegurar </w:t>
            </w:r>
            <w:r>
              <w:rPr>
                <w:spacing w:val="-6"/>
                <w:sz w:val="18"/>
              </w:rPr>
              <w:t>el</w:t>
            </w:r>
            <w:r>
              <w:rPr>
                <w:sz w:val="18"/>
              </w:rPr>
              <w:tab/>
            </w:r>
            <w:r>
              <w:rPr>
                <w:spacing w:val="-2"/>
                <w:sz w:val="18"/>
              </w:rPr>
              <w:t xml:space="preserve">desarrollo </w:t>
            </w:r>
            <w:r>
              <w:rPr>
                <w:sz w:val="18"/>
              </w:rPr>
              <w:t>sostenible,</w:t>
            </w:r>
            <w:r>
              <w:rPr>
                <w:spacing w:val="80"/>
                <w:sz w:val="18"/>
              </w:rPr>
              <w:t xml:space="preserve"> </w:t>
            </w:r>
            <w:r>
              <w:rPr>
                <w:sz w:val="18"/>
              </w:rPr>
              <w:t xml:space="preserve">sin perjuicio de las </w:t>
            </w:r>
            <w:r>
              <w:rPr>
                <w:spacing w:val="-2"/>
                <w:sz w:val="18"/>
              </w:rPr>
              <w:t>funciones asignadas</w:t>
            </w:r>
            <w:r>
              <w:rPr>
                <w:sz w:val="18"/>
              </w:rPr>
              <w:tab/>
            </w:r>
            <w:r>
              <w:rPr>
                <w:spacing w:val="-10"/>
                <w:sz w:val="18"/>
              </w:rPr>
              <w:t xml:space="preserve">a </w:t>
            </w:r>
            <w:r>
              <w:rPr>
                <w:sz w:val="18"/>
              </w:rPr>
              <w:t>otros sectores</w:t>
            </w:r>
          </w:p>
        </w:tc>
        <w:tc>
          <w:tcPr>
            <w:tcW w:w="2647" w:type="dxa"/>
            <w:tcBorders>
              <w:top w:val="single" w:sz="4" w:space="0" w:color="000000"/>
              <w:left w:val="single" w:sz="4" w:space="0" w:color="000000"/>
              <w:bottom w:val="single" w:sz="4" w:space="0" w:color="000000"/>
              <w:right w:val="single" w:sz="4" w:space="0" w:color="000000"/>
            </w:tcBorders>
          </w:tcPr>
          <w:p w14:paraId="138B20E7" w14:textId="77777777" w:rsidR="000E52B0" w:rsidRDefault="00F60D74">
            <w:pPr>
              <w:pStyle w:val="TableParagraph"/>
              <w:tabs>
                <w:tab w:val="left" w:pos="439"/>
                <w:tab w:val="left" w:pos="556"/>
                <w:tab w:val="left" w:pos="1069"/>
                <w:tab w:val="left" w:pos="1481"/>
                <w:tab w:val="left" w:pos="1805"/>
                <w:tab w:val="left" w:pos="1842"/>
                <w:tab w:val="left" w:pos="2303"/>
                <w:tab w:val="left" w:pos="2400"/>
                <w:tab w:val="left" w:pos="2446"/>
              </w:tabs>
              <w:spacing w:before="3"/>
              <w:ind w:left="91" w:right="75"/>
              <w:rPr>
                <w:sz w:val="18"/>
              </w:rPr>
            </w:pPr>
            <w:r>
              <w:rPr>
                <w:sz w:val="18"/>
              </w:rPr>
              <w:t>públicas</w:t>
            </w:r>
            <w:r>
              <w:rPr>
                <w:spacing w:val="35"/>
                <w:sz w:val="18"/>
              </w:rPr>
              <w:t xml:space="preserve"> </w:t>
            </w:r>
            <w:r>
              <w:rPr>
                <w:sz w:val="18"/>
              </w:rPr>
              <w:t>y</w:t>
            </w:r>
            <w:r>
              <w:rPr>
                <w:spacing w:val="34"/>
                <w:sz w:val="18"/>
              </w:rPr>
              <w:t xml:space="preserve"> </w:t>
            </w:r>
            <w:r>
              <w:rPr>
                <w:sz w:val="18"/>
              </w:rPr>
              <w:t>las</w:t>
            </w:r>
            <w:r>
              <w:rPr>
                <w:spacing w:val="35"/>
                <w:sz w:val="18"/>
              </w:rPr>
              <w:t xml:space="preserve"> </w:t>
            </w:r>
            <w:r>
              <w:rPr>
                <w:sz w:val="18"/>
              </w:rPr>
              <w:t xml:space="preserve">condiciones </w:t>
            </w:r>
            <w:r>
              <w:rPr>
                <w:spacing w:val="-2"/>
                <w:sz w:val="18"/>
              </w:rPr>
              <w:t>generales</w:t>
            </w:r>
            <w:r>
              <w:rPr>
                <w:sz w:val="18"/>
              </w:rPr>
              <w:tab/>
            </w:r>
            <w:r>
              <w:rPr>
                <w:sz w:val="18"/>
              </w:rPr>
              <w:tab/>
            </w:r>
            <w:r>
              <w:rPr>
                <w:spacing w:val="-4"/>
                <w:sz w:val="18"/>
              </w:rPr>
              <w:t>para</w:t>
            </w:r>
            <w:r>
              <w:rPr>
                <w:sz w:val="18"/>
              </w:rPr>
              <w:tab/>
            </w:r>
            <w:r>
              <w:rPr>
                <w:sz w:val="18"/>
              </w:rPr>
              <w:tab/>
            </w:r>
            <w:r>
              <w:rPr>
                <w:spacing w:val="-6"/>
                <w:sz w:val="18"/>
              </w:rPr>
              <w:t xml:space="preserve">el </w:t>
            </w:r>
            <w:r>
              <w:rPr>
                <w:sz w:val="18"/>
              </w:rPr>
              <w:t>saneamiento</w:t>
            </w:r>
            <w:r>
              <w:rPr>
                <w:spacing w:val="-16"/>
                <w:sz w:val="18"/>
              </w:rPr>
              <w:t xml:space="preserve"> </w:t>
            </w:r>
            <w:r>
              <w:rPr>
                <w:sz w:val="18"/>
              </w:rPr>
              <w:t>del</w:t>
            </w:r>
            <w:r>
              <w:rPr>
                <w:spacing w:val="-16"/>
                <w:sz w:val="18"/>
              </w:rPr>
              <w:t xml:space="preserve"> </w:t>
            </w:r>
            <w:r>
              <w:rPr>
                <w:sz w:val="18"/>
              </w:rPr>
              <w:t xml:space="preserve">ambiente, </w:t>
            </w:r>
            <w:r>
              <w:rPr>
                <w:spacing w:val="-10"/>
                <w:sz w:val="18"/>
              </w:rPr>
              <w:t>y</w:t>
            </w:r>
            <w:r>
              <w:rPr>
                <w:sz w:val="18"/>
              </w:rPr>
              <w:tab/>
            </w:r>
            <w:r>
              <w:rPr>
                <w:sz w:val="18"/>
              </w:rPr>
              <w:tab/>
            </w:r>
            <w:r>
              <w:rPr>
                <w:spacing w:val="-6"/>
                <w:sz w:val="18"/>
              </w:rPr>
              <w:t>el</w:t>
            </w:r>
            <w:r>
              <w:rPr>
                <w:sz w:val="18"/>
              </w:rPr>
              <w:tab/>
            </w:r>
            <w:r>
              <w:rPr>
                <w:spacing w:val="-59"/>
                <w:sz w:val="18"/>
              </w:rPr>
              <w:t xml:space="preserve"> </w:t>
            </w:r>
            <w:r>
              <w:rPr>
                <w:spacing w:val="-2"/>
                <w:sz w:val="18"/>
              </w:rPr>
              <w:t>uso,</w:t>
            </w:r>
            <w:r>
              <w:rPr>
                <w:sz w:val="18"/>
              </w:rPr>
              <w:tab/>
            </w:r>
            <w:r>
              <w:rPr>
                <w:sz w:val="18"/>
              </w:rPr>
              <w:tab/>
            </w:r>
            <w:r>
              <w:rPr>
                <w:spacing w:val="-52"/>
                <w:sz w:val="18"/>
              </w:rPr>
              <w:t xml:space="preserve"> </w:t>
            </w:r>
            <w:r>
              <w:rPr>
                <w:spacing w:val="-2"/>
                <w:sz w:val="18"/>
              </w:rPr>
              <w:t xml:space="preserve">manejo, aprovechamiento, </w:t>
            </w:r>
            <w:r>
              <w:rPr>
                <w:sz w:val="18"/>
              </w:rPr>
              <w:t>conservación,</w:t>
            </w:r>
            <w:r>
              <w:rPr>
                <w:spacing w:val="4"/>
                <w:sz w:val="18"/>
              </w:rPr>
              <w:t xml:space="preserve"> </w:t>
            </w:r>
            <w:r>
              <w:rPr>
                <w:sz w:val="18"/>
              </w:rPr>
              <w:t xml:space="preserve">restauración </w:t>
            </w:r>
            <w:r>
              <w:rPr>
                <w:spacing w:val="-10"/>
                <w:sz w:val="18"/>
              </w:rPr>
              <w:t>y</w:t>
            </w:r>
            <w:r>
              <w:rPr>
                <w:sz w:val="18"/>
              </w:rPr>
              <w:tab/>
            </w:r>
            <w:r>
              <w:rPr>
                <w:spacing w:val="-2"/>
                <w:sz w:val="18"/>
              </w:rPr>
              <w:t>recuperación</w:t>
            </w:r>
            <w:r>
              <w:rPr>
                <w:sz w:val="18"/>
              </w:rPr>
              <w:tab/>
            </w:r>
            <w:r>
              <w:rPr>
                <w:sz w:val="18"/>
              </w:rPr>
              <w:tab/>
            </w:r>
            <w:r>
              <w:rPr>
                <w:spacing w:val="-6"/>
                <w:sz w:val="18"/>
              </w:rPr>
              <w:t>de</w:t>
            </w:r>
            <w:r>
              <w:rPr>
                <w:sz w:val="18"/>
              </w:rPr>
              <w:tab/>
            </w:r>
            <w:r>
              <w:rPr>
                <w:spacing w:val="-4"/>
                <w:sz w:val="18"/>
              </w:rPr>
              <w:t xml:space="preserve">los </w:t>
            </w:r>
            <w:r>
              <w:rPr>
                <w:sz w:val="18"/>
              </w:rPr>
              <w:t>recursos</w:t>
            </w:r>
            <w:r>
              <w:rPr>
                <w:spacing w:val="-14"/>
                <w:sz w:val="18"/>
              </w:rPr>
              <w:t xml:space="preserve"> </w:t>
            </w:r>
            <w:r>
              <w:rPr>
                <w:sz w:val="18"/>
              </w:rPr>
              <w:t>naturales,</w:t>
            </w:r>
            <w:r>
              <w:rPr>
                <w:spacing w:val="-13"/>
                <w:sz w:val="18"/>
              </w:rPr>
              <w:t xml:space="preserve"> </w:t>
            </w:r>
            <w:r>
              <w:rPr>
                <w:sz w:val="18"/>
              </w:rPr>
              <w:t>a</w:t>
            </w:r>
            <w:r>
              <w:rPr>
                <w:spacing w:val="-12"/>
                <w:sz w:val="18"/>
              </w:rPr>
              <w:t xml:space="preserve"> </w:t>
            </w:r>
            <w:r>
              <w:rPr>
                <w:sz w:val="18"/>
              </w:rPr>
              <w:t>fin</w:t>
            </w:r>
            <w:r>
              <w:rPr>
                <w:spacing w:val="-13"/>
                <w:sz w:val="18"/>
              </w:rPr>
              <w:t xml:space="preserve"> </w:t>
            </w:r>
            <w:r>
              <w:rPr>
                <w:sz w:val="18"/>
              </w:rPr>
              <w:t>de impedir, reprimir, eliminar o</w:t>
            </w:r>
            <w:r>
              <w:rPr>
                <w:spacing w:val="40"/>
                <w:sz w:val="18"/>
              </w:rPr>
              <w:t xml:space="preserve"> </w:t>
            </w:r>
            <w:r>
              <w:rPr>
                <w:sz w:val="18"/>
              </w:rPr>
              <w:t>mitigar</w:t>
            </w:r>
            <w:r>
              <w:rPr>
                <w:spacing w:val="40"/>
                <w:sz w:val="18"/>
              </w:rPr>
              <w:t xml:space="preserve"> </w:t>
            </w:r>
            <w:r>
              <w:rPr>
                <w:sz w:val="18"/>
              </w:rPr>
              <w:t>el</w:t>
            </w:r>
            <w:r>
              <w:rPr>
                <w:spacing w:val="40"/>
                <w:sz w:val="18"/>
              </w:rPr>
              <w:t xml:space="preserve"> </w:t>
            </w:r>
            <w:r>
              <w:rPr>
                <w:sz w:val="18"/>
              </w:rPr>
              <w:t>impacto</w:t>
            </w:r>
            <w:r>
              <w:rPr>
                <w:spacing w:val="40"/>
                <w:sz w:val="18"/>
              </w:rPr>
              <w:t xml:space="preserve"> </w:t>
            </w:r>
            <w:r>
              <w:rPr>
                <w:sz w:val="18"/>
              </w:rPr>
              <w:t>de actividades</w:t>
            </w:r>
            <w:r>
              <w:rPr>
                <w:spacing w:val="-16"/>
                <w:sz w:val="18"/>
              </w:rPr>
              <w:t xml:space="preserve"> </w:t>
            </w:r>
            <w:r>
              <w:rPr>
                <w:sz w:val="18"/>
              </w:rPr>
              <w:t xml:space="preserve">contaminantes, </w:t>
            </w:r>
            <w:proofErr w:type="spellStart"/>
            <w:r>
              <w:rPr>
                <w:spacing w:val="-2"/>
                <w:sz w:val="18"/>
              </w:rPr>
              <w:t>deteriorantes</w:t>
            </w:r>
            <w:proofErr w:type="spellEnd"/>
            <w:r>
              <w:rPr>
                <w:sz w:val="18"/>
              </w:rPr>
              <w:tab/>
            </w:r>
            <w:r>
              <w:rPr>
                <w:sz w:val="18"/>
              </w:rPr>
              <w:tab/>
            </w:r>
            <w:r>
              <w:rPr>
                <w:sz w:val="18"/>
              </w:rPr>
              <w:tab/>
            </w:r>
            <w:r>
              <w:rPr>
                <w:sz w:val="18"/>
              </w:rPr>
              <w:tab/>
            </w:r>
            <w:r>
              <w:rPr>
                <w:sz w:val="18"/>
              </w:rPr>
              <w:tab/>
            </w:r>
            <w:r>
              <w:rPr>
                <w:sz w:val="18"/>
              </w:rPr>
              <w:tab/>
            </w:r>
            <w:r>
              <w:rPr>
                <w:spacing w:val="-10"/>
                <w:sz w:val="18"/>
              </w:rPr>
              <w:t xml:space="preserve">o </w:t>
            </w:r>
            <w:r>
              <w:rPr>
                <w:sz w:val="18"/>
              </w:rPr>
              <w:t>destructivas del entorno o del</w:t>
            </w:r>
            <w:r>
              <w:rPr>
                <w:spacing w:val="23"/>
                <w:sz w:val="18"/>
              </w:rPr>
              <w:t xml:space="preserve"> </w:t>
            </w:r>
            <w:r>
              <w:rPr>
                <w:sz w:val="18"/>
              </w:rPr>
              <w:t>patrimonio</w:t>
            </w:r>
            <w:r>
              <w:rPr>
                <w:spacing w:val="23"/>
                <w:sz w:val="18"/>
              </w:rPr>
              <w:t xml:space="preserve"> </w:t>
            </w:r>
            <w:r>
              <w:rPr>
                <w:sz w:val="18"/>
              </w:rPr>
              <w:t xml:space="preserve">natural, en </w:t>
            </w:r>
            <w:r>
              <w:rPr>
                <w:spacing w:val="-2"/>
                <w:sz w:val="18"/>
              </w:rPr>
              <w:t>todos</w:t>
            </w:r>
            <w:r>
              <w:rPr>
                <w:sz w:val="18"/>
              </w:rPr>
              <w:tab/>
            </w:r>
            <w:r>
              <w:rPr>
                <w:spacing w:val="-4"/>
                <w:sz w:val="18"/>
              </w:rPr>
              <w:t>los</w:t>
            </w:r>
            <w:r>
              <w:rPr>
                <w:sz w:val="18"/>
              </w:rPr>
              <w:tab/>
            </w:r>
            <w:r>
              <w:rPr>
                <w:sz w:val="18"/>
              </w:rPr>
              <w:tab/>
            </w:r>
            <w:r>
              <w:rPr>
                <w:spacing w:val="-2"/>
                <w:sz w:val="18"/>
              </w:rPr>
              <w:t xml:space="preserve">sectores </w:t>
            </w:r>
            <w:r>
              <w:rPr>
                <w:sz w:val="18"/>
              </w:rPr>
              <w:t>económicos</w:t>
            </w:r>
            <w:r>
              <w:rPr>
                <w:spacing w:val="28"/>
                <w:sz w:val="18"/>
              </w:rPr>
              <w:t xml:space="preserve"> </w:t>
            </w:r>
            <w:r>
              <w:rPr>
                <w:sz w:val="18"/>
              </w:rPr>
              <w:t>y</w:t>
            </w:r>
            <w:r>
              <w:rPr>
                <w:spacing w:val="29"/>
                <w:sz w:val="18"/>
              </w:rPr>
              <w:t xml:space="preserve"> </w:t>
            </w:r>
            <w:r>
              <w:rPr>
                <w:spacing w:val="-2"/>
                <w:sz w:val="18"/>
              </w:rPr>
              <w:t>productivos.</w:t>
            </w:r>
          </w:p>
          <w:p w14:paraId="5B7A0194" w14:textId="77777777" w:rsidR="000E52B0" w:rsidRDefault="00F60D74">
            <w:pPr>
              <w:pStyle w:val="TableParagraph"/>
              <w:ind w:left="91" w:right="74"/>
              <w:jc w:val="both"/>
              <w:rPr>
                <w:sz w:val="18"/>
              </w:rPr>
            </w:pPr>
            <w:r>
              <w:rPr>
                <w:sz w:val="18"/>
              </w:rPr>
              <w:t>; Apoyar a los demás Ministerios y entidades estatales,</w:t>
            </w:r>
            <w:r>
              <w:rPr>
                <w:spacing w:val="-16"/>
                <w:sz w:val="18"/>
              </w:rPr>
              <w:t xml:space="preserve"> </w:t>
            </w:r>
            <w:r>
              <w:rPr>
                <w:sz w:val="18"/>
              </w:rPr>
              <w:t>en</w:t>
            </w:r>
            <w:r>
              <w:rPr>
                <w:spacing w:val="-16"/>
                <w:sz w:val="18"/>
              </w:rPr>
              <w:t xml:space="preserve"> </w:t>
            </w:r>
            <w:r>
              <w:rPr>
                <w:sz w:val="18"/>
              </w:rPr>
              <w:t>la</w:t>
            </w:r>
            <w:r>
              <w:rPr>
                <w:spacing w:val="-16"/>
                <w:sz w:val="18"/>
              </w:rPr>
              <w:t xml:space="preserve"> </w:t>
            </w:r>
            <w:r>
              <w:rPr>
                <w:sz w:val="18"/>
              </w:rPr>
              <w:t>formulación de</w:t>
            </w:r>
            <w:r>
              <w:rPr>
                <w:spacing w:val="-11"/>
                <w:sz w:val="18"/>
              </w:rPr>
              <w:t xml:space="preserve"> </w:t>
            </w:r>
            <w:r>
              <w:rPr>
                <w:sz w:val="18"/>
              </w:rPr>
              <w:t>las</w:t>
            </w:r>
            <w:r>
              <w:rPr>
                <w:spacing w:val="-12"/>
                <w:sz w:val="18"/>
              </w:rPr>
              <w:t xml:space="preserve"> </w:t>
            </w:r>
            <w:r>
              <w:rPr>
                <w:sz w:val="18"/>
              </w:rPr>
              <w:t>políticas</w:t>
            </w:r>
            <w:r>
              <w:rPr>
                <w:spacing w:val="-12"/>
                <w:sz w:val="18"/>
              </w:rPr>
              <w:t xml:space="preserve"> </w:t>
            </w:r>
            <w:r>
              <w:rPr>
                <w:sz w:val="18"/>
              </w:rPr>
              <w:t>públicas,</w:t>
            </w:r>
            <w:r>
              <w:rPr>
                <w:spacing w:val="-13"/>
                <w:sz w:val="18"/>
              </w:rPr>
              <w:t xml:space="preserve"> </w:t>
            </w:r>
            <w:r>
              <w:rPr>
                <w:sz w:val="18"/>
              </w:rPr>
              <w:t xml:space="preserve">de competencia de </w:t>
            </w:r>
            <w:proofErr w:type="gramStart"/>
            <w:r>
              <w:rPr>
                <w:sz w:val="18"/>
              </w:rPr>
              <w:t>los mismos</w:t>
            </w:r>
            <w:proofErr w:type="gramEnd"/>
            <w:r>
              <w:rPr>
                <w:sz w:val="18"/>
              </w:rPr>
              <w:t>, que tengan implicaciones de carácter ambiental y desarrollo sostenible.</w:t>
            </w:r>
            <w:r>
              <w:rPr>
                <w:spacing w:val="-6"/>
                <w:sz w:val="18"/>
              </w:rPr>
              <w:t xml:space="preserve"> </w:t>
            </w:r>
            <w:r>
              <w:rPr>
                <w:sz w:val="18"/>
              </w:rPr>
              <w:t>y</w:t>
            </w:r>
            <w:r>
              <w:rPr>
                <w:spacing w:val="-6"/>
                <w:sz w:val="18"/>
              </w:rPr>
              <w:t xml:space="preserve"> </w:t>
            </w:r>
            <w:r>
              <w:rPr>
                <w:sz w:val="18"/>
              </w:rPr>
              <w:t>establecer</w:t>
            </w:r>
            <w:r>
              <w:rPr>
                <w:spacing w:val="-6"/>
                <w:sz w:val="18"/>
              </w:rPr>
              <w:t xml:space="preserve"> </w:t>
            </w:r>
            <w:r>
              <w:rPr>
                <w:sz w:val="18"/>
              </w:rPr>
              <w:t>los criterios ambientales que deben</w:t>
            </w:r>
            <w:r>
              <w:rPr>
                <w:spacing w:val="15"/>
                <w:sz w:val="18"/>
              </w:rPr>
              <w:t xml:space="preserve"> </w:t>
            </w:r>
            <w:r>
              <w:rPr>
                <w:sz w:val="18"/>
              </w:rPr>
              <w:t>ser</w:t>
            </w:r>
            <w:r>
              <w:rPr>
                <w:spacing w:val="17"/>
                <w:sz w:val="18"/>
              </w:rPr>
              <w:t xml:space="preserve"> </w:t>
            </w:r>
            <w:r>
              <w:rPr>
                <w:sz w:val="18"/>
              </w:rPr>
              <w:t>incorporados</w:t>
            </w:r>
            <w:r>
              <w:rPr>
                <w:spacing w:val="16"/>
                <w:sz w:val="18"/>
              </w:rPr>
              <w:t xml:space="preserve"> </w:t>
            </w:r>
            <w:r>
              <w:rPr>
                <w:spacing w:val="-5"/>
                <w:sz w:val="18"/>
              </w:rPr>
              <w:t>en</w:t>
            </w:r>
          </w:p>
          <w:p w14:paraId="729B656D" w14:textId="77777777" w:rsidR="000E52B0" w:rsidRDefault="00F60D74">
            <w:pPr>
              <w:pStyle w:val="TableParagraph"/>
              <w:spacing w:line="220" w:lineRule="atLeast"/>
              <w:ind w:left="91" w:right="79"/>
              <w:jc w:val="both"/>
              <w:rPr>
                <w:sz w:val="18"/>
              </w:rPr>
            </w:pPr>
            <w:r>
              <w:rPr>
                <w:sz w:val="18"/>
              </w:rPr>
              <w:t>esta formulación de las políticas sectoriales.</w:t>
            </w:r>
          </w:p>
        </w:tc>
        <w:tc>
          <w:tcPr>
            <w:tcW w:w="1985" w:type="dxa"/>
            <w:tcBorders>
              <w:top w:val="single" w:sz="4" w:space="0" w:color="000000"/>
              <w:left w:val="single" w:sz="4" w:space="0" w:color="000000"/>
              <w:bottom w:val="single" w:sz="4" w:space="0" w:color="000000"/>
              <w:right w:val="single" w:sz="4" w:space="0" w:color="000000"/>
            </w:tcBorders>
          </w:tcPr>
          <w:p w14:paraId="4E8EFE8F" w14:textId="77777777" w:rsidR="000E52B0" w:rsidRDefault="000E52B0">
            <w:pPr>
              <w:pStyle w:val="TableParagraph"/>
              <w:rPr>
                <w:rFonts w:ascii="Times New Roman"/>
                <w:sz w:val="18"/>
              </w:rPr>
            </w:pPr>
          </w:p>
        </w:tc>
        <w:tc>
          <w:tcPr>
            <w:tcW w:w="1337" w:type="dxa"/>
            <w:tcBorders>
              <w:top w:val="single" w:sz="4" w:space="0" w:color="000000"/>
              <w:left w:val="single" w:sz="4" w:space="0" w:color="000000"/>
              <w:bottom w:val="single" w:sz="4" w:space="0" w:color="000000"/>
            </w:tcBorders>
          </w:tcPr>
          <w:p w14:paraId="5EC88672" w14:textId="77777777" w:rsidR="000E52B0" w:rsidRDefault="000E52B0">
            <w:pPr>
              <w:pStyle w:val="TableParagraph"/>
              <w:rPr>
                <w:rFonts w:ascii="Times New Roman"/>
                <w:sz w:val="18"/>
              </w:rPr>
            </w:pPr>
          </w:p>
        </w:tc>
      </w:tr>
      <w:tr w:rsidR="000E52B0" w14:paraId="1E71D6BE" w14:textId="77777777">
        <w:trPr>
          <w:trHeight w:val="6563"/>
        </w:trPr>
        <w:tc>
          <w:tcPr>
            <w:tcW w:w="1416" w:type="dxa"/>
            <w:tcBorders>
              <w:top w:val="single" w:sz="4" w:space="0" w:color="000000"/>
              <w:right w:val="single" w:sz="4" w:space="0" w:color="000000"/>
            </w:tcBorders>
          </w:tcPr>
          <w:p w14:paraId="56BB7930" w14:textId="77777777" w:rsidR="000E52B0" w:rsidRDefault="00F60D74">
            <w:pPr>
              <w:pStyle w:val="TableParagraph"/>
              <w:ind w:left="90"/>
              <w:rPr>
                <w:sz w:val="18"/>
              </w:rPr>
            </w:pPr>
            <w:r>
              <w:rPr>
                <w:spacing w:val="-2"/>
                <w:sz w:val="18"/>
              </w:rPr>
              <w:t xml:space="preserve">MINISTERIO </w:t>
            </w:r>
            <w:r>
              <w:rPr>
                <w:sz w:val="18"/>
              </w:rPr>
              <w:t>DE</w:t>
            </w:r>
            <w:r>
              <w:rPr>
                <w:spacing w:val="23"/>
                <w:sz w:val="18"/>
              </w:rPr>
              <w:t xml:space="preserve"> </w:t>
            </w:r>
            <w:r>
              <w:rPr>
                <w:spacing w:val="-2"/>
                <w:sz w:val="18"/>
              </w:rPr>
              <w:t>TRABAJO.</w:t>
            </w:r>
          </w:p>
          <w:p w14:paraId="71251CAC" w14:textId="77777777" w:rsidR="000E52B0" w:rsidRDefault="00F60D74">
            <w:pPr>
              <w:pStyle w:val="TableParagraph"/>
              <w:spacing w:line="218" w:lineRule="exact"/>
              <w:ind w:left="90"/>
              <w:rPr>
                <w:sz w:val="18"/>
              </w:rPr>
            </w:pPr>
            <w:r>
              <w:rPr>
                <w:sz w:val="18"/>
              </w:rPr>
              <w:t>Decreto</w:t>
            </w:r>
            <w:r>
              <w:rPr>
                <w:spacing w:val="8"/>
                <w:sz w:val="18"/>
              </w:rPr>
              <w:t xml:space="preserve"> </w:t>
            </w:r>
            <w:r>
              <w:rPr>
                <w:spacing w:val="-4"/>
                <w:sz w:val="18"/>
              </w:rPr>
              <w:t>4108</w:t>
            </w:r>
          </w:p>
          <w:p w14:paraId="37C9E473" w14:textId="77777777" w:rsidR="000E52B0" w:rsidRDefault="00F60D74">
            <w:pPr>
              <w:pStyle w:val="TableParagraph"/>
              <w:ind w:left="90"/>
              <w:rPr>
                <w:sz w:val="18"/>
              </w:rPr>
            </w:pPr>
            <w:r>
              <w:rPr>
                <w:sz w:val="18"/>
              </w:rPr>
              <w:t>de</w:t>
            </w:r>
            <w:r>
              <w:rPr>
                <w:spacing w:val="-1"/>
                <w:sz w:val="18"/>
              </w:rPr>
              <w:t xml:space="preserve"> </w:t>
            </w:r>
            <w:r>
              <w:rPr>
                <w:spacing w:val="-4"/>
                <w:sz w:val="18"/>
              </w:rPr>
              <w:t>2011</w:t>
            </w:r>
          </w:p>
        </w:tc>
        <w:tc>
          <w:tcPr>
            <w:tcW w:w="1601" w:type="dxa"/>
            <w:tcBorders>
              <w:top w:val="single" w:sz="4" w:space="0" w:color="000000"/>
              <w:left w:val="single" w:sz="4" w:space="0" w:color="000000"/>
              <w:right w:val="single" w:sz="4" w:space="0" w:color="000000"/>
            </w:tcBorders>
          </w:tcPr>
          <w:p w14:paraId="574DF441" w14:textId="77777777" w:rsidR="000E52B0" w:rsidRDefault="00F60D74">
            <w:pPr>
              <w:pStyle w:val="TableParagraph"/>
              <w:tabs>
                <w:tab w:val="left" w:pos="1405"/>
              </w:tabs>
              <w:ind w:left="93" w:right="75"/>
              <w:rPr>
                <w:sz w:val="18"/>
              </w:rPr>
            </w:pPr>
            <w:r>
              <w:rPr>
                <w:spacing w:val="-2"/>
                <w:sz w:val="18"/>
              </w:rPr>
              <w:t>formulación</w:t>
            </w:r>
            <w:r>
              <w:rPr>
                <w:sz w:val="18"/>
              </w:rPr>
              <w:tab/>
            </w:r>
            <w:r>
              <w:rPr>
                <w:spacing w:val="-63"/>
                <w:sz w:val="18"/>
              </w:rPr>
              <w:t xml:space="preserve"> </w:t>
            </w:r>
            <w:r>
              <w:rPr>
                <w:spacing w:val="-10"/>
                <w:sz w:val="18"/>
              </w:rPr>
              <w:t xml:space="preserve">y </w:t>
            </w:r>
            <w:r>
              <w:rPr>
                <w:sz w:val="18"/>
              </w:rPr>
              <w:t>adopción</w:t>
            </w:r>
            <w:r>
              <w:rPr>
                <w:spacing w:val="-11"/>
                <w:sz w:val="18"/>
              </w:rPr>
              <w:t xml:space="preserve"> </w:t>
            </w:r>
            <w:r>
              <w:rPr>
                <w:sz w:val="18"/>
              </w:rPr>
              <w:t>de</w:t>
            </w:r>
            <w:r>
              <w:rPr>
                <w:spacing w:val="-12"/>
                <w:sz w:val="18"/>
              </w:rPr>
              <w:t xml:space="preserve"> </w:t>
            </w:r>
            <w:r>
              <w:rPr>
                <w:sz w:val="18"/>
              </w:rPr>
              <w:t xml:space="preserve">las </w:t>
            </w:r>
            <w:r>
              <w:rPr>
                <w:spacing w:val="-2"/>
                <w:sz w:val="18"/>
              </w:rPr>
              <w:t>políticas,</w:t>
            </w:r>
            <w:r>
              <w:rPr>
                <w:spacing w:val="80"/>
                <w:sz w:val="18"/>
              </w:rPr>
              <w:t xml:space="preserve"> </w:t>
            </w:r>
            <w:r>
              <w:rPr>
                <w:spacing w:val="-2"/>
                <w:sz w:val="18"/>
              </w:rPr>
              <w:t>planes generales, programas</w:t>
            </w:r>
            <w:r>
              <w:rPr>
                <w:sz w:val="18"/>
              </w:rPr>
              <w:tab/>
            </w:r>
            <w:r>
              <w:rPr>
                <w:spacing w:val="-10"/>
                <w:sz w:val="18"/>
              </w:rPr>
              <w:t xml:space="preserve">y </w:t>
            </w:r>
            <w:r>
              <w:rPr>
                <w:sz w:val="18"/>
              </w:rPr>
              <w:t>proyectos</w:t>
            </w:r>
            <w:r>
              <w:rPr>
                <w:spacing w:val="34"/>
                <w:sz w:val="18"/>
              </w:rPr>
              <w:t xml:space="preserve"> </w:t>
            </w:r>
            <w:r>
              <w:rPr>
                <w:sz w:val="18"/>
              </w:rPr>
              <w:t>para el</w:t>
            </w:r>
            <w:r>
              <w:rPr>
                <w:spacing w:val="80"/>
                <w:sz w:val="18"/>
              </w:rPr>
              <w:t xml:space="preserve"> </w:t>
            </w:r>
            <w:r>
              <w:rPr>
                <w:sz w:val="18"/>
              </w:rPr>
              <w:t>trabajo,</w:t>
            </w:r>
            <w:r>
              <w:rPr>
                <w:spacing w:val="80"/>
                <w:sz w:val="18"/>
              </w:rPr>
              <w:t xml:space="preserve"> </w:t>
            </w:r>
            <w:r>
              <w:rPr>
                <w:sz w:val="18"/>
              </w:rPr>
              <w:t xml:space="preserve">el respeto por los </w:t>
            </w:r>
            <w:r>
              <w:rPr>
                <w:spacing w:val="-2"/>
                <w:sz w:val="18"/>
              </w:rPr>
              <w:t xml:space="preserve">derechos fundamentales, </w:t>
            </w:r>
            <w:r>
              <w:rPr>
                <w:sz w:val="18"/>
              </w:rPr>
              <w:t>las</w:t>
            </w:r>
            <w:r>
              <w:rPr>
                <w:spacing w:val="-16"/>
                <w:sz w:val="18"/>
              </w:rPr>
              <w:t xml:space="preserve"> </w:t>
            </w:r>
            <w:r>
              <w:rPr>
                <w:sz w:val="18"/>
              </w:rPr>
              <w:t>garantías</w:t>
            </w:r>
            <w:r>
              <w:rPr>
                <w:spacing w:val="-16"/>
                <w:sz w:val="18"/>
              </w:rPr>
              <w:t xml:space="preserve"> </w:t>
            </w:r>
            <w:r>
              <w:rPr>
                <w:sz w:val="18"/>
              </w:rPr>
              <w:t xml:space="preserve">de </w:t>
            </w:r>
            <w:r>
              <w:rPr>
                <w:spacing w:val="-4"/>
                <w:sz w:val="18"/>
              </w:rPr>
              <w:t xml:space="preserve">los </w:t>
            </w:r>
            <w:r>
              <w:rPr>
                <w:spacing w:val="-2"/>
                <w:sz w:val="18"/>
              </w:rPr>
              <w:t>trabajadores,</w:t>
            </w:r>
            <w:r>
              <w:rPr>
                <w:spacing w:val="-14"/>
                <w:sz w:val="18"/>
              </w:rPr>
              <w:t xml:space="preserve"> </w:t>
            </w:r>
            <w:r>
              <w:rPr>
                <w:spacing w:val="-2"/>
                <w:sz w:val="18"/>
              </w:rPr>
              <w:t>el fortalecimiento</w:t>
            </w:r>
          </w:p>
          <w:p w14:paraId="64A051B4" w14:textId="77777777" w:rsidR="000E52B0" w:rsidRDefault="00F60D74">
            <w:pPr>
              <w:pStyle w:val="TableParagraph"/>
              <w:tabs>
                <w:tab w:val="left" w:pos="1291"/>
                <w:tab w:val="left" w:pos="1405"/>
              </w:tabs>
              <w:ind w:left="93" w:right="75"/>
              <w:rPr>
                <w:sz w:val="18"/>
              </w:rPr>
            </w:pPr>
            <w:r>
              <w:rPr>
                <w:sz w:val="18"/>
              </w:rPr>
              <w:t>,</w:t>
            </w:r>
            <w:r>
              <w:rPr>
                <w:spacing w:val="40"/>
                <w:sz w:val="18"/>
              </w:rPr>
              <w:t xml:space="preserve"> </w:t>
            </w:r>
            <w:r>
              <w:rPr>
                <w:sz w:val="18"/>
              </w:rPr>
              <w:t>promoción</w:t>
            </w:r>
            <w:r>
              <w:rPr>
                <w:spacing w:val="40"/>
                <w:sz w:val="18"/>
              </w:rPr>
              <w:t xml:space="preserve"> </w:t>
            </w:r>
            <w:r>
              <w:rPr>
                <w:sz w:val="18"/>
              </w:rPr>
              <w:t xml:space="preserve">y </w:t>
            </w:r>
            <w:r>
              <w:rPr>
                <w:spacing w:val="-2"/>
                <w:sz w:val="18"/>
              </w:rPr>
              <w:t>protección</w:t>
            </w:r>
            <w:r>
              <w:rPr>
                <w:sz w:val="18"/>
              </w:rPr>
              <w:tab/>
            </w:r>
            <w:r>
              <w:rPr>
                <w:spacing w:val="-6"/>
                <w:sz w:val="18"/>
              </w:rPr>
              <w:t xml:space="preserve">de </w:t>
            </w:r>
            <w:r>
              <w:rPr>
                <w:sz w:val="18"/>
              </w:rPr>
              <w:t>las</w:t>
            </w:r>
            <w:r>
              <w:rPr>
                <w:spacing w:val="40"/>
                <w:sz w:val="18"/>
              </w:rPr>
              <w:t xml:space="preserve"> </w:t>
            </w:r>
            <w:r>
              <w:rPr>
                <w:sz w:val="18"/>
              </w:rPr>
              <w:t>actividades de la economía solidaria</w:t>
            </w:r>
            <w:r>
              <w:rPr>
                <w:spacing w:val="80"/>
                <w:sz w:val="18"/>
              </w:rPr>
              <w:t xml:space="preserve"> </w:t>
            </w:r>
            <w:r>
              <w:rPr>
                <w:sz w:val="18"/>
              </w:rPr>
              <w:t>y</w:t>
            </w:r>
            <w:r>
              <w:rPr>
                <w:spacing w:val="80"/>
                <w:sz w:val="18"/>
              </w:rPr>
              <w:t xml:space="preserve"> </w:t>
            </w:r>
            <w:r>
              <w:rPr>
                <w:sz w:val="18"/>
              </w:rPr>
              <w:t xml:space="preserve">el </w:t>
            </w:r>
            <w:r>
              <w:rPr>
                <w:spacing w:val="-2"/>
                <w:sz w:val="18"/>
              </w:rPr>
              <w:t>trabajo</w:t>
            </w:r>
            <w:r>
              <w:rPr>
                <w:spacing w:val="40"/>
                <w:sz w:val="18"/>
              </w:rPr>
              <w:t xml:space="preserve"> </w:t>
            </w:r>
            <w:r>
              <w:rPr>
                <w:spacing w:val="-2"/>
                <w:sz w:val="18"/>
              </w:rPr>
              <w:t>decente,</w:t>
            </w:r>
            <w:r>
              <w:rPr>
                <w:sz w:val="18"/>
              </w:rPr>
              <w:tab/>
            </w:r>
            <w:r>
              <w:rPr>
                <w:sz w:val="18"/>
              </w:rPr>
              <w:tab/>
            </w:r>
            <w:r>
              <w:rPr>
                <w:spacing w:val="-10"/>
                <w:sz w:val="18"/>
              </w:rPr>
              <w:t>a</w:t>
            </w:r>
          </w:p>
          <w:p w14:paraId="756B5C66" w14:textId="77777777" w:rsidR="000E52B0" w:rsidRDefault="00F60D74">
            <w:pPr>
              <w:pStyle w:val="TableParagraph"/>
              <w:tabs>
                <w:tab w:val="left" w:pos="1282"/>
                <w:tab w:val="left" w:pos="1405"/>
              </w:tabs>
              <w:ind w:left="93" w:right="76"/>
              <w:rPr>
                <w:sz w:val="18"/>
              </w:rPr>
            </w:pPr>
            <w:r>
              <w:rPr>
                <w:spacing w:val="-2"/>
                <w:sz w:val="18"/>
              </w:rPr>
              <w:t>través</w:t>
            </w:r>
            <w:r>
              <w:rPr>
                <w:sz w:val="18"/>
              </w:rPr>
              <w:tab/>
            </w:r>
            <w:r>
              <w:rPr>
                <w:spacing w:val="-6"/>
                <w:sz w:val="18"/>
              </w:rPr>
              <w:t xml:space="preserve">un </w:t>
            </w:r>
            <w:r>
              <w:rPr>
                <w:spacing w:val="-2"/>
                <w:sz w:val="18"/>
              </w:rPr>
              <w:t>sistema</w:t>
            </w:r>
            <w:r>
              <w:rPr>
                <w:spacing w:val="40"/>
                <w:sz w:val="18"/>
              </w:rPr>
              <w:t xml:space="preserve"> </w:t>
            </w:r>
            <w:r>
              <w:rPr>
                <w:spacing w:val="-2"/>
                <w:sz w:val="18"/>
              </w:rPr>
              <w:t>efectivo</w:t>
            </w:r>
            <w:r>
              <w:rPr>
                <w:sz w:val="18"/>
              </w:rPr>
              <w:tab/>
            </w:r>
            <w:r>
              <w:rPr>
                <w:spacing w:val="-52"/>
                <w:sz w:val="18"/>
              </w:rPr>
              <w:t xml:space="preserve"> </w:t>
            </w:r>
            <w:r>
              <w:rPr>
                <w:spacing w:val="-4"/>
                <w:sz w:val="18"/>
              </w:rPr>
              <w:t xml:space="preserve">de </w:t>
            </w:r>
            <w:r>
              <w:rPr>
                <w:spacing w:val="-2"/>
                <w:sz w:val="18"/>
              </w:rPr>
              <w:t>vigilancia, información, registro, inspección</w:t>
            </w:r>
            <w:r>
              <w:rPr>
                <w:sz w:val="18"/>
              </w:rPr>
              <w:tab/>
            </w:r>
            <w:r>
              <w:rPr>
                <w:sz w:val="18"/>
              </w:rPr>
              <w:tab/>
            </w:r>
            <w:r>
              <w:rPr>
                <w:spacing w:val="-10"/>
                <w:sz w:val="18"/>
              </w:rPr>
              <w:t>y</w:t>
            </w:r>
          </w:p>
          <w:p w14:paraId="32C4B87B" w14:textId="77777777" w:rsidR="000E52B0" w:rsidRDefault="00F60D74">
            <w:pPr>
              <w:pStyle w:val="TableParagraph"/>
              <w:tabs>
                <w:tab w:val="left" w:pos="1260"/>
              </w:tabs>
              <w:spacing w:line="199" w:lineRule="exact"/>
              <w:ind w:left="93"/>
              <w:rPr>
                <w:sz w:val="18"/>
              </w:rPr>
            </w:pPr>
            <w:r>
              <w:rPr>
                <w:spacing w:val="-2"/>
                <w:sz w:val="18"/>
              </w:rPr>
              <w:t>control;</w:t>
            </w:r>
            <w:r>
              <w:rPr>
                <w:sz w:val="18"/>
              </w:rPr>
              <w:tab/>
            </w:r>
            <w:r>
              <w:rPr>
                <w:spacing w:val="-5"/>
                <w:sz w:val="18"/>
              </w:rPr>
              <w:t>así</w:t>
            </w:r>
          </w:p>
        </w:tc>
        <w:tc>
          <w:tcPr>
            <w:tcW w:w="2647" w:type="dxa"/>
            <w:tcBorders>
              <w:top w:val="single" w:sz="4" w:space="0" w:color="000000"/>
              <w:left w:val="single" w:sz="4" w:space="0" w:color="000000"/>
              <w:right w:val="single" w:sz="4" w:space="0" w:color="000000"/>
            </w:tcBorders>
          </w:tcPr>
          <w:p w14:paraId="3FE6113D" w14:textId="77777777" w:rsidR="000E52B0" w:rsidRDefault="00F60D74">
            <w:pPr>
              <w:pStyle w:val="TableParagraph"/>
              <w:ind w:left="91" w:right="75"/>
              <w:jc w:val="both"/>
              <w:rPr>
                <w:sz w:val="18"/>
              </w:rPr>
            </w:pPr>
            <w:r>
              <w:rPr>
                <w:sz w:val="18"/>
              </w:rPr>
              <w:t>Formular,</w:t>
            </w:r>
            <w:r>
              <w:rPr>
                <w:spacing w:val="-8"/>
                <w:sz w:val="18"/>
              </w:rPr>
              <w:t xml:space="preserve"> </w:t>
            </w:r>
            <w:r>
              <w:rPr>
                <w:sz w:val="18"/>
              </w:rPr>
              <w:t>dirigir,</w:t>
            </w:r>
            <w:r>
              <w:rPr>
                <w:spacing w:val="-8"/>
                <w:sz w:val="18"/>
              </w:rPr>
              <w:t xml:space="preserve"> </w:t>
            </w:r>
            <w:r>
              <w:rPr>
                <w:sz w:val="18"/>
              </w:rPr>
              <w:t>coordinar y evaluar la política social en materia de trabajo y empleo, pensiones y otras prestaciones; Definir, dirigir, coordinar y evaluar las políticas que permitan hacer efectivos los principios de solidaridad, universalidad, eficiencia, unidad, integralidad y equidad de género y social en los temas de trabajo y empleo;</w:t>
            </w:r>
            <w:r>
              <w:rPr>
                <w:spacing w:val="-4"/>
                <w:sz w:val="18"/>
              </w:rPr>
              <w:t xml:space="preserve"> </w:t>
            </w:r>
            <w:r>
              <w:rPr>
                <w:sz w:val="18"/>
              </w:rPr>
              <w:t>Formular,</w:t>
            </w:r>
            <w:r>
              <w:rPr>
                <w:spacing w:val="-5"/>
                <w:sz w:val="18"/>
              </w:rPr>
              <w:t xml:space="preserve"> </w:t>
            </w:r>
            <w:r>
              <w:rPr>
                <w:sz w:val="18"/>
              </w:rPr>
              <w:t>dirigir</w:t>
            </w:r>
            <w:r>
              <w:rPr>
                <w:spacing w:val="-4"/>
                <w:sz w:val="18"/>
              </w:rPr>
              <w:t xml:space="preserve"> </w:t>
            </w:r>
            <w:r>
              <w:rPr>
                <w:sz w:val="18"/>
              </w:rPr>
              <w:t>y evaluar la política de generación de empleo e incremento del nivel de empleabilidad de la población, especialmente</w:t>
            </w:r>
            <w:r>
              <w:rPr>
                <w:spacing w:val="40"/>
                <w:sz w:val="18"/>
              </w:rPr>
              <w:t xml:space="preserve"> </w:t>
            </w:r>
            <w:r>
              <w:rPr>
                <w:sz w:val="18"/>
              </w:rPr>
              <w:t>la población en condición de vulnerabilidad, en coordinación con otras entidades competentes.</w:t>
            </w:r>
          </w:p>
        </w:tc>
        <w:tc>
          <w:tcPr>
            <w:tcW w:w="1985" w:type="dxa"/>
            <w:tcBorders>
              <w:top w:val="single" w:sz="4" w:space="0" w:color="000000"/>
              <w:left w:val="single" w:sz="4" w:space="0" w:color="000000"/>
              <w:right w:val="single" w:sz="4" w:space="0" w:color="000000"/>
            </w:tcBorders>
          </w:tcPr>
          <w:p w14:paraId="783020BB" w14:textId="77777777" w:rsidR="000E52B0" w:rsidRDefault="00F60D74">
            <w:pPr>
              <w:pStyle w:val="TableParagraph"/>
              <w:ind w:left="91" w:right="77"/>
              <w:jc w:val="both"/>
              <w:rPr>
                <w:sz w:val="18"/>
              </w:rPr>
            </w:pPr>
            <w:r>
              <w:rPr>
                <w:sz w:val="18"/>
              </w:rPr>
              <w:t>Derecho al trabajo (art. 25 C.P)</w:t>
            </w:r>
          </w:p>
          <w:p w14:paraId="6964A263" w14:textId="77777777" w:rsidR="000E52B0" w:rsidRDefault="00F60D74">
            <w:pPr>
              <w:pStyle w:val="TableParagraph"/>
              <w:spacing w:before="218"/>
              <w:ind w:left="91" w:right="77"/>
              <w:jc w:val="both"/>
              <w:rPr>
                <w:sz w:val="18"/>
              </w:rPr>
            </w:pPr>
            <w:r>
              <w:rPr>
                <w:sz w:val="18"/>
              </w:rPr>
              <w:t xml:space="preserve">Libre asociación sindical (art. 39 </w:t>
            </w:r>
            <w:r>
              <w:rPr>
                <w:spacing w:val="-4"/>
                <w:sz w:val="18"/>
              </w:rPr>
              <w:t>C.P)</w:t>
            </w:r>
          </w:p>
          <w:p w14:paraId="54B6A4ED" w14:textId="77777777" w:rsidR="000E52B0" w:rsidRDefault="000E52B0">
            <w:pPr>
              <w:pStyle w:val="TableParagraph"/>
              <w:rPr>
                <w:sz w:val="18"/>
              </w:rPr>
            </w:pPr>
          </w:p>
          <w:p w14:paraId="7DE206B0" w14:textId="77777777" w:rsidR="000E52B0" w:rsidRDefault="00F60D74">
            <w:pPr>
              <w:pStyle w:val="TableParagraph"/>
              <w:spacing w:before="1"/>
              <w:ind w:left="91" w:right="76"/>
              <w:jc w:val="both"/>
              <w:rPr>
                <w:sz w:val="18"/>
              </w:rPr>
            </w:pPr>
            <w:r>
              <w:rPr>
                <w:sz w:val="18"/>
              </w:rPr>
              <w:t>Condiciones del estatuto de trabajo (art. 53 C.P)</w:t>
            </w:r>
          </w:p>
          <w:p w14:paraId="63279209" w14:textId="77777777" w:rsidR="000E52B0" w:rsidRDefault="00F60D74">
            <w:pPr>
              <w:pStyle w:val="TableParagraph"/>
              <w:spacing w:before="217"/>
              <w:ind w:left="91" w:right="76"/>
              <w:jc w:val="both"/>
              <w:rPr>
                <w:sz w:val="18"/>
              </w:rPr>
            </w:pPr>
            <w:r>
              <w:rPr>
                <w:sz w:val="18"/>
              </w:rPr>
              <w:t>Ubicación laboral (art. 54 C.P)</w:t>
            </w:r>
          </w:p>
        </w:tc>
        <w:tc>
          <w:tcPr>
            <w:tcW w:w="1337" w:type="dxa"/>
            <w:tcBorders>
              <w:top w:val="single" w:sz="4" w:space="0" w:color="000000"/>
              <w:left w:val="single" w:sz="4" w:space="0" w:color="000000"/>
            </w:tcBorders>
          </w:tcPr>
          <w:p w14:paraId="001A461B" w14:textId="77777777" w:rsidR="000E52B0" w:rsidRDefault="00F60D74">
            <w:pPr>
              <w:pStyle w:val="TableParagraph"/>
              <w:tabs>
                <w:tab w:val="left" w:pos="979"/>
              </w:tabs>
              <w:ind w:left="92" w:right="72"/>
              <w:rPr>
                <w:sz w:val="18"/>
              </w:rPr>
            </w:pPr>
            <w:r>
              <w:rPr>
                <w:spacing w:val="-2"/>
                <w:sz w:val="18"/>
              </w:rPr>
              <w:t xml:space="preserve">Sector </w:t>
            </w:r>
            <w:proofErr w:type="spellStart"/>
            <w:r>
              <w:rPr>
                <w:spacing w:val="-2"/>
                <w:sz w:val="18"/>
              </w:rPr>
              <w:t>Administrati</w:t>
            </w:r>
            <w:proofErr w:type="spellEnd"/>
            <w:r>
              <w:rPr>
                <w:spacing w:val="-2"/>
                <w:sz w:val="18"/>
              </w:rPr>
              <w:t xml:space="preserve"> </w:t>
            </w:r>
            <w:proofErr w:type="spellStart"/>
            <w:r>
              <w:rPr>
                <w:spacing w:val="-5"/>
                <w:sz w:val="18"/>
              </w:rPr>
              <w:t>vo</w:t>
            </w:r>
            <w:proofErr w:type="spellEnd"/>
            <w:r>
              <w:rPr>
                <w:sz w:val="18"/>
              </w:rPr>
              <w:tab/>
            </w:r>
            <w:r>
              <w:rPr>
                <w:spacing w:val="-5"/>
                <w:sz w:val="18"/>
              </w:rPr>
              <w:t>del</w:t>
            </w:r>
          </w:p>
          <w:p w14:paraId="0B001D54" w14:textId="77777777" w:rsidR="000E52B0" w:rsidRDefault="00F60D74">
            <w:pPr>
              <w:pStyle w:val="TableParagraph"/>
              <w:spacing w:line="218" w:lineRule="exact"/>
              <w:ind w:left="92"/>
              <w:rPr>
                <w:sz w:val="18"/>
              </w:rPr>
            </w:pPr>
            <w:r>
              <w:rPr>
                <w:spacing w:val="-2"/>
                <w:sz w:val="18"/>
              </w:rPr>
              <w:t>trabajo</w:t>
            </w:r>
          </w:p>
        </w:tc>
      </w:tr>
    </w:tbl>
    <w:p w14:paraId="1047F3DC" w14:textId="77777777" w:rsidR="000E52B0" w:rsidRDefault="000E52B0">
      <w:pPr>
        <w:pStyle w:val="TableParagraph"/>
        <w:spacing w:line="218" w:lineRule="exact"/>
        <w:rPr>
          <w:sz w:val="18"/>
        </w:rPr>
        <w:sectPr w:rsidR="000E52B0">
          <w:type w:val="continuous"/>
          <w:pgSz w:w="11910" w:h="16840"/>
          <w:pgMar w:top="1400" w:right="720" w:bottom="1180" w:left="720" w:header="0" w:footer="995" w:gutter="0"/>
          <w:cols w:space="720"/>
        </w:sectPr>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6"/>
        <w:gridCol w:w="1601"/>
        <w:gridCol w:w="2647"/>
        <w:gridCol w:w="1985"/>
        <w:gridCol w:w="1337"/>
      </w:tblGrid>
      <w:tr w:rsidR="000E52B0" w14:paraId="03522087" w14:textId="77777777">
        <w:trPr>
          <w:trHeight w:val="875"/>
        </w:trPr>
        <w:tc>
          <w:tcPr>
            <w:tcW w:w="1416" w:type="dxa"/>
            <w:tcBorders>
              <w:bottom w:val="single" w:sz="4" w:space="0" w:color="000000"/>
              <w:right w:val="single" w:sz="4" w:space="0" w:color="000000"/>
            </w:tcBorders>
            <w:shd w:val="clear" w:color="auto" w:fill="D44673"/>
          </w:tcPr>
          <w:p w14:paraId="3362F608" w14:textId="77777777" w:rsidR="000E52B0" w:rsidRDefault="000E52B0">
            <w:pPr>
              <w:pStyle w:val="TableParagraph"/>
              <w:spacing w:before="109"/>
              <w:rPr>
                <w:sz w:val="18"/>
              </w:rPr>
            </w:pPr>
          </w:p>
          <w:p w14:paraId="76856E74" w14:textId="77777777" w:rsidR="000E52B0" w:rsidRDefault="00F60D74">
            <w:pPr>
              <w:pStyle w:val="TableParagraph"/>
              <w:ind w:left="206"/>
              <w:rPr>
                <w:b/>
                <w:sz w:val="18"/>
              </w:rPr>
            </w:pPr>
            <w:r>
              <w:rPr>
                <w:b/>
                <w:color w:val="FFFFFF"/>
                <w:spacing w:val="-2"/>
                <w:sz w:val="18"/>
              </w:rPr>
              <w:t>Ministerio</w:t>
            </w:r>
          </w:p>
        </w:tc>
        <w:tc>
          <w:tcPr>
            <w:tcW w:w="1601" w:type="dxa"/>
            <w:tcBorders>
              <w:left w:val="single" w:sz="4" w:space="0" w:color="000000"/>
              <w:bottom w:val="single" w:sz="4" w:space="0" w:color="000000"/>
              <w:right w:val="single" w:sz="4" w:space="0" w:color="000000"/>
            </w:tcBorders>
            <w:shd w:val="clear" w:color="auto" w:fill="D44673"/>
          </w:tcPr>
          <w:p w14:paraId="77EB3CA7" w14:textId="77777777" w:rsidR="000E52B0" w:rsidRDefault="000E52B0">
            <w:pPr>
              <w:pStyle w:val="TableParagraph"/>
              <w:spacing w:before="109"/>
              <w:rPr>
                <w:sz w:val="18"/>
              </w:rPr>
            </w:pPr>
          </w:p>
          <w:p w14:paraId="1682D978" w14:textId="77777777" w:rsidR="000E52B0" w:rsidRDefault="00F60D74">
            <w:pPr>
              <w:pStyle w:val="TableParagraph"/>
              <w:ind w:left="374"/>
              <w:rPr>
                <w:b/>
                <w:sz w:val="18"/>
              </w:rPr>
            </w:pPr>
            <w:r>
              <w:rPr>
                <w:b/>
                <w:color w:val="FFFFFF"/>
                <w:spacing w:val="-2"/>
                <w:sz w:val="18"/>
              </w:rPr>
              <w:t>Objetivo</w:t>
            </w:r>
          </w:p>
        </w:tc>
        <w:tc>
          <w:tcPr>
            <w:tcW w:w="2647" w:type="dxa"/>
            <w:tcBorders>
              <w:left w:val="single" w:sz="4" w:space="0" w:color="000000"/>
              <w:bottom w:val="single" w:sz="4" w:space="0" w:color="000000"/>
              <w:right w:val="single" w:sz="4" w:space="0" w:color="000000"/>
            </w:tcBorders>
            <w:shd w:val="clear" w:color="auto" w:fill="D44673"/>
          </w:tcPr>
          <w:p w14:paraId="34DD7B61" w14:textId="77777777" w:rsidR="000E52B0" w:rsidRDefault="000E52B0">
            <w:pPr>
              <w:pStyle w:val="TableParagraph"/>
              <w:spacing w:before="109"/>
              <w:rPr>
                <w:sz w:val="18"/>
              </w:rPr>
            </w:pPr>
          </w:p>
          <w:p w14:paraId="2FD30737" w14:textId="77777777" w:rsidR="000E52B0" w:rsidRDefault="00F60D74">
            <w:pPr>
              <w:pStyle w:val="TableParagraph"/>
              <w:ind w:left="813"/>
              <w:rPr>
                <w:b/>
                <w:sz w:val="18"/>
              </w:rPr>
            </w:pPr>
            <w:r>
              <w:rPr>
                <w:b/>
                <w:color w:val="FFFFFF"/>
                <w:spacing w:val="-2"/>
                <w:sz w:val="18"/>
              </w:rPr>
              <w:t>Funciones</w:t>
            </w:r>
          </w:p>
        </w:tc>
        <w:tc>
          <w:tcPr>
            <w:tcW w:w="1985" w:type="dxa"/>
            <w:tcBorders>
              <w:left w:val="single" w:sz="4" w:space="0" w:color="000000"/>
              <w:bottom w:val="single" w:sz="4" w:space="0" w:color="000000"/>
              <w:right w:val="single" w:sz="4" w:space="0" w:color="000000"/>
            </w:tcBorders>
            <w:shd w:val="clear" w:color="auto" w:fill="D44673"/>
          </w:tcPr>
          <w:p w14:paraId="4DC88DB0" w14:textId="77777777" w:rsidR="000E52B0" w:rsidRDefault="00F60D74">
            <w:pPr>
              <w:pStyle w:val="TableParagraph"/>
              <w:ind w:left="118" w:right="105" w:firstLine="1"/>
              <w:jc w:val="center"/>
              <w:rPr>
                <w:b/>
                <w:sz w:val="18"/>
              </w:rPr>
            </w:pPr>
            <w:r>
              <w:rPr>
                <w:b/>
                <w:color w:val="FFFFFF"/>
                <w:sz w:val="18"/>
              </w:rPr>
              <w:t>Derecho</w:t>
            </w:r>
            <w:r>
              <w:rPr>
                <w:b/>
                <w:color w:val="FFFFFF"/>
                <w:spacing w:val="-16"/>
                <w:sz w:val="18"/>
              </w:rPr>
              <w:t xml:space="preserve"> </w:t>
            </w:r>
            <w:r>
              <w:rPr>
                <w:b/>
                <w:color w:val="FFFFFF"/>
                <w:sz w:val="18"/>
              </w:rPr>
              <w:t>Humano o</w:t>
            </w:r>
            <w:r>
              <w:rPr>
                <w:b/>
                <w:color w:val="FFFFFF"/>
                <w:spacing w:val="-1"/>
                <w:sz w:val="18"/>
              </w:rPr>
              <w:t xml:space="preserve"> </w:t>
            </w:r>
            <w:r>
              <w:rPr>
                <w:b/>
                <w:color w:val="FFFFFF"/>
                <w:sz w:val="18"/>
              </w:rPr>
              <w:t>Fin</w:t>
            </w:r>
            <w:r>
              <w:rPr>
                <w:b/>
                <w:color w:val="FFFFFF"/>
                <w:spacing w:val="-3"/>
                <w:sz w:val="18"/>
              </w:rPr>
              <w:t xml:space="preserve"> </w:t>
            </w:r>
            <w:r>
              <w:rPr>
                <w:b/>
                <w:color w:val="FFFFFF"/>
                <w:sz w:val="18"/>
              </w:rPr>
              <w:t xml:space="preserve">Esencial </w:t>
            </w:r>
            <w:r>
              <w:rPr>
                <w:b/>
                <w:color w:val="FFFFFF"/>
                <w:spacing w:val="-5"/>
                <w:sz w:val="18"/>
              </w:rPr>
              <w:t>del</w:t>
            </w:r>
          </w:p>
          <w:p w14:paraId="21F0886F" w14:textId="77777777" w:rsidR="000E52B0" w:rsidRDefault="00F60D74">
            <w:pPr>
              <w:pStyle w:val="TableParagraph"/>
              <w:spacing w:line="218" w:lineRule="exact"/>
              <w:ind w:left="12"/>
              <w:jc w:val="center"/>
              <w:rPr>
                <w:b/>
                <w:sz w:val="18"/>
              </w:rPr>
            </w:pPr>
            <w:r>
              <w:rPr>
                <w:b/>
                <w:color w:val="FFFFFF"/>
                <w:sz w:val="18"/>
              </w:rPr>
              <w:t>Estado</w:t>
            </w:r>
            <w:r>
              <w:rPr>
                <w:b/>
                <w:color w:val="FFFFFF"/>
                <w:spacing w:val="-16"/>
                <w:sz w:val="18"/>
              </w:rPr>
              <w:t xml:space="preserve"> </w:t>
            </w:r>
            <w:r>
              <w:rPr>
                <w:b/>
                <w:color w:val="FFFFFF"/>
                <w:sz w:val="18"/>
              </w:rPr>
              <w:t>al</w:t>
            </w:r>
            <w:r>
              <w:rPr>
                <w:b/>
                <w:color w:val="FFFFFF"/>
                <w:spacing w:val="-15"/>
                <w:sz w:val="18"/>
              </w:rPr>
              <w:t xml:space="preserve"> </w:t>
            </w:r>
            <w:r>
              <w:rPr>
                <w:b/>
                <w:color w:val="FFFFFF"/>
                <w:sz w:val="18"/>
              </w:rPr>
              <w:t xml:space="preserve">que </w:t>
            </w:r>
            <w:r>
              <w:rPr>
                <w:b/>
                <w:color w:val="FFFFFF"/>
                <w:spacing w:val="-2"/>
                <w:sz w:val="18"/>
              </w:rPr>
              <w:t>responde.</w:t>
            </w:r>
          </w:p>
        </w:tc>
        <w:tc>
          <w:tcPr>
            <w:tcW w:w="1337" w:type="dxa"/>
            <w:tcBorders>
              <w:left w:val="single" w:sz="4" w:space="0" w:color="000000"/>
              <w:bottom w:val="single" w:sz="4" w:space="0" w:color="000000"/>
            </w:tcBorders>
            <w:shd w:val="clear" w:color="auto" w:fill="D44673"/>
          </w:tcPr>
          <w:p w14:paraId="23AEC897" w14:textId="77777777" w:rsidR="000E52B0" w:rsidRDefault="00F60D74">
            <w:pPr>
              <w:pStyle w:val="TableParagraph"/>
              <w:spacing w:before="217" w:line="242" w:lineRule="auto"/>
              <w:ind w:left="579" w:right="91" w:hanging="473"/>
              <w:rPr>
                <w:b/>
                <w:sz w:val="18"/>
              </w:rPr>
            </w:pPr>
            <w:proofErr w:type="spellStart"/>
            <w:r>
              <w:rPr>
                <w:b/>
                <w:color w:val="FFFFFF"/>
                <w:spacing w:val="-2"/>
                <w:sz w:val="18"/>
              </w:rPr>
              <w:t>Competenc</w:t>
            </w:r>
            <w:proofErr w:type="spellEnd"/>
            <w:r>
              <w:rPr>
                <w:b/>
                <w:color w:val="FFFFFF"/>
                <w:spacing w:val="-2"/>
                <w:sz w:val="18"/>
              </w:rPr>
              <w:t xml:space="preserve"> </w:t>
            </w:r>
            <w:proofErr w:type="spellStart"/>
            <w:r>
              <w:rPr>
                <w:b/>
                <w:color w:val="FFFFFF"/>
                <w:spacing w:val="-6"/>
                <w:sz w:val="18"/>
              </w:rPr>
              <w:t>ia</w:t>
            </w:r>
            <w:proofErr w:type="spellEnd"/>
          </w:p>
        </w:tc>
      </w:tr>
      <w:tr w:rsidR="000E52B0" w14:paraId="6725A833" w14:textId="77777777">
        <w:trPr>
          <w:trHeight w:val="1535"/>
        </w:trPr>
        <w:tc>
          <w:tcPr>
            <w:tcW w:w="1416" w:type="dxa"/>
            <w:tcBorders>
              <w:top w:val="single" w:sz="4" w:space="0" w:color="000000"/>
              <w:bottom w:val="single" w:sz="4" w:space="0" w:color="000000"/>
              <w:right w:val="single" w:sz="4" w:space="0" w:color="000000"/>
            </w:tcBorders>
          </w:tcPr>
          <w:p w14:paraId="00B67C17" w14:textId="77777777" w:rsidR="000E52B0" w:rsidRDefault="000E52B0">
            <w:pPr>
              <w:pStyle w:val="TableParagraph"/>
              <w:rPr>
                <w:rFonts w:ascii="Times New Roman"/>
                <w:sz w:val="18"/>
              </w:rPr>
            </w:pPr>
          </w:p>
        </w:tc>
        <w:tc>
          <w:tcPr>
            <w:tcW w:w="1601" w:type="dxa"/>
            <w:tcBorders>
              <w:top w:val="single" w:sz="4" w:space="0" w:color="000000"/>
              <w:left w:val="single" w:sz="4" w:space="0" w:color="000000"/>
              <w:bottom w:val="single" w:sz="4" w:space="0" w:color="000000"/>
              <w:right w:val="single" w:sz="4" w:space="0" w:color="000000"/>
            </w:tcBorders>
          </w:tcPr>
          <w:p w14:paraId="73C335CD" w14:textId="77777777" w:rsidR="000E52B0" w:rsidRDefault="00F60D74">
            <w:pPr>
              <w:pStyle w:val="TableParagraph"/>
              <w:tabs>
                <w:tab w:val="left" w:pos="601"/>
                <w:tab w:val="left" w:pos="702"/>
                <w:tab w:val="left" w:pos="1064"/>
                <w:tab w:val="left" w:pos="1244"/>
                <w:tab w:val="left" w:pos="1294"/>
              </w:tabs>
              <w:spacing w:before="3"/>
              <w:ind w:left="93" w:right="76"/>
              <w:rPr>
                <w:sz w:val="18"/>
              </w:rPr>
            </w:pPr>
            <w:r>
              <w:rPr>
                <w:spacing w:val="-4"/>
                <w:sz w:val="18"/>
              </w:rPr>
              <w:t>como</w:t>
            </w:r>
            <w:r>
              <w:rPr>
                <w:sz w:val="18"/>
              </w:rPr>
              <w:tab/>
            </w:r>
            <w:r>
              <w:rPr>
                <w:sz w:val="18"/>
              </w:rPr>
              <w:tab/>
            </w:r>
            <w:r>
              <w:rPr>
                <w:sz w:val="18"/>
              </w:rPr>
              <w:tab/>
            </w:r>
            <w:r>
              <w:rPr>
                <w:sz w:val="18"/>
              </w:rPr>
              <w:tab/>
            </w:r>
            <w:r>
              <w:rPr>
                <w:spacing w:val="-4"/>
                <w:sz w:val="18"/>
              </w:rPr>
              <w:t xml:space="preserve">del </w:t>
            </w:r>
            <w:r>
              <w:rPr>
                <w:spacing w:val="-2"/>
                <w:sz w:val="18"/>
              </w:rPr>
              <w:t>entendimiento</w:t>
            </w:r>
            <w:r>
              <w:rPr>
                <w:spacing w:val="40"/>
                <w:sz w:val="18"/>
              </w:rPr>
              <w:t xml:space="preserve"> </w:t>
            </w:r>
            <w:r>
              <w:rPr>
                <w:sz w:val="18"/>
              </w:rPr>
              <w:t>y</w:t>
            </w:r>
            <w:r>
              <w:rPr>
                <w:spacing w:val="-4"/>
                <w:sz w:val="18"/>
              </w:rPr>
              <w:t xml:space="preserve"> </w:t>
            </w:r>
            <w:r>
              <w:rPr>
                <w:sz w:val="18"/>
              </w:rPr>
              <w:t>diálogo</w:t>
            </w:r>
            <w:r>
              <w:rPr>
                <w:spacing w:val="-2"/>
                <w:sz w:val="18"/>
              </w:rPr>
              <w:t xml:space="preserve"> </w:t>
            </w:r>
            <w:r>
              <w:rPr>
                <w:sz w:val="18"/>
              </w:rPr>
              <w:t xml:space="preserve">social </w:t>
            </w:r>
            <w:r>
              <w:rPr>
                <w:spacing w:val="-4"/>
                <w:sz w:val="18"/>
              </w:rPr>
              <w:t>para</w:t>
            </w:r>
            <w:r>
              <w:rPr>
                <w:sz w:val="18"/>
              </w:rPr>
              <w:tab/>
            </w:r>
            <w:r>
              <w:rPr>
                <w:sz w:val="18"/>
              </w:rPr>
              <w:tab/>
            </w:r>
            <w:r>
              <w:rPr>
                <w:spacing w:val="-6"/>
                <w:sz w:val="18"/>
              </w:rPr>
              <w:t>el</w:t>
            </w:r>
            <w:r>
              <w:rPr>
                <w:sz w:val="18"/>
              </w:rPr>
              <w:tab/>
            </w:r>
            <w:r>
              <w:rPr>
                <w:spacing w:val="-4"/>
                <w:sz w:val="18"/>
              </w:rPr>
              <w:t xml:space="preserve">buen </w:t>
            </w:r>
            <w:r>
              <w:rPr>
                <w:spacing w:val="-2"/>
                <w:sz w:val="18"/>
              </w:rPr>
              <w:t>desarrollo</w:t>
            </w:r>
            <w:r>
              <w:rPr>
                <w:sz w:val="18"/>
              </w:rPr>
              <w:tab/>
            </w:r>
            <w:r>
              <w:rPr>
                <w:sz w:val="18"/>
              </w:rPr>
              <w:tab/>
            </w:r>
            <w:r>
              <w:rPr>
                <w:sz w:val="18"/>
              </w:rPr>
              <w:tab/>
            </w:r>
            <w:r>
              <w:rPr>
                <w:spacing w:val="-6"/>
                <w:sz w:val="18"/>
              </w:rPr>
              <w:t xml:space="preserve">de </w:t>
            </w:r>
            <w:r>
              <w:rPr>
                <w:spacing w:val="-5"/>
                <w:sz w:val="18"/>
              </w:rPr>
              <w:t>las</w:t>
            </w:r>
            <w:r>
              <w:rPr>
                <w:sz w:val="18"/>
              </w:rPr>
              <w:tab/>
            </w:r>
            <w:r>
              <w:rPr>
                <w:spacing w:val="-2"/>
                <w:sz w:val="18"/>
              </w:rPr>
              <w:t>relaciones</w:t>
            </w:r>
          </w:p>
          <w:p w14:paraId="22F3FA32" w14:textId="77777777" w:rsidR="000E52B0" w:rsidRDefault="00F60D74">
            <w:pPr>
              <w:pStyle w:val="TableParagraph"/>
              <w:spacing w:before="1" w:line="199" w:lineRule="exact"/>
              <w:ind w:left="93"/>
              <w:rPr>
                <w:sz w:val="18"/>
              </w:rPr>
            </w:pPr>
            <w:r>
              <w:rPr>
                <w:spacing w:val="-2"/>
                <w:sz w:val="18"/>
              </w:rPr>
              <w:t>laborales.</w:t>
            </w:r>
          </w:p>
        </w:tc>
        <w:tc>
          <w:tcPr>
            <w:tcW w:w="2647" w:type="dxa"/>
            <w:tcBorders>
              <w:top w:val="single" w:sz="4" w:space="0" w:color="000000"/>
              <w:left w:val="single" w:sz="4" w:space="0" w:color="000000"/>
              <w:bottom w:val="single" w:sz="4" w:space="0" w:color="000000"/>
              <w:right w:val="single" w:sz="4" w:space="0" w:color="000000"/>
            </w:tcBorders>
          </w:tcPr>
          <w:p w14:paraId="04D21939" w14:textId="77777777" w:rsidR="000E52B0" w:rsidRDefault="000E52B0">
            <w:pPr>
              <w:pStyle w:val="TableParagraph"/>
              <w:rPr>
                <w:rFonts w:ascii="Times New Roman"/>
                <w:sz w:val="18"/>
              </w:rPr>
            </w:pPr>
          </w:p>
        </w:tc>
        <w:tc>
          <w:tcPr>
            <w:tcW w:w="1985" w:type="dxa"/>
            <w:tcBorders>
              <w:top w:val="single" w:sz="4" w:space="0" w:color="000000"/>
              <w:left w:val="single" w:sz="4" w:space="0" w:color="000000"/>
              <w:bottom w:val="single" w:sz="4" w:space="0" w:color="000000"/>
              <w:right w:val="single" w:sz="4" w:space="0" w:color="000000"/>
            </w:tcBorders>
          </w:tcPr>
          <w:p w14:paraId="0B1E5702" w14:textId="77777777" w:rsidR="000E52B0" w:rsidRDefault="000E52B0">
            <w:pPr>
              <w:pStyle w:val="TableParagraph"/>
              <w:rPr>
                <w:rFonts w:ascii="Times New Roman"/>
                <w:sz w:val="18"/>
              </w:rPr>
            </w:pPr>
          </w:p>
        </w:tc>
        <w:tc>
          <w:tcPr>
            <w:tcW w:w="1337" w:type="dxa"/>
            <w:tcBorders>
              <w:top w:val="single" w:sz="4" w:space="0" w:color="000000"/>
              <w:left w:val="single" w:sz="4" w:space="0" w:color="000000"/>
              <w:bottom w:val="single" w:sz="4" w:space="0" w:color="000000"/>
            </w:tcBorders>
          </w:tcPr>
          <w:p w14:paraId="25FC9D27" w14:textId="77777777" w:rsidR="000E52B0" w:rsidRDefault="000E52B0">
            <w:pPr>
              <w:pStyle w:val="TableParagraph"/>
              <w:rPr>
                <w:rFonts w:ascii="Times New Roman"/>
                <w:sz w:val="18"/>
              </w:rPr>
            </w:pPr>
          </w:p>
        </w:tc>
      </w:tr>
      <w:tr w:rsidR="000E52B0" w14:paraId="67A3E834" w14:textId="77777777">
        <w:trPr>
          <w:trHeight w:val="10940"/>
        </w:trPr>
        <w:tc>
          <w:tcPr>
            <w:tcW w:w="1416" w:type="dxa"/>
            <w:tcBorders>
              <w:top w:val="single" w:sz="4" w:space="0" w:color="000000"/>
              <w:bottom w:val="single" w:sz="4" w:space="0" w:color="000000"/>
              <w:right w:val="single" w:sz="4" w:space="0" w:color="000000"/>
            </w:tcBorders>
          </w:tcPr>
          <w:p w14:paraId="2AB28DDC" w14:textId="77777777" w:rsidR="000E52B0" w:rsidRDefault="00F60D74">
            <w:pPr>
              <w:pStyle w:val="TableParagraph"/>
              <w:ind w:left="90"/>
              <w:rPr>
                <w:sz w:val="18"/>
              </w:rPr>
            </w:pPr>
            <w:r>
              <w:rPr>
                <w:spacing w:val="-2"/>
                <w:sz w:val="18"/>
              </w:rPr>
              <w:t xml:space="preserve">MINISTERIO </w:t>
            </w:r>
            <w:r>
              <w:rPr>
                <w:sz w:val="18"/>
              </w:rPr>
              <w:t>DE</w:t>
            </w:r>
            <w:r>
              <w:rPr>
                <w:spacing w:val="40"/>
                <w:sz w:val="18"/>
              </w:rPr>
              <w:t xml:space="preserve"> </w:t>
            </w:r>
            <w:r>
              <w:rPr>
                <w:sz w:val="18"/>
              </w:rPr>
              <w:t>MINAS</w:t>
            </w:r>
            <w:r>
              <w:rPr>
                <w:spacing w:val="40"/>
                <w:sz w:val="18"/>
              </w:rPr>
              <w:t xml:space="preserve"> </w:t>
            </w:r>
            <w:r>
              <w:rPr>
                <w:sz w:val="18"/>
              </w:rPr>
              <w:t xml:space="preserve">Y </w:t>
            </w:r>
            <w:r>
              <w:rPr>
                <w:spacing w:val="-2"/>
                <w:sz w:val="18"/>
              </w:rPr>
              <w:t>ENERGÍA.</w:t>
            </w:r>
          </w:p>
          <w:p w14:paraId="1EF908E4" w14:textId="77777777" w:rsidR="000E52B0" w:rsidRDefault="00F60D74">
            <w:pPr>
              <w:pStyle w:val="TableParagraph"/>
              <w:spacing w:line="219" w:lineRule="exact"/>
              <w:ind w:left="90"/>
              <w:rPr>
                <w:sz w:val="18"/>
              </w:rPr>
            </w:pPr>
            <w:proofErr w:type="gramStart"/>
            <w:r>
              <w:rPr>
                <w:sz w:val="18"/>
              </w:rPr>
              <w:t>Decreto</w:t>
            </w:r>
            <w:r>
              <w:rPr>
                <w:spacing w:val="29"/>
                <w:sz w:val="18"/>
              </w:rPr>
              <w:t xml:space="preserve">  </w:t>
            </w:r>
            <w:r>
              <w:rPr>
                <w:spacing w:val="-5"/>
                <w:sz w:val="18"/>
              </w:rPr>
              <w:t>636</w:t>
            </w:r>
            <w:proofErr w:type="gramEnd"/>
          </w:p>
          <w:p w14:paraId="52D6CFBE" w14:textId="77777777" w:rsidR="000E52B0" w:rsidRDefault="00F60D74">
            <w:pPr>
              <w:pStyle w:val="TableParagraph"/>
              <w:ind w:left="90"/>
              <w:rPr>
                <w:sz w:val="18"/>
              </w:rPr>
            </w:pPr>
            <w:r>
              <w:rPr>
                <w:sz w:val="18"/>
              </w:rPr>
              <w:t>de</w:t>
            </w:r>
            <w:r>
              <w:rPr>
                <w:spacing w:val="-1"/>
                <w:sz w:val="18"/>
              </w:rPr>
              <w:t xml:space="preserve"> </w:t>
            </w:r>
            <w:r>
              <w:rPr>
                <w:spacing w:val="-4"/>
                <w:sz w:val="18"/>
              </w:rPr>
              <w:t>1974</w:t>
            </w:r>
          </w:p>
        </w:tc>
        <w:tc>
          <w:tcPr>
            <w:tcW w:w="1601" w:type="dxa"/>
            <w:tcBorders>
              <w:top w:val="single" w:sz="4" w:space="0" w:color="000000"/>
              <w:left w:val="single" w:sz="4" w:space="0" w:color="000000"/>
              <w:bottom w:val="single" w:sz="4" w:space="0" w:color="000000"/>
              <w:right w:val="single" w:sz="4" w:space="0" w:color="000000"/>
            </w:tcBorders>
          </w:tcPr>
          <w:p w14:paraId="15EC9FB7" w14:textId="77777777" w:rsidR="000E52B0" w:rsidRDefault="00F60D74">
            <w:pPr>
              <w:pStyle w:val="TableParagraph"/>
              <w:tabs>
                <w:tab w:val="left" w:pos="1407"/>
              </w:tabs>
              <w:spacing w:line="217" w:lineRule="exact"/>
              <w:ind w:left="93"/>
              <w:rPr>
                <w:sz w:val="18"/>
              </w:rPr>
            </w:pPr>
            <w:r>
              <w:rPr>
                <w:spacing w:val="-2"/>
                <w:sz w:val="18"/>
              </w:rPr>
              <w:t>proponer</w:t>
            </w:r>
            <w:r>
              <w:rPr>
                <w:sz w:val="18"/>
              </w:rPr>
              <w:tab/>
            </w:r>
            <w:r>
              <w:rPr>
                <w:spacing w:val="-10"/>
                <w:sz w:val="18"/>
              </w:rPr>
              <w:t>y</w:t>
            </w:r>
          </w:p>
          <w:p w14:paraId="31B7F457" w14:textId="77777777" w:rsidR="000E52B0" w:rsidRDefault="00F60D74">
            <w:pPr>
              <w:pStyle w:val="TableParagraph"/>
              <w:tabs>
                <w:tab w:val="left" w:pos="1290"/>
                <w:tab w:val="left" w:pos="1354"/>
              </w:tabs>
              <w:ind w:left="93" w:right="75"/>
              <w:rPr>
                <w:sz w:val="18"/>
              </w:rPr>
            </w:pPr>
            <w:r>
              <w:rPr>
                <w:spacing w:val="-2"/>
                <w:sz w:val="18"/>
              </w:rPr>
              <w:t>adelantar</w:t>
            </w:r>
            <w:r>
              <w:rPr>
                <w:sz w:val="18"/>
              </w:rPr>
              <w:tab/>
            </w:r>
            <w:r>
              <w:rPr>
                <w:sz w:val="18"/>
              </w:rPr>
              <w:tab/>
            </w:r>
            <w:r>
              <w:rPr>
                <w:spacing w:val="-6"/>
                <w:sz w:val="18"/>
              </w:rPr>
              <w:t xml:space="preserve">la </w:t>
            </w:r>
            <w:r>
              <w:rPr>
                <w:spacing w:val="-2"/>
                <w:sz w:val="18"/>
              </w:rPr>
              <w:t>política</w:t>
            </w:r>
            <w:r>
              <w:rPr>
                <w:spacing w:val="80"/>
                <w:sz w:val="18"/>
              </w:rPr>
              <w:t xml:space="preserve"> </w:t>
            </w:r>
            <w:r>
              <w:rPr>
                <w:spacing w:val="-2"/>
                <w:sz w:val="18"/>
              </w:rPr>
              <w:t>nacional</w:t>
            </w:r>
            <w:r>
              <w:rPr>
                <w:sz w:val="18"/>
              </w:rPr>
              <w:tab/>
            </w:r>
            <w:r>
              <w:rPr>
                <w:spacing w:val="-5"/>
                <w:sz w:val="18"/>
              </w:rPr>
              <w:t>en</w:t>
            </w:r>
          </w:p>
          <w:p w14:paraId="792584AB" w14:textId="77777777" w:rsidR="000E52B0" w:rsidRDefault="00F60D74">
            <w:pPr>
              <w:pStyle w:val="TableParagraph"/>
              <w:tabs>
                <w:tab w:val="left" w:pos="1294"/>
              </w:tabs>
              <w:spacing w:before="1"/>
              <w:ind w:left="93" w:right="77"/>
              <w:rPr>
                <w:sz w:val="18"/>
              </w:rPr>
            </w:pPr>
            <w:r>
              <w:rPr>
                <w:spacing w:val="-2"/>
                <w:sz w:val="18"/>
              </w:rPr>
              <w:t>materia</w:t>
            </w:r>
            <w:r>
              <w:rPr>
                <w:sz w:val="18"/>
              </w:rPr>
              <w:tab/>
            </w:r>
            <w:r>
              <w:rPr>
                <w:spacing w:val="-6"/>
                <w:sz w:val="18"/>
              </w:rPr>
              <w:t xml:space="preserve">de </w:t>
            </w:r>
            <w:r>
              <w:rPr>
                <w:spacing w:val="-2"/>
                <w:sz w:val="18"/>
              </w:rPr>
              <w:t>exploración, explotación, transporte, refinación, manufactura, beneficio, transformación</w:t>
            </w:r>
          </w:p>
          <w:p w14:paraId="2F5F96DF" w14:textId="77777777" w:rsidR="000E52B0" w:rsidRDefault="00F60D74">
            <w:pPr>
              <w:pStyle w:val="TableParagraph"/>
              <w:tabs>
                <w:tab w:val="left" w:pos="605"/>
                <w:tab w:val="left" w:pos="834"/>
                <w:tab w:val="left" w:pos="1013"/>
                <w:tab w:val="left" w:pos="1290"/>
                <w:tab w:val="left" w:pos="1353"/>
                <w:tab w:val="left" w:pos="1404"/>
              </w:tabs>
              <w:ind w:left="93" w:right="75"/>
              <w:rPr>
                <w:sz w:val="18"/>
              </w:rPr>
            </w:pPr>
            <w:r>
              <w:rPr>
                <w:sz w:val="18"/>
              </w:rPr>
              <w:t>,</w:t>
            </w:r>
            <w:r>
              <w:rPr>
                <w:spacing w:val="18"/>
                <w:sz w:val="18"/>
              </w:rPr>
              <w:t xml:space="preserve"> </w:t>
            </w:r>
            <w:r>
              <w:rPr>
                <w:sz w:val="18"/>
              </w:rPr>
              <w:t>distribución</w:t>
            </w:r>
            <w:r>
              <w:rPr>
                <w:spacing w:val="20"/>
                <w:sz w:val="18"/>
              </w:rPr>
              <w:t xml:space="preserve"> </w:t>
            </w:r>
            <w:r>
              <w:rPr>
                <w:sz w:val="18"/>
              </w:rPr>
              <w:t xml:space="preserve">y </w:t>
            </w:r>
            <w:r>
              <w:rPr>
                <w:spacing w:val="-2"/>
                <w:sz w:val="18"/>
              </w:rPr>
              <w:t>producción</w:t>
            </w:r>
            <w:r>
              <w:rPr>
                <w:sz w:val="18"/>
              </w:rPr>
              <w:tab/>
            </w:r>
            <w:r>
              <w:rPr>
                <w:spacing w:val="-63"/>
                <w:sz w:val="18"/>
              </w:rPr>
              <w:t xml:space="preserve"> </w:t>
            </w:r>
            <w:r>
              <w:rPr>
                <w:spacing w:val="-6"/>
                <w:sz w:val="18"/>
              </w:rPr>
              <w:t xml:space="preserve">de </w:t>
            </w:r>
            <w:r>
              <w:rPr>
                <w:spacing w:val="-2"/>
                <w:sz w:val="18"/>
              </w:rPr>
              <w:t>minerales</w:t>
            </w:r>
            <w:r>
              <w:rPr>
                <w:sz w:val="18"/>
              </w:rPr>
              <w:tab/>
            </w:r>
            <w:r>
              <w:rPr>
                <w:sz w:val="18"/>
              </w:rPr>
              <w:tab/>
            </w:r>
            <w:r>
              <w:rPr>
                <w:sz w:val="18"/>
              </w:rPr>
              <w:tab/>
            </w:r>
            <w:r>
              <w:rPr>
                <w:sz w:val="18"/>
              </w:rPr>
              <w:tab/>
            </w:r>
            <w:r>
              <w:rPr>
                <w:spacing w:val="-10"/>
                <w:sz w:val="18"/>
              </w:rPr>
              <w:t xml:space="preserve">e </w:t>
            </w:r>
            <w:r>
              <w:rPr>
                <w:spacing w:val="-2"/>
                <w:sz w:val="18"/>
              </w:rPr>
              <w:t xml:space="preserve">hidrocarburos, </w:t>
            </w:r>
            <w:r>
              <w:rPr>
                <w:spacing w:val="-4"/>
                <w:sz w:val="18"/>
              </w:rPr>
              <w:t>así</w:t>
            </w:r>
            <w:r>
              <w:rPr>
                <w:sz w:val="18"/>
              </w:rPr>
              <w:tab/>
            </w:r>
            <w:r>
              <w:rPr>
                <w:spacing w:val="-4"/>
                <w:sz w:val="18"/>
              </w:rPr>
              <w:t>como</w:t>
            </w:r>
            <w:r>
              <w:rPr>
                <w:sz w:val="18"/>
              </w:rPr>
              <w:tab/>
            </w:r>
            <w:r>
              <w:rPr>
                <w:sz w:val="18"/>
              </w:rPr>
              <w:tab/>
            </w:r>
            <w:r>
              <w:rPr>
                <w:spacing w:val="-6"/>
                <w:sz w:val="18"/>
              </w:rPr>
              <w:t xml:space="preserve">la </w:t>
            </w:r>
            <w:r>
              <w:rPr>
                <w:spacing w:val="-2"/>
                <w:sz w:val="18"/>
              </w:rPr>
              <w:t>política</w:t>
            </w:r>
            <w:r>
              <w:rPr>
                <w:sz w:val="18"/>
              </w:rPr>
              <w:tab/>
            </w:r>
            <w:r>
              <w:rPr>
                <w:sz w:val="18"/>
              </w:rPr>
              <w:tab/>
            </w:r>
            <w:r>
              <w:rPr>
                <w:spacing w:val="-4"/>
                <w:sz w:val="18"/>
              </w:rPr>
              <w:t xml:space="preserve">sobre </w:t>
            </w:r>
            <w:r>
              <w:rPr>
                <w:spacing w:val="-2"/>
                <w:sz w:val="18"/>
              </w:rPr>
              <w:t>generación, transmisión, interconexión, distribución</w:t>
            </w:r>
            <w:r>
              <w:rPr>
                <w:sz w:val="18"/>
              </w:rPr>
              <w:tab/>
            </w:r>
            <w:r>
              <w:rPr>
                <w:sz w:val="18"/>
              </w:rPr>
              <w:tab/>
            </w:r>
            <w:r>
              <w:rPr>
                <w:sz w:val="18"/>
              </w:rPr>
              <w:tab/>
            </w:r>
            <w:r>
              <w:rPr>
                <w:spacing w:val="-10"/>
                <w:sz w:val="18"/>
              </w:rPr>
              <w:t xml:space="preserve">y </w:t>
            </w:r>
            <w:r>
              <w:rPr>
                <w:spacing w:val="-2"/>
                <w:sz w:val="18"/>
              </w:rPr>
              <w:t xml:space="preserve">establecimiento </w:t>
            </w:r>
            <w:r>
              <w:rPr>
                <w:spacing w:val="-6"/>
                <w:sz w:val="18"/>
              </w:rPr>
              <w:t>de</w:t>
            </w:r>
            <w:r>
              <w:rPr>
                <w:sz w:val="18"/>
              </w:rPr>
              <w:tab/>
            </w:r>
            <w:r>
              <w:rPr>
                <w:sz w:val="18"/>
              </w:rPr>
              <w:tab/>
            </w:r>
            <w:r>
              <w:rPr>
                <w:spacing w:val="-2"/>
                <w:sz w:val="18"/>
              </w:rPr>
              <w:t>normas técnicas</w:t>
            </w:r>
            <w:r>
              <w:rPr>
                <w:sz w:val="18"/>
              </w:rPr>
              <w:tab/>
            </w:r>
            <w:r>
              <w:rPr>
                <w:sz w:val="18"/>
              </w:rPr>
              <w:tab/>
            </w:r>
            <w:r>
              <w:rPr>
                <w:sz w:val="18"/>
              </w:rPr>
              <w:tab/>
            </w:r>
            <w:r>
              <w:rPr>
                <w:spacing w:val="-5"/>
                <w:sz w:val="18"/>
              </w:rPr>
              <w:t>en</w:t>
            </w:r>
          </w:p>
          <w:p w14:paraId="012BC182" w14:textId="77777777" w:rsidR="000E52B0" w:rsidRDefault="00F60D74">
            <w:pPr>
              <w:pStyle w:val="TableParagraph"/>
              <w:tabs>
                <w:tab w:val="left" w:pos="771"/>
                <w:tab w:val="left" w:pos="1294"/>
                <w:tab w:val="left" w:pos="1339"/>
                <w:tab w:val="left" w:pos="1406"/>
              </w:tabs>
              <w:ind w:left="93" w:right="75"/>
              <w:rPr>
                <w:sz w:val="18"/>
              </w:rPr>
            </w:pPr>
            <w:r>
              <w:rPr>
                <w:spacing w:val="-2"/>
                <w:sz w:val="18"/>
              </w:rPr>
              <w:t>materia</w:t>
            </w:r>
            <w:r>
              <w:rPr>
                <w:sz w:val="18"/>
              </w:rPr>
              <w:tab/>
            </w:r>
            <w:r>
              <w:rPr>
                <w:spacing w:val="-6"/>
                <w:sz w:val="18"/>
              </w:rPr>
              <w:t xml:space="preserve">de </w:t>
            </w:r>
            <w:r>
              <w:rPr>
                <w:spacing w:val="-2"/>
                <w:sz w:val="18"/>
              </w:rPr>
              <w:t>electricidad</w:t>
            </w:r>
            <w:r>
              <w:rPr>
                <w:sz w:val="18"/>
              </w:rPr>
              <w:tab/>
            </w:r>
            <w:r>
              <w:rPr>
                <w:sz w:val="18"/>
              </w:rPr>
              <w:tab/>
            </w:r>
            <w:r>
              <w:rPr>
                <w:spacing w:val="-6"/>
                <w:sz w:val="18"/>
              </w:rPr>
              <w:t>y, en</w:t>
            </w:r>
            <w:r>
              <w:rPr>
                <w:sz w:val="18"/>
              </w:rPr>
              <w:tab/>
            </w:r>
            <w:r>
              <w:rPr>
                <w:spacing w:val="-2"/>
                <w:sz w:val="18"/>
              </w:rPr>
              <w:t xml:space="preserve">general, </w:t>
            </w:r>
            <w:r>
              <w:rPr>
                <w:sz w:val="18"/>
              </w:rPr>
              <w:t xml:space="preserve">sobre todas las </w:t>
            </w:r>
            <w:r>
              <w:rPr>
                <w:spacing w:val="-2"/>
                <w:sz w:val="18"/>
              </w:rPr>
              <w:t>actividades técnicas, económicas, jurídicas, industriales</w:t>
            </w:r>
            <w:r>
              <w:rPr>
                <w:sz w:val="18"/>
              </w:rPr>
              <w:tab/>
            </w:r>
            <w:r>
              <w:rPr>
                <w:sz w:val="18"/>
              </w:rPr>
              <w:tab/>
            </w:r>
            <w:r>
              <w:rPr>
                <w:sz w:val="18"/>
              </w:rPr>
              <w:tab/>
            </w:r>
            <w:r>
              <w:rPr>
                <w:spacing w:val="-10"/>
                <w:sz w:val="18"/>
              </w:rPr>
              <w:t xml:space="preserve">y </w:t>
            </w:r>
            <w:r>
              <w:rPr>
                <w:spacing w:val="-2"/>
                <w:sz w:val="18"/>
              </w:rPr>
              <w:t xml:space="preserve">comerciales relacionadas </w:t>
            </w:r>
            <w:r>
              <w:rPr>
                <w:spacing w:val="-5"/>
                <w:sz w:val="18"/>
              </w:rPr>
              <w:t>con</w:t>
            </w:r>
            <w:r>
              <w:rPr>
                <w:sz w:val="18"/>
              </w:rPr>
              <w:tab/>
            </w:r>
            <w:r>
              <w:rPr>
                <w:sz w:val="18"/>
              </w:rPr>
              <w:tab/>
            </w:r>
            <w:r>
              <w:rPr>
                <w:sz w:val="18"/>
              </w:rPr>
              <w:tab/>
            </w:r>
            <w:r>
              <w:rPr>
                <w:spacing w:val="-46"/>
                <w:sz w:val="18"/>
              </w:rPr>
              <w:t xml:space="preserve"> </w:t>
            </w:r>
            <w:r>
              <w:rPr>
                <w:spacing w:val="-5"/>
                <w:sz w:val="18"/>
              </w:rPr>
              <w:t>el</w:t>
            </w:r>
          </w:p>
          <w:p w14:paraId="06AB3933" w14:textId="77777777" w:rsidR="000E52B0" w:rsidRDefault="00F60D74">
            <w:pPr>
              <w:pStyle w:val="TableParagraph"/>
              <w:tabs>
                <w:tab w:val="left" w:pos="1289"/>
              </w:tabs>
              <w:spacing w:before="2"/>
              <w:ind w:left="93" w:right="75"/>
              <w:jc w:val="both"/>
              <w:rPr>
                <w:sz w:val="18"/>
              </w:rPr>
            </w:pPr>
            <w:proofErr w:type="spellStart"/>
            <w:r>
              <w:rPr>
                <w:spacing w:val="-2"/>
                <w:sz w:val="18"/>
              </w:rPr>
              <w:t>aprovechamien</w:t>
            </w:r>
            <w:proofErr w:type="spellEnd"/>
            <w:r>
              <w:rPr>
                <w:spacing w:val="-2"/>
                <w:sz w:val="18"/>
              </w:rPr>
              <w:t xml:space="preserve"> </w:t>
            </w:r>
            <w:proofErr w:type="spellStart"/>
            <w:r>
              <w:rPr>
                <w:sz w:val="18"/>
              </w:rPr>
              <w:t>to</w:t>
            </w:r>
            <w:proofErr w:type="spellEnd"/>
            <w:r>
              <w:rPr>
                <w:sz w:val="18"/>
              </w:rPr>
              <w:t xml:space="preserve"> integral de los recursos naturales no renovables</w:t>
            </w:r>
            <w:r>
              <w:rPr>
                <w:spacing w:val="-16"/>
                <w:sz w:val="18"/>
              </w:rPr>
              <w:t xml:space="preserve"> </w:t>
            </w:r>
            <w:r>
              <w:rPr>
                <w:sz w:val="18"/>
              </w:rPr>
              <w:t>y</w:t>
            </w:r>
            <w:r>
              <w:rPr>
                <w:spacing w:val="-16"/>
                <w:sz w:val="18"/>
              </w:rPr>
              <w:t xml:space="preserve"> </w:t>
            </w:r>
            <w:r>
              <w:rPr>
                <w:sz w:val="18"/>
              </w:rPr>
              <w:t xml:space="preserve">de la totalidad de las fuentes energéticas del </w:t>
            </w:r>
            <w:r>
              <w:rPr>
                <w:spacing w:val="-2"/>
                <w:sz w:val="18"/>
              </w:rPr>
              <w:t>país,</w:t>
            </w:r>
            <w:r>
              <w:rPr>
                <w:sz w:val="18"/>
              </w:rPr>
              <w:tab/>
            </w:r>
            <w:r>
              <w:rPr>
                <w:spacing w:val="-5"/>
                <w:sz w:val="18"/>
              </w:rPr>
              <w:t>en</w:t>
            </w:r>
          </w:p>
          <w:p w14:paraId="71BE0A01" w14:textId="77777777" w:rsidR="000E52B0" w:rsidRDefault="00F60D74">
            <w:pPr>
              <w:pStyle w:val="TableParagraph"/>
              <w:ind w:left="93" w:right="76"/>
              <w:jc w:val="both"/>
              <w:rPr>
                <w:sz w:val="18"/>
              </w:rPr>
            </w:pPr>
            <w:r>
              <w:rPr>
                <w:spacing w:val="-2"/>
                <w:sz w:val="18"/>
              </w:rPr>
              <w:t xml:space="preserve">concordancia </w:t>
            </w:r>
            <w:r>
              <w:rPr>
                <w:sz w:val="18"/>
              </w:rPr>
              <w:t>con</w:t>
            </w:r>
            <w:r>
              <w:rPr>
                <w:spacing w:val="68"/>
                <w:sz w:val="18"/>
              </w:rPr>
              <w:t xml:space="preserve"> </w:t>
            </w:r>
            <w:r>
              <w:rPr>
                <w:sz w:val="18"/>
              </w:rPr>
              <w:t>los</w:t>
            </w:r>
            <w:r>
              <w:rPr>
                <w:spacing w:val="67"/>
                <w:sz w:val="18"/>
              </w:rPr>
              <w:t xml:space="preserve"> </w:t>
            </w:r>
            <w:r>
              <w:rPr>
                <w:spacing w:val="-2"/>
                <w:sz w:val="18"/>
              </w:rPr>
              <w:t>planes</w:t>
            </w:r>
          </w:p>
          <w:p w14:paraId="2292C1B5" w14:textId="77777777" w:rsidR="000E52B0" w:rsidRDefault="00F60D74">
            <w:pPr>
              <w:pStyle w:val="TableParagraph"/>
              <w:spacing w:line="218" w:lineRule="exact"/>
              <w:ind w:left="93" w:right="76"/>
              <w:jc w:val="both"/>
              <w:rPr>
                <w:sz w:val="18"/>
              </w:rPr>
            </w:pPr>
            <w:r>
              <w:rPr>
                <w:sz w:val="18"/>
              </w:rPr>
              <w:t xml:space="preserve">generales de </w:t>
            </w:r>
            <w:r>
              <w:rPr>
                <w:spacing w:val="-2"/>
                <w:sz w:val="18"/>
              </w:rPr>
              <w:t>desarrollo</w:t>
            </w:r>
          </w:p>
        </w:tc>
        <w:tc>
          <w:tcPr>
            <w:tcW w:w="2647" w:type="dxa"/>
            <w:tcBorders>
              <w:top w:val="single" w:sz="4" w:space="0" w:color="000000"/>
              <w:left w:val="single" w:sz="4" w:space="0" w:color="000000"/>
              <w:bottom w:val="single" w:sz="4" w:space="0" w:color="000000"/>
              <w:right w:val="single" w:sz="4" w:space="0" w:color="000000"/>
            </w:tcBorders>
          </w:tcPr>
          <w:p w14:paraId="731E0236" w14:textId="77777777" w:rsidR="000E52B0" w:rsidRDefault="00F60D74">
            <w:pPr>
              <w:pStyle w:val="TableParagraph"/>
              <w:tabs>
                <w:tab w:val="left" w:pos="1712"/>
                <w:tab w:val="left" w:pos="2449"/>
              </w:tabs>
              <w:ind w:left="91" w:right="76"/>
              <w:jc w:val="both"/>
              <w:rPr>
                <w:sz w:val="18"/>
              </w:rPr>
            </w:pPr>
            <w:r>
              <w:rPr>
                <w:sz w:val="18"/>
              </w:rPr>
              <w:t>Realizar directamente o a través de los organismos descentralizados adscritos o vinculados, las investigaciones</w:t>
            </w:r>
            <w:r>
              <w:rPr>
                <w:spacing w:val="-16"/>
                <w:sz w:val="18"/>
              </w:rPr>
              <w:t xml:space="preserve"> </w:t>
            </w:r>
            <w:r>
              <w:rPr>
                <w:sz w:val="18"/>
              </w:rPr>
              <w:t xml:space="preserve">geológicas, las exploraciones técnicas y los estudios económicos necesarios para lograr un mejor conocimiento de las posibilidades mineras, </w:t>
            </w:r>
            <w:proofErr w:type="spellStart"/>
            <w:r>
              <w:rPr>
                <w:spacing w:val="-2"/>
                <w:sz w:val="18"/>
              </w:rPr>
              <w:t>hidrocarburíferas</w:t>
            </w:r>
            <w:proofErr w:type="spellEnd"/>
            <w:r>
              <w:rPr>
                <w:sz w:val="18"/>
              </w:rPr>
              <w:tab/>
            </w:r>
            <w:r>
              <w:rPr>
                <w:sz w:val="18"/>
              </w:rPr>
              <w:tab/>
            </w:r>
            <w:r>
              <w:rPr>
                <w:spacing w:val="-10"/>
                <w:sz w:val="18"/>
              </w:rPr>
              <w:t xml:space="preserve">e </w:t>
            </w:r>
            <w:r>
              <w:rPr>
                <w:sz w:val="18"/>
              </w:rPr>
              <w:t xml:space="preserve">hidroeléctricas del país; Tramitar con terceros contratos especiales para desarrollar las actividades a que se refiere el ordinal precedente en las zonas que el Gobierno determine al efecto; Tramitar con </w:t>
            </w:r>
            <w:r>
              <w:rPr>
                <w:spacing w:val="-2"/>
                <w:sz w:val="18"/>
              </w:rPr>
              <w:t>terceros</w:t>
            </w:r>
            <w:r>
              <w:rPr>
                <w:sz w:val="18"/>
              </w:rPr>
              <w:tab/>
            </w:r>
            <w:r>
              <w:rPr>
                <w:spacing w:val="-2"/>
                <w:sz w:val="18"/>
              </w:rPr>
              <w:t xml:space="preserve">contratos </w:t>
            </w:r>
            <w:r>
              <w:rPr>
                <w:sz w:val="18"/>
              </w:rPr>
              <w:t>especiales para desarrollar las actividades a que se refiere el ordinal precedente en las zonas que el Gobierno determine al efecto.</w:t>
            </w:r>
          </w:p>
        </w:tc>
        <w:tc>
          <w:tcPr>
            <w:tcW w:w="1985" w:type="dxa"/>
            <w:tcBorders>
              <w:top w:val="single" w:sz="4" w:space="0" w:color="000000"/>
              <w:left w:val="single" w:sz="4" w:space="0" w:color="000000"/>
              <w:bottom w:val="single" w:sz="4" w:space="0" w:color="000000"/>
              <w:right w:val="single" w:sz="4" w:space="0" w:color="000000"/>
            </w:tcBorders>
          </w:tcPr>
          <w:p w14:paraId="6147BA11" w14:textId="77777777" w:rsidR="000E52B0" w:rsidRDefault="00F60D74">
            <w:pPr>
              <w:pStyle w:val="TableParagraph"/>
              <w:tabs>
                <w:tab w:val="left" w:pos="1792"/>
              </w:tabs>
              <w:spacing w:line="217" w:lineRule="exact"/>
              <w:ind w:left="91"/>
              <w:rPr>
                <w:sz w:val="18"/>
              </w:rPr>
            </w:pPr>
            <w:r>
              <w:rPr>
                <w:spacing w:val="-2"/>
                <w:sz w:val="18"/>
              </w:rPr>
              <w:t>Manejo</w:t>
            </w:r>
            <w:r>
              <w:rPr>
                <w:sz w:val="18"/>
              </w:rPr>
              <w:tab/>
            </w:r>
            <w:r>
              <w:rPr>
                <w:spacing w:val="-10"/>
                <w:sz w:val="18"/>
              </w:rPr>
              <w:t>y</w:t>
            </w:r>
          </w:p>
          <w:p w14:paraId="17BA001C" w14:textId="77777777" w:rsidR="000E52B0" w:rsidRDefault="00F60D74">
            <w:pPr>
              <w:pStyle w:val="TableParagraph"/>
              <w:tabs>
                <w:tab w:val="left" w:pos="1130"/>
              </w:tabs>
              <w:ind w:left="91" w:right="74"/>
              <w:rPr>
                <w:sz w:val="18"/>
              </w:rPr>
            </w:pPr>
            <w:r>
              <w:rPr>
                <w:spacing w:val="-2"/>
                <w:sz w:val="18"/>
              </w:rPr>
              <w:t>aprovechamiento</w:t>
            </w:r>
            <w:r>
              <w:rPr>
                <w:spacing w:val="80"/>
                <w:sz w:val="18"/>
              </w:rPr>
              <w:t xml:space="preserve"> </w:t>
            </w:r>
            <w:r>
              <w:rPr>
                <w:spacing w:val="-6"/>
                <w:sz w:val="18"/>
              </w:rPr>
              <w:t>de</w:t>
            </w:r>
            <w:r>
              <w:rPr>
                <w:sz w:val="18"/>
              </w:rPr>
              <w:tab/>
            </w:r>
            <w:r>
              <w:rPr>
                <w:spacing w:val="-2"/>
                <w:sz w:val="18"/>
              </w:rPr>
              <w:t xml:space="preserve">recursos </w:t>
            </w:r>
            <w:r>
              <w:rPr>
                <w:sz w:val="18"/>
              </w:rPr>
              <w:t>naturales</w:t>
            </w:r>
            <w:r>
              <w:rPr>
                <w:spacing w:val="80"/>
                <w:sz w:val="18"/>
              </w:rPr>
              <w:t xml:space="preserve"> </w:t>
            </w:r>
            <w:r>
              <w:rPr>
                <w:sz w:val="18"/>
              </w:rPr>
              <w:t>(art.</w:t>
            </w:r>
            <w:r>
              <w:rPr>
                <w:spacing w:val="80"/>
                <w:sz w:val="18"/>
              </w:rPr>
              <w:t xml:space="preserve"> </w:t>
            </w:r>
            <w:r>
              <w:rPr>
                <w:sz w:val="18"/>
              </w:rPr>
              <w:t xml:space="preserve">80 </w:t>
            </w:r>
            <w:r>
              <w:rPr>
                <w:spacing w:val="-4"/>
                <w:sz w:val="18"/>
              </w:rPr>
              <w:t>C.P)</w:t>
            </w:r>
          </w:p>
        </w:tc>
        <w:tc>
          <w:tcPr>
            <w:tcW w:w="1337" w:type="dxa"/>
            <w:tcBorders>
              <w:top w:val="single" w:sz="4" w:space="0" w:color="000000"/>
              <w:left w:val="single" w:sz="4" w:space="0" w:color="000000"/>
              <w:bottom w:val="single" w:sz="4" w:space="0" w:color="000000"/>
            </w:tcBorders>
          </w:tcPr>
          <w:p w14:paraId="55A2F528" w14:textId="77777777" w:rsidR="000E52B0" w:rsidRDefault="00F60D74">
            <w:pPr>
              <w:pStyle w:val="TableParagraph"/>
              <w:ind w:left="92" w:right="70"/>
              <w:rPr>
                <w:sz w:val="18"/>
              </w:rPr>
            </w:pPr>
            <w:r>
              <w:rPr>
                <w:spacing w:val="-2"/>
                <w:sz w:val="18"/>
              </w:rPr>
              <w:t xml:space="preserve">Sector </w:t>
            </w:r>
            <w:proofErr w:type="spellStart"/>
            <w:r>
              <w:rPr>
                <w:spacing w:val="-2"/>
                <w:sz w:val="18"/>
              </w:rPr>
              <w:t>Administrati</w:t>
            </w:r>
            <w:proofErr w:type="spellEnd"/>
            <w:r>
              <w:rPr>
                <w:spacing w:val="-2"/>
                <w:sz w:val="18"/>
              </w:rPr>
              <w:t xml:space="preserve"> </w:t>
            </w:r>
            <w:proofErr w:type="spellStart"/>
            <w:r>
              <w:rPr>
                <w:sz w:val="18"/>
              </w:rPr>
              <w:t>vo</w:t>
            </w:r>
            <w:proofErr w:type="spellEnd"/>
            <w:r>
              <w:rPr>
                <w:spacing w:val="21"/>
                <w:sz w:val="18"/>
              </w:rPr>
              <w:t xml:space="preserve"> </w:t>
            </w:r>
            <w:r>
              <w:rPr>
                <w:sz w:val="18"/>
              </w:rPr>
              <w:t>de</w:t>
            </w:r>
            <w:r>
              <w:rPr>
                <w:spacing w:val="21"/>
                <w:sz w:val="18"/>
              </w:rPr>
              <w:t xml:space="preserve"> </w:t>
            </w:r>
            <w:r>
              <w:rPr>
                <w:sz w:val="18"/>
              </w:rPr>
              <w:t>Minas y Energía</w:t>
            </w:r>
          </w:p>
        </w:tc>
      </w:tr>
      <w:tr w:rsidR="000E52B0" w14:paraId="061BAFC0" w14:textId="77777777">
        <w:trPr>
          <w:trHeight w:val="438"/>
        </w:trPr>
        <w:tc>
          <w:tcPr>
            <w:tcW w:w="1416" w:type="dxa"/>
            <w:tcBorders>
              <w:top w:val="single" w:sz="4" w:space="0" w:color="000000"/>
              <w:right w:val="single" w:sz="4" w:space="0" w:color="000000"/>
            </w:tcBorders>
          </w:tcPr>
          <w:p w14:paraId="16100994" w14:textId="77777777" w:rsidR="000E52B0" w:rsidRDefault="00F60D74">
            <w:pPr>
              <w:pStyle w:val="TableParagraph"/>
              <w:spacing w:line="218" w:lineRule="exact"/>
              <w:ind w:left="90"/>
              <w:rPr>
                <w:sz w:val="18"/>
              </w:rPr>
            </w:pPr>
            <w:r>
              <w:rPr>
                <w:spacing w:val="-2"/>
                <w:sz w:val="18"/>
              </w:rPr>
              <w:t xml:space="preserve">MINISTERIO </w:t>
            </w:r>
            <w:r>
              <w:rPr>
                <w:spacing w:val="-6"/>
                <w:sz w:val="18"/>
              </w:rPr>
              <w:t>DE</w:t>
            </w:r>
          </w:p>
        </w:tc>
        <w:tc>
          <w:tcPr>
            <w:tcW w:w="1601" w:type="dxa"/>
            <w:tcBorders>
              <w:top w:val="single" w:sz="4" w:space="0" w:color="000000"/>
              <w:left w:val="single" w:sz="4" w:space="0" w:color="000000"/>
              <w:right w:val="single" w:sz="4" w:space="0" w:color="000000"/>
            </w:tcBorders>
          </w:tcPr>
          <w:p w14:paraId="004C41D2" w14:textId="77777777" w:rsidR="000E52B0" w:rsidRDefault="00F60D74">
            <w:pPr>
              <w:pStyle w:val="TableParagraph"/>
              <w:spacing w:line="218" w:lineRule="exact"/>
              <w:ind w:left="93"/>
              <w:rPr>
                <w:sz w:val="18"/>
              </w:rPr>
            </w:pPr>
            <w:r>
              <w:rPr>
                <w:spacing w:val="-2"/>
                <w:sz w:val="18"/>
              </w:rPr>
              <w:t xml:space="preserve">formular, </w:t>
            </w:r>
            <w:r>
              <w:rPr>
                <w:sz w:val="18"/>
              </w:rPr>
              <w:t>adoptar,</w:t>
            </w:r>
            <w:r>
              <w:rPr>
                <w:spacing w:val="29"/>
                <w:sz w:val="18"/>
              </w:rPr>
              <w:t xml:space="preserve"> </w:t>
            </w:r>
            <w:r>
              <w:rPr>
                <w:sz w:val="18"/>
              </w:rPr>
              <w:t>dirigir</w:t>
            </w:r>
          </w:p>
        </w:tc>
        <w:tc>
          <w:tcPr>
            <w:tcW w:w="2647" w:type="dxa"/>
            <w:tcBorders>
              <w:top w:val="single" w:sz="4" w:space="0" w:color="000000"/>
              <w:left w:val="single" w:sz="4" w:space="0" w:color="000000"/>
              <w:right w:val="single" w:sz="4" w:space="0" w:color="000000"/>
            </w:tcBorders>
          </w:tcPr>
          <w:p w14:paraId="0885BA9B" w14:textId="77777777" w:rsidR="000E52B0" w:rsidRDefault="00F60D74">
            <w:pPr>
              <w:pStyle w:val="TableParagraph"/>
              <w:spacing w:line="218" w:lineRule="exact"/>
              <w:ind w:left="91"/>
              <w:rPr>
                <w:sz w:val="18"/>
              </w:rPr>
            </w:pPr>
            <w:r>
              <w:rPr>
                <w:sz w:val="18"/>
              </w:rPr>
              <w:t>Participar</w:t>
            </w:r>
            <w:r>
              <w:rPr>
                <w:spacing w:val="-16"/>
                <w:sz w:val="18"/>
              </w:rPr>
              <w:t xml:space="preserve"> </w:t>
            </w:r>
            <w:r>
              <w:rPr>
                <w:sz w:val="18"/>
              </w:rPr>
              <w:t>en</w:t>
            </w:r>
            <w:r>
              <w:rPr>
                <w:spacing w:val="-16"/>
                <w:sz w:val="18"/>
              </w:rPr>
              <w:t xml:space="preserve"> </w:t>
            </w:r>
            <w:r>
              <w:rPr>
                <w:sz w:val="18"/>
              </w:rPr>
              <w:t>la</w:t>
            </w:r>
            <w:r>
              <w:rPr>
                <w:spacing w:val="-16"/>
                <w:sz w:val="18"/>
              </w:rPr>
              <w:t xml:space="preserve"> </w:t>
            </w:r>
            <w:r>
              <w:rPr>
                <w:sz w:val="18"/>
              </w:rPr>
              <w:t>formulación de</w:t>
            </w:r>
            <w:r>
              <w:rPr>
                <w:spacing w:val="20"/>
                <w:sz w:val="18"/>
              </w:rPr>
              <w:t xml:space="preserve"> </w:t>
            </w:r>
            <w:r>
              <w:rPr>
                <w:sz w:val="18"/>
              </w:rPr>
              <w:t>la</w:t>
            </w:r>
            <w:r>
              <w:rPr>
                <w:spacing w:val="21"/>
                <w:sz w:val="18"/>
              </w:rPr>
              <w:t xml:space="preserve"> </w:t>
            </w:r>
            <w:r>
              <w:rPr>
                <w:sz w:val="18"/>
              </w:rPr>
              <w:t>política,</w:t>
            </w:r>
            <w:r>
              <w:rPr>
                <w:spacing w:val="20"/>
                <w:sz w:val="18"/>
              </w:rPr>
              <w:t xml:space="preserve"> </w:t>
            </w:r>
            <w:r>
              <w:rPr>
                <w:sz w:val="18"/>
              </w:rPr>
              <w:t>los</w:t>
            </w:r>
            <w:r>
              <w:rPr>
                <w:spacing w:val="21"/>
                <w:sz w:val="18"/>
              </w:rPr>
              <w:t xml:space="preserve"> </w:t>
            </w:r>
            <w:r>
              <w:rPr>
                <w:sz w:val="18"/>
              </w:rPr>
              <w:t>planes</w:t>
            </w:r>
            <w:r>
              <w:rPr>
                <w:spacing w:val="22"/>
                <w:sz w:val="18"/>
              </w:rPr>
              <w:t xml:space="preserve"> </w:t>
            </w:r>
            <w:r>
              <w:rPr>
                <w:spacing w:val="-10"/>
                <w:sz w:val="18"/>
              </w:rPr>
              <w:t>y</w:t>
            </w:r>
          </w:p>
        </w:tc>
        <w:tc>
          <w:tcPr>
            <w:tcW w:w="1985" w:type="dxa"/>
            <w:tcBorders>
              <w:top w:val="single" w:sz="4" w:space="0" w:color="000000"/>
              <w:left w:val="single" w:sz="4" w:space="0" w:color="000000"/>
              <w:right w:val="single" w:sz="4" w:space="0" w:color="000000"/>
            </w:tcBorders>
          </w:tcPr>
          <w:p w14:paraId="0D549153" w14:textId="77777777" w:rsidR="000E52B0" w:rsidRDefault="00F60D74">
            <w:pPr>
              <w:pStyle w:val="TableParagraph"/>
              <w:tabs>
                <w:tab w:val="left" w:pos="1739"/>
              </w:tabs>
              <w:spacing w:line="217" w:lineRule="exact"/>
              <w:ind w:left="91"/>
              <w:rPr>
                <w:sz w:val="18"/>
              </w:rPr>
            </w:pPr>
            <w:r>
              <w:rPr>
                <w:spacing w:val="-2"/>
                <w:sz w:val="18"/>
              </w:rPr>
              <w:t>Facilitar</w:t>
            </w:r>
            <w:r>
              <w:rPr>
                <w:sz w:val="18"/>
              </w:rPr>
              <w:tab/>
            </w:r>
            <w:r>
              <w:rPr>
                <w:spacing w:val="-5"/>
                <w:sz w:val="18"/>
              </w:rPr>
              <w:t>la</w:t>
            </w:r>
          </w:p>
          <w:p w14:paraId="0057C3CF" w14:textId="77777777" w:rsidR="000E52B0" w:rsidRDefault="00F60D74">
            <w:pPr>
              <w:pStyle w:val="TableParagraph"/>
              <w:spacing w:line="201" w:lineRule="exact"/>
              <w:ind w:left="91"/>
              <w:rPr>
                <w:sz w:val="18"/>
              </w:rPr>
            </w:pPr>
            <w:r>
              <w:rPr>
                <w:sz w:val="18"/>
              </w:rPr>
              <w:t>participación</w:t>
            </w:r>
            <w:r>
              <w:rPr>
                <w:spacing w:val="71"/>
                <w:sz w:val="18"/>
              </w:rPr>
              <w:t xml:space="preserve"> </w:t>
            </w:r>
            <w:r>
              <w:rPr>
                <w:sz w:val="18"/>
              </w:rPr>
              <w:t>en</w:t>
            </w:r>
            <w:r>
              <w:rPr>
                <w:spacing w:val="72"/>
                <w:sz w:val="18"/>
              </w:rPr>
              <w:t xml:space="preserve"> </w:t>
            </w:r>
            <w:r>
              <w:rPr>
                <w:spacing w:val="-5"/>
                <w:sz w:val="18"/>
              </w:rPr>
              <w:t>la</w:t>
            </w:r>
          </w:p>
        </w:tc>
        <w:tc>
          <w:tcPr>
            <w:tcW w:w="1337" w:type="dxa"/>
            <w:tcBorders>
              <w:top w:val="single" w:sz="4" w:space="0" w:color="000000"/>
              <w:left w:val="single" w:sz="4" w:space="0" w:color="000000"/>
            </w:tcBorders>
          </w:tcPr>
          <w:p w14:paraId="41FF9C4B" w14:textId="77777777" w:rsidR="000E52B0" w:rsidRDefault="00F60D74">
            <w:pPr>
              <w:pStyle w:val="TableParagraph"/>
              <w:spacing w:line="218" w:lineRule="exact"/>
              <w:ind w:left="92" w:right="91"/>
              <w:rPr>
                <w:sz w:val="18"/>
              </w:rPr>
            </w:pPr>
            <w:r>
              <w:rPr>
                <w:spacing w:val="-2"/>
                <w:sz w:val="18"/>
              </w:rPr>
              <w:t xml:space="preserve">Sector </w:t>
            </w:r>
            <w:proofErr w:type="spellStart"/>
            <w:r>
              <w:rPr>
                <w:spacing w:val="-2"/>
                <w:sz w:val="18"/>
              </w:rPr>
              <w:t>Administrati</w:t>
            </w:r>
            <w:proofErr w:type="spellEnd"/>
          </w:p>
        </w:tc>
      </w:tr>
    </w:tbl>
    <w:p w14:paraId="6F320867" w14:textId="77777777" w:rsidR="000E52B0" w:rsidRDefault="000E52B0">
      <w:pPr>
        <w:pStyle w:val="TableParagraph"/>
        <w:spacing w:line="218" w:lineRule="exact"/>
        <w:rPr>
          <w:sz w:val="18"/>
        </w:rPr>
        <w:sectPr w:rsidR="000E52B0">
          <w:type w:val="continuous"/>
          <w:pgSz w:w="11910" w:h="16840"/>
          <w:pgMar w:top="1400" w:right="720" w:bottom="1180" w:left="720" w:header="0" w:footer="995" w:gutter="0"/>
          <w:cols w:space="720"/>
        </w:sectPr>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6"/>
        <w:gridCol w:w="1601"/>
        <w:gridCol w:w="2647"/>
        <w:gridCol w:w="1985"/>
        <w:gridCol w:w="1337"/>
      </w:tblGrid>
      <w:tr w:rsidR="000E52B0" w14:paraId="46673409" w14:textId="77777777">
        <w:trPr>
          <w:trHeight w:val="875"/>
        </w:trPr>
        <w:tc>
          <w:tcPr>
            <w:tcW w:w="1416" w:type="dxa"/>
            <w:tcBorders>
              <w:bottom w:val="single" w:sz="4" w:space="0" w:color="000000"/>
              <w:right w:val="single" w:sz="4" w:space="0" w:color="000000"/>
            </w:tcBorders>
            <w:shd w:val="clear" w:color="auto" w:fill="D44673"/>
          </w:tcPr>
          <w:p w14:paraId="6D794556" w14:textId="77777777" w:rsidR="000E52B0" w:rsidRDefault="000E52B0">
            <w:pPr>
              <w:pStyle w:val="TableParagraph"/>
              <w:spacing w:before="109"/>
              <w:rPr>
                <w:sz w:val="18"/>
              </w:rPr>
            </w:pPr>
          </w:p>
          <w:p w14:paraId="6065E010" w14:textId="77777777" w:rsidR="000E52B0" w:rsidRDefault="00F60D74">
            <w:pPr>
              <w:pStyle w:val="TableParagraph"/>
              <w:ind w:left="206"/>
              <w:rPr>
                <w:b/>
                <w:sz w:val="18"/>
              </w:rPr>
            </w:pPr>
            <w:r>
              <w:rPr>
                <w:b/>
                <w:color w:val="FFFFFF"/>
                <w:spacing w:val="-2"/>
                <w:sz w:val="18"/>
              </w:rPr>
              <w:t>Ministerio</w:t>
            </w:r>
          </w:p>
        </w:tc>
        <w:tc>
          <w:tcPr>
            <w:tcW w:w="1601" w:type="dxa"/>
            <w:tcBorders>
              <w:left w:val="single" w:sz="4" w:space="0" w:color="000000"/>
              <w:bottom w:val="single" w:sz="4" w:space="0" w:color="000000"/>
              <w:right w:val="single" w:sz="4" w:space="0" w:color="000000"/>
            </w:tcBorders>
            <w:shd w:val="clear" w:color="auto" w:fill="D44673"/>
          </w:tcPr>
          <w:p w14:paraId="3F51AE56" w14:textId="77777777" w:rsidR="000E52B0" w:rsidRDefault="000E52B0">
            <w:pPr>
              <w:pStyle w:val="TableParagraph"/>
              <w:spacing w:before="109"/>
              <w:rPr>
                <w:sz w:val="18"/>
              </w:rPr>
            </w:pPr>
          </w:p>
          <w:p w14:paraId="3B9A01FE" w14:textId="77777777" w:rsidR="000E52B0" w:rsidRDefault="00F60D74">
            <w:pPr>
              <w:pStyle w:val="TableParagraph"/>
              <w:ind w:left="374"/>
              <w:rPr>
                <w:b/>
                <w:sz w:val="18"/>
              </w:rPr>
            </w:pPr>
            <w:r>
              <w:rPr>
                <w:b/>
                <w:color w:val="FFFFFF"/>
                <w:spacing w:val="-2"/>
                <w:sz w:val="18"/>
              </w:rPr>
              <w:t>Objetivo</w:t>
            </w:r>
          </w:p>
        </w:tc>
        <w:tc>
          <w:tcPr>
            <w:tcW w:w="2647" w:type="dxa"/>
            <w:tcBorders>
              <w:left w:val="single" w:sz="4" w:space="0" w:color="000000"/>
              <w:bottom w:val="single" w:sz="4" w:space="0" w:color="000000"/>
              <w:right w:val="single" w:sz="4" w:space="0" w:color="000000"/>
            </w:tcBorders>
            <w:shd w:val="clear" w:color="auto" w:fill="D44673"/>
          </w:tcPr>
          <w:p w14:paraId="1E4B4491" w14:textId="77777777" w:rsidR="000E52B0" w:rsidRDefault="000E52B0">
            <w:pPr>
              <w:pStyle w:val="TableParagraph"/>
              <w:spacing w:before="109"/>
              <w:rPr>
                <w:sz w:val="18"/>
              </w:rPr>
            </w:pPr>
          </w:p>
          <w:p w14:paraId="4892399B" w14:textId="77777777" w:rsidR="000E52B0" w:rsidRDefault="00F60D74">
            <w:pPr>
              <w:pStyle w:val="TableParagraph"/>
              <w:ind w:left="813"/>
              <w:rPr>
                <w:b/>
                <w:sz w:val="18"/>
              </w:rPr>
            </w:pPr>
            <w:r>
              <w:rPr>
                <w:b/>
                <w:color w:val="FFFFFF"/>
                <w:spacing w:val="-2"/>
                <w:sz w:val="18"/>
              </w:rPr>
              <w:t>Funciones</w:t>
            </w:r>
          </w:p>
        </w:tc>
        <w:tc>
          <w:tcPr>
            <w:tcW w:w="1985" w:type="dxa"/>
            <w:tcBorders>
              <w:left w:val="single" w:sz="4" w:space="0" w:color="000000"/>
              <w:bottom w:val="single" w:sz="4" w:space="0" w:color="000000"/>
              <w:right w:val="single" w:sz="4" w:space="0" w:color="000000"/>
            </w:tcBorders>
            <w:shd w:val="clear" w:color="auto" w:fill="D44673"/>
          </w:tcPr>
          <w:p w14:paraId="2CB8BB5D" w14:textId="77777777" w:rsidR="000E52B0" w:rsidRDefault="00F60D74">
            <w:pPr>
              <w:pStyle w:val="TableParagraph"/>
              <w:ind w:left="118" w:right="105" w:firstLine="1"/>
              <w:jc w:val="center"/>
              <w:rPr>
                <w:b/>
                <w:sz w:val="18"/>
              </w:rPr>
            </w:pPr>
            <w:r>
              <w:rPr>
                <w:b/>
                <w:color w:val="FFFFFF"/>
                <w:sz w:val="18"/>
              </w:rPr>
              <w:t>Derecho</w:t>
            </w:r>
            <w:r>
              <w:rPr>
                <w:b/>
                <w:color w:val="FFFFFF"/>
                <w:spacing w:val="-16"/>
                <w:sz w:val="18"/>
              </w:rPr>
              <w:t xml:space="preserve"> </w:t>
            </w:r>
            <w:r>
              <w:rPr>
                <w:b/>
                <w:color w:val="FFFFFF"/>
                <w:sz w:val="18"/>
              </w:rPr>
              <w:t>Humano o</w:t>
            </w:r>
            <w:r>
              <w:rPr>
                <w:b/>
                <w:color w:val="FFFFFF"/>
                <w:spacing w:val="-1"/>
                <w:sz w:val="18"/>
              </w:rPr>
              <w:t xml:space="preserve"> </w:t>
            </w:r>
            <w:r>
              <w:rPr>
                <w:b/>
                <w:color w:val="FFFFFF"/>
                <w:sz w:val="18"/>
              </w:rPr>
              <w:t>Fin</w:t>
            </w:r>
            <w:r>
              <w:rPr>
                <w:b/>
                <w:color w:val="FFFFFF"/>
                <w:spacing w:val="-3"/>
                <w:sz w:val="18"/>
              </w:rPr>
              <w:t xml:space="preserve"> </w:t>
            </w:r>
            <w:r>
              <w:rPr>
                <w:b/>
                <w:color w:val="FFFFFF"/>
                <w:sz w:val="18"/>
              </w:rPr>
              <w:t xml:space="preserve">Esencial </w:t>
            </w:r>
            <w:r>
              <w:rPr>
                <w:b/>
                <w:color w:val="FFFFFF"/>
                <w:spacing w:val="-5"/>
                <w:sz w:val="18"/>
              </w:rPr>
              <w:t>del</w:t>
            </w:r>
          </w:p>
          <w:p w14:paraId="45F8A046" w14:textId="77777777" w:rsidR="000E52B0" w:rsidRDefault="00F60D74">
            <w:pPr>
              <w:pStyle w:val="TableParagraph"/>
              <w:spacing w:line="218" w:lineRule="exact"/>
              <w:ind w:left="12"/>
              <w:jc w:val="center"/>
              <w:rPr>
                <w:b/>
                <w:sz w:val="18"/>
              </w:rPr>
            </w:pPr>
            <w:r>
              <w:rPr>
                <w:b/>
                <w:color w:val="FFFFFF"/>
                <w:sz w:val="18"/>
              </w:rPr>
              <w:t>Estado</w:t>
            </w:r>
            <w:r>
              <w:rPr>
                <w:b/>
                <w:color w:val="FFFFFF"/>
                <w:spacing w:val="-16"/>
                <w:sz w:val="18"/>
              </w:rPr>
              <w:t xml:space="preserve"> </w:t>
            </w:r>
            <w:r>
              <w:rPr>
                <w:b/>
                <w:color w:val="FFFFFF"/>
                <w:sz w:val="18"/>
              </w:rPr>
              <w:t>al</w:t>
            </w:r>
            <w:r>
              <w:rPr>
                <w:b/>
                <w:color w:val="FFFFFF"/>
                <w:spacing w:val="-15"/>
                <w:sz w:val="18"/>
              </w:rPr>
              <w:t xml:space="preserve"> </w:t>
            </w:r>
            <w:r>
              <w:rPr>
                <w:b/>
                <w:color w:val="FFFFFF"/>
                <w:sz w:val="18"/>
              </w:rPr>
              <w:t xml:space="preserve">que </w:t>
            </w:r>
            <w:r>
              <w:rPr>
                <w:b/>
                <w:color w:val="FFFFFF"/>
                <w:spacing w:val="-2"/>
                <w:sz w:val="18"/>
              </w:rPr>
              <w:t>responde.</w:t>
            </w:r>
          </w:p>
        </w:tc>
        <w:tc>
          <w:tcPr>
            <w:tcW w:w="1337" w:type="dxa"/>
            <w:tcBorders>
              <w:left w:val="single" w:sz="4" w:space="0" w:color="000000"/>
              <w:bottom w:val="single" w:sz="4" w:space="0" w:color="000000"/>
            </w:tcBorders>
            <w:shd w:val="clear" w:color="auto" w:fill="D44673"/>
          </w:tcPr>
          <w:p w14:paraId="6E296DD3" w14:textId="77777777" w:rsidR="000E52B0" w:rsidRDefault="00F60D74">
            <w:pPr>
              <w:pStyle w:val="TableParagraph"/>
              <w:spacing w:before="217" w:line="242" w:lineRule="auto"/>
              <w:ind w:left="579" w:right="91" w:hanging="473"/>
              <w:rPr>
                <w:b/>
                <w:sz w:val="18"/>
              </w:rPr>
            </w:pPr>
            <w:proofErr w:type="spellStart"/>
            <w:r>
              <w:rPr>
                <w:b/>
                <w:color w:val="FFFFFF"/>
                <w:spacing w:val="-2"/>
                <w:sz w:val="18"/>
              </w:rPr>
              <w:t>Competenc</w:t>
            </w:r>
            <w:proofErr w:type="spellEnd"/>
            <w:r>
              <w:rPr>
                <w:b/>
                <w:color w:val="FFFFFF"/>
                <w:spacing w:val="-2"/>
                <w:sz w:val="18"/>
              </w:rPr>
              <w:t xml:space="preserve"> </w:t>
            </w:r>
            <w:proofErr w:type="spellStart"/>
            <w:r>
              <w:rPr>
                <w:b/>
                <w:color w:val="FFFFFF"/>
                <w:spacing w:val="-6"/>
                <w:sz w:val="18"/>
              </w:rPr>
              <w:t>ia</w:t>
            </w:r>
            <w:proofErr w:type="spellEnd"/>
          </w:p>
        </w:tc>
      </w:tr>
      <w:tr w:rsidR="000E52B0" w14:paraId="6575ECF2" w14:textId="77777777">
        <w:trPr>
          <w:trHeight w:val="8100"/>
        </w:trPr>
        <w:tc>
          <w:tcPr>
            <w:tcW w:w="1416" w:type="dxa"/>
            <w:tcBorders>
              <w:top w:val="single" w:sz="4" w:space="0" w:color="000000"/>
              <w:bottom w:val="single" w:sz="4" w:space="0" w:color="000000"/>
              <w:right w:val="single" w:sz="4" w:space="0" w:color="000000"/>
            </w:tcBorders>
          </w:tcPr>
          <w:p w14:paraId="004404D5" w14:textId="77777777" w:rsidR="000E52B0" w:rsidRDefault="00F60D74">
            <w:pPr>
              <w:pStyle w:val="TableParagraph"/>
              <w:spacing w:before="3"/>
              <w:ind w:left="90"/>
              <w:rPr>
                <w:sz w:val="18"/>
              </w:rPr>
            </w:pPr>
            <w:r>
              <w:rPr>
                <w:spacing w:val="-2"/>
                <w:sz w:val="18"/>
              </w:rPr>
              <w:t xml:space="preserve">INDUSTRIA, </w:t>
            </w:r>
            <w:r>
              <w:rPr>
                <w:sz w:val="18"/>
              </w:rPr>
              <w:t>COMERCIO</w:t>
            </w:r>
            <w:r>
              <w:rPr>
                <w:spacing w:val="22"/>
                <w:sz w:val="18"/>
              </w:rPr>
              <w:t xml:space="preserve"> </w:t>
            </w:r>
            <w:r>
              <w:rPr>
                <w:sz w:val="18"/>
              </w:rPr>
              <w:t xml:space="preserve">Y </w:t>
            </w:r>
            <w:r>
              <w:rPr>
                <w:spacing w:val="-2"/>
                <w:sz w:val="18"/>
              </w:rPr>
              <w:t>TURISMO.</w:t>
            </w:r>
          </w:p>
          <w:p w14:paraId="4C79FE66" w14:textId="77777777" w:rsidR="000E52B0" w:rsidRDefault="00F60D74">
            <w:pPr>
              <w:pStyle w:val="TableParagraph"/>
              <w:spacing w:before="2" w:line="219" w:lineRule="exact"/>
              <w:ind w:left="90"/>
              <w:rPr>
                <w:sz w:val="18"/>
              </w:rPr>
            </w:pPr>
            <w:proofErr w:type="gramStart"/>
            <w:r>
              <w:rPr>
                <w:sz w:val="18"/>
              </w:rPr>
              <w:t>Ley</w:t>
            </w:r>
            <w:r>
              <w:rPr>
                <w:spacing w:val="25"/>
                <w:sz w:val="18"/>
              </w:rPr>
              <w:t xml:space="preserve">  </w:t>
            </w:r>
            <w:r>
              <w:rPr>
                <w:sz w:val="18"/>
              </w:rPr>
              <w:t>790</w:t>
            </w:r>
            <w:proofErr w:type="gramEnd"/>
            <w:r>
              <w:rPr>
                <w:spacing w:val="26"/>
                <w:sz w:val="18"/>
              </w:rPr>
              <w:t xml:space="preserve">  </w:t>
            </w:r>
            <w:r>
              <w:rPr>
                <w:spacing w:val="-5"/>
                <w:sz w:val="18"/>
              </w:rPr>
              <w:t>de</w:t>
            </w:r>
          </w:p>
          <w:p w14:paraId="7F217089" w14:textId="77777777" w:rsidR="000E52B0" w:rsidRDefault="00F60D74">
            <w:pPr>
              <w:pStyle w:val="TableParagraph"/>
              <w:tabs>
                <w:tab w:val="left" w:pos="1222"/>
              </w:tabs>
              <w:spacing w:line="218" w:lineRule="exact"/>
              <w:ind w:left="90"/>
              <w:rPr>
                <w:sz w:val="18"/>
              </w:rPr>
            </w:pPr>
            <w:r>
              <w:rPr>
                <w:spacing w:val="-4"/>
                <w:sz w:val="18"/>
              </w:rPr>
              <w:t>2002</w:t>
            </w:r>
            <w:r>
              <w:rPr>
                <w:sz w:val="18"/>
              </w:rPr>
              <w:tab/>
            </w:r>
            <w:r>
              <w:rPr>
                <w:spacing w:val="-10"/>
                <w:sz w:val="18"/>
              </w:rPr>
              <w:t>y</w:t>
            </w:r>
          </w:p>
          <w:p w14:paraId="40E72C0F" w14:textId="77777777" w:rsidR="000E52B0" w:rsidRDefault="00F60D74">
            <w:pPr>
              <w:pStyle w:val="TableParagraph"/>
              <w:ind w:left="90"/>
              <w:rPr>
                <w:sz w:val="18"/>
              </w:rPr>
            </w:pPr>
            <w:r>
              <w:rPr>
                <w:spacing w:val="-2"/>
                <w:sz w:val="18"/>
              </w:rPr>
              <w:t>Decreto</w:t>
            </w:r>
          </w:p>
        </w:tc>
        <w:tc>
          <w:tcPr>
            <w:tcW w:w="1601" w:type="dxa"/>
            <w:tcBorders>
              <w:top w:val="single" w:sz="4" w:space="0" w:color="000000"/>
              <w:left w:val="single" w:sz="4" w:space="0" w:color="000000"/>
              <w:bottom w:val="single" w:sz="4" w:space="0" w:color="000000"/>
              <w:right w:val="single" w:sz="4" w:space="0" w:color="000000"/>
            </w:tcBorders>
          </w:tcPr>
          <w:p w14:paraId="7F9211B0" w14:textId="77777777" w:rsidR="000E52B0" w:rsidRDefault="00F60D74">
            <w:pPr>
              <w:pStyle w:val="TableParagraph"/>
              <w:tabs>
                <w:tab w:val="left" w:pos="1292"/>
              </w:tabs>
              <w:spacing w:before="3"/>
              <w:ind w:left="93" w:right="75"/>
              <w:rPr>
                <w:sz w:val="18"/>
              </w:rPr>
            </w:pPr>
            <w:r>
              <w:rPr>
                <w:sz w:val="18"/>
              </w:rPr>
              <w:t>y</w:t>
            </w:r>
            <w:r>
              <w:rPr>
                <w:spacing w:val="24"/>
                <w:sz w:val="18"/>
              </w:rPr>
              <w:t xml:space="preserve"> </w:t>
            </w:r>
            <w:r>
              <w:rPr>
                <w:sz w:val="18"/>
              </w:rPr>
              <w:t>coordinar</w:t>
            </w:r>
            <w:r>
              <w:rPr>
                <w:spacing w:val="24"/>
                <w:sz w:val="18"/>
              </w:rPr>
              <w:t xml:space="preserve"> </w:t>
            </w:r>
            <w:r>
              <w:rPr>
                <w:sz w:val="18"/>
              </w:rPr>
              <w:t xml:space="preserve">las </w:t>
            </w:r>
            <w:r>
              <w:rPr>
                <w:spacing w:val="-2"/>
                <w:sz w:val="18"/>
              </w:rPr>
              <w:t>políticas generales</w:t>
            </w:r>
            <w:r>
              <w:rPr>
                <w:sz w:val="18"/>
              </w:rPr>
              <w:tab/>
            </w:r>
            <w:r>
              <w:rPr>
                <w:spacing w:val="-5"/>
                <w:sz w:val="18"/>
              </w:rPr>
              <w:t>en</w:t>
            </w:r>
          </w:p>
          <w:p w14:paraId="21BD8FC4" w14:textId="77777777" w:rsidR="000E52B0" w:rsidRDefault="00F60D74">
            <w:pPr>
              <w:pStyle w:val="TableParagraph"/>
              <w:tabs>
                <w:tab w:val="left" w:pos="1294"/>
                <w:tab w:val="left" w:pos="1355"/>
                <w:tab w:val="left" w:pos="1404"/>
              </w:tabs>
              <w:spacing w:before="2"/>
              <w:ind w:left="93" w:right="75"/>
              <w:rPr>
                <w:sz w:val="18"/>
              </w:rPr>
            </w:pPr>
            <w:r>
              <w:rPr>
                <w:spacing w:val="-2"/>
                <w:sz w:val="18"/>
              </w:rPr>
              <w:t>materia</w:t>
            </w:r>
            <w:r>
              <w:rPr>
                <w:sz w:val="18"/>
              </w:rPr>
              <w:tab/>
            </w:r>
            <w:r>
              <w:rPr>
                <w:spacing w:val="-6"/>
                <w:sz w:val="18"/>
              </w:rPr>
              <w:t xml:space="preserve">de </w:t>
            </w:r>
            <w:r>
              <w:rPr>
                <w:spacing w:val="-2"/>
                <w:sz w:val="18"/>
              </w:rPr>
              <w:t>desarrollo económico</w:t>
            </w:r>
            <w:r>
              <w:rPr>
                <w:sz w:val="18"/>
              </w:rPr>
              <w:tab/>
            </w:r>
            <w:r>
              <w:rPr>
                <w:sz w:val="18"/>
              </w:rPr>
              <w:tab/>
            </w:r>
            <w:r>
              <w:rPr>
                <w:sz w:val="18"/>
              </w:rPr>
              <w:tab/>
            </w:r>
            <w:r>
              <w:rPr>
                <w:spacing w:val="-10"/>
                <w:sz w:val="18"/>
              </w:rPr>
              <w:t xml:space="preserve">y </w:t>
            </w:r>
            <w:r>
              <w:rPr>
                <w:sz w:val="18"/>
              </w:rPr>
              <w:t>social</w:t>
            </w:r>
            <w:r>
              <w:rPr>
                <w:spacing w:val="27"/>
                <w:sz w:val="18"/>
              </w:rPr>
              <w:t xml:space="preserve"> </w:t>
            </w:r>
            <w:r>
              <w:rPr>
                <w:sz w:val="18"/>
              </w:rPr>
              <w:t>del</w:t>
            </w:r>
            <w:r>
              <w:rPr>
                <w:spacing w:val="27"/>
                <w:sz w:val="18"/>
              </w:rPr>
              <w:t xml:space="preserve"> </w:t>
            </w:r>
            <w:r>
              <w:rPr>
                <w:sz w:val="18"/>
              </w:rPr>
              <w:t xml:space="preserve">país, </w:t>
            </w:r>
            <w:r>
              <w:rPr>
                <w:spacing w:val="-2"/>
                <w:sz w:val="18"/>
              </w:rPr>
              <w:t xml:space="preserve">relacionadas </w:t>
            </w:r>
            <w:r>
              <w:rPr>
                <w:spacing w:val="-5"/>
                <w:sz w:val="18"/>
              </w:rPr>
              <w:t>con</w:t>
            </w:r>
            <w:r>
              <w:rPr>
                <w:sz w:val="18"/>
              </w:rPr>
              <w:tab/>
            </w:r>
            <w:r>
              <w:rPr>
                <w:sz w:val="18"/>
              </w:rPr>
              <w:tab/>
            </w:r>
            <w:r>
              <w:rPr>
                <w:spacing w:val="-5"/>
                <w:sz w:val="18"/>
              </w:rPr>
              <w:t>la</w:t>
            </w:r>
          </w:p>
          <w:p w14:paraId="00410B61" w14:textId="77777777" w:rsidR="000E52B0" w:rsidRDefault="00F60D74">
            <w:pPr>
              <w:pStyle w:val="TableParagraph"/>
              <w:tabs>
                <w:tab w:val="left" w:pos="1405"/>
              </w:tabs>
              <w:spacing w:line="242" w:lineRule="auto"/>
              <w:ind w:left="93" w:right="76"/>
              <w:rPr>
                <w:sz w:val="18"/>
              </w:rPr>
            </w:pPr>
            <w:r>
              <w:rPr>
                <w:spacing w:val="-2"/>
                <w:sz w:val="18"/>
              </w:rPr>
              <w:t>competitividad, integración</w:t>
            </w:r>
            <w:r>
              <w:rPr>
                <w:sz w:val="18"/>
              </w:rPr>
              <w:tab/>
            </w:r>
            <w:r>
              <w:rPr>
                <w:spacing w:val="-10"/>
                <w:sz w:val="18"/>
              </w:rPr>
              <w:t>y</w:t>
            </w:r>
          </w:p>
          <w:p w14:paraId="5A5E2C0D" w14:textId="77777777" w:rsidR="000E52B0" w:rsidRDefault="00F60D74">
            <w:pPr>
              <w:pStyle w:val="TableParagraph"/>
              <w:tabs>
                <w:tab w:val="left" w:pos="692"/>
                <w:tab w:val="left" w:pos="736"/>
                <w:tab w:val="left" w:pos="992"/>
                <w:tab w:val="left" w:pos="1291"/>
                <w:tab w:val="left" w:pos="1354"/>
                <w:tab w:val="left" w:pos="1404"/>
              </w:tabs>
              <w:ind w:left="93" w:right="75"/>
              <w:rPr>
                <w:sz w:val="18"/>
              </w:rPr>
            </w:pPr>
            <w:r>
              <w:rPr>
                <w:spacing w:val="-2"/>
                <w:sz w:val="18"/>
              </w:rPr>
              <w:t>desarrollo</w:t>
            </w:r>
            <w:r>
              <w:rPr>
                <w:sz w:val="18"/>
              </w:rPr>
              <w:tab/>
            </w:r>
            <w:r>
              <w:rPr>
                <w:sz w:val="18"/>
              </w:rPr>
              <w:tab/>
            </w:r>
            <w:r>
              <w:rPr>
                <w:spacing w:val="-61"/>
                <w:sz w:val="18"/>
              </w:rPr>
              <w:t xml:space="preserve"> </w:t>
            </w:r>
            <w:r>
              <w:rPr>
                <w:spacing w:val="-4"/>
                <w:sz w:val="18"/>
              </w:rPr>
              <w:t>de los</w:t>
            </w:r>
            <w:r>
              <w:rPr>
                <w:sz w:val="18"/>
              </w:rPr>
              <w:tab/>
            </w:r>
            <w:r>
              <w:rPr>
                <w:sz w:val="18"/>
              </w:rPr>
              <w:tab/>
            </w:r>
            <w:r>
              <w:rPr>
                <w:spacing w:val="-41"/>
                <w:sz w:val="18"/>
              </w:rPr>
              <w:t xml:space="preserve"> </w:t>
            </w:r>
            <w:r>
              <w:rPr>
                <w:spacing w:val="-2"/>
                <w:sz w:val="18"/>
              </w:rPr>
              <w:t xml:space="preserve">sectores </w:t>
            </w:r>
            <w:r>
              <w:rPr>
                <w:sz w:val="18"/>
              </w:rPr>
              <w:t>productivos</w:t>
            </w:r>
            <w:r>
              <w:rPr>
                <w:spacing w:val="40"/>
                <w:sz w:val="18"/>
              </w:rPr>
              <w:t xml:space="preserve"> </w:t>
            </w:r>
            <w:r>
              <w:rPr>
                <w:sz w:val="18"/>
              </w:rPr>
              <w:t>de la</w:t>
            </w:r>
            <w:r>
              <w:rPr>
                <w:spacing w:val="40"/>
                <w:sz w:val="18"/>
              </w:rPr>
              <w:t xml:space="preserve"> </w:t>
            </w:r>
            <w:r>
              <w:rPr>
                <w:sz w:val="18"/>
              </w:rPr>
              <w:t>industria,</w:t>
            </w:r>
            <w:r>
              <w:rPr>
                <w:spacing w:val="40"/>
                <w:sz w:val="18"/>
              </w:rPr>
              <w:t xml:space="preserve"> </w:t>
            </w:r>
            <w:r>
              <w:rPr>
                <w:sz w:val="18"/>
              </w:rPr>
              <w:t>la micro,</w:t>
            </w:r>
            <w:r>
              <w:rPr>
                <w:spacing w:val="-16"/>
                <w:sz w:val="18"/>
              </w:rPr>
              <w:t xml:space="preserve"> </w:t>
            </w:r>
            <w:r>
              <w:rPr>
                <w:sz w:val="18"/>
              </w:rPr>
              <w:t xml:space="preserve">pequeña </w:t>
            </w:r>
            <w:r>
              <w:rPr>
                <w:spacing w:val="-10"/>
                <w:sz w:val="18"/>
              </w:rPr>
              <w:t>y</w:t>
            </w:r>
            <w:r>
              <w:rPr>
                <w:sz w:val="18"/>
              </w:rPr>
              <w:tab/>
            </w:r>
            <w:r>
              <w:rPr>
                <w:sz w:val="18"/>
              </w:rPr>
              <w:tab/>
            </w:r>
            <w:r>
              <w:rPr>
                <w:spacing w:val="-2"/>
                <w:sz w:val="18"/>
              </w:rPr>
              <w:t>mediana empresa,</w:t>
            </w:r>
            <w:r>
              <w:rPr>
                <w:sz w:val="18"/>
              </w:rPr>
              <w:tab/>
            </w:r>
            <w:r>
              <w:rPr>
                <w:sz w:val="18"/>
              </w:rPr>
              <w:tab/>
            </w:r>
            <w:r>
              <w:rPr>
                <w:sz w:val="18"/>
              </w:rPr>
              <w:tab/>
            </w:r>
            <w:r>
              <w:rPr>
                <w:spacing w:val="-6"/>
                <w:sz w:val="18"/>
              </w:rPr>
              <w:t xml:space="preserve">el </w:t>
            </w:r>
            <w:r>
              <w:rPr>
                <w:spacing w:val="-2"/>
                <w:sz w:val="18"/>
              </w:rPr>
              <w:t>comercio exterior</w:t>
            </w:r>
            <w:r>
              <w:rPr>
                <w:sz w:val="18"/>
              </w:rPr>
              <w:tab/>
            </w:r>
            <w:r>
              <w:rPr>
                <w:sz w:val="18"/>
              </w:rPr>
              <w:tab/>
            </w:r>
            <w:r>
              <w:rPr>
                <w:spacing w:val="-6"/>
                <w:sz w:val="18"/>
              </w:rPr>
              <w:t xml:space="preserve">de </w:t>
            </w:r>
            <w:r>
              <w:rPr>
                <w:spacing w:val="-2"/>
                <w:sz w:val="18"/>
              </w:rPr>
              <w:t>bienes,</w:t>
            </w:r>
            <w:r>
              <w:rPr>
                <w:spacing w:val="40"/>
                <w:sz w:val="18"/>
              </w:rPr>
              <w:t xml:space="preserve"> </w:t>
            </w:r>
            <w:r>
              <w:rPr>
                <w:spacing w:val="-2"/>
                <w:sz w:val="18"/>
              </w:rPr>
              <w:t>servicios</w:t>
            </w:r>
            <w:r>
              <w:rPr>
                <w:sz w:val="18"/>
              </w:rPr>
              <w:tab/>
            </w:r>
            <w:r>
              <w:rPr>
                <w:sz w:val="18"/>
              </w:rPr>
              <w:tab/>
            </w:r>
            <w:r>
              <w:rPr>
                <w:sz w:val="18"/>
              </w:rPr>
              <w:tab/>
            </w:r>
            <w:r>
              <w:rPr>
                <w:sz w:val="18"/>
              </w:rPr>
              <w:tab/>
            </w:r>
            <w:r>
              <w:rPr>
                <w:spacing w:val="-63"/>
                <w:sz w:val="18"/>
              </w:rPr>
              <w:t xml:space="preserve"> </w:t>
            </w:r>
            <w:r>
              <w:rPr>
                <w:spacing w:val="-10"/>
                <w:sz w:val="18"/>
              </w:rPr>
              <w:t xml:space="preserve">y </w:t>
            </w:r>
            <w:r>
              <w:rPr>
                <w:spacing w:val="-2"/>
                <w:sz w:val="18"/>
              </w:rPr>
              <w:t>tecnología,</w:t>
            </w:r>
            <w:r>
              <w:rPr>
                <w:sz w:val="18"/>
              </w:rPr>
              <w:tab/>
            </w:r>
            <w:r>
              <w:rPr>
                <w:sz w:val="18"/>
              </w:rPr>
              <w:tab/>
            </w:r>
            <w:r>
              <w:rPr>
                <w:spacing w:val="-6"/>
                <w:sz w:val="18"/>
              </w:rPr>
              <w:t xml:space="preserve">la </w:t>
            </w:r>
            <w:r>
              <w:rPr>
                <w:spacing w:val="-2"/>
                <w:sz w:val="18"/>
              </w:rPr>
              <w:t>promoción</w:t>
            </w:r>
            <w:r>
              <w:rPr>
                <w:sz w:val="18"/>
              </w:rPr>
              <w:tab/>
            </w:r>
            <w:r>
              <w:rPr>
                <w:spacing w:val="-63"/>
                <w:sz w:val="18"/>
              </w:rPr>
              <w:t xml:space="preserve"> </w:t>
            </w:r>
            <w:r>
              <w:rPr>
                <w:spacing w:val="-6"/>
                <w:sz w:val="18"/>
              </w:rPr>
              <w:t>de la</w:t>
            </w:r>
            <w:r>
              <w:rPr>
                <w:sz w:val="18"/>
              </w:rPr>
              <w:tab/>
            </w:r>
            <w:r>
              <w:rPr>
                <w:spacing w:val="-2"/>
                <w:sz w:val="18"/>
              </w:rPr>
              <w:t>inversión extranjera,</w:t>
            </w:r>
            <w:r>
              <w:rPr>
                <w:sz w:val="18"/>
              </w:rPr>
              <w:tab/>
            </w:r>
            <w:r>
              <w:rPr>
                <w:sz w:val="18"/>
              </w:rPr>
              <w:tab/>
            </w:r>
            <w:r>
              <w:rPr>
                <w:spacing w:val="-61"/>
                <w:sz w:val="18"/>
              </w:rPr>
              <w:t xml:space="preserve"> </w:t>
            </w:r>
            <w:r>
              <w:rPr>
                <w:spacing w:val="-4"/>
                <w:sz w:val="18"/>
              </w:rPr>
              <w:t xml:space="preserve">el </w:t>
            </w:r>
            <w:r>
              <w:rPr>
                <w:spacing w:val="-2"/>
                <w:sz w:val="18"/>
              </w:rPr>
              <w:t>comercio interno</w:t>
            </w:r>
            <w:r>
              <w:rPr>
                <w:sz w:val="18"/>
              </w:rPr>
              <w:tab/>
            </w:r>
            <w:r>
              <w:rPr>
                <w:sz w:val="18"/>
              </w:rPr>
              <w:tab/>
            </w:r>
            <w:r>
              <w:rPr>
                <w:spacing w:val="-10"/>
                <w:sz w:val="18"/>
              </w:rPr>
              <w:t>y</w:t>
            </w:r>
            <w:r>
              <w:rPr>
                <w:sz w:val="18"/>
              </w:rPr>
              <w:tab/>
            </w:r>
            <w:r>
              <w:rPr>
                <w:sz w:val="18"/>
              </w:rPr>
              <w:tab/>
            </w:r>
            <w:r>
              <w:rPr>
                <w:spacing w:val="-6"/>
                <w:sz w:val="18"/>
              </w:rPr>
              <w:t xml:space="preserve">el </w:t>
            </w:r>
            <w:r>
              <w:rPr>
                <w:spacing w:val="-2"/>
                <w:sz w:val="18"/>
              </w:rPr>
              <w:t>turismo;</w:t>
            </w:r>
            <w:r>
              <w:rPr>
                <w:sz w:val="18"/>
              </w:rPr>
              <w:tab/>
            </w:r>
            <w:r>
              <w:rPr>
                <w:sz w:val="18"/>
              </w:rPr>
              <w:tab/>
            </w:r>
            <w:r>
              <w:rPr>
                <w:sz w:val="18"/>
              </w:rPr>
              <w:tab/>
            </w:r>
            <w:r>
              <w:rPr>
                <w:sz w:val="18"/>
              </w:rPr>
              <w:tab/>
            </w:r>
            <w:r>
              <w:rPr>
                <w:spacing w:val="-10"/>
                <w:sz w:val="18"/>
              </w:rPr>
              <w:t>y</w:t>
            </w:r>
          </w:p>
          <w:p w14:paraId="69CCE82E" w14:textId="77777777" w:rsidR="000E52B0" w:rsidRDefault="00F60D74">
            <w:pPr>
              <w:pStyle w:val="TableParagraph"/>
              <w:tabs>
                <w:tab w:val="left" w:pos="1261"/>
                <w:tab w:val="left" w:pos="1405"/>
              </w:tabs>
              <w:ind w:left="93" w:right="75"/>
              <w:rPr>
                <w:sz w:val="18"/>
              </w:rPr>
            </w:pPr>
            <w:r>
              <w:rPr>
                <w:spacing w:val="-2"/>
                <w:sz w:val="18"/>
              </w:rPr>
              <w:t>ejecutar</w:t>
            </w:r>
            <w:r>
              <w:rPr>
                <w:sz w:val="18"/>
              </w:rPr>
              <w:tab/>
            </w:r>
            <w:r>
              <w:rPr>
                <w:spacing w:val="-4"/>
                <w:sz w:val="18"/>
              </w:rPr>
              <w:t xml:space="preserve">las </w:t>
            </w:r>
            <w:r>
              <w:rPr>
                <w:spacing w:val="-2"/>
                <w:sz w:val="18"/>
              </w:rPr>
              <w:t>políticas,</w:t>
            </w:r>
            <w:r>
              <w:rPr>
                <w:spacing w:val="80"/>
                <w:sz w:val="18"/>
              </w:rPr>
              <w:t xml:space="preserve"> </w:t>
            </w:r>
            <w:r>
              <w:rPr>
                <w:spacing w:val="-2"/>
                <w:sz w:val="18"/>
              </w:rPr>
              <w:t>planes generales, programas</w:t>
            </w:r>
            <w:r>
              <w:rPr>
                <w:sz w:val="18"/>
              </w:rPr>
              <w:tab/>
            </w:r>
            <w:r>
              <w:rPr>
                <w:sz w:val="18"/>
              </w:rPr>
              <w:tab/>
            </w:r>
            <w:r>
              <w:rPr>
                <w:spacing w:val="-10"/>
                <w:sz w:val="18"/>
              </w:rPr>
              <w:t>y</w:t>
            </w:r>
          </w:p>
          <w:p w14:paraId="74F425CB" w14:textId="77777777" w:rsidR="000E52B0" w:rsidRDefault="00F60D74">
            <w:pPr>
              <w:pStyle w:val="TableParagraph"/>
              <w:tabs>
                <w:tab w:val="left" w:pos="1292"/>
              </w:tabs>
              <w:spacing w:line="218" w:lineRule="exact"/>
              <w:ind w:left="93" w:right="76"/>
              <w:rPr>
                <w:sz w:val="18"/>
              </w:rPr>
            </w:pPr>
            <w:r>
              <w:rPr>
                <w:spacing w:val="-2"/>
                <w:sz w:val="18"/>
              </w:rPr>
              <w:t>proyectos</w:t>
            </w:r>
            <w:r>
              <w:rPr>
                <w:sz w:val="18"/>
              </w:rPr>
              <w:tab/>
            </w:r>
            <w:r>
              <w:rPr>
                <w:spacing w:val="-6"/>
                <w:sz w:val="18"/>
              </w:rPr>
              <w:t xml:space="preserve">de </w:t>
            </w:r>
            <w:r>
              <w:rPr>
                <w:spacing w:val="-2"/>
                <w:sz w:val="18"/>
              </w:rPr>
              <w:t>comercio exterior.</w:t>
            </w:r>
          </w:p>
        </w:tc>
        <w:tc>
          <w:tcPr>
            <w:tcW w:w="2647" w:type="dxa"/>
            <w:tcBorders>
              <w:top w:val="single" w:sz="4" w:space="0" w:color="000000"/>
              <w:left w:val="single" w:sz="4" w:space="0" w:color="000000"/>
              <w:bottom w:val="single" w:sz="4" w:space="0" w:color="000000"/>
              <w:right w:val="single" w:sz="4" w:space="0" w:color="000000"/>
            </w:tcBorders>
          </w:tcPr>
          <w:p w14:paraId="555ACAF7" w14:textId="77777777" w:rsidR="000E52B0" w:rsidRDefault="00F60D74">
            <w:pPr>
              <w:pStyle w:val="TableParagraph"/>
              <w:tabs>
                <w:tab w:val="left" w:pos="1771"/>
              </w:tabs>
              <w:spacing w:before="3"/>
              <w:ind w:left="91" w:right="77"/>
              <w:jc w:val="both"/>
              <w:rPr>
                <w:sz w:val="18"/>
              </w:rPr>
            </w:pPr>
            <w:r>
              <w:rPr>
                <w:sz w:val="18"/>
              </w:rPr>
              <w:t>programas de desarrollo económico y social; Formular la política en materia de desarrollo económico</w:t>
            </w:r>
            <w:r>
              <w:rPr>
                <w:spacing w:val="-7"/>
                <w:sz w:val="18"/>
              </w:rPr>
              <w:t xml:space="preserve"> </w:t>
            </w:r>
            <w:r>
              <w:rPr>
                <w:sz w:val="18"/>
              </w:rPr>
              <w:t>y</w:t>
            </w:r>
            <w:r>
              <w:rPr>
                <w:spacing w:val="-8"/>
                <w:sz w:val="18"/>
              </w:rPr>
              <w:t xml:space="preserve"> </w:t>
            </w:r>
            <w:r>
              <w:rPr>
                <w:sz w:val="18"/>
              </w:rPr>
              <w:t>social</w:t>
            </w:r>
            <w:r>
              <w:rPr>
                <w:spacing w:val="-8"/>
                <w:sz w:val="18"/>
              </w:rPr>
              <w:t xml:space="preserve"> </w:t>
            </w:r>
            <w:r>
              <w:rPr>
                <w:sz w:val="18"/>
              </w:rPr>
              <w:t>del</w:t>
            </w:r>
            <w:r>
              <w:rPr>
                <w:spacing w:val="-7"/>
                <w:sz w:val="18"/>
              </w:rPr>
              <w:t xml:space="preserve"> </w:t>
            </w:r>
            <w:r>
              <w:rPr>
                <w:sz w:val="18"/>
              </w:rPr>
              <w:t>país relacionada con la competitividad,</w:t>
            </w:r>
            <w:r>
              <w:rPr>
                <w:spacing w:val="-16"/>
                <w:sz w:val="18"/>
              </w:rPr>
              <w:t xml:space="preserve"> </w:t>
            </w:r>
            <w:r>
              <w:rPr>
                <w:sz w:val="18"/>
              </w:rPr>
              <w:t>integración y</w:t>
            </w:r>
            <w:r>
              <w:rPr>
                <w:spacing w:val="-13"/>
                <w:sz w:val="18"/>
              </w:rPr>
              <w:t xml:space="preserve"> </w:t>
            </w:r>
            <w:r>
              <w:rPr>
                <w:sz w:val="18"/>
              </w:rPr>
              <w:t>desarrollo</w:t>
            </w:r>
            <w:r>
              <w:rPr>
                <w:spacing w:val="-12"/>
                <w:sz w:val="18"/>
              </w:rPr>
              <w:t xml:space="preserve"> </w:t>
            </w:r>
            <w:r>
              <w:rPr>
                <w:sz w:val="18"/>
              </w:rPr>
              <w:t>de</w:t>
            </w:r>
            <w:r>
              <w:rPr>
                <w:spacing w:val="-12"/>
                <w:sz w:val="18"/>
              </w:rPr>
              <w:t xml:space="preserve"> </w:t>
            </w:r>
            <w:r>
              <w:rPr>
                <w:sz w:val="18"/>
              </w:rPr>
              <w:t>los</w:t>
            </w:r>
            <w:r>
              <w:rPr>
                <w:spacing w:val="-13"/>
                <w:sz w:val="18"/>
              </w:rPr>
              <w:t xml:space="preserve"> </w:t>
            </w:r>
            <w:r>
              <w:rPr>
                <w:sz w:val="18"/>
              </w:rPr>
              <w:t xml:space="preserve">sectores productivos de bienes, servicios entre ellos el turismo y tecnología para la micro, pequeña y mediana empresa, el comercio interno y el </w:t>
            </w:r>
            <w:r>
              <w:rPr>
                <w:spacing w:val="-2"/>
                <w:sz w:val="18"/>
              </w:rPr>
              <w:t>comercio</w:t>
            </w:r>
            <w:r>
              <w:rPr>
                <w:sz w:val="18"/>
              </w:rPr>
              <w:tab/>
            </w:r>
            <w:r>
              <w:rPr>
                <w:spacing w:val="-2"/>
                <w:sz w:val="18"/>
              </w:rPr>
              <w:t xml:space="preserve">exterior; </w:t>
            </w:r>
            <w:r>
              <w:rPr>
                <w:sz w:val="18"/>
              </w:rPr>
              <w:t>Formular la política y liderar</w:t>
            </w:r>
            <w:r>
              <w:rPr>
                <w:spacing w:val="-16"/>
                <w:sz w:val="18"/>
              </w:rPr>
              <w:t xml:space="preserve"> </w:t>
            </w:r>
            <w:r>
              <w:rPr>
                <w:sz w:val="18"/>
              </w:rPr>
              <w:t>el</w:t>
            </w:r>
            <w:r>
              <w:rPr>
                <w:spacing w:val="-16"/>
                <w:sz w:val="18"/>
              </w:rPr>
              <w:t xml:space="preserve"> </w:t>
            </w:r>
            <w:r>
              <w:rPr>
                <w:sz w:val="18"/>
              </w:rPr>
              <w:t>movimiento</w:t>
            </w:r>
            <w:r>
              <w:rPr>
                <w:spacing w:val="-16"/>
                <w:sz w:val="18"/>
              </w:rPr>
              <w:t xml:space="preserve"> </w:t>
            </w:r>
            <w:r>
              <w:rPr>
                <w:sz w:val="18"/>
              </w:rPr>
              <w:t>por</w:t>
            </w:r>
            <w:r>
              <w:rPr>
                <w:spacing w:val="-16"/>
                <w:sz w:val="18"/>
              </w:rPr>
              <w:t xml:space="preserve"> </w:t>
            </w:r>
            <w:r>
              <w:rPr>
                <w:sz w:val="18"/>
              </w:rPr>
              <w:t>el aumento de la productividad y mejora de la competitividad de las empresas colombianas</w:t>
            </w:r>
          </w:p>
        </w:tc>
        <w:tc>
          <w:tcPr>
            <w:tcW w:w="1985" w:type="dxa"/>
            <w:tcBorders>
              <w:top w:val="single" w:sz="4" w:space="0" w:color="000000"/>
              <w:left w:val="single" w:sz="4" w:space="0" w:color="000000"/>
              <w:bottom w:val="single" w:sz="4" w:space="0" w:color="000000"/>
              <w:right w:val="single" w:sz="4" w:space="0" w:color="000000"/>
            </w:tcBorders>
          </w:tcPr>
          <w:p w14:paraId="17294711" w14:textId="77777777" w:rsidR="000E52B0" w:rsidRDefault="00F60D74">
            <w:pPr>
              <w:pStyle w:val="TableParagraph"/>
              <w:spacing w:before="3"/>
              <w:ind w:left="91" w:right="75"/>
              <w:jc w:val="both"/>
              <w:rPr>
                <w:sz w:val="18"/>
              </w:rPr>
            </w:pPr>
            <w:r>
              <w:rPr>
                <w:sz w:val="18"/>
              </w:rPr>
              <w:t>vida económica (Art. 2 C.P)</w:t>
            </w:r>
          </w:p>
          <w:p w14:paraId="259808C8" w14:textId="77777777" w:rsidR="000E52B0" w:rsidRDefault="000E52B0">
            <w:pPr>
              <w:pStyle w:val="TableParagraph"/>
              <w:spacing w:before="1"/>
              <w:rPr>
                <w:sz w:val="18"/>
              </w:rPr>
            </w:pPr>
          </w:p>
          <w:p w14:paraId="54959D92" w14:textId="77777777" w:rsidR="000E52B0" w:rsidRDefault="00F60D74">
            <w:pPr>
              <w:pStyle w:val="TableParagraph"/>
              <w:spacing w:before="1"/>
              <w:ind w:left="91" w:right="75"/>
              <w:jc w:val="both"/>
              <w:rPr>
                <w:sz w:val="18"/>
              </w:rPr>
            </w:pPr>
            <w:r>
              <w:rPr>
                <w:sz w:val="18"/>
              </w:rPr>
              <w:t xml:space="preserve">Promoción de formas asociativas y solidarias de propiedad (art. 58 </w:t>
            </w:r>
            <w:r>
              <w:rPr>
                <w:spacing w:val="-4"/>
                <w:sz w:val="18"/>
              </w:rPr>
              <w:t>C.P)</w:t>
            </w:r>
          </w:p>
          <w:p w14:paraId="0ACADDBB" w14:textId="77777777" w:rsidR="000E52B0" w:rsidRDefault="00F60D74">
            <w:pPr>
              <w:pStyle w:val="TableParagraph"/>
              <w:tabs>
                <w:tab w:val="left" w:pos="1677"/>
              </w:tabs>
              <w:spacing w:before="216"/>
              <w:ind w:left="91" w:right="75"/>
              <w:jc w:val="both"/>
              <w:rPr>
                <w:sz w:val="18"/>
              </w:rPr>
            </w:pPr>
            <w:r>
              <w:rPr>
                <w:spacing w:val="-2"/>
                <w:sz w:val="18"/>
              </w:rPr>
              <w:t>Gestión</w:t>
            </w:r>
            <w:r>
              <w:rPr>
                <w:sz w:val="18"/>
              </w:rPr>
              <w:tab/>
            </w:r>
            <w:r>
              <w:rPr>
                <w:spacing w:val="-6"/>
                <w:sz w:val="18"/>
              </w:rPr>
              <w:t xml:space="preserve">de </w:t>
            </w:r>
            <w:r>
              <w:rPr>
                <w:sz w:val="18"/>
              </w:rPr>
              <w:t xml:space="preserve">empresas (art. 57 </w:t>
            </w:r>
            <w:r>
              <w:rPr>
                <w:spacing w:val="-4"/>
                <w:sz w:val="18"/>
              </w:rPr>
              <w:t>C.P)</w:t>
            </w:r>
          </w:p>
        </w:tc>
        <w:tc>
          <w:tcPr>
            <w:tcW w:w="1337" w:type="dxa"/>
            <w:tcBorders>
              <w:top w:val="single" w:sz="4" w:space="0" w:color="000000"/>
              <w:left w:val="single" w:sz="4" w:space="0" w:color="000000"/>
              <w:bottom w:val="single" w:sz="4" w:space="0" w:color="000000"/>
            </w:tcBorders>
          </w:tcPr>
          <w:p w14:paraId="23A913CB" w14:textId="77777777" w:rsidR="000E52B0" w:rsidRDefault="00F60D74">
            <w:pPr>
              <w:pStyle w:val="TableParagraph"/>
              <w:tabs>
                <w:tab w:val="left" w:pos="1030"/>
              </w:tabs>
              <w:spacing w:before="3" w:line="219" w:lineRule="exact"/>
              <w:ind w:left="92"/>
              <w:rPr>
                <w:sz w:val="18"/>
              </w:rPr>
            </w:pPr>
            <w:proofErr w:type="spellStart"/>
            <w:r>
              <w:rPr>
                <w:spacing w:val="-5"/>
                <w:sz w:val="18"/>
              </w:rPr>
              <w:t>vo</w:t>
            </w:r>
            <w:proofErr w:type="spellEnd"/>
            <w:r>
              <w:rPr>
                <w:sz w:val="18"/>
              </w:rPr>
              <w:tab/>
            </w:r>
            <w:r>
              <w:rPr>
                <w:spacing w:val="-5"/>
                <w:sz w:val="18"/>
              </w:rPr>
              <w:t>de</w:t>
            </w:r>
          </w:p>
          <w:p w14:paraId="286929D1" w14:textId="77777777" w:rsidR="000E52B0" w:rsidRDefault="00F60D74">
            <w:pPr>
              <w:pStyle w:val="TableParagraph"/>
              <w:tabs>
                <w:tab w:val="left" w:pos="1142"/>
              </w:tabs>
              <w:ind w:left="92" w:right="73"/>
              <w:rPr>
                <w:sz w:val="18"/>
              </w:rPr>
            </w:pPr>
            <w:r>
              <w:rPr>
                <w:spacing w:val="-2"/>
                <w:sz w:val="18"/>
              </w:rPr>
              <w:t>Comercio, Industria</w:t>
            </w:r>
            <w:r>
              <w:rPr>
                <w:sz w:val="18"/>
              </w:rPr>
              <w:tab/>
            </w:r>
            <w:r>
              <w:rPr>
                <w:spacing w:val="-10"/>
                <w:sz w:val="18"/>
              </w:rPr>
              <w:t xml:space="preserve">y </w:t>
            </w:r>
            <w:r>
              <w:rPr>
                <w:spacing w:val="-2"/>
                <w:sz w:val="18"/>
              </w:rPr>
              <w:t>Turismo</w:t>
            </w:r>
          </w:p>
        </w:tc>
      </w:tr>
      <w:tr w:rsidR="000E52B0" w14:paraId="62389A2A" w14:textId="77777777">
        <w:trPr>
          <w:trHeight w:val="4811"/>
        </w:trPr>
        <w:tc>
          <w:tcPr>
            <w:tcW w:w="1416" w:type="dxa"/>
            <w:tcBorders>
              <w:top w:val="single" w:sz="4" w:space="0" w:color="000000"/>
              <w:right w:val="single" w:sz="4" w:space="0" w:color="000000"/>
            </w:tcBorders>
          </w:tcPr>
          <w:p w14:paraId="780FFEB1" w14:textId="77777777" w:rsidR="000E52B0" w:rsidRDefault="00F60D74">
            <w:pPr>
              <w:pStyle w:val="TableParagraph"/>
              <w:tabs>
                <w:tab w:val="left" w:pos="1213"/>
              </w:tabs>
              <w:ind w:left="90" w:right="76"/>
              <w:rPr>
                <w:sz w:val="18"/>
              </w:rPr>
            </w:pPr>
            <w:r>
              <w:rPr>
                <w:spacing w:val="-2"/>
                <w:sz w:val="18"/>
              </w:rPr>
              <w:t xml:space="preserve">MINISTERIO </w:t>
            </w:r>
            <w:r>
              <w:rPr>
                <w:spacing w:val="-6"/>
                <w:sz w:val="18"/>
              </w:rPr>
              <w:t xml:space="preserve">DE </w:t>
            </w:r>
            <w:r>
              <w:rPr>
                <w:spacing w:val="-2"/>
                <w:sz w:val="18"/>
              </w:rPr>
              <w:t xml:space="preserve">AGRICULTUR </w:t>
            </w:r>
            <w:r>
              <w:rPr>
                <w:spacing w:val="-10"/>
                <w:sz w:val="18"/>
              </w:rPr>
              <w:t>A</w:t>
            </w:r>
            <w:r>
              <w:rPr>
                <w:sz w:val="18"/>
              </w:rPr>
              <w:tab/>
            </w:r>
            <w:r>
              <w:rPr>
                <w:spacing w:val="-10"/>
                <w:sz w:val="18"/>
              </w:rPr>
              <w:t>Y</w:t>
            </w:r>
          </w:p>
          <w:p w14:paraId="18AAB308" w14:textId="77777777" w:rsidR="000E52B0" w:rsidRDefault="00F60D74">
            <w:pPr>
              <w:pStyle w:val="TableParagraph"/>
              <w:spacing w:line="242" w:lineRule="auto"/>
              <w:ind w:left="90"/>
              <w:rPr>
                <w:sz w:val="18"/>
              </w:rPr>
            </w:pPr>
            <w:r>
              <w:rPr>
                <w:spacing w:val="-2"/>
                <w:sz w:val="18"/>
              </w:rPr>
              <w:t>DESARROLLO RURAL.</w:t>
            </w:r>
          </w:p>
          <w:p w14:paraId="67A2EE94" w14:textId="77777777" w:rsidR="000E52B0" w:rsidRDefault="00F60D74">
            <w:pPr>
              <w:pStyle w:val="TableParagraph"/>
              <w:spacing w:line="216" w:lineRule="exact"/>
              <w:ind w:left="90"/>
              <w:rPr>
                <w:sz w:val="18"/>
              </w:rPr>
            </w:pPr>
            <w:r>
              <w:rPr>
                <w:sz w:val="18"/>
              </w:rPr>
              <w:t>Decreto</w:t>
            </w:r>
            <w:r>
              <w:rPr>
                <w:spacing w:val="8"/>
                <w:sz w:val="18"/>
              </w:rPr>
              <w:t xml:space="preserve"> </w:t>
            </w:r>
            <w:r>
              <w:rPr>
                <w:spacing w:val="-4"/>
                <w:sz w:val="18"/>
              </w:rPr>
              <w:t>1985</w:t>
            </w:r>
          </w:p>
          <w:p w14:paraId="70A79834" w14:textId="77777777" w:rsidR="000E52B0" w:rsidRDefault="00F60D74">
            <w:pPr>
              <w:pStyle w:val="TableParagraph"/>
              <w:ind w:left="90"/>
              <w:rPr>
                <w:sz w:val="18"/>
              </w:rPr>
            </w:pPr>
            <w:r>
              <w:rPr>
                <w:sz w:val="18"/>
              </w:rPr>
              <w:t>de</w:t>
            </w:r>
            <w:r>
              <w:rPr>
                <w:spacing w:val="-1"/>
                <w:sz w:val="18"/>
              </w:rPr>
              <w:t xml:space="preserve"> </w:t>
            </w:r>
            <w:r>
              <w:rPr>
                <w:spacing w:val="-4"/>
                <w:sz w:val="18"/>
              </w:rPr>
              <w:t>2013</w:t>
            </w:r>
          </w:p>
        </w:tc>
        <w:tc>
          <w:tcPr>
            <w:tcW w:w="1601" w:type="dxa"/>
            <w:tcBorders>
              <w:top w:val="single" w:sz="4" w:space="0" w:color="000000"/>
              <w:left w:val="single" w:sz="4" w:space="0" w:color="000000"/>
              <w:right w:val="single" w:sz="4" w:space="0" w:color="000000"/>
            </w:tcBorders>
          </w:tcPr>
          <w:p w14:paraId="6886E711" w14:textId="77777777" w:rsidR="000E52B0" w:rsidRDefault="00F60D74">
            <w:pPr>
              <w:pStyle w:val="TableParagraph"/>
              <w:tabs>
                <w:tab w:val="left" w:pos="786"/>
                <w:tab w:val="left" w:pos="1355"/>
              </w:tabs>
              <w:ind w:left="93" w:right="75"/>
              <w:rPr>
                <w:sz w:val="18"/>
              </w:rPr>
            </w:pPr>
            <w:r>
              <w:rPr>
                <w:spacing w:val="-2"/>
                <w:sz w:val="18"/>
              </w:rPr>
              <w:t>Promover</w:t>
            </w:r>
            <w:r>
              <w:rPr>
                <w:sz w:val="18"/>
              </w:rPr>
              <w:tab/>
            </w:r>
            <w:r>
              <w:rPr>
                <w:spacing w:val="-6"/>
                <w:sz w:val="18"/>
              </w:rPr>
              <w:t xml:space="preserve">el </w:t>
            </w:r>
            <w:r>
              <w:rPr>
                <w:sz w:val="18"/>
              </w:rPr>
              <w:t>desarrollo</w:t>
            </w:r>
            <w:r>
              <w:rPr>
                <w:spacing w:val="2"/>
                <w:sz w:val="18"/>
              </w:rPr>
              <w:t xml:space="preserve"> </w:t>
            </w:r>
            <w:r>
              <w:rPr>
                <w:sz w:val="18"/>
              </w:rPr>
              <w:t xml:space="preserve">rural </w:t>
            </w:r>
            <w:r>
              <w:rPr>
                <w:spacing w:val="-4"/>
                <w:sz w:val="18"/>
              </w:rPr>
              <w:t>con</w:t>
            </w:r>
            <w:r>
              <w:rPr>
                <w:sz w:val="18"/>
              </w:rPr>
              <w:tab/>
            </w:r>
            <w:r>
              <w:rPr>
                <w:spacing w:val="-2"/>
                <w:sz w:val="18"/>
              </w:rPr>
              <w:t xml:space="preserve">enfoque </w:t>
            </w:r>
            <w:r>
              <w:rPr>
                <w:sz w:val="18"/>
              </w:rPr>
              <w:t>territorial</w:t>
            </w:r>
            <w:r>
              <w:rPr>
                <w:spacing w:val="40"/>
                <w:sz w:val="18"/>
              </w:rPr>
              <w:t xml:space="preserve"> </w:t>
            </w:r>
            <w:r>
              <w:rPr>
                <w:sz w:val="18"/>
              </w:rPr>
              <w:t>y</w:t>
            </w:r>
            <w:r>
              <w:rPr>
                <w:spacing w:val="40"/>
                <w:sz w:val="18"/>
              </w:rPr>
              <w:t xml:space="preserve"> </w:t>
            </w:r>
            <w:r>
              <w:rPr>
                <w:sz w:val="18"/>
              </w:rPr>
              <w:t xml:space="preserve">el </w:t>
            </w:r>
            <w:r>
              <w:rPr>
                <w:spacing w:val="-2"/>
                <w:sz w:val="18"/>
              </w:rPr>
              <w:t xml:space="preserve">fortalecimiento </w:t>
            </w:r>
            <w:r>
              <w:rPr>
                <w:spacing w:val="-5"/>
                <w:sz w:val="18"/>
              </w:rPr>
              <w:t>de</w:t>
            </w:r>
            <w:r>
              <w:rPr>
                <w:sz w:val="18"/>
              </w:rPr>
              <w:tab/>
            </w:r>
            <w:r>
              <w:rPr>
                <w:sz w:val="18"/>
              </w:rPr>
              <w:tab/>
            </w:r>
            <w:r>
              <w:rPr>
                <w:spacing w:val="-5"/>
                <w:sz w:val="18"/>
              </w:rPr>
              <w:t>la</w:t>
            </w:r>
          </w:p>
          <w:p w14:paraId="1A5B71D6" w14:textId="77777777" w:rsidR="000E52B0" w:rsidRDefault="00F60D74">
            <w:pPr>
              <w:pStyle w:val="TableParagraph"/>
              <w:tabs>
                <w:tab w:val="left" w:pos="1259"/>
              </w:tabs>
              <w:ind w:left="93" w:right="75"/>
              <w:rPr>
                <w:sz w:val="18"/>
              </w:rPr>
            </w:pPr>
            <w:r>
              <w:rPr>
                <w:sz w:val="18"/>
              </w:rPr>
              <w:t>productividad</w:t>
            </w:r>
            <w:r>
              <w:rPr>
                <w:spacing w:val="-10"/>
                <w:sz w:val="18"/>
              </w:rPr>
              <w:t xml:space="preserve"> </w:t>
            </w:r>
            <w:r>
              <w:rPr>
                <w:sz w:val="18"/>
              </w:rPr>
              <w:t xml:space="preserve">y </w:t>
            </w:r>
            <w:r>
              <w:rPr>
                <w:spacing w:val="-2"/>
                <w:sz w:val="18"/>
              </w:rPr>
              <w:t xml:space="preserve">competitividad </w:t>
            </w:r>
            <w:r>
              <w:rPr>
                <w:spacing w:val="-5"/>
                <w:sz w:val="18"/>
              </w:rPr>
              <w:t>de</w:t>
            </w:r>
            <w:r>
              <w:rPr>
                <w:sz w:val="18"/>
              </w:rPr>
              <w:tab/>
            </w:r>
            <w:r>
              <w:rPr>
                <w:spacing w:val="-5"/>
                <w:sz w:val="18"/>
              </w:rPr>
              <w:t>los</w:t>
            </w:r>
          </w:p>
          <w:p w14:paraId="412ADF7B" w14:textId="77777777" w:rsidR="000E52B0" w:rsidRDefault="00F60D74">
            <w:pPr>
              <w:pStyle w:val="TableParagraph"/>
              <w:tabs>
                <w:tab w:val="left" w:pos="465"/>
                <w:tab w:val="left" w:pos="755"/>
                <w:tab w:val="left" w:pos="1261"/>
                <w:tab w:val="left" w:pos="1292"/>
                <w:tab w:val="left" w:pos="1356"/>
              </w:tabs>
              <w:ind w:left="93" w:right="75"/>
              <w:rPr>
                <w:sz w:val="18"/>
              </w:rPr>
            </w:pPr>
            <w:r>
              <w:rPr>
                <w:spacing w:val="-2"/>
                <w:sz w:val="18"/>
              </w:rPr>
              <w:t xml:space="preserve">productos agropecuarios, </w:t>
            </w:r>
            <w:r>
              <w:rPr>
                <w:spacing w:val="-10"/>
                <w:sz w:val="18"/>
              </w:rPr>
              <w:t>a</w:t>
            </w:r>
            <w:r>
              <w:rPr>
                <w:sz w:val="18"/>
              </w:rPr>
              <w:tab/>
            </w:r>
            <w:r>
              <w:rPr>
                <w:spacing w:val="-2"/>
                <w:sz w:val="18"/>
              </w:rPr>
              <w:t>través</w:t>
            </w:r>
            <w:r>
              <w:rPr>
                <w:sz w:val="18"/>
              </w:rPr>
              <w:tab/>
            </w:r>
            <w:r>
              <w:rPr>
                <w:sz w:val="18"/>
              </w:rPr>
              <w:tab/>
            </w:r>
            <w:r>
              <w:rPr>
                <w:spacing w:val="-6"/>
                <w:sz w:val="18"/>
              </w:rPr>
              <w:t xml:space="preserve">de </w:t>
            </w:r>
            <w:r>
              <w:rPr>
                <w:spacing w:val="-2"/>
                <w:sz w:val="18"/>
              </w:rPr>
              <w:t xml:space="preserve">acciones </w:t>
            </w:r>
            <w:r>
              <w:rPr>
                <w:sz w:val="18"/>
              </w:rPr>
              <w:t>integrales</w:t>
            </w:r>
            <w:r>
              <w:rPr>
                <w:spacing w:val="80"/>
                <w:sz w:val="18"/>
              </w:rPr>
              <w:t xml:space="preserve"> </w:t>
            </w:r>
            <w:r>
              <w:rPr>
                <w:sz w:val="18"/>
              </w:rPr>
              <w:t xml:space="preserve">que </w:t>
            </w:r>
            <w:r>
              <w:rPr>
                <w:spacing w:val="-2"/>
                <w:sz w:val="18"/>
              </w:rPr>
              <w:t>mejoren</w:t>
            </w:r>
            <w:r>
              <w:rPr>
                <w:sz w:val="18"/>
              </w:rPr>
              <w:tab/>
            </w:r>
            <w:r>
              <w:rPr>
                <w:spacing w:val="-4"/>
                <w:sz w:val="18"/>
              </w:rPr>
              <w:t xml:space="preserve">las </w:t>
            </w:r>
            <w:r>
              <w:rPr>
                <w:sz w:val="18"/>
              </w:rPr>
              <w:t>condiciones</w:t>
            </w:r>
            <w:r>
              <w:rPr>
                <w:spacing w:val="40"/>
                <w:sz w:val="18"/>
              </w:rPr>
              <w:t xml:space="preserve"> </w:t>
            </w:r>
            <w:r>
              <w:rPr>
                <w:sz w:val="18"/>
              </w:rPr>
              <w:t xml:space="preserve">de </w:t>
            </w:r>
            <w:r>
              <w:rPr>
                <w:spacing w:val="-4"/>
                <w:sz w:val="18"/>
              </w:rPr>
              <w:t>vida</w:t>
            </w:r>
            <w:r>
              <w:rPr>
                <w:sz w:val="18"/>
              </w:rPr>
              <w:tab/>
            </w:r>
            <w:r>
              <w:rPr>
                <w:sz w:val="18"/>
              </w:rPr>
              <w:tab/>
            </w:r>
            <w:r>
              <w:rPr>
                <w:spacing w:val="-6"/>
                <w:sz w:val="18"/>
              </w:rPr>
              <w:t>de</w:t>
            </w:r>
            <w:r>
              <w:rPr>
                <w:sz w:val="18"/>
              </w:rPr>
              <w:tab/>
            </w:r>
            <w:r>
              <w:rPr>
                <w:spacing w:val="-4"/>
                <w:sz w:val="18"/>
              </w:rPr>
              <w:t xml:space="preserve">los </w:t>
            </w:r>
            <w:r>
              <w:rPr>
                <w:spacing w:val="-2"/>
                <w:sz w:val="18"/>
              </w:rPr>
              <w:t>pobladores rurales, permitan</w:t>
            </w:r>
            <w:r>
              <w:rPr>
                <w:sz w:val="18"/>
              </w:rPr>
              <w:tab/>
            </w:r>
            <w:r>
              <w:rPr>
                <w:sz w:val="18"/>
              </w:rPr>
              <w:tab/>
            </w:r>
            <w:r>
              <w:rPr>
                <w:sz w:val="18"/>
              </w:rPr>
              <w:tab/>
            </w:r>
            <w:r>
              <w:rPr>
                <w:spacing w:val="-6"/>
                <w:sz w:val="18"/>
              </w:rPr>
              <w:t xml:space="preserve">el </w:t>
            </w:r>
            <w:proofErr w:type="spellStart"/>
            <w:r>
              <w:rPr>
                <w:spacing w:val="-2"/>
                <w:sz w:val="18"/>
              </w:rPr>
              <w:t>aprovechamien</w:t>
            </w:r>
            <w:proofErr w:type="spellEnd"/>
          </w:p>
          <w:p w14:paraId="24CC4920" w14:textId="77777777" w:rsidR="000E52B0" w:rsidRDefault="00F60D74">
            <w:pPr>
              <w:pStyle w:val="TableParagraph"/>
              <w:spacing w:line="199" w:lineRule="exact"/>
              <w:ind w:left="93"/>
              <w:rPr>
                <w:sz w:val="18"/>
              </w:rPr>
            </w:pPr>
            <w:proofErr w:type="spellStart"/>
            <w:proofErr w:type="gramStart"/>
            <w:r>
              <w:rPr>
                <w:sz w:val="18"/>
              </w:rPr>
              <w:t>to</w:t>
            </w:r>
            <w:proofErr w:type="spellEnd"/>
            <w:r>
              <w:rPr>
                <w:spacing w:val="34"/>
                <w:sz w:val="18"/>
              </w:rPr>
              <w:t xml:space="preserve">  </w:t>
            </w:r>
            <w:r>
              <w:rPr>
                <w:spacing w:val="-2"/>
                <w:sz w:val="18"/>
              </w:rPr>
              <w:t>sustentable</w:t>
            </w:r>
            <w:proofErr w:type="gramEnd"/>
          </w:p>
        </w:tc>
        <w:tc>
          <w:tcPr>
            <w:tcW w:w="2647" w:type="dxa"/>
            <w:tcBorders>
              <w:top w:val="single" w:sz="4" w:space="0" w:color="000000"/>
              <w:left w:val="single" w:sz="4" w:space="0" w:color="000000"/>
              <w:right w:val="single" w:sz="4" w:space="0" w:color="000000"/>
            </w:tcBorders>
          </w:tcPr>
          <w:p w14:paraId="4C1E297D" w14:textId="77777777" w:rsidR="000E52B0" w:rsidRDefault="00F60D74">
            <w:pPr>
              <w:pStyle w:val="TableParagraph"/>
              <w:tabs>
                <w:tab w:val="left" w:pos="491"/>
                <w:tab w:val="left" w:pos="683"/>
                <w:tab w:val="left" w:pos="743"/>
                <w:tab w:val="left" w:pos="1319"/>
                <w:tab w:val="left" w:pos="1366"/>
                <w:tab w:val="left" w:pos="1432"/>
                <w:tab w:val="left" w:pos="1606"/>
                <w:tab w:val="left" w:pos="1678"/>
                <w:tab w:val="left" w:pos="1840"/>
                <w:tab w:val="left" w:pos="1909"/>
                <w:tab w:val="left" w:pos="2038"/>
                <w:tab w:val="left" w:pos="2068"/>
                <w:tab w:val="left" w:pos="2288"/>
                <w:tab w:val="left" w:pos="2400"/>
              </w:tabs>
              <w:ind w:left="91" w:right="77"/>
              <w:rPr>
                <w:sz w:val="18"/>
              </w:rPr>
            </w:pPr>
            <w:r>
              <w:rPr>
                <w:sz w:val="18"/>
              </w:rPr>
              <w:t>Formular,</w:t>
            </w:r>
            <w:r>
              <w:rPr>
                <w:spacing w:val="-9"/>
                <w:sz w:val="18"/>
              </w:rPr>
              <w:t xml:space="preserve"> </w:t>
            </w:r>
            <w:r>
              <w:rPr>
                <w:sz w:val="18"/>
              </w:rPr>
              <w:t>dirigir,</w:t>
            </w:r>
            <w:r>
              <w:rPr>
                <w:spacing w:val="-9"/>
                <w:sz w:val="18"/>
              </w:rPr>
              <w:t xml:space="preserve"> </w:t>
            </w:r>
            <w:r>
              <w:rPr>
                <w:sz w:val="18"/>
              </w:rPr>
              <w:t xml:space="preserve">coordinar </w:t>
            </w:r>
            <w:r>
              <w:rPr>
                <w:spacing w:val="-10"/>
                <w:sz w:val="18"/>
              </w:rPr>
              <w:t>y</w:t>
            </w:r>
            <w:r>
              <w:rPr>
                <w:sz w:val="18"/>
              </w:rPr>
              <w:tab/>
            </w:r>
            <w:r>
              <w:rPr>
                <w:spacing w:val="-2"/>
                <w:sz w:val="18"/>
              </w:rPr>
              <w:t>evaluar</w:t>
            </w:r>
            <w:r>
              <w:rPr>
                <w:sz w:val="18"/>
              </w:rPr>
              <w:tab/>
            </w:r>
            <w:r>
              <w:rPr>
                <w:sz w:val="18"/>
              </w:rPr>
              <w:tab/>
            </w:r>
            <w:r>
              <w:rPr>
                <w:sz w:val="18"/>
              </w:rPr>
              <w:tab/>
            </w:r>
            <w:r>
              <w:rPr>
                <w:spacing w:val="-39"/>
                <w:sz w:val="18"/>
              </w:rPr>
              <w:t xml:space="preserve"> </w:t>
            </w:r>
            <w:r>
              <w:rPr>
                <w:sz w:val="18"/>
              </w:rPr>
              <w:t>la</w:t>
            </w:r>
            <w:r>
              <w:rPr>
                <w:sz w:val="18"/>
              </w:rPr>
              <w:tab/>
            </w:r>
            <w:r>
              <w:rPr>
                <w:sz w:val="18"/>
              </w:rPr>
              <w:tab/>
            </w:r>
            <w:r>
              <w:rPr>
                <w:sz w:val="18"/>
              </w:rPr>
              <w:tab/>
            </w:r>
            <w:r>
              <w:rPr>
                <w:spacing w:val="-62"/>
                <w:sz w:val="18"/>
              </w:rPr>
              <w:t xml:space="preserve"> </w:t>
            </w:r>
            <w:r>
              <w:rPr>
                <w:spacing w:val="-2"/>
                <w:sz w:val="18"/>
              </w:rPr>
              <w:t>política relacionada</w:t>
            </w:r>
            <w:r>
              <w:rPr>
                <w:sz w:val="18"/>
              </w:rPr>
              <w:tab/>
            </w:r>
            <w:r>
              <w:rPr>
                <w:sz w:val="18"/>
              </w:rPr>
              <w:tab/>
            </w:r>
            <w:r>
              <w:rPr>
                <w:sz w:val="18"/>
              </w:rPr>
              <w:tab/>
            </w:r>
            <w:r>
              <w:rPr>
                <w:sz w:val="18"/>
              </w:rPr>
              <w:tab/>
            </w:r>
            <w:r>
              <w:rPr>
                <w:spacing w:val="-4"/>
                <w:sz w:val="18"/>
              </w:rPr>
              <w:t>con</w:t>
            </w:r>
            <w:r>
              <w:rPr>
                <w:sz w:val="18"/>
              </w:rPr>
              <w:tab/>
            </w:r>
            <w:r>
              <w:rPr>
                <w:sz w:val="18"/>
              </w:rPr>
              <w:tab/>
            </w:r>
            <w:r>
              <w:rPr>
                <w:sz w:val="18"/>
              </w:rPr>
              <w:tab/>
            </w:r>
            <w:r>
              <w:rPr>
                <w:sz w:val="18"/>
              </w:rPr>
              <w:tab/>
            </w:r>
            <w:r>
              <w:rPr>
                <w:spacing w:val="-6"/>
                <w:sz w:val="18"/>
              </w:rPr>
              <w:t xml:space="preserve">el </w:t>
            </w:r>
            <w:r>
              <w:rPr>
                <w:spacing w:val="-2"/>
                <w:sz w:val="18"/>
              </w:rPr>
              <w:t>desarrollo</w:t>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Pr>
                <w:spacing w:val="-2"/>
                <w:sz w:val="18"/>
              </w:rPr>
              <w:t xml:space="preserve">rural, </w:t>
            </w:r>
            <w:r>
              <w:rPr>
                <w:sz w:val="18"/>
              </w:rPr>
              <w:t>agropecuario,</w:t>
            </w:r>
            <w:r>
              <w:rPr>
                <w:spacing w:val="40"/>
                <w:sz w:val="18"/>
              </w:rPr>
              <w:t xml:space="preserve"> </w:t>
            </w:r>
            <w:r>
              <w:rPr>
                <w:sz w:val="18"/>
              </w:rPr>
              <w:t>pesquero</w:t>
            </w:r>
            <w:r>
              <w:rPr>
                <w:spacing w:val="40"/>
                <w:sz w:val="18"/>
              </w:rPr>
              <w:t xml:space="preserve"> </w:t>
            </w:r>
            <w:r>
              <w:rPr>
                <w:sz w:val="18"/>
              </w:rPr>
              <w:t>y forestal</w:t>
            </w:r>
            <w:r>
              <w:rPr>
                <w:spacing w:val="-5"/>
                <w:sz w:val="18"/>
              </w:rPr>
              <w:t xml:space="preserve"> </w:t>
            </w:r>
            <w:r>
              <w:rPr>
                <w:sz w:val="18"/>
              </w:rPr>
              <w:t>en</w:t>
            </w:r>
            <w:r>
              <w:rPr>
                <w:spacing w:val="-4"/>
                <w:sz w:val="18"/>
              </w:rPr>
              <w:t xml:space="preserve"> </w:t>
            </w:r>
            <w:r>
              <w:rPr>
                <w:sz w:val="18"/>
              </w:rPr>
              <w:t>los</w:t>
            </w:r>
            <w:r>
              <w:rPr>
                <w:spacing w:val="-5"/>
                <w:sz w:val="18"/>
              </w:rPr>
              <w:t xml:space="preserve"> </w:t>
            </w:r>
            <w:r>
              <w:rPr>
                <w:sz w:val="18"/>
              </w:rPr>
              <w:t>temas</w:t>
            </w:r>
            <w:r>
              <w:rPr>
                <w:spacing w:val="-6"/>
                <w:sz w:val="18"/>
              </w:rPr>
              <w:t xml:space="preserve"> </w:t>
            </w:r>
            <w:r>
              <w:rPr>
                <w:sz w:val="18"/>
              </w:rPr>
              <w:t>de</w:t>
            </w:r>
            <w:r>
              <w:rPr>
                <w:spacing w:val="-5"/>
                <w:sz w:val="18"/>
              </w:rPr>
              <w:t xml:space="preserve"> </w:t>
            </w:r>
            <w:r>
              <w:rPr>
                <w:sz w:val="18"/>
              </w:rPr>
              <w:t>su competencia;</w:t>
            </w:r>
            <w:r>
              <w:rPr>
                <w:spacing w:val="80"/>
                <w:sz w:val="18"/>
              </w:rPr>
              <w:t xml:space="preserve"> </w:t>
            </w:r>
            <w:r>
              <w:rPr>
                <w:sz w:val="18"/>
              </w:rPr>
              <w:t xml:space="preserve">Formular </w:t>
            </w:r>
            <w:r>
              <w:rPr>
                <w:spacing w:val="-2"/>
                <w:sz w:val="18"/>
              </w:rPr>
              <w:t>políticas,</w:t>
            </w:r>
            <w:r>
              <w:rPr>
                <w:sz w:val="18"/>
              </w:rPr>
              <w:tab/>
            </w:r>
            <w:r>
              <w:rPr>
                <w:sz w:val="18"/>
              </w:rPr>
              <w:tab/>
            </w:r>
            <w:r>
              <w:rPr>
                <w:sz w:val="18"/>
              </w:rPr>
              <w:tab/>
            </w:r>
            <w:r>
              <w:rPr>
                <w:sz w:val="18"/>
              </w:rPr>
              <w:tab/>
            </w:r>
            <w:r>
              <w:rPr>
                <w:sz w:val="18"/>
              </w:rPr>
              <w:tab/>
            </w:r>
            <w:r>
              <w:rPr>
                <w:sz w:val="18"/>
              </w:rPr>
              <w:tab/>
            </w:r>
            <w:r>
              <w:rPr>
                <w:sz w:val="18"/>
              </w:rPr>
              <w:tab/>
            </w:r>
            <w:r>
              <w:rPr>
                <w:spacing w:val="-2"/>
                <w:sz w:val="18"/>
              </w:rPr>
              <w:t>planes, programas</w:t>
            </w:r>
            <w:r>
              <w:rPr>
                <w:sz w:val="18"/>
              </w:rPr>
              <w:tab/>
            </w:r>
            <w:r>
              <w:rPr>
                <w:spacing w:val="-10"/>
                <w:sz w:val="18"/>
              </w:rPr>
              <w:t>y</w:t>
            </w:r>
            <w:r>
              <w:rPr>
                <w:sz w:val="18"/>
              </w:rPr>
              <w:tab/>
            </w:r>
            <w:r>
              <w:rPr>
                <w:sz w:val="18"/>
              </w:rPr>
              <w:tab/>
            </w:r>
            <w:r>
              <w:rPr>
                <w:sz w:val="18"/>
              </w:rPr>
              <w:tab/>
            </w:r>
            <w:r>
              <w:rPr>
                <w:spacing w:val="-2"/>
                <w:sz w:val="18"/>
              </w:rPr>
              <w:t>proyectos agropecuarios,</w:t>
            </w:r>
            <w:r>
              <w:rPr>
                <w:spacing w:val="-10"/>
                <w:sz w:val="18"/>
              </w:rPr>
              <w:t xml:space="preserve"> </w:t>
            </w:r>
            <w:r>
              <w:rPr>
                <w:spacing w:val="-2"/>
                <w:sz w:val="18"/>
              </w:rPr>
              <w:t>pesqueros</w:t>
            </w:r>
            <w:r>
              <w:rPr>
                <w:spacing w:val="-9"/>
                <w:sz w:val="18"/>
              </w:rPr>
              <w:t xml:space="preserve"> </w:t>
            </w:r>
            <w:r>
              <w:rPr>
                <w:spacing w:val="-2"/>
                <w:sz w:val="18"/>
              </w:rPr>
              <w:t xml:space="preserve">y </w:t>
            </w:r>
            <w:r>
              <w:rPr>
                <w:spacing w:val="-6"/>
                <w:sz w:val="18"/>
              </w:rPr>
              <w:t>de</w:t>
            </w:r>
            <w:r>
              <w:rPr>
                <w:sz w:val="18"/>
              </w:rPr>
              <w:tab/>
            </w:r>
            <w:r>
              <w:rPr>
                <w:sz w:val="18"/>
              </w:rPr>
              <w:tab/>
            </w:r>
            <w:r>
              <w:rPr>
                <w:sz w:val="18"/>
              </w:rPr>
              <w:tab/>
            </w:r>
            <w:r>
              <w:rPr>
                <w:spacing w:val="-2"/>
                <w:sz w:val="18"/>
              </w:rPr>
              <w:t>desarrollo</w:t>
            </w:r>
            <w:r>
              <w:rPr>
                <w:sz w:val="18"/>
              </w:rPr>
              <w:tab/>
            </w:r>
            <w:r>
              <w:rPr>
                <w:sz w:val="18"/>
              </w:rPr>
              <w:tab/>
            </w:r>
            <w:r>
              <w:rPr>
                <w:sz w:val="18"/>
              </w:rPr>
              <w:tab/>
            </w:r>
            <w:r>
              <w:rPr>
                <w:sz w:val="18"/>
              </w:rPr>
              <w:tab/>
            </w:r>
            <w:r>
              <w:rPr>
                <w:spacing w:val="-35"/>
                <w:sz w:val="18"/>
              </w:rPr>
              <w:t xml:space="preserve"> </w:t>
            </w:r>
            <w:r>
              <w:rPr>
                <w:spacing w:val="-2"/>
                <w:sz w:val="18"/>
              </w:rPr>
              <w:t xml:space="preserve">rural, </w:t>
            </w:r>
            <w:r>
              <w:rPr>
                <w:sz w:val="18"/>
              </w:rPr>
              <w:t>fortaleciendo</w:t>
            </w:r>
            <w:r>
              <w:rPr>
                <w:spacing w:val="40"/>
                <w:sz w:val="18"/>
              </w:rPr>
              <w:t xml:space="preserve"> </w:t>
            </w:r>
            <w:r>
              <w:rPr>
                <w:sz w:val="18"/>
              </w:rPr>
              <w:t>los</w:t>
            </w:r>
            <w:r>
              <w:rPr>
                <w:spacing w:val="40"/>
                <w:sz w:val="18"/>
              </w:rPr>
              <w:t xml:space="preserve"> </w:t>
            </w:r>
            <w:r>
              <w:rPr>
                <w:sz w:val="18"/>
              </w:rPr>
              <w:t xml:space="preserve">procesos de participación ciudadana </w:t>
            </w:r>
            <w:r>
              <w:rPr>
                <w:spacing w:val="-10"/>
                <w:sz w:val="18"/>
              </w:rPr>
              <w:t>y</w:t>
            </w:r>
            <w:r>
              <w:rPr>
                <w:sz w:val="18"/>
              </w:rPr>
              <w:tab/>
            </w:r>
            <w:r>
              <w:rPr>
                <w:sz w:val="18"/>
              </w:rPr>
              <w:tab/>
            </w:r>
            <w:r>
              <w:rPr>
                <w:spacing w:val="-2"/>
                <w:sz w:val="18"/>
              </w:rPr>
              <w:t>planificación</w:t>
            </w:r>
            <w:r>
              <w:rPr>
                <w:sz w:val="18"/>
              </w:rPr>
              <w:tab/>
            </w:r>
            <w:r>
              <w:rPr>
                <w:sz w:val="18"/>
              </w:rPr>
              <w:tab/>
            </w:r>
            <w:r>
              <w:rPr>
                <w:sz w:val="18"/>
              </w:rPr>
              <w:tab/>
            </w:r>
            <w:r>
              <w:rPr>
                <w:sz w:val="18"/>
              </w:rPr>
              <w:tab/>
            </w:r>
            <w:r>
              <w:rPr>
                <w:sz w:val="18"/>
              </w:rPr>
              <w:tab/>
            </w:r>
            <w:r>
              <w:rPr>
                <w:spacing w:val="-4"/>
                <w:sz w:val="18"/>
              </w:rPr>
              <w:t xml:space="preserve">del </w:t>
            </w:r>
            <w:r>
              <w:rPr>
                <w:spacing w:val="-2"/>
                <w:sz w:val="18"/>
              </w:rPr>
              <w:t>territorio,</w:t>
            </w:r>
            <w:r>
              <w:rPr>
                <w:sz w:val="18"/>
              </w:rPr>
              <w:tab/>
            </w:r>
            <w:r>
              <w:rPr>
                <w:sz w:val="18"/>
              </w:rPr>
              <w:tab/>
            </w:r>
            <w:r>
              <w:rPr>
                <w:sz w:val="18"/>
              </w:rPr>
              <w:tab/>
            </w:r>
            <w:r>
              <w:rPr>
                <w:spacing w:val="-4"/>
                <w:sz w:val="18"/>
              </w:rPr>
              <w:t>bajo</w:t>
            </w:r>
            <w:r>
              <w:rPr>
                <w:sz w:val="18"/>
              </w:rPr>
              <w:tab/>
            </w:r>
            <w:r>
              <w:rPr>
                <w:sz w:val="18"/>
              </w:rPr>
              <w:tab/>
            </w:r>
            <w:r>
              <w:rPr>
                <w:sz w:val="18"/>
              </w:rPr>
              <w:tab/>
            </w:r>
            <w:r>
              <w:rPr>
                <w:sz w:val="18"/>
              </w:rPr>
              <w:tab/>
            </w:r>
            <w:r>
              <w:rPr>
                <w:sz w:val="18"/>
              </w:rPr>
              <w:tab/>
            </w:r>
            <w:r>
              <w:rPr>
                <w:spacing w:val="-49"/>
                <w:sz w:val="18"/>
              </w:rPr>
              <w:t xml:space="preserve"> </w:t>
            </w:r>
            <w:r>
              <w:rPr>
                <w:spacing w:val="-2"/>
                <w:sz w:val="18"/>
              </w:rPr>
              <w:t xml:space="preserve">los </w:t>
            </w:r>
            <w:r>
              <w:rPr>
                <w:sz w:val="18"/>
              </w:rPr>
              <w:t>lineamientos de</w:t>
            </w:r>
            <w:r>
              <w:rPr>
                <w:spacing w:val="24"/>
                <w:sz w:val="18"/>
              </w:rPr>
              <w:t xml:space="preserve"> </w:t>
            </w:r>
            <w:r>
              <w:rPr>
                <w:sz w:val="18"/>
              </w:rPr>
              <w:t xml:space="preserve">la política </w:t>
            </w:r>
            <w:r>
              <w:rPr>
                <w:spacing w:val="-2"/>
                <w:sz w:val="18"/>
              </w:rPr>
              <w:t>macroeconómica;</w:t>
            </w:r>
            <w:r>
              <w:rPr>
                <w:spacing w:val="-9"/>
                <w:sz w:val="18"/>
              </w:rPr>
              <w:t xml:space="preserve"> </w:t>
            </w:r>
            <w:r>
              <w:rPr>
                <w:spacing w:val="-2"/>
                <w:sz w:val="18"/>
              </w:rPr>
              <w:t xml:space="preserve">Formular </w:t>
            </w:r>
            <w:r>
              <w:rPr>
                <w:sz w:val="18"/>
              </w:rPr>
              <w:t>acciones</w:t>
            </w:r>
            <w:r>
              <w:rPr>
                <w:spacing w:val="39"/>
                <w:sz w:val="18"/>
              </w:rPr>
              <w:t xml:space="preserve"> </w:t>
            </w:r>
            <w:r>
              <w:rPr>
                <w:sz w:val="18"/>
              </w:rPr>
              <w:t>para</w:t>
            </w:r>
            <w:r>
              <w:rPr>
                <w:spacing w:val="39"/>
                <w:sz w:val="18"/>
              </w:rPr>
              <w:t xml:space="preserve"> </w:t>
            </w:r>
            <w:r>
              <w:rPr>
                <w:sz w:val="18"/>
              </w:rPr>
              <w:t>propiciar</w:t>
            </w:r>
            <w:r>
              <w:rPr>
                <w:spacing w:val="39"/>
                <w:sz w:val="18"/>
              </w:rPr>
              <w:t xml:space="preserve"> </w:t>
            </w:r>
            <w:r>
              <w:rPr>
                <w:sz w:val="18"/>
              </w:rPr>
              <w:t xml:space="preserve">la </w:t>
            </w:r>
            <w:r>
              <w:rPr>
                <w:spacing w:val="-2"/>
                <w:sz w:val="18"/>
              </w:rPr>
              <w:t>articulación interinstitucional</w:t>
            </w:r>
            <w:r>
              <w:rPr>
                <w:sz w:val="18"/>
              </w:rPr>
              <w:tab/>
            </w:r>
            <w:r>
              <w:rPr>
                <w:sz w:val="18"/>
              </w:rPr>
              <w:tab/>
            </w:r>
            <w:r>
              <w:rPr>
                <w:sz w:val="18"/>
              </w:rPr>
              <w:tab/>
            </w:r>
            <w:r>
              <w:rPr>
                <w:spacing w:val="-6"/>
                <w:sz w:val="18"/>
              </w:rPr>
              <w:t>de</w:t>
            </w:r>
            <w:r>
              <w:rPr>
                <w:sz w:val="18"/>
              </w:rPr>
              <w:tab/>
            </w:r>
            <w:r>
              <w:rPr>
                <w:sz w:val="18"/>
              </w:rPr>
              <w:tab/>
            </w:r>
            <w:r>
              <w:rPr>
                <w:spacing w:val="-47"/>
                <w:sz w:val="18"/>
              </w:rPr>
              <w:t xml:space="preserve"> </w:t>
            </w:r>
            <w:r>
              <w:rPr>
                <w:spacing w:val="-2"/>
                <w:sz w:val="18"/>
              </w:rPr>
              <w:t>las entidades</w:t>
            </w:r>
            <w:r>
              <w:rPr>
                <w:sz w:val="18"/>
              </w:rPr>
              <w:tab/>
            </w:r>
            <w:r>
              <w:rPr>
                <w:sz w:val="18"/>
              </w:rPr>
              <w:tab/>
            </w:r>
            <w:r>
              <w:rPr>
                <w:spacing w:val="-5"/>
                <w:sz w:val="18"/>
              </w:rPr>
              <w:t>del</w:t>
            </w:r>
            <w:r>
              <w:rPr>
                <w:sz w:val="18"/>
              </w:rPr>
              <w:tab/>
            </w:r>
            <w:r>
              <w:rPr>
                <w:sz w:val="18"/>
              </w:rPr>
              <w:tab/>
            </w:r>
            <w:r>
              <w:rPr>
                <w:sz w:val="18"/>
              </w:rPr>
              <w:tab/>
            </w:r>
            <w:r>
              <w:rPr>
                <w:sz w:val="18"/>
              </w:rPr>
              <w:tab/>
            </w:r>
            <w:r>
              <w:rPr>
                <w:spacing w:val="-4"/>
                <w:sz w:val="18"/>
              </w:rPr>
              <w:t>orden</w:t>
            </w:r>
          </w:p>
          <w:p w14:paraId="3C2A8A96" w14:textId="77777777" w:rsidR="000E52B0" w:rsidRDefault="00F60D74">
            <w:pPr>
              <w:pStyle w:val="TableParagraph"/>
              <w:spacing w:line="199" w:lineRule="exact"/>
              <w:ind w:left="91"/>
              <w:rPr>
                <w:sz w:val="18"/>
              </w:rPr>
            </w:pPr>
            <w:r>
              <w:rPr>
                <w:sz w:val="18"/>
              </w:rPr>
              <w:t>nacional</w:t>
            </w:r>
            <w:r>
              <w:rPr>
                <w:spacing w:val="77"/>
                <w:sz w:val="18"/>
              </w:rPr>
              <w:t xml:space="preserve"> </w:t>
            </w:r>
            <w:r>
              <w:rPr>
                <w:sz w:val="18"/>
              </w:rPr>
              <w:t>y</w:t>
            </w:r>
            <w:r>
              <w:rPr>
                <w:spacing w:val="76"/>
                <w:sz w:val="18"/>
              </w:rPr>
              <w:t xml:space="preserve"> </w:t>
            </w:r>
            <w:r>
              <w:rPr>
                <w:sz w:val="18"/>
              </w:rPr>
              <w:t>territorial</w:t>
            </w:r>
            <w:r>
              <w:rPr>
                <w:spacing w:val="77"/>
                <w:sz w:val="18"/>
              </w:rPr>
              <w:t xml:space="preserve"> </w:t>
            </w:r>
            <w:r>
              <w:rPr>
                <w:spacing w:val="-5"/>
                <w:sz w:val="18"/>
              </w:rPr>
              <w:t>que</w:t>
            </w:r>
          </w:p>
        </w:tc>
        <w:tc>
          <w:tcPr>
            <w:tcW w:w="1985" w:type="dxa"/>
            <w:tcBorders>
              <w:top w:val="single" w:sz="4" w:space="0" w:color="000000"/>
              <w:left w:val="single" w:sz="4" w:space="0" w:color="000000"/>
              <w:right w:val="single" w:sz="4" w:space="0" w:color="000000"/>
            </w:tcBorders>
          </w:tcPr>
          <w:p w14:paraId="47135EBB" w14:textId="77777777" w:rsidR="000E52B0" w:rsidRDefault="00F60D74">
            <w:pPr>
              <w:pStyle w:val="TableParagraph"/>
              <w:tabs>
                <w:tab w:val="left" w:pos="1678"/>
              </w:tabs>
              <w:ind w:left="91" w:right="74"/>
              <w:jc w:val="both"/>
              <w:rPr>
                <w:sz w:val="18"/>
              </w:rPr>
            </w:pPr>
            <w:r>
              <w:rPr>
                <w:sz w:val="18"/>
              </w:rPr>
              <w:t xml:space="preserve">Deber del acceso progresivo a la propiedad de la </w:t>
            </w:r>
            <w:r>
              <w:rPr>
                <w:spacing w:val="-2"/>
                <w:sz w:val="18"/>
              </w:rPr>
              <w:t>tierra</w:t>
            </w:r>
            <w:r>
              <w:rPr>
                <w:sz w:val="18"/>
              </w:rPr>
              <w:tab/>
            </w:r>
            <w:r>
              <w:rPr>
                <w:spacing w:val="-5"/>
                <w:sz w:val="18"/>
              </w:rPr>
              <w:t>de</w:t>
            </w:r>
          </w:p>
          <w:p w14:paraId="4D25F54A" w14:textId="77777777" w:rsidR="000E52B0" w:rsidRDefault="00F60D74">
            <w:pPr>
              <w:pStyle w:val="TableParagraph"/>
              <w:spacing w:line="242" w:lineRule="auto"/>
              <w:ind w:left="91" w:right="78"/>
              <w:jc w:val="both"/>
              <w:rPr>
                <w:sz w:val="18"/>
              </w:rPr>
            </w:pPr>
            <w:proofErr w:type="gramStart"/>
            <w:r>
              <w:rPr>
                <w:spacing w:val="-2"/>
                <w:sz w:val="18"/>
              </w:rPr>
              <w:t>trabajadores</w:t>
            </w:r>
            <w:r>
              <w:rPr>
                <w:spacing w:val="40"/>
                <w:sz w:val="18"/>
              </w:rPr>
              <w:t xml:space="preserve"> </w:t>
            </w:r>
            <w:r>
              <w:rPr>
                <w:sz w:val="18"/>
              </w:rPr>
              <w:t>agrario</w:t>
            </w:r>
            <w:proofErr w:type="gramEnd"/>
            <w:r>
              <w:rPr>
                <w:spacing w:val="-15"/>
                <w:sz w:val="18"/>
              </w:rPr>
              <w:t xml:space="preserve"> </w:t>
            </w:r>
            <w:r>
              <w:rPr>
                <w:sz w:val="18"/>
              </w:rPr>
              <w:t>(art.</w:t>
            </w:r>
            <w:r>
              <w:rPr>
                <w:spacing w:val="-15"/>
                <w:sz w:val="18"/>
              </w:rPr>
              <w:t xml:space="preserve"> </w:t>
            </w:r>
            <w:r>
              <w:rPr>
                <w:sz w:val="18"/>
              </w:rPr>
              <w:t>64</w:t>
            </w:r>
            <w:r>
              <w:rPr>
                <w:spacing w:val="-15"/>
                <w:sz w:val="18"/>
              </w:rPr>
              <w:t xml:space="preserve"> </w:t>
            </w:r>
            <w:r>
              <w:rPr>
                <w:spacing w:val="-4"/>
                <w:sz w:val="18"/>
              </w:rPr>
              <w:t>C.P)</w:t>
            </w:r>
          </w:p>
          <w:p w14:paraId="443FEB0E" w14:textId="77777777" w:rsidR="000E52B0" w:rsidRDefault="00F60D74">
            <w:pPr>
              <w:pStyle w:val="TableParagraph"/>
              <w:spacing w:before="213"/>
              <w:ind w:left="91" w:right="76"/>
              <w:jc w:val="both"/>
              <w:rPr>
                <w:sz w:val="18"/>
              </w:rPr>
            </w:pPr>
            <w:r>
              <w:rPr>
                <w:sz w:val="18"/>
              </w:rPr>
              <w:t xml:space="preserve">Producción de alimentos (art. 65 </w:t>
            </w:r>
            <w:r>
              <w:rPr>
                <w:spacing w:val="-4"/>
                <w:sz w:val="18"/>
              </w:rPr>
              <w:t>C.P)</w:t>
            </w:r>
          </w:p>
        </w:tc>
        <w:tc>
          <w:tcPr>
            <w:tcW w:w="1337" w:type="dxa"/>
            <w:tcBorders>
              <w:top w:val="single" w:sz="4" w:space="0" w:color="000000"/>
              <w:left w:val="single" w:sz="4" w:space="0" w:color="000000"/>
            </w:tcBorders>
          </w:tcPr>
          <w:p w14:paraId="63294363" w14:textId="77777777" w:rsidR="000E52B0" w:rsidRDefault="00F60D74">
            <w:pPr>
              <w:pStyle w:val="TableParagraph"/>
              <w:tabs>
                <w:tab w:val="left" w:pos="1028"/>
              </w:tabs>
              <w:ind w:left="92" w:right="73"/>
              <w:rPr>
                <w:sz w:val="18"/>
              </w:rPr>
            </w:pPr>
            <w:r>
              <w:rPr>
                <w:spacing w:val="-2"/>
                <w:sz w:val="18"/>
              </w:rPr>
              <w:t xml:space="preserve">Sector </w:t>
            </w:r>
            <w:proofErr w:type="spellStart"/>
            <w:r>
              <w:rPr>
                <w:spacing w:val="-2"/>
                <w:sz w:val="18"/>
              </w:rPr>
              <w:t>Administrati</w:t>
            </w:r>
            <w:proofErr w:type="spellEnd"/>
            <w:r>
              <w:rPr>
                <w:spacing w:val="-2"/>
                <w:sz w:val="18"/>
              </w:rPr>
              <w:t xml:space="preserve"> </w:t>
            </w:r>
            <w:proofErr w:type="spellStart"/>
            <w:r>
              <w:rPr>
                <w:spacing w:val="-6"/>
                <w:sz w:val="18"/>
              </w:rPr>
              <w:t>vo</w:t>
            </w:r>
            <w:proofErr w:type="spellEnd"/>
            <w:r>
              <w:rPr>
                <w:spacing w:val="-6"/>
                <w:sz w:val="18"/>
              </w:rPr>
              <w:t xml:space="preserve"> </w:t>
            </w:r>
            <w:proofErr w:type="spellStart"/>
            <w:r>
              <w:rPr>
                <w:spacing w:val="-2"/>
                <w:sz w:val="18"/>
              </w:rPr>
              <w:t>Agropecuari</w:t>
            </w:r>
            <w:proofErr w:type="spellEnd"/>
            <w:r>
              <w:rPr>
                <w:spacing w:val="-2"/>
                <w:sz w:val="18"/>
              </w:rPr>
              <w:t xml:space="preserve"> </w:t>
            </w:r>
            <w:r>
              <w:rPr>
                <w:sz w:val="18"/>
              </w:rPr>
              <w:t>o,</w:t>
            </w:r>
            <w:r>
              <w:rPr>
                <w:spacing w:val="40"/>
                <w:sz w:val="18"/>
              </w:rPr>
              <w:t xml:space="preserve"> </w:t>
            </w:r>
            <w:r>
              <w:rPr>
                <w:sz w:val="18"/>
              </w:rPr>
              <w:t xml:space="preserve">Pesquero </w:t>
            </w:r>
            <w:r>
              <w:rPr>
                <w:spacing w:val="-10"/>
                <w:sz w:val="18"/>
              </w:rPr>
              <w:t>y</w:t>
            </w:r>
            <w:r>
              <w:rPr>
                <w:sz w:val="18"/>
              </w:rPr>
              <w:tab/>
            </w:r>
            <w:r>
              <w:rPr>
                <w:spacing w:val="-5"/>
                <w:sz w:val="18"/>
              </w:rPr>
              <w:t>de</w:t>
            </w:r>
          </w:p>
          <w:p w14:paraId="410B1BDC" w14:textId="77777777" w:rsidR="000E52B0" w:rsidRDefault="00F60D74">
            <w:pPr>
              <w:pStyle w:val="TableParagraph"/>
              <w:ind w:left="92" w:right="91"/>
              <w:rPr>
                <w:sz w:val="18"/>
              </w:rPr>
            </w:pPr>
            <w:r>
              <w:rPr>
                <w:spacing w:val="-2"/>
                <w:sz w:val="18"/>
              </w:rPr>
              <w:t>Desarrollo Rural</w:t>
            </w:r>
          </w:p>
        </w:tc>
      </w:tr>
    </w:tbl>
    <w:p w14:paraId="307F35E5" w14:textId="77777777" w:rsidR="000E52B0" w:rsidRDefault="000E52B0">
      <w:pPr>
        <w:pStyle w:val="TableParagraph"/>
        <w:rPr>
          <w:sz w:val="18"/>
        </w:rPr>
        <w:sectPr w:rsidR="000E52B0">
          <w:type w:val="continuous"/>
          <w:pgSz w:w="11910" w:h="16840"/>
          <w:pgMar w:top="1400" w:right="720" w:bottom="1180" w:left="720" w:header="0" w:footer="995" w:gutter="0"/>
          <w:cols w:space="720"/>
        </w:sectPr>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6"/>
        <w:gridCol w:w="1601"/>
        <w:gridCol w:w="2647"/>
        <w:gridCol w:w="1985"/>
        <w:gridCol w:w="1337"/>
      </w:tblGrid>
      <w:tr w:rsidR="000E52B0" w14:paraId="5599EE70" w14:textId="77777777">
        <w:trPr>
          <w:trHeight w:val="875"/>
        </w:trPr>
        <w:tc>
          <w:tcPr>
            <w:tcW w:w="1416" w:type="dxa"/>
            <w:tcBorders>
              <w:bottom w:val="single" w:sz="4" w:space="0" w:color="000000"/>
              <w:right w:val="single" w:sz="4" w:space="0" w:color="000000"/>
            </w:tcBorders>
            <w:shd w:val="clear" w:color="auto" w:fill="D44673"/>
          </w:tcPr>
          <w:p w14:paraId="1B43569A" w14:textId="77777777" w:rsidR="000E52B0" w:rsidRDefault="000E52B0">
            <w:pPr>
              <w:pStyle w:val="TableParagraph"/>
              <w:spacing w:before="109"/>
              <w:rPr>
                <w:sz w:val="18"/>
              </w:rPr>
            </w:pPr>
          </w:p>
          <w:p w14:paraId="015E2592" w14:textId="77777777" w:rsidR="000E52B0" w:rsidRDefault="00F60D74">
            <w:pPr>
              <w:pStyle w:val="TableParagraph"/>
              <w:ind w:left="206"/>
              <w:rPr>
                <w:b/>
                <w:sz w:val="18"/>
              </w:rPr>
            </w:pPr>
            <w:r>
              <w:rPr>
                <w:b/>
                <w:color w:val="FFFFFF"/>
                <w:spacing w:val="-2"/>
                <w:sz w:val="18"/>
              </w:rPr>
              <w:t>Ministerio</w:t>
            </w:r>
          </w:p>
        </w:tc>
        <w:tc>
          <w:tcPr>
            <w:tcW w:w="1601" w:type="dxa"/>
            <w:tcBorders>
              <w:left w:val="single" w:sz="4" w:space="0" w:color="000000"/>
              <w:bottom w:val="single" w:sz="4" w:space="0" w:color="000000"/>
              <w:right w:val="single" w:sz="4" w:space="0" w:color="000000"/>
            </w:tcBorders>
            <w:shd w:val="clear" w:color="auto" w:fill="D44673"/>
          </w:tcPr>
          <w:p w14:paraId="13D3FA6E" w14:textId="77777777" w:rsidR="000E52B0" w:rsidRDefault="000E52B0">
            <w:pPr>
              <w:pStyle w:val="TableParagraph"/>
              <w:spacing w:before="109"/>
              <w:rPr>
                <w:sz w:val="18"/>
              </w:rPr>
            </w:pPr>
          </w:p>
          <w:p w14:paraId="463AFDC4" w14:textId="77777777" w:rsidR="000E52B0" w:rsidRDefault="00F60D74">
            <w:pPr>
              <w:pStyle w:val="TableParagraph"/>
              <w:ind w:left="374"/>
              <w:rPr>
                <w:b/>
                <w:sz w:val="18"/>
              </w:rPr>
            </w:pPr>
            <w:r>
              <w:rPr>
                <w:b/>
                <w:color w:val="FFFFFF"/>
                <w:spacing w:val="-2"/>
                <w:sz w:val="18"/>
              </w:rPr>
              <w:t>Objetivo</w:t>
            </w:r>
          </w:p>
        </w:tc>
        <w:tc>
          <w:tcPr>
            <w:tcW w:w="2647" w:type="dxa"/>
            <w:tcBorders>
              <w:left w:val="single" w:sz="4" w:space="0" w:color="000000"/>
              <w:bottom w:val="single" w:sz="4" w:space="0" w:color="000000"/>
              <w:right w:val="single" w:sz="4" w:space="0" w:color="000000"/>
            </w:tcBorders>
            <w:shd w:val="clear" w:color="auto" w:fill="D44673"/>
          </w:tcPr>
          <w:p w14:paraId="60262932" w14:textId="77777777" w:rsidR="000E52B0" w:rsidRDefault="000E52B0">
            <w:pPr>
              <w:pStyle w:val="TableParagraph"/>
              <w:spacing w:before="109"/>
              <w:rPr>
                <w:sz w:val="18"/>
              </w:rPr>
            </w:pPr>
          </w:p>
          <w:p w14:paraId="3307555B" w14:textId="77777777" w:rsidR="000E52B0" w:rsidRDefault="00F60D74">
            <w:pPr>
              <w:pStyle w:val="TableParagraph"/>
              <w:ind w:left="813"/>
              <w:rPr>
                <w:b/>
                <w:sz w:val="18"/>
              </w:rPr>
            </w:pPr>
            <w:r>
              <w:rPr>
                <w:b/>
                <w:color w:val="FFFFFF"/>
                <w:spacing w:val="-2"/>
                <w:sz w:val="18"/>
              </w:rPr>
              <w:t>Funciones</w:t>
            </w:r>
          </w:p>
        </w:tc>
        <w:tc>
          <w:tcPr>
            <w:tcW w:w="1985" w:type="dxa"/>
            <w:tcBorders>
              <w:left w:val="single" w:sz="4" w:space="0" w:color="000000"/>
              <w:bottom w:val="single" w:sz="4" w:space="0" w:color="000000"/>
              <w:right w:val="single" w:sz="4" w:space="0" w:color="000000"/>
            </w:tcBorders>
            <w:shd w:val="clear" w:color="auto" w:fill="D44673"/>
          </w:tcPr>
          <w:p w14:paraId="3B625701" w14:textId="77777777" w:rsidR="000E52B0" w:rsidRDefault="00F60D74">
            <w:pPr>
              <w:pStyle w:val="TableParagraph"/>
              <w:ind w:left="118" w:right="105" w:firstLine="1"/>
              <w:jc w:val="center"/>
              <w:rPr>
                <w:b/>
                <w:sz w:val="18"/>
              </w:rPr>
            </w:pPr>
            <w:r>
              <w:rPr>
                <w:b/>
                <w:color w:val="FFFFFF"/>
                <w:sz w:val="18"/>
              </w:rPr>
              <w:t>Derecho</w:t>
            </w:r>
            <w:r>
              <w:rPr>
                <w:b/>
                <w:color w:val="FFFFFF"/>
                <w:spacing w:val="-16"/>
                <w:sz w:val="18"/>
              </w:rPr>
              <w:t xml:space="preserve"> </w:t>
            </w:r>
            <w:r>
              <w:rPr>
                <w:b/>
                <w:color w:val="FFFFFF"/>
                <w:sz w:val="18"/>
              </w:rPr>
              <w:t>Humano o</w:t>
            </w:r>
            <w:r>
              <w:rPr>
                <w:b/>
                <w:color w:val="FFFFFF"/>
                <w:spacing w:val="-1"/>
                <w:sz w:val="18"/>
              </w:rPr>
              <w:t xml:space="preserve"> </w:t>
            </w:r>
            <w:r>
              <w:rPr>
                <w:b/>
                <w:color w:val="FFFFFF"/>
                <w:sz w:val="18"/>
              </w:rPr>
              <w:t>Fin</w:t>
            </w:r>
            <w:r>
              <w:rPr>
                <w:b/>
                <w:color w:val="FFFFFF"/>
                <w:spacing w:val="-3"/>
                <w:sz w:val="18"/>
              </w:rPr>
              <w:t xml:space="preserve"> </w:t>
            </w:r>
            <w:r>
              <w:rPr>
                <w:b/>
                <w:color w:val="FFFFFF"/>
                <w:sz w:val="18"/>
              </w:rPr>
              <w:t xml:space="preserve">Esencial </w:t>
            </w:r>
            <w:r>
              <w:rPr>
                <w:b/>
                <w:color w:val="FFFFFF"/>
                <w:spacing w:val="-5"/>
                <w:sz w:val="18"/>
              </w:rPr>
              <w:t>del</w:t>
            </w:r>
          </w:p>
          <w:p w14:paraId="46B09E20" w14:textId="77777777" w:rsidR="000E52B0" w:rsidRDefault="00F60D74">
            <w:pPr>
              <w:pStyle w:val="TableParagraph"/>
              <w:spacing w:line="218" w:lineRule="exact"/>
              <w:ind w:left="12"/>
              <w:jc w:val="center"/>
              <w:rPr>
                <w:b/>
                <w:sz w:val="18"/>
              </w:rPr>
            </w:pPr>
            <w:r>
              <w:rPr>
                <w:b/>
                <w:color w:val="FFFFFF"/>
                <w:sz w:val="18"/>
              </w:rPr>
              <w:t>Estado</w:t>
            </w:r>
            <w:r>
              <w:rPr>
                <w:b/>
                <w:color w:val="FFFFFF"/>
                <w:spacing w:val="-16"/>
                <w:sz w:val="18"/>
              </w:rPr>
              <w:t xml:space="preserve"> </w:t>
            </w:r>
            <w:r>
              <w:rPr>
                <w:b/>
                <w:color w:val="FFFFFF"/>
                <w:sz w:val="18"/>
              </w:rPr>
              <w:t>al</w:t>
            </w:r>
            <w:r>
              <w:rPr>
                <w:b/>
                <w:color w:val="FFFFFF"/>
                <w:spacing w:val="-15"/>
                <w:sz w:val="18"/>
              </w:rPr>
              <w:t xml:space="preserve"> </w:t>
            </w:r>
            <w:r>
              <w:rPr>
                <w:b/>
                <w:color w:val="FFFFFF"/>
                <w:sz w:val="18"/>
              </w:rPr>
              <w:t xml:space="preserve">que </w:t>
            </w:r>
            <w:r>
              <w:rPr>
                <w:b/>
                <w:color w:val="FFFFFF"/>
                <w:spacing w:val="-2"/>
                <w:sz w:val="18"/>
              </w:rPr>
              <w:t>responde.</w:t>
            </w:r>
          </w:p>
        </w:tc>
        <w:tc>
          <w:tcPr>
            <w:tcW w:w="1337" w:type="dxa"/>
            <w:tcBorders>
              <w:left w:val="single" w:sz="4" w:space="0" w:color="000000"/>
              <w:bottom w:val="single" w:sz="4" w:space="0" w:color="000000"/>
            </w:tcBorders>
            <w:shd w:val="clear" w:color="auto" w:fill="D44673"/>
          </w:tcPr>
          <w:p w14:paraId="00AF0686" w14:textId="77777777" w:rsidR="000E52B0" w:rsidRDefault="00F60D74">
            <w:pPr>
              <w:pStyle w:val="TableParagraph"/>
              <w:spacing w:before="217" w:line="242" w:lineRule="auto"/>
              <w:ind w:left="579" w:right="91" w:hanging="473"/>
              <w:rPr>
                <w:b/>
                <w:sz w:val="18"/>
              </w:rPr>
            </w:pPr>
            <w:proofErr w:type="spellStart"/>
            <w:r>
              <w:rPr>
                <w:b/>
                <w:color w:val="FFFFFF"/>
                <w:spacing w:val="-2"/>
                <w:sz w:val="18"/>
              </w:rPr>
              <w:t>Competenc</w:t>
            </w:r>
            <w:proofErr w:type="spellEnd"/>
            <w:r>
              <w:rPr>
                <w:b/>
                <w:color w:val="FFFFFF"/>
                <w:spacing w:val="-2"/>
                <w:sz w:val="18"/>
              </w:rPr>
              <w:t xml:space="preserve"> </w:t>
            </w:r>
            <w:proofErr w:type="spellStart"/>
            <w:r>
              <w:rPr>
                <w:b/>
                <w:color w:val="FFFFFF"/>
                <w:spacing w:val="-6"/>
                <w:sz w:val="18"/>
              </w:rPr>
              <w:t>ia</w:t>
            </w:r>
            <w:proofErr w:type="spellEnd"/>
          </w:p>
        </w:tc>
      </w:tr>
      <w:tr w:rsidR="000E52B0" w14:paraId="38D34758" w14:textId="77777777">
        <w:trPr>
          <w:trHeight w:val="6569"/>
        </w:trPr>
        <w:tc>
          <w:tcPr>
            <w:tcW w:w="1416" w:type="dxa"/>
            <w:tcBorders>
              <w:top w:val="single" w:sz="4" w:space="0" w:color="000000"/>
              <w:bottom w:val="single" w:sz="4" w:space="0" w:color="000000"/>
              <w:right w:val="single" w:sz="4" w:space="0" w:color="000000"/>
            </w:tcBorders>
          </w:tcPr>
          <w:p w14:paraId="0D5D1B87" w14:textId="77777777" w:rsidR="000E52B0" w:rsidRDefault="000E52B0">
            <w:pPr>
              <w:pStyle w:val="TableParagraph"/>
              <w:rPr>
                <w:rFonts w:ascii="Times New Roman"/>
                <w:sz w:val="18"/>
              </w:rPr>
            </w:pPr>
          </w:p>
        </w:tc>
        <w:tc>
          <w:tcPr>
            <w:tcW w:w="1601" w:type="dxa"/>
            <w:tcBorders>
              <w:top w:val="single" w:sz="4" w:space="0" w:color="000000"/>
              <w:left w:val="single" w:sz="4" w:space="0" w:color="000000"/>
              <w:bottom w:val="single" w:sz="4" w:space="0" w:color="000000"/>
              <w:right w:val="single" w:sz="4" w:space="0" w:color="000000"/>
            </w:tcBorders>
          </w:tcPr>
          <w:p w14:paraId="47F5CB01" w14:textId="77777777" w:rsidR="000E52B0" w:rsidRDefault="00F60D74">
            <w:pPr>
              <w:pStyle w:val="TableParagraph"/>
              <w:tabs>
                <w:tab w:val="left" w:pos="1404"/>
              </w:tabs>
              <w:spacing w:before="3"/>
              <w:ind w:left="93" w:right="76"/>
              <w:rPr>
                <w:sz w:val="18"/>
              </w:rPr>
            </w:pPr>
            <w:r>
              <w:rPr>
                <w:sz w:val="18"/>
              </w:rPr>
              <w:t xml:space="preserve">de los recursos </w:t>
            </w:r>
            <w:r>
              <w:rPr>
                <w:spacing w:val="-2"/>
                <w:sz w:val="18"/>
              </w:rPr>
              <w:t>naturales, generen</w:t>
            </w:r>
            <w:r>
              <w:rPr>
                <w:spacing w:val="40"/>
                <w:sz w:val="18"/>
              </w:rPr>
              <w:t xml:space="preserve"> </w:t>
            </w:r>
            <w:r>
              <w:rPr>
                <w:spacing w:val="-2"/>
                <w:sz w:val="18"/>
              </w:rPr>
              <w:t>empleo</w:t>
            </w:r>
            <w:r>
              <w:rPr>
                <w:sz w:val="18"/>
              </w:rPr>
              <w:tab/>
            </w:r>
            <w:r>
              <w:rPr>
                <w:spacing w:val="-10"/>
                <w:sz w:val="18"/>
              </w:rPr>
              <w:t>y</w:t>
            </w:r>
          </w:p>
          <w:p w14:paraId="3B79D1B6" w14:textId="77777777" w:rsidR="000E52B0" w:rsidRDefault="00F60D74">
            <w:pPr>
              <w:pStyle w:val="TableParagraph"/>
              <w:tabs>
                <w:tab w:val="left" w:pos="558"/>
                <w:tab w:val="left" w:pos="675"/>
                <w:tab w:val="left" w:pos="743"/>
                <w:tab w:val="left" w:pos="958"/>
                <w:tab w:val="left" w:pos="1291"/>
                <w:tab w:val="left" w:pos="1354"/>
                <w:tab w:val="left" w:pos="1404"/>
              </w:tabs>
              <w:spacing w:before="1"/>
              <w:ind w:left="93" w:right="75"/>
              <w:rPr>
                <w:sz w:val="18"/>
              </w:rPr>
            </w:pPr>
            <w:r>
              <w:rPr>
                <w:spacing w:val="-2"/>
                <w:sz w:val="18"/>
              </w:rPr>
              <w:t>logren</w:t>
            </w:r>
            <w:r>
              <w:rPr>
                <w:sz w:val="18"/>
              </w:rPr>
              <w:tab/>
            </w:r>
            <w:r>
              <w:rPr>
                <w:sz w:val="18"/>
              </w:rPr>
              <w:tab/>
            </w:r>
            <w:r>
              <w:rPr>
                <w:sz w:val="18"/>
              </w:rPr>
              <w:tab/>
            </w:r>
            <w:r>
              <w:rPr>
                <w:sz w:val="18"/>
              </w:rPr>
              <w:tab/>
            </w:r>
            <w:r>
              <w:rPr>
                <w:sz w:val="18"/>
              </w:rPr>
              <w:tab/>
            </w:r>
            <w:r>
              <w:rPr>
                <w:spacing w:val="-61"/>
                <w:sz w:val="18"/>
              </w:rPr>
              <w:t xml:space="preserve"> </w:t>
            </w:r>
            <w:r>
              <w:rPr>
                <w:spacing w:val="-4"/>
                <w:sz w:val="18"/>
              </w:rPr>
              <w:t xml:space="preserve">el </w:t>
            </w:r>
            <w:r>
              <w:rPr>
                <w:spacing w:val="-2"/>
                <w:sz w:val="18"/>
              </w:rPr>
              <w:t>crecimiento sostenido</w:t>
            </w:r>
            <w:r>
              <w:rPr>
                <w:sz w:val="18"/>
              </w:rPr>
              <w:tab/>
            </w:r>
            <w:r>
              <w:rPr>
                <w:sz w:val="18"/>
              </w:rPr>
              <w:tab/>
            </w:r>
            <w:r>
              <w:rPr>
                <w:sz w:val="18"/>
              </w:rPr>
              <w:tab/>
            </w:r>
            <w:r>
              <w:rPr>
                <w:sz w:val="18"/>
              </w:rPr>
              <w:tab/>
            </w:r>
            <w:r>
              <w:rPr>
                <w:spacing w:val="-10"/>
                <w:sz w:val="18"/>
              </w:rPr>
              <w:t xml:space="preserve">y </w:t>
            </w:r>
            <w:r>
              <w:rPr>
                <w:spacing w:val="-2"/>
                <w:sz w:val="18"/>
              </w:rPr>
              <w:t>equilibrado</w:t>
            </w:r>
            <w:r>
              <w:rPr>
                <w:sz w:val="18"/>
              </w:rPr>
              <w:tab/>
            </w:r>
            <w:r>
              <w:rPr>
                <w:spacing w:val="-61"/>
                <w:sz w:val="18"/>
              </w:rPr>
              <w:t xml:space="preserve"> </w:t>
            </w:r>
            <w:r>
              <w:rPr>
                <w:spacing w:val="-4"/>
                <w:sz w:val="18"/>
              </w:rPr>
              <w:t>de las</w:t>
            </w:r>
            <w:r>
              <w:rPr>
                <w:sz w:val="18"/>
              </w:rPr>
              <w:tab/>
            </w:r>
            <w:r>
              <w:rPr>
                <w:sz w:val="18"/>
              </w:rPr>
              <w:tab/>
            </w:r>
            <w:r>
              <w:rPr>
                <w:spacing w:val="-2"/>
                <w:sz w:val="18"/>
              </w:rPr>
              <w:t>regiones. Propiciar</w:t>
            </w:r>
            <w:r>
              <w:rPr>
                <w:sz w:val="18"/>
              </w:rPr>
              <w:tab/>
            </w:r>
            <w:r>
              <w:rPr>
                <w:sz w:val="18"/>
              </w:rPr>
              <w:tab/>
            </w:r>
            <w:r>
              <w:rPr>
                <w:sz w:val="18"/>
              </w:rPr>
              <w:tab/>
            </w:r>
            <w:r>
              <w:rPr>
                <w:spacing w:val="-6"/>
                <w:sz w:val="18"/>
              </w:rPr>
              <w:t xml:space="preserve">la </w:t>
            </w:r>
            <w:r>
              <w:rPr>
                <w:sz w:val="18"/>
              </w:rPr>
              <w:t>articulación</w:t>
            </w:r>
            <w:r>
              <w:rPr>
                <w:spacing w:val="63"/>
                <w:sz w:val="18"/>
              </w:rPr>
              <w:t xml:space="preserve"> </w:t>
            </w:r>
            <w:r>
              <w:rPr>
                <w:sz w:val="18"/>
              </w:rPr>
              <w:t xml:space="preserve">de </w:t>
            </w:r>
            <w:r>
              <w:rPr>
                <w:spacing w:val="-4"/>
                <w:sz w:val="18"/>
              </w:rPr>
              <w:t>las</w:t>
            </w:r>
            <w:r>
              <w:rPr>
                <w:sz w:val="18"/>
              </w:rPr>
              <w:tab/>
            </w:r>
            <w:r>
              <w:rPr>
                <w:sz w:val="18"/>
              </w:rPr>
              <w:tab/>
            </w:r>
            <w:r>
              <w:rPr>
                <w:sz w:val="18"/>
              </w:rPr>
              <w:tab/>
            </w:r>
            <w:r>
              <w:rPr>
                <w:spacing w:val="-2"/>
                <w:sz w:val="18"/>
              </w:rPr>
              <w:t xml:space="preserve">acciones institucionales </w:t>
            </w:r>
            <w:r>
              <w:rPr>
                <w:spacing w:val="-6"/>
                <w:sz w:val="18"/>
              </w:rPr>
              <w:t>en</w:t>
            </w:r>
            <w:r>
              <w:rPr>
                <w:sz w:val="18"/>
              </w:rPr>
              <w:tab/>
            </w:r>
            <w:r>
              <w:rPr>
                <w:spacing w:val="-6"/>
                <w:sz w:val="18"/>
              </w:rPr>
              <w:t>el</w:t>
            </w:r>
            <w:r>
              <w:rPr>
                <w:sz w:val="18"/>
              </w:rPr>
              <w:tab/>
            </w:r>
            <w:r>
              <w:rPr>
                <w:sz w:val="18"/>
              </w:rPr>
              <w:tab/>
            </w:r>
            <w:r>
              <w:rPr>
                <w:spacing w:val="-4"/>
                <w:sz w:val="18"/>
              </w:rPr>
              <w:t xml:space="preserve">medio </w:t>
            </w:r>
            <w:r>
              <w:rPr>
                <w:spacing w:val="-2"/>
                <w:sz w:val="18"/>
              </w:rPr>
              <w:t>rural</w:t>
            </w:r>
            <w:r>
              <w:rPr>
                <w:sz w:val="18"/>
              </w:rPr>
              <w:tab/>
            </w:r>
            <w:r>
              <w:rPr>
                <w:sz w:val="18"/>
              </w:rPr>
              <w:tab/>
            </w:r>
            <w:r>
              <w:rPr>
                <w:sz w:val="18"/>
              </w:rPr>
              <w:tab/>
            </w:r>
            <w:r>
              <w:rPr>
                <w:sz w:val="18"/>
              </w:rPr>
              <w:tab/>
            </w:r>
            <w:r>
              <w:rPr>
                <w:sz w:val="18"/>
              </w:rPr>
              <w:tab/>
            </w:r>
            <w:r>
              <w:rPr>
                <w:spacing w:val="-5"/>
                <w:sz w:val="18"/>
              </w:rPr>
              <w:t>de</w:t>
            </w:r>
          </w:p>
          <w:p w14:paraId="4B6EFF9E" w14:textId="77777777" w:rsidR="000E52B0" w:rsidRDefault="00F60D74">
            <w:pPr>
              <w:pStyle w:val="TableParagraph"/>
              <w:tabs>
                <w:tab w:val="left" w:pos="1088"/>
                <w:tab w:val="left" w:pos="1405"/>
              </w:tabs>
              <w:ind w:left="93" w:right="76"/>
              <w:rPr>
                <w:sz w:val="18"/>
              </w:rPr>
            </w:pPr>
            <w:r>
              <w:rPr>
                <w:spacing w:val="-2"/>
                <w:sz w:val="18"/>
              </w:rPr>
              <w:t>manera</w:t>
            </w:r>
            <w:r>
              <w:rPr>
                <w:sz w:val="18"/>
              </w:rPr>
              <w:tab/>
            </w:r>
            <w:r>
              <w:rPr>
                <w:spacing w:val="-2"/>
                <w:sz w:val="18"/>
              </w:rPr>
              <w:t xml:space="preserve">focal </w:t>
            </w:r>
            <w:r>
              <w:rPr>
                <w:spacing w:val="-4"/>
                <w:sz w:val="18"/>
              </w:rPr>
              <w:t>izada</w:t>
            </w:r>
            <w:r>
              <w:rPr>
                <w:sz w:val="18"/>
              </w:rPr>
              <w:tab/>
            </w:r>
            <w:r>
              <w:rPr>
                <w:sz w:val="18"/>
              </w:rPr>
              <w:tab/>
            </w:r>
            <w:r>
              <w:rPr>
                <w:spacing w:val="-10"/>
                <w:sz w:val="18"/>
              </w:rPr>
              <w:t>y</w:t>
            </w:r>
          </w:p>
          <w:p w14:paraId="7C513BB1" w14:textId="77777777" w:rsidR="000E52B0" w:rsidRDefault="00F60D74">
            <w:pPr>
              <w:pStyle w:val="TableParagraph"/>
              <w:tabs>
                <w:tab w:val="left" w:pos="1406"/>
              </w:tabs>
              <w:spacing w:before="1"/>
              <w:ind w:left="93" w:right="76"/>
              <w:rPr>
                <w:sz w:val="18"/>
              </w:rPr>
            </w:pPr>
            <w:r>
              <w:rPr>
                <w:spacing w:val="-2"/>
                <w:sz w:val="18"/>
              </w:rPr>
              <w:t xml:space="preserve">sistemática, </w:t>
            </w:r>
            <w:r>
              <w:rPr>
                <w:sz w:val="18"/>
              </w:rPr>
              <w:t>bajo</w:t>
            </w:r>
            <w:r>
              <w:rPr>
                <w:spacing w:val="67"/>
                <w:sz w:val="18"/>
              </w:rPr>
              <w:t xml:space="preserve"> </w:t>
            </w:r>
            <w:r>
              <w:rPr>
                <w:sz w:val="18"/>
              </w:rPr>
              <w:t xml:space="preserve">principios </w:t>
            </w:r>
            <w:r>
              <w:rPr>
                <w:spacing w:val="-6"/>
                <w:sz w:val="18"/>
              </w:rPr>
              <w:t xml:space="preserve">de </w:t>
            </w:r>
            <w:r>
              <w:rPr>
                <w:spacing w:val="-2"/>
                <w:sz w:val="18"/>
              </w:rPr>
              <w:t xml:space="preserve">competitividad, equidad, sostenibilidad, </w:t>
            </w:r>
            <w:proofErr w:type="spellStart"/>
            <w:r>
              <w:rPr>
                <w:spacing w:val="-2"/>
                <w:sz w:val="18"/>
              </w:rPr>
              <w:t>multisectorialid</w:t>
            </w:r>
            <w:proofErr w:type="spellEnd"/>
            <w:r>
              <w:rPr>
                <w:spacing w:val="-2"/>
                <w:sz w:val="18"/>
              </w:rPr>
              <w:t xml:space="preserve"> </w:t>
            </w:r>
            <w:r>
              <w:rPr>
                <w:spacing w:val="-5"/>
                <w:sz w:val="18"/>
              </w:rPr>
              <w:t>ad</w:t>
            </w:r>
            <w:r>
              <w:rPr>
                <w:sz w:val="18"/>
              </w:rPr>
              <w:tab/>
            </w:r>
            <w:r>
              <w:rPr>
                <w:spacing w:val="-10"/>
                <w:sz w:val="18"/>
              </w:rPr>
              <w:t>y</w:t>
            </w:r>
          </w:p>
          <w:p w14:paraId="536BF9B3" w14:textId="77777777" w:rsidR="000E52B0" w:rsidRDefault="00F60D74">
            <w:pPr>
              <w:pStyle w:val="TableParagraph"/>
              <w:tabs>
                <w:tab w:val="left" w:pos="666"/>
                <w:tab w:val="left" w:pos="1354"/>
              </w:tabs>
              <w:ind w:left="93" w:right="78"/>
              <w:rPr>
                <w:sz w:val="18"/>
              </w:rPr>
            </w:pPr>
            <w:proofErr w:type="spellStart"/>
            <w:r>
              <w:rPr>
                <w:spacing w:val="-2"/>
                <w:sz w:val="18"/>
              </w:rPr>
              <w:t>descentralizaci</w:t>
            </w:r>
            <w:proofErr w:type="spellEnd"/>
            <w:r>
              <w:rPr>
                <w:spacing w:val="-2"/>
                <w:sz w:val="18"/>
              </w:rPr>
              <w:t xml:space="preserve"> </w:t>
            </w:r>
            <w:proofErr w:type="spellStart"/>
            <w:r>
              <w:rPr>
                <w:spacing w:val="-4"/>
                <w:sz w:val="18"/>
              </w:rPr>
              <w:t>ón</w:t>
            </w:r>
            <w:proofErr w:type="spellEnd"/>
            <w:r>
              <w:rPr>
                <w:spacing w:val="-4"/>
                <w:sz w:val="18"/>
              </w:rPr>
              <w:t>,</w:t>
            </w:r>
            <w:r>
              <w:rPr>
                <w:sz w:val="18"/>
              </w:rPr>
              <w:tab/>
            </w:r>
            <w:r>
              <w:rPr>
                <w:spacing w:val="-4"/>
                <w:sz w:val="18"/>
              </w:rPr>
              <w:t>para</w:t>
            </w:r>
            <w:r>
              <w:rPr>
                <w:sz w:val="18"/>
              </w:rPr>
              <w:tab/>
            </w:r>
            <w:r>
              <w:rPr>
                <w:spacing w:val="-6"/>
                <w:sz w:val="18"/>
              </w:rPr>
              <w:t xml:space="preserve">el </w:t>
            </w:r>
            <w:r>
              <w:rPr>
                <w:spacing w:val="-2"/>
                <w:sz w:val="18"/>
              </w:rPr>
              <w:t>desarrollo socioeconómico</w:t>
            </w:r>
          </w:p>
          <w:p w14:paraId="7057205D" w14:textId="77777777" w:rsidR="000E52B0" w:rsidRDefault="00F60D74">
            <w:pPr>
              <w:pStyle w:val="TableParagraph"/>
              <w:spacing w:line="201" w:lineRule="exact"/>
              <w:ind w:left="93"/>
              <w:rPr>
                <w:sz w:val="18"/>
              </w:rPr>
            </w:pPr>
            <w:r>
              <w:rPr>
                <w:sz w:val="18"/>
              </w:rPr>
              <w:t xml:space="preserve">del </w:t>
            </w:r>
            <w:r>
              <w:rPr>
                <w:spacing w:val="-2"/>
                <w:sz w:val="18"/>
              </w:rPr>
              <w:t>País.</w:t>
            </w:r>
          </w:p>
        </w:tc>
        <w:tc>
          <w:tcPr>
            <w:tcW w:w="2647" w:type="dxa"/>
            <w:tcBorders>
              <w:top w:val="single" w:sz="4" w:space="0" w:color="000000"/>
              <w:left w:val="single" w:sz="4" w:space="0" w:color="000000"/>
              <w:bottom w:val="single" w:sz="4" w:space="0" w:color="000000"/>
              <w:right w:val="single" w:sz="4" w:space="0" w:color="000000"/>
            </w:tcBorders>
          </w:tcPr>
          <w:p w14:paraId="598195E8" w14:textId="77777777" w:rsidR="000E52B0" w:rsidRDefault="00F60D74">
            <w:pPr>
              <w:pStyle w:val="TableParagraph"/>
              <w:tabs>
                <w:tab w:val="left" w:pos="1616"/>
                <w:tab w:val="left" w:pos="2399"/>
              </w:tabs>
              <w:spacing w:before="3"/>
              <w:ind w:left="91" w:right="77"/>
              <w:jc w:val="both"/>
              <w:rPr>
                <w:sz w:val="18"/>
              </w:rPr>
            </w:pPr>
            <w:r>
              <w:rPr>
                <w:spacing w:val="-2"/>
                <w:sz w:val="18"/>
              </w:rPr>
              <w:t>conlleven</w:t>
            </w:r>
            <w:r>
              <w:rPr>
                <w:sz w:val="18"/>
              </w:rPr>
              <w:tab/>
            </w:r>
            <w:r>
              <w:rPr>
                <w:spacing w:val="-10"/>
                <w:sz w:val="18"/>
              </w:rPr>
              <w:t>a</w:t>
            </w:r>
            <w:r>
              <w:rPr>
                <w:sz w:val="18"/>
              </w:rPr>
              <w:tab/>
            </w:r>
            <w:r>
              <w:rPr>
                <w:spacing w:val="-6"/>
                <w:sz w:val="18"/>
              </w:rPr>
              <w:t xml:space="preserve">la </w:t>
            </w:r>
            <w:r>
              <w:rPr>
                <w:sz w:val="18"/>
              </w:rPr>
              <w:t>implementación</w:t>
            </w:r>
            <w:r>
              <w:rPr>
                <w:spacing w:val="-1"/>
                <w:sz w:val="18"/>
              </w:rPr>
              <w:t xml:space="preserve"> </w:t>
            </w:r>
            <w:r>
              <w:rPr>
                <w:sz w:val="18"/>
              </w:rPr>
              <w:t>de</w:t>
            </w:r>
            <w:r>
              <w:rPr>
                <w:spacing w:val="-2"/>
                <w:sz w:val="18"/>
              </w:rPr>
              <w:t xml:space="preserve"> </w:t>
            </w:r>
            <w:r>
              <w:rPr>
                <w:sz w:val="18"/>
              </w:rPr>
              <w:t xml:space="preserve">planes, programas y proyectos de desarrollo rural, y agropecuario con enfoque </w:t>
            </w:r>
            <w:r>
              <w:rPr>
                <w:spacing w:val="-2"/>
                <w:sz w:val="18"/>
              </w:rPr>
              <w:t>territorial</w:t>
            </w:r>
          </w:p>
        </w:tc>
        <w:tc>
          <w:tcPr>
            <w:tcW w:w="1985" w:type="dxa"/>
            <w:tcBorders>
              <w:top w:val="single" w:sz="4" w:space="0" w:color="000000"/>
              <w:left w:val="single" w:sz="4" w:space="0" w:color="000000"/>
              <w:bottom w:val="single" w:sz="4" w:space="0" w:color="000000"/>
              <w:right w:val="single" w:sz="4" w:space="0" w:color="000000"/>
            </w:tcBorders>
          </w:tcPr>
          <w:p w14:paraId="5B60C484" w14:textId="77777777" w:rsidR="000E52B0" w:rsidRDefault="000E52B0">
            <w:pPr>
              <w:pStyle w:val="TableParagraph"/>
              <w:rPr>
                <w:rFonts w:ascii="Times New Roman"/>
                <w:sz w:val="18"/>
              </w:rPr>
            </w:pPr>
          </w:p>
        </w:tc>
        <w:tc>
          <w:tcPr>
            <w:tcW w:w="1337" w:type="dxa"/>
            <w:tcBorders>
              <w:top w:val="single" w:sz="4" w:space="0" w:color="000000"/>
              <w:left w:val="single" w:sz="4" w:space="0" w:color="000000"/>
              <w:bottom w:val="single" w:sz="4" w:space="0" w:color="000000"/>
            </w:tcBorders>
          </w:tcPr>
          <w:p w14:paraId="2A5FD0A0" w14:textId="77777777" w:rsidR="000E52B0" w:rsidRDefault="000E52B0">
            <w:pPr>
              <w:pStyle w:val="TableParagraph"/>
              <w:rPr>
                <w:rFonts w:ascii="Times New Roman"/>
                <w:sz w:val="18"/>
              </w:rPr>
            </w:pPr>
          </w:p>
        </w:tc>
      </w:tr>
      <w:tr w:rsidR="000E52B0" w14:paraId="6C6FB6EA" w14:textId="77777777">
        <w:trPr>
          <w:trHeight w:val="6343"/>
        </w:trPr>
        <w:tc>
          <w:tcPr>
            <w:tcW w:w="1416" w:type="dxa"/>
            <w:tcBorders>
              <w:top w:val="single" w:sz="4" w:space="0" w:color="000000"/>
              <w:right w:val="single" w:sz="4" w:space="0" w:color="000000"/>
            </w:tcBorders>
          </w:tcPr>
          <w:p w14:paraId="1C64BDCF" w14:textId="77777777" w:rsidR="000E52B0" w:rsidRDefault="00F60D74">
            <w:pPr>
              <w:pStyle w:val="TableParagraph"/>
              <w:ind w:left="90" w:right="75"/>
              <w:rPr>
                <w:sz w:val="18"/>
              </w:rPr>
            </w:pPr>
            <w:r>
              <w:rPr>
                <w:spacing w:val="-2"/>
                <w:sz w:val="18"/>
              </w:rPr>
              <w:t xml:space="preserve">MINISTERIO </w:t>
            </w:r>
            <w:r>
              <w:rPr>
                <w:spacing w:val="-6"/>
                <w:sz w:val="18"/>
              </w:rPr>
              <w:t xml:space="preserve">DE </w:t>
            </w:r>
            <w:r>
              <w:rPr>
                <w:spacing w:val="-2"/>
                <w:sz w:val="18"/>
              </w:rPr>
              <w:t>EDUCACIÓN NACIONAL.</w:t>
            </w:r>
          </w:p>
          <w:p w14:paraId="5FD26293" w14:textId="77777777" w:rsidR="000E52B0" w:rsidRDefault="00F60D74">
            <w:pPr>
              <w:pStyle w:val="TableParagraph"/>
              <w:spacing w:line="217" w:lineRule="exact"/>
              <w:ind w:left="90"/>
              <w:rPr>
                <w:sz w:val="18"/>
              </w:rPr>
            </w:pPr>
            <w:r>
              <w:rPr>
                <w:sz w:val="18"/>
              </w:rPr>
              <w:t>D.</w:t>
            </w:r>
            <w:r>
              <w:rPr>
                <w:spacing w:val="24"/>
                <w:sz w:val="18"/>
              </w:rPr>
              <w:t xml:space="preserve">  </w:t>
            </w:r>
            <w:proofErr w:type="gramStart"/>
            <w:r>
              <w:rPr>
                <w:sz w:val="18"/>
              </w:rPr>
              <w:t>5012</w:t>
            </w:r>
            <w:r>
              <w:rPr>
                <w:spacing w:val="24"/>
                <w:sz w:val="18"/>
              </w:rPr>
              <w:t xml:space="preserve">  </w:t>
            </w:r>
            <w:r>
              <w:rPr>
                <w:spacing w:val="-5"/>
                <w:sz w:val="18"/>
              </w:rPr>
              <w:t>de</w:t>
            </w:r>
            <w:proofErr w:type="gramEnd"/>
          </w:p>
          <w:p w14:paraId="251C79F8" w14:textId="77777777" w:rsidR="000E52B0" w:rsidRDefault="00F60D74">
            <w:pPr>
              <w:pStyle w:val="TableParagraph"/>
              <w:spacing w:before="1"/>
              <w:ind w:left="90"/>
              <w:rPr>
                <w:sz w:val="18"/>
              </w:rPr>
            </w:pPr>
            <w:r>
              <w:rPr>
                <w:spacing w:val="-4"/>
                <w:sz w:val="18"/>
              </w:rPr>
              <w:t>2009</w:t>
            </w:r>
          </w:p>
        </w:tc>
        <w:tc>
          <w:tcPr>
            <w:tcW w:w="1601" w:type="dxa"/>
            <w:tcBorders>
              <w:top w:val="single" w:sz="4" w:space="0" w:color="000000"/>
              <w:left w:val="single" w:sz="4" w:space="0" w:color="000000"/>
              <w:right w:val="single" w:sz="4" w:space="0" w:color="000000"/>
            </w:tcBorders>
          </w:tcPr>
          <w:p w14:paraId="507FED65" w14:textId="77777777" w:rsidR="000E52B0" w:rsidRDefault="00F60D74">
            <w:pPr>
              <w:pStyle w:val="TableParagraph"/>
              <w:tabs>
                <w:tab w:val="left" w:pos="1260"/>
                <w:tab w:val="left" w:pos="1292"/>
              </w:tabs>
              <w:ind w:left="93" w:right="76"/>
              <w:rPr>
                <w:sz w:val="18"/>
              </w:rPr>
            </w:pPr>
            <w:r>
              <w:rPr>
                <w:spacing w:val="-2"/>
                <w:sz w:val="18"/>
              </w:rPr>
              <w:t>Establecer</w:t>
            </w:r>
            <w:r>
              <w:rPr>
                <w:sz w:val="18"/>
              </w:rPr>
              <w:tab/>
            </w:r>
            <w:r>
              <w:rPr>
                <w:spacing w:val="-4"/>
                <w:sz w:val="18"/>
              </w:rPr>
              <w:t xml:space="preserve">las </w:t>
            </w:r>
            <w:r>
              <w:rPr>
                <w:sz w:val="18"/>
              </w:rPr>
              <w:t>políticas</w:t>
            </w:r>
            <w:r>
              <w:rPr>
                <w:spacing w:val="80"/>
                <w:sz w:val="18"/>
              </w:rPr>
              <w:t xml:space="preserve"> </w:t>
            </w:r>
            <w:r>
              <w:rPr>
                <w:sz w:val="18"/>
              </w:rPr>
              <w:t>y</w:t>
            </w:r>
            <w:r>
              <w:rPr>
                <w:spacing w:val="40"/>
                <w:sz w:val="18"/>
              </w:rPr>
              <w:t xml:space="preserve"> </w:t>
            </w:r>
            <w:r>
              <w:rPr>
                <w:sz w:val="18"/>
              </w:rPr>
              <w:t xml:space="preserve">los </w:t>
            </w:r>
            <w:r>
              <w:rPr>
                <w:spacing w:val="-2"/>
                <w:sz w:val="18"/>
              </w:rPr>
              <w:t xml:space="preserve">lineamientos </w:t>
            </w:r>
            <w:r>
              <w:rPr>
                <w:sz w:val="18"/>
              </w:rPr>
              <w:t>para</w:t>
            </w:r>
            <w:r>
              <w:rPr>
                <w:spacing w:val="80"/>
                <w:sz w:val="18"/>
              </w:rPr>
              <w:t xml:space="preserve"> </w:t>
            </w:r>
            <w:r>
              <w:rPr>
                <w:sz w:val="18"/>
              </w:rPr>
              <w:t>dotar</w:t>
            </w:r>
            <w:r>
              <w:rPr>
                <w:spacing w:val="80"/>
                <w:sz w:val="18"/>
              </w:rPr>
              <w:t xml:space="preserve"> </w:t>
            </w:r>
            <w:r>
              <w:rPr>
                <w:sz w:val="18"/>
              </w:rPr>
              <w:t xml:space="preserve">al </w:t>
            </w:r>
            <w:r>
              <w:rPr>
                <w:spacing w:val="-2"/>
                <w:sz w:val="18"/>
              </w:rPr>
              <w:t>sector</w:t>
            </w:r>
            <w:r>
              <w:rPr>
                <w:spacing w:val="40"/>
                <w:sz w:val="18"/>
              </w:rPr>
              <w:t xml:space="preserve"> </w:t>
            </w:r>
            <w:r>
              <w:rPr>
                <w:spacing w:val="-2"/>
                <w:sz w:val="18"/>
              </w:rPr>
              <w:t>educativo</w:t>
            </w:r>
            <w:r>
              <w:rPr>
                <w:spacing w:val="-14"/>
                <w:sz w:val="18"/>
              </w:rPr>
              <w:t xml:space="preserve"> </w:t>
            </w:r>
            <w:r>
              <w:rPr>
                <w:spacing w:val="-2"/>
                <w:sz w:val="18"/>
              </w:rPr>
              <w:t>de</w:t>
            </w:r>
            <w:r>
              <w:rPr>
                <w:spacing w:val="-14"/>
                <w:sz w:val="18"/>
              </w:rPr>
              <w:t xml:space="preserve"> </w:t>
            </w:r>
            <w:r>
              <w:rPr>
                <w:spacing w:val="-2"/>
                <w:sz w:val="18"/>
              </w:rPr>
              <w:t>un servicio</w:t>
            </w:r>
            <w:r>
              <w:rPr>
                <w:sz w:val="18"/>
              </w:rPr>
              <w:tab/>
            </w:r>
            <w:r>
              <w:rPr>
                <w:sz w:val="18"/>
              </w:rPr>
              <w:tab/>
            </w:r>
            <w:r>
              <w:rPr>
                <w:spacing w:val="-5"/>
                <w:sz w:val="18"/>
              </w:rPr>
              <w:t>de</w:t>
            </w:r>
          </w:p>
          <w:p w14:paraId="56C30E69" w14:textId="77777777" w:rsidR="000E52B0" w:rsidRDefault="00F60D74">
            <w:pPr>
              <w:pStyle w:val="TableParagraph"/>
              <w:tabs>
                <w:tab w:val="left" w:pos="931"/>
                <w:tab w:val="left" w:pos="1195"/>
                <w:tab w:val="left" w:pos="1353"/>
              </w:tabs>
              <w:ind w:left="93" w:right="75"/>
              <w:rPr>
                <w:sz w:val="18"/>
              </w:rPr>
            </w:pPr>
            <w:r>
              <w:rPr>
                <w:spacing w:val="-2"/>
                <w:sz w:val="18"/>
              </w:rPr>
              <w:t>calidad</w:t>
            </w:r>
            <w:r>
              <w:rPr>
                <w:sz w:val="18"/>
              </w:rPr>
              <w:tab/>
            </w:r>
            <w:r>
              <w:rPr>
                <w:sz w:val="18"/>
              </w:rPr>
              <w:tab/>
            </w:r>
            <w:r>
              <w:rPr>
                <w:spacing w:val="-4"/>
                <w:sz w:val="18"/>
              </w:rPr>
              <w:t xml:space="preserve">con </w:t>
            </w:r>
            <w:r>
              <w:rPr>
                <w:spacing w:val="-2"/>
                <w:sz w:val="18"/>
              </w:rPr>
              <w:t>acceso equitativo</w:t>
            </w:r>
            <w:r>
              <w:rPr>
                <w:spacing w:val="-15"/>
                <w:sz w:val="18"/>
              </w:rPr>
              <w:t xml:space="preserve"> </w:t>
            </w:r>
            <w:r>
              <w:rPr>
                <w:spacing w:val="-2"/>
                <w:sz w:val="18"/>
              </w:rPr>
              <w:t>y</w:t>
            </w:r>
            <w:r>
              <w:rPr>
                <w:spacing w:val="-17"/>
                <w:sz w:val="18"/>
              </w:rPr>
              <w:t xml:space="preserve"> </w:t>
            </w:r>
            <w:r>
              <w:rPr>
                <w:spacing w:val="-2"/>
                <w:sz w:val="18"/>
              </w:rPr>
              <w:t>con permanencia</w:t>
            </w:r>
            <w:r>
              <w:rPr>
                <w:spacing w:val="40"/>
                <w:sz w:val="18"/>
              </w:rPr>
              <w:t xml:space="preserve"> </w:t>
            </w:r>
            <w:r>
              <w:rPr>
                <w:sz w:val="18"/>
              </w:rPr>
              <w:t>en</w:t>
            </w:r>
            <w:r>
              <w:rPr>
                <w:spacing w:val="40"/>
                <w:sz w:val="18"/>
              </w:rPr>
              <w:t xml:space="preserve"> </w:t>
            </w:r>
            <w:r>
              <w:rPr>
                <w:sz w:val="18"/>
              </w:rPr>
              <w:t>el</w:t>
            </w:r>
            <w:r>
              <w:rPr>
                <w:spacing w:val="40"/>
                <w:sz w:val="18"/>
              </w:rPr>
              <w:t xml:space="preserve"> </w:t>
            </w:r>
            <w:r>
              <w:rPr>
                <w:sz w:val="18"/>
              </w:rPr>
              <w:t xml:space="preserve">sistema; </w:t>
            </w:r>
            <w:r>
              <w:rPr>
                <w:spacing w:val="-2"/>
                <w:sz w:val="18"/>
              </w:rPr>
              <w:t xml:space="preserve">Diseñar </w:t>
            </w:r>
            <w:r>
              <w:rPr>
                <w:sz w:val="18"/>
              </w:rPr>
              <w:t>estándares</w:t>
            </w:r>
            <w:r>
              <w:rPr>
                <w:spacing w:val="-4"/>
                <w:sz w:val="18"/>
              </w:rPr>
              <w:t xml:space="preserve"> </w:t>
            </w:r>
            <w:r>
              <w:rPr>
                <w:sz w:val="18"/>
              </w:rPr>
              <w:t>que definan el nivel fundamental</w:t>
            </w:r>
            <w:r>
              <w:rPr>
                <w:spacing w:val="-16"/>
                <w:sz w:val="18"/>
              </w:rPr>
              <w:t xml:space="preserve"> </w:t>
            </w:r>
            <w:r>
              <w:rPr>
                <w:sz w:val="18"/>
              </w:rPr>
              <w:t xml:space="preserve">de </w:t>
            </w:r>
            <w:r>
              <w:rPr>
                <w:spacing w:val="-2"/>
                <w:sz w:val="18"/>
              </w:rPr>
              <w:t>calidad</w:t>
            </w:r>
            <w:r>
              <w:rPr>
                <w:sz w:val="18"/>
              </w:rPr>
              <w:tab/>
            </w:r>
            <w:r>
              <w:rPr>
                <w:spacing w:val="-6"/>
                <w:sz w:val="18"/>
              </w:rPr>
              <w:t>de</w:t>
            </w:r>
            <w:r>
              <w:rPr>
                <w:sz w:val="18"/>
              </w:rPr>
              <w:tab/>
            </w:r>
            <w:r>
              <w:rPr>
                <w:sz w:val="18"/>
              </w:rPr>
              <w:tab/>
            </w:r>
            <w:r>
              <w:rPr>
                <w:spacing w:val="-6"/>
                <w:sz w:val="18"/>
              </w:rPr>
              <w:t xml:space="preserve">la </w:t>
            </w:r>
            <w:r>
              <w:rPr>
                <w:sz w:val="18"/>
              </w:rPr>
              <w:t>educación</w:t>
            </w:r>
            <w:r>
              <w:rPr>
                <w:spacing w:val="80"/>
                <w:sz w:val="18"/>
              </w:rPr>
              <w:t xml:space="preserve"> </w:t>
            </w:r>
            <w:r>
              <w:rPr>
                <w:sz w:val="18"/>
              </w:rPr>
              <w:t xml:space="preserve">que </w:t>
            </w:r>
            <w:r>
              <w:rPr>
                <w:spacing w:val="-2"/>
                <w:sz w:val="18"/>
              </w:rPr>
              <w:t>garantice</w:t>
            </w:r>
            <w:r>
              <w:rPr>
                <w:sz w:val="18"/>
              </w:rPr>
              <w:tab/>
            </w:r>
            <w:r>
              <w:rPr>
                <w:sz w:val="18"/>
              </w:rPr>
              <w:tab/>
            </w:r>
            <w:r>
              <w:rPr>
                <w:sz w:val="18"/>
              </w:rPr>
              <w:tab/>
            </w:r>
            <w:r>
              <w:rPr>
                <w:spacing w:val="-63"/>
                <w:sz w:val="18"/>
              </w:rPr>
              <w:t xml:space="preserve"> </w:t>
            </w:r>
            <w:r>
              <w:rPr>
                <w:spacing w:val="-6"/>
                <w:sz w:val="18"/>
              </w:rPr>
              <w:t>la</w:t>
            </w:r>
          </w:p>
          <w:p w14:paraId="140CC05E" w14:textId="77777777" w:rsidR="000E52B0" w:rsidRDefault="00F60D74">
            <w:pPr>
              <w:pStyle w:val="TableParagraph"/>
              <w:tabs>
                <w:tab w:val="left" w:pos="571"/>
                <w:tab w:val="left" w:pos="1289"/>
                <w:tab w:val="left" w:pos="1403"/>
              </w:tabs>
              <w:ind w:left="93" w:right="76"/>
              <w:rPr>
                <w:sz w:val="18"/>
              </w:rPr>
            </w:pPr>
            <w:r>
              <w:rPr>
                <w:spacing w:val="-2"/>
                <w:sz w:val="18"/>
              </w:rPr>
              <w:t>formación</w:t>
            </w:r>
            <w:r>
              <w:rPr>
                <w:sz w:val="18"/>
              </w:rPr>
              <w:tab/>
            </w:r>
            <w:r>
              <w:rPr>
                <w:spacing w:val="-60"/>
                <w:sz w:val="18"/>
              </w:rPr>
              <w:t xml:space="preserve"> </w:t>
            </w:r>
            <w:r>
              <w:rPr>
                <w:spacing w:val="-4"/>
                <w:sz w:val="18"/>
              </w:rPr>
              <w:t xml:space="preserve">de </w:t>
            </w:r>
            <w:r>
              <w:rPr>
                <w:sz w:val="18"/>
              </w:rPr>
              <w:t>las</w:t>
            </w:r>
            <w:r>
              <w:rPr>
                <w:spacing w:val="-16"/>
                <w:sz w:val="18"/>
              </w:rPr>
              <w:t xml:space="preserve"> </w:t>
            </w:r>
            <w:r>
              <w:rPr>
                <w:sz w:val="18"/>
              </w:rPr>
              <w:t>personas</w:t>
            </w:r>
            <w:r>
              <w:rPr>
                <w:spacing w:val="-16"/>
                <w:sz w:val="18"/>
              </w:rPr>
              <w:t xml:space="preserve"> </w:t>
            </w:r>
            <w:r>
              <w:rPr>
                <w:sz w:val="18"/>
              </w:rPr>
              <w:t xml:space="preserve">en </w:t>
            </w:r>
            <w:r>
              <w:rPr>
                <w:spacing w:val="-2"/>
                <w:sz w:val="18"/>
              </w:rPr>
              <w:t xml:space="preserve">convivencia pacífica, </w:t>
            </w:r>
            <w:r>
              <w:rPr>
                <w:sz w:val="18"/>
              </w:rPr>
              <w:t>participación</w:t>
            </w:r>
            <w:r>
              <w:rPr>
                <w:spacing w:val="64"/>
                <w:sz w:val="18"/>
              </w:rPr>
              <w:t xml:space="preserve"> </w:t>
            </w:r>
            <w:r>
              <w:rPr>
                <w:sz w:val="18"/>
              </w:rPr>
              <w:t xml:space="preserve">y </w:t>
            </w:r>
            <w:r>
              <w:rPr>
                <w:spacing w:val="-2"/>
                <w:sz w:val="18"/>
              </w:rPr>
              <w:t>responsabilidad democrática,</w:t>
            </w:r>
            <w:r>
              <w:rPr>
                <w:spacing w:val="40"/>
                <w:sz w:val="18"/>
              </w:rPr>
              <w:t xml:space="preserve"> </w:t>
            </w:r>
            <w:r>
              <w:rPr>
                <w:spacing w:val="-4"/>
                <w:sz w:val="18"/>
              </w:rPr>
              <w:t>así</w:t>
            </w:r>
            <w:r>
              <w:rPr>
                <w:sz w:val="18"/>
              </w:rPr>
              <w:tab/>
            </w:r>
            <w:r>
              <w:rPr>
                <w:spacing w:val="-4"/>
                <w:sz w:val="18"/>
              </w:rPr>
              <w:t>como</w:t>
            </w:r>
            <w:r>
              <w:rPr>
                <w:sz w:val="18"/>
              </w:rPr>
              <w:tab/>
            </w:r>
            <w:r>
              <w:rPr>
                <w:spacing w:val="-6"/>
                <w:sz w:val="18"/>
              </w:rPr>
              <w:t xml:space="preserve">en </w:t>
            </w:r>
            <w:r>
              <w:rPr>
                <w:spacing w:val="-2"/>
                <w:sz w:val="18"/>
              </w:rPr>
              <w:t>valoración</w:t>
            </w:r>
            <w:r>
              <w:rPr>
                <w:sz w:val="18"/>
              </w:rPr>
              <w:tab/>
            </w:r>
            <w:r>
              <w:rPr>
                <w:sz w:val="18"/>
              </w:rPr>
              <w:tab/>
            </w:r>
            <w:r>
              <w:rPr>
                <w:spacing w:val="-10"/>
                <w:sz w:val="18"/>
              </w:rPr>
              <w:t>e</w:t>
            </w:r>
          </w:p>
          <w:p w14:paraId="483C910B" w14:textId="77777777" w:rsidR="000E52B0" w:rsidRDefault="00F60D74">
            <w:pPr>
              <w:pStyle w:val="TableParagraph"/>
              <w:spacing w:line="198" w:lineRule="exact"/>
              <w:ind w:left="93"/>
              <w:rPr>
                <w:sz w:val="18"/>
              </w:rPr>
            </w:pPr>
            <w:proofErr w:type="gramStart"/>
            <w:r>
              <w:rPr>
                <w:sz w:val="18"/>
              </w:rPr>
              <w:t>integración</w:t>
            </w:r>
            <w:r>
              <w:rPr>
                <w:spacing w:val="30"/>
                <w:sz w:val="18"/>
              </w:rPr>
              <w:t xml:space="preserve">  </w:t>
            </w:r>
            <w:r>
              <w:rPr>
                <w:spacing w:val="-5"/>
                <w:sz w:val="18"/>
              </w:rPr>
              <w:t>de</w:t>
            </w:r>
            <w:proofErr w:type="gramEnd"/>
          </w:p>
        </w:tc>
        <w:tc>
          <w:tcPr>
            <w:tcW w:w="2647" w:type="dxa"/>
            <w:tcBorders>
              <w:top w:val="single" w:sz="4" w:space="0" w:color="000000"/>
              <w:left w:val="single" w:sz="4" w:space="0" w:color="000000"/>
              <w:right w:val="single" w:sz="4" w:space="0" w:color="000000"/>
            </w:tcBorders>
          </w:tcPr>
          <w:p w14:paraId="569523FE" w14:textId="77777777" w:rsidR="000E52B0" w:rsidRDefault="00F60D74">
            <w:pPr>
              <w:pStyle w:val="TableParagraph"/>
              <w:tabs>
                <w:tab w:val="left" w:pos="2401"/>
              </w:tabs>
              <w:ind w:left="91" w:right="78"/>
              <w:jc w:val="both"/>
              <w:rPr>
                <w:sz w:val="18"/>
              </w:rPr>
            </w:pPr>
            <w:r>
              <w:rPr>
                <w:sz w:val="18"/>
              </w:rPr>
              <w:t xml:space="preserve">Formular la política nacional de educación, regular y establecer los criterios y parámetros técnicos cualitativos que </w:t>
            </w:r>
            <w:r>
              <w:rPr>
                <w:spacing w:val="-2"/>
                <w:sz w:val="18"/>
              </w:rPr>
              <w:t>contribuyan</w:t>
            </w:r>
            <w:r>
              <w:rPr>
                <w:sz w:val="18"/>
              </w:rPr>
              <w:tab/>
            </w:r>
            <w:r>
              <w:rPr>
                <w:spacing w:val="-5"/>
                <w:sz w:val="18"/>
              </w:rPr>
              <w:t>al</w:t>
            </w:r>
          </w:p>
          <w:p w14:paraId="3292AEAD" w14:textId="77777777" w:rsidR="000E52B0" w:rsidRDefault="00F60D74">
            <w:pPr>
              <w:pStyle w:val="TableParagraph"/>
              <w:ind w:left="91" w:right="77"/>
              <w:jc w:val="both"/>
              <w:rPr>
                <w:sz w:val="18"/>
              </w:rPr>
            </w:pPr>
            <w:r>
              <w:rPr>
                <w:sz w:val="18"/>
              </w:rPr>
              <w:t>mejoramiento del acceso, calidad y equidad de la educación, en la atención integral a la primera infancia y en todos sus niveles y modalidades.; Preparar y proponer los planes de desarrollo del Sector, en especial el Plan Nacional de Desarrollo Educativo, convocando los entes territoriales, las instituciones educativas y la sociedad en general, de manera</w:t>
            </w:r>
            <w:r>
              <w:rPr>
                <w:spacing w:val="-16"/>
                <w:sz w:val="18"/>
              </w:rPr>
              <w:t xml:space="preserve"> </w:t>
            </w:r>
            <w:r>
              <w:rPr>
                <w:sz w:val="18"/>
              </w:rPr>
              <w:t>que</w:t>
            </w:r>
            <w:r>
              <w:rPr>
                <w:spacing w:val="-16"/>
                <w:sz w:val="18"/>
              </w:rPr>
              <w:t xml:space="preserve"> </w:t>
            </w:r>
            <w:r>
              <w:rPr>
                <w:sz w:val="18"/>
              </w:rPr>
              <w:t>se</w:t>
            </w:r>
            <w:r>
              <w:rPr>
                <w:spacing w:val="-16"/>
                <w:sz w:val="18"/>
              </w:rPr>
              <w:t xml:space="preserve"> </w:t>
            </w:r>
            <w:r>
              <w:rPr>
                <w:sz w:val="18"/>
              </w:rPr>
              <w:t>atiendan</w:t>
            </w:r>
            <w:r>
              <w:rPr>
                <w:spacing w:val="-16"/>
                <w:sz w:val="18"/>
              </w:rPr>
              <w:t xml:space="preserve"> </w:t>
            </w:r>
            <w:r>
              <w:rPr>
                <w:sz w:val="18"/>
              </w:rPr>
              <w:t>las necesidades del desarrollo económico y social del país; Dictar las normas para la organización y los criterios pedagógicos y técnicos</w:t>
            </w:r>
            <w:r>
              <w:rPr>
                <w:spacing w:val="69"/>
                <w:sz w:val="18"/>
              </w:rPr>
              <w:t xml:space="preserve"> </w:t>
            </w:r>
            <w:r>
              <w:rPr>
                <w:sz w:val="18"/>
              </w:rPr>
              <w:t>para</w:t>
            </w:r>
            <w:r>
              <w:rPr>
                <w:spacing w:val="69"/>
                <w:sz w:val="18"/>
              </w:rPr>
              <w:t xml:space="preserve"> </w:t>
            </w:r>
            <w:r>
              <w:rPr>
                <w:sz w:val="18"/>
              </w:rPr>
              <w:t>la</w:t>
            </w:r>
            <w:r>
              <w:rPr>
                <w:spacing w:val="70"/>
                <w:sz w:val="18"/>
              </w:rPr>
              <w:t xml:space="preserve"> </w:t>
            </w:r>
            <w:r>
              <w:rPr>
                <w:spacing w:val="-2"/>
                <w:sz w:val="18"/>
              </w:rPr>
              <w:t>atención</w:t>
            </w:r>
          </w:p>
          <w:p w14:paraId="4043EFCD" w14:textId="77777777" w:rsidR="000E52B0" w:rsidRDefault="00F60D74">
            <w:pPr>
              <w:pStyle w:val="TableParagraph"/>
              <w:spacing w:line="218" w:lineRule="exact"/>
              <w:ind w:left="91" w:right="78"/>
              <w:jc w:val="both"/>
              <w:rPr>
                <w:sz w:val="18"/>
              </w:rPr>
            </w:pPr>
            <w:r>
              <w:rPr>
                <w:sz w:val="18"/>
              </w:rPr>
              <w:t>integral a la primera infancia</w:t>
            </w:r>
            <w:r>
              <w:rPr>
                <w:spacing w:val="71"/>
                <w:w w:val="150"/>
                <w:sz w:val="18"/>
              </w:rPr>
              <w:t xml:space="preserve"> </w:t>
            </w:r>
            <w:r>
              <w:rPr>
                <w:sz w:val="18"/>
              </w:rPr>
              <w:t>y</w:t>
            </w:r>
            <w:r>
              <w:rPr>
                <w:spacing w:val="71"/>
                <w:w w:val="150"/>
                <w:sz w:val="18"/>
              </w:rPr>
              <w:t xml:space="preserve"> </w:t>
            </w:r>
            <w:r>
              <w:rPr>
                <w:sz w:val="18"/>
              </w:rPr>
              <w:t>las</w:t>
            </w:r>
            <w:r>
              <w:rPr>
                <w:spacing w:val="71"/>
                <w:w w:val="150"/>
                <w:sz w:val="18"/>
              </w:rPr>
              <w:t xml:space="preserve"> </w:t>
            </w:r>
            <w:r>
              <w:rPr>
                <w:spacing w:val="-2"/>
                <w:sz w:val="18"/>
              </w:rPr>
              <w:t>diferentes</w:t>
            </w:r>
          </w:p>
        </w:tc>
        <w:tc>
          <w:tcPr>
            <w:tcW w:w="1985" w:type="dxa"/>
            <w:tcBorders>
              <w:top w:val="single" w:sz="4" w:space="0" w:color="000000"/>
              <w:left w:val="single" w:sz="4" w:space="0" w:color="000000"/>
              <w:right w:val="single" w:sz="4" w:space="0" w:color="000000"/>
            </w:tcBorders>
          </w:tcPr>
          <w:p w14:paraId="095353DB" w14:textId="77777777" w:rsidR="000E52B0" w:rsidRDefault="00F60D74">
            <w:pPr>
              <w:pStyle w:val="TableParagraph"/>
              <w:tabs>
                <w:tab w:val="left" w:pos="1235"/>
                <w:tab w:val="left" w:pos="1739"/>
              </w:tabs>
              <w:ind w:left="91" w:right="74"/>
              <w:rPr>
                <w:sz w:val="18"/>
              </w:rPr>
            </w:pPr>
            <w:r>
              <w:rPr>
                <w:spacing w:val="-2"/>
                <w:sz w:val="18"/>
              </w:rPr>
              <w:t>Derecho</w:t>
            </w:r>
            <w:r>
              <w:rPr>
                <w:sz w:val="18"/>
              </w:rPr>
              <w:tab/>
            </w:r>
            <w:r>
              <w:rPr>
                <w:spacing w:val="-10"/>
                <w:sz w:val="18"/>
              </w:rPr>
              <w:t>a</w:t>
            </w:r>
            <w:r>
              <w:rPr>
                <w:sz w:val="18"/>
              </w:rPr>
              <w:tab/>
            </w:r>
            <w:r>
              <w:rPr>
                <w:spacing w:val="-6"/>
                <w:sz w:val="18"/>
              </w:rPr>
              <w:t xml:space="preserve">la </w:t>
            </w:r>
            <w:r>
              <w:rPr>
                <w:sz w:val="18"/>
              </w:rPr>
              <w:t>educación</w:t>
            </w:r>
            <w:r>
              <w:rPr>
                <w:spacing w:val="29"/>
                <w:sz w:val="18"/>
              </w:rPr>
              <w:t xml:space="preserve"> </w:t>
            </w:r>
            <w:r>
              <w:rPr>
                <w:sz w:val="18"/>
              </w:rPr>
              <w:t>(Art.</w:t>
            </w:r>
            <w:r>
              <w:rPr>
                <w:spacing w:val="28"/>
                <w:sz w:val="18"/>
              </w:rPr>
              <w:t xml:space="preserve"> </w:t>
            </w:r>
            <w:r>
              <w:rPr>
                <w:spacing w:val="-5"/>
                <w:sz w:val="18"/>
              </w:rPr>
              <w:t>67,</w:t>
            </w:r>
          </w:p>
          <w:p w14:paraId="5CC4BDDE" w14:textId="77777777" w:rsidR="000E52B0" w:rsidRDefault="00F60D74">
            <w:pPr>
              <w:pStyle w:val="TableParagraph"/>
              <w:spacing w:line="218" w:lineRule="exact"/>
              <w:ind w:left="91"/>
              <w:rPr>
                <w:sz w:val="18"/>
              </w:rPr>
            </w:pPr>
            <w:r>
              <w:rPr>
                <w:sz w:val="18"/>
              </w:rPr>
              <w:t>68</w:t>
            </w:r>
            <w:r>
              <w:rPr>
                <w:spacing w:val="-1"/>
                <w:sz w:val="18"/>
              </w:rPr>
              <w:t xml:space="preserve"> </w:t>
            </w:r>
            <w:r>
              <w:rPr>
                <w:sz w:val="18"/>
              </w:rPr>
              <w:t>y</w:t>
            </w:r>
            <w:r>
              <w:rPr>
                <w:spacing w:val="-2"/>
                <w:sz w:val="18"/>
              </w:rPr>
              <w:t xml:space="preserve"> </w:t>
            </w:r>
            <w:r>
              <w:rPr>
                <w:spacing w:val="-5"/>
                <w:sz w:val="18"/>
              </w:rPr>
              <w:t>69)</w:t>
            </w:r>
          </w:p>
        </w:tc>
        <w:tc>
          <w:tcPr>
            <w:tcW w:w="1337" w:type="dxa"/>
            <w:tcBorders>
              <w:top w:val="single" w:sz="4" w:space="0" w:color="000000"/>
              <w:left w:val="single" w:sz="4" w:space="0" w:color="000000"/>
            </w:tcBorders>
          </w:tcPr>
          <w:p w14:paraId="02B4C82A" w14:textId="77777777" w:rsidR="000E52B0" w:rsidRDefault="00F60D74">
            <w:pPr>
              <w:pStyle w:val="TableParagraph"/>
              <w:tabs>
                <w:tab w:val="left" w:pos="588"/>
                <w:tab w:val="left" w:pos="1089"/>
              </w:tabs>
              <w:ind w:left="92" w:right="74"/>
              <w:rPr>
                <w:sz w:val="18"/>
              </w:rPr>
            </w:pPr>
            <w:r>
              <w:rPr>
                <w:spacing w:val="-2"/>
                <w:sz w:val="18"/>
              </w:rPr>
              <w:t xml:space="preserve">Sector </w:t>
            </w:r>
            <w:proofErr w:type="spellStart"/>
            <w:r>
              <w:rPr>
                <w:spacing w:val="-2"/>
                <w:sz w:val="18"/>
              </w:rPr>
              <w:t>Administrati</w:t>
            </w:r>
            <w:proofErr w:type="spellEnd"/>
            <w:r>
              <w:rPr>
                <w:spacing w:val="-2"/>
                <w:sz w:val="18"/>
              </w:rPr>
              <w:t xml:space="preserve"> </w:t>
            </w:r>
            <w:proofErr w:type="spellStart"/>
            <w:r>
              <w:rPr>
                <w:spacing w:val="-6"/>
                <w:sz w:val="18"/>
              </w:rPr>
              <w:t>vo</w:t>
            </w:r>
            <w:proofErr w:type="spellEnd"/>
            <w:r>
              <w:rPr>
                <w:sz w:val="18"/>
              </w:rPr>
              <w:tab/>
            </w:r>
            <w:r>
              <w:rPr>
                <w:spacing w:val="-6"/>
                <w:sz w:val="18"/>
              </w:rPr>
              <w:t>de</w:t>
            </w:r>
            <w:r>
              <w:rPr>
                <w:sz w:val="18"/>
              </w:rPr>
              <w:tab/>
            </w:r>
            <w:r>
              <w:rPr>
                <w:spacing w:val="-6"/>
                <w:sz w:val="18"/>
              </w:rPr>
              <w:t xml:space="preserve">la </w:t>
            </w:r>
            <w:r>
              <w:rPr>
                <w:spacing w:val="-2"/>
                <w:sz w:val="18"/>
              </w:rPr>
              <w:t>Educación</w:t>
            </w:r>
          </w:p>
        </w:tc>
      </w:tr>
    </w:tbl>
    <w:p w14:paraId="14C9300A" w14:textId="77777777" w:rsidR="000E52B0" w:rsidRDefault="000E52B0">
      <w:pPr>
        <w:pStyle w:val="TableParagraph"/>
        <w:rPr>
          <w:sz w:val="18"/>
        </w:rPr>
        <w:sectPr w:rsidR="000E52B0">
          <w:type w:val="continuous"/>
          <w:pgSz w:w="11910" w:h="16840"/>
          <w:pgMar w:top="1400" w:right="720" w:bottom="1180" w:left="720" w:header="0" w:footer="995" w:gutter="0"/>
          <w:cols w:space="720"/>
        </w:sectPr>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6"/>
        <w:gridCol w:w="1601"/>
        <w:gridCol w:w="2647"/>
        <w:gridCol w:w="1985"/>
        <w:gridCol w:w="1337"/>
      </w:tblGrid>
      <w:tr w:rsidR="000E52B0" w14:paraId="50AEBF7A" w14:textId="77777777">
        <w:trPr>
          <w:trHeight w:val="875"/>
        </w:trPr>
        <w:tc>
          <w:tcPr>
            <w:tcW w:w="1416" w:type="dxa"/>
            <w:tcBorders>
              <w:bottom w:val="single" w:sz="4" w:space="0" w:color="000000"/>
              <w:right w:val="single" w:sz="4" w:space="0" w:color="000000"/>
            </w:tcBorders>
            <w:shd w:val="clear" w:color="auto" w:fill="D44673"/>
          </w:tcPr>
          <w:p w14:paraId="0544B1F3" w14:textId="77777777" w:rsidR="000E52B0" w:rsidRDefault="000E52B0">
            <w:pPr>
              <w:pStyle w:val="TableParagraph"/>
              <w:spacing w:before="109"/>
              <w:rPr>
                <w:sz w:val="18"/>
              </w:rPr>
            </w:pPr>
          </w:p>
          <w:p w14:paraId="376B613D" w14:textId="77777777" w:rsidR="000E52B0" w:rsidRDefault="00F60D74">
            <w:pPr>
              <w:pStyle w:val="TableParagraph"/>
              <w:ind w:left="206"/>
              <w:rPr>
                <w:b/>
                <w:sz w:val="18"/>
              </w:rPr>
            </w:pPr>
            <w:r>
              <w:rPr>
                <w:b/>
                <w:color w:val="FFFFFF"/>
                <w:spacing w:val="-2"/>
                <w:sz w:val="18"/>
              </w:rPr>
              <w:t>Ministerio</w:t>
            </w:r>
          </w:p>
        </w:tc>
        <w:tc>
          <w:tcPr>
            <w:tcW w:w="1601" w:type="dxa"/>
            <w:tcBorders>
              <w:left w:val="single" w:sz="4" w:space="0" w:color="000000"/>
              <w:bottom w:val="single" w:sz="4" w:space="0" w:color="000000"/>
              <w:right w:val="single" w:sz="4" w:space="0" w:color="000000"/>
            </w:tcBorders>
            <w:shd w:val="clear" w:color="auto" w:fill="D44673"/>
          </w:tcPr>
          <w:p w14:paraId="2D7E3036" w14:textId="77777777" w:rsidR="000E52B0" w:rsidRDefault="000E52B0">
            <w:pPr>
              <w:pStyle w:val="TableParagraph"/>
              <w:spacing w:before="109"/>
              <w:rPr>
                <w:sz w:val="18"/>
              </w:rPr>
            </w:pPr>
          </w:p>
          <w:p w14:paraId="5D0C534B" w14:textId="77777777" w:rsidR="000E52B0" w:rsidRDefault="00F60D74">
            <w:pPr>
              <w:pStyle w:val="TableParagraph"/>
              <w:ind w:left="374"/>
              <w:rPr>
                <w:b/>
                <w:sz w:val="18"/>
              </w:rPr>
            </w:pPr>
            <w:r>
              <w:rPr>
                <w:b/>
                <w:color w:val="FFFFFF"/>
                <w:spacing w:val="-2"/>
                <w:sz w:val="18"/>
              </w:rPr>
              <w:t>Objetivo</w:t>
            </w:r>
          </w:p>
        </w:tc>
        <w:tc>
          <w:tcPr>
            <w:tcW w:w="2647" w:type="dxa"/>
            <w:tcBorders>
              <w:left w:val="single" w:sz="4" w:space="0" w:color="000000"/>
              <w:bottom w:val="single" w:sz="4" w:space="0" w:color="000000"/>
              <w:right w:val="single" w:sz="4" w:space="0" w:color="000000"/>
            </w:tcBorders>
            <w:shd w:val="clear" w:color="auto" w:fill="D44673"/>
          </w:tcPr>
          <w:p w14:paraId="3CE44F9E" w14:textId="77777777" w:rsidR="000E52B0" w:rsidRDefault="000E52B0">
            <w:pPr>
              <w:pStyle w:val="TableParagraph"/>
              <w:spacing w:before="109"/>
              <w:rPr>
                <w:sz w:val="18"/>
              </w:rPr>
            </w:pPr>
          </w:p>
          <w:p w14:paraId="1DCF4567" w14:textId="77777777" w:rsidR="000E52B0" w:rsidRDefault="00F60D74">
            <w:pPr>
              <w:pStyle w:val="TableParagraph"/>
              <w:ind w:left="813"/>
              <w:rPr>
                <w:b/>
                <w:sz w:val="18"/>
              </w:rPr>
            </w:pPr>
            <w:r>
              <w:rPr>
                <w:b/>
                <w:color w:val="FFFFFF"/>
                <w:spacing w:val="-2"/>
                <w:sz w:val="18"/>
              </w:rPr>
              <w:t>Funciones</w:t>
            </w:r>
          </w:p>
        </w:tc>
        <w:tc>
          <w:tcPr>
            <w:tcW w:w="1985" w:type="dxa"/>
            <w:tcBorders>
              <w:left w:val="single" w:sz="4" w:space="0" w:color="000000"/>
              <w:bottom w:val="single" w:sz="4" w:space="0" w:color="000000"/>
              <w:right w:val="single" w:sz="4" w:space="0" w:color="000000"/>
            </w:tcBorders>
            <w:shd w:val="clear" w:color="auto" w:fill="D44673"/>
          </w:tcPr>
          <w:p w14:paraId="33A65490" w14:textId="77777777" w:rsidR="000E52B0" w:rsidRDefault="00F60D74">
            <w:pPr>
              <w:pStyle w:val="TableParagraph"/>
              <w:ind w:left="118" w:right="105" w:firstLine="1"/>
              <w:jc w:val="center"/>
              <w:rPr>
                <w:b/>
                <w:sz w:val="18"/>
              </w:rPr>
            </w:pPr>
            <w:r>
              <w:rPr>
                <w:b/>
                <w:color w:val="FFFFFF"/>
                <w:sz w:val="18"/>
              </w:rPr>
              <w:t>Derecho</w:t>
            </w:r>
            <w:r>
              <w:rPr>
                <w:b/>
                <w:color w:val="FFFFFF"/>
                <w:spacing w:val="-16"/>
                <w:sz w:val="18"/>
              </w:rPr>
              <w:t xml:space="preserve"> </w:t>
            </w:r>
            <w:r>
              <w:rPr>
                <w:b/>
                <w:color w:val="FFFFFF"/>
                <w:sz w:val="18"/>
              </w:rPr>
              <w:t>Humano o</w:t>
            </w:r>
            <w:r>
              <w:rPr>
                <w:b/>
                <w:color w:val="FFFFFF"/>
                <w:spacing w:val="-1"/>
                <w:sz w:val="18"/>
              </w:rPr>
              <w:t xml:space="preserve"> </w:t>
            </w:r>
            <w:r>
              <w:rPr>
                <w:b/>
                <w:color w:val="FFFFFF"/>
                <w:sz w:val="18"/>
              </w:rPr>
              <w:t>Fin</w:t>
            </w:r>
            <w:r>
              <w:rPr>
                <w:b/>
                <w:color w:val="FFFFFF"/>
                <w:spacing w:val="-3"/>
                <w:sz w:val="18"/>
              </w:rPr>
              <w:t xml:space="preserve"> </w:t>
            </w:r>
            <w:r>
              <w:rPr>
                <w:b/>
                <w:color w:val="FFFFFF"/>
                <w:sz w:val="18"/>
              </w:rPr>
              <w:t xml:space="preserve">Esencial </w:t>
            </w:r>
            <w:r>
              <w:rPr>
                <w:b/>
                <w:color w:val="FFFFFF"/>
                <w:spacing w:val="-5"/>
                <w:sz w:val="18"/>
              </w:rPr>
              <w:t>del</w:t>
            </w:r>
          </w:p>
          <w:p w14:paraId="0F06F17B" w14:textId="77777777" w:rsidR="000E52B0" w:rsidRDefault="00F60D74">
            <w:pPr>
              <w:pStyle w:val="TableParagraph"/>
              <w:spacing w:line="218" w:lineRule="exact"/>
              <w:ind w:left="12"/>
              <w:jc w:val="center"/>
              <w:rPr>
                <w:b/>
                <w:sz w:val="18"/>
              </w:rPr>
            </w:pPr>
            <w:r>
              <w:rPr>
                <w:b/>
                <w:color w:val="FFFFFF"/>
                <w:sz w:val="18"/>
              </w:rPr>
              <w:t>Estado</w:t>
            </w:r>
            <w:r>
              <w:rPr>
                <w:b/>
                <w:color w:val="FFFFFF"/>
                <w:spacing w:val="-16"/>
                <w:sz w:val="18"/>
              </w:rPr>
              <w:t xml:space="preserve"> </w:t>
            </w:r>
            <w:r>
              <w:rPr>
                <w:b/>
                <w:color w:val="FFFFFF"/>
                <w:sz w:val="18"/>
              </w:rPr>
              <w:t>al</w:t>
            </w:r>
            <w:r>
              <w:rPr>
                <w:b/>
                <w:color w:val="FFFFFF"/>
                <w:spacing w:val="-15"/>
                <w:sz w:val="18"/>
              </w:rPr>
              <w:t xml:space="preserve"> </w:t>
            </w:r>
            <w:r>
              <w:rPr>
                <w:b/>
                <w:color w:val="FFFFFF"/>
                <w:sz w:val="18"/>
              </w:rPr>
              <w:t xml:space="preserve">que </w:t>
            </w:r>
            <w:r>
              <w:rPr>
                <w:b/>
                <w:color w:val="FFFFFF"/>
                <w:spacing w:val="-2"/>
                <w:sz w:val="18"/>
              </w:rPr>
              <w:t>responde.</w:t>
            </w:r>
          </w:p>
        </w:tc>
        <w:tc>
          <w:tcPr>
            <w:tcW w:w="1337" w:type="dxa"/>
            <w:tcBorders>
              <w:left w:val="single" w:sz="4" w:space="0" w:color="000000"/>
              <w:bottom w:val="single" w:sz="4" w:space="0" w:color="000000"/>
            </w:tcBorders>
            <w:shd w:val="clear" w:color="auto" w:fill="D44673"/>
          </w:tcPr>
          <w:p w14:paraId="186AB502" w14:textId="77777777" w:rsidR="000E52B0" w:rsidRDefault="00F60D74">
            <w:pPr>
              <w:pStyle w:val="TableParagraph"/>
              <w:spacing w:before="217" w:line="242" w:lineRule="auto"/>
              <w:ind w:left="579" w:right="91" w:hanging="473"/>
              <w:rPr>
                <w:b/>
                <w:sz w:val="18"/>
              </w:rPr>
            </w:pPr>
            <w:proofErr w:type="spellStart"/>
            <w:r>
              <w:rPr>
                <w:b/>
                <w:color w:val="FFFFFF"/>
                <w:spacing w:val="-2"/>
                <w:sz w:val="18"/>
              </w:rPr>
              <w:t>Competenc</w:t>
            </w:r>
            <w:proofErr w:type="spellEnd"/>
            <w:r>
              <w:rPr>
                <w:b/>
                <w:color w:val="FFFFFF"/>
                <w:spacing w:val="-2"/>
                <w:sz w:val="18"/>
              </w:rPr>
              <w:t xml:space="preserve"> </w:t>
            </w:r>
            <w:proofErr w:type="spellStart"/>
            <w:r>
              <w:rPr>
                <w:b/>
                <w:color w:val="FFFFFF"/>
                <w:spacing w:val="-6"/>
                <w:sz w:val="18"/>
              </w:rPr>
              <w:t>ia</w:t>
            </w:r>
            <w:proofErr w:type="spellEnd"/>
          </w:p>
        </w:tc>
      </w:tr>
      <w:tr w:rsidR="000E52B0" w14:paraId="2E0C6F0A" w14:textId="77777777">
        <w:trPr>
          <w:trHeight w:val="3285"/>
        </w:trPr>
        <w:tc>
          <w:tcPr>
            <w:tcW w:w="1416" w:type="dxa"/>
            <w:tcBorders>
              <w:top w:val="single" w:sz="4" w:space="0" w:color="000000"/>
              <w:bottom w:val="single" w:sz="4" w:space="0" w:color="000000"/>
              <w:right w:val="single" w:sz="4" w:space="0" w:color="000000"/>
            </w:tcBorders>
          </w:tcPr>
          <w:p w14:paraId="5AF49C89" w14:textId="77777777" w:rsidR="000E52B0" w:rsidRDefault="000E52B0">
            <w:pPr>
              <w:pStyle w:val="TableParagraph"/>
              <w:rPr>
                <w:rFonts w:ascii="Times New Roman"/>
                <w:sz w:val="18"/>
              </w:rPr>
            </w:pPr>
          </w:p>
        </w:tc>
        <w:tc>
          <w:tcPr>
            <w:tcW w:w="1601" w:type="dxa"/>
            <w:tcBorders>
              <w:top w:val="single" w:sz="4" w:space="0" w:color="000000"/>
              <w:left w:val="single" w:sz="4" w:space="0" w:color="000000"/>
              <w:bottom w:val="single" w:sz="4" w:space="0" w:color="000000"/>
              <w:right w:val="single" w:sz="4" w:space="0" w:color="000000"/>
            </w:tcBorders>
          </w:tcPr>
          <w:p w14:paraId="75261F37" w14:textId="77777777" w:rsidR="000E52B0" w:rsidRDefault="00F60D74">
            <w:pPr>
              <w:pStyle w:val="TableParagraph"/>
              <w:tabs>
                <w:tab w:val="left" w:pos="1175"/>
              </w:tabs>
              <w:spacing w:before="3"/>
              <w:ind w:left="93" w:right="75"/>
              <w:rPr>
                <w:sz w:val="18"/>
              </w:rPr>
            </w:pPr>
            <w:r>
              <w:rPr>
                <w:sz w:val="18"/>
              </w:rPr>
              <w:t>las</w:t>
            </w:r>
            <w:r>
              <w:rPr>
                <w:spacing w:val="80"/>
                <w:sz w:val="18"/>
              </w:rPr>
              <w:t xml:space="preserve"> </w:t>
            </w:r>
            <w:r>
              <w:rPr>
                <w:sz w:val="18"/>
              </w:rPr>
              <w:t xml:space="preserve">diferencias </w:t>
            </w:r>
            <w:r>
              <w:rPr>
                <w:spacing w:val="-4"/>
                <w:sz w:val="18"/>
              </w:rPr>
              <w:t>para</w:t>
            </w:r>
            <w:r>
              <w:rPr>
                <w:sz w:val="18"/>
              </w:rPr>
              <w:tab/>
            </w:r>
            <w:r>
              <w:rPr>
                <w:spacing w:val="-5"/>
                <w:sz w:val="18"/>
              </w:rPr>
              <w:t>una</w:t>
            </w:r>
          </w:p>
          <w:p w14:paraId="52886CF4" w14:textId="77777777" w:rsidR="000E52B0" w:rsidRDefault="00F60D74">
            <w:pPr>
              <w:pStyle w:val="TableParagraph"/>
              <w:tabs>
                <w:tab w:val="left" w:pos="994"/>
                <w:tab w:val="left" w:pos="1291"/>
                <w:tab w:val="left" w:pos="1351"/>
                <w:tab w:val="left" w:pos="1407"/>
              </w:tabs>
              <w:ind w:left="93" w:right="74"/>
              <w:rPr>
                <w:sz w:val="18"/>
              </w:rPr>
            </w:pPr>
            <w:r>
              <w:rPr>
                <w:spacing w:val="-2"/>
                <w:sz w:val="18"/>
              </w:rPr>
              <w:t>cultura</w:t>
            </w:r>
            <w:r>
              <w:rPr>
                <w:sz w:val="18"/>
              </w:rPr>
              <w:tab/>
            </w:r>
            <w:r>
              <w:rPr>
                <w:sz w:val="18"/>
              </w:rPr>
              <w:tab/>
            </w:r>
            <w:r>
              <w:rPr>
                <w:spacing w:val="-63"/>
                <w:sz w:val="18"/>
              </w:rPr>
              <w:t xml:space="preserve"> </w:t>
            </w:r>
            <w:r>
              <w:rPr>
                <w:spacing w:val="-6"/>
                <w:sz w:val="18"/>
              </w:rPr>
              <w:t xml:space="preserve">de </w:t>
            </w:r>
            <w:r>
              <w:rPr>
                <w:spacing w:val="-2"/>
                <w:sz w:val="18"/>
              </w:rPr>
              <w:t>derechos humanos</w:t>
            </w:r>
            <w:r>
              <w:rPr>
                <w:sz w:val="18"/>
              </w:rPr>
              <w:tab/>
            </w:r>
            <w:r>
              <w:rPr>
                <w:sz w:val="18"/>
              </w:rPr>
              <w:tab/>
            </w:r>
            <w:r>
              <w:rPr>
                <w:sz w:val="18"/>
              </w:rPr>
              <w:tab/>
            </w:r>
            <w:r>
              <w:rPr>
                <w:sz w:val="18"/>
              </w:rPr>
              <w:tab/>
            </w:r>
            <w:r>
              <w:rPr>
                <w:spacing w:val="-10"/>
                <w:sz w:val="18"/>
              </w:rPr>
              <w:t xml:space="preserve">y </w:t>
            </w:r>
            <w:r>
              <w:rPr>
                <w:spacing w:val="-2"/>
                <w:sz w:val="18"/>
              </w:rPr>
              <w:t>ciudadanía</w:t>
            </w:r>
            <w:r>
              <w:rPr>
                <w:sz w:val="18"/>
              </w:rPr>
              <w:tab/>
            </w:r>
            <w:r>
              <w:rPr>
                <w:spacing w:val="-6"/>
                <w:sz w:val="18"/>
              </w:rPr>
              <w:t xml:space="preserve">en </w:t>
            </w:r>
            <w:r>
              <w:rPr>
                <w:sz w:val="18"/>
              </w:rPr>
              <w:t>la</w:t>
            </w:r>
            <w:r>
              <w:rPr>
                <w:spacing w:val="40"/>
                <w:sz w:val="18"/>
              </w:rPr>
              <w:t xml:space="preserve"> </w:t>
            </w:r>
            <w:r>
              <w:rPr>
                <w:sz w:val="18"/>
              </w:rPr>
              <w:t>práctica</w:t>
            </w:r>
            <w:r>
              <w:rPr>
                <w:spacing w:val="40"/>
                <w:sz w:val="18"/>
              </w:rPr>
              <w:t xml:space="preserve"> </w:t>
            </w:r>
            <w:r>
              <w:rPr>
                <w:sz w:val="18"/>
              </w:rPr>
              <w:t xml:space="preserve">del </w:t>
            </w:r>
            <w:r>
              <w:rPr>
                <w:spacing w:val="-2"/>
                <w:sz w:val="18"/>
              </w:rPr>
              <w:t>trabajo</w:t>
            </w:r>
            <w:r>
              <w:rPr>
                <w:sz w:val="18"/>
              </w:rPr>
              <w:tab/>
            </w:r>
            <w:r>
              <w:rPr>
                <w:spacing w:val="-10"/>
                <w:sz w:val="18"/>
              </w:rPr>
              <w:t>y</w:t>
            </w:r>
            <w:r>
              <w:rPr>
                <w:sz w:val="18"/>
              </w:rPr>
              <w:tab/>
            </w:r>
            <w:r>
              <w:rPr>
                <w:sz w:val="18"/>
              </w:rPr>
              <w:tab/>
            </w:r>
            <w:r>
              <w:rPr>
                <w:spacing w:val="-6"/>
                <w:sz w:val="18"/>
              </w:rPr>
              <w:t xml:space="preserve">la </w:t>
            </w:r>
            <w:r>
              <w:rPr>
                <w:sz w:val="18"/>
              </w:rPr>
              <w:t>recreación</w:t>
            </w:r>
            <w:r>
              <w:rPr>
                <w:spacing w:val="-14"/>
                <w:sz w:val="18"/>
              </w:rPr>
              <w:t xml:space="preserve"> </w:t>
            </w:r>
            <w:r>
              <w:rPr>
                <w:sz w:val="18"/>
              </w:rPr>
              <w:t xml:space="preserve">para </w:t>
            </w:r>
            <w:r>
              <w:rPr>
                <w:spacing w:val="-2"/>
                <w:sz w:val="18"/>
              </w:rPr>
              <w:t>lograr</w:t>
            </w:r>
            <w:r>
              <w:rPr>
                <w:sz w:val="18"/>
              </w:rPr>
              <w:tab/>
            </w:r>
            <w:r>
              <w:rPr>
                <w:sz w:val="18"/>
              </w:rPr>
              <w:tab/>
            </w:r>
            <w:r>
              <w:rPr>
                <w:sz w:val="18"/>
              </w:rPr>
              <w:tab/>
            </w:r>
            <w:r>
              <w:rPr>
                <w:spacing w:val="-58"/>
                <w:sz w:val="18"/>
              </w:rPr>
              <w:t xml:space="preserve"> </w:t>
            </w:r>
            <w:r>
              <w:rPr>
                <w:spacing w:val="-5"/>
                <w:sz w:val="18"/>
              </w:rPr>
              <w:t>el</w:t>
            </w:r>
          </w:p>
          <w:p w14:paraId="56C89CBD" w14:textId="77777777" w:rsidR="000E52B0" w:rsidRDefault="00F60D74">
            <w:pPr>
              <w:pStyle w:val="TableParagraph"/>
              <w:tabs>
                <w:tab w:val="left" w:pos="1244"/>
              </w:tabs>
              <w:spacing w:before="2"/>
              <w:ind w:left="93" w:right="76"/>
              <w:rPr>
                <w:sz w:val="18"/>
              </w:rPr>
            </w:pPr>
            <w:r>
              <w:rPr>
                <w:spacing w:val="-2"/>
                <w:sz w:val="18"/>
              </w:rPr>
              <w:t xml:space="preserve">mejoramiento </w:t>
            </w:r>
            <w:r>
              <w:rPr>
                <w:sz w:val="18"/>
              </w:rPr>
              <w:t>social,</w:t>
            </w:r>
            <w:r>
              <w:rPr>
                <w:spacing w:val="7"/>
                <w:sz w:val="18"/>
              </w:rPr>
              <w:t xml:space="preserve"> </w:t>
            </w:r>
            <w:r>
              <w:rPr>
                <w:sz w:val="18"/>
              </w:rPr>
              <w:t>cultural, científico</w:t>
            </w:r>
            <w:r>
              <w:rPr>
                <w:spacing w:val="80"/>
                <w:sz w:val="18"/>
              </w:rPr>
              <w:t xml:space="preserve"> </w:t>
            </w:r>
            <w:r>
              <w:rPr>
                <w:sz w:val="18"/>
              </w:rPr>
              <w:t>y</w:t>
            </w:r>
            <w:r>
              <w:rPr>
                <w:spacing w:val="80"/>
                <w:sz w:val="18"/>
              </w:rPr>
              <w:t xml:space="preserve"> </w:t>
            </w:r>
            <w:r>
              <w:rPr>
                <w:sz w:val="18"/>
              </w:rPr>
              <w:t xml:space="preserve">la </w:t>
            </w:r>
            <w:r>
              <w:rPr>
                <w:spacing w:val="-2"/>
                <w:sz w:val="18"/>
              </w:rPr>
              <w:t>protección</w:t>
            </w:r>
            <w:r>
              <w:rPr>
                <w:sz w:val="18"/>
              </w:rPr>
              <w:tab/>
            </w:r>
            <w:r>
              <w:rPr>
                <w:spacing w:val="-5"/>
                <w:sz w:val="18"/>
              </w:rPr>
              <w:t>del</w:t>
            </w:r>
          </w:p>
          <w:p w14:paraId="6931DF2A" w14:textId="77777777" w:rsidR="000E52B0" w:rsidRDefault="00F60D74">
            <w:pPr>
              <w:pStyle w:val="TableParagraph"/>
              <w:spacing w:line="198" w:lineRule="exact"/>
              <w:ind w:left="93"/>
              <w:rPr>
                <w:sz w:val="18"/>
              </w:rPr>
            </w:pPr>
            <w:r>
              <w:rPr>
                <w:spacing w:val="-2"/>
                <w:sz w:val="18"/>
              </w:rPr>
              <w:t>ambiente.</w:t>
            </w:r>
          </w:p>
        </w:tc>
        <w:tc>
          <w:tcPr>
            <w:tcW w:w="2647" w:type="dxa"/>
            <w:tcBorders>
              <w:top w:val="single" w:sz="4" w:space="0" w:color="000000"/>
              <w:left w:val="single" w:sz="4" w:space="0" w:color="000000"/>
              <w:bottom w:val="single" w:sz="4" w:space="0" w:color="000000"/>
              <w:right w:val="single" w:sz="4" w:space="0" w:color="000000"/>
            </w:tcBorders>
          </w:tcPr>
          <w:p w14:paraId="394B4CAA" w14:textId="77777777" w:rsidR="000E52B0" w:rsidRDefault="00F60D74">
            <w:pPr>
              <w:pStyle w:val="TableParagraph"/>
              <w:spacing w:before="3"/>
              <w:ind w:left="91" w:right="78"/>
              <w:jc w:val="both"/>
              <w:rPr>
                <w:sz w:val="18"/>
              </w:rPr>
            </w:pPr>
            <w:r>
              <w:rPr>
                <w:sz w:val="18"/>
              </w:rPr>
              <w:t>modalidades de prestación del servicio educativo, que orienten la educación en los niveles de preescolar, básica, media, superior y en la atención integral a la primera infancia. ;</w:t>
            </w:r>
          </w:p>
        </w:tc>
        <w:tc>
          <w:tcPr>
            <w:tcW w:w="1985" w:type="dxa"/>
            <w:tcBorders>
              <w:top w:val="single" w:sz="4" w:space="0" w:color="000000"/>
              <w:left w:val="single" w:sz="4" w:space="0" w:color="000000"/>
              <w:bottom w:val="single" w:sz="4" w:space="0" w:color="000000"/>
              <w:right w:val="single" w:sz="4" w:space="0" w:color="000000"/>
            </w:tcBorders>
          </w:tcPr>
          <w:p w14:paraId="18C8D9A5" w14:textId="77777777" w:rsidR="000E52B0" w:rsidRDefault="000E52B0">
            <w:pPr>
              <w:pStyle w:val="TableParagraph"/>
              <w:rPr>
                <w:rFonts w:ascii="Times New Roman"/>
                <w:sz w:val="18"/>
              </w:rPr>
            </w:pPr>
          </w:p>
        </w:tc>
        <w:tc>
          <w:tcPr>
            <w:tcW w:w="1337" w:type="dxa"/>
            <w:tcBorders>
              <w:top w:val="single" w:sz="4" w:space="0" w:color="000000"/>
              <w:left w:val="single" w:sz="4" w:space="0" w:color="000000"/>
              <w:bottom w:val="single" w:sz="4" w:space="0" w:color="000000"/>
            </w:tcBorders>
          </w:tcPr>
          <w:p w14:paraId="6C525825" w14:textId="77777777" w:rsidR="000E52B0" w:rsidRDefault="000E52B0">
            <w:pPr>
              <w:pStyle w:val="TableParagraph"/>
              <w:rPr>
                <w:rFonts w:ascii="Times New Roman"/>
                <w:sz w:val="18"/>
              </w:rPr>
            </w:pPr>
          </w:p>
        </w:tc>
      </w:tr>
      <w:tr w:rsidR="000E52B0" w14:paraId="3D354A1A" w14:textId="77777777">
        <w:trPr>
          <w:trHeight w:val="9190"/>
        </w:trPr>
        <w:tc>
          <w:tcPr>
            <w:tcW w:w="1416" w:type="dxa"/>
            <w:tcBorders>
              <w:top w:val="single" w:sz="4" w:space="0" w:color="000000"/>
              <w:bottom w:val="single" w:sz="4" w:space="0" w:color="000000"/>
              <w:right w:val="single" w:sz="4" w:space="0" w:color="000000"/>
            </w:tcBorders>
          </w:tcPr>
          <w:p w14:paraId="2E0CA62E" w14:textId="77777777" w:rsidR="000E52B0" w:rsidRDefault="00F60D74">
            <w:pPr>
              <w:pStyle w:val="TableParagraph"/>
              <w:tabs>
                <w:tab w:val="left" w:pos="1216"/>
              </w:tabs>
              <w:spacing w:before="1"/>
              <w:ind w:left="90" w:right="74"/>
              <w:rPr>
                <w:sz w:val="18"/>
              </w:rPr>
            </w:pPr>
            <w:r>
              <w:rPr>
                <w:spacing w:val="-2"/>
                <w:sz w:val="18"/>
              </w:rPr>
              <w:t xml:space="preserve">MINISTERIO </w:t>
            </w:r>
            <w:r>
              <w:rPr>
                <w:spacing w:val="-6"/>
                <w:sz w:val="18"/>
              </w:rPr>
              <w:t>DE</w:t>
            </w:r>
            <w:r>
              <w:rPr>
                <w:spacing w:val="40"/>
                <w:sz w:val="18"/>
              </w:rPr>
              <w:t xml:space="preserve"> </w:t>
            </w:r>
            <w:r>
              <w:rPr>
                <w:spacing w:val="-2"/>
                <w:sz w:val="18"/>
              </w:rPr>
              <w:t>VIVIENDA, CIUDAD</w:t>
            </w:r>
            <w:r>
              <w:rPr>
                <w:sz w:val="18"/>
              </w:rPr>
              <w:tab/>
            </w:r>
            <w:r>
              <w:rPr>
                <w:spacing w:val="-10"/>
                <w:sz w:val="18"/>
              </w:rPr>
              <w:t xml:space="preserve">Y </w:t>
            </w:r>
            <w:r>
              <w:rPr>
                <w:spacing w:val="-2"/>
                <w:sz w:val="18"/>
              </w:rPr>
              <w:t>TERRITORIO</w:t>
            </w:r>
          </w:p>
          <w:p w14:paraId="364FFA7E" w14:textId="77777777" w:rsidR="000E52B0" w:rsidRDefault="00F60D74">
            <w:pPr>
              <w:pStyle w:val="TableParagraph"/>
              <w:tabs>
                <w:tab w:val="left" w:pos="621"/>
              </w:tabs>
              <w:ind w:left="90" w:right="73"/>
              <w:rPr>
                <w:sz w:val="18"/>
              </w:rPr>
            </w:pPr>
            <w:r>
              <w:rPr>
                <w:spacing w:val="-6"/>
                <w:sz w:val="18"/>
              </w:rPr>
              <w:t>S.</w:t>
            </w:r>
            <w:r>
              <w:rPr>
                <w:sz w:val="18"/>
              </w:rPr>
              <w:tab/>
            </w:r>
            <w:r>
              <w:rPr>
                <w:spacing w:val="-2"/>
                <w:sz w:val="18"/>
              </w:rPr>
              <w:t xml:space="preserve">Decreto </w:t>
            </w:r>
            <w:r>
              <w:rPr>
                <w:sz w:val="18"/>
              </w:rPr>
              <w:t>3571</w:t>
            </w:r>
            <w:r>
              <w:rPr>
                <w:spacing w:val="-16"/>
                <w:sz w:val="18"/>
              </w:rPr>
              <w:t xml:space="preserve"> </w:t>
            </w:r>
            <w:r>
              <w:rPr>
                <w:sz w:val="18"/>
              </w:rPr>
              <w:t>de</w:t>
            </w:r>
            <w:r>
              <w:rPr>
                <w:spacing w:val="-14"/>
                <w:sz w:val="18"/>
              </w:rPr>
              <w:t xml:space="preserve"> </w:t>
            </w:r>
            <w:r>
              <w:rPr>
                <w:spacing w:val="-4"/>
                <w:sz w:val="18"/>
              </w:rPr>
              <w:t>2011</w:t>
            </w:r>
          </w:p>
        </w:tc>
        <w:tc>
          <w:tcPr>
            <w:tcW w:w="1601" w:type="dxa"/>
            <w:tcBorders>
              <w:top w:val="single" w:sz="4" w:space="0" w:color="000000"/>
              <w:left w:val="single" w:sz="4" w:space="0" w:color="000000"/>
              <w:bottom w:val="single" w:sz="4" w:space="0" w:color="000000"/>
              <w:right w:val="single" w:sz="4" w:space="0" w:color="000000"/>
            </w:tcBorders>
          </w:tcPr>
          <w:p w14:paraId="35498E10" w14:textId="77777777" w:rsidR="000E52B0" w:rsidRDefault="00F60D74">
            <w:pPr>
              <w:pStyle w:val="TableParagraph"/>
              <w:tabs>
                <w:tab w:val="left" w:pos="913"/>
                <w:tab w:val="left" w:pos="1023"/>
                <w:tab w:val="left" w:pos="1209"/>
                <w:tab w:val="left" w:pos="1356"/>
                <w:tab w:val="left" w:pos="1407"/>
              </w:tabs>
              <w:spacing w:before="1"/>
              <w:ind w:left="93" w:right="74"/>
              <w:rPr>
                <w:sz w:val="18"/>
              </w:rPr>
            </w:pPr>
            <w:r>
              <w:rPr>
                <w:sz w:val="18"/>
              </w:rPr>
              <w:t xml:space="preserve">El Ministerio de </w:t>
            </w:r>
            <w:r>
              <w:rPr>
                <w:spacing w:val="-2"/>
                <w:sz w:val="18"/>
              </w:rPr>
              <w:t>Vivienda, Ciudad</w:t>
            </w:r>
            <w:r>
              <w:rPr>
                <w:sz w:val="18"/>
              </w:rPr>
              <w:tab/>
            </w:r>
            <w:r>
              <w:rPr>
                <w:sz w:val="18"/>
              </w:rPr>
              <w:tab/>
            </w:r>
            <w:r>
              <w:rPr>
                <w:sz w:val="18"/>
              </w:rPr>
              <w:tab/>
            </w:r>
            <w:r>
              <w:rPr>
                <w:sz w:val="18"/>
              </w:rPr>
              <w:tab/>
            </w:r>
            <w:r>
              <w:rPr>
                <w:sz w:val="18"/>
              </w:rPr>
              <w:tab/>
            </w:r>
            <w:r>
              <w:rPr>
                <w:spacing w:val="-10"/>
                <w:sz w:val="18"/>
              </w:rPr>
              <w:t xml:space="preserve">y </w:t>
            </w:r>
            <w:r>
              <w:rPr>
                <w:spacing w:val="-2"/>
                <w:sz w:val="18"/>
              </w:rPr>
              <w:t>Territorio</w:t>
            </w:r>
            <w:r>
              <w:rPr>
                <w:spacing w:val="40"/>
                <w:sz w:val="18"/>
              </w:rPr>
              <w:t xml:space="preserve"> </w:t>
            </w:r>
            <w:r>
              <w:rPr>
                <w:spacing w:val="-2"/>
                <w:sz w:val="18"/>
              </w:rPr>
              <w:t>tendrá</w:t>
            </w:r>
            <w:r>
              <w:rPr>
                <w:sz w:val="18"/>
              </w:rPr>
              <w:tab/>
            </w:r>
            <w:r>
              <w:rPr>
                <w:sz w:val="18"/>
              </w:rPr>
              <w:tab/>
            </w:r>
            <w:r>
              <w:rPr>
                <w:spacing w:val="-4"/>
                <w:sz w:val="18"/>
              </w:rPr>
              <w:t xml:space="preserve">como </w:t>
            </w:r>
            <w:r>
              <w:rPr>
                <w:spacing w:val="-2"/>
                <w:sz w:val="18"/>
              </w:rPr>
              <w:t>objetivo primordial lograr,</w:t>
            </w:r>
            <w:r>
              <w:rPr>
                <w:sz w:val="18"/>
              </w:rPr>
              <w:tab/>
            </w:r>
            <w:r>
              <w:rPr>
                <w:spacing w:val="-6"/>
                <w:sz w:val="18"/>
              </w:rPr>
              <w:t>en</w:t>
            </w:r>
            <w:r>
              <w:rPr>
                <w:sz w:val="18"/>
              </w:rPr>
              <w:tab/>
            </w:r>
            <w:r>
              <w:rPr>
                <w:sz w:val="18"/>
              </w:rPr>
              <w:tab/>
            </w:r>
            <w:r>
              <w:rPr>
                <w:spacing w:val="-6"/>
                <w:sz w:val="18"/>
              </w:rPr>
              <w:t xml:space="preserve">el </w:t>
            </w:r>
            <w:r>
              <w:rPr>
                <w:sz w:val="18"/>
              </w:rPr>
              <w:t>marco</w:t>
            </w:r>
            <w:r>
              <w:rPr>
                <w:spacing w:val="-3"/>
                <w:sz w:val="18"/>
              </w:rPr>
              <w:t xml:space="preserve"> </w:t>
            </w:r>
            <w:r>
              <w:rPr>
                <w:sz w:val="18"/>
              </w:rPr>
              <w:t>de</w:t>
            </w:r>
            <w:r>
              <w:rPr>
                <w:spacing w:val="-3"/>
                <w:sz w:val="18"/>
              </w:rPr>
              <w:t xml:space="preserve"> </w:t>
            </w:r>
            <w:r>
              <w:rPr>
                <w:sz w:val="18"/>
              </w:rPr>
              <w:t>la</w:t>
            </w:r>
            <w:r>
              <w:rPr>
                <w:spacing w:val="-5"/>
                <w:sz w:val="18"/>
              </w:rPr>
              <w:t xml:space="preserve"> </w:t>
            </w:r>
            <w:r>
              <w:rPr>
                <w:sz w:val="18"/>
              </w:rPr>
              <w:t xml:space="preserve">ley </w:t>
            </w:r>
            <w:r>
              <w:rPr>
                <w:spacing w:val="-10"/>
                <w:sz w:val="18"/>
              </w:rPr>
              <w:t>y</w:t>
            </w:r>
            <w:r>
              <w:rPr>
                <w:sz w:val="18"/>
              </w:rPr>
              <w:tab/>
            </w:r>
            <w:r>
              <w:rPr>
                <w:sz w:val="18"/>
              </w:rPr>
              <w:tab/>
            </w:r>
            <w:r>
              <w:rPr>
                <w:sz w:val="18"/>
              </w:rPr>
              <w:tab/>
            </w:r>
            <w:r>
              <w:rPr>
                <w:spacing w:val="-5"/>
                <w:sz w:val="18"/>
              </w:rPr>
              <w:t>sus</w:t>
            </w:r>
          </w:p>
          <w:p w14:paraId="61DBD0EE" w14:textId="77777777" w:rsidR="000E52B0" w:rsidRDefault="00F60D74">
            <w:pPr>
              <w:pStyle w:val="TableParagraph"/>
              <w:tabs>
                <w:tab w:val="left" w:pos="1407"/>
              </w:tabs>
              <w:ind w:left="93" w:right="75"/>
              <w:rPr>
                <w:sz w:val="18"/>
              </w:rPr>
            </w:pPr>
            <w:r>
              <w:rPr>
                <w:spacing w:val="-2"/>
                <w:sz w:val="18"/>
              </w:rPr>
              <w:t xml:space="preserve">competencias, formular, </w:t>
            </w:r>
            <w:r>
              <w:rPr>
                <w:sz w:val="18"/>
              </w:rPr>
              <w:t>adoptar,</w:t>
            </w:r>
            <w:r>
              <w:rPr>
                <w:spacing w:val="-16"/>
                <w:sz w:val="18"/>
              </w:rPr>
              <w:t xml:space="preserve"> </w:t>
            </w:r>
            <w:r>
              <w:rPr>
                <w:sz w:val="18"/>
              </w:rPr>
              <w:t xml:space="preserve">dirigir, </w:t>
            </w:r>
            <w:r>
              <w:rPr>
                <w:spacing w:val="-2"/>
                <w:sz w:val="18"/>
              </w:rPr>
              <w:t>coordinar</w:t>
            </w:r>
            <w:r>
              <w:rPr>
                <w:sz w:val="18"/>
              </w:rPr>
              <w:tab/>
            </w:r>
            <w:r>
              <w:rPr>
                <w:spacing w:val="-10"/>
                <w:sz w:val="18"/>
              </w:rPr>
              <w:t>y</w:t>
            </w:r>
          </w:p>
          <w:p w14:paraId="48EB217D" w14:textId="77777777" w:rsidR="000E52B0" w:rsidRDefault="00F60D74">
            <w:pPr>
              <w:pStyle w:val="TableParagraph"/>
              <w:tabs>
                <w:tab w:val="left" w:pos="1407"/>
              </w:tabs>
              <w:ind w:left="93" w:right="74"/>
              <w:jc w:val="both"/>
              <w:rPr>
                <w:sz w:val="18"/>
              </w:rPr>
            </w:pPr>
            <w:r>
              <w:rPr>
                <w:sz w:val="18"/>
              </w:rPr>
              <w:t>ejecutar la política</w:t>
            </w:r>
            <w:r>
              <w:rPr>
                <w:spacing w:val="-16"/>
                <w:sz w:val="18"/>
              </w:rPr>
              <w:t xml:space="preserve"> </w:t>
            </w:r>
            <w:r>
              <w:rPr>
                <w:sz w:val="18"/>
              </w:rPr>
              <w:t xml:space="preserve">pública, </w:t>
            </w:r>
            <w:r>
              <w:rPr>
                <w:spacing w:val="-2"/>
                <w:sz w:val="18"/>
              </w:rPr>
              <w:t>planes</w:t>
            </w:r>
            <w:r>
              <w:rPr>
                <w:sz w:val="18"/>
              </w:rPr>
              <w:tab/>
            </w:r>
            <w:r>
              <w:rPr>
                <w:spacing w:val="-10"/>
                <w:sz w:val="18"/>
              </w:rPr>
              <w:t>y</w:t>
            </w:r>
          </w:p>
          <w:p w14:paraId="7F7088E1" w14:textId="77777777" w:rsidR="000E52B0" w:rsidRDefault="00F60D74">
            <w:pPr>
              <w:pStyle w:val="TableParagraph"/>
              <w:spacing w:line="218" w:lineRule="exact"/>
              <w:ind w:left="93"/>
              <w:jc w:val="both"/>
              <w:rPr>
                <w:sz w:val="18"/>
              </w:rPr>
            </w:pPr>
            <w:proofErr w:type="gramStart"/>
            <w:r>
              <w:rPr>
                <w:sz w:val="18"/>
              </w:rPr>
              <w:t>proyectos</w:t>
            </w:r>
            <w:r>
              <w:rPr>
                <w:spacing w:val="61"/>
                <w:w w:val="150"/>
                <w:sz w:val="18"/>
              </w:rPr>
              <w:t xml:space="preserve">  </w:t>
            </w:r>
            <w:r>
              <w:rPr>
                <w:spacing w:val="-5"/>
                <w:sz w:val="18"/>
              </w:rPr>
              <w:t>en</w:t>
            </w:r>
            <w:proofErr w:type="gramEnd"/>
          </w:p>
          <w:p w14:paraId="1B402317" w14:textId="77777777" w:rsidR="000E52B0" w:rsidRDefault="00F60D74">
            <w:pPr>
              <w:pStyle w:val="TableParagraph"/>
              <w:tabs>
                <w:tab w:val="left" w:pos="1243"/>
                <w:tab w:val="left" w:pos="1354"/>
                <w:tab w:val="left" w:pos="1406"/>
              </w:tabs>
              <w:ind w:left="93" w:right="75"/>
              <w:rPr>
                <w:sz w:val="18"/>
              </w:rPr>
            </w:pPr>
            <w:r>
              <w:rPr>
                <w:spacing w:val="-2"/>
                <w:sz w:val="18"/>
              </w:rPr>
              <w:t>materia</w:t>
            </w:r>
            <w:r>
              <w:rPr>
                <w:sz w:val="18"/>
              </w:rPr>
              <w:tab/>
            </w:r>
            <w:r>
              <w:rPr>
                <w:spacing w:val="-4"/>
                <w:sz w:val="18"/>
              </w:rPr>
              <w:t xml:space="preserve">del </w:t>
            </w:r>
            <w:r>
              <w:rPr>
                <w:spacing w:val="-2"/>
                <w:sz w:val="18"/>
              </w:rPr>
              <w:t>desarrollo territorial</w:t>
            </w:r>
            <w:r>
              <w:rPr>
                <w:sz w:val="18"/>
              </w:rPr>
              <w:tab/>
            </w:r>
            <w:r>
              <w:rPr>
                <w:sz w:val="18"/>
              </w:rPr>
              <w:tab/>
            </w:r>
            <w:r>
              <w:rPr>
                <w:sz w:val="18"/>
              </w:rPr>
              <w:tab/>
            </w:r>
            <w:r>
              <w:rPr>
                <w:spacing w:val="-10"/>
                <w:sz w:val="18"/>
              </w:rPr>
              <w:t xml:space="preserve">y </w:t>
            </w:r>
            <w:r>
              <w:rPr>
                <w:spacing w:val="-2"/>
                <w:sz w:val="18"/>
              </w:rPr>
              <w:t xml:space="preserve">urbano </w:t>
            </w:r>
            <w:r>
              <w:rPr>
                <w:sz w:val="18"/>
              </w:rPr>
              <w:t>planificado</w:t>
            </w:r>
            <w:r>
              <w:rPr>
                <w:spacing w:val="80"/>
                <w:sz w:val="18"/>
              </w:rPr>
              <w:t xml:space="preserve"> </w:t>
            </w:r>
            <w:r>
              <w:rPr>
                <w:sz w:val="18"/>
              </w:rPr>
              <w:t xml:space="preserve">del </w:t>
            </w:r>
            <w:r>
              <w:rPr>
                <w:spacing w:val="-2"/>
                <w:sz w:val="18"/>
              </w:rPr>
              <w:t>país,</w:t>
            </w:r>
            <w:r>
              <w:rPr>
                <w:sz w:val="18"/>
              </w:rPr>
              <w:tab/>
            </w:r>
            <w:r>
              <w:rPr>
                <w:sz w:val="18"/>
              </w:rPr>
              <w:tab/>
            </w:r>
            <w:r>
              <w:rPr>
                <w:spacing w:val="-5"/>
                <w:sz w:val="18"/>
              </w:rPr>
              <w:t>la</w:t>
            </w:r>
          </w:p>
          <w:p w14:paraId="068EECDF" w14:textId="77777777" w:rsidR="000E52B0" w:rsidRDefault="00F60D74">
            <w:pPr>
              <w:pStyle w:val="TableParagraph"/>
              <w:tabs>
                <w:tab w:val="left" w:pos="733"/>
                <w:tab w:val="left" w:pos="1193"/>
                <w:tab w:val="left" w:pos="1243"/>
                <w:tab w:val="left" w:pos="1292"/>
                <w:tab w:val="left" w:pos="1405"/>
              </w:tabs>
              <w:ind w:left="93" w:right="73"/>
              <w:rPr>
                <w:sz w:val="18"/>
              </w:rPr>
            </w:pPr>
            <w:r>
              <w:rPr>
                <w:spacing w:val="-2"/>
                <w:sz w:val="18"/>
              </w:rPr>
              <w:t xml:space="preserve">consolidación </w:t>
            </w:r>
            <w:r>
              <w:rPr>
                <w:sz w:val="18"/>
              </w:rPr>
              <w:t>del</w:t>
            </w:r>
            <w:r>
              <w:rPr>
                <w:spacing w:val="36"/>
                <w:sz w:val="18"/>
              </w:rPr>
              <w:t xml:space="preserve"> </w:t>
            </w:r>
            <w:r>
              <w:rPr>
                <w:sz w:val="18"/>
              </w:rPr>
              <w:t>sistema</w:t>
            </w:r>
            <w:r>
              <w:rPr>
                <w:spacing w:val="35"/>
                <w:sz w:val="18"/>
              </w:rPr>
              <w:t xml:space="preserve"> </w:t>
            </w:r>
            <w:r>
              <w:rPr>
                <w:sz w:val="18"/>
              </w:rPr>
              <w:t xml:space="preserve">de </w:t>
            </w:r>
            <w:r>
              <w:rPr>
                <w:spacing w:val="-2"/>
                <w:sz w:val="18"/>
              </w:rPr>
              <w:t>ciudades,</w:t>
            </w:r>
            <w:r>
              <w:rPr>
                <w:sz w:val="18"/>
              </w:rPr>
              <w:tab/>
            </w:r>
            <w:r>
              <w:rPr>
                <w:spacing w:val="-4"/>
                <w:sz w:val="18"/>
              </w:rPr>
              <w:t xml:space="preserve">con </w:t>
            </w:r>
            <w:r>
              <w:rPr>
                <w:spacing w:val="-2"/>
                <w:sz w:val="18"/>
              </w:rPr>
              <w:t>patrones</w:t>
            </w:r>
            <w:r>
              <w:rPr>
                <w:sz w:val="18"/>
              </w:rPr>
              <w:tab/>
            </w:r>
            <w:r>
              <w:rPr>
                <w:sz w:val="18"/>
              </w:rPr>
              <w:tab/>
            </w:r>
            <w:r>
              <w:rPr>
                <w:sz w:val="18"/>
              </w:rPr>
              <w:tab/>
            </w:r>
            <w:r>
              <w:rPr>
                <w:spacing w:val="-6"/>
                <w:sz w:val="18"/>
              </w:rPr>
              <w:t xml:space="preserve">de </w:t>
            </w:r>
            <w:r>
              <w:rPr>
                <w:sz w:val="18"/>
              </w:rPr>
              <w:t>uso</w:t>
            </w:r>
            <w:r>
              <w:rPr>
                <w:spacing w:val="36"/>
                <w:sz w:val="18"/>
              </w:rPr>
              <w:t xml:space="preserve"> </w:t>
            </w:r>
            <w:r>
              <w:rPr>
                <w:sz w:val="18"/>
              </w:rPr>
              <w:t>eficiente</w:t>
            </w:r>
            <w:r>
              <w:rPr>
                <w:spacing w:val="36"/>
                <w:sz w:val="18"/>
              </w:rPr>
              <w:t xml:space="preserve"> </w:t>
            </w:r>
            <w:r>
              <w:rPr>
                <w:sz w:val="18"/>
              </w:rPr>
              <w:t xml:space="preserve">y </w:t>
            </w:r>
            <w:r>
              <w:rPr>
                <w:spacing w:val="-2"/>
                <w:sz w:val="18"/>
              </w:rPr>
              <w:t>sostenible</w:t>
            </w:r>
            <w:r>
              <w:rPr>
                <w:sz w:val="18"/>
              </w:rPr>
              <w:tab/>
            </w:r>
            <w:r>
              <w:rPr>
                <w:sz w:val="18"/>
              </w:rPr>
              <w:tab/>
            </w:r>
            <w:r>
              <w:rPr>
                <w:spacing w:val="-4"/>
                <w:sz w:val="18"/>
              </w:rPr>
              <w:t xml:space="preserve">del </w:t>
            </w:r>
            <w:r>
              <w:rPr>
                <w:sz w:val="18"/>
              </w:rPr>
              <w:t>suelo,</w:t>
            </w:r>
            <w:r>
              <w:rPr>
                <w:spacing w:val="-2"/>
                <w:sz w:val="18"/>
              </w:rPr>
              <w:t xml:space="preserve"> </w:t>
            </w:r>
            <w:r>
              <w:rPr>
                <w:sz w:val="18"/>
              </w:rPr>
              <w:t>teniendo en</w:t>
            </w:r>
            <w:r>
              <w:rPr>
                <w:spacing w:val="80"/>
                <w:sz w:val="18"/>
              </w:rPr>
              <w:t xml:space="preserve"> </w:t>
            </w:r>
            <w:r>
              <w:rPr>
                <w:sz w:val="18"/>
              </w:rPr>
              <w:t>cuenta</w:t>
            </w:r>
            <w:r>
              <w:rPr>
                <w:spacing w:val="80"/>
                <w:sz w:val="18"/>
              </w:rPr>
              <w:t xml:space="preserve"> </w:t>
            </w:r>
            <w:r>
              <w:rPr>
                <w:sz w:val="18"/>
              </w:rPr>
              <w:t>las condiciones</w:t>
            </w:r>
            <w:r>
              <w:rPr>
                <w:spacing w:val="40"/>
                <w:sz w:val="18"/>
              </w:rPr>
              <w:t xml:space="preserve"> </w:t>
            </w:r>
            <w:r>
              <w:rPr>
                <w:sz w:val="18"/>
              </w:rPr>
              <w:t xml:space="preserve">de </w:t>
            </w:r>
            <w:r>
              <w:rPr>
                <w:spacing w:val="-2"/>
                <w:sz w:val="18"/>
              </w:rPr>
              <w:t>acceso</w:t>
            </w:r>
            <w:r>
              <w:rPr>
                <w:sz w:val="18"/>
              </w:rPr>
              <w:tab/>
            </w:r>
            <w:r>
              <w:rPr>
                <w:sz w:val="18"/>
              </w:rPr>
              <w:tab/>
            </w:r>
            <w:r>
              <w:rPr>
                <w:sz w:val="18"/>
              </w:rPr>
              <w:tab/>
            </w:r>
            <w:r>
              <w:rPr>
                <w:sz w:val="18"/>
              </w:rPr>
              <w:tab/>
            </w:r>
            <w:r>
              <w:rPr>
                <w:sz w:val="18"/>
              </w:rPr>
              <w:tab/>
            </w:r>
            <w:r>
              <w:rPr>
                <w:spacing w:val="-10"/>
                <w:sz w:val="18"/>
              </w:rPr>
              <w:t xml:space="preserve">y </w:t>
            </w:r>
            <w:r>
              <w:rPr>
                <w:sz w:val="18"/>
              </w:rPr>
              <w:t>financiación</w:t>
            </w:r>
            <w:r>
              <w:rPr>
                <w:spacing w:val="35"/>
                <w:sz w:val="18"/>
              </w:rPr>
              <w:t xml:space="preserve"> </w:t>
            </w:r>
            <w:r>
              <w:rPr>
                <w:sz w:val="18"/>
              </w:rPr>
              <w:t>de vivienda,</w:t>
            </w:r>
            <w:r>
              <w:rPr>
                <w:spacing w:val="40"/>
                <w:sz w:val="18"/>
              </w:rPr>
              <w:t xml:space="preserve"> </w:t>
            </w:r>
            <w:r>
              <w:rPr>
                <w:sz w:val="18"/>
              </w:rPr>
              <w:t>y</w:t>
            </w:r>
            <w:r>
              <w:rPr>
                <w:spacing w:val="40"/>
                <w:sz w:val="18"/>
              </w:rPr>
              <w:t xml:space="preserve"> </w:t>
            </w:r>
            <w:r>
              <w:rPr>
                <w:sz w:val="18"/>
              </w:rPr>
              <w:t xml:space="preserve">de </w:t>
            </w:r>
            <w:r>
              <w:rPr>
                <w:spacing w:val="-2"/>
                <w:sz w:val="18"/>
              </w:rPr>
              <w:t>prestación</w:t>
            </w:r>
            <w:r>
              <w:rPr>
                <w:sz w:val="18"/>
              </w:rPr>
              <w:tab/>
            </w:r>
            <w:r>
              <w:rPr>
                <w:sz w:val="18"/>
              </w:rPr>
              <w:tab/>
            </w:r>
            <w:r>
              <w:rPr>
                <w:sz w:val="18"/>
              </w:rPr>
              <w:tab/>
            </w:r>
            <w:r>
              <w:rPr>
                <w:spacing w:val="-63"/>
                <w:sz w:val="18"/>
              </w:rPr>
              <w:t xml:space="preserve"> </w:t>
            </w:r>
            <w:r>
              <w:rPr>
                <w:spacing w:val="-6"/>
                <w:sz w:val="18"/>
              </w:rPr>
              <w:t xml:space="preserve">de </w:t>
            </w:r>
            <w:r>
              <w:rPr>
                <w:spacing w:val="-4"/>
                <w:sz w:val="18"/>
              </w:rPr>
              <w:t>los</w:t>
            </w:r>
            <w:r>
              <w:rPr>
                <w:sz w:val="18"/>
              </w:rPr>
              <w:tab/>
            </w:r>
            <w:r>
              <w:rPr>
                <w:spacing w:val="-2"/>
                <w:sz w:val="18"/>
              </w:rPr>
              <w:t>servicios públicos</w:t>
            </w:r>
            <w:r>
              <w:rPr>
                <w:sz w:val="18"/>
              </w:rPr>
              <w:tab/>
            </w:r>
            <w:r>
              <w:rPr>
                <w:sz w:val="18"/>
              </w:rPr>
              <w:tab/>
            </w:r>
            <w:r>
              <w:rPr>
                <w:sz w:val="18"/>
              </w:rPr>
              <w:tab/>
            </w:r>
            <w:r>
              <w:rPr>
                <w:spacing w:val="-62"/>
                <w:sz w:val="18"/>
              </w:rPr>
              <w:t xml:space="preserve"> </w:t>
            </w:r>
            <w:r>
              <w:rPr>
                <w:spacing w:val="-6"/>
                <w:sz w:val="18"/>
              </w:rPr>
              <w:t xml:space="preserve">de </w:t>
            </w:r>
            <w:r>
              <w:rPr>
                <w:sz w:val="18"/>
              </w:rPr>
              <w:t>agua</w:t>
            </w:r>
            <w:r>
              <w:rPr>
                <w:spacing w:val="35"/>
                <w:sz w:val="18"/>
              </w:rPr>
              <w:t xml:space="preserve"> </w:t>
            </w:r>
            <w:r>
              <w:rPr>
                <w:sz w:val="18"/>
              </w:rPr>
              <w:t>potable</w:t>
            </w:r>
            <w:r>
              <w:rPr>
                <w:spacing w:val="37"/>
                <w:sz w:val="18"/>
              </w:rPr>
              <w:t xml:space="preserve"> </w:t>
            </w:r>
            <w:r>
              <w:rPr>
                <w:spacing w:val="-10"/>
                <w:sz w:val="18"/>
              </w:rPr>
              <w:t>y</w:t>
            </w:r>
          </w:p>
          <w:p w14:paraId="3421CD60" w14:textId="77777777" w:rsidR="000E52B0" w:rsidRDefault="00F60D74">
            <w:pPr>
              <w:pStyle w:val="TableParagraph"/>
              <w:spacing w:line="218" w:lineRule="exact"/>
              <w:ind w:left="93"/>
              <w:rPr>
                <w:sz w:val="18"/>
              </w:rPr>
            </w:pPr>
            <w:r>
              <w:rPr>
                <w:spacing w:val="-2"/>
                <w:sz w:val="18"/>
              </w:rPr>
              <w:t>saneamiento básico</w:t>
            </w:r>
          </w:p>
        </w:tc>
        <w:tc>
          <w:tcPr>
            <w:tcW w:w="2647" w:type="dxa"/>
            <w:tcBorders>
              <w:top w:val="single" w:sz="4" w:space="0" w:color="000000"/>
              <w:left w:val="single" w:sz="4" w:space="0" w:color="000000"/>
              <w:bottom w:val="single" w:sz="4" w:space="0" w:color="000000"/>
              <w:right w:val="single" w:sz="4" w:space="0" w:color="000000"/>
            </w:tcBorders>
          </w:tcPr>
          <w:p w14:paraId="0FD0B5B8" w14:textId="77777777" w:rsidR="000E52B0" w:rsidRDefault="00F60D74">
            <w:pPr>
              <w:pStyle w:val="TableParagraph"/>
              <w:tabs>
                <w:tab w:val="left" w:pos="1858"/>
              </w:tabs>
              <w:spacing w:before="1"/>
              <w:ind w:left="91" w:right="75"/>
              <w:jc w:val="both"/>
              <w:rPr>
                <w:sz w:val="18"/>
              </w:rPr>
            </w:pPr>
            <w:r>
              <w:rPr>
                <w:sz w:val="18"/>
              </w:rPr>
              <w:t>Formular, dirigir y coordinar las políticas, planes, programas y regulaciones</w:t>
            </w:r>
            <w:r>
              <w:rPr>
                <w:spacing w:val="-11"/>
                <w:sz w:val="18"/>
              </w:rPr>
              <w:t xml:space="preserve"> </w:t>
            </w:r>
            <w:r>
              <w:rPr>
                <w:sz w:val="18"/>
              </w:rPr>
              <w:t>en</w:t>
            </w:r>
            <w:r>
              <w:rPr>
                <w:spacing w:val="-10"/>
                <w:sz w:val="18"/>
              </w:rPr>
              <w:t xml:space="preserve"> </w:t>
            </w:r>
            <w:r>
              <w:rPr>
                <w:sz w:val="18"/>
              </w:rPr>
              <w:t>materia</w:t>
            </w:r>
            <w:r>
              <w:rPr>
                <w:spacing w:val="-11"/>
                <w:sz w:val="18"/>
              </w:rPr>
              <w:t xml:space="preserve"> </w:t>
            </w:r>
            <w:r>
              <w:rPr>
                <w:sz w:val="18"/>
              </w:rPr>
              <w:t xml:space="preserve">de vivienda y financiación de vivienda urbana y rural, </w:t>
            </w:r>
            <w:r>
              <w:rPr>
                <w:spacing w:val="-2"/>
                <w:sz w:val="18"/>
              </w:rPr>
              <w:t>desarrollo</w:t>
            </w:r>
            <w:r>
              <w:rPr>
                <w:sz w:val="18"/>
              </w:rPr>
              <w:tab/>
            </w:r>
            <w:r>
              <w:rPr>
                <w:spacing w:val="-2"/>
                <w:sz w:val="18"/>
              </w:rPr>
              <w:t xml:space="preserve">urbano, </w:t>
            </w:r>
            <w:r>
              <w:rPr>
                <w:sz w:val="18"/>
              </w:rPr>
              <w:t>ordenamiento territorial y uso del suelo en el marco de</w:t>
            </w:r>
            <w:r>
              <w:rPr>
                <w:spacing w:val="-7"/>
                <w:sz w:val="18"/>
              </w:rPr>
              <w:t xml:space="preserve"> </w:t>
            </w:r>
            <w:r>
              <w:rPr>
                <w:sz w:val="18"/>
              </w:rPr>
              <w:t>sus</w:t>
            </w:r>
            <w:r>
              <w:rPr>
                <w:spacing w:val="-8"/>
                <w:sz w:val="18"/>
              </w:rPr>
              <w:t xml:space="preserve"> </w:t>
            </w:r>
            <w:r>
              <w:rPr>
                <w:sz w:val="18"/>
              </w:rPr>
              <w:t>competencias,</w:t>
            </w:r>
            <w:r>
              <w:rPr>
                <w:spacing w:val="-9"/>
                <w:sz w:val="18"/>
              </w:rPr>
              <w:t xml:space="preserve"> </w:t>
            </w:r>
            <w:r>
              <w:rPr>
                <w:sz w:val="18"/>
              </w:rPr>
              <w:t>agua potable y saneamiento básico, así como los instrumentos normativos para su implementación; Diseñar y promover programas especiales de agua potable y saneamiento</w:t>
            </w:r>
            <w:r>
              <w:rPr>
                <w:spacing w:val="-15"/>
                <w:sz w:val="18"/>
              </w:rPr>
              <w:t xml:space="preserve"> </w:t>
            </w:r>
            <w:r>
              <w:rPr>
                <w:sz w:val="18"/>
              </w:rPr>
              <w:t>básico</w:t>
            </w:r>
            <w:r>
              <w:rPr>
                <w:spacing w:val="-15"/>
                <w:sz w:val="18"/>
              </w:rPr>
              <w:t xml:space="preserve"> </w:t>
            </w:r>
            <w:r>
              <w:rPr>
                <w:sz w:val="18"/>
              </w:rPr>
              <w:t>para</w:t>
            </w:r>
            <w:r>
              <w:rPr>
                <w:spacing w:val="-16"/>
                <w:sz w:val="18"/>
              </w:rPr>
              <w:t xml:space="preserve"> </w:t>
            </w:r>
            <w:r>
              <w:rPr>
                <w:sz w:val="18"/>
              </w:rPr>
              <w:t>el sector rural, en coordinación con las entidades</w:t>
            </w:r>
            <w:r>
              <w:rPr>
                <w:spacing w:val="-1"/>
                <w:sz w:val="18"/>
              </w:rPr>
              <w:t xml:space="preserve"> </w:t>
            </w:r>
            <w:r>
              <w:rPr>
                <w:sz w:val="18"/>
              </w:rPr>
              <w:t>competentes</w:t>
            </w:r>
            <w:r>
              <w:rPr>
                <w:spacing w:val="-1"/>
                <w:sz w:val="18"/>
              </w:rPr>
              <w:t xml:space="preserve"> </w:t>
            </w:r>
            <w:r>
              <w:rPr>
                <w:sz w:val="18"/>
              </w:rPr>
              <w:t>del orden</w:t>
            </w:r>
            <w:r>
              <w:rPr>
                <w:spacing w:val="-16"/>
                <w:sz w:val="18"/>
              </w:rPr>
              <w:t xml:space="preserve"> </w:t>
            </w:r>
            <w:r>
              <w:rPr>
                <w:sz w:val="18"/>
              </w:rPr>
              <w:t>nacional</w:t>
            </w:r>
            <w:r>
              <w:rPr>
                <w:spacing w:val="-16"/>
                <w:sz w:val="18"/>
              </w:rPr>
              <w:t xml:space="preserve"> </w:t>
            </w:r>
            <w:r>
              <w:rPr>
                <w:sz w:val="18"/>
              </w:rPr>
              <w:t>y</w:t>
            </w:r>
            <w:r>
              <w:rPr>
                <w:spacing w:val="-16"/>
                <w:sz w:val="18"/>
              </w:rPr>
              <w:t xml:space="preserve"> </w:t>
            </w:r>
            <w:r>
              <w:rPr>
                <w:sz w:val="18"/>
              </w:rPr>
              <w:t>territorial; Realizar</w:t>
            </w:r>
            <w:r>
              <w:rPr>
                <w:spacing w:val="-16"/>
                <w:sz w:val="18"/>
              </w:rPr>
              <w:t xml:space="preserve"> </w:t>
            </w:r>
            <w:r>
              <w:rPr>
                <w:sz w:val="18"/>
              </w:rPr>
              <w:t>el</w:t>
            </w:r>
            <w:r>
              <w:rPr>
                <w:spacing w:val="-16"/>
                <w:sz w:val="18"/>
              </w:rPr>
              <w:t xml:space="preserve"> </w:t>
            </w:r>
            <w:r>
              <w:rPr>
                <w:sz w:val="18"/>
              </w:rPr>
              <w:t>monitoreo</w:t>
            </w:r>
            <w:r>
              <w:rPr>
                <w:spacing w:val="-16"/>
                <w:sz w:val="18"/>
              </w:rPr>
              <w:t xml:space="preserve"> </w:t>
            </w:r>
            <w:r>
              <w:rPr>
                <w:sz w:val="18"/>
              </w:rPr>
              <w:t>de</w:t>
            </w:r>
            <w:r>
              <w:rPr>
                <w:spacing w:val="-16"/>
                <w:sz w:val="18"/>
              </w:rPr>
              <w:t xml:space="preserve"> </w:t>
            </w:r>
            <w:r>
              <w:rPr>
                <w:sz w:val="18"/>
              </w:rPr>
              <w:t>los recursos del Sistema General de Participaciones (SGP) para agua potable y saneamiento básico.</w:t>
            </w:r>
          </w:p>
        </w:tc>
        <w:tc>
          <w:tcPr>
            <w:tcW w:w="1985" w:type="dxa"/>
            <w:tcBorders>
              <w:top w:val="single" w:sz="4" w:space="0" w:color="000000"/>
              <w:left w:val="single" w:sz="4" w:space="0" w:color="000000"/>
              <w:bottom w:val="single" w:sz="4" w:space="0" w:color="000000"/>
              <w:right w:val="single" w:sz="4" w:space="0" w:color="000000"/>
            </w:tcBorders>
          </w:tcPr>
          <w:p w14:paraId="54D7FF27" w14:textId="77777777" w:rsidR="000E52B0" w:rsidRDefault="00F60D74">
            <w:pPr>
              <w:pStyle w:val="TableParagraph"/>
              <w:spacing w:before="1"/>
              <w:ind w:left="91" w:right="75"/>
              <w:rPr>
                <w:sz w:val="18"/>
              </w:rPr>
            </w:pPr>
            <w:r>
              <w:rPr>
                <w:sz w:val="18"/>
              </w:rPr>
              <w:t>Vivienda</w:t>
            </w:r>
            <w:r>
              <w:rPr>
                <w:spacing w:val="-14"/>
                <w:sz w:val="18"/>
              </w:rPr>
              <w:t xml:space="preserve"> </w:t>
            </w:r>
            <w:r>
              <w:rPr>
                <w:sz w:val="18"/>
              </w:rPr>
              <w:t>digna</w:t>
            </w:r>
            <w:r>
              <w:rPr>
                <w:spacing w:val="-14"/>
                <w:sz w:val="18"/>
              </w:rPr>
              <w:t xml:space="preserve"> </w:t>
            </w:r>
            <w:r>
              <w:rPr>
                <w:sz w:val="18"/>
              </w:rPr>
              <w:t>(art. 51 C.P)</w:t>
            </w:r>
          </w:p>
        </w:tc>
        <w:tc>
          <w:tcPr>
            <w:tcW w:w="1337" w:type="dxa"/>
            <w:tcBorders>
              <w:top w:val="single" w:sz="4" w:space="0" w:color="000000"/>
              <w:left w:val="single" w:sz="4" w:space="0" w:color="000000"/>
              <w:bottom w:val="single" w:sz="4" w:space="0" w:color="000000"/>
            </w:tcBorders>
          </w:tcPr>
          <w:p w14:paraId="7D64548E" w14:textId="77777777" w:rsidR="000E52B0" w:rsidRDefault="00F60D74">
            <w:pPr>
              <w:pStyle w:val="TableParagraph"/>
              <w:tabs>
                <w:tab w:val="left" w:pos="1030"/>
              </w:tabs>
              <w:spacing w:before="1"/>
              <w:ind w:left="92" w:right="72"/>
              <w:rPr>
                <w:sz w:val="18"/>
              </w:rPr>
            </w:pPr>
            <w:r>
              <w:rPr>
                <w:spacing w:val="-2"/>
                <w:sz w:val="18"/>
              </w:rPr>
              <w:t xml:space="preserve">Sector </w:t>
            </w:r>
            <w:proofErr w:type="spellStart"/>
            <w:r>
              <w:rPr>
                <w:spacing w:val="-2"/>
                <w:sz w:val="18"/>
              </w:rPr>
              <w:t>administrati</w:t>
            </w:r>
            <w:proofErr w:type="spellEnd"/>
            <w:r>
              <w:rPr>
                <w:spacing w:val="-2"/>
                <w:sz w:val="18"/>
              </w:rPr>
              <w:t xml:space="preserve"> </w:t>
            </w:r>
            <w:proofErr w:type="spellStart"/>
            <w:r>
              <w:rPr>
                <w:spacing w:val="-5"/>
                <w:sz w:val="18"/>
              </w:rPr>
              <w:t>vo</w:t>
            </w:r>
            <w:proofErr w:type="spellEnd"/>
            <w:r>
              <w:rPr>
                <w:sz w:val="18"/>
              </w:rPr>
              <w:tab/>
            </w:r>
            <w:r>
              <w:rPr>
                <w:spacing w:val="-5"/>
                <w:sz w:val="18"/>
              </w:rPr>
              <w:t>de</w:t>
            </w:r>
          </w:p>
          <w:p w14:paraId="0D0CC02E" w14:textId="77777777" w:rsidR="000E52B0" w:rsidRDefault="00F60D74">
            <w:pPr>
              <w:pStyle w:val="TableParagraph"/>
              <w:tabs>
                <w:tab w:val="left" w:pos="1144"/>
              </w:tabs>
              <w:ind w:left="92" w:right="71"/>
              <w:rPr>
                <w:sz w:val="18"/>
              </w:rPr>
            </w:pPr>
            <w:r>
              <w:rPr>
                <w:spacing w:val="-2"/>
                <w:sz w:val="18"/>
              </w:rPr>
              <w:t>vivienda, ciudad</w:t>
            </w:r>
            <w:r>
              <w:rPr>
                <w:sz w:val="18"/>
              </w:rPr>
              <w:tab/>
            </w:r>
            <w:r>
              <w:rPr>
                <w:spacing w:val="-10"/>
                <w:sz w:val="18"/>
              </w:rPr>
              <w:t xml:space="preserve">y </w:t>
            </w:r>
            <w:r>
              <w:rPr>
                <w:spacing w:val="-2"/>
                <w:sz w:val="18"/>
              </w:rPr>
              <w:t>territorio.</w:t>
            </w:r>
          </w:p>
        </w:tc>
      </w:tr>
      <w:tr w:rsidR="000E52B0" w14:paraId="2B6287E6" w14:textId="77777777">
        <w:trPr>
          <w:trHeight w:val="438"/>
        </w:trPr>
        <w:tc>
          <w:tcPr>
            <w:tcW w:w="1416" w:type="dxa"/>
            <w:tcBorders>
              <w:top w:val="single" w:sz="4" w:space="0" w:color="000000"/>
              <w:right w:val="single" w:sz="4" w:space="0" w:color="000000"/>
            </w:tcBorders>
          </w:tcPr>
          <w:p w14:paraId="4068936C" w14:textId="77777777" w:rsidR="000E52B0" w:rsidRDefault="00F60D74">
            <w:pPr>
              <w:pStyle w:val="TableParagraph"/>
              <w:spacing w:line="218" w:lineRule="exact"/>
              <w:ind w:left="90"/>
              <w:rPr>
                <w:sz w:val="18"/>
              </w:rPr>
            </w:pPr>
            <w:r>
              <w:rPr>
                <w:spacing w:val="-2"/>
                <w:sz w:val="18"/>
              </w:rPr>
              <w:t xml:space="preserve">MINISTERIO </w:t>
            </w:r>
            <w:r>
              <w:rPr>
                <w:spacing w:val="-6"/>
                <w:sz w:val="18"/>
              </w:rPr>
              <w:t>DE</w:t>
            </w:r>
          </w:p>
        </w:tc>
        <w:tc>
          <w:tcPr>
            <w:tcW w:w="1601" w:type="dxa"/>
            <w:tcBorders>
              <w:top w:val="single" w:sz="4" w:space="0" w:color="000000"/>
              <w:left w:val="single" w:sz="4" w:space="0" w:color="000000"/>
              <w:right w:val="single" w:sz="4" w:space="0" w:color="000000"/>
            </w:tcBorders>
          </w:tcPr>
          <w:p w14:paraId="06EC771F" w14:textId="77777777" w:rsidR="000E52B0" w:rsidRDefault="00F60D74">
            <w:pPr>
              <w:pStyle w:val="TableParagraph"/>
              <w:spacing w:line="218" w:lineRule="exact"/>
              <w:ind w:left="93"/>
              <w:rPr>
                <w:sz w:val="18"/>
              </w:rPr>
            </w:pPr>
            <w:r>
              <w:rPr>
                <w:spacing w:val="-2"/>
                <w:sz w:val="18"/>
              </w:rPr>
              <w:t>Diseñar, formular,</w:t>
            </w:r>
          </w:p>
        </w:tc>
        <w:tc>
          <w:tcPr>
            <w:tcW w:w="2647" w:type="dxa"/>
            <w:tcBorders>
              <w:top w:val="single" w:sz="4" w:space="0" w:color="000000"/>
              <w:left w:val="single" w:sz="4" w:space="0" w:color="000000"/>
              <w:right w:val="single" w:sz="4" w:space="0" w:color="000000"/>
            </w:tcBorders>
          </w:tcPr>
          <w:p w14:paraId="38A28E6B" w14:textId="77777777" w:rsidR="000E52B0" w:rsidRDefault="00F60D74">
            <w:pPr>
              <w:pStyle w:val="TableParagraph"/>
              <w:tabs>
                <w:tab w:val="left" w:pos="1235"/>
                <w:tab w:val="left" w:pos="1299"/>
                <w:tab w:val="left" w:pos="1755"/>
                <w:tab w:val="left" w:pos="2451"/>
              </w:tabs>
              <w:spacing w:line="218" w:lineRule="exact"/>
              <w:ind w:left="91" w:right="77"/>
              <w:rPr>
                <w:sz w:val="18"/>
              </w:rPr>
            </w:pPr>
            <w:r>
              <w:rPr>
                <w:spacing w:val="-2"/>
                <w:sz w:val="18"/>
              </w:rPr>
              <w:t>Diseñar,</w:t>
            </w:r>
            <w:r>
              <w:rPr>
                <w:sz w:val="18"/>
              </w:rPr>
              <w:tab/>
            </w:r>
            <w:r>
              <w:rPr>
                <w:sz w:val="18"/>
              </w:rPr>
              <w:tab/>
            </w:r>
            <w:r>
              <w:rPr>
                <w:spacing w:val="-2"/>
                <w:sz w:val="18"/>
              </w:rPr>
              <w:t>adoptar</w:t>
            </w:r>
            <w:r>
              <w:rPr>
                <w:sz w:val="18"/>
              </w:rPr>
              <w:tab/>
            </w:r>
            <w:r>
              <w:rPr>
                <w:spacing w:val="-10"/>
                <w:sz w:val="18"/>
              </w:rPr>
              <w:t xml:space="preserve">y </w:t>
            </w:r>
            <w:r>
              <w:rPr>
                <w:spacing w:val="-2"/>
                <w:sz w:val="18"/>
              </w:rPr>
              <w:t>promover</w:t>
            </w:r>
            <w:r>
              <w:rPr>
                <w:sz w:val="18"/>
              </w:rPr>
              <w:tab/>
            </w:r>
            <w:r>
              <w:rPr>
                <w:spacing w:val="-5"/>
                <w:sz w:val="18"/>
              </w:rPr>
              <w:t>las</w:t>
            </w:r>
            <w:r>
              <w:rPr>
                <w:sz w:val="18"/>
              </w:rPr>
              <w:tab/>
            </w:r>
            <w:r>
              <w:rPr>
                <w:spacing w:val="-2"/>
                <w:sz w:val="18"/>
              </w:rPr>
              <w:t>políticas,</w:t>
            </w:r>
          </w:p>
        </w:tc>
        <w:tc>
          <w:tcPr>
            <w:tcW w:w="1985" w:type="dxa"/>
            <w:tcBorders>
              <w:top w:val="single" w:sz="4" w:space="0" w:color="000000"/>
              <w:left w:val="single" w:sz="4" w:space="0" w:color="000000"/>
              <w:right w:val="single" w:sz="4" w:space="0" w:color="000000"/>
            </w:tcBorders>
          </w:tcPr>
          <w:p w14:paraId="4F3E7483" w14:textId="77777777" w:rsidR="000E52B0" w:rsidRDefault="00F60D74">
            <w:pPr>
              <w:pStyle w:val="TableParagraph"/>
              <w:tabs>
                <w:tab w:val="left" w:pos="1125"/>
              </w:tabs>
              <w:spacing w:line="218" w:lineRule="exact"/>
              <w:ind w:left="91" w:right="76"/>
              <w:rPr>
                <w:sz w:val="18"/>
              </w:rPr>
            </w:pPr>
            <w:r>
              <w:rPr>
                <w:sz w:val="18"/>
              </w:rPr>
              <w:t>Gestión</w:t>
            </w:r>
            <w:r>
              <w:rPr>
                <w:spacing w:val="80"/>
                <w:sz w:val="18"/>
              </w:rPr>
              <w:t xml:space="preserve"> </w:t>
            </w:r>
            <w:r>
              <w:rPr>
                <w:sz w:val="18"/>
              </w:rPr>
              <w:t>y</w:t>
            </w:r>
            <w:r>
              <w:rPr>
                <w:spacing w:val="80"/>
                <w:sz w:val="18"/>
              </w:rPr>
              <w:t xml:space="preserve"> </w:t>
            </w:r>
            <w:r>
              <w:rPr>
                <w:sz w:val="18"/>
              </w:rPr>
              <w:t xml:space="preserve">control </w:t>
            </w:r>
            <w:r>
              <w:rPr>
                <w:spacing w:val="-5"/>
                <w:sz w:val="18"/>
              </w:rPr>
              <w:t>del</w:t>
            </w:r>
            <w:r>
              <w:rPr>
                <w:sz w:val="18"/>
              </w:rPr>
              <w:tab/>
            </w:r>
            <w:r>
              <w:rPr>
                <w:spacing w:val="-2"/>
                <w:sz w:val="18"/>
              </w:rPr>
              <w:t>espectro</w:t>
            </w:r>
          </w:p>
        </w:tc>
        <w:tc>
          <w:tcPr>
            <w:tcW w:w="1337" w:type="dxa"/>
            <w:tcBorders>
              <w:top w:val="single" w:sz="4" w:space="0" w:color="000000"/>
              <w:left w:val="single" w:sz="4" w:space="0" w:color="000000"/>
            </w:tcBorders>
          </w:tcPr>
          <w:p w14:paraId="2A08B708" w14:textId="77777777" w:rsidR="000E52B0" w:rsidRDefault="00F60D74">
            <w:pPr>
              <w:pStyle w:val="TableParagraph"/>
              <w:spacing w:line="218" w:lineRule="exact"/>
              <w:ind w:left="92" w:right="91"/>
              <w:rPr>
                <w:sz w:val="18"/>
              </w:rPr>
            </w:pPr>
            <w:r>
              <w:rPr>
                <w:spacing w:val="-2"/>
                <w:sz w:val="18"/>
              </w:rPr>
              <w:t xml:space="preserve">Sector </w:t>
            </w:r>
            <w:proofErr w:type="spellStart"/>
            <w:r>
              <w:rPr>
                <w:spacing w:val="-2"/>
                <w:sz w:val="18"/>
              </w:rPr>
              <w:t>administrati</w:t>
            </w:r>
            <w:proofErr w:type="spellEnd"/>
          </w:p>
        </w:tc>
      </w:tr>
    </w:tbl>
    <w:p w14:paraId="7E043BCC" w14:textId="77777777" w:rsidR="000E52B0" w:rsidRDefault="000E52B0">
      <w:pPr>
        <w:pStyle w:val="TableParagraph"/>
        <w:spacing w:line="218" w:lineRule="exact"/>
        <w:rPr>
          <w:sz w:val="18"/>
        </w:rPr>
        <w:sectPr w:rsidR="000E52B0">
          <w:type w:val="continuous"/>
          <w:pgSz w:w="11910" w:h="16840"/>
          <w:pgMar w:top="1400" w:right="720" w:bottom="1180" w:left="720" w:header="0" w:footer="995" w:gutter="0"/>
          <w:cols w:space="720"/>
        </w:sectPr>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6"/>
        <w:gridCol w:w="1601"/>
        <w:gridCol w:w="2647"/>
        <w:gridCol w:w="1985"/>
        <w:gridCol w:w="1337"/>
      </w:tblGrid>
      <w:tr w:rsidR="000E52B0" w14:paraId="039BFA4D" w14:textId="77777777">
        <w:trPr>
          <w:trHeight w:val="875"/>
        </w:trPr>
        <w:tc>
          <w:tcPr>
            <w:tcW w:w="1416" w:type="dxa"/>
            <w:tcBorders>
              <w:bottom w:val="single" w:sz="4" w:space="0" w:color="000000"/>
              <w:right w:val="single" w:sz="4" w:space="0" w:color="000000"/>
            </w:tcBorders>
            <w:shd w:val="clear" w:color="auto" w:fill="D44673"/>
          </w:tcPr>
          <w:p w14:paraId="0376F8A0" w14:textId="77777777" w:rsidR="000E52B0" w:rsidRDefault="000E52B0">
            <w:pPr>
              <w:pStyle w:val="TableParagraph"/>
              <w:spacing w:before="109"/>
              <w:rPr>
                <w:sz w:val="18"/>
              </w:rPr>
            </w:pPr>
          </w:p>
          <w:p w14:paraId="062CBAD1" w14:textId="77777777" w:rsidR="000E52B0" w:rsidRDefault="00F60D74">
            <w:pPr>
              <w:pStyle w:val="TableParagraph"/>
              <w:ind w:left="206"/>
              <w:rPr>
                <w:b/>
                <w:sz w:val="18"/>
              </w:rPr>
            </w:pPr>
            <w:r>
              <w:rPr>
                <w:b/>
                <w:color w:val="FFFFFF"/>
                <w:spacing w:val="-2"/>
                <w:sz w:val="18"/>
              </w:rPr>
              <w:t>Ministerio</w:t>
            </w:r>
          </w:p>
        </w:tc>
        <w:tc>
          <w:tcPr>
            <w:tcW w:w="1601" w:type="dxa"/>
            <w:tcBorders>
              <w:left w:val="single" w:sz="4" w:space="0" w:color="000000"/>
              <w:bottom w:val="single" w:sz="4" w:space="0" w:color="000000"/>
              <w:right w:val="single" w:sz="4" w:space="0" w:color="000000"/>
            </w:tcBorders>
            <w:shd w:val="clear" w:color="auto" w:fill="D44673"/>
          </w:tcPr>
          <w:p w14:paraId="7D07893D" w14:textId="77777777" w:rsidR="000E52B0" w:rsidRDefault="000E52B0">
            <w:pPr>
              <w:pStyle w:val="TableParagraph"/>
              <w:spacing w:before="109"/>
              <w:rPr>
                <w:sz w:val="18"/>
              </w:rPr>
            </w:pPr>
          </w:p>
          <w:p w14:paraId="2528D489" w14:textId="77777777" w:rsidR="000E52B0" w:rsidRDefault="00F60D74">
            <w:pPr>
              <w:pStyle w:val="TableParagraph"/>
              <w:ind w:left="374"/>
              <w:rPr>
                <w:b/>
                <w:sz w:val="18"/>
              </w:rPr>
            </w:pPr>
            <w:r>
              <w:rPr>
                <w:b/>
                <w:color w:val="FFFFFF"/>
                <w:spacing w:val="-2"/>
                <w:sz w:val="18"/>
              </w:rPr>
              <w:t>Objetivo</w:t>
            </w:r>
          </w:p>
        </w:tc>
        <w:tc>
          <w:tcPr>
            <w:tcW w:w="2647" w:type="dxa"/>
            <w:tcBorders>
              <w:left w:val="single" w:sz="4" w:space="0" w:color="000000"/>
              <w:bottom w:val="single" w:sz="4" w:space="0" w:color="000000"/>
              <w:right w:val="single" w:sz="4" w:space="0" w:color="000000"/>
            </w:tcBorders>
            <w:shd w:val="clear" w:color="auto" w:fill="D44673"/>
          </w:tcPr>
          <w:p w14:paraId="2A6E4A7C" w14:textId="77777777" w:rsidR="000E52B0" w:rsidRDefault="000E52B0">
            <w:pPr>
              <w:pStyle w:val="TableParagraph"/>
              <w:spacing w:before="109"/>
              <w:rPr>
                <w:sz w:val="18"/>
              </w:rPr>
            </w:pPr>
          </w:p>
          <w:p w14:paraId="642C5228" w14:textId="77777777" w:rsidR="000E52B0" w:rsidRDefault="00F60D74">
            <w:pPr>
              <w:pStyle w:val="TableParagraph"/>
              <w:ind w:left="813"/>
              <w:rPr>
                <w:b/>
                <w:sz w:val="18"/>
              </w:rPr>
            </w:pPr>
            <w:r>
              <w:rPr>
                <w:b/>
                <w:color w:val="FFFFFF"/>
                <w:spacing w:val="-2"/>
                <w:sz w:val="18"/>
              </w:rPr>
              <w:t>Funciones</w:t>
            </w:r>
          </w:p>
        </w:tc>
        <w:tc>
          <w:tcPr>
            <w:tcW w:w="1985" w:type="dxa"/>
            <w:tcBorders>
              <w:left w:val="single" w:sz="4" w:space="0" w:color="000000"/>
              <w:bottom w:val="single" w:sz="4" w:space="0" w:color="000000"/>
              <w:right w:val="single" w:sz="4" w:space="0" w:color="000000"/>
            </w:tcBorders>
            <w:shd w:val="clear" w:color="auto" w:fill="D44673"/>
          </w:tcPr>
          <w:p w14:paraId="1358C3F1" w14:textId="77777777" w:rsidR="000E52B0" w:rsidRDefault="00F60D74">
            <w:pPr>
              <w:pStyle w:val="TableParagraph"/>
              <w:ind w:left="118" w:right="105" w:firstLine="1"/>
              <w:jc w:val="center"/>
              <w:rPr>
                <w:b/>
                <w:sz w:val="18"/>
              </w:rPr>
            </w:pPr>
            <w:r>
              <w:rPr>
                <w:b/>
                <w:color w:val="FFFFFF"/>
                <w:sz w:val="18"/>
              </w:rPr>
              <w:t>Derecho</w:t>
            </w:r>
            <w:r>
              <w:rPr>
                <w:b/>
                <w:color w:val="FFFFFF"/>
                <w:spacing w:val="-16"/>
                <w:sz w:val="18"/>
              </w:rPr>
              <w:t xml:space="preserve"> </w:t>
            </w:r>
            <w:r>
              <w:rPr>
                <w:b/>
                <w:color w:val="FFFFFF"/>
                <w:sz w:val="18"/>
              </w:rPr>
              <w:t>Humano o</w:t>
            </w:r>
            <w:r>
              <w:rPr>
                <w:b/>
                <w:color w:val="FFFFFF"/>
                <w:spacing w:val="-1"/>
                <w:sz w:val="18"/>
              </w:rPr>
              <w:t xml:space="preserve"> </w:t>
            </w:r>
            <w:r>
              <w:rPr>
                <w:b/>
                <w:color w:val="FFFFFF"/>
                <w:sz w:val="18"/>
              </w:rPr>
              <w:t>Fin</w:t>
            </w:r>
            <w:r>
              <w:rPr>
                <w:b/>
                <w:color w:val="FFFFFF"/>
                <w:spacing w:val="-3"/>
                <w:sz w:val="18"/>
              </w:rPr>
              <w:t xml:space="preserve"> </w:t>
            </w:r>
            <w:r>
              <w:rPr>
                <w:b/>
                <w:color w:val="FFFFFF"/>
                <w:sz w:val="18"/>
              </w:rPr>
              <w:t xml:space="preserve">Esencial </w:t>
            </w:r>
            <w:r>
              <w:rPr>
                <w:b/>
                <w:color w:val="FFFFFF"/>
                <w:spacing w:val="-5"/>
                <w:sz w:val="18"/>
              </w:rPr>
              <w:t>del</w:t>
            </w:r>
          </w:p>
          <w:p w14:paraId="4F61AE3F" w14:textId="77777777" w:rsidR="000E52B0" w:rsidRDefault="00F60D74">
            <w:pPr>
              <w:pStyle w:val="TableParagraph"/>
              <w:spacing w:line="218" w:lineRule="exact"/>
              <w:ind w:left="12"/>
              <w:jc w:val="center"/>
              <w:rPr>
                <w:b/>
                <w:sz w:val="18"/>
              </w:rPr>
            </w:pPr>
            <w:r>
              <w:rPr>
                <w:b/>
                <w:color w:val="FFFFFF"/>
                <w:sz w:val="18"/>
              </w:rPr>
              <w:t>Estado</w:t>
            </w:r>
            <w:r>
              <w:rPr>
                <w:b/>
                <w:color w:val="FFFFFF"/>
                <w:spacing w:val="-16"/>
                <w:sz w:val="18"/>
              </w:rPr>
              <w:t xml:space="preserve"> </w:t>
            </w:r>
            <w:r>
              <w:rPr>
                <w:b/>
                <w:color w:val="FFFFFF"/>
                <w:sz w:val="18"/>
              </w:rPr>
              <w:t>al</w:t>
            </w:r>
            <w:r>
              <w:rPr>
                <w:b/>
                <w:color w:val="FFFFFF"/>
                <w:spacing w:val="-15"/>
                <w:sz w:val="18"/>
              </w:rPr>
              <w:t xml:space="preserve"> </w:t>
            </w:r>
            <w:r>
              <w:rPr>
                <w:b/>
                <w:color w:val="FFFFFF"/>
                <w:sz w:val="18"/>
              </w:rPr>
              <w:t xml:space="preserve">que </w:t>
            </w:r>
            <w:r>
              <w:rPr>
                <w:b/>
                <w:color w:val="FFFFFF"/>
                <w:spacing w:val="-2"/>
                <w:sz w:val="18"/>
              </w:rPr>
              <w:t>responde.</w:t>
            </w:r>
          </w:p>
        </w:tc>
        <w:tc>
          <w:tcPr>
            <w:tcW w:w="1337" w:type="dxa"/>
            <w:tcBorders>
              <w:left w:val="single" w:sz="4" w:space="0" w:color="000000"/>
              <w:bottom w:val="single" w:sz="4" w:space="0" w:color="000000"/>
            </w:tcBorders>
            <w:shd w:val="clear" w:color="auto" w:fill="D44673"/>
          </w:tcPr>
          <w:p w14:paraId="71667B7A" w14:textId="77777777" w:rsidR="000E52B0" w:rsidRDefault="00F60D74">
            <w:pPr>
              <w:pStyle w:val="TableParagraph"/>
              <w:spacing w:before="217" w:line="242" w:lineRule="auto"/>
              <w:ind w:left="579" w:right="91" w:hanging="473"/>
              <w:rPr>
                <w:b/>
                <w:sz w:val="18"/>
              </w:rPr>
            </w:pPr>
            <w:proofErr w:type="spellStart"/>
            <w:r>
              <w:rPr>
                <w:b/>
                <w:color w:val="FFFFFF"/>
                <w:spacing w:val="-2"/>
                <w:sz w:val="18"/>
              </w:rPr>
              <w:t>Competenc</w:t>
            </w:r>
            <w:proofErr w:type="spellEnd"/>
            <w:r>
              <w:rPr>
                <w:b/>
                <w:color w:val="FFFFFF"/>
                <w:spacing w:val="-2"/>
                <w:sz w:val="18"/>
              </w:rPr>
              <w:t xml:space="preserve"> </w:t>
            </w:r>
            <w:proofErr w:type="spellStart"/>
            <w:r>
              <w:rPr>
                <w:b/>
                <w:color w:val="FFFFFF"/>
                <w:spacing w:val="-6"/>
                <w:sz w:val="18"/>
              </w:rPr>
              <w:t>ia</w:t>
            </w:r>
            <w:proofErr w:type="spellEnd"/>
          </w:p>
        </w:tc>
      </w:tr>
      <w:tr w:rsidR="000E52B0" w14:paraId="3A1B1DE3" w14:textId="77777777">
        <w:trPr>
          <w:trHeight w:val="12913"/>
        </w:trPr>
        <w:tc>
          <w:tcPr>
            <w:tcW w:w="1416" w:type="dxa"/>
            <w:tcBorders>
              <w:top w:val="single" w:sz="4" w:space="0" w:color="000000"/>
              <w:right w:val="single" w:sz="4" w:space="0" w:color="000000"/>
            </w:tcBorders>
          </w:tcPr>
          <w:p w14:paraId="11DDFC92" w14:textId="77777777" w:rsidR="000E52B0" w:rsidRDefault="00F60D74">
            <w:pPr>
              <w:pStyle w:val="TableParagraph"/>
              <w:spacing w:before="3"/>
              <w:ind w:left="90" w:right="76"/>
              <w:jc w:val="both"/>
              <w:rPr>
                <w:sz w:val="18"/>
              </w:rPr>
            </w:pPr>
            <w:r>
              <w:rPr>
                <w:spacing w:val="-2"/>
                <w:sz w:val="18"/>
              </w:rPr>
              <w:t xml:space="preserve">TÉCNOLOGÍA </w:t>
            </w:r>
            <w:r>
              <w:rPr>
                <w:sz w:val="18"/>
              </w:rPr>
              <w:t xml:space="preserve">S DE LA </w:t>
            </w:r>
            <w:r>
              <w:rPr>
                <w:spacing w:val="-2"/>
                <w:sz w:val="18"/>
              </w:rPr>
              <w:t xml:space="preserve">INFORMACIÓ </w:t>
            </w:r>
            <w:r>
              <w:rPr>
                <w:sz w:val="18"/>
              </w:rPr>
              <w:t xml:space="preserve">N Y LAS </w:t>
            </w:r>
            <w:r>
              <w:rPr>
                <w:spacing w:val="-2"/>
                <w:sz w:val="18"/>
              </w:rPr>
              <w:t>COMUNICACI ONES.</w:t>
            </w:r>
          </w:p>
          <w:p w14:paraId="0C2F210B" w14:textId="77777777" w:rsidR="000E52B0" w:rsidRDefault="00F60D74">
            <w:pPr>
              <w:pStyle w:val="TableParagraph"/>
              <w:spacing w:before="1" w:line="219" w:lineRule="exact"/>
              <w:ind w:left="90"/>
              <w:jc w:val="both"/>
              <w:rPr>
                <w:sz w:val="18"/>
              </w:rPr>
            </w:pPr>
            <w:r>
              <w:rPr>
                <w:sz w:val="18"/>
              </w:rPr>
              <w:t>Decreto</w:t>
            </w:r>
            <w:r>
              <w:rPr>
                <w:spacing w:val="8"/>
                <w:sz w:val="18"/>
              </w:rPr>
              <w:t xml:space="preserve"> </w:t>
            </w:r>
            <w:r>
              <w:rPr>
                <w:spacing w:val="-4"/>
                <w:sz w:val="18"/>
              </w:rPr>
              <w:t>1064</w:t>
            </w:r>
          </w:p>
          <w:p w14:paraId="071358B9" w14:textId="77777777" w:rsidR="000E52B0" w:rsidRDefault="00F60D74">
            <w:pPr>
              <w:pStyle w:val="TableParagraph"/>
              <w:ind w:left="90"/>
              <w:jc w:val="both"/>
              <w:rPr>
                <w:sz w:val="18"/>
              </w:rPr>
            </w:pPr>
            <w:r>
              <w:rPr>
                <w:sz w:val="18"/>
              </w:rPr>
              <w:t>de</w:t>
            </w:r>
            <w:r>
              <w:rPr>
                <w:spacing w:val="-1"/>
                <w:sz w:val="18"/>
              </w:rPr>
              <w:t xml:space="preserve"> </w:t>
            </w:r>
            <w:r>
              <w:rPr>
                <w:spacing w:val="-4"/>
                <w:sz w:val="18"/>
              </w:rPr>
              <w:t>2020</w:t>
            </w:r>
          </w:p>
        </w:tc>
        <w:tc>
          <w:tcPr>
            <w:tcW w:w="1601" w:type="dxa"/>
            <w:tcBorders>
              <w:top w:val="single" w:sz="4" w:space="0" w:color="000000"/>
              <w:left w:val="single" w:sz="4" w:space="0" w:color="000000"/>
              <w:right w:val="single" w:sz="4" w:space="0" w:color="000000"/>
            </w:tcBorders>
          </w:tcPr>
          <w:p w14:paraId="0C3F6DC1" w14:textId="77777777" w:rsidR="000E52B0" w:rsidRDefault="00F60D74">
            <w:pPr>
              <w:pStyle w:val="TableParagraph"/>
              <w:tabs>
                <w:tab w:val="left" w:pos="1407"/>
              </w:tabs>
              <w:spacing w:before="3" w:line="219" w:lineRule="exact"/>
              <w:ind w:left="93"/>
              <w:rPr>
                <w:sz w:val="18"/>
              </w:rPr>
            </w:pPr>
            <w:r>
              <w:rPr>
                <w:spacing w:val="-2"/>
                <w:sz w:val="18"/>
              </w:rPr>
              <w:t>adoptar</w:t>
            </w:r>
            <w:r>
              <w:rPr>
                <w:sz w:val="18"/>
              </w:rPr>
              <w:tab/>
            </w:r>
            <w:r>
              <w:rPr>
                <w:spacing w:val="-10"/>
                <w:sz w:val="18"/>
              </w:rPr>
              <w:t>y</w:t>
            </w:r>
          </w:p>
          <w:p w14:paraId="78622F98" w14:textId="77777777" w:rsidR="000E52B0" w:rsidRDefault="00F60D74">
            <w:pPr>
              <w:pStyle w:val="TableParagraph"/>
              <w:tabs>
                <w:tab w:val="left" w:pos="1241"/>
                <w:tab w:val="left" w:pos="1295"/>
                <w:tab w:val="left" w:pos="1405"/>
              </w:tabs>
              <w:ind w:left="93" w:right="75"/>
              <w:rPr>
                <w:sz w:val="18"/>
              </w:rPr>
            </w:pPr>
            <w:r>
              <w:rPr>
                <w:spacing w:val="-2"/>
                <w:sz w:val="18"/>
              </w:rPr>
              <w:t>promover</w:t>
            </w:r>
            <w:r>
              <w:rPr>
                <w:sz w:val="18"/>
              </w:rPr>
              <w:tab/>
            </w:r>
            <w:r>
              <w:rPr>
                <w:spacing w:val="-44"/>
                <w:sz w:val="18"/>
              </w:rPr>
              <w:t xml:space="preserve"> </w:t>
            </w:r>
            <w:r>
              <w:rPr>
                <w:spacing w:val="-2"/>
                <w:sz w:val="18"/>
              </w:rPr>
              <w:t>las políticas, planes, programas</w:t>
            </w:r>
            <w:r>
              <w:rPr>
                <w:sz w:val="18"/>
              </w:rPr>
              <w:tab/>
            </w:r>
            <w:r>
              <w:rPr>
                <w:sz w:val="18"/>
              </w:rPr>
              <w:tab/>
            </w:r>
            <w:r>
              <w:rPr>
                <w:sz w:val="18"/>
              </w:rPr>
              <w:tab/>
            </w:r>
            <w:r>
              <w:rPr>
                <w:spacing w:val="-10"/>
                <w:sz w:val="18"/>
              </w:rPr>
              <w:t xml:space="preserve">y </w:t>
            </w:r>
            <w:r>
              <w:rPr>
                <w:spacing w:val="-2"/>
                <w:sz w:val="18"/>
              </w:rPr>
              <w:t>proyectos</w:t>
            </w:r>
            <w:r>
              <w:rPr>
                <w:sz w:val="18"/>
              </w:rPr>
              <w:tab/>
            </w:r>
            <w:r>
              <w:rPr>
                <w:spacing w:val="-4"/>
                <w:sz w:val="18"/>
              </w:rPr>
              <w:t xml:space="preserve">del </w:t>
            </w:r>
            <w:r>
              <w:rPr>
                <w:spacing w:val="-2"/>
                <w:sz w:val="18"/>
              </w:rPr>
              <w:t>sector</w:t>
            </w:r>
            <w:r>
              <w:rPr>
                <w:sz w:val="18"/>
              </w:rPr>
              <w:tab/>
            </w:r>
            <w:r>
              <w:rPr>
                <w:sz w:val="18"/>
              </w:rPr>
              <w:tab/>
            </w:r>
            <w:r>
              <w:rPr>
                <w:spacing w:val="-6"/>
                <w:sz w:val="18"/>
              </w:rPr>
              <w:t xml:space="preserve">de </w:t>
            </w:r>
            <w:r>
              <w:rPr>
                <w:sz w:val="18"/>
              </w:rPr>
              <w:t>Tecnologías</w:t>
            </w:r>
            <w:r>
              <w:rPr>
                <w:spacing w:val="40"/>
                <w:sz w:val="18"/>
              </w:rPr>
              <w:t xml:space="preserve"> </w:t>
            </w:r>
            <w:r>
              <w:rPr>
                <w:sz w:val="18"/>
              </w:rPr>
              <w:t>de la</w:t>
            </w:r>
            <w:r>
              <w:rPr>
                <w:spacing w:val="73"/>
                <w:sz w:val="18"/>
              </w:rPr>
              <w:t xml:space="preserve"> </w:t>
            </w:r>
            <w:r>
              <w:rPr>
                <w:sz w:val="18"/>
              </w:rPr>
              <w:t xml:space="preserve">Información </w:t>
            </w:r>
            <w:r>
              <w:rPr>
                <w:spacing w:val="-10"/>
                <w:sz w:val="18"/>
              </w:rPr>
              <w:t>y</w:t>
            </w:r>
            <w:r>
              <w:rPr>
                <w:sz w:val="18"/>
              </w:rPr>
              <w:tab/>
            </w:r>
            <w:r>
              <w:rPr>
                <w:spacing w:val="-46"/>
                <w:sz w:val="18"/>
              </w:rPr>
              <w:t xml:space="preserve"> </w:t>
            </w:r>
            <w:r>
              <w:rPr>
                <w:spacing w:val="-2"/>
                <w:sz w:val="18"/>
              </w:rPr>
              <w:t>las</w:t>
            </w:r>
          </w:p>
          <w:p w14:paraId="69C8DA0B" w14:textId="77777777" w:rsidR="000E52B0" w:rsidRDefault="00F60D74">
            <w:pPr>
              <w:pStyle w:val="TableParagraph"/>
              <w:tabs>
                <w:tab w:val="left" w:pos="1288"/>
              </w:tabs>
              <w:spacing w:before="2"/>
              <w:ind w:left="93" w:right="78"/>
              <w:rPr>
                <w:sz w:val="18"/>
              </w:rPr>
            </w:pPr>
            <w:proofErr w:type="spellStart"/>
            <w:r>
              <w:rPr>
                <w:spacing w:val="-2"/>
                <w:sz w:val="18"/>
              </w:rPr>
              <w:t>Comunicacione</w:t>
            </w:r>
            <w:proofErr w:type="spellEnd"/>
            <w:r>
              <w:rPr>
                <w:spacing w:val="-2"/>
                <w:sz w:val="18"/>
              </w:rPr>
              <w:t xml:space="preserve"> </w:t>
            </w:r>
            <w:r>
              <w:rPr>
                <w:spacing w:val="-5"/>
                <w:sz w:val="18"/>
              </w:rPr>
              <w:t>s,</w:t>
            </w:r>
            <w:r>
              <w:rPr>
                <w:sz w:val="18"/>
              </w:rPr>
              <w:tab/>
            </w:r>
            <w:r>
              <w:rPr>
                <w:spacing w:val="-5"/>
                <w:sz w:val="18"/>
              </w:rPr>
              <w:t>en</w:t>
            </w:r>
          </w:p>
          <w:p w14:paraId="5961D3B4" w14:textId="77777777" w:rsidR="000E52B0" w:rsidRDefault="00F60D74">
            <w:pPr>
              <w:pStyle w:val="TableParagraph"/>
              <w:tabs>
                <w:tab w:val="left" w:pos="618"/>
                <w:tab w:val="left" w:pos="869"/>
                <w:tab w:val="left" w:pos="990"/>
                <w:tab w:val="left" w:pos="1352"/>
              </w:tabs>
              <w:ind w:left="93" w:right="73"/>
              <w:rPr>
                <w:sz w:val="18"/>
              </w:rPr>
            </w:pPr>
            <w:proofErr w:type="spellStart"/>
            <w:r>
              <w:rPr>
                <w:spacing w:val="-2"/>
                <w:sz w:val="18"/>
              </w:rPr>
              <w:t>correspondenci</w:t>
            </w:r>
            <w:proofErr w:type="spellEnd"/>
            <w:r>
              <w:rPr>
                <w:spacing w:val="-2"/>
                <w:sz w:val="18"/>
              </w:rPr>
              <w:t xml:space="preserve"> </w:t>
            </w:r>
            <w:r>
              <w:rPr>
                <w:spacing w:val="-10"/>
                <w:sz w:val="18"/>
              </w:rPr>
              <w:t>a</w:t>
            </w:r>
            <w:r>
              <w:rPr>
                <w:sz w:val="18"/>
              </w:rPr>
              <w:tab/>
            </w:r>
            <w:r>
              <w:rPr>
                <w:spacing w:val="-4"/>
                <w:sz w:val="18"/>
              </w:rPr>
              <w:t>con</w:t>
            </w:r>
            <w:r>
              <w:rPr>
                <w:sz w:val="18"/>
              </w:rPr>
              <w:tab/>
            </w:r>
            <w:r>
              <w:rPr>
                <w:sz w:val="18"/>
              </w:rPr>
              <w:tab/>
            </w:r>
            <w:r>
              <w:rPr>
                <w:spacing w:val="-62"/>
                <w:sz w:val="18"/>
              </w:rPr>
              <w:t xml:space="preserve"> </w:t>
            </w:r>
            <w:r>
              <w:rPr>
                <w:spacing w:val="-6"/>
                <w:sz w:val="18"/>
              </w:rPr>
              <w:t xml:space="preserve">la </w:t>
            </w:r>
            <w:r>
              <w:rPr>
                <w:spacing w:val="-2"/>
                <w:sz w:val="18"/>
              </w:rPr>
              <w:t>Constitución Política</w:t>
            </w:r>
            <w:r>
              <w:rPr>
                <w:sz w:val="18"/>
              </w:rPr>
              <w:tab/>
            </w:r>
            <w:r>
              <w:rPr>
                <w:sz w:val="18"/>
              </w:rPr>
              <w:tab/>
            </w:r>
            <w:r>
              <w:rPr>
                <w:spacing w:val="-10"/>
                <w:sz w:val="18"/>
              </w:rPr>
              <w:t>y</w:t>
            </w:r>
            <w:r>
              <w:rPr>
                <w:sz w:val="18"/>
              </w:rPr>
              <w:tab/>
            </w:r>
            <w:r>
              <w:rPr>
                <w:spacing w:val="-6"/>
                <w:sz w:val="18"/>
              </w:rPr>
              <w:t xml:space="preserve">la </w:t>
            </w:r>
            <w:r>
              <w:rPr>
                <w:sz w:val="18"/>
              </w:rPr>
              <w:t>Ley,</w:t>
            </w:r>
            <w:r>
              <w:rPr>
                <w:spacing w:val="37"/>
                <w:sz w:val="18"/>
              </w:rPr>
              <w:t xml:space="preserve"> </w:t>
            </w:r>
            <w:r>
              <w:rPr>
                <w:sz w:val="18"/>
              </w:rPr>
              <w:t>con</w:t>
            </w:r>
            <w:r>
              <w:rPr>
                <w:spacing w:val="39"/>
                <w:sz w:val="18"/>
              </w:rPr>
              <w:t xml:space="preserve"> </w:t>
            </w:r>
            <w:r>
              <w:rPr>
                <w:sz w:val="18"/>
              </w:rPr>
              <w:t>el</w:t>
            </w:r>
            <w:r>
              <w:rPr>
                <w:spacing w:val="38"/>
                <w:sz w:val="18"/>
              </w:rPr>
              <w:t xml:space="preserve"> </w:t>
            </w:r>
            <w:r>
              <w:rPr>
                <w:sz w:val="18"/>
              </w:rPr>
              <w:t>fin de promover la inversión</w:t>
            </w:r>
            <w:r>
              <w:rPr>
                <w:spacing w:val="80"/>
                <w:sz w:val="18"/>
              </w:rPr>
              <w:t xml:space="preserve"> </w:t>
            </w:r>
            <w:r>
              <w:rPr>
                <w:sz w:val="18"/>
              </w:rPr>
              <w:t>y</w:t>
            </w:r>
            <w:r>
              <w:rPr>
                <w:spacing w:val="80"/>
                <w:sz w:val="18"/>
              </w:rPr>
              <w:t xml:space="preserve"> </w:t>
            </w:r>
            <w:r>
              <w:rPr>
                <w:sz w:val="18"/>
              </w:rPr>
              <w:t xml:space="preserve">el </w:t>
            </w:r>
            <w:r>
              <w:rPr>
                <w:spacing w:val="-2"/>
                <w:sz w:val="18"/>
              </w:rPr>
              <w:t>cierre</w:t>
            </w:r>
            <w:r>
              <w:rPr>
                <w:sz w:val="18"/>
              </w:rPr>
              <w:tab/>
            </w:r>
            <w:r>
              <w:rPr>
                <w:sz w:val="18"/>
              </w:rPr>
              <w:tab/>
            </w:r>
            <w:r>
              <w:rPr>
                <w:spacing w:val="-6"/>
                <w:sz w:val="18"/>
              </w:rPr>
              <w:t>de</w:t>
            </w:r>
            <w:r>
              <w:rPr>
                <w:sz w:val="18"/>
              </w:rPr>
              <w:tab/>
            </w:r>
            <w:r>
              <w:rPr>
                <w:spacing w:val="-62"/>
                <w:sz w:val="18"/>
              </w:rPr>
              <w:t xml:space="preserve"> </w:t>
            </w:r>
            <w:r>
              <w:rPr>
                <w:spacing w:val="-6"/>
                <w:sz w:val="18"/>
              </w:rPr>
              <w:t xml:space="preserve">la </w:t>
            </w:r>
            <w:r>
              <w:rPr>
                <w:sz w:val="18"/>
              </w:rPr>
              <w:t>brecha</w:t>
            </w:r>
            <w:r>
              <w:rPr>
                <w:spacing w:val="80"/>
                <w:sz w:val="18"/>
              </w:rPr>
              <w:t xml:space="preserve"> </w:t>
            </w:r>
            <w:r>
              <w:rPr>
                <w:sz w:val="18"/>
              </w:rPr>
              <w:t xml:space="preserve">digital, </w:t>
            </w:r>
            <w:r>
              <w:rPr>
                <w:spacing w:val="-2"/>
                <w:sz w:val="18"/>
              </w:rPr>
              <w:t>contribuir</w:t>
            </w:r>
            <w:r>
              <w:rPr>
                <w:sz w:val="18"/>
              </w:rPr>
              <w:tab/>
            </w:r>
            <w:r>
              <w:rPr>
                <w:sz w:val="18"/>
              </w:rPr>
              <w:tab/>
            </w:r>
            <w:r>
              <w:rPr>
                <w:spacing w:val="-62"/>
                <w:sz w:val="18"/>
              </w:rPr>
              <w:t xml:space="preserve"> </w:t>
            </w:r>
            <w:r>
              <w:rPr>
                <w:spacing w:val="-6"/>
                <w:sz w:val="18"/>
              </w:rPr>
              <w:t xml:space="preserve">al </w:t>
            </w:r>
            <w:r>
              <w:rPr>
                <w:spacing w:val="-2"/>
                <w:sz w:val="18"/>
              </w:rPr>
              <w:t xml:space="preserve">desarrollo económico, </w:t>
            </w:r>
            <w:r>
              <w:rPr>
                <w:sz w:val="18"/>
              </w:rPr>
              <w:t>social y político de</w:t>
            </w:r>
            <w:r>
              <w:rPr>
                <w:spacing w:val="33"/>
                <w:sz w:val="18"/>
              </w:rPr>
              <w:t xml:space="preserve"> </w:t>
            </w:r>
            <w:r>
              <w:rPr>
                <w:sz w:val="18"/>
              </w:rPr>
              <w:t>la</w:t>
            </w:r>
            <w:r>
              <w:rPr>
                <w:spacing w:val="33"/>
                <w:sz w:val="18"/>
              </w:rPr>
              <w:t xml:space="preserve"> </w:t>
            </w:r>
            <w:r>
              <w:rPr>
                <w:sz w:val="18"/>
              </w:rPr>
              <w:t>Nación</w:t>
            </w:r>
            <w:r>
              <w:rPr>
                <w:spacing w:val="34"/>
                <w:sz w:val="18"/>
              </w:rPr>
              <w:t xml:space="preserve"> </w:t>
            </w:r>
            <w:r>
              <w:rPr>
                <w:sz w:val="18"/>
              </w:rPr>
              <w:t xml:space="preserve">y </w:t>
            </w:r>
            <w:r>
              <w:rPr>
                <w:spacing w:val="-2"/>
                <w:sz w:val="18"/>
              </w:rPr>
              <w:t>elevar</w:t>
            </w:r>
            <w:r>
              <w:rPr>
                <w:sz w:val="18"/>
              </w:rPr>
              <w:tab/>
            </w:r>
            <w:r>
              <w:rPr>
                <w:sz w:val="18"/>
              </w:rPr>
              <w:tab/>
            </w:r>
            <w:r>
              <w:rPr>
                <w:sz w:val="18"/>
              </w:rPr>
              <w:tab/>
            </w:r>
            <w:r>
              <w:rPr>
                <w:spacing w:val="-62"/>
                <w:sz w:val="18"/>
              </w:rPr>
              <w:t xml:space="preserve"> </w:t>
            </w:r>
            <w:r>
              <w:rPr>
                <w:spacing w:val="-6"/>
                <w:sz w:val="18"/>
              </w:rPr>
              <w:t xml:space="preserve">el </w:t>
            </w:r>
            <w:r>
              <w:rPr>
                <w:sz w:val="18"/>
              </w:rPr>
              <w:t>bienestar</w:t>
            </w:r>
            <w:r>
              <w:rPr>
                <w:spacing w:val="-16"/>
                <w:sz w:val="18"/>
              </w:rPr>
              <w:t xml:space="preserve"> </w:t>
            </w:r>
            <w:r>
              <w:rPr>
                <w:sz w:val="18"/>
              </w:rPr>
              <w:t>de</w:t>
            </w:r>
            <w:r>
              <w:rPr>
                <w:spacing w:val="-16"/>
                <w:sz w:val="18"/>
              </w:rPr>
              <w:t xml:space="preserve"> </w:t>
            </w:r>
            <w:r>
              <w:rPr>
                <w:sz w:val="18"/>
              </w:rPr>
              <w:t xml:space="preserve">los </w:t>
            </w:r>
            <w:r>
              <w:rPr>
                <w:spacing w:val="-2"/>
                <w:sz w:val="18"/>
              </w:rPr>
              <w:t>colombianos; Promover</w:t>
            </w:r>
            <w:r>
              <w:rPr>
                <w:sz w:val="18"/>
              </w:rPr>
              <w:tab/>
            </w:r>
            <w:r>
              <w:rPr>
                <w:sz w:val="18"/>
              </w:rPr>
              <w:tab/>
            </w:r>
            <w:r>
              <w:rPr>
                <w:spacing w:val="-61"/>
                <w:sz w:val="18"/>
              </w:rPr>
              <w:t xml:space="preserve"> </w:t>
            </w:r>
            <w:r>
              <w:rPr>
                <w:spacing w:val="-5"/>
                <w:sz w:val="18"/>
              </w:rPr>
              <w:t>el</w:t>
            </w:r>
          </w:p>
          <w:p w14:paraId="190375F6" w14:textId="77777777" w:rsidR="000E52B0" w:rsidRDefault="00F60D74">
            <w:pPr>
              <w:pStyle w:val="TableParagraph"/>
              <w:tabs>
                <w:tab w:val="left" w:pos="1405"/>
              </w:tabs>
              <w:spacing w:before="1" w:line="219" w:lineRule="exact"/>
              <w:ind w:left="93"/>
              <w:rPr>
                <w:sz w:val="18"/>
              </w:rPr>
            </w:pPr>
            <w:r>
              <w:rPr>
                <w:spacing w:val="-5"/>
                <w:sz w:val="18"/>
              </w:rPr>
              <w:t>uso</w:t>
            </w:r>
            <w:r>
              <w:rPr>
                <w:sz w:val="18"/>
              </w:rPr>
              <w:tab/>
            </w:r>
            <w:r>
              <w:rPr>
                <w:spacing w:val="-10"/>
                <w:sz w:val="18"/>
              </w:rPr>
              <w:t>y</w:t>
            </w:r>
          </w:p>
          <w:p w14:paraId="34D1227A" w14:textId="77777777" w:rsidR="000E52B0" w:rsidRDefault="00F60D74">
            <w:pPr>
              <w:pStyle w:val="TableParagraph"/>
              <w:tabs>
                <w:tab w:val="left" w:pos="1355"/>
              </w:tabs>
              <w:ind w:left="93" w:right="75"/>
              <w:jc w:val="both"/>
              <w:rPr>
                <w:sz w:val="18"/>
              </w:rPr>
            </w:pPr>
            <w:r>
              <w:rPr>
                <w:sz w:val="18"/>
              </w:rPr>
              <w:t xml:space="preserve">apropiación de las Tecnologías </w:t>
            </w:r>
            <w:r>
              <w:rPr>
                <w:spacing w:val="-5"/>
                <w:sz w:val="18"/>
              </w:rPr>
              <w:t>de</w:t>
            </w:r>
            <w:r>
              <w:rPr>
                <w:sz w:val="18"/>
              </w:rPr>
              <w:tab/>
            </w:r>
            <w:r>
              <w:rPr>
                <w:spacing w:val="-5"/>
                <w:sz w:val="18"/>
              </w:rPr>
              <w:t>la</w:t>
            </w:r>
          </w:p>
          <w:p w14:paraId="5624806E" w14:textId="77777777" w:rsidR="000E52B0" w:rsidRDefault="00F60D74">
            <w:pPr>
              <w:pStyle w:val="TableParagraph"/>
              <w:tabs>
                <w:tab w:val="left" w:pos="484"/>
                <w:tab w:val="left" w:pos="1260"/>
                <w:tab w:val="left" w:pos="1354"/>
                <w:tab w:val="left" w:pos="1405"/>
              </w:tabs>
              <w:ind w:left="93" w:right="76"/>
              <w:rPr>
                <w:sz w:val="18"/>
              </w:rPr>
            </w:pPr>
            <w:r>
              <w:rPr>
                <w:spacing w:val="-2"/>
                <w:sz w:val="18"/>
              </w:rPr>
              <w:t>Información</w:t>
            </w:r>
            <w:r>
              <w:rPr>
                <w:sz w:val="18"/>
              </w:rPr>
              <w:tab/>
            </w:r>
            <w:r>
              <w:rPr>
                <w:sz w:val="18"/>
              </w:rPr>
              <w:tab/>
            </w:r>
            <w:r>
              <w:rPr>
                <w:sz w:val="18"/>
              </w:rPr>
              <w:tab/>
            </w:r>
            <w:r>
              <w:rPr>
                <w:spacing w:val="-10"/>
                <w:sz w:val="18"/>
              </w:rPr>
              <w:t xml:space="preserve">y </w:t>
            </w:r>
            <w:r>
              <w:rPr>
                <w:spacing w:val="-4"/>
                <w:sz w:val="18"/>
              </w:rPr>
              <w:t xml:space="preserve">las </w:t>
            </w:r>
            <w:proofErr w:type="spellStart"/>
            <w:r>
              <w:rPr>
                <w:spacing w:val="-2"/>
                <w:sz w:val="18"/>
              </w:rPr>
              <w:t>Comunicacione</w:t>
            </w:r>
            <w:proofErr w:type="spellEnd"/>
            <w:r>
              <w:rPr>
                <w:spacing w:val="-2"/>
                <w:sz w:val="18"/>
              </w:rPr>
              <w:t xml:space="preserve"> </w:t>
            </w:r>
            <w:r>
              <w:rPr>
                <w:spacing w:val="-10"/>
                <w:sz w:val="18"/>
              </w:rPr>
              <w:t>s</w:t>
            </w:r>
            <w:r>
              <w:rPr>
                <w:sz w:val="18"/>
              </w:rPr>
              <w:tab/>
            </w:r>
            <w:r>
              <w:rPr>
                <w:spacing w:val="-2"/>
                <w:sz w:val="18"/>
              </w:rPr>
              <w:t>entre</w:t>
            </w:r>
            <w:r>
              <w:rPr>
                <w:sz w:val="18"/>
              </w:rPr>
              <w:tab/>
            </w:r>
            <w:r>
              <w:rPr>
                <w:spacing w:val="-4"/>
                <w:sz w:val="18"/>
              </w:rPr>
              <w:t xml:space="preserve">los </w:t>
            </w:r>
            <w:r>
              <w:rPr>
                <w:sz w:val="18"/>
              </w:rPr>
              <w:t>ciudadanos,</w:t>
            </w:r>
            <w:r>
              <w:rPr>
                <w:spacing w:val="-8"/>
                <w:sz w:val="18"/>
              </w:rPr>
              <w:t xml:space="preserve"> </w:t>
            </w:r>
            <w:r>
              <w:rPr>
                <w:sz w:val="18"/>
              </w:rPr>
              <w:t xml:space="preserve">las </w:t>
            </w:r>
            <w:r>
              <w:rPr>
                <w:spacing w:val="-2"/>
                <w:sz w:val="18"/>
              </w:rPr>
              <w:t>empresas,</w:t>
            </w:r>
            <w:r>
              <w:rPr>
                <w:sz w:val="18"/>
              </w:rPr>
              <w:tab/>
            </w:r>
            <w:r>
              <w:rPr>
                <w:sz w:val="18"/>
              </w:rPr>
              <w:tab/>
            </w:r>
            <w:r>
              <w:rPr>
                <w:spacing w:val="-5"/>
                <w:sz w:val="18"/>
              </w:rPr>
              <w:t>el</w:t>
            </w:r>
          </w:p>
          <w:p w14:paraId="515FDB32" w14:textId="77777777" w:rsidR="000E52B0" w:rsidRDefault="00F60D74">
            <w:pPr>
              <w:pStyle w:val="TableParagraph"/>
              <w:tabs>
                <w:tab w:val="left" w:pos="620"/>
                <w:tab w:val="left" w:pos="834"/>
                <w:tab w:val="left" w:pos="1404"/>
              </w:tabs>
              <w:ind w:left="93" w:right="75"/>
              <w:rPr>
                <w:sz w:val="18"/>
              </w:rPr>
            </w:pPr>
            <w:r>
              <w:rPr>
                <w:spacing w:val="-2"/>
                <w:sz w:val="18"/>
              </w:rPr>
              <w:t>Gobierno</w:t>
            </w:r>
            <w:r>
              <w:rPr>
                <w:sz w:val="18"/>
              </w:rPr>
              <w:tab/>
            </w:r>
            <w:r>
              <w:rPr>
                <w:spacing w:val="-61"/>
                <w:sz w:val="18"/>
              </w:rPr>
              <w:t xml:space="preserve"> </w:t>
            </w:r>
            <w:r>
              <w:rPr>
                <w:spacing w:val="-8"/>
                <w:sz w:val="18"/>
              </w:rPr>
              <w:t xml:space="preserve">y </w:t>
            </w:r>
            <w:r>
              <w:rPr>
                <w:spacing w:val="-2"/>
                <w:sz w:val="18"/>
              </w:rPr>
              <w:t>demás instancias nacionales</w:t>
            </w:r>
            <w:r>
              <w:rPr>
                <w:spacing w:val="40"/>
                <w:sz w:val="18"/>
              </w:rPr>
              <w:t xml:space="preserve"> </w:t>
            </w:r>
            <w:r>
              <w:rPr>
                <w:spacing w:val="-4"/>
                <w:sz w:val="18"/>
              </w:rPr>
              <w:t>como</w:t>
            </w:r>
            <w:r>
              <w:rPr>
                <w:sz w:val="18"/>
              </w:rPr>
              <w:tab/>
            </w:r>
            <w:r>
              <w:rPr>
                <w:sz w:val="18"/>
              </w:rPr>
              <w:tab/>
            </w:r>
            <w:r>
              <w:rPr>
                <w:spacing w:val="-2"/>
                <w:sz w:val="18"/>
              </w:rPr>
              <w:t xml:space="preserve">soporte </w:t>
            </w:r>
            <w:r>
              <w:rPr>
                <w:spacing w:val="-4"/>
                <w:sz w:val="18"/>
              </w:rPr>
              <w:t>del</w:t>
            </w:r>
            <w:r>
              <w:rPr>
                <w:sz w:val="18"/>
              </w:rPr>
              <w:tab/>
            </w:r>
            <w:r>
              <w:rPr>
                <w:spacing w:val="-2"/>
                <w:sz w:val="18"/>
              </w:rPr>
              <w:t>desarrollo social, económico</w:t>
            </w:r>
            <w:r>
              <w:rPr>
                <w:sz w:val="18"/>
              </w:rPr>
              <w:tab/>
            </w:r>
            <w:r>
              <w:rPr>
                <w:spacing w:val="-10"/>
                <w:sz w:val="18"/>
              </w:rPr>
              <w:t xml:space="preserve">y </w:t>
            </w:r>
            <w:r>
              <w:rPr>
                <w:sz w:val="18"/>
              </w:rPr>
              <w:t>político</w:t>
            </w:r>
            <w:r>
              <w:rPr>
                <w:spacing w:val="80"/>
                <w:sz w:val="18"/>
              </w:rPr>
              <w:t xml:space="preserve"> </w:t>
            </w:r>
            <w:r>
              <w:rPr>
                <w:sz w:val="18"/>
              </w:rPr>
              <w:t>de</w:t>
            </w:r>
            <w:r>
              <w:rPr>
                <w:spacing w:val="80"/>
                <w:sz w:val="18"/>
              </w:rPr>
              <w:t xml:space="preserve"> </w:t>
            </w:r>
            <w:r>
              <w:rPr>
                <w:sz w:val="18"/>
              </w:rPr>
              <w:t xml:space="preserve">la </w:t>
            </w:r>
            <w:r>
              <w:rPr>
                <w:spacing w:val="-2"/>
                <w:sz w:val="18"/>
              </w:rPr>
              <w:t>Nación.</w:t>
            </w:r>
          </w:p>
        </w:tc>
        <w:tc>
          <w:tcPr>
            <w:tcW w:w="2647" w:type="dxa"/>
            <w:tcBorders>
              <w:top w:val="single" w:sz="4" w:space="0" w:color="000000"/>
              <w:left w:val="single" w:sz="4" w:space="0" w:color="000000"/>
              <w:right w:val="single" w:sz="4" w:space="0" w:color="000000"/>
            </w:tcBorders>
          </w:tcPr>
          <w:p w14:paraId="6568E1D5" w14:textId="77777777" w:rsidR="000E52B0" w:rsidRDefault="00F60D74">
            <w:pPr>
              <w:pStyle w:val="TableParagraph"/>
              <w:spacing w:before="3"/>
              <w:ind w:left="91" w:right="77"/>
              <w:jc w:val="both"/>
              <w:rPr>
                <w:sz w:val="18"/>
              </w:rPr>
            </w:pPr>
            <w:r>
              <w:rPr>
                <w:sz w:val="18"/>
              </w:rPr>
              <w:t>planes, programas y proyectos del sector de las Tecnologías</w:t>
            </w:r>
            <w:r>
              <w:rPr>
                <w:spacing w:val="76"/>
                <w:w w:val="150"/>
                <w:sz w:val="18"/>
              </w:rPr>
              <w:t xml:space="preserve">   </w:t>
            </w:r>
            <w:r>
              <w:rPr>
                <w:sz w:val="18"/>
              </w:rPr>
              <w:t>de</w:t>
            </w:r>
            <w:r>
              <w:rPr>
                <w:spacing w:val="76"/>
                <w:w w:val="150"/>
                <w:sz w:val="18"/>
              </w:rPr>
              <w:t xml:space="preserve">   </w:t>
            </w:r>
            <w:r>
              <w:rPr>
                <w:spacing w:val="-5"/>
                <w:sz w:val="18"/>
              </w:rPr>
              <w:t>la</w:t>
            </w:r>
          </w:p>
          <w:p w14:paraId="03AC8BF6" w14:textId="77777777" w:rsidR="000E52B0" w:rsidRDefault="00F60D74">
            <w:pPr>
              <w:pStyle w:val="TableParagraph"/>
              <w:spacing w:before="2"/>
              <w:ind w:left="91" w:right="77"/>
              <w:jc w:val="both"/>
              <w:rPr>
                <w:sz w:val="18"/>
              </w:rPr>
            </w:pPr>
            <w:r>
              <w:rPr>
                <w:sz w:val="18"/>
              </w:rPr>
              <w:t>Información y las Comunicaciones; Definir, adoptar y promover las políticas, planes y programas tendientes a incrementar y facilitar el acceso de todos los habitantes del territorio nacional, a las tecnologías de la información y las comunicaciones y a sus beneficios, para lo cual debe: a) Diseñar, formular y</w:t>
            </w:r>
            <w:r>
              <w:rPr>
                <w:spacing w:val="-16"/>
                <w:sz w:val="18"/>
              </w:rPr>
              <w:t xml:space="preserve"> </w:t>
            </w:r>
            <w:r>
              <w:rPr>
                <w:sz w:val="18"/>
              </w:rPr>
              <w:t>proponer</w:t>
            </w:r>
            <w:r>
              <w:rPr>
                <w:spacing w:val="-16"/>
                <w:sz w:val="18"/>
              </w:rPr>
              <w:t xml:space="preserve"> </w:t>
            </w:r>
            <w:r>
              <w:rPr>
                <w:sz w:val="18"/>
              </w:rPr>
              <w:t>políticas,</w:t>
            </w:r>
            <w:r>
              <w:rPr>
                <w:spacing w:val="-16"/>
                <w:sz w:val="18"/>
              </w:rPr>
              <w:t xml:space="preserve"> </w:t>
            </w:r>
            <w:r>
              <w:rPr>
                <w:sz w:val="18"/>
              </w:rPr>
              <w:t>planes y programas que garanticen el acceso y la implantación de las Tecnologías</w:t>
            </w:r>
            <w:r>
              <w:rPr>
                <w:spacing w:val="76"/>
                <w:w w:val="150"/>
                <w:sz w:val="18"/>
              </w:rPr>
              <w:t xml:space="preserve">   </w:t>
            </w:r>
            <w:r>
              <w:rPr>
                <w:sz w:val="18"/>
              </w:rPr>
              <w:t>de</w:t>
            </w:r>
            <w:r>
              <w:rPr>
                <w:spacing w:val="76"/>
                <w:w w:val="150"/>
                <w:sz w:val="18"/>
              </w:rPr>
              <w:t xml:space="preserve">   </w:t>
            </w:r>
            <w:r>
              <w:rPr>
                <w:spacing w:val="-5"/>
                <w:sz w:val="18"/>
              </w:rPr>
              <w:t>la</w:t>
            </w:r>
          </w:p>
          <w:p w14:paraId="0D821F35" w14:textId="77777777" w:rsidR="000E52B0" w:rsidRDefault="00F60D74">
            <w:pPr>
              <w:pStyle w:val="TableParagraph"/>
              <w:ind w:left="91" w:right="76"/>
              <w:jc w:val="both"/>
              <w:rPr>
                <w:sz w:val="18"/>
              </w:rPr>
            </w:pPr>
            <w:r>
              <w:rPr>
                <w:sz w:val="18"/>
              </w:rPr>
              <w:t>Información y las Comunicaciones, con el fin de fomentar su uso como soporte del crecimiento y aumento de la competitividad del país en los distintos sectores; b) Formular</w:t>
            </w:r>
            <w:r>
              <w:rPr>
                <w:spacing w:val="-16"/>
                <w:sz w:val="18"/>
              </w:rPr>
              <w:t xml:space="preserve"> </w:t>
            </w:r>
            <w:r>
              <w:rPr>
                <w:sz w:val="18"/>
              </w:rPr>
              <w:t>políticas,</w:t>
            </w:r>
            <w:r>
              <w:rPr>
                <w:spacing w:val="-16"/>
                <w:sz w:val="18"/>
              </w:rPr>
              <w:t xml:space="preserve"> </w:t>
            </w:r>
            <w:r>
              <w:rPr>
                <w:sz w:val="18"/>
              </w:rPr>
              <w:t>planes</w:t>
            </w:r>
            <w:r>
              <w:rPr>
                <w:spacing w:val="-16"/>
                <w:sz w:val="18"/>
              </w:rPr>
              <w:t xml:space="preserve"> </w:t>
            </w:r>
            <w:r>
              <w:rPr>
                <w:sz w:val="18"/>
              </w:rPr>
              <w:t>y programas que garanticen a través del uso de Tecnologías</w:t>
            </w:r>
            <w:r>
              <w:rPr>
                <w:spacing w:val="76"/>
                <w:w w:val="150"/>
                <w:sz w:val="18"/>
              </w:rPr>
              <w:t xml:space="preserve">   </w:t>
            </w:r>
            <w:r>
              <w:rPr>
                <w:sz w:val="18"/>
              </w:rPr>
              <w:t>de</w:t>
            </w:r>
            <w:r>
              <w:rPr>
                <w:spacing w:val="76"/>
                <w:w w:val="150"/>
                <w:sz w:val="18"/>
              </w:rPr>
              <w:t xml:space="preserve">   </w:t>
            </w:r>
            <w:r>
              <w:rPr>
                <w:spacing w:val="-5"/>
                <w:sz w:val="18"/>
              </w:rPr>
              <w:t>la</w:t>
            </w:r>
          </w:p>
          <w:p w14:paraId="53F3E8A1" w14:textId="77777777" w:rsidR="000E52B0" w:rsidRDefault="00F60D74">
            <w:pPr>
              <w:pStyle w:val="TableParagraph"/>
              <w:spacing w:line="219" w:lineRule="exact"/>
              <w:ind w:left="91"/>
              <w:jc w:val="both"/>
              <w:rPr>
                <w:sz w:val="18"/>
              </w:rPr>
            </w:pPr>
            <w:r>
              <w:rPr>
                <w:sz w:val="18"/>
              </w:rPr>
              <w:t>Información</w:t>
            </w:r>
            <w:r>
              <w:rPr>
                <w:spacing w:val="73"/>
                <w:w w:val="150"/>
                <w:sz w:val="18"/>
              </w:rPr>
              <w:t xml:space="preserve">   </w:t>
            </w:r>
            <w:r>
              <w:rPr>
                <w:sz w:val="18"/>
              </w:rPr>
              <w:t>y</w:t>
            </w:r>
            <w:r>
              <w:rPr>
                <w:spacing w:val="73"/>
                <w:w w:val="150"/>
                <w:sz w:val="18"/>
              </w:rPr>
              <w:t xml:space="preserve">   </w:t>
            </w:r>
            <w:r>
              <w:rPr>
                <w:spacing w:val="-5"/>
                <w:sz w:val="18"/>
              </w:rPr>
              <w:t>las</w:t>
            </w:r>
          </w:p>
          <w:p w14:paraId="4F30410E" w14:textId="77777777" w:rsidR="000E52B0" w:rsidRDefault="00F60D74">
            <w:pPr>
              <w:pStyle w:val="TableParagraph"/>
              <w:tabs>
                <w:tab w:val="left" w:pos="2402"/>
              </w:tabs>
              <w:ind w:left="91" w:right="77"/>
              <w:jc w:val="both"/>
              <w:rPr>
                <w:sz w:val="18"/>
              </w:rPr>
            </w:pPr>
            <w:r>
              <w:rPr>
                <w:spacing w:val="-2"/>
                <w:sz w:val="18"/>
              </w:rPr>
              <w:t>Comunicaciones:</w:t>
            </w:r>
            <w:r>
              <w:rPr>
                <w:sz w:val="18"/>
              </w:rPr>
              <w:tab/>
            </w:r>
            <w:r>
              <w:rPr>
                <w:spacing w:val="-6"/>
                <w:sz w:val="18"/>
              </w:rPr>
              <w:t xml:space="preserve">el </w:t>
            </w:r>
            <w:r>
              <w:rPr>
                <w:sz w:val="18"/>
              </w:rPr>
              <w:t>mejoramiento</w:t>
            </w:r>
            <w:r>
              <w:rPr>
                <w:spacing w:val="-12"/>
                <w:sz w:val="18"/>
              </w:rPr>
              <w:t xml:space="preserve"> </w:t>
            </w:r>
            <w:r>
              <w:rPr>
                <w:sz w:val="18"/>
              </w:rPr>
              <w:t>de</w:t>
            </w:r>
            <w:r>
              <w:rPr>
                <w:spacing w:val="-13"/>
                <w:sz w:val="18"/>
              </w:rPr>
              <w:t xml:space="preserve"> </w:t>
            </w:r>
            <w:r>
              <w:rPr>
                <w:sz w:val="18"/>
              </w:rPr>
              <w:t>la</w:t>
            </w:r>
            <w:r>
              <w:rPr>
                <w:spacing w:val="-13"/>
                <w:sz w:val="18"/>
              </w:rPr>
              <w:t xml:space="preserve"> </w:t>
            </w:r>
            <w:r>
              <w:rPr>
                <w:sz w:val="18"/>
              </w:rPr>
              <w:t>calidad de</w:t>
            </w:r>
            <w:r>
              <w:rPr>
                <w:spacing w:val="-14"/>
                <w:sz w:val="18"/>
              </w:rPr>
              <w:t xml:space="preserve"> </w:t>
            </w:r>
            <w:r>
              <w:rPr>
                <w:sz w:val="18"/>
              </w:rPr>
              <w:t>vida</w:t>
            </w:r>
            <w:r>
              <w:rPr>
                <w:spacing w:val="-15"/>
                <w:sz w:val="18"/>
              </w:rPr>
              <w:t xml:space="preserve"> </w:t>
            </w:r>
            <w:r>
              <w:rPr>
                <w:sz w:val="18"/>
              </w:rPr>
              <w:t>de</w:t>
            </w:r>
            <w:r>
              <w:rPr>
                <w:spacing w:val="-14"/>
                <w:sz w:val="18"/>
              </w:rPr>
              <w:t xml:space="preserve"> </w:t>
            </w:r>
            <w:r>
              <w:rPr>
                <w:sz w:val="18"/>
              </w:rPr>
              <w:t>la</w:t>
            </w:r>
            <w:r>
              <w:rPr>
                <w:spacing w:val="-15"/>
                <w:sz w:val="18"/>
              </w:rPr>
              <w:t xml:space="preserve"> </w:t>
            </w:r>
            <w:r>
              <w:rPr>
                <w:sz w:val="18"/>
              </w:rPr>
              <w:t>comunidad,</w:t>
            </w:r>
            <w:r>
              <w:rPr>
                <w:spacing w:val="-15"/>
                <w:sz w:val="18"/>
              </w:rPr>
              <w:t xml:space="preserve"> </w:t>
            </w:r>
            <w:r>
              <w:rPr>
                <w:sz w:val="18"/>
              </w:rPr>
              <w:t>el acceso a mercados para el sector productivo, y el acceso equitativo a oportunidades; Apoyar a las</w:t>
            </w:r>
            <w:r>
              <w:rPr>
                <w:spacing w:val="-13"/>
                <w:sz w:val="18"/>
              </w:rPr>
              <w:t xml:space="preserve"> </w:t>
            </w:r>
            <w:r>
              <w:rPr>
                <w:sz w:val="18"/>
              </w:rPr>
              <w:t>entidades</w:t>
            </w:r>
            <w:r>
              <w:rPr>
                <w:spacing w:val="-13"/>
                <w:sz w:val="18"/>
              </w:rPr>
              <w:t xml:space="preserve"> </w:t>
            </w:r>
            <w:r>
              <w:rPr>
                <w:sz w:val="18"/>
              </w:rPr>
              <w:t>del</w:t>
            </w:r>
            <w:r>
              <w:rPr>
                <w:spacing w:val="-12"/>
                <w:sz w:val="18"/>
              </w:rPr>
              <w:t xml:space="preserve"> </w:t>
            </w:r>
            <w:r>
              <w:rPr>
                <w:sz w:val="18"/>
              </w:rPr>
              <w:t>Estado</w:t>
            </w:r>
            <w:r>
              <w:rPr>
                <w:spacing w:val="-12"/>
                <w:sz w:val="18"/>
              </w:rPr>
              <w:t xml:space="preserve"> </w:t>
            </w:r>
            <w:r>
              <w:rPr>
                <w:sz w:val="18"/>
              </w:rPr>
              <w:t>en el acceso y uso de las Tecnologías</w:t>
            </w:r>
            <w:r>
              <w:rPr>
                <w:spacing w:val="76"/>
                <w:w w:val="150"/>
                <w:sz w:val="18"/>
              </w:rPr>
              <w:t xml:space="preserve">   </w:t>
            </w:r>
            <w:r>
              <w:rPr>
                <w:sz w:val="18"/>
              </w:rPr>
              <w:t>de</w:t>
            </w:r>
            <w:r>
              <w:rPr>
                <w:spacing w:val="76"/>
                <w:w w:val="150"/>
                <w:sz w:val="18"/>
              </w:rPr>
              <w:t xml:space="preserve">   </w:t>
            </w:r>
            <w:r>
              <w:rPr>
                <w:spacing w:val="-5"/>
                <w:sz w:val="18"/>
              </w:rPr>
              <w:t>la</w:t>
            </w:r>
          </w:p>
          <w:p w14:paraId="093C8464" w14:textId="77777777" w:rsidR="000E52B0" w:rsidRDefault="00F60D74">
            <w:pPr>
              <w:pStyle w:val="TableParagraph"/>
              <w:spacing w:before="1"/>
              <w:ind w:left="91"/>
              <w:jc w:val="both"/>
              <w:rPr>
                <w:sz w:val="18"/>
              </w:rPr>
            </w:pPr>
            <w:r>
              <w:rPr>
                <w:sz w:val="18"/>
              </w:rPr>
              <w:t>Información</w:t>
            </w:r>
            <w:r>
              <w:rPr>
                <w:spacing w:val="73"/>
                <w:w w:val="150"/>
                <w:sz w:val="18"/>
              </w:rPr>
              <w:t xml:space="preserve">   </w:t>
            </w:r>
            <w:r>
              <w:rPr>
                <w:sz w:val="18"/>
              </w:rPr>
              <w:t>y</w:t>
            </w:r>
            <w:r>
              <w:rPr>
                <w:spacing w:val="73"/>
                <w:w w:val="150"/>
                <w:sz w:val="18"/>
              </w:rPr>
              <w:t xml:space="preserve">   </w:t>
            </w:r>
            <w:r>
              <w:rPr>
                <w:spacing w:val="-5"/>
                <w:sz w:val="18"/>
              </w:rPr>
              <w:t>las</w:t>
            </w:r>
          </w:p>
          <w:p w14:paraId="71AF9CAF" w14:textId="77777777" w:rsidR="000E52B0" w:rsidRDefault="00F60D74">
            <w:pPr>
              <w:pStyle w:val="TableParagraph"/>
              <w:tabs>
                <w:tab w:val="left" w:pos="1528"/>
              </w:tabs>
              <w:ind w:left="91" w:right="76"/>
              <w:jc w:val="both"/>
              <w:rPr>
                <w:sz w:val="18"/>
              </w:rPr>
            </w:pPr>
            <w:r>
              <w:rPr>
                <w:sz w:val="18"/>
              </w:rPr>
              <w:t>Comunicaciones para facilitar y optimizar la gestión de los organismos gubernamentales y la contratación</w:t>
            </w:r>
            <w:r>
              <w:rPr>
                <w:spacing w:val="-16"/>
                <w:sz w:val="18"/>
              </w:rPr>
              <w:t xml:space="preserve"> </w:t>
            </w:r>
            <w:r>
              <w:rPr>
                <w:sz w:val="18"/>
              </w:rPr>
              <w:t>administrativa transparente y eficiente, y prestar</w:t>
            </w:r>
            <w:r>
              <w:rPr>
                <w:spacing w:val="-8"/>
                <w:sz w:val="18"/>
              </w:rPr>
              <w:t xml:space="preserve"> </w:t>
            </w:r>
            <w:r>
              <w:rPr>
                <w:sz w:val="18"/>
              </w:rPr>
              <w:t>mejores</w:t>
            </w:r>
            <w:r>
              <w:rPr>
                <w:spacing w:val="-8"/>
                <w:sz w:val="18"/>
              </w:rPr>
              <w:t xml:space="preserve"> </w:t>
            </w:r>
            <w:r>
              <w:rPr>
                <w:sz w:val="18"/>
              </w:rPr>
              <w:t>servicios</w:t>
            </w:r>
            <w:r>
              <w:rPr>
                <w:spacing w:val="-10"/>
                <w:sz w:val="18"/>
              </w:rPr>
              <w:t xml:space="preserve"> </w:t>
            </w:r>
            <w:r>
              <w:rPr>
                <w:sz w:val="18"/>
              </w:rPr>
              <w:t xml:space="preserve">a los ciudadanos; d) Apoyar a las entidades del Estado en la formulación de los lineamientos generales para la difusión de la información que generen </w:t>
            </w:r>
            <w:r>
              <w:rPr>
                <w:spacing w:val="-5"/>
                <w:sz w:val="18"/>
              </w:rPr>
              <w:t>los</w:t>
            </w:r>
            <w:r>
              <w:rPr>
                <w:sz w:val="18"/>
              </w:rPr>
              <w:tab/>
            </w:r>
            <w:r>
              <w:rPr>
                <w:spacing w:val="-2"/>
                <w:sz w:val="18"/>
              </w:rPr>
              <w:t>Ministerios,</w:t>
            </w:r>
          </w:p>
          <w:p w14:paraId="791AD3CA" w14:textId="77777777" w:rsidR="000E52B0" w:rsidRDefault="00F60D74">
            <w:pPr>
              <w:pStyle w:val="TableParagraph"/>
              <w:spacing w:line="199" w:lineRule="exact"/>
              <w:ind w:left="91"/>
              <w:rPr>
                <w:sz w:val="18"/>
              </w:rPr>
            </w:pPr>
            <w:r>
              <w:rPr>
                <w:spacing w:val="-2"/>
                <w:sz w:val="18"/>
              </w:rPr>
              <w:t>Departamentos</w:t>
            </w:r>
          </w:p>
        </w:tc>
        <w:tc>
          <w:tcPr>
            <w:tcW w:w="1985" w:type="dxa"/>
            <w:tcBorders>
              <w:top w:val="single" w:sz="4" w:space="0" w:color="000000"/>
              <w:left w:val="single" w:sz="4" w:space="0" w:color="000000"/>
              <w:right w:val="single" w:sz="4" w:space="0" w:color="000000"/>
            </w:tcBorders>
          </w:tcPr>
          <w:p w14:paraId="153BF415" w14:textId="77777777" w:rsidR="000E52B0" w:rsidRDefault="00F60D74">
            <w:pPr>
              <w:pStyle w:val="TableParagraph"/>
              <w:spacing w:before="3"/>
              <w:ind w:left="91" w:right="75"/>
              <w:rPr>
                <w:sz w:val="18"/>
              </w:rPr>
            </w:pPr>
            <w:r>
              <w:rPr>
                <w:spacing w:val="-2"/>
                <w:sz w:val="18"/>
              </w:rPr>
              <w:t xml:space="preserve">electromagnético </w:t>
            </w:r>
            <w:r>
              <w:rPr>
                <w:sz w:val="18"/>
              </w:rPr>
              <w:t>(art. 75 C.P)</w:t>
            </w:r>
          </w:p>
        </w:tc>
        <w:tc>
          <w:tcPr>
            <w:tcW w:w="1337" w:type="dxa"/>
            <w:tcBorders>
              <w:top w:val="single" w:sz="4" w:space="0" w:color="000000"/>
              <w:left w:val="single" w:sz="4" w:space="0" w:color="000000"/>
            </w:tcBorders>
          </w:tcPr>
          <w:p w14:paraId="380F7B4F" w14:textId="77777777" w:rsidR="000E52B0" w:rsidRDefault="00F60D74">
            <w:pPr>
              <w:pStyle w:val="TableParagraph"/>
              <w:tabs>
                <w:tab w:val="left" w:pos="1030"/>
              </w:tabs>
              <w:spacing w:before="3" w:line="219" w:lineRule="exact"/>
              <w:ind w:left="92"/>
              <w:rPr>
                <w:sz w:val="18"/>
              </w:rPr>
            </w:pPr>
            <w:proofErr w:type="spellStart"/>
            <w:r>
              <w:rPr>
                <w:spacing w:val="-5"/>
                <w:sz w:val="18"/>
              </w:rPr>
              <w:t>vo</w:t>
            </w:r>
            <w:proofErr w:type="spellEnd"/>
            <w:r>
              <w:rPr>
                <w:sz w:val="18"/>
              </w:rPr>
              <w:tab/>
            </w:r>
            <w:r>
              <w:rPr>
                <w:spacing w:val="-5"/>
                <w:sz w:val="18"/>
              </w:rPr>
              <w:t>de</w:t>
            </w:r>
          </w:p>
          <w:p w14:paraId="44FA4996" w14:textId="77777777" w:rsidR="000E52B0" w:rsidRDefault="00F60D74">
            <w:pPr>
              <w:pStyle w:val="TableParagraph"/>
              <w:tabs>
                <w:tab w:val="left" w:pos="1092"/>
              </w:tabs>
              <w:ind w:left="92" w:right="71"/>
              <w:rPr>
                <w:sz w:val="18"/>
              </w:rPr>
            </w:pPr>
            <w:r>
              <w:rPr>
                <w:spacing w:val="-2"/>
                <w:sz w:val="18"/>
              </w:rPr>
              <w:t xml:space="preserve">tecnologías </w:t>
            </w:r>
            <w:r>
              <w:rPr>
                <w:spacing w:val="-5"/>
                <w:sz w:val="18"/>
              </w:rPr>
              <w:t>de</w:t>
            </w:r>
            <w:r>
              <w:rPr>
                <w:sz w:val="18"/>
              </w:rPr>
              <w:tab/>
            </w:r>
            <w:r>
              <w:rPr>
                <w:spacing w:val="-5"/>
                <w:sz w:val="18"/>
              </w:rPr>
              <w:t>la</w:t>
            </w:r>
          </w:p>
          <w:p w14:paraId="50E5C8B2" w14:textId="77777777" w:rsidR="000E52B0" w:rsidRDefault="00F60D74">
            <w:pPr>
              <w:pStyle w:val="TableParagraph"/>
              <w:tabs>
                <w:tab w:val="left" w:pos="996"/>
              </w:tabs>
              <w:spacing w:before="2"/>
              <w:ind w:left="92" w:right="73"/>
              <w:rPr>
                <w:sz w:val="18"/>
              </w:rPr>
            </w:pPr>
            <w:r>
              <w:rPr>
                <w:spacing w:val="-2"/>
                <w:sz w:val="18"/>
              </w:rPr>
              <w:t>información</w:t>
            </w:r>
            <w:r>
              <w:rPr>
                <w:sz w:val="18"/>
              </w:rPr>
              <w:t xml:space="preserve"> </w:t>
            </w:r>
            <w:r>
              <w:rPr>
                <w:spacing w:val="-10"/>
                <w:sz w:val="18"/>
              </w:rPr>
              <w:t>y</w:t>
            </w:r>
            <w:r>
              <w:rPr>
                <w:sz w:val="18"/>
              </w:rPr>
              <w:tab/>
            </w:r>
            <w:r>
              <w:rPr>
                <w:spacing w:val="-5"/>
                <w:sz w:val="18"/>
              </w:rPr>
              <w:t>las</w:t>
            </w:r>
          </w:p>
          <w:p w14:paraId="1A514044" w14:textId="77777777" w:rsidR="000E52B0" w:rsidRDefault="00F60D74">
            <w:pPr>
              <w:pStyle w:val="TableParagraph"/>
              <w:ind w:left="92" w:right="91"/>
              <w:rPr>
                <w:sz w:val="18"/>
              </w:rPr>
            </w:pPr>
            <w:proofErr w:type="spellStart"/>
            <w:r>
              <w:rPr>
                <w:spacing w:val="-2"/>
                <w:sz w:val="18"/>
              </w:rPr>
              <w:t>comunicacio</w:t>
            </w:r>
            <w:proofErr w:type="spellEnd"/>
            <w:r>
              <w:rPr>
                <w:spacing w:val="-2"/>
                <w:sz w:val="18"/>
              </w:rPr>
              <w:t xml:space="preserve"> </w:t>
            </w:r>
            <w:proofErr w:type="spellStart"/>
            <w:r>
              <w:rPr>
                <w:spacing w:val="-4"/>
                <w:sz w:val="18"/>
              </w:rPr>
              <w:t>nes</w:t>
            </w:r>
            <w:proofErr w:type="spellEnd"/>
          </w:p>
        </w:tc>
      </w:tr>
    </w:tbl>
    <w:p w14:paraId="3D56553F" w14:textId="77777777" w:rsidR="000E52B0" w:rsidRDefault="000E52B0">
      <w:pPr>
        <w:pStyle w:val="TableParagraph"/>
        <w:rPr>
          <w:sz w:val="18"/>
        </w:rPr>
        <w:sectPr w:rsidR="000E52B0">
          <w:type w:val="continuous"/>
          <w:pgSz w:w="11910" w:h="16840"/>
          <w:pgMar w:top="1400" w:right="720" w:bottom="1180" w:left="720" w:header="0" w:footer="995" w:gutter="0"/>
          <w:cols w:space="720"/>
        </w:sectPr>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6"/>
        <w:gridCol w:w="1601"/>
        <w:gridCol w:w="2647"/>
        <w:gridCol w:w="1985"/>
        <w:gridCol w:w="1337"/>
      </w:tblGrid>
      <w:tr w:rsidR="000E52B0" w14:paraId="3A1BE959" w14:textId="77777777">
        <w:trPr>
          <w:trHeight w:val="875"/>
        </w:trPr>
        <w:tc>
          <w:tcPr>
            <w:tcW w:w="1416" w:type="dxa"/>
            <w:tcBorders>
              <w:bottom w:val="single" w:sz="4" w:space="0" w:color="000000"/>
              <w:right w:val="single" w:sz="4" w:space="0" w:color="000000"/>
            </w:tcBorders>
            <w:shd w:val="clear" w:color="auto" w:fill="D44673"/>
          </w:tcPr>
          <w:p w14:paraId="34112C2D" w14:textId="77777777" w:rsidR="000E52B0" w:rsidRDefault="000E52B0">
            <w:pPr>
              <w:pStyle w:val="TableParagraph"/>
              <w:spacing w:before="109"/>
              <w:rPr>
                <w:sz w:val="18"/>
              </w:rPr>
            </w:pPr>
          </w:p>
          <w:p w14:paraId="11D88F78" w14:textId="77777777" w:rsidR="000E52B0" w:rsidRDefault="00F60D74">
            <w:pPr>
              <w:pStyle w:val="TableParagraph"/>
              <w:ind w:left="206"/>
              <w:rPr>
                <w:b/>
                <w:sz w:val="18"/>
              </w:rPr>
            </w:pPr>
            <w:r>
              <w:rPr>
                <w:b/>
                <w:color w:val="FFFFFF"/>
                <w:spacing w:val="-2"/>
                <w:sz w:val="18"/>
              </w:rPr>
              <w:t>Ministerio</w:t>
            </w:r>
          </w:p>
        </w:tc>
        <w:tc>
          <w:tcPr>
            <w:tcW w:w="1601" w:type="dxa"/>
            <w:tcBorders>
              <w:left w:val="single" w:sz="4" w:space="0" w:color="000000"/>
              <w:bottom w:val="single" w:sz="4" w:space="0" w:color="000000"/>
              <w:right w:val="single" w:sz="4" w:space="0" w:color="000000"/>
            </w:tcBorders>
            <w:shd w:val="clear" w:color="auto" w:fill="D44673"/>
          </w:tcPr>
          <w:p w14:paraId="3C04AF42" w14:textId="77777777" w:rsidR="000E52B0" w:rsidRDefault="000E52B0">
            <w:pPr>
              <w:pStyle w:val="TableParagraph"/>
              <w:spacing w:before="109"/>
              <w:rPr>
                <w:sz w:val="18"/>
              </w:rPr>
            </w:pPr>
          </w:p>
          <w:p w14:paraId="1AC44774" w14:textId="77777777" w:rsidR="000E52B0" w:rsidRDefault="00F60D74">
            <w:pPr>
              <w:pStyle w:val="TableParagraph"/>
              <w:ind w:left="374"/>
              <w:rPr>
                <w:b/>
                <w:sz w:val="18"/>
              </w:rPr>
            </w:pPr>
            <w:r>
              <w:rPr>
                <w:b/>
                <w:color w:val="FFFFFF"/>
                <w:spacing w:val="-2"/>
                <w:sz w:val="18"/>
              </w:rPr>
              <w:t>Objetivo</w:t>
            </w:r>
          </w:p>
        </w:tc>
        <w:tc>
          <w:tcPr>
            <w:tcW w:w="2647" w:type="dxa"/>
            <w:tcBorders>
              <w:left w:val="single" w:sz="4" w:space="0" w:color="000000"/>
              <w:bottom w:val="single" w:sz="4" w:space="0" w:color="000000"/>
              <w:right w:val="single" w:sz="4" w:space="0" w:color="000000"/>
            </w:tcBorders>
            <w:shd w:val="clear" w:color="auto" w:fill="D44673"/>
          </w:tcPr>
          <w:p w14:paraId="76F5E3C3" w14:textId="77777777" w:rsidR="000E52B0" w:rsidRDefault="000E52B0">
            <w:pPr>
              <w:pStyle w:val="TableParagraph"/>
              <w:spacing w:before="109"/>
              <w:rPr>
                <w:sz w:val="18"/>
              </w:rPr>
            </w:pPr>
          </w:p>
          <w:p w14:paraId="522F99A3" w14:textId="77777777" w:rsidR="000E52B0" w:rsidRDefault="00F60D74">
            <w:pPr>
              <w:pStyle w:val="TableParagraph"/>
              <w:ind w:left="813"/>
              <w:rPr>
                <w:b/>
                <w:sz w:val="18"/>
              </w:rPr>
            </w:pPr>
            <w:r>
              <w:rPr>
                <w:b/>
                <w:color w:val="FFFFFF"/>
                <w:spacing w:val="-2"/>
                <w:sz w:val="18"/>
              </w:rPr>
              <w:t>Funciones</w:t>
            </w:r>
          </w:p>
        </w:tc>
        <w:tc>
          <w:tcPr>
            <w:tcW w:w="1985" w:type="dxa"/>
            <w:tcBorders>
              <w:left w:val="single" w:sz="4" w:space="0" w:color="000000"/>
              <w:bottom w:val="single" w:sz="4" w:space="0" w:color="000000"/>
              <w:right w:val="single" w:sz="4" w:space="0" w:color="000000"/>
            </w:tcBorders>
            <w:shd w:val="clear" w:color="auto" w:fill="D44673"/>
          </w:tcPr>
          <w:p w14:paraId="0725EE57" w14:textId="77777777" w:rsidR="000E52B0" w:rsidRDefault="00F60D74">
            <w:pPr>
              <w:pStyle w:val="TableParagraph"/>
              <w:ind w:left="118" w:right="105" w:firstLine="1"/>
              <w:jc w:val="center"/>
              <w:rPr>
                <w:b/>
                <w:sz w:val="18"/>
              </w:rPr>
            </w:pPr>
            <w:r>
              <w:rPr>
                <w:b/>
                <w:color w:val="FFFFFF"/>
                <w:sz w:val="18"/>
              </w:rPr>
              <w:t>Derecho</w:t>
            </w:r>
            <w:r>
              <w:rPr>
                <w:b/>
                <w:color w:val="FFFFFF"/>
                <w:spacing w:val="-16"/>
                <w:sz w:val="18"/>
              </w:rPr>
              <w:t xml:space="preserve"> </w:t>
            </w:r>
            <w:r>
              <w:rPr>
                <w:b/>
                <w:color w:val="FFFFFF"/>
                <w:sz w:val="18"/>
              </w:rPr>
              <w:t>Humano o</w:t>
            </w:r>
            <w:r>
              <w:rPr>
                <w:b/>
                <w:color w:val="FFFFFF"/>
                <w:spacing w:val="-1"/>
                <w:sz w:val="18"/>
              </w:rPr>
              <w:t xml:space="preserve"> </w:t>
            </w:r>
            <w:r>
              <w:rPr>
                <w:b/>
                <w:color w:val="FFFFFF"/>
                <w:sz w:val="18"/>
              </w:rPr>
              <w:t>Fin</w:t>
            </w:r>
            <w:r>
              <w:rPr>
                <w:b/>
                <w:color w:val="FFFFFF"/>
                <w:spacing w:val="-3"/>
                <w:sz w:val="18"/>
              </w:rPr>
              <w:t xml:space="preserve"> </w:t>
            </w:r>
            <w:r>
              <w:rPr>
                <w:b/>
                <w:color w:val="FFFFFF"/>
                <w:sz w:val="18"/>
              </w:rPr>
              <w:t xml:space="preserve">Esencial </w:t>
            </w:r>
            <w:r>
              <w:rPr>
                <w:b/>
                <w:color w:val="FFFFFF"/>
                <w:spacing w:val="-5"/>
                <w:sz w:val="18"/>
              </w:rPr>
              <w:t>del</w:t>
            </w:r>
          </w:p>
          <w:p w14:paraId="55353734" w14:textId="77777777" w:rsidR="000E52B0" w:rsidRDefault="00F60D74">
            <w:pPr>
              <w:pStyle w:val="TableParagraph"/>
              <w:spacing w:line="218" w:lineRule="exact"/>
              <w:ind w:left="12"/>
              <w:jc w:val="center"/>
              <w:rPr>
                <w:b/>
                <w:sz w:val="18"/>
              </w:rPr>
            </w:pPr>
            <w:r>
              <w:rPr>
                <w:b/>
                <w:color w:val="FFFFFF"/>
                <w:sz w:val="18"/>
              </w:rPr>
              <w:t>Estado</w:t>
            </w:r>
            <w:r>
              <w:rPr>
                <w:b/>
                <w:color w:val="FFFFFF"/>
                <w:spacing w:val="-16"/>
                <w:sz w:val="18"/>
              </w:rPr>
              <w:t xml:space="preserve"> </w:t>
            </w:r>
            <w:r>
              <w:rPr>
                <w:b/>
                <w:color w:val="FFFFFF"/>
                <w:sz w:val="18"/>
              </w:rPr>
              <w:t>al</w:t>
            </w:r>
            <w:r>
              <w:rPr>
                <w:b/>
                <w:color w:val="FFFFFF"/>
                <w:spacing w:val="-15"/>
                <w:sz w:val="18"/>
              </w:rPr>
              <w:t xml:space="preserve"> </w:t>
            </w:r>
            <w:r>
              <w:rPr>
                <w:b/>
                <w:color w:val="FFFFFF"/>
                <w:sz w:val="18"/>
              </w:rPr>
              <w:t xml:space="preserve">que </w:t>
            </w:r>
            <w:r>
              <w:rPr>
                <w:b/>
                <w:color w:val="FFFFFF"/>
                <w:spacing w:val="-2"/>
                <w:sz w:val="18"/>
              </w:rPr>
              <w:t>responde.</w:t>
            </w:r>
          </w:p>
        </w:tc>
        <w:tc>
          <w:tcPr>
            <w:tcW w:w="1337" w:type="dxa"/>
            <w:tcBorders>
              <w:left w:val="single" w:sz="4" w:space="0" w:color="000000"/>
              <w:bottom w:val="single" w:sz="4" w:space="0" w:color="000000"/>
            </w:tcBorders>
            <w:shd w:val="clear" w:color="auto" w:fill="D44673"/>
          </w:tcPr>
          <w:p w14:paraId="7593972F" w14:textId="77777777" w:rsidR="000E52B0" w:rsidRDefault="00F60D74">
            <w:pPr>
              <w:pStyle w:val="TableParagraph"/>
              <w:spacing w:before="217" w:line="242" w:lineRule="auto"/>
              <w:ind w:left="579" w:right="91" w:hanging="473"/>
              <w:rPr>
                <w:b/>
                <w:sz w:val="18"/>
              </w:rPr>
            </w:pPr>
            <w:proofErr w:type="spellStart"/>
            <w:r>
              <w:rPr>
                <w:b/>
                <w:color w:val="FFFFFF"/>
                <w:spacing w:val="-2"/>
                <w:sz w:val="18"/>
              </w:rPr>
              <w:t>Competenc</w:t>
            </w:r>
            <w:proofErr w:type="spellEnd"/>
            <w:r>
              <w:rPr>
                <w:b/>
                <w:color w:val="FFFFFF"/>
                <w:spacing w:val="-2"/>
                <w:sz w:val="18"/>
              </w:rPr>
              <w:t xml:space="preserve"> </w:t>
            </w:r>
            <w:proofErr w:type="spellStart"/>
            <w:r>
              <w:rPr>
                <w:b/>
                <w:color w:val="FFFFFF"/>
                <w:spacing w:val="-6"/>
                <w:sz w:val="18"/>
              </w:rPr>
              <w:t>ia</w:t>
            </w:r>
            <w:proofErr w:type="spellEnd"/>
          </w:p>
        </w:tc>
      </w:tr>
      <w:tr w:rsidR="000E52B0" w14:paraId="00B8B6D5" w14:textId="77777777">
        <w:trPr>
          <w:trHeight w:val="3943"/>
        </w:trPr>
        <w:tc>
          <w:tcPr>
            <w:tcW w:w="1416" w:type="dxa"/>
            <w:tcBorders>
              <w:top w:val="single" w:sz="4" w:space="0" w:color="000000"/>
              <w:bottom w:val="single" w:sz="4" w:space="0" w:color="000000"/>
              <w:right w:val="single" w:sz="4" w:space="0" w:color="000000"/>
            </w:tcBorders>
          </w:tcPr>
          <w:p w14:paraId="5BD3DE29" w14:textId="77777777" w:rsidR="000E52B0" w:rsidRDefault="000E52B0">
            <w:pPr>
              <w:pStyle w:val="TableParagraph"/>
              <w:rPr>
                <w:rFonts w:ascii="Times New Roman"/>
                <w:sz w:val="18"/>
              </w:rPr>
            </w:pPr>
          </w:p>
        </w:tc>
        <w:tc>
          <w:tcPr>
            <w:tcW w:w="1601" w:type="dxa"/>
            <w:tcBorders>
              <w:top w:val="single" w:sz="4" w:space="0" w:color="000000"/>
              <w:left w:val="single" w:sz="4" w:space="0" w:color="000000"/>
              <w:bottom w:val="single" w:sz="4" w:space="0" w:color="000000"/>
              <w:right w:val="single" w:sz="4" w:space="0" w:color="000000"/>
            </w:tcBorders>
          </w:tcPr>
          <w:p w14:paraId="69FEBB23" w14:textId="77777777" w:rsidR="000E52B0" w:rsidRDefault="000E52B0">
            <w:pPr>
              <w:pStyle w:val="TableParagraph"/>
              <w:rPr>
                <w:rFonts w:ascii="Times New Roman"/>
                <w:sz w:val="18"/>
              </w:rPr>
            </w:pPr>
          </w:p>
        </w:tc>
        <w:tc>
          <w:tcPr>
            <w:tcW w:w="2647" w:type="dxa"/>
            <w:tcBorders>
              <w:top w:val="single" w:sz="4" w:space="0" w:color="000000"/>
              <w:left w:val="single" w:sz="4" w:space="0" w:color="000000"/>
              <w:bottom w:val="single" w:sz="4" w:space="0" w:color="000000"/>
              <w:right w:val="single" w:sz="4" w:space="0" w:color="000000"/>
            </w:tcBorders>
          </w:tcPr>
          <w:p w14:paraId="6C5E0B4C" w14:textId="77777777" w:rsidR="000E52B0" w:rsidRDefault="00F60D74">
            <w:pPr>
              <w:pStyle w:val="TableParagraph"/>
              <w:tabs>
                <w:tab w:val="left" w:pos="2308"/>
                <w:tab w:val="left" w:pos="2450"/>
              </w:tabs>
              <w:spacing w:before="3"/>
              <w:ind w:left="91" w:right="76"/>
              <w:jc w:val="both"/>
              <w:rPr>
                <w:sz w:val="18"/>
              </w:rPr>
            </w:pPr>
            <w:r>
              <w:rPr>
                <w:spacing w:val="-2"/>
                <w:sz w:val="18"/>
              </w:rPr>
              <w:t>Administrativos</w:t>
            </w:r>
            <w:r>
              <w:rPr>
                <w:sz w:val="18"/>
              </w:rPr>
              <w:tab/>
            </w:r>
            <w:r>
              <w:rPr>
                <w:sz w:val="18"/>
              </w:rPr>
              <w:tab/>
            </w:r>
            <w:r>
              <w:rPr>
                <w:spacing w:val="-10"/>
                <w:sz w:val="18"/>
              </w:rPr>
              <w:t xml:space="preserve">y </w:t>
            </w:r>
            <w:r>
              <w:rPr>
                <w:sz w:val="18"/>
              </w:rPr>
              <w:t>Establecimientos</w:t>
            </w:r>
            <w:r>
              <w:rPr>
                <w:spacing w:val="-16"/>
                <w:sz w:val="18"/>
              </w:rPr>
              <w:t xml:space="preserve"> </w:t>
            </w:r>
            <w:r>
              <w:rPr>
                <w:sz w:val="18"/>
              </w:rPr>
              <w:t>Públicos</w:t>
            </w:r>
            <w:r>
              <w:rPr>
                <w:spacing w:val="-16"/>
                <w:sz w:val="18"/>
              </w:rPr>
              <w:t xml:space="preserve"> </w:t>
            </w:r>
            <w:r>
              <w:rPr>
                <w:sz w:val="18"/>
              </w:rPr>
              <w:t xml:space="preserve">y </w:t>
            </w:r>
            <w:r>
              <w:rPr>
                <w:spacing w:val="-2"/>
                <w:sz w:val="18"/>
              </w:rPr>
              <w:t>efectuar</w:t>
            </w:r>
            <w:r>
              <w:rPr>
                <w:sz w:val="18"/>
              </w:rPr>
              <w:tab/>
            </w:r>
            <w:r>
              <w:rPr>
                <w:spacing w:val="-5"/>
                <w:sz w:val="18"/>
              </w:rPr>
              <w:t>las</w:t>
            </w:r>
          </w:p>
          <w:p w14:paraId="6EE45DCA" w14:textId="77777777" w:rsidR="000E52B0" w:rsidRDefault="00F60D74">
            <w:pPr>
              <w:pStyle w:val="TableParagraph"/>
              <w:tabs>
                <w:tab w:val="left" w:pos="1719"/>
                <w:tab w:val="left" w:pos="1966"/>
              </w:tabs>
              <w:spacing w:before="2"/>
              <w:ind w:left="91" w:right="77"/>
              <w:jc w:val="both"/>
              <w:rPr>
                <w:sz w:val="18"/>
              </w:rPr>
            </w:pPr>
            <w:r>
              <w:rPr>
                <w:sz w:val="18"/>
              </w:rPr>
              <w:t xml:space="preserve">recomendaciones que considere indicadas para lograr que esta sea en forma ágil y oportuna; e) </w:t>
            </w:r>
            <w:r>
              <w:rPr>
                <w:spacing w:val="-2"/>
                <w:sz w:val="18"/>
              </w:rPr>
              <w:t>Planear,</w:t>
            </w:r>
            <w:r>
              <w:rPr>
                <w:sz w:val="18"/>
              </w:rPr>
              <w:tab/>
            </w:r>
            <w:r>
              <w:rPr>
                <w:spacing w:val="-2"/>
                <w:sz w:val="18"/>
              </w:rPr>
              <w:t>formular, estructurar,</w:t>
            </w:r>
            <w:r>
              <w:rPr>
                <w:sz w:val="18"/>
              </w:rPr>
              <w:tab/>
            </w:r>
            <w:r>
              <w:rPr>
                <w:sz w:val="18"/>
              </w:rPr>
              <w:tab/>
            </w:r>
            <w:r>
              <w:rPr>
                <w:spacing w:val="-2"/>
                <w:sz w:val="18"/>
              </w:rPr>
              <w:t xml:space="preserve">dirigir, </w:t>
            </w:r>
            <w:r>
              <w:rPr>
                <w:sz w:val="18"/>
              </w:rPr>
              <w:t xml:space="preserve">controlar y hacer el seguimiento a los programas y proyectos del Ministerio; f) Diseñar y desarrollar estrategias masivas que expliquen a los ciudadanos las </w:t>
            </w:r>
            <w:r>
              <w:rPr>
                <w:spacing w:val="-2"/>
                <w:sz w:val="18"/>
              </w:rPr>
              <w:t>utilidades</w:t>
            </w:r>
            <w:r>
              <w:rPr>
                <w:spacing w:val="-7"/>
                <w:sz w:val="18"/>
              </w:rPr>
              <w:t xml:space="preserve"> </w:t>
            </w:r>
            <w:r>
              <w:rPr>
                <w:spacing w:val="-2"/>
                <w:sz w:val="18"/>
              </w:rPr>
              <w:t>y</w:t>
            </w:r>
            <w:r>
              <w:rPr>
                <w:spacing w:val="-8"/>
                <w:sz w:val="18"/>
              </w:rPr>
              <w:t xml:space="preserve"> </w:t>
            </w:r>
            <w:r>
              <w:rPr>
                <w:spacing w:val="-2"/>
                <w:sz w:val="18"/>
              </w:rPr>
              <w:t>potencialidades</w:t>
            </w:r>
          </w:p>
          <w:p w14:paraId="49EEFFE6" w14:textId="77777777" w:rsidR="000E52B0" w:rsidRDefault="00F60D74">
            <w:pPr>
              <w:pStyle w:val="TableParagraph"/>
              <w:spacing w:line="199" w:lineRule="exact"/>
              <w:ind w:left="91"/>
              <w:jc w:val="both"/>
              <w:rPr>
                <w:sz w:val="18"/>
              </w:rPr>
            </w:pPr>
            <w:r>
              <w:rPr>
                <w:sz w:val="18"/>
              </w:rPr>
              <w:t>de</w:t>
            </w:r>
            <w:r>
              <w:rPr>
                <w:spacing w:val="-1"/>
                <w:sz w:val="18"/>
              </w:rPr>
              <w:t xml:space="preserve"> </w:t>
            </w:r>
            <w:r>
              <w:rPr>
                <w:sz w:val="18"/>
              </w:rPr>
              <w:t>las</w:t>
            </w:r>
            <w:r>
              <w:rPr>
                <w:spacing w:val="-2"/>
                <w:sz w:val="18"/>
              </w:rPr>
              <w:t xml:space="preserve"> </w:t>
            </w:r>
            <w:r>
              <w:rPr>
                <w:spacing w:val="-4"/>
                <w:sz w:val="18"/>
              </w:rPr>
              <w:t>TIC.</w:t>
            </w:r>
          </w:p>
        </w:tc>
        <w:tc>
          <w:tcPr>
            <w:tcW w:w="1985" w:type="dxa"/>
            <w:tcBorders>
              <w:top w:val="single" w:sz="4" w:space="0" w:color="000000"/>
              <w:left w:val="single" w:sz="4" w:space="0" w:color="000000"/>
              <w:bottom w:val="single" w:sz="4" w:space="0" w:color="000000"/>
              <w:right w:val="single" w:sz="4" w:space="0" w:color="000000"/>
            </w:tcBorders>
          </w:tcPr>
          <w:p w14:paraId="70DBFB96" w14:textId="77777777" w:rsidR="000E52B0" w:rsidRDefault="000E52B0">
            <w:pPr>
              <w:pStyle w:val="TableParagraph"/>
              <w:rPr>
                <w:rFonts w:ascii="Times New Roman"/>
                <w:sz w:val="18"/>
              </w:rPr>
            </w:pPr>
          </w:p>
        </w:tc>
        <w:tc>
          <w:tcPr>
            <w:tcW w:w="1337" w:type="dxa"/>
            <w:tcBorders>
              <w:top w:val="single" w:sz="4" w:space="0" w:color="000000"/>
              <w:left w:val="single" w:sz="4" w:space="0" w:color="000000"/>
              <w:bottom w:val="single" w:sz="4" w:space="0" w:color="000000"/>
            </w:tcBorders>
          </w:tcPr>
          <w:p w14:paraId="424F8BF3" w14:textId="77777777" w:rsidR="000E52B0" w:rsidRDefault="000E52B0">
            <w:pPr>
              <w:pStyle w:val="TableParagraph"/>
              <w:rPr>
                <w:rFonts w:ascii="Times New Roman"/>
                <w:sz w:val="18"/>
              </w:rPr>
            </w:pPr>
          </w:p>
        </w:tc>
      </w:tr>
      <w:tr w:rsidR="000E52B0" w14:paraId="022A4E77" w14:textId="77777777">
        <w:trPr>
          <w:trHeight w:val="7001"/>
        </w:trPr>
        <w:tc>
          <w:tcPr>
            <w:tcW w:w="1416" w:type="dxa"/>
            <w:tcBorders>
              <w:top w:val="single" w:sz="4" w:space="0" w:color="000000"/>
              <w:bottom w:val="single" w:sz="4" w:space="0" w:color="000000"/>
              <w:right w:val="single" w:sz="4" w:space="0" w:color="000000"/>
            </w:tcBorders>
          </w:tcPr>
          <w:p w14:paraId="494ABCC8" w14:textId="77777777" w:rsidR="000E52B0" w:rsidRDefault="00F60D74">
            <w:pPr>
              <w:pStyle w:val="TableParagraph"/>
              <w:ind w:left="90"/>
              <w:rPr>
                <w:sz w:val="18"/>
              </w:rPr>
            </w:pPr>
            <w:r>
              <w:rPr>
                <w:spacing w:val="-2"/>
                <w:sz w:val="18"/>
              </w:rPr>
              <w:t xml:space="preserve">MINISTERIO </w:t>
            </w:r>
            <w:r>
              <w:rPr>
                <w:spacing w:val="-6"/>
                <w:sz w:val="18"/>
              </w:rPr>
              <w:t xml:space="preserve">DE </w:t>
            </w:r>
            <w:r>
              <w:rPr>
                <w:spacing w:val="-2"/>
                <w:sz w:val="18"/>
              </w:rPr>
              <w:t>TRANSPORTE</w:t>
            </w:r>
          </w:p>
          <w:p w14:paraId="53390F5C" w14:textId="77777777" w:rsidR="000E52B0" w:rsidRDefault="00F60D74">
            <w:pPr>
              <w:pStyle w:val="TableParagraph"/>
              <w:spacing w:line="218" w:lineRule="exact"/>
              <w:ind w:left="90"/>
              <w:rPr>
                <w:sz w:val="18"/>
              </w:rPr>
            </w:pPr>
            <w:r>
              <w:rPr>
                <w:sz w:val="18"/>
              </w:rPr>
              <w:t>.</w:t>
            </w:r>
            <w:r>
              <w:rPr>
                <w:spacing w:val="53"/>
                <w:sz w:val="18"/>
              </w:rPr>
              <w:t xml:space="preserve"> </w:t>
            </w:r>
            <w:r>
              <w:rPr>
                <w:sz w:val="18"/>
              </w:rPr>
              <w:t>Decreto</w:t>
            </w:r>
            <w:r>
              <w:rPr>
                <w:spacing w:val="55"/>
                <w:sz w:val="18"/>
              </w:rPr>
              <w:t xml:space="preserve"> </w:t>
            </w:r>
            <w:r>
              <w:rPr>
                <w:spacing w:val="-7"/>
                <w:sz w:val="18"/>
              </w:rPr>
              <w:t>87</w:t>
            </w:r>
          </w:p>
          <w:p w14:paraId="4F0F2565" w14:textId="77777777" w:rsidR="000E52B0" w:rsidRDefault="00F60D74">
            <w:pPr>
              <w:pStyle w:val="TableParagraph"/>
              <w:spacing w:before="1"/>
              <w:ind w:left="90"/>
              <w:rPr>
                <w:sz w:val="18"/>
              </w:rPr>
            </w:pPr>
            <w:r>
              <w:rPr>
                <w:sz w:val="18"/>
              </w:rPr>
              <w:t>de</w:t>
            </w:r>
            <w:r>
              <w:rPr>
                <w:spacing w:val="-1"/>
                <w:sz w:val="18"/>
              </w:rPr>
              <w:t xml:space="preserve"> </w:t>
            </w:r>
            <w:r>
              <w:rPr>
                <w:spacing w:val="-4"/>
                <w:sz w:val="18"/>
              </w:rPr>
              <w:t>2011</w:t>
            </w:r>
          </w:p>
        </w:tc>
        <w:tc>
          <w:tcPr>
            <w:tcW w:w="1601" w:type="dxa"/>
            <w:tcBorders>
              <w:top w:val="single" w:sz="4" w:space="0" w:color="000000"/>
              <w:left w:val="single" w:sz="4" w:space="0" w:color="000000"/>
              <w:bottom w:val="single" w:sz="4" w:space="0" w:color="000000"/>
              <w:right w:val="single" w:sz="4" w:space="0" w:color="000000"/>
            </w:tcBorders>
          </w:tcPr>
          <w:p w14:paraId="131A7FE4" w14:textId="77777777" w:rsidR="000E52B0" w:rsidRDefault="00F60D74">
            <w:pPr>
              <w:pStyle w:val="TableParagraph"/>
              <w:tabs>
                <w:tab w:val="left" w:pos="572"/>
                <w:tab w:val="left" w:pos="925"/>
                <w:tab w:val="left" w:pos="1025"/>
                <w:tab w:val="left" w:pos="1290"/>
                <w:tab w:val="left" w:pos="1352"/>
                <w:tab w:val="left" w:pos="1404"/>
              </w:tabs>
              <w:ind w:left="93" w:right="75"/>
              <w:rPr>
                <w:sz w:val="18"/>
              </w:rPr>
            </w:pPr>
            <w:r>
              <w:rPr>
                <w:sz w:val="18"/>
              </w:rPr>
              <w:t xml:space="preserve">El Ministerio de </w:t>
            </w:r>
            <w:r>
              <w:rPr>
                <w:spacing w:val="-2"/>
                <w:sz w:val="18"/>
              </w:rPr>
              <w:t>Transporte</w:t>
            </w:r>
            <w:r>
              <w:rPr>
                <w:spacing w:val="40"/>
                <w:sz w:val="18"/>
              </w:rPr>
              <w:t xml:space="preserve"> </w:t>
            </w:r>
            <w:r>
              <w:rPr>
                <w:spacing w:val="-2"/>
                <w:sz w:val="18"/>
              </w:rPr>
              <w:t>tiene</w:t>
            </w:r>
            <w:r>
              <w:rPr>
                <w:sz w:val="18"/>
              </w:rPr>
              <w:tab/>
            </w:r>
            <w:r>
              <w:rPr>
                <w:sz w:val="18"/>
              </w:rPr>
              <w:tab/>
            </w:r>
            <w:r>
              <w:rPr>
                <w:sz w:val="18"/>
              </w:rPr>
              <w:tab/>
            </w:r>
            <w:r>
              <w:rPr>
                <w:spacing w:val="-4"/>
                <w:sz w:val="18"/>
              </w:rPr>
              <w:t xml:space="preserve">como </w:t>
            </w:r>
            <w:r>
              <w:rPr>
                <w:spacing w:val="-2"/>
                <w:sz w:val="18"/>
              </w:rPr>
              <w:t>objetivo primordial</w:t>
            </w:r>
            <w:r>
              <w:rPr>
                <w:sz w:val="18"/>
              </w:rPr>
              <w:tab/>
            </w:r>
            <w:r>
              <w:rPr>
                <w:sz w:val="18"/>
              </w:rPr>
              <w:tab/>
            </w:r>
            <w:r>
              <w:rPr>
                <w:sz w:val="18"/>
              </w:rPr>
              <w:tab/>
            </w:r>
            <w:r>
              <w:rPr>
                <w:spacing w:val="-63"/>
                <w:sz w:val="18"/>
              </w:rPr>
              <w:t xml:space="preserve"> </w:t>
            </w:r>
            <w:r>
              <w:rPr>
                <w:spacing w:val="-6"/>
                <w:sz w:val="18"/>
              </w:rPr>
              <w:t xml:space="preserve">la </w:t>
            </w:r>
            <w:r>
              <w:rPr>
                <w:spacing w:val="-2"/>
                <w:sz w:val="18"/>
              </w:rPr>
              <w:t>formulación</w:t>
            </w:r>
            <w:r>
              <w:rPr>
                <w:sz w:val="18"/>
              </w:rPr>
              <w:tab/>
            </w:r>
            <w:r>
              <w:rPr>
                <w:sz w:val="18"/>
              </w:rPr>
              <w:tab/>
            </w:r>
            <w:r>
              <w:rPr>
                <w:sz w:val="18"/>
              </w:rPr>
              <w:tab/>
            </w:r>
            <w:r>
              <w:rPr>
                <w:spacing w:val="-62"/>
                <w:sz w:val="18"/>
              </w:rPr>
              <w:t xml:space="preserve"> </w:t>
            </w:r>
            <w:r>
              <w:rPr>
                <w:spacing w:val="-10"/>
                <w:sz w:val="18"/>
              </w:rPr>
              <w:t xml:space="preserve">y </w:t>
            </w:r>
            <w:r>
              <w:rPr>
                <w:sz w:val="18"/>
              </w:rPr>
              <w:t>adopción</w:t>
            </w:r>
            <w:r>
              <w:rPr>
                <w:spacing w:val="-11"/>
                <w:sz w:val="18"/>
              </w:rPr>
              <w:t xml:space="preserve"> </w:t>
            </w:r>
            <w:r>
              <w:rPr>
                <w:sz w:val="18"/>
              </w:rPr>
              <w:t>de</w:t>
            </w:r>
            <w:r>
              <w:rPr>
                <w:spacing w:val="-12"/>
                <w:sz w:val="18"/>
              </w:rPr>
              <w:t xml:space="preserve"> </w:t>
            </w:r>
            <w:r>
              <w:rPr>
                <w:sz w:val="18"/>
              </w:rPr>
              <w:t xml:space="preserve">las </w:t>
            </w:r>
            <w:r>
              <w:rPr>
                <w:spacing w:val="-2"/>
                <w:sz w:val="18"/>
              </w:rPr>
              <w:t>políticas, planes, programas, proyectos</w:t>
            </w:r>
            <w:r>
              <w:rPr>
                <w:sz w:val="18"/>
              </w:rPr>
              <w:tab/>
            </w:r>
            <w:r>
              <w:rPr>
                <w:sz w:val="18"/>
              </w:rPr>
              <w:tab/>
            </w:r>
            <w:r>
              <w:rPr>
                <w:sz w:val="18"/>
              </w:rPr>
              <w:tab/>
            </w:r>
            <w:r>
              <w:rPr>
                <w:sz w:val="18"/>
              </w:rPr>
              <w:tab/>
            </w:r>
            <w:r>
              <w:rPr>
                <w:spacing w:val="-63"/>
                <w:sz w:val="18"/>
              </w:rPr>
              <w:t xml:space="preserve"> </w:t>
            </w:r>
            <w:r>
              <w:rPr>
                <w:spacing w:val="-10"/>
                <w:sz w:val="18"/>
              </w:rPr>
              <w:t xml:space="preserve">y </w:t>
            </w:r>
            <w:r>
              <w:rPr>
                <w:spacing w:val="-2"/>
                <w:sz w:val="18"/>
              </w:rPr>
              <w:t>regulación económica</w:t>
            </w:r>
            <w:r>
              <w:rPr>
                <w:sz w:val="18"/>
              </w:rPr>
              <w:tab/>
            </w:r>
            <w:r>
              <w:rPr>
                <w:spacing w:val="-63"/>
                <w:sz w:val="18"/>
              </w:rPr>
              <w:t xml:space="preserve"> </w:t>
            </w:r>
            <w:r>
              <w:rPr>
                <w:spacing w:val="-6"/>
                <w:sz w:val="18"/>
              </w:rPr>
              <w:t xml:space="preserve">en </w:t>
            </w:r>
            <w:r>
              <w:rPr>
                <w:spacing w:val="-2"/>
                <w:sz w:val="18"/>
              </w:rPr>
              <w:t>materia</w:t>
            </w:r>
            <w:r>
              <w:rPr>
                <w:sz w:val="18"/>
              </w:rPr>
              <w:tab/>
            </w:r>
            <w:r>
              <w:rPr>
                <w:sz w:val="18"/>
              </w:rPr>
              <w:tab/>
            </w:r>
            <w:r>
              <w:rPr>
                <w:sz w:val="18"/>
              </w:rPr>
              <w:tab/>
            </w:r>
            <w:r>
              <w:rPr>
                <w:spacing w:val="-60"/>
                <w:sz w:val="18"/>
              </w:rPr>
              <w:t xml:space="preserve"> </w:t>
            </w:r>
            <w:r>
              <w:rPr>
                <w:spacing w:val="-4"/>
                <w:sz w:val="18"/>
              </w:rPr>
              <w:t xml:space="preserve">de </w:t>
            </w:r>
            <w:r>
              <w:rPr>
                <w:spacing w:val="-2"/>
                <w:sz w:val="18"/>
              </w:rPr>
              <w:t>transporte, tránsito</w:t>
            </w:r>
            <w:r>
              <w:rPr>
                <w:sz w:val="18"/>
              </w:rPr>
              <w:tab/>
            </w:r>
            <w:r>
              <w:rPr>
                <w:sz w:val="18"/>
              </w:rPr>
              <w:tab/>
            </w:r>
            <w:r>
              <w:rPr>
                <w:sz w:val="18"/>
              </w:rPr>
              <w:tab/>
            </w:r>
            <w:r>
              <w:rPr>
                <w:sz w:val="18"/>
              </w:rPr>
              <w:tab/>
            </w:r>
            <w:r>
              <w:rPr>
                <w:sz w:val="18"/>
              </w:rPr>
              <w:tab/>
            </w:r>
            <w:r>
              <w:rPr>
                <w:spacing w:val="-10"/>
                <w:sz w:val="18"/>
              </w:rPr>
              <w:t xml:space="preserve">e </w:t>
            </w:r>
            <w:r>
              <w:rPr>
                <w:spacing w:val="-2"/>
                <w:sz w:val="18"/>
              </w:rPr>
              <w:t xml:space="preserve">infraestructura </w:t>
            </w:r>
            <w:r>
              <w:rPr>
                <w:sz w:val="18"/>
              </w:rPr>
              <w:t>de</w:t>
            </w:r>
            <w:r>
              <w:rPr>
                <w:spacing w:val="80"/>
                <w:sz w:val="18"/>
              </w:rPr>
              <w:t xml:space="preserve"> </w:t>
            </w:r>
            <w:r>
              <w:rPr>
                <w:sz w:val="18"/>
              </w:rPr>
              <w:t>los</w:t>
            </w:r>
            <w:r>
              <w:rPr>
                <w:spacing w:val="80"/>
                <w:sz w:val="18"/>
              </w:rPr>
              <w:t xml:space="preserve"> </w:t>
            </w:r>
            <w:r>
              <w:rPr>
                <w:sz w:val="18"/>
              </w:rPr>
              <w:t xml:space="preserve">modos </w:t>
            </w:r>
            <w:r>
              <w:rPr>
                <w:spacing w:val="-6"/>
                <w:sz w:val="18"/>
              </w:rPr>
              <w:t>de</w:t>
            </w:r>
            <w:r>
              <w:rPr>
                <w:sz w:val="18"/>
              </w:rPr>
              <w:tab/>
            </w:r>
            <w:r>
              <w:rPr>
                <w:spacing w:val="-2"/>
                <w:sz w:val="18"/>
              </w:rPr>
              <w:t xml:space="preserve">transporte carretero, marítimo, </w:t>
            </w:r>
            <w:r>
              <w:rPr>
                <w:sz w:val="18"/>
              </w:rPr>
              <w:t xml:space="preserve">fluvial, férreo y </w:t>
            </w:r>
            <w:r>
              <w:rPr>
                <w:spacing w:val="-2"/>
                <w:sz w:val="18"/>
              </w:rPr>
              <w:t>aéreo</w:t>
            </w:r>
            <w:r>
              <w:rPr>
                <w:sz w:val="18"/>
              </w:rPr>
              <w:tab/>
            </w:r>
            <w:r>
              <w:rPr>
                <w:spacing w:val="-10"/>
                <w:sz w:val="18"/>
              </w:rPr>
              <w:t>y</w:t>
            </w:r>
            <w:r>
              <w:rPr>
                <w:sz w:val="18"/>
              </w:rPr>
              <w:tab/>
            </w:r>
            <w:r>
              <w:rPr>
                <w:sz w:val="18"/>
              </w:rPr>
              <w:tab/>
            </w:r>
            <w:r>
              <w:rPr>
                <w:sz w:val="18"/>
              </w:rPr>
              <w:tab/>
            </w:r>
            <w:r>
              <w:rPr>
                <w:spacing w:val="-6"/>
                <w:sz w:val="18"/>
              </w:rPr>
              <w:t xml:space="preserve">la </w:t>
            </w:r>
            <w:r>
              <w:rPr>
                <w:spacing w:val="-2"/>
                <w:sz w:val="18"/>
              </w:rPr>
              <w:t>regulación técnica</w:t>
            </w:r>
            <w:r>
              <w:rPr>
                <w:sz w:val="18"/>
              </w:rPr>
              <w:tab/>
            </w:r>
            <w:r>
              <w:rPr>
                <w:sz w:val="18"/>
              </w:rPr>
              <w:tab/>
            </w:r>
            <w:r>
              <w:rPr>
                <w:sz w:val="18"/>
              </w:rPr>
              <w:tab/>
            </w:r>
            <w:r>
              <w:rPr>
                <w:spacing w:val="-5"/>
                <w:sz w:val="18"/>
              </w:rPr>
              <w:t>en</w:t>
            </w:r>
          </w:p>
          <w:p w14:paraId="7AA90C64" w14:textId="77777777" w:rsidR="000E52B0" w:rsidRDefault="00F60D74">
            <w:pPr>
              <w:pStyle w:val="TableParagraph"/>
              <w:tabs>
                <w:tab w:val="left" w:pos="1294"/>
              </w:tabs>
              <w:ind w:left="93"/>
              <w:rPr>
                <w:sz w:val="18"/>
              </w:rPr>
            </w:pPr>
            <w:r>
              <w:rPr>
                <w:spacing w:val="-2"/>
                <w:sz w:val="18"/>
              </w:rPr>
              <w:t>materia</w:t>
            </w:r>
            <w:r>
              <w:rPr>
                <w:sz w:val="18"/>
              </w:rPr>
              <w:tab/>
            </w:r>
            <w:r>
              <w:rPr>
                <w:spacing w:val="-5"/>
                <w:sz w:val="18"/>
              </w:rPr>
              <w:t>de</w:t>
            </w:r>
          </w:p>
          <w:p w14:paraId="424D4BDE" w14:textId="77777777" w:rsidR="000E52B0" w:rsidRDefault="00F60D74">
            <w:pPr>
              <w:pStyle w:val="TableParagraph"/>
              <w:tabs>
                <w:tab w:val="left" w:pos="1407"/>
              </w:tabs>
              <w:ind w:left="93" w:right="75"/>
              <w:rPr>
                <w:sz w:val="18"/>
              </w:rPr>
            </w:pPr>
            <w:r>
              <w:rPr>
                <w:spacing w:val="-2"/>
                <w:sz w:val="18"/>
              </w:rPr>
              <w:t>transporte</w:t>
            </w:r>
            <w:r>
              <w:rPr>
                <w:sz w:val="18"/>
              </w:rPr>
              <w:tab/>
            </w:r>
            <w:r>
              <w:rPr>
                <w:spacing w:val="-10"/>
                <w:sz w:val="18"/>
              </w:rPr>
              <w:t xml:space="preserve">y </w:t>
            </w:r>
            <w:r>
              <w:rPr>
                <w:sz w:val="18"/>
              </w:rPr>
              <w:t>tránsito</w:t>
            </w:r>
            <w:r>
              <w:rPr>
                <w:spacing w:val="40"/>
                <w:sz w:val="18"/>
              </w:rPr>
              <w:t xml:space="preserve"> </w:t>
            </w:r>
            <w:r>
              <w:rPr>
                <w:sz w:val="18"/>
              </w:rPr>
              <w:t>de</w:t>
            </w:r>
            <w:r>
              <w:rPr>
                <w:spacing w:val="40"/>
                <w:sz w:val="18"/>
              </w:rPr>
              <w:t xml:space="preserve"> </w:t>
            </w:r>
            <w:r>
              <w:rPr>
                <w:sz w:val="18"/>
              </w:rPr>
              <w:t xml:space="preserve">los </w:t>
            </w:r>
            <w:r>
              <w:rPr>
                <w:spacing w:val="-2"/>
                <w:sz w:val="18"/>
              </w:rPr>
              <w:t>modos carretero, marítimo,</w:t>
            </w:r>
          </w:p>
          <w:p w14:paraId="2A646116" w14:textId="77777777" w:rsidR="000E52B0" w:rsidRDefault="00F60D74">
            <w:pPr>
              <w:pStyle w:val="TableParagraph"/>
              <w:spacing w:line="199" w:lineRule="exact"/>
              <w:ind w:left="93"/>
              <w:rPr>
                <w:sz w:val="18"/>
              </w:rPr>
            </w:pPr>
            <w:r>
              <w:rPr>
                <w:sz w:val="18"/>
              </w:rPr>
              <w:t>fluvial</w:t>
            </w:r>
            <w:r>
              <w:rPr>
                <w:spacing w:val="-4"/>
                <w:sz w:val="18"/>
              </w:rPr>
              <w:t xml:space="preserve"> </w:t>
            </w:r>
            <w:r>
              <w:rPr>
                <w:sz w:val="18"/>
              </w:rPr>
              <w:t>y</w:t>
            </w:r>
            <w:r>
              <w:rPr>
                <w:spacing w:val="-3"/>
                <w:sz w:val="18"/>
              </w:rPr>
              <w:t xml:space="preserve"> </w:t>
            </w:r>
            <w:r>
              <w:rPr>
                <w:spacing w:val="-2"/>
                <w:sz w:val="18"/>
              </w:rPr>
              <w:t>férreo.</w:t>
            </w:r>
          </w:p>
        </w:tc>
        <w:tc>
          <w:tcPr>
            <w:tcW w:w="2647" w:type="dxa"/>
            <w:tcBorders>
              <w:top w:val="single" w:sz="4" w:space="0" w:color="000000"/>
              <w:left w:val="single" w:sz="4" w:space="0" w:color="000000"/>
              <w:bottom w:val="single" w:sz="4" w:space="0" w:color="000000"/>
              <w:right w:val="single" w:sz="4" w:space="0" w:color="000000"/>
            </w:tcBorders>
          </w:tcPr>
          <w:p w14:paraId="67ED4FDF" w14:textId="77777777" w:rsidR="000E52B0" w:rsidRDefault="00F60D74">
            <w:pPr>
              <w:pStyle w:val="TableParagraph"/>
              <w:ind w:left="91" w:right="76"/>
              <w:jc w:val="both"/>
              <w:rPr>
                <w:sz w:val="18"/>
              </w:rPr>
            </w:pPr>
            <w:r>
              <w:rPr>
                <w:sz w:val="18"/>
              </w:rPr>
              <w:t>Participar</w:t>
            </w:r>
            <w:r>
              <w:rPr>
                <w:spacing w:val="-16"/>
                <w:sz w:val="18"/>
              </w:rPr>
              <w:t xml:space="preserve"> </w:t>
            </w:r>
            <w:r>
              <w:rPr>
                <w:sz w:val="18"/>
              </w:rPr>
              <w:t>en</w:t>
            </w:r>
            <w:r>
              <w:rPr>
                <w:spacing w:val="-16"/>
                <w:sz w:val="18"/>
              </w:rPr>
              <w:t xml:space="preserve"> </w:t>
            </w:r>
            <w:r>
              <w:rPr>
                <w:sz w:val="18"/>
              </w:rPr>
              <w:t>la</w:t>
            </w:r>
            <w:r>
              <w:rPr>
                <w:spacing w:val="-16"/>
                <w:sz w:val="18"/>
              </w:rPr>
              <w:t xml:space="preserve"> </w:t>
            </w:r>
            <w:r>
              <w:rPr>
                <w:sz w:val="18"/>
              </w:rPr>
              <w:t>formulación de la política, planes y programas de desarrollo económico y social del país;</w:t>
            </w:r>
            <w:r>
              <w:rPr>
                <w:spacing w:val="-2"/>
                <w:sz w:val="18"/>
              </w:rPr>
              <w:t xml:space="preserve"> </w:t>
            </w:r>
            <w:r>
              <w:rPr>
                <w:sz w:val="18"/>
              </w:rPr>
              <w:t>Formular</w:t>
            </w:r>
            <w:r>
              <w:rPr>
                <w:spacing w:val="-2"/>
                <w:sz w:val="18"/>
              </w:rPr>
              <w:t xml:space="preserve"> </w:t>
            </w:r>
            <w:r>
              <w:rPr>
                <w:sz w:val="18"/>
              </w:rPr>
              <w:t>las</w:t>
            </w:r>
            <w:r>
              <w:rPr>
                <w:spacing w:val="-2"/>
                <w:sz w:val="18"/>
              </w:rPr>
              <w:t xml:space="preserve"> </w:t>
            </w:r>
            <w:r>
              <w:rPr>
                <w:sz w:val="18"/>
              </w:rPr>
              <w:t>políticas del Gobierno Nacional en materia de transporte, tránsito</w:t>
            </w:r>
            <w:r>
              <w:rPr>
                <w:spacing w:val="-16"/>
                <w:sz w:val="18"/>
              </w:rPr>
              <w:t xml:space="preserve"> </w:t>
            </w:r>
            <w:r>
              <w:rPr>
                <w:sz w:val="18"/>
              </w:rPr>
              <w:t>y</w:t>
            </w:r>
            <w:r>
              <w:rPr>
                <w:spacing w:val="-16"/>
                <w:sz w:val="18"/>
              </w:rPr>
              <w:t xml:space="preserve"> </w:t>
            </w:r>
            <w:r>
              <w:rPr>
                <w:sz w:val="18"/>
              </w:rPr>
              <w:t>la</w:t>
            </w:r>
            <w:r>
              <w:rPr>
                <w:spacing w:val="-16"/>
                <w:sz w:val="18"/>
              </w:rPr>
              <w:t xml:space="preserve"> </w:t>
            </w:r>
            <w:r>
              <w:rPr>
                <w:sz w:val="18"/>
              </w:rPr>
              <w:t>infraestructura de los modos de su competencia;</w:t>
            </w:r>
            <w:r>
              <w:rPr>
                <w:spacing w:val="-6"/>
                <w:sz w:val="18"/>
              </w:rPr>
              <w:t xml:space="preserve"> </w:t>
            </w:r>
            <w:r>
              <w:rPr>
                <w:sz w:val="18"/>
              </w:rPr>
              <w:t>Establecer</w:t>
            </w:r>
            <w:r>
              <w:rPr>
                <w:spacing w:val="-6"/>
                <w:sz w:val="18"/>
              </w:rPr>
              <w:t xml:space="preserve"> </w:t>
            </w:r>
            <w:r>
              <w:rPr>
                <w:sz w:val="18"/>
              </w:rPr>
              <w:t>la política del Gobierno Nacional para la directa, controlada y libre fijación de tarifas de transporte nacional e internacional en relación con los modos de su competencia, sin perjuicio de lo previsto en acuerdos y tratados de carácter internacional.</w:t>
            </w:r>
          </w:p>
        </w:tc>
        <w:tc>
          <w:tcPr>
            <w:tcW w:w="1985" w:type="dxa"/>
            <w:tcBorders>
              <w:top w:val="single" w:sz="4" w:space="0" w:color="000000"/>
              <w:left w:val="single" w:sz="4" w:space="0" w:color="000000"/>
              <w:bottom w:val="single" w:sz="4" w:space="0" w:color="000000"/>
              <w:right w:val="single" w:sz="4" w:space="0" w:color="000000"/>
            </w:tcBorders>
          </w:tcPr>
          <w:p w14:paraId="161E17C6" w14:textId="77777777" w:rsidR="000E52B0" w:rsidRDefault="00F60D74">
            <w:pPr>
              <w:pStyle w:val="TableParagraph"/>
              <w:tabs>
                <w:tab w:val="left" w:pos="1677"/>
              </w:tabs>
              <w:ind w:left="91" w:right="75"/>
              <w:jc w:val="both"/>
              <w:rPr>
                <w:sz w:val="18"/>
              </w:rPr>
            </w:pPr>
            <w:r>
              <w:rPr>
                <w:spacing w:val="-2"/>
                <w:sz w:val="18"/>
              </w:rPr>
              <w:t>Derecho</w:t>
            </w:r>
            <w:r>
              <w:rPr>
                <w:sz w:val="18"/>
              </w:rPr>
              <w:tab/>
            </w:r>
            <w:r>
              <w:rPr>
                <w:spacing w:val="-6"/>
                <w:sz w:val="18"/>
              </w:rPr>
              <w:t xml:space="preserve">de </w:t>
            </w:r>
            <w:r>
              <w:rPr>
                <w:sz w:val="18"/>
              </w:rPr>
              <w:t xml:space="preserve">circulación (art. 24 </w:t>
            </w:r>
            <w:r>
              <w:rPr>
                <w:spacing w:val="-4"/>
                <w:sz w:val="18"/>
              </w:rPr>
              <w:t>C.P)</w:t>
            </w:r>
          </w:p>
        </w:tc>
        <w:tc>
          <w:tcPr>
            <w:tcW w:w="1337" w:type="dxa"/>
            <w:tcBorders>
              <w:top w:val="single" w:sz="4" w:space="0" w:color="000000"/>
              <w:left w:val="single" w:sz="4" w:space="0" w:color="000000"/>
              <w:bottom w:val="single" w:sz="4" w:space="0" w:color="000000"/>
            </w:tcBorders>
          </w:tcPr>
          <w:p w14:paraId="1B82C0C7" w14:textId="77777777" w:rsidR="000E52B0" w:rsidRDefault="00F60D74">
            <w:pPr>
              <w:pStyle w:val="TableParagraph"/>
              <w:ind w:left="92" w:right="139"/>
              <w:rPr>
                <w:sz w:val="18"/>
              </w:rPr>
            </w:pPr>
            <w:r>
              <w:rPr>
                <w:spacing w:val="-2"/>
                <w:sz w:val="18"/>
              </w:rPr>
              <w:t xml:space="preserve">Sector </w:t>
            </w:r>
            <w:proofErr w:type="spellStart"/>
            <w:r>
              <w:rPr>
                <w:spacing w:val="-2"/>
                <w:sz w:val="18"/>
              </w:rPr>
              <w:t>administrati</w:t>
            </w:r>
            <w:proofErr w:type="spellEnd"/>
            <w:r>
              <w:rPr>
                <w:spacing w:val="-2"/>
                <w:sz w:val="18"/>
              </w:rPr>
              <w:t xml:space="preserve"> </w:t>
            </w:r>
            <w:proofErr w:type="spellStart"/>
            <w:r>
              <w:rPr>
                <w:spacing w:val="-6"/>
                <w:sz w:val="18"/>
              </w:rPr>
              <w:t>vo</w:t>
            </w:r>
            <w:proofErr w:type="spellEnd"/>
            <w:r>
              <w:rPr>
                <w:spacing w:val="-6"/>
                <w:sz w:val="18"/>
              </w:rPr>
              <w:t xml:space="preserve"> </w:t>
            </w:r>
            <w:r>
              <w:rPr>
                <w:spacing w:val="-2"/>
                <w:sz w:val="18"/>
              </w:rPr>
              <w:t>transporte-.</w:t>
            </w:r>
          </w:p>
        </w:tc>
      </w:tr>
      <w:tr w:rsidR="000E52B0" w14:paraId="6F52853D" w14:textId="77777777">
        <w:trPr>
          <w:trHeight w:val="1969"/>
        </w:trPr>
        <w:tc>
          <w:tcPr>
            <w:tcW w:w="1416" w:type="dxa"/>
            <w:tcBorders>
              <w:top w:val="single" w:sz="4" w:space="0" w:color="000000"/>
              <w:right w:val="single" w:sz="4" w:space="0" w:color="000000"/>
            </w:tcBorders>
          </w:tcPr>
          <w:p w14:paraId="2C10D93D" w14:textId="77777777" w:rsidR="000E52B0" w:rsidRDefault="00F60D74">
            <w:pPr>
              <w:pStyle w:val="TableParagraph"/>
              <w:tabs>
                <w:tab w:val="left" w:pos="978"/>
              </w:tabs>
              <w:ind w:left="90" w:right="76"/>
              <w:rPr>
                <w:sz w:val="18"/>
              </w:rPr>
            </w:pPr>
            <w:r>
              <w:rPr>
                <w:spacing w:val="-2"/>
                <w:sz w:val="18"/>
              </w:rPr>
              <w:t xml:space="preserve">MINISTERIO </w:t>
            </w:r>
            <w:r>
              <w:rPr>
                <w:spacing w:val="-6"/>
                <w:sz w:val="18"/>
              </w:rPr>
              <w:t>DE</w:t>
            </w:r>
            <w:r>
              <w:rPr>
                <w:sz w:val="18"/>
              </w:rPr>
              <w:tab/>
            </w:r>
            <w:r>
              <w:rPr>
                <w:spacing w:val="-4"/>
                <w:sz w:val="18"/>
              </w:rPr>
              <w:t>LAS</w:t>
            </w:r>
          </w:p>
          <w:p w14:paraId="1D6AC0DF" w14:textId="77777777" w:rsidR="000E52B0" w:rsidRDefault="00F60D74">
            <w:pPr>
              <w:pStyle w:val="TableParagraph"/>
              <w:ind w:left="90" w:right="274"/>
              <w:rPr>
                <w:sz w:val="18"/>
              </w:rPr>
            </w:pPr>
            <w:r>
              <w:rPr>
                <w:spacing w:val="-2"/>
                <w:sz w:val="18"/>
              </w:rPr>
              <w:t xml:space="preserve">CULTURAS, </w:t>
            </w:r>
            <w:r>
              <w:rPr>
                <w:spacing w:val="-4"/>
                <w:sz w:val="18"/>
              </w:rPr>
              <w:t xml:space="preserve">LOS </w:t>
            </w:r>
            <w:r>
              <w:rPr>
                <w:spacing w:val="-2"/>
                <w:sz w:val="18"/>
              </w:rPr>
              <w:t>SABERES.</w:t>
            </w:r>
          </w:p>
          <w:p w14:paraId="2375EEF9" w14:textId="77777777" w:rsidR="000E52B0" w:rsidRDefault="00F60D74">
            <w:pPr>
              <w:pStyle w:val="TableParagraph"/>
              <w:spacing w:line="219" w:lineRule="exact"/>
              <w:ind w:left="90"/>
              <w:rPr>
                <w:sz w:val="18"/>
              </w:rPr>
            </w:pPr>
            <w:r>
              <w:rPr>
                <w:sz w:val="18"/>
              </w:rPr>
              <w:t>Decreto</w:t>
            </w:r>
            <w:r>
              <w:rPr>
                <w:spacing w:val="8"/>
                <w:sz w:val="18"/>
              </w:rPr>
              <w:t xml:space="preserve"> </w:t>
            </w:r>
            <w:r>
              <w:rPr>
                <w:spacing w:val="-4"/>
                <w:sz w:val="18"/>
              </w:rPr>
              <w:t>2120</w:t>
            </w:r>
          </w:p>
          <w:p w14:paraId="7E5D96A0" w14:textId="77777777" w:rsidR="000E52B0" w:rsidRDefault="00F60D74">
            <w:pPr>
              <w:pStyle w:val="TableParagraph"/>
              <w:ind w:left="90"/>
              <w:rPr>
                <w:sz w:val="18"/>
              </w:rPr>
            </w:pPr>
            <w:r>
              <w:rPr>
                <w:sz w:val="18"/>
              </w:rPr>
              <w:t>de</w:t>
            </w:r>
            <w:r>
              <w:rPr>
                <w:spacing w:val="-1"/>
                <w:sz w:val="18"/>
              </w:rPr>
              <w:t xml:space="preserve"> </w:t>
            </w:r>
            <w:r>
              <w:rPr>
                <w:spacing w:val="-4"/>
                <w:sz w:val="18"/>
              </w:rPr>
              <w:t>2018</w:t>
            </w:r>
          </w:p>
        </w:tc>
        <w:tc>
          <w:tcPr>
            <w:tcW w:w="1601" w:type="dxa"/>
            <w:tcBorders>
              <w:top w:val="single" w:sz="4" w:space="0" w:color="000000"/>
              <w:left w:val="single" w:sz="4" w:space="0" w:color="000000"/>
              <w:right w:val="single" w:sz="4" w:space="0" w:color="000000"/>
            </w:tcBorders>
          </w:tcPr>
          <w:p w14:paraId="676885F6" w14:textId="77777777" w:rsidR="000E52B0" w:rsidRDefault="00F60D74">
            <w:pPr>
              <w:pStyle w:val="TableParagraph"/>
              <w:tabs>
                <w:tab w:val="left" w:pos="1291"/>
                <w:tab w:val="left" w:pos="1405"/>
              </w:tabs>
              <w:ind w:left="93" w:right="76"/>
              <w:rPr>
                <w:sz w:val="18"/>
              </w:rPr>
            </w:pPr>
            <w:r>
              <w:rPr>
                <w:sz w:val="18"/>
              </w:rPr>
              <w:t>Corresponde</w:t>
            </w:r>
            <w:r>
              <w:rPr>
                <w:spacing w:val="16"/>
                <w:sz w:val="18"/>
              </w:rPr>
              <w:t xml:space="preserve"> </w:t>
            </w:r>
            <w:r>
              <w:rPr>
                <w:sz w:val="18"/>
              </w:rPr>
              <w:t xml:space="preserve">al </w:t>
            </w:r>
            <w:r>
              <w:rPr>
                <w:spacing w:val="-2"/>
                <w:sz w:val="18"/>
              </w:rPr>
              <w:t>Ministerio</w:t>
            </w:r>
            <w:r>
              <w:rPr>
                <w:sz w:val="18"/>
              </w:rPr>
              <w:tab/>
            </w:r>
            <w:r>
              <w:rPr>
                <w:spacing w:val="-6"/>
                <w:sz w:val="18"/>
              </w:rPr>
              <w:t xml:space="preserve">de </w:t>
            </w:r>
            <w:r>
              <w:rPr>
                <w:spacing w:val="-2"/>
                <w:sz w:val="18"/>
              </w:rPr>
              <w:t>Cultura formular, coordinar, ejecutar</w:t>
            </w:r>
            <w:r>
              <w:rPr>
                <w:sz w:val="18"/>
              </w:rPr>
              <w:tab/>
            </w:r>
            <w:r>
              <w:rPr>
                <w:sz w:val="18"/>
              </w:rPr>
              <w:tab/>
            </w:r>
            <w:r>
              <w:rPr>
                <w:spacing w:val="-10"/>
                <w:sz w:val="18"/>
              </w:rPr>
              <w:t>y</w:t>
            </w:r>
          </w:p>
          <w:p w14:paraId="2FE828BA" w14:textId="77777777" w:rsidR="000E52B0" w:rsidRDefault="00F60D74">
            <w:pPr>
              <w:pStyle w:val="TableParagraph"/>
              <w:tabs>
                <w:tab w:val="left" w:pos="1354"/>
              </w:tabs>
              <w:spacing w:line="219" w:lineRule="exact"/>
              <w:ind w:left="93"/>
              <w:rPr>
                <w:sz w:val="18"/>
              </w:rPr>
            </w:pPr>
            <w:r>
              <w:rPr>
                <w:spacing w:val="-2"/>
                <w:sz w:val="18"/>
              </w:rPr>
              <w:t>vigilar</w:t>
            </w:r>
            <w:r>
              <w:rPr>
                <w:sz w:val="18"/>
              </w:rPr>
              <w:tab/>
            </w:r>
            <w:r>
              <w:rPr>
                <w:spacing w:val="-5"/>
                <w:sz w:val="18"/>
              </w:rPr>
              <w:t>la</w:t>
            </w:r>
          </w:p>
          <w:p w14:paraId="786F32CC" w14:textId="77777777" w:rsidR="000E52B0" w:rsidRDefault="00F60D74">
            <w:pPr>
              <w:pStyle w:val="TableParagraph"/>
              <w:tabs>
                <w:tab w:val="left" w:pos="1244"/>
              </w:tabs>
              <w:spacing w:line="218" w:lineRule="exact"/>
              <w:ind w:left="93"/>
              <w:rPr>
                <w:sz w:val="18"/>
              </w:rPr>
            </w:pPr>
            <w:r>
              <w:rPr>
                <w:spacing w:val="-2"/>
                <w:sz w:val="18"/>
              </w:rPr>
              <w:t>política</w:t>
            </w:r>
            <w:r>
              <w:rPr>
                <w:sz w:val="18"/>
              </w:rPr>
              <w:tab/>
            </w:r>
            <w:r>
              <w:rPr>
                <w:spacing w:val="-5"/>
                <w:sz w:val="18"/>
              </w:rPr>
              <w:t>del</w:t>
            </w:r>
          </w:p>
          <w:p w14:paraId="5CFCA409" w14:textId="77777777" w:rsidR="000E52B0" w:rsidRDefault="00F60D74">
            <w:pPr>
              <w:pStyle w:val="TableParagraph"/>
              <w:tabs>
                <w:tab w:val="left" w:pos="1290"/>
              </w:tabs>
              <w:spacing w:line="201" w:lineRule="exact"/>
              <w:ind w:left="93"/>
              <w:rPr>
                <w:sz w:val="18"/>
              </w:rPr>
            </w:pPr>
            <w:r>
              <w:rPr>
                <w:spacing w:val="-2"/>
                <w:sz w:val="18"/>
              </w:rPr>
              <w:t>Estado</w:t>
            </w:r>
            <w:r>
              <w:rPr>
                <w:sz w:val="18"/>
              </w:rPr>
              <w:tab/>
            </w:r>
            <w:r>
              <w:rPr>
                <w:spacing w:val="-5"/>
                <w:sz w:val="18"/>
              </w:rPr>
              <w:t>en</w:t>
            </w:r>
          </w:p>
        </w:tc>
        <w:tc>
          <w:tcPr>
            <w:tcW w:w="2647" w:type="dxa"/>
            <w:tcBorders>
              <w:top w:val="single" w:sz="4" w:space="0" w:color="000000"/>
              <w:left w:val="single" w:sz="4" w:space="0" w:color="000000"/>
              <w:right w:val="single" w:sz="4" w:space="0" w:color="000000"/>
            </w:tcBorders>
          </w:tcPr>
          <w:p w14:paraId="632DC4B6" w14:textId="77777777" w:rsidR="000E52B0" w:rsidRDefault="00F60D74">
            <w:pPr>
              <w:pStyle w:val="TableParagraph"/>
              <w:tabs>
                <w:tab w:val="left" w:pos="1604"/>
              </w:tabs>
              <w:ind w:left="91" w:right="76"/>
              <w:jc w:val="both"/>
              <w:rPr>
                <w:sz w:val="18"/>
              </w:rPr>
            </w:pPr>
            <w:r>
              <w:rPr>
                <w:spacing w:val="-2"/>
                <w:sz w:val="18"/>
              </w:rPr>
              <w:t>Proteger,</w:t>
            </w:r>
            <w:r>
              <w:rPr>
                <w:sz w:val="18"/>
              </w:rPr>
              <w:tab/>
            </w:r>
            <w:r>
              <w:rPr>
                <w:spacing w:val="-2"/>
                <w:sz w:val="18"/>
              </w:rPr>
              <w:t xml:space="preserve">conservar, </w:t>
            </w:r>
            <w:r>
              <w:rPr>
                <w:sz w:val="18"/>
              </w:rPr>
              <w:t>rehabilitar y divulgar el Patrimonio Cultural de la Nación</w:t>
            </w:r>
            <w:r>
              <w:rPr>
                <w:spacing w:val="-8"/>
                <w:sz w:val="18"/>
              </w:rPr>
              <w:t xml:space="preserve"> </w:t>
            </w:r>
            <w:r>
              <w:rPr>
                <w:sz w:val="18"/>
              </w:rPr>
              <w:t>como</w:t>
            </w:r>
            <w:r>
              <w:rPr>
                <w:spacing w:val="-8"/>
                <w:sz w:val="18"/>
              </w:rPr>
              <w:t xml:space="preserve"> </w:t>
            </w:r>
            <w:r>
              <w:rPr>
                <w:sz w:val="18"/>
              </w:rPr>
              <w:t>testimonio</w:t>
            </w:r>
            <w:r>
              <w:rPr>
                <w:spacing w:val="-10"/>
                <w:sz w:val="18"/>
              </w:rPr>
              <w:t xml:space="preserve"> </w:t>
            </w:r>
            <w:r>
              <w:rPr>
                <w:sz w:val="18"/>
              </w:rPr>
              <w:t>de la identidad cultural nacional, tanto en el presente como en el futuro;</w:t>
            </w:r>
            <w:r>
              <w:rPr>
                <w:spacing w:val="79"/>
                <w:sz w:val="18"/>
              </w:rPr>
              <w:t xml:space="preserve">   </w:t>
            </w:r>
            <w:r>
              <w:rPr>
                <w:sz w:val="18"/>
              </w:rPr>
              <w:t>Fomentar</w:t>
            </w:r>
            <w:r>
              <w:rPr>
                <w:spacing w:val="79"/>
                <w:sz w:val="18"/>
              </w:rPr>
              <w:t xml:space="preserve">   </w:t>
            </w:r>
            <w:r>
              <w:rPr>
                <w:spacing w:val="-10"/>
                <w:sz w:val="18"/>
              </w:rPr>
              <w:t>y</w:t>
            </w:r>
          </w:p>
          <w:p w14:paraId="6DE052FB" w14:textId="77777777" w:rsidR="000E52B0" w:rsidRDefault="00F60D74">
            <w:pPr>
              <w:pStyle w:val="TableParagraph"/>
              <w:spacing w:line="201" w:lineRule="exact"/>
              <w:ind w:left="91"/>
              <w:jc w:val="both"/>
              <w:rPr>
                <w:sz w:val="18"/>
              </w:rPr>
            </w:pPr>
            <w:r>
              <w:rPr>
                <w:sz w:val="18"/>
              </w:rPr>
              <w:t>preservar</w:t>
            </w:r>
            <w:r>
              <w:rPr>
                <w:spacing w:val="50"/>
                <w:w w:val="150"/>
                <w:sz w:val="18"/>
              </w:rPr>
              <w:t xml:space="preserve"> </w:t>
            </w:r>
            <w:r>
              <w:rPr>
                <w:sz w:val="18"/>
              </w:rPr>
              <w:t>la</w:t>
            </w:r>
            <w:r>
              <w:rPr>
                <w:spacing w:val="51"/>
                <w:w w:val="150"/>
                <w:sz w:val="18"/>
              </w:rPr>
              <w:t xml:space="preserve"> </w:t>
            </w:r>
            <w:r>
              <w:rPr>
                <w:sz w:val="18"/>
              </w:rPr>
              <w:t>pluralidad</w:t>
            </w:r>
            <w:r>
              <w:rPr>
                <w:spacing w:val="50"/>
                <w:w w:val="150"/>
                <w:sz w:val="18"/>
              </w:rPr>
              <w:t xml:space="preserve"> </w:t>
            </w:r>
            <w:r>
              <w:rPr>
                <w:spacing w:val="-10"/>
                <w:sz w:val="18"/>
              </w:rPr>
              <w:t>y</w:t>
            </w:r>
          </w:p>
        </w:tc>
        <w:tc>
          <w:tcPr>
            <w:tcW w:w="1985" w:type="dxa"/>
            <w:tcBorders>
              <w:top w:val="single" w:sz="4" w:space="0" w:color="000000"/>
              <w:left w:val="single" w:sz="4" w:space="0" w:color="000000"/>
              <w:right w:val="single" w:sz="4" w:space="0" w:color="000000"/>
            </w:tcBorders>
          </w:tcPr>
          <w:p w14:paraId="51DC515B" w14:textId="77777777" w:rsidR="000E52B0" w:rsidRDefault="00F60D74">
            <w:pPr>
              <w:pStyle w:val="TableParagraph"/>
              <w:ind w:left="91" w:right="75"/>
              <w:jc w:val="both"/>
              <w:rPr>
                <w:sz w:val="18"/>
              </w:rPr>
            </w:pPr>
            <w:r>
              <w:rPr>
                <w:sz w:val="18"/>
              </w:rPr>
              <w:t>Deber de promover y fomentar el acceso a la cultura (art. 70 C.P)</w:t>
            </w:r>
          </w:p>
          <w:p w14:paraId="0C29F8BD" w14:textId="77777777" w:rsidR="000E52B0" w:rsidRDefault="00F60D74">
            <w:pPr>
              <w:pStyle w:val="TableParagraph"/>
              <w:spacing w:before="218" w:line="219" w:lineRule="exact"/>
              <w:ind w:left="91"/>
              <w:jc w:val="both"/>
              <w:rPr>
                <w:sz w:val="18"/>
              </w:rPr>
            </w:pPr>
            <w:r>
              <w:rPr>
                <w:sz w:val="18"/>
              </w:rPr>
              <w:t>Búsqueda</w:t>
            </w:r>
            <w:r>
              <w:rPr>
                <w:spacing w:val="67"/>
                <w:w w:val="150"/>
                <w:sz w:val="18"/>
              </w:rPr>
              <w:t xml:space="preserve">    </w:t>
            </w:r>
            <w:r>
              <w:rPr>
                <w:spacing w:val="-5"/>
                <w:sz w:val="18"/>
              </w:rPr>
              <w:t>del</w:t>
            </w:r>
          </w:p>
          <w:p w14:paraId="4138149F" w14:textId="77777777" w:rsidR="000E52B0" w:rsidRDefault="00F60D74">
            <w:pPr>
              <w:pStyle w:val="TableParagraph"/>
              <w:spacing w:line="218" w:lineRule="exact"/>
              <w:ind w:left="91" w:right="75"/>
              <w:jc w:val="both"/>
              <w:rPr>
                <w:sz w:val="18"/>
              </w:rPr>
            </w:pPr>
            <w:r>
              <w:rPr>
                <w:sz w:val="18"/>
              </w:rPr>
              <w:t>conocimiento y expresión artística (art. 71 C.P)</w:t>
            </w:r>
          </w:p>
        </w:tc>
        <w:tc>
          <w:tcPr>
            <w:tcW w:w="1337" w:type="dxa"/>
            <w:tcBorders>
              <w:top w:val="single" w:sz="4" w:space="0" w:color="000000"/>
              <w:left w:val="single" w:sz="4" w:space="0" w:color="000000"/>
            </w:tcBorders>
          </w:tcPr>
          <w:p w14:paraId="1F7BE6D0" w14:textId="77777777" w:rsidR="000E52B0" w:rsidRDefault="00F60D74">
            <w:pPr>
              <w:pStyle w:val="TableParagraph"/>
              <w:ind w:left="92" w:right="70"/>
              <w:rPr>
                <w:sz w:val="18"/>
              </w:rPr>
            </w:pPr>
            <w:r>
              <w:rPr>
                <w:spacing w:val="-2"/>
                <w:sz w:val="18"/>
              </w:rPr>
              <w:t xml:space="preserve">Sector </w:t>
            </w:r>
            <w:proofErr w:type="spellStart"/>
            <w:r>
              <w:rPr>
                <w:spacing w:val="-2"/>
                <w:sz w:val="18"/>
              </w:rPr>
              <w:t>administrati</w:t>
            </w:r>
            <w:proofErr w:type="spellEnd"/>
            <w:r>
              <w:rPr>
                <w:spacing w:val="-2"/>
                <w:sz w:val="18"/>
              </w:rPr>
              <w:t xml:space="preserve"> </w:t>
            </w:r>
            <w:proofErr w:type="spellStart"/>
            <w:r>
              <w:rPr>
                <w:sz w:val="18"/>
              </w:rPr>
              <w:t>vo</w:t>
            </w:r>
            <w:proofErr w:type="spellEnd"/>
            <w:r>
              <w:rPr>
                <w:spacing w:val="-18"/>
                <w:sz w:val="18"/>
              </w:rPr>
              <w:t xml:space="preserve"> </w:t>
            </w:r>
            <w:r>
              <w:rPr>
                <w:sz w:val="18"/>
              </w:rPr>
              <w:t>de</w:t>
            </w:r>
            <w:r>
              <w:rPr>
                <w:spacing w:val="-15"/>
                <w:sz w:val="18"/>
              </w:rPr>
              <w:t xml:space="preserve"> </w:t>
            </w:r>
            <w:r>
              <w:rPr>
                <w:spacing w:val="-2"/>
                <w:sz w:val="18"/>
              </w:rPr>
              <w:t>cultura</w:t>
            </w:r>
          </w:p>
        </w:tc>
      </w:tr>
    </w:tbl>
    <w:p w14:paraId="4BCE6088" w14:textId="77777777" w:rsidR="000E52B0" w:rsidRDefault="000E52B0">
      <w:pPr>
        <w:pStyle w:val="TableParagraph"/>
        <w:rPr>
          <w:sz w:val="18"/>
        </w:rPr>
        <w:sectPr w:rsidR="000E52B0">
          <w:type w:val="continuous"/>
          <w:pgSz w:w="11910" w:h="16840"/>
          <w:pgMar w:top="1400" w:right="720" w:bottom="1180" w:left="720" w:header="0" w:footer="995" w:gutter="0"/>
          <w:cols w:space="720"/>
        </w:sectPr>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6"/>
        <w:gridCol w:w="1601"/>
        <w:gridCol w:w="2647"/>
        <w:gridCol w:w="1985"/>
        <w:gridCol w:w="1337"/>
      </w:tblGrid>
      <w:tr w:rsidR="000E52B0" w14:paraId="33F70152" w14:textId="77777777">
        <w:trPr>
          <w:trHeight w:val="875"/>
        </w:trPr>
        <w:tc>
          <w:tcPr>
            <w:tcW w:w="1416" w:type="dxa"/>
            <w:tcBorders>
              <w:bottom w:val="single" w:sz="4" w:space="0" w:color="000000"/>
              <w:right w:val="single" w:sz="4" w:space="0" w:color="000000"/>
            </w:tcBorders>
            <w:shd w:val="clear" w:color="auto" w:fill="D44673"/>
          </w:tcPr>
          <w:p w14:paraId="475A267C" w14:textId="77777777" w:rsidR="000E52B0" w:rsidRDefault="000E52B0">
            <w:pPr>
              <w:pStyle w:val="TableParagraph"/>
              <w:spacing w:before="109"/>
              <w:rPr>
                <w:sz w:val="18"/>
              </w:rPr>
            </w:pPr>
          </w:p>
          <w:p w14:paraId="68833E28" w14:textId="77777777" w:rsidR="000E52B0" w:rsidRDefault="00F60D74">
            <w:pPr>
              <w:pStyle w:val="TableParagraph"/>
              <w:ind w:left="206"/>
              <w:rPr>
                <w:b/>
                <w:sz w:val="18"/>
              </w:rPr>
            </w:pPr>
            <w:r>
              <w:rPr>
                <w:b/>
                <w:color w:val="FFFFFF"/>
                <w:spacing w:val="-2"/>
                <w:sz w:val="18"/>
              </w:rPr>
              <w:t>Ministerio</w:t>
            </w:r>
          </w:p>
        </w:tc>
        <w:tc>
          <w:tcPr>
            <w:tcW w:w="1601" w:type="dxa"/>
            <w:tcBorders>
              <w:left w:val="single" w:sz="4" w:space="0" w:color="000000"/>
              <w:bottom w:val="single" w:sz="4" w:space="0" w:color="000000"/>
              <w:right w:val="single" w:sz="4" w:space="0" w:color="000000"/>
            </w:tcBorders>
            <w:shd w:val="clear" w:color="auto" w:fill="D44673"/>
          </w:tcPr>
          <w:p w14:paraId="0DF47FF1" w14:textId="77777777" w:rsidR="000E52B0" w:rsidRDefault="000E52B0">
            <w:pPr>
              <w:pStyle w:val="TableParagraph"/>
              <w:spacing w:before="109"/>
              <w:rPr>
                <w:sz w:val="18"/>
              </w:rPr>
            </w:pPr>
          </w:p>
          <w:p w14:paraId="77DCFA3E" w14:textId="77777777" w:rsidR="000E52B0" w:rsidRDefault="00F60D74">
            <w:pPr>
              <w:pStyle w:val="TableParagraph"/>
              <w:ind w:left="374"/>
              <w:rPr>
                <w:b/>
                <w:sz w:val="18"/>
              </w:rPr>
            </w:pPr>
            <w:r>
              <w:rPr>
                <w:b/>
                <w:color w:val="FFFFFF"/>
                <w:spacing w:val="-2"/>
                <w:sz w:val="18"/>
              </w:rPr>
              <w:t>Objetivo</w:t>
            </w:r>
          </w:p>
        </w:tc>
        <w:tc>
          <w:tcPr>
            <w:tcW w:w="2647" w:type="dxa"/>
            <w:tcBorders>
              <w:left w:val="single" w:sz="4" w:space="0" w:color="000000"/>
              <w:bottom w:val="single" w:sz="4" w:space="0" w:color="000000"/>
              <w:right w:val="single" w:sz="4" w:space="0" w:color="000000"/>
            </w:tcBorders>
            <w:shd w:val="clear" w:color="auto" w:fill="D44673"/>
          </w:tcPr>
          <w:p w14:paraId="7379177A" w14:textId="77777777" w:rsidR="000E52B0" w:rsidRDefault="000E52B0">
            <w:pPr>
              <w:pStyle w:val="TableParagraph"/>
              <w:spacing w:before="109"/>
              <w:rPr>
                <w:sz w:val="18"/>
              </w:rPr>
            </w:pPr>
          </w:p>
          <w:p w14:paraId="0786A660" w14:textId="77777777" w:rsidR="000E52B0" w:rsidRDefault="00F60D74">
            <w:pPr>
              <w:pStyle w:val="TableParagraph"/>
              <w:ind w:left="813"/>
              <w:rPr>
                <w:b/>
                <w:sz w:val="18"/>
              </w:rPr>
            </w:pPr>
            <w:r>
              <w:rPr>
                <w:b/>
                <w:color w:val="FFFFFF"/>
                <w:spacing w:val="-2"/>
                <w:sz w:val="18"/>
              </w:rPr>
              <w:t>Funciones</w:t>
            </w:r>
          </w:p>
        </w:tc>
        <w:tc>
          <w:tcPr>
            <w:tcW w:w="1985" w:type="dxa"/>
            <w:tcBorders>
              <w:left w:val="single" w:sz="4" w:space="0" w:color="000000"/>
              <w:bottom w:val="single" w:sz="4" w:space="0" w:color="000000"/>
              <w:right w:val="single" w:sz="4" w:space="0" w:color="000000"/>
            </w:tcBorders>
            <w:shd w:val="clear" w:color="auto" w:fill="D44673"/>
          </w:tcPr>
          <w:p w14:paraId="53A95883" w14:textId="77777777" w:rsidR="000E52B0" w:rsidRDefault="00F60D74">
            <w:pPr>
              <w:pStyle w:val="TableParagraph"/>
              <w:ind w:left="118" w:right="105" w:firstLine="1"/>
              <w:jc w:val="center"/>
              <w:rPr>
                <w:b/>
                <w:sz w:val="18"/>
              </w:rPr>
            </w:pPr>
            <w:r>
              <w:rPr>
                <w:b/>
                <w:color w:val="FFFFFF"/>
                <w:sz w:val="18"/>
              </w:rPr>
              <w:t>Derecho</w:t>
            </w:r>
            <w:r>
              <w:rPr>
                <w:b/>
                <w:color w:val="FFFFFF"/>
                <w:spacing w:val="-16"/>
                <w:sz w:val="18"/>
              </w:rPr>
              <w:t xml:space="preserve"> </w:t>
            </w:r>
            <w:r>
              <w:rPr>
                <w:b/>
                <w:color w:val="FFFFFF"/>
                <w:sz w:val="18"/>
              </w:rPr>
              <w:t>Humano o</w:t>
            </w:r>
            <w:r>
              <w:rPr>
                <w:b/>
                <w:color w:val="FFFFFF"/>
                <w:spacing w:val="-1"/>
                <w:sz w:val="18"/>
              </w:rPr>
              <w:t xml:space="preserve"> </w:t>
            </w:r>
            <w:r>
              <w:rPr>
                <w:b/>
                <w:color w:val="FFFFFF"/>
                <w:sz w:val="18"/>
              </w:rPr>
              <w:t>Fin</w:t>
            </w:r>
            <w:r>
              <w:rPr>
                <w:b/>
                <w:color w:val="FFFFFF"/>
                <w:spacing w:val="-3"/>
                <w:sz w:val="18"/>
              </w:rPr>
              <w:t xml:space="preserve"> </w:t>
            </w:r>
            <w:r>
              <w:rPr>
                <w:b/>
                <w:color w:val="FFFFFF"/>
                <w:sz w:val="18"/>
              </w:rPr>
              <w:t xml:space="preserve">Esencial </w:t>
            </w:r>
            <w:r>
              <w:rPr>
                <w:b/>
                <w:color w:val="FFFFFF"/>
                <w:spacing w:val="-5"/>
                <w:sz w:val="18"/>
              </w:rPr>
              <w:t>del</w:t>
            </w:r>
          </w:p>
          <w:p w14:paraId="22B576CE" w14:textId="77777777" w:rsidR="000E52B0" w:rsidRDefault="00F60D74">
            <w:pPr>
              <w:pStyle w:val="TableParagraph"/>
              <w:spacing w:line="218" w:lineRule="exact"/>
              <w:ind w:left="12"/>
              <w:jc w:val="center"/>
              <w:rPr>
                <w:b/>
                <w:sz w:val="18"/>
              </w:rPr>
            </w:pPr>
            <w:r>
              <w:rPr>
                <w:b/>
                <w:color w:val="FFFFFF"/>
                <w:sz w:val="18"/>
              </w:rPr>
              <w:t>Estado</w:t>
            </w:r>
            <w:r>
              <w:rPr>
                <w:b/>
                <w:color w:val="FFFFFF"/>
                <w:spacing w:val="-16"/>
                <w:sz w:val="18"/>
              </w:rPr>
              <w:t xml:space="preserve"> </w:t>
            </w:r>
            <w:r>
              <w:rPr>
                <w:b/>
                <w:color w:val="FFFFFF"/>
                <w:sz w:val="18"/>
              </w:rPr>
              <w:t>al</w:t>
            </w:r>
            <w:r>
              <w:rPr>
                <w:b/>
                <w:color w:val="FFFFFF"/>
                <w:spacing w:val="-15"/>
                <w:sz w:val="18"/>
              </w:rPr>
              <w:t xml:space="preserve"> </w:t>
            </w:r>
            <w:r>
              <w:rPr>
                <w:b/>
                <w:color w:val="FFFFFF"/>
                <w:sz w:val="18"/>
              </w:rPr>
              <w:t xml:space="preserve">que </w:t>
            </w:r>
            <w:r>
              <w:rPr>
                <w:b/>
                <w:color w:val="FFFFFF"/>
                <w:spacing w:val="-2"/>
                <w:sz w:val="18"/>
              </w:rPr>
              <w:t>responde.</w:t>
            </w:r>
          </w:p>
        </w:tc>
        <w:tc>
          <w:tcPr>
            <w:tcW w:w="1337" w:type="dxa"/>
            <w:tcBorders>
              <w:left w:val="single" w:sz="4" w:space="0" w:color="000000"/>
              <w:bottom w:val="single" w:sz="4" w:space="0" w:color="000000"/>
            </w:tcBorders>
            <w:shd w:val="clear" w:color="auto" w:fill="D44673"/>
          </w:tcPr>
          <w:p w14:paraId="269B6ED1" w14:textId="77777777" w:rsidR="000E52B0" w:rsidRDefault="00F60D74">
            <w:pPr>
              <w:pStyle w:val="TableParagraph"/>
              <w:spacing w:before="217" w:line="242" w:lineRule="auto"/>
              <w:ind w:left="579" w:right="91" w:hanging="473"/>
              <w:rPr>
                <w:b/>
                <w:sz w:val="18"/>
              </w:rPr>
            </w:pPr>
            <w:proofErr w:type="spellStart"/>
            <w:r>
              <w:rPr>
                <w:b/>
                <w:color w:val="FFFFFF"/>
                <w:spacing w:val="-2"/>
                <w:sz w:val="18"/>
              </w:rPr>
              <w:t>Competenc</w:t>
            </w:r>
            <w:proofErr w:type="spellEnd"/>
            <w:r>
              <w:rPr>
                <w:b/>
                <w:color w:val="FFFFFF"/>
                <w:spacing w:val="-2"/>
                <w:sz w:val="18"/>
              </w:rPr>
              <w:t xml:space="preserve"> </w:t>
            </w:r>
            <w:proofErr w:type="spellStart"/>
            <w:r>
              <w:rPr>
                <w:b/>
                <w:color w:val="FFFFFF"/>
                <w:spacing w:val="-6"/>
                <w:sz w:val="18"/>
              </w:rPr>
              <w:t>ia</w:t>
            </w:r>
            <w:proofErr w:type="spellEnd"/>
          </w:p>
        </w:tc>
      </w:tr>
      <w:tr w:rsidR="000E52B0" w14:paraId="1C93A492" w14:textId="77777777">
        <w:trPr>
          <w:trHeight w:val="5474"/>
        </w:trPr>
        <w:tc>
          <w:tcPr>
            <w:tcW w:w="1416" w:type="dxa"/>
            <w:tcBorders>
              <w:top w:val="single" w:sz="4" w:space="0" w:color="000000"/>
              <w:bottom w:val="single" w:sz="4" w:space="0" w:color="000000"/>
              <w:right w:val="single" w:sz="4" w:space="0" w:color="000000"/>
            </w:tcBorders>
          </w:tcPr>
          <w:p w14:paraId="25FA85E0" w14:textId="77777777" w:rsidR="000E52B0" w:rsidRDefault="000E52B0">
            <w:pPr>
              <w:pStyle w:val="TableParagraph"/>
              <w:rPr>
                <w:rFonts w:ascii="Times New Roman"/>
                <w:sz w:val="18"/>
              </w:rPr>
            </w:pPr>
          </w:p>
        </w:tc>
        <w:tc>
          <w:tcPr>
            <w:tcW w:w="1601" w:type="dxa"/>
            <w:tcBorders>
              <w:top w:val="single" w:sz="4" w:space="0" w:color="000000"/>
              <w:left w:val="single" w:sz="4" w:space="0" w:color="000000"/>
              <w:bottom w:val="single" w:sz="4" w:space="0" w:color="000000"/>
              <w:right w:val="single" w:sz="4" w:space="0" w:color="000000"/>
            </w:tcBorders>
          </w:tcPr>
          <w:p w14:paraId="16EEA91C" w14:textId="77777777" w:rsidR="000E52B0" w:rsidRDefault="00F60D74">
            <w:pPr>
              <w:pStyle w:val="TableParagraph"/>
              <w:tabs>
                <w:tab w:val="left" w:pos="651"/>
                <w:tab w:val="left" w:pos="1195"/>
                <w:tab w:val="left" w:pos="1291"/>
              </w:tabs>
              <w:spacing w:before="3"/>
              <w:ind w:left="93" w:right="76"/>
              <w:rPr>
                <w:sz w:val="18"/>
              </w:rPr>
            </w:pPr>
            <w:r>
              <w:rPr>
                <w:spacing w:val="-2"/>
                <w:sz w:val="18"/>
              </w:rPr>
              <w:t>materia</w:t>
            </w:r>
            <w:r>
              <w:rPr>
                <w:spacing w:val="80"/>
                <w:sz w:val="18"/>
              </w:rPr>
              <w:t xml:space="preserve"> </w:t>
            </w:r>
            <w:r>
              <w:rPr>
                <w:sz w:val="18"/>
              </w:rPr>
              <w:t>cultural</w:t>
            </w:r>
            <w:r>
              <w:rPr>
                <w:spacing w:val="-16"/>
                <w:sz w:val="18"/>
              </w:rPr>
              <w:t xml:space="preserve"> </w:t>
            </w:r>
            <w:r>
              <w:rPr>
                <w:sz w:val="18"/>
              </w:rPr>
              <w:t>y</w:t>
            </w:r>
            <w:r>
              <w:rPr>
                <w:spacing w:val="-16"/>
                <w:sz w:val="18"/>
              </w:rPr>
              <w:t xml:space="preserve"> </w:t>
            </w:r>
            <w:r>
              <w:rPr>
                <w:sz w:val="18"/>
              </w:rPr>
              <w:t>de</w:t>
            </w:r>
            <w:r>
              <w:rPr>
                <w:spacing w:val="-16"/>
                <w:sz w:val="18"/>
              </w:rPr>
              <w:t xml:space="preserve"> </w:t>
            </w:r>
            <w:r>
              <w:rPr>
                <w:sz w:val="18"/>
              </w:rPr>
              <w:t xml:space="preserve">las </w:t>
            </w:r>
            <w:r>
              <w:rPr>
                <w:spacing w:val="-2"/>
                <w:sz w:val="18"/>
              </w:rPr>
              <w:t>economías creativas,</w:t>
            </w:r>
            <w:r>
              <w:rPr>
                <w:sz w:val="18"/>
              </w:rPr>
              <w:tab/>
            </w:r>
            <w:r>
              <w:rPr>
                <w:sz w:val="18"/>
              </w:rPr>
              <w:tab/>
            </w:r>
            <w:r>
              <w:rPr>
                <w:spacing w:val="-63"/>
                <w:sz w:val="18"/>
              </w:rPr>
              <w:t xml:space="preserve"> </w:t>
            </w:r>
            <w:r>
              <w:rPr>
                <w:spacing w:val="-6"/>
                <w:sz w:val="18"/>
              </w:rPr>
              <w:t xml:space="preserve">de </w:t>
            </w:r>
            <w:r>
              <w:rPr>
                <w:spacing w:val="-2"/>
                <w:sz w:val="18"/>
              </w:rPr>
              <w:t>manera coherente</w:t>
            </w:r>
            <w:r>
              <w:rPr>
                <w:sz w:val="18"/>
              </w:rPr>
              <w:tab/>
            </w:r>
            <w:r>
              <w:rPr>
                <w:spacing w:val="-4"/>
                <w:sz w:val="18"/>
              </w:rPr>
              <w:t>con los</w:t>
            </w:r>
            <w:r>
              <w:rPr>
                <w:sz w:val="18"/>
              </w:rPr>
              <w:tab/>
            </w:r>
            <w:r>
              <w:rPr>
                <w:spacing w:val="-2"/>
                <w:sz w:val="18"/>
              </w:rPr>
              <w:t xml:space="preserve">principios fundamentales </w:t>
            </w:r>
            <w:r>
              <w:rPr>
                <w:spacing w:val="-10"/>
                <w:sz w:val="18"/>
              </w:rPr>
              <w:t>y</w:t>
            </w:r>
            <w:r>
              <w:rPr>
                <w:sz w:val="18"/>
              </w:rPr>
              <w:tab/>
            </w:r>
            <w:r>
              <w:rPr>
                <w:sz w:val="18"/>
              </w:rPr>
              <w:tab/>
            </w:r>
            <w:r>
              <w:rPr>
                <w:sz w:val="18"/>
              </w:rPr>
              <w:tab/>
            </w:r>
            <w:r>
              <w:rPr>
                <w:spacing w:val="-5"/>
                <w:sz w:val="18"/>
              </w:rPr>
              <w:t>de</w:t>
            </w:r>
          </w:p>
          <w:p w14:paraId="5CDA5CA1" w14:textId="77777777" w:rsidR="000E52B0" w:rsidRDefault="00F60D74">
            <w:pPr>
              <w:pStyle w:val="TableParagraph"/>
              <w:tabs>
                <w:tab w:val="left" w:pos="1355"/>
              </w:tabs>
              <w:ind w:left="93" w:right="75"/>
              <w:rPr>
                <w:sz w:val="18"/>
              </w:rPr>
            </w:pPr>
            <w:r>
              <w:rPr>
                <w:spacing w:val="-2"/>
                <w:sz w:val="18"/>
              </w:rPr>
              <w:t xml:space="preserve">participación contemplados </w:t>
            </w:r>
            <w:r>
              <w:rPr>
                <w:spacing w:val="-6"/>
                <w:sz w:val="18"/>
              </w:rPr>
              <w:t>en</w:t>
            </w:r>
            <w:r>
              <w:rPr>
                <w:sz w:val="18"/>
              </w:rPr>
              <w:tab/>
            </w:r>
            <w:r>
              <w:rPr>
                <w:spacing w:val="-6"/>
                <w:sz w:val="18"/>
              </w:rPr>
              <w:t>la</w:t>
            </w:r>
          </w:p>
          <w:p w14:paraId="402074F0" w14:textId="77777777" w:rsidR="000E52B0" w:rsidRDefault="00F60D74">
            <w:pPr>
              <w:pStyle w:val="TableParagraph"/>
              <w:tabs>
                <w:tab w:val="left" w:pos="1241"/>
                <w:tab w:val="left" w:pos="1405"/>
              </w:tabs>
              <w:spacing w:before="1"/>
              <w:ind w:left="93" w:right="74"/>
              <w:rPr>
                <w:sz w:val="18"/>
              </w:rPr>
            </w:pPr>
            <w:r>
              <w:rPr>
                <w:spacing w:val="-2"/>
                <w:sz w:val="18"/>
              </w:rPr>
              <w:t xml:space="preserve">Constitución </w:t>
            </w:r>
            <w:r>
              <w:rPr>
                <w:sz w:val="18"/>
              </w:rPr>
              <w:t>Política y en la ley,</w:t>
            </w:r>
            <w:r>
              <w:rPr>
                <w:spacing w:val="80"/>
                <w:sz w:val="18"/>
              </w:rPr>
              <w:t xml:space="preserve"> </w:t>
            </w:r>
            <w:r>
              <w:rPr>
                <w:sz w:val="18"/>
              </w:rPr>
              <w:t>así</w:t>
            </w:r>
            <w:r>
              <w:rPr>
                <w:spacing w:val="80"/>
                <w:sz w:val="18"/>
              </w:rPr>
              <w:t xml:space="preserve"> </w:t>
            </w:r>
            <w:r>
              <w:rPr>
                <w:sz w:val="18"/>
              </w:rPr>
              <w:t xml:space="preserve">como </w:t>
            </w:r>
            <w:r>
              <w:rPr>
                <w:spacing w:val="-2"/>
                <w:sz w:val="18"/>
              </w:rPr>
              <w:t>formular</w:t>
            </w:r>
            <w:r>
              <w:rPr>
                <w:sz w:val="18"/>
              </w:rPr>
              <w:tab/>
            </w:r>
            <w:r>
              <w:rPr>
                <w:sz w:val="18"/>
              </w:rPr>
              <w:tab/>
            </w:r>
            <w:r>
              <w:rPr>
                <w:spacing w:val="-62"/>
                <w:sz w:val="18"/>
              </w:rPr>
              <w:t xml:space="preserve"> </w:t>
            </w:r>
            <w:r>
              <w:rPr>
                <w:spacing w:val="-10"/>
                <w:sz w:val="18"/>
              </w:rPr>
              <w:t xml:space="preserve">y </w:t>
            </w:r>
            <w:r>
              <w:rPr>
                <w:spacing w:val="-2"/>
                <w:sz w:val="18"/>
              </w:rPr>
              <w:t>adoptar políticas,</w:t>
            </w:r>
            <w:r>
              <w:rPr>
                <w:spacing w:val="80"/>
                <w:sz w:val="18"/>
              </w:rPr>
              <w:t xml:space="preserve"> </w:t>
            </w:r>
            <w:r>
              <w:rPr>
                <w:spacing w:val="-2"/>
                <w:sz w:val="18"/>
              </w:rPr>
              <w:t>planes generales, programas</w:t>
            </w:r>
            <w:r>
              <w:rPr>
                <w:sz w:val="18"/>
              </w:rPr>
              <w:tab/>
            </w:r>
            <w:r>
              <w:rPr>
                <w:sz w:val="18"/>
              </w:rPr>
              <w:tab/>
            </w:r>
            <w:r>
              <w:rPr>
                <w:spacing w:val="-10"/>
                <w:sz w:val="18"/>
              </w:rPr>
              <w:t xml:space="preserve">y </w:t>
            </w:r>
            <w:r>
              <w:rPr>
                <w:spacing w:val="-2"/>
                <w:sz w:val="18"/>
              </w:rPr>
              <w:t>proyectos</w:t>
            </w:r>
            <w:r>
              <w:rPr>
                <w:sz w:val="18"/>
              </w:rPr>
              <w:tab/>
            </w:r>
            <w:r>
              <w:rPr>
                <w:spacing w:val="-4"/>
                <w:sz w:val="18"/>
              </w:rPr>
              <w:t xml:space="preserve">del </w:t>
            </w:r>
            <w:r>
              <w:rPr>
                <w:spacing w:val="-2"/>
                <w:sz w:val="18"/>
              </w:rPr>
              <w:t>Sector Administrativo</w:t>
            </w:r>
          </w:p>
          <w:p w14:paraId="3832FCF8" w14:textId="77777777" w:rsidR="000E52B0" w:rsidRDefault="00F60D74">
            <w:pPr>
              <w:pStyle w:val="TableParagraph"/>
              <w:spacing w:before="1" w:line="199" w:lineRule="exact"/>
              <w:ind w:left="93"/>
              <w:rPr>
                <w:sz w:val="18"/>
              </w:rPr>
            </w:pPr>
            <w:r>
              <w:rPr>
                <w:sz w:val="18"/>
              </w:rPr>
              <w:t>a</w:t>
            </w:r>
            <w:r>
              <w:rPr>
                <w:spacing w:val="-1"/>
                <w:sz w:val="18"/>
              </w:rPr>
              <w:t xml:space="preserve"> </w:t>
            </w:r>
            <w:r>
              <w:rPr>
                <w:sz w:val="18"/>
              </w:rPr>
              <w:t xml:space="preserve">su </w:t>
            </w:r>
            <w:r>
              <w:rPr>
                <w:spacing w:val="-2"/>
                <w:sz w:val="18"/>
              </w:rPr>
              <w:t>cargo.</w:t>
            </w:r>
          </w:p>
        </w:tc>
        <w:tc>
          <w:tcPr>
            <w:tcW w:w="2647" w:type="dxa"/>
            <w:tcBorders>
              <w:top w:val="single" w:sz="4" w:space="0" w:color="000000"/>
              <w:left w:val="single" w:sz="4" w:space="0" w:color="000000"/>
              <w:bottom w:val="single" w:sz="4" w:space="0" w:color="000000"/>
              <w:right w:val="single" w:sz="4" w:space="0" w:color="000000"/>
            </w:tcBorders>
          </w:tcPr>
          <w:p w14:paraId="171F9182" w14:textId="77777777" w:rsidR="000E52B0" w:rsidRDefault="00F60D74">
            <w:pPr>
              <w:pStyle w:val="TableParagraph"/>
              <w:tabs>
                <w:tab w:val="left" w:pos="2338"/>
              </w:tabs>
              <w:spacing w:before="3"/>
              <w:ind w:left="91" w:right="78"/>
              <w:jc w:val="both"/>
              <w:rPr>
                <w:sz w:val="18"/>
              </w:rPr>
            </w:pPr>
            <w:r>
              <w:rPr>
                <w:sz w:val="18"/>
              </w:rPr>
              <w:t xml:space="preserve">diversidad cultural de la Nación; Promover el desarrollo cultural y el acceso de la comunidad a los bienes y servicios culturales según los </w:t>
            </w:r>
            <w:r>
              <w:rPr>
                <w:spacing w:val="-2"/>
                <w:sz w:val="18"/>
              </w:rPr>
              <w:t>principios</w:t>
            </w:r>
            <w:r>
              <w:rPr>
                <w:sz w:val="18"/>
              </w:rPr>
              <w:tab/>
            </w:r>
            <w:r>
              <w:rPr>
                <w:spacing w:val="-5"/>
                <w:sz w:val="18"/>
              </w:rPr>
              <w:t>de</w:t>
            </w:r>
          </w:p>
          <w:p w14:paraId="311DF2C8" w14:textId="77777777" w:rsidR="000E52B0" w:rsidRDefault="00F60D74">
            <w:pPr>
              <w:pStyle w:val="TableParagraph"/>
              <w:ind w:left="91" w:right="141"/>
              <w:jc w:val="both"/>
              <w:rPr>
                <w:sz w:val="18"/>
              </w:rPr>
            </w:pPr>
            <w:r>
              <w:rPr>
                <w:spacing w:val="-2"/>
                <w:sz w:val="18"/>
              </w:rPr>
              <w:t xml:space="preserve">descentralización, </w:t>
            </w:r>
            <w:r>
              <w:rPr>
                <w:sz w:val="18"/>
              </w:rPr>
              <w:t>participación</w:t>
            </w:r>
            <w:r>
              <w:rPr>
                <w:spacing w:val="-16"/>
                <w:sz w:val="18"/>
              </w:rPr>
              <w:t xml:space="preserve"> </w:t>
            </w:r>
            <w:r>
              <w:rPr>
                <w:sz w:val="18"/>
              </w:rPr>
              <w:t>y</w:t>
            </w:r>
            <w:r>
              <w:rPr>
                <w:spacing w:val="-16"/>
                <w:sz w:val="18"/>
              </w:rPr>
              <w:t xml:space="preserve"> </w:t>
            </w:r>
            <w:r>
              <w:rPr>
                <w:sz w:val="18"/>
              </w:rPr>
              <w:t>autonomía.</w:t>
            </w:r>
          </w:p>
        </w:tc>
        <w:tc>
          <w:tcPr>
            <w:tcW w:w="1985" w:type="dxa"/>
            <w:tcBorders>
              <w:top w:val="single" w:sz="4" w:space="0" w:color="000000"/>
              <w:left w:val="single" w:sz="4" w:space="0" w:color="000000"/>
              <w:bottom w:val="single" w:sz="4" w:space="0" w:color="000000"/>
              <w:right w:val="single" w:sz="4" w:space="0" w:color="000000"/>
            </w:tcBorders>
          </w:tcPr>
          <w:p w14:paraId="64F7B23A" w14:textId="77777777" w:rsidR="000E52B0" w:rsidRDefault="000E52B0">
            <w:pPr>
              <w:pStyle w:val="TableParagraph"/>
              <w:rPr>
                <w:rFonts w:ascii="Times New Roman"/>
                <w:sz w:val="18"/>
              </w:rPr>
            </w:pPr>
          </w:p>
        </w:tc>
        <w:tc>
          <w:tcPr>
            <w:tcW w:w="1337" w:type="dxa"/>
            <w:tcBorders>
              <w:top w:val="single" w:sz="4" w:space="0" w:color="000000"/>
              <w:left w:val="single" w:sz="4" w:space="0" w:color="000000"/>
              <w:bottom w:val="single" w:sz="4" w:space="0" w:color="000000"/>
            </w:tcBorders>
          </w:tcPr>
          <w:p w14:paraId="0D7D5788" w14:textId="77777777" w:rsidR="000E52B0" w:rsidRDefault="000E52B0">
            <w:pPr>
              <w:pStyle w:val="TableParagraph"/>
              <w:rPr>
                <w:rFonts w:ascii="Times New Roman"/>
                <w:sz w:val="18"/>
              </w:rPr>
            </w:pPr>
          </w:p>
        </w:tc>
      </w:tr>
      <w:tr w:rsidR="000E52B0" w14:paraId="6FE1DDB0" w14:textId="77777777">
        <w:trPr>
          <w:trHeight w:val="7438"/>
        </w:trPr>
        <w:tc>
          <w:tcPr>
            <w:tcW w:w="1416" w:type="dxa"/>
            <w:tcBorders>
              <w:top w:val="single" w:sz="4" w:space="0" w:color="000000"/>
              <w:right w:val="single" w:sz="4" w:space="0" w:color="000000"/>
            </w:tcBorders>
          </w:tcPr>
          <w:p w14:paraId="671D364D" w14:textId="77777777" w:rsidR="000E52B0" w:rsidRDefault="00F60D74">
            <w:pPr>
              <w:pStyle w:val="TableParagraph"/>
              <w:ind w:left="90" w:right="90"/>
              <w:rPr>
                <w:sz w:val="18"/>
              </w:rPr>
            </w:pPr>
            <w:r>
              <w:rPr>
                <w:spacing w:val="-2"/>
                <w:sz w:val="18"/>
              </w:rPr>
              <w:t xml:space="preserve">MINISTERIO </w:t>
            </w:r>
            <w:r>
              <w:rPr>
                <w:spacing w:val="-4"/>
                <w:sz w:val="18"/>
              </w:rPr>
              <w:t xml:space="preserve">DEL </w:t>
            </w:r>
            <w:r>
              <w:rPr>
                <w:spacing w:val="-2"/>
                <w:sz w:val="18"/>
              </w:rPr>
              <w:t>DEPORTE.</w:t>
            </w:r>
          </w:p>
          <w:p w14:paraId="66B909D4" w14:textId="77777777" w:rsidR="000E52B0" w:rsidRDefault="00F60D74">
            <w:pPr>
              <w:pStyle w:val="TableParagraph"/>
              <w:spacing w:line="218" w:lineRule="exact"/>
              <w:ind w:left="90"/>
              <w:rPr>
                <w:sz w:val="18"/>
              </w:rPr>
            </w:pPr>
            <w:r>
              <w:rPr>
                <w:sz w:val="18"/>
              </w:rPr>
              <w:t>Decreto</w:t>
            </w:r>
            <w:r>
              <w:rPr>
                <w:spacing w:val="8"/>
                <w:sz w:val="18"/>
              </w:rPr>
              <w:t xml:space="preserve"> </w:t>
            </w:r>
            <w:r>
              <w:rPr>
                <w:spacing w:val="-4"/>
                <w:sz w:val="18"/>
              </w:rPr>
              <w:t>1670</w:t>
            </w:r>
          </w:p>
          <w:p w14:paraId="63BAEC65" w14:textId="77777777" w:rsidR="000E52B0" w:rsidRDefault="00F60D74">
            <w:pPr>
              <w:pStyle w:val="TableParagraph"/>
              <w:spacing w:before="1"/>
              <w:ind w:left="90"/>
              <w:rPr>
                <w:sz w:val="18"/>
              </w:rPr>
            </w:pPr>
            <w:r>
              <w:rPr>
                <w:sz w:val="18"/>
              </w:rPr>
              <w:t>de</w:t>
            </w:r>
            <w:r>
              <w:rPr>
                <w:spacing w:val="-1"/>
                <w:sz w:val="18"/>
              </w:rPr>
              <w:t xml:space="preserve"> </w:t>
            </w:r>
            <w:r>
              <w:rPr>
                <w:spacing w:val="-4"/>
                <w:sz w:val="18"/>
              </w:rPr>
              <w:t>2019</w:t>
            </w:r>
          </w:p>
        </w:tc>
        <w:tc>
          <w:tcPr>
            <w:tcW w:w="1601" w:type="dxa"/>
            <w:tcBorders>
              <w:top w:val="single" w:sz="4" w:space="0" w:color="000000"/>
              <w:left w:val="single" w:sz="4" w:space="0" w:color="000000"/>
              <w:right w:val="single" w:sz="4" w:space="0" w:color="000000"/>
            </w:tcBorders>
          </w:tcPr>
          <w:p w14:paraId="150BCB7D" w14:textId="77777777" w:rsidR="000E52B0" w:rsidRDefault="00F60D74">
            <w:pPr>
              <w:pStyle w:val="TableParagraph"/>
              <w:tabs>
                <w:tab w:val="left" w:pos="668"/>
                <w:tab w:val="left" w:pos="1181"/>
                <w:tab w:val="left" w:pos="1244"/>
                <w:tab w:val="left" w:pos="1407"/>
              </w:tabs>
              <w:ind w:left="93" w:right="75"/>
              <w:rPr>
                <w:sz w:val="18"/>
              </w:rPr>
            </w:pPr>
            <w:r>
              <w:rPr>
                <w:sz w:val="18"/>
              </w:rPr>
              <w:t>El</w:t>
            </w:r>
            <w:r>
              <w:rPr>
                <w:spacing w:val="-16"/>
                <w:sz w:val="18"/>
              </w:rPr>
              <w:t xml:space="preserve"> </w:t>
            </w:r>
            <w:r>
              <w:rPr>
                <w:sz w:val="18"/>
              </w:rPr>
              <w:t>Ministerio</w:t>
            </w:r>
            <w:r>
              <w:rPr>
                <w:spacing w:val="-16"/>
                <w:sz w:val="18"/>
              </w:rPr>
              <w:t xml:space="preserve"> </w:t>
            </w:r>
            <w:r>
              <w:rPr>
                <w:sz w:val="18"/>
              </w:rPr>
              <w:t>del Deporte</w:t>
            </w:r>
            <w:r>
              <w:rPr>
                <w:spacing w:val="8"/>
                <w:sz w:val="18"/>
              </w:rPr>
              <w:t xml:space="preserve"> </w:t>
            </w:r>
            <w:r>
              <w:rPr>
                <w:sz w:val="18"/>
              </w:rPr>
              <w:t>tendrá corno</w:t>
            </w:r>
            <w:r>
              <w:rPr>
                <w:spacing w:val="24"/>
                <w:sz w:val="18"/>
              </w:rPr>
              <w:t xml:space="preserve"> </w:t>
            </w:r>
            <w:r>
              <w:rPr>
                <w:sz w:val="18"/>
              </w:rPr>
              <w:t xml:space="preserve">objetivo, </w:t>
            </w:r>
            <w:r>
              <w:rPr>
                <w:spacing w:val="-2"/>
                <w:sz w:val="18"/>
              </w:rPr>
              <w:t>dentro</w:t>
            </w:r>
            <w:r>
              <w:rPr>
                <w:sz w:val="18"/>
              </w:rPr>
              <w:tab/>
            </w:r>
            <w:r>
              <w:rPr>
                <w:sz w:val="18"/>
              </w:rPr>
              <w:tab/>
            </w:r>
            <w:r>
              <w:rPr>
                <w:spacing w:val="-4"/>
                <w:sz w:val="18"/>
              </w:rPr>
              <w:t xml:space="preserve">del </w:t>
            </w:r>
            <w:r>
              <w:rPr>
                <w:sz w:val="18"/>
              </w:rPr>
              <w:t>marco</w:t>
            </w:r>
            <w:r>
              <w:rPr>
                <w:spacing w:val="80"/>
                <w:sz w:val="18"/>
              </w:rPr>
              <w:t xml:space="preserve"> </w:t>
            </w:r>
            <w:r>
              <w:rPr>
                <w:sz w:val="18"/>
              </w:rPr>
              <w:t>de</w:t>
            </w:r>
            <w:r>
              <w:rPr>
                <w:spacing w:val="80"/>
                <w:sz w:val="18"/>
              </w:rPr>
              <w:t xml:space="preserve"> </w:t>
            </w:r>
            <w:r>
              <w:rPr>
                <w:sz w:val="18"/>
              </w:rPr>
              <w:t>sus competencias</w:t>
            </w:r>
            <w:r>
              <w:rPr>
                <w:spacing w:val="-14"/>
                <w:sz w:val="18"/>
              </w:rPr>
              <w:t xml:space="preserve"> </w:t>
            </w:r>
            <w:r>
              <w:rPr>
                <w:sz w:val="18"/>
              </w:rPr>
              <w:t xml:space="preserve">y </w:t>
            </w:r>
            <w:r>
              <w:rPr>
                <w:spacing w:val="-6"/>
                <w:sz w:val="18"/>
              </w:rPr>
              <w:t>de</w:t>
            </w:r>
            <w:r>
              <w:rPr>
                <w:sz w:val="18"/>
              </w:rPr>
              <w:tab/>
            </w:r>
            <w:r>
              <w:rPr>
                <w:spacing w:val="-6"/>
                <w:sz w:val="18"/>
              </w:rPr>
              <w:t>la</w:t>
            </w:r>
            <w:r>
              <w:rPr>
                <w:sz w:val="18"/>
              </w:rPr>
              <w:tab/>
            </w:r>
            <w:r>
              <w:rPr>
                <w:spacing w:val="-4"/>
                <w:sz w:val="18"/>
              </w:rPr>
              <w:t xml:space="preserve">ley, </w:t>
            </w:r>
            <w:r>
              <w:rPr>
                <w:spacing w:val="-2"/>
                <w:sz w:val="18"/>
              </w:rPr>
              <w:t xml:space="preserve">formular, </w:t>
            </w:r>
            <w:r>
              <w:rPr>
                <w:sz w:val="18"/>
              </w:rPr>
              <w:t>adoptar,</w:t>
            </w:r>
            <w:r>
              <w:rPr>
                <w:spacing w:val="-16"/>
                <w:sz w:val="18"/>
              </w:rPr>
              <w:t xml:space="preserve"> </w:t>
            </w:r>
            <w:r>
              <w:rPr>
                <w:sz w:val="18"/>
              </w:rPr>
              <w:t xml:space="preserve">dirigir, </w:t>
            </w:r>
            <w:r>
              <w:rPr>
                <w:spacing w:val="-2"/>
                <w:sz w:val="18"/>
              </w:rPr>
              <w:t>coordinar, inspeccionar, vigilar,</w:t>
            </w:r>
            <w:r>
              <w:rPr>
                <w:spacing w:val="40"/>
                <w:sz w:val="18"/>
              </w:rPr>
              <w:t xml:space="preserve"> </w:t>
            </w:r>
            <w:r>
              <w:rPr>
                <w:spacing w:val="-2"/>
                <w:sz w:val="18"/>
              </w:rPr>
              <w:t>controlar</w:t>
            </w:r>
            <w:r>
              <w:rPr>
                <w:sz w:val="18"/>
              </w:rPr>
              <w:tab/>
            </w:r>
            <w:r>
              <w:rPr>
                <w:sz w:val="18"/>
              </w:rPr>
              <w:tab/>
            </w:r>
            <w:r>
              <w:rPr>
                <w:sz w:val="18"/>
              </w:rPr>
              <w:tab/>
            </w:r>
            <w:r>
              <w:rPr>
                <w:spacing w:val="-10"/>
                <w:sz w:val="18"/>
              </w:rPr>
              <w:t>y</w:t>
            </w:r>
          </w:p>
          <w:p w14:paraId="008A4A5D" w14:textId="77777777" w:rsidR="000E52B0" w:rsidRDefault="00F60D74">
            <w:pPr>
              <w:pStyle w:val="TableParagraph"/>
              <w:tabs>
                <w:tab w:val="left" w:pos="1355"/>
                <w:tab w:val="left" w:pos="1405"/>
              </w:tabs>
              <w:ind w:left="93" w:right="75"/>
              <w:rPr>
                <w:sz w:val="18"/>
              </w:rPr>
            </w:pPr>
            <w:r>
              <w:rPr>
                <w:spacing w:val="-2"/>
                <w:sz w:val="18"/>
              </w:rPr>
              <w:t>ejecutar</w:t>
            </w:r>
            <w:r>
              <w:rPr>
                <w:sz w:val="18"/>
              </w:rPr>
              <w:tab/>
            </w:r>
            <w:r>
              <w:rPr>
                <w:spacing w:val="-6"/>
                <w:sz w:val="18"/>
              </w:rPr>
              <w:t xml:space="preserve">la </w:t>
            </w:r>
            <w:r>
              <w:rPr>
                <w:sz w:val="18"/>
              </w:rPr>
              <w:t>política</w:t>
            </w:r>
            <w:r>
              <w:rPr>
                <w:spacing w:val="-16"/>
                <w:sz w:val="18"/>
              </w:rPr>
              <w:t xml:space="preserve"> </w:t>
            </w:r>
            <w:r>
              <w:rPr>
                <w:sz w:val="18"/>
              </w:rPr>
              <w:t xml:space="preserve">pública, </w:t>
            </w:r>
            <w:r>
              <w:rPr>
                <w:spacing w:val="-2"/>
                <w:sz w:val="18"/>
              </w:rPr>
              <w:t>planes, programas</w:t>
            </w:r>
            <w:r>
              <w:rPr>
                <w:sz w:val="18"/>
              </w:rPr>
              <w:tab/>
            </w:r>
            <w:r>
              <w:rPr>
                <w:sz w:val="18"/>
              </w:rPr>
              <w:tab/>
            </w:r>
            <w:r>
              <w:rPr>
                <w:spacing w:val="-10"/>
                <w:sz w:val="18"/>
              </w:rPr>
              <w:t>y</w:t>
            </w:r>
          </w:p>
          <w:p w14:paraId="54537DFE" w14:textId="77777777" w:rsidR="000E52B0" w:rsidRDefault="00F60D74">
            <w:pPr>
              <w:pStyle w:val="TableParagraph"/>
              <w:tabs>
                <w:tab w:val="left" w:pos="1290"/>
              </w:tabs>
              <w:spacing w:line="219" w:lineRule="exact"/>
              <w:ind w:left="93"/>
              <w:rPr>
                <w:sz w:val="18"/>
              </w:rPr>
            </w:pPr>
            <w:r>
              <w:rPr>
                <w:spacing w:val="-2"/>
                <w:sz w:val="18"/>
              </w:rPr>
              <w:t>proyectos</w:t>
            </w:r>
            <w:r>
              <w:rPr>
                <w:sz w:val="18"/>
              </w:rPr>
              <w:tab/>
            </w:r>
            <w:r>
              <w:rPr>
                <w:spacing w:val="-5"/>
                <w:sz w:val="18"/>
              </w:rPr>
              <w:t>en</w:t>
            </w:r>
          </w:p>
          <w:p w14:paraId="2215598F" w14:textId="77777777" w:rsidR="000E52B0" w:rsidRDefault="00F60D74">
            <w:pPr>
              <w:pStyle w:val="TableParagraph"/>
              <w:tabs>
                <w:tab w:val="left" w:pos="1243"/>
              </w:tabs>
              <w:ind w:left="93"/>
              <w:rPr>
                <w:sz w:val="18"/>
              </w:rPr>
            </w:pPr>
            <w:r>
              <w:rPr>
                <w:spacing w:val="-2"/>
                <w:sz w:val="18"/>
              </w:rPr>
              <w:t>materia</w:t>
            </w:r>
            <w:r>
              <w:rPr>
                <w:sz w:val="18"/>
              </w:rPr>
              <w:tab/>
            </w:r>
            <w:r>
              <w:rPr>
                <w:spacing w:val="-5"/>
                <w:sz w:val="18"/>
              </w:rPr>
              <w:t>del</w:t>
            </w:r>
          </w:p>
          <w:p w14:paraId="2819918D" w14:textId="77777777" w:rsidR="000E52B0" w:rsidRDefault="00F60D74">
            <w:pPr>
              <w:pStyle w:val="TableParagraph"/>
              <w:tabs>
                <w:tab w:val="left" w:pos="1023"/>
              </w:tabs>
              <w:ind w:left="93" w:right="75"/>
              <w:jc w:val="both"/>
              <w:rPr>
                <w:sz w:val="18"/>
              </w:rPr>
            </w:pPr>
            <w:r>
              <w:rPr>
                <w:sz w:val="18"/>
              </w:rPr>
              <w:t xml:space="preserve">deporte, la recreación, el </w:t>
            </w:r>
            <w:proofErr w:type="spellStart"/>
            <w:r>
              <w:rPr>
                <w:spacing w:val="-2"/>
                <w:sz w:val="18"/>
              </w:rPr>
              <w:t>aprovechamien</w:t>
            </w:r>
            <w:proofErr w:type="spellEnd"/>
            <w:r>
              <w:rPr>
                <w:spacing w:val="-2"/>
                <w:sz w:val="18"/>
              </w:rPr>
              <w:t xml:space="preserve"> </w:t>
            </w:r>
            <w:proofErr w:type="spellStart"/>
            <w:r>
              <w:rPr>
                <w:sz w:val="18"/>
              </w:rPr>
              <w:t>to</w:t>
            </w:r>
            <w:proofErr w:type="spellEnd"/>
            <w:r>
              <w:rPr>
                <w:sz w:val="18"/>
              </w:rPr>
              <w:t xml:space="preserve"> del tiempo libre y la actividad física para promover bienestar, la calidad</w:t>
            </w:r>
            <w:r>
              <w:rPr>
                <w:spacing w:val="-16"/>
                <w:sz w:val="18"/>
              </w:rPr>
              <w:t xml:space="preserve"> </w:t>
            </w:r>
            <w:r>
              <w:rPr>
                <w:sz w:val="18"/>
              </w:rPr>
              <w:t>de</w:t>
            </w:r>
            <w:r>
              <w:rPr>
                <w:spacing w:val="-16"/>
                <w:sz w:val="18"/>
              </w:rPr>
              <w:t xml:space="preserve"> </w:t>
            </w:r>
            <w:r>
              <w:rPr>
                <w:sz w:val="18"/>
              </w:rPr>
              <w:t xml:space="preserve">vida, </w:t>
            </w:r>
            <w:r>
              <w:rPr>
                <w:spacing w:val="-4"/>
                <w:sz w:val="18"/>
              </w:rPr>
              <w:t>así</w:t>
            </w:r>
            <w:r>
              <w:rPr>
                <w:sz w:val="18"/>
              </w:rPr>
              <w:tab/>
            </w:r>
            <w:r>
              <w:rPr>
                <w:spacing w:val="-4"/>
                <w:sz w:val="18"/>
              </w:rPr>
              <w:t xml:space="preserve">como </w:t>
            </w:r>
            <w:r>
              <w:rPr>
                <w:sz w:val="18"/>
              </w:rPr>
              <w:t>contribuir a la salud</w:t>
            </w:r>
            <w:r>
              <w:rPr>
                <w:spacing w:val="-16"/>
                <w:sz w:val="18"/>
              </w:rPr>
              <w:t xml:space="preserve"> </w:t>
            </w:r>
            <w:r>
              <w:rPr>
                <w:sz w:val="18"/>
              </w:rPr>
              <w:t>pública,</w:t>
            </w:r>
            <w:r>
              <w:rPr>
                <w:spacing w:val="-16"/>
                <w:sz w:val="18"/>
              </w:rPr>
              <w:t xml:space="preserve"> </w:t>
            </w:r>
            <w:r>
              <w:rPr>
                <w:sz w:val="18"/>
              </w:rPr>
              <w:t>a la educación, a la</w:t>
            </w:r>
            <w:r>
              <w:rPr>
                <w:spacing w:val="35"/>
                <w:sz w:val="18"/>
              </w:rPr>
              <w:t xml:space="preserve"> </w:t>
            </w:r>
            <w:r>
              <w:rPr>
                <w:sz w:val="18"/>
              </w:rPr>
              <w:t>cultura,</w:t>
            </w:r>
            <w:r>
              <w:rPr>
                <w:spacing w:val="36"/>
                <w:sz w:val="18"/>
              </w:rPr>
              <w:t xml:space="preserve"> </w:t>
            </w:r>
            <w:r>
              <w:rPr>
                <w:sz w:val="18"/>
              </w:rPr>
              <w:t>a</w:t>
            </w:r>
            <w:r>
              <w:rPr>
                <w:spacing w:val="36"/>
                <w:sz w:val="18"/>
              </w:rPr>
              <w:t xml:space="preserve"> </w:t>
            </w:r>
            <w:r>
              <w:rPr>
                <w:spacing w:val="-5"/>
                <w:sz w:val="18"/>
              </w:rPr>
              <w:t>la</w:t>
            </w:r>
          </w:p>
          <w:p w14:paraId="77F19673" w14:textId="77777777" w:rsidR="000E52B0" w:rsidRDefault="00F60D74">
            <w:pPr>
              <w:pStyle w:val="TableParagraph"/>
              <w:spacing w:line="199" w:lineRule="exact"/>
              <w:ind w:left="93"/>
              <w:jc w:val="both"/>
              <w:rPr>
                <w:sz w:val="18"/>
              </w:rPr>
            </w:pPr>
            <w:r>
              <w:rPr>
                <w:sz w:val="18"/>
              </w:rPr>
              <w:t>cohesión</w:t>
            </w:r>
            <w:r>
              <w:rPr>
                <w:spacing w:val="77"/>
                <w:w w:val="150"/>
                <w:sz w:val="18"/>
              </w:rPr>
              <w:t xml:space="preserve">   </w:t>
            </w:r>
            <w:r>
              <w:rPr>
                <w:spacing w:val="-10"/>
                <w:sz w:val="18"/>
              </w:rPr>
              <w:t>e</w:t>
            </w:r>
          </w:p>
        </w:tc>
        <w:tc>
          <w:tcPr>
            <w:tcW w:w="2647" w:type="dxa"/>
            <w:tcBorders>
              <w:top w:val="single" w:sz="4" w:space="0" w:color="000000"/>
              <w:left w:val="single" w:sz="4" w:space="0" w:color="000000"/>
              <w:right w:val="single" w:sz="4" w:space="0" w:color="000000"/>
            </w:tcBorders>
          </w:tcPr>
          <w:p w14:paraId="0A25BDE1" w14:textId="77777777" w:rsidR="000E52B0" w:rsidRDefault="00F60D74">
            <w:pPr>
              <w:pStyle w:val="TableParagraph"/>
              <w:tabs>
                <w:tab w:val="left" w:pos="1453"/>
                <w:tab w:val="left" w:pos="1909"/>
                <w:tab w:val="left" w:pos="2399"/>
              </w:tabs>
              <w:ind w:left="91" w:right="77"/>
              <w:jc w:val="both"/>
              <w:rPr>
                <w:sz w:val="18"/>
              </w:rPr>
            </w:pPr>
            <w:r>
              <w:rPr>
                <w:sz w:val="18"/>
              </w:rPr>
              <w:t xml:space="preserve">Formular, coordinar la ejecución y evaluar las </w:t>
            </w:r>
            <w:r>
              <w:rPr>
                <w:spacing w:val="-2"/>
                <w:sz w:val="18"/>
              </w:rPr>
              <w:t>políticas,</w:t>
            </w:r>
            <w:r>
              <w:rPr>
                <w:sz w:val="18"/>
              </w:rPr>
              <w:tab/>
            </w:r>
            <w:r>
              <w:rPr>
                <w:sz w:val="18"/>
              </w:rPr>
              <w:tab/>
            </w:r>
            <w:r>
              <w:rPr>
                <w:spacing w:val="-2"/>
                <w:sz w:val="18"/>
              </w:rPr>
              <w:t xml:space="preserve">planes, </w:t>
            </w:r>
            <w:r>
              <w:rPr>
                <w:sz w:val="18"/>
              </w:rPr>
              <w:t xml:space="preserve">programas y proyectos en materia deporte, la recreación, la actividad </w:t>
            </w:r>
            <w:r>
              <w:rPr>
                <w:spacing w:val="-2"/>
                <w:sz w:val="18"/>
              </w:rPr>
              <w:t>física,</w:t>
            </w:r>
            <w:r>
              <w:rPr>
                <w:sz w:val="18"/>
              </w:rPr>
              <w:tab/>
            </w:r>
            <w:r>
              <w:rPr>
                <w:spacing w:val="-10"/>
                <w:sz w:val="18"/>
              </w:rPr>
              <w:t>y</w:t>
            </w:r>
            <w:r>
              <w:rPr>
                <w:sz w:val="18"/>
              </w:rPr>
              <w:tab/>
            </w:r>
            <w:r>
              <w:rPr>
                <w:sz w:val="18"/>
              </w:rPr>
              <w:tab/>
            </w:r>
            <w:r>
              <w:rPr>
                <w:spacing w:val="-5"/>
                <w:sz w:val="18"/>
              </w:rPr>
              <w:t>el</w:t>
            </w:r>
          </w:p>
          <w:p w14:paraId="64F21D34" w14:textId="77777777" w:rsidR="000E52B0" w:rsidRDefault="00F60D74">
            <w:pPr>
              <w:pStyle w:val="TableParagraph"/>
              <w:tabs>
                <w:tab w:val="left" w:pos="1556"/>
                <w:tab w:val="left" w:pos="1909"/>
              </w:tabs>
              <w:ind w:left="91" w:right="75"/>
              <w:jc w:val="both"/>
              <w:rPr>
                <w:sz w:val="18"/>
              </w:rPr>
            </w:pPr>
            <w:r>
              <w:rPr>
                <w:sz w:val="18"/>
              </w:rPr>
              <w:t xml:space="preserve">aprovechamiento del tiempo libre; Dirigir y orientar la formulación, adopción y evaluación </w:t>
            </w:r>
            <w:r>
              <w:rPr>
                <w:spacing w:val="-2"/>
                <w:sz w:val="18"/>
              </w:rPr>
              <w:t>políticas,</w:t>
            </w:r>
            <w:r>
              <w:rPr>
                <w:sz w:val="18"/>
              </w:rPr>
              <w:tab/>
            </w:r>
            <w:r>
              <w:rPr>
                <w:sz w:val="18"/>
              </w:rPr>
              <w:tab/>
            </w:r>
            <w:r>
              <w:rPr>
                <w:spacing w:val="-2"/>
                <w:sz w:val="18"/>
              </w:rPr>
              <w:t xml:space="preserve">planes, </w:t>
            </w:r>
            <w:r>
              <w:rPr>
                <w:sz w:val="18"/>
              </w:rPr>
              <w:t xml:space="preserve">programas y proyectos del sector administrativo del </w:t>
            </w:r>
            <w:r>
              <w:rPr>
                <w:spacing w:val="-2"/>
                <w:sz w:val="18"/>
              </w:rPr>
              <w:t>deporte,</w:t>
            </w:r>
            <w:r>
              <w:rPr>
                <w:sz w:val="18"/>
              </w:rPr>
              <w:tab/>
            </w:r>
            <w:r>
              <w:rPr>
                <w:spacing w:val="-2"/>
                <w:sz w:val="18"/>
              </w:rPr>
              <w:t>recreación,</w:t>
            </w:r>
          </w:p>
          <w:p w14:paraId="37574422" w14:textId="77777777" w:rsidR="000E52B0" w:rsidRDefault="00F60D74">
            <w:pPr>
              <w:pStyle w:val="TableParagraph"/>
              <w:spacing w:line="218" w:lineRule="exact"/>
              <w:ind w:left="91"/>
              <w:jc w:val="both"/>
              <w:rPr>
                <w:sz w:val="18"/>
              </w:rPr>
            </w:pPr>
            <w:r>
              <w:rPr>
                <w:sz w:val="18"/>
              </w:rPr>
              <w:t>actividad</w:t>
            </w:r>
            <w:r>
              <w:rPr>
                <w:spacing w:val="75"/>
                <w:w w:val="150"/>
                <w:sz w:val="18"/>
              </w:rPr>
              <w:t xml:space="preserve">   </w:t>
            </w:r>
            <w:r>
              <w:rPr>
                <w:sz w:val="18"/>
              </w:rPr>
              <w:t>física,</w:t>
            </w:r>
            <w:r>
              <w:rPr>
                <w:spacing w:val="74"/>
                <w:w w:val="150"/>
                <w:sz w:val="18"/>
              </w:rPr>
              <w:t xml:space="preserve">   </w:t>
            </w:r>
            <w:r>
              <w:rPr>
                <w:spacing w:val="-10"/>
                <w:sz w:val="18"/>
              </w:rPr>
              <w:t>y</w:t>
            </w:r>
          </w:p>
          <w:p w14:paraId="29DDA9F0" w14:textId="77777777" w:rsidR="000E52B0" w:rsidRDefault="00F60D74">
            <w:pPr>
              <w:pStyle w:val="TableParagraph"/>
              <w:ind w:left="91" w:right="77"/>
              <w:jc w:val="both"/>
              <w:rPr>
                <w:sz w:val="18"/>
              </w:rPr>
            </w:pPr>
            <w:r>
              <w:rPr>
                <w:sz w:val="18"/>
              </w:rPr>
              <w:t>aprovechamiento del tiempo libre; Formular, adoptar, coordinar la ejecución y evaluar estrategias para la promoción, fomento, el desarrollo y la orientación del deporte, la recreación, la actividad física y el aprovechamiento del tiempo libre.</w:t>
            </w:r>
          </w:p>
        </w:tc>
        <w:tc>
          <w:tcPr>
            <w:tcW w:w="1985" w:type="dxa"/>
            <w:tcBorders>
              <w:top w:val="single" w:sz="4" w:space="0" w:color="000000"/>
              <w:left w:val="single" w:sz="4" w:space="0" w:color="000000"/>
              <w:right w:val="single" w:sz="4" w:space="0" w:color="000000"/>
            </w:tcBorders>
          </w:tcPr>
          <w:p w14:paraId="37CD3102" w14:textId="77777777" w:rsidR="000E52B0" w:rsidRDefault="00F60D74">
            <w:pPr>
              <w:pStyle w:val="TableParagraph"/>
              <w:tabs>
                <w:tab w:val="left" w:pos="1628"/>
              </w:tabs>
              <w:spacing w:line="217" w:lineRule="exact"/>
              <w:ind w:left="91"/>
              <w:rPr>
                <w:sz w:val="18"/>
              </w:rPr>
            </w:pPr>
            <w:r>
              <w:rPr>
                <w:spacing w:val="-2"/>
                <w:sz w:val="18"/>
              </w:rPr>
              <w:t>Ejercicio</w:t>
            </w:r>
            <w:r>
              <w:rPr>
                <w:sz w:val="18"/>
              </w:rPr>
              <w:tab/>
            </w:r>
            <w:r>
              <w:rPr>
                <w:spacing w:val="-5"/>
                <w:sz w:val="18"/>
              </w:rPr>
              <w:t>del</w:t>
            </w:r>
          </w:p>
          <w:p w14:paraId="55DDE4E1" w14:textId="77777777" w:rsidR="000E52B0" w:rsidRDefault="00F60D74">
            <w:pPr>
              <w:pStyle w:val="TableParagraph"/>
              <w:tabs>
                <w:tab w:val="left" w:pos="1492"/>
                <w:tab w:val="left" w:pos="1595"/>
                <w:tab w:val="left" w:pos="1790"/>
              </w:tabs>
              <w:ind w:left="91" w:right="75"/>
              <w:rPr>
                <w:sz w:val="18"/>
              </w:rPr>
            </w:pPr>
            <w:r>
              <w:rPr>
                <w:spacing w:val="-2"/>
                <w:sz w:val="18"/>
              </w:rPr>
              <w:t>deporte,</w:t>
            </w:r>
            <w:r>
              <w:rPr>
                <w:sz w:val="18"/>
              </w:rPr>
              <w:tab/>
            </w:r>
            <w:r>
              <w:rPr>
                <w:sz w:val="18"/>
              </w:rPr>
              <w:tab/>
            </w:r>
            <w:r>
              <w:rPr>
                <w:spacing w:val="-4"/>
                <w:sz w:val="18"/>
              </w:rPr>
              <w:t xml:space="preserve">sus </w:t>
            </w:r>
            <w:r>
              <w:rPr>
                <w:spacing w:val="-2"/>
                <w:sz w:val="18"/>
              </w:rPr>
              <w:t>manifestaciones recreativas</w:t>
            </w:r>
            <w:r>
              <w:rPr>
                <w:sz w:val="18"/>
              </w:rPr>
              <w:tab/>
            </w:r>
            <w:r>
              <w:rPr>
                <w:sz w:val="18"/>
              </w:rPr>
              <w:tab/>
            </w:r>
            <w:r>
              <w:rPr>
                <w:sz w:val="18"/>
              </w:rPr>
              <w:tab/>
            </w:r>
            <w:r>
              <w:rPr>
                <w:spacing w:val="-10"/>
                <w:sz w:val="18"/>
              </w:rPr>
              <w:t xml:space="preserve">y </w:t>
            </w:r>
            <w:r>
              <w:rPr>
                <w:spacing w:val="-2"/>
                <w:sz w:val="18"/>
              </w:rPr>
              <w:t>competitivas</w:t>
            </w:r>
            <w:r>
              <w:rPr>
                <w:sz w:val="18"/>
              </w:rPr>
              <w:tab/>
            </w:r>
            <w:r>
              <w:rPr>
                <w:spacing w:val="-4"/>
                <w:sz w:val="18"/>
              </w:rPr>
              <w:t xml:space="preserve">(art. </w:t>
            </w:r>
            <w:r>
              <w:rPr>
                <w:sz w:val="18"/>
              </w:rPr>
              <w:t>52 C.P)</w:t>
            </w:r>
          </w:p>
        </w:tc>
        <w:tc>
          <w:tcPr>
            <w:tcW w:w="1337" w:type="dxa"/>
            <w:tcBorders>
              <w:top w:val="single" w:sz="4" w:space="0" w:color="000000"/>
              <w:left w:val="single" w:sz="4" w:space="0" w:color="000000"/>
            </w:tcBorders>
          </w:tcPr>
          <w:p w14:paraId="3CA26CB2" w14:textId="77777777" w:rsidR="000E52B0" w:rsidRDefault="00F60D74">
            <w:pPr>
              <w:pStyle w:val="TableParagraph"/>
              <w:tabs>
                <w:tab w:val="left" w:pos="979"/>
              </w:tabs>
              <w:ind w:left="92" w:right="72"/>
              <w:rPr>
                <w:sz w:val="18"/>
              </w:rPr>
            </w:pPr>
            <w:r>
              <w:rPr>
                <w:spacing w:val="-2"/>
                <w:sz w:val="18"/>
              </w:rPr>
              <w:t xml:space="preserve">sector </w:t>
            </w:r>
            <w:proofErr w:type="spellStart"/>
            <w:r>
              <w:rPr>
                <w:spacing w:val="-2"/>
                <w:sz w:val="18"/>
              </w:rPr>
              <w:t>administrati</w:t>
            </w:r>
            <w:proofErr w:type="spellEnd"/>
            <w:r>
              <w:rPr>
                <w:spacing w:val="-2"/>
                <w:sz w:val="18"/>
              </w:rPr>
              <w:t xml:space="preserve"> </w:t>
            </w:r>
            <w:proofErr w:type="spellStart"/>
            <w:r>
              <w:rPr>
                <w:spacing w:val="-5"/>
                <w:sz w:val="18"/>
              </w:rPr>
              <w:t>vo</w:t>
            </w:r>
            <w:proofErr w:type="spellEnd"/>
            <w:r>
              <w:rPr>
                <w:sz w:val="18"/>
              </w:rPr>
              <w:tab/>
            </w:r>
            <w:r>
              <w:rPr>
                <w:spacing w:val="-5"/>
                <w:sz w:val="18"/>
              </w:rPr>
              <w:t>del</w:t>
            </w:r>
          </w:p>
          <w:p w14:paraId="3E30C427" w14:textId="77777777" w:rsidR="000E52B0" w:rsidRDefault="00F60D74">
            <w:pPr>
              <w:pStyle w:val="TableParagraph"/>
              <w:tabs>
                <w:tab w:val="left" w:pos="981"/>
                <w:tab w:val="left" w:pos="1142"/>
              </w:tabs>
              <w:ind w:left="92" w:right="72"/>
              <w:rPr>
                <w:sz w:val="18"/>
              </w:rPr>
            </w:pPr>
            <w:r>
              <w:rPr>
                <w:spacing w:val="-2"/>
                <w:sz w:val="18"/>
              </w:rPr>
              <w:t>deporte, recreación, actividad física,</w:t>
            </w:r>
            <w:r>
              <w:rPr>
                <w:sz w:val="18"/>
              </w:rPr>
              <w:tab/>
            </w:r>
            <w:r>
              <w:rPr>
                <w:sz w:val="18"/>
              </w:rPr>
              <w:tab/>
            </w:r>
            <w:r>
              <w:rPr>
                <w:spacing w:val="-10"/>
                <w:sz w:val="18"/>
              </w:rPr>
              <w:t xml:space="preserve">y </w:t>
            </w:r>
            <w:proofErr w:type="spellStart"/>
            <w:r>
              <w:rPr>
                <w:spacing w:val="-2"/>
                <w:sz w:val="18"/>
              </w:rPr>
              <w:t>aprovecham</w:t>
            </w:r>
            <w:proofErr w:type="spellEnd"/>
            <w:r>
              <w:rPr>
                <w:spacing w:val="-2"/>
                <w:sz w:val="18"/>
              </w:rPr>
              <w:t xml:space="preserve"> </w:t>
            </w:r>
            <w:proofErr w:type="spellStart"/>
            <w:r>
              <w:rPr>
                <w:spacing w:val="-2"/>
                <w:sz w:val="18"/>
              </w:rPr>
              <w:t>iento</w:t>
            </w:r>
            <w:proofErr w:type="spellEnd"/>
            <w:r>
              <w:rPr>
                <w:sz w:val="18"/>
              </w:rPr>
              <w:tab/>
            </w:r>
            <w:r>
              <w:rPr>
                <w:spacing w:val="-4"/>
                <w:sz w:val="18"/>
              </w:rPr>
              <w:t xml:space="preserve">del </w:t>
            </w:r>
            <w:r>
              <w:rPr>
                <w:sz w:val="18"/>
              </w:rPr>
              <w:t>tiempo</w:t>
            </w:r>
            <w:r>
              <w:rPr>
                <w:spacing w:val="-2"/>
                <w:sz w:val="18"/>
              </w:rPr>
              <w:t xml:space="preserve"> libre.</w:t>
            </w:r>
          </w:p>
        </w:tc>
      </w:tr>
    </w:tbl>
    <w:p w14:paraId="47029AC1" w14:textId="77777777" w:rsidR="000E52B0" w:rsidRDefault="000E52B0">
      <w:pPr>
        <w:pStyle w:val="TableParagraph"/>
        <w:rPr>
          <w:sz w:val="18"/>
        </w:rPr>
        <w:sectPr w:rsidR="000E52B0">
          <w:type w:val="continuous"/>
          <w:pgSz w:w="11910" w:h="16840"/>
          <w:pgMar w:top="1400" w:right="720" w:bottom="1180" w:left="720" w:header="0" w:footer="995" w:gutter="0"/>
          <w:cols w:space="720"/>
        </w:sectPr>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6"/>
        <w:gridCol w:w="1601"/>
        <w:gridCol w:w="2647"/>
        <w:gridCol w:w="1985"/>
        <w:gridCol w:w="1337"/>
      </w:tblGrid>
      <w:tr w:rsidR="000E52B0" w14:paraId="6A00E1E5" w14:textId="77777777">
        <w:trPr>
          <w:trHeight w:val="875"/>
        </w:trPr>
        <w:tc>
          <w:tcPr>
            <w:tcW w:w="1416" w:type="dxa"/>
            <w:tcBorders>
              <w:bottom w:val="single" w:sz="4" w:space="0" w:color="000000"/>
              <w:right w:val="single" w:sz="4" w:space="0" w:color="000000"/>
            </w:tcBorders>
            <w:shd w:val="clear" w:color="auto" w:fill="D44673"/>
          </w:tcPr>
          <w:p w14:paraId="49F7B4A8" w14:textId="77777777" w:rsidR="000E52B0" w:rsidRDefault="000E52B0">
            <w:pPr>
              <w:pStyle w:val="TableParagraph"/>
              <w:spacing w:before="109"/>
              <w:rPr>
                <w:sz w:val="18"/>
              </w:rPr>
            </w:pPr>
          </w:p>
          <w:p w14:paraId="3EDA6301" w14:textId="77777777" w:rsidR="000E52B0" w:rsidRDefault="00F60D74">
            <w:pPr>
              <w:pStyle w:val="TableParagraph"/>
              <w:ind w:left="206"/>
              <w:rPr>
                <w:b/>
                <w:sz w:val="18"/>
              </w:rPr>
            </w:pPr>
            <w:r>
              <w:rPr>
                <w:b/>
                <w:color w:val="FFFFFF"/>
                <w:spacing w:val="-2"/>
                <w:sz w:val="18"/>
              </w:rPr>
              <w:t>Ministerio</w:t>
            </w:r>
          </w:p>
        </w:tc>
        <w:tc>
          <w:tcPr>
            <w:tcW w:w="1601" w:type="dxa"/>
            <w:tcBorders>
              <w:left w:val="single" w:sz="4" w:space="0" w:color="000000"/>
              <w:bottom w:val="single" w:sz="4" w:space="0" w:color="000000"/>
              <w:right w:val="single" w:sz="4" w:space="0" w:color="000000"/>
            </w:tcBorders>
            <w:shd w:val="clear" w:color="auto" w:fill="D44673"/>
          </w:tcPr>
          <w:p w14:paraId="5B14EC43" w14:textId="77777777" w:rsidR="000E52B0" w:rsidRDefault="000E52B0">
            <w:pPr>
              <w:pStyle w:val="TableParagraph"/>
              <w:spacing w:before="109"/>
              <w:rPr>
                <w:sz w:val="18"/>
              </w:rPr>
            </w:pPr>
          </w:p>
          <w:p w14:paraId="4CB8AA72" w14:textId="77777777" w:rsidR="000E52B0" w:rsidRDefault="00F60D74">
            <w:pPr>
              <w:pStyle w:val="TableParagraph"/>
              <w:ind w:left="374"/>
              <w:rPr>
                <w:b/>
                <w:sz w:val="18"/>
              </w:rPr>
            </w:pPr>
            <w:r>
              <w:rPr>
                <w:b/>
                <w:color w:val="FFFFFF"/>
                <w:spacing w:val="-2"/>
                <w:sz w:val="18"/>
              </w:rPr>
              <w:t>Objetivo</w:t>
            </w:r>
          </w:p>
        </w:tc>
        <w:tc>
          <w:tcPr>
            <w:tcW w:w="2647" w:type="dxa"/>
            <w:tcBorders>
              <w:left w:val="single" w:sz="4" w:space="0" w:color="000000"/>
              <w:bottom w:val="single" w:sz="4" w:space="0" w:color="000000"/>
              <w:right w:val="single" w:sz="4" w:space="0" w:color="000000"/>
            </w:tcBorders>
            <w:shd w:val="clear" w:color="auto" w:fill="D44673"/>
          </w:tcPr>
          <w:p w14:paraId="636FA4AA" w14:textId="77777777" w:rsidR="000E52B0" w:rsidRDefault="000E52B0">
            <w:pPr>
              <w:pStyle w:val="TableParagraph"/>
              <w:spacing w:before="109"/>
              <w:rPr>
                <w:sz w:val="18"/>
              </w:rPr>
            </w:pPr>
          </w:p>
          <w:p w14:paraId="4D0CF203" w14:textId="77777777" w:rsidR="000E52B0" w:rsidRDefault="00F60D74">
            <w:pPr>
              <w:pStyle w:val="TableParagraph"/>
              <w:ind w:left="813"/>
              <w:rPr>
                <w:b/>
                <w:sz w:val="18"/>
              </w:rPr>
            </w:pPr>
            <w:r>
              <w:rPr>
                <w:b/>
                <w:color w:val="FFFFFF"/>
                <w:spacing w:val="-2"/>
                <w:sz w:val="18"/>
              </w:rPr>
              <w:t>Funciones</w:t>
            </w:r>
          </w:p>
        </w:tc>
        <w:tc>
          <w:tcPr>
            <w:tcW w:w="1985" w:type="dxa"/>
            <w:tcBorders>
              <w:left w:val="single" w:sz="4" w:space="0" w:color="000000"/>
              <w:bottom w:val="single" w:sz="4" w:space="0" w:color="000000"/>
              <w:right w:val="single" w:sz="4" w:space="0" w:color="000000"/>
            </w:tcBorders>
            <w:shd w:val="clear" w:color="auto" w:fill="D44673"/>
          </w:tcPr>
          <w:p w14:paraId="04AD3848" w14:textId="77777777" w:rsidR="000E52B0" w:rsidRDefault="00F60D74">
            <w:pPr>
              <w:pStyle w:val="TableParagraph"/>
              <w:ind w:left="118" w:right="105" w:firstLine="1"/>
              <w:jc w:val="center"/>
              <w:rPr>
                <w:b/>
                <w:sz w:val="18"/>
              </w:rPr>
            </w:pPr>
            <w:r>
              <w:rPr>
                <w:b/>
                <w:color w:val="FFFFFF"/>
                <w:sz w:val="18"/>
              </w:rPr>
              <w:t>Derecho</w:t>
            </w:r>
            <w:r>
              <w:rPr>
                <w:b/>
                <w:color w:val="FFFFFF"/>
                <w:spacing w:val="-16"/>
                <w:sz w:val="18"/>
              </w:rPr>
              <w:t xml:space="preserve"> </w:t>
            </w:r>
            <w:r>
              <w:rPr>
                <w:b/>
                <w:color w:val="FFFFFF"/>
                <w:sz w:val="18"/>
              </w:rPr>
              <w:t>Humano o</w:t>
            </w:r>
            <w:r>
              <w:rPr>
                <w:b/>
                <w:color w:val="FFFFFF"/>
                <w:spacing w:val="-1"/>
                <w:sz w:val="18"/>
              </w:rPr>
              <w:t xml:space="preserve"> </w:t>
            </w:r>
            <w:r>
              <w:rPr>
                <w:b/>
                <w:color w:val="FFFFFF"/>
                <w:sz w:val="18"/>
              </w:rPr>
              <w:t>Fin</w:t>
            </w:r>
            <w:r>
              <w:rPr>
                <w:b/>
                <w:color w:val="FFFFFF"/>
                <w:spacing w:val="-3"/>
                <w:sz w:val="18"/>
              </w:rPr>
              <w:t xml:space="preserve"> </w:t>
            </w:r>
            <w:r>
              <w:rPr>
                <w:b/>
                <w:color w:val="FFFFFF"/>
                <w:sz w:val="18"/>
              </w:rPr>
              <w:t xml:space="preserve">Esencial </w:t>
            </w:r>
            <w:r>
              <w:rPr>
                <w:b/>
                <w:color w:val="FFFFFF"/>
                <w:spacing w:val="-5"/>
                <w:sz w:val="18"/>
              </w:rPr>
              <w:t>del</w:t>
            </w:r>
          </w:p>
          <w:p w14:paraId="0454D7CF" w14:textId="77777777" w:rsidR="000E52B0" w:rsidRDefault="00F60D74">
            <w:pPr>
              <w:pStyle w:val="TableParagraph"/>
              <w:spacing w:line="218" w:lineRule="exact"/>
              <w:ind w:left="12"/>
              <w:jc w:val="center"/>
              <w:rPr>
                <w:b/>
                <w:sz w:val="18"/>
              </w:rPr>
            </w:pPr>
            <w:r>
              <w:rPr>
                <w:b/>
                <w:color w:val="FFFFFF"/>
                <w:sz w:val="18"/>
              </w:rPr>
              <w:t>Estado</w:t>
            </w:r>
            <w:r>
              <w:rPr>
                <w:b/>
                <w:color w:val="FFFFFF"/>
                <w:spacing w:val="-16"/>
                <w:sz w:val="18"/>
              </w:rPr>
              <w:t xml:space="preserve"> </w:t>
            </w:r>
            <w:r>
              <w:rPr>
                <w:b/>
                <w:color w:val="FFFFFF"/>
                <w:sz w:val="18"/>
              </w:rPr>
              <w:t>al</w:t>
            </w:r>
            <w:r>
              <w:rPr>
                <w:b/>
                <w:color w:val="FFFFFF"/>
                <w:spacing w:val="-15"/>
                <w:sz w:val="18"/>
              </w:rPr>
              <w:t xml:space="preserve"> </w:t>
            </w:r>
            <w:r>
              <w:rPr>
                <w:b/>
                <w:color w:val="FFFFFF"/>
                <w:sz w:val="18"/>
              </w:rPr>
              <w:t xml:space="preserve">que </w:t>
            </w:r>
            <w:r>
              <w:rPr>
                <w:b/>
                <w:color w:val="FFFFFF"/>
                <w:spacing w:val="-2"/>
                <w:sz w:val="18"/>
              </w:rPr>
              <w:t>responde.</w:t>
            </w:r>
          </w:p>
        </w:tc>
        <w:tc>
          <w:tcPr>
            <w:tcW w:w="1337" w:type="dxa"/>
            <w:tcBorders>
              <w:left w:val="single" w:sz="4" w:space="0" w:color="000000"/>
              <w:bottom w:val="single" w:sz="4" w:space="0" w:color="000000"/>
            </w:tcBorders>
            <w:shd w:val="clear" w:color="auto" w:fill="D44673"/>
          </w:tcPr>
          <w:p w14:paraId="45E7D5C6" w14:textId="77777777" w:rsidR="000E52B0" w:rsidRDefault="00F60D74">
            <w:pPr>
              <w:pStyle w:val="TableParagraph"/>
              <w:spacing w:before="217" w:line="242" w:lineRule="auto"/>
              <w:ind w:left="579" w:right="91" w:hanging="473"/>
              <w:rPr>
                <w:b/>
                <w:sz w:val="18"/>
              </w:rPr>
            </w:pPr>
            <w:proofErr w:type="spellStart"/>
            <w:r>
              <w:rPr>
                <w:b/>
                <w:color w:val="FFFFFF"/>
                <w:spacing w:val="-2"/>
                <w:sz w:val="18"/>
              </w:rPr>
              <w:t>Competenc</w:t>
            </w:r>
            <w:proofErr w:type="spellEnd"/>
            <w:r>
              <w:rPr>
                <w:b/>
                <w:color w:val="FFFFFF"/>
                <w:spacing w:val="-2"/>
                <w:sz w:val="18"/>
              </w:rPr>
              <w:t xml:space="preserve"> </w:t>
            </w:r>
            <w:proofErr w:type="spellStart"/>
            <w:r>
              <w:rPr>
                <w:b/>
                <w:color w:val="FFFFFF"/>
                <w:spacing w:val="-6"/>
                <w:sz w:val="18"/>
              </w:rPr>
              <w:t>ia</w:t>
            </w:r>
            <w:proofErr w:type="spellEnd"/>
          </w:p>
        </w:tc>
      </w:tr>
      <w:tr w:rsidR="000E52B0" w14:paraId="4138C576" w14:textId="77777777">
        <w:trPr>
          <w:trHeight w:val="2411"/>
        </w:trPr>
        <w:tc>
          <w:tcPr>
            <w:tcW w:w="1416" w:type="dxa"/>
            <w:tcBorders>
              <w:top w:val="single" w:sz="4" w:space="0" w:color="000000"/>
              <w:right w:val="single" w:sz="4" w:space="0" w:color="000000"/>
            </w:tcBorders>
          </w:tcPr>
          <w:p w14:paraId="3EE70DA5" w14:textId="77777777" w:rsidR="000E52B0" w:rsidRDefault="000E52B0">
            <w:pPr>
              <w:pStyle w:val="TableParagraph"/>
              <w:rPr>
                <w:rFonts w:ascii="Times New Roman"/>
                <w:sz w:val="18"/>
              </w:rPr>
            </w:pPr>
          </w:p>
        </w:tc>
        <w:tc>
          <w:tcPr>
            <w:tcW w:w="1601" w:type="dxa"/>
            <w:tcBorders>
              <w:top w:val="single" w:sz="4" w:space="0" w:color="000000"/>
              <w:left w:val="single" w:sz="4" w:space="0" w:color="000000"/>
              <w:right w:val="single" w:sz="4" w:space="0" w:color="000000"/>
            </w:tcBorders>
          </w:tcPr>
          <w:p w14:paraId="41034BA8" w14:textId="77777777" w:rsidR="000E52B0" w:rsidRDefault="00F60D74">
            <w:pPr>
              <w:pStyle w:val="TableParagraph"/>
              <w:tabs>
                <w:tab w:val="left" w:pos="953"/>
                <w:tab w:val="left" w:pos="1351"/>
              </w:tabs>
              <w:spacing w:before="3"/>
              <w:ind w:left="93" w:right="79"/>
              <w:rPr>
                <w:sz w:val="18"/>
              </w:rPr>
            </w:pPr>
            <w:r>
              <w:rPr>
                <w:spacing w:val="-2"/>
                <w:sz w:val="18"/>
              </w:rPr>
              <w:t>integración social,</w:t>
            </w:r>
            <w:r>
              <w:rPr>
                <w:sz w:val="18"/>
              </w:rPr>
              <w:tab/>
            </w:r>
            <w:r>
              <w:rPr>
                <w:spacing w:val="-10"/>
                <w:sz w:val="18"/>
              </w:rPr>
              <w:t>a</w:t>
            </w:r>
            <w:r>
              <w:rPr>
                <w:sz w:val="18"/>
              </w:rPr>
              <w:tab/>
            </w:r>
            <w:r>
              <w:rPr>
                <w:spacing w:val="-6"/>
                <w:sz w:val="18"/>
              </w:rPr>
              <w:t xml:space="preserve">la </w:t>
            </w:r>
            <w:r>
              <w:rPr>
                <w:spacing w:val="-2"/>
                <w:sz w:val="18"/>
              </w:rPr>
              <w:t xml:space="preserve">conciencia </w:t>
            </w:r>
            <w:r>
              <w:rPr>
                <w:sz w:val="18"/>
              </w:rPr>
              <w:t>nacional</w:t>
            </w:r>
            <w:r>
              <w:rPr>
                <w:spacing w:val="-8"/>
                <w:sz w:val="18"/>
              </w:rPr>
              <w:t xml:space="preserve"> </w:t>
            </w:r>
            <w:r>
              <w:rPr>
                <w:sz w:val="18"/>
              </w:rPr>
              <w:t>y</w:t>
            </w:r>
            <w:r>
              <w:rPr>
                <w:spacing w:val="-9"/>
                <w:sz w:val="18"/>
              </w:rPr>
              <w:t xml:space="preserve"> </w:t>
            </w:r>
            <w:r>
              <w:rPr>
                <w:sz w:val="18"/>
              </w:rPr>
              <w:t>a</w:t>
            </w:r>
            <w:r>
              <w:rPr>
                <w:spacing w:val="-7"/>
                <w:sz w:val="18"/>
              </w:rPr>
              <w:t xml:space="preserve"> </w:t>
            </w:r>
            <w:r>
              <w:rPr>
                <w:sz w:val="18"/>
              </w:rPr>
              <w:t xml:space="preserve">las </w:t>
            </w:r>
            <w:r>
              <w:rPr>
                <w:spacing w:val="-2"/>
                <w:sz w:val="18"/>
              </w:rPr>
              <w:t>relaciones internacionales</w:t>
            </w:r>
          </w:p>
          <w:p w14:paraId="367A4845" w14:textId="77777777" w:rsidR="000E52B0" w:rsidRDefault="00F60D74">
            <w:pPr>
              <w:pStyle w:val="TableParagraph"/>
              <w:spacing w:before="1"/>
              <w:ind w:left="93" w:right="74"/>
              <w:jc w:val="both"/>
              <w:rPr>
                <w:sz w:val="18"/>
              </w:rPr>
            </w:pPr>
            <w:r>
              <w:rPr>
                <w:sz w:val="18"/>
              </w:rPr>
              <w:t>, a través de la participación</w:t>
            </w:r>
            <w:r>
              <w:rPr>
                <w:spacing w:val="-16"/>
                <w:sz w:val="18"/>
              </w:rPr>
              <w:t xml:space="preserve"> </w:t>
            </w:r>
            <w:r>
              <w:rPr>
                <w:sz w:val="18"/>
              </w:rPr>
              <w:t>de los actores públicos</w:t>
            </w:r>
            <w:r>
              <w:rPr>
                <w:spacing w:val="49"/>
                <w:w w:val="150"/>
                <w:sz w:val="18"/>
              </w:rPr>
              <w:t xml:space="preserve">    </w:t>
            </w:r>
            <w:r>
              <w:rPr>
                <w:spacing w:val="-10"/>
                <w:sz w:val="18"/>
              </w:rPr>
              <w:t>y</w:t>
            </w:r>
          </w:p>
          <w:p w14:paraId="0C33498C" w14:textId="77777777" w:rsidR="000E52B0" w:rsidRDefault="00F60D74">
            <w:pPr>
              <w:pStyle w:val="TableParagraph"/>
              <w:spacing w:before="1" w:line="199" w:lineRule="exact"/>
              <w:ind w:left="93"/>
              <w:rPr>
                <w:sz w:val="18"/>
              </w:rPr>
            </w:pPr>
            <w:r>
              <w:rPr>
                <w:spacing w:val="-2"/>
                <w:sz w:val="18"/>
              </w:rPr>
              <w:t>privados.</w:t>
            </w:r>
          </w:p>
        </w:tc>
        <w:tc>
          <w:tcPr>
            <w:tcW w:w="2647" w:type="dxa"/>
            <w:tcBorders>
              <w:top w:val="single" w:sz="4" w:space="0" w:color="000000"/>
              <w:left w:val="single" w:sz="4" w:space="0" w:color="000000"/>
              <w:right w:val="single" w:sz="4" w:space="0" w:color="000000"/>
            </w:tcBorders>
          </w:tcPr>
          <w:p w14:paraId="26994877" w14:textId="77777777" w:rsidR="000E52B0" w:rsidRDefault="000E52B0">
            <w:pPr>
              <w:pStyle w:val="TableParagraph"/>
              <w:rPr>
                <w:rFonts w:ascii="Times New Roman"/>
                <w:sz w:val="18"/>
              </w:rPr>
            </w:pPr>
          </w:p>
        </w:tc>
        <w:tc>
          <w:tcPr>
            <w:tcW w:w="1985" w:type="dxa"/>
            <w:tcBorders>
              <w:top w:val="single" w:sz="4" w:space="0" w:color="000000"/>
              <w:left w:val="single" w:sz="4" w:space="0" w:color="000000"/>
              <w:right w:val="single" w:sz="4" w:space="0" w:color="000000"/>
            </w:tcBorders>
          </w:tcPr>
          <w:p w14:paraId="617DD771" w14:textId="77777777" w:rsidR="000E52B0" w:rsidRDefault="000E52B0">
            <w:pPr>
              <w:pStyle w:val="TableParagraph"/>
              <w:rPr>
                <w:rFonts w:ascii="Times New Roman"/>
                <w:sz w:val="18"/>
              </w:rPr>
            </w:pPr>
          </w:p>
        </w:tc>
        <w:tc>
          <w:tcPr>
            <w:tcW w:w="1337" w:type="dxa"/>
            <w:tcBorders>
              <w:top w:val="single" w:sz="4" w:space="0" w:color="000000"/>
              <w:left w:val="single" w:sz="4" w:space="0" w:color="000000"/>
            </w:tcBorders>
          </w:tcPr>
          <w:p w14:paraId="33BEFE91" w14:textId="77777777" w:rsidR="000E52B0" w:rsidRDefault="000E52B0">
            <w:pPr>
              <w:pStyle w:val="TableParagraph"/>
              <w:rPr>
                <w:rFonts w:ascii="Times New Roman"/>
                <w:sz w:val="18"/>
              </w:rPr>
            </w:pPr>
          </w:p>
        </w:tc>
      </w:tr>
    </w:tbl>
    <w:p w14:paraId="39FC0FF7" w14:textId="77777777" w:rsidR="000E52B0" w:rsidRDefault="000E52B0">
      <w:pPr>
        <w:pStyle w:val="Textoindependiente"/>
        <w:spacing w:before="182"/>
        <w:ind w:left="0"/>
        <w:rPr>
          <w:sz w:val="22"/>
        </w:rPr>
      </w:pPr>
    </w:p>
    <w:p w14:paraId="15FD573E" w14:textId="77777777" w:rsidR="000E52B0" w:rsidRDefault="00F60D74">
      <w:pPr>
        <w:ind w:left="720" w:right="712"/>
        <w:jc w:val="both"/>
      </w:pPr>
      <w:r>
        <w:t>Durante la vigencia de la Ley 2281 de 2023 el Ministerio de Igualdad y Equidad ha materializado la articulación interinstitucional e intersectorial necesaria para cumplir los objetivos de los programas y proyectos que relacionan competencias y funciones de otras entidades y sectores de la administración pública. La articulación se realiza en los términos del artículo 6 de la Ley 489 de 1998, garantizando</w:t>
      </w:r>
      <w:r>
        <w:rPr>
          <w:spacing w:val="-10"/>
        </w:rPr>
        <w:t xml:space="preserve"> </w:t>
      </w:r>
      <w:r>
        <w:t>la</w:t>
      </w:r>
      <w:r>
        <w:rPr>
          <w:spacing w:val="-11"/>
        </w:rPr>
        <w:t xml:space="preserve"> </w:t>
      </w:r>
      <w:r>
        <w:t>materialización</w:t>
      </w:r>
      <w:r>
        <w:rPr>
          <w:spacing w:val="-10"/>
        </w:rPr>
        <w:t xml:space="preserve"> </w:t>
      </w:r>
      <w:r>
        <w:t>de</w:t>
      </w:r>
      <w:r>
        <w:rPr>
          <w:spacing w:val="-10"/>
        </w:rPr>
        <w:t xml:space="preserve"> </w:t>
      </w:r>
      <w:r>
        <w:t>los</w:t>
      </w:r>
      <w:r>
        <w:rPr>
          <w:spacing w:val="-10"/>
        </w:rPr>
        <w:t xml:space="preserve"> </w:t>
      </w:r>
      <w:r>
        <w:t>principios</w:t>
      </w:r>
      <w:r>
        <w:rPr>
          <w:spacing w:val="-10"/>
        </w:rPr>
        <w:t xml:space="preserve"> </w:t>
      </w:r>
      <w:r>
        <w:t>de</w:t>
      </w:r>
      <w:r>
        <w:rPr>
          <w:spacing w:val="-10"/>
        </w:rPr>
        <w:t xml:space="preserve"> </w:t>
      </w:r>
      <w:r>
        <w:t>Coordinación</w:t>
      </w:r>
      <w:r>
        <w:rPr>
          <w:spacing w:val="-13"/>
        </w:rPr>
        <w:t xml:space="preserve"> </w:t>
      </w:r>
      <w:r>
        <w:t>y</w:t>
      </w:r>
      <w:r>
        <w:rPr>
          <w:spacing w:val="-11"/>
        </w:rPr>
        <w:t xml:space="preserve"> </w:t>
      </w:r>
      <w:r>
        <w:t>Cooperación</w:t>
      </w:r>
      <w:r>
        <w:rPr>
          <w:spacing w:val="-10"/>
        </w:rPr>
        <w:t xml:space="preserve"> </w:t>
      </w:r>
      <w:r>
        <w:t>y, en ese sentido, se ha puesto de presente una armonía en el ejercicio de las funciones de diferentes carteras y sectores que ha derivado en la expedición de diferentes actos administrativos en los que se reúnen esfuerzos institucionales para la puesta en marcha de objetivos y fines comunes. Las siguientes tablas relacionan los actos administrativos que ha expedido y en los que ha participado el Ministerio de Igualdad y Equidad.</w:t>
      </w:r>
    </w:p>
    <w:p w14:paraId="33089734" w14:textId="77777777" w:rsidR="000E52B0" w:rsidRDefault="00F60D74">
      <w:pPr>
        <w:pStyle w:val="Ttulo2"/>
        <w:spacing w:before="160"/>
      </w:pPr>
      <w:bookmarkStart w:id="201" w:name="_bookmark201"/>
      <w:bookmarkEnd w:id="201"/>
      <w:r>
        <w:rPr>
          <w:color w:val="B3176C"/>
        </w:rPr>
        <w:t>Actos</w:t>
      </w:r>
      <w:r>
        <w:rPr>
          <w:color w:val="B3176C"/>
          <w:spacing w:val="-12"/>
        </w:rPr>
        <w:t xml:space="preserve"> </w:t>
      </w:r>
      <w:r>
        <w:rPr>
          <w:color w:val="B3176C"/>
        </w:rPr>
        <w:t>administrativos</w:t>
      </w:r>
      <w:r>
        <w:rPr>
          <w:color w:val="B3176C"/>
          <w:spacing w:val="-11"/>
        </w:rPr>
        <w:t xml:space="preserve"> </w:t>
      </w:r>
      <w:r>
        <w:rPr>
          <w:color w:val="B3176C"/>
        </w:rPr>
        <w:t>emitidos</w:t>
      </w:r>
      <w:r>
        <w:rPr>
          <w:color w:val="B3176C"/>
          <w:spacing w:val="-9"/>
        </w:rPr>
        <w:t xml:space="preserve"> </w:t>
      </w:r>
      <w:r>
        <w:rPr>
          <w:color w:val="B3176C"/>
        </w:rPr>
        <w:t>del</w:t>
      </w:r>
      <w:r>
        <w:rPr>
          <w:color w:val="B3176C"/>
          <w:spacing w:val="-12"/>
        </w:rPr>
        <w:t xml:space="preserve"> </w:t>
      </w:r>
      <w:r>
        <w:rPr>
          <w:color w:val="B3176C"/>
        </w:rPr>
        <w:t>Sector</w:t>
      </w:r>
      <w:r>
        <w:rPr>
          <w:color w:val="B3176C"/>
          <w:spacing w:val="-11"/>
        </w:rPr>
        <w:t xml:space="preserve"> </w:t>
      </w:r>
      <w:r>
        <w:rPr>
          <w:color w:val="B3176C"/>
        </w:rPr>
        <w:t>Igualdad</w:t>
      </w:r>
      <w:r>
        <w:rPr>
          <w:color w:val="B3176C"/>
          <w:spacing w:val="-12"/>
        </w:rPr>
        <w:t xml:space="preserve"> </w:t>
      </w:r>
      <w:r>
        <w:rPr>
          <w:color w:val="B3176C"/>
        </w:rPr>
        <w:t>y</w:t>
      </w:r>
      <w:r>
        <w:rPr>
          <w:color w:val="B3176C"/>
          <w:spacing w:val="-8"/>
        </w:rPr>
        <w:t xml:space="preserve"> </w:t>
      </w:r>
      <w:r>
        <w:rPr>
          <w:color w:val="B3176C"/>
          <w:spacing w:val="-2"/>
        </w:rPr>
        <w:t>Equidad</w:t>
      </w:r>
    </w:p>
    <w:p w14:paraId="6B9D69C6" w14:textId="77777777" w:rsidR="000E52B0" w:rsidRDefault="000E52B0">
      <w:pPr>
        <w:pStyle w:val="Textoindependiente"/>
        <w:spacing w:before="26"/>
        <w:ind w:left="0"/>
        <w:rPr>
          <w:sz w:val="20"/>
        </w:rPr>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72"/>
        <w:gridCol w:w="2761"/>
        <w:gridCol w:w="3661"/>
      </w:tblGrid>
      <w:tr w:rsidR="000E52B0" w14:paraId="0F5DBE25" w14:textId="77777777">
        <w:trPr>
          <w:trHeight w:val="556"/>
        </w:trPr>
        <w:tc>
          <w:tcPr>
            <w:tcW w:w="2372" w:type="dxa"/>
            <w:shd w:val="clear" w:color="auto" w:fill="D44673"/>
          </w:tcPr>
          <w:p w14:paraId="10EFC080" w14:textId="77777777" w:rsidR="000E52B0" w:rsidRDefault="00F60D74">
            <w:pPr>
              <w:pStyle w:val="TableParagraph"/>
              <w:spacing w:before="166"/>
              <w:ind w:left="13"/>
              <w:jc w:val="center"/>
              <w:rPr>
                <w:b/>
                <w:sz w:val="18"/>
              </w:rPr>
            </w:pPr>
            <w:r>
              <w:rPr>
                <w:b/>
                <w:color w:val="FFFFFF"/>
                <w:spacing w:val="-4"/>
                <w:sz w:val="18"/>
              </w:rPr>
              <w:t>Tema</w:t>
            </w:r>
          </w:p>
        </w:tc>
        <w:tc>
          <w:tcPr>
            <w:tcW w:w="2761" w:type="dxa"/>
            <w:shd w:val="clear" w:color="auto" w:fill="D44673"/>
          </w:tcPr>
          <w:p w14:paraId="58B8B3CF" w14:textId="77777777" w:rsidR="000E52B0" w:rsidRDefault="00F60D74">
            <w:pPr>
              <w:pStyle w:val="TableParagraph"/>
              <w:spacing w:before="166"/>
              <w:ind w:left="153"/>
              <w:rPr>
                <w:b/>
                <w:sz w:val="18"/>
              </w:rPr>
            </w:pPr>
            <w:r>
              <w:rPr>
                <w:b/>
                <w:color w:val="FFFFFF"/>
                <w:sz w:val="18"/>
              </w:rPr>
              <w:t>Tipo De</w:t>
            </w:r>
            <w:r>
              <w:rPr>
                <w:b/>
                <w:color w:val="FFFFFF"/>
                <w:spacing w:val="1"/>
                <w:sz w:val="18"/>
              </w:rPr>
              <w:t xml:space="preserve"> </w:t>
            </w:r>
            <w:r>
              <w:rPr>
                <w:b/>
                <w:color w:val="FFFFFF"/>
                <w:spacing w:val="-2"/>
                <w:sz w:val="18"/>
              </w:rPr>
              <w:t>Reglamentación</w:t>
            </w:r>
          </w:p>
        </w:tc>
        <w:tc>
          <w:tcPr>
            <w:tcW w:w="3661" w:type="dxa"/>
            <w:shd w:val="clear" w:color="auto" w:fill="D44673"/>
          </w:tcPr>
          <w:p w14:paraId="40D6E6B6" w14:textId="77777777" w:rsidR="000E52B0" w:rsidRDefault="00F60D74">
            <w:pPr>
              <w:pStyle w:val="TableParagraph"/>
              <w:spacing w:before="166"/>
              <w:ind w:left="1090"/>
              <w:rPr>
                <w:b/>
                <w:sz w:val="18"/>
              </w:rPr>
            </w:pPr>
            <w:r>
              <w:rPr>
                <w:b/>
                <w:color w:val="FFFFFF"/>
                <w:spacing w:val="-2"/>
                <w:sz w:val="18"/>
              </w:rPr>
              <w:t>Observaciones</w:t>
            </w:r>
          </w:p>
        </w:tc>
      </w:tr>
      <w:tr w:rsidR="000E52B0" w14:paraId="14821B5E" w14:textId="77777777">
        <w:trPr>
          <w:trHeight w:val="1967"/>
        </w:trPr>
        <w:tc>
          <w:tcPr>
            <w:tcW w:w="2372" w:type="dxa"/>
          </w:tcPr>
          <w:p w14:paraId="1A5445BE" w14:textId="77777777" w:rsidR="000E52B0" w:rsidRDefault="00F60D74">
            <w:pPr>
              <w:pStyle w:val="TableParagraph"/>
              <w:tabs>
                <w:tab w:val="left" w:pos="1160"/>
              </w:tabs>
              <w:ind w:left="105" w:right="89"/>
              <w:jc w:val="both"/>
              <w:rPr>
                <w:sz w:val="18"/>
              </w:rPr>
            </w:pPr>
            <w:r>
              <w:rPr>
                <w:sz w:val="18"/>
              </w:rPr>
              <w:t xml:space="preserve">Fondo para la Superación de Brechas </w:t>
            </w:r>
            <w:r>
              <w:rPr>
                <w:spacing w:val="-6"/>
                <w:sz w:val="18"/>
              </w:rPr>
              <w:t>de</w:t>
            </w:r>
            <w:r>
              <w:rPr>
                <w:sz w:val="18"/>
              </w:rPr>
              <w:tab/>
            </w:r>
            <w:r>
              <w:rPr>
                <w:spacing w:val="-2"/>
                <w:sz w:val="18"/>
              </w:rPr>
              <w:t xml:space="preserve">Desigualdad </w:t>
            </w:r>
            <w:r>
              <w:rPr>
                <w:sz w:val="18"/>
              </w:rPr>
              <w:t>Poblacional</w:t>
            </w:r>
            <w:r>
              <w:rPr>
                <w:spacing w:val="-14"/>
                <w:sz w:val="18"/>
              </w:rPr>
              <w:t xml:space="preserve"> </w:t>
            </w:r>
            <w:r>
              <w:rPr>
                <w:sz w:val="18"/>
              </w:rPr>
              <w:t>e</w:t>
            </w:r>
            <w:r>
              <w:rPr>
                <w:spacing w:val="-14"/>
                <w:sz w:val="18"/>
              </w:rPr>
              <w:t xml:space="preserve"> </w:t>
            </w:r>
            <w:r>
              <w:rPr>
                <w:sz w:val="18"/>
              </w:rPr>
              <w:t xml:space="preserve">Inequidad </w:t>
            </w:r>
            <w:r>
              <w:rPr>
                <w:spacing w:val="-2"/>
                <w:sz w:val="18"/>
              </w:rPr>
              <w:t>Territorial</w:t>
            </w:r>
          </w:p>
          <w:p w14:paraId="2E045B9F" w14:textId="77777777" w:rsidR="000E52B0" w:rsidRDefault="00F60D74">
            <w:pPr>
              <w:pStyle w:val="TableParagraph"/>
              <w:spacing w:before="199" w:line="218" w:lineRule="exact"/>
              <w:ind w:left="105" w:right="90"/>
              <w:jc w:val="both"/>
              <w:rPr>
                <w:sz w:val="18"/>
              </w:rPr>
            </w:pPr>
            <w:r>
              <w:rPr>
                <w:sz w:val="18"/>
              </w:rPr>
              <w:t xml:space="preserve">-Artículo 72, Plan Nacional de Desarrollo </w:t>
            </w:r>
            <w:r>
              <w:rPr>
                <w:spacing w:val="-2"/>
                <w:sz w:val="18"/>
              </w:rPr>
              <w:t>2022-2026</w:t>
            </w:r>
          </w:p>
        </w:tc>
        <w:tc>
          <w:tcPr>
            <w:tcW w:w="2761" w:type="dxa"/>
          </w:tcPr>
          <w:p w14:paraId="783BB52E" w14:textId="77777777" w:rsidR="000E52B0" w:rsidRDefault="000E52B0">
            <w:pPr>
              <w:pStyle w:val="TableParagraph"/>
              <w:rPr>
                <w:sz w:val="18"/>
              </w:rPr>
            </w:pPr>
          </w:p>
          <w:p w14:paraId="25A29E6C" w14:textId="77777777" w:rsidR="000E52B0" w:rsidRDefault="000E52B0">
            <w:pPr>
              <w:pStyle w:val="TableParagraph"/>
              <w:spacing w:before="216"/>
              <w:rPr>
                <w:sz w:val="18"/>
              </w:rPr>
            </w:pPr>
          </w:p>
          <w:p w14:paraId="6AA460AF" w14:textId="77777777" w:rsidR="000E52B0" w:rsidRDefault="00F60D74">
            <w:pPr>
              <w:pStyle w:val="TableParagraph"/>
              <w:spacing w:line="219" w:lineRule="exact"/>
              <w:ind w:left="105"/>
              <w:rPr>
                <w:sz w:val="18"/>
              </w:rPr>
            </w:pPr>
            <w:r>
              <w:rPr>
                <w:spacing w:val="-2"/>
                <w:sz w:val="18"/>
              </w:rPr>
              <w:t>DECRETO</w:t>
            </w:r>
          </w:p>
          <w:p w14:paraId="3F1E1668" w14:textId="77777777" w:rsidR="000E52B0" w:rsidRDefault="00F60D74">
            <w:pPr>
              <w:pStyle w:val="TableParagraph"/>
              <w:spacing w:line="242" w:lineRule="auto"/>
              <w:ind w:left="105"/>
              <w:rPr>
                <w:sz w:val="18"/>
              </w:rPr>
            </w:pPr>
            <w:r>
              <w:rPr>
                <w:sz w:val="18"/>
              </w:rPr>
              <w:t>Ministerio</w:t>
            </w:r>
            <w:r>
              <w:rPr>
                <w:spacing w:val="80"/>
                <w:sz w:val="18"/>
              </w:rPr>
              <w:t xml:space="preserve"> </w:t>
            </w:r>
            <w:r>
              <w:rPr>
                <w:sz w:val="18"/>
              </w:rPr>
              <w:t>de</w:t>
            </w:r>
            <w:r>
              <w:rPr>
                <w:spacing w:val="80"/>
                <w:sz w:val="18"/>
              </w:rPr>
              <w:t xml:space="preserve"> </w:t>
            </w:r>
            <w:r>
              <w:rPr>
                <w:sz w:val="18"/>
              </w:rPr>
              <w:t>Igualdad</w:t>
            </w:r>
            <w:r>
              <w:rPr>
                <w:spacing w:val="80"/>
                <w:sz w:val="18"/>
              </w:rPr>
              <w:t xml:space="preserve"> </w:t>
            </w:r>
            <w:r>
              <w:rPr>
                <w:sz w:val="18"/>
              </w:rPr>
              <w:t xml:space="preserve">y </w:t>
            </w:r>
            <w:r>
              <w:rPr>
                <w:spacing w:val="-2"/>
                <w:sz w:val="18"/>
              </w:rPr>
              <w:t>Equidad</w:t>
            </w:r>
          </w:p>
        </w:tc>
        <w:tc>
          <w:tcPr>
            <w:tcW w:w="3661" w:type="dxa"/>
          </w:tcPr>
          <w:p w14:paraId="004E5ECA" w14:textId="77777777" w:rsidR="000E52B0" w:rsidRDefault="00F60D74">
            <w:pPr>
              <w:pStyle w:val="TableParagraph"/>
              <w:ind w:left="104" w:right="86" w:firstLine="62"/>
              <w:jc w:val="both"/>
              <w:rPr>
                <w:sz w:val="18"/>
              </w:rPr>
            </w:pPr>
            <w:r>
              <w:rPr>
                <w:sz w:val="18"/>
              </w:rPr>
              <w:t>Decreto</w:t>
            </w:r>
            <w:r>
              <w:rPr>
                <w:spacing w:val="-4"/>
                <w:sz w:val="18"/>
              </w:rPr>
              <w:t xml:space="preserve"> </w:t>
            </w:r>
            <w:r>
              <w:rPr>
                <w:sz w:val="18"/>
              </w:rPr>
              <w:t>1896</w:t>
            </w:r>
            <w:r>
              <w:rPr>
                <w:spacing w:val="-5"/>
                <w:sz w:val="18"/>
              </w:rPr>
              <w:t xml:space="preserve"> </w:t>
            </w:r>
            <w:r>
              <w:rPr>
                <w:sz w:val="18"/>
              </w:rPr>
              <w:t>de</w:t>
            </w:r>
            <w:r>
              <w:rPr>
                <w:spacing w:val="-5"/>
                <w:sz w:val="18"/>
              </w:rPr>
              <w:t xml:space="preserve"> </w:t>
            </w:r>
            <w:r>
              <w:rPr>
                <w:sz w:val="18"/>
              </w:rPr>
              <w:t>2023</w:t>
            </w:r>
            <w:r>
              <w:rPr>
                <w:spacing w:val="-5"/>
                <w:sz w:val="18"/>
              </w:rPr>
              <w:t xml:space="preserve"> </w:t>
            </w:r>
            <w:r>
              <w:rPr>
                <w:sz w:val="18"/>
              </w:rPr>
              <w:t>“Por</w:t>
            </w:r>
            <w:r>
              <w:rPr>
                <w:spacing w:val="-5"/>
                <w:sz w:val="18"/>
              </w:rPr>
              <w:t xml:space="preserve"> </w:t>
            </w:r>
            <w:r>
              <w:rPr>
                <w:sz w:val="18"/>
              </w:rPr>
              <w:t>el</w:t>
            </w:r>
            <w:r>
              <w:rPr>
                <w:spacing w:val="-4"/>
                <w:sz w:val="18"/>
              </w:rPr>
              <w:t xml:space="preserve"> </w:t>
            </w:r>
            <w:r>
              <w:rPr>
                <w:sz w:val="18"/>
              </w:rPr>
              <w:t>cual</w:t>
            </w:r>
            <w:r>
              <w:rPr>
                <w:spacing w:val="-5"/>
                <w:sz w:val="18"/>
              </w:rPr>
              <w:t xml:space="preserve"> </w:t>
            </w:r>
            <w:r>
              <w:rPr>
                <w:sz w:val="18"/>
              </w:rPr>
              <w:t>se reglamenta el Fondo para la Superación de Brechas de Desigualdad Poblacional e Inequidad Territorial, establecido en el artículo 72</w:t>
            </w:r>
            <w:r>
              <w:rPr>
                <w:spacing w:val="-12"/>
                <w:sz w:val="18"/>
              </w:rPr>
              <w:t xml:space="preserve"> </w:t>
            </w:r>
            <w:r>
              <w:rPr>
                <w:sz w:val="18"/>
              </w:rPr>
              <w:t>de</w:t>
            </w:r>
            <w:r>
              <w:rPr>
                <w:spacing w:val="-14"/>
                <w:sz w:val="18"/>
              </w:rPr>
              <w:t xml:space="preserve"> </w:t>
            </w:r>
            <w:r>
              <w:rPr>
                <w:sz w:val="18"/>
              </w:rPr>
              <w:t>la</w:t>
            </w:r>
            <w:r>
              <w:rPr>
                <w:spacing w:val="-13"/>
                <w:sz w:val="18"/>
              </w:rPr>
              <w:t xml:space="preserve"> </w:t>
            </w:r>
            <w:r>
              <w:rPr>
                <w:sz w:val="18"/>
              </w:rPr>
              <w:t>Ley</w:t>
            </w:r>
            <w:r>
              <w:rPr>
                <w:spacing w:val="-13"/>
                <w:sz w:val="18"/>
              </w:rPr>
              <w:t xml:space="preserve"> </w:t>
            </w:r>
            <w:r>
              <w:rPr>
                <w:sz w:val="18"/>
              </w:rPr>
              <w:t>2294</w:t>
            </w:r>
            <w:r>
              <w:rPr>
                <w:spacing w:val="-12"/>
                <w:sz w:val="18"/>
              </w:rPr>
              <w:t xml:space="preserve"> </w:t>
            </w:r>
            <w:r>
              <w:rPr>
                <w:sz w:val="18"/>
              </w:rPr>
              <w:t>de</w:t>
            </w:r>
            <w:r>
              <w:rPr>
                <w:spacing w:val="-12"/>
                <w:sz w:val="18"/>
              </w:rPr>
              <w:t xml:space="preserve"> </w:t>
            </w:r>
            <w:r>
              <w:rPr>
                <w:sz w:val="18"/>
              </w:rPr>
              <w:t>2023</w:t>
            </w:r>
            <w:r>
              <w:rPr>
                <w:spacing w:val="-14"/>
                <w:sz w:val="18"/>
              </w:rPr>
              <w:t xml:space="preserve"> </w:t>
            </w:r>
            <w:r>
              <w:rPr>
                <w:sz w:val="18"/>
              </w:rPr>
              <w:t>"Por</w:t>
            </w:r>
            <w:r>
              <w:rPr>
                <w:spacing w:val="-13"/>
                <w:sz w:val="18"/>
              </w:rPr>
              <w:t xml:space="preserve"> </w:t>
            </w:r>
            <w:r>
              <w:rPr>
                <w:sz w:val="18"/>
              </w:rPr>
              <w:t>el</w:t>
            </w:r>
            <w:r>
              <w:rPr>
                <w:spacing w:val="-12"/>
                <w:sz w:val="18"/>
              </w:rPr>
              <w:t xml:space="preserve"> </w:t>
            </w:r>
            <w:r>
              <w:rPr>
                <w:sz w:val="18"/>
              </w:rPr>
              <w:t xml:space="preserve">cual se expide el Plan Nacional de </w:t>
            </w:r>
            <w:proofErr w:type="gramStart"/>
            <w:r>
              <w:rPr>
                <w:sz w:val="18"/>
              </w:rPr>
              <w:t>Desarrollo</w:t>
            </w:r>
            <w:r>
              <w:rPr>
                <w:spacing w:val="37"/>
                <w:sz w:val="18"/>
              </w:rPr>
              <w:t xml:space="preserve">  </w:t>
            </w:r>
            <w:r>
              <w:rPr>
                <w:sz w:val="18"/>
              </w:rPr>
              <w:t>2022-</w:t>
            </w:r>
            <w:r>
              <w:rPr>
                <w:spacing w:val="38"/>
                <w:sz w:val="18"/>
              </w:rPr>
              <w:t xml:space="preserve">  </w:t>
            </w:r>
            <w:r>
              <w:rPr>
                <w:sz w:val="18"/>
              </w:rPr>
              <w:t>2026</w:t>
            </w:r>
            <w:proofErr w:type="gramEnd"/>
            <w:r>
              <w:rPr>
                <w:spacing w:val="37"/>
                <w:sz w:val="18"/>
              </w:rPr>
              <w:t xml:space="preserve">  </w:t>
            </w:r>
            <w:r>
              <w:rPr>
                <w:spacing w:val="-2"/>
                <w:sz w:val="18"/>
              </w:rPr>
              <w:t>"Colombia</w:t>
            </w:r>
          </w:p>
          <w:p w14:paraId="5997180A" w14:textId="77777777" w:rsidR="000E52B0" w:rsidRDefault="00F60D74">
            <w:pPr>
              <w:pStyle w:val="TableParagraph"/>
              <w:spacing w:line="199" w:lineRule="exact"/>
              <w:ind w:left="104"/>
              <w:jc w:val="both"/>
              <w:rPr>
                <w:sz w:val="18"/>
              </w:rPr>
            </w:pPr>
            <w:r>
              <w:rPr>
                <w:sz w:val="18"/>
              </w:rPr>
              <w:t>Potencia</w:t>
            </w:r>
            <w:r>
              <w:rPr>
                <w:spacing w:val="-2"/>
                <w:sz w:val="18"/>
              </w:rPr>
              <w:t xml:space="preserve"> </w:t>
            </w:r>
            <w:r>
              <w:rPr>
                <w:sz w:val="18"/>
              </w:rPr>
              <w:t>Mundial</w:t>
            </w:r>
            <w:r>
              <w:rPr>
                <w:spacing w:val="-3"/>
                <w:sz w:val="18"/>
              </w:rPr>
              <w:t xml:space="preserve"> </w:t>
            </w:r>
            <w:r>
              <w:rPr>
                <w:sz w:val="18"/>
              </w:rPr>
              <w:t>de</w:t>
            </w:r>
            <w:r>
              <w:rPr>
                <w:spacing w:val="-3"/>
                <w:sz w:val="18"/>
              </w:rPr>
              <w:t xml:space="preserve"> </w:t>
            </w:r>
            <w:r>
              <w:rPr>
                <w:sz w:val="18"/>
              </w:rPr>
              <w:t>la</w:t>
            </w:r>
            <w:r>
              <w:rPr>
                <w:spacing w:val="-2"/>
                <w:sz w:val="18"/>
              </w:rPr>
              <w:t xml:space="preserve"> </w:t>
            </w:r>
            <w:r>
              <w:rPr>
                <w:spacing w:val="-4"/>
                <w:sz w:val="18"/>
              </w:rPr>
              <w:t>Vida"</w:t>
            </w:r>
          </w:p>
        </w:tc>
      </w:tr>
      <w:tr w:rsidR="000E52B0" w14:paraId="215F73FA" w14:textId="77777777">
        <w:trPr>
          <w:trHeight w:val="1970"/>
        </w:trPr>
        <w:tc>
          <w:tcPr>
            <w:tcW w:w="2372" w:type="dxa"/>
          </w:tcPr>
          <w:p w14:paraId="5E609DF1" w14:textId="77777777" w:rsidR="000E52B0" w:rsidRDefault="00F60D74">
            <w:pPr>
              <w:pStyle w:val="TableParagraph"/>
              <w:tabs>
                <w:tab w:val="left" w:pos="1452"/>
                <w:tab w:val="left" w:pos="2105"/>
              </w:tabs>
              <w:ind w:left="105" w:right="91"/>
              <w:rPr>
                <w:sz w:val="18"/>
              </w:rPr>
            </w:pPr>
            <w:r>
              <w:rPr>
                <w:sz w:val="18"/>
              </w:rPr>
              <w:t>Zonas de Recuperación Nutricional</w:t>
            </w:r>
            <w:r>
              <w:rPr>
                <w:spacing w:val="80"/>
                <w:sz w:val="18"/>
              </w:rPr>
              <w:t xml:space="preserve"> </w:t>
            </w:r>
            <w:r>
              <w:rPr>
                <w:sz w:val="18"/>
              </w:rPr>
              <w:t>dentro</w:t>
            </w:r>
            <w:r>
              <w:rPr>
                <w:spacing w:val="80"/>
                <w:sz w:val="18"/>
              </w:rPr>
              <w:t xml:space="preserve"> </w:t>
            </w:r>
            <w:r>
              <w:rPr>
                <w:sz w:val="18"/>
              </w:rPr>
              <w:t xml:space="preserve">de </w:t>
            </w:r>
            <w:r>
              <w:rPr>
                <w:spacing w:val="-2"/>
                <w:sz w:val="18"/>
              </w:rPr>
              <w:t>Ecosistemas Estratégicos</w:t>
            </w:r>
            <w:r>
              <w:rPr>
                <w:sz w:val="18"/>
              </w:rPr>
              <w:tab/>
            </w:r>
            <w:r>
              <w:rPr>
                <w:spacing w:val="-4"/>
                <w:sz w:val="18"/>
              </w:rPr>
              <w:t>para</w:t>
            </w:r>
            <w:r>
              <w:rPr>
                <w:sz w:val="18"/>
              </w:rPr>
              <w:tab/>
            </w:r>
            <w:r>
              <w:rPr>
                <w:spacing w:val="-6"/>
                <w:sz w:val="18"/>
              </w:rPr>
              <w:t xml:space="preserve">la </w:t>
            </w:r>
            <w:r>
              <w:rPr>
                <w:sz w:val="18"/>
              </w:rPr>
              <w:t>soberanía alimentaria</w:t>
            </w:r>
          </w:p>
          <w:p w14:paraId="3B981A9E" w14:textId="77777777" w:rsidR="000E52B0" w:rsidRDefault="00F60D74">
            <w:pPr>
              <w:pStyle w:val="TableParagraph"/>
              <w:tabs>
                <w:tab w:val="left" w:pos="1174"/>
                <w:tab w:val="left" w:pos="1884"/>
              </w:tabs>
              <w:spacing w:before="218"/>
              <w:ind w:left="105" w:right="90"/>
              <w:rPr>
                <w:sz w:val="18"/>
              </w:rPr>
            </w:pPr>
            <w:r>
              <w:rPr>
                <w:spacing w:val="-2"/>
                <w:sz w:val="18"/>
              </w:rPr>
              <w:t>-Artículo</w:t>
            </w:r>
            <w:r>
              <w:rPr>
                <w:sz w:val="18"/>
              </w:rPr>
              <w:tab/>
            </w:r>
            <w:r>
              <w:rPr>
                <w:spacing w:val="-4"/>
                <w:sz w:val="18"/>
              </w:rPr>
              <w:t>214,</w:t>
            </w:r>
            <w:r>
              <w:rPr>
                <w:sz w:val="18"/>
              </w:rPr>
              <w:tab/>
            </w:r>
            <w:r>
              <w:rPr>
                <w:spacing w:val="-4"/>
                <w:sz w:val="18"/>
              </w:rPr>
              <w:t xml:space="preserve">Plan </w:t>
            </w:r>
            <w:r>
              <w:rPr>
                <w:sz w:val="18"/>
              </w:rPr>
              <w:t>Nacional</w:t>
            </w:r>
            <w:r>
              <w:rPr>
                <w:spacing w:val="62"/>
                <w:sz w:val="18"/>
              </w:rPr>
              <w:t xml:space="preserve"> </w:t>
            </w:r>
            <w:r>
              <w:rPr>
                <w:sz w:val="18"/>
              </w:rPr>
              <w:t>de</w:t>
            </w:r>
            <w:r>
              <w:rPr>
                <w:spacing w:val="63"/>
                <w:sz w:val="18"/>
              </w:rPr>
              <w:t xml:space="preserve"> </w:t>
            </w:r>
            <w:r>
              <w:rPr>
                <w:spacing w:val="-2"/>
                <w:sz w:val="18"/>
              </w:rPr>
              <w:t>Desarrollo</w:t>
            </w:r>
          </w:p>
          <w:p w14:paraId="5541E0BC" w14:textId="77777777" w:rsidR="000E52B0" w:rsidRDefault="00F60D74">
            <w:pPr>
              <w:pStyle w:val="TableParagraph"/>
              <w:spacing w:before="2" w:line="199" w:lineRule="exact"/>
              <w:ind w:left="105"/>
              <w:rPr>
                <w:sz w:val="18"/>
              </w:rPr>
            </w:pPr>
            <w:r>
              <w:rPr>
                <w:spacing w:val="-2"/>
                <w:sz w:val="18"/>
              </w:rPr>
              <w:t>2022-</w:t>
            </w:r>
            <w:r>
              <w:rPr>
                <w:spacing w:val="-4"/>
                <w:sz w:val="18"/>
              </w:rPr>
              <w:t>2026</w:t>
            </w:r>
          </w:p>
        </w:tc>
        <w:tc>
          <w:tcPr>
            <w:tcW w:w="2761" w:type="dxa"/>
          </w:tcPr>
          <w:p w14:paraId="5B57751F" w14:textId="77777777" w:rsidR="000E52B0" w:rsidRDefault="000E52B0">
            <w:pPr>
              <w:pStyle w:val="TableParagraph"/>
              <w:rPr>
                <w:sz w:val="18"/>
              </w:rPr>
            </w:pPr>
          </w:p>
          <w:p w14:paraId="45350486" w14:textId="77777777" w:rsidR="000E52B0" w:rsidRDefault="000E52B0">
            <w:pPr>
              <w:pStyle w:val="TableParagraph"/>
              <w:rPr>
                <w:sz w:val="18"/>
              </w:rPr>
            </w:pPr>
          </w:p>
          <w:p w14:paraId="1DFB4F7D" w14:textId="77777777" w:rsidR="000E52B0" w:rsidRDefault="000E52B0">
            <w:pPr>
              <w:pStyle w:val="TableParagraph"/>
              <w:rPr>
                <w:sz w:val="18"/>
              </w:rPr>
            </w:pPr>
          </w:p>
          <w:p w14:paraId="4D253AD6" w14:textId="77777777" w:rsidR="000E52B0" w:rsidRDefault="00F60D74">
            <w:pPr>
              <w:pStyle w:val="TableParagraph"/>
              <w:spacing w:line="219" w:lineRule="exact"/>
              <w:ind w:left="105"/>
              <w:rPr>
                <w:sz w:val="18"/>
              </w:rPr>
            </w:pPr>
            <w:r>
              <w:rPr>
                <w:spacing w:val="-2"/>
                <w:sz w:val="18"/>
              </w:rPr>
              <w:t>DECRETO</w:t>
            </w:r>
          </w:p>
          <w:p w14:paraId="284F0813" w14:textId="77777777" w:rsidR="000E52B0" w:rsidRDefault="00F60D74">
            <w:pPr>
              <w:pStyle w:val="TableParagraph"/>
              <w:ind w:left="105"/>
              <w:rPr>
                <w:sz w:val="18"/>
              </w:rPr>
            </w:pPr>
            <w:r>
              <w:rPr>
                <w:sz w:val="18"/>
              </w:rPr>
              <w:t>Ministerio</w:t>
            </w:r>
            <w:r>
              <w:rPr>
                <w:spacing w:val="80"/>
                <w:sz w:val="18"/>
              </w:rPr>
              <w:t xml:space="preserve"> </w:t>
            </w:r>
            <w:r>
              <w:rPr>
                <w:sz w:val="18"/>
              </w:rPr>
              <w:t>de</w:t>
            </w:r>
            <w:r>
              <w:rPr>
                <w:spacing w:val="80"/>
                <w:sz w:val="18"/>
              </w:rPr>
              <w:t xml:space="preserve"> </w:t>
            </w:r>
            <w:r>
              <w:rPr>
                <w:sz w:val="18"/>
              </w:rPr>
              <w:t>Igualdad</w:t>
            </w:r>
            <w:r>
              <w:rPr>
                <w:spacing w:val="80"/>
                <w:sz w:val="18"/>
              </w:rPr>
              <w:t xml:space="preserve"> </w:t>
            </w:r>
            <w:r>
              <w:rPr>
                <w:sz w:val="18"/>
              </w:rPr>
              <w:t xml:space="preserve">y </w:t>
            </w:r>
            <w:r>
              <w:rPr>
                <w:spacing w:val="-2"/>
                <w:sz w:val="18"/>
              </w:rPr>
              <w:t>Equidad</w:t>
            </w:r>
          </w:p>
        </w:tc>
        <w:tc>
          <w:tcPr>
            <w:tcW w:w="3661" w:type="dxa"/>
          </w:tcPr>
          <w:p w14:paraId="7AF57CB1" w14:textId="77777777" w:rsidR="000E52B0" w:rsidRDefault="000E52B0">
            <w:pPr>
              <w:pStyle w:val="TableParagraph"/>
              <w:spacing w:before="1"/>
              <w:rPr>
                <w:sz w:val="18"/>
              </w:rPr>
            </w:pPr>
          </w:p>
          <w:p w14:paraId="36BD908E" w14:textId="77777777" w:rsidR="000E52B0" w:rsidRDefault="00F60D74">
            <w:pPr>
              <w:pStyle w:val="TableParagraph"/>
              <w:ind w:left="104" w:right="89"/>
              <w:jc w:val="both"/>
              <w:rPr>
                <w:i/>
                <w:sz w:val="18"/>
              </w:rPr>
            </w:pPr>
            <w:r>
              <w:rPr>
                <w:sz w:val="18"/>
              </w:rPr>
              <w:t xml:space="preserve">Decreto 0531 de 2024 </w:t>
            </w:r>
            <w:r>
              <w:rPr>
                <w:i/>
                <w:sz w:val="18"/>
              </w:rPr>
              <w:t>Por el cual se reglamentan las Zonas de Recuperación Nutricional dentro de ecosistemas estratégicos para la soberanía alimentaria (ZRN), establecidas en el artículo 214 de la Ley 2294 de 2023</w:t>
            </w:r>
          </w:p>
        </w:tc>
      </w:tr>
      <w:tr w:rsidR="000E52B0" w14:paraId="2E5A15BC" w14:textId="77777777">
        <w:trPr>
          <w:trHeight w:val="1530"/>
        </w:trPr>
        <w:tc>
          <w:tcPr>
            <w:tcW w:w="2372" w:type="dxa"/>
          </w:tcPr>
          <w:p w14:paraId="65F0EFDF" w14:textId="77777777" w:rsidR="000E52B0" w:rsidRDefault="00F60D74">
            <w:pPr>
              <w:pStyle w:val="TableParagraph"/>
              <w:tabs>
                <w:tab w:val="left" w:pos="2158"/>
              </w:tabs>
              <w:spacing w:before="109"/>
              <w:ind w:left="105" w:right="90"/>
              <w:jc w:val="both"/>
              <w:rPr>
                <w:sz w:val="18"/>
              </w:rPr>
            </w:pPr>
            <w:r>
              <w:rPr>
                <w:sz w:val="18"/>
              </w:rPr>
              <w:t xml:space="preserve">Sistema Nacional de </w:t>
            </w:r>
            <w:r>
              <w:rPr>
                <w:spacing w:val="-2"/>
                <w:sz w:val="18"/>
              </w:rPr>
              <w:t>Seguimiento</w:t>
            </w:r>
            <w:r>
              <w:rPr>
                <w:sz w:val="18"/>
              </w:rPr>
              <w:tab/>
            </w:r>
            <w:r>
              <w:rPr>
                <w:spacing w:val="-10"/>
                <w:sz w:val="18"/>
              </w:rPr>
              <w:t xml:space="preserve">y </w:t>
            </w:r>
            <w:r>
              <w:rPr>
                <w:sz w:val="18"/>
              </w:rPr>
              <w:t xml:space="preserve">Monitoreo para la Superación de la </w:t>
            </w:r>
            <w:r>
              <w:rPr>
                <w:spacing w:val="-2"/>
                <w:sz w:val="18"/>
              </w:rPr>
              <w:t>Malnutrición</w:t>
            </w:r>
          </w:p>
        </w:tc>
        <w:tc>
          <w:tcPr>
            <w:tcW w:w="2761" w:type="dxa"/>
          </w:tcPr>
          <w:p w14:paraId="672F24BD" w14:textId="77777777" w:rsidR="000E52B0" w:rsidRDefault="000E52B0">
            <w:pPr>
              <w:pStyle w:val="TableParagraph"/>
              <w:spacing w:before="216"/>
              <w:rPr>
                <w:sz w:val="18"/>
              </w:rPr>
            </w:pPr>
          </w:p>
          <w:p w14:paraId="16A141A0" w14:textId="77777777" w:rsidR="000E52B0" w:rsidRDefault="00F60D74">
            <w:pPr>
              <w:pStyle w:val="TableParagraph"/>
              <w:spacing w:line="219" w:lineRule="exact"/>
              <w:ind w:left="105"/>
              <w:rPr>
                <w:sz w:val="18"/>
              </w:rPr>
            </w:pPr>
            <w:r>
              <w:rPr>
                <w:spacing w:val="-2"/>
                <w:sz w:val="18"/>
              </w:rPr>
              <w:t>DECRETO</w:t>
            </w:r>
          </w:p>
          <w:p w14:paraId="435F5E3B" w14:textId="77777777" w:rsidR="000E52B0" w:rsidRDefault="00F60D74">
            <w:pPr>
              <w:pStyle w:val="TableParagraph"/>
              <w:spacing w:line="242" w:lineRule="auto"/>
              <w:ind w:left="105"/>
              <w:rPr>
                <w:sz w:val="18"/>
              </w:rPr>
            </w:pPr>
            <w:r>
              <w:rPr>
                <w:sz w:val="18"/>
              </w:rPr>
              <w:t>Ministerio</w:t>
            </w:r>
            <w:r>
              <w:rPr>
                <w:spacing w:val="80"/>
                <w:sz w:val="18"/>
              </w:rPr>
              <w:t xml:space="preserve"> </w:t>
            </w:r>
            <w:r>
              <w:rPr>
                <w:sz w:val="18"/>
              </w:rPr>
              <w:t>de</w:t>
            </w:r>
            <w:r>
              <w:rPr>
                <w:spacing w:val="80"/>
                <w:sz w:val="18"/>
              </w:rPr>
              <w:t xml:space="preserve"> </w:t>
            </w:r>
            <w:r>
              <w:rPr>
                <w:sz w:val="18"/>
              </w:rPr>
              <w:t>Igualdad</w:t>
            </w:r>
            <w:r>
              <w:rPr>
                <w:spacing w:val="80"/>
                <w:sz w:val="18"/>
              </w:rPr>
              <w:t xml:space="preserve"> </w:t>
            </w:r>
            <w:r>
              <w:rPr>
                <w:sz w:val="18"/>
              </w:rPr>
              <w:t xml:space="preserve">y </w:t>
            </w:r>
            <w:r>
              <w:rPr>
                <w:spacing w:val="-2"/>
                <w:sz w:val="18"/>
              </w:rPr>
              <w:t>Equidad</w:t>
            </w:r>
          </w:p>
        </w:tc>
        <w:tc>
          <w:tcPr>
            <w:tcW w:w="3661" w:type="dxa"/>
          </w:tcPr>
          <w:p w14:paraId="3CAEE5BC" w14:textId="77777777" w:rsidR="000E52B0" w:rsidRDefault="00F60D74">
            <w:pPr>
              <w:pStyle w:val="TableParagraph"/>
              <w:ind w:left="104" w:right="88"/>
              <w:jc w:val="both"/>
              <w:rPr>
                <w:i/>
                <w:sz w:val="18"/>
              </w:rPr>
            </w:pPr>
            <w:r>
              <w:rPr>
                <w:sz w:val="18"/>
              </w:rPr>
              <w:t xml:space="preserve">Decreto 0684 de 2024 </w:t>
            </w:r>
            <w:r>
              <w:rPr>
                <w:i/>
                <w:sz w:val="18"/>
              </w:rPr>
              <w:t>Por el cual se reglamenta el Sistema Nacional para la Garantía Progresiva del Derecho a la Alimentación - SNGPDA, el Programa Hambre Cero, el Sistema Nacional</w:t>
            </w:r>
            <w:r>
              <w:rPr>
                <w:i/>
                <w:spacing w:val="15"/>
                <w:sz w:val="18"/>
              </w:rPr>
              <w:t xml:space="preserve"> </w:t>
            </w:r>
            <w:r>
              <w:rPr>
                <w:i/>
                <w:sz w:val="18"/>
              </w:rPr>
              <w:t>de</w:t>
            </w:r>
            <w:r>
              <w:rPr>
                <w:i/>
                <w:spacing w:val="15"/>
                <w:sz w:val="18"/>
              </w:rPr>
              <w:t xml:space="preserve"> </w:t>
            </w:r>
            <w:r>
              <w:rPr>
                <w:i/>
                <w:sz w:val="18"/>
              </w:rPr>
              <w:t>Seguimiento</w:t>
            </w:r>
            <w:r>
              <w:rPr>
                <w:i/>
                <w:spacing w:val="14"/>
                <w:sz w:val="18"/>
              </w:rPr>
              <w:t xml:space="preserve"> </w:t>
            </w:r>
            <w:r>
              <w:rPr>
                <w:i/>
                <w:sz w:val="18"/>
              </w:rPr>
              <w:t>y</w:t>
            </w:r>
            <w:r>
              <w:rPr>
                <w:i/>
                <w:spacing w:val="15"/>
                <w:sz w:val="18"/>
              </w:rPr>
              <w:t xml:space="preserve"> </w:t>
            </w:r>
            <w:r>
              <w:rPr>
                <w:i/>
                <w:spacing w:val="-2"/>
                <w:sz w:val="18"/>
              </w:rPr>
              <w:t>Monitoreo</w:t>
            </w:r>
          </w:p>
          <w:p w14:paraId="1CB03125" w14:textId="77777777" w:rsidR="000E52B0" w:rsidRDefault="00F60D74">
            <w:pPr>
              <w:pStyle w:val="TableParagraph"/>
              <w:spacing w:line="199" w:lineRule="exact"/>
              <w:ind w:left="104"/>
              <w:jc w:val="both"/>
              <w:rPr>
                <w:i/>
                <w:sz w:val="18"/>
              </w:rPr>
            </w:pPr>
            <w:r>
              <w:rPr>
                <w:i/>
                <w:sz w:val="18"/>
              </w:rPr>
              <w:t>para</w:t>
            </w:r>
            <w:r>
              <w:rPr>
                <w:i/>
                <w:spacing w:val="38"/>
                <w:sz w:val="18"/>
              </w:rPr>
              <w:t xml:space="preserve"> </w:t>
            </w:r>
            <w:r>
              <w:rPr>
                <w:i/>
                <w:sz w:val="18"/>
              </w:rPr>
              <w:t>la</w:t>
            </w:r>
            <w:r>
              <w:rPr>
                <w:i/>
                <w:spacing w:val="39"/>
                <w:sz w:val="18"/>
              </w:rPr>
              <w:t xml:space="preserve"> </w:t>
            </w:r>
            <w:r>
              <w:rPr>
                <w:i/>
                <w:sz w:val="18"/>
              </w:rPr>
              <w:t>Superación</w:t>
            </w:r>
            <w:r>
              <w:rPr>
                <w:i/>
                <w:spacing w:val="41"/>
                <w:sz w:val="18"/>
              </w:rPr>
              <w:t xml:space="preserve"> </w:t>
            </w:r>
            <w:r>
              <w:rPr>
                <w:i/>
                <w:sz w:val="18"/>
              </w:rPr>
              <w:t>del</w:t>
            </w:r>
            <w:r>
              <w:rPr>
                <w:i/>
                <w:spacing w:val="40"/>
                <w:sz w:val="18"/>
              </w:rPr>
              <w:t xml:space="preserve"> </w:t>
            </w:r>
            <w:r>
              <w:rPr>
                <w:i/>
                <w:sz w:val="18"/>
              </w:rPr>
              <w:t>Hambre</w:t>
            </w:r>
            <w:r>
              <w:rPr>
                <w:i/>
                <w:spacing w:val="40"/>
                <w:sz w:val="18"/>
              </w:rPr>
              <w:t xml:space="preserve"> </w:t>
            </w:r>
            <w:r>
              <w:rPr>
                <w:i/>
                <w:sz w:val="18"/>
              </w:rPr>
              <w:t>y</w:t>
            </w:r>
            <w:r>
              <w:rPr>
                <w:i/>
                <w:spacing w:val="39"/>
                <w:sz w:val="18"/>
              </w:rPr>
              <w:t xml:space="preserve"> </w:t>
            </w:r>
            <w:r>
              <w:rPr>
                <w:i/>
                <w:spacing w:val="-5"/>
                <w:sz w:val="18"/>
              </w:rPr>
              <w:t>la</w:t>
            </w:r>
          </w:p>
        </w:tc>
      </w:tr>
    </w:tbl>
    <w:p w14:paraId="5100971A" w14:textId="77777777" w:rsidR="000E52B0" w:rsidRDefault="000E52B0">
      <w:pPr>
        <w:pStyle w:val="TableParagraph"/>
        <w:spacing w:line="199" w:lineRule="exact"/>
        <w:jc w:val="both"/>
        <w:rPr>
          <w:i/>
          <w:sz w:val="18"/>
        </w:rPr>
        <w:sectPr w:rsidR="000E52B0">
          <w:type w:val="continuous"/>
          <w:pgSz w:w="11910" w:h="16840"/>
          <w:pgMar w:top="1400" w:right="720" w:bottom="1180" w:left="720" w:header="0" w:footer="995" w:gutter="0"/>
          <w:cols w:space="720"/>
        </w:sectPr>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72"/>
        <w:gridCol w:w="2761"/>
        <w:gridCol w:w="3661"/>
      </w:tblGrid>
      <w:tr w:rsidR="000E52B0" w14:paraId="3887CE4F" w14:textId="77777777">
        <w:trPr>
          <w:trHeight w:val="556"/>
        </w:trPr>
        <w:tc>
          <w:tcPr>
            <w:tcW w:w="2372" w:type="dxa"/>
            <w:shd w:val="clear" w:color="auto" w:fill="D44673"/>
          </w:tcPr>
          <w:p w14:paraId="1EB19711" w14:textId="77777777" w:rsidR="000E52B0" w:rsidRDefault="00F60D74">
            <w:pPr>
              <w:pStyle w:val="TableParagraph"/>
              <w:spacing w:before="169"/>
              <w:ind w:left="13"/>
              <w:jc w:val="center"/>
              <w:rPr>
                <w:b/>
                <w:sz w:val="18"/>
              </w:rPr>
            </w:pPr>
            <w:r>
              <w:rPr>
                <w:b/>
                <w:color w:val="FFFFFF"/>
                <w:spacing w:val="-4"/>
                <w:sz w:val="18"/>
              </w:rPr>
              <w:lastRenderedPageBreak/>
              <w:t>Tema</w:t>
            </w:r>
          </w:p>
        </w:tc>
        <w:tc>
          <w:tcPr>
            <w:tcW w:w="2761" w:type="dxa"/>
            <w:shd w:val="clear" w:color="auto" w:fill="D44673"/>
          </w:tcPr>
          <w:p w14:paraId="1DFD19C1" w14:textId="77777777" w:rsidR="000E52B0" w:rsidRDefault="00F60D74">
            <w:pPr>
              <w:pStyle w:val="TableParagraph"/>
              <w:spacing w:before="169"/>
              <w:ind w:left="153"/>
              <w:rPr>
                <w:b/>
                <w:sz w:val="18"/>
              </w:rPr>
            </w:pPr>
            <w:r>
              <w:rPr>
                <w:b/>
                <w:color w:val="FFFFFF"/>
                <w:sz w:val="18"/>
              </w:rPr>
              <w:t>Tipo De</w:t>
            </w:r>
            <w:r>
              <w:rPr>
                <w:b/>
                <w:color w:val="FFFFFF"/>
                <w:spacing w:val="1"/>
                <w:sz w:val="18"/>
              </w:rPr>
              <w:t xml:space="preserve"> </w:t>
            </w:r>
            <w:r>
              <w:rPr>
                <w:b/>
                <w:color w:val="FFFFFF"/>
                <w:spacing w:val="-2"/>
                <w:sz w:val="18"/>
              </w:rPr>
              <w:t>Reglamentación</w:t>
            </w:r>
          </w:p>
        </w:tc>
        <w:tc>
          <w:tcPr>
            <w:tcW w:w="3661" w:type="dxa"/>
            <w:shd w:val="clear" w:color="auto" w:fill="D44673"/>
          </w:tcPr>
          <w:p w14:paraId="11D1CBE5" w14:textId="77777777" w:rsidR="000E52B0" w:rsidRDefault="00F60D74">
            <w:pPr>
              <w:pStyle w:val="TableParagraph"/>
              <w:spacing w:before="169"/>
              <w:ind w:left="1090"/>
              <w:rPr>
                <w:b/>
                <w:sz w:val="18"/>
              </w:rPr>
            </w:pPr>
            <w:r>
              <w:rPr>
                <w:b/>
                <w:color w:val="FFFFFF"/>
                <w:spacing w:val="-2"/>
                <w:sz w:val="18"/>
              </w:rPr>
              <w:t>Observaciones</w:t>
            </w:r>
          </w:p>
        </w:tc>
      </w:tr>
      <w:tr w:rsidR="000E52B0" w14:paraId="78B68AC4" w14:textId="77777777">
        <w:trPr>
          <w:trHeight w:val="1312"/>
        </w:trPr>
        <w:tc>
          <w:tcPr>
            <w:tcW w:w="2372" w:type="dxa"/>
          </w:tcPr>
          <w:p w14:paraId="4D02766E" w14:textId="77777777" w:rsidR="000E52B0" w:rsidRDefault="00F60D74">
            <w:pPr>
              <w:pStyle w:val="TableParagraph"/>
              <w:ind w:left="105" w:right="90"/>
              <w:jc w:val="both"/>
              <w:rPr>
                <w:sz w:val="18"/>
              </w:rPr>
            </w:pPr>
            <w:r>
              <w:rPr>
                <w:sz w:val="18"/>
              </w:rPr>
              <w:t xml:space="preserve">- Artículo 215, Plan Nacional de Desarrollo </w:t>
            </w:r>
            <w:r>
              <w:rPr>
                <w:spacing w:val="-2"/>
                <w:sz w:val="18"/>
              </w:rPr>
              <w:t>2022-2026</w:t>
            </w:r>
          </w:p>
        </w:tc>
        <w:tc>
          <w:tcPr>
            <w:tcW w:w="2761" w:type="dxa"/>
          </w:tcPr>
          <w:p w14:paraId="7286299B" w14:textId="77777777" w:rsidR="000E52B0" w:rsidRDefault="000E52B0">
            <w:pPr>
              <w:pStyle w:val="TableParagraph"/>
              <w:rPr>
                <w:rFonts w:ascii="Times New Roman"/>
                <w:sz w:val="18"/>
              </w:rPr>
            </w:pPr>
          </w:p>
        </w:tc>
        <w:tc>
          <w:tcPr>
            <w:tcW w:w="3661" w:type="dxa"/>
          </w:tcPr>
          <w:p w14:paraId="1FF722BC" w14:textId="77777777" w:rsidR="000E52B0" w:rsidRDefault="00F60D74">
            <w:pPr>
              <w:pStyle w:val="TableParagraph"/>
              <w:ind w:left="104" w:right="89"/>
              <w:jc w:val="both"/>
              <w:rPr>
                <w:i/>
                <w:sz w:val="18"/>
              </w:rPr>
            </w:pPr>
            <w:r>
              <w:rPr>
                <w:i/>
                <w:sz w:val="18"/>
              </w:rPr>
              <w:t>Malnutrición - SNSMSHM y el Observatorio del Derecho a la Alimentación y Nutrición ODAN y se transforma la Comisión intersectorial de</w:t>
            </w:r>
            <w:r>
              <w:rPr>
                <w:i/>
                <w:spacing w:val="66"/>
                <w:sz w:val="18"/>
              </w:rPr>
              <w:t xml:space="preserve">   </w:t>
            </w:r>
            <w:r>
              <w:rPr>
                <w:i/>
                <w:sz w:val="18"/>
              </w:rPr>
              <w:t>Seguridad</w:t>
            </w:r>
            <w:r>
              <w:rPr>
                <w:i/>
                <w:spacing w:val="66"/>
                <w:sz w:val="18"/>
              </w:rPr>
              <w:t xml:space="preserve">   </w:t>
            </w:r>
            <w:r>
              <w:rPr>
                <w:i/>
                <w:sz w:val="18"/>
              </w:rPr>
              <w:t>Alimentaria</w:t>
            </w:r>
            <w:r>
              <w:rPr>
                <w:i/>
                <w:spacing w:val="66"/>
                <w:sz w:val="18"/>
              </w:rPr>
              <w:t xml:space="preserve">   </w:t>
            </w:r>
            <w:r>
              <w:rPr>
                <w:i/>
                <w:spacing w:val="-10"/>
                <w:sz w:val="18"/>
              </w:rPr>
              <w:t>y</w:t>
            </w:r>
          </w:p>
          <w:p w14:paraId="66FC50D9" w14:textId="77777777" w:rsidR="000E52B0" w:rsidRDefault="00F60D74">
            <w:pPr>
              <w:pStyle w:val="TableParagraph"/>
              <w:spacing w:line="199" w:lineRule="exact"/>
              <w:ind w:left="104"/>
              <w:rPr>
                <w:i/>
                <w:sz w:val="18"/>
              </w:rPr>
            </w:pPr>
            <w:r>
              <w:rPr>
                <w:i/>
                <w:spacing w:val="-2"/>
                <w:sz w:val="18"/>
              </w:rPr>
              <w:t>Nutricional-</w:t>
            </w:r>
            <w:r>
              <w:rPr>
                <w:i/>
                <w:spacing w:val="-4"/>
                <w:sz w:val="18"/>
              </w:rPr>
              <w:t>CISAN</w:t>
            </w:r>
          </w:p>
        </w:tc>
      </w:tr>
      <w:tr w:rsidR="000E52B0" w14:paraId="293587DA" w14:textId="77777777">
        <w:trPr>
          <w:trHeight w:val="2844"/>
        </w:trPr>
        <w:tc>
          <w:tcPr>
            <w:tcW w:w="2372" w:type="dxa"/>
          </w:tcPr>
          <w:p w14:paraId="0DF67DAA" w14:textId="77777777" w:rsidR="000E52B0" w:rsidRDefault="000E52B0">
            <w:pPr>
              <w:pStyle w:val="TableParagraph"/>
              <w:rPr>
                <w:sz w:val="18"/>
              </w:rPr>
            </w:pPr>
          </w:p>
          <w:p w14:paraId="443F8AFF" w14:textId="77777777" w:rsidR="000E52B0" w:rsidRDefault="000E52B0">
            <w:pPr>
              <w:pStyle w:val="TableParagraph"/>
              <w:spacing w:before="108"/>
              <w:rPr>
                <w:sz w:val="18"/>
              </w:rPr>
            </w:pPr>
          </w:p>
          <w:p w14:paraId="54C420DE" w14:textId="77777777" w:rsidR="000E52B0" w:rsidRDefault="00F60D74">
            <w:pPr>
              <w:pStyle w:val="TableParagraph"/>
              <w:ind w:left="105" w:right="88"/>
              <w:jc w:val="both"/>
              <w:rPr>
                <w:sz w:val="18"/>
              </w:rPr>
            </w:pPr>
            <w:r>
              <w:rPr>
                <w:sz w:val="18"/>
              </w:rPr>
              <w:t>Sistema Nacional para la Garantía Progresiva del Derecho Humano a la Alimentación y Programa</w:t>
            </w:r>
            <w:r>
              <w:rPr>
                <w:spacing w:val="-3"/>
                <w:sz w:val="18"/>
              </w:rPr>
              <w:t xml:space="preserve"> </w:t>
            </w:r>
            <w:r>
              <w:rPr>
                <w:sz w:val="18"/>
              </w:rPr>
              <w:t>Hambre</w:t>
            </w:r>
            <w:r>
              <w:rPr>
                <w:spacing w:val="-2"/>
                <w:sz w:val="18"/>
              </w:rPr>
              <w:t xml:space="preserve"> </w:t>
            </w:r>
            <w:r>
              <w:rPr>
                <w:spacing w:val="-4"/>
                <w:sz w:val="18"/>
              </w:rPr>
              <w:t>Cero</w:t>
            </w:r>
          </w:p>
          <w:p w14:paraId="032DC263" w14:textId="77777777" w:rsidR="000E52B0" w:rsidRDefault="00F60D74">
            <w:pPr>
              <w:pStyle w:val="TableParagraph"/>
              <w:spacing w:before="1"/>
              <w:ind w:left="105" w:right="90"/>
              <w:jc w:val="both"/>
              <w:rPr>
                <w:sz w:val="18"/>
              </w:rPr>
            </w:pPr>
            <w:r>
              <w:rPr>
                <w:sz w:val="18"/>
              </w:rPr>
              <w:t xml:space="preserve">-Artículo 216, Plan Nacional de Desarrollo </w:t>
            </w:r>
            <w:r>
              <w:rPr>
                <w:spacing w:val="-2"/>
                <w:sz w:val="18"/>
              </w:rPr>
              <w:t>2022-2026</w:t>
            </w:r>
          </w:p>
        </w:tc>
        <w:tc>
          <w:tcPr>
            <w:tcW w:w="2761" w:type="dxa"/>
          </w:tcPr>
          <w:p w14:paraId="0D870C5C" w14:textId="77777777" w:rsidR="000E52B0" w:rsidRDefault="000E52B0">
            <w:pPr>
              <w:pStyle w:val="TableParagraph"/>
              <w:rPr>
                <w:sz w:val="18"/>
              </w:rPr>
            </w:pPr>
          </w:p>
          <w:p w14:paraId="10F1E857" w14:textId="77777777" w:rsidR="000E52B0" w:rsidRDefault="000E52B0">
            <w:pPr>
              <w:pStyle w:val="TableParagraph"/>
              <w:rPr>
                <w:sz w:val="18"/>
              </w:rPr>
            </w:pPr>
          </w:p>
          <w:p w14:paraId="2B6AFD97" w14:textId="77777777" w:rsidR="000E52B0" w:rsidRDefault="000E52B0">
            <w:pPr>
              <w:pStyle w:val="TableParagraph"/>
              <w:rPr>
                <w:sz w:val="18"/>
              </w:rPr>
            </w:pPr>
          </w:p>
          <w:p w14:paraId="428F553C" w14:textId="77777777" w:rsidR="000E52B0" w:rsidRDefault="000E52B0">
            <w:pPr>
              <w:pStyle w:val="TableParagraph"/>
              <w:spacing w:before="107"/>
              <w:rPr>
                <w:sz w:val="18"/>
              </w:rPr>
            </w:pPr>
          </w:p>
          <w:p w14:paraId="0FC5AE4D" w14:textId="77777777" w:rsidR="000E52B0" w:rsidRDefault="00F60D74">
            <w:pPr>
              <w:pStyle w:val="TableParagraph"/>
              <w:ind w:left="105"/>
              <w:rPr>
                <w:sz w:val="18"/>
              </w:rPr>
            </w:pPr>
            <w:r>
              <w:rPr>
                <w:spacing w:val="-2"/>
                <w:sz w:val="18"/>
              </w:rPr>
              <w:t>DECRETO</w:t>
            </w:r>
          </w:p>
          <w:p w14:paraId="2DBC68BC" w14:textId="77777777" w:rsidR="000E52B0" w:rsidRDefault="00F60D74">
            <w:pPr>
              <w:pStyle w:val="TableParagraph"/>
              <w:spacing w:before="2"/>
              <w:ind w:left="105"/>
              <w:rPr>
                <w:sz w:val="18"/>
              </w:rPr>
            </w:pPr>
            <w:r>
              <w:rPr>
                <w:sz w:val="18"/>
              </w:rPr>
              <w:t>Ministerio</w:t>
            </w:r>
            <w:r>
              <w:rPr>
                <w:spacing w:val="80"/>
                <w:sz w:val="18"/>
              </w:rPr>
              <w:t xml:space="preserve"> </w:t>
            </w:r>
            <w:r>
              <w:rPr>
                <w:sz w:val="18"/>
              </w:rPr>
              <w:t>de</w:t>
            </w:r>
            <w:r>
              <w:rPr>
                <w:spacing w:val="80"/>
                <w:sz w:val="18"/>
              </w:rPr>
              <w:t xml:space="preserve"> </w:t>
            </w:r>
            <w:r>
              <w:rPr>
                <w:sz w:val="18"/>
              </w:rPr>
              <w:t>Igualdad</w:t>
            </w:r>
            <w:r>
              <w:rPr>
                <w:spacing w:val="80"/>
                <w:sz w:val="18"/>
              </w:rPr>
              <w:t xml:space="preserve"> </w:t>
            </w:r>
            <w:r>
              <w:rPr>
                <w:sz w:val="18"/>
              </w:rPr>
              <w:t xml:space="preserve">y </w:t>
            </w:r>
            <w:r>
              <w:rPr>
                <w:spacing w:val="-2"/>
                <w:sz w:val="18"/>
              </w:rPr>
              <w:t>Equidad</w:t>
            </w:r>
          </w:p>
        </w:tc>
        <w:tc>
          <w:tcPr>
            <w:tcW w:w="3661" w:type="dxa"/>
          </w:tcPr>
          <w:p w14:paraId="300AC6F2" w14:textId="77777777" w:rsidR="000E52B0" w:rsidRDefault="00F60D74">
            <w:pPr>
              <w:pStyle w:val="TableParagraph"/>
              <w:ind w:left="104" w:right="88"/>
              <w:jc w:val="both"/>
              <w:rPr>
                <w:i/>
                <w:sz w:val="18"/>
              </w:rPr>
            </w:pPr>
            <w:r>
              <w:rPr>
                <w:sz w:val="18"/>
              </w:rPr>
              <w:t xml:space="preserve">Decreto 0684 de 2024 </w:t>
            </w:r>
            <w:r>
              <w:rPr>
                <w:i/>
                <w:sz w:val="18"/>
              </w:rPr>
              <w:t>Por el cual se reglamenta el Sistema Nacional para la Garantía Progresiva del Derecho a la Alimentación - SNGPDA, el Programa Hambre Cero, el Sistema Nacional de Seguimiento y Monitoreo para la Superación del Hambre y la Malnutrición - SNSMSHM y el Observatorio del Derecho a la Alimentación y Nutrición ODAN y se transforma la Comisión intersectorial de</w:t>
            </w:r>
            <w:r>
              <w:rPr>
                <w:i/>
                <w:spacing w:val="66"/>
                <w:sz w:val="18"/>
              </w:rPr>
              <w:t xml:space="preserve">   </w:t>
            </w:r>
            <w:r>
              <w:rPr>
                <w:i/>
                <w:sz w:val="18"/>
              </w:rPr>
              <w:t>Seguridad</w:t>
            </w:r>
            <w:r>
              <w:rPr>
                <w:i/>
                <w:spacing w:val="66"/>
                <w:sz w:val="18"/>
              </w:rPr>
              <w:t xml:space="preserve">   </w:t>
            </w:r>
            <w:r>
              <w:rPr>
                <w:i/>
                <w:sz w:val="18"/>
              </w:rPr>
              <w:t>Alimentaria</w:t>
            </w:r>
            <w:r>
              <w:rPr>
                <w:i/>
                <w:spacing w:val="66"/>
                <w:sz w:val="18"/>
              </w:rPr>
              <w:t xml:space="preserve">   </w:t>
            </w:r>
            <w:r>
              <w:rPr>
                <w:i/>
                <w:spacing w:val="-10"/>
                <w:sz w:val="18"/>
              </w:rPr>
              <w:t>y</w:t>
            </w:r>
          </w:p>
          <w:p w14:paraId="287EF2CE" w14:textId="77777777" w:rsidR="000E52B0" w:rsidRDefault="00F60D74">
            <w:pPr>
              <w:pStyle w:val="TableParagraph"/>
              <w:spacing w:line="199" w:lineRule="exact"/>
              <w:ind w:left="104"/>
              <w:rPr>
                <w:i/>
                <w:sz w:val="18"/>
              </w:rPr>
            </w:pPr>
            <w:r>
              <w:rPr>
                <w:i/>
                <w:spacing w:val="-2"/>
                <w:sz w:val="18"/>
              </w:rPr>
              <w:t>Nutricional-</w:t>
            </w:r>
            <w:r>
              <w:rPr>
                <w:i/>
                <w:spacing w:val="-4"/>
                <w:sz w:val="18"/>
              </w:rPr>
              <w:t>CISAN</w:t>
            </w:r>
          </w:p>
        </w:tc>
      </w:tr>
      <w:tr w:rsidR="000E52B0" w14:paraId="419425C6" w14:textId="77777777">
        <w:trPr>
          <w:trHeight w:val="1751"/>
        </w:trPr>
        <w:tc>
          <w:tcPr>
            <w:tcW w:w="2372" w:type="dxa"/>
          </w:tcPr>
          <w:p w14:paraId="05A986D2" w14:textId="77777777" w:rsidR="000E52B0" w:rsidRDefault="000E52B0">
            <w:pPr>
              <w:pStyle w:val="TableParagraph"/>
              <w:spacing w:before="108"/>
              <w:rPr>
                <w:sz w:val="18"/>
              </w:rPr>
            </w:pPr>
          </w:p>
          <w:p w14:paraId="53A5EAD9" w14:textId="77777777" w:rsidR="000E52B0" w:rsidRDefault="00F60D74">
            <w:pPr>
              <w:pStyle w:val="TableParagraph"/>
              <w:ind w:left="105"/>
              <w:rPr>
                <w:sz w:val="18"/>
              </w:rPr>
            </w:pPr>
            <w:r>
              <w:rPr>
                <w:sz w:val="18"/>
              </w:rPr>
              <w:t>Programa</w:t>
            </w:r>
            <w:r>
              <w:rPr>
                <w:spacing w:val="-3"/>
                <w:sz w:val="18"/>
              </w:rPr>
              <w:t xml:space="preserve"> </w:t>
            </w:r>
            <w:r>
              <w:rPr>
                <w:sz w:val="18"/>
              </w:rPr>
              <w:t>Agua</w:t>
            </w:r>
            <w:r>
              <w:rPr>
                <w:spacing w:val="-1"/>
                <w:sz w:val="18"/>
              </w:rPr>
              <w:t xml:space="preserve"> </w:t>
            </w:r>
            <w:r>
              <w:rPr>
                <w:sz w:val="18"/>
              </w:rPr>
              <w:t>es</w:t>
            </w:r>
            <w:r>
              <w:rPr>
                <w:spacing w:val="-1"/>
                <w:sz w:val="18"/>
              </w:rPr>
              <w:t xml:space="preserve"> </w:t>
            </w:r>
            <w:r>
              <w:rPr>
                <w:spacing w:val="-4"/>
                <w:sz w:val="18"/>
              </w:rPr>
              <w:t>Vida</w:t>
            </w:r>
          </w:p>
          <w:p w14:paraId="1F2F6864" w14:textId="77777777" w:rsidR="000E52B0" w:rsidRDefault="000E52B0">
            <w:pPr>
              <w:pStyle w:val="TableParagraph"/>
              <w:spacing w:before="2"/>
              <w:rPr>
                <w:sz w:val="18"/>
              </w:rPr>
            </w:pPr>
          </w:p>
          <w:p w14:paraId="78C48AD5" w14:textId="77777777" w:rsidR="000E52B0" w:rsidRDefault="00F60D74">
            <w:pPr>
              <w:pStyle w:val="TableParagraph"/>
              <w:ind w:left="105" w:right="219"/>
              <w:rPr>
                <w:sz w:val="18"/>
              </w:rPr>
            </w:pPr>
            <w:r>
              <w:rPr>
                <w:sz w:val="18"/>
              </w:rPr>
              <w:t>-Artículo 275, Plan Nacional</w:t>
            </w:r>
            <w:r>
              <w:rPr>
                <w:spacing w:val="-16"/>
                <w:sz w:val="18"/>
              </w:rPr>
              <w:t xml:space="preserve"> </w:t>
            </w:r>
            <w:r>
              <w:rPr>
                <w:sz w:val="18"/>
              </w:rPr>
              <w:t>de</w:t>
            </w:r>
            <w:r>
              <w:rPr>
                <w:spacing w:val="-16"/>
                <w:sz w:val="18"/>
              </w:rPr>
              <w:t xml:space="preserve"> </w:t>
            </w:r>
            <w:r>
              <w:rPr>
                <w:sz w:val="18"/>
              </w:rPr>
              <w:t xml:space="preserve">Desarrollo </w:t>
            </w:r>
            <w:r>
              <w:rPr>
                <w:spacing w:val="-2"/>
                <w:sz w:val="18"/>
              </w:rPr>
              <w:t>2022-2026</w:t>
            </w:r>
          </w:p>
        </w:tc>
        <w:tc>
          <w:tcPr>
            <w:tcW w:w="2761" w:type="dxa"/>
          </w:tcPr>
          <w:p w14:paraId="270F0AA9" w14:textId="77777777" w:rsidR="000E52B0" w:rsidRDefault="000E52B0">
            <w:pPr>
              <w:pStyle w:val="TableParagraph"/>
              <w:rPr>
                <w:sz w:val="18"/>
              </w:rPr>
            </w:pPr>
          </w:p>
          <w:p w14:paraId="0718C3D9" w14:textId="77777777" w:rsidR="000E52B0" w:rsidRDefault="000E52B0">
            <w:pPr>
              <w:pStyle w:val="TableParagraph"/>
              <w:spacing w:before="108"/>
              <w:rPr>
                <w:sz w:val="18"/>
              </w:rPr>
            </w:pPr>
          </w:p>
          <w:p w14:paraId="5C1E1620" w14:textId="77777777" w:rsidR="000E52B0" w:rsidRDefault="00F60D74">
            <w:pPr>
              <w:pStyle w:val="TableParagraph"/>
              <w:ind w:left="105"/>
              <w:rPr>
                <w:sz w:val="18"/>
              </w:rPr>
            </w:pPr>
            <w:r>
              <w:rPr>
                <w:spacing w:val="-2"/>
                <w:sz w:val="18"/>
              </w:rPr>
              <w:t>RESOLUCIÓN</w:t>
            </w:r>
          </w:p>
          <w:p w14:paraId="0943AF9B" w14:textId="77777777" w:rsidR="000E52B0" w:rsidRDefault="00F60D74">
            <w:pPr>
              <w:pStyle w:val="TableParagraph"/>
              <w:spacing w:before="2"/>
              <w:ind w:left="105"/>
              <w:rPr>
                <w:sz w:val="18"/>
              </w:rPr>
            </w:pPr>
            <w:r>
              <w:rPr>
                <w:sz w:val="18"/>
              </w:rPr>
              <w:t>Ministerio</w:t>
            </w:r>
            <w:r>
              <w:rPr>
                <w:spacing w:val="80"/>
                <w:sz w:val="18"/>
              </w:rPr>
              <w:t xml:space="preserve"> </w:t>
            </w:r>
            <w:r>
              <w:rPr>
                <w:sz w:val="18"/>
              </w:rPr>
              <w:t>de</w:t>
            </w:r>
            <w:r>
              <w:rPr>
                <w:spacing w:val="80"/>
                <w:sz w:val="18"/>
              </w:rPr>
              <w:t xml:space="preserve"> </w:t>
            </w:r>
            <w:r>
              <w:rPr>
                <w:sz w:val="18"/>
              </w:rPr>
              <w:t>Igualdad</w:t>
            </w:r>
            <w:r>
              <w:rPr>
                <w:spacing w:val="80"/>
                <w:sz w:val="18"/>
              </w:rPr>
              <w:t xml:space="preserve"> </w:t>
            </w:r>
            <w:r>
              <w:rPr>
                <w:sz w:val="18"/>
              </w:rPr>
              <w:t xml:space="preserve">y </w:t>
            </w:r>
            <w:r>
              <w:rPr>
                <w:spacing w:val="-2"/>
                <w:sz w:val="18"/>
              </w:rPr>
              <w:t>Equidad</w:t>
            </w:r>
          </w:p>
        </w:tc>
        <w:tc>
          <w:tcPr>
            <w:tcW w:w="3661" w:type="dxa"/>
          </w:tcPr>
          <w:p w14:paraId="04B488F5" w14:textId="77777777" w:rsidR="000E52B0" w:rsidRDefault="00F60D74">
            <w:pPr>
              <w:pStyle w:val="TableParagraph"/>
              <w:spacing w:before="1"/>
              <w:ind w:left="104" w:right="90"/>
              <w:jc w:val="both"/>
              <w:rPr>
                <w:sz w:val="18"/>
              </w:rPr>
            </w:pPr>
            <w:r>
              <w:rPr>
                <w:sz w:val="18"/>
              </w:rPr>
              <w:t>Resolución</w:t>
            </w:r>
            <w:r>
              <w:rPr>
                <w:spacing w:val="-5"/>
                <w:sz w:val="18"/>
              </w:rPr>
              <w:t xml:space="preserve"> </w:t>
            </w:r>
            <w:r>
              <w:rPr>
                <w:sz w:val="18"/>
              </w:rPr>
              <w:t>597</w:t>
            </w:r>
            <w:r>
              <w:rPr>
                <w:spacing w:val="-6"/>
                <w:sz w:val="18"/>
              </w:rPr>
              <w:t xml:space="preserve"> </w:t>
            </w:r>
            <w:r>
              <w:rPr>
                <w:sz w:val="18"/>
              </w:rPr>
              <w:t>de</w:t>
            </w:r>
            <w:r>
              <w:rPr>
                <w:spacing w:val="-6"/>
                <w:sz w:val="18"/>
              </w:rPr>
              <w:t xml:space="preserve"> </w:t>
            </w:r>
            <w:r>
              <w:rPr>
                <w:sz w:val="18"/>
              </w:rPr>
              <w:t>2024</w:t>
            </w:r>
            <w:r>
              <w:rPr>
                <w:spacing w:val="-6"/>
                <w:sz w:val="18"/>
              </w:rPr>
              <w:t xml:space="preserve"> </w:t>
            </w:r>
            <w:r>
              <w:rPr>
                <w:sz w:val="18"/>
              </w:rPr>
              <w:t>Por</w:t>
            </w:r>
            <w:r>
              <w:rPr>
                <w:spacing w:val="-6"/>
                <w:sz w:val="18"/>
              </w:rPr>
              <w:t xml:space="preserve"> </w:t>
            </w:r>
            <w:r>
              <w:rPr>
                <w:sz w:val="18"/>
              </w:rPr>
              <w:t>el</w:t>
            </w:r>
            <w:r>
              <w:rPr>
                <w:spacing w:val="-5"/>
                <w:sz w:val="18"/>
              </w:rPr>
              <w:t xml:space="preserve"> </w:t>
            </w:r>
            <w:r>
              <w:rPr>
                <w:sz w:val="18"/>
              </w:rPr>
              <w:t>cual</w:t>
            </w:r>
            <w:r>
              <w:rPr>
                <w:spacing w:val="-6"/>
                <w:sz w:val="18"/>
              </w:rPr>
              <w:t xml:space="preserve"> </w:t>
            </w:r>
            <w:r>
              <w:rPr>
                <w:sz w:val="18"/>
              </w:rPr>
              <w:t>se regula</w:t>
            </w:r>
            <w:r>
              <w:rPr>
                <w:spacing w:val="-16"/>
                <w:sz w:val="18"/>
              </w:rPr>
              <w:t xml:space="preserve"> </w:t>
            </w:r>
            <w:r>
              <w:rPr>
                <w:sz w:val="18"/>
              </w:rPr>
              <w:t>parcialmente</w:t>
            </w:r>
            <w:r>
              <w:rPr>
                <w:spacing w:val="-16"/>
                <w:sz w:val="18"/>
              </w:rPr>
              <w:t xml:space="preserve"> </w:t>
            </w:r>
            <w:r>
              <w:rPr>
                <w:sz w:val="18"/>
              </w:rPr>
              <w:t>el</w:t>
            </w:r>
            <w:r>
              <w:rPr>
                <w:spacing w:val="-16"/>
                <w:sz w:val="18"/>
              </w:rPr>
              <w:t xml:space="preserve"> </w:t>
            </w:r>
            <w:r>
              <w:rPr>
                <w:sz w:val="18"/>
              </w:rPr>
              <w:t>Programa</w:t>
            </w:r>
            <w:r>
              <w:rPr>
                <w:spacing w:val="-16"/>
                <w:sz w:val="18"/>
              </w:rPr>
              <w:t xml:space="preserve"> </w:t>
            </w:r>
            <w:r>
              <w:rPr>
                <w:sz w:val="18"/>
              </w:rPr>
              <w:t>Agua es Vida previsto en el artículo 275 de la</w:t>
            </w:r>
            <w:r>
              <w:rPr>
                <w:spacing w:val="-2"/>
                <w:sz w:val="18"/>
              </w:rPr>
              <w:t xml:space="preserve"> </w:t>
            </w:r>
            <w:r>
              <w:rPr>
                <w:sz w:val="18"/>
              </w:rPr>
              <w:t>Ley</w:t>
            </w:r>
            <w:r>
              <w:rPr>
                <w:spacing w:val="-3"/>
                <w:sz w:val="18"/>
              </w:rPr>
              <w:t xml:space="preserve"> </w:t>
            </w:r>
            <w:r>
              <w:rPr>
                <w:sz w:val="18"/>
              </w:rPr>
              <w:t>2294</w:t>
            </w:r>
            <w:r>
              <w:rPr>
                <w:spacing w:val="-2"/>
                <w:sz w:val="18"/>
              </w:rPr>
              <w:t xml:space="preserve"> </w:t>
            </w:r>
            <w:r>
              <w:rPr>
                <w:sz w:val="18"/>
              </w:rPr>
              <w:t>de</w:t>
            </w:r>
            <w:r>
              <w:rPr>
                <w:spacing w:val="-2"/>
                <w:sz w:val="18"/>
              </w:rPr>
              <w:t xml:space="preserve"> </w:t>
            </w:r>
            <w:r>
              <w:rPr>
                <w:sz w:val="18"/>
              </w:rPr>
              <w:t>2023</w:t>
            </w:r>
            <w:r>
              <w:rPr>
                <w:spacing w:val="-2"/>
                <w:sz w:val="18"/>
              </w:rPr>
              <w:t xml:space="preserve"> </w:t>
            </w:r>
            <w:r>
              <w:rPr>
                <w:sz w:val="18"/>
              </w:rPr>
              <w:t>y</w:t>
            </w:r>
            <w:r>
              <w:rPr>
                <w:spacing w:val="-3"/>
                <w:sz w:val="18"/>
              </w:rPr>
              <w:t xml:space="preserve"> </w:t>
            </w:r>
            <w:r>
              <w:rPr>
                <w:sz w:val="18"/>
              </w:rPr>
              <w:t>se establece</w:t>
            </w:r>
            <w:r>
              <w:rPr>
                <w:spacing w:val="-2"/>
                <w:sz w:val="18"/>
              </w:rPr>
              <w:t xml:space="preserve"> </w:t>
            </w:r>
            <w:r>
              <w:rPr>
                <w:sz w:val="18"/>
              </w:rPr>
              <w:t xml:space="preserve">el Mecanismo Especial de Evaluación y </w:t>
            </w:r>
            <w:proofErr w:type="spellStart"/>
            <w:r>
              <w:rPr>
                <w:sz w:val="18"/>
              </w:rPr>
              <w:t>Viabilización</w:t>
            </w:r>
            <w:proofErr w:type="spellEnd"/>
            <w:r>
              <w:rPr>
                <w:sz w:val="18"/>
              </w:rPr>
              <w:t xml:space="preserve"> Técnica de Proyectos Convencionales</w:t>
            </w:r>
            <w:r>
              <w:rPr>
                <w:spacing w:val="-7"/>
                <w:sz w:val="18"/>
              </w:rPr>
              <w:t xml:space="preserve"> </w:t>
            </w:r>
            <w:r>
              <w:rPr>
                <w:sz w:val="18"/>
              </w:rPr>
              <w:t>del</w:t>
            </w:r>
            <w:r>
              <w:rPr>
                <w:spacing w:val="-5"/>
                <w:sz w:val="18"/>
              </w:rPr>
              <w:t xml:space="preserve"> </w:t>
            </w:r>
            <w:r>
              <w:rPr>
                <w:sz w:val="18"/>
              </w:rPr>
              <w:t>Programa</w:t>
            </w:r>
            <w:r>
              <w:rPr>
                <w:spacing w:val="-6"/>
                <w:sz w:val="18"/>
              </w:rPr>
              <w:t xml:space="preserve"> </w:t>
            </w:r>
            <w:r>
              <w:rPr>
                <w:sz w:val="18"/>
              </w:rPr>
              <w:t>Agua</w:t>
            </w:r>
            <w:r>
              <w:rPr>
                <w:spacing w:val="-6"/>
                <w:sz w:val="18"/>
              </w:rPr>
              <w:t xml:space="preserve"> </w:t>
            </w:r>
            <w:r>
              <w:rPr>
                <w:spacing w:val="-5"/>
                <w:sz w:val="18"/>
              </w:rPr>
              <w:t>es</w:t>
            </w:r>
          </w:p>
          <w:p w14:paraId="1CF6C299" w14:textId="77777777" w:rsidR="000E52B0" w:rsidRDefault="00F60D74">
            <w:pPr>
              <w:pStyle w:val="TableParagraph"/>
              <w:spacing w:line="199" w:lineRule="exact"/>
              <w:ind w:left="104"/>
              <w:rPr>
                <w:sz w:val="18"/>
              </w:rPr>
            </w:pPr>
            <w:r>
              <w:rPr>
                <w:spacing w:val="-2"/>
                <w:sz w:val="18"/>
              </w:rPr>
              <w:t>Vida.</w:t>
            </w:r>
          </w:p>
        </w:tc>
      </w:tr>
      <w:tr w:rsidR="000E52B0" w14:paraId="4BB19EA4" w14:textId="77777777">
        <w:trPr>
          <w:trHeight w:val="1094"/>
        </w:trPr>
        <w:tc>
          <w:tcPr>
            <w:tcW w:w="2372" w:type="dxa"/>
          </w:tcPr>
          <w:p w14:paraId="6B79EDA0" w14:textId="77777777" w:rsidR="000E52B0" w:rsidRDefault="00F60D74">
            <w:pPr>
              <w:pStyle w:val="TableParagraph"/>
              <w:ind w:left="105" w:right="91"/>
              <w:rPr>
                <w:sz w:val="18"/>
              </w:rPr>
            </w:pPr>
            <w:r>
              <w:rPr>
                <w:sz w:val="18"/>
              </w:rPr>
              <w:t>Programa Nacional Casas</w:t>
            </w:r>
            <w:r>
              <w:rPr>
                <w:spacing w:val="-13"/>
                <w:sz w:val="18"/>
              </w:rPr>
              <w:t xml:space="preserve"> </w:t>
            </w:r>
            <w:r>
              <w:rPr>
                <w:sz w:val="18"/>
              </w:rPr>
              <w:t>para</w:t>
            </w:r>
            <w:r>
              <w:rPr>
                <w:spacing w:val="-13"/>
                <w:sz w:val="18"/>
              </w:rPr>
              <w:t xml:space="preserve"> </w:t>
            </w:r>
            <w:r>
              <w:rPr>
                <w:sz w:val="18"/>
              </w:rPr>
              <w:t>la</w:t>
            </w:r>
            <w:r>
              <w:rPr>
                <w:spacing w:val="-13"/>
                <w:sz w:val="18"/>
              </w:rPr>
              <w:t xml:space="preserve"> </w:t>
            </w:r>
            <w:r>
              <w:rPr>
                <w:sz w:val="18"/>
              </w:rPr>
              <w:t>Dignidad de las Mujeres.</w:t>
            </w:r>
          </w:p>
          <w:p w14:paraId="3F9E0504" w14:textId="77777777" w:rsidR="000E52B0" w:rsidRDefault="00F60D74">
            <w:pPr>
              <w:pStyle w:val="TableParagraph"/>
              <w:spacing w:line="220" w:lineRule="exact"/>
              <w:ind w:left="105" w:right="91"/>
              <w:rPr>
                <w:sz w:val="18"/>
              </w:rPr>
            </w:pPr>
            <w:r>
              <w:rPr>
                <w:sz w:val="18"/>
              </w:rPr>
              <w:t>- Plan Nacional de Desarrollo</w:t>
            </w:r>
            <w:r>
              <w:rPr>
                <w:spacing w:val="-16"/>
                <w:sz w:val="18"/>
              </w:rPr>
              <w:t xml:space="preserve"> </w:t>
            </w:r>
            <w:r>
              <w:rPr>
                <w:sz w:val="18"/>
              </w:rPr>
              <w:t>2022-2026</w:t>
            </w:r>
          </w:p>
        </w:tc>
        <w:tc>
          <w:tcPr>
            <w:tcW w:w="2761" w:type="dxa"/>
          </w:tcPr>
          <w:p w14:paraId="2C3347E4" w14:textId="77777777" w:rsidR="000E52B0" w:rsidRDefault="00F60D74">
            <w:pPr>
              <w:pStyle w:val="TableParagraph"/>
              <w:spacing w:before="217" w:line="219" w:lineRule="exact"/>
              <w:ind w:left="105"/>
              <w:rPr>
                <w:sz w:val="18"/>
              </w:rPr>
            </w:pPr>
            <w:r>
              <w:rPr>
                <w:spacing w:val="-2"/>
                <w:sz w:val="18"/>
              </w:rPr>
              <w:t>DECRETO</w:t>
            </w:r>
          </w:p>
          <w:p w14:paraId="4659BCB6" w14:textId="77777777" w:rsidR="000E52B0" w:rsidRDefault="00F60D74">
            <w:pPr>
              <w:pStyle w:val="TableParagraph"/>
              <w:ind w:left="105"/>
              <w:rPr>
                <w:sz w:val="18"/>
              </w:rPr>
            </w:pPr>
            <w:r>
              <w:rPr>
                <w:sz w:val="18"/>
              </w:rPr>
              <w:t>Ministerio</w:t>
            </w:r>
            <w:r>
              <w:rPr>
                <w:spacing w:val="80"/>
                <w:sz w:val="18"/>
              </w:rPr>
              <w:t xml:space="preserve"> </w:t>
            </w:r>
            <w:r>
              <w:rPr>
                <w:sz w:val="18"/>
              </w:rPr>
              <w:t>de</w:t>
            </w:r>
            <w:r>
              <w:rPr>
                <w:spacing w:val="80"/>
                <w:sz w:val="18"/>
              </w:rPr>
              <w:t xml:space="preserve"> </w:t>
            </w:r>
            <w:r>
              <w:rPr>
                <w:sz w:val="18"/>
              </w:rPr>
              <w:t>Igualdad</w:t>
            </w:r>
            <w:r>
              <w:rPr>
                <w:spacing w:val="80"/>
                <w:sz w:val="18"/>
              </w:rPr>
              <w:t xml:space="preserve"> </w:t>
            </w:r>
            <w:r>
              <w:rPr>
                <w:sz w:val="18"/>
              </w:rPr>
              <w:t xml:space="preserve">y </w:t>
            </w:r>
            <w:r>
              <w:rPr>
                <w:spacing w:val="-2"/>
                <w:sz w:val="18"/>
              </w:rPr>
              <w:t>Equidad</w:t>
            </w:r>
          </w:p>
        </w:tc>
        <w:tc>
          <w:tcPr>
            <w:tcW w:w="3661" w:type="dxa"/>
          </w:tcPr>
          <w:p w14:paraId="7BA96582" w14:textId="77777777" w:rsidR="000E52B0" w:rsidRDefault="00F60D74">
            <w:pPr>
              <w:pStyle w:val="TableParagraph"/>
              <w:ind w:left="104" w:right="88"/>
              <w:jc w:val="both"/>
              <w:rPr>
                <w:i/>
                <w:sz w:val="18"/>
              </w:rPr>
            </w:pPr>
            <w:r>
              <w:rPr>
                <w:sz w:val="18"/>
              </w:rPr>
              <w:t xml:space="preserve">Decreto 0530 de 2024 </w:t>
            </w:r>
            <w:r>
              <w:rPr>
                <w:i/>
                <w:sz w:val="18"/>
              </w:rPr>
              <w:t>Por el cual se reglamenta el Programa Nacional Casas</w:t>
            </w:r>
            <w:r>
              <w:rPr>
                <w:i/>
                <w:spacing w:val="-16"/>
                <w:sz w:val="18"/>
              </w:rPr>
              <w:t xml:space="preserve"> </w:t>
            </w:r>
            <w:r>
              <w:rPr>
                <w:i/>
                <w:sz w:val="18"/>
              </w:rPr>
              <w:t>para</w:t>
            </w:r>
            <w:r>
              <w:rPr>
                <w:i/>
                <w:spacing w:val="-16"/>
                <w:sz w:val="18"/>
              </w:rPr>
              <w:t xml:space="preserve"> </w:t>
            </w:r>
            <w:r>
              <w:rPr>
                <w:i/>
                <w:sz w:val="18"/>
              </w:rPr>
              <w:t>la</w:t>
            </w:r>
            <w:r>
              <w:rPr>
                <w:i/>
                <w:spacing w:val="-16"/>
                <w:sz w:val="18"/>
              </w:rPr>
              <w:t xml:space="preserve"> </w:t>
            </w:r>
            <w:r>
              <w:rPr>
                <w:i/>
                <w:sz w:val="18"/>
              </w:rPr>
              <w:t>dignidad</w:t>
            </w:r>
            <w:r>
              <w:rPr>
                <w:i/>
                <w:spacing w:val="-16"/>
                <w:sz w:val="18"/>
              </w:rPr>
              <w:t xml:space="preserve"> </w:t>
            </w:r>
            <w:r>
              <w:rPr>
                <w:i/>
                <w:sz w:val="18"/>
              </w:rPr>
              <w:t>de</w:t>
            </w:r>
            <w:r>
              <w:rPr>
                <w:i/>
                <w:spacing w:val="-16"/>
                <w:sz w:val="18"/>
              </w:rPr>
              <w:t xml:space="preserve"> </w:t>
            </w:r>
            <w:r>
              <w:rPr>
                <w:i/>
                <w:sz w:val="18"/>
              </w:rPr>
              <w:t>las</w:t>
            </w:r>
            <w:r>
              <w:rPr>
                <w:i/>
                <w:spacing w:val="-15"/>
                <w:sz w:val="18"/>
              </w:rPr>
              <w:t xml:space="preserve"> </w:t>
            </w:r>
            <w:r>
              <w:rPr>
                <w:i/>
                <w:sz w:val="18"/>
              </w:rPr>
              <w:t>mujeres, a</w:t>
            </w:r>
            <w:r>
              <w:rPr>
                <w:i/>
                <w:spacing w:val="18"/>
                <w:sz w:val="18"/>
              </w:rPr>
              <w:t xml:space="preserve"> </w:t>
            </w:r>
            <w:r>
              <w:rPr>
                <w:i/>
                <w:sz w:val="18"/>
              </w:rPr>
              <w:t>que</w:t>
            </w:r>
            <w:r>
              <w:rPr>
                <w:i/>
                <w:spacing w:val="20"/>
                <w:sz w:val="18"/>
              </w:rPr>
              <w:t xml:space="preserve"> </w:t>
            </w:r>
            <w:r>
              <w:rPr>
                <w:i/>
                <w:sz w:val="18"/>
              </w:rPr>
              <w:t>se</w:t>
            </w:r>
            <w:r>
              <w:rPr>
                <w:i/>
                <w:spacing w:val="20"/>
                <w:sz w:val="18"/>
              </w:rPr>
              <w:t xml:space="preserve"> </w:t>
            </w:r>
            <w:r>
              <w:rPr>
                <w:i/>
                <w:sz w:val="18"/>
              </w:rPr>
              <w:t>refiere</w:t>
            </w:r>
            <w:r>
              <w:rPr>
                <w:i/>
                <w:spacing w:val="16"/>
                <w:sz w:val="18"/>
              </w:rPr>
              <w:t xml:space="preserve"> </w:t>
            </w:r>
            <w:r>
              <w:rPr>
                <w:i/>
                <w:sz w:val="18"/>
              </w:rPr>
              <w:t>el</w:t>
            </w:r>
            <w:r>
              <w:rPr>
                <w:i/>
                <w:spacing w:val="20"/>
                <w:sz w:val="18"/>
              </w:rPr>
              <w:t xml:space="preserve"> </w:t>
            </w:r>
            <w:r>
              <w:rPr>
                <w:i/>
                <w:sz w:val="18"/>
              </w:rPr>
              <w:t>artículo</w:t>
            </w:r>
            <w:r>
              <w:rPr>
                <w:i/>
                <w:spacing w:val="20"/>
                <w:sz w:val="18"/>
              </w:rPr>
              <w:t xml:space="preserve"> </w:t>
            </w:r>
            <w:r>
              <w:rPr>
                <w:i/>
                <w:sz w:val="18"/>
              </w:rPr>
              <w:t>339</w:t>
            </w:r>
            <w:r>
              <w:rPr>
                <w:i/>
                <w:spacing w:val="17"/>
                <w:sz w:val="18"/>
              </w:rPr>
              <w:t xml:space="preserve"> </w:t>
            </w:r>
            <w:r>
              <w:rPr>
                <w:i/>
                <w:sz w:val="18"/>
              </w:rPr>
              <w:t>de</w:t>
            </w:r>
            <w:r>
              <w:rPr>
                <w:i/>
                <w:spacing w:val="17"/>
                <w:sz w:val="18"/>
              </w:rPr>
              <w:t xml:space="preserve"> </w:t>
            </w:r>
            <w:r>
              <w:rPr>
                <w:i/>
                <w:spacing w:val="-5"/>
                <w:sz w:val="18"/>
              </w:rPr>
              <w:t>la</w:t>
            </w:r>
          </w:p>
          <w:p w14:paraId="2CA832CD" w14:textId="77777777" w:rsidR="000E52B0" w:rsidRDefault="00F60D74">
            <w:pPr>
              <w:pStyle w:val="TableParagraph"/>
              <w:spacing w:line="199" w:lineRule="exact"/>
              <w:ind w:left="104"/>
              <w:jc w:val="both"/>
              <w:rPr>
                <w:i/>
                <w:sz w:val="18"/>
              </w:rPr>
            </w:pPr>
            <w:r>
              <w:rPr>
                <w:i/>
                <w:sz w:val="18"/>
              </w:rPr>
              <w:t>Ley</w:t>
            </w:r>
            <w:r>
              <w:rPr>
                <w:i/>
                <w:spacing w:val="-2"/>
                <w:sz w:val="18"/>
              </w:rPr>
              <w:t xml:space="preserve"> </w:t>
            </w:r>
            <w:r>
              <w:rPr>
                <w:i/>
                <w:sz w:val="18"/>
              </w:rPr>
              <w:t>2294</w:t>
            </w:r>
            <w:r>
              <w:rPr>
                <w:i/>
                <w:spacing w:val="-1"/>
                <w:sz w:val="18"/>
              </w:rPr>
              <w:t xml:space="preserve"> </w:t>
            </w:r>
            <w:r>
              <w:rPr>
                <w:i/>
                <w:sz w:val="18"/>
              </w:rPr>
              <w:t>de</w:t>
            </w:r>
            <w:r>
              <w:rPr>
                <w:i/>
                <w:spacing w:val="-1"/>
                <w:sz w:val="18"/>
              </w:rPr>
              <w:t xml:space="preserve"> </w:t>
            </w:r>
            <w:r>
              <w:rPr>
                <w:i/>
                <w:spacing w:val="-4"/>
                <w:sz w:val="18"/>
              </w:rPr>
              <w:t>2023</w:t>
            </w:r>
          </w:p>
        </w:tc>
      </w:tr>
      <w:tr w:rsidR="000E52B0" w14:paraId="35ABD5E1" w14:textId="77777777">
        <w:trPr>
          <w:trHeight w:val="873"/>
        </w:trPr>
        <w:tc>
          <w:tcPr>
            <w:tcW w:w="2372" w:type="dxa"/>
          </w:tcPr>
          <w:p w14:paraId="781FCDF2" w14:textId="77777777" w:rsidR="000E52B0" w:rsidRDefault="00F60D74">
            <w:pPr>
              <w:pStyle w:val="TableParagraph"/>
              <w:spacing w:before="215"/>
              <w:ind w:left="105" w:right="543"/>
              <w:rPr>
                <w:sz w:val="18"/>
              </w:rPr>
            </w:pPr>
            <w:r>
              <w:rPr>
                <w:sz w:val="18"/>
              </w:rPr>
              <w:t>Programa</w:t>
            </w:r>
            <w:r>
              <w:rPr>
                <w:spacing w:val="-16"/>
                <w:sz w:val="18"/>
              </w:rPr>
              <w:t xml:space="preserve"> </w:t>
            </w:r>
            <w:r>
              <w:rPr>
                <w:sz w:val="18"/>
              </w:rPr>
              <w:t>Nacional Jóvenes en Paz.</w:t>
            </w:r>
          </w:p>
        </w:tc>
        <w:tc>
          <w:tcPr>
            <w:tcW w:w="2761" w:type="dxa"/>
          </w:tcPr>
          <w:p w14:paraId="772CAAFB" w14:textId="77777777" w:rsidR="000E52B0" w:rsidRDefault="00F60D74">
            <w:pPr>
              <w:pStyle w:val="TableParagraph"/>
              <w:spacing w:before="107" w:line="219" w:lineRule="exact"/>
              <w:ind w:left="105"/>
              <w:rPr>
                <w:sz w:val="18"/>
              </w:rPr>
            </w:pPr>
            <w:r>
              <w:rPr>
                <w:spacing w:val="-2"/>
                <w:sz w:val="18"/>
              </w:rPr>
              <w:t>DECRETO</w:t>
            </w:r>
          </w:p>
          <w:p w14:paraId="07A858F2" w14:textId="77777777" w:rsidR="000E52B0" w:rsidRDefault="00F60D74">
            <w:pPr>
              <w:pStyle w:val="TableParagraph"/>
              <w:ind w:left="105"/>
              <w:rPr>
                <w:sz w:val="18"/>
              </w:rPr>
            </w:pPr>
            <w:r>
              <w:rPr>
                <w:sz w:val="18"/>
              </w:rPr>
              <w:t>Ministerio</w:t>
            </w:r>
            <w:r>
              <w:rPr>
                <w:spacing w:val="80"/>
                <w:sz w:val="18"/>
              </w:rPr>
              <w:t xml:space="preserve"> </w:t>
            </w:r>
            <w:r>
              <w:rPr>
                <w:sz w:val="18"/>
              </w:rPr>
              <w:t>de</w:t>
            </w:r>
            <w:r>
              <w:rPr>
                <w:spacing w:val="80"/>
                <w:sz w:val="18"/>
              </w:rPr>
              <w:t xml:space="preserve"> </w:t>
            </w:r>
            <w:r>
              <w:rPr>
                <w:sz w:val="18"/>
              </w:rPr>
              <w:t>Igualdad</w:t>
            </w:r>
            <w:r>
              <w:rPr>
                <w:spacing w:val="80"/>
                <w:sz w:val="18"/>
              </w:rPr>
              <w:t xml:space="preserve"> </w:t>
            </w:r>
            <w:r>
              <w:rPr>
                <w:sz w:val="18"/>
              </w:rPr>
              <w:t xml:space="preserve">y </w:t>
            </w:r>
            <w:r>
              <w:rPr>
                <w:spacing w:val="-2"/>
                <w:sz w:val="18"/>
              </w:rPr>
              <w:t>Equidad</w:t>
            </w:r>
          </w:p>
        </w:tc>
        <w:tc>
          <w:tcPr>
            <w:tcW w:w="3661" w:type="dxa"/>
          </w:tcPr>
          <w:p w14:paraId="6068F5D5" w14:textId="77777777" w:rsidR="000E52B0" w:rsidRDefault="00F60D74">
            <w:pPr>
              <w:pStyle w:val="TableParagraph"/>
              <w:spacing w:line="218" w:lineRule="exact"/>
              <w:ind w:left="104" w:right="89"/>
              <w:jc w:val="both"/>
              <w:rPr>
                <w:i/>
                <w:sz w:val="18"/>
              </w:rPr>
            </w:pPr>
            <w:r>
              <w:rPr>
                <w:sz w:val="18"/>
              </w:rPr>
              <w:t xml:space="preserve">Decreto 1649 de 2023 </w:t>
            </w:r>
            <w:r>
              <w:rPr>
                <w:i/>
                <w:sz w:val="18"/>
              </w:rPr>
              <w:t xml:space="preserve">Por el cual se reglamenta el artículo </w:t>
            </w:r>
            <w:r>
              <w:rPr>
                <w:sz w:val="18"/>
              </w:rPr>
              <w:t xml:space="preserve">348 </w:t>
            </w:r>
            <w:r>
              <w:rPr>
                <w:i/>
                <w:sz w:val="18"/>
              </w:rPr>
              <w:t>de la Ley 2294 de 2023, que crea el Programa Nacional Jóvenes en Paz</w:t>
            </w:r>
          </w:p>
        </w:tc>
      </w:tr>
      <w:tr w:rsidR="000E52B0" w14:paraId="4080364B" w14:textId="77777777">
        <w:trPr>
          <w:trHeight w:val="1081"/>
        </w:trPr>
        <w:tc>
          <w:tcPr>
            <w:tcW w:w="2372" w:type="dxa"/>
          </w:tcPr>
          <w:p w14:paraId="1C38E8FD" w14:textId="77777777" w:rsidR="000E52B0" w:rsidRDefault="00F60D74">
            <w:pPr>
              <w:pStyle w:val="TableParagraph"/>
              <w:spacing w:before="212"/>
              <w:ind w:left="105" w:right="543"/>
              <w:rPr>
                <w:sz w:val="18"/>
              </w:rPr>
            </w:pPr>
            <w:r>
              <w:rPr>
                <w:sz w:val="18"/>
              </w:rPr>
              <w:t>Manual Operativo Programa</w:t>
            </w:r>
            <w:r>
              <w:rPr>
                <w:spacing w:val="-16"/>
                <w:sz w:val="18"/>
              </w:rPr>
              <w:t xml:space="preserve"> </w:t>
            </w:r>
            <w:r>
              <w:rPr>
                <w:sz w:val="18"/>
              </w:rPr>
              <w:t>Nacional Jóvenes en Paz</w:t>
            </w:r>
          </w:p>
        </w:tc>
        <w:tc>
          <w:tcPr>
            <w:tcW w:w="2761" w:type="dxa"/>
          </w:tcPr>
          <w:p w14:paraId="4E4EF9FE" w14:textId="77777777" w:rsidR="000E52B0" w:rsidRDefault="00F60D74">
            <w:pPr>
              <w:pStyle w:val="TableParagraph"/>
              <w:spacing w:before="212" w:line="219" w:lineRule="exact"/>
              <w:ind w:left="105"/>
              <w:rPr>
                <w:sz w:val="18"/>
              </w:rPr>
            </w:pPr>
            <w:r>
              <w:rPr>
                <w:spacing w:val="-2"/>
                <w:sz w:val="18"/>
              </w:rPr>
              <w:t>RESOLUCIÓN</w:t>
            </w:r>
          </w:p>
          <w:p w14:paraId="46D95512" w14:textId="77777777" w:rsidR="000E52B0" w:rsidRDefault="00F60D74">
            <w:pPr>
              <w:pStyle w:val="TableParagraph"/>
              <w:ind w:left="105"/>
              <w:rPr>
                <w:sz w:val="18"/>
              </w:rPr>
            </w:pPr>
            <w:r>
              <w:rPr>
                <w:sz w:val="18"/>
              </w:rPr>
              <w:t>Ministerio</w:t>
            </w:r>
            <w:r>
              <w:rPr>
                <w:spacing w:val="80"/>
                <w:sz w:val="18"/>
              </w:rPr>
              <w:t xml:space="preserve"> </w:t>
            </w:r>
            <w:r>
              <w:rPr>
                <w:sz w:val="18"/>
              </w:rPr>
              <w:t>de</w:t>
            </w:r>
            <w:r>
              <w:rPr>
                <w:spacing w:val="80"/>
                <w:sz w:val="18"/>
              </w:rPr>
              <w:t xml:space="preserve"> </w:t>
            </w:r>
            <w:r>
              <w:rPr>
                <w:sz w:val="18"/>
              </w:rPr>
              <w:t>Igualdad</w:t>
            </w:r>
            <w:r>
              <w:rPr>
                <w:spacing w:val="80"/>
                <w:sz w:val="18"/>
              </w:rPr>
              <w:t xml:space="preserve"> </w:t>
            </w:r>
            <w:r>
              <w:rPr>
                <w:sz w:val="18"/>
              </w:rPr>
              <w:t xml:space="preserve">y </w:t>
            </w:r>
            <w:r>
              <w:rPr>
                <w:spacing w:val="-2"/>
                <w:sz w:val="18"/>
              </w:rPr>
              <w:t>Equidad</w:t>
            </w:r>
          </w:p>
        </w:tc>
        <w:tc>
          <w:tcPr>
            <w:tcW w:w="3661" w:type="dxa"/>
          </w:tcPr>
          <w:p w14:paraId="1AA17E8A" w14:textId="77777777" w:rsidR="000E52B0" w:rsidRDefault="00F60D74">
            <w:pPr>
              <w:pStyle w:val="TableParagraph"/>
              <w:spacing w:before="212"/>
              <w:ind w:left="104" w:right="87"/>
              <w:jc w:val="both"/>
              <w:rPr>
                <w:i/>
                <w:sz w:val="18"/>
              </w:rPr>
            </w:pPr>
            <w:r>
              <w:rPr>
                <w:sz w:val="18"/>
              </w:rPr>
              <w:t>Resolución</w:t>
            </w:r>
            <w:r>
              <w:rPr>
                <w:spacing w:val="-16"/>
                <w:sz w:val="18"/>
              </w:rPr>
              <w:t xml:space="preserve"> </w:t>
            </w:r>
            <w:r>
              <w:rPr>
                <w:sz w:val="18"/>
              </w:rPr>
              <w:t>No.</w:t>
            </w:r>
            <w:r>
              <w:rPr>
                <w:spacing w:val="-16"/>
                <w:sz w:val="18"/>
              </w:rPr>
              <w:t xml:space="preserve"> </w:t>
            </w:r>
            <w:r>
              <w:rPr>
                <w:sz w:val="18"/>
              </w:rPr>
              <w:t>89</w:t>
            </w:r>
            <w:r>
              <w:rPr>
                <w:spacing w:val="-16"/>
                <w:sz w:val="18"/>
              </w:rPr>
              <w:t xml:space="preserve"> </w:t>
            </w:r>
            <w:r>
              <w:rPr>
                <w:sz w:val="18"/>
              </w:rPr>
              <w:t>de</w:t>
            </w:r>
            <w:r>
              <w:rPr>
                <w:spacing w:val="-15"/>
                <w:sz w:val="18"/>
              </w:rPr>
              <w:t xml:space="preserve"> </w:t>
            </w:r>
            <w:r>
              <w:rPr>
                <w:sz w:val="18"/>
              </w:rPr>
              <w:t>2023</w:t>
            </w:r>
            <w:r>
              <w:rPr>
                <w:spacing w:val="-15"/>
                <w:sz w:val="18"/>
              </w:rPr>
              <w:t xml:space="preserve"> </w:t>
            </w:r>
            <w:r>
              <w:rPr>
                <w:i/>
                <w:sz w:val="18"/>
              </w:rPr>
              <w:t>“Por</w:t>
            </w:r>
            <w:r>
              <w:rPr>
                <w:i/>
                <w:spacing w:val="-16"/>
                <w:sz w:val="18"/>
              </w:rPr>
              <w:t xml:space="preserve"> </w:t>
            </w:r>
            <w:r>
              <w:rPr>
                <w:i/>
                <w:sz w:val="18"/>
              </w:rPr>
              <w:t>el</w:t>
            </w:r>
            <w:r>
              <w:rPr>
                <w:i/>
                <w:spacing w:val="-15"/>
                <w:sz w:val="18"/>
              </w:rPr>
              <w:t xml:space="preserve"> </w:t>
            </w:r>
            <w:r>
              <w:rPr>
                <w:i/>
                <w:sz w:val="18"/>
              </w:rPr>
              <w:t>cual se adopta el Manual Operativo del Programa Nacional Jóvenes en Paz.”</w:t>
            </w:r>
          </w:p>
        </w:tc>
      </w:tr>
      <w:tr w:rsidR="000E52B0" w14:paraId="6C19F1C3" w14:textId="77777777">
        <w:trPr>
          <w:trHeight w:val="1771"/>
        </w:trPr>
        <w:tc>
          <w:tcPr>
            <w:tcW w:w="2372" w:type="dxa"/>
          </w:tcPr>
          <w:p w14:paraId="11AFC400" w14:textId="77777777" w:rsidR="000E52B0" w:rsidRDefault="000E52B0">
            <w:pPr>
              <w:pStyle w:val="TableParagraph"/>
              <w:rPr>
                <w:sz w:val="18"/>
              </w:rPr>
            </w:pPr>
          </w:p>
          <w:p w14:paraId="1EFEE4EE" w14:textId="77777777" w:rsidR="000E52B0" w:rsidRDefault="000E52B0">
            <w:pPr>
              <w:pStyle w:val="TableParagraph"/>
              <w:rPr>
                <w:sz w:val="18"/>
              </w:rPr>
            </w:pPr>
          </w:p>
          <w:p w14:paraId="33A14964" w14:textId="77777777" w:rsidR="000E52B0" w:rsidRDefault="000E52B0">
            <w:pPr>
              <w:pStyle w:val="TableParagraph"/>
              <w:spacing w:before="9"/>
              <w:rPr>
                <w:sz w:val="18"/>
              </w:rPr>
            </w:pPr>
          </w:p>
          <w:p w14:paraId="4D894D61" w14:textId="77777777" w:rsidR="000E52B0" w:rsidRDefault="00F60D74">
            <w:pPr>
              <w:pStyle w:val="TableParagraph"/>
              <w:ind w:left="105" w:right="374"/>
              <w:rPr>
                <w:sz w:val="18"/>
              </w:rPr>
            </w:pPr>
            <w:r>
              <w:rPr>
                <w:sz w:val="18"/>
              </w:rPr>
              <w:t>Designación</w:t>
            </w:r>
            <w:r>
              <w:rPr>
                <w:spacing w:val="-16"/>
                <w:sz w:val="18"/>
              </w:rPr>
              <w:t xml:space="preserve"> </w:t>
            </w:r>
            <w:r>
              <w:rPr>
                <w:sz w:val="18"/>
              </w:rPr>
              <w:t>Consejo Directivo Fondo</w:t>
            </w:r>
          </w:p>
        </w:tc>
        <w:tc>
          <w:tcPr>
            <w:tcW w:w="2761" w:type="dxa"/>
          </w:tcPr>
          <w:p w14:paraId="276A6A17" w14:textId="77777777" w:rsidR="000E52B0" w:rsidRDefault="000E52B0">
            <w:pPr>
              <w:pStyle w:val="TableParagraph"/>
              <w:rPr>
                <w:sz w:val="18"/>
              </w:rPr>
            </w:pPr>
          </w:p>
          <w:p w14:paraId="3874C4C1" w14:textId="77777777" w:rsidR="000E52B0" w:rsidRDefault="000E52B0">
            <w:pPr>
              <w:pStyle w:val="TableParagraph"/>
              <w:spacing w:before="120"/>
              <w:rPr>
                <w:sz w:val="18"/>
              </w:rPr>
            </w:pPr>
          </w:p>
          <w:p w14:paraId="72ACF621" w14:textId="77777777" w:rsidR="000E52B0" w:rsidRDefault="00F60D74">
            <w:pPr>
              <w:pStyle w:val="TableParagraph"/>
              <w:spacing w:line="219" w:lineRule="exact"/>
              <w:ind w:left="105"/>
              <w:rPr>
                <w:sz w:val="18"/>
              </w:rPr>
            </w:pPr>
            <w:r>
              <w:rPr>
                <w:spacing w:val="-2"/>
                <w:sz w:val="18"/>
              </w:rPr>
              <w:t>DECRETO</w:t>
            </w:r>
          </w:p>
          <w:p w14:paraId="706B3DE8" w14:textId="77777777" w:rsidR="000E52B0" w:rsidRDefault="00F60D74">
            <w:pPr>
              <w:pStyle w:val="TableParagraph"/>
              <w:ind w:left="105"/>
              <w:rPr>
                <w:sz w:val="18"/>
              </w:rPr>
            </w:pPr>
            <w:r>
              <w:rPr>
                <w:sz w:val="18"/>
              </w:rPr>
              <w:t>Ministerio</w:t>
            </w:r>
            <w:r>
              <w:rPr>
                <w:spacing w:val="80"/>
                <w:sz w:val="18"/>
              </w:rPr>
              <w:t xml:space="preserve"> </w:t>
            </w:r>
            <w:r>
              <w:rPr>
                <w:sz w:val="18"/>
              </w:rPr>
              <w:t>de</w:t>
            </w:r>
            <w:r>
              <w:rPr>
                <w:spacing w:val="80"/>
                <w:sz w:val="18"/>
              </w:rPr>
              <w:t xml:space="preserve"> </w:t>
            </w:r>
            <w:r>
              <w:rPr>
                <w:sz w:val="18"/>
              </w:rPr>
              <w:t>Igualdad</w:t>
            </w:r>
            <w:r>
              <w:rPr>
                <w:spacing w:val="80"/>
                <w:sz w:val="18"/>
              </w:rPr>
              <w:t xml:space="preserve"> </w:t>
            </w:r>
            <w:r>
              <w:rPr>
                <w:sz w:val="18"/>
              </w:rPr>
              <w:t xml:space="preserve">y </w:t>
            </w:r>
            <w:r>
              <w:rPr>
                <w:spacing w:val="-2"/>
                <w:sz w:val="18"/>
              </w:rPr>
              <w:t>Equidad</w:t>
            </w:r>
          </w:p>
        </w:tc>
        <w:tc>
          <w:tcPr>
            <w:tcW w:w="3661" w:type="dxa"/>
          </w:tcPr>
          <w:p w14:paraId="5D32D91A" w14:textId="77777777" w:rsidR="000E52B0" w:rsidRDefault="000E52B0">
            <w:pPr>
              <w:pStyle w:val="TableParagraph"/>
              <w:spacing w:before="19"/>
              <w:rPr>
                <w:sz w:val="18"/>
              </w:rPr>
            </w:pPr>
          </w:p>
          <w:p w14:paraId="02BFA2F9" w14:textId="77777777" w:rsidR="000E52B0" w:rsidRDefault="00F60D74">
            <w:pPr>
              <w:pStyle w:val="TableParagraph"/>
              <w:spacing w:before="1"/>
              <w:ind w:left="104" w:right="91"/>
              <w:jc w:val="both"/>
              <w:rPr>
                <w:sz w:val="18"/>
              </w:rPr>
            </w:pPr>
            <w:r>
              <w:rPr>
                <w:sz w:val="18"/>
              </w:rPr>
              <w:t>Decreto</w:t>
            </w:r>
            <w:r>
              <w:rPr>
                <w:spacing w:val="-1"/>
                <w:sz w:val="18"/>
              </w:rPr>
              <w:t xml:space="preserve"> </w:t>
            </w:r>
            <w:r>
              <w:rPr>
                <w:sz w:val="18"/>
              </w:rPr>
              <w:t>0019</w:t>
            </w:r>
            <w:r>
              <w:rPr>
                <w:spacing w:val="-1"/>
                <w:sz w:val="18"/>
              </w:rPr>
              <w:t xml:space="preserve"> </w:t>
            </w:r>
            <w:r>
              <w:rPr>
                <w:sz w:val="18"/>
              </w:rPr>
              <w:t>de</w:t>
            </w:r>
            <w:r>
              <w:rPr>
                <w:spacing w:val="-1"/>
                <w:sz w:val="18"/>
              </w:rPr>
              <w:t xml:space="preserve"> </w:t>
            </w:r>
            <w:r>
              <w:rPr>
                <w:sz w:val="18"/>
              </w:rPr>
              <w:t>2024</w:t>
            </w:r>
            <w:r>
              <w:rPr>
                <w:spacing w:val="-1"/>
                <w:sz w:val="18"/>
              </w:rPr>
              <w:t xml:space="preserve"> </w:t>
            </w:r>
            <w:r>
              <w:rPr>
                <w:sz w:val="18"/>
              </w:rPr>
              <w:t>"Por</w:t>
            </w:r>
            <w:r>
              <w:rPr>
                <w:spacing w:val="-2"/>
                <w:sz w:val="18"/>
              </w:rPr>
              <w:t xml:space="preserve"> </w:t>
            </w:r>
            <w:r>
              <w:rPr>
                <w:sz w:val="18"/>
              </w:rPr>
              <w:t>medio</w:t>
            </w:r>
            <w:r>
              <w:rPr>
                <w:spacing w:val="-1"/>
                <w:sz w:val="18"/>
              </w:rPr>
              <w:t xml:space="preserve"> </w:t>
            </w:r>
            <w:r>
              <w:rPr>
                <w:sz w:val="18"/>
              </w:rPr>
              <w:t>del cual se hace una designación en el Consejo Directivo del Fondo para la Superación de Brechas de Desigualdad</w:t>
            </w:r>
            <w:r>
              <w:rPr>
                <w:spacing w:val="38"/>
                <w:sz w:val="18"/>
              </w:rPr>
              <w:t xml:space="preserve"> </w:t>
            </w:r>
            <w:r>
              <w:rPr>
                <w:sz w:val="18"/>
              </w:rPr>
              <w:t>Poblacional</w:t>
            </w:r>
            <w:r>
              <w:rPr>
                <w:spacing w:val="39"/>
                <w:sz w:val="18"/>
              </w:rPr>
              <w:t xml:space="preserve"> </w:t>
            </w:r>
            <w:r>
              <w:rPr>
                <w:sz w:val="18"/>
              </w:rPr>
              <w:t>e</w:t>
            </w:r>
            <w:r>
              <w:rPr>
                <w:spacing w:val="37"/>
                <w:sz w:val="18"/>
              </w:rPr>
              <w:t xml:space="preserve"> </w:t>
            </w:r>
            <w:r>
              <w:rPr>
                <w:spacing w:val="-2"/>
                <w:sz w:val="18"/>
              </w:rPr>
              <w:t>Inequidad</w:t>
            </w:r>
          </w:p>
          <w:p w14:paraId="0CDBECD9" w14:textId="77777777" w:rsidR="000E52B0" w:rsidRDefault="00F60D74">
            <w:pPr>
              <w:pStyle w:val="TableParagraph"/>
              <w:spacing w:line="218" w:lineRule="exact"/>
              <w:ind w:left="104" w:right="96"/>
              <w:jc w:val="both"/>
              <w:rPr>
                <w:sz w:val="18"/>
              </w:rPr>
            </w:pPr>
            <w:r>
              <w:rPr>
                <w:sz w:val="18"/>
              </w:rPr>
              <w:t>Territorial</w:t>
            </w:r>
            <w:r>
              <w:rPr>
                <w:spacing w:val="-11"/>
                <w:sz w:val="18"/>
              </w:rPr>
              <w:t xml:space="preserve"> </w:t>
            </w:r>
            <w:r>
              <w:rPr>
                <w:sz w:val="18"/>
              </w:rPr>
              <w:t>del</w:t>
            </w:r>
            <w:r>
              <w:rPr>
                <w:spacing w:val="-11"/>
                <w:sz w:val="18"/>
              </w:rPr>
              <w:t xml:space="preserve"> </w:t>
            </w:r>
            <w:r>
              <w:rPr>
                <w:sz w:val="18"/>
              </w:rPr>
              <w:t>Ministerio</w:t>
            </w:r>
            <w:r>
              <w:rPr>
                <w:spacing w:val="-11"/>
                <w:sz w:val="18"/>
              </w:rPr>
              <w:t xml:space="preserve"> </w:t>
            </w:r>
            <w:r>
              <w:rPr>
                <w:sz w:val="18"/>
              </w:rPr>
              <w:t>de</w:t>
            </w:r>
            <w:r>
              <w:rPr>
                <w:spacing w:val="-13"/>
                <w:sz w:val="18"/>
              </w:rPr>
              <w:t xml:space="preserve"> </w:t>
            </w:r>
            <w:r>
              <w:rPr>
                <w:sz w:val="18"/>
              </w:rPr>
              <w:t>Igualdad</w:t>
            </w:r>
            <w:r>
              <w:rPr>
                <w:spacing w:val="-11"/>
                <w:sz w:val="18"/>
              </w:rPr>
              <w:t xml:space="preserve"> </w:t>
            </w:r>
            <w:r>
              <w:rPr>
                <w:sz w:val="18"/>
              </w:rPr>
              <w:t xml:space="preserve">y </w:t>
            </w:r>
            <w:r>
              <w:rPr>
                <w:spacing w:val="-2"/>
                <w:sz w:val="18"/>
              </w:rPr>
              <w:t>Equidad"</w:t>
            </w:r>
          </w:p>
        </w:tc>
      </w:tr>
      <w:tr w:rsidR="000E52B0" w14:paraId="66DF893A" w14:textId="77777777">
        <w:trPr>
          <w:trHeight w:val="875"/>
        </w:trPr>
        <w:tc>
          <w:tcPr>
            <w:tcW w:w="2372" w:type="dxa"/>
          </w:tcPr>
          <w:p w14:paraId="3A5CA7C3" w14:textId="77777777" w:rsidR="000E52B0" w:rsidRDefault="000E52B0">
            <w:pPr>
              <w:pStyle w:val="TableParagraph"/>
              <w:rPr>
                <w:sz w:val="18"/>
              </w:rPr>
            </w:pPr>
          </w:p>
          <w:p w14:paraId="0F9CBDFB" w14:textId="77777777" w:rsidR="000E52B0" w:rsidRDefault="00F60D74">
            <w:pPr>
              <w:pStyle w:val="TableParagraph"/>
              <w:ind w:left="105" w:right="522"/>
              <w:rPr>
                <w:sz w:val="18"/>
              </w:rPr>
            </w:pPr>
            <w:r>
              <w:rPr>
                <w:sz w:val="18"/>
              </w:rPr>
              <w:t>Modificación</w:t>
            </w:r>
            <w:r>
              <w:rPr>
                <w:spacing w:val="-16"/>
                <w:sz w:val="18"/>
              </w:rPr>
              <w:t xml:space="preserve"> </w:t>
            </w:r>
            <w:r>
              <w:rPr>
                <w:sz w:val="18"/>
              </w:rPr>
              <w:t xml:space="preserve">Planta </w:t>
            </w:r>
            <w:r>
              <w:rPr>
                <w:spacing w:val="-4"/>
                <w:sz w:val="18"/>
              </w:rPr>
              <w:t>ICBF</w:t>
            </w:r>
          </w:p>
        </w:tc>
        <w:tc>
          <w:tcPr>
            <w:tcW w:w="2761" w:type="dxa"/>
          </w:tcPr>
          <w:p w14:paraId="0B310D5E" w14:textId="77777777" w:rsidR="000E52B0" w:rsidRDefault="00F60D74">
            <w:pPr>
              <w:pStyle w:val="TableParagraph"/>
              <w:spacing w:before="109" w:line="219" w:lineRule="exact"/>
              <w:ind w:left="105"/>
              <w:rPr>
                <w:sz w:val="18"/>
              </w:rPr>
            </w:pPr>
            <w:r>
              <w:rPr>
                <w:spacing w:val="-2"/>
                <w:sz w:val="18"/>
              </w:rPr>
              <w:t>DECRETO</w:t>
            </w:r>
          </w:p>
          <w:p w14:paraId="73DA980D" w14:textId="77777777" w:rsidR="000E52B0" w:rsidRDefault="00F60D74">
            <w:pPr>
              <w:pStyle w:val="TableParagraph"/>
              <w:ind w:left="105"/>
              <w:rPr>
                <w:sz w:val="18"/>
              </w:rPr>
            </w:pPr>
            <w:r>
              <w:rPr>
                <w:sz w:val="18"/>
              </w:rPr>
              <w:t>Ministerio</w:t>
            </w:r>
            <w:r>
              <w:rPr>
                <w:spacing w:val="80"/>
                <w:sz w:val="18"/>
              </w:rPr>
              <w:t xml:space="preserve"> </w:t>
            </w:r>
            <w:r>
              <w:rPr>
                <w:sz w:val="18"/>
              </w:rPr>
              <w:t>de</w:t>
            </w:r>
            <w:r>
              <w:rPr>
                <w:spacing w:val="80"/>
                <w:sz w:val="18"/>
              </w:rPr>
              <w:t xml:space="preserve"> </w:t>
            </w:r>
            <w:r>
              <w:rPr>
                <w:sz w:val="18"/>
              </w:rPr>
              <w:t>Igualdad</w:t>
            </w:r>
            <w:r>
              <w:rPr>
                <w:spacing w:val="80"/>
                <w:sz w:val="18"/>
              </w:rPr>
              <w:t xml:space="preserve"> </w:t>
            </w:r>
            <w:r>
              <w:rPr>
                <w:sz w:val="18"/>
              </w:rPr>
              <w:t xml:space="preserve">y </w:t>
            </w:r>
            <w:r>
              <w:rPr>
                <w:spacing w:val="-2"/>
                <w:sz w:val="18"/>
              </w:rPr>
              <w:t>Equidad</w:t>
            </w:r>
          </w:p>
        </w:tc>
        <w:tc>
          <w:tcPr>
            <w:tcW w:w="3661" w:type="dxa"/>
          </w:tcPr>
          <w:p w14:paraId="240820D0" w14:textId="77777777" w:rsidR="000E52B0" w:rsidRDefault="00F60D74">
            <w:pPr>
              <w:pStyle w:val="TableParagraph"/>
              <w:spacing w:line="218" w:lineRule="exact"/>
              <w:ind w:left="104" w:right="89"/>
              <w:jc w:val="both"/>
              <w:rPr>
                <w:i/>
                <w:sz w:val="18"/>
              </w:rPr>
            </w:pPr>
            <w:r>
              <w:rPr>
                <w:sz w:val="18"/>
              </w:rPr>
              <w:t>Decreto 2280 de 2023 “</w:t>
            </w:r>
            <w:r>
              <w:rPr>
                <w:i/>
                <w:sz w:val="18"/>
              </w:rPr>
              <w:t>Por el cual se modifica la planta de personal del Instituto Colombiano de Bienestar Familiar “Cecilia de la Fuente Lleras”</w:t>
            </w:r>
          </w:p>
        </w:tc>
      </w:tr>
      <w:tr w:rsidR="000E52B0" w14:paraId="205FED37" w14:textId="77777777">
        <w:trPr>
          <w:trHeight w:val="1314"/>
        </w:trPr>
        <w:tc>
          <w:tcPr>
            <w:tcW w:w="2372" w:type="dxa"/>
          </w:tcPr>
          <w:p w14:paraId="28A062B8" w14:textId="77777777" w:rsidR="000E52B0" w:rsidRDefault="000E52B0">
            <w:pPr>
              <w:pStyle w:val="TableParagraph"/>
              <w:rPr>
                <w:sz w:val="18"/>
              </w:rPr>
            </w:pPr>
          </w:p>
          <w:p w14:paraId="2BF7EEDB" w14:textId="77777777" w:rsidR="000E52B0" w:rsidRDefault="000E52B0">
            <w:pPr>
              <w:pStyle w:val="TableParagraph"/>
              <w:rPr>
                <w:sz w:val="18"/>
              </w:rPr>
            </w:pPr>
          </w:p>
          <w:p w14:paraId="6193225F" w14:textId="77777777" w:rsidR="000E52B0" w:rsidRDefault="00F60D74">
            <w:pPr>
              <w:pStyle w:val="TableParagraph"/>
              <w:ind w:left="105" w:right="218"/>
              <w:rPr>
                <w:sz w:val="18"/>
              </w:rPr>
            </w:pPr>
            <w:r>
              <w:rPr>
                <w:sz w:val="18"/>
              </w:rPr>
              <w:t>Resolución</w:t>
            </w:r>
            <w:r>
              <w:rPr>
                <w:spacing w:val="-16"/>
                <w:sz w:val="18"/>
              </w:rPr>
              <w:t xml:space="preserve"> </w:t>
            </w:r>
            <w:r>
              <w:rPr>
                <w:sz w:val="18"/>
              </w:rPr>
              <w:t xml:space="preserve">Publicación </w:t>
            </w:r>
            <w:r>
              <w:rPr>
                <w:spacing w:val="-2"/>
                <w:sz w:val="18"/>
              </w:rPr>
              <w:t>Actos</w:t>
            </w:r>
          </w:p>
        </w:tc>
        <w:tc>
          <w:tcPr>
            <w:tcW w:w="2761" w:type="dxa"/>
          </w:tcPr>
          <w:p w14:paraId="649A760B" w14:textId="77777777" w:rsidR="000E52B0" w:rsidRDefault="000E52B0">
            <w:pPr>
              <w:pStyle w:val="TableParagraph"/>
              <w:spacing w:before="108"/>
              <w:rPr>
                <w:sz w:val="18"/>
              </w:rPr>
            </w:pPr>
          </w:p>
          <w:p w14:paraId="14AF748B" w14:textId="77777777" w:rsidR="000E52B0" w:rsidRDefault="00F60D74">
            <w:pPr>
              <w:pStyle w:val="TableParagraph"/>
              <w:spacing w:line="219" w:lineRule="exact"/>
              <w:ind w:left="105"/>
              <w:rPr>
                <w:sz w:val="18"/>
              </w:rPr>
            </w:pPr>
            <w:r>
              <w:rPr>
                <w:spacing w:val="-2"/>
                <w:sz w:val="18"/>
              </w:rPr>
              <w:t>RESOLUCIÓN</w:t>
            </w:r>
          </w:p>
          <w:p w14:paraId="2A16A53B" w14:textId="77777777" w:rsidR="000E52B0" w:rsidRDefault="00F60D74">
            <w:pPr>
              <w:pStyle w:val="TableParagraph"/>
              <w:ind w:left="105"/>
              <w:rPr>
                <w:sz w:val="18"/>
              </w:rPr>
            </w:pPr>
            <w:r>
              <w:rPr>
                <w:sz w:val="18"/>
              </w:rPr>
              <w:t>Ministerio</w:t>
            </w:r>
            <w:r>
              <w:rPr>
                <w:spacing w:val="80"/>
                <w:sz w:val="18"/>
              </w:rPr>
              <w:t xml:space="preserve"> </w:t>
            </w:r>
            <w:r>
              <w:rPr>
                <w:sz w:val="18"/>
              </w:rPr>
              <w:t>de</w:t>
            </w:r>
            <w:r>
              <w:rPr>
                <w:spacing w:val="80"/>
                <w:sz w:val="18"/>
              </w:rPr>
              <w:t xml:space="preserve"> </w:t>
            </w:r>
            <w:r>
              <w:rPr>
                <w:sz w:val="18"/>
              </w:rPr>
              <w:t>Igualdad</w:t>
            </w:r>
            <w:r>
              <w:rPr>
                <w:spacing w:val="80"/>
                <w:sz w:val="18"/>
              </w:rPr>
              <w:t xml:space="preserve"> </w:t>
            </w:r>
            <w:r>
              <w:rPr>
                <w:sz w:val="18"/>
              </w:rPr>
              <w:t xml:space="preserve">y </w:t>
            </w:r>
            <w:r>
              <w:rPr>
                <w:spacing w:val="-2"/>
                <w:sz w:val="18"/>
              </w:rPr>
              <w:t>Equidad</w:t>
            </w:r>
          </w:p>
        </w:tc>
        <w:tc>
          <w:tcPr>
            <w:tcW w:w="3661" w:type="dxa"/>
          </w:tcPr>
          <w:p w14:paraId="41CD8CC5" w14:textId="77777777" w:rsidR="000E52B0" w:rsidRDefault="00F60D74">
            <w:pPr>
              <w:pStyle w:val="TableParagraph"/>
              <w:ind w:left="104" w:right="89"/>
              <w:jc w:val="both"/>
              <w:rPr>
                <w:i/>
                <w:sz w:val="18"/>
              </w:rPr>
            </w:pPr>
            <w:r>
              <w:rPr>
                <w:sz w:val="18"/>
              </w:rPr>
              <w:t>Resolución</w:t>
            </w:r>
            <w:r>
              <w:rPr>
                <w:spacing w:val="-16"/>
                <w:sz w:val="18"/>
              </w:rPr>
              <w:t xml:space="preserve"> </w:t>
            </w:r>
            <w:r>
              <w:rPr>
                <w:sz w:val="18"/>
              </w:rPr>
              <w:t>517</w:t>
            </w:r>
            <w:r>
              <w:rPr>
                <w:spacing w:val="-16"/>
                <w:sz w:val="18"/>
              </w:rPr>
              <w:t xml:space="preserve"> </w:t>
            </w:r>
            <w:r>
              <w:rPr>
                <w:sz w:val="18"/>
              </w:rPr>
              <w:t>de</w:t>
            </w:r>
            <w:r>
              <w:rPr>
                <w:spacing w:val="-16"/>
                <w:sz w:val="18"/>
              </w:rPr>
              <w:t xml:space="preserve"> </w:t>
            </w:r>
            <w:r>
              <w:rPr>
                <w:sz w:val="18"/>
              </w:rPr>
              <w:t>2024</w:t>
            </w:r>
            <w:r>
              <w:rPr>
                <w:spacing w:val="-16"/>
                <w:sz w:val="18"/>
              </w:rPr>
              <w:t xml:space="preserve"> </w:t>
            </w:r>
            <w:r>
              <w:rPr>
                <w:sz w:val="18"/>
              </w:rPr>
              <w:t>“</w:t>
            </w:r>
            <w:r>
              <w:rPr>
                <w:i/>
                <w:sz w:val="18"/>
              </w:rPr>
              <w:t>Por</w:t>
            </w:r>
            <w:r>
              <w:rPr>
                <w:i/>
                <w:spacing w:val="-16"/>
                <w:sz w:val="18"/>
              </w:rPr>
              <w:t xml:space="preserve"> </w:t>
            </w:r>
            <w:r>
              <w:rPr>
                <w:i/>
                <w:sz w:val="18"/>
              </w:rPr>
              <w:t>la</w:t>
            </w:r>
            <w:r>
              <w:rPr>
                <w:i/>
                <w:spacing w:val="-15"/>
                <w:sz w:val="18"/>
              </w:rPr>
              <w:t xml:space="preserve"> </w:t>
            </w:r>
            <w:r>
              <w:rPr>
                <w:i/>
                <w:sz w:val="18"/>
              </w:rPr>
              <w:t>cual</w:t>
            </w:r>
            <w:r>
              <w:rPr>
                <w:i/>
                <w:spacing w:val="-16"/>
                <w:sz w:val="18"/>
              </w:rPr>
              <w:t xml:space="preserve"> </w:t>
            </w:r>
            <w:r>
              <w:rPr>
                <w:i/>
                <w:sz w:val="18"/>
              </w:rPr>
              <w:t>se reglamentan los plazos para la publicación de proyectos específicos de</w:t>
            </w:r>
            <w:r>
              <w:rPr>
                <w:i/>
                <w:spacing w:val="2"/>
                <w:sz w:val="18"/>
              </w:rPr>
              <w:t xml:space="preserve"> </w:t>
            </w:r>
            <w:r>
              <w:rPr>
                <w:i/>
                <w:sz w:val="18"/>
              </w:rPr>
              <w:t>regulación</w:t>
            </w:r>
            <w:r>
              <w:rPr>
                <w:i/>
                <w:spacing w:val="1"/>
                <w:sz w:val="18"/>
              </w:rPr>
              <w:t xml:space="preserve"> </w:t>
            </w:r>
            <w:r>
              <w:rPr>
                <w:i/>
                <w:sz w:val="18"/>
              </w:rPr>
              <w:t>que</w:t>
            </w:r>
            <w:r>
              <w:rPr>
                <w:i/>
                <w:spacing w:val="2"/>
                <w:sz w:val="18"/>
              </w:rPr>
              <w:t xml:space="preserve"> </w:t>
            </w:r>
            <w:r>
              <w:rPr>
                <w:i/>
                <w:sz w:val="18"/>
              </w:rPr>
              <w:t>expida</w:t>
            </w:r>
            <w:r>
              <w:rPr>
                <w:i/>
                <w:spacing w:val="2"/>
                <w:sz w:val="18"/>
              </w:rPr>
              <w:t xml:space="preserve"> </w:t>
            </w:r>
            <w:r>
              <w:rPr>
                <w:i/>
                <w:sz w:val="18"/>
              </w:rPr>
              <w:t>el</w:t>
            </w:r>
            <w:r>
              <w:rPr>
                <w:i/>
                <w:spacing w:val="2"/>
                <w:sz w:val="18"/>
              </w:rPr>
              <w:t xml:space="preserve"> </w:t>
            </w:r>
            <w:r>
              <w:rPr>
                <w:i/>
                <w:spacing w:val="-2"/>
                <w:sz w:val="18"/>
              </w:rPr>
              <w:t>Ministerio</w:t>
            </w:r>
          </w:p>
          <w:p w14:paraId="059E2E39" w14:textId="77777777" w:rsidR="000E52B0" w:rsidRDefault="00F60D74">
            <w:pPr>
              <w:pStyle w:val="TableParagraph"/>
              <w:spacing w:line="218" w:lineRule="exact"/>
              <w:ind w:left="104" w:right="90"/>
              <w:jc w:val="both"/>
              <w:rPr>
                <w:sz w:val="18"/>
              </w:rPr>
            </w:pPr>
            <w:r>
              <w:rPr>
                <w:i/>
                <w:sz w:val="18"/>
              </w:rPr>
              <w:t>de igualdad y Equidad y se dictan otras disposiciones.</w:t>
            </w:r>
            <w:r>
              <w:rPr>
                <w:sz w:val="18"/>
              </w:rPr>
              <w:t>”</w:t>
            </w:r>
          </w:p>
        </w:tc>
      </w:tr>
    </w:tbl>
    <w:p w14:paraId="1B1C2CC7" w14:textId="77777777" w:rsidR="000E52B0" w:rsidRDefault="000E52B0">
      <w:pPr>
        <w:pStyle w:val="TableParagraph"/>
        <w:spacing w:line="218" w:lineRule="exact"/>
        <w:jc w:val="both"/>
        <w:rPr>
          <w:sz w:val="18"/>
        </w:rPr>
        <w:sectPr w:rsidR="000E52B0">
          <w:type w:val="continuous"/>
          <w:pgSz w:w="11910" w:h="16840"/>
          <w:pgMar w:top="1400" w:right="720" w:bottom="1523" w:left="720" w:header="0" w:footer="995" w:gutter="0"/>
          <w:cols w:space="720"/>
        </w:sectPr>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72"/>
        <w:gridCol w:w="2761"/>
        <w:gridCol w:w="3661"/>
      </w:tblGrid>
      <w:tr w:rsidR="000E52B0" w14:paraId="674F3A37" w14:textId="77777777">
        <w:trPr>
          <w:trHeight w:val="556"/>
        </w:trPr>
        <w:tc>
          <w:tcPr>
            <w:tcW w:w="2372" w:type="dxa"/>
            <w:shd w:val="clear" w:color="auto" w:fill="D44673"/>
          </w:tcPr>
          <w:p w14:paraId="22EE80F2" w14:textId="77777777" w:rsidR="000E52B0" w:rsidRDefault="00F60D74">
            <w:pPr>
              <w:pStyle w:val="TableParagraph"/>
              <w:spacing w:before="169"/>
              <w:ind w:left="13"/>
              <w:jc w:val="center"/>
              <w:rPr>
                <w:b/>
                <w:sz w:val="18"/>
              </w:rPr>
            </w:pPr>
            <w:r>
              <w:rPr>
                <w:b/>
                <w:color w:val="FFFFFF"/>
                <w:spacing w:val="-4"/>
                <w:sz w:val="18"/>
              </w:rPr>
              <w:lastRenderedPageBreak/>
              <w:t>Tema</w:t>
            </w:r>
          </w:p>
        </w:tc>
        <w:tc>
          <w:tcPr>
            <w:tcW w:w="2761" w:type="dxa"/>
            <w:shd w:val="clear" w:color="auto" w:fill="D44673"/>
          </w:tcPr>
          <w:p w14:paraId="32D595A9" w14:textId="77777777" w:rsidR="000E52B0" w:rsidRDefault="00F60D74">
            <w:pPr>
              <w:pStyle w:val="TableParagraph"/>
              <w:spacing w:before="169"/>
              <w:ind w:left="153"/>
              <w:rPr>
                <w:b/>
                <w:sz w:val="18"/>
              </w:rPr>
            </w:pPr>
            <w:r>
              <w:rPr>
                <w:b/>
                <w:color w:val="FFFFFF"/>
                <w:sz w:val="18"/>
              </w:rPr>
              <w:t>Tipo De</w:t>
            </w:r>
            <w:r>
              <w:rPr>
                <w:b/>
                <w:color w:val="FFFFFF"/>
                <w:spacing w:val="1"/>
                <w:sz w:val="18"/>
              </w:rPr>
              <w:t xml:space="preserve"> </w:t>
            </w:r>
            <w:r>
              <w:rPr>
                <w:b/>
                <w:color w:val="FFFFFF"/>
                <w:spacing w:val="-2"/>
                <w:sz w:val="18"/>
              </w:rPr>
              <w:t>Reglamentación</w:t>
            </w:r>
          </w:p>
        </w:tc>
        <w:tc>
          <w:tcPr>
            <w:tcW w:w="3661" w:type="dxa"/>
            <w:shd w:val="clear" w:color="auto" w:fill="D44673"/>
          </w:tcPr>
          <w:p w14:paraId="46DB54C1" w14:textId="77777777" w:rsidR="000E52B0" w:rsidRDefault="00F60D74">
            <w:pPr>
              <w:pStyle w:val="TableParagraph"/>
              <w:spacing w:before="169"/>
              <w:ind w:left="1090"/>
              <w:rPr>
                <w:b/>
                <w:sz w:val="18"/>
              </w:rPr>
            </w:pPr>
            <w:r>
              <w:rPr>
                <w:b/>
                <w:color w:val="FFFFFF"/>
                <w:spacing w:val="-2"/>
                <w:sz w:val="18"/>
              </w:rPr>
              <w:t>Observaciones</w:t>
            </w:r>
          </w:p>
        </w:tc>
      </w:tr>
      <w:tr w:rsidR="000E52B0" w14:paraId="66359531" w14:textId="77777777">
        <w:trPr>
          <w:trHeight w:val="1751"/>
        </w:trPr>
        <w:tc>
          <w:tcPr>
            <w:tcW w:w="2372" w:type="dxa"/>
          </w:tcPr>
          <w:p w14:paraId="65794278" w14:textId="77777777" w:rsidR="000E52B0" w:rsidRDefault="00F60D74">
            <w:pPr>
              <w:pStyle w:val="TableParagraph"/>
              <w:ind w:left="105" w:right="156"/>
              <w:rPr>
                <w:sz w:val="18"/>
              </w:rPr>
            </w:pPr>
            <w:r>
              <w:rPr>
                <w:sz w:val="18"/>
              </w:rPr>
              <w:t>Proyecto</w:t>
            </w:r>
            <w:r>
              <w:rPr>
                <w:spacing w:val="-16"/>
                <w:sz w:val="18"/>
              </w:rPr>
              <w:t xml:space="preserve"> </w:t>
            </w:r>
            <w:r>
              <w:rPr>
                <w:sz w:val="18"/>
              </w:rPr>
              <w:t>de</w:t>
            </w:r>
            <w:r>
              <w:rPr>
                <w:spacing w:val="-16"/>
                <w:sz w:val="18"/>
              </w:rPr>
              <w:t xml:space="preserve"> </w:t>
            </w:r>
            <w:r>
              <w:rPr>
                <w:sz w:val="18"/>
              </w:rPr>
              <w:t>Resolución Por la cual se adoptan los lineamientos estratégicos del Ministerio de Igualdad y Equidad para la provisión directa de</w:t>
            </w:r>
          </w:p>
          <w:p w14:paraId="77F7E469" w14:textId="77777777" w:rsidR="000E52B0" w:rsidRDefault="00F60D74">
            <w:pPr>
              <w:pStyle w:val="TableParagraph"/>
              <w:spacing w:line="201" w:lineRule="exact"/>
              <w:ind w:left="105"/>
              <w:rPr>
                <w:sz w:val="18"/>
              </w:rPr>
            </w:pPr>
            <w:r>
              <w:rPr>
                <w:spacing w:val="-2"/>
                <w:sz w:val="18"/>
              </w:rPr>
              <w:t>alimentos</w:t>
            </w:r>
          </w:p>
        </w:tc>
        <w:tc>
          <w:tcPr>
            <w:tcW w:w="2761" w:type="dxa"/>
          </w:tcPr>
          <w:p w14:paraId="7C0282C8" w14:textId="77777777" w:rsidR="000E52B0" w:rsidRDefault="000E52B0">
            <w:pPr>
              <w:pStyle w:val="TableParagraph"/>
              <w:rPr>
                <w:sz w:val="18"/>
              </w:rPr>
            </w:pPr>
          </w:p>
          <w:p w14:paraId="07602F91" w14:textId="77777777" w:rsidR="000E52B0" w:rsidRDefault="000E52B0">
            <w:pPr>
              <w:pStyle w:val="TableParagraph"/>
              <w:rPr>
                <w:sz w:val="18"/>
              </w:rPr>
            </w:pPr>
          </w:p>
          <w:p w14:paraId="100D795D" w14:textId="77777777" w:rsidR="000E52B0" w:rsidRDefault="000E52B0">
            <w:pPr>
              <w:pStyle w:val="TableParagraph"/>
              <w:spacing w:before="108"/>
              <w:rPr>
                <w:sz w:val="18"/>
              </w:rPr>
            </w:pPr>
          </w:p>
          <w:p w14:paraId="6FF59449" w14:textId="77777777" w:rsidR="000E52B0" w:rsidRDefault="00F60D74">
            <w:pPr>
              <w:pStyle w:val="TableParagraph"/>
              <w:ind w:left="105"/>
              <w:rPr>
                <w:sz w:val="18"/>
              </w:rPr>
            </w:pPr>
            <w:r>
              <w:rPr>
                <w:sz w:val="18"/>
              </w:rPr>
              <w:t>Ministerio</w:t>
            </w:r>
            <w:r>
              <w:rPr>
                <w:spacing w:val="80"/>
                <w:sz w:val="18"/>
              </w:rPr>
              <w:t xml:space="preserve"> </w:t>
            </w:r>
            <w:r>
              <w:rPr>
                <w:sz w:val="18"/>
              </w:rPr>
              <w:t>de</w:t>
            </w:r>
            <w:r>
              <w:rPr>
                <w:spacing w:val="80"/>
                <w:sz w:val="18"/>
              </w:rPr>
              <w:t xml:space="preserve"> </w:t>
            </w:r>
            <w:r>
              <w:rPr>
                <w:sz w:val="18"/>
              </w:rPr>
              <w:t>Igualdad</w:t>
            </w:r>
            <w:r>
              <w:rPr>
                <w:spacing w:val="80"/>
                <w:sz w:val="18"/>
              </w:rPr>
              <w:t xml:space="preserve"> </w:t>
            </w:r>
            <w:r>
              <w:rPr>
                <w:sz w:val="18"/>
              </w:rPr>
              <w:t xml:space="preserve">y </w:t>
            </w:r>
            <w:r>
              <w:rPr>
                <w:spacing w:val="-2"/>
                <w:sz w:val="18"/>
              </w:rPr>
              <w:t>Equidad</w:t>
            </w:r>
          </w:p>
        </w:tc>
        <w:tc>
          <w:tcPr>
            <w:tcW w:w="3661" w:type="dxa"/>
          </w:tcPr>
          <w:p w14:paraId="3B46BADE" w14:textId="77777777" w:rsidR="000E52B0" w:rsidRDefault="000E52B0">
            <w:pPr>
              <w:pStyle w:val="TableParagraph"/>
              <w:rPr>
                <w:sz w:val="18"/>
              </w:rPr>
            </w:pPr>
          </w:p>
          <w:p w14:paraId="237BA45A" w14:textId="77777777" w:rsidR="000E52B0" w:rsidRDefault="000E52B0">
            <w:pPr>
              <w:pStyle w:val="TableParagraph"/>
              <w:rPr>
                <w:sz w:val="18"/>
              </w:rPr>
            </w:pPr>
          </w:p>
          <w:p w14:paraId="595CD208" w14:textId="77777777" w:rsidR="000E52B0" w:rsidRDefault="000E52B0">
            <w:pPr>
              <w:pStyle w:val="TableParagraph"/>
              <w:spacing w:before="218"/>
              <w:rPr>
                <w:sz w:val="18"/>
              </w:rPr>
            </w:pPr>
          </w:p>
          <w:p w14:paraId="58F265BB" w14:textId="77777777" w:rsidR="000E52B0" w:rsidRDefault="00F60D74">
            <w:pPr>
              <w:pStyle w:val="TableParagraph"/>
              <w:ind w:left="104"/>
              <w:rPr>
                <w:sz w:val="18"/>
              </w:rPr>
            </w:pPr>
            <w:r>
              <w:rPr>
                <w:sz w:val="18"/>
              </w:rPr>
              <w:t>Resolución</w:t>
            </w:r>
            <w:r>
              <w:rPr>
                <w:spacing w:val="-2"/>
                <w:sz w:val="18"/>
              </w:rPr>
              <w:t xml:space="preserve"> </w:t>
            </w:r>
            <w:r>
              <w:rPr>
                <w:sz w:val="18"/>
              </w:rPr>
              <w:t>639</w:t>
            </w:r>
            <w:r>
              <w:rPr>
                <w:spacing w:val="-3"/>
                <w:sz w:val="18"/>
              </w:rPr>
              <w:t xml:space="preserve"> </w:t>
            </w:r>
            <w:r>
              <w:rPr>
                <w:sz w:val="18"/>
              </w:rPr>
              <w:t>de</w:t>
            </w:r>
            <w:r>
              <w:rPr>
                <w:spacing w:val="-2"/>
                <w:sz w:val="18"/>
              </w:rPr>
              <w:t xml:space="preserve"> 2024.</w:t>
            </w:r>
          </w:p>
        </w:tc>
      </w:tr>
    </w:tbl>
    <w:p w14:paraId="30A965F9" w14:textId="77777777" w:rsidR="000E52B0" w:rsidRDefault="000E52B0">
      <w:pPr>
        <w:pStyle w:val="Textoindependiente"/>
        <w:spacing w:before="11"/>
        <w:ind w:left="0"/>
        <w:rPr>
          <w:sz w:val="26"/>
        </w:rPr>
      </w:pPr>
    </w:p>
    <w:p w14:paraId="6DB9CDE2" w14:textId="77777777" w:rsidR="000E52B0" w:rsidRDefault="00F60D74">
      <w:pPr>
        <w:pStyle w:val="Ttulo2"/>
        <w:jc w:val="left"/>
      </w:pPr>
      <w:bookmarkStart w:id="202" w:name="_bookmark202"/>
      <w:bookmarkEnd w:id="202"/>
      <w:r>
        <w:rPr>
          <w:color w:val="B3176C"/>
        </w:rPr>
        <w:t>Actos administrativos emitidos desde otros sectores firmados por la ministra de Igualdad y Equidad</w:t>
      </w:r>
    </w:p>
    <w:p w14:paraId="0C1C3B6F" w14:textId="77777777" w:rsidR="000E52B0" w:rsidRDefault="000E52B0">
      <w:pPr>
        <w:pStyle w:val="Textoindependiente"/>
        <w:spacing w:before="24"/>
        <w:ind w:left="0"/>
        <w:rPr>
          <w:sz w:val="20"/>
        </w:rPr>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72"/>
        <w:gridCol w:w="2365"/>
        <w:gridCol w:w="4057"/>
      </w:tblGrid>
      <w:tr w:rsidR="000E52B0" w14:paraId="2CEB5251" w14:textId="77777777">
        <w:trPr>
          <w:trHeight w:val="600"/>
        </w:trPr>
        <w:tc>
          <w:tcPr>
            <w:tcW w:w="2372" w:type="dxa"/>
            <w:shd w:val="clear" w:color="auto" w:fill="D44673"/>
          </w:tcPr>
          <w:p w14:paraId="3220CD31" w14:textId="77777777" w:rsidR="000E52B0" w:rsidRDefault="00F60D74">
            <w:pPr>
              <w:pStyle w:val="TableParagraph"/>
              <w:spacing w:before="109"/>
              <w:ind w:left="13"/>
              <w:jc w:val="center"/>
              <w:rPr>
                <w:b/>
                <w:sz w:val="18"/>
              </w:rPr>
            </w:pPr>
            <w:r>
              <w:rPr>
                <w:b/>
                <w:color w:val="FFFFFF"/>
                <w:spacing w:val="-4"/>
                <w:sz w:val="18"/>
              </w:rPr>
              <w:t>Tema</w:t>
            </w:r>
          </w:p>
        </w:tc>
        <w:tc>
          <w:tcPr>
            <w:tcW w:w="2365" w:type="dxa"/>
            <w:shd w:val="clear" w:color="auto" w:fill="D44673"/>
          </w:tcPr>
          <w:p w14:paraId="2F6CAFA9" w14:textId="77777777" w:rsidR="000E52B0" w:rsidRDefault="00F60D74">
            <w:pPr>
              <w:pStyle w:val="TableParagraph"/>
              <w:spacing w:before="1"/>
              <w:ind w:left="369" w:firstLine="429"/>
              <w:rPr>
                <w:b/>
                <w:sz w:val="18"/>
              </w:rPr>
            </w:pPr>
            <w:r>
              <w:rPr>
                <w:b/>
                <w:color w:val="FFFFFF"/>
                <w:sz w:val="18"/>
              </w:rPr>
              <w:t xml:space="preserve">Tipo De </w:t>
            </w:r>
            <w:r>
              <w:rPr>
                <w:b/>
                <w:color w:val="FFFFFF"/>
                <w:spacing w:val="-2"/>
                <w:sz w:val="18"/>
              </w:rPr>
              <w:t>Reglamentación</w:t>
            </w:r>
          </w:p>
        </w:tc>
        <w:tc>
          <w:tcPr>
            <w:tcW w:w="4057" w:type="dxa"/>
            <w:shd w:val="clear" w:color="auto" w:fill="D44673"/>
          </w:tcPr>
          <w:p w14:paraId="779BBE95" w14:textId="77777777" w:rsidR="000E52B0" w:rsidRDefault="00F60D74">
            <w:pPr>
              <w:pStyle w:val="TableParagraph"/>
              <w:spacing w:before="109"/>
              <w:ind w:left="1350"/>
              <w:rPr>
                <w:b/>
                <w:sz w:val="18"/>
              </w:rPr>
            </w:pPr>
            <w:r>
              <w:rPr>
                <w:b/>
                <w:color w:val="FFFFFF"/>
                <w:spacing w:val="-2"/>
                <w:sz w:val="18"/>
              </w:rPr>
              <w:t>Observaciones</w:t>
            </w:r>
          </w:p>
        </w:tc>
      </w:tr>
      <w:tr w:rsidR="000E52B0" w14:paraId="6DED9674" w14:textId="77777777">
        <w:trPr>
          <w:trHeight w:val="1557"/>
        </w:trPr>
        <w:tc>
          <w:tcPr>
            <w:tcW w:w="2372" w:type="dxa"/>
          </w:tcPr>
          <w:p w14:paraId="5AC1AE63" w14:textId="77777777" w:rsidR="000E52B0" w:rsidRDefault="00F60D74">
            <w:pPr>
              <w:pStyle w:val="TableParagraph"/>
              <w:tabs>
                <w:tab w:val="left" w:pos="2045"/>
              </w:tabs>
              <w:spacing w:before="121" w:line="219" w:lineRule="exact"/>
              <w:ind w:left="105"/>
              <w:jc w:val="both"/>
              <w:rPr>
                <w:sz w:val="18"/>
              </w:rPr>
            </w:pPr>
            <w:r>
              <w:rPr>
                <w:spacing w:val="-2"/>
                <w:sz w:val="18"/>
              </w:rPr>
              <w:t>Subsidio</w:t>
            </w:r>
            <w:r>
              <w:rPr>
                <w:sz w:val="18"/>
              </w:rPr>
              <w:tab/>
            </w:r>
            <w:r>
              <w:rPr>
                <w:spacing w:val="-5"/>
                <w:sz w:val="18"/>
              </w:rPr>
              <w:t>de</w:t>
            </w:r>
          </w:p>
          <w:p w14:paraId="534BF84F" w14:textId="77777777" w:rsidR="000E52B0" w:rsidRDefault="00F60D74">
            <w:pPr>
              <w:pStyle w:val="TableParagraph"/>
              <w:ind w:left="105" w:right="88"/>
              <w:jc w:val="both"/>
              <w:rPr>
                <w:sz w:val="18"/>
              </w:rPr>
            </w:pPr>
            <w:r>
              <w:rPr>
                <w:sz w:val="18"/>
              </w:rPr>
              <w:t xml:space="preserve">subsistencia para ex madres y padres comunitarios y ex madres y padres </w:t>
            </w:r>
            <w:r>
              <w:rPr>
                <w:spacing w:val="-2"/>
                <w:sz w:val="18"/>
              </w:rPr>
              <w:t>sustitutos.</w:t>
            </w:r>
          </w:p>
        </w:tc>
        <w:tc>
          <w:tcPr>
            <w:tcW w:w="2365" w:type="dxa"/>
          </w:tcPr>
          <w:p w14:paraId="2481E191" w14:textId="77777777" w:rsidR="000E52B0" w:rsidRDefault="000E52B0">
            <w:pPr>
              <w:pStyle w:val="TableParagraph"/>
              <w:rPr>
                <w:sz w:val="18"/>
              </w:rPr>
            </w:pPr>
          </w:p>
          <w:p w14:paraId="25B73C9D" w14:textId="77777777" w:rsidR="000E52B0" w:rsidRDefault="000E52B0">
            <w:pPr>
              <w:pStyle w:val="TableParagraph"/>
              <w:spacing w:before="120"/>
              <w:rPr>
                <w:sz w:val="18"/>
              </w:rPr>
            </w:pPr>
          </w:p>
          <w:p w14:paraId="019D0AB6" w14:textId="77777777" w:rsidR="000E52B0" w:rsidRDefault="00F60D74">
            <w:pPr>
              <w:pStyle w:val="TableParagraph"/>
              <w:spacing w:line="219" w:lineRule="exact"/>
              <w:ind w:left="105"/>
              <w:rPr>
                <w:sz w:val="18"/>
              </w:rPr>
            </w:pPr>
            <w:r>
              <w:rPr>
                <w:spacing w:val="-2"/>
                <w:sz w:val="18"/>
              </w:rPr>
              <w:t>DECRETO</w:t>
            </w:r>
          </w:p>
          <w:p w14:paraId="00B09A06" w14:textId="77777777" w:rsidR="000E52B0" w:rsidRDefault="00F60D74">
            <w:pPr>
              <w:pStyle w:val="TableParagraph"/>
              <w:ind w:left="105"/>
              <w:rPr>
                <w:sz w:val="18"/>
              </w:rPr>
            </w:pPr>
            <w:r>
              <w:rPr>
                <w:sz w:val="18"/>
              </w:rPr>
              <w:t>Ministerio</w:t>
            </w:r>
            <w:r>
              <w:rPr>
                <w:spacing w:val="-3"/>
                <w:sz w:val="18"/>
              </w:rPr>
              <w:t xml:space="preserve"> </w:t>
            </w:r>
            <w:r>
              <w:rPr>
                <w:sz w:val="18"/>
              </w:rPr>
              <w:t>del</w:t>
            </w:r>
            <w:r>
              <w:rPr>
                <w:spacing w:val="-3"/>
                <w:sz w:val="18"/>
              </w:rPr>
              <w:t xml:space="preserve"> </w:t>
            </w:r>
            <w:r>
              <w:rPr>
                <w:spacing w:val="-2"/>
                <w:sz w:val="18"/>
              </w:rPr>
              <w:t>Trabajo</w:t>
            </w:r>
          </w:p>
        </w:tc>
        <w:tc>
          <w:tcPr>
            <w:tcW w:w="4057" w:type="dxa"/>
          </w:tcPr>
          <w:p w14:paraId="12118A9C" w14:textId="77777777" w:rsidR="000E52B0" w:rsidRDefault="00F60D74">
            <w:pPr>
              <w:pStyle w:val="TableParagraph"/>
              <w:spacing w:before="10"/>
              <w:ind w:left="104" w:right="88"/>
              <w:jc w:val="both"/>
              <w:rPr>
                <w:sz w:val="18"/>
              </w:rPr>
            </w:pPr>
            <w:r>
              <w:rPr>
                <w:sz w:val="18"/>
              </w:rPr>
              <w:t>En el marco del trabajo articulado con el Ministerio</w:t>
            </w:r>
            <w:r>
              <w:rPr>
                <w:spacing w:val="-15"/>
                <w:sz w:val="18"/>
              </w:rPr>
              <w:t xml:space="preserve"> </w:t>
            </w:r>
            <w:r>
              <w:rPr>
                <w:sz w:val="18"/>
              </w:rPr>
              <w:t>del</w:t>
            </w:r>
            <w:r>
              <w:rPr>
                <w:spacing w:val="-15"/>
                <w:sz w:val="18"/>
              </w:rPr>
              <w:t xml:space="preserve"> </w:t>
            </w:r>
            <w:r>
              <w:rPr>
                <w:sz w:val="18"/>
              </w:rPr>
              <w:t>Trabajo,</w:t>
            </w:r>
            <w:r>
              <w:rPr>
                <w:spacing w:val="-16"/>
                <w:sz w:val="18"/>
              </w:rPr>
              <w:t xml:space="preserve"> </w:t>
            </w:r>
            <w:r>
              <w:rPr>
                <w:sz w:val="18"/>
              </w:rPr>
              <w:t>se</w:t>
            </w:r>
            <w:r>
              <w:rPr>
                <w:spacing w:val="-14"/>
                <w:sz w:val="18"/>
              </w:rPr>
              <w:t xml:space="preserve"> </w:t>
            </w:r>
            <w:r>
              <w:rPr>
                <w:sz w:val="18"/>
              </w:rPr>
              <w:t>emitió</w:t>
            </w:r>
            <w:r>
              <w:rPr>
                <w:spacing w:val="-15"/>
                <w:sz w:val="18"/>
              </w:rPr>
              <w:t xml:space="preserve"> </w:t>
            </w:r>
            <w:r>
              <w:rPr>
                <w:sz w:val="18"/>
              </w:rPr>
              <w:t>el</w:t>
            </w:r>
            <w:r>
              <w:rPr>
                <w:spacing w:val="-15"/>
                <w:sz w:val="18"/>
              </w:rPr>
              <w:t xml:space="preserve"> </w:t>
            </w:r>
            <w:r>
              <w:rPr>
                <w:sz w:val="18"/>
              </w:rPr>
              <w:t>Decreto 2182 del 2023 Por el cual se modifican el artículo</w:t>
            </w:r>
            <w:r>
              <w:rPr>
                <w:spacing w:val="-16"/>
                <w:sz w:val="18"/>
              </w:rPr>
              <w:t xml:space="preserve"> </w:t>
            </w:r>
            <w:r>
              <w:rPr>
                <w:sz w:val="18"/>
              </w:rPr>
              <w:t>2.2.14.3.3,</w:t>
            </w:r>
            <w:r>
              <w:rPr>
                <w:spacing w:val="-15"/>
                <w:sz w:val="18"/>
              </w:rPr>
              <w:t xml:space="preserve"> </w:t>
            </w:r>
            <w:r>
              <w:rPr>
                <w:sz w:val="18"/>
              </w:rPr>
              <w:t>el</w:t>
            </w:r>
            <w:r>
              <w:rPr>
                <w:spacing w:val="-15"/>
                <w:sz w:val="18"/>
              </w:rPr>
              <w:t xml:space="preserve"> </w:t>
            </w:r>
            <w:r>
              <w:rPr>
                <w:sz w:val="18"/>
              </w:rPr>
              <w:t>artículo</w:t>
            </w:r>
            <w:r>
              <w:rPr>
                <w:spacing w:val="-16"/>
                <w:sz w:val="18"/>
              </w:rPr>
              <w:t xml:space="preserve"> </w:t>
            </w:r>
            <w:r>
              <w:rPr>
                <w:sz w:val="18"/>
              </w:rPr>
              <w:t>2.2.14.3.6</w:t>
            </w:r>
            <w:r>
              <w:rPr>
                <w:spacing w:val="-15"/>
                <w:sz w:val="18"/>
              </w:rPr>
              <w:t xml:space="preserve"> </w:t>
            </w:r>
            <w:r>
              <w:rPr>
                <w:sz w:val="18"/>
              </w:rPr>
              <w:t>y el</w:t>
            </w:r>
            <w:r>
              <w:rPr>
                <w:spacing w:val="11"/>
                <w:sz w:val="18"/>
              </w:rPr>
              <w:t xml:space="preserve"> </w:t>
            </w:r>
            <w:r>
              <w:rPr>
                <w:sz w:val="18"/>
              </w:rPr>
              <w:t>artículo</w:t>
            </w:r>
            <w:r>
              <w:rPr>
                <w:spacing w:val="12"/>
                <w:sz w:val="18"/>
              </w:rPr>
              <w:t xml:space="preserve"> </w:t>
            </w:r>
            <w:r>
              <w:rPr>
                <w:sz w:val="18"/>
              </w:rPr>
              <w:t>2.2.14.3.10</w:t>
            </w:r>
            <w:r>
              <w:rPr>
                <w:spacing w:val="11"/>
                <w:sz w:val="18"/>
              </w:rPr>
              <w:t xml:space="preserve"> </w:t>
            </w:r>
            <w:r>
              <w:rPr>
                <w:sz w:val="18"/>
              </w:rPr>
              <w:t>del</w:t>
            </w:r>
            <w:r>
              <w:rPr>
                <w:spacing w:val="10"/>
                <w:sz w:val="18"/>
              </w:rPr>
              <w:t xml:space="preserve"> </w:t>
            </w:r>
            <w:r>
              <w:rPr>
                <w:sz w:val="18"/>
              </w:rPr>
              <w:t>Capítulo</w:t>
            </w:r>
            <w:r>
              <w:rPr>
                <w:spacing w:val="12"/>
                <w:sz w:val="18"/>
              </w:rPr>
              <w:t xml:space="preserve"> </w:t>
            </w:r>
            <w:r>
              <w:rPr>
                <w:sz w:val="18"/>
              </w:rPr>
              <w:t>3°</w:t>
            </w:r>
            <w:r>
              <w:rPr>
                <w:spacing w:val="12"/>
                <w:sz w:val="18"/>
              </w:rPr>
              <w:t xml:space="preserve"> </w:t>
            </w:r>
            <w:r>
              <w:rPr>
                <w:spacing w:val="-5"/>
                <w:sz w:val="18"/>
              </w:rPr>
              <w:t>del</w:t>
            </w:r>
          </w:p>
          <w:p w14:paraId="45FF4B03" w14:textId="77777777" w:rsidR="000E52B0" w:rsidRDefault="00F60D74">
            <w:pPr>
              <w:pStyle w:val="TableParagraph"/>
              <w:spacing w:line="218" w:lineRule="exact"/>
              <w:ind w:left="104" w:right="88"/>
              <w:jc w:val="both"/>
              <w:rPr>
                <w:sz w:val="18"/>
              </w:rPr>
            </w:pPr>
            <w:r>
              <w:rPr>
                <w:sz w:val="18"/>
              </w:rPr>
              <w:t>Título 14 de la Parte 2 del Libro 2 del Decreto 1833 de 2016</w:t>
            </w:r>
          </w:p>
        </w:tc>
      </w:tr>
      <w:tr w:rsidR="000E52B0" w14:paraId="4E2CA4CA" w14:textId="77777777">
        <w:trPr>
          <w:trHeight w:val="2625"/>
        </w:trPr>
        <w:tc>
          <w:tcPr>
            <w:tcW w:w="2372" w:type="dxa"/>
          </w:tcPr>
          <w:p w14:paraId="4EB1D8ED" w14:textId="77777777" w:rsidR="000E52B0" w:rsidRDefault="000E52B0">
            <w:pPr>
              <w:pStyle w:val="TableParagraph"/>
              <w:rPr>
                <w:sz w:val="18"/>
              </w:rPr>
            </w:pPr>
          </w:p>
          <w:p w14:paraId="17DBCE72" w14:textId="77777777" w:rsidR="000E52B0" w:rsidRDefault="000E52B0">
            <w:pPr>
              <w:pStyle w:val="TableParagraph"/>
              <w:rPr>
                <w:sz w:val="18"/>
              </w:rPr>
            </w:pPr>
          </w:p>
          <w:p w14:paraId="668BB6CA" w14:textId="77777777" w:rsidR="000E52B0" w:rsidRDefault="000E52B0">
            <w:pPr>
              <w:pStyle w:val="TableParagraph"/>
              <w:rPr>
                <w:sz w:val="18"/>
              </w:rPr>
            </w:pPr>
          </w:p>
          <w:p w14:paraId="18F0593F" w14:textId="77777777" w:rsidR="000E52B0" w:rsidRDefault="000E52B0">
            <w:pPr>
              <w:pStyle w:val="TableParagraph"/>
              <w:spacing w:before="107"/>
              <w:rPr>
                <w:sz w:val="18"/>
              </w:rPr>
            </w:pPr>
          </w:p>
          <w:p w14:paraId="579C9503" w14:textId="77777777" w:rsidR="000E52B0" w:rsidRDefault="00F60D74">
            <w:pPr>
              <w:pStyle w:val="TableParagraph"/>
              <w:tabs>
                <w:tab w:val="left" w:pos="1778"/>
              </w:tabs>
              <w:ind w:left="105" w:right="88"/>
              <w:jc w:val="both"/>
              <w:rPr>
                <w:sz w:val="18"/>
              </w:rPr>
            </w:pPr>
            <w:r>
              <w:rPr>
                <w:spacing w:val="-2"/>
                <w:sz w:val="18"/>
              </w:rPr>
              <w:t>Comisión</w:t>
            </w:r>
            <w:r>
              <w:rPr>
                <w:sz w:val="18"/>
              </w:rPr>
              <w:tab/>
            </w:r>
            <w:r>
              <w:rPr>
                <w:spacing w:val="-4"/>
                <w:sz w:val="18"/>
              </w:rPr>
              <w:t xml:space="preserve">Mixta </w:t>
            </w:r>
            <w:r>
              <w:rPr>
                <w:sz w:val="18"/>
              </w:rPr>
              <w:t xml:space="preserve">Nacional para Asuntos </w:t>
            </w:r>
            <w:r>
              <w:rPr>
                <w:spacing w:val="-2"/>
                <w:sz w:val="18"/>
              </w:rPr>
              <w:t>Campesinos</w:t>
            </w:r>
          </w:p>
        </w:tc>
        <w:tc>
          <w:tcPr>
            <w:tcW w:w="2365" w:type="dxa"/>
          </w:tcPr>
          <w:p w14:paraId="2D0D66BD" w14:textId="77777777" w:rsidR="000E52B0" w:rsidRDefault="000E52B0">
            <w:pPr>
              <w:pStyle w:val="TableParagraph"/>
              <w:rPr>
                <w:sz w:val="18"/>
              </w:rPr>
            </w:pPr>
          </w:p>
          <w:p w14:paraId="762B218C" w14:textId="77777777" w:rsidR="000E52B0" w:rsidRDefault="000E52B0">
            <w:pPr>
              <w:pStyle w:val="TableParagraph"/>
              <w:rPr>
                <w:sz w:val="18"/>
              </w:rPr>
            </w:pPr>
          </w:p>
          <w:p w14:paraId="6FB2DD3C" w14:textId="77777777" w:rsidR="000E52B0" w:rsidRDefault="000E52B0">
            <w:pPr>
              <w:pStyle w:val="TableParagraph"/>
              <w:rPr>
                <w:sz w:val="18"/>
              </w:rPr>
            </w:pPr>
          </w:p>
          <w:p w14:paraId="3BDE3DDC" w14:textId="77777777" w:rsidR="000E52B0" w:rsidRDefault="000E52B0">
            <w:pPr>
              <w:pStyle w:val="TableParagraph"/>
              <w:spacing w:before="218"/>
              <w:rPr>
                <w:sz w:val="18"/>
              </w:rPr>
            </w:pPr>
          </w:p>
          <w:p w14:paraId="57F7EC86" w14:textId="77777777" w:rsidR="000E52B0" w:rsidRDefault="00F60D74">
            <w:pPr>
              <w:pStyle w:val="TableParagraph"/>
              <w:ind w:left="105"/>
              <w:rPr>
                <w:sz w:val="18"/>
              </w:rPr>
            </w:pPr>
            <w:r>
              <w:rPr>
                <w:spacing w:val="-2"/>
                <w:sz w:val="18"/>
              </w:rPr>
              <w:t>DECRETO</w:t>
            </w:r>
          </w:p>
          <w:p w14:paraId="5D39B515" w14:textId="77777777" w:rsidR="000E52B0" w:rsidRDefault="00F60D74">
            <w:pPr>
              <w:pStyle w:val="TableParagraph"/>
              <w:ind w:left="105"/>
              <w:rPr>
                <w:sz w:val="18"/>
              </w:rPr>
            </w:pPr>
            <w:r>
              <w:rPr>
                <w:sz w:val="18"/>
              </w:rPr>
              <w:t>Ministerio</w:t>
            </w:r>
            <w:r>
              <w:rPr>
                <w:spacing w:val="-4"/>
                <w:sz w:val="18"/>
              </w:rPr>
              <w:t xml:space="preserve"> </w:t>
            </w:r>
            <w:r>
              <w:rPr>
                <w:sz w:val="18"/>
              </w:rPr>
              <w:t>de</w:t>
            </w:r>
            <w:r>
              <w:rPr>
                <w:spacing w:val="-3"/>
                <w:sz w:val="18"/>
              </w:rPr>
              <w:t xml:space="preserve"> </w:t>
            </w:r>
            <w:r>
              <w:rPr>
                <w:spacing w:val="-2"/>
                <w:sz w:val="18"/>
              </w:rPr>
              <w:t>Interior</w:t>
            </w:r>
          </w:p>
        </w:tc>
        <w:tc>
          <w:tcPr>
            <w:tcW w:w="4057" w:type="dxa"/>
          </w:tcPr>
          <w:p w14:paraId="09E4CFC2" w14:textId="77777777" w:rsidR="000E52B0" w:rsidRDefault="00F60D74">
            <w:pPr>
              <w:pStyle w:val="TableParagraph"/>
              <w:ind w:left="104" w:right="89"/>
              <w:jc w:val="both"/>
              <w:rPr>
                <w:i/>
                <w:sz w:val="18"/>
              </w:rPr>
            </w:pPr>
            <w:r>
              <w:rPr>
                <w:sz w:val="18"/>
              </w:rPr>
              <w:t>Decreto 1004 de 2024 “</w:t>
            </w:r>
            <w:r>
              <w:rPr>
                <w:i/>
                <w:sz w:val="18"/>
              </w:rPr>
              <w:t>Por el cual se adiciona el título 4 parte 3 del libro 2 del decreto 1066 de 2015, Único Reglamentario del Sector Administrativo del Interior, con el fin de reglamentar el artículo 358 de la Ley 2294 de 2023 "Por el cual se expide el Plan Nacional de Desarrollo 2022-2026 Colombia Potencia Mundial de la Vida" en lo relacionado con la composición y funcionamiento de la Comisión</w:t>
            </w:r>
            <w:r>
              <w:rPr>
                <w:i/>
                <w:spacing w:val="62"/>
                <w:w w:val="150"/>
                <w:sz w:val="18"/>
              </w:rPr>
              <w:t xml:space="preserve"> </w:t>
            </w:r>
            <w:r>
              <w:rPr>
                <w:i/>
                <w:sz w:val="18"/>
              </w:rPr>
              <w:t>Mixta</w:t>
            </w:r>
            <w:r>
              <w:rPr>
                <w:i/>
                <w:spacing w:val="61"/>
                <w:w w:val="150"/>
                <w:sz w:val="18"/>
              </w:rPr>
              <w:t xml:space="preserve"> </w:t>
            </w:r>
            <w:r>
              <w:rPr>
                <w:i/>
                <w:sz w:val="18"/>
              </w:rPr>
              <w:t>Nacional</w:t>
            </w:r>
            <w:r>
              <w:rPr>
                <w:i/>
                <w:spacing w:val="61"/>
                <w:w w:val="150"/>
                <w:sz w:val="18"/>
              </w:rPr>
              <w:t xml:space="preserve"> </w:t>
            </w:r>
            <w:r>
              <w:rPr>
                <w:i/>
                <w:sz w:val="18"/>
              </w:rPr>
              <w:t>para</w:t>
            </w:r>
            <w:r>
              <w:rPr>
                <w:i/>
                <w:spacing w:val="61"/>
                <w:w w:val="150"/>
                <w:sz w:val="18"/>
              </w:rPr>
              <w:t xml:space="preserve"> </w:t>
            </w:r>
            <w:r>
              <w:rPr>
                <w:i/>
                <w:spacing w:val="-2"/>
                <w:sz w:val="18"/>
              </w:rPr>
              <w:t>Asuntos</w:t>
            </w:r>
          </w:p>
          <w:p w14:paraId="2A02F2E3" w14:textId="77777777" w:rsidR="000E52B0" w:rsidRDefault="00F60D74">
            <w:pPr>
              <w:pStyle w:val="TableParagraph"/>
              <w:spacing w:line="199" w:lineRule="exact"/>
              <w:ind w:left="104"/>
              <w:rPr>
                <w:sz w:val="18"/>
              </w:rPr>
            </w:pPr>
            <w:r>
              <w:rPr>
                <w:i/>
                <w:spacing w:val="-2"/>
                <w:sz w:val="18"/>
              </w:rPr>
              <w:t>Campesinos</w:t>
            </w:r>
            <w:r>
              <w:rPr>
                <w:spacing w:val="-2"/>
                <w:sz w:val="18"/>
              </w:rPr>
              <w:t>”</w:t>
            </w:r>
          </w:p>
        </w:tc>
      </w:tr>
      <w:tr w:rsidR="000E52B0" w14:paraId="466CB0C9" w14:textId="77777777">
        <w:trPr>
          <w:trHeight w:val="1530"/>
        </w:trPr>
        <w:tc>
          <w:tcPr>
            <w:tcW w:w="2372" w:type="dxa"/>
          </w:tcPr>
          <w:p w14:paraId="21BAA74F" w14:textId="77777777" w:rsidR="000E52B0" w:rsidRDefault="000E52B0">
            <w:pPr>
              <w:pStyle w:val="TableParagraph"/>
              <w:rPr>
                <w:sz w:val="18"/>
              </w:rPr>
            </w:pPr>
          </w:p>
          <w:p w14:paraId="10B157F2" w14:textId="77777777" w:rsidR="000E52B0" w:rsidRDefault="000E52B0">
            <w:pPr>
              <w:pStyle w:val="TableParagraph"/>
              <w:spacing w:before="108"/>
              <w:rPr>
                <w:sz w:val="18"/>
              </w:rPr>
            </w:pPr>
          </w:p>
          <w:p w14:paraId="7E879502" w14:textId="77777777" w:rsidR="000E52B0" w:rsidRDefault="00F60D74">
            <w:pPr>
              <w:pStyle w:val="TableParagraph"/>
              <w:ind w:left="105" w:right="91"/>
              <w:rPr>
                <w:sz w:val="18"/>
              </w:rPr>
            </w:pPr>
            <w:r>
              <w:rPr>
                <w:sz w:val="18"/>
              </w:rPr>
              <w:t>Servicio</w:t>
            </w:r>
            <w:r>
              <w:rPr>
                <w:spacing w:val="40"/>
                <w:sz w:val="18"/>
              </w:rPr>
              <w:t xml:space="preserve"> </w:t>
            </w:r>
            <w:r>
              <w:rPr>
                <w:sz w:val="18"/>
              </w:rPr>
              <w:t>Social</w:t>
            </w:r>
            <w:r>
              <w:rPr>
                <w:spacing w:val="40"/>
                <w:sz w:val="18"/>
              </w:rPr>
              <w:t xml:space="preserve"> </w:t>
            </w:r>
            <w:r>
              <w:rPr>
                <w:sz w:val="18"/>
              </w:rPr>
              <w:t>para</w:t>
            </w:r>
            <w:r>
              <w:rPr>
                <w:spacing w:val="39"/>
                <w:sz w:val="18"/>
              </w:rPr>
              <w:t xml:space="preserve"> </w:t>
            </w:r>
            <w:r>
              <w:rPr>
                <w:sz w:val="18"/>
              </w:rPr>
              <w:t xml:space="preserve">la </w:t>
            </w:r>
            <w:r>
              <w:rPr>
                <w:spacing w:val="-4"/>
                <w:sz w:val="18"/>
              </w:rPr>
              <w:t>Paz</w:t>
            </w:r>
          </w:p>
        </w:tc>
        <w:tc>
          <w:tcPr>
            <w:tcW w:w="2365" w:type="dxa"/>
          </w:tcPr>
          <w:p w14:paraId="326C737A" w14:textId="77777777" w:rsidR="000E52B0" w:rsidRDefault="000E52B0">
            <w:pPr>
              <w:pStyle w:val="TableParagraph"/>
              <w:spacing w:before="108"/>
              <w:rPr>
                <w:sz w:val="18"/>
              </w:rPr>
            </w:pPr>
          </w:p>
          <w:p w14:paraId="0596CBA4" w14:textId="77777777" w:rsidR="000E52B0" w:rsidRDefault="00F60D74">
            <w:pPr>
              <w:pStyle w:val="TableParagraph"/>
              <w:spacing w:line="219" w:lineRule="exact"/>
              <w:ind w:left="105"/>
              <w:rPr>
                <w:sz w:val="18"/>
              </w:rPr>
            </w:pPr>
            <w:r>
              <w:rPr>
                <w:spacing w:val="-2"/>
                <w:sz w:val="18"/>
              </w:rPr>
              <w:t>DECRETO</w:t>
            </w:r>
          </w:p>
          <w:p w14:paraId="050F0E86" w14:textId="77777777" w:rsidR="000E52B0" w:rsidRDefault="00F60D74">
            <w:pPr>
              <w:pStyle w:val="TableParagraph"/>
              <w:tabs>
                <w:tab w:val="left" w:pos="1646"/>
                <w:tab w:val="left" w:pos="2099"/>
              </w:tabs>
              <w:ind w:left="105" w:right="90"/>
              <w:rPr>
                <w:sz w:val="18"/>
              </w:rPr>
            </w:pPr>
            <w:r>
              <w:rPr>
                <w:spacing w:val="-2"/>
                <w:sz w:val="18"/>
              </w:rPr>
              <w:t>Departamento Administrativo</w:t>
            </w:r>
            <w:r>
              <w:rPr>
                <w:sz w:val="18"/>
              </w:rPr>
              <w:tab/>
            </w:r>
            <w:r>
              <w:rPr>
                <w:spacing w:val="-6"/>
                <w:sz w:val="18"/>
              </w:rPr>
              <w:t>de</w:t>
            </w:r>
            <w:r>
              <w:rPr>
                <w:sz w:val="18"/>
              </w:rPr>
              <w:tab/>
            </w:r>
            <w:r>
              <w:rPr>
                <w:spacing w:val="-6"/>
                <w:sz w:val="18"/>
              </w:rPr>
              <w:t xml:space="preserve">la </w:t>
            </w:r>
            <w:r>
              <w:rPr>
                <w:sz w:val="18"/>
              </w:rPr>
              <w:t>Función Pública</w:t>
            </w:r>
          </w:p>
        </w:tc>
        <w:tc>
          <w:tcPr>
            <w:tcW w:w="4057" w:type="dxa"/>
          </w:tcPr>
          <w:p w14:paraId="2DACEA25" w14:textId="77777777" w:rsidR="000E52B0" w:rsidRDefault="00F60D74">
            <w:pPr>
              <w:pStyle w:val="TableParagraph"/>
              <w:ind w:left="104" w:right="89"/>
              <w:jc w:val="both"/>
              <w:rPr>
                <w:i/>
                <w:sz w:val="18"/>
              </w:rPr>
            </w:pPr>
            <w:r>
              <w:rPr>
                <w:sz w:val="18"/>
              </w:rPr>
              <w:t>Decreto 1079 de 2024 “</w:t>
            </w:r>
            <w:r>
              <w:rPr>
                <w:i/>
                <w:sz w:val="18"/>
              </w:rPr>
              <w:t>Por el cual se adiciona</w:t>
            </w:r>
            <w:r>
              <w:rPr>
                <w:i/>
                <w:spacing w:val="5"/>
                <w:sz w:val="18"/>
              </w:rPr>
              <w:t xml:space="preserve"> </w:t>
            </w:r>
            <w:r>
              <w:rPr>
                <w:i/>
                <w:sz w:val="18"/>
              </w:rPr>
              <w:t>el</w:t>
            </w:r>
            <w:r>
              <w:rPr>
                <w:i/>
                <w:spacing w:val="6"/>
                <w:sz w:val="18"/>
              </w:rPr>
              <w:t xml:space="preserve"> </w:t>
            </w:r>
            <w:r>
              <w:rPr>
                <w:i/>
                <w:sz w:val="18"/>
              </w:rPr>
              <w:t>Título</w:t>
            </w:r>
            <w:r>
              <w:rPr>
                <w:i/>
                <w:spacing w:val="7"/>
                <w:sz w:val="18"/>
              </w:rPr>
              <w:t xml:space="preserve"> </w:t>
            </w:r>
            <w:r>
              <w:rPr>
                <w:i/>
                <w:sz w:val="18"/>
              </w:rPr>
              <w:t>38</w:t>
            </w:r>
            <w:r>
              <w:rPr>
                <w:i/>
                <w:spacing w:val="5"/>
                <w:sz w:val="18"/>
              </w:rPr>
              <w:t xml:space="preserve"> </w:t>
            </w:r>
            <w:r>
              <w:rPr>
                <w:i/>
                <w:sz w:val="18"/>
              </w:rPr>
              <w:t>a</w:t>
            </w:r>
            <w:r>
              <w:rPr>
                <w:i/>
                <w:spacing w:val="6"/>
                <w:sz w:val="18"/>
              </w:rPr>
              <w:t xml:space="preserve"> </w:t>
            </w:r>
            <w:r>
              <w:rPr>
                <w:i/>
                <w:sz w:val="18"/>
              </w:rPr>
              <w:t>la</w:t>
            </w:r>
            <w:r>
              <w:rPr>
                <w:i/>
                <w:spacing w:val="5"/>
                <w:sz w:val="18"/>
              </w:rPr>
              <w:t xml:space="preserve"> </w:t>
            </w:r>
            <w:r>
              <w:rPr>
                <w:i/>
                <w:sz w:val="18"/>
              </w:rPr>
              <w:t>Parte</w:t>
            </w:r>
            <w:r>
              <w:rPr>
                <w:i/>
                <w:spacing w:val="6"/>
                <w:sz w:val="18"/>
              </w:rPr>
              <w:t xml:space="preserve"> </w:t>
            </w:r>
            <w:r>
              <w:rPr>
                <w:i/>
                <w:sz w:val="18"/>
              </w:rPr>
              <w:t>2</w:t>
            </w:r>
            <w:r>
              <w:rPr>
                <w:i/>
                <w:spacing w:val="5"/>
                <w:sz w:val="18"/>
              </w:rPr>
              <w:t xml:space="preserve"> </w:t>
            </w:r>
            <w:r>
              <w:rPr>
                <w:i/>
                <w:sz w:val="18"/>
              </w:rPr>
              <w:t>del</w:t>
            </w:r>
            <w:r>
              <w:rPr>
                <w:i/>
                <w:spacing w:val="7"/>
                <w:sz w:val="18"/>
              </w:rPr>
              <w:t xml:space="preserve"> </w:t>
            </w:r>
            <w:r>
              <w:rPr>
                <w:i/>
                <w:spacing w:val="-2"/>
                <w:sz w:val="18"/>
              </w:rPr>
              <w:t>Libro</w:t>
            </w:r>
          </w:p>
          <w:p w14:paraId="5D9F6182" w14:textId="77777777" w:rsidR="000E52B0" w:rsidRDefault="00F60D74">
            <w:pPr>
              <w:pStyle w:val="TableParagraph"/>
              <w:spacing w:line="218" w:lineRule="exact"/>
              <w:ind w:left="104" w:right="92"/>
              <w:jc w:val="both"/>
              <w:rPr>
                <w:i/>
                <w:sz w:val="18"/>
              </w:rPr>
            </w:pPr>
            <w:r>
              <w:rPr>
                <w:i/>
                <w:sz w:val="18"/>
              </w:rPr>
              <w:t>2 del Decreto 1083 de 2015, Único Reglamentario del Sector de la Función Pública, para reglamentar el Servicio Social para la Paz creado mediante la Ley 2272 de 2022”</w:t>
            </w:r>
          </w:p>
        </w:tc>
      </w:tr>
      <w:tr w:rsidR="000E52B0" w14:paraId="17574B80" w14:textId="77777777">
        <w:trPr>
          <w:trHeight w:val="1094"/>
        </w:trPr>
        <w:tc>
          <w:tcPr>
            <w:tcW w:w="2372" w:type="dxa"/>
          </w:tcPr>
          <w:p w14:paraId="52C6F2D3" w14:textId="77777777" w:rsidR="000E52B0" w:rsidRDefault="000E52B0">
            <w:pPr>
              <w:pStyle w:val="TableParagraph"/>
              <w:spacing w:before="108"/>
              <w:rPr>
                <w:sz w:val="18"/>
              </w:rPr>
            </w:pPr>
          </w:p>
          <w:p w14:paraId="355E6065" w14:textId="77777777" w:rsidR="000E52B0" w:rsidRDefault="00F60D74">
            <w:pPr>
              <w:pStyle w:val="TableParagraph"/>
              <w:tabs>
                <w:tab w:val="left" w:pos="1057"/>
                <w:tab w:val="left" w:pos="2044"/>
              </w:tabs>
              <w:spacing w:line="242" w:lineRule="auto"/>
              <w:ind w:left="105" w:right="90"/>
              <w:rPr>
                <w:sz w:val="18"/>
              </w:rPr>
            </w:pPr>
            <w:r>
              <w:rPr>
                <w:spacing w:val="-2"/>
                <w:sz w:val="18"/>
              </w:rPr>
              <w:t>Sistema</w:t>
            </w:r>
            <w:r>
              <w:rPr>
                <w:sz w:val="18"/>
              </w:rPr>
              <w:tab/>
            </w:r>
            <w:r>
              <w:rPr>
                <w:spacing w:val="-2"/>
                <w:sz w:val="18"/>
              </w:rPr>
              <w:t>Nacional</w:t>
            </w:r>
            <w:r>
              <w:rPr>
                <w:sz w:val="18"/>
              </w:rPr>
              <w:tab/>
            </w:r>
            <w:r>
              <w:rPr>
                <w:spacing w:val="-6"/>
                <w:sz w:val="18"/>
              </w:rPr>
              <w:t xml:space="preserve">de </w:t>
            </w:r>
            <w:r>
              <w:rPr>
                <w:spacing w:val="-2"/>
                <w:sz w:val="18"/>
              </w:rPr>
              <w:t>Reincorporación</w:t>
            </w:r>
          </w:p>
        </w:tc>
        <w:tc>
          <w:tcPr>
            <w:tcW w:w="2365" w:type="dxa"/>
          </w:tcPr>
          <w:p w14:paraId="00A4D112" w14:textId="77777777" w:rsidR="000E52B0" w:rsidRDefault="00F60D74">
            <w:pPr>
              <w:pStyle w:val="TableParagraph"/>
              <w:spacing w:before="1" w:line="219" w:lineRule="exact"/>
              <w:ind w:left="105"/>
              <w:rPr>
                <w:sz w:val="18"/>
              </w:rPr>
            </w:pPr>
            <w:r>
              <w:rPr>
                <w:spacing w:val="-2"/>
                <w:sz w:val="18"/>
              </w:rPr>
              <w:t>DECRETO</w:t>
            </w:r>
          </w:p>
          <w:p w14:paraId="4DF552DD" w14:textId="77777777" w:rsidR="000E52B0" w:rsidRDefault="00F60D74">
            <w:pPr>
              <w:pStyle w:val="TableParagraph"/>
              <w:tabs>
                <w:tab w:val="left" w:pos="1504"/>
                <w:tab w:val="left" w:pos="1646"/>
                <w:tab w:val="left" w:pos="2099"/>
              </w:tabs>
              <w:ind w:left="105" w:right="87"/>
              <w:rPr>
                <w:sz w:val="18"/>
              </w:rPr>
            </w:pPr>
            <w:r>
              <w:rPr>
                <w:spacing w:val="-2"/>
                <w:sz w:val="18"/>
              </w:rPr>
              <w:t>Departamento Administrativo</w:t>
            </w:r>
            <w:r>
              <w:rPr>
                <w:sz w:val="18"/>
              </w:rPr>
              <w:tab/>
            </w:r>
            <w:r>
              <w:rPr>
                <w:sz w:val="18"/>
              </w:rPr>
              <w:tab/>
            </w:r>
            <w:r>
              <w:rPr>
                <w:spacing w:val="-6"/>
                <w:sz w:val="18"/>
              </w:rPr>
              <w:t>de</w:t>
            </w:r>
            <w:r>
              <w:rPr>
                <w:sz w:val="18"/>
              </w:rPr>
              <w:tab/>
            </w:r>
            <w:r>
              <w:rPr>
                <w:spacing w:val="-6"/>
                <w:sz w:val="18"/>
              </w:rPr>
              <w:t xml:space="preserve">la </w:t>
            </w:r>
            <w:r>
              <w:rPr>
                <w:spacing w:val="-2"/>
                <w:sz w:val="18"/>
              </w:rPr>
              <w:t>Presidencia</w:t>
            </w:r>
            <w:r>
              <w:rPr>
                <w:sz w:val="18"/>
              </w:rPr>
              <w:tab/>
            </w:r>
            <w:r>
              <w:rPr>
                <w:spacing w:val="-5"/>
                <w:sz w:val="18"/>
              </w:rPr>
              <w:t>de</w:t>
            </w:r>
            <w:r>
              <w:rPr>
                <w:sz w:val="18"/>
              </w:rPr>
              <w:tab/>
            </w:r>
            <w:r>
              <w:rPr>
                <w:spacing w:val="-61"/>
                <w:sz w:val="18"/>
              </w:rPr>
              <w:t xml:space="preserve"> </w:t>
            </w:r>
            <w:r>
              <w:rPr>
                <w:spacing w:val="-5"/>
                <w:sz w:val="18"/>
              </w:rPr>
              <w:t>la</w:t>
            </w:r>
          </w:p>
          <w:p w14:paraId="5778D262" w14:textId="77777777" w:rsidR="000E52B0" w:rsidRDefault="00F60D74">
            <w:pPr>
              <w:pStyle w:val="TableParagraph"/>
              <w:spacing w:line="199" w:lineRule="exact"/>
              <w:ind w:left="105"/>
              <w:rPr>
                <w:sz w:val="18"/>
              </w:rPr>
            </w:pPr>
            <w:r>
              <w:rPr>
                <w:spacing w:val="-2"/>
                <w:sz w:val="18"/>
              </w:rPr>
              <w:t>República</w:t>
            </w:r>
          </w:p>
        </w:tc>
        <w:tc>
          <w:tcPr>
            <w:tcW w:w="4057" w:type="dxa"/>
          </w:tcPr>
          <w:p w14:paraId="512BE6B2" w14:textId="77777777" w:rsidR="000E52B0" w:rsidRDefault="00F60D74">
            <w:pPr>
              <w:pStyle w:val="TableParagraph"/>
              <w:spacing w:before="1"/>
              <w:ind w:left="104" w:right="90"/>
              <w:jc w:val="both"/>
              <w:rPr>
                <w:i/>
                <w:sz w:val="18"/>
              </w:rPr>
            </w:pPr>
            <w:r>
              <w:rPr>
                <w:sz w:val="18"/>
              </w:rPr>
              <w:t>Decreto 846 de 2024 “</w:t>
            </w:r>
            <w:r>
              <w:rPr>
                <w:i/>
                <w:sz w:val="18"/>
              </w:rPr>
              <w:t>por medio del cual se</w:t>
            </w:r>
            <w:r>
              <w:rPr>
                <w:i/>
                <w:spacing w:val="-6"/>
                <w:sz w:val="18"/>
              </w:rPr>
              <w:t xml:space="preserve"> </w:t>
            </w:r>
            <w:r>
              <w:rPr>
                <w:i/>
                <w:sz w:val="18"/>
              </w:rPr>
              <w:t>adicionan</w:t>
            </w:r>
            <w:r>
              <w:rPr>
                <w:i/>
                <w:spacing w:val="-6"/>
                <w:sz w:val="18"/>
              </w:rPr>
              <w:t xml:space="preserve"> </w:t>
            </w:r>
            <w:r>
              <w:rPr>
                <w:i/>
                <w:sz w:val="18"/>
              </w:rPr>
              <w:t>los</w:t>
            </w:r>
            <w:r>
              <w:rPr>
                <w:i/>
                <w:spacing w:val="-7"/>
                <w:sz w:val="18"/>
              </w:rPr>
              <w:t xml:space="preserve"> </w:t>
            </w:r>
            <w:r>
              <w:rPr>
                <w:i/>
                <w:sz w:val="18"/>
              </w:rPr>
              <w:t>capítulos</w:t>
            </w:r>
            <w:r>
              <w:rPr>
                <w:i/>
                <w:spacing w:val="-7"/>
                <w:sz w:val="18"/>
              </w:rPr>
              <w:t xml:space="preserve"> </w:t>
            </w:r>
            <w:r>
              <w:rPr>
                <w:i/>
                <w:sz w:val="18"/>
              </w:rPr>
              <w:t>5</w:t>
            </w:r>
            <w:r>
              <w:rPr>
                <w:i/>
                <w:spacing w:val="-6"/>
                <w:sz w:val="18"/>
              </w:rPr>
              <w:t xml:space="preserve"> </w:t>
            </w:r>
            <w:r>
              <w:rPr>
                <w:i/>
                <w:sz w:val="18"/>
              </w:rPr>
              <w:t>y</w:t>
            </w:r>
            <w:r>
              <w:rPr>
                <w:i/>
                <w:spacing w:val="-5"/>
                <w:sz w:val="18"/>
              </w:rPr>
              <w:t xml:space="preserve"> </w:t>
            </w:r>
            <w:r>
              <w:rPr>
                <w:i/>
                <w:sz w:val="18"/>
              </w:rPr>
              <w:t>6</w:t>
            </w:r>
            <w:r>
              <w:rPr>
                <w:i/>
                <w:spacing w:val="-6"/>
                <w:sz w:val="18"/>
              </w:rPr>
              <w:t xml:space="preserve"> </w:t>
            </w:r>
            <w:r>
              <w:rPr>
                <w:i/>
                <w:sz w:val="18"/>
              </w:rPr>
              <w:t>al</w:t>
            </w:r>
            <w:r>
              <w:rPr>
                <w:i/>
                <w:spacing w:val="-4"/>
                <w:sz w:val="18"/>
              </w:rPr>
              <w:t xml:space="preserve"> </w:t>
            </w:r>
            <w:r>
              <w:rPr>
                <w:i/>
                <w:sz w:val="18"/>
              </w:rPr>
              <w:t>Título</w:t>
            </w:r>
            <w:r>
              <w:rPr>
                <w:i/>
                <w:spacing w:val="-6"/>
                <w:sz w:val="18"/>
              </w:rPr>
              <w:t xml:space="preserve"> </w:t>
            </w:r>
            <w:r>
              <w:rPr>
                <w:i/>
                <w:sz w:val="18"/>
              </w:rPr>
              <w:t>2, Parte</w:t>
            </w:r>
            <w:r>
              <w:rPr>
                <w:i/>
                <w:spacing w:val="43"/>
                <w:sz w:val="18"/>
              </w:rPr>
              <w:t xml:space="preserve"> </w:t>
            </w:r>
            <w:r>
              <w:rPr>
                <w:i/>
                <w:sz w:val="18"/>
              </w:rPr>
              <w:t>3</w:t>
            </w:r>
            <w:r>
              <w:rPr>
                <w:i/>
                <w:spacing w:val="43"/>
                <w:sz w:val="18"/>
              </w:rPr>
              <w:t xml:space="preserve"> </w:t>
            </w:r>
            <w:r>
              <w:rPr>
                <w:i/>
                <w:sz w:val="18"/>
              </w:rPr>
              <w:t>del</w:t>
            </w:r>
            <w:r>
              <w:rPr>
                <w:i/>
                <w:spacing w:val="45"/>
                <w:sz w:val="18"/>
              </w:rPr>
              <w:t xml:space="preserve"> </w:t>
            </w:r>
            <w:r>
              <w:rPr>
                <w:i/>
                <w:sz w:val="18"/>
              </w:rPr>
              <w:t>Libro</w:t>
            </w:r>
            <w:r>
              <w:rPr>
                <w:i/>
                <w:spacing w:val="41"/>
                <w:sz w:val="18"/>
              </w:rPr>
              <w:t xml:space="preserve"> </w:t>
            </w:r>
            <w:r>
              <w:rPr>
                <w:i/>
                <w:sz w:val="18"/>
              </w:rPr>
              <w:t>2</w:t>
            </w:r>
            <w:r>
              <w:rPr>
                <w:i/>
                <w:spacing w:val="44"/>
                <w:sz w:val="18"/>
              </w:rPr>
              <w:t xml:space="preserve"> </w:t>
            </w:r>
            <w:r>
              <w:rPr>
                <w:i/>
                <w:sz w:val="18"/>
              </w:rPr>
              <w:t>del</w:t>
            </w:r>
            <w:r>
              <w:rPr>
                <w:i/>
                <w:spacing w:val="41"/>
                <w:sz w:val="18"/>
              </w:rPr>
              <w:t xml:space="preserve"> </w:t>
            </w:r>
            <w:r>
              <w:rPr>
                <w:i/>
                <w:sz w:val="18"/>
              </w:rPr>
              <w:t>Decreto</w:t>
            </w:r>
            <w:r>
              <w:rPr>
                <w:i/>
                <w:spacing w:val="45"/>
                <w:sz w:val="18"/>
              </w:rPr>
              <w:t xml:space="preserve"> </w:t>
            </w:r>
            <w:r>
              <w:rPr>
                <w:i/>
                <w:spacing w:val="-2"/>
                <w:sz w:val="18"/>
              </w:rPr>
              <w:t>número</w:t>
            </w:r>
          </w:p>
          <w:p w14:paraId="1C3E267D" w14:textId="77777777" w:rsidR="000E52B0" w:rsidRDefault="00F60D74">
            <w:pPr>
              <w:pStyle w:val="TableParagraph"/>
              <w:spacing w:line="218" w:lineRule="exact"/>
              <w:ind w:left="104" w:right="89"/>
              <w:jc w:val="both"/>
              <w:rPr>
                <w:sz w:val="18"/>
              </w:rPr>
            </w:pPr>
            <w:r>
              <w:rPr>
                <w:i/>
                <w:sz w:val="18"/>
              </w:rPr>
              <w:t>1081 de 2015 y se reglamentan los artículos</w:t>
            </w:r>
            <w:r>
              <w:rPr>
                <w:i/>
                <w:spacing w:val="-5"/>
                <w:sz w:val="18"/>
              </w:rPr>
              <w:t xml:space="preserve"> </w:t>
            </w:r>
            <w:r>
              <w:rPr>
                <w:i/>
                <w:sz w:val="18"/>
              </w:rPr>
              <w:t>19</w:t>
            </w:r>
            <w:r>
              <w:rPr>
                <w:i/>
                <w:spacing w:val="-4"/>
                <w:sz w:val="18"/>
              </w:rPr>
              <w:t xml:space="preserve"> </w:t>
            </w:r>
            <w:r>
              <w:rPr>
                <w:i/>
                <w:sz w:val="18"/>
              </w:rPr>
              <w:t>y</w:t>
            </w:r>
            <w:r>
              <w:rPr>
                <w:i/>
                <w:spacing w:val="-5"/>
                <w:sz w:val="18"/>
              </w:rPr>
              <w:t xml:space="preserve"> </w:t>
            </w:r>
            <w:r>
              <w:rPr>
                <w:i/>
                <w:sz w:val="18"/>
              </w:rPr>
              <w:t>20</w:t>
            </w:r>
            <w:r>
              <w:rPr>
                <w:i/>
                <w:spacing w:val="-4"/>
                <w:sz w:val="18"/>
              </w:rPr>
              <w:t xml:space="preserve"> </w:t>
            </w:r>
            <w:r>
              <w:rPr>
                <w:i/>
                <w:sz w:val="18"/>
              </w:rPr>
              <w:t>de</w:t>
            </w:r>
            <w:r>
              <w:rPr>
                <w:i/>
                <w:spacing w:val="-7"/>
                <w:sz w:val="18"/>
              </w:rPr>
              <w:t xml:space="preserve"> </w:t>
            </w:r>
            <w:r>
              <w:rPr>
                <w:i/>
                <w:sz w:val="18"/>
              </w:rPr>
              <w:t>la</w:t>
            </w:r>
            <w:r>
              <w:rPr>
                <w:i/>
                <w:spacing w:val="-4"/>
                <w:sz w:val="18"/>
              </w:rPr>
              <w:t xml:space="preserve"> </w:t>
            </w:r>
            <w:r>
              <w:rPr>
                <w:i/>
                <w:sz w:val="18"/>
              </w:rPr>
              <w:t>Ley</w:t>
            </w:r>
            <w:r>
              <w:rPr>
                <w:i/>
                <w:spacing w:val="-8"/>
                <w:sz w:val="18"/>
              </w:rPr>
              <w:t xml:space="preserve"> </w:t>
            </w:r>
            <w:r>
              <w:rPr>
                <w:i/>
                <w:sz w:val="18"/>
              </w:rPr>
              <w:t>2294</w:t>
            </w:r>
            <w:r>
              <w:rPr>
                <w:i/>
                <w:spacing w:val="-4"/>
                <w:sz w:val="18"/>
              </w:rPr>
              <w:t xml:space="preserve"> </w:t>
            </w:r>
            <w:r>
              <w:rPr>
                <w:i/>
                <w:sz w:val="18"/>
              </w:rPr>
              <w:t>de</w:t>
            </w:r>
            <w:r>
              <w:rPr>
                <w:i/>
                <w:spacing w:val="-3"/>
                <w:sz w:val="18"/>
              </w:rPr>
              <w:t xml:space="preserve"> </w:t>
            </w:r>
            <w:r>
              <w:rPr>
                <w:i/>
                <w:spacing w:val="-2"/>
                <w:sz w:val="18"/>
              </w:rPr>
              <w:t>2023</w:t>
            </w:r>
            <w:r>
              <w:rPr>
                <w:spacing w:val="-2"/>
                <w:sz w:val="18"/>
              </w:rPr>
              <w:t>.”</w:t>
            </w:r>
          </w:p>
        </w:tc>
      </w:tr>
      <w:tr w:rsidR="000E52B0" w14:paraId="0C790735" w14:textId="77777777">
        <w:trPr>
          <w:trHeight w:val="2406"/>
        </w:trPr>
        <w:tc>
          <w:tcPr>
            <w:tcW w:w="2372" w:type="dxa"/>
          </w:tcPr>
          <w:p w14:paraId="0AF828EC" w14:textId="77777777" w:rsidR="000E52B0" w:rsidRDefault="000E52B0">
            <w:pPr>
              <w:pStyle w:val="TableParagraph"/>
              <w:rPr>
                <w:sz w:val="18"/>
              </w:rPr>
            </w:pPr>
          </w:p>
          <w:p w14:paraId="6D469AC8" w14:textId="77777777" w:rsidR="000E52B0" w:rsidRDefault="000E52B0">
            <w:pPr>
              <w:pStyle w:val="TableParagraph"/>
              <w:rPr>
                <w:sz w:val="18"/>
              </w:rPr>
            </w:pPr>
          </w:p>
          <w:p w14:paraId="48ACDB93" w14:textId="77777777" w:rsidR="000E52B0" w:rsidRDefault="000E52B0">
            <w:pPr>
              <w:pStyle w:val="TableParagraph"/>
              <w:spacing w:before="218"/>
              <w:rPr>
                <w:sz w:val="18"/>
              </w:rPr>
            </w:pPr>
          </w:p>
          <w:p w14:paraId="2A70660E" w14:textId="77777777" w:rsidR="000E52B0" w:rsidRDefault="00F60D74">
            <w:pPr>
              <w:pStyle w:val="TableParagraph"/>
              <w:tabs>
                <w:tab w:val="left" w:pos="1529"/>
              </w:tabs>
              <w:ind w:left="105" w:right="88"/>
              <w:rPr>
                <w:sz w:val="18"/>
              </w:rPr>
            </w:pPr>
            <w:r>
              <w:rPr>
                <w:spacing w:val="-2"/>
                <w:sz w:val="18"/>
              </w:rPr>
              <w:t>Fortalecimiento</w:t>
            </w:r>
            <w:r>
              <w:rPr>
                <w:spacing w:val="40"/>
                <w:sz w:val="18"/>
              </w:rPr>
              <w:t xml:space="preserve"> </w:t>
            </w:r>
            <w:r>
              <w:rPr>
                <w:spacing w:val="-2"/>
                <w:sz w:val="18"/>
              </w:rPr>
              <w:t>medidas</w:t>
            </w:r>
            <w:r>
              <w:rPr>
                <w:sz w:val="18"/>
              </w:rPr>
              <w:tab/>
            </w:r>
            <w:r>
              <w:rPr>
                <w:spacing w:val="-2"/>
                <w:sz w:val="18"/>
              </w:rPr>
              <w:t xml:space="preserve">mujeres </w:t>
            </w:r>
            <w:r>
              <w:rPr>
                <w:sz w:val="18"/>
              </w:rPr>
              <w:t>víctimas de violencia</w:t>
            </w:r>
          </w:p>
        </w:tc>
        <w:tc>
          <w:tcPr>
            <w:tcW w:w="2365" w:type="dxa"/>
          </w:tcPr>
          <w:p w14:paraId="3507DDC9" w14:textId="77777777" w:rsidR="000E52B0" w:rsidRDefault="000E52B0">
            <w:pPr>
              <w:pStyle w:val="TableParagraph"/>
              <w:rPr>
                <w:sz w:val="18"/>
              </w:rPr>
            </w:pPr>
          </w:p>
          <w:p w14:paraId="09D4326D" w14:textId="77777777" w:rsidR="000E52B0" w:rsidRDefault="000E52B0">
            <w:pPr>
              <w:pStyle w:val="TableParagraph"/>
              <w:rPr>
                <w:sz w:val="18"/>
              </w:rPr>
            </w:pPr>
          </w:p>
          <w:p w14:paraId="2C9F413D" w14:textId="77777777" w:rsidR="000E52B0" w:rsidRDefault="000E52B0">
            <w:pPr>
              <w:pStyle w:val="TableParagraph"/>
              <w:spacing w:before="218"/>
              <w:rPr>
                <w:sz w:val="18"/>
              </w:rPr>
            </w:pPr>
          </w:p>
          <w:p w14:paraId="74967921" w14:textId="77777777" w:rsidR="000E52B0" w:rsidRDefault="00F60D74">
            <w:pPr>
              <w:pStyle w:val="TableParagraph"/>
              <w:spacing w:line="219" w:lineRule="exact"/>
              <w:ind w:left="105"/>
              <w:rPr>
                <w:sz w:val="18"/>
              </w:rPr>
            </w:pPr>
            <w:r>
              <w:rPr>
                <w:spacing w:val="-2"/>
                <w:sz w:val="18"/>
              </w:rPr>
              <w:t>DECRETO</w:t>
            </w:r>
          </w:p>
          <w:p w14:paraId="4BB1DB20" w14:textId="77777777" w:rsidR="000E52B0" w:rsidRDefault="00F60D74">
            <w:pPr>
              <w:pStyle w:val="TableParagraph"/>
              <w:spacing w:line="242" w:lineRule="auto"/>
              <w:ind w:left="105"/>
              <w:rPr>
                <w:sz w:val="18"/>
              </w:rPr>
            </w:pPr>
            <w:r>
              <w:rPr>
                <w:sz w:val="18"/>
              </w:rPr>
              <w:t>Ministerio</w:t>
            </w:r>
            <w:r>
              <w:rPr>
                <w:spacing w:val="40"/>
                <w:sz w:val="18"/>
              </w:rPr>
              <w:t xml:space="preserve"> </w:t>
            </w:r>
            <w:r>
              <w:rPr>
                <w:sz w:val="18"/>
              </w:rPr>
              <w:t>de</w:t>
            </w:r>
            <w:r>
              <w:rPr>
                <w:spacing w:val="40"/>
                <w:sz w:val="18"/>
              </w:rPr>
              <w:t xml:space="preserve"> </w:t>
            </w:r>
            <w:r>
              <w:rPr>
                <w:sz w:val="18"/>
              </w:rPr>
              <w:t>Salud</w:t>
            </w:r>
            <w:r>
              <w:rPr>
                <w:spacing w:val="40"/>
                <w:sz w:val="18"/>
              </w:rPr>
              <w:t xml:space="preserve"> </w:t>
            </w:r>
            <w:r>
              <w:rPr>
                <w:sz w:val="18"/>
              </w:rPr>
              <w:t>y Protección Social</w:t>
            </w:r>
          </w:p>
        </w:tc>
        <w:tc>
          <w:tcPr>
            <w:tcW w:w="4057" w:type="dxa"/>
          </w:tcPr>
          <w:p w14:paraId="01304973" w14:textId="77777777" w:rsidR="000E52B0" w:rsidRDefault="00F60D74">
            <w:pPr>
              <w:pStyle w:val="TableParagraph"/>
              <w:spacing w:before="1"/>
              <w:ind w:left="104" w:right="88"/>
              <w:jc w:val="both"/>
              <w:rPr>
                <w:i/>
                <w:sz w:val="18"/>
              </w:rPr>
            </w:pPr>
            <w:r>
              <w:rPr>
                <w:sz w:val="18"/>
              </w:rPr>
              <w:t>En el marco del trabajo articulado con el Ministerio de Salud y Protección Social se emitió</w:t>
            </w:r>
            <w:r>
              <w:rPr>
                <w:spacing w:val="-16"/>
                <w:sz w:val="18"/>
              </w:rPr>
              <w:t xml:space="preserve"> </w:t>
            </w:r>
            <w:r>
              <w:rPr>
                <w:sz w:val="18"/>
              </w:rPr>
              <w:t>el</w:t>
            </w:r>
            <w:r>
              <w:rPr>
                <w:spacing w:val="-16"/>
                <w:sz w:val="18"/>
              </w:rPr>
              <w:t xml:space="preserve"> </w:t>
            </w:r>
            <w:r>
              <w:rPr>
                <w:sz w:val="18"/>
              </w:rPr>
              <w:t>Decreto</w:t>
            </w:r>
            <w:r>
              <w:rPr>
                <w:spacing w:val="-16"/>
                <w:sz w:val="18"/>
              </w:rPr>
              <w:t xml:space="preserve"> </w:t>
            </w:r>
            <w:r>
              <w:rPr>
                <w:sz w:val="18"/>
              </w:rPr>
              <w:t>0075</w:t>
            </w:r>
            <w:r>
              <w:rPr>
                <w:spacing w:val="-16"/>
                <w:sz w:val="18"/>
              </w:rPr>
              <w:t xml:space="preserve"> </w:t>
            </w:r>
            <w:r>
              <w:rPr>
                <w:sz w:val="18"/>
              </w:rPr>
              <w:t>de</w:t>
            </w:r>
            <w:r>
              <w:rPr>
                <w:spacing w:val="-16"/>
                <w:sz w:val="18"/>
              </w:rPr>
              <w:t xml:space="preserve"> </w:t>
            </w:r>
            <w:r>
              <w:rPr>
                <w:sz w:val="18"/>
              </w:rPr>
              <w:t>2024</w:t>
            </w:r>
            <w:r>
              <w:rPr>
                <w:spacing w:val="-15"/>
                <w:sz w:val="18"/>
              </w:rPr>
              <w:t xml:space="preserve"> </w:t>
            </w:r>
            <w:r>
              <w:rPr>
                <w:i/>
                <w:sz w:val="18"/>
              </w:rPr>
              <w:t>“Por</w:t>
            </w:r>
            <w:r>
              <w:rPr>
                <w:i/>
                <w:spacing w:val="-16"/>
                <w:sz w:val="18"/>
              </w:rPr>
              <w:t xml:space="preserve"> </w:t>
            </w:r>
            <w:r>
              <w:rPr>
                <w:i/>
                <w:sz w:val="18"/>
              </w:rPr>
              <w:t>el</w:t>
            </w:r>
            <w:r>
              <w:rPr>
                <w:i/>
                <w:spacing w:val="-16"/>
                <w:sz w:val="18"/>
              </w:rPr>
              <w:t xml:space="preserve"> </w:t>
            </w:r>
            <w:r>
              <w:rPr>
                <w:i/>
                <w:sz w:val="18"/>
              </w:rPr>
              <w:t>cual se</w:t>
            </w:r>
            <w:r>
              <w:rPr>
                <w:i/>
                <w:spacing w:val="72"/>
                <w:w w:val="150"/>
                <w:sz w:val="18"/>
              </w:rPr>
              <w:t xml:space="preserve"> </w:t>
            </w:r>
            <w:r>
              <w:rPr>
                <w:i/>
                <w:sz w:val="18"/>
              </w:rPr>
              <w:t>modifican</w:t>
            </w:r>
            <w:r>
              <w:rPr>
                <w:i/>
                <w:spacing w:val="73"/>
                <w:w w:val="150"/>
                <w:sz w:val="18"/>
              </w:rPr>
              <w:t xml:space="preserve"> </w:t>
            </w:r>
            <w:r>
              <w:rPr>
                <w:i/>
                <w:sz w:val="18"/>
              </w:rPr>
              <w:t>los</w:t>
            </w:r>
            <w:r>
              <w:rPr>
                <w:i/>
                <w:spacing w:val="73"/>
                <w:w w:val="150"/>
                <w:sz w:val="18"/>
              </w:rPr>
              <w:t xml:space="preserve"> </w:t>
            </w:r>
            <w:r>
              <w:rPr>
                <w:i/>
                <w:sz w:val="18"/>
              </w:rPr>
              <w:t>artículos</w:t>
            </w:r>
            <w:r>
              <w:rPr>
                <w:i/>
                <w:spacing w:val="73"/>
                <w:w w:val="150"/>
                <w:sz w:val="18"/>
              </w:rPr>
              <w:t xml:space="preserve"> </w:t>
            </w:r>
            <w:r>
              <w:rPr>
                <w:i/>
                <w:sz w:val="18"/>
              </w:rPr>
              <w:t>2.9.2.1</w:t>
            </w:r>
            <w:r>
              <w:rPr>
                <w:i/>
                <w:spacing w:val="73"/>
                <w:w w:val="150"/>
                <w:sz w:val="18"/>
              </w:rPr>
              <w:t xml:space="preserve"> </w:t>
            </w:r>
            <w:r>
              <w:rPr>
                <w:i/>
                <w:spacing w:val="-5"/>
                <w:sz w:val="18"/>
              </w:rPr>
              <w:t>.2,</w:t>
            </w:r>
          </w:p>
          <w:p w14:paraId="347E66B1" w14:textId="77777777" w:rsidR="000E52B0" w:rsidRDefault="00F60D74">
            <w:pPr>
              <w:pStyle w:val="TableParagraph"/>
              <w:spacing w:line="217" w:lineRule="exact"/>
              <w:ind w:left="104"/>
              <w:jc w:val="both"/>
              <w:rPr>
                <w:i/>
                <w:sz w:val="18"/>
              </w:rPr>
            </w:pPr>
            <w:proofErr w:type="gramStart"/>
            <w:r>
              <w:rPr>
                <w:i/>
                <w:sz w:val="18"/>
              </w:rPr>
              <w:t>2.9.2.1</w:t>
            </w:r>
            <w:r>
              <w:rPr>
                <w:i/>
                <w:spacing w:val="35"/>
                <w:sz w:val="18"/>
              </w:rPr>
              <w:t xml:space="preserve">  </w:t>
            </w:r>
            <w:r>
              <w:rPr>
                <w:i/>
                <w:sz w:val="18"/>
              </w:rPr>
              <w:t>.</w:t>
            </w:r>
            <w:proofErr w:type="gramEnd"/>
            <w:r>
              <w:rPr>
                <w:i/>
                <w:sz w:val="18"/>
              </w:rPr>
              <w:t>2.1,2.9.2.</w:t>
            </w:r>
            <w:proofErr w:type="gramStart"/>
            <w:r>
              <w:rPr>
                <w:i/>
                <w:sz w:val="18"/>
              </w:rPr>
              <w:t>1</w:t>
            </w:r>
            <w:r>
              <w:rPr>
                <w:i/>
                <w:spacing w:val="36"/>
                <w:sz w:val="18"/>
              </w:rPr>
              <w:t xml:space="preserve">  </w:t>
            </w:r>
            <w:r>
              <w:rPr>
                <w:i/>
                <w:sz w:val="18"/>
              </w:rPr>
              <w:t>.</w:t>
            </w:r>
            <w:proofErr w:type="gramEnd"/>
            <w:r>
              <w:rPr>
                <w:i/>
                <w:sz w:val="18"/>
              </w:rPr>
              <w:t>2.</w:t>
            </w:r>
            <w:proofErr w:type="gramStart"/>
            <w:r>
              <w:rPr>
                <w:i/>
                <w:sz w:val="18"/>
              </w:rPr>
              <w:t>2,</w:t>
            </w:r>
            <w:r>
              <w:rPr>
                <w:i/>
                <w:spacing w:val="34"/>
                <w:sz w:val="18"/>
              </w:rPr>
              <w:t xml:space="preserve">  </w:t>
            </w:r>
            <w:r>
              <w:rPr>
                <w:i/>
                <w:spacing w:val="-2"/>
                <w:sz w:val="18"/>
              </w:rPr>
              <w:t>2.9.2.1.2.4</w:t>
            </w:r>
            <w:proofErr w:type="gramEnd"/>
            <w:r>
              <w:rPr>
                <w:i/>
                <w:spacing w:val="-2"/>
                <w:sz w:val="18"/>
              </w:rPr>
              <w:t>,</w:t>
            </w:r>
          </w:p>
          <w:p w14:paraId="70366AB1" w14:textId="77777777" w:rsidR="000E52B0" w:rsidRDefault="00F60D74">
            <w:pPr>
              <w:pStyle w:val="TableParagraph"/>
              <w:ind w:left="104"/>
              <w:jc w:val="both"/>
              <w:rPr>
                <w:i/>
                <w:sz w:val="18"/>
              </w:rPr>
            </w:pPr>
            <w:r>
              <w:rPr>
                <w:i/>
                <w:sz w:val="18"/>
              </w:rPr>
              <w:t>2.9.2.1.2.6</w:t>
            </w:r>
            <w:proofErr w:type="gramStart"/>
            <w:r>
              <w:rPr>
                <w:i/>
                <w:sz w:val="18"/>
              </w:rPr>
              <w:t>,</w:t>
            </w:r>
            <w:r>
              <w:rPr>
                <w:i/>
                <w:spacing w:val="53"/>
                <w:w w:val="150"/>
                <w:sz w:val="18"/>
              </w:rPr>
              <w:t xml:space="preserve">  </w:t>
            </w:r>
            <w:r>
              <w:rPr>
                <w:i/>
                <w:sz w:val="18"/>
              </w:rPr>
              <w:t>2.9.2.1.2.7,</w:t>
            </w:r>
            <w:r>
              <w:rPr>
                <w:i/>
                <w:spacing w:val="53"/>
                <w:w w:val="150"/>
                <w:sz w:val="18"/>
              </w:rPr>
              <w:t xml:space="preserve">  </w:t>
            </w:r>
            <w:r>
              <w:rPr>
                <w:i/>
                <w:spacing w:val="-2"/>
                <w:sz w:val="18"/>
              </w:rPr>
              <w:t>2.9.2.1.2.8</w:t>
            </w:r>
            <w:proofErr w:type="gramEnd"/>
            <w:r>
              <w:rPr>
                <w:i/>
                <w:spacing w:val="-2"/>
                <w:sz w:val="18"/>
              </w:rPr>
              <w:t>,</w:t>
            </w:r>
          </w:p>
          <w:p w14:paraId="72A7FE33" w14:textId="77777777" w:rsidR="000E52B0" w:rsidRDefault="00F60D74">
            <w:pPr>
              <w:pStyle w:val="TableParagraph"/>
              <w:spacing w:before="2" w:line="219" w:lineRule="exact"/>
              <w:ind w:left="104"/>
              <w:jc w:val="both"/>
              <w:rPr>
                <w:i/>
                <w:sz w:val="18"/>
              </w:rPr>
            </w:pPr>
            <w:r>
              <w:rPr>
                <w:i/>
                <w:sz w:val="18"/>
              </w:rPr>
              <w:t>2.9.2.1.2.10,</w:t>
            </w:r>
            <w:r>
              <w:rPr>
                <w:i/>
                <w:spacing w:val="-8"/>
                <w:sz w:val="18"/>
              </w:rPr>
              <w:t xml:space="preserve"> </w:t>
            </w:r>
            <w:r>
              <w:rPr>
                <w:i/>
                <w:sz w:val="18"/>
              </w:rPr>
              <w:t>2.9.2.1.2.12</w:t>
            </w:r>
            <w:r>
              <w:rPr>
                <w:i/>
                <w:spacing w:val="-5"/>
                <w:sz w:val="18"/>
              </w:rPr>
              <w:t xml:space="preserve"> </w:t>
            </w:r>
            <w:r>
              <w:rPr>
                <w:i/>
                <w:sz w:val="18"/>
              </w:rPr>
              <w:t>Y</w:t>
            </w:r>
            <w:r>
              <w:rPr>
                <w:i/>
                <w:spacing w:val="-6"/>
                <w:sz w:val="18"/>
              </w:rPr>
              <w:t xml:space="preserve"> </w:t>
            </w:r>
            <w:r>
              <w:rPr>
                <w:i/>
                <w:sz w:val="18"/>
              </w:rPr>
              <w:t>se</w:t>
            </w:r>
            <w:r>
              <w:rPr>
                <w:i/>
                <w:spacing w:val="-3"/>
                <w:sz w:val="18"/>
              </w:rPr>
              <w:t xml:space="preserve"> </w:t>
            </w:r>
            <w:r>
              <w:rPr>
                <w:i/>
                <w:sz w:val="18"/>
              </w:rPr>
              <w:t>adiciona</w:t>
            </w:r>
            <w:r>
              <w:rPr>
                <w:i/>
                <w:spacing w:val="-6"/>
                <w:sz w:val="18"/>
              </w:rPr>
              <w:t xml:space="preserve"> </w:t>
            </w:r>
            <w:r>
              <w:rPr>
                <w:i/>
                <w:spacing w:val="-5"/>
                <w:sz w:val="18"/>
              </w:rPr>
              <w:t>el</w:t>
            </w:r>
          </w:p>
          <w:p w14:paraId="31CFD05B" w14:textId="77777777" w:rsidR="000E52B0" w:rsidRDefault="00F60D74">
            <w:pPr>
              <w:pStyle w:val="TableParagraph"/>
              <w:spacing w:line="218" w:lineRule="exact"/>
              <w:ind w:left="104" w:right="92"/>
              <w:jc w:val="both"/>
              <w:rPr>
                <w:i/>
                <w:sz w:val="18"/>
              </w:rPr>
            </w:pPr>
            <w:r>
              <w:rPr>
                <w:i/>
                <w:sz w:val="18"/>
              </w:rPr>
              <w:t>artículo 2.9.2.1.2.13 al Decreto 780 de 2016 Único Reglamentario del Sector Salud y</w:t>
            </w:r>
            <w:r>
              <w:rPr>
                <w:i/>
                <w:spacing w:val="-1"/>
                <w:sz w:val="18"/>
              </w:rPr>
              <w:t xml:space="preserve"> </w:t>
            </w:r>
            <w:r>
              <w:rPr>
                <w:i/>
                <w:sz w:val="18"/>
              </w:rPr>
              <w:t>Protección Social</w:t>
            </w:r>
            <w:r>
              <w:rPr>
                <w:i/>
                <w:spacing w:val="-3"/>
                <w:sz w:val="18"/>
              </w:rPr>
              <w:t xml:space="preserve"> </w:t>
            </w:r>
            <w:proofErr w:type="gramStart"/>
            <w:r>
              <w:rPr>
                <w:i/>
                <w:sz w:val="18"/>
              </w:rPr>
              <w:t>en relación a</w:t>
            </w:r>
            <w:proofErr w:type="gramEnd"/>
            <w:r>
              <w:rPr>
                <w:i/>
                <w:spacing w:val="-1"/>
                <w:sz w:val="18"/>
              </w:rPr>
              <w:t xml:space="preserve"> </w:t>
            </w:r>
            <w:r>
              <w:rPr>
                <w:i/>
                <w:sz w:val="18"/>
              </w:rPr>
              <w:t>las mujeres víctimas de violencia.”</w:t>
            </w:r>
          </w:p>
        </w:tc>
      </w:tr>
      <w:tr w:rsidR="000E52B0" w14:paraId="2B58706E" w14:textId="77777777">
        <w:trPr>
          <w:trHeight w:val="438"/>
        </w:trPr>
        <w:tc>
          <w:tcPr>
            <w:tcW w:w="2372" w:type="dxa"/>
          </w:tcPr>
          <w:p w14:paraId="1A162F0F" w14:textId="77777777" w:rsidR="000E52B0" w:rsidRDefault="00F60D74">
            <w:pPr>
              <w:pStyle w:val="TableParagraph"/>
              <w:tabs>
                <w:tab w:val="left" w:pos="1570"/>
                <w:tab w:val="left" w:pos="2011"/>
              </w:tabs>
              <w:spacing w:line="218" w:lineRule="exact"/>
              <w:ind w:left="105" w:right="90"/>
              <w:rPr>
                <w:sz w:val="18"/>
              </w:rPr>
            </w:pPr>
            <w:r>
              <w:rPr>
                <w:sz w:val="18"/>
              </w:rPr>
              <w:t>Mecanismo</w:t>
            </w:r>
            <w:r>
              <w:rPr>
                <w:spacing w:val="23"/>
                <w:sz w:val="18"/>
              </w:rPr>
              <w:t xml:space="preserve"> </w:t>
            </w:r>
            <w:r>
              <w:rPr>
                <w:sz w:val="18"/>
              </w:rPr>
              <w:t>Especial</w:t>
            </w:r>
            <w:r>
              <w:rPr>
                <w:spacing w:val="22"/>
                <w:sz w:val="18"/>
              </w:rPr>
              <w:t xml:space="preserve"> </w:t>
            </w:r>
            <w:r>
              <w:rPr>
                <w:sz w:val="18"/>
              </w:rPr>
              <w:t xml:space="preserve">de </w:t>
            </w:r>
            <w:r>
              <w:rPr>
                <w:spacing w:val="-2"/>
                <w:sz w:val="18"/>
              </w:rPr>
              <w:t>Seguimiento</w:t>
            </w:r>
            <w:r>
              <w:rPr>
                <w:sz w:val="18"/>
              </w:rPr>
              <w:tab/>
            </w:r>
            <w:r>
              <w:rPr>
                <w:spacing w:val="-10"/>
                <w:sz w:val="18"/>
              </w:rPr>
              <w:t>a</w:t>
            </w:r>
            <w:r>
              <w:rPr>
                <w:sz w:val="18"/>
              </w:rPr>
              <w:tab/>
            </w:r>
            <w:r>
              <w:rPr>
                <w:spacing w:val="-5"/>
                <w:sz w:val="18"/>
              </w:rPr>
              <w:t>las</w:t>
            </w:r>
          </w:p>
        </w:tc>
        <w:tc>
          <w:tcPr>
            <w:tcW w:w="2365" w:type="dxa"/>
          </w:tcPr>
          <w:p w14:paraId="60180BC5" w14:textId="77777777" w:rsidR="000E52B0" w:rsidRDefault="00F60D74">
            <w:pPr>
              <w:pStyle w:val="TableParagraph"/>
              <w:spacing w:before="109"/>
              <w:ind w:left="105"/>
              <w:rPr>
                <w:sz w:val="18"/>
              </w:rPr>
            </w:pPr>
            <w:r>
              <w:rPr>
                <w:spacing w:val="-2"/>
                <w:sz w:val="18"/>
              </w:rPr>
              <w:t>DECRETO</w:t>
            </w:r>
          </w:p>
        </w:tc>
        <w:tc>
          <w:tcPr>
            <w:tcW w:w="4057" w:type="dxa"/>
          </w:tcPr>
          <w:p w14:paraId="15885CAF" w14:textId="77777777" w:rsidR="000E52B0" w:rsidRDefault="00F60D74">
            <w:pPr>
              <w:pStyle w:val="TableParagraph"/>
              <w:spacing w:line="218" w:lineRule="exact"/>
              <w:ind w:left="104"/>
              <w:rPr>
                <w:sz w:val="18"/>
              </w:rPr>
            </w:pPr>
            <w:r>
              <w:rPr>
                <w:sz w:val="18"/>
              </w:rPr>
              <w:t>En</w:t>
            </w:r>
            <w:r>
              <w:rPr>
                <w:spacing w:val="40"/>
                <w:sz w:val="18"/>
              </w:rPr>
              <w:t xml:space="preserve"> </w:t>
            </w:r>
            <w:r>
              <w:rPr>
                <w:sz w:val="18"/>
              </w:rPr>
              <w:t>cumplimiento</w:t>
            </w:r>
            <w:r>
              <w:rPr>
                <w:spacing w:val="40"/>
                <w:sz w:val="18"/>
              </w:rPr>
              <w:t xml:space="preserve"> </w:t>
            </w:r>
            <w:r>
              <w:rPr>
                <w:sz w:val="18"/>
              </w:rPr>
              <w:t>de</w:t>
            </w:r>
            <w:r>
              <w:rPr>
                <w:spacing w:val="40"/>
                <w:sz w:val="18"/>
              </w:rPr>
              <w:t xml:space="preserve"> </w:t>
            </w:r>
            <w:r>
              <w:rPr>
                <w:sz w:val="18"/>
              </w:rPr>
              <w:t>las</w:t>
            </w:r>
            <w:r>
              <w:rPr>
                <w:spacing w:val="40"/>
                <w:sz w:val="18"/>
              </w:rPr>
              <w:t xml:space="preserve"> </w:t>
            </w:r>
            <w:r>
              <w:rPr>
                <w:sz w:val="18"/>
              </w:rPr>
              <w:t>órdenes</w:t>
            </w:r>
            <w:r>
              <w:rPr>
                <w:spacing w:val="40"/>
                <w:sz w:val="18"/>
              </w:rPr>
              <w:t xml:space="preserve"> </w:t>
            </w:r>
            <w:r>
              <w:rPr>
                <w:sz w:val="18"/>
              </w:rPr>
              <w:t>de</w:t>
            </w:r>
            <w:r>
              <w:rPr>
                <w:spacing w:val="40"/>
                <w:sz w:val="18"/>
              </w:rPr>
              <w:t xml:space="preserve"> </w:t>
            </w:r>
            <w:r>
              <w:rPr>
                <w:sz w:val="18"/>
              </w:rPr>
              <w:t>la Sentencia</w:t>
            </w:r>
            <w:r>
              <w:rPr>
                <w:spacing w:val="21"/>
                <w:sz w:val="18"/>
              </w:rPr>
              <w:t xml:space="preserve"> </w:t>
            </w:r>
            <w:r>
              <w:rPr>
                <w:sz w:val="18"/>
              </w:rPr>
              <w:t>T-302</w:t>
            </w:r>
            <w:r>
              <w:rPr>
                <w:spacing w:val="22"/>
                <w:sz w:val="18"/>
              </w:rPr>
              <w:t xml:space="preserve"> </w:t>
            </w:r>
            <w:r>
              <w:rPr>
                <w:sz w:val="18"/>
              </w:rPr>
              <w:t>de</w:t>
            </w:r>
            <w:r>
              <w:rPr>
                <w:spacing w:val="21"/>
                <w:sz w:val="18"/>
              </w:rPr>
              <w:t xml:space="preserve"> </w:t>
            </w:r>
            <w:r>
              <w:rPr>
                <w:sz w:val="18"/>
              </w:rPr>
              <w:t>2017</w:t>
            </w:r>
            <w:r>
              <w:rPr>
                <w:spacing w:val="21"/>
                <w:sz w:val="18"/>
              </w:rPr>
              <w:t xml:space="preserve"> </w:t>
            </w:r>
            <w:r>
              <w:rPr>
                <w:sz w:val="18"/>
              </w:rPr>
              <w:t>y</w:t>
            </w:r>
            <w:r>
              <w:rPr>
                <w:spacing w:val="21"/>
                <w:sz w:val="18"/>
              </w:rPr>
              <w:t xml:space="preserve"> </w:t>
            </w:r>
            <w:r>
              <w:rPr>
                <w:sz w:val="18"/>
              </w:rPr>
              <w:t>el</w:t>
            </w:r>
            <w:r>
              <w:rPr>
                <w:spacing w:val="21"/>
                <w:sz w:val="18"/>
              </w:rPr>
              <w:t xml:space="preserve"> </w:t>
            </w:r>
            <w:r>
              <w:rPr>
                <w:sz w:val="18"/>
              </w:rPr>
              <w:t>Auto</w:t>
            </w:r>
            <w:r>
              <w:rPr>
                <w:spacing w:val="21"/>
                <w:sz w:val="18"/>
              </w:rPr>
              <w:t xml:space="preserve"> </w:t>
            </w:r>
            <w:r>
              <w:rPr>
                <w:spacing w:val="-4"/>
                <w:sz w:val="18"/>
              </w:rPr>
              <w:t>2764</w:t>
            </w:r>
          </w:p>
        </w:tc>
      </w:tr>
    </w:tbl>
    <w:p w14:paraId="7ADDF10B" w14:textId="77777777" w:rsidR="000E52B0" w:rsidRDefault="000E52B0">
      <w:pPr>
        <w:pStyle w:val="TableParagraph"/>
        <w:spacing w:line="218" w:lineRule="exact"/>
        <w:rPr>
          <w:sz w:val="18"/>
        </w:rPr>
        <w:sectPr w:rsidR="000E52B0">
          <w:type w:val="continuous"/>
          <w:pgSz w:w="11910" w:h="16840"/>
          <w:pgMar w:top="1400" w:right="720" w:bottom="1180" w:left="720" w:header="0" w:footer="995" w:gutter="0"/>
          <w:cols w:space="720"/>
        </w:sectPr>
      </w:pPr>
    </w:p>
    <w:tbl>
      <w:tblPr>
        <w:tblStyle w:val="TableNormal"/>
        <w:tblW w:w="0" w:type="auto"/>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72"/>
        <w:gridCol w:w="2365"/>
        <w:gridCol w:w="4057"/>
      </w:tblGrid>
      <w:tr w:rsidR="000E52B0" w14:paraId="5E49E6BD" w14:textId="77777777">
        <w:trPr>
          <w:trHeight w:val="597"/>
        </w:trPr>
        <w:tc>
          <w:tcPr>
            <w:tcW w:w="2372" w:type="dxa"/>
            <w:shd w:val="clear" w:color="auto" w:fill="D44673"/>
          </w:tcPr>
          <w:p w14:paraId="2F751EF8" w14:textId="77777777" w:rsidR="000E52B0" w:rsidRDefault="00F60D74">
            <w:pPr>
              <w:pStyle w:val="TableParagraph"/>
              <w:spacing w:before="109"/>
              <w:ind w:left="13"/>
              <w:jc w:val="center"/>
              <w:rPr>
                <w:b/>
                <w:sz w:val="18"/>
              </w:rPr>
            </w:pPr>
            <w:r>
              <w:rPr>
                <w:b/>
                <w:color w:val="FFFFFF"/>
                <w:spacing w:val="-4"/>
                <w:sz w:val="18"/>
              </w:rPr>
              <w:lastRenderedPageBreak/>
              <w:t>Tema</w:t>
            </w:r>
          </w:p>
        </w:tc>
        <w:tc>
          <w:tcPr>
            <w:tcW w:w="2365" w:type="dxa"/>
            <w:shd w:val="clear" w:color="auto" w:fill="D44673"/>
          </w:tcPr>
          <w:p w14:paraId="3B31E031" w14:textId="77777777" w:rsidR="000E52B0" w:rsidRDefault="00F60D74">
            <w:pPr>
              <w:pStyle w:val="TableParagraph"/>
              <w:ind w:left="369" w:firstLine="429"/>
              <w:rPr>
                <w:b/>
                <w:sz w:val="18"/>
              </w:rPr>
            </w:pPr>
            <w:r>
              <w:rPr>
                <w:b/>
                <w:color w:val="FFFFFF"/>
                <w:sz w:val="18"/>
              </w:rPr>
              <w:t xml:space="preserve">Tipo De </w:t>
            </w:r>
            <w:r>
              <w:rPr>
                <w:b/>
                <w:color w:val="FFFFFF"/>
                <w:spacing w:val="-2"/>
                <w:sz w:val="18"/>
              </w:rPr>
              <w:t>Reglamentación</w:t>
            </w:r>
          </w:p>
        </w:tc>
        <w:tc>
          <w:tcPr>
            <w:tcW w:w="4057" w:type="dxa"/>
            <w:shd w:val="clear" w:color="auto" w:fill="D44673"/>
          </w:tcPr>
          <w:p w14:paraId="03729850" w14:textId="77777777" w:rsidR="000E52B0" w:rsidRDefault="00F60D74">
            <w:pPr>
              <w:pStyle w:val="TableParagraph"/>
              <w:spacing w:before="109"/>
              <w:ind w:left="1350"/>
              <w:rPr>
                <w:b/>
                <w:sz w:val="18"/>
              </w:rPr>
            </w:pPr>
            <w:r>
              <w:rPr>
                <w:b/>
                <w:color w:val="FFFFFF"/>
                <w:spacing w:val="-2"/>
                <w:sz w:val="18"/>
              </w:rPr>
              <w:t>Observaciones</w:t>
            </w:r>
          </w:p>
        </w:tc>
      </w:tr>
      <w:tr w:rsidR="000E52B0" w14:paraId="3CC34F02" w14:textId="77777777">
        <w:trPr>
          <w:trHeight w:val="1093"/>
        </w:trPr>
        <w:tc>
          <w:tcPr>
            <w:tcW w:w="2372" w:type="dxa"/>
          </w:tcPr>
          <w:p w14:paraId="5425CAE8" w14:textId="77777777" w:rsidR="000E52B0" w:rsidRDefault="00F60D74">
            <w:pPr>
              <w:pStyle w:val="TableParagraph"/>
              <w:spacing w:line="242" w:lineRule="auto"/>
              <w:ind w:left="105" w:right="91"/>
              <w:rPr>
                <w:sz w:val="18"/>
              </w:rPr>
            </w:pPr>
            <w:r>
              <w:rPr>
                <w:sz w:val="18"/>
              </w:rPr>
              <w:t>Órdenes</w:t>
            </w:r>
            <w:r>
              <w:rPr>
                <w:spacing w:val="40"/>
                <w:sz w:val="18"/>
              </w:rPr>
              <w:t xml:space="preserve"> </w:t>
            </w:r>
            <w:r>
              <w:rPr>
                <w:sz w:val="18"/>
              </w:rPr>
              <w:t>de</w:t>
            </w:r>
            <w:r>
              <w:rPr>
                <w:spacing w:val="40"/>
                <w:sz w:val="18"/>
              </w:rPr>
              <w:t xml:space="preserve"> </w:t>
            </w:r>
            <w:r>
              <w:rPr>
                <w:sz w:val="18"/>
              </w:rPr>
              <w:t>la</w:t>
            </w:r>
            <w:r>
              <w:rPr>
                <w:spacing w:val="40"/>
                <w:sz w:val="18"/>
              </w:rPr>
              <w:t xml:space="preserve"> </w:t>
            </w:r>
            <w:r>
              <w:rPr>
                <w:sz w:val="18"/>
              </w:rPr>
              <w:t>ECI</w:t>
            </w:r>
            <w:r>
              <w:rPr>
                <w:spacing w:val="40"/>
                <w:sz w:val="18"/>
              </w:rPr>
              <w:t xml:space="preserve"> </w:t>
            </w:r>
            <w:r>
              <w:rPr>
                <w:sz w:val="18"/>
              </w:rPr>
              <w:t xml:space="preserve">La </w:t>
            </w:r>
            <w:r>
              <w:rPr>
                <w:spacing w:val="-2"/>
                <w:sz w:val="18"/>
              </w:rPr>
              <w:t>Guajira</w:t>
            </w:r>
          </w:p>
        </w:tc>
        <w:tc>
          <w:tcPr>
            <w:tcW w:w="2365" w:type="dxa"/>
          </w:tcPr>
          <w:p w14:paraId="48E615D9" w14:textId="77777777" w:rsidR="000E52B0" w:rsidRDefault="00F60D74">
            <w:pPr>
              <w:pStyle w:val="TableParagraph"/>
              <w:tabs>
                <w:tab w:val="left" w:pos="1504"/>
                <w:tab w:val="left" w:pos="1646"/>
                <w:tab w:val="left" w:pos="2099"/>
              </w:tabs>
              <w:ind w:left="105" w:right="86"/>
              <w:rPr>
                <w:sz w:val="18"/>
              </w:rPr>
            </w:pPr>
            <w:r>
              <w:rPr>
                <w:spacing w:val="-2"/>
                <w:sz w:val="18"/>
              </w:rPr>
              <w:t>Departamento Administrativo</w:t>
            </w:r>
            <w:r>
              <w:rPr>
                <w:sz w:val="18"/>
              </w:rPr>
              <w:tab/>
            </w:r>
            <w:r>
              <w:rPr>
                <w:sz w:val="18"/>
              </w:rPr>
              <w:tab/>
            </w:r>
            <w:r>
              <w:rPr>
                <w:spacing w:val="-6"/>
                <w:sz w:val="18"/>
              </w:rPr>
              <w:t>de</w:t>
            </w:r>
            <w:r>
              <w:rPr>
                <w:sz w:val="18"/>
              </w:rPr>
              <w:tab/>
            </w:r>
            <w:r>
              <w:rPr>
                <w:spacing w:val="-6"/>
                <w:sz w:val="18"/>
              </w:rPr>
              <w:t xml:space="preserve">la </w:t>
            </w:r>
            <w:r>
              <w:rPr>
                <w:spacing w:val="-2"/>
                <w:sz w:val="18"/>
              </w:rPr>
              <w:t>Presidencia</w:t>
            </w:r>
            <w:r>
              <w:rPr>
                <w:sz w:val="18"/>
              </w:rPr>
              <w:tab/>
            </w:r>
            <w:r>
              <w:rPr>
                <w:spacing w:val="-5"/>
                <w:sz w:val="18"/>
              </w:rPr>
              <w:t>de</w:t>
            </w:r>
            <w:r>
              <w:rPr>
                <w:sz w:val="18"/>
              </w:rPr>
              <w:tab/>
            </w:r>
            <w:r>
              <w:rPr>
                <w:spacing w:val="-61"/>
                <w:sz w:val="18"/>
              </w:rPr>
              <w:t xml:space="preserve"> </w:t>
            </w:r>
            <w:r>
              <w:rPr>
                <w:spacing w:val="-5"/>
                <w:sz w:val="18"/>
              </w:rPr>
              <w:t>la</w:t>
            </w:r>
          </w:p>
          <w:p w14:paraId="3DE1116E" w14:textId="77777777" w:rsidR="000E52B0" w:rsidRDefault="00F60D74">
            <w:pPr>
              <w:pStyle w:val="TableParagraph"/>
              <w:spacing w:line="218" w:lineRule="exact"/>
              <w:ind w:left="105"/>
              <w:rPr>
                <w:sz w:val="18"/>
              </w:rPr>
            </w:pPr>
            <w:r>
              <w:rPr>
                <w:sz w:val="18"/>
              </w:rPr>
              <w:t>República</w:t>
            </w:r>
            <w:r>
              <w:rPr>
                <w:spacing w:val="40"/>
                <w:sz w:val="18"/>
              </w:rPr>
              <w:t xml:space="preserve"> </w:t>
            </w:r>
            <w:r>
              <w:rPr>
                <w:sz w:val="18"/>
              </w:rPr>
              <w:t>-</w:t>
            </w:r>
            <w:r>
              <w:rPr>
                <w:spacing w:val="40"/>
                <w:sz w:val="18"/>
              </w:rPr>
              <w:t xml:space="preserve"> </w:t>
            </w:r>
            <w:r>
              <w:rPr>
                <w:sz w:val="18"/>
              </w:rPr>
              <w:t>Consejería para las Regiones</w:t>
            </w:r>
          </w:p>
        </w:tc>
        <w:tc>
          <w:tcPr>
            <w:tcW w:w="4057" w:type="dxa"/>
          </w:tcPr>
          <w:p w14:paraId="7E667C81" w14:textId="77777777" w:rsidR="000E52B0" w:rsidRDefault="00F60D74">
            <w:pPr>
              <w:pStyle w:val="TableParagraph"/>
              <w:ind w:left="104" w:right="92"/>
              <w:jc w:val="both"/>
              <w:rPr>
                <w:sz w:val="18"/>
              </w:rPr>
            </w:pPr>
            <w:r>
              <w:rPr>
                <w:sz w:val="18"/>
              </w:rPr>
              <w:t>de</w:t>
            </w:r>
            <w:r>
              <w:rPr>
                <w:spacing w:val="-11"/>
                <w:sz w:val="18"/>
              </w:rPr>
              <w:t xml:space="preserve"> </w:t>
            </w:r>
            <w:r>
              <w:rPr>
                <w:sz w:val="18"/>
              </w:rPr>
              <w:t>2023,</w:t>
            </w:r>
            <w:r>
              <w:rPr>
                <w:spacing w:val="-12"/>
                <w:sz w:val="18"/>
              </w:rPr>
              <w:t xml:space="preserve"> </w:t>
            </w:r>
            <w:r>
              <w:rPr>
                <w:sz w:val="18"/>
              </w:rPr>
              <w:t>se</w:t>
            </w:r>
            <w:r>
              <w:rPr>
                <w:spacing w:val="-11"/>
                <w:sz w:val="18"/>
              </w:rPr>
              <w:t xml:space="preserve"> </w:t>
            </w:r>
            <w:r>
              <w:rPr>
                <w:sz w:val="18"/>
              </w:rPr>
              <w:t>creó</w:t>
            </w:r>
            <w:r>
              <w:rPr>
                <w:spacing w:val="-10"/>
                <w:sz w:val="18"/>
              </w:rPr>
              <w:t xml:space="preserve"> </w:t>
            </w:r>
            <w:r>
              <w:rPr>
                <w:sz w:val="18"/>
              </w:rPr>
              <w:t>el</w:t>
            </w:r>
            <w:r>
              <w:rPr>
                <w:spacing w:val="-10"/>
                <w:sz w:val="18"/>
              </w:rPr>
              <w:t xml:space="preserve"> </w:t>
            </w:r>
            <w:r>
              <w:rPr>
                <w:sz w:val="18"/>
              </w:rPr>
              <w:t>Mecanismo</w:t>
            </w:r>
            <w:r>
              <w:rPr>
                <w:spacing w:val="-10"/>
                <w:sz w:val="18"/>
              </w:rPr>
              <w:t xml:space="preserve"> </w:t>
            </w:r>
            <w:r>
              <w:rPr>
                <w:sz w:val="18"/>
              </w:rPr>
              <w:t>Especial</w:t>
            </w:r>
            <w:r>
              <w:rPr>
                <w:spacing w:val="-11"/>
                <w:sz w:val="18"/>
              </w:rPr>
              <w:t xml:space="preserve"> </w:t>
            </w:r>
            <w:r>
              <w:rPr>
                <w:sz w:val="18"/>
              </w:rPr>
              <w:t>de Seguimiento y Evaluación de las Políticas Públicas (MESEPP) a través del Decreto 147 de 2024</w:t>
            </w:r>
          </w:p>
        </w:tc>
      </w:tr>
      <w:tr w:rsidR="000E52B0" w14:paraId="3780D23B" w14:textId="77777777">
        <w:trPr>
          <w:trHeight w:val="1751"/>
        </w:trPr>
        <w:tc>
          <w:tcPr>
            <w:tcW w:w="2372" w:type="dxa"/>
          </w:tcPr>
          <w:p w14:paraId="2BBADA2B" w14:textId="77777777" w:rsidR="000E52B0" w:rsidRDefault="000E52B0">
            <w:pPr>
              <w:pStyle w:val="TableParagraph"/>
              <w:rPr>
                <w:sz w:val="18"/>
              </w:rPr>
            </w:pPr>
          </w:p>
          <w:p w14:paraId="3A506050" w14:textId="77777777" w:rsidR="000E52B0" w:rsidRDefault="000E52B0">
            <w:pPr>
              <w:pStyle w:val="TableParagraph"/>
              <w:rPr>
                <w:sz w:val="18"/>
              </w:rPr>
            </w:pPr>
          </w:p>
          <w:p w14:paraId="388BBBD9" w14:textId="77777777" w:rsidR="000E52B0" w:rsidRDefault="000E52B0">
            <w:pPr>
              <w:pStyle w:val="TableParagraph"/>
              <w:rPr>
                <w:sz w:val="18"/>
              </w:rPr>
            </w:pPr>
          </w:p>
          <w:p w14:paraId="63B2450D" w14:textId="77777777" w:rsidR="000E52B0" w:rsidRDefault="00F60D74">
            <w:pPr>
              <w:pStyle w:val="TableParagraph"/>
              <w:tabs>
                <w:tab w:val="left" w:pos="1052"/>
                <w:tab w:val="left" w:pos="2044"/>
              </w:tabs>
              <w:ind w:left="105" w:right="90"/>
              <w:rPr>
                <w:sz w:val="18"/>
              </w:rPr>
            </w:pPr>
            <w:r>
              <w:rPr>
                <w:spacing w:val="-2"/>
                <w:sz w:val="18"/>
              </w:rPr>
              <w:t>Consejo</w:t>
            </w:r>
            <w:r>
              <w:rPr>
                <w:sz w:val="18"/>
              </w:rPr>
              <w:tab/>
            </w:r>
            <w:r>
              <w:rPr>
                <w:spacing w:val="-2"/>
                <w:sz w:val="18"/>
              </w:rPr>
              <w:t>Nacional</w:t>
            </w:r>
            <w:r>
              <w:rPr>
                <w:sz w:val="18"/>
              </w:rPr>
              <w:tab/>
            </w:r>
            <w:r>
              <w:rPr>
                <w:spacing w:val="-6"/>
                <w:sz w:val="18"/>
              </w:rPr>
              <w:t xml:space="preserve">de </w:t>
            </w:r>
            <w:r>
              <w:rPr>
                <w:sz w:val="18"/>
              </w:rPr>
              <w:t>Economía Popular</w:t>
            </w:r>
          </w:p>
        </w:tc>
        <w:tc>
          <w:tcPr>
            <w:tcW w:w="2365" w:type="dxa"/>
          </w:tcPr>
          <w:p w14:paraId="49100007" w14:textId="77777777" w:rsidR="000E52B0" w:rsidRDefault="000E52B0">
            <w:pPr>
              <w:pStyle w:val="TableParagraph"/>
              <w:rPr>
                <w:sz w:val="18"/>
              </w:rPr>
            </w:pPr>
          </w:p>
          <w:p w14:paraId="05DDF380" w14:textId="77777777" w:rsidR="000E52B0" w:rsidRDefault="000E52B0">
            <w:pPr>
              <w:pStyle w:val="TableParagraph"/>
              <w:spacing w:before="108"/>
              <w:rPr>
                <w:sz w:val="18"/>
              </w:rPr>
            </w:pPr>
          </w:p>
          <w:p w14:paraId="2ED318A5" w14:textId="77777777" w:rsidR="000E52B0" w:rsidRDefault="00F60D74">
            <w:pPr>
              <w:pStyle w:val="TableParagraph"/>
              <w:spacing w:line="219" w:lineRule="exact"/>
              <w:ind w:left="105"/>
              <w:rPr>
                <w:sz w:val="18"/>
              </w:rPr>
            </w:pPr>
            <w:r>
              <w:rPr>
                <w:spacing w:val="-2"/>
                <w:sz w:val="18"/>
              </w:rPr>
              <w:t>DECRETO</w:t>
            </w:r>
          </w:p>
          <w:p w14:paraId="73652CAF" w14:textId="77777777" w:rsidR="000E52B0" w:rsidRDefault="00F60D74">
            <w:pPr>
              <w:pStyle w:val="TableParagraph"/>
              <w:spacing w:line="242" w:lineRule="auto"/>
              <w:ind w:left="105"/>
              <w:rPr>
                <w:sz w:val="18"/>
              </w:rPr>
            </w:pPr>
            <w:r>
              <w:rPr>
                <w:sz w:val="18"/>
              </w:rPr>
              <w:t>Ministerio</w:t>
            </w:r>
            <w:r>
              <w:rPr>
                <w:spacing w:val="-7"/>
                <w:sz w:val="18"/>
              </w:rPr>
              <w:t xml:space="preserve"> </w:t>
            </w:r>
            <w:r>
              <w:rPr>
                <w:sz w:val="18"/>
              </w:rPr>
              <w:t>de</w:t>
            </w:r>
            <w:r>
              <w:rPr>
                <w:spacing w:val="-7"/>
                <w:sz w:val="18"/>
              </w:rPr>
              <w:t xml:space="preserve"> </w:t>
            </w:r>
            <w:r>
              <w:rPr>
                <w:sz w:val="18"/>
              </w:rPr>
              <w:t>Comercio, Industria y Turismo</w:t>
            </w:r>
          </w:p>
        </w:tc>
        <w:tc>
          <w:tcPr>
            <w:tcW w:w="4057" w:type="dxa"/>
          </w:tcPr>
          <w:p w14:paraId="0B701F00" w14:textId="77777777" w:rsidR="000E52B0" w:rsidRDefault="00F60D74">
            <w:pPr>
              <w:pStyle w:val="TableParagraph"/>
              <w:ind w:left="104" w:right="90"/>
              <w:jc w:val="both"/>
              <w:rPr>
                <w:i/>
                <w:sz w:val="18"/>
              </w:rPr>
            </w:pPr>
            <w:r>
              <w:rPr>
                <w:color w:val="151515"/>
                <w:sz w:val="18"/>
              </w:rPr>
              <w:t>En el marco del trabajo articulado de las entidades</w:t>
            </w:r>
            <w:r>
              <w:rPr>
                <w:color w:val="151515"/>
                <w:spacing w:val="-1"/>
                <w:sz w:val="18"/>
              </w:rPr>
              <w:t xml:space="preserve"> </w:t>
            </w:r>
            <w:r>
              <w:rPr>
                <w:color w:val="151515"/>
                <w:sz w:val="18"/>
              </w:rPr>
              <w:t>del Gobierno Nacional se</w:t>
            </w:r>
            <w:r>
              <w:rPr>
                <w:color w:val="151515"/>
                <w:spacing w:val="-1"/>
                <w:sz w:val="18"/>
              </w:rPr>
              <w:t xml:space="preserve"> </w:t>
            </w:r>
            <w:r>
              <w:rPr>
                <w:color w:val="151515"/>
                <w:sz w:val="18"/>
              </w:rPr>
              <w:t xml:space="preserve">emitió el Decreto 2185 de 2023 </w:t>
            </w:r>
            <w:r>
              <w:rPr>
                <w:i/>
                <w:color w:val="151515"/>
                <w:sz w:val="18"/>
              </w:rPr>
              <w:t xml:space="preserve">"Por el cual se adiciona la Sección 5 al Capítulo 3 de la Parte 2 del </w:t>
            </w:r>
            <w:r>
              <w:rPr>
                <w:i/>
                <w:color w:val="2E2E2E"/>
                <w:sz w:val="18"/>
              </w:rPr>
              <w:t>Li</w:t>
            </w:r>
            <w:r>
              <w:rPr>
                <w:i/>
                <w:color w:val="151515"/>
                <w:sz w:val="18"/>
              </w:rPr>
              <w:t>bro 2 del Decreto 1074 de 2015</w:t>
            </w:r>
            <w:r>
              <w:rPr>
                <w:i/>
                <w:color w:val="151515"/>
                <w:spacing w:val="34"/>
                <w:sz w:val="18"/>
              </w:rPr>
              <w:t xml:space="preserve"> </w:t>
            </w:r>
            <w:r>
              <w:rPr>
                <w:i/>
                <w:color w:val="151515"/>
                <w:sz w:val="18"/>
              </w:rPr>
              <w:t>y</w:t>
            </w:r>
            <w:r>
              <w:rPr>
                <w:i/>
                <w:color w:val="151515"/>
                <w:spacing w:val="34"/>
                <w:sz w:val="18"/>
              </w:rPr>
              <w:t xml:space="preserve"> </w:t>
            </w:r>
            <w:r>
              <w:rPr>
                <w:i/>
                <w:color w:val="151515"/>
                <w:sz w:val="18"/>
              </w:rPr>
              <w:t>se</w:t>
            </w:r>
            <w:r>
              <w:rPr>
                <w:i/>
                <w:color w:val="151515"/>
                <w:spacing w:val="35"/>
                <w:sz w:val="18"/>
              </w:rPr>
              <w:t xml:space="preserve"> </w:t>
            </w:r>
            <w:r>
              <w:rPr>
                <w:i/>
                <w:color w:val="151515"/>
                <w:sz w:val="18"/>
              </w:rPr>
              <w:t>reglamenta</w:t>
            </w:r>
            <w:r>
              <w:rPr>
                <w:i/>
                <w:color w:val="151515"/>
                <w:spacing w:val="34"/>
                <w:sz w:val="18"/>
              </w:rPr>
              <w:t xml:space="preserve"> </w:t>
            </w:r>
            <w:r>
              <w:rPr>
                <w:i/>
                <w:color w:val="151515"/>
                <w:sz w:val="18"/>
              </w:rPr>
              <w:t>el</w:t>
            </w:r>
            <w:r>
              <w:rPr>
                <w:i/>
                <w:color w:val="151515"/>
                <w:spacing w:val="33"/>
                <w:sz w:val="18"/>
              </w:rPr>
              <w:t xml:space="preserve"> </w:t>
            </w:r>
            <w:r>
              <w:rPr>
                <w:i/>
                <w:color w:val="151515"/>
                <w:spacing w:val="-2"/>
                <w:sz w:val="18"/>
              </w:rPr>
              <w:t>funcionamiento</w:t>
            </w:r>
          </w:p>
          <w:p w14:paraId="67620C5A" w14:textId="77777777" w:rsidR="000E52B0" w:rsidRDefault="00F60D74">
            <w:pPr>
              <w:pStyle w:val="TableParagraph"/>
              <w:spacing w:line="220" w:lineRule="exact"/>
              <w:ind w:left="104" w:right="92"/>
              <w:jc w:val="both"/>
              <w:rPr>
                <w:i/>
                <w:sz w:val="18"/>
              </w:rPr>
            </w:pPr>
            <w:r>
              <w:rPr>
                <w:i/>
                <w:color w:val="151515"/>
                <w:sz w:val="18"/>
              </w:rPr>
              <w:t xml:space="preserve">del Consejo Nacional de la Economía </w:t>
            </w:r>
            <w:r>
              <w:rPr>
                <w:i/>
                <w:color w:val="151515"/>
                <w:spacing w:val="-2"/>
                <w:sz w:val="18"/>
              </w:rPr>
              <w:t>Popular</w:t>
            </w:r>
            <w:r>
              <w:rPr>
                <w:i/>
                <w:color w:val="2E2E2E"/>
                <w:spacing w:val="-2"/>
                <w:sz w:val="18"/>
              </w:rPr>
              <w:t>"</w:t>
            </w:r>
          </w:p>
        </w:tc>
      </w:tr>
      <w:tr w:rsidR="000E52B0" w14:paraId="5E4DD2AC" w14:textId="77777777">
        <w:trPr>
          <w:trHeight w:val="4614"/>
        </w:trPr>
        <w:tc>
          <w:tcPr>
            <w:tcW w:w="2372" w:type="dxa"/>
          </w:tcPr>
          <w:p w14:paraId="640DECBC" w14:textId="77777777" w:rsidR="000E52B0" w:rsidRDefault="000E52B0">
            <w:pPr>
              <w:pStyle w:val="TableParagraph"/>
              <w:rPr>
                <w:sz w:val="18"/>
              </w:rPr>
            </w:pPr>
          </w:p>
          <w:p w14:paraId="053FD732" w14:textId="77777777" w:rsidR="000E52B0" w:rsidRDefault="000E52B0">
            <w:pPr>
              <w:pStyle w:val="TableParagraph"/>
              <w:rPr>
                <w:sz w:val="18"/>
              </w:rPr>
            </w:pPr>
          </w:p>
          <w:p w14:paraId="7D2F460B" w14:textId="77777777" w:rsidR="000E52B0" w:rsidRDefault="000E52B0">
            <w:pPr>
              <w:pStyle w:val="TableParagraph"/>
              <w:rPr>
                <w:sz w:val="18"/>
              </w:rPr>
            </w:pPr>
          </w:p>
          <w:p w14:paraId="199F0CA2" w14:textId="77777777" w:rsidR="000E52B0" w:rsidRDefault="000E52B0">
            <w:pPr>
              <w:pStyle w:val="TableParagraph"/>
              <w:rPr>
                <w:sz w:val="18"/>
              </w:rPr>
            </w:pPr>
          </w:p>
          <w:p w14:paraId="05B4676A" w14:textId="77777777" w:rsidR="000E52B0" w:rsidRDefault="000E52B0">
            <w:pPr>
              <w:pStyle w:val="TableParagraph"/>
              <w:rPr>
                <w:sz w:val="18"/>
              </w:rPr>
            </w:pPr>
          </w:p>
          <w:p w14:paraId="74F008B3" w14:textId="77777777" w:rsidR="000E52B0" w:rsidRDefault="000E52B0">
            <w:pPr>
              <w:pStyle w:val="TableParagraph"/>
              <w:rPr>
                <w:sz w:val="18"/>
              </w:rPr>
            </w:pPr>
          </w:p>
          <w:p w14:paraId="378AA7E6" w14:textId="77777777" w:rsidR="000E52B0" w:rsidRDefault="000E52B0">
            <w:pPr>
              <w:pStyle w:val="TableParagraph"/>
              <w:rPr>
                <w:sz w:val="18"/>
              </w:rPr>
            </w:pPr>
          </w:p>
          <w:p w14:paraId="5D57F98C" w14:textId="77777777" w:rsidR="000E52B0" w:rsidRDefault="000E52B0">
            <w:pPr>
              <w:pStyle w:val="TableParagraph"/>
              <w:spacing w:before="117"/>
              <w:rPr>
                <w:sz w:val="18"/>
              </w:rPr>
            </w:pPr>
          </w:p>
          <w:p w14:paraId="130D4548" w14:textId="77777777" w:rsidR="000E52B0" w:rsidRDefault="00F60D74">
            <w:pPr>
              <w:pStyle w:val="TableParagraph"/>
              <w:tabs>
                <w:tab w:val="left" w:pos="1076"/>
              </w:tabs>
              <w:ind w:left="105" w:right="89"/>
              <w:rPr>
                <w:sz w:val="18"/>
              </w:rPr>
            </w:pPr>
            <w:r>
              <w:rPr>
                <w:spacing w:val="-2"/>
                <w:sz w:val="18"/>
              </w:rPr>
              <w:t>Tierras</w:t>
            </w:r>
            <w:r>
              <w:rPr>
                <w:sz w:val="18"/>
              </w:rPr>
              <w:tab/>
            </w:r>
            <w:r>
              <w:rPr>
                <w:spacing w:val="-2"/>
                <w:sz w:val="18"/>
              </w:rPr>
              <w:t xml:space="preserve">comunidades negras, afrocolombianas, </w:t>
            </w:r>
            <w:r>
              <w:rPr>
                <w:sz w:val="18"/>
              </w:rPr>
              <w:t>raizales y palenqueras.</w:t>
            </w:r>
          </w:p>
        </w:tc>
        <w:tc>
          <w:tcPr>
            <w:tcW w:w="2365" w:type="dxa"/>
          </w:tcPr>
          <w:p w14:paraId="7F279153" w14:textId="77777777" w:rsidR="000E52B0" w:rsidRDefault="000E52B0">
            <w:pPr>
              <w:pStyle w:val="TableParagraph"/>
              <w:rPr>
                <w:sz w:val="18"/>
              </w:rPr>
            </w:pPr>
          </w:p>
          <w:p w14:paraId="2BFF29DF" w14:textId="77777777" w:rsidR="000E52B0" w:rsidRDefault="000E52B0">
            <w:pPr>
              <w:pStyle w:val="TableParagraph"/>
              <w:rPr>
                <w:sz w:val="18"/>
              </w:rPr>
            </w:pPr>
          </w:p>
          <w:p w14:paraId="76F60848" w14:textId="77777777" w:rsidR="000E52B0" w:rsidRDefault="000E52B0">
            <w:pPr>
              <w:pStyle w:val="TableParagraph"/>
              <w:rPr>
                <w:sz w:val="18"/>
              </w:rPr>
            </w:pPr>
          </w:p>
          <w:p w14:paraId="57A89BCE" w14:textId="77777777" w:rsidR="000E52B0" w:rsidRDefault="000E52B0">
            <w:pPr>
              <w:pStyle w:val="TableParagraph"/>
              <w:rPr>
                <w:sz w:val="18"/>
              </w:rPr>
            </w:pPr>
          </w:p>
          <w:p w14:paraId="7A6E0C2B" w14:textId="77777777" w:rsidR="000E52B0" w:rsidRDefault="000E52B0">
            <w:pPr>
              <w:pStyle w:val="TableParagraph"/>
              <w:rPr>
                <w:sz w:val="18"/>
              </w:rPr>
            </w:pPr>
          </w:p>
          <w:p w14:paraId="6AD5C1C2" w14:textId="77777777" w:rsidR="000E52B0" w:rsidRDefault="000E52B0">
            <w:pPr>
              <w:pStyle w:val="TableParagraph"/>
              <w:rPr>
                <w:sz w:val="18"/>
              </w:rPr>
            </w:pPr>
          </w:p>
          <w:p w14:paraId="25771E4C" w14:textId="77777777" w:rsidR="000E52B0" w:rsidRDefault="000E52B0">
            <w:pPr>
              <w:pStyle w:val="TableParagraph"/>
              <w:rPr>
                <w:sz w:val="18"/>
              </w:rPr>
            </w:pPr>
          </w:p>
          <w:p w14:paraId="65D215F6" w14:textId="77777777" w:rsidR="000E52B0" w:rsidRDefault="000E52B0">
            <w:pPr>
              <w:pStyle w:val="TableParagraph"/>
              <w:spacing w:before="117"/>
              <w:rPr>
                <w:sz w:val="18"/>
              </w:rPr>
            </w:pPr>
          </w:p>
          <w:p w14:paraId="47A15BBA" w14:textId="77777777" w:rsidR="000E52B0" w:rsidRDefault="00F60D74">
            <w:pPr>
              <w:pStyle w:val="TableParagraph"/>
              <w:spacing w:line="219" w:lineRule="exact"/>
              <w:ind w:left="105"/>
              <w:rPr>
                <w:sz w:val="18"/>
              </w:rPr>
            </w:pPr>
            <w:r>
              <w:rPr>
                <w:spacing w:val="-2"/>
                <w:sz w:val="18"/>
              </w:rPr>
              <w:t>DECRETO</w:t>
            </w:r>
          </w:p>
          <w:p w14:paraId="1448D4DA" w14:textId="77777777" w:rsidR="000E52B0" w:rsidRDefault="00F60D74">
            <w:pPr>
              <w:pStyle w:val="TableParagraph"/>
              <w:tabs>
                <w:tab w:val="left" w:pos="2039"/>
              </w:tabs>
              <w:ind w:left="105" w:right="88"/>
              <w:jc w:val="both"/>
              <w:rPr>
                <w:sz w:val="18"/>
              </w:rPr>
            </w:pPr>
            <w:r>
              <w:rPr>
                <w:spacing w:val="-2"/>
                <w:sz w:val="18"/>
              </w:rPr>
              <w:t>Ministerio</w:t>
            </w:r>
            <w:r>
              <w:rPr>
                <w:sz w:val="18"/>
              </w:rPr>
              <w:tab/>
            </w:r>
            <w:r>
              <w:rPr>
                <w:spacing w:val="-6"/>
                <w:sz w:val="18"/>
              </w:rPr>
              <w:t xml:space="preserve">de </w:t>
            </w:r>
            <w:r>
              <w:rPr>
                <w:sz w:val="18"/>
              </w:rPr>
              <w:t>Agricultura</w:t>
            </w:r>
            <w:r>
              <w:rPr>
                <w:spacing w:val="-12"/>
                <w:sz w:val="18"/>
              </w:rPr>
              <w:t xml:space="preserve"> </w:t>
            </w:r>
            <w:r>
              <w:rPr>
                <w:sz w:val="18"/>
              </w:rPr>
              <w:t>y</w:t>
            </w:r>
            <w:r>
              <w:rPr>
                <w:spacing w:val="-12"/>
                <w:sz w:val="18"/>
              </w:rPr>
              <w:t xml:space="preserve"> </w:t>
            </w:r>
            <w:r>
              <w:rPr>
                <w:sz w:val="18"/>
              </w:rPr>
              <w:t xml:space="preserve">Desarrollo </w:t>
            </w:r>
            <w:r>
              <w:rPr>
                <w:spacing w:val="-2"/>
                <w:sz w:val="18"/>
              </w:rPr>
              <w:t>Rural</w:t>
            </w:r>
          </w:p>
        </w:tc>
        <w:tc>
          <w:tcPr>
            <w:tcW w:w="4057" w:type="dxa"/>
          </w:tcPr>
          <w:p w14:paraId="491A6059" w14:textId="77777777" w:rsidR="000E52B0" w:rsidRDefault="000E52B0">
            <w:pPr>
              <w:pStyle w:val="TableParagraph"/>
              <w:spacing w:before="19"/>
              <w:rPr>
                <w:sz w:val="18"/>
              </w:rPr>
            </w:pPr>
          </w:p>
          <w:p w14:paraId="13EF162B" w14:textId="77777777" w:rsidR="000E52B0" w:rsidRDefault="00F60D74">
            <w:pPr>
              <w:pStyle w:val="TableParagraph"/>
              <w:ind w:left="104" w:right="87"/>
              <w:jc w:val="both"/>
              <w:rPr>
                <w:i/>
                <w:sz w:val="18"/>
              </w:rPr>
            </w:pPr>
            <w:r>
              <w:rPr>
                <w:color w:val="303030"/>
                <w:sz w:val="18"/>
              </w:rPr>
              <w:t xml:space="preserve">En el marco del trabajo articulado con el Ministerio del Interior, el Ministerio de Justicia y el Ministerio de Agricultura se expidió el Decreto 0129 del 2024 </w:t>
            </w:r>
            <w:r>
              <w:rPr>
                <w:i/>
                <w:color w:val="303030"/>
                <w:sz w:val="18"/>
              </w:rPr>
              <w:t>"</w:t>
            </w:r>
            <w:r>
              <w:rPr>
                <w:i/>
                <w:color w:val="151515"/>
                <w:sz w:val="18"/>
              </w:rPr>
              <w:t>Por el cual</w:t>
            </w:r>
            <w:r>
              <w:rPr>
                <w:i/>
                <w:color w:val="151515"/>
                <w:spacing w:val="-5"/>
                <w:sz w:val="18"/>
              </w:rPr>
              <w:t xml:space="preserve"> </w:t>
            </w:r>
            <w:r>
              <w:rPr>
                <w:i/>
                <w:color w:val="151515"/>
                <w:sz w:val="18"/>
              </w:rPr>
              <w:t>se</w:t>
            </w:r>
            <w:r>
              <w:rPr>
                <w:i/>
                <w:color w:val="151515"/>
                <w:spacing w:val="-4"/>
                <w:sz w:val="18"/>
              </w:rPr>
              <w:t xml:space="preserve"> </w:t>
            </w:r>
            <w:r>
              <w:rPr>
                <w:i/>
                <w:color w:val="151515"/>
                <w:sz w:val="18"/>
              </w:rPr>
              <w:t>adiciona</w:t>
            </w:r>
            <w:r>
              <w:rPr>
                <w:i/>
                <w:color w:val="151515"/>
                <w:spacing w:val="-5"/>
                <w:sz w:val="18"/>
              </w:rPr>
              <w:t xml:space="preserve"> </w:t>
            </w:r>
            <w:r>
              <w:rPr>
                <w:i/>
                <w:color w:val="151515"/>
                <w:sz w:val="18"/>
              </w:rPr>
              <w:t>el</w:t>
            </w:r>
            <w:r>
              <w:rPr>
                <w:i/>
                <w:color w:val="151515"/>
                <w:spacing w:val="-4"/>
                <w:sz w:val="18"/>
              </w:rPr>
              <w:t xml:space="preserve"> </w:t>
            </w:r>
            <w:r>
              <w:rPr>
                <w:i/>
                <w:color w:val="151515"/>
                <w:sz w:val="18"/>
              </w:rPr>
              <w:t>Título</w:t>
            </w:r>
            <w:r>
              <w:rPr>
                <w:i/>
                <w:color w:val="151515"/>
                <w:spacing w:val="-4"/>
                <w:sz w:val="18"/>
              </w:rPr>
              <w:t xml:space="preserve"> </w:t>
            </w:r>
            <w:r>
              <w:rPr>
                <w:i/>
                <w:color w:val="151515"/>
                <w:sz w:val="18"/>
              </w:rPr>
              <w:t>25</w:t>
            </w:r>
            <w:r>
              <w:rPr>
                <w:i/>
                <w:color w:val="151515"/>
                <w:spacing w:val="-5"/>
                <w:sz w:val="18"/>
              </w:rPr>
              <w:t xml:space="preserve"> </w:t>
            </w:r>
            <w:r>
              <w:rPr>
                <w:i/>
                <w:color w:val="151515"/>
                <w:sz w:val="18"/>
              </w:rPr>
              <w:t>de</w:t>
            </w:r>
            <w:r>
              <w:rPr>
                <w:i/>
                <w:color w:val="151515"/>
                <w:spacing w:val="-5"/>
                <w:sz w:val="18"/>
              </w:rPr>
              <w:t xml:space="preserve"> </w:t>
            </w:r>
            <w:r>
              <w:rPr>
                <w:i/>
                <w:color w:val="151515"/>
                <w:sz w:val="18"/>
              </w:rPr>
              <w:t>la</w:t>
            </w:r>
            <w:r>
              <w:rPr>
                <w:i/>
                <w:color w:val="151515"/>
                <w:spacing w:val="-5"/>
                <w:sz w:val="18"/>
              </w:rPr>
              <w:t xml:space="preserve"> </w:t>
            </w:r>
            <w:r>
              <w:rPr>
                <w:i/>
                <w:color w:val="151515"/>
                <w:sz w:val="18"/>
              </w:rPr>
              <w:t>Parte</w:t>
            </w:r>
            <w:r>
              <w:rPr>
                <w:i/>
                <w:color w:val="151515"/>
                <w:spacing w:val="-5"/>
                <w:sz w:val="18"/>
              </w:rPr>
              <w:t xml:space="preserve"> </w:t>
            </w:r>
            <w:r>
              <w:rPr>
                <w:i/>
                <w:color w:val="151515"/>
                <w:sz w:val="18"/>
              </w:rPr>
              <w:t>14 del Libro 2 del Decreto 1071 de 2015, Decreto Único Reglamentario del Sector Administrativo Agropecuario, Pesquero y de Desarrollo Rural, en lo relacionado con la reglamentación de los procedimientos de</w:t>
            </w:r>
            <w:r>
              <w:rPr>
                <w:i/>
                <w:color w:val="151515"/>
                <w:spacing w:val="-13"/>
                <w:sz w:val="18"/>
              </w:rPr>
              <w:t xml:space="preserve"> </w:t>
            </w:r>
            <w:r>
              <w:rPr>
                <w:i/>
                <w:color w:val="151515"/>
                <w:sz w:val="18"/>
              </w:rPr>
              <w:t>ampliación</w:t>
            </w:r>
            <w:r>
              <w:rPr>
                <w:i/>
                <w:color w:val="151515"/>
                <w:spacing w:val="-12"/>
                <w:sz w:val="18"/>
              </w:rPr>
              <w:t xml:space="preserve"> </w:t>
            </w:r>
            <w:r>
              <w:rPr>
                <w:i/>
                <w:color w:val="151515"/>
                <w:sz w:val="18"/>
              </w:rPr>
              <w:t>y</w:t>
            </w:r>
            <w:r>
              <w:rPr>
                <w:i/>
                <w:color w:val="151515"/>
                <w:spacing w:val="-14"/>
                <w:sz w:val="18"/>
              </w:rPr>
              <w:t xml:space="preserve"> </w:t>
            </w:r>
            <w:r>
              <w:rPr>
                <w:i/>
                <w:color w:val="151515"/>
                <w:sz w:val="18"/>
              </w:rPr>
              <w:t>saneamiento</w:t>
            </w:r>
            <w:r>
              <w:rPr>
                <w:i/>
                <w:color w:val="151515"/>
                <w:spacing w:val="-13"/>
                <w:sz w:val="18"/>
              </w:rPr>
              <w:t xml:space="preserve"> </w:t>
            </w:r>
            <w:r>
              <w:rPr>
                <w:i/>
                <w:color w:val="151515"/>
                <w:sz w:val="18"/>
              </w:rPr>
              <w:t>de</w:t>
            </w:r>
            <w:r>
              <w:rPr>
                <w:i/>
                <w:color w:val="151515"/>
                <w:spacing w:val="-13"/>
                <w:sz w:val="18"/>
              </w:rPr>
              <w:t xml:space="preserve"> </w:t>
            </w:r>
            <w:r>
              <w:rPr>
                <w:i/>
                <w:color w:val="151515"/>
                <w:sz w:val="18"/>
              </w:rPr>
              <w:t>las</w:t>
            </w:r>
            <w:r>
              <w:rPr>
                <w:i/>
                <w:color w:val="151515"/>
                <w:spacing w:val="-14"/>
                <w:sz w:val="18"/>
              </w:rPr>
              <w:t xml:space="preserve"> </w:t>
            </w:r>
            <w:r>
              <w:rPr>
                <w:i/>
                <w:color w:val="151515"/>
                <w:sz w:val="18"/>
              </w:rPr>
              <w:t>tierras de las comunidades negras</w:t>
            </w:r>
            <w:r>
              <w:rPr>
                <w:i/>
                <w:color w:val="303030"/>
                <w:sz w:val="18"/>
              </w:rPr>
              <w:t xml:space="preserve">, </w:t>
            </w:r>
            <w:r>
              <w:rPr>
                <w:i/>
                <w:color w:val="151515"/>
                <w:sz w:val="18"/>
              </w:rPr>
              <w:t>afrocolombianas, raizales y palenqueras; se</w:t>
            </w:r>
            <w:r>
              <w:rPr>
                <w:i/>
                <w:color w:val="151515"/>
                <w:spacing w:val="-13"/>
                <w:sz w:val="18"/>
              </w:rPr>
              <w:t xml:space="preserve"> </w:t>
            </w:r>
            <w:r>
              <w:rPr>
                <w:i/>
                <w:color w:val="151515"/>
                <w:sz w:val="18"/>
              </w:rPr>
              <w:t>adoptan</w:t>
            </w:r>
            <w:r>
              <w:rPr>
                <w:i/>
                <w:color w:val="151515"/>
                <w:spacing w:val="-12"/>
                <w:sz w:val="18"/>
              </w:rPr>
              <w:t xml:space="preserve"> </w:t>
            </w:r>
            <w:r>
              <w:rPr>
                <w:i/>
                <w:color w:val="151515"/>
                <w:sz w:val="18"/>
              </w:rPr>
              <w:t>mecanismos</w:t>
            </w:r>
            <w:r>
              <w:rPr>
                <w:i/>
                <w:color w:val="151515"/>
                <w:spacing w:val="-13"/>
                <w:sz w:val="18"/>
              </w:rPr>
              <w:t xml:space="preserve"> </w:t>
            </w:r>
            <w:r>
              <w:rPr>
                <w:i/>
                <w:color w:val="151515"/>
                <w:sz w:val="18"/>
              </w:rPr>
              <w:t>para</w:t>
            </w:r>
            <w:r>
              <w:rPr>
                <w:i/>
                <w:color w:val="151515"/>
                <w:spacing w:val="-13"/>
                <w:sz w:val="18"/>
              </w:rPr>
              <w:t xml:space="preserve"> </w:t>
            </w:r>
            <w:r>
              <w:rPr>
                <w:i/>
                <w:color w:val="151515"/>
                <w:sz w:val="18"/>
              </w:rPr>
              <w:t>la</w:t>
            </w:r>
            <w:r>
              <w:rPr>
                <w:i/>
                <w:color w:val="151515"/>
                <w:spacing w:val="-13"/>
                <w:sz w:val="18"/>
              </w:rPr>
              <w:t xml:space="preserve"> </w:t>
            </w:r>
            <w:r>
              <w:rPr>
                <w:i/>
                <w:color w:val="151515"/>
                <w:sz w:val="18"/>
              </w:rPr>
              <w:t>protección y seguridad jurídica de los territorios ocupados y poseídos ancestral y/o tradicionalmente por las comunidades negras</w:t>
            </w:r>
            <w:r>
              <w:rPr>
                <w:i/>
                <w:color w:val="303030"/>
                <w:sz w:val="18"/>
              </w:rPr>
              <w:t xml:space="preserve">, </w:t>
            </w:r>
            <w:r>
              <w:rPr>
                <w:i/>
                <w:color w:val="151515"/>
                <w:sz w:val="18"/>
              </w:rPr>
              <w:t>afrocolombianas, raizales y palenqueras</w:t>
            </w:r>
            <w:r>
              <w:rPr>
                <w:i/>
                <w:color w:val="151515"/>
                <w:spacing w:val="54"/>
                <w:sz w:val="18"/>
              </w:rPr>
              <w:t xml:space="preserve">   </w:t>
            </w:r>
            <w:r>
              <w:rPr>
                <w:i/>
                <w:color w:val="151515"/>
                <w:sz w:val="18"/>
              </w:rPr>
              <w:t>y</w:t>
            </w:r>
            <w:r>
              <w:rPr>
                <w:i/>
                <w:color w:val="151515"/>
                <w:spacing w:val="54"/>
                <w:sz w:val="18"/>
              </w:rPr>
              <w:t xml:space="preserve">   </w:t>
            </w:r>
            <w:r>
              <w:rPr>
                <w:i/>
                <w:color w:val="151515"/>
                <w:sz w:val="18"/>
              </w:rPr>
              <w:t>se</w:t>
            </w:r>
            <w:r>
              <w:rPr>
                <w:i/>
                <w:color w:val="151515"/>
                <w:spacing w:val="55"/>
                <w:sz w:val="18"/>
              </w:rPr>
              <w:t xml:space="preserve">   </w:t>
            </w:r>
            <w:r>
              <w:rPr>
                <w:i/>
                <w:color w:val="151515"/>
                <w:sz w:val="18"/>
              </w:rPr>
              <w:t>dictan</w:t>
            </w:r>
            <w:r>
              <w:rPr>
                <w:i/>
                <w:color w:val="151515"/>
                <w:spacing w:val="55"/>
                <w:sz w:val="18"/>
              </w:rPr>
              <w:t xml:space="preserve">   </w:t>
            </w:r>
            <w:r>
              <w:rPr>
                <w:i/>
                <w:color w:val="151515"/>
                <w:spacing w:val="-2"/>
                <w:sz w:val="18"/>
              </w:rPr>
              <w:t>otras</w:t>
            </w:r>
          </w:p>
          <w:p w14:paraId="56322F4F" w14:textId="77777777" w:rsidR="000E52B0" w:rsidRDefault="00F60D74">
            <w:pPr>
              <w:pStyle w:val="TableParagraph"/>
              <w:spacing w:before="1" w:line="199" w:lineRule="exact"/>
              <w:ind w:left="104"/>
              <w:rPr>
                <w:i/>
                <w:sz w:val="18"/>
              </w:rPr>
            </w:pPr>
            <w:r>
              <w:rPr>
                <w:i/>
                <w:color w:val="151515"/>
                <w:spacing w:val="-2"/>
                <w:sz w:val="18"/>
              </w:rPr>
              <w:t>disposiciones".</w:t>
            </w:r>
          </w:p>
        </w:tc>
      </w:tr>
      <w:tr w:rsidR="000E52B0" w14:paraId="42CB5E76" w14:textId="77777777">
        <w:trPr>
          <w:trHeight w:val="2032"/>
        </w:trPr>
        <w:tc>
          <w:tcPr>
            <w:tcW w:w="2372" w:type="dxa"/>
          </w:tcPr>
          <w:p w14:paraId="6A97FCAE" w14:textId="77777777" w:rsidR="000E52B0" w:rsidRDefault="000E52B0">
            <w:pPr>
              <w:pStyle w:val="TableParagraph"/>
              <w:rPr>
                <w:sz w:val="18"/>
              </w:rPr>
            </w:pPr>
          </w:p>
          <w:p w14:paraId="63C58423" w14:textId="77777777" w:rsidR="000E52B0" w:rsidRDefault="000E52B0">
            <w:pPr>
              <w:pStyle w:val="TableParagraph"/>
              <w:rPr>
                <w:sz w:val="18"/>
              </w:rPr>
            </w:pPr>
          </w:p>
          <w:p w14:paraId="2B6B2641" w14:textId="77777777" w:rsidR="000E52B0" w:rsidRDefault="000E52B0">
            <w:pPr>
              <w:pStyle w:val="TableParagraph"/>
              <w:spacing w:before="40"/>
              <w:rPr>
                <w:sz w:val="18"/>
              </w:rPr>
            </w:pPr>
          </w:p>
          <w:p w14:paraId="48A768E6" w14:textId="77777777" w:rsidR="000E52B0" w:rsidRDefault="00F60D74">
            <w:pPr>
              <w:pStyle w:val="TableParagraph"/>
              <w:spacing w:before="1"/>
              <w:ind w:left="105" w:right="89"/>
              <w:jc w:val="both"/>
              <w:rPr>
                <w:sz w:val="18"/>
              </w:rPr>
            </w:pPr>
            <w:r>
              <w:rPr>
                <w:sz w:val="18"/>
              </w:rPr>
              <w:t xml:space="preserve">Delega participación Consejo Nacional de Políticas Públicas de la </w:t>
            </w:r>
            <w:r>
              <w:rPr>
                <w:spacing w:val="-2"/>
                <w:sz w:val="18"/>
              </w:rPr>
              <w:t>Juventud</w:t>
            </w:r>
          </w:p>
        </w:tc>
        <w:tc>
          <w:tcPr>
            <w:tcW w:w="2365" w:type="dxa"/>
          </w:tcPr>
          <w:p w14:paraId="59701EDD" w14:textId="77777777" w:rsidR="000E52B0" w:rsidRDefault="000E52B0">
            <w:pPr>
              <w:pStyle w:val="TableParagraph"/>
              <w:spacing w:before="19"/>
              <w:rPr>
                <w:sz w:val="18"/>
              </w:rPr>
            </w:pPr>
          </w:p>
          <w:p w14:paraId="3D5CDFEC" w14:textId="77777777" w:rsidR="000E52B0" w:rsidRDefault="00F60D74">
            <w:pPr>
              <w:pStyle w:val="TableParagraph"/>
              <w:spacing w:before="1"/>
              <w:ind w:left="105"/>
              <w:rPr>
                <w:sz w:val="18"/>
              </w:rPr>
            </w:pPr>
            <w:r>
              <w:rPr>
                <w:spacing w:val="-2"/>
                <w:sz w:val="18"/>
              </w:rPr>
              <w:t>DECRETO</w:t>
            </w:r>
          </w:p>
          <w:p w14:paraId="2F074032" w14:textId="77777777" w:rsidR="000E52B0" w:rsidRDefault="000E52B0">
            <w:pPr>
              <w:pStyle w:val="TableParagraph"/>
              <w:spacing w:before="20"/>
              <w:rPr>
                <w:sz w:val="18"/>
              </w:rPr>
            </w:pPr>
          </w:p>
          <w:p w14:paraId="44368160" w14:textId="77777777" w:rsidR="000E52B0" w:rsidRDefault="00F60D74">
            <w:pPr>
              <w:pStyle w:val="TableParagraph"/>
              <w:tabs>
                <w:tab w:val="left" w:pos="1504"/>
                <w:tab w:val="left" w:pos="1646"/>
                <w:tab w:val="left" w:pos="2099"/>
              </w:tabs>
              <w:spacing w:before="1"/>
              <w:ind w:left="105" w:right="87"/>
              <w:rPr>
                <w:sz w:val="18"/>
              </w:rPr>
            </w:pPr>
            <w:r>
              <w:rPr>
                <w:spacing w:val="-2"/>
                <w:sz w:val="18"/>
              </w:rPr>
              <w:t>Departamento Administrativo</w:t>
            </w:r>
            <w:r>
              <w:rPr>
                <w:sz w:val="18"/>
              </w:rPr>
              <w:tab/>
            </w:r>
            <w:r>
              <w:rPr>
                <w:sz w:val="18"/>
              </w:rPr>
              <w:tab/>
            </w:r>
            <w:r>
              <w:rPr>
                <w:spacing w:val="-6"/>
                <w:sz w:val="18"/>
              </w:rPr>
              <w:t>de</w:t>
            </w:r>
            <w:r>
              <w:rPr>
                <w:sz w:val="18"/>
              </w:rPr>
              <w:tab/>
            </w:r>
            <w:r>
              <w:rPr>
                <w:spacing w:val="-6"/>
                <w:sz w:val="18"/>
              </w:rPr>
              <w:t xml:space="preserve">la </w:t>
            </w:r>
            <w:r>
              <w:rPr>
                <w:spacing w:val="-2"/>
                <w:sz w:val="18"/>
              </w:rPr>
              <w:t>Presidencia</w:t>
            </w:r>
            <w:r>
              <w:rPr>
                <w:sz w:val="18"/>
              </w:rPr>
              <w:tab/>
            </w:r>
            <w:r>
              <w:rPr>
                <w:spacing w:val="-6"/>
                <w:sz w:val="18"/>
              </w:rPr>
              <w:t>de</w:t>
            </w:r>
            <w:r>
              <w:rPr>
                <w:sz w:val="18"/>
              </w:rPr>
              <w:tab/>
            </w:r>
            <w:r>
              <w:rPr>
                <w:spacing w:val="-61"/>
                <w:sz w:val="18"/>
              </w:rPr>
              <w:t xml:space="preserve"> </w:t>
            </w:r>
            <w:r>
              <w:rPr>
                <w:spacing w:val="-4"/>
                <w:sz w:val="18"/>
              </w:rPr>
              <w:t xml:space="preserve">la </w:t>
            </w:r>
            <w:r>
              <w:rPr>
                <w:spacing w:val="-2"/>
                <w:sz w:val="18"/>
              </w:rPr>
              <w:t>República</w:t>
            </w:r>
          </w:p>
        </w:tc>
        <w:tc>
          <w:tcPr>
            <w:tcW w:w="4057" w:type="dxa"/>
          </w:tcPr>
          <w:p w14:paraId="7A0E1717" w14:textId="77777777" w:rsidR="000E52B0" w:rsidRDefault="000E52B0">
            <w:pPr>
              <w:pStyle w:val="TableParagraph"/>
              <w:spacing w:before="151"/>
              <w:rPr>
                <w:sz w:val="18"/>
              </w:rPr>
            </w:pPr>
          </w:p>
          <w:p w14:paraId="0998B7AF" w14:textId="77777777" w:rsidR="000E52B0" w:rsidRDefault="00F60D74">
            <w:pPr>
              <w:pStyle w:val="TableParagraph"/>
              <w:spacing w:before="1"/>
              <w:ind w:left="104" w:right="88"/>
              <w:jc w:val="both"/>
              <w:rPr>
                <w:sz w:val="18"/>
              </w:rPr>
            </w:pPr>
            <w:r>
              <w:rPr>
                <w:color w:val="303030"/>
                <w:sz w:val="18"/>
              </w:rPr>
              <w:t xml:space="preserve">Por medio del Decreto 2188 de 2023 "Por el cual se delega la participación del </w:t>
            </w:r>
            <w:proofErr w:type="gramStart"/>
            <w:r>
              <w:rPr>
                <w:color w:val="303030"/>
                <w:sz w:val="18"/>
              </w:rPr>
              <w:t>Presidente</w:t>
            </w:r>
            <w:proofErr w:type="gramEnd"/>
            <w:r>
              <w:rPr>
                <w:color w:val="303030"/>
                <w:spacing w:val="-8"/>
                <w:sz w:val="18"/>
              </w:rPr>
              <w:t xml:space="preserve"> </w:t>
            </w:r>
            <w:r>
              <w:rPr>
                <w:color w:val="303030"/>
                <w:sz w:val="18"/>
              </w:rPr>
              <w:t>de</w:t>
            </w:r>
            <w:r>
              <w:rPr>
                <w:color w:val="303030"/>
                <w:spacing w:val="-8"/>
                <w:sz w:val="18"/>
              </w:rPr>
              <w:t xml:space="preserve"> </w:t>
            </w:r>
            <w:r>
              <w:rPr>
                <w:color w:val="303030"/>
                <w:sz w:val="18"/>
              </w:rPr>
              <w:t>la</w:t>
            </w:r>
            <w:r>
              <w:rPr>
                <w:color w:val="303030"/>
                <w:spacing w:val="-7"/>
                <w:sz w:val="18"/>
              </w:rPr>
              <w:t xml:space="preserve"> </w:t>
            </w:r>
            <w:r>
              <w:rPr>
                <w:color w:val="303030"/>
                <w:sz w:val="18"/>
              </w:rPr>
              <w:t>República</w:t>
            </w:r>
            <w:r>
              <w:rPr>
                <w:color w:val="303030"/>
                <w:spacing w:val="-8"/>
                <w:sz w:val="18"/>
              </w:rPr>
              <w:t xml:space="preserve"> </w:t>
            </w:r>
            <w:r>
              <w:rPr>
                <w:color w:val="303030"/>
                <w:sz w:val="18"/>
              </w:rPr>
              <w:t>de</w:t>
            </w:r>
            <w:r>
              <w:rPr>
                <w:color w:val="303030"/>
                <w:spacing w:val="-8"/>
                <w:sz w:val="18"/>
              </w:rPr>
              <w:t xml:space="preserve"> </w:t>
            </w:r>
            <w:r>
              <w:rPr>
                <w:color w:val="303030"/>
                <w:sz w:val="18"/>
              </w:rPr>
              <w:t>Colombia</w:t>
            </w:r>
            <w:r>
              <w:rPr>
                <w:color w:val="303030"/>
                <w:spacing w:val="-9"/>
                <w:sz w:val="18"/>
              </w:rPr>
              <w:t xml:space="preserve"> </w:t>
            </w:r>
            <w:r>
              <w:rPr>
                <w:color w:val="303030"/>
                <w:sz w:val="18"/>
              </w:rPr>
              <w:t>en el</w:t>
            </w:r>
            <w:r>
              <w:rPr>
                <w:color w:val="303030"/>
                <w:spacing w:val="-16"/>
                <w:sz w:val="18"/>
              </w:rPr>
              <w:t xml:space="preserve"> </w:t>
            </w:r>
            <w:r>
              <w:rPr>
                <w:color w:val="303030"/>
                <w:sz w:val="18"/>
              </w:rPr>
              <w:t>Consejo</w:t>
            </w:r>
            <w:r>
              <w:rPr>
                <w:color w:val="303030"/>
                <w:spacing w:val="-16"/>
                <w:sz w:val="18"/>
              </w:rPr>
              <w:t xml:space="preserve"> </w:t>
            </w:r>
            <w:r>
              <w:rPr>
                <w:color w:val="303030"/>
                <w:sz w:val="18"/>
              </w:rPr>
              <w:t>Nacional</w:t>
            </w:r>
            <w:r>
              <w:rPr>
                <w:color w:val="303030"/>
                <w:spacing w:val="-16"/>
                <w:sz w:val="18"/>
              </w:rPr>
              <w:t xml:space="preserve"> </w:t>
            </w:r>
            <w:r>
              <w:rPr>
                <w:color w:val="303030"/>
                <w:sz w:val="18"/>
              </w:rPr>
              <w:t>de</w:t>
            </w:r>
            <w:r>
              <w:rPr>
                <w:color w:val="303030"/>
                <w:spacing w:val="-16"/>
                <w:sz w:val="18"/>
              </w:rPr>
              <w:t xml:space="preserve"> </w:t>
            </w:r>
            <w:r>
              <w:rPr>
                <w:color w:val="303030"/>
                <w:sz w:val="18"/>
              </w:rPr>
              <w:t>Políticas</w:t>
            </w:r>
            <w:r>
              <w:rPr>
                <w:color w:val="303030"/>
                <w:spacing w:val="-16"/>
                <w:sz w:val="18"/>
              </w:rPr>
              <w:t xml:space="preserve"> </w:t>
            </w:r>
            <w:r>
              <w:rPr>
                <w:color w:val="303030"/>
                <w:sz w:val="18"/>
              </w:rPr>
              <w:t>Públicas</w:t>
            </w:r>
            <w:r>
              <w:rPr>
                <w:color w:val="303030"/>
                <w:spacing w:val="-15"/>
                <w:sz w:val="18"/>
              </w:rPr>
              <w:t xml:space="preserve"> </w:t>
            </w:r>
            <w:r>
              <w:rPr>
                <w:color w:val="303030"/>
                <w:sz w:val="18"/>
              </w:rPr>
              <w:t xml:space="preserve">de la Juventud" se delegó la participación en el Consejo a la </w:t>
            </w:r>
            <w:proofErr w:type="gramStart"/>
            <w:r>
              <w:rPr>
                <w:color w:val="303030"/>
                <w:sz w:val="18"/>
              </w:rPr>
              <w:t>Ministra</w:t>
            </w:r>
            <w:proofErr w:type="gramEnd"/>
            <w:r>
              <w:rPr>
                <w:color w:val="303030"/>
                <w:sz w:val="18"/>
              </w:rPr>
              <w:t xml:space="preserve"> de Igualdad y </w:t>
            </w:r>
            <w:r>
              <w:rPr>
                <w:color w:val="303030"/>
                <w:spacing w:val="-2"/>
                <w:sz w:val="18"/>
              </w:rPr>
              <w:t>Equidad.</w:t>
            </w:r>
          </w:p>
        </w:tc>
      </w:tr>
    </w:tbl>
    <w:p w14:paraId="0EF39CF4" w14:textId="77777777" w:rsidR="000E52B0" w:rsidRDefault="000E52B0">
      <w:pPr>
        <w:pStyle w:val="Textoindependiente"/>
        <w:spacing w:before="188"/>
        <w:ind w:left="0"/>
        <w:rPr>
          <w:sz w:val="26"/>
        </w:rPr>
      </w:pPr>
    </w:p>
    <w:p w14:paraId="32D8E614" w14:textId="77777777" w:rsidR="000E52B0" w:rsidRDefault="00F60D74">
      <w:pPr>
        <w:pStyle w:val="Ttulo2"/>
        <w:ind w:right="724"/>
      </w:pPr>
      <w:bookmarkStart w:id="203" w:name="_bookmark203"/>
      <w:bookmarkEnd w:id="203"/>
      <w:r>
        <w:rPr>
          <w:color w:val="B3176C"/>
        </w:rPr>
        <w:t>Instancias de asesoría, coordinación y articulación de las que hace parte el Ministerio de Igualdad y Equidad</w:t>
      </w:r>
    </w:p>
    <w:p w14:paraId="45FF51E6" w14:textId="77777777" w:rsidR="000E52B0" w:rsidRDefault="00F60D74">
      <w:pPr>
        <w:pStyle w:val="Textoindependiente"/>
        <w:spacing w:before="242" w:line="291" w:lineRule="exact"/>
        <w:jc w:val="both"/>
      </w:pPr>
      <w:r>
        <w:t>La</w:t>
      </w:r>
      <w:r>
        <w:rPr>
          <w:spacing w:val="-15"/>
        </w:rPr>
        <w:t xml:space="preserve"> </w:t>
      </w:r>
      <w:r>
        <w:t>Igualdad</w:t>
      </w:r>
      <w:r>
        <w:rPr>
          <w:spacing w:val="-11"/>
        </w:rPr>
        <w:t xml:space="preserve"> </w:t>
      </w:r>
      <w:r>
        <w:t>y</w:t>
      </w:r>
      <w:r>
        <w:rPr>
          <w:spacing w:val="-10"/>
        </w:rPr>
        <w:t xml:space="preserve"> </w:t>
      </w:r>
      <w:r>
        <w:t>la</w:t>
      </w:r>
      <w:r>
        <w:rPr>
          <w:spacing w:val="-11"/>
        </w:rPr>
        <w:t xml:space="preserve"> </w:t>
      </w:r>
      <w:r>
        <w:t>Equidad</w:t>
      </w:r>
      <w:r>
        <w:rPr>
          <w:spacing w:val="-11"/>
        </w:rPr>
        <w:t xml:space="preserve"> </w:t>
      </w:r>
      <w:r>
        <w:t>son</w:t>
      </w:r>
      <w:r>
        <w:rPr>
          <w:spacing w:val="-9"/>
        </w:rPr>
        <w:t xml:space="preserve"> </w:t>
      </w:r>
      <w:r>
        <w:t>tema</w:t>
      </w:r>
      <w:r>
        <w:rPr>
          <w:spacing w:val="-10"/>
        </w:rPr>
        <w:t xml:space="preserve"> </w:t>
      </w:r>
      <w:r>
        <w:t>de</w:t>
      </w:r>
      <w:r>
        <w:rPr>
          <w:spacing w:val="-11"/>
        </w:rPr>
        <w:t xml:space="preserve"> </w:t>
      </w:r>
      <w:r>
        <w:t>interés</w:t>
      </w:r>
      <w:r>
        <w:rPr>
          <w:spacing w:val="-10"/>
        </w:rPr>
        <w:t xml:space="preserve"> </w:t>
      </w:r>
      <w:r>
        <w:t>nacional</w:t>
      </w:r>
      <w:r>
        <w:rPr>
          <w:spacing w:val="-12"/>
        </w:rPr>
        <w:t xml:space="preserve"> </w:t>
      </w:r>
      <w:r>
        <w:t>y</w:t>
      </w:r>
      <w:r>
        <w:rPr>
          <w:spacing w:val="-6"/>
        </w:rPr>
        <w:t xml:space="preserve"> </w:t>
      </w:r>
      <w:r>
        <w:t>general.</w:t>
      </w:r>
      <w:r>
        <w:rPr>
          <w:spacing w:val="-13"/>
        </w:rPr>
        <w:t xml:space="preserve"> </w:t>
      </w:r>
      <w:r>
        <w:t>El</w:t>
      </w:r>
      <w:r>
        <w:rPr>
          <w:spacing w:val="-10"/>
        </w:rPr>
        <w:t xml:space="preserve"> </w:t>
      </w:r>
      <w:r>
        <w:rPr>
          <w:spacing w:val="-2"/>
        </w:rPr>
        <w:t>artículo</w:t>
      </w:r>
    </w:p>
    <w:p w14:paraId="6EF5CD14" w14:textId="77777777" w:rsidR="000E52B0" w:rsidRDefault="00F60D74">
      <w:pPr>
        <w:pStyle w:val="Textoindependiente"/>
        <w:ind w:right="717"/>
        <w:jc w:val="both"/>
      </w:pPr>
      <w:r>
        <w:t>71 del Plan Nacional de Desarrollo, enmarca al Sistema Nacional de Igualdad y Equidad, como un sistema administrativo necesario para la materialización del segundo eje transformador del mismo “Seguridad Humana y Justicia Social”, a partir de este. La creación del Sector Administrativo de Igualdad y Equidad implico establecer criterios de identificación para la armonización, articulación, coordinación de la respuesta</w:t>
      </w:r>
      <w:r>
        <w:rPr>
          <w:spacing w:val="-12"/>
        </w:rPr>
        <w:t xml:space="preserve"> </w:t>
      </w:r>
      <w:r>
        <w:t>estatal</w:t>
      </w:r>
      <w:r>
        <w:rPr>
          <w:spacing w:val="-9"/>
        </w:rPr>
        <w:t xml:space="preserve"> </w:t>
      </w:r>
      <w:r>
        <w:t>tanto</w:t>
      </w:r>
      <w:r>
        <w:rPr>
          <w:spacing w:val="-9"/>
        </w:rPr>
        <w:t xml:space="preserve"> </w:t>
      </w:r>
      <w:r>
        <w:t>para</w:t>
      </w:r>
      <w:r>
        <w:rPr>
          <w:spacing w:val="-10"/>
        </w:rPr>
        <w:t xml:space="preserve"> </w:t>
      </w:r>
      <w:r>
        <w:t>el</w:t>
      </w:r>
      <w:r>
        <w:rPr>
          <w:spacing w:val="-11"/>
        </w:rPr>
        <w:t xml:space="preserve"> </w:t>
      </w:r>
      <w:r>
        <w:t>cierre</w:t>
      </w:r>
      <w:r>
        <w:rPr>
          <w:spacing w:val="-8"/>
        </w:rPr>
        <w:t xml:space="preserve"> </w:t>
      </w:r>
      <w:r>
        <w:t>de</w:t>
      </w:r>
      <w:r>
        <w:rPr>
          <w:spacing w:val="-11"/>
        </w:rPr>
        <w:t xml:space="preserve"> </w:t>
      </w:r>
      <w:r>
        <w:t>brechas</w:t>
      </w:r>
      <w:r>
        <w:rPr>
          <w:spacing w:val="-6"/>
        </w:rPr>
        <w:t xml:space="preserve"> </w:t>
      </w:r>
      <w:r>
        <w:t>que</w:t>
      </w:r>
      <w:r>
        <w:rPr>
          <w:spacing w:val="-8"/>
        </w:rPr>
        <w:t xml:space="preserve"> </w:t>
      </w:r>
      <w:r>
        <w:t>va</w:t>
      </w:r>
      <w:r>
        <w:rPr>
          <w:spacing w:val="-11"/>
        </w:rPr>
        <w:t xml:space="preserve"> </w:t>
      </w:r>
      <w:r>
        <w:t>de</w:t>
      </w:r>
      <w:r>
        <w:rPr>
          <w:spacing w:val="-9"/>
        </w:rPr>
        <w:t xml:space="preserve"> </w:t>
      </w:r>
      <w:r>
        <w:t>la</w:t>
      </w:r>
      <w:r>
        <w:rPr>
          <w:spacing w:val="-9"/>
        </w:rPr>
        <w:t xml:space="preserve"> </w:t>
      </w:r>
      <w:r>
        <w:t>mano</w:t>
      </w:r>
      <w:r>
        <w:rPr>
          <w:spacing w:val="-8"/>
        </w:rPr>
        <w:t xml:space="preserve"> </w:t>
      </w:r>
      <w:r>
        <w:t>con</w:t>
      </w:r>
      <w:r>
        <w:rPr>
          <w:spacing w:val="-10"/>
        </w:rPr>
        <w:t xml:space="preserve"> </w:t>
      </w:r>
      <w:r>
        <w:rPr>
          <w:spacing w:val="-5"/>
        </w:rPr>
        <w:t>las</w:t>
      </w:r>
    </w:p>
    <w:p w14:paraId="66C96103" w14:textId="77777777" w:rsidR="000E52B0" w:rsidRDefault="000E52B0">
      <w:pPr>
        <w:pStyle w:val="Textoindependiente"/>
        <w:jc w:val="both"/>
        <w:sectPr w:rsidR="000E52B0">
          <w:type w:val="continuous"/>
          <w:pgSz w:w="11910" w:h="16840"/>
          <w:pgMar w:top="1400" w:right="720" w:bottom="1180" w:left="720" w:header="0" w:footer="995" w:gutter="0"/>
          <w:cols w:space="720"/>
        </w:sectPr>
      </w:pPr>
    </w:p>
    <w:p w14:paraId="569BADE5" w14:textId="77777777" w:rsidR="000E52B0" w:rsidRDefault="00F60D74">
      <w:pPr>
        <w:pStyle w:val="Textoindependiente"/>
        <w:spacing w:before="83"/>
        <w:ind w:right="714"/>
        <w:jc w:val="both"/>
      </w:pPr>
      <w:r>
        <w:lastRenderedPageBreak/>
        <w:t>condiciones para la garantía para el goce y ejercicio del derecho a la Igualdad. En el ejercicio de diagnóstico para la constitución del Ministerio de Igualdad y Equidad, se propusieron tres criterios para aproximar los tipos de relacionamientos del Sector Igualdad y Equidad con los demás sectores administrativos.</w:t>
      </w:r>
    </w:p>
    <w:p w14:paraId="2D6B030F" w14:textId="77777777" w:rsidR="000E52B0" w:rsidRDefault="00F60D74">
      <w:pPr>
        <w:spacing w:before="238"/>
        <w:ind w:left="720" w:right="712" w:firstLine="84"/>
        <w:jc w:val="both"/>
        <w:rPr>
          <w:sz w:val="24"/>
        </w:rPr>
      </w:pPr>
      <w:r>
        <w:rPr>
          <w:sz w:val="24"/>
        </w:rPr>
        <w:t>El</w:t>
      </w:r>
      <w:r>
        <w:rPr>
          <w:spacing w:val="-6"/>
          <w:sz w:val="24"/>
        </w:rPr>
        <w:t xml:space="preserve"> </w:t>
      </w:r>
      <w:r>
        <w:rPr>
          <w:sz w:val="24"/>
        </w:rPr>
        <w:t>primero,</w:t>
      </w:r>
      <w:r>
        <w:rPr>
          <w:spacing w:val="-6"/>
          <w:sz w:val="24"/>
        </w:rPr>
        <w:t xml:space="preserve"> </w:t>
      </w:r>
      <w:r>
        <w:rPr>
          <w:sz w:val="24"/>
        </w:rPr>
        <w:t>identifica</w:t>
      </w:r>
      <w:r>
        <w:rPr>
          <w:spacing w:val="-5"/>
          <w:sz w:val="24"/>
        </w:rPr>
        <w:t xml:space="preserve"> </w:t>
      </w:r>
      <w:r>
        <w:rPr>
          <w:sz w:val="24"/>
        </w:rPr>
        <w:t>los</w:t>
      </w:r>
      <w:r>
        <w:rPr>
          <w:spacing w:val="-5"/>
          <w:sz w:val="24"/>
        </w:rPr>
        <w:t xml:space="preserve"> </w:t>
      </w:r>
      <w:r>
        <w:rPr>
          <w:sz w:val="24"/>
        </w:rPr>
        <w:t>sectores</w:t>
      </w:r>
      <w:r>
        <w:rPr>
          <w:spacing w:val="-6"/>
          <w:sz w:val="24"/>
        </w:rPr>
        <w:t xml:space="preserve"> </w:t>
      </w:r>
      <w:r>
        <w:rPr>
          <w:sz w:val="24"/>
        </w:rPr>
        <w:t>con</w:t>
      </w:r>
      <w:r>
        <w:rPr>
          <w:spacing w:val="-5"/>
          <w:sz w:val="24"/>
        </w:rPr>
        <w:t xml:space="preserve"> </w:t>
      </w:r>
      <w:r>
        <w:rPr>
          <w:sz w:val="24"/>
        </w:rPr>
        <w:t>los</w:t>
      </w:r>
      <w:r>
        <w:rPr>
          <w:spacing w:val="-6"/>
          <w:sz w:val="24"/>
        </w:rPr>
        <w:t xml:space="preserve"> </w:t>
      </w:r>
      <w:r>
        <w:rPr>
          <w:sz w:val="24"/>
        </w:rPr>
        <w:t>que</w:t>
      </w:r>
      <w:r>
        <w:rPr>
          <w:spacing w:val="-4"/>
          <w:sz w:val="24"/>
        </w:rPr>
        <w:t xml:space="preserve"> </w:t>
      </w:r>
      <w:r>
        <w:rPr>
          <w:sz w:val="24"/>
        </w:rPr>
        <w:t>es</w:t>
      </w:r>
      <w:r>
        <w:rPr>
          <w:spacing w:val="-6"/>
          <w:sz w:val="24"/>
        </w:rPr>
        <w:t xml:space="preserve"> </w:t>
      </w:r>
      <w:r>
        <w:rPr>
          <w:sz w:val="24"/>
        </w:rPr>
        <w:t>necesario</w:t>
      </w:r>
      <w:r>
        <w:rPr>
          <w:spacing w:val="-2"/>
          <w:sz w:val="24"/>
        </w:rPr>
        <w:t xml:space="preserve"> </w:t>
      </w:r>
      <w:r>
        <w:rPr>
          <w:i/>
          <w:sz w:val="24"/>
        </w:rPr>
        <w:t>definir</w:t>
      </w:r>
      <w:r>
        <w:rPr>
          <w:i/>
          <w:spacing w:val="-4"/>
          <w:sz w:val="24"/>
        </w:rPr>
        <w:t xml:space="preserve"> </w:t>
      </w:r>
      <w:r>
        <w:rPr>
          <w:i/>
          <w:sz w:val="24"/>
        </w:rPr>
        <w:t xml:space="preserve">arreglos institucionales </w:t>
      </w:r>
      <w:r>
        <w:rPr>
          <w:sz w:val="24"/>
        </w:rPr>
        <w:t xml:space="preserve">para evitar duplicidad de funciones, eliminar competencias y garantizar el principio de eficiencia y eficacia de la función pública. El segundo, identifica los sectores con quienes es necesario </w:t>
      </w:r>
      <w:r>
        <w:rPr>
          <w:i/>
          <w:sz w:val="24"/>
        </w:rPr>
        <w:t>definir los escenarios, instrumentos, mecanismos de articulación, coordinación o traslado</w:t>
      </w:r>
      <w:r>
        <w:rPr>
          <w:i/>
          <w:spacing w:val="-4"/>
          <w:sz w:val="24"/>
        </w:rPr>
        <w:t xml:space="preserve"> </w:t>
      </w:r>
      <w:r>
        <w:rPr>
          <w:i/>
          <w:sz w:val="24"/>
        </w:rPr>
        <w:t>de</w:t>
      </w:r>
      <w:r>
        <w:rPr>
          <w:i/>
          <w:spacing w:val="-5"/>
          <w:sz w:val="24"/>
        </w:rPr>
        <w:t xml:space="preserve"> </w:t>
      </w:r>
      <w:r>
        <w:rPr>
          <w:i/>
          <w:sz w:val="24"/>
        </w:rPr>
        <w:t>funciones</w:t>
      </w:r>
      <w:r>
        <w:rPr>
          <w:i/>
          <w:spacing w:val="-5"/>
          <w:sz w:val="24"/>
        </w:rPr>
        <w:t xml:space="preserve"> </w:t>
      </w:r>
      <w:r>
        <w:rPr>
          <w:i/>
          <w:sz w:val="24"/>
        </w:rPr>
        <w:t>porque</w:t>
      </w:r>
      <w:r>
        <w:rPr>
          <w:i/>
          <w:spacing w:val="-4"/>
          <w:sz w:val="24"/>
        </w:rPr>
        <w:t xml:space="preserve"> </w:t>
      </w:r>
      <w:r>
        <w:rPr>
          <w:i/>
          <w:sz w:val="24"/>
        </w:rPr>
        <w:t>tienen</w:t>
      </w:r>
      <w:r>
        <w:rPr>
          <w:i/>
          <w:spacing w:val="-5"/>
          <w:sz w:val="24"/>
        </w:rPr>
        <w:t xml:space="preserve"> </w:t>
      </w:r>
      <w:r>
        <w:rPr>
          <w:i/>
          <w:sz w:val="24"/>
        </w:rPr>
        <w:t>oferta</w:t>
      </w:r>
      <w:r>
        <w:rPr>
          <w:i/>
          <w:spacing w:val="-4"/>
          <w:sz w:val="24"/>
        </w:rPr>
        <w:t xml:space="preserve"> </w:t>
      </w:r>
      <w:r>
        <w:rPr>
          <w:i/>
          <w:sz w:val="24"/>
        </w:rPr>
        <w:t>social</w:t>
      </w:r>
      <w:r>
        <w:rPr>
          <w:i/>
          <w:spacing w:val="-3"/>
          <w:sz w:val="24"/>
        </w:rPr>
        <w:t xml:space="preserve"> </w:t>
      </w:r>
      <w:r>
        <w:rPr>
          <w:i/>
          <w:sz w:val="24"/>
        </w:rPr>
        <w:t>–</w:t>
      </w:r>
      <w:r>
        <w:rPr>
          <w:i/>
          <w:spacing w:val="-4"/>
          <w:sz w:val="24"/>
        </w:rPr>
        <w:t xml:space="preserve"> </w:t>
      </w:r>
      <w:r>
        <w:rPr>
          <w:i/>
          <w:sz w:val="24"/>
        </w:rPr>
        <w:t>respuesta</w:t>
      </w:r>
      <w:r>
        <w:rPr>
          <w:i/>
          <w:spacing w:val="-5"/>
          <w:sz w:val="24"/>
        </w:rPr>
        <w:t xml:space="preserve"> </w:t>
      </w:r>
      <w:r>
        <w:rPr>
          <w:i/>
          <w:sz w:val="24"/>
        </w:rPr>
        <w:t xml:space="preserve">institucional- </w:t>
      </w:r>
      <w:r>
        <w:rPr>
          <w:sz w:val="24"/>
        </w:rPr>
        <w:t xml:space="preserve">relacionada con la misión del Ministerio de Igualdad y Equidad, por encontrar que varios sectores desarrollan distintos enfoques diferenciales que se encuentran en el ámbito de competencia del Ministerio. Y tercero, aquellos sectores </w:t>
      </w:r>
      <w:r>
        <w:rPr>
          <w:i/>
          <w:sz w:val="24"/>
        </w:rPr>
        <w:t xml:space="preserve">que no tienen oferta social- respuesta institucional- relacionada </w:t>
      </w:r>
      <w:r>
        <w:rPr>
          <w:sz w:val="24"/>
        </w:rPr>
        <w:t>con el Ministerio, pero con los que es necesario desarrollar algún tipo de relacionamiento para garantizar la oferta institucional – respuesta institucional- en los territorios marginados y excluidos.</w:t>
      </w:r>
    </w:p>
    <w:p w14:paraId="7D611A42" w14:textId="77777777" w:rsidR="000E52B0" w:rsidRDefault="00F60D74">
      <w:pPr>
        <w:pStyle w:val="Ttulo1"/>
        <w:numPr>
          <w:ilvl w:val="0"/>
          <w:numId w:val="53"/>
        </w:numPr>
        <w:tabs>
          <w:tab w:val="left" w:pos="1440"/>
        </w:tabs>
        <w:spacing w:before="242"/>
        <w:ind w:hanging="830"/>
        <w:jc w:val="left"/>
      </w:pPr>
      <w:bookmarkStart w:id="204" w:name="_bookmark204"/>
      <w:bookmarkEnd w:id="204"/>
      <w:r>
        <w:rPr>
          <w:color w:val="B3176C"/>
        </w:rPr>
        <w:t>Sistema</w:t>
      </w:r>
      <w:r>
        <w:rPr>
          <w:color w:val="B3176C"/>
          <w:spacing w:val="-9"/>
        </w:rPr>
        <w:t xml:space="preserve"> </w:t>
      </w:r>
      <w:r>
        <w:rPr>
          <w:color w:val="B3176C"/>
        </w:rPr>
        <w:t>de</w:t>
      </w:r>
      <w:r>
        <w:rPr>
          <w:color w:val="B3176C"/>
          <w:spacing w:val="-7"/>
        </w:rPr>
        <w:t xml:space="preserve"> </w:t>
      </w:r>
      <w:r>
        <w:rPr>
          <w:color w:val="B3176C"/>
          <w:spacing w:val="-2"/>
        </w:rPr>
        <w:t>cuidado</w:t>
      </w:r>
    </w:p>
    <w:p w14:paraId="11393E94" w14:textId="77777777" w:rsidR="000E52B0" w:rsidRDefault="00F60D74">
      <w:pPr>
        <w:pStyle w:val="Textoindependiente"/>
        <w:spacing w:before="292"/>
        <w:ind w:right="715"/>
        <w:jc w:val="both"/>
      </w:pPr>
      <w:r>
        <w:t>El</w:t>
      </w:r>
      <w:r>
        <w:rPr>
          <w:spacing w:val="-21"/>
        </w:rPr>
        <w:t xml:space="preserve"> </w:t>
      </w:r>
      <w:r>
        <w:t>cuidado</w:t>
      </w:r>
      <w:r>
        <w:rPr>
          <w:spacing w:val="-20"/>
        </w:rPr>
        <w:t xml:space="preserve"> </w:t>
      </w:r>
      <w:r>
        <w:t>como</w:t>
      </w:r>
      <w:r>
        <w:rPr>
          <w:spacing w:val="-18"/>
        </w:rPr>
        <w:t xml:space="preserve"> </w:t>
      </w:r>
      <w:r>
        <w:t>una</w:t>
      </w:r>
      <w:r>
        <w:rPr>
          <w:spacing w:val="-19"/>
        </w:rPr>
        <w:t xml:space="preserve"> </w:t>
      </w:r>
      <w:r>
        <w:t>actividad</w:t>
      </w:r>
      <w:r>
        <w:rPr>
          <w:spacing w:val="-20"/>
        </w:rPr>
        <w:t xml:space="preserve"> </w:t>
      </w:r>
      <w:r>
        <w:t>fundamental</w:t>
      </w:r>
      <w:r>
        <w:rPr>
          <w:spacing w:val="-21"/>
        </w:rPr>
        <w:t xml:space="preserve"> </w:t>
      </w:r>
      <w:r>
        <w:t>para</w:t>
      </w:r>
      <w:r>
        <w:rPr>
          <w:spacing w:val="-20"/>
        </w:rPr>
        <w:t xml:space="preserve"> </w:t>
      </w:r>
      <w:r>
        <w:t>el</w:t>
      </w:r>
      <w:r>
        <w:rPr>
          <w:spacing w:val="-21"/>
        </w:rPr>
        <w:t xml:space="preserve"> </w:t>
      </w:r>
      <w:r>
        <w:t>sostenimiento</w:t>
      </w:r>
      <w:r>
        <w:rPr>
          <w:spacing w:val="-20"/>
        </w:rPr>
        <w:t xml:space="preserve"> </w:t>
      </w:r>
      <w:r>
        <w:t>de</w:t>
      </w:r>
      <w:r>
        <w:rPr>
          <w:spacing w:val="-20"/>
        </w:rPr>
        <w:t xml:space="preserve"> </w:t>
      </w:r>
      <w:r>
        <w:t>la</w:t>
      </w:r>
      <w:r>
        <w:rPr>
          <w:spacing w:val="-20"/>
        </w:rPr>
        <w:t xml:space="preserve"> </w:t>
      </w:r>
      <w:r>
        <w:t>vida humana y no humana requiere de una respuesta institucional articulada desde múltiples sectores administrativos para avanzar en una sociedad cuidadora</w:t>
      </w:r>
      <w:r>
        <w:rPr>
          <w:spacing w:val="-22"/>
        </w:rPr>
        <w:t xml:space="preserve"> </w:t>
      </w:r>
      <w:r>
        <w:t>donde</w:t>
      </w:r>
      <w:r>
        <w:rPr>
          <w:spacing w:val="-21"/>
        </w:rPr>
        <w:t xml:space="preserve"> </w:t>
      </w:r>
      <w:r>
        <w:t>el</w:t>
      </w:r>
      <w:r>
        <w:rPr>
          <w:spacing w:val="-21"/>
        </w:rPr>
        <w:t xml:space="preserve"> </w:t>
      </w:r>
      <w:r>
        <w:t>Estado</w:t>
      </w:r>
      <w:r>
        <w:rPr>
          <w:spacing w:val="-21"/>
        </w:rPr>
        <w:t xml:space="preserve"> </w:t>
      </w:r>
      <w:r>
        <w:t>garantice</w:t>
      </w:r>
      <w:r>
        <w:rPr>
          <w:spacing w:val="-21"/>
        </w:rPr>
        <w:t xml:space="preserve"> </w:t>
      </w:r>
      <w:r>
        <w:t>el</w:t>
      </w:r>
      <w:r>
        <w:rPr>
          <w:spacing w:val="-21"/>
        </w:rPr>
        <w:t xml:space="preserve"> </w:t>
      </w:r>
      <w:r>
        <w:t>derecho</w:t>
      </w:r>
      <w:r>
        <w:rPr>
          <w:spacing w:val="-21"/>
        </w:rPr>
        <w:t xml:space="preserve"> </w:t>
      </w:r>
      <w:r>
        <w:t>a</w:t>
      </w:r>
      <w:r>
        <w:rPr>
          <w:spacing w:val="-21"/>
        </w:rPr>
        <w:t xml:space="preserve"> </w:t>
      </w:r>
      <w:r>
        <w:t>recibir</w:t>
      </w:r>
      <w:r>
        <w:rPr>
          <w:spacing w:val="-21"/>
        </w:rPr>
        <w:t xml:space="preserve"> </w:t>
      </w:r>
      <w:r>
        <w:t>cuidado,</w:t>
      </w:r>
      <w:r>
        <w:rPr>
          <w:spacing w:val="-21"/>
        </w:rPr>
        <w:t xml:space="preserve"> </w:t>
      </w:r>
      <w:r>
        <w:t>el</w:t>
      </w:r>
      <w:r>
        <w:rPr>
          <w:spacing w:val="-22"/>
        </w:rPr>
        <w:t xml:space="preserve"> </w:t>
      </w:r>
      <w:r>
        <w:t xml:space="preserve">derecho al autocuidado y a cuidar en condiciones dignas, y reconozca, proteja y fortalezca las formas comunitarias de cuidado para posicionar el cuidado como centro del sostenimiento de la vida. Lo anterior, para transformar la actual organización social del cuidado, que es inequitativa debido a la concentración del cuidado en las mujeres y la </w:t>
      </w:r>
      <w:proofErr w:type="spellStart"/>
      <w:r>
        <w:t>invisibilización</w:t>
      </w:r>
      <w:proofErr w:type="spellEnd"/>
      <w:r>
        <w:t xml:space="preserve"> del cuidado colectivo,</w:t>
      </w:r>
      <w:r>
        <w:rPr>
          <w:spacing w:val="-17"/>
        </w:rPr>
        <w:t xml:space="preserve"> </w:t>
      </w:r>
      <w:r>
        <w:t>comunitario</w:t>
      </w:r>
      <w:r>
        <w:rPr>
          <w:spacing w:val="-16"/>
        </w:rPr>
        <w:t xml:space="preserve"> </w:t>
      </w:r>
      <w:r>
        <w:t>y</w:t>
      </w:r>
      <w:r>
        <w:rPr>
          <w:spacing w:val="-16"/>
        </w:rPr>
        <w:t xml:space="preserve"> </w:t>
      </w:r>
      <w:r>
        <w:t>las</w:t>
      </w:r>
      <w:r>
        <w:rPr>
          <w:spacing w:val="-14"/>
        </w:rPr>
        <w:t xml:space="preserve"> </w:t>
      </w:r>
      <w:r>
        <w:t>prácticas</w:t>
      </w:r>
      <w:r>
        <w:rPr>
          <w:spacing w:val="-14"/>
        </w:rPr>
        <w:t xml:space="preserve"> </w:t>
      </w:r>
      <w:r>
        <w:t>de</w:t>
      </w:r>
      <w:r>
        <w:rPr>
          <w:spacing w:val="-15"/>
        </w:rPr>
        <w:t xml:space="preserve"> </w:t>
      </w:r>
      <w:r>
        <w:t>cuidado</w:t>
      </w:r>
      <w:r>
        <w:rPr>
          <w:spacing w:val="-15"/>
        </w:rPr>
        <w:t xml:space="preserve"> </w:t>
      </w:r>
      <w:r>
        <w:t>propias</w:t>
      </w:r>
      <w:r>
        <w:rPr>
          <w:spacing w:val="-14"/>
        </w:rPr>
        <w:t xml:space="preserve"> </w:t>
      </w:r>
      <w:r>
        <w:t>de</w:t>
      </w:r>
      <w:r>
        <w:rPr>
          <w:spacing w:val="-13"/>
        </w:rPr>
        <w:t xml:space="preserve"> </w:t>
      </w:r>
      <w:r>
        <w:t>pueblos</w:t>
      </w:r>
      <w:r>
        <w:rPr>
          <w:spacing w:val="-16"/>
        </w:rPr>
        <w:t xml:space="preserve"> </w:t>
      </w:r>
      <w:r>
        <w:t>étnicos y comunidades campesinas que han sostenido históricamente la vida.</w:t>
      </w:r>
    </w:p>
    <w:p w14:paraId="5C227D1E" w14:textId="77777777" w:rsidR="000E52B0" w:rsidRDefault="00F60D74">
      <w:pPr>
        <w:pStyle w:val="Textoindependiente"/>
        <w:spacing w:before="291"/>
        <w:ind w:right="718"/>
        <w:jc w:val="both"/>
      </w:pPr>
      <w:r>
        <w:t>En Colombia existe una alta demanda de cuidado. Si bien todas las personas, en algún momento de su vida, cuidan o requieren cuidados, existen ciertos grupos poblacionales que demandan cuidados de manera prioritaria. Entre ellos se destacan: i)</w:t>
      </w:r>
      <w:r>
        <w:rPr>
          <w:spacing w:val="80"/>
        </w:rPr>
        <w:t xml:space="preserve"> </w:t>
      </w:r>
      <w:r>
        <w:t>Primera infancia, infancia y adolescencia:</w:t>
      </w:r>
      <w:r>
        <w:rPr>
          <w:spacing w:val="-9"/>
        </w:rPr>
        <w:t xml:space="preserve"> </w:t>
      </w:r>
      <w:r>
        <w:t>esta</w:t>
      </w:r>
      <w:r>
        <w:rPr>
          <w:spacing w:val="-10"/>
        </w:rPr>
        <w:t xml:space="preserve"> </w:t>
      </w:r>
      <w:r>
        <w:t>franja</w:t>
      </w:r>
      <w:r>
        <w:rPr>
          <w:spacing w:val="-10"/>
        </w:rPr>
        <w:t xml:space="preserve"> </w:t>
      </w:r>
      <w:r>
        <w:t>poblacional</w:t>
      </w:r>
      <w:r>
        <w:rPr>
          <w:spacing w:val="-9"/>
        </w:rPr>
        <w:t xml:space="preserve"> </w:t>
      </w:r>
      <w:r>
        <w:t>incluye</w:t>
      </w:r>
      <w:r>
        <w:rPr>
          <w:spacing w:val="-10"/>
        </w:rPr>
        <w:t xml:space="preserve"> </w:t>
      </w:r>
      <w:r>
        <w:t>a</w:t>
      </w:r>
      <w:r>
        <w:rPr>
          <w:spacing w:val="-8"/>
        </w:rPr>
        <w:t xml:space="preserve"> </w:t>
      </w:r>
      <w:r>
        <w:t>niños</w:t>
      </w:r>
      <w:r>
        <w:rPr>
          <w:spacing w:val="-10"/>
        </w:rPr>
        <w:t xml:space="preserve"> </w:t>
      </w:r>
      <w:r>
        <w:t>y</w:t>
      </w:r>
      <w:r>
        <w:rPr>
          <w:spacing w:val="-8"/>
        </w:rPr>
        <w:t xml:space="preserve"> </w:t>
      </w:r>
      <w:r>
        <w:t>niñas</w:t>
      </w:r>
      <w:r>
        <w:rPr>
          <w:spacing w:val="-10"/>
        </w:rPr>
        <w:t xml:space="preserve"> </w:t>
      </w:r>
      <w:r>
        <w:t>de</w:t>
      </w:r>
      <w:r>
        <w:rPr>
          <w:spacing w:val="-9"/>
        </w:rPr>
        <w:t xml:space="preserve"> </w:t>
      </w:r>
      <w:r>
        <w:t>0</w:t>
      </w:r>
      <w:r>
        <w:rPr>
          <w:spacing w:val="-9"/>
        </w:rPr>
        <w:t xml:space="preserve"> </w:t>
      </w:r>
      <w:r>
        <w:t>a</w:t>
      </w:r>
      <w:r>
        <w:rPr>
          <w:spacing w:val="-10"/>
        </w:rPr>
        <w:t xml:space="preserve"> </w:t>
      </w:r>
      <w:r>
        <w:t>5</w:t>
      </w:r>
      <w:r>
        <w:rPr>
          <w:spacing w:val="-7"/>
        </w:rPr>
        <w:t xml:space="preserve"> </w:t>
      </w:r>
      <w:r>
        <w:t xml:space="preserve">años, infancia de 6 a 11 años y adolescencia de 12 a 17 años. En 2023, había 4,48 millones de </w:t>
      </w:r>
      <w:proofErr w:type="gramStart"/>
      <w:r>
        <w:t>niños y niñas</w:t>
      </w:r>
      <w:proofErr w:type="gramEnd"/>
      <w:r>
        <w:t xml:space="preserve"> entre 0 y 5 años, y 9,5 millones de niñas, niños y adolescentes entre los 6 y 17 años. </w:t>
      </w:r>
      <w:proofErr w:type="spellStart"/>
      <w:r>
        <w:t>ii</w:t>
      </w:r>
      <w:proofErr w:type="spellEnd"/>
      <w:r>
        <w:t>) Personas con discapacidad: Se</w:t>
      </w:r>
      <w:r>
        <w:rPr>
          <w:spacing w:val="-17"/>
        </w:rPr>
        <w:t xml:space="preserve"> </w:t>
      </w:r>
      <w:r>
        <w:t>estima</w:t>
      </w:r>
      <w:r>
        <w:rPr>
          <w:spacing w:val="-16"/>
        </w:rPr>
        <w:t xml:space="preserve"> </w:t>
      </w:r>
      <w:r>
        <w:t>que</w:t>
      </w:r>
      <w:r>
        <w:rPr>
          <w:spacing w:val="-17"/>
        </w:rPr>
        <w:t xml:space="preserve"> </w:t>
      </w:r>
      <w:r>
        <w:t>el</w:t>
      </w:r>
      <w:r>
        <w:rPr>
          <w:spacing w:val="-17"/>
        </w:rPr>
        <w:t xml:space="preserve"> </w:t>
      </w:r>
      <w:r>
        <w:t>58,5%</w:t>
      </w:r>
      <w:r>
        <w:rPr>
          <w:spacing w:val="-18"/>
        </w:rPr>
        <w:t xml:space="preserve"> </w:t>
      </w:r>
      <w:r>
        <w:t>de</w:t>
      </w:r>
      <w:r>
        <w:rPr>
          <w:spacing w:val="-17"/>
        </w:rPr>
        <w:t xml:space="preserve"> </w:t>
      </w:r>
      <w:r>
        <w:t>las</w:t>
      </w:r>
      <w:r>
        <w:rPr>
          <w:spacing w:val="-19"/>
        </w:rPr>
        <w:t xml:space="preserve"> </w:t>
      </w:r>
      <w:r>
        <w:t>personas</w:t>
      </w:r>
      <w:r>
        <w:rPr>
          <w:spacing w:val="-16"/>
        </w:rPr>
        <w:t xml:space="preserve"> </w:t>
      </w:r>
      <w:r>
        <w:t>con</w:t>
      </w:r>
      <w:r>
        <w:rPr>
          <w:spacing w:val="-18"/>
        </w:rPr>
        <w:t xml:space="preserve"> </w:t>
      </w:r>
      <w:r>
        <w:t>discapacidad</w:t>
      </w:r>
      <w:r>
        <w:rPr>
          <w:spacing w:val="-17"/>
        </w:rPr>
        <w:t xml:space="preserve"> </w:t>
      </w:r>
      <w:r>
        <w:t>requieren</w:t>
      </w:r>
      <w:r>
        <w:rPr>
          <w:spacing w:val="-19"/>
        </w:rPr>
        <w:t xml:space="preserve"> </w:t>
      </w:r>
      <w:r>
        <w:t xml:space="preserve">apoyos o cuidados, lo que corresponde a 1.394.112 personas (DANE, 2022b). </w:t>
      </w:r>
      <w:proofErr w:type="spellStart"/>
      <w:r>
        <w:t>iii</w:t>
      </w:r>
      <w:proofErr w:type="spellEnd"/>
      <w:r>
        <w:t>) Personas mayores: En 2023, había 7,6 millones de personas mayores de 60 años, de las cuales el 55,4% eran mujeres y el 44,6% eran hombres (DANE,</w:t>
      </w:r>
      <w:r>
        <w:rPr>
          <w:spacing w:val="-1"/>
        </w:rPr>
        <w:t xml:space="preserve"> </w:t>
      </w:r>
      <w:r>
        <w:t>2023c).</w:t>
      </w:r>
      <w:r>
        <w:rPr>
          <w:spacing w:val="-1"/>
        </w:rPr>
        <w:t xml:space="preserve"> </w:t>
      </w:r>
      <w:r>
        <w:t>Para</w:t>
      </w:r>
      <w:r>
        <w:rPr>
          <w:spacing w:val="1"/>
        </w:rPr>
        <w:t xml:space="preserve"> </w:t>
      </w:r>
      <w:r>
        <w:t>2022,</w:t>
      </w:r>
      <w:r>
        <w:rPr>
          <w:spacing w:val="-2"/>
        </w:rPr>
        <w:t xml:space="preserve"> </w:t>
      </w:r>
      <w:r>
        <w:t>el</w:t>
      </w:r>
      <w:r>
        <w:rPr>
          <w:spacing w:val="-1"/>
        </w:rPr>
        <w:t xml:space="preserve"> </w:t>
      </w:r>
      <w:r>
        <w:t>14,8%</w:t>
      </w:r>
      <w:r>
        <w:rPr>
          <w:spacing w:val="1"/>
        </w:rPr>
        <w:t xml:space="preserve"> </w:t>
      </w:r>
      <w:r>
        <w:t xml:space="preserve">de las personas mayores </w:t>
      </w:r>
      <w:r>
        <w:rPr>
          <w:spacing w:val="-2"/>
        </w:rPr>
        <w:t>(1.123.168</w:t>
      </w:r>
    </w:p>
    <w:p w14:paraId="3226E16F" w14:textId="77777777" w:rsidR="000E52B0" w:rsidRDefault="000E52B0">
      <w:pPr>
        <w:pStyle w:val="Textoindependiente"/>
        <w:jc w:val="both"/>
        <w:sectPr w:rsidR="000E52B0">
          <w:pgSz w:w="11910" w:h="16840"/>
          <w:pgMar w:top="1340" w:right="720" w:bottom="1180" w:left="720" w:header="0" w:footer="995" w:gutter="0"/>
          <w:cols w:space="720"/>
        </w:sectPr>
      </w:pPr>
    </w:p>
    <w:p w14:paraId="18A32AA1" w14:textId="77777777" w:rsidR="000E52B0" w:rsidRDefault="00F60D74">
      <w:pPr>
        <w:pStyle w:val="Textoindependiente"/>
        <w:spacing w:before="83"/>
        <w:ind w:right="724"/>
        <w:jc w:val="both"/>
      </w:pPr>
      <w:r>
        <w:lastRenderedPageBreak/>
        <w:t>personas) tenían discapacidad, de las cuales el 54,8% eran mujeres y el 45,2% eran hombres (DANE, 2022b).</w:t>
      </w:r>
    </w:p>
    <w:p w14:paraId="46A72B05" w14:textId="77777777" w:rsidR="000E52B0" w:rsidRDefault="00F60D74">
      <w:pPr>
        <w:pStyle w:val="Textoindependiente"/>
        <w:spacing w:before="158"/>
        <w:ind w:right="714"/>
        <w:jc w:val="both"/>
      </w:pPr>
      <w:r>
        <w:t>Ante la baja cobertura institucional que satisfaga la demanda de cuidado han sido las personas cuidadoras las que han garantizado el derecho al cuidado de las personas que lo requieren. Se estima que en el país hay 32,2 millones de personas realizan actividades de trabajo de cuidado no remunerado (DANE, 2020-2021). De estas, 19,5 millones son mujeres, lo cual</w:t>
      </w:r>
      <w:r>
        <w:rPr>
          <w:spacing w:val="-19"/>
        </w:rPr>
        <w:t xml:space="preserve"> </w:t>
      </w:r>
      <w:r>
        <w:t>representa</w:t>
      </w:r>
      <w:r>
        <w:rPr>
          <w:spacing w:val="-17"/>
        </w:rPr>
        <w:t xml:space="preserve"> </w:t>
      </w:r>
      <w:r>
        <w:t>el</w:t>
      </w:r>
      <w:r>
        <w:rPr>
          <w:spacing w:val="-18"/>
        </w:rPr>
        <w:t xml:space="preserve"> </w:t>
      </w:r>
      <w:r>
        <w:t>90,3%</w:t>
      </w:r>
      <w:r>
        <w:rPr>
          <w:spacing w:val="-17"/>
        </w:rPr>
        <w:t xml:space="preserve"> </w:t>
      </w:r>
      <w:r>
        <w:t>de</w:t>
      </w:r>
      <w:r>
        <w:rPr>
          <w:spacing w:val="-16"/>
        </w:rPr>
        <w:t xml:space="preserve"> </w:t>
      </w:r>
      <w:r>
        <w:t>las</w:t>
      </w:r>
      <w:r>
        <w:rPr>
          <w:spacing w:val="-18"/>
        </w:rPr>
        <w:t xml:space="preserve"> </w:t>
      </w:r>
      <w:r>
        <w:t>mujeres</w:t>
      </w:r>
      <w:r>
        <w:rPr>
          <w:spacing w:val="-18"/>
        </w:rPr>
        <w:t xml:space="preserve"> </w:t>
      </w:r>
      <w:r>
        <w:t>mayores</w:t>
      </w:r>
      <w:r>
        <w:rPr>
          <w:spacing w:val="-18"/>
        </w:rPr>
        <w:t xml:space="preserve"> </w:t>
      </w:r>
      <w:r>
        <w:t>de</w:t>
      </w:r>
      <w:r>
        <w:rPr>
          <w:spacing w:val="-16"/>
        </w:rPr>
        <w:t xml:space="preserve"> </w:t>
      </w:r>
      <w:r>
        <w:t>10</w:t>
      </w:r>
      <w:r>
        <w:rPr>
          <w:spacing w:val="-16"/>
        </w:rPr>
        <w:t xml:space="preserve"> </w:t>
      </w:r>
      <w:r>
        <w:t>años.</w:t>
      </w:r>
      <w:r>
        <w:rPr>
          <w:spacing w:val="-18"/>
        </w:rPr>
        <w:t xml:space="preserve"> </w:t>
      </w:r>
      <w:r>
        <w:t>Las</w:t>
      </w:r>
      <w:r>
        <w:rPr>
          <w:spacing w:val="-18"/>
        </w:rPr>
        <w:t xml:space="preserve"> </w:t>
      </w:r>
      <w:r>
        <w:t>personas cuidadoras no remuneradas de tiempo completo son 6,8 millones, de las cuales el 85,7% mujeres. Por otra parte, las personas cuidadoras remuneradas,</w:t>
      </w:r>
      <w:r>
        <w:rPr>
          <w:spacing w:val="-6"/>
        </w:rPr>
        <w:t xml:space="preserve"> </w:t>
      </w:r>
      <w:r>
        <w:t>también</w:t>
      </w:r>
      <w:r>
        <w:rPr>
          <w:spacing w:val="-6"/>
        </w:rPr>
        <w:t xml:space="preserve"> </w:t>
      </w:r>
      <w:r>
        <w:t>llamadas</w:t>
      </w:r>
      <w:r>
        <w:rPr>
          <w:spacing w:val="-6"/>
        </w:rPr>
        <w:t xml:space="preserve"> </w:t>
      </w:r>
      <w:r>
        <w:t>trabajadoras</w:t>
      </w:r>
      <w:r>
        <w:rPr>
          <w:spacing w:val="-5"/>
        </w:rPr>
        <w:t xml:space="preserve"> </w:t>
      </w:r>
      <w:r>
        <w:t>y</w:t>
      </w:r>
      <w:r>
        <w:rPr>
          <w:spacing w:val="-6"/>
        </w:rPr>
        <w:t xml:space="preserve"> </w:t>
      </w:r>
      <w:r>
        <w:t>trabajadores</w:t>
      </w:r>
      <w:r>
        <w:rPr>
          <w:spacing w:val="-6"/>
        </w:rPr>
        <w:t xml:space="preserve"> </w:t>
      </w:r>
      <w:r>
        <w:t>remunerados del cuidado, para el año 2023 eran 2.847.375 personas (DANE, 2023b), que corresponden al 12,5 % del total de personas ocupadas, de estas el 74,8 % son mujeres.</w:t>
      </w:r>
    </w:p>
    <w:p w14:paraId="162A3211" w14:textId="77777777" w:rsidR="000E52B0" w:rsidRDefault="00F60D74">
      <w:pPr>
        <w:pStyle w:val="Textoindependiente"/>
        <w:spacing w:before="160"/>
        <w:ind w:right="717"/>
        <w:jc w:val="both"/>
      </w:pPr>
      <w:r>
        <w:t>A nivel nacional, las mujeres dedican en promedio diario al trabajo de cuidado</w:t>
      </w:r>
      <w:r>
        <w:rPr>
          <w:spacing w:val="-12"/>
        </w:rPr>
        <w:t xml:space="preserve"> </w:t>
      </w:r>
      <w:r>
        <w:t>no</w:t>
      </w:r>
      <w:r>
        <w:rPr>
          <w:spacing w:val="-12"/>
        </w:rPr>
        <w:t xml:space="preserve"> </w:t>
      </w:r>
      <w:r>
        <w:t>remunerado</w:t>
      </w:r>
      <w:r>
        <w:rPr>
          <w:spacing w:val="-12"/>
        </w:rPr>
        <w:t xml:space="preserve"> </w:t>
      </w:r>
      <w:r>
        <w:t>7</w:t>
      </w:r>
      <w:r>
        <w:rPr>
          <w:spacing w:val="-12"/>
        </w:rPr>
        <w:t xml:space="preserve"> </w:t>
      </w:r>
      <w:r>
        <w:t>horas</w:t>
      </w:r>
      <w:r>
        <w:rPr>
          <w:spacing w:val="-12"/>
        </w:rPr>
        <w:t xml:space="preserve"> </w:t>
      </w:r>
      <w:r>
        <w:t>y</w:t>
      </w:r>
      <w:r>
        <w:rPr>
          <w:spacing w:val="-11"/>
        </w:rPr>
        <w:t xml:space="preserve"> </w:t>
      </w:r>
      <w:r>
        <w:t>44</w:t>
      </w:r>
      <w:r>
        <w:rPr>
          <w:spacing w:val="-12"/>
        </w:rPr>
        <w:t xml:space="preserve"> </w:t>
      </w:r>
      <w:r>
        <w:t>minutos,</w:t>
      </w:r>
      <w:r>
        <w:rPr>
          <w:spacing w:val="-11"/>
        </w:rPr>
        <w:t xml:space="preserve"> </w:t>
      </w:r>
      <w:r>
        <w:t>frente</w:t>
      </w:r>
      <w:r>
        <w:rPr>
          <w:spacing w:val="-12"/>
        </w:rPr>
        <w:t xml:space="preserve"> </w:t>
      </w:r>
      <w:r>
        <w:t>a</w:t>
      </w:r>
      <w:r>
        <w:rPr>
          <w:spacing w:val="-13"/>
        </w:rPr>
        <w:t xml:space="preserve"> </w:t>
      </w:r>
      <w:r>
        <w:t>3</w:t>
      </w:r>
      <w:r>
        <w:rPr>
          <w:spacing w:val="-9"/>
        </w:rPr>
        <w:t xml:space="preserve"> </w:t>
      </w:r>
      <w:r>
        <w:t>horas</w:t>
      </w:r>
      <w:r>
        <w:rPr>
          <w:spacing w:val="-12"/>
        </w:rPr>
        <w:t xml:space="preserve"> </w:t>
      </w:r>
      <w:r>
        <w:t>y</w:t>
      </w:r>
      <w:r>
        <w:rPr>
          <w:spacing w:val="-13"/>
        </w:rPr>
        <w:t xml:space="preserve"> </w:t>
      </w:r>
      <w:r>
        <w:t>6</w:t>
      </w:r>
      <w:r>
        <w:rPr>
          <w:spacing w:val="-12"/>
        </w:rPr>
        <w:t xml:space="preserve"> </w:t>
      </w:r>
      <w:r>
        <w:t>minutos en promedio diario dedicadas por los hombres. En las zonas rurales, 4,2 millones</w:t>
      </w:r>
      <w:r>
        <w:rPr>
          <w:spacing w:val="-6"/>
        </w:rPr>
        <w:t xml:space="preserve"> </w:t>
      </w:r>
      <w:r>
        <w:t>de</w:t>
      </w:r>
      <w:r>
        <w:rPr>
          <w:spacing w:val="-5"/>
        </w:rPr>
        <w:t xml:space="preserve"> </w:t>
      </w:r>
      <w:r>
        <w:t>mujeres</w:t>
      </w:r>
      <w:r>
        <w:rPr>
          <w:spacing w:val="-6"/>
        </w:rPr>
        <w:t xml:space="preserve"> </w:t>
      </w:r>
      <w:r>
        <w:t>y</w:t>
      </w:r>
      <w:r>
        <w:rPr>
          <w:spacing w:val="-6"/>
        </w:rPr>
        <w:t xml:space="preserve"> </w:t>
      </w:r>
      <w:r>
        <w:t>2,7</w:t>
      </w:r>
      <w:r>
        <w:rPr>
          <w:spacing w:val="-3"/>
        </w:rPr>
        <w:t xml:space="preserve"> </w:t>
      </w:r>
      <w:r>
        <w:t>millones</w:t>
      </w:r>
      <w:r>
        <w:rPr>
          <w:spacing w:val="-6"/>
        </w:rPr>
        <w:t xml:space="preserve"> </w:t>
      </w:r>
      <w:r>
        <w:t>hombres</w:t>
      </w:r>
      <w:r>
        <w:rPr>
          <w:spacing w:val="-6"/>
        </w:rPr>
        <w:t xml:space="preserve"> </w:t>
      </w:r>
      <w:r>
        <w:t>realizan</w:t>
      </w:r>
      <w:r>
        <w:rPr>
          <w:spacing w:val="-6"/>
        </w:rPr>
        <w:t xml:space="preserve"> </w:t>
      </w:r>
      <w:r>
        <w:t>este</w:t>
      </w:r>
      <w:r>
        <w:rPr>
          <w:spacing w:val="-5"/>
        </w:rPr>
        <w:t xml:space="preserve"> </w:t>
      </w:r>
      <w:r>
        <w:t>trabajo,</w:t>
      </w:r>
      <w:r>
        <w:rPr>
          <w:spacing w:val="-4"/>
        </w:rPr>
        <w:t xml:space="preserve"> </w:t>
      </w:r>
      <w:r>
        <w:t>frente</w:t>
      </w:r>
      <w:r>
        <w:rPr>
          <w:spacing w:val="-5"/>
        </w:rPr>
        <w:t xml:space="preserve"> </w:t>
      </w:r>
      <w:r>
        <w:t>a 15,3 y 10 millones de mujeres y hombres en la zona urbana, respectivamente. Las mujeres de las zonas rurales dedican diariamente 8 horas y 33 minutos y los hombres 3 horas; mientras que en las zonas urbanas las mujeres dedican 7 horas y 31 minutos y los hombres 3 horas y 7 minutos (DANE, 2020-2021).</w:t>
      </w:r>
    </w:p>
    <w:p w14:paraId="6BCF6215" w14:textId="77777777" w:rsidR="000E52B0" w:rsidRDefault="00F60D74">
      <w:pPr>
        <w:pStyle w:val="Textoindependiente"/>
        <w:spacing w:before="162"/>
        <w:ind w:right="715"/>
        <w:jc w:val="both"/>
      </w:pPr>
      <w:r>
        <w:t>Ahora</w:t>
      </w:r>
      <w:r>
        <w:rPr>
          <w:spacing w:val="-12"/>
        </w:rPr>
        <w:t xml:space="preserve"> </w:t>
      </w:r>
      <w:r>
        <w:t>bien,</w:t>
      </w:r>
      <w:r>
        <w:rPr>
          <w:spacing w:val="-14"/>
        </w:rPr>
        <w:t xml:space="preserve"> </w:t>
      </w:r>
      <w:r>
        <w:t>el</w:t>
      </w:r>
      <w:r>
        <w:rPr>
          <w:spacing w:val="-14"/>
        </w:rPr>
        <w:t xml:space="preserve"> </w:t>
      </w:r>
      <w:r>
        <w:t>cuidado</w:t>
      </w:r>
      <w:r>
        <w:rPr>
          <w:spacing w:val="-12"/>
        </w:rPr>
        <w:t xml:space="preserve"> </w:t>
      </w:r>
      <w:r>
        <w:t>tiene</w:t>
      </w:r>
      <w:r>
        <w:rPr>
          <w:spacing w:val="-12"/>
        </w:rPr>
        <w:t xml:space="preserve"> </w:t>
      </w:r>
      <w:r>
        <w:t>una</w:t>
      </w:r>
      <w:r>
        <w:rPr>
          <w:spacing w:val="-13"/>
        </w:rPr>
        <w:t xml:space="preserve"> </w:t>
      </w:r>
      <w:r>
        <w:t>dimensión</w:t>
      </w:r>
      <w:r>
        <w:rPr>
          <w:spacing w:val="-13"/>
        </w:rPr>
        <w:t xml:space="preserve"> </w:t>
      </w:r>
      <w:r>
        <w:t>colectiva</w:t>
      </w:r>
      <w:r>
        <w:rPr>
          <w:spacing w:val="-13"/>
        </w:rPr>
        <w:t xml:space="preserve"> </w:t>
      </w:r>
      <w:r>
        <w:t>que</w:t>
      </w:r>
      <w:r>
        <w:rPr>
          <w:spacing w:val="-12"/>
        </w:rPr>
        <w:t xml:space="preserve"> </w:t>
      </w:r>
      <w:r>
        <w:t>va</w:t>
      </w:r>
      <w:r>
        <w:rPr>
          <w:spacing w:val="-11"/>
        </w:rPr>
        <w:t xml:space="preserve"> </w:t>
      </w:r>
      <w:r>
        <w:t>más</w:t>
      </w:r>
      <w:r>
        <w:rPr>
          <w:spacing w:val="-13"/>
        </w:rPr>
        <w:t xml:space="preserve"> </w:t>
      </w:r>
      <w:r>
        <w:t>allá</w:t>
      </w:r>
      <w:r>
        <w:rPr>
          <w:spacing w:val="-13"/>
        </w:rPr>
        <w:t xml:space="preserve"> </w:t>
      </w:r>
      <w:r>
        <w:t>de</w:t>
      </w:r>
      <w:r>
        <w:rPr>
          <w:spacing w:val="-12"/>
        </w:rPr>
        <w:t xml:space="preserve"> </w:t>
      </w:r>
      <w:r>
        <w:t>las personas y se sitúa en las organizaciones de cuidado comunitario y los procesos</w:t>
      </w:r>
      <w:r>
        <w:rPr>
          <w:spacing w:val="-3"/>
        </w:rPr>
        <w:t xml:space="preserve"> </w:t>
      </w:r>
      <w:r>
        <w:t>organizativos</w:t>
      </w:r>
      <w:r>
        <w:rPr>
          <w:spacing w:val="-3"/>
        </w:rPr>
        <w:t xml:space="preserve"> </w:t>
      </w:r>
      <w:r>
        <w:t>étnicos,</w:t>
      </w:r>
      <w:r>
        <w:rPr>
          <w:spacing w:val="-4"/>
        </w:rPr>
        <w:t xml:space="preserve"> </w:t>
      </w:r>
      <w:r>
        <w:t>campesinos</w:t>
      </w:r>
      <w:r>
        <w:rPr>
          <w:spacing w:val="-3"/>
        </w:rPr>
        <w:t xml:space="preserve"> </w:t>
      </w:r>
      <w:r>
        <w:t>y</w:t>
      </w:r>
      <w:r>
        <w:rPr>
          <w:spacing w:val="-3"/>
        </w:rPr>
        <w:t xml:space="preserve"> </w:t>
      </w:r>
      <w:r>
        <w:t>territoriales</w:t>
      </w:r>
      <w:r>
        <w:rPr>
          <w:spacing w:val="-2"/>
        </w:rPr>
        <w:t xml:space="preserve"> </w:t>
      </w:r>
      <w:r>
        <w:t>con</w:t>
      </w:r>
      <w:r>
        <w:rPr>
          <w:spacing w:val="-3"/>
        </w:rPr>
        <w:t xml:space="preserve"> </w:t>
      </w:r>
      <w:r>
        <w:t>prácticas</w:t>
      </w:r>
      <w:r>
        <w:rPr>
          <w:spacing w:val="-3"/>
        </w:rPr>
        <w:t xml:space="preserve"> </w:t>
      </w:r>
      <w:r>
        <w:t>de cuidado</w:t>
      </w:r>
      <w:r>
        <w:rPr>
          <w:spacing w:val="-7"/>
        </w:rPr>
        <w:t xml:space="preserve"> </w:t>
      </w:r>
      <w:r>
        <w:t>propias,</w:t>
      </w:r>
      <w:r>
        <w:rPr>
          <w:spacing w:val="-6"/>
        </w:rPr>
        <w:t xml:space="preserve"> </w:t>
      </w:r>
      <w:r>
        <w:t>que</w:t>
      </w:r>
      <w:r>
        <w:rPr>
          <w:spacing w:val="-6"/>
        </w:rPr>
        <w:t xml:space="preserve"> </w:t>
      </w:r>
      <w:r>
        <w:t>históricamente</w:t>
      </w:r>
      <w:r>
        <w:rPr>
          <w:spacing w:val="-6"/>
        </w:rPr>
        <w:t xml:space="preserve"> </w:t>
      </w:r>
      <w:r>
        <w:t>han</w:t>
      </w:r>
      <w:r>
        <w:rPr>
          <w:spacing w:val="-8"/>
        </w:rPr>
        <w:t xml:space="preserve"> </w:t>
      </w:r>
      <w:r>
        <w:t>dado</w:t>
      </w:r>
      <w:r>
        <w:rPr>
          <w:spacing w:val="-7"/>
        </w:rPr>
        <w:t xml:space="preserve"> </w:t>
      </w:r>
      <w:r>
        <w:t>respuesta</w:t>
      </w:r>
      <w:r>
        <w:rPr>
          <w:spacing w:val="-7"/>
        </w:rPr>
        <w:t xml:space="preserve"> </w:t>
      </w:r>
      <w:r>
        <w:t>a</w:t>
      </w:r>
      <w:r>
        <w:rPr>
          <w:spacing w:val="-7"/>
        </w:rPr>
        <w:t xml:space="preserve"> </w:t>
      </w:r>
      <w:r>
        <w:t>las</w:t>
      </w:r>
      <w:r>
        <w:rPr>
          <w:spacing w:val="-8"/>
        </w:rPr>
        <w:t xml:space="preserve"> </w:t>
      </w:r>
      <w:r>
        <w:t>necesidades de cuidado desde una perspectiva que sobrepasa</w:t>
      </w:r>
      <w:r>
        <w:rPr>
          <w:spacing w:val="-1"/>
        </w:rPr>
        <w:t xml:space="preserve"> </w:t>
      </w:r>
      <w:r>
        <w:t>la</w:t>
      </w:r>
      <w:r>
        <w:rPr>
          <w:spacing w:val="-1"/>
        </w:rPr>
        <w:t xml:space="preserve"> </w:t>
      </w:r>
      <w:r>
        <w:t>visión antropocéntrica del</w:t>
      </w:r>
      <w:r>
        <w:rPr>
          <w:spacing w:val="-9"/>
        </w:rPr>
        <w:t xml:space="preserve"> </w:t>
      </w:r>
      <w:r>
        <w:t>cuidado</w:t>
      </w:r>
      <w:r>
        <w:rPr>
          <w:spacing w:val="-7"/>
        </w:rPr>
        <w:t xml:space="preserve"> </w:t>
      </w:r>
      <w:r>
        <w:t>y</w:t>
      </w:r>
      <w:r>
        <w:rPr>
          <w:spacing w:val="-8"/>
        </w:rPr>
        <w:t xml:space="preserve"> </w:t>
      </w:r>
      <w:r>
        <w:t>cimienta</w:t>
      </w:r>
      <w:r>
        <w:rPr>
          <w:spacing w:val="-8"/>
        </w:rPr>
        <w:t xml:space="preserve"> </w:t>
      </w:r>
      <w:r>
        <w:t>su</w:t>
      </w:r>
      <w:r>
        <w:rPr>
          <w:spacing w:val="-6"/>
        </w:rPr>
        <w:t xml:space="preserve"> </w:t>
      </w:r>
      <w:r>
        <w:t>quehacer</w:t>
      </w:r>
      <w:r>
        <w:rPr>
          <w:spacing w:val="-7"/>
        </w:rPr>
        <w:t xml:space="preserve"> </w:t>
      </w:r>
      <w:r>
        <w:t>en</w:t>
      </w:r>
      <w:r>
        <w:rPr>
          <w:spacing w:val="-8"/>
        </w:rPr>
        <w:t xml:space="preserve"> </w:t>
      </w:r>
      <w:r>
        <w:t>el</w:t>
      </w:r>
      <w:r>
        <w:rPr>
          <w:spacing w:val="-9"/>
        </w:rPr>
        <w:t xml:space="preserve"> </w:t>
      </w:r>
      <w:r>
        <w:t>sostenimiento</w:t>
      </w:r>
      <w:r>
        <w:rPr>
          <w:spacing w:val="-7"/>
        </w:rPr>
        <w:t xml:space="preserve"> </w:t>
      </w:r>
      <w:r>
        <w:t>de</w:t>
      </w:r>
      <w:r>
        <w:rPr>
          <w:spacing w:val="-7"/>
        </w:rPr>
        <w:t xml:space="preserve"> </w:t>
      </w:r>
      <w:r>
        <w:t>la</w:t>
      </w:r>
      <w:r>
        <w:rPr>
          <w:spacing w:val="-6"/>
        </w:rPr>
        <w:t xml:space="preserve"> </w:t>
      </w:r>
      <w:r>
        <w:t>vida</w:t>
      </w:r>
      <w:r>
        <w:rPr>
          <w:spacing w:val="-8"/>
        </w:rPr>
        <w:t xml:space="preserve"> </w:t>
      </w:r>
      <w:r>
        <w:t>en</w:t>
      </w:r>
      <w:r>
        <w:rPr>
          <w:spacing w:val="-6"/>
        </w:rPr>
        <w:t xml:space="preserve"> </w:t>
      </w:r>
      <w:r>
        <w:t>todas sus expresiones. Por un lado las organizaciones de cuidado comunitario realizan</w:t>
      </w:r>
      <w:r>
        <w:rPr>
          <w:spacing w:val="-11"/>
        </w:rPr>
        <w:t xml:space="preserve"> </w:t>
      </w:r>
      <w:r>
        <w:t>diversas</w:t>
      </w:r>
      <w:r>
        <w:rPr>
          <w:spacing w:val="-11"/>
        </w:rPr>
        <w:t xml:space="preserve"> </w:t>
      </w:r>
      <w:r>
        <w:t>actividades</w:t>
      </w:r>
      <w:r>
        <w:rPr>
          <w:spacing w:val="-11"/>
        </w:rPr>
        <w:t xml:space="preserve"> </w:t>
      </w:r>
      <w:r>
        <w:t>de</w:t>
      </w:r>
      <w:r>
        <w:rPr>
          <w:spacing w:val="-10"/>
        </w:rPr>
        <w:t xml:space="preserve"> </w:t>
      </w:r>
      <w:r>
        <w:t>cuidado</w:t>
      </w:r>
      <w:r>
        <w:rPr>
          <w:spacing w:val="-11"/>
        </w:rPr>
        <w:t xml:space="preserve"> </w:t>
      </w:r>
      <w:r>
        <w:t>para</w:t>
      </w:r>
      <w:r>
        <w:rPr>
          <w:spacing w:val="-11"/>
        </w:rPr>
        <w:t xml:space="preserve"> </w:t>
      </w:r>
      <w:r>
        <w:t>sostener</w:t>
      </w:r>
      <w:r>
        <w:rPr>
          <w:spacing w:val="-10"/>
        </w:rPr>
        <w:t xml:space="preserve"> </w:t>
      </w:r>
      <w:r>
        <w:t>la</w:t>
      </w:r>
      <w:r>
        <w:rPr>
          <w:spacing w:val="-12"/>
        </w:rPr>
        <w:t xml:space="preserve"> </w:t>
      </w:r>
      <w:r>
        <w:t>vida</w:t>
      </w:r>
      <w:r>
        <w:rPr>
          <w:spacing w:val="-11"/>
        </w:rPr>
        <w:t xml:space="preserve"> </w:t>
      </w:r>
      <w:r>
        <w:t>por</w:t>
      </w:r>
      <w:r>
        <w:rPr>
          <w:spacing w:val="-10"/>
        </w:rPr>
        <w:t xml:space="preserve"> </w:t>
      </w:r>
      <w:r>
        <w:t>fuera</w:t>
      </w:r>
      <w:r>
        <w:rPr>
          <w:spacing w:val="-10"/>
        </w:rPr>
        <w:t xml:space="preserve"> </w:t>
      </w:r>
      <w:r>
        <w:t>del espacio</w:t>
      </w:r>
      <w:r>
        <w:rPr>
          <w:spacing w:val="-4"/>
        </w:rPr>
        <w:t xml:space="preserve"> </w:t>
      </w:r>
      <w:r>
        <w:t>de</w:t>
      </w:r>
      <w:r>
        <w:rPr>
          <w:spacing w:val="-4"/>
        </w:rPr>
        <w:t xml:space="preserve"> </w:t>
      </w:r>
      <w:r>
        <w:t>los</w:t>
      </w:r>
      <w:r>
        <w:rPr>
          <w:spacing w:val="-5"/>
        </w:rPr>
        <w:t xml:space="preserve"> </w:t>
      </w:r>
      <w:r>
        <w:t>hogares,</w:t>
      </w:r>
      <w:r>
        <w:rPr>
          <w:spacing w:val="-5"/>
        </w:rPr>
        <w:t xml:space="preserve"> </w:t>
      </w:r>
      <w:r>
        <w:t>tienen</w:t>
      </w:r>
      <w:r>
        <w:rPr>
          <w:spacing w:val="-4"/>
        </w:rPr>
        <w:t xml:space="preserve"> </w:t>
      </w:r>
      <w:r>
        <w:t>distintos</w:t>
      </w:r>
      <w:r>
        <w:rPr>
          <w:spacing w:val="-5"/>
        </w:rPr>
        <w:t xml:space="preserve"> </w:t>
      </w:r>
      <w:r>
        <w:t>niveles</w:t>
      </w:r>
      <w:r>
        <w:rPr>
          <w:spacing w:val="-4"/>
        </w:rPr>
        <w:t xml:space="preserve"> </w:t>
      </w:r>
      <w:r>
        <w:t>de</w:t>
      </w:r>
      <w:r>
        <w:rPr>
          <w:spacing w:val="-4"/>
        </w:rPr>
        <w:t xml:space="preserve"> </w:t>
      </w:r>
      <w:r>
        <w:t>articulación</w:t>
      </w:r>
      <w:r>
        <w:rPr>
          <w:spacing w:val="-5"/>
        </w:rPr>
        <w:t xml:space="preserve"> </w:t>
      </w:r>
      <w:r>
        <w:t>(o</w:t>
      </w:r>
      <w:r>
        <w:rPr>
          <w:spacing w:val="-4"/>
        </w:rPr>
        <w:t xml:space="preserve"> </w:t>
      </w:r>
      <w:r>
        <w:t>ninguna) con el Estado y el sector privado y por el otro, los procesos organizativos, étnicos,</w:t>
      </w:r>
      <w:r>
        <w:rPr>
          <w:spacing w:val="-20"/>
        </w:rPr>
        <w:t xml:space="preserve"> </w:t>
      </w:r>
      <w:r>
        <w:t>campesinos</w:t>
      </w:r>
      <w:r>
        <w:rPr>
          <w:spacing w:val="-17"/>
        </w:rPr>
        <w:t xml:space="preserve"> </w:t>
      </w:r>
      <w:r>
        <w:t>y</w:t>
      </w:r>
      <w:r>
        <w:rPr>
          <w:spacing w:val="-20"/>
        </w:rPr>
        <w:t xml:space="preserve"> </w:t>
      </w:r>
      <w:r>
        <w:t>territoriales</w:t>
      </w:r>
      <w:r>
        <w:rPr>
          <w:spacing w:val="-19"/>
        </w:rPr>
        <w:t xml:space="preserve"> </w:t>
      </w:r>
      <w:r>
        <w:t>con</w:t>
      </w:r>
      <w:r>
        <w:rPr>
          <w:spacing w:val="-19"/>
        </w:rPr>
        <w:t xml:space="preserve"> </w:t>
      </w:r>
      <w:r>
        <w:t>prácticas</w:t>
      </w:r>
      <w:r>
        <w:rPr>
          <w:spacing w:val="-20"/>
        </w:rPr>
        <w:t xml:space="preserve"> </w:t>
      </w:r>
      <w:r>
        <w:t>de</w:t>
      </w:r>
      <w:r>
        <w:rPr>
          <w:spacing w:val="-18"/>
        </w:rPr>
        <w:t xml:space="preserve"> </w:t>
      </w:r>
      <w:r>
        <w:t>cuidado</w:t>
      </w:r>
      <w:r>
        <w:rPr>
          <w:spacing w:val="-16"/>
        </w:rPr>
        <w:t xml:space="preserve"> </w:t>
      </w:r>
      <w:r>
        <w:t>propias</w:t>
      </w:r>
      <w:r>
        <w:rPr>
          <w:spacing w:val="-20"/>
        </w:rPr>
        <w:t xml:space="preserve"> </w:t>
      </w:r>
      <w:r>
        <w:t>centran su accionar en el cuidado de la vida desde una perspectiva integradora de todo lo vivo como necesitado de cuidado y necesario para la definición de vida</w:t>
      </w:r>
      <w:r>
        <w:rPr>
          <w:spacing w:val="-2"/>
        </w:rPr>
        <w:t xml:space="preserve"> </w:t>
      </w:r>
      <w:r>
        <w:t>digna/buen</w:t>
      </w:r>
      <w:r>
        <w:rPr>
          <w:spacing w:val="-4"/>
        </w:rPr>
        <w:t xml:space="preserve"> </w:t>
      </w:r>
      <w:r>
        <w:t>vivir,</w:t>
      </w:r>
      <w:r>
        <w:rPr>
          <w:spacing w:val="-4"/>
        </w:rPr>
        <w:t xml:space="preserve"> </w:t>
      </w:r>
      <w:r>
        <w:t>vivir</w:t>
      </w:r>
      <w:r>
        <w:rPr>
          <w:spacing w:val="-3"/>
        </w:rPr>
        <w:t xml:space="preserve"> </w:t>
      </w:r>
      <w:r>
        <w:t>bien</w:t>
      </w:r>
      <w:r>
        <w:rPr>
          <w:spacing w:val="40"/>
        </w:rPr>
        <w:t xml:space="preserve"> </w:t>
      </w:r>
      <w:r>
        <w:t>(Vicepresidencia</w:t>
      </w:r>
      <w:r>
        <w:rPr>
          <w:spacing w:val="-2"/>
        </w:rPr>
        <w:t xml:space="preserve"> </w:t>
      </w:r>
      <w:r>
        <w:t>de</w:t>
      </w:r>
      <w:r>
        <w:rPr>
          <w:spacing w:val="-3"/>
        </w:rPr>
        <w:t xml:space="preserve"> </w:t>
      </w:r>
      <w:r>
        <w:t>la</w:t>
      </w:r>
      <w:r>
        <w:rPr>
          <w:spacing w:val="-1"/>
        </w:rPr>
        <w:t xml:space="preserve"> </w:t>
      </w:r>
      <w:r>
        <w:t>República,</w:t>
      </w:r>
      <w:r>
        <w:rPr>
          <w:spacing w:val="-5"/>
        </w:rPr>
        <w:t xml:space="preserve"> </w:t>
      </w:r>
      <w:r>
        <w:t>2023a). No obstante, las organizaciones y procesos organizativos de cuidado colectivo</w:t>
      </w:r>
      <w:r>
        <w:rPr>
          <w:spacing w:val="-11"/>
        </w:rPr>
        <w:t xml:space="preserve"> </w:t>
      </w:r>
      <w:r>
        <w:t>y</w:t>
      </w:r>
      <w:r>
        <w:rPr>
          <w:spacing w:val="-9"/>
        </w:rPr>
        <w:t xml:space="preserve"> </w:t>
      </w:r>
      <w:r>
        <w:t>comunitario</w:t>
      </w:r>
      <w:r>
        <w:rPr>
          <w:spacing w:val="-11"/>
        </w:rPr>
        <w:t xml:space="preserve"> </w:t>
      </w:r>
      <w:r>
        <w:t>con</w:t>
      </w:r>
      <w:r>
        <w:rPr>
          <w:spacing w:val="-11"/>
        </w:rPr>
        <w:t xml:space="preserve"> </w:t>
      </w:r>
      <w:r>
        <w:t>prácticas</w:t>
      </w:r>
      <w:r>
        <w:rPr>
          <w:spacing w:val="-9"/>
        </w:rPr>
        <w:t xml:space="preserve"> </w:t>
      </w:r>
      <w:r>
        <w:t>de</w:t>
      </w:r>
      <w:r>
        <w:rPr>
          <w:spacing w:val="-10"/>
        </w:rPr>
        <w:t xml:space="preserve"> </w:t>
      </w:r>
      <w:r>
        <w:t>cuidado</w:t>
      </w:r>
      <w:r>
        <w:rPr>
          <w:spacing w:val="-10"/>
        </w:rPr>
        <w:t xml:space="preserve"> </w:t>
      </w:r>
      <w:r>
        <w:t>propias</w:t>
      </w:r>
      <w:r>
        <w:rPr>
          <w:spacing w:val="-11"/>
        </w:rPr>
        <w:t xml:space="preserve"> </w:t>
      </w:r>
      <w:r>
        <w:t>tienen</w:t>
      </w:r>
      <w:r>
        <w:rPr>
          <w:spacing w:val="-12"/>
        </w:rPr>
        <w:t xml:space="preserve"> </w:t>
      </w:r>
      <w:r>
        <w:t>un</w:t>
      </w:r>
      <w:r>
        <w:rPr>
          <w:spacing w:val="-9"/>
        </w:rPr>
        <w:t xml:space="preserve"> </w:t>
      </w:r>
      <w:r>
        <w:t>limitado reconocimiento</w:t>
      </w:r>
      <w:r>
        <w:rPr>
          <w:spacing w:val="-11"/>
        </w:rPr>
        <w:t xml:space="preserve"> </w:t>
      </w:r>
      <w:r>
        <w:t>como</w:t>
      </w:r>
      <w:r>
        <w:rPr>
          <w:spacing w:val="-11"/>
        </w:rPr>
        <w:t xml:space="preserve"> </w:t>
      </w:r>
      <w:r>
        <w:t>actor</w:t>
      </w:r>
      <w:r>
        <w:rPr>
          <w:spacing w:val="-10"/>
        </w:rPr>
        <w:t xml:space="preserve"> </w:t>
      </w:r>
      <w:r>
        <w:t>fundamental</w:t>
      </w:r>
      <w:r>
        <w:rPr>
          <w:spacing w:val="-10"/>
        </w:rPr>
        <w:t xml:space="preserve"> </w:t>
      </w:r>
      <w:r>
        <w:t>en</w:t>
      </w:r>
      <w:r>
        <w:rPr>
          <w:spacing w:val="-12"/>
        </w:rPr>
        <w:t xml:space="preserve"> </w:t>
      </w:r>
      <w:r>
        <w:t>la</w:t>
      </w:r>
      <w:r>
        <w:rPr>
          <w:spacing w:val="-12"/>
        </w:rPr>
        <w:t xml:space="preserve"> </w:t>
      </w:r>
      <w:r>
        <w:t>provisión</w:t>
      </w:r>
      <w:r>
        <w:rPr>
          <w:spacing w:val="-12"/>
        </w:rPr>
        <w:t xml:space="preserve"> </w:t>
      </w:r>
      <w:r>
        <w:t>social</w:t>
      </w:r>
      <w:r>
        <w:rPr>
          <w:spacing w:val="-12"/>
        </w:rPr>
        <w:t xml:space="preserve"> </w:t>
      </w:r>
      <w:r>
        <w:t>de</w:t>
      </w:r>
      <w:r>
        <w:rPr>
          <w:spacing w:val="-10"/>
        </w:rPr>
        <w:t xml:space="preserve"> </w:t>
      </w:r>
      <w:r>
        <w:t>cuidado</w:t>
      </w:r>
      <w:r>
        <w:rPr>
          <w:spacing w:val="-8"/>
        </w:rPr>
        <w:t xml:space="preserve"> </w:t>
      </w:r>
      <w:r>
        <w:t>y en su función social para la contribución a la garantía, protección y sostenimiento de la vida en interdependencia, humana y no humana, en los territorios.</w:t>
      </w:r>
    </w:p>
    <w:p w14:paraId="0DF2AA68" w14:textId="77777777" w:rsidR="000E52B0" w:rsidRDefault="00F60D74">
      <w:pPr>
        <w:pStyle w:val="Textoindependiente"/>
        <w:spacing w:before="160"/>
        <w:ind w:right="718"/>
        <w:jc w:val="both"/>
      </w:pPr>
      <w:r>
        <w:t>En este sentido, el Sistema Nacional de Cuidado se plantea como un escenario</w:t>
      </w:r>
      <w:r>
        <w:rPr>
          <w:spacing w:val="18"/>
        </w:rPr>
        <w:t xml:space="preserve"> </w:t>
      </w:r>
      <w:r>
        <w:t>de</w:t>
      </w:r>
      <w:r>
        <w:rPr>
          <w:spacing w:val="21"/>
        </w:rPr>
        <w:t xml:space="preserve"> </w:t>
      </w:r>
      <w:r>
        <w:t>innovación</w:t>
      </w:r>
      <w:r>
        <w:rPr>
          <w:spacing w:val="23"/>
        </w:rPr>
        <w:t xml:space="preserve"> </w:t>
      </w:r>
      <w:r>
        <w:t>legislativa</w:t>
      </w:r>
      <w:r>
        <w:rPr>
          <w:spacing w:val="19"/>
        </w:rPr>
        <w:t xml:space="preserve"> </w:t>
      </w:r>
      <w:r>
        <w:t>y</w:t>
      </w:r>
      <w:r>
        <w:rPr>
          <w:spacing w:val="25"/>
        </w:rPr>
        <w:t xml:space="preserve"> </w:t>
      </w:r>
      <w:r>
        <w:t>de</w:t>
      </w:r>
      <w:r>
        <w:rPr>
          <w:spacing w:val="21"/>
        </w:rPr>
        <w:t xml:space="preserve"> </w:t>
      </w:r>
      <w:r>
        <w:t>política</w:t>
      </w:r>
      <w:r>
        <w:rPr>
          <w:spacing w:val="23"/>
        </w:rPr>
        <w:t xml:space="preserve"> </w:t>
      </w:r>
      <w:r>
        <w:t>pública,</w:t>
      </w:r>
      <w:r>
        <w:rPr>
          <w:spacing w:val="31"/>
        </w:rPr>
        <w:t xml:space="preserve"> </w:t>
      </w:r>
      <w:r>
        <w:t>alineado</w:t>
      </w:r>
      <w:r>
        <w:rPr>
          <w:spacing w:val="23"/>
        </w:rPr>
        <w:t xml:space="preserve"> </w:t>
      </w:r>
      <w:r>
        <w:t>con</w:t>
      </w:r>
      <w:r>
        <w:rPr>
          <w:spacing w:val="23"/>
        </w:rPr>
        <w:t xml:space="preserve"> </w:t>
      </w:r>
      <w:r>
        <w:rPr>
          <w:spacing w:val="-5"/>
        </w:rPr>
        <w:t>las</w:t>
      </w:r>
    </w:p>
    <w:p w14:paraId="3180051D" w14:textId="77777777" w:rsidR="000E52B0" w:rsidRDefault="000E52B0">
      <w:pPr>
        <w:pStyle w:val="Textoindependiente"/>
        <w:jc w:val="both"/>
        <w:sectPr w:rsidR="000E52B0">
          <w:pgSz w:w="11910" w:h="16840"/>
          <w:pgMar w:top="1340" w:right="720" w:bottom="1180" w:left="720" w:header="0" w:footer="995" w:gutter="0"/>
          <w:cols w:space="720"/>
        </w:sectPr>
      </w:pPr>
    </w:p>
    <w:p w14:paraId="1750FF42" w14:textId="77777777" w:rsidR="000E52B0" w:rsidRDefault="00F60D74">
      <w:pPr>
        <w:pStyle w:val="Textoindependiente"/>
        <w:spacing w:before="83"/>
        <w:ind w:right="714"/>
        <w:jc w:val="both"/>
      </w:pPr>
      <w:r>
        <w:lastRenderedPageBreak/>
        <w:t>demandas del país y los avances territoriales, resaltando que 13 departamentos</w:t>
      </w:r>
      <w:r>
        <w:rPr>
          <w:spacing w:val="-14"/>
        </w:rPr>
        <w:t xml:space="preserve"> </w:t>
      </w:r>
      <w:r>
        <w:t>del</w:t>
      </w:r>
      <w:r>
        <w:rPr>
          <w:spacing w:val="-15"/>
        </w:rPr>
        <w:t xml:space="preserve"> </w:t>
      </w:r>
      <w:r>
        <w:t>país</w:t>
      </w:r>
      <w:r>
        <w:rPr>
          <w:spacing w:val="-14"/>
        </w:rPr>
        <w:t xml:space="preserve"> </w:t>
      </w:r>
      <w:r>
        <w:t>(Sucre,</w:t>
      </w:r>
      <w:r>
        <w:rPr>
          <w:spacing w:val="-17"/>
        </w:rPr>
        <w:t xml:space="preserve"> </w:t>
      </w:r>
      <w:r>
        <w:t>Cauca,</w:t>
      </w:r>
      <w:r>
        <w:rPr>
          <w:spacing w:val="-14"/>
        </w:rPr>
        <w:t xml:space="preserve"> </w:t>
      </w:r>
      <w:r>
        <w:t>Chocó,</w:t>
      </w:r>
      <w:r>
        <w:rPr>
          <w:spacing w:val="-17"/>
        </w:rPr>
        <w:t xml:space="preserve"> </w:t>
      </w:r>
      <w:r>
        <w:t>Tolima,</w:t>
      </w:r>
      <w:r>
        <w:rPr>
          <w:spacing w:val="-15"/>
        </w:rPr>
        <w:t xml:space="preserve"> </w:t>
      </w:r>
      <w:r>
        <w:t>Antioquia,</w:t>
      </w:r>
      <w:r>
        <w:rPr>
          <w:spacing w:val="-15"/>
        </w:rPr>
        <w:t xml:space="preserve"> </w:t>
      </w:r>
      <w:r>
        <w:t>Atlántico, Cundinamarca, Nariño, Norte de Santander, Meta, Valle del Cauca,</w:t>
      </w:r>
      <w:r>
        <w:rPr>
          <w:spacing w:val="40"/>
        </w:rPr>
        <w:t xml:space="preserve"> </w:t>
      </w:r>
      <w:r>
        <w:t>Boyacá</w:t>
      </w:r>
      <w:r>
        <w:rPr>
          <w:spacing w:val="-3"/>
        </w:rPr>
        <w:t xml:space="preserve"> </w:t>
      </w:r>
      <w:r>
        <w:t>y</w:t>
      </w:r>
      <w:r>
        <w:rPr>
          <w:spacing w:val="-3"/>
        </w:rPr>
        <w:t xml:space="preserve"> </w:t>
      </w:r>
      <w:r>
        <w:t>Casanare) formularon en su plan departamental de desarrollo sistemas locales de cuidado y ciudades como Bogotá</w:t>
      </w:r>
      <w:r>
        <w:rPr>
          <w:position w:val="8"/>
          <w:sz w:val="16"/>
        </w:rPr>
        <w:t>1</w:t>
      </w:r>
      <w:r>
        <w:t>, Cali</w:t>
      </w:r>
      <w:r>
        <w:rPr>
          <w:position w:val="8"/>
          <w:sz w:val="16"/>
        </w:rPr>
        <w:t>2</w:t>
      </w:r>
      <w:r>
        <w:t>, Manizales</w:t>
      </w:r>
      <w:r>
        <w:rPr>
          <w:position w:val="8"/>
          <w:sz w:val="16"/>
        </w:rPr>
        <w:t>3</w:t>
      </w:r>
      <w:r>
        <w:t>, Barranquilla, Medellín, Pasto</w:t>
      </w:r>
      <w:r>
        <w:rPr>
          <w:position w:val="8"/>
          <w:sz w:val="16"/>
        </w:rPr>
        <w:t>4</w:t>
      </w:r>
      <w:r>
        <w:rPr>
          <w:spacing w:val="40"/>
          <w:position w:val="8"/>
          <w:sz w:val="16"/>
        </w:rPr>
        <w:t xml:space="preserve"> </w:t>
      </w:r>
      <w:r>
        <w:t>cuentan con sistemas locales de cuidado creados y con distintos niveles de avance en su implementación. Otras ciudades</w:t>
      </w:r>
      <w:r>
        <w:rPr>
          <w:spacing w:val="-4"/>
        </w:rPr>
        <w:t xml:space="preserve"> </w:t>
      </w:r>
      <w:r>
        <w:t>y</w:t>
      </w:r>
      <w:r>
        <w:rPr>
          <w:spacing w:val="-4"/>
        </w:rPr>
        <w:t xml:space="preserve"> </w:t>
      </w:r>
      <w:r>
        <w:t>municipios</w:t>
      </w:r>
      <w:r>
        <w:rPr>
          <w:spacing w:val="-4"/>
        </w:rPr>
        <w:t xml:space="preserve"> </w:t>
      </w:r>
      <w:r>
        <w:t>como</w:t>
      </w:r>
      <w:r>
        <w:rPr>
          <w:spacing w:val="-3"/>
        </w:rPr>
        <w:t xml:space="preserve"> </w:t>
      </w:r>
      <w:r>
        <w:t>Santa</w:t>
      </w:r>
      <w:r>
        <w:rPr>
          <w:spacing w:val="-2"/>
        </w:rPr>
        <w:t xml:space="preserve"> </w:t>
      </w:r>
      <w:r>
        <w:t>Marta,</w:t>
      </w:r>
      <w:r>
        <w:rPr>
          <w:spacing w:val="-5"/>
        </w:rPr>
        <w:t xml:space="preserve"> </w:t>
      </w:r>
      <w:r>
        <w:t>Cúcuta,</w:t>
      </w:r>
      <w:r>
        <w:rPr>
          <w:spacing w:val="-5"/>
        </w:rPr>
        <w:t xml:space="preserve"> </w:t>
      </w:r>
      <w:r>
        <w:t>Cartagena,</w:t>
      </w:r>
      <w:r>
        <w:rPr>
          <w:spacing w:val="-5"/>
        </w:rPr>
        <w:t xml:space="preserve"> </w:t>
      </w:r>
      <w:r>
        <w:t>Chía,</w:t>
      </w:r>
      <w:r>
        <w:rPr>
          <w:spacing w:val="-4"/>
        </w:rPr>
        <w:t xml:space="preserve"> </w:t>
      </w:r>
      <w:r>
        <w:t>Funza, San Juan Nepomuceno, Santander de Quilichao, Florencia, Valledupar, Barbacoas, Guapi, Carmen de Bolívar, La Ceja, Montería, Riohacha, entre otras incluyeron en sus planes de desarrollo la creación de sistemas municipales de cuidado.</w:t>
      </w:r>
    </w:p>
    <w:p w14:paraId="195D32AA" w14:textId="77777777" w:rsidR="000E52B0" w:rsidRDefault="00F60D74">
      <w:pPr>
        <w:pStyle w:val="Textoindependiente"/>
        <w:spacing w:before="160"/>
        <w:ind w:right="724"/>
        <w:jc w:val="both"/>
      </w:pPr>
      <w:r>
        <w:t>Lo</w:t>
      </w:r>
      <w:r>
        <w:rPr>
          <w:spacing w:val="-16"/>
        </w:rPr>
        <w:t xml:space="preserve"> </w:t>
      </w:r>
      <w:r>
        <w:t>anterior</w:t>
      </w:r>
      <w:r>
        <w:rPr>
          <w:spacing w:val="-16"/>
        </w:rPr>
        <w:t xml:space="preserve"> </w:t>
      </w:r>
      <w:r>
        <w:t>en</w:t>
      </w:r>
      <w:r>
        <w:rPr>
          <w:spacing w:val="-18"/>
        </w:rPr>
        <w:t xml:space="preserve"> </w:t>
      </w:r>
      <w:r>
        <w:t>sintonía</w:t>
      </w:r>
      <w:r>
        <w:rPr>
          <w:spacing w:val="-15"/>
        </w:rPr>
        <w:t xml:space="preserve"> </w:t>
      </w:r>
      <w:r>
        <w:t>con</w:t>
      </w:r>
      <w:r>
        <w:rPr>
          <w:spacing w:val="-15"/>
        </w:rPr>
        <w:t xml:space="preserve"> </w:t>
      </w:r>
      <w:r>
        <w:t>instrumentos</w:t>
      </w:r>
      <w:r>
        <w:rPr>
          <w:spacing w:val="-17"/>
        </w:rPr>
        <w:t xml:space="preserve"> </w:t>
      </w:r>
      <w:r>
        <w:t>normativos</w:t>
      </w:r>
      <w:r>
        <w:rPr>
          <w:spacing w:val="-15"/>
        </w:rPr>
        <w:t xml:space="preserve"> </w:t>
      </w:r>
      <w:r>
        <w:t>de</w:t>
      </w:r>
      <w:r>
        <w:rPr>
          <w:spacing w:val="-16"/>
        </w:rPr>
        <w:t xml:space="preserve"> </w:t>
      </w:r>
      <w:r>
        <w:t>orden</w:t>
      </w:r>
      <w:r>
        <w:rPr>
          <w:spacing w:val="-18"/>
        </w:rPr>
        <w:t xml:space="preserve"> </w:t>
      </w:r>
      <w:r>
        <w:t>internacional y nacional, entre los que se resaltan:</w:t>
      </w:r>
    </w:p>
    <w:p w14:paraId="276D5344" w14:textId="77777777" w:rsidR="000E52B0" w:rsidRDefault="00F60D74">
      <w:pPr>
        <w:pStyle w:val="Textoindependiente"/>
        <w:spacing w:before="158"/>
        <w:ind w:right="718"/>
        <w:jc w:val="both"/>
      </w:pPr>
      <w:r>
        <w:t>Los Objetivos de Desarrollo Sostenible (ODS) adoptados el 25 de septiembre de 2015, en particular el Objetivo 5: Lograr la igualdad entre los géneros y empoderar a todas las mujeres y las niñas y la meta 5.4 vinculada con las condiciones de trabajo, se establece la necesidad de “reconocer y valorar el trabajo doméstico y de cuidado no remunerado mediante</w:t>
      </w:r>
      <w:r>
        <w:rPr>
          <w:spacing w:val="-19"/>
        </w:rPr>
        <w:t xml:space="preserve"> </w:t>
      </w:r>
      <w:r>
        <w:t>servicios</w:t>
      </w:r>
      <w:r>
        <w:rPr>
          <w:spacing w:val="-20"/>
        </w:rPr>
        <w:t xml:space="preserve"> </w:t>
      </w:r>
      <w:r>
        <w:t>públicos,</w:t>
      </w:r>
      <w:r>
        <w:rPr>
          <w:spacing w:val="-20"/>
        </w:rPr>
        <w:t xml:space="preserve"> </w:t>
      </w:r>
      <w:r>
        <w:t>infraestructuras</w:t>
      </w:r>
      <w:r>
        <w:rPr>
          <w:spacing w:val="-21"/>
        </w:rPr>
        <w:t xml:space="preserve"> </w:t>
      </w:r>
      <w:r>
        <w:t>y</w:t>
      </w:r>
      <w:r>
        <w:rPr>
          <w:spacing w:val="-20"/>
        </w:rPr>
        <w:t xml:space="preserve"> </w:t>
      </w:r>
      <w:r>
        <w:t>políticas</w:t>
      </w:r>
      <w:r>
        <w:rPr>
          <w:spacing w:val="-20"/>
        </w:rPr>
        <w:t xml:space="preserve"> </w:t>
      </w:r>
      <w:r>
        <w:t>de</w:t>
      </w:r>
      <w:r>
        <w:rPr>
          <w:spacing w:val="-21"/>
        </w:rPr>
        <w:t xml:space="preserve"> </w:t>
      </w:r>
      <w:r>
        <w:t>protección</w:t>
      </w:r>
      <w:r>
        <w:rPr>
          <w:spacing w:val="-22"/>
        </w:rPr>
        <w:t xml:space="preserve"> </w:t>
      </w:r>
      <w:r>
        <w:t xml:space="preserve">social </w:t>
      </w:r>
      <w:r>
        <w:rPr>
          <w:spacing w:val="-2"/>
        </w:rPr>
        <w:t>(…)”.</w:t>
      </w:r>
    </w:p>
    <w:p w14:paraId="28201153" w14:textId="77777777" w:rsidR="000E52B0" w:rsidRDefault="00F60D74">
      <w:pPr>
        <w:pStyle w:val="Textoindependiente"/>
        <w:spacing w:before="162"/>
        <w:ind w:right="715"/>
        <w:jc w:val="both"/>
      </w:pPr>
      <w:r>
        <w:t>Ley 1098 de 2006 “Por la cual se expide el Código de la Infancia y la Adolescencia” señala en su artículo 23 el derecho de los niños, las niñas y los adolescentes a que sus padres asuman su cuidado personal, el cual se extiende además a quienes convivan con ellos en los ámbitos familiar, social o institucional, o a sus representantes legales. La Convención sobre los Derechos de las Personas con Discapacidad, aprobada en Colombia a través</w:t>
      </w:r>
      <w:r>
        <w:rPr>
          <w:spacing w:val="-1"/>
        </w:rPr>
        <w:t xml:space="preserve"> </w:t>
      </w:r>
      <w:r>
        <w:t>de la</w:t>
      </w:r>
      <w:r>
        <w:rPr>
          <w:spacing w:val="-1"/>
        </w:rPr>
        <w:t xml:space="preserve"> </w:t>
      </w:r>
      <w:r>
        <w:t>Ley</w:t>
      </w:r>
      <w:r>
        <w:rPr>
          <w:spacing w:val="-1"/>
        </w:rPr>
        <w:t xml:space="preserve"> </w:t>
      </w:r>
      <w:r>
        <w:t>1346 de 2009 establece que “(…)</w:t>
      </w:r>
      <w:r>
        <w:rPr>
          <w:spacing w:val="-2"/>
        </w:rPr>
        <w:t xml:space="preserve"> </w:t>
      </w:r>
      <w:r>
        <w:t>los</w:t>
      </w:r>
      <w:r>
        <w:rPr>
          <w:spacing w:val="-1"/>
        </w:rPr>
        <w:t xml:space="preserve"> </w:t>
      </w:r>
      <w:r>
        <w:t>Estados</w:t>
      </w:r>
      <w:r>
        <w:rPr>
          <w:spacing w:val="-1"/>
        </w:rPr>
        <w:t xml:space="preserve"> </w:t>
      </w:r>
      <w:r>
        <w:t>Partes en</w:t>
      </w:r>
      <w:r>
        <w:rPr>
          <w:spacing w:val="-1"/>
        </w:rPr>
        <w:t xml:space="preserve"> </w:t>
      </w:r>
      <w:r>
        <w:t>la presente Convención reconocen el derecho en igualdad de condiciones de todas</w:t>
      </w:r>
      <w:r>
        <w:rPr>
          <w:spacing w:val="-2"/>
        </w:rPr>
        <w:t xml:space="preserve"> </w:t>
      </w:r>
      <w:r>
        <w:t>las</w:t>
      </w:r>
      <w:r>
        <w:rPr>
          <w:spacing w:val="-2"/>
        </w:rPr>
        <w:t xml:space="preserve"> </w:t>
      </w:r>
      <w:r>
        <w:t>personas</w:t>
      </w:r>
      <w:r>
        <w:rPr>
          <w:spacing w:val="-2"/>
        </w:rPr>
        <w:t xml:space="preserve"> </w:t>
      </w:r>
      <w:r>
        <w:t>con</w:t>
      </w:r>
      <w:r>
        <w:rPr>
          <w:spacing w:val="-4"/>
        </w:rPr>
        <w:t xml:space="preserve"> </w:t>
      </w:r>
      <w:r>
        <w:t>discapacidad</w:t>
      </w:r>
      <w:r>
        <w:rPr>
          <w:spacing w:val="-2"/>
        </w:rPr>
        <w:t xml:space="preserve"> </w:t>
      </w:r>
      <w:r>
        <w:t>a vivir en</w:t>
      </w:r>
      <w:r>
        <w:rPr>
          <w:spacing w:val="-4"/>
        </w:rPr>
        <w:t xml:space="preserve"> </w:t>
      </w:r>
      <w:r>
        <w:t>la</w:t>
      </w:r>
      <w:r>
        <w:rPr>
          <w:spacing w:val="-2"/>
        </w:rPr>
        <w:t xml:space="preserve"> </w:t>
      </w:r>
      <w:r>
        <w:t>comunidad,</w:t>
      </w:r>
      <w:r>
        <w:rPr>
          <w:spacing w:val="-4"/>
        </w:rPr>
        <w:t xml:space="preserve"> </w:t>
      </w:r>
      <w:r>
        <w:t>con</w:t>
      </w:r>
      <w:r>
        <w:rPr>
          <w:spacing w:val="-2"/>
        </w:rPr>
        <w:t xml:space="preserve"> </w:t>
      </w:r>
      <w:r>
        <w:t>opciones iguales a las de las demás, y adoptarán medidas efectivas y pertinentes para facilitar el pleno goce de este derecho por las personas con discapacidad y su plena inclusión y participación en la comunidad.</w:t>
      </w:r>
    </w:p>
    <w:p w14:paraId="71456AC6" w14:textId="77777777" w:rsidR="000E52B0" w:rsidRDefault="00F60D74">
      <w:pPr>
        <w:pStyle w:val="Textoindependiente"/>
        <w:spacing w:before="160"/>
        <w:ind w:right="721"/>
        <w:jc w:val="both"/>
      </w:pPr>
      <w:r>
        <w:t>La Ley 1413 de 2010 “Por medio de la cual se regula la inclusión de la economía</w:t>
      </w:r>
      <w:r>
        <w:rPr>
          <w:spacing w:val="-6"/>
        </w:rPr>
        <w:t xml:space="preserve"> </w:t>
      </w:r>
      <w:r>
        <w:t>del</w:t>
      </w:r>
      <w:r>
        <w:rPr>
          <w:spacing w:val="-7"/>
        </w:rPr>
        <w:t xml:space="preserve"> </w:t>
      </w:r>
      <w:r>
        <w:t>cuidado</w:t>
      </w:r>
      <w:r>
        <w:rPr>
          <w:spacing w:val="-6"/>
        </w:rPr>
        <w:t xml:space="preserve"> </w:t>
      </w:r>
      <w:r>
        <w:t>en</w:t>
      </w:r>
      <w:r>
        <w:rPr>
          <w:spacing w:val="-7"/>
        </w:rPr>
        <w:t xml:space="preserve"> </w:t>
      </w:r>
      <w:r>
        <w:t>el</w:t>
      </w:r>
      <w:r>
        <w:rPr>
          <w:spacing w:val="-7"/>
        </w:rPr>
        <w:t xml:space="preserve"> </w:t>
      </w:r>
      <w:r>
        <w:t>sistema</w:t>
      </w:r>
      <w:r>
        <w:rPr>
          <w:spacing w:val="-6"/>
        </w:rPr>
        <w:t xml:space="preserve"> </w:t>
      </w:r>
      <w:r>
        <w:t>de</w:t>
      </w:r>
      <w:r>
        <w:rPr>
          <w:spacing w:val="-8"/>
        </w:rPr>
        <w:t xml:space="preserve"> </w:t>
      </w:r>
      <w:r>
        <w:t>cuentas</w:t>
      </w:r>
      <w:r>
        <w:rPr>
          <w:spacing w:val="-7"/>
        </w:rPr>
        <w:t xml:space="preserve"> </w:t>
      </w:r>
      <w:r>
        <w:t>nacionales</w:t>
      </w:r>
      <w:r>
        <w:rPr>
          <w:spacing w:val="-6"/>
        </w:rPr>
        <w:t xml:space="preserve"> </w:t>
      </w:r>
      <w:r>
        <w:t>con</w:t>
      </w:r>
      <w:r>
        <w:rPr>
          <w:spacing w:val="-6"/>
        </w:rPr>
        <w:t xml:space="preserve"> </w:t>
      </w:r>
      <w:r>
        <w:t>el</w:t>
      </w:r>
      <w:r>
        <w:rPr>
          <w:spacing w:val="-7"/>
        </w:rPr>
        <w:t xml:space="preserve"> </w:t>
      </w:r>
      <w:r>
        <w:t>objeto</w:t>
      </w:r>
      <w:r>
        <w:rPr>
          <w:spacing w:val="-6"/>
        </w:rPr>
        <w:t xml:space="preserve"> </w:t>
      </w:r>
      <w:r>
        <w:t>de medir la contribución de la mujer al desarrollo económico y social del país y como herramienta fundamental para la definición e implementación de políticas públicas”.</w:t>
      </w:r>
    </w:p>
    <w:p w14:paraId="0F1E3507" w14:textId="77777777" w:rsidR="000E52B0" w:rsidRDefault="00F60D74">
      <w:pPr>
        <w:pStyle w:val="Textoindependiente"/>
        <w:spacing w:before="160"/>
        <w:ind w:right="715"/>
        <w:jc w:val="both"/>
      </w:pPr>
      <w:r>
        <w:t>La Ley 2055 de 2020 “Por medio de la cual se aprueba la «Convención Interamericana sobre la Protección de los Derechos Humanos de las Personas Mayores», adoptada en Washington, el 15 de junio de 2015” establece</w:t>
      </w:r>
      <w:r>
        <w:rPr>
          <w:spacing w:val="-12"/>
        </w:rPr>
        <w:t xml:space="preserve"> </w:t>
      </w:r>
      <w:r>
        <w:t>como</w:t>
      </w:r>
      <w:r>
        <w:rPr>
          <w:spacing w:val="-13"/>
        </w:rPr>
        <w:t xml:space="preserve"> </w:t>
      </w:r>
      <w:r>
        <w:t>uno</w:t>
      </w:r>
      <w:r>
        <w:rPr>
          <w:spacing w:val="-13"/>
        </w:rPr>
        <w:t xml:space="preserve"> </w:t>
      </w:r>
      <w:r>
        <w:t>de</w:t>
      </w:r>
      <w:r>
        <w:rPr>
          <w:spacing w:val="-13"/>
        </w:rPr>
        <w:t xml:space="preserve"> </w:t>
      </w:r>
      <w:r>
        <w:t>sus</w:t>
      </w:r>
      <w:r>
        <w:rPr>
          <w:spacing w:val="-14"/>
        </w:rPr>
        <w:t xml:space="preserve"> </w:t>
      </w:r>
      <w:r>
        <w:t>principios</w:t>
      </w:r>
      <w:r>
        <w:rPr>
          <w:spacing w:val="-11"/>
        </w:rPr>
        <w:t xml:space="preserve"> </w:t>
      </w:r>
      <w:r>
        <w:t>generales</w:t>
      </w:r>
      <w:r>
        <w:rPr>
          <w:spacing w:val="-14"/>
        </w:rPr>
        <w:t xml:space="preserve"> </w:t>
      </w:r>
      <w:r>
        <w:t>“El</w:t>
      </w:r>
      <w:r>
        <w:rPr>
          <w:spacing w:val="-15"/>
        </w:rPr>
        <w:t xml:space="preserve"> </w:t>
      </w:r>
      <w:r>
        <w:t>bienestar</w:t>
      </w:r>
      <w:r>
        <w:rPr>
          <w:spacing w:val="-13"/>
        </w:rPr>
        <w:t xml:space="preserve"> </w:t>
      </w:r>
      <w:r>
        <w:t>y</w:t>
      </w:r>
      <w:r>
        <w:rPr>
          <w:spacing w:val="-14"/>
        </w:rPr>
        <w:t xml:space="preserve"> </w:t>
      </w:r>
      <w:r>
        <w:t>cuidado”</w:t>
      </w:r>
      <w:r>
        <w:rPr>
          <w:spacing w:val="-13"/>
        </w:rPr>
        <w:t xml:space="preserve"> </w:t>
      </w:r>
      <w:r>
        <w:t>así como “La responsabilidad del Estado y participación de la familia y de la comunidad</w:t>
      </w:r>
      <w:r>
        <w:rPr>
          <w:spacing w:val="-20"/>
        </w:rPr>
        <w:t xml:space="preserve"> </w:t>
      </w:r>
      <w:r>
        <w:t>en</w:t>
      </w:r>
      <w:r>
        <w:rPr>
          <w:spacing w:val="-17"/>
        </w:rPr>
        <w:t xml:space="preserve"> </w:t>
      </w:r>
      <w:r>
        <w:t>la</w:t>
      </w:r>
      <w:r>
        <w:rPr>
          <w:spacing w:val="-17"/>
        </w:rPr>
        <w:t xml:space="preserve"> </w:t>
      </w:r>
      <w:r>
        <w:t>integración</w:t>
      </w:r>
      <w:r>
        <w:rPr>
          <w:spacing w:val="-16"/>
        </w:rPr>
        <w:t xml:space="preserve"> </w:t>
      </w:r>
      <w:r>
        <w:t>activa,</w:t>
      </w:r>
      <w:r>
        <w:rPr>
          <w:spacing w:val="-17"/>
        </w:rPr>
        <w:t xml:space="preserve"> </w:t>
      </w:r>
      <w:r>
        <w:t>plena</w:t>
      </w:r>
      <w:r>
        <w:rPr>
          <w:spacing w:val="-16"/>
        </w:rPr>
        <w:t xml:space="preserve"> </w:t>
      </w:r>
      <w:r>
        <w:t>y</w:t>
      </w:r>
      <w:r>
        <w:rPr>
          <w:spacing w:val="-17"/>
        </w:rPr>
        <w:t xml:space="preserve"> </w:t>
      </w:r>
      <w:r>
        <w:t>productiva</w:t>
      </w:r>
      <w:r>
        <w:rPr>
          <w:spacing w:val="-16"/>
        </w:rPr>
        <w:t xml:space="preserve"> </w:t>
      </w:r>
      <w:r>
        <w:t>de</w:t>
      </w:r>
      <w:r>
        <w:rPr>
          <w:spacing w:val="-15"/>
        </w:rPr>
        <w:t xml:space="preserve"> </w:t>
      </w:r>
      <w:r>
        <w:t>la</w:t>
      </w:r>
      <w:r>
        <w:rPr>
          <w:spacing w:val="-16"/>
        </w:rPr>
        <w:t xml:space="preserve"> </w:t>
      </w:r>
      <w:r>
        <w:t>persona</w:t>
      </w:r>
      <w:r>
        <w:rPr>
          <w:spacing w:val="-16"/>
        </w:rPr>
        <w:t xml:space="preserve"> </w:t>
      </w:r>
      <w:r>
        <w:rPr>
          <w:spacing w:val="-2"/>
        </w:rPr>
        <w:t>mayor</w:t>
      </w:r>
    </w:p>
    <w:p w14:paraId="14E51434" w14:textId="77777777" w:rsidR="000E52B0" w:rsidRDefault="000E52B0">
      <w:pPr>
        <w:pStyle w:val="Textoindependiente"/>
        <w:jc w:val="both"/>
        <w:sectPr w:rsidR="000E52B0">
          <w:pgSz w:w="11910" w:h="16840"/>
          <w:pgMar w:top="1340" w:right="720" w:bottom="1180" w:left="720" w:header="0" w:footer="995" w:gutter="0"/>
          <w:cols w:space="720"/>
        </w:sectPr>
      </w:pPr>
    </w:p>
    <w:p w14:paraId="3344CD62" w14:textId="77777777" w:rsidR="000E52B0" w:rsidRDefault="00F60D74">
      <w:pPr>
        <w:pStyle w:val="Textoindependiente"/>
        <w:spacing w:before="83"/>
        <w:jc w:val="both"/>
      </w:pPr>
      <w:r>
        <w:lastRenderedPageBreak/>
        <w:t>dentro</w:t>
      </w:r>
      <w:r>
        <w:rPr>
          <w:spacing w:val="3"/>
        </w:rPr>
        <w:t xml:space="preserve"> </w:t>
      </w:r>
      <w:r>
        <w:t>de</w:t>
      </w:r>
      <w:r>
        <w:rPr>
          <w:spacing w:val="6"/>
        </w:rPr>
        <w:t xml:space="preserve"> </w:t>
      </w:r>
      <w:r>
        <w:t>la</w:t>
      </w:r>
      <w:r>
        <w:rPr>
          <w:spacing w:val="3"/>
        </w:rPr>
        <w:t xml:space="preserve"> </w:t>
      </w:r>
      <w:r>
        <w:t>sociedad,</w:t>
      </w:r>
      <w:r>
        <w:rPr>
          <w:spacing w:val="4"/>
        </w:rPr>
        <w:t xml:space="preserve"> </w:t>
      </w:r>
      <w:r>
        <w:t>así</w:t>
      </w:r>
      <w:r>
        <w:rPr>
          <w:spacing w:val="3"/>
        </w:rPr>
        <w:t xml:space="preserve"> </w:t>
      </w:r>
      <w:r>
        <w:t>como</w:t>
      </w:r>
      <w:r>
        <w:rPr>
          <w:spacing w:val="6"/>
        </w:rPr>
        <w:t xml:space="preserve"> </w:t>
      </w:r>
      <w:r>
        <w:t>en</w:t>
      </w:r>
      <w:r>
        <w:rPr>
          <w:spacing w:val="3"/>
        </w:rPr>
        <w:t xml:space="preserve"> </w:t>
      </w:r>
      <w:r>
        <w:t>su</w:t>
      </w:r>
      <w:r>
        <w:rPr>
          <w:spacing w:val="7"/>
        </w:rPr>
        <w:t xml:space="preserve"> </w:t>
      </w:r>
      <w:r>
        <w:t>cuidado</w:t>
      </w:r>
      <w:r>
        <w:rPr>
          <w:spacing w:val="5"/>
        </w:rPr>
        <w:t xml:space="preserve"> </w:t>
      </w:r>
      <w:r>
        <w:t>y</w:t>
      </w:r>
      <w:r>
        <w:rPr>
          <w:spacing w:val="5"/>
        </w:rPr>
        <w:t xml:space="preserve"> </w:t>
      </w:r>
      <w:r>
        <w:t>atención,</w:t>
      </w:r>
      <w:r>
        <w:rPr>
          <w:spacing w:val="5"/>
        </w:rPr>
        <w:t xml:space="preserve"> </w:t>
      </w:r>
      <w:r>
        <w:t>de</w:t>
      </w:r>
      <w:r>
        <w:rPr>
          <w:spacing w:val="6"/>
        </w:rPr>
        <w:t xml:space="preserve"> </w:t>
      </w:r>
      <w:r>
        <w:t>acuerdo</w:t>
      </w:r>
      <w:r>
        <w:rPr>
          <w:spacing w:val="6"/>
        </w:rPr>
        <w:t xml:space="preserve"> </w:t>
      </w:r>
      <w:r>
        <w:rPr>
          <w:spacing w:val="-5"/>
        </w:rPr>
        <w:t>con</w:t>
      </w:r>
    </w:p>
    <w:p w14:paraId="7187EECF" w14:textId="77777777" w:rsidR="000E52B0" w:rsidRDefault="00F60D74">
      <w:pPr>
        <w:pStyle w:val="Textoindependiente"/>
        <w:spacing w:before="1"/>
        <w:jc w:val="both"/>
      </w:pPr>
      <w:r>
        <w:t>su</w:t>
      </w:r>
      <w:r>
        <w:rPr>
          <w:spacing w:val="-4"/>
        </w:rPr>
        <w:t xml:space="preserve"> </w:t>
      </w:r>
      <w:r>
        <w:t>legislación</w:t>
      </w:r>
      <w:r>
        <w:rPr>
          <w:spacing w:val="-2"/>
        </w:rPr>
        <w:t xml:space="preserve"> interna.”</w:t>
      </w:r>
    </w:p>
    <w:p w14:paraId="06E15C9C" w14:textId="77777777" w:rsidR="000E52B0" w:rsidRDefault="00F60D74">
      <w:pPr>
        <w:pStyle w:val="Textoindependiente"/>
        <w:spacing w:before="157"/>
        <w:ind w:right="717"/>
        <w:jc w:val="both"/>
      </w:pPr>
      <w:r>
        <w:t>La Ley 2055 de 2020 establece en su artículo 6 “Derecho a la vida y a la dignidad en la vejez” que “(l)os Estados Parte tomarán medidas para que las</w:t>
      </w:r>
      <w:r>
        <w:rPr>
          <w:spacing w:val="-13"/>
        </w:rPr>
        <w:t xml:space="preserve"> </w:t>
      </w:r>
      <w:r>
        <w:t>instituciones</w:t>
      </w:r>
      <w:r>
        <w:rPr>
          <w:spacing w:val="-12"/>
        </w:rPr>
        <w:t xml:space="preserve"> </w:t>
      </w:r>
      <w:r>
        <w:t>públicas</w:t>
      </w:r>
      <w:r>
        <w:rPr>
          <w:spacing w:val="-11"/>
        </w:rPr>
        <w:t xml:space="preserve"> </w:t>
      </w:r>
      <w:r>
        <w:t>y</w:t>
      </w:r>
      <w:r>
        <w:rPr>
          <w:spacing w:val="-13"/>
        </w:rPr>
        <w:t xml:space="preserve"> </w:t>
      </w:r>
      <w:r>
        <w:t>privadas</w:t>
      </w:r>
      <w:r>
        <w:rPr>
          <w:spacing w:val="-13"/>
        </w:rPr>
        <w:t xml:space="preserve"> </w:t>
      </w:r>
      <w:r>
        <w:t>ofrezcan</w:t>
      </w:r>
      <w:r>
        <w:rPr>
          <w:spacing w:val="-14"/>
        </w:rPr>
        <w:t xml:space="preserve"> </w:t>
      </w:r>
      <w:r>
        <w:t>a</w:t>
      </w:r>
      <w:r>
        <w:rPr>
          <w:spacing w:val="-13"/>
        </w:rPr>
        <w:t xml:space="preserve"> </w:t>
      </w:r>
      <w:r>
        <w:t>la</w:t>
      </w:r>
      <w:r>
        <w:rPr>
          <w:spacing w:val="-11"/>
        </w:rPr>
        <w:t xml:space="preserve"> </w:t>
      </w:r>
      <w:r>
        <w:t>persona</w:t>
      </w:r>
      <w:r>
        <w:rPr>
          <w:spacing w:val="-13"/>
        </w:rPr>
        <w:t xml:space="preserve"> </w:t>
      </w:r>
      <w:r>
        <w:t>mayor</w:t>
      </w:r>
      <w:r>
        <w:rPr>
          <w:spacing w:val="-12"/>
        </w:rPr>
        <w:t xml:space="preserve"> </w:t>
      </w:r>
      <w:r>
        <w:t>un</w:t>
      </w:r>
      <w:r>
        <w:rPr>
          <w:spacing w:val="-13"/>
        </w:rPr>
        <w:t xml:space="preserve"> </w:t>
      </w:r>
      <w:r>
        <w:t>acceso no discriminatorio a cuidados integrales, incluidos los cuidados paliativos, eviten el aislamiento y manejen apropiadamente los problemas relacionados</w:t>
      </w:r>
      <w:r>
        <w:rPr>
          <w:spacing w:val="-13"/>
        </w:rPr>
        <w:t xml:space="preserve"> </w:t>
      </w:r>
      <w:r>
        <w:t>con</w:t>
      </w:r>
      <w:r>
        <w:rPr>
          <w:spacing w:val="-11"/>
        </w:rPr>
        <w:t xml:space="preserve"> </w:t>
      </w:r>
      <w:r>
        <w:t>el</w:t>
      </w:r>
      <w:r>
        <w:rPr>
          <w:spacing w:val="-11"/>
        </w:rPr>
        <w:t xml:space="preserve"> </w:t>
      </w:r>
      <w:r>
        <w:t>miedo</w:t>
      </w:r>
      <w:r>
        <w:rPr>
          <w:spacing w:val="-12"/>
        </w:rPr>
        <w:t xml:space="preserve"> </w:t>
      </w:r>
      <w:r>
        <w:t>a</w:t>
      </w:r>
      <w:r>
        <w:rPr>
          <w:spacing w:val="-11"/>
        </w:rPr>
        <w:t xml:space="preserve"> </w:t>
      </w:r>
      <w:r>
        <w:t>la</w:t>
      </w:r>
      <w:r>
        <w:rPr>
          <w:spacing w:val="-11"/>
        </w:rPr>
        <w:t xml:space="preserve"> </w:t>
      </w:r>
      <w:r>
        <w:t>muerte</w:t>
      </w:r>
      <w:r>
        <w:rPr>
          <w:spacing w:val="-12"/>
        </w:rPr>
        <w:t xml:space="preserve"> </w:t>
      </w:r>
      <w:r>
        <w:t>de</w:t>
      </w:r>
      <w:r>
        <w:rPr>
          <w:spacing w:val="-12"/>
        </w:rPr>
        <w:t xml:space="preserve"> </w:t>
      </w:r>
      <w:r>
        <w:t>los</w:t>
      </w:r>
      <w:r>
        <w:rPr>
          <w:spacing w:val="-12"/>
        </w:rPr>
        <w:t xml:space="preserve"> </w:t>
      </w:r>
      <w:r>
        <w:t>enfermos</w:t>
      </w:r>
      <w:r>
        <w:rPr>
          <w:spacing w:val="-13"/>
        </w:rPr>
        <w:t xml:space="preserve"> </w:t>
      </w:r>
      <w:r>
        <w:t>terminales,</w:t>
      </w:r>
      <w:r>
        <w:rPr>
          <w:spacing w:val="-11"/>
        </w:rPr>
        <w:t xml:space="preserve"> </w:t>
      </w:r>
      <w:r>
        <w:t>el</w:t>
      </w:r>
      <w:r>
        <w:rPr>
          <w:spacing w:val="-11"/>
        </w:rPr>
        <w:t xml:space="preserve"> </w:t>
      </w:r>
      <w:r>
        <w:t>dolor, y</w:t>
      </w:r>
      <w:r>
        <w:rPr>
          <w:spacing w:val="-11"/>
        </w:rPr>
        <w:t xml:space="preserve"> </w:t>
      </w:r>
      <w:r>
        <w:t>eviten</w:t>
      </w:r>
      <w:r>
        <w:rPr>
          <w:spacing w:val="-10"/>
        </w:rPr>
        <w:t xml:space="preserve"> </w:t>
      </w:r>
      <w:r>
        <w:t>el</w:t>
      </w:r>
      <w:r>
        <w:rPr>
          <w:spacing w:val="-10"/>
        </w:rPr>
        <w:t xml:space="preserve"> </w:t>
      </w:r>
      <w:r>
        <w:t>sufrimiento</w:t>
      </w:r>
      <w:r>
        <w:rPr>
          <w:spacing w:val="-11"/>
        </w:rPr>
        <w:t xml:space="preserve"> </w:t>
      </w:r>
      <w:r>
        <w:t>innecesario</w:t>
      </w:r>
      <w:r>
        <w:rPr>
          <w:spacing w:val="-11"/>
        </w:rPr>
        <w:t xml:space="preserve"> </w:t>
      </w:r>
      <w:r>
        <w:t>y</w:t>
      </w:r>
      <w:r>
        <w:rPr>
          <w:spacing w:val="-9"/>
        </w:rPr>
        <w:t xml:space="preserve"> </w:t>
      </w:r>
      <w:r>
        <w:t>las</w:t>
      </w:r>
      <w:r>
        <w:rPr>
          <w:spacing w:val="-7"/>
        </w:rPr>
        <w:t xml:space="preserve"> </w:t>
      </w:r>
      <w:r>
        <w:t>intervenciones</w:t>
      </w:r>
      <w:r>
        <w:rPr>
          <w:spacing w:val="-11"/>
        </w:rPr>
        <w:t xml:space="preserve"> </w:t>
      </w:r>
      <w:r>
        <w:t>fútiles</w:t>
      </w:r>
      <w:r>
        <w:rPr>
          <w:spacing w:val="-11"/>
        </w:rPr>
        <w:t xml:space="preserve"> </w:t>
      </w:r>
      <w:r>
        <w:t>e</w:t>
      </w:r>
      <w:r>
        <w:rPr>
          <w:spacing w:val="-10"/>
        </w:rPr>
        <w:t xml:space="preserve"> </w:t>
      </w:r>
      <w:r>
        <w:t>inútiles,</w:t>
      </w:r>
      <w:r>
        <w:rPr>
          <w:spacing w:val="-4"/>
        </w:rPr>
        <w:t xml:space="preserve"> </w:t>
      </w:r>
      <w:r>
        <w:t>de conformidad con el derecho de la persona mayor a expresar el consentimiento informado.”</w:t>
      </w:r>
    </w:p>
    <w:p w14:paraId="0EAA853F" w14:textId="77777777" w:rsidR="000E52B0" w:rsidRDefault="00F60D74">
      <w:pPr>
        <w:pStyle w:val="Textoindependiente"/>
        <w:spacing w:before="162"/>
        <w:ind w:right="723"/>
        <w:jc w:val="both"/>
      </w:pPr>
      <w:r>
        <w:t>El</w:t>
      </w:r>
      <w:r>
        <w:rPr>
          <w:spacing w:val="-21"/>
        </w:rPr>
        <w:t xml:space="preserve"> </w:t>
      </w:r>
      <w:r>
        <w:t>artículo</w:t>
      </w:r>
      <w:r>
        <w:rPr>
          <w:spacing w:val="-19"/>
        </w:rPr>
        <w:t xml:space="preserve"> </w:t>
      </w:r>
      <w:r>
        <w:t>12</w:t>
      </w:r>
      <w:r>
        <w:rPr>
          <w:spacing w:val="-19"/>
        </w:rPr>
        <w:t xml:space="preserve"> </w:t>
      </w:r>
      <w:r>
        <w:t>de</w:t>
      </w:r>
      <w:r>
        <w:rPr>
          <w:spacing w:val="-19"/>
        </w:rPr>
        <w:t xml:space="preserve"> </w:t>
      </w:r>
      <w:r>
        <w:t>la</w:t>
      </w:r>
      <w:r>
        <w:rPr>
          <w:spacing w:val="-20"/>
        </w:rPr>
        <w:t xml:space="preserve"> </w:t>
      </w:r>
      <w:r>
        <w:t>Ley</w:t>
      </w:r>
      <w:r>
        <w:rPr>
          <w:spacing w:val="-20"/>
        </w:rPr>
        <w:t xml:space="preserve"> </w:t>
      </w:r>
      <w:r>
        <w:t>2055</w:t>
      </w:r>
      <w:r>
        <w:rPr>
          <w:spacing w:val="-19"/>
        </w:rPr>
        <w:t xml:space="preserve"> </w:t>
      </w:r>
      <w:r>
        <w:t>de</w:t>
      </w:r>
      <w:r>
        <w:rPr>
          <w:spacing w:val="-19"/>
        </w:rPr>
        <w:t xml:space="preserve"> </w:t>
      </w:r>
      <w:r>
        <w:t>2020</w:t>
      </w:r>
      <w:r>
        <w:rPr>
          <w:spacing w:val="-19"/>
        </w:rPr>
        <w:t xml:space="preserve"> </w:t>
      </w:r>
      <w:r>
        <w:t>se</w:t>
      </w:r>
      <w:r>
        <w:rPr>
          <w:spacing w:val="-21"/>
        </w:rPr>
        <w:t xml:space="preserve"> </w:t>
      </w:r>
      <w:r>
        <w:t>refiere</w:t>
      </w:r>
      <w:r>
        <w:rPr>
          <w:spacing w:val="-18"/>
        </w:rPr>
        <w:t xml:space="preserve"> </w:t>
      </w:r>
      <w:r>
        <w:t>a</w:t>
      </w:r>
      <w:r>
        <w:rPr>
          <w:spacing w:val="-20"/>
        </w:rPr>
        <w:t xml:space="preserve"> </w:t>
      </w:r>
      <w:r>
        <w:t>los</w:t>
      </w:r>
      <w:r>
        <w:rPr>
          <w:spacing w:val="-20"/>
        </w:rPr>
        <w:t xml:space="preserve"> </w:t>
      </w:r>
      <w:r>
        <w:t>derechos</w:t>
      </w:r>
      <w:r>
        <w:rPr>
          <w:spacing w:val="-20"/>
        </w:rPr>
        <w:t xml:space="preserve"> </w:t>
      </w:r>
      <w:r>
        <w:t>de</w:t>
      </w:r>
      <w:r>
        <w:rPr>
          <w:spacing w:val="-19"/>
        </w:rPr>
        <w:t xml:space="preserve"> </w:t>
      </w:r>
      <w:r>
        <w:t>la</w:t>
      </w:r>
      <w:r>
        <w:rPr>
          <w:spacing w:val="-18"/>
        </w:rPr>
        <w:t xml:space="preserve"> </w:t>
      </w:r>
      <w:r>
        <w:t>persona mayor que recibe servicios de cuidado a largo plazo. En él se incluye el derecho de la persona mayor a un sistema integral de cuidados.</w:t>
      </w:r>
    </w:p>
    <w:p w14:paraId="3EC67AAF" w14:textId="77777777" w:rsidR="000E52B0" w:rsidRDefault="00F60D74">
      <w:pPr>
        <w:pStyle w:val="Textoindependiente"/>
        <w:spacing w:before="159"/>
        <w:ind w:right="715"/>
        <w:jc w:val="both"/>
      </w:pPr>
      <w:r>
        <w:t>La Ley 2297 de 2023 que establece “medidas efectivas y oportunas en beneficio</w:t>
      </w:r>
      <w:r>
        <w:rPr>
          <w:spacing w:val="-22"/>
        </w:rPr>
        <w:t xml:space="preserve"> </w:t>
      </w:r>
      <w:r>
        <w:t>de</w:t>
      </w:r>
      <w:r>
        <w:rPr>
          <w:spacing w:val="-21"/>
        </w:rPr>
        <w:t xml:space="preserve"> </w:t>
      </w:r>
      <w:r>
        <w:t>la</w:t>
      </w:r>
      <w:r>
        <w:rPr>
          <w:spacing w:val="-21"/>
        </w:rPr>
        <w:t xml:space="preserve"> </w:t>
      </w:r>
      <w:r>
        <w:t>autonomía</w:t>
      </w:r>
      <w:r>
        <w:rPr>
          <w:spacing w:val="-21"/>
        </w:rPr>
        <w:t xml:space="preserve"> </w:t>
      </w:r>
      <w:r>
        <w:t>de</w:t>
      </w:r>
      <w:r>
        <w:rPr>
          <w:spacing w:val="-21"/>
        </w:rPr>
        <w:t xml:space="preserve"> </w:t>
      </w:r>
      <w:r>
        <w:t>las</w:t>
      </w:r>
      <w:r>
        <w:rPr>
          <w:spacing w:val="-21"/>
        </w:rPr>
        <w:t xml:space="preserve"> </w:t>
      </w:r>
      <w:r>
        <w:t>personas</w:t>
      </w:r>
      <w:r>
        <w:rPr>
          <w:spacing w:val="-21"/>
        </w:rPr>
        <w:t xml:space="preserve"> </w:t>
      </w:r>
      <w:r>
        <w:t>con</w:t>
      </w:r>
      <w:r>
        <w:rPr>
          <w:spacing w:val="-21"/>
        </w:rPr>
        <w:t xml:space="preserve"> </w:t>
      </w:r>
      <w:r>
        <w:t>discapacidad</w:t>
      </w:r>
      <w:r>
        <w:rPr>
          <w:spacing w:val="-21"/>
        </w:rPr>
        <w:t xml:space="preserve"> </w:t>
      </w:r>
      <w:r>
        <w:t>y</w:t>
      </w:r>
      <w:r>
        <w:rPr>
          <w:spacing w:val="-21"/>
        </w:rPr>
        <w:t xml:space="preserve"> </w:t>
      </w:r>
      <w:r>
        <w:t>los</w:t>
      </w:r>
      <w:r>
        <w:rPr>
          <w:spacing w:val="-22"/>
        </w:rPr>
        <w:t xml:space="preserve"> </w:t>
      </w:r>
      <w:r>
        <w:t xml:space="preserve">cuidadores o asistentes personales bajo un enfoque de derechos humanos, biopsicosocial, se incentiva su formación, acceso al empleo, emprendimiento, generación de ingresos y atención en salud y se dictan otras disposiciones”. Lo anterior teniendo en cuenta que las personas con discapacidad y las personas cuidadoras de personas con discapacidad hacen parte de los sujetos a los que se dirige el Sistema Nacional de </w:t>
      </w:r>
      <w:r>
        <w:rPr>
          <w:spacing w:val="-2"/>
        </w:rPr>
        <w:t>Cuidado.</w:t>
      </w:r>
    </w:p>
    <w:p w14:paraId="5F5D5946" w14:textId="77777777" w:rsidR="000E52B0" w:rsidRDefault="00F60D74">
      <w:pPr>
        <w:pStyle w:val="Textoindependiente"/>
        <w:spacing w:before="160"/>
        <w:ind w:right="719"/>
        <w:jc w:val="both"/>
      </w:pPr>
      <w:r>
        <w:t>La Ley 2294 en el artículo 106 determina que el Ministerio de Igualdad y Equidad en el marco del Sistema Nacional de Cuidado, creará, fortalecerá e integrará una oferta de servicios para la formación, el bienestar, la generación de ingresos, fortalecimiento de capacidades para personas cuidadoras remuneradas y no remuneradas así como servicios de cuidado y de desarrollo de capacidades para las personas que requieren cuidado o apoyo, a saber: niños, niñas y adolescentes, personas con discapacidad, personas mayores y demás poblaciones definidas por el Ministerio de la Igualdad y la Equidad.</w:t>
      </w:r>
    </w:p>
    <w:p w14:paraId="1B36BA22" w14:textId="77777777" w:rsidR="000E52B0" w:rsidRDefault="00F60D74">
      <w:pPr>
        <w:pStyle w:val="Textoindependiente"/>
        <w:spacing w:before="161"/>
        <w:ind w:right="719"/>
        <w:jc w:val="both"/>
      </w:pPr>
      <w:r>
        <w:t>La Sentencia T-622 de 2016 en la que la Corte Constitucional reconoce el río Atrato como entidad sujeta de derechos procurando su conservación, restauración y desarrollo sostenible y establece como obligación fundamental del Estado y de la sociedad velar por el cuidado de nuestras riquezas</w:t>
      </w:r>
      <w:r>
        <w:rPr>
          <w:spacing w:val="-9"/>
        </w:rPr>
        <w:t xml:space="preserve"> </w:t>
      </w:r>
      <w:r>
        <w:t>naturales</w:t>
      </w:r>
      <w:r>
        <w:rPr>
          <w:spacing w:val="-9"/>
        </w:rPr>
        <w:t xml:space="preserve"> </w:t>
      </w:r>
      <w:r>
        <w:t>y</w:t>
      </w:r>
      <w:r>
        <w:rPr>
          <w:spacing w:val="-8"/>
        </w:rPr>
        <w:t xml:space="preserve"> </w:t>
      </w:r>
      <w:r>
        <w:t>culturales,</w:t>
      </w:r>
      <w:r>
        <w:rPr>
          <w:spacing w:val="-8"/>
        </w:rPr>
        <w:t xml:space="preserve"> </w:t>
      </w:r>
      <w:r>
        <w:t>señalando</w:t>
      </w:r>
      <w:r>
        <w:rPr>
          <w:spacing w:val="-8"/>
        </w:rPr>
        <w:t xml:space="preserve"> </w:t>
      </w:r>
      <w:r>
        <w:t>que</w:t>
      </w:r>
      <w:r>
        <w:rPr>
          <w:spacing w:val="-9"/>
        </w:rPr>
        <w:t xml:space="preserve"> </w:t>
      </w:r>
      <w:r>
        <w:t>“se</w:t>
      </w:r>
      <w:r>
        <w:rPr>
          <w:spacing w:val="-6"/>
        </w:rPr>
        <w:t xml:space="preserve"> </w:t>
      </w:r>
      <w:r>
        <w:t>ha</w:t>
      </w:r>
      <w:r>
        <w:rPr>
          <w:spacing w:val="-9"/>
        </w:rPr>
        <w:t xml:space="preserve"> </w:t>
      </w:r>
      <w:r>
        <w:t>venido</w:t>
      </w:r>
      <w:r>
        <w:rPr>
          <w:spacing w:val="-8"/>
        </w:rPr>
        <w:t xml:space="preserve"> </w:t>
      </w:r>
      <w:r>
        <w:t>desarrollando un nuevo enfoque jurídico denominado derechos bioculturales, cuya premisa</w:t>
      </w:r>
      <w:r>
        <w:rPr>
          <w:spacing w:val="-11"/>
        </w:rPr>
        <w:t xml:space="preserve"> </w:t>
      </w:r>
      <w:r>
        <w:t>central</w:t>
      </w:r>
      <w:r>
        <w:rPr>
          <w:spacing w:val="-9"/>
        </w:rPr>
        <w:t xml:space="preserve"> </w:t>
      </w:r>
      <w:r>
        <w:t>es</w:t>
      </w:r>
      <w:r>
        <w:rPr>
          <w:spacing w:val="-11"/>
        </w:rPr>
        <w:t xml:space="preserve"> </w:t>
      </w:r>
      <w:r>
        <w:t>la</w:t>
      </w:r>
      <w:r>
        <w:rPr>
          <w:spacing w:val="-11"/>
        </w:rPr>
        <w:t xml:space="preserve"> </w:t>
      </w:r>
      <w:r>
        <w:t>relación</w:t>
      </w:r>
      <w:r>
        <w:rPr>
          <w:spacing w:val="-12"/>
        </w:rPr>
        <w:t xml:space="preserve"> </w:t>
      </w:r>
      <w:r>
        <w:t>de</w:t>
      </w:r>
      <w:r>
        <w:rPr>
          <w:spacing w:val="-8"/>
        </w:rPr>
        <w:t xml:space="preserve"> </w:t>
      </w:r>
      <w:r>
        <w:t>profunda</w:t>
      </w:r>
      <w:r>
        <w:rPr>
          <w:spacing w:val="-11"/>
        </w:rPr>
        <w:t xml:space="preserve"> </w:t>
      </w:r>
      <w:r>
        <w:t>unidad</w:t>
      </w:r>
      <w:r>
        <w:rPr>
          <w:spacing w:val="-10"/>
        </w:rPr>
        <w:t xml:space="preserve"> </w:t>
      </w:r>
      <w:r>
        <w:t>e</w:t>
      </w:r>
      <w:r>
        <w:rPr>
          <w:spacing w:val="-10"/>
        </w:rPr>
        <w:t xml:space="preserve"> </w:t>
      </w:r>
      <w:r>
        <w:t>interdependencia</w:t>
      </w:r>
      <w:r>
        <w:rPr>
          <w:spacing w:val="-11"/>
        </w:rPr>
        <w:t xml:space="preserve"> </w:t>
      </w:r>
      <w:r>
        <w:t>entre naturaleza y especie humana, y que tiene como consecuencia un nuevo entendimiento</w:t>
      </w:r>
      <w:r>
        <w:rPr>
          <w:spacing w:val="-15"/>
        </w:rPr>
        <w:t xml:space="preserve"> </w:t>
      </w:r>
      <w:r>
        <w:t>socio-jurídico</w:t>
      </w:r>
      <w:r>
        <w:rPr>
          <w:spacing w:val="-15"/>
        </w:rPr>
        <w:t xml:space="preserve"> </w:t>
      </w:r>
      <w:r>
        <w:t>en</w:t>
      </w:r>
      <w:r>
        <w:rPr>
          <w:spacing w:val="-17"/>
        </w:rPr>
        <w:t xml:space="preserve"> </w:t>
      </w:r>
      <w:r>
        <w:t>el</w:t>
      </w:r>
      <w:r>
        <w:rPr>
          <w:spacing w:val="-15"/>
        </w:rPr>
        <w:t xml:space="preserve"> </w:t>
      </w:r>
      <w:r>
        <w:t>que</w:t>
      </w:r>
      <w:r>
        <w:rPr>
          <w:spacing w:val="-15"/>
        </w:rPr>
        <w:t xml:space="preserve"> </w:t>
      </w:r>
      <w:r>
        <w:t>la</w:t>
      </w:r>
      <w:r>
        <w:rPr>
          <w:spacing w:val="-14"/>
        </w:rPr>
        <w:t xml:space="preserve"> </w:t>
      </w:r>
      <w:r>
        <w:t>naturaleza</w:t>
      </w:r>
      <w:r>
        <w:rPr>
          <w:spacing w:val="-16"/>
        </w:rPr>
        <w:t xml:space="preserve"> </w:t>
      </w:r>
      <w:r>
        <w:t>y</w:t>
      </w:r>
      <w:r>
        <w:rPr>
          <w:spacing w:val="-16"/>
        </w:rPr>
        <w:t xml:space="preserve"> </w:t>
      </w:r>
      <w:r>
        <w:t>su</w:t>
      </w:r>
      <w:r>
        <w:rPr>
          <w:spacing w:val="-17"/>
        </w:rPr>
        <w:t xml:space="preserve"> </w:t>
      </w:r>
      <w:r>
        <w:t>entorno</w:t>
      </w:r>
      <w:r>
        <w:rPr>
          <w:spacing w:val="-15"/>
        </w:rPr>
        <w:t xml:space="preserve"> </w:t>
      </w:r>
      <w:r>
        <w:t>deben</w:t>
      </w:r>
      <w:r>
        <w:rPr>
          <w:spacing w:val="-17"/>
        </w:rPr>
        <w:t xml:space="preserve"> </w:t>
      </w:r>
      <w:r>
        <w:t xml:space="preserve">ser tomados en serio y con plenitud de derechos. Esto es, como sujetos de </w:t>
      </w:r>
      <w:r>
        <w:rPr>
          <w:spacing w:val="-2"/>
        </w:rPr>
        <w:t>derechos</w:t>
      </w:r>
    </w:p>
    <w:p w14:paraId="1D8F6CD1" w14:textId="77777777" w:rsidR="000E52B0" w:rsidRDefault="000E52B0">
      <w:pPr>
        <w:pStyle w:val="Textoindependiente"/>
        <w:jc w:val="both"/>
        <w:sectPr w:rsidR="000E52B0">
          <w:pgSz w:w="11910" w:h="16840"/>
          <w:pgMar w:top="1340" w:right="720" w:bottom="1180" w:left="720" w:header="0" w:footer="995" w:gutter="0"/>
          <w:cols w:space="720"/>
        </w:sectPr>
      </w:pPr>
    </w:p>
    <w:p w14:paraId="224E45D3" w14:textId="77777777" w:rsidR="000E52B0" w:rsidRDefault="00F60D74">
      <w:pPr>
        <w:pStyle w:val="Textoindependiente"/>
        <w:spacing w:before="83"/>
        <w:ind w:right="720"/>
        <w:jc w:val="both"/>
      </w:pPr>
      <w:r>
        <w:lastRenderedPageBreak/>
        <w:t>La Sentencia T-583 de 2023 en la cual la Corte Constitucional reconoce el cuidado</w:t>
      </w:r>
      <w:r>
        <w:rPr>
          <w:spacing w:val="-10"/>
        </w:rPr>
        <w:t xml:space="preserve"> </w:t>
      </w:r>
      <w:r>
        <w:t>como</w:t>
      </w:r>
      <w:r>
        <w:rPr>
          <w:spacing w:val="-10"/>
        </w:rPr>
        <w:t xml:space="preserve"> </w:t>
      </w:r>
      <w:r>
        <w:t>derecho</w:t>
      </w:r>
      <w:r>
        <w:rPr>
          <w:spacing w:val="-10"/>
        </w:rPr>
        <w:t xml:space="preserve"> </w:t>
      </w:r>
      <w:r>
        <w:t>fundamental</w:t>
      </w:r>
      <w:r>
        <w:rPr>
          <w:spacing w:val="-11"/>
        </w:rPr>
        <w:t xml:space="preserve"> </w:t>
      </w:r>
      <w:r>
        <w:t>a</w:t>
      </w:r>
      <w:r>
        <w:rPr>
          <w:spacing w:val="-8"/>
        </w:rPr>
        <w:t xml:space="preserve"> </w:t>
      </w:r>
      <w:r>
        <w:t>ser</w:t>
      </w:r>
      <w:r>
        <w:rPr>
          <w:spacing w:val="-9"/>
        </w:rPr>
        <w:t xml:space="preserve"> </w:t>
      </w:r>
      <w:r>
        <w:t>cuidado,</w:t>
      </w:r>
      <w:r>
        <w:rPr>
          <w:spacing w:val="-9"/>
        </w:rPr>
        <w:t xml:space="preserve"> </w:t>
      </w:r>
      <w:r>
        <w:t>el</w:t>
      </w:r>
      <w:r>
        <w:rPr>
          <w:spacing w:val="-9"/>
        </w:rPr>
        <w:t xml:space="preserve"> </w:t>
      </w:r>
      <w:r>
        <w:t>derecho</w:t>
      </w:r>
      <w:r>
        <w:rPr>
          <w:spacing w:val="-10"/>
        </w:rPr>
        <w:t xml:space="preserve"> </w:t>
      </w:r>
      <w:r>
        <w:t>y</w:t>
      </w:r>
      <w:r>
        <w:rPr>
          <w:spacing w:val="-10"/>
        </w:rPr>
        <w:t xml:space="preserve"> </w:t>
      </w:r>
      <w:r>
        <w:t>el</w:t>
      </w:r>
      <w:r>
        <w:rPr>
          <w:spacing w:val="-9"/>
        </w:rPr>
        <w:t xml:space="preserve"> </w:t>
      </w:r>
      <w:r>
        <w:t>deber</w:t>
      </w:r>
      <w:r>
        <w:rPr>
          <w:spacing w:val="-9"/>
        </w:rPr>
        <w:t xml:space="preserve"> </w:t>
      </w:r>
      <w:r>
        <w:t>de autocuidado, y el derecho de las personas cuidadoras a hacerlo sin discriminación. Además, reconoce que el cuidado atraviesa las relaciones interpersonales, familiares y comunitarias que sostienen el núcleo relacional que da lugar al Estado Social de Derecho.</w:t>
      </w:r>
    </w:p>
    <w:p w14:paraId="2FD97676" w14:textId="77777777" w:rsidR="000E52B0" w:rsidRDefault="00F60D74">
      <w:pPr>
        <w:pStyle w:val="Textoindependiente"/>
        <w:spacing w:before="158"/>
        <w:ind w:right="719"/>
        <w:jc w:val="both"/>
      </w:pPr>
      <w:r>
        <w:t>La Sentencia T-159 de 2023 en la cual la Corte Constitucional reconoce el derecho a la igualdad material y mínimo vital con enfoque interseccional para</w:t>
      </w:r>
      <w:r>
        <w:rPr>
          <w:spacing w:val="-17"/>
        </w:rPr>
        <w:t xml:space="preserve"> </w:t>
      </w:r>
      <w:r>
        <w:t>la</w:t>
      </w:r>
      <w:r>
        <w:rPr>
          <w:spacing w:val="-17"/>
        </w:rPr>
        <w:t xml:space="preserve"> </w:t>
      </w:r>
      <w:r>
        <w:t>protección</w:t>
      </w:r>
      <w:r>
        <w:rPr>
          <w:spacing w:val="-18"/>
        </w:rPr>
        <w:t xml:space="preserve"> </w:t>
      </w:r>
      <w:r>
        <w:t>de</w:t>
      </w:r>
      <w:r>
        <w:rPr>
          <w:spacing w:val="-16"/>
        </w:rPr>
        <w:t xml:space="preserve"> </w:t>
      </w:r>
      <w:r>
        <w:t>mujeres</w:t>
      </w:r>
      <w:r>
        <w:rPr>
          <w:spacing w:val="-17"/>
        </w:rPr>
        <w:t xml:space="preserve"> </w:t>
      </w:r>
      <w:r>
        <w:t>cuidadoras</w:t>
      </w:r>
      <w:r>
        <w:rPr>
          <w:spacing w:val="-17"/>
        </w:rPr>
        <w:t xml:space="preserve"> </w:t>
      </w:r>
      <w:r>
        <w:t>con</w:t>
      </w:r>
      <w:r>
        <w:rPr>
          <w:spacing w:val="-17"/>
        </w:rPr>
        <w:t xml:space="preserve"> </w:t>
      </w:r>
      <w:r>
        <w:t>trabajos</w:t>
      </w:r>
      <w:r>
        <w:rPr>
          <w:spacing w:val="-17"/>
        </w:rPr>
        <w:t xml:space="preserve"> </w:t>
      </w:r>
      <w:r>
        <w:t>informales</w:t>
      </w:r>
      <w:r>
        <w:rPr>
          <w:spacing w:val="-17"/>
        </w:rPr>
        <w:t xml:space="preserve"> </w:t>
      </w:r>
      <w:r>
        <w:t>y</w:t>
      </w:r>
      <w:r>
        <w:rPr>
          <w:spacing w:val="-17"/>
        </w:rPr>
        <w:t xml:space="preserve"> </w:t>
      </w:r>
      <w:r>
        <w:t>se</w:t>
      </w:r>
      <w:r>
        <w:rPr>
          <w:spacing w:val="-16"/>
        </w:rPr>
        <w:t xml:space="preserve"> </w:t>
      </w:r>
      <w:r>
        <w:t xml:space="preserve">insta a la Vicepresidencia de la República a que diseñe y formule una “política pública enfocada a en mujeres cabeza de familia en situación de </w:t>
      </w:r>
      <w:r>
        <w:rPr>
          <w:spacing w:val="-2"/>
        </w:rPr>
        <w:t>vulnerabilidad.</w:t>
      </w:r>
    </w:p>
    <w:p w14:paraId="44A2594B" w14:textId="77777777" w:rsidR="000E52B0" w:rsidRDefault="00F60D74">
      <w:pPr>
        <w:pStyle w:val="Ttulo1"/>
        <w:numPr>
          <w:ilvl w:val="0"/>
          <w:numId w:val="53"/>
        </w:numPr>
        <w:tabs>
          <w:tab w:val="left" w:pos="1440"/>
        </w:tabs>
        <w:spacing w:before="241"/>
        <w:ind w:hanging="965"/>
        <w:jc w:val="left"/>
      </w:pPr>
      <w:bookmarkStart w:id="205" w:name="_bookmark205"/>
      <w:bookmarkEnd w:id="205"/>
      <w:r>
        <w:rPr>
          <w:color w:val="B3176C"/>
        </w:rPr>
        <w:t>Impacto</w:t>
      </w:r>
      <w:r>
        <w:rPr>
          <w:color w:val="B3176C"/>
          <w:spacing w:val="-15"/>
        </w:rPr>
        <w:t xml:space="preserve"> </w:t>
      </w:r>
      <w:r>
        <w:rPr>
          <w:color w:val="B3176C"/>
          <w:spacing w:val="-2"/>
        </w:rPr>
        <w:t>fiscal</w:t>
      </w:r>
    </w:p>
    <w:p w14:paraId="23487694" w14:textId="77777777" w:rsidR="000E52B0" w:rsidRDefault="00F60D74">
      <w:pPr>
        <w:pStyle w:val="Textoindependiente"/>
        <w:spacing w:before="292"/>
        <w:ind w:right="714"/>
        <w:jc w:val="both"/>
      </w:pPr>
      <w:r>
        <w:t>Las consideraciones sobre el impacto fiscal de esta iniciativa están atravesadas por la comprensión del costo económico, social y fiscal de las desigualdades</w:t>
      </w:r>
      <w:r>
        <w:rPr>
          <w:spacing w:val="-4"/>
        </w:rPr>
        <w:t xml:space="preserve"> </w:t>
      </w:r>
      <w:r>
        <w:t>e</w:t>
      </w:r>
      <w:r>
        <w:rPr>
          <w:spacing w:val="-1"/>
        </w:rPr>
        <w:t xml:space="preserve"> </w:t>
      </w:r>
      <w:r>
        <w:t>inequidades.</w:t>
      </w:r>
      <w:r>
        <w:rPr>
          <w:spacing w:val="-4"/>
        </w:rPr>
        <w:t xml:space="preserve"> </w:t>
      </w:r>
      <w:r>
        <w:t>Para</w:t>
      </w:r>
      <w:r>
        <w:rPr>
          <w:spacing w:val="-3"/>
        </w:rPr>
        <w:t xml:space="preserve"> </w:t>
      </w:r>
      <w:r>
        <w:t>dimensionar</w:t>
      </w:r>
      <w:r>
        <w:rPr>
          <w:spacing w:val="-3"/>
        </w:rPr>
        <w:t xml:space="preserve"> </w:t>
      </w:r>
      <w:r>
        <w:t>la</w:t>
      </w:r>
      <w:r>
        <w:rPr>
          <w:spacing w:val="-2"/>
        </w:rPr>
        <w:t xml:space="preserve"> </w:t>
      </w:r>
      <w:r>
        <w:t>magnitud</w:t>
      </w:r>
      <w:r>
        <w:rPr>
          <w:spacing w:val="-4"/>
        </w:rPr>
        <w:t xml:space="preserve"> </w:t>
      </w:r>
      <w:r>
        <w:t>de</w:t>
      </w:r>
      <w:r>
        <w:rPr>
          <w:spacing w:val="-3"/>
        </w:rPr>
        <w:t xml:space="preserve"> </w:t>
      </w:r>
      <w:r>
        <w:t>este</w:t>
      </w:r>
      <w:r>
        <w:rPr>
          <w:spacing w:val="-3"/>
        </w:rPr>
        <w:t xml:space="preserve"> </w:t>
      </w:r>
      <w:r>
        <w:t>costo, es</w:t>
      </w:r>
      <w:r>
        <w:rPr>
          <w:spacing w:val="-13"/>
        </w:rPr>
        <w:t xml:space="preserve"> </w:t>
      </w:r>
      <w:r>
        <w:t>importante</w:t>
      </w:r>
      <w:r>
        <w:rPr>
          <w:spacing w:val="-12"/>
        </w:rPr>
        <w:t xml:space="preserve"> </w:t>
      </w:r>
      <w:r>
        <w:t>resaltar,</w:t>
      </w:r>
      <w:r>
        <w:rPr>
          <w:spacing w:val="-13"/>
        </w:rPr>
        <w:t xml:space="preserve"> </w:t>
      </w:r>
      <w:r>
        <w:t>como</w:t>
      </w:r>
      <w:r>
        <w:rPr>
          <w:spacing w:val="-12"/>
        </w:rPr>
        <w:t xml:space="preserve"> </w:t>
      </w:r>
      <w:r>
        <w:t>se</w:t>
      </w:r>
      <w:r>
        <w:rPr>
          <w:spacing w:val="-12"/>
        </w:rPr>
        <w:t xml:space="preserve"> </w:t>
      </w:r>
      <w:r>
        <w:t>mencionó</w:t>
      </w:r>
      <w:r>
        <w:rPr>
          <w:spacing w:val="-12"/>
        </w:rPr>
        <w:t xml:space="preserve"> </w:t>
      </w:r>
      <w:r>
        <w:t>en</w:t>
      </w:r>
      <w:r>
        <w:rPr>
          <w:spacing w:val="-13"/>
        </w:rPr>
        <w:t xml:space="preserve"> </w:t>
      </w:r>
      <w:r>
        <w:t>el</w:t>
      </w:r>
      <w:r>
        <w:rPr>
          <w:spacing w:val="-14"/>
        </w:rPr>
        <w:t xml:space="preserve"> </w:t>
      </w:r>
      <w:r>
        <w:t>acápite</w:t>
      </w:r>
      <w:r>
        <w:rPr>
          <w:spacing w:val="-12"/>
        </w:rPr>
        <w:t xml:space="preserve"> </w:t>
      </w:r>
      <w:r>
        <w:t>“los</w:t>
      </w:r>
      <w:r>
        <w:rPr>
          <w:spacing w:val="-10"/>
        </w:rPr>
        <w:t xml:space="preserve"> </w:t>
      </w:r>
      <w:r>
        <w:t>costos</w:t>
      </w:r>
      <w:r>
        <w:rPr>
          <w:spacing w:val="-13"/>
        </w:rPr>
        <w:t xml:space="preserve"> </w:t>
      </w:r>
      <w:r>
        <w:t>sociales de la desigualdad”, que solo las desigualdades entre hombres y mujeres, en términos de condiciones laborales y acceso a educación, le costarán al país el 12,6% del PIB para el 2050. Esto significa dejar de producir 196 billones de pesos en los próximos 25 años, lo que equivale a dos años del Presupuesto General de la Nación en inversión (</w:t>
      </w:r>
      <w:proofErr w:type="spellStart"/>
      <w:r>
        <w:t>Devadas</w:t>
      </w:r>
      <w:proofErr w:type="spellEnd"/>
      <w:r>
        <w:t xml:space="preserve"> &amp; Kim, 2020)</w:t>
      </w:r>
      <w:hyperlink w:anchor="_bookmark206" w:history="1">
        <w:r w:rsidR="000E52B0">
          <w:rPr>
            <w:position w:val="8"/>
            <w:sz w:val="16"/>
          </w:rPr>
          <w:t>148</w:t>
        </w:r>
      </w:hyperlink>
      <w:r>
        <w:t>.</w:t>
      </w:r>
    </w:p>
    <w:p w14:paraId="2DF9C78F" w14:textId="77777777" w:rsidR="000E52B0" w:rsidRDefault="00F60D74">
      <w:pPr>
        <w:pStyle w:val="Textoindependiente"/>
        <w:spacing w:before="161"/>
        <w:ind w:right="714"/>
        <w:jc w:val="both"/>
      </w:pPr>
      <w:r>
        <w:t>El</w:t>
      </w:r>
      <w:r>
        <w:rPr>
          <w:spacing w:val="-13"/>
        </w:rPr>
        <w:t xml:space="preserve"> </w:t>
      </w:r>
      <w:r>
        <w:t>crecimiento</w:t>
      </w:r>
      <w:r>
        <w:rPr>
          <w:spacing w:val="-11"/>
        </w:rPr>
        <w:t xml:space="preserve"> </w:t>
      </w:r>
      <w:r>
        <w:t>económico</w:t>
      </w:r>
      <w:r>
        <w:rPr>
          <w:spacing w:val="-11"/>
        </w:rPr>
        <w:t xml:space="preserve"> </w:t>
      </w:r>
      <w:r>
        <w:t>es</w:t>
      </w:r>
      <w:r>
        <w:rPr>
          <w:spacing w:val="-11"/>
        </w:rPr>
        <w:t xml:space="preserve"> </w:t>
      </w:r>
      <w:r>
        <w:t>menor</w:t>
      </w:r>
      <w:r>
        <w:rPr>
          <w:spacing w:val="-10"/>
        </w:rPr>
        <w:t xml:space="preserve"> </w:t>
      </w:r>
      <w:r>
        <w:t>en</w:t>
      </w:r>
      <w:r>
        <w:rPr>
          <w:spacing w:val="-12"/>
        </w:rPr>
        <w:t xml:space="preserve"> </w:t>
      </w:r>
      <w:r>
        <w:t>presencia</w:t>
      </w:r>
      <w:r>
        <w:rPr>
          <w:spacing w:val="-11"/>
        </w:rPr>
        <w:t xml:space="preserve"> </w:t>
      </w:r>
      <w:r>
        <w:t>de</w:t>
      </w:r>
      <w:r>
        <w:rPr>
          <w:spacing w:val="-10"/>
        </w:rPr>
        <w:t xml:space="preserve"> </w:t>
      </w:r>
      <w:r>
        <w:t>altas</w:t>
      </w:r>
      <w:r>
        <w:rPr>
          <w:spacing w:val="-9"/>
        </w:rPr>
        <w:t xml:space="preserve"> </w:t>
      </w:r>
      <w:r>
        <w:t>desigualdades,</w:t>
      </w:r>
      <w:r>
        <w:rPr>
          <w:spacing w:val="-10"/>
        </w:rPr>
        <w:t xml:space="preserve"> </w:t>
      </w:r>
      <w:r>
        <w:t>lo que se da por dos vías, principalmente: 1) baja acumulación de capital humano</w:t>
      </w:r>
      <w:r>
        <w:rPr>
          <w:spacing w:val="-13"/>
        </w:rPr>
        <w:t xml:space="preserve"> </w:t>
      </w:r>
      <w:r>
        <w:t>y</w:t>
      </w:r>
      <w:r>
        <w:rPr>
          <w:spacing w:val="-14"/>
        </w:rPr>
        <w:t xml:space="preserve"> </w:t>
      </w:r>
      <w:r>
        <w:t>productividad</w:t>
      </w:r>
      <w:r>
        <w:rPr>
          <w:spacing w:val="-14"/>
        </w:rPr>
        <w:t xml:space="preserve"> </w:t>
      </w:r>
      <w:r>
        <w:t>de</w:t>
      </w:r>
      <w:r>
        <w:rPr>
          <w:spacing w:val="-13"/>
        </w:rPr>
        <w:t xml:space="preserve"> </w:t>
      </w:r>
      <w:r>
        <w:t>los</w:t>
      </w:r>
      <w:r>
        <w:rPr>
          <w:spacing w:val="-13"/>
        </w:rPr>
        <w:t xml:space="preserve"> </w:t>
      </w:r>
      <w:r>
        <w:t>individuos</w:t>
      </w:r>
      <w:r>
        <w:rPr>
          <w:spacing w:val="-14"/>
        </w:rPr>
        <w:t xml:space="preserve"> </w:t>
      </w:r>
      <w:r>
        <w:t>más</w:t>
      </w:r>
      <w:r>
        <w:rPr>
          <w:spacing w:val="-14"/>
        </w:rPr>
        <w:t xml:space="preserve"> </w:t>
      </w:r>
      <w:r>
        <w:t>pobres</w:t>
      </w:r>
      <w:r>
        <w:rPr>
          <w:spacing w:val="-14"/>
        </w:rPr>
        <w:t xml:space="preserve"> </w:t>
      </w:r>
      <w:r>
        <w:t>y</w:t>
      </w:r>
      <w:r>
        <w:rPr>
          <w:spacing w:val="-14"/>
        </w:rPr>
        <w:t xml:space="preserve"> </w:t>
      </w:r>
      <w:r>
        <w:t>2)</w:t>
      </w:r>
      <w:r>
        <w:rPr>
          <w:spacing w:val="-14"/>
        </w:rPr>
        <w:t xml:space="preserve"> </w:t>
      </w:r>
      <w:r>
        <w:t>mayores</w:t>
      </w:r>
      <w:r>
        <w:rPr>
          <w:spacing w:val="-14"/>
        </w:rPr>
        <w:t xml:space="preserve"> </w:t>
      </w:r>
      <w:r>
        <w:t>riesgos de inestabilidad política, lo que desincentiva los proyectos de inversión, tanto nacionales como de inversión extranjera directa (</w:t>
      </w:r>
      <w:proofErr w:type="spellStart"/>
      <w:r>
        <w:t>Ostry</w:t>
      </w:r>
      <w:proofErr w:type="spellEnd"/>
      <w:r>
        <w:t xml:space="preserve">, </w:t>
      </w:r>
      <w:proofErr w:type="spellStart"/>
      <w:r>
        <w:t>Loungani</w:t>
      </w:r>
      <w:proofErr w:type="spellEnd"/>
      <w:r>
        <w:t xml:space="preserve">, &amp; </w:t>
      </w:r>
      <w:proofErr w:type="spellStart"/>
      <w:r>
        <w:t>Berg</w:t>
      </w:r>
      <w:proofErr w:type="spellEnd"/>
      <w:r>
        <w:t>, 2019)</w:t>
      </w:r>
      <w:hyperlink w:anchor="_bookmark207" w:history="1">
        <w:r w:rsidR="000E52B0">
          <w:rPr>
            <w:position w:val="8"/>
            <w:sz w:val="16"/>
          </w:rPr>
          <w:t>149</w:t>
        </w:r>
      </w:hyperlink>
      <w:r>
        <w:t>.</w:t>
      </w:r>
    </w:p>
    <w:p w14:paraId="626990D7" w14:textId="77777777" w:rsidR="000E52B0" w:rsidRDefault="00F60D74">
      <w:pPr>
        <w:pStyle w:val="Textoindependiente"/>
        <w:spacing w:before="161"/>
        <w:ind w:right="717"/>
        <w:jc w:val="both"/>
      </w:pPr>
      <w:r>
        <w:t>Asimismo, el costo de superar los rezagos históricos de la desigualdad también es un costo amplio, teniendo en consideración que en Colombia para</w:t>
      </w:r>
      <w:r>
        <w:rPr>
          <w:spacing w:val="15"/>
        </w:rPr>
        <w:t xml:space="preserve"> </w:t>
      </w:r>
      <w:r>
        <w:t>el</w:t>
      </w:r>
      <w:r>
        <w:rPr>
          <w:spacing w:val="14"/>
        </w:rPr>
        <w:t xml:space="preserve"> </w:t>
      </w:r>
      <w:r>
        <w:t>2018,</w:t>
      </w:r>
      <w:r>
        <w:rPr>
          <w:spacing w:val="14"/>
        </w:rPr>
        <w:t xml:space="preserve"> </w:t>
      </w:r>
      <w:r>
        <w:t>había</w:t>
      </w:r>
      <w:r>
        <w:rPr>
          <w:spacing w:val="16"/>
        </w:rPr>
        <w:t xml:space="preserve"> </w:t>
      </w:r>
      <w:r>
        <w:t>13</w:t>
      </w:r>
      <w:r>
        <w:rPr>
          <w:spacing w:val="15"/>
        </w:rPr>
        <w:t xml:space="preserve"> </w:t>
      </w:r>
      <w:r>
        <w:t>millones</w:t>
      </w:r>
      <w:r>
        <w:rPr>
          <w:spacing w:val="15"/>
        </w:rPr>
        <w:t xml:space="preserve"> </w:t>
      </w:r>
      <w:r>
        <w:t>de</w:t>
      </w:r>
      <w:r>
        <w:rPr>
          <w:spacing w:val="15"/>
        </w:rPr>
        <w:t xml:space="preserve"> </w:t>
      </w:r>
      <w:r>
        <w:t>personas</w:t>
      </w:r>
      <w:r>
        <w:rPr>
          <w:spacing w:val="14"/>
        </w:rPr>
        <w:t xml:space="preserve"> </w:t>
      </w:r>
      <w:r>
        <w:t>sin</w:t>
      </w:r>
      <w:r>
        <w:rPr>
          <w:spacing w:val="14"/>
        </w:rPr>
        <w:t xml:space="preserve"> </w:t>
      </w:r>
      <w:r>
        <w:t>acceso</w:t>
      </w:r>
      <w:r>
        <w:rPr>
          <w:spacing w:val="15"/>
        </w:rPr>
        <w:t xml:space="preserve"> </w:t>
      </w:r>
      <w:r>
        <w:t>a</w:t>
      </w:r>
      <w:r>
        <w:rPr>
          <w:spacing w:val="19"/>
        </w:rPr>
        <w:t xml:space="preserve"> </w:t>
      </w:r>
      <w:r>
        <w:t>agua</w:t>
      </w:r>
      <w:r>
        <w:rPr>
          <w:spacing w:val="15"/>
        </w:rPr>
        <w:t xml:space="preserve"> </w:t>
      </w:r>
      <w:r>
        <w:t>potable</w:t>
      </w:r>
      <w:r>
        <w:rPr>
          <w:spacing w:val="18"/>
        </w:rPr>
        <w:t xml:space="preserve"> </w:t>
      </w:r>
      <w:r>
        <w:rPr>
          <w:spacing w:val="-10"/>
        </w:rPr>
        <w:t>y</w:t>
      </w:r>
    </w:p>
    <w:p w14:paraId="06E6646C" w14:textId="77777777" w:rsidR="000E52B0" w:rsidRDefault="00F60D74">
      <w:pPr>
        <w:pStyle w:val="Textoindependiente"/>
        <w:ind w:right="719"/>
        <w:jc w:val="both"/>
      </w:pPr>
      <w:r>
        <w:t>17 millones de personas sin saneamiento básico en el país. Para estas brechas se requieren 106.6 billones de pesos, para 196 municipios priorizados por el Programa Agua es Vida, en donde 5.1 millones de personas viven sin acueducto, se requieren 37.1 billones de pesos.</w:t>
      </w:r>
    </w:p>
    <w:p w14:paraId="4FA72E51" w14:textId="77777777" w:rsidR="000E52B0" w:rsidRDefault="00F60D74">
      <w:pPr>
        <w:pStyle w:val="Textoindependiente"/>
        <w:spacing w:before="159"/>
        <w:ind w:right="717"/>
        <w:jc w:val="both"/>
      </w:pPr>
      <w:r>
        <w:t>La</w:t>
      </w:r>
      <w:r>
        <w:rPr>
          <w:spacing w:val="-4"/>
        </w:rPr>
        <w:t xml:space="preserve"> </w:t>
      </w:r>
      <w:r>
        <w:t>Sentencia</w:t>
      </w:r>
      <w:r>
        <w:rPr>
          <w:spacing w:val="-3"/>
        </w:rPr>
        <w:t xml:space="preserve"> </w:t>
      </w:r>
      <w:r>
        <w:t>C-161</w:t>
      </w:r>
      <w:r>
        <w:rPr>
          <w:spacing w:val="-3"/>
        </w:rPr>
        <w:t xml:space="preserve"> </w:t>
      </w:r>
      <w:r>
        <w:t>de</w:t>
      </w:r>
      <w:r>
        <w:rPr>
          <w:spacing w:val="-3"/>
        </w:rPr>
        <w:t xml:space="preserve"> </w:t>
      </w:r>
      <w:r>
        <w:t>2024</w:t>
      </w:r>
      <w:r>
        <w:rPr>
          <w:spacing w:val="-3"/>
        </w:rPr>
        <w:t xml:space="preserve"> </w:t>
      </w:r>
      <w:r>
        <w:t>especifica</w:t>
      </w:r>
      <w:r>
        <w:rPr>
          <w:spacing w:val="-3"/>
        </w:rPr>
        <w:t xml:space="preserve"> </w:t>
      </w:r>
      <w:r>
        <w:t>que</w:t>
      </w:r>
      <w:r>
        <w:rPr>
          <w:spacing w:val="-3"/>
        </w:rPr>
        <w:t xml:space="preserve"> </w:t>
      </w:r>
      <w:r>
        <w:t>“la</w:t>
      </w:r>
      <w:r>
        <w:rPr>
          <w:spacing w:val="-4"/>
        </w:rPr>
        <w:t xml:space="preserve"> </w:t>
      </w:r>
      <w:r>
        <w:t>exposición</w:t>
      </w:r>
      <w:r>
        <w:rPr>
          <w:spacing w:val="-4"/>
        </w:rPr>
        <w:t xml:space="preserve"> </w:t>
      </w:r>
      <w:r>
        <w:t>de</w:t>
      </w:r>
      <w:r>
        <w:rPr>
          <w:spacing w:val="-3"/>
        </w:rPr>
        <w:t xml:space="preserve"> </w:t>
      </w:r>
      <w:r>
        <w:t>motivos</w:t>
      </w:r>
      <w:r>
        <w:rPr>
          <w:spacing w:val="-4"/>
        </w:rPr>
        <w:t xml:space="preserve"> </w:t>
      </w:r>
      <w:r>
        <w:t>y</w:t>
      </w:r>
      <w:r>
        <w:rPr>
          <w:spacing w:val="-4"/>
        </w:rPr>
        <w:t xml:space="preserve"> </w:t>
      </w:r>
      <w:r>
        <w:t>las ponencias para debate debe contener una estimación razonable del costo fiscal</w:t>
      </w:r>
      <w:r>
        <w:rPr>
          <w:spacing w:val="-12"/>
        </w:rPr>
        <w:t xml:space="preserve"> </w:t>
      </w:r>
      <w:r>
        <w:t>de</w:t>
      </w:r>
      <w:r>
        <w:rPr>
          <w:spacing w:val="-13"/>
        </w:rPr>
        <w:t xml:space="preserve"> </w:t>
      </w:r>
      <w:r>
        <w:t>la</w:t>
      </w:r>
      <w:r>
        <w:rPr>
          <w:spacing w:val="-14"/>
        </w:rPr>
        <w:t xml:space="preserve"> </w:t>
      </w:r>
      <w:r>
        <w:t>iniciativa</w:t>
      </w:r>
      <w:r>
        <w:rPr>
          <w:spacing w:val="-12"/>
        </w:rPr>
        <w:t xml:space="preserve"> </w:t>
      </w:r>
      <w:r>
        <w:t>e</w:t>
      </w:r>
      <w:r>
        <w:rPr>
          <w:spacing w:val="-13"/>
        </w:rPr>
        <w:t xml:space="preserve"> </w:t>
      </w:r>
      <w:r>
        <w:t>identificar,</w:t>
      </w:r>
      <w:r>
        <w:rPr>
          <w:spacing w:val="-14"/>
        </w:rPr>
        <w:t xml:space="preserve"> </w:t>
      </w:r>
      <w:r>
        <w:t>por</w:t>
      </w:r>
      <w:r>
        <w:rPr>
          <w:spacing w:val="-13"/>
        </w:rPr>
        <w:t xml:space="preserve"> </w:t>
      </w:r>
      <w:r>
        <w:t>lo</w:t>
      </w:r>
      <w:r>
        <w:rPr>
          <w:spacing w:val="-11"/>
        </w:rPr>
        <w:t xml:space="preserve"> </w:t>
      </w:r>
      <w:r>
        <w:t>menos,</w:t>
      </w:r>
      <w:r>
        <w:rPr>
          <w:spacing w:val="-15"/>
        </w:rPr>
        <w:t xml:space="preserve"> </w:t>
      </w:r>
      <w:r>
        <w:t>de</w:t>
      </w:r>
      <w:r>
        <w:rPr>
          <w:spacing w:val="-13"/>
        </w:rPr>
        <w:t xml:space="preserve"> </w:t>
      </w:r>
      <w:r>
        <w:t>forma</w:t>
      </w:r>
      <w:r>
        <w:rPr>
          <w:spacing w:val="-14"/>
        </w:rPr>
        <w:t xml:space="preserve"> </w:t>
      </w:r>
      <w:r>
        <w:t>somera,</w:t>
      </w:r>
      <w:r>
        <w:rPr>
          <w:spacing w:val="-15"/>
        </w:rPr>
        <w:t xml:space="preserve"> </w:t>
      </w:r>
      <w:r>
        <w:t>la</w:t>
      </w:r>
      <w:r>
        <w:rPr>
          <w:spacing w:val="-14"/>
        </w:rPr>
        <w:t xml:space="preserve"> </w:t>
      </w:r>
      <w:r>
        <w:t>fuente de ingreso sustitutiva”,</w:t>
      </w:r>
      <w:r>
        <w:rPr>
          <w:spacing w:val="-1"/>
        </w:rPr>
        <w:t xml:space="preserve"> </w:t>
      </w:r>
      <w:r>
        <w:t>estos</w:t>
      </w:r>
      <w:r>
        <w:rPr>
          <w:spacing w:val="-1"/>
        </w:rPr>
        <w:t xml:space="preserve"> </w:t>
      </w:r>
      <w:r>
        <w:t>referentes</w:t>
      </w:r>
      <w:r>
        <w:rPr>
          <w:spacing w:val="-1"/>
        </w:rPr>
        <w:t xml:space="preserve"> </w:t>
      </w:r>
      <w:r>
        <w:t>básicos</w:t>
      </w:r>
      <w:r>
        <w:rPr>
          <w:spacing w:val="-1"/>
        </w:rPr>
        <w:t xml:space="preserve"> </w:t>
      </w:r>
      <w:r>
        <w:t>fueron</w:t>
      </w:r>
      <w:r>
        <w:rPr>
          <w:spacing w:val="-1"/>
        </w:rPr>
        <w:t xml:space="preserve"> </w:t>
      </w:r>
      <w:r>
        <w:t>establecidos</w:t>
      </w:r>
      <w:r>
        <w:rPr>
          <w:spacing w:val="1"/>
        </w:rPr>
        <w:t xml:space="preserve"> </w:t>
      </w:r>
      <w:r>
        <w:t>por</w:t>
      </w:r>
      <w:r>
        <w:rPr>
          <w:spacing w:val="1"/>
        </w:rPr>
        <w:t xml:space="preserve"> </w:t>
      </w:r>
      <w:r>
        <w:rPr>
          <w:spacing w:val="-5"/>
        </w:rPr>
        <w:t>la</w:t>
      </w:r>
    </w:p>
    <w:p w14:paraId="5BA8C446" w14:textId="77777777" w:rsidR="000E52B0" w:rsidRDefault="00F60D74">
      <w:pPr>
        <w:pStyle w:val="Textoindependiente"/>
        <w:spacing w:before="106"/>
        <w:ind w:left="0"/>
        <w:rPr>
          <w:sz w:val="20"/>
        </w:rPr>
      </w:pPr>
      <w:r>
        <w:rPr>
          <w:noProof/>
          <w:sz w:val="20"/>
        </w:rPr>
        <mc:AlternateContent>
          <mc:Choice Requires="wps">
            <w:drawing>
              <wp:anchor distT="0" distB="0" distL="0" distR="0" simplePos="0" relativeHeight="487675904" behindDoc="1" locked="0" layoutInCell="1" allowOverlap="1" wp14:anchorId="0F83079E" wp14:editId="30C7F29E">
                <wp:simplePos x="0" y="0"/>
                <wp:positionH relativeFrom="page">
                  <wp:posOffset>914704</wp:posOffset>
                </wp:positionH>
                <wp:positionV relativeFrom="paragraph">
                  <wp:posOffset>237150</wp:posOffset>
                </wp:positionV>
                <wp:extent cx="1829435" cy="7620"/>
                <wp:effectExtent l="0" t="0" r="0" b="0"/>
                <wp:wrapTopAndBottom/>
                <wp:docPr id="757" name="Graphic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42EF60" id="Graphic 757" o:spid="_x0000_s1026" style="position:absolute;margin-left:1in;margin-top:18.65pt;width:144.05pt;height:.6pt;z-index:-156405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" path="m1829054,l,,,7619r1829054,l1829054,xe" fillcolor="black" stroked="f">
                <v:path arrowok="t"/>
                <w10:wrap type="topAndBottom" anchorx="page"/>
              </v:shape>
            </w:pict>
          </mc:Fallback>
        </mc:AlternateContent>
      </w:r>
    </w:p>
    <w:p w14:paraId="747E8C04" w14:textId="77777777" w:rsidR="000E52B0" w:rsidRDefault="00F60D74">
      <w:pPr>
        <w:spacing w:before="96"/>
        <w:ind w:left="720" w:right="723"/>
        <w:rPr>
          <w:rFonts w:ascii="Arial MT"/>
          <w:sz w:val="18"/>
        </w:rPr>
      </w:pPr>
      <w:bookmarkStart w:id="206" w:name="_bookmark206"/>
      <w:bookmarkEnd w:id="206"/>
      <w:r w:rsidRPr="00203383">
        <w:rPr>
          <w:rFonts w:ascii="Arial MT"/>
          <w:position w:val="6"/>
          <w:sz w:val="12"/>
          <w:lang w:val="pt-PT"/>
        </w:rPr>
        <w:t>148</w:t>
      </w:r>
      <w:r w:rsidRPr="00203383">
        <w:rPr>
          <w:rFonts w:ascii="Arial MT"/>
          <w:spacing w:val="2"/>
          <w:position w:val="6"/>
          <w:sz w:val="12"/>
          <w:lang w:val="pt-PT"/>
        </w:rPr>
        <w:t xml:space="preserve"> </w:t>
      </w:r>
      <w:r w:rsidRPr="00203383">
        <w:rPr>
          <w:rFonts w:ascii="Arial MT"/>
          <w:sz w:val="18"/>
          <w:lang w:val="pt-PT"/>
        </w:rPr>
        <w:t>Devadas,</w:t>
      </w:r>
      <w:r w:rsidRPr="00203383">
        <w:rPr>
          <w:rFonts w:ascii="Arial MT"/>
          <w:spacing w:val="-11"/>
          <w:sz w:val="18"/>
          <w:lang w:val="pt-PT"/>
        </w:rPr>
        <w:t xml:space="preserve"> </w:t>
      </w:r>
      <w:r w:rsidRPr="00203383">
        <w:rPr>
          <w:rFonts w:ascii="Arial MT"/>
          <w:sz w:val="18"/>
          <w:lang w:val="pt-PT"/>
        </w:rPr>
        <w:t>S.,</w:t>
      </w:r>
      <w:r w:rsidRPr="00203383">
        <w:rPr>
          <w:rFonts w:ascii="Arial MT"/>
          <w:spacing w:val="-11"/>
          <w:sz w:val="18"/>
          <w:lang w:val="pt-PT"/>
        </w:rPr>
        <w:t xml:space="preserve"> </w:t>
      </w:r>
      <w:r w:rsidRPr="00203383">
        <w:rPr>
          <w:rFonts w:ascii="Arial MT"/>
          <w:sz w:val="18"/>
          <w:lang w:val="pt-PT"/>
        </w:rPr>
        <w:t>&amp;</w:t>
      </w:r>
      <w:r w:rsidRPr="00203383">
        <w:rPr>
          <w:rFonts w:ascii="Arial MT"/>
          <w:spacing w:val="-12"/>
          <w:sz w:val="18"/>
          <w:lang w:val="pt-PT"/>
        </w:rPr>
        <w:t xml:space="preserve"> </w:t>
      </w:r>
      <w:r w:rsidRPr="00203383">
        <w:rPr>
          <w:rFonts w:ascii="Arial MT"/>
          <w:sz w:val="18"/>
          <w:lang w:val="pt-PT"/>
        </w:rPr>
        <w:t>Kim,</w:t>
      </w:r>
      <w:r w:rsidRPr="00203383">
        <w:rPr>
          <w:rFonts w:ascii="Arial MT"/>
          <w:spacing w:val="-11"/>
          <w:sz w:val="18"/>
          <w:lang w:val="pt-PT"/>
        </w:rPr>
        <w:t xml:space="preserve"> </w:t>
      </w:r>
      <w:r w:rsidRPr="00203383">
        <w:rPr>
          <w:rFonts w:ascii="Arial MT"/>
          <w:sz w:val="18"/>
          <w:lang w:val="pt-PT"/>
        </w:rPr>
        <w:t>Y.</w:t>
      </w:r>
      <w:r w:rsidRPr="00203383">
        <w:rPr>
          <w:rFonts w:ascii="Arial MT"/>
          <w:spacing w:val="-11"/>
          <w:sz w:val="18"/>
          <w:lang w:val="pt-PT"/>
        </w:rPr>
        <w:t xml:space="preserve"> </w:t>
      </w:r>
      <w:r w:rsidRPr="00203383">
        <w:rPr>
          <w:rFonts w:ascii="Arial MT"/>
          <w:sz w:val="18"/>
          <w:lang w:val="pt-PT"/>
        </w:rPr>
        <w:t>(2020).</w:t>
      </w:r>
      <w:r w:rsidRPr="00203383">
        <w:rPr>
          <w:rFonts w:ascii="Arial MT"/>
          <w:spacing w:val="-13"/>
          <w:sz w:val="18"/>
          <w:lang w:val="pt-PT"/>
        </w:rPr>
        <w:t xml:space="preserve"> </w:t>
      </w:r>
      <w:r w:rsidRPr="00203383">
        <w:rPr>
          <w:rFonts w:ascii="Arial MT"/>
          <w:sz w:val="18"/>
          <w:lang w:val="pt-PT"/>
        </w:rPr>
        <w:t>Exploring</w:t>
      </w:r>
      <w:r w:rsidRPr="00203383">
        <w:rPr>
          <w:rFonts w:ascii="Arial MT"/>
          <w:spacing w:val="-12"/>
          <w:sz w:val="18"/>
          <w:lang w:val="pt-PT"/>
        </w:rPr>
        <w:t xml:space="preserve"> </w:t>
      </w:r>
      <w:r w:rsidRPr="00203383">
        <w:rPr>
          <w:rFonts w:ascii="Arial MT"/>
          <w:sz w:val="18"/>
          <w:lang w:val="pt-PT"/>
        </w:rPr>
        <w:t>the</w:t>
      </w:r>
      <w:r w:rsidRPr="00203383">
        <w:rPr>
          <w:rFonts w:ascii="Arial MT"/>
          <w:spacing w:val="-11"/>
          <w:sz w:val="18"/>
          <w:lang w:val="pt-PT"/>
        </w:rPr>
        <w:t xml:space="preserve"> </w:t>
      </w:r>
      <w:r w:rsidRPr="00203383">
        <w:rPr>
          <w:rFonts w:ascii="Arial MT"/>
          <w:sz w:val="18"/>
          <w:lang w:val="pt-PT"/>
        </w:rPr>
        <w:t>Potential</w:t>
      </w:r>
      <w:r w:rsidRPr="00203383">
        <w:rPr>
          <w:rFonts w:ascii="Arial MT"/>
          <w:spacing w:val="-13"/>
          <w:sz w:val="18"/>
          <w:lang w:val="pt-PT"/>
        </w:rPr>
        <w:t xml:space="preserve"> </w:t>
      </w:r>
      <w:r w:rsidRPr="00203383">
        <w:rPr>
          <w:rFonts w:ascii="Arial MT"/>
          <w:sz w:val="18"/>
          <w:lang w:val="pt-PT"/>
        </w:rPr>
        <w:t>of</w:t>
      </w:r>
      <w:r w:rsidRPr="00203383">
        <w:rPr>
          <w:rFonts w:ascii="Arial MT"/>
          <w:spacing w:val="-11"/>
          <w:sz w:val="18"/>
          <w:lang w:val="pt-PT"/>
        </w:rPr>
        <w:t xml:space="preserve"> </w:t>
      </w:r>
      <w:r w:rsidRPr="00203383">
        <w:rPr>
          <w:rFonts w:ascii="Arial MT"/>
          <w:sz w:val="18"/>
          <w:lang w:val="pt-PT"/>
        </w:rPr>
        <w:t>Gender</w:t>
      </w:r>
      <w:r w:rsidRPr="00203383">
        <w:rPr>
          <w:rFonts w:ascii="Arial MT"/>
          <w:spacing w:val="-12"/>
          <w:sz w:val="18"/>
          <w:lang w:val="pt-PT"/>
        </w:rPr>
        <w:t xml:space="preserve"> </w:t>
      </w:r>
      <w:r w:rsidRPr="00203383">
        <w:rPr>
          <w:rFonts w:ascii="Arial MT"/>
          <w:sz w:val="18"/>
          <w:lang w:val="pt-PT"/>
        </w:rPr>
        <w:t>Parity</w:t>
      </w:r>
      <w:r w:rsidRPr="00203383">
        <w:rPr>
          <w:rFonts w:ascii="Arial MT"/>
          <w:spacing w:val="-11"/>
          <w:sz w:val="18"/>
          <w:lang w:val="pt-PT"/>
        </w:rPr>
        <w:t xml:space="preserve"> </w:t>
      </w:r>
      <w:r w:rsidRPr="00203383">
        <w:rPr>
          <w:rFonts w:ascii="Arial MT"/>
          <w:sz w:val="18"/>
          <w:lang w:val="pt-PT"/>
        </w:rPr>
        <w:t>to</w:t>
      </w:r>
      <w:r w:rsidRPr="00203383">
        <w:rPr>
          <w:rFonts w:ascii="Arial MT"/>
          <w:spacing w:val="-11"/>
          <w:sz w:val="18"/>
          <w:lang w:val="pt-PT"/>
        </w:rPr>
        <w:t xml:space="preserve"> </w:t>
      </w:r>
      <w:r w:rsidRPr="00203383">
        <w:rPr>
          <w:rFonts w:ascii="Arial MT"/>
          <w:sz w:val="18"/>
          <w:lang w:val="pt-PT"/>
        </w:rPr>
        <w:t>Promote</w:t>
      </w:r>
      <w:r w:rsidRPr="00203383">
        <w:rPr>
          <w:rFonts w:ascii="Arial MT"/>
          <w:spacing w:val="-11"/>
          <w:sz w:val="18"/>
          <w:lang w:val="pt-PT"/>
        </w:rPr>
        <w:t xml:space="preserve"> </w:t>
      </w:r>
      <w:r w:rsidRPr="00203383">
        <w:rPr>
          <w:rFonts w:ascii="Arial MT"/>
          <w:sz w:val="18"/>
          <w:lang w:val="pt-PT"/>
        </w:rPr>
        <w:t>Economic</w:t>
      </w:r>
      <w:r w:rsidRPr="00203383">
        <w:rPr>
          <w:rFonts w:ascii="Arial MT"/>
          <w:spacing w:val="-11"/>
          <w:sz w:val="18"/>
          <w:lang w:val="pt-PT"/>
        </w:rPr>
        <w:t xml:space="preserve"> </w:t>
      </w:r>
      <w:r w:rsidRPr="00203383">
        <w:rPr>
          <w:rFonts w:ascii="Arial MT"/>
          <w:sz w:val="18"/>
          <w:lang w:val="pt-PT"/>
        </w:rPr>
        <w:t>Growth.</w:t>
      </w:r>
      <w:r w:rsidRPr="00203383">
        <w:rPr>
          <w:rFonts w:ascii="Arial MT"/>
          <w:spacing w:val="-11"/>
          <w:sz w:val="18"/>
          <w:lang w:val="pt-PT"/>
        </w:rPr>
        <w:t xml:space="preserve"> </w:t>
      </w:r>
      <w:proofErr w:type="spellStart"/>
      <w:r>
        <w:rPr>
          <w:rFonts w:ascii="Arial MT"/>
          <w:sz w:val="18"/>
        </w:rPr>
        <w:t>Research</w:t>
      </w:r>
      <w:proofErr w:type="spellEnd"/>
      <w:r>
        <w:rPr>
          <w:rFonts w:ascii="Arial MT"/>
          <w:sz w:val="18"/>
        </w:rPr>
        <w:t xml:space="preserve"> and </w:t>
      </w:r>
      <w:proofErr w:type="spellStart"/>
      <w:r>
        <w:rPr>
          <w:rFonts w:ascii="Arial MT"/>
          <w:sz w:val="18"/>
        </w:rPr>
        <w:t>Policy</w:t>
      </w:r>
      <w:proofErr w:type="spellEnd"/>
      <w:r>
        <w:rPr>
          <w:rFonts w:ascii="Arial MT"/>
          <w:sz w:val="18"/>
        </w:rPr>
        <w:t xml:space="preserve"> </w:t>
      </w:r>
      <w:proofErr w:type="spellStart"/>
      <w:r>
        <w:rPr>
          <w:rFonts w:ascii="Arial MT"/>
          <w:sz w:val="18"/>
        </w:rPr>
        <w:t>Brief</w:t>
      </w:r>
      <w:proofErr w:type="spellEnd"/>
      <w:r>
        <w:rPr>
          <w:rFonts w:ascii="Arial MT"/>
          <w:sz w:val="18"/>
        </w:rPr>
        <w:t xml:space="preserve"> 39.</w:t>
      </w:r>
    </w:p>
    <w:p w14:paraId="35CE6672" w14:textId="77777777" w:rsidR="000E52B0" w:rsidRDefault="00F60D74">
      <w:pPr>
        <w:spacing w:line="242" w:lineRule="auto"/>
        <w:ind w:left="720" w:right="723"/>
        <w:rPr>
          <w:rFonts w:ascii="Arial MT"/>
          <w:sz w:val="18"/>
        </w:rPr>
      </w:pPr>
      <w:bookmarkStart w:id="207" w:name="_bookmark207"/>
      <w:bookmarkEnd w:id="207"/>
      <w:r>
        <w:rPr>
          <w:rFonts w:ascii="Arial MT"/>
          <w:position w:val="6"/>
          <w:sz w:val="12"/>
        </w:rPr>
        <w:t>149</w:t>
      </w:r>
      <w:r>
        <w:rPr>
          <w:rFonts w:ascii="Arial MT"/>
          <w:spacing w:val="9"/>
          <w:position w:val="6"/>
          <w:sz w:val="12"/>
        </w:rPr>
        <w:t xml:space="preserve"> </w:t>
      </w:r>
      <w:proofErr w:type="spellStart"/>
      <w:r>
        <w:rPr>
          <w:rFonts w:ascii="Arial MT"/>
          <w:sz w:val="18"/>
        </w:rPr>
        <w:t>Ostry</w:t>
      </w:r>
      <w:proofErr w:type="spellEnd"/>
      <w:r>
        <w:rPr>
          <w:rFonts w:ascii="Arial MT"/>
          <w:sz w:val="18"/>
        </w:rPr>
        <w:t>,</w:t>
      </w:r>
      <w:r>
        <w:rPr>
          <w:rFonts w:ascii="Arial MT"/>
          <w:spacing w:val="-8"/>
          <w:sz w:val="18"/>
        </w:rPr>
        <w:t xml:space="preserve"> </w:t>
      </w:r>
      <w:r>
        <w:rPr>
          <w:rFonts w:ascii="Arial MT"/>
          <w:sz w:val="18"/>
        </w:rPr>
        <w:t>J.,</w:t>
      </w:r>
      <w:r>
        <w:rPr>
          <w:rFonts w:ascii="Arial MT"/>
          <w:spacing w:val="-7"/>
          <w:sz w:val="18"/>
        </w:rPr>
        <w:t xml:space="preserve"> </w:t>
      </w:r>
      <w:proofErr w:type="spellStart"/>
      <w:r>
        <w:rPr>
          <w:rFonts w:ascii="Arial MT"/>
          <w:sz w:val="18"/>
        </w:rPr>
        <w:t>Loungani</w:t>
      </w:r>
      <w:proofErr w:type="spellEnd"/>
      <w:r>
        <w:rPr>
          <w:rFonts w:ascii="Arial MT"/>
          <w:sz w:val="18"/>
        </w:rPr>
        <w:t>,</w:t>
      </w:r>
      <w:r>
        <w:rPr>
          <w:rFonts w:ascii="Arial MT"/>
          <w:spacing w:val="-8"/>
          <w:sz w:val="18"/>
        </w:rPr>
        <w:t xml:space="preserve"> </w:t>
      </w:r>
      <w:r>
        <w:rPr>
          <w:rFonts w:ascii="Arial MT"/>
          <w:sz w:val="18"/>
        </w:rPr>
        <w:t>P.,</w:t>
      </w:r>
      <w:r>
        <w:rPr>
          <w:rFonts w:ascii="Arial MT"/>
          <w:spacing w:val="-7"/>
          <w:sz w:val="18"/>
        </w:rPr>
        <w:t xml:space="preserve"> </w:t>
      </w:r>
      <w:r>
        <w:rPr>
          <w:rFonts w:ascii="Arial MT"/>
          <w:sz w:val="18"/>
        </w:rPr>
        <w:t>&amp;</w:t>
      </w:r>
      <w:r>
        <w:rPr>
          <w:rFonts w:ascii="Arial MT"/>
          <w:spacing w:val="-8"/>
          <w:sz w:val="18"/>
        </w:rPr>
        <w:t xml:space="preserve"> </w:t>
      </w:r>
      <w:proofErr w:type="spellStart"/>
      <w:r>
        <w:rPr>
          <w:rFonts w:ascii="Arial MT"/>
          <w:sz w:val="18"/>
        </w:rPr>
        <w:t>Berg</w:t>
      </w:r>
      <w:proofErr w:type="spellEnd"/>
      <w:r>
        <w:rPr>
          <w:rFonts w:ascii="Arial MT"/>
          <w:sz w:val="18"/>
        </w:rPr>
        <w:t>,</w:t>
      </w:r>
      <w:r>
        <w:rPr>
          <w:rFonts w:ascii="Arial MT"/>
          <w:spacing w:val="-8"/>
          <w:sz w:val="18"/>
        </w:rPr>
        <w:t xml:space="preserve"> </w:t>
      </w:r>
      <w:r>
        <w:rPr>
          <w:rFonts w:ascii="Arial MT"/>
          <w:sz w:val="18"/>
        </w:rPr>
        <w:t>A.</w:t>
      </w:r>
      <w:r>
        <w:rPr>
          <w:rFonts w:ascii="Arial MT"/>
          <w:spacing w:val="-8"/>
          <w:sz w:val="18"/>
        </w:rPr>
        <w:t xml:space="preserve"> </w:t>
      </w:r>
      <w:r>
        <w:rPr>
          <w:rFonts w:ascii="Arial MT"/>
          <w:sz w:val="18"/>
        </w:rPr>
        <w:t>(2019).</w:t>
      </w:r>
      <w:r>
        <w:rPr>
          <w:rFonts w:ascii="Arial MT"/>
          <w:spacing w:val="-8"/>
          <w:sz w:val="18"/>
        </w:rPr>
        <w:t xml:space="preserve"> </w:t>
      </w:r>
      <w:proofErr w:type="spellStart"/>
      <w:r>
        <w:rPr>
          <w:rFonts w:ascii="Arial MT"/>
          <w:sz w:val="18"/>
        </w:rPr>
        <w:t>Confronting</w:t>
      </w:r>
      <w:proofErr w:type="spellEnd"/>
      <w:r>
        <w:rPr>
          <w:rFonts w:ascii="Arial MT"/>
          <w:spacing w:val="-7"/>
          <w:sz w:val="18"/>
        </w:rPr>
        <w:t xml:space="preserve"> </w:t>
      </w:r>
      <w:proofErr w:type="spellStart"/>
      <w:r>
        <w:rPr>
          <w:rFonts w:ascii="Arial MT"/>
          <w:sz w:val="18"/>
        </w:rPr>
        <w:t>Inequality</w:t>
      </w:r>
      <w:proofErr w:type="spellEnd"/>
      <w:r>
        <w:rPr>
          <w:rFonts w:ascii="Arial MT"/>
          <w:sz w:val="18"/>
        </w:rPr>
        <w:t>:</w:t>
      </w:r>
      <w:r>
        <w:rPr>
          <w:rFonts w:ascii="Arial MT"/>
          <w:spacing w:val="-8"/>
          <w:sz w:val="18"/>
        </w:rPr>
        <w:t xml:space="preserve"> </w:t>
      </w:r>
      <w:proofErr w:type="spellStart"/>
      <w:r>
        <w:rPr>
          <w:rFonts w:ascii="Arial MT"/>
          <w:sz w:val="18"/>
        </w:rPr>
        <w:t>How</w:t>
      </w:r>
      <w:proofErr w:type="spellEnd"/>
      <w:r>
        <w:rPr>
          <w:rFonts w:ascii="Arial MT"/>
          <w:spacing w:val="-8"/>
          <w:sz w:val="18"/>
        </w:rPr>
        <w:t xml:space="preserve"> </w:t>
      </w:r>
      <w:proofErr w:type="spellStart"/>
      <w:r>
        <w:rPr>
          <w:rFonts w:ascii="Arial MT"/>
          <w:sz w:val="18"/>
        </w:rPr>
        <w:t>Societies</w:t>
      </w:r>
      <w:proofErr w:type="spellEnd"/>
      <w:r>
        <w:rPr>
          <w:rFonts w:ascii="Arial MT"/>
          <w:spacing w:val="-7"/>
          <w:sz w:val="18"/>
        </w:rPr>
        <w:t xml:space="preserve"> </w:t>
      </w:r>
      <w:r>
        <w:rPr>
          <w:rFonts w:ascii="Arial MT"/>
          <w:sz w:val="18"/>
        </w:rPr>
        <w:t>Can</w:t>
      </w:r>
      <w:r>
        <w:rPr>
          <w:rFonts w:ascii="Arial MT"/>
          <w:spacing w:val="-7"/>
          <w:sz w:val="18"/>
        </w:rPr>
        <w:t xml:space="preserve"> </w:t>
      </w:r>
      <w:proofErr w:type="spellStart"/>
      <w:r>
        <w:rPr>
          <w:rFonts w:ascii="Arial MT"/>
          <w:sz w:val="18"/>
        </w:rPr>
        <w:t>Choose</w:t>
      </w:r>
      <w:proofErr w:type="spellEnd"/>
      <w:r>
        <w:rPr>
          <w:rFonts w:ascii="Arial MT"/>
          <w:spacing w:val="-7"/>
          <w:sz w:val="18"/>
        </w:rPr>
        <w:t xml:space="preserve"> </w:t>
      </w:r>
      <w:r>
        <w:rPr>
          <w:rFonts w:ascii="Arial MT"/>
          <w:sz w:val="18"/>
        </w:rPr>
        <w:t>Inclusive</w:t>
      </w:r>
      <w:r>
        <w:rPr>
          <w:rFonts w:ascii="Arial MT"/>
          <w:spacing w:val="-7"/>
          <w:sz w:val="18"/>
        </w:rPr>
        <w:t xml:space="preserve"> </w:t>
      </w:r>
      <w:proofErr w:type="spellStart"/>
      <w:r>
        <w:rPr>
          <w:rFonts w:ascii="Arial MT"/>
          <w:sz w:val="18"/>
        </w:rPr>
        <w:t>Growth</w:t>
      </w:r>
      <w:proofErr w:type="spellEnd"/>
      <w:r>
        <w:rPr>
          <w:rFonts w:ascii="Arial MT"/>
          <w:sz w:val="18"/>
        </w:rPr>
        <w:t xml:space="preserve">. New York: Columbia </w:t>
      </w:r>
      <w:proofErr w:type="spellStart"/>
      <w:r>
        <w:rPr>
          <w:rFonts w:ascii="Arial MT"/>
          <w:sz w:val="18"/>
        </w:rPr>
        <w:t>University</w:t>
      </w:r>
      <w:proofErr w:type="spellEnd"/>
      <w:r>
        <w:rPr>
          <w:rFonts w:ascii="Arial MT"/>
          <w:sz w:val="18"/>
        </w:rPr>
        <w:t xml:space="preserve"> </w:t>
      </w:r>
      <w:proofErr w:type="spellStart"/>
      <w:r>
        <w:rPr>
          <w:rFonts w:ascii="Arial MT"/>
          <w:sz w:val="18"/>
        </w:rPr>
        <w:t>Press</w:t>
      </w:r>
      <w:proofErr w:type="spellEnd"/>
      <w:r>
        <w:rPr>
          <w:rFonts w:ascii="Arial MT"/>
          <w:sz w:val="18"/>
        </w:rPr>
        <w:t>.</w:t>
      </w:r>
    </w:p>
    <w:p w14:paraId="4A3CF9F5" w14:textId="77777777" w:rsidR="000E52B0" w:rsidRDefault="000E52B0">
      <w:pPr>
        <w:spacing w:line="242" w:lineRule="auto"/>
        <w:rPr>
          <w:rFonts w:ascii="Arial MT"/>
          <w:sz w:val="18"/>
        </w:rPr>
        <w:sectPr w:rsidR="000E52B0">
          <w:pgSz w:w="11910" w:h="16840"/>
          <w:pgMar w:top="1340" w:right="720" w:bottom="1180" w:left="720" w:header="0" w:footer="995" w:gutter="0"/>
          <w:cols w:space="720"/>
        </w:sectPr>
      </w:pPr>
    </w:p>
    <w:p w14:paraId="204DFDFA" w14:textId="77777777" w:rsidR="000E52B0" w:rsidRDefault="00F60D74">
      <w:pPr>
        <w:pStyle w:val="Textoindependiente"/>
        <w:spacing w:before="83"/>
        <w:ind w:right="719"/>
        <w:jc w:val="both"/>
      </w:pPr>
      <w:r>
        <w:lastRenderedPageBreak/>
        <w:t xml:space="preserve">Corte Constitucional en la Sentencia C-161 de 2024 que declaró la </w:t>
      </w:r>
      <w:proofErr w:type="spellStart"/>
      <w:r>
        <w:t>inexequibilidad</w:t>
      </w:r>
      <w:proofErr w:type="spellEnd"/>
      <w:r>
        <w:t xml:space="preserve"> diferida de esta cartera y son atendidos de manera pertinente en este acápite del proyecto presentado.</w:t>
      </w:r>
    </w:p>
    <w:p w14:paraId="6B152EB8" w14:textId="77777777" w:rsidR="000E52B0" w:rsidRDefault="00F60D74">
      <w:pPr>
        <w:pStyle w:val="Textoindependiente"/>
        <w:spacing w:before="159"/>
        <w:ind w:right="717"/>
        <w:jc w:val="both"/>
      </w:pPr>
      <w:r>
        <w:t>A continuación, se desarrollan los referentes básicos del impacto fiscal de la creación del Ministerio de Igualdad y Equidad conforme los requisitos y las</w:t>
      </w:r>
      <w:r>
        <w:rPr>
          <w:spacing w:val="-18"/>
        </w:rPr>
        <w:t xml:space="preserve"> </w:t>
      </w:r>
      <w:r>
        <w:t>obligaciones</w:t>
      </w:r>
      <w:r>
        <w:rPr>
          <w:spacing w:val="-15"/>
        </w:rPr>
        <w:t xml:space="preserve"> </w:t>
      </w:r>
      <w:r>
        <w:t>consideradas</w:t>
      </w:r>
      <w:r>
        <w:rPr>
          <w:spacing w:val="-17"/>
        </w:rPr>
        <w:t xml:space="preserve"> </w:t>
      </w:r>
      <w:r>
        <w:t>por</w:t>
      </w:r>
      <w:r>
        <w:rPr>
          <w:spacing w:val="-14"/>
        </w:rPr>
        <w:t xml:space="preserve"> </w:t>
      </w:r>
      <w:r>
        <w:t>la</w:t>
      </w:r>
      <w:r>
        <w:rPr>
          <w:spacing w:val="-15"/>
        </w:rPr>
        <w:t xml:space="preserve"> </w:t>
      </w:r>
      <w:r>
        <w:t>Corte</w:t>
      </w:r>
      <w:r>
        <w:rPr>
          <w:spacing w:val="-15"/>
        </w:rPr>
        <w:t xml:space="preserve"> </w:t>
      </w:r>
      <w:r>
        <w:t>Constitucional</w:t>
      </w:r>
      <w:r>
        <w:rPr>
          <w:spacing w:val="-16"/>
        </w:rPr>
        <w:t xml:space="preserve"> </w:t>
      </w:r>
      <w:r>
        <w:t>en</w:t>
      </w:r>
      <w:r>
        <w:rPr>
          <w:spacing w:val="-14"/>
        </w:rPr>
        <w:t xml:space="preserve"> </w:t>
      </w:r>
      <w:r>
        <w:t>la</w:t>
      </w:r>
      <w:r>
        <w:rPr>
          <w:spacing w:val="-15"/>
        </w:rPr>
        <w:t xml:space="preserve"> </w:t>
      </w:r>
      <w:r>
        <w:t>Sentencia</w:t>
      </w:r>
      <w:r>
        <w:rPr>
          <w:spacing w:val="-15"/>
        </w:rPr>
        <w:t xml:space="preserve"> </w:t>
      </w:r>
      <w:r>
        <w:rPr>
          <w:spacing w:val="-5"/>
        </w:rPr>
        <w:t>C-</w:t>
      </w:r>
    </w:p>
    <w:p w14:paraId="26AE2CF3" w14:textId="77777777" w:rsidR="000E52B0" w:rsidRDefault="00F60D74">
      <w:pPr>
        <w:pStyle w:val="Textoindependiente"/>
        <w:ind w:right="718"/>
        <w:jc w:val="both"/>
      </w:pPr>
      <w:r>
        <w:t>161 de 2024. Con la información aquí reportada se subsana el yerro detectado por la Corte Constitucional durante el trámite legislativo de la Ley</w:t>
      </w:r>
      <w:r>
        <w:rPr>
          <w:spacing w:val="-3"/>
        </w:rPr>
        <w:t xml:space="preserve"> </w:t>
      </w:r>
      <w:r>
        <w:t>2281</w:t>
      </w:r>
      <w:r>
        <w:rPr>
          <w:spacing w:val="-2"/>
        </w:rPr>
        <w:t xml:space="preserve"> </w:t>
      </w:r>
      <w:r>
        <w:t>de</w:t>
      </w:r>
      <w:r>
        <w:rPr>
          <w:spacing w:val="-2"/>
        </w:rPr>
        <w:t xml:space="preserve"> </w:t>
      </w:r>
      <w:r>
        <w:t>2023,</w:t>
      </w:r>
      <w:r>
        <w:rPr>
          <w:spacing w:val="-6"/>
        </w:rPr>
        <w:t xml:space="preserve"> </w:t>
      </w:r>
      <w:r>
        <w:t>se</w:t>
      </w:r>
      <w:r>
        <w:rPr>
          <w:spacing w:val="-2"/>
        </w:rPr>
        <w:t xml:space="preserve"> </w:t>
      </w:r>
      <w:r>
        <w:t>cumple</w:t>
      </w:r>
      <w:r>
        <w:rPr>
          <w:spacing w:val="-2"/>
        </w:rPr>
        <w:t xml:space="preserve"> </w:t>
      </w:r>
      <w:r>
        <w:t>con lo</w:t>
      </w:r>
      <w:r>
        <w:rPr>
          <w:spacing w:val="-2"/>
        </w:rPr>
        <w:t xml:space="preserve"> </w:t>
      </w:r>
      <w:r>
        <w:t>descrito</w:t>
      </w:r>
      <w:r>
        <w:rPr>
          <w:spacing w:val="-2"/>
        </w:rPr>
        <w:t xml:space="preserve"> </w:t>
      </w:r>
      <w:r>
        <w:t>en</w:t>
      </w:r>
      <w:r>
        <w:rPr>
          <w:spacing w:val="-3"/>
        </w:rPr>
        <w:t xml:space="preserve"> </w:t>
      </w:r>
      <w:r>
        <w:t>el</w:t>
      </w:r>
      <w:r>
        <w:rPr>
          <w:spacing w:val="-4"/>
        </w:rPr>
        <w:t xml:space="preserve"> </w:t>
      </w:r>
      <w:r>
        <w:t>artículo 7</w:t>
      </w:r>
      <w:r>
        <w:rPr>
          <w:spacing w:val="-2"/>
        </w:rPr>
        <w:t xml:space="preserve"> </w:t>
      </w:r>
      <w:r>
        <w:t>de</w:t>
      </w:r>
      <w:r>
        <w:rPr>
          <w:spacing w:val="-2"/>
        </w:rPr>
        <w:t xml:space="preserve"> </w:t>
      </w:r>
      <w:r>
        <w:t>la</w:t>
      </w:r>
      <w:r>
        <w:rPr>
          <w:spacing w:val="-2"/>
        </w:rPr>
        <w:t xml:space="preserve"> </w:t>
      </w:r>
      <w:r>
        <w:t>Ley</w:t>
      </w:r>
      <w:r>
        <w:rPr>
          <w:spacing w:val="-3"/>
        </w:rPr>
        <w:t xml:space="preserve"> </w:t>
      </w:r>
      <w:r>
        <w:t>819 y se ponen de presente al Congreso de la República los elementos suficientes para la deliberación de la iniciativa, cumpliendo así con la obligación descrita en la Sentencia C-161 de 2024.</w:t>
      </w:r>
    </w:p>
    <w:p w14:paraId="02FF3388" w14:textId="77777777" w:rsidR="000E52B0" w:rsidRDefault="000E52B0">
      <w:pPr>
        <w:pStyle w:val="Textoindependiente"/>
        <w:ind w:left="0"/>
      </w:pPr>
    </w:p>
    <w:p w14:paraId="1368A64D" w14:textId="77777777" w:rsidR="000E52B0" w:rsidRDefault="00F60D74">
      <w:pPr>
        <w:pStyle w:val="Textoindependiente"/>
        <w:ind w:right="716"/>
        <w:jc w:val="both"/>
      </w:pPr>
      <w:r>
        <w:t>Es del caso precisar que, de acuerdo con lo establecido en el artículo 154 de</w:t>
      </w:r>
      <w:r>
        <w:rPr>
          <w:spacing w:val="-12"/>
        </w:rPr>
        <w:t xml:space="preserve"> </w:t>
      </w:r>
      <w:r>
        <w:t>la</w:t>
      </w:r>
      <w:r>
        <w:rPr>
          <w:spacing w:val="-13"/>
        </w:rPr>
        <w:t xml:space="preserve"> </w:t>
      </w:r>
      <w:r>
        <w:t>Constitución</w:t>
      </w:r>
      <w:r>
        <w:rPr>
          <w:spacing w:val="-11"/>
        </w:rPr>
        <w:t xml:space="preserve"> </w:t>
      </w:r>
      <w:r>
        <w:t>Política,</w:t>
      </w:r>
      <w:r>
        <w:rPr>
          <w:spacing w:val="-14"/>
        </w:rPr>
        <w:t xml:space="preserve"> </w:t>
      </w:r>
      <w:r>
        <w:t>en</w:t>
      </w:r>
      <w:r>
        <w:rPr>
          <w:spacing w:val="-11"/>
        </w:rPr>
        <w:t xml:space="preserve"> </w:t>
      </w:r>
      <w:r>
        <w:t>consonancia</w:t>
      </w:r>
      <w:r>
        <w:rPr>
          <w:spacing w:val="-13"/>
        </w:rPr>
        <w:t xml:space="preserve"> </w:t>
      </w:r>
      <w:r>
        <w:t>con</w:t>
      </w:r>
      <w:r>
        <w:rPr>
          <w:spacing w:val="-11"/>
        </w:rPr>
        <w:t xml:space="preserve"> </w:t>
      </w:r>
      <w:r>
        <w:t>el</w:t>
      </w:r>
      <w:r>
        <w:rPr>
          <w:spacing w:val="-14"/>
        </w:rPr>
        <w:t xml:space="preserve"> </w:t>
      </w:r>
      <w:r>
        <w:t>artículo</w:t>
      </w:r>
      <w:r>
        <w:rPr>
          <w:spacing w:val="-10"/>
        </w:rPr>
        <w:t xml:space="preserve"> </w:t>
      </w:r>
      <w:r>
        <w:t>150</w:t>
      </w:r>
      <w:r>
        <w:rPr>
          <w:spacing w:val="-12"/>
        </w:rPr>
        <w:t xml:space="preserve"> </w:t>
      </w:r>
      <w:r>
        <w:t>numeral</w:t>
      </w:r>
      <w:r>
        <w:rPr>
          <w:spacing w:val="-13"/>
        </w:rPr>
        <w:t xml:space="preserve"> </w:t>
      </w:r>
      <w:r>
        <w:t>7</w:t>
      </w:r>
      <w:r>
        <w:rPr>
          <w:spacing w:val="-12"/>
        </w:rPr>
        <w:t xml:space="preserve"> </w:t>
      </w:r>
      <w:r>
        <w:t>de la</w:t>
      </w:r>
      <w:r>
        <w:rPr>
          <w:spacing w:val="-5"/>
        </w:rPr>
        <w:t xml:space="preserve"> </w:t>
      </w:r>
      <w:r>
        <w:t>misma</w:t>
      </w:r>
      <w:r>
        <w:rPr>
          <w:spacing w:val="-3"/>
        </w:rPr>
        <w:t xml:space="preserve"> </w:t>
      </w:r>
      <w:r>
        <w:t>carta</w:t>
      </w:r>
      <w:r>
        <w:rPr>
          <w:spacing w:val="-3"/>
        </w:rPr>
        <w:t xml:space="preserve"> </w:t>
      </w:r>
      <w:r>
        <w:t>fundamental</w:t>
      </w:r>
      <w:hyperlink w:anchor="_bookmark208" w:history="1">
        <w:r w:rsidR="000E52B0">
          <w:rPr>
            <w:position w:val="8"/>
            <w:sz w:val="16"/>
          </w:rPr>
          <w:t>150</w:t>
        </w:r>
      </w:hyperlink>
      <w:r>
        <w:t>,</w:t>
      </w:r>
      <w:r>
        <w:rPr>
          <w:spacing w:val="-4"/>
        </w:rPr>
        <w:t xml:space="preserve"> </w:t>
      </w:r>
      <w:r>
        <w:t>solo</w:t>
      </w:r>
      <w:r>
        <w:rPr>
          <w:spacing w:val="-3"/>
        </w:rPr>
        <w:t xml:space="preserve"> </w:t>
      </w:r>
      <w:r>
        <w:t>el</w:t>
      </w:r>
      <w:r>
        <w:rPr>
          <w:spacing w:val="-5"/>
        </w:rPr>
        <w:t xml:space="preserve"> </w:t>
      </w:r>
      <w:r>
        <w:t>Gobierno</w:t>
      </w:r>
      <w:r>
        <w:rPr>
          <w:spacing w:val="-3"/>
        </w:rPr>
        <w:t xml:space="preserve"> </w:t>
      </w:r>
      <w:r>
        <w:t>nacional</w:t>
      </w:r>
      <w:r>
        <w:rPr>
          <w:spacing w:val="-5"/>
        </w:rPr>
        <w:t xml:space="preserve"> </w:t>
      </w:r>
      <w:r>
        <w:t>tiene</w:t>
      </w:r>
      <w:r>
        <w:rPr>
          <w:spacing w:val="-3"/>
        </w:rPr>
        <w:t xml:space="preserve"> </w:t>
      </w:r>
      <w:r>
        <w:t>la</w:t>
      </w:r>
      <w:r>
        <w:rPr>
          <w:spacing w:val="-3"/>
        </w:rPr>
        <w:t xml:space="preserve"> </w:t>
      </w:r>
      <w:r>
        <w:t>iniciativa legislativa para crear, modificar o suprimir la estructura de la administración nacional, tal como acontece con la creación de ministerios. En</w:t>
      </w:r>
      <w:r>
        <w:rPr>
          <w:spacing w:val="-17"/>
        </w:rPr>
        <w:t xml:space="preserve"> </w:t>
      </w:r>
      <w:r>
        <w:t>relación</w:t>
      </w:r>
      <w:r>
        <w:rPr>
          <w:spacing w:val="-17"/>
        </w:rPr>
        <w:t xml:space="preserve"> </w:t>
      </w:r>
      <w:r>
        <w:t>con</w:t>
      </w:r>
      <w:r>
        <w:rPr>
          <w:spacing w:val="-16"/>
        </w:rPr>
        <w:t xml:space="preserve"> </w:t>
      </w:r>
      <w:r>
        <w:t>dicha</w:t>
      </w:r>
      <w:r>
        <w:rPr>
          <w:spacing w:val="-16"/>
        </w:rPr>
        <w:t xml:space="preserve"> </w:t>
      </w:r>
      <w:r>
        <w:t>iniciativa</w:t>
      </w:r>
      <w:r>
        <w:rPr>
          <w:spacing w:val="-16"/>
        </w:rPr>
        <w:t xml:space="preserve"> </w:t>
      </w:r>
      <w:r>
        <w:t>privativa,</w:t>
      </w:r>
      <w:r>
        <w:rPr>
          <w:spacing w:val="-17"/>
        </w:rPr>
        <w:t xml:space="preserve"> </w:t>
      </w:r>
      <w:r>
        <w:t>la</w:t>
      </w:r>
      <w:r>
        <w:rPr>
          <w:spacing w:val="-16"/>
        </w:rPr>
        <w:t xml:space="preserve"> </w:t>
      </w:r>
      <w:r>
        <w:t>jurisprudencia</w:t>
      </w:r>
      <w:r>
        <w:rPr>
          <w:spacing w:val="-16"/>
        </w:rPr>
        <w:t xml:space="preserve"> </w:t>
      </w:r>
      <w:r>
        <w:t>constitucional</w:t>
      </w:r>
      <w:r>
        <w:rPr>
          <w:spacing w:val="-17"/>
        </w:rPr>
        <w:t xml:space="preserve"> </w:t>
      </w:r>
      <w:r>
        <w:t xml:space="preserve">ha </w:t>
      </w:r>
      <w:r>
        <w:rPr>
          <w:spacing w:val="-2"/>
        </w:rPr>
        <w:t>señalado:</w:t>
      </w:r>
    </w:p>
    <w:p w14:paraId="30C08CCD" w14:textId="77777777" w:rsidR="000E52B0" w:rsidRDefault="00F60D74">
      <w:pPr>
        <w:spacing w:before="161"/>
        <w:ind w:left="1428" w:right="716"/>
        <w:jc w:val="both"/>
        <w:rPr>
          <w:i/>
          <w:sz w:val="24"/>
        </w:rPr>
      </w:pPr>
      <w:r>
        <w:rPr>
          <w:i/>
          <w:sz w:val="24"/>
        </w:rPr>
        <w:t>“La competencia a que se refiere el numeral 7 del artículo 150 Superior</w:t>
      </w:r>
      <w:r>
        <w:rPr>
          <w:i/>
          <w:spacing w:val="-22"/>
          <w:sz w:val="24"/>
        </w:rPr>
        <w:t xml:space="preserve"> </w:t>
      </w:r>
      <w:r>
        <w:rPr>
          <w:i/>
          <w:sz w:val="24"/>
        </w:rPr>
        <w:t>no</w:t>
      </w:r>
      <w:r>
        <w:rPr>
          <w:i/>
          <w:spacing w:val="-21"/>
          <w:sz w:val="24"/>
        </w:rPr>
        <w:t xml:space="preserve"> </w:t>
      </w:r>
      <w:r>
        <w:rPr>
          <w:i/>
          <w:sz w:val="24"/>
        </w:rPr>
        <w:t>supone</w:t>
      </w:r>
      <w:r>
        <w:rPr>
          <w:i/>
          <w:spacing w:val="-21"/>
          <w:sz w:val="24"/>
        </w:rPr>
        <w:t xml:space="preserve"> </w:t>
      </w:r>
      <w:r>
        <w:rPr>
          <w:i/>
          <w:sz w:val="24"/>
        </w:rPr>
        <w:t>el</w:t>
      </w:r>
      <w:r>
        <w:rPr>
          <w:i/>
          <w:spacing w:val="-21"/>
          <w:sz w:val="24"/>
        </w:rPr>
        <w:t xml:space="preserve"> </w:t>
      </w:r>
      <w:r>
        <w:rPr>
          <w:i/>
          <w:sz w:val="24"/>
        </w:rPr>
        <w:t>ejercicio</w:t>
      </w:r>
      <w:r>
        <w:rPr>
          <w:i/>
          <w:spacing w:val="-21"/>
          <w:sz w:val="24"/>
        </w:rPr>
        <w:t xml:space="preserve"> </w:t>
      </w:r>
      <w:r>
        <w:rPr>
          <w:i/>
          <w:sz w:val="24"/>
        </w:rPr>
        <w:t>totalmente</w:t>
      </w:r>
      <w:r>
        <w:rPr>
          <w:i/>
          <w:spacing w:val="-20"/>
          <w:sz w:val="24"/>
        </w:rPr>
        <w:t xml:space="preserve"> </w:t>
      </w:r>
      <w:r>
        <w:rPr>
          <w:i/>
          <w:sz w:val="24"/>
        </w:rPr>
        <w:t>independiente</w:t>
      </w:r>
      <w:r>
        <w:rPr>
          <w:i/>
          <w:spacing w:val="-21"/>
          <w:sz w:val="24"/>
        </w:rPr>
        <w:t xml:space="preserve"> </w:t>
      </w:r>
      <w:r>
        <w:rPr>
          <w:i/>
          <w:sz w:val="24"/>
        </w:rPr>
        <w:t>de</w:t>
      </w:r>
      <w:r>
        <w:rPr>
          <w:i/>
          <w:spacing w:val="-21"/>
          <w:sz w:val="24"/>
        </w:rPr>
        <w:t xml:space="preserve"> </w:t>
      </w:r>
      <w:r>
        <w:rPr>
          <w:i/>
          <w:sz w:val="24"/>
        </w:rPr>
        <w:t>la</w:t>
      </w:r>
      <w:r>
        <w:rPr>
          <w:i/>
          <w:spacing w:val="-21"/>
          <w:sz w:val="24"/>
        </w:rPr>
        <w:t xml:space="preserve"> </w:t>
      </w:r>
      <w:r>
        <w:rPr>
          <w:i/>
          <w:sz w:val="24"/>
        </w:rPr>
        <w:t>misma por</w:t>
      </w:r>
      <w:r>
        <w:rPr>
          <w:i/>
          <w:spacing w:val="-8"/>
          <w:sz w:val="24"/>
        </w:rPr>
        <w:t xml:space="preserve"> </w:t>
      </w:r>
      <w:r>
        <w:rPr>
          <w:i/>
          <w:sz w:val="24"/>
        </w:rPr>
        <w:t>parte</w:t>
      </w:r>
      <w:r>
        <w:rPr>
          <w:i/>
          <w:spacing w:val="-8"/>
          <w:sz w:val="24"/>
        </w:rPr>
        <w:t xml:space="preserve"> </w:t>
      </w:r>
      <w:r>
        <w:rPr>
          <w:i/>
          <w:sz w:val="24"/>
        </w:rPr>
        <w:t>del</w:t>
      </w:r>
      <w:r>
        <w:rPr>
          <w:i/>
          <w:spacing w:val="-10"/>
          <w:sz w:val="24"/>
        </w:rPr>
        <w:t xml:space="preserve"> </w:t>
      </w:r>
      <w:r>
        <w:rPr>
          <w:i/>
          <w:sz w:val="24"/>
        </w:rPr>
        <w:t>Congreso</w:t>
      </w:r>
      <w:r>
        <w:rPr>
          <w:i/>
          <w:spacing w:val="-8"/>
          <w:sz w:val="24"/>
        </w:rPr>
        <w:t xml:space="preserve"> </w:t>
      </w:r>
      <w:r>
        <w:rPr>
          <w:i/>
          <w:sz w:val="24"/>
        </w:rPr>
        <w:t>de</w:t>
      </w:r>
      <w:r>
        <w:rPr>
          <w:i/>
          <w:spacing w:val="-8"/>
          <w:sz w:val="24"/>
        </w:rPr>
        <w:t xml:space="preserve"> </w:t>
      </w:r>
      <w:r>
        <w:rPr>
          <w:i/>
          <w:sz w:val="24"/>
        </w:rPr>
        <w:t>la</w:t>
      </w:r>
      <w:r>
        <w:rPr>
          <w:i/>
          <w:spacing w:val="-9"/>
          <w:sz w:val="24"/>
        </w:rPr>
        <w:t xml:space="preserve"> </w:t>
      </w:r>
      <w:r>
        <w:rPr>
          <w:i/>
          <w:sz w:val="24"/>
        </w:rPr>
        <w:t>República,</w:t>
      </w:r>
      <w:r>
        <w:rPr>
          <w:i/>
          <w:spacing w:val="-7"/>
          <w:sz w:val="24"/>
        </w:rPr>
        <w:t xml:space="preserve"> </w:t>
      </w:r>
      <w:r>
        <w:rPr>
          <w:i/>
          <w:sz w:val="24"/>
        </w:rPr>
        <w:t>pues</w:t>
      </w:r>
      <w:r>
        <w:rPr>
          <w:i/>
          <w:spacing w:val="-9"/>
          <w:sz w:val="24"/>
        </w:rPr>
        <w:t xml:space="preserve"> </w:t>
      </w:r>
      <w:r>
        <w:rPr>
          <w:i/>
          <w:sz w:val="24"/>
        </w:rPr>
        <w:t>es</w:t>
      </w:r>
      <w:r>
        <w:rPr>
          <w:i/>
          <w:spacing w:val="-9"/>
          <w:sz w:val="24"/>
        </w:rPr>
        <w:t xml:space="preserve"> </w:t>
      </w:r>
      <w:r>
        <w:rPr>
          <w:i/>
          <w:sz w:val="24"/>
        </w:rPr>
        <w:t>necesario</w:t>
      </w:r>
      <w:r>
        <w:rPr>
          <w:i/>
          <w:spacing w:val="-8"/>
          <w:sz w:val="24"/>
        </w:rPr>
        <w:t xml:space="preserve"> </w:t>
      </w:r>
      <w:r>
        <w:rPr>
          <w:i/>
          <w:sz w:val="24"/>
        </w:rPr>
        <w:t>contar</w:t>
      </w:r>
      <w:r>
        <w:rPr>
          <w:i/>
          <w:spacing w:val="-8"/>
          <w:sz w:val="24"/>
        </w:rPr>
        <w:t xml:space="preserve"> </w:t>
      </w:r>
      <w:r>
        <w:rPr>
          <w:i/>
          <w:sz w:val="24"/>
        </w:rPr>
        <w:t xml:space="preserve">con la participación gubernamental para expedir o reformar las leyes referentes a la estructura de la administración nacional, </w:t>
      </w:r>
      <w:proofErr w:type="gramStart"/>
      <w:r>
        <w:rPr>
          <w:i/>
          <w:sz w:val="24"/>
        </w:rPr>
        <w:t>en razón de</w:t>
      </w:r>
      <w:proofErr w:type="gramEnd"/>
      <w:r>
        <w:rPr>
          <w:i/>
          <w:sz w:val="24"/>
        </w:rPr>
        <w:t xml:space="preserve"> que la iniciativa para su aprobación pertenece de forma exclusiva al Gobierno</w:t>
      </w:r>
      <w:r>
        <w:rPr>
          <w:i/>
          <w:spacing w:val="-1"/>
          <w:sz w:val="24"/>
        </w:rPr>
        <w:t xml:space="preserve"> </w:t>
      </w:r>
      <w:r>
        <w:rPr>
          <w:i/>
          <w:sz w:val="24"/>
        </w:rPr>
        <w:t>nacional</w:t>
      </w:r>
      <w:r>
        <w:rPr>
          <w:i/>
          <w:spacing w:val="-1"/>
          <w:sz w:val="24"/>
        </w:rPr>
        <w:t xml:space="preserve"> </w:t>
      </w:r>
      <w:r>
        <w:rPr>
          <w:i/>
          <w:sz w:val="24"/>
        </w:rPr>
        <w:t>de</w:t>
      </w:r>
      <w:r>
        <w:rPr>
          <w:i/>
          <w:spacing w:val="-1"/>
          <w:sz w:val="24"/>
        </w:rPr>
        <w:t xml:space="preserve"> </w:t>
      </w:r>
      <w:r>
        <w:rPr>
          <w:i/>
          <w:sz w:val="24"/>
        </w:rPr>
        <w:t>conformidad</w:t>
      </w:r>
      <w:r>
        <w:rPr>
          <w:i/>
          <w:spacing w:val="-1"/>
          <w:sz w:val="24"/>
        </w:rPr>
        <w:t xml:space="preserve"> </w:t>
      </w:r>
      <w:r>
        <w:rPr>
          <w:i/>
          <w:sz w:val="24"/>
        </w:rPr>
        <w:t>con</w:t>
      </w:r>
      <w:r>
        <w:rPr>
          <w:i/>
          <w:spacing w:val="-2"/>
          <w:sz w:val="24"/>
        </w:rPr>
        <w:t xml:space="preserve"> </w:t>
      </w:r>
      <w:r>
        <w:rPr>
          <w:i/>
          <w:sz w:val="24"/>
        </w:rPr>
        <w:t>los</w:t>
      </w:r>
      <w:r>
        <w:rPr>
          <w:i/>
          <w:spacing w:val="-2"/>
          <w:sz w:val="24"/>
        </w:rPr>
        <w:t xml:space="preserve"> </w:t>
      </w:r>
      <w:r>
        <w:rPr>
          <w:i/>
          <w:sz w:val="24"/>
        </w:rPr>
        <w:t>preceptuado</w:t>
      </w:r>
      <w:r>
        <w:rPr>
          <w:i/>
          <w:spacing w:val="-1"/>
          <w:sz w:val="24"/>
        </w:rPr>
        <w:t xml:space="preserve"> </w:t>
      </w:r>
      <w:r>
        <w:rPr>
          <w:i/>
          <w:sz w:val="24"/>
        </w:rPr>
        <w:t>en el</w:t>
      </w:r>
      <w:r>
        <w:rPr>
          <w:i/>
          <w:spacing w:val="-3"/>
          <w:sz w:val="24"/>
        </w:rPr>
        <w:t xml:space="preserve"> </w:t>
      </w:r>
      <w:r>
        <w:rPr>
          <w:i/>
          <w:sz w:val="24"/>
        </w:rPr>
        <w:t>artículo 154 superior. (…)</w:t>
      </w:r>
      <w:hyperlink w:anchor="_bookmark209" w:history="1">
        <w:r w:rsidR="000E52B0">
          <w:rPr>
            <w:i/>
            <w:position w:val="8"/>
            <w:sz w:val="16"/>
          </w:rPr>
          <w:t>151</w:t>
        </w:r>
      </w:hyperlink>
      <w:r>
        <w:rPr>
          <w:i/>
          <w:sz w:val="24"/>
        </w:rPr>
        <w:t>”.</w:t>
      </w:r>
    </w:p>
    <w:p w14:paraId="65E6611F" w14:textId="77777777" w:rsidR="000E52B0" w:rsidRDefault="00F60D74">
      <w:pPr>
        <w:pStyle w:val="Textoindependiente"/>
        <w:spacing w:before="159"/>
        <w:ind w:right="720"/>
        <w:jc w:val="both"/>
      </w:pPr>
      <w:r>
        <w:t>Ahora bien, los proyectos de ley que ordenen gastos, entre ellos, el que dispone la creación del Ministerio de Igualdad y Equidad, exigen llevar a cabo un análisis de impacto fiscal en los términos del artículo 7º de la Ley 819 de 2003, disposición normativa que consagra:</w:t>
      </w:r>
    </w:p>
    <w:p w14:paraId="5228DB7F" w14:textId="77777777" w:rsidR="000E52B0" w:rsidRDefault="00F60D74">
      <w:pPr>
        <w:spacing w:before="242"/>
        <w:ind w:left="1428" w:right="722"/>
        <w:jc w:val="both"/>
        <w:rPr>
          <w:i/>
          <w:sz w:val="24"/>
        </w:rPr>
      </w:pPr>
      <w:r>
        <w:rPr>
          <w:i/>
          <w:sz w:val="24"/>
        </w:rPr>
        <w:t>“Artículo 7º.- Análisis del impacto fiscal de las normas. En todo momento, el impacto fiscal de cualquier proyecto de ley, ordenanza o</w:t>
      </w:r>
      <w:r>
        <w:rPr>
          <w:i/>
          <w:spacing w:val="36"/>
          <w:sz w:val="24"/>
        </w:rPr>
        <w:t xml:space="preserve"> </w:t>
      </w:r>
      <w:r>
        <w:rPr>
          <w:i/>
          <w:sz w:val="24"/>
        </w:rPr>
        <w:t>acuerdo,</w:t>
      </w:r>
      <w:r>
        <w:rPr>
          <w:i/>
          <w:spacing w:val="37"/>
          <w:sz w:val="24"/>
        </w:rPr>
        <w:t xml:space="preserve"> </w:t>
      </w:r>
      <w:r>
        <w:rPr>
          <w:i/>
          <w:sz w:val="24"/>
        </w:rPr>
        <w:t>que</w:t>
      </w:r>
      <w:r>
        <w:rPr>
          <w:i/>
          <w:spacing w:val="39"/>
          <w:sz w:val="24"/>
        </w:rPr>
        <w:t xml:space="preserve"> </w:t>
      </w:r>
      <w:r>
        <w:rPr>
          <w:i/>
          <w:sz w:val="24"/>
        </w:rPr>
        <w:t>ordene</w:t>
      </w:r>
      <w:r>
        <w:rPr>
          <w:i/>
          <w:spacing w:val="38"/>
          <w:sz w:val="24"/>
        </w:rPr>
        <w:t xml:space="preserve"> </w:t>
      </w:r>
      <w:r>
        <w:rPr>
          <w:i/>
          <w:sz w:val="24"/>
        </w:rPr>
        <w:t>gasto</w:t>
      </w:r>
      <w:r>
        <w:rPr>
          <w:i/>
          <w:spacing w:val="38"/>
          <w:sz w:val="24"/>
        </w:rPr>
        <w:t xml:space="preserve"> </w:t>
      </w:r>
      <w:r>
        <w:rPr>
          <w:i/>
          <w:sz w:val="24"/>
        </w:rPr>
        <w:t>o</w:t>
      </w:r>
      <w:r>
        <w:rPr>
          <w:i/>
          <w:spacing w:val="39"/>
          <w:sz w:val="24"/>
        </w:rPr>
        <w:t xml:space="preserve"> </w:t>
      </w:r>
      <w:r>
        <w:rPr>
          <w:i/>
          <w:sz w:val="24"/>
        </w:rPr>
        <w:t>que</w:t>
      </w:r>
      <w:r>
        <w:rPr>
          <w:i/>
          <w:spacing w:val="38"/>
          <w:sz w:val="24"/>
        </w:rPr>
        <w:t xml:space="preserve"> </w:t>
      </w:r>
      <w:r>
        <w:rPr>
          <w:i/>
          <w:sz w:val="24"/>
        </w:rPr>
        <w:t>otorgue</w:t>
      </w:r>
      <w:r>
        <w:rPr>
          <w:i/>
          <w:spacing w:val="38"/>
          <w:sz w:val="24"/>
        </w:rPr>
        <w:t xml:space="preserve"> </w:t>
      </w:r>
      <w:r>
        <w:rPr>
          <w:i/>
          <w:sz w:val="24"/>
        </w:rPr>
        <w:t>beneficios</w:t>
      </w:r>
      <w:r>
        <w:rPr>
          <w:i/>
          <w:spacing w:val="40"/>
          <w:sz w:val="24"/>
        </w:rPr>
        <w:t xml:space="preserve"> </w:t>
      </w:r>
      <w:r>
        <w:rPr>
          <w:i/>
          <w:spacing w:val="-2"/>
          <w:sz w:val="24"/>
        </w:rPr>
        <w:t>tributarios,</w:t>
      </w:r>
    </w:p>
    <w:p w14:paraId="04796CEF" w14:textId="77777777" w:rsidR="000E52B0" w:rsidRDefault="000E52B0">
      <w:pPr>
        <w:pStyle w:val="Textoindependiente"/>
        <w:ind w:left="0"/>
        <w:rPr>
          <w:i/>
          <w:sz w:val="20"/>
        </w:rPr>
      </w:pPr>
    </w:p>
    <w:p w14:paraId="4154BF7A" w14:textId="77777777" w:rsidR="000E52B0" w:rsidRDefault="000E52B0">
      <w:pPr>
        <w:pStyle w:val="Textoindependiente"/>
        <w:ind w:left="0"/>
        <w:rPr>
          <w:i/>
          <w:sz w:val="20"/>
        </w:rPr>
      </w:pPr>
    </w:p>
    <w:p w14:paraId="6B427D11" w14:textId="77777777" w:rsidR="000E52B0" w:rsidRDefault="00F60D74">
      <w:pPr>
        <w:pStyle w:val="Textoindependiente"/>
        <w:spacing w:before="106"/>
        <w:ind w:left="0"/>
        <w:rPr>
          <w:i/>
          <w:sz w:val="20"/>
        </w:rPr>
      </w:pPr>
      <w:r>
        <w:rPr>
          <w:i/>
          <w:noProof/>
          <w:sz w:val="20"/>
        </w:rPr>
        <mc:AlternateContent>
          <mc:Choice Requires="wps">
            <w:drawing>
              <wp:anchor distT="0" distB="0" distL="0" distR="0" simplePos="0" relativeHeight="487676416" behindDoc="1" locked="0" layoutInCell="1" allowOverlap="1" wp14:anchorId="01B37669" wp14:editId="5CD259E8">
                <wp:simplePos x="0" y="0"/>
                <wp:positionH relativeFrom="page">
                  <wp:posOffset>914704</wp:posOffset>
                </wp:positionH>
                <wp:positionV relativeFrom="paragraph">
                  <wp:posOffset>237158</wp:posOffset>
                </wp:positionV>
                <wp:extent cx="1829435" cy="7620"/>
                <wp:effectExtent l="0" t="0" r="0" b="0"/>
                <wp:wrapTopAndBottom/>
                <wp:docPr id="758" name="Graphic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26F171" id="Graphic 758" o:spid="_x0000_s1026" style="position:absolute;margin-left:1in;margin-top:18.65pt;width:144.05pt;height:.6pt;z-index:-1564006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" path="m1829054,l,,,7619r1829054,l1829054,xe" fillcolor="black" stroked="f">
                <v:path arrowok="t"/>
                <w10:wrap type="topAndBottom" anchorx="page"/>
              </v:shape>
            </w:pict>
          </mc:Fallback>
        </mc:AlternateContent>
      </w:r>
    </w:p>
    <w:p w14:paraId="70C4D588" w14:textId="77777777" w:rsidR="000E52B0" w:rsidRDefault="00F60D74">
      <w:pPr>
        <w:spacing w:before="96"/>
        <w:ind w:left="720" w:right="721"/>
        <w:jc w:val="both"/>
        <w:rPr>
          <w:rFonts w:ascii="Arial" w:hAnsi="Arial"/>
          <w:i/>
          <w:sz w:val="18"/>
        </w:rPr>
      </w:pPr>
      <w:bookmarkStart w:id="208" w:name="_bookmark208"/>
      <w:bookmarkEnd w:id="208"/>
      <w:r>
        <w:rPr>
          <w:rFonts w:ascii="Arial MT" w:hAnsi="Arial MT"/>
          <w:position w:val="6"/>
          <w:sz w:val="12"/>
        </w:rPr>
        <w:t>150</w:t>
      </w:r>
      <w:r>
        <w:rPr>
          <w:rFonts w:ascii="Arial MT" w:hAnsi="Arial MT"/>
          <w:spacing w:val="19"/>
          <w:position w:val="6"/>
          <w:sz w:val="12"/>
        </w:rPr>
        <w:t xml:space="preserve"> </w:t>
      </w:r>
      <w:proofErr w:type="gramStart"/>
      <w:r>
        <w:rPr>
          <w:rFonts w:ascii="Arial MT" w:hAnsi="Arial MT"/>
          <w:sz w:val="18"/>
        </w:rPr>
        <w:t>Constitución</w:t>
      </w:r>
      <w:proofErr w:type="gramEnd"/>
      <w:r>
        <w:rPr>
          <w:rFonts w:ascii="Arial MT" w:hAnsi="Arial MT"/>
          <w:sz w:val="18"/>
        </w:rPr>
        <w:t xml:space="preserve"> Política, Artículo 154: </w:t>
      </w:r>
      <w:r>
        <w:rPr>
          <w:rFonts w:ascii="Arial" w:hAnsi="Arial"/>
          <w:i/>
          <w:sz w:val="18"/>
        </w:rPr>
        <w:t>“Las leyes pueden tener</w:t>
      </w:r>
      <w:r>
        <w:rPr>
          <w:rFonts w:ascii="Arial" w:hAnsi="Arial"/>
          <w:i/>
          <w:spacing w:val="-1"/>
          <w:sz w:val="18"/>
        </w:rPr>
        <w:t xml:space="preserve"> </w:t>
      </w:r>
      <w:r>
        <w:rPr>
          <w:rFonts w:ascii="Arial" w:hAnsi="Arial"/>
          <w:i/>
          <w:sz w:val="18"/>
        </w:rPr>
        <w:t>origen en cualquiera de las Cámaras a propuesta de</w:t>
      </w:r>
      <w:r>
        <w:rPr>
          <w:rFonts w:ascii="Arial" w:hAnsi="Arial"/>
          <w:i/>
          <w:spacing w:val="-13"/>
          <w:sz w:val="18"/>
        </w:rPr>
        <w:t xml:space="preserve"> </w:t>
      </w:r>
      <w:r>
        <w:rPr>
          <w:rFonts w:ascii="Arial" w:hAnsi="Arial"/>
          <w:i/>
          <w:sz w:val="18"/>
        </w:rPr>
        <w:t>sus</w:t>
      </w:r>
      <w:r>
        <w:rPr>
          <w:rFonts w:ascii="Arial" w:hAnsi="Arial"/>
          <w:i/>
          <w:spacing w:val="-11"/>
          <w:sz w:val="18"/>
        </w:rPr>
        <w:t xml:space="preserve"> </w:t>
      </w:r>
      <w:r>
        <w:rPr>
          <w:rFonts w:ascii="Arial" w:hAnsi="Arial"/>
          <w:i/>
          <w:sz w:val="18"/>
        </w:rPr>
        <w:t>respectivos</w:t>
      </w:r>
      <w:r>
        <w:rPr>
          <w:rFonts w:ascii="Arial" w:hAnsi="Arial"/>
          <w:i/>
          <w:spacing w:val="-11"/>
          <w:sz w:val="18"/>
        </w:rPr>
        <w:t xml:space="preserve"> </w:t>
      </w:r>
      <w:r>
        <w:rPr>
          <w:rFonts w:ascii="Arial" w:hAnsi="Arial"/>
          <w:i/>
          <w:sz w:val="18"/>
        </w:rPr>
        <w:t>miembros,</w:t>
      </w:r>
      <w:r>
        <w:rPr>
          <w:rFonts w:ascii="Arial" w:hAnsi="Arial"/>
          <w:i/>
          <w:spacing w:val="-13"/>
          <w:sz w:val="18"/>
        </w:rPr>
        <w:t xml:space="preserve"> </w:t>
      </w:r>
      <w:r>
        <w:rPr>
          <w:rFonts w:ascii="Arial" w:hAnsi="Arial"/>
          <w:i/>
          <w:sz w:val="18"/>
        </w:rPr>
        <w:t>del</w:t>
      </w:r>
      <w:r>
        <w:rPr>
          <w:rFonts w:ascii="Arial" w:hAnsi="Arial"/>
          <w:i/>
          <w:spacing w:val="-11"/>
          <w:sz w:val="18"/>
        </w:rPr>
        <w:t xml:space="preserve"> </w:t>
      </w:r>
      <w:r>
        <w:rPr>
          <w:rFonts w:ascii="Arial" w:hAnsi="Arial"/>
          <w:i/>
          <w:sz w:val="18"/>
        </w:rPr>
        <w:t>Gobierno</w:t>
      </w:r>
      <w:r>
        <w:rPr>
          <w:rFonts w:ascii="Arial" w:hAnsi="Arial"/>
          <w:i/>
          <w:spacing w:val="-11"/>
          <w:sz w:val="18"/>
        </w:rPr>
        <w:t xml:space="preserve"> </w:t>
      </w:r>
      <w:r>
        <w:rPr>
          <w:rFonts w:ascii="Arial" w:hAnsi="Arial"/>
          <w:i/>
          <w:sz w:val="18"/>
        </w:rPr>
        <w:t>Nacional,</w:t>
      </w:r>
      <w:r>
        <w:rPr>
          <w:rFonts w:ascii="Arial" w:hAnsi="Arial"/>
          <w:i/>
          <w:spacing w:val="-11"/>
          <w:sz w:val="18"/>
        </w:rPr>
        <w:t xml:space="preserve"> </w:t>
      </w:r>
      <w:r>
        <w:rPr>
          <w:rFonts w:ascii="Arial" w:hAnsi="Arial"/>
          <w:i/>
          <w:sz w:val="18"/>
        </w:rPr>
        <w:t>de</w:t>
      </w:r>
      <w:r>
        <w:rPr>
          <w:rFonts w:ascii="Arial" w:hAnsi="Arial"/>
          <w:i/>
          <w:spacing w:val="-11"/>
          <w:sz w:val="18"/>
        </w:rPr>
        <w:t xml:space="preserve"> </w:t>
      </w:r>
      <w:r>
        <w:rPr>
          <w:rFonts w:ascii="Arial" w:hAnsi="Arial"/>
          <w:i/>
          <w:sz w:val="18"/>
        </w:rPr>
        <w:t>las</w:t>
      </w:r>
      <w:r>
        <w:rPr>
          <w:rFonts w:ascii="Arial" w:hAnsi="Arial"/>
          <w:i/>
          <w:spacing w:val="-11"/>
          <w:sz w:val="18"/>
        </w:rPr>
        <w:t xml:space="preserve"> </w:t>
      </w:r>
      <w:r>
        <w:rPr>
          <w:rFonts w:ascii="Arial" w:hAnsi="Arial"/>
          <w:i/>
          <w:sz w:val="18"/>
        </w:rPr>
        <w:t>entidades</w:t>
      </w:r>
      <w:r>
        <w:rPr>
          <w:rFonts w:ascii="Arial" w:hAnsi="Arial"/>
          <w:i/>
          <w:spacing w:val="-11"/>
          <w:sz w:val="18"/>
        </w:rPr>
        <w:t xml:space="preserve"> </w:t>
      </w:r>
      <w:r>
        <w:rPr>
          <w:rFonts w:ascii="Arial" w:hAnsi="Arial"/>
          <w:i/>
          <w:sz w:val="18"/>
        </w:rPr>
        <w:t>señaladas</w:t>
      </w:r>
      <w:r>
        <w:rPr>
          <w:rFonts w:ascii="Arial" w:hAnsi="Arial"/>
          <w:i/>
          <w:spacing w:val="-11"/>
          <w:sz w:val="18"/>
        </w:rPr>
        <w:t xml:space="preserve"> </w:t>
      </w:r>
      <w:r>
        <w:rPr>
          <w:rFonts w:ascii="Arial" w:hAnsi="Arial"/>
          <w:i/>
          <w:sz w:val="18"/>
        </w:rPr>
        <w:t>en</w:t>
      </w:r>
      <w:r>
        <w:rPr>
          <w:rFonts w:ascii="Arial" w:hAnsi="Arial"/>
          <w:i/>
          <w:spacing w:val="-11"/>
          <w:sz w:val="18"/>
        </w:rPr>
        <w:t xml:space="preserve"> </w:t>
      </w:r>
      <w:r>
        <w:rPr>
          <w:rFonts w:ascii="Arial" w:hAnsi="Arial"/>
          <w:i/>
          <w:sz w:val="18"/>
        </w:rPr>
        <w:t>el</w:t>
      </w:r>
      <w:r>
        <w:rPr>
          <w:rFonts w:ascii="Arial" w:hAnsi="Arial"/>
          <w:i/>
          <w:spacing w:val="-11"/>
          <w:sz w:val="18"/>
        </w:rPr>
        <w:t xml:space="preserve"> </w:t>
      </w:r>
      <w:r>
        <w:rPr>
          <w:rFonts w:ascii="Arial" w:hAnsi="Arial"/>
          <w:i/>
          <w:sz w:val="18"/>
        </w:rPr>
        <w:t>artículo</w:t>
      </w:r>
      <w:r>
        <w:rPr>
          <w:rFonts w:ascii="Arial" w:hAnsi="Arial"/>
          <w:i/>
          <w:spacing w:val="-13"/>
          <w:sz w:val="18"/>
        </w:rPr>
        <w:t xml:space="preserve"> </w:t>
      </w:r>
      <w:r>
        <w:rPr>
          <w:rFonts w:ascii="Arial" w:hAnsi="Arial"/>
          <w:i/>
          <w:sz w:val="18"/>
        </w:rPr>
        <w:t>156,</w:t>
      </w:r>
      <w:r>
        <w:rPr>
          <w:rFonts w:ascii="Arial" w:hAnsi="Arial"/>
          <w:i/>
          <w:spacing w:val="-11"/>
          <w:sz w:val="18"/>
        </w:rPr>
        <w:t xml:space="preserve"> </w:t>
      </w:r>
      <w:r>
        <w:rPr>
          <w:rFonts w:ascii="Arial" w:hAnsi="Arial"/>
          <w:i/>
          <w:sz w:val="18"/>
        </w:rPr>
        <w:t>o</w:t>
      </w:r>
      <w:r>
        <w:rPr>
          <w:rFonts w:ascii="Arial" w:hAnsi="Arial"/>
          <w:i/>
          <w:spacing w:val="-11"/>
          <w:sz w:val="18"/>
        </w:rPr>
        <w:t xml:space="preserve"> </w:t>
      </w:r>
      <w:r>
        <w:rPr>
          <w:rFonts w:ascii="Arial" w:hAnsi="Arial"/>
          <w:i/>
          <w:sz w:val="18"/>
        </w:rPr>
        <w:t>por</w:t>
      </w:r>
      <w:r>
        <w:rPr>
          <w:rFonts w:ascii="Arial" w:hAnsi="Arial"/>
          <w:i/>
          <w:spacing w:val="-12"/>
          <w:sz w:val="18"/>
        </w:rPr>
        <w:t xml:space="preserve"> </w:t>
      </w:r>
      <w:r>
        <w:rPr>
          <w:rFonts w:ascii="Arial" w:hAnsi="Arial"/>
          <w:i/>
          <w:sz w:val="18"/>
        </w:rPr>
        <w:t>iniciativa popular en los casos previstos en la Constitución.</w:t>
      </w:r>
    </w:p>
    <w:p w14:paraId="4A40B306" w14:textId="77777777" w:rsidR="000E52B0" w:rsidRDefault="00F60D74">
      <w:pPr>
        <w:spacing w:before="1"/>
        <w:ind w:left="720" w:right="730"/>
        <w:jc w:val="both"/>
        <w:rPr>
          <w:rFonts w:ascii="Arial MT" w:hAnsi="Arial MT"/>
          <w:sz w:val="18"/>
        </w:rPr>
      </w:pPr>
      <w:r>
        <w:rPr>
          <w:rFonts w:ascii="Arial" w:hAnsi="Arial"/>
          <w:i/>
          <w:sz w:val="18"/>
        </w:rPr>
        <w:t xml:space="preserve">No obstante, sólo podrán ser dictadas o reformadas por iniciativa del Gobierno las leyes a que se refieren los numerales 3, </w:t>
      </w:r>
      <w:r>
        <w:rPr>
          <w:rFonts w:ascii="Arial" w:hAnsi="Arial"/>
          <w:b/>
          <w:i/>
          <w:sz w:val="18"/>
          <w:u w:val="single"/>
        </w:rPr>
        <w:t>7,</w:t>
      </w:r>
      <w:r>
        <w:rPr>
          <w:rFonts w:ascii="Arial" w:hAnsi="Arial"/>
          <w:b/>
          <w:i/>
          <w:sz w:val="18"/>
        </w:rPr>
        <w:t xml:space="preserve"> </w:t>
      </w:r>
      <w:r>
        <w:rPr>
          <w:rFonts w:ascii="Arial" w:hAnsi="Arial"/>
          <w:i/>
          <w:sz w:val="18"/>
        </w:rPr>
        <w:t xml:space="preserve">9, 11 y 22 y los literales a, b y e, del numeral 19 del artículo </w:t>
      </w:r>
      <w:r>
        <w:rPr>
          <w:rFonts w:ascii="Arial" w:hAnsi="Arial"/>
          <w:b/>
          <w:i/>
          <w:sz w:val="18"/>
          <w:u w:val="single"/>
        </w:rPr>
        <w:t>150</w:t>
      </w:r>
      <w:r>
        <w:rPr>
          <w:rFonts w:ascii="Arial" w:hAnsi="Arial"/>
          <w:i/>
          <w:sz w:val="18"/>
        </w:rPr>
        <w:t>. (…)”</w:t>
      </w:r>
      <w:r>
        <w:rPr>
          <w:rFonts w:ascii="Arial MT" w:hAnsi="Arial MT"/>
          <w:sz w:val="18"/>
        </w:rPr>
        <w:t>.</w:t>
      </w:r>
    </w:p>
    <w:p w14:paraId="2F20C752" w14:textId="77777777" w:rsidR="000E52B0" w:rsidRDefault="00F60D74">
      <w:pPr>
        <w:ind w:left="720" w:right="724"/>
        <w:jc w:val="both"/>
        <w:rPr>
          <w:rFonts w:ascii="Arial" w:hAnsi="Arial"/>
          <w:i/>
          <w:sz w:val="18"/>
        </w:rPr>
      </w:pPr>
      <w:r>
        <w:rPr>
          <w:rFonts w:ascii="Arial" w:hAnsi="Arial"/>
          <w:b/>
          <w:sz w:val="18"/>
          <w:u w:val="single"/>
        </w:rPr>
        <w:t>Artículo 150-7</w:t>
      </w:r>
      <w:r>
        <w:rPr>
          <w:rFonts w:ascii="Arial" w:hAnsi="Arial"/>
          <w:b/>
          <w:i/>
          <w:sz w:val="18"/>
          <w:u w:val="single"/>
        </w:rPr>
        <w:t>:</w:t>
      </w:r>
      <w:r>
        <w:rPr>
          <w:rFonts w:ascii="Arial" w:hAnsi="Arial"/>
          <w:b/>
          <w:i/>
          <w:sz w:val="18"/>
        </w:rPr>
        <w:t xml:space="preserve"> </w:t>
      </w:r>
      <w:r>
        <w:rPr>
          <w:rFonts w:ascii="Arial" w:hAnsi="Arial"/>
          <w:i/>
          <w:sz w:val="18"/>
        </w:rPr>
        <w:t>“Determinar la estructura de la administración nacional y crear, suprimir o fusionar ministerios, departamentos</w:t>
      </w:r>
      <w:r>
        <w:rPr>
          <w:rFonts w:ascii="Arial" w:hAnsi="Arial"/>
          <w:i/>
          <w:spacing w:val="-12"/>
          <w:sz w:val="18"/>
        </w:rPr>
        <w:t xml:space="preserve"> </w:t>
      </w:r>
      <w:r>
        <w:rPr>
          <w:rFonts w:ascii="Arial" w:hAnsi="Arial"/>
          <w:i/>
          <w:sz w:val="18"/>
        </w:rPr>
        <w:t>administrativos,</w:t>
      </w:r>
      <w:r>
        <w:rPr>
          <w:rFonts w:ascii="Arial" w:hAnsi="Arial"/>
          <w:i/>
          <w:spacing w:val="-11"/>
          <w:sz w:val="18"/>
        </w:rPr>
        <w:t xml:space="preserve"> </w:t>
      </w:r>
      <w:r>
        <w:rPr>
          <w:rFonts w:ascii="Arial" w:hAnsi="Arial"/>
          <w:i/>
          <w:sz w:val="18"/>
        </w:rPr>
        <w:t>superintendencias,</w:t>
      </w:r>
      <w:r>
        <w:rPr>
          <w:rFonts w:ascii="Arial" w:hAnsi="Arial"/>
          <w:i/>
          <w:spacing w:val="-13"/>
          <w:sz w:val="18"/>
        </w:rPr>
        <w:t xml:space="preserve"> </w:t>
      </w:r>
      <w:r>
        <w:rPr>
          <w:rFonts w:ascii="Arial" w:hAnsi="Arial"/>
          <w:i/>
          <w:sz w:val="18"/>
        </w:rPr>
        <w:t>establecimientos</w:t>
      </w:r>
      <w:r>
        <w:rPr>
          <w:rFonts w:ascii="Arial" w:hAnsi="Arial"/>
          <w:i/>
          <w:spacing w:val="-12"/>
          <w:sz w:val="18"/>
        </w:rPr>
        <w:t xml:space="preserve"> </w:t>
      </w:r>
      <w:r>
        <w:rPr>
          <w:rFonts w:ascii="Arial" w:hAnsi="Arial"/>
          <w:i/>
          <w:sz w:val="18"/>
        </w:rPr>
        <w:t>públicos</w:t>
      </w:r>
      <w:r>
        <w:rPr>
          <w:rFonts w:ascii="Arial" w:hAnsi="Arial"/>
          <w:i/>
          <w:spacing w:val="-13"/>
          <w:sz w:val="18"/>
        </w:rPr>
        <w:t xml:space="preserve"> </w:t>
      </w:r>
      <w:r>
        <w:rPr>
          <w:rFonts w:ascii="Arial" w:hAnsi="Arial"/>
          <w:i/>
          <w:sz w:val="18"/>
        </w:rPr>
        <w:t>y</w:t>
      </w:r>
      <w:r>
        <w:rPr>
          <w:rFonts w:ascii="Arial" w:hAnsi="Arial"/>
          <w:i/>
          <w:spacing w:val="-10"/>
          <w:sz w:val="18"/>
        </w:rPr>
        <w:t xml:space="preserve"> </w:t>
      </w:r>
      <w:r>
        <w:rPr>
          <w:rFonts w:ascii="Arial" w:hAnsi="Arial"/>
          <w:i/>
          <w:sz w:val="18"/>
        </w:rPr>
        <w:t>otras</w:t>
      </w:r>
      <w:r>
        <w:rPr>
          <w:rFonts w:ascii="Arial" w:hAnsi="Arial"/>
          <w:i/>
          <w:spacing w:val="-13"/>
          <w:sz w:val="18"/>
        </w:rPr>
        <w:t xml:space="preserve"> </w:t>
      </w:r>
      <w:r>
        <w:rPr>
          <w:rFonts w:ascii="Arial" w:hAnsi="Arial"/>
          <w:i/>
          <w:sz w:val="18"/>
        </w:rPr>
        <w:t>entidades</w:t>
      </w:r>
      <w:r>
        <w:rPr>
          <w:rFonts w:ascii="Arial" w:hAnsi="Arial"/>
          <w:i/>
          <w:spacing w:val="-12"/>
          <w:sz w:val="18"/>
        </w:rPr>
        <w:t xml:space="preserve"> </w:t>
      </w:r>
      <w:r>
        <w:rPr>
          <w:rFonts w:ascii="Arial" w:hAnsi="Arial"/>
          <w:i/>
          <w:sz w:val="18"/>
        </w:rPr>
        <w:t>del</w:t>
      </w:r>
      <w:r>
        <w:rPr>
          <w:rFonts w:ascii="Arial" w:hAnsi="Arial"/>
          <w:i/>
          <w:spacing w:val="-13"/>
          <w:sz w:val="18"/>
        </w:rPr>
        <w:t xml:space="preserve"> </w:t>
      </w:r>
      <w:r>
        <w:rPr>
          <w:rFonts w:ascii="Arial" w:hAnsi="Arial"/>
          <w:i/>
          <w:sz w:val="18"/>
        </w:rPr>
        <w:t>orden</w:t>
      </w:r>
      <w:r>
        <w:rPr>
          <w:rFonts w:ascii="Arial" w:hAnsi="Arial"/>
          <w:i/>
          <w:spacing w:val="-12"/>
          <w:sz w:val="18"/>
        </w:rPr>
        <w:t xml:space="preserve"> </w:t>
      </w:r>
      <w:r>
        <w:rPr>
          <w:rFonts w:ascii="Arial" w:hAnsi="Arial"/>
          <w:i/>
          <w:sz w:val="18"/>
        </w:rPr>
        <w:t xml:space="preserve">nacional </w:t>
      </w:r>
      <w:bookmarkStart w:id="209" w:name="_bookmark209"/>
      <w:bookmarkEnd w:id="209"/>
      <w:r>
        <w:rPr>
          <w:rFonts w:ascii="Arial" w:hAnsi="Arial"/>
          <w:i/>
          <w:spacing w:val="-4"/>
          <w:sz w:val="18"/>
        </w:rPr>
        <w:t>(…)”</w:t>
      </w:r>
    </w:p>
    <w:p w14:paraId="178B5BF9" w14:textId="77777777" w:rsidR="000E52B0" w:rsidRDefault="00F60D74">
      <w:pPr>
        <w:spacing w:line="208" w:lineRule="exact"/>
        <w:ind w:left="720"/>
        <w:jc w:val="both"/>
        <w:rPr>
          <w:rFonts w:ascii="Arial MT"/>
          <w:sz w:val="18"/>
        </w:rPr>
      </w:pPr>
      <w:r>
        <w:rPr>
          <w:rFonts w:ascii="Arial MT"/>
          <w:position w:val="6"/>
          <w:sz w:val="12"/>
        </w:rPr>
        <w:t>151</w:t>
      </w:r>
      <w:r>
        <w:rPr>
          <w:rFonts w:ascii="Arial MT"/>
          <w:spacing w:val="12"/>
          <w:position w:val="6"/>
          <w:sz w:val="12"/>
        </w:rPr>
        <w:t xml:space="preserve"> </w:t>
      </w:r>
      <w:proofErr w:type="gramStart"/>
      <w:r>
        <w:rPr>
          <w:rFonts w:ascii="Arial MT"/>
          <w:sz w:val="18"/>
        </w:rPr>
        <w:t>Corte</w:t>
      </w:r>
      <w:proofErr w:type="gramEnd"/>
      <w:r>
        <w:rPr>
          <w:rFonts w:ascii="Arial MT"/>
          <w:spacing w:val="-5"/>
          <w:sz w:val="18"/>
        </w:rPr>
        <w:t xml:space="preserve"> </w:t>
      </w:r>
      <w:r>
        <w:rPr>
          <w:rFonts w:ascii="Arial MT"/>
          <w:sz w:val="18"/>
        </w:rPr>
        <w:t>Constitucional</w:t>
      </w:r>
      <w:r>
        <w:rPr>
          <w:rFonts w:ascii="Arial MT"/>
          <w:spacing w:val="-4"/>
          <w:sz w:val="18"/>
        </w:rPr>
        <w:t xml:space="preserve"> </w:t>
      </w:r>
      <w:r>
        <w:rPr>
          <w:rFonts w:ascii="Arial MT"/>
          <w:sz w:val="18"/>
        </w:rPr>
        <w:t>Sentencia</w:t>
      </w:r>
      <w:r>
        <w:rPr>
          <w:rFonts w:ascii="Arial MT"/>
          <w:spacing w:val="-5"/>
          <w:sz w:val="18"/>
        </w:rPr>
        <w:t xml:space="preserve"> </w:t>
      </w:r>
      <w:r>
        <w:rPr>
          <w:rFonts w:ascii="Arial MT"/>
          <w:sz w:val="18"/>
        </w:rPr>
        <w:t>C-177</w:t>
      </w:r>
      <w:r>
        <w:rPr>
          <w:rFonts w:ascii="Arial MT"/>
          <w:spacing w:val="-6"/>
          <w:sz w:val="18"/>
        </w:rPr>
        <w:t xml:space="preserve"> </w:t>
      </w:r>
      <w:r>
        <w:rPr>
          <w:rFonts w:ascii="Arial MT"/>
          <w:sz w:val="18"/>
        </w:rPr>
        <w:t>de</w:t>
      </w:r>
      <w:r>
        <w:rPr>
          <w:rFonts w:ascii="Arial MT"/>
          <w:spacing w:val="-5"/>
          <w:sz w:val="18"/>
        </w:rPr>
        <w:t xml:space="preserve"> </w:t>
      </w:r>
      <w:r>
        <w:rPr>
          <w:rFonts w:ascii="Arial MT"/>
          <w:sz w:val="18"/>
        </w:rPr>
        <w:t>2007</w:t>
      </w:r>
      <w:r>
        <w:rPr>
          <w:rFonts w:ascii="Arial MT"/>
          <w:spacing w:val="-5"/>
          <w:sz w:val="18"/>
        </w:rPr>
        <w:t xml:space="preserve"> </w:t>
      </w:r>
      <w:r>
        <w:rPr>
          <w:rFonts w:ascii="Arial MT"/>
          <w:sz w:val="18"/>
        </w:rPr>
        <w:t>Humberto</w:t>
      </w:r>
      <w:r>
        <w:rPr>
          <w:rFonts w:ascii="Arial MT"/>
          <w:spacing w:val="-4"/>
          <w:sz w:val="18"/>
        </w:rPr>
        <w:t xml:space="preserve"> </w:t>
      </w:r>
      <w:r>
        <w:rPr>
          <w:rFonts w:ascii="Arial MT"/>
          <w:sz w:val="18"/>
        </w:rPr>
        <w:t>Sierra</w:t>
      </w:r>
      <w:r>
        <w:rPr>
          <w:rFonts w:ascii="Arial MT"/>
          <w:spacing w:val="-5"/>
          <w:sz w:val="18"/>
        </w:rPr>
        <w:t xml:space="preserve"> </w:t>
      </w:r>
      <w:r>
        <w:rPr>
          <w:rFonts w:ascii="Arial MT"/>
          <w:spacing w:val="-2"/>
          <w:sz w:val="18"/>
        </w:rPr>
        <w:t>Porto.</w:t>
      </w:r>
    </w:p>
    <w:p w14:paraId="5854285C" w14:textId="77777777" w:rsidR="000E52B0" w:rsidRDefault="000E52B0">
      <w:pPr>
        <w:spacing w:line="208" w:lineRule="exact"/>
        <w:jc w:val="both"/>
        <w:rPr>
          <w:rFonts w:ascii="Arial MT"/>
          <w:sz w:val="18"/>
        </w:rPr>
        <w:sectPr w:rsidR="000E52B0">
          <w:pgSz w:w="11910" w:h="16840"/>
          <w:pgMar w:top="1340" w:right="720" w:bottom="1180" w:left="720" w:header="0" w:footer="995" w:gutter="0"/>
          <w:cols w:space="720"/>
        </w:sectPr>
      </w:pPr>
    </w:p>
    <w:p w14:paraId="2F9D4783" w14:textId="77777777" w:rsidR="000E52B0" w:rsidRDefault="00F60D74">
      <w:pPr>
        <w:spacing w:before="83"/>
        <w:ind w:left="1428" w:right="723"/>
        <w:jc w:val="both"/>
        <w:rPr>
          <w:i/>
          <w:sz w:val="24"/>
        </w:rPr>
      </w:pPr>
      <w:r>
        <w:rPr>
          <w:i/>
          <w:sz w:val="24"/>
        </w:rPr>
        <w:lastRenderedPageBreak/>
        <w:t>deberá</w:t>
      </w:r>
      <w:r>
        <w:rPr>
          <w:i/>
          <w:spacing w:val="-1"/>
          <w:sz w:val="24"/>
        </w:rPr>
        <w:t xml:space="preserve"> </w:t>
      </w:r>
      <w:r>
        <w:rPr>
          <w:i/>
          <w:sz w:val="24"/>
        </w:rPr>
        <w:t>hacerse</w:t>
      </w:r>
      <w:r>
        <w:rPr>
          <w:i/>
          <w:spacing w:val="-1"/>
          <w:sz w:val="24"/>
        </w:rPr>
        <w:t xml:space="preserve"> </w:t>
      </w:r>
      <w:r>
        <w:rPr>
          <w:i/>
          <w:sz w:val="24"/>
        </w:rPr>
        <w:t>explícito y deberá</w:t>
      </w:r>
      <w:r>
        <w:rPr>
          <w:i/>
          <w:spacing w:val="-1"/>
          <w:sz w:val="24"/>
        </w:rPr>
        <w:t xml:space="preserve"> </w:t>
      </w:r>
      <w:r>
        <w:rPr>
          <w:i/>
          <w:sz w:val="24"/>
        </w:rPr>
        <w:t>ser compatible</w:t>
      </w:r>
      <w:r>
        <w:rPr>
          <w:i/>
          <w:spacing w:val="-1"/>
          <w:sz w:val="24"/>
        </w:rPr>
        <w:t xml:space="preserve"> </w:t>
      </w:r>
      <w:r>
        <w:rPr>
          <w:i/>
          <w:sz w:val="24"/>
        </w:rPr>
        <w:t>con el</w:t>
      </w:r>
      <w:r>
        <w:rPr>
          <w:i/>
          <w:spacing w:val="-1"/>
          <w:sz w:val="24"/>
        </w:rPr>
        <w:t xml:space="preserve"> </w:t>
      </w:r>
      <w:r>
        <w:rPr>
          <w:i/>
          <w:sz w:val="24"/>
        </w:rPr>
        <w:t>Marco</w:t>
      </w:r>
      <w:r>
        <w:rPr>
          <w:i/>
          <w:spacing w:val="-1"/>
          <w:sz w:val="24"/>
        </w:rPr>
        <w:t xml:space="preserve"> </w:t>
      </w:r>
      <w:r>
        <w:rPr>
          <w:i/>
          <w:sz w:val="24"/>
        </w:rPr>
        <w:t>Fiscal de Mediano Plazo.</w:t>
      </w:r>
    </w:p>
    <w:p w14:paraId="3FCD2A42" w14:textId="77777777" w:rsidR="000E52B0" w:rsidRDefault="00F60D74">
      <w:pPr>
        <w:spacing w:before="240"/>
        <w:ind w:left="1428" w:right="722"/>
        <w:jc w:val="both"/>
        <w:rPr>
          <w:i/>
          <w:sz w:val="24"/>
        </w:rPr>
      </w:pPr>
      <w:r>
        <w:rPr>
          <w:i/>
          <w:sz w:val="24"/>
        </w:rPr>
        <w:t>Para estos propósitos, deberá incluirse expresamente en la exposición de motivos y en las ponencias de trámite respectivas los costos fiscales de la iniciativa y la fuente de ingreso adicional generada para el financiamiento de dicho costo.</w:t>
      </w:r>
    </w:p>
    <w:p w14:paraId="3CDAEC43" w14:textId="77777777" w:rsidR="000E52B0" w:rsidRDefault="00F60D74">
      <w:pPr>
        <w:spacing w:before="239"/>
        <w:ind w:left="1428" w:right="718"/>
        <w:jc w:val="both"/>
        <w:rPr>
          <w:i/>
          <w:sz w:val="24"/>
        </w:rPr>
      </w:pPr>
      <w:r>
        <w:rPr>
          <w:i/>
          <w:sz w:val="24"/>
        </w:rPr>
        <w:t>El Ministerio de Hacienda y Crédito Público, en cualquier tiempo durante</w:t>
      </w:r>
      <w:r>
        <w:rPr>
          <w:i/>
          <w:spacing w:val="-4"/>
          <w:sz w:val="24"/>
        </w:rPr>
        <w:t xml:space="preserve"> </w:t>
      </w:r>
      <w:r>
        <w:rPr>
          <w:i/>
          <w:sz w:val="24"/>
        </w:rPr>
        <w:t>el</w:t>
      </w:r>
      <w:r>
        <w:rPr>
          <w:i/>
          <w:spacing w:val="-5"/>
          <w:sz w:val="24"/>
        </w:rPr>
        <w:t xml:space="preserve"> </w:t>
      </w:r>
      <w:r>
        <w:rPr>
          <w:i/>
          <w:sz w:val="24"/>
        </w:rPr>
        <w:t>respectivo</w:t>
      </w:r>
      <w:r>
        <w:rPr>
          <w:i/>
          <w:spacing w:val="-4"/>
          <w:sz w:val="24"/>
        </w:rPr>
        <w:t xml:space="preserve"> </w:t>
      </w:r>
      <w:r>
        <w:rPr>
          <w:i/>
          <w:sz w:val="24"/>
        </w:rPr>
        <w:t>trámite</w:t>
      </w:r>
      <w:r>
        <w:rPr>
          <w:i/>
          <w:spacing w:val="-4"/>
          <w:sz w:val="24"/>
        </w:rPr>
        <w:t xml:space="preserve"> </w:t>
      </w:r>
      <w:r>
        <w:rPr>
          <w:i/>
          <w:sz w:val="24"/>
        </w:rPr>
        <w:t>en</w:t>
      </w:r>
      <w:r>
        <w:rPr>
          <w:i/>
          <w:spacing w:val="-5"/>
          <w:sz w:val="24"/>
        </w:rPr>
        <w:t xml:space="preserve"> </w:t>
      </w:r>
      <w:r>
        <w:rPr>
          <w:i/>
          <w:sz w:val="24"/>
        </w:rPr>
        <w:t>el</w:t>
      </w:r>
      <w:r>
        <w:rPr>
          <w:i/>
          <w:spacing w:val="-5"/>
          <w:sz w:val="24"/>
        </w:rPr>
        <w:t xml:space="preserve"> </w:t>
      </w:r>
      <w:r>
        <w:rPr>
          <w:i/>
          <w:sz w:val="24"/>
        </w:rPr>
        <w:t>Congreso</w:t>
      </w:r>
      <w:r>
        <w:rPr>
          <w:i/>
          <w:spacing w:val="-4"/>
          <w:sz w:val="24"/>
        </w:rPr>
        <w:t xml:space="preserve"> </w:t>
      </w:r>
      <w:r>
        <w:rPr>
          <w:i/>
          <w:sz w:val="24"/>
        </w:rPr>
        <w:t>de</w:t>
      </w:r>
      <w:r>
        <w:rPr>
          <w:i/>
          <w:spacing w:val="-4"/>
          <w:sz w:val="24"/>
        </w:rPr>
        <w:t xml:space="preserve"> </w:t>
      </w:r>
      <w:r>
        <w:rPr>
          <w:i/>
          <w:sz w:val="24"/>
        </w:rPr>
        <w:t>la</w:t>
      </w:r>
      <w:r>
        <w:rPr>
          <w:i/>
          <w:spacing w:val="-4"/>
          <w:sz w:val="24"/>
        </w:rPr>
        <w:t xml:space="preserve"> </w:t>
      </w:r>
      <w:r>
        <w:rPr>
          <w:i/>
          <w:sz w:val="24"/>
        </w:rPr>
        <w:t>República,</w:t>
      </w:r>
      <w:r>
        <w:rPr>
          <w:i/>
          <w:spacing w:val="-6"/>
          <w:sz w:val="24"/>
        </w:rPr>
        <w:t xml:space="preserve"> </w:t>
      </w:r>
      <w:r>
        <w:rPr>
          <w:i/>
          <w:sz w:val="24"/>
        </w:rPr>
        <w:t>deberá rendir</w:t>
      </w:r>
      <w:r>
        <w:rPr>
          <w:i/>
          <w:spacing w:val="-15"/>
          <w:sz w:val="24"/>
        </w:rPr>
        <w:t xml:space="preserve"> </w:t>
      </w:r>
      <w:r>
        <w:rPr>
          <w:i/>
          <w:sz w:val="24"/>
        </w:rPr>
        <w:t>su</w:t>
      </w:r>
      <w:r>
        <w:rPr>
          <w:i/>
          <w:spacing w:val="-17"/>
          <w:sz w:val="24"/>
        </w:rPr>
        <w:t xml:space="preserve"> </w:t>
      </w:r>
      <w:r>
        <w:rPr>
          <w:i/>
          <w:sz w:val="24"/>
        </w:rPr>
        <w:t>concepto</w:t>
      </w:r>
      <w:r>
        <w:rPr>
          <w:i/>
          <w:spacing w:val="-13"/>
          <w:sz w:val="24"/>
        </w:rPr>
        <w:t xml:space="preserve"> </w:t>
      </w:r>
      <w:r>
        <w:rPr>
          <w:i/>
          <w:sz w:val="24"/>
        </w:rPr>
        <w:t>frente</w:t>
      </w:r>
      <w:r>
        <w:rPr>
          <w:i/>
          <w:spacing w:val="-15"/>
          <w:sz w:val="24"/>
        </w:rPr>
        <w:t xml:space="preserve"> </w:t>
      </w:r>
      <w:r>
        <w:rPr>
          <w:i/>
          <w:sz w:val="24"/>
        </w:rPr>
        <w:t>a</w:t>
      </w:r>
      <w:r>
        <w:rPr>
          <w:i/>
          <w:spacing w:val="-16"/>
          <w:sz w:val="24"/>
        </w:rPr>
        <w:t xml:space="preserve"> </w:t>
      </w:r>
      <w:r>
        <w:rPr>
          <w:i/>
          <w:sz w:val="24"/>
        </w:rPr>
        <w:t>la</w:t>
      </w:r>
      <w:r>
        <w:rPr>
          <w:i/>
          <w:spacing w:val="-16"/>
          <w:sz w:val="24"/>
        </w:rPr>
        <w:t xml:space="preserve"> </w:t>
      </w:r>
      <w:r>
        <w:rPr>
          <w:i/>
          <w:sz w:val="24"/>
        </w:rPr>
        <w:t>consistencia</w:t>
      </w:r>
      <w:r>
        <w:rPr>
          <w:i/>
          <w:spacing w:val="-16"/>
          <w:sz w:val="24"/>
        </w:rPr>
        <w:t xml:space="preserve"> </w:t>
      </w:r>
      <w:r>
        <w:rPr>
          <w:i/>
          <w:sz w:val="24"/>
        </w:rPr>
        <w:t>de</w:t>
      </w:r>
      <w:r>
        <w:rPr>
          <w:i/>
          <w:spacing w:val="-13"/>
          <w:sz w:val="24"/>
        </w:rPr>
        <w:t xml:space="preserve"> </w:t>
      </w:r>
      <w:r>
        <w:rPr>
          <w:i/>
          <w:sz w:val="24"/>
        </w:rPr>
        <w:t>lo</w:t>
      </w:r>
      <w:r>
        <w:rPr>
          <w:i/>
          <w:spacing w:val="-15"/>
          <w:sz w:val="24"/>
        </w:rPr>
        <w:t xml:space="preserve"> </w:t>
      </w:r>
      <w:r>
        <w:rPr>
          <w:i/>
          <w:sz w:val="24"/>
        </w:rPr>
        <w:t>dispuesto</w:t>
      </w:r>
      <w:r>
        <w:rPr>
          <w:i/>
          <w:spacing w:val="-15"/>
          <w:sz w:val="24"/>
        </w:rPr>
        <w:t xml:space="preserve"> </w:t>
      </w:r>
      <w:r>
        <w:rPr>
          <w:i/>
          <w:sz w:val="24"/>
        </w:rPr>
        <w:t>en</w:t>
      </w:r>
      <w:r>
        <w:rPr>
          <w:i/>
          <w:spacing w:val="-17"/>
          <w:sz w:val="24"/>
        </w:rPr>
        <w:t xml:space="preserve"> </w:t>
      </w:r>
      <w:r>
        <w:rPr>
          <w:i/>
          <w:sz w:val="24"/>
        </w:rPr>
        <w:t>el</w:t>
      </w:r>
      <w:r>
        <w:rPr>
          <w:i/>
          <w:spacing w:val="-17"/>
          <w:sz w:val="24"/>
        </w:rPr>
        <w:t xml:space="preserve"> </w:t>
      </w:r>
      <w:r>
        <w:rPr>
          <w:i/>
          <w:sz w:val="24"/>
        </w:rPr>
        <w:t>inciso anterior. En ningún caso este concepto podrá ir en contravía del Marco Fiscal de Mediano Plazo. Este informe será publicado en la Gaceta del Congreso.</w:t>
      </w:r>
    </w:p>
    <w:p w14:paraId="35A6885A" w14:textId="77777777" w:rsidR="000E52B0" w:rsidRDefault="00F60D74">
      <w:pPr>
        <w:spacing w:before="240"/>
        <w:ind w:left="1428" w:right="716"/>
        <w:jc w:val="both"/>
        <w:rPr>
          <w:i/>
          <w:sz w:val="24"/>
        </w:rPr>
      </w:pPr>
      <w:r>
        <w:rPr>
          <w:i/>
          <w:sz w:val="24"/>
        </w:rPr>
        <w:t xml:space="preserve">Los proyectos de ley de iniciativa gubernamental, que planteen un gasto adicional o una reducción de ingresos, </w:t>
      </w:r>
      <w:proofErr w:type="gramStart"/>
      <w:r>
        <w:rPr>
          <w:i/>
          <w:sz w:val="24"/>
        </w:rPr>
        <w:t>deberá</w:t>
      </w:r>
      <w:proofErr w:type="gramEnd"/>
      <w:r>
        <w:rPr>
          <w:i/>
          <w:sz w:val="24"/>
        </w:rPr>
        <w:t xml:space="preserve"> contener la correspondiente fuente sustitutiva por disminución de gasto o aumentos de ingresos, lo cual deberá ser analizado y aprobado por el Ministerio de Hacienda y Crédito Público.</w:t>
      </w:r>
    </w:p>
    <w:p w14:paraId="50C9BF82" w14:textId="77777777" w:rsidR="000E52B0" w:rsidRDefault="00F60D74">
      <w:pPr>
        <w:spacing w:before="241"/>
        <w:ind w:left="1428" w:right="724"/>
        <w:jc w:val="both"/>
        <w:rPr>
          <w:i/>
          <w:sz w:val="24"/>
        </w:rPr>
      </w:pPr>
      <w:r>
        <w:rPr>
          <w:i/>
          <w:sz w:val="24"/>
        </w:rPr>
        <w:t>En</w:t>
      </w:r>
      <w:r>
        <w:rPr>
          <w:i/>
          <w:spacing w:val="-6"/>
          <w:sz w:val="24"/>
        </w:rPr>
        <w:t xml:space="preserve"> </w:t>
      </w:r>
      <w:r>
        <w:rPr>
          <w:i/>
          <w:sz w:val="24"/>
        </w:rPr>
        <w:t>las</w:t>
      </w:r>
      <w:r>
        <w:rPr>
          <w:i/>
          <w:spacing w:val="-5"/>
          <w:sz w:val="24"/>
        </w:rPr>
        <w:t xml:space="preserve"> </w:t>
      </w:r>
      <w:r>
        <w:rPr>
          <w:i/>
          <w:sz w:val="24"/>
        </w:rPr>
        <w:t>entidades</w:t>
      </w:r>
      <w:r>
        <w:rPr>
          <w:i/>
          <w:spacing w:val="-5"/>
          <w:sz w:val="24"/>
        </w:rPr>
        <w:t xml:space="preserve"> </w:t>
      </w:r>
      <w:r>
        <w:rPr>
          <w:i/>
          <w:sz w:val="24"/>
        </w:rPr>
        <w:t>territoriales,</w:t>
      </w:r>
      <w:r>
        <w:rPr>
          <w:i/>
          <w:spacing w:val="-6"/>
          <w:sz w:val="24"/>
        </w:rPr>
        <w:t xml:space="preserve"> </w:t>
      </w:r>
      <w:r>
        <w:rPr>
          <w:i/>
          <w:sz w:val="24"/>
        </w:rPr>
        <w:t>el</w:t>
      </w:r>
      <w:r>
        <w:rPr>
          <w:i/>
          <w:spacing w:val="-3"/>
          <w:sz w:val="24"/>
        </w:rPr>
        <w:t xml:space="preserve"> </w:t>
      </w:r>
      <w:r>
        <w:rPr>
          <w:i/>
          <w:sz w:val="24"/>
        </w:rPr>
        <w:t>trámite</w:t>
      </w:r>
      <w:r>
        <w:rPr>
          <w:i/>
          <w:spacing w:val="-4"/>
          <w:sz w:val="24"/>
        </w:rPr>
        <w:t xml:space="preserve"> </w:t>
      </w:r>
      <w:r>
        <w:rPr>
          <w:i/>
          <w:sz w:val="24"/>
        </w:rPr>
        <w:t>previsto</w:t>
      </w:r>
      <w:r>
        <w:rPr>
          <w:i/>
          <w:spacing w:val="-4"/>
          <w:sz w:val="24"/>
        </w:rPr>
        <w:t xml:space="preserve"> </w:t>
      </w:r>
      <w:r>
        <w:rPr>
          <w:i/>
          <w:sz w:val="24"/>
        </w:rPr>
        <w:t>en</w:t>
      </w:r>
      <w:r>
        <w:rPr>
          <w:i/>
          <w:spacing w:val="-5"/>
          <w:sz w:val="24"/>
        </w:rPr>
        <w:t xml:space="preserve"> </w:t>
      </w:r>
      <w:r>
        <w:rPr>
          <w:i/>
          <w:sz w:val="24"/>
        </w:rPr>
        <w:t>el</w:t>
      </w:r>
      <w:r>
        <w:rPr>
          <w:i/>
          <w:spacing w:val="-5"/>
          <w:sz w:val="24"/>
        </w:rPr>
        <w:t xml:space="preserve"> </w:t>
      </w:r>
      <w:r>
        <w:rPr>
          <w:i/>
          <w:sz w:val="24"/>
        </w:rPr>
        <w:t>inciso</w:t>
      </w:r>
      <w:r>
        <w:rPr>
          <w:i/>
          <w:spacing w:val="-4"/>
          <w:sz w:val="24"/>
        </w:rPr>
        <w:t xml:space="preserve"> </w:t>
      </w:r>
      <w:r>
        <w:rPr>
          <w:i/>
          <w:sz w:val="24"/>
        </w:rPr>
        <w:t>anterior será surtido ante la respectiva Secretaría de Hacienda o quien haga sus veces.”</w:t>
      </w:r>
    </w:p>
    <w:p w14:paraId="66C4BDC2" w14:textId="677E7741" w:rsidR="000E52B0" w:rsidRDefault="00F60D74">
      <w:pPr>
        <w:pStyle w:val="Textoindependiente"/>
        <w:spacing w:before="239"/>
        <w:ind w:right="717"/>
        <w:jc w:val="both"/>
      </w:pPr>
      <w:r>
        <w:t>Conforme</w:t>
      </w:r>
      <w:r>
        <w:rPr>
          <w:spacing w:val="-10"/>
        </w:rPr>
        <w:t xml:space="preserve"> </w:t>
      </w:r>
      <w:r>
        <w:t>a</w:t>
      </w:r>
      <w:r>
        <w:rPr>
          <w:spacing w:val="-11"/>
        </w:rPr>
        <w:t xml:space="preserve"> </w:t>
      </w:r>
      <w:r>
        <w:t>la</w:t>
      </w:r>
      <w:r>
        <w:rPr>
          <w:spacing w:val="-9"/>
        </w:rPr>
        <w:t xml:space="preserve"> </w:t>
      </w:r>
      <w:r>
        <w:t>norma</w:t>
      </w:r>
      <w:r>
        <w:rPr>
          <w:spacing w:val="-11"/>
        </w:rPr>
        <w:t xml:space="preserve"> </w:t>
      </w:r>
      <w:r>
        <w:t>transcrita,</w:t>
      </w:r>
      <w:r>
        <w:rPr>
          <w:spacing w:val="-10"/>
        </w:rPr>
        <w:t xml:space="preserve"> </w:t>
      </w:r>
      <w:r>
        <w:t>y</w:t>
      </w:r>
      <w:r>
        <w:rPr>
          <w:spacing w:val="-9"/>
        </w:rPr>
        <w:t xml:space="preserve"> </w:t>
      </w:r>
      <w:r>
        <w:t>en</w:t>
      </w:r>
      <w:r>
        <w:rPr>
          <w:spacing w:val="-12"/>
        </w:rPr>
        <w:t xml:space="preserve"> </w:t>
      </w:r>
      <w:r>
        <w:t>armonía</w:t>
      </w:r>
      <w:r>
        <w:rPr>
          <w:spacing w:val="-12"/>
        </w:rPr>
        <w:t xml:space="preserve"> </w:t>
      </w:r>
      <w:r>
        <w:t>con</w:t>
      </w:r>
      <w:r>
        <w:rPr>
          <w:spacing w:val="-9"/>
        </w:rPr>
        <w:t xml:space="preserve"> </w:t>
      </w:r>
      <w:r>
        <w:t>los</w:t>
      </w:r>
      <w:r>
        <w:rPr>
          <w:spacing w:val="-9"/>
        </w:rPr>
        <w:t xml:space="preserve"> </w:t>
      </w:r>
      <w:r>
        <w:t>pronunciamientos</w:t>
      </w:r>
      <w:r>
        <w:rPr>
          <w:spacing w:val="-9"/>
        </w:rPr>
        <w:t xml:space="preserve"> </w:t>
      </w:r>
      <w:r>
        <w:t>de la</w:t>
      </w:r>
      <w:r>
        <w:rPr>
          <w:spacing w:val="-14"/>
        </w:rPr>
        <w:t xml:space="preserve"> </w:t>
      </w:r>
      <w:r>
        <w:t>Corte</w:t>
      </w:r>
      <w:r>
        <w:rPr>
          <w:spacing w:val="-13"/>
        </w:rPr>
        <w:t xml:space="preserve"> </w:t>
      </w:r>
      <w:r>
        <w:t>Constitucional,</w:t>
      </w:r>
      <w:r>
        <w:rPr>
          <w:spacing w:val="-12"/>
        </w:rPr>
        <w:t xml:space="preserve"> </w:t>
      </w:r>
      <w:r>
        <w:t>los</w:t>
      </w:r>
      <w:r>
        <w:rPr>
          <w:spacing w:val="-13"/>
        </w:rPr>
        <w:t xml:space="preserve"> </w:t>
      </w:r>
      <w:r>
        <w:t>referentes</w:t>
      </w:r>
      <w:r>
        <w:rPr>
          <w:spacing w:val="-14"/>
        </w:rPr>
        <w:t xml:space="preserve"> </w:t>
      </w:r>
      <w:r>
        <w:t>básicos</w:t>
      </w:r>
      <w:r>
        <w:rPr>
          <w:spacing w:val="-13"/>
        </w:rPr>
        <w:t xml:space="preserve"> </w:t>
      </w:r>
      <w:r>
        <w:t>que</w:t>
      </w:r>
      <w:r>
        <w:rPr>
          <w:spacing w:val="-13"/>
        </w:rPr>
        <w:t xml:space="preserve"> </w:t>
      </w:r>
      <w:r>
        <w:t>debe</w:t>
      </w:r>
      <w:r>
        <w:rPr>
          <w:spacing w:val="-13"/>
        </w:rPr>
        <w:t xml:space="preserve"> </w:t>
      </w:r>
      <w:r>
        <w:t>contener</w:t>
      </w:r>
      <w:r>
        <w:rPr>
          <w:spacing w:val="-13"/>
        </w:rPr>
        <w:t xml:space="preserve"> </w:t>
      </w:r>
      <w:r>
        <w:t>el</w:t>
      </w:r>
      <w:r>
        <w:rPr>
          <w:spacing w:val="-15"/>
        </w:rPr>
        <w:t xml:space="preserve"> </w:t>
      </w:r>
      <w:r>
        <w:t>análisis de impacto fiscal son: (</w:t>
      </w:r>
      <w:r w:rsidR="00711074">
        <w:t>I</w:t>
      </w:r>
      <w:r>
        <w:t>) el costo fiscal de la iniciativa, (</w:t>
      </w:r>
      <w:r w:rsidR="00711074">
        <w:t>II</w:t>
      </w:r>
      <w:r>
        <w:t>) la fuente de ingresos</w:t>
      </w:r>
      <w:r>
        <w:rPr>
          <w:spacing w:val="-7"/>
        </w:rPr>
        <w:t xml:space="preserve"> </w:t>
      </w:r>
      <w:r>
        <w:t>sustitutiva</w:t>
      </w:r>
      <w:r>
        <w:rPr>
          <w:spacing w:val="-4"/>
        </w:rPr>
        <w:t xml:space="preserve"> </w:t>
      </w:r>
      <w:r>
        <w:t>para</w:t>
      </w:r>
      <w:r>
        <w:rPr>
          <w:spacing w:val="-7"/>
        </w:rPr>
        <w:t xml:space="preserve"> </w:t>
      </w:r>
      <w:r>
        <w:t>financiar</w:t>
      </w:r>
      <w:r>
        <w:rPr>
          <w:spacing w:val="-6"/>
        </w:rPr>
        <w:t xml:space="preserve"> </w:t>
      </w:r>
      <w:r>
        <w:t>dicho</w:t>
      </w:r>
      <w:r>
        <w:rPr>
          <w:spacing w:val="-7"/>
        </w:rPr>
        <w:t xml:space="preserve"> </w:t>
      </w:r>
      <w:r>
        <w:t>costo</w:t>
      </w:r>
      <w:r>
        <w:rPr>
          <w:spacing w:val="-7"/>
        </w:rPr>
        <w:t xml:space="preserve"> </w:t>
      </w:r>
      <w:r>
        <w:t>y</w:t>
      </w:r>
      <w:r>
        <w:rPr>
          <w:spacing w:val="-8"/>
        </w:rPr>
        <w:t xml:space="preserve"> </w:t>
      </w:r>
      <w:r>
        <w:t>(</w:t>
      </w:r>
      <w:r w:rsidR="00711074">
        <w:t>III</w:t>
      </w:r>
      <w:r>
        <w:t>)</w:t>
      </w:r>
      <w:r>
        <w:rPr>
          <w:spacing w:val="-9"/>
        </w:rPr>
        <w:t xml:space="preserve"> </w:t>
      </w:r>
      <w:r>
        <w:t>la</w:t>
      </w:r>
      <w:r>
        <w:rPr>
          <w:spacing w:val="-8"/>
        </w:rPr>
        <w:t xml:space="preserve"> </w:t>
      </w:r>
      <w:r>
        <w:t>compatibilidad</w:t>
      </w:r>
      <w:r>
        <w:rPr>
          <w:spacing w:val="-8"/>
        </w:rPr>
        <w:t xml:space="preserve"> </w:t>
      </w:r>
      <w:r>
        <w:t>de</w:t>
      </w:r>
      <w:r>
        <w:rPr>
          <w:spacing w:val="-6"/>
        </w:rPr>
        <w:t xml:space="preserve"> </w:t>
      </w:r>
      <w:r>
        <w:t>la iniciativa con el Marco Fiscal de Mediano Plazo. Estos referentes básicos también fueron</w:t>
      </w:r>
      <w:r>
        <w:rPr>
          <w:spacing w:val="-2"/>
        </w:rPr>
        <w:t xml:space="preserve"> </w:t>
      </w:r>
      <w:r>
        <w:t>establecidos</w:t>
      </w:r>
      <w:r>
        <w:rPr>
          <w:spacing w:val="-2"/>
        </w:rPr>
        <w:t xml:space="preserve"> </w:t>
      </w:r>
      <w:r>
        <w:t>por</w:t>
      </w:r>
      <w:r>
        <w:rPr>
          <w:spacing w:val="-1"/>
        </w:rPr>
        <w:t xml:space="preserve"> </w:t>
      </w:r>
      <w:r>
        <w:t>la Corte</w:t>
      </w:r>
      <w:r>
        <w:rPr>
          <w:spacing w:val="-1"/>
        </w:rPr>
        <w:t xml:space="preserve"> </w:t>
      </w:r>
      <w:r>
        <w:t>Constitucional</w:t>
      </w:r>
      <w:r>
        <w:rPr>
          <w:spacing w:val="-3"/>
        </w:rPr>
        <w:t xml:space="preserve"> </w:t>
      </w:r>
      <w:r>
        <w:t>en la</w:t>
      </w:r>
      <w:r>
        <w:rPr>
          <w:spacing w:val="-2"/>
        </w:rPr>
        <w:t xml:space="preserve"> </w:t>
      </w:r>
      <w:r>
        <w:t>Sentencia</w:t>
      </w:r>
      <w:r>
        <w:rPr>
          <w:spacing w:val="-2"/>
        </w:rPr>
        <w:t xml:space="preserve"> </w:t>
      </w:r>
      <w:r>
        <w:t xml:space="preserve">C- 161 de 2024 que declaró la </w:t>
      </w:r>
      <w:proofErr w:type="spellStart"/>
      <w:r>
        <w:t>inexequibilidad</w:t>
      </w:r>
      <w:proofErr w:type="spellEnd"/>
      <w:r>
        <w:t xml:space="preserve"> diferida de la ley de creación del Ministerio de Igualdad y Equidad. En esa providencia, el Alto Tribunal enfatizó que el análisis del impacto fiscal de las normas que generan un gasto público es una obligación constitucional que impone deberes específicos</w:t>
      </w:r>
      <w:r>
        <w:rPr>
          <w:spacing w:val="-12"/>
        </w:rPr>
        <w:t xml:space="preserve"> </w:t>
      </w:r>
      <w:r>
        <w:t>al</w:t>
      </w:r>
      <w:r>
        <w:rPr>
          <w:spacing w:val="-12"/>
        </w:rPr>
        <w:t xml:space="preserve"> </w:t>
      </w:r>
      <w:r>
        <w:t>Congreso</w:t>
      </w:r>
      <w:r>
        <w:rPr>
          <w:spacing w:val="-12"/>
        </w:rPr>
        <w:t xml:space="preserve"> </w:t>
      </w:r>
      <w:r>
        <w:t>de</w:t>
      </w:r>
      <w:r>
        <w:rPr>
          <w:spacing w:val="-12"/>
        </w:rPr>
        <w:t xml:space="preserve"> </w:t>
      </w:r>
      <w:r>
        <w:t>la</w:t>
      </w:r>
      <w:r>
        <w:rPr>
          <w:spacing w:val="-13"/>
        </w:rPr>
        <w:t xml:space="preserve"> </w:t>
      </w:r>
      <w:r>
        <w:t>República,</w:t>
      </w:r>
      <w:r>
        <w:rPr>
          <w:spacing w:val="-11"/>
        </w:rPr>
        <w:t xml:space="preserve"> </w:t>
      </w:r>
      <w:r>
        <w:t>al</w:t>
      </w:r>
      <w:r>
        <w:rPr>
          <w:spacing w:val="-14"/>
        </w:rPr>
        <w:t xml:space="preserve"> </w:t>
      </w:r>
      <w:r>
        <w:t>Gobierno</w:t>
      </w:r>
      <w:r>
        <w:rPr>
          <w:spacing w:val="-12"/>
        </w:rPr>
        <w:t xml:space="preserve"> </w:t>
      </w:r>
      <w:r>
        <w:t>nacional</w:t>
      </w:r>
      <w:r>
        <w:rPr>
          <w:spacing w:val="-14"/>
        </w:rPr>
        <w:t xml:space="preserve"> </w:t>
      </w:r>
      <w:r>
        <w:t>y</w:t>
      </w:r>
      <w:r>
        <w:rPr>
          <w:spacing w:val="-13"/>
        </w:rPr>
        <w:t xml:space="preserve"> </w:t>
      </w:r>
      <w:r>
        <w:t>al</w:t>
      </w:r>
      <w:r>
        <w:rPr>
          <w:spacing w:val="-14"/>
        </w:rPr>
        <w:t xml:space="preserve"> </w:t>
      </w:r>
      <w:r>
        <w:t>Ministerio de Hacienda y Crédito Público.</w:t>
      </w:r>
    </w:p>
    <w:p w14:paraId="24B0AC05" w14:textId="77777777" w:rsidR="000E52B0" w:rsidRDefault="00F60D74">
      <w:pPr>
        <w:spacing w:before="161"/>
        <w:ind w:left="720" w:right="718"/>
        <w:jc w:val="both"/>
        <w:rPr>
          <w:sz w:val="24"/>
        </w:rPr>
      </w:pPr>
      <w:r>
        <w:rPr>
          <w:sz w:val="24"/>
        </w:rPr>
        <w:t>A</w:t>
      </w:r>
      <w:r>
        <w:rPr>
          <w:spacing w:val="-19"/>
          <w:sz w:val="24"/>
        </w:rPr>
        <w:t xml:space="preserve"> </w:t>
      </w:r>
      <w:r>
        <w:rPr>
          <w:sz w:val="24"/>
        </w:rPr>
        <w:t>cargo</w:t>
      </w:r>
      <w:r>
        <w:rPr>
          <w:spacing w:val="-18"/>
          <w:sz w:val="24"/>
        </w:rPr>
        <w:t xml:space="preserve"> </w:t>
      </w:r>
      <w:r>
        <w:rPr>
          <w:sz w:val="24"/>
        </w:rPr>
        <w:t>del</w:t>
      </w:r>
      <w:r>
        <w:rPr>
          <w:spacing w:val="-19"/>
          <w:sz w:val="24"/>
        </w:rPr>
        <w:t xml:space="preserve"> </w:t>
      </w:r>
      <w:r>
        <w:rPr>
          <w:sz w:val="24"/>
        </w:rPr>
        <w:t>Gobierno</w:t>
      </w:r>
      <w:r>
        <w:rPr>
          <w:spacing w:val="-18"/>
          <w:sz w:val="24"/>
        </w:rPr>
        <w:t xml:space="preserve"> </w:t>
      </w:r>
      <w:r>
        <w:rPr>
          <w:sz w:val="24"/>
        </w:rPr>
        <w:t>nacional</w:t>
      </w:r>
      <w:r>
        <w:rPr>
          <w:spacing w:val="-20"/>
          <w:sz w:val="24"/>
        </w:rPr>
        <w:t xml:space="preserve"> </w:t>
      </w:r>
      <w:r>
        <w:rPr>
          <w:sz w:val="24"/>
        </w:rPr>
        <w:t>y</w:t>
      </w:r>
      <w:r>
        <w:rPr>
          <w:spacing w:val="-19"/>
          <w:sz w:val="24"/>
        </w:rPr>
        <w:t xml:space="preserve"> </w:t>
      </w:r>
      <w:r>
        <w:rPr>
          <w:sz w:val="24"/>
        </w:rPr>
        <w:t>del</w:t>
      </w:r>
      <w:r>
        <w:rPr>
          <w:spacing w:val="-17"/>
          <w:sz w:val="24"/>
        </w:rPr>
        <w:t xml:space="preserve"> </w:t>
      </w:r>
      <w:r>
        <w:rPr>
          <w:sz w:val="24"/>
        </w:rPr>
        <w:t>Ministerio</w:t>
      </w:r>
      <w:r>
        <w:rPr>
          <w:spacing w:val="-18"/>
          <w:sz w:val="24"/>
        </w:rPr>
        <w:t xml:space="preserve"> </w:t>
      </w:r>
      <w:r>
        <w:rPr>
          <w:sz w:val="24"/>
        </w:rPr>
        <w:t>de</w:t>
      </w:r>
      <w:r>
        <w:rPr>
          <w:spacing w:val="-17"/>
          <w:sz w:val="24"/>
        </w:rPr>
        <w:t xml:space="preserve"> </w:t>
      </w:r>
      <w:r>
        <w:rPr>
          <w:sz w:val="24"/>
        </w:rPr>
        <w:t>Hacienda</w:t>
      </w:r>
      <w:r>
        <w:rPr>
          <w:spacing w:val="-18"/>
          <w:sz w:val="24"/>
        </w:rPr>
        <w:t xml:space="preserve"> </w:t>
      </w:r>
      <w:r>
        <w:rPr>
          <w:sz w:val="24"/>
        </w:rPr>
        <w:t>y</w:t>
      </w:r>
      <w:r>
        <w:rPr>
          <w:spacing w:val="-17"/>
          <w:sz w:val="24"/>
        </w:rPr>
        <w:t xml:space="preserve"> </w:t>
      </w:r>
      <w:r>
        <w:rPr>
          <w:sz w:val="24"/>
        </w:rPr>
        <w:t>Crédito</w:t>
      </w:r>
      <w:r>
        <w:rPr>
          <w:spacing w:val="-18"/>
          <w:sz w:val="24"/>
        </w:rPr>
        <w:t xml:space="preserve"> </w:t>
      </w:r>
      <w:r>
        <w:rPr>
          <w:sz w:val="24"/>
        </w:rPr>
        <w:t>Público se encuentra la obligación de identificar en la exposición de motivos, de forma</w:t>
      </w:r>
      <w:r>
        <w:rPr>
          <w:spacing w:val="-3"/>
          <w:sz w:val="24"/>
        </w:rPr>
        <w:t xml:space="preserve"> </w:t>
      </w:r>
      <w:r>
        <w:rPr>
          <w:sz w:val="24"/>
        </w:rPr>
        <w:t>detallada</w:t>
      </w:r>
      <w:r>
        <w:rPr>
          <w:spacing w:val="-1"/>
          <w:sz w:val="24"/>
        </w:rPr>
        <w:t xml:space="preserve"> </w:t>
      </w:r>
      <w:r>
        <w:rPr>
          <w:sz w:val="24"/>
        </w:rPr>
        <w:t>y</w:t>
      </w:r>
      <w:r>
        <w:rPr>
          <w:spacing w:val="-4"/>
          <w:sz w:val="24"/>
        </w:rPr>
        <w:t xml:space="preserve"> </w:t>
      </w:r>
      <w:r>
        <w:rPr>
          <w:sz w:val="24"/>
        </w:rPr>
        <w:t>precisa,</w:t>
      </w:r>
      <w:r>
        <w:rPr>
          <w:spacing w:val="-5"/>
          <w:sz w:val="24"/>
        </w:rPr>
        <w:t xml:space="preserve"> </w:t>
      </w:r>
      <w:r>
        <w:rPr>
          <w:sz w:val="24"/>
        </w:rPr>
        <w:t>los</w:t>
      </w:r>
      <w:r>
        <w:rPr>
          <w:spacing w:val="-1"/>
          <w:sz w:val="24"/>
        </w:rPr>
        <w:t xml:space="preserve"> </w:t>
      </w:r>
      <w:r>
        <w:rPr>
          <w:sz w:val="24"/>
        </w:rPr>
        <w:t>referentes</w:t>
      </w:r>
      <w:r>
        <w:rPr>
          <w:spacing w:val="-4"/>
          <w:sz w:val="24"/>
        </w:rPr>
        <w:t xml:space="preserve"> </w:t>
      </w:r>
      <w:r>
        <w:rPr>
          <w:sz w:val="24"/>
        </w:rPr>
        <w:t>básicos</w:t>
      </w:r>
      <w:r>
        <w:rPr>
          <w:spacing w:val="-4"/>
          <w:sz w:val="24"/>
        </w:rPr>
        <w:t xml:space="preserve"> </w:t>
      </w:r>
      <w:r>
        <w:rPr>
          <w:sz w:val="24"/>
        </w:rPr>
        <w:t>del</w:t>
      </w:r>
      <w:r>
        <w:rPr>
          <w:spacing w:val="-2"/>
          <w:sz w:val="24"/>
        </w:rPr>
        <w:t xml:space="preserve"> </w:t>
      </w:r>
      <w:r>
        <w:rPr>
          <w:sz w:val="24"/>
        </w:rPr>
        <w:t>impacto</w:t>
      </w:r>
      <w:r>
        <w:rPr>
          <w:spacing w:val="-3"/>
          <w:sz w:val="24"/>
        </w:rPr>
        <w:t xml:space="preserve"> </w:t>
      </w:r>
      <w:r>
        <w:rPr>
          <w:sz w:val="24"/>
        </w:rPr>
        <w:t>fiscal,</w:t>
      </w:r>
      <w:r>
        <w:rPr>
          <w:spacing w:val="-3"/>
          <w:sz w:val="24"/>
        </w:rPr>
        <w:t xml:space="preserve"> </w:t>
      </w:r>
      <w:r>
        <w:rPr>
          <w:sz w:val="24"/>
        </w:rPr>
        <w:t>ya</w:t>
      </w:r>
      <w:r>
        <w:rPr>
          <w:spacing w:val="-4"/>
          <w:sz w:val="24"/>
        </w:rPr>
        <w:t xml:space="preserve"> </w:t>
      </w:r>
      <w:r>
        <w:rPr>
          <w:sz w:val="24"/>
        </w:rPr>
        <w:t>que como lo reconoce la Corte, “</w:t>
      </w:r>
      <w:r>
        <w:rPr>
          <w:i/>
          <w:sz w:val="24"/>
        </w:rPr>
        <w:t>cuando la iniciativa es gubernamental, el estándar de rigurosidad que debe cumplir el análisis de impacto fiscal es estricto</w:t>
      </w:r>
      <w:r>
        <w:rPr>
          <w:sz w:val="24"/>
        </w:rPr>
        <w:t>”, ya que es el Gobierno nacional el que cuenta con la información relativa al impacto de las medidas en las finanzas y su compatibilidad con el Marco Fiscal de Mediano Plazo.</w:t>
      </w:r>
    </w:p>
    <w:p w14:paraId="28C40EEA" w14:textId="77777777" w:rsidR="000E52B0" w:rsidRDefault="00F60D74">
      <w:pPr>
        <w:pStyle w:val="Textoindependiente"/>
        <w:spacing w:before="160"/>
        <w:ind w:right="722"/>
        <w:jc w:val="both"/>
      </w:pPr>
      <w:r>
        <w:t>En ese sentido, corresponde al Ministerio de Hacienda y Crédito Público validar</w:t>
      </w:r>
      <w:r>
        <w:rPr>
          <w:spacing w:val="29"/>
        </w:rPr>
        <w:t xml:space="preserve"> </w:t>
      </w:r>
      <w:r>
        <w:t>las</w:t>
      </w:r>
      <w:r>
        <w:rPr>
          <w:spacing w:val="30"/>
        </w:rPr>
        <w:t xml:space="preserve"> </w:t>
      </w:r>
      <w:r>
        <w:t>estimaciones</w:t>
      </w:r>
      <w:r>
        <w:rPr>
          <w:spacing w:val="31"/>
        </w:rPr>
        <w:t xml:space="preserve"> </w:t>
      </w:r>
      <w:r>
        <w:t>y</w:t>
      </w:r>
      <w:r>
        <w:rPr>
          <w:spacing w:val="30"/>
        </w:rPr>
        <w:t xml:space="preserve"> </w:t>
      </w:r>
      <w:r>
        <w:t>valoraciones</w:t>
      </w:r>
      <w:r>
        <w:rPr>
          <w:spacing w:val="30"/>
        </w:rPr>
        <w:t xml:space="preserve"> </w:t>
      </w:r>
      <w:r>
        <w:t>que</w:t>
      </w:r>
      <w:r>
        <w:rPr>
          <w:spacing w:val="32"/>
        </w:rPr>
        <w:t xml:space="preserve"> </w:t>
      </w:r>
      <w:r>
        <w:t>se</w:t>
      </w:r>
      <w:r>
        <w:rPr>
          <w:spacing w:val="31"/>
        </w:rPr>
        <w:t xml:space="preserve"> </w:t>
      </w:r>
      <w:r>
        <w:t>hicieron</w:t>
      </w:r>
      <w:r>
        <w:rPr>
          <w:spacing w:val="30"/>
        </w:rPr>
        <w:t xml:space="preserve"> </w:t>
      </w:r>
      <w:r>
        <w:t>en</w:t>
      </w:r>
      <w:r>
        <w:rPr>
          <w:spacing w:val="33"/>
        </w:rPr>
        <w:t xml:space="preserve"> </w:t>
      </w:r>
      <w:r>
        <w:t>la</w:t>
      </w:r>
      <w:r>
        <w:rPr>
          <w:spacing w:val="30"/>
        </w:rPr>
        <w:t xml:space="preserve"> </w:t>
      </w:r>
      <w:r>
        <w:t>iniciativa</w:t>
      </w:r>
      <w:r>
        <w:rPr>
          <w:spacing w:val="31"/>
        </w:rPr>
        <w:t xml:space="preserve"> </w:t>
      </w:r>
      <w:r>
        <w:rPr>
          <w:spacing w:val="-10"/>
        </w:rPr>
        <w:t>y</w:t>
      </w:r>
    </w:p>
    <w:p w14:paraId="047CEB59" w14:textId="77777777" w:rsidR="000E52B0" w:rsidRDefault="000E52B0">
      <w:pPr>
        <w:pStyle w:val="Textoindependiente"/>
        <w:jc w:val="both"/>
        <w:sectPr w:rsidR="000E52B0">
          <w:pgSz w:w="11910" w:h="16840"/>
          <w:pgMar w:top="1340" w:right="720" w:bottom="1180" w:left="720" w:header="0" w:footer="995" w:gutter="0"/>
          <w:cols w:space="720"/>
        </w:sectPr>
      </w:pPr>
    </w:p>
    <w:p w14:paraId="475D5B9F" w14:textId="77777777" w:rsidR="000E52B0" w:rsidRDefault="00F60D74">
      <w:pPr>
        <w:spacing w:before="83"/>
        <w:ind w:left="720" w:right="715"/>
        <w:jc w:val="both"/>
        <w:rPr>
          <w:sz w:val="24"/>
        </w:rPr>
      </w:pPr>
      <w:r>
        <w:rPr>
          <w:sz w:val="24"/>
        </w:rPr>
        <w:lastRenderedPageBreak/>
        <w:t>señalar si, a su criterio, la estimación del gasto y la fuente sustitutiva del ingreso</w:t>
      </w:r>
      <w:r>
        <w:rPr>
          <w:spacing w:val="-19"/>
          <w:sz w:val="24"/>
        </w:rPr>
        <w:t xml:space="preserve"> </w:t>
      </w:r>
      <w:r>
        <w:rPr>
          <w:sz w:val="24"/>
        </w:rPr>
        <w:t>se</w:t>
      </w:r>
      <w:r>
        <w:rPr>
          <w:spacing w:val="-19"/>
          <w:sz w:val="24"/>
        </w:rPr>
        <w:t xml:space="preserve"> </w:t>
      </w:r>
      <w:r>
        <w:rPr>
          <w:sz w:val="24"/>
        </w:rPr>
        <w:t>ajustan</w:t>
      </w:r>
      <w:r>
        <w:rPr>
          <w:spacing w:val="-18"/>
          <w:sz w:val="24"/>
        </w:rPr>
        <w:t xml:space="preserve"> </w:t>
      </w:r>
      <w:r>
        <w:rPr>
          <w:sz w:val="24"/>
        </w:rPr>
        <w:t>al</w:t>
      </w:r>
      <w:r>
        <w:rPr>
          <w:spacing w:val="-21"/>
          <w:sz w:val="24"/>
        </w:rPr>
        <w:t xml:space="preserve"> </w:t>
      </w:r>
      <w:r>
        <w:rPr>
          <w:sz w:val="24"/>
        </w:rPr>
        <w:t>Marco</w:t>
      </w:r>
      <w:r>
        <w:rPr>
          <w:spacing w:val="-19"/>
          <w:sz w:val="24"/>
        </w:rPr>
        <w:t xml:space="preserve"> </w:t>
      </w:r>
      <w:r>
        <w:rPr>
          <w:sz w:val="24"/>
        </w:rPr>
        <w:t>Fiscal</w:t>
      </w:r>
      <w:r>
        <w:rPr>
          <w:spacing w:val="-18"/>
          <w:sz w:val="24"/>
        </w:rPr>
        <w:t xml:space="preserve"> </w:t>
      </w:r>
      <w:r>
        <w:rPr>
          <w:sz w:val="24"/>
        </w:rPr>
        <w:t>de</w:t>
      </w:r>
      <w:r>
        <w:rPr>
          <w:spacing w:val="-19"/>
          <w:sz w:val="24"/>
        </w:rPr>
        <w:t xml:space="preserve"> </w:t>
      </w:r>
      <w:r>
        <w:rPr>
          <w:sz w:val="24"/>
        </w:rPr>
        <w:t>Mediano</w:t>
      </w:r>
      <w:r>
        <w:rPr>
          <w:spacing w:val="-17"/>
          <w:sz w:val="24"/>
        </w:rPr>
        <w:t xml:space="preserve"> </w:t>
      </w:r>
      <w:r>
        <w:rPr>
          <w:sz w:val="24"/>
        </w:rPr>
        <w:t>Plazo.</w:t>
      </w:r>
      <w:r>
        <w:rPr>
          <w:spacing w:val="-21"/>
          <w:sz w:val="24"/>
        </w:rPr>
        <w:t xml:space="preserve"> </w:t>
      </w:r>
      <w:r>
        <w:rPr>
          <w:sz w:val="24"/>
        </w:rPr>
        <w:t>La</w:t>
      </w:r>
      <w:r>
        <w:rPr>
          <w:spacing w:val="-20"/>
          <w:sz w:val="24"/>
        </w:rPr>
        <w:t xml:space="preserve"> </w:t>
      </w:r>
      <w:r>
        <w:rPr>
          <w:sz w:val="24"/>
        </w:rPr>
        <w:t>Corte</w:t>
      </w:r>
      <w:r>
        <w:rPr>
          <w:spacing w:val="-19"/>
          <w:sz w:val="24"/>
        </w:rPr>
        <w:t xml:space="preserve"> </w:t>
      </w:r>
      <w:r>
        <w:rPr>
          <w:sz w:val="24"/>
        </w:rPr>
        <w:t>Constitucional ha</w:t>
      </w:r>
      <w:r>
        <w:rPr>
          <w:spacing w:val="-18"/>
          <w:sz w:val="24"/>
        </w:rPr>
        <w:t xml:space="preserve"> </w:t>
      </w:r>
      <w:r>
        <w:rPr>
          <w:sz w:val="24"/>
        </w:rPr>
        <w:t>reconocido</w:t>
      </w:r>
      <w:r>
        <w:rPr>
          <w:spacing w:val="-18"/>
          <w:sz w:val="24"/>
        </w:rPr>
        <w:t xml:space="preserve"> </w:t>
      </w:r>
      <w:r>
        <w:rPr>
          <w:sz w:val="24"/>
        </w:rPr>
        <w:t>que</w:t>
      </w:r>
      <w:r>
        <w:rPr>
          <w:spacing w:val="-17"/>
          <w:sz w:val="24"/>
        </w:rPr>
        <w:t xml:space="preserve"> </w:t>
      </w:r>
      <w:r>
        <w:rPr>
          <w:sz w:val="24"/>
        </w:rPr>
        <w:t>el</w:t>
      </w:r>
      <w:r>
        <w:rPr>
          <w:spacing w:val="-19"/>
          <w:sz w:val="24"/>
        </w:rPr>
        <w:t xml:space="preserve"> </w:t>
      </w:r>
      <w:r>
        <w:rPr>
          <w:sz w:val="24"/>
        </w:rPr>
        <w:t>Ministerio</w:t>
      </w:r>
      <w:r>
        <w:rPr>
          <w:spacing w:val="-18"/>
          <w:sz w:val="24"/>
        </w:rPr>
        <w:t xml:space="preserve"> </w:t>
      </w:r>
      <w:r>
        <w:rPr>
          <w:sz w:val="24"/>
        </w:rPr>
        <w:t>de</w:t>
      </w:r>
      <w:r>
        <w:rPr>
          <w:spacing w:val="-17"/>
          <w:sz w:val="24"/>
        </w:rPr>
        <w:t xml:space="preserve"> </w:t>
      </w:r>
      <w:r>
        <w:rPr>
          <w:sz w:val="24"/>
        </w:rPr>
        <w:t>Hacienda</w:t>
      </w:r>
      <w:r>
        <w:rPr>
          <w:spacing w:val="-18"/>
          <w:sz w:val="24"/>
        </w:rPr>
        <w:t xml:space="preserve"> </w:t>
      </w:r>
      <w:r>
        <w:rPr>
          <w:sz w:val="24"/>
        </w:rPr>
        <w:t>y</w:t>
      </w:r>
      <w:r>
        <w:rPr>
          <w:spacing w:val="-19"/>
          <w:sz w:val="24"/>
        </w:rPr>
        <w:t xml:space="preserve"> </w:t>
      </w:r>
      <w:r>
        <w:rPr>
          <w:sz w:val="24"/>
        </w:rPr>
        <w:t>Crédito</w:t>
      </w:r>
      <w:r>
        <w:rPr>
          <w:spacing w:val="-15"/>
          <w:sz w:val="24"/>
        </w:rPr>
        <w:t xml:space="preserve"> </w:t>
      </w:r>
      <w:r>
        <w:rPr>
          <w:sz w:val="24"/>
        </w:rPr>
        <w:t>Público</w:t>
      </w:r>
      <w:r>
        <w:rPr>
          <w:spacing w:val="-18"/>
          <w:sz w:val="24"/>
        </w:rPr>
        <w:t xml:space="preserve"> </w:t>
      </w:r>
      <w:r>
        <w:rPr>
          <w:sz w:val="24"/>
        </w:rPr>
        <w:t>“</w:t>
      </w:r>
      <w:r>
        <w:rPr>
          <w:i/>
          <w:sz w:val="24"/>
        </w:rPr>
        <w:t>debe</w:t>
      </w:r>
      <w:r>
        <w:rPr>
          <w:i/>
          <w:spacing w:val="-17"/>
          <w:sz w:val="24"/>
        </w:rPr>
        <w:t xml:space="preserve"> </w:t>
      </w:r>
      <w:r>
        <w:rPr>
          <w:i/>
          <w:sz w:val="24"/>
        </w:rPr>
        <w:t xml:space="preserve">realizar un estudio serio, detallado, sustentado y concreto de los efectos económicos de la propuesta” </w:t>
      </w:r>
      <w:r>
        <w:rPr>
          <w:sz w:val="24"/>
        </w:rPr>
        <w:t>(Corte Constitucional, Sentencia C-170 de 2021; C-850 de 2009; C-520 de 2019; C-425 de 2023 y C-459 de 2023).</w:t>
      </w:r>
    </w:p>
    <w:p w14:paraId="6390B5A1" w14:textId="77777777" w:rsidR="000E52B0" w:rsidRDefault="00F60D74">
      <w:pPr>
        <w:spacing w:before="158"/>
        <w:ind w:left="720" w:right="716"/>
        <w:jc w:val="both"/>
        <w:rPr>
          <w:sz w:val="24"/>
        </w:rPr>
      </w:pPr>
      <w:r>
        <w:rPr>
          <w:sz w:val="24"/>
        </w:rPr>
        <w:t>En</w:t>
      </w:r>
      <w:r>
        <w:rPr>
          <w:spacing w:val="-11"/>
          <w:sz w:val="24"/>
        </w:rPr>
        <w:t xml:space="preserve"> </w:t>
      </w:r>
      <w:r>
        <w:rPr>
          <w:sz w:val="24"/>
        </w:rPr>
        <w:t>la</w:t>
      </w:r>
      <w:r>
        <w:rPr>
          <w:spacing w:val="-13"/>
          <w:sz w:val="24"/>
        </w:rPr>
        <w:t xml:space="preserve"> </w:t>
      </w:r>
      <w:r>
        <w:rPr>
          <w:sz w:val="24"/>
        </w:rPr>
        <w:t>ya</w:t>
      </w:r>
      <w:r>
        <w:rPr>
          <w:spacing w:val="-13"/>
          <w:sz w:val="24"/>
        </w:rPr>
        <w:t xml:space="preserve"> </w:t>
      </w:r>
      <w:r>
        <w:rPr>
          <w:sz w:val="24"/>
        </w:rPr>
        <w:t>citada</w:t>
      </w:r>
      <w:r>
        <w:rPr>
          <w:spacing w:val="-10"/>
          <w:sz w:val="24"/>
        </w:rPr>
        <w:t xml:space="preserve"> </w:t>
      </w:r>
      <w:r>
        <w:rPr>
          <w:sz w:val="24"/>
        </w:rPr>
        <w:t>Sentencia</w:t>
      </w:r>
      <w:r>
        <w:rPr>
          <w:spacing w:val="-13"/>
          <w:sz w:val="24"/>
        </w:rPr>
        <w:t xml:space="preserve"> </w:t>
      </w:r>
      <w:r>
        <w:rPr>
          <w:sz w:val="24"/>
        </w:rPr>
        <w:t>C-161</w:t>
      </w:r>
      <w:r>
        <w:rPr>
          <w:spacing w:val="-12"/>
          <w:sz w:val="24"/>
        </w:rPr>
        <w:t xml:space="preserve"> </w:t>
      </w:r>
      <w:r>
        <w:rPr>
          <w:sz w:val="24"/>
        </w:rPr>
        <w:t>de</w:t>
      </w:r>
      <w:r>
        <w:rPr>
          <w:spacing w:val="-12"/>
          <w:sz w:val="24"/>
        </w:rPr>
        <w:t xml:space="preserve"> </w:t>
      </w:r>
      <w:r>
        <w:rPr>
          <w:sz w:val="24"/>
        </w:rPr>
        <w:t>2024,</w:t>
      </w:r>
      <w:r>
        <w:rPr>
          <w:spacing w:val="-13"/>
          <w:sz w:val="24"/>
        </w:rPr>
        <w:t xml:space="preserve"> </w:t>
      </w:r>
      <w:r>
        <w:rPr>
          <w:sz w:val="24"/>
        </w:rPr>
        <w:t>la</w:t>
      </w:r>
      <w:r>
        <w:rPr>
          <w:spacing w:val="-11"/>
          <w:sz w:val="24"/>
        </w:rPr>
        <w:t xml:space="preserve"> </w:t>
      </w:r>
      <w:r>
        <w:rPr>
          <w:sz w:val="24"/>
        </w:rPr>
        <w:t>Corte</w:t>
      </w:r>
      <w:r>
        <w:rPr>
          <w:spacing w:val="-12"/>
          <w:sz w:val="24"/>
        </w:rPr>
        <w:t xml:space="preserve"> </w:t>
      </w:r>
      <w:r>
        <w:rPr>
          <w:sz w:val="24"/>
        </w:rPr>
        <w:t>Constitucional</w:t>
      </w:r>
      <w:r>
        <w:rPr>
          <w:spacing w:val="-11"/>
          <w:sz w:val="24"/>
        </w:rPr>
        <w:t xml:space="preserve"> </w:t>
      </w:r>
      <w:r>
        <w:rPr>
          <w:sz w:val="24"/>
        </w:rPr>
        <w:t>estableció alternativas</w:t>
      </w:r>
      <w:r>
        <w:rPr>
          <w:spacing w:val="-7"/>
          <w:sz w:val="24"/>
        </w:rPr>
        <w:t xml:space="preserve"> </w:t>
      </w:r>
      <w:r>
        <w:rPr>
          <w:sz w:val="24"/>
        </w:rPr>
        <w:t>para</w:t>
      </w:r>
      <w:r>
        <w:rPr>
          <w:spacing w:val="-6"/>
          <w:sz w:val="24"/>
        </w:rPr>
        <w:t xml:space="preserve"> </w:t>
      </w:r>
      <w:r>
        <w:rPr>
          <w:sz w:val="24"/>
        </w:rPr>
        <w:t>la</w:t>
      </w:r>
      <w:r>
        <w:rPr>
          <w:spacing w:val="-3"/>
          <w:sz w:val="24"/>
        </w:rPr>
        <w:t xml:space="preserve"> </w:t>
      </w:r>
      <w:r>
        <w:rPr>
          <w:sz w:val="24"/>
        </w:rPr>
        <w:t>presentación</w:t>
      </w:r>
      <w:r>
        <w:rPr>
          <w:spacing w:val="-7"/>
          <w:sz w:val="24"/>
        </w:rPr>
        <w:t xml:space="preserve"> </w:t>
      </w:r>
      <w:r>
        <w:rPr>
          <w:sz w:val="24"/>
        </w:rPr>
        <w:t>del</w:t>
      </w:r>
      <w:r>
        <w:rPr>
          <w:spacing w:val="-7"/>
          <w:sz w:val="24"/>
        </w:rPr>
        <w:t xml:space="preserve"> </w:t>
      </w:r>
      <w:r>
        <w:rPr>
          <w:sz w:val="24"/>
        </w:rPr>
        <w:t>concepto</w:t>
      </w:r>
      <w:r>
        <w:rPr>
          <w:spacing w:val="-6"/>
          <w:sz w:val="24"/>
        </w:rPr>
        <w:t xml:space="preserve"> </w:t>
      </w:r>
      <w:r>
        <w:rPr>
          <w:sz w:val="24"/>
        </w:rPr>
        <w:t>del</w:t>
      </w:r>
      <w:r>
        <w:rPr>
          <w:spacing w:val="-7"/>
          <w:sz w:val="24"/>
        </w:rPr>
        <w:t xml:space="preserve"> </w:t>
      </w:r>
      <w:r>
        <w:rPr>
          <w:sz w:val="24"/>
        </w:rPr>
        <w:t>Ministerio</w:t>
      </w:r>
      <w:r>
        <w:rPr>
          <w:spacing w:val="-6"/>
          <w:sz w:val="24"/>
        </w:rPr>
        <w:t xml:space="preserve"> </w:t>
      </w:r>
      <w:r>
        <w:rPr>
          <w:sz w:val="24"/>
        </w:rPr>
        <w:t>de</w:t>
      </w:r>
      <w:r>
        <w:rPr>
          <w:spacing w:val="-5"/>
          <w:sz w:val="24"/>
        </w:rPr>
        <w:t xml:space="preserve"> </w:t>
      </w:r>
      <w:r>
        <w:rPr>
          <w:sz w:val="24"/>
        </w:rPr>
        <w:t>Hacienda</w:t>
      </w:r>
      <w:r>
        <w:rPr>
          <w:spacing w:val="-6"/>
          <w:sz w:val="24"/>
        </w:rPr>
        <w:t xml:space="preserve"> </w:t>
      </w:r>
      <w:r>
        <w:rPr>
          <w:sz w:val="24"/>
        </w:rPr>
        <w:t>y precisó que, conforme lo establece la Ley 819, el Ministerio puede allegar el documento en cualquier tiempo durante el trámite legislativo; también, establece que “</w:t>
      </w:r>
      <w:r>
        <w:rPr>
          <w:i/>
          <w:sz w:val="24"/>
        </w:rPr>
        <w:t>en</w:t>
      </w:r>
      <w:r>
        <w:rPr>
          <w:i/>
          <w:spacing w:val="-1"/>
          <w:sz w:val="24"/>
        </w:rPr>
        <w:t xml:space="preserve"> </w:t>
      </w:r>
      <w:r>
        <w:rPr>
          <w:i/>
          <w:sz w:val="24"/>
        </w:rPr>
        <w:t>aquellos</w:t>
      </w:r>
      <w:r>
        <w:rPr>
          <w:i/>
          <w:spacing w:val="-1"/>
          <w:sz w:val="24"/>
        </w:rPr>
        <w:t xml:space="preserve"> </w:t>
      </w:r>
      <w:r>
        <w:rPr>
          <w:i/>
          <w:sz w:val="24"/>
        </w:rPr>
        <w:t>casos</w:t>
      </w:r>
      <w:r>
        <w:rPr>
          <w:i/>
          <w:spacing w:val="-1"/>
          <w:sz w:val="24"/>
        </w:rPr>
        <w:t xml:space="preserve"> </w:t>
      </w:r>
      <w:r>
        <w:rPr>
          <w:i/>
          <w:sz w:val="24"/>
        </w:rPr>
        <w:t>en los que el</w:t>
      </w:r>
      <w:r>
        <w:rPr>
          <w:i/>
          <w:spacing w:val="-2"/>
          <w:sz w:val="24"/>
        </w:rPr>
        <w:t xml:space="preserve"> </w:t>
      </w:r>
      <w:r>
        <w:rPr>
          <w:i/>
          <w:sz w:val="24"/>
        </w:rPr>
        <w:t>MHCP</w:t>
      </w:r>
      <w:r>
        <w:rPr>
          <w:i/>
          <w:spacing w:val="-1"/>
          <w:sz w:val="24"/>
        </w:rPr>
        <w:t xml:space="preserve"> </w:t>
      </w:r>
      <w:r>
        <w:rPr>
          <w:i/>
          <w:sz w:val="24"/>
        </w:rPr>
        <w:t>radica el</w:t>
      </w:r>
      <w:r>
        <w:rPr>
          <w:i/>
          <w:spacing w:val="-2"/>
          <w:sz w:val="24"/>
        </w:rPr>
        <w:t xml:space="preserve"> </w:t>
      </w:r>
      <w:r>
        <w:rPr>
          <w:i/>
          <w:sz w:val="24"/>
        </w:rPr>
        <w:t>proyecto de ley de forma individual o en conjunto con otros ministerios y presenta el análisis</w:t>
      </w:r>
      <w:r>
        <w:rPr>
          <w:i/>
          <w:spacing w:val="-1"/>
          <w:sz w:val="24"/>
        </w:rPr>
        <w:t xml:space="preserve"> </w:t>
      </w:r>
      <w:r>
        <w:rPr>
          <w:i/>
          <w:sz w:val="24"/>
        </w:rPr>
        <w:t>de</w:t>
      </w:r>
      <w:r>
        <w:rPr>
          <w:i/>
          <w:spacing w:val="-3"/>
          <w:sz w:val="24"/>
        </w:rPr>
        <w:t xml:space="preserve"> </w:t>
      </w:r>
      <w:r>
        <w:rPr>
          <w:i/>
          <w:sz w:val="24"/>
        </w:rPr>
        <w:t>impacto</w:t>
      </w:r>
      <w:r>
        <w:rPr>
          <w:i/>
          <w:spacing w:val="-1"/>
          <w:sz w:val="24"/>
        </w:rPr>
        <w:t xml:space="preserve"> </w:t>
      </w:r>
      <w:r>
        <w:rPr>
          <w:i/>
          <w:sz w:val="24"/>
        </w:rPr>
        <w:t>fiscal</w:t>
      </w:r>
      <w:r>
        <w:rPr>
          <w:i/>
          <w:spacing w:val="-2"/>
          <w:sz w:val="24"/>
        </w:rPr>
        <w:t xml:space="preserve"> </w:t>
      </w:r>
      <w:r>
        <w:rPr>
          <w:i/>
          <w:sz w:val="24"/>
        </w:rPr>
        <w:t>en</w:t>
      </w:r>
      <w:r>
        <w:rPr>
          <w:i/>
          <w:spacing w:val="-2"/>
          <w:sz w:val="24"/>
        </w:rPr>
        <w:t xml:space="preserve"> </w:t>
      </w:r>
      <w:r>
        <w:rPr>
          <w:i/>
          <w:sz w:val="24"/>
        </w:rPr>
        <w:t>la</w:t>
      </w:r>
      <w:r>
        <w:rPr>
          <w:i/>
          <w:spacing w:val="-3"/>
          <w:sz w:val="24"/>
        </w:rPr>
        <w:t xml:space="preserve"> </w:t>
      </w:r>
      <w:r>
        <w:rPr>
          <w:i/>
          <w:sz w:val="24"/>
        </w:rPr>
        <w:t>exposición</w:t>
      </w:r>
      <w:r>
        <w:rPr>
          <w:i/>
          <w:spacing w:val="-4"/>
          <w:sz w:val="24"/>
        </w:rPr>
        <w:t xml:space="preserve"> </w:t>
      </w:r>
      <w:r>
        <w:rPr>
          <w:i/>
          <w:sz w:val="24"/>
        </w:rPr>
        <w:t>de</w:t>
      </w:r>
      <w:r>
        <w:rPr>
          <w:i/>
          <w:spacing w:val="-3"/>
          <w:sz w:val="24"/>
        </w:rPr>
        <w:t xml:space="preserve"> </w:t>
      </w:r>
      <w:r>
        <w:rPr>
          <w:i/>
          <w:sz w:val="24"/>
        </w:rPr>
        <w:t>motivos,</w:t>
      </w:r>
      <w:r>
        <w:rPr>
          <w:i/>
          <w:spacing w:val="-2"/>
          <w:sz w:val="24"/>
        </w:rPr>
        <w:t xml:space="preserve"> </w:t>
      </w:r>
      <w:r>
        <w:rPr>
          <w:i/>
          <w:sz w:val="24"/>
        </w:rPr>
        <w:t>no</w:t>
      </w:r>
      <w:r>
        <w:rPr>
          <w:i/>
          <w:spacing w:val="-3"/>
          <w:sz w:val="24"/>
        </w:rPr>
        <w:t xml:space="preserve"> </w:t>
      </w:r>
      <w:r>
        <w:rPr>
          <w:i/>
          <w:sz w:val="24"/>
        </w:rPr>
        <w:t>es</w:t>
      </w:r>
      <w:r>
        <w:rPr>
          <w:i/>
          <w:spacing w:val="-4"/>
          <w:sz w:val="24"/>
        </w:rPr>
        <w:t xml:space="preserve"> </w:t>
      </w:r>
      <w:r>
        <w:rPr>
          <w:i/>
          <w:sz w:val="24"/>
        </w:rPr>
        <w:t>necesario</w:t>
      </w:r>
      <w:r>
        <w:rPr>
          <w:i/>
          <w:spacing w:val="-3"/>
          <w:sz w:val="24"/>
        </w:rPr>
        <w:t xml:space="preserve"> </w:t>
      </w:r>
      <w:r>
        <w:rPr>
          <w:i/>
          <w:sz w:val="24"/>
        </w:rPr>
        <w:t xml:space="preserve">que presente un nuevo concepto durante el trámite legislativo” </w:t>
      </w:r>
      <w:r>
        <w:rPr>
          <w:sz w:val="24"/>
        </w:rPr>
        <w:t>(Corte Constitucional, Sentencia C-161 de 2024). De igual modo, contempló una tercera alternativa: “</w:t>
      </w:r>
      <w:r>
        <w:rPr>
          <w:i/>
          <w:sz w:val="24"/>
        </w:rPr>
        <w:t>El MHCP no radica el proyecto de ley y no presenta concepto por escrito. Sin embargo, el Gobierno Nacional demuestra que, previo a la presentación del proyecto de ley, el MHCP “analizó y aprobó la correspondiente</w:t>
      </w:r>
      <w:r>
        <w:rPr>
          <w:i/>
          <w:spacing w:val="-16"/>
          <w:sz w:val="24"/>
        </w:rPr>
        <w:t xml:space="preserve"> </w:t>
      </w:r>
      <w:r>
        <w:rPr>
          <w:i/>
          <w:sz w:val="24"/>
        </w:rPr>
        <w:t>fuente</w:t>
      </w:r>
      <w:r>
        <w:rPr>
          <w:i/>
          <w:spacing w:val="-16"/>
          <w:sz w:val="24"/>
        </w:rPr>
        <w:t xml:space="preserve"> </w:t>
      </w:r>
      <w:r>
        <w:rPr>
          <w:i/>
          <w:sz w:val="24"/>
        </w:rPr>
        <w:t>sustitutiva</w:t>
      </w:r>
      <w:r>
        <w:rPr>
          <w:i/>
          <w:spacing w:val="-17"/>
          <w:sz w:val="24"/>
        </w:rPr>
        <w:t xml:space="preserve"> </w:t>
      </w:r>
      <w:r>
        <w:rPr>
          <w:i/>
          <w:sz w:val="24"/>
        </w:rPr>
        <w:t>por</w:t>
      </w:r>
      <w:r>
        <w:rPr>
          <w:i/>
          <w:spacing w:val="-16"/>
          <w:sz w:val="24"/>
        </w:rPr>
        <w:t xml:space="preserve"> </w:t>
      </w:r>
      <w:r>
        <w:rPr>
          <w:i/>
          <w:sz w:val="24"/>
        </w:rPr>
        <w:t>disminución</w:t>
      </w:r>
      <w:r>
        <w:rPr>
          <w:i/>
          <w:spacing w:val="-15"/>
          <w:sz w:val="24"/>
        </w:rPr>
        <w:t xml:space="preserve"> </w:t>
      </w:r>
      <w:r>
        <w:rPr>
          <w:i/>
          <w:sz w:val="24"/>
        </w:rPr>
        <w:t>de</w:t>
      </w:r>
      <w:r>
        <w:rPr>
          <w:i/>
          <w:spacing w:val="-16"/>
          <w:sz w:val="24"/>
        </w:rPr>
        <w:t xml:space="preserve"> </w:t>
      </w:r>
      <w:r>
        <w:rPr>
          <w:i/>
          <w:sz w:val="24"/>
        </w:rPr>
        <w:t>gasto</w:t>
      </w:r>
      <w:r>
        <w:rPr>
          <w:i/>
          <w:spacing w:val="-9"/>
          <w:sz w:val="24"/>
        </w:rPr>
        <w:t xml:space="preserve"> </w:t>
      </w:r>
      <w:r>
        <w:rPr>
          <w:i/>
          <w:sz w:val="24"/>
        </w:rPr>
        <w:t>o</w:t>
      </w:r>
      <w:r>
        <w:rPr>
          <w:i/>
          <w:spacing w:val="-16"/>
          <w:sz w:val="24"/>
        </w:rPr>
        <w:t xml:space="preserve"> </w:t>
      </w:r>
      <w:r>
        <w:rPr>
          <w:i/>
          <w:sz w:val="24"/>
        </w:rPr>
        <w:t>aumentos</w:t>
      </w:r>
      <w:r>
        <w:rPr>
          <w:i/>
          <w:spacing w:val="-17"/>
          <w:sz w:val="24"/>
        </w:rPr>
        <w:t xml:space="preserve"> </w:t>
      </w:r>
      <w:r>
        <w:rPr>
          <w:i/>
          <w:sz w:val="24"/>
        </w:rPr>
        <w:t xml:space="preserve">de ingresos, prevista en el proyecto de ley” </w:t>
      </w:r>
      <w:r>
        <w:rPr>
          <w:sz w:val="24"/>
        </w:rPr>
        <w:t>(Corte Constitucional, Sentencia C-1197 de 2008; C-1139 de 2008 y C-315 de 2008).</w:t>
      </w:r>
    </w:p>
    <w:p w14:paraId="4194DDA5" w14:textId="77777777" w:rsidR="000E52B0" w:rsidRDefault="00F60D74">
      <w:pPr>
        <w:pStyle w:val="Textoindependiente"/>
        <w:spacing w:before="161"/>
        <w:ind w:right="718"/>
        <w:jc w:val="both"/>
      </w:pPr>
      <w:r>
        <w:t>Bajo</w:t>
      </w:r>
      <w:r>
        <w:rPr>
          <w:spacing w:val="-20"/>
        </w:rPr>
        <w:t xml:space="preserve"> </w:t>
      </w:r>
      <w:r>
        <w:t>este</w:t>
      </w:r>
      <w:r>
        <w:rPr>
          <w:spacing w:val="-20"/>
        </w:rPr>
        <w:t xml:space="preserve"> </w:t>
      </w:r>
      <w:r>
        <w:t>contexto,</w:t>
      </w:r>
      <w:r>
        <w:rPr>
          <w:spacing w:val="-17"/>
        </w:rPr>
        <w:t xml:space="preserve"> </w:t>
      </w:r>
      <w:r>
        <w:t>a</w:t>
      </w:r>
      <w:r>
        <w:rPr>
          <w:spacing w:val="-21"/>
        </w:rPr>
        <w:t xml:space="preserve"> </w:t>
      </w:r>
      <w:r>
        <w:t>continuación,</w:t>
      </w:r>
      <w:r>
        <w:rPr>
          <w:spacing w:val="-20"/>
        </w:rPr>
        <w:t xml:space="preserve"> </w:t>
      </w:r>
      <w:r>
        <w:t>se</w:t>
      </w:r>
      <w:r>
        <w:rPr>
          <w:spacing w:val="-20"/>
        </w:rPr>
        <w:t xml:space="preserve"> </w:t>
      </w:r>
      <w:r>
        <w:t>desarrollan</w:t>
      </w:r>
      <w:r>
        <w:rPr>
          <w:spacing w:val="-22"/>
        </w:rPr>
        <w:t xml:space="preserve"> </w:t>
      </w:r>
      <w:r>
        <w:t>los</w:t>
      </w:r>
      <w:r>
        <w:rPr>
          <w:spacing w:val="-18"/>
        </w:rPr>
        <w:t xml:space="preserve"> </w:t>
      </w:r>
      <w:r>
        <w:t>referentes</w:t>
      </w:r>
      <w:r>
        <w:rPr>
          <w:spacing w:val="-21"/>
        </w:rPr>
        <w:t xml:space="preserve"> </w:t>
      </w:r>
      <w:r>
        <w:t>básicos</w:t>
      </w:r>
      <w:r>
        <w:rPr>
          <w:spacing w:val="-19"/>
        </w:rPr>
        <w:t xml:space="preserve"> </w:t>
      </w:r>
      <w:r>
        <w:t>del impacto fiscal de la creación del Ministerio de Igualdad y Equidad, y se incorpora</w:t>
      </w:r>
      <w:r>
        <w:rPr>
          <w:spacing w:val="-22"/>
        </w:rPr>
        <w:t xml:space="preserve"> </w:t>
      </w:r>
      <w:r>
        <w:t>el</w:t>
      </w:r>
      <w:r>
        <w:rPr>
          <w:spacing w:val="-21"/>
        </w:rPr>
        <w:t xml:space="preserve"> </w:t>
      </w:r>
      <w:r>
        <w:t>correspondiente</w:t>
      </w:r>
      <w:r>
        <w:rPr>
          <w:spacing w:val="-21"/>
        </w:rPr>
        <w:t xml:space="preserve"> </w:t>
      </w:r>
      <w:r>
        <w:t>análisis</w:t>
      </w:r>
      <w:r>
        <w:rPr>
          <w:spacing w:val="-21"/>
        </w:rPr>
        <w:t xml:space="preserve"> </w:t>
      </w:r>
      <w:r>
        <w:t>realizado</w:t>
      </w:r>
      <w:r>
        <w:rPr>
          <w:spacing w:val="-21"/>
        </w:rPr>
        <w:t xml:space="preserve"> </w:t>
      </w:r>
      <w:r>
        <w:t>por</w:t>
      </w:r>
      <w:r>
        <w:rPr>
          <w:spacing w:val="-20"/>
        </w:rPr>
        <w:t xml:space="preserve"> </w:t>
      </w:r>
      <w:r>
        <w:t>el</w:t>
      </w:r>
      <w:r>
        <w:rPr>
          <w:spacing w:val="-21"/>
        </w:rPr>
        <w:t xml:space="preserve"> </w:t>
      </w:r>
      <w:r>
        <w:t>Ministerio</w:t>
      </w:r>
      <w:r>
        <w:rPr>
          <w:spacing w:val="-21"/>
        </w:rPr>
        <w:t xml:space="preserve"> </w:t>
      </w:r>
      <w:r>
        <w:t>de</w:t>
      </w:r>
      <w:r>
        <w:rPr>
          <w:spacing w:val="-20"/>
        </w:rPr>
        <w:t xml:space="preserve"> </w:t>
      </w:r>
      <w:r>
        <w:t>Hacienda y Crédito Público que hace referencia al ajuste de estos al Marco Fiscal de Mediano</w:t>
      </w:r>
      <w:r>
        <w:rPr>
          <w:spacing w:val="-5"/>
        </w:rPr>
        <w:t xml:space="preserve"> </w:t>
      </w:r>
      <w:r>
        <w:t>Plazo,</w:t>
      </w:r>
      <w:r>
        <w:rPr>
          <w:spacing w:val="-6"/>
        </w:rPr>
        <w:t xml:space="preserve"> </w:t>
      </w:r>
      <w:r>
        <w:t>conforme</w:t>
      </w:r>
      <w:r>
        <w:rPr>
          <w:spacing w:val="-5"/>
        </w:rPr>
        <w:t xml:space="preserve"> </w:t>
      </w:r>
      <w:r>
        <w:t>los</w:t>
      </w:r>
      <w:r>
        <w:rPr>
          <w:spacing w:val="-6"/>
        </w:rPr>
        <w:t xml:space="preserve"> </w:t>
      </w:r>
      <w:r>
        <w:t>requisitos</w:t>
      </w:r>
      <w:r>
        <w:rPr>
          <w:spacing w:val="-4"/>
        </w:rPr>
        <w:t xml:space="preserve"> </w:t>
      </w:r>
      <w:r>
        <w:t>y</w:t>
      </w:r>
      <w:r>
        <w:rPr>
          <w:spacing w:val="-6"/>
        </w:rPr>
        <w:t xml:space="preserve"> </w:t>
      </w:r>
      <w:r>
        <w:t>las</w:t>
      </w:r>
      <w:r>
        <w:rPr>
          <w:spacing w:val="-6"/>
        </w:rPr>
        <w:t xml:space="preserve"> </w:t>
      </w:r>
      <w:r>
        <w:t>obligaciones</w:t>
      </w:r>
      <w:r>
        <w:rPr>
          <w:spacing w:val="-6"/>
        </w:rPr>
        <w:t xml:space="preserve"> </w:t>
      </w:r>
      <w:r>
        <w:t>consideradas</w:t>
      </w:r>
      <w:r>
        <w:rPr>
          <w:spacing w:val="-6"/>
        </w:rPr>
        <w:t xml:space="preserve"> </w:t>
      </w:r>
      <w:r>
        <w:t>por la Corte Constitucional. Con la información aquí reportada, se subsana el yerro</w:t>
      </w:r>
      <w:r>
        <w:rPr>
          <w:spacing w:val="-10"/>
        </w:rPr>
        <w:t xml:space="preserve"> </w:t>
      </w:r>
      <w:r>
        <w:t>detectado</w:t>
      </w:r>
      <w:r>
        <w:rPr>
          <w:spacing w:val="-11"/>
        </w:rPr>
        <w:t xml:space="preserve"> </w:t>
      </w:r>
      <w:r>
        <w:t>por</w:t>
      </w:r>
      <w:r>
        <w:rPr>
          <w:spacing w:val="-10"/>
        </w:rPr>
        <w:t xml:space="preserve"> </w:t>
      </w:r>
      <w:r>
        <w:t>la</w:t>
      </w:r>
      <w:r>
        <w:rPr>
          <w:spacing w:val="-10"/>
        </w:rPr>
        <w:t xml:space="preserve"> </w:t>
      </w:r>
      <w:r>
        <w:t>autoridad</w:t>
      </w:r>
      <w:r>
        <w:rPr>
          <w:spacing w:val="-10"/>
        </w:rPr>
        <w:t xml:space="preserve"> </w:t>
      </w:r>
      <w:r>
        <w:t>judicial</w:t>
      </w:r>
      <w:r>
        <w:rPr>
          <w:spacing w:val="-10"/>
        </w:rPr>
        <w:t xml:space="preserve"> </w:t>
      </w:r>
      <w:r>
        <w:t>durante</w:t>
      </w:r>
      <w:r>
        <w:rPr>
          <w:spacing w:val="-10"/>
        </w:rPr>
        <w:t xml:space="preserve"> </w:t>
      </w:r>
      <w:r>
        <w:t>el</w:t>
      </w:r>
      <w:r>
        <w:rPr>
          <w:spacing w:val="-10"/>
        </w:rPr>
        <w:t xml:space="preserve"> </w:t>
      </w:r>
      <w:r>
        <w:t>trámite</w:t>
      </w:r>
      <w:r>
        <w:rPr>
          <w:spacing w:val="-10"/>
        </w:rPr>
        <w:t xml:space="preserve"> </w:t>
      </w:r>
      <w:r>
        <w:t>legislativo</w:t>
      </w:r>
      <w:r>
        <w:rPr>
          <w:spacing w:val="-8"/>
        </w:rPr>
        <w:t xml:space="preserve"> </w:t>
      </w:r>
      <w:r>
        <w:t>de</w:t>
      </w:r>
      <w:r>
        <w:rPr>
          <w:spacing w:val="-10"/>
        </w:rPr>
        <w:t xml:space="preserve"> </w:t>
      </w:r>
      <w:r>
        <w:t>la Ley</w:t>
      </w:r>
      <w:r>
        <w:rPr>
          <w:spacing w:val="-3"/>
        </w:rPr>
        <w:t xml:space="preserve"> </w:t>
      </w:r>
      <w:r>
        <w:t>2281</w:t>
      </w:r>
      <w:r>
        <w:rPr>
          <w:spacing w:val="-2"/>
        </w:rPr>
        <w:t xml:space="preserve"> </w:t>
      </w:r>
      <w:r>
        <w:t>de</w:t>
      </w:r>
      <w:r>
        <w:rPr>
          <w:spacing w:val="-2"/>
        </w:rPr>
        <w:t xml:space="preserve"> </w:t>
      </w:r>
      <w:r>
        <w:t>2023,</w:t>
      </w:r>
      <w:r>
        <w:rPr>
          <w:spacing w:val="-6"/>
        </w:rPr>
        <w:t xml:space="preserve"> </w:t>
      </w:r>
      <w:r>
        <w:t>se</w:t>
      </w:r>
      <w:r>
        <w:rPr>
          <w:spacing w:val="-2"/>
        </w:rPr>
        <w:t xml:space="preserve"> </w:t>
      </w:r>
      <w:r>
        <w:t>cumple</w:t>
      </w:r>
      <w:r>
        <w:rPr>
          <w:spacing w:val="-2"/>
        </w:rPr>
        <w:t xml:space="preserve"> </w:t>
      </w:r>
      <w:r>
        <w:t>con lo</w:t>
      </w:r>
      <w:r>
        <w:rPr>
          <w:spacing w:val="-2"/>
        </w:rPr>
        <w:t xml:space="preserve"> </w:t>
      </w:r>
      <w:r>
        <w:t>descrito</w:t>
      </w:r>
      <w:r>
        <w:rPr>
          <w:spacing w:val="-2"/>
        </w:rPr>
        <w:t xml:space="preserve"> </w:t>
      </w:r>
      <w:r>
        <w:t>en</w:t>
      </w:r>
      <w:r>
        <w:rPr>
          <w:spacing w:val="-3"/>
        </w:rPr>
        <w:t xml:space="preserve"> </w:t>
      </w:r>
      <w:r>
        <w:t>el</w:t>
      </w:r>
      <w:r>
        <w:rPr>
          <w:spacing w:val="-4"/>
        </w:rPr>
        <w:t xml:space="preserve"> </w:t>
      </w:r>
      <w:r>
        <w:t>artículo 7</w:t>
      </w:r>
      <w:r>
        <w:rPr>
          <w:spacing w:val="-2"/>
        </w:rPr>
        <w:t xml:space="preserve"> </w:t>
      </w:r>
      <w:r>
        <w:t>de</w:t>
      </w:r>
      <w:r>
        <w:rPr>
          <w:spacing w:val="-2"/>
        </w:rPr>
        <w:t xml:space="preserve"> </w:t>
      </w:r>
      <w:r>
        <w:t>la</w:t>
      </w:r>
      <w:r>
        <w:rPr>
          <w:spacing w:val="-2"/>
        </w:rPr>
        <w:t xml:space="preserve"> </w:t>
      </w:r>
      <w:r>
        <w:t>Ley</w:t>
      </w:r>
      <w:r>
        <w:rPr>
          <w:spacing w:val="-3"/>
        </w:rPr>
        <w:t xml:space="preserve"> </w:t>
      </w:r>
      <w:r>
        <w:t>819 y se ponen de presente al Congreso de la República los elementos suficientes para la deliberación de la iniciativa, cumpliendo así con la obligación descrita en la Sentencia C-161 de 2024.</w:t>
      </w:r>
    </w:p>
    <w:p w14:paraId="0707DBF6" w14:textId="77777777" w:rsidR="000E52B0" w:rsidRDefault="00F60D74">
      <w:pPr>
        <w:pStyle w:val="Textoindependiente"/>
        <w:spacing w:before="291"/>
        <w:ind w:right="715"/>
        <w:jc w:val="both"/>
      </w:pPr>
      <w:r>
        <w:rPr>
          <w:b/>
        </w:rPr>
        <w:t>Estimación</w:t>
      </w:r>
      <w:r>
        <w:rPr>
          <w:b/>
          <w:spacing w:val="-21"/>
        </w:rPr>
        <w:t xml:space="preserve"> </w:t>
      </w:r>
      <w:r>
        <w:rPr>
          <w:b/>
        </w:rPr>
        <w:t>del</w:t>
      </w:r>
      <w:r>
        <w:rPr>
          <w:b/>
          <w:spacing w:val="-21"/>
        </w:rPr>
        <w:t xml:space="preserve"> </w:t>
      </w:r>
      <w:r>
        <w:rPr>
          <w:b/>
        </w:rPr>
        <w:t>costo</w:t>
      </w:r>
      <w:r>
        <w:rPr>
          <w:b/>
          <w:spacing w:val="-18"/>
        </w:rPr>
        <w:t xml:space="preserve"> </w:t>
      </w:r>
      <w:r>
        <w:rPr>
          <w:b/>
        </w:rPr>
        <w:t>fiscal</w:t>
      </w:r>
      <w:r>
        <w:rPr>
          <w:b/>
          <w:spacing w:val="-21"/>
        </w:rPr>
        <w:t xml:space="preserve"> </w:t>
      </w:r>
      <w:r>
        <w:rPr>
          <w:b/>
        </w:rPr>
        <w:t>de</w:t>
      </w:r>
      <w:r>
        <w:rPr>
          <w:b/>
          <w:spacing w:val="-20"/>
        </w:rPr>
        <w:t xml:space="preserve"> </w:t>
      </w:r>
      <w:r>
        <w:rPr>
          <w:b/>
        </w:rPr>
        <w:t>la</w:t>
      </w:r>
      <w:r>
        <w:rPr>
          <w:b/>
          <w:spacing w:val="-21"/>
        </w:rPr>
        <w:t xml:space="preserve"> </w:t>
      </w:r>
      <w:r>
        <w:rPr>
          <w:b/>
        </w:rPr>
        <w:t>iniciativa:</w:t>
      </w:r>
      <w:r>
        <w:rPr>
          <w:b/>
          <w:spacing w:val="-18"/>
        </w:rPr>
        <w:t xml:space="preserve"> </w:t>
      </w:r>
      <w:r>
        <w:t>La</w:t>
      </w:r>
      <w:r>
        <w:rPr>
          <w:spacing w:val="-21"/>
        </w:rPr>
        <w:t xml:space="preserve"> </w:t>
      </w:r>
      <w:r>
        <w:t>Sentencia</w:t>
      </w:r>
      <w:r>
        <w:rPr>
          <w:spacing w:val="-21"/>
        </w:rPr>
        <w:t xml:space="preserve"> </w:t>
      </w:r>
      <w:r>
        <w:t>C-161</w:t>
      </w:r>
      <w:r>
        <w:rPr>
          <w:spacing w:val="-20"/>
        </w:rPr>
        <w:t xml:space="preserve"> </w:t>
      </w:r>
      <w:r>
        <w:t>de</w:t>
      </w:r>
      <w:r>
        <w:rPr>
          <w:spacing w:val="-22"/>
        </w:rPr>
        <w:t xml:space="preserve"> </w:t>
      </w:r>
      <w:r>
        <w:t>2024 determina que la estimación del costo debe ser fundada y confiable, requisitos que se cumplen en esta oportunidad pues el Ministerio de Igualdad y Equidad ha sido incluido en los rubros presupuestales del presupuesto general de la nación para las vigencias 2023, 2024 y 2025.</w:t>
      </w:r>
    </w:p>
    <w:p w14:paraId="538E17C0" w14:textId="77777777" w:rsidR="000E52B0" w:rsidRDefault="000E52B0">
      <w:pPr>
        <w:pStyle w:val="Textoindependiente"/>
        <w:spacing w:before="3"/>
        <w:ind w:left="0"/>
      </w:pPr>
    </w:p>
    <w:p w14:paraId="0D32011C" w14:textId="77777777" w:rsidR="000E52B0" w:rsidRDefault="00F60D74">
      <w:pPr>
        <w:pStyle w:val="Textoindependiente"/>
        <w:ind w:right="719"/>
        <w:jc w:val="both"/>
      </w:pPr>
      <w:r>
        <w:t>A continuación, se desarrolla la estimación de costo anual asociado a la permanencia</w:t>
      </w:r>
      <w:r>
        <w:rPr>
          <w:spacing w:val="-12"/>
        </w:rPr>
        <w:t xml:space="preserve"> </w:t>
      </w:r>
      <w:r>
        <w:t>del</w:t>
      </w:r>
      <w:r>
        <w:rPr>
          <w:spacing w:val="-13"/>
        </w:rPr>
        <w:t xml:space="preserve"> </w:t>
      </w:r>
      <w:r>
        <w:t>Ministerio</w:t>
      </w:r>
      <w:r>
        <w:rPr>
          <w:spacing w:val="-12"/>
        </w:rPr>
        <w:t xml:space="preserve"> </w:t>
      </w:r>
      <w:r>
        <w:t>de</w:t>
      </w:r>
      <w:r>
        <w:rPr>
          <w:spacing w:val="-14"/>
        </w:rPr>
        <w:t xml:space="preserve"> </w:t>
      </w:r>
      <w:r>
        <w:t>Igualdad</w:t>
      </w:r>
      <w:r>
        <w:rPr>
          <w:spacing w:val="-13"/>
        </w:rPr>
        <w:t xml:space="preserve"> </w:t>
      </w:r>
      <w:r>
        <w:t>y</w:t>
      </w:r>
      <w:r>
        <w:rPr>
          <w:spacing w:val="-12"/>
        </w:rPr>
        <w:t xml:space="preserve"> </w:t>
      </w:r>
      <w:r>
        <w:t>Equidad,</w:t>
      </w:r>
      <w:r>
        <w:rPr>
          <w:spacing w:val="-13"/>
        </w:rPr>
        <w:t xml:space="preserve"> </w:t>
      </w:r>
      <w:r>
        <w:t>siendo</w:t>
      </w:r>
      <w:r>
        <w:rPr>
          <w:spacing w:val="-12"/>
        </w:rPr>
        <w:t xml:space="preserve"> </w:t>
      </w:r>
      <w:r>
        <w:t>importante</w:t>
      </w:r>
      <w:r>
        <w:rPr>
          <w:spacing w:val="-12"/>
        </w:rPr>
        <w:t xml:space="preserve"> </w:t>
      </w:r>
      <w:r>
        <w:t>dejar claro</w:t>
      </w:r>
      <w:r>
        <w:rPr>
          <w:spacing w:val="-21"/>
        </w:rPr>
        <w:t xml:space="preserve"> </w:t>
      </w:r>
      <w:r>
        <w:t>que</w:t>
      </w:r>
      <w:r>
        <w:rPr>
          <w:spacing w:val="-20"/>
        </w:rPr>
        <w:t xml:space="preserve"> </w:t>
      </w:r>
      <w:r>
        <w:t>estos</w:t>
      </w:r>
      <w:r>
        <w:rPr>
          <w:spacing w:val="-21"/>
        </w:rPr>
        <w:t xml:space="preserve"> </w:t>
      </w:r>
      <w:r>
        <w:t>valores</w:t>
      </w:r>
      <w:r>
        <w:rPr>
          <w:spacing w:val="-21"/>
        </w:rPr>
        <w:t xml:space="preserve"> </w:t>
      </w:r>
      <w:r>
        <w:t>ya</w:t>
      </w:r>
      <w:r>
        <w:rPr>
          <w:spacing w:val="-21"/>
        </w:rPr>
        <w:t xml:space="preserve"> </w:t>
      </w:r>
      <w:r>
        <w:t>se</w:t>
      </w:r>
      <w:r>
        <w:rPr>
          <w:spacing w:val="-20"/>
        </w:rPr>
        <w:t xml:space="preserve"> </w:t>
      </w:r>
      <w:r>
        <w:t>encuentran</w:t>
      </w:r>
      <w:r>
        <w:rPr>
          <w:spacing w:val="-21"/>
        </w:rPr>
        <w:t xml:space="preserve"> </w:t>
      </w:r>
      <w:r>
        <w:t>incluidos</w:t>
      </w:r>
      <w:r>
        <w:rPr>
          <w:spacing w:val="-21"/>
        </w:rPr>
        <w:t xml:space="preserve"> </w:t>
      </w:r>
      <w:r>
        <w:t>en</w:t>
      </w:r>
      <w:r>
        <w:rPr>
          <w:spacing w:val="-21"/>
        </w:rPr>
        <w:t xml:space="preserve"> </w:t>
      </w:r>
      <w:r>
        <w:t>el</w:t>
      </w:r>
      <w:r>
        <w:rPr>
          <w:spacing w:val="-22"/>
        </w:rPr>
        <w:t xml:space="preserve"> </w:t>
      </w:r>
      <w:r>
        <w:t>marco</w:t>
      </w:r>
      <w:r>
        <w:rPr>
          <w:spacing w:val="-20"/>
        </w:rPr>
        <w:t xml:space="preserve"> </w:t>
      </w:r>
      <w:r>
        <w:t>presupuestal del Estado y se ajustan al marco fiscal de mediano plazo por la existencia actual de la entidad; lo que representa en la práctica que para la vigencia fiscal del año 2025 ya se cuenta con los recursos de funcionamiento e inversión</w:t>
      </w:r>
      <w:r>
        <w:rPr>
          <w:spacing w:val="5"/>
        </w:rPr>
        <w:t xml:space="preserve"> </w:t>
      </w:r>
      <w:r>
        <w:t>para</w:t>
      </w:r>
      <w:r>
        <w:rPr>
          <w:spacing w:val="8"/>
        </w:rPr>
        <w:t xml:space="preserve"> </w:t>
      </w:r>
      <w:r>
        <w:t>el</w:t>
      </w:r>
      <w:r>
        <w:rPr>
          <w:spacing w:val="6"/>
        </w:rPr>
        <w:t xml:space="preserve"> </w:t>
      </w:r>
      <w:r>
        <w:t>Ministerio</w:t>
      </w:r>
      <w:r>
        <w:rPr>
          <w:spacing w:val="8"/>
        </w:rPr>
        <w:t xml:space="preserve"> </w:t>
      </w:r>
      <w:r>
        <w:t>de</w:t>
      </w:r>
      <w:r>
        <w:rPr>
          <w:spacing w:val="11"/>
        </w:rPr>
        <w:t xml:space="preserve"> </w:t>
      </w:r>
      <w:r>
        <w:t>Igualdad</w:t>
      </w:r>
      <w:r>
        <w:rPr>
          <w:spacing w:val="9"/>
        </w:rPr>
        <w:t xml:space="preserve"> </w:t>
      </w:r>
      <w:r>
        <w:t>y</w:t>
      </w:r>
      <w:r>
        <w:rPr>
          <w:spacing w:val="7"/>
        </w:rPr>
        <w:t xml:space="preserve"> </w:t>
      </w:r>
      <w:r>
        <w:t>Equidad</w:t>
      </w:r>
      <w:r>
        <w:rPr>
          <w:spacing w:val="9"/>
        </w:rPr>
        <w:t xml:space="preserve"> </w:t>
      </w:r>
      <w:r>
        <w:t>y</w:t>
      </w:r>
      <w:r>
        <w:rPr>
          <w:spacing w:val="11"/>
        </w:rPr>
        <w:t xml:space="preserve"> </w:t>
      </w:r>
      <w:r>
        <w:t>para</w:t>
      </w:r>
      <w:r>
        <w:rPr>
          <w:spacing w:val="10"/>
        </w:rPr>
        <w:t xml:space="preserve"> </w:t>
      </w:r>
      <w:r>
        <w:t>los</w:t>
      </w:r>
      <w:r>
        <w:rPr>
          <w:spacing w:val="7"/>
        </w:rPr>
        <w:t xml:space="preserve"> </w:t>
      </w:r>
      <w:r>
        <w:t>años</w:t>
      </w:r>
      <w:r>
        <w:rPr>
          <w:spacing w:val="8"/>
        </w:rPr>
        <w:t xml:space="preserve"> </w:t>
      </w:r>
      <w:r>
        <w:t>2026</w:t>
      </w:r>
      <w:r>
        <w:rPr>
          <w:spacing w:val="8"/>
        </w:rPr>
        <w:t xml:space="preserve"> </w:t>
      </w:r>
      <w:r>
        <w:rPr>
          <w:spacing w:val="-10"/>
        </w:rPr>
        <w:t>y</w:t>
      </w:r>
    </w:p>
    <w:p w14:paraId="52615946" w14:textId="77777777" w:rsidR="000E52B0" w:rsidRDefault="000E52B0">
      <w:pPr>
        <w:pStyle w:val="Textoindependiente"/>
        <w:jc w:val="both"/>
        <w:sectPr w:rsidR="000E52B0">
          <w:pgSz w:w="11910" w:h="16840"/>
          <w:pgMar w:top="1340" w:right="720" w:bottom="1180" w:left="720" w:header="0" w:footer="995" w:gutter="0"/>
          <w:cols w:space="720"/>
        </w:sectPr>
      </w:pPr>
    </w:p>
    <w:p w14:paraId="7BAAC4EB" w14:textId="77777777" w:rsidR="000E52B0" w:rsidRDefault="00F60D74">
      <w:pPr>
        <w:pStyle w:val="Textoindependiente"/>
        <w:spacing w:before="83"/>
        <w:ind w:right="717"/>
        <w:jc w:val="both"/>
      </w:pPr>
      <w:r>
        <w:lastRenderedPageBreak/>
        <w:t>siguientes se generan los costos que se relacionan en la siguiente tabla y que se discriminan con la información que se reporta en tablas al final de este documento:</w:t>
      </w:r>
    </w:p>
    <w:p w14:paraId="61515A30" w14:textId="77777777" w:rsidR="000E52B0" w:rsidRDefault="000E52B0">
      <w:pPr>
        <w:pStyle w:val="Textoindependiente"/>
        <w:ind w:left="0"/>
        <w:rPr>
          <w:sz w:val="13"/>
        </w:rPr>
      </w:pPr>
    </w:p>
    <w:tbl>
      <w:tblPr>
        <w:tblStyle w:val="TableNormal"/>
        <w:tblW w:w="0" w:type="auto"/>
        <w:tblInd w:w="1613"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1E0" w:firstRow="1" w:lastRow="1" w:firstColumn="1" w:lastColumn="1" w:noHBand="0" w:noVBand="0"/>
      </w:tblPr>
      <w:tblGrid>
        <w:gridCol w:w="3274"/>
        <w:gridCol w:w="3985"/>
      </w:tblGrid>
      <w:tr w:rsidR="000E52B0" w14:paraId="5815E852" w14:textId="77777777">
        <w:trPr>
          <w:trHeight w:val="301"/>
        </w:trPr>
        <w:tc>
          <w:tcPr>
            <w:tcW w:w="3274" w:type="dxa"/>
            <w:tcBorders>
              <w:bottom w:val="single" w:sz="12" w:space="0" w:color="666666"/>
            </w:tcBorders>
          </w:tcPr>
          <w:p w14:paraId="08FDD628" w14:textId="77777777" w:rsidR="000E52B0" w:rsidRDefault="00F60D74">
            <w:pPr>
              <w:pStyle w:val="TableParagraph"/>
              <w:spacing w:before="1"/>
              <w:ind w:left="16"/>
              <w:jc w:val="center"/>
              <w:rPr>
                <w:b/>
              </w:rPr>
            </w:pPr>
            <w:r>
              <w:rPr>
                <w:b/>
                <w:spacing w:val="-2"/>
              </w:rPr>
              <w:t>Anualidad</w:t>
            </w:r>
          </w:p>
        </w:tc>
        <w:tc>
          <w:tcPr>
            <w:tcW w:w="3985" w:type="dxa"/>
            <w:tcBorders>
              <w:bottom w:val="single" w:sz="12" w:space="0" w:color="666666"/>
            </w:tcBorders>
          </w:tcPr>
          <w:p w14:paraId="0D0D7388" w14:textId="77777777" w:rsidR="000E52B0" w:rsidRDefault="00F60D74">
            <w:pPr>
              <w:pStyle w:val="TableParagraph"/>
              <w:spacing w:before="1"/>
              <w:ind w:left="21"/>
              <w:jc w:val="center"/>
              <w:rPr>
                <w:b/>
              </w:rPr>
            </w:pPr>
            <w:r>
              <w:rPr>
                <w:b/>
                <w:spacing w:val="-2"/>
              </w:rPr>
              <w:t>Costo</w:t>
            </w:r>
          </w:p>
        </w:tc>
      </w:tr>
      <w:tr w:rsidR="000E52B0" w14:paraId="192518AD" w14:textId="77777777">
        <w:trPr>
          <w:trHeight w:val="299"/>
        </w:trPr>
        <w:tc>
          <w:tcPr>
            <w:tcW w:w="3274" w:type="dxa"/>
            <w:tcBorders>
              <w:top w:val="single" w:sz="12" w:space="0" w:color="666666"/>
            </w:tcBorders>
            <w:shd w:val="clear" w:color="auto" w:fill="CCCCCC"/>
          </w:tcPr>
          <w:p w14:paraId="5B7E694E" w14:textId="77777777" w:rsidR="000E52B0" w:rsidRDefault="00F60D74">
            <w:pPr>
              <w:pStyle w:val="TableParagraph"/>
              <w:spacing w:line="266" w:lineRule="exact"/>
              <w:ind w:left="16" w:right="1"/>
              <w:jc w:val="center"/>
              <w:rPr>
                <w:b/>
              </w:rPr>
            </w:pPr>
            <w:r>
              <w:rPr>
                <w:b/>
                <w:spacing w:val="-4"/>
              </w:rPr>
              <w:t>2026</w:t>
            </w:r>
          </w:p>
        </w:tc>
        <w:tc>
          <w:tcPr>
            <w:tcW w:w="3985" w:type="dxa"/>
            <w:tcBorders>
              <w:top w:val="single" w:sz="12" w:space="0" w:color="666666"/>
            </w:tcBorders>
            <w:shd w:val="clear" w:color="auto" w:fill="CCCCCC"/>
          </w:tcPr>
          <w:p w14:paraId="1B9AB52C" w14:textId="77777777" w:rsidR="000E52B0" w:rsidRDefault="00F60D74">
            <w:pPr>
              <w:pStyle w:val="TableParagraph"/>
              <w:spacing w:line="266" w:lineRule="exact"/>
              <w:ind w:left="21"/>
              <w:jc w:val="center"/>
            </w:pPr>
            <w:r>
              <w:rPr>
                <w:spacing w:val="-2"/>
              </w:rPr>
              <w:t>$1.125.203.256.374</w:t>
            </w:r>
          </w:p>
        </w:tc>
      </w:tr>
      <w:tr w:rsidR="000E52B0" w14:paraId="2C7BBAF5" w14:textId="77777777">
        <w:trPr>
          <w:trHeight w:val="299"/>
        </w:trPr>
        <w:tc>
          <w:tcPr>
            <w:tcW w:w="3274" w:type="dxa"/>
          </w:tcPr>
          <w:p w14:paraId="3F306776" w14:textId="77777777" w:rsidR="000E52B0" w:rsidRDefault="00F60D74">
            <w:pPr>
              <w:pStyle w:val="TableParagraph"/>
              <w:spacing w:line="267" w:lineRule="exact"/>
              <w:ind w:left="16" w:right="1"/>
              <w:jc w:val="center"/>
              <w:rPr>
                <w:b/>
              </w:rPr>
            </w:pPr>
            <w:r>
              <w:rPr>
                <w:b/>
                <w:spacing w:val="-4"/>
              </w:rPr>
              <w:t>2027</w:t>
            </w:r>
          </w:p>
        </w:tc>
        <w:tc>
          <w:tcPr>
            <w:tcW w:w="3985" w:type="dxa"/>
          </w:tcPr>
          <w:p w14:paraId="3EFDDFB3" w14:textId="77777777" w:rsidR="000E52B0" w:rsidRDefault="00F60D74">
            <w:pPr>
              <w:pStyle w:val="TableParagraph"/>
              <w:spacing w:line="267" w:lineRule="exact"/>
              <w:ind w:left="21"/>
              <w:jc w:val="center"/>
            </w:pPr>
            <w:r>
              <w:rPr>
                <w:spacing w:val="-2"/>
              </w:rPr>
              <w:t>$1.181.055.583.436</w:t>
            </w:r>
          </w:p>
        </w:tc>
      </w:tr>
      <w:tr w:rsidR="000E52B0" w14:paraId="1A1578F3" w14:textId="77777777">
        <w:trPr>
          <w:trHeight w:val="301"/>
        </w:trPr>
        <w:tc>
          <w:tcPr>
            <w:tcW w:w="3274" w:type="dxa"/>
            <w:shd w:val="clear" w:color="auto" w:fill="CCCCCC"/>
          </w:tcPr>
          <w:p w14:paraId="21C0162F" w14:textId="77777777" w:rsidR="000E52B0" w:rsidRDefault="00F60D74">
            <w:pPr>
              <w:pStyle w:val="TableParagraph"/>
              <w:spacing w:before="1"/>
              <w:ind w:left="16" w:right="1"/>
              <w:jc w:val="center"/>
              <w:rPr>
                <w:b/>
              </w:rPr>
            </w:pPr>
            <w:r>
              <w:rPr>
                <w:b/>
                <w:spacing w:val="-4"/>
              </w:rPr>
              <w:t>2028</w:t>
            </w:r>
          </w:p>
        </w:tc>
        <w:tc>
          <w:tcPr>
            <w:tcW w:w="3985" w:type="dxa"/>
            <w:shd w:val="clear" w:color="auto" w:fill="CCCCCC"/>
          </w:tcPr>
          <w:p w14:paraId="611FBFFF" w14:textId="77777777" w:rsidR="000E52B0" w:rsidRDefault="00F60D74">
            <w:pPr>
              <w:pStyle w:val="TableParagraph"/>
              <w:spacing w:before="1"/>
              <w:ind w:left="21"/>
              <w:jc w:val="center"/>
            </w:pPr>
            <w:r>
              <w:rPr>
                <w:spacing w:val="-2"/>
              </w:rPr>
              <w:t>$1.245.263.982.344</w:t>
            </w:r>
          </w:p>
        </w:tc>
      </w:tr>
    </w:tbl>
    <w:p w14:paraId="44CDB78D" w14:textId="77777777" w:rsidR="000E52B0" w:rsidRDefault="000E52B0">
      <w:pPr>
        <w:pStyle w:val="Textoindependiente"/>
        <w:spacing w:before="161"/>
        <w:ind w:left="0"/>
      </w:pPr>
    </w:p>
    <w:p w14:paraId="23077BAF" w14:textId="77777777" w:rsidR="000E52B0" w:rsidRDefault="00F60D74">
      <w:pPr>
        <w:pStyle w:val="Textoindependiente"/>
        <w:ind w:right="724"/>
        <w:jc w:val="both"/>
      </w:pPr>
      <w:r>
        <w:t>La sumatoria de costos para las vigencias 2026, 2027 y 2028 arroja un total de $3.551.522.822.154, valores que se encuentran incluidos en el Marco de Gasto a Mediano Plazo.</w:t>
      </w:r>
    </w:p>
    <w:p w14:paraId="7120ABC8" w14:textId="77777777" w:rsidR="000E52B0" w:rsidRDefault="00F60D74">
      <w:pPr>
        <w:pStyle w:val="Textoindependiente"/>
        <w:spacing w:before="160"/>
        <w:ind w:right="716"/>
        <w:jc w:val="both"/>
      </w:pPr>
      <w:r>
        <w:rPr>
          <w:b/>
        </w:rPr>
        <w:t>Fuente</w:t>
      </w:r>
      <w:r>
        <w:rPr>
          <w:b/>
          <w:spacing w:val="-14"/>
        </w:rPr>
        <w:t xml:space="preserve"> </w:t>
      </w:r>
      <w:r>
        <w:rPr>
          <w:b/>
        </w:rPr>
        <w:t>de</w:t>
      </w:r>
      <w:r>
        <w:rPr>
          <w:b/>
          <w:spacing w:val="-14"/>
        </w:rPr>
        <w:t xml:space="preserve"> </w:t>
      </w:r>
      <w:r>
        <w:rPr>
          <w:b/>
        </w:rPr>
        <w:t>ingreso</w:t>
      </w:r>
      <w:r>
        <w:rPr>
          <w:b/>
          <w:spacing w:val="-12"/>
        </w:rPr>
        <w:t xml:space="preserve"> </w:t>
      </w:r>
      <w:r>
        <w:rPr>
          <w:b/>
        </w:rPr>
        <w:t>para</w:t>
      </w:r>
      <w:r>
        <w:rPr>
          <w:b/>
          <w:spacing w:val="-13"/>
        </w:rPr>
        <w:t xml:space="preserve"> </w:t>
      </w:r>
      <w:r>
        <w:rPr>
          <w:b/>
        </w:rPr>
        <w:t>financiar</w:t>
      </w:r>
      <w:r>
        <w:rPr>
          <w:b/>
          <w:spacing w:val="-13"/>
        </w:rPr>
        <w:t xml:space="preserve"> </w:t>
      </w:r>
      <w:r>
        <w:rPr>
          <w:b/>
        </w:rPr>
        <w:t>el</w:t>
      </w:r>
      <w:r>
        <w:rPr>
          <w:b/>
          <w:spacing w:val="-12"/>
        </w:rPr>
        <w:t xml:space="preserve"> </w:t>
      </w:r>
      <w:r>
        <w:rPr>
          <w:b/>
        </w:rPr>
        <w:t>costo:</w:t>
      </w:r>
      <w:r>
        <w:rPr>
          <w:b/>
          <w:spacing w:val="-12"/>
        </w:rPr>
        <w:t xml:space="preserve"> </w:t>
      </w:r>
      <w:r>
        <w:t>La</w:t>
      </w:r>
      <w:r>
        <w:rPr>
          <w:spacing w:val="-14"/>
        </w:rPr>
        <w:t xml:space="preserve"> </w:t>
      </w:r>
      <w:r>
        <w:t>Sentencia</w:t>
      </w:r>
      <w:r>
        <w:rPr>
          <w:spacing w:val="-11"/>
        </w:rPr>
        <w:t xml:space="preserve"> </w:t>
      </w:r>
      <w:r>
        <w:t>C-161</w:t>
      </w:r>
      <w:r>
        <w:rPr>
          <w:spacing w:val="-13"/>
        </w:rPr>
        <w:t xml:space="preserve"> </w:t>
      </w:r>
      <w:r>
        <w:t>de</w:t>
      </w:r>
      <w:r>
        <w:rPr>
          <w:spacing w:val="-13"/>
        </w:rPr>
        <w:t xml:space="preserve"> </w:t>
      </w:r>
      <w:r>
        <w:t>2024 exige que en la definición de la fuente de ingreso se describa el origen de los ingresos adicionales y la financiación de los gastos. Al respecto es necesario poner de presente que el costo del Ministerio de Igualdad y Equidad no representará un costo adicional para la vigencia fiscal del año siguiente al que se presenta esta iniciativa (2025) ni las que le siguen por cuanto es una Entidad que se encuentra en funcionamiento con unas fuentes</w:t>
      </w:r>
      <w:r>
        <w:rPr>
          <w:spacing w:val="-18"/>
        </w:rPr>
        <w:t xml:space="preserve"> </w:t>
      </w:r>
      <w:r>
        <w:t>de</w:t>
      </w:r>
      <w:r>
        <w:rPr>
          <w:spacing w:val="-14"/>
        </w:rPr>
        <w:t xml:space="preserve"> </w:t>
      </w:r>
      <w:r>
        <w:t>ingreso</w:t>
      </w:r>
      <w:r>
        <w:rPr>
          <w:spacing w:val="-17"/>
        </w:rPr>
        <w:t xml:space="preserve"> </w:t>
      </w:r>
      <w:r>
        <w:t>definidas</w:t>
      </w:r>
      <w:r>
        <w:rPr>
          <w:spacing w:val="-15"/>
        </w:rPr>
        <w:t xml:space="preserve"> </w:t>
      </w:r>
      <w:r>
        <w:t>en</w:t>
      </w:r>
      <w:r>
        <w:rPr>
          <w:spacing w:val="-16"/>
        </w:rPr>
        <w:t xml:space="preserve"> </w:t>
      </w:r>
      <w:r>
        <w:t>la</w:t>
      </w:r>
      <w:r>
        <w:rPr>
          <w:spacing w:val="-18"/>
        </w:rPr>
        <w:t xml:space="preserve"> </w:t>
      </w:r>
      <w:r>
        <w:t>Ley</w:t>
      </w:r>
      <w:r>
        <w:rPr>
          <w:spacing w:val="-18"/>
        </w:rPr>
        <w:t xml:space="preserve"> </w:t>
      </w:r>
      <w:r>
        <w:t>como</w:t>
      </w:r>
      <w:r>
        <w:rPr>
          <w:spacing w:val="-17"/>
        </w:rPr>
        <w:t xml:space="preserve"> </w:t>
      </w:r>
      <w:r>
        <w:t>la</w:t>
      </w:r>
      <w:r>
        <w:rPr>
          <w:spacing w:val="-18"/>
        </w:rPr>
        <w:t xml:space="preserve"> </w:t>
      </w:r>
      <w:r>
        <w:t>apropiación</w:t>
      </w:r>
      <w:r>
        <w:rPr>
          <w:spacing w:val="-16"/>
        </w:rPr>
        <w:t xml:space="preserve"> </w:t>
      </w:r>
      <w:r>
        <w:t>del</w:t>
      </w:r>
      <w:r>
        <w:rPr>
          <w:spacing w:val="-18"/>
        </w:rPr>
        <w:t xml:space="preserve"> </w:t>
      </w:r>
      <w:r>
        <w:t>presupuesto, las</w:t>
      </w:r>
      <w:r>
        <w:rPr>
          <w:spacing w:val="-16"/>
        </w:rPr>
        <w:t xml:space="preserve"> </w:t>
      </w:r>
      <w:r>
        <w:t>adquisiciones</w:t>
      </w:r>
      <w:r>
        <w:rPr>
          <w:spacing w:val="-13"/>
        </w:rPr>
        <w:t xml:space="preserve"> </w:t>
      </w:r>
      <w:r>
        <w:t>a</w:t>
      </w:r>
      <w:r>
        <w:rPr>
          <w:spacing w:val="-13"/>
        </w:rPr>
        <w:t xml:space="preserve"> </w:t>
      </w:r>
      <w:r>
        <w:t>cualquier</w:t>
      </w:r>
      <w:r>
        <w:rPr>
          <w:spacing w:val="-10"/>
        </w:rPr>
        <w:t xml:space="preserve"> </w:t>
      </w:r>
      <w:r>
        <w:t>título</w:t>
      </w:r>
      <w:r>
        <w:rPr>
          <w:spacing w:val="-13"/>
        </w:rPr>
        <w:t xml:space="preserve"> </w:t>
      </w:r>
      <w:r>
        <w:t>y</w:t>
      </w:r>
      <w:r>
        <w:rPr>
          <w:spacing w:val="-13"/>
        </w:rPr>
        <w:t xml:space="preserve"> </w:t>
      </w:r>
      <w:r>
        <w:t>las</w:t>
      </w:r>
      <w:r>
        <w:rPr>
          <w:spacing w:val="-10"/>
        </w:rPr>
        <w:t xml:space="preserve"> </w:t>
      </w:r>
      <w:r>
        <w:t>donaciones</w:t>
      </w:r>
      <w:r>
        <w:rPr>
          <w:spacing w:val="-13"/>
        </w:rPr>
        <w:t xml:space="preserve"> </w:t>
      </w:r>
      <w:r>
        <w:t>o</w:t>
      </w:r>
      <w:r>
        <w:rPr>
          <w:spacing w:val="-12"/>
        </w:rPr>
        <w:t xml:space="preserve"> </w:t>
      </w:r>
      <w:r>
        <w:t>cesiones</w:t>
      </w:r>
      <w:r>
        <w:rPr>
          <w:spacing w:val="-13"/>
        </w:rPr>
        <w:t xml:space="preserve"> </w:t>
      </w:r>
      <w:r>
        <w:t>que</w:t>
      </w:r>
      <w:r>
        <w:rPr>
          <w:spacing w:val="-12"/>
        </w:rPr>
        <w:t xml:space="preserve"> </w:t>
      </w:r>
      <w:r>
        <w:rPr>
          <w:spacing w:val="-2"/>
        </w:rPr>
        <w:t>perciba.</w:t>
      </w:r>
    </w:p>
    <w:p w14:paraId="0D6B153D" w14:textId="77777777" w:rsidR="000E52B0" w:rsidRDefault="00F60D74">
      <w:pPr>
        <w:pStyle w:val="Textoindependiente"/>
        <w:spacing w:before="291"/>
        <w:ind w:right="718"/>
        <w:jc w:val="both"/>
      </w:pPr>
      <w:r>
        <w:t>Los recursos por los cuales se financia el Ministerio de Igualdad y Equidad corresponden a los recursos corrientes del Presupuesto General de la Nación (PGN) y otros recursos del Tesoro Nacional, conforme consta en el artículo</w:t>
      </w:r>
      <w:r>
        <w:rPr>
          <w:spacing w:val="-12"/>
        </w:rPr>
        <w:t xml:space="preserve"> </w:t>
      </w:r>
      <w:r>
        <w:t>1</w:t>
      </w:r>
      <w:r>
        <w:rPr>
          <w:spacing w:val="-14"/>
        </w:rPr>
        <w:t xml:space="preserve"> </w:t>
      </w:r>
      <w:r>
        <w:t>de</w:t>
      </w:r>
      <w:r>
        <w:rPr>
          <w:spacing w:val="-12"/>
        </w:rPr>
        <w:t xml:space="preserve"> </w:t>
      </w:r>
      <w:r>
        <w:t>la</w:t>
      </w:r>
      <w:r>
        <w:rPr>
          <w:spacing w:val="-15"/>
        </w:rPr>
        <w:t xml:space="preserve"> </w:t>
      </w:r>
      <w:r>
        <w:t>Ley</w:t>
      </w:r>
      <w:r>
        <w:rPr>
          <w:spacing w:val="-13"/>
        </w:rPr>
        <w:t xml:space="preserve"> </w:t>
      </w:r>
      <w:r>
        <w:t>2324</w:t>
      </w:r>
      <w:r>
        <w:rPr>
          <w:spacing w:val="-14"/>
        </w:rPr>
        <w:t xml:space="preserve"> </w:t>
      </w:r>
      <w:r>
        <w:t>de</w:t>
      </w:r>
      <w:r>
        <w:rPr>
          <w:spacing w:val="-14"/>
        </w:rPr>
        <w:t xml:space="preserve"> </w:t>
      </w:r>
      <w:r>
        <w:t>2023</w:t>
      </w:r>
      <w:r>
        <w:rPr>
          <w:spacing w:val="-14"/>
        </w:rPr>
        <w:t xml:space="preserve"> </w:t>
      </w:r>
      <w:r>
        <w:t>y</w:t>
      </w:r>
      <w:r>
        <w:rPr>
          <w:spacing w:val="-15"/>
        </w:rPr>
        <w:t xml:space="preserve"> </w:t>
      </w:r>
      <w:r>
        <w:t>en</w:t>
      </w:r>
      <w:r>
        <w:rPr>
          <w:spacing w:val="-11"/>
        </w:rPr>
        <w:t xml:space="preserve"> </w:t>
      </w:r>
      <w:r>
        <w:t>el</w:t>
      </w:r>
      <w:r>
        <w:rPr>
          <w:spacing w:val="-16"/>
        </w:rPr>
        <w:t xml:space="preserve"> </w:t>
      </w:r>
      <w:r>
        <w:t>Decreto</w:t>
      </w:r>
      <w:r>
        <w:rPr>
          <w:spacing w:val="-14"/>
        </w:rPr>
        <w:t xml:space="preserve"> </w:t>
      </w:r>
      <w:r>
        <w:t>2295</w:t>
      </w:r>
      <w:r>
        <w:rPr>
          <w:spacing w:val="-14"/>
        </w:rPr>
        <w:t xml:space="preserve"> </w:t>
      </w:r>
      <w:r>
        <w:t>de</w:t>
      </w:r>
      <w:r>
        <w:rPr>
          <w:spacing w:val="-14"/>
        </w:rPr>
        <w:t xml:space="preserve"> </w:t>
      </w:r>
      <w:r>
        <w:t>2023</w:t>
      </w:r>
      <w:r>
        <w:rPr>
          <w:spacing w:val="-14"/>
        </w:rPr>
        <w:t xml:space="preserve"> </w:t>
      </w:r>
      <w:r>
        <w:t>“Por</w:t>
      </w:r>
      <w:r>
        <w:rPr>
          <w:spacing w:val="-14"/>
        </w:rPr>
        <w:t xml:space="preserve"> </w:t>
      </w:r>
      <w:r>
        <w:t>el</w:t>
      </w:r>
      <w:r>
        <w:rPr>
          <w:spacing w:val="-16"/>
        </w:rPr>
        <w:t xml:space="preserve"> </w:t>
      </w:r>
      <w:r>
        <w:t>cual se liquida el Presupuesto General de la Nación para la vigencia fiscal de 2024,</w:t>
      </w:r>
      <w:r>
        <w:rPr>
          <w:spacing w:val="-10"/>
        </w:rPr>
        <w:t xml:space="preserve"> </w:t>
      </w:r>
      <w:r>
        <w:t>se</w:t>
      </w:r>
      <w:r>
        <w:rPr>
          <w:spacing w:val="-8"/>
        </w:rPr>
        <w:t xml:space="preserve"> </w:t>
      </w:r>
      <w:r>
        <w:t>detallan</w:t>
      </w:r>
      <w:r>
        <w:rPr>
          <w:spacing w:val="-9"/>
        </w:rPr>
        <w:t xml:space="preserve"> </w:t>
      </w:r>
      <w:r>
        <w:t>las</w:t>
      </w:r>
      <w:r>
        <w:rPr>
          <w:spacing w:val="-9"/>
        </w:rPr>
        <w:t xml:space="preserve"> </w:t>
      </w:r>
      <w:r>
        <w:t>apropiaciones</w:t>
      </w:r>
      <w:r>
        <w:rPr>
          <w:spacing w:val="-9"/>
        </w:rPr>
        <w:t xml:space="preserve"> </w:t>
      </w:r>
      <w:r>
        <w:t>y</w:t>
      </w:r>
      <w:r>
        <w:rPr>
          <w:spacing w:val="-9"/>
        </w:rPr>
        <w:t xml:space="preserve"> </w:t>
      </w:r>
      <w:r>
        <w:t>se</w:t>
      </w:r>
      <w:r>
        <w:rPr>
          <w:spacing w:val="-6"/>
        </w:rPr>
        <w:t xml:space="preserve"> </w:t>
      </w:r>
      <w:r>
        <w:t>clasifican</w:t>
      </w:r>
      <w:r>
        <w:rPr>
          <w:spacing w:val="-10"/>
        </w:rPr>
        <w:t xml:space="preserve"> </w:t>
      </w:r>
      <w:r>
        <w:t>y</w:t>
      </w:r>
      <w:r>
        <w:rPr>
          <w:spacing w:val="-9"/>
        </w:rPr>
        <w:t xml:space="preserve"> </w:t>
      </w:r>
      <w:r>
        <w:t>definen</w:t>
      </w:r>
      <w:r>
        <w:rPr>
          <w:spacing w:val="-7"/>
        </w:rPr>
        <w:t xml:space="preserve"> </w:t>
      </w:r>
      <w:r>
        <w:t>los</w:t>
      </w:r>
      <w:r>
        <w:rPr>
          <w:spacing w:val="-9"/>
        </w:rPr>
        <w:t xml:space="preserve"> </w:t>
      </w:r>
      <w:r>
        <w:t>gastos”.</w:t>
      </w:r>
      <w:r>
        <w:rPr>
          <w:spacing w:val="-10"/>
        </w:rPr>
        <w:t xml:space="preserve"> </w:t>
      </w:r>
      <w:r>
        <w:t>En este</w:t>
      </w:r>
      <w:r>
        <w:rPr>
          <w:spacing w:val="-13"/>
        </w:rPr>
        <w:t xml:space="preserve"> </w:t>
      </w:r>
      <w:r>
        <w:t>sentido,</w:t>
      </w:r>
      <w:r>
        <w:rPr>
          <w:spacing w:val="-14"/>
        </w:rPr>
        <w:t xml:space="preserve"> </w:t>
      </w:r>
      <w:r>
        <w:t>considerando</w:t>
      </w:r>
      <w:r>
        <w:rPr>
          <w:spacing w:val="-13"/>
        </w:rPr>
        <w:t xml:space="preserve"> </w:t>
      </w:r>
      <w:r>
        <w:t>que</w:t>
      </w:r>
      <w:r>
        <w:rPr>
          <w:spacing w:val="-13"/>
        </w:rPr>
        <w:t xml:space="preserve"> </w:t>
      </w:r>
      <w:r>
        <w:t>desde</w:t>
      </w:r>
      <w:r>
        <w:rPr>
          <w:spacing w:val="-13"/>
        </w:rPr>
        <w:t xml:space="preserve"> </w:t>
      </w:r>
      <w:r>
        <w:t>el</w:t>
      </w:r>
      <w:r>
        <w:rPr>
          <w:spacing w:val="-15"/>
        </w:rPr>
        <w:t xml:space="preserve"> </w:t>
      </w:r>
      <w:r>
        <w:t>año</w:t>
      </w:r>
      <w:r>
        <w:rPr>
          <w:spacing w:val="-13"/>
        </w:rPr>
        <w:t xml:space="preserve"> </w:t>
      </w:r>
      <w:r>
        <w:t>2023</w:t>
      </w:r>
      <w:r>
        <w:rPr>
          <w:spacing w:val="-13"/>
        </w:rPr>
        <w:t xml:space="preserve"> </w:t>
      </w:r>
      <w:r>
        <w:t>el</w:t>
      </w:r>
      <w:r>
        <w:rPr>
          <w:spacing w:val="-15"/>
        </w:rPr>
        <w:t xml:space="preserve"> </w:t>
      </w:r>
      <w:r>
        <w:t>Ministerio</w:t>
      </w:r>
      <w:r>
        <w:rPr>
          <w:spacing w:val="-13"/>
        </w:rPr>
        <w:t xml:space="preserve"> </w:t>
      </w:r>
      <w:r>
        <w:t>de</w:t>
      </w:r>
      <w:r>
        <w:rPr>
          <w:spacing w:val="-9"/>
        </w:rPr>
        <w:t xml:space="preserve"> </w:t>
      </w:r>
      <w:r>
        <w:t>Igualdad y Equidad se encuentra dentro de los rubros presupuestales del Presupuesto</w:t>
      </w:r>
      <w:r>
        <w:rPr>
          <w:spacing w:val="-8"/>
        </w:rPr>
        <w:t xml:space="preserve"> </w:t>
      </w:r>
      <w:r>
        <w:t>General</w:t>
      </w:r>
      <w:r>
        <w:rPr>
          <w:spacing w:val="-10"/>
        </w:rPr>
        <w:t xml:space="preserve"> </w:t>
      </w:r>
      <w:r>
        <w:t>de</w:t>
      </w:r>
      <w:r>
        <w:rPr>
          <w:spacing w:val="-5"/>
        </w:rPr>
        <w:t xml:space="preserve"> </w:t>
      </w:r>
      <w:r>
        <w:t>la</w:t>
      </w:r>
      <w:r>
        <w:rPr>
          <w:spacing w:val="-9"/>
        </w:rPr>
        <w:t xml:space="preserve"> </w:t>
      </w:r>
      <w:r>
        <w:t>Nación,</w:t>
      </w:r>
      <w:r>
        <w:rPr>
          <w:spacing w:val="-10"/>
        </w:rPr>
        <w:t xml:space="preserve"> </w:t>
      </w:r>
      <w:r>
        <w:t>y</w:t>
      </w:r>
      <w:r>
        <w:rPr>
          <w:spacing w:val="-7"/>
        </w:rPr>
        <w:t xml:space="preserve"> </w:t>
      </w:r>
      <w:r>
        <w:t>fue</w:t>
      </w:r>
      <w:r>
        <w:rPr>
          <w:spacing w:val="-5"/>
        </w:rPr>
        <w:t xml:space="preserve"> </w:t>
      </w:r>
      <w:r>
        <w:t>contemplado</w:t>
      </w:r>
      <w:r>
        <w:rPr>
          <w:spacing w:val="-8"/>
        </w:rPr>
        <w:t xml:space="preserve"> </w:t>
      </w:r>
      <w:r>
        <w:t>en</w:t>
      </w:r>
      <w:r>
        <w:rPr>
          <w:spacing w:val="-9"/>
        </w:rPr>
        <w:t xml:space="preserve"> </w:t>
      </w:r>
      <w:r>
        <w:t>el</w:t>
      </w:r>
      <w:r>
        <w:rPr>
          <w:spacing w:val="-5"/>
        </w:rPr>
        <w:t xml:space="preserve"> </w:t>
      </w:r>
      <w:r>
        <w:t>Marco</w:t>
      </w:r>
      <w:r>
        <w:rPr>
          <w:spacing w:val="-8"/>
        </w:rPr>
        <w:t xml:space="preserve"> </w:t>
      </w:r>
      <w:r>
        <w:t>Fiscal</w:t>
      </w:r>
      <w:r>
        <w:rPr>
          <w:spacing w:val="-8"/>
        </w:rPr>
        <w:t xml:space="preserve"> </w:t>
      </w:r>
      <w:r>
        <w:t xml:space="preserve">de Mediano Plazo, los recursos para su funcionamiento ya se encuentran allí </w:t>
      </w:r>
      <w:r>
        <w:rPr>
          <w:spacing w:val="-2"/>
        </w:rPr>
        <w:t>contenidos.</w:t>
      </w:r>
    </w:p>
    <w:p w14:paraId="601A891E" w14:textId="77777777" w:rsidR="000E52B0" w:rsidRDefault="00F60D74">
      <w:pPr>
        <w:pStyle w:val="Textoindependiente"/>
        <w:spacing w:before="161"/>
        <w:ind w:right="716"/>
        <w:jc w:val="both"/>
      </w:pPr>
      <w:r>
        <w:t>Al respecto, se destaca que los rubros de inversión y funcionamiento del Ministerio</w:t>
      </w:r>
      <w:r>
        <w:rPr>
          <w:spacing w:val="-7"/>
        </w:rPr>
        <w:t xml:space="preserve"> </w:t>
      </w:r>
      <w:r>
        <w:t>de</w:t>
      </w:r>
      <w:r>
        <w:rPr>
          <w:spacing w:val="-6"/>
        </w:rPr>
        <w:t xml:space="preserve"> </w:t>
      </w:r>
      <w:r>
        <w:t>Igualdad</w:t>
      </w:r>
      <w:r>
        <w:rPr>
          <w:spacing w:val="-8"/>
        </w:rPr>
        <w:t xml:space="preserve"> </w:t>
      </w:r>
      <w:r>
        <w:t>y</w:t>
      </w:r>
      <w:r>
        <w:rPr>
          <w:spacing w:val="-8"/>
        </w:rPr>
        <w:t xml:space="preserve"> </w:t>
      </w:r>
      <w:r>
        <w:t>Equidad</w:t>
      </w:r>
      <w:r>
        <w:rPr>
          <w:spacing w:val="-5"/>
        </w:rPr>
        <w:t xml:space="preserve"> </w:t>
      </w:r>
      <w:r>
        <w:t>tuvieron</w:t>
      </w:r>
      <w:r>
        <w:rPr>
          <w:spacing w:val="-8"/>
        </w:rPr>
        <w:t xml:space="preserve"> </w:t>
      </w:r>
      <w:r>
        <w:t>una</w:t>
      </w:r>
      <w:r>
        <w:rPr>
          <w:spacing w:val="-7"/>
        </w:rPr>
        <w:t xml:space="preserve"> </w:t>
      </w:r>
      <w:r>
        <w:t>distribución</w:t>
      </w:r>
      <w:r>
        <w:rPr>
          <w:spacing w:val="-5"/>
        </w:rPr>
        <w:t xml:space="preserve"> </w:t>
      </w:r>
      <w:r>
        <w:t>del</w:t>
      </w:r>
      <w:r>
        <w:rPr>
          <w:spacing w:val="-8"/>
        </w:rPr>
        <w:t xml:space="preserve"> </w:t>
      </w:r>
      <w:r>
        <w:t>presupuesto asignado</w:t>
      </w:r>
      <w:r>
        <w:rPr>
          <w:spacing w:val="-19"/>
        </w:rPr>
        <w:t xml:space="preserve"> </w:t>
      </w:r>
      <w:r>
        <w:t>para</w:t>
      </w:r>
      <w:r>
        <w:rPr>
          <w:spacing w:val="-19"/>
        </w:rPr>
        <w:t xml:space="preserve"> </w:t>
      </w:r>
      <w:r>
        <w:t>el</w:t>
      </w:r>
      <w:r>
        <w:rPr>
          <w:spacing w:val="-21"/>
        </w:rPr>
        <w:t xml:space="preserve"> </w:t>
      </w:r>
      <w:r>
        <w:t>año</w:t>
      </w:r>
      <w:r>
        <w:rPr>
          <w:spacing w:val="-19"/>
        </w:rPr>
        <w:t xml:space="preserve"> </w:t>
      </w:r>
      <w:r>
        <w:t>2024</w:t>
      </w:r>
      <w:r>
        <w:rPr>
          <w:spacing w:val="-19"/>
        </w:rPr>
        <w:t xml:space="preserve"> </w:t>
      </w:r>
      <w:r>
        <w:t>de</w:t>
      </w:r>
      <w:r>
        <w:rPr>
          <w:spacing w:val="-19"/>
        </w:rPr>
        <w:t xml:space="preserve"> </w:t>
      </w:r>
      <w:r>
        <w:t>78%</w:t>
      </w:r>
      <w:r>
        <w:rPr>
          <w:spacing w:val="-19"/>
        </w:rPr>
        <w:t xml:space="preserve"> </w:t>
      </w:r>
      <w:r>
        <w:t>de</w:t>
      </w:r>
      <w:r>
        <w:rPr>
          <w:spacing w:val="-19"/>
        </w:rPr>
        <w:t xml:space="preserve"> </w:t>
      </w:r>
      <w:r>
        <w:t>funcionamiento</w:t>
      </w:r>
      <w:r>
        <w:rPr>
          <w:spacing w:val="-19"/>
        </w:rPr>
        <w:t xml:space="preserve"> </w:t>
      </w:r>
      <w:r>
        <w:t>(de</w:t>
      </w:r>
      <w:r>
        <w:rPr>
          <w:spacing w:val="-19"/>
        </w:rPr>
        <w:t xml:space="preserve"> </w:t>
      </w:r>
      <w:r>
        <w:t>los</w:t>
      </w:r>
      <w:r>
        <w:rPr>
          <w:spacing w:val="-20"/>
        </w:rPr>
        <w:t xml:space="preserve"> </w:t>
      </w:r>
      <w:r>
        <w:t>cuales</w:t>
      </w:r>
      <w:r>
        <w:rPr>
          <w:spacing w:val="-20"/>
        </w:rPr>
        <w:t xml:space="preserve"> </w:t>
      </w:r>
      <w:r>
        <w:t>el</w:t>
      </w:r>
      <w:r>
        <w:rPr>
          <w:spacing w:val="-21"/>
        </w:rPr>
        <w:t xml:space="preserve"> </w:t>
      </w:r>
      <w:r>
        <w:t>93% de los recursos corresponden al Fondo para la Superación de Brechas de Desigualdad</w:t>
      </w:r>
      <w:r>
        <w:rPr>
          <w:spacing w:val="-4"/>
        </w:rPr>
        <w:t xml:space="preserve"> </w:t>
      </w:r>
      <w:r>
        <w:t>Poblacional</w:t>
      </w:r>
      <w:r>
        <w:rPr>
          <w:spacing w:val="-8"/>
        </w:rPr>
        <w:t xml:space="preserve"> </w:t>
      </w:r>
      <w:r>
        <w:t>e</w:t>
      </w:r>
      <w:r>
        <w:rPr>
          <w:spacing w:val="-5"/>
        </w:rPr>
        <w:t xml:space="preserve"> </w:t>
      </w:r>
      <w:r>
        <w:t>Inequidad</w:t>
      </w:r>
      <w:r>
        <w:rPr>
          <w:spacing w:val="-7"/>
        </w:rPr>
        <w:t xml:space="preserve"> </w:t>
      </w:r>
      <w:r>
        <w:t>Territorial)</w:t>
      </w:r>
      <w:r>
        <w:rPr>
          <w:spacing w:val="-5"/>
        </w:rPr>
        <w:t xml:space="preserve"> </w:t>
      </w:r>
      <w:r>
        <w:t>y</w:t>
      </w:r>
      <w:r>
        <w:rPr>
          <w:spacing w:val="-7"/>
        </w:rPr>
        <w:t xml:space="preserve"> </w:t>
      </w:r>
      <w:r>
        <w:t>22%</w:t>
      </w:r>
      <w:r>
        <w:rPr>
          <w:spacing w:val="-6"/>
        </w:rPr>
        <w:t xml:space="preserve"> </w:t>
      </w:r>
      <w:r>
        <w:t>de</w:t>
      </w:r>
      <w:r>
        <w:rPr>
          <w:spacing w:val="-5"/>
        </w:rPr>
        <w:t xml:space="preserve"> </w:t>
      </w:r>
      <w:r>
        <w:t>inversión.</w:t>
      </w:r>
      <w:r>
        <w:rPr>
          <w:spacing w:val="-7"/>
        </w:rPr>
        <w:t xml:space="preserve"> </w:t>
      </w:r>
      <w:r>
        <w:t>Estos últimos, en lo que respecta a los programas misionales del Ministerio, son ejecutados a través del Fondo para la Superación de Brechas de Desigualdad</w:t>
      </w:r>
      <w:r>
        <w:rPr>
          <w:spacing w:val="-9"/>
        </w:rPr>
        <w:t xml:space="preserve"> </w:t>
      </w:r>
      <w:r>
        <w:t>Poblacional</w:t>
      </w:r>
      <w:r>
        <w:rPr>
          <w:spacing w:val="-11"/>
        </w:rPr>
        <w:t xml:space="preserve"> </w:t>
      </w:r>
      <w:r>
        <w:t>e</w:t>
      </w:r>
      <w:r>
        <w:rPr>
          <w:spacing w:val="-9"/>
        </w:rPr>
        <w:t xml:space="preserve"> </w:t>
      </w:r>
      <w:r>
        <w:t>Inequidad</w:t>
      </w:r>
      <w:r>
        <w:rPr>
          <w:spacing w:val="-11"/>
        </w:rPr>
        <w:t xml:space="preserve"> </w:t>
      </w:r>
      <w:r>
        <w:t>Territorial,</w:t>
      </w:r>
      <w:r>
        <w:rPr>
          <w:spacing w:val="-9"/>
        </w:rPr>
        <w:t xml:space="preserve"> </w:t>
      </w:r>
      <w:r>
        <w:t>creado</w:t>
      </w:r>
      <w:r>
        <w:rPr>
          <w:spacing w:val="-10"/>
        </w:rPr>
        <w:t xml:space="preserve"> </w:t>
      </w:r>
      <w:r>
        <w:t>en</w:t>
      </w:r>
      <w:r>
        <w:rPr>
          <w:spacing w:val="-8"/>
        </w:rPr>
        <w:t xml:space="preserve"> </w:t>
      </w:r>
      <w:r>
        <w:t>el</w:t>
      </w:r>
      <w:r>
        <w:rPr>
          <w:spacing w:val="-11"/>
        </w:rPr>
        <w:t xml:space="preserve"> </w:t>
      </w:r>
      <w:r>
        <w:t>artículo</w:t>
      </w:r>
      <w:r>
        <w:rPr>
          <w:spacing w:val="-10"/>
        </w:rPr>
        <w:t xml:space="preserve"> </w:t>
      </w:r>
      <w:r>
        <w:t>72</w:t>
      </w:r>
      <w:r>
        <w:rPr>
          <w:spacing w:val="-9"/>
        </w:rPr>
        <w:t xml:space="preserve"> </w:t>
      </w:r>
      <w:r>
        <w:t>de la Ley 2294, como un patrimonio autónomo constituido mediante la celebración de un contrato de fiducia mercantil que tiene por objeto la administración eficiente de los recursos destinados al desarrollo de programas, planes y proyectos para el Sector de Igualdad y Equidad.</w:t>
      </w:r>
    </w:p>
    <w:p w14:paraId="750B3A6F" w14:textId="77777777" w:rsidR="000E52B0" w:rsidRDefault="000E52B0">
      <w:pPr>
        <w:pStyle w:val="Textoindependiente"/>
        <w:jc w:val="both"/>
        <w:sectPr w:rsidR="000E52B0">
          <w:pgSz w:w="11910" w:h="16840"/>
          <w:pgMar w:top="1340" w:right="720" w:bottom="1180" w:left="720" w:header="0" w:footer="995" w:gutter="0"/>
          <w:cols w:space="720"/>
        </w:sectPr>
      </w:pPr>
    </w:p>
    <w:p w14:paraId="4ACD9BCD" w14:textId="77777777" w:rsidR="000E52B0" w:rsidRDefault="00F60D74">
      <w:pPr>
        <w:pStyle w:val="Textoindependiente"/>
        <w:spacing w:before="83"/>
        <w:ind w:right="720"/>
        <w:jc w:val="both"/>
      </w:pPr>
      <w:r>
        <w:lastRenderedPageBreak/>
        <w:t>El</w:t>
      </w:r>
      <w:r>
        <w:rPr>
          <w:spacing w:val="-3"/>
        </w:rPr>
        <w:t xml:space="preserve"> </w:t>
      </w:r>
      <w:r>
        <w:t>Ministerio</w:t>
      </w:r>
      <w:r>
        <w:rPr>
          <w:spacing w:val="-1"/>
        </w:rPr>
        <w:t xml:space="preserve"> </w:t>
      </w:r>
      <w:r>
        <w:t>de</w:t>
      </w:r>
      <w:r>
        <w:rPr>
          <w:spacing w:val="-1"/>
        </w:rPr>
        <w:t xml:space="preserve"> </w:t>
      </w:r>
      <w:r>
        <w:t>Igualdad</w:t>
      </w:r>
      <w:r>
        <w:rPr>
          <w:spacing w:val="-3"/>
        </w:rPr>
        <w:t xml:space="preserve"> </w:t>
      </w:r>
      <w:r>
        <w:t>y</w:t>
      </w:r>
      <w:r>
        <w:rPr>
          <w:spacing w:val="-2"/>
        </w:rPr>
        <w:t xml:space="preserve"> </w:t>
      </w:r>
      <w:r>
        <w:t>Equidad</w:t>
      </w:r>
      <w:r>
        <w:rPr>
          <w:spacing w:val="-3"/>
        </w:rPr>
        <w:t xml:space="preserve"> </w:t>
      </w:r>
      <w:r>
        <w:t>adicionalmente</w:t>
      </w:r>
      <w:r>
        <w:rPr>
          <w:spacing w:val="-1"/>
        </w:rPr>
        <w:t xml:space="preserve"> </w:t>
      </w:r>
      <w:r>
        <w:t>es</w:t>
      </w:r>
      <w:r>
        <w:rPr>
          <w:spacing w:val="-2"/>
        </w:rPr>
        <w:t xml:space="preserve"> </w:t>
      </w:r>
      <w:r>
        <w:t>la</w:t>
      </w:r>
      <w:r>
        <w:rPr>
          <w:spacing w:val="-2"/>
        </w:rPr>
        <w:t xml:space="preserve"> </w:t>
      </w:r>
      <w:r>
        <w:t>entidad</w:t>
      </w:r>
      <w:r>
        <w:rPr>
          <w:spacing w:val="-3"/>
        </w:rPr>
        <w:t xml:space="preserve"> </w:t>
      </w:r>
      <w:r>
        <w:t>ejecutora del</w:t>
      </w:r>
      <w:r>
        <w:rPr>
          <w:spacing w:val="-17"/>
        </w:rPr>
        <w:t xml:space="preserve"> </w:t>
      </w:r>
      <w:r>
        <w:t>Fondo</w:t>
      </w:r>
      <w:r>
        <w:rPr>
          <w:spacing w:val="-16"/>
        </w:rPr>
        <w:t xml:space="preserve"> </w:t>
      </w:r>
      <w:r>
        <w:t>para</w:t>
      </w:r>
      <w:r>
        <w:rPr>
          <w:spacing w:val="-16"/>
        </w:rPr>
        <w:t xml:space="preserve"> </w:t>
      </w:r>
      <w:r>
        <w:t>el</w:t>
      </w:r>
      <w:r>
        <w:rPr>
          <w:spacing w:val="-17"/>
        </w:rPr>
        <w:t xml:space="preserve"> </w:t>
      </w:r>
      <w:r>
        <w:t>Desarrollo</w:t>
      </w:r>
      <w:r>
        <w:rPr>
          <w:spacing w:val="-16"/>
        </w:rPr>
        <w:t xml:space="preserve"> </w:t>
      </w:r>
      <w:r>
        <w:t>del</w:t>
      </w:r>
      <w:r>
        <w:rPr>
          <w:spacing w:val="-17"/>
        </w:rPr>
        <w:t xml:space="preserve"> </w:t>
      </w:r>
      <w:r>
        <w:t>Plan</w:t>
      </w:r>
      <w:r>
        <w:rPr>
          <w:spacing w:val="-16"/>
        </w:rPr>
        <w:t xml:space="preserve"> </w:t>
      </w:r>
      <w:r>
        <w:t>Todos</w:t>
      </w:r>
      <w:r>
        <w:rPr>
          <w:spacing w:val="-16"/>
        </w:rPr>
        <w:t xml:space="preserve"> </w:t>
      </w:r>
      <w:r>
        <w:t>Somos</w:t>
      </w:r>
      <w:r>
        <w:rPr>
          <w:spacing w:val="-16"/>
        </w:rPr>
        <w:t xml:space="preserve"> </w:t>
      </w:r>
      <w:proofErr w:type="spellStart"/>
      <w:r>
        <w:t>PAZcífico</w:t>
      </w:r>
      <w:proofErr w:type="spellEnd"/>
      <w:r>
        <w:t>,</w:t>
      </w:r>
      <w:r>
        <w:rPr>
          <w:spacing w:val="-9"/>
        </w:rPr>
        <w:t xml:space="preserve"> </w:t>
      </w:r>
      <w:r>
        <w:t>un</w:t>
      </w:r>
      <w:r>
        <w:rPr>
          <w:spacing w:val="-17"/>
        </w:rPr>
        <w:t xml:space="preserve"> </w:t>
      </w:r>
      <w:r>
        <w:t>patrimonio autónomo, con recursos que tienen por origen contratos de préstamos suscritos de acuerdo con lo aprobado en el documento CONPES 3847 de 2015. Este Fondo fue creado por el artículo 185 de la Ley 1753 de 2015, ratificado por el artículo 336 de la Ley 2294, y tiene por objeto la financiación y/o la inversión en el Litoral Pacífico en proyectos de agua potable,</w:t>
      </w:r>
      <w:r>
        <w:rPr>
          <w:spacing w:val="-14"/>
        </w:rPr>
        <w:t xml:space="preserve"> </w:t>
      </w:r>
      <w:r>
        <w:t>infraestructura,</w:t>
      </w:r>
      <w:r>
        <w:rPr>
          <w:spacing w:val="-16"/>
        </w:rPr>
        <w:t xml:space="preserve"> </w:t>
      </w:r>
      <w:r>
        <w:t>educación,</w:t>
      </w:r>
      <w:r>
        <w:rPr>
          <w:spacing w:val="-17"/>
        </w:rPr>
        <w:t xml:space="preserve"> </w:t>
      </w:r>
      <w:r>
        <w:t>vivienda,</w:t>
      </w:r>
      <w:r>
        <w:rPr>
          <w:spacing w:val="-17"/>
        </w:rPr>
        <w:t xml:space="preserve"> </w:t>
      </w:r>
      <w:r>
        <w:t>entre</w:t>
      </w:r>
      <w:r>
        <w:rPr>
          <w:spacing w:val="-14"/>
        </w:rPr>
        <w:t xml:space="preserve"> </w:t>
      </w:r>
      <w:r>
        <w:t>otros,</w:t>
      </w:r>
      <w:r>
        <w:rPr>
          <w:spacing w:val="-17"/>
        </w:rPr>
        <w:t xml:space="preserve"> </w:t>
      </w:r>
      <w:r>
        <w:t>y,</w:t>
      </w:r>
      <w:r>
        <w:rPr>
          <w:spacing w:val="-17"/>
        </w:rPr>
        <w:t xml:space="preserve"> </w:t>
      </w:r>
      <w:r>
        <w:t>en</w:t>
      </w:r>
      <w:r>
        <w:rPr>
          <w:spacing w:val="-17"/>
        </w:rPr>
        <w:t xml:space="preserve"> </w:t>
      </w:r>
      <w:r>
        <w:t>general,</w:t>
      </w:r>
      <w:r>
        <w:rPr>
          <w:spacing w:val="-17"/>
        </w:rPr>
        <w:t xml:space="preserve"> </w:t>
      </w:r>
      <w:r>
        <w:t>en las</w:t>
      </w:r>
      <w:r>
        <w:rPr>
          <w:spacing w:val="-16"/>
        </w:rPr>
        <w:t xml:space="preserve"> </w:t>
      </w:r>
      <w:r>
        <w:t>necesidades</w:t>
      </w:r>
      <w:r>
        <w:rPr>
          <w:spacing w:val="-16"/>
        </w:rPr>
        <w:t xml:space="preserve"> </w:t>
      </w:r>
      <w:r>
        <w:t>más</w:t>
      </w:r>
      <w:r>
        <w:rPr>
          <w:spacing w:val="-17"/>
        </w:rPr>
        <w:t xml:space="preserve"> </w:t>
      </w:r>
      <w:r>
        <w:t>urgentes</w:t>
      </w:r>
      <w:r>
        <w:rPr>
          <w:spacing w:val="-16"/>
        </w:rPr>
        <w:t xml:space="preserve"> </w:t>
      </w:r>
      <w:r>
        <w:t>para</w:t>
      </w:r>
      <w:r>
        <w:rPr>
          <w:spacing w:val="-16"/>
        </w:rPr>
        <w:t xml:space="preserve"> </w:t>
      </w:r>
      <w:r>
        <w:t>promover</w:t>
      </w:r>
      <w:r>
        <w:rPr>
          <w:spacing w:val="-17"/>
        </w:rPr>
        <w:t xml:space="preserve"> </w:t>
      </w:r>
      <w:r>
        <w:t>el</w:t>
      </w:r>
      <w:r>
        <w:rPr>
          <w:spacing w:val="-19"/>
        </w:rPr>
        <w:t xml:space="preserve"> </w:t>
      </w:r>
      <w:r>
        <w:t>desarrollo</w:t>
      </w:r>
      <w:r>
        <w:rPr>
          <w:spacing w:val="-18"/>
        </w:rPr>
        <w:t xml:space="preserve"> </w:t>
      </w:r>
      <w:r>
        <w:t>integral</w:t>
      </w:r>
      <w:r>
        <w:rPr>
          <w:spacing w:val="-19"/>
        </w:rPr>
        <w:t xml:space="preserve"> </w:t>
      </w:r>
      <w:r>
        <w:t>en</w:t>
      </w:r>
      <w:r>
        <w:rPr>
          <w:spacing w:val="-17"/>
        </w:rPr>
        <w:t xml:space="preserve"> </w:t>
      </w:r>
      <w:r>
        <w:t xml:space="preserve">dicha </w:t>
      </w:r>
      <w:r>
        <w:rPr>
          <w:spacing w:val="-2"/>
        </w:rPr>
        <w:t>región.</w:t>
      </w:r>
    </w:p>
    <w:p w14:paraId="4CDEDB78" w14:textId="77777777" w:rsidR="000E52B0" w:rsidRDefault="00F60D74">
      <w:pPr>
        <w:pStyle w:val="Textoindependiente"/>
        <w:spacing w:before="160"/>
        <w:ind w:right="714"/>
        <w:jc w:val="both"/>
      </w:pPr>
      <w:r>
        <w:t>Compatibilidad de la iniciativa con el Marco Fiscal de Mediano Plazo: Teniendo</w:t>
      </w:r>
      <w:r>
        <w:rPr>
          <w:spacing w:val="-3"/>
        </w:rPr>
        <w:t xml:space="preserve"> </w:t>
      </w:r>
      <w:r>
        <w:t>en</w:t>
      </w:r>
      <w:r>
        <w:rPr>
          <w:spacing w:val="-4"/>
        </w:rPr>
        <w:t xml:space="preserve"> </w:t>
      </w:r>
      <w:r>
        <w:t>cuenta</w:t>
      </w:r>
      <w:r>
        <w:rPr>
          <w:spacing w:val="-3"/>
        </w:rPr>
        <w:t xml:space="preserve"> </w:t>
      </w:r>
      <w:r>
        <w:t>el</w:t>
      </w:r>
      <w:r>
        <w:rPr>
          <w:spacing w:val="-5"/>
        </w:rPr>
        <w:t xml:space="preserve"> </w:t>
      </w:r>
      <w:r>
        <w:t>Marco</w:t>
      </w:r>
      <w:r>
        <w:rPr>
          <w:spacing w:val="-3"/>
        </w:rPr>
        <w:t xml:space="preserve"> </w:t>
      </w:r>
      <w:r>
        <w:t>de</w:t>
      </w:r>
      <w:r>
        <w:rPr>
          <w:spacing w:val="-3"/>
        </w:rPr>
        <w:t xml:space="preserve"> </w:t>
      </w:r>
      <w:r>
        <w:t>Gasto</w:t>
      </w:r>
      <w:r>
        <w:rPr>
          <w:spacing w:val="-3"/>
        </w:rPr>
        <w:t xml:space="preserve"> </w:t>
      </w:r>
      <w:r>
        <w:t>de</w:t>
      </w:r>
      <w:r>
        <w:rPr>
          <w:spacing w:val="-3"/>
        </w:rPr>
        <w:t xml:space="preserve"> </w:t>
      </w:r>
      <w:r>
        <w:t>Mediano</w:t>
      </w:r>
      <w:r>
        <w:rPr>
          <w:spacing w:val="-3"/>
        </w:rPr>
        <w:t xml:space="preserve"> </w:t>
      </w:r>
      <w:r>
        <w:t>Plazo</w:t>
      </w:r>
      <w:r>
        <w:rPr>
          <w:spacing w:val="-1"/>
        </w:rPr>
        <w:t xml:space="preserve"> </w:t>
      </w:r>
      <w:r>
        <w:t>del</w:t>
      </w:r>
      <w:r>
        <w:rPr>
          <w:spacing w:val="-5"/>
        </w:rPr>
        <w:t xml:space="preserve"> </w:t>
      </w:r>
      <w:r>
        <w:t>periodo</w:t>
      </w:r>
      <w:r>
        <w:rPr>
          <w:spacing w:val="-3"/>
        </w:rPr>
        <w:t xml:space="preserve"> </w:t>
      </w:r>
      <w:r>
        <w:t>2025- 2028, el cual contiene los techos previstos de gasto de funcionamiento e inversión fiscalmente sostenibles y consistentes con el cumplimiento de la regla fiscal, proyectados para los sectores que conforman el Presupuesto General</w:t>
      </w:r>
      <w:r>
        <w:rPr>
          <w:spacing w:val="-13"/>
        </w:rPr>
        <w:t xml:space="preserve"> </w:t>
      </w:r>
      <w:r>
        <w:t>de</w:t>
      </w:r>
      <w:r>
        <w:rPr>
          <w:spacing w:val="-12"/>
        </w:rPr>
        <w:t xml:space="preserve"> </w:t>
      </w:r>
      <w:r>
        <w:t>la</w:t>
      </w:r>
      <w:r>
        <w:rPr>
          <w:spacing w:val="-13"/>
        </w:rPr>
        <w:t xml:space="preserve"> </w:t>
      </w:r>
      <w:r>
        <w:t>Nación</w:t>
      </w:r>
      <w:r>
        <w:rPr>
          <w:spacing w:val="-13"/>
        </w:rPr>
        <w:t xml:space="preserve"> </w:t>
      </w:r>
      <w:r>
        <w:t>(PGN),</w:t>
      </w:r>
      <w:r>
        <w:rPr>
          <w:spacing w:val="-13"/>
        </w:rPr>
        <w:t xml:space="preserve"> </w:t>
      </w:r>
      <w:r>
        <w:t>a</w:t>
      </w:r>
      <w:r>
        <w:rPr>
          <w:spacing w:val="-10"/>
        </w:rPr>
        <w:t xml:space="preserve"> </w:t>
      </w:r>
      <w:r>
        <w:t>partir</w:t>
      </w:r>
      <w:r>
        <w:rPr>
          <w:spacing w:val="-12"/>
        </w:rPr>
        <w:t xml:space="preserve"> </w:t>
      </w:r>
      <w:r>
        <w:t>de</w:t>
      </w:r>
      <w:r>
        <w:rPr>
          <w:spacing w:val="-7"/>
        </w:rPr>
        <w:t xml:space="preserve"> </w:t>
      </w:r>
      <w:r>
        <w:t>las</w:t>
      </w:r>
      <w:r>
        <w:rPr>
          <w:spacing w:val="-10"/>
        </w:rPr>
        <w:t xml:space="preserve"> </w:t>
      </w:r>
      <w:r>
        <w:t>perspectivas</w:t>
      </w:r>
      <w:r>
        <w:rPr>
          <w:spacing w:val="-11"/>
        </w:rPr>
        <w:t xml:space="preserve"> </w:t>
      </w:r>
      <w:r>
        <w:t>del</w:t>
      </w:r>
      <w:r>
        <w:rPr>
          <w:spacing w:val="-9"/>
        </w:rPr>
        <w:t xml:space="preserve"> </w:t>
      </w:r>
      <w:r>
        <w:t>Marco</w:t>
      </w:r>
      <w:r>
        <w:rPr>
          <w:spacing w:val="-12"/>
        </w:rPr>
        <w:t xml:space="preserve"> </w:t>
      </w:r>
      <w:r>
        <w:t>Fiscal</w:t>
      </w:r>
      <w:r>
        <w:rPr>
          <w:spacing w:val="-12"/>
        </w:rPr>
        <w:t xml:space="preserve"> </w:t>
      </w:r>
      <w:r>
        <w:t>de Mediano Plazo (MFMP) 2024, se relacionan, a continuación, los techos de gasto sectorial 2025-2028 para el Sector Igualdad y Equidad:</w:t>
      </w:r>
    </w:p>
    <w:p w14:paraId="1C9655D3" w14:textId="77777777" w:rsidR="000E52B0" w:rsidRDefault="000E52B0">
      <w:pPr>
        <w:pStyle w:val="Textoindependiente"/>
        <w:spacing w:before="1"/>
        <w:ind w:left="0"/>
        <w:rPr>
          <w:sz w:val="13"/>
        </w:rPr>
      </w:pPr>
    </w:p>
    <w:tbl>
      <w:tblPr>
        <w:tblStyle w:val="TableNormal"/>
        <w:tblW w:w="0" w:type="auto"/>
        <w:tblInd w:w="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26"/>
        <w:gridCol w:w="1882"/>
        <w:gridCol w:w="1589"/>
        <w:gridCol w:w="1585"/>
        <w:gridCol w:w="1335"/>
      </w:tblGrid>
      <w:tr w:rsidR="000E52B0" w14:paraId="5BEFD23A" w14:textId="77777777">
        <w:trPr>
          <w:trHeight w:val="299"/>
        </w:trPr>
        <w:tc>
          <w:tcPr>
            <w:tcW w:w="2626" w:type="dxa"/>
            <w:tcBorders>
              <w:bottom w:val="nil"/>
            </w:tcBorders>
            <w:shd w:val="clear" w:color="auto" w:fill="D44673"/>
          </w:tcPr>
          <w:p w14:paraId="4E674137" w14:textId="77777777" w:rsidR="000E52B0" w:rsidRDefault="00F60D74">
            <w:pPr>
              <w:pStyle w:val="TableParagraph"/>
              <w:spacing w:before="177" w:line="102" w:lineRule="exact"/>
              <w:ind w:left="15"/>
              <w:jc w:val="center"/>
              <w:rPr>
                <w:b/>
              </w:rPr>
            </w:pPr>
            <w:r>
              <w:rPr>
                <w:b/>
                <w:color w:val="FFFFFF"/>
                <w:spacing w:val="-2"/>
              </w:rPr>
              <w:t>Sector</w:t>
            </w:r>
          </w:p>
        </w:tc>
        <w:tc>
          <w:tcPr>
            <w:tcW w:w="6391" w:type="dxa"/>
            <w:gridSpan w:val="4"/>
            <w:shd w:val="clear" w:color="auto" w:fill="D44673"/>
          </w:tcPr>
          <w:p w14:paraId="6A3DB258" w14:textId="77777777" w:rsidR="000E52B0" w:rsidRDefault="00F60D74">
            <w:pPr>
              <w:pStyle w:val="TableParagraph"/>
              <w:spacing w:line="267" w:lineRule="exact"/>
              <w:ind w:left="1550"/>
              <w:rPr>
                <w:b/>
              </w:rPr>
            </w:pPr>
            <w:r>
              <w:rPr>
                <w:b/>
                <w:color w:val="FFFFFF"/>
              </w:rPr>
              <w:t>Miles</w:t>
            </w:r>
            <w:r>
              <w:rPr>
                <w:b/>
                <w:color w:val="FFFFFF"/>
                <w:spacing w:val="-6"/>
              </w:rPr>
              <w:t xml:space="preserve"> </w:t>
            </w:r>
            <w:r>
              <w:rPr>
                <w:b/>
                <w:color w:val="FFFFFF"/>
              </w:rPr>
              <w:t>de</w:t>
            </w:r>
            <w:r>
              <w:rPr>
                <w:b/>
                <w:color w:val="FFFFFF"/>
                <w:spacing w:val="-5"/>
              </w:rPr>
              <w:t xml:space="preserve"> </w:t>
            </w:r>
            <w:r>
              <w:rPr>
                <w:b/>
                <w:color w:val="FFFFFF"/>
              </w:rPr>
              <w:t>millones</w:t>
            </w:r>
            <w:r>
              <w:rPr>
                <w:b/>
                <w:color w:val="FFFFFF"/>
                <w:spacing w:val="-6"/>
              </w:rPr>
              <w:t xml:space="preserve"> </w:t>
            </w:r>
            <w:r>
              <w:rPr>
                <w:b/>
                <w:color w:val="FFFFFF"/>
              </w:rPr>
              <w:t>de</w:t>
            </w:r>
            <w:r>
              <w:rPr>
                <w:b/>
                <w:color w:val="FFFFFF"/>
                <w:spacing w:val="-5"/>
              </w:rPr>
              <w:t xml:space="preserve"> </w:t>
            </w:r>
            <w:r>
              <w:rPr>
                <w:b/>
                <w:color w:val="FFFFFF"/>
                <w:spacing w:val="-2"/>
              </w:rPr>
              <w:t>pesos</w:t>
            </w:r>
          </w:p>
        </w:tc>
      </w:tr>
      <w:tr w:rsidR="000E52B0" w14:paraId="79C7862B" w14:textId="77777777">
        <w:trPr>
          <w:trHeight w:val="301"/>
        </w:trPr>
        <w:tc>
          <w:tcPr>
            <w:tcW w:w="2626" w:type="dxa"/>
            <w:tcBorders>
              <w:top w:val="nil"/>
              <w:left w:val="nil"/>
              <w:bottom w:val="nil"/>
              <w:right w:val="nil"/>
            </w:tcBorders>
            <w:shd w:val="clear" w:color="auto" w:fill="D44673"/>
          </w:tcPr>
          <w:p w14:paraId="1A60E95E" w14:textId="77777777" w:rsidR="000E52B0" w:rsidRDefault="000E52B0">
            <w:pPr>
              <w:pStyle w:val="TableParagraph"/>
              <w:rPr>
                <w:rFonts w:ascii="Times New Roman"/>
              </w:rPr>
            </w:pPr>
          </w:p>
        </w:tc>
        <w:tc>
          <w:tcPr>
            <w:tcW w:w="1882" w:type="dxa"/>
            <w:tcBorders>
              <w:left w:val="nil"/>
            </w:tcBorders>
            <w:shd w:val="clear" w:color="auto" w:fill="D44673"/>
          </w:tcPr>
          <w:p w14:paraId="12E57D03" w14:textId="77777777" w:rsidR="000E52B0" w:rsidRDefault="00F60D74">
            <w:pPr>
              <w:pStyle w:val="TableParagraph"/>
              <w:spacing w:before="16" w:line="266" w:lineRule="exact"/>
              <w:ind w:left="636"/>
              <w:rPr>
                <w:b/>
              </w:rPr>
            </w:pPr>
            <w:r>
              <w:rPr>
                <w:b/>
                <w:color w:val="FFFFFF"/>
                <w:spacing w:val="-4"/>
              </w:rPr>
              <w:t>2025</w:t>
            </w:r>
          </w:p>
        </w:tc>
        <w:tc>
          <w:tcPr>
            <w:tcW w:w="1589" w:type="dxa"/>
            <w:shd w:val="clear" w:color="auto" w:fill="D44673"/>
          </w:tcPr>
          <w:p w14:paraId="08F9A8F8" w14:textId="77777777" w:rsidR="000E52B0" w:rsidRDefault="00F60D74">
            <w:pPr>
              <w:pStyle w:val="TableParagraph"/>
              <w:spacing w:before="16" w:line="266" w:lineRule="exact"/>
              <w:ind w:left="479"/>
              <w:rPr>
                <w:b/>
              </w:rPr>
            </w:pPr>
            <w:r>
              <w:rPr>
                <w:b/>
                <w:color w:val="FFFFFF"/>
                <w:spacing w:val="-4"/>
              </w:rPr>
              <w:t>2026</w:t>
            </w:r>
          </w:p>
        </w:tc>
        <w:tc>
          <w:tcPr>
            <w:tcW w:w="1585" w:type="dxa"/>
            <w:shd w:val="clear" w:color="auto" w:fill="D44673"/>
          </w:tcPr>
          <w:p w14:paraId="6CD3F381" w14:textId="77777777" w:rsidR="000E52B0" w:rsidRDefault="00F60D74">
            <w:pPr>
              <w:pStyle w:val="TableParagraph"/>
              <w:spacing w:before="16" w:line="266" w:lineRule="exact"/>
              <w:ind w:left="477"/>
              <w:rPr>
                <w:b/>
              </w:rPr>
            </w:pPr>
            <w:r>
              <w:rPr>
                <w:b/>
                <w:color w:val="FFFFFF"/>
                <w:spacing w:val="-4"/>
              </w:rPr>
              <w:t>2027</w:t>
            </w:r>
          </w:p>
        </w:tc>
        <w:tc>
          <w:tcPr>
            <w:tcW w:w="1335" w:type="dxa"/>
            <w:shd w:val="clear" w:color="auto" w:fill="D44673"/>
          </w:tcPr>
          <w:p w14:paraId="1A318BA9" w14:textId="77777777" w:rsidR="000E52B0" w:rsidRDefault="00F60D74">
            <w:pPr>
              <w:pStyle w:val="TableParagraph"/>
              <w:spacing w:before="16" w:line="266" w:lineRule="exact"/>
              <w:ind w:left="351"/>
              <w:rPr>
                <w:b/>
              </w:rPr>
            </w:pPr>
            <w:r>
              <w:rPr>
                <w:b/>
                <w:color w:val="FFFFFF"/>
                <w:spacing w:val="-4"/>
              </w:rPr>
              <w:t>2028</w:t>
            </w:r>
          </w:p>
        </w:tc>
      </w:tr>
      <w:tr w:rsidR="000E52B0" w14:paraId="6AD60A52" w14:textId="77777777">
        <w:trPr>
          <w:trHeight w:val="299"/>
        </w:trPr>
        <w:tc>
          <w:tcPr>
            <w:tcW w:w="2626" w:type="dxa"/>
            <w:tcBorders>
              <w:top w:val="nil"/>
            </w:tcBorders>
          </w:tcPr>
          <w:p w14:paraId="76730D2A" w14:textId="77777777" w:rsidR="000E52B0" w:rsidRDefault="00F60D74">
            <w:pPr>
              <w:pStyle w:val="TableParagraph"/>
              <w:spacing w:line="267" w:lineRule="exact"/>
              <w:ind w:left="69"/>
            </w:pPr>
            <w:r>
              <w:t>Igualdad</w:t>
            </w:r>
            <w:r>
              <w:rPr>
                <w:spacing w:val="-5"/>
              </w:rPr>
              <w:t xml:space="preserve"> </w:t>
            </w:r>
            <w:r>
              <w:t>y</w:t>
            </w:r>
            <w:r>
              <w:rPr>
                <w:spacing w:val="-4"/>
              </w:rPr>
              <w:t xml:space="preserve"> </w:t>
            </w:r>
            <w:r>
              <w:rPr>
                <w:spacing w:val="-2"/>
              </w:rPr>
              <w:t>equidad</w:t>
            </w:r>
          </w:p>
        </w:tc>
        <w:tc>
          <w:tcPr>
            <w:tcW w:w="1882" w:type="dxa"/>
          </w:tcPr>
          <w:p w14:paraId="36CCF3AD" w14:textId="77777777" w:rsidR="000E52B0" w:rsidRDefault="00F60D74">
            <w:pPr>
              <w:pStyle w:val="TableParagraph"/>
              <w:spacing w:before="16" w:line="263" w:lineRule="exact"/>
              <w:ind w:left="1031"/>
            </w:pPr>
            <w:r>
              <w:rPr>
                <w:spacing w:val="-2"/>
              </w:rPr>
              <w:t>12.008</w:t>
            </w:r>
          </w:p>
        </w:tc>
        <w:tc>
          <w:tcPr>
            <w:tcW w:w="1589" w:type="dxa"/>
          </w:tcPr>
          <w:p w14:paraId="6FAD1195" w14:textId="77777777" w:rsidR="000E52B0" w:rsidRDefault="00F60D74">
            <w:pPr>
              <w:pStyle w:val="TableParagraph"/>
              <w:spacing w:before="16" w:line="263" w:lineRule="exact"/>
              <w:ind w:left="736"/>
            </w:pPr>
            <w:r>
              <w:rPr>
                <w:spacing w:val="-2"/>
              </w:rPr>
              <w:t>10.663</w:t>
            </w:r>
          </w:p>
        </w:tc>
        <w:tc>
          <w:tcPr>
            <w:tcW w:w="1585" w:type="dxa"/>
          </w:tcPr>
          <w:p w14:paraId="5D8863E2" w14:textId="77777777" w:rsidR="000E52B0" w:rsidRDefault="00F60D74">
            <w:pPr>
              <w:pStyle w:val="TableParagraph"/>
              <w:spacing w:before="16" w:line="263" w:lineRule="exact"/>
              <w:ind w:left="734"/>
            </w:pPr>
            <w:r>
              <w:rPr>
                <w:spacing w:val="-2"/>
              </w:rPr>
              <w:t>11.041</w:t>
            </w:r>
          </w:p>
        </w:tc>
        <w:tc>
          <w:tcPr>
            <w:tcW w:w="1335" w:type="dxa"/>
          </w:tcPr>
          <w:p w14:paraId="546CBE86" w14:textId="77777777" w:rsidR="000E52B0" w:rsidRDefault="00F60D74">
            <w:pPr>
              <w:pStyle w:val="TableParagraph"/>
              <w:spacing w:before="16" w:line="263" w:lineRule="exact"/>
              <w:ind w:left="483"/>
            </w:pPr>
            <w:r>
              <w:rPr>
                <w:spacing w:val="-2"/>
              </w:rPr>
              <w:t>11.727</w:t>
            </w:r>
          </w:p>
        </w:tc>
      </w:tr>
    </w:tbl>
    <w:p w14:paraId="3056DE5B" w14:textId="77777777" w:rsidR="000E52B0" w:rsidRDefault="000E52B0">
      <w:pPr>
        <w:pStyle w:val="Textoindependiente"/>
        <w:spacing w:before="161"/>
        <w:ind w:left="0"/>
      </w:pPr>
    </w:p>
    <w:p w14:paraId="0F9D1890" w14:textId="49A4BA8C" w:rsidR="000E52B0" w:rsidRDefault="00F60D74">
      <w:pPr>
        <w:pStyle w:val="Textoindependiente"/>
        <w:ind w:right="716"/>
        <w:jc w:val="both"/>
      </w:pPr>
      <w:r>
        <w:t>El</w:t>
      </w:r>
      <w:r>
        <w:rPr>
          <w:spacing w:val="-3"/>
        </w:rPr>
        <w:t xml:space="preserve"> </w:t>
      </w:r>
      <w:r>
        <w:t>Ministerio</w:t>
      </w:r>
      <w:r>
        <w:rPr>
          <w:spacing w:val="-1"/>
        </w:rPr>
        <w:t xml:space="preserve"> </w:t>
      </w:r>
      <w:r>
        <w:t>de</w:t>
      </w:r>
      <w:r>
        <w:rPr>
          <w:spacing w:val="-1"/>
        </w:rPr>
        <w:t xml:space="preserve"> </w:t>
      </w:r>
      <w:r>
        <w:t>Hacienda</w:t>
      </w:r>
      <w:r>
        <w:rPr>
          <w:spacing w:val="-2"/>
        </w:rPr>
        <w:t xml:space="preserve"> </w:t>
      </w:r>
      <w:r>
        <w:t>y</w:t>
      </w:r>
      <w:r>
        <w:rPr>
          <w:spacing w:val="-2"/>
        </w:rPr>
        <w:t xml:space="preserve"> </w:t>
      </w:r>
      <w:r>
        <w:t>Crédito</w:t>
      </w:r>
      <w:r>
        <w:rPr>
          <w:spacing w:val="-1"/>
        </w:rPr>
        <w:t xml:space="preserve"> </w:t>
      </w:r>
      <w:r>
        <w:t>Público</w:t>
      </w:r>
      <w:r>
        <w:rPr>
          <w:spacing w:val="-1"/>
        </w:rPr>
        <w:t xml:space="preserve"> </w:t>
      </w:r>
      <w:r>
        <w:t>en</w:t>
      </w:r>
      <w:r>
        <w:rPr>
          <w:spacing w:val="-2"/>
        </w:rPr>
        <w:t xml:space="preserve"> </w:t>
      </w:r>
      <w:r>
        <w:t>oficio</w:t>
      </w:r>
      <w:r>
        <w:rPr>
          <w:spacing w:val="-1"/>
        </w:rPr>
        <w:t xml:space="preserve"> </w:t>
      </w:r>
      <w:r>
        <w:t>2-2024-060218</w:t>
      </w:r>
      <w:r>
        <w:rPr>
          <w:spacing w:val="-1"/>
        </w:rPr>
        <w:t xml:space="preserve"> </w:t>
      </w:r>
      <w:r>
        <w:t>indicó que “las cifras proyectadas para 2025 y el periodo de 2026 a 2028 son consistentes</w:t>
      </w:r>
      <w:r>
        <w:rPr>
          <w:spacing w:val="-3"/>
        </w:rPr>
        <w:t xml:space="preserve"> </w:t>
      </w:r>
      <w:r>
        <w:t>con</w:t>
      </w:r>
      <w:r>
        <w:rPr>
          <w:spacing w:val="-4"/>
        </w:rPr>
        <w:t xml:space="preserve"> </w:t>
      </w:r>
      <w:r>
        <w:t>los</w:t>
      </w:r>
      <w:r>
        <w:rPr>
          <w:spacing w:val="-4"/>
        </w:rPr>
        <w:t xml:space="preserve"> </w:t>
      </w:r>
      <w:r>
        <w:t>instrumentos</w:t>
      </w:r>
      <w:r>
        <w:rPr>
          <w:spacing w:val="-3"/>
        </w:rPr>
        <w:t xml:space="preserve"> </w:t>
      </w:r>
      <w:r>
        <w:t>de</w:t>
      </w:r>
      <w:r>
        <w:rPr>
          <w:spacing w:val="-4"/>
        </w:rPr>
        <w:t xml:space="preserve"> </w:t>
      </w:r>
      <w:r>
        <w:t>planeación</w:t>
      </w:r>
      <w:r>
        <w:rPr>
          <w:spacing w:val="-5"/>
        </w:rPr>
        <w:t xml:space="preserve"> </w:t>
      </w:r>
      <w:r>
        <w:t>financiera</w:t>
      </w:r>
      <w:r>
        <w:rPr>
          <w:spacing w:val="-4"/>
        </w:rPr>
        <w:t xml:space="preserve"> </w:t>
      </w:r>
      <w:r>
        <w:t>vigentes,</w:t>
      </w:r>
      <w:r>
        <w:rPr>
          <w:spacing w:val="-4"/>
        </w:rPr>
        <w:t xml:space="preserve"> </w:t>
      </w:r>
      <w:r>
        <w:t>como el</w:t>
      </w:r>
      <w:r>
        <w:rPr>
          <w:spacing w:val="-6"/>
        </w:rPr>
        <w:t xml:space="preserve"> </w:t>
      </w:r>
      <w:r>
        <w:t>Plan</w:t>
      </w:r>
      <w:r>
        <w:rPr>
          <w:spacing w:val="-6"/>
        </w:rPr>
        <w:t xml:space="preserve"> </w:t>
      </w:r>
      <w:r>
        <w:t>Financiero,</w:t>
      </w:r>
      <w:r>
        <w:rPr>
          <w:spacing w:val="-6"/>
        </w:rPr>
        <w:t xml:space="preserve"> </w:t>
      </w:r>
      <w:r>
        <w:t>el</w:t>
      </w:r>
      <w:r>
        <w:rPr>
          <w:spacing w:val="-6"/>
        </w:rPr>
        <w:t xml:space="preserve"> </w:t>
      </w:r>
      <w:r>
        <w:t>MFMP</w:t>
      </w:r>
      <w:r>
        <w:rPr>
          <w:spacing w:val="-4"/>
        </w:rPr>
        <w:t xml:space="preserve"> </w:t>
      </w:r>
      <w:r>
        <w:t>y</w:t>
      </w:r>
      <w:r>
        <w:rPr>
          <w:spacing w:val="-4"/>
        </w:rPr>
        <w:t xml:space="preserve"> </w:t>
      </w:r>
      <w:r>
        <w:t>se</w:t>
      </w:r>
      <w:r>
        <w:rPr>
          <w:spacing w:val="-4"/>
        </w:rPr>
        <w:t xml:space="preserve"> </w:t>
      </w:r>
      <w:r>
        <w:t>encuentra</w:t>
      </w:r>
      <w:r>
        <w:rPr>
          <w:spacing w:val="-5"/>
        </w:rPr>
        <w:t xml:space="preserve"> </w:t>
      </w:r>
      <w:r>
        <w:t>explícitamente</w:t>
      </w:r>
      <w:r>
        <w:rPr>
          <w:spacing w:val="-4"/>
        </w:rPr>
        <w:t xml:space="preserve"> </w:t>
      </w:r>
      <w:r>
        <w:t>contenida</w:t>
      </w:r>
      <w:r>
        <w:rPr>
          <w:spacing w:val="-3"/>
        </w:rPr>
        <w:t xml:space="preserve"> </w:t>
      </w:r>
      <w:r>
        <w:t>en</w:t>
      </w:r>
      <w:r>
        <w:rPr>
          <w:spacing w:val="-3"/>
        </w:rPr>
        <w:t xml:space="preserve"> </w:t>
      </w:r>
      <w:r>
        <w:t>los techos de gasto del MGMP.”</w:t>
      </w:r>
      <w:r w:rsidR="00B62976">
        <w:t xml:space="preserve"> Y mediante oficio 2-2025-021069 determinó que “revisado el texto de anteproyecto y la exposición de motivos que se pretende radicar en el Congreso de la República se encuentra que éste no generaría gastos adicionales o de reducción de ingresos para la nación en tanto que es consistente con los instrumentos de planeación financiera vigentes, tales como el plan financiero, el Marco Fiscal de Mediano Plazo (MFMP) y el Marco de Gasto de Mediano Plazo (MGMP). </w:t>
      </w:r>
    </w:p>
    <w:p w14:paraId="6F6CB158" w14:textId="77777777" w:rsidR="000E52B0" w:rsidRDefault="000E52B0">
      <w:pPr>
        <w:pStyle w:val="Textoindependiente"/>
        <w:jc w:val="both"/>
      </w:pPr>
    </w:p>
    <w:p w14:paraId="18C3F514" w14:textId="6AAAAA1C" w:rsidR="00B62976" w:rsidRDefault="00B62976">
      <w:pPr>
        <w:pStyle w:val="Textoindependiente"/>
        <w:jc w:val="both"/>
        <w:sectPr w:rsidR="00B62976">
          <w:pgSz w:w="11910" w:h="16840"/>
          <w:pgMar w:top="1340" w:right="720" w:bottom="1180" w:left="720" w:header="0" w:footer="995" w:gutter="0"/>
          <w:cols w:space="720"/>
        </w:sectPr>
      </w:pPr>
    </w:p>
    <w:p w14:paraId="309DAC8D" w14:textId="77777777" w:rsidR="000E52B0" w:rsidRDefault="000E52B0">
      <w:pPr>
        <w:pStyle w:val="Textoindependiente"/>
        <w:spacing w:before="8" w:after="1"/>
        <w:ind w:left="0"/>
        <w:rPr>
          <w:sz w:val="7"/>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
        <w:gridCol w:w="1025"/>
        <w:gridCol w:w="670"/>
        <w:gridCol w:w="1134"/>
        <w:gridCol w:w="1479"/>
        <w:gridCol w:w="1025"/>
        <w:gridCol w:w="670"/>
        <w:gridCol w:w="1134"/>
        <w:gridCol w:w="1479"/>
        <w:gridCol w:w="1025"/>
        <w:gridCol w:w="670"/>
        <w:gridCol w:w="1219"/>
        <w:gridCol w:w="1478"/>
      </w:tblGrid>
      <w:tr w:rsidR="000E52B0" w14:paraId="2F31E720" w14:textId="77777777">
        <w:trPr>
          <w:trHeight w:val="354"/>
        </w:trPr>
        <w:tc>
          <w:tcPr>
            <w:tcW w:w="946" w:type="dxa"/>
            <w:vMerge w:val="restart"/>
            <w:shd w:val="clear" w:color="auto" w:fill="D23B73"/>
          </w:tcPr>
          <w:p w14:paraId="2BF15E1D" w14:textId="77777777" w:rsidR="000E52B0" w:rsidRDefault="000E52B0">
            <w:pPr>
              <w:pStyle w:val="TableParagraph"/>
              <w:spacing w:before="86"/>
              <w:rPr>
                <w:sz w:val="16"/>
              </w:rPr>
            </w:pPr>
          </w:p>
          <w:p w14:paraId="65B43D8C" w14:textId="77777777" w:rsidR="000E52B0" w:rsidRDefault="00F60D74">
            <w:pPr>
              <w:pStyle w:val="TableParagraph"/>
              <w:ind w:left="55"/>
              <w:rPr>
                <w:b/>
                <w:sz w:val="16"/>
              </w:rPr>
            </w:pPr>
            <w:r>
              <w:rPr>
                <w:b/>
                <w:color w:val="FFFFFF"/>
                <w:spacing w:val="-2"/>
                <w:sz w:val="16"/>
              </w:rPr>
              <w:t>Concepto</w:t>
            </w:r>
          </w:p>
        </w:tc>
        <w:tc>
          <w:tcPr>
            <w:tcW w:w="4308" w:type="dxa"/>
            <w:gridSpan w:val="4"/>
            <w:shd w:val="clear" w:color="auto" w:fill="D23B73"/>
          </w:tcPr>
          <w:p w14:paraId="4EAA1AD8" w14:textId="77777777" w:rsidR="000E52B0" w:rsidRDefault="00F60D74">
            <w:pPr>
              <w:pStyle w:val="TableParagraph"/>
              <w:spacing w:line="194" w:lineRule="exact"/>
              <w:ind w:left="8"/>
              <w:jc w:val="center"/>
              <w:rPr>
                <w:b/>
                <w:sz w:val="16"/>
              </w:rPr>
            </w:pPr>
            <w:r>
              <w:rPr>
                <w:b/>
                <w:color w:val="FFFFFF"/>
                <w:spacing w:val="-4"/>
                <w:sz w:val="16"/>
              </w:rPr>
              <w:t>2026</w:t>
            </w:r>
          </w:p>
        </w:tc>
        <w:tc>
          <w:tcPr>
            <w:tcW w:w="4308" w:type="dxa"/>
            <w:gridSpan w:val="4"/>
            <w:shd w:val="clear" w:color="auto" w:fill="D23B73"/>
          </w:tcPr>
          <w:p w14:paraId="6ED4BB64" w14:textId="77777777" w:rsidR="000E52B0" w:rsidRDefault="00F60D74">
            <w:pPr>
              <w:pStyle w:val="TableParagraph"/>
              <w:spacing w:line="194" w:lineRule="exact"/>
              <w:ind w:left="8" w:right="3"/>
              <w:jc w:val="center"/>
              <w:rPr>
                <w:b/>
                <w:sz w:val="16"/>
              </w:rPr>
            </w:pPr>
            <w:r>
              <w:rPr>
                <w:b/>
                <w:color w:val="FFFFFF"/>
                <w:spacing w:val="-4"/>
                <w:sz w:val="16"/>
              </w:rPr>
              <w:t>2027</w:t>
            </w:r>
          </w:p>
        </w:tc>
        <w:tc>
          <w:tcPr>
            <w:tcW w:w="4392" w:type="dxa"/>
            <w:gridSpan w:val="4"/>
            <w:shd w:val="clear" w:color="auto" w:fill="D23B73"/>
          </w:tcPr>
          <w:p w14:paraId="7225CCE2" w14:textId="77777777" w:rsidR="000E52B0" w:rsidRDefault="00F60D74">
            <w:pPr>
              <w:pStyle w:val="TableParagraph"/>
              <w:spacing w:line="194" w:lineRule="exact"/>
              <w:jc w:val="center"/>
              <w:rPr>
                <w:b/>
                <w:sz w:val="16"/>
              </w:rPr>
            </w:pPr>
            <w:r>
              <w:rPr>
                <w:b/>
                <w:color w:val="FFFFFF"/>
                <w:spacing w:val="-4"/>
                <w:sz w:val="16"/>
              </w:rPr>
              <w:t>2028</w:t>
            </w:r>
          </w:p>
        </w:tc>
      </w:tr>
      <w:tr w:rsidR="000E52B0" w14:paraId="3ABE72AB" w14:textId="77777777">
        <w:trPr>
          <w:trHeight w:val="549"/>
        </w:trPr>
        <w:tc>
          <w:tcPr>
            <w:tcW w:w="946" w:type="dxa"/>
            <w:vMerge/>
            <w:tcBorders>
              <w:top w:val="nil"/>
            </w:tcBorders>
            <w:shd w:val="clear" w:color="auto" w:fill="D23B73"/>
          </w:tcPr>
          <w:p w14:paraId="287C7531" w14:textId="77777777" w:rsidR="000E52B0" w:rsidRDefault="000E52B0">
            <w:pPr>
              <w:rPr>
                <w:sz w:val="2"/>
                <w:szCs w:val="2"/>
              </w:rPr>
            </w:pPr>
          </w:p>
        </w:tc>
        <w:tc>
          <w:tcPr>
            <w:tcW w:w="1025" w:type="dxa"/>
            <w:shd w:val="clear" w:color="auto" w:fill="D23B73"/>
          </w:tcPr>
          <w:p w14:paraId="49A8A5FA" w14:textId="77777777" w:rsidR="000E52B0" w:rsidRDefault="00F60D74">
            <w:pPr>
              <w:pStyle w:val="TableParagraph"/>
              <w:ind w:left="179" w:right="50" w:hanging="123"/>
              <w:rPr>
                <w:b/>
                <w:sz w:val="16"/>
              </w:rPr>
            </w:pPr>
            <w:r>
              <w:rPr>
                <w:b/>
                <w:color w:val="FFFFFF"/>
                <w:sz w:val="16"/>
              </w:rPr>
              <w:t>Unidad</w:t>
            </w:r>
            <w:r>
              <w:rPr>
                <w:b/>
                <w:color w:val="FFFFFF"/>
                <w:spacing w:val="-14"/>
                <w:sz w:val="16"/>
              </w:rPr>
              <w:t xml:space="preserve"> </w:t>
            </w:r>
            <w:r>
              <w:rPr>
                <w:b/>
                <w:color w:val="FFFFFF"/>
                <w:sz w:val="16"/>
              </w:rPr>
              <w:t xml:space="preserve">de </w:t>
            </w:r>
            <w:r>
              <w:rPr>
                <w:b/>
                <w:color w:val="FFFFFF"/>
                <w:spacing w:val="-2"/>
                <w:sz w:val="16"/>
              </w:rPr>
              <w:t>medida</w:t>
            </w:r>
          </w:p>
        </w:tc>
        <w:tc>
          <w:tcPr>
            <w:tcW w:w="670" w:type="dxa"/>
            <w:shd w:val="clear" w:color="auto" w:fill="D23B73"/>
          </w:tcPr>
          <w:p w14:paraId="65F4451B" w14:textId="77777777" w:rsidR="000E52B0" w:rsidRDefault="00F60D74">
            <w:pPr>
              <w:pStyle w:val="TableParagraph"/>
              <w:ind w:left="225" w:right="30" w:hanging="180"/>
              <w:rPr>
                <w:b/>
                <w:sz w:val="16"/>
              </w:rPr>
            </w:pPr>
            <w:proofErr w:type="spellStart"/>
            <w:r>
              <w:rPr>
                <w:b/>
                <w:color w:val="FFFFFF"/>
                <w:spacing w:val="-2"/>
                <w:sz w:val="16"/>
              </w:rPr>
              <w:t>Cantid</w:t>
            </w:r>
            <w:proofErr w:type="spellEnd"/>
            <w:r>
              <w:rPr>
                <w:b/>
                <w:color w:val="FFFFFF"/>
                <w:spacing w:val="-2"/>
                <w:sz w:val="16"/>
              </w:rPr>
              <w:t xml:space="preserve"> </w:t>
            </w:r>
            <w:r>
              <w:rPr>
                <w:b/>
                <w:color w:val="FFFFFF"/>
                <w:spacing w:val="-6"/>
                <w:sz w:val="16"/>
              </w:rPr>
              <w:t>ad</w:t>
            </w:r>
          </w:p>
        </w:tc>
        <w:tc>
          <w:tcPr>
            <w:tcW w:w="1134" w:type="dxa"/>
            <w:shd w:val="clear" w:color="auto" w:fill="D23B73"/>
          </w:tcPr>
          <w:p w14:paraId="670BFC1E" w14:textId="77777777" w:rsidR="000E52B0" w:rsidRDefault="00F60D74">
            <w:pPr>
              <w:pStyle w:val="TableParagraph"/>
              <w:ind w:left="212" w:firstLine="110"/>
              <w:rPr>
                <w:b/>
                <w:sz w:val="16"/>
              </w:rPr>
            </w:pPr>
            <w:r>
              <w:rPr>
                <w:b/>
                <w:color w:val="FFFFFF"/>
                <w:spacing w:val="-2"/>
                <w:sz w:val="16"/>
              </w:rPr>
              <w:t>costo unitario</w:t>
            </w:r>
          </w:p>
        </w:tc>
        <w:tc>
          <w:tcPr>
            <w:tcW w:w="1479" w:type="dxa"/>
            <w:shd w:val="clear" w:color="auto" w:fill="D23B73"/>
          </w:tcPr>
          <w:p w14:paraId="51D3E689" w14:textId="77777777" w:rsidR="000E52B0" w:rsidRDefault="00F60D74">
            <w:pPr>
              <w:pStyle w:val="TableParagraph"/>
              <w:spacing w:before="98"/>
              <w:ind w:left="6"/>
              <w:jc w:val="center"/>
              <w:rPr>
                <w:b/>
                <w:sz w:val="16"/>
              </w:rPr>
            </w:pPr>
            <w:r>
              <w:rPr>
                <w:b/>
                <w:color w:val="FFFFFF"/>
                <w:spacing w:val="-2"/>
                <w:sz w:val="16"/>
              </w:rPr>
              <w:t>Total</w:t>
            </w:r>
          </w:p>
        </w:tc>
        <w:tc>
          <w:tcPr>
            <w:tcW w:w="1025" w:type="dxa"/>
            <w:shd w:val="clear" w:color="auto" w:fill="D23B73"/>
          </w:tcPr>
          <w:p w14:paraId="493FF53A" w14:textId="77777777" w:rsidR="000E52B0" w:rsidRDefault="00F60D74">
            <w:pPr>
              <w:pStyle w:val="TableParagraph"/>
              <w:ind w:left="178" w:right="51" w:hanging="123"/>
              <w:rPr>
                <w:b/>
                <w:sz w:val="16"/>
              </w:rPr>
            </w:pPr>
            <w:r>
              <w:rPr>
                <w:b/>
                <w:color w:val="FFFFFF"/>
                <w:sz w:val="16"/>
              </w:rPr>
              <w:t>Unidad</w:t>
            </w:r>
            <w:r>
              <w:rPr>
                <w:b/>
                <w:color w:val="FFFFFF"/>
                <w:spacing w:val="-14"/>
                <w:sz w:val="16"/>
              </w:rPr>
              <w:t xml:space="preserve"> </w:t>
            </w:r>
            <w:r>
              <w:rPr>
                <w:b/>
                <w:color w:val="FFFFFF"/>
                <w:sz w:val="16"/>
              </w:rPr>
              <w:t xml:space="preserve">de </w:t>
            </w:r>
            <w:r>
              <w:rPr>
                <w:b/>
                <w:color w:val="FFFFFF"/>
                <w:spacing w:val="-2"/>
                <w:sz w:val="16"/>
              </w:rPr>
              <w:t>medida</w:t>
            </w:r>
          </w:p>
        </w:tc>
        <w:tc>
          <w:tcPr>
            <w:tcW w:w="670" w:type="dxa"/>
            <w:shd w:val="clear" w:color="auto" w:fill="D23B73"/>
          </w:tcPr>
          <w:p w14:paraId="35AF9BA5" w14:textId="77777777" w:rsidR="000E52B0" w:rsidRDefault="00F60D74">
            <w:pPr>
              <w:pStyle w:val="TableParagraph"/>
              <w:ind w:left="223" w:right="32" w:hanging="180"/>
              <w:rPr>
                <w:b/>
                <w:sz w:val="16"/>
              </w:rPr>
            </w:pPr>
            <w:proofErr w:type="spellStart"/>
            <w:r>
              <w:rPr>
                <w:b/>
                <w:color w:val="FFFFFF"/>
                <w:spacing w:val="-2"/>
                <w:sz w:val="16"/>
              </w:rPr>
              <w:t>Cantid</w:t>
            </w:r>
            <w:proofErr w:type="spellEnd"/>
            <w:r>
              <w:rPr>
                <w:b/>
                <w:color w:val="FFFFFF"/>
                <w:spacing w:val="-2"/>
                <w:sz w:val="16"/>
              </w:rPr>
              <w:t xml:space="preserve"> </w:t>
            </w:r>
            <w:r>
              <w:rPr>
                <w:b/>
                <w:color w:val="FFFFFF"/>
                <w:spacing w:val="-6"/>
                <w:sz w:val="16"/>
              </w:rPr>
              <w:t>ad</w:t>
            </w:r>
          </w:p>
        </w:tc>
        <w:tc>
          <w:tcPr>
            <w:tcW w:w="1134" w:type="dxa"/>
            <w:shd w:val="clear" w:color="auto" w:fill="D23B73"/>
          </w:tcPr>
          <w:p w14:paraId="2CF2E029" w14:textId="77777777" w:rsidR="000E52B0" w:rsidRDefault="00F60D74">
            <w:pPr>
              <w:pStyle w:val="TableParagraph"/>
              <w:ind w:left="211" w:right="202" w:firstLine="110"/>
              <w:rPr>
                <w:b/>
                <w:sz w:val="16"/>
              </w:rPr>
            </w:pPr>
            <w:r>
              <w:rPr>
                <w:b/>
                <w:color w:val="FFFFFF"/>
                <w:spacing w:val="-2"/>
                <w:sz w:val="16"/>
              </w:rPr>
              <w:t>costo unitario</w:t>
            </w:r>
          </w:p>
        </w:tc>
        <w:tc>
          <w:tcPr>
            <w:tcW w:w="1479" w:type="dxa"/>
            <w:shd w:val="clear" w:color="auto" w:fill="D23B73"/>
          </w:tcPr>
          <w:p w14:paraId="7C8E48DA" w14:textId="77777777" w:rsidR="000E52B0" w:rsidRDefault="00F60D74">
            <w:pPr>
              <w:pStyle w:val="TableParagraph"/>
              <w:spacing w:before="98"/>
              <w:ind w:left="6" w:right="4"/>
              <w:jc w:val="center"/>
              <w:rPr>
                <w:b/>
                <w:sz w:val="16"/>
              </w:rPr>
            </w:pPr>
            <w:r>
              <w:rPr>
                <w:b/>
                <w:color w:val="FFFFFF"/>
                <w:spacing w:val="-2"/>
                <w:sz w:val="16"/>
              </w:rPr>
              <w:t>Total</w:t>
            </w:r>
          </w:p>
        </w:tc>
        <w:tc>
          <w:tcPr>
            <w:tcW w:w="1025" w:type="dxa"/>
            <w:shd w:val="clear" w:color="auto" w:fill="D23B73"/>
          </w:tcPr>
          <w:p w14:paraId="798DC9BB" w14:textId="77777777" w:rsidR="000E52B0" w:rsidRDefault="00F60D74">
            <w:pPr>
              <w:pStyle w:val="TableParagraph"/>
              <w:ind w:left="175" w:right="54" w:hanging="123"/>
              <w:rPr>
                <w:b/>
                <w:sz w:val="16"/>
              </w:rPr>
            </w:pPr>
            <w:r>
              <w:rPr>
                <w:b/>
                <w:color w:val="FFFFFF"/>
                <w:sz w:val="16"/>
              </w:rPr>
              <w:t>Unidad</w:t>
            </w:r>
            <w:r>
              <w:rPr>
                <w:b/>
                <w:color w:val="FFFFFF"/>
                <w:spacing w:val="-14"/>
                <w:sz w:val="16"/>
              </w:rPr>
              <w:t xml:space="preserve"> </w:t>
            </w:r>
            <w:r>
              <w:rPr>
                <w:b/>
                <w:color w:val="FFFFFF"/>
                <w:sz w:val="16"/>
              </w:rPr>
              <w:t xml:space="preserve">de </w:t>
            </w:r>
            <w:r>
              <w:rPr>
                <w:b/>
                <w:color w:val="FFFFFF"/>
                <w:spacing w:val="-2"/>
                <w:sz w:val="16"/>
              </w:rPr>
              <w:t>medida</w:t>
            </w:r>
          </w:p>
        </w:tc>
        <w:tc>
          <w:tcPr>
            <w:tcW w:w="670" w:type="dxa"/>
            <w:shd w:val="clear" w:color="auto" w:fill="D23B73"/>
          </w:tcPr>
          <w:p w14:paraId="4F80F28F" w14:textId="77777777" w:rsidR="000E52B0" w:rsidRDefault="00F60D74">
            <w:pPr>
              <w:pStyle w:val="TableParagraph"/>
              <w:ind w:left="222" w:right="34" w:hanging="181"/>
              <w:rPr>
                <w:b/>
                <w:sz w:val="16"/>
              </w:rPr>
            </w:pPr>
            <w:proofErr w:type="spellStart"/>
            <w:r>
              <w:rPr>
                <w:b/>
                <w:color w:val="FFFFFF"/>
                <w:spacing w:val="-2"/>
                <w:sz w:val="16"/>
              </w:rPr>
              <w:t>Cantid</w:t>
            </w:r>
            <w:proofErr w:type="spellEnd"/>
            <w:r>
              <w:rPr>
                <w:b/>
                <w:color w:val="FFFFFF"/>
                <w:spacing w:val="-2"/>
                <w:sz w:val="16"/>
              </w:rPr>
              <w:t xml:space="preserve"> </w:t>
            </w:r>
            <w:r>
              <w:rPr>
                <w:b/>
                <w:color w:val="FFFFFF"/>
                <w:spacing w:val="-6"/>
                <w:sz w:val="16"/>
              </w:rPr>
              <w:t>ad</w:t>
            </w:r>
          </w:p>
        </w:tc>
        <w:tc>
          <w:tcPr>
            <w:tcW w:w="1219" w:type="dxa"/>
            <w:shd w:val="clear" w:color="auto" w:fill="D23B73"/>
          </w:tcPr>
          <w:p w14:paraId="20E639E2" w14:textId="77777777" w:rsidR="000E52B0" w:rsidRDefault="00F60D74">
            <w:pPr>
              <w:pStyle w:val="TableParagraph"/>
              <w:ind w:left="252" w:firstLine="112"/>
              <w:rPr>
                <w:b/>
                <w:sz w:val="16"/>
              </w:rPr>
            </w:pPr>
            <w:r>
              <w:rPr>
                <w:b/>
                <w:color w:val="FFFFFF"/>
                <w:spacing w:val="-2"/>
                <w:sz w:val="16"/>
              </w:rPr>
              <w:t>costo unitario</w:t>
            </w:r>
          </w:p>
        </w:tc>
        <w:tc>
          <w:tcPr>
            <w:tcW w:w="1478" w:type="dxa"/>
            <w:shd w:val="clear" w:color="auto" w:fill="D23B73"/>
          </w:tcPr>
          <w:p w14:paraId="3B475617" w14:textId="77777777" w:rsidR="000E52B0" w:rsidRDefault="00F60D74">
            <w:pPr>
              <w:pStyle w:val="TableParagraph"/>
              <w:spacing w:before="98"/>
              <w:ind w:left="2"/>
              <w:jc w:val="center"/>
              <w:rPr>
                <w:b/>
                <w:sz w:val="16"/>
              </w:rPr>
            </w:pPr>
            <w:r>
              <w:rPr>
                <w:b/>
                <w:color w:val="FFFFFF"/>
                <w:spacing w:val="-2"/>
                <w:sz w:val="16"/>
              </w:rPr>
              <w:t>Total</w:t>
            </w:r>
          </w:p>
        </w:tc>
      </w:tr>
      <w:tr w:rsidR="000E52B0" w14:paraId="21CE7B18" w14:textId="77777777">
        <w:trPr>
          <w:trHeight w:val="549"/>
        </w:trPr>
        <w:tc>
          <w:tcPr>
            <w:tcW w:w="946" w:type="dxa"/>
          </w:tcPr>
          <w:p w14:paraId="3741DA72" w14:textId="77777777" w:rsidR="000E52B0" w:rsidRDefault="00F60D74">
            <w:pPr>
              <w:pStyle w:val="TableParagraph"/>
              <w:ind w:left="4" w:right="-15"/>
              <w:rPr>
                <w:sz w:val="16"/>
              </w:rPr>
            </w:pPr>
            <w:r>
              <w:rPr>
                <w:sz w:val="16"/>
              </w:rPr>
              <w:t>Jóvenes</w:t>
            </w:r>
            <w:r>
              <w:rPr>
                <w:spacing w:val="14"/>
                <w:sz w:val="16"/>
              </w:rPr>
              <w:t xml:space="preserve"> </w:t>
            </w:r>
            <w:r>
              <w:rPr>
                <w:sz w:val="16"/>
              </w:rPr>
              <w:t xml:space="preserve">en </w:t>
            </w:r>
            <w:r>
              <w:rPr>
                <w:spacing w:val="-4"/>
                <w:sz w:val="16"/>
              </w:rPr>
              <w:t>paz</w:t>
            </w:r>
          </w:p>
        </w:tc>
        <w:tc>
          <w:tcPr>
            <w:tcW w:w="1025" w:type="dxa"/>
          </w:tcPr>
          <w:p w14:paraId="74661676" w14:textId="77777777" w:rsidR="000E52B0" w:rsidRDefault="00F60D74">
            <w:pPr>
              <w:pStyle w:val="TableParagraph"/>
              <w:spacing w:before="95"/>
              <w:ind w:left="4"/>
              <w:rPr>
                <w:sz w:val="16"/>
              </w:rPr>
            </w:pPr>
            <w:r>
              <w:rPr>
                <w:spacing w:val="-2"/>
                <w:sz w:val="16"/>
              </w:rPr>
              <w:t>jóvenes</w:t>
            </w:r>
          </w:p>
        </w:tc>
        <w:tc>
          <w:tcPr>
            <w:tcW w:w="670" w:type="dxa"/>
          </w:tcPr>
          <w:p w14:paraId="0B789EE9" w14:textId="77777777" w:rsidR="000E52B0" w:rsidRDefault="00F60D74">
            <w:pPr>
              <w:pStyle w:val="TableParagraph"/>
              <w:spacing w:before="95"/>
              <w:ind w:left="4"/>
              <w:rPr>
                <w:sz w:val="16"/>
              </w:rPr>
            </w:pPr>
            <w:r>
              <w:rPr>
                <w:spacing w:val="-2"/>
                <w:sz w:val="16"/>
              </w:rPr>
              <w:t>44.880</w:t>
            </w:r>
          </w:p>
        </w:tc>
        <w:tc>
          <w:tcPr>
            <w:tcW w:w="1134" w:type="dxa"/>
          </w:tcPr>
          <w:p w14:paraId="2D7515CE" w14:textId="77777777" w:rsidR="000E52B0" w:rsidRDefault="00F60D74">
            <w:pPr>
              <w:pStyle w:val="TableParagraph"/>
              <w:spacing w:before="95"/>
              <w:ind w:left="3"/>
              <w:rPr>
                <w:sz w:val="16"/>
              </w:rPr>
            </w:pPr>
            <w:r>
              <w:rPr>
                <w:spacing w:val="-2"/>
                <w:sz w:val="16"/>
              </w:rPr>
              <w:t>3.832.442</w:t>
            </w:r>
          </w:p>
        </w:tc>
        <w:tc>
          <w:tcPr>
            <w:tcW w:w="1479" w:type="dxa"/>
          </w:tcPr>
          <w:p w14:paraId="7FD24C69" w14:textId="77777777" w:rsidR="000E52B0" w:rsidRDefault="00F60D74">
            <w:pPr>
              <w:pStyle w:val="TableParagraph"/>
              <w:spacing w:before="95"/>
              <w:ind w:left="3"/>
              <w:rPr>
                <w:sz w:val="16"/>
              </w:rPr>
            </w:pPr>
            <w:r>
              <w:rPr>
                <w:spacing w:val="-2"/>
                <w:sz w:val="16"/>
              </w:rPr>
              <w:t>172.000.000.000</w:t>
            </w:r>
          </w:p>
        </w:tc>
        <w:tc>
          <w:tcPr>
            <w:tcW w:w="1025" w:type="dxa"/>
          </w:tcPr>
          <w:p w14:paraId="41CA4A69" w14:textId="77777777" w:rsidR="000E52B0" w:rsidRDefault="00F60D74">
            <w:pPr>
              <w:pStyle w:val="TableParagraph"/>
              <w:spacing w:before="95"/>
              <w:ind w:left="2"/>
              <w:rPr>
                <w:sz w:val="16"/>
              </w:rPr>
            </w:pPr>
            <w:r>
              <w:rPr>
                <w:spacing w:val="-2"/>
                <w:sz w:val="16"/>
              </w:rPr>
              <w:t>jóvenes</w:t>
            </w:r>
          </w:p>
        </w:tc>
        <w:tc>
          <w:tcPr>
            <w:tcW w:w="670" w:type="dxa"/>
          </w:tcPr>
          <w:p w14:paraId="08957823" w14:textId="77777777" w:rsidR="000E52B0" w:rsidRDefault="00F60D74">
            <w:pPr>
              <w:pStyle w:val="TableParagraph"/>
              <w:spacing w:before="95"/>
              <w:ind w:left="2"/>
              <w:rPr>
                <w:sz w:val="16"/>
              </w:rPr>
            </w:pPr>
            <w:r>
              <w:rPr>
                <w:spacing w:val="-2"/>
                <w:sz w:val="16"/>
              </w:rPr>
              <w:t>50.000</w:t>
            </w:r>
          </w:p>
        </w:tc>
        <w:tc>
          <w:tcPr>
            <w:tcW w:w="1134" w:type="dxa"/>
          </w:tcPr>
          <w:p w14:paraId="692E8FF5" w14:textId="77777777" w:rsidR="000E52B0" w:rsidRDefault="00F60D74">
            <w:pPr>
              <w:pStyle w:val="TableParagraph"/>
              <w:spacing w:before="95"/>
              <w:ind w:left="2"/>
              <w:rPr>
                <w:sz w:val="16"/>
              </w:rPr>
            </w:pPr>
            <w:r>
              <w:rPr>
                <w:spacing w:val="-2"/>
                <w:sz w:val="16"/>
              </w:rPr>
              <w:t>4.139.037</w:t>
            </w:r>
          </w:p>
        </w:tc>
        <w:tc>
          <w:tcPr>
            <w:tcW w:w="1479" w:type="dxa"/>
          </w:tcPr>
          <w:p w14:paraId="3A55A184" w14:textId="77777777" w:rsidR="000E52B0" w:rsidRDefault="00F60D74">
            <w:pPr>
              <w:pStyle w:val="TableParagraph"/>
              <w:spacing w:before="95"/>
              <w:ind w:left="1"/>
              <w:rPr>
                <w:sz w:val="16"/>
              </w:rPr>
            </w:pPr>
            <w:r>
              <w:rPr>
                <w:spacing w:val="-2"/>
                <w:sz w:val="16"/>
              </w:rPr>
              <w:t>206.951.871.658</w:t>
            </w:r>
          </w:p>
        </w:tc>
        <w:tc>
          <w:tcPr>
            <w:tcW w:w="1025" w:type="dxa"/>
          </w:tcPr>
          <w:p w14:paraId="022213EF" w14:textId="77777777" w:rsidR="000E52B0" w:rsidRDefault="00F60D74">
            <w:pPr>
              <w:pStyle w:val="TableParagraph"/>
              <w:spacing w:before="95"/>
              <w:rPr>
                <w:sz w:val="16"/>
              </w:rPr>
            </w:pPr>
            <w:r>
              <w:rPr>
                <w:spacing w:val="-2"/>
                <w:sz w:val="16"/>
              </w:rPr>
              <w:t>jóvenes</w:t>
            </w:r>
          </w:p>
        </w:tc>
        <w:tc>
          <w:tcPr>
            <w:tcW w:w="670" w:type="dxa"/>
          </w:tcPr>
          <w:p w14:paraId="7063562B" w14:textId="77777777" w:rsidR="000E52B0" w:rsidRDefault="00F60D74">
            <w:pPr>
              <w:pStyle w:val="TableParagraph"/>
              <w:spacing w:before="95"/>
              <w:rPr>
                <w:sz w:val="16"/>
              </w:rPr>
            </w:pPr>
            <w:r>
              <w:rPr>
                <w:spacing w:val="-2"/>
                <w:sz w:val="16"/>
              </w:rPr>
              <w:t>55.000</w:t>
            </w:r>
          </w:p>
        </w:tc>
        <w:tc>
          <w:tcPr>
            <w:tcW w:w="1219" w:type="dxa"/>
          </w:tcPr>
          <w:p w14:paraId="2DED9F1E" w14:textId="77777777" w:rsidR="000E52B0" w:rsidRDefault="00F60D74">
            <w:pPr>
              <w:pStyle w:val="TableParagraph"/>
              <w:spacing w:before="95"/>
              <w:ind w:left="3"/>
              <w:rPr>
                <w:sz w:val="16"/>
              </w:rPr>
            </w:pPr>
            <w:r>
              <w:rPr>
                <w:spacing w:val="-2"/>
                <w:sz w:val="16"/>
              </w:rPr>
              <w:t>4.470.160</w:t>
            </w:r>
          </w:p>
        </w:tc>
        <w:tc>
          <w:tcPr>
            <w:tcW w:w="1478" w:type="dxa"/>
          </w:tcPr>
          <w:p w14:paraId="0FFE173F" w14:textId="77777777" w:rsidR="000E52B0" w:rsidRDefault="00F60D74">
            <w:pPr>
              <w:pStyle w:val="TableParagraph"/>
              <w:spacing w:before="95"/>
              <w:rPr>
                <w:sz w:val="16"/>
              </w:rPr>
            </w:pPr>
            <w:r>
              <w:rPr>
                <w:spacing w:val="-2"/>
                <w:sz w:val="16"/>
              </w:rPr>
              <w:t>245.858.823.529</w:t>
            </w:r>
          </w:p>
        </w:tc>
      </w:tr>
      <w:tr w:rsidR="000E52B0" w14:paraId="388D1C58" w14:textId="77777777">
        <w:trPr>
          <w:trHeight w:val="744"/>
        </w:trPr>
        <w:tc>
          <w:tcPr>
            <w:tcW w:w="946" w:type="dxa"/>
          </w:tcPr>
          <w:p w14:paraId="09550BD5" w14:textId="77777777" w:rsidR="000E52B0" w:rsidRDefault="00F60D74">
            <w:pPr>
              <w:pStyle w:val="TableParagraph"/>
              <w:ind w:left="4" w:right="-15"/>
              <w:rPr>
                <w:sz w:val="16"/>
              </w:rPr>
            </w:pPr>
            <w:r>
              <w:rPr>
                <w:spacing w:val="-2"/>
                <w:sz w:val="16"/>
              </w:rPr>
              <w:t xml:space="preserve">Aguante </w:t>
            </w:r>
            <w:r>
              <w:rPr>
                <w:sz w:val="16"/>
              </w:rPr>
              <w:t>popular</w:t>
            </w:r>
            <w:r>
              <w:rPr>
                <w:spacing w:val="-15"/>
                <w:sz w:val="16"/>
              </w:rPr>
              <w:t xml:space="preserve"> </w:t>
            </w:r>
            <w:r>
              <w:rPr>
                <w:sz w:val="16"/>
              </w:rPr>
              <w:t>por la vida</w:t>
            </w:r>
          </w:p>
        </w:tc>
        <w:tc>
          <w:tcPr>
            <w:tcW w:w="1025" w:type="dxa"/>
          </w:tcPr>
          <w:p w14:paraId="1EB3A221" w14:textId="77777777" w:rsidR="000E52B0" w:rsidRDefault="00F60D74">
            <w:pPr>
              <w:pStyle w:val="TableParagraph"/>
              <w:spacing w:before="95"/>
              <w:ind w:left="4" w:right="50"/>
              <w:rPr>
                <w:sz w:val="16"/>
              </w:rPr>
            </w:pPr>
            <w:r>
              <w:rPr>
                <w:spacing w:val="-2"/>
                <w:sz w:val="16"/>
              </w:rPr>
              <w:t>barras fortalecidas</w:t>
            </w:r>
          </w:p>
        </w:tc>
        <w:tc>
          <w:tcPr>
            <w:tcW w:w="670" w:type="dxa"/>
          </w:tcPr>
          <w:p w14:paraId="6C5F84DB" w14:textId="77777777" w:rsidR="000E52B0" w:rsidRDefault="00F60D74">
            <w:pPr>
              <w:pStyle w:val="TableParagraph"/>
              <w:spacing w:before="194"/>
              <w:ind w:left="4"/>
              <w:rPr>
                <w:sz w:val="16"/>
              </w:rPr>
            </w:pPr>
            <w:r>
              <w:rPr>
                <w:spacing w:val="-5"/>
                <w:sz w:val="16"/>
              </w:rPr>
              <w:t>40</w:t>
            </w:r>
          </w:p>
        </w:tc>
        <w:tc>
          <w:tcPr>
            <w:tcW w:w="1134" w:type="dxa"/>
          </w:tcPr>
          <w:p w14:paraId="2778C098" w14:textId="77777777" w:rsidR="000E52B0" w:rsidRDefault="00F60D74">
            <w:pPr>
              <w:pStyle w:val="TableParagraph"/>
              <w:spacing w:before="194"/>
              <w:ind w:left="3"/>
              <w:rPr>
                <w:sz w:val="16"/>
              </w:rPr>
            </w:pPr>
            <w:r>
              <w:rPr>
                <w:spacing w:val="-2"/>
                <w:sz w:val="16"/>
              </w:rPr>
              <w:t>669.375.000</w:t>
            </w:r>
          </w:p>
        </w:tc>
        <w:tc>
          <w:tcPr>
            <w:tcW w:w="1479" w:type="dxa"/>
          </w:tcPr>
          <w:p w14:paraId="5E814495" w14:textId="77777777" w:rsidR="000E52B0" w:rsidRDefault="00F60D74">
            <w:pPr>
              <w:pStyle w:val="TableParagraph"/>
              <w:spacing w:before="194"/>
              <w:ind w:left="3"/>
              <w:rPr>
                <w:sz w:val="16"/>
              </w:rPr>
            </w:pPr>
            <w:r>
              <w:rPr>
                <w:spacing w:val="-2"/>
                <w:sz w:val="16"/>
              </w:rPr>
              <w:t>26.775.000.000</w:t>
            </w:r>
          </w:p>
        </w:tc>
        <w:tc>
          <w:tcPr>
            <w:tcW w:w="1025" w:type="dxa"/>
          </w:tcPr>
          <w:p w14:paraId="2030FF44" w14:textId="77777777" w:rsidR="000E52B0" w:rsidRDefault="00F60D74">
            <w:pPr>
              <w:pStyle w:val="TableParagraph"/>
              <w:spacing w:before="95"/>
              <w:ind w:left="2" w:right="50"/>
              <w:rPr>
                <w:sz w:val="16"/>
              </w:rPr>
            </w:pPr>
            <w:r>
              <w:rPr>
                <w:spacing w:val="-2"/>
                <w:sz w:val="16"/>
              </w:rPr>
              <w:t>barras fortalecidas</w:t>
            </w:r>
          </w:p>
        </w:tc>
        <w:tc>
          <w:tcPr>
            <w:tcW w:w="670" w:type="dxa"/>
          </w:tcPr>
          <w:p w14:paraId="12BDA634" w14:textId="77777777" w:rsidR="000E52B0" w:rsidRDefault="00F60D74">
            <w:pPr>
              <w:pStyle w:val="TableParagraph"/>
              <w:spacing w:before="194"/>
              <w:ind w:left="2"/>
              <w:rPr>
                <w:sz w:val="16"/>
              </w:rPr>
            </w:pPr>
            <w:r>
              <w:rPr>
                <w:spacing w:val="-5"/>
                <w:sz w:val="16"/>
              </w:rPr>
              <w:t>40</w:t>
            </w:r>
          </w:p>
        </w:tc>
        <w:tc>
          <w:tcPr>
            <w:tcW w:w="1134" w:type="dxa"/>
          </w:tcPr>
          <w:p w14:paraId="109DCBD8" w14:textId="77777777" w:rsidR="000E52B0" w:rsidRDefault="00F60D74">
            <w:pPr>
              <w:pStyle w:val="TableParagraph"/>
              <w:spacing w:before="194"/>
              <w:ind w:left="2"/>
              <w:rPr>
                <w:sz w:val="16"/>
              </w:rPr>
            </w:pPr>
            <w:r>
              <w:rPr>
                <w:spacing w:val="-2"/>
                <w:sz w:val="16"/>
              </w:rPr>
              <w:t>722.925.000</w:t>
            </w:r>
          </w:p>
        </w:tc>
        <w:tc>
          <w:tcPr>
            <w:tcW w:w="1479" w:type="dxa"/>
          </w:tcPr>
          <w:p w14:paraId="10A1E4BB" w14:textId="77777777" w:rsidR="000E52B0" w:rsidRDefault="00F60D74">
            <w:pPr>
              <w:pStyle w:val="TableParagraph"/>
              <w:spacing w:before="194"/>
              <w:ind w:left="1"/>
              <w:rPr>
                <w:sz w:val="16"/>
              </w:rPr>
            </w:pPr>
            <w:r>
              <w:rPr>
                <w:spacing w:val="-2"/>
                <w:sz w:val="16"/>
              </w:rPr>
              <w:t>28.917.000.000</w:t>
            </w:r>
          </w:p>
        </w:tc>
        <w:tc>
          <w:tcPr>
            <w:tcW w:w="1025" w:type="dxa"/>
          </w:tcPr>
          <w:p w14:paraId="2DD08372" w14:textId="77777777" w:rsidR="000E52B0" w:rsidRDefault="00F60D74">
            <w:pPr>
              <w:pStyle w:val="TableParagraph"/>
              <w:spacing w:before="95"/>
              <w:ind w:right="50"/>
              <w:rPr>
                <w:sz w:val="16"/>
              </w:rPr>
            </w:pPr>
            <w:r>
              <w:rPr>
                <w:spacing w:val="-2"/>
                <w:sz w:val="16"/>
              </w:rPr>
              <w:t>barras fortalecidas</w:t>
            </w:r>
          </w:p>
        </w:tc>
        <w:tc>
          <w:tcPr>
            <w:tcW w:w="670" w:type="dxa"/>
          </w:tcPr>
          <w:p w14:paraId="334F7805" w14:textId="77777777" w:rsidR="000E52B0" w:rsidRDefault="00F60D74">
            <w:pPr>
              <w:pStyle w:val="TableParagraph"/>
              <w:spacing w:before="194"/>
              <w:rPr>
                <w:sz w:val="16"/>
              </w:rPr>
            </w:pPr>
            <w:r>
              <w:rPr>
                <w:spacing w:val="-5"/>
                <w:sz w:val="16"/>
              </w:rPr>
              <w:t>40</w:t>
            </w:r>
          </w:p>
        </w:tc>
        <w:tc>
          <w:tcPr>
            <w:tcW w:w="1219" w:type="dxa"/>
          </w:tcPr>
          <w:p w14:paraId="0ABC15DC" w14:textId="77777777" w:rsidR="000E52B0" w:rsidRDefault="00F60D74">
            <w:pPr>
              <w:pStyle w:val="TableParagraph"/>
              <w:spacing w:before="194"/>
              <w:ind w:left="3"/>
              <w:rPr>
                <w:sz w:val="16"/>
              </w:rPr>
            </w:pPr>
            <w:r>
              <w:rPr>
                <w:spacing w:val="-2"/>
                <w:sz w:val="16"/>
              </w:rPr>
              <w:t>780.759.000</w:t>
            </w:r>
          </w:p>
        </w:tc>
        <w:tc>
          <w:tcPr>
            <w:tcW w:w="1478" w:type="dxa"/>
          </w:tcPr>
          <w:p w14:paraId="6C9F5BAE" w14:textId="77777777" w:rsidR="000E52B0" w:rsidRDefault="00F60D74">
            <w:pPr>
              <w:pStyle w:val="TableParagraph"/>
              <w:spacing w:before="194"/>
              <w:rPr>
                <w:sz w:val="16"/>
              </w:rPr>
            </w:pPr>
            <w:r>
              <w:rPr>
                <w:spacing w:val="-2"/>
                <w:sz w:val="16"/>
              </w:rPr>
              <w:t>31.230.360.000</w:t>
            </w:r>
          </w:p>
        </w:tc>
      </w:tr>
      <w:tr w:rsidR="000E52B0" w14:paraId="0759D417" w14:textId="77777777">
        <w:trPr>
          <w:trHeight w:val="546"/>
        </w:trPr>
        <w:tc>
          <w:tcPr>
            <w:tcW w:w="946" w:type="dxa"/>
          </w:tcPr>
          <w:p w14:paraId="188538CF" w14:textId="77777777" w:rsidR="000E52B0" w:rsidRDefault="00F60D74">
            <w:pPr>
              <w:pStyle w:val="TableParagraph"/>
              <w:spacing w:before="95"/>
              <w:ind w:left="4"/>
              <w:rPr>
                <w:sz w:val="16"/>
              </w:rPr>
            </w:pPr>
            <w:r>
              <w:rPr>
                <w:spacing w:val="-2"/>
                <w:sz w:val="16"/>
              </w:rPr>
              <w:t>Hambre</w:t>
            </w:r>
          </w:p>
        </w:tc>
        <w:tc>
          <w:tcPr>
            <w:tcW w:w="1025" w:type="dxa"/>
          </w:tcPr>
          <w:p w14:paraId="49E112B3" w14:textId="77777777" w:rsidR="000E52B0" w:rsidRDefault="00F60D74">
            <w:pPr>
              <w:pStyle w:val="TableParagraph"/>
              <w:ind w:left="4" w:right="50"/>
              <w:rPr>
                <w:sz w:val="16"/>
              </w:rPr>
            </w:pPr>
            <w:r>
              <w:rPr>
                <w:spacing w:val="-2"/>
                <w:sz w:val="16"/>
              </w:rPr>
              <w:t>familias atendidas</w:t>
            </w:r>
          </w:p>
        </w:tc>
        <w:tc>
          <w:tcPr>
            <w:tcW w:w="670" w:type="dxa"/>
          </w:tcPr>
          <w:p w14:paraId="5A972B07" w14:textId="77777777" w:rsidR="000E52B0" w:rsidRDefault="00F60D74">
            <w:pPr>
              <w:pStyle w:val="TableParagraph"/>
              <w:spacing w:before="95"/>
              <w:ind w:left="4"/>
              <w:rPr>
                <w:sz w:val="16"/>
              </w:rPr>
            </w:pPr>
            <w:r>
              <w:rPr>
                <w:spacing w:val="-2"/>
                <w:sz w:val="16"/>
              </w:rPr>
              <w:t>8.750</w:t>
            </w:r>
          </w:p>
        </w:tc>
        <w:tc>
          <w:tcPr>
            <w:tcW w:w="1134" w:type="dxa"/>
          </w:tcPr>
          <w:p w14:paraId="745A88C0" w14:textId="77777777" w:rsidR="000E52B0" w:rsidRDefault="00F60D74">
            <w:pPr>
              <w:pStyle w:val="TableParagraph"/>
              <w:spacing w:before="95"/>
              <w:ind w:left="3"/>
              <w:rPr>
                <w:sz w:val="16"/>
              </w:rPr>
            </w:pPr>
            <w:r>
              <w:rPr>
                <w:spacing w:val="-2"/>
                <w:sz w:val="16"/>
              </w:rPr>
              <w:t>19.467.360</w:t>
            </w:r>
          </w:p>
        </w:tc>
        <w:tc>
          <w:tcPr>
            <w:tcW w:w="1479" w:type="dxa"/>
          </w:tcPr>
          <w:p w14:paraId="503D2C74" w14:textId="77777777" w:rsidR="000E52B0" w:rsidRDefault="00F60D74">
            <w:pPr>
              <w:pStyle w:val="TableParagraph"/>
              <w:spacing w:before="95"/>
              <w:ind w:left="3"/>
              <w:rPr>
                <w:sz w:val="16"/>
              </w:rPr>
            </w:pPr>
            <w:r>
              <w:rPr>
                <w:spacing w:val="-2"/>
                <w:sz w:val="16"/>
              </w:rPr>
              <w:t>170.339.400.000</w:t>
            </w:r>
          </w:p>
        </w:tc>
        <w:tc>
          <w:tcPr>
            <w:tcW w:w="1025" w:type="dxa"/>
          </w:tcPr>
          <w:p w14:paraId="55DF3DF9" w14:textId="77777777" w:rsidR="000E52B0" w:rsidRDefault="00F60D74">
            <w:pPr>
              <w:pStyle w:val="TableParagraph"/>
              <w:ind w:left="2" w:right="50"/>
              <w:rPr>
                <w:sz w:val="16"/>
              </w:rPr>
            </w:pPr>
            <w:r>
              <w:rPr>
                <w:spacing w:val="-2"/>
                <w:sz w:val="16"/>
              </w:rPr>
              <w:t>familias atendidas</w:t>
            </w:r>
          </w:p>
        </w:tc>
        <w:tc>
          <w:tcPr>
            <w:tcW w:w="670" w:type="dxa"/>
          </w:tcPr>
          <w:p w14:paraId="70595F82" w14:textId="77777777" w:rsidR="000E52B0" w:rsidRDefault="00F60D74">
            <w:pPr>
              <w:pStyle w:val="TableParagraph"/>
              <w:spacing w:before="95"/>
              <w:ind w:left="2"/>
              <w:rPr>
                <w:sz w:val="16"/>
              </w:rPr>
            </w:pPr>
            <w:r>
              <w:rPr>
                <w:spacing w:val="-2"/>
                <w:sz w:val="16"/>
              </w:rPr>
              <w:t>8.750</w:t>
            </w:r>
          </w:p>
        </w:tc>
        <w:tc>
          <w:tcPr>
            <w:tcW w:w="1134" w:type="dxa"/>
          </w:tcPr>
          <w:p w14:paraId="2FB1E734" w14:textId="77777777" w:rsidR="000E52B0" w:rsidRDefault="00F60D74">
            <w:pPr>
              <w:pStyle w:val="TableParagraph"/>
              <w:spacing w:before="95"/>
              <w:ind w:left="2"/>
              <w:rPr>
                <w:sz w:val="16"/>
              </w:rPr>
            </w:pPr>
            <w:r>
              <w:rPr>
                <w:spacing w:val="-2"/>
                <w:sz w:val="16"/>
              </w:rPr>
              <w:t>21.024.749</w:t>
            </w:r>
          </w:p>
        </w:tc>
        <w:tc>
          <w:tcPr>
            <w:tcW w:w="1479" w:type="dxa"/>
          </w:tcPr>
          <w:p w14:paraId="56FF7BCC" w14:textId="77777777" w:rsidR="000E52B0" w:rsidRDefault="00F60D74">
            <w:pPr>
              <w:pStyle w:val="TableParagraph"/>
              <w:spacing w:before="95"/>
              <w:ind w:left="1"/>
              <w:rPr>
                <w:sz w:val="16"/>
              </w:rPr>
            </w:pPr>
            <w:r>
              <w:rPr>
                <w:spacing w:val="-2"/>
                <w:sz w:val="16"/>
              </w:rPr>
              <w:t>183.966.552.000</w:t>
            </w:r>
          </w:p>
        </w:tc>
        <w:tc>
          <w:tcPr>
            <w:tcW w:w="1025" w:type="dxa"/>
          </w:tcPr>
          <w:p w14:paraId="223D2D02" w14:textId="77777777" w:rsidR="000E52B0" w:rsidRDefault="00F60D74">
            <w:pPr>
              <w:pStyle w:val="TableParagraph"/>
              <w:ind w:right="50"/>
              <w:rPr>
                <w:sz w:val="16"/>
              </w:rPr>
            </w:pPr>
            <w:r>
              <w:rPr>
                <w:spacing w:val="-2"/>
                <w:sz w:val="16"/>
              </w:rPr>
              <w:t>familias atendidas</w:t>
            </w:r>
          </w:p>
        </w:tc>
        <w:tc>
          <w:tcPr>
            <w:tcW w:w="670" w:type="dxa"/>
          </w:tcPr>
          <w:p w14:paraId="1FF46EC9" w14:textId="77777777" w:rsidR="000E52B0" w:rsidRDefault="00F60D74">
            <w:pPr>
              <w:pStyle w:val="TableParagraph"/>
              <w:spacing w:before="95"/>
              <w:rPr>
                <w:sz w:val="16"/>
              </w:rPr>
            </w:pPr>
            <w:r>
              <w:rPr>
                <w:spacing w:val="-2"/>
                <w:sz w:val="16"/>
              </w:rPr>
              <w:t>8.750</w:t>
            </w:r>
          </w:p>
        </w:tc>
        <w:tc>
          <w:tcPr>
            <w:tcW w:w="1219" w:type="dxa"/>
          </w:tcPr>
          <w:p w14:paraId="7F4ACC50" w14:textId="77777777" w:rsidR="000E52B0" w:rsidRDefault="00F60D74">
            <w:pPr>
              <w:pStyle w:val="TableParagraph"/>
              <w:spacing w:before="95"/>
              <w:ind w:left="3"/>
              <w:rPr>
                <w:sz w:val="16"/>
              </w:rPr>
            </w:pPr>
            <w:r>
              <w:rPr>
                <w:spacing w:val="-2"/>
                <w:sz w:val="16"/>
              </w:rPr>
              <w:t>22.706.729</w:t>
            </w:r>
          </w:p>
        </w:tc>
        <w:tc>
          <w:tcPr>
            <w:tcW w:w="1478" w:type="dxa"/>
          </w:tcPr>
          <w:p w14:paraId="738D1B36" w14:textId="77777777" w:rsidR="000E52B0" w:rsidRDefault="00F60D74">
            <w:pPr>
              <w:pStyle w:val="TableParagraph"/>
              <w:spacing w:before="95"/>
              <w:rPr>
                <w:sz w:val="16"/>
              </w:rPr>
            </w:pPr>
            <w:r>
              <w:rPr>
                <w:spacing w:val="-2"/>
                <w:sz w:val="16"/>
              </w:rPr>
              <w:t>198.683.876.160</w:t>
            </w:r>
          </w:p>
        </w:tc>
      </w:tr>
      <w:tr w:rsidR="000E52B0" w14:paraId="551E5EEF" w14:textId="77777777">
        <w:trPr>
          <w:trHeight w:val="549"/>
        </w:trPr>
        <w:tc>
          <w:tcPr>
            <w:tcW w:w="946" w:type="dxa"/>
          </w:tcPr>
          <w:p w14:paraId="1C2A385F" w14:textId="77777777" w:rsidR="000E52B0" w:rsidRDefault="00F60D74">
            <w:pPr>
              <w:pStyle w:val="TableParagraph"/>
              <w:spacing w:before="98"/>
              <w:ind w:left="4"/>
              <w:rPr>
                <w:sz w:val="16"/>
              </w:rPr>
            </w:pPr>
            <w:r>
              <w:rPr>
                <w:spacing w:val="-2"/>
                <w:sz w:val="16"/>
              </w:rPr>
              <w:t>Casas</w:t>
            </w:r>
          </w:p>
        </w:tc>
        <w:tc>
          <w:tcPr>
            <w:tcW w:w="1025" w:type="dxa"/>
          </w:tcPr>
          <w:p w14:paraId="1AC148F7" w14:textId="77777777" w:rsidR="000E52B0" w:rsidRDefault="00F60D74">
            <w:pPr>
              <w:pStyle w:val="TableParagraph"/>
              <w:spacing w:before="2"/>
              <w:ind w:left="4" w:right="50"/>
              <w:rPr>
                <w:sz w:val="16"/>
              </w:rPr>
            </w:pPr>
            <w:r>
              <w:rPr>
                <w:spacing w:val="-2"/>
                <w:sz w:val="16"/>
              </w:rPr>
              <w:t>casas instaladas</w:t>
            </w:r>
          </w:p>
        </w:tc>
        <w:tc>
          <w:tcPr>
            <w:tcW w:w="670" w:type="dxa"/>
          </w:tcPr>
          <w:p w14:paraId="0418E4E8" w14:textId="77777777" w:rsidR="000E52B0" w:rsidRDefault="00F60D74">
            <w:pPr>
              <w:pStyle w:val="TableParagraph"/>
              <w:spacing w:before="98"/>
              <w:ind w:left="4"/>
              <w:rPr>
                <w:sz w:val="16"/>
              </w:rPr>
            </w:pPr>
            <w:r>
              <w:rPr>
                <w:spacing w:val="-5"/>
                <w:sz w:val="16"/>
              </w:rPr>
              <w:t>13</w:t>
            </w:r>
          </w:p>
        </w:tc>
        <w:tc>
          <w:tcPr>
            <w:tcW w:w="1134" w:type="dxa"/>
          </w:tcPr>
          <w:p w14:paraId="4A123C19" w14:textId="77777777" w:rsidR="000E52B0" w:rsidRDefault="00F60D74">
            <w:pPr>
              <w:pStyle w:val="TableParagraph"/>
              <w:spacing w:before="98"/>
              <w:ind w:left="3"/>
              <w:rPr>
                <w:sz w:val="16"/>
              </w:rPr>
            </w:pPr>
            <w:r>
              <w:rPr>
                <w:spacing w:val="-2"/>
                <w:sz w:val="16"/>
              </w:rPr>
              <w:t>692.598.000</w:t>
            </w:r>
          </w:p>
        </w:tc>
        <w:tc>
          <w:tcPr>
            <w:tcW w:w="1479" w:type="dxa"/>
          </w:tcPr>
          <w:p w14:paraId="38985E2E" w14:textId="77777777" w:rsidR="000E52B0" w:rsidRDefault="00F60D74">
            <w:pPr>
              <w:pStyle w:val="TableParagraph"/>
              <w:spacing w:before="98"/>
              <w:ind w:left="3"/>
              <w:rPr>
                <w:sz w:val="16"/>
              </w:rPr>
            </w:pPr>
            <w:r>
              <w:rPr>
                <w:spacing w:val="-2"/>
                <w:sz w:val="16"/>
              </w:rPr>
              <w:t>9.003.774.000</w:t>
            </w:r>
          </w:p>
        </w:tc>
        <w:tc>
          <w:tcPr>
            <w:tcW w:w="1025" w:type="dxa"/>
          </w:tcPr>
          <w:p w14:paraId="4861CF0C" w14:textId="77777777" w:rsidR="000E52B0" w:rsidRDefault="00F60D74">
            <w:pPr>
              <w:pStyle w:val="TableParagraph"/>
              <w:spacing w:before="2"/>
              <w:ind w:left="2" w:right="50"/>
              <w:rPr>
                <w:sz w:val="16"/>
              </w:rPr>
            </w:pPr>
            <w:r>
              <w:rPr>
                <w:spacing w:val="-2"/>
                <w:sz w:val="16"/>
              </w:rPr>
              <w:t>casas instaladas</w:t>
            </w:r>
          </w:p>
        </w:tc>
        <w:tc>
          <w:tcPr>
            <w:tcW w:w="670" w:type="dxa"/>
          </w:tcPr>
          <w:p w14:paraId="6B50CC02" w14:textId="77777777" w:rsidR="000E52B0" w:rsidRDefault="00F60D74">
            <w:pPr>
              <w:pStyle w:val="TableParagraph"/>
              <w:spacing w:before="98"/>
              <w:ind w:left="2"/>
              <w:rPr>
                <w:sz w:val="16"/>
              </w:rPr>
            </w:pPr>
            <w:r>
              <w:rPr>
                <w:spacing w:val="-5"/>
                <w:sz w:val="16"/>
              </w:rPr>
              <w:t>14</w:t>
            </w:r>
          </w:p>
        </w:tc>
        <w:tc>
          <w:tcPr>
            <w:tcW w:w="1134" w:type="dxa"/>
          </w:tcPr>
          <w:p w14:paraId="15AF61F7" w14:textId="77777777" w:rsidR="000E52B0" w:rsidRDefault="00F60D74">
            <w:pPr>
              <w:pStyle w:val="TableParagraph"/>
              <w:spacing w:before="98"/>
              <w:ind w:left="2"/>
              <w:rPr>
                <w:sz w:val="16"/>
              </w:rPr>
            </w:pPr>
            <w:r>
              <w:rPr>
                <w:spacing w:val="-2"/>
                <w:sz w:val="16"/>
              </w:rPr>
              <w:t>748.005.840</w:t>
            </w:r>
          </w:p>
        </w:tc>
        <w:tc>
          <w:tcPr>
            <w:tcW w:w="1479" w:type="dxa"/>
          </w:tcPr>
          <w:p w14:paraId="044DF050" w14:textId="77777777" w:rsidR="000E52B0" w:rsidRDefault="00F60D74">
            <w:pPr>
              <w:pStyle w:val="TableParagraph"/>
              <w:spacing w:before="98"/>
              <w:ind w:left="1"/>
              <w:rPr>
                <w:sz w:val="16"/>
              </w:rPr>
            </w:pPr>
            <w:r>
              <w:rPr>
                <w:spacing w:val="-2"/>
                <w:sz w:val="16"/>
              </w:rPr>
              <w:t>10.472.081.760</w:t>
            </w:r>
          </w:p>
        </w:tc>
        <w:tc>
          <w:tcPr>
            <w:tcW w:w="1025" w:type="dxa"/>
          </w:tcPr>
          <w:p w14:paraId="3D08EDA7" w14:textId="77777777" w:rsidR="000E52B0" w:rsidRDefault="00F60D74">
            <w:pPr>
              <w:pStyle w:val="TableParagraph"/>
              <w:spacing w:before="2"/>
              <w:ind w:right="50"/>
              <w:rPr>
                <w:sz w:val="16"/>
              </w:rPr>
            </w:pPr>
            <w:r>
              <w:rPr>
                <w:spacing w:val="-2"/>
                <w:sz w:val="16"/>
              </w:rPr>
              <w:t>casas instaladas</w:t>
            </w:r>
          </w:p>
        </w:tc>
        <w:tc>
          <w:tcPr>
            <w:tcW w:w="670" w:type="dxa"/>
          </w:tcPr>
          <w:p w14:paraId="1A91E92D" w14:textId="77777777" w:rsidR="000E52B0" w:rsidRDefault="00F60D74">
            <w:pPr>
              <w:pStyle w:val="TableParagraph"/>
              <w:spacing w:before="98"/>
              <w:rPr>
                <w:sz w:val="16"/>
              </w:rPr>
            </w:pPr>
            <w:r>
              <w:rPr>
                <w:spacing w:val="-5"/>
                <w:sz w:val="16"/>
              </w:rPr>
              <w:t>15</w:t>
            </w:r>
          </w:p>
        </w:tc>
        <w:tc>
          <w:tcPr>
            <w:tcW w:w="1219" w:type="dxa"/>
          </w:tcPr>
          <w:p w14:paraId="6AAB1E17" w14:textId="77777777" w:rsidR="000E52B0" w:rsidRDefault="00F60D74">
            <w:pPr>
              <w:pStyle w:val="TableParagraph"/>
              <w:spacing w:before="98"/>
              <w:ind w:left="3"/>
              <w:rPr>
                <w:sz w:val="16"/>
              </w:rPr>
            </w:pPr>
            <w:r>
              <w:rPr>
                <w:spacing w:val="-2"/>
                <w:sz w:val="16"/>
              </w:rPr>
              <w:t>807.846.307</w:t>
            </w:r>
          </w:p>
        </w:tc>
        <w:tc>
          <w:tcPr>
            <w:tcW w:w="1478" w:type="dxa"/>
          </w:tcPr>
          <w:p w14:paraId="41AE41C8" w14:textId="77777777" w:rsidR="000E52B0" w:rsidRDefault="00F60D74">
            <w:pPr>
              <w:pStyle w:val="TableParagraph"/>
              <w:spacing w:before="98"/>
              <w:rPr>
                <w:sz w:val="16"/>
              </w:rPr>
            </w:pPr>
            <w:r>
              <w:rPr>
                <w:spacing w:val="-2"/>
                <w:sz w:val="16"/>
              </w:rPr>
              <w:t>12.117.694.608</w:t>
            </w:r>
          </w:p>
        </w:tc>
      </w:tr>
      <w:tr w:rsidR="000E52B0" w14:paraId="002FC4BF" w14:textId="77777777">
        <w:trPr>
          <w:trHeight w:val="549"/>
        </w:trPr>
        <w:tc>
          <w:tcPr>
            <w:tcW w:w="946" w:type="dxa"/>
          </w:tcPr>
          <w:p w14:paraId="092CE965" w14:textId="77777777" w:rsidR="000E52B0" w:rsidRDefault="00F60D74">
            <w:pPr>
              <w:pStyle w:val="TableParagraph"/>
              <w:spacing w:before="98"/>
              <w:ind w:left="4"/>
              <w:rPr>
                <w:sz w:val="16"/>
              </w:rPr>
            </w:pPr>
            <w:r>
              <w:rPr>
                <w:spacing w:val="-2"/>
                <w:sz w:val="16"/>
              </w:rPr>
              <w:t>Salvia</w:t>
            </w:r>
          </w:p>
        </w:tc>
        <w:tc>
          <w:tcPr>
            <w:tcW w:w="1025" w:type="dxa"/>
          </w:tcPr>
          <w:p w14:paraId="1B0270C1" w14:textId="77777777" w:rsidR="000E52B0" w:rsidRDefault="00F60D74">
            <w:pPr>
              <w:pStyle w:val="TableParagraph"/>
              <w:ind w:left="4" w:right="50"/>
              <w:rPr>
                <w:sz w:val="16"/>
              </w:rPr>
            </w:pPr>
            <w:r>
              <w:rPr>
                <w:spacing w:val="-2"/>
                <w:sz w:val="16"/>
              </w:rPr>
              <w:t>Personas atendidas</w:t>
            </w:r>
          </w:p>
        </w:tc>
        <w:tc>
          <w:tcPr>
            <w:tcW w:w="670" w:type="dxa"/>
          </w:tcPr>
          <w:p w14:paraId="47AC6445" w14:textId="77777777" w:rsidR="000E52B0" w:rsidRDefault="00F60D74">
            <w:pPr>
              <w:pStyle w:val="TableParagraph"/>
              <w:spacing w:before="98"/>
              <w:ind w:left="4"/>
              <w:rPr>
                <w:sz w:val="16"/>
              </w:rPr>
            </w:pPr>
            <w:r>
              <w:rPr>
                <w:spacing w:val="-4"/>
                <w:sz w:val="16"/>
              </w:rPr>
              <w:t>6000</w:t>
            </w:r>
          </w:p>
        </w:tc>
        <w:tc>
          <w:tcPr>
            <w:tcW w:w="1134" w:type="dxa"/>
          </w:tcPr>
          <w:p w14:paraId="3B8F81D5" w14:textId="77777777" w:rsidR="000E52B0" w:rsidRDefault="00F60D74">
            <w:pPr>
              <w:pStyle w:val="TableParagraph"/>
              <w:spacing w:before="98"/>
              <w:ind w:left="3"/>
              <w:rPr>
                <w:sz w:val="16"/>
              </w:rPr>
            </w:pPr>
            <w:r>
              <w:rPr>
                <w:spacing w:val="-2"/>
                <w:sz w:val="16"/>
              </w:rPr>
              <w:t>5.250.000</w:t>
            </w:r>
          </w:p>
        </w:tc>
        <w:tc>
          <w:tcPr>
            <w:tcW w:w="1479" w:type="dxa"/>
          </w:tcPr>
          <w:p w14:paraId="0B74AF42" w14:textId="77777777" w:rsidR="000E52B0" w:rsidRDefault="00F60D74">
            <w:pPr>
              <w:pStyle w:val="TableParagraph"/>
              <w:spacing w:before="98"/>
              <w:ind w:left="3"/>
              <w:rPr>
                <w:sz w:val="16"/>
              </w:rPr>
            </w:pPr>
            <w:r>
              <w:rPr>
                <w:spacing w:val="-2"/>
                <w:sz w:val="16"/>
              </w:rPr>
              <w:t>31.500.000.000</w:t>
            </w:r>
          </w:p>
        </w:tc>
        <w:tc>
          <w:tcPr>
            <w:tcW w:w="1025" w:type="dxa"/>
          </w:tcPr>
          <w:p w14:paraId="16743984" w14:textId="77777777" w:rsidR="000E52B0" w:rsidRDefault="00F60D74">
            <w:pPr>
              <w:pStyle w:val="TableParagraph"/>
              <w:ind w:left="2" w:right="50"/>
              <w:rPr>
                <w:sz w:val="16"/>
              </w:rPr>
            </w:pPr>
            <w:r>
              <w:rPr>
                <w:spacing w:val="-2"/>
                <w:sz w:val="16"/>
              </w:rPr>
              <w:t>Personas atendidas</w:t>
            </w:r>
          </w:p>
        </w:tc>
        <w:tc>
          <w:tcPr>
            <w:tcW w:w="670" w:type="dxa"/>
          </w:tcPr>
          <w:p w14:paraId="03CF3BD2" w14:textId="77777777" w:rsidR="000E52B0" w:rsidRDefault="00F60D74">
            <w:pPr>
              <w:pStyle w:val="TableParagraph"/>
              <w:spacing w:before="98"/>
              <w:ind w:left="2"/>
              <w:rPr>
                <w:sz w:val="16"/>
              </w:rPr>
            </w:pPr>
            <w:r>
              <w:rPr>
                <w:spacing w:val="-4"/>
                <w:sz w:val="16"/>
              </w:rPr>
              <w:t>7000</w:t>
            </w:r>
          </w:p>
        </w:tc>
        <w:tc>
          <w:tcPr>
            <w:tcW w:w="1134" w:type="dxa"/>
          </w:tcPr>
          <w:p w14:paraId="4036A9FA" w14:textId="77777777" w:rsidR="000E52B0" w:rsidRDefault="00F60D74">
            <w:pPr>
              <w:pStyle w:val="TableParagraph"/>
              <w:spacing w:before="98"/>
              <w:ind w:left="2"/>
              <w:rPr>
                <w:sz w:val="16"/>
              </w:rPr>
            </w:pPr>
            <w:r>
              <w:rPr>
                <w:spacing w:val="-2"/>
                <w:sz w:val="16"/>
              </w:rPr>
              <w:t>5.670.000</w:t>
            </w:r>
          </w:p>
        </w:tc>
        <w:tc>
          <w:tcPr>
            <w:tcW w:w="1479" w:type="dxa"/>
          </w:tcPr>
          <w:p w14:paraId="0C23A8A0" w14:textId="77777777" w:rsidR="000E52B0" w:rsidRDefault="00F60D74">
            <w:pPr>
              <w:pStyle w:val="TableParagraph"/>
              <w:spacing w:before="98"/>
              <w:ind w:left="1"/>
              <w:rPr>
                <w:sz w:val="16"/>
              </w:rPr>
            </w:pPr>
            <w:r>
              <w:rPr>
                <w:spacing w:val="-2"/>
                <w:sz w:val="16"/>
              </w:rPr>
              <w:t>39.690.000.000</w:t>
            </w:r>
          </w:p>
        </w:tc>
        <w:tc>
          <w:tcPr>
            <w:tcW w:w="1025" w:type="dxa"/>
          </w:tcPr>
          <w:p w14:paraId="4F08BC92" w14:textId="77777777" w:rsidR="000E52B0" w:rsidRDefault="00F60D74">
            <w:pPr>
              <w:pStyle w:val="TableParagraph"/>
              <w:ind w:right="50"/>
              <w:rPr>
                <w:sz w:val="16"/>
              </w:rPr>
            </w:pPr>
            <w:r>
              <w:rPr>
                <w:spacing w:val="-2"/>
                <w:sz w:val="16"/>
              </w:rPr>
              <w:t>Personas atendidas</w:t>
            </w:r>
          </w:p>
        </w:tc>
        <w:tc>
          <w:tcPr>
            <w:tcW w:w="670" w:type="dxa"/>
          </w:tcPr>
          <w:p w14:paraId="1D36FA98" w14:textId="77777777" w:rsidR="000E52B0" w:rsidRDefault="00F60D74">
            <w:pPr>
              <w:pStyle w:val="TableParagraph"/>
              <w:spacing w:before="98"/>
              <w:rPr>
                <w:sz w:val="16"/>
              </w:rPr>
            </w:pPr>
            <w:r>
              <w:rPr>
                <w:spacing w:val="-4"/>
                <w:sz w:val="16"/>
              </w:rPr>
              <w:t>8000</w:t>
            </w:r>
          </w:p>
        </w:tc>
        <w:tc>
          <w:tcPr>
            <w:tcW w:w="1219" w:type="dxa"/>
          </w:tcPr>
          <w:p w14:paraId="61384C9E" w14:textId="77777777" w:rsidR="000E52B0" w:rsidRDefault="00F60D74">
            <w:pPr>
              <w:pStyle w:val="TableParagraph"/>
              <w:spacing w:before="98"/>
              <w:ind w:left="3"/>
              <w:rPr>
                <w:sz w:val="16"/>
              </w:rPr>
            </w:pPr>
            <w:r>
              <w:rPr>
                <w:spacing w:val="-2"/>
                <w:sz w:val="16"/>
              </w:rPr>
              <w:t>6.123.600</w:t>
            </w:r>
          </w:p>
        </w:tc>
        <w:tc>
          <w:tcPr>
            <w:tcW w:w="1478" w:type="dxa"/>
          </w:tcPr>
          <w:p w14:paraId="47E03A77" w14:textId="77777777" w:rsidR="000E52B0" w:rsidRDefault="00F60D74">
            <w:pPr>
              <w:pStyle w:val="TableParagraph"/>
              <w:spacing w:before="98"/>
              <w:rPr>
                <w:sz w:val="16"/>
              </w:rPr>
            </w:pPr>
            <w:r>
              <w:rPr>
                <w:spacing w:val="-2"/>
                <w:sz w:val="16"/>
              </w:rPr>
              <w:t>48.988.800.000</w:t>
            </w:r>
          </w:p>
        </w:tc>
      </w:tr>
      <w:tr w:rsidR="000E52B0" w14:paraId="0575B5F3" w14:textId="77777777">
        <w:trPr>
          <w:trHeight w:val="938"/>
        </w:trPr>
        <w:tc>
          <w:tcPr>
            <w:tcW w:w="946" w:type="dxa"/>
          </w:tcPr>
          <w:p w14:paraId="439B7AE0" w14:textId="77777777" w:rsidR="000E52B0" w:rsidRDefault="00F60D74">
            <w:pPr>
              <w:pStyle w:val="TableParagraph"/>
              <w:ind w:left="4" w:right="32"/>
              <w:rPr>
                <w:sz w:val="16"/>
              </w:rPr>
            </w:pPr>
            <w:r>
              <w:rPr>
                <w:spacing w:val="-2"/>
                <w:sz w:val="16"/>
              </w:rPr>
              <w:t xml:space="preserve">Tejiendo sistemas económico </w:t>
            </w:r>
            <w:r>
              <w:rPr>
                <w:sz w:val="16"/>
              </w:rPr>
              <w:t>s propios</w:t>
            </w:r>
          </w:p>
        </w:tc>
        <w:tc>
          <w:tcPr>
            <w:tcW w:w="1025" w:type="dxa"/>
          </w:tcPr>
          <w:p w14:paraId="3EC5B2A7" w14:textId="77777777" w:rsidR="000E52B0" w:rsidRDefault="000E52B0">
            <w:pPr>
              <w:pStyle w:val="TableParagraph"/>
              <w:rPr>
                <w:sz w:val="16"/>
              </w:rPr>
            </w:pPr>
          </w:p>
          <w:p w14:paraId="41637946" w14:textId="77777777" w:rsidR="000E52B0" w:rsidRDefault="00F60D74">
            <w:pPr>
              <w:pStyle w:val="TableParagraph"/>
              <w:ind w:left="4" w:right="50"/>
              <w:rPr>
                <w:sz w:val="16"/>
              </w:rPr>
            </w:pPr>
            <w:r>
              <w:rPr>
                <w:spacing w:val="-2"/>
                <w:sz w:val="16"/>
              </w:rPr>
              <w:t>proyectos financiados</w:t>
            </w:r>
          </w:p>
        </w:tc>
        <w:tc>
          <w:tcPr>
            <w:tcW w:w="670" w:type="dxa"/>
          </w:tcPr>
          <w:p w14:paraId="20304CA5" w14:textId="77777777" w:rsidR="000E52B0" w:rsidRDefault="000E52B0">
            <w:pPr>
              <w:pStyle w:val="TableParagraph"/>
              <w:spacing w:before="98"/>
              <w:rPr>
                <w:sz w:val="16"/>
              </w:rPr>
            </w:pPr>
          </w:p>
          <w:p w14:paraId="77F92417" w14:textId="77777777" w:rsidR="000E52B0" w:rsidRDefault="00F60D74">
            <w:pPr>
              <w:pStyle w:val="TableParagraph"/>
              <w:ind w:left="4"/>
              <w:rPr>
                <w:sz w:val="16"/>
              </w:rPr>
            </w:pPr>
            <w:r>
              <w:rPr>
                <w:spacing w:val="-5"/>
                <w:sz w:val="16"/>
              </w:rPr>
              <w:t>49</w:t>
            </w:r>
          </w:p>
        </w:tc>
        <w:tc>
          <w:tcPr>
            <w:tcW w:w="1134" w:type="dxa"/>
          </w:tcPr>
          <w:p w14:paraId="2BEA7181" w14:textId="77777777" w:rsidR="000E52B0" w:rsidRDefault="000E52B0">
            <w:pPr>
              <w:pStyle w:val="TableParagraph"/>
              <w:rPr>
                <w:sz w:val="16"/>
              </w:rPr>
            </w:pPr>
          </w:p>
          <w:p w14:paraId="5C11321C" w14:textId="77777777" w:rsidR="000E52B0" w:rsidRDefault="00F60D74">
            <w:pPr>
              <w:pStyle w:val="TableParagraph"/>
              <w:ind w:left="3"/>
              <w:rPr>
                <w:sz w:val="16"/>
              </w:rPr>
            </w:pPr>
            <w:r>
              <w:rPr>
                <w:spacing w:val="-2"/>
                <w:sz w:val="16"/>
              </w:rPr>
              <w:t>2.000.000.00</w:t>
            </w:r>
          </w:p>
          <w:p w14:paraId="1ABC4A9E" w14:textId="77777777" w:rsidR="000E52B0" w:rsidRDefault="00F60D74">
            <w:pPr>
              <w:pStyle w:val="TableParagraph"/>
              <w:ind w:left="3"/>
              <w:rPr>
                <w:sz w:val="16"/>
              </w:rPr>
            </w:pPr>
            <w:r>
              <w:rPr>
                <w:spacing w:val="-10"/>
                <w:sz w:val="16"/>
              </w:rPr>
              <w:t>0</w:t>
            </w:r>
          </w:p>
        </w:tc>
        <w:tc>
          <w:tcPr>
            <w:tcW w:w="1479" w:type="dxa"/>
          </w:tcPr>
          <w:p w14:paraId="44875F32" w14:textId="77777777" w:rsidR="000E52B0" w:rsidRDefault="000E52B0">
            <w:pPr>
              <w:pStyle w:val="TableParagraph"/>
              <w:spacing w:before="98"/>
              <w:rPr>
                <w:sz w:val="16"/>
              </w:rPr>
            </w:pPr>
          </w:p>
          <w:p w14:paraId="185BEC2A" w14:textId="77777777" w:rsidR="000E52B0" w:rsidRDefault="00F60D74">
            <w:pPr>
              <w:pStyle w:val="TableParagraph"/>
              <w:ind w:left="3"/>
              <w:rPr>
                <w:sz w:val="16"/>
              </w:rPr>
            </w:pPr>
            <w:r>
              <w:rPr>
                <w:spacing w:val="-2"/>
                <w:sz w:val="16"/>
              </w:rPr>
              <w:t>98.000.000.000</w:t>
            </w:r>
          </w:p>
        </w:tc>
        <w:tc>
          <w:tcPr>
            <w:tcW w:w="1025" w:type="dxa"/>
          </w:tcPr>
          <w:p w14:paraId="197FC96C" w14:textId="77777777" w:rsidR="000E52B0" w:rsidRDefault="000E52B0">
            <w:pPr>
              <w:pStyle w:val="TableParagraph"/>
              <w:rPr>
                <w:sz w:val="16"/>
              </w:rPr>
            </w:pPr>
          </w:p>
          <w:p w14:paraId="565EF69F" w14:textId="77777777" w:rsidR="000E52B0" w:rsidRDefault="00F60D74">
            <w:pPr>
              <w:pStyle w:val="TableParagraph"/>
              <w:ind w:left="2" w:right="50"/>
              <w:rPr>
                <w:sz w:val="16"/>
              </w:rPr>
            </w:pPr>
            <w:r>
              <w:rPr>
                <w:spacing w:val="-2"/>
                <w:sz w:val="16"/>
              </w:rPr>
              <w:t>proyectos financiados</w:t>
            </w:r>
          </w:p>
        </w:tc>
        <w:tc>
          <w:tcPr>
            <w:tcW w:w="670" w:type="dxa"/>
          </w:tcPr>
          <w:p w14:paraId="1428090E" w14:textId="77777777" w:rsidR="000E52B0" w:rsidRDefault="000E52B0">
            <w:pPr>
              <w:pStyle w:val="TableParagraph"/>
              <w:spacing w:before="98"/>
              <w:rPr>
                <w:sz w:val="16"/>
              </w:rPr>
            </w:pPr>
          </w:p>
          <w:p w14:paraId="5EF02903" w14:textId="77777777" w:rsidR="000E52B0" w:rsidRDefault="00F60D74">
            <w:pPr>
              <w:pStyle w:val="TableParagraph"/>
              <w:ind w:left="2"/>
              <w:rPr>
                <w:sz w:val="16"/>
              </w:rPr>
            </w:pPr>
            <w:r>
              <w:rPr>
                <w:spacing w:val="-5"/>
                <w:sz w:val="16"/>
              </w:rPr>
              <w:t>50</w:t>
            </w:r>
          </w:p>
        </w:tc>
        <w:tc>
          <w:tcPr>
            <w:tcW w:w="1134" w:type="dxa"/>
          </w:tcPr>
          <w:p w14:paraId="3E624A81" w14:textId="77777777" w:rsidR="000E52B0" w:rsidRDefault="000E52B0">
            <w:pPr>
              <w:pStyle w:val="TableParagraph"/>
              <w:rPr>
                <w:sz w:val="16"/>
              </w:rPr>
            </w:pPr>
          </w:p>
          <w:p w14:paraId="5BD11EB6" w14:textId="77777777" w:rsidR="000E52B0" w:rsidRDefault="00F60D74">
            <w:pPr>
              <w:pStyle w:val="TableParagraph"/>
              <w:ind w:left="2"/>
              <w:rPr>
                <w:sz w:val="16"/>
              </w:rPr>
            </w:pPr>
            <w:r>
              <w:rPr>
                <w:spacing w:val="-2"/>
                <w:sz w:val="16"/>
              </w:rPr>
              <w:t>2.160.000.00</w:t>
            </w:r>
          </w:p>
          <w:p w14:paraId="009422E2" w14:textId="77777777" w:rsidR="000E52B0" w:rsidRDefault="00F60D74">
            <w:pPr>
              <w:pStyle w:val="TableParagraph"/>
              <w:ind w:left="2"/>
              <w:rPr>
                <w:sz w:val="16"/>
              </w:rPr>
            </w:pPr>
            <w:r>
              <w:rPr>
                <w:spacing w:val="-10"/>
                <w:sz w:val="16"/>
              </w:rPr>
              <w:t>0</w:t>
            </w:r>
          </w:p>
        </w:tc>
        <w:tc>
          <w:tcPr>
            <w:tcW w:w="1479" w:type="dxa"/>
          </w:tcPr>
          <w:p w14:paraId="4E0AE7C1" w14:textId="77777777" w:rsidR="000E52B0" w:rsidRDefault="000E52B0">
            <w:pPr>
              <w:pStyle w:val="TableParagraph"/>
              <w:spacing w:before="98"/>
              <w:rPr>
                <w:sz w:val="16"/>
              </w:rPr>
            </w:pPr>
          </w:p>
          <w:p w14:paraId="1369C50A" w14:textId="77777777" w:rsidR="000E52B0" w:rsidRDefault="00F60D74">
            <w:pPr>
              <w:pStyle w:val="TableParagraph"/>
              <w:ind w:left="1"/>
              <w:rPr>
                <w:sz w:val="16"/>
              </w:rPr>
            </w:pPr>
            <w:r>
              <w:rPr>
                <w:spacing w:val="-2"/>
                <w:sz w:val="16"/>
              </w:rPr>
              <w:t>108.000.000.000</w:t>
            </w:r>
          </w:p>
        </w:tc>
        <w:tc>
          <w:tcPr>
            <w:tcW w:w="1025" w:type="dxa"/>
          </w:tcPr>
          <w:p w14:paraId="5BB8BB1E" w14:textId="77777777" w:rsidR="000E52B0" w:rsidRDefault="000E52B0">
            <w:pPr>
              <w:pStyle w:val="TableParagraph"/>
              <w:rPr>
                <w:sz w:val="16"/>
              </w:rPr>
            </w:pPr>
          </w:p>
          <w:p w14:paraId="58EF475D" w14:textId="77777777" w:rsidR="000E52B0" w:rsidRDefault="00F60D74">
            <w:pPr>
              <w:pStyle w:val="TableParagraph"/>
              <w:ind w:right="50"/>
              <w:rPr>
                <w:sz w:val="16"/>
              </w:rPr>
            </w:pPr>
            <w:r>
              <w:rPr>
                <w:spacing w:val="-2"/>
                <w:sz w:val="16"/>
              </w:rPr>
              <w:t>proyectos financiados</w:t>
            </w:r>
          </w:p>
        </w:tc>
        <w:tc>
          <w:tcPr>
            <w:tcW w:w="670" w:type="dxa"/>
          </w:tcPr>
          <w:p w14:paraId="6E918FFA" w14:textId="77777777" w:rsidR="000E52B0" w:rsidRDefault="000E52B0">
            <w:pPr>
              <w:pStyle w:val="TableParagraph"/>
              <w:spacing w:before="98"/>
              <w:rPr>
                <w:sz w:val="16"/>
              </w:rPr>
            </w:pPr>
          </w:p>
          <w:p w14:paraId="614D57D0" w14:textId="77777777" w:rsidR="000E52B0" w:rsidRDefault="00F60D74">
            <w:pPr>
              <w:pStyle w:val="TableParagraph"/>
              <w:rPr>
                <w:sz w:val="16"/>
              </w:rPr>
            </w:pPr>
            <w:r>
              <w:rPr>
                <w:spacing w:val="-5"/>
                <w:sz w:val="16"/>
              </w:rPr>
              <w:t>60</w:t>
            </w:r>
          </w:p>
        </w:tc>
        <w:tc>
          <w:tcPr>
            <w:tcW w:w="1219" w:type="dxa"/>
          </w:tcPr>
          <w:p w14:paraId="6F2EB946" w14:textId="77777777" w:rsidR="000E52B0" w:rsidRDefault="000E52B0">
            <w:pPr>
              <w:pStyle w:val="TableParagraph"/>
              <w:rPr>
                <w:sz w:val="16"/>
              </w:rPr>
            </w:pPr>
          </w:p>
          <w:p w14:paraId="6E86B627" w14:textId="77777777" w:rsidR="000E52B0" w:rsidRDefault="00F60D74">
            <w:pPr>
              <w:pStyle w:val="TableParagraph"/>
              <w:ind w:left="3"/>
              <w:rPr>
                <w:sz w:val="16"/>
              </w:rPr>
            </w:pPr>
            <w:r>
              <w:rPr>
                <w:spacing w:val="-2"/>
                <w:sz w:val="16"/>
              </w:rPr>
              <w:t>2.332.800.000</w:t>
            </w:r>
          </w:p>
        </w:tc>
        <w:tc>
          <w:tcPr>
            <w:tcW w:w="1478" w:type="dxa"/>
          </w:tcPr>
          <w:p w14:paraId="4106DC98" w14:textId="77777777" w:rsidR="000E52B0" w:rsidRDefault="000E52B0">
            <w:pPr>
              <w:pStyle w:val="TableParagraph"/>
              <w:spacing w:before="98"/>
              <w:rPr>
                <w:sz w:val="16"/>
              </w:rPr>
            </w:pPr>
          </w:p>
          <w:p w14:paraId="3F4998BF" w14:textId="77777777" w:rsidR="000E52B0" w:rsidRDefault="00F60D74">
            <w:pPr>
              <w:pStyle w:val="TableParagraph"/>
              <w:rPr>
                <w:sz w:val="16"/>
              </w:rPr>
            </w:pPr>
            <w:r>
              <w:rPr>
                <w:spacing w:val="-2"/>
                <w:sz w:val="16"/>
              </w:rPr>
              <w:t>139.968.000.000</w:t>
            </w:r>
          </w:p>
        </w:tc>
      </w:tr>
      <w:tr w:rsidR="000E52B0" w14:paraId="0F67857D" w14:textId="77777777">
        <w:trPr>
          <w:trHeight w:val="938"/>
        </w:trPr>
        <w:tc>
          <w:tcPr>
            <w:tcW w:w="946" w:type="dxa"/>
          </w:tcPr>
          <w:p w14:paraId="0FD1E799" w14:textId="77777777" w:rsidR="000E52B0" w:rsidRDefault="00F60D74">
            <w:pPr>
              <w:pStyle w:val="TableParagraph"/>
              <w:tabs>
                <w:tab w:val="left" w:pos="762"/>
              </w:tabs>
              <w:spacing w:line="194" w:lineRule="exact"/>
              <w:ind w:left="4" w:right="-15"/>
              <w:rPr>
                <w:sz w:val="16"/>
              </w:rPr>
            </w:pPr>
            <w:r>
              <w:rPr>
                <w:spacing w:val="-4"/>
                <w:sz w:val="16"/>
              </w:rPr>
              <w:t>Agua</w:t>
            </w:r>
            <w:r>
              <w:rPr>
                <w:sz w:val="16"/>
              </w:rPr>
              <w:tab/>
            </w:r>
            <w:r>
              <w:rPr>
                <w:spacing w:val="-5"/>
                <w:sz w:val="16"/>
              </w:rPr>
              <w:t>es</w:t>
            </w:r>
          </w:p>
          <w:p w14:paraId="02AE9487" w14:textId="77777777" w:rsidR="000E52B0" w:rsidRDefault="00F60D74">
            <w:pPr>
              <w:pStyle w:val="TableParagraph"/>
              <w:tabs>
                <w:tab w:val="left" w:pos="868"/>
              </w:tabs>
              <w:ind w:left="4" w:right="-15"/>
              <w:rPr>
                <w:sz w:val="16"/>
              </w:rPr>
            </w:pPr>
            <w:r>
              <w:rPr>
                <w:spacing w:val="-4"/>
                <w:sz w:val="16"/>
              </w:rPr>
              <w:t>vida</w:t>
            </w:r>
            <w:r>
              <w:rPr>
                <w:sz w:val="16"/>
              </w:rPr>
              <w:tab/>
            </w:r>
            <w:r>
              <w:rPr>
                <w:spacing w:val="-10"/>
                <w:sz w:val="16"/>
              </w:rPr>
              <w:t>-</w:t>
            </w:r>
          </w:p>
          <w:p w14:paraId="7E84BE81" w14:textId="77777777" w:rsidR="000E52B0" w:rsidRDefault="00F60D74">
            <w:pPr>
              <w:pStyle w:val="TableParagraph"/>
              <w:ind w:left="4"/>
              <w:rPr>
                <w:sz w:val="16"/>
              </w:rPr>
            </w:pPr>
            <w:proofErr w:type="spellStart"/>
            <w:r>
              <w:rPr>
                <w:spacing w:val="-2"/>
                <w:sz w:val="16"/>
              </w:rPr>
              <w:t>Convencion</w:t>
            </w:r>
            <w:proofErr w:type="spellEnd"/>
            <w:r>
              <w:rPr>
                <w:spacing w:val="-2"/>
                <w:sz w:val="16"/>
              </w:rPr>
              <w:t xml:space="preserve"> </w:t>
            </w:r>
            <w:r>
              <w:rPr>
                <w:spacing w:val="-6"/>
                <w:sz w:val="16"/>
              </w:rPr>
              <w:t>al</w:t>
            </w:r>
          </w:p>
        </w:tc>
        <w:tc>
          <w:tcPr>
            <w:tcW w:w="1025" w:type="dxa"/>
          </w:tcPr>
          <w:p w14:paraId="458D554C" w14:textId="77777777" w:rsidR="000E52B0" w:rsidRDefault="00F60D74">
            <w:pPr>
              <w:pStyle w:val="TableParagraph"/>
              <w:spacing w:before="194"/>
              <w:ind w:left="4" w:right="50"/>
              <w:rPr>
                <w:sz w:val="16"/>
              </w:rPr>
            </w:pPr>
            <w:r>
              <w:rPr>
                <w:spacing w:val="-2"/>
                <w:sz w:val="16"/>
              </w:rPr>
              <w:t>proyectos financiados</w:t>
            </w:r>
          </w:p>
        </w:tc>
        <w:tc>
          <w:tcPr>
            <w:tcW w:w="670" w:type="dxa"/>
          </w:tcPr>
          <w:p w14:paraId="5A0E2DE2" w14:textId="77777777" w:rsidR="000E52B0" w:rsidRDefault="000E52B0">
            <w:pPr>
              <w:pStyle w:val="TableParagraph"/>
              <w:rPr>
                <w:rFonts w:ascii="Times New Roman"/>
                <w:sz w:val="16"/>
              </w:rPr>
            </w:pPr>
          </w:p>
        </w:tc>
        <w:tc>
          <w:tcPr>
            <w:tcW w:w="1134" w:type="dxa"/>
          </w:tcPr>
          <w:p w14:paraId="6D0318CE" w14:textId="77777777" w:rsidR="000E52B0" w:rsidRDefault="000E52B0">
            <w:pPr>
              <w:pStyle w:val="TableParagraph"/>
              <w:rPr>
                <w:rFonts w:ascii="Times New Roman"/>
                <w:sz w:val="16"/>
              </w:rPr>
            </w:pPr>
          </w:p>
        </w:tc>
        <w:tc>
          <w:tcPr>
            <w:tcW w:w="1479" w:type="dxa"/>
          </w:tcPr>
          <w:p w14:paraId="2ADB91A5" w14:textId="77777777" w:rsidR="000E52B0" w:rsidRDefault="000E52B0">
            <w:pPr>
              <w:pStyle w:val="TableParagraph"/>
              <w:spacing w:before="98"/>
              <w:rPr>
                <w:sz w:val="16"/>
              </w:rPr>
            </w:pPr>
          </w:p>
          <w:p w14:paraId="446F35B1" w14:textId="77777777" w:rsidR="000E52B0" w:rsidRDefault="00F60D74">
            <w:pPr>
              <w:pStyle w:val="TableParagraph"/>
              <w:ind w:left="3"/>
              <w:rPr>
                <w:sz w:val="16"/>
              </w:rPr>
            </w:pPr>
            <w:r>
              <w:rPr>
                <w:spacing w:val="-2"/>
                <w:sz w:val="16"/>
              </w:rPr>
              <w:t>221.681.826.000</w:t>
            </w:r>
          </w:p>
        </w:tc>
        <w:tc>
          <w:tcPr>
            <w:tcW w:w="1025" w:type="dxa"/>
          </w:tcPr>
          <w:p w14:paraId="796B9D77" w14:textId="77777777" w:rsidR="000E52B0" w:rsidRDefault="000E52B0">
            <w:pPr>
              <w:pStyle w:val="TableParagraph"/>
              <w:rPr>
                <w:rFonts w:ascii="Times New Roman"/>
                <w:sz w:val="16"/>
              </w:rPr>
            </w:pPr>
          </w:p>
        </w:tc>
        <w:tc>
          <w:tcPr>
            <w:tcW w:w="670" w:type="dxa"/>
          </w:tcPr>
          <w:p w14:paraId="3084DA17" w14:textId="77777777" w:rsidR="000E52B0" w:rsidRDefault="000E52B0">
            <w:pPr>
              <w:pStyle w:val="TableParagraph"/>
              <w:rPr>
                <w:rFonts w:ascii="Times New Roman"/>
                <w:sz w:val="16"/>
              </w:rPr>
            </w:pPr>
          </w:p>
        </w:tc>
        <w:tc>
          <w:tcPr>
            <w:tcW w:w="1134" w:type="dxa"/>
          </w:tcPr>
          <w:p w14:paraId="73AF6192" w14:textId="77777777" w:rsidR="000E52B0" w:rsidRDefault="000E52B0">
            <w:pPr>
              <w:pStyle w:val="TableParagraph"/>
              <w:rPr>
                <w:rFonts w:ascii="Times New Roman"/>
                <w:sz w:val="16"/>
              </w:rPr>
            </w:pPr>
          </w:p>
        </w:tc>
        <w:tc>
          <w:tcPr>
            <w:tcW w:w="1479" w:type="dxa"/>
          </w:tcPr>
          <w:p w14:paraId="2A3F073D" w14:textId="77777777" w:rsidR="000E52B0" w:rsidRDefault="000E52B0">
            <w:pPr>
              <w:pStyle w:val="TableParagraph"/>
              <w:spacing w:before="98"/>
              <w:rPr>
                <w:sz w:val="16"/>
              </w:rPr>
            </w:pPr>
          </w:p>
          <w:p w14:paraId="4F0589E6" w14:textId="77777777" w:rsidR="000E52B0" w:rsidRDefault="00F60D74">
            <w:pPr>
              <w:pStyle w:val="TableParagraph"/>
              <w:ind w:left="1"/>
              <w:rPr>
                <w:sz w:val="16"/>
              </w:rPr>
            </w:pPr>
            <w:r>
              <w:rPr>
                <w:spacing w:val="-2"/>
                <w:sz w:val="16"/>
              </w:rPr>
              <w:t>239.416.372.080</w:t>
            </w:r>
          </w:p>
        </w:tc>
        <w:tc>
          <w:tcPr>
            <w:tcW w:w="1025" w:type="dxa"/>
          </w:tcPr>
          <w:p w14:paraId="2288151F" w14:textId="77777777" w:rsidR="000E52B0" w:rsidRDefault="000E52B0">
            <w:pPr>
              <w:pStyle w:val="TableParagraph"/>
              <w:rPr>
                <w:rFonts w:ascii="Times New Roman"/>
                <w:sz w:val="16"/>
              </w:rPr>
            </w:pPr>
          </w:p>
        </w:tc>
        <w:tc>
          <w:tcPr>
            <w:tcW w:w="670" w:type="dxa"/>
          </w:tcPr>
          <w:p w14:paraId="599F1490" w14:textId="77777777" w:rsidR="000E52B0" w:rsidRDefault="000E52B0">
            <w:pPr>
              <w:pStyle w:val="TableParagraph"/>
              <w:rPr>
                <w:rFonts w:ascii="Times New Roman"/>
                <w:sz w:val="16"/>
              </w:rPr>
            </w:pPr>
          </w:p>
        </w:tc>
        <w:tc>
          <w:tcPr>
            <w:tcW w:w="1219" w:type="dxa"/>
          </w:tcPr>
          <w:p w14:paraId="46E4AB09" w14:textId="77777777" w:rsidR="000E52B0" w:rsidRDefault="00F60D74">
            <w:pPr>
              <w:pStyle w:val="TableParagraph"/>
              <w:spacing w:before="194"/>
              <w:ind w:left="3"/>
              <w:rPr>
                <w:sz w:val="16"/>
              </w:rPr>
            </w:pPr>
            <w:r>
              <w:rPr>
                <w:spacing w:val="-2"/>
                <w:sz w:val="16"/>
              </w:rPr>
              <w:t>258.569.681.8</w:t>
            </w:r>
          </w:p>
          <w:p w14:paraId="4D824020" w14:textId="77777777" w:rsidR="000E52B0" w:rsidRDefault="00F60D74">
            <w:pPr>
              <w:pStyle w:val="TableParagraph"/>
              <w:ind w:left="3"/>
              <w:rPr>
                <w:sz w:val="16"/>
              </w:rPr>
            </w:pPr>
            <w:r>
              <w:rPr>
                <w:spacing w:val="-5"/>
                <w:sz w:val="16"/>
              </w:rPr>
              <w:t>46</w:t>
            </w:r>
          </w:p>
        </w:tc>
        <w:tc>
          <w:tcPr>
            <w:tcW w:w="1478" w:type="dxa"/>
          </w:tcPr>
          <w:p w14:paraId="18E2ECE2" w14:textId="77777777" w:rsidR="000E52B0" w:rsidRDefault="000E52B0">
            <w:pPr>
              <w:pStyle w:val="TableParagraph"/>
              <w:spacing w:before="98"/>
              <w:rPr>
                <w:sz w:val="16"/>
              </w:rPr>
            </w:pPr>
          </w:p>
          <w:p w14:paraId="54A66B19" w14:textId="77777777" w:rsidR="000E52B0" w:rsidRDefault="00F60D74">
            <w:pPr>
              <w:pStyle w:val="TableParagraph"/>
              <w:rPr>
                <w:sz w:val="16"/>
              </w:rPr>
            </w:pPr>
            <w:r>
              <w:rPr>
                <w:spacing w:val="-2"/>
                <w:sz w:val="16"/>
              </w:rPr>
              <w:t>258.569.681.846</w:t>
            </w:r>
          </w:p>
        </w:tc>
      </w:tr>
      <w:tr w:rsidR="000E52B0" w14:paraId="5A4073D8" w14:textId="77777777">
        <w:trPr>
          <w:trHeight w:val="938"/>
        </w:trPr>
        <w:tc>
          <w:tcPr>
            <w:tcW w:w="946" w:type="dxa"/>
          </w:tcPr>
          <w:p w14:paraId="1178B300" w14:textId="77777777" w:rsidR="000E52B0" w:rsidRDefault="00F60D74">
            <w:pPr>
              <w:pStyle w:val="TableParagraph"/>
              <w:ind w:left="4" w:right="-15"/>
              <w:jc w:val="both"/>
              <w:rPr>
                <w:sz w:val="16"/>
              </w:rPr>
            </w:pPr>
            <w:r>
              <w:rPr>
                <w:sz w:val="16"/>
              </w:rPr>
              <w:t xml:space="preserve">Agua es vida - No </w:t>
            </w:r>
            <w:proofErr w:type="spellStart"/>
            <w:r>
              <w:rPr>
                <w:spacing w:val="-2"/>
                <w:sz w:val="16"/>
              </w:rPr>
              <w:t>Convencion</w:t>
            </w:r>
            <w:proofErr w:type="spellEnd"/>
            <w:r>
              <w:rPr>
                <w:spacing w:val="-2"/>
                <w:sz w:val="16"/>
              </w:rPr>
              <w:t xml:space="preserve"> </w:t>
            </w:r>
            <w:r>
              <w:rPr>
                <w:spacing w:val="-6"/>
                <w:sz w:val="16"/>
              </w:rPr>
              <w:t>al</w:t>
            </w:r>
          </w:p>
        </w:tc>
        <w:tc>
          <w:tcPr>
            <w:tcW w:w="1025" w:type="dxa"/>
          </w:tcPr>
          <w:p w14:paraId="5E77CF61" w14:textId="77777777" w:rsidR="000E52B0" w:rsidRDefault="00F60D74">
            <w:pPr>
              <w:pStyle w:val="TableParagraph"/>
              <w:spacing w:before="194"/>
              <w:ind w:left="4" w:right="50"/>
              <w:rPr>
                <w:sz w:val="16"/>
              </w:rPr>
            </w:pPr>
            <w:r>
              <w:rPr>
                <w:spacing w:val="-2"/>
                <w:sz w:val="16"/>
              </w:rPr>
              <w:t>proyectos financiados</w:t>
            </w:r>
          </w:p>
        </w:tc>
        <w:tc>
          <w:tcPr>
            <w:tcW w:w="670" w:type="dxa"/>
          </w:tcPr>
          <w:p w14:paraId="355BA7E9" w14:textId="77777777" w:rsidR="000E52B0" w:rsidRDefault="000E52B0">
            <w:pPr>
              <w:pStyle w:val="TableParagraph"/>
              <w:rPr>
                <w:rFonts w:ascii="Times New Roman"/>
                <w:sz w:val="16"/>
              </w:rPr>
            </w:pPr>
          </w:p>
        </w:tc>
        <w:tc>
          <w:tcPr>
            <w:tcW w:w="1134" w:type="dxa"/>
          </w:tcPr>
          <w:p w14:paraId="18457029" w14:textId="77777777" w:rsidR="000E52B0" w:rsidRDefault="000E52B0">
            <w:pPr>
              <w:pStyle w:val="TableParagraph"/>
              <w:rPr>
                <w:rFonts w:ascii="Times New Roman"/>
                <w:sz w:val="16"/>
              </w:rPr>
            </w:pPr>
          </w:p>
        </w:tc>
        <w:tc>
          <w:tcPr>
            <w:tcW w:w="1479" w:type="dxa"/>
          </w:tcPr>
          <w:p w14:paraId="3AEC988E" w14:textId="77777777" w:rsidR="000E52B0" w:rsidRDefault="000E52B0">
            <w:pPr>
              <w:pStyle w:val="TableParagraph"/>
              <w:spacing w:before="98"/>
              <w:rPr>
                <w:sz w:val="16"/>
              </w:rPr>
            </w:pPr>
          </w:p>
          <w:p w14:paraId="21A55A40" w14:textId="77777777" w:rsidR="000E52B0" w:rsidRDefault="00F60D74">
            <w:pPr>
              <w:pStyle w:val="TableParagraph"/>
              <w:ind w:left="3"/>
              <w:rPr>
                <w:sz w:val="16"/>
              </w:rPr>
            </w:pPr>
            <w:r>
              <w:rPr>
                <w:spacing w:val="-2"/>
                <w:sz w:val="16"/>
              </w:rPr>
              <w:t>382.321.038.626</w:t>
            </w:r>
          </w:p>
        </w:tc>
        <w:tc>
          <w:tcPr>
            <w:tcW w:w="1025" w:type="dxa"/>
          </w:tcPr>
          <w:p w14:paraId="5F841AD8" w14:textId="77777777" w:rsidR="000E52B0" w:rsidRDefault="000E52B0">
            <w:pPr>
              <w:pStyle w:val="TableParagraph"/>
              <w:rPr>
                <w:rFonts w:ascii="Times New Roman"/>
                <w:sz w:val="16"/>
              </w:rPr>
            </w:pPr>
          </w:p>
        </w:tc>
        <w:tc>
          <w:tcPr>
            <w:tcW w:w="670" w:type="dxa"/>
          </w:tcPr>
          <w:p w14:paraId="6A06C940" w14:textId="77777777" w:rsidR="000E52B0" w:rsidRDefault="000E52B0">
            <w:pPr>
              <w:pStyle w:val="TableParagraph"/>
              <w:rPr>
                <w:rFonts w:ascii="Times New Roman"/>
                <w:sz w:val="16"/>
              </w:rPr>
            </w:pPr>
          </w:p>
        </w:tc>
        <w:tc>
          <w:tcPr>
            <w:tcW w:w="1134" w:type="dxa"/>
          </w:tcPr>
          <w:p w14:paraId="216394F6" w14:textId="77777777" w:rsidR="000E52B0" w:rsidRDefault="000E52B0">
            <w:pPr>
              <w:pStyle w:val="TableParagraph"/>
              <w:rPr>
                <w:rFonts w:ascii="Times New Roman"/>
                <w:sz w:val="16"/>
              </w:rPr>
            </w:pPr>
          </w:p>
        </w:tc>
        <w:tc>
          <w:tcPr>
            <w:tcW w:w="1479" w:type="dxa"/>
          </w:tcPr>
          <w:p w14:paraId="04566CC0" w14:textId="77777777" w:rsidR="000E52B0" w:rsidRDefault="000E52B0">
            <w:pPr>
              <w:pStyle w:val="TableParagraph"/>
              <w:spacing w:before="98"/>
              <w:rPr>
                <w:sz w:val="16"/>
              </w:rPr>
            </w:pPr>
          </w:p>
          <w:p w14:paraId="0296AAE4" w14:textId="77777777" w:rsidR="000E52B0" w:rsidRDefault="00F60D74">
            <w:pPr>
              <w:pStyle w:val="TableParagraph"/>
              <w:ind w:left="1"/>
              <w:rPr>
                <w:sz w:val="16"/>
              </w:rPr>
            </w:pPr>
            <w:r>
              <w:rPr>
                <w:spacing w:val="-2"/>
                <w:sz w:val="16"/>
              </w:rPr>
              <w:t>412.906.721.716</w:t>
            </w:r>
          </w:p>
        </w:tc>
        <w:tc>
          <w:tcPr>
            <w:tcW w:w="1025" w:type="dxa"/>
          </w:tcPr>
          <w:p w14:paraId="69269596" w14:textId="77777777" w:rsidR="000E52B0" w:rsidRDefault="000E52B0">
            <w:pPr>
              <w:pStyle w:val="TableParagraph"/>
              <w:rPr>
                <w:rFonts w:ascii="Times New Roman"/>
                <w:sz w:val="16"/>
              </w:rPr>
            </w:pPr>
          </w:p>
        </w:tc>
        <w:tc>
          <w:tcPr>
            <w:tcW w:w="670" w:type="dxa"/>
          </w:tcPr>
          <w:p w14:paraId="08459482" w14:textId="77777777" w:rsidR="000E52B0" w:rsidRDefault="000E52B0">
            <w:pPr>
              <w:pStyle w:val="TableParagraph"/>
              <w:rPr>
                <w:rFonts w:ascii="Times New Roman"/>
                <w:sz w:val="16"/>
              </w:rPr>
            </w:pPr>
          </w:p>
        </w:tc>
        <w:tc>
          <w:tcPr>
            <w:tcW w:w="1219" w:type="dxa"/>
          </w:tcPr>
          <w:p w14:paraId="705EF0C0" w14:textId="77777777" w:rsidR="000E52B0" w:rsidRDefault="000E52B0">
            <w:pPr>
              <w:pStyle w:val="TableParagraph"/>
              <w:rPr>
                <w:rFonts w:ascii="Times New Roman"/>
                <w:sz w:val="16"/>
              </w:rPr>
            </w:pPr>
          </w:p>
        </w:tc>
        <w:tc>
          <w:tcPr>
            <w:tcW w:w="1478" w:type="dxa"/>
          </w:tcPr>
          <w:p w14:paraId="0546F86E" w14:textId="77777777" w:rsidR="000E52B0" w:rsidRDefault="000E52B0">
            <w:pPr>
              <w:pStyle w:val="TableParagraph"/>
              <w:spacing w:before="98"/>
              <w:rPr>
                <w:sz w:val="16"/>
              </w:rPr>
            </w:pPr>
          </w:p>
          <w:p w14:paraId="0EB53F0C" w14:textId="77777777" w:rsidR="000E52B0" w:rsidRDefault="00F60D74">
            <w:pPr>
              <w:pStyle w:val="TableParagraph"/>
              <w:rPr>
                <w:sz w:val="16"/>
              </w:rPr>
            </w:pPr>
            <w:r>
              <w:rPr>
                <w:spacing w:val="-2"/>
                <w:sz w:val="16"/>
              </w:rPr>
              <w:t>445.939.259.453</w:t>
            </w:r>
          </w:p>
        </w:tc>
      </w:tr>
      <w:tr w:rsidR="000E52B0" w14:paraId="61AA93EA" w14:textId="77777777">
        <w:trPr>
          <w:trHeight w:val="743"/>
        </w:trPr>
        <w:tc>
          <w:tcPr>
            <w:tcW w:w="946" w:type="dxa"/>
            <w:vMerge w:val="restart"/>
          </w:tcPr>
          <w:p w14:paraId="75A9000E" w14:textId="77777777" w:rsidR="000E52B0" w:rsidRDefault="000E52B0">
            <w:pPr>
              <w:pStyle w:val="TableParagraph"/>
              <w:rPr>
                <w:sz w:val="16"/>
              </w:rPr>
            </w:pPr>
          </w:p>
          <w:p w14:paraId="6F740A13" w14:textId="77777777" w:rsidR="000E52B0" w:rsidRDefault="000E52B0">
            <w:pPr>
              <w:pStyle w:val="TableParagraph"/>
              <w:rPr>
                <w:sz w:val="16"/>
              </w:rPr>
            </w:pPr>
          </w:p>
          <w:p w14:paraId="51B377CF" w14:textId="77777777" w:rsidR="000E52B0" w:rsidRDefault="000E52B0">
            <w:pPr>
              <w:pStyle w:val="TableParagraph"/>
              <w:rPr>
                <w:sz w:val="16"/>
              </w:rPr>
            </w:pPr>
          </w:p>
          <w:p w14:paraId="6D08123E" w14:textId="77777777" w:rsidR="000E52B0" w:rsidRDefault="000E52B0">
            <w:pPr>
              <w:pStyle w:val="TableParagraph"/>
              <w:spacing w:before="71"/>
              <w:rPr>
                <w:sz w:val="16"/>
              </w:rPr>
            </w:pPr>
          </w:p>
          <w:p w14:paraId="69B0D0C1" w14:textId="77777777" w:rsidR="000E52B0" w:rsidRDefault="00F60D74">
            <w:pPr>
              <w:pStyle w:val="TableParagraph"/>
              <w:spacing w:line="242" w:lineRule="auto"/>
              <w:ind w:left="4"/>
              <w:rPr>
                <w:sz w:val="16"/>
              </w:rPr>
            </w:pPr>
            <w:proofErr w:type="spellStart"/>
            <w:r>
              <w:rPr>
                <w:spacing w:val="-2"/>
                <w:sz w:val="16"/>
              </w:rPr>
              <w:t>Discapacid</w:t>
            </w:r>
            <w:proofErr w:type="spellEnd"/>
            <w:r>
              <w:rPr>
                <w:spacing w:val="-2"/>
                <w:sz w:val="16"/>
              </w:rPr>
              <w:t xml:space="preserve"> </w:t>
            </w:r>
            <w:r>
              <w:rPr>
                <w:spacing w:val="-6"/>
                <w:sz w:val="16"/>
              </w:rPr>
              <w:t>ad</w:t>
            </w:r>
          </w:p>
        </w:tc>
        <w:tc>
          <w:tcPr>
            <w:tcW w:w="1025" w:type="dxa"/>
          </w:tcPr>
          <w:p w14:paraId="3F455C3F" w14:textId="77777777" w:rsidR="000E52B0" w:rsidRDefault="00F60D74">
            <w:pPr>
              <w:pStyle w:val="TableParagraph"/>
              <w:ind w:left="4"/>
              <w:rPr>
                <w:sz w:val="16"/>
              </w:rPr>
            </w:pPr>
            <w:r>
              <w:rPr>
                <w:spacing w:val="-2"/>
                <w:sz w:val="16"/>
              </w:rPr>
              <w:t>personas beneficiarias</w:t>
            </w:r>
          </w:p>
        </w:tc>
        <w:tc>
          <w:tcPr>
            <w:tcW w:w="670" w:type="dxa"/>
          </w:tcPr>
          <w:p w14:paraId="62F0B873" w14:textId="77777777" w:rsidR="000E52B0" w:rsidRDefault="00F60D74">
            <w:pPr>
              <w:pStyle w:val="TableParagraph"/>
              <w:spacing w:before="194"/>
              <w:ind w:left="4"/>
              <w:rPr>
                <w:sz w:val="16"/>
              </w:rPr>
            </w:pPr>
            <w:r>
              <w:rPr>
                <w:spacing w:val="-4"/>
                <w:sz w:val="16"/>
              </w:rPr>
              <w:t>3700</w:t>
            </w:r>
          </w:p>
        </w:tc>
        <w:tc>
          <w:tcPr>
            <w:tcW w:w="1134" w:type="dxa"/>
          </w:tcPr>
          <w:p w14:paraId="47E0EC44" w14:textId="77777777" w:rsidR="000E52B0" w:rsidRDefault="00F60D74">
            <w:pPr>
              <w:pStyle w:val="TableParagraph"/>
              <w:spacing w:before="194"/>
              <w:ind w:left="3"/>
              <w:rPr>
                <w:sz w:val="16"/>
              </w:rPr>
            </w:pPr>
            <w:r>
              <w:rPr>
                <w:spacing w:val="-2"/>
                <w:sz w:val="16"/>
              </w:rPr>
              <w:t>5.317.278</w:t>
            </w:r>
          </w:p>
        </w:tc>
        <w:tc>
          <w:tcPr>
            <w:tcW w:w="1479" w:type="dxa"/>
          </w:tcPr>
          <w:p w14:paraId="1AD4DA67" w14:textId="77777777" w:rsidR="000E52B0" w:rsidRDefault="00F60D74">
            <w:pPr>
              <w:pStyle w:val="TableParagraph"/>
              <w:spacing w:before="194"/>
              <w:ind w:left="3"/>
              <w:rPr>
                <w:sz w:val="16"/>
              </w:rPr>
            </w:pPr>
            <w:r>
              <w:rPr>
                <w:spacing w:val="-2"/>
                <w:sz w:val="16"/>
              </w:rPr>
              <w:t>19.673.927.000</w:t>
            </w:r>
          </w:p>
        </w:tc>
        <w:tc>
          <w:tcPr>
            <w:tcW w:w="1025" w:type="dxa"/>
          </w:tcPr>
          <w:p w14:paraId="72CB51E5" w14:textId="77777777" w:rsidR="000E52B0" w:rsidRDefault="00F60D74">
            <w:pPr>
              <w:pStyle w:val="TableParagraph"/>
              <w:ind w:left="2"/>
              <w:rPr>
                <w:sz w:val="16"/>
              </w:rPr>
            </w:pPr>
            <w:r>
              <w:rPr>
                <w:spacing w:val="-2"/>
                <w:sz w:val="16"/>
              </w:rPr>
              <w:t>personas beneficiarias</w:t>
            </w:r>
          </w:p>
        </w:tc>
        <w:tc>
          <w:tcPr>
            <w:tcW w:w="670" w:type="dxa"/>
          </w:tcPr>
          <w:p w14:paraId="7D11AC08" w14:textId="77777777" w:rsidR="000E52B0" w:rsidRDefault="00F60D74">
            <w:pPr>
              <w:pStyle w:val="TableParagraph"/>
              <w:spacing w:before="194"/>
              <w:ind w:left="2"/>
              <w:rPr>
                <w:sz w:val="16"/>
              </w:rPr>
            </w:pPr>
            <w:r>
              <w:rPr>
                <w:spacing w:val="-4"/>
                <w:sz w:val="16"/>
              </w:rPr>
              <w:t>3700</w:t>
            </w:r>
          </w:p>
        </w:tc>
        <w:tc>
          <w:tcPr>
            <w:tcW w:w="1134" w:type="dxa"/>
          </w:tcPr>
          <w:p w14:paraId="2A01BA33" w14:textId="77777777" w:rsidR="000E52B0" w:rsidRDefault="00F60D74">
            <w:pPr>
              <w:pStyle w:val="TableParagraph"/>
              <w:spacing w:before="194"/>
              <w:ind w:left="2"/>
              <w:rPr>
                <w:sz w:val="16"/>
              </w:rPr>
            </w:pPr>
            <w:r>
              <w:rPr>
                <w:spacing w:val="-2"/>
                <w:sz w:val="16"/>
              </w:rPr>
              <w:t>5.476.796</w:t>
            </w:r>
          </w:p>
        </w:tc>
        <w:tc>
          <w:tcPr>
            <w:tcW w:w="1479" w:type="dxa"/>
          </w:tcPr>
          <w:p w14:paraId="1F5103C8" w14:textId="77777777" w:rsidR="000E52B0" w:rsidRDefault="00F60D74">
            <w:pPr>
              <w:pStyle w:val="TableParagraph"/>
              <w:spacing w:before="194"/>
              <w:ind w:left="1"/>
              <w:rPr>
                <w:sz w:val="16"/>
              </w:rPr>
            </w:pPr>
            <w:r>
              <w:rPr>
                <w:spacing w:val="-2"/>
                <w:sz w:val="16"/>
              </w:rPr>
              <w:t>20.264.144.810</w:t>
            </w:r>
          </w:p>
        </w:tc>
        <w:tc>
          <w:tcPr>
            <w:tcW w:w="1025" w:type="dxa"/>
          </w:tcPr>
          <w:p w14:paraId="020ACD8D" w14:textId="77777777" w:rsidR="000E52B0" w:rsidRDefault="00F60D74">
            <w:pPr>
              <w:pStyle w:val="TableParagraph"/>
              <w:rPr>
                <w:sz w:val="16"/>
              </w:rPr>
            </w:pPr>
            <w:r>
              <w:rPr>
                <w:spacing w:val="-2"/>
                <w:sz w:val="16"/>
              </w:rPr>
              <w:t>personas beneficiarias</w:t>
            </w:r>
          </w:p>
        </w:tc>
        <w:tc>
          <w:tcPr>
            <w:tcW w:w="670" w:type="dxa"/>
          </w:tcPr>
          <w:p w14:paraId="737C4F0B" w14:textId="77777777" w:rsidR="000E52B0" w:rsidRDefault="00F60D74">
            <w:pPr>
              <w:pStyle w:val="TableParagraph"/>
              <w:spacing w:before="194"/>
              <w:rPr>
                <w:sz w:val="16"/>
              </w:rPr>
            </w:pPr>
            <w:r>
              <w:rPr>
                <w:spacing w:val="-4"/>
                <w:sz w:val="16"/>
              </w:rPr>
              <w:t>3700</w:t>
            </w:r>
          </w:p>
        </w:tc>
        <w:tc>
          <w:tcPr>
            <w:tcW w:w="1219" w:type="dxa"/>
          </w:tcPr>
          <w:p w14:paraId="02F15B61" w14:textId="77777777" w:rsidR="000E52B0" w:rsidRDefault="00F60D74">
            <w:pPr>
              <w:pStyle w:val="TableParagraph"/>
              <w:spacing w:before="194"/>
              <w:ind w:left="3"/>
              <w:rPr>
                <w:sz w:val="16"/>
              </w:rPr>
            </w:pPr>
            <w:r>
              <w:rPr>
                <w:spacing w:val="-2"/>
                <w:sz w:val="16"/>
              </w:rPr>
              <w:t>5.914.940</w:t>
            </w:r>
          </w:p>
        </w:tc>
        <w:tc>
          <w:tcPr>
            <w:tcW w:w="1478" w:type="dxa"/>
          </w:tcPr>
          <w:p w14:paraId="004B3E88" w14:textId="77777777" w:rsidR="000E52B0" w:rsidRDefault="00F60D74">
            <w:pPr>
              <w:pStyle w:val="TableParagraph"/>
              <w:spacing w:before="194"/>
              <w:rPr>
                <w:sz w:val="16"/>
              </w:rPr>
            </w:pPr>
            <w:r>
              <w:rPr>
                <w:spacing w:val="-2"/>
                <w:sz w:val="16"/>
              </w:rPr>
              <w:t>21.885.276.395</w:t>
            </w:r>
          </w:p>
        </w:tc>
      </w:tr>
      <w:tr w:rsidR="000E52B0" w14:paraId="312FE875" w14:textId="77777777">
        <w:trPr>
          <w:trHeight w:val="743"/>
        </w:trPr>
        <w:tc>
          <w:tcPr>
            <w:tcW w:w="946" w:type="dxa"/>
            <w:vMerge/>
            <w:tcBorders>
              <w:top w:val="nil"/>
            </w:tcBorders>
          </w:tcPr>
          <w:p w14:paraId="67F964CC" w14:textId="77777777" w:rsidR="000E52B0" w:rsidRDefault="000E52B0">
            <w:pPr>
              <w:rPr>
                <w:sz w:val="2"/>
                <w:szCs w:val="2"/>
              </w:rPr>
            </w:pPr>
          </w:p>
        </w:tc>
        <w:tc>
          <w:tcPr>
            <w:tcW w:w="1025" w:type="dxa"/>
          </w:tcPr>
          <w:p w14:paraId="659CCC29" w14:textId="77777777" w:rsidR="000E52B0" w:rsidRDefault="00F60D74">
            <w:pPr>
              <w:pStyle w:val="TableParagraph"/>
              <w:ind w:left="4" w:right="50"/>
              <w:rPr>
                <w:sz w:val="16"/>
              </w:rPr>
            </w:pPr>
            <w:proofErr w:type="spellStart"/>
            <w:r>
              <w:rPr>
                <w:spacing w:val="-2"/>
                <w:sz w:val="16"/>
              </w:rPr>
              <w:t>Organizacio</w:t>
            </w:r>
            <w:proofErr w:type="spellEnd"/>
            <w:r>
              <w:rPr>
                <w:spacing w:val="-2"/>
                <w:sz w:val="16"/>
              </w:rPr>
              <w:t xml:space="preserve"> </w:t>
            </w:r>
            <w:proofErr w:type="spellStart"/>
            <w:r>
              <w:rPr>
                <w:spacing w:val="-4"/>
                <w:sz w:val="16"/>
              </w:rPr>
              <w:t>nes</w:t>
            </w:r>
            <w:proofErr w:type="spellEnd"/>
            <w:r>
              <w:rPr>
                <w:spacing w:val="-4"/>
                <w:sz w:val="16"/>
              </w:rPr>
              <w:t xml:space="preserve"> </w:t>
            </w:r>
            <w:r>
              <w:rPr>
                <w:spacing w:val="-2"/>
                <w:sz w:val="16"/>
              </w:rPr>
              <w:t>Apoyadas</w:t>
            </w:r>
          </w:p>
        </w:tc>
        <w:tc>
          <w:tcPr>
            <w:tcW w:w="670" w:type="dxa"/>
          </w:tcPr>
          <w:p w14:paraId="4B5129DE" w14:textId="77777777" w:rsidR="000E52B0" w:rsidRDefault="00F60D74">
            <w:pPr>
              <w:pStyle w:val="TableParagraph"/>
              <w:spacing w:before="194"/>
              <w:ind w:left="4"/>
              <w:rPr>
                <w:sz w:val="16"/>
              </w:rPr>
            </w:pPr>
            <w:r>
              <w:rPr>
                <w:spacing w:val="-5"/>
                <w:sz w:val="16"/>
              </w:rPr>
              <w:t>80</w:t>
            </w:r>
          </w:p>
        </w:tc>
        <w:tc>
          <w:tcPr>
            <w:tcW w:w="1134" w:type="dxa"/>
          </w:tcPr>
          <w:p w14:paraId="03C015D9" w14:textId="77777777" w:rsidR="000E52B0" w:rsidRDefault="00F60D74">
            <w:pPr>
              <w:pStyle w:val="TableParagraph"/>
              <w:spacing w:before="194"/>
              <w:ind w:left="3"/>
              <w:rPr>
                <w:sz w:val="16"/>
              </w:rPr>
            </w:pPr>
            <w:r>
              <w:rPr>
                <w:spacing w:val="-2"/>
                <w:sz w:val="16"/>
              </w:rPr>
              <w:t>293.073.625</w:t>
            </w:r>
          </w:p>
        </w:tc>
        <w:tc>
          <w:tcPr>
            <w:tcW w:w="1479" w:type="dxa"/>
          </w:tcPr>
          <w:p w14:paraId="7B12E465" w14:textId="77777777" w:rsidR="000E52B0" w:rsidRDefault="00F60D74">
            <w:pPr>
              <w:pStyle w:val="TableParagraph"/>
              <w:spacing w:before="194"/>
              <w:ind w:left="3"/>
              <w:rPr>
                <w:sz w:val="16"/>
              </w:rPr>
            </w:pPr>
            <w:r>
              <w:rPr>
                <w:spacing w:val="-2"/>
                <w:sz w:val="16"/>
              </w:rPr>
              <w:t>23.445.890.000</w:t>
            </w:r>
          </w:p>
        </w:tc>
        <w:tc>
          <w:tcPr>
            <w:tcW w:w="1025" w:type="dxa"/>
          </w:tcPr>
          <w:p w14:paraId="1ED0EA3C" w14:textId="77777777" w:rsidR="000E52B0" w:rsidRDefault="00F60D74">
            <w:pPr>
              <w:pStyle w:val="TableParagraph"/>
              <w:ind w:left="2" w:right="50"/>
              <w:rPr>
                <w:sz w:val="16"/>
              </w:rPr>
            </w:pPr>
            <w:proofErr w:type="spellStart"/>
            <w:r>
              <w:rPr>
                <w:spacing w:val="-2"/>
                <w:sz w:val="16"/>
              </w:rPr>
              <w:t>Organizacio</w:t>
            </w:r>
            <w:proofErr w:type="spellEnd"/>
            <w:r>
              <w:rPr>
                <w:spacing w:val="-2"/>
                <w:sz w:val="16"/>
              </w:rPr>
              <w:t xml:space="preserve"> </w:t>
            </w:r>
            <w:proofErr w:type="spellStart"/>
            <w:r>
              <w:rPr>
                <w:spacing w:val="-4"/>
                <w:sz w:val="16"/>
              </w:rPr>
              <w:t>nes</w:t>
            </w:r>
            <w:proofErr w:type="spellEnd"/>
            <w:r>
              <w:rPr>
                <w:spacing w:val="-4"/>
                <w:sz w:val="16"/>
              </w:rPr>
              <w:t xml:space="preserve"> </w:t>
            </w:r>
            <w:r>
              <w:rPr>
                <w:spacing w:val="-2"/>
                <w:sz w:val="16"/>
              </w:rPr>
              <w:t>Apoyadas</w:t>
            </w:r>
          </w:p>
        </w:tc>
        <w:tc>
          <w:tcPr>
            <w:tcW w:w="670" w:type="dxa"/>
          </w:tcPr>
          <w:p w14:paraId="4FB6B6DE" w14:textId="77777777" w:rsidR="000E52B0" w:rsidRDefault="00F60D74">
            <w:pPr>
              <w:pStyle w:val="TableParagraph"/>
              <w:spacing w:before="194"/>
              <w:ind w:left="2"/>
              <w:rPr>
                <w:sz w:val="16"/>
              </w:rPr>
            </w:pPr>
            <w:r>
              <w:rPr>
                <w:spacing w:val="-5"/>
                <w:sz w:val="16"/>
              </w:rPr>
              <w:t>80</w:t>
            </w:r>
          </w:p>
        </w:tc>
        <w:tc>
          <w:tcPr>
            <w:tcW w:w="1134" w:type="dxa"/>
          </w:tcPr>
          <w:p w14:paraId="2F924FE5" w14:textId="77777777" w:rsidR="000E52B0" w:rsidRDefault="00F60D74">
            <w:pPr>
              <w:pStyle w:val="TableParagraph"/>
              <w:spacing w:before="194"/>
              <w:ind w:left="2"/>
              <w:rPr>
                <w:sz w:val="16"/>
              </w:rPr>
            </w:pPr>
            <w:r>
              <w:rPr>
                <w:spacing w:val="-2"/>
                <w:sz w:val="16"/>
              </w:rPr>
              <w:t>301.865.834</w:t>
            </w:r>
          </w:p>
        </w:tc>
        <w:tc>
          <w:tcPr>
            <w:tcW w:w="1479" w:type="dxa"/>
          </w:tcPr>
          <w:p w14:paraId="1B0FD797" w14:textId="77777777" w:rsidR="000E52B0" w:rsidRDefault="00F60D74">
            <w:pPr>
              <w:pStyle w:val="TableParagraph"/>
              <w:spacing w:before="194"/>
              <w:ind w:left="1"/>
              <w:rPr>
                <w:sz w:val="16"/>
              </w:rPr>
            </w:pPr>
            <w:r>
              <w:rPr>
                <w:spacing w:val="-2"/>
                <w:sz w:val="16"/>
              </w:rPr>
              <w:t>24.149.266.700</w:t>
            </w:r>
          </w:p>
        </w:tc>
        <w:tc>
          <w:tcPr>
            <w:tcW w:w="1025" w:type="dxa"/>
          </w:tcPr>
          <w:p w14:paraId="49CE75B3" w14:textId="77777777" w:rsidR="000E52B0" w:rsidRDefault="00F60D74">
            <w:pPr>
              <w:pStyle w:val="TableParagraph"/>
              <w:ind w:right="50"/>
              <w:rPr>
                <w:sz w:val="16"/>
              </w:rPr>
            </w:pPr>
            <w:proofErr w:type="spellStart"/>
            <w:r>
              <w:rPr>
                <w:spacing w:val="-2"/>
                <w:sz w:val="16"/>
              </w:rPr>
              <w:t>Organizacio</w:t>
            </w:r>
            <w:proofErr w:type="spellEnd"/>
            <w:r>
              <w:rPr>
                <w:spacing w:val="-2"/>
                <w:sz w:val="16"/>
              </w:rPr>
              <w:t xml:space="preserve"> </w:t>
            </w:r>
            <w:proofErr w:type="spellStart"/>
            <w:r>
              <w:rPr>
                <w:spacing w:val="-4"/>
                <w:sz w:val="16"/>
              </w:rPr>
              <w:t>nes</w:t>
            </w:r>
            <w:proofErr w:type="spellEnd"/>
            <w:r>
              <w:rPr>
                <w:spacing w:val="-4"/>
                <w:sz w:val="16"/>
              </w:rPr>
              <w:t xml:space="preserve"> </w:t>
            </w:r>
            <w:r>
              <w:rPr>
                <w:spacing w:val="-2"/>
                <w:sz w:val="16"/>
              </w:rPr>
              <w:t>Apoyadas</w:t>
            </w:r>
          </w:p>
        </w:tc>
        <w:tc>
          <w:tcPr>
            <w:tcW w:w="670" w:type="dxa"/>
          </w:tcPr>
          <w:p w14:paraId="10863690" w14:textId="77777777" w:rsidR="000E52B0" w:rsidRDefault="00F60D74">
            <w:pPr>
              <w:pStyle w:val="TableParagraph"/>
              <w:spacing w:before="194"/>
              <w:rPr>
                <w:sz w:val="16"/>
              </w:rPr>
            </w:pPr>
            <w:r>
              <w:rPr>
                <w:spacing w:val="-5"/>
                <w:sz w:val="16"/>
              </w:rPr>
              <w:t>80</w:t>
            </w:r>
          </w:p>
        </w:tc>
        <w:tc>
          <w:tcPr>
            <w:tcW w:w="1219" w:type="dxa"/>
          </w:tcPr>
          <w:p w14:paraId="07E7E052" w14:textId="77777777" w:rsidR="000E52B0" w:rsidRDefault="00F60D74">
            <w:pPr>
              <w:pStyle w:val="TableParagraph"/>
              <w:spacing w:before="194"/>
              <w:ind w:left="3"/>
              <w:rPr>
                <w:sz w:val="16"/>
              </w:rPr>
            </w:pPr>
            <w:r>
              <w:rPr>
                <w:spacing w:val="-2"/>
                <w:sz w:val="16"/>
              </w:rPr>
              <w:t>326.015.100</w:t>
            </w:r>
          </w:p>
        </w:tc>
        <w:tc>
          <w:tcPr>
            <w:tcW w:w="1478" w:type="dxa"/>
          </w:tcPr>
          <w:p w14:paraId="6595717E" w14:textId="77777777" w:rsidR="000E52B0" w:rsidRDefault="00F60D74">
            <w:pPr>
              <w:pStyle w:val="TableParagraph"/>
              <w:spacing w:before="194"/>
              <w:rPr>
                <w:sz w:val="16"/>
              </w:rPr>
            </w:pPr>
            <w:r>
              <w:rPr>
                <w:spacing w:val="-2"/>
                <w:sz w:val="16"/>
              </w:rPr>
              <w:t>26.081.208.036</w:t>
            </w:r>
          </w:p>
        </w:tc>
      </w:tr>
      <w:tr w:rsidR="000E52B0" w14:paraId="77E79831" w14:textId="77777777">
        <w:trPr>
          <w:trHeight w:val="743"/>
        </w:trPr>
        <w:tc>
          <w:tcPr>
            <w:tcW w:w="946" w:type="dxa"/>
            <w:vMerge/>
            <w:tcBorders>
              <w:top w:val="nil"/>
            </w:tcBorders>
          </w:tcPr>
          <w:p w14:paraId="15F5A9BF" w14:textId="77777777" w:rsidR="000E52B0" w:rsidRDefault="000E52B0">
            <w:pPr>
              <w:rPr>
                <w:sz w:val="2"/>
                <w:szCs w:val="2"/>
              </w:rPr>
            </w:pPr>
          </w:p>
        </w:tc>
        <w:tc>
          <w:tcPr>
            <w:tcW w:w="1025" w:type="dxa"/>
          </w:tcPr>
          <w:p w14:paraId="0C7DC4AE" w14:textId="77777777" w:rsidR="000E52B0" w:rsidRDefault="00F60D74">
            <w:pPr>
              <w:pStyle w:val="TableParagraph"/>
              <w:ind w:left="4" w:right="50"/>
              <w:rPr>
                <w:sz w:val="16"/>
              </w:rPr>
            </w:pPr>
            <w:r>
              <w:rPr>
                <w:spacing w:val="-2"/>
                <w:sz w:val="16"/>
              </w:rPr>
              <w:t>Asistencias Técnicas Realizadas</w:t>
            </w:r>
          </w:p>
        </w:tc>
        <w:tc>
          <w:tcPr>
            <w:tcW w:w="670" w:type="dxa"/>
          </w:tcPr>
          <w:p w14:paraId="4FEEF4D7" w14:textId="77777777" w:rsidR="000E52B0" w:rsidRDefault="00F60D74">
            <w:pPr>
              <w:pStyle w:val="TableParagraph"/>
              <w:spacing w:before="194"/>
              <w:ind w:left="4"/>
              <w:rPr>
                <w:sz w:val="16"/>
              </w:rPr>
            </w:pPr>
            <w:r>
              <w:rPr>
                <w:spacing w:val="-5"/>
                <w:sz w:val="16"/>
              </w:rPr>
              <w:t>145</w:t>
            </w:r>
          </w:p>
        </w:tc>
        <w:tc>
          <w:tcPr>
            <w:tcW w:w="1134" w:type="dxa"/>
          </w:tcPr>
          <w:p w14:paraId="1D33CDB3" w14:textId="77777777" w:rsidR="000E52B0" w:rsidRDefault="00F60D74">
            <w:pPr>
              <w:pStyle w:val="TableParagraph"/>
              <w:spacing w:before="194"/>
              <w:ind w:left="3"/>
              <w:rPr>
                <w:sz w:val="16"/>
              </w:rPr>
            </w:pPr>
            <w:r>
              <w:rPr>
                <w:spacing w:val="-2"/>
                <w:sz w:val="16"/>
              </w:rPr>
              <w:t>21.424.710</w:t>
            </w:r>
          </w:p>
        </w:tc>
        <w:tc>
          <w:tcPr>
            <w:tcW w:w="1479" w:type="dxa"/>
          </w:tcPr>
          <w:p w14:paraId="67670D96" w14:textId="77777777" w:rsidR="000E52B0" w:rsidRDefault="00F60D74">
            <w:pPr>
              <w:pStyle w:val="TableParagraph"/>
              <w:spacing w:before="194"/>
              <w:ind w:left="3"/>
              <w:rPr>
                <w:sz w:val="16"/>
              </w:rPr>
            </w:pPr>
            <w:r>
              <w:rPr>
                <w:spacing w:val="-2"/>
                <w:sz w:val="16"/>
              </w:rPr>
              <w:t>3.106.583.000</w:t>
            </w:r>
          </w:p>
        </w:tc>
        <w:tc>
          <w:tcPr>
            <w:tcW w:w="1025" w:type="dxa"/>
          </w:tcPr>
          <w:p w14:paraId="77813138" w14:textId="77777777" w:rsidR="000E52B0" w:rsidRDefault="00F60D74">
            <w:pPr>
              <w:pStyle w:val="TableParagraph"/>
              <w:ind w:left="2" w:right="50"/>
              <w:rPr>
                <w:sz w:val="16"/>
              </w:rPr>
            </w:pPr>
            <w:r>
              <w:rPr>
                <w:spacing w:val="-2"/>
                <w:sz w:val="16"/>
              </w:rPr>
              <w:t>Asistencias Técnicas Realizadas</w:t>
            </w:r>
          </w:p>
        </w:tc>
        <w:tc>
          <w:tcPr>
            <w:tcW w:w="670" w:type="dxa"/>
          </w:tcPr>
          <w:p w14:paraId="324A299B" w14:textId="77777777" w:rsidR="000E52B0" w:rsidRDefault="00F60D74">
            <w:pPr>
              <w:pStyle w:val="TableParagraph"/>
              <w:spacing w:before="194"/>
              <w:ind w:left="2"/>
              <w:rPr>
                <w:sz w:val="16"/>
              </w:rPr>
            </w:pPr>
            <w:r>
              <w:rPr>
                <w:spacing w:val="-5"/>
                <w:sz w:val="16"/>
              </w:rPr>
              <w:t>145</w:t>
            </w:r>
          </w:p>
        </w:tc>
        <w:tc>
          <w:tcPr>
            <w:tcW w:w="1134" w:type="dxa"/>
          </w:tcPr>
          <w:p w14:paraId="622AE750" w14:textId="77777777" w:rsidR="000E52B0" w:rsidRDefault="00F60D74">
            <w:pPr>
              <w:pStyle w:val="TableParagraph"/>
              <w:spacing w:before="194"/>
              <w:ind w:left="2"/>
              <w:rPr>
                <w:sz w:val="16"/>
              </w:rPr>
            </w:pPr>
            <w:r>
              <w:rPr>
                <w:spacing w:val="-2"/>
                <w:sz w:val="16"/>
              </w:rPr>
              <w:t>22.067.452</w:t>
            </w:r>
          </w:p>
        </w:tc>
        <w:tc>
          <w:tcPr>
            <w:tcW w:w="1479" w:type="dxa"/>
          </w:tcPr>
          <w:p w14:paraId="22F8D742" w14:textId="77777777" w:rsidR="000E52B0" w:rsidRDefault="00F60D74">
            <w:pPr>
              <w:pStyle w:val="TableParagraph"/>
              <w:spacing w:before="194"/>
              <w:ind w:left="1"/>
              <w:rPr>
                <w:sz w:val="16"/>
              </w:rPr>
            </w:pPr>
            <w:r>
              <w:rPr>
                <w:spacing w:val="-2"/>
                <w:sz w:val="16"/>
              </w:rPr>
              <w:t>3.199.780.490</w:t>
            </w:r>
          </w:p>
        </w:tc>
        <w:tc>
          <w:tcPr>
            <w:tcW w:w="1025" w:type="dxa"/>
          </w:tcPr>
          <w:p w14:paraId="3F66C7BB" w14:textId="77777777" w:rsidR="000E52B0" w:rsidRDefault="00F60D74">
            <w:pPr>
              <w:pStyle w:val="TableParagraph"/>
              <w:ind w:right="50"/>
              <w:rPr>
                <w:sz w:val="16"/>
              </w:rPr>
            </w:pPr>
            <w:r>
              <w:rPr>
                <w:spacing w:val="-2"/>
                <w:sz w:val="16"/>
              </w:rPr>
              <w:t>Asistencias Técnicas Realizadas</w:t>
            </w:r>
          </w:p>
        </w:tc>
        <w:tc>
          <w:tcPr>
            <w:tcW w:w="670" w:type="dxa"/>
          </w:tcPr>
          <w:p w14:paraId="65093915" w14:textId="77777777" w:rsidR="000E52B0" w:rsidRDefault="00F60D74">
            <w:pPr>
              <w:pStyle w:val="TableParagraph"/>
              <w:spacing w:before="194"/>
              <w:rPr>
                <w:sz w:val="16"/>
              </w:rPr>
            </w:pPr>
            <w:r>
              <w:rPr>
                <w:spacing w:val="-5"/>
                <w:sz w:val="16"/>
              </w:rPr>
              <w:t>145</w:t>
            </w:r>
          </w:p>
        </w:tc>
        <w:tc>
          <w:tcPr>
            <w:tcW w:w="1219" w:type="dxa"/>
          </w:tcPr>
          <w:p w14:paraId="2DDFC6E7" w14:textId="77777777" w:rsidR="000E52B0" w:rsidRDefault="00F60D74">
            <w:pPr>
              <w:pStyle w:val="TableParagraph"/>
              <w:spacing w:before="194"/>
              <w:ind w:left="3"/>
              <w:rPr>
                <w:sz w:val="16"/>
              </w:rPr>
            </w:pPr>
            <w:r>
              <w:rPr>
                <w:spacing w:val="-2"/>
                <w:sz w:val="16"/>
              </w:rPr>
              <w:t>23.832.848</w:t>
            </w:r>
          </w:p>
        </w:tc>
        <w:tc>
          <w:tcPr>
            <w:tcW w:w="1478" w:type="dxa"/>
          </w:tcPr>
          <w:p w14:paraId="7CDE5173" w14:textId="77777777" w:rsidR="000E52B0" w:rsidRDefault="00F60D74">
            <w:pPr>
              <w:pStyle w:val="TableParagraph"/>
              <w:spacing w:before="194"/>
              <w:rPr>
                <w:sz w:val="16"/>
              </w:rPr>
            </w:pPr>
            <w:r>
              <w:rPr>
                <w:spacing w:val="-2"/>
                <w:sz w:val="16"/>
              </w:rPr>
              <w:t>3.455.762.929</w:t>
            </w:r>
          </w:p>
        </w:tc>
      </w:tr>
    </w:tbl>
    <w:p w14:paraId="0AC693E7" w14:textId="77777777" w:rsidR="000E52B0" w:rsidRDefault="000E52B0">
      <w:pPr>
        <w:pStyle w:val="TableParagraph"/>
        <w:rPr>
          <w:sz w:val="16"/>
        </w:rPr>
        <w:sectPr w:rsidR="000E52B0">
          <w:headerReference w:type="even" r:id="rId224"/>
          <w:headerReference w:type="default" r:id="rId225"/>
          <w:footerReference w:type="default" r:id="rId226"/>
          <w:headerReference w:type="first" r:id="rId227"/>
          <w:pgSz w:w="16840" w:h="11910" w:orient="landscape"/>
          <w:pgMar w:top="1340" w:right="1080" w:bottom="1180" w:left="1440" w:header="0" w:footer="995" w:gutter="0"/>
          <w:cols w:space="720"/>
        </w:sectPr>
      </w:pPr>
    </w:p>
    <w:p w14:paraId="7F24C162" w14:textId="77777777" w:rsidR="000E52B0" w:rsidRDefault="000E52B0">
      <w:pPr>
        <w:pStyle w:val="Textoindependiente"/>
        <w:spacing w:before="8" w:after="1"/>
        <w:ind w:left="0"/>
        <w:rPr>
          <w:sz w:val="7"/>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
        <w:gridCol w:w="1025"/>
        <w:gridCol w:w="670"/>
        <w:gridCol w:w="1134"/>
        <w:gridCol w:w="1479"/>
        <w:gridCol w:w="1025"/>
        <w:gridCol w:w="670"/>
        <w:gridCol w:w="1134"/>
        <w:gridCol w:w="1479"/>
        <w:gridCol w:w="1025"/>
        <w:gridCol w:w="670"/>
        <w:gridCol w:w="1219"/>
        <w:gridCol w:w="1478"/>
      </w:tblGrid>
      <w:tr w:rsidR="000E52B0" w14:paraId="772253AD" w14:textId="77777777">
        <w:trPr>
          <w:trHeight w:val="354"/>
        </w:trPr>
        <w:tc>
          <w:tcPr>
            <w:tcW w:w="946" w:type="dxa"/>
            <w:vMerge w:val="restart"/>
            <w:shd w:val="clear" w:color="auto" w:fill="D23B73"/>
          </w:tcPr>
          <w:p w14:paraId="401BBCD8" w14:textId="77777777" w:rsidR="000E52B0" w:rsidRDefault="000E52B0">
            <w:pPr>
              <w:pStyle w:val="TableParagraph"/>
              <w:spacing w:before="86"/>
              <w:rPr>
                <w:sz w:val="16"/>
              </w:rPr>
            </w:pPr>
          </w:p>
          <w:p w14:paraId="03288835" w14:textId="77777777" w:rsidR="000E52B0" w:rsidRDefault="00F60D74">
            <w:pPr>
              <w:pStyle w:val="TableParagraph"/>
              <w:ind w:left="55"/>
              <w:rPr>
                <w:b/>
                <w:sz w:val="16"/>
              </w:rPr>
            </w:pPr>
            <w:r>
              <w:rPr>
                <w:b/>
                <w:color w:val="FFFFFF"/>
                <w:spacing w:val="-2"/>
                <w:sz w:val="16"/>
              </w:rPr>
              <w:t>Concepto</w:t>
            </w:r>
          </w:p>
        </w:tc>
        <w:tc>
          <w:tcPr>
            <w:tcW w:w="4308" w:type="dxa"/>
            <w:gridSpan w:val="4"/>
            <w:shd w:val="clear" w:color="auto" w:fill="D23B73"/>
          </w:tcPr>
          <w:p w14:paraId="44FE15A5" w14:textId="77777777" w:rsidR="000E52B0" w:rsidRDefault="00F60D74">
            <w:pPr>
              <w:pStyle w:val="TableParagraph"/>
              <w:spacing w:line="194" w:lineRule="exact"/>
              <w:ind w:left="8"/>
              <w:jc w:val="center"/>
              <w:rPr>
                <w:b/>
                <w:sz w:val="16"/>
              </w:rPr>
            </w:pPr>
            <w:r>
              <w:rPr>
                <w:b/>
                <w:color w:val="FFFFFF"/>
                <w:spacing w:val="-4"/>
                <w:sz w:val="16"/>
              </w:rPr>
              <w:t>2026</w:t>
            </w:r>
          </w:p>
        </w:tc>
        <w:tc>
          <w:tcPr>
            <w:tcW w:w="4308" w:type="dxa"/>
            <w:gridSpan w:val="4"/>
            <w:shd w:val="clear" w:color="auto" w:fill="D23B73"/>
          </w:tcPr>
          <w:p w14:paraId="62914437" w14:textId="77777777" w:rsidR="000E52B0" w:rsidRDefault="00F60D74">
            <w:pPr>
              <w:pStyle w:val="TableParagraph"/>
              <w:spacing w:line="194" w:lineRule="exact"/>
              <w:ind w:left="8" w:right="3"/>
              <w:jc w:val="center"/>
              <w:rPr>
                <w:b/>
                <w:sz w:val="16"/>
              </w:rPr>
            </w:pPr>
            <w:r>
              <w:rPr>
                <w:b/>
                <w:color w:val="FFFFFF"/>
                <w:spacing w:val="-4"/>
                <w:sz w:val="16"/>
              </w:rPr>
              <w:t>2027</w:t>
            </w:r>
          </w:p>
        </w:tc>
        <w:tc>
          <w:tcPr>
            <w:tcW w:w="4392" w:type="dxa"/>
            <w:gridSpan w:val="4"/>
            <w:shd w:val="clear" w:color="auto" w:fill="D23B73"/>
          </w:tcPr>
          <w:p w14:paraId="79F2EAB0" w14:textId="77777777" w:rsidR="000E52B0" w:rsidRDefault="00F60D74">
            <w:pPr>
              <w:pStyle w:val="TableParagraph"/>
              <w:spacing w:line="194" w:lineRule="exact"/>
              <w:jc w:val="center"/>
              <w:rPr>
                <w:b/>
                <w:sz w:val="16"/>
              </w:rPr>
            </w:pPr>
            <w:r>
              <w:rPr>
                <w:b/>
                <w:color w:val="FFFFFF"/>
                <w:spacing w:val="-4"/>
                <w:sz w:val="16"/>
              </w:rPr>
              <w:t>2028</w:t>
            </w:r>
          </w:p>
        </w:tc>
      </w:tr>
      <w:tr w:rsidR="000E52B0" w14:paraId="4F84D876" w14:textId="77777777">
        <w:trPr>
          <w:trHeight w:val="549"/>
        </w:trPr>
        <w:tc>
          <w:tcPr>
            <w:tcW w:w="946" w:type="dxa"/>
            <w:vMerge/>
            <w:tcBorders>
              <w:top w:val="nil"/>
            </w:tcBorders>
            <w:shd w:val="clear" w:color="auto" w:fill="D23B73"/>
          </w:tcPr>
          <w:p w14:paraId="7AF109DB" w14:textId="77777777" w:rsidR="000E52B0" w:rsidRDefault="000E52B0">
            <w:pPr>
              <w:rPr>
                <w:sz w:val="2"/>
                <w:szCs w:val="2"/>
              </w:rPr>
            </w:pPr>
          </w:p>
        </w:tc>
        <w:tc>
          <w:tcPr>
            <w:tcW w:w="1025" w:type="dxa"/>
            <w:shd w:val="clear" w:color="auto" w:fill="D23B73"/>
          </w:tcPr>
          <w:p w14:paraId="0C141A10" w14:textId="77777777" w:rsidR="000E52B0" w:rsidRDefault="00F60D74">
            <w:pPr>
              <w:pStyle w:val="TableParagraph"/>
              <w:ind w:left="179" w:right="50" w:hanging="123"/>
              <w:rPr>
                <w:b/>
                <w:sz w:val="16"/>
              </w:rPr>
            </w:pPr>
            <w:r>
              <w:rPr>
                <w:b/>
                <w:color w:val="FFFFFF"/>
                <w:sz w:val="16"/>
              </w:rPr>
              <w:t>Unidad</w:t>
            </w:r>
            <w:r>
              <w:rPr>
                <w:b/>
                <w:color w:val="FFFFFF"/>
                <w:spacing w:val="-14"/>
                <w:sz w:val="16"/>
              </w:rPr>
              <w:t xml:space="preserve"> </w:t>
            </w:r>
            <w:r>
              <w:rPr>
                <w:b/>
                <w:color w:val="FFFFFF"/>
                <w:sz w:val="16"/>
              </w:rPr>
              <w:t xml:space="preserve">de </w:t>
            </w:r>
            <w:r>
              <w:rPr>
                <w:b/>
                <w:color w:val="FFFFFF"/>
                <w:spacing w:val="-2"/>
                <w:sz w:val="16"/>
              </w:rPr>
              <w:t>medida</w:t>
            </w:r>
          </w:p>
        </w:tc>
        <w:tc>
          <w:tcPr>
            <w:tcW w:w="670" w:type="dxa"/>
            <w:shd w:val="clear" w:color="auto" w:fill="D23B73"/>
          </w:tcPr>
          <w:p w14:paraId="7A3882E5" w14:textId="77777777" w:rsidR="000E52B0" w:rsidRDefault="00F60D74">
            <w:pPr>
              <w:pStyle w:val="TableParagraph"/>
              <w:ind w:left="225" w:right="30" w:hanging="180"/>
              <w:rPr>
                <w:b/>
                <w:sz w:val="16"/>
              </w:rPr>
            </w:pPr>
            <w:proofErr w:type="spellStart"/>
            <w:r>
              <w:rPr>
                <w:b/>
                <w:color w:val="FFFFFF"/>
                <w:spacing w:val="-2"/>
                <w:sz w:val="16"/>
              </w:rPr>
              <w:t>Cantid</w:t>
            </w:r>
            <w:proofErr w:type="spellEnd"/>
            <w:r>
              <w:rPr>
                <w:b/>
                <w:color w:val="FFFFFF"/>
                <w:spacing w:val="-2"/>
                <w:sz w:val="16"/>
              </w:rPr>
              <w:t xml:space="preserve"> </w:t>
            </w:r>
            <w:r>
              <w:rPr>
                <w:b/>
                <w:color w:val="FFFFFF"/>
                <w:spacing w:val="-6"/>
                <w:sz w:val="16"/>
              </w:rPr>
              <w:t>ad</w:t>
            </w:r>
          </w:p>
        </w:tc>
        <w:tc>
          <w:tcPr>
            <w:tcW w:w="1134" w:type="dxa"/>
            <w:shd w:val="clear" w:color="auto" w:fill="D23B73"/>
          </w:tcPr>
          <w:p w14:paraId="6502760A" w14:textId="77777777" w:rsidR="000E52B0" w:rsidRDefault="00F60D74">
            <w:pPr>
              <w:pStyle w:val="TableParagraph"/>
              <w:ind w:left="212" w:firstLine="110"/>
              <w:rPr>
                <w:b/>
                <w:sz w:val="16"/>
              </w:rPr>
            </w:pPr>
            <w:r>
              <w:rPr>
                <w:b/>
                <w:color w:val="FFFFFF"/>
                <w:spacing w:val="-2"/>
                <w:sz w:val="16"/>
              </w:rPr>
              <w:t>costo unitario</w:t>
            </w:r>
          </w:p>
        </w:tc>
        <w:tc>
          <w:tcPr>
            <w:tcW w:w="1479" w:type="dxa"/>
            <w:shd w:val="clear" w:color="auto" w:fill="D23B73"/>
          </w:tcPr>
          <w:p w14:paraId="2A77385F" w14:textId="77777777" w:rsidR="000E52B0" w:rsidRDefault="00F60D74">
            <w:pPr>
              <w:pStyle w:val="TableParagraph"/>
              <w:spacing w:before="98"/>
              <w:ind w:left="6"/>
              <w:jc w:val="center"/>
              <w:rPr>
                <w:b/>
                <w:sz w:val="16"/>
              </w:rPr>
            </w:pPr>
            <w:r>
              <w:rPr>
                <w:b/>
                <w:color w:val="FFFFFF"/>
                <w:spacing w:val="-2"/>
                <w:sz w:val="16"/>
              </w:rPr>
              <w:t>Total</w:t>
            </w:r>
          </w:p>
        </w:tc>
        <w:tc>
          <w:tcPr>
            <w:tcW w:w="1025" w:type="dxa"/>
            <w:shd w:val="clear" w:color="auto" w:fill="D23B73"/>
          </w:tcPr>
          <w:p w14:paraId="3ABA6D14" w14:textId="77777777" w:rsidR="000E52B0" w:rsidRDefault="00F60D74">
            <w:pPr>
              <w:pStyle w:val="TableParagraph"/>
              <w:ind w:left="178" w:right="51" w:hanging="123"/>
              <w:rPr>
                <w:b/>
                <w:sz w:val="16"/>
              </w:rPr>
            </w:pPr>
            <w:r>
              <w:rPr>
                <w:b/>
                <w:color w:val="FFFFFF"/>
                <w:sz w:val="16"/>
              </w:rPr>
              <w:t>Unidad</w:t>
            </w:r>
            <w:r>
              <w:rPr>
                <w:b/>
                <w:color w:val="FFFFFF"/>
                <w:spacing w:val="-14"/>
                <w:sz w:val="16"/>
              </w:rPr>
              <w:t xml:space="preserve"> </w:t>
            </w:r>
            <w:r>
              <w:rPr>
                <w:b/>
                <w:color w:val="FFFFFF"/>
                <w:sz w:val="16"/>
              </w:rPr>
              <w:t xml:space="preserve">de </w:t>
            </w:r>
            <w:r>
              <w:rPr>
                <w:b/>
                <w:color w:val="FFFFFF"/>
                <w:spacing w:val="-2"/>
                <w:sz w:val="16"/>
              </w:rPr>
              <w:t>medida</w:t>
            </w:r>
          </w:p>
        </w:tc>
        <w:tc>
          <w:tcPr>
            <w:tcW w:w="670" w:type="dxa"/>
            <w:shd w:val="clear" w:color="auto" w:fill="D23B73"/>
          </w:tcPr>
          <w:p w14:paraId="1CF76691" w14:textId="77777777" w:rsidR="000E52B0" w:rsidRDefault="00F60D74">
            <w:pPr>
              <w:pStyle w:val="TableParagraph"/>
              <w:ind w:left="223" w:right="32" w:hanging="180"/>
              <w:rPr>
                <w:b/>
                <w:sz w:val="16"/>
              </w:rPr>
            </w:pPr>
            <w:proofErr w:type="spellStart"/>
            <w:r>
              <w:rPr>
                <w:b/>
                <w:color w:val="FFFFFF"/>
                <w:spacing w:val="-2"/>
                <w:sz w:val="16"/>
              </w:rPr>
              <w:t>Cantid</w:t>
            </w:r>
            <w:proofErr w:type="spellEnd"/>
            <w:r>
              <w:rPr>
                <w:b/>
                <w:color w:val="FFFFFF"/>
                <w:spacing w:val="-2"/>
                <w:sz w:val="16"/>
              </w:rPr>
              <w:t xml:space="preserve"> </w:t>
            </w:r>
            <w:r>
              <w:rPr>
                <w:b/>
                <w:color w:val="FFFFFF"/>
                <w:spacing w:val="-6"/>
                <w:sz w:val="16"/>
              </w:rPr>
              <w:t>ad</w:t>
            </w:r>
          </w:p>
        </w:tc>
        <w:tc>
          <w:tcPr>
            <w:tcW w:w="1134" w:type="dxa"/>
            <w:shd w:val="clear" w:color="auto" w:fill="D23B73"/>
          </w:tcPr>
          <w:p w14:paraId="5A269B65" w14:textId="77777777" w:rsidR="000E52B0" w:rsidRDefault="00F60D74">
            <w:pPr>
              <w:pStyle w:val="TableParagraph"/>
              <w:ind w:left="211" w:right="202" w:firstLine="110"/>
              <w:rPr>
                <w:b/>
                <w:sz w:val="16"/>
              </w:rPr>
            </w:pPr>
            <w:r>
              <w:rPr>
                <w:b/>
                <w:color w:val="FFFFFF"/>
                <w:spacing w:val="-2"/>
                <w:sz w:val="16"/>
              </w:rPr>
              <w:t>costo unitario</w:t>
            </w:r>
          </w:p>
        </w:tc>
        <w:tc>
          <w:tcPr>
            <w:tcW w:w="1479" w:type="dxa"/>
            <w:shd w:val="clear" w:color="auto" w:fill="D23B73"/>
          </w:tcPr>
          <w:p w14:paraId="16245FEA" w14:textId="77777777" w:rsidR="000E52B0" w:rsidRDefault="00F60D74">
            <w:pPr>
              <w:pStyle w:val="TableParagraph"/>
              <w:spacing w:before="98"/>
              <w:ind w:left="6" w:right="4"/>
              <w:jc w:val="center"/>
              <w:rPr>
                <w:b/>
                <w:sz w:val="16"/>
              </w:rPr>
            </w:pPr>
            <w:r>
              <w:rPr>
                <w:b/>
                <w:color w:val="FFFFFF"/>
                <w:spacing w:val="-2"/>
                <w:sz w:val="16"/>
              </w:rPr>
              <w:t>Total</w:t>
            </w:r>
          </w:p>
        </w:tc>
        <w:tc>
          <w:tcPr>
            <w:tcW w:w="1025" w:type="dxa"/>
            <w:shd w:val="clear" w:color="auto" w:fill="D23B73"/>
          </w:tcPr>
          <w:p w14:paraId="0C804EE8" w14:textId="77777777" w:rsidR="000E52B0" w:rsidRDefault="00F60D74">
            <w:pPr>
              <w:pStyle w:val="TableParagraph"/>
              <w:ind w:left="175" w:right="54" w:hanging="123"/>
              <w:rPr>
                <w:b/>
                <w:sz w:val="16"/>
              </w:rPr>
            </w:pPr>
            <w:r>
              <w:rPr>
                <w:b/>
                <w:color w:val="FFFFFF"/>
                <w:sz w:val="16"/>
              </w:rPr>
              <w:t>Unidad</w:t>
            </w:r>
            <w:r>
              <w:rPr>
                <w:b/>
                <w:color w:val="FFFFFF"/>
                <w:spacing w:val="-14"/>
                <w:sz w:val="16"/>
              </w:rPr>
              <w:t xml:space="preserve"> </w:t>
            </w:r>
            <w:r>
              <w:rPr>
                <w:b/>
                <w:color w:val="FFFFFF"/>
                <w:sz w:val="16"/>
              </w:rPr>
              <w:t xml:space="preserve">de </w:t>
            </w:r>
            <w:r>
              <w:rPr>
                <w:b/>
                <w:color w:val="FFFFFF"/>
                <w:spacing w:val="-2"/>
                <w:sz w:val="16"/>
              </w:rPr>
              <w:t>medida</w:t>
            </w:r>
          </w:p>
        </w:tc>
        <w:tc>
          <w:tcPr>
            <w:tcW w:w="670" w:type="dxa"/>
            <w:shd w:val="clear" w:color="auto" w:fill="D23B73"/>
          </w:tcPr>
          <w:p w14:paraId="315FC4EB" w14:textId="77777777" w:rsidR="000E52B0" w:rsidRDefault="00F60D74">
            <w:pPr>
              <w:pStyle w:val="TableParagraph"/>
              <w:ind w:left="222" w:right="34" w:hanging="181"/>
              <w:rPr>
                <w:b/>
                <w:sz w:val="16"/>
              </w:rPr>
            </w:pPr>
            <w:proofErr w:type="spellStart"/>
            <w:r>
              <w:rPr>
                <w:b/>
                <w:color w:val="FFFFFF"/>
                <w:spacing w:val="-2"/>
                <w:sz w:val="16"/>
              </w:rPr>
              <w:t>Cantid</w:t>
            </w:r>
            <w:proofErr w:type="spellEnd"/>
            <w:r>
              <w:rPr>
                <w:b/>
                <w:color w:val="FFFFFF"/>
                <w:spacing w:val="-2"/>
                <w:sz w:val="16"/>
              </w:rPr>
              <w:t xml:space="preserve"> </w:t>
            </w:r>
            <w:r>
              <w:rPr>
                <w:b/>
                <w:color w:val="FFFFFF"/>
                <w:spacing w:val="-6"/>
                <w:sz w:val="16"/>
              </w:rPr>
              <w:t>ad</w:t>
            </w:r>
          </w:p>
        </w:tc>
        <w:tc>
          <w:tcPr>
            <w:tcW w:w="1219" w:type="dxa"/>
            <w:shd w:val="clear" w:color="auto" w:fill="D23B73"/>
          </w:tcPr>
          <w:p w14:paraId="42122C69" w14:textId="77777777" w:rsidR="000E52B0" w:rsidRDefault="00F60D74">
            <w:pPr>
              <w:pStyle w:val="TableParagraph"/>
              <w:ind w:left="252" w:firstLine="112"/>
              <w:rPr>
                <w:b/>
                <w:sz w:val="16"/>
              </w:rPr>
            </w:pPr>
            <w:r>
              <w:rPr>
                <w:b/>
                <w:color w:val="FFFFFF"/>
                <w:spacing w:val="-2"/>
                <w:sz w:val="16"/>
              </w:rPr>
              <w:t>costo unitario</w:t>
            </w:r>
          </w:p>
        </w:tc>
        <w:tc>
          <w:tcPr>
            <w:tcW w:w="1478" w:type="dxa"/>
            <w:shd w:val="clear" w:color="auto" w:fill="D23B73"/>
          </w:tcPr>
          <w:p w14:paraId="4E3E8518" w14:textId="77777777" w:rsidR="000E52B0" w:rsidRDefault="00F60D74">
            <w:pPr>
              <w:pStyle w:val="TableParagraph"/>
              <w:spacing w:before="98"/>
              <w:ind w:left="2"/>
              <w:jc w:val="center"/>
              <w:rPr>
                <w:b/>
                <w:sz w:val="16"/>
              </w:rPr>
            </w:pPr>
            <w:r>
              <w:rPr>
                <w:b/>
                <w:color w:val="FFFFFF"/>
                <w:spacing w:val="-2"/>
                <w:sz w:val="16"/>
              </w:rPr>
              <w:t>Total</w:t>
            </w:r>
          </w:p>
        </w:tc>
      </w:tr>
      <w:tr w:rsidR="000E52B0" w14:paraId="3B5EE228" w14:textId="77777777">
        <w:trPr>
          <w:trHeight w:val="549"/>
        </w:trPr>
        <w:tc>
          <w:tcPr>
            <w:tcW w:w="946" w:type="dxa"/>
            <w:vMerge w:val="restart"/>
          </w:tcPr>
          <w:p w14:paraId="3671128A" w14:textId="77777777" w:rsidR="000E52B0" w:rsidRDefault="000E52B0">
            <w:pPr>
              <w:pStyle w:val="TableParagraph"/>
              <w:rPr>
                <w:sz w:val="16"/>
              </w:rPr>
            </w:pPr>
          </w:p>
          <w:p w14:paraId="2AE112A6" w14:textId="77777777" w:rsidR="000E52B0" w:rsidRDefault="000E52B0">
            <w:pPr>
              <w:pStyle w:val="TableParagraph"/>
              <w:rPr>
                <w:sz w:val="16"/>
              </w:rPr>
            </w:pPr>
          </w:p>
          <w:p w14:paraId="17952DF8" w14:textId="77777777" w:rsidR="000E52B0" w:rsidRDefault="000E52B0">
            <w:pPr>
              <w:pStyle w:val="TableParagraph"/>
              <w:spacing w:before="169"/>
              <w:rPr>
                <w:sz w:val="16"/>
              </w:rPr>
            </w:pPr>
          </w:p>
          <w:p w14:paraId="51113765" w14:textId="77777777" w:rsidR="000E52B0" w:rsidRDefault="00F60D74">
            <w:pPr>
              <w:pStyle w:val="TableParagraph"/>
              <w:spacing w:before="1"/>
              <w:ind w:left="4"/>
              <w:rPr>
                <w:sz w:val="16"/>
              </w:rPr>
            </w:pPr>
            <w:r>
              <w:rPr>
                <w:spacing w:val="-2"/>
                <w:sz w:val="16"/>
              </w:rPr>
              <w:t>LGBTIQ+</w:t>
            </w:r>
          </w:p>
        </w:tc>
        <w:tc>
          <w:tcPr>
            <w:tcW w:w="1025" w:type="dxa"/>
          </w:tcPr>
          <w:p w14:paraId="1C86EF4A" w14:textId="77777777" w:rsidR="000E52B0" w:rsidRDefault="00F60D74">
            <w:pPr>
              <w:pStyle w:val="TableParagraph"/>
              <w:ind w:left="4"/>
              <w:rPr>
                <w:sz w:val="16"/>
              </w:rPr>
            </w:pPr>
            <w:r>
              <w:rPr>
                <w:spacing w:val="-2"/>
                <w:sz w:val="16"/>
              </w:rPr>
              <w:t>Documentos realizados</w:t>
            </w:r>
          </w:p>
        </w:tc>
        <w:tc>
          <w:tcPr>
            <w:tcW w:w="670" w:type="dxa"/>
          </w:tcPr>
          <w:p w14:paraId="7F96BC4D" w14:textId="77777777" w:rsidR="000E52B0" w:rsidRDefault="00F60D74">
            <w:pPr>
              <w:pStyle w:val="TableParagraph"/>
              <w:spacing w:before="95"/>
              <w:ind w:left="4"/>
              <w:rPr>
                <w:sz w:val="16"/>
              </w:rPr>
            </w:pPr>
            <w:r>
              <w:rPr>
                <w:spacing w:val="-5"/>
                <w:sz w:val="16"/>
              </w:rPr>
              <w:t>14</w:t>
            </w:r>
          </w:p>
        </w:tc>
        <w:tc>
          <w:tcPr>
            <w:tcW w:w="1134" w:type="dxa"/>
          </w:tcPr>
          <w:p w14:paraId="54C2CEAE" w14:textId="77777777" w:rsidR="000E52B0" w:rsidRDefault="00F60D74">
            <w:pPr>
              <w:pStyle w:val="TableParagraph"/>
              <w:spacing w:before="95"/>
              <w:ind w:left="3"/>
              <w:rPr>
                <w:sz w:val="16"/>
              </w:rPr>
            </w:pPr>
            <w:r>
              <w:rPr>
                <w:spacing w:val="-2"/>
                <w:sz w:val="16"/>
              </w:rPr>
              <w:t>468.633.600</w:t>
            </w:r>
          </w:p>
        </w:tc>
        <w:tc>
          <w:tcPr>
            <w:tcW w:w="1479" w:type="dxa"/>
          </w:tcPr>
          <w:p w14:paraId="507FDB07" w14:textId="77777777" w:rsidR="000E52B0" w:rsidRDefault="00F60D74">
            <w:pPr>
              <w:pStyle w:val="TableParagraph"/>
              <w:spacing w:before="95"/>
              <w:ind w:left="3"/>
              <w:rPr>
                <w:sz w:val="16"/>
              </w:rPr>
            </w:pPr>
            <w:r>
              <w:rPr>
                <w:spacing w:val="-2"/>
                <w:sz w:val="16"/>
              </w:rPr>
              <w:t>6.560.870.400</w:t>
            </w:r>
          </w:p>
        </w:tc>
        <w:tc>
          <w:tcPr>
            <w:tcW w:w="1025" w:type="dxa"/>
          </w:tcPr>
          <w:p w14:paraId="54027202" w14:textId="77777777" w:rsidR="000E52B0" w:rsidRDefault="00F60D74">
            <w:pPr>
              <w:pStyle w:val="TableParagraph"/>
              <w:ind w:left="2"/>
              <w:rPr>
                <w:sz w:val="16"/>
              </w:rPr>
            </w:pPr>
            <w:r>
              <w:rPr>
                <w:spacing w:val="-2"/>
                <w:sz w:val="16"/>
              </w:rPr>
              <w:t>Documentos realizados</w:t>
            </w:r>
          </w:p>
        </w:tc>
        <w:tc>
          <w:tcPr>
            <w:tcW w:w="670" w:type="dxa"/>
          </w:tcPr>
          <w:p w14:paraId="7CDCA817" w14:textId="77777777" w:rsidR="000E52B0" w:rsidRDefault="00F60D74">
            <w:pPr>
              <w:pStyle w:val="TableParagraph"/>
              <w:spacing w:before="95"/>
              <w:ind w:left="2"/>
              <w:rPr>
                <w:sz w:val="16"/>
              </w:rPr>
            </w:pPr>
            <w:r>
              <w:rPr>
                <w:spacing w:val="-5"/>
                <w:sz w:val="16"/>
              </w:rPr>
              <w:t>13</w:t>
            </w:r>
          </w:p>
        </w:tc>
        <w:tc>
          <w:tcPr>
            <w:tcW w:w="1134" w:type="dxa"/>
          </w:tcPr>
          <w:p w14:paraId="382973BD" w14:textId="77777777" w:rsidR="000E52B0" w:rsidRDefault="00F60D74">
            <w:pPr>
              <w:pStyle w:val="TableParagraph"/>
              <w:spacing w:before="95"/>
              <w:ind w:left="2"/>
              <w:rPr>
                <w:sz w:val="16"/>
              </w:rPr>
            </w:pPr>
            <w:r>
              <w:rPr>
                <w:spacing w:val="-2"/>
                <w:sz w:val="16"/>
              </w:rPr>
              <w:t>508.719.797</w:t>
            </w:r>
          </w:p>
        </w:tc>
        <w:tc>
          <w:tcPr>
            <w:tcW w:w="1479" w:type="dxa"/>
          </w:tcPr>
          <w:p w14:paraId="2949FD64" w14:textId="77777777" w:rsidR="000E52B0" w:rsidRDefault="00F60D74">
            <w:pPr>
              <w:pStyle w:val="TableParagraph"/>
              <w:spacing w:before="95"/>
              <w:ind w:left="1"/>
              <w:rPr>
                <w:sz w:val="16"/>
              </w:rPr>
            </w:pPr>
            <w:r>
              <w:rPr>
                <w:spacing w:val="-2"/>
                <w:sz w:val="16"/>
              </w:rPr>
              <w:t>6.613.357.363</w:t>
            </w:r>
          </w:p>
        </w:tc>
        <w:tc>
          <w:tcPr>
            <w:tcW w:w="1025" w:type="dxa"/>
          </w:tcPr>
          <w:p w14:paraId="168AB61B" w14:textId="77777777" w:rsidR="000E52B0" w:rsidRDefault="00F60D74">
            <w:pPr>
              <w:pStyle w:val="TableParagraph"/>
              <w:rPr>
                <w:sz w:val="16"/>
              </w:rPr>
            </w:pPr>
            <w:r>
              <w:rPr>
                <w:spacing w:val="-2"/>
                <w:sz w:val="16"/>
              </w:rPr>
              <w:t>Documentos realizados</w:t>
            </w:r>
          </w:p>
        </w:tc>
        <w:tc>
          <w:tcPr>
            <w:tcW w:w="670" w:type="dxa"/>
          </w:tcPr>
          <w:p w14:paraId="6278D5F1" w14:textId="77777777" w:rsidR="000E52B0" w:rsidRDefault="00F60D74">
            <w:pPr>
              <w:pStyle w:val="TableParagraph"/>
              <w:spacing w:before="95"/>
              <w:rPr>
                <w:sz w:val="16"/>
              </w:rPr>
            </w:pPr>
            <w:r>
              <w:rPr>
                <w:spacing w:val="-5"/>
                <w:sz w:val="16"/>
              </w:rPr>
              <w:t>13</w:t>
            </w:r>
          </w:p>
        </w:tc>
        <w:tc>
          <w:tcPr>
            <w:tcW w:w="1219" w:type="dxa"/>
          </w:tcPr>
          <w:p w14:paraId="50B457DD" w14:textId="77777777" w:rsidR="000E52B0" w:rsidRDefault="00F60D74">
            <w:pPr>
              <w:pStyle w:val="TableParagraph"/>
              <w:spacing w:before="95"/>
              <w:ind w:left="3"/>
              <w:rPr>
                <w:sz w:val="16"/>
              </w:rPr>
            </w:pPr>
            <w:r>
              <w:rPr>
                <w:spacing w:val="-2"/>
                <w:sz w:val="16"/>
              </w:rPr>
              <w:t>549.417.381</w:t>
            </w:r>
          </w:p>
        </w:tc>
        <w:tc>
          <w:tcPr>
            <w:tcW w:w="1478" w:type="dxa"/>
          </w:tcPr>
          <w:p w14:paraId="319BA6E8" w14:textId="77777777" w:rsidR="000E52B0" w:rsidRDefault="00F60D74">
            <w:pPr>
              <w:pStyle w:val="TableParagraph"/>
              <w:spacing w:before="95"/>
              <w:rPr>
                <w:sz w:val="16"/>
              </w:rPr>
            </w:pPr>
            <w:r>
              <w:rPr>
                <w:spacing w:val="-2"/>
                <w:sz w:val="16"/>
              </w:rPr>
              <w:t>7.142.425.952</w:t>
            </w:r>
          </w:p>
        </w:tc>
      </w:tr>
      <w:tr w:rsidR="000E52B0" w14:paraId="10F4E46B" w14:textId="77777777">
        <w:trPr>
          <w:trHeight w:val="744"/>
        </w:trPr>
        <w:tc>
          <w:tcPr>
            <w:tcW w:w="946" w:type="dxa"/>
            <w:vMerge/>
            <w:tcBorders>
              <w:top w:val="nil"/>
            </w:tcBorders>
          </w:tcPr>
          <w:p w14:paraId="4216E422" w14:textId="77777777" w:rsidR="000E52B0" w:rsidRDefault="000E52B0">
            <w:pPr>
              <w:rPr>
                <w:sz w:val="2"/>
                <w:szCs w:val="2"/>
              </w:rPr>
            </w:pPr>
          </w:p>
        </w:tc>
        <w:tc>
          <w:tcPr>
            <w:tcW w:w="1025" w:type="dxa"/>
          </w:tcPr>
          <w:p w14:paraId="033AD0C2" w14:textId="77777777" w:rsidR="000E52B0" w:rsidRDefault="00F60D74">
            <w:pPr>
              <w:pStyle w:val="TableParagraph"/>
              <w:ind w:left="4" w:right="50"/>
              <w:rPr>
                <w:sz w:val="16"/>
              </w:rPr>
            </w:pPr>
            <w:proofErr w:type="spellStart"/>
            <w:r>
              <w:rPr>
                <w:spacing w:val="-2"/>
                <w:sz w:val="16"/>
              </w:rPr>
              <w:t>Organizacio</w:t>
            </w:r>
            <w:proofErr w:type="spellEnd"/>
            <w:r>
              <w:rPr>
                <w:spacing w:val="-2"/>
                <w:sz w:val="16"/>
              </w:rPr>
              <w:t xml:space="preserve"> </w:t>
            </w:r>
            <w:proofErr w:type="spellStart"/>
            <w:r>
              <w:rPr>
                <w:spacing w:val="-4"/>
                <w:sz w:val="16"/>
              </w:rPr>
              <w:t>nes</w:t>
            </w:r>
            <w:proofErr w:type="spellEnd"/>
            <w:r>
              <w:rPr>
                <w:spacing w:val="-4"/>
                <w:sz w:val="16"/>
              </w:rPr>
              <w:t xml:space="preserve"> </w:t>
            </w:r>
            <w:r>
              <w:rPr>
                <w:spacing w:val="-2"/>
                <w:sz w:val="16"/>
              </w:rPr>
              <w:t>fortalecidas</w:t>
            </w:r>
          </w:p>
        </w:tc>
        <w:tc>
          <w:tcPr>
            <w:tcW w:w="670" w:type="dxa"/>
          </w:tcPr>
          <w:p w14:paraId="0267653E" w14:textId="77777777" w:rsidR="000E52B0" w:rsidRDefault="00F60D74">
            <w:pPr>
              <w:pStyle w:val="TableParagraph"/>
              <w:spacing w:before="194"/>
              <w:ind w:left="4"/>
              <w:rPr>
                <w:sz w:val="16"/>
              </w:rPr>
            </w:pPr>
            <w:r>
              <w:rPr>
                <w:spacing w:val="-5"/>
                <w:sz w:val="16"/>
              </w:rPr>
              <w:t>150</w:t>
            </w:r>
          </w:p>
        </w:tc>
        <w:tc>
          <w:tcPr>
            <w:tcW w:w="1134" w:type="dxa"/>
          </w:tcPr>
          <w:p w14:paraId="53A3A8EE" w14:textId="77777777" w:rsidR="000E52B0" w:rsidRDefault="00F60D74">
            <w:pPr>
              <w:pStyle w:val="TableParagraph"/>
              <w:spacing w:before="194"/>
              <w:ind w:left="3"/>
              <w:rPr>
                <w:sz w:val="16"/>
              </w:rPr>
            </w:pPr>
            <w:r>
              <w:rPr>
                <w:spacing w:val="-2"/>
                <w:sz w:val="16"/>
              </w:rPr>
              <w:t>97.390.850</w:t>
            </w:r>
          </w:p>
        </w:tc>
        <w:tc>
          <w:tcPr>
            <w:tcW w:w="1479" w:type="dxa"/>
          </w:tcPr>
          <w:p w14:paraId="4894A625" w14:textId="77777777" w:rsidR="000E52B0" w:rsidRDefault="00F60D74">
            <w:pPr>
              <w:pStyle w:val="TableParagraph"/>
              <w:spacing w:before="194"/>
              <w:ind w:left="3"/>
              <w:rPr>
                <w:sz w:val="16"/>
              </w:rPr>
            </w:pPr>
            <w:r>
              <w:rPr>
                <w:spacing w:val="-2"/>
                <w:sz w:val="16"/>
              </w:rPr>
              <w:t>14.608.627.454</w:t>
            </w:r>
          </w:p>
        </w:tc>
        <w:tc>
          <w:tcPr>
            <w:tcW w:w="1025" w:type="dxa"/>
          </w:tcPr>
          <w:p w14:paraId="09B6BD06" w14:textId="77777777" w:rsidR="000E52B0" w:rsidRDefault="00F60D74">
            <w:pPr>
              <w:pStyle w:val="TableParagraph"/>
              <w:ind w:left="2" w:right="50"/>
              <w:rPr>
                <w:sz w:val="16"/>
              </w:rPr>
            </w:pPr>
            <w:proofErr w:type="spellStart"/>
            <w:r>
              <w:rPr>
                <w:spacing w:val="-2"/>
                <w:sz w:val="16"/>
              </w:rPr>
              <w:t>Organizacio</w:t>
            </w:r>
            <w:proofErr w:type="spellEnd"/>
            <w:r>
              <w:rPr>
                <w:spacing w:val="-2"/>
                <w:sz w:val="16"/>
              </w:rPr>
              <w:t xml:space="preserve"> </w:t>
            </w:r>
            <w:proofErr w:type="spellStart"/>
            <w:r>
              <w:rPr>
                <w:spacing w:val="-4"/>
                <w:sz w:val="16"/>
              </w:rPr>
              <w:t>nes</w:t>
            </w:r>
            <w:proofErr w:type="spellEnd"/>
            <w:r>
              <w:rPr>
                <w:spacing w:val="-4"/>
                <w:sz w:val="16"/>
              </w:rPr>
              <w:t xml:space="preserve"> </w:t>
            </w:r>
            <w:r>
              <w:rPr>
                <w:spacing w:val="-2"/>
                <w:sz w:val="16"/>
              </w:rPr>
              <w:t>fortalecidas</w:t>
            </w:r>
          </w:p>
        </w:tc>
        <w:tc>
          <w:tcPr>
            <w:tcW w:w="670" w:type="dxa"/>
          </w:tcPr>
          <w:p w14:paraId="427E5204" w14:textId="77777777" w:rsidR="000E52B0" w:rsidRDefault="00F60D74">
            <w:pPr>
              <w:pStyle w:val="TableParagraph"/>
              <w:spacing w:before="194"/>
              <w:ind w:left="2"/>
              <w:rPr>
                <w:sz w:val="16"/>
              </w:rPr>
            </w:pPr>
            <w:r>
              <w:rPr>
                <w:spacing w:val="-5"/>
                <w:sz w:val="16"/>
              </w:rPr>
              <w:t>160</w:t>
            </w:r>
          </w:p>
        </w:tc>
        <w:tc>
          <w:tcPr>
            <w:tcW w:w="1134" w:type="dxa"/>
          </w:tcPr>
          <w:p w14:paraId="031D3E32" w14:textId="77777777" w:rsidR="000E52B0" w:rsidRDefault="00F60D74">
            <w:pPr>
              <w:pStyle w:val="TableParagraph"/>
              <w:spacing w:before="194"/>
              <w:ind w:left="2"/>
              <w:rPr>
                <w:sz w:val="16"/>
              </w:rPr>
            </w:pPr>
            <w:r>
              <w:rPr>
                <w:spacing w:val="-2"/>
                <w:sz w:val="16"/>
              </w:rPr>
              <w:t>92.034.353</w:t>
            </w:r>
          </w:p>
        </w:tc>
        <w:tc>
          <w:tcPr>
            <w:tcW w:w="1479" w:type="dxa"/>
          </w:tcPr>
          <w:p w14:paraId="13E7B65E" w14:textId="77777777" w:rsidR="000E52B0" w:rsidRDefault="00F60D74">
            <w:pPr>
              <w:pStyle w:val="TableParagraph"/>
              <w:spacing w:before="194"/>
              <w:ind w:left="1"/>
              <w:rPr>
                <w:sz w:val="16"/>
              </w:rPr>
            </w:pPr>
            <w:r>
              <w:rPr>
                <w:spacing w:val="-2"/>
                <w:sz w:val="16"/>
              </w:rPr>
              <w:t>14.725.496.474</w:t>
            </w:r>
          </w:p>
        </w:tc>
        <w:tc>
          <w:tcPr>
            <w:tcW w:w="1025" w:type="dxa"/>
          </w:tcPr>
          <w:p w14:paraId="3B4C0274" w14:textId="77777777" w:rsidR="000E52B0" w:rsidRDefault="00F60D74">
            <w:pPr>
              <w:pStyle w:val="TableParagraph"/>
              <w:ind w:right="50"/>
              <w:rPr>
                <w:sz w:val="16"/>
              </w:rPr>
            </w:pPr>
            <w:proofErr w:type="spellStart"/>
            <w:r>
              <w:rPr>
                <w:spacing w:val="-2"/>
                <w:sz w:val="16"/>
              </w:rPr>
              <w:t>Organizacio</w:t>
            </w:r>
            <w:proofErr w:type="spellEnd"/>
            <w:r>
              <w:rPr>
                <w:spacing w:val="-2"/>
                <w:sz w:val="16"/>
              </w:rPr>
              <w:t xml:space="preserve"> </w:t>
            </w:r>
            <w:proofErr w:type="spellStart"/>
            <w:r>
              <w:rPr>
                <w:spacing w:val="-4"/>
                <w:sz w:val="16"/>
              </w:rPr>
              <w:t>nes</w:t>
            </w:r>
            <w:proofErr w:type="spellEnd"/>
            <w:r>
              <w:rPr>
                <w:spacing w:val="-4"/>
                <w:sz w:val="16"/>
              </w:rPr>
              <w:t xml:space="preserve"> </w:t>
            </w:r>
            <w:r>
              <w:rPr>
                <w:spacing w:val="-2"/>
                <w:sz w:val="16"/>
              </w:rPr>
              <w:t>fortalecidas</w:t>
            </w:r>
          </w:p>
        </w:tc>
        <w:tc>
          <w:tcPr>
            <w:tcW w:w="670" w:type="dxa"/>
          </w:tcPr>
          <w:p w14:paraId="6E06DF80" w14:textId="77777777" w:rsidR="000E52B0" w:rsidRDefault="00F60D74">
            <w:pPr>
              <w:pStyle w:val="TableParagraph"/>
              <w:spacing w:before="194"/>
              <w:rPr>
                <w:sz w:val="16"/>
              </w:rPr>
            </w:pPr>
            <w:r>
              <w:rPr>
                <w:spacing w:val="-5"/>
                <w:sz w:val="16"/>
              </w:rPr>
              <w:t>160</w:t>
            </w:r>
          </w:p>
        </w:tc>
        <w:tc>
          <w:tcPr>
            <w:tcW w:w="1219" w:type="dxa"/>
          </w:tcPr>
          <w:p w14:paraId="18B916A8" w14:textId="77777777" w:rsidR="000E52B0" w:rsidRDefault="00F60D74">
            <w:pPr>
              <w:pStyle w:val="TableParagraph"/>
              <w:spacing w:before="194"/>
              <w:ind w:left="3"/>
              <w:rPr>
                <w:sz w:val="16"/>
              </w:rPr>
            </w:pPr>
            <w:r>
              <w:rPr>
                <w:spacing w:val="-2"/>
                <w:sz w:val="16"/>
              </w:rPr>
              <w:t>99.397.101</w:t>
            </w:r>
          </w:p>
        </w:tc>
        <w:tc>
          <w:tcPr>
            <w:tcW w:w="1478" w:type="dxa"/>
          </w:tcPr>
          <w:p w14:paraId="0FA6E6E7" w14:textId="77777777" w:rsidR="000E52B0" w:rsidRDefault="00F60D74">
            <w:pPr>
              <w:pStyle w:val="TableParagraph"/>
              <w:spacing w:before="194"/>
              <w:rPr>
                <w:sz w:val="16"/>
              </w:rPr>
            </w:pPr>
            <w:r>
              <w:rPr>
                <w:spacing w:val="-2"/>
                <w:sz w:val="16"/>
              </w:rPr>
              <w:t>15.903.536.192</w:t>
            </w:r>
          </w:p>
        </w:tc>
      </w:tr>
      <w:tr w:rsidR="000E52B0" w14:paraId="469B483F" w14:textId="77777777">
        <w:trPr>
          <w:trHeight w:val="546"/>
        </w:trPr>
        <w:tc>
          <w:tcPr>
            <w:tcW w:w="946" w:type="dxa"/>
            <w:vMerge/>
            <w:tcBorders>
              <w:top w:val="nil"/>
            </w:tcBorders>
          </w:tcPr>
          <w:p w14:paraId="1DEB8EB3" w14:textId="77777777" w:rsidR="000E52B0" w:rsidRDefault="000E52B0">
            <w:pPr>
              <w:rPr>
                <w:sz w:val="2"/>
                <w:szCs w:val="2"/>
              </w:rPr>
            </w:pPr>
          </w:p>
        </w:tc>
        <w:tc>
          <w:tcPr>
            <w:tcW w:w="1025" w:type="dxa"/>
          </w:tcPr>
          <w:p w14:paraId="70CE3AD9" w14:textId="77777777" w:rsidR="000E52B0" w:rsidRDefault="00F60D74">
            <w:pPr>
              <w:pStyle w:val="TableParagraph"/>
              <w:ind w:left="4" w:right="50"/>
              <w:rPr>
                <w:sz w:val="16"/>
              </w:rPr>
            </w:pPr>
            <w:r>
              <w:rPr>
                <w:spacing w:val="-2"/>
                <w:sz w:val="16"/>
              </w:rPr>
              <w:t>personas atendidas</w:t>
            </w:r>
          </w:p>
        </w:tc>
        <w:tc>
          <w:tcPr>
            <w:tcW w:w="670" w:type="dxa"/>
          </w:tcPr>
          <w:p w14:paraId="32B47E29" w14:textId="77777777" w:rsidR="000E52B0" w:rsidRDefault="00F60D74">
            <w:pPr>
              <w:pStyle w:val="TableParagraph"/>
              <w:spacing w:before="95"/>
              <w:ind w:left="4"/>
              <w:rPr>
                <w:sz w:val="16"/>
              </w:rPr>
            </w:pPr>
            <w:r>
              <w:rPr>
                <w:spacing w:val="-4"/>
                <w:sz w:val="16"/>
              </w:rPr>
              <w:t>1690</w:t>
            </w:r>
          </w:p>
        </w:tc>
        <w:tc>
          <w:tcPr>
            <w:tcW w:w="1134" w:type="dxa"/>
          </w:tcPr>
          <w:p w14:paraId="5158B0F4" w14:textId="77777777" w:rsidR="000E52B0" w:rsidRDefault="00F60D74">
            <w:pPr>
              <w:pStyle w:val="TableParagraph"/>
              <w:spacing w:before="95"/>
              <w:ind w:left="3"/>
              <w:rPr>
                <w:sz w:val="16"/>
              </w:rPr>
            </w:pPr>
            <w:r>
              <w:rPr>
                <w:spacing w:val="-2"/>
                <w:sz w:val="16"/>
              </w:rPr>
              <w:t>7.826.546</w:t>
            </w:r>
          </w:p>
        </w:tc>
        <w:tc>
          <w:tcPr>
            <w:tcW w:w="1479" w:type="dxa"/>
          </w:tcPr>
          <w:p w14:paraId="5289541C" w14:textId="77777777" w:rsidR="000E52B0" w:rsidRDefault="00F60D74">
            <w:pPr>
              <w:pStyle w:val="TableParagraph"/>
              <w:spacing w:before="95"/>
              <w:ind w:left="3"/>
              <w:rPr>
                <w:sz w:val="16"/>
              </w:rPr>
            </w:pPr>
            <w:r>
              <w:rPr>
                <w:spacing w:val="-2"/>
                <w:sz w:val="16"/>
              </w:rPr>
              <w:t>13.226.863.104</w:t>
            </w:r>
          </w:p>
        </w:tc>
        <w:tc>
          <w:tcPr>
            <w:tcW w:w="1025" w:type="dxa"/>
          </w:tcPr>
          <w:p w14:paraId="796C9D58" w14:textId="77777777" w:rsidR="000E52B0" w:rsidRDefault="00F60D74">
            <w:pPr>
              <w:pStyle w:val="TableParagraph"/>
              <w:ind w:left="2" w:right="50"/>
              <w:rPr>
                <w:sz w:val="16"/>
              </w:rPr>
            </w:pPr>
            <w:r>
              <w:rPr>
                <w:spacing w:val="-2"/>
                <w:sz w:val="16"/>
              </w:rPr>
              <w:t>personas atendidas</w:t>
            </w:r>
          </w:p>
        </w:tc>
        <w:tc>
          <w:tcPr>
            <w:tcW w:w="670" w:type="dxa"/>
          </w:tcPr>
          <w:p w14:paraId="56DD3DBE" w14:textId="77777777" w:rsidR="000E52B0" w:rsidRDefault="00F60D74">
            <w:pPr>
              <w:pStyle w:val="TableParagraph"/>
              <w:spacing w:before="95"/>
              <w:ind w:left="2"/>
              <w:rPr>
                <w:sz w:val="16"/>
              </w:rPr>
            </w:pPr>
            <w:r>
              <w:rPr>
                <w:spacing w:val="-4"/>
                <w:sz w:val="16"/>
              </w:rPr>
              <w:t>1790</w:t>
            </w:r>
          </w:p>
        </w:tc>
        <w:tc>
          <w:tcPr>
            <w:tcW w:w="1134" w:type="dxa"/>
          </w:tcPr>
          <w:p w14:paraId="009676C6" w14:textId="77777777" w:rsidR="000E52B0" w:rsidRDefault="00F60D74">
            <w:pPr>
              <w:pStyle w:val="TableParagraph"/>
              <w:spacing w:before="95"/>
              <w:ind w:left="2"/>
              <w:rPr>
                <w:sz w:val="16"/>
              </w:rPr>
            </w:pPr>
            <w:r>
              <w:rPr>
                <w:spacing w:val="-2"/>
                <w:sz w:val="16"/>
              </w:rPr>
              <w:t>7.448.423</w:t>
            </w:r>
          </w:p>
        </w:tc>
        <w:tc>
          <w:tcPr>
            <w:tcW w:w="1479" w:type="dxa"/>
          </w:tcPr>
          <w:p w14:paraId="275727C1" w14:textId="77777777" w:rsidR="000E52B0" w:rsidRDefault="00F60D74">
            <w:pPr>
              <w:pStyle w:val="TableParagraph"/>
              <w:spacing w:before="95"/>
              <w:ind w:left="1"/>
              <w:rPr>
                <w:sz w:val="16"/>
              </w:rPr>
            </w:pPr>
            <w:r>
              <w:rPr>
                <w:spacing w:val="-2"/>
                <w:sz w:val="16"/>
              </w:rPr>
              <w:t>13.332.678.009</w:t>
            </w:r>
          </w:p>
        </w:tc>
        <w:tc>
          <w:tcPr>
            <w:tcW w:w="1025" w:type="dxa"/>
          </w:tcPr>
          <w:p w14:paraId="559CD5D4" w14:textId="77777777" w:rsidR="000E52B0" w:rsidRDefault="00F60D74">
            <w:pPr>
              <w:pStyle w:val="TableParagraph"/>
              <w:ind w:right="50"/>
              <w:rPr>
                <w:sz w:val="16"/>
              </w:rPr>
            </w:pPr>
            <w:r>
              <w:rPr>
                <w:spacing w:val="-2"/>
                <w:sz w:val="16"/>
              </w:rPr>
              <w:t>personas atendidas</w:t>
            </w:r>
          </w:p>
        </w:tc>
        <w:tc>
          <w:tcPr>
            <w:tcW w:w="670" w:type="dxa"/>
          </w:tcPr>
          <w:p w14:paraId="7CC40CA0" w14:textId="77777777" w:rsidR="000E52B0" w:rsidRDefault="00F60D74">
            <w:pPr>
              <w:pStyle w:val="TableParagraph"/>
              <w:spacing w:before="95"/>
              <w:rPr>
                <w:sz w:val="16"/>
              </w:rPr>
            </w:pPr>
            <w:r>
              <w:rPr>
                <w:spacing w:val="-4"/>
                <w:sz w:val="16"/>
              </w:rPr>
              <w:t>1790</w:t>
            </w:r>
          </w:p>
        </w:tc>
        <w:tc>
          <w:tcPr>
            <w:tcW w:w="1219" w:type="dxa"/>
          </w:tcPr>
          <w:p w14:paraId="08256026" w14:textId="77777777" w:rsidR="000E52B0" w:rsidRDefault="00F60D74">
            <w:pPr>
              <w:pStyle w:val="TableParagraph"/>
              <w:spacing w:before="95"/>
              <w:ind w:left="3"/>
              <w:rPr>
                <w:sz w:val="16"/>
              </w:rPr>
            </w:pPr>
            <w:r>
              <w:rPr>
                <w:spacing w:val="-2"/>
                <w:sz w:val="16"/>
              </w:rPr>
              <w:t>8.044.297</w:t>
            </w:r>
          </w:p>
        </w:tc>
        <w:tc>
          <w:tcPr>
            <w:tcW w:w="1478" w:type="dxa"/>
          </w:tcPr>
          <w:p w14:paraId="1CE63566" w14:textId="77777777" w:rsidR="000E52B0" w:rsidRDefault="00F60D74">
            <w:pPr>
              <w:pStyle w:val="TableParagraph"/>
              <w:spacing w:before="95"/>
              <w:rPr>
                <w:sz w:val="16"/>
              </w:rPr>
            </w:pPr>
            <w:r>
              <w:rPr>
                <w:spacing w:val="-2"/>
                <w:sz w:val="16"/>
              </w:rPr>
              <w:t>14.399.292.250</w:t>
            </w:r>
          </w:p>
        </w:tc>
      </w:tr>
      <w:tr w:rsidR="000E52B0" w14:paraId="53BBEFDC" w14:textId="77777777">
        <w:trPr>
          <w:trHeight w:val="743"/>
        </w:trPr>
        <w:tc>
          <w:tcPr>
            <w:tcW w:w="946" w:type="dxa"/>
            <w:vMerge w:val="restart"/>
          </w:tcPr>
          <w:p w14:paraId="4E2F6995" w14:textId="77777777" w:rsidR="000E52B0" w:rsidRDefault="000E52B0">
            <w:pPr>
              <w:pStyle w:val="TableParagraph"/>
              <w:rPr>
                <w:sz w:val="16"/>
              </w:rPr>
            </w:pPr>
          </w:p>
          <w:p w14:paraId="0BF26B06" w14:textId="77777777" w:rsidR="000E52B0" w:rsidRDefault="000E52B0">
            <w:pPr>
              <w:pStyle w:val="TableParagraph"/>
              <w:rPr>
                <w:sz w:val="16"/>
              </w:rPr>
            </w:pPr>
          </w:p>
          <w:p w14:paraId="6E007C40" w14:textId="77777777" w:rsidR="000E52B0" w:rsidRDefault="000E52B0">
            <w:pPr>
              <w:pStyle w:val="TableParagraph"/>
              <w:rPr>
                <w:sz w:val="16"/>
              </w:rPr>
            </w:pPr>
          </w:p>
          <w:p w14:paraId="23AB907F" w14:textId="77777777" w:rsidR="000E52B0" w:rsidRDefault="000E52B0">
            <w:pPr>
              <w:pStyle w:val="TableParagraph"/>
              <w:spacing w:before="157"/>
              <w:rPr>
                <w:sz w:val="16"/>
              </w:rPr>
            </w:pPr>
          </w:p>
          <w:p w14:paraId="07D32BAF" w14:textId="77777777" w:rsidR="000E52B0" w:rsidRDefault="00F60D74">
            <w:pPr>
              <w:pStyle w:val="TableParagraph"/>
              <w:spacing w:before="1"/>
              <w:ind w:left="4" w:right="89"/>
              <w:rPr>
                <w:sz w:val="16"/>
              </w:rPr>
            </w:pPr>
            <w:r>
              <w:rPr>
                <w:spacing w:val="-2"/>
                <w:sz w:val="16"/>
              </w:rPr>
              <w:t xml:space="preserve">Sistema Nacional </w:t>
            </w:r>
            <w:r>
              <w:rPr>
                <w:spacing w:val="-4"/>
                <w:sz w:val="16"/>
              </w:rPr>
              <w:t xml:space="preserve">del </w:t>
            </w:r>
            <w:r>
              <w:rPr>
                <w:spacing w:val="-2"/>
                <w:sz w:val="16"/>
              </w:rPr>
              <w:t>Cuidado</w:t>
            </w:r>
          </w:p>
        </w:tc>
        <w:tc>
          <w:tcPr>
            <w:tcW w:w="1025" w:type="dxa"/>
          </w:tcPr>
          <w:p w14:paraId="4B3FA05B" w14:textId="77777777" w:rsidR="000E52B0" w:rsidRDefault="00F60D74">
            <w:pPr>
              <w:pStyle w:val="TableParagraph"/>
              <w:spacing w:before="2"/>
              <w:ind w:left="4" w:right="-15"/>
              <w:jc w:val="both"/>
              <w:rPr>
                <w:sz w:val="16"/>
              </w:rPr>
            </w:pPr>
            <w:r>
              <w:rPr>
                <w:spacing w:val="-2"/>
                <w:sz w:val="16"/>
              </w:rPr>
              <w:t xml:space="preserve">Documentos </w:t>
            </w:r>
            <w:r>
              <w:rPr>
                <w:sz w:val="16"/>
              </w:rPr>
              <w:t xml:space="preserve">de política </w:t>
            </w:r>
            <w:r>
              <w:rPr>
                <w:spacing w:val="-2"/>
                <w:sz w:val="16"/>
              </w:rPr>
              <w:t>elaborados</w:t>
            </w:r>
          </w:p>
        </w:tc>
        <w:tc>
          <w:tcPr>
            <w:tcW w:w="670" w:type="dxa"/>
          </w:tcPr>
          <w:p w14:paraId="62F79D58" w14:textId="77777777" w:rsidR="000E52B0" w:rsidRDefault="000E52B0">
            <w:pPr>
              <w:pStyle w:val="TableParagraph"/>
              <w:spacing w:before="2"/>
              <w:rPr>
                <w:sz w:val="16"/>
              </w:rPr>
            </w:pPr>
          </w:p>
          <w:p w14:paraId="505C3473" w14:textId="77777777" w:rsidR="000E52B0" w:rsidRDefault="00F60D74">
            <w:pPr>
              <w:pStyle w:val="TableParagraph"/>
              <w:ind w:left="4"/>
              <w:rPr>
                <w:sz w:val="16"/>
              </w:rPr>
            </w:pPr>
            <w:r>
              <w:rPr>
                <w:spacing w:val="-10"/>
                <w:sz w:val="16"/>
              </w:rPr>
              <w:t>1</w:t>
            </w:r>
          </w:p>
        </w:tc>
        <w:tc>
          <w:tcPr>
            <w:tcW w:w="1134" w:type="dxa"/>
          </w:tcPr>
          <w:p w14:paraId="7C5506CD" w14:textId="77777777" w:rsidR="000E52B0" w:rsidRDefault="00F60D74">
            <w:pPr>
              <w:pStyle w:val="TableParagraph"/>
              <w:spacing w:before="98"/>
              <w:ind w:left="3"/>
              <w:rPr>
                <w:sz w:val="16"/>
              </w:rPr>
            </w:pPr>
            <w:r>
              <w:rPr>
                <w:spacing w:val="-2"/>
                <w:sz w:val="16"/>
              </w:rPr>
              <w:t>11.272.790.4</w:t>
            </w:r>
          </w:p>
          <w:p w14:paraId="64F2DD4F" w14:textId="77777777" w:rsidR="000E52B0" w:rsidRDefault="00F60D74">
            <w:pPr>
              <w:pStyle w:val="TableParagraph"/>
              <w:ind w:left="3"/>
              <w:rPr>
                <w:sz w:val="16"/>
              </w:rPr>
            </w:pPr>
            <w:r>
              <w:rPr>
                <w:spacing w:val="-5"/>
                <w:sz w:val="16"/>
              </w:rPr>
              <w:t>16</w:t>
            </w:r>
          </w:p>
        </w:tc>
        <w:tc>
          <w:tcPr>
            <w:tcW w:w="1479" w:type="dxa"/>
          </w:tcPr>
          <w:p w14:paraId="5420FCD6" w14:textId="77777777" w:rsidR="000E52B0" w:rsidRDefault="000E52B0">
            <w:pPr>
              <w:pStyle w:val="TableParagraph"/>
              <w:spacing w:before="2"/>
              <w:rPr>
                <w:sz w:val="16"/>
              </w:rPr>
            </w:pPr>
          </w:p>
          <w:p w14:paraId="10906F1E" w14:textId="77777777" w:rsidR="000E52B0" w:rsidRDefault="00F60D74">
            <w:pPr>
              <w:pStyle w:val="TableParagraph"/>
              <w:ind w:left="3"/>
              <w:rPr>
                <w:sz w:val="16"/>
              </w:rPr>
            </w:pPr>
            <w:r>
              <w:rPr>
                <w:spacing w:val="-2"/>
                <w:sz w:val="16"/>
              </w:rPr>
              <w:t>11.272.790.416</w:t>
            </w:r>
          </w:p>
        </w:tc>
        <w:tc>
          <w:tcPr>
            <w:tcW w:w="1025" w:type="dxa"/>
          </w:tcPr>
          <w:p w14:paraId="10038F6B" w14:textId="77777777" w:rsidR="000E52B0" w:rsidRDefault="00F60D74">
            <w:pPr>
              <w:pStyle w:val="TableParagraph"/>
              <w:spacing w:before="2"/>
              <w:ind w:left="2" w:right="-15"/>
              <w:jc w:val="both"/>
              <w:rPr>
                <w:sz w:val="16"/>
              </w:rPr>
            </w:pPr>
            <w:r>
              <w:rPr>
                <w:spacing w:val="-2"/>
                <w:sz w:val="16"/>
              </w:rPr>
              <w:t xml:space="preserve">Documentos </w:t>
            </w:r>
            <w:r>
              <w:rPr>
                <w:sz w:val="16"/>
              </w:rPr>
              <w:t xml:space="preserve">de política </w:t>
            </w:r>
            <w:r>
              <w:rPr>
                <w:spacing w:val="-2"/>
                <w:sz w:val="16"/>
              </w:rPr>
              <w:t>elaborados</w:t>
            </w:r>
          </w:p>
        </w:tc>
        <w:tc>
          <w:tcPr>
            <w:tcW w:w="670" w:type="dxa"/>
          </w:tcPr>
          <w:p w14:paraId="73A1B437" w14:textId="77777777" w:rsidR="000E52B0" w:rsidRDefault="000E52B0">
            <w:pPr>
              <w:pStyle w:val="TableParagraph"/>
              <w:spacing w:before="2"/>
              <w:rPr>
                <w:sz w:val="16"/>
              </w:rPr>
            </w:pPr>
          </w:p>
          <w:p w14:paraId="1D8B929A" w14:textId="77777777" w:rsidR="000E52B0" w:rsidRDefault="00F60D74">
            <w:pPr>
              <w:pStyle w:val="TableParagraph"/>
              <w:ind w:left="2"/>
              <w:rPr>
                <w:sz w:val="16"/>
              </w:rPr>
            </w:pPr>
            <w:r>
              <w:rPr>
                <w:spacing w:val="-10"/>
                <w:sz w:val="16"/>
              </w:rPr>
              <w:t>1</w:t>
            </w:r>
          </w:p>
        </w:tc>
        <w:tc>
          <w:tcPr>
            <w:tcW w:w="1134" w:type="dxa"/>
          </w:tcPr>
          <w:p w14:paraId="0E83D1B9" w14:textId="77777777" w:rsidR="000E52B0" w:rsidRDefault="00F60D74">
            <w:pPr>
              <w:pStyle w:val="TableParagraph"/>
              <w:spacing w:before="98"/>
              <w:ind w:left="2"/>
              <w:rPr>
                <w:sz w:val="16"/>
              </w:rPr>
            </w:pPr>
            <w:r>
              <w:rPr>
                <w:spacing w:val="-2"/>
                <w:sz w:val="16"/>
              </w:rPr>
              <w:t>12.035.241.5</w:t>
            </w:r>
          </w:p>
          <w:p w14:paraId="72116D63" w14:textId="77777777" w:rsidR="000E52B0" w:rsidRDefault="00F60D74">
            <w:pPr>
              <w:pStyle w:val="TableParagraph"/>
              <w:ind w:left="2"/>
              <w:rPr>
                <w:sz w:val="16"/>
              </w:rPr>
            </w:pPr>
            <w:r>
              <w:rPr>
                <w:spacing w:val="-5"/>
                <w:sz w:val="16"/>
              </w:rPr>
              <w:t>54</w:t>
            </w:r>
          </w:p>
        </w:tc>
        <w:tc>
          <w:tcPr>
            <w:tcW w:w="1479" w:type="dxa"/>
          </w:tcPr>
          <w:p w14:paraId="219E5E3C" w14:textId="77777777" w:rsidR="000E52B0" w:rsidRDefault="000E52B0">
            <w:pPr>
              <w:pStyle w:val="TableParagraph"/>
              <w:spacing w:before="2"/>
              <w:rPr>
                <w:sz w:val="16"/>
              </w:rPr>
            </w:pPr>
          </w:p>
          <w:p w14:paraId="5391F398" w14:textId="77777777" w:rsidR="000E52B0" w:rsidRDefault="00F60D74">
            <w:pPr>
              <w:pStyle w:val="TableParagraph"/>
              <w:ind w:left="1"/>
              <w:rPr>
                <w:sz w:val="16"/>
              </w:rPr>
            </w:pPr>
            <w:r>
              <w:rPr>
                <w:spacing w:val="-2"/>
                <w:sz w:val="16"/>
              </w:rPr>
              <w:t>12.035.241.554</w:t>
            </w:r>
          </w:p>
        </w:tc>
        <w:tc>
          <w:tcPr>
            <w:tcW w:w="1025" w:type="dxa"/>
          </w:tcPr>
          <w:p w14:paraId="213AF938" w14:textId="77777777" w:rsidR="000E52B0" w:rsidRDefault="00F60D74">
            <w:pPr>
              <w:pStyle w:val="TableParagraph"/>
              <w:spacing w:before="2"/>
              <w:ind w:right="-15"/>
              <w:jc w:val="both"/>
              <w:rPr>
                <w:sz w:val="16"/>
              </w:rPr>
            </w:pPr>
            <w:r>
              <w:rPr>
                <w:spacing w:val="-2"/>
                <w:sz w:val="16"/>
              </w:rPr>
              <w:t xml:space="preserve">Documentos </w:t>
            </w:r>
            <w:r>
              <w:rPr>
                <w:sz w:val="16"/>
              </w:rPr>
              <w:t xml:space="preserve">de política </w:t>
            </w:r>
            <w:r>
              <w:rPr>
                <w:spacing w:val="-2"/>
                <w:sz w:val="16"/>
              </w:rPr>
              <w:t>elaborados</w:t>
            </w:r>
          </w:p>
        </w:tc>
        <w:tc>
          <w:tcPr>
            <w:tcW w:w="670" w:type="dxa"/>
          </w:tcPr>
          <w:p w14:paraId="6E779B81" w14:textId="77777777" w:rsidR="000E52B0" w:rsidRDefault="000E52B0">
            <w:pPr>
              <w:pStyle w:val="TableParagraph"/>
              <w:spacing w:before="2"/>
              <w:rPr>
                <w:sz w:val="16"/>
              </w:rPr>
            </w:pPr>
          </w:p>
          <w:p w14:paraId="7D958C9C" w14:textId="77777777" w:rsidR="000E52B0" w:rsidRDefault="00F60D74">
            <w:pPr>
              <w:pStyle w:val="TableParagraph"/>
              <w:rPr>
                <w:sz w:val="16"/>
              </w:rPr>
            </w:pPr>
            <w:r>
              <w:rPr>
                <w:spacing w:val="-10"/>
                <w:sz w:val="16"/>
              </w:rPr>
              <w:t>1</w:t>
            </w:r>
          </w:p>
        </w:tc>
        <w:tc>
          <w:tcPr>
            <w:tcW w:w="1219" w:type="dxa"/>
          </w:tcPr>
          <w:p w14:paraId="6D403A79" w14:textId="77777777" w:rsidR="000E52B0" w:rsidRDefault="00F60D74">
            <w:pPr>
              <w:pStyle w:val="TableParagraph"/>
              <w:spacing w:before="98"/>
              <w:ind w:left="3"/>
              <w:rPr>
                <w:sz w:val="16"/>
              </w:rPr>
            </w:pPr>
            <w:r>
              <w:rPr>
                <w:spacing w:val="-2"/>
                <w:sz w:val="16"/>
              </w:rPr>
              <w:t>12.998.060.87</w:t>
            </w:r>
          </w:p>
          <w:p w14:paraId="54103342" w14:textId="77777777" w:rsidR="000E52B0" w:rsidRDefault="00F60D74">
            <w:pPr>
              <w:pStyle w:val="TableParagraph"/>
              <w:ind w:left="3"/>
              <w:rPr>
                <w:sz w:val="16"/>
              </w:rPr>
            </w:pPr>
            <w:r>
              <w:rPr>
                <w:spacing w:val="-10"/>
                <w:sz w:val="16"/>
              </w:rPr>
              <w:t>8</w:t>
            </w:r>
          </w:p>
        </w:tc>
        <w:tc>
          <w:tcPr>
            <w:tcW w:w="1478" w:type="dxa"/>
          </w:tcPr>
          <w:p w14:paraId="0C8B5C32" w14:textId="77777777" w:rsidR="000E52B0" w:rsidRDefault="000E52B0">
            <w:pPr>
              <w:pStyle w:val="TableParagraph"/>
              <w:spacing w:before="2"/>
              <w:rPr>
                <w:sz w:val="16"/>
              </w:rPr>
            </w:pPr>
          </w:p>
          <w:p w14:paraId="595CAF3F" w14:textId="77777777" w:rsidR="000E52B0" w:rsidRDefault="00F60D74">
            <w:pPr>
              <w:pStyle w:val="TableParagraph"/>
              <w:rPr>
                <w:sz w:val="16"/>
              </w:rPr>
            </w:pPr>
            <w:r>
              <w:rPr>
                <w:spacing w:val="-2"/>
                <w:sz w:val="16"/>
              </w:rPr>
              <w:t>12.998.060.878</w:t>
            </w:r>
          </w:p>
        </w:tc>
      </w:tr>
      <w:tr w:rsidR="000E52B0" w14:paraId="7811828A" w14:textId="77777777">
        <w:trPr>
          <w:trHeight w:val="743"/>
        </w:trPr>
        <w:tc>
          <w:tcPr>
            <w:tcW w:w="946" w:type="dxa"/>
            <w:vMerge/>
            <w:tcBorders>
              <w:top w:val="nil"/>
            </w:tcBorders>
          </w:tcPr>
          <w:p w14:paraId="6BED9AF1" w14:textId="77777777" w:rsidR="000E52B0" w:rsidRDefault="000E52B0">
            <w:pPr>
              <w:rPr>
                <w:sz w:val="2"/>
                <w:szCs w:val="2"/>
              </w:rPr>
            </w:pPr>
          </w:p>
        </w:tc>
        <w:tc>
          <w:tcPr>
            <w:tcW w:w="1025" w:type="dxa"/>
          </w:tcPr>
          <w:p w14:paraId="155E0F75" w14:textId="77777777" w:rsidR="000E52B0" w:rsidRDefault="00F60D74">
            <w:pPr>
              <w:pStyle w:val="TableParagraph"/>
              <w:ind w:left="4"/>
              <w:rPr>
                <w:sz w:val="16"/>
              </w:rPr>
            </w:pPr>
            <w:r>
              <w:rPr>
                <w:sz w:val="16"/>
              </w:rPr>
              <w:t>Numero</w:t>
            </w:r>
            <w:r>
              <w:rPr>
                <w:spacing w:val="80"/>
                <w:sz w:val="16"/>
              </w:rPr>
              <w:t xml:space="preserve"> </w:t>
            </w:r>
            <w:r>
              <w:rPr>
                <w:sz w:val="16"/>
              </w:rPr>
              <w:t xml:space="preserve">de </w:t>
            </w:r>
            <w:r>
              <w:rPr>
                <w:spacing w:val="-2"/>
                <w:sz w:val="16"/>
              </w:rPr>
              <w:t>Asistencias técnicas</w:t>
            </w:r>
          </w:p>
        </w:tc>
        <w:tc>
          <w:tcPr>
            <w:tcW w:w="670" w:type="dxa"/>
          </w:tcPr>
          <w:p w14:paraId="5483B160" w14:textId="77777777" w:rsidR="000E52B0" w:rsidRDefault="00F60D74">
            <w:pPr>
              <w:pStyle w:val="TableParagraph"/>
              <w:spacing w:before="194"/>
              <w:ind w:left="4"/>
              <w:rPr>
                <w:sz w:val="16"/>
              </w:rPr>
            </w:pPr>
            <w:r>
              <w:rPr>
                <w:spacing w:val="-5"/>
                <w:sz w:val="16"/>
              </w:rPr>
              <w:t>32</w:t>
            </w:r>
          </w:p>
        </w:tc>
        <w:tc>
          <w:tcPr>
            <w:tcW w:w="1134" w:type="dxa"/>
          </w:tcPr>
          <w:p w14:paraId="5B38A0B7" w14:textId="77777777" w:rsidR="000E52B0" w:rsidRDefault="00F60D74">
            <w:pPr>
              <w:pStyle w:val="TableParagraph"/>
              <w:spacing w:before="194"/>
              <w:ind w:left="3"/>
              <w:rPr>
                <w:sz w:val="16"/>
              </w:rPr>
            </w:pPr>
            <w:r>
              <w:rPr>
                <w:spacing w:val="-2"/>
                <w:sz w:val="16"/>
              </w:rPr>
              <w:t>109.494.688</w:t>
            </w:r>
          </w:p>
        </w:tc>
        <w:tc>
          <w:tcPr>
            <w:tcW w:w="1479" w:type="dxa"/>
          </w:tcPr>
          <w:p w14:paraId="267A7B73" w14:textId="77777777" w:rsidR="000E52B0" w:rsidRDefault="00F60D74">
            <w:pPr>
              <w:pStyle w:val="TableParagraph"/>
              <w:spacing w:before="194"/>
              <w:ind w:left="3"/>
              <w:rPr>
                <w:sz w:val="16"/>
              </w:rPr>
            </w:pPr>
            <w:r>
              <w:rPr>
                <w:spacing w:val="-2"/>
                <w:sz w:val="16"/>
              </w:rPr>
              <w:t>3.503.830.000</w:t>
            </w:r>
          </w:p>
        </w:tc>
        <w:tc>
          <w:tcPr>
            <w:tcW w:w="1025" w:type="dxa"/>
          </w:tcPr>
          <w:p w14:paraId="43DEC4FE" w14:textId="77777777" w:rsidR="000E52B0" w:rsidRDefault="00F60D74">
            <w:pPr>
              <w:pStyle w:val="TableParagraph"/>
              <w:ind w:left="2"/>
              <w:rPr>
                <w:sz w:val="16"/>
              </w:rPr>
            </w:pPr>
            <w:r>
              <w:rPr>
                <w:sz w:val="16"/>
              </w:rPr>
              <w:t>Numero</w:t>
            </w:r>
            <w:r>
              <w:rPr>
                <w:spacing w:val="80"/>
                <w:sz w:val="16"/>
              </w:rPr>
              <w:t xml:space="preserve"> </w:t>
            </w:r>
            <w:r>
              <w:rPr>
                <w:sz w:val="16"/>
              </w:rPr>
              <w:t xml:space="preserve">de </w:t>
            </w:r>
            <w:r>
              <w:rPr>
                <w:spacing w:val="-2"/>
                <w:sz w:val="16"/>
              </w:rPr>
              <w:t>Asistencias técnicas</w:t>
            </w:r>
          </w:p>
        </w:tc>
        <w:tc>
          <w:tcPr>
            <w:tcW w:w="670" w:type="dxa"/>
          </w:tcPr>
          <w:p w14:paraId="5438126C" w14:textId="77777777" w:rsidR="000E52B0" w:rsidRDefault="00F60D74">
            <w:pPr>
              <w:pStyle w:val="TableParagraph"/>
              <w:spacing w:before="194"/>
              <w:ind w:left="2"/>
              <w:rPr>
                <w:sz w:val="16"/>
              </w:rPr>
            </w:pPr>
            <w:r>
              <w:rPr>
                <w:spacing w:val="-5"/>
                <w:sz w:val="16"/>
              </w:rPr>
              <w:t>32</w:t>
            </w:r>
          </w:p>
        </w:tc>
        <w:tc>
          <w:tcPr>
            <w:tcW w:w="1134" w:type="dxa"/>
          </w:tcPr>
          <w:p w14:paraId="0627A463" w14:textId="77777777" w:rsidR="000E52B0" w:rsidRDefault="00F60D74">
            <w:pPr>
              <w:pStyle w:val="TableParagraph"/>
              <w:spacing w:before="194"/>
              <w:ind w:left="2"/>
              <w:rPr>
                <w:sz w:val="16"/>
              </w:rPr>
            </w:pPr>
            <w:r>
              <w:rPr>
                <w:spacing w:val="-2"/>
                <w:sz w:val="16"/>
              </w:rPr>
              <w:t>119.349.209</w:t>
            </w:r>
          </w:p>
        </w:tc>
        <w:tc>
          <w:tcPr>
            <w:tcW w:w="1479" w:type="dxa"/>
          </w:tcPr>
          <w:p w14:paraId="39DA13B3" w14:textId="77777777" w:rsidR="000E52B0" w:rsidRDefault="00F60D74">
            <w:pPr>
              <w:pStyle w:val="TableParagraph"/>
              <w:spacing w:before="194"/>
              <w:ind w:left="1"/>
              <w:rPr>
                <w:sz w:val="16"/>
              </w:rPr>
            </w:pPr>
            <w:r>
              <w:rPr>
                <w:spacing w:val="-2"/>
                <w:sz w:val="16"/>
              </w:rPr>
              <w:t>3.819.174.700</w:t>
            </w:r>
          </w:p>
        </w:tc>
        <w:tc>
          <w:tcPr>
            <w:tcW w:w="1025" w:type="dxa"/>
          </w:tcPr>
          <w:p w14:paraId="7E329A88" w14:textId="77777777" w:rsidR="000E52B0" w:rsidRDefault="00F60D74">
            <w:pPr>
              <w:pStyle w:val="TableParagraph"/>
              <w:rPr>
                <w:sz w:val="16"/>
              </w:rPr>
            </w:pPr>
            <w:r>
              <w:rPr>
                <w:sz w:val="16"/>
              </w:rPr>
              <w:t>Numero</w:t>
            </w:r>
            <w:r>
              <w:rPr>
                <w:spacing w:val="80"/>
                <w:sz w:val="16"/>
              </w:rPr>
              <w:t xml:space="preserve"> </w:t>
            </w:r>
            <w:r>
              <w:rPr>
                <w:sz w:val="16"/>
              </w:rPr>
              <w:t xml:space="preserve">de </w:t>
            </w:r>
            <w:r>
              <w:rPr>
                <w:spacing w:val="-2"/>
                <w:sz w:val="16"/>
              </w:rPr>
              <w:t>Asistencias técnicas</w:t>
            </w:r>
          </w:p>
        </w:tc>
        <w:tc>
          <w:tcPr>
            <w:tcW w:w="670" w:type="dxa"/>
          </w:tcPr>
          <w:p w14:paraId="765F51CF" w14:textId="77777777" w:rsidR="000E52B0" w:rsidRDefault="00F60D74">
            <w:pPr>
              <w:pStyle w:val="TableParagraph"/>
              <w:spacing w:before="194"/>
              <w:rPr>
                <w:sz w:val="16"/>
              </w:rPr>
            </w:pPr>
            <w:r>
              <w:rPr>
                <w:spacing w:val="-5"/>
                <w:sz w:val="16"/>
              </w:rPr>
              <w:t>32</w:t>
            </w:r>
          </w:p>
        </w:tc>
        <w:tc>
          <w:tcPr>
            <w:tcW w:w="1219" w:type="dxa"/>
          </w:tcPr>
          <w:p w14:paraId="41D25C86" w14:textId="77777777" w:rsidR="000E52B0" w:rsidRDefault="00F60D74">
            <w:pPr>
              <w:pStyle w:val="TableParagraph"/>
              <w:spacing w:before="194"/>
              <w:ind w:left="3"/>
              <w:rPr>
                <w:sz w:val="16"/>
              </w:rPr>
            </w:pPr>
            <w:r>
              <w:rPr>
                <w:spacing w:val="-2"/>
                <w:sz w:val="16"/>
              </w:rPr>
              <w:t>128.897.146</w:t>
            </w:r>
          </w:p>
        </w:tc>
        <w:tc>
          <w:tcPr>
            <w:tcW w:w="1478" w:type="dxa"/>
          </w:tcPr>
          <w:p w14:paraId="3E3450EE" w14:textId="77777777" w:rsidR="000E52B0" w:rsidRDefault="00F60D74">
            <w:pPr>
              <w:pStyle w:val="TableParagraph"/>
              <w:spacing w:before="194"/>
              <w:rPr>
                <w:sz w:val="16"/>
              </w:rPr>
            </w:pPr>
            <w:r>
              <w:rPr>
                <w:spacing w:val="-2"/>
                <w:sz w:val="16"/>
              </w:rPr>
              <w:t>4.124.708.676</w:t>
            </w:r>
          </w:p>
        </w:tc>
      </w:tr>
      <w:tr w:rsidR="000E52B0" w14:paraId="2DBA0077" w14:textId="77777777">
        <w:trPr>
          <w:trHeight w:val="743"/>
        </w:trPr>
        <w:tc>
          <w:tcPr>
            <w:tcW w:w="946" w:type="dxa"/>
            <w:vMerge/>
            <w:tcBorders>
              <w:top w:val="nil"/>
            </w:tcBorders>
          </w:tcPr>
          <w:p w14:paraId="52C9DE4B" w14:textId="77777777" w:rsidR="000E52B0" w:rsidRDefault="000E52B0">
            <w:pPr>
              <w:rPr>
                <w:sz w:val="2"/>
                <w:szCs w:val="2"/>
              </w:rPr>
            </w:pPr>
          </w:p>
        </w:tc>
        <w:tc>
          <w:tcPr>
            <w:tcW w:w="1025" w:type="dxa"/>
          </w:tcPr>
          <w:p w14:paraId="2561CE52" w14:textId="77777777" w:rsidR="000E52B0" w:rsidRDefault="00F60D74">
            <w:pPr>
              <w:pStyle w:val="TableParagraph"/>
              <w:ind w:left="4" w:right="-15"/>
              <w:rPr>
                <w:sz w:val="16"/>
              </w:rPr>
            </w:pPr>
            <w:proofErr w:type="spellStart"/>
            <w:r>
              <w:rPr>
                <w:spacing w:val="-2"/>
                <w:sz w:val="16"/>
              </w:rPr>
              <w:t>organizacion</w:t>
            </w:r>
            <w:proofErr w:type="spellEnd"/>
            <w:r>
              <w:rPr>
                <w:spacing w:val="-2"/>
                <w:sz w:val="16"/>
              </w:rPr>
              <w:t xml:space="preserve"> </w:t>
            </w:r>
            <w:r>
              <w:rPr>
                <w:spacing w:val="-6"/>
                <w:sz w:val="16"/>
              </w:rPr>
              <w:t xml:space="preserve">es </w:t>
            </w:r>
            <w:r>
              <w:rPr>
                <w:spacing w:val="-2"/>
                <w:sz w:val="16"/>
              </w:rPr>
              <w:t>fortalecidas</w:t>
            </w:r>
          </w:p>
        </w:tc>
        <w:tc>
          <w:tcPr>
            <w:tcW w:w="670" w:type="dxa"/>
          </w:tcPr>
          <w:p w14:paraId="3434E8EC" w14:textId="77777777" w:rsidR="000E52B0" w:rsidRDefault="00F60D74">
            <w:pPr>
              <w:pStyle w:val="TableParagraph"/>
              <w:spacing w:before="194"/>
              <w:ind w:left="4"/>
              <w:rPr>
                <w:sz w:val="16"/>
              </w:rPr>
            </w:pPr>
            <w:r>
              <w:rPr>
                <w:spacing w:val="-5"/>
                <w:sz w:val="16"/>
              </w:rPr>
              <w:t>350</w:t>
            </w:r>
          </w:p>
        </w:tc>
        <w:tc>
          <w:tcPr>
            <w:tcW w:w="1134" w:type="dxa"/>
          </w:tcPr>
          <w:p w14:paraId="6CD863FF" w14:textId="77777777" w:rsidR="000E52B0" w:rsidRDefault="00F60D74">
            <w:pPr>
              <w:pStyle w:val="TableParagraph"/>
              <w:spacing w:before="194"/>
              <w:ind w:left="3"/>
              <w:rPr>
                <w:sz w:val="16"/>
              </w:rPr>
            </w:pPr>
            <w:r>
              <w:rPr>
                <w:spacing w:val="-2"/>
                <w:sz w:val="16"/>
              </w:rPr>
              <w:t>33.142.857</w:t>
            </w:r>
          </w:p>
        </w:tc>
        <w:tc>
          <w:tcPr>
            <w:tcW w:w="1479" w:type="dxa"/>
          </w:tcPr>
          <w:p w14:paraId="44812BAB" w14:textId="77777777" w:rsidR="000E52B0" w:rsidRDefault="00F60D74">
            <w:pPr>
              <w:pStyle w:val="TableParagraph"/>
              <w:spacing w:before="194"/>
              <w:ind w:left="3"/>
              <w:rPr>
                <w:sz w:val="16"/>
              </w:rPr>
            </w:pPr>
            <w:r>
              <w:rPr>
                <w:spacing w:val="-2"/>
                <w:sz w:val="16"/>
              </w:rPr>
              <w:t>11.600.000.000</w:t>
            </w:r>
          </w:p>
        </w:tc>
        <w:tc>
          <w:tcPr>
            <w:tcW w:w="1025" w:type="dxa"/>
          </w:tcPr>
          <w:p w14:paraId="2A7506AE" w14:textId="77777777" w:rsidR="000E52B0" w:rsidRDefault="00F60D74">
            <w:pPr>
              <w:pStyle w:val="TableParagraph"/>
              <w:ind w:left="2" w:right="-15"/>
              <w:rPr>
                <w:sz w:val="16"/>
              </w:rPr>
            </w:pPr>
            <w:proofErr w:type="spellStart"/>
            <w:r>
              <w:rPr>
                <w:spacing w:val="-2"/>
                <w:sz w:val="16"/>
              </w:rPr>
              <w:t>organizacion</w:t>
            </w:r>
            <w:proofErr w:type="spellEnd"/>
            <w:r>
              <w:rPr>
                <w:spacing w:val="-2"/>
                <w:sz w:val="16"/>
              </w:rPr>
              <w:t xml:space="preserve"> </w:t>
            </w:r>
            <w:r>
              <w:rPr>
                <w:spacing w:val="-6"/>
                <w:sz w:val="16"/>
              </w:rPr>
              <w:t xml:space="preserve">es </w:t>
            </w:r>
            <w:r>
              <w:rPr>
                <w:spacing w:val="-2"/>
                <w:sz w:val="16"/>
              </w:rPr>
              <w:t>fortalecidas</w:t>
            </w:r>
          </w:p>
        </w:tc>
        <w:tc>
          <w:tcPr>
            <w:tcW w:w="670" w:type="dxa"/>
          </w:tcPr>
          <w:p w14:paraId="668E0698" w14:textId="77777777" w:rsidR="000E52B0" w:rsidRDefault="00F60D74">
            <w:pPr>
              <w:pStyle w:val="TableParagraph"/>
              <w:spacing w:before="194"/>
              <w:ind w:left="2"/>
              <w:rPr>
                <w:sz w:val="16"/>
              </w:rPr>
            </w:pPr>
            <w:r>
              <w:rPr>
                <w:spacing w:val="-5"/>
                <w:sz w:val="16"/>
              </w:rPr>
              <w:t>350</w:t>
            </w:r>
          </w:p>
        </w:tc>
        <w:tc>
          <w:tcPr>
            <w:tcW w:w="1134" w:type="dxa"/>
          </w:tcPr>
          <w:p w14:paraId="719FD6B3" w14:textId="77777777" w:rsidR="000E52B0" w:rsidRDefault="00F60D74">
            <w:pPr>
              <w:pStyle w:val="TableParagraph"/>
              <w:spacing w:before="194"/>
              <w:ind w:left="2"/>
              <w:rPr>
                <w:sz w:val="16"/>
              </w:rPr>
            </w:pPr>
            <w:r>
              <w:rPr>
                <w:spacing w:val="-2"/>
                <w:sz w:val="16"/>
              </w:rPr>
              <w:t>26.571.429</w:t>
            </w:r>
          </w:p>
        </w:tc>
        <w:tc>
          <w:tcPr>
            <w:tcW w:w="1479" w:type="dxa"/>
          </w:tcPr>
          <w:p w14:paraId="1BFC76EF" w14:textId="77777777" w:rsidR="000E52B0" w:rsidRDefault="00F60D74">
            <w:pPr>
              <w:pStyle w:val="TableParagraph"/>
              <w:spacing w:before="194"/>
              <w:ind w:left="1"/>
              <w:rPr>
                <w:sz w:val="16"/>
              </w:rPr>
            </w:pPr>
            <w:r>
              <w:rPr>
                <w:spacing w:val="-2"/>
                <w:sz w:val="16"/>
              </w:rPr>
              <w:t>9.300.000.000</w:t>
            </w:r>
          </w:p>
        </w:tc>
        <w:tc>
          <w:tcPr>
            <w:tcW w:w="1025" w:type="dxa"/>
          </w:tcPr>
          <w:p w14:paraId="3F6B6380" w14:textId="77777777" w:rsidR="000E52B0" w:rsidRDefault="00F60D74">
            <w:pPr>
              <w:pStyle w:val="TableParagraph"/>
              <w:rPr>
                <w:sz w:val="16"/>
              </w:rPr>
            </w:pPr>
            <w:proofErr w:type="spellStart"/>
            <w:r>
              <w:rPr>
                <w:spacing w:val="-2"/>
                <w:sz w:val="16"/>
              </w:rPr>
              <w:t>organizacion</w:t>
            </w:r>
            <w:proofErr w:type="spellEnd"/>
            <w:r>
              <w:rPr>
                <w:spacing w:val="-2"/>
                <w:sz w:val="16"/>
              </w:rPr>
              <w:t xml:space="preserve"> </w:t>
            </w:r>
            <w:r>
              <w:rPr>
                <w:spacing w:val="-6"/>
                <w:sz w:val="16"/>
              </w:rPr>
              <w:t xml:space="preserve">es </w:t>
            </w:r>
            <w:r>
              <w:rPr>
                <w:spacing w:val="-2"/>
                <w:sz w:val="16"/>
              </w:rPr>
              <w:t>fortalecidas</w:t>
            </w:r>
          </w:p>
        </w:tc>
        <w:tc>
          <w:tcPr>
            <w:tcW w:w="670" w:type="dxa"/>
          </w:tcPr>
          <w:p w14:paraId="15D4F394" w14:textId="77777777" w:rsidR="000E52B0" w:rsidRDefault="00F60D74">
            <w:pPr>
              <w:pStyle w:val="TableParagraph"/>
              <w:spacing w:before="194"/>
              <w:rPr>
                <w:sz w:val="16"/>
              </w:rPr>
            </w:pPr>
            <w:r>
              <w:rPr>
                <w:spacing w:val="-5"/>
                <w:sz w:val="16"/>
              </w:rPr>
              <w:t>350</w:t>
            </w:r>
          </w:p>
        </w:tc>
        <w:tc>
          <w:tcPr>
            <w:tcW w:w="1219" w:type="dxa"/>
          </w:tcPr>
          <w:p w14:paraId="25913295" w14:textId="77777777" w:rsidR="000E52B0" w:rsidRDefault="00F60D74">
            <w:pPr>
              <w:pStyle w:val="TableParagraph"/>
              <w:spacing w:before="194"/>
              <w:ind w:left="3"/>
              <w:rPr>
                <w:sz w:val="16"/>
              </w:rPr>
            </w:pPr>
            <w:r>
              <w:rPr>
                <w:spacing w:val="-2"/>
                <w:sz w:val="16"/>
              </w:rPr>
              <w:t>28.697.143</w:t>
            </w:r>
          </w:p>
        </w:tc>
        <w:tc>
          <w:tcPr>
            <w:tcW w:w="1478" w:type="dxa"/>
          </w:tcPr>
          <w:p w14:paraId="4E4E5259" w14:textId="77777777" w:rsidR="000E52B0" w:rsidRDefault="00F60D74">
            <w:pPr>
              <w:pStyle w:val="TableParagraph"/>
              <w:spacing w:before="194"/>
              <w:rPr>
                <w:sz w:val="16"/>
              </w:rPr>
            </w:pPr>
            <w:r>
              <w:rPr>
                <w:spacing w:val="-2"/>
                <w:sz w:val="16"/>
              </w:rPr>
              <w:t>10.044.000.000</w:t>
            </w:r>
          </w:p>
        </w:tc>
      </w:tr>
      <w:tr w:rsidR="000E52B0" w14:paraId="6FDF1394" w14:textId="77777777">
        <w:trPr>
          <w:trHeight w:val="549"/>
        </w:trPr>
        <w:tc>
          <w:tcPr>
            <w:tcW w:w="946" w:type="dxa"/>
            <w:vMerge/>
            <w:tcBorders>
              <w:top w:val="nil"/>
            </w:tcBorders>
          </w:tcPr>
          <w:p w14:paraId="53B0B0CB" w14:textId="77777777" w:rsidR="000E52B0" w:rsidRDefault="000E52B0">
            <w:pPr>
              <w:rPr>
                <w:sz w:val="2"/>
                <w:szCs w:val="2"/>
              </w:rPr>
            </w:pPr>
          </w:p>
        </w:tc>
        <w:tc>
          <w:tcPr>
            <w:tcW w:w="1025" w:type="dxa"/>
          </w:tcPr>
          <w:p w14:paraId="3C7B343D" w14:textId="77777777" w:rsidR="000E52B0" w:rsidRDefault="00F60D74">
            <w:pPr>
              <w:pStyle w:val="TableParagraph"/>
              <w:ind w:left="4" w:right="50"/>
              <w:rPr>
                <w:sz w:val="16"/>
              </w:rPr>
            </w:pPr>
            <w:r>
              <w:rPr>
                <w:spacing w:val="-2"/>
                <w:sz w:val="16"/>
              </w:rPr>
              <w:t>Personas impactadas</w:t>
            </w:r>
          </w:p>
        </w:tc>
        <w:tc>
          <w:tcPr>
            <w:tcW w:w="670" w:type="dxa"/>
          </w:tcPr>
          <w:p w14:paraId="5D8FCF7E" w14:textId="77777777" w:rsidR="000E52B0" w:rsidRDefault="00F60D74">
            <w:pPr>
              <w:pStyle w:val="TableParagraph"/>
              <w:spacing w:before="98"/>
              <w:ind w:left="4"/>
              <w:rPr>
                <w:sz w:val="16"/>
              </w:rPr>
            </w:pPr>
            <w:r>
              <w:rPr>
                <w:spacing w:val="-2"/>
                <w:sz w:val="16"/>
              </w:rPr>
              <w:t>76800</w:t>
            </w:r>
          </w:p>
        </w:tc>
        <w:tc>
          <w:tcPr>
            <w:tcW w:w="1134" w:type="dxa"/>
          </w:tcPr>
          <w:p w14:paraId="7117EB9D" w14:textId="77777777" w:rsidR="000E52B0" w:rsidRDefault="00F60D74">
            <w:pPr>
              <w:pStyle w:val="TableParagraph"/>
              <w:spacing w:before="98"/>
              <w:ind w:left="3"/>
              <w:rPr>
                <w:sz w:val="16"/>
              </w:rPr>
            </w:pPr>
            <w:r>
              <w:rPr>
                <w:spacing w:val="-2"/>
                <w:sz w:val="16"/>
              </w:rPr>
              <w:t>124.890</w:t>
            </w:r>
          </w:p>
        </w:tc>
        <w:tc>
          <w:tcPr>
            <w:tcW w:w="1479" w:type="dxa"/>
          </w:tcPr>
          <w:p w14:paraId="3DB6D3E1" w14:textId="77777777" w:rsidR="000E52B0" w:rsidRDefault="00F60D74">
            <w:pPr>
              <w:pStyle w:val="TableParagraph"/>
              <w:spacing w:before="98"/>
              <w:ind w:left="3"/>
              <w:rPr>
                <w:sz w:val="16"/>
              </w:rPr>
            </w:pPr>
            <w:r>
              <w:rPr>
                <w:spacing w:val="-2"/>
                <w:sz w:val="16"/>
              </w:rPr>
              <w:t>9.591.580.000</w:t>
            </w:r>
          </w:p>
        </w:tc>
        <w:tc>
          <w:tcPr>
            <w:tcW w:w="1025" w:type="dxa"/>
          </w:tcPr>
          <w:p w14:paraId="29EB43AB" w14:textId="77777777" w:rsidR="000E52B0" w:rsidRDefault="00F60D74">
            <w:pPr>
              <w:pStyle w:val="TableParagraph"/>
              <w:ind w:left="2" w:right="50"/>
              <w:rPr>
                <w:sz w:val="16"/>
              </w:rPr>
            </w:pPr>
            <w:r>
              <w:rPr>
                <w:spacing w:val="-2"/>
                <w:sz w:val="16"/>
              </w:rPr>
              <w:t>Personas impactadas</w:t>
            </w:r>
          </w:p>
        </w:tc>
        <w:tc>
          <w:tcPr>
            <w:tcW w:w="670" w:type="dxa"/>
          </w:tcPr>
          <w:p w14:paraId="418FC44C" w14:textId="77777777" w:rsidR="000E52B0" w:rsidRDefault="00F60D74">
            <w:pPr>
              <w:pStyle w:val="TableParagraph"/>
              <w:spacing w:before="98"/>
              <w:ind w:left="2"/>
              <w:rPr>
                <w:sz w:val="16"/>
              </w:rPr>
            </w:pPr>
            <w:r>
              <w:rPr>
                <w:spacing w:val="-2"/>
                <w:sz w:val="16"/>
              </w:rPr>
              <w:t>76800</w:t>
            </w:r>
          </w:p>
        </w:tc>
        <w:tc>
          <w:tcPr>
            <w:tcW w:w="1134" w:type="dxa"/>
          </w:tcPr>
          <w:p w14:paraId="436A74E5" w14:textId="77777777" w:rsidR="000E52B0" w:rsidRDefault="00F60D74">
            <w:pPr>
              <w:pStyle w:val="TableParagraph"/>
              <w:spacing w:before="98"/>
              <w:ind w:left="2"/>
              <w:rPr>
                <w:sz w:val="16"/>
              </w:rPr>
            </w:pPr>
            <w:r>
              <w:rPr>
                <w:spacing w:val="-2"/>
                <w:sz w:val="16"/>
              </w:rPr>
              <w:t>121.353</w:t>
            </w:r>
          </w:p>
        </w:tc>
        <w:tc>
          <w:tcPr>
            <w:tcW w:w="1479" w:type="dxa"/>
          </w:tcPr>
          <w:p w14:paraId="66135480" w14:textId="77777777" w:rsidR="000E52B0" w:rsidRDefault="00F60D74">
            <w:pPr>
              <w:pStyle w:val="TableParagraph"/>
              <w:spacing w:before="98"/>
              <w:ind w:left="1"/>
              <w:rPr>
                <w:sz w:val="16"/>
              </w:rPr>
            </w:pPr>
            <w:r>
              <w:rPr>
                <w:spacing w:val="-2"/>
                <w:sz w:val="16"/>
              </w:rPr>
              <w:t>9.319.922.200</w:t>
            </w:r>
          </w:p>
        </w:tc>
        <w:tc>
          <w:tcPr>
            <w:tcW w:w="1025" w:type="dxa"/>
          </w:tcPr>
          <w:p w14:paraId="0E9D8E24" w14:textId="77777777" w:rsidR="000E52B0" w:rsidRDefault="00F60D74">
            <w:pPr>
              <w:pStyle w:val="TableParagraph"/>
              <w:ind w:right="50"/>
              <w:rPr>
                <w:sz w:val="16"/>
              </w:rPr>
            </w:pPr>
            <w:r>
              <w:rPr>
                <w:spacing w:val="-2"/>
                <w:sz w:val="16"/>
              </w:rPr>
              <w:t>Personas impactadas</w:t>
            </w:r>
          </w:p>
        </w:tc>
        <w:tc>
          <w:tcPr>
            <w:tcW w:w="670" w:type="dxa"/>
          </w:tcPr>
          <w:p w14:paraId="4D62B42C" w14:textId="77777777" w:rsidR="000E52B0" w:rsidRDefault="00F60D74">
            <w:pPr>
              <w:pStyle w:val="TableParagraph"/>
              <w:spacing w:before="98"/>
              <w:rPr>
                <w:sz w:val="16"/>
              </w:rPr>
            </w:pPr>
            <w:r>
              <w:rPr>
                <w:spacing w:val="-2"/>
                <w:sz w:val="16"/>
              </w:rPr>
              <w:t>76800</w:t>
            </w:r>
          </w:p>
        </w:tc>
        <w:tc>
          <w:tcPr>
            <w:tcW w:w="1219" w:type="dxa"/>
          </w:tcPr>
          <w:p w14:paraId="5EA6E58F" w14:textId="77777777" w:rsidR="000E52B0" w:rsidRDefault="00F60D74">
            <w:pPr>
              <w:pStyle w:val="TableParagraph"/>
              <w:spacing w:before="98"/>
              <w:ind w:left="3"/>
              <w:rPr>
                <w:sz w:val="16"/>
              </w:rPr>
            </w:pPr>
            <w:r>
              <w:rPr>
                <w:spacing w:val="-2"/>
                <w:sz w:val="16"/>
              </w:rPr>
              <w:t>131.061</w:t>
            </w:r>
          </w:p>
        </w:tc>
        <w:tc>
          <w:tcPr>
            <w:tcW w:w="1478" w:type="dxa"/>
          </w:tcPr>
          <w:p w14:paraId="43C1762A" w14:textId="77777777" w:rsidR="000E52B0" w:rsidRDefault="00F60D74">
            <w:pPr>
              <w:pStyle w:val="TableParagraph"/>
              <w:spacing w:before="98"/>
              <w:rPr>
                <w:sz w:val="16"/>
              </w:rPr>
            </w:pPr>
            <w:r>
              <w:rPr>
                <w:spacing w:val="-2"/>
                <w:sz w:val="16"/>
              </w:rPr>
              <w:t>10.065.515.976</w:t>
            </w:r>
          </w:p>
        </w:tc>
      </w:tr>
      <w:tr w:rsidR="000E52B0" w14:paraId="1A4DE72E" w14:textId="77777777">
        <w:trPr>
          <w:trHeight w:val="549"/>
        </w:trPr>
        <w:tc>
          <w:tcPr>
            <w:tcW w:w="946" w:type="dxa"/>
            <w:shd w:val="clear" w:color="auto" w:fill="D9D9D9"/>
          </w:tcPr>
          <w:p w14:paraId="5BFF0B4D" w14:textId="77777777" w:rsidR="000E52B0" w:rsidRDefault="00F60D74">
            <w:pPr>
              <w:pStyle w:val="TableParagraph"/>
              <w:spacing w:before="98"/>
              <w:ind w:left="4"/>
              <w:rPr>
                <w:b/>
                <w:sz w:val="16"/>
              </w:rPr>
            </w:pPr>
            <w:r>
              <w:rPr>
                <w:b/>
                <w:spacing w:val="-2"/>
                <w:sz w:val="16"/>
              </w:rPr>
              <w:t>Total</w:t>
            </w:r>
          </w:p>
        </w:tc>
        <w:tc>
          <w:tcPr>
            <w:tcW w:w="1025" w:type="dxa"/>
            <w:shd w:val="clear" w:color="auto" w:fill="D9D9D9"/>
          </w:tcPr>
          <w:p w14:paraId="62617099" w14:textId="77777777" w:rsidR="000E52B0" w:rsidRDefault="000E52B0">
            <w:pPr>
              <w:pStyle w:val="TableParagraph"/>
              <w:rPr>
                <w:rFonts w:ascii="Times New Roman"/>
                <w:sz w:val="16"/>
              </w:rPr>
            </w:pPr>
          </w:p>
        </w:tc>
        <w:tc>
          <w:tcPr>
            <w:tcW w:w="670" w:type="dxa"/>
            <w:shd w:val="clear" w:color="auto" w:fill="D9D9D9"/>
          </w:tcPr>
          <w:p w14:paraId="4F297F70" w14:textId="77777777" w:rsidR="000E52B0" w:rsidRDefault="000E52B0">
            <w:pPr>
              <w:pStyle w:val="TableParagraph"/>
              <w:rPr>
                <w:rFonts w:ascii="Times New Roman"/>
                <w:sz w:val="16"/>
              </w:rPr>
            </w:pPr>
          </w:p>
        </w:tc>
        <w:tc>
          <w:tcPr>
            <w:tcW w:w="1134" w:type="dxa"/>
            <w:shd w:val="clear" w:color="auto" w:fill="D9D9D9"/>
          </w:tcPr>
          <w:p w14:paraId="060ACE12" w14:textId="77777777" w:rsidR="000E52B0" w:rsidRDefault="000E52B0">
            <w:pPr>
              <w:pStyle w:val="TableParagraph"/>
              <w:rPr>
                <w:rFonts w:ascii="Times New Roman"/>
                <w:sz w:val="16"/>
              </w:rPr>
            </w:pPr>
          </w:p>
        </w:tc>
        <w:tc>
          <w:tcPr>
            <w:tcW w:w="1479" w:type="dxa"/>
            <w:shd w:val="clear" w:color="auto" w:fill="D9D9D9"/>
          </w:tcPr>
          <w:p w14:paraId="67904EF8" w14:textId="77777777" w:rsidR="000E52B0" w:rsidRDefault="00F60D74">
            <w:pPr>
              <w:pStyle w:val="TableParagraph"/>
              <w:spacing w:line="194" w:lineRule="exact"/>
              <w:ind w:left="3"/>
              <w:rPr>
                <w:b/>
                <w:sz w:val="16"/>
              </w:rPr>
            </w:pPr>
            <w:r>
              <w:rPr>
                <w:b/>
                <w:spacing w:val="-2"/>
                <w:sz w:val="16"/>
              </w:rPr>
              <w:t>1.228.212.000.</w:t>
            </w:r>
          </w:p>
          <w:p w14:paraId="26327668" w14:textId="77777777" w:rsidR="000E52B0" w:rsidRDefault="00F60D74">
            <w:pPr>
              <w:pStyle w:val="TableParagraph"/>
              <w:ind w:left="3"/>
              <w:rPr>
                <w:b/>
                <w:sz w:val="16"/>
              </w:rPr>
            </w:pPr>
            <w:r>
              <w:rPr>
                <w:b/>
                <w:spacing w:val="-5"/>
                <w:sz w:val="16"/>
              </w:rPr>
              <w:t>000</w:t>
            </w:r>
          </w:p>
        </w:tc>
        <w:tc>
          <w:tcPr>
            <w:tcW w:w="1025" w:type="dxa"/>
            <w:shd w:val="clear" w:color="auto" w:fill="D9D9D9"/>
          </w:tcPr>
          <w:p w14:paraId="78F54659" w14:textId="77777777" w:rsidR="000E52B0" w:rsidRDefault="000E52B0">
            <w:pPr>
              <w:pStyle w:val="TableParagraph"/>
              <w:rPr>
                <w:rFonts w:ascii="Times New Roman"/>
                <w:sz w:val="16"/>
              </w:rPr>
            </w:pPr>
          </w:p>
        </w:tc>
        <w:tc>
          <w:tcPr>
            <w:tcW w:w="670" w:type="dxa"/>
            <w:shd w:val="clear" w:color="auto" w:fill="D9D9D9"/>
          </w:tcPr>
          <w:p w14:paraId="7498CAFA" w14:textId="77777777" w:rsidR="000E52B0" w:rsidRDefault="000E52B0">
            <w:pPr>
              <w:pStyle w:val="TableParagraph"/>
              <w:rPr>
                <w:rFonts w:ascii="Times New Roman"/>
                <w:sz w:val="16"/>
              </w:rPr>
            </w:pPr>
          </w:p>
        </w:tc>
        <w:tc>
          <w:tcPr>
            <w:tcW w:w="1134" w:type="dxa"/>
            <w:shd w:val="clear" w:color="auto" w:fill="D9D9D9"/>
          </w:tcPr>
          <w:p w14:paraId="24AFC265" w14:textId="77777777" w:rsidR="000E52B0" w:rsidRDefault="000E52B0">
            <w:pPr>
              <w:pStyle w:val="TableParagraph"/>
              <w:rPr>
                <w:rFonts w:ascii="Times New Roman"/>
                <w:sz w:val="16"/>
              </w:rPr>
            </w:pPr>
          </w:p>
        </w:tc>
        <w:tc>
          <w:tcPr>
            <w:tcW w:w="1479" w:type="dxa"/>
            <w:shd w:val="clear" w:color="auto" w:fill="D9D9D9"/>
          </w:tcPr>
          <w:p w14:paraId="05C173FD" w14:textId="77777777" w:rsidR="000E52B0" w:rsidRDefault="00F60D74">
            <w:pPr>
              <w:pStyle w:val="TableParagraph"/>
              <w:spacing w:line="194" w:lineRule="exact"/>
              <w:ind w:left="1"/>
              <w:rPr>
                <w:b/>
                <w:sz w:val="16"/>
              </w:rPr>
            </w:pPr>
            <w:r>
              <w:rPr>
                <w:b/>
                <w:spacing w:val="-2"/>
                <w:sz w:val="16"/>
              </w:rPr>
              <w:t>1.347.079.661.</w:t>
            </w:r>
          </w:p>
          <w:p w14:paraId="698B5579" w14:textId="77777777" w:rsidR="000E52B0" w:rsidRDefault="00F60D74">
            <w:pPr>
              <w:pStyle w:val="TableParagraph"/>
              <w:ind w:left="1"/>
              <w:rPr>
                <w:b/>
                <w:sz w:val="16"/>
              </w:rPr>
            </w:pPr>
            <w:r>
              <w:rPr>
                <w:b/>
                <w:spacing w:val="-5"/>
                <w:sz w:val="16"/>
              </w:rPr>
              <w:t>514</w:t>
            </w:r>
          </w:p>
        </w:tc>
        <w:tc>
          <w:tcPr>
            <w:tcW w:w="1025" w:type="dxa"/>
            <w:shd w:val="clear" w:color="auto" w:fill="D9D9D9"/>
          </w:tcPr>
          <w:p w14:paraId="215AF560" w14:textId="77777777" w:rsidR="000E52B0" w:rsidRDefault="000E52B0">
            <w:pPr>
              <w:pStyle w:val="TableParagraph"/>
              <w:rPr>
                <w:rFonts w:ascii="Times New Roman"/>
                <w:sz w:val="16"/>
              </w:rPr>
            </w:pPr>
          </w:p>
        </w:tc>
        <w:tc>
          <w:tcPr>
            <w:tcW w:w="670" w:type="dxa"/>
            <w:shd w:val="clear" w:color="auto" w:fill="D9D9D9"/>
          </w:tcPr>
          <w:p w14:paraId="3984255D" w14:textId="77777777" w:rsidR="000E52B0" w:rsidRDefault="000E52B0">
            <w:pPr>
              <w:pStyle w:val="TableParagraph"/>
              <w:rPr>
                <w:rFonts w:ascii="Times New Roman"/>
                <w:sz w:val="16"/>
              </w:rPr>
            </w:pPr>
          </w:p>
        </w:tc>
        <w:tc>
          <w:tcPr>
            <w:tcW w:w="1219" w:type="dxa"/>
            <w:shd w:val="clear" w:color="auto" w:fill="D9D9D9"/>
          </w:tcPr>
          <w:p w14:paraId="1D9A3130" w14:textId="77777777" w:rsidR="000E52B0" w:rsidRDefault="000E52B0">
            <w:pPr>
              <w:pStyle w:val="TableParagraph"/>
              <w:rPr>
                <w:rFonts w:ascii="Times New Roman"/>
                <w:sz w:val="16"/>
              </w:rPr>
            </w:pPr>
          </w:p>
        </w:tc>
        <w:tc>
          <w:tcPr>
            <w:tcW w:w="1478" w:type="dxa"/>
            <w:shd w:val="clear" w:color="auto" w:fill="D9D9D9"/>
          </w:tcPr>
          <w:p w14:paraId="3F5DAE18" w14:textId="77777777" w:rsidR="000E52B0" w:rsidRDefault="00F60D74">
            <w:pPr>
              <w:pStyle w:val="TableParagraph"/>
              <w:spacing w:line="194" w:lineRule="exact"/>
              <w:rPr>
                <w:b/>
                <w:sz w:val="16"/>
              </w:rPr>
            </w:pPr>
            <w:r>
              <w:rPr>
                <w:b/>
                <w:spacing w:val="-2"/>
                <w:sz w:val="16"/>
              </w:rPr>
              <w:t>1.439.921.168.</w:t>
            </w:r>
          </w:p>
          <w:p w14:paraId="07EC9647" w14:textId="77777777" w:rsidR="000E52B0" w:rsidRDefault="00F60D74">
            <w:pPr>
              <w:pStyle w:val="TableParagraph"/>
              <w:rPr>
                <w:b/>
                <w:sz w:val="16"/>
              </w:rPr>
            </w:pPr>
            <w:r>
              <w:rPr>
                <w:b/>
                <w:spacing w:val="-5"/>
                <w:sz w:val="16"/>
              </w:rPr>
              <w:t>909</w:t>
            </w:r>
          </w:p>
        </w:tc>
      </w:tr>
    </w:tbl>
    <w:p w14:paraId="39AA8AD4" w14:textId="77777777" w:rsidR="000E52B0" w:rsidRDefault="000E52B0">
      <w:pPr>
        <w:pStyle w:val="TableParagraph"/>
        <w:rPr>
          <w:b/>
          <w:sz w:val="16"/>
        </w:rPr>
        <w:sectPr w:rsidR="000E52B0">
          <w:pgSz w:w="16840" w:h="11910" w:orient="landscape"/>
          <w:pgMar w:top="1340" w:right="1080" w:bottom="1180" w:left="1440" w:header="0" w:footer="995" w:gutter="0"/>
          <w:cols w:space="720"/>
        </w:sectPr>
      </w:pPr>
    </w:p>
    <w:p w14:paraId="5E9CCCEB" w14:textId="77777777" w:rsidR="000E52B0" w:rsidRDefault="00F60D74">
      <w:pPr>
        <w:pStyle w:val="Ttulo1"/>
        <w:numPr>
          <w:ilvl w:val="0"/>
          <w:numId w:val="53"/>
        </w:numPr>
        <w:tabs>
          <w:tab w:val="left" w:pos="1440"/>
        </w:tabs>
        <w:spacing w:before="81"/>
        <w:ind w:right="355" w:hanging="1100"/>
        <w:jc w:val="left"/>
      </w:pPr>
      <w:bookmarkStart w:id="210" w:name="_bookmark210"/>
      <w:bookmarkEnd w:id="210"/>
      <w:r>
        <w:rPr>
          <w:color w:val="B3176C"/>
        </w:rPr>
        <w:lastRenderedPageBreak/>
        <w:t>Cambios</w:t>
      </w:r>
      <w:r>
        <w:rPr>
          <w:color w:val="B3176C"/>
          <w:spacing w:val="-8"/>
        </w:rPr>
        <w:t xml:space="preserve"> </w:t>
      </w:r>
      <w:r>
        <w:rPr>
          <w:color w:val="B3176C"/>
        </w:rPr>
        <w:t>en</w:t>
      </w:r>
      <w:r>
        <w:rPr>
          <w:color w:val="B3176C"/>
          <w:spacing w:val="-8"/>
        </w:rPr>
        <w:t xml:space="preserve"> </w:t>
      </w:r>
      <w:r>
        <w:rPr>
          <w:color w:val="B3176C"/>
        </w:rPr>
        <w:t>el</w:t>
      </w:r>
      <w:r>
        <w:rPr>
          <w:color w:val="B3176C"/>
          <w:spacing w:val="-9"/>
        </w:rPr>
        <w:t xml:space="preserve"> </w:t>
      </w:r>
      <w:r>
        <w:rPr>
          <w:color w:val="B3176C"/>
        </w:rPr>
        <w:t>articulado</w:t>
      </w:r>
      <w:r>
        <w:rPr>
          <w:color w:val="B3176C"/>
          <w:spacing w:val="-4"/>
        </w:rPr>
        <w:t xml:space="preserve"> </w:t>
      </w:r>
      <w:r>
        <w:rPr>
          <w:color w:val="B3176C"/>
        </w:rPr>
        <w:t>respecto</w:t>
      </w:r>
      <w:r>
        <w:rPr>
          <w:color w:val="B3176C"/>
          <w:spacing w:val="-7"/>
        </w:rPr>
        <w:t xml:space="preserve"> </w:t>
      </w:r>
      <w:r>
        <w:rPr>
          <w:color w:val="B3176C"/>
        </w:rPr>
        <w:t>al</w:t>
      </w:r>
      <w:r>
        <w:rPr>
          <w:color w:val="B3176C"/>
          <w:spacing w:val="-7"/>
        </w:rPr>
        <w:t xml:space="preserve"> </w:t>
      </w:r>
      <w:r>
        <w:rPr>
          <w:color w:val="B3176C"/>
        </w:rPr>
        <w:t>de</w:t>
      </w:r>
      <w:r>
        <w:rPr>
          <w:color w:val="B3176C"/>
          <w:spacing w:val="-8"/>
        </w:rPr>
        <w:t xml:space="preserve"> </w:t>
      </w:r>
      <w:r>
        <w:rPr>
          <w:color w:val="B3176C"/>
        </w:rPr>
        <w:t>la</w:t>
      </w:r>
      <w:r>
        <w:rPr>
          <w:color w:val="B3176C"/>
          <w:spacing w:val="-7"/>
        </w:rPr>
        <w:t xml:space="preserve"> </w:t>
      </w:r>
      <w:r>
        <w:rPr>
          <w:color w:val="B3176C"/>
        </w:rPr>
        <w:t>Ley</w:t>
      </w:r>
      <w:r>
        <w:rPr>
          <w:color w:val="B3176C"/>
          <w:spacing w:val="-7"/>
        </w:rPr>
        <w:t xml:space="preserve"> </w:t>
      </w:r>
      <w:r>
        <w:rPr>
          <w:color w:val="B3176C"/>
        </w:rPr>
        <w:t>2281 de 2023.</w:t>
      </w:r>
    </w:p>
    <w:p w14:paraId="406E2E69" w14:textId="77777777" w:rsidR="000E52B0" w:rsidRDefault="000E52B0">
      <w:pPr>
        <w:pStyle w:val="Textoindependiente"/>
        <w:spacing w:before="94"/>
        <w:ind w:left="0"/>
        <w:rPr>
          <w:sz w:val="32"/>
        </w:rPr>
      </w:pPr>
    </w:p>
    <w:p w14:paraId="5DF74038" w14:textId="77777777" w:rsidR="000E52B0" w:rsidRDefault="00F60D74">
      <w:pPr>
        <w:pStyle w:val="Textoindependiente"/>
        <w:spacing w:line="278" w:lineRule="auto"/>
        <w:ind w:right="356"/>
        <w:jc w:val="both"/>
      </w:pPr>
      <w:r>
        <w:t xml:space="preserve">En Sentencia C-161 de 2024, la Corte Constitucional declaró la </w:t>
      </w:r>
      <w:proofErr w:type="spellStart"/>
      <w:r>
        <w:t>inexequibilidad</w:t>
      </w:r>
      <w:proofErr w:type="spellEnd"/>
      <w:r>
        <w:t xml:space="preserve"> diferida de la Ley 2281 de 2023, por medio de la cual se crea el Ministerio de Igualdad y Equidad. La Ley 2281 fue aprobada por el Congreso</w:t>
      </w:r>
      <w:r>
        <w:rPr>
          <w:spacing w:val="-2"/>
        </w:rPr>
        <w:t xml:space="preserve"> </w:t>
      </w:r>
      <w:r>
        <w:t>de</w:t>
      </w:r>
      <w:r>
        <w:rPr>
          <w:spacing w:val="-2"/>
        </w:rPr>
        <w:t xml:space="preserve"> </w:t>
      </w:r>
      <w:r>
        <w:t>la</w:t>
      </w:r>
      <w:r>
        <w:rPr>
          <w:spacing w:val="-2"/>
        </w:rPr>
        <w:t xml:space="preserve"> </w:t>
      </w:r>
      <w:r>
        <w:t>República</w:t>
      </w:r>
      <w:r>
        <w:rPr>
          <w:spacing w:val="-3"/>
        </w:rPr>
        <w:t xml:space="preserve"> </w:t>
      </w:r>
      <w:r>
        <w:t>en</w:t>
      </w:r>
      <w:r>
        <w:rPr>
          <w:spacing w:val="-3"/>
        </w:rPr>
        <w:t xml:space="preserve"> </w:t>
      </w:r>
      <w:r>
        <w:t>el</w:t>
      </w:r>
      <w:r>
        <w:rPr>
          <w:spacing w:val="-1"/>
        </w:rPr>
        <w:t xml:space="preserve"> </w:t>
      </w:r>
      <w:r>
        <w:t>mes</w:t>
      </w:r>
      <w:r>
        <w:rPr>
          <w:spacing w:val="-3"/>
        </w:rPr>
        <w:t xml:space="preserve"> </w:t>
      </w:r>
      <w:r>
        <w:t>de diciembre</w:t>
      </w:r>
      <w:r>
        <w:rPr>
          <w:spacing w:val="-1"/>
        </w:rPr>
        <w:t xml:space="preserve"> </w:t>
      </w:r>
      <w:r>
        <w:t>de</w:t>
      </w:r>
      <w:r>
        <w:rPr>
          <w:spacing w:val="-2"/>
        </w:rPr>
        <w:t xml:space="preserve"> </w:t>
      </w:r>
      <w:r>
        <w:t>2022</w:t>
      </w:r>
      <w:r>
        <w:rPr>
          <w:spacing w:val="-2"/>
        </w:rPr>
        <w:t xml:space="preserve"> </w:t>
      </w:r>
      <w:r>
        <w:t>con</w:t>
      </w:r>
      <w:r>
        <w:rPr>
          <w:spacing w:val="-3"/>
        </w:rPr>
        <w:t xml:space="preserve"> </w:t>
      </w:r>
      <w:r>
        <w:t>17</w:t>
      </w:r>
      <w:r>
        <w:rPr>
          <w:spacing w:val="-1"/>
        </w:rPr>
        <w:t xml:space="preserve"> </w:t>
      </w:r>
      <w:r>
        <w:t>artículos que lograron ser consensuados por todas las fuerzas políticas que tienen representación en el poder legislativo. Por esa razón, respetando la voluntad manifestada por el mismo legislador que va a tramitar y promulgar esta iniciativa que se pone a consideración, el articulado propuesto</w:t>
      </w:r>
      <w:r>
        <w:rPr>
          <w:spacing w:val="-11"/>
        </w:rPr>
        <w:t xml:space="preserve"> </w:t>
      </w:r>
      <w:r>
        <w:t>en</w:t>
      </w:r>
      <w:r>
        <w:rPr>
          <w:spacing w:val="-12"/>
        </w:rPr>
        <w:t xml:space="preserve"> </w:t>
      </w:r>
      <w:r>
        <w:t>esta</w:t>
      </w:r>
      <w:r>
        <w:rPr>
          <w:spacing w:val="-11"/>
        </w:rPr>
        <w:t xml:space="preserve"> </w:t>
      </w:r>
      <w:r>
        <w:t>ocasión</w:t>
      </w:r>
      <w:r>
        <w:rPr>
          <w:spacing w:val="-12"/>
        </w:rPr>
        <w:t xml:space="preserve"> </w:t>
      </w:r>
      <w:r>
        <w:t>coincide</w:t>
      </w:r>
      <w:r>
        <w:rPr>
          <w:spacing w:val="-10"/>
        </w:rPr>
        <w:t xml:space="preserve"> </w:t>
      </w:r>
      <w:r>
        <w:t>con</w:t>
      </w:r>
      <w:r>
        <w:rPr>
          <w:spacing w:val="-9"/>
        </w:rPr>
        <w:t xml:space="preserve"> </w:t>
      </w:r>
      <w:r>
        <w:t>el</w:t>
      </w:r>
      <w:r>
        <w:rPr>
          <w:spacing w:val="-12"/>
        </w:rPr>
        <w:t xml:space="preserve"> </w:t>
      </w:r>
      <w:r>
        <w:t>que</w:t>
      </w:r>
      <w:r>
        <w:rPr>
          <w:spacing w:val="-10"/>
        </w:rPr>
        <w:t xml:space="preserve"> </w:t>
      </w:r>
      <w:r>
        <w:t>fue</w:t>
      </w:r>
      <w:r>
        <w:rPr>
          <w:spacing w:val="-10"/>
        </w:rPr>
        <w:t xml:space="preserve"> </w:t>
      </w:r>
      <w:r>
        <w:t>aprobado</w:t>
      </w:r>
      <w:r>
        <w:rPr>
          <w:spacing w:val="-8"/>
        </w:rPr>
        <w:t xml:space="preserve"> </w:t>
      </w:r>
      <w:r>
        <w:t>en</w:t>
      </w:r>
      <w:r>
        <w:rPr>
          <w:spacing w:val="-12"/>
        </w:rPr>
        <w:t xml:space="preserve"> </w:t>
      </w:r>
      <w:r>
        <w:t>el</w:t>
      </w:r>
      <w:r>
        <w:rPr>
          <w:spacing w:val="-12"/>
        </w:rPr>
        <w:t xml:space="preserve"> </w:t>
      </w:r>
      <w:r>
        <w:t>año</w:t>
      </w:r>
      <w:r>
        <w:rPr>
          <w:spacing w:val="-11"/>
        </w:rPr>
        <w:t xml:space="preserve"> </w:t>
      </w:r>
      <w:r>
        <w:t>2022 y cuenta únicamente con las siguientes diferencias:</w:t>
      </w:r>
    </w:p>
    <w:p w14:paraId="71678885" w14:textId="77777777" w:rsidR="000E52B0" w:rsidRDefault="00F60D74">
      <w:pPr>
        <w:pStyle w:val="Prrafodelista"/>
        <w:numPr>
          <w:ilvl w:val="0"/>
          <w:numId w:val="27"/>
        </w:numPr>
        <w:tabs>
          <w:tab w:val="left" w:pos="1440"/>
        </w:tabs>
        <w:spacing w:before="167"/>
        <w:ind w:right="360"/>
        <w:jc w:val="both"/>
        <w:rPr>
          <w:sz w:val="24"/>
        </w:rPr>
      </w:pPr>
      <w:r>
        <w:rPr>
          <w:sz w:val="24"/>
        </w:rPr>
        <w:t>El artículo de estructura orgánica relaciona la estructura interna del Ministerio definida en el Decreto 1075 de 2023.</w:t>
      </w:r>
    </w:p>
    <w:p w14:paraId="2BED50E7" w14:textId="77777777" w:rsidR="000E52B0" w:rsidRDefault="00F60D74">
      <w:pPr>
        <w:pStyle w:val="Textoindependiente"/>
        <w:spacing w:before="158"/>
        <w:ind w:right="352"/>
        <w:jc w:val="both"/>
      </w:pPr>
      <w:r>
        <w:t>Si bien es cierto que el numeral 7 del artículo 150 de la Constitución establece que las leyes que creen ministerios deberán contar con la definición de su estructura orgánica, y la jurisprudencia constitucional ha entendido</w:t>
      </w:r>
      <w:r>
        <w:rPr>
          <w:spacing w:val="-1"/>
        </w:rPr>
        <w:t xml:space="preserve"> </w:t>
      </w:r>
      <w:r>
        <w:t>por</w:t>
      </w:r>
      <w:r>
        <w:rPr>
          <w:spacing w:val="-3"/>
        </w:rPr>
        <w:t xml:space="preserve"> </w:t>
      </w:r>
      <w:r>
        <w:t>estructura</w:t>
      </w:r>
      <w:r>
        <w:rPr>
          <w:spacing w:val="-3"/>
        </w:rPr>
        <w:t xml:space="preserve"> </w:t>
      </w:r>
      <w:r>
        <w:t>orgánica</w:t>
      </w:r>
      <w:r>
        <w:rPr>
          <w:spacing w:val="-2"/>
        </w:rPr>
        <w:t xml:space="preserve"> </w:t>
      </w:r>
      <w:r>
        <w:t>la</w:t>
      </w:r>
      <w:r>
        <w:rPr>
          <w:spacing w:val="-4"/>
        </w:rPr>
        <w:t xml:space="preserve"> </w:t>
      </w:r>
      <w:r>
        <w:t>definición</w:t>
      </w:r>
      <w:r>
        <w:rPr>
          <w:spacing w:val="-2"/>
        </w:rPr>
        <w:t xml:space="preserve"> </w:t>
      </w:r>
      <w:r>
        <w:t>de</w:t>
      </w:r>
      <w:r>
        <w:rPr>
          <w:spacing w:val="-3"/>
        </w:rPr>
        <w:t xml:space="preserve"> </w:t>
      </w:r>
      <w:r>
        <w:t>los</w:t>
      </w:r>
      <w:r>
        <w:rPr>
          <w:spacing w:val="-4"/>
        </w:rPr>
        <w:t xml:space="preserve"> </w:t>
      </w:r>
      <w:r>
        <w:t>órganos</w:t>
      </w:r>
      <w:r>
        <w:rPr>
          <w:spacing w:val="-4"/>
        </w:rPr>
        <w:t xml:space="preserve"> </w:t>
      </w:r>
      <w:r>
        <w:t>de</w:t>
      </w:r>
      <w:r>
        <w:rPr>
          <w:spacing w:val="-3"/>
        </w:rPr>
        <w:t xml:space="preserve"> </w:t>
      </w:r>
      <w:r>
        <w:t>dirección y</w:t>
      </w:r>
      <w:r>
        <w:rPr>
          <w:spacing w:val="-22"/>
        </w:rPr>
        <w:t xml:space="preserve"> </w:t>
      </w:r>
      <w:r>
        <w:t>administración,</w:t>
      </w:r>
      <w:r>
        <w:rPr>
          <w:spacing w:val="-21"/>
        </w:rPr>
        <w:t xml:space="preserve"> </w:t>
      </w:r>
      <w:r>
        <w:t>la</w:t>
      </w:r>
      <w:r>
        <w:rPr>
          <w:spacing w:val="-21"/>
        </w:rPr>
        <w:t xml:space="preserve"> </w:t>
      </w:r>
      <w:r>
        <w:t>naturaleza</w:t>
      </w:r>
      <w:r>
        <w:rPr>
          <w:spacing w:val="-21"/>
        </w:rPr>
        <w:t xml:space="preserve"> </w:t>
      </w:r>
      <w:r>
        <w:t>jurídica,</w:t>
      </w:r>
      <w:r>
        <w:rPr>
          <w:spacing w:val="-21"/>
        </w:rPr>
        <w:t xml:space="preserve"> </w:t>
      </w:r>
      <w:r>
        <w:t>la</w:t>
      </w:r>
      <w:r>
        <w:rPr>
          <w:spacing w:val="-21"/>
        </w:rPr>
        <w:t xml:space="preserve"> </w:t>
      </w:r>
      <w:r>
        <w:t>sede,</w:t>
      </w:r>
      <w:r>
        <w:rPr>
          <w:spacing w:val="-21"/>
        </w:rPr>
        <w:t xml:space="preserve"> </w:t>
      </w:r>
      <w:r>
        <w:t>el</w:t>
      </w:r>
      <w:r>
        <w:rPr>
          <w:spacing w:val="-21"/>
        </w:rPr>
        <w:t xml:space="preserve"> </w:t>
      </w:r>
      <w:r>
        <w:t>domicilio</w:t>
      </w:r>
      <w:r>
        <w:rPr>
          <w:spacing w:val="-21"/>
        </w:rPr>
        <w:t xml:space="preserve"> </w:t>
      </w:r>
      <w:r>
        <w:t>y</w:t>
      </w:r>
      <w:r>
        <w:rPr>
          <w:spacing w:val="-21"/>
        </w:rPr>
        <w:t xml:space="preserve"> </w:t>
      </w:r>
      <w:r>
        <w:t>el</w:t>
      </w:r>
      <w:r>
        <w:rPr>
          <w:spacing w:val="-22"/>
        </w:rPr>
        <w:t xml:space="preserve"> </w:t>
      </w:r>
      <w:r>
        <w:t>patrimonio, el Ministerio de Igualdad y Equidad cuenta con una estructura interna que ya fue definida de manera legal por el Decreto 1075 de 2023 y que es la estructura</w:t>
      </w:r>
      <w:r>
        <w:rPr>
          <w:spacing w:val="-15"/>
        </w:rPr>
        <w:t xml:space="preserve"> </w:t>
      </w:r>
      <w:r>
        <w:t>con</w:t>
      </w:r>
      <w:r>
        <w:rPr>
          <w:spacing w:val="-14"/>
        </w:rPr>
        <w:t xml:space="preserve"> </w:t>
      </w:r>
      <w:r>
        <w:t>la</w:t>
      </w:r>
      <w:r>
        <w:rPr>
          <w:spacing w:val="-14"/>
        </w:rPr>
        <w:t xml:space="preserve"> </w:t>
      </w:r>
      <w:r>
        <w:t>que</w:t>
      </w:r>
      <w:r>
        <w:rPr>
          <w:spacing w:val="-15"/>
        </w:rPr>
        <w:t xml:space="preserve"> </w:t>
      </w:r>
      <w:r>
        <w:t>se</w:t>
      </w:r>
      <w:r>
        <w:rPr>
          <w:spacing w:val="-15"/>
        </w:rPr>
        <w:t xml:space="preserve"> </w:t>
      </w:r>
      <w:r>
        <w:t>encuentra</w:t>
      </w:r>
      <w:r>
        <w:rPr>
          <w:spacing w:val="-15"/>
        </w:rPr>
        <w:t xml:space="preserve"> </w:t>
      </w:r>
      <w:r>
        <w:t>funcionando</w:t>
      </w:r>
      <w:r>
        <w:rPr>
          <w:spacing w:val="-15"/>
        </w:rPr>
        <w:t xml:space="preserve"> </w:t>
      </w:r>
      <w:r>
        <w:t>actualmente</w:t>
      </w:r>
      <w:r>
        <w:rPr>
          <w:spacing w:val="-15"/>
        </w:rPr>
        <w:t xml:space="preserve"> </w:t>
      </w:r>
      <w:r>
        <w:t>dicha</w:t>
      </w:r>
      <w:r>
        <w:rPr>
          <w:spacing w:val="-16"/>
        </w:rPr>
        <w:t xml:space="preserve"> </w:t>
      </w:r>
      <w:r>
        <w:t>Cartera. En aras de garantizar la transparencia con la gestión y el funcionamiento del Ministerio, se propone al Congreso de la República reemplazar la estructura</w:t>
      </w:r>
      <w:r>
        <w:rPr>
          <w:spacing w:val="-7"/>
        </w:rPr>
        <w:t xml:space="preserve"> </w:t>
      </w:r>
      <w:r>
        <w:t>definida</w:t>
      </w:r>
      <w:r>
        <w:rPr>
          <w:spacing w:val="-5"/>
        </w:rPr>
        <w:t xml:space="preserve"> </w:t>
      </w:r>
      <w:r>
        <w:t>en</w:t>
      </w:r>
      <w:r>
        <w:rPr>
          <w:spacing w:val="-8"/>
        </w:rPr>
        <w:t xml:space="preserve"> </w:t>
      </w:r>
      <w:r>
        <w:t>la</w:t>
      </w:r>
      <w:r>
        <w:rPr>
          <w:spacing w:val="-8"/>
        </w:rPr>
        <w:t xml:space="preserve"> </w:t>
      </w:r>
      <w:r>
        <w:t>Ley</w:t>
      </w:r>
      <w:r>
        <w:rPr>
          <w:spacing w:val="-8"/>
        </w:rPr>
        <w:t xml:space="preserve"> </w:t>
      </w:r>
      <w:r>
        <w:t>2281</w:t>
      </w:r>
      <w:r>
        <w:rPr>
          <w:spacing w:val="-7"/>
        </w:rPr>
        <w:t xml:space="preserve"> </w:t>
      </w:r>
      <w:r>
        <w:t>por</w:t>
      </w:r>
      <w:r>
        <w:rPr>
          <w:spacing w:val="-7"/>
        </w:rPr>
        <w:t xml:space="preserve"> </w:t>
      </w:r>
      <w:r>
        <w:t>la</w:t>
      </w:r>
      <w:r>
        <w:rPr>
          <w:spacing w:val="-8"/>
        </w:rPr>
        <w:t xml:space="preserve"> </w:t>
      </w:r>
      <w:r>
        <w:t>que</w:t>
      </w:r>
      <w:r>
        <w:rPr>
          <w:spacing w:val="-7"/>
        </w:rPr>
        <w:t xml:space="preserve"> </w:t>
      </w:r>
      <w:r>
        <w:t>consta</w:t>
      </w:r>
      <w:r>
        <w:rPr>
          <w:spacing w:val="-8"/>
        </w:rPr>
        <w:t xml:space="preserve"> </w:t>
      </w:r>
      <w:r>
        <w:t>en</w:t>
      </w:r>
      <w:r>
        <w:rPr>
          <w:spacing w:val="-8"/>
        </w:rPr>
        <w:t xml:space="preserve"> </w:t>
      </w:r>
      <w:r>
        <w:t>el</w:t>
      </w:r>
      <w:r>
        <w:rPr>
          <w:spacing w:val="-6"/>
        </w:rPr>
        <w:t xml:space="preserve"> </w:t>
      </w:r>
      <w:r>
        <w:t>Decreto</w:t>
      </w:r>
      <w:r>
        <w:rPr>
          <w:spacing w:val="-7"/>
        </w:rPr>
        <w:t xml:space="preserve"> </w:t>
      </w:r>
      <w:r>
        <w:t>1075</w:t>
      </w:r>
      <w:r>
        <w:rPr>
          <w:spacing w:val="-7"/>
        </w:rPr>
        <w:t xml:space="preserve"> </w:t>
      </w:r>
      <w:r>
        <w:t xml:space="preserve">de </w:t>
      </w:r>
      <w:r>
        <w:rPr>
          <w:spacing w:val="-4"/>
        </w:rPr>
        <w:t>2023</w:t>
      </w:r>
    </w:p>
    <w:p w14:paraId="4A4567B0" w14:textId="77777777" w:rsidR="000E52B0" w:rsidRDefault="00F60D74">
      <w:pPr>
        <w:pStyle w:val="Prrafodelista"/>
        <w:numPr>
          <w:ilvl w:val="0"/>
          <w:numId w:val="27"/>
        </w:numPr>
        <w:tabs>
          <w:tab w:val="left" w:pos="1440"/>
        </w:tabs>
        <w:spacing w:before="161"/>
        <w:ind w:right="359"/>
        <w:jc w:val="both"/>
        <w:rPr>
          <w:sz w:val="24"/>
        </w:rPr>
      </w:pPr>
      <w:r>
        <w:rPr>
          <w:sz w:val="24"/>
        </w:rPr>
        <w:t>Se elimina el artículo que refería la integración de la Comisión Intersectorial</w:t>
      </w:r>
      <w:r>
        <w:rPr>
          <w:spacing w:val="-12"/>
          <w:sz w:val="24"/>
        </w:rPr>
        <w:t xml:space="preserve"> </w:t>
      </w:r>
      <w:r>
        <w:rPr>
          <w:sz w:val="24"/>
        </w:rPr>
        <w:t>de</w:t>
      </w:r>
      <w:r>
        <w:rPr>
          <w:spacing w:val="-10"/>
          <w:sz w:val="24"/>
        </w:rPr>
        <w:t xml:space="preserve"> </w:t>
      </w:r>
      <w:r>
        <w:rPr>
          <w:sz w:val="24"/>
        </w:rPr>
        <w:t>Seguridad</w:t>
      </w:r>
      <w:r>
        <w:rPr>
          <w:spacing w:val="-11"/>
          <w:sz w:val="24"/>
        </w:rPr>
        <w:t xml:space="preserve"> </w:t>
      </w:r>
      <w:r>
        <w:rPr>
          <w:sz w:val="24"/>
        </w:rPr>
        <w:t>Alimentaria</w:t>
      </w:r>
      <w:r>
        <w:rPr>
          <w:spacing w:val="-8"/>
          <w:sz w:val="24"/>
        </w:rPr>
        <w:t xml:space="preserve"> </w:t>
      </w:r>
      <w:r>
        <w:rPr>
          <w:sz w:val="24"/>
        </w:rPr>
        <w:t>por</w:t>
      </w:r>
      <w:r>
        <w:rPr>
          <w:spacing w:val="-10"/>
          <w:sz w:val="24"/>
        </w:rPr>
        <w:t xml:space="preserve"> </w:t>
      </w:r>
      <w:r>
        <w:rPr>
          <w:sz w:val="24"/>
        </w:rPr>
        <w:t>cuanto</w:t>
      </w:r>
      <w:r>
        <w:rPr>
          <w:spacing w:val="-10"/>
          <w:sz w:val="24"/>
        </w:rPr>
        <w:t xml:space="preserve"> </w:t>
      </w:r>
      <w:r>
        <w:rPr>
          <w:sz w:val="24"/>
        </w:rPr>
        <w:t>el</w:t>
      </w:r>
      <w:r>
        <w:rPr>
          <w:spacing w:val="-12"/>
          <w:sz w:val="24"/>
        </w:rPr>
        <w:t xml:space="preserve"> </w:t>
      </w:r>
      <w:r>
        <w:rPr>
          <w:sz w:val="24"/>
        </w:rPr>
        <w:t>Decreto</w:t>
      </w:r>
      <w:r>
        <w:rPr>
          <w:spacing w:val="-10"/>
          <w:sz w:val="24"/>
        </w:rPr>
        <w:t xml:space="preserve"> </w:t>
      </w:r>
      <w:r>
        <w:rPr>
          <w:sz w:val="24"/>
        </w:rPr>
        <w:t>684</w:t>
      </w:r>
      <w:r>
        <w:rPr>
          <w:spacing w:val="-10"/>
          <w:sz w:val="24"/>
        </w:rPr>
        <w:t xml:space="preserve"> </w:t>
      </w:r>
      <w:r>
        <w:rPr>
          <w:sz w:val="24"/>
        </w:rPr>
        <w:t xml:space="preserve">de 2024 modificó la instancia e incluyó al Ministerio de Igualdad y </w:t>
      </w:r>
      <w:r>
        <w:rPr>
          <w:spacing w:val="-2"/>
          <w:sz w:val="24"/>
        </w:rPr>
        <w:t>Equidad.</w:t>
      </w:r>
    </w:p>
    <w:p w14:paraId="63A7A67F" w14:textId="77777777" w:rsidR="000E52B0" w:rsidRDefault="00F60D74">
      <w:pPr>
        <w:pStyle w:val="Prrafodelista"/>
        <w:numPr>
          <w:ilvl w:val="0"/>
          <w:numId w:val="27"/>
        </w:numPr>
        <w:tabs>
          <w:tab w:val="left" w:pos="1440"/>
        </w:tabs>
        <w:ind w:right="361"/>
        <w:jc w:val="both"/>
        <w:rPr>
          <w:sz w:val="24"/>
        </w:rPr>
      </w:pPr>
      <w:r>
        <w:rPr>
          <w:sz w:val="24"/>
        </w:rPr>
        <w:t>Se</w:t>
      </w:r>
      <w:r>
        <w:rPr>
          <w:spacing w:val="-19"/>
          <w:sz w:val="24"/>
        </w:rPr>
        <w:t xml:space="preserve"> </w:t>
      </w:r>
      <w:r>
        <w:rPr>
          <w:sz w:val="24"/>
        </w:rPr>
        <w:t>integra</w:t>
      </w:r>
      <w:r>
        <w:rPr>
          <w:spacing w:val="-19"/>
          <w:sz w:val="24"/>
        </w:rPr>
        <w:t xml:space="preserve"> </w:t>
      </w:r>
      <w:r>
        <w:rPr>
          <w:sz w:val="24"/>
        </w:rPr>
        <w:t>y</w:t>
      </w:r>
      <w:r>
        <w:rPr>
          <w:spacing w:val="-20"/>
          <w:sz w:val="24"/>
        </w:rPr>
        <w:t xml:space="preserve"> </w:t>
      </w:r>
      <w:r>
        <w:rPr>
          <w:sz w:val="24"/>
        </w:rPr>
        <w:t>conforma</w:t>
      </w:r>
      <w:r>
        <w:rPr>
          <w:spacing w:val="-19"/>
          <w:sz w:val="24"/>
        </w:rPr>
        <w:t xml:space="preserve"> </w:t>
      </w:r>
      <w:r>
        <w:rPr>
          <w:sz w:val="24"/>
        </w:rPr>
        <w:t>el</w:t>
      </w:r>
      <w:r>
        <w:rPr>
          <w:spacing w:val="-20"/>
          <w:sz w:val="24"/>
        </w:rPr>
        <w:t xml:space="preserve"> </w:t>
      </w:r>
      <w:r>
        <w:rPr>
          <w:sz w:val="24"/>
        </w:rPr>
        <w:t>Sector</w:t>
      </w:r>
      <w:r>
        <w:rPr>
          <w:spacing w:val="-19"/>
          <w:sz w:val="24"/>
        </w:rPr>
        <w:t xml:space="preserve"> </w:t>
      </w:r>
      <w:r>
        <w:rPr>
          <w:sz w:val="24"/>
        </w:rPr>
        <w:t>Administrativo</w:t>
      </w:r>
      <w:r>
        <w:rPr>
          <w:spacing w:val="-19"/>
          <w:sz w:val="24"/>
        </w:rPr>
        <w:t xml:space="preserve"> </w:t>
      </w:r>
      <w:r>
        <w:rPr>
          <w:sz w:val="24"/>
        </w:rPr>
        <w:t>de</w:t>
      </w:r>
      <w:r>
        <w:rPr>
          <w:spacing w:val="-19"/>
          <w:sz w:val="24"/>
        </w:rPr>
        <w:t xml:space="preserve"> </w:t>
      </w:r>
      <w:r>
        <w:rPr>
          <w:sz w:val="24"/>
        </w:rPr>
        <w:t>Igualdad</w:t>
      </w:r>
      <w:r>
        <w:rPr>
          <w:spacing w:val="-19"/>
          <w:sz w:val="24"/>
        </w:rPr>
        <w:t xml:space="preserve"> </w:t>
      </w:r>
      <w:r>
        <w:rPr>
          <w:sz w:val="24"/>
        </w:rPr>
        <w:t>y</w:t>
      </w:r>
      <w:r>
        <w:rPr>
          <w:spacing w:val="-20"/>
          <w:sz w:val="24"/>
        </w:rPr>
        <w:t xml:space="preserve"> </w:t>
      </w:r>
      <w:r>
        <w:rPr>
          <w:sz w:val="24"/>
        </w:rPr>
        <w:t xml:space="preserve">Equidad sin facultades extraordinarias al </w:t>
      </w:r>
      <w:proofErr w:type="gramStart"/>
      <w:r>
        <w:rPr>
          <w:sz w:val="24"/>
        </w:rPr>
        <w:t>Presidente</w:t>
      </w:r>
      <w:proofErr w:type="gramEnd"/>
      <w:r>
        <w:rPr>
          <w:sz w:val="24"/>
        </w:rPr>
        <w:t xml:space="preserve"> de la República. En consecuencia,</w:t>
      </w:r>
      <w:r>
        <w:rPr>
          <w:spacing w:val="-6"/>
          <w:sz w:val="24"/>
        </w:rPr>
        <w:t xml:space="preserve"> </w:t>
      </w:r>
      <w:r>
        <w:rPr>
          <w:sz w:val="24"/>
        </w:rPr>
        <w:t>se</w:t>
      </w:r>
      <w:r>
        <w:rPr>
          <w:spacing w:val="-6"/>
          <w:sz w:val="24"/>
        </w:rPr>
        <w:t xml:space="preserve"> </w:t>
      </w:r>
      <w:r>
        <w:rPr>
          <w:sz w:val="24"/>
        </w:rPr>
        <w:t>elimina</w:t>
      </w:r>
      <w:r>
        <w:rPr>
          <w:spacing w:val="-5"/>
          <w:sz w:val="24"/>
        </w:rPr>
        <w:t xml:space="preserve"> </w:t>
      </w:r>
      <w:r>
        <w:rPr>
          <w:sz w:val="24"/>
        </w:rPr>
        <w:t>la</w:t>
      </w:r>
      <w:r>
        <w:rPr>
          <w:spacing w:val="-6"/>
          <w:sz w:val="24"/>
        </w:rPr>
        <w:t xml:space="preserve"> </w:t>
      </w:r>
      <w:r>
        <w:rPr>
          <w:sz w:val="24"/>
        </w:rPr>
        <w:t>comisión</w:t>
      </w:r>
      <w:r>
        <w:rPr>
          <w:spacing w:val="-5"/>
          <w:sz w:val="24"/>
        </w:rPr>
        <w:t xml:space="preserve"> </w:t>
      </w:r>
      <w:r>
        <w:rPr>
          <w:sz w:val="24"/>
        </w:rPr>
        <w:t>de</w:t>
      </w:r>
      <w:r>
        <w:rPr>
          <w:spacing w:val="-6"/>
          <w:sz w:val="24"/>
        </w:rPr>
        <w:t xml:space="preserve"> </w:t>
      </w:r>
      <w:r>
        <w:rPr>
          <w:sz w:val="24"/>
        </w:rPr>
        <w:t>seguimiento</w:t>
      </w:r>
      <w:r>
        <w:rPr>
          <w:spacing w:val="-5"/>
          <w:sz w:val="24"/>
        </w:rPr>
        <w:t xml:space="preserve"> </w:t>
      </w:r>
      <w:r>
        <w:rPr>
          <w:sz w:val="24"/>
        </w:rPr>
        <w:t>a</w:t>
      </w:r>
      <w:r>
        <w:rPr>
          <w:spacing w:val="-5"/>
          <w:sz w:val="24"/>
        </w:rPr>
        <w:t xml:space="preserve"> </w:t>
      </w:r>
      <w:r>
        <w:rPr>
          <w:sz w:val="24"/>
        </w:rPr>
        <w:t>las</w:t>
      </w:r>
      <w:r>
        <w:rPr>
          <w:spacing w:val="-8"/>
          <w:sz w:val="24"/>
        </w:rPr>
        <w:t xml:space="preserve"> </w:t>
      </w:r>
      <w:r>
        <w:rPr>
          <w:sz w:val="24"/>
        </w:rPr>
        <w:t>facultades y se define la comisión encargada de vigilar la Cartera.</w:t>
      </w:r>
    </w:p>
    <w:p w14:paraId="31AB54FE" w14:textId="77777777" w:rsidR="000E52B0" w:rsidRDefault="00F60D74">
      <w:pPr>
        <w:pStyle w:val="Textoindependiente"/>
        <w:spacing w:before="156"/>
        <w:ind w:right="357"/>
        <w:jc w:val="both"/>
      </w:pPr>
      <w:r>
        <w:t>El</w:t>
      </w:r>
      <w:r>
        <w:rPr>
          <w:spacing w:val="-17"/>
        </w:rPr>
        <w:t xml:space="preserve"> </w:t>
      </w:r>
      <w:r>
        <w:t>Decreto</w:t>
      </w:r>
      <w:r>
        <w:rPr>
          <w:spacing w:val="-16"/>
        </w:rPr>
        <w:t xml:space="preserve"> </w:t>
      </w:r>
      <w:r>
        <w:t>1074</w:t>
      </w:r>
      <w:r>
        <w:rPr>
          <w:spacing w:val="-17"/>
        </w:rPr>
        <w:t xml:space="preserve"> </w:t>
      </w:r>
      <w:r>
        <w:t>de</w:t>
      </w:r>
      <w:r>
        <w:rPr>
          <w:spacing w:val="-18"/>
        </w:rPr>
        <w:t xml:space="preserve"> </w:t>
      </w:r>
      <w:r>
        <w:t>2023,</w:t>
      </w:r>
      <w:r>
        <w:rPr>
          <w:spacing w:val="-17"/>
        </w:rPr>
        <w:t xml:space="preserve"> </w:t>
      </w:r>
      <w:r>
        <w:t>expedido</w:t>
      </w:r>
      <w:r>
        <w:rPr>
          <w:spacing w:val="-16"/>
        </w:rPr>
        <w:t xml:space="preserve"> </w:t>
      </w:r>
      <w:r>
        <w:t>en</w:t>
      </w:r>
      <w:r>
        <w:rPr>
          <w:spacing w:val="-17"/>
        </w:rPr>
        <w:t xml:space="preserve"> </w:t>
      </w:r>
      <w:r>
        <w:t>uso</w:t>
      </w:r>
      <w:r>
        <w:rPr>
          <w:spacing w:val="-16"/>
        </w:rPr>
        <w:t xml:space="preserve"> </w:t>
      </w:r>
      <w:r>
        <w:t>de</w:t>
      </w:r>
      <w:r>
        <w:rPr>
          <w:spacing w:val="-16"/>
        </w:rPr>
        <w:t xml:space="preserve"> </w:t>
      </w:r>
      <w:r>
        <w:t>las</w:t>
      </w:r>
      <w:r>
        <w:rPr>
          <w:spacing w:val="-17"/>
        </w:rPr>
        <w:t xml:space="preserve"> </w:t>
      </w:r>
      <w:r>
        <w:t>facultades</w:t>
      </w:r>
      <w:r>
        <w:rPr>
          <w:spacing w:val="-15"/>
        </w:rPr>
        <w:t xml:space="preserve"> </w:t>
      </w:r>
      <w:r>
        <w:t>extraordinarias concedidas por el artículo 12 de la Ley 2281 de 2023, definió como entidades adscritas al Ministerio De Igualdad y Equidad, el Instituto Colombiano</w:t>
      </w:r>
      <w:r>
        <w:rPr>
          <w:spacing w:val="-9"/>
        </w:rPr>
        <w:t xml:space="preserve"> </w:t>
      </w:r>
      <w:r>
        <w:t>de</w:t>
      </w:r>
      <w:r>
        <w:rPr>
          <w:spacing w:val="-9"/>
        </w:rPr>
        <w:t xml:space="preserve"> </w:t>
      </w:r>
      <w:r>
        <w:t>Bienestar</w:t>
      </w:r>
      <w:r>
        <w:rPr>
          <w:spacing w:val="-9"/>
        </w:rPr>
        <w:t xml:space="preserve"> </w:t>
      </w:r>
      <w:r>
        <w:t>Familiar</w:t>
      </w:r>
      <w:r>
        <w:rPr>
          <w:spacing w:val="-6"/>
        </w:rPr>
        <w:t xml:space="preserve"> </w:t>
      </w:r>
      <w:r>
        <w:t>(ICBF),</w:t>
      </w:r>
      <w:r>
        <w:rPr>
          <w:spacing w:val="-11"/>
        </w:rPr>
        <w:t xml:space="preserve"> </w:t>
      </w:r>
      <w:r>
        <w:t>el</w:t>
      </w:r>
      <w:r>
        <w:rPr>
          <w:spacing w:val="-8"/>
        </w:rPr>
        <w:t xml:space="preserve"> </w:t>
      </w:r>
      <w:r>
        <w:t>Instituto</w:t>
      </w:r>
      <w:r>
        <w:rPr>
          <w:spacing w:val="-9"/>
        </w:rPr>
        <w:t xml:space="preserve"> </w:t>
      </w:r>
      <w:r>
        <w:t>Nacional</w:t>
      </w:r>
      <w:r>
        <w:rPr>
          <w:spacing w:val="-11"/>
        </w:rPr>
        <w:t xml:space="preserve"> </w:t>
      </w:r>
      <w:r>
        <w:t>para</w:t>
      </w:r>
      <w:r>
        <w:rPr>
          <w:spacing w:val="-7"/>
        </w:rPr>
        <w:t xml:space="preserve"> </w:t>
      </w:r>
      <w:r>
        <w:t xml:space="preserve">Sordos (INSOR) y el Instituto Nacional para Ciegos (INCI). La Sentencia que declaró la </w:t>
      </w:r>
      <w:proofErr w:type="spellStart"/>
      <w:r>
        <w:t>inexequibilidad</w:t>
      </w:r>
      <w:proofErr w:type="spellEnd"/>
      <w:r>
        <w:t xml:space="preserve"> diferida del Ministerio estableció que las facultades</w:t>
      </w:r>
      <w:r>
        <w:rPr>
          <w:spacing w:val="25"/>
        </w:rPr>
        <w:t xml:space="preserve"> </w:t>
      </w:r>
      <w:r>
        <w:t>extraordinarias</w:t>
      </w:r>
      <w:r>
        <w:rPr>
          <w:spacing w:val="28"/>
        </w:rPr>
        <w:t xml:space="preserve"> </w:t>
      </w:r>
      <w:r>
        <w:t>deben</w:t>
      </w:r>
      <w:r>
        <w:rPr>
          <w:spacing w:val="27"/>
        </w:rPr>
        <w:t xml:space="preserve"> </w:t>
      </w:r>
      <w:r>
        <w:t>cumplir</w:t>
      </w:r>
      <w:r>
        <w:rPr>
          <w:spacing w:val="28"/>
        </w:rPr>
        <w:t xml:space="preserve"> </w:t>
      </w:r>
      <w:r>
        <w:t>con</w:t>
      </w:r>
      <w:r>
        <w:rPr>
          <w:spacing w:val="27"/>
        </w:rPr>
        <w:t xml:space="preserve"> </w:t>
      </w:r>
      <w:r>
        <w:t>el</w:t>
      </w:r>
      <w:r>
        <w:rPr>
          <w:spacing w:val="27"/>
        </w:rPr>
        <w:t xml:space="preserve"> </w:t>
      </w:r>
      <w:r>
        <w:t>requisito</w:t>
      </w:r>
      <w:r>
        <w:rPr>
          <w:spacing w:val="29"/>
        </w:rPr>
        <w:t xml:space="preserve"> </w:t>
      </w:r>
      <w:r>
        <w:t>de</w:t>
      </w:r>
      <w:r>
        <w:rPr>
          <w:spacing w:val="29"/>
        </w:rPr>
        <w:t xml:space="preserve"> </w:t>
      </w:r>
      <w:r>
        <w:t>necesidad</w:t>
      </w:r>
      <w:r>
        <w:rPr>
          <w:spacing w:val="27"/>
        </w:rPr>
        <w:t xml:space="preserve"> </w:t>
      </w:r>
      <w:r>
        <w:rPr>
          <w:spacing w:val="-10"/>
        </w:rPr>
        <w:t>y</w:t>
      </w:r>
    </w:p>
    <w:p w14:paraId="14E85B9C" w14:textId="77777777" w:rsidR="000E52B0" w:rsidRDefault="000E52B0">
      <w:pPr>
        <w:pStyle w:val="Textoindependiente"/>
        <w:jc w:val="both"/>
        <w:sectPr w:rsidR="000E52B0">
          <w:headerReference w:type="even" r:id="rId228"/>
          <w:headerReference w:type="default" r:id="rId229"/>
          <w:footerReference w:type="default" r:id="rId230"/>
          <w:headerReference w:type="first" r:id="rId231"/>
          <w:pgSz w:w="11910" w:h="16840"/>
          <w:pgMar w:top="1420" w:right="1080" w:bottom="1180" w:left="720" w:header="0" w:footer="995" w:gutter="0"/>
          <w:cols w:space="720"/>
        </w:sectPr>
      </w:pPr>
    </w:p>
    <w:p w14:paraId="310F2027" w14:textId="77777777" w:rsidR="000E52B0" w:rsidRDefault="00F60D74">
      <w:pPr>
        <w:pStyle w:val="Textoindependiente"/>
        <w:spacing w:before="83"/>
        <w:ind w:right="359"/>
        <w:jc w:val="both"/>
      </w:pPr>
      <w:r>
        <w:lastRenderedPageBreak/>
        <w:t>conveniencia pública, requisitos que no se materializan en esta oportunidad, pues el Congreso y la sociedad conocen cómo está integrado el sector administrativo de Igualdad y Equidad, por lo que no se pone de presente la necesidad de que el poder legislativo delegue en el poder ejecutivo</w:t>
      </w:r>
      <w:r>
        <w:rPr>
          <w:spacing w:val="-4"/>
        </w:rPr>
        <w:t xml:space="preserve"> </w:t>
      </w:r>
      <w:r>
        <w:t>la</w:t>
      </w:r>
      <w:r>
        <w:rPr>
          <w:spacing w:val="-4"/>
        </w:rPr>
        <w:t xml:space="preserve"> </w:t>
      </w:r>
      <w:r>
        <w:t>definición</w:t>
      </w:r>
      <w:r>
        <w:rPr>
          <w:spacing w:val="-5"/>
        </w:rPr>
        <w:t xml:space="preserve"> </w:t>
      </w:r>
      <w:r>
        <w:t>de</w:t>
      </w:r>
      <w:r>
        <w:rPr>
          <w:spacing w:val="-4"/>
        </w:rPr>
        <w:t xml:space="preserve"> </w:t>
      </w:r>
      <w:r>
        <w:t>un</w:t>
      </w:r>
      <w:r>
        <w:rPr>
          <w:spacing w:val="-5"/>
        </w:rPr>
        <w:t xml:space="preserve"> </w:t>
      </w:r>
      <w:r>
        <w:t>sector</w:t>
      </w:r>
      <w:r>
        <w:rPr>
          <w:spacing w:val="-4"/>
        </w:rPr>
        <w:t xml:space="preserve"> </w:t>
      </w:r>
      <w:r>
        <w:t>que,</w:t>
      </w:r>
      <w:r>
        <w:rPr>
          <w:spacing w:val="-5"/>
        </w:rPr>
        <w:t xml:space="preserve"> </w:t>
      </w:r>
      <w:r>
        <w:t>en</w:t>
      </w:r>
      <w:r>
        <w:rPr>
          <w:spacing w:val="-5"/>
        </w:rPr>
        <w:t xml:space="preserve"> </w:t>
      </w:r>
      <w:r>
        <w:t>la</w:t>
      </w:r>
      <w:r>
        <w:rPr>
          <w:spacing w:val="-5"/>
        </w:rPr>
        <w:t xml:space="preserve"> </w:t>
      </w:r>
      <w:r>
        <w:t>práctica,</w:t>
      </w:r>
      <w:r>
        <w:rPr>
          <w:spacing w:val="-5"/>
        </w:rPr>
        <w:t xml:space="preserve"> </w:t>
      </w:r>
      <w:r>
        <w:t>ya</w:t>
      </w:r>
      <w:r>
        <w:rPr>
          <w:spacing w:val="-3"/>
        </w:rPr>
        <w:t xml:space="preserve"> </w:t>
      </w:r>
      <w:r>
        <w:t>está</w:t>
      </w:r>
      <w:r>
        <w:rPr>
          <w:spacing w:val="-4"/>
        </w:rPr>
        <w:t xml:space="preserve"> </w:t>
      </w:r>
      <w:r>
        <w:t>integrado</w:t>
      </w:r>
      <w:r>
        <w:rPr>
          <w:spacing w:val="-4"/>
        </w:rPr>
        <w:t xml:space="preserve"> </w:t>
      </w:r>
      <w:r>
        <w:t xml:space="preserve">y </w:t>
      </w:r>
      <w:r>
        <w:rPr>
          <w:spacing w:val="-2"/>
        </w:rPr>
        <w:t>funcionando.</w:t>
      </w:r>
    </w:p>
    <w:p w14:paraId="2C513FA7" w14:textId="77777777" w:rsidR="000E52B0" w:rsidRDefault="00F60D74">
      <w:pPr>
        <w:pStyle w:val="Textoindependiente"/>
        <w:spacing w:before="158"/>
        <w:ind w:right="353"/>
        <w:jc w:val="both"/>
      </w:pPr>
      <w:r>
        <w:t xml:space="preserve">En razón a que el texto propuesto no otorga facultades excepcionales al </w:t>
      </w:r>
      <w:proofErr w:type="gramStart"/>
      <w:r>
        <w:t>Presidente</w:t>
      </w:r>
      <w:proofErr w:type="gramEnd"/>
      <w:r>
        <w:rPr>
          <w:spacing w:val="-12"/>
        </w:rPr>
        <w:t xml:space="preserve"> </w:t>
      </w:r>
      <w:r>
        <w:t>de</w:t>
      </w:r>
      <w:r>
        <w:rPr>
          <w:spacing w:val="-12"/>
        </w:rPr>
        <w:t xml:space="preserve"> </w:t>
      </w:r>
      <w:r>
        <w:t>la</w:t>
      </w:r>
      <w:r>
        <w:rPr>
          <w:spacing w:val="-13"/>
        </w:rPr>
        <w:t xml:space="preserve"> </w:t>
      </w:r>
      <w:r>
        <w:t>República,</w:t>
      </w:r>
      <w:r>
        <w:rPr>
          <w:spacing w:val="-14"/>
        </w:rPr>
        <w:t xml:space="preserve"> </w:t>
      </w:r>
      <w:r>
        <w:t>y</w:t>
      </w:r>
      <w:r>
        <w:rPr>
          <w:spacing w:val="-11"/>
        </w:rPr>
        <w:t xml:space="preserve"> </w:t>
      </w:r>
      <w:r>
        <w:t>en</w:t>
      </w:r>
      <w:r>
        <w:rPr>
          <w:spacing w:val="-13"/>
        </w:rPr>
        <w:t xml:space="preserve"> </w:t>
      </w:r>
      <w:r>
        <w:t>el</w:t>
      </w:r>
      <w:r>
        <w:rPr>
          <w:spacing w:val="-14"/>
        </w:rPr>
        <w:t xml:space="preserve"> </w:t>
      </w:r>
      <w:r>
        <w:t>entendido</w:t>
      </w:r>
      <w:r>
        <w:rPr>
          <w:spacing w:val="-12"/>
        </w:rPr>
        <w:t xml:space="preserve"> </w:t>
      </w:r>
      <w:r>
        <w:t>de</w:t>
      </w:r>
      <w:r>
        <w:rPr>
          <w:spacing w:val="-12"/>
        </w:rPr>
        <w:t xml:space="preserve"> </w:t>
      </w:r>
      <w:r>
        <w:t>que</w:t>
      </w:r>
      <w:r>
        <w:rPr>
          <w:spacing w:val="-12"/>
        </w:rPr>
        <w:t xml:space="preserve"> </w:t>
      </w:r>
      <w:r>
        <w:t>el</w:t>
      </w:r>
      <w:r>
        <w:rPr>
          <w:spacing w:val="-14"/>
        </w:rPr>
        <w:t xml:space="preserve"> </w:t>
      </w:r>
      <w:r>
        <w:t>texto</w:t>
      </w:r>
      <w:r>
        <w:rPr>
          <w:spacing w:val="-10"/>
        </w:rPr>
        <w:t xml:space="preserve"> </w:t>
      </w:r>
      <w:r>
        <w:t>del</w:t>
      </w:r>
      <w:r>
        <w:rPr>
          <w:spacing w:val="-14"/>
        </w:rPr>
        <w:t xml:space="preserve"> </w:t>
      </w:r>
      <w:r>
        <w:t>artículo</w:t>
      </w:r>
      <w:r>
        <w:rPr>
          <w:spacing w:val="-12"/>
        </w:rPr>
        <w:t xml:space="preserve"> </w:t>
      </w:r>
      <w:r>
        <w:t>14 de la Ley 2281 de 2023 definió como objeto y competencia de la comisión interpartidista de seguimiento la vigilancia a las facultades excepcionales que</w:t>
      </w:r>
      <w:r>
        <w:rPr>
          <w:spacing w:val="-7"/>
        </w:rPr>
        <w:t xml:space="preserve"> </w:t>
      </w:r>
      <w:r>
        <w:t>en</w:t>
      </w:r>
      <w:r>
        <w:rPr>
          <w:spacing w:val="-8"/>
        </w:rPr>
        <w:t xml:space="preserve"> </w:t>
      </w:r>
      <w:r>
        <w:t>su</w:t>
      </w:r>
      <w:r>
        <w:rPr>
          <w:spacing w:val="-6"/>
        </w:rPr>
        <w:t xml:space="preserve"> </w:t>
      </w:r>
      <w:r>
        <w:t>momento</w:t>
      </w:r>
      <w:r>
        <w:rPr>
          <w:spacing w:val="-5"/>
        </w:rPr>
        <w:t xml:space="preserve"> </w:t>
      </w:r>
      <w:r>
        <w:t>se</w:t>
      </w:r>
      <w:r>
        <w:rPr>
          <w:spacing w:val="-7"/>
        </w:rPr>
        <w:t xml:space="preserve"> </w:t>
      </w:r>
      <w:r>
        <w:t>aprobaron,</w:t>
      </w:r>
      <w:r>
        <w:rPr>
          <w:spacing w:val="-6"/>
        </w:rPr>
        <w:t xml:space="preserve"> </w:t>
      </w:r>
      <w:r>
        <w:t>no</w:t>
      </w:r>
      <w:r>
        <w:rPr>
          <w:spacing w:val="-7"/>
        </w:rPr>
        <w:t xml:space="preserve"> </w:t>
      </w:r>
      <w:r>
        <w:t>se</w:t>
      </w:r>
      <w:r>
        <w:rPr>
          <w:spacing w:val="-7"/>
        </w:rPr>
        <w:t xml:space="preserve"> </w:t>
      </w:r>
      <w:r>
        <w:t>evidencia</w:t>
      </w:r>
      <w:r>
        <w:rPr>
          <w:spacing w:val="-6"/>
        </w:rPr>
        <w:t xml:space="preserve"> </w:t>
      </w:r>
      <w:r>
        <w:t>la</w:t>
      </w:r>
      <w:r>
        <w:rPr>
          <w:spacing w:val="-6"/>
        </w:rPr>
        <w:t xml:space="preserve"> </w:t>
      </w:r>
      <w:r>
        <w:t>necesidad</w:t>
      </w:r>
      <w:r>
        <w:rPr>
          <w:spacing w:val="-6"/>
        </w:rPr>
        <w:t xml:space="preserve"> </w:t>
      </w:r>
      <w:r>
        <w:t>de</w:t>
      </w:r>
      <w:r>
        <w:rPr>
          <w:spacing w:val="-7"/>
        </w:rPr>
        <w:t xml:space="preserve"> </w:t>
      </w:r>
      <w:r>
        <w:t>crear</w:t>
      </w:r>
      <w:r>
        <w:rPr>
          <w:spacing w:val="-7"/>
        </w:rPr>
        <w:t xml:space="preserve"> </w:t>
      </w:r>
      <w:r>
        <w:t>la comisión</w:t>
      </w:r>
      <w:r>
        <w:rPr>
          <w:spacing w:val="-22"/>
        </w:rPr>
        <w:t xml:space="preserve"> </w:t>
      </w:r>
      <w:r>
        <w:t>accidental</w:t>
      </w:r>
      <w:r>
        <w:rPr>
          <w:spacing w:val="-21"/>
        </w:rPr>
        <w:t xml:space="preserve"> </w:t>
      </w:r>
      <w:r>
        <w:t>que</w:t>
      </w:r>
      <w:r>
        <w:rPr>
          <w:spacing w:val="-21"/>
        </w:rPr>
        <w:t xml:space="preserve"> </w:t>
      </w:r>
      <w:r>
        <w:t>haga</w:t>
      </w:r>
      <w:r>
        <w:rPr>
          <w:spacing w:val="-21"/>
        </w:rPr>
        <w:t xml:space="preserve"> </w:t>
      </w:r>
      <w:r>
        <w:t>seguimiento</w:t>
      </w:r>
      <w:r>
        <w:rPr>
          <w:spacing w:val="-21"/>
        </w:rPr>
        <w:t xml:space="preserve"> </w:t>
      </w:r>
      <w:r>
        <w:t>a</w:t>
      </w:r>
      <w:r>
        <w:rPr>
          <w:spacing w:val="-21"/>
        </w:rPr>
        <w:t xml:space="preserve"> </w:t>
      </w:r>
      <w:r>
        <w:t>facultades</w:t>
      </w:r>
      <w:r>
        <w:rPr>
          <w:spacing w:val="-21"/>
        </w:rPr>
        <w:t xml:space="preserve"> </w:t>
      </w:r>
      <w:r>
        <w:t>que</w:t>
      </w:r>
      <w:r>
        <w:rPr>
          <w:spacing w:val="-21"/>
        </w:rPr>
        <w:t xml:space="preserve"> </w:t>
      </w:r>
      <w:r>
        <w:t>no</w:t>
      </w:r>
      <w:r>
        <w:rPr>
          <w:spacing w:val="-21"/>
        </w:rPr>
        <w:t xml:space="preserve"> </w:t>
      </w:r>
      <w:r>
        <w:t>se</w:t>
      </w:r>
      <w:r>
        <w:rPr>
          <w:spacing w:val="-21"/>
        </w:rPr>
        <w:t xml:space="preserve"> </w:t>
      </w:r>
      <w:r>
        <w:t>conceden. En su lugar, se propone ubicar la redacción que hizo el legislador en el parágrafo</w:t>
      </w:r>
      <w:r>
        <w:rPr>
          <w:spacing w:val="-11"/>
        </w:rPr>
        <w:t xml:space="preserve"> </w:t>
      </w:r>
      <w:r>
        <w:t>del</w:t>
      </w:r>
      <w:r>
        <w:rPr>
          <w:spacing w:val="-13"/>
        </w:rPr>
        <w:t xml:space="preserve"> </w:t>
      </w:r>
      <w:r>
        <w:t>artículo</w:t>
      </w:r>
      <w:r>
        <w:rPr>
          <w:spacing w:val="-11"/>
        </w:rPr>
        <w:t xml:space="preserve"> </w:t>
      </w:r>
      <w:r>
        <w:t>14</w:t>
      </w:r>
      <w:r>
        <w:rPr>
          <w:spacing w:val="-11"/>
        </w:rPr>
        <w:t xml:space="preserve"> </w:t>
      </w:r>
      <w:r>
        <w:t>de</w:t>
      </w:r>
      <w:r>
        <w:rPr>
          <w:spacing w:val="-11"/>
        </w:rPr>
        <w:t xml:space="preserve"> </w:t>
      </w:r>
      <w:r>
        <w:t>la</w:t>
      </w:r>
      <w:r>
        <w:rPr>
          <w:spacing w:val="-12"/>
        </w:rPr>
        <w:t xml:space="preserve"> </w:t>
      </w:r>
      <w:r>
        <w:t>Ley</w:t>
      </w:r>
      <w:r>
        <w:rPr>
          <w:spacing w:val="-12"/>
        </w:rPr>
        <w:t xml:space="preserve"> </w:t>
      </w:r>
      <w:r>
        <w:t>2281</w:t>
      </w:r>
      <w:r>
        <w:rPr>
          <w:spacing w:val="-13"/>
        </w:rPr>
        <w:t xml:space="preserve"> </w:t>
      </w:r>
      <w:r>
        <w:t>y</w:t>
      </w:r>
      <w:r>
        <w:rPr>
          <w:spacing w:val="-12"/>
        </w:rPr>
        <w:t xml:space="preserve"> </w:t>
      </w:r>
      <w:r>
        <w:t>definir</w:t>
      </w:r>
      <w:r>
        <w:rPr>
          <w:spacing w:val="-11"/>
        </w:rPr>
        <w:t xml:space="preserve"> </w:t>
      </w:r>
      <w:r>
        <w:t>a</w:t>
      </w:r>
      <w:r>
        <w:rPr>
          <w:spacing w:val="-9"/>
        </w:rPr>
        <w:t xml:space="preserve"> </w:t>
      </w:r>
      <w:r>
        <w:t>las</w:t>
      </w:r>
      <w:r>
        <w:rPr>
          <w:spacing w:val="-12"/>
        </w:rPr>
        <w:t xml:space="preserve"> </w:t>
      </w:r>
      <w:r>
        <w:t>comisiones</w:t>
      </w:r>
      <w:r>
        <w:rPr>
          <w:spacing w:val="-12"/>
        </w:rPr>
        <w:t xml:space="preserve"> </w:t>
      </w:r>
      <w:r>
        <w:t>séptimas de Senado y Cámara como las encargadas de ejercer vigilancia y control sobre</w:t>
      </w:r>
      <w:r>
        <w:rPr>
          <w:spacing w:val="-6"/>
        </w:rPr>
        <w:t xml:space="preserve"> </w:t>
      </w:r>
      <w:r>
        <w:t>el</w:t>
      </w:r>
      <w:r>
        <w:rPr>
          <w:spacing w:val="-9"/>
        </w:rPr>
        <w:t xml:space="preserve"> </w:t>
      </w:r>
      <w:r>
        <w:t>Ministerio</w:t>
      </w:r>
      <w:r>
        <w:rPr>
          <w:spacing w:val="-7"/>
        </w:rPr>
        <w:t xml:space="preserve"> </w:t>
      </w:r>
      <w:r>
        <w:t>de</w:t>
      </w:r>
      <w:r>
        <w:rPr>
          <w:spacing w:val="-7"/>
        </w:rPr>
        <w:t xml:space="preserve"> </w:t>
      </w:r>
      <w:r>
        <w:t>Igualdad</w:t>
      </w:r>
      <w:r>
        <w:rPr>
          <w:spacing w:val="-8"/>
        </w:rPr>
        <w:t xml:space="preserve"> </w:t>
      </w:r>
      <w:r>
        <w:t>y</w:t>
      </w:r>
      <w:r>
        <w:rPr>
          <w:spacing w:val="-6"/>
        </w:rPr>
        <w:t xml:space="preserve"> </w:t>
      </w:r>
      <w:r>
        <w:t>Equidad,</w:t>
      </w:r>
      <w:r>
        <w:rPr>
          <w:spacing w:val="-9"/>
        </w:rPr>
        <w:t xml:space="preserve"> </w:t>
      </w:r>
      <w:r>
        <w:t>ya</w:t>
      </w:r>
      <w:r>
        <w:rPr>
          <w:spacing w:val="-6"/>
        </w:rPr>
        <w:t xml:space="preserve"> </w:t>
      </w:r>
      <w:r>
        <w:t>que</w:t>
      </w:r>
      <w:r>
        <w:rPr>
          <w:spacing w:val="-7"/>
        </w:rPr>
        <w:t xml:space="preserve"> </w:t>
      </w:r>
      <w:r>
        <w:t>el</w:t>
      </w:r>
      <w:r>
        <w:rPr>
          <w:spacing w:val="-9"/>
        </w:rPr>
        <w:t xml:space="preserve"> </w:t>
      </w:r>
      <w:r>
        <w:t>objeto,</w:t>
      </w:r>
      <w:r>
        <w:rPr>
          <w:spacing w:val="-6"/>
        </w:rPr>
        <w:t xml:space="preserve"> </w:t>
      </w:r>
      <w:r>
        <w:t>las</w:t>
      </w:r>
      <w:r>
        <w:rPr>
          <w:spacing w:val="-8"/>
        </w:rPr>
        <w:t xml:space="preserve"> </w:t>
      </w:r>
      <w:r>
        <w:t>funciones</w:t>
      </w:r>
      <w:r>
        <w:rPr>
          <w:spacing w:val="-8"/>
        </w:rPr>
        <w:t xml:space="preserve"> </w:t>
      </w:r>
      <w:r>
        <w:t xml:space="preserve">y el ámbito de competencias de la cartera coinciden con los temas constitucionales endilgados a esa comisión por el artículo 2 de la Ley 3 de </w:t>
      </w:r>
      <w:r>
        <w:rPr>
          <w:spacing w:val="-2"/>
        </w:rPr>
        <w:t>1992.</w:t>
      </w:r>
    </w:p>
    <w:p w14:paraId="4403A815" w14:textId="77777777" w:rsidR="000E52B0" w:rsidRDefault="00F60D74">
      <w:pPr>
        <w:pStyle w:val="Prrafodelista"/>
        <w:numPr>
          <w:ilvl w:val="0"/>
          <w:numId w:val="27"/>
        </w:numPr>
        <w:tabs>
          <w:tab w:val="left" w:pos="1440"/>
        </w:tabs>
        <w:spacing w:before="161"/>
        <w:rPr>
          <w:sz w:val="24"/>
        </w:rPr>
      </w:pPr>
      <w:r>
        <w:rPr>
          <w:sz w:val="24"/>
        </w:rPr>
        <w:t>Se</w:t>
      </w:r>
      <w:r>
        <w:rPr>
          <w:spacing w:val="-5"/>
          <w:sz w:val="24"/>
        </w:rPr>
        <w:t xml:space="preserve"> </w:t>
      </w:r>
      <w:r>
        <w:rPr>
          <w:sz w:val="24"/>
        </w:rPr>
        <w:t>propone</w:t>
      </w:r>
      <w:r>
        <w:rPr>
          <w:spacing w:val="-3"/>
          <w:sz w:val="24"/>
        </w:rPr>
        <w:t xml:space="preserve"> </w:t>
      </w:r>
      <w:r>
        <w:rPr>
          <w:sz w:val="24"/>
        </w:rPr>
        <w:t>modificar</w:t>
      </w:r>
      <w:r>
        <w:rPr>
          <w:spacing w:val="-3"/>
          <w:sz w:val="24"/>
        </w:rPr>
        <w:t xml:space="preserve"> </w:t>
      </w:r>
      <w:r>
        <w:rPr>
          <w:sz w:val="24"/>
        </w:rPr>
        <w:t>el</w:t>
      </w:r>
      <w:r>
        <w:rPr>
          <w:spacing w:val="-4"/>
          <w:sz w:val="24"/>
        </w:rPr>
        <w:t xml:space="preserve"> </w:t>
      </w:r>
      <w:r>
        <w:rPr>
          <w:sz w:val="24"/>
        </w:rPr>
        <w:t>objeto</w:t>
      </w:r>
      <w:r>
        <w:rPr>
          <w:spacing w:val="-1"/>
          <w:sz w:val="24"/>
        </w:rPr>
        <w:t xml:space="preserve"> </w:t>
      </w:r>
      <w:r>
        <w:rPr>
          <w:sz w:val="24"/>
        </w:rPr>
        <w:t>del</w:t>
      </w:r>
      <w:r>
        <w:rPr>
          <w:spacing w:val="-4"/>
          <w:sz w:val="24"/>
        </w:rPr>
        <w:t xml:space="preserve"> </w:t>
      </w:r>
      <w:r>
        <w:rPr>
          <w:sz w:val="24"/>
        </w:rPr>
        <w:t>sistema</w:t>
      </w:r>
      <w:r>
        <w:rPr>
          <w:spacing w:val="-3"/>
          <w:sz w:val="24"/>
        </w:rPr>
        <w:t xml:space="preserve"> </w:t>
      </w:r>
      <w:r>
        <w:rPr>
          <w:sz w:val="24"/>
        </w:rPr>
        <w:t>nacional</w:t>
      </w:r>
      <w:r>
        <w:rPr>
          <w:spacing w:val="-3"/>
          <w:sz w:val="24"/>
        </w:rPr>
        <w:t xml:space="preserve"> </w:t>
      </w:r>
      <w:r>
        <w:rPr>
          <w:sz w:val="24"/>
        </w:rPr>
        <w:t>de</w:t>
      </w:r>
      <w:r>
        <w:rPr>
          <w:spacing w:val="-2"/>
          <w:sz w:val="24"/>
        </w:rPr>
        <w:t xml:space="preserve"> cuidado.</w:t>
      </w:r>
    </w:p>
    <w:p w14:paraId="5B54133B" w14:textId="77777777" w:rsidR="000E52B0" w:rsidRDefault="00F60D74">
      <w:pPr>
        <w:pStyle w:val="Prrafodelista"/>
        <w:numPr>
          <w:ilvl w:val="0"/>
          <w:numId w:val="27"/>
        </w:numPr>
        <w:tabs>
          <w:tab w:val="left" w:pos="1440"/>
        </w:tabs>
        <w:spacing w:before="289"/>
        <w:ind w:right="361"/>
        <w:jc w:val="both"/>
        <w:rPr>
          <w:sz w:val="24"/>
        </w:rPr>
      </w:pPr>
      <w:r>
        <w:rPr>
          <w:sz w:val="24"/>
        </w:rPr>
        <w:t>Se propone un artículo nuevo que brinde seguridad jurídica a los actos</w:t>
      </w:r>
      <w:r>
        <w:rPr>
          <w:spacing w:val="-22"/>
          <w:sz w:val="24"/>
        </w:rPr>
        <w:t xml:space="preserve"> </w:t>
      </w:r>
      <w:r>
        <w:rPr>
          <w:sz w:val="24"/>
        </w:rPr>
        <w:t>y</w:t>
      </w:r>
      <w:r>
        <w:rPr>
          <w:spacing w:val="-21"/>
          <w:sz w:val="24"/>
        </w:rPr>
        <w:t xml:space="preserve"> </w:t>
      </w:r>
      <w:r>
        <w:rPr>
          <w:sz w:val="24"/>
        </w:rPr>
        <w:t>negocios</w:t>
      </w:r>
      <w:r>
        <w:rPr>
          <w:spacing w:val="-21"/>
          <w:sz w:val="24"/>
        </w:rPr>
        <w:t xml:space="preserve"> </w:t>
      </w:r>
      <w:r>
        <w:rPr>
          <w:sz w:val="24"/>
        </w:rPr>
        <w:t>jurídicos</w:t>
      </w:r>
      <w:r>
        <w:rPr>
          <w:spacing w:val="-21"/>
          <w:sz w:val="24"/>
        </w:rPr>
        <w:t xml:space="preserve"> </w:t>
      </w:r>
      <w:r>
        <w:rPr>
          <w:sz w:val="24"/>
        </w:rPr>
        <w:t>que</w:t>
      </w:r>
      <w:r>
        <w:rPr>
          <w:spacing w:val="-21"/>
          <w:sz w:val="24"/>
        </w:rPr>
        <w:t xml:space="preserve"> </w:t>
      </w:r>
      <w:r>
        <w:rPr>
          <w:sz w:val="24"/>
        </w:rPr>
        <w:t>ha</w:t>
      </w:r>
      <w:r>
        <w:rPr>
          <w:spacing w:val="-21"/>
          <w:sz w:val="24"/>
        </w:rPr>
        <w:t xml:space="preserve"> </w:t>
      </w:r>
      <w:r>
        <w:rPr>
          <w:sz w:val="24"/>
        </w:rPr>
        <w:t>adelantado</w:t>
      </w:r>
      <w:r>
        <w:rPr>
          <w:spacing w:val="-21"/>
          <w:sz w:val="24"/>
        </w:rPr>
        <w:t xml:space="preserve"> </w:t>
      </w:r>
      <w:r>
        <w:rPr>
          <w:sz w:val="24"/>
        </w:rPr>
        <w:t>el</w:t>
      </w:r>
      <w:r>
        <w:rPr>
          <w:spacing w:val="-21"/>
          <w:sz w:val="24"/>
        </w:rPr>
        <w:t xml:space="preserve"> </w:t>
      </w:r>
      <w:r>
        <w:rPr>
          <w:sz w:val="24"/>
        </w:rPr>
        <w:t>Ministerio</w:t>
      </w:r>
      <w:r>
        <w:rPr>
          <w:spacing w:val="-20"/>
          <w:sz w:val="24"/>
        </w:rPr>
        <w:t xml:space="preserve"> </w:t>
      </w:r>
      <w:r>
        <w:rPr>
          <w:sz w:val="24"/>
        </w:rPr>
        <w:t>de</w:t>
      </w:r>
      <w:r>
        <w:rPr>
          <w:spacing w:val="-21"/>
          <w:sz w:val="24"/>
        </w:rPr>
        <w:t xml:space="preserve"> </w:t>
      </w:r>
      <w:r>
        <w:rPr>
          <w:sz w:val="24"/>
        </w:rPr>
        <w:t>Igualdad y Equidad durante la vigencia de la Ley 2281 de 2023.</w:t>
      </w:r>
    </w:p>
    <w:p w14:paraId="4372A3F6" w14:textId="77777777" w:rsidR="000E52B0" w:rsidRDefault="00F60D74">
      <w:pPr>
        <w:pStyle w:val="Textoindependiente"/>
        <w:spacing w:before="158"/>
        <w:ind w:right="356"/>
        <w:jc w:val="both"/>
      </w:pPr>
      <w:r>
        <w:t>El Ministerio de Igualdad y Equidad tiene personería</w:t>
      </w:r>
      <w:r>
        <w:rPr>
          <w:spacing w:val="-1"/>
        </w:rPr>
        <w:t xml:space="preserve"> </w:t>
      </w:r>
      <w:r>
        <w:t>jurídica</w:t>
      </w:r>
      <w:r>
        <w:rPr>
          <w:spacing w:val="-1"/>
        </w:rPr>
        <w:t xml:space="preserve"> </w:t>
      </w:r>
      <w:r>
        <w:t>con</w:t>
      </w:r>
      <w:r>
        <w:rPr>
          <w:spacing w:val="-1"/>
        </w:rPr>
        <w:t xml:space="preserve"> </w:t>
      </w:r>
      <w:r>
        <w:t>ocasión</w:t>
      </w:r>
      <w:r>
        <w:rPr>
          <w:spacing w:val="-1"/>
        </w:rPr>
        <w:t xml:space="preserve"> </w:t>
      </w:r>
      <w:r>
        <w:t>a la Ley 2281 de 2023 que lo creó, una persona jurídica nueva que no tuvo una</w:t>
      </w:r>
      <w:r>
        <w:rPr>
          <w:spacing w:val="-8"/>
        </w:rPr>
        <w:t xml:space="preserve"> </w:t>
      </w:r>
      <w:r>
        <w:t>escisión</w:t>
      </w:r>
      <w:r>
        <w:rPr>
          <w:spacing w:val="-8"/>
        </w:rPr>
        <w:t xml:space="preserve"> </w:t>
      </w:r>
      <w:r>
        <w:t>o</w:t>
      </w:r>
      <w:r>
        <w:rPr>
          <w:spacing w:val="-7"/>
        </w:rPr>
        <w:t xml:space="preserve"> </w:t>
      </w:r>
      <w:r>
        <w:t>fusión</w:t>
      </w:r>
      <w:r>
        <w:rPr>
          <w:spacing w:val="-8"/>
        </w:rPr>
        <w:t xml:space="preserve"> </w:t>
      </w:r>
      <w:r>
        <w:t>de</w:t>
      </w:r>
      <w:r>
        <w:rPr>
          <w:spacing w:val="-7"/>
        </w:rPr>
        <w:t xml:space="preserve"> </w:t>
      </w:r>
      <w:r>
        <w:t>otras</w:t>
      </w:r>
      <w:r>
        <w:rPr>
          <w:spacing w:val="-7"/>
        </w:rPr>
        <w:t xml:space="preserve"> </w:t>
      </w:r>
      <w:r>
        <w:t>personas</w:t>
      </w:r>
      <w:r>
        <w:rPr>
          <w:spacing w:val="-8"/>
        </w:rPr>
        <w:t xml:space="preserve"> </w:t>
      </w:r>
      <w:r>
        <w:t>jurídicas</w:t>
      </w:r>
      <w:r>
        <w:rPr>
          <w:spacing w:val="-8"/>
        </w:rPr>
        <w:t xml:space="preserve"> </w:t>
      </w:r>
      <w:r>
        <w:t>y,</w:t>
      </w:r>
      <w:r>
        <w:rPr>
          <w:spacing w:val="-9"/>
        </w:rPr>
        <w:t xml:space="preserve"> </w:t>
      </w:r>
      <w:r>
        <w:t>en</w:t>
      </w:r>
      <w:r>
        <w:rPr>
          <w:spacing w:val="-8"/>
        </w:rPr>
        <w:t xml:space="preserve"> </w:t>
      </w:r>
      <w:r>
        <w:t>vigencia</w:t>
      </w:r>
      <w:r>
        <w:rPr>
          <w:spacing w:val="-8"/>
        </w:rPr>
        <w:t xml:space="preserve"> </w:t>
      </w:r>
      <w:r>
        <w:t>de</w:t>
      </w:r>
      <w:r>
        <w:rPr>
          <w:spacing w:val="-7"/>
        </w:rPr>
        <w:t xml:space="preserve"> </w:t>
      </w:r>
      <w:r>
        <w:t>esa</w:t>
      </w:r>
      <w:r>
        <w:rPr>
          <w:spacing w:val="-8"/>
        </w:rPr>
        <w:t xml:space="preserve"> </w:t>
      </w:r>
      <w:r>
        <w:t>Ley, se han adelantado las gestiones necesarias para la consolidación de la persona</w:t>
      </w:r>
      <w:r>
        <w:rPr>
          <w:spacing w:val="-16"/>
        </w:rPr>
        <w:t xml:space="preserve"> </w:t>
      </w:r>
      <w:r>
        <w:t>jurídica</w:t>
      </w:r>
      <w:r>
        <w:rPr>
          <w:spacing w:val="-16"/>
        </w:rPr>
        <w:t xml:space="preserve"> </w:t>
      </w:r>
      <w:r>
        <w:t>del</w:t>
      </w:r>
      <w:r>
        <w:rPr>
          <w:spacing w:val="-17"/>
        </w:rPr>
        <w:t xml:space="preserve"> </w:t>
      </w:r>
      <w:r>
        <w:t>Ministerio</w:t>
      </w:r>
      <w:r>
        <w:rPr>
          <w:spacing w:val="-15"/>
        </w:rPr>
        <w:t xml:space="preserve"> </w:t>
      </w:r>
      <w:r>
        <w:t>y</w:t>
      </w:r>
      <w:r>
        <w:rPr>
          <w:spacing w:val="-16"/>
        </w:rPr>
        <w:t xml:space="preserve"> </w:t>
      </w:r>
      <w:r>
        <w:t>se</w:t>
      </w:r>
      <w:r>
        <w:rPr>
          <w:spacing w:val="-15"/>
        </w:rPr>
        <w:t xml:space="preserve"> </w:t>
      </w:r>
      <w:r>
        <w:t>han</w:t>
      </w:r>
      <w:r>
        <w:rPr>
          <w:spacing w:val="-17"/>
        </w:rPr>
        <w:t xml:space="preserve"> </w:t>
      </w:r>
      <w:r>
        <w:t>celebrado</w:t>
      </w:r>
      <w:r>
        <w:rPr>
          <w:spacing w:val="-15"/>
        </w:rPr>
        <w:t xml:space="preserve"> </w:t>
      </w:r>
      <w:r>
        <w:t>actos</w:t>
      </w:r>
      <w:r>
        <w:rPr>
          <w:spacing w:val="-16"/>
        </w:rPr>
        <w:t xml:space="preserve"> </w:t>
      </w:r>
      <w:r>
        <w:t>y</w:t>
      </w:r>
      <w:r>
        <w:rPr>
          <w:spacing w:val="-16"/>
        </w:rPr>
        <w:t xml:space="preserve"> </w:t>
      </w:r>
      <w:r>
        <w:t>negocios</w:t>
      </w:r>
      <w:r>
        <w:rPr>
          <w:spacing w:val="-16"/>
        </w:rPr>
        <w:t xml:space="preserve"> </w:t>
      </w:r>
      <w:r>
        <w:t>jurídicos que</w:t>
      </w:r>
      <w:r>
        <w:rPr>
          <w:spacing w:val="-8"/>
        </w:rPr>
        <w:t xml:space="preserve"> </w:t>
      </w:r>
      <w:r>
        <w:t>podrían</w:t>
      </w:r>
      <w:r>
        <w:rPr>
          <w:spacing w:val="-7"/>
        </w:rPr>
        <w:t xml:space="preserve"> </w:t>
      </w:r>
      <w:r>
        <w:t>comprometer</w:t>
      </w:r>
      <w:r>
        <w:rPr>
          <w:spacing w:val="-8"/>
        </w:rPr>
        <w:t xml:space="preserve"> </w:t>
      </w:r>
      <w:r>
        <w:t>su</w:t>
      </w:r>
      <w:r>
        <w:rPr>
          <w:spacing w:val="-10"/>
        </w:rPr>
        <w:t xml:space="preserve"> </w:t>
      </w:r>
      <w:r>
        <w:t>legalidad,</w:t>
      </w:r>
      <w:r>
        <w:rPr>
          <w:spacing w:val="-7"/>
        </w:rPr>
        <w:t xml:space="preserve"> </w:t>
      </w:r>
      <w:r>
        <w:t>si</w:t>
      </w:r>
      <w:r>
        <w:rPr>
          <w:spacing w:val="-10"/>
        </w:rPr>
        <w:t xml:space="preserve"> </w:t>
      </w:r>
      <w:r>
        <w:t>no</w:t>
      </w:r>
      <w:r>
        <w:rPr>
          <w:spacing w:val="-8"/>
        </w:rPr>
        <w:t xml:space="preserve"> </w:t>
      </w:r>
      <w:r>
        <w:t>se</w:t>
      </w:r>
      <w:r>
        <w:rPr>
          <w:spacing w:val="-8"/>
        </w:rPr>
        <w:t xml:space="preserve"> </w:t>
      </w:r>
      <w:r>
        <w:t>garantiza</w:t>
      </w:r>
      <w:r>
        <w:rPr>
          <w:spacing w:val="-8"/>
        </w:rPr>
        <w:t xml:space="preserve"> </w:t>
      </w:r>
      <w:r>
        <w:t>la</w:t>
      </w:r>
      <w:r>
        <w:rPr>
          <w:spacing w:val="-7"/>
        </w:rPr>
        <w:t xml:space="preserve"> </w:t>
      </w:r>
      <w:r>
        <w:t>no</w:t>
      </w:r>
      <w:r>
        <w:rPr>
          <w:spacing w:val="-8"/>
        </w:rPr>
        <w:t xml:space="preserve"> </w:t>
      </w:r>
      <w:r>
        <w:t>solución</w:t>
      </w:r>
      <w:r>
        <w:rPr>
          <w:spacing w:val="-9"/>
        </w:rPr>
        <w:t xml:space="preserve"> </w:t>
      </w:r>
      <w:r>
        <w:t>de continuidad</w:t>
      </w:r>
      <w:r>
        <w:rPr>
          <w:spacing w:val="-2"/>
        </w:rPr>
        <w:t xml:space="preserve"> </w:t>
      </w:r>
      <w:r>
        <w:t>de</w:t>
      </w:r>
      <w:r>
        <w:rPr>
          <w:spacing w:val="-1"/>
        </w:rPr>
        <w:t xml:space="preserve"> </w:t>
      </w:r>
      <w:r>
        <w:t>la</w:t>
      </w:r>
      <w:r>
        <w:rPr>
          <w:spacing w:val="-2"/>
        </w:rPr>
        <w:t xml:space="preserve"> </w:t>
      </w:r>
      <w:r>
        <w:t>persona</w:t>
      </w:r>
      <w:r>
        <w:rPr>
          <w:spacing w:val="-2"/>
        </w:rPr>
        <w:t xml:space="preserve"> </w:t>
      </w:r>
      <w:r>
        <w:t>jurídica</w:t>
      </w:r>
      <w:r>
        <w:rPr>
          <w:spacing w:val="-2"/>
        </w:rPr>
        <w:t xml:space="preserve"> </w:t>
      </w:r>
      <w:r>
        <w:t>del</w:t>
      </w:r>
      <w:r>
        <w:rPr>
          <w:spacing w:val="-3"/>
        </w:rPr>
        <w:t xml:space="preserve"> </w:t>
      </w:r>
      <w:r>
        <w:t>Ministerio,</w:t>
      </w:r>
      <w:r>
        <w:rPr>
          <w:spacing w:val="-3"/>
        </w:rPr>
        <w:t xml:space="preserve"> </w:t>
      </w:r>
      <w:r>
        <w:t>tal</w:t>
      </w:r>
      <w:r>
        <w:rPr>
          <w:spacing w:val="-3"/>
        </w:rPr>
        <w:t xml:space="preserve"> </w:t>
      </w:r>
      <w:r>
        <w:t>y</w:t>
      </w:r>
      <w:r>
        <w:rPr>
          <w:spacing w:val="-2"/>
        </w:rPr>
        <w:t xml:space="preserve"> </w:t>
      </w:r>
      <w:r>
        <w:t>como</w:t>
      </w:r>
      <w:r>
        <w:rPr>
          <w:spacing w:val="-1"/>
        </w:rPr>
        <w:t xml:space="preserve"> </w:t>
      </w:r>
      <w:r>
        <w:t>lo</w:t>
      </w:r>
      <w:r>
        <w:rPr>
          <w:spacing w:val="-1"/>
        </w:rPr>
        <w:t xml:space="preserve"> </w:t>
      </w:r>
      <w:r>
        <w:t>garantiza</w:t>
      </w:r>
      <w:r>
        <w:rPr>
          <w:spacing w:val="-1"/>
        </w:rPr>
        <w:t xml:space="preserve"> </w:t>
      </w:r>
      <w:r>
        <w:t>la legislación colombiana cuando ocurren transformaciones o reformas del contrato</w:t>
      </w:r>
      <w:r>
        <w:rPr>
          <w:spacing w:val="-13"/>
        </w:rPr>
        <w:t xml:space="preserve"> </w:t>
      </w:r>
      <w:r>
        <w:t>social</w:t>
      </w:r>
      <w:r>
        <w:rPr>
          <w:spacing w:val="-15"/>
        </w:rPr>
        <w:t xml:space="preserve"> </w:t>
      </w:r>
      <w:r>
        <w:t>de</w:t>
      </w:r>
      <w:r>
        <w:rPr>
          <w:spacing w:val="-13"/>
        </w:rPr>
        <w:t xml:space="preserve"> </w:t>
      </w:r>
      <w:r>
        <w:t>una</w:t>
      </w:r>
      <w:r>
        <w:rPr>
          <w:spacing w:val="-14"/>
        </w:rPr>
        <w:t xml:space="preserve"> </w:t>
      </w:r>
      <w:r>
        <w:t>sociedad,</w:t>
      </w:r>
      <w:r>
        <w:rPr>
          <w:spacing w:val="-14"/>
        </w:rPr>
        <w:t xml:space="preserve"> </w:t>
      </w:r>
      <w:r>
        <w:t>en</w:t>
      </w:r>
      <w:r>
        <w:rPr>
          <w:spacing w:val="-14"/>
        </w:rPr>
        <w:t xml:space="preserve"> </w:t>
      </w:r>
      <w:r>
        <w:t>los</w:t>
      </w:r>
      <w:r>
        <w:rPr>
          <w:spacing w:val="-13"/>
        </w:rPr>
        <w:t xml:space="preserve"> </w:t>
      </w:r>
      <w:r>
        <w:t>términos</w:t>
      </w:r>
      <w:r>
        <w:rPr>
          <w:spacing w:val="-14"/>
        </w:rPr>
        <w:t xml:space="preserve"> </w:t>
      </w:r>
      <w:r>
        <w:t>del</w:t>
      </w:r>
      <w:r>
        <w:rPr>
          <w:spacing w:val="-15"/>
        </w:rPr>
        <w:t xml:space="preserve"> </w:t>
      </w:r>
      <w:r>
        <w:t>artículo</w:t>
      </w:r>
      <w:r>
        <w:rPr>
          <w:spacing w:val="-11"/>
        </w:rPr>
        <w:t xml:space="preserve"> </w:t>
      </w:r>
      <w:r>
        <w:t>167</w:t>
      </w:r>
      <w:r>
        <w:rPr>
          <w:spacing w:val="-13"/>
        </w:rPr>
        <w:t xml:space="preserve"> </w:t>
      </w:r>
      <w:r>
        <w:t>del</w:t>
      </w:r>
      <w:r>
        <w:rPr>
          <w:spacing w:val="-15"/>
        </w:rPr>
        <w:t xml:space="preserve"> </w:t>
      </w:r>
      <w:r>
        <w:t>Código de Comercio.</w:t>
      </w:r>
    </w:p>
    <w:p w14:paraId="2008F2EE" w14:textId="77777777" w:rsidR="000E52B0" w:rsidRDefault="00F60D74">
      <w:pPr>
        <w:pStyle w:val="Textoindependiente"/>
        <w:spacing w:before="160"/>
        <w:ind w:right="367"/>
        <w:jc w:val="both"/>
      </w:pPr>
      <w:r>
        <w:t>A continuación, se relaciona el pliego de modificaciones de la Ley 2281 de 2023, respecto el articulado propuesto al Congreso de la República.</w:t>
      </w:r>
    </w:p>
    <w:p w14:paraId="125C50C8" w14:textId="77777777" w:rsidR="000E52B0" w:rsidRDefault="000E52B0">
      <w:pPr>
        <w:pStyle w:val="Textoindependiente"/>
        <w:jc w:val="both"/>
        <w:sectPr w:rsidR="000E52B0">
          <w:pgSz w:w="11910" w:h="16840"/>
          <w:pgMar w:top="1340" w:right="1080" w:bottom="1180" w:left="720" w:header="0" w:footer="995" w:gutter="0"/>
          <w:cols w:space="720"/>
        </w:sectPr>
      </w:pPr>
    </w:p>
    <w:p w14:paraId="7A93C498" w14:textId="77777777" w:rsidR="000E52B0" w:rsidRDefault="00F60D74">
      <w:pPr>
        <w:spacing w:before="95"/>
        <w:ind w:left="358"/>
        <w:jc w:val="center"/>
        <w:rPr>
          <w:b/>
          <w:sz w:val="24"/>
        </w:rPr>
      </w:pPr>
      <w:r>
        <w:rPr>
          <w:b/>
          <w:sz w:val="24"/>
        </w:rPr>
        <w:lastRenderedPageBreak/>
        <w:t>PLIEGO</w:t>
      </w:r>
      <w:r>
        <w:rPr>
          <w:b/>
          <w:spacing w:val="-5"/>
          <w:sz w:val="24"/>
        </w:rPr>
        <w:t xml:space="preserve"> </w:t>
      </w:r>
      <w:r>
        <w:rPr>
          <w:b/>
          <w:sz w:val="24"/>
        </w:rPr>
        <w:t>DE</w:t>
      </w:r>
      <w:r>
        <w:rPr>
          <w:b/>
          <w:spacing w:val="-3"/>
          <w:sz w:val="24"/>
        </w:rPr>
        <w:t xml:space="preserve"> </w:t>
      </w:r>
      <w:r>
        <w:rPr>
          <w:b/>
          <w:sz w:val="24"/>
        </w:rPr>
        <w:t>MODIFICACIONES</w:t>
      </w:r>
      <w:r>
        <w:rPr>
          <w:b/>
          <w:spacing w:val="-3"/>
          <w:sz w:val="24"/>
        </w:rPr>
        <w:t xml:space="preserve"> </w:t>
      </w:r>
      <w:r>
        <w:rPr>
          <w:b/>
          <w:sz w:val="24"/>
        </w:rPr>
        <w:t>LEY</w:t>
      </w:r>
      <w:r>
        <w:rPr>
          <w:b/>
          <w:spacing w:val="-2"/>
          <w:sz w:val="24"/>
        </w:rPr>
        <w:t xml:space="preserve"> </w:t>
      </w:r>
      <w:r>
        <w:rPr>
          <w:b/>
          <w:sz w:val="24"/>
        </w:rPr>
        <w:t>2281</w:t>
      </w:r>
      <w:r>
        <w:rPr>
          <w:b/>
          <w:spacing w:val="-3"/>
          <w:sz w:val="24"/>
        </w:rPr>
        <w:t xml:space="preserve"> </w:t>
      </w:r>
      <w:r>
        <w:rPr>
          <w:b/>
          <w:sz w:val="24"/>
        </w:rPr>
        <w:t>DE</w:t>
      </w:r>
      <w:r>
        <w:rPr>
          <w:b/>
          <w:spacing w:val="-2"/>
          <w:sz w:val="24"/>
        </w:rPr>
        <w:t xml:space="preserve"> </w:t>
      </w:r>
      <w:r>
        <w:rPr>
          <w:b/>
          <w:sz w:val="24"/>
        </w:rPr>
        <w:t>2023</w:t>
      </w:r>
      <w:r>
        <w:rPr>
          <w:b/>
          <w:spacing w:val="-1"/>
          <w:sz w:val="24"/>
        </w:rPr>
        <w:t xml:space="preserve"> </w:t>
      </w:r>
      <w:r>
        <w:rPr>
          <w:b/>
          <w:sz w:val="24"/>
        </w:rPr>
        <w:t>VS</w:t>
      </w:r>
      <w:r>
        <w:rPr>
          <w:b/>
          <w:spacing w:val="-1"/>
          <w:sz w:val="24"/>
        </w:rPr>
        <w:t xml:space="preserve"> </w:t>
      </w:r>
      <w:r>
        <w:rPr>
          <w:b/>
          <w:sz w:val="24"/>
        </w:rPr>
        <w:t>NUEVO</w:t>
      </w:r>
      <w:r>
        <w:rPr>
          <w:b/>
          <w:spacing w:val="-2"/>
          <w:sz w:val="24"/>
        </w:rPr>
        <w:t xml:space="preserve"> </w:t>
      </w:r>
      <w:r>
        <w:rPr>
          <w:b/>
          <w:sz w:val="24"/>
        </w:rPr>
        <w:t>PROYECTO</w:t>
      </w:r>
      <w:r>
        <w:rPr>
          <w:b/>
          <w:spacing w:val="-2"/>
          <w:sz w:val="24"/>
        </w:rPr>
        <w:t xml:space="preserve"> </w:t>
      </w:r>
      <w:r>
        <w:rPr>
          <w:b/>
          <w:sz w:val="24"/>
        </w:rPr>
        <w:t>DE</w:t>
      </w:r>
      <w:r>
        <w:rPr>
          <w:b/>
          <w:spacing w:val="-3"/>
          <w:sz w:val="24"/>
        </w:rPr>
        <w:t xml:space="preserve"> </w:t>
      </w:r>
      <w:r>
        <w:rPr>
          <w:b/>
          <w:spacing w:val="-5"/>
          <w:sz w:val="24"/>
        </w:rPr>
        <w:t>LEY</w:t>
      </w:r>
    </w:p>
    <w:p w14:paraId="11EA076A" w14:textId="77777777" w:rsidR="000E52B0" w:rsidRDefault="000E52B0">
      <w:pPr>
        <w:pStyle w:val="Textoindependiente"/>
        <w:spacing w:before="47"/>
        <w:ind w:left="0"/>
        <w:rPr>
          <w:b/>
          <w:sz w:val="20"/>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12"/>
        <w:gridCol w:w="4723"/>
        <w:gridCol w:w="3809"/>
      </w:tblGrid>
      <w:tr w:rsidR="000E52B0" w14:paraId="4FD5F11C" w14:textId="77777777">
        <w:trPr>
          <w:trHeight w:val="299"/>
        </w:trPr>
        <w:tc>
          <w:tcPr>
            <w:tcW w:w="4712" w:type="dxa"/>
            <w:shd w:val="clear" w:color="auto" w:fill="E8E8E8"/>
          </w:tcPr>
          <w:p w14:paraId="5A2B1B4A" w14:textId="77777777" w:rsidR="000E52B0" w:rsidRDefault="00F60D74">
            <w:pPr>
              <w:pStyle w:val="TableParagraph"/>
              <w:spacing w:before="29"/>
              <w:ind w:left="564"/>
              <w:rPr>
                <w:b/>
                <w:sz w:val="20"/>
              </w:rPr>
            </w:pPr>
            <w:r>
              <w:rPr>
                <w:b/>
                <w:sz w:val="20"/>
              </w:rPr>
              <w:t>TEXTO</w:t>
            </w:r>
            <w:r>
              <w:rPr>
                <w:b/>
                <w:spacing w:val="-8"/>
                <w:sz w:val="20"/>
              </w:rPr>
              <w:t xml:space="preserve"> </w:t>
            </w:r>
            <w:r>
              <w:rPr>
                <w:b/>
                <w:sz w:val="20"/>
              </w:rPr>
              <w:t>DE</w:t>
            </w:r>
            <w:r>
              <w:rPr>
                <w:b/>
                <w:spacing w:val="-5"/>
                <w:sz w:val="20"/>
              </w:rPr>
              <w:t xml:space="preserve"> </w:t>
            </w:r>
            <w:r>
              <w:rPr>
                <w:b/>
                <w:sz w:val="20"/>
              </w:rPr>
              <w:t>LA</w:t>
            </w:r>
            <w:r>
              <w:rPr>
                <w:b/>
                <w:spacing w:val="-5"/>
                <w:sz w:val="20"/>
              </w:rPr>
              <w:t xml:space="preserve"> </w:t>
            </w:r>
            <w:r>
              <w:rPr>
                <w:b/>
                <w:sz w:val="20"/>
              </w:rPr>
              <w:t>LEY</w:t>
            </w:r>
            <w:r>
              <w:rPr>
                <w:b/>
                <w:spacing w:val="-5"/>
                <w:sz w:val="20"/>
              </w:rPr>
              <w:t xml:space="preserve"> </w:t>
            </w:r>
            <w:r>
              <w:rPr>
                <w:b/>
                <w:sz w:val="20"/>
              </w:rPr>
              <w:t>2281</w:t>
            </w:r>
            <w:r>
              <w:rPr>
                <w:b/>
                <w:spacing w:val="-6"/>
                <w:sz w:val="20"/>
              </w:rPr>
              <w:t xml:space="preserve"> </w:t>
            </w:r>
            <w:r>
              <w:rPr>
                <w:b/>
                <w:sz w:val="20"/>
              </w:rPr>
              <w:t>DE</w:t>
            </w:r>
            <w:r>
              <w:rPr>
                <w:b/>
                <w:spacing w:val="-3"/>
                <w:sz w:val="20"/>
              </w:rPr>
              <w:t xml:space="preserve"> </w:t>
            </w:r>
            <w:r>
              <w:rPr>
                <w:b/>
                <w:spacing w:val="-4"/>
                <w:sz w:val="20"/>
              </w:rPr>
              <w:t>2023</w:t>
            </w:r>
          </w:p>
        </w:tc>
        <w:tc>
          <w:tcPr>
            <w:tcW w:w="4723" w:type="dxa"/>
            <w:shd w:val="clear" w:color="auto" w:fill="E8E8E8"/>
          </w:tcPr>
          <w:p w14:paraId="42C2BF0C" w14:textId="77777777" w:rsidR="000E52B0" w:rsidRDefault="00F60D74">
            <w:pPr>
              <w:pStyle w:val="TableParagraph"/>
              <w:spacing w:before="29"/>
              <w:ind w:left="1279"/>
              <w:rPr>
                <w:b/>
                <w:sz w:val="20"/>
              </w:rPr>
            </w:pPr>
            <w:r>
              <w:rPr>
                <w:b/>
                <w:sz w:val="20"/>
              </w:rPr>
              <w:t>TEXTO</w:t>
            </w:r>
            <w:r>
              <w:rPr>
                <w:b/>
                <w:spacing w:val="-10"/>
                <w:sz w:val="20"/>
              </w:rPr>
              <w:t xml:space="preserve"> </w:t>
            </w:r>
            <w:r>
              <w:rPr>
                <w:b/>
                <w:spacing w:val="-2"/>
                <w:sz w:val="20"/>
              </w:rPr>
              <w:t>PROPUESTO</w:t>
            </w:r>
          </w:p>
        </w:tc>
        <w:tc>
          <w:tcPr>
            <w:tcW w:w="3809" w:type="dxa"/>
            <w:shd w:val="clear" w:color="auto" w:fill="E8E8E8"/>
          </w:tcPr>
          <w:p w14:paraId="44280F0B" w14:textId="77777777" w:rsidR="000E52B0" w:rsidRDefault="00F60D74">
            <w:pPr>
              <w:pStyle w:val="TableParagraph"/>
              <w:spacing w:before="29"/>
              <w:ind w:left="1008"/>
              <w:rPr>
                <w:b/>
                <w:sz w:val="20"/>
              </w:rPr>
            </w:pPr>
            <w:r>
              <w:rPr>
                <w:b/>
                <w:spacing w:val="-2"/>
                <w:sz w:val="20"/>
              </w:rPr>
              <w:t>JUSTIFICACIÓN</w:t>
            </w:r>
          </w:p>
        </w:tc>
      </w:tr>
      <w:tr w:rsidR="000E52B0" w14:paraId="5D9FA55A" w14:textId="77777777">
        <w:trPr>
          <w:trHeight w:val="1703"/>
        </w:trPr>
        <w:tc>
          <w:tcPr>
            <w:tcW w:w="4712" w:type="dxa"/>
          </w:tcPr>
          <w:p w14:paraId="5D8FB063" w14:textId="77777777" w:rsidR="000E52B0" w:rsidRDefault="00F60D74">
            <w:pPr>
              <w:pStyle w:val="TableParagraph"/>
              <w:spacing w:before="2" w:line="243" w:lineRule="exact"/>
              <w:ind w:left="107"/>
              <w:jc w:val="both"/>
              <w:rPr>
                <w:sz w:val="20"/>
              </w:rPr>
            </w:pPr>
            <w:r>
              <w:rPr>
                <w:b/>
                <w:color w:val="333333"/>
                <w:sz w:val="20"/>
              </w:rPr>
              <w:t>ARTÍCULO</w:t>
            </w:r>
            <w:r>
              <w:rPr>
                <w:b/>
                <w:color w:val="333333"/>
                <w:spacing w:val="56"/>
                <w:w w:val="150"/>
                <w:sz w:val="20"/>
              </w:rPr>
              <w:t xml:space="preserve"> </w:t>
            </w:r>
            <w:r>
              <w:rPr>
                <w:b/>
                <w:color w:val="333333"/>
                <w:sz w:val="20"/>
              </w:rPr>
              <w:t>1.</w:t>
            </w:r>
            <w:r>
              <w:rPr>
                <w:b/>
                <w:color w:val="333333"/>
                <w:spacing w:val="56"/>
                <w:w w:val="150"/>
                <w:sz w:val="20"/>
              </w:rPr>
              <w:t xml:space="preserve"> </w:t>
            </w:r>
            <w:r>
              <w:rPr>
                <w:b/>
                <w:color w:val="333333"/>
                <w:sz w:val="20"/>
              </w:rPr>
              <w:t>OBJETO</w:t>
            </w:r>
            <w:r>
              <w:rPr>
                <w:b/>
                <w:color w:val="333333"/>
                <w:spacing w:val="55"/>
                <w:w w:val="150"/>
                <w:sz w:val="20"/>
              </w:rPr>
              <w:t xml:space="preserve"> </w:t>
            </w:r>
            <w:r>
              <w:rPr>
                <w:b/>
                <w:color w:val="333333"/>
                <w:sz w:val="20"/>
              </w:rPr>
              <w:t>DE</w:t>
            </w:r>
            <w:r>
              <w:rPr>
                <w:b/>
                <w:color w:val="333333"/>
                <w:spacing w:val="57"/>
                <w:w w:val="150"/>
                <w:sz w:val="20"/>
              </w:rPr>
              <w:t xml:space="preserve"> </w:t>
            </w:r>
            <w:r>
              <w:rPr>
                <w:b/>
                <w:color w:val="333333"/>
                <w:sz w:val="20"/>
              </w:rPr>
              <w:t>LA</w:t>
            </w:r>
            <w:r>
              <w:rPr>
                <w:b/>
                <w:color w:val="333333"/>
                <w:spacing w:val="55"/>
                <w:w w:val="150"/>
                <w:sz w:val="20"/>
              </w:rPr>
              <w:t xml:space="preserve"> </w:t>
            </w:r>
            <w:r>
              <w:rPr>
                <w:b/>
                <w:color w:val="333333"/>
                <w:sz w:val="20"/>
              </w:rPr>
              <w:t>LEY.</w:t>
            </w:r>
            <w:r>
              <w:rPr>
                <w:b/>
                <w:color w:val="333333"/>
                <w:spacing w:val="60"/>
                <w:w w:val="150"/>
                <w:sz w:val="20"/>
              </w:rPr>
              <w:t xml:space="preserve"> </w:t>
            </w:r>
            <w:r>
              <w:rPr>
                <w:color w:val="333333"/>
                <w:spacing w:val="-5"/>
                <w:sz w:val="20"/>
              </w:rPr>
              <w:t>El</w:t>
            </w:r>
          </w:p>
          <w:p w14:paraId="6C6EB169" w14:textId="77777777" w:rsidR="000E52B0" w:rsidRDefault="00F60D74">
            <w:pPr>
              <w:pStyle w:val="TableParagraph"/>
              <w:ind w:left="107" w:right="88"/>
              <w:jc w:val="both"/>
              <w:rPr>
                <w:sz w:val="20"/>
              </w:rPr>
            </w:pPr>
            <w:r>
              <w:rPr>
                <w:color w:val="333333"/>
                <w:sz w:val="20"/>
              </w:rPr>
              <w:t xml:space="preserve">objeto de la presente ley, en el marco </w:t>
            </w:r>
            <w:r>
              <w:rPr>
                <w:sz w:val="20"/>
              </w:rPr>
              <w:t>del artículo 150 numeral 7 de la Constitución Política y el artículo 50 de la Le</w:t>
            </w:r>
            <w:r>
              <w:rPr>
                <w:color w:val="333333"/>
                <w:sz w:val="20"/>
              </w:rPr>
              <w:t>y 489 de 1998, es la creación del Ministerio de Igualdad</w:t>
            </w:r>
            <w:r>
              <w:rPr>
                <w:color w:val="333333"/>
                <w:spacing w:val="64"/>
                <w:sz w:val="20"/>
              </w:rPr>
              <w:t xml:space="preserve"> </w:t>
            </w:r>
            <w:r>
              <w:rPr>
                <w:color w:val="333333"/>
                <w:sz w:val="20"/>
              </w:rPr>
              <w:t>y</w:t>
            </w:r>
            <w:r>
              <w:rPr>
                <w:color w:val="333333"/>
                <w:spacing w:val="64"/>
                <w:sz w:val="20"/>
              </w:rPr>
              <w:t xml:space="preserve"> </w:t>
            </w:r>
            <w:r>
              <w:rPr>
                <w:color w:val="333333"/>
                <w:sz w:val="20"/>
              </w:rPr>
              <w:t>Equidad</w:t>
            </w:r>
            <w:r>
              <w:rPr>
                <w:color w:val="333333"/>
                <w:spacing w:val="64"/>
                <w:sz w:val="20"/>
              </w:rPr>
              <w:t xml:space="preserve"> </w:t>
            </w:r>
            <w:r>
              <w:rPr>
                <w:color w:val="333333"/>
                <w:sz w:val="20"/>
              </w:rPr>
              <w:t>y</w:t>
            </w:r>
            <w:r>
              <w:rPr>
                <w:color w:val="333333"/>
                <w:spacing w:val="64"/>
                <w:sz w:val="20"/>
              </w:rPr>
              <w:t xml:space="preserve"> </w:t>
            </w:r>
            <w:r>
              <w:rPr>
                <w:color w:val="333333"/>
                <w:sz w:val="20"/>
              </w:rPr>
              <w:t>la</w:t>
            </w:r>
            <w:r>
              <w:rPr>
                <w:color w:val="333333"/>
                <w:spacing w:val="63"/>
                <w:sz w:val="20"/>
              </w:rPr>
              <w:t xml:space="preserve"> </w:t>
            </w:r>
            <w:r>
              <w:rPr>
                <w:color w:val="333333"/>
                <w:sz w:val="20"/>
              </w:rPr>
              <w:t>adopción</w:t>
            </w:r>
            <w:r>
              <w:rPr>
                <w:color w:val="333333"/>
                <w:spacing w:val="65"/>
                <w:sz w:val="20"/>
              </w:rPr>
              <w:t xml:space="preserve"> </w:t>
            </w:r>
            <w:r>
              <w:rPr>
                <w:color w:val="333333"/>
                <w:sz w:val="20"/>
              </w:rPr>
              <w:t>de</w:t>
            </w:r>
            <w:r>
              <w:rPr>
                <w:color w:val="333333"/>
                <w:spacing w:val="64"/>
                <w:sz w:val="20"/>
              </w:rPr>
              <w:t xml:space="preserve"> </w:t>
            </w:r>
            <w:r>
              <w:rPr>
                <w:color w:val="333333"/>
                <w:spacing w:val="-5"/>
                <w:sz w:val="20"/>
              </w:rPr>
              <w:t>los</w:t>
            </w:r>
          </w:p>
          <w:p w14:paraId="6D98F51D" w14:textId="77777777" w:rsidR="000E52B0" w:rsidRDefault="00F60D74">
            <w:pPr>
              <w:pStyle w:val="TableParagraph"/>
              <w:spacing w:line="224" w:lineRule="exact"/>
              <w:ind w:left="107"/>
              <w:jc w:val="both"/>
              <w:rPr>
                <w:sz w:val="20"/>
              </w:rPr>
            </w:pPr>
            <w:r>
              <w:rPr>
                <w:color w:val="333333"/>
                <w:sz w:val="20"/>
              </w:rPr>
              <w:t>elementos</w:t>
            </w:r>
            <w:r>
              <w:rPr>
                <w:color w:val="333333"/>
                <w:spacing w:val="-7"/>
                <w:sz w:val="20"/>
              </w:rPr>
              <w:t xml:space="preserve"> </w:t>
            </w:r>
            <w:r>
              <w:rPr>
                <w:color w:val="333333"/>
                <w:sz w:val="20"/>
              </w:rPr>
              <w:t>de</w:t>
            </w:r>
            <w:r>
              <w:rPr>
                <w:color w:val="333333"/>
                <w:spacing w:val="-6"/>
                <w:sz w:val="20"/>
              </w:rPr>
              <w:t xml:space="preserve"> </w:t>
            </w:r>
            <w:r>
              <w:rPr>
                <w:color w:val="333333"/>
                <w:sz w:val="20"/>
              </w:rPr>
              <w:t>su</w:t>
            </w:r>
            <w:r>
              <w:rPr>
                <w:color w:val="333333"/>
                <w:spacing w:val="-6"/>
                <w:sz w:val="20"/>
              </w:rPr>
              <w:t xml:space="preserve"> </w:t>
            </w:r>
            <w:r>
              <w:rPr>
                <w:color w:val="333333"/>
                <w:sz w:val="20"/>
              </w:rPr>
              <w:t>estructura</w:t>
            </w:r>
            <w:r>
              <w:rPr>
                <w:color w:val="333333"/>
                <w:spacing w:val="-8"/>
                <w:sz w:val="20"/>
              </w:rPr>
              <w:t xml:space="preserve"> </w:t>
            </w:r>
            <w:r>
              <w:rPr>
                <w:color w:val="333333"/>
                <w:spacing w:val="-2"/>
                <w:sz w:val="20"/>
              </w:rPr>
              <w:t>orgánica.</w:t>
            </w:r>
          </w:p>
        </w:tc>
        <w:tc>
          <w:tcPr>
            <w:tcW w:w="4723" w:type="dxa"/>
          </w:tcPr>
          <w:p w14:paraId="20005000" w14:textId="77777777" w:rsidR="000E52B0" w:rsidRDefault="00F60D74">
            <w:pPr>
              <w:pStyle w:val="TableParagraph"/>
              <w:spacing w:before="2"/>
              <w:ind w:left="107"/>
              <w:rPr>
                <w:sz w:val="20"/>
              </w:rPr>
            </w:pPr>
            <w:r>
              <w:rPr>
                <w:sz w:val="20"/>
              </w:rPr>
              <w:t>Sin</w:t>
            </w:r>
            <w:r>
              <w:rPr>
                <w:spacing w:val="-5"/>
                <w:sz w:val="20"/>
              </w:rPr>
              <w:t xml:space="preserve"> </w:t>
            </w:r>
            <w:r>
              <w:rPr>
                <w:spacing w:val="-2"/>
                <w:sz w:val="20"/>
              </w:rPr>
              <w:t>modificaciones</w:t>
            </w:r>
          </w:p>
        </w:tc>
        <w:tc>
          <w:tcPr>
            <w:tcW w:w="3809" w:type="dxa"/>
          </w:tcPr>
          <w:p w14:paraId="4709CA38" w14:textId="77777777" w:rsidR="000E52B0" w:rsidRDefault="00F60D74">
            <w:pPr>
              <w:pStyle w:val="TableParagraph"/>
              <w:spacing w:before="2"/>
              <w:ind w:left="108"/>
              <w:rPr>
                <w:sz w:val="20"/>
              </w:rPr>
            </w:pPr>
            <w:r>
              <w:rPr>
                <w:sz w:val="20"/>
              </w:rPr>
              <w:t>Sin</w:t>
            </w:r>
            <w:r>
              <w:rPr>
                <w:spacing w:val="-4"/>
                <w:sz w:val="20"/>
              </w:rPr>
              <w:t xml:space="preserve"> </w:t>
            </w:r>
            <w:r>
              <w:rPr>
                <w:spacing w:val="-2"/>
                <w:sz w:val="20"/>
              </w:rPr>
              <w:t>modificaciones</w:t>
            </w:r>
          </w:p>
        </w:tc>
      </w:tr>
      <w:tr w:rsidR="000E52B0" w14:paraId="70F71A08" w14:textId="77777777">
        <w:trPr>
          <w:trHeight w:val="2430"/>
        </w:trPr>
        <w:tc>
          <w:tcPr>
            <w:tcW w:w="4712" w:type="dxa"/>
          </w:tcPr>
          <w:p w14:paraId="509753D2" w14:textId="77777777" w:rsidR="000E52B0" w:rsidRDefault="00F60D74">
            <w:pPr>
              <w:pStyle w:val="TableParagraph"/>
              <w:spacing w:line="243" w:lineRule="exact"/>
              <w:ind w:left="107"/>
              <w:jc w:val="both"/>
              <w:rPr>
                <w:b/>
                <w:sz w:val="20"/>
              </w:rPr>
            </w:pPr>
            <w:r>
              <w:rPr>
                <w:b/>
                <w:color w:val="333333"/>
                <w:sz w:val="20"/>
              </w:rPr>
              <w:t>ARTÍCULO</w:t>
            </w:r>
            <w:r>
              <w:rPr>
                <w:b/>
                <w:color w:val="333333"/>
                <w:spacing w:val="58"/>
                <w:w w:val="150"/>
                <w:sz w:val="20"/>
              </w:rPr>
              <w:t xml:space="preserve">   </w:t>
            </w:r>
            <w:r>
              <w:rPr>
                <w:b/>
                <w:color w:val="333333"/>
                <w:sz w:val="20"/>
              </w:rPr>
              <w:t>2.</w:t>
            </w:r>
            <w:r>
              <w:rPr>
                <w:b/>
                <w:color w:val="333333"/>
                <w:spacing w:val="58"/>
                <w:w w:val="150"/>
                <w:sz w:val="20"/>
              </w:rPr>
              <w:t xml:space="preserve">   </w:t>
            </w:r>
            <w:r>
              <w:rPr>
                <w:b/>
                <w:color w:val="333333"/>
                <w:sz w:val="20"/>
              </w:rPr>
              <w:t>NATURALEZA</w:t>
            </w:r>
            <w:r>
              <w:rPr>
                <w:b/>
                <w:color w:val="333333"/>
                <w:spacing w:val="58"/>
                <w:w w:val="150"/>
                <w:sz w:val="20"/>
              </w:rPr>
              <w:t xml:space="preserve">   </w:t>
            </w:r>
            <w:r>
              <w:rPr>
                <w:b/>
                <w:color w:val="333333"/>
                <w:spacing w:val="-10"/>
                <w:sz w:val="20"/>
              </w:rPr>
              <w:t>Y</w:t>
            </w:r>
          </w:p>
          <w:p w14:paraId="58778F3B" w14:textId="77777777" w:rsidR="000E52B0" w:rsidRDefault="00F60D74">
            <w:pPr>
              <w:pStyle w:val="TableParagraph"/>
              <w:ind w:left="107" w:right="91"/>
              <w:jc w:val="both"/>
              <w:rPr>
                <w:sz w:val="20"/>
              </w:rPr>
            </w:pPr>
            <w:r>
              <w:rPr>
                <w:b/>
                <w:color w:val="333333"/>
                <w:sz w:val="20"/>
              </w:rPr>
              <w:t xml:space="preserve">DENOMINACIÓN. </w:t>
            </w:r>
            <w:r>
              <w:rPr>
                <w:color w:val="333333"/>
                <w:sz w:val="20"/>
              </w:rPr>
              <w:t>Créase el Ministerio de Igualdad y Equidad, como un organismo principal del sector central de la Rama Ejecutiva en el orden nacional, rector del Sector</w:t>
            </w:r>
            <w:r>
              <w:rPr>
                <w:color w:val="333333"/>
                <w:spacing w:val="-5"/>
                <w:sz w:val="20"/>
              </w:rPr>
              <w:t xml:space="preserve"> </w:t>
            </w:r>
            <w:r>
              <w:rPr>
                <w:color w:val="333333"/>
                <w:sz w:val="20"/>
              </w:rPr>
              <w:t>administrativo</w:t>
            </w:r>
            <w:r>
              <w:rPr>
                <w:color w:val="333333"/>
                <w:spacing w:val="-7"/>
                <w:sz w:val="20"/>
              </w:rPr>
              <w:t xml:space="preserve"> </w:t>
            </w:r>
            <w:r>
              <w:rPr>
                <w:color w:val="333333"/>
                <w:sz w:val="20"/>
              </w:rPr>
              <w:t>de</w:t>
            </w:r>
            <w:r>
              <w:rPr>
                <w:color w:val="333333"/>
                <w:spacing w:val="-7"/>
                <w:sz w:val="20"/>
              </w:rPr>
              <w:t xml:space="preserve"> </w:t>
            </w:r>
            <w:r>
              <w:rPr>
                <w:color w:val="333333"/>
                <w:sz w:val="20"/>
              </w:rPr>
              <w:t>Igualdad</w:t>
            </w:r>
            <w:r>
              <w:rPr>
                <w:color w:val="333333"/>
                <w:spacing w:val="-3"/>
                <w:sz w:val="20"/>
              </w:rPr>
              <w:t xml:space="preserve"> </w:t>
            </w:r>
            <w:r>
              <w:rPr>
                <w:color w:val="333333"/>
                <w:sz w:val="20"/>
              </w:rPr>
              <w:t>y</w:t>
            </w:r>
            <w:r>
              <w:rPr>
                <w:color w:val="333333"/>
                <w:spacing w:val="-6"/>
                <w:sz w:val="20"/>
              </w:rPr>
              <w:t xml:space="preserve"> </w:t>
            </w:r>
            <w:r>
              <w:rPr>
                <w:color w:val="333333"/>
                <w:sz w:val="20"/>
              </w:rPr>
              <w:t>Equidad y</w:t>
            </w:r>
            <w:r>
              <w:rPr>
                <w:color w:val="333333"/>
                <w:spacing w:val="-18"/>
                <w:sz w:val="20"/>
              </w:rPr>
              <w:t xml:space="preserve"> </w:t>
            </w:r>
            <w:r>
              <w:rPr>
                <w:color w:val="333333"/>
                <w:sz w:val="20"/>
              </w:rPr>
              <w:t>de</w:t>
            </w:r>
            <w:r>
              <w:rPr>
                <w:color w:val="333333"/>
                <w:spacing w:val="-18"/>
                <w:sz w:val="20"/>
              </w:rPr>
              <w:t xml:space="preserve"> </w:t>
            </w:r>
            <w:r>
              <w:rPr>
                <w:color w:val="333333"/>
                <w:sz w:val="20"/>
              </w:rPr>
              <w:t>sus</w:t>
            </w:r>
            <w:r>
              <w:rPr>
                <w:color w:val="333333"/>
                <w:spacing w:val="-17"/>
                <w:sz w:val="20"/>
              </w:rPr>
              <w:t xml:space="preserve"> </w:t>
            </w:r>
            <w:r>
              <w:rPr>
                <w:color w:val="333333"/>
                <w:sz w:val="20"/>
              </w:rPr>
              <w:t>entidades</w:t>
            </w:r>
            <w:r>
              <w:rPr>
                <w:color w:val="333333"/>
                <w:spacing w:val="-18"/>
                <w:sz w:val="20"/>
              </w:rPr>
              <w:t xml:space="preserve"> </w:t>
            </w:r>
            <w:r>
              <w:rPr>
                <w:color w:val="333333"/>
                <w:sz w:val="20"/>
              </w:rPr>
              <w:t>adscritas</w:t>
            </w:r>
            <w:r>
              <w:rPr>
                <w:color w:val="333333"/>
                <w:spacing w:val="-17"/>
                <w:sz w:val="20"/>
              </w:rPr>
              <w:t xml:space="preserve"> </w:t>
            </w:r>
            <w:r>
              <w:rPr>
                <w:color w:val="333333"/>
                <w:sz w:val="20"/>
              </w:rPr>
              <w:t>o</w:t>
            </w:r>
            <w:r>
              <w:rPr>
                <w:color w:val="333333"/>
                <w:spacing w:val="-18"/>
                <w:sz w:val="20"/>
              </w:rPr>
              <w:t xml:space="preserve"> </w:t>
            </w:r>
            <w:r>
              <w:rPr>
                <w:color w:val="333333"/>
                <w:sz w:val="20"/>
              </w:rPr>
              <w:t>vinculadas.</w:t>
            </w:r>
            <w:r>
              <w:rPr>
                <w:color w:val="333333"/>
                <w:spacing w:val="-18"/>
                <w:sz w:val="20"/>
              </w:rPr>
              <w:t xml:space="preserve"> </w:t>
            </w:r>
            <w:r>
              <w:rPr>
                <w:color w:val="333333"/>
                <w:sz w:val="20"/>
              </w:rPr>
              <w:t>los órganos de asesoría, coordinación y articulación</w:t>
            </w:r>
            <w:r>
              <w:rPr>
                <w:color w:val="333333"/>
                <w:spacing w:val="73"/>
                <w:sz w:val="20"/>
              </w:rPr>
              <w:t xml:space="preserve">    </w:t>
            </w:r>
            <w:r>
              <w:rPr>
                <w:color w:val="333333"/>
                <w:sz w:val="20"/>
              </w:rPr>
              <w:t>señalados</w:t>
            </w:r>
            <w:r>
              <w:rPr>
                <w:color w:val="333333"/>
                <w:spacing w:val="72"/>
                <w:sz w:val="20"/>
              </w:rPr>
              <w:t xml:space="preserve">    </w:t>
            </w:r>
            <w:r>
              <w:rPr>
                <w:color w:val="333333"/>
                <w:sz w:val="20"/>
              </w:rPr>
              <w:t>legal</w:t>
            </w:r>
            <w:r>
              <w:rPr>
                <w:color w:val="333333"/>
                <w:spacing w:val="73"/>
                <w:sz w:val="20"/>
              </w:rPr>
              <w:t xml:space="preserve">    </w:t>
            </w:r>
            <w:r>
              <w:rPr>
                <w:color w:val="333333"/>
                <w:spacing w:val="-10"/>
                <w:sz w:val="20"/>
              </w:rPr>
              <w:t>o</w:t>
            </w:r>
          </w:p>
          <w:p w14:paraId="7DBEB281" w14:textId="77777777" w:rsidR="000E52B0" w:rsidRDefault="00F60D74">
            <w:pPr>
              <w:pStyle w:val="TableParagraph"/>
              <w:spacing w:before="2" w:line="221" w:lineRule="exact"/>
              <w:ind w:left="107"/>
              <w:rPr>
                <w:sz w:val="20"/>
              </w:rPr>
            </w:pPr>
            <w:r>
              <w:rPr>
                <w:color w:val="333333"/>
                <w:spacing w:val="-2"/>
                <w:sz w:val="20"/>
              </w:rPr>
              <w:t>reglamentariamente.</w:t>
            </w:r>
          </w:p>
        </w:tc>
        <w:tc>
          <w:tcPr>
            <w:tcW w:w="4723" w:type="dxa"/>
          </w:tcPr>
          <w:p w14:paraId="17D30A88" w14:textId="77777777" w:rsidR="000E52B0" w:rsidRDefault="00F60D74">
            <w:pPr>
              <w:pStyle w:val="TableParagraph"/>
              <w:spacing w:line="243" w:lineRule="exact"/>
              <w:ind w:left="107"/>
              <w:jc w:val="both"/>
              <w:rPr>
                <w:b/>
                <w:sz w:val="20"/>
              </w:rPr>
            </w:pPr>
            <w:r>
              <w:rPr>
                <w:b/>
                <w:color w:val="333333"/>
                <w:sz w:val="20"/>
              </w:rPr>
              <w:t>ARTÍCULO</w:t>
            </w:r>
            <w:r>
              <w:rPr>
                <w:b/>
                <w:color w:val="333333"/>
                <w:spacing w:val="60"/>
                <w:w w:val="150"/>
                <w:sz w:val="20"/>
              </w:rPr>
              <w:t xml:space="preserve">   </w:t>
            </w:r>
            <w:r>
              <w:rPr>
                <w:b/>
                <w:color w:val="333333"/>
                <w:sz w:val="20"/>
              </w:rPr>
              <w:t>2.</w:t>
            </w:r>
            <w:r>
              <w:rPr>
                <w:b/>
                <w:color w:val="333333"/>
                <w:spacing w:val="60"/>
                <w:w w:val="150"/>
                <w:sz w:val="20"/>
              </w:rPr>
              <w:t xml:space="preserve">   </w:t>
            </w:r>
            <w:r>
              <w:rPr>
                <w:b/>
                <w:color w:val="333333"/>
                <w:sz w:val="20"/>
              </w:rPr>
              <w:t>NATURALEZA</w:t>
            </w:r>
            <w:r>
              <w:rPr>
                <w:b/>
                <w:color w:val="333333"/>
                <w:spacing w:val="59"/>
                <w:w w:val="150"/>
                <w:sz w:val="20"/>
              </w:rPr>
              <w:t xml:space="preserve">   </w:t>
            </w:r>
            <w:r>
              <w:rPr>
                <w:b/>
                <w:color w:val="333333"/>
                <w:spacing w:val="-10"/>
                <w:sz w:val="20"/>
              </w:rPr>
              <w:t>Y</w:t>
            </w:r>
          </w:p>
          <w:p w14:paraId="1647CD10" w14:textId="77777777" w:rsidR="000E52B0" w:rsidRDefault="00F60D74">
            <w:pPr>
              <w:pStyle w:val="TableParagraph"/>
              <w:ind w:left="107" w:right="87"/>
              <w:jc w:val="both"/>
              <w:rPr>
                <w:sz w:val="20"/>
              </w:rPr>
            </w:pPr>
            <w:r>
              <w:rPr>
                <w:noProof/>
                <w:sz w:val="20"/>
              </w:rPr>
              <mc:AlternateContent>
                <mc:Choice Requires="wpg">
                  <w:drawing>
                    <wp:anchor distT="0" distB="0" distL="0" distR="0" simplePos="0" relativeHeight="482317824" behindDoc="1" locked="0" layoutInCell="1" allowOverlap="1" wp14:anchorId="0CD0093B" wp14:editId="23FECECA">
                      <wp:simplePos x="0" y="0"/>
                      <wp:positionH relativeFrom="column">
                        <wp:posOffset>1411224</wp:posOffset>
                      </wp:positionH>
                      <wp:positionV relativeFrom="paragraph">
                        <wp:posOffset>235885</wp:posOffset>
                      </wp:positionV>
                      <wp:extent cx="45720" cy="13970"/>
                      <wp:effectExtent l="0" t="0" r="0" b="0"/>
                      <wp:wrapNone/>
                      <wp:docPr id="76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13970"/>
                                <a:chOff x="0" y="0"/>
                                <a:chExt cx="45720" cy="13970"/>
                              </a:xfrm>
                            </wpg:grpSpPr>
                            <wps:wsp>
                              <wps:cNvPr id="763" name="Graphic 763"/>
                              <wps:cNvSpPr/>
                              <wps:spPr>
                                <a:xfrm>
                                  <a:off x="0" y="0"/>
                                  <a:ext cx="45720" cy="13970"/>
                                </a:xfrm>
                                <a:custGeom>
                                  <a:avLst/>
                                  <a:gdLst/>
                                  <a:ahLst/>
                                  <a:cxnLst/>
                                  <a:rect l="l" t="t" r="r" b="b"/>
                                  <a:pathLst>
                                    <a:path w="45720" h="13970">
                                      <a:moveTo>
                                        <a:pt x="45720" y="0"/>
                                      </a:moveTo>
                                      <a:lnTo>
                                        <a:pt x="0" y="0"/>
                                      </a:lnTo>
                                      <a:lnTo>
                                        <a:pt x="0" y="13715"/>
                                      </a:lnTo>
                                      <a:lnTo>
                                        <a:pt x="45720" y="13715"/>
                                      </a:lnTo>
                                      <a:lnTo>
                                        <a:pt x="45720" y="0"/>
                                      </a:lnTo>
                                      <a:close/>
                                    </a:path>
                                  </a:pathLst>
                                </a:custGeom>
                                <a:solidFill>
                                  <a:srgbClr val="333333"/>
                                </a:solidFill>
                              </wps:spPr>
                              <wps:bodyPr wrap="square" lIns="0" tIns="0" rIns="0" bIns="0" rtlCol="0">
                                <a:prstTxWarp prst="textNoShape">
                                  <a:avLst/>
                                </a:prstTxWarp>
                                <a:noAutofit/>
                              </wps:bodyPr>
                            </wps:wsp>
                          </wpg:wgp>
                        </a:graphicData>
                      </a:graphic>
                    </wp:anchor>
                  </w:drawing>
                </mc:Choice>
                <mc:Fallback>
                  <w:pict>
                    <v:group w14:anchorId="07AED431" id="Group 762" o:spid="_x0000_s1026" style="position:absolute;margin-left:111.1pt;margin-top:18.55pt;width:3.6pt;height:1.1pt;z-index:-20998656;mso-wrap-distance-left:0;mso-wrap-distance-right:0" coordsize="4572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">
                      <v:shape id="Graphic 763" o:spid="_x0000_s1027" style="position:absolute;width:45720;height:13970;visibility:visible;mso-wrap-style:square;v-text-anchor:top" coordsize="4572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" path="m45720,l,,,13715r45720,l45720,xe" fillcolor="#333" stroked="f">
                        <v:path arrowok="t"/>
                      </v:shape>
                    </v:group>
                  </w:pict>
                </mc:Fallback>
              </mc:AlternateContent>
            </w:r>
            <w:r>
              <w:rPr>
                <w:b/>
                <w:color w:val="333333"/>
                <w:sz w:val="20"/>
              </w:rPr>
              <w:t xml:space="preserve">DENOMINACIÓN. </w:t>
            </w:r>
            <w:r>
              <w:rPr>
                <w:color w:val="333333"/>
                <w:sz w:val="20"/>
              </w:rPr>
              <w:t>Créase el Ministerio de Igualdad y Equidad</w:t>
            </w:r>
            <w:r>
              <w:rPr>
                <w:b/>
                <w:color w:val="333333"/>
                <w:sz w:val="20"/>
              </w:rPr>
              <w:t xml:space="preserve">, </w:t>
            </w:r>
            <w:r>
              <w:rPr>
                <w:color w:val="333333"/>
                <w:sz w:val="20"/>
              </w:rPr>
              <w:t>como un organismo principal del sector central de la Rama Ejecutiva en el orden nacional, rector del Sector</w:t>
            </w:r>
            <w:r>
              <w:rPr>
                <w:color w:val="333333"/>
                <w:spacing w:val="-8"/>
                <w:sz w:val="20"/>
              </w:rPr>
              <w:t xml:space="preserve"> </w:t>
            </w:r>
            <w:r>
              <w:rPr>
                <w:b/>
                <w:color w:val="333333"/>
                <w:sz w:val="20"/>
                <w:u w:val="single" w:color="333333"/>
              </w:rPr>
              <w:t>A</w:t>
            </w:r>
            <w:r>
              <w:rPr>
                <w:color w:val="333333"/>
                <w:sz w:val="20"/>
              </w:rPr>
              <w:t>dministrativo</w:t>
            </w:r>
            <w:r>
              <w:rPr>
                <w:color w:val="333333"/>
                <w:spacing w:val="-10"/>
                <w:sz w:val="20"/>
              </w:rPr>
              <w:t xml:space="preserve"> </w:t>
            </w:r>
            <w:r>
              <w:rPr>
                <w:color w:val="333333"/>
                <w:sz w:val="20"/>
              </w:rPr>
              <w:t>de</w:t>
            </w:r>
            <w:r>
              <w:rPr>
                <w:color w:val="333333"/>
                <w:spacing w:val="-10"/>
                <w:sz w:val="20"/>
              </w:rPr>
              <w:t xml:space="preserve"> </w:t>
            </w:r>
            <w:r>
              <w:rPr>
                <w:color w:val="333333"/>
                <w:sz w:val="20"/>
              </w:rPr>
              <w:t>Igualdad</w:t>
            </w:r>
            <w:r>
              <w:rPr>
                <w:color w:val="333333"/>
                <w:spacing w:val="-9"/>
                <w:sz w:val="20"/>
              </w:rPr>
              <w:t xml:space="preserve"> </w:t>
            </w:r>
            <w:r>
              <w:rPr>
                <w:color w:val="333333"/>
                <w:sz w:val="20"/>
              </w:rPr>
              <w:t>y</w:t>
            </w:r>
            <w:r>
              <w:rPr>
                <w:color w:val="333333"/>
                <w:spacing w:val="-10"/>
                <w:sz w:val="20"/>
              </w:rPr>
              <w:t xml:space="preserve"> </w:t>
            </w:r>
            <w:r>
              <w:rPr>
                <w:color w:val="333333"/>
                <w:sz w:val="20"/>
              </w:rPr>
              <w:t>Equidad y de sus entidades adscritas o vinculadas</w:t>
            </w:r>
            <w:r>
              <w:rPr>
                <w:b/>
                <w:color w:val="333333"/>
                <w:sz w:val="20"/>
              </w:rPr>
              <w:t>,</w:t>
            </w:r>
            <w:r>
              <w:rPr>
                <w:b/>
                <w:strike/>
                <w:color w:val="333333"/>
                <w:sz w:val="20"/>
              </w:rPr>
              <w:t xml:space="preserve"> y</w:t>
            </w:r>
            <w:r>
              <w:rPr>
                <w:b/>
                <w:color w:val="333333"/>
                <w:sz w:val="20"/>
              </w:rPr>
              <w:t xml:space="preserve"> </w:t>
            </w:r>
            <w:r>
              <w:rPr>
                <w:color w:val="333333"/>
                <w:sz w:val="20"/>
              </w:rPr>
              <w:t>los órganos de asesoría, coordinación y articulación</w:t>
            </w:r>
            <w:r>
              <w:rPr>
                <w:color w:val="333333"/>
                <w:spacing w:val="74"/>
                <w:sz w:val="20"/>
              </w:rPr>
              <w:t xml:space="preserve">    </w:t>
            </w:r>
            <w:r>
              <w:rPr>
                <w:color w:val="333333"/>
                <w:sz w:val="20"/>
              </w:rPr>
              <w:t>señalados</w:t>
            </w:r>
            <w:r>
              <w:rPr>
                <w:color w:val="333333"/>
                <w:spacing w:val="73"/>
                <w:sz w:val="20"/>
              </w:rPr>
              <w:t xml:space="preserve">    </w:t>
            </w:r>
            <w:r>
              <w:rPr>
                <w:color w:val="333333"/>
                <w:sz w:val="20"/>
              </w:rPr>
              <w:t>legal</w:t>
            </w:r>
            <w:r>
              <w:rPr>
                <w:color w:val="333333"/>
                <w:spacing w:val="75"/>
                <w:sz w:val="20"/>
              </w:rPr>
              <w:t xml:space="preserve">    </w:t>
            </w:r>
            <w:r>
              <w:rPr>
                <w:color w:val="333333"/>
                <w:spacing w:val="-10"/>
                <w:sz w:val="20"/>
              </w:rPr>
              <w:t>o</w:t>
            </w:r>
          </w:p>
          <w:p w14:paraId="5B92A77E" w14:textId="77777777" w:rsidR="000E52B0" w:rsidRDefault="00F60D74">
            <w:pPr>
              <w:pStyle w:val="TableParagraph"/>
              <w:spacing w:before="2" w:line="221" w:lineRule="exact"/>
              <w:ind w:left="107"/>
              <w:rPr>
                <w:sz w:val="20"/>
              </w:rPr>
            </w:pPr>
            <w:r>
              <w:rPr>
                <w:color w:val="333333"/>
                <w:spacing w:val="-2"/>
                <w:sz w:val="20"/>
              </w:rPr>
              <w:t>reglamentariamente.</w:t>
            </w:r>
          </w:p>
        </w:tc>
        <w:tc>
          <w:tcPr>
            <w:tcW w:w="3809" w:type="dxa"/>
          </w:tcPr>
          <w:p w14:paraId="24306DF5" w14:textId="77777777" w:rsidR="000E52B0" w:rsidRDefault="00F60D74">
            <w:pPr>
              <w:pStyle w:val="TableParagraph"/>
              <w:ind w:left="108"/>
              <w:rPr>
                <w:sz w:val="20"/>
              </w:rPr>
            </w:pPr>
            <w:r>
              <w:rPr>
                <w:sz w:val="20"/>
              </w:rPr>
              <w:t xml:space="preserve">Sin modificaciones, solo ajustes de </w:t>
            </w:r>
            <w:r>
              <w:rPr>
                <w:spacing w:val="-2"/>
                <w:sz w:val="20"/>
              </w:rPr>
              <w:t>redacción.</w:t>
            </w:r>
          </w:p>
        </w:tc>
      </w:tr>
      <w:tr w:rsidR="000E52B0" w14:paraId="1F65AE3C" w14:textId="77777777">
        <w:trPr>
          <w:trHeight w:val="3890"/>
        </w:trPr>
        <w:tc>
          <w:tcPr>
            <w:tcW w:w="4712" w:type="dxa"/>
          </w:tcPr>
          <w:p w14:paraId="52AE906D" w14:textId="77777777" w:rsidR="000E52B0" w:rsidRDefault="00F60D74">
            <w:pPr>
              <w:pStyle w:val="TableParagraph"/>
              <w:spacing w:line="243" w:lineRule="exact"/>
              <w:ind w:left="107"/>
              <w:jc w:val="both"/>
              <w:rPr>
                <w:b/>
                <w:sz w:val="20"/>
              </w:rPr>
            </w:pPr>
            <w:r>
              <w:rPr>
                <w:b/>
                <w:color w:val="333333"/>
                <w:sz w:val="20"/>
              </w:rPr>
              <w:t>ARTÍCULO</w:t>
            </w:r>
            <w:r>
              <w:rPr>
                <w:b/>
                <w:color w:val="333333"/>
                <w:spacing w:val="20"/>
                <w:sz w:val="20"/>
              </w:rPr>
              <w:t xml:space="preserve"> </w:t>
            </w:r>
            <w:r>
              <w:rPr>
                <w:b/>
                <w:color w:val="333333"/>
                <w:sz w:val="20"/>
              </w:rPr>
              <w:t>3.</w:t>
            </w:r>
            <w:r>
              <w:rPr>
                <w:b/>
                <w:color w:val="333333"/>
                <w:spacing w:val="19"/>
                <w:sz w:val="20"/>
              </w:rPr>
              <w:t xml:space="preserve"> </w:t>
            </w:r>
            <w:r>
              <w:rPr>
                <w:b/>
                <w:color w:val="333333"/>
                <w:sz w:val="20"/>
              </w:rPr>
              <w:t>OBJETO</w:t>
            </w:r>
            <w:r>
              <w:rPr>
                <w:b/>
                <w:color w:val="333333"/>
                <w:spacing w:val="20"/>
                <w:sz w:val="20"/>
              </w:rPr>
              <w:t xml:space="preserve"> </w:t>
            </w:r>
            <w:r>
              <w:rPr>
                <w:b/>
                <w:color w:val="333333"/>
                <w:sz w:val="20"/>
              </w:rPr>
              <w:t>DEL</w:t>
            </w:r>
            <w:r>
              <w:rPr>
                <w:b/>
                <w:color w:val="333333"/>
                <w:spacing w:val="20"/>
                <w:sz w:val="20"/>
              </w:rPr>
              <w:t xml:space="preserve"> </w:t>
            </w:r>
            <w:r>
              <w:rPr>
                <w:b/>
                <w:color w:val="333333"/>
                <w:spacing w:val="-2"/>
                <w:sz w:val="20"/>
              </w:rPr>
              <w:t>MINISTERIO</w:t>
            </w:r>
          </w:p>
          <w:p w14:paraId="0DE7989E" w14:textId="77777777" w:rsidR="000E52B0" w:rsidRDefault="00F60D74">
            <w:pPr>
              <w:pStyle w:val="TableParagraph"/>
              <w:ind w:left="107" w:right="89"/>
              <w:jc w:val="both"/>
              <w:rPr>
                <w:sz w:val="20"/>
              </w:rPr>
            </w:pPr>
            <w:r>
              <w:rPr>
                <w:b/>
                <w:color w:val="333333"/>
                <w:sz w:val="20"/>
              </w:rPr>
              <w:t xml:space="preserve">DE IGUALDAD Y EQUIDAD. </w:t>
            </w:r>
            <w:r>
              <w:rPr>
                <w:color w:val="333333"/>
                <w:sz w:val="20"/>
              </w:rPr>
              <w:t>El Ministerio de</w:t>
            </w:r>
            <w:r>
              <w:rPr>
                <w:color w:val="333333"/>
                <w:spacing w:val="-12"/>
                <w:sz w:val="20"/>
              </w:rPr>
              <w:t xml:space="preserve"> </w:t>
            </w:r>
            <w:r>
              <w:rPr>
                <w:color w:val="333333"/>
                <w:sz w:val="20"/>
              </w:rPr>
              <w:t>Igualdad</w:t>
            </w:r>
            <w:r>
              <w:rPr>
                <w:color w:val="333333"/>
                <w:spacing w:val="-11"/>
                <w:sz w:val="20"/>
              </w:rPr>
              <w:t xml:space="preserve"> </w:t>
            </w:r>
            <w:r>
              <w:rPr>
                <w:color w:val="333333"/>
                <w:sz w:val="20"/>
              </w:rPr>
              <w:t>y</w:t>
            </w:r>
            <w:r>
              <w:rPr>
                <w:color w:val="333333"/>
                <w:spacing w:val="-12"/>
                <w:sz w:val="20"/>
              </w:rPr>
              <w:t xml:space="preserve"> </w:t>
            </w:r>
            <w:r>
              <w:rPr>
                <w:color w:val="333333"/>
                <w:sz w:val="20"/>
              </w:rPr>
              <w:t>Equidad</w:t>
            </w:r>
            <w:r>
              <w:rPr>
                <w:color w:val="333333"/>
                <w:spacing w:val="-11"/>
                <w:sz w:val="20"/>
              </w:rPr>
              <w:t xml:space="preserve"> </w:t>
            </w:r>
            <w:r>
              <w:rPr>
                <w:color w:val="333333"/>
                <w:sz w:val="20"/>
              </w:rPr>
              <w:t>tiene</w:t>
            </w:r>
            <w:r>
              <w:rPr>
                <w:color w:val="333333"/>
                <w:spacing w:val="-11"/>
                <w:sz w:val="20"/>
              </w:rPr>
              <w:t xml:space="preserve"> </w:t>
            </w:r>
            <w:r>
              <w:rPr>
                <w:color w:val="333333"/>
                <w:sz w:val="20"/>
              </w:rPr>
              <w:t>como</w:t>
            </w:r>
            <w:r>
              <w:rPr>
                <w:color w:val="333333"/>
                <w:spacing w:val="-11"/>
                <w:sz w:val="20"/>
              </w:rPr>
              <w:t xml:space="preserve"> </w:t>
            </w:r>
            <w:r>
              <w:rPr>
                <w:color w:val="333333"/>
                <w:sz w:val="20"/>
              </w:rPr>
              <w:t>objeto,</w:t>
            </w:r>
            <w:r>
              <w:rPr>
                <w:color w:val="333333"/>
                <w:spacing w:val="-10"/>
                <w:sz w:val="20"/>
              </w:rPr>
              <w:t xml:space="preserve"> </w:t>
            </w:r>
            <w:r>
              <w:rPr>
                <w:color w:val="333333"/>
                <w:sz w:val="20"/>
              </w:rPr>
              <w:t>en el marco de los mandatos constitucionales, de la ley y de sus competencias, diseñar, formular, adoptar, dirigir, coordinar, articular, ejecutor fortalecer y evaluar. las políticas, planes, programas, estrategias, proyectos y medidas para contribuir en la eliminación de las desigualdades económicas, políticas y sociales; impulsar el goce del derecho a la igualdad; el cumplimiento de los principios de no discriminación</w:t>
            </w:r>
            <w:r>
              <w:rPr>
                <w:color w:val="333333"/>
                <w:spacing w:val="4"/>
                <w:sz w:val="20"/>
              </w:rPr>
              <w:t xml:space="preserve"> </w:t>
            </w:r>
            <w:r>
              <w:rPr>
                <w:color w:val="333333"/>
                <w:sz w:val="20"/>
              </w:rPr>
              <w:t>y</w:t>
            </w:r>
            <w:r>
              <w:rPr>
                <w:color w:val="333333"/>
                <w:spacing w:val="3"/>
                <w:sz w:val="20"/>
              </w:rPr>
              <w:t xml:space="preserve"> </w:t>
            </w:r>
            <w:r>
              <w:rPr>
                <w:color w:val="333333"/>
                <w:sz w:val="20"/>
              </w:rPr>
              <w:t>no</w:t>
            </w:r>
            <w:r>
              <w:rPr>
                <w:color w:val="333333"/>
                <w:spacing w:val="3"/>
                <w:sz w:val="20"/>
              </w:rPr>
              <w:t xml:space="preserve"> </w:t>
            </w:r>
            <w:r>
              <w:rPr>
                <w:color w:val="333333"/>
                <w:sz w:val="20"/>
              </w:rPr>
              <w:t>regresividad;</w:t>
            </w:r>
            <w:r>
              <w:rPr>
                <w:color w:val="333333"/>
                <w:spacing w:val="4"/>
                <w:sz w:val="20"/>
              </w:rPr>
              <w:t xml:space="preserve"> </w:t>
            </w:r>
            <w:r>
              <w:rPr>
                <w:color w:val="333333"/>
                <w:sz w:val="20"/>
              </w:rPr>
              <w:t>la</w:t>
            </w:r>
            <w:r>
              <w:rPr>
                <w:color w:val="333333"/>
                <w:spacing w:val="4"/>
                <w:sz w:val="20"/>
              </w:rPr>
              <w:t xml:space="preserve"> </w:t>
            </w:r>
            <w:r>
              <w:rPr>
                <w:color w:val="333333"/>
                <w:spacing w:val="-2"/>
                <w:sz w:val="20"/>
              </w:rPr>
              <w:t>defensa</w:t>
            </w:r>
          </w:p>
          <w:p w14:paraId="08D691E9" w14:textId="77777777" w:rsidR="000E52B0" w:rsidRDefault="00F60D74">
            <w:pPr>
              <w:pStyle w:val="TableParagraph"/>
              <w:spacing w:line="240" w:lineRule="atLeast"/>
              <w:ind w:left="107" w:right="93"/>
              <w:jc w:val="both"/>
              <w:rPr>
                <w:sz w:val="20"/>
              </w:rPr>
            </w:pPr>
            <w:r>
              <w:rPr>
                <w:color w:val="333333"/>
                <w:sz w:val="20"/>
              </w:rPr>
              <w:t>de los sujetos de especial protección constitucional,</w:t>
            </w:r>
            <w:r>
              <w:rPr>
                <w:color w:val="333333"/>
                <w:spacing w:val="9"/>
                <w:sz w:val="20"/>
              </w:rPr>
              <w:t xml:space="preserve"> </w:t>
            </w:r>
            <w:r>
              <w:rPr>
                <w:color w:val="333333"/>
                <w:sz w:val="20"/>
              </w:rPr>
              <w:t>de</w:t>
            </w:r>
            <w:r>
              <w:rPr>
                <w:color w:val="333333"/>
                <w:spacing w:val="7"/>
                <w:sz w:val="20"/>
              </w:rPr>
              <w:t xml:space="preserve"> </w:t>
            </w:r>
            <w:r>
              <w:rPr>
                <w:color w:val="333333"/>
                <w:sz w:val="20"/>
              </w:rPr>
              <w:t>población</w:t>
            </w:r>
            <w:r>
              <w:rPr>
                <w:color w:val="333333"/>
                <w:spacing w:val="8"/>
                <w:sz w:val="20"/>
              </w:rPr>
              <w:t xml:space="preserve"> </w:t>
            </w:r>
            <w:r>
              <w:rPr>
                <w:color w:val="333333"/>
                <w:sz w:val="20"/>
              </w:rPr>
              <w:t>vulnerable</w:t>
            </w:r>
            <w:r>
              <w:rPr>
                <w:color w:val="333333"/>
                <w:spacing w:val="10"/>
                <w:sz w:val="20"/>
              </w:rPr>
              <w:t xml:space="preserve"> </w:t>
            </w:r>
            <w:r>
              <w:rPr>
                <w:color w:val="333333"/>
                <w:sz w:val="20"/>
              </w:rPr>
              <w:t>y</w:t>
            </w:r>
            <w:r>
              <w:rPr>
                <w:color w:val="333333"/>
                <w:spacing w:val="7"/>
                <w:sz w:val="20"/>
              </w:rPr>
              <w:t xml:space="preserve"> </w:t>
            </w:r>
            <w:r>
              <w:rPr>
                <w:color w:val="333333"/>
                <w:spacing w:val="-5"/>
                <w:sz w:val="20"/>
              </w:rPr>
              <w:t>de</w:t>
            </w:r>
          </w:p>
        </w:tc>
        <w:tc>
          <w:tcPr>
            <w:tcW w:w="4723" w:type="dxa"/>
          </w:tcPr>
          <w:p w14:paraId="2AA84713" w14:textId="77777777" w:rsidR="000E52B0" w:rsidRDefault="00F60D74">
            <w:pPr>
              <w:pStyle w:val="TableParagraph"/>
              <w:spacing w:line="243" w:lineRule="exact"/>
              <w:ind w:left="107"/>
              <w:jc w:val="both"/>
              <w:rPr>
                <w:b/>
                <w:sz w:val="20"/>
              </w:rPr>
            </w:pPr>
            <w:r>
              <w:rPr>
                <w:b/>
                <w:color w:val="333333"/>
                <w:sz w:val="20"/>
              </w:rPr>
              <w:t>ARTÍCULO</w:t>
            </w:r>
            <w:r>
              <w:rPr>
                <w:b/>
                <w:color w:val="333333"/>
                <w:spacing w:val="25"/>
                <w:sz w:val="20"/>
              </w:rPr>
              <w:t xml:space="preserve"> </w:t>
            </w:r>
            <w:r>
              <w:rPr>
                <w:b/>
                <w:color w:val="333333"/>
                <w:sz w:val="20"/>
              </w:rPr>
              <w:t>3.</w:t>
            </w:r>
            <w:r>
              <w:rPr>
                <w:b/>
                <w:color w:val="333333"/>
                <w:spacing w:val="21"/>
                <w:sz w:val="20"/>
              </w:rPr>
              <w:t xml:space="preserve"> </w:t>
            </w:r>
            <w:r>
              <w:rPr>
                <w:b/>
                <w:color w:val="333333"/>
                <w:sz w:val="20"/>
              </w:rPr>
              <w:t>OBJETO</w:t>
            </w:r>
            <w:r>
              <w:rPr>
                <w:b/>
                <w:color w:val="333333"/>
                <w:spacing w:val="25"/>
                <w:sz w:val="20"/>
              </w:rPr>
              <w:t xml:space="preserve"> </w:t>
            </w:r>
            <w:r>
              <w:rPr>
                <w:b/>
                <w:color w:val="333333"/>
                <w:sz w:val="20"/>
              </w:rPr>
              <w:t>DEL</w:t>
            </w:r>
            <w:r>
              <w:rPr>
                <w:b/>
                <w:color w:val="333333"/>
                <w:spacing w:val="23"/>
                <w:sz w:val="20"/>
              </w:rPr>
              <w:t xml:space="preserve"> </w:t>
            </w:r>
            <w:r>
              <w:rPr>
                <w:b/>
                <w:color w:val="333333"/>
                <w:spacing w:val="-2"/>
                <w:sz w:val="20"/>
              </w:rPr>
              <w:t>MINISTERIO</w:t>
            </w:r>
          </w:p>
          <w:p w14:paraId="14BB7CEC" w14:textId="77777777" w:rsidR="000E52B0" w:rsidRDefault="00F60D74">
            <w:pPr>
              <w:pStyle w:val="TableParagraph"/>
              <w:ind w:left="107" w:right="86"/>
              <w:jc w:val="both"/>
              <w:rPr>
                <w:sz w:val="20"/>
              </w:rPr>
            </w:pPr>
            <w:r>
              <w:rPr>
                <w:noProof/>
                <w:sz w:val="20"/>
              </w:rPr>
              <mc:AlternateContent>
                <mc:Choice Requires="wpg">
                  <w:drawing>
                    <wp:anchor distT="0" distB="0" distL="0" distR="0" simplePos="0" relativeHeight="482318336" behindDoc="1" locked="0" layoutInCell="1" allowOverlap="1" wp14:anchorId="014FD143" wp14:editId="6E1B9B74">
                      <wp:simplePos x="0" y="0"/>
                      <wp:positionH relativeFrom="column">
                        <wp:posOffset>2644394</wp:posOffset>
                      </wp:positionH>
                      <wp:positionV relativeFrom="paragraph">
                        <wp:posOffset>853487</wp:posOffset>
                      </wp:positionV>
                      <wp:extent cx="45720" cy="13970"/>
                      <wp:effectExtent l="0" t="0" r="0" b="0"/>
                      <wp:wrapNone/>
                      <wp:docPr id="764"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13970"/>
                                <a:chOff x="0" y="0"/>
                                <a:chExt cx="45720" cy="13970"/>
                              </a:xfrm>
                            </wpg:grpSpPr>
                            <wps:wsp>
                              <wps:cNvPr id="765" name="Graphic 765"/>
                              <wps:cNvSpPr/>
                              <wps:spPr>
                                <a:xfrm>
                                  <a:off x="0" y="0"/>
                                  <a:ext cx="45720" cy="13970"/>
                                </a:xfrm>
                                <a:custGeom>
                                  <a:avLst/>
                                  <a:gdLst/>
                                  <a:ahLst/>
                                  <a:cxnLst/>
                                  <a:rect l="l" t="t" r="r" b="b"/>
                                  <a:pathLst>
                                    <a:path w="45720" h="13970">
                                      <a:moveTo>
                                        <a:pt x="45720" y="0"/>
                                      </a:moveTo>
                                      <a:lnTo>
                                        <a:pt x="0" y="0"/>
                                      </a:lnTo>
                                      <a:lnTo>
                                        <a:pt x="0" y="13715"/>
                                      </a:lnTo>
                                      <a:lnTo>
                                        <a:pt x="45720" y="13715"/>
                                      </a:lnTo>
                                      <a:lnTo>
                                        <a:pt x="45720" y="0"/>
                                      </a:lnTo>
                                      <a:close/>
                                    </a:path>
                                  </a:pathLst>
                                </a:custGeom>
                                <a:solidFill>
                                  <a:srgbClr val="333333"/>
                                </a:solidFill>
                              </wps:spPr>
                              <wps:bodyPr wrap="square" lIns="0" tIns="0" rIns="0" bIns="0" rtlCol="0">
                                <a:prstTxWarp prst="textNoShape">
                                  <a:avLst/>
                                </a:prstTxWarp>
                                <a:noAutofit/>
                              </wps:bodyPr>
                            </wps:wsp>
                          </wpg:wgp>
                        </a:graphicData>
                      </a:graphic>
                    </wp:anchor>
                  </w:drawing>
                </mc:Choice>
                <mc:Fallback>
                  <w:pict>
                    <v:group w14:anchorId="2537C708" id="Group 764" o:spid="_x0000_s1026" style="position:absolute;margin-left:208.2pt;margin-top:67.2pt;width:3.6pt;height:1.1pt;z-index:-20998144;mso-wrap-distance-left:0;mso-wrap-distance-right:0" coordsize="4572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">
                      <v:shape id="Graphic 765" o:spid="_x0000_s1027" style="position:absolute;width:45720;height:13970;visibility:visible;mso-wrap-style:square;v-text-anchor:top" coordsize="4572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" path="m45720,l,,,13715r45720,l45720,xe" fillcolor="#333" stroked="f">
                        <v:path arrowok="t"/>
                      </v:shape>
                    </v:group>
                  </w:pict>
                </mc:Fallback>
              </mc:AlternateContent>
            </w:r>
            <w:r>
              <w:rPr>
                <w:b/>
                <w:color w:val="333333"/>
                <w:sz w:val="20"/>
              </w:rPr>
              <w:t>DE</w:t>
            </w:r>
            <w:r>
              <w:rPr>
                <w:b/>
                <w:color w:val="333333"/>
                <w:spacing w:val="-18"/>
                <w:sz w:val="20"/>
              </w:rPr>
              <w:t xml:space="preserve"> </w:t>
            </w:r>
            <w:r>
              <w:rPr>
                <w:b/>
                <w:color w:val="333333"/>
                <w:sz w:val="20"/>
              </w:rPr>
              <w:t>IGUALDAD</w:t>
            </w:r>
            <w:r>
              <w:rPr>
                <w:b/>
                <w:color w:val="333333"/>
                <w:spacing w:val="-17"/>
                <w:sz w:val="20"/>
              </w:rPr>
              <w:t xml:space="preserve"> </w:t>
            </w:r>
            <w:r>
              <w:rPr>
                <w:b/>
                <w:color w:val="333333"/>
                <w:sz w:val="20"/>
              </w:rPr>
              <w:t>Y</w:t>
            </w:r>
            <w:r>
              <w:rPr>
                <w:b/>
                <w:color w:val="333333"/>
                <w:spacing w:val="-17"/>
                <w:sz w:val="20"/>
              </w:rPr>
              <w:t xml:space="preserve"> </w:t>
            </w:r>
            <w:r>
              <w:rPr>
                <w:b/>
                <w:color w:val="333333"/>
                <w:sz w:val="20"/>
              </w:rPr>
              <w:t>EQUIDAD.</w:t>
            </w:r>
            <w:r>
              <w:rPr>
                <w:b/>
                <w:color w:val="333333"/>
                <w:spacing w:val="-17"/>
                <w:sz w:val="20"/>
              </w:rPr>
              <w:t xml:space="preserve"> </w:t>
            </w:r>
            <w:r>
              <w:rPr>
                <w:color w:val="333333"/>
                <w:sz w:val="20"/>
              </w:rPr>
              <w:t>El</w:t>
            </w:r>
            <w:r>
              <w:rPr>
                <w:color w:val="333333"/>
                <w:spacing w:val="-17"/>
                <w:sz w:val="20"/>
              </w:rPr>
              <w:t xml:space="preserve"> </w:t>
            </w:r>
            <w:r>
              <w:rPr>
                <w:color w:val="333333"/>
                <w:sz w:val="20"/>
              </w:rPr>
              <w:t>Ministerio</w:t>
            </w:r>
            <w:r>
              <w:rPr>
                <w:color w:val="333333"/>
                <w:spacing w:val="-18"/>
                <w:sz w:val="20"/>
              </w:rPr>
              <w:t xml:space="preserve"> </w:t>
            </w:r>
            <w:r>
              <w:rPr>
                <w:color w:val="333333"/>
                <w:sz w:val="20"/>
              </w:rPr>
              <w:t>de Igualdad y Equidad tiene</w:t>
            </w:r>
            <w:r>
              <w:rPr>
                <w:color w:val="333333"/>
                <w:spacing w:val="-1"/>
                <w:sz w:val="20"/>
              </w:rPr>
              <w:t xml:space="preserve"> </w:t>
            </w:r>
            <w:r>
              <w:rPr>
                <w:color w:val="333333"/>
                <w:sz w:val="20"/>
              </w:rPr>
              <w:t>como</w:t>
            </w:r>
            <w:r>
              <w:rPr>
                <w:color w:val="333333"/>
                <w:spacing w:val="-1"/>
                <w:sz w:val="20"/>
              </w:rPr>
              <w:t xml:space="preserve"> </w:t>
            </w:r>
            <w:r>
              <w:rPr>
                <w:color w:val="333333"/>
                <w:sz w:val="20"/>
              </w:rPr>
              <w:t>objeto, en el marco de los mandatos constitucionales, de la ley y de sus competencias, diseñar, formular, adoptar, dirigir, coordinar, articular, ejecut</w:t>
            </w:r>
            <w:r>
              <w:rPr>
                <w:b/>
                <w:color w:val="333333"/>
                <w:sz w:val="20"/>
                <w:u w:val="single" w:color="333333"/>
              </w:rPr>
              <w:t>ar,</w:t>
            </w:r>
            <w:r>
              <w:rPr>
                <w:b/>
                <w:color w:val="333333"/>
                <w:sz w:val="20"/>
              </w:rPr>
              <w:t xml:space="preserve"> </w:t>
            </w:r>
            <w:r>
              <w:rPr>
                <w:color w:val="333333"/>
                <w:sz w:val="20"/>
              </w:rPr>
              <w:t>fortalecer y evaluar</w:t>
            </w:r>
            <w:r>
              <w:rPr>
                <w:b/>
                <w:color w:val="333333"/>
                <w:sz w:val="20"/>
              </w:rPr>
              <w:t xml:space="preserve">. </w:t>
            </w:r>
            <w:r>
              <w:rPr>
                <w:color w:val="333333"/>
                <w:sz w:val="20"/>
              </w:rPr>
              <w:t>las políticas, planes, programas, estrategias, proyectos y medidas para contribuir en la eliminación de las desigualdades económicas, políticas y sociales; impulsar el goce del derecho a la igualdad; el cumplimiento de los principios de no discriminación</w:t>
            </w:r>
            <w:r>
              <w:rPr>
                <w:color w:val="333333"/>
                <w:spacing w:val="6"/>
                <w:sz w:val="20"/>
              </w:rPr>
              <w:t xml:space="preserve"> </w:t>
            </w:r>
            <w:r>
              <w:rPr>
                <w:color w:val="333333"/>
                <w:sz w:val="20"/>
              </w:rPr>
              <w:t>y</w:t>
            </w:r>
            <w:r>
              <w:rPr>
                <w:color w:val="333333"/>
                <w:spacing w:val="10"/>
                <w:sz w:val="20"/>
              </w:rPr>
              <w:t xml:space="preserve"> </w:t>
            </w:r>
            <w:r>
              <w:rPr>
                <w:color w:val="333333"/>
                <w:sz w:val="20"/>
              </w:rPr>
              <w:t>no</w:t>
            </w:r>
            <w:r>
              <w:rPr>
                <w:color w:val="333333"/>
                <w:spacing w:val="7"/>
                <w:sz w:val="20"/>
              </w:rPr>
              <w:t xml:space="preserve"> </w:t>
            </w:r>
            <w:r>
              <w:rPr>
                <w:color w:val="333333"/>
                <w:sz w:val="20"/>
              </w:rPr>
              <w:t>regresividad;</w:t>
            </w:r>
            <w:r>
              <w:rPr>
                <w:color w:val="333333"/>
                <w:spacing w:val="6"/>
                <w:sz w:val="20"/>
              </w:rPr>
              <w:t xml:space="preserve"> </w:t>
            </w:r>
            <w:r>
              <w:rPr>
                <w:color w:val="333333"/>
                <w:sz w:val="20"/>
              </w:rPr>
              <w:t>la</w:t>
            </w:r>
            <w:r>
              <w:rPr>
                <w:color w:val="333333"/>
                <w:spacing w:val="6"/>
                <w:sz w:val="20"/>
              </w:rPr>
              <w:t xml:space="preserve"> </w:t>
            </w:r>
            <w:r>
              <w:rPr>
                <w:color w:val="333333"/>
                <w:spacing w:val="-2"/>
                <w:sz w:val="20"/>
              </w:rPr>
              <w:t>defensa</w:t>
            </w:r>
          </w:p>
          <w:p w14:paraId="77B4151D" w14:textId="77777777" w:rsidR="000E52B0" w:rsidRDefault="00F60D74">
            <w:pPr>
              <w:pStyle w:val="TableParagraph"/>
              <w:spacing w:line="240" w:lineRule="atLeast"/>
              <w:ind w:left="107" w:right="89"/>
              <w:jc w:val="both"/>
              <w:rPr>
                <w:sz w:val="20"/>
              </w:rPr>
            </w:pPr>
            <w:r>
              <w:rPr>
                <w:color w:val="333333"/>
                <w:sz w:val="20"/>
              </w:rPr>
              <w:t>de los sujetos de especial protección constitucional,</w:t>
            </w:r>
            <w:r>
              <w:rPr>
                <w:color w:val="333333"/>
                <w:spacing w:val="11"/>
                <w:sz w:val="20"/>
              </w:rPr>
              <w:t xml:space="preserve"> </w:t>
            </w:r>
            <w:r>
              <w:rPr>
                <w:color w:val="333333"/>
                <w:sz w:val="20"/>
              </w:rPr>
              <w:t>de</w:t>
            </w:r>
            <w:r>
              <w:rPr>
                <w:color w:val="333333"/>
                <w:spacing w:val="12"/>
                <w:sz w:val="20"/>
              </w:rPr>
              <w:t xml:space="preserve"> </w:t>
            </w:r>
            <w:r>
              <w:rPr>
                <w:color w:val="333333"/>
                <w:sz w:val="20"/>
              </w:rPr>
              <w:t>población</w:t>
            </w:r>
            <w:r>
              <w:rPr>
                <w:color w:val="333333"/>
                <w:spacing w:val="10"/>
                <w:sz w:val="20"/>
              </w:rPr>
              <w:t xml:space="preserve"> </w:t>
            </w:r>
            <w:r>
              <w:rPr>
                <w:color w:val="333333"/>
                <w:sz w:val="20"/>
              </w:rPr>
              <w:t>vulnerable</w:t>
            </w:r>
            <w:r>
              <w:rPr>
                <w:color w:val="333333"/>
                <w:spacing w:val="10"/>
                <w:sz w:val="20"/>
              </w:rPr>
              <w:t xml:space="preserve"> </w:t>
            </w:r>
            <w:r>
              <w:rPr>
                <w:color w:val="333333"/>
                <w:sz w:val="20"/>
              </w:rPr>
              <w:t>y</w:t>
            </w:r>
            <w:r>
              <w:rPr>
                <w:color w:val="333333"/>
                <w:spacing w:val="12"/>
                <w:sz w:val="20"/>
              </w:rPr>
              <w:t xml:space="preserve"> </w:t>
            </w:r>
            <w:r>
              <w:rPr>
                <w:color w:val="333333"/>
                <w:spacing w:val="-5"/>
                <w:sz w:val="20"/>
              </w:rPr>
              <w:t>de</w:t>
            </w:r>
          </w:p>
        </w:tc>
        <w:tc>
          <w:tcPr>
            <w:tcW w:w="3809" w:type="dxa"/>
          </w:tcPr>
          <w:p w14:paraId="529B0041" w14:textId="77777777" w:rsidR="000E52B0" w:rsidRDefault="00F60D74">
            <w:pPr>
              <w:pStyle w:val="TableParagraph"/>
              <w:ind w:left="108"/>
              <w:rPr>
                <w:sz w:val="20"/>
              </w:rPr>
            </w:pPr>
            <w:r>
              <w:rPr>
                <w:sz w:val="20"/>
              </w:rPr>
              <w:t xml:space="preserve">Sin modificaciones, solo ajustes de </w:t>
            </w:r>
            <w:r>
              <w:rPr>
                <w:spacing w:val="-2"/>
                <w:sz w:val="20"/>
              </w:rPr>
              <w:t>redacción.</w:t>
            </w:r>
          </w:p>
        </w:tc>
      </w:tr>
    </w:tbl>
    <w:p w14:paraId="1AD9E780" w14:textId="77777777" w:rsidR="000E52B0" w:rsidRDefault="000E52B0">
      <w:pPr>
        <w:pStyle w:val="TableParagraph"/>
        <w:rPr>
          <w:sz w:val="20"/>
        </w:rPr>
        <w:sectPr w:rsidR="000E52B0">
          <w:headerReference w:type="even" r:id="rId232"/>
          <w:headerReference w:type="default" r:id="rId233"/>
          <w:footerReference w:type="default" r:id="rId234"/>
          <w:headerReference w:type="first" r:id="rId235"/>
          <w:pgSz w:w="16840" w:h="11910" w:orient="landscape"/>
          <w:pgMar w:top="1340" w:right="1800" w:bottom="1180" w:left="1440" w:header="0" w:footer="995" w:gutter="0"/>
          <w:cols w:space="720"/>
        </w:sectPr>
      </w:pPr>
    </w:p>
    <w:p w14:paraId="3492D9B7" w14:textId="77777777" w:rsidR="000E52B0" w:rsidRDefault="000E52B0">
      <w:pPr>
        <w:pStyle w:val="Textoindependiente"/>
        <w:spacing w:before="8" w:after="1"/>
        <w:ind w:left="0"/>
        <w:rPr>
          <w:b/>
          <w:sz w:val="7"/>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12"/>
        <w:gridCol w:w="4723"/>
        <w:gridCol w:w="3809"/>
      </w:tblGrid>
      <w:tr w:rsidR="000E52B0" w14:paraId="0FB54D09" w14:textId="77777777">
        <w:trPr>
          <w:trHeight w:val="1184"/>
        </w:trPr>
        <w:tc>
          <w:tcPr>
            <w:tcW w:w="4712" w:type="dxa"/>
          </w:tcPr>
          <w:p w14:paraId="00B70E83" w14:textId="77777777" w:rsidR="000E52B0" w:rsidRDefault="00F60D74">
            <w:pPr>
              <w:pStyle w:val="TableParagraph"/>
              <w:ind w:left="107" w:right="92"/>
              <w:jc w:val="both"/>
              <w:rPr>
                <w:sz w:val="20"/>
              </w:rPr>
            </w:pPr>
            <w:r>
              <w:rPr>
                <w:color w:val="333333"/>
                <w:sz w:val="20"/>
              </w:rPr>
              <w:t>grupos históricamente discriminados o marginados, incorporando y adoptando los enfoques de derechos, de género, diferencial, étnico - racial e interseccional.</w:t>
            </w:r>
          </w:p>
        </w:tc>
        <w:tc>
          <w:tcPr>
            <w:tcW w:w="4723" w:type="dxa"/>
          </w:tcPr>
          <w:p w14:paraId="09B46094" w14:textId="77777777" w:rsidR="000E52B0" w:rsidRDefault="00F60D74">
            <w:pPr>
              <w:pStyle w:val="TableParagraph"/>
              <w:ind w:left="107" w:right="88"/>
              <w:jc w:val="both"/>
              <w:rPr>
                <w:sz w:val="20"/>
              </w:rPr>
            </w:pPr>
            <w:r>
              <w:rPr>
                <w:color w:val="333333"/>
                <w:sz w:val="20"/>
              </w:rPr>
              <w:t>grupos históricamente discriminados o marginados;</w:t>
            </w:r>
            <w:r>
              <w:rPr>
                <w:color w:val="333333"/>
                <w:spacing w:val="-10"/>
                <w:sz w:val="20"/>
              </w:rPr>
              <w:t xml:space="preserve"> </w:t>
            </w:r>
            <w:r>
              <w:rPr>
                <w:b/>
                <w:color w:val="333333"/>
                <w:sz w:val="20"/>
              </w:rPr>
              <w:t>e</w:t>
            </w:r>
            <w:r>
              <w:rPr>
                <w:b/>
                <w:color w:val="333333"/>
                <w:spacing w:val="-10"/>
                <w:sz w:val="20"/>
              </w:rPr>
              <w:t xml:space="preserve"> </w:t>
            </w:r>
            <w:r>
              <w:rPr>
                <w:color w:val="333333"/>
                <w:sz w:val="20"/>
              </w:rPr>
              <w:t>incorporando</w:t>
            </w:r>
            <w:r>
              <w:rPr>
                <w:color w:val="333333"/>
                <w:spacing w:val="-15"/>
                <w:sz w:val="20"/>
              </w:rPr>
              <w:t xml:space="preserve"> </w:t>
            </w:r>
            <w:r>
              <w:rPr>
                <w:color w:val="333333"/>
                <w:sz w:val="20"/>
              </w:rPr>
              <w:t>y</w:t>
            </w:r>
            <w:r>
              <w:rPr>
                <w:color w:val="333333"/>
                <w:spacing w:val="-12"/>
                <w:sz w:val="20"/>
              </w:rPr>
              <w:t xml:space="preserve"> </w:t>
            </w:r>
            <w:r>
              <w:rPr>
                <w:color w:val="333333"/>
                <w:sz w:val="20"/>
              </w:rPr>
              <w:t>adoptando</w:t>
            </w:r>
            <w:r>
              <w:rPr>
                <w:color w:val="333333"/>
                <w:spacing w:val="-15"/>
                <w:sz w:val="20"/>
              </w:rPr>
              <w:t xml:space="preserve"> </w:t>
            </w:r>
            <w:r>
              <w:rPr>
                <w:color w:val="333333"/>
                <w:sz w:val="20"/>
              </w:rPr>
              <w:t>los enfoques de derechos, de género, diferencial, étnico-racial e interseccional.</w:t>
            </w:r>
          </w:p>
        </w:tc>
        <w:tc>
          <w:tcPr>
            <w:tcW w:w="3809" w:type="dxa"/>
          </w:tcPr>
          <w:p w14:paraId="67E9CEF4" w14:textId="77777777" w:rsidR="000E52B0" w:rsidRDefault="000E52B0">
            <w:pPr>
              <w:pStyle w:val="TableParagraph"/>
              <w:rPr>
                <w:rFonts w:ascii="Times New Roman"/>
                <w:sz w:val="18"/>
              </w:rPr>
            </w:pPr>
          </w:p>
        </w:tc>
      </w:tr>
      <w:tr w:rsidR="000E52B0" w14:paraId="34FFEFAC" w14:textId="77777777">
        <w:trPr>
          <w:trHeight w:val="7781"/>
        </w:trPr>
        <w:tc>
          <w:tcPr>
            <w:tcW w:w="4712" w:type="dxa"/>
          </w:tcPr>
          <w:p w14:paraId="3958FABB" w14:textId="77777777" w:rsidR="000E52B0" w:rsidRDefault="00F60D74">
            <w:pPr>
              <w:pStyle w:val="TableParagraph"/>
              <w:ind w:left="107"/>
              <w:jc w:val="both"/>
              <w:rPr>
                <w:sz w:val="20"/>
              </w:rPr>
            </w:pPr>
            <w:r>
              <w:rPr>
                <w:b/>
                <w:color w:val="333333"/>
                <w:sz w:val="20"/>
              </w:rPr>
              <w:t>ARTÍCULO</w:t>
            </w:r>
            <w:r>
              <w:rPr>
                <w:b/>
                <w:color w:val="333333"/>
                <w:spacing w:val="64"/>
                <w:sz w:val="20"/>
              </w:rPr>
              <w:t xml:space="preserve">  </w:t>
            </w:r>
            <w:r>
              <w:rPr>
                <w:b/>
                <w:color w:val="333333"/>
                <w:sz w:val="20"/>
              </w:rPr>
              <w:t>4.</w:t>
            </w:r>
            <w:r>
              <w:rPr>
                <w:b/>
                <w:color w:val="333333"/>
                <w:spacing w:val="63"/>
                <w:sz w:val="20"/>
              </w:rPr>
              <w:t xml:space="preserve">  </w:t>
            </w:r>
            <w:r>
              <w:rPr>
                <w:b/>
                <w:color w:val="333333"/>
                <w:sz w:val="20"/>
              </w:rPr>
              <w:t>FUNCIONES.</w:t>
            </w:r>
            <w:r>
              <w:rPr>
                <w:b/>
                <w:color w:val="333333"/>
                <w:spacing w:val="65"/>
                <w:sz w:val="20"/>
              </w:rPr>
              <w:t xml:space="preserve">  </w:t>
            </w:r>
            <w:proofErr w:type="gramStart"/>
            <w:r>
              <w:rPr>
                <w:color w:val="333333"/>
                <w:sz w:val="20"/>
              </w:rPr>
              <w:t>Para</w:t>
            </w:r>
            <w:r>
              <w:rPr>
                <w:color w:val="333333"/>
                <w:spacing w:val="63"/>
                <w:sz w:val="20"/>
              </w:rPr>
              <w:t xml:space="preserve">  </w:t>
            </w:r>
            <w:r>
              <w:rPr>
                <w:color w:val="333333"/>
                <w:spacing w:val="-5"/>
                <w:sz w:val="20"/>
              </w:rPr>
              <w:t>el</w:t>
            </w:r>
            <w:proofErr w:type="gramEnd"/>
          </w:p>
          <w:p w14:paraId="2597B512" w14:textId="77777777" w:rsidR="000E52B0" w:rsidRDefault="00F60D74">
            <w:pPr>
              <w:pStyle w:val="TableParagraph"/>
              <w:spacing w:before="2"/>
              <w:ind w:left="107" w:right="91"/>
              <w:jc w:val="both"/>
              <w:rPr>
                <w:sz w:val="20"/>
              </w:rPr>
            </w:pPr>
            <w:r>
              <w:rPr>
                <w:color w:val="333333"/>
                <w:sz w:val="20"/>
              </w:rPr>
              <w:t>cumplimiento de su objeto, el Ministerio de Igualdad</w:t>
            </w:r>
            <w:r>
              <w:rPr>
                <w:color w:val="333333"/>
                <w:spacing w:val="-2"/>
                <w:sz w:val="20"/>
              </w:rPr>
              <w:t xml:space="preserve"> </w:t>
            </w:r>
            <w:r>
              <w:rPr>
                <w:color w:val="333333"/>
                <w:sz w:val="20"/>
              </w:rPr>
              <w:t>y</w:t>
            </w:r>
            <w:r>
              <w:rPr>
                <w:color w:val="333333"/>
                <w:spacing w:val="-3"/>
                <w:sz w:val="20"/>
              </w:rPr>
              <w:t xml:space="preserve"> </w:t>
            </w:r>
            <w:r>
              <w:rPr>
                <w:color w:val="333333"/>
                <w:sz w:val="20"/>
              </w:rPr>
              <w:t>Equidad</w:t>
            </w:r>
            <w:r>
              <w:rPr>
                <w:color w:val="333333"/>
                <w:spacing w:val="-2"/>
                <w:sz w:val="20"/>
              </w:rPr>
              <w:t xml:space="preserve"> </w:t>
            </w:r>
            <w:r>
              <w:rPr>
                <w:color w:val="333333"/>
                <w:sz w:val="20"/>
              </w:rPr>
              <w:t>cumplirá,</w:t>
            </w:r>
            <w:r>
              <w:rPr>
                <w:color w:val="333333"/>
                <w:spacing w:val="-3"/>
                <w:sz w:val="20"/>
              </w:rPr>
              <w:t xml:space="preserve"> </w:t>
            </w:r>
            <w:r>
              <w:rPr>
                <w:color w:val="333333"/>
                <w:sz w:val="20"/>
              </w:rPr>
              <w:t>además</w:t>
            </w:r>
            <w:r>
              <w:rPr>
                <w:color w:val="333333"/>
                <w:spacing w:val="-3"/>
                <w:sz w:val="20"/>
              </w:rPr>
              <w:t xml:space="preserve"> </w:t>
            </w:r>
            <w:r>
              <w:rPr>
                <w:color w:val="333333"/>
                <w:sz w:val="20"/>
              </w:rPr>
              <w:t>de</w:t>
            </w:r>
            <w:r>
              <w:rPr>
                <w:color w:val="333333"/>
                <w:spacing w:val="-3"/>
                <w:sz w:val="20"/>
              </w:rPr>
              <w:t xml:space="preserve"> </w:t>
            </w:r>
            <w:r>
              <w:rPr>
                <w:color w:val="333333"/>
                <w:sz w:val="20"/>
              </w:rPr>
              <w:t>las señaladas en la Constitución Política y en el artícul</w:t>
            </w:r>
            <w:r>
              <w:rPr>
                <w:sz w:val="20"/>
              </w:rPr>
              <w:t xml:space="preserve">o 59 de </w:t>
            </w:r>
            <w:r>
              <w:rPr>
                <w:color w:val="333333"/>
                <w:sz w:val="20"/>
              </w:rPr>
              <w:t>la Ley 489 de 1998, las siguientes funciones:</w:t>
            </w:r>
          </w:p>
          <w:p w14:paraId="480A44E9" w14:textId="77777777" w:rsidR="000E52B0" w:rsidRDefault="00F60D74">
            <w:pPr>
              <w:pStyle w:val="TableParagraph"/>
              <w:numPr>
                <w:ilvl w:val="0"/>
                <w:numId w:val="26"/>
              </w:numPr>
              <w:tabs>
                <w:tab w:val="left" w:pos="377"/>
                <w:tab w:val="left" w:pos="379"/>
              </w:tabs>
              <w:ind w:right="89"/>
              <w:jc w:val="both"/>
              <w:rPr>
                <w:sz w:val="20"/>
              </w:rPr>
            </w:pPr>
            <w:r>
              <w:rPr>
                <w:color w:val="333333"/>
                <w:sz w:val="20"/>
              </w:rPr>
              <w:t>Formular, adoptar, dirigir, coordinar, ejecutar y articular las políticas, planes, programas. Estrategias, proyectos y medidas para el cumplimiento del objeto del Ministerio y ámbito de competencias.</w:t>
            </w:r>
          </w:p>
          <w:p w14:paraId="4D028286" w14:textId="77777777" w:rsidR="000E52B0" w:rsidRDefault="00F60D74">
            <w:pPr>
              <w:pStyle w:val="TableParagraph"/>
              <w:numPr>
                <w:ilvl w:val="0"/>
                <w:numId w:val="26"/>
              </w:numPr>
              <w:tabs>
                <w:tab w:val="left" w:pos="377"/>
                <w:tab w:val="left" w:pos="379"/>
              </w:tabs>
              <w:ind w:right="91"/>
              <w:jc w:val="both"/>
              <w:rPr>
                <w:sz w:val="20"/>
              </w:rPr>
            </w:pPr>
            <w:r>
              <w:rPr>
                <w:color w:val="333333"/>
                <w:sz w:val="20"/>
              </w:rPr>
              <w:t>Adoptar y ejecutar planes, programas, estrategias y proyectos para definir, gestionar</w:t>
            </w:r>
            <w:r>
              <w:rPr>
                <w:color w:val="333333"/>
                <w:spacing w:val="-18"/>
                <w:sz w:val="20"/>
              </w:rPr>
              <w:t xml:space="preserve"> </w:t>
            </w:r>
            <w:r>
              <w:rPr>
                <w:color w:val="333333"/>
                <w:sz w:val="20"/>
              </w:rPr>
              <w:t>y</w:t>
            </w:r>
            <w:r>
              <w:rPr>
                <w:color w:val="333333"/>
                <w:spacing w:val="-18"/>
                <w:sz w:val="20"/>
              </w:rPr>
              <w:t xml:space="preserve"> </w:t>
            </w:r>
            <w:r>
              <w:rPr>
                <w:color w:val="333333"/>
                <w:sz w:val="20"/>
              </w:rPr>
              <w:t>focalizar</w:t>
            </w:r>
            <w:r>
              <w:rPr>
                <w:color w:val="333333"/>
                <w:spacing w:val="-17"/>
                <w:sz w:val="20"/>
              </w:rPr>
              <w:t xml:space="preserve"> </w:t>
            </w:r>
            <w:r>
              <w:rPr>
                <w:color w:val="333333"/>
                <w:sz w:val="20"/>
              </w:rPr>
              <w:t>acciones</w:t>
            </w:r>
            <w:r>
              <w:rPr>
                <w:color w:val="333333"/>
                <w:spacing w:val="-18"/>
                <w:sz w:val="20"/>
              </w:rPr>
              <w:t xml:space="preserve"> </w:t>
            </w:r>
            <w:r>
              <w:rPr>
                <w:color w:val="333333"/>
                <w:sz w:val="20"/>
              </w:rPr>
              <w:t>dirigidas</w:t>
            </w:r>
            <w:r>
              <w:rPr>
                <w:color w:val="333333"/>
                <w:spacing w:val="-17"/>
                <w:sz w:val="20"/>
              </w:rPr>
              <w:t xml:space="preserve"> </w:t>
            </w:r>
            <w:r>
              <w:rPr>
                <w:color w:val="333333"/>
                <w:sz w:val="20"/>
              </w:rPr>
              <w:t>a</w:t>
            </w:r>
            <w:r>
              <w:rPr>
                <w:color w:val="333333"/>
                <w:spacing w:val="-18"/>
                <w:sz w:val="20"/>
              </w:rPr>
              <w:t xml:space="preserve"> </w:t>
            </w:r>
            <w:r>
              <w:rPr>
                <w:color w:val="333333"/>
                <w:sz w:val="20"/>
              </w:rPr>
              <w:t>la eliminación de todas las violencias contra las mujeres así como la eliminación de barreras</w:t>
            </w:r>
            <w:r>
              <w:rPr>
                <w:color w:val="333333"/>
                <w:spacing w:val="-18"/>
                <w:sz w:val="20"/>
              </w:rPr>
              <w:t xml:space="preserve"> </w:t>
            </w:r>
            <w:r>
              <w:rPr>
                <w:color w:val="333333"/>
                <w:sz w:val="20"/>
              </w:rPr>
              <w:t>económicas,</w:t>
            </w:r>
            <w:r>
              <w:rPr>
                <w:color w:val="333333"/>
                <w:spacing w:val="-18"/>
                <w:sz w:val="20"/>
              </w:rPr>
              <w:t xml:space="preserve"> </w:t>
            </w:r>
            <w:r>
              <w:rPr>
                <w:color w:val="333333"/>
                <w:sz w:val="20"/>
              </w:rPr>
              <w:t>sociales</w:t>
            </w:r>
            <w:r>
              <w:rPr>
                <w:color w:val="333333"/>
                <w:spacing w:val="-17"/>
                <w:sz w:val="20"/>
              </w:rPr>
              <w:t xml:space="preserve"> </w:t>
            </w:r>
            <w:r>
              <w:rPr>
                <w:color w:val="333333"/>
                <w:sz w:val="20"/>
              </w:rPr>
              <w:t>y</w:t>
            </w:r>
            <w:r>
              <w:rPr>
                <w:color w:val="333333"/>
                <w:spacing w:val="-18"/>
                <w:sz w:val="20"/>
              </w:rPr>
              <w:t xml:space="preserve"> </w:t>
            </w:r>
            <w:r>
              <w:rPr>
                <w:color w:val="333333"/>
                <w:sz w:val="20"/>
              </w:rPr>
              <w:t>políticas</w:t>
            </w:r>
            <w:r>
              <w:rPr>
                <w:color w:val="333333"/>
                <w:spacing w:val="-17"/>
                <w:sz w:val="20"/>
              </w:rPr>
              <w:t xml:space="preserve"> </w:t>
            </w:r>
            <w:r>
              <w:rPr>
                <w:color w:val="333333"/>
                <w:sz w:val="20"/>
              </w:rPr>
              <w:t>o de discriminación contra ellas.</w:t>
            </w:r>
          </w:p>
          <w:p w14:paraId="74562D63" w14:textId="77777777" w:rsidR="000E52B0" w:rsidRDefault="00F60D74">
            <w:pPr>
              <w:pStyle w:val="TableParagraph"/>
              <w:numPr>
                <w:ilvl w:val="0"/>
                <w:numId w:val="26"/>
              </w:numPr>
              <w:tabs>
                <w:tab w:val="left" w:pos="377"/>
                <w:tab w:val="left" w:pos="379"/>
              </w:tabs>
              <w:ind w:right="89"/>
              <w:jc w:val="both"/>
              <w:rPr>
                <w:sz w:val="20"/>
              </w:rPr>
            </w:pPr>
            <w:r>
              <w:rPr>
                <w:color w:val="333333"/>
                <w:sz w:val="20"/>
              </w:rPr>
              <w:t>Formular, adoptar y ejecutar planes, programas, estrategias y proyectos para definir, gestionar y focalizar la oferta social</w:t>
            </w:r>
            <w:r>
              <w:rPr>
                <w:color w:val="333333"/>
                <w:spacing w:val="-10"/>
                <w:sz w:val="20"/>
              </w:rPr>
              <w:t xml:space="preserve"> </w:t>
            </w:r>
            <w:r>
              <w:rPr>
                <w:color w:val="333333"/>
                <w:sz w:val="20"/>
              </w:rPr>
              <w:t>de</w:t>
            </w:r>
            <w:r>
              <w:rPr>
                <w:color w:val="333333"/>
                <w:spacing w:val="-12"/>
                <w:sz w:val="20"/>
              </w:rPr>
              <w:t xml:space="preserve"> </w:t>
            </w:r>
            <w:r>
              <w:rPr>
                <w:color w:val="333333"/>
                <w:sz w:val="20"/>
              </w:rPr>
              <w:t>las</w:t>
            </w:r>
            <w:r>
              <w:rPr>
                <w:color w:val="333333"/>
                <w:spacing w:val="-9"/>
                <w:sz w:val="20"/>
              </w:rPr>
              <w:t xml:space="preserve"> </w:t>
            </w:r>
            <w:r>
              <w:rPr>
                <w:color w:val="333333"/>
                <w:sz w:val="20"/>
              </w:rPr>
              <w:t>entidades</w:t>
            </w:r>
            <w:r>
              <w:rPr>
                <w:color w:val="333333"/>
                <w:spacing w:val="-11"/>
                <w:sz w:val="20"/>
              </w:rPr>
              <w:t xml:space="preserve"> </w:t>
            </w:r>
            <w:r>
              <w:rPr>
                <w:color w:val="333333"/>
                <w:sz w:val="20"/>
              </w:rPr>
              <w:t>del</w:t>
            </w:r>
            <w:r>
              <w:rPr>
                <w:color w:val="333333"/>
                <w:spacing w:val="-10"/>
                <w:sz w:val="20"/>
              </w:rPr>
              <w:t xml:space="preserve"> </w:t>
            </w:r>
            <w:r>
              <w:rPr>
                <w:color w:val="333333"/>
                <w:sz w:val="20"/>
              </w:rPr>
              <w:t>Orden</w:t>
            </w:r>
            <w:r>
              <w:rPr>
                <w:color w:val="333333"/>
                <w:spacing w:val="-7"/>
                <w:sz w:val="20"/>
              </w:rPr>
              <w:t xml:space="preserve"> </w:t>
            </w:r>
            <w:r>
              <w:rPr>
                <w:color w:val="333333"/>
                <w:sz w:val="20"/>
              </w:rPr>
              <w:t>Nacional en el territorio, con criterios de eficiencia y eficacia, priorizando territorios y poblaciones históricamente excluidas.</w:t>
            </w:r>
          </w:p>
          <w:p w14:paraId="29181F95" w14:textId="77777777" w:rsidR="000E52B0" w:rsidRDefault="00F60D74">
            <w:pPr>
              <w:pStyle w:val="TableParagraph"/>
              <w:numPr>
                <w:ilvl w:val="0"/>
                <w:numId w:val="26"/>
              </w:numPr>
              <w:tabs>
                <w:tab w:val="left" w:pos="377"/>
                <w:tab w:val="left" w:pos="379"/>
              </w:tabs>
              <w:ind w:right="91"/>
              <w:jc w:val="both"/>
              <w:rPr>
                <w:sz w:val="20"/>
              </w:rPr>
            </w:pPr>
            <w:r>
              <w:rPr>
                <w:color w:val="333333"/>
                <w:sz w:val="20"/>
              </w:rPr>
              <w:t>Coordinar, articular e impartir directrices a las entidades del orden nacional, departamental,</w:t>
            </w:r>
            <w:r>
              <w:rPr>
                <w:color w:val="333333"/>
                <w:spacing w:val="-9"/>
                <w:sz w:val="20"/>
              </w:rPr>
              <w:t xml:space="preserve"> </w:t>
            </w:r>
            <w:r>
              <w:rPr>
                <w:color w:val="333333"/>
                <w:sz w:val="20"/>
              </w:rPr>
              <w:t>distrital</w:t>
            </w:r>
            <w:r>
              <w:rPr>
                <w:color w:val="333333"/>
                <w:spacing w:val="-6"/>
                <w:sz w:val="20"/>
              </w:rPr>
              <w:t xml:space="preserve"> </w:t>
            </w:r>
            <w:r>
              <w:rPr>
                <w:color w:val="333333"/>
                <w:sz w:val="20"/>
              </w:rPr>
              <w:t>y</w:t>
            </w:r>
            <w:r>
              <w:rPr>
                <w:color w:val="333333"/>
                <w:spacing w:val="-9"/>
                <w:sz w:val="20"/>
              </w:rPr>
              <w:t xml:space="preserve"> </w:t>
            </w:r>
            <w:r>
              <w:rPr>
                <w:color w:val="333333"/>
                <w:sz w:val="20"/>
              </w:rPr>
              <w:t>municipal</w:t>
            </w:r>
            <w:r>
              <w:rPr>
                <w:color w:val="333333"/>
                <w:spacing w:val="-8"/>
                <w:sz w:val="20"/>
              </w:rPr>
              <w:t xml:space="preserve"> </w:t>
            </w:r>
            <w:r>
              <w:rPr>
                <w:color w:val="333333"/>
                <w:sz w:val="20"/>
              </w:rPr>
              <w:t>sobre la</w:t>
            </w:r>
            <w:r>
              <w:rPr>
                <w:color w:val="333333"/>
                <w:spacing w:val="-18"/>
                <w:sz w:val="20"/>
              </w:rPr>
              <w:t xml:space="preserve"> </w:t>
            </w:r>
            <w:r>
              <w:rPr>
                <w:color w:val="333333"/>
                <w:sz w:val="20"/>
              </w:rPr>
              <w:t>intervención</w:t>
            </w:r>
            <w:r>
              <w:rPr>
                <w:color w:val="333333"/>
                <w:spacing w:val="-18"/>
                <w:sz w:val="20"/>
              </w:rPr>
              <w:t xml:space="preserve"> </w:t>
            </w:r>
            <w:r>
              <w:rPr>
                <w:color w:val="333333"/>
                <w:sz w:val="20"/>
              </w:rPr>
              <w:t>de</w:t>
            </w:r>
            <w:r>
              <w:rPr>
                <w:color w:val="333333"/>
                <w:spacing w:val="-17"/>
                <w:sz w:val="20"/>
              </w:rPr>
              <w:t xml:space="preserve"> </w:t>
            </w:r>
            <w:r>
              <w:rPr>
                <w:color w:val="333333"/>
                <w:sz w:val="20"/>
              </w:rPr>
              <w:t>grupos</w:t>
            </w:r>
            <w:r>
              <w:rPr>
                <w:color w:val="333333"/>
                <w:spacing w:val="-18"/>
                <w:sz w:val="20"/>
              </w:rPr>
              <w:t xml:space="preserve"> </w:t>
            </w:r>
            <w:r>
              <w:rPr>
                <w:color w:val="333333"/>
                <w:sz w:val="20"/>
              </w:rPr>
              <w:t>y</w:t>
            </w:r>
            <w:r>
              <w:rPr>
                <w:color w:val="333333"/>
                <w:spacing w:val="-17"/>
                <w:sz w:val="20"/>
              </w:rPr>
              <w:t xml:space="preserve"> </w:t>
            </w:r>
            <w:r>
              <w:rPr>
                <w:color w:val="333333"/>
                <w:sz w:val="20"/>
              </w:rPr>
              <w:t>poblaciones</w:t>
            </w:r>
            <w:r>
              <w:rPr>
                <w:color w:val="333333"/>
                <w:spacing w:val="-18"/>
                <w:sz w:val="20"/>
              </w:rPr>
              <w:t xml:space="preserve"> </w:t>
            </w:r>
            <w:r>
              <w:rPr>
                <w:color w:val="333333"/>
                <w:sz w:val="20"/>
              </w:rPr>
              <w:t>en el ámbito de sus competencias.</w:t>
            </w:r>
          </w:p>
          <w:p w14:paraId="1D807145" w14:textId="77777777" w:rsidR="000E52B0" w:rsidRDefault="00F60D74">
            <w:pPr>
              <w:pStyle w:val="TableParagraph"/>
              <w:numPr>
                <w:ilvl w:val="0"/>
                <w:numId w:val="26"/>
              </w:numPr>
              <w:tabs>
                <w:tab w:val="left" w:pos="377"/>
                <w:tab w:val="left" w:pos="379"/>
              </w:tabs>
              <w:spacing w:line="240" w:lineRule="atLeast"/>
              <w:ind w:right="93"/>
              <w:jc w:val="both"/>
              <w:rPr>
                <w:sz w:val="20"/>
              </w:rPr>
            </w:pPr>
            <w:r>
              <w:rPr>
                <w:color w:val="333333"/>
                <w:sz w:val="20"/>
              </w:rPr>
              <w:t>Promover</w:t>
            </w:r>
            <w:r>
              <w:rPr>
                <w:color w:val="333333"/>
                <w:spacing w:val="-10"/>
                <w:sz w:val="20"/>
              </w:rPr>
              <w:t xml:space="preserve"> </w:t>
            </w:r>
            <w:r>
              <w:rPr>
                <w:color w:val="333333"/>
                <w:sz w:val="20"/>
              </w:rPr>
              <w:t>herramientas</w:t>
            </w:r>
            <w:r>
              <w:rPr>
                <w:color w:val="333333"/>
                <w:spacing w:val="-10"/>
                <w:sz w:val="20"/>
              </w:rPr>
              <w:t xml:space="preserve"> </w:t>
            </w:r>
            <w:r>
              <w:rPr>
                <w:color w:val="333333"/>
                <w:sz w:val="20"/>
              </w:rPr>
              <w:t>de</w:t>
            </w:r>
            <w:r>
              <w:rPr>
                <w:color w:val="333333"/>
                <w:spacing w:val="-10"/>
                <w:sz w:val="20"/>
              </w:rPr>
              <w:t xml:space="preserve"> </w:t>
            </w:r>
            <w:r>
              <w:rPr>
                <w:color w:val="333333"/>
                <w:sz w:val="20"/>
              </w:rPr>
              <w:t>participación</w:t>
            </w:r>
            <w:r>
              <w:rPr>
                <w:color w:val="333333"/>
                <w:spacing w:val="-9"/>
                <w:sz w:val="20"/>
              </w:rPr>
              <w:t xml:space="preserve"> </w:t>
            </w:r>
            <w:r>
              <w:rPr>
                <w:color w:val="333333"/>
                <w:sz w:val="20"/>
              </w:rPr>
              <w:t>y organización ciudadana para fortalecer la</w:t>
            </w:r>
          </w:p>
        </w:tc>
        <w:tc>
          <w:tcPr>
            <w:tcW w:w="4723" w:type="dxa"/>
          </w:tcPr>
          <w:p w14:paraId="63862B3F" w14:textId="77777777" w:rsidR="000E52B0" w:rsidRDefault="00F60D74">
            <w:pPr>
              <w:pStyle w:val="TableParagraph"/>
              <w:ind w:left="107"/>
              <w:jc w:val="both"/>
              <w:rPr>
                <w:sz w:val="20"/>
              </w:rPr>
            </w:pPr>
            <w:r>
              <w:rPr>
                <w:b/>
                <w:color w:val="333333"/>
                <w:sz w:val="20"/>
              </w:rPr>
              <w:t>ARTÍCULO</w:t>
            </w:r>
            <w:r>
              <w:rPr>
                <w:b/>
                <w:color w:val="333333"/>
                <w:spacing w:val="65"/>
                <w:sz w:val="20"/>
              </w:rPr>
              <w:t xml:space="preserve">  </w:t>
            </w:r>
            <w:r>
              <w:rPr>
                <w:b/>
                <w:color w:val="333333"/>
                <w:sz w:val="20"/>
              </w:rPr>
              <w:t>4.</w:t>
            </w:r>
            <w:r>
              <w:rPr>
                <w:b/>
                <w:color w:val="333333"/>
                <w:spacing w:val="65"/>
                <w:sz w:val="20"/>
              </w:rPr>
              <w:t xml:space="preserve">  </w:t>
            </w:r>
            <w:r>
              <w:rPr>
                <w:b/>
                <w:color w:val="333333"/>
                <w:sz w:val="20"/>
              </w:rPr>
              <w:t>FUNCIONES.</w:t>
            </w:r>
            <w:r>
              <w:rPr>
                <w:b/>
                <w:color w:val="333333"/>
                <w:spacing w:val="67"/>
                <w:sz w:val="20"/>
              </w:rPr>
              <w:t xml:space="preserve">  </w:t>
            </w:r>
            <w:proofErr w:type="gramStart"/>
            <w:r>
              <w:rPr>
                <w:color w:val="333333"/>
                <w:sz w:val="20"/>
              </w:rPr>
              <w:t>Para</w:t>
            </w:r>
            <w:r>
              <w:rPr>
                <w:color w:val="333333"/>
                <w:spacing w:val="65"/>
                <w:sz w:val="20"/>
              </w:rPr>
              <w:t xml:space="preserve">  </w:t>
            </w:r>
            <w:r>
              <w:rPr>
                <w:color w:val="333333"/>
                <w:spacing w:val="-5"/>
                <w:sz w:val="20"/>
              </w:rPr>
              <w:t>el</w:t>
            </w:r>
            <w:proofErr w:type="gramEnd"/>
          </w:p>
          <w:p w14:paraId="2D35FF28" w14:textId="77777777" w:rsidR="000E52B0" w:rsidRDefault="00F60D74">
            <w:pPr>
              <w:pStyle w:val="TableParagraph"/>
              <w:spacing w:before="2"/>
              <w:ind w:left="107" w:right="90"/>
              <w:jc w:val="both"/>
              <w:rPr>
                <w:sz w:val="20"/>
              </w:rPr>
            </w:pPr>
            <w:r>
              <w:rPr>
                <w:color w:val="333333"/>
                <w:sz w:val="20"/>
              </w:rPr>
              <w:t>cumplimiento de su objeto, el Ministerio de Igualdad y Equidad cumplirá, además</w:t>
            </w:r>
            <w:r>
              <w:rPr>
                <w:color w:val="333333"/>
                <w:spacing w:val="-1"/>
                <w:sz w:val="20"/>
              </w:rPr>
              <w:t xml:space="preserve"> </w:t>
            </w:r>
            <w:r>
              <w:rPr>
                <w:color w:val="333333"/>
                <w:sz w:val="20"/>
              </w:rPr>
              <w:t>de</w:t>
            </w:r>
            <w:r>
              <w:rPr>
                <w:color w:val="333333"/>
                <w:spacing w:val="-1"/>
                <w:sz w:val="20"/>
              </w:rPr>
              <w:t xml:space="preserve"> </w:t>
            </w:r>
            <w:r>
              <w:rPr>
                <w:color w:val="333333"/>
                <w:sz w:val="20"/>
              </w:rPr>
              <w:t>las señaladas en la Constitución Política y en el artículo 59 de la Ley 489 de 1998, las siguientes funciones:</w:t>
            </w:r>
          </w:p>
          <w:p w14:paraId="0B8A7142" w14:textId="77777777" w:rsidR="000E52B0" w:rsidRDefault="00F60D74">
            <w:pPr>
              <w:pStyle w:val="TableParagraph"/>
              <w:numPr>
                <w:ilvl w:val="0"/>
                <w:numId w:val="25"/>
              </w:numPr>
              <w:tabs>
                <w:tab w:val="left" w:pos="377"/>
                <w:tab w:val="left" w:pos="379"/>
              </w:tabs>
              <w:ind w:right="87"/>
              <w:jc w:val="both"/>
              <w:rPr>
                <w:sz w:val="20"/>
              </w:rPr>
            </w:pPr>
            <w:r>
              <w:rPr>
                <w:color w:val="333333"/>
                <w:sz w:val="20"/>
              </w:rPr>
              <w:t>Formular, adoptar, dirigir, coordinar, ejecutar y articular las políticas, planes, programas</w:t>
            </w:r>
            <w:r>
              <w:rPr>
                <w:b/>
                <w:color w:val="333333"/>
                <w:sz w:val="20"/>
              </w:rPr>
              <w:t xml:space="preserve">, </w:t>
            </w:r>
            <w:r>
              <w:rPr>
                <w:b/>
                <w:color w:val="333333"/>
                <w:sz w:val="20"/>
                <w:u w:val="single" w:color="333333"/>
              </w:rPr>
              <w:t>e</w:t>
            </w:r>
            <w:r>
              <w:rPr>
                <w:color w:val="333333"/>
                <w:sz w:val="20"/>
              </w:rPr>
              <w:t>strategias, proyectos y medidas para el cumplimiento del objeto del Ministerio y ámbito de competencias.</w:t>
            </w:r>
          </w:p>
          <w:p w14:paraId="5927AEA4" w14:textId="77777777" w:rsidR="000E52B0" w:rsidRDefault="00F60D74">
            <w:pPr>
              <w:pStyle w:val="TableParagraph"/>
              <w:numPr>
                <w:ilvl w:val="0"/>
                <w:numId w:val="25"/>
              </w:numPr>
              <w:tabs>
                <w:tab w:val="left" w:pos="377"/>
                <w:tab w:val="left" w:pos="379"/>
              </w:tabs>
              <w:ind w:right="86"/>
              <w:jc w:val="both"/>
              <w:rPr>
                <w:sz w:val="20"/>
              </w:rPr>
            </w:pPr>
            <w:r>
              <w:rPr>
                <w:color w:val="333333"/>
                <w:sz w:val="20"/>
              </w:rPr>
              <w:t>Adoptar y ejecutar planes, programas, estrategias y proyectos para definir, gestionar</w:t>
            </w:r>
            <w:r>
              <w:rPr>
                <w:color w:val="333333"/>
                <w:spacing w:val="-18"/>
                <w:sz w:val="20"/>
              </w:rPr>
              <w:t xml:space="preserve"> </w:t>
            </w:r>
            <w:r>
              <w:rPr>
                <w:color w:val="333333"/>
                <w:sz w:val="20"/>
              </w:rPr>
              <w:t>y</w:t>
            </w:r>
            <w:r>
              <w:rPr>
                <w:color w:val="333333"/>
                <w:spacing w:val="-18"/>
                <w:sz w:val="20"/>
              </w:rPr>
              <w:t xml:space="preserve"> </w:t>
            </w:r>
            <w:r>
              <w:rPr>
                <w:color w:val="333333"/>
                <w:sz w:val="20"/>
              </w:rPr>
              <w:t>focalizar</w:t>
            </w:r>
            <w:r>
              <w:rPr>
                <w:color w:val="333333"/>
                <w:spacing w:val="-17"/>
                <w:sz w:val="20"/>
              </w:rPr>
              <w:t xml:space="preserve"> </w:t>
            </w:r>
            <w:r>
              <w:rPr>
                <w:color w:val="333333"/>
                <w:sz w:val="20"/>
              </w:rPr>
              <w:t>acciones</w:t>
            </w:r>
            <w:r>
              <w:rPr>
                <w:color w:val="333333"/>
                <w:spacing w:val="-18"/>
                <w:sz w:val="20"/>
              </w:rPr>
              <w:t xml:space="preserve"> </w:t>
            </w:r>
            <w:r>
              <w:rPr>
                <w:color w:val="333333"/>
                <w:sz w:val="20"/>
              </w:rPr>
              <w:t>dirigidas</w:t>
            </w:r>
            <w:r>
              <w:rPr>
                <w:color w:val="333333"/>
                <w:spacing w:val="-17"/>
                <w:sz w:val="20"/>
              </w:rPr>
              <w:t xml:space="preserve"> </w:t>
            </w:r>
            <w:r>
              <w:rPr>
                <w:color w:val="333333"/>
                <w:sz w:val="20"/>
              </w:rPr>
              <w:t>a</w:t>
            </w:r>
            <w:r>
              <w:rPr>
                <w:color w:val="333333"/>
                <w:spacing w:val="-18"/>
                <w:sz w:val="20"/>
              </w:rPr>
              <w:t xml:space="preserve"> </w:t>
            </w:r>
            <w:r>
              <w:rPr>
                <w:color w:val="333333"/>
                <w:sz w:val="20"/>
              </w:rPr>
              <w:t>la eliminación de todas las violencias contra las mujeres</w:t>
            </w:r>
            <w:r>
              <w:rPr>
                <w:b/>
                <w:color w:val="333333"/>
                <w:sz w:val="20"/>
              </w:rPr>
              <w:t xml:space="preserve">, </w:t>
            </w:r>
            <w:r>
              <w:rPr>
                <w:color w:val="333333"/>
                <w:sz w:val="20"/>
              </w:rPr>
              <w:t>así como la eliminación de barreras</w:t>
            </w:r>
            <w:r>
              <w:rPr>
                <w:color w:val="333333"/>
                <w:spacing w:val="-17"/>
                <w:sz w:val="20"/>
              </w:rPr>
              <w:t xml:space="preserve"> </w:t>
            </w:r>
            <w:r>
              <w:rPr>
                <w:color w:val="333333"/>
                <w:sz w:val="20"/>
              </w:rPr>
              <w:t>económicas,</w:t>
            </w:r>
            <w:r>
              <w:rPr>
                <w:color w:val="333333"/>
                <w:spacing w:val="-17"/>
                <w:sz w:val="20"/>
              </w:rPr>
              <w:t xml:space="preserve"> </w:t>
            </w:r>
            <w:r>
              <w:rPr>
                <w:color w:val="333333"/>
                <w:sz w:val="20"/>
              </w:rPr>
              <w:t>sociales</w:t>
            </w:r>
            <w:r>
              <w:rPr>
                <w:color w:val="333333"/>
                <w:spacing w:val="-17"/>
                <w:sz w:val="20"/>
              </w:rPr>
              <w:t xml:space="preserve"> </w:t>
            </w:r>
            <w:r>
              <w:rPr>
                <w:color w:val="333333"/>
                <w:sz w:val="20"/>
              </w:rPr>
              <w:t>y</w:t>
            </w:r>
            <w:r>
              <w:rPr>
                <w:color w:val="333333"/>
                <w:spacing w:val="-17"/>
                <w:sz w:val="20"/>
              </w:rPr>
              <w:t xml:space="preserve"> </w:t>
            </w:r>
            <w:r>
              <w:rPr>
                <w:color w:val="333333"/>
                <w:sz w:val="20"/>
              </w:rPr>
              <w:t>políticas</w:t>
            </w:r>
            <w:r>
              <w:rPr>
                <w:color w:val="333333"/>
                <w:spacing w:val="-16"/>
                <w:sz w:val="20"/>
              </w:rPr>
              <w:t xml:space="preserve"> </w:t>
            </w:r>
            <w:r>
              <w:rPr>
                <w:color w:val="333333"/>
                <w:sz w:val="20"/>
              </w:rPr>
              <w:t>o de discriminación contra ellas.</w:t>
            </w:r>
          </w:p>
          <w:p w14:paraId="6263B639" w14:textId="77777777" w:rsidR="000E52B0" w:rsidRDefault="00F60D74">
            <w:pPr>
              <w:pStyle w:val="TableParagraph"/>
              <w:numPr>
                <w:ilvl w:val="0"/>
                <w:numId w:val="25"/>
              </w:numPr>
              <w:tabs>
                <w:tab w:val="left" w:pos="377"/>
                <w:tab w:val="left" w:pos="379"/>
              </w:tabs>
              <w:ind w:right="87"/>
              <w:jc w:val="both"/>
              <w:rPr>
                <w:sz w:val="20"/>
              </w:rPr>
            </w:pPr>
            <w:r>
              <w:rPr>
                <w:noProof/>
                <w:sz w:val="20"/>
              </w:rPr>
              <mc:AlternateContent>
                <mc:Choice Requires="wpg">
                  <w:drawing>
                    <wp:anchor distT="0" distB="0" distL="0" distR="0" simplePos="0" relativeHeight="482318848" behindDoc="1" locked="0" layoutInCell="1" allowOverlap="1" wp14:anchorId="3427A01D" wp14:editId="6F3637FF">
                      <wp:simplePos x="0" y="0"/>
                      <wp:positionH relativeFrom="column">
                        <wp:posOffset>1010412</wp:posOffset>
                      </wp:positionH>
                      <wp:positionV relativeFrom="paragraph">
                        <wp:posOffset>-324945</wp:posOffset>
                      </wp:positionV>
                      <wp:extent cx="45720" cy="13970"/>
                      <wp:effectExtent l="0" t="0" r="0" b="0"/>
                      <wp:wrapNone/>
                      <wp:docPr id="76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13970"/>
                                <a:chOff x="0" y="0"/>
                                <a:chExt cx="45720" cy="13970"/>
                              </a:xfrm>
                            </wpg:grpSpPr>
                            <wps:wsp>
                              <wps:cNvPr id="767" name="Graphic 767"/>
                              <wps:cNvSpPr/>
                              <wps:spPr>
                                <a:xfrm>
                                  <a:off x="0" y="0"/>
                                  <a:ext cx="45720" cy="13970"/>
                                </a:xfrm>
                                <a:custGeom>
                                  <a:avLst/>
                                  <a:gdLst/>
                                  <a:ahLst/>
                                  <a:cxnLst/>
                                  <a:rect l="l" t="t" r="r" b="b"/>
                                  <a:pathLst>
                                    <a:path w="45720" h="13970">
                                      <a:moveTo>
                                        <a:pt x="45720" y="0"/>
                                      </a:moveTo>
                                      <a:lnTo>
                                        <a:pt x="0" y="0"/>
                                      </a:lnTo>
                                      <a:lnTo>
                                        <a:pt x="0" y="13715"/>
                                      </a:lnTo>
                                      <a:lnTo>
                                        <a:pt x="45720" y="13715"/>
                                      </a:lnTo>
                                      <a:lnTo>
                                        <a:pt x="45720" y="0"/>
                                      </a:lnTo>
                                      <a:close/>
                                    </a:path>
                                  </a:pathLst>
                                </a:custGeom>
                                <a:solidFill>
                                  <a:srgbClr val="333333"/>
                                </a:solidFill>
                              </wps:spPr>
                              <wps:bodyPr wrap="square" lIns="0" tIns="0" rIns="0" bIns="0" rtlCol="0">
                                <a:prstTxWarp prst="textNoShape">
                                  <a:avLst/>
                                </a:prstTxWarp>
                                <a:noAutofit/>
                              </wps:bodyPr>
                            </wps:wsp>
                          </wpg:wgp>
                        </a:graphicData>
                      </a:graphic>
                    </wp:anchor>
                  </w:drawing>
                </mc:Choice>
                <mc:Fallback>
                  <w:pict>
                    <v:group w14:anchorId="71814860" id="Group 766" o:spid="_x0000_s1026" style="position:absolute;margin-left:79.55pt;margin-top:-25.6pt;width:3.6pt;height:1.1pt;z-index:-20997632;mso-wrap-distance-left:0;mso-wrap-distance-right:0" coordsize="4572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">
                      <v:shape id="Graphic 767" o:spid="_x0000_s1027" style="position:absolute;width:45720;height:13970;visibility:visible;mso-wrap-style:square;v-text-anchor:top" coordsize="4572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" path="m45720,l,,,13715r45720,l45720,xe" fillcolor="#333" stroked="f">
                        <v:path arrowok="t"/>
                      </v:shape>
                    </v:group>
                  </w:pict>
                </mc:Fallback>
              </mc:AlternateContent>
            </w:r>
            <w:r>
              <w:rPr>
                <w:color w:val="333333"/>
                <w:sz w:val="20"/>
              </w:rPr>
              <w:t>Formular, adoptar y ejecutar planes, programas, estrategias y proyectos para definir, gestionar y focalizar la oferta social</w:t>
            </w:r>
            <w:r>
              <w:rPr>
                <w:color w:val="333333"/>
                <w:spacing w:val="-4"/>
                <w:sz w:val="20"/>
              </w:rPr>
              <w:t xml:space="preserve"> </w:t>
            </w:r>
            <w:r>
              <w:rPr>
                <w:color w:val="333333"/>
                <w:sz w:val="20"/>
              </w:rPr>
              <w:t>de</w:t>
            </w:r>
            <w:r>
              <w:rPr>
                <w:color w:val="333333"/>
                <w:spacing w:val="-6"/>
                <w:sz w:val="20"/>
              </w:rPr>
              <w:t xml:space="preserve"> </w:t>
            </w:r>
            <w:r>
              <w:rPr>
                <w:color w:val="333333"/>
                <w:sz w:val="20"/>
              </w:rPr>
              <w:t>las</w:t>
            </w:r>
            <w:r>
              <w:rPr>
                <w:color w:val="333333"/>
                <w:spacing w:val="-3"/>
                <w:sz w:val="20"/>
              </w:rPr>
              <w:t xml:space="preserve"> </w:t>
            </w:r>
            <w:r>
              <w:rPr>
                <w:color w:val="333333"/>
                <w:sz w:val="20"/>
              </w:rPr>
              <w:t>entidades</w:t>
            </w:r>
            <w:r>
              <w:rPr>
                <w:color w:val="333333"/>
                <w:spacing w:val="-3"/>
                <w:sz w:val="20"/>
              </w:rPr>
              <w:t xml:space="preserve"> </w:t>
            </w:r>
            <w:r>
              <w:rPr>
                <w:color w:val="333333"/>
                <w:sz w:val="20"/>
              </w:rPr>
              <w:t>del</w:t>
            </w:r>
            <w:r>
              <w:rPr>
                <w:color w:val="333333"/>
                <w:spacing w:val="-1"/>
                <w:sz w:val="20"/>
              </w:rPr>
              <w:t xml:space="preserve"> </w:t>
            </w:r>
            <w:r>
              <w:rPr>
                <w:b/>
                <w:color w:val="333333"/>
                <w:sz w:val="20"/>
                <w:u w:val="single" w:color="333333"/>
              </w:rPr>
              <w:t>o</w:t>
            </w:r>
            <w:r>
              <w:rPr>
                <w:color w:val="333333"/>
                <w:sz w:val="20"/>
              </w:rPr>
              <w:t>rden</w:t>
            </w:r>
            <w:r>
              <w:rPr>
                <w:color w:val="333333"/>
                <w:spacing w:val="-3"/>
                <w:sz w:val="20"/>
              </w:rPr>
              <w:t xml:space="preserve"> </w:t>
            </w:r>
            <w:r>
              <w:rPr>
                <w:b/>
                <w:color w:val="333333"/>
                <w:sz w:val="20"/>
                <w:u w:val="single" w:color="333333"/>
              </w:rPr>
              <w:t>n</w:t>
            </w:r>
            <w:r>
              <w:rPr>
                <w:color w:val="333333"/>
                <w:sz w:val="20"/>
              </w:rPr>
              <w:t>acional en el territorio, con criterios de eficiencia y eficacia, priorizando territorios y poblaciones históricamente excluidas.</w:t>
            </w:r>
          </w:p>
          <w:p w14:paraId="26529116" w14:textId="77777777" w:rsidR="000E52B0" w:rsidRDefault="00F60D74">
            <w:pPr>
              <w:pStyle w:val="TableParagraph"/>
              <w:numPr>
                <w:ilvl w:val="0"/>
                <w:numId w:val="25"/>
              </w:numPr>
              <w:tabs>
                <w:tab w:val="left" w:pos="377"/>
                <w:tab w:val="left" w:pos="379"/>
              </w:tabs>
              <w:ind w:right="87"/>
              <w:jc w:val="both"/>
              <w:rPr>
                <w:sz w:val="20"/>
              </w:rPr>
            </w:pPr>
            <w:r>
              <w:rPr>
                <w:color w:val="333333"/>
                <w:sz w:val="20"/>
              </w:rPr>
              <w:t>Coordinar,</w:t>
            </w:r>
            <w:r>
              <w:rPr>
                <w:color w:val="333333"/>
                <w:spacing w:val="-18"/>
                <w:sz w:val="20"/>
              </w:rPr>
              <w:t xml:space="preserve"> </w:t>
            </w:r>
            <w:r>
              <w:rPr>
                <w:color w:val="333333"/>
                <w:sz w:val="20"/>
              </w:rPr>
              <w:t>articular</w:t>
            </w:r>
            <w:r>
              <w:rPr>
                <w:color w:val="333333"/>
                <w:spacing w:val="-18"/>
                <w:sz w:val="20"/>
              </w:rPr>
              <w:t xml:space="preserve"> </w:t>
            </w:r>
            <w:r>
              <w:rPr>
                <w:color w:val="333333"/>
                <w:sz w:val="20"/>
              </w:rPr>
              <w:t>e</w:t>
            </w:r>
            <w:r>
              <w:rPr>
                <w:color w:val="333333"/>
                <w:spacing w:val="-17"/>
                <w:sz w:val="20"/>
              </w:rPr>
              <w:t xml:space="preserve"> </w:t>
            </w:r>
            <w:r>
              <w:rPr>
                <w:color w:val="333333"/>
                <w:sz w:val="20"/>
              </w:rPr>
              <w:t>impartir</w:t>
            </w:r>
            <w:r>
              <w:rPr>
                <w:color w:val="333333"/>
                <w:spacing w:val="-18"/>
                <w:sz w:val="20"/>
              </w:rPr>
              <w:t xml:space="preserve"> </w:t>
            </w:r>
            <w:r>
              <w:rPr>
                <w:color w:val="333333"/>
                <w:sz w:val="20"/>
              </w:rPr>
              <w:t>directrices</w:t>
            </w:r>
            <w:r>
              <w:rPr>
                <w:color w:val="333333"/>
                <w:spacing w:val="-17"/>
                <w:sz w:val="20"/>
              </w:rPr>
              <w:t xml:space="preserve"> </w:t>
            </w:r>
            <w:r>
              <w:rPr>
                <w:color w:val="333333"/>
                <w:sz w:val="20"/>
              </w:rPr>
              <w:t>a las entidades del orden nacional, departamental,</w:t>
            </w:r>
            <w:r>
              <w:rPr>
                <w:color w:val="333333"/>
                <w:spacing w:val="-6"/>
                <w:sz w:val="20"/>
              </w:rPr>
              <w:t xml:space="preserve"> </w:t>
            </w:r>
            <w:r>
              <w:rPr>
                <w:color w:val="333333"/>
                <w:sz w:val="20"/>
              </w:rPr>
              <w:t>distrital</w:t>
            </w:r>
            <w:r>
              <w:rPr>
                <w:color w:val="333333"/>
                <w:spacing w:val="-2"/>
                <w:sz w:val="20"/>
              </w:rPr>
              <w:t xml:space="preserve"> </w:t>
            </w:r>
            <w:r>
              <w:rPr>
                <w:color w:val="333333"/>
                <w:sz w:val="20"/>
              </w:rPr>
              <w:t>y</w:t>
            </w:r>
            <w:r>
              <w:rPr>
                <w:color w:val="333333"/>
                <w:spacing w:val="-5"/>
                <w:sz w:val="20"/>
              </w:rPr>
              <w:t xml:space="preserve"> </w:t>
            </w:r>
            <w:r>
              <w:rPr>
                <w:color w:val="333333"/>
                <w:sz w:val="20"/>
              </w:rPr>
              <w:t>municipal</w:t>
            </w:r>
            <w:r>
              <w:rPr>
                <w:color w:val="333333"/>
                <w:spacing w:val="-4"/>
                <w:sz w:val="20"/>
              </w:rPr>
              <w:t xml:space="preserve"> </w:t>
            </w:r>
            <w:r>
              <w:rPr>
                <w:color w:val="333333"/>
                <w:sz w:val="20"/>
              </w:rPr>
              <w:t>sobre la</w:t>
            </w:r>
            <w:r>
              <w:rPr>
                <w:color w:val="333333"/>
                <w:spacing w:val="-18"/>
                <w:sz w:val="20"/>
              </w:rPr>
              <w:t xml:space="preserve"> </w:t>
            </w:r>
            <w:r>
              <w:rPr>
                <w:color w:val="333333"/>
                <w:sz w:val="20"/>
              </w:rPr>
              <w:t>intervención</w:t>
            </w:r>
            <w:r>
              <w:rPr>
                <w:color w:val="333333"/>
                <w:spacing w:val="-18"/>
                <w:sz w:val="20"/>
              </w:rPr>
              <w:t xml:space="preserve"> </w:t>
            </w:r>
            <w:r>
              <w:rPr>
                <w:color w:val="333333"/>
                <w:sz w:val="20"/>
              </w:rPr>
              <w:t>de</w:t>
            </w:r>
            <w:r>
              <w:rPr>
                <w:color w:val="333333"/>
                <w:spacing w:val="-17"/>
                <w:sz w:val="20"/>
              </w:rPr>
              <w:t xml:space="preserve"> </w:t>
            </w:r>
            <w:r>
              <w:rPr>
                <w:color w:val="333333"/>
                <w:sz w:val="20"/>
              </w:rPr>
              <w:t>grupos</w:t>
            </w:r>
            <w:r>
              <w:rPr>
                <w:color w:val="333333"/>
                <w:spacing w:val="-18"/>
                <w:sz w:val="20"/>
              </w:rPr>
              <w:t xml:space="preserve"> </w:t>
            </w:r>
            <w:r>
              <w:rPr>
                <w:color w:val="333333"/>
                <w:sz w:val="20"/>
              </w:rPr>
              <w:t>y</w:t>
            </w:r>
            <w:r>
              <w:rPr>
                <w:color w:val="333333"/>
                <w:spacing w:val="-17"/>
                <w:sz w:val="20"/>
              </w:rPr>
              <w:t xml:space="preserve"> </w:t>
            </w:r>
            <w:r>
              <w:rPr>
                <w:color w:val="333333"/>
                <w:sz w:val="20"/>
              </w:rPr>
              <w:t>poblaciones</w:t>
            </w:r>
            <w:r>
              <w:rPr>
                <w:color w:val="333333"/>
                <w:spacing w:val="-18"/>
                <w:sz w:val="20"/>
              </w:rPr>
              <w:t xml:space="preserve"> </w:t>
            </w:r>
            <w:r>
              <w:rPr>
                <w:color w:val="333333"/>
                <w:sz w:val="20"/>
              </w:rPr>
              <w:t>en el ámbito de sus competencias.</w:t>
            </w:r>
          </w:p>
          <w:p w14:paraId="4894AD71" w14:textId="77777777" w:rsidR="000E52B0" w:rsidRDefault="00F60D74">
            <w:pPr>
              <w:pStyle w:val="TableParagraph"/>
              <w:numPr>
                <w:ilvl w:val="0"/>
                <w:numId w:val="25"/>
              </w:numPr>
              <w:tabs>
                <w:tab w:val="left" w:pos="377"/>
                <w:tab w:val="left" w:pos="379"/>
              </w:tabs>
              <w:spacing w:line="240" w:lineRule="atLeast"/>
              <w:ind w:right="88"/>
              <w:jc w:val="both"/>
              <w:rPr>
                <w:sz w:val="20"/>
              </w:rPr>
            </w:pPr>
            <w:r>
              <w:rPr>
                <w:color w:val="333333"/>
                <w:sz w:val="20"/>
              </w:rPr>
              <w:t>Promover</w:t>
            </w:r>
            <w:r>
              <w:rPr>
                <w:color w:val="333333"/>
                <w:spacing w:val="-8"/>
                <w:sz w:val="20"/>
              </w:rPr>
              <w:t xml:space="preserve"> </w:t>
            </w:r>
            <w:r>
              <w:rPr>
                <w:color w:val="333333"/>
                <w:sz w:val="20"/>
              </w:rPr>
              <w:t>herramientas</w:t>
            </w:r>
            <w:r>
              <w:rPr>
                <w:color w:val="333333"/>
                <w:spacing w:val="-3"/>
                <w:sz w:val="20"/>
              </w:rPr>
              <w:t xml:space="preserve"> </w:t>
            </w:r>
            <w:r>
              <w:rPr>
                <w:color w:val="333333"/>
                <w:sz w:val="20"/>
              </w:rPr>
              <w:t>de</w:t>
            </w:r>
            <w:r>
              <w:rPr>
                <w:color w:val="333333"/>
                <w:spacing w:val="-8"/>
                <w:sz w:val="20"/>
              </w:rPr>
              <w:t xml:space="preserve"> </w:t>
            </w:r>
            <w:r>
              <w:rPr>
                <w:color w:val="333333"/>
                <w:sz w:val="20"/>
              </w:rPr>
              <w:t>participación</w:t>
            </w:r>
            <w:r>
              <w:rPr>
                <w:color w:val="333333"/>
                <w:spacing w:val="-4"/>
                <w:sz w:val="20"/>
              </w:rPr>
              <w:t xml:space="preserve"> </w:t>
            </w:r>
            <w:r>
              <w:rPr>
                <w:color w:val="333333"/>
                <w:sz w:val="20"/>
              </w:rPr>
              <w:t>y organización ciudadana para fortalecer la</w:t>
            </w:r>
          </w:p>
        </w:tc>
        <w:tc>
          <w:tcPr>
            <w:tcW w:w="3809" w:type="dxa"/>
          </w:tcPr>
          <w:p w14:paraId="0ACEA797" w14:textId="77777777" w:rsidR="000E52B0" w:rsidRDefault="00F60D74">
            <w:pPr>
              <w:pStyle w:val="TableParagraph"/>
              <w:ind w:left="108"/>
              <w:rPr>
                <w:sz w:val="20"/>
              </w:rPr>
            </w:pPr>
            <w:r>
              <w:rPr>
                <w:sz w:val="20"/>
              </w:rPr>
              <w:t xml:space="preserve">Sin modificaciones, solo ajustes de </w:t>
            </w:r>
            <w:r>
              <w:rPr>
                <w:spacing w:val="-2"/>
                <w:sz w:val="20"/>
              </w:rPr>
              <w:t>redacción.</w:t>
            </w:r>
          </w:p>
        </w:tc>
      </w:tr>
    </w:tbl>
    <w:p w14:paraId="599A6C94" w14:textId="77777777" w:rsidR="000E52B0" w:rsidRDefault="000E52B0">
      <w:pPr>
        <w:pStyle w:val="TableParagraph"/>
        <w:rPr>
          <w:sz w:val="20"/>
        </w:rPr>
        <w:sectPr w:rsidR="000E52B0">
          <w:pgSz w:w="16840" w:h="11910" w:orient="landscape"/>
          <w:pgMar w:top="1340" w:right="1800" w:bottom="1180" w:left="1440" w:header="0" w:footer="995" w:gutter="0"/>
          <w:cols w:space="720"/>
        </w:sectPr>
      </w:pPr>
    </w:p>
    <w:p w14:paraId="14445477" w14:textId="77777777" w:rsidR="000E52B0" w:rsidRDefault="000E52B0">
      <w:pPr>
        <w:pStyle w:val="Textoindependiente"/>
        <w:spacing w:before="8" w:after="1"/>
        <w:ind w:left="0"/>
        <w:rPr>
          <w:b/>
          <w:sz w:val="7"/>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12"/>
        <w:gridCol w:w="4723"/>
        <w:gridCol w:w="3809"/>
      </w:tblGrid>
      <w:tr w:rsidR="000E52B0" w14:paraId="33195A7C" w14:textId="77777777">
        <w:trPr>
          <w:trHeight w:val="8753"/>
        </w:trPr>
        <w:tc>
          <w:tcPr>
            <w:tcW w:w="4712" w:type="dxa"/>
          </w:tcPr>
          <w:p w14:paraId="1C6925E2" w14:textId="77777777" w:rsidR="000E52B0" w:rsidRDefault="00F60D74">
            <w:pPr>
              <w:pStyle w:val="TableParagraph"/>
              <w:ind w:left="379" w:right="89"/>
              <w:jc w:val="both"/>
              <w:rPr>
                <w:sz w:val="20"/>
              </w:rPr>
            </w:pPr>
            <w:r>
              <w:rPr>
                <w:color w:val="333333"/>
                <w:sz w:val="20"/>
              </w:rPr>
              <w:t xml:space="preserve">incidencia de los grupos poblacionales, históricamente discriminados o marginados y sujetos de especial protección constitucional en las agendas de política pública, procesos de autogobierno y derechos étnicos territoriales de los pueblos étnicos, en coordinación con las demás entidades </w:t>
            </w:r>
            <w:r>
              <w:rPr>
                <w:color w:val="333333"/>
                <w:spacing w:val="-2"/>
                <w:sz w:val="20"/>
              </w:rPr>
              <w:t>competentes.</w:t>
            </w:r>
          </w:p>
          <w:p w14:paraId="08DF21FA" w14:textId="77777777" w:rsidR="000E52B0" w:rsidRDefault="00F60D74">
            <w:pPr>
              <w:pStyle w:val="TableParagraph"/>
              <w:numPr>
                <w:ilvl w:val="0"/>
                <w:numId w:val="24"/>
              </w:numPr>
              <w:tabs>
                <w:tab w:val="left" w:pos="377"/>
                <w:tab w:val="left" w:pos="379"/>
              </w:tabs>
              <w:spacing w:before="2"/>
              <w:ind w:right="91"/>
              <w:jc w:val="both"/>
              <w:rPr>
                <w:sz w:val="20"/>
              </w:rPr>
            </w:pPr>
            <w:r>
              <w:rPr>
                <w:color w:val="333333"/>
                <w:sz w:val="20"/>
              </w:rPr>
              <w:t>Fomentar la</w:t>
            </w:r>
            <w:r>
              <w:rPr>
                <w:color w:val="333333"/>
                <w:spacing w:val="-1"/>
                <w:sz w:val="20"/>
              </w:rPr>
              <w:t xml:space="preserve"> </w:t>
            </w:r>
            <w:r>
              <w:rPr>
                <w:color w:val="333333"/>
                <w:sz w:val="20"/>
              </w:rPr>
              <w:t>innovación social</w:t>
            </w:r>
            <w:r>
              <w:rPr>
                <w:color w:val="333333"/>
                <w:spacing w:val="-1"/>
                <w:sz w:val="20"/>
              </w:rPr>
              <w:t xml:space="preserve"> </w:t>
            </w:r>
            <w:r>
              <w:rPr>
                <w:color w:val="333333"/>
                <w:sz w:val="20"/>
              </w:rPr>
              <w:t>a través</w:t>
            </w:r>
            <w:r>
              <w:rPr>
                <w:color w:val="333333"/>
                <w:spacing w:val="-2"/>
                <w:sz w:val="20"/>
              </w:rPr>
              <w:t xml:space="preserve"> </w:t>
            </w:r>
            <w:r>
              <w:rPr>
                <w:color w:val="333333"/>
                <w:sz w:val="20"/>
              </w:rPr>
              <w:t>de la identificación e implementación de iniciativas privadas y locales, entre otras, para</w:t>
            </w:r>
            <w:r>
              <w:rPr>
                <w:color w:val="333333"/>
                <w:spacing w:val="-18"/>
                <w:sz w:val="20"/>
              </w:rPr>
              <w:t xml:space="preserve"> </w:t>
            </w:r>
            <w:r>
              <w:rPr>
                <w:color w:val="333333"/>
                <w:sz w:val="20"/>
              </w:rPr>
              <w:t>poner</w:t>
            </w:r>
            <w:r>
              <w:rPr>
                <w:color w:val="333333"/>
                <w:spacing w:val="-18"/>
                <w:sz w:val="20"/>
              </w:rPr>
              <w:t xml:space="preserve"> </w:t>
            </w:r>
            <w:r>
              <w:rPr>
                <w:color w:val="333333"/>
                <w:sz w:val="20"/>
              </w:rPr>
              <w:t>en</w:t>
            </w:r>
            <w:r>
              <w:rPr>
                <w:color w:val="333333"/>
                <w:spacing w:val="-15"/>
                <w:sz w:val="20"/>
              </w:rPr>
              <w:t xml:space="preserve"> </w:t>
            </w:r>
            <w:r>
              <w:rPr>
                <w:color w:val="333333"/>
                <w:sz w:val="20"/>
              </w:rPr>
              <w:t>funcionamiento</w:t>
            </w:r>
            <w:r>
              <w:rPr>
                <w:color w:val="333333"/>
                <w:spacing w:val="-18"/>
                <w:sz w:val="20"/>
              </w:rPr>
              <w:t xml:space="preserve"> </w:t>
            </w:r>
            <w:r>
              <w:rPr>
                <w:color w:val="333333"/>
                <w:sz w:val="20"/>
              </w:rPr>
              <w:t>las</w:t>
            </w:r>
            <w:r>
              <w:rPr>
                <w:color w:val="333333"/>
                <w:spacing w:val="-17"/>
                <w:sz w:val="20"/>
              </w:rPr>
              <w:t xml:space="preserve"> </w:t>
            </w:r>
            <w:r>
              <w:rPr>
                <w:color w:val="333333"/>
                <w:sz w:val="20"/>
              </w:rPr>
              <w:t>políticas de igualdad y equidad bajo los enfoques de</w:t>
            </w:r>
            <w:r>
              <w:rPr>
                <w:color w:val="333333"/>
                <w:spacing w:val="-18"/>
                <w:sz w:val="20"/>
              </w:rPr>
              <w:t xml:space="preserve"> </w:t>
            </w:r>
            <w:r>
              <w:rPr>
                <w:color w:val="333333"/>
                <w:sz w:val="20"/>
              </w:rPr>
              <w:t>derechos,</w:t>
            </w:r>
            <w:r>
              <w:rPr>
                <w:color w:val="333333"/>
                <w:spacing w:val="-18"/>
                <w:sz w:val="20"/>
              </w:rPr>
              <w:t xml:space="preserve"> </w:t>
            </w:r>
            <w:r>
              <w:rPr>
                <w:color w:val="333333"/>
                <w:sz w:val="20"/>
              </w:rPr>
              <w:t>de</w:t>
            </w:r>
            <w:r>
              <w:rPr>
                <w:color w:val="333333"/>
                <w:spacing w:val="-17"/>
                <w:sz w:val="20"/>
              </w:rPr>
              <w:t xml:space="preserve"> </w:t>
            </w:r>
            <w:r>
              <w:rPr>
                <w:color w:val="333333"/>
                <w:sz w:val="20"/>
              </w:rPr>
              <w:t>género,</w:t>
            </w:r>
            <w:r>
              <w:rPr>
                <w:color w:val="333333"/>
                <w:spacing w:val="-18"/>
                <w:sz w:val="20"/>
              </w:rPr>
              <w:t xml:space="preserve"> </w:t>
            </w:r>
            <w:r>
              <w:rPr>
                <w:color w:val="333333"/>
                <w:sz w:val="20"/>
              </w:rPr>
              <w:t>diferencial,</w:t>
            </w:r>
            <w:r>
              <w:rPr>
                <w:color w:val="333333"/>
                <w:spacing w:val="-17"/>
                <w:sz w:val="20"/>
              </w:rPr>
              <w:t xml:space="preserve"> </w:t>
            </w:r>
            <w:r>
              <w:rPr>
                <w:color w:val="333333"/>
                <w:sz w:val="20"/>
              </w:rPr>
              <w:t xml:space="preserve">étnico racial e interseccional en el accionar estatal y promover condiciones de igualdad política, económica y social a todas las poblaciones vulnerables </w:t>
            </w:r>
            <w:r>
              <w:rPr>
                <w:color w:val="333333"/>
                <w:spacing w:val="-2"/>
                <w:sz w:val="20"/>
              </w:rPr>
              <w:t>localizadas.</w:t>
            </w:r>
          </w:p>
          <w:p w14:paraId="7327233F" w14:textId="77777777" w:rsidR="000E52B0" w:rsidRDefault="00F60D74">
            <w:pPr>
              <w:pStyle w:val="TableParagraph"/>
              <w:numPr>
                <w:ilvl w:val="0"/>
                <w:numId w:val="24"/>
              </w:numPr>
              <w:tabs>
                <w:tab w:val="left" w:pos="377"/>
                <w:tab w:val="left" w:pos="379"/>
              </w:tabs>
              <w:ind w:right="92"/>
              <w:jc w:val="both"/>
              <w:rPr>
                <w:sz w:val="20"/>
              </w:rPr>
            </w:pPr>
            <w:r>
              <w:rPr>
                <w:color w:val="333333"/>
                <w:sz w:val="20"/>
              </w:rPr>
              <w:t xml:space="preserve">Dirigir y orientar la planeación del Sector </w:t>
            </w:r>
            <w:r>
              <w:rPr>
                <w:color w:val="333333"/>
                <w:spacing w:val="-2"/>
                <w:sz w:val="20"/>
              </w:rPr>
              <w:t>Administrativo</w:t>
            </w:r>
            <w:r>
              <w:rPr>
                <w:color w:val="333333"/>
                <w:spacing w:val="-11"/>
                <w:sz w:val="20"/>
              </w:rPr>
              <w:t xml:space="preserve"> </w:t>
            </w:r>
            <w:r>
              <w:rPr>
                <w:color w:val="333333"/>
                <w:spacing w:val="-2"/>
                <w:sz w:val="20"/>
              </w:rPr>
              <w:t>de</w:t>
            </w:r>
            <w:r>
              <w:rPr>
                <w:color w:val="333333"/>
                <w:spacing w:val="-9"/>
                <w:sz w:val="20"/>
              </w:rPr>
              <w:t xml:space="preserve"> </w:t>
            </w:r>
            <w:r>
              <w:rPr>
                <w:color w:val="333333"/>
                <w:spacing w:val="-2"/>
                <w:sz w:val="20"/>
              </w:rPr>
              <w:t>Igualdad</w:t>
            </w:r>
            <w:r>
              <w:rPr>
                <w:color w:val="333333"/>
                <w:spacing w:val="-9"/>
                <w:sz w:val="20"/>
              </w:rPr>
              <w:t xml:space="preserve"> </w:t>
            </w:r>
            <w:r>
              <w:rPr>
                <w:color w:val="333333"/>
                <w:spacing w:val="-2"/>
                <w:sz w:val="20"/>
              </w:rPr>
              <w:t>y</w:t>
            </w:r>
            <w:r>
              <w:rPr>
                <w:color w:val="333333"/>
                <w:spacing w:val="-10"/>
                <w:sz w:val="20"/>
              </w:rPr>
              <w:t xml:space="preserve"> </w:t>
            </w:r>
            <w:r>
              <w:rPr>
                <w:color w:val="333333"/>
                <w:spacing w:val="-2"/>
                <w:sz w:val="20"/>
              </w:rPr>
              <w:t>Equidad</w:t>
            </w:r>
            <w:r>
              <w:rPr>
                <w:color w:val="333333"/>
                <w:spacing w:val="-9"/>
                <w:sz w:val="20"/>
              </w:rPr>
              <w:t xml:space="preserve"> </w:t>
            </w:r>
            <w:r>
              <w:rPr>
                <w:color w:val="333333"/>
                <w:spacing w:val="-2"/>
                <w:sz w:val="20"/>
              </w:rPr>
              <w:t xml:space="preserve">para </w:t>
            </w:r>
            <w:r>
              <w:rPr>
                <w:color w:val="333333"/>
                <w:sz w:val="20"/>
              </w:rPr>
              <w:t xml:space="preserve">el cumplimiento de las funciones a su </w:t>
            </w:r>
            <w:r>
              <w:rPr>
                <w:color w:val="333333"/>
                <w:spacing w:val="-2"/>
                <w:sz w:val="20"/>
              </w:rPr>
              <w:t>cargo.</w:t>
            </w:r>
          </w:p>
          <w:p w14:paraId="3F802744" w14:textId="77777777" w:rsidR="000E52B0" w:rsidRDefault="00F60D74">
            <w:pPr>
              <w:pStyle w:val="TableParagraph"/>
              <w:numPr>
                <w:ilvl w:val="0"/>
                <w:numId w:val="24"/>
              </w:numPr>
              <w:tabs>
                <w:tab w:val="left" w:pos="377"/>
                <w:tab w:val="left" w:pos="379"/>
              </w:tabs>
              <w:ind w:right="90"/>
              <w:jc w:val="both"/>
              <w:rPr>
                <w:sz w:val="20"/>
              </w:rPr>
            </w:pPr>
            <w:r>
              <w:rPr>
                <w:color w:val="333333"/>
                <w:sz w:val="20"/>
              </w:rPr>
              <w:t xml:space="preserve">Gestionar y generar alianzas con actores </w:t>
            </w:r>
            <w:r>
              <w:rPr>
                <w:color w:val="333333"/>
                <w:spacing w:val="-2"/>
                <w:sz w:val="20"/>
              </w:rPr>
              <w:t>del</w:t>
            </w:r>
            <w:r>
              <w:rPr>
                <w:color w:val="333333"/>
                <w:spacing w:val="-5"/>
                <w:sz w:val="20"/>
              </w:rPr>
              <w:t xml:space="preserve"> </w:t>
            </w:r>
            <w:r>
              <w:rPr>
                <w:color w:val="333333"/>
                <w:spacing w:val="-2"/>
                <w:sz w:val="20"/>
              </w:rPr>
              <w:t>sector</w:t>
            </w:r>
            <w:r>
              <w:rPr>
                <w:color w:val="333333"/>
                <w:spacing w:val="-10"/>
                <w:sz w:val="20"/>
              </w:rPr>
              <w:t xml:space="preserve"> </w:t>
            </w:r>
            <w:r>
              <w:rPr>
                <w:color w:val="333333"/>
                <w:spacing w:val="-2"/>
                <w:sz w:val="20"/>
              </w:rPr>
              <w:t>público,</w:t>
            </w:r>
            <w:r>
              <w:rPr>
                <w:color w:val="333333"/>
                <w:spacing w:val="-7"/>
                <w:sz w:val="20"/>
              </w:rPr>
              <w:t xml:space="preserve"> </w:t>
            </w:r>
            <w:r>
              <w:rPr>
                <w:color w:val="333333"/>
                <w:spacing w:val="-2"/>
                <w:sz w:val="20"/>
              </w:rPr>
              <w:t>privado,</w:t>
            </w:r>
            <w:r>
              <w:rPr>
                <w:color w:val="333333"/>
                <w:spacing w:val="-7"/>
                <w:sz w:val="20"/>
              </w:rPr>
              <w:t xml:space="preserve"> </w:t>
            </w:r>
            <w:r>
              <w:rPr>
                <w:color w:val="333333"/>
                <w:spacing w:val="-2"/>
                <w:sz w:val="20"/>
              </w:rPr>
              <w:t xml:space="preserve">organizaciones </w:t>
            </w:r>
            <w:r>
              <w:rPr>
                <w:color w:val="333333"/>
                <w:sz w:val="20"/>
              </w:rPr>
              <w:t>de la sociedad civil, autoridades y formas organizativas propias de los pueblos étnicos, organismos de carácter internacional y otros gobiernos que faciliten</w:t>
            </w:r>
            <w:r>
              <w:rPr>
                <w:color w:val="333333"/>
                <w:spacing w:val="-14"/>
                <w:sz w:val="20"/>
              </w:rPr>
              <w:t xml:space="preserve"> </w:t>
            </w:r>
            <w:proofErr w:type="gramStart"/>
            <w:r>
              <w:rPr>
                <w:color w:val="333333"/>
                <w:sz w:val="20"/>
              </w:rPr>
              <w:t>e</w:t>
            </w:r>
            <w:r>
              <w:rPr>
                <w:color w:val="333333"/>
                <w:spacing w:val="-18"/>
                <w:sz w:val="20"/>
              </w:rPr>
              <w:t xml:space="preserve"> </w:t>
            </w:r>
            <w:r>
              <w:rPr>
                <w:color w:val="333333"/>
                <w:sz w:val="20"/>
              </w:rPr>
              <w:t>”impulsen</w:t>
            </w:r>
            <w:proofErr w:type="gramEnd"/>
            <w:r>
              <w:rPr>
                <w:color w:val="333333"/>
                <w:spacing w:val="-16"/>
                <w:sz w:val="20"/>
              </w:rPr>
              <w:t xml:space="preserve"> </w:t>
            </w:r>
            <w:r>
              <w:rPr>
                <w:color w:val="333333"/>
                <w:sz w:val="20"/>
              </w:rPr>
              <w:t>las</w:t>
            </w:r>
            <w:r>
              <w:rPr>
                <w:color w:val="333333"/>
                <w:spacing w:val="-13"/>
                <w:sz w:val="20"/>
              </w:rPr>
              <w:t xml:space="preserve"> </w:t>
            </w:r>
            <w:r>
              <w:rPr>
                <w:color w:val="333333"/>
                <w:sz w:val="20"/>
              </w:rPr>
              <w:t>políticas</w:t>
            </w:r>
            <w:r>
              <w:rPr>
                <w:color w:val="333333"/>
                <w:spacing w:val="-16"/>
                <w:sz w:val="20"/>
              </w:rPr>
              <w:t xml:space="preserve"> </w:t>
            </w:r>
            <w:r>
              <w:rPr>
                <w:color w:val="333333"/>
                <w:sz w:val="20"/>
              </w:rPr>
              <w:t>y</w:t>
            </w:r>
            <w:r>
              <w:rPr>
                <w:color w:val="333333"/>
                <w:spacing w:val="-16"/>
                <w:sz w:val="20"/>
              </w:rPr>
              <w:t xml:space="preserve"> </w:t>
            </w:r>
            <w:r>
              <w:rPr>
                <w:color w:val="333333"/>
                <w:sz w:val="20"/>
              </w:rPr>
              <w:t>el</w:t>
            </w:r>
            <w:r>
              <w:rPr>
                <w:color w:val="333333"/>
                <w:spacing w:val="-17"/>
                <w:sz w:val="20"/>
              </w:rPr>
              <w:t xml:space="preserve"> </w:t>
            </w:r>
            <w:r>
              <w:rPr>
                <w:color w:val="333333"/>
                <w:sz w:val="20"/>
              </w:rPr>
              <w:t>logro de</w:t>
            </w:r>
            <w:r>
              <w:rPr>
                <w:color w:val="333333"/>
                <w:spacing w:val="-3"/>
                <w:sz w:val="20"/>
              </w:rPr>
              <w:t xml:space="preserve"> </w:t>
            </w:r>
            <w:r>
              <w:rPr>
                <w:color w:val="333333"/>
                <w:sz w:val="20"/>
              </w:rPr>
              <w:t>los objetivos</w:t>
            </w:r>
            <w:r>
              <w:rPr>
                <w:color w:val="333333"/>
                <w:spacing w:val="-1"/>
                <w:sz w:val="20"/>
              </w:rPr>
              <w:t xml:space="preserve"> </w:t>
            </w:r>
            <w:r>
              <w:rPr>
                <w:color w:val="333333"/>
                <w:sz w:val="20"/>
              </w:rPr>
              <w:t>del Sector</w:t>
            </w:r>
            <w:r>
              <w:rPr>
                <w:color w:val="333333"/>
                <w:spacing w:val="-3"/>
                <w:sz w:val="20"/>
              </w:rPr>
              <w:t xml:space="preserve"> </w:t>
            </w:r>
            <w:r>
              <w:rPr>
                <w:color w:val="333333"/>
                <w:sz w:val="20"/>
              </w:rPr>
              <w:t xml:space="preserve">Administrativo de Igualdad y Equidad y de los </w:t>
            </w:r>
            <w:proofErr w:type="gramStart"/>
            <w:r>
              <w:rPr>
                <w:color w:val="333333"/>
                <w:sz w:val="20"/>
              </w:rPr>
              <w:t>compromisos</w:t>
            </w:r>
            <w:r>
              <w:rPr>
                <w:color w:val="333333"/>
                <w:spacing w:val="27"/>
                <w:sz w:val="20"/>
              </w:rPr>
              <w:t xml:space="preserve">  </w:t>
            </w:r>
            <w:r>
              <w:rPr>
                <w:color w:val="333333"/>
                <w:sz w:val="20"/>
              </w:rPr>
              <w:t>internacionales</w:t>
            </w:r>
            <w:proofErr w:type="gramEnd"/>
            <w:r>
              <w:rPr>
                <w:color w:val="333333"/>
                <w:spacing w:val="27"/>
                <w:sz w:val="20"/>
              </w:rPr>
              <w:t xml:space="preserve">  </w:t>
            </w:r>
            <w:r>
              <w:rPr>
                <w:color w:val="333333"/>
                <w:spacing w:val="-2"/>
                <w:sz w:val="20"/>
              </w:rPr>
              <w:t>asumidos</w:t>
            </w:r>
          </w:p>
          <w:p w14:paraId="326F2D73" w14:textId="77777777" w:rsidR="000E52B0" w:rsidRDefault="00F60D74">
            <w:pPr>
              <w:pStyle w:val="TableParagraph"/>
              <w:spacing w:line="242" w:lineRule="exact"/>
              <w:ind w:left="379" w:right="92"/>
              <w:jc w:val="both"/>
              <w:rPr>
                <w:sz w:val="20"/>
              </w:rPr>
            </w:pPr>
            <w:r>
              <w:rPr>
                <w:color w:val="333333"/>
                <w:sz w:val="20"/>
              </w:rPr>
              <w:t>por el Estado, en coordinación con las demás</w:t>
            </w:r>
            <w:r>
              <w:rPr>
                <w:color w:val="333333"/>
                <w:spacing w:val="28"/>
                <w:sz w:val="20"/>
              </w:rPr>
              <w:t xml:space="preserve"> </w:t>
            </w:r>
            <w:r>
              <w:rPr>
                <w:color w:val="333333"/>
                <w:sz w:val="20"/>
              </w:rPr>
              <w:t>entidades</w:t>
            </w:r>
            <w:r>
              <w:rPr>
                <w:color w:val="333333"/>
                <w:spacing w:val="28"/>
                <w:sz w:val="20"/>
              </w:rPr>
              <w:t xml:space="preserve"> </w:t>
            </w:r>
            <w:r>
              <w:rPr>
                <w:color w:val="333333"/>
                <w:sz w:val="20"/>
              </w:rPr>
              <w:t>estatales</w:t>
            </w:r>
            <w:r>
              <w:rPr>
                <w:color w:val="333333"/>
                <w:spacing w:val="28"/>
                <w:sz w:val="20"/>
              </w:rPr>
              <w:t xml:space="preserve"> </w:t>
            </w:r>
            <w:r>
              <w:rPr>
                <w:color w:val="333333"/>
                <w:spacing w:val="-2"/>
                <w:sz w:val="20"/>
              </w:rPr>
              <w:t>competentes.</w:t>
            </w:r>
          </w:p>
        </w:tc>
        <w:tc>
          <w:tcPr>
            <w:tcW w:w="4723" w:type="dxa"/>
          </w:tcPr>
          <w:p w14:paraId="6E2F7522" w14:textId="77777777" w:rsidR="000E52B0" w:rsidRDefault="00F60D74">
            <w:pPr>
              <w:pStyle w:val="TableParagraph"/>
              <w:ind w:left="379" w:right="85"/>
              <w:jc w:val="both"/>
              <w:rPr>
                <w:sz w:val="20"/>
              </w:rPr>
            </w:pPr>
            <w:r>
              <w:rPr>
                <w:noProof/>
                <w:sz w:val="20"/>
              </w:rPr>
              <mc:AlternateContent>
                <mc:Choice Requires="wpg">
                  <w:drawing>
                    <wp:anchor distT="0" distB="0" distL="0" distR="0" simplePos="0" relativeHeight="482319360" behindDoc="1" locked="0" layoutInCell="1" allowOverlap="1" wp14:anchorId="0E0F2C13" wp14:editId="771A80E2">
                      <wp:simplePos x="0" y="0"/>
                      <wp:positionH relativeFrom="column">
                        <wp:posOffset>2885186</wp:posOffset>
                      </wp:positionH>
                      <wp:positionV relativeFrom="paragraph">
                        <wp:posOffset>85010</wp:posOffset>
                      </wp:positionV>
                      <wp:extent cx="47625" cy="7620"/>
                      <wp:effectExtent l="0" t="0" r="0" b="0"/>
                      <wp:wrapNone/>
                      <wp:docPr id="76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7620"/>
                                <a:chOff x="0" y="0"/>
                                <a:chExt cx="47625" cy="7620"/>
                              </a:xfrm>
                            </wpg:grpSpPr>
                            <wps:wsp>
                              <wps:cNvPr id="769" name="Graphic 769"/>
                              <wps:cNvSpPr/>
                              <wps:spPr>
                                <a:xfrm>
                                  <a:off x="0" y="0"/>
                                  <a:ext cx="47625" cy="7620"/>
                                </a:xfrm>
                                <a:custGeom>
                                  <a:avLst/>
                                  <a:gdLst/>
                                  <a:ahLst/>
                                  <a:cxnLst/>
                                  <a:rect l="l" t="t" r="r" b="b"/>
                                  <a:pathLst>
                                    <a:path w="47625" h="7620">
                                      <a:moveTo>
                                        <a:pt x="47244" y="0"/>
                                      </a:moveTo>
                                      <a:lnTo>
                                        <a:pt x="0" y="0"/>
                                      </a:lnTo>
                                      <a:lnTo>
                                        <a:pt x="0" y="7620"/>
                                      </a:lnTo>
                                      <a:lnTo>
                                        <a:pt x="47244" y="7620"/>
                                      </a:lnTo>
                                      <a:lnTo>
                                        <a:pt x="47244" y="0"/>
                                      </a:lnTo>
                                      <a:close/>
                                    </a:path>
                                  </a:pathLst>
                                </a:custGeom>
                                <a:solidFill>
                                  <a:srgbClr val="333333"/>
                                </a:solidFill>
                              </wps:spPr>
                              <wps:bodyPr wrap="square" lIns="0" tIns="0" rIns="0" bIns="0" rtlCol="0">
                                <a:prstTxWarp prst="textNoShape">
                                  <a:avLst/>
                                </a:prstTxWarp>
                                <a:noAutofit/>
                              </wps:bodyPr>
                            </wps:wsp>
                          </wpg:wgp>
                        </a:graphicData>
                      </a:graphic>
                    </wp:anchor>
                  </w:drawing>
                </mc:Choice>
                <mc:Fallback>
                  <w:pict>
                    <v:group w14:anchorId="1F86A2EF" id="Group 768" o:spid="_x0000_s1026" style="position:absolute;margin-left:227.2pt;margin-top:6.7pt;width:3.75pt;height:.6pt;z-index:-20997120;mso-wrap-distance-left:0;mso-wrap-distance-right:0" coordsize="476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">
                      <v:shape id="Graphic 769" o:spid="_x0000_s1027" style="position:absolute;width:47625;height:7620;visibility:visible;mso-wrap-style:square;v-text-anchor:top" coordsize="476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" path="m47244,l,,,7620r47244,l47244,xe" fillcolor="#333" stroked="f">
                        <v:path arrowok="t"/>
                      </v:shape>
                    </v:group>
                  </w:pict>
                </mc:Fallback>
              </mc:AlternateContent>
            </w:r>
            <w:r>
              <w:rPr>
                <w:color w:val="333333"/>
                <w:sz w:val="20"/>
              </w:rPr>
              <w:t xml:space="preserve">incidencia de los grupos poblacionales, históricamente discriminados o marginados y sujetos de especial protección constitucional en las agendas de política pública, procesos de autogobierno y derechos étnicos territoriales de los pueblos étnicos, en coordinación con las demás entidades </w:t>
            </w:r>
            <w:r>
              <w:rPr>
                <w:color w:val="333333"/>
                <w:spacing w:val="-2"/>
                <w:sz w:val="20"/>
              </w:rPr>
              <w:t>competentes.</w:t>
            </w:r>
          </w:p>
          <w:p w14:paraId="2DAD89D2" w14:textId="77777777" w:rsidR="000E52B0" w:rsidRDefault="00F60D74">
            <w:pPr>
              <w:pStyle w:val="TableParagraph"/>
              <w:numPr>
                <w:ilvl w:val="0"/>
                <w:numId w:val="23"/>
              </w:numPr>
              <w:tabs>
                <w:tab w:val="left" w:pos="377"/>
                <w:tab w:val="left" w:pos="379"/>
              </w:tabs>
              <w:spacing w:before="2"/>
              <w:ind w:right="86"/>
              <w:jc w:val="both"/>
              <w:rPr>
                <w:sz w:val="20"/>
              </w:rPr>
            </w:pPr>
            <w:r>
              <w:rPr>
                <w:color w:val="333333"/>
                <w:sz w:val="20"/>
              </w:rPr>
              <w:t>Fomentar la innovación social a través de la identificación e implementación de iniciativas privadas y locales, entre otras, para</w:t>
            </w:r>
            <w:r>
              <w:rPr>
                <w:color w:val="333333"/>
                <w:spacing w:val="-15"/>
                <w:sz w:val="20"/>
              </w:rPr>
              <w:t xml:space="preserve"> </w:t>
            </w:r>
            <w:r>
              <w:rPr>
                <w:color w:val="333333"/>
                <w:sz w:val="20"/>
              </w:rPr>
              <w:t>poner</w:t>
            </w:r>
            <w:r>
              <w:rPr>
                <w:color w:val="333333"/>
                <w:spacing w:val="-14"/>
                <w:sz w:val="20"/>
              </w:rPr>
              <w:t xml:space="preserve"> </w:t>
            </w:r>
            <w:r>
              <w:rPr>
                <w:color w:val="333333"/>
                <w:sz w:val="20"/>
              </w:rPr>
              <w:t>en</w:t>
            </w:r>
            <w:r>
              <w:rPr>
                <w:color w:val="333333"/>
                <w:spacing w:val="-14"/>
                <w:sz w:val="20"/>
              </w:rPr>
              <w:t xml:space="preserve"> </w:t>
            </w:r>
            <w:r>
              <w:rPr>
                <w:color w:val="333333"/>
                <w:sz w:val="20"/>
              </w:rPr>
              <w:t>funcionamiento</w:t>
            </w:r>
            <w:r>
              <w:rPr>
                <w:color w:val="333333"/>
                <w:spacing w:val="-15"/>
                <w:sz w:val="20"/>
              </w:rPr>
              <w:t xml:space="preserve"> </w:t>
            </w:r>
            <w:r>
              <w:rPr>
                <w:color w:val="333333"/>
                <w:sz w:val="20"/>
              </w:rPr>
              <w:t>las</w:t>
            </w:r>
            <w:r>
              <w:rPr>
                <w:color w:val="333333"/>
                <w:spacing w:val="-15"/>
                <w:sz w:val="20"/>
              </w:rPr>
              <w:t xml:space="preserve"> </w:t>
            </w:r>
            <w:r>
              <w:rPr>
                <w:color w:val="333333"/>
                <w:sz w:val="20"/>
              </w:rPr>
              <w:t>políticas de igualdad y equidad bajo los enfoques de derechos, de género, diferencial, étnico</w:t>
            </w:r>
            <w:r>
              <w:rPr>
                <w:b/>
                <w:color w:val="333333"/>
                <w:sz w:val="20"/>
                <w:u w:val="single" w:color="333333"/>
              </w:rPr>
              <w:t>-</w:t>
            </w:r>
            <w:r>
              <w:rPr>
                <w:color w:val="333333"/>
                <w:sz w:val="20"/>
              </w:rPr>
              <w:t xml:space="preserve">racial e interseccional en el accionar estatal y promover condiciones de igualdad política, económica y social a todas las poblaciones vulnerables </w:t>
            </w:r>
            <w:r>
              <w:rPr>
                <w:color w:val="333333"/>
                <w:spacing w:val="-2"/>
                <w:sz w:val="20"/>
              </w:rPr>
              <w:t>localizadas.</w:t>
            </w:r>
          </w:p>
          <w:p w14:paraId="758D097D" w14:textId="77777777" w:rsidR="000E52B0" w:rsidRDefault="00F60D74">
            <w:pPr>
              <w:pStyle w:val="TableParagraph"/>
              <w:numPr>
                <w:ilvl w:val="0"/>
                <w:numId w:val="23"/>
              </w:numPr>
              <w:tabs>
                <w:tab w:val="left" w:pos="377"/>
                <w:tab w:val="left" w:pos="379"/>
              </w:tabs>
              <w:ind w:right="88"/>
              <w:jc w:val="both"/>
              <w:rPr>
                <w:sz w:val="20"/>
              </w:rPr>
            </w:pPr>
            <w:r>
              <w:rPr>
                <w:color w:val="333333"/>
                <w:sz w:val="20"/>
              </w:rPr>
              <w:t>Dirigir y orientar la planeación del Sector Administrativo</w:t>
            </w:r>
            <w:r>
              <w:rPr>
                <w:color w:val="333333"/>
                <w:spacing w:val="-18"/>
                <w:sz w:val="20"/>
              </w:rPr>
              <w:t xml:space="preserve"> </w:t>
            </w:r>
            <w:r>
              <w:rPr>
                <w:color w:val="333333"/>
                <w:sz w:val="20"/>
              </w:rPr>
              <w:t>de</w:t>
            </w:r>
            <w:r>
              <w:rPr>
                <w:color w:val="333333"/>
                <w:spacing w:val="-18"/>
                <w:sz w:val="20"/>
              </w:rPr>
              <w:t xml:space="preserve"> </w:t>
            </w:r>
            <w:r>
              <w:rPr>
                <w:color w:val="333333"/>
                <w:sz w:val="20"/>
              </w:rPr>
              <w:t>Igualdad</w:t>
            </w:r>
            <w:r>
              <w:rPr>
                <w:color w:val="333333"/>
                <w:spacing w:val="-17"/>
                <w:sz w:val="20"/>
              </w:rPr>
              <w:t xml:space="preserve"> </w:t>
            </w:r>
            <w:r>
              <w:rPr>
                <w:color w:val="333333"/>
                <w:sz w:val="20"/>
              </w:rPr>
              <w:t>y</w:t>
            </w:r>
            <w:r>
              <w:rPr>
                <w:color w:val="333333"/>
                <w:spacing w:val="-18"/>
                <w:sz w:val="20"/>
              </w:rPr>
              <w:t xml:space="preserve"> </w:t>
            </w:r>
            <w:r>
              <w:rPr>
                <w:color w:val="333333"/>
                <w:sz w:val="20"/>
              </w:rPr>
              <w:t>Equidad</w:t>
            </w:r>
            <w:r>
              <w:rPr>
                <w:color w:val="333333"/>
                <w:spacing w:val="-17"/>
                <w:sz w:val="20"/>
              </w:rPr>
              <w:t xml:space="preserve"> </w:t>
            </w:r>
            <w:r>
              <w:rPr>
                <w:color w:val="333333"/>
                <w:sz w:val="20"/>
              </w:rPr>
              <w:t xml:space="preserve">para el cumplimiento de las funciones a su </w:t>
            </w:r>
            <w:r>
              <w:rPr>
                <w:color w:val="333333"/>
                <w:spacing w:val="-2"/>
                <w:sz w:val="20"/>
              </w:rPr>
              <w:t>cargo.</w:t>
            </w:r>
          </w:p>
          <w:p w14:paraId="3EB1F633" w14:textId="77777777" w:rsidR="000E52B0" w:rsidRDefault="00F60D74">
            <w:pPr>
              <w:pStyle w:val="TableParagraph"/>
              <w:numPr>
                <w:ilvl w:val="0"/>
                <w:numId w:val="23"/>
              </w:numPr>
              <w:tabs>
                <w:tab w:val="left" w:pos="377"/>
                <w:tab w:val="left" w:pos="379"/>
              </w:tabs>
              <w:ind w:right="86"/>
              <w:jc w:val="both"/>
              <w:rPr>
                <w:sz w:val="20"/>
              </w:rPr>
            </w:pPr>
            <w:r>
              <w:rPr>
                <w:color w:val="333333"/>
                <w:sz w:val="20"/>
              </w:rPr>
              <w:t>Gestionar y generar alianzas con actores del</w:t>
            </w:r>
            <w:r>
              <w:rPr>
                <w:color w:val="333333"/>
                <w:spacing w:val="-18"/>
                <w:sz w:val="20"/>
              </w:rPr>
              <w:t xml:space="preserve"> </w:t>
            </w:r>
            <w:r>
              <w:rPr>
                <w:color w:val="333333"/>
                <w:sz w:val="20"/>
              </w:rPr>
              <w:t>sector</w:t>
            </w:r>
            <w:r>
              <w:rPr>
                <w:color w:val="333333"/>
                <w:spacing w:val="-18"/>
                <w:sz w:val="20"/>
              </w:rPr>
              <w:t xml:space="preserve"> </w:t>
            </w:r>
            <w:r>
              <w:rPr>
                <w:color w:val="333333"/>
                <w:sz w:val="20"/>
              </w:rPr>
              <w:t>público,</w:t>
            </w:r>
            <w:r>
              <w:rPr>
                <w:color w:val="333333"/>
                <w:spacing w:val="-17"/>
                <w:sz w:val="20"/>
              </w:rPr>
              <w:t xml:space="preserve"> </w:t>
            </w:r>
            <w:r>
              <w:rPr>
                <w:color w:val="333333"/>
                <w:sz w:val="20"/>
              </w:rPr>
              <w:t>privado,</w:t>
            </w:r>
            <w:r>
              <w:rPr>
                <w:color w:val="333333"/>
                <w:spacing w:val="-18"/>
                <w:sz w:val="20"/>
              </w:rPr>
              <w:t xml:space="preserve"> </w:t>
            </w:r>
            <w:r>
              <w:rPr>
                <w:color w:val="333333"/>
                <w:sz w:val="20"/>
              </w:rPr>
              <w:t>organizaciones de la sociedad civil, autoridades y formas organizativas propias de los pueblos étnicos, organismos de carácter internacional y otros gobiernos que faciliten</w:t>
            </w:r>
            <w:r>
              <w:rPr>
                <w:color w:val="333333"/>
                <w:spacing w:val="-17"/>
                <w:sz w:val="20"/>
              </w:rPr>
              <w:t xml:space="preserve"> </w:t>
            </w:r>
            <w:proofErr w:type="gramStart"/>
            <w:r>
              <w:rPr>
                <w:color w:val="333333"/>
                <w:sz w:val="20"/>
              </w:rPr>
              <w:t>e</w:t>
            </w:r>
            <w:r>
              <w:rPr>
                <w:color w:val="333333"/>
                <w:spacing w:val="-18"/>
                <w:sz w:val="20"/>
              </w:rPr>
              <w:t xml:space="preserve"> </w:t>
            </w:r>
            <w:r>
              <w:rPr>
                <w:b/>
                <w:strike/>
                <w:color w:val="333333"/>
                <w:sz w:val="20"/>
              </w:rPr>
              <w:t>”</w:t>
            </w:r>
            <w:r>
              <w:rPr>
                <w:color w:val="333333"/>
                <w:sz w:val="20"/>
              </w:rPr>
              <w:t>impulsen</w:t>
            </w:r>
            <w:proofErr w:type="gramEnd"/>
            <w:r>
              <w:rPr>
                <w:color w:val="333333"/>
                <w:spacing w:val="-16"/>
                <w:sz w:val="20"/>
              </w:rPr>
              <w:t xml:space="preserve"> </w:t>
            </w:r>
            <w:r>
              <w:rPr>
                <w:color w:val="333333"/>
                <w:sz w:val="20"/>
              </w:rPr>
              <w:t>las</w:t>
            </w:r>
            <w:r>
              <w:rPr>
                <w:color w:val="333333"/>
                <w:spacing w:val="-16"/>
                <w:sz w:val="20"/>
              </w:rPr>
              <w:t xml:space="preserve"> </w:t>
            </w:r>
            <w:r>
              <w:rPr>
                <w:color w:val="333333"/>
                <w:sz w:val="20"/>
              </w:rPr>
              <w:t>políticas</w:t>
            </w:r>
            <w:r>
              <w:rPr>
                <w:color w:val="333333"/>
                <w:spacing w:val="-18"/>
                <w:sz w:val="20"/>
              </w:rPr>
              <w:t xml:space="preserve"> </w:t>
            </w:r>
            <w:r>
              <w:rPr>
                <w:color w:val="333333"/>
                <w:sz w:val="20"/>
              </w:rPr>
              <w:t>y</w:t>
            </w:r>
            <w:r>
              <w:rPr>
                <w:color w:val="333333"/>
                <w:spacing w:val="-17"/>
                <w:sz w:val="20"/>
              </w:rPr>
              <w:t xml:space="preserve"> </w:t>
            </w:r>
            <w:r>
              <w:rPr>
                <w:color w:val="333333"/>
                <w:sz w:val="20"/>
              </w:rPr>
              <w:t>el</w:t>
            </w:r>
            <w:r>
              <w:rPr>
                <w:color w:val="333333"/>
                <w:spacing w:val="-18"/>
                <w:sz w:val="20"/>
              </w:rPr>
              <w:t xml:space="preserve"> </w:t>
            </w:r>
            <w:r>
              <w:rPr>
                <w:color w:val="333333"/>
                <w:sz w:val="20"/>
              </w:rPr>
              <w:t xml:space="preserve">logro de los objetivos del Sector Administrativo de Igualdad y Equidad y de los </w:t>
            </w:r>
            <w:proofErr w:type="gramStart"/>
            <w:r>
              <w:rPr>
                <w:color w:val="333333"/>
                <w:sz w:val="20"/>
              </w:rPr>
              <w:t>compromisos</w:t>
            </w:r>
            <w:r>
              <w:rPr>
                <w:color w:val="333333"/>
                <w:spacing w:val="31"/>
                <w:sz w:val="20"/>
              </w:rPr>
              <w:t xml:space="preserve">  </w:t>
            </w:r>
            <w:r>
              <w:rPr>
                <w:color w:val="333333"/>
                <w:sz w:val="20"/>
              </w:rPr>
              <w:t>internacionales</w:t>
            </w:r>
            <w:proofErr w:type="gramEnd"/>
            <w:r>
              <w:rPr>
                <w:color w:val="333333"/>
                <w:spacing w:val="31"/>
                <w:sz w:val="20"/>
              </w:rPr>
              <w:t xml:space="preserve">  </w:t>
            </w:r>
            <w:r>
              <w:rPr>
                <w:color w:val="333333"/>
                <w:spacing w:val="-2"/>
                <w:sz w:val="20"/>
              </w:rPr>
              <w:t>asumidos</w:t>
            </w:r>
          </w:p>
          <w:p w14:paraId="4C3ECAAF" w14:textId="77777777" w:rsidR="000E52B0" w:rsidRDefault="00F60D74">
            <w:pPr>
              <w:pStyle w:val="TableParagraph"/>
              <w:spacing w:line="242" w:lineRule="exact"/>
              <w:ind w:left="379" w:right="88"/>
              <w:jc w:val="both"/>
              <w:rPr>
                <w:sz w:val="20"/>
              </w:rPr>
            </w:pPr>
            <w:r>
              <w:rPr>
                <w:color w:val="333333"/>
                <w:sz w:val="20"/>
              </w:rPr>
              <w:t>por el Estado, en coordinación con las demás</w:t>
            </w:r>
            <w:r>
              <w:rPr>
                <w:color w:val="333333"/>
                <w:spacing w:val="33"/>
                <w:sz w:val="20"/>
              </w:rPr>
              <w:t xml:space="preserve"> </w:t>
            </w:r>
            <w:r>
              <w:rPr>
                <w:color w:val="333333"/>
                <w:sz w:val="20"/>
              </w:rPr>
              <w:t>entidades</w:t>
            </w:r>
            <w:r>
              <w:rPr>
                <w:color w:val="333333"/>
                <w:spacing w:val="33"/>
                <w:sz w:val="20"/>
              </w:rPr>
              <w:t xml:space="preserve"> </w:t>
            </w:r>
            <w:r>
              <w:rPr>
                <w:color w:val="333333"/>
                <w:sz w:val="20"/>
              </w:rPr>
              <w:t>estatales</w:t>
            </w:r>
            <w:r>
              <w:rPr>
                <w:color w:val="333333"/>
                <w:spacing w:val="33"/>
                <w:sz w:val="20"/>
              </w:rPr>
              <w:t xml:space="preserve"> </w:t>
            </w:r>
            <w:r>
              <w:rPr>
                <w:color w:val="333333"/>
                <w:spacing w:val="-2"/>
                <w:sz w:val="20"/>
              </w:rPr>
              <w:t>competentes.</w:t>
            </w:r>
          </w:p>
        </w:tc>
        <w:tc>
          <w:tcPr>
            <w:tcW w:w="3809" w:type="dxa"/>
          </w:tcPr>
          <w:p w14:paraId="1FF27258" w14:textId="77777777" w:rsidR="000E52B0" w:rsidRDefault="000E52B0">
            <w:pPr>
              <w:pStyle w:val="TableParagraph"/>
              <w:rPr>
                <w:rFonts w:ascii="Times New Roman"/>
                <w:sz w:val="18"/>
              </w:rPr>
            </w:pPr>
          </w:p>
        </w:tc>
      </w:tr>
    </w:tbl>
    <w:p w14:paraId="6EB10995" w14:textId="77777777" w:rsidR="000E52B0" w:rsidRDefault="000E52B0">
      <w:pPr>
        <w:pStyle w:val="TableParagraph"/>
        <w:rPr>
          <w:rFonts w:ascii="Times New Roman"/>
          <w:sz w:val="18"/>
        </w:rPr>
        <w:sectPr w:rsidR="000E52B0">
          <w:pgSz w:w="16840" w:h="11910" w:orient="landscape"/>
          <w:pgMar w:top="1340" w:right="1800" w:bottom="1180" w:left="1440" w:header="0" w:footer="995" w:gutter="0"/>
          <w:cols w:space="720"/>
        </w:sectPr>
      </w:pPr>
    </w:p>
    <w:p w14:paraId="18C97E5C" w14:textId="77777777" w:rsidR="000E52B0" w:rsidRDefault="000E52B0">
      <w:pPr>
        <w:pStyle w:val="Textoindependiente"/>
        <w:spacing w:before="8" w:after="1"/>
        <w:ind w:left="0"/>
        <w:rPr>
          <w:b/>
          <w:sz w:val="7"/>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12"/>
        <w:gridCol w:w="4723"/>
        <w:gridCol w:w="3809"/>
      </w:tblGrid>
      <w:tr w:rsidR="000E52B0" w14:paraId="6D446C35" w14:textId="77777777">
        <w:trPr>
          <w:trHeight w:val="8753"/>
        </w:trPr>
        <w:tc>
          <w:tcPr>
            <w:tcW w:w="4712" w:type="dxa"/>
          </w:tcPr>
          <w:p w14:paraId="05015230" w14:textId="77777777" w:rsidR="000E52B0" w:rsidRDefault="00F60D74">
            <w:pPr>
              <w:pStyle w:val="TableParagraph"/>
              <w:ind w:left="379" w:right="91"/>
              <w:jc w:val="both"/>
              <w:rPr>
                <w:sz w:val="20"/>
              </w:rPr>
            </w:pPr>
            <w:r>
              <w:rPr>
                <w:color w:val="333333"/>
                <w:sz w:val="20"/>
              </w:rPr>
              <w:t>Asimismo, se gestionarán, en coordinación y articulación con el Ministerio de Relaciones Exteriores, alianzas</w:t>
            </w:r>
            <w:r>
              <w:rPr>
                <w:color w:val="333333"/>
                <w:spacing w:val="-14"/>
                <w:sz w:val="20"/>
              </w:rPr>
              <w:t xml:space="preserve"> </w:t>
            </w:r>
            <w:r>
              <w:rPr>
                <w:color w:val="333333"/>
                <w:sz w:val="20"/>
              </w:rPr>
              <w:t>con</w:t>
            </w:r>
            <w:r>
              <w:rPr>
                <w:color w:val="333333"/>
                <w:spacing w:val="-11"/>
                <w:sz w:val="20"/>
              </w:rPr>
              <w:t xml:space="preserve"> </w:t>
            </w:r>
            <w:r>
              <w:rPr>
                <w:color w:val="333333"/>
                <w:sz w:val="20"/>
              </w:rPr>
              <w:t>organismos</w:t>
            </w:r>
            <w:r>
              <w:rPr>
                <w:color w:val="333333"/>
                <w:spacing w:val="-13"/>
                <w:sz w:val="20"/>
              </w:rPr>
              <w:t xml:space="preserve"> </w:t>
            </w:r>
            <w:r>
              <w:rPr>
                <w:color w:val="333333"/>
                <w:sz w:val="20"/>
              </w:rPr>
              <w:t>internacionales</w:t>
            </w:r>
            <w:r>
              <w:rPr>
                <w:color w:val="333333"/>
                <w:spacing w:val="-14"/>
                <w:sz w:val="20"/>
              </w:rPr>
              <w:t xml:space="preserve"> </w:t>
            </w:r>
            <w:r>
              <w:rPr>
                <w:color w:val="333333"/>
                <w:sz w:val="20"/>
              </w:rPr>
              <w:t>y otros gobiernos al tiempo de dar seguimiento a los compromisos internacionales asumidos por el Estado. ”</w:t>
            </w:r>
          </w:p>
          <w:p w14:paraId="1EBAA8D9" w14:textId="77777777" w:rsidR="000E52B0" w:rsidRDefault="00F60D74">
            <w:pPr>
              <w:pStyle w:val="TableParagraph"/>
              <w:numPr>
                <w:ilvl w:val="0"/>
                <w:numId w:val="22"/>
              </w:numPr>
              <w:tabs>
                <w:tab w:val="left" w:pos="377"/>
                <w:tab w:val="left" w:pos="379"/>
              </w:tabs>
              <w:ind w:right="90"/>
              <w:jc w:val="both"/>
              <w:rPr>
                <w:sz w:val="20"/>
              </w:rPr>
            </w:pPr>
            <w:r>
              <w:rPr>
                <w:color w:val="333333"/>
                <w:sz w:val="20"/>
              </w:rPr>
              <w:t>Establecer esquemas de seguimiento, monitoreo y evaluación a la ejecución de las políticas, planes, proyectos y oferta social de competencia del Sector de Igualdad y Equidad, en coordinación con otras entidades competentes, y rendir cuentas</w:t>
            </w:r>
            <w:r>
              <w:rPr>
                <w:color w:val="333333"/>
                <w:spacing w:val="-4"/>
                <w:sz w:val="20"/>
              </w:rPr>
              <w:t xml:space="preserve"> </w:t>
            </w:r>
            <w:r>
              <w:rPr>
                <w:color w:val="333333"/>
                <w:sz w:val="20"/>
              </w:rPr>
              <w:t>a</w:t>
            </w:r>
            <w:r>
              <w:rPr>
                <w:color w:val="333333"/>
                <w:spacing w:val="-3"/>
                <w:sz w:val="20"/>
              </w:rPr>
              <w:t xml:space="preserve"> </w:t>
            </w:r>
            <w:r>
              <w:rPr>
                <w:color w:val="333333"/>
                <w:sz w:val="20"/>
              </w:rPr>
              <w:t>la</w:t>
            </w:r>
            <w:r>
              <w:rPr>
                <w:color w:val="333333"/>
                <w:spacing w:val="-3"/>
                <w:sz w:val="20"/>
              </w:rPr>
              <w:t xml:space="preserve"> </w:t>
            </w:r>
            <w:r>
              <w:rPr>
                <w:color w:val="333333"/>
                <w:sz w:val="20"/>
              </w:rPr>
              <w:t>ciudadanía.</w:t>
            </w:r>
            <w:r>
              <w:rPr>
                <w:color w:val="333333"/>
                <w:spacing w:val="-2"/>
                <w:sz w:val="20"/>
              </w:rPr>
              <w:t xml:space="preserve"> </w:t>
            </w:r>
            <w:r>
              <w:rPr>
                <w:color w:val="333333"/>
                <w:sz w:val="20"/>
              </w:rPr>
              <w:t>Para</w:t>
            </w:r>
            <w:r>
              <w:rPr>
                <w:color w:val="333333"/>
                <w:spacing w:val="-1"/>
                <w:sz w:val="20"/>
              </w:rPr>
              <w:t xml:space="preserve"> </w:t>
            </w:r>
            <w:r>
              <w:rPr>
                <w:color w:val="333333"/>
                <w:sz w:val="20"/>
              </w:rPr>
              <w:t>este</w:t>
            </w:r>
            <w:r>
              <w:rPr>
                <w:color w:val="333333"/>
                <w:spacing w:val="-5"/>
                <w:sz w:val="20"/>
              </w:rPr>
              <w:t xml:space="preserve"> </w:t>
            </w:r>
            <w:r>
              <w:rPr>
                <w:color w:val="333333"/>
                <w:sz w:val="20"/>
              </w:rPr>
              <w:t xml:space="preserve">efecto, se promocionarán y adoptarán mecanismos participativos de control </w:t>
            </w:r>
            <w:r>
              <w:rPr>
                <w:color w:val="333333"/>
                <w:spacing w:val="-2"/>
                <w:sz w:val="20"/>
              </w:rPr>
              <w:t>social</w:t>
            </w:r>
          </w:p>
          <w:p w14:paraId="79EC4327" w14:textId="77777777" w:rsidR="000E52B0" w:rsidRDefault="00F60D74">
            <w:pPr>
              <w:pStyle w:val="TableParagraph"/>
              <w:numPr>
                <w:ilvl w:val="0"/>
                <w:numId w:val="22"/>
              </w:numPr>
              <w:tabs>
                <w:tab w:val="left" w:pos="377"/>
                <w:tab w:val="left" w:pos="379"/>
              </w:tabs>
              <w:spacing w:before="1"/>
              <w:ind w:right="90" w:hanging="363"/>
              <w:jc w:val="both"/>
              <w:rPr>
                <w:sz w:val="20"/>
              </w:rPr>
            </w:pPr>
            <w:r>
              <w:rPr>
                <w:color w:val="333333"/>
                <w:sz w:val="20"/>
              </w:rPr>
              <w:t>Dirigir, coordinar, hacer seguimiento y evaluar los sistemas e instancias de asesoría, coordinación y articulación relacionados con sus competencias creados</w:t>
            </w:r>
            <w:r>
              <w:rPr>
                <w:color w:val="333333"/>
                <w:spacing w:val="-11"/>
                <w:sz w:val="20"/>
              </w:rPr>
              <w:t xml:space="preserve"> </w:t>
            </w:r>
            <w:r>
              <w:rPr>
                <w:color w:val="333333"/>
                <w:sz w:val="20"/>
              </w:rPr>
              <w:t>o</w:t>
            </w:r>
            <w:r>
              <w:rPr>
                <w:color w:val="333333"/>
                <w:spacing w:val="-12"/>
                <w:sz w:val="20"/>
              </w:rPr>
              <w:t xml:space="preserve"> </w:t>
            </w:r>
            <w:r>
              <w:rPr>
                <w:color w:val="333333"/>
                <w:sz w:val="20"/>
              </w:rPr>
              <w:t>que</w:t>
            </w:r>
            <w:r>
              <w:rPr>
                <w:color w:val="333333"/>
                <w:spacing w:val="-12"/>
                <w:sz w:val="20"/>
              </w:rPr>
              <w:t xml:space="preserve"> </w:t>
            </w:r>
            <w:r>
              <w:rPr>
                <w:color w:val="333333"/>
                <w:sz w:val="20"/>
              </w:rPr>
              <w:t>se</w:t>
            </w:r>
            <w:r>
              <w:rPr>
                <w:color w:val="333333"/>
                <w:spacing w:val="-12"/>
                <w:sz w:val="20"/>
              </w:rPr>
              <w:t xml:space="preserve"> </w:t>
            </w:r>
            <w:r>
              <w:rPr>
                <w:color w:val="333333"/>
                <w:sz w:val="20"/>
              </w:rPr>
              <w:t>creen</w:t>
            </w:r>
            <w:r>
              <w:rPr>
                <w:color w:val="333333"/>
                <w:spacing w:val="-10"/>
                <w:sz w:val="20"/>
              </w:rPr>
              <w:t xml:space="preserve"> </w:t>
            </w:r>
            <w:r>
              <w:rPr>
                <w:color w:val="333333"/>
                <w:sz w:val="20"/>
              </w:rPr>
              <w:t>normativamente</w:t>
            </w:r>
            <w:r>
              <w:rPr>
                <w:color w:val="333333"/>
                <w:spacing w:val="-12"/>
                <w:sz w:val="20"/>
              </w:rPr>
              <w:t xml:space="preserve"> </w:t>
            </w:r>
            <w:r>
              <w:rPr>
                <w:color w:val="333333"/>
                <w:sz w:val="20"/>
              </w:rPr>
              <w:t>y que así lo indiquen.</w:t>
            </w:r>
          </w:p>
          <w:p w14:paraId="77D92374" w14:textId="77777777" w:rsidR="000E52B0" w:rsidRDefault="00F60D74">
            <w:pPr>
              <w:pStyle w:val="TableParagraph"/>
              <w:numPr>
                <w:ilvl w:val="0"/>
                <w:numId w:val="22"/>
              </w:numPr>
              <w:tabs>
                <w:tab w:val="left" w:pos="377"/>
                <w:tab w:val="left" w:pos="379"/>
              </w:tabs>
              <w:spacing w:before="1"/>
              <w:ind w:right="89" w:hanging="363"/>
              <w:jc w:val="both"/>
              <w:rPr>
                <w:sz w:val="20"/>
              </w:rPr>
            </w:pPr>
            <w:r>
              <w:rPr>
                <w:color w:val="333333"/>
                <w:sz w:val="20"/>
              </w:rPr>
              <w:t>Generar información periódica que permita visibilizar las características, contextos y condiciones de vida qua impiden a las personas superar las condiciones de inequidad y desigualdad; plantear alternativas para la elaboración de políticas públicas que garanticen el cierre de brechas, el avance en la superación</w:t>
            </w:r>
            <w:r>
              <w:rPr>
                <w:color w:val="333333"/>
                <w:spacing w:val="-18"/>
                <w:sz w:val="20"/>
              </w:rPr>
              <w:t xml:space="preserve"> </w:t>
            </w:r>
            <w:r>
              <w:rPr>
                <w:color w:val="333333"/>
                <w:sz w:val="20"/>
              </w:rPr>
              <w:t>de</w:t>
            </w:r>
            <w:r>
              <w:rPr>
                <w:color w:val="333333"/>
                <w:spacing w:val="-18"/>
                <w:sz w:val="20"/>
              </w:rPr>
              <w:t xml:space="preserve"> </w:t>
            </w:r>
            <w:r>
              <w:rPr>
                <w:color w:val="333333"/>
                <w:sz w:val="20"/>
              </w:rPr>
              <w:t>la</w:t>
            </w:r>
            <w:r>
              <w:rPr>
                <w:color w:val="333333"/>
                <w:spacing w:val="-17"/>
                <w:sz w:val="20"/>
              </w:rPr>
              <w:t xml:space="preserve"> </w:t>
            </w:r>
            <w:r>
              <w:rPr>
                <w:color w:val="333333"/>
                <w:sz w:val="20"/>
              </w:rPr>
              <w:t>desigualdad</w:t>
            </w:r>
            <w:r>
              <w:rPr>
                <w:color w:val="333333"/>
                <w:spacing w:val="-18"/>
                <w:sz w:val="20"/>
              </w:rPr>
              <w:t xml:space="preserve"> </w:t>
            </w:r>
            <w:r>
              <w:rPr>
                <w:color w:val="333333"/>
                <w:sz w:val="20"/>
              </w:rPr>
              <w:t>y</w:t>
            </w:r>
            <w:r>
              <w:rPr>
                <w:color w:val="333333"/>
                <w:spacing w:val="-17"/>
                <w:sz w:val="20"/>
              </w:rPr>
              <w:t xml:space="preserve"> </w:t>
            </w:r>
            <w:r>
              <w:rPr>
                <w:color w:val="333333"/>
                <w:sz w:val="20"/>
              </w:rPr>
              <w:t>la</w:t>
            </w:r>
            <w:r>
              <w:rPr>
                <w:color w:val="333333"/>
                <w:spacing w:val="-18"/>
                <w:sz w:val="20"/>
              </w:rPr>
              <w:t xml:space="preserve"> </w:t>
            </w:r>
            <w:r>
              <w:rPr>
                <w:color w:val="333333"/>
                <w:sz w:val="20"/>
              </w:rPr>
              <w:t xml:space="preserve">inclusión y </w:t>
            </w:r>
            <w:proofErr w:type="spellStart"/>
            <w:r>
              <w:rPr>
                <w:color w:val="333333"/>
                <w:sz w:val="20"/>
              </w:rPr>
              <w:t>visibilización</w:t>
            </w:r>
            <w:proofErr w:type="spellEnd"/>
            <w:r>
              <w:rPr>
                <w:color w:val="333333"/>
                <w:sz w:val="20"/>
              </w:rPr>
              <w:t xml:space="preserve"> de las acciones por la igualdad y equidad en las agendas públicas</w:t>
            </w:r>
            <w:r>
              <w:rPr>
                <w:color w:val="333333"/>
                <w:spacing w:val="70"/>
                <w:w w:val="150"/>
                <w:sz w:val="20"/>
              </w:rPr>
              <w:t xml:space="preserve">   </w:t>
            </w:r>
            <w:r>
              <w:rPr>
                <w:color w:val="333333"/>
                <w:sz w:val="20"/>
              </w:rPr>
              <w:t>del</w:t>
            </w:r>
            <w:r>
              <w:rPr>
                <w:color w:val="333333"/>
                <w:spacing w:val="72"/>
                <w:w w:val="150"/>
                <w:sz w:val="20"/>
              </w:rPr>
              <w:t xml:space="preserve">   </w:t>
            </w:r>
            <w:r>
              <w:rPr>
                <w:color w:val="333333"/>
                <w:sz w:val="20"/>
              </w:rPr>
              <w:t>orden</w:t>
            </w:r>
            <w:r>
              <w:rPr>
                <w:color w:val="333333"/>
                <w:spacing w:val="71"/>
                <w:w w:val="150"/>
                <w:sz w:val="20"/>
              </w:rPr>
              <w:t xml:space="preserve">   </w:t>
            </w:r>
            <w:r>
              <w:rPr>
                <w:color w:val="333333"/>
                <w:sz w:val="20"/>
              </w:rPr>
              <w:t>nacional,</w:t>
            </w:r>
          </w:p>
          <w:p w14:paraId="603215BF" w14:textId="77777777" w:rsidR="000E52B0" w:rsidRDefault="00F60D74">
            <w:pPr>
              <w:pStyle w:val="TableParagraph"/>
              <w:spacing w:line="224" w:lineRule="exact"/>
              <w:ind w:left="379"/>
              <w:jc w:val="both"/>
              <w:rPr>
                <w:sz w:val="20"/>
              </w:rPr>
            </w:pPr>
            <w:r>
              <w:rPr>
                <w:color w:val="333333"/>
                <w:sz w:val="20"/>
              </w:rPr>
              <w:t>departamental,</w:t>
            </w:r>
            <w:r>
              <w:rPr>
                <w:color w:val="333333"/>
                <w:spacing w:val="-12"/>
                <w:sz w:val="20"/>
              </w:rPr>
              <w:t xml:space="preserve"> </w:t>
            </w:r>
            <w:r>
              <w:rPr>
                <w:color w:val="333333"/>
                <w:sz w:val="20"/>
              </w:rPr>
              <w:t>distrital</w:t>
            </w:r>
            <w:r>
              <w:rPr>
                <w:color w:val="333333"/>
                <w:spacing w:val="-7"/>
                <w:sz w:val="20"/>
              </w:rPr>
              <w:t xml:space="preserve"> </w:t>
            </w:r>
            <w:r>
              <w:rPr>
                <w:color w:val="333333"/>
                <w:sz w:val="20"/>
              </w:rPr>
              <w:t>y</w:t>
            </w:r>
            <w:r>
              <w:rPr>
                <w:color w:val="333333"/>
                <w:spacing w:val="-11"/>
                <w:sz w:val="20"/>
              </w:rPr>
              <w:t xml:space="preserve"> </w:t>
            </w:r>
            <w:r>
              <w:rPr>
                <w:color w:val="333333"/>
                <w:spacing w:val="-2"/>
                <w:sz w:val="20"/>
              </w:rPr>
              <w:t>municipal.</w:t>
            </w:r>
          </w:p>
        </w:tc>
        <w:tc>
          <w:tcPr>
            <w:tcW w:w="4723" w:type="dxa"/>
          </w:tcPr>
          <w:p w14:paraId="7C791CEB" w14:textId="77777777" w:rsidR="000E52B0" w:rsidRDefault="00F60D74">
            <w:pPr>
              <w:pStyle w:val="TableParagraph"/>
              <w:ind w:left="379" w:right="88"/>
              <w:jc w:val="both"/>
              <w:rPr>
                <w:b/>
                <w:sz w:val="20"/>
              </w:rPr>
            </w:pPr>
            <w:r>
              <w:rPr>
                <w:color w:val="333333"/>
                <w:spacing w:val="-2"/>
                <w:sz w:val="20"/>
              </w:rPr>
              <w:t>Asimismo,</w:t>
            </w:r>
            <w:r>
              <w:rPr>
                <w:color w:val="333333"/>
                <w:spacing w:val="-10"/>
                <w:sz w:val="20"/>
              </w:rPr>
              <w:t xml:space="preserve"> </w:t>
            </w:r>
            <w:r>
              <w:rPr>
                <w:color w:val="333333"/>
                <w:spacing w:val="-2"/>
                <w:sz w:val="20"/>
              </w:rPr>
              <w:t>se</w:t>
            </w:r>
            <w:r>
              <w:rPr>
                <w:color w:val="333333"/>
                <w:spacing w:val="-11"/>
                <w:sz w:val="20"/>
              </w:rPr>
              <w:t xml:space="preserve"> </w:t>
            </w:r>
            <w:r>
              <w:rPr>
                <w:color w:val="333333"/>
                <w:spacing w:val="-2"/>
                <w:sz w:val="20"/>
              </w:rPr>
              <w:t>gestionarán,</w:t>
            </w:r>
            <w:r>
              <w:rPr>
                <w:color w:val="333333"/>
                <w:spacing w:val="-10"/>
                <w:sz w:val="20"/>
              </w:rPr>
              <w:t xml:space="preserve"> </w:t>
            </w:r>
            <w:r>
              <w:rPr>
                <w:color w:val="333333"/>
                <w:spacing w:val="-2"/>
                <w:sz w:val="20"/>
              </w:rPr>
              <w:t>en</w:t>
            </w:r>
            <w:r>
              <w:rPr>
                <w:color w:val="333333"/>
                <w:spacing w:val="-9"/>
                <w:sz w:val="20"/>
              </w:rPr>
              <w:t xml:space="preserve"> </w:t>
            </w:r>
            <w:r>
              <w:rPr>
                <w:color w:val="333333"/>
                <w:spacing w:val="-2"/>
                <w:sz w:val="20"/>
              </w:rPr>
              <w:t xml:space="preserve">coordinación </w:t>
            </w:r>
            <w:r>
              <w:rPr>
                <w:color w:val="333333"/>
                <w:sz w:val="20"/>
              </w:rPr>
              <w:t>y articulación con el Ministerio de Relaciones Exteriores, alianzas con organismos internacionales y otros gobiernos al tiempo de dar seguimiento</w:t>
            </w:r>
            <w:r>
              <w:rPr>
                <w:color w:val="333333"/>
                <w:spacing w:val="-1"/>
                <w:sz w:val="20"/>
              </w:rPr>
              <w:t xml:space="preserve"> </w:t>
            </w:r>
            <w:r>
              <w:rPr>
                <w:color w:val="333333"/>
                <w:sz w:val="20"/>
              </w:rPr>
              <w:t xml:space="preserve">a </w:t>
            </w:r>
            <w:r>
              <w:rPr>
                <w:color w:val="333333"/>
                <w:spacing w:val="-2"/>
                <w:sz w:val="20"/>
              </w:rPr>
              <w:t>los</w:t>
            </w:r>
            <w:r>
              <w:rPr>
                <w:color w:val="333333"/>
                <w:spacing w:val="-5"/>
                <w:sz w:val="20"/>
              </w:rPr>
              <w:t xml:space="preserve"> </w:t>
            </w:r>
            <w:r>
              <w:rPr>
                <w:color w:val="333333"/>
                <w:spacing w:val="-2"/>
                <w:sz w:val="20"/>
              </w:rPr>
              <w:t>compromisos</w:t>
            </w:r>
            <w:r>
              <w:rPr>
                <w:color w:val="333333"/>
                <w:spacing w:val="-8"/>
                <w:sz w:val="20"/>
              </w:rPr>
              <w:t xml:space="preserve"> </w:t>
            </w:r>
            <w:r>
              <w:rPr>
                <w:color w:val="333333"/>
                <w:spacing w:val="-2"/>
                <w:sz w:val="20"/>
              </w:rPr>
              <w:t>internacionales</w:t>
            </w:r>
            <w:r>
              <w:rPr>
                <w:color w:val="333333"/>
                <w:spacing w:val="-8"/>
                <w:sz w:val="20"/>
              </w:rPr>
              <w:t xml:space="preserve"> </w:t>
            </w:r>
            <w:r>
              <w:rPr>
                <w:color w:val="333333"/>
                <w:spacing w:val="-2"/>
                <w:sz w:val="20"/>
              </w:rPr>
              <w:t xml:space="preserve">asumidos </w:t>
            </w:r>
            <w:r>
              <w:rPr>
                <w:color w:val="333333"/>
                <w:sz w:val="20"/>
              </w:rPr>
              <w:t xml:space="preserve">por el Estado. </w:t>
            </w:r>
            <w:r>
              <w:rPr>
                <w:b/>
                <w:strike/>
                <w:color w:val="333333"/>
                <w:sz w:val="20"/>
              </w:rPr>
              <w:t>”</w:t>
            </w:r>
          </w:p>
          <w:p w14:paraId="4D577016" w14:textId="77777777" w:rsidR="000E52B0" w:rsidRDefault="00F60D74">
            <w:pPr>
              <w:pStyle w:val="TableParagraph"/>
              <w:numPr>
                <w:ilvl w:val="0"/>
                <w:numId w:val="21"/>
              </w:numPr>
              <w:tabs>
                <w:tab w:val="left" w:pos="377"/>
                <w:tab w:val="left" w:pos="379"/>
              </w:tabs>
              <w:ind w:right="87"/>
              <w:jc w:val="both"/>
              <w:rPr>
                <w:b/>
                <w:sz w:val="20"/>
              </w:rPr>
            </w:pPr>
            <w:r>
              <w:rPr>
                <w:color w:val="333333"/>
                <w:sz w:val="20"/>
              </w:rPr>
              <w:t>Establecer esquemas de seguimiento, monitoreo y evaluación a la ejecución de las políticas, planes, proyectos y oferta social de competencia del Sector de Igualdad y Equidad, en coordinación con otras entidades competentes, y rendir cuentas</w:t>
            </w:r>
            <w:r>
              <w:rPr>
                <w:color w:val="333333"/>
                <w:spacing w:val="-2"/>
                <w:sz w:val="20"/>
              </w:rPr>
              <w:t xml:space="preserve"> </w:t>
            </w:r>
            <w:r>
              <w:rPr>
                <w:color w:val="333333"/>
                <w:sz w:val="20"/>
              </w:rPr>
              <w:t>a</w:t>
            </w:r>
            <w:r>
              <w:rPr>
                <w:color w:val="333333"/>
                <w:spacing w:val="-1"/>
                <w:sz w:val="20"/>
              </w:rPr>
              <w:t xml:space="preserve"> </w:t>
            </w:r>
            <w:r>
              <w:rPr>
                <w:color w:val="333333"/>
                <w:sz w:val="20"/>
              </w:rPr>
              <w:t>la</w:t>
            </w:r>
            <w:r>
              <w:rPr>
                <w:color w:val="333333"/>
                <w:spacing w:val="-1"/>
                <w:sz w:val="20"/>
              </w:rPr>
              <w:t xml:space="preserve"> </w:t>
            </w:r>
            <w:r>
              <w:rPr>
                <w:color w:val="333333"/>
                <w:sz w:val="20"/>
              </w:rPr>
              <w:t>ciudadanía. Para este</w:t>
            </w:r>
            <w:r>
              <w:rPr>
                <w:color w:val="333333"/>
                <w:spacing w:val="-2"/>
                <w:sz w:val="20"/>
              </w:rPr>
              <w:t xml:space="preserve"> </w:t>
            </w:r>
            <w:r>
              <w:rPr>
                <w:color w:val="333333"/>
                <w:sz w:val="20"/>
              </w:rPr>
              <w:t xml:space="preserve">efecto, se promocionarán y adoptarán mecanismos participativos de control </w:t>
            </w:r>
            <w:r>
              <w:rPr>
                <w:color w:val="333333"/>
                <w:spacing w:val="-2"/>
                <w:sz w:val="20"/>
              </w:rPr>
              <w:t>social</w:t>
            </w:r>
            <w:r>
              <w:rPr>
                <w:b/>
                <w:color w:val="333333"/>
                <w:spacing w:val="-2"/>
                <w:sz w:val="20"/>
              </w:rPr>
              <w:t>.</w:t>
            </w:r>
          </w:p>
          <w:p w14:paraId="2E73DAA1" w14:textId="77777777" w:rsidR="000E52B0" w:rsidRDefault="00F60D74">
            <w:pPr>
              <w:pStyle w:val="TableParagraph"/>
              <w:numPr>
                <w:ilvl w:val="0"/>
                <w:numId w:val="21"/>
              </w:numPr>
              <w:tabs>
                <w:tab w:val="left" w:pos="393"/>
                <w:tab w:val="left" w:pos="395"/>
              </w:tabs>
              <w:spacing w:before="1"/>
              <w:ind w:left="395" w:right="87" w:hanging="360"/>
              <w:jc w:val="both"/>
              <w:rPr>
                <w:sz w:val="20"/>
              </w:rPr>
            </w:pPr>
            <w:r>
              <w:rPr>
                <w:noProof/>
                <w:sz w:val="20"/>
              </w:rPr>
              <mc:AlternateContent>
                <mc:Choice Requires="wpg">
                  <w:drawing>
                    <wp:anchor distT="0" distB="0" distL="0" distR="0" simplePos="0" relativeHeight="482319872" behindDoc="1" locked="0" layoutInCell="1" allowOverlap="1" wp14:anchorId="4ECF4FD8" wp14:editId="0236E11F">
                      <wp:simplePos x="0" y="0"/>
                      <wp:positionH relativeFrom="column">
                        <wp:posOffset>594360</wp:posOffset>
                      </wp:positionH>
                      <wp:positionV relativeFrom="paragraph">
                        <wp:posOffset>-16716</wp:posOffset>
                      </wp:positionV>
                      <wp:extent cx="47625" cy="13970"/>
                      <wp:effectExtent l="0" t="0" r="0" b="0"/>
                      <wp:wrapNone/>
                      <wp:docPr id="770"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13970"/>
                                <a:chOff x="0" y="0"/>
                                <a:chExt cx="47625" cy="13970"/>
                              </a:xfrm>
                            </wpg:grpSpPr>
                            <wps:wsp>
                              <wps:cNvPr id="771" name="Graphic 771"/>
                              <wps:cNvSpPr/>
                              <wps:spPr>
                                <a:xfrm>
                                  <a:off x="0" y="0"/>
                                  <a:ext cx="47625" cy="13970"/>
                                </a:xfrm>
                                <a:custGeom>
                                  <a:avLst/>
                                  <a:gdLst/>
                                  <a:ahLst/>
                                  <a:cxnLst/>
                                  <a:rect l="l" t="t" r="r" b="b"/>
                                  <a:pathLst>
                                    <a:path w="47625" h="13970">
                                      <a:moveTo>
                                        <a:pt x="47244" y="0"/>
                                      </a:moveTo>
                                      <a:lnTo>
                                        <a:pt x="0" y="0"/>
                                      </a:lnTo>
                                      <a:lnTo>
                                        <a:pt x="0" y="13715"/>
                                      </a:lnTo>
                                      <a:lnTo>
                                        <a:pt x="47244" y="13715"/>
                                      </a:lnTo>
                                      <a:lnTo>
                                        <a:pt x="47244" y="0"/>
                                      </a:lnTo>
                                      <a:close/>
                                    </a:path>
                                  </a:pathLst>
                                </a:custGeom>
                                <a:solidFill>
                                  <a:srgbClr val="333333"/>
                                </a:solidFill>
                              </wps:spPr>
                              <wps:bodyPr wrap="square" lIns="0" tIns="0" rIns="0" bIns="0" rtlCol="0">
                                <a:prstTxWarp prst="textNoShape">
                                  <a:avLst/>
                                </a:prstTxWarp>
                                <a:noAutofit/>
                              </wps:bodyPr>
                            </wps:wsp>
                          </wpg:wgp>
                        </a:graphicData>
                      </a:graphic>
                    </wp:anchor>
                  </w:drawing>
                </mc:Choice>
                <mc:Fallback>
                  <w:pict>
                    <v:group w14:anchorId="07F4B4F9" id="Group 770" o:spid="_x0000_s1026" style="position:absolute;margin-left:46.8pt;margin-top:-1.3pt;width:3.75pt;height:1.1pt;z-index:-20996608;mso-wrap-distance-left:0;mso-wrap-distance-right:0" coordsize="4762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">
                      <v:shape id="Graphic 771" o:spid="_x0000_s1027" style="position:absolute;width:47625;height:13970;visibility:visible;mso-wrap-style:square;v-text-anchor:top" coordsize="4762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" path="m47244,l,,,13715r47244,l47244,xe" fillcolor="#333" stroked="f">
                        <v:path arrowok="t"/>
                      </v:shape>
                    </v:group>
                  </w:pict>
                </mc:Fallback>
              </mc:AlternateContent>
            </w:r>
            <w:r>
              <w:rPr>
                <w:color w:val="333333"/>
                <w:sz w:val="20"/>
              </w:rPr>
              <w:t>Dirigir, coordinar, hacer seguimiento y evaluar los sistemas e instancias de asesoría, coordinación y articulación relacionados con sus competencias creados</w:t>
            </w:r>
            <w:r>
              <w:rPr>
                <w:color w:val="333333"/>
                <w:spacing w:val="-11"/>
                <w:sz w:val="20"/>
              </w:rPr>
              <w:t xml:space="preserve"> </w:t>
            </w:r>
            <w:r>
              <w:rPr>
                <w:color w:val="333333"/>
                <w:sz w:val="20"/>
              </w:rPr>
              <w:t>o</w:t>
            </w:r>
            <w:r>
              <w:rPr>
                <w:color w:val="333333"/>
                <w:spacing w:val="-13"/>
                <w:sz w:val="20"/>
              </w:rPr>
              <w:t xml:space="preserve"> </w:t>
            </w:r>
            <w:r>
              <w:rPr>
                <w:color w:val="333333"/>
                <w:sz w:val="20"/>
              </w:rPr>
              <w:t>que</w:t>
            </w:r>
            <w:r>
              <w:rPr>
                <w:color w:val="333333"/>
                <w:spacing w:val="-12"/>
                <w:sz w:val="20"/>
              </w:rPr>
              <w:t xml:space="preserve"> </w:t>
            </w:r>
            <w:r>
              <w:rPr>
                <w:color w:val="333333"/>
                <w:sz w:val="20"/>
              </w:rPr>
              <w:t>se</w:t>
            </w:r>
            <w:r>
              <w:rPr>
                <w:color w:val="333333"/>
                <w:spacing w:val="-12"/>
                <w:sz w:val="20"/>
              </w:rPr>
              <w:t xml:space="preserve"> </w:t>
            </w:r>
            <w:r>
              <w:rPr>
                <w:color w:val="333333"/>
                <w:sz w:val="20"/>
              </w:rPr>
              <w:t>creen</w:t>
            </w:r>
            <w:r>
              <w:rPr>
                <w:color w:val="333333"/>
                <w:spacing w:val="-10"/>
                <w:sz w:val="20"/>
              </w:rPr>
              <w:t xml:space="preserve"> </w:t>
            </w:r>
            <w:r>
              <w:rPr>
                <w:color w:val="333333"/>
                <w:sz w:val="20"/>
              </w:rPr>
              <w:t>normativamente</w:t>
            </w:r>
            <w:r>
              <w:rPr>
                <w:color w:val="333333"/>
                <w:spacing w:val="-12"/>
                <w:sz w:val="20"/>
              </w:rPr>
              <w:t xml:space="preserve"> </w:t>
            </w:r>
            <w:r>
              <w:rPr>
                <w:color w:val="333333"/>
                <w:sz w:val="20"/>
              </w:rPr>
              <w:t>y que así lo indiquen.</w:t>
            </w:r>
          </w:p>
          <w:p w14:paraId="2D9715C6" w14:textId="77777777" w:rsidR="000E52B0" w:rsidRDefault="00F60D74">
            <w:pPr>
              <w:pStyle w:val="TableParagraph"/>
              <w:numPr>
                <w:ilvl w:val="0"/>
                <w:numId w:val="21"/>
              </w:numPr>
              <w:tabs>
                <w:tab w:val="left" w:pos="393"/>
                <w:tab w:val="left" w:pos="395"/>
              </w:tabs>
              <w:spacing w:before="1"/>
              <w:ind w:left="395" w:right="86" w:hanging="360"/>
              <w:jc w:val="both"/>
              <w:rPr>
                <w:sz w:val="20"/>
              </w:rPr>
            </w:pPr>
            <w:r>
              <w:rPr>
                <w:color w:val="333333"/>
                <w:sz w:val="20"/>
              </w:rPr>
              <w:t xml:space="preserve">Generar información periódica que permita visibilizar las características, contextos y condiciones de vida qua impiden a las personas superar las condiciones de inequidad y desigualdad; plantear alternativas para la elaboración de políticas públicas que garanticen el cierre de brechas, el avance en la superación de la desigualdad, y la inclusión y </w:t>
            </w:r>
            <w:proofErr w:type="spellStart"/>
            <w:r>
              <w:rPr>
                <w:color w:val="333333"/>
                <w:sz w:val="20"/>
              </w:rPr>
              <w:t>visibilización</w:t>
            </w:r>
            <w:proofErr w:type="spellEnd"/>
            <w:r>
              <w:rPr>
                <w:color w:val="333333"/>
                <w:sz w:val="20"/>
              </w:rPr>
              <w:t xml:space="preserve"> de las acciones por la igualdad y equidad en las agendas públicas</w:t>
            </w:r>
            <w:r>
              <w:rPr>
                <w:color w:val="333333"/>
                <w:spacing w:val="72"/>
                <w:w w:val="150"/>
                <w:sz w:val="20"/>
              </w:rPr>
              <w:t xml:space="preserve">   </w:t>
            </w:r>
            <w:r>
              <w:rPr>
                <w:color w:val="333333"/>
                <w:sz w:val="20"/>
              </w:rPr>
              <w:t>del</w:t>
            </w:r>
            <w:r>
              <w:rPr>
                <w:color w:val="333333"/>
                <w:spacing w:val="74"/>
                <w:w w:val="150"/>
                <w:sz w:val="20"/>
              </w:rPr>
              <w:t xml:space="preserve">   </w:t>
            </w:r>
            <w:r>
              <w:rPr>
                <w:color w:val="333333"/>
                <w:sz w:val="20"/>
              </w:rPr>
              <w:t>orden</w:t>
            </w:r>
            <w:r>
              <w:rPr>
                <w:color w:val="333333"/>
                <w:spacing w:val="73"/>
                <w:w w:val="150"/>
                <w:sz w:val="20"/>
              </w:rPr>
              <w:t xml:space="preserve">   </w:t>
            </w:r>
            <w:r>
              <w:rPr>
                <w:color w:val="333333"/>
                <w:spacing w:val="-2"/>
                <w:sz w:val="20"/>
              </w:rPr>
              <w:t>nacional,</w:t>
            </w:r>
          </w:p>
          <w:p w14:paraId="182B2B1E" w14:textId="77777777" w:rsidR="000E52B0" w:rsidRDefault="00F60D74">
            <w:pPr>
              <w:pStyle w:val="TableParagraph"/>
              <w:spacing w:line="224" w:lineRule="exact"/>
              <w:ind w:left="395"/>
              <w:jc w:val="both"/>
              <w:rPr>
                <w:sz w:val="20"/>
              </w:rPr>
            </w:pPr>
            <w:r>
              <w:rPr>
                <w:color w:val="333333"/>
                <w:sz w:val="20"/>
              </w:rPr>
              <w:t>departamental,</w:t>
            </w:r>
            <w:r>
              <w:rPr>
                <w:color w:val="333333"/>
                <w:spacing w:val="-12"/>
                <w:sz w:val="20"/>
              </w:rPr>
              <w:t xml:space="preserve"> </w:t>
            </w:r>
            <w:r>
              <w:rPr>
                <w:color w:val="333333"/>
                <w:sz w:val="20"/>
              </w:rPr>
              <w:t>distrital</w:t>
            </w:r>
            <w:r>
              <w:rPr>
                <w:color w:val="333333"/>
                <w:spacing w:val="-7"/>
                <w:sz w:val="20"/>
              </w:rPr>
              <w:t xml:space="preserve"> </w:t>
            </w:r>
            <w:r>
              <w:rPr>
                <w:color w:val="333333"/>
                <w:sz w:val="20"/>
              </w:rPr>
              <w:t>y</w:t>
            </w:r>
            <w:r>
              <w:rPr>
                <w:color w:val="333333"/>
                <w:spacing w:val="-11"/>
                <w:sz w:val="20"/>
              </w:rPr>
              <w:t xml:space="preserve"> </w:t>
            </w:r>
            <w:r>
              <w:rPr>
                <w:color w:val="333333"/>
                <w:spacing w:val="-2"/>
                <w:sz w:val="20"/>
              </w:rPr>
              <w:t>municipal.</w:t>
            </w:r>
          </w:p>
        </w:tc>
        <w:tc>
          <w:tcPr>
            <w:tcW w:w="3809" w:type="dxa"/>
          </w:tcPr>
          <w:p w14:paraId="4B21DDBD" w14:textId="77777777" w:rsidR="000E52B0" w:rsidRDefault="000E52B0">
            <w:pPr>
              <w:pStyle w:val="TableParagraph"/>
              <w:rPr>
                <w:rFonts w:ascii="Times New Roman"/>
                <w:sz w:val="18"/>
              </w:rPr>
            </w:pPr>
          </w:p>
        </w:tc>
      </w:tr>
    </w:tbl>
    <w:p w14:paraId="74F81135" w14:textId="77777777" w:rsidR="000E52B0" w:rsidRDefault="000E52B0">
      <w:pPr>
        <w:pStyle w:val="TableParagraph"/>
        <w:rPr>
          <w:rFonts w:ascii="Times New Roman"/>
          <w:sz w:val="18"/>
        </w:rPr>
        <w:sectPr w:rsidR="000E52B0">
          <w:pgSz w:w="16840" w:h="11910" w:orient="landscape"/>
          <w:pgMar w:top="1340" w:right="1800" w:bottom="1180" w:left="1440" w:header="0" w:footer="995" w:gutter="0"/>
          <w:cols w:space="720"/>
        </w:sectPr>
      </w:pPr>
    </w:p>
    <w:p w14:paraId="6BB90414" w14:textId="77777777" w:rsidR="000E52B0" w:rsidRDefault="000E52B0">
      <w:pPr>
        <w:pStyle w:val="Textoindependiente"/>
        <w:spacing w:before="8" w:after="1"/>
        <w:ind w:left="0"/>
        <w:rPr>
          <w:b/>
          <w:sz w:val="7"/>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12"/>
        <w:gridCol w:w="4723"/>
        <w:gridCol w:w="3809"/>
      </w:tblGrid>
      <w:tr w:rsidR="000E52B0" w14:paraId="304178DA" w14:textId="77777777">
        <w:trPr>
          <w:trHeight w:val="8508"/>
        </w:trPr>
        <w:tc>
          <w:tcPr>
            <w:tcW w:w="4712" w:type="dxa"/>
          </w:tcPr>
          <w:p w14:paraId="33DE6DC6" w14:textId="77777777" w:rsidR="000E52B0" w:rsidRDefault="00F60D74">
            <w:pPr>
              <w:pStyle w:val="TableParagraph"/>
              <w:numPr>
                <w:ilvl w:val="0"/>
                <w:numId w:val="20"/>
              </w:numPr>
              <w:tabs>
                <w:tab w:val="left" w:pos="377"/>
                <w:tab w:val="left" w:pos="379"/>
              </w:tabs>
              <w:ind w:right="88"/>
              <w:jc w:val="both"/>
              <w:rPr>
                <w:sz w:val="20"/>
              </w:rPr>
            </w:pPr>
            <w:r>
              <w:rPr>
                <w:color w:val="333333"/>
                <w:sz w:val="20"/>
              </w:rPr>
              <w:t>Dirigir, coordinar, orientar, hacer seguimiento</w:t>
            </w:r>
            <w:r>
              <w:rPr>
                <w:color w:val="333333"/>
                <w:spacing w:val="-18"/>
                <w:sz w:val="20"/>
              </w:rPr>
              <w:t xml:space="preserve"> </w:t>
            </w:r>
            <w:r>
              <w:rPr>
                <w:color w:val="333333"/>
                <w:sz w:val="20"/>
              </w:rPr>
              <w:t>y</w:t>
            </w:r>
            <w:r>
              <w:rPr>
                <w:color w:val="333333"/>
                <w:spacing w:val="-18"/>
                <w:sz w:val="20"/>
              </w:rPr>
              <w:t xml:space="preserve"> </w:t>
            </w:r>
            <w:r>
              <w:rPr>
                <w:color w:val="333333"/>
                <w:sz w:val="20"/>
              </w:rPr>
              <w:t>evaluar</w:t>
            </w:r>
            <w:r>
              <w:rPr>
                <w:color w:val="333333"/>
                <w:spacing w:val="-17"/>
                <w:sz w:val="20"/>
              </w:rPr>
              <w:t xml:space="preserve"> </w:t>
            </w:r>
            <w:r>
              <w:rPr>
                <w:color w:val="333333"/>
                <w:sz w:val="20"/>
              </w:rPr>
              <w:t>el</w:t>
            </w:r>
            <w:r>
              <w:rPr>
                <w:color w:val="333333"/>
                <w:spacing w:val="-18"/>
                <w:sz w:val="20"/>
              </w:rPr>
              <w:t xml:space="preserve"> </w:t>
            </w:r>
            <w:r>
              <w:rPr>
                <w:color w:val="333333"/>
                <w:sz w:val="20"/>
              </w:rPr>
              <w:t>Sistema</w:t>
            </w:r>
            <w:r>
              <w:rPr>
                <w:color w:val="333333"/>
                <w:spacing w:val="-17"/>
                <w:sz w:val="20"/>
              </w:rPr>
              <w:t xml:space="preserve"> </w:t>
            </w:r>
            <w:r>
              <w:rPr>
                <w:color w:val="333333"/>
                <w:sz w:val="20"/>
              </w:rPr>
              <w:t>Nacional de Cuidado. Así como formular, implementar y evaluar políticas relacionados con ayudas, generación de ingresos, capacitación y formación, y demás</w:t>
            </w:r>
            <w:r>
              <w:rPr>
                <w:color w:val="333333"/>
                <w:spacing w:val="-13"/>
                <w:sz w:val="20"/>
              </w:rPr>
              <w:t xml:space="preserve"> </w:t>
            </w:r>
            <w:r>
              <w:rPr>
                <w:color w:val="333333"/>
                <w:sz w:val="20"/>
              </w:rPr>
              <w:t>acciones</w:t>
            </w:r>
            <w:r>
              <w:rPr>
                <w:color w:val="333333"/>
                <w:spacing w:val="-11"/>
                <w:sz w:val="20"/>
              </w:rPr>
              <w:t xml:space="preserve"> </w:t>
            </w:r>
            <w:r>
              <w:rPr>
                <w:color w:val="333333"/>
                <w:sz w:val="20"/>
              </w:rPr>
              <w:t>que</w:t>
            </w:r>
            <w:r>
              <w:rPr>
                <w:color w:val="333333"/>
                <w:spacing w:val="-13"/>
                <w:sz w:val="20"/>
              </w:rPr>
              <w:t xml:space="preserve"> </w:t>
            </w:r>
            <w:r>
              <w:rPr>
                <w:color w:val="333333"/>
                <w:sz w:val="20"/>
              </w:rPr>
              <w:t>permitan</w:t>
            </w:r>
            <w:r>
              <w:rPr>
                <w:color w:val="333333"/>
                <w:spacing w:val="-11"/>
                <w:sz w:val="20"/>
              </w:rPr>
              <w:t xml:space="preserve"> </w:t>
            </w:r>
            <w:r>
              <w:rPr>
                <w:color w:val="333333"/>
                <w:sz w:val="20"/>
              </w:rPr>
              <w:t>retribuir</w:t>
            </w:r>
            <w:r>
              <w:rPr>
                <w:color w:val="333333"/>
                <w:spacing w:val="-7"/>
                <w:sz w:val="20"/>
              </w:rPr>
              <w:t xml:space="preserve"> </w:t>
            </w:r>
            <w:r>
              <w:rPr>
                <w:color w:val="333333"/>
                <w:sz w:val="20"/>
              </w:rPr>
              <w:t>las labores de cuidado que desempeña la población cuidadora.</w:t>
            </w:r>
          </w:p>
          <w:p w14:paraId="77261E2B" w14:textId="77777777" w:rsidR="000E52B0" w:rsidRDefault="00F60D74">
            <w:pPr>
              <w:pStyle w:val="TableParagraph"/>
              <w:numPr>
                <w:ilvl w:val="0"/>
                <w:numId w:val="20"/>
              </w:numPr>
              <w:tabs>
                <w:tab w:val="left" w:pos="377"/>
                <w:tab w:val="left" w:pos="379"/>
              </w:tabs>
              <w:spacing w:before="2"/>
              <w:ind w:right="90"/>
              <w:jc w:val="both"/>
              <w:rPr>
                <w:sz w:val="20"/>
              </w:rPr>
            </w:pPr>
            <w:r>
              <w:rPr>
                <w:color w:val="333333"/>
                <w:sz w:val="20"/>
              </w:rPr>
              <w:t>Formular, dirigir, coordinar, ejecutar y evaluar planes, programas, estrategias y proyectos que promuevan condiciones de igualdad real para las personas y comunidades</w:t>
            </w:r>
            <w:r>
              <w:rPr>
                <w:color w:val="333333"/>
                <w:spacing w:val="-18"/>
                <w:sz w:val="20"/>
              </w:rPr>
              <w:t xml:space="preserve"> </w:t>
            </w:r>
            <w:r>
              <w:rPr>
                <w:color w:val="333333"/>
                <w:sz w:val="20"/>
              </w:rPr>
              <w:t>especialmente</w:t>
            </w:r>
            <w:r>
              <w:rPr>
                <w:color w:val="333333"/>
                <w:spacing w:val="-18"/>
                <w:sz w:val="20"/>
              </w:rPr>
              <w:t xml:space="preserve"> </w:t>
            </w:r>
            <w:r>
              <w:rPr>
                <w:color w:val="333333"/>
                <w:sz w:val="20"/>
              </w:rPr>
              <w:t>afectadas</w:t>
            </w:r>
            <w:r>
              <w:rPr>
                <w:color w:val="333333"/>
                <w:spacing w:val="-17"/>
                <w:sz w:val="20"/>
              </w:rPr>
              <w:t xml:space="preserve"> </w:t>
            </w:r>
            <w:r>
              <w:rPr>
                <w:color w:val="333333"/>
                <w:sz w:val="20"/>
              </w:rPr>
              <w:t>por la</w:t>
            </w:r>
            <w:r>
              <w:rPr>
                <w:color w:val="333333"/>
                <w:spacing w:val="-2"/>
                <w:sz w:val="20"/>
              </w:rPr>
              <w:t xml:space="preserve"> </w:t>
            </w:r>
            <w:r>
              <w:rPr>
                <w:color w:val="333333"/>
                <w:sz w:val="20"/>
              </w:rPr>
              <w:t>crisis</w:t>
            </w:r>
            <w:r>
              <w:rPr>
                <w:color w:val="333333"/>
                <w:spacing w:val="-1"/>
                <w:sz w:val="20"/>
              </w:rPr>
              <w:t xml:space="preserve"> </w:t>
            </w:r>
            <w:r>
              <w:rPr>
                <w:color w:val="333333"/>
                <w:sz w:val="20"/>
              </w:rPr>
              <w:t>climática,</w:t>
            </w:r>
            <w:r>
              <w:rPr>
                <w:color w:val="333333"/>
                <w:spacing w:val="-1"/>
                <w:sz w:val="20"/>
              </w:rPr>
              <w:t xml:space="preserve"> </w:t>
            </w:r>
            <w:r>
              <w:rPr>
                <w:color w:val="333333"/>
                <w:sz w:val="20"/>
              </w:rPr>
              <w:t>de</w:t>
            </w:r>
            <w:r>
              <w:rPr>
                <w:color w:val="333333"/>
                <w:spacing w:val="-2"/>
                <w:sz w:val="20"/>
              </w:rPr>
              <w:t xml:space="preserve"> </w:t>
            </w:r>
            <w:r>
              <w:rPr>
                <w:color w:val="333333"/>
                <w:sz w:val="20"/>
              </w:rPr>
              <w:t>conformidad con</w:t>
            </w:r>
            <w:r>
              <w:rPr>
                <w:color w:val="333333"/>
                <w:spacing w:val="-2"/>
                <w:sz w:val="20"/>
              </w:rPr>
              <w:t xml:space="preserve"> </w:t>
            </w:r>
            <w:r>
              <w:rPr>
                <w:color w:val="333333"/>
                <w:sz w:val="20"/>
              </w:rPr>
              <w:t xml:space="preserve">los compromisos adquiridos por Colombia en materia de adaptación al cambio </w:t>
            </w:r>
            <w:r>
              <w:rPr>
                <w:color w:val="333333"/>
                <w:spacing w:val="-2"/>
                <w:sz w:val="20"/>
              </w:rPr>
              <w:t>climático.</w:t>
            </w:r>
          </w:p>
          <w:p w14:paraId="0C603E47" w14:textId="77777777" w:rsidR="000E52B0" w:rsidRDefault="00F60D74">
            <w:pPr>
              <w:pStyle w:val="TableParagraph"/>
              <w:numPr>
                <w:ilvl w:val="0"/>
                <w:numId w:val="20"/>
              </w:numPr>
              <w:tabs>
                <w:tab w:val="left" w:pos="377"/>
                <w:tab w:val="left" w:pos="379"/>
              </w:tabs>
              <w:ind w:right="91"/>
              <w:jc w:val="both"/>
              <w:rPr>
                <w:sz w:val="20"/>
              </w:rPr>
            </w:pPr>
            <w:r>
              <w:rPr>
                <w:color w:val="333333"/>
                <w:sz w:val="20"/>
              </w:rPr>
              <w:t xml:space="preserve">Adoptar, coordinar y ejecutar en articulación con las demás entidades y organismos del Estado competentes, un programa de seguridad alimentaria que permita combatir el hambre y la malnutrición en los territorios y poblaciones del ámbito de sus </w:t>
            </w:r>
            <w:r>
              <w:rPr>
                <w:color w:val="333333"/>
                <w:spacing w:val="-2"/>
                <w:sz w:val="20"/>
              </w:rPr>
              <w:t>competencias.</w:t>
            </w:r>
          </w:p>
          <w:p w14:paraId="6341D793" w14:textId="77777777" w:rsidR="000E52B0" w:rsidRDefault="00F60D74">
            <w:pPr>
              <w:pStyle w:val="TableParagraph"/>
              <w:numPr>
                <w:ilvl w:val="0"/>
                <w:numId w:val="20"/>
              </w:numPr>
              <w:tabs>
                <w:tab w:val="left" w:pos="377"/>
                <w:tab w:val="left" w:pos="379"/>
              </w:tabs>
              <w:spacing w:before="1"/>
              <w:ind w:right="91"/>
              <w:jc w:val="both"/>
              <w:rPr>
                <w:sz w:val="20"/>
              </w:rPr>
            </w:pPr>
            <w:r>
              <w:rPr>
                <w:color w:val="333333"/>
                <w:sz w:val="20"/>
              </w:rPr>
              <w:t>Crear, fomentar, promover y formular estrategias y políticas en conjunción con las entidades públicas idóneas para estimular</w:t>
            </w:r>
            <w:r>
              <w:rPr>
                <w:color w:val="333333"/>
                <w:spacing w:val="-8"/>
                <w:sz w:val="20"/>
              </w:rPr>
              <w:t xml:space="preserve"> </w:t>
            </w:r>
            <w:r>
              <w:rPr>
                <w:color w:val="333333"/>
                <w:sz w:val="20"/>
              </w:rPr>
              <w:t>cambios</w:t>
            </w:r>
            <w:r>
              <w:rPr>
                <w:color w:val="333333"/>
                <w:spacing w:val="-6"/>
                <w:sz w:val="20"/>
              </w:rPr>
              <w:t xml:space="preserve"> </w:t>
            </w:r>
            <w:r>
              <w:rPr>
                <w:color w:val="333333"/>
                <w:sz w:val="20"/>
              </w:rPr>
              <w:t>culturales</w:t>
            </w:r>
            <w:r>
              <w:rPr>
                <w:color w:val="333333"/>
                <w:spacing w:val="-8"/>
                <w:sz w:val="20"/>
              </w:rPr>
              <w:t xml:space="preserve"> </w:t>
            </w:r>
            <w:r>
              <w:rPr>
                <w:color w:val="333333"/>
                <w:sz w:val="20"/>
              </w:rPr>
              <w:t>y</w:t>
            </w:r>
            <w:r>
              <w:rPr>
                <w:color w:val="333333"/>
                <w:spacing w:val="-8"/>
                <w:sz w:val="20"/>
              </w:rPr>
              <w:t xml:space="preserve"> </w:t>
            </w:r>
            <w:r>
              <w:rPr>
                <w:color w:val="333333"/>
                <w:sz w:val="20"/>
              </w:rPr>
              <w:t>educativos profundos en búsqueda de la reducción y eliminación de la discriminación en la sociedad a corto, mediano y largo plazo, teniendo</w:t>
            </w:r>
            <w:r>
              <w:rPr>
                <w:color w:val="333333"/>
                <w:spacing w:val="40"/>
                <w:sz w:val="20"/>
              </w:rPr>
              <w:t xml:space="preserve"> </w:t>
            </w:r>
            <w:r>
              <w:rPr>
                <w:color w:val="333333"/>
                <w:sz w:val="20"/>
              </w:rPr>
              <w:t>como</w:t>
            </w:r>
            <w:r>
              <w:rPr>
                <w:color w:val="333333"/>
                <w:spacing w:val="40"/>
                <w:sz w:val="20"/>
              </w:rPr>
              <w:t xml:space="preserve"> </w:t>
            </w:r>
            <w:r>
              <w:rPr>
                <w:color w:val="333333"/>
                <w:sz w:val="20"/>
              </w:rPr>
              <w:t>objetivo</w:t>
            </w:r>
            <w:r>
              <w:rPr>
                <w:color w:val="333333"/>
                <w:spacing w:val="40"/>
                <w:sz w:val="20"/>
              </w:rPr>
              <w:t xml:space="preserve"> </w:t>
            </w:r>
            <w:r>
              <w:rPr>
                <w:color w:val="333333"/>
                <w:sz w:val="20"/>
              </w:rPr>
              <w:t>la</w:t>
            </w:r>
            <w:r>
              <w:rPr>
                <w:color w:val="333333"/>
                <w:spacing w:val="40"/>
                <w:sz w:val="20"/>
              </w:rPr>
              <w:t xml:space="preserve"> </w:t>
            </w:r>
            <w:r>
              <w:rPr>
                <w:color w:val="333333"/>
                <w:sz w:val="20"/>
              </w:rPr>
              <w:t>aceptación</w:t>
            </w:r>
            <w:r>
              <w:rPr>
                <w:color w:val="333333"/>
                <w:spacing w:val="40"/>
                <w:sz w:val="20"/>
              </w:rPr>
              <w:t xml:space="preserve"> </w:t>
            </w:r>
            <w:r>
              <w:rPr>
                <w:color w:val="333333"/>
                <w:sz w:val="20"/>
              </w:rPr>
              <w:t>y</w:t>
            </w:r>
          </w:p>
          <w:p w14:paraId="6FF7FB90" w14:textId="77777777" w:rsidR="000E52B0" w:rsidRDefault="00F60D74">
            <w:pPr>
              <w:pStyle w:val="TableParagraph"/>
              <w:spacing w:line="221" w:lineRule="exact"/>
              <w:ind w:left="379"/>
              <w:jc w:val="both"/>
              <w:rPr>
                <w:sz w:val="20"/>
              </w:rPr>
            </w:pPr>
            <w:r>
              <w:rPr>
                <w:color w:val="333333"/>
                <w:sz w:val="20"/>
              </w:rPr>
              <w:t>reconocimiento</w:t>
            </w:r>
            <w:r>
              <w:rPr>
                <w:color w:val="333333"/>
                <w:spacing w:val="61"/>
                <w:sz w:val="20"/>
              </w:rPr>
              <w:t xml:space="preserve">   </w:t>
            </w:r>
            <w:r>
              <w:rPr>
                <w:color w:val="333333"/>
                <w:sz w:val="20"/>
              </w:rPr>
              <w:t>de</w:t>
            </w:r>
            <w:r>
              <w:rPr>
                <w:color w:val="333333"/>
                <w:spacing w:val="62"/>
                <w:sz w:val="20"/>
              </w:rPr>
              <w:t xml:space="preserve">   </w:t>
            </w:r>
            <w:r>
              <w:rPr>
                <w:color w:val="333333"/>
                <w:sz w:val="20"/>
              </w:rPr>
              <w:t>la</w:t>
            </w:r>
            <w:r>
              <w:rPr>
                <w:color w:val="333333"/>
                <w:spacing w:val="62"/>
                <w:sz w:val="20"/>
              </w:rPr>
              <w:t xml:space="preserve">   </w:t>
            </w:r>
            <w:r>
              <w:rPr>
                <w:color w:val="333333"/>
                <w:spacing w:val="-2"/>
                <w:sz w:val="20"/>
              </w:rPr>
              <w:t>pluralidad,</w:t>
            </w:r>
          </w:p>
        </w:tc>
        <w:tc>
          <w:tcPr>
            <w:tcW w:w="4723" w:type="dxa"/>
          </w:tcPr>
          <w:p w14:paraId="177AC95D" w14:textId="77777777" w:rsidR="000E52B0" w:rsidRDefault="00F60D74">
            <w:pPr>
              <w:pStyle w:val="TableParagraph"/>
              <w:numPr>
                <w:ilvl w:val="0"/>
                <w:numId w:val="19"/>
              </w:numPr>
              <w:tabs>
                <w:tab w:val="left" w:pos="393"/>
                <w:tab w:val="left" w:pos="395"/>
              </w:tabs>
              <w:ind w:right="88"/>
              <w:jc w:val="both"/>
              <w:rPr>
                <w:sz w:val="20"/>
              </w:rPr>
            </w:pPr>
            <w:r>
              <w:rPr>
                <w:noProof/>
                <w:sz w:val="20"/>
              </w:rPr>
              <mc:AlternateContent>
                <mc:Choice Requires="wpg">
                  <w:drawing>
                    <wp:anchor distT="0" distB="0" distL="0" distR="0" simplePos="0" relativeHeight="482320384" behindDoc="1" locked="0" layoutInCell="1" allowOverlap="1" wp14:anchorId="0E6718F6" wp14:editId="24355FC6">
                      <wp:simplePos x="0" y="0"/>
                      <wp:positionH relativeFrom="column">
                        <wp:posOffset>1133856</wp:posOffset>
                      </wp:positionH>
                      <wp:positionV relativeFrom="paragraph">
                        <wp:posOffset>446198</wp:posOffset>
                      </wp:positionV>
                      <wp:extent cx="47625" cy="13970"/>
                      <wp:effectExtent l="0" t="0" r="0" b="0"/>
                      <wp:wrapNone/>
                      <wp:docPr id="77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13970"/>
                                <a:chOff x="0" y="0"/>
                                <a:chExt cx="47625" cy="13970"/>
                              </a:xfrm>
                            </wpg:grpSpPr>
                            <wps:wsp>
                              <wps:cNvPr id="773" name="Graphic 773"/>
                              <wps:cNvSpPr/>
                              <wps:spPr>
                                <a:xfrm>
                                  <a:off x="0" y="0"/>
                                  <a:ext cx="47625" cy="13970"/>
                                </a:xfrm>
                                <a:custGeom>
                                  <a:avLst/>
                                  <a:gdLst/>
                                  <a:ahLst/>
                                  <a:cxnLst/>
                                  <a:rect l="l" t="t" r="r" b="b"/>
                                  <a:pathLst>
                                    <a:path w="47625" h="13970">
                                      <a:moveTo>
                                        <a:pt x="47244" y="0"/>
                                      </a:moveTo>
                                      <a:lnTo>
                                        <a:pt x="0" y="0"/>
                                      </a:lnTo>
                                      <a:lnTo>
                                        <a:pt x="0" y="13715"/>
                                      </a:lnTo>
                                      <a:lnTo>
                                        <a:pt x="47244" y="13715"/>
                                      </a:lnTo>
                                      <a:lnTo>
                                        <a:pt x="47244" y="0"/>
                                      </a:lnTo>
                                      <a:close/>
                                    </a:path>
                                  </a:pathLst>
                                </a:custGeom>
                                <a:solidFill>
                                  <a:srgbClr val="333333"/>
                                </a:solidFill>
                              </wps:spPr>
                              <wps:bodyPr wrap="square" lIns="0" tIns="0" rIns="0" bIns="0" rtlCol="0">
                                <a:prstTxWarp prst="textNoShape">
                                  <a:avLst/>
                                </a:prstTxWarp>
                                <a:noAutofit/>
                              </wps:bodyPr>
                            </wps:wsp>
                          </wpg:wgp>
                        </a:graphicData>
                      </a:graphic>
                    </wp:anchor>
                  </w:drawing>
                </mc:Choice>
                <mc:Fallback>
                  <w:pict>
                    <v:group w14:anchorId="30AD6C46" id="Group 772" o:spid="_x0000_s1026" style="position:absolute;margin-left:89.3pt;margin-top:35.15pt;width:3.75pt;height:1.1pt;z-index:-20996096;mso-wrap-distance-left:0;mso-wrap-distance-right:0" coordsize="4762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">
                      <v:shape id="Graphic 773" o:spid="_x0000_s1027" style="position:absolute;width:47625;height:13970;visibility:visible;mso-wrap-style:square;v-text-anchor:top" coordsize="4762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" path="m47244,l,,,13715r47244,l47244,xe" fillcolor="#333" stroked="f">
                        <v:path arrowok="t"/>
                      </v:shape>
                    </v:group>
                  </w:pict>
                </mc:Fallback>
              </mc:AlternateContent>
            </w:r>
            <w:r>
              <w:rPr>
                <w:color w:val="333333"/>
                <w:sz w:val="20"/>
              </w:rPr>
              <w:t>Dirigir, coordinar, orientar, hacer seguimiento</w:t>
            </w:r>
            <w:r>
              <w:rPr>
                <w:color w:val="333333"/>
                <w:spacing w:val="-18"/>
                <w:sz w:val="20"/>
              </w:rPr>
              <w:t xml:space="preserve"> </w:t>
            </w:r>
            <w:r>
              <w:rPr>
                <w:color w:val="333333"/>
                <w:sz w:val="20"/>
              </w:rPr>
              <w:t>y</w:t>
            </w:r>
            <w:r>
              <w:rPr>
                <w:color w:val="333333"/>
                <w:spacing w:val="-18"/>
                <w:sz w:val="20"/>
              </w:rPr>
              <w:t xml:space="preserve"> </w:t>
            </w:r>
            <w:r>
              <w:rPr>
                <w:color w:val="333333"/>
                <w:sz w:val="20"/>
              </w:rPr>
              <w:t>evaluar</w:t>
            </w:r>
            <w:r>
              <w:rPr>
                <w:color w:val="333333"/>
                <w:spacing w:val="-17"/>
                <w:sz w:val="20"/>
              </w:rPr>
              <w:t xml:space="preserve"> </w:t>
            </w:r>
            <w:r>
              <w:rPr>
                <w:color w:val="333333"/>
                <w:sz w:val="20"/>
              </w:rPr>
              <w:t>el</w:t>
            </w:r>
            <w:r>
              <w:rPr>
                <w:color w:val="333333"/>
                <w:spacing w:val="-18"/>
                <w:sz w:val="20"/>
              </w:rPr>
              <w:t xml:space="preserve"> </w:t>
            </w:r>
            <w:r>
              <w:rPr>
                <w:color w:val="333333"/>
                <w:sz w:val="20"/>
              </w:rPr>
              <w:t>Sistema</w:t>
            </w:r>
            <w:r>
              <w:rPr>
                <w:color w:val="333333"/>
                <w:spacing w:val="-17"/>
                <w:sz w:val="20"/>
              </w:rPr>
              <w:t xml:space="preserve"> </w:t>
            </w:r>
            <w:r>
              <w:rPr>
                <w:color w:val="333333"/>
                <w:sz w:val="20"/>
              </w:rPr>
              <w:t>Nacional de Cuidado</w:t>
            </w:r>
            <w:r>
              <w:rPr>
                <w:b/>
                <w:color w:val="333333"/>
                <w:sz w:val="20"/>
              </w:rPr>
              <w:t xml:space="preserve">, </w:t>
            </w:r>
            <w:r>
              <w:rPr>
                <w:color w:val="333333"/>
                <w:sz w:val="20"/>
              </w:rPr>
              <w:t>así como formular, implementar y evaluar políticas relacionados con ayudas, generación de ingresos, capacitación y formación, y demás</w:t>
            </w:r>
            <w:r>
              <w:rPr>
                <w:color w:val="333333"/>
                <w:spacing w:val="-12"/>
                <w:sz w:val="20"/>
              </w:rPr>
              <w:t xml:space="preserve"> </w:t>
            </w:r>
            <w:r>
              <w:rPr>
                <w:color w:val="333333"/>
                <w:sz w:val="20"/>
              </w:rPr>
              <w:t>acciones</w:t>
            </w:r>
            <w:r>
              <w:rPr>
                <w:color w:val="333333"/>
                <w:spacing w:val="-12"/>
                <w:sz w:val="20"/>
              </w:rPr>
              <w:t xml:space="preserve"> </w:t>
            </w:r>
            <w:r>
              <w:rPr>
                <w:color w:val="333333"/>
                <w:sz w:val="20"/>
              </w:rPr>
              <w:t>que</w:t>
            </w:r>
            <w:r>
              <w:rPr>
                <w:color w:val="333333"/>
                <w:spacing w:val="-13"/>
                <w:sz w:val="20"/>
              </w:rPr>
              <w:t xml:space="preserve"> </w:t>
            </w:r>
            <w:r>
              <w:rPr>
                <w:color w:val="333333"/>
                <w:sz w:val="20"/>
              </w:rPr>
              <w:t>permitan</w:t>
            </w:r>
            <w:r>
              <w:rPr>
                <w:color w:val="333333"/>
                <w:spacing w:val="-10"/>
                <w:sz w:val="20"/>
              </w:rPr>
              <w:t xml:space="preserve"> </w:t>
            </w:r>
            <w:r>
              <w:rPr>
                <w:color w:val="333333"/>
                <w:sz w:val="20"/>
              </w:rPr>
              <w:t>retribuir</w:t>
            </w:r>
            <w:r>
              <w:rPr>
                <w:color w:val="333333"/>
                <w:spacing w:val="-13"/>
                <w:sz w:val="20"/>
              </w:rPr>
              <w:t xml:space="preserve"> </w:t>
            </w:r>
            <w:r>
              <w:rPr>
                <w:color w:val="333333"/>
                <w:sz w:val="20"/>
              </w:rPr>
              <w:t>las labores de cuidado que desempeña la población cuidadora.</w:t>
            </w:r>
          </w:p>
          <w:p w14:paraId="5C8BA69C" w14:textId="77777777" w:rsidR="000E52B0" w:rsidRDefault="00F60D74">
            <w:pPr>
              <w:pStyle w:val="TableParagraph"/>
              <w:numPr>
                <w:ilvl w:val="0"/>
                <w:numId w:val="19"/>
              </w:numPr>
              <w:tabs>
                <w:tab w:val="left" w:pos="393"/>
                <w:tab w:val="left" w:pos="395"/>
              </w:tabs>
              <w:spacing w:before="2"/>
              <w:ind w:right="87"/>
              <w:jc w:val="both"/>
              <w:rPr>
                <w:sz w:val="20"/>
              </w:rPr>
            </w:pPr>
            <w:r>
              <w:rPr>
                <w:color w:val="333333"/>
                <w:sz w:val="20"/>
              </w:rPr>
              <w:t xml:space="preserve">Formular, dirigir, coordinar, ejecutar y evaluar planes, programas, estrategias y proyectos que promuevan condiciones de igualdad real para las personas y </w:t>
            </w:r>
            <w:r>
              <w:rPr>
                <w:color w:val="333333"/>
                <w:spacing w:val="-2"/>
                <w:sz w:val="20"/>
              </w:rPr>
              <w:t>comunidades especialmente</w:t>
            </w:r>
            <w:r>
              <w:rPr>
                <w:color w:val="333333"/>
                <w:spacing w:val="-6"/>
                <w:sz w:val="20"/>
              </w:rPr>
              <w:t xml:space="preserve"> </w:t>
            </w:r>
            <w:r>
              <w:rPr>
                <w:color w:val="333333"/>
                <w:spacing w:val="-2"/>
                <w:sz w:val="20"/>
              </w:rPr>
              <w:t>afectadas</w:t>
            </w:r>
            <w:r>
              <w:rPr>
                <w:color w:val="333333"/>
                <w:spacing w:val="-5"/>
                <w:sz w:val="20"/>
              </w:rPr>
              <w:t xml:space="preserve"> </w:t>
            </w:r>
            <w:r>
              <w:rPr>
                <w:color w:val="333333"/>
                <w:spacing w:val="-2"/>
                <w:sz w:val="20"/>
              </w:rPr>
              <w:t xml:space="preserve">por </w:t>
            </w:r>
            <w:r>
              <w:rPr>
                <w:color w:val="333333"/>
                <w:sz w:val="20"/>
              </w:rPr>
              <w:t>la</w:t>
            </w:r>
            <w:r>
              <w:rPr>
                <w:color w:val="333333"/>
                <w:spacing w:val="-3"/>
                <w:sz w:val="20"/>
              </w:rPr>
              <w:t xml:space="preserve"> </w:t>
            </w:r>
            <w:r>
              <w:rPr>
                <w:color w:val="333333"/>
                <w:sz w:val="20"/>
              </w:rPr>
              <w:t>crisis</w:t>
            </w:r>
            <w:r>
              <w:rPr>
                <w:color w:val="333333"/>
                <w:spacing w:val="-2"/>
                <w:sz w:val="20"/>
              </w:rPr>
              <w:t xml:space="preserve"> </w:t>
            </w:r>
            <w:r>
              <w:rPr>
                <w:color w:val="333333"/>
                <w:sz w:val="20"/>
              </w:rPr>
              <w:t>climática,</w:t>
            </w:r>
            <w:r>
              <w:rPr>
                <w:color w:val="333333"/>
                <w:spacing w:val="-2"/>
                <w:sz w:val="20"/>
              </w:rPr>
              <w:t xml:space="preserve"> </w:t>
            </w:r>
            <w:r>
              <w:rPr>
                <w:color w:val="333333"/>
                <w:sz w:val="20"/>
              </w:rPr>
              <w:t>de</w:t>
            </w:r>
            <w:r>
              <w:rPr>
                <w:color w:val="333333"/>
                <w:spacing w:val="-2"/>
                <w:sz w:val="20"/>
              </w:rPr>
              <w:t xml:space="preserve"> </w:t>
            </w:r>
            <w:r>
              <w:rPr>
                <w:color w:val="333333"/>
                <w:sz w:val="20"/>
              </w:rPr>
              <w:t>conformidad</w:t>
            </w:r>
            <w:r>
              <w:rPr>
                <w:color w:val="333333"/>
                <w:spacing w:val="-1"/>
                <w:sz w:val="20"/>
              </w:rPr>
              <w:t xml:space="preserve"> </w:t>
            </w:r>
            <w:r>
              <w:rPr>
                <w:color w:val="333333"/>
                <w:sz w:val="20"/>
              </w:rPr>
              <w:t>con</w:t>
            </w:r>
            <w:r>
              <w:rPr>
                <w:color w:val="333333"/>
                <w:spacing w:val="-3"/>
                <w:sz w:val="20"/>
              </w:rPr>
              <w:t xml:space="preserve"> </w:t>
            </w:r>
            <w:r>
              <w:rPr>
                <w:color w:val="333333"/>
                <w:sz w:val="20"/>
              </w:rPr>
              <w:t xml:space="preserve">los compromisos adquiridos por Colombia en materia de adaptación al cambio </w:t>
            </w:r>
            <w:r>
              <w:rPr>
                <w:color w:val="333333"/>
                <w:spacing w:val="-2"/>
                <w:sz w:val="20"/>
              </w:rPr>
              <w:t>climático.</w:t>
            </w:r>
          </w:p>
          <w:p w14:paraId="7483A6DB" w14:textId="77777777" w:rsidR="000E52B0" w:rsidRDefault="00F60D74">
            <w:pPr>
              <w:pStyle w:val="TableParagraph"/>
              <w:numPr>
                <w:ilvl w:val="0"/>
                <w:numId w:val="19"/>
              </w:numPr>
              <w:tabs>
                <w:tab w:val="left" w:pos="393"/>
                <w:tab w:val="left" w:pos="395"/>
              </w:tabs>
              <w:ind w:right="88"/>
              <w:jc w:val="both"/>
              <w:rPr>
                <w:sz w:val="20"/>
              </w:rPr>
            </w:pPr>
            <w:r>
              <w:rPr>
                <w:color w:val="333333"/>
                <w:sz w:val="20"/>
              </w:rPr>
              <w:t xml:space="preserve">Adoptar, coordinar y ejecutar en articulación con las demás entidades y organismos del Estado competentes, un programa de seguridad alimentaria que permita combatir el hambre y la malnutrición en los territorios y poblaciones del ámbito de sus </w:t>
            </w:r>
            <w:r>
              <w:rPr>
                <w:color w:val="333333"/>
                <w:spacing w:val="-2"/>
                <w:sz w:val="20"/>
              </w:rPr>
              <w:t>competencias.</w:t>
            </w:r>
          </w:p>
          <w:p w14:paraId="79A506E2" w14:textId="77777777" w:rsidR="000E52B0" w:rsidRDefault="00F60D74">
            <w:pPr>
              <w:pStyle w:val="TableParagraph"/>
              <w:numPr>
                <w:ilvl w:val="0"/>
                <w:numId w:val="19"/>
              </w:numPr>
              <w:tabs>
                <w:tab w:val="left" w:pos="393"/>
                <w:tab w:val="left" w:pos="395"/>
              </w:tabs>
              <w:spacing w:before="1"/>
              <w:ind w:right="87"/>
              <w:jc w:val="both"/>
              <w:rPr>
                <w:sz w:val="20"/>
              </w:rPr>
            </w:pPr>
            <w:r>
              <w:rPr>
                <w:color w:val="333333"/>
                <w:sz w:val="20"/>
              </w:rPr>
              <w:t>Crear, fomentar, promover y formular estrategias y políticas en conjunción con las entidades públicas idóneas para estimular</w:t>
            </w:r>
            <w:r>
              <w:rPr>
                <w:color w:val="333333"/>
                <w:spacing w:val="-8"/>
                <w:sz w:val="20"/>
              </w:rPr>
              <w:t xml:space="preserve"> </w:t>
            </w:r>
            <w:r>
              <w:rPr>
                <w:color w:val="333333"/>
                <w:sz w:val="20"/>
              </w:rPr>
              <w:t>cambios</w:t>
            </w:r>
            <w:r>
              <w:rPr>
                <w:color w:val="333333"/>
                <w:spacing w:val="-7"/>
                <w:sz w:val="20"/>
              </w:rPr>
              <w:t xml:space="preserve"> </w:t>
            </w:r>
            <w:r>
              <w:rPr>
                <w:color w:val="333333"/>
                <w:sz w:val="20"/>
              </w:rPr>
              <w:t>culturales</w:t>
            </w:r>
            <w:r>
              <w:rPr>
                <w:color w:val="333333"/>
                <w:spacing w:val="-9"/>
                <w:sz w:val="20"/>
              </w:rPr>
              <w:t xml:space="preserve"> </w:t>
            </w:r>
            <w:r>
              <w:rPr>
                <w:color w:val="333333"/>
                <w:sz w:val="20"/>
              </w:rPr>
              <w:t>y</w:t>
            </w:r>
            <w:r>
              <w:rPr>
                <w:color w:val="333333"/>
                <w:spacing w:val="-6"/>
                <w:sz w:val="20"/>
              </w:rPr>
              <w:t xml:space="preserve"> </w:t>
            </w:r>
            <w:r>
              <w:rPr>
                <w:color w:val="333333"/>
                <w:sz w:val="20"/>
              </w:rPr>
              <w:t>educativos profundos en búsqueda de la reducción y eliminación de la discriminación en la sociedad a corto, mediano y largo plazo, teniendo</w:t>
            </w:r>
            <w:r>
              <w:rPr>
                <w:color w:val="333333"/>
                <w:spacing w:val="40"/>
                <w:sz w:val="20"/>
              </w:rPr>
              <w:t xml:space="preserve"> </w:t>
            </w:r>
            <w:r>
              <w:rPr>
                <w:color w:val="333333"/>
                <w:sz w:val="20"/>
              </w:rPr>
              <w:t>como</w:t>
            </w:r>
            <w:r>
              <w:rPr>
                <w:color w:val="333333"/>
                <w:spacing w:val="40"/>
                <w:sz w:val="20"/>
              </w:rPr>
              <w:t xml:space="preserve"> </w:t>
            </w:r>
            <w:r>
              <w:rPr>
                <w:color w:val="333333"/>
                <w:sz w:val="20"/>
              </w:rPr>
              <w:t>objetivo</w:t>
            </w:r>
            <w:r>
              <w:rPr>
                <w:color w:val="333333"/>
                <w:spacing w:val="40"/>
                <w:sz w:val="20"/>
              </w:rPr>
              <w:t xml:space="preserve"> </w:t>
            </w:r>
            <w:r>
              <w:rPr>
                <w:color w:val="333333"/>
                <w:sz w:val="20"/>
              </w:rPr>
              <w:t>la</w:t>
            </w:r>
            <w:r>
              <w:rPr>
                <w:color w:val="333333"/>
                <w:spacing w:val="40"/>
                <w:sz w:val="20"/>
              </w:rPr>
              <w:t xml:space="preserve"> </w:t>
            </w:r>
            <w:r>
              <w:rPr>
                <w:color w:val="333333"/>
                <w:sz w:val="20"/>
              </w:rPr>
              <w:t>aceptación</w:t>
            </w:r>
            <w:r>
              <w:rPr>
                <w:color w:val="333333"/>
                <w:spacing w:val="40"/>
                <w:sz w:val="20"/>
              </w:rPr>
              <w:t xml:space="preserve"> </w:t>
            </w:r>
            <w:r>
              <w:rPr>
                <w:color w:val="333333"/>
                <w:sz w:val="20"/>
              </w:rPr>
              <w:t>y</w:t>
            </w:r>
          </w:p>
          <w:p w14:paraId="4B05F886" w14:textId="77777777" w:rsidR="000E52B0" w:rsidRDefault="00F60D74">
            <w:pPr>
              <w:pStyle w:val="TableParagraph"/>
              <w:spacing w:line="221" w:lineRule="exact"/>
              <w:ind w:left="395"/>
              <w:jc w:val="both"/>
              <w:rPr>
                <w:sz w:val="20"/>
              </w:rPr>
            </w:pPr>
            <w:r>
              <w:rPr>
                <w:color w:val="333333"/>
                <w:sz w:val="20"/>
              </w:rPr>
              <w:t>reconocimiento</w:t>
            </w:r>
            <w:r>
              <w:rPr>
                <w:color w:val="333333"/>
                <w:spacing w:val="60"/>
                <w:sz w:val="20"/>
              </w:rPr>
              <w:t xml:space="preserve">   </w:t>
            </w:r>
            <w:r>
              <w:rPr>
                <w:color w:val="333333"/>
                <w:sz w:val="20"/>
              </w:rPr>
              <w:t>de</w:t>
            </w:r>
            <w:r>
              <w:rPr>
                <w:color w:val="333333"/>
                <w:spacing w:val="61"/>
                <w:sz w:val="20"/>
              </w:rPr>
              <w:t xml:space="preserve">   </w:t>
            </w:r>
            <w:r>
              <w:rPr>
                <w:color w:val="333333"/>
                <w:sz w:val="20"/>
              </w:rPr>
              <w:t>la</w:t>
            </w:r>
            <w:r>
              <w:rPr>
                <w:color w:val="333333"/>
                <w:spacing w:val="62"/>
                <w:sz w:val="20"/>
              </w:rPr>
              <w:t xml:space="preserve">   </w:t>
            </w:r>
            <w:r>
              <w:rPr>
                <w:color w:val="333333"/>
                <w:spacing w:val="-2"/>
                <w:sz w:val="20"/>
              </w:rPr>
              <w:t>pluralidad,</w:t>
            </w:r>
          </w:p>
        </w:tc>
        <w:tc>
          <w:tcPr>
            <w:tcW w:w="3809" w:type="dxa"/>
          </w:tcPr>
          <w:p w14:paraId="3F1C003A" w14:textId="77777777" w:rsidR="000E52B0" w:rsidRDefault="000E52B0">
            <w:pPr>
              <w:pStyle w:val="TableParagraph"/>
              <w:rPr>
                <w:rFonts w:ascii="Times New Roman"/>
                <w:sz w:val="18"/>
              </w:rPr>
            </w:pPr>
          </w:p>
        </w:tc>
      </w:tr>
    </w:tbl>
    <w:p w14:paraId="5AC61D7C" w14:textId="77777777" w:rsidR="000E52B0" w:rsidRDefault="000E52B0">
      <w:pPr>
        <w:pStyle w:val="TableParagraph"/>
        <w:rPr>
          <w:rFonts w:ascii="Times New Roman"/>
          <w:sz w:val="18"/>
        </w:rPr>
        <w:sectPr w:rsidR="000E52B0">
          <w:pgSz w:w="16840" w:h="11910" w:orient="landscape"/>
          <w:pgMar w:top="1340" w:right="1800" w:bottom="1180" w:left="1440" w:header="0" w:footer="995" w:gutter="0"/>
          <w:cols w:space="720"/>
        </w:sectPr>
      </w:pPr>
    </w:p>
    <w:p w14:paraId="7D65F329" w14:textId="77777777" w:rsidR="000E52B0" w:rsidRDefault="000E52B0">
      <w:pPr>
        <w:pStyle w:val="Textoindependiente"/>
        <w:spacing w:before="8" w:after="1"/>
        <w:ind w:left="0"/>
        <w:rPr>
          <w:b/>
          <w:sz w:val="7"/>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12"/>
        <w:gridCol w:w="4723"/>
        <w:gridCol w:w="3809"/>
      </w:tblGrid>
      <w:tr w:rsidR="000E52B0" w14:paraId="7C446E59" w14:textId="77777777">
        <w:trPr>
          <w:trHeight w:val="3645"/>
        </w:trPr>
        <w:tc>
          <w:tcPr>
            <w:tcW w:w="4712" w:type="dxa"/>
          </w:tcPr>
          <w:p w14:paraId="4B2E7949" w14:textId="77777777" w:rsidR="000E52B0" w:rsidRDefault="00F60D74">
            <w:pPr>
              <w:pStyle w:val="TableParagraph"/>
              <w:ind w:left="379" w:right="93"/>
              <w:jc w:val="both"/>
              <w:rPr>
                <w:sz w:val="20"/>
              </w:rPr>
            </w:pPr>
            <w:r>
              <w:rPr>
                <w:color w:val="333333"/>
                <w:sz w:val="20"/>
              </w:rPr>
              <w:t xml:space="preserve">diversidad y multiculturalidad del Estado </w:t>
            </w:r>
            <w:r>
              <w:rPr>
                <w:color w:val="333333"/>
                <w:spacing w:val="-2"/>
                <w:sz w:val="20"/>
              </w:rPr>
              <w:t>Colombiano.</w:t>
            </w:r>
          </w:p>
          <w:p w14:paraId="50EFB611" w14:textId="77777777" w:rsidR="000E52B0" w:rsidRDefault="00F60D74">
            <w:pPr>
              <w:pStyle w:val="TableParagraph"/>
              <w:numPr>
                <w:ilvl w:val="0"/>
                <w:numId w:val="18"/>
              </w:numPr>
              <w:tabs>
                <w:tab w:val="left" w:pos="377"/>
                <w:tab w:val="left" w:pos="379"/>
              </w:tabs>
              <w:spacing w:before="1"/>
              <w:ind w:right="91"/>
              <w:jc w:val="both"/>
              <w:rPr>
                <w:sz w:val="20"/>
              </w:rPr>
            </w:pPr>
            <w:r>
              <w:rPr>
                <w:color w:val="333333"/>
                <w:sz w:val="20"/>
              </w:rPr>
              <w:t>Formular, coordinar y articular políticas, planes,</w:t>
            </w:r>
            <w:r>
              <w:rPr>
                <w:color w:val="333333"/>
                <w:spacing w:val="-16"/>
                <w:sz w:val="20"/>
              </w:rPr>
              <w:t xml:space="preserve"> </w:t>
            </w:r>
            <w:r>
              <w:rPr>
                <w:color w:val="333333"/>
                <w:sz w:val="20"/>
              </w:rPr>
              <w:t>programas</w:t>
            </w:r>
            <w:r>
              <w:rPr>
                <w:color w:val="333333"/>
                <w:spacing w:val="-12"/>
                <w:sz w:val="20"/>
              </w:rPr>
              <w:t xml:space="preserve"> </w:t>
            </w:r>
            <w:r>
              <w:rPr>
                <w:color w:val="333333"/>
                <w:sz w:val="20"/>
              </w:rPr>
              <w:t>y</w:t>
            </w:r>
            <w:r>
              <w:rPr>
                <w:color w:val="333333"/>
                <w:spacing w:val="-15"/>
                <w:sz w:val="20"/>
              </w:rPr>
              <w:t xml:space="preserve"> </w:t>
            </w:r>
            <w:r>
              <w:rPr>
                <w:color w:val="333333"/>
                <w:sz w:val="20"/>
              </w:rPr>
              <w:t>proyectos</w:t>
            </w:r>
            <w:r>
              <w:rPr>
                <w:color w:val="333333"/>
                <w:spacing w:val="-13"/>
                <w:sz w:val="20"/>
              </w:rPr>
              <w:t xml:space="preserve"> </w:t>
            </w:r>
            <w:r>
              <w:rPr>
                <w:color w:val="333333"/>
                <w:sz w:val="20"/>
              </w:rPr>
              <w:t>orientados a reducir las brechas de desigualdad existentes entre</w:t>
            </w:r>
            <w:r>
              <w:rPr>
                <w:color w:val="333333"/>
                <w:spacing w:val="-1"/>
                <w:sz w:val="20"/>
              </w:rPr>
              <w:t xml:space="preserve"> </w:t>
            </w:r>
            <w:r>
              <w:rPr>
                <w:color w:val="333333"/>
                <w:sz w:val="20"/>
              </w:rPr>
              <w:t>zonas urbanas y rurales.</w:t>
            </w:r>
          </w:p>
          <w:p w14:paraId="17288E22" w14:textId="77777777" w:rsidR="000E52B0" w:rsidRDefault="00F60D74">
            <w:pPr>
              <w:pStyle w:val="TableParagraph"/>
              <w:numPr>
                <w:ilvl w:val="0"/>
                <w:numId w:val="18"/>
              </w:numPr>
              <w:tabs>
                <w:tab w:val="left" w:pos="377"/>
                <w:tab w:val="left" w:pos="379"/>
              </w:tabs>
              <w:ind w:right="89"/>
              <w:jc w:val="both"/>
              <w:rPr>
                <w:sz w:val="20"/>
              </w:rPr>
            </w:pPr>
            <w:r>
              <w:rPr>
                <w:color w:val="333333"/>
                <w:sz w:val="20"/>
              </w:rPr>
              <w:t>Implementar un sistema de indicadores que permita evaluar los impactos de las políticas, planes, programas, proyectos y estrategias que se implementen hacia los territorios priorizados, hacia las poblaciones históricamente excluidas y que tengan un enfoque de derechos, de género, diferencial e interseccional.</w:t>
            </w:r>
          </w:p>
          <w:p w14:paraId="09E16DAB" w14:textId="77777777" w:rsidR="000E52B0" w:rsidRDefault="00F60D74">
            <w:pPr>
              <w:pStyle w:val="TableParagraph"/>
              <w:numPr>
                <w:ilvl w:val="0"/>
                <w:numId w:val="18"/>
              </w:numPr>
              <w:tabs>
                <w:tab w:val="left" w:pos="377"/>
              </w:tabs>
              <w:spacing w:line="221" w:lineRule="exact"/>
              <w:ind w:left="377" w:hanging="361"/>
              <w:jc w:val="both"/>
              <w:rPr>
                <w:sz w:val="20"/>
              </w:rPr>
            </w:pPr>
            <w:r>
              <w:rPr>
                <w:color w:val="333333"/>
                <w:sz w:val="20"/>
              </w:rPr>
              <w:t>Las</w:t>
            </w:r>
            <w:r>
              <w:rPr>
                <w:color w:val="333333"/>
                <w:spacing w:val="-5"/>
                <w:sz w:val="20"/>
              </w:rPr>
              <w:t xml:space="preserve"> </w:t>
            </w:r>
            <w:r>
              <w:rPr>
                <w:color w:val="333333"/>
                <w:sz w:val="20"/>
              </w:rPr>
              <w:t>demás</w:t>
            </w:r>
            <w:r>
              <w:rPr>
                <w:color w:val="333333"/>
                <w:spacing w:val="-2"/>
                <w:sz w:val="20"/>
              </w:rPr>
              <w:t xml:space="preserve"> </w:t>
            </w:r>
            <w:r>
              <w:rPr>
                <w:color w:val="333333"/>
                <w:sz w:val="20"/>
              </w:rPr>
              <w:t>que</w:t>
            </w:r>
            <w:r>
              <w:rPr>
                <w:color w:val="333333"/>
                <w:spacing w:val="-5"/>
                <w:sz w:val="20"/>
              </w:rPr>
              <w:t xml:space="preserve"> </w:t>
            </w:r>
            <w:r>
              <w:rPr>
                <w:color w:val="333333"/>
                <w:sz w:val="20"/>
              </w:rPr>
              <w:t>le</w:t>
            </w:r>
            <w:r>
              <w:rPr>
                <w:color w:val="333333"/>
                <w:spacing w:val="-5"/>
                <w:sz w:val="20"/>
              </w:rPr>
              <w:t xml:space="preserve"> </w:t>
            </w:r>
            <w:r>
              <w:rPr>
                <w:color w:val="333333"/>
                <w:sz w:val="20"/>
              </w:rPr>
              <w:t>asigne</w:t>
            </w:r>
            <w:r>
              <w:rPr>
                <w:color w:val="333333"/>
                <w:spacing w:val="-5"/>
                <w:sz w:val="20"/>
              </w:rPr>
              <w:t xml:space="preserve"> </w:t>
            </w:r>
            <w:r>
              <w:rPr>
                <w:color w:val="333333"/>
                <w:sz w:val="20"/>
              </w:rPr>
              <w:t>la</w:t>
            </w:r>
            <w:r>
              <w:rPr>
                <w:color w:val="333333"/>
                <w:spacing w:val="-1"/>
                <w:sz w:val="20"/>
              </w:rPr>
              <w:t xml:space="preserve"> </w:t>
            </w:r>
            <w:r>
              <w:rPr>
                <w:color w:val="333333"/>
                <w:spacing w:val="-4"/>
                <w:sz w:val="20"/>
              </w:rPr>
              <w:t>Ley.</w:t>
            </w:r>
          </w:p>
        </w:tc>
        <w:tc>
          <w:tcPr>
            <w:tcW w:w="4723" w:type="dxa"/>
          </w:tcPr>
          <w:p w14:paraId="2838FF41" w14:textId="77777777" w:rsidR="000E52B0" w:rsidRDefault="00F60D74">
            <w:pPr>
              <w:pStyle w:val="TableParagraph"/>
              <w:ind w:left="395" w:right="90"/>
              <w:jc w:val="both"/>
              <w:rPr>
                <w:sz w:val="20"/>
              </w:rPr>
            </w:pPr>
            <w:r>
              <w:rPr>
                <w:color w:val="333333"/>
                <w:sz w:val="20"/>
              </w:rPr>
              <w:t xml:space="preserve">diversidad y multiculturalidad del Estado </w:t>
            </w:r>
            <w:r>
              <w:rPr>
                <w:color w:val="333333"/>
                <w:spacing w:val="-2"/>
                <w:sz w:val="20"/>
              </w:rPr>
              <w:t>Colombiano.</w:t>
            </w:r>
          </w:p>
          <w:p w14:paraId="2DA53B0E" w14:textId="77777777" w:rsidR="000E52B0" w:rsidRDefault="00F60D74">
            <w:pPr>
              <w:pStyle w:val="TableParagraph"/>
              <w:numPr>
                <w:ilvl w:val="0"/>
                <w:numId w:val="17"/>
              </w:numPr>
              <w:tabs>
                <w:tab w:val="left" w:pos="393"/>
                <w:tab w:val="left" w:pos="395"/>
              </w:tabs>
              <w:spacing w:before="1"/>
              <w:ind w:right="87"/>
              <w:jc w:val="both"/>
              <w:rPr>
                <w:sz w:val="20"/>
              </w:rPr>
            </w:pPr>
            <w:r>
              <w:rPr>
                <w:color w:val="333333"/>
                <w:sz w:val="20"/>
              </w:rPr>
              <w:t>Formular, coordinar y articular políticas, planes,</w:t>
            </w:r>
            <w:r>
              <w:rPr>
                <w:color w:val="333333"/>
                <w:spacing w:val="-15"/>
                <w:sz w:val="20"/>
              </w:rPr>
              <w:t xml:space="preserve"> </w:t>
            </w:r>
            <w:r>
              <w:rPr>
                <w:color w:val="333333"/>
                <w:sz w:val="20"/>
              </w:rPr>
              <w:t>programas</w:t>
            </w:r>
            <w:r>
              <w:rPr>
                <w:color w:val="333333"/>
                <w:spacing w:val="-15"/>
                <w:sz w:val="20"/>
              </w:rPr>
              <w:t xml:space="preserve"> </w:t>
            </w:r>
            <w:r>
              <w:rPr>
                <w:color w:val="333333"/>
                <w:sz w:val="20"/>
              </w:rPr>
              <w:t>y</w:t>
            </w:r>
            <w:r>
              <w:rPr>
                <w:color w:val="333333"/>
                <w:spacing w:val="-15"/>
                <w:sz w:val="20"/>
              </w:rPr>
              <w:t xml:space="preserve"> </w:t>
            </w:r>
            <w:r>
              <w:rPr>
                <w:color w:val="333333"/>
                <w:sz w:val="20"/>
              </w:rPr>
              <w:t>proyectos</w:t>
            </w:r>
            <w:r>
              <w:rPr>
                <w:color w:val="333333"/>
                <w:spacing w:val="-13"/>
                <w:sz w:val="20"/>
              </w:rPr>
              <w:t xml:space="preserve"> </w:t>
            </w:r>
            <w:r>
              <w:rPr>
                <w:color w:val="333333"/>
                <w:sz w:val="20"/>
              </w:rPr>
              <w:t>orientados a reducir las brechas de desigualdad existentes entre</w:t>
            </w:r>
            <w:r>
              <w:rPr>
                <w:color w:val="333333"/>
                <w:spacing w:val="-1"/>
                <w:sz w:val="20"/>
              </w:rPr>
              <w:t xml:space="preserve"> </w:t>
            </w:r>
            <w:r>
              <w:rPr>
                <w:color w:val="333333"/>
                <w:sz w:val="20"/>
              </w:rPr>
              <w:t>zonas urbanas y rurales.</w:t>
            </w:r>
          </w:p>
          <w:p w14:paraId="36D744C7" w14:textId="77777777" w:rsidR="000E52B0" w:rsidRDefault="00F60D74">
            <w:pPr>
              <w:pStyle w:val="TableParagraph"/>
              <w:numPr>
                <w:ilvl w:val="0"/>
                <w:numId w:val="17"/>
              </w:numPr>
              <w:tabs>
                <w:tab w:val="left" w:pos="393"/>
                <w:tab w:val="left" w:pos="395"/>
              </w:tabs>
              <w:ind w:right="88"/>
              <w:jc w:val="both"/>
              <w:rPr>
                <w:sz w:val="20"/>
              </w:rPr>
            </w:pPr>
            <w:r>
              <w:rPr>
                <w:color w:val="333333"/>
                <w:sz w:val="20"/>
              </w:rPr>
              <w:t>Implementar un sistema de indicadores que permita evaluar los impactos de las políticas, planes, programas, proyectos y estrategias que</w:t>
            </w:r>
            <w:r>
              <w:rPr>
                <w:color w:val="333333"/>
                <w:spacing w:val="-1"/>
                <w:sz w:val="20"/>
              </w:rPr>
              <w:t xml:space="preserve"> </w:t>
            </w:r>
            <w:r>
              <w:rPr>
                <w:color w:val="333333"/>
                <w:sz w:val="20"/>
              </w:rPr>
              <w:t>se</w:t>
            </w:r>
            <w:r>
              <w:rPr>
                <w:color w:val="333333"/>
                <w:spacing w:val="-1"/>
                <w:sz w:val="20"/>
              </w:rPr>
              <w:t xml:space="preserve"> </w:t>
            </w:r>
            <w:r>
              <w:rPr>
                <w:color w:val="333333"/>
                <w:sz w:val="20"/>
              </w:rPr>
              <w:t>implementen hacia los territorios priorizados, hacia las poblaciones históricamente excluidas y que tengan un enfoque de derechos, de género, diferencial e interseccional.</w:t>
            </w:r>
          </w:p>
          <w:p w14:paraId="7B766513" w14:textId="77777777" w:rsidR="000E52B0" w:rsidRDefault="00F60D74">
            <w:pPr>
              <w:pStyle w:val="TableParagraph"/>
              <w:numPr>
                <w:ilvl w:val="0"/>
                <w:numId w:val="17"/>
              </w:numPr>
              <w:tabs>
                <w:tab w:val="left" w:pos="393"/>
              </w:tabs>
              <w:spacing w:line="221" w:lineRule="exact"/>
              <w:ind w:left="393" w:hanging="358"/>
              <w:jc w:val="both"/>
              <w:rPr>
                <w:sz w:val="20"/>
              </w:rPr>
            </w:pPr>
            <w:r>
              <w:rPr>
                <w:color w:val="333333"/>
                <w:sz w:val="20"/>
              </w:rPr>
              <w:t>Las</w:t>
            </w:r>
            <w:r>
              <w:rPr>
                <w:color w:val="333333"/>
                <w:spacing w:val="-5"/>
                <w:sz w:val="20"/>
              </w:rPr>
              <w:t xml:space="preserve"> </w:t>
            </w:r>
            <w:r>
              <w:rPr>
                <w:color w:val="333333"/>
                <w:sz w:val="20"/>
              </w:rPr>
              <w:t>demás</w:t>
            </w:r>
            <w:r>
              <w:rPr>
                <w:color w:val="333333"/>
                <w:spacing w:val="-2"/>
                <w:sz w:val="20"/>
              </w:rPr>
              <w:t xml:space="preserve"> </w:t>
            </w:r>
            <w:r>
              <w:rPr>
                <w:color w:val="333333"/>
                <w:sz w:val="20"/>
              </w:rPr>
              <w:t>que</w:t>
            </w:r>
            <w:r>
              <w:rPr>
                <w:color w:val="333333"/>
                <w:spacing w:val="-5"/>
                <w:sz w:val="20"/>
              </w:rPr>
              <w:t xml:space="preserve"> </w:t>
            </w:r>
            <w:r>
              <w:rPr>
                <w:color w:val="333333"/>
                <w:sz w:val="20"/>
              </w:rPr>
              <w:t>le</w:t>
            </w:r>
            <w:r>
              <w:rPr>
                <w:color w:val="333333"/>
                <w:spacing w:val="-5"/>
                <w:sz w:val="20"/>
              </w:rPr>
              <w:t xml:space="preserve"> </w:t>
            </w:r>
            <w:r>
              <w:rPr>
                <w:color w:val="333333"/>
                <w:sz w:val="20"/>
              </w:rPr>
              <w:t>asigne</w:t>
            </w:r>
            <w:r>
              <w:rPr>
                <w:color w:val="333333"/>
                <w:spacing w:val="-5"/>
                <w:sz w:val="20"/>
              </w:rPr>
              <w:t xml:space="preserve"> </w:t>
            </w:r>
            <w:r>
              <w:rPr>
                <w:color w:val="333333"/>
                <w:sz w:val="20"/>
              </w:rPr>
              <w:t>la</w:t>
            </w:r>
            <w:r>
              <w:rPr>
                <w:color w:val="333333"/>
                <w:spacing w:val="-1"/>
                <w:sz w:val="20"/>
              </w:rPr>
              <w:t xml:space="preserve"> </w:t>
            </w:r>
            <w:r>
              <w:rPr>
                <w:color w:val="333333"/>
                <w:spacing w:val="-4"/>
                <w:sz w:val="20"/>
              </w:rPr>
              <w:t>Ley.</w:t>
            </w:r>
          </w:p>
        </w:tc>
        <w:tc>
          <w:tcPr>
            <w:tcW w:w="3809" w:type="dxa"/>
          </w:tcPr>
          <w:p w14:paraId="0810817E" w14:textId="77777777" w:rsidR="000E52B0" w:rsidRDefault="000E52B0">
            <w:pPr>
              <w:pStyle w:val="TableParagraph"/>
              <w:rPr>
                <w:rFonts w:ascii="Times New Roman"/>
                <w:sz w:val="18"/>
              </w:rPr>
            </w:pPr>
          </w:p>
        </w:tc>
      </w:tr>
      <w:tr w:rsidR="000E52B0" w14:paraId="5450428E" w14:textId="77777777">
        <w:trPr>
          <w:trHeight w:val="5107"/>
        </w:trPr>
        <w:tc>
          <w:tcPr>
            <w:tcW w:w="4712" w:type="dxa"/>
          </w:tcPr>
          <w:p w14:paraId="684A59A5" w14:textId="77777777" w:rsidR="000E52B0" w:rsidRDefault="00F60D74">
            <w:pPr>
              <w:pStyle w:val="TableParagraph"/>
              <w:tabs>
                <w:tab w:val="left" w:pos="1901"/>
                <w:tab w:val="left" w:pos="2751"/>
                <w:tab w:val="left" w:pos="4295"/>
              </w:tabs>
              <w:spacing w:before="2" w:line="243" w:lineRule="exact"/>
              <w:ind w:left="107"/>
              <w:rPr>
                <w:b/>
                <w:sz w:val="20"/>
              </w:rPr>
            </w:pPr>
            <w:r>
              <w:rPr>
                <w:b/>
                <w:color w:val="333333"/>
                <w:spacing w:val="-2"/>
                <w:sz w:val="20"/>
              </w:rPr>
              <w:t>ARTÍCULO</w:t>
            </w:r>
            <w:r>
              <w:rPr>
                <w:b/>
                <w:color w:val="333333"/>
                <w:sz w:val="20"/>
              </w:rPr>
              <w:tab/>
            </w:r>
            <w:r>
              <w:rPr>
                <w:b/>
                <w:color w:val="333333"/>
                <w:spacing w:val="-5"/>
                <w:sz w:val="20"/>
              </w:rPr>
              <w:t>5.</w:t>
            </w:r>
            <w:r>
              <w:rPr>
                <w:b/>
                <w:color w:val="333333"/>
                <w:sz w:val="20"/>
              </w:rPr>
              <w:tab/>
            </w:r>
            <w:r>
              <w:rPr>
                <w:b/>
                <w:color w:val="333333"/>
                <w:spacing w:val="-2"/>
                <w:sz w:val="20"/>
              </w:rPr>
              <w:t>ÁMBITO</w:t>
            </w:r>
            <w:r>
              <w:rPr>
                <w:b/>
                <w:color w:val="333333"/>
                <w:sz w:val="20"/>
              </w:rPr>
              <w:tab/>
            </w:r>
            <w:r>
              <w:rPr>
                <w:b/>
                <w:color w:val="333333"/>
                <w:spacing w:val="-5"/>
                <w:sz w:val="20"/>
              </w:rPr>
              <w:t>DE</w:t>
            </w:r>
          </w:p>
          <w:p w14:paraId="075DFEF7" w14:textId="77777777" w:rsidR="000E52B0" w:rsidRDefault="00F60D74">
            <w:pPr>
              <w:pStyle w:val="TableParagraph"/>
              <w:tabs>
                <w:tab w:val="left" w:pos="1267"/>
                <w:tab w:val="left" w:pos="1419"/>
                <w:tab w:val="left" w:pos="1620"/>
                <w:tab w:val="left" w:pos="2108"/>
                <w:tab w:val="left" w:pos="2253"/>
                <w:tab w:val="left" w:pos="2994"/>
                <w:tab w:val="left" w:pos="3102"/>
                <w:tab w:val="left" w:pos="3249"/>
                <w:tab w:val="left" w:pos="3827"/>
                <w:tab w:val="left" w:pos="4316"/>
                <w:tab w:val="left" w:pos="4368"/>
              </w:tabs>
              <w:ind w:left="107" w:right="90"/>
              <w:rPr>
                <w:sz w:val="20"/>
              </w:rPr>
            </w:pPr>
            <w:r>
              <w:rPr>
                <w:b/>
                <w:color w:val="333333"/>
                <w:spacing w:val="-2"/>
                <w:sz w:val="20"/>
              </w:rPr>
              <w:t>COMPETENCIAS.</w:t>
            </w:r>
            <w:r>
              <w:rPr>
                <w:b/>
                <w:color w:val="333333"/>
                <w:sz w:val="20"/>
              </w:rPr>
              <w:tab/>
            </w:r>
            <w:r>
              <w:rPr>
                <w:b/>
                <w:color w:val="333333"/>
                <w:sz w:val="20"/>
              </w:rPr>
              <w:tab/>
            </w:r>
            <w:r>
              <w:rPr>
                <w:color w:val="333333"/>
                <w:spacing w:val="-4"/>
                <w:sz w:val="20"/>
              </w:rPr>
              <w:t>Para</w:t>
            </w:r>
            <w:r>
              <w:rPr>
                <w:color w:val="333333"/>
                <w:sz w:val="20"/>
              </w:rPr>
              <w:tab/>
            </w:r>
            <w:r>
              <w:rPr>
                <w:color w:val="333333"/>
                <w:spacing w:val="-2"/>
                <w:sz w:val="20"/>
              </w:rPr>
              <w:t>desarrollar</w:t>
            </w:r>
            <w:r>
              <w:rPr>
                <w:color w:val="333333"/>
                <w:sz w:val="20"/>
              </w:rPr>
              <w:tab/>
            </w:r>
            <w:r>
              <w:rPr>
                <w:color w:val="333333"/>
                <w:sz w:val="20"/>
              </w:rPr>
              <w:tab/>
            </w:r>
            <w:r>
              <w:rPr>
                <w:color w:val="333333"/>
                <w:spacing w:val="-6"/>
                <w:sz w:val="20"/>
              </w:rPr>
              <w:t xml:space="preserve">su </w:t>
            </w:r>
            <w:r>
              <w:rPr>
                <w:color w:val="333333"/>
                <w:sz w:val="20"/>
              </w:rPr>
              <w:t xml:space="preserve">objeto, el Ministerio de Igualdad y Equidad, en todo el país con énfasis en los territorios </w:t>
            </w:r>
            <w:r>
              <w:rPr>
                <w:color w:val="333333"/>
                <w:spacing w:val="-2"/>
                <w:sz w:val="20"/>
              </w:rPr>
              <w:t>excluidos</w:t>
            </w:r>
            <w:r>
              <w:rPr>
                <w:color w:val="333333"/>
                <w:sz w:val="20"/>
              </w:rPr>
              <w:tab/>
            </w:r>
            <w:r>
              <w:rPr>
                <w:color w:val="333333"/>
                <w:spacing w:val="-10"/>
                <w:sz w:val="20"/>
              </w:rPr>
              <w:t>y</w:t>
            </w:r>
            <w:r>
              <w:rPr>
                <w:color w:val="333333"/>
                <w:sz w:val="20"/>
              </w:rPr>
              <w:tab/>
            </w:r>
            <w:r>
              <w:rPr>
                <w:color w:val="333333"/>
                <w:sz w:val="20"/>
              </w:rPr>
              <w:tab/>
            </w:r>
            <w:r>
              <w:rPr>
                <w:color w:val="333333"/>
                <w:spacing w:val="-2"/>
                <w:sz w:val="20"/>
              </w:rPr>
              <w:t>marginados,</w:t>
            </w:r>
            <w:r>
              <w:rPr>
                <w:color w:val="333333"/>
                <w:sz w:val="20"/>
              </w:rPr>
              <w:tab/>
            </w:r>
            <w:r>
              <w:rPr>
                <w:color w:val="333333"/>
                <w:sz w:val="20"/>
              </w:rPr>
              <w:tab/>
            </w:r>
            <w:r>
              <w:rPr>
                <w:color w:val="333333"/>
                <w:spacing w:val="-2"/>
                <w:sz w:val="20"/>
              </w:rPr>
              <w:t>protegerá</w:t>
            </w:r>
            <w:r>
              <w:rPr>
                <w:color w:val="333333"/>
                <w:sz w:val="20"/>
              </w:rPr>
              <w:tab/>
            </w:r>
            <w:r>
              <w:rPr>
                <w:color w:val="333333"/>
                <w:spacing w:val="-4"/>
                <w:sz w:val="20"/>
              </w:rPr>
              <w:t xml:space="preserve">los </w:t>
            </w:r>
            <w:r>
              <w:rPr>
                <w:color w:val="333333"/>
                <w:spacing w:val="-2"/>
                <w:sz w:val="20"/>
              </w:rPr>
              <w:t>derechos,</w:t>
            </w:r>
            <w:r>
              <w:rPr>
                <w:color w:val="333333"/>
                <w:sz w:val="20"/>
              </w:rPr>
              <w:tab/>
            </w:r>
            <w:r>
              <w:rPr>
                <w:color w:val="333333"/>
                <w:sz w:val="20"/>
              </w:rPr>
              <w:tab/>
            </w:r>
            <w:r>
              <w:rPr>
                <w:color w:val="333333"/>
                <w:spacing w:val="-4"/>
                <w:sz w:val="20"/>
              </w:rPr>
              <w:t>con</w:t>
            </w:r>
            <w:r>
              <w:rPr>
                <w:color w:val="333333"/>
                <w:sz w:val="20"/>
              </w:rPr>
              <w:tab/>
            </w:r>
            <w:r>
              <w:rPr>
                <w:color w:val="333333"/>
                <w:spacing w:val="-2"/>
                <w:sz w:val="20"/>
              </w:rPr>
              <w:t>enfoque</w:t>
            </w:r>
            <w:r>
              <w:rPr>
                <w:color w:val="333333"/>
                <w:sz w:val="20"/>
              </w:rPr>
              <w:tab/>
            </w:r>
            <w:r>
              <w:rPr>
                <w:color w:val="333333"/>
                <w:sz w:val="20"/>
              </w:rPr>
              <w:tab/>
            </w:r>
            <w:r>
              <w:rPr>
                <w:color w:val="333333"/>
                <w:sz w:val="20"/>
              </w:rPr>
              <w:tab/>
            </w:r>
            <w:r>
              <w:rPr>
                <w:color w:val="333333"/>
                <w:spacing w:val="-6"/>
                <w:sz w:val="20"/>
              </w:rPr>
              <w:t>de</w:t>
            </w:r>
            <w:r>
              <w:rPr>
                <w:color w:val="333333"/>
                <w:sz w:val="20"/>
              </w:rPr>
              <w:tab/>
            </w:r>
            <w:r>
              <w:rPr>
                <w:color w:val="333333"/>
                <w:spacing w:val="-2"/>
                <w:sz w:val="20"/>
              </w:rPr>
              <w:t xml:space="preserve">género, </w:t>
            </w:r>
            <w:r>
              <w:rPr>
                <w:color w:val="333333"/>
                <w:sz w:val="20"/>
              </w:rPr>
              <w:t>transversal,</w:t>
            </w:r>
            <w:r>
              <w:rPr>
                <w:color w:val="333333"/>
                <w:spacing w:val="-18"/>
                <w:sz w:val="20"/>
              </w:rPr>
              <w:t xml:space="preserve"> </w:t>
            </w:r>
            <w:r>
              <w:rPr>
                <w:color w:val="333333"/>
                <w:sz w:val="20"/>
              </w:rPr>
              <w:t>focalizado</w:t>
            </w:r>
            <w:r>
              <w:rPr>
                <w:color w:val="333333"/>
                <w:spacing w:val="-18"/>
                <w:sz w:val="20"/>
              </w:rPr>
              <w:t xml:space="preserve"> </w:t>
            </w:r>
            <w:r>
              <w:rPr>
                <w:color w:val="333333"/>
                <w:sz w:val="20"/>
              </w:rPr>
              <w:t>y</w:t>
            </w:r>
            <w:r>
              <w:rPr>
                <w:color w:val="333333"/>
                <w:spacing w:val="-17"/>
                <w:sz w:val="20"/>
              </w:rPr>
              <w:t xml:space="preserve"> </w:t>
            </w:r>
            <w:r>
              <w:rPr>
                <w:color w:val="333333"/>
                <w:sz w:val="20"/>
              </w:rPr>
              <w:t>de</w:t>
            </w:r>
            <w:r>
              <w:rPr>
                <w:color w:val="333333"/>
                <w:spacing w:val="-18"/>
                <w:sz w:val="20"/>
              </w:rPr>
              <w:t xml:space="preserve"> </w:t>
            </w:r>
            <w:r>
              <w:rPr>
                <w:color w:val="333333"/>
                <w:sz w:val="20"/>
              </w:rPr>
              <w:t>empoderamiento de</w:t>
            </w:r>
            <w:r>
              <w:rPr>
                <w:color w:val="333333"/>
                <w:spacing w:val="40"/>
                <w:sz w:val="20"/>
              </w:rPr>
              <w:t xml:space="preserve"> </w:t>
            </w:r>
            <w:r>
              <w:rPr>
                <w:color w:val="333333"/>
                <w:sz w:val="20"/>
              </w:rPr>
              <w:t>las</w:t>
            </w:r>
            <w:r>
              <w:rPr>
                <w:color w:val="333333"/>
                <w:spacing w:val="40"/>
                <w:sz w:val="20"/>
              </w:rPr>
              <w:t xml:space="preserve"> </w:t>
            </w:r>
            <w:r>
              <w:rPr>
                <w:color w:val="333333"/>
                <w:sz w:val="20"/>
              </w:rPr>
              <w:t>mujeres</w:t>
            </w:r>
            <w:r>
              <w:rPr>
                <w:color w:val="333333"/>
                <w:spacing w:val="40"/>
                <w:sz w:val="20"/>
              </w:rPr>
              <w:t xml:space="preserve"> </w:t>
            </w:r>
            <w:r>
              <w:rPr>
                <w:color w:val="333333"/>
                <w:sz w:val="20"/>
              </w:rPr>
              <w:t>y</w:t>
            </w:r>
            <w:r>
              <w:rPr>
                <w:color w:val="333333"/>
                <w:spacing w:val="40"/>
                <w:sz w:val="20"/>
              </w:rPr>
              <w:t xml:space="preserve"> </w:t>
            </w:r>
            <w:r>
              <w:rPr>
                <w:color w:val="333333"/>
                <w:sz w:val="20"/>
              </w:rPr>
              <w:t>las</w:t>
            </w:r>
            <w:r>
              <w:rPr>
                <w:color w:val="333333"/>
                <w:spacing w:val="40"/>
                <w:sz w:val="20"/>
              </w:rPr>
              <w:t xml:space="preserve"> </w:t>
            </w:r>
            <w:r>
              <w:rPr>
                <w:color w:val="333333"/>
                <w:sz w:val="20"/>
              </w:rPr>
              <w:t>niñas,</w:t>
            </w:r>
            <w:r>
              <w:rPr>
                <w:color w:val="333333"/>
                <w:spacing w:val="40"/>
                <w:sz w:val="20"/>
              </w:rPr>
              <w:t xml:space="preserve"> </w:t>
            </w:r>
            <w:r>
              <w:rPr>
                <w:color w:val="333333"/>
                <w:sz w:val="20"/>
              </w:rPr>
              <w:t>diferencial</w:t>
            </w:r>
            <w:r>
              <w:rPr>
                <w:color w:val="333333"/>
                <w:spacing w:val="40"/>
                <w:sz w:val="20"/>
              </w:rPr>
              <w:t xml:space="preserve"> </w:t>
            </w:r>
            <w:r>
              <w:rPr>
                <w:color w:val="333333"/>
                <w:sz w:val="20"/>
              </w:rPr>
              <w:t>e interseccional,</w:t>
            </w:r>
            <w:r>
              <w:rPr>
                <w:color w:val="333333"/>
                <w:spacing w:val="40"/>
                <w:sz w:val="20"/>
              </w:rPr>
              <w:t xml:space="preserve"> </w:t>
            </w:r>
            <w:r>
              <w:rPr>
                <w:color w:val="333333"/>
                <w:sz w:val="20"/>
              </w:rPr>
              <w:t>de</w:t>
            </w:r>
            <w:r>
              <w:rPr>
                <w:color w:val="333333"/>
                <w:spacing w:val="40"/>
                <w:sz w:val="20"/>
              </w:rPr>
              <w:t xml:space="preserve"> </w:t>
            </w:r>
            <w:r>
              <w:rPr>
                <w:color w:val="333333"/>
                <w:sz w:val="20"/>
              </w:rPr>
              <w:t>los</w:t>
            </w:r>
            <w:r>
              <w:rPr>
                <w:color w:val="333333"/>
                <w:spacing w:val="40"/>
                <w:sz w:val="20"/>
              </w:rPr>
              <w:t xml:space="preserve"> </w:t>
            </w:r>
            <w:r>
              <w:rPr>
                <w:color w:val="333333"/>
                <w:sz w:val="20"/>
              </w:rPr>
              <w:t>sujetos</w:t>
            </w:r>
            <w:r>
              <w:rPr>
                <w:color w:val="333333"/>
                <w:spacing w:val="40"/>
                <w:sz w:val="20"/>
              </w:rPr>
              <w:t xml:space="preserve"> </w:t>
            </w:r>
            <w:r>
              <w:rPr>
                <w:color w:val="333333"/>
                <w:sz w:val="20"/>
              </w:rPr>
              <w:t>de</w:t>
            </w:r>
            <w:r>
              <w:rPr>
                <w:color w:val="333333"/>
                <w:spacing w:val="40"/>
                <w:sz w:val="20"/>
              </w:rPr>
              <w:t xml:space="preserve"> </w:t>
            </w:r>
            <w:r>
              <w:rPr>
                <w:color w:val="333333"/>
                <w:sz w:val="20"/>
              </w:rPr>
              <w:t>especial protección constitucional, entre otros: Mujeres en todas sus diversidades.</w:t>
            </w:r>
          </w:p>
          <w:p w14:paraId="3C0AEC0C" w14:textId="77777777" w:rsidR="000E52B0" w:rsidRDefault="00F60D74">
            <w:pPr>
              <w:pStyle w:val="TableParagraph"/>
              <w:spacing w:before="1" w:line="243" w:lineRule="exact"/>
              <w:ind w:left="107"/>
              <w:rPr>
                <w:sz w:val="20"/>
              </w:rPr>
            </w:pPr>
            <w:r>
              <w:rPr>
                <w:color w:val="333333"/>
                <w:sz w:val="20"/>
              </w:rPr>
              <w:t>Población</w:t>
            </w:r>
            <w:r>
              <w:rPr>
                <w:color w:val="333333"/>
                <w:spacing w:val="-12"/>
                <w:sz w:val="20"/>
              </w:rPr>
              <w:t xml:space="preserve"> </w:t>
            </w:r>
            <w:r>
              <w:rPr>
                <w:color w:val="333333"/>
                <w:spacing w:val="-2"/>
                <w:sz w:val="20"/>
              </w:rPr>
              <w:t>LGBTIQ+.</w:t>
            </w:r>
          </w:p>
          <w:p w14:paraId="0A0E698C" w14:textId="77777777" w:rsidR="000E52B0" w:rsidRDefault="00F60D74">
            <w:pPr>
              <w:pStyle w:val="TableParagraph"/>
              <w:ind w:left="107"/>
              <w:rPr>
                <w:sz w:val="20"/>
              </w:rPr>
            </w:pPr>
            <w:r>
              <w:rPr>
                <w:color w:val="333333"/>
                <w:sz w:val="20"/>
              </w:rPr>
              <w:t>Pueblos</w:t>
            </w:r>
            <w:r>
              <w:rPr>
                <w:color w:val="333333"/>
                <w:spacing w:val="-6"/>
                <w:sz w:val="20"/>
              </w:rPr>
              <w:t xml:space="preserve"> </w:t>
            </w:r>
            <w:r>
              <w:rPr>
                <w:color w:val="333333"/>
                <w:sz w:val="20"/>
              </w:rPr>
              <w:t>afrodescendientes,</w:t>
            </w:r>
            <w:r>
              <w:rPr>
                <w:color w:val="333333"/>
                <w:spacing w:val="-7"/>
                <w:sz w:val="20"/>
              </w:rPr>
              <w:t xml:space="preserve"> </w:t>
            </w:r>
            <w:r>
              <w:rPr>
                <w:color w:val="333333"/>
                <w:sz w:val="20"/>
              </w:rPr>
              <w:t>negros,</w:t>
            </w:r>
            <w:r>
              <w:rPr>
                <w:color w:val="333333"/>
                <w:spacing w:val="-5"/>
                <w:sz w:val="20"/>
              </w:rPr>
              <w:t xml:space="preserve"> </w:t>
            </w:r>
            <w:r>
              <w:rPr>
                <w:color w:val="333333"/>
                <w:sz w:val="20"/>
              </w:rPr>
              <w:t xml:space="preserve">raizales, palanqueros, indígenas y </w:t>
            </w:r>
            <w:proofErr w:type="spellStart"/>
            <w:r>
              <w:rPr>
                <w:color w:val="333333"/>
                <w:sz w:val="20"/>
              </w:rPr>
              <w:t>Rrom</w:t>
            </w:r>
            <w:proofErr w:type="spellEnd"/>
            <w:r>
              <w:rPr>
                <w:color w:val="333333"/>
                <w:sz w:val="20"/>
              </w:rPr>
              <w:t>.</w:t>
            </w:r>
          </w:p>
          <w:p w14:paraId="65F3C386" w14:textId="77777777" w:rsidR="000E52B0" w:rsidRDefault="00F60D74">
            <w:pPr>
              <w:pStyle w:val="TableParagraph"/>
              <w:spacing w:before="1"/>
              <w:ind w:left="177" w:right="1070" w:hanging="70"/>
              <w:rPr>
                <w:sz w:val="20"/>
              </w:rPr>
            </w:pPr>
            <w:proofErr w:type="gramStart"/>
            <w:r>
              <w:rPr>
                <w:color w:val="333333"/>
                <w:sz w:val="20"/>
              </w:rPr>
              <w:t>Campesinos</w:t>
            </w:r>
            <w:r>
              <w:rPr>
                <w:color w:val="333333"/>
                <w:spacing w:val="-18"/>
                <w:sz w:val="20"/>
              </w:rPr>
              <w:t xml:space="preserve"> </w:t>
            </w:r>
            <w:r>
              <w:rPr>
                <w:color w:val="333333"/>
                <w:sz w:val="20"/>
              </w:rPr>
              <w:t>y</w:t>
            </w:r>
            <w:r>
              <w:rPr>
                <w:color w:val="333333"/>
                <w:spacing w:val="-18"/>
                <w:sz w:val="20"/>
              </w:rPr>
              <w:t xml:space="preserve"> </w:t>
            </w:r>
            <w:r>
              <w:rPr>
                <w:color w:val="333333"/>
                <w:sz w:val="20"/>
              </w:rPr>
              <w:t>campesinas</w:t>
            </w:r>
            <w:proofErr w:type="gramEnd"/>
            <w:r>
              <w:rPr>
                <w:color w:val="333333"/>
                <w:sz w:val="20"/>
              </w:rPr>
              <w:t xml:space="preserve">, </w:t>
            </w:r>
            <w:r>
              <w:rPr>
                <w:color w:val="333333"/>
                <w:spacing w:val="-2"/>
                <w:sz w:val="20"/>
              </w:rPr>
              <w:t>Jóvenes.</w:t>
            </w:r>
          </w:p>
          <w:p w14:paraId="53A0D733" w14:textId="77777777" w:rsidR="000E52B0" w:rsidRDefault="00F60D74">
            <w:pPr>
              <w:pStyle w:val="TableParagraph"/>
              <w:ind w:left="107" w:right="90" w:firstLine="69"/>
              <w:rPr>
                <w:sz w:val="20"/>
              </w:rPr>
            </w:pPr>
            <w:r>
              <w:rPr>
                <w:color w:val="333333"/>
                <w:sz w:val="20"/>
              </w:rPr>
              <w:t>Miembros</w:t>
            </w:r>
            <w:r>
              <w:rPr>
                <w:color w:val="333333"/>
                <w:spacing w:val="-10"/>
                <w:sz w:val="20"/>
              </w:rPr>
              <w:t xml:space="preserve"> </w:t>
            </w:r>
            <w:r>
              <w:rPr>
                <w:color w:val="333333"/>
                <w:sz w:val="20"/>
              </w:rPr>
              <w:t>de</w:t>
            </w:r>
            <w:r>
              <w:rPr>
                <w:color w:val="333333"/>
                <w:spacing w:val="-9"/>
                <w:sz w:val="20"/>
              </w:rPr>
              <w:t xml:space="preserve"> </w:t>
            </w:r>
            <w:r>
              <w:rPr>
                <w:color w:val="333333"/>
                <w:sz w:val="20"/>
              </w:rPr>
              <w:t>hogares</w:t>
            </w:r>
            <w:r>
              <w:rPr>
                <w:color w:val="333333"/>
                <w:spacing w:val="-8"/>
                <w:sz w:val="20"/>
              </w:rPr>
              <w:t xml:space="preserve"> </w:t>
            </w:r>
            <w:r>
              <w:rPr>
                <w:color w:val="333333"/>
                <w:sz w:val="20"/>
              </w:rPr>
              <w:t>en</w:t>
            </w:r>
            <w:r>
              <w:rPr>
                <w:color w:val="333333"/>
                <w:spacing w:val="-9"/>
                <w:sz w:val="20"/>
              </w:rPr>
              <w:t xml:space="preserve"> </w:t>
            </w:r>
            <w:r>
              <w:rPr>
                <w:color w:val="333333"/>
                <w:sz w:val="20"/>
              </w:rPr>
              <w:t>situación</w:t>
            </w:r>
            <w:r>
              <w:rPr>
                <w:color w:val="333333"/>
                <w:spacing w:val="-9"/>
                <w:sz w:val="20"/>
              </w:rPr>
              <w:t xml:space="preserve"> </w:t>
            </w:r>
            <w:r>
              <w:rPr>
                <w:color w:val="333333"/>
                <w:sz w:val="20"/>
              </w:rPr>
              <w:t>de pobreza y pobreza extrema.</w:t>
            </w:r>
          </w:p>
          <w:p w14:paraId="5C6CB277" w14:textId="77777777" w:rsidR="000E52B0" w:rsidRDefault="00F60D74">
            <w:pPr>
              <w:pStyle w:val="TableParagraph"/>
              <w:ind w:left="107" w:right="746" w:firstLine="69"/>
              <w:rPr>
                <w:sz w:val="20"/>
              </w:rPr>
            </w:pPr>
            <w:r>
              <w:rPr>
                <w:color w:val="333333"/>
                <w:sz w:val="20"/>
              </w:rPr>
              <w:t>Personas</w:t>
            </w:r>
            <w:r>
              <w:rPr>
                <w:color w:val="333333"/>
                <w:spacing w:val="-18"/>
                <w:sz w:val="20"/>
              </w:rPr>
              <w:t xml:space="preserve"> </w:t>
            </w:r>
            <w:r>
              <w:rPr>
                <w:color w:val="333333"/>
                <w:sz w:val="20"/>
              </w:rPr>
              <w:t>con</w:t>
            </w:r>
            <w:r>
              <w:rPr>
                <w:color w:val="333333"/>
                <w:spacing w:val="-18"/>
                <w:sz w:val="20"/>
              </w:rPr>
              <w:t xml:space="preserve"> </w:t>
            </w:r>
            <w:r>
              <w:rPr>
                <w:color w:val="333333"/>
                <w:sz w:val="20"/>
              </w:rPr>
              <w:t>discapacidad. Habitantes de calle.</w:t>
            </w:r>
          </w:p>
          <w:p w14:paraId="5107717F" w14:textId="77777777" w:rsidR="000E52B0" w:rsidRDefault="00F60D74">
            <w:pPr>
              <w:pStyle w:val="TableParagraph"/>
              <w:spacing w:line="222" w:lineRule="exact"/>
              <w:ind w:left="107"/>
              <w:rPr>
                <w:sz w:val="20"/>
              </w:rPr>
            </w:pPr>
            <w:r>
              <w:rPr>
                <w:color w:val="333333"/>
                <w:sz w:val="20"/>
              </w:rPr>
              <w:t>Población</w:t>
            </w:r>
            <w:r>
              <w:rPr>
                <w:color w:val="333333"/>
                <w:spacing w:val="-9"/>
                <w:sz w:val="20"/>
              </w:rPr>
              <w:t xml:space="preserve"> </w:t>
            </w:r>
            <w:r>
              <w:rPr>
                <w:color w:val="333333"/>
                <w:sz w:val="20"/>
              </w:rPr>
              <w:t>en</w:t>
            </w:r>
            <w:r>
              <w:rPr>
                <w:color w:val="333333"/>
                <w:spacing w:val="-8"/>
                <w:sz w:val="20"/>
              </w:rPr>
              <w:t xml:space="preserve"> </w:t>
            </w:r>
            <w:r>
              <w:rPr>
                <w:color w:val="333333"/>
                <w:sz w:val="20"/>
              </w:rPr>
              <w:t>territorios</w:t>
            </w:r>
            <w:r>
              <w:rPr>
                <w:color w:val="333333"/>
                <w:spacing w:val="-7"/>
                <w:sz w:val="20"/>
              </w:rPr>
              <w:t xml:space="preserve"> </w:t>
            </w:r>
            <w:r>
              <w:rPr>
                <w:color w:val="333333"/>
                <w:spacing w:val="-2"/>
                <w:sz w:val="20"/>
              </w:rPr>
              <w:t>excluidos.</w:t>
            </w:r>
          </w:p>
        </w:tc>
        <w:tc>
          <w:tcPr>
            <w:tcW w:w="4723" w:type="dxa"/>
          </w:tcPr>
          <w:p w14:paraId="2599EF0D" w14:textId="77777777" w:rsidR="000E52B0" w:rsidRDefault="00F60D74">
            <w:pPr>
              <w:pStyle w:val="TableParagraph"/>
              <w:spacing w:before="2" w:line="243" w:lineRule="exact"/>
              <w:ind w:left="107"/>
              <w:jc w:val="both"/>
              <w:rPr>
                <w:b/>
                <w:sz w:val="20"/>
              </w:rPr>
            </w:pPr>
            <w:r>
              <w:rPr>
                <w:b/>
                <w:sz w:val="20"/>
              </w:rPr>
              <w:t>ARTÍCULO</w:t>
            </w:r>
            <w:r>
              <w:rPr>
                <w:b/>
                <w:spacing w:val="55"/>
                <w:w w:val="150"/>
                <w:sz w:val="20"/>
              </w:rPr>
              <w:t xml:space="preserve">    </w:t>
            </w:r>
            <w:r>
              <w:rPr>
                <w:b/>
                <w:sz w:val="20"/>
              </w:rPr>
              <w:t>5.</w:t>
            </w:r>
            <w:r>
              <w:rPr>
                <w:b/>
                <w:spacing w:val="55"/>
                <w:w w:val="150"/>
                <w:sz w:val="20"/>
              </w:rPr>
              <w:t xml:space="preserve">    </w:t>
            </w:r>
            <w:r>
              <w:rPr>
                <w:b/>
                <w:sz w:val="20"/>
              </w:rPr>
              <w:t>ÁMBITO</w:t>
            </w:r>
            <w:r>
              <w:rPr>
                <w:b/>
                <w:spacing w:val="54"/>
                <w:w w:val="150"/>
                <w:sz w:val="20"/>
              </w:rPr>
              <w:t xml:space="preserve">    </w:t>
            </w:r>
            <w:r>
              <w:rPr>
                <w:b/>
                <w:spacing w:val="-5"/>
                <w:sz w:val="20"/>
              </w:rPr>
              <w:t>DE</w:t>
            </w:r>
          </w:p>
          <w:p w14:paraId="1D749E5E" w14:textId="77777777" w:rsidR="000E52B0" w:rsidRDefault="00F60D74">
            <w:pPr>
              <w:pStyle w:val="TableParagraph"/>
              <w:ind w:left="107" w:right="86"/>
              <w:jc w:val="both"/>
              <w:rPr>
                <w:b/>
                <w:sz w:val="20"/>
              </w:rPr>
            </w:pPr>
            <w:r>
              <w:rPr>
                <w:b/>
                <w:sz w:val="20"/>
              </w:rPr>
              <w:t xml:space="preserve">COMPETENCIAS. </w:t>
            </w:r>
            <w:r>
              <w:rPr>
                <w:color w:val="333333"/>
                <w:sz w:val="20"/>
              </w:rPr>
              <w:t xml:space="preserve">Para desarrollar su objeto, el Ministerio de Igualdad y Equidad </w:t>
            </w:r>
            <w:r>
              <w:rPr>
                <w:b/>
                <w:sz w:val="20"/>
                <w:u w:val="single"/>
              </w:rPr>
              <w:t xml:space="preserve">focalizará su accionar </w:t>
            </w:r>
            <w:r>
              <w:rPr>
                <w:sz w:val="20"/>
              </w:rPr>
              <w:t xml:space="preserve">en los territorios excluidos y marginados, </w:t>
            </w:r>
            <w:r>
              <w:rPr>
                <w:b/>
                <w:sz w:val="20"/>
                <w:u w:val="single"/>
              </w:rPr>
              <w:t>y propenderá por</w:t>
            </w:r>
            <w:r>
              <w:rPr>
                <w:b/>
                <w:sz w:val="20"/>
              </w:rPr>
              <w:t xml:space="preserve"> </w:t>
            </w:r>
            <w:r>
              <w:rPr>
                <w:b/>
                <w:sz w:val="20"/>
                <w:u w:val="single"/>
              </w:rPr>
              <w:t>garantizar el derecho a la igualdad y</w:t>
            </w:r>
            <w:r>
              <w:rPr>
                <w:b/>
                <w:sz w:val="20"/>
              </w:rPr>
              <w:t xml:space="preserve"> </w:t>
            </w:r>
            <w:r>
              <w:rPr>
                <w:b/>
                <w:sz w:val="20"/>
                <w:u w:val="single"/>
              </w:rPr>
              <w:t>equidad</w:t>
            </w:r>
            <w:r>
              <w:rPr>
                <w:b/>
                <w:sz w:val="20"/>
              </w:rPr>
              <w:t xml:space="preserve"> </w:t>
            </w:r>
            <w:r>
              <w:rPr>
                <w:sz w:val="20"/>
              </w:rPr>
              <w:t xml:space="preserve">de los sujetos de especial protección constitucional, </w:t>
            </w:r>
            <w:r>
              <w:rPr>
                <w:b/>
                <w:sz w:val="20"/>
                <w:u w:val="single"/>
              </w:rPr>
              <w:t>entre ellos:</w:t>
            </w:r>
          </w:p>
          <w:p w14:paraId="1DEC2B0E" w14:textId="77777777" w:rsidR="000E52B0" w:rsidRDefault="000E52B0">
            <w:pPr>
              <w:pStyle w:val="TableParagraph"/>
              <w:rPr>
                <w:b/>
                <w:sz w:val="20"/>
              </w:rPr>
            </w:pPr>
          </w:p>
          <w:p w14:paraId="083C86B0" w14:textId="77777777" w:rsidR="000E52B0" w:rsidRDefault="00F60D74">
            <w:pPr>
              <w:pStyle w:val="TableParagraph"/>
              <w:numPr>
                <w:ilvl w:val="0"/>
                <w:numId w:val="16"/>
              </w:numPr>
              <w:tabs>
                <w:tab w:val="left" w:pos="826"/>
              </w:tabs>
              <w:ind w:left="826" w:hanging="359"/>
              <w:jc w:val="both"/>
              <w:rPr>
                <w:b/>
                <w:sz w:val="20"/>
              </w:rPr>
            </w:pPr>
            <w:r>
              <w:rPr>
                <w:sz w:val="20"/>
              </w:rPr>
              <w:t>Mujeres</w:t>
            </w:r>
            <w:r>
              <w:rPr>
                <w:spacing w:val="-5"/>
                <w:sz w:val="20"/>
              </w:rPr>
              <w:t xml:space="preserve"> </w:t>
            </w:r>
            <w:r>
              <w:rPr>
                <w:sz w:val="20"/>
              </w:rPr>
              <w:t>en</w:t>
            </w:r>
            <w:r>
              <w:rPr>
                <w:spacing w:val="-5"/>
                <w:sz w:val="20"/>
              </w:rPr>
              <w:t xml:space="preserve"> </w:t>
            </w:r>
            <w:r>
              <w:rPr>
                <w:sz w:val="20"/>
              </w:rPr>
              <w:t>todas</w:t>
            </w:r>
            <w:r>
              <w:rPr>
                <w:spacing w:val="-7"/>
                <w:sz w:val="20"/>
              </w:rPr>
              <w:t xml:space="preserve"> </w:t>
            </w:r>
            <w:r>
              <w:rPr>
                <w:sz w:val="20"/>
              </w:rPr>
              <w:t>sus</w:t>
            </w:r>
            <w:r>
              <w:rPr>
                <w:spacing w:val="-7"/>
                <w:sz w:val="20"/>
              </w:rPr>
              <w:t xml:space="preserve"> </w:t>
            </w:r>
            <w:r>
              <w:rPr>
                <w:spacing w:val="-2"/>
                <w:sz w:val="20"/>
              </w:rPr>
              <w:t>diversidades</w:t>
            </w:r>
            <w:r>
              <w:rPr>
                <w:b/>
                <w:spacing w:val="-2"/>
                <w:sz w:val="20"/>
              </w:rPr>
              <w:t>.</w:t>
            </w:r>
          </w:p>
          <w:p w14:paraId="1507D62C" w14:textId="77777777" w:rsidR="000E52B0" w:rsidRDefault="00F60D74">
            <w:pPr>
              <w:pStyle w:val="TableParagraph"/>
              <w:numPr>
                <w:ilvl w:val="0"/>
                <w:numId w:val="16"/>
              </w:numPr>
              <w:tabs>
                <w:tab w:val="left" w:pos="825"/>
              </w:tabs>
              <w:spacing w:before="1"/>
              <w:ind w:left="825" w:hanging="358"/>
              <w:jc w:val="both"/>
              <w:rPr>
                <w:b/>
                <w:sz w:val="20"/>
              </w:rPr>
            </w:pPr>
            <w:r>
              <w:rPr>
                <w:b/>
                <w:noProof/>
                <w:sz w:val="20"/>
              </w:rPr>
              <mc:AlternateContent>
                <mc:Choice Requires="wpg">
                  <w:drawing>
                    <wp:anchor distT="0" distB="0" distL="0" distR="0" simplePos="0" relativeHeight="482320896" behindDoc="1" locked="0" layoutInCell="1" allowOverlap="1" wp14:anchorId="2EA80792" wp14:editId="7F37414E">
                      <wp:simplePos x="0" y="0"/>
                      <wp:positionH relativeFrom="column">
                        <wp:posOffset>2720594</wp:posOffset>
                      </wp:positionH>
                      <wp:positionV relativeFrom="paragraph">
                        <wp:posOffset>-74374</wp:posOffset>
                      </wp:positionV>
                      <wp:extent cx="45720" cy="13970"/>
                      <wp:effectExtent l="0" t="0" r="0" b="0"/>
                      <wp:wrapNone/>
                      <wp:docPr id="774"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13970"/>
                                <a:chOff x="0" y="0"/>
                                <a:chExt cx="45720" cy="13970"/>
                              </a:xfrm>
                            </wpg:grpSpPr>
                            <wps:wsp>
                              <wps:cNvPr id="775" name="Graphic 775"/>
                              <wps:cNvSpPr/>
                              <wps:spPr>
                                <a:xfrm>
                                  <a:off x="0" y="0"/>
                                  <a:ext cx="45720" cy="13970"/>
                                </a:xfrm>
                                <a:custGeom>
                                  <a:avLst/>
                                  <a:gdLst/>
                                  <a:ahLst/>
                                  <a:cxnLst/>
                                  <a:rect l="l" t="t" r="r" b="b"/>
                                  <a:pathLst>
                                    <a:path w="45720" h="13970">
                                      <a:moveTo>
                                        <a:pt x="45720" y="0"/>
                                      </a:moveTo>
                                      <a:lnTo>
                                        <a:pt x="0" y="0"/>
                                      </a:lnTo>
                                      <a:lnTo>
                                        <a:pt x="0" y="13716"/>
                                      </a:lnTo>
                                      <a:lnTo>
                                        <a:pt x="45720" y="13716"/>
                                      </a:lnTo>
                                      <a:lnTo>
                                        <a:pt x="457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29A9AD" id="Group 774" o:spid="_x0000_s1026" style="position:absolute;margin-left:214.2pt;margin-top:-5.85pt;width:3.6pt;height:1.1pt;z-index:-20995584;mso-wrap-distance-left:0;mso-wrap-distance-right:0" coordsize="4572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">
                      <v:shape id="Graphic 775" o:spid="_x0000_s1027" style="position:absolute;width:45720;height:13970;visibility:visible;mso-wrap-style:square;v-text-anchor:top" coordsize="4572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" path="m45720,l,,,13716r45720,l45720,xe" fillcolor="black" stroked="f">
                        <v:path arrowok="t"/>
                      </v:shape>
                    </v:group>
                  </w:pict>
                </mc:Fallback>
              </mc:AlternateContent>
            </w:r>
            <w:r>
              <w:rPr>
                <w:sz w:val="20"/>
              </w:rPr>
              <w:t>Población</w:t>
            </w:r>
            <w:r>
              <w:rPr>
                <w:spacing w:val="-12"/>
                <w:sz w:val="20"/>
              </w:rPr>
              <w:t xml:space="preserve"> </w:t>
            </w:r>
            <w:r>
              <w:rPr>
                <w:spacing w:val="-2"/>
                <w:sz w:val="20"/>
              </w:rPr>
              <w:t>LGBTIQ</w:t>
            </w:r>
            <w:r>
              <w:rPr>
                <w:b/>
                <w:spacing w:val="-2"/>
                <w:sz w:val="20"/>
              </w:rPr>
              <w:t>+.</w:t>
            </w:r>
          </w:p>
          <w:p w14:paraId="68B00D5B" w14:textId="77777777" w:rsidR="000E52B0" w:rsidRDefault="00F60D74">
            <w:pPr>
              <w:pStyle w:val="TableParagraph"/>
              <w:numPr>
                <w:ilvl w:val="0"/>
                <w:numId w:val="16"/>
              </w:numPr>
              <w:tabs>
                <w:tab w:val="left" w:pos="827"/>
              </w:tabs>
              <w:ind w:right="85"/>
              <w:jc w:val="both"/>
              <w:rPr>
                <w:b/>
                <w:sz w:val="20"/>
              </w:rPr>
            </w:pPr>
            <w:r>
              <w:rPr>
                <w:b/>
                <w:noProof/>
                <w:sz w:val="20"/>
              </w:rPr>
              <mc:AlternateContent>
                <mc:Choice Requires="wpg">
                  <w:drawing>
                    <wp:anchor distT="0" distB="0" distL="0" distR="0" simplePos="0" relativeHeight="482321408" behindDoc="1" locked="0" layoutInCell="1" allowOverlap="1" wp14:anchorId="05D1424E" wp14:editId="47E94C47">
                      <wp:simplePos x="0" y="0"/>
                      <wp:positionH relativeFrom="column">
                        <wp:posOffset>1769618</wp:posOffset>
                      </wp:positionH>
                      <wp:positionV relativeFrom="paragraph">
                        <wp:posOffset>-73866</wp:posOffset>
                      </wp:positionV>
                      <wp:extent cx="47625" cy="13970"/>
                      <wp:effectExtent l="0" t="0" r="0" b="0"/>
                      <wp:wrapNone/>
                      <wp:docPr id="776"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13970"/>
                                <a:chOff x="0" y="0"/>
                                <a:chExt cx="47625" cy="13970"/>
                              </a:xfrm>
                            </wpg:grpSpPr>
                            <wps:wsp>
                              <wps:cNvPr id="777" name="Graphic 777"/>
                              <wps:cNvSpPr/>
                              <wps:spPr>
                                <a:xfrm>
                                  <a:off x="0" y="0"/>
                                  <a:ext cx="47625" cy="13970"/>
                                </a:xfrm>
                                <a:custGeom>
                                  <a:avLst/>
                                  <a:gdLst/>
                                  <a:ahLst/>
                                  <a:cxnLst/>
                                  <a:rect l="l" t="t" r="r" b="b"/>
                                  <a:pathLst>
                                    <a:path w="47625" h="13970">
                                      <a:moveTo>
                                        <a:pt x="47244" y="0"/>
                                      </a:moveTo>
                                      <a:lnTo>
                                        <a:pt x="0" y="0"/>
                                      </a:lnTo>
                                      <a:lnTo>
                                        <a:pt x="0" y="13715"/>
                                      </a:lnTo>
                                      <a:lnTo>
                                        <a:pt x="47244" y="13715"/>
                                      </a:lnTo>
                                      <a:lnTo>
                                        <a:pt x="47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98A175" id="Group 776" o:spid="_x0000_s1026" style="position:absolute;margin-left:139.35pt;margin-top:-5.8pt;width:3.75pt;height:1.1pt;z-index:-20995072;mso-wrap-distance-left:0;mso-wrap-distance-right:0" coordsize="4762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">
                      <v:shape id="Graphic 777" o:spid="_x0000_s1027" style="position:absolute;width:47625;height:13970;visibility:visible;mso-wrap-style:square;v-text-anchor:top" coordsize="4762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" path="m47244,l,,,13715r47244,l47244,xe" fillcolor="black" stroked="f">
                        <v:path arrowok="t"/>
                      </v:shape>
                    </v:group>
                  </w:pict>
                </mc:Fallback>
              </mc:AlternateContent>
            </w:r>
            <w:r>
              <w:rPr>
                <w:sz w:val="20"/>
              </w:rPr>
              <w:t xml:space="preserve">Pueblos </w:t>
            </w:r>
            <w:r>
              <w:rPr>
                <w:b/>
                <w:sz w:val="20"/>
                <w:u w:val="single"/>
              </w:rPr>
              <w:t>A</w:t>
            </w:r>
            <w:r>
              <w:rPr>
                <w:sz w:val="20"/>
              </w:rPr>
              <w:t xml:space="preserve">frodescendientes, </w:t>
            </w:r>
            <w:r>
              <w:rPr>
                <w:b/>
                <w:sz w:val="20"/>
                <w:u w:val="single"/>
              </w:rPr>
              <w:t>N</w:t>
            </w:r>
            <w:r>
              <w:rPr>
                <w:sz w:val="20"/>
              </w:rPr>
              <w:t xml:space="preserve">egros, </w:t>
            </w:r>
            <w:r>
              <w:rPr>
                <w:b/>
                <w:sz w:val="20"/>
                <w:u w:val="single"/>
              </w:rPr>
              <w:t>R</w:t>
            </w:r>
            <w:r>
              <w:rPr>
                <w:sz w:val="20"/>
              </w:rPr>
              <w:t xml:space="preserve">aizales, </w:t>
            </w:r>
            <w:r>
              <w:rPr>
                <w:b/>
                <w:sz w:val="20"/>
                <w:u w:val="single"/>
              </w:rPr>
              <w:t>P</w:t>
            </w:r>
            <w:r>
              <w:rPr>
                <w:sz w:val="20"/>
              </w:rPr>
              <w:t xml:space="preserve">alanqueros, </w:t>
            </w:r>
            <w:r>
              <w:rPr>
                <w:b/>
                <w:sz w:val="20"/>
                <w:u w:val="single"/>
              </w:rPr>
              <w:t>I</w:t>
            </w:r>
            <w:r>
              <w:rPr>
                <w:sz w:val="20"/>
              </w:rPr>
              <w:t xml:space="preserve">ndígenas y </w:t>
            </w:r>
            <w:proofErr w:type="spellStart"/>
            <w:r>
              <w:rPr>
                <w:b/>
                <w:spacing w:val="-2"/>
                <w:sz w:val="20"/>
                <w:u w:val="single"/>
              </w:rPr>
              <w:t>R</w:t>
            </w:r>
            <w:r>
              <w:rPr>
                <w:spacing w:val="-2"/>
                <w:sz w:val="20"/>
              </w:rPr>
              <w:t>rom</w:t>
            </w:r>
            <w:proofErr w:type="spellEnd"/>
            <w:r>
              <w:rPr>
                <w:b/>
                <w:spacing w:val="-2"/>
                <w:sz w:val="20"/>
              </w:rPr>
              <w:t>.</w:t>
            </w:r>
          </w:p>
          <w:p w14:paraId="44FD3ED0" w14:textId="77777777" w:rsidR="000E52B0" w:rsidRDefault="00F60D74">
            <w:pPr>
              <w:pStyle w:val="TableParagraph"/>
              <w:numPr>
                <w:ilvl w:val="0"/>
                <w:numId w:val="16"/>
              </w:numPr>
              <w:tabs>
                <w:tab w:val="left" w:pos="825"/>
              </w:tabs>
              <w:spacing w:before="1" w:line="243" w:lineRule="exact"/>
              <w:ind w:left="825" w:hanging="358"/>
              <w:jc w:val="both"/>
              <w:rPr>
                <w:b/>
                <w:sz w:val="20"/>
              </w:rPr>
            </w:pPr>
            <w:r>
              <w:rPr>
                <w:b/>
                <w:noProof/>
                <w:sz w:val="20"/>
              </w:rPr>
              <mc:AlternateContent>
                <mc:Choice Requires="wpg">
                  <w:drawing>
                    <wp:anchor distT="0" distB="0" distL="0" distR="0" simplePos="0" relativeHeight="482321920" behindDoc="1" locked="0" layoutInCell="1" allowOverlap="1" wp14:anchorId="5C20247F" wp14:editId="5824FAC5">
                      <wp:simplePos x="0" y="0"/>
                      <wp:positionH relativeFrom="column">
                        <wp:posOffset>879348</wp:posOffset>
                      </wp:positionH>
                      <wp:positionV relativeFrom="paragraph">
                        <wp:posOffset>-74374</wp:posOffset>
                      </wp:positionV>
                      <wp:extent cx="47625" cy="13970"/>
                      <wp:effectExtent l="0" t="0" r="0" b="0"/>
                      <wp:wrapNone/>
                      <wp:docPr id="77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13970"/>
                                <a:chOff x="0" y="0"/>
                                <a:chExt cx="47625" cy="13970"/>
                              </a:xfrm>
                            </wpg:grpSpPr>
                            <wps:wsp>
                              <wps:cNvPr id="779" name="Graphic 779"/>
                              <wps:cNvSpPr/>
                              <wps:spPr>
                                <a:xfrm>
                                  <a:off x="0" y="0"/>
                                  <a:ext cx="47625" cy="13970"/>
                                </a:xfrm>
                                <a:custGeom>
                                  <a:avLst/>
                                  <a:gdLst/>
                                  <a:ahLst/>
                                  <a:cxnLst/>
                                  <a:rect l="l" t="t" r="r" b="b"/>
                                  <a:pathLst>
                                    <a:path w="47625" h="13970">
                                      <a:moveTo>
                                        <a:pt x="47244" y="0"/>
                                      </a:moveTo>
                                      <a:lnTo>
                                        <a:pt x="0" y="0"/>
                                      </a:lnTo>
                                      <a:lnTo>
                                        <a:pt x="0" y="13716"/>
                                      </a:lnTo>
                                      <a:lnTo>
                                        <a:pt x="47244" y="13716"/>
                                      </a:lnTo>
                                      <a:lnTo>
                                        <a:pt x="47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425A5A" id="Group 778" o:spid="_x0000_s1026" style="position:absolute;margin-left:69.25pt;margin-top:-5.85pt;width:3.75pt;height:1.1pt;z-index:-20994560;mso-wrap-distance-left:0;mso-wrap-distance-right:0" coordsize="4762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">
                      <v:shape id="Graphic 779" o:spid="_x0000_s1027" style="position:absolute;width:47625;height:13970;visibility:visible;mso-wrap-style:square;v-text-anchor:top" coordsize="4762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" path="m47244,l,,,13716r47244,l47244,xe" fillcolor="black" stroked="f">
                        <v:path arrowok="t"/>
                      </v:shape>
                    </v:group>
                  </w:pict>
                </mc:Fallback>
              </mc:AlternateContent>
            </w:r>
            <w:proofErr w:type="gramStart"/>
            <w:r>
              <w:rPr>
                <w:sz w:val="20"/>
              </w:rPr>
              <w:t>Campesinos</w:t>
            </w:r>
            <w:r>
              <w:rPr>
                <w:spacing w:val="-6"/>
                <w:sz w:val="20"/>
              </w:rPr>
              <w:t xml:space="preserve"> </w:t>
            </w:r>
            <w:r>
              <w:rPr>
                <w:sz w:val="20"/>
              </w:rPr>
              <w:t>y</w:t>
            </w:r>
            <w:r>
              <w:rPr>
                <w:spacing w:val="-8"/>
                <w:sz w:val="20"/>
              </w:rPr>
              <w:t xml:space="preserve"> </w:t>
            </w:r>
            <w:r>
              <w:rPr>
                <w:spacing w:val="-2"/>
                <w:sz w:val="20"/>
              </w:rPr>
              <w:t>campesinas</w:t>
            </w:r>
            <w:proofErr w:type="gramEnd"/>
            <w:r>
              <w:rPr>
                <w:b/>
                <w:spacing w:val="-2"/>
                <w:sz w:val="20"/>
              </w:rPr>
              <w:t>,</w:t>
            </w:r>
          </w:p>
          <w:p w14:paraId="425F9AD6" w14:textId="77777777" w:rsidR="000E52B0" w:rsidRDefault="00F60D74">
            <w:pPr>
              <w:pStyle w:val="TableParagraph"/>
              <w:numPr>
                <w:ilvl w:val="0"/>
                <w:numId w:val="16"/>
              </w:numPr>
              <w:tabs>
                <w:tab w:val="left" w:pos="826"/>
              </w:tabs>
              <w:spacing w:line="242" w:lineRule="exact"/>
              <w:ind w:left="826" w:hanging="359"/>
              <w:jc w:val="both"/>
              <w:rPr>
                <w:b/>
                <w:sz w:val="20"/>
              </w:rPr>
            </w:pPr>
            <w:r>
              <w:rPr>
                <w:b/>
                <w:noProof/>
                <w:sz w:val="20"/>
              </w:rPr>
              <mc:AlternateContent>
                <mc:Choice Requires="wpg">
                  <w:drawing>
                    <wp:anchor distT="0" distB="0" distL="0" distR="0" simplePos="0" relativeHeight="482322432" behindDoc="1" locked="0" layoutInCell="1" allowOverlap="1" wp14:anchorId="1DB54138" wp14:editId="4D93B92A">
                      <wp:simplePos x="0" y="0"/>
                      <wp:positionH relativeFrom="column">
                        <wp:posOffset>2202433</wp:posOffset>
                      </wp:positionH>
                      <wp:positionV relativeFrom="paragraph">
                        <wp:posOffset>-73697</wp:posOffset>
                      </wp:positionV>
                      <wp:extent cx="47625" cy="13970"/>
                      <wp:effectExtent l="0" t="0" r="0" b="0"/>
                      <wp:wrapNone/>
                      <wp:docPr id="780"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13970"/>
                                <a:chOff x="0" y="0"/>
                                <a:chExt cx="47625" cy="13970"/>
                              </a:xfrm>
                            </wpg:grpSpPr>
                            <wps:wsp>
                              <wps:cNvPr id="781" name="Graphic 781"/>
                              <wps:cNvSpPr/>
                              <wps:spPr>
                                <a:xfrm>
                                  <a:off x="0" y="0"/>
                                  <a:ext cx="47625" cy="13970"/>
                                </a:xfrm>
                                <a:custGeom>
                                  <a:avLst/>
                                  <a:gdLst/>
                                  <a:ahLst/>
                                  <a:cxnLst/>
                                  <a:rect l="l" t="t" r="r" b="b"/>
                                  <a:pathLst>
                                    <a:path w="47625" h="13970">
                                      <a:moveTo>
                                        <a:pt x="47244" y="0"/>
                                      </a:moveTo>
                                      <a:lnTo>
                                        <a:pt x="0" y="0"/>
                                      </a:lnTo>
                                      <a:lnTo>
                                        <a:pt x="0" y="13715"/>
                                      </a:lnTo>
                                      <a:lnTo>
                                        <a:pt x="47244" y="13715"/>
                                      </a:lnTo>
                                      <a:lnTo>
                                        <a:pt x="47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3EB7D2" id="Group 780" o:spid="_x0000_s1026" style="position:absolute;margin-left:173.4pt;margin-top:-5.8pt;width:3.75pt;height:1.1pt;z-index:-20994048;mso-wrap-distance-left:0;mso-wrap-distance-right:0" coordsize="4762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">
                      <v:shape id="Graphic 781" o:spid="_x0000_s1027" style="position:absolute;width:47625;height:13970;visibility:visible;mso-wrap-style:square;v-text-anchor:top" coordsize="4762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" path="m47244,l,,,13715r47244,l47244,xe" fillcolor="black" stroked="f">
                        <v:path arrowok="t"/>
                      </v:shape>
                    </v:group>
                  </w:pict>
                </mc:Fallback>
              </mc:AlternateContent>
            </w:r>
            <w:r>
              <w:rPr>
                <w:spacing w:val="-2"/>
                <w:sz w:val="20"/>
              </w:rPr>
              <w:t>Jóvenes</w:t>
            </w:r>
            <w:r>
              <w:rPr>
                <w:b/>
                <w:spacing w:val="-2"/>
                <w:sz w:val="20"/>
              </w:rPr>
              <w:t>.</w:t>
            </w:r>
          </w:p>
          <w:p w14:paraId="68C3E572" w14:textId="77777777" w:rsidR="000E52B0" w:rsidRDefault="00F60D74">
            <w:pPr>
              <w:pStyle w:val="TableParagraph"/>
              <w:numPr>
                <w:ilvl w:val="0"/>
                <w:numId w:val="16"/>
              </w:numPr>
              <w:tabs>
                <w:tab w:val="left" w:pos="827"/>
              </w:tabs>
              <w:ind w:right="90"/>
              <w:rPr>
                <w:b/>
                <w:sz w:val="20"/>
              </w:rPr>
            </w:pPr>
            <w:r>
              <w:rPr>
                <w:b/>
                <w:noProof/>
                <w:sz w:val="20"/>
              </w:rPr>
              <mc:AlternateContent>
                <mc:Choice Requires="wpg">
                  <w:drawing>
                    <wp:anchor distT="0" distB="0" distL="0" distR="0" simplePos="0" relativeHeight="482322944" behindDoc="1" locked="0" layoutInCell="1" allowOverlap="1" wp14:anchorId="37336676" wp14:editId="49EE8D6A">
                      <wp:simplePos x="0" y="0"/>
                      <wp:positionH relativeFrom="column">
                        <wp:posOffset>1031748</wp:posOffset>
                      </wp:positionH>
                      <wp:positionV relativeFrom="paragraph">
                        <wp:posOffset>-73485</wp:posOffset>
                      </wp:positionV>
                      <wp:extent cx="47625" cy="13970"/>
                      <wp:effectExtent l="0" t="0" r="0" b="0"/>
                      <wp:wrapNone/>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13970"/>
                                <a:chOff x="0" y="0"/>
                                <a:chExt cx="47625" cy="13970"/>
                              </a:xfrm>
                            </wpg:grpSpPr>
                            <wps:wsp>
                              <wps:cNvPr id="783" name="Graphic 783"/>
                              <wps:cNvSpPr/>
                              <wps:spPr>
                                <a:xfrm>
                                  <a:off x="0" y="0"/>
                                  <a:ext cx="47625" cy="13970"/>
                                </a:xfrm>
                                <a:custGeom>
                                  <a:avLst/>
                                  <a:gdLst/>
                                  <a:ahLst/>
                                  <a:cxnLst/>
                                  <a:rect l="l" t="t" r="r" b="b"/>
                                  <a:pathLst>
                                    <a:path w="47625" h="13970">
                                      <a:moveTo>
                                        <a:pt x="47244" y="0"/>
                                      </a:moveTo>
                                      <a:lnTo>
                                        <a:pt x="0" y="0"/>
                                      </a:lnTo>
                                      <a:lnTo>
                                        <a:pt x="0" y="13715"/>
                                      </a:lnTo>
                                      <a:lnTo>
                                        <a:pt x="47244" y="13715"/>
                                      </a:lnTo>
                                      <a:lnTo>
                                        <a:pt x="47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C8D753" id="Group 782" o:spid="_x0000_s1026" style="position:absolute;margin-left:81.25pt;margin-top:-5.8pt;width:3.75pt;height:1.1pt;z-index:-20993536;mso-wrap-distance-left:0;mso-wrap-distance-right:0" coordsize="4762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">
                      <v:shape id="Graphic 783" o:spid="_x0000_s1027" style="position:absolute;width:47625;height:13970;visibility:visible;mso-wrap-style:square;v-text-anchor:top" coordsize="4762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" path="m47244,l,,,13715r47244,l47244,xe" fillcolor="black" stroked="f">
                        <v:path arrowok="t"/>
                      </v:shape>
                    </v:group>
                  </w:pict>
                </mc:Fallback>
              </mc:AlternateContent>
            </w:r>
            <w:r>
              <w:rPr>
                <w:sz w:val="20"/>
              </w:rPr>
              <w:t>Miembros</w:t>
            </w:r>
            <w:r>
              <w:rPr>
                <w:spacing w:val="-2"/>
                <w:sz w:val="20"/>
              </w:rPr>
              <w:t xml:space="preserve"> </w:t>
            </w:r>
            <w:r>
              <w:rPr>
                <w:sz w:val="20"/>
              </w:rPr>
              <w:t>de</w:t>
            </w:r>
            <w:r>
              <w:rPr>
                <w:spacing w:val="-2"/>
                <w:sz w:val="20"/>
              </w:rPr>
              <w:t xml:space="preserve"> </w:t>
            </w:r>
            <w:r>
              <w:rPr>
                <w:sz w:val="20"/>
              </w:rPr>
              <w:t>hogares</w:t>
            </w:r>
            <w:r>
              <w:rPr>
                <w:spacing w:val="-1"/>
                <w:sz w:val="20"/>
              </w:rPr>
              <w:t xml:space="preserve"> </w:t>
            </w:r>
            <w:r>
              <w:rPr>
                <w:sz w:val="20"/>
              </w:rPr>
              <w:t>en</w:t>
            </w:r>
            <w:r>
              <w:rPr>
                <w:spacing w:val="-2"/>
                <w:sz w:val="20"/>
              </w:rPr>
              <w:t xml:space="preserve"> </w:t>
            </w:r>
            <w:r>
              <w:rPr>
                <w:sz w:val="20"/>
              </w:rPr>
              <w:t>situación</w:t>
            </w:r>
            <w:r>
              <w:rPr>
                <w:spacing w:val="-2"/>
                <w:sz w:val="20"/>
              </w:rPr>
              <w:t xml:space="preserve"> </w:t>
            </w:r>
            <w:r>
              <w:rPr>
                <w:sz w:val="20"/>
              </w:rPr>
              <w:t>de pobreza y pobreza extrema</w:t>
            </w:r>
            <w:r>
              <w:rPr>
                <w:b/>
                <w:sz w:val="20"/>
              </w:rPr>
              <w:t>.</w:t>
            </w:r>
          </w:p>
          <w:p w14:paraId="3E464139" w14:textId="77777777" w:rsidR="000E52B0" w:rsidRDefault="00F60D74">
            <w:pPr>
              <w:pStyle w:val="TableParagraph"/>
              <w:numPr>
                <w:ilvl w:val="0"/>
                <w:numId w:val="16"/>
              </w:numPr>
              <w:tabs>
                <w:tab w:val="left" w:pos="825"/>
              </w:tabs>
              <w:spacing w:before="1" w:line="243" w:lineRule="exact"/>
              <w:ind w:left="825" w:hanging="358"/>
              <w:rPr>
                <w:b/>
                <w:sz w:val="20"/>
              </w:rPr>
            </w:pPr>
            <w:r>
              <w:rPr>
                <w:b/>
                <w:noProof/>
                <w:sz w:val="20"/>
              </w:rPr>
              <mc:AlternateContent>
                <mc:Choice Requires="wpg">
                  <w:drawing>
                    <wp:anchor distT="0" distB="0" distL="0" distR="0" simplePos="0" relativeHeight="482323456" behindDoc="1" locked="0" layoutInCell="1" allowOverlap="1" wp14:anchorId="5FB3FF76" wp14:editId="175C378C">
                      <wp:simplePos x="0" y="0"/>
                      <wp:positionH relativeFrom="column">
                        <wp:posOffset>2281682</wp:posOffset>
                      </wp:positionH>
                      <wp:positionV relativeFrom="paragraph">
                        <wp:posOffset>-72850</wp:posOffset>
                      </wp:positionV>
                      <wp:extent cx="45720" cy="13970"/>
                      <wp:effectExtent l="0" t="0" r="0" b="0"/>
                      <wp:wrapNone/>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13970"/>
                                <a:chOff x="0" y="0"/>
                                <a:chExt cx="45720" cy="13970"/>
                              </a:xfrm>
                            </wpg:grpSpPr>
                            <wps:wsp>
                              <wps:cNvPr id="785" name="Graphic 785"/>
                              <wps:cNvSpPr/>
                              <wps:spPr>
                                <a:xfrm>
                                  <a:off x="0" y="0"/>
                                  <a:ext cx="45720" cy="13970"/>
                                </a:xfrm>
                                <a:custGeom>
                                  <a:avLst/>
                                  <a:gdLst/>
                                  <a:ahLst/>
                                  <a:cxnLst/>
                                  <a:rect l="l" t="t" r="r" b="b"/>
                                  <a:pathLst>
                                    <a:path w="45720" h="13970">
                                      <a:moveTo>
                                        <a:pt x="45720" y="0"/>
                                      </a:moveTo>
                                      <a:lnTo>
                                        <a:pt x="0" y="0"/>
                                      </a:lnTo>
                                      <a:lnTo>
                                        <a:pt x="0" y="13715"/>
                                      </a:lnTo>
                                      <a:lnTo>
                                        <a:pt x="45720" y="13715"/>
                                      </a:lnTo>
                                      <a:lnTo>
                                        <a:pt x="457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F453F25" id="Group 784" o:spid="_x0000_s1026" style="position:absolute;margin-left:179.65pt;margin-top:-5.75pt;width:3.6pt;height:1.1pt;z-index:-20993024;mso-wrap-distance-left:0;mso-wrap-distance-right:0" coordsize="4572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">
                      <v:shape id="Graphic 785" o:spid="_x0000_s1027" style="position:absolute;width:45720;height:13970;visibility:visible;mso-wrap-style:square;v-text-anchor:top" coordsize="4572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" path="m45720,l,,,13715r45720,l45720,xe" fillcolor="black" stroked="f">
                        <v:path arrowok="t"/>
                      </v:shape>
                    </v:group>
                  </w:pict>
                </mc:Fallback>
              </mc:AlternateContent>
            </w:r>
            <w:r>
              <w:rPr>
                <w:sz w:val="20"/>
              </w:rPr>
              <w:t>Personas</w:t>
            </w:r>
            <w:r>
              <w:rPr>
                <w:spacing w:val="-9"/>
                <w:sz w:val="20"/>
              </w:rPr>
              <w:t xml:space="preserve"> </w:t>
            </w:r>
            <w:r>
              <w:rPr>
                <w:sz w:val="20"/>
              </w:rPr>
              <w:t>con</w:t>
            </w:r>
            <w:r>
              <w:rPr>
                <w:spacing w:val="-6"/>
                <w:sz w:val="20"/>
              </w:rPr>
              <w:t xml:space="preserve"> </w:t>
            </w:r>
            <w:r>
              <w:rPr>
                <w:spacing w:val="-2"/>
                <w:sz w:val="20"/>
              </w:rPr>
              <w:t>discapacidad</w:t>
            </w:r>
            <w:r>
              <w:rPr>
                <w:b/>
                <w:spacing w:val="-2"/>
                <w:sz w:val="20"/>
              </w:rPr>
              <w:t>.</w:t>
            </w:r>
          </w:p>
          <w:p w14:paraId="2840F662" w14:textId="77777777" w:rsidR="000E52B0" w:rsidRDefault="00F60D74">
            <w:pPr>
              <w:pStyle w:val="TableParagraph"/>
              <w:numPr>
                <w:ilvl w:val="0"/>
                <w:numId w:val="16"/>
              </w:numPr>
              <w:tabs>
                <w:tab w:val="left" w:pos="825"/>
              </w:tabs>
              <w:spacing w:line="242" w:lineRule="exact"/>
              <w:ind w:left="825" w:hanging="358"/>
              <w:rPr>
                <w:b/>
                <w:sz w:val="20"/>
              </w:rPr>
            </w:pPr>
            <w:r>
              <w:rPr>
                <w:b/>
                <w:noProof/>
                <w:sz w:val="20"/>
              </w:rPr>
              <mc:AlternateContent>
                <mc:Choice Requires="wpg">
                  <w:drawing>
                    <wp:anchor distT="0" distB="0" distL="0" distR="0" simplePos="0" relativeHeight="482323968" behindDoc="1" locked="0" layoutInCell="1" allowOverlap="1" wp14:anchorId="47CBBBFE" wp14:editId="6DF7D9B6">
                      <wp:simplePos x="0" y="0"/>
                      <wp:positionH relativeFrom="column">
                        <wp:posOffset>2225294</wp:posOffset>
                      </wp:positionH>
                      <wp:positionV relativeFrom="paragraph">
                        <wp:posOffset>-73672</wp:posOffset>
                      </wp:positionV>
                      <wp:extent cx="45720" cy="13970"/>
                      <wp:effectExtent l="0" t="0" r="0" b="0"/>
                      <wp:wrapNone/>
                      <wp:docPr id="786"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13970"/>
                                <a:chOff x="0" y="0"/>
                                <a:chExt cx="45720" cy="13970"/>
                              </a:xfrm>
                            </wpg:grpSpPr>
                            <wps:wsp>
                              <wps:cNvPr id="787" name="Graphic 787"/>
                              <wps:cNvSpPr/>
                              <wps:spPr>
                                <a:xfrm>
                                  <a:off x="0" y="0"/>
                                  <a:ext cx="45720" cy="13970"/>
                                </a:xfrm>
                                <a:custGeom>
                                  <a:avLst/>
                                  <a:gdLst/>
                                  <a:ahLst/>
                                  <a:cxnLst/>
                                  <a:rect l="l" t="t" r="r" b="b"/>
                                  <a:pathLst>
                                    <a:path w="45720" h="13970">
                                      <a:moveTo>
                                        <a:pt x="45720" y="0"/>
                                      </a:moveTo>
                                      <a:lnTo>
                                        <a:pt x="0" y="0"/>
                                      </a:lnTo>
                                      <a:lnTo>
                                        <a:pt x="0" y="13715"/>
                                      </a:lnTo>
                                      <a:lnTo>
                                        <a:pt x="45720" y="13715"/>
                                      </a:lnTo>
                                      <a:lnTo>
                                        <a:pt x="457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7F23F7" id="Group 786" o:spid="_x0000_s1026" style="position:absolute;margin-left:175.2pt;margin-top:-5.8pt;width:3.6pt;height:1.1pt;z-index:-20992512;mso-wrap-distance-left:0;mso-wrap-distance-right:0" coordsize="4572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">
                      <v:shape id="Graphic 787" o:spid="_x0000_s1027" style="position:absolute;width:45720;height:13970;visibility:visible;mso-wrap-style:square;v-text-anchor:top" coordsize="4572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" path="m45720,l,,,13715r45720,l45720,xe" fillcolor="black" stroked="f">
                        <v:path arrowok="t"/>
                      </v:shape>
                    </v:group>
                  </w:pict>
                </mc:Fallback>
              </mc:AlternateContent>
            </w:r>
            <w:r>
              <w:rPr>
                <w:sz w:val="20"/>
              </w:rPr>
              <w:t>Habitantes</w:t>
            </w:r>
            <w:r>
              <w:rPr>
                <w:spacing w:val="-9"/>
                <w:sz w:val="20"/>
              </w:rPr>
              <w:t xml:space="preserve"> </w:t>
            </w:r>
            <w:r>
              <w:rPr>
                <w:sz w:val="20"/>
              </w:rPr>
              <w:t>de</w:t>
            </w:r>
            <w:r>
              <w:rPr>
                <w:spacing w:val="-7"/>
                <w:sz w:val="20"/>
              </w:rPr>
              <w:t xml:space="preserve"> </w:t>
            </w:r>
            <w:r>
              <w:rPr>
                <w:spacing w:val="-2"/>
                <w:sz w:val="20"/>
              </w:rPr>
              <w:t>calle</w:t>
            </w:r>
            <w:r>
              <w:rPr>
                <w:b/>
                <w:spacing w:val="-2"/>
                <w:sz w:val="20"/>
              </w:rPr>
              <w:t>.</w:t>
            </w:r>
          </w:p>
          <w:p w14:paraId="5F38DCCD" w14:textId="77777777" w:rsidR="000E52B0" w:rsidRDefault="00F60D74">
            <w:pPr>
              <w:pStyle w:val="TableParagraph"/>
              <w:numPr>
                <w:ilvl w:val="0"/>
                <w:numId w:val="16"/>
              </w:numPr>
              <w:tabs>
                <w:tab w:val="left" w:pos="825"/>
              </w:tabs>
              <w:spacing w:line="224" w:lineRule="exact"/>
              <w:ind w:left="825" w:hanging="358"/>
              <w:rPr>
                <w:b/>
                <w:sz w:val="20"/>
              </w:rPr>
            </w:pPr>
            <w:r>
              <w:rPr>
                <w:b/>
                <w:noProof/>
                <w:sz w:val="20"/>
              </w:rPr>
              <mc:AlternateContent>
                <mc:Choice Requires="wpg">
                  <w:drawing>
                    <wp:anchor distT="0" distB="0" distL="0" distR="0" simplePos="0" relativeHeight="482324480" behindDoc="1" locked="0" layoutInCell="1" allowOverlap="1" wp14:anchorId="5867FE2C" wp14:editId="288EBCEC">
                      <wp:simplePos x="0" y="0"/>
                      <wp:positionH relativeFrom="column">
                        <wp:posOffset>1740661</wp:posOffset>
                      </wp:positionH>
                      <wp:positionV relativeFrom="paragraph">
                        <wp:posOffset>-73646</wp:posOffset>
                      </wp:positionV>
                      <wp:extent cx="47625" cy="13970"/>
                      <wp:effectExtent l="0" t="0" r="0" b="0"/>
                      <wp:wrapNone/>
                      <wp:docPr id="788"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13970"/>
                                <a:chOff x="0" y="0"/>
                                <a:chExt cx="47625" cy="13970"/>
                              </a:xfrm>
                            </wpg:grpSpPr>
                            <wps:wsp>
                              <wps:cNvPr id="789" name="Graphic 789"/>
                              <wps:cNvSpPr/>
                              <wps:spPr>
                                <a:xfrm>
                                  <a:off x="0" y="0"/>
                                  <a:ext cx="47625" cy="13970"/>
                                </a:xfrm>
                                <a:custGeom>
                                  <a:avLst/>
                                  <a:gdLst/>
                                  <a:ahLst/>
                                  <a:cxnLst/>
                                  <a:rect l="l" t="t" r="r" b="b"/>
                                  <a:pathLst>
                                    <a:path w="47625" h="13970">
                                      <a:moveTo>
                                        <a:pt x="47244" y="0"/>
                                      </a:moveTo>
                                      <a:lnTo>
                                        <a:pt x="0" y="0"/>
                                      </a:lnTo>
                                      <a:lnTo>
                                        <a:pt x="0" y="13715"/>
                                      </a:lnTo>
                                      <a:lnTo>
                                        <a:pt x="47244" y="13715"/>
                                      </a:lnTo>
                                      <a:lnTo>
                                        <a:pt x="47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1BDFF3" id="Group 788" o:spid="_x0000_s1026" style="position:absolute;margin-left:137.05pt;margin-top:-5.8pt;width:3.75pt;height:1.1pt;z-index:-20992000;mso-wrap-distance-left:0;mso-wrap-distance-right:0" coordsize="4762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">
                      <v:shape id="Graphic 789" o:spid="_x0000_s1027" style="position:absolute;width:47625;height:13970;visibility:visible;mso-wrap-style:square;v-text-anchor:top" coordsize="4762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" path="m47244,l,,,13715r47244,l47244,xe" fillcolor="black" stroked="f">
                        <v:path arrowok="t"/>
                      </v:shape>
                    </v:group>
                  </w:pict>
                </mc:Fallback>
              </mc:AlternateContent>
            </w:r>
            <w:r>
              <w:rPr>
                <w:b/>
                <w:noProof/>
                <w:sz w:val="20"/>
              </w:rPr>
              <mc:AlternateContent>
                <mc:Choice Requires="wpg">
                  <w:drawing>
                    <wp:anchor distT="0" distB="0" distL="0" distR="0" simplePos="0" relativeHeight="482324992" behindDoc="1" locked="0" layoutInCell="1" allowOverlap="1" wp14:anchorId="06F26289" wp14:editId="1BBAC91C">
                      <wp:simplePos x="0" y="0"/>
                      <wp:positionH relativeFrom="column">
                        <wp:posOffset>2635250</wp:posOffset>
                      </wp:positionH>
                      <wp:positionV relativeFrom="paragraph">
                        <wp:posOffset>80226</wp:posOffset>
                      </wp:positionV>
                      <wp:extent cx="47625" cy="13970"/>
                      <wp:effectExtent l="0" t="0" r="0" b="0"/>
                      <wp:wrapNone/>
                      <wp:docPr id="790"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13970"/>
                                <a:chOff x="0" y="0"/>
                                <a:chExt cx="47625" cy="13970"/>
                              </a:xfrm>
                            </wpg:grpSpPr>
                            <wps:wsp>
                              <wps:cNvPr id="791" name="Graphic 791"/>
                              <wps:cNvSpPr/>
                              <wps:spPr>
                                <a:xfrm>
                                  <a:off x="0" y="0"/>
                                  <a:ext cx="47625" cy="13970"/>
                                </a:xfrm>
                                <a:custGeom>
                                  <a:avLst/>
                                  <a:gdLst/>
                                  <a:ahLst/>
                                  <a:cxnLst/>
                                  <a:rect l="l" t="t" r="r" b="b"/>
                                  <a:pathLst>
                                    <a:path w="47625" h="13970">
                                      <a:moveTo>
                                        <a:pt x="47244" y="0"/>
                                      </a:moveTo>
                                      <a:lnTo>
                                        <a:pt x="0" y="0"/>
                                      </a:lnTo>
                                      <a:lnTo>
                                        <a:pt x="0" y="13715"/>
                                      </a:lnTo>
                                      <a:lnTo>
                                        <a:pt x="47244" y="13715"/>
                                      </a:lnTo>
                                      <a:lnTo>
                                        <a:pt x="47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496FAD" id="Group 790" o:spid="_x0000_s1026" style="position:absolute;margin-left:207.5pt;margin-top:6.3pt;width:3.75pt;height:1.1pt;z-index:-20991488;mso-wrap-distance-left:0;mso-wrap-distance-right:0" coordsize="4762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">
                      <v:shape id="Graphic 791" o:spid="_x0000_s1027" style="position:absolute;width:47625;height:13970;visibility:visible;mso-wrap-style:square;v-text-anchor:top" coordsize="4762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" path="m47244,l,,,13715r47244,l47244,xe" fillcolor="black" stroked="f">
                        <v:path arrowok="t"/>
                      </v:shape>
                    </v:group>
                  </w:pict>
                </mc:Fallback>
              </mc:AlternateContent>
            </w:r>
            <w:r>
              <w:rPr>
                <w:sz w:val="20"/>
              </w:rPr>
              <w:t>Población</w:t>
            </w:r>
            <w:r>
              <w:rPr>
                <w:spacing w:val="-9"/>
                <w:sz w:val="20"/>
              </w:rPr>
              <w:t xml:space="preserve"> </w:t>
            </w:r>
            <w:r>
              <w:rPr>
                <w:sz w:val="20"/>
              </w:rPr>
              <w:t>en</w:t>
            </w:r>
            <w:r>
              <w:rPr>
                <w:spacing w:val="-8"/>
                <w:sz w:val="20"/>
              </w:rPr>
              <w:t xml:space="preserve"> </w:t>
            </w:r>
            <w:r>
              <w:rPr>
                <w:sz w:val="20"/>
              </w:rPr>
              <w:t>territorios</w:t>
            </w:r>
            <w:r>
              <w:rPr>
                <w:spacing w:val="-7"/>
                <w:sz w:val="20"/>
              </w:rPr>
              <w:t xml:space="preserve"> </w:t>
            </w:r>
            <w:r>
              <w:rPr>
                <w:spacing w:val="-2"/>
                <w:sz w:val="20"/>
              </w:rPr>
              <w:t>excluidos</w:t>
            </w:r>
            <w:r>
              <w:rPr>
                <w:b/>
                <w:spacing w:val="-2"/>
                <w:sz w:val="20"/>
              </w:rPr>
              <w:t>.</w:t>
            </w:r>
          </w:p>
        </w:tc>
        <w:tc>
          <w:tcPr>
            <w:tcW w:w="3809" w:type="dxa"/>
          </w:tcPr>
          <w:p w14:paraId="237B7E17" w14:textId="77777777" w:rsidR="000E52B0" w:rsidRDefault="00F60D74">
            <w:pPr>
              <w:pStyle w:val="TableParagraph"/>
              <w:numPr>
                <w:ilvl w:val="0"/>
                <w:numId w:val="15"/>
              </w:numPr>
              <w:tabs>
                <w:tab w:val="left" w:pos="379"/>
              </w:tabs>
              <w:spacing w:before="2"/>
              <w:ind w:right="88"/>
              <w:jc w:val="both"/>
              <w:rPr>
                <w:sz w:val="20"/>
              </w:rPr>
            </w:pPr>
            <w:r>
              <w:rPr>
                <w:sz w:val="20"/>
              </w:rPr>
              <w:t xml:space="preserve">Se hacen ajustes de redacción para una mayor claridad del </w:t>
            </w:r>
            <w:r>
              <w:rPr>
                <w:spacing w:val="-2"/>
                <w:sz w:val="20"/>
              </w:rPr>
              <w:t>artículo.</w:t>
            </w:r>
          </w:p>
          <w:p w14:paraId="53A0F51F" w14:textId="77777777" w:rsidR="000E52B0" w:rsidRDefault="00F60D74">
            <w:pPr>
              <w:pStyle w:val="TableParagraph"/>
              <w:numPr>
                <w:ilvl w:val="0"/>
                <w:numId w:val="15"/>
              </w:numPr>
              <w:tabs>
                <w:tab w:val="left" w:pos="379"/>
              </w:tabs>
              <w:spacing w:before="1"/>
              <w:ind w:right="90"/>
              <w:jc w:val="both"/>
              <w:rPr>
                <w:sz w:val="20"/>
              </w:rPr>
            </w:pPr>
            <w:r>
              <w:rPr>
                <w:sz w:val="20"/>
              </w:rPr>
              <w:t xml:space="preserve">Se organizan las poblaciones en </w:t>
            </w:r>
            <w:r>
              <w:rPr>
                <w:spacing w:val="-2"/>
                <w:sz w:val="20"/>
              </w:rPr>
              <w:t>literales.</w:t>
            </w:r>
          </w:p>
          <w:p w14:paraId="60E88C03" w14:textId="77777777" w:rsidR="000E52B0" w:rsidRDefault="00F60D74">
            <w:pPr>
              <w:pStyle w:val="TableParagraph"/>
              <w:numPr>
                <w:ilvl w:val="0"/>
                <w:numId w:val="15"/>
              </w:numPr>
              <w:tabs>
                <w:tab w:val="left" w:pos="379"/>
              </w:tabs>
              <w:ind w:right="88"/>
              <w:jc w:val="both"/>
              <w:rPr>
                <w:sz w:val="20"/>
              </w:rPr>
            </w:pPr>
            <w:r>
              <w:rPr>
                <w:sz w:val="20"/>
              </w:rPr>
              <w:t>Se escriben en mayúscula inicial las poblaciones étnicas.</w:t>
            </w:r>
          </w:p>
        </w:tc>
      </w:tr>
    </w:tbl>
    <w:p w14:paraId="261617E8" w14:textId="77777777" w:rsidR="000E52B0" w:rsidRDefault="000E52B0">
      <w:pPr>
        <w:pStyle w:val="TableParagraph"/>
        <w:jc w:val="both"/>
        <w:rPr>
          <w:sz w:val="20"/>
        </w:rPr>
        <w:sectPr w:rsidR="000E52B0">
          <w:pgSz w:w="16840" w:h="11910" w:orient="landscape"/>
          <w:pgMar w:top="1340" w:right="1800" w:bottom="1180" w:left="1440" w:header="0" w:footer="995" w:gutter="0"/>
          <w:cols w:space="720"/>
        </w:sectPr>
      </w:pPr>
    </w:p>
    <w:p w14:paraId="389FDC59" w14:textId="77777777" w:rsidR="000E52B0" w:rsidRDefault="000E52B0">
      <w:pPr>
        <w:pStyle w:val="Textoindependiente"/>
        <w:spacing w:before="8" w:after="1"/>
        <w:ind w:left="0"/>
        <w:rPr>
          <w:b/>
          <w:sz w:val="7"/>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12"/>
        <w:gridCol w:w="4723"/>
        <w:gridCol w:w="3809"/>
      </w:tblGrid>
      <w:tr w:rsidR="000E52B0" w14:paraId="361B6332" w14:textId="77777777">
        <w:trPr>
          <w:trHeight w:val="1458"/>
        </w:trPr>
        <w:tc>
          <w:tcPr>
            <w:tcW w:w="4712" w:type="dxa"/>
          </w:tcPr>
          <w:p w14:paraId="67D51D98" w14:textId="77777777" w:rsidR="000E52B0" w:rsidRDefault="00F60D74">
            <w:pPr>
              <w:pStyle w:val="TableParagraph"/>
              <w:ind w:left="107" w:right="1998"/>
              <w:rPr>
                <w:sz w:val="20"/>
              </w:rPr>
            </w:pPr>
            <w:r>
              <w:rPr>
                <w:color w:val="333333"/>
                <w:sz w:val="20"/>
              </w:rPr>
              <w:t>Mujeres</w:t>
            </w:r>
            <w:r>
              <w:rPr>
                <w:color w:val="333333"/>
                <w:spacing w:val="-14"/>
                <w:sz w:val="20"/>
              </w:rPr>
              <w:t xml:space="preserve"> </w:t>
            </w:r>
            <w:r>
              <w:rPr>
                <w:color w:val="333333"/>
                <w:sz w:val="20"/>
              </w:rPr>
              <w:t>cabeza</w:t>
            </w:r>
            <w:r>
              <w:rPr>
                <w:color w:val="333333"/>
                <w:spacing w:val="-15"/>
                <w:sz w:val="20"/>
              </w:rPr>
              <w:t xml:space="preserve"> </w:t>
            </w:r>
            <w:r>
              <w:rPr>
                <w:color w:val="333333"/>
                <w:sz w:val="20"/>
              </w:rPr>
              <w:t>de</w:t>
            </w:r>
            <w:r>
              <w:rPr>
                <w:color w:val="333333"/>
                <w:spacing w:val="-14"/>
                <w:sz w:val="20"/>
              </w:rPr>
              <w:t xml:space="preserve"> </w:t>
            </w:r>
            <w:r>
              <w:rPr>
                <w:color w:val="333333"/>
                <w:sz w:val="20"/>
              </w:rPr>
              <w:t>familia Adultos Mayores</w:t>
            </w:r>
            <w:r>
              <w:rPr>
                <w:color w:val="333333"/>
                <w:spacing w:val="80"/>
                <w:sz w:val="20"/>
              </w:rPr>
              <w:t xml:space="preserve"> </w:t>
            </w:r>
            <w:r>
              <w:rPr>
                <w:color w:val="333333"/>
                <w:spacing w:val="-2"/>
                <w:sz w:val="20"/>
              </w:rPr>
              <w:t>Familias.</w:t>
            </w:r>
          </w:p>
          <w:p w14:paraId="75DD3332" w14:textId="77777777" w:rsidR="000E52B0" w:rsidRDefault="00F60D74">
            <w:pPr>
              <w:pStyle w:val="TableParagraph"/>
              <w:spacing w:line="243" w:lineRule="exact"/>
              <w:ind w:left="107"/>
              <w:rPr>
                <w:sz w:val="20"/>
              </w:rPr>
            </w:pPr>
            <w:r>
              <w:rPr>
                <w:color w:val="333333"/>
                <w:spacing w:val="-2"/>
                <w:sz w:val="20"/>
              </w:rPr>
              <w:t>Niñez.</w:t>
            </w:r>
          </w:p>
          <w:p w14:paraId="42020358" w14:textId="77777777" w:rsidR="000E52B0" w:rsidRDefault="00F60D74">
            <w:pPr>
              <w:pStyle w:val="TableParagraph"/>
              <w:tabs>
                <w:tab w:val="left" w:pos="1360"/>
                <w:tab w:val="left" w:pos="2571"/>
                <w:tab w:val="left" w:pos="3664"/>
              </w:tabs>
              <w:spacing w:line="244" w:lineRule="exact"/>
              <w:ind w:left="107" w:right="96"/>
              <w:rPr>
                <w:sz w:val="20"/>
              </w:rPr>
            </w:pPr>
            <w:r>
              <w:rPr>
                <w:color w:val="333333"/>
                <w:spacing w:val="-2"/>
                <w:sz w:val="20"/>
              </w:rPr>
              <w:t>Población</w:t>
            </w:r>
            <w:r>
              <w:rPr>
                <w:color w:val="333333"/>
                <w:sz w:val="20"/>
              </w:rPr>
              <w:tab/>
            </w:r>
            <w:r>
              <w:rPr>
                <w:color w:val="333333"/>
                <w:spacing w:val="-2"/>
                <w:sz w:val="20"/>
              </w:rPr>
              <w:t>migrante</w:t>
            </w:r>
            <w:r>
              <w:rPr>
                <w:color w:val="333333"/>
                <w:sz w:val="20"/>
              </w:rPr>
              <w:tab/>
            </w:r>
            <w:r>
              <w:rPr>
                <w:color w:val="333333"/>
                <w:spacing w:val="-2"/>
                <w:sz w:val="20"/>
              </w:rPr>
              <w:t>regular,</w:t>
            </w:r>
            <w:r>
              <w:rPr>
                <w:color w:val="333333"/>
                <w:sz w:val="20"/>
              </w:rPr>
              <w:tab/>
            </w:r>
            <w:r>
              <w:rPr>
                <w:color w:val="333333"/>
                <w:spacing w:val="-2"/>
                <w:sz w:val="20"/>
              </w:rPr>
              <w:t xml:space="preserve">irregular, </w:t>
            </w:r>
            <w:r>
              <w:rPr>
                <w:color w:val="333333"/>
                <w:sz w:val="20"/>
              </w:rPr>
              <w:t>refugiado, en tránsito y retornado.</w:t>
            </w:r>
          </w:p>
        </w:tc>
        <w:tc>
          <w:tcPr>
            <w:tcW w:w="4723" w:type="dxa"/>
          </w:tcPr>
          <w:p w14:paraId="62471C4F" w14:textId="77777777" w:rsidR="000E52B0" w:rsidRDefault="00F60D74">
            <w:pPr>
              <w:pStyle w:val="TableParagraph"/>
              <w:numPr>
                <w:ilvl w:val="0"/>
                <w:numId w:val="14"/>
              </w:numPr>
              <w:tabs>
                <w:tab w:val="left" w:pos="825"/>
              </w:tabs>
              <w:ind w:left="825" w:hanging="358"/>
              <w:rPr>
                <w:sz w:val="20"/>
              </w:rPr>
            </w:pPr>
            <w:r>
              <w:rPr>
                <w:sz w:val="20"/>
              </w:rPr>
              <w:t>Mujeres</w:t>
            </w:r>
            <w:r>
              <w:rPr>
                <w:spacing w:val="-6"/>
                <w:sz w:val="20"/>
              </w:rPr>
              <w:t xml:space="preserve"> </w:t>
            </w:r>
            <w:r>
              <w:rPr>
                <w:sz w:val="20"/>
              </w:rPr>
              <w:t>cabeza</w:t>
            </w:r>
            <w:r>
              <w:rPr>
                <w:spacing w:val="-7"/>
                <w:sz w:val="20"/>
              </w:rPr>
              <w:t xml:space="preserve"> </w:t>
            </w:r>
            <w:r>
              <w:rPr>
                <w:sz w:val="20"/>
              </w:rPr>
              <w:t>de</w:t>
            </w:r>
            <w:r>
              <w:rPr>
                <w:spacing w:val="-6"/>
                <w:sz w:val="20"/>
              </w:rPr>
              <w:t xml:space="preserve"> </w:t>
            </w:r>
            <w:r>
              <w:rPr>
                <w:spacing w:val="-2"/>
                <w:sz w:val="20"/>
              </w:rPr>
              <w:t>familia</w:t>
            </w:r>
          </w:p>
          <w:p w14:paraId="5D15FEA1" w14:textId="77777777" w:rsidR="000E52B0" w:rsidRDefault="00F60D74">
            <w:pPr>
              <w:pStyle w:val="TableParagraph"/>
              <w:numPr>
                <w:ilvl w:val="0"/>
                <w:numId w:val="14"/>
              </w:numPr>
              <w:tabs>
                <w:tab w:val="left" w:pos="825"/>
              </w:tabs>
              <w:spacing w:before="2" w:line="243" w:lineRule="exact"/>
              <w:ind w:left="825" w:hanging="358"/>
              <w:rPr>
                <w:sz w:val="20"/>
              </w:rPr>
            </w:pPr>
            <w:r>
              <w:rPr>
                <w:sz w:val="20"/>
              </w:rPr>
              <w:t>Adultos</w:t>
            </w:r>
            <w:r>
              <w:rPr>
                <w:spacing w:val="-11"/>
                <w:sz w:val="20"/>
              </w:rPr>
              <w:t xml:space="preserve"> </w:t>
            </w:r>
            <w:r>
              <w:rPr>
                <w:b/>
                <w:spacing w:val="-2"/>
                <w:sz w:val="20"/>
                <w:u w:val="single"/>
              </w:rPr>
              <w:t>m</w:t>
            </w:r>
            <w:r>
              <w:rPr>
                <w:spacing w:val="-2"/>
                <w:sz w:val="20"/>
              </w:rPr>
              <w:t>ayores</w:t>
            </w:r>
          </w:p>
          <w:p w14:paraId="2FD650F6" w14:textId="77777777" w:rsidR="000E52B0" w:rsidRDefault="00F60D74">
            <w:pPr>
              <w:pStyle w:val="TableParagraph"/>
              <w:numPr>
                <w:ilvl w:val="0"/>
                <w:numId w:val="14"/>
              </w:numPr>
              <w:tabs>
                <w:tab w:val="left" w:pos="825"/>
              </w:tabs>
              <w:spacing w:line="242" w:lineRule="exact"/>
              <w:ind w:left="825" w:hanging="358"/>
              <w:rPr>
                <w:b/>
                <w:sz w:val="20"/>
              </w:rPr>
            </w:pPr>
            <w:r>
              <w:rPr>
                <w:spacing w:val="-2"/>
                <w:sz w:val="20"/>
              </w:rPr>
              <w:t>Familias</w:t>
            </w:r>
            <w:r>
              <w:rPr>
                <w:b/>
                <w:spacing w:val="-2"/>
                <w:sz w:val="20"/>
              </w:rPr>
              <w:t>.</w:t>
            </w:r>
          </w:p>
          <w:p w14:paraId="4BECCB7A" w14:textId="77777777" w:rsidR="000E52B0" w:rsidRDefault="00F60D74">
            <w:pPr>
              <w:pStyle w:val="TableParagraph"/>
              <w:numPr>
                <w:ilvl w:val="0"/>
                <w:numId w:val="14"/>
              </w:numPr>
              <w:tabs>
                <w:tab w:val="left" w:pos="826"/>
              </w:tabs>
              <w:spacing w:line="242" w:lineRule="exact"/>
              <w:ind w:left="826" w:hanging="359"/>
              <w:rPr>
                <w:b/>
                <w:sz w:val="20"/>
              </w:rPr>
            </w:pPr>
            <w:r>
              <w:rPr>
                <w:b/>
                <w:noProof/>
                <w:sz w:val="20"/>
              </w:rPr>
              <mc:AlternateContent>
                <mc:Choice Requires="wpg">
                  <w:drawing>
                    <wp:anchor distT="0" distB="0" distL="0" distR="0" simplePos="0" relativeHeight="482325504" behindDoc="1" locked="0" layoutInCell="1" allowOverlap="1" wp14:anchorId="67C1F882" wp14:editId="17677C0E">
                      <wp:simplePos x="0" y="0"/>
                      <wp:positionH relativeFrom="column">
                        <wp:posOffset>1045464</wp:posOffset>
                      </wp:positionH>
                      <wp:positionV relativeFrom="paragraph">
                        <wp:posOffset>-73697</wp:posOffset>
                      </wp:positionV>
                      <wp:extent cx="45720" cy="13970"/>
                      <wp:effectExtent l="0" t="0" r="0" b="0"/>
                      <wp:wrapNone/>
                      <wp:docPr id="792"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13970"/>
                                <a:chOff x="0" y="0"/>
                                <a:chExt cx="45720" cy="13970"/>
                              </a:xfrm>
                            </wpg:grpSpPr>
                            <wps:wsp>
                              <wps:cNvPr id="793" name="Graphic 793"/>
                              <wps:cNvSpPr/>
                              <wps:spPr>
                                <a:xfrm>
                                  <a:off x="0" y="0"/>
                                  <a:ext cx="45720" cy="13970"/>
                                </a:xfrm>
                                <a:custGeom>
                                  <a:avLst/>
                                  <a:gdLst/>
                                  <a:ahLst/>
                                  <a:cxnLst/>
                                  <a:rect l="l" t="t" r="r" b="b"/>
                                  <a:pathLst>
                                    <a:path w="45720" h="13970">
                                      <a:moveTo>
                                        <a:pt x="45720" y="0"/>
                                      </a:moveTo>
                                      <a:lnTo>
                                        <a:pt x="0" y="0"/>
                                      </a:lnTo>
                                      <a:lnTo>
                                        <a:pt x="0" y="13715"/>
                                      </a:lnTo>
                                      <a:lnTo>
                                        <a:pt x="45720" y="13715"/>
                                      </a:lnTo>
                                      <a:lnTo>
                                        <a:pt x="457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3D9EC7" id="Group 792" o:spid="_x0000_s1026" style="position:absolute;margin-left:82.3pt;margin-top:-5.8pt;width:3.6pt;height:1.1pt;z-index:-20990976;mso-wrap-distance-left:0;mso-wrap-distance-right:0" coordsize="4572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">
                      <v:shape id="Graphic 793" o:spid="_x0000_s1027" style="position:absolute;width:45720;height:13970;visibility:visible;mso-wrap-style:square;v-text-anchor:top" coordsize="4572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" path="m45720,l,,,13715r45720,l45720,xe" fillcolor="black" stroked="f">
                        <v:path arrowok="t"/>
                      </v:shape>
                    </v:group>
                  </w:pict>
                </mc:Fallback>
              </mc:AlternateContent>
            </w:r>
            <w:r>
              <w:rPr>
                <w:spacing w:val="-2"/>
                <w:sz w:val="20"/>
              </w:rPr>
              <w:t>Niñez</w:t>
            </w:r>
            <w:r>
              <w:rPr>
                <w:b/>
                <w:spacing w:val="-2"/>
                <w:sz w:val="20"/>
              </w:rPr>
              <w:t>.</w:t>
            </w:r>
          </w:p>
          <w:p w14:paraId="5646E68E" w14:textId="77777777" w:rsidR="000E52B0" w:rsidRDefault="00F60D74">
            <w:pPr>
              <w:pStyle w:val="TableParagraph"/>
              <w:numPr>
                <w:ilvl w:val="0"/>
                <w:numId w:val="14"/>
              </w:numPr>
              <w:tabs>
                <w:tab w:val="left" w:pos="825"/>
                <w:tab w:val="left" w:pos="827"/>
              </w:tabs>
              <w:spacing w:line="244" w:lineRule="exact"/>
              <w:ind w:right="90"/>
              <w:rPr>
                <w:b/>
                <w:sz w:val="20"/>
              </w:rPr>
            </w:pPr>
            <w:r>
              <w:rPr>
                <w:b/>
                <w:noProof/>
                <w:sz w:val="20"/>
              </w:rPr>
              <mc:AlternateContent>
                <mc:Choice Requires="wpg">
                  <w:drawing>
                    <wp:anchor distT="0" distB="0" distL="0" distR="0" simplePos="0" relativeHeight="482326016" behindDoc="1" locked="0" layoutInCell="1" allowOverlap="1" wp14:anchorId="780EDCFB" wp14:editId="6D40765A">
                      <wp:simplePos x="0" y="0"/>
                      <wp:positionH relativeFrom="column">
                        <wp:posOffset>877824</wp:posOffset>
                      </wp:positionH>
                      <wp:positionV relativeFrom="paragraph">
                        <wp:posOffset>-73786</wp:posOffset>
                      </wp:positionV>
                      <wp:extent cx="45720" cy="13970"/>
                      <wp:effectExtent l="0" t="0" r="0" b="0"/>
                      <wp:wrapNone/>
                      <wp:docPr id="794"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13970"/>
                                <a:chOff x="0" y="0"/>
                                <a:chExt cx="45720" cy="13970"/>
                              </a:xfrm>
                            </wpg:grpSpPr>
                            <wps:wsp>
                              <wps:cNvPr id="795" name="Graphic 795"/>
                              <wps:cNvSpPr/>
                              <wps:spPr>
                                <a:xfrm>
                                  <a:off x="0" y="0"/>
                                  <a:ext cx="45720" cy="13970"/>
                                </a:xfrm>
                                <a:custGeom>
                                  <a:avLst/>
                                  <a:gdLst/>
                                  <a:ahLst/>
                                  <a:cxnLst/>
                                  <a:rect l="l" t="t" r="r" b="b"/>
                                  <a:pathLst>
                                    <a:path w="45720" h="13970">
                                      <a:moveTo>
                                        <a:pt x="45720" y="0"/>
                                      </a:moveTo>
                                      <a:lnTo>
                                        <a:pt x="0" y="0"/>
                                      </a:lnTo>
                                      <a:lnTo>
                                        <a:pt x="0" y="13715"/>
                                      </a:lnTo>
                                      <a:lnTo>
                                        <a:pt x="45720" y="13715"/>
                                      </a:lnTo>
                                      <a:lnTo>
                                        <a:pt x="457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9B9C123" id="Group 794" o:spid="_x0000_s1026" style="position:absolute;margin-left:69.1pt;margin-top:-5.8pt;width:3.6pt;height:1.1pt;z-index:-20990464;mso-wrap-distance-left:0;mso-wrap-distance-right:0" coordsize="4572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">
                      <v:shape id="Graphic 795" o:spid="_x0000_s1027" style="position:absolute;width:45720;height:13970;visibility:visible;mso-wrap-style:square;v-text-anchor:top" coordsize="4572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" path="m45720,l,,,13715r45720,l45720,xe" fillcolor="black" stroked="f">
                        <v:path arrowok="t"/>
                      </v:shape>
                    </v:group>
                  </w:pict>
                </mc:Fallback>
              </mc:AlternateContent>
            </w:r>
            <w:r>
              <w:rPr>
                <w:b/>
                <w:noProof/>
                <w:sz w:val="20"/>
              </w:rPr>
              <mc:AlternateContent>
                <mc:Choice Requires="wpg">
                  <w:drawing>
                    <wp:anchor distT="0" distB="0" distL="0" distR="0" simplePos="0" relativeHeight="482326528" behindDoc="1" locked="0" layoutInCell="1" allowOverlap="1" wp14:anchorId="5D094D8F" wp14:editId="48F15252">
                      <wp:simplePos x="0" y="0"/>
                      <wp:positionH relativeFrom="column">
                        <wp:posOffset>2705354</wp:posOffset>
                      </wp:positionH>
                      <wp:positionV relativeFrom="paragraph">
                        <wp:posOffset>235585</wp:posOffset>
                      </wp:positionV>
                      <wp:extent cx="47625" cy="13970"/>
                      <wp:effectExtent l="0" t="0" r="0" b="0"/>
                      <wp:wrapNone/>
                      <wp:docPr id="79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13970"/>
                                <a:chOff x="0" y="0"/>
                                <a:chExt cx="47625" cy="13970"/>
                              </a:xfrm>
                            </wpg:grpSpPr>
                            <wps:wsp>
                              <wps:cNvPr id="797" name="Graphic 797"/>
                              <wps:cNvSpPr/>
                              <wps:spPr>
                                <a:xfrm>
                                  <a:off x="0" y="0"/>
                                  <a:ext cx="47625" cy="13970"/>
                                </a:xfrm>
                                <a:custGeom>
                                  <a:avLst/>
                                  <a:gdLst/>
                                  <a:ahLst/>
                                  <a:cxnLst/>
                                  <a:rect l="l" t="t" r="r" b="b"/>
                                  <a:pathLst>
                                    <a:path w="47625" h="13970">
                                      <a:moveTo>
                                        <a:pt x="47244" y="0"/>
                                      </a:moveTo>
                                      <a:lnTo>
                                        <a:pt x="0" y="0"/>
                                      </a:lnTo>
                                      <a:lnTo>
                                        <a:pt x="0" y="13715"/>
                                      </a:lnTo>
                                      <a:lnTo>
                                        <a:pt x="47244" y="13715"/>
                                      </a:lnTo>
                                      <a:lnTo>
                                        <a:pt x="47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A38778" id="Group 796" o:spid="_x0000_s1026" style="position:absolute;margin-left:213pt;margin-top:18.55pt;width:3.75pt;height:1.1pt;z-index:-20989952;mso-wrap-distance-left:0;mso-wrap-distance-right:0" coordsize="4762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">
                      <v:shape id="Graphic 797" o:spid="_x0000_s1027" style="position:absolute;width:47625;height:13970;visibility:visible;mso-wrap-style:square;v-text-anchor:top" coordsize="4762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" path="m47244,l,,,13715r47244,l47244,xe" fillcolor="black" stroked="f">
                        <v:path arrowok="t"/>
                      </v:shape>
                    </v:group>
                  </w:pict>
                </mc:Fallback>
              </mc:AlternateContent>
            </w:r>
            <w:r>
              <w:rPr>
                <w:sz w:val="20"/>
              </w:rPr>
              <w:t>Población</w:t>
            </w:r>
            <w:r>
              <w:rPr>
                <w:spacing w:val="-11"/>
                <w:sz w:val="20"/>
              </w:rPr>
              <w:t xml:space="preserve"> </w:t>
            </w:r>
            <w:r>
              <w:rPr>
                <w:sz w:val="20"/>
              </w:rPr>
              <w:t>migrante</w:t>
            </w:r>
            <w:r>
              <w:rPr>
                <w:spacing w:val="-11"/>
                <w:sz w:val="20"/>
              </w:rPr>
              <w:t xml:space="preserve"> </w:t>
            </w:r>
            <w:r>
              <w:rPr>
                <w:sz w:val="20"/>
              </w:rPr>
              <w:t>regular,</w:t>
            </w:r>
            <w:r>
              <w:rPr>
                <w:spacing w:val="-12"/>
                <w:sz w:val="20"/>
              </w:rPr>
              <w:t xml:space="preserve"> </w:t>
            </w:r>
            <w:r>
              <w:rPr>
                <w:sz w:val="20"/>
              </w:rPr>
              <w:t>irregular, refugiado, en tránsito y retornad</w:t>
            </w:r>
            <w:r>
              <w:rPr>
                <w:b/>
                <w:sz w:val="20"/>
              </w:rPr>
              <w:t>o.</w:t>
            </w:r>
          </w:p>
        </w:tc>
        <w:tc>
          <w:tcPr>
            <w:tcW w:w="3809" w:type="dxa"/>
          </w:tcPr>
          <w:p w14:paraId="7907AA40" w14:textId="77777777" w:rsidR="000E52B0" w:rsidRDefault="000E52B0">
            <w:pPr>
              <w:pStyle w:val="TableParagraph"/>
              <w:rPr>
                <w:rFonts w:ascii="Times New Roman"/>
                <w:sz w:val="18"/>
              </w:rPr>
            </w:pPr>
          </w:p>
        </w:tc>
      </w:tr>
      <w:tr w:rsidR="000E52B0" w14:paraId="1F33EE0F" w14:textId="77777777">
        <w:trPr>
          <w:trHeight w:val="7292"/>
        </w:trPr>
        <w:tc>
          <w:tcPr>
            <w:tcW w:w="4712" w:type="dxa"/>
          </w:tcPr>
          <w:p w14:paraId="53B93813" w14:textId="77777777" w:rsidR="000E52B0" w:rsidRDefault="00F60D74">
            <w:pPr>
              <w:pStyle w:val="TableParagraph"/>
              <w:spacing w:line="242" w:lineRule="auto"/>
              <w:ind w:left="107" w:right="90"/>
              <w:jc w:val="both"/>
              <w:rPr>
                <w:sz w:val="20"/>
              </w:rPr>
            </w:pPr>
            <w:r>
              <w:rPr>
                <w:b/>
                <w:color w:val="333333"/>
                <w:sz w:val="20"/>
              </w:rPr>
              <w:t xml:space="preserve">ARTICULO 6. CREACIÓN DEL SISTEMA </w:t>
            </w:r>
            <w:proofErr w:type="gramStart"/>
            <w:r>
              <w:rPr>
                <w:b/>
                <w:color w:val="333333"/>
                <w:sz w:val="20"/>
              </w:rPr>
              <w:t>NACIONAL</w:t>
            </w:r>
            <w:r>
              <w:rPr>
                <w:b/>
                <w:color w:val="333333"/>
                <w:spacing w:val="50"/>
                <w:sz w:val="20"/>
              </w:rPr>
              <w:t xml:space="preserve">  </w:t>
            </w:r>
            <w:r>
              <w:rPr>
                <w:b/>
                <w:color w:val="333333"/>
                <w:sz w:val="20"/>
              </w:rPr>
              <w:t>DE</w:t>
            </w:r>
            <w:proofErr w:type="gramEnd"/>
            <w:r>
              <w:rPr>
                <w:b/>
                <w:color w:val="333333"/>
                <w:spacing w:val="50"/>
                <w:sz w:val="20"/>
              </w:rPr>
              <w:t xml:space="preserve">  </w:t>
            </w:r>
            <w:r>
              <w:rPr>
                <w:b/>
                <w:color w:val="333333"/>
                <w:sz w:val="20"/>
              </w:rPr>
              <w:t>CUIDADO.</w:t>
            </w:r>
            <w:r>
              <w:rPr>
                <w:b/>
                <w:color w:val="333333"/>
                <w:spacing w:val="51"/>
                <w:sz w:val="20"/>
              </w:rPr>
              <w:t xml:space="preserve">  </w:t>
            </w:r>
            <w:proofErr w:type="gramStart"/>
            <w:r>
              <w:rPr>
                <w:color w:val="333333"/>
                <w:sz w:val="20"/>
              </w:rPr>
              <w:t>Créase</w:t>
            </w:r>
            <w:r>
              <w:rPr>
                <w:color w:val="333333"/>
                <w:spacing w:val="49"/>
                <w:sz w:val="20"/>
              </w:rPr>
              <w:t xml:space="preserve">  </w:t>
            </w:r>
            <w:r>
              <w:rPr>
                <w:color w:val="333333"/>
                <w:spacing w:val="-5"/>
                <w:sz w:val="20"/>
              </w:rPr>
              <w:t>el</w:t>
            </w:r>
            <w:proofErr w:type="gramEnd"/>
          </w:p>
          <w:p w14:paraId="03A9129D" w14:textId="77777777" w:rsidR="000E52B0" w:rsidRDefault="00F60D74">
            <w:pPr>
              <w:pStyle w:val="TableParagraph"/>
              <w:ind w:left="107" w:right="91"/>
              <w:jc w:val="both"/>
              <w:rPr>
                <w:sz w:val="20"/>
              </w:rPr>
            </w:pPr>
            <w:r>
              <w:rPr>
                <w:color w:val="333333"/>
                <w:sz w:val="20"/>
              </w:rPr>
              <w:t>Sistema Nacional de Cuidado, mediante el cual se articulan servicios, regulaciones, políticas</w:t>
            </w:r>
            <w:r>
              <w:rPr>
                <w:color w:val="333333"/>
                <w:spacing w:val="-9"/>
                <w:sz w:val="20"/>
              </w:rPr>
              <w:t xml:space="preserve"> </w:t>
            </w:r>
            <w:r>
              <w:rPr>
                <w:color w:val="333333"/>
                <w:sz w:val="20"/>
              </w:rPr>
              <w:t>y</w:t>
            </w:r>
            <w:r>
              <w:rPr>
                <w:color w:val="333333"/>
                <w:spacing w:val="-12"/>
                <w:sz w:val="20"/>
              </w:rPr>
              <w:t xml:space="preserve"> </w:t>
            </w:r>
            <w:r>
              <w:rPr>
                <w:color w:val="333333"/>
                <w:sz w:val="20"/>
              </w:rPr>
              <w:t>acciones</w:t>
            </w:r>
            <w:r>
              <w:rPr>
                <w:color w:val="333333"/>
                <w:spacing w:val="-10"/>
                <w:sz w:val="20"/>
              </w:rPr>
              <w:t xml:space="preserve"> </w:t>
            </w:r>
            <w:r>
              <w:rPr>
                <w:color w:val="333333"/>
                <w:sz w:val="20"/>
              </w:rPr>
              <w:t>técnicas</w:t>
            </w:r>
            <w:r>
              <w:rPr>
                <w:color w:val="333333"/>
                <w:spacing w:val="-9"/>
                <w:sz w:val="20"/>
              </w:rPr>
              <w:t xml:space="preserve"> </w:t>
            </w:r>
            <w:r>
              <w:rPr>
                <w:color w:val="333333"/>
                <w:sz w:val="20"/>
              </w:rPr>
              <w:t>e</w:t>
            </w:r>
            <w:r>
              <w:rPr>
                <w:color w:val="333333"/>
                <w:spacing w:val="-13"/>
                <w:sz w:val="20"/>
              </w:rPr>
              <w:t xml:space="preserve"> </w:t>
            </w:r>
            <w:r>
              <w:rPr>
                <w:color w:val="333333"/>
                <w:sz w:val="20"/>
              </w:rPr>
              <w:t xml:space="preserve">institucionales existentes y nuevas, con el objeto de dar respuesta a las demandas de cuidado de los hogares de manera corresponsable entre la </w:t>
            </w:r>
            <w:r>
              <w:rPr>
                <w:color w:val="333333"/>
                <w:spacing w:val="-2"/>
                <w:sz w:val="20"/>
              </w:rPr>
              <w:t>nación,</w:t>
            </w:r>
            <w:r>
              <w:rPr>
                <w:color w:val="333333"/>
                <w:spacing w:val="-12"/>
                <w:sz w:val="20"/>
              </w:rPr>
              <w:t xml:space="preserve"> </w:t>
            </w:r>
            <w:r>
              <w:rPr>
                <w:color w:val="333333"/>
                <w:spacing w:val="-2"/>
                <w:sz w:val="20"/>
              </w:rPr>
              <w:t>el</w:t>
            </w:r>
            <w:r>
              <w:rPr>
                <w:color w:val="333333"/>
                <w:spacing w:val="-9"/>
                <w:sz w:val="20"/>
              </w:rPr>
              <w:t xml:space="preserve"> </w:t>
            </w:r>
            <w:r>
              <w:rPr>
                <w:color w:val="333333"/>
                <w:spacing w:val="-2"/>
                <w:sz w:val="20"/>
              </w:rPr>
              <w:t>sector</w:t>
            </w:r>
            <w:r>
              <w:rPr>
                <w:color w:val="333333"/>
                <w:spacing w:val="-13"/>
                <w:sz w:val="20"/>
              </w:rPr>
              <w:t xml:space="preserve"> </w:t>
            </w:r>
            <w:r>
              <w:rPr>
                <w:color w:val="333333"/>
                <w:spacing w:val="-2"/>
                <w:sz w:val="20"/>
              </w:rPr>
              <w:t>privado,</w:t>
            </w:r>
            <w:r>
              <w:rPr>
                <w:color w:val="333333"/>
                <w:spacing w:val="-12"/>
                <w:sz w:val="20"/>
              </w:rPr>
              <w:t xml:space="preserve"> </w:t>
            </w:r>
            <w:r>
              <w:rPr>
                <w:color w:val="333333"/>
                <w:spacing w:val="-2"/>
                <w:sz w:val="20"/>
              </w:rPr>
              <w:t>la</w:t>
            </w:r>
            <w:r>
              <w:rPr>
                <w:color w:val="333333"/>
                <w:spacing w:val="-12"/>
                <w:sz w:val="20"/>
              </w:rPr>
              <w:t xml:space="preserve"> </w:t>
            </w:r>
            <w:r>
              <w:rPr>
                <w:color w:val="333333"/>
                <w:spacing w:val="-2"/>
                <w:sz w:val="20"/>
              </w:rPr>
              <w:t>sociedad</w:t>
            </w:r>
            <w:r>
              <w:rPr>
                <w:color w:val="333333"/>
                <w:spacing w:val="-9"/>
                <w:sz w:val="20"/>
              </w:rPr>
              <w:t xml:space="preserve"> </w:t>
            </w:r>
            <w:r>
              <w:rPr>
                <w:color w:val="333333"/>
                <w:spacing w:val="-2"/>
                <w:sz w:val="20"/>
              </w:rPr>
              <w:t>civil,</w:t>
            </w:r>
            <w:r>
              <w:rPr>
                <w:color w:val="333333"/>
                <w:spacing w:val="-12"/>
                <w:sz w:val="20"/>
              </w:rPr>
              <w:t xml:space="preserve"> </w:t>
            </w:r>
            <w:r>
              <w:rPr>
                <w:color w:val="333333"/>
                <w:spacing w:val="-2"/>
                <w:sz w:val="20"/>
              </w:rPr>
              <w:t xml:space="preserve">las </w:t>
            </w:r>
            <w:r>
              <w:rPr>
                <w:color w:val="333333"/>
                <w:sz w:val="20"/>
              </w:rPr>
              <w:t>comunidades y entre mujeres y</w:t>
            </w:r>
            <w:r>
              <w:rPr>
                <w:color w:val="333333"/>
                <w:spacing w:val="-1"/>
                <w:sz w:val="20"/>
              </w:rPr>
              <w:t xml:space="preserve"> </w:t>
            </w:r>
            <w:r>
              <w:rPr>
                <w:color w:val="333333"/>
                <w:sz w:val="20"/>
              </w:rPr>
              <w:t>hombres en sus diferencias y diversidad para promover una nueva organización social de los cuidados del país y garantizar los derechos humanos de las personas cuidadoras.</w:t>
            </w:r>
          </w:p>
          <w:p w14:paraId="083BBF1F" w14:textId="77777777" w:rsidR="000E52B0" w:rsidRDefault="00F60D74">
            <w:pPr>
              <w:pStyle w:val="TableParagraph"/>
              <w:spacing w:before="234"/>
              <w:ind w:left="107" w:right="91"/>
              <w:jc w:val="both"/>
              <w:rPr>
                <w:sz w:val="20"/>
              </w:rPr>
            </w:pPr>
            <w:r>
              <w:rPr>
                <w:color w:val="333333"/>
                <w:sz w:val="20"/>
              </w:rPr>
              <w:t>El</w:t>
            </w:r>
            <w:r>
              <w:rPr>
                <w:color w:val="333333"/>
                <w:spacing w:val="-15"/>
                <w:sz w:val="20"/>
              </w:rPr>
              <w:t xml:space="preserve"> </w:t>
            </w:r>
            <w:r>
              <w:rPr>
                <w:color w:val="333333"/>
                <w:sz w:val="20"/>
              </w:rPr>
              <w:t>objetivo</w:t>
            </w:r>
            <w:r>
              <w:rPr>
                <w:color w:val="333333"/>
                <w:spacing w:val="-17"/>
                <w:sz w:val="20"/>
              </w:rPr>
              <w:t xml:space="preserve"> </w:t>
            </w:r>
            <w:r>
              <w:rPr>
                <w:color w:val="333333"/>
                <w:sz w:val="20"/>
              </w:rPr>
              <w:t>del</w:t>
            </w:r>
            <w:r>
              <w:rPr>
                <w:color w:val="333333"/>
                <w:spacing w:val="-15"/>
                <w:sz w:val="20"/>
              </w:rPr>
              <w:t xml:space="preserve"> </w:t>
            </w:r>
            <w:r>
              <w:rPr>
                <w:color w:val="333333"/>
                <w:sz w:val="20"/>
              </w:rPr>
              <w:t>sistema</w:t>
            </w:r>
            <w:r>
              <w:rPr>
                <w:color w:val="333333"/>
                <w:spacing w:val="-13"/>
                <w:sz w:val="20"/>
              </w:rPr>
              <w:t xml:space="preserve"> </w:t>
            </w:r>
            <w:r>
              <w:rPr>
                <w:color w:val="333333"/>
                <w:sz w:val="20"/>
              </w:rPr>
              <w:t>es</w:t>
            </w:r>
            <w:r>
              <w:rPr>
                <w:color w:val="333333"/>
                <w:spacing w:val="-16"/>
                <w:sz w:val="20"/>
              </w:rPr>
              <w:t xml:space="preserve"> </w:t>
            </w:r>
            <w:r>
              <w:rPr>
                <w:color w:val="333333"/>
                <w:sz w:val="20"/>
              </w:rPr>
              <w:t>reconocer,</w:t>
            </w:r>
            <w:r>
              <w:rPr>
                <w:color w:val="333333"/>
                <w:spacing w:val="-14"/>
                <w:sz w:val="20"/>
              </w:rPr>
              <w:t xml:space="preserve"> </w:t>
            </w:r>
            <w:r>
              <w:rPr>
                <w:color w:val="333333"/>
                <w:sz w:val="20"/>
              </w:rPr>
              <w:t>reducir, redistribuir, representar y recompensar el trabajo de cuidado, remunerado y no remunerado, a través de un modelo corresponsable entre .el Estado, el sector privado, la sociedad civil, las familias, las comunidades y entre</w:t>
            </w:r>
            <w:r>
              <w:rPr>
                <w:color w:val="333333"/>
                <w:spacing w:val="-2"/>
                <w:sz w:val="20"/>
              </w:rPr>
              <w:t xml:space="preserve"> </w:t>
            </w:r>
            <w:r>
              <w:rPr>
                <w:color w:val="333333"/>
                <w:sz w:val="20"/>
              </w:rPr>
              <w:t>mujeres</w:t>
            </w:r>
            <w:r>
              <w:rPr>
                <w:color w:val="333333"/>
                <w:spacing w:val="-2"/>
                <w:sz w:val="20"/>
              </w:rPr>
              <w:t xml:space="preserve"> </w:t>
            </w:r>
            <w:r>
              <w:rPr>
                <w:color w:val="333333"/>
                <w:sz w:val="20"/>
              </w:rPr>
              <w:t>y hombros en sus diferencias y diversidad, para compartir equitativamente las responsabilidades respecto a dichas labores, dar respuesta a las</w:t>
            </w:r>
            <w:r>
              <w:rPr>
                <w:color w:val="333333"/>
                <w:spacing w:val="-18"/>
                <w:sz w:val="20"/>
              </w:rPr>
              <w:t xml:space="preserve"> </w:t>
            </w:r>
            <w:r>
              <w:rPr>
                <w:color w:val="333333"/>
                <w:sz w:val="20"/>
              </w:rPr>
              <w:t>demandas</w:t>
            </w:r>
            <w:r>
              <w:rPr>
                <w:color w:val="333333"/>
                <w:spacing w:val="-18"/>
                <w:sz w:val="20"/>
              </w:rPr>
              <w:t xml:space="preserve"> </w:t>
            </w:r>
            <w:r>
              <w:rPr>
                <w:color w:val="333333"/>
                <w:sz w:val="20"/>
              </w:rPr>
              <w:t>de</w:t>
            </w:r>
            <w:r>
              <w:rPr>
                <w:color w:val="333333"/>
                <w:spacing w:val="-17"/>
                <w:sz w:val="20"/>
              </w:rPr>
              <w:t xml:space="preserve"> </w:t>
            </w:r>
            <w:r>
              <w:rPr>
                <w:color w:val="333333"/>
                <w:sz w:val="20"/>
              </w:rPr>
              <w:t>cuidado</w:t>
            </w:r>
            <w:r>
              <w:rPr>
                <w:color w:val="333333"/>
                <w:spacing w:val="-18"/>
                <w:sz w:val="20"/>
              </w:rPr>
              <w:t xml:space="preserve"> </w:t>
            </w:r>
            <w:r>
              <w:rPr>
                <w:color w:val="333333"/>
                <w:sz w:val="20"/>
              </w:rPr>
              <w:t>de</w:t>
            </w:r>
            <w:r>
              <w:rPr>
                <w:color w:val="333333"/>
                <w:spacing w:val="-17"/>
                <w:sz w:val="20"/>
              </w:rPr>
              <w:t xml:space="preserve"> </w:t>
            </w:r>
            <w:r>
              <w:rPr>
                <w:color w:val="333333"/>
                <w:sz w:val="20"/>
              </w:rPr>
              <w:t>los</w:t>
            </w:r>
            <w:r>
              <w:rPr>
                <w:color w:val="333333"/>
                <w:spacing w:val="-18"/>
                <w:sz w:val="20"/>
              </w:rPr>
              <w:t xml:space="preserve"> </w:t>
            </w:r>
            <w:r>
              <w:rPr>
                <w:color w:val="333333"/>
                <w:sz w:val="20"/>
              </w:rPr>
              <w:t>hogares</w:t>
            </w:r>
            <w:r>
              <w:rPr>
                <w:color w:val="333333"/>
                <w:spacing w:val="-18"/>
                <w:sz w:val="20"/>
              </w:rPr>
              <w:t xml:space="preserve"> </w:t>
            </w:r>
            <w:r>
              <w:rPr>
                <w:color w:val="333333"/>
                <w:sz w:val="20"/>
              </w:rPr>
              <w:t>y</w:t>
            </w:r>
            <w:r>
              <w:rPr>
                <w:color w:val="333333"/>
                <w:spacing w:val="-17"/>
                <w:sz w:val="20"/>
              </w:rPr>
              <w:t xml:space="preserve"> </w:t>
            </w:r>
            <w:r>
              <w:rPr>
                <w:color w:val="333333"/>
                <w:sz w:val="20"/>
              </w:rPr>
              <w:t xml:space="preserve">las personas que necesitan cuidados, y garantizar los derechos de las personas </w:t>
            </w:r>
            <w:r>
              <w:rPr>
                <w:color w:val="333333"/>
                <w:spacing w:val="-2"/>
                <w:sz w:val="20"/>
              </w:rPr>
              <w:t>cuidadoras.</w:t>
            </w:r>
          </w:p>
        </w:tc>
        <w:tc>
          <w:tcPr>
            <w:tcW w:w="4723" w:type="dxa"/>
          </w:tcPr>
          <w:p w14:paraId="771FB092" w14:textId="77777777" w:rsidR="000E52B0" w:rsidRDefault="00F60D74">
            <w:pPr>
              <w:pStyle w:val="TableParagraph"/>
              <w:spacing w:line="242" w:lineRule="auto"/>
              <w:ind w:left="107"/>
              <w:rPr>
                <w:sz w:val="20"/>
              </w:rPr>
            </w:pPr>
            <w:r>
              <w:rPr>
                <w:b/>
                <w:color w:val="333333"/>
                <w:sz w:val="20"/>
              </w:rPr>
              <w:t>ART</w:t>
            </w:r>
            <w:r>
              <w:rPr>
                <w:b/>
                <w:color w:val="333333"/>
                <w:sz w:val="20"/>
                <w:u w:val="single" w:color="333333"/>
              </w:rPr>
              <w:t>Í</w:t>
            </w:r>
            <w:r>
              <w:rPr>
                <w:b/>
                <w:color w:val="333333"/>
                <w:sz w:val="20"/>
              </w:rPr>
              <w:t>CULO</w:t>
            </w:r>
            <w:r>
              <w:rPr>
                <w:b/>
                <w:color w:val="333333"/>
                <w:spacing w:val="-9"/>
                <w:sz w:val="20"/>
              </w:rPr>
              <w:t xml:space="preserve"> </w:t>
            </w:r>
            <w:r>
              <w:rPr>
                <w:b/>
                <w:color w:val="333333"/>
                <w:sz w:val="20"/>
              </w:rPr>
              <w:t>6.</w:t>
            </w:r>
            <w:r>
              <w:rPr>
                <w:b/>
                <w:color w:val="333333"/>
                <w:spacing w:val="-8"/>
                <w:sz w:val="20"/>
              </w:rPr>
              <w:t xml:space="preserve"> </w:t>
            </w:r>
            <w:r>
              <w:rPr>
                <w:b/>
                <w:sz w:val="20"/>
              </w:rPr>
              <w:t>CREACIÓN</w:t>
            </w:r>
            <w:r>
              <w:rPr>
                <w:b/>
                <w:spacing w:val="-13"/>
                <w:sz w:val="20"/>
              </w:rPr>
              <w:t xml:space="preserve"> </w:t>
            </w:r>
            <w:r>
              <w:rPr>
                <w:b/>
                <w:sz w:val="20"/>
              </w:rPr>
              <w:t>DEL</w:t>
            </w:r>
            <w:r>
              <w:rPr>
                <w:b/>
                <w:spacing w:val="-10"/>
                <w:sz w:val="20"/>
              </w:rPr>
              <w:t xml:space="preserve"> </w:t>
            </w:r>
            <w:r>
              <w:rPr>
                <w:b/>
                <w:sz w:val="20"/>
              </w:rPr>
              <w:t xml:space="preserve">SISTEMA NACIONAL DE CUIDADO. </w:t>
            </w:r>
            <w:r>
              <w:rPr>
                <w:sz w:val="20"/>
              </w:rPr>
              <w:t>Créase el</w:t>
            </w:r>
          </w:p>
          <w:p w14:paraId="15C5C69B" w14:textId="77777777" w:rsidR="000E52B0" w:rsidRDefault="00F60D74">
            <w:pPr>
              <w:pStyle w:val="TableParagraph"/>
              <w:ind w:left="107" w:right="96"/>
              <w:rPr>
                <w:b/>
                <w:sz w:val="20"/>
              </w:rPr>
            </w:pPr>
            <w:r>
              <w:rPr>
                <w:sz w:val="20"/>
              </w:rPr>
              <w:t xml:space="preserve">Sistema Nacional de Cuidado, mediante el cual se </w:t>
            </w:r>
            <w:r>
              <w:rPr>
                <w:b/>
                <w:sz w:val="20"/>
                <w:u w:val="single"/>
              </w:rPr>
              <w:t>articula la respuesta</w:t>
            </w:r>
            <w:r>
              <w:rPr>
                <w:b/>
                <w:sz w:val="20"/>
              </w:rPr>
              <w:t xml:space="preserve"> </w:t>
            </w:r>
            <w:r>
              <w:rPr>
                <w:b/>
                <w:sz w:val="20"/>
                <w:u w:val="single"/>
              </w:rPr>
              <w:t>institucional</w:t>
            </w:r>
            <w:r>
              <w:rPr>
                <w:sz w:val="20"/>
              </w:rPr>
              <w:t>, servicios, regulaciones, políticas</w:t>
            </w:r>
            <w:r>
              <w:rPr>
                <w:spacing w:val="-9"/>
                <w:sz w:val="20"/>
              </w:rPr>
              <w:t xml:space="preserve"> </w:t>
            </w:r>
            <w:r>
              <w:rPr>
                <w:sz w:val="20"/>
              </w:rPr>
              <w:t>y</w:t>
            </w:r>
            <w:r>
              <w:rPr>
                <w:spacing w:val="-7"/>
                <w:sz w:val="20"/>
              </w:rPr>
              <w:t xml:space="preserve"> </w:t>
            </w:r>
            <w:r>
              <w:rPr>
                <w:sz w:val="20"/>
              </w:rPr>
              <w:t>acciones</w:t>
            </w:r>
            <w:r>
              <w:rPr>
                <w:spacing w:val="-10"/>
                <w:sz w:val="20"/>
              </w:rPr>
              <w:t xml:space="preserve"> </w:t>
            </w:r>
            <w:r>
              <w:rPr>
                <w:sz w:val="20"/>
              </w:rPr>
              <w:t>técnicas</w:t>
            </w:r>
            <w:r>
              <w:rPr>
                <w:spacing w:val="-8"/>
                <w:sz w:val="20"/>
              </w:rPr>
              <w:t xml:space="preserve"> </w:t>
            </w:r>
            <w:r>
              <w:rPr>
                <w:sz w:val="20"/>
              </w:rPr>
              <w:t>e</w:t>
            </w:r>
            <w:r>
              <w:rPr>
                <w:spacing w:val="-10"/>
                <w:sz w:val="20"/>
              </w:rPr>
              <w:t xml:space="preserve"> </w:t>
            </w:r>
            <w:r>
              <w:rPr>
                <w:sz w:val="20"/>
              </w:rPr>
              <w:t xml:space="preserve">institucionales existentes y nuevas, con el objeto de </w:t>
            </w:r>
            <w:r>
              <w:rPr>
                <w:b/>
                <w:sz w:val="20"/>
                <w:u w:val="single"/>
              </w:rPr>
              <w:t>desarrollar una sociedad cuidadora</w:t>
            </w:r>
            <w:r>
              <w:rPr>
                <w:b/>
                <w:sz w:val="20"/>
              </w:rPr>
              <w:t xml:space="preserve"> </w:t>
            </w:r>
            <w:r>
              <w:rPr>
                <w:b/>
                <w:sz w:val="20"/>
                <w:u w:val="single"/>
              </w:rPr>
              <w:t>donde el Estado garantice el derecho a</w:t>
            </w:r>
            <w:r>
              <w:rPr>
                <w:b/>
                <w:sz w:val="20"/>
              </w:rPr>
              <w:t xml:space="preserve"> </w:t>
            </w:r>
            <w:r>
              <w:rPr>
                <w:b/>
                <w:sz w:val="20"/>
                <w:u w:val="single"/>
              </w:rPr>
              <w:t>recibir cuidado, el derecho al</w:t>
            </w:r>
            <w:r>
              <w:rPr>
                <w:b/>
                <w:sz w:val="20"/>
              </w:rPr>
              <w:t xml:space="preserve"> </w:t>
            </w:r>
            <w:r>
              <w:rPr>
                <w:b/>
                <w:sz w:val="20"/>
                <w:u w:val="single"/>
              </w:rPr>
              <w:t>autocuidado y a cuidar en condiciones</w:t>
            </w:r>
            <w:r>
              <w:rPr>
                <w:b/>
                <w:sz w:val="20"/>
              </w:rPr>
              <w:t xml:space="preserve"> </w:t>
            </w:r>
            <w:r>
              <w:rPr>
                <w:b/>
                <w:sz w:val="20"/>
                <w:u w:val="single"/>
              </w:rPr>
              <w:t>dignas, y reconozca, proteja y</w:t>
            </w:r>
            <w:r>
              <w:rPr>
                <w:b/>
                <w:sz w:val="20"/>
              </w:rPr>
              <w:t xml:space="preserve"> </w:t>
            </w:r>
            <w:r>
              <w:rPr>
                <w:b/>
                <w:sz w:val="20"/>
                <w:u w:val="single"/>
              </w:rPr>
              <w:t>fortalezca las formas comunitarias de</w:t>
            </w:r>
            <w:r>
              <w:rPr>
                <w:b/>
                <w:sz w:val="20"/>
              </w:rPr>
              <w:t xml:space="preserve"> </w:t>
            </w:r>
            <w:r>
              <w:rPr>
                <w:b/>
                <w:sz w:val="20"/>
                <w:u w:val="single"/>
              </w:rPr>
              <w:t>cuidado para posicionar el cuidado</w:t>
            </w:r>
            <w:r>
              <w:rPr>
                <w:b/>
                <w:sz w:val="20"/>
              </w:rPr>
              <w:t xml:space="preserve"> </w:t>
            </w:r>
            <w:r>
              <w:rPr>
                <w:b/>
                <w:sz w:val="20"/>
                <w:u w:val="single"/>
              </w:rPr>
              <w:t>como centro del sostenimiento de la</w:t>
            </w:r>
            <w:r>
              <w:rPr>
                <w:b/>
                <w:sz w:val="20"/>
              </w:rPr>
              <w:t xml:space="preserve"> </w:t>
            </w:r>
            <w:r>
              <w:rPr>
                <w:b/>
                <w:spacing w:val="-2"/>
                <w:sz w:val="20"/>
                <w:u w:val="single"/>
              </w:rPr>
              <w:t>vida.</w:t>
            </w:r>
          </w:p>
          <w:p w14:paraId="5F60DBA2" w14:textId="77777777" w:rsidR="000E52B0" w:rsidRDefault="00F60D74">
            <w:pPr>
              <w:pStyle w:val="TableParagraph"/>
              <w:spacing w:before="238"/>
              <w:ind w:left="107" w:right="94"/>
              <w:rPr>
                <w:b/>
                <w:sz w:val="20"/>
              </w:rPr>
            </w:pPr>
            <w:r>
              <w:rPr>
                <w:b/>
                <w:sz w:val="20"/>
                <w:u w:val="single"/>
              </w:rPr>
              <w:t>Los objetivos del Sistema son: i)</w:t>
            </w:r>
            <w:r>
              <w:rPr>
                <w:b/>
                <w:sz w:val="20"/>
              </w:rPr>
              <w:t xml:space="preserve"> </w:t>
            </w:r>
            <w:r>
              <w:rPr>
                <w:b/>
                <w:sz w:val="20"/>
                <w:u w:val="single"/>
              </w:rPr>
              <w:t>reconocer, proteger y fortalecer las</w:t>
            </w:r>
            <w:r>
              <w:rPr>
                <w:b/>
                <w:sz w:val="20"/>
              </w:rPr>
              <w:t xml:space="preserve"> </w:t>
            </w:r>
            <w:r>
              <w:rPr>
                <w:b/>
                <w:sz w:val="20"/>
                <w:u w:val="single"/>
              </w:rPr>
              <w:t>organizaciones de cuidado colectivo y</w:t>
            </w:r>
            <w:r>
              <w:rPr>
                <w:b/>
                <w:sz w:val="20"/>
              </w:rPr>
              <w:t xml:space="preserve"> </w:t>
            </w:r>
            <w:r>
              <w:rPr>
                <w:b/>
                <w:sz w:val="20"/>
                <w:u w:val="single"/>
              </w:rPr>
              <w:t>comunitario y los procesos</w:t>
            </w:r>
            <w:r>
              <w:rPr>
                <w:b/>
                <w:sz w:val="20"/>
              </w:rPr>
              <w:t xml:space="preserve"> </w:t>
            </w:r>
            <w:r>
              <w:rPr>
                <w:b/>
                <w:sz w:val="20"/>
                <w:u w:val="single"/>
              </w:rPr>
              <w:t>organizativos étnicos, campesinos y</w:t>
            </w:r>
            <w:r>
              <w:rPr>
                <w:b/>
                <w:sz w:val="20"/>
              </w:rPr>
              <w:t xml:space="preserve"> </w:t>
            </w:r>
            <w:r>
              <w:rPr>
                <w:b/>
                <w:sz w:val="20"/>
                <w:u w:val="single"/>
              </w:rPr>
              <w:t>territoriales con prácticas de cuidado</w:t>
            </w:r>
            <w:r>
              <w:rPr>
                <w:b/>
                <w:sz w:val="20"/>
              </w:rPr>
              <w:t xml:space="preserve"> </w:t>
            </w:r>
            <w:r>
              <w:rPr>
                <w:b/>
                <w:sz w:val="20"/>
                <w:u w:val="single"/>
              </w:rPr>
              <w:t xml:space="preserve">propias, </w:t>
            </w:r>
            <w:proofErr w:type="spellStart"/>
            <w:r>
              <w:rPr>
                <w:b/>
                <w:sz w:val="20"/>
                <w:u w:val="single"/>
              </w:rPr>
              <w:t>ii</w:t>
            </w:r>
            <w:proofErr w:type="spellEnd"/>
            <w:r>
              <w:rPr>
                <w:b/>
                <w:sz w:val="20"/>
                <w:u w:val="single"/>
              </w:rPr>
              <w:t>) desarrollar estrategias para</w:t>
            </w:r>
            <w:r>
              <w:rPr>
                <w:b/>
                <w:sz w:val="20"/>
              </w:rPr>
              <w:t xml:space="preserve"> </w:t>
            </w:r>
            <w:r>
              <w:rPr>
                <w:b/>
                <w:sz w:val="20"/>
                <w:u w:val="single"/>
              </w:rPr>
              <w:t>la garantía de los derechos de las</w:t>
            </w:r>
            <w:r>
              <w:rPr>
                <w:b/>
                <w:sz w:val="20"/>
              </w:rPr>
              <w:t xml:space="preserve"> </w:t>
            </w:r>
            <w:r>
              <w:rPr>
                <w:b/>
                <w:sz w:val="20"/>
                <w:u w:val="single"/>
              </w:rPr>
              <w:t>personas</w:t>
            </w:r>
            <w:r>
              <w:rPr>
                <w:b/>
                <w:spacing w:val="-11"/>
                <w:sz w:val="20"/>
                <w:u w:val="single"/>
              </w:rPr>
              <w:t xml:space="preserve"> </w:t>
            </w:r>
            <w:r>
              <w:rPr>
                <w:b/>
                <w:sz w:val="20"/>
                <w:u w:val="single"/>
              </w:rPr>
              <w:t>cuidadoras,</w:t>
            </w:r>
            <w:r>
              <w:rPr>
                <w:b/>
                <w:spacing w:val="-11"/>
                <w:sz w:val="20"/>
                <w:u w:val="single"/>
              </w:rPr>
              <w:t xml:space="preserve"> </w:t>
            </w:r>
            <w:proofErr w:type="spellStart"/>
            <w:r>
              <w:rPr>
                <w:b/>
                <w:sz w:val="20"/>
                <w:u w:val="single"/>
              </w:rPr>
              <w:t>iii</w:t>
            </w:r>
            <w:proofErr w:type="spellEnd"/>
            <w:r>
              <w:rPr>
                <w:b/>
                <w:sz w:val="20"/>
                <w:u w:val="single"/>
              </w:rPr>
              <w:t>)</w:t>
            </w:r>
            <w:r>
              <w:rPr>
                <w:b/>
                <w:spacing w:val="-11"/>
                <w:sz w:val="20"/>
                <w:u w:val="single"/>
              </w:rPr>
              <w:t xml:space="preserve"> </w:t>
            </w:r>
            <w:r>
              <w:rPr>
                <w:b/>
                <w:sz w:val="20"/>
                <w:u w:val="single"/>
              </w:rPr>
              <w:t>crear,</w:t>
            </w:r>
            <w:r>
              <w:rPr>
                <w:b/>
                <w:spacing w:val="-10"/>
                <w:sz w:val="20"/>
                <w:u w:val="single"/>
              </w:rPr>
              <w:t xml:space="preserve"> </w:t>
            </w:r>
            <w:r>
              <w:rPr>
                <w:b/>
                <w:sz w:val="20"/>
                <w:u w:val="single"/>
              </w:rPr>
              <w:t>ampliar,</w:t>
            </w:r>
            <w:r>
              <w:rPr>
                <w:b/>
                <w:sz w:val="20"/>
              </w:rPr>
              <w:t xml:space="preserve"> </w:t>
            </w:r>
            <w:r>
              <w:rPr>
                <w:b/>
                <w:sz w:val="20"/>
                <w:u w:val="single"/>
              </w:rPr>
              <w:t>regular y articular la respuesta</w:t>
            </w:r>
            <w:r>
              <w:rPr>
                <w:b/>
                <w:sz w:val="20"/>
              </w:rPr>
              <w:t xml:space="preserve"> </w:t>
            </w:r>
            <w:r>
              <w:rPr>
                <w:b/>
                <w:sz w:val="20"/>
                <w:u w:val="single"/>
              </w:rPr>
              <w:t>institucional e infraestructura de</w:t>
            </w:r>
            <w:r>
              <w:rPr>
                <w:b/>
                <w:sz w:val="20"/>
              </w:rPr>
              <w:t xml:space="preserve"> </w:t>
            </w:r>
            <w:r>
              <w:rPr>
                <w:b/>
                <w:sz w:val="20"/>
                <w:u w:val="single"/>
              </w:rPr>
              <w:t>cuidado para contribuir a la autonomía,</w:t>
            </w:r>
          </w:p>
          <w:p w14:paraId="21D6BFF4" w14:textId="77777777" w:rsidR="000E52B0" w:rsidRDefault="00F60D74">
            <w:pPr>
              <w:pStyle w:val="TableParagraph"/>
              <w:spacing w:line="224" w:lineRule="exact"/>
              <w:ind w:left="107"/>
              <w:rPr>
                <w:b/>
                <w:sz w:val="20"/>
              </w:rPr>
            </w:pPr>
            <w:r>
              <w:rPr>
                <w:b/>
                <w:sz w:val="20"/>
                <w:u w:val="single"/>
              </w:rPr>
              <w:t>vida</w:t>
            </w:r>
            <w:r>
              <w:rPr>
                <w:b/>
                <w:spacing w:val="-9"/>
                <w:sz w:val="20"/>
                <w:u w:val="single"/>
              </w:rPr>
              <w:t xml:space="preserve"> </w:t>
            </w:r>
            <w:r>
              <w:rPr>
                <w:b/>
                <w:sz w:val="20"/>
                <w:u w:val="single"/>
              </w:rPr>
              <w:t>independiente</w:t>
            </w:r>
            <w:r>
              <w:rPr>
                <w:b/>
                <w:spacing w:val="-8"/>
                <w:sz w:val="20"/>
                <w:u w:val="single"/>
              </w:rPr>
              <w:t xml:space="preserve"> </w:t>
            </w:r>
            <w:r>
              <w:rPr>
                <w:b/>
                <w:sz w:val="20"/>
                <w:u w:val="single"/>
              </w:rPr>
              <w:t>y</w:t>
            </w:r>
            <w:r>
              <w:rPr>
                <w:b/>
                <w:spacing w:val="-5"/>
                <w:sz w:val="20"/>
                <w:u w:val="single"/>
              </w:rPr>
              <w:t xml:space="preserve"> </w:t>
            </w:r>
            <w:r>
              <w:rPr>
                <w:b/>
                <w:sz w:val="20"/>
                <w:u w:val="single"/>
              </w:rPr>
              <w:t>en</w:t>
            </w:r>
            <w:r>
              <w:rPr>
                <w:b/>
                <w:spacing w:val="-10"/>
                <w:sz w:val="20"/>
                <w:u w:val="single"/>
              </w:rPr>
              <w:t xml:space="preserve"> </w:t>
            </w:r>
            <w:r>
              <w:rPr>
                <w:b/>
                <w:sz w:val="20"/>
                <w:u w:val="single"/>
              </w:rPr>
              <w:t>comunidad</w:t>
            </w:r>
            <w:r>
              <w:rPr>
                <w:b/>
                <w:spacing w:val="-8"/>
                <w:sz w:val="20"/>
                <w:u w:val="single"/>
              </w:rPr>
              <w:t xml:space="preserve"> </w:t>
            </w:r>
            <w:r>
              <w:rPr>
                <w:b/>
                <w:spacing w:val="-5"/>
                <w:sz w:val="20"/>
                <w:u w:val="single"/>
              </w:rPr>
              <w:t>de</w:t>
            </w:r>
          </w:p>
        </w:tc>
        <w:tc>
          <w:tcPr>
            <w:tcW w:w="3809" w:type="dxa"/>
          </w:tcPr>
          <w:p w14:paraId="468EAEE9" w14:textId="77777777" w:rsidR="000E52B0" w:rsidRDefault="00F60D74">
            <w:pPr>
              <w:pStyle w:val="TableParagraph"/>
              <w:ind w:left="108" w:right="89"/>
              <w:jc w:val="both"/>
              <w:rPr>
                <w:sz w:val="20"/>
              </w:rPr>
            </w:pPr>
            <w:r>
              <w:rPr>
                <w:sz w:val="20"/>
              </w:rPr>
              <w:t>Se modifica la redacción conforme los argumentos que constan en la exposición de motivos.</w:t>
            </w:r>
          </w:p>
          <w:p w14:paraId="6AD8EE1E" w14:textId="77777777" w:rsidR="000E52B0" w:rsidRDefault="00F60D74">
            <w:pPr>
              <w:pStyle w:val="TableParagraph"/>
              <w:ind w:left="108" w:right="90"/>
              <w:jc w:val="both"/>
              <w:rPr>
                <w:sz w:val="20"/>
              </w:rPr>
            </w:pPr>
            <w:r>
              <w:rPr>
                <w:sz w:val="20"/>
              </w:rPr>
              <w:t>El</w:t>
            </w:r>
            <w:r>
              <w:rPr>
                <w:spacing w:val="-13"/>
                <w:sz w:val="20"/>
              </w:rPr>
              <w:t xml:space="preserve"> </w:t>
            </w:r>
            <w:r>
              <w:rPr>
                <w:sz w:val="20"/>
              </w:rPr>
              <w:t>objeto</w:t>
            </w:r>
            <w:r>
              <w:rPr>
                <w:spacing w:val="-12"/>
                <w:sz w:val="20"/>
              </w:rPr>
              <w:t xml:space="preserve"> </w:t>
            </w:r>
            <w:r>
              <w:rPr>
                <w:sz w:val="20"/>
              </w:rPr>
              <w:t>y</w:t>
            </w:r>
            <w:r>
              <w:rPr>
                <w:spacing w:val="-13"/>
                <w:sz w:val="20"/>
              </w:rPr>
              <w:t xml:space="preserve"> </w:t>
            </w:r>
            <w:r>
              <w:rPr>
                <w:sz w:val="20"/>
              </w:rPr>
              <w:t>los</w:t>
            </w:r>
            <w:r>
              <w:rPr>
                <w:spacing w:val="-14"/>
                <w:sz w:val="20"/>
              </w:rPr>
              <w:t xml:space="preserve"> </w:t>
            </w:r>
            <w:r>
              <w:rPr>
                <w:sz w:val="20"/>
              </w:rPr>
              <w:t>objetivos</w:t>
            </w:r>
            <w:r>
              <w:rPr>
                <w:spacing w:val="-11"/>
                <w:sz w:val="20"/>
              </w:rPr>
              <w:t xml:space="preserve"> </w:t>
            </w:r>
            <w:r>
              <w:rPr>
                <w:sz w:val="20"/>
              </w:rPr>
              <w:t>del</w:t>
            </w:r>
            <w:r>
              <w:rPr>
                <w:spacing w:val="-13"/>
                <w:sz w:val="20"/>
              </w:rPr>
              <w:t xml:space="preserve"> </w:t>
            </w:r>
            <w:r>
              <w:rPr>
                <w:sz w:val="20"/>
              </w:rPr>
              <w:t>sistema se modifican para desarrollar una sociedad cuidadora.</w:t>
            </w:r>
          </w:p>
        </w:tc>
      </w:tr>
    </w:tbl>
    <w:p w14:paraId="2640845A" w14:textId="77777777" w:rsidR="000E52B0" w:rsidRDefault="000E52B0">
      <w:pPr>
        <w:pStyle w:val="TableParagraph"/>
        <w:jc w:val="both"/>
        <w:rPr>
          <w:sz w:val="20"/>
        </w:rPr>
        <w:sectPr w:rsidR="000E52B0">
          <w:pgSz w:w="16840" w:h="11910" w:orient="landscape"/>
          <w:pgMar w:top="1340" w:right="1800" w:bottom="1180" w:left="1440" w:header="0" w:footer="995" w:gutter="0"/>
          <w:cols w:space="720"/>
        </w:sectPr>
      </w:pPr>
    </w:p>
    <w:p w14:paraId="14222E70" w14:textId="77777777" w:rsidR="000E52B0" w:rsidRDefault="000E52B0">
      <w:pPr>
        <w:pStyle w:val="Textoindependiente"/>
        <w:spacing w:before="8" w:after="1"/>
        <w:ind w:left="0"/>
        <w:rPr>
          <w:b/>
          <w:sz w:val="7"/>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12"/>
        <w:gridCol w:w="4723"/>
        <w:gridCol w:w="3809"/>
      </w:tblGrid>
      <w:tr w:rsidR="000E52B0" w14:paraId="70B663B3" w14:textId="77777777">
        <w:trPr>
          <w:trHeight w:val="1946"/>
        </w:trPr>
        <w:tc>
          <w:tcPr>
            <w:tcW w:w="4712" w:type="dxa"/>
          </w:tcPr>
          <w:p w14:paraId="7E5C4BEF" w14:textId="77777777" w:rsidR="000E52B0" w:rsidRDefault="000E52B0">
            <w:pPr>
              <w:pStyle w:val="TableParagraph"/>
              <w:rPr>
                <w:rFonts w:ascii="Times New Roman"/>
                <w:sz w:val="18"/>
              </w:rPr>
            </w:pPr>
          </w:p>
        </w:tc>
        <w:tc>
          <w:tcPr>
            <w:tcW w:w="4723" w:type="dxa"/>
          </w:tcPr>
          <w:p w14:paraId="35DA1A71" w14:textId="77777777" w:rsidR="000E52B0" w:rsidRDefault="00F60D74">
            <w:pPr>
              <w:pStyle w:val="TableParagraph"/>
              <w:ind w:left="107"/>
              <w:rPr>
                <w:b/>
                <w:sz w:val="20"/>
              </w:rPr>
            </w:pPr>
            <w:r>
              <w:rPr>
                <w:b/>
                <w:sz w:val="20"/>
                <w:u w:val="single"/>
              </w:rPr>
              <w:t>las personas que requieren cuidado,</w:t>
            </w:r>
            <w:r>
              <w:rPr>
                <w:b/>
                <w:sz w:val="20"/>
              </w:rPr>
              <w:t xml:space="preserve"> </w:t>
            </w:r>
            <w:r>
              <w:rPr>
                <w:b/>
                <w:sz w:val="20"/>
                <w:u w:val="single"/>
              </w:rPr>
              <w:t>apoyo</w:t>
            </w:r>
            <w:r>
              <w:rPr>
                <w:b/>
                <w:spacing w:val="-8"/>
                <w:sz w:val="20"/>
                <w:u w:val="single"/>
              </w:rPr>
              <w:t xml:space="preserve"> </w:t>
            </w:r>
            <w:r>
              <w:rPr>
                <w:b/>
                <w:sz w:val="20"/>
                <w:u w:val="single"/>
              </w:rPr>
              <w:t>y</w:t>
            </w:r>
            <w:r>
              <w:rPr>
                <w:b/>
                <w:spacing w:val="-6"/>
                <w:sz w:val="20"/>
                <w:u w:val="single"/>
              </w:rPr>
              <w:t xml:space="preserve"> </w:t>
            </w:r>
            <w:r>
              <w:rPr>
                <w:b/>
                <w:sz w:val="20"/>
                <w:u w:val="single"/>
              </w:rPr>
              <w:t>asistencia,</w:t>
            </w:r>
            <w:r>
              <w:rPr>
                <w:b/>
                <w:spacing w:val="-5"/>
                <w:sz w:val="20"/>
                <w:u w:val="single"/>
              </w:rPr>
              <w:t xml:space="preserve"> </w:t>
            </w:r>
            <w:r>
              <w:rPr>
                <w:b/>
                <w:sz w:val="20"/>
                <w:u w:val="single"/>
              </w:rPr>
              <w:t>y</w:t>
            </w:r>
            <w:r>
              <w:rPr>
                <w:b/>
                <w:spacing w:val="-6"/>
                <w:sz w:val="20"/>
                <w:u w:val="single"/>
              </w:rPr>
              <w:t xml:space="preserve"> </w:t>
            </w:r>
            <w:proofErr w:type="spellStart"/>
            <w:r>
              <w:rPr>
                <w:b/>
                <w:sz w:val="20"/>
                <w:u w:val="single"/>
              </w:rPr>
              <w:t>iv</w:t>
            </w:r>
            <w:proofErr w:type="spellEnd"/>
            <w:r>
              <w:rPr>
                <w:b/>
                <w:sz w:val="20"/>
                <w:u w:val="single"/>
              </w:rPr>
              <w:t>)</w:t>
            </w:r>
            <w:r>
              <w:rPr>
                <w:b/>
                <w:spacing w:val="-8"/>
                <w:sz w:val="20"/>
                <w:u w:val="single"/>
              </w:rPr>
              <w:t xml:space="preserve"> </w:t>
            </w:r>
            <w:r>
              <w:rPr>
                <w:b/>
                <w:sz w:val="20"/>
                <w:u w:val="single"/>
              </w:rPr>
              <w:t>contribuir</w:t>
            </w:r>
            <w:r>
              <w:rPr>
                <w:b/>
                <w:spacing w:val="-4"/>
                <w:sz w:val="20"/>
                <w:u w:val="single"/>
              </w:rPr>
              <w:t xml:space="preserve"> </w:t>
            </w:r>
            <w:r>
              <w:rPr>
                <w:b/>
                <w:sz w:val="20"/>
                <w:u w:val="single"/>
              </w:rPr>
              <w:t>a</w:t>
            </w:r>
            <w:r>
              <w:rPr>
                <w:b/>
                <w:spacing w:val="-7"/>
                <w:sz w:val="20"/>
                <w:u w:val="single"/>
              </w:rPr>
              <w:t xml:space="preserve"> </w:t>
            </w:r>
            <w:r>
              <w:rPr>
                <w:b/>
                <w:sz w:val="20"/>
                <w:u w:val="single"/>
              </w:rPr>
              <w:t>la</w:t>
            </w:r>
            <w:r>
              <w:rPr>
                <w:b/>
                <w:sz w:val="20"/>
              </w:rPr>
              <w:t xml:space="preserve"> </w:t>
            </w:r>
            <w:r>
              <w:rPr>
                <w:b/>
                <w:sz w:val="20"/>
                <w:u w:val="single"/>
              </w:rPr>
              <w:t>transformación cultural para</w:t>
            </w:r>
            <w:r>
              <w:rPr>
                <w:b/>
                <w:sz w:val="20"/>
              </w:rPr>
              <w:t xml:space="preserve"> </w:t>
            </w:r>
            <w:r>
              <w:rPr>
                <w:b/>
                <w:sz w:val="20"/>
                <w:u w:val="single"/>
              </w:rPr>
              <w:t>democratizar el cuidado.</w:t>
            </w:r>
          </w:p>
          <w:p w14:paraId="0B353C64" w14:textId="77777777" w:rsidR="000E52B0" w:rsidRDefault="00F60D74">
            <w:pPr>
              <w:pStyle w:val="TableParagraph"/>
              <w:spacing w:before="228" w:line="242" w:lineRule="exact"/>
              <w:ind w:left="107"/>
              <w:rPr>
                <w:b/>
                <w:sz w:val="20"/>
              </w:rPr>
            </w:pPr>
            <w:r>
              <w:rPr>
                <w:b/>
                <w:sz w:val="20"/>
                <w:u w:val="single"/>
              </w:rPr>
              <w:t>El Ministerio de Igualdad y Equidad</w:t>
            </w:r>
            <w:r>
              <w:rPr>
                <w:b/>
                <w:sz w:val="20"/>
              </w:rPr>
              <w:t xml:space="preserve"> </w:t>
            </w:r>
            <w:r>
              <w:rPr>
                <w:b/>
                <w:sz w:val="20"/>
                <w:u w:val="single"/>
              </w:rPr>
              <w:t>liderará</w:t>
            </w:r>
            <w:r>
              <w:rPr>
                <w:b/>
                <w:spacing w:val="-11"/>
                <w:sz w:val="20"/>
                <w:u w:val="single"/>
              </w:rPr>
              <w:t xml:space="preserve"> </w:t>
            </w:r>
            <w:r>
              <w:rPr>
                <w:b/>
                <w:sz w:val="20"/>
                <w:u w:val="single"/>
              </w:rPr>
              <w:t>y</w:t>
            </w:r>
            <w:r>
              <w:rPr>
                <w:b/>
                <w:spacing w:val="-12"/>
                <w:sz w:val="20"/>
                <w:u w:val="single"/>
              </w:rPr>
              <w:t xml:space="preserve"> </w:t>
            </w:r>
            <w:r>
              <w:rPr>
                <w:b/>
                <w:sz w:val="20"/>
                <w:u w:val="single"/>
              </w:rPr>
              <w:t>coordinará</w:t>
            </w:r>
            <w:r>
              <w:rPr>
                <w:b/>
                <w:spacing w:val="-11"/>
                <w:sz w:val="20"/>
                <w:u w:val="single"/>
              </w:rPr>
              <w:t xml:space="preserve"> </w:t>
            </w:r>
            <w:r>
              <w:rPr>
                <w:b/>
                <w:sz w:val="20"/>
                <w:u w:val="single"/>
              </w:rPr>
              <w:t>la</w:t>
            </w:r>
            <w:r>
              <w:rPr>
                <w:b/>
                <w:spacing w:val="-11"/>
                <w:sz w:val="20"/>
                <w:u w:val="single"/>
              </w:rPr>
              <w:t xml:space="preserve"> </w:t>
            </w:r>
            <w:r>
              <w:rPr>
                <w:b/>
                <w:sz w:val="20"/>
                <w:u w:val="single"/>
              </w:rPr>
              <w:t>implementación</w:t>
            </w:r>
            <w:r>
              <w:rPr>
                <w:b/>
                <w:sz w:val="20"/>
              </w:rPr>
              <w:t xml:space="preserve"> </w:t>
            </w:r>
            <w:r>
              <w:rPr>
                <w:b/>
                <w:sz w:val="20"/>
                <w:u w:val="single"/>
              </w:rPr>
              <w:t>del Sistema Nacional de Cuidado.</w:t>
            </w:r>
          </w:p>
        </w:tc>
        <w:tc>
          <w:tcPr>
            <w:tcW w:w="3809" w:type="dxa"/>
          </w:tcPr>
          <w:p w14:paraId="145A8BEB" w14:textId="77777777" w:rsidR="000E52B0" w:rsidRDefault="000E52B0">
            <w:pPr>
              <w:pStyle w:val="TableParagraph"/>
              <w:rPr>
                <w:rFonts w:ascii="Times New Roman"/>
                <w:sz w:val="18"/>
              </w:rPr>
            </w:pPr>
          </w:p>
        </w:tc>
      </w:tr>
      <w:tr w:rsidR="000E52B0" w14:paraId="7FC1D279" w14:textId="77777777">
        <w:trPr>
          <w:trHeight w:val="2185"/>
        </w:trPr>
        <w:tc>
          <w:tcPr>
            <w:tcW w:w="4712" w:type="dxa"/>
          </w:tcPr>
          <w:p w14:paraId="201BC61C" w14:textId="77777777" w:rsidR="000E52B0" w:rsidRDefault="00F60D74">
            <w:pPr>
              <w:pStyle w:val="TableParagraph"/>
              <w:spacing w:line="243" w:lineRule="exact"/>
              <w:ind w:left="107"/>
              <w:jc w:val="both"/>
              <w:rPr>
                <w:sz w:val="20"/>
              </w:rPr>
            </w:pPr>
            <w:r>
              <w:rPr>
                <w:b/>
                <w:color w:val="333333"/>
                <w:sz w:val="20"/>
              </w:rPr>
              <w:t>ARTÍCULO</w:t>
            </w:r>
            <w:r>
              <w:rPr>
                <w:b/>
                <w:color w:val="333333"/>
                <w:spacing w:val="57"/>
                <w:w w:val="150"/>
                <w:sz w:val="20"/>
              </w:rPr>
              <w:t xml:space="preserve"> </w:t>
            </w:r>
            <w:r>
              <w:rPr>
                <w:b/>
                <w:color w:val="333333"/>
                <w:sz w:val="20"/>
              </w:rPr>
              <w:t>7.</w:t>
            </w:r>
            <w:r>
              <w:rPr>
                <w:b/>
                <w:color w:val="333333"/>
                <w:spacing w:val="56"/>
                <w:w w:val="150"/>
                <w:sz w:val="20"/>
              </w:rPr>
              <w:t xml:space="preserve"> </w:t>
            </w:r>
            <w:r>
              <w:rPr>
                <w:b/>
                <w:color w:val="333333"/>
                <w:sz w:val="20"/>
              </w:rPr>
              <w:t>SEDE</w:t>
            </w:r>
            <w:r>
              <w:rPr>
                <w:b/>
                <w:color w:val="333333"/>
                <w:spacing w:val="57"/>
                <w:w w:val="150"/>
                <w:sz w:val="20"/>
              </w:rPr>
              <w:t xml:space="preserve"> </w:t>
            </w:r>
            <w:r>
              <w:rPr>
                <w:b/>
                <w:color w:val="333333"/>
                <w:sz w:val="20"/>
              </w:rPr>
              <w:t>Y</w:t>
            </w:r>
            <w:r>
              <w:rPr>
                <w:b/>
                <w:color w:val="333333"/>
                <w:spacing w:val="61"/>
                <w:w w:val="150"/>
                <w:sz w:val="20"/>
              </w:rPr>
              <w:t xml:space="preserve"> </w:t>
            </w:r>
            <w:r>
              <w:rPr>
                <w:b/>
                <w:color w:val="333333"/>
                <w:sz w:val="20"/>
              </w:rPr>
              <w:t>DOMICILIO.</w:t>
            </w:r>
            <w:r>
              <w:rPr>
                <w:b/>
                <w:color w:val="333333"/>
                <w:spacing w:val="58"/>
                <w:w w:val="150"/>
                <w:sz w:val="20"/>
              </w:rPr>
              <w:t xml:space="preserve"> </w:t>
            </w:r>
            <w:r>
              <w:rPr>
                <w:color w:val="333333"/>
                <w:spacing w:val="-5"/>
                <w:sz w:val="20"/>
              </w:rPr>
              <w:t>El</w:t>
            </w:r>
          </w:p>
          <w:p w14:paraId="648BF237" w14:textId="77777777" w:rsidR="000E52B0" w:rsidRDefault="00F60D74">
            <w:pPr>
              <w:pStyle w:val="TableParagraph"/>
              <w:ind w:left="107" w:right="91"/>
              <w:jc w:val="both"/>
              <w:rPr>
                <w:sz w:val="20"/>
              </w:rPr>
            </w:pPr>
            <w:r>
              <w:rPr>
                <w:color w:val="333333"/>
                <w:sz w:val="20"/>
              </w:rPr>
              <w:t>Ministerio de Igualdad y Equidad tendrá como sede y domicilio la ciudad de Bogotá. D.C.,</w:t>
            </w:r>
            <w:r>
              <w:rPr>
                <w:color w:val="333333"/>
                <w:spacing w:val="-1"/>
                <w:sz w:val="20"/>
              </w:rPr>
              <w:t xml:space="preserve"> </w:t>
            </w:r>
            <w:r>
              <w:rPr>
                <w:color w:val="333333"/>
                <w:sz w:val="20"/>
              </w:rPr>
              <w:t>ejercerá</w:t>
            </w:r>
            <w:r>
              <w:rPr>
                <w:color w:val="333333"/>
                <w:spacing w:val="-3"/>
                <w:sz w:val="20"/>
              </w:rPr>
              <w:t xml:space="preserve"> </w:t>
            </w:r>
            <w:r>
              <w:rPr>
                <w:color w:val="333333"/>
                <w:sz w:val="20"/>
              </w:rPr>
              <w:t>sus</w:t>
            </w:r>
            <w:r>
              <w:rPr>
                <w:color w:val="333333"/>
                <w:spacing w:val="-4"/>
                <w:sz w:val="20"/>
              </w:rPr>
              <w:t xml:space="preserve"> </w:t>
            </w:r>
            <w:r>
              <w:rPr>
                <w:color w:val="333333"/>
                <w:sz w:val="20"/>
              </w:rPr>
              <w:t>funciones</w:t>
            </w:r>
            <w:r>
              <w:rPr>
                <w:color w:val="333333"/>
                <w:spacing w:val="-2"/>
                <w:sz w:val="20"/>
              </w:rPr>
              <w:t xml:space="preserve"> </w:t>
            </w:r>
            <w:r>
              <w:rPr>
                <w:color w:val="333333"/>
                <w:sz w:val="20"/>
              </w:rPr>
              <w:t>a</w:t>
            </w:r>
            <w:r>
              <w:rPr>
                <w:color w:val="333333"/>
                <w:spacing w:val="-3"/>
                <w:sz w:val="20"/>
              </w:rPr>
              <w:t xml:space="preserve"> </w:t>
            </w:r>
            <w:r>
              <w:rPr>
                <w:color w:val="333333"/>
                <w:sz w:val="20"/>
              </w:rPr>
              <w:t>nivel</w:t>
            </w:r>
            <w:r>
              <w:rPr>
                <w:color w:val="333333"/>
                <w:spacing w:val="-3"/>
                <w:sz w:val="20"/>
              </w:rPr>
              <w:t xml:space="preserve"> </w:t>
            </w:r>
            <w:r>
              <w:rPr>
                <w:color w:val="333333"/>
                <w:sz w:val="20"/>
              </w:rPr>
              <w:t>nacional y</w:t>
            </w:r>
            <w:r>
              <w:rPr>
                <w:color w:val="333333"/>
                <w:spacing w:val="-18"/>
                <w:sz w:val="20"/>
              </w:rPr>
              <w:t xml:space="preserve"> </w:t>
            </w:r>
            <w:r>
              <w:rPr>
                <w:color w:val="333333"/>
                <w:sz w:val="20"/>
              </w:rPr>
              <w:t>contará</w:t>
            </w:r>
            <w:r>
              <w:rPr>
                <w:color w:val="333333"/>
                <w:spacing w:val="-17"/>
                <w:sz w:val="20"/>
              </w:rPr>
              <w:t xml:space="preserve"> </w:t>
            </w:r>
            <w:r>
              <w:rPr>
                <w:color w:val="333333"/>
                <w:sz w:val="20"/>
              </w:rPr>
              <w:t>con</w:t>
            </w:r>
            <w:r>
              <w:rPr>
                <w:color w:val="333333"/>
                <w:spacing w:val="-15"/>
                <w:sz w:val="20"/>
              </w:rPr>
              <w:t xml:space="preserve"> </w:t>
            </w:r>
            <w:r>
              <w:rPr>
                <w:color w:val="333333"/>
                <w:sz w:val="20"/>
              </w:rPr>
              <w:t>Direcciones</w:t>
            </w:r>
            <w:r>
              <w:rPr>
                <w:color w:val="333333"/>
                <w:spacing w:val="-18"/>
                <w:sz w:val="20"/>
              </w:rPr>
              <w:t xml:space="preserve"> </w:t>
            </w:r>
            <w:r>
              <w:rPr>
                <w:color w:val="333333"/>
                <w:sz w:val="20"/>
              </w:rPr>
              <w:t>departamentales</w:t>
            </w:r>
            <w:r>
              <w:rPr>
                <w:color w:val="333333"/>
                <w:spacing w:val="-17"/>
                <w:sz w:val="20"/>
              </w:rPr>
              <w:t xml:space="preserve"> </w:t>
            </w:r>
            <w:r>
              <w:rPr>
                <w:color w:val="333333"/>
                <w:sz w:val="20"/>
              </w:rPr>
              <w:t xml:space="preserve">a través de las cuales se adaptarán e implementarán las políticas del Sector en el </w:t>
            </w:r>
            <w:proofErr w:type="gramStart"/>
            <w:r>
              <w:rPr>
                <w:color w:val="333333"/>
                <w:sz w:val="20"/>
              </w:rPr>
              <w:t>territorio</w:t>
            </w:r>
            <w:r>
              <w:rPr>
                <w:color w:val="333333"/>
                <w:spacing w:val="38"/>
                <w:sz w:val="20"/>
              </w:rPr>
              <w:t xml:space="preserve">  </w:t>
            </w:r>
            <w:r>
              <w:rPr>
                <w:color w:val="333333"/>
                <w:sz w:val="20"/>
              </w:rPr>
              <w:t>nacional,</w:t>
            </w:r>
            <w:r>
              <w:rPr>
                <w:color w:val="333333"/>
                <w:spacing w:val="40"/>
                <w:sz w:val="20"/>
              </w:rPr>
              <w:t xml:space="preserve">  </w:t>
            </w:r>
            <w:r>
              <w:rPr>
                <w:color w:val="333333"/>
                <w:sz w:val="20"/>
              </w:rPr>
              <w:t>de</w:t>
            </w:r>
            <w:proofErr w:type="gramEnd"/>
            <w:r>
              <w:rPr>
                <w:color w:val="333333"/>
                <w:spacing w:val="38"/>
                <w:sz w:val="20"/>
              </w:rPr>
              <w:t xml:space="preserve">  </w:t>
            </w:r>
            <w:proofErr w:type="gramStart"/>
            <w:r>
              <w:rPr>
                <w:color w:val="333333"/>
                <w:sz w:val="20"/>
              </w:rPr>
              <w:t>acuerdo</w:t>
            </w:r>
            <w:r>
              <w:rPr>
                <w:color w:val="333333"/>
                <w:spacing w:val="39"/>
                <w:sz w:val="20"/>
              </w:rPr>
              <w:t xml:space="preserve">  </w:t>
            </w:r>
            <w:r>
              <w:rPr>
                <w:color w:val="333333"/>
                <w:sz w:val="20"/>
              </w:rPr>
              <w:t>con</w:t>
            </w:r>
            <w:proofErr w:type="gramEnd"/>
            <w:r>
              <w:rPr>
                <w:color w:val="333333"/>
                <w:spacing w:val="40"/>
                <w:sz w:val="20"/>
              </w:rPr>
              <w:t xml:space="preserve">  </w:t>
            </w:r>
            <w:r>
              <w:rPr>
                <w:color w:val="333333"/>
                <w:spacing w:val="-5"/>
                <w:sz w:val="20"/>
              </w:rPr>
              <w:t>lo</w:t>
            </w:r>
          </w:p>
          <w:p w14:paraId="67D82436" w14:textId="77777777" w:rsidR="000E52B0" w:rsidRDefault="00F60D74">
            <w:pPr>
              <w:pStyle w:val="TableParagraph"/>
              <w:spacing w:line="221" w:lineRule="exact"/>
              <w:ind w:left="107"/>
              <w:jc w:val="both"/>
              <w:rPr>
                <w:sz w:val="20"/>
              </w:rPr>
            </w:pPr>
            <w:r>
              <w:rPr>
                <w:color w:val="333333"/>
                <w:sz w:val="20"/>
              </w:rPr>
              <w:t>dispuesto</w:t>
            </w:r>
            <w:r>
              <w:rPr>
                <w:color w:val="333333"/>
                <w:spacing w:val="-6"/>
                <w:sz w:val="20"/>
              </w:rPr>
              <w:t xml:space="preserve"> </w:t>
            </w:r>
            <w:r>
              <w:rPr>
                <w:color w:val="333333"/>
                <w:sz w:val="20"/>
              </w:rPr>
              <w:t>en</w:t>
            </w:r>
            <w:r>
              <w:rPr>
                <w:color w:val="333333"/>
                <w:spacing w:val="-7"/>
                <w:sz w:val="20"/>
              </w:rPr>
              <w:t xml:space="preserve"> </w:t>
            </w:r>
            <w:r>
              <w:rPr>
                <w:color w:val="333333"/>
                <w:sz w:val="20"/>
              </w:rPr>
              <w:t>la</w:t>
            </w:r>
            <w:r>
              <w:rPr>
                <w:color w:val="333333"/>
                <w:spacing w:val="-5"/>
                <w:sz w:val="20"/>
              </w:rPr>
              <w:t xml:space="preserve"> </w:t>
            </w:r>
            <w:r>
              <w:rPr>
                <w:color w:val="333333"/>
                <w:sz w:val="20"/>
              </w:rPr>
              <w:t>presente</w:t>
            </w:r>
            <w:r>
              <w:rPr>
                <w:color w:val="333333"/>
                <w:spacing w:val="-8"/>
                <w:sz w:val="20"/>
              </w:rPr>
              <w:t xml:space="preserve"> </w:t>
            </w:r>
            <w:r>
              <w:rPr>
                <w:color w:val="333333"/>
                <w:spacing w:val="-4"/>
                <w:sz w:val="20"/>
              </w:rPr>
              <w:t>Ley.</w:t>
            </w:r>
          </w:p>
        </w:tc>
        <w:tc>
          <w:tcPr>
            <w:tcW w:w="4723" w:type="dxa"/>
          </w:tcPr>
          <w:p w14:paraId="69F20B99" w14:textId="77777777" w:rsidR="000E52B0" w:rsidRDefault="00F60D74">
            <w:pPr>
              <w:pStyle w:val="TableParagraph"/>
              <w:spacing w:line="243" w:lineRule="exact"/>
              <w:ind w:left="107"/>
              <w:jc w:val="both"/>
              <w:rPr>
                <w:sz w:val="20"/>
              </w:rPr>
            </w:pPr>
            <w:r>
              <w:rPr>
                <w:b/>
                <w:color w:val="333333"/>
                <w:sz w:val="20"/>
              </w:rPr>
              <w:t>ARTÍCULO</w:t>
            </w:r>
            <w:r>
              <w:rPr>
                <w:b/>
                <w:color w:val="333333"/>
                <w:spacing w:val="61"/>
                <w:w w:val="150"/>
                <w:sz w:val="20"/>
              </w:rPr>
              <w:t xml:space="preserve"> </w:t>
            </w:r>
            <w:r>
              <w:rPr>
                <w:b/>
                <w:color w:val="333333"/>
                <w:sz w:val="20"/>
              </w:rPr>
              <w:t>7.</w:t>
            </w:r>
            <w:r>
              <w:rPr>
                <w:b/>
                <w:color w:val="333333"/>
                <w:spacing w:val="59"/>
                <w:w w:val="150"/>
                <w:sz w:val="20"/>
              </w:rPr>
              <w:t xml:space="preserve"> </w:t>
            </w:r>
            <w:r>
              <w:rPr>
                <w:b/>
                <w:color w:val="333333"/>
                <w:sz w:val="20"/>
              </w:rPr>
              <w:t>SEDE</w:t>
            </w:r>
            <w:r>
              <w:rPr>
                <w:b/>
                <w:color w:val="333333"/>
                <w:spacing w:val="62"/>
                <w:w w:val="150"/>
                <w:sz w:val="20"/>
              </w:rPr>
              <w:t xml:space="preserve"> </w:t>
            </w:r>
            <w:r>
              <w:rPr>
                <w:b/>
                <w:color w:val="333333"/>
                <w:sz w:val="20"/>
              </w:rPr>
              <w:t>Y</w:t>
            </w:r>
            <w:r>
              <w:rPr>
                <w:b/>
                <w:color w:val="333333"/>
                <w:spacing w:val="59"/>
                <w:w w:val="150"/>
                <w:sz w:val="20"/>
              </w:rPr>
              <w:t xml:space="preserve"> </w:t>
            </w:r>
            <w:r>
              <w:rPr>
                <w:b/>
                <w:color w:val="333333"/>
                <w:sz w:val="20"/>
              </w:rPr>
              <w:t>DOMICILIO.</w:t>
            </w:r>
            <w:r>
              <w:rPr>
                <w:b/>
                <w:color w:val="333333"/>
                <w:spacing w:val="62"/>
                <w:w w:val="150"/>
                <w:sz w:val="20"/>
              </w:rPr>
              <w:t xml:space="preserve"> </w:t>
            </w:r>
            <w:r>
              <w:rPr>
                <w:color w:val="333333"/>
                <w:spacing w:val="-5"/>
                <w:sz w:val="20"/>
              </w:rPr>
              <w:t>El</w:t>
            </w:r>
          </w:p>
          <w:p w14:paraId="05B3E093" w14:textId="77777777" w:rsidR="000E52B0" w:rsidRDefault="00F60D74">
            <w:pPr>
              <w:pStyle w:val="TableParagraph"/>
              <w:ind w:left="107" w:right="85"/>
              <w:jc w:val="both"/>
              <w:rPr>
                <w:sz w:val="20"/>
              </w:rPr>
            </w:pPr>
            <w:r>
              <w:rPr>
                <w:color w:val="333333"/>
                <w:sz w:val="20"/>
              </w:rPr>
              <w:t>Ministerio de Igualdad y Equidad tendrá como sede y domicilio la ciudad de Bogotá. D.C., ejercerá</w:t>
            </w:r>
            <w:r>
              <w:rPr>
                <w:color w:val="333333"/>
                <w:spacing w:val="-1"/>
                <w:sz w:val="20"/>
              </w:rPr>
              <w:t xml:space="preserve"> </w:t>
            </w:r>
            <w:r>
              <w:rPr>
                <w:color w:val="333333"/>
                <w:sz w:val="20"/>
              </w:rPr>
              <w:t>sus</w:t>
            </w:r>
            <w:r>
              <w:rPr>
                <w:color w:val="333333"/>
                <w:spacing w:val="-1"/>
                <w:sz w:val="20"/>
              </w:rPr>
              <w:t xml:space="preserve"> </w:t>
            </w:r>
            <w:r>
              <w:rPr>
                <w:color w:val="333333"/>
                <w:sz w:val="20"/>
              </w:rPr>
              <w:t>funciones a</w:t>
            </w:r>
            <w:r>
              <w:rPr>
                <w:color w:val="333333"/>
                <w:spacing w:val="-1"/>
                <w:sz w:val="20"/>
              </w:rPr>
              <w:t xml:space="preserve"> </w:t>
            </w:r>
            <w:r>
              <w:rPr>
                <w:color w:val="333333"/>
                <w:sz w:val="20"/>
              </w:rPr>
              <w:t xml:space="preserve">nivel nacional y contará con </w:t>
            </w:r>
            <w:r>
              <w:rPr>
                <w:b/>
                <w:color w:val="333333"/>
                <w:sz w:val="20"/>
                <w:u w:val="single" w:color="333333"/>
              </w:rPr>
              <w:t>d</w:t>
            </w:r>
            <w:r>
              <w:rPr>
                <w:color w:val="333333"/>
                <w:sz w:val="20"/>
              </w:rPr>
              <w:t>irecciones departamentales</w:t>
            </w:r>
            <w:r>
              <w:rPr>
                <w:b/>
                <w:color w:val="333333"/>
                <w:sz w:val="20"/>
              </w:rPr>
              <w:t xml:space="preserve">, </w:t>
            </w:r>
            <w:r>
              <w:rPr>
                <w:color w:val="333333"/>
                <w:sz w:val="20"/>
              </w:rPr>
              <w:t xml:space="preserve">a través de las cuales se adaptarán e implementarán las políticas del Sector en el </w:t>
            </w:r>
            <w:proofErr w:type="gramStart"/>
            <w:r>
              <w:rPr>
                <w:color w:val="333333"/>
                <w:sz w:val="20"/>
              </w:rPr>
              <w:t>territorio</w:t>
            </w:r>
            <w:r>
              <w:rPr>
                <w:color w:val="333333"/>
                <w:spacing w:val="40"/>
                <w:sz w:val="20"/>
              </w:rPr>
              <w:t xml:space="preserve">  </w:t>
            </w:r>
            <w:r>
              <w:rPr>
                <w:color w:val="333333"/>
                <w:sz w:val="20"/>
              </w:rPr>
              <w:t>nacional,</w:t>
            </w:r>
            <w:r>
              <w:rPr>
                <w:color w:val="333333"/>
                <w:spacing w:val="41"/>
                <w:sz w:val="20"/>
              </w:rPr>
              <w:t xml:space="preserve">  </w:t>
            </w:r>
            <w:r>
              <w:rPr>
                <w:color w:val="333333"/>
                <w:sz w:val="20"/>
              </w:rPr>
              <w:t>de</w:t>
            </w:r>
            <w:proofErr w:type="gramEnd"/>
            <w:r>
              <w:rPr>
                <w:color w:val="333333"/>
                <w:spacing w:val="39"/>
                <w:sz w:val="20"/>
              </w:rPr>
              <w:t xml:space="preserve">  </w:t>
            </w:r>
            <w:proofErr w:type="gramStart"/>
            <w:r>
              <w:rPr>
                <w:color w:val="333333"/>
                <w:sz w:val="20"/>
              </w:rPr>
              <w:t>acuerdo</w:t>
            </w:r>
            <w:r>
              <w:rPr>
                <w:color w:val="333333"/>
                <w:spacing w:val="41"/>
                <w:sz w:val="20"/>
              </w:rPr>
              <w:t xml:space="preserve">  </w:t>
            </w:r>
            <w:r>
              <w:rPr>
                <w:color w:val="333333"/>
                <w:sz w:val="20"/>
              </w:rPr>
              <w:t>con</w:t>
            </w:r>
            <w:proofErr w:type="gramEnd"/>
            <w:r>
              <w:rPr>
                <w:color w:val="333333"/>
                <w:spacing w:val="40"/>
                <w:sz w:val="20"/>
              </w:rPr>
              <w:t xml:space="preserve">  </w:t>
            </w:r>
            <w:r>
              <w:rPr>
                <w:color w:val="333333"/>
                <w:spacing w:val="-5"/>
                <w:sz w:val="20"/>
              </w:rPr>
              <w:t>lo</w:t>
            </w:r>
          </w:p>
          <w:p w14:paraId="60BB21C5" w14:textId="77777777" w:rsidR="000E52B0" w:rsidRDefault="00F60D74">
            <w:pPr>
              <w:pStyle w:val="TableParagraph"/>
              <w:spacing w:line="221" w:lineRule="exact"/>
              <w:ind w:left="107"/>
              <w:jc w:val="both"/>
              <w:rPr>
                <w:sz w:val="20"/>
              </w:rPr>
            </w:pPr>
            <w:r>
              <w:rPr>
                <w:noProof/>
                <w:sz w:val="20"/>
              </w:rPr>
              <mc:AlternateContent>
                <mc:Choice Requires="wpg">
                  <w:drawing>
                    <wp:anchor distT="0" distB="0" distL="0" distR="0" simplePos="0" relativeHeight="482327040" behindDoc="1" locked="0" layoutInCell="1" allowOverlap="1" wp14:anchorId="6CEFF8CA" wp14:editId="4D2857E4">
                      <wp:simplePos x="0" y="0"/>
                      <wp:positionH relativeFrom="column">
                        <wp:posOffset>2885186</wp:posOffset>
                      </wp:positionH>
                      <wp:positionV relativeFrom="paragraph">
                        <wp:posOffset>-480393</wp:posOffset>
                      </wp:positionV>
                      <wp:extent cx="47625" cy="13970"/>
                      <wp:effectExtent l="0" t="0" r="0" b="0"/>
                      <wp:wrapNone/>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13970"/>
                                <a:chOff x="0" y="0"/>
                                <a:chExt cx="47625" cy="13970"/>
                              </a:xfrm>
                            </wpg:grpSpPr>
                            <wps:wsp>
                              <wps:cNvPr id="799" name="Graphic 799"/>
                              <wps:cNvSpPr/>
                              <wps:spPr>
                                <a:xfrm>
                                  <a:off x="0" y="0"/>
                                  <a:ext cx="47625" cy="13970"/>
                                </a:xfrm>
                                <a:custGeom>
                                  <a:avLst/>
                                  <a:gdLst/>
                                  <a:ahLst/>
                                  <a:cxnLst/>
                                  <a:rect l="l" t="t" r="r" b="b"/>
                                  <a:pathLst>
                                    <a:path w="47625" h="13970">
                                      <a:moveTo>
                                        <a:pt x="47244" y="0"/>
                                      </a:moveTo>
                                      <a:lnTo>
                                        <a:pt x="0" y="0"/>
                                      </a:lnTo>
                                      <a:lnTo>
                                        <a:pt x="0" y="13715"/>
                                      </a:lnTo>
                                      <a:lnTo>
                                        <a:pt x="47244" y="13715"/>
                                      </a:lnTo>
                                      <a:lnTo>
                                        <a:pt x="47244" y="0"/>
                                      </a:lnTo>
                                      <a:close/>
                                    </a:path>
                                  </a:pathLst>
                                </a:custGeom>
                                <a:solidFill>
                                  <a:srgbClr val="333333"/>
                                </a:solidFill>
                              </wps:spPr>
                              <wps:bodyPr wrap="square" lIns="0" tIns="0" rIns="0" bIns="0" rtlCol="0">
                                <a:prstTxWarp prst="textNoShape">
                                  <a:avLst/>
                                </a:prstTxWarp>
                                <a:noAutofit/>
                              </wps:bodyPr>
                            </wps:wsp>
                          </wpg:wgp>
                        </a:graphicData>
                      </a:graphic>
                    </wp:anchor>
                  </w:drawing>
                </mc:Choice>
                <mc:Fallback>
                  <w:pict>
                    <v:group w14:anchorId="17E0F949" id="Group 798" o:spid="_x0000_s1026" style="position:absolute;margin-left:227.2pt;margin-top:-37.85pt;width:3.75pt;height:1.1pt;z-index:-20989440;mso-wrap-distance-left:0;mso-wrap-distance-right:0" coordsize="4762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">
                      <v:shape id="Graphic 799" o:spid="_x0000_s1027" style="position:absolute;width:47625;height:13970;visibility:visible;mso-wrap-style:square;v-text-anchor:top" coordsize="4762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" path="m47244,l,,,13715r47244,l47244,xe" fillcolor="#333" stroked="f">
                        <v:path arrowok="t"/>
                      </v:shape>
                    </v:group>
                  </w:pict>
                </mc:Fallback>
              </mc:AlternateContent>
            </w:r>
            <w:r>
              <w:rPr>
                <w:color w:val="333333"/>
                <w:sz w:val="20"/>
              </w:rPr>
              <w:t>dispuesto</w:t>
            </w:r>
            <w:r>
              <w:rPr>
                <w:color w:val="333333"/>
                <w:spacing w:val="-6"/>
                <w:sz w:val="20"/>
              </w:rPr>
              <w:t xml:space="preserve"> </w:t>
            </w:r>
            <w:r>
              <w:rPr>
                <w:color w:val="333333"/>
                <w:sz w:val="20"/>
              </w:rPr>
              <w:t>en</w:t>
            </w:r>
            <w:r>
              <w:rPr>
                <w:color w:val="333333"/>
                <w:spacing w:val="-7"/>
                <w:sz w:val="20"/>
              </w:rPr>
              <w:t xml:space="preserve"> </w:t>
            </w:r>
            <w:r>
              <w:rPr>
                <w:color w:val="333333"/>
                <w:sz w:val="20"/>
              </w:rPr>
              <w:t>la</w:t>
            </w:r>
            <w:r>
              <w:rPr>
                <w:color w:val="333333"/>
                <w:spacing w:val="-5"/>
                <w:sz w:val="20"/>
              </w:rPr>
              <w:t xml:space="preserve"> </w:t>
            </w:r>
            <w:r>
              <w:rPr>
                <w:color w:val="333333"/>
                <w:sz w:val="20"/>
              </w:rPr>
              <w:t>presente</w:t>
            </w:r>
            <w:r>
              <w:rPr>
                <w:color w:val="333333"/>
                <w:spacing w:val="-8"/>
                <w:sz w:val="20"/>
              </w:rPr>
              <w:t xml:space="preserve"> </w:t>
            </w:r>
            <w:r>
              <w:rPr>
                <w:color w:val="333333"/>
                <w:spacing w:val="-4"/>
                <w:sz w:val="20"/>
              </w:rPr>
              <w:t>Ley.</w:t>
            </w:r>
          </w:p>
        </w:tc>
        <w:tc>
          <w:tcPr>
            <w:tcW w:w="3809" w:type="dxa"/>
          </w:tcPr>
          <w:p w14:paraId="060B6F84" w14:textId="77777777" w:rsidR="000E52B0" w:rsidRDefault="00F60D74">
            <w:pPr>
              <w:pStyle w:val="TableParagraph"/>
              <w:ind w:left="108"/>
              <w:rPr>
                <w:sz w:val="20"/>
              </w:rPr>
            </w:pPr>
            <w:r>
              <w:rPr>
                <w:sz w:val="20"/>
              </w:rPr>
              <w:t xml:space="preserve">Sin modificaciones, solo ajustes de </w:t>
            </w:r>
            <w:r>
              <w:rPr>
                <w:spacing w:val="-2"/>
                <w:sz w:val="20"/>
              </w:rPr>
              <w:t>redacción.</w:t>
            </w:r>
          </w:p>
        </w:tc>
      </w:tr>
      <w:tr w:rsidR="000E52B0" w14:paraId="23CAE061" w14:textId="77777777">
        <w:trPr>
          <w:trHeight w:val="3156"/>
        </w:trPr>
        <w:tc>
          <w:tcPr>
            <w:tcW w:w="4712" w:type="dxa"/>
          </w:tcPr>
          <w:p w14:paraId="49B45CA6" w14:textId="77777777" w:rsidR="000E52B0" w:rsidRDefault="00F60D74">
            <w:pPr>
              <w:pStyle w:val="TableParagraph"/>
              <w:spacing w:before="3"/>
              <w:ind w:left="107" w:right="89"/>
              <w:jc w:val="both"/>
              <w:rPr>
                <w:sz w:val="20"/>
              </w:rPr>
            </w:pPr>
            <w:r>
              <w:rPr>
                <w:b/>
                <w:color w:val="333333"/>
                <w:sz w:val="20"/>
              </w:rPr>
              <w:t>ARTÍCULO</w:t>
            </w:r>
            <w:r>
              <w:rPr>
                <w:b/>
                <w:color w:val="333333"/>
                <w:spacing w:val="-11"/>
                <w:sz w:val="20"/>
              </w:rPr>
              <w:t xml:space="preserve"> </w:t>
            </w:r>
            <w:r>
              <w:rPr>
                <w:b/>
                <w:color w:val="333333"/>
                <w:sz w:val="20"/>
              </w:rPr>
              <w:t>8.</w:t>
            </w:r>
            <w:r>
              <w:rPr>
                <w:b/>
                <w:color w:val="333333"/>
                <w:spacing w:val="-12"/>
                <w:sz w:val="20"/>
              </w:rPr>
              <w:t xml:space="preserve"> </w:t>
            </w:r>
            <w:r>
              <w:rPr>
                <w:b/>
                <w:color w:val="333333"/>
                <w:sz w:val="20"/>
              </w:rPr>
              <w:t>PATRIMONIO.</w:t>
            </w:r>
            <w:r>
              <w:rPr>
                <w:b/>
                <w:color w:val="333333"/>
                <w:spacing w:val="-9"/>
                <w:sz w:val="20"/>
              </w:rPr>
              <w:t xml:space="preserve"> </w:t>
            </w:r>
            <w:r>
              <w:rPr>
                <w:color w:val="333333"/>
                <w:sz w:val="20"/>
              </w:rPr>
              <w:t>El</w:t>
            </w:r>
            <w:r>
              <w:rPr>
                <w:color w:val="333333"/>
                <w:spacing w:val="-13"/>
                <w:sz w:val="20"/>
              </w:rPr>
              <w:t xml:space="preserve"> </w:t>
            </w:r>
            <w:r>
              <w:rPr>
                <w:color w:val="333333"/>
                <w:sz w:val="20"/>
              </w:rPr>
              <w:t>patrimonio del Ministerio de Igualdad y Equidad estará conformado por:</w:t>
            </w:r>
          </w:p>
          <w:p w14:paraId="27532D57" w14:textId="77777777" w:rsidR="000E52B0" w:rsidRDefault="00F60D74">
            <w:pPr>
              <w:pStyle w:val="TableParagraph"/>
              <w:spacing w:before="240"/>
              <w:ind w:left="107" w:right="94"/>
              <w:jc w:val="both"/>
              <w:rPr>
                <w:sz w:val="20"/>
              </w:rPr>
            </w:pPr>
            <w:r>
              <w:rPr>
                <w:color w:val="333333"/>
                <w:sz w:val="20"/>
              </w:rPr>
              <w:t>Las</w:t>
            </w:r>
            <w:r>
              <w:rPr>
                <w:color w:val="333333"/>
                <w:spacing w:val="-18"/>
                <w:sz w:val="20"/>
              </w:rPr>
              <w:t xml:space="preserve"> </w:t>
            </w:r>
            <w:r>
              <w:rPr>
                <w:color w:val="333333"/>
                <w:sz w:val="20"/>
              </w:rPr>
              <w:t>sumas</w:t>
            </w:r>
            <w:r>
              <w:rPr>
                <w:color w:val="333333"/>
                <w:spacing w:val="-18"/>
                <w:sz w:val="20"/>
              </w:rPr>
              <w:t xml:space="preserve"> </w:t>
            </w:r>
            <w:r>
              <w:rPr>
                <w:color w:val="333333"/>
                <w:sz w:val="20"/>
              </w:rPr>
              <w:t>que</w:t>
            </w:r>
            <w:r>
              <w:rPr>
                <w:color w:val="333333"/>
                <w:spacing w:val="-17"/>
                <w:sz w:val="20"/>
              </w:rPr>
              <w:t xml:space="preserve"> </w:t>
            </w:r>
            <w:r>
              <w:rPr>
                <w:color w:val="333333"/>
                <w:sz w:val="20"/>
              </w:rPr>
              <w:t>se</w:t>
            </w:r>
            <w:r>
              <w:rPr>
                <w:color w:val="333333"/>
                <w:spacing w:val="-18"/>
                <w:sz w:val="20"/>
              </w:rPr>
              <w:t xml:space="preserve"> </w:t>
            </w:r>
            <w:r>
              <w:rPr>
                <w:color w:val="333333"/>
                <w:sz w:val="20"/>
              </w:rPr>
              <w:t>apropien</w:t>
            </w:r>
            <w:r>
              <w:rPr>
                <w:color w:val="333333"/>
                <w:spacing w:val="-17"/>
                <w:sz w:val="20"/>
              </w:rPr>
              <w:t xml:space="preserve"> </w:t>
            </w:r>
            <w:r>
              <w:rPr>
                <w:color w:val="333333"/>
                <w:sz w:val="20"/>
              </w:rPr>
              <w:t>en</w:t>
            </w:r>
            <w:r>
              <w:rPr>
                <w:color w:val="333333"/>
                <w:spacing w:val="-18"/>
                <w:sz w:val="20"/>
              </w:rPr>
              <w:t xml:space="preserve"> </w:t>
            </w:r>
            <w:r>
              <w:rPr>
                <w:color w:val="333333"/>
                <w:sz w:val="20"/>
              </w:rPr>
              <w:t>el</w:t>
            </w:r>
            <w:r>
              <w:rPr>
                <w:color w:val="333333"/>
                <w:spacing w:val="-18"/>
                <w:sz w:val="20"/>
              </w:rPr>
              <w:t xml:space="preserve"> </w:t>
            </w:r>
            <w:r>
              <w:rPr>
                <w:color w:val="333333"/>
                <w:sz w:val="20"/>
              </w:rPr>
              <w:t>Presupuesto General de la Nación.</w:t>
            </w:r>
          </w:p>
          <w:p w14:paraId="3CFF1EB3" w14:textId="77777777" w:rsidR="000E52B0" w:rsidRDefault="00F60D74">
            <w:pPr>
              <w:pStyle w:val="TableParagraph"/>
              <w:spacing w:before="239"/>
              <w:ind w:left="107" w:right="92"/>
              <w:jc w:val="both"/>
              <w:rPr>
                <w:sz w:val="20"/>
              </w:rPr>
            </w:pPr>
            <w:r>
              <w:rPr>
                <w:color w:val="333333"/>
                <w:sz w:val="20"/>
              </w:rPr>
              <w:t>Los bienes muebles e inmuebles que adquiera a cualquier título.</w:t>
            </w:r>
          </w:p>
          <w:p w14:paraId="2249866E" w14:textId="77777777" w:rsidR="000E52B0" w:rsidRDefault="00F60D74">
            <w:pPr>
              <w:pStyle w:val="TableParagraph"/>
              <w:spacing w:line="242" w:lineRule="exact"/>
              <w:ind w:left="107" w:right="93"/>
              <w:jc w:val="both"/>
              <w:rPr>
                <w:sz w:val="20"/>
              </w:rPr>
            </w:pPr>
            <w:r>
              <w:rPr>
                <w:color w:val="333333"/>
                <w:sz w:val="20"/>
              </w:rPr>
              <w:t>Las</w:t>
            </w:r>
            <w:r>
              <w:rPr>
                <w:color w:val="333333"/>
                <w:spacing w:val="-7"/>
                <w:sz w:val="20"/>
              </w:rPr>
              <w:t xml:space="preserve"> </w:t>
            </w:r>
            <w:r>
              <w:rPr>
                <w:color w:val="333333"/>
                <w:sz w:val="20"/>
              </w:rPr>
              <w:t>sumas</w:t>
            </w:r>
            <w:r>
              <w:rPr>
                <w:color w:val="333333"/>
                <w:spacing w:val="-10"/>
                <w:sz w:val="20"/>
              </w:rPr>
              <w:t xml:space="preserve"> </w:t>
            </w:r>
            <w:r>
              <w:rPr>
                <w:color w:val="333333"/>
                <w:sz w:val="20"/>
              </w:rPr>
              <w:t>y</w:t>
            </w:r>
            <w:r>
              <w:rPr>
                <w:color w:val="333333"/>
                <w:spacing w:val="-8"/>
                <w:sz w:val="20"/>
              </w:rPr>
              <w:t xml:space="preserve"> </w:t>
            </w:r>
            <w:r>
              <w:rPr>
                <w:color w:val="333333"/>
                <w:sz w:val="20"/>
              </w:rPr>
              <w:t>los</w:t>
            </w:r>
            <w:r>
              <w:rPr>
                <w:color w:val="333333"/>
                <w:spacing w:val="-10"/>
                <w:sz w:val="20"/>
              </w:rPr>
              <w:t xml:space="preserve"> </w:t>
            </w:r>
            <w:r>
              <w:rPr>
                <w:color w:val="333333"/>
                <w:sz w:val="20"/>
              </w:rPr>
              <w:t>bienes</w:t>
            </w:r>
            <w:r>
              <w:rPr>
                <w:color w:val="333333"/>
                <w:spacing w:val="-8"/>
                <w:sz w:val="20"/>
              </w:rPr>
              <w:t xml:space="preserve"> </w:t>
            </w:r>
            <w:r>
              <w:rPr>
                <w:color w:val="333333"/>
                <w:sz w:val="20"/>
              </w:rPr>
              <w:t>muebles</w:t>
            </w:r>
            <w:r>
              <w:rPr>
                <w:color w:val="333333"/>
                <w:spacing w:val="-8"/>
                <w:sz w:val="20"/>
              </w:rPr>
              <w:t xml:space="preserve"> </w:t>
            </w:r>
            <w:r>
              <w:rPr>
                <w:color w:val="333333"/>
                <w:sz w:val="20"/>
              </w:rPr>
              <w:t>e</w:t>
            </w:r>
            <w:r>
              <w:rPr>
                <w:color w:val="333333"/>
                <w:spacing w:val="-11"/>
                <w:sz w:val="20"/>
              </w:rPr>
              <w:t xml:space="preserve"> </w:t>
            </w:r>
            <w:r>
              <w:rPr>
                <w:color w:val="333333"/>
                <w:sz w:val="20"/>
              </w:rPr>
              <w:t>inmuebles que</w:t>
            </w:r>
            <w:r>
              <w:rPr>
                <w:color w:val="333333"/>
                <w:spacing w:val="-13"/>
                <w:sz w:val="20"/>
              </w:rPr>
              <w:t xml:space="preserve"> </w:t>
            </w:r>
            <w:r>
              <w:rPr>
                <w:color w:val="333333"/>
                <w:sz w:val="20"/>
              </w:rPr>
              <w:t>le</w:t>
            </w:r>
            <w:r>
              <w:rPr>
                <w:color w:val="333333"/>
                <w:spacing w:val="-11"/>
                <w:sz w:val="20"/>
              </w:rPr>
              <w:t xml:space="preserve"> </w:t>
            </w:r>
            <w:r>
              <w:rPr>
                <w:color w:val="333333"/>
                <w:sz w:val="20"/>
              </w:rPr>
              <w:t>sean</w:t>
            </w:r>
            <w:r>
              <w:rPr>
                <w:color w:val="333333"/>
                <w:spacing w:val="-11"/>
                <w:sz w:val="20"/>
              </w:rPr>
              <w:t xml:space="preserve"> </w:t>
            </w:r>
            <w:r>
              <w:rPr>
                <w:color w:val="333333"/>
                <w:sz w:val="20"/>
              </w:rPr>
              <w:t>donados</w:t>
            </w:r>
            <w:r>
              <w:rPr>
                <w:color w:val="333333"/>
                <w:spacing w:val="-10"/>
                <w:sz w:val="20"/>
              </w:rPr>
              <w:t xml:space="preserve"> </w:t>
            </w:r>
            <w:r>
              <w:rPr>
                <w:color w:val="333333"/>
                <w:sz w:val="20"/>
              </w:rPr>
              <w:t>o</w:t>
            </w:r>
            <w:r>
              <w:rPr>
                <w:color w:val="333333"/>
                <w:spacing w:val="-11"/>
                <w:sz w:val="20"/>
              </w:rPr>
              <w:t xml:space="preserve"> </w:t>
            </w:r>
            <w:r>
              <w:rPr>
                <w:color w:val="333333"/>
                <w:sz w:val="20"/>
              </w:rPr>
              <w:t>cedidos</w:t>
            </w:r>
            <w:r>
              <w:rPr>
                <w:color w:val="333333"/>
                <w:spacing w:val="-10"/>
                <w:sz w:val="20"/>
              </w:rPr>
              <w:t xml:space="preserve"> </w:t>
            </w:r>
            <w:r>
              <w:rPr>
                <w:color w:val="333333"/>
                <w:sz w:val="20"/>
              </w:rPr>
              <w:t>por</w:t>
            </w:r>
            <w:r>
              <w:rPr>
                <w:color w:val="333333"/>
                <w:spacing w:val="-11"/>
                <w:sz w:val="20"/>
              </w:rPr>
              <w:t xml:space="preserve"> </w:t>
            </w:r>
            <w:r>
              <w:rPr>
                <w:color w:val="333333"/>
                <w:sz w:val="20"/>
              </w:rPr>
              <w:t xml:space="preserve">entidades públicas o privadas, nacionales o </w:t>
            </w:r>
            <w:r>
              <w:rPr>
                <w:color w:val="333333"/>
                <w:spacing w:val="-2"/>
                <w:sz w:val="20"/>
              </w:rPr>
              <w:t>internacionales.</w:t>
            </w:r>
          </w:p>
        </w:tc>
        <w:tc>
          <w:tcPr>
            <w:tcW w:w="4723" w:type="dxa"/>
          </w:tcPr>
          <w:p w14:paraId="79B6F5C9" w14:textId="77777777" w:rsidR="000E52B0" w:rsidRDefault="00F60D74">
            <w:pPr>
              <w:pStyle w:val="TableParagraph"/>
              <w:spacing w:before="3"/>
              <w:ind w:left="107" w:right="86"/>
              <w:jc w:val="both"/>
              <w:rPr>
                <w:sz w:val="20"/>
              </w:rPr>
            </w:pPr>
            <w:r>
              <w:rPr>
                <w:b/>
                <w:sz w:val="20"/>
              </w:rPr>
              <w:t>ARTÍCULO</w:t>
            </w:r>
            <w:r>
              <w:rPr>
                <w:b/>
                <w:spacing w:val="-7"/>
                <w:sz w:val="20"/>
              </w:rPr>
              <w:t xml:space="preserve"> </w:t>
            </w:r>
            <w:r>
              <w:rPr>
                <w:b/>
                <w:sz w:val="20"/>
              </w:rPr>
              <w:t>8.</w:t>
            </w:r>
            <w:r>
              <w:rPr>
                <w:b/>
                <w:spacing w:val="-10"/>
                <w:sz w:val="20"/>
              </w:rPr>
              <w:t xml:space="preserve"> </w:t>
            </w:r>
            <w:r>
              <w:rPr>
                <w:b/>
                <w:sz w:val="20"/>
              </w:rPr>
              <w:t>PATRIMONIO.</w:t>
            </w:r>
            <w:r>
              <w:rPr>
                <w:b/>
                <w:spacing w:val="-5"/>
                <w:sz w:val="20"/>
              </w:rPr>
              <w:t xml:space="preserve"> </w:t>
            </w:r>
            <w:r>
              <w:rPr>
                <w:sz w:val="20"/>
              </w:rPr>
              <w:t>El</w:t>
            </w:r>
            <w:r>
              <w:rPr>
                <w:spacing w:val="-10"/>
                <w:sz w:val="20"/>
              </w:rPr>
              <w:t xml:space="preserve"> </w:t>
            </w:r>
            <w:r>
              <w:rPr>
                <w:sz w:val="20"/>
              </w:rPr>
              <w:t>patrimonio del Ministerio de Igualdad y Equidad estará conformado por:</w:t>
            </w:r>
          </w:p>
          <w:p w14:paraId="7B001953" w14:textId="77777777" w:rsidR="000E52B0" w:rsidRDefault="00F60D74">
            <w:pPr>
              <w:pStyle w:val="TableParagraph"/>
              <w:numPr>
                <w:ilvl w:val="0"/>
                <w:numId w:val="13"/>
              </w:numPr>
              <w:tabs>
                <w:tab w:val="left" w:pos="827"/>
              </w:tabs>
              <w:ind w:right="89"/>
              <w:jc w:val="both"/>
              <w:rPr>
                <w:sz w:val="20"/>
              </w:rPr>
            </w:pPr>
            <w:r>
              <w:rPr>
                <w:sz w:val="20"/>
              </w:rPr>
              <w:t>Las sumas que se apropien en el Presupuesto General de la Nación.</w:t>
            </w:r>
          </w:p>
          <w:p w14:paraId="4DD8885A" w14:textId="77777777" w:rsidR="000E52B0" w:rsidRDefault="00F60D74">
            <w:pPr>
              <w:pStyle w:val="TableParagraph"/>
              <w:numPr>
                <w:ilvl w:val="0"/>
                <w:numId w:val="13"/>
              </w:numPr>
              <w:tabs>
                <w:tab w:val="left" w:pos="825"/>
                <w:tab w:val="left" w:pos="827"/>
              </w:tabs>
              <w:ind w:right="86"/>
              <w:jc w:val="both"/>
              <w:rPr>
                <w:b/>
                <w:sz w:val="20"/>
              </w:rPr>
            </w:pPr>
            <w:r>
              <w:rPr>
                <w:sz w:val="20"/>
              </w:rPr>
              <w:t>Los bienes muebles e inmuebles que adquiera a cualquier título</w:t>
            </w:r>
            <w:r>
              <w:rPr>
                <w:b/>
                <w:sz w:val="20"/>
              </w:rPr>
              <w:t>.</w:t>
            </w:r>
          </w:p>
          <w:p w14:paraId="06F3C0A3" w14:textId="77777777" w:rsidR="000E52B0" w:rsidRDefault="00F60D74">
            <w:pPr>
              <w:pStyle w:val="TableParagraph"/>
              <w:numPr>
                <w:ilvl w:val="0"/>
                <w:numId w:val="13"/>
              </w:numPr>
              <w:tabs>
                <w:tab w:val="left" w:pos="827"/>
                <w:tab w:val="left" w:pos="2595"/>
                <w:tab w:val="left" w:pos="4491"/>
              </w:tabs>
              <w:ind w:right="87"/>
              <w:jc w:val="both"/>
              <w:rPr>
                <w:b/>
                <w:sz w:val="20"/>
              </w:rPr>
            </w:pPr>
            <w:r>
              <w:rPr>
                <w:sz w:val="20"/>
              </w:rPr>
              <w:t xml:space="preserve">Las sumas y los bienes muebles e inmuebles que le sean donados o cedidos por entidades públicas o </w:t>
            </w:r>
            <w:r>
              <w:rPr>
                <w:spacing w:val="-2"/>
                <w:sz w:val="20"/>
              </w:rPr>
              <w:t>privadas,</w:t>
            </w:r>
            <w:r>
              <w:rPr>
                <w:sz w:val="20"/>
              </w:rPr>
              <w:tab/>
            </w:r>
            <w:r>
              <w:rPr>
                <w:spacing w:val="-2"/>
                <w:sz w:val="20"/>
              </w:rPr>
              <w:t>nacionales</w:t>
            </w:r>
            <w:r>
              <w:rPr>
                <w:sz w:val="20"/>
              </w:rPr>
              <w:tab/>
            </w:r>
            <w:r>
              <w:rPr>
                <w:spacing w:val="-10"/>
                <w:sz w:val="20"/>
              </w:rPr>
              <w:t xml:space="preserve">o </w:t>
            </w:r>
            <w:r>
              <w:rPr>
                <w:spacing w:val="-2"/>
                <w:sz w:val="20"/>
              </w:rPr>
              <w:t>internacionales</w:t>
            </w:r>
            <w:r>
              <w:rPr>
                <w:b/>
                <w:spacing w:val="-2"/>
                <w:sz w:val="20"/>
              </w:rPr>
              <w:t>.</w:t>
            </w:r>
          </w:p>
        </w:tc>
        <w:tc>
          <w:tcPr>
            <w:tcW w:w="3809" w:type="dxa"/>
          </w:tcPr>
          <w:p w14:paraId="5031DBD2" w14:textId="77777777" w:rsidR="000E52B0" w:rsidRDefault="00F60D74">
            <w:pPr>
              <w:pStyle w:val="TableParagraph"/>
              <w:spacing w:before="3"/>
              <w:ind w:left="108"/>
              <w:rPr>
                <w:sz w:val="20"/>
              </w:rPr>
            </w:pPr>
            <w:r>
              <w:rPr>
                <w:sz w:val="20"/>
              </w:rPr>
              <w:t>Sin</w:t>
            </w:r>
            <w:r>
              <w:rPr>
                <w:spacing w:val="-18"/>
                <w:sz w:val="20"/>
              </w:rPr>
              <w:t xml:space="preserve"> </w:t>
            </w:r>
            <w:r>
              <w:rPr>
                <w:sz w:val="20"/>
              </w:rPr>
              <w:t>modificaciones,</w:t>
            </w:r>
            <w:r>
              <w:rPr>
                <w:spacing w:val="-18"/>
                <w:sz w:val="20"/>
              </w:rPr>
              <w:t xml:space="preserve"> </w:t>
            </w:r>
            <w:r>
              <w:rPr>
                <w:sz w:val="20"/>
              </w:rPr>
              <w:t>solo</w:t>
            </w:r>
            <w:r>
              <w:rPr>
                <w:spacing w:val="-17"/>
                <w:sz w:val="20"/>
              </w:rPr>
              <w:t xml:space="preserve"> </w:t>
            </w:r>
            <w:r>
              <w:rPr>
                <w:sz w:val="20"/>
              </w:rPr>
              <w:t>se</w:t>
            </w:r>
            <w:r>
              <w:rPr>
                <w:spacing w:val="-18"/>
                <w:sz w:val="20"/>
              </w:rPr>
              <w:t xml:space="preserve"> </w:t>
            </w:r>
            <w:r>
              <w:rPr>
                <w:sz w:val="20"/>
              </w:rPr>
              <w:t>organiza el artículo con literales.</w:t>
            </w:r>
          </w:p>
        </w:tc>
      </w:tr>
      <w:tr w:rsidR="000E52B0" w14:paraId="53632F34" w14:textId="77777777">
        <w:trPr>
          <w:trHeight w:val="1458"/>
        </w:trPr>
        <w:tc>
          <w:tcPr>
            <w:tcW w:w="4712" w:type="dxa"/>
          </w:tcPr>
          <w:p w14:paraId="390EC1F4" w14:textId="77777777" w:rsidR="000E52B0" w:rsidRDefault="00F60D74">
            <w:pPr>
              <w:pStyle w:val="TableParagraph"/>
              <w:ind w:left="107" w:right="91"/>
              <w:jc w:val="both"/>
              <w:rPr>
                <w:sz w:val="20"/>
              </w:rPr>
            </w:pPr>
            <w:r>
              <w:rPr>
                <w:b/>
                <w:color w:val="333333"/>
                <w:sz w:val="20"/>
              </w:rPr>
              <w:t xml:space="preserve">ARTÍCULO 9. INTEGRACIÓN DEL SECTOR ADMINISTRATIVO DE </w:t>
            </w:r>
            <w:proofErr w:type="gramStart"/>
            <w:r>
              <w:rPr>
                <w:b/>
                <w:color w:val="333333"/>
                <w:sz w:val="20"/>
              </w:rPr>
              <w:t>IGUALDAD</w:t>
            </w:r>
            <w:r>
              <w:rPr>
                <w:b/>
                <w:color w:val="333333"/>
                <w:spacing w:val="74"/>
                <w:sz w:val="20"/>
              </w:rPr>
              <w:t xml:space="preserve">  </w:t>
            </w:r>
            <w:r>
              <w:rPr>
                <w:b/>
                <w:color w:val="333333"/>
                <w:sz w:val="20"/>
              </w:rPr>
              <w:t>Y</w:t>
            </w:r>
            <w:proofErr w:type="gramEnd"/>
            <w:r>
              <w:rPr>
                <w:b/>
                <w:color w:val="333333"/>
                <w:spacing w:val="75"/>
                <w:sz w:val="20"/>
              </w:rPr>
              <w:t xml:space="preserve">  </w:t>
            </w:r>
            <w:r>
              <w:rPr>
                <w:b/>
                <w:color w:val="333333"/>
                <w:sz w:val="20"/>
              </w:rPr>
              <w:t>EQUIDAD.</w:t>
            </w:r>
            <w:r>
              <w:rPr>
                <w:b/>
                <w:color w:val="333333"/>
                <w:spacing w:val="76"/>
                <w:sz w:val="20"/>
              </w:rPr>
              <w:t xml:space="preserve">  </w:t>
            </w:r>
            <w:proofErr w:type="gramStart"/>
            <w:r>
              <w:rPr>
                <w:color w:val="333333"/>
                <w:sz w:val="20"/>
              </w:rPr>
              <w:t>El</w:t>
            </w:r>
            <w:r>
              <w:rPr>
                <w:color w:val="333333"/>
                <w:spacing w:val="73"/>
                <w:sz w:val="20"/>
              </w:rPr>
              <w:t xml:space="preserve">  </w:t>
            </w:r>
            <w:r>
              <w:rPr>
                <w:color w:val="333333"/>
                <w:spacing w:val="-2"/>
                <w:sz w:val="20"/>
              </w:rPr>
              <w:t>Sector</w:t>
            </w:r>
            <w:proofErr w:type="gramEnd"/>
          </w:p>
          <w:p w14:paraId="063389E2" w14:textId="77777777" w:rsidR="000E52B0" w:rsidRDefault="00F60D74">
            <w:pPr>
              <w:pStyle w:val="TableParagraph"/>
              <w:spacing w:line="242" w:lineRule="exact"/>
              <w:ind w:left="107" w:right="93"/>
              <w:jc w:val="both"/>
              <w:rPr>
                <w:sz w:val="20"/>
              </w:rPr>
            </w:pPr>
            <w:r>
              <w:rPr>
                <w:color w:val="333333"/>
                <w:sz w:val="20"/>
              </w:rPr>
              <w:t>Administrativo de Igualdad y Equidad está integrado por el Ministerio de Igualdad y Equidad</w:t>
            </w:r>
            <w:r>
              <w:rPr>
                <w:color w:val="333333"/>
                <w:spacing w:val="74"/>
                <w:w w:val="150"/>
                <w:sz w:val="20"/>
              </w:rPr>
              <w:t xml:space="preserve"> </w:t>
            </w:r>
            <w:r>
              <w:rPr>
                <w:color w:val="333333"/>
                <w:sz w:val="20"/>
              </w:rPr>
              <w:t>y</w:t>
            </w:r>
            <w:r>
              <w:rPr>
                <w:color w:val="333333"/>
                <w:spacing w:val="73"/>
                <w:w w:val="150"/>
                <w:sz w:val="20"/>
              </w:rPr>
              <w:t xml:space="preserve"> </w:t>
            </w:r>
            <w:r>
              <w:rPr>
                <w:color w:val="333333"/>
                <w:sz w:val="20"/>
              </w:rPr>
              <w:t>las</w:t>
            </w:r>
            <w:r>
              <w:rPr>
                <w:color w:val="333333"/>
                <w:spacing w:val="73"/>
                <w:w w:val="150"/>
                <w:sz w:val="20"/>
              </w:rPr>
              <w:t xml:space="preserve"> </w:t>
            </w:r>
            <w:r>
              <w:rPr>
                <w:color w:val="333333"/>
                <w:sz w:val="20"/>
              </w:rPr>
              <w:t>demás</w:t>
            </w:r>
            <w:r>
              <w:rPr>
                <w:color w:val="333333"/>
                <w:spacing w:val="75"/>
                <w:w w:val="150"/>
                <w:sz w:val="20"/>
              </w:rPr>
              <w:t xml:space="preserve"> </w:t>
            </w:r>
            <w:r>
              <w:rPr>
                <w:color w:val="333333"/>
                <w:sz w:val="20"/>
              </w:rPr>
              <w:t>entidades</w:t>
            </w:r>
            <w:r>
              <w:rPr>
                <w:color w:val="333333"/>
                <w:spacing w:val="73"/>
                <w:w w:val="150"/>
                <w:sz w:val="20"/>
              </w:rPr>
              <w:t xml:space="preserve"> </w:t>
            </w:r>
            <w:r>
              <w:rPr>
                <w:color w:val="333333"/>
                <w:sz w:val="20"/>
              </w:rPr>
              <w:t>que</w:t>
            </w:r>
            <w:r>
              <w:rPr>
                <w:color w:val="333333"/>
                <w:spacing w:val="74"/>
                <w:w w:val="150"/>
                <w:sz w:val="20"/>
              </w:rPr>
              <w:t xml:space="preserve"> </w:t>
            </w:r>
            <w:r>
              <w:rPr>
                <w:color w:val="333333"/>
                <w:spacing w:val="-5"/>
                <w:sz w:val="20"/>
              </w:rPr>
              <w:t>le</w:t>
            </w:r>
          </w:p>
        </w:tc>
        <w:tc>
          <w:tcPr>
            <w:tcW w:w="4723" w:type="dxa"/>
          </w:tcPr>
          <w:p w14:paraId="023D4739" w14:textId="77777777" w:rsidR="000E52B0" w:rsidRDefault="00F60D74">
            <w:pPr>
              <w:pStyle w:val="TableParagraph"/>
              <w:ind w:left="107" w:right="85"/>
              <w:jc w:val="both"/>
              <w:rPr>
                <w:sz w:val="20"/>
              </w:rPr>
            </w:pPr>
            <w:r>
              <w:rPr>
                <w:b/>
                <w:sz w:val="20"/>
              </w:rPr>
              <w:t xml:space="preserve">ARTÍCULO 9. INTEGRACIÓN DEL SECTOR ADMINISTRATIVO DE </w:t>
            </w:r>
            <w:proofErr w:type="gramStart"/>
            <w:r>
              <w:rPr>
                <w:b/>
                <w:sz w:val="20"/>
              </w:rPr>
              <w:t>IGUALDAD</w:t>
            </w:r>
            <w:r>
              <w:rPr>
                <w:b/>
                <w:spacing w:val="47"/>
                <w:sz w:val="20"/>
              </w:rPr>
              <w:t xml:space="preserve">  </w:t>
            </w:r>
            <w:r>
              <w:rPr>
                <w:b/>
                <w:sz w:val="20"/>
              </w:rPr>
              <w:t>Y</w:t>
            </w:r>
            <w:proofErr w:type="gramEnd"/>
            <w:r>
              <w:rPr>
                <w:b/>
                <w:spacing w:val="46"/>
                <w:sz w:val="20"/>
              </w:rPr>
              <w:t xml:space="preserve">  </w:t>
            </w:r>
            <w:r>
              <w:rPr>
                <w:b/>
                <w:sz w:val="20"/>
              </w:rPr>
              <w:t>EQUIDAD.</w:t>
            </w:r>
            <w:r>
              <w:rPr>
                <w:b/>
                <w:spacing w:val="54"/>
                <w:w w:val="150"/>
                <w:sz w:val="20"/>
              </w:rPr>
              <w:t xml:space="preserve">   </w:t>
            </w:r>
            <w:proofErr w:type="gramStart"/>
            <w:r>
              <w:rPr>
                <w:sz w:val="20"/>
              </w:rPr>
              <w:t>El</w:t>
            </w:r>
            <w:r>
              <w:rPr>
                <w:spacing w:val="47"/>
                <w:sz w:val="20"/>
              </w:rPr>
              <w:t xml:space="preserve">  </w:t>
            </w:r>
            <w:r>
              <w:rPr>
                <w:spacing w:val="-2"/>
                <w:sz w:val="20"/>
              </w:rPr>
              <w:t>Sector</w:t>
            </w:r>
            <w:proofErr w:type="gramEnd"/>
          </w:p>
          <w:p w14:paraId="03E1F7F4" w14:textId="77777777" w:rsidR="000E52B0" w:rsidRDefault="00F60D74">
            <w:pPr>
              <w:pStyle w:val="TableParagraph"/>
              <w:ind w:left="107" w:right="91"/>
              <w:jc w:val="both"/>
              <w:rPr>
                <w:sz w:val="20"/>
              </w:rPr>
            </w:pPr>
            <w:r>
              <w:rPr>
                <w:sz w:val="20"/>
              </w:rPr>
              <w:t>Administrativo</w:t>
            </w:r>
            <w:r>
              <w:rPr>
                <w:spacing w:val="-4"/>
                <w:sz w:val="20"/>
              </w:rPr>
              <w:t xml:space="preserve"> </w:t>
            </w:r>
            <w:r>
              <w:rPr>
                <w:sz w:val="20"/>
              </w:rPr>
              <w:t>de</w:t>
            </w:r>
            <w:r>
              <w:rPr>
                <w:spacing w:val="-4"/>
                <w:sz w:val="20"/>
              </w:rPr>
              <w:t xml:space="preserve"> </w:t>
            </w:r>
            <w:r>
              <w:rPr>
                <w:sz w:val="20"/>
              </w:rPr>
              <w:t>Igualdad</w:t>
            </w:r>
            <w:r>
              <w:rPr>
                <w:spacing w:val="-2"/>
                <w:sz w:val="20"/>
              </w:rPr>
              <w:t xml:space="preserve"> </w:t>
            </w:r>
            <w:r>
              <w:rPr>
                <w:sz w:val="20"/>
              </w:rPr>
              <w:t>y</w:t>
            </w:r>
            <w:r>
              <w:rPr>
                <w:spacing w:val="-3"/>
                <w:sz w:val="20"/>
              </w:rPr>
              <w:t xml:space="preserve"> </w:t>
            </w:r>
            <w:r>
              <w:rPr>
                <w:sz w:val="20"/>
              </w:rPr>
              <w:t>Equidad</w:t>
            </w:r>
            <w:r>
              <w:rPr>
                <w:spacing w:val="-2"/>
                <w:sz w:val="20"/>
              </w:rPr>
              <w:t xml:space="preserve"> </w:t>
            </w:r>
            <w:r>
              <w:rPr>
                <w:sz w:val="20"/>
              </w:rPr>
              <w:t>estará constituido</w:t>
            </w:r>
            <w:r>
              <w:rPr>
                <w:spacing w:val="36"/>
                <w:sz w:val="20"/>
              </w:rPr>
              <w:t xml:space="preserve"> </w:t>
            </w:r>
            <w:r>
              <w:rPr>
                <w:sz w:val="20"/>
              </w:rPr>
              <w:t>por</w:t>
            </w:r>
            <w:r>
              <w:rPr>
                <w:spacing w:val="39"/>
                <w:sz w:val="20"/>
              </w:rPr>
              <w:t xml:space="preserve"> </w:t>
            </w:r>
            <w:r>
              <w:rPr>
                <w:sz w:val="20"/>
              </w:rPr>
              <w:t>el</w:t>
            </w:r>
            <w:r>
              <w:rPr>
                <w:spacing w:val="40"/>
                <w:sz w:val="20"/>
              </w:rPr>
              <w:t xml:space="preserve"> </w:t>
            </w:r>
            <w:r>
              <w:rPr>
                <w:sz w:val="20"/>
              </w:rPr>
              <w:t>Ministerio</w:t>
            </w:r>
            <w:r>
              <w:rPr>
                <w:spacing w:val="37"/>
                <w:sz w:val="20"/>
              </w:rPr>
              <w:t xml:space="preserve"> </w:t>
            </w:r>
            <w:r>
              <w:rPr>
                <w:sz w:val="20"/>
              </w:rPr>
              <w:t>de</w:t>
            </w:r>
            <w:r>
              <w:rPr>
                <w:spacing w:val="37"/>
                <w:sz w:val="20"/>
              </w:rPr>
              <w:t xml:space="preserve"> </w:t>
            </w:r>
            <w:r>
              <w:rPr>
                <w:sz w:val="20"/>
              </w:rPr>
              <w:t>Igualdad</w:t>
            </w:r>
            <w:r>
              <w:rPr>
                <w:spacing w:val="41"/>
                <w:sz w:val="20"/>
              </w:rPr>
              <w:t xml:space="preserve"> </w:t>
            </w:r>
            <w:r>
              <w:rPr>
                <w:spacing w:val="-10"/>
                <w:sz w:val="20"/>
              </w:rPr>
              <w:t>y</w:t>
            </w:r>
          </w:p>
        </w:tc>
        <w:tc>
          <w:tcPr>
            <w:tcW w:w="3809" w:type="dxa"/>
          </w:tcPr>
          <w:p w14:paraId="0EF1FF7F" w14:textId="77777777" w:rsidR="000E52B0" w:rsidRDefault="00F60D74">
            <w:pPr>
              <w:pStyle w:val="TableParagraph"/>
              <w:ind w:left="108" w:right="87"/>
              <w:jc w:val="both"/>
              <w:rPr>
                <w:sz w:val="20"/>
              </w:rPr>
            </w:pPr>
            <w:r>
              <w:rPr>
                <w:sz w:val="20"/>
              </w:rPr>
              <w:t>Se</w:t>
            </w:r>
            <w:r>
              <w:rPr>
                <w:spacing w:val="-18"/>
                <w:sz w:val="20"/>
              </w:rPr>
              <w:t xml:space="preserve"> </w:t>
            </w:r>
            <w:r>
              <w:rPr>
                <w:sz w:val="20"/>
              </w:rPr>
              <w:t>propone</w:t>
            </w:r>
            <w:r>
              <w:rPr>
                <w:spacing w:val="-18"/>
                <w:sz w:val="20"/>
              </w:rPr>
              <w:t xml:space="preserve"> </w:t>
            </w:r>
            <w:r>
              <w:rPr>
                <w:sz w:val="20"/>
              </w:rPr>
              <w:t>definir</w:t>
            </w:r>
            <w:r>
              <w:rPr>
                <w:spacing w:val="-17"/>
                <w:sz w:val="20"/>
              </w:rPr>
              <w:t xml:space="preserve"> </w:t>
            </w:r>
            <w:r>
              <w:rPr>
                <w:sz w:val="20"/>
              </w:rPr>
              <w:t>en</w:t>
            </w:r>
            <w:r>
              <w:rPr>
                <w:spacing w:val="-18"/>
                <w:sz w:val="20"/>
              </w:rPr>
              <w:t xml:space="preserve"> </w:t>
            </w:r>
            <w:r>
              <w:rPr>
                <w:sz w:val="20"/>
              </w:rPr>
              <w:t>el</w:t>
            </w:r>
            <w:r>
              <w:rPr>
                <w:spacing w:val="-17"/>
                <w:sz w:val="20"/>
              </w:rPr>
              <w:t xml:space="preserve"> </w:t>
            </w:r>
            <w:r>
              <w:rPr>
                <w:sz w:val="20"/>
              </w:rPr>
              <w:t>proyecto</w:t>
            </w:r>
            <w:r>
              <w:rPr>
                <w:spacing w:val="-18"/>
                <w:sz w:val="20"/>
              </w:rPr>
              <w:t xml:space="preserve"> </w:t>
            </w:r>
            <w:r>
              <w:rPr>
                <w:sz w:val="20"/>
              </w:rPr>
              <w:t xml:space="preserve">de ley las entidades que ya se encuentran adscritas al Sector, conforme el Decreto 1074 de 2023 </w:t>
            </w:r>
            <w:proofErr w:type="gramStart"/>
            <w:r>
              <w:rPr>
                <w:sz w:val="20"/>
              </w:rPr>
              <w:t>del</w:t>
            </w:r>
            <w:r>
              <w:rPr>
                <w:spacing w:val="22"/>
                <w:sz w:val="20"/>
              </w:rPr>
              <w:t xml:space="preserve">  </w:t>
            </w:r>
            <w:r>
              <w:rPr>
                <w:sz w:val="20"/>
              </w:rPr>
              <w:t>Departamento</w:t>
            </w:r>
            <w:proofErr w:type="gramEnd"/>
            <w:r>
              <w:rPr>
                <w:spacing w:val="23"/>
                <w:sz w:val="20"/>
              </w:rPr>
              <w:t xml:space="preserve">  </w:t>
            </w:r>
            <w:r>
              <w:rPr>
                <w:spacing w:val="-2"/>
                <w:sz w:val="20"/>
              </w:rPr>
              <w:t>Administrativo</w:t>
            </w:r>
          </w:p>
          <w:p w14:paraId="74E369EA" w14:textId="77777777" w:rsidR="000E52B0" w:rsidRDefault="00F60D74">
            <w:pPr>
              <w:pStyle w:val="TableParagraph"/>
              <w:spacing w:line="223" w:lineRule="exact"/>
              <w:ind w:left="108"/>
              <w:jc w:val="both"/>
              <w:rPr>
                <w:sz w:val="20"/>
              </w:rPr>
            </w:pPr>
            <w:proofErr w:type="gramStart"/>
            <w:r>
              <w:rPr>
                <w:sz w:val="20"/>
              </w:rPr>
              <w:t>de</w:t>
            </w:r>
            <w:r>
              <w:rPr>
                <w:spacing w:val="61"/>
                <w:w w:val="150"/>
                <w:sz w:val="20"/>
              </w:rPr>
              <w:t xml:space="preserve">  </w:t>
            </w:r>
            <w:r>
              <w:rPr>
                <w:sz w:val="20"/>
              </w:rPr>
              <w:t>la</w:t>
            </w:r>
            <w:proofErr w:type="gramEnd"/>
            <w:r>
              <w:rPr>
                <w:spacing w:val="63"/>
                <w:w w:val="150"/>
                <w:sz w:val="20"/>
              </w:rPr>
              <w:t xml:space="preserve">  </w:t>
            </w:r>
            <w:proofErr w:type="gramStart"/>
            <w:r>
              <w:rPr>
                <w:sz w:val="20"/>
              </w:rPr>
              <w:t>Función</w:t>
            </w:r>
            <w:r>
              <w:rPr>
                <w:spacing w:val="64"/>
                <w:w w:val="150"/>
                <w:sz w:val="20"/>
              </w:rPr>
              <w:t xml:space="preserve">  </w:t>
            </w:r>
            <w:r>
              <w:rPr>
                <w:sz w:val="20"/>
              </w:rPr>
              <w:t>Pública</w:t>
            </w:r>
            <w:proofErr w:type="gramEnd"/>
            <w:r>
              <w:rPr>
                <w:sz w:val="20"/>
              </w:rPr>
              <w:t>.</w:t>
            </w:r>
            <w:r>
              <w:rPr>
                <w:spacing w:val="63"/>
                <w:w w:val="150"/>
                <w:sz w:val="20"/>
              </w:rPr>
              <w:t xml:space="preserve">  </w:t>
            </w:r>
            <w:r>
              <w:rPr>
                <w:spacing w:val="-5"/>
                <w:sz w:val="20"/>
              </w:rPr>
              <w:t>En</w:t>
            </w:r>
          </w:p>
        </w:tc>
      </w:tr>
    </w:tbl>
    <w:p w14:paraId="1F16C36C" w14:textId="77777777" w:rsidR="000E52B0" w:rsidRDefault="000E52B0">
      <w:pPr>
        <w:pStyle w:val="TableParagraph"/>
        <w:spacing w:line="223" w:lineRule="exact"/>
        <w:jc w:val="both"/>
        <w:rPr>
          <w:sz w:val="20"/>
        </w:rPr>
        <w:sectPr w:rsidR="000E52B0">
          <w:pgSz w:w="16840" w:h="11910" w:orient="landscape"/>
          <w:pgMar w:top="1340" w:right="1800" w:bottom="1180" w:left="1440" w:header="0" w:footer="995" w:gutter="0"/>
          <w:cols w:space="720"/>
        </w:sectPr>
      </w:pPr>
    </w:p>
    <w:p w14:paraId="4753BE6E" w14:textId="77777777" w:rsidR="000E52B0" w:rsidRDefault="000E52B0">
      <w:pPr>
        <w:pStyle w:val="Textoindependiente"/>
        <w:spacing w:before="8" w:after="1"/>
        <w:ind w:left="0"/>
        <w:rPr>
          <w:b/>
          <w:sz w:val="7"/>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12"/>
        <w:gridCol w:w="4723"/>
        <w:gridCol w:w="3809"/>
      </w:tblGrid>
      <w:tr w:rsidR="000E52B0" w14:paraId="6D2718F8" w14:textId="77777777">
        <w:trPr>
          <w:trHeight w:val="4132"/>
        </w:trPr>
        <w:tc>
          <w:tcPr>
            <w:tcW w:w="4712" w:type="dxa"/>
          </w:tcPr>
          <w:p w14:paraId="72BD64A4" w14:textId="77777777" w:rsidR="000E52B0" w:rsidRDefault="00F60D74">
            <w:pPr>
              <w:pStyle w:val="TableParagraph"/>
              <w:ind w:left="107" w:right="88"/>
              <w:jc w:val="both"/>
              <w:rPr>
                <w:sz w:val="20"/>
              </w:rPr>
            </w:pPr>
            <w:r>
              <w:rPr>
                <w:color w:val="333333"/>
                <w:sz w:val="20"/>
              </w:rPr>
              <w:t>adscriba</w:t>
            </w:r>
            <w:r>
              <w:rPr>
                <w:color w:val="333333"/>
                <w:spacing w:val="-14"/>
                <w:sz w:val="20"/>
              </w:rPr>
              <w:t xml:space="preserve"> </w:t>
            </w:r>
            <w:r>
              <w:rPr>
                <w:color w:val="333333"/>
                <w:sz w:val="20"/>
              </w:rPr>
              <w:t>o</w:t>
            </w:r>
            <w:r>
              <w:rPr>
                <w:color w:val="333333"/>
                <w:spacing w:val="-15"/>
                <w:sz w:val="20"/>
              </w:rPr>
              <w:t xml:space="preserve"> </w:t>
            </w:r>
            <w:r>
              <w:rPr>
                <w:color w:val="333333"/>
                <w:sz w:val="20"/>
              </w:rPr>
              <w:t>vincule</w:t>
            </w:r>
            <w:r>
              <w:rPr>
                <w:color w:val="333333"/>
                <w:spacing w:val="-18"/>
                <w:sz w:val="20"/>
              </w:rPr>
              <w:t xml:space="preserve"> </w:t>
            </w:r>
            <w:r>
              <w:rPr>
                <w:color w:val="333333"/>
                <w:sz w:val="20"/>
              </w:rPr>
              <w:t>la</w:t>
            </w:r>
            <w:r>
              <w:rPr>
                <w:color w:val="333333"/>
                <w:spacing w:val="-14"/>
                <w:sz w:val="20"/>
              </w:rPr>
              <w:t xml:space="preserve"> </w:t>
            </w:r>
            <w:r>
              <w:rPr>
                <w:color w:val="333333"/>
                <w:sz w:val="20"/>
              </w:rPr>
              <w:t>ley,</w:t>
            </w:r>
            <w:r>
              <w:rPr>
                <w:color w:val="333333"/>
                <w:spacing w:val="-15"/>
                <w:sz w:val="20"/>
              </w:rPr>
              <w:t xml:space="preserve"> </w:t>
            </w:r>
            <w:r>
              <w:rPr>
                <w:color w:val="333333"/>
                <w:sz w:val="20"/>
              </w:rPr>
              <w:t>conforme</w:t>
            </w:r>
            <w:r>
              <w:rPr>
                <w:color w:val="333333"/>
                <w:spacing w:val="-15"/>
                <w:sz w:val="20"/>
              </w:rPr>
              <w:t xml:space="preserve"> </w:t>
            </w:r>
            <w:r>
              <w:rPr>
                <w:color w:val="333333"/>
                <w:sz w:val="20"/>
              </w:rPr>
              <w:t>al</w:t>
            </w:r>
            <w:r>
              <w:rPr>
                <w:color w:val="333333"/>
                <w:spacing w:val="-16"/>
                <w:sz w:val="20"/>
              </w:rPr>
              <w:t xml:space="preserve"> </w:t>
            </w:r>
            <w:r>
              <w:rPr>
                <w:color w:val="333333"/>
                <w:sz w:val="20"/>
              </w:rPr>
              <w:t>artí</w:t>
            </w:r>
            <w:r>
              <w:rPr>
                <w:sz w:val="20"/>
              </w:rPr>
              <w:t>culo 42 de la Ley 489 de 1996.</w:t>
            </w:r>
          </w:p>
          <w:p w14:paraId="66CAC9E2" w14:textId="77777777" w:rsidR="000E52B0" w:rsidRDefault="000E52B0">
            <w:pPr>
              <w:pStyle w:val="TableParagraph"/>
              <w:rPr>
                <w:b/>
                <w:sz w:val="20"/>
              </w:rPr>
            </w:pPr>
          </w:p>
          <w:p w14:paraId="0CAFC8EF" w14:textId="77777777" w:rsidR="000E52B0" w:rsidRDefault="00F60D74">
            <w:pPr>
              <w:pStyle w:val="TableParagraph"/>
              <w:spacing w:line="243" w:lineRule="exact"/>
              <w:ind w:left="107"/>
              <w:jc w:val="both"/>
              <w:rPr>
                <w:sz w:val="20"/>
              </w:rPr>
            </w:pPr>
            <w:r>
              <w:rPr>
                <w:b/>
                <w:color w:val="333333"/>
                <w:sz w:val="20"/>
              </w:rPr>
              <w:t>PARÁGRAFO</w:t>
            </w:r>
            <w:r>
              <w:rPr>
                <w:b/>
                <w:color w:val="333333"/>
                <w:spacing w:val="-6"/>
                <w:sz w:val="20"/>
              </w:rPr>
              <w:t xml:space="preserve"> </w:t>
            </w:r>
            <w:r>
              <w:rPr>
                <w:b/>
                <w:color w:val="333333"/>
                <w:sz w:val="20"/>
              </w:rPr>
              <w:t>TRANSITORIO.</w:t>
            </w:r>
            <w:r>
              <w:rPr>
                <w:b/>
                <w:color w:val="333333"/>
                <w:spacing w:val="-3"/>
                <w:sz w:val="20"/>
              </w:rPr>
              <w:t xml:space="preserve"> </w:t>
            </w:r>
            <w:r>
              <w:rPr>
                <w:color w:val="333333"/>
                <w:sz w:val="20"/>
              </w:rPr>
              <w:t>Con</w:t>
            </w:r>
            <w:r>
              <w:rPr>
                <w:color w:val="333333"/>
                <w:spacing w:val="-5"/>
                <w:sz w:val="20"/>
              </w:rPr>
              <w:t xml:space="preserve"> </w:t>
            </w:r>
            <w:r>
              <w:rPr>
                <w:color w:val="333333"/>
                <w:sz w:val="20"/>
              </w:rPr>
              <w:t>el</w:t>
            </w:r>
            <w:r>
              <w:rPr>
                <w:color w:val="333333"/>
                <w:spacing w:val="-6"/>
                <w:sz w:val="20"/>
              </w:rPr>
              <w:t xml:space="preserve"> </w:t>
            </w:r>
            <w:r>
              <w:rPr>
                <w:color w:val="333333"/>
                <w:sz w:val="20"/>
              </w:rPr>
              <w:t>fin</w:t>
            </w:r>
            <w:r>
              <w:rPr>
                <w:color w:val="333333"/>
                <w:spacing w:val="-4"/>
                <w:sz w:val="20"/>
              </w:rPr>
              <w:t xml:space="preserve"> </w:t>
            </w:r>
            <w:r>
              <w:rPr>
                <w:color w:val="333333"/>
                <w:spacing w:val="-5"/>
                <w:sz w:val="20"/>
              </w:rPr>
              <w:t>de</w:t>
            </w:r>
          </w:p>
          <w:p w14:paraId="4EBC2688" w14:textId="77777777" w:rsidR="000E52B0" w:rsidRDefault="00F60D74">
            <w:pPr>
              <w:pStyle w:val="TableParagraph"/>
              <w:ind w:left="107" w:right="89"/>
              <w:jc w:val="both"/>
              <w:rPr>
                <w:sz w:val="20"/>
              </w:rPr>
            </w:pPr>
            <w:r>
              <w:rPr>
                <w:color w:val="333333"/>
                <w:sz w:val="20"/>
              </w:rPr>
              <w:t>preservar y potenciar el impacto positivo generado durante el desarrollo de su misionalidad, el proceso de integración de entidades al Sector Administrativo de la Igualdad y Equidad deberá salvaguardar la memoria</w:t>
            </w:r>
            <w:r>
              <w:rPr>
                <w:color w:val="333333"/>
                <w:spacing w:val="-2"/>
                <w:sz w:val="20"/>
              </w:rPr>
              <w:t xml:space="preserve"> </w:t>
            </w:r>
            <w:r>
              <w:rPr>
                <w:color w:val="333333"/>
                <w:sz w:val="20"/>
              </w:rPr>
              <w:t>institucional</w:t>
            </w:r>
            <w:r>
              <w:rPr>
                <w:color w:val="333333"/>
                <w:spacing w:val="-1"/>
                <w:sz w:val="20"/>
              </w:rPr>
              <w:t xml:space="preserve"> </w:t>
            </w:r>
            <w:r>
              <w:rPr>
                <w:color w:val="333333"/>
                <w:sz w:val="20"/>
              </w:rPr>
              <w:t>y las</w:t>
            </w:r>
            <w:r>
              <w:rPr>
                <w:color w:val="333333"/>
                <w:spacing w:val="-3"/>
                <w:sz w:val="20"/>
              </w:rPr>
              <w:t xml:space="preserve"> </w:t>
            </w:r>
            <w:r>
              <w:rPr>
                <w:color w:val="333333"/>
                <w:sz w:val="20"/>
              </w:rPr>
              <w:t>buenas</w:t>
            </w:r>
            <w:r>
              <w:rPr>
                <w:color w:val="333333"/>
                <w:spacing w:val="-3"/>
                <w:sz w:val="20"/>
              </w:rPr>
              <w:t xml:space="preserve"> </w:t>
            </w:r>
            <w:r>
              <w:rPr>
                <w:color w:val="333333"/>
                <w:sz w:val="20"/>
              </w:rPr>
              <w:t>prácticas generadas por estas a través del tiempo.</w:t>
            </w:r>
          </w:p>
        </w:tc>
        <w:tc>
          <w:tcPr>
            <w:tcW w:w="4723" w:type="dxa"/>
          </w:tcPr>
          <w:p w14:paraId="231F019B" w14:textId="77777777" w:rsidR="000E52B0" w:rsidRDefault="00F60D74">
            <w:pPr>
              <w:pStyle w:val="TableParagraph"/>
              <w:tabs>
                <w:tab w:val="left" w:pos="1163"/>
                <w:tab w:val="left" w:pos="1542"/>
                <w:tab w:val="left" w:pos="2111"/>
                <w:tab w:val="left" w:pos="3514"/>
              </w:tabs>
              <w:ind w:left="107" w:right="88"/>
              <w:rPr>
                <w:b/>
                <w:sz w:val="20"/>
              </w:rPr>
            </w:pPr>
            <w:r>
              <w:rPr>
                <w:spacing w:val="-2"/>
                <w:sz w:val="20"/>
              </w:rPr>
              <w:t>Equidad</w:t>
            </w:r>
            <w:r>
              <w:rPr>
                <w:sz w:val="20"/>
              </w:rPr>
              <w:tab/>
            </w:r>
            <w:r>
              <w:rPr>
                <w:b/>
                <w:spacing w:val="-10"/>
                <w:sz w:val="20"/>
                <w:u w:val="single"/>
              </w:rPr>
              <w:t>y</w:t>
            </w:r>
            <w:r>
              <w:rPr>
                <w:b/>
                <w:sz w:val="20"/>
                <w:u w:val="single"/>
              </w:rPr>
              <w:tab/>
            </w:r>
            <w:r>
              <w:rPr>
                <w:b/>
                <w:spacing w:val="-4"/>
                <w:sz w:val="20"/>
                <w:u w:val="single"/>
              </w:rPr>
              <w:t>las</w:t>
            </w:r>
            <w:r>
              <w:rPr>
                <w:b/>
                <w:sz w:val="20"/>
                <w:u w:val="single"/>
              </w:rPr>
              <w:tab/>
            </w:r>
            <w:r>
              <w:rPr>
                <w:b/>
                <w:spacing w:val="-2"/>
                <w:sz w:val="20"/>
                <w:u w:val="single"/>
              </w:rPr>
              <w:t>siguientes</w:t>
            </w:r>
            <w:r>
              <w:rPr>
                <w:b/>
                <w:sz w:val="20"/>
                <w:u w:val="single"/>
              </w:rPr>
              <w:tab/>
            </w:r>
            <w:r>
              <w:rPr>
                <w:b/>
                <w:spacing w:val="-2"/>
                <w:sz w:val="20"/>
                <w:u w:val="single"/>
              </w:rPr>
              <w:t>entidades</w:t>
            </w:r>
            <w:r>
              <w:rPr>
                <w:b/>
                <w:spacing w:val="-2"/>
                <w:sz w:val="20"/>
              </w:rPr>
              <w:t xml:space="preserve"> </w:t>
            </w:r>
            <w:r>
              <w:rPr>
                <w:b/>
                <w:spacing w:val="-2"/>
                <w:sz w:val="20"/>
                <w:u w:val="single"/>
              </w:rPr>
              <w:t>adscritas:</w:t>
            </w:r>
          </w:p>
          <w:p w14:paraId="778D54BF" w14:textId="77777777" w:rsidR="000E52B0" w:rsidRDefault="00F60D74">
            <w:pPr>
              <w:pStyle w:val="TableParagraph"/>
              <w:numPr>
                <w:ilvl w:val="0"/>
                <w:numId w:val="12"/>
              </w:numPr>
              <w:tabs>
                <w:tab w:val="left" w:pos="827"/>
                <w:tab w:val="left" w:pos="2418"/>
                <w:tab w:val="left" w:pos="4342"/>
              </w:tabs>
              <w:spacing w:before="1"/>
              <w:ind w:right="87"/>
              <w:rPr>
                <w:b/>
                <w:sz w:val="20"/>
              </w:rPr>
            </w:pPr>
            <w:r>
              <w:rPr>
                <w:b/>
                <w:spacing w:val="-2"/>
                <w:sz w:val="20"/>
                <w:u w:val="single"/>
              </w:rPr>
              <w:t>Instituto</w:t>
            </w:r>
            <w:r>
              <w:rPr>
                <w:b/>
                <w:sz w:val="20"/>
                <w:u w:val="single"/>
              </w:rPr>
              <w:tab/>
            </w:r>
            <w:r>
              <w:rPr>
                <w:b/>
                <w:spacing w:val="-2"/>
                <w:sz w:val="20"/>
                <w:u w:val="single"/>
              </w:rPr>
              <w:t>Colombiano</w:t>
            </w:r>
            <w:r>
              <w:rPr>
                <w:b/>
                <w:sz w:val="20"/>
                <w:u w:val="single"/>
              </w:rPr>
              <w:tab/>
            </w:r>
            <w:r>
              <w:rPr>
                <w:b/>
                <w:spacing w:val="-6"/>
                <w:sz w:val="20"/>
                <w:u w:val="single"/>
              </w:rPr>
              <w:t>de</w:t>
            </w:r>
            <w:r>
              <w:rPr>
                <w:b/>
                <w:spacing w:val="-6"/>
                <w:sz w:val="20"/>
              </w:rPr>
              <w:t xml:space="preserve"> </w:t>
            </w:r>
            <w:r>
              <w:rPr>
                <w:b/>
                <w:sz w:val="20"/>
                <w:u w:val="single"/>
              </w:rPr>
              <w:t>Bienestar Familiar</w:t>
            </w:r>
          </w:p>
          <w:p w14:paraId="03F9217F" w14:textId="77777777" w:rsidR="000E52B0" w:rsidRDefault="00F60D74">
            <w:pPr>
              <w:pStyle w:val="TableParagraph"/>
              <w:numPr>
                <w:ilvl w:val="0"/>
                <w:numId w:val="12"/>
              </w:numPr>
              <w:tabs>
                <w:tab w:val="left" w:pos="825"/>
              </w:tabs>
              <w:spacing w:line="242" w:lineRule="exact"/>
              <w:ind w:left="825" w:hanging="358"/>
              <w:rPr>
                <w:b/>
                <w:sz w:val="20"/>
              </w:rPr>
            </w:pPr>
            <w:r>
              <w:rPr>
                <w:b/>
                <w:sz w:val="20"/>
                <w:u w:val="single"/>
              </w:rPr>
              <w:t>Instituto</w:t>
            </w:r>
            <w:r>
              <w:rPr>
                <w:b/>
                <w:spacing w:val="-8"/>
                <w:sz w:val="20"/>
                <w:u w:val="single"/>
              </w:rPr>
              <w:t xml:space="preserve"> </w:t>
            </w:r>
            <w:r>
              <w:rPr>
                <w:b/>
                <w:sz w:val="20"/>
                <w:u w:val="single"/>
              </w:rPr>
              <w:t>Nacional</w:t>
            </w:r>
            <w:r>
              <w:rPr>
                <w:b/>
                <w:spacing w:val="-8"/>
                <w:sz w:val="20"/>
                <w:u w:val="single"/>
              </w:rPr>
              <w:t xml:space="preserve"> </w:t>
            </w:r>
            <w:r>
              <w:rPr>
                <w:b/>
                <w:sz w:val="20"/>
                <w:u w:val="single"/>
              </w:rPr>
              <w:t>para</w:t>
            </w:r>
            <w:r>
              <w:rPr>
                <w:b/>
                <w:spacing w:val="-9"/>
                <w:sz w:val="20"/>
                <w:u w:val="single"/>
              </w:rPr>
              <w:t xml:space="preserve"> </w:t>
            </w:r>
            <w:r>
              <w:rPr>
                <w:b/>
                <w:spacing w:val="-2"/>
                <w:sz w:val="20"/>
                <w:u w:val="single"/>
              </w:rPr>
              <w:t>Sordos</w:t>
            </w:r>
          </w:p>
          <w:p w14:paraId="0786AD3A" w14:textId="77777777" w:rsidR="000E52B0" w:rsidRDefault="00F60D74">
            <w:pPr>
              <w:pStyle w:val="TableParagraph"/>
              <w:numPr>
                <w:ilvl w:val="0"/>
                <w:numId w:val="12"/>
              </w:numPr>
              <w:tabs>
                <w:tab w:val="left" w:pos="826"/>
              </w:tabs>
              <w:spacing w:before="2" w:line="243" w:lineRule="exact"/>
              <w:ind w:left="826" w:hanging="359"/>
              <w:rPr>
                <w:b/>
                <w:sz w:val="20"/>
              </w:rPr>
            </w:pPr>
            <w:r>
              <w:rPr>
                <w:b/>
                <w:sz w:val="20"/>
                <w:u w:val="single"/>
              </w:rPr>
              <w:t>Instituto</w:t>
            </w:r>
            <w:r>
              <w:rPr>
                <w:b/>
                <w:spacing w:val="-8"/>
                <w:sz w:val="20"/>
                <w:u w:val="single"/>
              </w:rPr>
              <w:t xml:space="preserve"> </w:t>
            </w:r>
            <w:r>
              <w:rPr>
                <w:b/>
                <w:sz w:val="20"/>
                <w:u w:val="single"/>
              </w:rPr>
              <w:t>Nacional</w:t>
            </w:r>
            <w:r>
              <w:rPr>
                <w:b/>
                <w:spacing w:val="-8"/>
                <w:sz w:val="20"/>
                <w:u w:val="single"/>
              </w:rPr>
              <w:t xml:space="preserve"> </w:t>
            </w:r>
            <w:r>
              <w:rPr>
                <w:b/>
                <w:sz w:val="20"/>
                <w:u w:val="single"/>
              </w:rPr>
              <w:t>para</w:t>
            </w:r>
            <w:r>
              <w:rPr>
                <w:b/>
                <w:spacing w:val="-9"/>
                <w:sz w:val="20"/>
                <w:u w:val="single"/>
              </w:rPr>
              <w:t xml:space="preserve"> </w:t>
            </w:r>
            <w:r>
              <w:rPr>
                <w:b/>
                <w:spacing w:val="-2"/>
                <w:sz w:val="20"/>
                <w:u w:val="single"/>
              </w:rPr>
              <w:t>Ciegos</w:t>
            </w:r>
          </w:p>
          <w:p w14:paraId="54B0445D" w14:textId="77777777" w:rsidR="000E52B0" w:rsidRDefault="00F60D74">
            <w:pPr>
              <w:pStyle w:val="TableParagraph"/>
              <w:numPr>
                <w:ilvl w:val="0"/>
                <w:numId w:val="12"/>
              </w:numPr>
              <w:tabs>
                <w:tab w:val="left" w:pos="825"/>
                <w:tab w:val="left" w:pos="827"/>
                <w:tab w:val="left" w:pos="1444"/>
                <w:tab w:val="left" w:pos="2420"/>
                <w:tab w:val="left" w:pos="3758"/>
                <w:tab w:val="left" w:pos="4413"/>
              </w:tabs>
              <w:ind w:right="87"/>
              <w:rPr>
                <w:b/>
                <w:sz w:val="20"/>
              </w:rPr>
            </w:pPr>
            <w:r>
              <w:rPr>
                <w:b/>
                <w:spacing w:val="-4"/>
                <w:sz w:val="20"/>
                <w:u w:val="single"/>
              </w:rPr>
              <w:t>Las</w:t>
            </w:r>
            <w:r>
              <w:rPr>
                <w:b/>
                <w:sz w:val="20"/>
                <w:u w:val="single"/>
              </w:rPr>
              <w:tab/>
            </w:r>
            <w:r>
              <w:rPr>
                <w:b/>
                <w:spacing w:val="-2"/>
                <w:sz w:val="20"/>
                <w:u w:val="single"/>
              </w:rPr>
              <w:t>demás</w:t>
            </w:r>
            <w:r>
              <w:rPr>
                <w:b/>
                <w:sz w:val="20"/>
                <w:u w:val="single"/>
              </w:rPr>
              <w:tab/>
            </w:r>
            <w:r>
              <w:rPr>
                <w:b/>
                <w:spacing w:val="-2"/>
                <w:sz w:val="20"/>
                <w:u w:val="single"/>
              </w:rPr>
              <w:t>entidades</w:t>
            </w:r>
            <w:r>
              <w:rPr>
                <w:b/>
                <w:sz w:val="20"/>
                <w:u w:val="single"/>
              </w:rPr>
              <w:tab/>
            </w:r>
            <w:r>
              <w:rPr>
                <w:b/>
                <w:spacing w:val="-4"/>
                <w:sz w:val="20"/>
                <w:u w:val="single"/>
              </w:rPr>
              <w:t>que</w:t>
            </w:r>
            <w:r>
              <w:rPr>
                <w:b/>
                <w:sz w:val="20"/>
                <w:u w:val="single"/>
              </w:rPr>
              <w:tab/>
            </w:r>
            <w:r>
              <w:rPr>
                <w:b/>
                <w:spacing w:val="-6"/>
                <w:sz w:val="20"/>
                <w:u w:val="single"/>
              </w:rPr>
              <w:t>le</w:t>
            </w:r>
            <w:r>
              <w:rPr>
                <w:b/>
                <w:spacing w:val="-6"/>
                <w:sz w:val="20"/>
              </w:rPr>
              <w:t xml:space="preserve"> </w:t>
            </w:r>
            <w:r>
              <w:rPr>
                <w:b/>
                <w:sz w:val="20"/>
                <w:u w:val="single"/>
              </w:rPr>
              <w:t>adscriba o vincule la Ley.</w:t>
            </w:r>
          </w:p>
          <w:p w14:paraId="093B89C4" w14:textId="77777777" w:rsidR="000E52B0" w:rsidRDefault="000E52B0">
            <w:pPr>
              <w:pStyle w:val="TableParagraph"/>
              <w:rPr>
                <w:b/>
                <w:sz w:val="20"/>
              </w:rPr>
            </w:pPr>
          </w:p>
          <w:p w14:paraId="4C20DFD8" w14:textId="77777777" w:rsidR="000E52B0" w:rsidRDefault="00F60D74">
            <w:pPr>
              <w:pStyle w:val="TableParagraph"/>
              <w:spacing w:line="243" w:lineRule="exact"/>
              <w:ind w:left="107"/>
              <w:rPr>
                <w:sz w:val="20"/>
              </w:rPr>
            </w:pPr>
            <w:r>
              <w:rPr>
                <w:b/>
                <w:sz w:val="20"/>
              </w:rPr>
              <w:t>PARÁGRAFO</w:t>
            </w:r>
            <w:r>
              <w:rPr>
                <w:b/>
                <w:spacing w:val="-4"/>
                <w:sz w:val="20"/>
              </w:rPr>
              <w:t xml:space="preserve"> </w:t>
            </w:r>
            <w:r>
              <w:rPr>
                <w:b/>
                <w:sz w:val="20"/>
              </w:rPr>
              <w:t xml:space="preserve">TRANSITORIO. </w:t>
            </w:r>
            <w:r>
              <w:rPr>
                <w:sz w:val="20"/>
              </w:rPr>
              <w:t>Con</w:t>
            </w:r>
            <w:r>
              <w:rPr>
                <w:spacing w:val="-1"/>
                <w:sz w:val="20"/>
              </w:rPr>
              <w:t xml:space="preserve"> </w:t>
            </w:r>
            <w:r>
              <w:rPr>
                <w:sz w:val="20"/>
              </w:rPr>
              <w:t>el</w:t>
            </w:r>
            <w:r>
              <w:rPr>
                <w:spacing w:val="-3"/>
                <w:sz w:val="20"/>
              </w:rPr>
              <w:t xml:space="preserve"> </w:t>
            </w:r>
            <w:r>
              <w:rPr>
                <w:sz w:val="20"/>
              </w:rPr>
              <w:t>fin</w:t>
            </w:r>
            <w:r>
              <w:rPr>
                <w:spacing w:val="-2"/>
                <w:sz w:val="20"/>
              </w:rPr>
              <w:t xml:space="preserve"> </w:t>
            </w:r>
            <w:r>
              <w:rPr>
                <w:spacing w:val="-5"/>
                <w:sz w:val="20"/>
              </w:rPr>
              <w:t>de</w:t>
            </w:r>
          </w:p>
          <w:p w14:paraId="243851CA" w14:textId="77777777" w:rsidR="000E52B0" w:rsidRDefault="00F60D74">
            <w:pPr>
              <w:pStyle w:val="TableParagraph"/>
              <w:ind w:left="107" w:right="86"/>
              <w:jc w:val="both"/>
              <w:rPr>
                <w:sz w:val="20"/>
              </w:rPr>
            </w:pPr>
            <w:r>
              <w:rPr>
                <w:sz w:val="20"/>
              </w:rPr>
              <w:t>preservar y potenciar el impacto positivo generado durante el desarrollo de su misionalidad, el proceso de integración de entidades al Sector Administrativo de la Igualdad y Equidad deberá salvaguardar la memoria</w:t>
            </w:r>
            <w:r>
              <w:rPr>
                <w:spacing w:val="2"/>
                <w:sz w:val="20"/>
              </w:rPr>
              <w:t xml:space="preserve"> </w:t>
            </w:r>
            <w:r>
              <w:rPr>
                <w:sz w:val="20"/>
              </w:rPr>
              <w:t>institucional</w:t>
            </w:r>
            <w:r>
              <w:rPr>
                <w:spacing w:val="2"/>
                <w:sz w:val="20"/>
              </w:rPr>
              <w:t xml:space="preserve"> </w:t>
            </w:r>
            <w:r>
              <w:rPr>
                <w:sz w:val="20"/>
              </w:rPr>
              <w:t>y</w:t>
            </w:r>
            <w:r>
              <w:rPr>
                <w:spacing w:val="3"/>
                <w:sz w:val="20"/>
              </w:rPr>
              <w:t xml:space="preserve"> </w:t>
            </w:r>
            <w:r>
              <w:rPr>
                <w:sz w:val="20"/>
              </w:rPr>
              <w:t>las</w:t>
            </w:r>
            <w:r>
              <w:rPr>
                <w:spacing w:val="2"/>
                <w:sz w:val="20"/>
              </w:rPr>
              <w:t xml:space="preserve"> </w:t>
            </w:r>
            <w:r>
              <w:rPr>
                <w:sz w:val="20"/>
              </w:rPr>
              <w:t>buenas</w:t>
            </w:r>
            <w:r>
              <w:rPr>
                <w:spacing w:val="1"/>
                <w:sz w:val="20"/>
              </w:rPr>
              <w:t xml:space="preserve"> </w:t>
            </w:r>
            <w:r>
              <w:rPr>
                <w:spacing w:val="-2"/>
                <w:sz w:val="20"/>
              </w:rPr>
              <w:t>prácticas</w:t>
            </w:r>
          </w:p>
          <w:p w14:paraId="1FA67093" w14:textId="77777777" w:rsidR="000E52B0" w:rsidRDefault="00F60D74">
            <w:pPr>
              <w:pStyle w:val="TableParagraph"/>
              <w:spacing w:before="1" w:line="221" w:lineRule="exact"/>
              <w:ind w:left="107"/>
              <w:jc w:val="both"/>
              <w:rPr>
                <w:sz w:val="20"/>
              </w:rPr>
            </w:pPr>
            <w:r>
              <w:rPr>
                <w:sz w:val="20"/>
              </w:rPr>
              <w:t>generadas</w:t>
            </w:r>
            <w:r>
              <w:rPr>
                <w:spacing w:val="-6"/>
                <w:sz w:val="20"/>
              </w:rPr>
              <w:t xml:space="preserve"> </w:t>
            </w:r>
            <w:r>
              <w:rPr>
                <w:sz w:val="20"/>
              </w:rPr>
              <w:t>por</w:t>
            </w:r>
            <w:r>
              <w:rPr>
                <w:spacing w:val="-4"/>
                <w:sz w:val="20"/>
              </w:rPr>
              <w:t xml:space="preserve"> </w:t>
            </w:r>
            <w:r>
              <w:rPr>
                <w:sz w:val="20"/>
              </w:rPr>
              <w:t>estas</w:t>
            </w:r>
            <w:r>
              <w:rPr>
                <w:spacing w:val="-6"/>
                <w:sz w:val="20"/>
              </w:rPr>
              <w:t xml:space="preserve"> </w:t>
            </w:r>
            <w:r>
              <w:rPr>
                <w:sz w:val="20"/>
              </w:rPr>
              <w:t>a</w:t>
            </w:r>
            <w:r>
              <w:rPr>
                <w:spacing w:val="-3"/>
                <w:sz w:val="20"/>
              </w:rPr>
              <w:t xml:space="preserve"> </w:t>
            </w:r>
            <w:r>
              <w:rPr>
                <w:sz w:val="20"/>
              </w:rPr>
              <w:t>través</w:t>
            </w:r>
            <w:r>
              <w:rPr>
                <w:spacing w:val="-6"/>
                <w:sz w:val="20"/>
              </w:rPr>
              <w:t xml:space="preserve"> </w:t>
            </w:r>
            <w:r>
              <w:rPr>
                <w:sz w:val="20"/>
              </w:rPr>
              <w:t>del</w:t>
            </w:r>
            <w:r>
              <w:rPr>
                <w:spacing w:val="-5"/>
                <w:sz w:val="20"/>
              </w:rPr>
              <w:t xml:space="preserve"> </w:t>
            </w:r>
            <w:r>
              <w:rPr>
                <w:spacing w:val="-2"/>
                <w:sz w:val="20"/>
              </w:rPr>
              <w:t>tiempo.</w:t>
            </w:r>
          </w:p>
        </w:tc>
        <w:tc>
          <w:tcPr>
            <w:tcW w:w="3809" w:type="dxa"/>
          </w:tcPr>
          <w:p w14:paraId="4F398819" w14:textId="77777777" w:rsidR="000E52B0" w:rsidRDefault="00F60D74">
            <w:pPr>
              <w:pStyle w:val="TableParagraph"/>
              <w:ind w:left="108" w:right="90"/>
              <w:jc w:val="both"/>
              <w:rPr>
                <w:sz w:val="20"/>
              </w:rPr>
            </w:pPr>
            <w:r>
              <w:rPr>
                <w:sz w:val="20"/>
              </w:rPr>
              <w:t>consecuencia, este proyecto de ley no requiere de facultades extraordinarias para la conformación del Sector.</w:t>
            </w:r>
          </w:p>
        </w:tc>
      </w:tr>
      <w:tr w:rsidR="000E52B0" w14:paraId="671354A8" w14:textId="77777777">
        <w:trPr>
          <w:trHeight w:val="971"/>
        </w:trPr>
        <w:tc>
          <w:tcPr>
            <w:tcW w:w="4712" w:type="dxa"/>
          </w:tcPr>
          <w:p w14:paraId="0FF5E5E5" w14:textId="77777777" w:rsidR="000E52B0" w:rsidRDefault="00F60D74">
            <w:pPr>
              <w:pStyle w:val="TableParagraph"/>
              <w:ind w:left="107"/>
              <w:jc w:val="both"/>
              <w:rPr>
                <w:b/>
                <w:sz w:val="20"/>
              </w:rPr>
            </w:pPr>
            <w:r>
              <w:rPr>
                <w:b/>
                <w:color w:val="333333"/>
                <w:sz w:val="20"/>
              </w:rPr>
              <w:t>ARTÍCULO</w:t>
            </w:r>
            <w:r>
              <w:rPr>
                <w:b/>
                <w:color w:val="333333"/>
                <w:spacing w:val="66"/>
                <w:sz w:val="20"/>
              </w:rPr>
              <w:t xml:space="preserve">   </w:t>
            </w:r>
            <w:r>
              <w:rPr>
                <w:b/>
                <w:color w:val="333333"/>
                <w:sz w:val="20"/>
              </w:rPr>
              <w:t>10.</w:t>
            </w:r>
            <w:r>
              <w:rPr>
                <w:b/>
                <w:color w:val="333333"/>
                <w:spacing w:val="66"/>
                <w:sz w:val="20"/>
              </w:rPr>
              <w:t xml:space="preserve">   </w:t>
            </w:r>
            <w:r>
              <w:rPr>
                <w:b/>
                <w:color w:val="333333"/>
                <w:sz w:val="20"/>
              </w:rPr>
              <w:t>DIRECCIÓN</w:t>
            </w:r>
            <w:r>
              <w:rPr>
                <w:b/>
                <w:color w:val="333333"/>
                <w:spacing w:val="65"/>
                <w:sz w:val="20"/>
              </w:rPr>
              <w:t xml:space="preserve">   </w:t>
            </w:r>
            <w:r>
              <w:rPr>
                <w:b/>
                <w:color w:val="333333"/>
                <w:spacing w:val="-5"/>
                <w:sz w:val="20"/>
              </w:rPr>
              <w:t>DEL</w:t>
            </w:r>
          </w:p>
          <w:p w14:paraId="67814925" w14:textId="77777777" w:rsidR="000E52B0" w:rsidRDefault="00F60D74">
            <w:pPr>
              <w:pStyle w:val="TableParagraph"/>
              <w:spacing w:line="242" w:lineRule="exact"/>
              <w:ind w:left="107" w:right="92"/>
              <w:jc w:val="both"/>
              <w:rPr>
                <w:sz w:val="20"/>
              </w:rPr>
            </w:pPr>
            <w:r>
              <w:rPr>
                <w:b/>
                <w:color w:val="333333"/>
                <w:sz w:val="20"/>
              </w:rPr>
              <w:t xml:space="preserve">MINISTERIO. </w:t>
            </w:r>
            <w:r>
              <w:rPr>
                <w:color w:val="333333"/>
                <w:sz w:val="20"/>
              </w:rPr>
              <w:t xml:space="preserve">La dirección del Ministerio estará a cargo de la </w:t>
            </w:r>
            <w:proofErr w:type="gramStart"/>
            <w:r>
              <w:rPr>
                <w:color w:val="333333"/>
                <w:sz w:val="20"/>
              </w:rPr>
              <w:t>Ministra</w:t>
            </w:r>
            <w:proofErr w:type="gramEnd"/>
            <w:r>
              <w:rPr>
                <w:color w:val="333333"/>
                <w:sz w:val="20"/>
              </w:rPr>
              <w:t xml:space="preserve"> o </w:t>
            </w:r>
            <w:proofErr w:type="gramStart"/>
            <w:r>
              <w:rPr>
                <w:color w:val="333333"/>
                <w:sz w:val="20"/>
              </w:rPr>
              <w:t>Ministro</w:t>
            </w:r>
            <w:proofErr w:type="gramEnd"/>
            <w:r>
              <w:rPr>
                <w:color w:val="333333"/>
                <w:sz w:val="20"/>
              </w:rPr>
              <w:t xml:space="preserve"> de Igualdad y Equidad.</w:t>
            </w:r>
          </w:p>
        </w:tc>
        <w:tc>
          <w:tcPr>
            <w:tcW w:w="4723" w:type="dxa"/>
          </w:tcPr>
          <w:p w14:paraId="65E0112B" w14:textId="77777777" w:rsidR="000E52B0" w:rsidRDefault="00F60D74">
            <w:pPr>
              <w:pStyle w:val="TableParagraph"/>
              <w:ind w:left="107"/>
              <w:rPr>
                <w:sz w:val="20"/>
              </w:rPr>
            </w:pPr>
            <w:r>
              <w:rPr>
                <w:color w:val="333333"/>
                <w:sz w:val="20"/>
              </w:rPr>
              <w:t>Sin</w:t>
            </w:r>
            <w:r>
              <w:rPr>
                <w:color w:val="333333"/>
                <w:spacing w:val="-5"/>
                <w:sz w:val="20"/>
              </w:rPr>
              <w:t xml:space="preserve"> </w:t>
            </w:r>
            <w:r>
              <w:rPr>
                <w:color w:val="333333"/>
                <w:spacing w:val="-2"/>
                <w:sz w:val="20"/>
              </w:rPr>
              <w:t>modificaciones</w:t>
            </w:r>
          </w:p>
        </w:tc>
        <w:tc>
          <w:tcPr>
            <w:tcW w:w="3809" w:type="dxa"/>
          </w:tcPr>
          <w:p w14:paraId="5FFF7AB5" w14:textId="77777777" w:rsidR="000E52B0" w:rsidRDefault="00F60D74">
            <w:pPr>
              <w:pStyle w:val="TableParagraph"/>
              <w:ind w:left="108"/>
              <w:rPr>
                <w:sz w:val="20"/>
              </w:rPr>
            </w:pPr>
            <w:r>
              <w:rPr>
                <w:sz w:val="20"/>
              </w:rPr>
              <w:t>Sin</w:t>
            </w:r>
            <w:r>
              <w:rPr>
                <w:spacing w:val="-5"/>
                <w:sz w:val="20"/>
              </w:rPr>
              <w:t xml:space="preserve"> </w:t>
            </w:r>
            <w:r>
              <w:rPr>
                <w:spacing w:val="-2"/>
                <w:sz w:val="20"/>
              </w:rPr>
              <w:t>modificaciones</w:t>
            </w:r>
          </w:p>
        </w:tc>
      </w:tr>
      <w:tr w:rsidR="000E52B0" w14:paraId="73EA8648" w14:textId="77777777">
        <w:trPr>
          <w:trHeight w:val="3647"/>
        </w:trPr>
        <w:tc>
          <w:tcPr>
            <w:tcW w:w="4712" w:type="dxa"/>
          </w:tcPr>
          <w:p w14:paraId="6BA3A83D" w14:textId="77777777" w:rsidR="000E52B0" w:rsidRDefault="00F60D74">
            <w:pPr>
              <w:pStyle w:val="TableParagraph"/>
              <w:spacing w:before="2" w:line="243" w:lineRule="exact"/>
              <w:ind w:left="107"/>
              <w:jc w:val="both"/>
              <w:rPr>
                <w:b/>
                <w:sz w:val="20"/>
              </w:rPr>
            </w:pPr>
            <w:r>
              <w:rPr>
                <w:b/>
                <w:color w:val="333333"/>
                <w:sz w:val="20"/>
              </w:rPr>
              <w:t>ARTICULO</w:t>
            </w:r>
            <w:r>
              <w:rPr>
                <w:b/>
                <w:color w:val="333333"/>
                <w:spacing w:val="48"/>
                <w:sz w:val="20"/>
              </w:rPr>
              <w:t xml:space="preserve"> </w:t>
            </w:r>
            <w:r>
              <w:rPr>
                <w:b/>
                <w:color w:val="333333"/>
                <w:sz w:val="20"/>
              </w:rPr>
              <w:t>11.</w:t>
            </w:r>
            <w:r>
              <w:rPr>
                <w:b/>
                <w:color w:val="333333"/>
                <w:spacing w:val="48"/>
                <w:sz w:val="20"/>
              </w:rPr>
              <w:t xml:space="preserve"> </w:t>
            </w:r>
            <w:r>
              <w:rPr>
                <w:b/>
                <w:color w:val="333333"/>
                <w:sz w:val="20"/>
              </w:rPr>
              <w:t>ESTRUCTURA</w:t>
            </w:r>
            <w:r>
              <w:rPr>
                <w:b/>
                <w:color w:val="333333"/>
                <w:spacing w:val="49"/>
                <w:sz w:val="20"/>
              </w:rPr>
              <w:t xml:space="preserve"> </w:t>
            </w:r>
            <w:r>
              <w:rPr>
                <w:b/>
                <w:color w:val="333333"/>
                <w:spacing w:val="-2"/>
                <w:sz w:val="20"/>
              </w:rPr>
              <w:t>INTERNA.</w:t>
            </w:r>
          </w:p>
          <w:p w14:paraId="007A2BFE" w14:textId="77777777" w:rsidR="000E52B0" w:rsidRDefault="00F60D74">
            <w:pPr>
              <w:pStyle w:val="TableParagraph"/>
              <w:ind w:left="107" w:right="91"/>
              <w:jc w:val="both"/>
              <w:rPr>
                <w:sz w:val="20"/>
              </w:rPr>
            </w:pPr>
            <w:r>
              <w:rPr>
                <w:color w:val="333333"/>
                <w:sz w:val="20"/>
              </w:rPr>
              <w:t>El Ministerio de Igualdad y Equidad tendrá una estructura interna inicial son las dependencias de dirección asesoría, coordinación, gestión y apoyo, la cual debe ser</w:t>
            </w:r>
            <w:r>
              <w:rPr>
                <w:color w:val="333333"/>
                <w:spacing w:val="-9"/>
                <w:sz w:val="20"/>
              </w:rPr>
              <w:t xml:space="preserve"> </w:t>
            </w:r>
            <w:r>
              <w:rPr>
                <w:color w:val="333333"/>
                <w:sz w:val="20"/>
              </w:rPr>
              <w:t>armónica</w:t>
            </w:r>
            <w:r>
              <w:rPr>
                <w:color w:val="333333"/>
                <w:spacing w:val="-6"/>
                <w:sz w:val="20"/>
              </w:rPr>
              <w:t xml:space="preserve"> </w:t>
            </w:r>
            <w:r>
              <w:rPr>
                <w:color w:val="333333"/>
                <w:sz w:val="20"/>
              </w:rPr>
              <w:t>con</w:t>
            </w:r>
            <w:r>
              <w:rPr>
                <w:color w:val="333333"/>
                <w:spacing w:val="-7"/>
                <w:sz w:val="20"/>
              </w:rPr>
              <w:t xml:space="preserve"> </w:t>
            </w:r>
            <w:r>
              <w:rPr>
                <w:color w:val="333333"/>
                <w:sz w:val="20"/>
              </w:rPr>
              <w:t>los</w:t>
            </w:r>
            <w:r>
              <w:rPr>
                <w:color w:val="333333"/>
                <w:spacing w:val="-6"/>
                <w:sz w:val="20"/>
              </w:rPr>
              <w:t xml:space="preserve"> </w:t>
            </w:r>
            <w:r>
              <w:rPr>
                <w:color w:val="333333"/>
                <w:sz w:val="20"/>
              </w:rPr>
              <w:t>procesos</w:t>
            </w:r>
            <w:r>
              <w:rPr>
                <w:color w:val="333333"/>
                <w:spacing w:val="-6"/>
                <w:sz w:val="20"/>
              </w:rPr>
              <w:t xml:space="preserve"> </w:t>
            </w:r>
            <w:r>
              <w:rPr>
                <w:color w:val="333333"/>
                <w:sz w:val="20"/>
              </w:rPr>
              <w:t>de</w:t>
            </w:r>
            <w:r>
              <w:rPr>
                <w:color w:val="333333"/>
                <w:spacing w:val="-6"/>
                <w:sz w:val="20"/>
              </w:rPr>
              <w:t xml:space="preserve"> </w:t>
            </w:r>
            <w:r>
              <w:rPr>
                <w:color w:val="333333"/>
                <w:sz w:val="20"/>
              </w:rPr>
              <w:t>planeación y gestión.</w:t>
            </w:r>
          </w:p>
          <w:p w14:paraId="69F65E40" w14:textId="77777777" w:rsidR="000E52B0" w:rsidRDefault="00F60D74">
            <w:pPr>
              <w:pStyle w:val="TableParagraph"/>
              <w:spacing w:before="1"/>
              <w:ind w:left="107" w:right="746"/>
              <w:rPr>
                <w:sz w:val="20"/>
              </w:rPr>
            </w:pPr>
            <w:r>
              <w:rPr>
                <w:color w:val="333333"/>
                <w:sz w:val="20"/>
              </w:rPr>
              <w:t>Despacho</w:t>
            </w:r>
            <w:r>
              <w:rPr>
                <w:color w:val="333333"/>
                <w:spacing w:val="-9"/>
                <w:sz w:val="20"/>
              </w:rPr>
              <w:t xml:space="preserve"> </w:t>
            </w:r>
            <w:r>
              <w:rPr>
                <w:color w:val="333333"/>
                <w:sz w:val="20"/>
              </w:rPr>
              <w:t>de</w:t>
            </w:r>
            <w:r>
              <w:rPr>
                <w:color w:val="333333"/>
                <w:spacing w:val="-9"/>
                <w:sz w:val="20"/>
              </w:rPr>
              <w:t xml:space="preserve"> </w:t>
            </w:r>
            <w:r>
              <w:rPr>
                <w:color w:val="333333"/>
                <w:sz w:val="20"/>
              </w:rPr>
              <w:t>la</w:t>
            </w:r>
            <w:r>
              <w:rPr>
                <w:color w:val="333333"/>
                <w:spacing w:val="-5"/>
                <w:sz w:val="20"/>
              </w:rPr>
              <w:t xml:space="preserve"> </w:t>
            </w:r>
            <w:proofErr w:type="gramStart"/>
            <w:r>
              <w:rPr>
                <w:color w:val="333333"/>
                <w:sz w:val="20"/>
              </w:rPr>
              <w:t>Ministra</w:t>
            </w:r>
            <w:proofErr w:type="gramEnd"/>
            <w:r>
              <w:rPr>
                <w:color w:val="333333"/>
                <w:spacing w:val="-5"/>
                <w:sz w:val="20"/>
              </w:rPr>
              <w:t xml:space="preserve"> </w:t>
            </w:r>
            <w:r>
              <w:rPr>
                <w:color w:val="333333"/>
                <w:sz w:val="20"/>
              </w:rPr>
              <w:t>o</w:t>
            </w:r>
            <w:r>
              <w:rPr>
                <w:color w:val="333333"/>
                <w:spacing w:val="-7"/>
                <w:sz w:val="20"/>
              </w:rPr>
              <w:t xml:space="preserve"> </w:t>
            </w:r>
            <w:r>
              <w:rPr>
                <w:color w:val="333333"/>
                <w:sz w:val="20"/>
              </w:rPr>
              <w:t>el</w:t>
            </w:r>
            <w:r>
              <w:rPr>
                <w:color w:val="333333"/>
                <w:spacing w:val="-7"/>
                <w:sz w:val="20"/>
              </w:rPr>
              <w:t xml:space="preserve"> </w:t>
            </w:r>
            <w:proofErr w:type="gramStart"/>
            <w:r>
              <w:rPr>
                <w:color w:val="333333"/>
                <w:sz w:val="20"/>
              </w:rPr>
              <w:t>Ministro</w:t>
            </w:r>
            <w:proofErr w:type="gramEnd"/>
            <w:r>
              <w:rPr>
                <w:color w:val="333333"/>
                <w:sz w:val="20"/>
              </w:rPr>
              <w:t xml:space="preserve"> Oficina de Control intento</w:t>
            </w:r>
          </w:p>
          <w:p w14:paraId="2B8AB92F" w14:textId="77777777" w:rsidR="000E52B0" w:rsidRDefault="00F60D74">
            <w:pPr>
              <w:pStyle w:val="TableParagraph"/>
              <w:ind w:left="107" w:right="1070"/>
              <w:rPr>
                <w:sz w:val="20"/>
              </w:rPr>
            </w:pPr>
            <w:r>
              <w:rPr>
                <w:color w:val="333333"/>
                <w:sz w:val="20"/>
              </w:rPr>
              <w:t>Oficina</w:t>
            </w:r>
            <w:r>
              <w:rPr>
                <w:color w:val="333333"/>
                <w:spacing w:val="-14"/>
                <w:sz w:val="20"/>
              </w:rPr>
              <w:t xml:space="preserve"> </w:t>
            </w:r>
            <w:r>
              <w:rPr>
                <w:color w:val="333333"/>
                <w:sz w:val="20"/>
              </w:rPr>
              <w:t>Asesora</w:t>
            </w:r>
            <w:r>
              <w:rPr>
                <w:color w:val="333333"/>
                <w:spacing w:val="-14"/>
                <w:sz w:val="20"/>
              </w:rPr>
              <w:t xml:space="preserve"> </w:t>
            </w:r>
            <w:r>
              <w:rPr>
                <w:color w:val="333333"/>
                <w:sz w:val="20"/>
              </w:rPr>
              <w:t>de</w:t>
            </w:r>
            <w:r>
              <w:rPr>
                <w:color w:val="333333"/>
                <w:spacing w:val="-15"/>
                <w:sz w:val="20"/>
              </w:rPr>
              <w:t xml:space="preserve"> </w:t>
            </w:r>
            <w:r>
              <w:rPr>
                <w:color w:val="333333"/>
                <w:sz w:val="20"/>
              </w:rPr>
              <w:t>Planeación Oficina Asesora Jurídica</w:t>
            </w:r>
          </w:p>
          <w:p w14:paraId="03EF0FA7" w14:textId="77777777" w:rsidR="000E52B0" w:rsidRDefault="00F60D74">
            <w:pPr>
              <w:pStyle w:val="TableParagraph"/>
              <w:spacing w:line="243" w:lineRule="exact"/>
              <w:ind w:left="107"/>
              <w:rPr>
                <w:sz w:val="20"/>
              </w:rPr>
            </w:pPr>
            <w:r>
              <w:rPr>
                <w:color w:val="333333"/>
                <w:sz w:val="20"/>
              </w:rPr>
              <w:t>Oficina</w:t>
            </w:r>
            <w:r>
              <w:rPr>
                <w:color w:val="333333"/>
                <w:spacing w:val="-7"/>
                <w:sz w:val="20"/>
              </w:rPr>
              <w:t xml:space="preserve"> </w:t>
            </w:r>
            <w:r>
              <w:rPr>
                <w:color w:val="333333"/>
                <w:sz w:val="20"/>
              </w:rPr>
              <w:t>Asesora</w:t>
            </w:r>
            <w:r>
              <w:rPr>
                <w:color w:val="333333"/>
                <w:spacing w:val="-7"/>
                <w:sz w:val="20"/>
              </w:rPr>
              <w:t xml:space="preserve"> </w:t>
            </w:r>
            <w:r>
              <w:rPr>
                <w:color w:val="333333"/>
                <w:sz w:val="20"/>
              </w:rPr>
              <w:t>de</w:t>
            </w:r>
            <w:r>
              <w:rPr>
                <w:color w:val="333333"/>
                <w:spacing w:val="-8"/>
                <w:sz w:val="20"/>
              </w:rPr>
              <w:t xml:space="preserve"> </w:t>
            </w:r>
            <w:r>
              <w:rPr>
                <w:color w:val="333333"/>
                <w:spacing w:val="-2"/>
                <w:sz w:val="20"/>
              </w:rPr>
              <w:t>Comunicaciones</w:t>
            </w:r>
          </w:p>
          <w:p w14:paraId="05382967" w14:textId="77777777" w:rsidR="000E52B0" w:rsidRDefault="00F60D74">
            <w:pPr>
              <w:pStyle w:val="TableParagraph"/>
              <w:tabs>
                <w:tab w:val="left" w:pos="1116"/>
                <w:tab w:val="left" w:pos="2233"/>
                <w:tab w:val="left" w:pos="2802"/>
                <w:tab w:val="left" w:pos="3852"/>
              </w:tabs>
              <w:ind w:left="107" w:right="92"/>
              <w:rPr>
                <w:sz w:val="20"/>
              </w:rPr>
            </w:pPr>
            <w:r>
              <w:rPr>
                <w:color w:val="333333"/>
                <w:spacing w:val="-2"/>
                <w:sz w:val="20"/>
              </w:rPr>
              <w:t>Oficina</w:t>
            </w:r>
            <w:r>
              <w:rPr>
                <w:color w:val="333333"/>
                <w:sz w:val="20"/>
              </w:rPr>
              <w:tab/>
            </w:r>
            <w:r>
              <w:rPr>
                <w:color w:val="333333"/>
                <w:spacing w:val="-2"/>
                <w:sz w:val="20"/>
              </w:rPr>
              <w:t>Asesora</w:t>
            </w:r>
            <w:r>
              <w:rPr>
                <w:color w:val="333333"/>
                <w:sz w:val="20"/>
              </w:rPr>
              <w:tab/>
            </w:r>
            <w:r>
              <w:rPr>
                <w:color w:val="333333"/>
                <w:spacing w:val="-6"/>
                <w:sz w:val="20"/>
              </w:rPr>
              <w:t>de</w:t>
            </w:r>
            <w:r>
              <w:rPr>
                <w:color w:val="333333"/>
                <w:sz w:val="20"/>
              </w:rPr>
              <w:tab/>
            </w:r>
            <w:r>
              <w:rPr>
                <w:color w:val="333333"/>
                <w:spacing w:val="-2"/>
                <w:sz w:val="20"/>
              </w:rPr>
              <w:t>Control</w:t>
            </w:r>
            <w:r>
              <w:rPr>
                <w:color w:val="333333"/>
                <w:sz w:val="20"/>
              </w:rPr>
              <w:tab/>
            </w:r>
            <w:r>
              <w:rPr>
                <w:color w:val="333333"/>
                <w:spacing w:val="-2"/>
                <w:sz w:val="20"/>
              </w:rPr>
              <w:t>Interno Disciplinario</w:t>
            </w:r>
          </w:p>
        </w:tc>
        <w:tc>
          <w:tcPr>
            <w:tcW w:w="4723" w:type="dxa"/>
          </w:tcPr>
          <w:p w14:paraId="5698FC94" w14:textId="77777777" w:rsidR="000E52B0" w:rsidRDefault="00F60D74">
            <w:pPr>
              <w:pStyle w:val="TableParagraph"/>
              <w:spacing w:before="2" w:line="243" w:lineRule="exact"/>
              <w:ind w:left="107"/>
              <w:jc w:val="both"/>
              <w:rPr>
                <w:b/>
                <w:sz w:val="20"/>
              </w:rPr>
            </w:pPr>
            <w:r>
              <w:rPr>
                <w:b/>
                <w:sz w:val="20"/>
              </w:rPr>
              <w:t>ART</w:t>
            </w:r>
            <w:r>
              <w:rPr>
                <w:b/>
                <w:sz w:val="20"/>
                <w:u w:val="single"/>
              </w:rPr>
              <w:t>Í</w:t>
            </w:r>
            <w:r>
              <w:rPr>
                <w:b/>
                <w:sz w:val="20"/>
              </w:rPr>
              <w:t>CULO</w:t>
            </w:r>
            <w:r>
              <w:rPr>
                <w:b/>
                <w:spacing w:val="-9"/>
                <w:sz w:val="20"/>
              </w:rPr>
              <w:t xml:space="preserve"> </w:t>
            </w:r>
            <w:r>
              <w:rPr>
                <w:b/>
                <w:sz w:val="20"/>
              </w:rPr>
              <w:t>11.</w:t>
            </w:r>
            <w:r>
              <w:rPr>
                <w:b/>
                <w:spacing w:val="-10"/>
                <w:sz w:val="20"/>
              </w:rPr>
              <w:t xml:space="preserve"> </w:t>
            </w:r>
            <w:r>
              <w:rPr>
                <w:b/>
                <w:sz w:val="20"/>
              </w:rPr>
              <w:t>ESTRUCTURA</w:t>
            </w:r>
            <w:r>
              <w:rPr>
                <w:b/>
                <w:spacing w:val="-13"/>
                <w:sz w:val="20"/>
              </w:rPr>
              <w:t xml:space="preserve"> </w:t>
            </w:r>
            <w:r>
              <w:rPr>
                <w:b/>
                <w:spacing w:val="-2"/>
                <w:sz w:val="20"/>
              </w:rPr>
              <w:t>ORGÁNICA.</w:t>
            </w:r>
          </w:p>
          <w:p w14:paraId="461EA164" w14:textId="77777777" w:rsidR="000E52B0" w:rsidRDefault="00F60D74">
            <w:pPr>
              <w:pStyle w:val="TableParagraph"/>
              <w:ind w:left="107" w:right="86"/>
              <w:jc w:val="both"/>
              <w:rPr>
                <w:b/>
                <w:sz w:val="20"/>
              </w:rPr>
            </w:pPr>
            <w:r>
              <w:rPr>
                <w:b/>
                <w:sz w:val="20"/>
                <w:u w:val="single"/>
              </w:rPr>
              <w:t>Sin perjuicio de la facultad permanente</w:t>
            </w:r>
            <w:r>
              <w:rPr>
                <w:b/>
                <w:sz w:val="20"/>
              </w:rPr>
              <w:t xml:space="preserve"> </w:t>
            </w:r>
            <w:r>
              <w:rPr>
                <w:b/>
                <w:sz w:val="20"/>
                <w:u w:val="single"/>
              </w:rPr>
              <w:t xml:space="preserve">del </w:t>
            </w:r>
            <w:proofErr w:type="gramStart"/>
            <w:r>
              <w:rPr>
                <w:b/>
                <w:sz w:val="20"/>
                <w:u w:val="single"/>
              </w:rPr>
              <w:t>Presidente</w:t>
            </w:r>
            <w:proofErr w:type="gramEnd"/>
            <w:r>
              <w:rPr>
                <w:b/>
                <w:sz w:val="20"/>
                <w:u w:val="single"/>
              </w:rPr>
              <w:t xml:space="preserve"> de la República,</w:t>
            </w:r>
            <w:r>
              <w:rPr>
                <w:b/>
                <w:sz w:val="20"/>
              </w:rPr>
              <w:t xml:space="preserve"> </w:t>
            </w:r>
            <w:r>
              <w:rPr>
                <w:b/>
                <w:sz w:val="20"/>
                <w:u w:val="single"/>
              </w:rPr>
              <w:t>consagrada</w:t>
            </w:r>
            <w:r>
              <w:rPr>
                <w:b/>
                <w:spacing w:val="-18"/>
                <w:sz w:val="20"/>
                <w:u w:val="single"/>
              </w:rPr>
              <w:t xml:space="preserve"> </w:t>
            </w:r>
            <w:r>
              <w:rPr>
                <w:b/>
                <w:sz w:val="20"/>
                <w:u w:val="single"/>
              </w:rPr>
              <w:t>en</w:t>
            </w:r>
            <w:r>
              <w:rPr>
                <w:b/>
                <w:spacing w:val="-17"/>
                <w:sz w:val="20"/>
                <w:u w:val="single"/>
              </w:rPr>
              <w:t xml:space="preserve"> </w:t>
            </w:r>
            <w:r>
              <w:rPr>
                <w:b/>
                <w:sz w:val="20"/>
                <w:u w:val="single"/>
              </w:rPr>
              <w:t>los</w:t>
            </w:r>
            <w:r>
              <w:rPr>
                <w:b/>
                <w:spacing w:val="-17"/>
                <w:sz w:val="20"/>
                <w:u w:val="single"/>
              </w:rPr>
              <w:t xml:space="preserve"> </w:t>
            </w:r>
            <w:r>
              <w:rPr>
                <w:b/>
                <w:sz w:val="20"/>
                <w:u w:val="single"/>
              </w:rPr>
              <w:t>numerales</w:t>
            </w:r>
            <w:r>
              <w:rPr>
                <w:b/>
                <w:spacing w:val="-17"/>
                <w:sz w:val="20"/>
                <w:u w:val="single"/>
              </w:rPr>
              <w:t xml:space="preserve"> </w:t>
            </w:r>
            <w:r>
              <w:rPr>
                <w:b/>
                <w:sz w:val="20"/>
                <w:u w:val="single"/>
              </w:rPr>
              <w:t>16</w:t>
            </w:r>
            <w:r>
              <w:rPr>
                <w:b/>
                <w:spacing w:val="-17"/>
                <w:sz w:val="20"/>
                <w:u w:val="single"/>
              </w:rPr>
              <w:t xml:space="preserve"> </w:t>
            </w:r>
            <w:r>
              <w:rPr>
                <w:b/>
                <w:sz w:val="20"/>
                <w:u w:val="single"/>
              </w:rPr>
              <w:t>y</w:t>
            </w:r>
            <w:r>
              <w:rPr>
                <w:b/>
                <w:spacing w:val="-17"/>
                <w:sz w:val="20"/>
                <w:u w:val="single"/>
              </w:rPr>
              <w:t xml:space="preserve"> </w:t>
            </w:r>
            <w:r>
              <w:rPr>
                <w:b/>
                <w:sz w:val="20"/>
                <w:u w:val="single"/>
              </w:rPr>
              <w:t>17</w:t>
            </w:r>
            <w:r>
              <w:rPr>
                <w:b/>
                <w:spacing w:val="-17"/>
                <w:sz w:val="20"/>
                <w:u w:val="single"/>
              </w:rPr>
              <w:t xml:space="preserve"> </w:t>
            </w:r>
            <w:r>
              <w:rPr>
                <w:b/>
                <w:sz w:val="20"/>
                <w:u w:val="single"/>
              </w:rPr>
              <w:t>del</w:t>
            </w:r>
            <w:r>
              <w:rPr>
                <w:b/>
                <w:sz w:val="20"/>
              </w:rPr>
              <w:t xml:space="preserve"> </w:t>
            </w:r>
            <w:r>
              <w:rPr>
                <w:b/>
                <w:sz w:val="20"/>
                <w:u w:val="single"/>
              </w:rPr>
              <w:t>artículo 189 de la Constitución Política,</w:t>
            </w:r>
            <w:r>
              <w:rPr>
                <w:b/>
                <w:sz w:val="20"/>
              </w:rPr>
              <w:t xml:space="preserve"> </w:t>
            </w:r>
            <w:r>
              <w:rPr>
                <w:sz w:val="20"/>
              </w:rPr>
              <w:t>el Ministerio de Igualdad y Equidad tendrá una estructura orgánica inicial con las dependencias de dirección</w:t>
            </w:r>
            <w:r>
              <w:rPr>
                <w:b/>
                <w:sz w:val="20"/>
              </w:rPr>
              <w:t xml:space="preserve">, </w:t>
            </w:r>
            <w:r>
              <w:rPr>
                <w:sz w:val="20"/>
              </w:rPr>
              <w:t xml:space="preserve">asesoría, coordinación, gestión y apoyo </w:t>
            </w:r>
            <w:r>
              <w:rPr>
                <w:b/>
                <w:sz w:val="20"/>
                <w:u w:val="single"/>
              </w:rPr>
              <w:t>que se</w:t>
            </w:r>
            <w:r>
              <w:rPr>
                <w:b/>
                <w:sz w:val="20"/>
              </w:rPr>
              <w:t xml:space="preserve"> </w:t>
            </w:r>
            <w:r>
              <w:rPr>
                <w:b/>
                <w:sz w:val="20"/>
                <w:u w:val="single"/>
              </w:rPr>
              <w:t>relacionan a continuación:</w:t>
            </w:r>
          </w:p>
          <w:p w14:paraId="20225B30" w14:textId="77777777" w:rsidR="000E52B0" w:rsidRDefault="00F60D74">
            <w:pPr>
              <w:pStyle w:val="TableParagraph"/>
              <w:numPr>
                <w:ilvl w:val="0"/>
                <w:numId w:val="11"/>
              </w:numPr>
              <w:tabs>
                <w:tab w:val="left" w:pos="415"/>
              </w:tabs>
              <w:spacing w:before="2" w:line="243" w:lineRule="exact"/>
              <w:ind w:left="415" w:hanging="358"/>
              <w:jc w:val="both"/>
              <w:rPr>
                <w:b/>
                <w:sz w:val="20"/>
              </w:rPr>
            </w:pPr>
            <w:r>
              <w:rPr>
                <w:b/>
                <w:sz w:val="20"/>
                <w:u w:val="single"/>
              </w:rPr>
              <w:t>Despacho</w:t>
            </w:r>
            <w:r>
              <w:rPr>
                <w:b/>
                <w:spacing w:val="-8"/>
                <w:sz w:val="20"/>
                <w:u w:val="single"/>
              </w:rPr>
              <w:t xml:space="preserve"> </w:t>
            </w:r>
            <w:r>
              <w:rPr>
                <w:b/>
                <w:sz w:val="20"/>
                <w:u w:val="single"/>
              </w:rPr>
              <w:t>de</w:t>
            </w:r>
            <w:r>
              <w:rPr>
                <w:b/>
                <w:spacing w:val="-6"/>
                <w:sz w:val="20"/>
                <w:u w:val="single"/>
              </w:rPr>
              <w:t xml:space="preserve"> </w:t>
            </w:r>
            <w:r>
              <w:rPr>
                <w:b/>
                <w:sz w:val="20"/>
                <w:u w:val="single"/>
              </w:rPr>
              <w:t>la</w:t>
            </w:r>
            <w:r>
              <w:rPr>
                <w:b/>
                <w:spacing w:val="-6"/>
                <w:sz w:val="20"/>
                <w:u w:val="single"/>
              </w:rPr>
              <w:t xml:space="preserve"> </w:t>
            </w:r>
            <w:proofErr w:type="gramStart"/>
            <w:r>
              <w:rPr>
                <w:b/>
                <w:sz w:val="20"/>
                <w:u w:val="single"/>
              </w:rPr>
              <w:t>Ministra</w:t>
            </w:r>
            <w:proofErr w:type="gramEnd"/>
            <w:r>
              <w:rPr>
                <w:b/>
                <w:spacing w:val="-7"/>
                <w:sz w:val="20"/>
                <w:u w:val="single"/>
              </w:rPr>
              <w:t xml:space="preserve"> </w:t>
            </w:r>
            <w:r>
              <w:rPr>
                <w:b/>
                <w:sz w:val="20"/>
                <w:u w:val="single"/>
              </w:rPr>
              <w:t>o</w:t>
            </w:r>
            <w:r>
              <w:rPr>
                <w:b/>
                <w:spacing w:val="-8"/>
                <w:sz w:val="20"/>
                <w:u w:val="single"/>
              </w:rPr>
              <w:t xml:space="preserve"> </w:t>
            </w:r>
            <w:proofErr w:type="gramStart"/>
            <w:r>
              <w:rPr>
                <w:b/>
                <w:spacing w:val="-2"/>
                <w:sz w:val="20"/>
                <w:u w:val="single"/>
              </w:rPr>
              <w:t>Ministro</w:t>
            </w:r>
            <w:proofErr w:type="gramEnd"/>
          </w:p>
          <w:p w14:paraId="6110FC74" w14:textId="77777777" w:rsidR="000E52B0" w:rsidRDefault="00F60D74">
            <w:pPr>
              <w:pStyle w:val="TableParagraph"/>
              <w:numPr>
                <w:ilvl w:val="1"/>
                <w:numId w:val="11"/>
              </w:numPr>
              <w:tabs>
                <w:tab w:val="left" w:pos="979"/>
                <w:tab w:val="left" w:pos="983"/>
              </w:tabs>
              <w:ind w:right="88"/>
              <w:jc w:val="both"/>
              <w:rPr>
                <w:b/>
                <w:sz w:val="20"/>
              </w:rPr>
            </w:pPr>
            <w:r>
              <w:rPr>
                <w:b/>
                <w:noProof/>
                <w:sz w:val="20"/>
              </w:rPr>
              <mc:AlternateContent>
                <mc:Choice Requires="wpg">
                  <w:drawing>
                    <wp:anchor distT="0" distB="0" distL="0" distR="0" simplePos="0" relativeHeight="482327552" behindDoc="1" locked="0" layoutInCell="1" allowOverlap="1" wp14:anchorId="1FC09F12" wp14:editId="3BA335D4">
                      <wp:simplePos x="0" y="0"/>
                      <wp:positionH relativeFrom="column">
                        <wp:posOffset>2094230</wp:posOffset>
                      </wp:positionH>
                      <wp:positionV relativeFrom="paragraph">
                        <wp:posOffset>-480393</wp:posOffset>
                      </wp:positionV>
                      <wp:extent cx="47625" cy="13970"/>
                      <wp:effectExtent l="0" t="0" r="0" b="0"/>
                      <wp:wrapNone/>
                      <wp:docPr id="80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13970"/>
                                <a:chOff x="0" y="0"/>
                                <a:chExt cx="47625" cy="13970"/>
                              </a:xfrm>
                            </wpg:grpSpPr>
                            <wps:wsp>
                              <wps:cNvPr id="801" name="Graphic 801"/>
                              <wps:cNvSpPr/>
                              <wps:spPr>
                                <a:xfrm>
                                  <a:off x="0" y="0"/>
                                  <a:ext cx="47625" cy="13970"/>
                                </a:xfrm>
                                <a:custGeom>
                                  <a:avLst/>
                                  <a:gdLst/>
                                  <a:ahLst/>
                                  <a:cxnLst/>
                                  <a:rect l="l" t="t" r="r" b="b"/>
                                  <a:pathLst>
                                    <a:path w="47625" h="13970">
                                      <a:moveTo>
                                        <a:pt x="47244" y="0"/>
                                      </a:moveTo>
                                      <a:lnTo>
                                        <a:pt x="0" y="0"/>
                                      </a:lnTo>
                                      <a:lnTo>
                                        <a:pt x="0" y="13716"/>
                                      </a:lnTo>
                                      <a:lnTo>
                                        <a:pt x="47244" y="13716"/>
                                      </a:lnTo>
                                      <a:lnTo>
                                        <a:pt x="47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BEF60C" id="Group 800" o:spid="_x0000_s1026" style="position:absolute;margin-left:164.9pt;margin-top:-37.85pt;width:3.75pt;height:1.1pt;z-index:-20988928;mso-wrap-distance-left:0;mso-wrap-distance-right:0" coordsize="4762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">
                      <v:shape id="Graphic 801" o:spid="_x0000_s1027" style="position:absolute;width:47625;height:13970;visibility:visible;mso-wrap-style:square;v-text-anchor:top" coordsize="4762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" path="m47244,l,,,13716r47244,l47244,xe" fillcolor="black" stroked="f">
                        <v:path arrowok="t"/>
                      </v:shape>
                    </v:group>
                  </w:pict>
                </mc:Fallback>
              </mc:AlternateContent>
            </w:r>
            <w:r>
              <w:rPr>
                <w:b/>
                <w:sz w:val="20"/>
                <w:u w:val="single"/>
              </w:rPr>
              <w:t>Oficina de Saberes y</w:t>
            </w:r>
            <w:r>
              <w:rPr>
                <w:b/>
                <w:sz w:val="20"/>
              </w:rPr>
              <w:t xml:space="preserve"> </w:t>
            </w:r>
            <w:r>
              <w:rPr>
                <w:b/>
                <w:sz w:val="20"/>
                <w:u w:val="single"/>
              </w:rPr>
              <w:t>Conocimientos Estratégicos</w:t>
            </w:r>
          </w:p>
          <w:p w14:paraId="63B1DAEF" w14:textId="77777777" w:rsidR="000E52B0" w:rsidRDefault="00F60D74">
            <w:pPr>
              <w:pStyle w:val="TableParagraph"/>
              <w:numPr>
                <w:ilvl w:val="1"/>
                <w:numId w:val="11"/>
              </w:numPr>
              <w:tabs>
                <w:tab w:val="left" w:pos="979"/>
                <w:tab w:val="left" w:pos="983"/>
              </w:tabs>
              <w:spacing w:line="244" w:lineRule="exact"/>
              <w:ind w:right="87"/>
              <w:jc w:val="both"/>
              <w:rPr>
                <w:b/>
                <w:sz w:val="20"/>
              </w:rPr>
            </w:pPr>
            <w:r>
              <w:rPr>
                <w:b/>
                <w:sz w:val="20"/>
                <w:u w:val="single"/>
              </w:rPr>
              <w:t>Oficina de Proyectos para la</w:t>
            </w:r>
            <w:r>
              <w:rPr>
                <w:b/>
                <w:sz w:val="20"/>
              </w:rPr>
              <w:t xml:space="preserve"> </w:t>
            </w:r>
            <w:r>
              <w:rPr>
                <w:b/>
                <w:sz w:val="20"/>
                <w:u w:val="single"/>
              </w:rPr>
              <w:t>Igualdad y Equidad</w:t>
            </w:r>
          </w:p>
        </w:tc>
        <w:tc>
          <w:tcPr>
            <w:tcW w:w="3809" w:type="dxa"/>
          </w:tcPr>
          <w:p w14:paraId="3928F923" w14:textId="77777777" w:rsidR="000E52B0" w:rsidRDefault="00F60D74">
            <w:pPr>
              <w:pStyle w:val="TableParagraph"/>
              <w:spacing w:before="2"/>
              <w:ind w:left="108" w:right="91"/>
              <w:jc w:val="both"/>
              <w:rPr>
                <w:sz w:val="20"/>
              </w:rPr>
            </w:pPr>
            <w:r>
              <w:rPr>
                <w:sz w:val="20"/>
              </w:rPr>
              <w:t>Se propone una redacción nueva que incluye la estructura del Decreto 1075 de 2023.</w:t>
            </w:r>
          </w:p>
        </w:tc>
      </w:tr>
    </w:tbl>
    <w:p w14:paraId="072E7ECE" w14:textId="77777777" w:rsidR="000E52B0" w:rsidRDefault="000E52B0">
      <w:pPr>
        <w:pStyle w:val="TableParagraph"/>
        <w:jc w:val="both"/>
        <w:rPr>
          <w:sz w:val="20"/>
        </w:rPr>
        <w:sectPr w:rsidR="000E52B0">
          <w:pgSz w:w="16840" w:h="11910" w:orient="landscape"/>
          <w:pgMar w:top="1340" w:right="1800" w:bottom="1180" w:left="1440" w:header="0" w:footer="995" w:gutter="0"/>
          <w:cols w:space="720"/>
        </w:sectPr>
      </w:pPr>
    </w:p>
    <w:p w14:paraId="1DC3680D" w14:textId="77777777" w:rsidR="000E52B0" w:rsidRDefault="000E52B0">
      <w:pPr>
        <w:pStyle w:val="Textoindependiente"/>
        <w:spacing w:before="8" w:after="1"/>
        <w:ind w:left="0"/>
        <w:rPr>
          <w:b/>
          <w:sz w:val="7"/>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12"/>
        <w:gridCol w:w="4723"/>
        <w:gridCol w:w="3809"/>
      </w:tblGrid>
      <w:tr w:rsidR="000E52B0" w14:paraId="39586A93" w14:textId="77777777">
        <w:trPr>
          <w:trHeight w:val="8753"/>
        </w:trPr>
        <w:tc>
          <w:tcPr>
            <w:tcW w:w="4712" w:type="dxa"/>
          </w:tcPr>
          <w:p w14:paraId="6C7B6B93" w14:textId="77777777" w:rsidR="000E52B0" w:rsidRDefault="00F60D74">
            <w:pPr>
              <w:pStyle w:val="TableParagraph"/>
              <w:tabs>
                <w:tab w:val="left" w:pos="1015"/>
                <w:tab w:val="left" w:pos="1480"/>
                <w:tab w:val="left" w:pos="2875"/>
                <w:tab w:val="left" w:pos="3215"/>
                <w:tab w:val="left" w:pos="4349"/>
              </w:tabs>
              <w:ind w:left="107" w:right="94"/>
              <w:rPr>
                <w:sz w:val="20"/>
              </w:rPr>
            </w:pPr>
            <w:r>
              <w:rPr>
                <w:color w:val="333333"/>
                <w:spacing w:val="-2"/>
                <w:sz w:val="20"/>
              </w:rPr>
              <w:t>Oficina</w:t>
            </w:r>
            <w:r>
              <w:rPr>
                <w:color w:val="333333"/>
                <w:sz w:val="20"/>
              </w:rPr>
              <w:tab/>
            </w:r>
            <w:r>
              <w:rPr>
                <w:color w:val="333333"/>
                <w:spacing w:val="-6"/>
                <w:sz w:val="20"/>
              </w:rPr>
              <w:t>de</w:t>
            </w:r>
            <w:r>
              <w:rPr>
                <w:color w:val="333333"/>
                <w:sz w:val="20"/>
              </w:rPr>
              <w:tab/>
            </w:r>
            <w:r>
              <w:rPr>
                <w:color w:val="333333"/>
                <w:spacing w:val="-2"/>
                <w:sz w:val="20"/>
              </w:rPr>
              <w:t>Tecnologías</w:t>
            </w:r>
            <w:r>
              <w:rPr>
                <w:color w:val="333333"/>
                <w:sz w:val="20"/>
              </w:rPr>
              <w:tab/>
            </w:r>
            <w:r>
              <w:rPr>
                <w:color w:val="333333"/>
                <w:spacing w:val="-10"/>
                <w:sz w:val="20"/>
              </w:rPr>
              <w:t>y</w:t>
            </w:r>
            <w:r>
              <w:rPr>
                <w:color w:val="333333"/>
                <w:sz w:val="20"/>
              </w:rPr>
              <w:tab/>
            </w:r>
            <w:r>
              <w:rPr>
                <w:color w:val="333333"/>
                <w:spacing w:val="-2"/>
                <w:sz w:val="20"/>
              </w:rPr>
              <w:t>Sistemas</w:t>
            </w:r>
            <w:r>
              <w:rPr>
                <w:color w:val="333333"/>
                <w:sz w:val="20"/>
              </w:rPr>
              <w:tab/>
            </w:r>
            <w:r>
              <w:rPr>
                <w:color w:val="333333"/>
                <w:spacing w:val="-6"/>
                <w:sz w:val="20"/>
              </w:rPr>
              <w:t xml:space="preserve">de </w:t>
            </w:r>
            <w:r>
              <w:rPr>
                <w:color w:val="333333"/>
                <w:spacing w:val="-2"/>
                <w:sz w:val="20"/>
              </w:rPr>
              <w:t>Información</w:t>
            </w:r>
          </w:p>
          <w:p w14:paraId="55DAD0B9" w14:textId="77777777" w:rsidR="000E52B0" w:rsidRDefault="00F60D74">
            <w:pPr>
              <w:pStyle w:val="TableParagraph"/>
              <w:spacing w:before="1" w:line="243" w:lineRule="exact"/>
              <w:ind w:left="177"/>
              <w:rPr>
                <w:sz w:val="20"/>
              </w:rPr>
            </w:pPr>
            <w:r>
              <w:rPr>
                <w:color w:val="333333"/>
                <w:sz w:val="20"/>
              </w:rPr>
              <w:t>Direcciones</w:t>
            </w:r>
            <w:r>
              <w:rPr>
                <w:color w:val="333333"/>
                <w:spacing w:val="-15"/>
                <w:sz w:val="20"/>
              </w:rPr>
              <w:t xml:space="preserve"> </w:t>
            </w:r>
            <w:r>
              <w:rPr>
                <w:color w:val="333333"/>
                <w:spacing w:val="-2"/>
                <w:sz w:val="20"/>
              </w:rPr>
              <w:t>Departamentales</w:t>
            </w:r>
          </w:p>
          <w:p w14:paraId="46863FD2" w14:textId="77777777" w:rsidR="000E52B0" w:rsidRDefault="00F60D74">
            <w:pPr>
              <w:pStyle w:val="TableParagraph"/>
              <w:tabs>
                <w:tab w:val="left" w:pos="1448"/>
                <w:tab w:val="left" w:pos="1992"/>
                <w:tab w:val="left" w:pos="2469"/>
                <w:tab w:val="left" w:pos="4001"/>
                <w:tab w:val="left" w:pos="4423"/>
              </w:tabs>
              <w:ind w:left="107" w:right="94" w:firstLine="69"/>
              <w:rPr>
                <w:sz w:val="20"/>
              </w:rPr>
            </w:pPr>
            <w:r>
              <w:rPr>
                <w:color w:val="333333"/>
                <w:spacing w:val="-2"/>
                <w:sz w:val="20"/>
              </w:rPr>
              <w:t>Despacho</w:t>
            </w:r>
            <w:r>
              <w:rPr>
                <w:color w:val="333333"/>
                <w:sz w:val="20"/>
              </w:rPr>
              <w:tab/>
            </w:r>
            <w:r>
              <w:rPr>
                <w:color w:val="333333"/>
                <w:spacing w:val="-6"/>
                <w:sz w:val="20"/>
              </w:rPr>
              <w:t>de</w:t>
            </w:r>
            <w:r>
              <w:rPr>
                <w:color w:val="333333"/>
                <w:sz w:val="20"/>
              </w:rPr>
              <w:tab/>
            </w:r>
            <w:r>
              <w:rPr>
                <w:color w:val="333333"/>
                <w:spacing w:val="-6"/>
                <w:sz w:val="20"/>
              </w:rPr>
              <w:t>la</w:t>
            </w:r>
            <w:r>
              <w:rPr>
                <w:color w:val="333333"/>
                <w:sz w:val="20"/>
              </w:rPr>
              <w:tab/>
            </w:r>
            <w:proofErr w:type="gramStart"/>
            <w:r>
              <w:rPr>
                <w:color w:val="333333"/>
                <w:spacing w:val="-2"/>
                <w:sz w:val="20"/>
              </w:rPr>
              <w:t>Viceministra</w:t>
            </w:r>
            <w:proofErr w:type="gramEnd"/>
            <w:r>
              <w:rPr>
                <w:color w:val="333333"/>
                <w:sz w:val="20"/>
              </w:rPr>
              <w:tab/>
            </w:r>
            <w:r>
              <w:rPr>
                <w:color w:val="333333"/>
                <w:spacing w:val="-10"/>
                <w:sz w:val="20"/>
              </w:rPr>
              <w:t>o</w:t>
            </w:r>
            <w:r>
              <w:rPr>
                <w:color w:val="333333"/>
                <w:sz w:val="20"/>
              </w:rPr>
              <w:tab/>
            </w:r>
            <w:r>
              <w:rPr>
                <w:color w:val="333333"/>
                <w:spacing w:val="-6"/>
                <w:sz w:val="20"/>
              </w:rPr>
              <w:t xml:space="preserve">el </w:t>
            </w:r>
            <w:proofErr w:type="gramStart"/>
            <w:r>
              <w:rPr>
                <w:color w:val="333333"/>
                <w:spacing w:val="-2"/>
                <w:sz w:val="20"/>
              </w:rPr>
              <w:t>Viceministro</w:t>
            </w:r>
            <w:proofErr w:type="gramEnd"/>
          </w:p>
          <w:p w14:paraId="274B235F" w14:textId="77777777" w:rsidR="000E52B0" w:rsidRDefault="00F60D74">
            <w:pPr>
              <w:pStyle w:val="TableParagraph"/>
              <w:tabs>
                <w:tab w:val="left" w:pos="1448"/>
                <w:tab w:val="left" w:pos="1992"/>
                <w:tab w:val="left" w:pos="2469"/>
                <w:tab w:val="left" w:pos="4001"/>
                <w:tab w:val="left" w:pos="4423"/>
              </w:tabs>
              <w:spacing w:before="1"/>
              <w:ind w:left="107" w:right="94" w:firstLine="69"/>
              <w:rPr>
                <w:sz w:val="20"/>
              </w:rPr>
            </w:pPr>
            <w:r>
              <w:rPr>
                <w:color w:val="333333"/>
                <w:spacing w:val="-2"/>
                <w:sz w:val="20"/>
              </w:rPr>
              <w:t>Despacho</w:t>
            </w:r>
            <w:r>
              <w:rPr>
                <w:color w:val="333333"/>
                <w:sz w:val="20"/>
              </w:rPr>
              <w:tab/>
            </w:r>
            <w:r>
              <w:rPr>
                <w:color w:val="333333"/>
                <w:spacing w:val="-6"/>
                <w:sz w:val="20"/>
              </w:rPr>
              <w:t>de</w:t>
            </w:r>
            <w:r>
              <w:rPr>
                <w:color w:val="333333"/>
                <w:sz w:val="20"/>
              </w:rPr>
              <w:tab/>
            </w:r>
            <w:r>
              <w:rPr>
                <w:color w:val="333333"/>
                <w:spacing w:val="-6"/>
                <w:sz w:val="20"/>
              </w:rPr>
              <w:t>la</w:t>
            </w:r>
            <w:r>
              <w:rPr>
                <w:color w:val="333333"/>
                <w:sz w:val="20"/>
              </w:rPr>
              <w:tab/>
            </w:r>
            <w:proofErr w:type="gramStart"/>
            <w:r>
              <w:rPr>
                <w:color w:val="333333"/>
                <w:spacing w:val="-2"/>
                <w:sz w:val="20"/>
              </w:rPr>
              <w:t>Viceministra</w:t>
            </w:r>
            <w:proofErr w:type="gramEnd"/>
            <w:r>
              <w:rPr>
                <w:color w:val="333333"/>
                <w:sz w:val="20"/>
              </w:rPr>
              <w:tab/>
            </w:r>
            <w:r>
              <w:rPr>
                <w:color w:val="333333"/>
                <w:spacing w:val="-10"/>
                <w:sz w:val="20"/>
              </w:rPr>
              <w:t>o</w:t>
            </w:r>
            <w:r>
              <w:rPr>
                <w:color w:val="333333"/>
                <w:sz w:val="20"/>
              </w:rPr>
              <w:tab/>
            </w:r>
            <w:r>
              <w:rPr>
                <w:color w:val="333333"/>
                <w:spacing w:val="-6"/>
                <w:sz w:val="20"/>
              </w:rPr>
              <w:t xml:space="preserve">el </w:t>
            </w:r>
            <w:proofErr w:type="gramStart"/>
            <w:r>
              <w:rPr>
                <w:color w:val="333333"/>
                <w:spacing w:val="-2"/>
                <w:sz w:val="20"/>
              </w:rPr>
              <w:t>Viceministro</w:t>
            </w:r>
            <w:proofErr w:type="gramEnd"/>
          </w:p>
          <w:p w14:paraId="0898C350" w14:textId="77777777" w:rsidR="000E52B0" w:rsidRDefault="00F60D74">
            <w:pPr>
              <w:pStyle w:val="TableParagraph"/>
              <w:tabs>
                <w:tab w:val="left" w:pos="1448"/>
                <w:tab w:val="left" w:pos="1992"/>
                <w:tab w:val="left" w:pos="2469"/>
                <w:tab w:val="left" w:pos="4001"/>
                <w:tab w:val="left" w:pos="4423"/>
              </w:tabs>
              <w:spacing w:line="242" w:lineRule="auto"/>
              <w:ind w:left="107" w:right="94" w:firstLine="69"/>
              <w:rPr>
                <w:sz w:val="20"/>
              </w:rPr>
            </w:pPr>
            <w:r>
              <w:rPr>
                <w:color w:val="333333"/>
                <w:spacing w:val="-2"/>
                <w:sz w:val="20"/>
              </w:rPr>
              <w:t>Despacho</w:t>
            </w:r>
            <w:r>
              <w:rPr>
                <w:color w:val="333333"/>
                <w:sz w:val="20"/>
              </w:rPr>
              <w:tab/>
            </w:r>
            <w:r>
              <w:rPr>
                <w:color w:val="333333"/>
                <w:spacing w:val="-6"/>
                <w:sz w:val="20"/>
              </w:rPr>
              <w:t>de</w:t>
            </w:r>
            <w:r>
              <w:rPr>
                <w:color w:val="333333"/>
                <w:sz w:val="20"/>
              </w:rPr>
              <w:tab/>
            </w:r>
            <w:r>
              <w:rPr>
                <w:color w:val="333333"/>
                <w:spacing w:val="-6"/>
                <w:sz w:val="20"/>
              </w:rPr>
              <w:t>la</w:t>
            </w:r>
            <w:r>
              <w:rPr>
                <w:color w:val="333333"/>
                <w:sz w:val="20"/>
              </w:rPr>
              <w:tab/>
            </w:r>
            <w:proofErr w:type="gramStart"/>
            <w:r>
              <w:rPr>
                <w:color w:val="333333"/>
                <w:spacing w:val="-2"/>
                <w:sz w:val="20"/>
              </w:rPr>
              <w:t>Viceministra</w:t>
            </w:r>
            <w:proofErr w:type="gramEnd"/>
            <w:r>
              <w:rPr>
                <w:color w:val="333333"/>
                <w:sz w:val="20"/>
              </w:rPr>
              <w:tab/>
            </w:r>
            <w:r>
              <w:rPr>
                <w:color w:val="333333"/>
                <w:spacing w:val="-10"/>
                <w:sz w:val="20"/>
              </w:rPr>
              <w:t>o</w:t>
            </w:r>
            <w:r>
              <w:rPr>
                <w:color w:val="333333"/>
                <w:sz w:val="20"/>
              </w:rPr>
              <w:tab/>
            </w:r>
            <w:r>
              <w:rPr>
                <w:color w:val="333333"/>
                <w:spacing w:val="-6"/>
                <w:sz w:val="20"/>
              </w:rPr>
              <w:t xml:space="preserve">el </w:t>
            </w:r>
            <w:proofErr w:type="gramStart"/>
            <w:r>
              <w:rPr>
                <w:color w:val="333333"/>
                <w:spacing w:val="-2"/>
                <w:sz w:val="20"/>
              </w:rPr>
              <w:t>Viceministro</w:t>
            </w:r>
            <w:proofErr w:type="gramEnd"/>
          </w:p>
          <w:p w14:paraId="678998B2" w14:textId="77777777" w:rsidR="000E52B0" w:rsidRDefault="00F60D74">
            <w:pPr>
              <w:pStyle w:val="TableParagraph"/>
              <w:ind w:left="177" w:right="2239"/>
              <w:rPr>
                <w:sz w:val="20"/>
              </w:rPr>
            </w:pPr>
            <w:r>
              <w:rPr>
                <w:color w:val="333333"/>
                <w:sz w:val="20"/>
              </w:rPr>
              <w:t>Direcciones</w:t>
            </w:r>
            <w:r>
              <w:rPr>
                <w:color w:val="333333"/>
                <w:spacing w:val="-18"/>
                <w:sz w:val="20"/>
              </w:rPr>
              <w:t xml:space="preserve"> </w:t>
            </w:r>
            <w:r>
              <w:rPr>
                <w:color w:val="333333"/>
                <w:sz w:val="20"/>
              </w:rPr>
              <w:t>misionales Secretaría General</w:t>
            </w:r>
          </w:p>
          <w:p w14:paraId="24B3CD31" w14:textId="77777777" w:rsidR="000E52B0" w:rsidRDefault="00F60D74">
            <w:pPr>
              <w:pStyle w:val="TableParagraph"/>
              <w:ind w:left="177"/>
              <w:rPr>
                <w:sz w:val="20"/>
              </w:rPr>
            </w:pPr>
            <w:r>
              <w:rPr>
                <w:color w:val="333333"/>
                <w:sz w:val="20"/>
              </w:rPr>
              <w:t>Subdirección de Talento Humano Subdirección</w:t>
            </w:r>
            <w:r>
              <w:rPr>
                <w:color w:val="333333"/>
                <w:spacing w:val="-14"/>
                <w:sz w:val="20"/>
              </w:rPr>
              <w:t xml:space="preserve"> </w:t>
            </w:r>
            <w:r>
              <w:rPr>
                <w:color w:val="333333"/>
                <w:sz w:val="20"/>
              </w:rPr>
              <w:t>Administrativa</w:t>
            </w:r>
            <w:r>
              <w:rPr>
                <w:color w:val="333333"/>
                <w:spacing w:val="-14"/>
                <w:sz w:val="20"/>
              </w:rPr>
              <w:t xml:space="preserve"> </w:t>
            </w:r>
            <w:r>
              <w:rPr>
                <w:color w:val="333333"/>
                <w:sz w:val="20"/>
              </w:rPr>
              <w:t>y</w:t>
            </w:r>
            <w:r>
              <w:rPr>
                <w:color w:val="333333"/>
                <w:spacing w:val="-14"/>
                <w:sz w:val="20"/>
              </w:rPr>
              <w:t xml:space="preserve"> </w:t>
            </w:r>
            <w:r>
              <w:rPr>
                <w:color w:val="333333"/>
                <w:sz w:val="20"/>
              </w:rPr>
              <w:t>Financiera Subdirección de Contratación</w:t>
            </w:r>
          </w:p>
          <w:p w14:paraId="20D39331" w14:textId="77777777" w:rsidR="000E52B0" w:rsidRDefault="00F60D74">
            <w:pPr>
              <w:pStyle w:val="TableParagraph"/>
              <w:spacing w:line="243" w:lineRule="exact"/>
              <w:ind w:left="177"/>
              <w:rPr>
                <w:sz w:val="20"/>
              </w:rPr>
            </w:pPr>
            <w:r>
              <w:rPr>
                <w:color w:val="333333"/>
                <w:sz w:val="20"/>
              </w:rPr>
              <w:t>Órganos</w:t>
            </w:r>
            <w:r>
              <w:rPr>
                <w:color w:val="333333"/>
                <w:spacing w:val="-7"/>
                <w:sz w:val="20"/>
              </w:rPr>
              <w:t xml:space="preserve"> </w:t>
            </w:r>
            <w:r>
              <w:rPr>
                <w:color w:val="333333"/>
                <w:sz w:val="20"/>
              </w:rPr>
              <w:t>de</w:t>
            </w:r>
            <w:r>
              <w:rPr>
                <w:color w:val="333333"/>
                <w:spacing w:val="-6"/>
                <w:sz w:val="20"/>
              </w:rPr>
              <w:t xml:space="preserve"> </w:t>
            </w:r>
            <w:r>
              <w:rPr>
                <w:color w:val="333333"/>
                <w:sz w:val="20"/>
              </w:rPr>
              <w:t>Asesoría</w:t>
            </w:r>
            <w:r>
              <w:rPr>
                <w:color w:val="333333"/>
                <w:spacing w:val="-5"/>
                <w:sz w:val="20"/>
              </w:rPr>
              <w:t xml:space="preserve"> </w:t>
            </w:r>
            <w:r>
              <w:rPr>
                <w:color w:val="333333"/>
                <w:sz w:val="20"/>
              </w:rPr>
              <w:t>y</w:t>
            </w:r>
            <w:r>
              <w:rPr>
                <w:color w:val="333333"/>
                <w:spacing w:val="-2"/>
                <w:sz w:val="20"/>
              </w:rPr>
              <w:t xml:space="preserve"> Coordinación</w:t>
            </w:r>
          </w:p>
          <w:p w14:paraId="6FC26FBA" w14:textId="77777777" w:rsidR="000E52B0" w:rsidRDefault="00F60D74">
            <w:pPr>
              <w:pStyle w:val="TableParagraph"/>
              <w:tabs>
                <w:tab w:val="left" w:pos="1275"/>
                <w:tab w:val="left" w:pos="2833"/>
                <w:tab w:val="left" w:pos="3396"/>
                <w:tab w:val="left" w:pos="4477"/>
              </w:tabs>
              <w:ind w:left="107" w:right="94" w:firstLine="139"/>
              <w:rPr>
                <w:sz w:val="20"/>
              </w:rPr>
            </w:pPr>
            <w:r>
              <w:rPr>
                <w:color w:val="333333"/>
                <w:spacing w:val="-2"/>
                <w:sz w:val="20"/>
              </w:rPr>
              <w:t>Comité</w:t>
            </w:r>
            <w:r>
              <w:rPr>
                <w:color w:val="333333"/>
                <w:sz w:val="20"/>
              </w:rPr>
              <w:tab/>
            </w:r>
            <w:r>
              <w:rPr>
                <w:color w:val="333333"/>
                <w:spacing w:val="-2"/>
                <w:sz w:val="20"/>
              </w:rPr>
              <w:t>Institucional</w:t>
            </w:r>
            <w:r>
              <w:rPr>
                <w:color w:val="333333"/>
                <w:sz w:val="20"/>
              </w:rPr>
              <w:tab/>
            </w:r>
            <w:r>
              <w:rPr>
                <w:color w:val="333333"/>
                <w:spacing w:val="-6"/>
                <w:sz w:val="20"/>
              </w:rPr>
              <w:t>de</w:t>
            </w:r>
            <w:r>
              <w:rPr>
                <w:color w:val="333333"/>
                <w:sz w:val="20"/>
              </w:rPr>
              <w:tab/>
            </w:r>
            <w:r>
              <w:rPr>
                <w:color w:val="333333"/>
                <w:spacing w:val="-2"/>
                <w:sz w:val="20"/>
              </w:rPr>
              <w:t>Gestión</w:t>
            </w:r>
            <w:r>
              <w:rPr>
                <w:color w:val="333333"/>
                <w:sz w:val="20"/>
              </w:rPr>
              <w:tab/>
            </w:r>
            <w:r>
              <w:rPr>
                <w:color w:val="333333"/>
                <w:spacing w:val="-10"/>
                <w:sz w:val="20"/>
              </w:rPr>
              <w:t xml:space="preserve">y </w:t>
            </w:r>
            <w:r>
              <w:rPr>
                <w:color w:val="333333"/>
                <w:spacing w:val="-2"/>
                <w:sz w:val="20"/>
              </w:rPr>
              <w:t>Desempeño</w:t>
            </w:r>
          </w:p>
          <w:p w14:paraId="114523DD" w14:textId="77777777" w:rsidR="000E52B0" w:rsidRDefault="00F60D74">
            <w:pPr>
              <w:pStyle w:val="TableParagraph"/>
              <w:numPr>
                <w:ilvl w:val="0"/>
                <w:numId w:val="10"/>
              </w:numPr>
              <w:tabs>
                <w:tab w:val="left" w:pos="267"/>
              </w:tabs>
              <w:spacing w:line="243" w:lineRule="exact"/>
              <w:ind w:left="267" w:hanging="160"/>
              <w:rPr>
                <w:sz w:val="20"/>
              </w:rPr>
            </w:pPr>
            <w:r>
              <w:rPr>
                <w:color w:val="333333"/>
                <w:sz w:val="20"/>
              </w:rPr>
              <w:t>Comité</w:t>
            </w:r>
            <w:r>
              <w:rPr>
                <w:color w:val="333333"/>
                <w:spacing w:val="-7"/>
                <w:sz w:val="20"/>
              </w:rPr>
              <w:t xml:space="preserve"> </w:t>
            </w:r>
            <w:r>
              <w:rPr>
                <w:color w:val="333333"/>
                <w:sz w:val="20"/>
              </w:rPr>
              <w:t>de</w:t>
            </w:r>
            <w:r>
              <w:rPr>
                <w:color w:val="333333"/>
                <w:spacing w:val="-6"/>
                <w:sz w:val="20"/>
              </w:rPr>
              <w:t xml:space="preserve"> </w:t>
            </w:r>
            <w:r>
              <w:rPr>
                <w:color w:val="333333"/>
                <w:sz w:val="20"/>
              </w:rPr>
              <w:t>Control</w:t>
            </w:r>
            <w:r>
              <w:rPr>
                <w:color w:val="333333"/>
                <w:spacing w:val="-6"/>
                <w:sz w:val="20"/>
              </w:rPr>
              <w:t xml:space="preserve"> </w:t>
            </w:r>
            <w:r>
              <w:rPr>
                <w:color w:val="333333"/>
                <w:spacing w:val="-2"/>
                <w:sz w:val="20"/>
              </w:rPr>
              <w:t>Interno</w:t>
            </w:r>
          </w:p>
          <w:p w14:paraId="247DA157" w14:textId="77777777" w:rsidR="000E52B0" w:rsidRDefault="00F60D74">
            <w:pPr>
              <w:pStyle w:val="TableParagraph"/>
              <w:numPr>
                <w:ilvl w:val="0"/>
                <w:numId w:val="10"/>
              </w:numPr>
              <w:tabs>
                <w:tab w:val="left" w:pos="267"/>
              </w:tabs>
              <w:spacing w:line="243" w:lineRule="exact"/>
              <w:ind w:left="267" w:hanging="160"/>
              <w:rPr>
                <w:sz w:val="20"/>
              </w:rPr>
            </w:pPr>
            <w:r>
              <w:rPr>
                <w:color w:val="333333"/>
                <w:sz w:val="20"/>
              </w:rPr>
              <w:t>Comisión</w:t>
            </w:r>
            <w:r>
              <w:rPr>
                <w:color w:val="333333"/>
                <w:spacing w:val="-7"/>
                <w:sz w:val="20"/>
              </w:rPr>
              <w:t xml:space="preserve"> </w:t>
            </w:r>
            <w:r>
              <w:rPr>
                <w:color w:val="333333"/>
                <w:sz w:val="20"/>
              </w:rPr>
              <w:t>de</w:t>
            </w:r>
            <w:r>
              <w:rPr>
                <w:color w:val="333333"/>
                <w:spacing w:val="-6"/>
                <w:sz w:val="20"/>
              </w:rPr>
              <w:t xml:space="preserve"> </w:t>
            </w:r>
            <w:r>
              <w:rPr>
                <w:color w:val="333333"/>
                <w:spacing w:val="-2"/>
                <w:sz w:val="20"/>
              </w:rPr>
              <w:t>Personal</w:t>
            </w:r>
          </w:p>
          <w:p w14:paraId="02A34819" w14:textId="3E44614A" w:rsidR="000E52B0" w:rsidRDefault="00F60D74">
            <w:pPr>
              <w:pStyle w:val="TableParagraph"/>
              <w:spacing w:before="239"/>
              <w:ind w:left="107" w:right="90"/>
              <w:jc w:val="both"/>
              <w:rPr>
                <w:sz w:val="20"/>
              </w:rPr>
            </w:pPr>
            <w:r>
              <w:rPr>
                <w:color w:val="333333"/>
                <w:sz w:val="20"/>
              </w:rPr>
              <w:t xml:space="preserve">El </w:t>
            </w:r>
            <w:proofErr w:type="gramStart"/>
            <w:r>
              <w:rPr>
                <w:color w:val="333333"/>
                <w:sz w:val="20"/>
              </w:rPr>
              <w:t>Presidente</w:t>
            </w:r>
            <w:proofErr w:type="gramEnd"/>
            <w:r>
              <w:rPr>
                <w:color w:val="333333"/>
                <w:sz w:val="20"/>
              </w:rPr>
              <w:t xml:space="preserve"> de la República, con base en sus</w:t>
            </w:r>
            <w:r>
              <w:rPr>
                <w:color w:val="333333"/>
                <w:spacing w:val="-1"/>
                <w:sz w:val="20"/>
              </w:rPr>
              <w:t xml:space="preserve"> </w:t>
            </w:r>
            <w:r>
              <w:rPr>
                <w:color w:val="333333"/>
                <w:sz w:val="20"/>
              </w:rPr>
              <w:t>facultades</w:t>
            </w:r>
            <w:r>
              <w:rPr>
                <w:color w:val="333333"/>
                <w:spacing w:val="-1"/>
                <w:sz w:val="20"/>
              </w:rPr>
              <w:t xml:space="preserve"> </w:t>
            </w:r>
            <w:r>
              <w:rPr>
                <w:color w:val="333333"/>
                <w:sz w:val="20"/>
              </w:rPr>
              <w:t>permanentes</w:t>
            </w:r>
            <w:r>
              <w:rPr>
                <w:color w:val="333333"/>
                <w:spacing w:val="-1"/>
                <w:sz w:val="20"/>
              </w:rPr>
              <w:t xml:space="preserve"> </w:t>
            </w:r>
            <w:r>
              <w:rPr>
                <w:color w:val="333333"/>
                <w:sz w:val="20"/>
              </w:rPr>
              <w:t>consagradas</w:t>
            </w:r>
            <w:r>
              <w:rPr>
                <w:color w:val="333333"/>
                <w:spacing w:val="-1"/>
                <w:sz w:val="20"/>
              </w:rPr>
              <w:t xml:space="preserve"> </w:t>
            </w:r>
            <w:r>
              <w:rPr>
                <w:color w:val="333333"/>
                <w:sz w:val="20"/>
              </w:rPr>
              <w:t>en el artícul</w:t>
            </w:r>
            <w:r>
              <w:rPr>
                <w:sz w:val="20"/>
              </w:rPr>
              <w:t xml:space="preserve">o 189 numerales 16 y 17 de la Constitución Política, podrá </w:t>
            </w:r>
            <w:r>
              <w:rPr>
                <w:color w:val="333333"/>
                <w:sz w:val="20"/>
              </w:rPr>
              <w:t>modificar la estructura del Ministerio con sujeción a los principios</w:t>
            </w:r>
            <w:r>
              <w:rPr>
                <w:color w:val="333333"/>
                <w:spacing w:val="-18"/>
                <w:sz w:val="20"/>
              </w:rPr>
              <w:t xml:space="preserve"> </w:t>
            </w:r>
            <w:r>
              <w:rPr>
                <w:color w:val="333333"/>
                <w:sz w:val="20"/>
              </w:rPr>
              <w:t>y</w:t>
            </w:r>
            <w:r>
              <w:rPr>
                <w:color w:val="333333"/>
                <w:spacing w:val="-18"/>
                <w:sz w:val="20"/>
              </w:rPr>
              <w:t xml:space="preserve"> </w:t>
            </w:r>
            <w:r>
              <w:rPr>
                <w:color w:val="333333"/>
                <w:sz w:val="20"/>
              </w:rPr>
              <w:t>reglas</w:t>
            </w:r>
            <w:r>
              <w:rPr>
                <w:color w:val="333333"/>
                <w:spacing w:val="-17"/>
                <w:sz w:val="20"/>
              </w:rPr>
              <w:t xml:space="preserve"> </w:t>
            </w:r>
            <w:r>
              <w:rPr>
                <w:color w:val="333333"/>
                <w:sz w:val="20"/>
              </w:rPr>
              <w:t>generales</w:t>
            </w:r>
            <w:r>
              <w:rPr>
                <w:color w:val="333333"/>
                <w:spacing w:val="-18"/>
                <w:sz w:val="20"/>
              </w:rPr>
              <w:t xml:space="preserve"> </w:t>
            </w:r>
            <w:r>
              <w:rPr>
                <w:color w:val="333333"/>
                <w:sz w:val="20"/>
              </w:rPr>
              <w:t xml:space="preserve">constitucionales y legales </w:t>
            </w:r>
            <w:r w:rsidR="00711074">
              <w:rPr>
                <w:color w:val="333333"/>
                <w:sz w:val="20"/>
              </w:rPr>
              <w:t>definidos,</w:t>
            </w:r>
            <w:r>
              <w:rPr>
                <w:color w:val="333333"/>
                <w:sz w:val="20"/>
              </w:rPr>
              <w:t xml:space="preserve"> así como distribuir los negocios de otras entidades según su naturaleza, para lograr los fines de la presente Ley, en el marco de austeridad </w:t>
            </w:r>
            <w:r>
              <w:rPr>
                <w:color w:val="333333"/>
                <w:spacing w:val="-2"/>
                <w:sz w:val="20"/>
              </w:rPr>
              <w:t>presupuestal.</w:t>
            </w:r>
          </w:p>
          <w:p w14:paraId="4D11911E" w14:textId="77777777" w:rsidR="000E52B0" w:rsidRDefault="000E52B0">
            <w:pPr>
              <w:pStyle w:val="TableParagraph"/>
              <w:rPr>
                <w:b/>
                <w:sz w:val="20"/>
              </w:rPr>
            </w:pPr>
          </w:p>
          <w:p w14:paraId="35F901EB" w14:textId="77777777" w:rsidR="000E52B0" w:rsidRDefault="00F60D74">
            <w:pPr>
              <w:pStyle w:val="TableParagraph"/>
              <w:ind w:left="107" w:right="93"/>
              <w:jc w:val="both"/>
              <w:rPr>
                <w:sz w:val="20"/>
              </w:rPr>
            </w:pPr>
            <w:r>
              <w:rPr>
                <w:color w:val="333333"/>
                <w:sz w:val="20"/>
              </w:rPr>
              <w:t>En</w:t>
            </w:r>
            <w:r>
              <w:rPr>
                <w:color w:val="333333"/>
                <w:spacing w:val="-4"/>
                <w:sz w:val="20"/>
              </w:rPr>
              <w:t xml:space="preserve"> </w:t>
            </w:r>
            <w:r>
              <w:rPr>
                <w:color w:val="333333"/>
                <w:sz w:val="20"/>
              </w:rPr>
              <w:t>cumplimiento</w:t>
            </w:r>
            <w:r>
              <w:rPr>
                <w:color w:val="333333"/>
                <w:spacing w:val="-6"/>
                <w:sz w:val="20"/>
              </w:rPr>
              <w:t xml:space="preserve"> </w:t>
            </w:r>
            <w:r>
              <w:rPr>
                <w:color w:val="333333"/>
                <w:sz w:val="20"/>
              </w:rPr>
              <w:t>del</w:t>
            </w:r>
            <w:r>
              <w:rPr>
                <w:color w:val="333333"/>
                <w:spacing w:val="-2"/>
                <w:sz w:val="20"/>
              </w:rPr>
              <w:t xml:space="preserve"> </w:t>
            </w:r>
            <w:r>
              <w:rPr>
                <w:color w:val="333333"/>
                <w:sz w:val="20"/>
              </w:rPr>
              <w:t>objeto</w:t>
            </w:r>
            <w:r>
              <w:rPr>
                <w:color w:val="333333"/>
                <w:spacing w:val="-4"/>
                <w:sz w:val="20"/>
              </w:rPr>
              <w:t xml:space="preserve"> </w:t>
            </w:r>
            <w:r>
              <w:rPr>
                <w:color w:val="333333"/>
                <w:sz w:val="20"/>
              </w:rPr>
              <w:t>del</w:t>
            </w:r>
            <w:r>
              <w:rPr>
                <w:color w:val="333333"/>
                <w:spacing w:val="-2"/>
                <w:sz w:val="20"/>
              </w:rPr>
              <w:t xml:space="preserve"> </w:t>
            </w:r>
            <w:r>
              <w:rPr>
                <w:color w:val="333333"/>
                <w:sz w:val="20"/>
              </w:rPr>
              <w:t>Ministerio</w:t>
            </w:r>
            <w:r>
              <w:rPr>
                <w:color w:val="333333"/>
                <w:spacing w:val="-6"/>
                <w:sz w:val="20"/>
              </w:rPr>
              <w:t xml:space="preserve"> </w:t>
            </w:r>
            <w:r>
              <w:rPr>
                <w:color w:val="333333"/>
                <w:sz w:val="20"/>
              </w:rPr>
              <w:t xml:space="preserve">de Igualdad y Equidad, el </w:t>
            </w:r>
            <w:proofErr w:type="gramStart"/>
            <w:r>
              <w:rPr>
                <w:color w:val="333333"/>
                <w:sz w:val="20"/>
              </w:rPr>
              <w:t>Presidente</w:t>
            </w:r>
            <w:proofErr w:type="gramEnd"/>
            <w:r>
              <w:rPr>
                <w:color w:val="333333"/>
                <w:sz w:val="20"/>
              </w:rPr>
              <w:t xml:space="preserve"> de la República</w:t>
            </w:r>
            <w:r>
              <w:rPr>
                <w:color w:val="333333"/>
                <w:spacing w:val="49"/>
                <w:sz w:val="20"/>
              </w:rPr>
              <w:t xml:space="preserve"> </w:t>
            </w:r>
            <w:r>
              <w:rPr>
                <w:color w:val="333333"/>
                <w:sz w:val="20"/>
              </w:rPr>
              <w:t>deberá</w:t>
            </w:r>
            <w:r>
              <w:rPr>
                <w:color w:val="333333"/>
                <w:spacing w:val="53"/>
                <w:sz w:val="20"/>
              </w:rPr>
              <w:t xml:space="preserve"> </w:t>
            </w:r>
            <w:r>
              <w:rPr>
                <w:color w:val="333333"/>
                <w:sz w:val="20"/>
              </w:rPr>
              <w:t>integrar</w:t>
            </w:r>
            <w:r>
              <w:rPr>
                <w:color w:val="333333"/>
                <w:spacing w:val="50"/>
                <w:sz w:val="20"/>
              </w:rPr>
              <w:t xml:space="preserve"> </w:t>
            </w:r>
            <w:r>
              <w:rPr>
                <w:color w:val="333333"/>
                <w:sz w:val="20"/>
              </w:rPr>
              <w:t>al</w:t>
            </w:r>
            <w:r>
              <w:rPr>
                <w:color w:val="333333"/>
                <w:spacing w:val="53"/>
                <w:sz w:val="20"/>
              </w:rPr>
              <w:t xml:space="preserve"> </w:t>
            </w:r>
            <w:r>
              <w:rPr>
                <w:color w:val="333333"/>
                <w:sz w:val="20"/>
              </w:rPr>
              <w:t>Ministerio</w:t>
            </w:r>
            <w:r>
              <w:rPr>
                <w:color w:val="333333"/>
                <w:spacing w:val="49"/>
                <w:sz w:val="20"/>
              </w:rPr>
              <w:t xml:space="preserve"> </w:t>
            </w:r>
            <w:r>
              <w:rPr>
                <w:color w:val="333333"/>
                <w:spacing w:val="-5"/>
                <w:sz w:val="20"/>
              </w:rPr>
              <w:t>de</w:t>
            </w:r>
          </w:p>
          <w:p w14:paraId="2CCB72EF" w14:textId="77777777" w:rsidR="000E52B0" w:rsidRDefault="00F60D74">
            <w:pPr>
              <w:pStyle w:val="TableParagraph"/>
              <w:spacing w:before="1" w:line="224" w:lineRule="exact"/>
              <w:ind w:left="107"/>
              <w:jc w:val="both"/>
              <w:rPr>
                <w:sz w:val="20"/>
              </w:rPr>
            </w:pPr>
            <w:proofErr w:type="gramStart"/>
            <w:r>
              <w:rPr>
                <w:color w:val="333333"/>
                <w:sz w:val="20"/>
              </w:rPr>
              <w:t>Igualdad</w:t>
            </w:r>
            <w:r>
              <w:rPr>
                <w:color w:val="333333"/>
                <w:spacing w:val="50"/>
                <w:sz w:val="20"/>
              </w:rPr>
              <w:t xml:space="preserve">  </w:t>
            </w:r>
            <w:r>
              <w:rPr>
                <w:color w:val="333333"/>
                <w:sz w:val="20"/>
              </w:rPr>
              <w:t>y</w:t>
            </w:r>
            <w:proofErr w:type="gramEnd"/>
            <w:r>
              <w:rPr>
                <w:color w:val="333333"/>
                <w:spacing w:val="50"/>
                <w:sz w:val="20"/>
              </w:rPr>
              <w:t xml:space="preserve">  </w:t>
            </w:r>
            <w:proofErr w:type="gramStart"/>
            <w:r>
              <w:rPr>
                <w:color w:val="333333"/>
                <w:sz w:val="20"/>
              </w:rPr>
              <w:t>Equidad</w:t>
            </w:r>
            <w:r>
              <w:rPr>
                <w:color w:val="333333"/>
                <w:spacing w:val="51"/>
                <w:sz w:val="20"/>
              </w:rPr>
              <w:t xml:space="preserve">  </w:t>
            </w:r>
            <w:r>
              <w:rPr>
                <w:color w:val="333333"/>
                <w:sz w:val="20"/>
              </w:rPr>
              <w:t>todas</w:t>
            </w:r>
            <w:proofErr w:type="gramEnd"/>
            <w:r>
              <w:rPr>
                <w:color w:val="333333"/>
                <w:spacing w:val="50"/>
                <w:sz w:val="20"/>
              </w:rPr>
              <w:t xml:space="preserve">  </w:t>
            </w:r>
            <w:proofErr w:type="gramStart"/>
            <w:r>
              <w:rPr>
                <w:color w:val="333333"/>
                <w:sz w:val="20"/>
              </w:rPr>
              <w:t>las</w:t>
            </w:r>
            <w:r>
              <w:rPr>
                <w:color w:val="333333"/>
                <w:spacing w:val="51"/>
                <w:sz w:val="20"/>
              </w:rPr>
              <w:t xml:space="preserve">  </w:t>
            </w:r>
            <w:r>
              <w:rPr>
                <w:color w:val="333333"/>
                <w:spacing w:val="-2"/>
                <w:sz w:val="20"/>
              </w:rPr>
              <w:t>áreas</w:t>
            </w:r>
            <w:proofErr w:type="gramEnd"/>
            <w:r>
              <w:rPr>
                <w:color w:val="333333"/>
                <w:spacing w:val="-2"/>
                <w:sz w:val="20"/>
              </w:rPr>
              <w:t>,</w:t>
            </w:r>
          </w:p>
        </w:tc>
        <w:tc>
          <w:tcPr>
            <w:tcW w:w="4723" w:type="dxa"/>
          </w:tcPr>
          <w:p w14:paraId="1404F725" w14:textId="77777777" w:rsidR="000E52B0" w:rsidRDefault="00F60D74">
            <w:pPr>
              <w:pStyle w:val="TableParagraph"/>
              <w:numPr>
                <w:ilvl w:val="1"/>
                <w:numId w:val="9"/>
              </w:numPr>
              <w:tabs>
                <w:tab w:val="left" w:pos="983"/>
              </w:tabs>
              <w:ind w:right="89"/>
              <w:rPr>
                <w:b/>
                <w:sz w:val="20"/>
              </w:rPr>
            </w:pPr>
            <w:r>
              <w:rPr>
                <w:b/>
                <w:sz w:val="20"/>
                <w:u w:val="single"/>
              </w:rPr>
              <w:t>Oficina</w:t>
            </w:r>
            <w:r>
              <w:rPr>
                <w:b/>
                <w:spacing w:val="80"/>
                <w:sz w:val="20"/>
                <w:u w:val="single"/>
              </w:rPr>
              <w:t xml:space="preserve"> </w:t>
            </w:r>
            <w:r>
              <w:rPr>
                <w:b/>
                <w:sz w:val="20"/>
                <w:u w:val="single"/>
              </w:rPr>
              <w:t>de</w:t>
            </w:r>
            <w:r>
              <w:rPr>
                <w:b/>
                <w:spacing w:val="80"/>
                <w:sz w:val="20"/>
                <w:u w:val="single"/>
              </w:rPr>
              <w:t xml:space="preserve"> </w:t>
            </w:r>
            <w:r>
              <w:rPr>
                <w:b/>
                <w:sz w:val="20"/>
                <w:u w:val="single"/>
              </w:rPr>
              <w:t>Tecnologías</w:t>
            </w:r>
            <w:r>
              <w:rPr>
                <w:b/>
                <w:spacing w:val="80"/>
                <w:sz w:val="20"/>
                <w:u w:val="single"/>
              </w:rPr>
              <w:t xml:space="preserve"> </w:t>
            </w:r>
            <w:r>
              <w:rPr>
                <w:b/>
                <w:sz w:val="20"/>
                <w:u w:val="single"/>
              </w:rPr>
              <w:t>de</w:t>
            </w:r>
            <w:r>
              <w:rPr>
                <w:b/>
                <w:spacing w:val="80"/>
                <w:sz w:val="20"/>
                <w:u w:val="single"/>
              </w:rPr>
              <w:t xml:space="preserve"> </w:t>
            </w:r>
            <w:r>
              <w:rPr>
                <w:b/>
                <w:sz w:val="20"/>
                <w:u w:val="single"/>
              </w:rPr>
              <w:t>la</w:t>
            </w:r>
            <w:r>
              <w:rPr>
                <w:b/>
                <w:sz w:val="20"/>
              </w:rPr>
              <w:t xml:space="preserve"> </w:t>
            </w:r>
            <w:r>
              <w:rPr>
                <w:b/>
                <w:spacing w:val="-2"/>
                <w:sz w:val="20"/>
                <w:u w:val="single"/>
              </w:rPr>
              <w:t>Información</w:t>
            </w:r>
          </w:p>
          <w:p w14:paraId="1D8A0263" w14:textId="77777777" w:rsidR="000E52B0" w:rsidRDefault="00F60D74">
            <w:pPr>
              <w:pStyle w:val="TableParagraph"/>
              <w:numPr>
                <w:ilvl w:val="1"/>
                <w:numId w:val="9"/>
              </w:numPr>
              <w:tabs>
                <w:tab w:val="left" w:pos="983"/>
                <w:tab w:val="left" w:pos="2607"/>
                <w:tab w:val="left" w:pos="4341"/>
              </w:tabs>
              <w:spacing w:before="1"/>
              <w:ind w:right="87"/>
              <w:rPr>
                <w:b/>
                <w:sz w:val="20"/>
              </w:rPr>
            </w:pPr>
            <w:r>
              <w:rPr>
                <w:b/>
                <w:noProof/>
                <w:sz w:val="20"/>
              </w:rPr>
              <mc:AlternateContent>
                <mc:Choice Requires="wpg">
                  <w:drawing>
                    <wp:anchor distT="0" distB="0" distL="0" distR="0" simplePos="0" relativeHeight="482328064" behindDoc="1" locked="0" layoutInCell="1" allowOverlap="1" wp14:anchorId="7F54DA02" wp14:editId="753C7051">
                      <wp:simplePos x="0" y="0"/>
                      <wp:positionH relativeFrom="column">
                        <wp:posOffset>624840</wp:posOffset>
                      </wp:positionH>
                      <wp:positionV relativeFrom="paragraph">
                        <wp:posOffset>137461</wp:posOffset>
                      </wp:positionV>
                      <wp:extent cx="2307590" cy="13970"/>
                      <wp:effectExtent l="0" t="0" r="0" b="0"/>
                      <wp:wrapNone/>
                      <wp:docPr id="80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7590" cy="13970"/>
                                <a:chOff x="0" y="0"/>
                                <a:chExt cx="2307590" cy="13970"/>
                              </a:xfrm>
                            </wpg:grpSpPr>
                            <wps:wsp>
                              <wps:cNvPr id="803" name="Graphic 803"/>
                              <wps:cNvSpPr/>
                              <wps:spPr>
                                <a:xfrm>
                                  <a:off x="0" y="0"/>
                                  <a:ext cx="2307590" cy="13970"/>
                                </a:xfrm>
                                <a:custGeom>
                                  <a:avLst/>
                                  <a:gdLst/>
                                  <a:ahLst/>
                                  <a:cxnLst/>
                                  <a:rect l="l" t="t" r="r" b="b"/>
                                  <a:pathLst>
                                    <a:path w="2307590" h="13970">
                                      <a:moveTo>
                                        <a:pt x="2307590" y="0"/>
                                      </a:moveTo>
                                      <a:lnTo>
                                        <a:pt x="0" y="0"/>
                                      </a:lnTo>
                                      <a:lnTo>
                                        <a:pt x="0" y="13715"/>
                                      </a:lnTo>
                                      <a:lnTo>
                                        <a:pt x="2307590" y="13715"/>
                                      </a:lnTo>
                                      <a:lnTo>
                                        <a:pt x="230759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CCB031" id="Group 802" o:spid="_x0000_s1026" style="position:absolute;margin-left:49.2pt;margin-top:10.8pt;width:181.7pt;height:1.1pt;z-index:-20988416;mso-wrap-distance-left:0;mso-wrap-distance-right:0" coordsize="23075,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">
                      <v:shape id="Graphic 803" o:spid="_x0000_s1027" style="position:absolute;width:23075;height:139;visibility:visible;mso-wrap-style:square;v-text-anchor:top" coordsize="23075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" path="m2307590,l,,,13715r2307590,l2307590,xe" fillcolor="black" stroked="f">
                        <v:path arrowok="t"/>
                      </v:shape>
                    </v:group>
                  </w:pict>
                </mc:Fallback>
              </mc:AlternateContent>
            </w:r>
            <w:r>
              <w:rPr>
                <w:b/>
                <w:spacing w:val="-2"/>
                <w:sz w:val="20"/>
              </w:rPr>
              <w:t>Oficina</w:t>
            </w:r>
            <w:r>
              <w:rPr>
                <w:b/>
                <w:sz w:val="20"/>
              </w:rPr>
              <w:tab/>
            </w:r>
            <w:r>
              <w:rPr>
                <w:b/>
                <w:spacing w:val="-2"/>
                <w:sz w:val="20"/>
              </w:rPr>
              <w:t>Asesora</w:t>
            </w:r>
            <w:r>
              <w:rPr>
                <w:b/>
                <w:sz w:val="20"/>
              </w:rPr>
              <w:tab/>
            </w:r>
            <w:r>
              <w:rPr>
                <w:b/>
                <w:spacing w:val="-6"/>
                <w:sz w:val="20"/>
              </w:rPr>
              <w:t xml:space="preserve">de </w:t>
            </w:r>
            <w:r>
              <w:rPr>
                <w:b/>
                <w:spacing w:val="-2"/>
                <w:sz w:val="20"/>
                <w:u w:val="single"/>
              </w:rPr>
              <w:t>Comunicaciones</w:t>
            </w:r>
          </w:p>
          <w:p w14:paraId="528A4F6E" w14:textId="77777777" w:rsidR="000E52B0" w:rsidRDefault="00F60D74">
            <w:pPr>
              <w:pStyle w:val="TableParagraph"/>
              <w:numPr>
                <w:ilvl w:val="1"/>
                <w:numId w:val="9"/>
              </w:numPr>
              <w:tabs>
                <w:tab w:val="left" w:pos="983"/>
              </w:tabs>
              <w:spacing w:line="242" w:lineRule="exact"/>
              <w:rPr>
                <w:b/>
                <w:sz w:val="20"/>
              </w:rPr>
            </w:pPr>
            <w:r>
              <w:rPr>
                <w:b/>
                <w:sz w:val="20"/>
                <w:u w:val="single"/>
              </w:rPr>
              <w:t>Oficina</w:t>
            </w:r>
            <w:r>
              <w:rPr>
                <w:b/>
                <w:spacing w:val="-8"/>
                <w:sz w:val="20"/>
                <w:u w:val="single"/>
              </w:rPr>
              <w:t xml:space="preserve"> </w:t>
            </w:r>
            <w:r>
              <w:rPr>
                <w:b/>
                <w:sz w:val="20"/>
                <w:u w:val="single"/>
              </w:rPr>
              <w:t>de</w:t>
            </w:r>
            <w:r>
              <w:rPr>
                <w:b/>
                <w:spacing w:val="-6"/>
                <w:sz w:val="20"/>
                <w:u w:val="single"/>
              </w:rPr>
              <w:t xml:space="preserve"> </w:t>
            </w:r>
            <w:r>
              <w:rPr>
                <w:b/>
                <w:sz w:val="20"/>
                <w:u w:val="single"/>
              </w:rPr>
              <w:t>Control</w:t>
            </w:r>
            <w:r>
              <w:rPr>
                <w:b/>
                <w:spacing w:val="-6"/>
                <w:sz w:val="20"/>
                <w:u w:val="single"/>
              </w:rPr>
              <w:t xml:space="preserve"> </w:t>
            </w:r>
            <w:r>
              <w:rPr>
                <w:b/>
                <w:spacing w:val="-2"/>
                <w:sz w:val="20"/>
                <w:u w:val="single"/>
              </w:rPr>
              <w:t>Interno</w:t>
            </w:r>
          </w:p>
          <w:p w14:paraId="1F160308" w14:textId="77777777" w:rsidR="000E52B0" w:rsidRDefault="00F60D74">
            <w:pPr>
              <w:pStyle w:val="TableParagraph"/>
              <w:numPr>
                <w:ilvl w:val="1"/>
                <w:numId w:val="9"/>
              </w:numPr>
              <w:tabs>
                <w:tab w:val="left" w:pos="983"/>
                <w:tab w:val="left" w:pos="2065"/>
                <w:tab w:val="left" w:pos="2638"/>
                <w:tab w:val="left" w:pos="3759"/>
              </w:tabs>
              <w:spacing w:before="2"/>
              <w:ind w:right="87"/>
              <w:rPr>
                <w:b/>
                <w:sz w:val="20"/>
              </w:rPr>
            </w:pPr>
            <w:r>
              <w:rPr>
                <w:b/>
                <w:spacing w:val="-2"/>
                <w:sz w:val="20"/>
                <w:u w:val="single"/>
              </w:rPr>
              <w:t>Oficina</w:t>
            </w:r>
            <w:r>
              <w:rPr>
                <w:b/>
                <w:sz w:val="20"/>
                <w:u w:val="single"/>
              </w:rPr>
              <w:tab/>
            </w:r>
            <w:r>
              <w:rPr>
                <w:b/>
                <w:spacing w:val="-6"/>
                <w:sz w:val="20"/>
                <w:u w:val="single"/>
              </w:rPr>
              <w:t>de</w:t>
            </w:r>
            <w:r>
              <w:rPr>
                <w:b/>
                <w:sz w:val="20"/>
                <w:u w:val="single"/>
              </w:rPr>
              <w:tab/>
            </w:r>
            <w:r>
              <w:rPr>
                <w:b/>
                <w:spacing w:val="-2"/>
                <w:sz w:val="20"/>
                <w:u w:val="single"/>
              </w:rPr>
              <w:t>Control</w:t>
            </w:r>
            <w:r>
              <w:rPr>
                <w:b/>
                <w:sz w:val="20"/>
                <w:u w:val="single"/>
              </w:rPr>
              <w:tab/>
            </w:r>
            <w:r>
              <w:rPr>
                <w:b/>
                <w:spacing w:val="-2"/>
                <w:sz w:val="20"/>
                <w:u w:val="single"/>
              </w:rPr>
              <w:t>Interno</w:t>
            </w:r>
            <w:r>
              <w:rPr>
                <w:b/>
                <w:spacing w:val="-2"/>
                <w:sz w:val="20"/>
              </w:rPr>
              <w:t xml:space="preserve"> </w:t>
            </w:r>
            <w:r>
              <w:rPr>
                <w:b/>
                <w:spacing w:val="-2"/>
                <w:sz w:val="20"/>
                <w:u w:val="single"/>
              </w:rPr>
              <w:t>Disciplinario</w:t>
            </w:r>
          </w:p>
          <w:p w14:paraId="2A7F1C1B" w14:textId="77777777" w:rsidR="000E52B0" w:rsidRDefault="00F60D74">
            <w:pPr>
              <w:pStyle w:val="TableParagraph"/>
              <w:numPr>
                <w:ilvl w:val="1"/>
                <w:numId w:val="9"/>
              </w:numPr>
              <w:tabs>
                <w:tab w:val="left" w:pos="983"/>
              </w:tabs>
              <w:spacing w:line="242" w:lineRule="exact"/>
              <w:rPr>
                <w:b/>
                <w:sz w:val="20"/>
              </w:rPr>
            </w:pPr>
            <w:r>
              <w:rPr>
                <w:b/>
                <w:sz w:val="20"/>
                <w:u w:val="single"/>
              </w:rPr>
              <w:t>Oficina</w:t>
            </w:r>
            <w:r>
              <w:rPr>
                <w:b/>
                <w:spacing w:val="-9"/>
                <w:sz w:val="20"/>
                <w:u w:val="single"/>
              </w:rPr>
              <w:t xml:space="preserve"> </w:t>
            </w:r>
            <w:r>
              <w:rPr>
                <w:b/>
                <w:sz w:val="20"/>
                <w:u w:val="single"/>
              </w:rPr>
              <w:t>Asesora</w:t>
            </w:r>
            <w:r>
              <w:rPr>
                <w:b/>
                <w:spacing w:val="-9"/>
                <w:sz w:val="20"/>
                <w:u w:val="single"/>
              </w:rPr>
              <w:t xml:space="preserve"> </w:t>
            </w:r>
            <w:r>
              <w:rPr>
                <w:b/>
                <w:sz w:val="20"/>
                <w:u w:val="single"/>
              </w:rPr>
              <w:t>de</w:t>
            </w:r>
            <w:r>
              <w:rPr>
                <w:b/>
                <w:spacing w:val="-10"/>
                <w:sz w:val="20"/>
                <w:u w:val="single"/>
              </w:rPr>
              <w:t xml:space="preserve"> </w:t>
            </w:r>
            <w:r>
              <w:rPr>
                <w:b/>
                <w:spacing w:val="-2"/>
                <w:sz w:val="20"/>
                <w:u w:val="single"/>
              </w:rPr>
              <w:t>Planeación</w:t>
            </w:r>
          </w:p>
          <w:p w14:paraId="6965F53F" w14:textId="77777777" w:rsidR="000E52B0" w:rsidRDefault="00F60D74">
            <w:pPr>
              <w:pStyle w:val="TableParagraph"/>
              <w:numPr>
                <w:ilvl w:val="1"/>
                <w:numId w:val="9"/>
              </w:numPr>
              <w:tabs>
                <w:tab w:val="left" w:pos="983"/>
              </w:tabs>
              <w:spacing w:before="2" w:line="243" w:lineRule="exact"/>
              <w:rPr>
                <w:b/>
                <w:sz w:val="20"/>
              </w:rPr>
            </w:pPr>
            <w:r>
              <w:rPr>
                <w:b/>
                <w:sz w:val="20"/>
                <w:u w:val="single"/>
              </w:rPr>
              <w:t>Oficina</w:t>
            </w:r>
            <w:r>
              <w:rPr>
                <w:b/>
                <w:spacing w:val="-11"/>
                <w:sz w:val="20"/>
                <w:u w:val="single"/>
              </w:rPr>
              <w:t xml:space="preserve"> </w:t>
            </w:r>
            <w:r>
              <w:rPr>
                <w:b/>
                <w:spacing w:val="-2"/>
                <w:sz w:val="20"/>
                <w:u w:val="single"/>
              </w:rPr>
              <w:t>Jurídica</w:t>
            </w:r>
          </w:p>
          <w:p w14:paraId="077E6FFF" w14:textId="77777777" w:rsidR="000E52B0" w:rsidRDefault="00F60D74">
            <w:pPr>
              <w:pStyle w:val="TableParagraph"/>
              <w:numPr>
                <w:ilvl w:val="1"/>
                <w:numId w:val="9"/>
              </w:numPr>
              <w:tabs>
                <w:tab w:val="left" w:pos="983"/>
              </w:tabs>
              <w:ind w:right="88"/>
              <w:rPr>
                <w:b/>
                <w:sz w:val="20"/>
              </w:rPr>
            </w:pPr>
            <w:r>
              <w:rPr>
                <w:b/>
                <w:sz w:val="20"/>
                <w:u w:val="single"/>
              </w:rPr>
              <w:t>Oficina de Alianzas Estratégicas</w:t>
            </w:r>
            <w:r>
              <w:rPr>
                <w:b/>
                <w:sz w:val="20"/>
              </w:rPr>
              <w:t xml:space="preserve"> </w:t>
            </w:r>
            <w:r>
              <w:rPr>
                <w:b/>
                <w:sz w:val="20"/>
                <w:u w:val="single"/>
              </w:rPr>
              <w:t>y Cooperación Internacional</w:t>
            </w:r>
          </w:p>
          <w:p w14:paraId="189B31A7" w14:textId="77777777" w:rsidR="000E52B0" w:rsidRDefault="00F60D74">
            <w:pPr>
              <w:pStyle w:val="TableParagraph"/>
              <w:numPr>
                <w:ilvl w:val="1"/>
                <w:numId w:val="9"/>
              </w:numPr>
              <w:tabs>
                <w:tab w:val="left" w:pos="978"/>
                <w:tab w:val="left" w:pos="983"/>
              </w:tabs>
              <w:ind w:right="87"/>
              <w:rPr>
                <w:b/>
                <w:sz w:val="20"/>
              </w:rPr>
            </w:pPr>
            <w:r>
              <w:rPr>
                <w:b/>
                <w:sz w:val="20"/>
                <w:u w:val="single"/>
              </w:rPr>
              <w:t>Oficina de Relacionamiento con</w:t>
            </w:r>
            <w:r>
              <w:rPr>
                <w:b/>
                <w:sz w:val="20"/>
              </w:rPr>
              <w:t xml:space="preserve"> </w:t>
            </w:r>
            <w:r>
              <w:rPr>
                <w:b/>
                <w:sz w:val="20"/>
                <w:u w:val="single"/>
              </w:rPr>
              <w:t>la Ciudadanía</w:t>
            </w:r>
          </w:p>
          <w:p w14:paraId="14CC86FF" w14:textId="77777777" w:rsidR="000E52B0" w:rsidRDefault="00F60D74">
            <w:pPr>
              <w:pStyle w:val="TableParagraph"/>
              <w:numPr>
                <w:ilvl w:val="1"/>
                <w:numId w:val="9"/>
              </w:numPr>
              <w:tabs>
                <w:tab w:val="left" w:pos="978"/>
                <w:tab w:val="left" w:pos="983"/>
              </w:tabs>
              <w:ind w:right="87"/>
              <w:rPr>
                <w:b/>
                <w:sz w:val="20"/>
              </w:rPr>
            </w:pPr>
            <w:r>
              <w:rPr>
                <w:b/>
                <w:sz w:val="20"/>
                <w:u w:val="single"/>
              </w:rPr>
              <w:t>Direcciones</w:t>
            </w:r>
            <w:r>
              <w:rPr>
                <w:b/>
                <w:spacing w:val="-2"/>
                <w:sz w:val="20"/>
                <w:u w:val="single"/>
              </w:rPr>
              <w:t xml:space="preserve"> </w:t>
            </w:r>
            <w:r>
              <w:rPr>
                <w:b/>
                <w:sz w:val="20"/>
                <w:u w:val="single"/>
              </w:rPr>
              <w:t>Territoriales</w:t>
            </w:r>
            <w:r>
              <w:rPr>
                <w:b/>
                <w:spacing w:val="-2"/>
                <w:sz w:val="20"/>
                <w:u w:val="single"/>
              </w:rPr>
              <w:t xml:space="preserve"> </w:t>
            </w:r>
            <w:r>
              <w:rPr>
                <w:b/>
                <w:sz w:val="20"/>
                <w:u w:val="single"/>
              </w:rPr>
              <w:t>para la</w:t>
            </w:r>
            <w:r>
              <w:rPr>
                <w:b/>
                <w:sz w:val="20"/>
              </w:rPr>
              <w:t xml:space="preserve"> </w:t>
            </w:r>
            <w:r>
              <w:rPr>
                <w:b/>
                <w:sz w:val="20"/>
                <w:u w:val="single"/>
              </w:rPr>
              <w:t>Igualdad y Equidad</w:t>
            </w:r>
          </w:p>
          <w:p w14:paraId="0563A860" w14:textId="77777777" w:rsidR="000E52B0" w:rsidRDefault="000E52B0">
            <w:pPr>
              <w:pStyle w:val="TableParagraph"/>
              <w:rPr>
                <w:b/>
                <w:sz w:val="20"/>
              </w:rPr>
            </w:pPr>
          </w:p>
          <w:p w14:paraId="5B3F2624" w14:textId="77777777" w:rsidR="000E52B0" w:rsidRDefault="00F60D74">
            <w:pPr>
              <w:pStyle w:val="TableParagraph"/>
              <w:numPr>
                <w:ilvl w:val="0"/>
                <w:numId w:val="8"/>
              </w:numPr>
              <w:tabs>
                <w:tab w:val="left" w:pos="415"/>
                <w:tab w:val="left" w:pos="417"/>
              </w:tabs>
              <w:ind w:right="87"/>
              <w:rPr>
                <w:b/>
                <w:sz w:val="20"/>
              </w:rPr>
            </w:pPr>
            <w:r>
              <w:rPr>
                <w:b/>
                <w:sz w:val="20"/>
                <w:u w:val="single"/>
              </w:rPr>
              <w:t>Despacho</w:t>
            </w:r>
            <w:r>
              <w:rPr>
                <w:b/>
                <w:spacing w:val="80"/>
                <w:sz w:val="20"/>
                <w:u w:val="single"/>
              </w:rPr>
              <w:t xml:space="preserve"> </w:t>
            </w:r>
            <w:r>
              <w:rPr>
                <w:b/>
                <w:sz w:val="20"/>
                <w:u w:val="single"/>
              </w:rPr>
              <w:t>de</w:t>
            </w:r>
            <w:r>
              <w:rPr>
                <w:b/>
                <w:spacing w:val="80"/>
                <w:sz w:val="20"/>
                <w:u w:val="single"/>
              </w:rPr>
              <w:t xml:space="preserve"> </w:t>
            </w:r>
            <w:r>
              <w:rPr>
                <w:b/>
                <w:sz w:val="20"/>
                <w:u w:val="single"/>
              </w:rPr>
              <w:t>la</w:t>
            </w:r>
            <w:r>
              <w:rPr>
                <w:b/>
                <w:spacing w:val="80"/>
                <w:sz w:val="20"/>
                <w:u w:val="single"/>
              </w:rPr>
              <w:t xml:space="preserve"> </w:t>
            </w:r>
            <w:r>
              <w:rPr>
                <w:b/>
                <w:sz w:val="20"/>
                <w:u w:val="single"/>
              </w:rPr>
              <w:t>viceministra</w:t>
            </w:r>
            <w:r>
              <w:rPr>
                <w:b/>
                <w:spacing w:val="80"/>
                <w:sz w:val="20"/>
                <w:u w:val="single"/>
              </w:rPr>
              <w:t xml:space="preserve"> </w:t>
            </w:r>
            <w:r>
              <w:rPr>
                <w:b/>
                <w:sz w:val="20"/>
                <w:u w:val="single"/>
              </w:rPr>
              <w:t>o</w:t>
            </w:r>
            <w:r>
              <w:rPr>
                <w:b/>
                <w:spacing w:val="80"/>
                <w:sz w:val="20"/>
                <w:u w:val="single"/>
              </w:rPr>
              <w:t xml:space="preserve"> </w:t>
            </w:r>
            <w:r>
              <w:rPr>
                <w:b/>
                <w:sz w:val="20"/>
                <w:u w:val="single"/>
              </w:rPr>
              <w:t>el</w:t>
            </w:r>
            <w:r>
              <w:rPr>
                <w:b/>
                <w:sz w:val="20"/>
              </w:rPr>
              <w:t xml:space="preserve"> </w:t>
            </w:r>
            <w:r>
              <w:rPr>
                <w:b/>
                <w:spacing w:val="-2"/>
                <w:sz w:val="20"/>
                <w:u w:val="single"/>
              </w:rPr>
              <w:t>viceministro</w:t>
            </w:r>
          </w:p>
          <w:p w14:paraId="20A726EB" w14:textId="77777777" w:rsidR="000E52B0" w:rsidRDefault="00F60D74">
            <w:pPr>
              <w:pStyle w:val="TableParagraph"/>
              <w:numPr>
                <w:ilvl w:val="1"/>
                <w:numId w:val="8"/>
              </w:numPr>
              <w:tabs>
                <w:tab w:val="left" w:pos="841"/>
              </w:tabs>
              <w:spacing w:line="242" w:lineRule="exact"/>
              <w:ind w:left="841" w:hanging="424"/>
              <w:rPr>
                <w:b/>
                <w:sz w:val="20"/>
              </w:rPr>
            </w:pPr>
            <w:r>
              <w:rPr>
                <w:b/>
                <w:spacing w:val="-8"/>
                <w:sz w:val="20"/>
                <w:u w:val="single"/>
              </w:rPr>
              <w:t xml:space="preserve"> </w:t>
            </w:r>
            <w:r>
              <w:rPr>
                <w:b/>
                <w:sz w:val="20"/>
                <w:u w:val="single"/>
              </w:rPr>
              <w:t>Direcciones</w:t>
            </w:r>
            <w:r>
              <w:rPr>
                <w:b/>
                <w:spacing w:val="-9"/>
                <w:sz w:val="20"/>
                <w:u w:val="single"/>
              </w:rPr>
              <w:t xml:space="preserve"> </w:t>
            </w:r>
            <w:r>
              <w:rPr>
                <w:b/>
                <w:spacing w:val="-2"/>
                <w:sz w:val="20"/>
                <w:u w:val="single"/>
              </w:rPr>
              <w:t>misionales</w:t>
            </w:r>
          </w:p>
          <w:p w14:paraId="478CD82B" w14:textId="77777777" w:rsidR="000E52B0" w:rsidRDefault="000E52B0">
            <w:pPr>
              <w:pStyle w:val="TableParagraph"/>
              <w:spacing w:before="1"/>
              <w:rPr>
                <w:b/>
                <w:sz w:val="20"/>
              </w:rPr>
            </w:pPr>
          </w:p>
          <w:p w14:paraId="014DB873" w14:textId="77777777" w:rsidR="000E52B0" w:rsidRDefault="00F60D74">
            <w:pPr>
              <w:pStyle w:val="TableParagraph"/>
              <w:numPr>
                <w:ilvl w:val="0"/>
                <w:numId w:val="8"/>
              </w:numPr>
              <w:tabs>
                <w:tab w:val="left" w:pos="415"/>
                <w:tab w:val="left" w:pos="417"/>
              </w:tabs>
              <w:ind w:right="87"/>
              <w:rPr>
                <w:b/>
                <w:sz w:val="20"/>
              </w:rPr>
            </w:pPr>
            <w:r>
              <w:rPr>
                <w:b/>
                <w:sz w:val="20"/>
                <w:u w:val="single"/>
              </w:rPr>
              <w:t>Despacho</w:t>
            </w:r>
            <w:r>
              <w:rPr>
                <w:b/>
                <w:spacing w:val="80"/>
                <w:sz w:val="20"/>
                <w:u w:val="single"/>
              </w:rPr>
              <w:t xml:space="preserve"> </w:t>
            </w:r>
            <w:r>
              <w:rPr>
                <w:b/>
                <w:sz w:val="20"/>
                <w:u w:val="single"/>
              </w:rPr>
              <w:t>de</w:t>
            </w:r>
            <w:r>
              <w:rPr>
                <w:b/>
                <w:spacing w:val="80"/>
                <w:sz w:val="20"/>
                <w:u w:val="single"/>
              </w:rPr>
              <w:t xml:space="preserve"> </w:t>
            </w:r>
            <w:r>
              <w:rPr>
                <w:b/>
                <w:sz w:val="20"/>
                <w:u w:val="single"/>
              </w:rPr>
              <w:t>la</w:t>
            </w:r>
            <w:r>
              <w:rPr>
                <w:b/>
                <w:spacing w:val="80"/>
                <w:sz w:val="20"/>
                <w:u w:val="single"/>
              </w:rPr>
              <w:t xml:space="preserve"> </w:t>
            </w:r>
            <w:r>
              <w:rPr>
                <w:b/>
                <w:sz w:val="20"/>
                <w:u w:val="single"/>
              </w:rPr>
              <w:t>viceministra</w:t>
            </w:r>
            <w:r>
              <w:rPr>
                <w:b/>
                <w:spacing w:val="80"/>
                <w:sz w:val="20"/>
                <w:u w:val="single"/>
              </w:rPr>
              <w:t xml:space="preserve"> </w:t>
            </w:r>
            <w:r>
              <w:rPr>
                <w:b/>
                <w:sz w:val="20"/>
                <w:u w:val="single"/>
              </w:rPr>
              <w:t>o</w:t>
            </w:r>
            <w:r>
              <w:rPr>
                <w:b/>
                <w:spacing w:val="80"/>
                <w:sz w:val="20"/>
                <w:u w:val="single"/>
              </w:rPr>
              <w:t xml:space="preserve"> </w:t>
            </w:r>
            <w:r>
              <w:rPr>
                <w:b/>
                <w:sz w:val="20"/>
                <w:u w:val="single"/>
              </w:rPr>
              <w:t>el</w:t>
            </w:r>
            <w:r>
              <w:rPr>
                <w:b/>
                <w:sz w:val="20"/>
              </w:rPr>
              <w:t xml:space="preserve"> </w:t>
            </w:r>
            <w:r>
              <w:rPr>
                <w:b/>
                <w:spacing w:val="-2"/>
                <w:sz w:val="20"/>
                <w:u w:val="single"/>
              </w:rPr>
              <w:t>viceministro</w:t>
            </w:r>
          </w:p>
          <w:p w14:paraId="1DA9CA8D" w14:textId="77777777" w:rsidR="000E52B0" w:rsidRDefault="00F60D74">
            <w:pPr>
              <w:pStyle w:val="TableParagraph"/>
              <w:numPr>
                <w:ilvl w:val="1"/>
                <w:numId w:val="8"/>
              </w:numPr>
              <w:tabs>
                <w:tab w:val="left" w:pos="841"/>
              </w:tabs>
              <w:spacing w:line="242" w:lineRule="exact"/>
              <w:ind w:left="841" w:hanging="424"/>
              <w:rPr>
                <w:b/>
                <w:sz w:val="20"/>
              </w:rPr>
            </w:pPr>
            <w:r>
              <w:rPr>
                <w:b/>
                <w:spacing w:val="-8"/>
                <w:sz w:val="20"/>
                <w:u w:val="single"/>
              </w:rPr>
              <w:t xml:space="preserve"> </w:t>
            </w:r>
            <w:r>
              <w:rPr>
                <w:b/>
                <w:sz w:val="20"/>
                <w:u w:val="single"/>
              </w:rPr>
              <w:t>Direcciones</w:t>
            </w:r>
            <w:r>
              <w:rPr>
                <w:b/>
                <w:spacing w:val="-9"/>
                <w:sz w:val="20"/>
                <w:u w:val="single"/>
              </w:rPr>
              <w:t xml:space="preserve"> </w:t>
            </w:r>
            <w:r>
              <w:rPr>
                <w:b/>
                <w:spacing w:val="-2"/>
                <w:sz w:val="20"/>
                <w:u w:val="single"/>
              </w:rPr>
              <w:t>misionales</w:t>
            </w:r>
          </w:p>
          <w:p w14:paraId="15CC5499" w14:textId="77777777" w:rsidR="000E52B0" w:rsidRDefault="000E52B0">
            <w:pPr>
              <w:pStyle w:val="TableParagraph"/>
              <w:spacing w:before="1"/>
              <w:rPr>
                <w:b/>
                <w:sz w:val="20"/>
              </w:rPr>
            </w:pPr>
          </w:p>
          <w:p w14:paraId="5AD63A99" w14:textId="77777777" w:rsidR="000E52B0" w:rsidRDefault="00F60D74">
            <w:pPr>
              <w:pStyle w:val="TableParagraph"/>
              <w:numPr>
                <w:ilvl w:val="0"/>
                <w:numId w:val="8"/>
              </w:numPr>
              <w:tabs>
                <w:tab w:val="left" w:pos="415"/>
                <w:tab w:val="left" w:pos="417"/>
              </w:tabs>
              <w:ind w:right="87"/>
              <w:rPr>
                <w:b/>
                <w:sz w:val="20"/>
              </w:rPr>
            </w:pPr>
            <w:r>
              <w:rPr>
                <w:b/>
                <w:sz w:val="20"/>
                <w:u w:val="single"/>
              </w:rPr>
              <w:t>Despacho</w:t>
            </w:r>
            <w:r>
              <w:rPr>
                <w:b/>
                <w:spacing w:val="80"/>
                <w:sz w:val="20"/>
                <w:u w:val="single"/>
              </w:rPr>
              <w:t xml:space="preserve"> </w:t>
            </w:r>
            <w:r>
              <w:rPr>
                <w:b/>
                <w:sz w:val="20"/>
                <w:u w:val="single"/>
              </w:rPr>
              <w:t>de</w:t>
            </w:r>
            <w:r>
              <w:rPr>
                <w:b/>
                <w:spacing w:val="80"/>
                <w:sz w:val="20"/>
                <w:u w:val="single"/>
              </w:rPr>
              <w:t xml:space="preserve"> </w:t>
            </w:r>
            <w:r>
              <w:rPr>
                <w:b/>
                <w:sz w:val="20"/>
                <w:u w:val="single"/>
              </w:rPr>
              <w:t>la</w:t>
            </w:r>
            <w:r>
              <w:rPr>
                <w:b/>
                <w:spacing w:val="80"/>
                <w:sz w:val="20"/>
                <w:u w:val="single"/>
              </w:rPr>
              <w:t xml:space="preserve"> </w:t>
            </w:r>
            <w:r>
              <w:rPr>
                <w:b/>
                <w:sz w:val="20"/>
                <w:u w:val="single"/>
              </w:rPr>
              <w:t>viceministra</w:t>
            </w:r>
            <w:r>
              <w:rPr>
                <w:b/>
                <w:spacing w:val="80"/>
                <w:sz w:val="20"/>
                <w:u w:val="single"/>
              </w:rPr>
              <w:t xml:space="preserve"> </w:t>
            </w:r>
            <w:r>
              <w:rPr>
                <w:b/>
                <w:sz w:val="20"/>
                <w:u w:val="single"/>
              </w:rPr>
              <w:t>o</w:t>
            </w:r>
            <w:r>
              <w:rPr>
                <w:b/>
                <w:spacing w:val="80"/>
                <w:sz w:val="20"/>
                <w:u w:val="single"/>
              </w:rPr>
              <w:t xml:space="preserve"> </w:t>
            </w:r>
            <w:r>
              <w:rPr>
                <w:b/>
                <w:sz w:val="20"/>
                <w:u w:val="single"/>
              </w:rPr>
              <w:t>el</w:t>
            </w:r>
            <w:r>
              <w:rPr>
                <w:b/>
                <w:sz w:val="20"/>
              </w:rPr>
              <w:t xml:space="preserve"> </w:t>
            </w:r>
            <w:r>
              <w:rPr>
                <w:b/>
                <w:spacing w:val="-2"/>
                <w:sz w:val="20"/>
                <w:u w:val="single"/>
              </w:rPr>
              <w:t>viceministro</w:t>
            </w:r>
          </w:p>
          <w:p w14:paraId="6792ECF0" w14:textId="77777777" w:rsidR="000E52B0" w:rsidRDefault="00F60D74">
            <w:pPr>
              <w:pStyle w:val="TableParagraph"/>
              <w:numPr>
                <w:ilvl w:val="1"/>
                <w:numId w:val="8"/>
              </w:numPr>
              <w:tabs>
                <w:tab w:val="left" w:pos="841"/>
              </w:tabs>
              <w:spacing w:before="1"/>
              <w:ind w:left="841" w:hanging="424"/>
              <w:rPr>
                <w:b/>
                <w:sz w:val="20"/>
              </w:rPr>
            </w:pPr>
            <w:r>
              <w:rPr>
                <w:b/>
                <w:spacing w:val="-8"/>
                <w:sz w:val="20"/>
                <w:u w:val="single"/>
              </w:rPr>
              <w:t xml:space="preserve"> </w:t>
            </w:r>
            <w:r>
              <w:rPr>
                <w:b/>
                <w:sz w:val="20"/>
                <w:u w:val="single"/>
              </w:rPr>
              <w:t>Direcciones</w:t>
            </w:r>
            <w:r>
              <w:rPr>
                <w:b/>
                <w:spacing w:val="-9"/>
                <w:sz w:val="20"/>
                <w:u w:val="single"/>
              </w:rPr>
              <w:t xml:space="preserve"> </w:t>
            </w:r>
            <w:r>
              <w:rPr>
                <w:b/>
                <w:spacing w:val="-2"/>
                <w:sz w:val="20"/>
                <w:u w:val="single"/>
              </w:rPr>
              <w:t>misionales</w:t>
            </w:r>
          </w:p>
          <w:p w14:paraId="0A98A42F" w14:textId="77777777" w:rsidR="000E52B0" w:rsidRDefault="00F60D74">
            <w:pPr>
              <w:pStyle w:val="TableParagraph"/>
              <w:numPr>
                <w:ilvl w:val="0"/>
                <w:numId w:val="8"/>
              </w:numPr>
              <w:tabs>
                <w:tab w:val="left" w:pos="415"/>
                <w:tab w:val="left" w:pos="417"/>
              </w:tabs>
              <w:spacing w:before="242"/>
              <w:ind w:right="87"/>
              <w:rPr>
                <w:b/>
                <w:sz w:val="20"/>
              </w:rPr>
            </w:pPr>
            <w:r>
              <w:rPr>
                <w:b/>
                <w:sz w:val="20"/>
                <w:u w:val="single"/>
              </w:rPr>
              <w:t>Despacho</w:t>
            </w:r>
            <w:r>
              <w:rPr>
                <w:b/>
                <w:spacing w:val="80"/>
                <w:sz w:val="20"/>
                <w:u w:val="single"/>
              </w:rPr>
              <w:t xml:space="preserve"> </w:t>
            </w:r>
            <w:r>
              <w:rPr>
                <w:b/>
                <w:sz w:val="20"/>
                <w:u w:val="single"/>
              </w:rPr>
              <w:t>de</w:t>
            </w:r>
            <w:r>
              <w:rPr>
                <w:b/>
                <w:spacing w:val="80"/>
                <w:sz w:val="20"/>
                <w:u w:val="single"/>
              </w:rPr>
              <w:t xml:space="preserve"> </w:t>
            </w:r>
            <w:r>
              <w:rPr>
                <w:b/>
                <w:sz w:val="20"/>
                <w:u w:val="single"/>
              </w:rPr>
              <w:t>la</w:t>
            </w:r>
            <w:r>
              <w:rPr>
                <w:b/>
                <w:spacing w:val="80"/>
                <w:sz w:val="20"/>
                <w:u w:val="single"/>
              </w:rPr>
              <w:t xml:space="preserve"> </w:t>
            </w:r>
            <w:r>
              <w:rPr>
                <w:b/>
                <w:sz w:val="20"/>
                <w:u w:val="single"/>
              </w:rPr>
              <w:t>viceministra</w:t>
            </w:r>
            <w:r>
              <w:rPr>
                <w:b/>
                <w:spacing w:val="80"/>
                <w:sz w:val="20"/>
                <w:u w:val="single"/>
              </w:rPr>
              <w:t xml:space="preserve"> </w:t>
            </w:r>
            <w:r>
              <w:rPr>
                <w:b/>
                <w:sz w:val="20"/>
                <w:u w:val="single"/>
              </w:rPr>
              <w:t>o</w:t>
            </w:r>
            <w:r>
              <w:rPr>
                <w:b/>
                <w:spacing w:val="80"/>
                <w:sz w:val="20"/>
                <w:u w:val="single"/>
              </w:rPr>
              <w:t xml:space="preserve"> </w:t>
            </w:r>
            <w:r>
              <w:rPr>
                <w:b/>
                <w:sz w:val="20"/>
                <w:u w:val="single"/>
              </w:rPr>
              <w:t>el</w:t>
            </w:r>
            <w:r>
              <w:rPr>
                <w:b/>
                <w:sz w:val="20"/>
              </w:rPr>
              <w:t xml:space="preserve"> </w:t>
            </w:r>
            <w:r>
              <w:rPr>
                <w:b/>
                <w:spacing w:val="-2"/>
                <w:sz w:val="20"/>
                <w:u w:val="single"/>
              </w:rPr>
              <w:t>viceministro</w:t>
            </w:r>
          </w:p>
          <w:p w14:paraId="1CDF4F41" w14:textId="77777777" w:rsidR="000E52B0" w:rsidRDefault="00F60D74">
            <w:pPr>
              <w:pStyle w:val="TableParagraph"/>
              <w:numPr>
                <w:ilvl w:val="1"/>
                <w:numId w:val="8"/>
              </w:numPr>
              <w:tabs>
                <w:tab w:val="left" w:pos="841"/>
              </w:tabs>
              <w:spacing w:before="1"/>
              <w:ind w:left="841" w:hanging="424"/>
              <w:rPr>
                <w:b/>
                <w:sz w:val="20"/>
              </w:rPr>
            </w:pPr>
            <w:r>
              <w:rPr>
                <w:b/>
                <w:spacing w:val="-8"/>
                <w:sz w:val="20"/>
                <w:u w:val="single"/>
              </w:rPr>
              <w:t xml:space="preserve"> </w:t>
            </w:r>
            <w:r>
              <w:rPr>
                <w:b/>
                <w:sz w:val="20"/>
                <w:u w:val="single"/>
              </w:rPr>
              <w:t>Direcciones</w:t>
            </w:r>
            <w:r>
              <w:rPr>
                <w:b/>
                <w:spacing w:val="-9"/>
                <w:sz w:val="20"/>
                <w:u w:val="single"/>
              </w:rPr>
              <w:t xml:space="preserve"> </w:t>
            </w:r>
            <w:r>
              <w:rPr>
                <w:b/>
                <w:spacing w:val="-2"/>
                <w:sz w:val="20"/>
                <w:u w:val="single"/>
              </w:rPr>
              <w:t>misionales</w:t>
            </w:r>
          </w:p>
          <w:p w14:paraId="3DF04296" w14:textId="77777777" w:rsidR="000E52B0" w:rsidRDefault="00F60D74">
            <w:pPr>
              <w:pStyle w:val="TableParagraph"/>
              <w:numPr>
                <w:ilvl w:val="0"/>
                <w:numId w:val="8"/>
              </w:numPr>
              <w:tabs>
                <w:tab w:val="left" w:pos="415"/>
                <w:tab w:val="left" w:pos="417"/>
              </w:tabs>
              <w:spacing w:before="242"/>
              <w:ind w:right="87"/>
              <w:rPr>
                <w:b/>
                <w:sz w:val="20"/>
              </w:rPr>
            </w:pPr>
            <w:r>
              <w:rPr>
                <w:b/>
                <w:sz w:val="20"/>
                <w:u w:val="single"/>
              </w:rPr>
              <w:t>Despacho</w:t>
            </w:r>
            <w:r>
              <w:rPr>
                <w:b/>
                <w:spacing w:val="80"/>
                <w:sz w:val="20"/>
                <w:u w:val="single"/>
              </w:rPr>
              <w:t xml:space="preserve"> </w:t>
            </w:r>
            <w:r>
              <w:rPr>
                <w:b/>
                <w:sz w:val="20"/>
                <w:u w:val="single"/>
              </w:rPr>
              <w:t>de</w:t>
            </w:r>
            <w:r>
              <w:rPr>
                <w:b/>
                <w:spacing w:val="80"/>
                <w:sz w:val="20"/>
                <w:u w:val="single"/>
              </w:rPr>
              <w:t xml:space="preserve"> </w:t>
            </w:r>
            <w:r>
              <w:rPr>
                <w:b/>
                <w:sz w:val="20"/>
                <w:u w:val="single"/>
              </w:rPr>
              <w:t>la</w:t>
            </w:r>
            <w:r>
              <w:rPr>
                <w:b/>
                <w:spacing w:val="80"/>
                <w:sz w:val="20"/>
                <w:u w:val="single"/>
              </w:rPr>
              <w:t xml:space="preserve"> </w:t>
            </w:r>
            <w:r>
              <w:rPr>
                <w:b/>
                <w:sz w:val="20"/>
                <w:u w:val="single"/>
              </w:rPr>
              <w:t>viceministra</w:t>
            </w:r>
            <w:r>
              <w:rPr>
                <w:b/>
                <w:spacing w:val="80"/>
                <w:sz w:val="20"/>
                <w:u w:val="single"/>
              </w:rPr>
              <w:t xml:space="preserve"> </w:t>
            </w:r>
            <w:r>
              <w:rPr>
                <w:b/>
                <w:sz w:val="20"/>
                <w:u w:val="single"/>
              </w:rPr>
              <w:t>o</w:t>
            </w:r>
            <w:r>
              <w:rPr>
                <w:b/>
                <w:spacing w:val="80"/>
                <w:sz w:val="20"/>
                <w:u w:val="single"/>
              </w:rPr>
              <w:t xml:space="preserve"> </w:t>
            </w:r>
            <w:r>
              <w:rPr>
                <w:b/>
                <w:sz w:val="20"/>
                <w:u w:val="single"/>
              </w:rPr>
              <w:t>el</w:t>
            </w:r>
            <w:r>
              <w:rPr>
                <w:b/>
                <w:sz w:val="20"/>
              </w:rPr>
              <w:t xml:space="preserve"> </w:t>
            </w:r>
            <w:r>
              <w:rPr>
                <w:b/>
                <w:spacing w:val="-2"/>
                <w:sz w:val="20"/>
                <w:u w:val="single"/>
              </w:rPr>
              <w:t>viceministro.</w:t>
            </w:r>
          </w:p>
          <w:p w14:paraId="45374364" w14:textId="77777777" w:rsidR="000E52B0" w:rsidRDefault="00F60D74">
            <w:pPr>
              <w:pStyle w:val="TableParagraph"/>
              <w:numPr>
                <w:ilvl w:val="1"/>
                <w:numId w:val="8"/>
              </w:numPr>
              <w:tabs>
                <w:tab w:val="left" w:pos="841"/>
              </w:tabs>
              <w:spacing w:before="1"/>
              <w:ind w:left="841" w:hanging="424"/>
              <w:rPr>
                <w:b/>
                <w:sz w:val="20"/>
              </w:rPr>
            </w:pPr>
            <w:r>
              <w:rPr>
                <w:b/>
                <w:spacing w:val="-8"/>
                <w:sz w:val="20"/>
                <w:u w:val="single"/>
              </w:rPr>
              <w:t xml:space="preserve"> </w:t>
            </w:r>
            <w:r>
              <w:rPr>
                <w:b/>
                <w:sz w:val="20"/>
                <w:u w:val="single"/>
              </w:rPr>
              <w:t>Direcciones</w:t>
            </w:r>
            <w:r>
              <w:rPr>
                <w:b/>
                <w:spacing w:val="-9"/>
                <w:sz w:val="20"/>
                <w:u w:val="single"/>
              </w:rPr>
              <w:t xml:space="preserve"> </w:t>
            </w:r>
            <w:r>
              <w:rPr>
                <w:b/>
                <w:spacing w:val="-2"/>
                <w:sz w:val="20"/>
                <w:u w:val="single"/>
              </w:rPr>
              <w:t>misionales</w:t>
            </w:r>
          </w:p>
        </w:tc>
        <w:tc>
          <w:tcPr>
            <w:tcW w:w="3809" w:type="dxa"/>
          </w:tcPr>
          <w:p w14:paraId="7421376E" w14:textId="77777777" w:rsidR="000E52B0" w:rsidRDefault="000E52B0">
            <w:pPr>
              <w:pStyle w:val="TableParagraph"/>
              <w:rPr>
                <w:rFonts w:ascii="Times New Roman"/>
                <w:sz w:val="18"/>
              </w:rPr>
            </w:pPr>
          </w:p>
        </w:tc>
      </w:tr>
    </w:tbl>
    <w:p w14:paraId="0FFD6DBC" w14:textId="77777777" w:rsidR="000E52B0" w:rsidRDefault="000E52B0">
      <w:pPr>
        <w:pStyle w:val="TableParagraph"/>
        <w:rPr>
          <w:rFonts w:ascii="Times New Roman"/>
          <w:sz w:val="18"/>
        </w:rPr>
        <w:sectPr w:rsidR="000E52B0">
          <w:pgSz w:w="16840" w:h="11910" w:orient="landscape"/>
          <w:pgMar w:top="1340" w:right="1800" w:bottom="1180" w:left="1440" w:header="0" w:footer="995" w:gutter="0"/>
          <w:cols w:space="720"/>
        </w:sectPr>
      </w:pPr>
    </w:p>
    <w:p w14:paraId="08678118" w14:textId="77777777" w:rsidR="000E52B0" w:rsidRDefault="000E52B0">
      <w:pPr>
        <w:pStyle w:val="Textoindependiente"/>
        <w:spacing w:before="8" w:after="1"/>
        <w:ind w:left="0"/>
        <w:rPr>
          <w:b/>
          <w:sz w:val="7"/>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12"/>
        <w:gridCol w:w="4723"/>
        <w:gridCol w:w="3809"/>
      </w:tblGrid>
      <w:tr w:rsidR="000E52B0" w14:paraId="6FF072B2" w14:textId="77777777">
        <w:trPr>
          <w:trHeight w:val="2918"/>
        </w:trPr>
        <w:tc>
          <w:tcPr>
            <w:tcW w:w="4712" w:type="dxa"/>
          </w:tcPr>
          <w:p w14:paraId="05D02740" w14:textId="77777777" w:rsidR="000E52B0" w:rsidRDefault="00F60D74">
            <w:pPr>
              <w:pStyle w:val="TableParagraph"/>
              <w:ind w:left="107" w:right="93"/>
              <w:jc w:val="both"/>
              <w:rPr>
                <w:sz w:val="20"/>
              </w:rPr>
            </w:pPr>
            <w:r>
              <w:rPr>
                <w:color w:val="333333"/>
                <w:sz w:val="20"/>
              </w:rPr>
              <w:t>dependencias y unidades administrativas, que sean necesarias para diseñar, formular, adoptar,</w:t>
            </w:r>
            <w:r>
              <w:rPr>
                <w:color w:val="333333"/>
                <w:spacing w:val="-18"/>
                <w:sz w:val="20"/>
              </w:rPr>
              <w:t xml:space="preserve"> </w:t>
            </w:r>
            <w:r>
              <w:rPr>
                <w:color w:val="333333"/>
                <w:sz w:val="20"/>
              </w:rPr>
              <w:t>dirigir,</w:t>
            </w:r>
            <w:r>
              <w:rPr>
                <w:color w:val="333333"/>
                <w:spacing w:val="-18"/>
                <w:sz w:val="20"/>
              </w:rPr>
              <w:t xml:space="preserve"> </w:t>
            </w:r>
            <w:r>
              <w:rPr>
                <w:color w:val="333333"/>
                <w:sz w:val="20"/>
              </w:rPr>
              <w:t>coordinar,</w:t>
            </w:r>
            <w:r>
              <w:rPr>
                <w:color w:val="333333"/>
                <w:spacing w:val="-17"/>
                <w:sz w:val="20"/>
              </w:rPr>
              <w:t xml:space="preserve"> </w:t>
            </w:r>
            <w:r>
              <w:rPr>
                <w:color w:val="333333"/>
                <w:sz w:val="20"/>
              </w:rPr>
              <w:t>articular,</w:t>
            </w:r>
            <w:r>
              <w:rPr>
                <w:color w:val="333333"/>
                <w:spacing w:val="-18"/>
                <w:sz w:val="20"/>
              </w:rPr>
              <w:t xml:space="preserve"> </w:t>
            </w:r>
            <w:r>
              <w:rPr>
                <w:color w:val="333333"/>
                <w:sz w:val="20"/>
              </w:rPr>
              <w:t>ejecutar y evaluar, las políticas, planes, programas, estrategias, proyectos y medidas para contribuir en la eliminación de las desigualdades económicas, políticas y sociales; impulsar el goce del derecho a la igualdad y unificar la política de estado en materia de Igualdad y Equidad.</w:t>
            </w:r>
          </w:p>
        </w:tc>
        <w:tc>
          <w:tcPr>
            <w:tcW w:w="4723" w:type="dxa"/>
          </w:tcPr>
          <w:p w14:paraId="1D7E7833" w14:textId="77777777" w:rsidR="000E52B0" w:rsidRDefault="00F60D74">
            <w:pPr>
              <w:pStyle w:val="TableParagraph"/>
              <w:numPr>
                <w:ilvl w:val="0"/>
                <w:numId w:val="7"/>
              </w:numPr>
              <w:tabs>
                <w:tab w:val="left" w:pos="358"/>
                <w:tab w:val="left" w:pos="3688"/>
              </w:tabs>
              <w:ind w:left="358" w:right="83" w:hanging="358"/>
              <w:jc w:val="right"/>
              <w:rPr>
                <w:b/>
                <w:sz w:val="20"/>
              </w:rPr>
            </w:pPr>
            <w:r>
              <w:rPr>
                <w:b/>
                <w:spacing w:val="-2"/>
                <w:sz w:val="20"/>
              </w:rPr>
              <w:t>Secretaría</w:t>
            </w:r>
            <w:r>
              <w:rPr>
                <w:b/>
                <w:sz w:val="20"/>
              </w:rPr>
              <w:tab/>
            </w:r>
            <w:r>
              <w:rPr>
                <w:b/>
                <w:spacing w:val="-2"/>
                <w:sz w:val="20"/>
              </w:rPr>
              <w:t>General</w:t>
            </w:r>
          </w:p>
          <w:p w14:paraId="17D60DFA" w14:textId="77777777" w:rsidR="000E52B0" w:rsidRDefault="00F60D74">
            <w:pPr>
              <w:pStyle w:val="TableParagraph"/>
              <w:numPr>
                <w:ilvl w:val="1"/>
                <w:numId w:val="7"/>
              </w:numPr>
              <w:tabs>
                <w:tab w:val="left" w:pos="424"/>
              </w:tabs>
              <w:spacing w:before="2" w:line="243" w:lineRule="exact"/>
              <w:ind w:left="424" w:right="89" w:hanging="424"/>
              <w:jc w:val="right"/>
              <w:rPr>
                <w:b/>
                <w:sz w:val="20"/>
              </w:rPr>
            </w:pPr>
            <w:r>
              <w:rPr>
                <w:b/>
                <w:noProof/>
                <w:sz w:val="20"/>
              </w:rPr>
              <mc:AlternateContent>
                <mc:Choice Requires="wpg">
                  <w:drawing>
                    <wp:anchor distT="0" distB="0" distL="0" distR="0" simplePos="0" relativeHeight="482328576" behindDoc="1" locked="0" layoutInCell="1" allowOverlap="1" wp14:anchorId="2AADBB5A" wp14:editId="65F94322">
                      <wp:simplePos x="0" y="0"/>
                      <wp:positionH relativeFrom="column">
                        <wp:posOffset>265176</wp:posOffset>
                      </wp:positionH>
                      <wp:positionV relativeFrom="paragraph">
                        <wp:posOffset>-17352</wp:posOffset>
                      </wp:positionV>
                      <wp:extent cx="2667635" cy="13970"/>
                      <wp:effectExtent l="0" t="0" r="0" b="0"/>
                      <wp:wrapNone/>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635" cy="13970"/>
                                <a:chOff x="0" y="0"/>
                                <a:chExt cx="2667635" cy="13970"/>
                              </a:xfrm>
                            </wpg:grpSpPr>
                            <wps:wsp>
                              <wps:cNvPr id="805" name="Graphic 805"/>
                              <wps:cNvSpPr/>
                              <wps:spPr>
                                <a:xfrm>
                                  <a:off x="0" y="0"/>
                                  <a:ext cx="2667635" cy="13970"/>
                                </a:xfrm>
                                <a:custGeom>
                                  <a:avLst/>
                                  <a:gdLst/>
                                  <a:ahLst/>
                                  <a:cxnLst/>
                                  <a:rect l="l" t="t" r="r" b="b"/>
                                  <a:pathLst>
                                    <a:path w="2667635" h="13970">
                                      <a:moveTo>
                                        <a:pt x="2667254" y="0"/>
                                      </a:moveTo>
                                      <a:lnTo>
                                        <a:pt x="0" y="0"/>
                                      </a:lnTo>
                                      <a:lnTo>
                                        <a:pt x="0" y="13715"/>
                                      </a:lnTo>
                                      <a:lnTo>
                                        <a:pt x="2667254" y="13715"/>
                                      </a:lnTo>
                                      <a:lnTo>
                                        <a:pt x="26672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9920A8D" id="Group 804" o:spid="_x0000_s1026" style="position:absolute;margin-left:20.9pt;margin-top:-1.35pt;width:210.05pt;height:1.1pt;z-index:-20987904;mso-wrap-distance-left:0;mso-wrap-distance-right:0" coordsize="2667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">
                      <v:shape id="Graphic 805" o:spid="_x0000_s1027" style="position:absolute;width:26676;height:139;visibility:visible;mso-wrap-style:square;v-text-anchor:top" coordsize="266763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" path="m2667254,l,,,13715r2667254,l2667254,xe" fillcolor="black" stroked="f">
                        <v:path arrowok="t"/>
                      </v:shape>
                    </v:group>
                  </w:pict>
                </mc:Fallback>
              </mc:AlternateContent>
            </w:r>
            <w:r>
              <w:rPr>
                <w:b/>
                <w:spacing w:val="-9"/>
                <w:sz w:val="20"/>
                <w:u w:val="single"/>
              </w:rPr>
              <w:t xml:space="preserve"> </w:t>
            </w:r>
            <w:r>
              <w:rPr>
                <w:b/>
                <w:sz w:val="20"/>
                <w:u w:val="single"/>
              </w:rPr>
              <w:t>Subdirección</w:t>
            </w:r>
            <w:r>
              <w:rPr>
                <w:b/>
                <w:spacing w:val="-8"/>
                <w:sz w:val="20"/>
                <w:u w:val="single"/>
              </w:rPr>
              <w:t xml:space="preserve"> </w:t>
            </w:r>
            <w:r>
              <w:rPr>
                <w:b/>
                <w:sz w:val="20"/>
                <w:u w:val="single"/>
              </w:rPr>
              <w:t>de</w:t>
            </w:r>
            <w:r>
              <w:rPr>
                <w:b/>
                <w:spacing w:val="-6"/>
                <w:sz w:val="20"/>
                <w:u w:val="single"/>
              </w:rPr>
              <w:t xml:space="preserve"> </w:t>
            </w:r>
            <w:r>
              <w:rPr>
                <w:b/>
                <w:sz w:val="20"/>
                <w:u w:val="single"/>
              </w:rPr>
              <w:t>Talento</w:t>
            </w:r>
            <w:r>
              <w:rPr>
                <w:b/>
                <w:spacing w:val="-7"/>
                <w:sz w:val="20"/>
                <w:u w:val="single"/>
              </w:rPr>
              <w:t xml:space="preserve"> </w:t>
            </w:r>
            <w:r>
              <w:rPr>
                <w:b/>
                <w:spacing w:val="-2"/>
                <w:sz w:val="20"/>
                <w:u w:val="single"/>
              </w:rPr>
              <w:t>Humano</w:t>
            </w:r>
          </w:p>
          <w:p w14:paraId="09E2F44F" w14:textId="77777777" w:rsidR="000E52B0" w:rsidRDefault="00F60D74">
            <w:pPr>
              <w:pStyle w:val="TableParagraph"/>
              <w:numPr>
                <w:ilvl w:val="1"/>
                <w:numId w:val="7"/>
              </w:numPr>
              <w:tabs>
                <w:tab w:val="left" w:pos="841"/>
              </w:tabs>
              <w:ind w:left="417" w:right="88" w:firstLine="0"/>
              <w:rPr>
                <w:b/>
                <w:sz w:val="20"/>
              </w:rPr>
            </w:pPr>
            <w:r>
              <w:rPr>
                <w:b/>
                <w:spacing w:val="80"/>
                <w:sz w:val="20"/>
                <w:u w:val="single"/>
              </w:rPr>
              <w:t xml:space="preserve"> </w:t>
            </w:r>
            <w:r>
              <w:rPr>
                <w:b/>
                <w:sz w:val="20"/>
                <w:u w:val="single"/>
              </w:rPr>
              <w:t>Subdirección</w:t>
            </w:r>
            <w:r>
              <w:rPr>
                <w:b/>
                <w:spacing w:val="80"/>
                <w:sz w:val="20"/>
                <w:u w:val="single"/>
              </w:rPr>
              <w:t xml:space="preserve"> </w:t>
            </w:r>
            <w:r>
              <w:rPr>
                <w:b/>
                <w:sz w:val="20"/>
                <w:u w:val="single"/>
              </w:rPr>
              <w:t>Administrativa</w:t>
            </w:r>
            <w:r>
              <w:rPr>
                <w:b/>
                <w:spacing w:val="80"/>
                <w:sz w:val="20"/>
                <w:u w:val="single"/>
              </w:rPr>
              <w:t xml:space="preserve"> </w:t>
            </w:r>
            <w:r>
              <w:rPr>
                <w:b/>
                <w:sz w:val="20"/>
                <w:u w:val="single"/>
              </w:rPr>
              <w:t>y</w:t>
            </w:r>
            <w:r>
              <w:rPr>
                <w:b/>
                <w:sz w:val="20"/>
              </w:rPr>
              <w:t xml:space="preserve"> </w:t>
            </w:r>
            <w:r>
              <w:rPr>
                <w:b/>
                <w:spacing w:val="-2"/>
                <w:sz w:val="20"/>
                <w:u w:val="single"/>
              </w:rPr>
              <w:t>Financiera</w:t>
            </w:r>
          </w:p>
          <w:p w14:paraId="62C32EEC" w14:textId="77777777" w:rsidR="000E52B0" w:rsidRDefault="00F60D74">
            <w:pPr>
              <w:pStyle w:val="TableParagraph"/>
              <w:numPr>
                <w:ilvl w:val="1"/>
                <w:numId w:val="7"/>
              </w:numPr>
              <w:tabs>
                <w:tab w:val="left" w:pos="841"/>
              </w:tabs>
              <w:spacing w:line="242" w:lineRule="exact"/>
              <w:ind w:left="841" w:hanging="424"/>
              <w:rPr>
                <w:b/>
                <w:sz w:val="20"/>
              </w:rPr>
            </w:pPr>
            <w:r>
              <w:rPr>
                <w:b/>
                <w:spacing w:val="-8"/>
                <w:sz w:val="20"/>
                <w:u w:val="single"/>
              </w:rPr>
              <w:t xml:space="preserve"> </w:t>
            </w:r>
            <w:r>
              <w:rPr>
                <w:b/>
                <w:sz w:val="20"/>
                <w:u w:val="single"/>
              </w:rPr>
              <w:t>Subdirección</w:t>
            </w:r>
            <w:r>
              <w:rPr>
                <w:b/>
                <w:spacing w:val="-7"/>
                <w:sz w:val="20"/>
                <w:u w:val="single"/>
              </w:rPr>
              <w:t xml:space="preserve"> </w:t>
            </w:r>
            <w:r>
              <w:rPr>
                <w:b/>
                <w:sz w:val="20"/>
                <w:u w:val="single"/>
              </w:rPr>
              <w:t>de</w:t>
            </w:r>
            <w:r>
              <w:rPr>
                <w:b/>
                <w:spacing w:val="-5"/>
                <w:sz w:val="20"/>
                <w:u w:val="single"/>
              </w:rPr>
              <w:t xml:space="preserve"> </w:t>
            </w:r>
            <w:r>
              <w:rPr>
                <w:b/>
                <w:spacing w:val="-2"/>
                <w:sz w:val="20"/>
                <w:u w:val="single"/>
              </w:rPr>
              <w:t>Contratación</w:t>
            </w:r>
          </w:p>
          <w:p w14:paraId="74EC04B9" w14:textId="77777777" w:rsidR="000E52B0" w:rsidRDefault="000E52B0">
            <w:pPr>
              <w:pStyle w:val="TableParagraph"/>
              <w:rPr>
                <w:b/>
                <w:sz w:val="20"/>
              </w:rPr>
            </w:pPr>
          </w:p>
          <w:p w14:paraId="1D7E2A1D" w14:textId="77777777" w:rsidR="000E52B0" w:rsidRDefault="00F60D74">
            <w:pPr>
              <w:pStyle w:val="TableParagraph"/>
              <w:numPr>
                <w:ilvl w:val="0"/>
                <w:numId w:val="7"/>
              </w:numPr>
              <w:tabs>
                <w:tab w:val="left" w:pos="415"/>
              </w:tabs>
              <w:spacing w:line="243" w:lineRule="exact"/>
              <w:ind w:left="415" w:hanging="358"/>
              <w:rPr>
                <w:b/>
                <w:sz w:val="20"/>
              </w:rPr>
            </w:pPr>
            <w:r>
              <w:rPr>
                <w:b/>
                <w:sz w:val="20"/>
                <w:u w:val="single"/>
              </w:rPr>
              <w:t>Órganos</w:t>
            </w:r>
            <w:r>
              <w:rPr>
                <w:b/>
                <w:spacing w:val="43"/>
                <w:sz w:val="20"/>
                <w:u w:val="single"/>
              </w:rPr>
              <w:t xml:space="preserve"> </w:t>
            </w:r>
            <w:r>
              <w:rPr>
                <w:b/>
                <w:sz w:val="20"/>
                <w:u w:val="single"/>
              </w:rPr>
              <w:t>de</w:t>
            </w:r>
            <w:r>
              <w:rPr>
                <w:b/>
                <w:spacing w:val="44"/>
                <w:sz w:val="20"/>
                <w:u w:val="single"/>
              </w:rPr>
              <w:t xml:space="preserve"> </w:t>
            </w:r>
            <w:r>
              <w:rPr>
                <w:b/>
                <w:sz w:val="20"/>
                <w:u w:val="single"/>
              </w:rPr>
              <w:t>asesoría</w:t>
            </w:r>
            <w:r>
              <w:rPr>
                <w:b/>
                <w:spacing w:val="42"/>
                <w:sz w:val="20"/>
                <w:u w:val="single"/>
              </w:rPr>
              <w:t xml:space="preserve"> </w:t>
            </w:r>
            <w:r>
              <w:rPr>
                <w:b/>
                <w:sz w:val="20"/>
                <w:u w:val="single"/>
              </w:rPr>
              <w:t>y</w:t>
            </w:r>
            <w:r>
              <w:rPr>
                <w:b/>
                <w:spacing w:val="45"/>
                <w:sz w:val="20"/>
                <w:u w:val="single"/>
              </w:rPr>
              <w:t xml:space="preserve"> </w:t>
            </w:r>
            <w:r>
              <w:rPr>
                <w:b/>
                <w:spacing w:val="-2"/>
                <w:sz w:val="20"/>
                <w:u w:val="single"/>
              </w:rPr>
              <w:t>coordinación</w:t>
            </w:r>
          </w:p>
          <w:p w14:paraId="0C226C96" w14:textId="77777777" w:rsidR="000E52B0" w:rsidRDefault="00F60D74">
            <w:pPr>
              <w:pStyle w:val="TableParagraph"/>
              <w:numPr>
                <w:ilvl w:val="1"/>
                <w:numId w:val="7"/>
              </w:numPr>
              <w:tabs>
                <w:tab w:val="left" w:pos="841"/>
              </w:tabs>
              <w:spacing w:line="242" w:lineRule="auto"/>
              <w:ind w:left="417" w:right="88" w:firstLine="0"/>
              <w:rPr>
                <w:b/>
                <w:sz w:val="20"/>
              </w:rPr>
            </w:pPr>
            <w:r>
              <w:rPr>
                <w:b/>
                <w:sz w:val="20"/>
                <w:u w:val="single"/>
              </w:rPr>
              <w:t xml:space="preserve"> Comité de Gestión y Desempeño</w:t>
            </w:r>
            <w:r>
              <w:rPr>
                <w:b/>
                <w:sz w:val="20"/>
              </w:rPr>
              <w:t xml:space="preserve"> </w:t>
            </w:r>
            <w:r>
              <w:rPr>
                <w:b/>
                <w:spacing w:val="-2"/>
                <w:sz w:val="20"/>
                <w:u w:val="single"/>
              </w:rPr>
              <w:t>Institucional</w:t>
            </w:r>
          </w:p>
          <w:p w14:paraId="1FAC6600" w14:textId="77777777" w:rsidR="000E52B0" w:rsidRDefault="00F60D74">
            <w:pPr>
              <w:pStyle w:val="TableParagraph"/>
              <w:numPr>
                <w:ilvl w:val="1"/>
                <w:numId w:val="7"/>
              </w:numPr>
              <w:tabs>
                <w:tab w:val="left" w:pos="1069"/>
                <w:tab w:val="left" w:pos="2081"/>
                <w:tab w:val="left" w:pos="2578"/>
                <w:tab w:val="left" w:pos="4271"/>
              </w:tabs>
              <w:ind w:left="417" w:right="87" w:firstLine="0"/>
              <w:rPr>
                <w:b/>
                <w:sz w:val="20"/>
              </w:rPr>
            </w:pPr>
            <w:r>
              <w:rPr>
                <w:b/>
                <w:spacing w:val="-2"/>
                <w:sz w:val="20"/>
                <w:u w:val="single"/>
              </w:rPr>
              <w:t>Comité</w:t>
            </w:r>
            <w:r>
              <w:rPr>
                <w:b/>
                <w:sz w:val="20"/>
                <w:u w:val="single"/>
              </w:rPr>
              <w:tab/>
            </w:r>
            <w:r>
              <w:rPr>
                <w:b/>
                <w:spacing w:val="-6"/>
                <w:sz w:val="20"/>
                <w:u w:val="single"/>
              </w:rPr>
              <w:t>de</w:t>
            </w:r>
            <w:r>
              <w:rPr>
                <w:b/>
                <w:sz w:val="20"/>
                <w:u w:val="single"/>
              </w:rPr>
              <w:tab/>
            </w:r>
            <w:r>
              <w:rPr>
                <w:b/>
                <w:spacing w:val="-2"/>
                <w:sz w:val="20"/>
                <w:u w:val="single"/>
              </w:rPr>
              <w:t>Coordinación</w:t>
            </w:r>
            <w:r>
              <w:rPr>
                <w:b/>
                <w:sz w:val="20"/>
                <w:u w:val="single"/>
              </w:rPr>
              <w:tab/>
            </w:r>
            <w:r>
              <w:rPr>
                <w:b/>
                <w:spacing w:val="-4"/>
                <w:sz w:val="20"/>
                <w:u w:val="single"/>
              </w:rPr>
              <w:t>del</w:t>
            </w:r>
            <w:r>
              <w:rPr>
                <w:b/>
                <w:spacing w:val="-4"/>
                <w:sz w:val="20"/>
              </w:rPr>
              <w:t xml:space="preserve"> </w:t>
            </w:r>
            <w:r>
              <w:rPr>
                <w:b/>
                <w:sz w:val="20"/>
                <w:u w:val="single"/>
              </w:rPr>
              <w:t>Sistema de Control Interno</w:t>
            </w:r>
          </w:p>
          <w:p w14:paraId="33D1C79F" w14:textId="77777777" w:rsidR="000E52B0" w:rsidRDefault="00F60D74">
            <w:pPr>
              <w:pStyle w:val="TableParagraph"/>
              <w:numPr>
                <w:ilvl w:val="1"/>
                <w:numId w:val="7"/>
              </w:numPr>
              <w:tabs>
                <w:tab w:val="left" w:pos="841"/>
              </w:tabs>
              <w:spacing w:line="223" w:lineRule="exact"/>
              <w:ind w:left="841" w:hanging="424"/>
              <w:rPr>
                <w:b/>
                <w:sz w:val="20"/>
              </w:rPr>
            </w:pPr>
            <w:r>
              <w:rPr>
                <w:b/>
                <w:spacing w:val="-4"/>
                <w:sz w:val="20"/>
                <w:u w:val="single"/>
              </w:rPr>
              <w:t xml:space="preserve"> </w:t>
            </w:r>
            <w:r>
              <w:rPr>
                <w:b/>
                <w:sz w:val="20"/>
                <w:u w:val="single"/>
              </w:rPr>
              <w:t>Comisión</w:t>
            </w:r>
            <w:r>
              <w:rPr>
                <w:b/>
                <w:spacing w:val="-5"/>
                <w:sz w:val="20"/>
                <w:u w:val="single"/>
              </w:rPr>
              <w:t xml:space="preserve"> </w:t>
            </w:r>
            <w:r>
              <w:rPr>
                <w:b/>
                <w:sz w:val="20"/>
                <w:u w:val="single"/>
              </w:rPr>
              <w:t>de</w:t>
            </w:r>
            <w:r>
              <w:rPr>
                <w:b/>
                <w:spacing w:val="-5"/>
                <w:sz w:val="20"/>
                <w:u w:val="single"/>
              </w:rPr>
              <w:t xml:space="preserve"> </w:t>
            </w:r>
            <w:r>
              <w:rPr>
                <w:b/>
                <w:spacing w:val="-2"/>
                <w:sz w:val="20"/>
                <w:u w:val="single"/>
              </w:rPr>
              <w:t>Personal</w:t>
            </w:r>
          </w:p>
        </w:tc>
        <w:tc>
          <w:tcPr>
            <w:tcW w:w="3809" w:type="dxa"/>
          </w:tcPr>
          <w:p w14:paraId="11E3EC64" w14:textId="77777777" w:rsidR="000E52B0" w:rsidRDefault="000E52B0">
            <w:pPr>
              <w:pStyle w:val="TableParagraph"/>
              <w:rPr>
                <w:rFonts w:ascii="Times New Roman"/>
                <w:sz w:val="18"/>
              </w:rPr>
            </w:pPr>
          </w:p>
        </w:tc>
      </w:tr>
      <w:tr w:rsidR="000E52B0" w14:paraId="67EDFC83" w14:textId="77777777">
        <w:trPr>
          <w:trHeight w:val="3160"/>
        </w:trPr>
        <w:tc>
          <w:tcPr>
            <w:tcW w:w="4712" w:type="dxa"/>
          </w:tcPr>
          <w:p w14:paraId="766D039B" w14:textId="77777777" w:rsidR="000E52B0" w:rsidRDefault="00F60D74">
            <w:pPr>
              <w:pStyle w:val="TableParagraph"/>
              <w:tabs>
                <w:tab w:val="left" w:pos="2026"/>
                <w:tab w:val="left" w:pos="3143"/>
              </w:tabs>
              <w:spacing w:line="243" w:lineRule="exact"/>
              <w:ind w:left="107"/>
              <w:jc w:val="both"/>
              <w:rPr>
                <w:b/>
                <w:sz w:val="20"/>
              </w:rPr>
            </w:pPr>
            <w:r>
              <w:rPr>
                <w:b/>
                <w:spacing w:val="-2"/>
                <w:sz w:val="20"/>
              </w:rPr>
              <w:t>ARTÍCULO</w:t>
            </w:r>
            <w:r>
              <w:rPr>
                <w:b/>
                <w:sz w:val="20"/>
              </w:rPr>
              <w:tab/>
            </w:r>
            <w:r>
              <w:rPr>
                <w:b/>
                <w:spacing w:val="-5"/>
                <w:sz w:val="20"/>
              </w:rPr>
              <w:t>12.</w:t>
            </w:r>
            <w:r>
              <w:rPr>
                <w:b/>
                <w:sz w:val="20"/>
              </w:rPr>
              <w:tab/>
            </w:r>
            <w:r>
              <w:rPr>
                <w:b/>
                <w:spacing w:val="-2"/>
                <w:sz w:val="20"/>
              </w:rPr>
              <w:t>FACULTADES</w:t>
            </w:r>
          </w:p>
          <w:p w14:paraId="4F3055B5" w14:textId="77777777" w:rsidR="000E52B0" w:rsidRDefault="00F60D74">
            <w:pPr>
              <w:pStyle w:val="TableParagraph"/>
              <w:ind w:left="107" w:right="93"/>
              <w:jc w:val="both"/>
              <w:rPr>
                <w:sz w:val="20"/>
              </w:rPr>
            </w:pPr>
            <w:r>
              <w:rPr>
                <w:b/>
                <w:sz w:val="20"/>
              </w:rPr>
              <w:t xml:space="preserve">EXTRAORDINARIAS. </w:t>
            </w:r>
            <w:r>
              <w:rPr>
                <w:sz w:val="20"/>
              </w:rPr>
              <w:t xml:space="preserve">Revístase al </w:t>
            </w:r>
            <w:proofErr w:type="gramStart"/>
            <w:r>
              <w:rPr>
                <w:sz w:val="20"/>
              </w:rPr>
              <w:t>Presidente</w:t>
            </w:r>
            <w:proofErr w:type="gramEnd"/>
            <w:r>
              <w:rPr>
                <w:sz w:val="20"/>
              </w:rPr>
              <w:t xml:space="preserve"> de la República de precisas facultades</w:t>
            </w:r>
            <w:r>
              <w:rPr>
                <w:spacing w:val="-8"/>
                <w:sz w:val="20"/>
              </w:rPr>
              <w:t xml:space="preserve"> </w:t>
            </w:r>
            <w:r>
              <w:rPr>
                <w:sz w:val="20"/>
              </w:rPr>
              <w:t>extraordinarias,</w:t>
            </w:r>
            <w:r>
              <w:rPr>
                <w:spacing w:val="-10"/>
                <w:sz w:val="20"/>
              </w:rPr>
              <w:t xml:space="preserve"> </w:t>
            </w:r>
            <w:r>
              <w:rPr>
                <w:sz w:val="20"/>
              </w:rPr>
              <w:t>por</w:t>
            </w:r>
            <w:r>
              <w:rPr>
                <w:spacing w:val="-9"/>
                <w:sz w:val="20"/>
              </w:rPr>
              <w:t xml:space="preserve"> </w:t>
            </w:r>
            <w:r>
              <w:rPr>
                <w:sz w:val="20"/>
              </w:rPr>
              <w:t>el</w:t>
            </w:r>
            <w:r>
              <w:rPr>
                <w:spacing w:val="-9"/>
                <w:sz w:val="20"/>
              </w:rPr>
              <w:t xml:space="preserve"> </w:t>
            </w:r>
            <w:r>
              <w:rPr>
                <w:sz w:val="20"/>
              </w:rPr>
              <w:t>término</w:t>
            </w:r>
            <w:r>
              <w:rPr>
                <w:spacing w:val="-11"/>
                <w:sz w:val="20"/>
              </w:rPr>
              <w:t xml:space="preserve"> </w:t>
            </w:r>
            <w:r>
              <w:rPr>
                <w:sz w:val="20"/>
              </w:rPr>
              <w:t>de seis</w:t>
            </w:r>
            <w:r>
              <w:rPr>
                <w:spacing w:val="-7"/>
                <w:sz w:val="20"/>
              </w:rPr>
              <w:t xml:space="preserve"> </w:t>
            </w:r>
            <w:r>
              <w:rPr>
                <w:sz w:val="20"/>
              </w:rPr>
              <w:t>(6)</w:t>
            </w:r>
            <w:r>
              <w:rPr>
                <w:spacing w:val="-5"/>
                <w:sz w:val="20"/>
              </w:rPr>
              <w:t xml:space="preserve"> </w:t>
            </w:r>
            <w:r>
              <w:rPr>
                <w:sz w:val="20"/>
              </w:rPr>
              <w:t>meses,</w:t>
            </w:r>
            <w:r>
              <w:rPr>
                <w:spacing w:val="-7"/>
                <w:sz w:val="20"/>
              </w:rPr>
              <w:t xml:space="preserve"> </w:t>
            </w:r>
            <w:r>
              <w:rPr>
                <w:sz w:val="20"/>
              </w:rPr>
              <w:t>contados</w:t>
            </w:r>
            <w:r>
              <w:rPr>
                <w:spacing w:val="-7"/>
                <w:sz w:val="20"/>
              </w:rPr>
              <w:t xml:space="preserve"> </w:t>
            </w:r>
            <w:r>
              <w:rPr>
                <w:sz w:val="20"/>
              </w:rPr>
              <w:t>a</w:t>
            </w:r>
            <w:r>
              <w:rPr>
                <w:spacing w:val="-6"/>
                <w:sz w:val="20"/>
              </w:rPr>
              <w:t xml:space="preserve"> </w:t>
            </w:r>
            <w:r>
              <w:rPr>
                <w:sz w:val="20"/>
              </w:rPr>
              <w:t>partir</w:t>
            </w:r>
            <w:r>
              <w:rPr>
                <w:spacing w:val="-7"/>
                <w:sz w:val="20"/>
              </w:rPr>
              <w:t xml:space="preserve"> </w:t>
            </w:r>
            <w:r>
              <w:rPr>
                <w:sz w:val="20"/>
              </w:rPr>
              <w:t>de</w:t>
            </w:r>
            <w:r>
              <w:rPr>
                <w:spacing w:val="-7"/>
                <w:sz w:val="20"/>
              </w:rPr>
              <w:t xml:space="preserve"> </w:t>
            </w:r>
            <w:r>
              <w:rPr>
                <w:sz w:val="20"/>
              </w:rPr>
              <w:t>la</w:t>
            </w:r>
            <w:r>
              <w:rPr>
                <w:spacing w:val="-3"/>
                <w:sz w:val="20"/>
              </w:rPr>
              <w:t xml:space="preserve"> </w:t>
            </w:r>
            <w:r>
              <w:rPr>
                <w:sz w:val="20"/>
              </w:rPr>
              <w:t>fecha de publicación de la presente ley, para expedir normas con fuerza material de ley dirigidas a integral al Sector de Igualdad y Equidad con las entidades que defina como adscritas o vinculadas. Lo anterior, de conformidad</w:t>
            </w:r>
            <w:r>
              <w:rPr>
                <w:spacing w:val="-7"/>
                <w:sz w:val="20"/>
              </w:rPr>
              <w:t xml:space="preserve"> </w:t>
            </w:r>
            <w:r>
              <w:rPr>
                <w:sz w:val="20"/>
              </w:rPr>
              <w:t>con</w:t>
            </w:r>
            <w:r>
              <w:rPr>
                <w:spacing w:val="-9"/>
                <w:sz w:val="20"/>
              </w:rPr>
              <w:t xml:space="preserve"> </w:t>
            </w:r>
            <w:r>
              <w:rPr>
                <w:sz w:val="20"/>
              </w:rPr>
              <w:t>lo</w:t>
            </w:r>
            <w:r>
              <w:rPr>
                <w:spacing w:val="-6"/>
                <w:sz w:val="20"/>
              </w:rPr>
              <w:t xml:space="preserve"> </w:t>
            </w:r>
            <w:r>
              <w:rPr>
                <w:sz w:val="20"/>
              </w:rPr>
              <w:t>establecido</w:t>
            </w:r>
            <w:r>
              <w:rPr>
                <w:spacing w:val="-8"/>
                <w:sz w:val="20"/>
              </w:rPr>
              <w:t xml:space="preserve"> </w:t>
            </w:r>
            <w:r>
              <w:rPr>
                <w:sz w:val="20"/>
              </w:rPr>
              <w:t>en</w:t>
            </w:r>
            <w:r>
              <w:rPr>
                <w:spacing w:val="-6"/>
                <w:sz w:val="20"/>
              </w:rPr>
              <w:t xml:space="preserve"> </w:t>
            </w:r>
            <w:r>
              <w:rPr>
                <w:sz w:val="20"/>
              </w:rPr>
              <w:t>el</w:t>
            </w:r>
            <w:r>
              <w:rPr>
                <w:spacing w:val="-7"/>
                <w:sz w:val="20"/>
              </w:rPr>
              <w:t xml:space="preserve"> </w:t>
            </w:r>
            <w:r>
              <w:rPr>
                <w:sz w:val="20"/>
              </w:rPr>
              <w:t>artículo 150 numeral 10 de la Constitución Política.</w:t>
            </w:r>
          </w:p>
        </w:tc>
        <w:tc>
          <w:tcPr>
            <w:tcW w:w="4723" w:type="dxa"/>
          </w:tcPr>
          <w:p w14:paraId="0C54D919" w14:textId="77777777" w:rsidR="000E52B0" w:rsidRDefault="00F60D74">
            <w:pPr>
              <w:pStyle w:val="TableParagraph"/>
              <w:tabs>
                <w:tab w:val="left" w:pos="2034"/>
                <w:tab w:val="left" w:pos="3156"/>
              </w:tabs>
              <w:spacing w:line="243" w:lineRule="exact"/>
              <w:ind w:left="107"/>
              <w:jc w:val="both"/>
              <w:rPr>
                <w:b/>
                <w:sz w:val="20"/>
              </w:rPr>
            </w:pPr>
            <w:r>
              <w:rPr>
                <w:b/>
                <w:spacing w:val="-2"/>
                <w:sz w:val="20"/>
              </w:rPr>
              <w:t>ARTÍCULO</w:t>
            </w:r>
            <w:r>
              <w:rPr>
                <w:b/>
                <w:sz w:val="20"/>
              </w:rPr>
              <w:tab/>
            </w:r>
            <w:r>
              <w:rPr>
                <w:b/>
                <w:spacing w:val="-5"/>
                <w:sz w:val="20"/>
              </w:rPr>
              <w:t>12.</w:t>
            </w:r>
            <w:r>
              <w:rPr>
                <w:b/>
                <w:sz w:val="20"/>
              </w:rPr>
              <w:tab/>
            </w:r>
            <w:r>
              <w:rPr>
                <w:b/>
                <w:spacing w:val="-2"/>
                <w:sz w:val="20"/>
              </w:rPr>
              <w:t>FACULTADES</w:t>
            </w:r>
          </w:p>
          <w:p w14:paraId="2E194D7B" w14:textId="77777777" w:rsidR="000E52B0" w:rsidRDefault="00F60D74">
            <w:pPr>
              <w:pStyle w:val="TableParagraph"/>
              <w:ind w:left="107" w:right="87"/>
              <w:jc w:val="both"/>
              <w:rPr>
                <w:sz w:val="20"/>
              </w:rPr>
            </w:pPr>
            <w:r>
              <w:rPr>
                <w:noProof/>
                <w:sz w:val="20"/>
              </w:rPr>
              <mc:AlternateContent>
                <mc:Choice Requires="wpg">
                  <w:drawing>
                    <wp:anchor distT="0" distB="0" distL="0" distR="0" simplePos="0" relativeHeight="482329088" behindDoc="1" locked="0" layoutInCell="1" allowOverlap="1" wp14:anchorId="26916E95" wp14:editId="344C0DF1">
                      <wp:simplePos x="0" y="0"/>
                      <wp:positionH relativeFrom="column">
                        <wp:posOffset>68580</wp:posOffset>
                      </wp:positionH>
                      <wp:positionV relativeFrom="paragraph">
                        <wp:posOffset>-73485</wp:posOffset>
                      </wp:positionV>
                      <wp:extent cx="2863850" cy="13970"/>
                      <wp:effectExtent l="0" t="0" r="0" b="0"/>
                      <wp:wrapNone/>
                      <wp:docPr id="806"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3850" cy="13970"/>
                                <a:chOff x="0" y="0"/>
                                <a:chExt cx="2863850" cy="13970"/>
                              </a:xfrm>
                            </wpg:grpSpPr>
                            <wps:wsp>
                              <wps:cNvPr id="807" name="Graphic 807"/>
                              <wps:cNvSpPr/>
                              <wps:spPr>
                                <a:xfrm>
                                  <a:off x="0" y="0"/>
                                  <a:ext cx="2863850" cy="13970"/>
                                </a:xfrm>
                                <a:custGeom>
                                  <a:avLst/>
                                  <a:gdLst/>
                                  <a:ahLst/>
                                  <a:cxnLst/>
                                  <a:rect l="l" t="t" r="r" b="b"/>
                                  <a:pathLst>
                                    <a:path w="2863850" h="13970">
                                      <a:moveTo>
                                        <a:pt x="2863850" y="0"/>
                                      </a:moveTo>
                                      <a:lnTo>
                                        <a:pt x="0" y="0"/>
                                      </a:lnTo>
                                      <a:lnTo>
                                        <a:pt x="0" y="13715"/>
                                      </a:lnTo>
                                      <a:lnTo>
                                        <a:pt x="2863850" y="13715"/>
                                      </a:lnTo>
                                      <a:lnTo>
                                        <a:pt x="28638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9DA6EF" id="Group 806" o:spid="_x0000_s1026" style="position:absolute;margin-left:5.4pt;margin-top:-5.8pt;width:225.5pt;height:1.1pt;z-index:-20987392;mso-wrap-distance-left:0;mso-wrap-distance-right:0" coordsize="2863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">
                      <v:shape id="Graphic 807" o:spid="_x0000_s1027" style="position:absolute;width:28638;height:139;visibility:visible;mso-wrap-style:square;v-text-anchor:top" coordsize="28638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" path="m2863850,l,,,13715r2863850,l2863850,xe" fillcolor="black" stroked="f">
                        <v:path arrowok="t"/>
                      </v:shape>
                    </v:group>
                  </w:pict>
                </mc:Fallback>
              </mc:AlternateContent>
            </w:r>
            <w:r>
              <w:rPr>
                <w:noProof/>
                <w:sz w:val="20"/>
              </w:rPr>
              <mc:AlternateContent>
                <mc:Choice Requires="wpg">
                  <w:drawing>
                    <wp:anchor distT="0" distB="0" distL="0" distR="0" simplePos="0" relativeHeight="482329600" behindDoc="1" locked="0" layoutInCell="1" allowOverlap="1" wp14:anchorId="64BF98C9" wp14:editId="255546BD">
                      <wp:simplePos x="0" y="0"/>
                      <wp:positionH relativeFrom="column">
                        <wp:posOffset>68580</wp:posOffset>
                      </wp:positionH>
                      <wp:positionV relativeFrom="paragraph">
                        <wp:posOffset>80438</wp:posOffset>
                      </wp:positionV>
                      <wp:extent cx="2863850" cy="13970"/>
                      <wp:effectExtent l="0" t="0" r="0" b="0"/>
                      <wp:wrapNone/>
                      <wp:docPr id="80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3850" cy="13970"/>
                                <a:chOff x="0" y="0"/>
                                <a:chExt cx="2863850" cy="13970"/>
                              </a:xfrm>
                            </wpg:grpSpPr>
                            <wps:wsp>
                              <wps:cNvPr id="809" name="Graphic 809"/>
                              <wps:cNvSpPr/>
                              <wps:spPr>
                                <a:xfrm>
                                  <a:off x="0" y="0"/>
                                  <a:ext cx="2863850" cy="13970"/>
                                </a:xfrm>
                                <a:custGeom>
                                  <a:avLst/>
                                  <a:gdLst/>
                                  <a:ahLst/>
                                  <a:cxnLst/>
                                  <a:rect l="l" t="t" r="r" b="b"/>
                                  <a:pathLst>
                                    <a:path w="2863850" h="13970">
                                      <a:moveTo>
                                        <a:pt x="2863850" y="4572"/>
                                      </a:moveTo>
                                      <a:lnTo>
                                        <a:pt x="1459992" y="4572"/>
                                      </a:lnTo>
                                      <a:lnTo>
                                        <a:pt x="1459992" y="0"/>
                                      </a:lnTo>
                                      <a:lnTo>
                                        <a:pt x="0" y="0"/>
                                      </a:lnTo>
                                      <a:lnTo>
                                        <a:pt x="0" y="13716"/>
                                      </a:lnTo>
                                      <a:lnTo>
                                        <a:pt x="1459992" y="13716"/>
                                      </a:lnTo>
                                      <a:lnTo>
                                        <a:pt x="1459992" y="12192"/>
                                      </a:lnTo>
                                      <a:lnTo>
                                        <a:pt x="2863850" y="12192"/>
                                      </a:lnTo>
                                      <a:lnTo>
                                        <a:pt x="2863850" y="457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529EAA" id="Group 808" o:spid="_x0000_s1026" style="position:absolute;margin-left:5.4pt;margin-top:6.35pt;width:225.5pt;height:1.1pt;z-index:-20986880;mso-wrap-distance-left:0;mso-wrap-distance-right:0" coordsize="2863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">
                      <v:shape id="Graphic 809" o:spid="_x0000_s1027" style="position:absolute;width:28638;height:139;visibility:visible;mso-wrap-style:square;v-text-anchor:top" coordsize="28638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" path="m2863850,4572r-1403858,l1459992,,,,,13716r1459992,l1459992,12192r1403858,l2863850,4572xe" fillcolor="black" stroked="f">
                        <v:path arrowok="t"/>
                      </v:shape>
                    </v:group>
                  </w:pict>
                </mc:Fallback>
              </mc:AlternateContent>
            </w:r>
            <w:r>
              <w:rPr>
                <w:b/>
                <w:sz w:val="20"/>
              </w:rPr>
              <w:t xml:space="preserve">EXTRAORDINARIAS. </w:t>
            </w:r>
            <w:r>
              <w:rPr>
                <w:sz w:val="20"/>
              </w:rPr>
              <w:t xml:space="preserve">Revístase al </w:t>
            </w:r>
            <w:proofErr w:type="gramStart"/>
            <w:r>
              <w:rPr>
                <w:strike/>
                <w:sz w:val="20"/>
              </w:rPr>
              <w:t>Presidente</w:t>
            </w:r>
            <w:proofErr w:type="gramEnd"/>
            <w:r>
              <w:rPr>
                <w:strike/>
                <w:sz w:val="20"/>
              </w:rPr>
              <w:t xml:space="preserve"> de la República de precisas</w:t>
            </w:r>
            <w:r>
              <w:rPr>
                <w:sz w:val="20"/>
              </w:rPr>
              <w:t xml:space="preserve"> </w:t>
            </w:r>
            <w:r>
              <w:rPr>
                <w:strike/>
                <w:sz w:val="20"/>
              </w:rPr>
              <w:t>facultades</w:t>
            </w:r>
            <w:r>
              <w:rPr>
                <w:strike/>
                <w:spacing w:val="-4"/>
                <w:sz w:val="20"/>
              </w:rPr>
              <w:t xml:space="preserve"> </w:t>
            </w:r>
            <w:r>
              <w:rPr>
                <w:strike/>
                <w:sz w:val="20"/>
              </w:rPr>
              <w:t>extraordinarias,</w:t>
            </w:r>
            <w:r>
              <w:rPr>
                <w:strike/>
                <w:spacing w:val="-7"/>
                <w:sz w:val="20"/>
              </w:rPr>
              <w:t xml:space="preserve"> </w:t>
            </w:r>
            <w:r>
              <w:rPr>
                <w:strike/>
                <w:sz w:val="20"/>
              </w:rPr>
              <w:t>por</w:t>
            </w:r>
            <w:r>
              <w:rPr>
                <w:strike/>
                <w:spacing w:val="-5"/>
                <w:sz w:val="20"/>
              </w:rPr>
              <w:t xml:space="preserve"> </w:t>
            </w:r>
            <w:r>
              <w:rPr>
                <w:strike/>
                <w:sz w:val="20"/>
              </w:rPr>
              <w:t>el</w:t>
            </w:r>
            <w:r>
              <w:rPr>
                <w:strike/>
                <w:spacing w:val="-6"/>
                <w:sz w:val="20"/>
              </w:rPr>
              <w:t xml:space="preserve"> </w:t>
            </w:r>
            <w:r>
              <w:rPr>
                <w:strike/>
                <w:sz w:val="20"/>
              </w:rPr>
              <w:t>término</w:t>
            </w:r>
            <w:r>
              <w:rPr>
                <w:strike/>
                <w:spacing w:val="-7"/>
                <w:sz w:val="20"/>
              </w:rPr>
              <w:t xml:space="preserve"> </w:t>
            </w:r>
            <w:r>
              <w:rPr>
                <w:strike/>
                <w:sz w:val="20"/>
              </w:rPr>
              <w:t>de</w:t>
            </w:r>
            <w:r>
              <w:rPr>
                <w:sz w:val="20"/>
              </w:rPr>
              <w:t xml:space="preserve"> </w:t>
            </w:r>
            <w:r>
              <w:rPr>
                <w:strike/>
                <w:sz w:val="20"/>
              </w:rPr>
              <w:t>seis</w:t>
            </w:r>
            <w:r>
              <w:rPr>
                <w:strike/>
                <w:spacing w:val="-4"/>
                <w:sz w:val="20"/>
              </w:rPr>
              <w:t xml:space="preserve"> </w:t>
            </w:r>
            <w:r>
              <w:rPr>
                <w:strike/>
                <w:sz w:val="20"/>
              </w:rPr>
              <w:t>(6)</w:t>
            </w:r>
            <w:r>
              <w:rPr>
                <w:strike/>
                <w:spacing w:val="-3"/>
                <w:sz w:val="20"/>
              </w:rPr>
              <w:t xml:space="preserve"> </w:t>
            </w:r>
            <w:r>
              <w:rPr>
                <w:strike/>
                <w:sz w:val="20"/>
              </w:rPr>
              <w:t>meses,</w:t>
            </w:r>
            <w:r>
              <w:rPr>
                <w:strike/>
                <w:spacing w:val="-3"/>
                <w:sz w:val="20"/>
              </w:rPr>
              <w:t xml:space="preserve"> </w:t>
            </w:r>
            <w:r>
              <w:rPr>
                <w:strike/>
                <w:sz w:val="20"/>
              </w:rPr>
              <w:t>contados</w:t>
            </w:r>
            <w:r>
              <w:rPr>
                <w:strike/>
                <w:spacing w:val="-4"/>
                <w:sz w:val="20"/>
              </w:rPr>
              <w:t xml:space="preserve"> </w:t>
            </w:r>
            <w:r>
              <w:rPr>
                <w:strike/>
                <w:sz w:val="20"/>
              </w:rPr>
              <w:t>a</w:t>
            </w:r>
            <w:r>
              <w:rPr>
                <w:strike/>
                <w:spacing w:val="-4"/>
                <w:sz w:val="20"/>
              </w:rPr>
              <w:t xml:space="preserve"> </w:t>
            </w:r>
            <w:r>
              <w:rPr>
                <w:strike/>
                <w:sz w:val="20"/>
              </w:rPr>
              <w:t>partir</w:t>
            </w:r>
            <w:r>
              <w:rPr>
                <w:strike/>
                <w:spacing w:val="-5"/>
                <w:sz w:val="20"/>
              </w:rPr>
              <w:t xml:space="preserve"> </w:t>
            </w:r>
            <w:r>
              <w:rPr>
                <w:strike/>
                <w:sz w:val="20"/>
              </w:rPr>
              <w:t>de</w:t>
            </w:r>
            <w:r>
              <w:rPr>
                <w:strike/>
                <w:spacing w:val="-5"/>
                <w:sz w:val="20"/>
              </w:rPr>
              <w:t xml:space="preserve"> </w:t>
            </w:r>
            <w:r>
              <w:rPr>
                <w:strike/>
                <w:sz w:val="20"/>
              </w:rPr>
              <w:t>la</w:t>
            </w:r>
            <w:r>
              <w:rPr>
                <w:strike/>
                <w:spacing w:val="-4"/>
                <w:sz w:val="20"/>
              </w:rPr>
              <w:t xml:space="preserve"> </w:t>
            </w:r>
            <w:r>
              <w:rPr>
                <w:strike/>
                <w:sz w:val="20"/>
              </w:rPr>
              <w:t>fecha</w:t>
            </w:r>
            <w:r>
              <w:rPr>
                <w:sz w:val="20"/>
              </w:rPr>
              <w:t xml:space="preserve"> </w:t>
            </w:r>
            <w:r>
              <w:rPr>
                <w:strike/>
                <w:sz w:val="20"/>
              </w:rPr>
              <w:t>de publicación de la presente ley, para</w:t>
            </w:r>
            <w:r>
              <w:rPr>
                <w:sz w:val="20"/>
              </w:rPr>
              <w:t xml:space="preserve"> </w:t>
            </w:r>
            <w:r>
              <w:rPr>
                <w:strike/>
                <w:sz w:val="20"/>
              </w:rPr>
              <w:t>expedir normas con fuerza material de ley</w:t>
            </w:r>
            <w:r>
              <w:rPr>
                <w:sz w:val="20"/>
              </w:rPr>
              <w:t xml:space="preserve"> </w:t>
            </w:r>
            <w:r>
              <w:rPr>
                <w:strike/>
                <w:sz w:val="20"/>
              </w:rPr>
              <w:t>dirigidas a integral al Sector de Igualdad y</w:t>
            </w:r>
            <w:r>
              <w:rPr>
                <w:sz w:val="20"/>
              </w:rPr>
              <w:t xml:space="preserve"> </w:t>
            </w:r>
            <w:r>
              <w:rPr>
                <w:strike/>
                <w:sz w:val="20"/>
              </w:rPr>
              <w:t>Equidad con las entidades que defina como</w:t>
            </w:r>
            <w:r>
              <w:rPr>
                <w:sz w:val="20"/>
              </w:rPr>
              <w:t xml:space="preserve"> </w:t>
            </w:r>
            <w:r>
              <w:rPr>
                <w:strike/>
                <w:sz w:val="20"/>
              </w:rPr>
              <w:t>adscritas o vinculadas. Lo anterior, de</w:t>
            </w:r>
            <w:r>
              <w:rPr>
                <w:sz w:val="20"/>
              </w:rPr>
              <w:t xml:space="preserve"> </w:t>
            </w:r>
            <w:r>
              <w:rPr>
                <w:strike/>
                <w:sz w:val="20"/>
              </w:rPr>
              <w:t>conformidad</w:t>
            </w:r>
            <w:r>
              <w:rPr>
                <w:strike/>
                <w:spacing w:val="-4"/>
                <w:sz w:val="20"/>
              </w:rPr>
              <w:t xml:space="preserve"> </w:t>
            </w:r>
            <w:r>
              <w:rPr>
                <w:strike/>
                <w:sz w:val="20"/>
              </w:rPr>
              <w:t>con</w:t>
            </w:r>
            <w:r>
              <w:rPr>
                <w:strike/>
                <w:spacing w:val="-5"/>
                <w:sz w:val="20"/>
              </w:rPr>
              <w:t xml:space="preserve"> </w:t>
            </w:r>
            <w:r>
              <w:rPr>
                <w:strike/>
                <w:sz w:val="20"/>
              </w:rPr>
              <w:t>lo</w:t>
            </w:r>
            <w:r>
              <w:rPr>
                <w:strike/>
                <w:spacing w:val="-3"/>
                <w:sz w:val="20"/>
              </w:rPr>
              <w:t xml:space="preserve"> </w:t>
            </w:r>
            <w:r>
              <w:rPr>
                <w:strike/>
                <w:sz w:val="20"/>
              </w:rPr>
              <w:t>establecido</w:t>
            </w:r>
            <w:r>
              <w:rPr>
                <w:strike/>
                <w:spacing w:val="-5"/>
                <w:sz w:val="20"/>
              </w:rPr>
              <w:t xml:space="preserve"> </w:t>
            </w:r>
            <w:r>
              <w:rPr>
                <w:strike/>
                <w:sz w:val="20"/>
              </w:rPr>
              <w:t>en</w:t>
            </w:r>
            <w:r>
              <w:rPr>
                <w:strike/>
                <w:spacing w:val="-4"/>
                <w:sz w:val="20"/>
              </w:rPr>
              <w:t xml:space="preserve"> </w:t>
            </w:r>
            <w:r>
              <w:rPr>
                <w:strike/>
                <w:sz w:val="20"/>
              </w:rPr>
              <w:t>el</w:t>
            </w:r>
            <w:r>
              <w:rPr>
                <w:strike/>
                <w:spacing w:val="-4"/>
                <w:sz w:val="20"/>
              </w:rPr>
              <w:t xml:space="preserve"> </w:t>
            </w:r>
            <w:r>
              <w:rPr>
                <w:strike/>
                <w:sz w:val="20"/>
              </w:rPr>
              <w:t>artículo</w:t>
            </w:r>
            <w:r>
              <w:rPr>
                <w:sz w:val="20"/>
              </w:rPr>
              <w:t xml:space="preserve"> </w:t>
            </w:r>
            <w:r>
              <w:rPr>
                <w:strike/>
                <w:sz w:val="20"/>
              </w:rPr>
              <w:t>150 numeral 10 de la Constitución Política.</w:t>
            </w:r>
          </w:p>
        </w:tc>
        <w:tc>
          <w:tcPr>
            <w:tcW w:w="3809" w:type="dxa"/>
          </w:tcPr>
          <w:p w14:paraId="1BBE2068" w14:textId="77777777" w:rsidR="000E52B0" w:rsidRDefault="00F60D74">
            <w:pPr>
              <w:pStyle w:val="TableParagraph"/>
              <w:ind w:left="108" w:right="89"/>
              <w:jc w:val="both"/>
              <w:rPr>
                <w:sz w:val="20"/>
              </w:rPr>
            </w:pPr>
            <w:r>
              <w:rPr>
                <w:sz w:val="20"/>
              </w:rPr>
              <w:t>No son necesarias facultades extraordinarias, porque ya existen unas</w:t>
            </w:r>
            <w:r>
              <w:rPr>
                <w:spacing w:val="-18"/>
                <w:sz w:val="20"/>
              </w:rPr>
              <w:t xml:space="preserve"> </w:t>
            </w:r>
            <w:r>
              <w:rPr>
                <w:sz w:val="20"/>
              </w:rPr>
              <w:t>entidades</w:t>
            </w:r>
            <w:r>
              <w:rPr>
                <w:spacing w:val="-17"/>
                <w:sz w:val="20"/>
              </w:rPr>
              <w:t xml:space="preserve"> </w:t>
            </w:r>
            <w:r>
              <w:rPr>
                <w:sz w:val="20"/>
              </w:rPr>
              <w:t>que</w:t>
            </w:r>
            <w:r>
              <w:rPr>
                <w:spacing w:val="-17"/>
                <w:sz w:val="20"/>
              </w:rPr>
              <w:t xml:space="preserve"> </w:t>
            </w:r>
            <w:r>
              <w:rPr>
                <w:sz w:val="20"/>
              </w:rPr>
              <w:t>funcionan</w:t>
            </w:r>
            <w:r>
              <w:rPr>
                <w:spacing w:val="-17"/>
                <w:sz w:val="20"/>
              </w:rPr>
              <w:t xml:space="preserve"> </w:t>
            </w:r>
            <w:r>
              <w:rPr>
                <w:sz w:val="20"/>
              </w:rPr>
              <w:t>como adscritas al Ministerio. El Sector Administrativo de Igualdad y Equidad ya está definido en el artículo 9 de este proyecto.</w:t>
            </w:r>
          </w:p>
        </w:tc>
      </w:tr>
      <w:tr w:rsidR="000E52B0" w14:paraId="58C98FF4" w14:textId="77777777">
        <w:trPr>
          <w:trHeight w:val="2673"/>
        </w:trPr>
        <w:tc>
          <w:tcPr>
            <w:tcW w:w="4712" w:type="dxa"/>
          </w:tcPr>
          <w:p w14:paraId="2FFD196A" w14:textId="77777777" w:rsidR="000E52B0" w:rsidRDefault="00F60D74">
            <w:pPr>
              <w:pStyle w:val="TableParagraph"/>
              <w:ind w:left="107" w:right="91"/>
              <w:jc w:val="both"/>
              <w:rPr>
                <w:sz w:val="20"/>
              </w:rPr>
            </w:pPr>
            <w:r>
              <w:rPr>
                <w:b/>
                <w:color w:val="333333"/>
                <w:sz w:val="20"/>
              </w:rPr>
              <w:t>ARTÍCULO</w:t>
            </w:r>
            <w:r>
              <w:rPr>
                <w:b/>
                <w:color w:val="333333"/>
                <w:spacing w:val="-7"/>
                <w:sz w:val="20"/>
              </w:rPr>
              <w:t xml:space="preserve"> </w:t>
            </w:r>
            <w:r>
              <w:rPr>
                <w:b/>
                <w:color w:val="333333"/>
                <w:sz w:val="20"/>
              </w:rPr>
              <w:t>13.</w:t>
            </w:r>
            <w:r>
              <w:rPr>
                <w:b/>
                <w:color w:val="333333"/>
                <w:spacing w:val="-7"/>
                <w:sz w:val="20"/>
              </w:rPr>
              <w:t xml:space="preserve"> </w:t>
            </w:r>
            <w:r>
              <w:rPr>
                <w:b/>
                <w:color w:val="333333"/>
                <w:sz w:val="20"/>
              </w:rPr>
              <w:t>DERECHOS</w:t>
            </w:r>
            <w:r>
              <w:rPr>
                <w:b/>
                <w:color w:val="333333"/>
                <w:spacing w:val="-9"/>
                <w:sz w:val="20"/>
              </w:rPr>
              <w:t xml:space="preserve"> </w:t>
            </w:r>
            <w:r>
              <w:rPr>
                <w:b/>
                <w:color w:val="333333"/>
                <w:sz w:val="20"/>
              </w:rPr>
              <w:t>LABORALES</w:t>
            </w:r>
            <w:r>
              <w:rPr>
                <w:b/>
                <w:color w:val="333333"/>
                <w:spacing w:val="-7"/>
                <w:sz w:val="20"/>
              </w:rPr>
              <w:t xml:space="preserve"> </w:t>
            </w:r>
            <w:r>
              <w:rPr>
                <w:b/>
                <w:color w:val="333333"/>
                <w:sz w:val="20"/>
              </w:rPr>
              <w:t xml:space="preserve">Y MÍNIMO IMPACTO FISCAL. </w:t>
            </w:r>
            <w:r>
              <w:rPr>
                <w:color w:val="333333"/>
                <w:sz w:val="20"/>
              </w:rPr>
              <w:t>El gobierno nacional en ejercicio de sus facultades permanentes</w:t>
            </w:r>
            <w:r>
              <w:rPr>
                <w:color w:val="333333"/>
                <w:spacing w:val="-12"/>
                <w:sz w:val="20"/>
              </w:rPr>
              <w:t xml:space="preserve"> </w:t>
            </w:r>
            <w:r>
              <w:rPr>
                <w:color w:val="333333"/>
                <w:sz w:val="20"/>
              </w:rPr>
              <w:t>garantizará</w:t>
            </w:r>
            <w:r>
              <w:rPr>
                <w:color w:val="333333"/>
                <w:spacing w:val="-14"/>
                <w:sz w:val="20"/>
              </w:rPr>
              <w:t xml:space="preserve"> </w:t>
            </w:r>
            <w:r>
              <w:rPr>
                <w:color w:val="333333"/>
                <w:sz w:val="20"/>
              </w:rPr>
              <w:t>los</w:t>
            </w:r>
            <w:r>
              <w:rPr>
                <w:color w:val="333333"/>
                <w:spacing w:val="-15"/>
                <w:sz w:val="20"/>
              </w:rPr>
              <w:t xml:space="preserve"> </w:t>
            </w:r>
            <w:r>
              <w:rPr>
                <w:color w:val="333333"/>
                <w:sz w:val="20"/>
              </w:rPr>
              <w:t>derechos</w:t>
            </w:r>
            <w:r>
              <w:rPr>
                <w:color w:val="333333"/>
                <w:spacing w:val="-13"/>
                <w:sz w:val="20"/>
              </w:rPr>
              <w:t xml:space="preserve"> </w:t>
            </w:r>
            <w:r>
              <w:rPr>
                <w:color w:val="333333"/>
                <w:sz w:val="20"/>
              </w:rPr>
              <w:t>de</w:t>
            </w:r>
            <w:r>
              <w:rPr>
                <w:color w:val="333333"/>
                <w:spacing w:val="-15"/>
                <w:sz w:val="20"/>
              </w:rPr>
              <w:t xml:space="preserve"> </w:t>
            </w:r>
            <w:r>
              <w:rPr>
                <w:color w:val="333333"/>
                <w:sz w:val="20"/>
              </w:rPr>
              <w:t>las servidoras</w:t>
            </w:r>
            <w:r>
              <w:rPr>
                <w:color w:val="333333"/>
                <w:spacing w:val="-6"/>
                <w:sz w:val="20"/>
              </w:rPr>
              <w:t xml:space="preserve"> </w:t>
            </w:r>
            <w:r>
              <w:rPr>
                <w:color w:val="333333"/>
                <w:sz w:val="20"/>
              </w:rPr>
              <w:t>y</w:t>
            </w:r>
            <w:r>
              <w:rPr>
                <w:color w:val="333333"/>
                <w:spacing w:val="-6"/>
                <w:sz w:val="20"/>
              </w:rPr>
              <w:t xml:space="preserve"> </w:t>
            </w:r>
            <w:r>
              <w:rPr>
                <w:color w:val="333333"/>
                <w:sz w:val="20"/>
              </w:rPr>
              <w:t>servidores</w:t>
            </w:r>
            <w:r>
              <w:rPr>
                <w:color w:val="333333"/>
                <w:spacing w:val="-6"/>
                <w:sz w:val="20"/>
              </w:rPr>
              <w:t xml:space="preserve"> </w:t>
            </w:r>
            <w:r>
              <w:rPr>
                <w:color w:val="333333"/>
                <w:sz w:val="20"/>
              </w:rPr>
              <w:t>públicos,</w:t>
            </w:r>
            <w:r>
              <w:rPr>
                <w:color w:val="333333"/>
                <w:spacing w:val="-6"/>
                <w:sz w:val="20"/>
              </w:rPr>
              <w:t xml:space="preserve"> </w:t>
            </w:r>
            <w:r>
              <w:rPr>
                <w:color w:val="333333"/>
                <w:sz w:val="20"/>
              </w:rPr>
              <w:t>en</w:t>
            </w:r>
            <w:r>
              <w:rPr>
                <w:color w:val="333333"/>
                <w:spacing w:val="-5"/>
                <w:sz w:val="20"/>
              </w:rPr>
              <w:t xml:space="preserve"> </w:t>
            </w:r>
            <w:r>
              <w:rPr>
                <w:color w:val="333333"/>
                <w:sz w:val="20"/>
              </w:rPr>
              <w:t>especial de</w:t>
            </w:r>
            <w:r>
              <w:rPr>
                <w:color w:val="333333"/>
                <w:spacing w:val="-4"/>
                <w:sz w:val="20"/>
              </w:rPr>
              <w:t xml:space="preserve"> </w:t>
            </w:r>
            <w:r>
              <w:rPr>
                <w:color w:val="333333"/>
                <w:sz w:val="20"/>
              </w:rPr>
              <w:t>aquellos</w:t>
            </w:r>
            <w:r>
              <w:rPr>
                <w:color w:val="333333"/>
                <w:spacing w:val="-1"/>
                <w:sz w:val="20"/>
              </w:rPr>
              <w:t xml:space="preserve"> </w:t>
            </w:r>
            <w:r>
              <w:rPr>
                <w:color w:val="333333"/>
                <w:sz w:val="20"/>
              </w:rPr>
              <w:t>que estén inscritos</w:t>
            </w:r>
            <w:r>
              <w:rPr>
                <w:color w:val="333333"/>
                <w:spacing w:val="-1"/>
                <w:sz w:val="20"/>
              </w:rPr>
              <w:t xml:space="preserve"> </w:t>
            </w:r>
            <w:r>
              <w:rPr>
                <w:color w:val="333333"/>
                <w:sz w:val="20"/>
              </w:rPr>
              <w:t>en la</w:t>
            </w:r>
            <w:r>
              <w:rPr>
                <w:color w:val="333333"/>
                <w:spacing w:val="-2"/>
                <w:sz w:val="20"/>
              </w:rPr>
              <w:t xml:space="preserve"> </w:t>
            </w:r>
            <w:r>
              <w:rPr>
                <w:color w:val="333333"/>
                <w:sz w:val="20"/>
              </w:rPr>
              <w:t xml:space="preserve">carrera administrativa, propiciando la paridad de género y la inclusión de personas con </w:t>
            </w:r>
            <w:r>
              <w:rPr>
                <w:color w:val="333333"/>
                <w:spacing w:val="-2"/>
                <w:sz w:val="20"/>
              </w:rPr>
              <w:t>discapacidad.</w:t>
            </w:r>
          </w:p>
          <w:p w14:paraId="1BC4B999" w14:textId="77777777" w:rsidR="000E52B0" w:rsidRDefault="00F60D74">
            <w:pPr>
              <w:pStyle w:val="TableParagraph"/>
              <w:spacing w:line="244" w:lineRule="exact"/>
              <w:ind w:left="107" w:right="92"/>
              <w:jc w:val="both"/>
              <w:rPr>
                <w:sz w:val="20"/>
              </w:rPr>
            </w:pPr>
            <w:r>
              <w:rPr>
                <w:color w:val="333333"/>
                <w:sz w:val="20"/>
              </w:rPr>
              <w:t xml:space="preserve">De conformidad con los estudios que </w:t>
            </w:r>
            <w:proofErr w:type="gramStart"/>
            <w:r>
              <w:rPr>
                <w:color w:val="333333"/>
                <w:sz w:val="20"/>
              </w:rPr>
              <w:t>generen</w:t>
            </w:r>
            <w:r>
              <w:rPr>
                <w:color w:val="333333"/>
                <w:spacing w:val="24"/>
                <w:sz w:val="20"/>
              </w:rPr>
              <w:t xml:space="preserve">  </w:t>
            </w:r>
            <w:r>
              <w:rPr>
                <w:color w:val="333333"/>
                <w:sz w:val="20"/>
              </w:rPr>
              <w:t>sobre</w:t>
            </w:r>
            <w:proofErr w:type="gramEnd"/>
            <w:r>
              <w:rPr>
                <w:color w:val="333333"/>
                <w:spacing w:val="23"/>
                <w:sz w:val="20"/>
              </w:rPr>
              <w:t xml:space="preserve">  </w:t>
            </w:r>
            <w:proofErr w:type="gramStart"/>
            <w:r>
              <w:rPr>
                <w:color w:val="333333"/>
                <w:sz w:val="20"/>
              </w:rPr>
              <w:t>el</w:t>
            </w:r>
            <w:r>
              <w:rPr>
                <w:color w:val="333333"/>
                <w:spacing w:val="24"/>
                <w:sz w:val="20"/>
              </w:rPr>
              <w:t xml:space="preserve">  </w:t>
            </w:r>
            <w:r>
              <w:rPr>
                <w:color w:val="333333"/>
                <w:sz w:val="20"/>
              </w:rPr>
              <w:t>funcionamiento</w:t>
            </w:r>
            <w:proofErr w:type="gramEnd"/>
            <w:r>
              <w:rPr>
                <w:color w:val="333333"/>
                <w:spacing w:val="23"/>
                <w:sz w:val="20"/>
              </w:rPr>
              <w:t xml:space="preserve">  </w:t>
            </w:r>
            <w:proofErr w:type="gramStart"/>
            <w:r>
              <w:rPr>
                <w:color w:val="333333"/>
                <w:sz w:val="20"/>
              </w:rPr>
              <w:t>de</w:t>
            </w:r>
            <w:r>
              <w:rPr>
                <w:color w:val="333333"/>
                <w:spacing w:val="24"/>
                <w:sz w:val="20"/>
              </w:rPr>
              <w:t xml:space="preserve">  </w:t>
            </w:r>
            <w:r>
              <w:rPr>
                <w:color w:val="333333"/>
                <w:spacing w:val="-5"/>
                <w:sz w:val="20"/>
              </w:rPr>
              <w:t>la</w:t>
            </w:r>
            <w:proofErr w:type="gramEnd"/>
          </w:p>
        </w:tc>
        <w:tc>
          <w:tcPr>
            <w:tcW w:w="4723" w:type="dxa"/>
          </w:tcPr>
          <w:p w14:paraId="6510DE00" w14:textId="77777777" w:rsidR="000E52B0" w:rsidRDefault="00F60D74">
            <w:pPr>
              <w:pStyle w:val="TableParagraph"/>
              <w:ind w:left="107" w:right="85"/>
              <w:jc w:val="both"/>
              <w:rPr>
                <w:sz w:val="20"/>
              </w:rPr>
            </w:pPr>
            <w:r>
              <w:rPr>
                <w:b/>
                <w:color w:val="333333"/>
                <w:sz w:val="20"/>
              </w:rPr>
              <w:t>ARTÍCULO</w:t>
            </w:r>
            <w:r>
              <w:rPr>
                <w:b/>
                <w:color w:val="333333"/>
                <w:spacing w:val="-1"/>
                <w:sz w:val="20"/>
              </w:rPr>
              <w:t xml:space="preserve"> </w:t>
            </w:r>
            <w:r>
              <w:rPr>
                <w:b/>
                <w:color w:val="333333"/>
                <w:sz w:val="20"/>
              </w:rPr>
              <w:t>1</w:t>
            </w:r>
            <w:r>
              <w:rPr>
                <w:b/>
                <w:color w:val="333333"/>
                <w:sz w:val="20"/>
                <w:u w:val="single" w:color="333333"/>
              </w:rPr>
              <w:t>2</w:t>
            </w:r>
            <w:r>
              <w:rPr>
                <w:b/>
                <w:color w:val="333333"/>
                <w:sz w:val="20"/>
              </w:rPr>
              <w:t>.</w:t>
            </w:r>
            <w:r>
              <w:rPr>
                <w:b/>
                <w:color w:val="333333"/>
                <w:spacing w:val="-5"/>
                <w:sz w:val="20"/>
              </w:rPr>
              <w:t xml:space="preserve"> </w:t>
            </w:r>
            <w:r>
              <w:rPr>
                <w:b/>
                <w:color w:val="333333"/>
                <w:sz w:val="20"/>
              </w:rPr>
              <w:t>DERECHOS</w:t>
            </w:r>
            <w:r>
              <w:rPr>
                <w:b/>
                <w:color w:val="333333"/>
                <w:spacing w:val="-5"/>
                <w:sz w:val="20"/>
              </w:rPr>
              <w:t xml:space="preserve"> </w:t>
            </w:r>
            <w:r>
              <w:rPr>
                <w:b/>
                <w:color w:val="333333"/>
                <w:sz w:val="20"/>
              </w:rPr>
              <w:t>LABORALES</w:t>
            </w:r>
            <w:r>
              <w:rPr>
                <w:b/>
                <w:color w:val="333333"/>
                <w:spacing w:val="-2"/>
                <w:sz w:val="20"/>
              </w:rPr>
              <w:t xml:space="preserve"> </w:t>
            </w:r>
            <w:r>
              <w:rPr>
                <w:b/>
                <w:color w:val="333333"/>
                <w:sz w:val="20"/>
              </w:rPr>
              <w:t>Y MÍNIMO</w:t>
            </w:r>
            <w:r>
              <w:rPr>
                <w:b/>
                <w:color w:val="333333"/>
                <w:spacing w:val="58"/>
                <w:sz w:val="20"/>
              </w:rPr>
              <w:t xml:space="preserve"> </w:t>
            </w:r>
            <w:r>
              <w:rPr>
                <w:b/>
                <w:color w:val="333333"/>
                <w:sz w:val="20"/>
              </w:rPr>
              <w:t>IMPACTO</w:t>
            </w:r>
            <w:r>
              <w:rPr>
                <w:b/>
                <w:color w:val="333333"/>
                <w:spacing w:val="58"/>
                <w:sz w:val="20"/>
              </w:rPr>
              <w:t xml:space="preserve"> </w:t>
            </w:r>
            <w:r>
              <w:rPr>
                <w:b/>
                <w:color w:val="333333"/>
                <w:sz w:val="20"/>
              </w:rPr>
              <w:t>FISCAL.</w:t>
            </w:r>
            <w:r>
              <w:rPr>
                <w:b/>
                <w:color w:val="333333"/>
                <w:spacing w:val="63"/>
                <w:sz w:val="20"/>
              </w:rPr>
              <w:t xml:space="preserve"> </w:t>
            </w:r>
            <w:r>
              <w:rPr>
                <w:color w:val="333333"/>
                <w:sz w:val="20"/>
              </w:rPr>
              <w:t>El</w:t>
            </w:r>
            <w:r>
              <w:rPr>
                <w:color w:val="333333"/>
                <w:spacing w:val="58"/>
                <w:sz w:val="20"/>
              </w:rPr>
              <w:t xml:space="preserve"> </w:t>
            </w:r>
            <w:r>
              <w:rPr>
                <w:b/>
                <w:color w:val="333333"/>
                <w:spacing w:val="-2"/>
                <w:sz w:val="20"/>
                <w:u w:val="single" w:color="333333"/>
              </w:rPr>
              <w:t>G</w:t>
            </w:r>
            <w:r>
              <w:rPr>
                <w:color w:val="333333"/>
                <w:spacing w:val="-2"/>
                <w:sz w:val="20"/>
              </w:rPr>
              <w:t>obierno</w:t>
            </w:r>
          </w:p>
          <w:p w14:paraId="53218169" w14:textId="77777777" w:rsidR="000E52B0" w:rsidRDefault="00F60D74">
            <w:pPr>
              <w:pStyle w:val="TableParagraph"/>
              <w:ind w:left="107" w:right="85"/>
              <w:jc w:val="both"/>
              <w:rPr>
                <w:sz w:val="20"/>
              </w:rPr>
            </w:pPr>
            <w:r>
              <w:rPr>
                <w:noProof/>
                <w:sz w:val="20"/>
              </w:rPr>
              <mc:AlternateContent>
                <mc:Choice Requires="wpg">
                  <w:drawing>
                    <wp:anchor distT="0" distB="0" distL="0" distR="0" simplePos="0" relativeHeight="482330112" behindDoc="1" locked="0" layoutInCell="1" allowOverlap="1" wp14:anchorId="538793D4" wp14:editId="133F1DAF">
                      <wp:simplePos x="0" y="0"/>
                      <wp:positionH relativeFrom="column">
                        <wp:posOffset>620268</wp:posOffset>
                      </wp:positionH>
                      <wp:positionV relativeFrom="paragraph">
                        <wp:posOffset>136826</wp:posOffset>
                      </wp:positionV>
                      <wp:extent cx="45720" cy="13970"/>
                      <wp:effectExtent l="0" t="0" r="0" b="0"/>
                      <wp:wrapNone/>
                      <wp:docPr id="810"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13970"/>
                                <a:chOff x="0" y="0"/>
                                <a:chExt cx="45720" cy="13970"/>
                              </a:xfrm>
                            </wpg:grpSpPr>
                            <wps:wsp>
                              <wps:cNvPr id="811" name="Graphic 811"/>
                              <wps:cNvSpPr/>
                              <wps:spPr>
                                <a:xfrm>
                                  <a:off x="0" y="0"/>
                                  <a:ext cx="45720" cy="13970"/>
                                </a:xfrm>
                                <a:custGeom>
                                  <a:avLst/>
                                  <a:gdLst/>
                                  <a:ahLst/>
                                  <a:cxnLst/>
                                  <a:rect l="l" t="t" r="r" b="b"/>
                                  <a:pathLst>
                                    <a:path w="45720" h="13970">
                                      <a:moveTo>
                                        <a:pt x="45720" y="0"/>
                                      </a:moveTo>
                                      <a:lnTo>
                                        <a:pt x="0" y="0"/>
                                      </a:lnTo>
                                      <a:lnTo>
                                        <a:pt x="0" y="13716"/>
                                      </a:lnTo>
                                      <a:lnTo>
                                        <a:pt x="45720" y="13716"/>
                                      </a:lnTo>
                                      <a:lnTo>
                                        <a:pt x="45720" y="0"/>
                                      </a:lnTo>
                                      <a:close/>
                                    </a:path>
                                  </a:pathLst>
                                </a:custGeom>
                                <a:solidFill>
                                  <a:srgbClr val="333333"/>
                                </a:solidFill>
                              </wps:spPr>
                              <wps:bodyPr wrap="square" lIns="0" tIns="0" rIns="0" bIns="0" rtlCol="0">
                                <a:prstTxWarp prst="textNoShape">
                                  <a:avLst/>
                                </a:prstTxWarp>
                                <a:noAutofit/>
                              </wps:bodyPr>
                            </wps:wsp>
                          </wpg:wgp>
                        </a:graphicData>
                      </a:graphic>
                    </wp:anchor>
                  </w:drawing>
                </mc:Choice>
                <mc:Fallback>
                  <w:pict>
                    <v:group w14:anchorId="052BF329" id="Group 810" o:spid="_x0000_s1026" style="position:absolute;margin-left:48.85pt;margin-top:10.75pt;width:3.6pt;height:1.1pt;z-index:-20986368;mso-wrap-distance-left:0;mso-wrap-distance-right:0" coordsize="4572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">
                      <v:shape id="Graphic 811" o:spid="_x0000_s1027" style="position:absolute;width:45720;height:13970;visibility:visible;mso-wrap-style:square;v-text-anchor:top" coordsize="4572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" path="m45720,l,,,13716r45720,l45720,xe" fillcolor="#333" stroked="f">
                        <v:path arrowok="t"/>
                      </v:shape>
                    </v:group>
                  </w:pict>
                </mc:Fallback>
              </mc:AlternateContent>
            </w:r>
            <w:r>
              <w:rPr>
                <w:noProof/>
                <w:sz w:val="20"/>
              </w:rPr>
              <mc:AlternateContent>
                <mc:Choice Requires="wpg">
                  <w:drawing>
                    <wp:anchor distT="0" distB="0" distL="0" distR="0" simplePos="0" relativeHeight="482330624" behindDoc="1" locked="0" layoutInCell="1" allowOverlap="1" wp14:anchorId="77628B1A" wp14:editId="1A7F5E0E">
                      <wp:simplePos x="0" y="0"/>
                      <wp:positionH relativeFrom="column">
                        <wp:posOffset>903732</wp:posOffset>
                      </wp:positionH>
                      <wp:positionV relativeFrom="paragraph">
                        <wp:posOffset>292274</wp:posOffset>
                      </wp:positionV>
                      <wp:extent cx="47625" cy="13970"/>
                      <wp:effectExtent l="0" t="0" r="0" b="0"/>
                      <wp:wrapNone/>
                      <wp:docPr id="81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13970"/>
                                <a:chOff x="0" y="0"/>
                                <a:chExt cx="47625" cy="13970"/>
                              </a:xfrm>
                            </wpg:grpSpPr>
                            <wps:wsp>
                              <wps:cNvPr id="813" name="Graphic 813"/>
                              <wps:cNvSpPr/>
                              <wps:spPr>
                                <a:xfrm>
                                  <a:off x="0" y="0"/>
                                  <a:ext cx="47625" cy="13970"/>
                                </a:xfrm>
                                <a:custGeom>
                                  <a:avLst/>
                                  <a:gdLst/>
                                  <a:ahLst/>
                                  <a:cxnLst/>
                                  <a:rect l="l" t="t" r="r" b="b"/>
                                  <a:pathLst>
                                    <a:path w="47625" h="13970">
                                      <a:moveTo>
                                        <a:pt x="47244" y="0"/>
                                      </a:moveTo>
                                      <a:lnTo>
                                        <a:pt x="0" y="0"/>
                                      </a:lnTo>
                                      <a:lnTo>
                                        <a:pt x="0" y="13716"/>
                                      </a:lnTo>
                                      <a:lnTo>
                                        <a:pt x="47244" y="13716"/>
                                      </a:lnTo>
                                      <a:lnTo>
                                        <a:pt x="47244" y="0"/>
                                      </a:lnTo>
                                      <a:close/>
                                    </a:path>
                                  </a:pathLst>
                                </a:custGeom>
                                <a:solidFill>
                                  <a:srgbClr val="333333"/>
                                </a:solidFill>
                              </wps:spPr>
                              <wps:bodyPr wrap="square" lIns="0" tIns="0" rIns="0" bIns="0" rtlCol="0">
                                <a:prstTxWarp prst="textNoShape">
                                  <a:avLst/>
                                </a:prstTxWarp>
                                <a:noAutofit/>
                              </wps:bodyPr>
                            </wps:wsp>
                          </wpg:wgp>
                        </a:graphicData>
                      </a:graphic>
                    </wp:anchor>
                  </w:drawing>
                </mc:Choice>
                <mc:Fallback>
                  <w:pict>
                    <v:group w14:anchorId="01C6ACBE" id="Group 812" o:spid="_x0000_s1026" style="position:absolute;margin-left:71.15pt;margin-top:23pt;width:3.75pt;height:1.1pt;z-index:-20985856;mso-wrap-distance-left:0;mso-wrap-distance-right:0" coordsize="4762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">
                      <v:shape id="Graphic 813" o:spid="_x0000_s1027" style="position:absolute;width:47625;height:13970;visibility:visible;mso-wrap-style:square;v-text-anchor:top" coordsize="4762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" path="m47244,l,,,13716r47244,l47244,xe" fillcolor="#333" stroked="f">
                        <v:path arrowok="t"/>
                      </v:shape>
                    </v:group>
                  </w:pict>
                </mc:Fallback>
              </mc:AlternateContent>
            </w:r>
            <w:r>
              <w:rPr>
                <w:noProof/>
                <w:sz w:val="20"/>
              </w:rPr>
              <mc:AlternateContent>
                <mc:Choice Requires="wpg">
                  <w:drawing>
                    <wp:anchor distT="0" distB="0" distL="0" distR="0" simplePos="0" relativeHeight="482331136" behindDoc="1" locked="0" layoutInCell="1" allowOverlap="1" wp14:anchorId="2348116F" wp14:editId="1ED19AB4">
                      <wp:simplePos x="0" y="0"/>
                      <wp:positionH relativeFrom="column">
                        <wp:posOffset>2885186</wp:posOffset>
                      </wp:positionH>
                      <wp:positionV relativeFrom="paragraph">
                        <wp:posOffset>446198</wp:posOffset>
                      </wp:positionV>
                      <wp:extent cx="47625" cy="13970"/>
                      <wp:effectExtent l="0" t="0" r="0" b="0"/>
                      <wp:wrapNone/>
                      <wp:docPr id="81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13970"/>
                                <a:chOff x="0" y="0"/>
                                <a:chExt cx="47625" cy="13970"/>
                              </a:xfrm>
                            </wpg:grpSpPr>
                            <wps:wsp>
                              <wps:cNvPr id="815" name="Graphic 815"/>
                              <wps:cNvSpPr/>
                              <wps:spPr>
                                <a:xfrm>
                                  <a:off x="0" y="0"/>
                                  <a:ext cx="47625" cy="13970"/>
                                </a:xfrm>
                                <a:custGeom>
                                  <a:avLst/>
                                  <a:gdLst/>
                                  <a:ahLst/>
                                  <a:cxnLst/>
                                  <a:rect l="l" t="t" r="r" b="b"/>
                                  <a:pathLst>
                                    <a:path w="47625" h="13970">
                                      <a:moveTo>
                                        <a:pt x="47244" y="0"/>
                                      </a:moveTo>
                                      <a:lnTo>
                                        <a:pt x="0" y="0"/>
                                      </a:lnTo>
                                      <a:lnTo>
                                        <a:pt x="0" y="13716"/>
                                      </a:lnTo>
                                      <a:lnTo>
                                        <a:pt x="47244" y="13716"/>
                                      </a:lnTo>
                                      <a:lnTo>
                                        <a:pt x="47244" y="0"/>
                                      </a:lnTo>
                                      <a:close/>
                                    </a:path>
                                  </a:pathLst>
                                </a:custGeom>
                                <a:solidFill>
                                  <a:srgbClr val="333333"/>
                                </a:solidFill>
                              </wps:spPr>
                              <wps:bodyPr wrap="square" lIns="0" tIns="0" rIns="0" bIns="0" rtlCol="0">
                                <a:prstTxWarp prst="textNoShape">
                                  <a:avLst/>
                                </a:prstTxWarp>
                                <a:noAutofit/>
                              </wps:bodyPr>
                            </wps:wsp>
                          </wpg:wgp>
                        </a:graphicData>
                      </a:graphic>
                    </wp:anchor>
                  </w:drawing>
                </mc:Choice>
                <mc:Fallback>
                  <w:pict>
                    <v:group w14:anchorId="75BD50E4" id="Group 814" o:spid="_x0000_s1026" style="position:absolute;margin-left:227.2pt;margin-top:35.15pt;width:3.75pt;height:1.1pt;z-index:-20985344;mso-wrap-distance-left:0;mso-wrap-distance-right:0" coordsize="4762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">
                      <v:shape id="Graphic 815" o:spid="_x0000_s1027" style="position:absolute;width:47625;height:13970;visibility:visible;mso-wrap-style:square;v-text-anchor:top" coordsize="4762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" path="m47244,l,,,13716r47244,l47244,xe" fillcolor="#333" stroked="f">
                        <v:path arrowok="t"/>
                      </v:shape>
                    </v:group>
                  </w:pict>
                </mc:Fallback>
              </mc:AlternateContent>
            </w:r>
            <w:r>
              <w:rPr>
                <w:b/>
                <w:color w:val="333333"/>
                <w:sz w:val="20"/>
                <w:u w:val="single" w:color="333333"/>
              </w:rPr>
              <w:t>N</w:t>
            </w:r>
            <w:r>
              <w:rPr>
                <w:color w:val="333333"/>
                <w:sz w:val="20"/>
              </w:rPr>
              <w:t>acional</w:t>
            </w:r>
            <w:r>
              <w:rPr>
                <w:b/>
                <w:color w:val="333333"/>
                <w:sz w:val="20"/>
              </w:rPr>
              <w:t xml:space="preserve">, </w:t>
            </w:r>
            <w:r>
              <w:rPr>
                <w:color w:val="333333"/>
                <w:sz w:val="20"/>
              </w:rPr>
              <w:t xml:space="preserve">en ejercicio de sus facultades </w:t>
            </w:r>
            <w:r>
              <w:rPr>
                <w:color w:val="333333"/>
                <w:spacing w:val="-2"/>
                <w:sz w:val="20"/>
              </w:rPr>
              <w:t>permanentes</w:t>
            </w:r>
            <w:r>
              <w:rPr>
                <w:b/>
                <w:color w:val="333333"/>
                <w:spacing w:val="-2"/>
                <w:sz w:val="20"/>
              </w:rPr>
              <w:t>,</w:t>
            </w:r>
            <w:r>
              <w:rPr>
                <w:b/>
                <w:color w:val="333333"/>
                <w:spacing w:val="-5"/>
                <w:sz w:val="20"/>
              </w:rPr>
              <w:t xml:space="preserve"> </w:t>
            </w:r>
            <w:r>
              <w:rPr>
                <w:color w:val="333333"/>
                <w:spacing w:val="-2"/>
                <w:sz w:val="20"/>
              </w:rPr>
              <w:t>garantizará</w:t>
            </w:r>
            <w:r>
              <w:rPr>
                <w:color w:val="333333"/>
                <w:spacing w:val="-10"/>
                <w:sz w:val="20"/>
              </w:rPr>
              <w:t xml:space="preserve"> </w:t>
            </w:r>
            <w:r>
              <w:rPr>
                <w:color w:val="333333"/>
                <w:spacing w:val="-2"/>
                <w:sz w:val="20"/>
              </w:rPr>
              <w:t>los</w:t>
            </w:r>
            <w:r>
              <w:rPr>
                <w:color w:val="333333"/>
                <w:spacing w:val="-11"/>
                <w:sz w:val="20"/>
              </w:rPr>
              <w:t xml:space="preserve"> </w:t>
            </w:r>
            <w:r>
              <w:rPr>
                <w:color w:val="333333"/>
                <w:spacing w:val="-2"/>
                <w:sz w:val="20"/>
              </w:rPr>
              <w:t>derechos</w:t>
            </w:r>
            <w:r>
              <w:rPr>
                <w:color w:val="333333"/>
                <w:spacing w:val="-8"/>
                <w:sz w:val="20"/>
              </w:rPr>
              <w:t xml:space="preserve"> </w:t>
            </w:r>
            <w:r>
              <w:rPr>
                <w:color w:val="333333"/>
                <w:spacing w:val="-2"/>
                <w:sz w:val="20"/>
              </w:rPr>
              <w:t>de</w:t>
            </w:r>
            <w:r>
              <w:rPr>
                <w:color w:val="333333"/>
                <w:spacing w:val="-9"/>
                <w:sz w:val="20"/>
              </w:rPr>
              <w:t xml:space="preserve"> </w:t>
            </w:r>
            <w:r>
              <w:rPr>
                <w:color w:val="333333"/>
                <w:spacing w:val="-2"/>
                <w:sz w:val="20"/>
              </w:rPr>
              <w:t xml:space="preserve">las </w:t>
            </w:r>
            <w:r>
              <w:rPr>
                <w:color w:val="333333"/>
                <w:sz w:val="20"/>
              </w:rPr>
              <w:t>servidoras</w:t>
            </w:r>
            <w:r>
              <w:rPr>
                <w:color w:val="333333"/>
                <w:spacing w:val="-18"/>
                <w:sz w:val="20"/>
              </w:rPr>
              <w:t xml:space="preserve"> </w:t>
            </w:r>
            <w:r>
              <w:rPr>
                <w:color w:val="333333"/>
                <w:sz w:val="20"/>
              </w:rPr>
              <w:t>y</w:t>
            </w:r>
            <w:r>
              <w:rPr>
                <w:color w:val="333333"/>
                <w:spacing w:val="-16"/>
                <w:sz w:val="20"/>
              </w:rPr>
              <w:t xml:space="preserve"> </w:t>
            </w:r>
            <w:r>
              <w:rPr>
                <w:color w:val="333333"/>
                <w:sz w:val="20"/>
              </w:rPr>
              <w:t>servidores</w:t>
            </w:r>
            <w:r>
              <w:rPr>
                <w:color w:val="333333"/>
                <w:spacing w:val="-16"/>
                <w:sz w:val="20"/>
              </w:rPr>
              <w:t xml:space="preserve"> </w:t>
            </w:r>
            <w:r>
              <w:rPr>
                <w:color w:val="333333"/>
                <w:sz w:val="20"/>
              </w:rPr>
              <w:t>públicos,</w:t>
            </w:r>
            <w:r>
              <w:rPr>
                <w:color w:val="333333"/>
                <w:spacing w:val="-18"/>
                <w:sz w:val="20"/>
              </w:rPr>
              <w:t xml:space="preserve"> </w:t>
            </w:r>
            <w:r>
              <w:rPr>
                <w:color w:val="333333"/>
                <w:sz w:val="20"/>
              </w:rPr>
              <w:t>en</w:t>
            </w:r>
            <w:r>
              <w:rPr>
                <w:color w:val="333333"/>
                <w:spacing w:val="-14"/>
                <w:sz w:val="20"/>
              </w:rPr>
              <w:t xml:space="preserve"> </w:t>
            </w:r>
            <w:r>
              <w:rPr>
                <w:color w:val="333333"/>
                <w:sz w:val="20"/>
              </w:rPr>
              <w:t>especial</w:t>
            </w:r>
            <w:r>
              <w:rPr>
                <w:b/>
                <w:color w:val="333333"/>
                <w:sz w:val="20"/>
              </w:rPr>
              <w:t xml:space="preserve">, </w:t>
            </w:r>
            <w:r>
              <w:rPr>
                <w:color w:val="333333"/>
                <w:sz w:val="20"/>
              </w:rPr>
              <w:t xml:space="preserve">de aquellos que estén inscritos en la carrera administrativa, propiciando la paridad de género y la inclusión de personas con </w:t>
            </w:r>
            <w:r>
              <w:rPr>
                <w:color w:val="333333"/>
                <w:spacing w:val="-2"/>
                <w:sz w:val="20"/>
              </w:rPr>
              <w:t>discapacidad.</w:t>
            </w:r>
          </w:p>
          <w:p w14:paraId="476E8A10" w14:textId="77777777" w:rsidR="000E52B0" w:rsidRDefault="00F60D74">
            <w:pPr>
              <w:pStyle w:val="TableParagraph"/>
              <w:ind w:left="107"/>
              <w:jc w:val="both"/>
              <w:rPr>
                <w:b/>
                <w:sz w:val="20"/>
              </w:rPr>
            </w:pPr>
            <w:r>
              <w:rPr>
                <w:color w:val="333333"/>
                <w:sz w:val="20"/>
              </w:rPr>
              <w:t>De</w:t>
            </w:r>
            <w:r>
              <w:rPr>
                <w:color w:val="333333"/>
                <w:spacing w:val="74"/>
                <w:sz w:val="20"/>
              </w:rPr>
              <w:t xml:space="preserve"> </w:t>
            </w:r>
            <w:r>
              <w:rPr>
                <w:color w:val="333333"/>
                <w:sz w:val="20"/>
              </w:rPr>
              <w:t>conformidad</w:t>
            </w:r>
            <w:r>
              <w:rPr>
                <w:color w:val="333333"/>
                <w:spacing w:val="73"/>
                <w:sz w:val="20"/>
              </w:rPr>
              <w:t xml:space="preserve"> </w:t>
            </w:r>
            <w:r>
              <w:rPr>
                <w:color w:val="333333"/>
                <w:sz w:val="20"/>
              </w:rPr>
              <w:t>con</w:t>
            </w:r>
            <w:r>
              <w:rPr>
                <w:color w:val="333333"/>
                <w:spacing w:val="74"/>
                <w:sz w:val="20"/>
              </w:rPr>
              <w:t xml:space="preserve"> </w:t>
            </w:r>
            <w:r>
              <w:rPr>
                <w:color w:val="333333"/>
                <w:sz w:val="20"/>
              </w:rPr>
              <w:t>los</w:t>
            </w:r>
            <w:r>
              <w:rPr>
                <w:color w:val="333333"/>
                <w:spacing w:val="74"/>
                <w:sz w:val="20"/>
              </w:rPr>
              <w:t xml:space="preserve"> </w:t>
            </w:r>
            <w:r>
              <w:rPr>
                <w:color w:val="333333"/>
                <w:sz w:val="20"/>
              </w:rPr>
              <w:t>estudios</w:t>
            </w:r>
            <w:r>
              <w:rPr>
                <w:color w:val="333333"/>
                <w:spacing w:val="72"/>
                <w:sz w:val="20"/>
              </w:rPr>
              <w:t xml:space="preserve"> </w:t>
            </w:r>
            <w:r>
              <w:rPr>
                <w:color w:val="333333"/>
                <w:sz w:val="20"/>
              </w:rPr>
              <w:t>que</w:t>
            </w:r>
            <w:r>
              <w:rPr>
                <w:color w:val="333333"/>
                <w:spacing w:val="79"/>
                <w:sz w:val="20"/>
              </w:rPr>
              <w:t xml:space="preserve"> </w:t>
            </w:r>
            <w:r>
              <w:rPr>
                <w:b/>
                <w:color w:val="333333"/>
                <w:spacing w:val="-5"/>
                <w:sz w:val="20"/>
                <w:u w:val="single" w:color="333333"/>
              </w:rPr>
              <w:t>se</w:t>
            </w:r>
          </w:p>
          <w:p w14:paraId="76B35762" w14:textId="77777777" w:rsidR="000E52B0" w:rsidRDefault="00F60D74">
            <w:pPr>
              <w:pStyle w:val="TableParagraph"/>
              <w:spacing w:before="1" w:line="221" w:lineRule="exact"/>
              <w:ind w:left="107"/>
              <w:jc w:val="both"/>
              <w:rPr>
                <w:sz w:val="20"/>
              </w:rPr>
            </w:pPr>
            <w:proofErr w:type="gramStart"/>
            <w:r>
              <w:rPr>
                <w:color w:val="333333"/>
                <w:sz w:val="20"/>
              </w:rPr>
              <w:t>generen</w:t>
            </w:r>
            <w:r>
              <w:rPr>
                <w:color w:val="333333"/>
                <w:spacing w:val="25"/>
                <w:sz w:val="20"/>
              </w:rPr>
              <w:t xml:space="preserve">  </w:t>
            </w:r>
            <w:r>
              <w:rPr>
                <w:color w:val="333333"/>
                <w:sz w:val="20"/>
              </w:rPr>
              <w:t>sobre</w:t>
            </w:r>
            <w:proofErr w:type="gramEnd"/>
            <w:r>
              <w:rPr>
                <w:color w:val="333333"/>
                <w:spacing w:val="26"/>
                <w:sz w:val="20"/>
              </w:rPr>
              <w:t xml:space="preserve">  </w:t>
            </w:r>
            <w:proofErr w:type="gramStart"/>
            <w:r>
              <w:rPr>
                <w:color w:val="333333"/>
                <w:sz w:val="20"/>
              </w:rPr>
              <w:t>el</w:t>
            </w:r>
            <w:r>
              <w:rPr>
                <w:color w:val="333333"/>
                <w:spacing w:val="25"/>
                <w:sz w:val="20"/>
              </w:rPr>
              <w:t xml:space="preserve">  </w:t>
            </w:r>
            <w:r>
              <w:rPr>
                <w:color w:val="333333"/>
                <w:sz w:val="20"/>
              </w:rPr>
              <w:t>funcionamiento</w:t>
            </w:r>
            <w:proofErr w:type="gramEnd"/>
            <w:r>
              <w:rPr>
                <w:color w:val="333333"/>
                <w:spacing w:val="25"/>
                <w:sz w:val="20"/>
              </w:rPr>
              <w:t xml:space="preserve">  </w:t>
            </w:r>
            <w:proofErr w:type="gramStart"/>
            <w:r>
              <w:rPr>
                <w:color w:val="333333"/>
                <w:sz w:val="20"/>
              </w:rPr>
              <w:t>de</w:t>
            </w:r>
            <w:r>
              <w:rPr>
                <w:color w:val="333333"/>
                <w:spacing w:val="25"/>
                <w:sz w:val="20"/>
              </w:rPr>
              <w:t xml:space="preserve">  </w:t>
            </w:r>
            <w:r>
              <w:rPr>
                <w:color w:val="333333"/>
                <w:spacing w:val="-5"/>
                <w:sz w:val="20"/>
              </w:rPr>
              <w:t>la</w:t>
            </w:r>
            <w:proofErr w:type="gramEnd"/>
          </w:p>
        </w:tc>
        <w:tc>
          <w:tcPr>
            <w:tcW w:w="3809" w:type="dxa"/>
          </w:tcPr>
          <w:p w14:paraId="592C470E" w14:textId="77777777" w:rsidR="000E52B0" w:rsidRDefault="00F60D74">
            <w:pPr>
              <w:pStyle w:val="TableParagraph"/>
              <w:ind w:left="108"/>
              <w:rPr>
                <w:sz w:val="20"/>
              </w:rPr>
            </w:pPr>
            <w:r>
              <w:rPr>
                <w:sz w:val="20"/>
              </w:rPr>
              <w:t>Cambia</w:t>
            </w:r>
            <w:r>
              <w:rPr>
                <w:spacing w:val="-6"/>
                <w:sz w:val="20"/>
              </w:rPr>
              <w:t xml:space="preserve"> </w:t>
            </w:r>
            <w:r>
              <w:rPr>
                <w:sz w:val="20"/>
              </w:rPr>
              <w:t>la</w:t>
            </w:r>
            <w:r>
              <w:rPr>
                <w:spacing w:val="-6"/>
                <w:sz w:val="20"/>
              </w:rPr>
              <w:t xml:space="preserve"> </w:t>
            </w:r>
            <w:r>
              <w:rPr>
                <w:spacing w:val="-2"/>
                <w:sz w:val="20"/>
              </w:rPr>
              <w:t>numeración.</w:t>
            </w:r>
          </w:p>
          <w:p w14:paraId="12AED90D" w14:textId="77777777" w:rsidR="000E52B0" w:rsidRDefault="00F60D74">
            <w:pPr>
              <w:pStyle w:val="TableParagraph"/>
              <w:ind w:left="108"/>
              <w:rPr>
                <w:sz w:val="20"/>
              </w:rPr>
            </w:pPr>
            <w:r>
              <w:rPr>
                <w:sz w:val="20"/>
              </w:rPr>
              <w:t xml:space="preserve">Sin modificaciones, solo ajustes de </w:t>
            </w:r>
            <w:r>
              <w:rPr>
                <w:spacing w:val="-2"/>
                <w:sz w:val="20"/>
              </w:rPr>
              <w:t>redacción.</w:t>
            </w:r>
          </w:p>
        </w:tc>
      </w:tr>
    </w:tbl>
    <w:p w14:paraId="47A46160" w14:textId="77777777" w:rsidR="000E52B0" w:rsidRDefault="000E52B0">
      <w:pPr>
        <w:pStyle w:val="TableParagraph"/>
        <w:rPr>
          <w:sz w:val="20"/>
        </w:rPr>
        <w:sectPr w:rsidR="000E52B0">
          <w:pgSz w:w="16840" w:h="11910" w:orient="landscape"/>
          <w:pgMar w:top="1340" w:right="1800" w:bottom="1180" w:left="1440" w:header="0" w:footer="995" w:gutter="0"/>
          <w:cols w:space="720"/>
        </w:sectPr>
      </w:pPr>
    </w:p>
    <w:p w14:paraId="083882A2" w14:textId="77777777" w:rsidR="000E52B0" w:rsidRDefault="000E52B0">
      <w:pPr>
        <w:pStyle w:val="Textoindependiente"/>
        <w:spacing w:before="8"/>
        <w:ind w:left="0"/>
        <w:rPr>
          <w:b/>
          <w:sz w:val="7"/>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12"/>
        <w:gridCol w:w="4723"/>
        <w:gridCol w:w="3809"/>
      </w:tblGrid>
      <w:tr w:rsidR="000E52B0" w14:paraId="5E8C6B02" w14:textId="77777777">
        <w:trPr>
          <w:trHeight w:val="1256"/>
        </w:trPr>
        <w:tc>
          <w:tcPr>
            <w:tcW w:w="4712" w:type="dxa"/>
          </w:tcPr>
          <w:p w14:paraId="7AF843C2" w14:textId="77777777" w:rsidR="000E52B0" w:rsidRDefault="00F60D74">
            <w:pPr>
              <w:pStyle w:val="TableParagraph"/>
              <w:ind w:left="107" w:right="92"/>
              <w:jc w:val="both"/>
              <w:rPr>
                <w:sz w:val="20"/>
              </w:rPr>
            </w:pPr>
            <w:r>
              <w:rPr>
                <w:color w:val="333333"/>
                <w:sz w:val="20"/>
              </w:rPr>
              <w:t xml:space="preserve">entidad por parte de la Función Pública y </w:t>
            </w:r>
            <w:proofErr w:type="gramStart"/>
            <w:r>
              <w:rPr>
                <w:color w:val="333333"/>
                <w:sz w:val="20"/>
              </w:rPr>
              <w:t>de acuerdo</w:t>
            </w:r>
            <w:r>
              <w:rPr>
                <w:color w:val="333333"/>
                <w:spacing w:val="-12"/>
                <w:sz w:val="20"/>
              </w:rPr>
              <w:t xml:space="preserve"> </w:t>
            </w:r>
            <w:r>
              <w:rPr>
                <w:color w:val="333333"/>
                <w:sz w:val="20"/>
              </w:rPr>
              <w:t>a</w:t>
            </w:r>
            <w:proofErr w:type="gramEnd"/>
            <w:r>
              <w:rPr>
                <w:color w:val="333333"/>
                <w:spacing w:val="-9"/>
                <w:sz w:val="20"/>
              </w:rPr>
              <w:t xml:space="preserve"> </w:t>
            </w:r>
            <w:r>
              <w:rPr>
                <w:color w:val="333333"/>
                <w:sz w:val="20"/>
              </w:rPr>
              <w:t>la</w:t>
            </w:r>
            <w:r>
              <w:rPr>
                <w:color w:val="333333"/>
                <w:spacing w:val="-11"/>
                <w:sz w:val="20"/>
              </w:rPr>
              <w:t xml:space="preserve"> </w:t>
            </w:r>
            <w:r>
              <w:rPr>
                <w:color w:val="333333"/>
                <w:sz w:val="20"/>
              </w:rPr>
              <w:t>disponibilidad</w:t>
            </w:r>
            <w:r>
              <w:rPr>
                <w:color w:val="333333"/>
                <w:spacing w:val="-10"/>
                <w:sz w:val="20"/>
              </w:rPr>
              <w:t xml:space="preserve"> </w:t>
            </w:r>
            <w:r>
              <w:rPr>
                <w:color w:val="333333"/>
                <w:sz w:val="20"/>
              </w:rPr>
              <w:t>fiscal</w:t>
            </w:r>
            <w:r>
              <w:rPr>
                <w:color w:val="333333"/>
                <w:spacing w:val="-10"/>
                <w:sz w:val="20"/>
              </w:rPr>
              <w:t xml:space="preserve"> </w:t>
            </w:r>
            <w:r>
              <w:rPr>
                <w:color w:val="333333"/>
                <w:sz w:val="20"/>
              </w:rPr>
              <w:t>del</w:t>
            </w:r>
            <w:r>
              <w:rPr>
                <w:color w:val="333333"/>
                <w:spacing w:val="-11"/>
                <w:sz w:val="20"/>
              </w:rPr>
              <w:t xml:space="preserve"> </w:t>
            </w:r>
            <w:r>
              <w:rPr>
                <w:color w:val="333333"/>
                <w:sz w:val="20"/>
              </w:rPr>
              <w:t>país</w:t>
            </w:r>
            <w:r>
              <w:rPr>
                <w:color w:val="333333"/>
                <w:spacing w:val="-9"/>
                <w:sz w:val="20"/>
              </w:rPr>
              <w:t xml:space="preserve"> </w:t>
            </w:r>
            <w:r>
              <w:rPr>
                <w:color w:val="333333"/>
                <w:sz w:val="20"/>
              </w:rPr>
              <w:t>y</w:t>
            </w:r>
            <w:r>
              <w:rPr>
                <w:color w:val="333333"/>
                <w:spacing w:val="-11"/>
                <w:sz w:val="20"/>
              </w:rPr>
              <w:t xml:space="preserve"> </w:t>
            </w:r>
            <w:r>
              <w:rPr>
                <w:color w:val="333333"/>
                <w:sz w:val="20"/>
              </w:rPr>
              <w:t>la existencia de</w:t>
            </w:r>
            <w:r>
              <w:rPr>
                <w:color w:val="333333"/>
                <w:spacing w:val="-2"/>
                <w:sz w:val="20"/>
              </w:rPr>
              <w:t xml:space="preserve"> </w:t>
            </w:r>
            <w:r>
              <w:rPr>
                <w:color w:val="333333"/>
                <w:sz w:val="20"/>
              </w:rPr>
              <w:t>recursos</w:t>
            </w:r>
            <w:r>
              <w:rPr>
                <w:color w:val="333333"/>
                <w:spacing w:val="-2"/>
                <w:sz w:val="20"/>
              </w:rPr>
              <w:t xml:space="preserve"> </w:t>
            </w:r>
            <w:r>
              <w:rPr>
                <w:color w:val="333333"/>
                <w:sz w:val="20"/>
              </w:rPr>
              <w:t>para</w:t>
            </w:r>
            <w:r>
              <w:rPr>
                <w:color w:val="333333"/>
                <w:spacing w:val="-1"/>
                <w:sz w:val="20"/>
              </w:rPr>
              <w:t xml:space="preserve"> </w:t>
            </w:r>
            <w:r>
              <w:rPr>
                <w:color w:val="333333"/>
                <w:sz w:val="20"/>
              </w:rPr>
              <w:t>tal propósito, se deberá garantizar el mínimo impacto fiscal de esta iniciativa.</w:t>
            </w:r>
          </w:p>
        </w:tc>
        <w:tc>
          <w:tcPr>
            <w:tcW w:w="4723" w:type="dxa"/>
          </w:tcPr>
          <w:p w14:paraId="214C718C" w14:textId="77777777" w:rsidR="000E52B0" w:rsidRDefault="00F60D74">
            <w:pPr>
              <w:pStyle w:val="TableParagraph"/>
              <w:ind w:left="107" w:right="85"/>
              <w:jc w:val="both"/>
              <w:rPr>
                <w:sz w:val="20"/>
              </w:rPr>
            </w:pPr>
            <w:r>
              <w:rPr>
                <w:noProof/>
                <w:sz w:val="20"/>
              </w:rPr>
              <mc:AlternateContent>
                <mc:Choice Requires="wpg">
                  <w:drawing>
                    <wp:anchor distT="0" distB="0" distL="0" distR="0" simplePos="0" relativeHeight="482331648" behindDoc="1" locked="0" layoutInCell="1" allowOverlap="1" wp14:anchorId="6A28BAE3" wp14:editId="37968BF4">
                      <wp:simplePos x="0" y="0"/>
                      <wp:positionH relativeFrom="column">
                        <wp:posOffset>544068</wp:posOffset>
                      </wp:positionH>
                      <wp:positionV relativeFrom="paragraph">
                        <wp:posOffset>136826</wp:posOffset>
                      </wp:positionV>
                      <wp:extent cx="45720" cy="13970"/>
                      <wp:effectExtent l="0" t="0" r="0" b="0"/>
                      <wp:wrapNone/>
                      <wp:docPr id="8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13970"/>
                                <a:chOff x="0" y="0"/>
                                <a:chExt cx="45720" cy="13970"/>
                              </a:xfrm>
                            </wpg:grpSpPr>
                            <wps:wsp>
                              <wps:cNvPr id="817" name="Graphic 817"/>
                              <wps:cNvSpPr/>
                              <wps:spPr>
                                <a:xfrm>
                                  <a:off x="0" y="0"/>
                                  <a:ext cx="45720" cy="13970"/>
                                </a:xfrm>
                                <a:custGeom>
                                  <a:avLst/>
                                  <a:gdLst/>
                                  <a:ahLst/>
                                  <a:cxnLst/>
                                  <a:rect l="l" t="t" r="r" b="b"/>
                                  <a:pathLst>
                                    <a:path w="45720" h="13970">
                                      <a:moveTo>
                                        <a:pt x="45720" y="0"/>
                                      </a:moveTo>
                                      <a:lnTo>
                                        <a:pt x="0" y="0"/>
                                      </a:lnTo>
                                      <a:lnTo>
                                        <a:pt x="0" y="13715"/>
                                      </a:lnTo>
                                      <a:lnTo>
                                        <a:pt x="45720" y="13715"/>
                                      </a:lnTo>
                                      <a:lnTo>
                                        <a:pt x="45720" y="0"/>
                                      </a:lnTo>
                                      <a:close/>
                                    </a:path>
                                  </a:pathLst>
                                </a:custGeom>
                                <a:solidFill>
                                  <a:srgbClr val="333333"/>
                                </a:solidFill>
                              </wps:spPr>
                              <wps:bodyPr wrap="square" lIns="0" tIns="0" rIns="0" bIns="0" rtlCol="0">
                                <a:prstTxWarp prst="textNoShape">
                                  <a:avLst/>
                                </a:prstTxWarp>
                                <a:noAutofit/>
                              </wps:bodyPr>
                            </wps:wsp>
                          </wpg:wgp>
                        </a:graphicData>
                      </a:graphic>
                    </wp:anchor>
                  </w:drawing>
                </mc:Choice>
                <mc:Fallback>
                  <w:pict>
                    <v:group w14:anchorId="77674267" id="Group 816" o:spid="_x0000_s1026" style="position:absolute;margin-left:42.85pt;margin-top:10.75pt;width:3.6pt;height:1.1pt;z-index:-20984832;mso-wrap-distance-left:0;mso-wrap-distance-right:0" coordsize="4572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">
                      <v:shape id="Graphic 817" o:spid="_x0000_s1027" style="position:absolute;width:45720;height:13970;visibility:visible;mso-wrap-style:square;v-text-anchor:top" coordsize="4572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" path="m45720,l,,,13715r45720,l45720,xe" fillcolor="#333" stroked="f">
                        <v:path arrowok="t"/>
                      </v:shape>
                    </v:group>
                  </w:pict>
                </mc:Fallback>
              </mc:AlternateContent>
            </w:r>
            <w:r>
              <w:rPr>
                <w:noProof/>
                <w:sz w:val="20"/>
              </w:rPr>
              <mc:AlternateContent>
                <mc:Choice Requires="wpg">
                  <w:drawing>
                    <wp:anchor distT="0" distB="0" distL="0" distR="0" simplePos="0" relativeHeight="482332160" behindDoc="1" locked="0" layoutInCell="1" allowOverlap="1" wp14:anchorId="2583E24A" wp14:editId="4F8CF1C5">
                      <wp:simplePos x="0" y="0"/>
                      <wp:positionH relativeFrom="column">
                        <wp:posOffset>2754122</wp:posOffset>
                      </wp:positionH>
                      <wp:positionV relativeFrom="paragraph">
                        <wp:posOffset>136826</wp:posOffset>
                      </wp:positionV>
                      <wp:extent cx="45720" cy="13970"/>
                      <wp:effectExtent l="0" t="0" r="0" b="0"/>
                      <wp:wrapNone/>
                      <wp:docPr id="818"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13970"/>
                                <a:chOff x="0" y="0"/>
                                <a:chExt cx="45720" cy="13970"/>
                              </a:xfrm>
                            </wpg:grpSpPr>
                            <wps:wsp>
                              <wps:cNvPr id="819" name="Graphic 819"/>
                              <wps:cNvSpPr/>
                              <wps:spPr>
                                <a:xfrm>
                                  <a:off x="0" y="0"/>
                                  <a:ext cx="45720" cy="13970"/>
                                </a:xfrm>
                                <a:custGeom>
                                  <a:avLst/>
                                  <a:gdLst/>
                                  <a:ahLst/>
                                  <a:cxnLst/>
                                  <a:rect l="l" t="t" r="r" b="b"/>
                                  <a:pathLst>
                                    <a:path w="45720" h="13970">
                                      <a:moveTo>
                                        <a:pt x="45720" y="0"/>
                                      </a:moveTo>
                                      <a:lnTo>
                                        <a:pt x="0" y="0"/>
                                      </a:lnTo>
                                      <a:lnTo>
                                        <a:pt x="0" y="13715"/>
                                      </a:lnTo>
                                      <a:lnTo>
                                        <a:pt x="45720" y="13715"/>
                                      </a:lnTo>
                                      <a:lnTo>
                                        <a:pt x="45720" y="0"/>
                                      </a:lnTo>
                                      <a:close/>
                                    </a:path>
                                  </a:pathLst>
                                </a:custGeom>
                                <a:solidFill>
                                  <a:srgbClr val="333333"/>
                                </a:solidFill>
                              </wps:spPr>
                              <wps:bodyPr wrap="square" lIns="0" tIns="0" rIns="0" bIns="0" rtlCol="0">
                                <a:prstTxWarp prst="textNoShape">
                                  <a:avLst/>
                                </a:prstTxWarp>
                                <a:noAutofit/>
                              </wps:bodyPr>
                            </wps:wsp>
                          </wpg:wgp>
                        </a:graphicData>
                      </a:graphic>
                    </wp:anchor>
                  </w:drawing>
                </mc:Choice>
                <mc:Fallback>
                  <w:pict>
                    <v:group w14:anchorId="4EC1ACE9" id="Group 818" o:spid="_x0000_s1026" style="position:absolute;margin-left:216.85pt;margin-top:10.75pt;width:3.6pt;height:1.1pt;z-index:-20984320;mso-wrap-distance-left:0;mso-wrap-distance-right:0" coordsize="4572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">
                      <v:shape id="Graphic 819" o:spid="_x0000_s1027" style="position:absolute;width:45720;height:13970;visibility:visible;mso-wrap-style:square;v-text-anchor:top" coordsize="4572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" path="m45720,l,,,13715r45720,l45720,xe" fillcolor="#333" stroked="f">
                        <v:path arrowok="t"/>
                      </v:shape>
                    </v:group>
                  </w:pict>
                </mc:Fallback>
              </mc:AlternateContent>
            </w:r>
            <w:r>
              <w:rPr>
                <w:color w:val="333333"/>
                <w:sz w:val="20"/>
              </w:rPr>
              <w:t>entidad</w:t>
            </w:r>
            <w:r>
              <w:rPr>
                <w:b/>
                <w:color w:val="333333"/>
                <w:sz w:val="20"/>
              </w:rPr>
              <w:t xml:space="preserve">, </w:t>
            </w:r>
            <w:r>
              <w:rPr>
                <w:color w:val="333333"/>
                <w:sz w:val="20"/>
              </w:rPr>
              <w:t xml:space="preserve">por </w:t>
            </w:r>
            <w:r>
              <w:rPr>
                <w:b/>
                <w:color w:val="333333"/>
                <w:sz w:val="20"/>
              </w:rPr>
              <w:t xml:space="preserve">parte de </w:t>
            </w:r>
            <w:r>
              <w:rPr>
                <w:b/>
                <w:strike/>
                <w:color w:val="333333"/>
                <w:sz w:val="20"/>
              </w:rPr>
              <w:t>la</w:t>
            </w:r>
            <w:r>
              <w:rPr>
                <w:b/>
                <w:color w:val="333333"/>
                <w:sz w:val="20"/>
              </w:rPr>
              <w:t xml:space="preserve"> </w:t>
            </w:r>
            <w:r>
              <w:rPr>
                <w:color w:val="333333"/>
                <w:sz w:val="20"/>
              </w:rPr>
              <w:t>Función Pública</w:t>
            </w:r>
            <w:r>
              <w:rPr>
                <w:b/>
                <w:color w:val="333333"/>
                <w:sz w:val="20"/>
              </w:rPr>
              <w:t xml:space="preserve">, </w:t>
            </w:r>
            <w:r>
              <w:rPr>
                <w:color w:val="333333"/>
                <w:sz w:val="20"/>
              </w:rPr>
              <w:t xml:space="preserve">y </w:t>
            </w:r>
            <w:proofErr w:type="gramStart"/>
            <w:r>
              <w:rPr>
                <w:color w:val="333333"/>
                <w:sz w:val="20"/>
              </w:rPr>
              <w:t xml:space="preserve">de acuerdo </w:t>
            </w:r>
            <w:r>
              <w:rPr>
                <w:b/>
                <w:strike/>
                <w:color w:val="333333"/>
                <w:sz w:val="20"/>
              </w:rPr>
              <w:t>a</w:t>
            </w:r>
            <w:proofErr w:type="gramEnd"/>
            <w:r>
              <w:rPr>
                <w:b/>
                <w:color w:val="333333"/>
                <w:sz w:val="20"/>
              </w:rPr>
              <w:t xml:space="preserve"> </w:t>
            </w:r>
            <w:r>
              <w:rPr>
                <w:b/>
                <w:color w:val="333333"/>
                <w:sz w:val="20"/>
                <w:u w:val="single" w:color="333333"/>
              </w:rPr>
              <w:t xml:space="preserve">con </w:t>
            </w:r>
            <w:r>
              <w:rPr>
                <w:color w:val="333333"/>
                <w:sz w:val="20"/>
              </w:rPr>
              <w:t>la disponibilidad fiscal del país y la existencia de recursos para tal propósito, se deberá garantizar el mínimo impacto fiscal de esta iniciativa.</w:t>
            </w:r>
          </w:p>
        </w:tc>
        <w:tc>
          <w:tcPr>
            <w:tcW w:w="3809" w:type="dxa"/>
          </w:tcPr>
          <w:p w14:paraId="0CACDC4F" w14:textId="77777777" w:rsidR="000E52B0" w:rsidRDefault="000E52B0">
            <w:pPr>
              <w:pStyle w:val="TableParagraph"/>
              <w:rPr>
                <w:rFonts w:ascii="Times New Roman"/>
                <w:sz w:val="18"/>
              </w:rPr>
            </w:pPr>
          </w:p>
        </w:tc>
      </w:tr>
      <w:tr w:rsidR="000E52B0" w14:paraId="25DC629F" w14:textId="77777777">
        <w:trPr>
          <w:trHeight w:val="3282"/>
        </w:trPr>
        <w:tc>
          <w:tcPr>
            <w:tcW w:w="4712" w:type="dxa"/>
            <w:tcBorders>
              <w:bottom w:val="nil"/>
            </w:tcBorders>
          </w:tcPr>
          <w:p w14:paraId="4BF2214A" w14:textId="77777777" w:rsidR="000E52B0" w:rsidRDefault="00F60D74">
            <w:pPr>
              <w:pStyle w:val="TableParagraph"/>
              <w:spacing w:line="243" w:lineRule="exact"/>
              <w:ind w:left="107"/>
              <w:jc w:val="both"/>
              <w:rPr>
                <w:b/>
                <w:sz w:val="20"/>
              </w:rPr>
            </w:pPr>
            <w:r>
              <w:rPr>
                <w:b/>
                <w:color w:val="333333"/>
                <w:sz w:val="20"/>
              </w:rPr>
              <w:t>ARTÍCULO</w:t>
            </w:r>
            <w:r>
              <w:rPr>
                <w:b/>
                <w:color w:val="333333"/>
                <w:spacing w:val="57"/>
                <w:w w:val="150"/>
                <w:sz w:val="20"/>
              </w:rPr>
              <w:t xml:space="preserve">   </w:t>
            </w:r>
            <w:r>
              <w:rPr>
                <w:b/>
                <w:color w:val="333333"/>
                <w:sz w:val="20"/>
              </w:rPr>
              <w:t>14.</w:t>
            </w:r>
            <w:r>
              <w:rPr>
                <w:b/>
                <w:color w:val="333333"/>
                <w:spacing w:val="58"/>
                <w:w w:val="150"/>
                <w:sz w:val="20"/>
              </w:rPr>
              <w:t xml:space="preserve">   </w:t>
            </w:r>
            <w:r>
              <w:rPr>
                <w:b/>
                <w:color w:val="333333"/>
                <w:sz w:val="20"/>
              </w:rPr>
              <w:t>COMISIÓN</w:t>
            </w:r>
            <w:r>
              <w:rPr>
                <w:b/>
                <w:color w:val="333333"/>
                <w:spacing w:val="57"/>
                <w:w w:val="150"/>
                <w:sz w:val="20"/>
              </w:rPr>
              <w:t xml:space="preserve">   </w:t>
            </w:r>
            <w:r>
              <w:rPr>
                <w:b/>
                <w:color w:val="333333"/>
                <w:spacing w:val="-5"/>
                <w:sz w:val="20"/>
              </w:rPr>
              <w:t>DE</w:t>
            </w:r>
          </w:p>
          <w:p w14:paraId="22F3ED80" w14:textId="77777777" w:rsidR="000E52B0" w:rsidRDefault="00F60D74">
            <w:pPr>
              <w:pStyle w:val="TableParagraph"/>
              <w:ind w:left="107" w:right="89"/>
              <w:jc w:val="both"/>
              <w:rPr>
                <w:sz w:val="20"/>
              </w:rPr>
            </w:pPr>
            <w:r>
              <w:rPr>
                <w:b/>
                <w:color w:val="333333"/>
                <w:sz w:val="20"/>
              </w:rPr>
              <w:t xml:space="preserve">SEGUIMIENTO. </w:t>
            </w:r>
            <w:r>
              <w:rPr>
                <w:color w:val="333333"/>
                <w:sz w:val="20"/>
              </w:rPr>
              <w:t xml:space="preserve">Créese una Comisión de Seguimiento integrada por cinco (5) Senadores y nueve (9) Representantes, de diferentes bancadas y con participación de ”los partidos declarados en oposición e independencia, designados por los presidentes del Senado de la República y la Cámara de Representantes para hacer seguimiento permanente a las facultades conferidas en este proyecto, recibir los informes del Gobierno y presentarlos al </w:t>
            </w:r>
            <w:r>
              <w:rPr>
                <w:color w:val="333333"/>
                <w:spacing w:val="-2"/>
                <w:sz w:val="20"/>
              </w:rPr>
              <w:t>Congreso.</w:t>
            </w:r>
          </w:p>
        </w:tc>
        <w:tc>
          <w:tcPr>
            <w:tcW w:w="4723" w:type="dxa"/>
            <w:tcBorders>
              <w:bottom w:val="nil"/>
            </w:tcBorders>
          </w:tcPr>
          <w:p w14:paraId="02EB0445" w14:textId="77777777" w:rsidR="000E52B0" w:rsidRDefault="00F60D74">
            <w:pPr>
              <w:pStyle w:val="TableParagraph"/>
              <w:spacing w:line="243" w:lineRule="exact"/>
              <w:ind w:left="107"/>
              <w:jc w:val="both"/>
              <w:rPr>
                <w:b/>
                <w:sz w:val="20"/>
              </w:rPr>
            </w:pPr>
            <w:r>
              <w:rPr>
                <w:b/>
                <w:color w:val="333333"/>
                <w:sz w:val="20"/>
              </w:rPr>
              <w:t>ARTÍCULO</w:t>
            </w:r>
            <w:r>
              <w:rPr>
                <w:b/>
                <w:color w:val="333333"/>
                <w:spacing w:val="58"/>
                <w:w w:val="150"/>
                <w:sz w:val="20"/>
              </w:rPr>
              <w:t xml:space="preserve">   </w:t>
            </w:r>
            <w:r>
              <w:rPr>
                <w:b/>
                <w:color w:val="333333"/>
                <w:sz w:val="20"/>
              </w:rPr>
              <w:t>1</w:t>
            </w:r>
            <w:r>
              <w:rPr>
                <w:b/>
                <w:color w:val="333333"/>
                <w:sz w:val="20"/>
                <w:u w:val="single" w:color="333333"/>
              </w:rPr>
              <w:t>3</w:t>
            </w:r>
            <w:r>
              <w:rPr>
                <w:b/>
                <w:color w:val="333333"/>
                <w:sz w:val="20"/>
              </w:rPr>
              <w:t>.</w:t>
            </w:r>
            <w:r>
              <w:rPr>
                <w:b/>
                <w:color w:val="333333"/>
                <w:spacing w:val="60"/>
                <w:w w:val="150"/>
                <w:sz w:val="20"/>
              </w:rPr>
              <w:t xml:space="preserve">   </w:t>
            </w:r>
            <w:r>
              <w:rPr>
                <w:b/>
                <w:color w:val="333333"/>
                <w:sz w:val="20"/>
              </w:rPr>
              <w:t>COMISIÓN</w:t>
            </w:r>
            <w:r>
              <w:rPr>
                <w:b/>
                <w:color w:val="333333"/>
                <w:spacing w:val="58"/>
                <w:w w:val="150"/>
                <w:sz w:val="20"/>
              </w:rPr>
              <w:t xml:space="preserve">   </w:t>
            </w:r>
            <w:r>
              <w:rPr>
                <w:b/>
                <w:color w:val="333333"/>
                <w:spacing w:val="-5"/>
                <w:sz w:val="20"/>
              </w:rPr>
              <w:t>DE</w:t>
            </w:r>
          </w:p>
          <w:p w14:paraId="0D0F8A76" w14:textId="77777777" w:rsidR="000E52B0" w:rsidRDefault="00F60D74">
            <w:pPr>
              <w:pStyle w:val="TableParagraph"/>
              <w:ind w:left="107" w:right="85"/>
              <w:jc w:val="both"/>
              <w:rPr>
                <w:sz w:val="20"/>
              </w:rPr>
            </w:pPr>
            <w:r>
              <w:rPr>
                <w:noProof/>
                <w:sz w:val="20"/>
              </w:rPr>
              <mc:AlternateContent>
                <mc:Choice Requires="wpg">
                  <w:drawing>
                    <wp:anchor distT="0" distB="0" distL="0" distR="0" simplePos="0" relativeHeight="482332672" behindDoc="1" locked="0" layoutInCell="1" allowOverlap="1" wp14:anchorId="6D23F7F1" wp14:editId="17EBCF8A">
                      <wp:simplePos x="0" y="0"/>
                      <wp:positionH relativeFrom="column">
                        <wp:posOffset>68580</wp:posOffset>
                      </wp:positionH>
                      <wp:positionV relativeFrom="paragraph">
                        <wp:posOffset>858058</wp:posOffset>
                      </wp:positionV>
                      <wp:extent cx="2863850" cy="7620"/>
                      <wp:effectExtent l="0" t="0" r="0" b="0"/>
                      <wp:wrapNone/>
                      <wp:docPr id="820"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3850" cy="7620"/>
                                <a:chOff x="0" y="0"/>
                                <a:chExt cx="2863850" cy="7620"/>
                              </a:xfrm>
                            </wpg:grpSpPr>
                            <wps:wsp>
                              <wps:cNvPr id="821" name="Graphic 821"/>
                              <wps:cNvSpPr/>
                              <wps:spPr>
                                <a:xfrm>
                                  <a:off x="0" y="0"/>
                                  <a:ext cx="2863850" cy="7620"/>
                                </a:xfrm>
                                <a:custGeom>
                                  <a:avLst/>
                                  <a:gdLst/>
                                  <a:ahLst/>
                                  <a:cxnLst/>
                                  <a:rect l="l" t="t" r="r" b="b"/>
                                  <a:pathLst>
                                    <a:path w="2863850" h="7620">
                                      <a:moveTo>
                                        <a:pt x="2863850" y="0"/>
                                      </a:moveTo>
                                      <a:lnTo>
                                        <a:pt x="0" y="0"/>
                                      </a:lnTo>
                                      <a:lnTo>
                                        <a:pt x="0" y="7620"/>
                                      </a:lnTo>
                                      <a:lnTo>
                                        <a:pt x="2863850" y="7620"/>
                                      </a:lnTo>
                                      <a:lnTo>
                                        <a:pt x="2863850" y="0"/>
                                      </a:lnTo>
                                      <a:close/>
                                    </a:path>
                                  </a:pathLst>
                                </a:custGeom>
                                <a:solidFill>
                                  <a:srgbClr val="333333"/>
                                </a:solidFill>
                              </wps:spPr>
                              <wps:bodyPr wrap="square" lIns="0" tIns="0" rIns="0" bIns="0" rtlCol="0">
                                <a:prstTxWarp prst="textNoShape">
                                  <a:avLst/>
                                </a:prstTxWarp>
                                <a:noAutofit/>
                              </wps:bodyPr>
                            </wps:wsp>
                          </wpg:wgp>
                        </a:graphicData>
                      </a:graphic>
                    </wp:anchor>
                  </w:drawing>
                </mc:Choice>
                <mc:Fallback>
                  <w:pict>
                    <v:group w14:anchorId="0C561DD7" id="Group 820" o:spid="_x0000_s1026" style="position:absolute;margin-left:5.4pt;margin-top:67.55pt;width:225.5pt;height:.6pt;z-index:-20983808;mso-wrap-distance-left:0;mso-wrap-distance-right:0" coordsize="286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">
                      <v:shape id="Graphic 821" o:spid="_x0000_s1027" style="position:absolute;width:28638;height:76;visibility:visible;mso-wrap-style:square;v-text-anchor:top" coordsize="2863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" path="m2863850,l,,,7620r2863850,l2863850,xe" fillcolor="#333" stroked="f">
                        <v:path arrowok="t"/>
                      </v:shape>
                    </v:group>
                  </w:pict>
                </mc:Fallback>
              </mc:AlternateContent>
            </w:r>
            <w:r>
              <w:rPr>
                <w:b/>
                <w:color w:val="333333"/>
                <w:sz w:val="20"/>
              </w:rPr>
              <w:t xml:space="preserve">SEGUIMIENTO. </w:t>
            </w:r>
            <w:r>
              <w:rPr>
                <w:strike/>
                <w:color w:val="333333"/>
                <w:sz w:val="20"/>
              </w:rPr>
              <w:t>Créese una Comisión de</w:t>
            </w:r>
            <w:r>
              <w:rPr>
                <w:color w:val="333333"/>
                <w:sz w:val="20"/>
              </w:rPr>
              <w:t xml:space="preserve"> </w:t>
            </w:r>
            <w:r>
              <w:rPr>
                <w:strike/>
                <w:color w:val="333333"/>
                <w:sz w:val="20"/>
              </w:rPr>
              <w:t>Seguimiento integrada por cinco (5)</w:t>
            </w:r>
            <w:r>
              <w:rPr>
                <w:color w:val="333333"/>
                <w:sz w:val="20"/>
              </w:rPr>
              <w:t xml:space="preserve"> </w:t>
            </w:r>
            <w:r>
              <w:rPr>
                <w:strike/>
                <w:color w:val="333333"/>
                <w:sz w:val="20"/>
              </w:rPr>
              <w:t>Senadores y nueve (9) Representantes, de</w:t>
            </w:r>
            <w:r>
              <w:rPr>
                <w:color w:val="333333"/>
                <w:sz w:val="20"/>
              </w:rPr>
              <w:t xml:space="preserve"> </w:t>
            </w:r>
            <w:r>
              <w:rPr>
                <w:strike/>
                <w:color w:val="333333"/>
                <w:sz w:val="20"/>
              </w:rPr>
              <w:t>diferentes bancadas y con participación de</w:t>
            </w:r>
            <w:r>
              <w:rPr>
                <w:color w:val="333333"/>
                <w:sz w:val="20"/>
              </w:rPr>
              <w:t xml:space="preserve"> </w:t>
            </w:r>
            <w:r>
              <w:rPr>
                <w:strike/>
                <w:color w:val="333333"/>
                <w:sz w:val="20"/>
              </w:rPr>
              <w:t>”los partidos declarados en oposición e</w:t>
            </w:r>
            <w:r>
              <w:rPr>
                <w:color w:val="333333"/>
                <w:sz w:val="20"/>
              </w:rPr>
              <w:t xml:space="preserve"> independencia, designados por los </w:t>
            </w:r>
            <w:r>
              <w:rPr>
                <w:strike/>
                <w:color w:val="333333"/>
                <w:sz w:val="20"/>
              </w:rPr>
              <w:t>presidentes del Senado de la República y la</w:t>
            </w:r>
            <w:r>
              <w:rPr>
                <w:color w:val="333333"/>
                <w:sz w:val="20"/>
              </w:rPr>
              <w:t xml:space="preserve"> </w:t>
            </w:r>
            <w:r>
              <w:rPr>
                <w:strike/>
                <w:color w:val="333333"/>
                <w:sz w:val="20"/>
              </w:rPr>
              <w:t>Cámara de Representantes para hacer</w:t>
            </w:r>
            <w:r>
              <w:rPr>
                <w:color w:val="333333"/>
                <w:sz w:val="20"/>
              </w:rPr>
              <w:t xml:space="preserve"> </w:t>
            </w:r>
            <w:r>
              <w:rPr>
                <w:strike/>
                <w:color w:val="333333"/>
                <w:sz w:val="20"/>
              </w:rPr>
              <w:t>seguimiento permanente a las facultades</w:t>
            </w:r>
            <w:r>
              <w:rPr>
                <w:color w:val="333333"/>
                <w:sz w:val="20"/>
              </w:rPr>
              <w:t xml:space="preserve"> </w:t>
            </w:r>
            <w:r>
              <w:rPr>
                <w:strike/>
                <w:color w:val="333333"/>
                <w:sz w:val="20"/>
              </w:rPr>
              <w:t xml:space="preserve">conferidas en este proyecto, </w:t>
            </w:r>
            <w:r>
              <w:rPr>
                <w:b/>
                <w:strike/>
                <w:color w:val="333333"/>
                <w:sz w:val="20"/>
                <w:u w:val="single" w:color="333333"/>
              </w:rPr>
              <w:t xml:space="preserve">y </w:t>
            </w:r>
            <w:r>
              <w:rPr>
                <w:strike/>
                <w:color w:val="333333"/>
                <w:sz w:val="20"/>
              </w:rPr>
              <w:t>recibir los</w:t>
            </w:r>
            <w:r>
              <w:rPr>
                <w:color w:val="333333"/>
                <w:sz w:val="20"/>
              </w:rPr>
              <w:t xml:space="preserve"> </w:t>
            </w:r>
            <w:r>
              <w:rPr>
                <w:strike/>
                <w:color w:val="333333"/>
                <w:sz w:val="20"/>
              </w:rPr>
              <w:t>informes del Gobierno y presentarlos al</w:t>
            </w:r>
            <w:r>
              <w:rPr>
                <w:color w:val="333333"/>
                <w:sz w:val="20"/>
              </w:rPr>
              <w:t xml:space="preserve"> </w:t>
            </w:r>
            <w:r>
              <w:rPr>
                <w:strike/>
                <w:color w:val="333333"/>
                <w:spacing w:val="-2"/>
                <w:sz w:val="20"/>
              </w:rPr>
              <w:t>Congreso.</w:t>
            </w:r>
          </w:p>
        </w:tc>
        <w:tc>
          <w:tcPr>
            <w:tcW w:w="3809" w:type="dxa"/>
            <w:tcBorders>
              <w:bottom w:val="nil"/>
            </w:tcBorders>
          </w:tcPr>
          <w:p w14:paraId="283F779C" w14:textId="77777777" w:rsidR="000E52B0" w:rsidRDefault="00F60D74">
            <w:pPr>
              <w:pStyle w:val="TableParagraph"/>
              <w:ind w:left="108" w:right="89"/>
              <w:jc w:val="both"/>
              <w:rPr>
                <w:sz w:val="20"/>
              </w:rPr>
            </w:pPr>
            <w:r>
              <w:rPr>
                <w:sz w:val="20"/>
              </w:rPr>
              <w:t>Cambia la numeración y se elimina el seguimiento a las facultades extraordinarias concedidas, puesto que</w:t>
            </w:r>
            <w:r>
              <w:rPr>
                <w:spacing w:val="-13"/>
                <w:sz w:val="20"/>
              </w:rPr>
              <w:t xml:space="preserve"> </w:t>
            </w:r>
            <w:r>
              <w:rPr>
                <w:sz w:val="20"/>
              </w:rPr>
              <w:t>este</w:t>
            </w:r>
            <w:r>
              <w:rPr>
                <w:spacing w:val="-11"/>
                <w:sz w:val="20"/>
              </w:rPr>
              <w:t xml:space="preserve"> </w:t>
            </w:r>
            <w:r>
              <w:rPr>
                <w:sz w:val="20"/>
              </w:rPr>
              <w:t>proyecto</w:t>
            </w:r>
            <w:r>
              <w:rPr>
                <w:spacing w:val="-13"/>
                <w:sz w:val="20"/>
              </w:rPr>
              <w:t xml:space="preserve"> </w:t>
            </w:r>
            <w:r>
              <w:rPr>
                <w:sz w:val="20"/>
              </w:rPr>
              <w:t>ya</w:t>
            </w:r>
            <w:r>
              <w:rPr>
                <w:spacing w:val="-10"/>
                <w:sz w:val="20"/>
              </w:rPr>
              <w:t xml:space="preserve"> </w:t>
            </w:r>
            <w:r>
              <w:rPr>
                <w:sz w:val="20"/>
              </w:rPr>
              <w:t>no</w:t>
            </w:r>
            <w:r>
              <w:rPr>
                <w:spacing w:val="-11"/>
                <w:sz w:val="20"/>
              </w:rPr>
              <w:t xml:space="preserve"> </w:t>
            </w:r>
            <w:r>
              <w:rPr>
                <w:sz w:val="20"/>
              </w:rPr>
              <w:t>las</w:t>
            </w:r>
            <w:r>
              <w:rPr>
                <w:spacing w:val="-10"/>
                <w:sz w:val="20"/>
              </w:rPr>
              <w:t xml:space="preserve"> </w:t>
            </w:r>
            <w:r>
              <w:rPr>
                <w:sz w:val="20"/>
              </w:rPr>
              <w:t xml:space="preserve">solicita. Se mantiene el parágrafo que establece el seguimiento a la Cartera en las Comisión Séptimas </w:t>
            </w:r>
            <w:r>
              <w:rPr>
                <w:spacing w:val="-2"/>
                <w:sz w:val="20"/>
              </w:rPr>
              <w:t>Constitucionales.</w:t>
            </w:r>
          </w:p>
        </w:tc>
      </w:tr>
      <w:tr w:rsidR="000E52B0" w14:paraId="458A9A4C" w14:textId="77777777">
        <w:trPr>
          <w:trHeight w:val="1335"/>
        </w:trPr>
        <w:tc>
          <w:tcPr>
            <w:tcW w:w="4712" w:type="dxa"/>
            <w:tcBorders>
              <w:top w:val="nil"/>
            </w:tcBorders>
          </w:tcPr>
          <w:p w14:paraId="12C038E1" w14:textId="77777777" w:rsidR="000E52B0" w:rsidRDefault="00F60D74">
            <w:pPr>
              <w:pStyle w:val="TableParagraph"/>
              <w:spacing w:before="121"/>
              <w:ind w:left="107" w:right="92"/>
              <w:jc w:val="both"/>
              <w:rPr>
                <w:sz w:val="20"/>
              </w:rPr>
            </w:pPr>
            <w:r>
              <w:rPr>
                <w:b/>
                <w:color w:val="333333"/>
                <w:sz w:val="20"/>
              </w:rPr>
              <w:t xml:space="preserve">PARÁGRAFO. </w:t>
            </w:r>
            <w:r>
              <w:rPr>
                <w:color w:val="333333"/>
                <w:sz w:val="20"/>
              </w:rPr>
              <w:t>Para todos los efectos, las Comisiones Séptimas Constitucionales de Cámara y Senado conocerán de las funciones,</w:t>
            </w:r>
            <w:r>
              <w:rPr>
                <w:color w:val="333333"/>
                <w:spacing w:val="20"/>
                <w:sz w:val="20"/>
              </w:rPr>
              <w:t xml:space="preserve"> </w:t>
            </w:r>
            <w:r>
              <w:rPr>
                <w:color w:val="333333"/>
                <w:sz w:val="20"/>
              </w:rPr>
              <w:t>temas</w:t>
            </w:r>
            <w:r>
              <w:rPr>
                <w:color w:val="333333"/>
                <w:spacing w:val="21"/>
                <w:sz w:val="20"/>
              </w:rPr>
              <w:t xml:space="preserve"> </w:t>
            </w:r>
            <w:r>
              <w:rPr>
                <w:color w:val="333333"/>
                <w:sz w:val="20"/>
              </w:rPr>
              <w:t>y</w:t>
            </w:r>
            <w:r>
              <w:rPr>
                <w:color w:val="333333"/>
                <w:spacing w:val="21"/>
                <w:sz w:val="20"/>
              </w:rPr>
              <w:t xml:space="preserve"> </w:t>
            </w:r>
            <w:r>
              <w:rPr>
                <w:color w:val="333333"/>
                <w:sz w:val="20"/>
              </w:rPr>
              <w:t>objeto</w:t>
            </w:r>
            <w:r>
              <w:rPr>
                <w:color w:val="333333"/>
                <w:spacing w:val="20"/>
                <w:sz w:val="20"/>
              </w:rPr>
              <w:t xml:space="preserve"> </w:t>
            </w:r>
            <w:r>
              <w:rPr>
                <w:color w:val="333333"/>
                <w:sz w:val="20"/>
              </w:rPr>
              <w:t>del</w:t>
            </w:r>
            <w:r>
              <w:rPr>
                <w:color w:val="333333"/>
                <w:spacing w:val="22"/>
                <w:sz w:val="20"/>
              </w:rPr>
              <w:t xml:space="preserve"> </w:t>
            </w:r>
            <w:r>
              <w:rPr>
                <w:color w:val="333333"/>
                <w:sz w:val="20"/>
              </w:rPr>
              <w:t>Ministerio</w:t>
            </w:r>
            <w:r>
              <w:rPr>
                <w:color w:val="333333"/>
                <w:spacing w:val="18"/>
                <w:sz w:val="20"/>
              </w:rPr>
              <w:t xml:space="preserve"> </w:t>
            </w:r>
            <w:r>
              <w:rPr>
                <w:color w:val="333333"/>
                <w:spacing w:val="-5"/>
                <w:sz w:val="20"/>
              </w:rPr>
              <w:t>de</w:t>
            </w:r>
          </w:p>
          <w:p w14:paraId="7352DA07" w14:textId="77777777" w:rsidR="000E52B0" w:rsidRDefault="00F60D74">
            <w:pPr>
              <w:pStyle w:val="TableParagraph"/>
              <w:spacing w:line="221" w:lineRule="exact"/>
              <w:ind w:left="107"/>
              <w:jc w:val="both"/>
              <w:rPr>
                <w:sz w:val="20"/>
              </w:rPr>
            </w:pPr>
            <w:r>
              <w:rPr>
                <w:color w:val="333333"/>
                <w:sz w:val="20"/>
              </w:rPr>
              <w:t>Igualdad</w:t>
            </w:r>
            <w:r>
              <w:rPr>
                <w:color w:val="333333"/>
                <w:spacing w:val="-6"/>
                <w:sz w:val="20"/>
              </w:rPr>
              <w:t xml:space="preserve"> </w:t>
            </w:r>
            <w:r>
              <w:rPr>
                <w:color w:val="333333"/>
                <w:sz w:val="20"/>
              </w:rPr>
              <w:t>y</w:t>
            </w:r>
            <w:r>
              <w:rPr>
                <w:color w:val="333333"/>
                <w:spacing w:val="-5"/>
                <w:sz w:val="20"/>
              </w:rPr>
              <w:t xml:space="preserve"> </w:t>
            </w:r>
            <w:r>
              <w:rPr>
                <w:color w:val="333333"/>
                <w:spacing w:val="-2"/>
                <w:sz w:val="20"/>
              </w:rPr>
              <w:t>Equidad.</w:t>
            </w:r>
          </w:p>
        </w:tc>
        <w:tc>
          <w:tcPr>
            <w:tcW w:w="4723" w:type="dxa"/>
            <w:tcBorders>
              <w:top w:val="nil"/>
            </w:tcBorders>
          </w:tcPr>
          <w:p w14:paraId="4C832F46" w14:textId="77777777" w:rsidR="000E52B0" w:rsidRDefault="00F60D74">
            <w:pPr>
              <w:pStyle w:val="TableParagraph"/>
              <w:spacing w:before="121"/>
              <w:ind w:left="107" w:right="88"/>
              <w:jc w:val="both"/>
              <w:rPr>
                <w:sz w:val="20"/>
              </w:rPr>
            </w:pPr>
            <w:r>
              <w:rPr>
                <w:b/>
                <w:strike/>
                <w:color w:val="333333"/>
                <w:sz w:val="20"/>
              </w:rPr>
              <w:t xml:space="preserve">PARÁGRAFO. </w:t>
            </w:r>
            <w:r>
              <w:rPr>
                <w:color w:val="333333"/>
                <w:sz w:val="20"/>
              </w:rPr>
              <w:t>Para todos los efectos, las Comisiones Séptimas Constitucionales de Cámara y Senado conocerán de las funciones,</w:t>
            </w:r>
            <w:r>
              <w:rPr>
                <w:color w:val="333333"/>
                <w:spacing w:val="23"/>
                <w:sz w:val="20"/>
              </w:rPr>
              <w:t xml:space="preserve"> </w:t>
            </w:r>
            <w:r>
              <w:rPr>
                <w:color w:val="333333"/>
                <w:sz w:val="20"/>
              </w:rPr>
              <w:t>temas</w:t>
            </w:r>
            <w:r>
              <w:rPr>
                <w:color w:val="333333"/>
                <w:spacing w:val="23"/>
                <w:sz w:val="20"/>
              </w:rPr>
              <w:t xml:space="preserve"> </w:t>
            </w:r>
            <w:r>
              <w:rPr>
                <w:color w:val="333333"/>
                <w:sz w:val="20"/>
              </w:rPr>
              <w:t>y</w:t>
            </w:r>
            <w:r>
              <w:rPr>
                <w:color w:val="333333"/>
                <w:spacing w:val="23"/>
                <w:sz w:val="20"/>
              </w:rPr>
              <w:t xml:space="preserve"> </w:t>
            </w:r>
            <w:r>
              <w:rPr>
                <w:color w:val="333333"/>
                <w:sz w:val="20"/>
              </w:rPr>
              <w:t>objeto</w:t>
            </w:r>
            <w:r>
              <w:rPr>
                <w:color w:val="333333"/>
                <w:spacing w:val="23"/>
                <w:sz w:val="20"/>
              </w:rPr>
              <w:t xml:space="preserve"> </w:t>
            </w:r>
            <w:r>
              <w:rPr>
                <w:color w:val="333333"/>
                <w:sz w:val="20"/>
              </w:rPr>
              <w:t>del</w:t>
            </w:r>
            <w:r>
              <w:rPr>
                <w:color w:val="333333"/>
                <w:spacing w:val="24"/>
                <w:sz w:val="20"/>
              </w:rPr>
              <w:t xml:space="preserve"> </w:t>
            </w:r>
            <w:r>
              <w:rPr>
                <w:color w:val="333333"/>
                <w:sz w:val="20"/>
              </w:rPr>
              <w:t>Ministerio</w:t>
            </w:r>
            <w:r>
              <w:rPr>
                <w:color w:val="333333"/>
                <w:spacing w:val="23"/>
                <w:sz w:val="20"/>
              </w:rPr>
              <w:t xml:space="preserve"> </w:t>
            </w:r>
            <w:r>
              <w:rPr>
                <w:color w:val="333333"/>
                <w:spacing w:val="-5"/>
                <w:sz w:val="20"/>
              </w:rPr>
              <w:t>de</w:t>
            </w:r>
          </w:p>
          <w:p w14:paraId="5FB961E0" w14:textId="77777777" w:rsidR="000E52B0" w:rsidRDefault="00F60D74">
            <w:pPr>
              <w:pStyle w:val="TableParagraph"/>
              <w:spacing w:line="221" w:lineRule="exact"/>
              <w:ind w:left="107"/>
              <w:jc w:val="both"/>
              <w:rPr>
                <w:sz w:val="20"/>
              </w:rPr>
            </w:pPr>
            <w:r>
              <w:rPr>
                <w:color w:val="333333"/>
                <w:sz w:val="20"/>
              </w:rPr>
              <w:t>Igualdad</w:t>
            </w:r>
            <w:r>
              <w:rPr>
                <w:color w:val="333333"/>
                <w:spacing w:val="-6"/>
                <w:sz w:val="20"/>
              </w:rPr>
              <w:t xml:space="preserve"> </w:t>
            </w:r>
            <w:r>
              <w:rPr>
                <w:color w:val="333333"/>
                <w:sz w:val="20"/>
              </w:rPr>
              <w:t>y</w:t>
            </w:r>
            <w:r>
              <w:rPr>
                <w:color w:val="333333"/>
                <w:spacing w:val="-5"/>
                <w:sz w:val="20"/>
              </w:rPr>
              <w:t xml:space="preserve"> </w:t>
            </w:r>
            <w:r>
              <w:rPr>
                <w:color w:val="333333"/>
                <w:spacing w:val="-2"/>
                <w:sz w:val="20"/>
              </w:rPr>
              <w:t>Equidad.</w:t>
            </w:r>
          </w:p>
        </w:tc>
        <w:tc>
          <w:tcPr>
            <w:tcW w:w="3809" w:type="dxa"/>
            <w:tcBorders>
              <w:top w:val="nil"/>
            </w:tcBorders>
          </w:tcPr>
          <w:p w14:paraId="65ECB939" w14:textId="77777777" w:rsidR="000E52B0" w:rsidRDefault="000E52B0">
            <w:pPr>
              <w:pStyle w:val="TableParagraph"/>
              <w:rPr>
                <w:rFonts w:ascii="Times New Roman"/>
                <w:sz w:val="18"/>
              </w:rPr>
            </w:pPr>
          </w:p>
        </w:tc>
      </w:tr>
      <w:tr w:rsidR="000E52B0" w14:paraId="040E478F" w14:textId="77777777">
        <w:trPr>
          <w:trHeight w:val="1095"/>
        </w:trPr>
        <w:tc>
          <w:tcPr>
            <w:tcW w:w="4712" w:type="dxa"/>
            <w:tcBorders>
              <w:bottom w:val="nil"/>
            </w:tcBorders>
          </w:tcPr>
          <w:p w14:paraId="714E203C" w14:textId="77777777" w:rsidR="000E52B0" w:rsidRDefault="00F60D74">
            <w:pPr>
              <w:pStyle w:val="TableParagraph"/>
              <w:spacing w:before="2"/>
              <w:ind w:left="107" w:right="87"/>
              <w:jc w:val="both"/>
              <w:rPr>
                <w:sz w:val="20"/>
              </w:rPr>
            </w:pPr>
            <w:r>
              <w:rPr>
                <w:b/>
                <w:color w:val="333333"/>
                <w:sz w:val="20"/>
              </w:rPr>
              <w:t>ARTÍCULO</w:t>
            </w:r>
            <w:r>
              <w:rPr>
                <w:b/>
                <w:color w:val="333333"/>
                <w:spacing w:val="-13"/>
                <w:sz w:val="20"/>
              </w:rPr>
              <w:t xml:space="preserve"> </w:t>
            </w:r>
            <w:r>
              <w:rPr>
                <w:b/>
                <w:color w:val="333333"/>
                <w:sz w:val="20"/>
              </w:rPr>
              <w:t>15.</w:t>
            </w:r>
            <w:r>
              <w:rPr>
                <w:b/>
                <w:color w:val="333333"/>
                <w:spacing w:val="-15"/>
                <w:sz w:val="20"/>
              </w:rPr>
              <w:t xml:space="preserve"> </w:t>
            </w:r>
            <w:r>
              <w:rPr>
                <w:color w:val="333333"/>
                <w:sz w:val="20"/>
              </w:rPr>
              <w:t>Modifíquese</w:t>
            </w:r>
            <w:r>
              <w:rPr>
                <w:color w:val="333333"/>
                <w:spacing w:val="-15"/>
                <w:sz w:val="20"/>
              </w:rPr>
              <w:t xml:space="preserve"> </w:t>
            </w:r>
            <w:r>
              <w:rPr>
                <w:color w:val="333333"/>
                <w:sz w:val="20"/>
              </w:rPr>
              <w:t>el</w:t>
            </w:r>
            <w:r>
              <w:rPr>
                <w:color w:val="333333"/>
                <w:spacing w:val="-16"/>
                <w:sz w:val="20"/>
              </w:rPr>
              <w:t xml:space="preserve"> </w:t>
            </w:r>
            <w:r>
              <w:rPr>
                <w:color w:val="333333"/>
                <w:sz w:val="20"/>
              </w:rPr>
              <w:t>artículo</w:t>
            </w:r>
            <w:r>
              <w:rPr>
                <w:color w:val="333333"/>
                <w:spacing w:val="-14"/>
                <w:sz w:val="20"/>
              </w:rPr>
              <w:t xml:space="preserve"> </w:t>
            </w:r>
            <w:hyperlink r:id="rId236">
              <w:r w:rsidR="000E52B0">
                <w:rPr>
                  <w:color w:val="467885"/>
                  <w:sz w:val="20"/>
                  <w:u w:val="single" w:color="467885"/>
                </w:rPr>
                <w:t>17</w:t>
              </w:r>
            </w:hyperlink>
            <w:r>
              <w:rPr>
                <w:color w:val="467885"/>
                <w:spacing w:val="-15"/>
                <w:sz w:val="20"/>
              </w:rPr>
              <w:t xml:space="preserve"> </w:t>
            </w:r>
            <w:r>
              <w:rPr>
                <w:color w:val="333333"/>
                <w:sz w:val="20"/>
              </w:rPr>
              <w:t>de la Ley 1444 de 2011, modificado por el artículo 20 de |a Ley 2162 de 2021, el cual quedará así:</w:t>
            </w:r>
          </w:p>
        </w:tc>
        <w:tc>
          <w:tcPr>
            <w:tcW w:w="4723" w:type="dxa"/>
            <w:tcBorders>
              <w:bottom w:val="nil"/>
            </w:tcBorders>
          </w:tcPr>
          <w:p w14:paraId="5D379AB3" w14:textId="77777777" w:rsidR="000E52B0" w:rsidRDefault="00F60D74">
            <w:pPr>
              <w:pStyle w:val="TableParagraph"/>
              <w:spacing w:before="2"/>
              <w:ind w:left="107" w:right="84"/>
              <w:jc w:val="both"/>
              <w:rPr>
                <w:sz w:val="20"/>
              </w:rPr>
            </w:pPr>
            <w:r>
              <w:rPr>
                <w:b/>
                <w:color w:val="333333"/>
                <w:sz w:val="20"/>
              </w:rPr>
              <w:t>ARTÍCULO</w:t>
            </w:r>
            <w:r>
              <w:rPr>
                <w:b/>
                <w:color w:val="333333"/>
                <w:spacing w:val="-11"/>
                <w:sz w:val="20"/>
              </w:rPr>
              <w:t xml:space="preserve"> </w:t>
            </w:r>
            <w:r>
              <w:rPr>
                <w:b/>
                <w:color w:val="333333"/>
                <w:sz w:val="20"/>
              </w:rPr>
              <w:t>1</w:t>
            </w:r>
            <w:r>
              <w:rPr>
                <w:b/>
                <w:color w:val="333333"/>
                <w:sz w:val="20"/>
                <w:u w:val="single" w:color="333333"/>
              </w:rPr>
              <w:t>4</w:t>
            </w:r>
            <w:r>
              <w:rPr>
                <w:b/>
                <w:color w:val="333333"/>
                <w:sz w:val="20"/>
              </w:rPr>
              <w:t>.</w:t>
            </w:r>
            <w:r>
              <w:rPr>
                <w:b/>
                <w:color w:val="333333"/>
                <w:spacing w:val="-13"/>
                <w:sz w:val="20"/>
              </w:rPr>
              <w:t xml:space="preserve"> </w:t>
            </w:r>
            <w:r>
              <w:rPr>
                <w:color w:val="333333"/>
                <w:sz w:val="20"/>
              </w:rPr>
              <w:t>Modifíquese</w:t>
            </w:r>
            <w:r>
              <w:rPr>
                <w:color w:val="333333"/>
                <w:spacing w:val="-13"/>
                <w:sz w:val="20"/>
              </w:rPr>
              <w:t xml:space="preserve"> </w:t>
            </w:r>
            <w:r>
              <w:rPr>
                <w:color w:val="333333"/>
                <w:sz w:val="20"/>
              </w:rPr>
              <w:t>el</w:t>
            </w:r>
            <w:r>
              <w:rPr>
                <w:color w:val="333333"/>
                <w:spacing w:val="-13"/>
                <w:sz w:val="20"/>
              </w:rPr>
              <w:t xml:space="preserve"> </w:t>
            </w:r>
            <w:r>
              <w:rPr>
                <w:color w:val="333333"/>
                <w:sz w:val="20"/>
              </w:rPr>
              <w:t>artículo</w:t>
            </w:r>
            <w:r>
              <w:rPr>
                <w:color w:val="333333"/>
                <w:spacing w:val="-12"/>
                <w:sz w:val="20"/>
              </w:rPr>
              <w:t xml:space="preserve"> </w:t>
            </w:r>
            <w:r>
              <w:rPr>
                <w:sz w:val="20"/>
              </w:rPr>
              <w:t>17</w:t>
            </w:r>
            <w:r>
              <w:rPr>
                <w:spacing w:val="-13"/>
                <w:sz w:val="20"/>
              </w:rPr>
              <w:t xml:space="preserve"> </w:t>
            </w:r>
            <w:r>
              <w:rPr>
                <w:color w:val="333333"/>
                <w:sz w:val="20"/>
              </w:rPr>
              <w:t>de la Ley 1444 de 2011, modificado por el artículo 20 de la Ley 2162 de 2021, el cual quedará así:</w:t>
            </w:r>
          </w:p>
        </w:tc>
        <w:tc>
          <w:tcPr>
            <w:tcW w:w="3809" w:type="dxa"/>
            <w:tcBorders>
              <w:bottom w:val="nil"/>
            </w:tcBorders>
          </w:tcPr>
          <w:p w14:paraId="3936BD70" w14:textId="77777777" w:rsidR="000E52B0" w:rsidRDefault="00F60D74">
            <w:pPr>
              <w:pStyle w:val="TableParagraph"/>
              <w:spacing w:before="2"/>
              <w:ind w:left="108"/>
              <w:rPr>
                <w:sz w:val="20"/>
              </w:rPr>
            </w:pPr>
            <w:r>
              <w:rPr>
                <w:sz w:val="20"/>
              </w:rPr>
              <w:t>Cambia</w:t>
            </w:r>
            <w:r>
              <w:rPr>
                <w:spacing w:val="-7"/>
                <w:sz w:val="20"/>
              </w:rPr>
              <w:t xml:space="preserve"> </w:t>
            </w:r>
            <w:r>
              <w:rPr>
                <w:sz w:val="20"/>
              </w:rPr>
              <w:t>la</w:t>
            </w:r>
            <w:r>
              <w:rPr>
                <w:spacing w:val="-7"/>
                <w:sz w:val="20"/>
              </w:rPr>
              <w:t xml:space="preserve"> </w:t>
            </w:r>
            <w:r>
              <w:rPr>
                <w:sz w:val="20"/>
              </w:rPr>
              <w:t>numeración</w:t>
            </w:r>
            <w:r>
              <w:rPr>
                <w:spacing w:val="-6"/>
                <w:sz w:val="20"/>
              </w:rPr>
              <w:t xml:space="preserve"> </w:t>
            </w:r>
            <w:r>
              <w:rPr>
                <w:sz w:val="20"/>
              </w:rPr>
              <w:t>del</w:t>
            </w:r>
            <w:r>
              <w:rPr>
                <w:spacing w:val="-6"/>
                <w:sz w:val="20"/>
              </w:rPr>
              <w:t xml:space="preserve"> </w:t>
            </w:r>
            <w:r>
              <w:rPr>
                <w:spacing w:val="-2"/>
                <w:sz w:val="20"/>
              </w:rPr>
              <w:t>artículo.</w:t>
            </w:r>
          </w:p>
        </w:tc>
      </w:tr>
      <w:tr w:rsidR="000E52B0" w14:paraId="210E3973" w14:textId="77777777">
        <w:trPr>
          <w:trHeight w:val="1822"/>
        </w:trPr>
        <w:tc>
          <w:tcPr>
            <w:tcW w:w="4712" w:type="dxa"/>
            <w:tcBorders>
              <w:top w:val="nil"/>
            </w:tcBorders>
          </w:tcPr>
          <w:p w14:paraId="32DBF292" w14:textId="77777777" w:rsidR="000E52B0" w:rsidRDefault="00F60D74">
            <w:pPr>
              <w:pStyle w:val="TableParagraph"/>
              <w:spacing w:before="121"/>
              <w:ind w:left="107" w:right="90"/>
              <w:jc w:val="both"/>
              <w:rPr>
                <w:i/>
                <w:sz w:val="20"/>
              </w:rPr>
            </w:pPr>
            <w:r>
              <w:rPr>
                <w:b/>
                <w:i/>
                <w:color w:val="333333"/>
                <w:sz w:val="20"/>
              </w:rPr>
              <w:t xml:space="preserve">ARTÍCULO 17. </w:t>
            </w:r>
            <w:r>
              <w:rPr>
                <w:i/>
                <w:color w:val="333333"/>
                <w:sz w:val="20"/>
              </w:rPr>
              <w:t>Número, denominación, orden y precedencia de los Ministerios. El número de ministerios es diecinueve. La denominación, orden y precedencia de los ministerios es la siguiente:</w:t>
            </w:r>
          </w:p>
          <w:p w14:paraId="3AF598AA" w14:textId="77777777" w:rsidR="000E52B0" w:rsidRDefault="00F60D74">
            <w:pPr>
              <w:pStyle w:val="TableParagraph"/>
              <w:numPr>
                <w:ilvl w:val="0"/>
                <w:numId w:val="6"/>
              </w:numPr>
              <w:tabs>
                <w:tab w:val="left" w:pos="826"/>
              </w:tabs>
              <w:spacing w:line="242" w:lineRule="exact"/>
              <w:ind w:left="826" w:hanging="358"/>
              <w:jc w:val="both"/>
              <w:rPr>
                <w:i/>
                <w:sz w:val="20"/>
              </w:rPr>
            </w:pPr>
            <w:r>
              <w:rPr>
                <w:i/>
                <w:color w:val="333333"/>
                <w:sz w:val="20"/>
              </w:rPr>
              <w:t>Ministerio</w:t>
            </w:r>
            <w:r>
              <w:rPr>
                <w:i/>
                <w:color w:val="333333"/>
                <w:spacing w:val="-9"/>
                <w:sz w:val="20"/>
              </w:rPr>
              <w:t xml:space="preserve"> </w:t>
            </w:r>
            <w:r>
              <w:rPr>
                <w:i/>
                <w:color w:val="333333"/>
                <w:sz w:val="20"/>
              </w:rPr>
              <w:t>del</w:t>
            </w:r>
            <w:r>
              <w:rPr>
                <w:i/>
                <w:color w:val="333333"/>
                <w:spacing w:val="-6"/>
                <w:sz w:val="20"/>
              </w:rPr>
              <w:t xml:space="preserve"> </w:t>
            </w:r>
            <w:r>
              <w:rPr>
                <w:i/>
                <w:color w:val="333333"/>
                <w:spacing w:val="-2"/>
                <w:sz w:val="20"/>
              </w:rPr>
              <w:t>Interior.</w:t>
            </w:r>
          </w:p>
          <w:p w14:paraId="7AEE927D" w14:textId="77777777" w:rsidR="000E52B0" w:rsidRDefault="00F60D74">
            <w:pPr>
              <w:pStyle w:val="TableParagraph"/>
              <w:numPr>
                <w:ilvl w:val="0"/>
                <w:numId w:val="6"/>
              </w:numPr>
              <w:tabs>
                <w:tab w:val="left" w:pos="826"/>
              </w:tabs>
              <w:spacing w:before="2" w:line="222" w:lineRule="exact"/>
              <w:ind w:left="826" w:hanging="358"/>
              <w:jc w:val="both"/>
              <w:rPr>
                <w:i/>
                <w:sz w:val="20"/>
              </w:rPr>
            </w:pPr>
            <w:r>
              <w:rPr>
                <w:i/>
                <w:color w:val="333333"/>
                <w:sz w:val="20"/>
              </w:rPr>
              <w:t>Ministerio</w:t>
            </w:r>
            <w:r>
              <w:rPr>
                <w:i/>
                <w:color w:val="333333"/>
                <w:spacing w:val="-9"/>
                <w:sz w:val="20"/>
              </w:rPr>
              <w:t xml:space="preserve"> </w:t>
            </w:r>
            <w:r>
              <w:rPr>
                <w:i/>
                <w:color w:val="333333"/>
                <w:sz w:val="20"/>
              </w:rPr>
              <w:t>de</w:t>
            </w:r>
            <w:r>
              <w:rPr>
                <w:i/>
                <w:color w:val="333333"/>
                <w:spacing w:val="-8"/>
                <w:sz w:val="20"/>
              </w:rPr>
              <w:t xml:space="preserve"> </w:t>
            </w:r>
            <w:r>
              <w:rPr>
                <w:i/>
                <w:color w:val="333333"/>
                <w:sz w:val="20"/>
              </w:rPr>
              <w:t>Relaciones</w:t>
            </w:r>
            <w:r>
              <w:rPr>
                <w:i/>
                <w:color w:val="333333"/>
                <w:spacing w:val="-6"/>
                <w:sz w:val="20"/>
              </w:rPr>
              <w:t xml:space="preserve"> </w:t>
            </w:r>
            <w:r>
              <w:rPr>
                <w:i/>
                <w:color w:val="333333"/>
                <w:spacing w:val="-2"/>
                <w:sz w:val="20"/>
              </w:rPr>
              <w:t>Exteriores.</w:t>
            </w:r>
          </w:p>
        </w:tc>
        <w:tc>
          <w:tcPr>
            <w:tcW w:w="4723" w:type="dxa"/>
            <w:tcBorders>
              <w:top w:val="nil"/>
            </w:tcBorders>
          </w:tcPr>
          <w:p w14:paraId="2D76B25B" w14:textId="77777777" w:rsidR="000E52B0" w:rsidRDefault="00F60D74">
            <w:pPr>
              <w:pStyle w:val="TableParagraph"/>
              <w:spacing w:before="121"/>
              <w:ind w:left="107" w:right="87"/>
              <w:jc w:val="both"/>
              <w:rPr>
                <w:i/>
                <w:sz w:val="20"/>
              </w:rPr>
            </w:pPr>
            <w:r>
              <w:rPr>
                <w:b/>
                <w:i/>
                <w:color w:val="333333"/>
                <w:sz w:val="20"/>
              </w:rPr>
              <w:t xml:space="preserve">ARTÍCULO 17. </w:t>
            </w:r>
            <w:r>
              <w:rPr>
                <w:i/>
                <w:color w:val="333333"/>
                <w:sz w:val="20"/>
              </w:rPr>
              <w:t>Número, denominación, orden y precedencia de los Ministerios. El número de ministerios es diecinueve. La denominación, orden y precedencia de los ministerios es la siguiente:</w:t>
            </w:r>
          </w:p>
          <w:p w14:paraId="3DA52B18" w14:textId="77777777" w:rsidR="000E52B0" w:rsidRDefault="00F60D74">
            <w:pPr>
              <w:pStyle w:val="TableParagraph"/>
              <w:numPr>
                <w:ilvl w:val="0"/>
                <w:numId w:val="5"/>
              </w:numPr>
              <w:tabs>
                <w:tab w:val="left" w:pos="825"/>
              </w:tabs>
              <w:spacing w:line="242" w:lineRule="exact"/>
              <w:ind w:left="825" w:hanging="358"/>
              <w:jc w:val="both"/>
              <w:rPr>
                <w:i/>
                <w:sz w:val="20"/>
              </w:rPr>
            </w:pPr>
            <w:r>
              <w:rPr>
                <w:i/>
                <w:color w:val="333333"/>
                <w:sz w:val="20"/>
              </w:rPr>
              <w:t>Ministerio</w:t>
            </w:r>
            <w:r>
              <w:rPr>
                <w:i/>
                <w:color w:val="333333"/>
                <w:spacing w:val="-9"/>
                <w:sz w:val="20"/>
              </w:rPr>
              <w:t xml:space="preserve"> </w:t>
            </w:r>
            <w:r>
              <w:rPr>
                <w:i/>
                <w:color w:val="333333"/>
                <w:sz w:val="20"/>
              </w:rPr>
              <w:t>del</w:t>
            </w:r>
            <w:r>
              <w:rPr>
                <w:i/>
                <w:color w:val="333333"/>
                <w:spacing w:val="-6"/>
                <w:sz w:val="20"/>
              </w:rPr>
              <w:t xml:space="preserve"> </w:t>
            </w:r>
            <w:r>
              <w:rPr>
                <w:i/>
                <w:color w:val="333333"/>
                <w:spacing w:val="-2"/>
                <w:sz w:val="20"/>
              </w:rPr>
              <w:t>Interior.</w:t>
            </w:r>
          </w:p>
          <w:p w14:paraId="04730FFD" w14:textId="77777777" w:rsidR="000E52B0" w:rsidRDefault="00F60D74">
            <w:pPr>
              <w:pStyle w:val="TableParagraph"/>
              <w:numPr>
                <w:ilvl w:val="0"/>
                <w:numId w:val="5"/>
              </w:numPr>
              <w:tabs>
                <w:tab w:val="left" w:pos="825"/>
              </w:tabs>
              <w:spacing w:before="2" w:line="222" w:lineRule="exact"/>
              <w:ind w:left="825" w:hanging="358"/>
              <w:jc w:val="both"/>
              <w:rPr>
                <w:i/>
                <w:sz w:val="20"/>
              </w:rPr>
            </w:pPr>
            <w:r>
              <w:rPr>
                <w:i/>
                <w:color w:val="333333"/>
                <w:sz w:val="20"/>
              </w:rPr>
              <w:t>Ministerio</w:t>
            </w:r>
            <w:r>
              <w:rPr>
                <w:i/>
                <w:color w:val="333333"/>
                <w:spacing w:val="-9"/>
                <w:sz w:val="20"/>
              </w:rPr>
              <w:t xml:space="preserve"> </w:t>
            </w:r>
            <w:r>
              <w:rPr>
                <w:i/>
                <w:color w:val="333333"/>
                <w:sz w:val="20"/>
              </w:rPr>
              <w:t>de</w:t>
            </w:r>
            <w:r>
              <w:rPr>
                <w:i/>
                <w:color w:val="333333"/>
                <w:spacing w:val="-8"/>
                <w:sz w:val="20"/>
              </w:rPr>
              <w:t xml:space="preserve"> </w:t>
            </w:r>
            <w:r>
              <w:rPr>
                <w:i/>
                <w:color w:val="333333"/>
                <w:sz w:val="20"/>
              </w:rPr>
              <w:t>Relaciones</w:t>
            </w:r>
            <w:r>
              <w:rPr>
                <w:i/>
                <w:color w:val="333333"/>
                <w:spacing w:val="-6"/>
                <w:sz w:val="20"/>
              </w:rPr>
              <w:t xml:space="preserve"> </w:t>
            </w:r>
            <w:r>
              <w:rPr>
                <w:i/>
                <w:color w:val="333333"/>
                <w:spacing w:val="-2"/>
                <w:sz w:val="20"/>
              </w:rPr>
              <w:t>Exteriores.</w:t>
            </w:r>
          </w:p>
        </w:tc>
        <w:tc>
          <w:tcPr>
            <w:tcW w:w="3809" w:type="dxa"/>
            <w:tcBorders>
              <w:top w:val="nil"/>
            </w:tcBorders>
          </w:tcPr>
          <w:p w14:paraId="4D390F56" w14:textId="77777777" w:rsidR="000E52B0" w:rsidRDefault="000E52B0">
            <w:pPr>
              <w:pStyle w:val="TableParagraph"/>
              <w:rPr>
                <w:rFonts w:ascii="Times New Roman"/>
                <w:sz w:val="18"/>
              </w:rPr>
            </w:pPr>
          </w:p>
        </w:tc>
      </w:tr>
    </w:tbl>
    <w:p w14:paraId="39BEB723" w14:textId="77777777" w:rsidR="000E52B0" w:rsidRDefault="000E52B0">
      <w:pPr>
        <w:pStyle w:val="TableParagraph"/>
        <w:rPr>
          <w:rFonts w:ascii="Times New Roman"/>
          <w:sz w:val="18"/>
        </w:rPr>
        <w:sectPr w:rsidR="000E52B0">
          <w:pgSz w:w="16840" w:h="11910" w:orient="landscape"/>
          <w:pgMar w:top="1340" w:right="1800" w:bottom="1180" w:left="1440" w:header="0" w:footer="995" w:gutter="0"/>
          <w:cols w:space="720"/>
        </w:sectPr>
      </w:pPr>
    </w:p>
    <w:p w14:paraId="648482B1" w14:textId="77777777" w:rsidR="000E52B0" w:rsidRDefault="000E52B0">
      <w:pPr>
        <w:pStyle w:val="Textoindependiente"/>
        <w:spacing w:before="8" w:after="1"/>
        <w:ind w:left="0"/>
        <w:rPr>
          <w:b/>
          <w:sz w:val="7"/>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12"/>
        <w:gridCol w:w="4723"/>
        <w:gridCol w:w="3809"/>
      </w:tblGrid>
      <w:tr w:rsidR="000E52B0" w14:paraId="38241D1D" w14:textId="77777777">
        <w:trPr>
          <w:trHeight w:val="6077"/>
        </w:trPr>
        <w:tc>
          <w:tcPr>
            <w:tcW w:w="4712" w:type="dxa"/>
          </w:tcPr>
          <w:p w14:paraId="4A96BD5B" w14:textId="77777777" w:rsidR="000E52B0" w:rsidRDefault="00F60D74">
            <w:pPr>
              <w:pStyle w:val="TableParagraph"/>
              <w:numPr>
                <w:ilvl w:val="0"/>
                <w:numId w:val="4"/>
              </w:numPr>
              <w:tabs>
                <w:tab w:val="left" w:pos="826"/>
                <w:tab w:val="left" w:pos="828"/>
              </w:tabs>
              <w:ind w:right="91"/>
              <w:rPr>
                <w:i/>
                <w:color w:val="333333"/>
                <w:sz w:val="20"/>
              </w:rPr>
            </w:pPr>
            <w:r>
              <w:rPr>
                <w:i/>
                <w:color w:val="333333"/>
                <w:sz w:val="20"/>
              </w:rPr>
              <w:t>Ministerio</w:t>
            </w:r>
            <w:r>
              <w:rPr>
                <w:i/>
                <w:color w:val="333333"/>
                <w:spacing w:val="80"/>
                <w:sz w:val="20"/>
              </w:rPr>
              <w:t xml:space="preserve"> </w:t>
            </w:r>
            <w:r>
              <w:rPr>
                <w:i/>
                <w:color w:val="333333"/>
                <w:sz w:val="20"/>
              </w:rPr>
              <w:t>de</w:t>
            </w:r>
            <w:r>
              <w:rPr>
                <w:i/>
                <w:color w:val="333333"/>
                <w:spacing w:val="80"/>
                <w:sz w:val="20"/>
              </w:rPr>
              <w:t xml:space="preserve"> </w:t>
            </w:r>
            <w:r>
              <w:rPr>
                <w:i/>
                <w:color w:val="333333"/>
                <w:sz w:val="20"/>
              </w:rPr>
              <w:t>Hacienda</w:t>
            </w:r>
            <w:r>
              <w:rPr>
                <w:i/>
                <w:color w:val="333333"/>
                <w:spacing w:val="80"/>
                <w:sz w:val="20"/>
              </w:rPr>
              <w:t xml:space="preserve"> </w:t>
            </w:r>
            <w:r>
              <w:rPr>
                <w:i/>
                <w:color w:val="333333"/>
                <w:sz w:val="20"/>
              </w:rPr>
              <w:t>y</w:t>
            </w:r>
            <w:r>
              <w:rPr>
                <w:i/>
                <w:color w:val="333333"/>
                <w:spacing w:val="80"/>
                <w:sz w:val="20"/>
              </w:rPr>
              <w:t xml:space="preserve"> </w:t>
            </w:r>
            <w:r>
              <w:rPr>
                <w:i/>
                <w:color w:val="333333"/>
                <w:sz w:val="20"/>
              </w:rPr>
              <w:t xml:space="preserve">Crédito </w:t>
            </w:r>
            <w:r>
              <w:rPr>
                <w:i/>
                <w:color w:val="333333"/>
                <w:spacing w:val="-2"/>
                <w:sz w:val="20"/>
              </w:rPr>
              <w:t>Público.</w:t>
            </w:r>
          </w:p>
          <w:p w14:paraId="13EB2BF8" w14:textId="77777777" w:rsidR="000E52B0" w:rsidRDefault="00F60D74">
            <w:pPr>
              <w:pStyle w:val="TableParagraph"/>
              <w:numPr>
                <w:ilvl w:val="0"/>
                <w:numId w:val="4"/>
              </w:numPr>
              <w:tabs>
                <w:tab w:val="left" w:pos="826"/>
              </w:tabs>
              <w:spacing w:before="1" w:line="243" w:lineRule="exact"/>
              <w:ind w:left="826" w:hanging="358"/>
              <w:rPr>
                <w:i/>
                <w:color w:val="333333"/>
                <w:sz w:val="20"/>
              </w:rPr>
            </w:pPr>
            <w:r>
              <w:rPr>
                <w:i/>
                <w:color w:val="333333"/>
                <w:sz w:val="20"/>
              </w:rPr>
              <w:t>Ministerio</w:t>
            </w:r>
            <w:r>
              <w:rPr>
                <w:i/>
                <w:color w:val="333333"/>
                <w:spacing w:val="-7"/>
                <w:sz w:val="20"/>
              </w:rPr>
              <w:t xml:space="preserve"> </w:t>
            </w:r>
            <w:r>
              <w:rPr>
                <w:i/>
                <w:color w:val="333333"/>
                <w:sz w:val="20"/>
              </w:rPr>
              <w:t>de</w:t>
            </w:r>
            <w:r>
              <w:rPr>
                <w:i/>
                <w:color w:val="333333"/>
                <w:spacing w:val="-7"/>
                <w:sz w:val="20"/>
              </w:rPr>
              <w:t xml:space="preserve"> </w:t>
            </w:r>
            <w:r>
              <w:rPr>
                <w:i/>
                <w:color w:val="333333"/>
                <w:sz w:val="20"/>
              </w:rPr>
              <w:t>Justicia</w:t>
            </w:r>
            <w:r>
              <w:rPr>
                <w:i/>
                <w:color w:val="333333"/>
                <w:spacing w:val="-6"/>
                <w:sz w:val="20"/>
              </w:rPr>
              <w:t xml:space="preserve"> </w:t>
            </w:r>
            <w:r>
              <w:rPr>
                <w:i/>
                <w:color w:val="333333"/>
                <w:sz w:val="20"/>
              </w:rPr>
              <w:t>y</w:t>
            </w:r>
            <w:r>
              <w:rPr>
                <w:i/>
                <w:color w:val="333333"/>
                <w:spacing w:val="-2"/>
                <w:sz w:val="20"/>
              </w:rPr>
              <w:t xml:space="preserve"> </w:t>
            </w:r>
            <w:r>
              <w:rPr>
                <w:i/>
                <w:color w:val="333333"/>
                <w:sz w:val="20"/>
              </w:rPr>
              <w:t>Del</w:t>
            </w:r>
            <w:r>
              <w:rPr>
                <w:i/>
                <w:color w:val="333333"/>
                <w:spacing w:val="-5"/>
                <w:sz w:val="20"/>
              </w:rPr>
              <w:t xml:space="preserve"> </w:t>
            </w:r>
            <w:r>
              <w:rPr>
                <w:i/>
                <w:color w:val="333333"/>
                <w:spacing w:val="-2"/>
                <w:sz w:val="20"/>
              </w:rPr>
              <w:t>Derecho.</w:t>
            </w:r>
          </w:p>
          <w:p w14:paraId="40028FC0" w14:textId="77777777" w:rsidR="000E52B0" w:rsidRDefault="00F60D74">
            <w:pPr>
              <w:pStyle w:val="TableParagraph"/>
              <w:numPr>
                <w:ilvl w:val="0"/>
                <w:numId w:val="4"/>
              </w:numPr>
              <w:tabs>
                <w:tab w:val="left" w:pos="826"/>
              </w:tabs>
              <w:spacing w:line="242" w:lineRule="exact"/>
              <w:ind w:left="826" w:hanging="358"/>
              <w:rPr>
                <w:i/>
                <w:color w:val="333333"/>
                <w:sz w:val="20"/>
              </w:rPr>
            </w:pPr>
            <w:r>
              <w:rPr>
                <w:i/>
                <w:color w:val="333333"/>
                <w:sz w:val="20"/>
              </w:rPr>
              <w:t>Ministerio</w:t>
            </w:r>
            <w:r>
              <w:rPr>
                <w:i/>
                <w:color w:val="333333"/>
                <w:spacing w:val="-8"/>
                <w:sz w:val="20"/>
              </w:rPr>
              <w:t xml:space="preserve"> </w:t>
            </w:r>
            <w:r>
              <w:rPr>
                <w:i/>
                <w:color w:val="333333"/>
                <w:sz w:val="20"/>
              </w:rPr>
              <w:t>de</w:t>
            </w:r>
            <w:r>
              <w:rPr>
                <w:i/>
                <w:color w:val="333333"/>
                <w:spacing w:val="-8"/>
                <w:sz w:val="20"/>
              </w:rPr>
              <w:t xml:space="preserve"> </w:t>
            </w:r>
            <w:r>
              <w:rPr>
                <w:i/>
                <w:color w:val="333333"/>
                <w:sz w:val="20"/>
              </w:rPr>
              <w:t>Defensa</w:t>
            </w:r>
            <w:r>
              <w:rPr>
                <w:i/>
                <w:color w:val="333333"/>
                <w:spacing w:val="-6"/>
                <w:sz w:val="20"/>
              </w:rPr>
              <w:t xml:space="preserve"> </w:t>
            </w:r>
            <w:r>
              <w:rPr>
                <w:i/>
                <w:color w:val="333333"/>
                <w:spacing w:val="-2"/>
                <w:sz w:val="20"/>
              </w:rPr>
              <w:t>Nacional.</w:t>
            </w:r>
          </w:p>
          <w:p w14:paraId="3D519D9B" w14:textId="77777777" w:rsidR="000E52B0" w:rsidRDefault="00F60D74">
            <w:pPr>
              <w:pStyle w:val="TableParagraph"/>
              <w:numPr>
                <w:ilvl w:val="0"/>
                <w:numId w:val="4"/>
              </w:numPr>
              <w:tabs>
                <w:tab w:val="left" w:pos="826"/>
                <w:tab w:val="left" w:pos="828"/>
              </w:tabs>
              <w:ind w:right="94"/>
              <w:rPr>
                <w:i/>
                <w:color w:val="333333"/>
                <w:sz w:val="20"/>
              </w:rPr>
            </w:pPr>
            <w:r>
              <w:rPr>
                <w:i/>
                <w:color w:val="333333"/>
                <w:sz w:val="20"/>
              </w:rPr>
              <w:t xml:space="preserve">Ministerio de Agricultura y Desarrollo </w:t>
            </w:r>
            <w:r>
              <w:rPr>
                <w:i/>
                <w:color w:val="333333"/>
                <w:spacing w:val="-2"/>
                <w:sz w:val="20"/>
              </w:rPr>
              <w:t>Rural.</w:t>
            </w:r>
          </w:p>
          <w:p w14:paraId="7F180983" w14:textId="77777777" w:rsidR="000E52B0" w:rsidRDefault="00F60D74">
            <w:pPr>
              <w:pStyle w:val="TableParagraph"/>
              <w:numPr>
                <w:ilvl w:val="0"/>
                <w:numId w:val="4"/>
              </w:numPr>
              <w:tabs>
                <w:tab w:val="left" w:pos="826"/>
                <w:tab w:val="left" w:pos="828"/>
                <w:tab w:val="left" w:pos="2005"/>
                <w:tab w:val="left" w:pos="2458"/>
                <w:tab w:val="left" w:pos="3235"/>
                <w:tab w:val="left" w:pos="3563"/>
              </w:tabs>
              <w:spacing w:before="1"/>
              <w:ind w:right="93"/>
              <w:rPr>
                <w:i/>
                <w:color w:val="333333"/>
                <w:sz w:val="20"/>
              </w:rPr>
            </w:pPr>
            <w:r>
              <w:rPr>
                <w:i/>
                <w:color w:val="333333"/>
                <w:spacing w:val="-2"/>
                <w:sz w:val="20"/>
              </w:rPr>
              <w:t>Ministerio</w:t>
            </w:r>
            <w:r>
              <w:rPr>
                <w:i/>
                <w:color w:val="333333"/>
                <w:sz w:val="20"/>
              </w:rPr>
              <w:tab/>
            </w:r>
            <w:r>
              <w:rPr>
                <w:i/>
                <w:color w:val="333333"/>
                <w:spacing w:val="-6"/>
                <w:sz w:val="20"/>
              </w:rPr>
              <w:t>de</w:t>
            </w:r>
            <w:r>
              <w:rPr>
                <w:i/>
                <w:color w:val="333333"/>
                <w:sz w:val="20"/>
              </w:rPr>
              <w:tab/>
            </w:r>
            <w:r>
              <w:rPr>
                <w:i/>
                <w:color w:val="333333"/>
                <w:spacing w:val="-4"/>
                <w:sz w:val="20"/>
              </w:rPr>
              <w:t>Salud</w:t>
            </w:r>
            <w:r>
              <w:rPr>
                <w:i/>
                <w:color w:val="333333"/>
                <w:sz w:val="20"/>
              </w:rPr>
              <w:tab/>
            </w:r>
            <w:r>
              <w:rPr>
                <w:i/>
                <w:color w:val="333333"/>
                <w:spacing w:val="-10"/>
                <w:sz w:val="20"/>
              </w:rPr>
              <w:t>y</w:t>
            </w:r>
            <w:r>
              <w:rPr>
                <w:i/>
                <w:color w:val="333333"/>
                <w:sz w:val="20"/>
              </w:rPr>
              <w:tab/>
            </w:r>
            <w:r>
              <w:rPr>
                <w:i/>
                <w:color w:val="333333"/>
                <w:spacing w:val="-2"/>
                <w:sz w:val="20"/>
              </w:rPr>
              <w:t>Protección Social.</w:t>
            </w:r>
          </w:p>
          <w:p w14:paraId="5831EE5C" w14:textId="77777777" w:rsidR="000E52B0" w:rsidRDefault="00F60D74">
            <w:pPr>
              <w:pStyle w:val="TableParagraph"/>
              <w:numPr>
                <w:ilvl w:val="0"/>
                <w:numId w:val="4"/>
              </w:numPr>
              <w:tabs>
                <w:tab w:val="left" w:pos="826"/>
              </w:tabs>
              <w:spacing w:before="1" w:line="243" w:lineRule="exact"/>
              <w:ind w:left="826" w:hanging="358"/>
              <w:rPr>
                <w:i/>
                <w:color w:val="333333"/>
                <w:sz w:val="20"/>
              </w:rPr>
            </w:pPr>
            <w:r>
              <w:rPr>
                <w:i/>
                <w:color w:val="333333"/>
                <w:sz w:val="20"/>
              </w:rPr>
              <w:t>Ministerio</w:t>
            </w:r>
            <w:r>
              <w:rPr>
                <w:i/>
                <w:color w:val="333333"/>
                <w:spacing w:val="-8"/>
                <w:sz w:val="20"/>
              </w:rPr>
              <w:t xml:space="preserve"> </w:t>
            </w:r>
            <w:r>
              <w:rPr>
                <w:i/>
                <w:color w:val="333333"/>
                <w:sz w:val="20"/>
              </w:rPr>
              <w:t>de</w:t>
            </w:r>
            <w:r>
              <w:rPr>
                <w:i/>
                <w:color w:val="333333"/>
                <w:spacing w:val="-7"/>
                <w:sz w:val="20"/>
              </w:rPr>
              <w:t xml:space="preserve"> </w:t>
            </w:r>
            <w:r>
              <w:rPr>
                <w:i/>
                <w:color w:val="333333"/>
                <w:spacing w:val="-2"/>
                <w:sz w:val="20"/>
              </w:rPr>
              <w:t>Trabajo.</w:t>
            </w:r>
          </w:p>
          <w:p w14:paraId="0E921E5C" w14:textId="77777777" w:rsidR="000E52B0" w:rsidRDefault="00F60D74">
            <w:pPr>
              <w:pStyle w:val="TableParagraph"/>
              <w:numPr>
                <w:ilvl w:val="0"/>
                <w:numId w:val="4"/>
              </w:numPr>
              <w:tabs>
                <w:tab w:val="left" w:pos="826"/>
              </w:tabs>
              <w:spacing w:line="242" w:lineRule="exact"/>
              <w:ind w:left="826" w:hanging="358"/>
              <w:rPr>
                <w:i/>
                <w:color w:val="333333"/>
                <w:sz w:val="20"/>
              </w:rPr>
            </w:pPr>
            <w:r>
              <w:rPr>
                <w:i/>
                <w:color w:val="333333"/>
                <w:sz w:val="20"/>
              </w:rPr>
              <w:t>Ministerio</w:t>
            </w:r>
            <w:r>
              <w:rPr>
                <w:i/>
                <w:color w:val="333333"/>
                <w:spacing w:val="-6"/>
                <w:sz w:val="20"/>
              </w:rPr>
              <w:t xml:space="preserve"> </w:t>
            </w:r>
            <w:r>
              <w:rPr>
                <w:i/>
                <w:color w:val="333333"/>
                <w:sz w:val="20"/>
              </w:rPr>
              <w:t>de</w:t>
            </w:r>
            <w:r>
              <w:rPr>
                <w:i/>
                <w:color w:val="333333"/>
                <w:spacing w:val="-6"/>
                <w:sz w:val="20"/>
              </w:rPr>
              <w:t xml:space="preserve"> </w:t>
            </w:r>
            <w:r>
              <w:rPr>
                <w:i/>
                <w:color w:val="333333"/>
                <w:sz w:val="20"/>
              </w:rPr>
              <w:t>Minas</w:t>
            </w:r>
            <w:r>
              <w:rPr>
                <w:i/>
                <w:color w:val="333333"/>
                <w:spacing w:val="-4"/>
                <w:sz w:val="20"/>
              </w:rPr>
              <w:t xml:space="preserve"> </w:t>
            </w:r>
            <w:r>
              <w:rPr>
                <w:i/>
                <w:color w:val="333333"/>
                <w:sz w:val="20"/>
              </w:rPr>
              <w:t>y</w:t>
            </w:r>
            <w:r>
              <w:rPr>
                <w:i/>
                <w:color w:val="333333"/>
                <w:spacing w:val="-5"/>
                <w:sz w:val="20"/>
              </w:rPr>
              <w:t xml:space="preserve"> </w:t>
            </w:r>
            <w:r>
              <w:rPr>
                <w:i/>
                <w:color w:val="333333"/>
                <w:spacing w:val="-2"/>
                <w:sz w:val="20"/>
              </w:rPr>
              <w:t>Energía.</w:t>
            </w:r>
          </w:p>
          <w:p w14:paraId="16A36838" w14:textId="77777777" w:rsidR="000E52B0" w:rsidRDefault="00F60D74">
            <w:pPr>
              <w:pStyle w:val="TableParagraph"/>
              <w:numPr>
                <w:ilvl w:val="0"/>
                <w:numId w:val="4"/>
              </w:numPr>
              <w:tabs>
                <w:tab w:val="left" w:pos="826"/>
                <w:tab w:val="left" w:pos="828"/>
              </w:tabs>
              <w:ind w:right="91"/>
              <w:rPr>
                <w:i/>
                <w:color w:val="333333"/>
                <w:sz w:val="20"/>
              </w:rPr>
            </w:pPr>
            <w:r>
              <w:rPr>
                <w:i/>
                <w:color w:val="333333"/>
                <w:sz w:val="20"/>
              </w:rPr>
              <w:t>Ministerio</w:t>
            </w:r>
            <w:r>
              <w:rPr>
                <w:i/>
                <w:color w:val="333333"/>
                <w:spacing w:val="40"/>
                <w:sz w:val="20"/>
              </w:rPr>
              <w:t xml:space="preserve"> </w:t>
            </w:r>
            <w:r>
              <w:rPr>
                <w:i/>
                <w:color w:val="333333"/>
                <w:sz w:val="20"/>
              </w:rPr>
              <w:t>de</w:t>
            </w:r>
            <w:r>
              <w:rPr>
                <w:i/>
                <w:color w:val="333333"/>
                <w:spacing w:val="40"/>
                <w:sz w:val="20"/>
              </w:rPr>
              <w:t xml:space="preserve"> </w:t>
            </w:r>
            <w:r>
              <w:rPr>
                <w:i/>
                <w:color w:val="333333"/>
                <w:sz w:val="20"/>
              </w:rPr>
              <w:t>Comercio,</w:t>
            </w:r>
            <w:r>
              <w:rPr>
                <w:i/>
                <w:color w:val="333333"/>
                <w:spacing w:val="40"/>
                <w:sz w:val="20"/>
              </w:rPr>
              <w:t xml:space="preserve"> </w:t>
            </w:r>
            <w:r>
              <w:rPr>
                <w:i/>
                <w:color w:val="333333"/>
                <w:sz w:val="20"/>
              </w:rPr>
              <w:t>Industria</w:t>
            </w:r>
            <w:r>
              <w:rPr>
                <w:i/>
                <w:color w:val="333333"/>
                <w:spacing w:val="40"/>
                <w:sz w:val="20"/>
              </w:rPr>
              <w:t xml:space="preserve"> </w:t>
            </w:r>
            <w:r>
              <w:rPr>
                <w:i/>
                <w:color w:val="333333"/>
                <w:sz w:val="20"/>
              </w:rPr>
              <w:t xml:space="preserve">y </w:t>
            </w:r>
            <w:r>
              <w:rPr>
                <w:i/>
                <w:color w:val="333333"/>
                <w:spacing w:val="-2"/>
                <w:sz w:val="20"/>
              </w:rPr>
              <w:t>Turismo.</w:t>
            </w:r>
          </w:p>
          <w:p w14:paraId="15E1FA0C" w14:textId="77777777" w:rsidR="000E52B0" w:rsidRDefault="00F60D74">
            <w:pPr>
              <w:pStyle w:val="TableParagraph"/>
              <w:numPr>
                <w:ilvl w:val="0"/>
                <w:numId w:val="4"/>
              </w:numPr>
              <w:tabs>
                <w:tab w:val="left" w:pos="826"/>
              </w:tabs>
              <w:spacing w:before="1" w:line="243" w:lineRule="exact"/>
              <w:ind w:left="826" w:hanging="358"/>
              <w:rPr>
                <w:i/>
                <w:color w:val="333333"/>
                <w:sz w:val="20"/>
              </w:rPr>
            </w:pPr>
            <w:r>
              <w:rPr>
                <w:i/>
                <w:color w:val="333333"/>
                <w:sz w:val="20"/>
              </w:rPr>
              <w:t>Ministerio</w:t>
            </w:r>
            <w:r>
              <w:rPr>
                <w:i/>
                <w:color w:val="333333"/>
                <w:spacing w:val="-9"/>
                <w:sz w:val="20"/>
              </w:rPr>
              <w:t xml:space="preserve"> </w:t>
            </w:r>
            <w:r>
              <w:rPr>
                <w:i/>
                <w:color w:val="333333"/>
                <w:sz w:val="20"/>
              </w:rPr>
              <w:t>de</w:t>
            </w:r>
            <w:r>
              <w:rPr>
                <w:i/>
                <w:color w:val="333333"/>
                <w:spacing w:val="-8"/>
                <w:sz w:val="20"/>
              </w:rPr>
              <w:t xml:space="preserve"> </w:t>
            </w:r>
            <w:r>
              <w:rPr>
                <w:i/>
                <w:color w:val="333333"/>
                <w:sz w:val="20"/>
              </w:rPr>
              <w:t>Educación</w:t>
            </w:r>
            <w:r>
              <w:rPr>
                <w:i/>
                <w:color w:val="333333"/>
                <w:spacing w:val="-5"/>
                <w:sz w:val="20"/>
              </w:rPr>
              <w:t xml:space="preserve"> </w:t>
            </w:r>
            <w:r>
              <w:rPr>
                <w:i/>
                <w:color w:val="333333"/>
                <w:spacing w:val="-2"/>
                <w:sz w:val="20"/>
              </w:rPr>
              <w:t>Nacional.</w:t>
            </w:r>
          </w:p>
          <w:p w14:paraId="19425FB3" w14:textId="77777777" w:rsidR="000E52B0" w:rsidRDefault="00F60D74">
            <w:pPr>
              <w:pStyle w:val="TableParagraph"/>
              <w:numPr>
                <w:ilvl w:val="0"/>
                <w:numId w:val="4"/>
              </w:numPr>
              <w:tabs>
                <w:tab w:val="left" w:pos="826"/>
                <w:tab w:val="left" w:pos="828"/>
              </w:tabs>
              <w:ind w:right="92"/>
              <w:rPr>
                <w:i/>
                <w:color w:val="333333"/>
                <w:sz w:val="20"/>
              </w:rPr>
            </w:pPr>
            <w:r>
              <w:rPr>
                <w:i/>
                <w:color w:val="333333"/>
                <w:sz w:val="20"/>
              </w:rPr>
              <w:t>Ministerio</w:t>
            </w:r>
            <w:r>
              <w:rPr>
                <w:i/>
                <w:color w:val="333333"/>
                <w:spacing w:val="36"/>
                <w:sz w:val="20"/>
              </w:rPr>
              <w:t xml:space="preserve"> </w:t>
            </w:r>
            <w:r>
              <w:rPr>
                <w:i/>
                <w:color w:val="333333"/>
                <w:sz w:val="20"/>
              </w:rPr>
              <w:t>de</w:t>
            </w:r>
            <w:r>
              <w:rPr>
                <w:i/>
                <w:color w:val="333333"/>
                <w:spacing w:val="36"/>
                <w:sz w:val="20"/>
              </w:rPr>
              <w:t xml:space="preserve"> </w:t>
            </w:r>
            <w:r>
              <w:rPr>
                <w:i/>
                <w:color w:val="333333"/>
                <w:sz w:val="20"/>
              </w:rPr>
              <w:t>Ambiente</w:t>
            </w:r>
            <w:r>
              <w:rPr>
                <w:i/>
                <w:color w:val="333333"/>
                <w:spacing w:val="38"/>
                <w:sz w:val="20"/>
              </w:rPr>
              <w:t xml:space="preserve"> </w:t>
            </w:r>
            <w:r>
              <w:rPr>
                <w:i/>
                <w:color w:val="333333"/>
                <w:sz w:val="20"/>
              </w:rPr>
              <w:t>y</w:t>
            </w:r>
            <w:r>
              <w:rPr>
                <w:i/>
                <w:color w:val="333333"/>
                <w:spacing w:val="37"/>
                <w:sz w:val="20"/>
              </w:rPr>
              <w:t xml:space="preserve"> </w:t>
            </w:r>
            <w:r>
              <w:rPr>
                <w:i/>
                <w:color w:val="333333"/>
                <w:sz w:val="20"/>
              </w:rPr>
              <w:t xml:space="preserve">Desarrollo </w:t>
            </w:r>
            <w:r>
              <w:rPr>
                <w:i/>
                <w:color w:val="333333"/>
                <w:spacing w:val="-2"/>
                <w:sz w:val="20"/>
              </w:rPr>
              <w:t>Sostenible.</w:t>
            </w:r>
          </w:p>
          <w:p w14:paraId="225E187E" w14:textId="77777777" w:rsidR="000E52B0" w:rsidRDefault="00F60D74">
            <w:pPr>
              <w:pStyle w:val="TableParagraph"/>
              <w:numPr>
                <w:ilvl w:val="0"/>
                <w:numId w:val="4"/>
              </w:numPr>
              <w:tabs>
                <w:tab w:val="left" w:pos="826"/>
                <w:tab w:val="left" w:pos="828"/>
                <w:tab w:val="left" w:pos="2000"/>
                <w:tab w:val="left" w:pos="2448"/>
                <w:tab w:val="left" w:pos="3582"/>
                <w:tab w:val="left" w:pos="4479"/>
              </w:tabs>
              <w:ind w:right="92"/>
              <w:rPr>
                <w:i/>
                <w:color w:val="333333"/>
                <w:sz w:val="20"/>
              </w:rPr>
            </w:pPr>
            <w:r>
              <w:rPr>
                <w:i/>
                <w:color w:val="333333"/>
                <w:spacing w:val="-2"/>
                <w:sz w:val="20"/>
              </w:rPr>
              <w:t>Ministerio</w:t>
            </w:r>
            <w:r>
              <w:rPr>
                <w:i/>
                <w:color w:val="333333"/>
                <w:sz w:val="20"/>
              </w:rPr>
              <w:tab/>
            </w:r>
            <w:r>
              <w:rPr>
                <w:i/>
                <w:color w:val="333333"/>
                <w:spacing w:val="-6"/>
                <w:sz w:val="20"/>
              </w:rPr>
              <w:t>de</w:t>
            </w:r>
            <w:r>
              <w:rPr>
                <w:i/>
                <w:color w:val="333333"/>
                <w:sz w:val="20"/>
              </w:rPr>
              <w:tab/>
            </w:r>
            <w:r>
              <w:rPr>
                <w:i/>
                <w:color w:val="333333"/>
                <w:spacing w:val="-2"/>
                <w:sz w:val="20"/>
              </w:rPr>
              <w:t>Vivienda,</w:t>
            </w:r>
            <w:r>
              <w:rPr>
                <w:i/>
                <w:color w:val="333333"/>
                <w:sz w:val="20"/>
              </w:rPr>
              <w:tab/>
            </w:r>
            <w:r>
              <w:rPr>
                <w:i/>
                <w:color w:val="333333"/>
                <w:spacing w:val="-2"/>
                <w:sz w:val="20"/>
              </w:rPr>
              <w:t>Ciudad</w:t>
            </w:r>
            <w:r>
              <w:rPr>
                <w:i/>
                <w:color w:val="333333"/>
                <w:sz w:val="20"/>
              </w:rPr>
              <w:tab/>
            </w:r>
            <w:r>
              <w:rPr>
                <w:i/>
                <w:color w:val="333333"/>
                <w:spacing w:val="-10"/>
                <w:sz w:val="20"/>
              </w:rPr>
              <w:t xml:space="preserve">y </w:t>
            </w:r>
            <w:r>
              <w:rPr>
                <w:i/>
                <w:color w:val="333333"/>
                <w:spacing w:val="-2"/>
                <w:sz w:val="20"/>
              </w:rPr>
              <w:t>Territorio.</w:t>
            </w:r>
          </w:p>
          <w:p w14:paraId="0EDE51AC" w14:textId="77777777" w:rsidR="000E52B0" w:rsidRDefault="00F60D74">
            <w:pPr>
              <w:pStyle w:val="TableParagraph"/>
              <w:numPr>
                <w:ilvl w:val="0"/>
                <w:numId w:val="4"/>
              </w:numPr>
              <w:tabs>
                <w:tab w:val="left" w:pos="826"/>
                <w:tab w:val="left" w:pos="828"/>
                <w:tab w:val="left" w:pos="2036"/>
                <w:tab w:val="left" w:pos="2520"/>
                <w:tab w:val="left" w:pos="3937"/>
                <w:tab w:val="left" w:pos="4422"/>
              </w:tabs>
              <w:ind w:right="92"/>
              <w:rPr>
                <w:i/>
                <w:color w:val="333333"/>
                <w:sz w:val="20"/>
              </w:rPr>
            </w:pPr>
            <w:r>
              <w:rPr>
                <w:i/>
                <w:color w:val="333333"/>
                <w:spacing w:val="-2"/>
                <w:sz w:val="20"/>
              </w:rPr>
              <w:t>Ministerio</w:t>
            </w:r>
            <w:r>
              <w:rPr>
                <w:i/>
                <w:color w:val="333333"/>
                <w:sz w:val="20"/>
              </w:rPr>
              <w:tab/>
            </w:r>
            <w:r>
              <w:rPr>
                <w:i/>
                <w:color w:val="333333"/>
                <w:spacing w:val="-6"/>
                <w:sz w:val="20"/>
              </w:rPr>
              <w:t>de</w:t>
            </w:r>
            <w:r>
              <w:rPr>
                <w:i/>
                <w:color w:val="333333"/>
                <w:sz w:val="20"/>
              </w:rPr>
              <w:tab/>
            </w:r>
            <w:r>
              <w:rPr>
                <w:i/>
                <w:color w:val="333333"/>
                <w:spacing w:val="-2"/>
                <w:sz w:val="20"/>
              </w:rPr>
              <w:t>Tecnologías</w:t>
            </w:r>
            <w:r>
              <w:rPr>
                <w:i/>
                <w:color w:val="333333"/>
                <w:sz w:val="20"/>
              </w:rPr>
              <w:tab/>
            </w:r>
            <w:r>
              <w:rPr>
                <w:i/>
                <w:color w:val="333333"/>
                <w:spacing w:val="-6"/>
                <w:sz w:val="20"/>
              </w:rPr>
              <w:t>de</w:t>
            </w:r>
            <w:r>
              <w:rPr>
                <w:i/>
                <w:color w:val="333333"/>
                <w:sz w:val="20"/>
              </w:rPr>
              <w:tab/>
            </w:r>
            <w:r>
              <w:rPr>
                <w:i/>
                <w:color w:val="333333"/>
                <w:spacing w:val="-6"/>
                <w:sz w:val="20"/>
              </w:rPr>
              <w:t xml:space="preserve">la </w:t>
            </w:r>
            <w:r>
              <w:rPr>
                <w:i/>
                <w:color w:val="333333"/>
                <w:sz w:val="20"/>
              </w:rPr>
              <w:t>Información y las Comunicaciones.</w:t>
            </w:r>
          </w:p>
          <w:p w14:paraId="01EFFA4C" w14:textId="77777777" w:rsidR="000E52B0" w:rsidRDefault="00F60D74">
            <w:pPr>
              <w:pStyle w:val="TableParagraph"/>
              <w:numPr>
                <w:ilvl w:val="0"/>
                <w:numId w:val="4"/>
              </w:numPr>
              <w:tabs>
                <w:tab w:val="left" w:pos="826"/>
              </w:tabs>
              <w:spacing w:before="1" w:line="243" w:lineRule="exact"/>
              <w:ind w:left="826" w:hanging="358"/>
              <w:rPr>
                <w:i/>
                <w:color w:val="333333"/>
                <w:sz w:val="20"/>
              </w:rPr>
            </w:pPr>
            <w:r>
              <w:rPr>
                <w:i/>
                <w:color w:val="333333"/>
                <w:sz w:val="20"/>
              </w:rPr>
              <w:t>Ministerio</w:t>
            </w:r>
            <w:r>
              <w:rPr>
                <w:i/>
                <w:color w:val="333333"/>
                <w:spacing w:val="-8"/>
                <w:sz w:val="20"/>
              </w:rPr>
              <w:t xml:space="preserve"> </w:t>
            </w:r>
            <w:r>
              <w:rPr>
                <w:i/>
                <w:color w:val="333333"/>
                <w:sz w:val="20"/>
              </w:rPr>
              <w:t>de</w:t>
            </w:r>
            <w:r>
              <w:rPr>
                <w:i/>
                <w:color w:val="333333"/>
                <w:spacing w:val="-7"/>
                <w:sz w:val="20"/>
              </w:rPr>
              <w:t xml:space="preserve"> </w:t>
            </w:r>
            <w:r>
              <w:rPr>
                <w:i/>
                <w:color w:val="333333"/>
                <w:spacing w:val="-2"/>
                <w:sz w:val="20"/>
              </w:rPr>
              <w:t>Transporte.</w:t>
            </w:r>
          </w:p>
          <w:p w14:paraId="6E61DBAC" w14:textId="77777777" w:rsidR="000E52B0" w:rsidRDefault="00F60D74">
            <w:pPr>
              <w:pStyle w:val="TableParagraph"/>
              <w:numPr>
                <w:ilvl w:val="0"/>
                <w:numId w:val="4"/>
              </w:numPr>
              <w:tabs>
                <w:tab w:val="left" w:pos="826"/>
              </w:tabs>
              <w:spacing w:line="242" w:lineRule="exact"/>
              <w:ind w:left="826" w:hanging="358"/>
              <w:rPr>
                <w:i/>
                <w:color w:val="333333"/>
                <w:sz w:val="20"/>
              </w:rPr>
            </w:pPr>
            <w:r>
              <w:rPr>
                <w:i/>
                <w:color w:val="333333"/>
                <w:sz w:val="20"/>
              </w:rPr>
              <w:t>Ministerio</w:t>
            </w:r>
            <w:r>
              <w:rPr>
                <w:i/>
                <w:color w:val="333333"/>
                <w:spacing w:val="-8"/>
                <w:sz w:val="20"/>
              </w:rPr>
              <w:t xml:space="preserve"> </w:t>
            </w:r>
            <w:r>
              <w:rPr>
                <w:i/>
                <w:color w:val="333333"/>
                <w:sz w:val="20"/>
              </w:rPr>
              <w:t>de</w:t>
            </w:r>
            <w:r>
              <w:rPr>
                <w:i/>
                <w:color w:val="333333"/>
                <w:spacing w:val="-7"/>
                <w:sz w:val="20"/>
              </w:rPr>
              <w:t xml:space="preserve"> </w:t>
            </w:r>
            <w:r>
              <w:rPr>
                <w:i/>
                <w:color w:val="333333"/>
                <w:spacing w:val="-2"/>
                <w:sz w:val="20"/>
              </w:rPr>
              <w:t>Cultura.</w:t>
            </w:r>
          </w:p>
          <w:p w14:paraId="3B3539D1" w14:textId="77777777" w:rsidR="000E52B0" w:rsidRDefault="00F60D74">
            <w:pPr>
              <w:pStyle w:val="TableParagraph"/>
              <w:numPr>
                <w:ilvl w:val="0"/>
                <w:numId w:val="4"/>
              </w:numPr>
              <w:tabs>
                <w:tab w:val="left" w:pos="826"/>
              </w:tabs>
              <w:spacing w:line="242" w:lineRule="exact"/>
              <w:ind w:left="826" w:hanging="358"/>
              <w:rPr>
                <w:i/>
                <w:color w:val="333333"/>
                <w:sz w:val="20"/>
              </w:rPr>
            </w:pPr>
            <w:r>
              <w:rPr>
                <w:i/>
                <w:color w:val="333333"/>
                <w:sz w:val="20"/>
              </w:rPr>
              <w:t>Ministerio</w:t>
            </w:r>
            <w:r>
              <w:rPr>
                <w:i/>
                <w:color w:val="333333"/>
                <w:spacing w:val="-9"/>
                <w:sz w:val="20"/>
              </w:rPr>
              <w:t xml:space="preserve"> </w:t>
            </w:r>
            <w:r>
              <w:rPr>
                <w:i/>
                <w:color w:val="333333"/>
                <w:sz w:val="20"/>
              </w:rPr>
              <w:t>del</w:t>
            </w:r>
            <w:r>
              <w:rPr>
                <w:i/>
                <w:color w:val="333333"/>
                <w:spacing w:val="-6"/>
                <w:sz w:val="20"/>
              </w:rPr>
              <w:t xml:space="preserve"> </w:t>
            </w:r>
            <w:r>
              <w:rPr>
                <w:i/>
                <w:color w:val="333333"/>
                <w:spacing w:val="-2"/>
                <w:sz w:val="20"/>
              </w:rPr>
              <w:t>Deporte.</w:t>
            </w:r>
          </w:p>
          <w:p w14:paraId="03F7D9BA" w14:textId="77777777" w:rsidR="000E52B0" w:rsidRDefault="00F60D74">
            <w:pPr>
              <w:pStyle w:val="TableParagraph"/>
              <w:numPr>
                <w:ilvl w:val="0"/>
                <w:numId w:val="4"/>
              </w:numPr>
              <w:tabs>
                <w:tab w:val="left" w:pos="826"/>
                <w:tab w:val="left" w:pos="828"/>
              </w:tabs>
              <w:ind w:right="91"/>
              <w:rPr>
                <w:i/>
                <w:color w:val="333333"/>
                <w:sz w:val="20"/>
              </w:rPr>
            </w:pPr>
            <w:r>
              <w:rPr>
                <w:i/>
                <w:color w:val="333333"/>
                <w:sz w:val="20"/>
              </w:rPr>
              <w:t>Ministerio</w:t>
            </w:r>
            <w:r>
              <w:rPr>
                <w:i/>
                <w:color w:val="333333"/>
                <w:spacing w:val="40"/>
                <w:sz w:val="20"/>
              </w:rPr>
              <w:t xml:space="preserve"> </w:t>
            </w:r>
            <w:r>
              <w:rPr>
                <w:i/>
                <w:color w:val="333333"/>
                <w:sz w:val="20"/>
              </w:rPr>
              <w:t>de</w:t>
            </w:r>
            <w:r>
              <w:rPr>
                <w:i/>
                <w:color w:val="333333"/>
                <w:spacing w:val="40"/>
                <w:sz w:val="20"/>
              </w:rPr>
              <w:t xml:space="preserve"> </w:t>
            </w:r>
            <w:r>
              <w:rPr>
                <w:i/>
                <w:color w:val="333333"/>
                <w:sz w:val="20"/>
              </w:rPr>
              <w:t>Ciencia,</w:t>
            </w:r>
            <w:r>
              <w:rPr>
                <w:i/>
                <w:color w:val="333333"/>
                <w:spacing w:val="40"/>
                <w:sz w:val="20"/>
              </w:rPr>
              <w:t xml:space="preserve"> </w:t>
            </w:r>
            <w:r>
              <w:rPr>
                <w:i/>
                <w:color w:val="333333"/>
                <w:sz w:val="20"/>
              </w:rPr>
              <w:t>Tecnología</w:t>
            </w:r>
            <w:r>
              <w:rPr>
                <w:i/>
                <w:color w:val="333333"/>
                <w:spacing w:val="40"/>
                <w:sz w:val="20"/>
              </w:rPr>
              <w:t xml:space="preserve"> </w:t>
            </w:r>
            <w:r>
              <w:rPr>
                <w:i/>
                <w:color w:val="333333"/>
                <w:sz w:val="20"/>
              </w:rPr>
              <w:t xml:space="preserve">e </w:t>
            </w:r>
            <w:r>
              <w:rPr>
                <w:i/>
                <w:color w:val="333333"/>
                <w:spacing w:val="-2"/>
                <w:sz w:val="20"/>
              </w:rPr>
              <w:t>Innovación.</w:t>
            </w:r>
          </w:p>
          <w:p w14:paraId="56685D08" w14:textId="77777777" w:rsidR="000E52B0" w:rsidRDefault="00F60D74">
            <w:pPr>
              <w:pStyle w:val="TableParagraph"/>
              <w:numPr>
                <w:ilvl w:val="0"/>
                <w:numId w:val="4"/>
              </w:numPr>
              <w:tabs>
                <w:tab w:val="left" w:pos="826"/>
              </w:tabs>
              <w:spacing w:before="1" w:line="221" w:lineRule="exact"/>
              <w:ind w:left="826" w:hanging="358"/>
              <w:rPr>
                <w:color w:val="333333"/>
                <w:sz w:val="20"/>
              </w:rPr>
            </w:pPr>
            <w:r>
              <w:rPr>
                <w:i/>
                <w:color w:val="333333"/>
                <w:sz w:val="20"/>
              </w:rPr>
              <w:t>Ministerio</w:t>
            </w:r>
            <w:r>
              <w:rPr>
                <w:i/>
                <w:color w:val="333333"/>
                <w:spacing w:val="-7"/>
                <w:sz w:val="20"/>
              </w:rPr>
              <w:t xml:space="preserve"> </w:t>
            </w:r>
            <w:r>
              <w:rPr>
                <w:i/>
                <w:color w:val="333333"/>
                <w:sz w:val="20"/>
              </w:rPr>
              <w:t>de</w:t>
            </w:r>
            <w:r>
              <w:rPr>
                <w:i/>
                <w:color w:val="333333"/>
                <w:spacing w:val="-7"/>
                <w:sz w:val="20"/>
              </w:rPr>
              <w:t xml:space="preserve"> </w:t>
            </w:r>
            <w:r>
              <w:rPr>
                <w:i/>
                <w:color w:val="333333"/>
                <w:sz w:val="20"/>
              </w:rPr>
              <w:t>Igualdad</w:t>
            </w:r>
            <w:r>
              <w:rPr>
                <w:i/>
                <w:color w:val="333333"/>
                <w:spacing w:val="-5"/>
                <w:sz w:val="20"/>
              </w:rPr>
              <w:t xml:space="preserve"> </w:t>
            </w:r>
            <w:r>
              <w:rPr>
                <w:i/>
                <w:color w:val="333333"/>
                <w:sz w:val="20"/>
              </w:rPr>
              <w:t>y</w:t>
            </w:r>
            <w:r>
              <w:rPr>
                <w:i/>
                <w:color w:val="333333"/>
                <w:spacing w:val="-5"/>
                <w:sz w:val="20"/>
              </w:rPr>
              <w:t xml:space="preserve"> </w:t>
            </w:r>
            <w:r>
              <w:rPr>
                <w:i/>
                <w:color w:val="333333"/>
                <w:spacing w:val="-2"/>
                <w:sz w:val="20"/>
              </w:rPr>
              <w:t>Equidad</w:t>
            </w:r>
            <w:r>
              <w:rPr>
                <w:color w:val="333333"/>
                <w:spacing w:val="-2"/>
                <w:sz w:val="20"/>
              </w:rPr>
              <w:t>.</w:t>
            </w:r>
          </w:p>
        </w:tc>
        <w:tc>
          <w:tcPr>
            <w:tcW w:w="4723" w:type="dxa"/>
          </w:tcPr>
          <w:p w14:paraId="7CC5D90A" w14:textId="77777777" w:rsidR="000E52B0" w:rsidRDefault="00F60D74">
            <w:pPr>
              <w:pStyle w:val="TableParagraph"/>
              <w:numPr>
                <w:ilvl w:val="0"/>
                <w:numId w:val="3"/>
              </w:numPr>
              <w:tabs>
                <w:tab w:val="left" w:pos="825"/>
                <w:tab w:val="left" w:pos="827"/>
                <w:tab w:val="left" w:pos="1997"/>
                <w:tab w:val="left" w:pos="2446"/>
                <w:tab w:val="left" w:pos="3568"/>
                <w:tab w:val="left" w:pos="3889"/>
              </w:tabs>
              <w:ind w:right="88"/>
              <w:rPr>
                <w:i/>
                <w:sz w:val="20"/>
              </w:rPr>
            </w:pPr>
            <w:r>
              <w:rPr>
                <w:i/>
                <w:color w:val="333333"/>
                <w:spacing w:val="-2"/>
                <w:sz w:val="20"/>
              </w:rPr>
              <w:t>Ministerio</w:t>
            </w:r>
            <w:r>
              <w:rPr>
                <w:i/>
                <w:color w:val="333333"/>
                <w:sz w:val="20"/>
              </w:rPr>
              <w:tab/>
            </w:r>
            <w:r>
              <w:rPr>
                <w:i/>
                <w:color w:val="333333"/>
                <w:spacing w:val="-6"/>
                <w:sz w:val="20"/>
              </w:rPr>
              <w:t>de</w:t>
            </w:r>
            <w:r>
              <w:rPr>
                <w:i/>
                <w:color w:val="333333"/>
                <w:sz w:val="20"/>
              </w:rPr>
              <w:tab/>
            </w:r>
            <w:r>
              <w:rPr>
                <w:i/>
                <w:color w:val="333333"/>
                <w:spacing w:val="-2"/>
                <w:sz w:val="20"/>
              </w:rPr>
              <w:t>Hacienda</w:t>
            </w:r>
            <w:r>
              <w:rPr>
                <w:i/>
                <w:color w:val="333333"/>
                <w:sz w:val="20"/>
              </w:rPr>
              <w:tab/>
            </w:r>
            <w:r>
              <w:rPr>
                <w:i/>
                <w:color w:val="333333"/>
                <w:spacing w:val="-10"/>
                <w:sz w:val="20"/>
              </w:rPr>
              <w:t>y</w:t>
            </w:r>
            <w:r>
              <w:rPr>
                <w:i/>
                <w:color w:val="333333"/>
                <w:sz w:val="20"/>
              </w:rPr>
              <w:tab/>
            </w:r>
            <w:r>
              <w:rPr>
                <w:i/>
                <w:color w:val="333333"/>
                <w:spacing w:val="-2"/>
                <w:sz w:val="20"/>
              </w:rPr>
              <w:t>Crédito Público.</w:t>
            </w:r>
          </w:p>
          <w:p w14:paraId="4D244C5E" w14:textId="77777777" w:rsidR="000E52B0" w:rsidRDefault="00F60D74">
            <w:pPr>
              <w:pStyle w:val="TableParagraph"/>
              <w:numPr>
                <w:ilvl w:val="0"/>
                <w:numId w:val="3"/>
              </w:numPr>
              <w:tabs>
                <w:tab w:val="left" w:pos="825"/>
              </w:tabs>
              <w:spacing w:before="1" w:line="243" w:lineRule="exact"/>
              <w:ind w:left="825" w:hanging="358"/>
              <w:rPr>
                <w:i/>
                <w:sz w:val="20"/>
              </w:rPr>
            </w:pPr>
            <w:r>
              <w:rPr>
                <w:i/>
                <w:color w:val="333333"/>
                <w:sz w:val="20"/>
              </w:rPr>
              <w:t>Ministerio</w:t>
            </w:r>
            <w:r>
              <w:rPr>
                <w:i/>
                <w:color w:val="333333"/>
                <w:spacing w:val="-7"/>
                <w:sz w:val="20"/>
              </w:rPr>
              <w:t xml:space="preserve"> </w:t>
            </w:r>
            <w:r>
              <w:rPr>
                <w:i/>
                <w:color w:val="333333"/>
                <w:sz w:val="20"/>
              </w:rPr>
              <w:t>de</w:t>
            </w:r>
            <w:r>
              <w:rPr>
                <w:i/>
                <w:color w:val="333333"/>
                <w:spacing w:val="-7"/>
                <w:sz w:val="20"/>
              </w:rPr>
              <w:t xml:space="preserve"> </w:t>
            </w:r>
            <w:r>
              <w:rPr>
                <w:i/>
                <w:color w:val="333333"/>
                <w:sz w:val="20"/>
              </w:rPr>
              <w:t>Justicia</w:t>
            </w:r>
            <w:r>
              <w:rPr>
                <w:i/>
                <w:color w:val="333333"/>
                <w:spacing w:val="-6"/>
                <w:sz w:val="20"/>
              </w:rPr>
              <w:t xml:space="preserve"> </w:t>
            </w:r>
            <w:r>
              <w:rPr>
                <w:i/>
                <w:color w:val="333333"/>
                <w:sz w:val="20"/>
              </w:rPr>
              <w:t>y</w:t>
            </w:r>
            <w:r>
              <w:rPr>
                <w:i/>
                <w:color w:val="333333"/>
                <w:spacing w:val="-2"/>
                <w:sz w:val="20"/>
              </w:rPr>
              <w:t xml:space="preserve"> </w:t>
            </w:r>
            <w:r>
              <w:rPr>
                <w:i/>
                <w:color w:val="333333"/>
                <w:sz w:val="20"/>
              </w:rPr>
              <w:t>Del</w:t>
            </w:r>
            <w:r>
              <w:rPr>
                <w:i/>
                <w:color w:val="333333"/>
                <w:spacing w:val="-5"/>
                <w:sz w:val="20"/>
              </w:rPr>
              <w:t xml:space="preserve"> </w:t>
            </w:r>
            <w:r>
              <w:rPr>
                <w:i/>
                <w:color w:val="333333"/>
                <w:spacing w:val="-2"/>
                <w:sz w:val="20"/>
              </w:rPr>
              <w:t>Derecho.</w:t>
            </w:r>
          </w:p>
          <w:p w14:paraId="0492962F" w14:textId="77777777" w:rsidR="000E52B0" w:rsidRDefault="00F60D74">
            <w:pPr>
              <w:pStyle w:val="TableParagraph"/>
              <w:numPr>
                <w:ilvl w:val="0"/>
                <w:numId w:val="3"/>
              </w:numPr>
              <w:tabs>
                <w:tab w:val="left" w:pos="825"/>
              </w:tabs>
              <w:spacing w:line="242" w:lineRule="exact"/>
              <w:ind w:left="825" w:hanging="358"/>
              <w:rPr>
                <w:i/>
                <w:sz w:val="20"/>
              </w:rPr>
            </w:pPr>
            <w:r>
              <w:rPr>
                <w:i/>
                <w:color w:val="333333"/>
                <w:sz w:val="20"/>
              </w:rPr>
              <w:t>Ministerio</w:t>
            </w:r>
            <w:r>
              <w:rPr>
                <w:i/>
                <w:color w:val="333333"/>
                <w:spacing w:val="-8"/>
                <w:sz w:val="20"/>
              </w:rPr>
              <w:t xml:space="preserve"> </w:t>
            </w:r>
            <w:r>
              <w:rPr>
                <w:i/>
                <w:color w:val="333333"/>
                <w:sz w:val="20"/>
              </w:rPr>
              <w:t>de</w:t>
            </w:r>
            <w:r>
              <w:rPr>
                <w:i/>
                <w:color w:val="333333"/>
                <w:spacing w:val="-8"/>
                <w:sz w:val="20"/>
              </w:rPr>
              <w:t xml:space="preserve"> </w:t>
            </w:r>
            <w:r>
              <w:rPr>
                <w:i/>
                <w:color w:val="333333"/>
                <w:sz w:val="20"/>
              </w:rPr>
              <w:t>Defensa</w:t>
            </w:r>
            <w:r>
              <w:rPr>
                <w:i/>
                <w:color w:val="333333"/>
                <w:spacing w:val="-6"/>
                <w:sz w:val="20"/>
              </w:rPr>
              <w:t xml:space="preserve"> </w:t>
            </w:r>
            <w:r>
              <w:rPr>
                <w:i/>
                <w:color w:val="333333"/>
                <w:spacing w:val="-2"/>
                <w:sz w:val="20"/>
              </w:rPr>
              <w:t>Nacional.</w:t>
            </w:r>
          </w:p>
          <w:p w14:paraId="069828FF" w14:textId="77777777" w:rsidR="000E52B0" w:rsidRDefault="00F60D74">
            <w:pPr>
              <w:pStyle w:val="TableParagraph"/>
              <w:numPr>
                <w:ilvl w:val="0"/>
                <w:numId w:val="3"/>
              </w:numPr>
              <w:tabs>
                <w:tab w:val="left" w:pos="825"/>
                <w:tab w:val="left" w:pos="827"/>
              </w:tabs>
              <w:ind w:right="88"/>
              <w:rPr>
                <w:i/>
                <w:sz w:val="20"/>
              </w:rPr>
            </w:pPr>
            <w:r>
              <w:rPr>
                <w:i/>
                <w:color w:val="333333"/>
                <w:sz w:val="20"/>
              </w:rPr>
              <w:t xml:space="preserve">Ministerio de Agricultura y Desarrollo </w:t>
            </w:r>
            <w:r>
              <w:rPr>
                <w:i/>
                <w:color w:val="333333"/>
                <w:spacing w:val="-2"/>
                <w:sz w:val="20"/>
              </w:rPr>
              <w:t>Rural.</w:t>
            </w:r>
          </w:p>
          <w:p w14:paraId="166980A7" w14:textId="77777777" w:rsidR="000E52B0" w:rsidRDefault="00F60D74">
            <w:pPr>
              <w:pStyle w:val="TableParagraph"/>
              <w:numPr>
                <w:ilvl w:val="0"/>
                <w:numId w:val="3"/>
              </w:numPr>
              <w:tabs>
                <w:tab w:val="left" w:pos="825"/>
                <w:tab w:val="left" w:pos="827"/>
                <w:tab w:val="left" w:pos="2007"/>
                <w:tab w:val="left" w:pos="2465"/>
                <w:tab w:val="left" w:pos="3244"/>
                <w:tab w:val="left" w:pos="3575"/>
              </w:tabs>
              <w:spacing w:before="1"/>
              <w:ind w:right="90"/>
              <w:rPr>
                <w:i/>
                <w:sz w:val="20"/>
              </w:rPr>
            </w:pPr>
            <w:r>
              <w:rPr>
                <w:i/>
                <w:color w:val="333333"/>
                <w:spacing w:val="-2"/>
                <w:sz w:val="20"/>
              </w:rPr>
              <w:t>Ministerio</w:t>
            </w:r>
            <w:r>
              <w:rPr>
                <w:i/>
                <w:color w:val="333333"/>
                <w:sz w:val="20"/>
              </w:rPr>
              <w:tab/>
            </w:r>
            <w:r>
              <w:rPr>
                <w:i/>
                <w:color w:val="333333"/>
                <w:spacing w:val="-6"/>
                <w:sz w:val="20"/>
              </w:rPr>
              <w:t>de</w:t>
            </w:r>
            <w:r>
              <w:rPr>
                <w:i/>
                <w:color w:val="333333"/>
                <w:sz w:val="20"/>
              </w:rPr>
              <w:tab/>
            </w:r>
            <w:r>
              <w:rPr>
                <w:i/>
                <w:color w:val="333333"/>
                <w:spacing w:val="-4"/>
                <w:sz w:val="20"/>
              </w:rPr>
              <w:t>Salud</w:t>
            </w:r>
            <w:r>
              <w:rPr>
                <w:i/>
                <w:color w:val="333333"/>
                <w:sz w:val="20"/>
              </w:rPr>
              <w:tab/>
            </w:r>
            <w:r>
              <w:rPr>
                <w:i/>
                <w:color w:val="333333"/>
                <w:spacing w:val="-10"/>
                <w:sz w:val="20"/>
              </w:rPr>
              <w:t>y</w:t>
            </w:r>
            <w:r>
              <w:rPr>
                <w:i/>
                <w:color w:val="333333"/>
                <w:sz w:val="20"/>
              </w:rPr>
              <w:tab/>
            </w:r>
            <w:r>
              <w:rPr>
                <w:i/>
                <w:color w:val="333333"/>
                <w:spacing w:val="-2"/>
                <w:sz w:val="20"/>
              </w:rPr>
              <w:t>Protección Social.</w:t>
            </w:r>
          </w:p>
          <w:p w14:paraId="68793B1E" w14:textId="77777777" w:rsidR="000E52B0" w:rsidRDefault="00F60D74">
            <w:pPr>
              <w:pStyle w:val="TableParagraph"/>
              <w:numPr>
                <w:ilvl w:val="0"/>
                <w:numId w:val="3"/>
              </w:numPr>
              <w:tabs>
                <w:tab w:val="left" w:pos="825"/>
              </w:tabs>
              <w:spacing w:before="1" w:line="243" w:lineRule="exact"/>
              <w:ind w:left="825" w:hanging="358"/>
              <w:rPr>
                <w:i/>
                <w:sz w:val="20"/>
              </w:rPr>
            </w:pPr>
            <w:r>
              <w:rPr>
                <w:i/>
                <w:color w:val="333333"/>
                <w:sz w:val="20"/>
              </w:rPr>
              <w:t>Ministerio</w:t>
            </w:r>
            <w:r>
              <w:rPr>
                <w:i/>
                <w:color w:val="333333"/>
                <w:spacing w:val="-8"/>
                <w:sz w:val="20"/>
              </w:rPr>
              <w:t xml:space="preserve"> </w:t>
            </w:r>
            <w:r>
              <w:rPr>
                <w:i/>
                <w:color w:val="333333"/>
                <w:sz w:val="20"/>
              </w:rPr>
              <w:t>de</w:t>
            </w:r>
            <w:r>
              <w:rPr>
                <w:i/>
                <w:color w:val="333333"/>
                <w:spacing w:val="-7"/>
                <w:sz w:val="20"/>
              </w:rPr>
              <w:t xml:space="preserve"> </w:t>
            </w:r>
            <w:r>
              <w:rPr>
                <w:i/>
                <w:color w:val="333333"/>
                <w:spacing w:val="-2"/>
                <w:sz w:val="20"/>
              </w:rPr>
              <w:t>Trabajo.</w:t>
            </w:r>
          </w:p>
          <w:p w14:paraId="0DDDCD6F" w14:textId="77777777" w:rsidR="000E52B0" w:rsidRDefault="00F60D74">
            <w:pPr>
              <w:pStyle w:val="TableParagraph"/>
              <w:numPr>
                <w:ilvl w:val="0"/>
                <w:numId w:val="3"/>
              </w:numPr>
              <w:tabs>
                <w:tab w:val="left" w:pos="825"/>
              </w:tabs>
              <w:spacing w:line="242" w:lineRule="exact"/>
              <w:ind w:left="825" w:hanging="358"/>
              <w:rPr>
                <w:i/>
                <w:sz w:val="20"/>
              </w:rPr>
            </w:pPr>
            <w:r>
              <w:rPr>
                <w:i/>
                <w:color w:val="333333"/>
                <w:sz w:val="20"/>
              </w:rPr>
              <w:t>Ministerio</w:t>
            </w:r>
            <w:r>
              <w:rPr>
                <w:i/>
                <w:color w:val="333333"/>
                <w:spacing w:val="-6"/>
                <w:sz w:val="20"/>
              </w:rPr>
              <w:t xml:space="preserve"> </w:t>
            </w:r>
            <w:r>
              <w:rPr>
                <w:i/>
                <w:color w:val="333333"/>
                <w:sz w:val="20"/>
              </w:rPr>
              <w:t>de</w:t>
            </w:r>
            <w:r>
              <w:rPr>
                <w:i/>
                <w:color w:val="333333"/>
                <w:spacing w:val="-6"/>
                <w:sz w:val="20"/>
              </w:rPr>
              <w:t xml:space="preserve"> </w:t>
            </w:r>
            <w:r>
              <w:rPr>
                <w:i/>
                <w:color w:val="333333"/>
                <w:sz w:val="20"/>
              </w:rPr>
              <w:t>Minas</w:t>
            </w:r>
            <w:r>
              <w:rPr>
                <w:i/>
                <w:color w:val="333333"/>
                <w:spacing w:val="-4"/>
                <w:sz w:val="20"/>
              </w:rPr>
              <w:t xml:space="preserve"> </w:t>
            </w:r>
            <w:r>
              <w:rPr>
                <w:i/>
                <w:color w:val="333333"/>
                <w:sz w:val="20"/>
              </w:rPr>
              <w:t>y</w:t>
            </w:r>
            <w:r>
              <w:rPr>
                <w:i/>
                <w:color w:val="333333"/>
                <w:spacing w:val="-5"/>
                <w:sz w:val="20"/>
              </w:rPr>
              <w:t xml:space="preserve"> </w:t>
            </w:r>
            <w:r>
              <w:rPr>
                <w:i/>
                <w:color w:val="333333"/>
                <w:spacing w:val="-2"/>
                <w:sz w:val="20"/>
              </w:rPr>
              <w:t>Energía.</w:t>
            </w:r>
          </w:p>
          <w:p w14:paraId="111EE582" w14:textId="77777777" w:rsidR="000E52B0" w:rsidRDefault="00F60D74">
            <w:pPr>
              <w:pStyle w:val="TableParagraph"/>
              <w:numPr>
                <w:ilvl w:val="0"/>
                <w:numId w:val="3"/>
              </w:numPr>
              <w:tabs>
                <w:tab w:val="left" w:pos="825"/>
                <w:tab w:val="left" w:pos="827"/>
              </w:tabs>
              <w:ind w:right="89"/>
              <w:rPr>
                <w:i/>
                <w:sz w:val="20"/>
              </w:rPr>
            </w:pPr>
            <w:r>
              <w:rPr>
                <w:i/>
                <w:color w:val="333333"/>
                <w:sz w:val="20"/>
              </w:rPr>
              <w:t>Ministerio</w:t>
            </w:r>
            <w:r>
              <w:rPr>
                <w:i/>
                <w:color w:val="333333"/>
                <w:spacing w:val="40"/>
                <w:sz w:val="20"/>
              </w:rPr>
              <w:t xml:space="preserve"> </w:t>
            </w:r>
            <w:r>
              <w:rPr>
                <w:i/>
                <w:color w:val="333333"/>
                <w:sz w:val="20"/>
              </w:rPr>
              <w:t>de</w:t>
            </w:r>
            <w:r>
              <w:rPr>
                <w:i/>
                <w:color w:val="333333"/>
                <w:spacing w:val="40"/>
                <w:sz w:val="20"/>
              </w:rPr>
              <w:t xml:space="preserve"> </w:t>
            </w:r>
            <w:r>
              <w:rPr>
                <w:i/>
                <w:color w:val="333333"/>
                <w:sz w:val="20"/>
              </w:rPr>
              <w:t>Comercio,</w:t>
            </w:r>
            <w:r>
              <w:rPr>
                <w:i/>
                <w:color w:val="333333"/>
                <w:spacing w:val="40"/>
                <w:sz w:val="20"/>
              </w:rPr>
              <w:t xml:space="preserve"> </w:t>
            </w:r>
            <w:r>
              <w:rPr>
                <w:i/>
                <w:color w:val="333333"/>
                <w:sz w:val="20"/>
              </w:rPr>
              <w:t>Industria</w:t>
            </w:r>
            <w:r>
              <w:rPr>
                <w:i/>
                <w:color w:val="333333"/>
                <w:spacing w:val="40"/>
                <w:sz w:val="20"/>
              </w:rPr>
              <w:t xml:space="preserve"> </w:t>
            </w:r>
            <w:r>
              <w:rPr>
                <w:i/>
                <w:color w:val="333333"/>
                <w:sz w:val="20"/>
              </w:rPr>
              <w:t xml:space="preserve">y </w:t>
            </w:r>
            <w:r>
              <w:rPr>
                <w:i/>
                <w:color w:val="333333"/>
                <w:spacing w:val="-2"/>
                <w:sz w:val="20"/>
              </w:rPr>
              <w:t>Turismo.</w:t>
            </w:r>
          </w:p>
          <w:p w14:paraId="695758F5" w14:textId="77777777" w:rsidR="000E52B0" w:rsidRDefault="00F60D74">
            <w:pPr>
              <w:pStyle w:val="TableParagraph"/>
              <w:numPr>
                <w:ilvl w:val="0"/>
                <w:numId w:val="3"/>
              </w:numPr>
              <w:tabs>
                <w:tab w:val="left" w:pos="825"/>
              </w:tabs>
              <w:spacing w:before="1" w:line="243" w:lineRule="exact"/>
              <w:ind w:left="825" w:hanging="358"/>
              <w:rPr>
                <w:i/>
                <w:sz w:val="20"/>
              </w:rPr>
            </w:pPr>
            <w:r>
              <w:rPr>
                <w:i/>
                <w:color w:val="333333"/>
                <w:sz w:val="20"/>
              </w:rPr>
              <w:t>Ministerio</w:t>
            </w:r>
            <w:r>
              <w:rPr>
                <w:i/>
                <w:color w:val="333333"/>
                <w:spacing w:val="-9"/>
                <w:sz w:val="20"/>
              </w:rPr>
              <w:t xml:space="preserve"> </w:t>
            </w:r>
            <w:r>
              <w:rPr>
                <w:i/>
                <w:color w:val="333333"/>
                <w:sz w:val="20"/>
              </w:rPr>
              <w:t>de</w:t>
            </w:r>
            <w:r>
              <w:rPr>
                <w:i/>
                <w:color w:val="333333"/>
                <w:spacing w:val="-8"/>
                <w:sz w:val="20"/>
              </w:rPr>
              <w:t xml:space="preserve"> </w:t>
            </w:r>
            <w:r>
              <w:rPr>
                <w:i/>
                <w:color w:val="333333"/>
                <w:sz w:val="20"/>
              </w:rPr>
              <w:t>Educación</w:t>
            </w:r>
            <w:r>
              <w:rPr>
                <w:i/>
                <w:color w:val="333333"/>
                <w:spacing w:val="-5"/>
                <w:sz w:val="20"/>
              </w:rPr>
              <w:t xml:space="preserve"> </w:t>
            </w:r>
            <w:r>
              <w:rPr>
                <w:i/>
                <w:color w:val="333333"/>
                <w:spacing w:val="-2"/>
                <w:sz w:val="20"/>
              </w:rPr>
              <w:t>Nacional.</w:t>
            </w:r>
          </w:p>
          <w:p w14:paraId="56FC99B3" w14:textId="77777777" w:rsidR="000E52B0" w:rsidRDefault="00F60D74">
            <w:pPr>
              <w:pStyle w:val="TableParagraph"/>
              <w:numPr>
                <w:ilvl w:val="0"/>
                <w:numId w:val="3"/>
              </w:numPr>
              <w:tabs>
                <w:tab w:val="left" w:pos="825"/>
                <w:tab w:val="left" w:pos="827"/>
              </w:tabs>
              <w:ind w:right="89"/>
              <w:rPr>
                <w:i/>
                <w:sz w:val="20"/>
              </w:rPr>
            </w:pPr>
            <w:r>
              <w:rPr>
                <w:i/>
                <w:color w:val="333333"/>
                <w:sz w:val="20"/>
              </w:rPr>
              <w:t>Ministerio</w:t>
            </w:r>
            <w:r>
              <w:rPr>
                <w:i/>
                <w:color w:val="333333"/>
                <w:spacing w:val="40"/>
                <w:sz w:val="20"/>
              </w:rPr>
              <w:t xml:space="preserve"> </w:t>
            </w:r>
            <w:r>
              <w:rPr>
                <w:i/>
                <w:color w:val="333333"/>
                <w:sz w:val="20"/>
              </w:rPr>
              <w:t>de</w:t>
            </w:r>
            <w:r>
              <w:rPr>
                <w:i/>
                <w:color w:val="333333"/>
                <w:spacing w:val="39"/>
                <w:sz w:val="20"/>
              </w:rPr>
              <w:t xml:space="preserve"> </w:t>
            </w:r>
            <w:r>
              <w:rPr>
                <w:i/>
                <w:color w:val="333333"/>
                <w:sz w:val="20"/>
              </w:rPr>
              <w:t>Ambiente</w:t>
            </w:r>
            <w:r>
              <w:rPr>
                <w:i/>
                <w:color w:val="333333"/>
                <w:spacing w:val="40"/>
                <w:sz w:val="20"/>
              </w:rPr>
              <w:t xml:space="preserve"> </w:t>
            </w:r>
            <w:r>
              <w:rPr>
                <w:i/>
                <w:color w:val="333333"/>
                <w:sz w:val="20"/>
              </w:rPr>
              <w:t>y</w:t>
            </w:r>
            <w:r>
              <w:rPr>
                <w:i/>
                <w:color w:val="333333"/>
                <w:spacing w:val="40"/>
                <w:sz w:val="20"/>
              </w:rPr>
              <w:t xml:space="preserve"> </w:t>
            </w:r>
            <w:r>
              <w:rPr>
                <w:i/>
                <w:color w:val="333333"/>
                <w:sz w:val="20"/>
              </w:rPr>
              <w:t xml:space="preserve">Desarrollo </w:t>
            </w:r>
            <w:r>
              <w:rPr>
                <w:i/>
                <w:color w:val="333333"/>
                <w:spacing w:val="-2"/>
                <w:sz w:val="20"/>
              </w:rPr>
              <w:t>Sostenible.</w:t>
            </w:r>
          </w:p>
          <w:p w14:paraId="33A15B0B" w14:textId="77777777" w:rsidR="000E52B0" w:rsidRDefault="00F60D74">
            <w:pPr>
              <w:pStyle w:val="TableParagraph"/>
              <w:numPr>
                <w:ilvl w:val="0"/>
                <w:numId w:val="3"/>
              </w:numPr>
              <w:tabs>
                <w:tab w:val="left" w:pos="825"/>
                <w:tab w:val="left" w:pos="827"/>
                <w:tab w:val="left" w:pos="2002"/>
                <w:tab w:val="left" w:pos="2455"/>
                <w:tab w:val="left" w:pos="3592"/>
                <w:tab w:val="left" w:pos="4491"/>
              </w:tabs>
              <w:ind w:right="91"/>
              <w:rPr>
                <w:i/>
                <w:sz w:val="20"/>
              </w:rPr>
            </w:pPr>
            <w:r>
              <w:rPr>
                <w:i/>
                <w:color w:val="333333"/>
                <w:spacing w:val="-2"/>
                <w:sz w:val="20"/>
              </w:rPr>
              <w:t>Ministerio</w:t>
            </w:r>
            <w:r>
              <w:rPr>
                <w:i/>
                <w:color w:val="333333"/>
                <w:sz w:val="20"/>
              </w:rPr>
              <w:tab/>
            </w:r>
            <w:r>
              <w:rPr>
                <w:i/>
                <w:color w:val="333333"/>
                <w:spacing w:val="-6"/>
                <w:sz w:val="20"/>
              </w:rPr>
              <w:t>de</w:t>
            </w:r>
            <w:r>
              <w:rPr>
                <w:i/>
                <w:color w:val="333333"/>
                <w:sz w:val="20"/>
              </w:rPr>
              <w:tab/>
            </w:r>
            <w:r>
              <w:rPr>
                <w:i/>
                <w:color w:val="333333"/>
                <w:spacing w:val="-2"/>
                <w:sz w:val="20"/>
              </w:rPr>
              <w:t>Vivienda,</w:t>
            </w:r>
            <w:r>
              <w:rPr>
                <w:i/>
                <w:color w:val="333333"/>
                <w:sz w:val="20"/>
              </w:rPr>
              <w:tab/>
            </w:r>
            <w:r>
              <w:rPr>
                <w:i/>
                <w:color w:val="333333"/>
                <w:spacing w:val="-2"/>
                <w:sz w:val="20"/>
              </w:rPr>
              <w:t>Ciudad</w:t>
            </w:r>
            <w:r>
              <w:rPr>
                <w:i/>
                <w:color w:val="333333"/>
                <w:sz w:val="20"/>
              </w:rPr>
              <w:tab/>
            </w:r>
            <w:r>
              <w:rPr>
                <w:i/>
                <w:color w:val="333333"/>
                <w:spacing w:val="-10"/>
                <w:sz w:val="20"/>
              </w:rPr>
              <w:t xml:space="preserve">y </w:t>
            </w:r>
            <w:r>
              <w:rPr>
                <w:i/>
                <w:color w:val="333333"/>
                <w:spacing w:val="-2"/>
                <w:sz w:val="20"/>
              </w:rPr>
              <w:t>Territorio.</w:t>
            </w:r>
          </w:p>
          <w:p w14:paraId="502E87DE" w14:textId="77777777" w:rsidR="000E52B0" w:rsidRDefault="00F60D74">
            <w:pPr>
              <w:pStyle w:val="TableParagraph"/>
              <w:numPr>
                <w:ilvl w:val="0"/>
                <w:numId w:val="3"/>
              </w:numPr>
              <w:tabs>
                <w:tab w:val="left" w:pos="825"/>
                <w:tab w:val="left" w:pos="827"/>
                <w:tab w:val="left" w:pos="2038"/>
                <w:tab w:val="left" w:pos="2527"/>
                <w:tab w:val="left" w:pos="3946"/>
                <w:tab w:val="left" w:pos="4436"/>
              </w:tabs>
              <w:ind w:right="90"/>
              <w:rPr>
                <w:i/>
                <w:sz w:val="20"/>
              </w:rPr>
            </w:pPr>
            <w:r>
              <w:rPr>
                <w:i/>
                <w:color w:val="333333"/>
                <w:spacing w:val="-2"/>
                <w:sz w:val="20"/>
              </w:rPr>
              <w:t>Ministerio</w:t>
            </w:r>
            <w:r>
              <w:rPr>
                <w:i/>
                <w:color w:val="333333"/>
                <w:sz w:val="20"/>
              </w:rPr>
              <w:tab/>
            </w:r>
            <w:r>
              <w:rPr>
                <w:i/>
                <w:color w:val="333333"/>
                <w:spacing w:val="-6"/>
                <w:sz w:val="20"/>
              </w:rPr>
              <w:t>de</w:t>
            </w:r>
            <w:r>
              <w:rPr>
                <w:i/>
                <w:color w:val="333333"/>
                <w:sz w:val="20"/>
              </w:rPr>
              <w:tab/>
            </w:r>
            <w:r>
              <w:rPr>
                <w:i/>
                <w:color w:val="333333"/>
                <w:spacing w:val="-2"/>
                <w:sz w:val="20"/>
              </w:rPr>
              <w:t>Tecnologías</w:t>
            </w:r>
            <w:r>
              <w:rPr>
                <w:i/>
                <w:color w:val="333333"/>
                <w:sz w:val="20"/>
              </w:rPr>
              <w:tab/>
            </w:r>
            <w:r>
              <w:rPr>
                <w:i/>
                <w:color w:val="333333"/>
                <w:spacing w:val="-6"/>
                <w:sz w:val="20"/>
              </w:rPr>
              <w:t>de</w:t>
            </w:r>
            <w:r>
              <w:rPr>
                <w:i/>
                <w:color w:val="333333"/>
                <w:sz w:val="20"/>
              </w:rPr>
              <w:tab/>
            </w:r>
            <w:r>
              <w:rPr>
                <w:i/>
                <w:color w:val="333333"/>
                <w:spacing w:val="-6"/>
                <w:sz w:val="20"/>
              </w:rPr>
              <w:t xml:space="preserve">la </w:t>
            </w:r>
            <w:r>
              <w:rPr>
                <w:i/>
                <w:color w:val="333333"/>
                <w:sz w:val="20"/>
              </w:rPr>
              <w:t>Información y las Comunicaciones.</w:t>
            </w:r>
          </w:p>
          <w:p w14:paraId="241F2572" w14:textId="77777777" w:rsidR="000E52B0" w:rsidRDefault="00F60D74">
            <w:pPr>
              <w:pStyle w:val="TableParagraph"/>
              <w:numPr>
                <w:ilvl w:val="0"/>
                <w:numId w:val="3"/>
              </w:numPr>
              <w:tabs>
                <w:tab w:val="left" w:pos="825"/>
              </w:tabs>
              <w:spacing w:before="1" w:line="243" w:lineRule="exact"/>
              <w:ind w:left="825" w:hanging="358"/>
              <w:rPr>
                <w:i/>
                <w:sz w:val="20"/>
              </w:rPr>
            </w:pPr>
            <w:r>
              <w:rPr>
                <w:i/>
                <w:color w:val="333333"/>
                <w:sz w:val="20"/>
              </w:rPr>
              <w:t>Ministerio</w:t>
            </w:r>
            <w:r>
              <w:rPr>
                <w:i/>
                <w:color w:val="333333"/>
                <w:spacing w:val="-8"/>
                <w:sz w:val="20"/>
              </w:rPr>
              <w:t xml:space="preserve"> </w:t>
            </w:r>
            <w:r>
              <w:rPr>
                <w:i/>
                <w:color w:val="333333"/>
                <w:sz w:val="20"/>
              </w:rPr>
              <w:t>de</w:t>
            </w:r>
            <w:r>
              <w:rPr>
                <w:i/>
                <w:color w:val="333333"/>
                <w:spacing w:val="-7"/>
                <w:sz w:val="20"/>
              </w:rPr>
              <w:t xml:space="preserve"> </w:t>
            </w:r>
            <w:r>
              <w:rPr>
                <w:i/>
                <w:color w:val="333333"/>
                <w:spacing w:val="-2"/>
                <w:sz w:val="20"/>
              </w:rPr>
              <w:t>Transporte.</w:t>
            </w:r>
          </w:p>
          <w:p w14:paraId="59EC3910" w14:textId="77777777" w:rsidR="000E52B0" w:rsidRDefault="00F60D74">
            <w:pPr>
              <w:pStyle w:val="TableParagraph"/>
              <w:numPr>
                <w:ilvl w:val="0"/>
                <w:numId w:val="3"/>
              </w:numPr>
              <w:tabs>
                <w:tab w:val="left" w:pos="825"/>
              </w:tabs>
              <w:spacing w:line="242" w:lineRule="exact"/>
              <w:ind w:left="825" w:hanging="358"/>
              <w:rPr>
                <w:i/>
                <w:sz w:val="20"/>
              </w:rPr>
            </w:pPr>
            <w:r>
              <w:rPr>
                <w:i/>
                <w:color w:val="333333"/>
                <w:sz w:val="20"/>
              </w:rPr>
              <w:t>Ministerio</w:t>
            </w:r>
            <w:r>
              <w:rPr>
                <w:i/>
                <w:color w:val="333333"/>
                <w:spacing w:val="-8"/>
                <w:sz w:val="20"/>
              </w:rPr>
              <w:t xml:space="preserve"> </w:t>
            </w:r>
            <w:r>
              <w:rPr>
                <w:i/>
                <w:color w:val="333333"/>
                <w:sz w:val="20"/>
              </w:rPr>
              <w:t>de</w:t>
            </w:r>
            <w:r>
              <w:rPr>
                <w:i/>
                <w:color w:val="333333"/>
                <w:spacing w:val="-7"/>
                <w:sz w:val="20"/>
              </w:rPr>
              <w:t xml:space="preserve"> </w:t>
            </w:r>
            <w:r>
              <w:rPr>
                <w:i/>
                <w:color w:val="333333"/>
                <w:spacing w:val="-2"/>
                <w:sz w:val="20"/>
              </w:rPr>
              <w:t>Cultura.</w:t>
            </w:r>
          </w:p>
          <w:p w14:paraId="565612EC" w14:textId="77777777" w:rsidR="000E52B0" w:rsidRDefault="00F60D74">
            <w:pPr>
              <w:pStyle w:val="TableParagraph"/>
              <w:numPr>
                <w:ilvl w:val="0"/>
                <w:numId w:val="3"/>
              </w:numPr>
              <w:tabs>
                <w:tab w:val="left" w:pos="825"/>
              </w:tabs>
              <w:spacing w:line="242" w:lineRule="exact"/>
              <w:ind w:left="825" w:hanging="358"/>
              <w:rPr>
                <w:i/>
                <w:sz w:val="20"/>
              </w:rPr>
            </w:pPr>
            <w:r>
              <w:rPr>
                <w:i/>
                <w:color w:val="333333"/>
                <w:sz w:val="20"/>
              </w:rPr>
              <w:t>Ministerio</w:t>
            </w:r>
            <w:r>
              <w:rPr>
                <w:i/>
                <w:color w:val="333333"/>
                <w:spacing w:val="-9"/>
                <w:sz w:val="20"/>
              </w:rPr>
              <w:t xml:space="preserve"> </w:t>
            </w:r>
            <w:r>
              <w:rPr>
                <w:i/>
                <w:color w:val="333333"/>
                <w:sz w:val="20"/>
              </w:rPr>
              <w:t>del</w:t>
            </w:r>
            <w:r>
              <w:rPr>
                <w:i/>
                <w:color w:val="333333"/>
                <w:spacing w:val="-6"/>
                <w:sz w:val="20"/>
              </w:rPr>
              <w:t xml:space="preserve"> </w:t>
            </w:r>
            <w:r>
              <w:rPr>
                <w:i/>
                <w:color w:val="333333"/>
                <w:spacing w:val="-2"/>
                <w:sz w:val="20"/>
              </w:rPr>
              <w:t>Deporte.</w:t>
            </w:r>
          </w:p>
          <w:p w14:paraId="3F20C818" w14:textId="77777777" w:rsidR="000E52B0" w:rsidRDefault="00F60D74">
            <w:pPr>
              <w:pStyle w:val="TableParagraph"/>
              <w:numPr>
                <w:ilvl w:val="0"/>
                <w:numId w:val="3"/>
              </w:numPr>
              <w:tabs>
                <w:tab w:val="left" w:pos="825"/>
                <w:tab w:val="left" w:pos="827"/>
              </w:tabs>
              <w:ind w:right="87"/>
              <w:rPr>
                <w:i/>
                <w:sz w:val="20"/>
              </w:rPr>
            </w:pPr>
            <w:r>
              <w:rPr>
                <w:i/>
                <w:color w:val="333333"/>
                <w:sz w:val="20"/>
              </w:rPr>
              <w:t>Ministerio</w:t>
            </w:r>
            <w:r>
              <w:rPr>
                <w:i/>
                <w:color w:val="333333"/>
                <w:spacing w:val="40"/>
                <w:sz w:val="20"/>
              </w:rPr>
              <w:t xml:space="preserve"> </w:t>
            </w:r>
            <w:r>
              <w:rPr>
                <w:i/>
                <w:color w:val="333333"/>
                <w:sz w:val="20"/>
              </w:rPr>
              <w:t>de</w:t>
            </w:r>
            <w:r>
              <w:rPr>
                <w:i/>
                <w:color w:val="333333"/>
                <w:spacing w:val="40"/>
                <w:sz w:val="20"/>
              </w:rPr>
              <w:t xml:space="preserve"> </w:t>
            </w:r>
            <w:r>
              <w:rPr>
                <w:i/>
                <w:color w:val="333333"/>
                <w:sz w:val="20"/>
              </w:rPr>
              <w:t>Ciencia,</w:t>
            </w:r>
            <w:r>
              <w:rPr>
                <w:i/>
                <w:color w:val="333333"/>
                <w:spacing w:val="40"/>
                <w:sz w:val="20"/>
              </w:rPr>
              <w:t xml:space="preserve"> </w:t>
            </w:r>
            <w:r>
              <w:rPr>
                <w:i/>
                <w:color w:val="333333"/>
                <w:sz w:val="20"/>
              </w:rPr>
              <w:t>Tecnología</w:t>
            </w:r>
            <w:r>
              <w:rPr>
                <w:i/>
                <w:color w:val="333333"/>
                <w:spacing w:val="40"/>
                <w:sz w:val="20"/>
              </w:rPr>
              <w:t xml:space="preserve"> </w:t>
            </w:r>
            <w:r>
              <w:rPr>
                <w:i/>
                <w:color w:val="333333"/>
                <w:sz w:val="20"/>
              </w:rPr>
              <w:t xml:space="preserve">e </w:t>
            </w:r>
            <w:r>
              <w:rPr>
                <w:i/>
                <w:color w:val="333333"/>
                <w:spacing w:val="-2"/>
                <w:sz w:val="20"/>
              </w:rPr>
              <w:t>Innovación.</w:t>
            </w:r>
          </w:p>
          <w:p w14:paraId="67A90AD2" w14:textId="77777777" w:rsidR="000E52B0" w:rsidRDefault="00F60D74">
            <w:pPr>
              <w:pStyle w:val="TableParagraph"/>
              <w:numPr>
                <w:ilvl w:val="0"/>
                <w:numId w:val="3"/>
              </w:numPr>
              <w:tabs>
                <w:tab w:val="left" w:pos="825"/>
              </w:tabs>
              <w:spacing w:before="1" w:line="221" w:lineRule="exact"/>
              <w:ind w:left="825" w:hanging="358"/>
              <w:rPr>
                <w:i/>
                <w:sz w:val="20"/>
              </w:rPr>
            </w:pPr>
            <w:r>
              <w:rPr>
                <w:i/>
                <w:color w:val="333333"/>
                <w:sz w:val="20"/>
              </w:rPr>
              <w:t>Ministerio</w:t>
            </w:r>
            <w:r>
              <w:rPr>
                <w:i/>
                <w:color w:val="333333"/>
                <w:spacing w:val="-7"/>
                <w:sz w:val="20"/>
              </w:rPr>
              <w:t xml:space="preserve"> </w:t>
            </w:r>
            <w:r>
              <w:rPr>
                <w:i/>
                <w:color w:val="333333"/>
                <w:sz w:val="20"/>
              </w:rPr>
              <w:t>de</w:t>
            </w:r>
            <w:r>
              <w:rPr>
                <w:i/>
                <w:color w:val="333333"/>
                <w:spacing w:val="-7"/>
                <w:sz w:val="20"/>
              </w:rPr>
              <w:t xml:space="preserve"> </w:t>
            </w:r>
            <w:r>
              <w:rPr>
                <w:i/>
                <w:color w:val="333333"/>
                <w:sz w:val="20"/>
              </w:rPr>
              <w:t>Igualdad</w:t>
            </w:r>
            <w:r>
              <w:rPr>
                <w:i/>
                <w:color w:val="333333"/>
                <w:spacing w:val="-5"/>
                <w:sz w:val="20"/>
              </w:rPr>
              <w:t xml:space="preserve"> </w:t>
            </w:r>
            <w:r>
              <w:rPr>
                <w:i/>
                <w:color w:val="333333"/>
                <w:sz w:val="20"/>
              </w:rPr>
              <w:t>y</w:t>
            </w:r>
            <w:r>
              <w:rPr>
                <w:i/>
                <w:color w:val="333333"/>
                <w:spacing w:val="-5"/>
                <w:sz w:val="20"/>
              </w:rPr>
              <w:t xml:space="preserve"> </w:t>
            </w:r>
            <w:r>
              <w:rPr>
                <w:i/>
                <w:color w:val="333333"/>
                <w:spacing w:val="-2"/>
                <w:sz w:val="20"/>
              </w:rPr>
              <w:t>Equidad.</w:t>
            </w:r>
          </w:p>
        </w:tc>
        <w:tc>
          <w:tcPr>
            <w:tcW w:w="3809" w:type="dxa"/>
          </w:tcPr>
          <w:p w14:paraId="5B110CC7" w14:textId="77777777" w:rsidR="000E52B0" w:rsidRDefault="000E52B0">
            <w:pPr>
              <w:pStyle w:val="TableParagraph"/>
              <w:rPr>
                <w:rFonts w:ascii="Times New Roman"/>
                <w:sz w:val="18"/>
              </w:rPr>
            </w:pPr>
          </w:p>
        </w:tc>
      </w:tr>
      <w:tr w:rsidR="000E52B0" w14:paraId="2C90A34B" w14:textId="77777777">
        <w:trPr>
          <w:trHeight w:val="2675"/>
        </w:trPr>
        <w:tc>
          <w:tcPr>
            <w:tcW w:w="4712" w:type="dxa"/>
          </w:tcPr>
          <w:p w14:paraId="5C7DADD0" w14:textId="77777777" w:rsidR="000E52B0" w:rsidRDefault="00F60D74">
            <w:pPr>
              <w:pStyle w:val="TableParagraph"/>
              <w:spacing w:before="2"/>
              <w:ind w:left="107" w:right="87"/>
              <w:jc w:val="both"/>
              <w:rPr>
                <w:sz w:val="20"/>
              </w:rPr>
            </w:pPr>
            <w:r>
              <w:rPr>
                <w:b/>
                <w:color w:val="333333"/>
                <w:sz w:val="20"/>
              </w:rPr>
              <w:t>ARTÍCULO</w:t>
            </w:r>
            <w:r>
              <w:rPr>
                <w:b/>
                <w:color w:val="333333"/>
                <w:spacing w:val="-13"/>
                <w:sz w:val="20"/>
              </w:rPr>
              <w:t xml:space="preserve"> </w:t>
            </w:r>
            <w:r>
              <w:rPr>
                <w:b/>
                <w:color w:val="333333"/>
                <w:sz w:val="20"/>
              </w:rPr>
              <w:t>16.</w:t>
            </w:r>
            <w:r>
              <w:rPr>
                <w:b/>
                <w:color w:val="333333"/>
                <w:spacing w:val="-15"/>
                <w:sz w:val="20"/>
              </w:rPr>
              <w:t xml:space="preserve"> </w:t>
            </w:r>
            <w:r>
              <w:rPr>
                <w:color w:val="333333"/>
                <w:sz w:val="20"/>
              </w:rPr>
              <w:t>Modifíquese</w:t>
            </w:r>
            <w:r>
              <w:rPr>
                <w:color w:val="333333"/>
                <w:spacing w:val="-15"/>
                <w:sz w:val="20"/>
              </w:rPr>
              <w:t xml:space="preserve"> </w:t>
            </w:r>
            <w:r>
              <w:rPr>
                <w:color w:val="333333"/>
                <w:sz w:val="20"/>
              </w:rPr>
              <w:t>el</w:t>
            </w:r>
            <w:r>
              <w:rPr>
                <w:color w:val="333333"/>
                <w:spacing w:val="-16"/>
                <w:sz w:val="20"/>
              </w:rPr>
              <w:t xml:space="preserve"> </w:t>
            </w:r>
            <w:r>
              <w:rPr>
                <w:color w:val="333333"/>
                <w:sz w:val="20"/>
              </w:rPr>
              <w:t>artículo</w:t>
            </w:r>
            <w:r>
              <w:rPr>
                <w:color w:val="333333"/>
                <w:spacing w:val="-14"/>
                <w:sz w:val="20"/>
              </w:rPr>
              <w:t xml:space="preserve"> </w:t>
            </w:r>
            <w:r>
              <w:rPr>
                <w:sz w:val="20"/>
              </w:rPr>
              <w:t>17</w:t>
            </w:r>
            <w:r>
              <w:rPr>
                <w:spacing w:val="-15"/>
                <w:sz w:val="20"/>
              </w:rPr>
              <w:t xml:space="preserve"> </w:t>
            </w:r>
            <w:r>
              <w:rPr>
                <w:color w:val="333333"/>
                <w:sz w:val="20"/>
              </w:rPr>
              <w:t>de la Ley 1355 de 2009, el cual quedará así:</w:t>
            </w:r>
          </w:p>
          <w:p w14:paraId="5C81DAF4" w14:textId="77777777" w:rsidR="000E52B0" w:rsidRDefault="00F60D74">
            <w:pPr>
              <w:pStyle w:val="TableParagraph"/>
              <w:spacing w:before="242"/>
              <w:ind w:left="107" w:right="92"/>
              <w:jc w:val="both"/>
              <w:rPr>
                <w:b/>
                <w:i/>
                <w:sz w:val="20"/>
              </w:rPr>
            </w:pPr>
            <w:r>
              <w:rPr>
                <w:b/>
                <w:color w:val="333333"/>
                <w:sz w:val="20"/>
              </w:rPr>
              <w:t xml:space="preserve">ARTÍCULO 17. </w:t>
            </w:r>
            <w:r>
              <w:rPr>
                <w:b/>
                <w:i/>
                <w:color w:val="333333"/>
                <w:sz w:val="20"/>
              </w:rPr>
              <w:t>INTEGRACIÓN DE LA COMISIÓN INTERSECTORIAL DE SEGURIDAD</w:t>
            </w:r>
            <w:r>
              <w:rPr>
                <w:b/>
                <w:i/>
                <w:color w:val="333333"/>
                <w:spacing w:val="67"/>
                <w:w w:val="150"/>
                <w:sz w:val="20"/>
              </w:rPr>
              <w:t xml:space="preserve">    </w:t>
            </w:r>
            <w:r>
              <w:rPr>
                <w:b/>
                <w:i/>
                <w:color w:val="333333"/>
                <w:sz w:val="20"/>
              </w:rPr>
              <w:t>ALIMENTARIA</w:t>
            </w:r>
            <w:r>
              <w:rPr>
                <w:b/>
                <w:i/>
                <w:color w:val="333333"/>
                <w:spacing w:val="66"/>
                <w:w w:val="150"/>
                <w:sz w:val="20"/>
              </w:rPr>
              <w:t xml:space="preserve">    </w:t>
            </w:r>
            <w:r>
              <w:rPr>
                <w:b/>
                <w:i/>
                <w:color w:val="333333"/>
                <w:spacing w:val="-10"/>
                <w:sz w:val="20"/>
              </w:rPr>
              <w:t>Y</w:t>
            </w:r>
          </w:p>
          <w:p w14:paraId="7CB9AD09" w14:textId="77777777" w:rsidR="000E52B0" w:rsidRDefault="00F60D74">
            <w:pPr>
              <w:pStyle w:val="TableParagraph"/>
              <w:ind w:left="107" w:right="92"/>
              <w:jc w:val="both"/>
              <w:rPr>
                <w:i/>
                <w:sz w:val="20"/>
              </w:rPr>
            </w:pPr>
            <w:r>
              <w:rPr>
                <w:b/>
                <w:i/>
                <w:color w:val="333333"/>
                <w:sz w:val="20"/>
              </w:rPr>
              <w:t>NUTRICIONAL</w:t>
            </w:r>
            <w:r>
              <w:rPr>
                <w:i/>
                <w:color w:val="333333"/>
                <w:sz w:val="20"/>
              </w:rPr>
              <w:t xml:space="preserve">. La Comisión </w:t>
            </w:r>
            <w:proofErr w:type="spellStart"/>
            <w:r>
              <w:rPr>
                <w:i/>
                <w:color w:val="333333"/>
                <w:sz w:val="20"/>
              </w:rPr>
              <w:t>lntersectorial</w:t>
            </w:r>
            <w:proofErr w:type="spellEnd"/>
            <w:r>
              <w:rPr>
                <w:i/>
                <w:color w:val="333333"/>
                <w:sz w:val="20"/>
              </w:rPr>
              <w:t xml:space="preserve"> de Seguridad Alimentaria y Nutricional (CISAN) estará conformada por los siguientes funcionarios:</w:t>
            </w:r>
          </w:p>
        </w:tc>
        <w:tc>
          <w:tcPr>
            <w:tcW w:w="4723" w:type="dxa"/>
          </w:tcPr>
          <w:p w14:paraId="7A302FC5" w14:textId="77777777" w:rsidR="000E52B0" w:rsidRDefault="00F60D74">
            <w:pPr>
              <w:pStyle w:val="TableParagraph"/>
              <w:spacing w:before="2"/>
              <w:ind w:left="107" w:right="84"/>
              <w:jc w:val="both"/>
              <w:rPr>
                <w:sz w:val="20"/>
              </w:rPr>
            </w:pPr>
            <w:r>
              <w:rPr>
                <w:noProof/>
                <w:sz w:val="20"/>
              </w:rPr>
              <mc:AlternateContent>
                <mc:Choice Requires="wpg">
                  <w:drawing>
                    <wp:anchor distT="0" distB="0" distL="0" distR="0" simplePos="0" relativeHeight="482333184" behindDoc="1" locked="0" layoutInCell="1" allowOverlap="1" wp14:anchorId="4C85A5B1" wp14:editId="3E3258DC">
                      <wp:simplePos x="0" y="0"/>
                      <wp:positionH relativeFrom="column">
                        <wp:posOffset>68580</wp:posOffset>
                      </wp:positionH>
                      <wp:positionV relativeFrom="paragraph">
                        <wp:posOffset>81708</wp:posOffset>
                      </wp:positionV>
                      <wp:extent cx="2708910" cy="13970"/>
                      <wp:effectExtent l="0" t="0" r="0" b="0"/>
                      <wp:wrapNone/>
                      <wp:docPr id="822"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8910" cy="13970"/>
                                <a:chOff x="0" y="0"/>
                                <a:chExt cx="2708910" cy="13970"/>
                              </a:xfrm>
                            </wpg:grpSpPr>
                            <wps:wsp>
                              <wps:cNvPr id="823" name="Graphic 823"/>
                              <wps:cNvSpPr/>
                              <wps:spPr>
                                <a:xfrm>
                                  <a:off x="0" y="0"/>
                                  <a:ext cx="2505710" cy="13970"/>
                                </a:xfrm>
                                <a:custGeom>
                                  <a:avLst/>
                                  <a:gdLst/>
                                  <a:ahLst/>
                                  <a:cxnLst/>
                                  <a:rect l="l" t="t" r="r" b="b"/>
                                  <a:pathLst>
                                    <a:path w="2505710" h="13970">
                                      <a:moveTo>
                                        <a:pt x="2505697" y="4572"/>
                                      </a:moveTo>
                                      <a:lnTo>
                                        <a:pt x="1042416" y="4572"/>
                                      </a:lnTo>
                                      <a:lnTo>
                                        <a:pt x="1042416" y="0"/>
                                      </a:lnTo>
                                      <a:lnTo>
                                        <a:pt x="0" y="0"/>
                                      </a:lnTo>
                                      <a:lnTo>
                                        <a:pt x="0" y="13716"/>
                                      </a:lnTo>
                                      <a:lnTo>
                                        <a:pt x="1042416" y="13716"/>
                                      </a:lnTo>
                                      <a:lnTo>
                                        <a:pt x="1042416" y="12192"/>
                                      </a:lnTo>
                                      <a:lnTo>
                                        <a:pt x="2505697" y="12192"/>
                                      </a:lnTo>
                                      <a:lnTo>
                                        <a:pt x="2505697" y="4572"/>
                                      </a:lnTo>
                                      <a:close/>
                                    </a:path>
                                  </a:pathLst>
                                </a:custGeom>
                                <a:solidFill>
                                  <a:srgbClr val="333333"/>
                                </a:solidFill>
                              </wps:spPr>
                              <wps:bodyPr wrap="square" lIns="0" tIns="0" rIns="0" bIns="0" rtlCol="0">
                                <a:prstTxWarp prst="textNoShape">
                                  <a:avLst/>
                                </a:prstTxWarp>
                                <a:noAutofit/>
                              </wps:bodyPr>
                            </wps:wsp>
                            <wps:wsp>
                              <wps:cNvPr id="824" name="Graphic 824"/>
                              <wps:cNvSpPr/>
                              <wps:spPr>
                                <a:xfrm>
                                  <a:off x="2505710" y="4571"/>
                                  <a:ext cx="203200" cy="7620"/>
                                </a:xfrm>
                                <a:custGeom>
                                  <a:avLst/>
                                  <a:gdLst/>
                                  <a:ahLst/>
                                  <a:cxnLst/>
                                  <a:rect l="l" t="t" r="r" b="b"/>
                                  <a:pathLst>
                                    <a:path w="203200" h="7620">
                                      <a:moveTo>
                                        <a:pt x="202691" y="0"/>
                                      </a:moveTo>
                                      <a:lnTo>
                                        <a:pt x="0" y="0"/>
                                      </a:lnTo>
                                      <a:lnTo>
                                        <a:pt x="0" y="7620"/>
                                      </a:lnTo>
                                      <a:lnTo>
                                        <a:pt x="202691" y="7620"/>
                                      </a:lnTo>
                                      <a:lnTo>
                                        <a:pt x="2026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33C327" id="Group 822" o:spid="_x0000_s1026" style="position:absolute;margin-left:5.4pt;margin-top:6.45pt;width:213.3pt;height:1.1pt;z-index:-20983296;mso-wrap-distance-left:0;mso-wrap-distance-right:0" coordsize="27089,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">
                      <v:shape id="Graphic 823" o:spid="_x0000_s1027" style="position:absolute;width:25057;height:139;visibility:visible;mso-wrap-style:square;v-text-anchor:top" coordsize="25057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" path="m2505697,4572r-1463281,l1042416,,,,,13716r1042416,l1042416,12192r1463281,l2505697,4572xe" fillcolor="#333" stroked="f">
                        <v:path arrowok="t"/>
                      </v:shape>
                      <v:shape id="Graphic 824" o:spid="_x0000_s1028" style="position:absolute;left:25057;top:45;width:2032;height:76;visibility:visible;mso-wrap-style:square;v-text-anchor:top" coordsize="2032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" path="m202691,l,,,7620r202691,l202691,xe" fillcolor="black" stroked="f">
                        <v:path arrowok="t"/>
                      </v:shape>
                    </v:group>
                  </w:pict>
                </mc:Fallback>
              </mc:AlternateContent>
            </w:r>
            <w:r>
              <w:rPr>
                <w:b/>
                <w:color w:val="333333"/>
                <w:sz w:val="20"/>
              </w:rPr>
              <w:t>ARTÍCULO</w:t>
            </w:r>
            <w:r>
              <w:rPr>
                <w:b/>
                <w:color w:val="333333"/>
                <w:spacing w:val="-11"/>
                <w:sz w:val="20"/>
              </w:rPr>
              <w:t xml:space="preserve"> </w:t>
            </w:r>
            <w:r>
              <w:rPr>
                <w:b/>
                <w:color w:val="333333"/>
                <w:sz w:val="20"/>
              </w:rPr>
              <w:t>16.</w:t>
            </w:r>
            <w:r>
              <w:rPr>
                <w:b/>
                <w:color w:val="333333"/>
                <w:spacing w:val="-13"/>
                <w:sz w:val="20"/>
              </w:rPr>
              <w:t xml:space="preserve"> </w:t>
            </w:r>
            <w:r>
              <w:rPr>
                <w:color w:val="333333"/>
                <w:sz w:val="20"/>
              </w:rPr>
              <w:t>Modifíquese</w:t>
            </w:r>
            <w:r>
              <w:rPr>
                <w:color w:val="333333"/>
                <w:spacing w:val="-13"/>
                <w:sz w:val="20"/>
              </w:rPr>
              <w:t xml:space="preserve"> </w:t>
            </w:r>
            <w:r>
              <w:rPr>
                <w:color w:val="333333"/>
                <w:sz w:val="20"/>
              </w:rPr>
              <w:t>el</w:t>
            </w:r>
            <w:r>
              <w:rPr>
                <w:color w:val="333333"/>
                <w:spacing w:val="-13"/>
                <w:sz w:val="20"/>
              </w:rPr>
              <w:t xml:space="preserve"> </w:t>
            </w:r>
            <w:r>
              <w:rPr>
                <w:color w:val="333333"/>
                <w:sz w:val="20"/>
              </w:rPr>
              <w:t>artículo</w:t>
            </w:r>
            <w:r>
              <w:rPr>
                <w:color w:val="333333"/>
                <w:spacing w:val="-12"/>
                <w:sz w:val="20"/>
              </w:rPr>
              <w:t xml:space="preserve"> </w:t>
            </w:r>
            <w:r>
              <w:rPr>
                <w:sz w:val="20"/>
              </w:rPr>
              <w:t>17</w:t>
            </w:r>
            <w:r>
              <w:rPr>
                <w:spacing w:val="-13"/>
                <w:sz w:val="20"/>
              </w:rPr>
              <w:t xml:space="preserve"> </w:t>
            </w:r>
            <w:r>
              <w:rPr>
                <w:strike/>
                <w:color w:val="333333"/>
                <w:sz w:val="20"/>
              </w:rPr>
              <w:t>de</w:t>
            </w:r>
            <w:r>
              <w:rPr>
                <w:color w:val="333333"/>
                <w:sz w:val="20"/>
              </w:rPr>
              <w:t xml:space="preserve"> </w:t>
            </w:r>
            <w:r>
              <w:rPr>
                <w:strike/>
                <w:color w:val="333333"/>
                <w:sz w:val="20"/>
              </w:rPr>
              <w:t>la Ley 1355 de 2009, el cual quedará así:</w:t>
            </w:r>
          </w:p>
          <w:p w14:paraId="25A5A25D" w14:textId="77777777" w:rsidR="000E52B0" w:rsidRDefault="00F60D74">
            <w:pPr>
              <w:pStyle w:val="TableParagraph"/>
              <w:spacing w:before="242"/>
              <w:ind w:left="107" w:right="88"/>
              <w:jc w:val="both"/>
              <w:rPr>
                <w:b/>
                <w:i/>
                <w:sz w:val="20"/>
              </w:rPr>
            </w:pPr>
            <w:r>
              <w:rPr>
                <w:b/>
                <w:i/>
                <w:noProof/>
                <w:sz w:val="20"/>
              </w:rPr>
              <mc:AlternateContent>
                <mc:Choice Requires="wpg">
                  <w:drawing>
                    <wp:anchor distT="0" distB="0" distL="0" distR="0" simplePos="0" relativeHeight="482333696" behindDoc="1" locked="0" layoutInCell="1" allowOverlap="1" wp14:anchorId="2C87B66E" wp14:editId="6D6E70E0">
                      <wp:simplePos x="0" y="0"/>
                      <wp:positionH relativeFrom="column">
                        <wp:posOffset>68580</wp:posOffset>
                      </wp:positionH>
                      <wp:positionV relativeFrom="paragraph">
                        <wp:posOffset>234108</wp:posOffset>
                      </wp:positionV>
                      <wp:extent cx="2863850" cy="13970"/>
                      <wp:effectExtent l="0" t="0" r="0" b="0"/>
                      <wp:wrapNone/>
                      <wp:docPr id="825"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3850" cy="13970"/>
                                <a:chOff x="0" y="0"/>
                                <a:chExt cx="2863850" cy="13970"/>
                              </a:xfrm>
                            </wpg:grpSpPr>
                            <wps:wsp>
                              <wps:cNvPr id="826" name="Graphic 826"/>
                              <wps:cNvSpPr/>
                              <wps:spPr>
                                <a:xfrm>
                                  <a:off x="0" y="0"/>
                                  <a:ext cx="2863850" cy="13970"/>
                                </a:xfrm>
                                <a:custGeom>
                                  <a:avLst/>
                                  <a:gdLst/>
                                  <a:ahLst/>
                                  <a:cxnLst/>
                                  <a:rect l="l" t="t" r="r" b="b"/>
                                  <a:pathLst>
                                    <a:path w="2863850" h="13970">
                                      <a:moveTo>
                                        <a:pt x="2863850" y="0"/>
                                      </a:moveTo>
                                      <a:lnTo>
                                        <a:pt x="0" y="0"/>
                                      </a:lnTo>
                                      <a:lnTo>
                                        <a:pt x="0" y="13716"/>
                                      </a:lnTo>
                                      <a:lnTo>
                                        <a:pt x="2863850" y="13716"/>
                                      </a:lnTo>
                                      <a:lnTo>
                                        <a:pt x="2863850" y="0"/>
                                      </a:lnTo>
                                      <a:close/>
                                    </a:path>
                                  </a:pathLst>
                                </a:custGeom>
                                <a:solidFill>
                                  <a:srgbClr val="333333"/>
                                </a:solidFill>
                              </wps:spPr>
                              <wps:bodyPr wrap="square" lIns="0" tIns="0" rIns="0" bIns="0" rtlCol="0">
                                <a:prstTxWarp prst="textNoShape">
                                  <a:avLst/>
                                </a:prstTxWarp>
                                <a:noAutofit/>
                              </wps:bodyPr>
                            </wps:wsp>
                          </wpg:wgp>
                        </a:graphicData>
                      </a:graphic>
                    </wp:anchor>
                  </w:drawing>
                </mc:Choice>
                <mc:Fallback>
                  <w:pict>
                    <v:group w14:anchorId="7682C5EE" id="Group 825" o:spid="_x0000_s1026" style="position:absolute;margin-left:5.4pt;margin-top:18.45pt;width:225.5pt;height:1.1pt;z-index:-20982784;mso-wrap-distance-left:0;mso-wrap-distance-right:0" coordsize="2863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">
                      <v:shape id="Graphic 826" o:spid="_x0000_s1027" style="position:absolute;width:28638;height:139;visibility:visible;mso-wrap-style:square;v-text-anchor:top" coordsize="28638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" path="m2863850,l,,,13716r2863850,l2863850,xe" fillcolor="#333" stroked="f">
                        <v:path arrowok="t"/>
                      </v:shape>
                    </v:group>
                  </w:pict>
                </mc:Fallback>
              </mc:AlternateContent>
            </w:r>
            <w:r>
              <w:rPr>
                <w:b/>
                <w:color w:val="333333"/>
                <w:sz w:val="20"/>
              </w:rPr>
              <w:t xml:space="preserve">ARTÍCULO 17. </w:t>
            </w:r>
            <w:r>
              <w:rPr>
                <w:b/>
                <w:i/>
                <w:color w:val="333333"/>
                <w:sz w:val="20"/>
              </w:rPr>
              <w:t>INTEGRACIÓN DE LA COMISIÓN INTERSECTORIAL DE SEGURIDAD</w:t>
            </w:r>
            <w:r>
              <w:rPr>
                <w:b/>
                <w:i/>
                <w:color w:val="333333"/>
                <w:spacing w:val="68"/>
                <w:w w:val="150"/>
                <w:sz w:val="20"/>
              </w:rPr>
              <w:t xml:space="preserve">    </w:t>
            </w:r>
            <w:r>
              <w:rPr>
                <w:b/>
                <w:i/>
                <w:color w:val="333333"/>
                <w:sz w:val="20"/>
              </w:rPr>
              <w:t>ALIMENTARIA</w:t>
            </w:r>
            <w:r>
              <w:rPr>
                <w:b/>
                <w:i/>
                <w:color w:val="333333"/>
                <w:spacing w:val="69"/>
                <w:w w:val="150"/>
                <w:sz w:val="20"/>
              </w:rPr>
              <w:t xml:space="preserve">    </w:t>
            </w:r>
            <w:r>
              <w:rPr>
                <w:b/>
                <w:i/>
                <w:color w:val="333333"/>
                <w:spacing w:val="-10"/>
                <w:sz w:val="20"/>
              </w:rPr>
              <w:t>Y</w:t>
            </w:r>
          </w:p>
          <w:p w14:paraId="5E527EC2" w14:textId="77777777" w:rsidR="000E52B0" w:rsidRDefault="00F60D74">
            <w:pPr>
              <w:pStyle w:val="TableParagraph"/>
              <w:ind w:left="107" w:right="89"/>
              <w:jc w:val="both"/>
              <w:rPr>
                <w:i/>
                <w:sz w:val="20"/>
              </w:rPr>
            </w:pPr>
            <w:r>
              <w:rPr>
                <w:i/>
                <w:noProof/>
                <w:sz w:val="20"/>
              </w:rPr>
              <mc:AlternateContent>
                <mc:Choice Requires="wpg">
                  <w:drawing>
                    <wp:anchor distT="0" distB="0" distL="0" distR="0" simplePos="0" relativeHeight="482334208" behindDoc="1" locked="0" layoutInCell="1" allowOverlap="1" wp14:anchorId="40ED3630" wp14:editId="6744B02B">
                      <wp:simplePos x="0" y="0"/>
                      <wp:positionH relativeFrom="column">
                        <wp:posOffset>68580</wp:posOffset>
                      </wp:positionH>
                      <wp:positionV relativeFrom="paragraph">
                        <wp:posOffset>-227409</wp:posOffset>
                      </wp:positionV>
                      <wp:extent cx="2863850" cy="13970"/>
                      <wp:effectExtent l="0" t="0" r="0" b="0"/>
                      <wp:wrapNone/>
                      <wp:docPr id="827"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3850" cy="13970"/>
                                <a:chOff x="0" y="0"/>
                                <a:chExt cx="2863850" cy="13970"/>
                              </a:xfrm>
                            </wpg:grpSpPr>
                            <wps:wsp>
                              <wps:cNvPr id="828" name="Graphic 828"/>
                              <wps:cNvSpPr/>
                              <wps:spPr>
                                <a:xfrm>
                                  <a:off x="0" y="0"/>
                                  <a:ext cx="2863850" cy="13970"/>
                                </a:xfrm>
                                <a:custGeom>
                                  <a:avLst/>
                                  <a:gdLst/>
                                  <a:ahLst/>
                                  <a:cxnLst/>
                                  <a:rect l="l" t="t" r="r" b="b"/>
                                  <a:pathLst>
                                    <a:path w="2863850" h="13970">
                                      <a:moveTo>
                                        <a:pt x="2863850" y="0"/>
                                      </a:moveTo>
                                      <a:lnTo>
                                        <a:pt x="0" y="0"/>
                                      </a:lnTo>
                                      <a:lnTo>
                                        <a:pt x="0" y="13715"/>
                                      </a:lnTo>
                                      <a:lnTo>
                                        <a:pt x="2863850" y="13715"/>
                                      </a:lnTo>
                                      <a:lnTo>
                                        <a:pt x="2863850" y="0"/>
                                      </a:lnTo>
                                      <a:close/>
                                    </a:path>
                                  </a:pathLst>
                                </a:custGeom>
                                <a:solidFill>
                                  <a:srgbClr val="333333"/>
                                </a:solidFill>
                              </wps:spPr>
                              <wps:bodyPr wrap="square" lIns="0" tIns="0" rIns="0" bIns="0" rtlCol="0">
                                <a:prstTxWarp prst="textNoShape">
                                  <a:avLst/>
                                </a:prstTxWarp>
                                <a:noAutofit/>
                              </wps:bodyPr>
                            </wps:wsp>
                          </wpg:wgp>
                        </a:graphicData>
                      </a:graphic>
                    </wp:anchor>
                  </w:drawing>
                </mc:Choice>
                <mc:Fallback>
                  <w:pict>
                    <v:group w14:anchorId="676BE547" id="Group 827" o:spid="_x0000_s1026" style="position:absolute;margin-left:5.4pt;margin-top:-17.9pt;width:225.5pt;height:1.1pt;z-index:-20982272;mso-wrap-distance-left:0;mso-wrap-distance-right:0" coordsize="2863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">
                      <v:shape id="Graphic 828" o:spid="_x0000_s1027" style="position:absolute;width:28638;height:139;visibility:visible;mso-wrap-style:square;v-text-anchor:top" coordsize="28638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" path="m2863850,l,,,13715r2863850,l2863850,xe" fillcolor="#333" stroked="f">
                        <v:path arrowok="t"/>
                      </v:shape>
                    </v:group>
                  </w:pict>
                </mc:Fallback>
              </mc:AlternateContent>
            </w:r>
            <w:r>
              <w:rPr>
                <w:i/>
                <w:noProof/>
                <w:sz w:val="20"/>
              </w:rPr>
              <mc:AlternateContent>
                <mc:Choice Requires="wpg">
                  <w:drawing>
                    <wp:anchor distT="0" distB="0" distL="0" distR="0" simplePos="0" relativeHeight="482334720" behindDoc="1" locked="0" layoutInCell="1" allowOverlap="1" wp14:anchorId="51274E91" wp14:editId="6BFDEE8F">
                      <wp:simplePos x="0" y="0"/>
                      <wp:positionH relativeFrom="column">
                        <wp:posOffset>68580</wp:posOffset>
                      </wp:positionH>
                      <wp:positionV relativeFrom="paragraph">
                        <wp:posOffset>-73485</wp:posOffset>
                      </wp:positionV>
                      <wp:extent cx="2863850" cy="13970"/>
                      <wp:effectExtent l="0" t="0" r="0" b="0"/>
                      <wp:wrapNone/>
                      <wp:docPr id="82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3850" cy="13970"/>
                                <a:chOff x="0" y="0"/>
                                <a:chExt cx="2863850" cy="13970"/>
                              </a:xfrm>
                            </wpg:grpSpPr>
                            <wps:wsp>
                              <wps:cNvPr id="830" name="Graphic 830"/>
                              <wps:cNvSpPr/>
                              <wps:spPr>
                                <a:xfrm>
                                  <a:off x="0" y="0"/>
                                  <a:ext cx="2863850" cy="13970"/>
                                </a:xfrm>
                                <a:custGeom>
                                  <a:avLst/>
                                  <a:gdLst/>
                                  <a:ahLst/>
                                  <a:cxnLst/>
                                  <a:rect l="l" t="t" r="r" b="b"/>
                                  <a:pathLst>
                                    <a:path w="2863850" h="13970">
                                      <a:moveTo>
                                        <a:pt x="2863850" y="0"/>
                                      </a:moveTo>
                                      <a:lnTo>
                                        <a:pt x="0" y="0"/>
                                      </a:lnTo>
                                      <a:lnTo>
                                        <a:pt x="0" y="13715"/>
                                      </a:lnTo>
                                      <a:lnTo>
                                        <a:pt x="2863850" y="13715"/>
                                      </a:lnTo>
                                      <a:lnTo>
                                        <a:pt x="2863850" y="0"/>
                                      </a:lnTo>
                                      <a:close/>
                                    </a:path>
                                  </a:pathLst>
                                </a:custGeom>
                                <a:solidFill>
                                  <a:srgbClr val="333333"/>
                                </a:solidFill>
                              </wps:spPr>
                              <wps:bodyPr wrap="square" lIns="0" tIns="0" rIns="0" bIns="0" rtlCol="0">
                                <a:prstTxWarp prst="textNoShape">
                                  <a:avLst/>
                                </a:prstTxWarp>
                                <a:noAutofit/>
                              </wps:bodyPr>
                            </wps:wsp>
                          </wpg:wgp>
                        </a:graphicData>
                      </a:graphic>
                    </wp:anchor>
                  </w:drawing>
                </mc:Choice>
                <mc:Fallback>
                  <w:pict>
                    <v:group w14:anchorId="3CFC4B02" id="Group 829" o:spid="_x0000_s1026" style="position:absolute;margin-left:5.4pt;margin-top:-5.8pt;width:225.5pt;height:1.1pt;z-index:-20981760;mso-wrap-distance-left:0;mso-wrap-distance-right:0" coordsize="2863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">
                      <v:shape id="Graphic 830" o:spid="_x0000_s1027" style="position:absolute;width:28638;height:139;visibility:visible;mso-wrap-style:square;v-text-anchor:top" coordsize="28638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" path="m2863850,l,,,13715r2863850,l2863850,xe" fillcolor="#333" stroked="f">
                        <v:path arrowok="t"/>
                      </v:shape>
                    </v:group>
                  </w:pict>
                </mc:Fallback>
              </mc:AlternateContent>
            </w:r>
            <w:r>
              <w:rPr>
                <w:i/>
                <w:noProof/>
                <w:sz w:val="20"/>
              </w:rPr>
              <mc:AlternateContent>
                <mc:Choice Requires="wpg">
                  <w:drawing>
                    <wp:anchor distT="0" distB="0" distL="0" distR="0" simplePos="0" relativeHeight="482335232" behindDoc="1" locked="0" layoutInCell="1" allowOverlap="1" wp14:anchorId="07B5D4A5" wp14:editId="65AB789C">
                      <wp:simplePos x="0" y="0"/>
                      <wp:positionH relativeFrom="column">
                        <wp:posOffset>68580</wp:posOffset>
                      </wp:positionH>
                      <wp:positionV relativeFrom="paragraph">
                        <wp:posOffset>80438</wp:posOffset>
                      </wp:positionV>
                      <wp:extent cx="2863850" cy="13970"/>
                      <wp:effectExtent l="0" t="0" r="0" b="0"/>
                      <wp:wrapNone/>
                      <wp:docPr id="831"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3850" cy="13970"/>
                                <a:chOff x="0" y="0"/>
                                <a:chExt cx="2863850" cy="13970"/>
                              </a:xfrm>
                            </wpg:grpSpPr>
                            <wps:wsp>
                              <wps:cNvPr id="832" name="Graphic 832"/>
                              <wps:cNvSpPr/>
                              <wps:spPr>
                                <a:xfrm>
                                  <a:off x="0" y="0"/>
                                  <a:ext cx="2863850" cy="13970"/>
                                </a:xfrm>
                                <a:custGeom>
                                  <a:avLst/>
                                  <a:gdLst/>
                                  <a:ahLst/>
                                  <a:cxnLst/>
                                  <a:rect l="l" t="t" r="r" b="b"/>
                                  <a:pathLst>
                                    <a:path w="2863850" h="13970">
                                      <a:moveTo>
                                        <a:pt x="2863850" y="4572"/>
                                      </a:moveTo>
                                      <a:lnTo>
                                        <a:pt x="1021080" y="4572"/>
                                      </a:lnTo>
                                      <a:lnTo>
                                        <a:pt x="1021080" y="0"/>
                                      </a:lnTo>
                                      <a:lnTo>
                                        <a:pt x="0" y="0"/>
                                      </a:lnTo>
                                      <a:lnTo>
                                        <a:pt x="0" y="13716"/>
                                      </a:lnTo>
                                      <a:lnTo>
                                        <a:pt x="1021080" y="13716"/>
                                      </a:lnTo>
                                      <a:lnTo>
                                        <a:pt x="1021080" y="12192"/>
                                      </a:lnTo>
                                      <a:lnTo>
                                        <a:pt x="2863850" y="12192"/>
                                      </a:lnTo>
                                      <a:lnTo>
                                        <a:pt x="2863850" y="4572"/>
                                      </a:lnTo>
                                      <a:close/>
                                    </a:path>
                                  </a:pathLst>
                                </a:custGeom>
                                <a:solidFill>
                                  <a:srgbClr val="333333"/>
                                </a:solidFill>
                              </wps:spPr>
                              <wps:bodyPr wrap="square" lIns="0" tIns="0" rIns="0" bIns="0" rtlCol="0">
                                <a:prstTxWarp prst="textNoShape">
                                  <a:avLst/>
                                </a:prstTxWarp>
                                <a:noAutofit/>
                              </wps:bodyPr>
                            </wps:wsp>
                          </wpg:wgp>
                        </a:graphicData>
                      </a:graphic>
                    </wp:anchor>
                  </w:drawing>
                </mc:Choice>
                <mc:Fallback>
                  <w:pict>
                    <v:group w14:anchorId="26637D2D" id="Group 831" o:spid="_x0000_s1026" style="position:absolute;margin-left:5.4pt;margin-top:6.35pt;width:225.5pt;height:1.1pt;z-index:-20981248;mso-wrap-distance-left:0;mso-wrap-distance-right:0" coordsize="2863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">
                      <v:shape id="Graphic 832" o:spid="_x0000_s1027" style="position:absolute;width:28638;height:139;visibility:visible;mso-wrap-style:square;v-text-anchor:top" coordsize="28638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" path="m2863850,4572r-1842770,l1021080,,,,,13716r1021080,l1021080,12192r1842770,l2863850,4572xe" fillcolor="#333" stroked="f">
                        <v:path arrowok="t"/>
                      </v:shape>
                    </v:group>
                  </w:pict>
                </mc:Fallback>
              </mc:AlternateContent>
            </w:r>
            <w:r>
              <w:rPr>
                <w:i/>
                <w:noProof/>
                <w:sz w:val="20"/>
              </w:rPr>
              <mc:AlternateContent>
                <mc:Choice Requires="wpg">
                  <w:drawing>
                    <wp:anchor distT="0" distB="0" distL="0" distR="0" simplePos="0" relativeHeight="482335744" behindDoc="1" locked="0" layoutInCell="1" allowOverlap="1" wp14:anchorId="7E3EDB20" wp14:editId="4C694E64">
                      <wp:simplePos x="0" y="0"/>
                      <wp:positionH relativeFrom="column">
                        <wp:posOffset>68580</wp:posOffset>
                      </wp:positionH>
                      <wp:positionV relativeFrom="paragraph">
                        <wp:posOffset>240457</wp:posOffset>
                      </wp:positionV>
                      <wp:extent cx="2863850" cy="7620"/>
                      <wp:effectExtent l="0" t="0" r="0" b="0"/>
                      <wp:wrapNone/>
                      <wp:docPr id="833"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3850" cy="7620"/>
                                <a:chOff x="0" y="0"/>
                                <a:chExt cx="2863850" cy="7620"/>
                              </a:xfrm>
                            </wpg:grpSpPr>
                            <wps:wsp>
                              <wps:cNvPr id="834" name="Graphic 834"/>
                              <wps:cNvSpPr/>
                              <wps:spPr>
                                <a:xfrm>
                                  <a:off x="0" y="0"/>
                                  <a:ext cx="2863850" cy="7620"/>
                                </a:xfrm>
                                <a:custGeom>
                                  <a:avLst/>
                                  <a:gdLst/>
                                  <a:ahLst/>
                                  <a:cxnLst/>
                                  <a:rect l="l" t="t" r="r" b="b"/>
                                  <a:pathLst>
                                    <a:path w="2863850" h="7620">
                                      <a:moveTo>
                                        <a:pt x="2863850" y="0"/>
                                      </a:moveTo>
                                      <a:lnTo>
                                        <a:pt x="0" y="0"/>
                                      </a:lnTo>
                                      <a:lnTo>
                                        <a:pt x="0" y="7620"/>
                                      </a:lnTo>
                                      <a:lnTo>
                                        <a:pt x="2863850" y="7620"/>
                                      </a:lnTo>
                                      <a:lnTo>
                                        <a:pt x="2863850" y="0"/>
                                      </a:lnTo>
                                      <a:close/>
                                    </a:path>
                                  </a:pathLst>
                                </a:custGeom>
                                <a:solidFill>
                                  <a:srgbClr val="333333"/>
                                </a:solidFill>
                              </wps:spPr>
                              <wps:bodyPr wrap="square" lIns="0" tIns="0" rIns="0" bIns="0" rtlCol="0">
                                <a:prstTxWarp prst="textNoShape">
                                  <a:avLst/>
                                </a:prstTxWarp>
                                <a:noAutofit/>
                              </wps:bodyPr>
                            </wps:wsp>
                          </wpg:wgp>
                        </a:graphicData>
                      </a:graphic>
                    </wp:anchor>
                  </w:drawing>
                </mc:Choice>
                <mc:Fallback>
                  <w:pict>
                    <v:group w14:anchorId="35A675D4" id="Group 833" o:spid="_x0000_s1026" style="position:absolute;margin-left:5.4pt;margin-top:18.95pt;width:225.5pt;height:.6pt;z-index:-20980736;mso-wrap-distance-left:0;mso-wrap-distance-right:0" coordsize="286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">
                      <v:shape id="Graphic 834" o:spid="_x0000_s1027" style="position:absolute;width:28638;height:76;visibility:visible;mso-wrap-style:square;v-text-anchor:top" coordsize="2863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" path="m2863850,l,,,7620r2863850,l2863850,xe" fillcolor="#333" stroked="f">
                        <v:path arrowok="t"/>
                      </v:shape>
                    </v:group>
                  </w:pict>
                </mc:Fallback>
              </mc:AlternateContent>
            </w:r>
            <w:r>
              <w:rPr>
                <w:i/>
                <w:noProof/>
                <w:sz w:val="20"/>
              </w:rPr>
              <mc:AlternateContent>
                <mc:Choice Requires="wpg">
                  <w:drawing>
                    <wp:anchor distT="0" distB="0" distL="0" distR="0" simplePos="0" relativeHeight="482336256" behindDoc="1" locked="0" layoutInCell="1" allowOverlap="1" wp14:anchorId="7EF11E3A" wp14:editId="0321975A">
                      <wp:simplePos x="0" y="0"/>
                      <wp:positionH relativeFrom="column">
                        <wp:posOffset>68580</wp:posOffset>
                      </wp:positionH>
                      <wp:positionV relativeFrom="paragraph">
                        <wp:posOffset>394381</wp:posOffset>
                      </wp:positionV>
                      <wp:extent cx="2863850" cy="7620"/>
                      <wp:effectExtent l="0" t="0" r="0" b="0"/>
                      <wp:wrapNone/>
                      <wp:docPr id="835"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3850" cy="7620"/>
                                <a:chOff x="0" y="0"/>
                                <a:chExt cx="2863850" cy="7620"/>
                              </a:xfrm>
                            </wpg:grpSpPr>
                            <wps:wsp>
                              <wps:cNvPr id="836" name="Graphic 836"/>
                              <wps:cNvSpPr/>
                              <wps:spPr>
                                <a:xfrm>
                                  <a:off x="0" y="0"/>
                                  <a:ext cx="2863850" cy="7620"/>
                                </a:xfrm>
                                <a:custGeom>
                                  <a:avLst/>
                                  <a:gdLst/>
                                  <a:ahLst/>
                                  <a:cxnLst/>
                                  <a:rect l="l" t="t" r="r" b="b"/>
                                  <a:pathLst>
                                    <a:path w="2863850" h="7620">
                                      <a:moveTo>
                                        <a:pt x="2863850" y="0"/>
                                      </a:moveTo>
                                      <a:lnTo>
                                        <a:pt x="0" y="0"/>
                                      </a:lnTo>
                                      <a:lnTo>
                                        <a:pt x="0" y="7620"/>
                                      </a:lnTo>
                                      <a:lnTo>
                                        <a:pt x="2863850" y="7620"/>
                                      </a:lnTo>
                                      <a:lnTo>
                                        <a:pt x="2863850" y="0"/>
                                      </a:lnTo>
                                      <a:close/>
                                    </a:path>
                                  </a:pathLst>
                                </a:custGeom>
                                <a:solidFill>
                                  <a:srgbClr val="333333"/>
                                </a:solidFill>
                              </wps:spPr>
                              <wps:bodyPr wrap="square" lIns="0" tIns="0" rIns="0" bIns="0" rtlCol="0">
                                <a:prstTxWarp prst="textNoShape">
                                  <a:avLst/>
                                </a:prstTxWarp>
                                <a:noAutofit/>
                              </wps:bodyPr>
                            </wps:wsp>
                          </wpg:wgp>
                        </a:graphicData>
                      </a:graphic>
                    </wp:anchor>
                  </w:drawing>
                </mc:Choice>
                <mc:Fallback>
                  <w:pict>
                    <v:group w14:anchorId="71982CF3" id="Group 835" o:spid="_x0000_s1026" style="position:absolute;margin-left:5.4pt;margin-top:31.05pt;width:225.5pt;height:.6pt;z-index:-20980224;mso-wrap-distance-left:0;mso-wrap-distance-right:0" coordsize="286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">
                      <v:shape id="Graphic 836" o:spid="_x0000_s1027" style="position:absolute;width:28638;height:76;visibility:visible;mso-wrap-style:square;v-text-anchor:top" coordsize="28638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" path="m2863850,l,,,7620r2863850,l2863850,xe" fillcolor="#333" stroked="f">
                        <v:path arrowok="t"/>
                      </v:shape>
                    </v:group>
                  </w:pict>
                </mc:Fallback>
              </mc:AlternateContent>
            </w:r>
            <w:r>
              <w:rPr>
                <w:b/>
                <w:i/>
                <w:color w:val="333333"/>
                <w:sz w:val="20"/>
              </w:rPr>
              <w:t>NUTRICIONAL</w:t>
            </w:r>
            <w:r>
              <w:rPr>
                <w:i/>
                <w:color w:val="333333"/>
                <w:sz w:val="20"/>
              </w:rPr>
              <w:t xml:space="preserve">. La Comisión </w:t>
            </w:r>
            <w:proofErr w:type="spellStart"/>
            <w:r>
              <w:rPr>
                <w:i/>
                <w:color w:val="333333"/>
                <w:sz w:val="20"/>
              </w:rPr>
              <w:t>lntersectorial</w:t>
            </w:r>
            <w:proofErr w:type="spellEnd"/>
            <w:r>
              <w:rPr>
                <w:i/>
                <w:color w:val="333333"/>
                <w:sz w:val="20"/>
              </w:rPr>
              <w:t xml:space="preserve"> de Seguridad Alimentaria y Nutricional (CISAN) estará conformada por los </w:t>
            </w:r>
            <w:r>
              <w:rPr>
                <w:i/>
                <w:strike/>
                <w:color w:val="333333"/>
                <w:sz w:val="20"/>
              </w:rPr>
              <w:t>siguientes funcionarios:</w:t>
            </w:r>
          </w:p>
        </w:tc>
        <w:tc>
          <w:tcPr>
            <w:tcW w:w="3809" w:type="dxa"/>
          </w:tcPr>
          <w:p w14:paraId="1DD5C26D" w14:textId="77777777" w:rsidR="000E52B0" w:rsidRDefault="00F60D74">
            <w:pPr>
              <w:pStyle w:val="TableParagraph"/>
              <w:spacing w:before="2"/>
              <w:ind w:left="108" w:right="90"/>
              <w:jc w:val="both"/>
              <w:rPr>
                <w:sz w:val="20"/>
              </w:rPr>
            </w:pPr>
            <w:r>
              <w:rPr>
                <w:sz w:val="20"/>
              </w:rPr>
              <w:t>Se</w:t>
            </w:r>
            <w:r>
              <w:rPr>
                <w:spacing w:val="-6"/>
                <w:sz w:val="20"/>
              </w:rPr>
              <w:t xml:space="preserve"> </w:t>
            </w:r>
            <w:r>
              <w:rPr>
                <w:sz w:val="20"/>
              </w:rPr>
              <w:t>elimina</w:t>
            </w:r>
            <w:r>
              <w:rPr>
                <w:spacing w:val="-3"/>
                <w:sz w:val="20"/>
              </w:rPr>
              <w:t xml:space="preserve"> </w:t>
            </w:r>
            <w:r>
              <w:rPr>
                <w:sz w:val="20"/>
              </w:rPr>
              <w:t>el</w:t>
            </w:r>
            <w:r>
              <w:rPr>
                <w:spacing w:val="-6"/>
                <w:sz w:val="20"/>
              </w:rPr>
              <w:t xml:space="preserve"> </w:t>
            </w:r>
            <w:r>
              <w:rPr>
                <w:sz w:val="20"/>
              </w:rPr>
              <w:t>artículo,</w:t>
            </w:r>
            <w:r>
              <w:rPr>
                <w:spacing w:val="-6"/>
                <w:sz w:val="20"/>
              </w:rPr>
              <w:t xml:space="preserve"> </w:t>
            </w:r>
            <w:r>
              <w:rPr>
                <w:sz w:val="20"/>
              </w:rPr>
              <w:t>por</w:t>
            </w:r>
            <w:r>
              <w:rPr>
                <w:spacing w:val="-5"/>
                <w:sz w:val="20"/>
              </w:rPr>
              <w:t xml:space="preserve"> </w:t>
            </w:r>
            <w:r>
              <w:rPr>
                <w:sz w:val="20"/>
              </w:rPr>
              <w:t>cuanto</w:t>
            </w:r>
            <w:r>
              <w:rPr>
                <w:spacing w:val="-7"/>
                <w:sz w:val="20"/>
              </w:rPr>
              <w:t xml:space="preserve"> </w:t>
            </w:r>
            <w:r>
              <w:rPr>
                <w:sz w:val="20"/>
              </w:rPr>
              <w:t>la modificación de la CISAN en la CIDAH, su integración y funciones se</w:t>
            </w:r>
            <w:r>
              <w:rPr>
                <w:spacing w:val="-16"/>
                <w:sz w:val="20"/>
              </w:rPr>
              <w:t xml:space="preserve"> </w:t>
            </w:r>
            <w:r>
              <w:rPr>
                <w:sz w:val="20"/>
              </w:rPr>
              <w:t>hizo</w:t>
            </w:r>
            <w:r>
              <w:rPr>
                <w:spacing w:val="-15"/>
                <w:sz w:val="20"/>
              </w:rPr>
              <w:t xml:space="preserve"> </w:t>
            </w:r>
            <w:r>
              <w:rPr>
                <w:sz w:val="20"/>
              </w:rPr>
              <w:t>al</w:t>
            </w:r>
            <w:r>
              <w:rPr>
                <w:spacing w:val="-14"/>
                <w:sz w:val="20"/>
              </w:rPr>
              <w:t xml:space="preserve"> </w:t>
            </w:r>
            <w:r>
              <w:rPr>
                <w:sz w:val="20"/>
              </w:rPr>
              <w:t>tenor</w:t>
            </w:r>
            <w:r>
              <w:rPr>
                <w:spacing w:val="-15"/>
                <w:sz w:val="20"/>
              </w:rPr>
              <w:t xml:space="preserve"> </w:t>
            </w:r>
            <w:r>
              <w:rPr>
                <w:sz w:val="20"/>
              </w:rPr>
              <w:t>del</w:t>
            </w:r>
            <w:r>
              <w:rPr>
                <w:spacing w:val="-14"/>
                <w:sz w:val="20"/>
              </w:rPr>
              <w:t xml:space="preserve"> </w:t>
            </w:r>
            <w:r>
              <w:rPr>
                <w:sz w:val="20"/>
              </w:rPr>
              <w:t>Plan</w:t>
            </w:r>
            <w:r>
              <w:rPr>
                <w:spacing w:val="-11"/>
                <w:sz w:val="20"/>
              </w:rPr>
              <w:t xml:space="preserve"> </w:t>
            </w:r>
            <w:r>
              <w:rPr>
                <w:sz w:val="20"/>
              </w:rPr>
              <w:t>Nacional</w:t>
            </w:r>
            <w:r>
              <w:rPr>
                <w:spacing w:val="-14"/>
                <w:sz w:val="20"/>
              </w:rPr>
              <w:t xml:space="preserve"> </w:t>
            </w:r>
            <w:r>
              <w:rPr>
                <w:sz w:val="20"/>
              </w:rPr>
              <w:t xml:space="preserve">de Desarrollo y en el Decreto 684 de </w:t>
            </w:r>
            <w:r>
              <w:rPr>
                <w:spacing w:val="-2"/>
                <w:sz w:val="20"/>
              </w:rPr>
              <w:t>2024.</w:t>
            </w:r>
          </w:p>
        </w:tc>
      </w:tr>
    </w:tbl>
    <w:p w14:paraId="43D549F7" w14:textId="77777777" w:rsidR="000E52B0" w:rsidRDefault="000E52B0">
      <w:pPr>
        <w:pStyle w:val="TableParagraph"/>
        <w:jc w:val="both"/>
        <w:rPr>
          <w:sz w:val="20"/>
        </w:rPr>
        <w:sectPr w:rsidR="000E52B0">
          <w:pgSz w:w="16840" w:h="11910" w:orient="landscape"/>
          <w:pgMar w:top="1340" w:right="1800" w:bottom="1180" w:left="1440" w:header="0" w:footer="995" w:gutter="0"/>
          <w:cols w:space="720"/>
        </w:sectPr>
      </w:pPr>
    </w:p>
    <w:p w14:paraId="68835AC6" w14:textId="77777777" w:rsidR="000E52B0" w:rsidRDefault="000E52B0">
      <w:pPr>
        <w:pStyle w:val="Textoindependiente"/>
        <w:spacing w:before="8" w:after="1"/>
        <w:ind w:left="0"/>
        <w:rPr>
          <w:b/>
          <w:sz w:val="7"/>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12"/>
        <w:gridCol w:w="4723"/>
        <w:gridCol w:w="3809"/>
      </w:tblGrid>
      <w:tr w:rsidR="000E52B0" w14:paraId="012B8F10" w14:textId="77777777">
        <w:trPr>
          <w:trHeight w:val="6321"/>
        </w:trPr>
        <w:tc>
          <w:tcPr>
            <w:tcW w:w="4712" w:type="dxa"/>
          </w:tcPr>
          <w:p w14:paraId="123E5A2A" w14:textId="77777777" w:rsidR="000E52B0" w:rsidRDefault="00F60D74">
            <w:pPr>
              <w:pStyle w:val="TableParagraph"/>
              <w:numPr>
                <w:ilvl w:val="0"/>
                <w:numId w:val="2"/>
              </w:numPr>
              <w:tabs>
                <w:tab w:val="left" w:pos="696"/>
              </w:tabs>
              <w:ind w:right="92" w:firstLine="0"/>
              <w:jc w:val="both"/>
              <w:rPr>
                <w:i/>
                <w:sz w:val="20"/>
              </w:rPr>
            </w:pPr>
            <w:r>
              <w:rPr>
                <w:i/>
                <w:color w:val="333333"/>
                <w:sz w:val="20"/>
              </w:rPr>
              <w:t xml:space="preserve">El </w:t>
            </w:r>
            <w:proofErr w:type="gramStart"/>
            <w:r>
              <w:rPr>
                <w:i/>
                <w:color w:val="333333"/>
                <w:sz w:val="20"/>
              </w:rPr>
              <w:t>Director</w:t>
            </w:r>
            <w:proofErr w:type="gramEnd"/>
            <w:r>
              <w:rPr>
                <w:i/>
                <w:color w:val="333333"/>
                <w:sz w:val="20"/>
              </w:rPr>
              <w:t xml:space="preserve"> del Departamento Administrativo de la Presidencia de la República o su delegado, quien la presidirá.</w:t>
            </w:r>
          </w:p>
          <w:p w14:paraId="7D15B6E0" w14:textId="77777777" w:rsidR="000E52B0" w:rsidRDefault="00F60D74">
            <w:pPr>
              <w:pStyle w:val="TableParagraph"/>
              <w:numPr>
                <w:ilvl w:val="0"/>
                <w:numId w:val="2"/>
              </w:numPr>
              <w:tabs>
                <w:tab w:val="left" w:pos="387"/>
              </w:tabs>
              <w:ind w:right="95" w:firstLine="0"/>
              <w:jc w:val="both"/>
              <w:rPr>
                <w:i/>
                <w:sz w:val="20"/>
              </w:rPr>
            </w:pPr>
            <w:r>
              <w:rPr>
                <w:i/>
                <w:color w:val="333333"/>
                <w:sz w:val="20"/>
              </w:rPr>
              <w:t>Ministro de Agricultura y Desarrollo Rural o su delegado.</w:t>
            </w:r>
          </w:p>
          <w:p w14:paraId="4515A35D" w14:textId="77777777" w:rsidR="000E52B0" w:rsidRDefault="00F60D74">
            <w:pPr>
              <w:pStyle w:val="TableParagraph"/>
              <w:numPr>
                <w:ilvl w:val="0"/>
                <w:numId w:val="2"/>
              </w:numPr>
              <w:tabs>
                <w:tab w:val="left" w:pos="379"/>
              </w:tabs>
              <w:spacing w:before="1"/>
              <w:ind w:right="95" w:firstLine="0"/>
              <w:jc w:val="both"/>
              <w:rPr>
                <w:i/>
                <w:sz w:val="20"/>
              </w:rPr>
            </w:pPr>
            <w:r>
              <w:rPr>
                <w:i/>
                <w:color w:val="333333"/>
                <w:sz w:val="20"/>
              </w:rPr>
              <w:t>Ministro</w:t>
            </w:r>
            <w:r>
              <w:rPr>
                <w:i/>
                <w:color w:val="333333"/>
                <w:spacing w:val="-4"/>
                <w:sz w:val="20"/>
              </w:rPr>
              <w:t xml:space="preserve"> </w:t>
            </w:r>
            <w:r>
              <w:rPr>
                <w:i/>
                <w:color w:val="333333"/>
                <w:sz w:val="20"/>
              </w:rPr>
              <w:t>de</w:t>
            </w:r>
            <w:r>
              <w:rPr>
                <w:i/>
                <w:color w:val="333333"/>
                <w:spacing w:val="-4"/>
                <w:sz w:val="20"/>
              </w:rPr>
              <w:t xml:space="preserve"> </w:t>
            </w:r>
            <w:r>
              <w:rPr>
                <w:i/>
                <w:color w:val="333333"/>
                <w:sz w:val="20"/>
              </w:rPr>
              <w:t>Salud</w:t>
            </w:r>
            <w:r>
              <w:rPr>
                <w:i/>
                <w:color w:val="333333"/>
                <w:spacing w:val="-2"/>
                <w:sz w:val="20"/>
              </w:rPr>
              <w:t xml:space="preserve"> </w:t>
            </w:r>
            <w:r>
              <w:rPr>
                <w:i/>
                <w:color w:val="333333"/>
                <w:sz w:val="20"/>
              </w:rPr>
              <w:t>y</w:t>
            </w:r>
            <w:r>
              <w:rPr>
                <w:i/>
                <w:color w:val="333333"/>
                <w:spacing w:val="-3"/>
                <w:sz w:val="20"/>
              </w:rPr>
              <w:t xml:space="preserve"> </w:t>
            </w:r>
            <w:r>
              <w:rPr>
                <w:i/>
                <w:color w:val="333333"/>
                <w:sz w:val="20"/>
              </w:rPr>
              <w:t>Protección</w:t>
            </w:r>
            <w:r>
              <w:rPr>
                <w:i/>
                <w:color w:val="333333"/>
                <w:spacing w:val="-2"/>
                <w:sz w:val="20"/>
              </w:rPr>
              <w:t xml:space="preserve"> </w:t>
            </w:r>
            <w:r>
              <w:rPr>
                <w:i/>
                <w:color w:val="333333"/>
                <w:sz w:val="20"/>
              </w:rPr>
              <w:t>Social</w:t>
            </w:r>
            <w:r>
              <w:rPr>
                <w:i/>
                <w:color w:val="333333"/>
                <w:spacing w:val="-2"/>
                <w:sz w:val="20"/>
              </w:rPr>
              <w:t xml:space="preserve"> </w:t>
            </w:r>
            <w:r>
              <w:rPr>
                <w:i/>
                <w:color w:val="333333"/>
                <w:sz w:val="20"/>
              </w:rPr>
              <w:t>o</w:t>
            </w:r>
            <w:r>
              <w:rPr>
                <w:i/>
                <w:color w:val="333333"/>
                <w:spacing w:val="-4"/>
                <w:sz w:val="20"/>
              </w:rPr>
              <w:t xml:space="preserve"> </w:t>
            </w:r>
            <w:r>
              <w:rPr>
                <w:i/>
                <w:color w:val="333333"/>
                <w:sz w:val="20"/>
              </w:rPr>
              <w:t xml:space="preserve">su </w:t>
            </w:r>
            <w:r>
              <w:rPr>
                <w:i/>
                <w:color w:val="333333"/>
                <w:spacing w:val="-2"/>
                <w:sz w:val="20"/>
              </w:rPr>
              <w:t>delegado.</w:t>
            </w:r>
          </w:p>
          <w:p w14:paraId="6A290784" w14:textId="77777777" w:rsidR="000E52B0" w:rsidRDefault="00F60D74">
            <w:pPr>
              <w:pStyle w:val="TableParagraph"/>
              <w:numPr>
                <w:ilvl w:val="0"/>
                <w:numId w:val="2"/>
              </w:numPr>
              <w:tabs>
                <w:tab w:val="left" w:pos="372"/>
              </w:tabs>
              <w:spacing w:line="242" w:lineRule="auto"/>
              <w:ind w:right="94" w:firstLine="0"/>
              <w:jc w:val="both"/>
              <w:rPr>
                <w:i/>
                <w:sz w:val="20"/>
              </w:rPr>
            </w:pPr>
            <w:r>
              <w:rPr>
                <w:i/>
                <w:color w:val="333333"/>
                <w:sz w:val="20"/>
              </w:rPr>
              <w:t>Ministro</w:t>
            </w:r>
            <w:r>
              <w:rPr>
                <w:i/>
                <w:color w:val="333333"/>
                <w:spacing w:val="-12"/>
                <w:sz w:val="20"/>
              </w:rPr>
              <w:t xml:space="preserve"> </w:t>
            </w:r>
            <w:r>
              <w:rPr>
                <w:i/>
                <w:color w:val="333333"/>
                <w:sz w:val="20"/>
              </w:rPr>
              <w:t>de</w:t>
            </w:r>
            <w:r>
              <w:rPr>
                <w:i/>
                <w:color w:val="333333"/>
                <w:spacing w:val="-12"/>
                <w:sz w:val="20"/>
              </w:rPr>
              <w:t xml:space="preserve"> </w:t>
            </w:r>
            <w:r>
              <w:rPr>
                <w:i/>
                <w:color w:val="333333"/>
                <w:sz w:val="20"/>
              </w:rPr>
              <w:t>Comercio,</w:t>
            </w:r>
            <w:r>
              <w:rPr>
                <w:i/>
                <w:color w:val="333333"/>
                <w:spacing w:val="-9"/>
                <w:sz w:val="20"/>
              </w:rPr>
              <w:t xml:space="preserve"> </w:t>
            </w:r>
            <w:r>
              <w:rPr>
                <w:i/>
                <w:color w:val="333333"/>
                <w:sz w:val="20"/>
              </w:rPr>
              <w:t>Industria</w:t>
            </w:r>
            <w:r>
              <w:rPr>
                <w:i/>
                <w:color w:val="333333"/>
                <w:spacing w:val="-10"/>
                <w:sz w:val="20"/>
              </w:rPr>
              <w:t xml:space="preserve"> </w:t>
            </w:r>
            <w:r>
              <w:rPr>
                <w:i/>
                <w:color w:val="333333"/>
                <w:sz w:val="20"/>
              </w:rPr>
              <w:t>y</w:t>
            </w:r>
            <w:r>
              <w:rPr>
                <w:i/>
                <w:color w:val="333333"/>
                <w:spacing w:val="-9"/>
                <w:sz w:val="20"/>
              </w:rPr>
              <w:t xml:space="preserve"> </w:t>
            </w:r>
            <w:r>
              <w:rPr>
                <w:i/>
                <w:color w:val="333333"/>
                <w:sz w:val="20"/>
              </w:rPr>
              <w:t>Turismo o su delegado.</w:t>
            </w:r>
          </w:p>
          <w:p w14:paraId="43123FE6" w14:textId="77777777" w:rsidR="000E52B0" w:rsidRDefault="00F60D74">
            <w:pPr>
              <w:pStyle w:val="TableParagraph"/>
              <w:numPr>
                <w:ilvl w:val="0"/>
                <w:numId w:val="2"/>
              </w:numPr>
              <w:tabs>
                <w:tab w:val="left" w:pos="477"/>
              </w:tabs>
              <w:ind w:right="93" w:firstLine="0"/>
              <w:jc w:val="both"/>
              <w:rPr>
                <w:i/>
                <w:sz w:val="20"/>
              </w:rPr>
            </w:pPr>
            <w:r>
              <w:rPr>
                <w:i/>
                <w:color w:val="333333"/>
                <w:sz w:val="20"/>
              </w:rPr>
              <w:t xml:space="preserve">Ministro de Educación Nacional o su </w:t>
            </w:r>
            <w:r>
              <w:rPr>
                <w:i/>
                <w:color w:val="333333"/>
                <w:spacing w:val="-2"/>
                <w:sz w:val="20"/>
              </w:rPr>
              <w:t>delegado.</w:t>
            </w:r>
          </w:p>
          <w:p w14:paraId="2E2A3871" w14:textId="77777777" w:rsidR="000E52B0" w:rsidRDefault="00F60D74">
            <w:pPr>
              <w:pStyle w:val="TableParagraph"/>
              <w:numPr>
                <w:ilvl w:val="0"/>
                <w:numId w:val="2"/>
              </w:numPr>
              <w:tabs>
                <w:tab w:val="left" w:pos="538"/>
              </w:tabs>
              <w:ind w:right="92" w:firstLine="0"/>
              <w:jc w:val="both"/>
              <w:rPr>
                <w:i/>
                <w:sz w:val="20"/>
              </w:rPr>
            </w:pPr>
            <w:r>
              <w:rPr>
                <w:i/>
                <w:color w:val="333333"/>
                <w:sz w:val="20"/>
              </w:rPr>
              <w:t>Ministro de Ambiente y Desarrollo Sostenible o su delegado.</w:t>
            </w:r>
          </w:p>
          <w:p w14:paraId="24C41162" w14:textId="77777777" w:rsidR="000E52B0" w:rsidRDefault="00F60D74">
            <w:pPr>
              <w:pStyle w:val="TableParagraph"/>
              <w:numPr>
                <w:ilvl w:val="0"/>
                <w:numId w:val="2"/>
              </w:numPr>
              <w:tabs>
                <w:tab w:val="left" w:pos="372"/>
              </w:tabs>
              <w:ind w:right="91" w:firstLine="0"/>
              <w:jc w:val="both"/>
              <w:rPr>
                <w:i/>
                <w:sz w:val="20"/>
              </w:rPr>
            </w:pPr>
            <w:r>
              <w:rPr>
                <w:i/>
                <w:color w:val="333333"/>
                <w:sz w:val="20"/>
              </w:rPr>
              <w:t>Ministro</w:t>
            </w:r>
            <w:r>
              <w:rPr>
                <w:i/>
                <w:color w:val="333333"/>
                <w:spacing w:val="-12"/>
                <w:sz w:val="20"/>
              </w:rPr>
              <w:t xml:space="preserve"> </w:t>
            </w:r>
            <w:r>
              <w:rPr>
                <w:i/>
                <w:color w:val="333333"/>
                <w:sz w:val="20"/>
              </w:rPr>
              <w:t>de</w:t>
            </w:r>
            <w:r>
              <w:rPr>
                <w:i/>
                <w:color w:val="333333"/>
                <w:spacing w:val="-12"/>
                <w:sz w:val="20"/>
              </w:rPr>
              <w:t xml:space="preserve"> </w:t>
            </w:r>
            <w:r>
              <w:rPr>
                <w:i/>
                <w:color w:val="333333"/>
                <w:sz w:val="20"/>
              </w:rPr>
              <w:t>Vivienda,</w:t>
            </w:r>
            <w:r>
              <w:rPr>
                <w:i/>
                <w:color w:val="333333"/>
                <w:spacing w:val="-8"/>
                <w:sz w:val="20"/>
              </w:rPr>
              <w:t xml:space="preserve"> </w:t>
            </w:r>
            <w:r>
              <w:rPr>
                <w:i/>
                <w:color w:val="333333"/>
                <w:sz w:val="20"/>
              </w:rPr>
              <w:t>Ciudad</w:t>
            </w:r>
            <w:r>
              <w:rPr>
                <w:i/>
                <w:color w:val="333333"/>
                <w:spacing w:val="-10"/>
                <w:sz w:val="20"/>
              </w:rPr>
              <w:t xml:space="preserve"> </w:t>
            </w:r>
            <w:r>
              <w:rPr>
                <w:i/>
                <w:color w:val="333333"/>
                <w:sz w:val="20"/>
              </w:rPr>
              <w:t>y</w:t>
            </w:r>
            <w:r>
              <w:rPr>
                <w:i/>
                <w:color w:val="333333"/>
                <w:spacing w:val="-11"/>
                <w:sz w:val="20"/>
              </w:rPr>
              <w:t xml:space="preserve"> </w:t>
            </w:r>
            <w:r>
              <w:rPr>
                <w:i/>
                <w:color w:val="333333"/>
                <w:sz w:val="20"/>
              </w:rPr>
              <w:t>Territorio</w:t>
            </w:r>
            <w:r>
              <w:rPr>
                <w:i/>
                <w:color w:val="333333"/>
                <w:spacing w:val="-9"/>
                <w:sz w:val="20"/>
              </w:rPr>
              <w:t xml:space="preserve"> </w:t>
            </w:r>
            <w:r>
              <w:rPr>
                <w:i/>
                <w:color w:val="333333"/>
                <w:sz w:val="20"/>
              </w:rPr>
              <w:t>o su delegado.</w:t>
            </w:r>
          </w:p>
          <w:p w14:paraId="10DB9746" w14:textId="77777777" w:rsidR="000E52B0" w:rsidRDefault="00F60D74">
            <w:pPr>
              <w:pStyle w:val="TableParagraph"/>
              <w:numPr>
                <w:ilvl w:val="0"/>
                <w:numId w:val="2"/>
              </w:numPr>
              <w:tabs>
                <w:tab w:val="left" w:pos="375"/>
              </w:tabs>
              <w:spacing w:line="242" w:lineRule="exact"/>
              <w:ind w:left="375" w:hanging="268"/>
              <w:jc w:val="both"/>
              <w:rPr>
                <w:i/>
                <w:sz w:val="20"/>
              </w:rPr>
            </w:pPr>
            <w:r>
              <w:rPr>
                <w:i/>
                <w:color w:val="333333"/>
                <w:sz w:val="20"/>
              </w:rPr>
              <w:t>Ministro</w:t>
            </w:r>
            <w:r>
              <w:rPr>
                <w:i/>
                <w:color w:val="333333"/>
                <w:spacing w:val="-7"/>
                <w:sz w:val="20"/>
              </w:rPr>
              <w:t xml:space="preserve"> </w:t>
            </w:r>
            <w:r>
              <w:rPr>
                <w:i/>
                <w:color w:val="333333"/>
                <w:sz w:val="20"/>
              </w:rPr>
              <w:t>de</w:t>
            </w:r>
            <w:r>
              <w:rPr>
                <w:i/>
                <w:color w:val="333333"/>
                <w:spacing w:val="-6"/>
                <w:sz w:val="20"/>
              </w:rPr>
              <w:t xml:space="preserve"> </w:t>
            </w:r>
            <w:r>
              <w:rPr>
                <w:i/>
                <w:color w:val="333333"/>
                <w:sz w:val="20"/>
              </w:rPr>
              <w:t>Igualdad</w:t>
            </w:r>
            <w:r>
              <w:rPr>
                <w:i/>
                <w:color w:val="333333"/>
                <w:spacing w:val="-2"/>
                <w:sz w:val="20"/>
              </w:rPr>
              <w:t xml:space="preserve"> </w:t>
            </w:r>
            <w:r>
              <w:rPr>
                <w:i/>
                <w:color w:val="333333"/>
                <w:sz w:val="20"/>
              </w:rPr>
              <w:t>y</w:t>
            </w:r>
            <w:r>
              <w:rPr>
                <w:i/>
                <w:color w:val="333333"/>
                <w:spacing w:val="-5"/>
                <w:sz w:val="20"/>
              </w:rPr>
              <w:t xml:space="preserve"> </w:t>
            </w:r>
            <w:r>
              <w:rPr>
                <w:i/>
                <w:color w:val="333333"/>
                <w:spacing w:val="-2"/>
                <w:sz w:val="20"/>
              </w:rPr>
              <w:t>Equidad.</w:t>
            </w:r>
          </w:p>
          <w:p w14:paraId="53471485" w14:textId="77777777" w:rsidR="000E52B0" w:rsidRDefault="00F60D74">
            <w:pPr>
              <w:pStyle w:val="TableParagraph"/>
              <w:numPr>
                <w:ilvl w:val="0"/>
                <w:numId w:val="2"/>
              </w:numPr>
              <w:tabs>
                <w:tab w:val="left" w:pos="434"/>
              </w:tabs>
              <w:ind w:right="93" w:firstLine="0"/>
              <w:jc w:val="both"/>
              <w:rPr>
                <w:i/>
                <w:sz w:val="20"/>
              </w:rPr>
            </w:pPr>
            <w:r>
              <w:rPr>
                <w:i/>
                <w:color w:val="333333"/>
                <w:sz w:val="20"/>
              </w:rPr>
              <w:t>Director del Departamento Nacional de Planeación o su delegado.</w:t>
            </w:r>
          </w:p>
          <w:p w14:paraId="68EB2614" w14:textId="77777777" w:rsidR="000E52B0" w:rsidRDefault="00F60D74">
            <w:pPr>
              <w:pStyle w:val="TableParagraph"/>
              <w:numPr>
                <w:ilvl w:val="0"/>
                <w:numId w:val="2"/>
              </w:numPr>
              <w:tabs>
                <w:tab w:val="left" w:pos="431"/>
              </w:tabs>
              <w:ind w:right="94" w:firstLine="0"/>
              <w:jc w:val="both"/>
              <w:rPr>
                <w:i/>
                <w:sz w:val="20"/>
              </w:rPr>
            </w:pPr>
            <w:r>
              <w:rPr>
                <w:i/>
                <w:color w:val="333333"/>
                <w:sz w:val="20"/>
              </w:rPr>
              <w:t>Director</w:t>
            </w:r>
            <w:r>
              <w:rPr>
                <w:i/>
                <w:color w:val="333333"/>
                <w:spacing w:val="-18"/>
                <w:sz w:val="20"/>
              </w:rPr>
              <w:t xml:space="preserve"> </w:t>
            </w:r>
            <w:r>
              <w:rPr>
                <w:i/>
                <w:color w:val="333333"/>
                <w:sz w:val="20"/>
              </w:rPr>
              <w:t>del</w:t>
            </w:r>
            <w:r>
              <w:rPr>
                <w:i/>
                <w:color w:val="333333"/>
                <w:spacing w:val="-18"/>
                <w:sz w:val="20"/>
              </w:rPr>
              <w:t xml:space="preserve"> </w:t>
            </w:r>
            <w:r>
              <w:rPr>
                <w:i/>
                <w:color w:val="333333"/>
                <w:sz w:val="20"/>
              </w:rPr>
              <w:t>Departamento</w:t>
            </w:r>
            <w:r>
              <w:rPr>
                <w:i/>
                <w:color w:val="333333"/>
                <w:spacing w:val="-17"/>
                <w:sz w:val="20"/>
              </w:rPr>
              <w:t xml:space="preserve"> </w:t>
            </w:r>
            <w:r>
              <w:rPr>
                <w:i/>
                <w:color w:val="333333"/>
                <w:sz w:val="20"/>
              </w:rPr>
              <w:t xml:space="preserve">Administrativo para la Prosperidad Social (DPS) o su </w:t>
            </w:r>
            <w:r>
              <w:rPr>
                <w:i/>
                <w:color w:val="333333"/>
                <w:spacing w:val="-2"/>
                <w:sz w:val="20"/>
              </w:rPr>
              <w:t>delegado.</w:t>
            </w:r>
          </w:p>
          <w:p w14:paraId="2020BF75" w14:textId="77777777" w:rsidR="000E52B0" w:rsidRDefault="00F60D74">
            <w:pPr>
              <w:pStyle w:val="TableParagraph"/>
              <w:numPr>
                <w:ilvl w:val="0"/>
                <w:numId w:val="2"/>
              </w:numPr>
              <w:tabs>
                <w:tab w:val="left" w:pos="587"/>
              </w:tabs>
              <w:ind w:right="91" w:firstLine="0"/>
              <w:jc w:val="both"/>
              <w:rPr>
                <w:i/>
                <w:sz w:val="20"/>
              </w:rPr>
            </w:pPr>
            <w:r>
              <w:rPr>
                <w:i/>
                <w:color w:val="333333"/>
                <w:sz w:val="20"/>
              </w:rPr>
              <w:t>Director del Instituto Colombiano de Bienestar Familiar (ICBF) o su delegado.</w:t>
            </w:r>
          </w:p>
          <w:p w14:paraId="235DBE74" w14:textId="77777777" w:rsidR="000E52B0" w:rsidRDefault="00F60D74">
            <w:pPr>
              <w:pStyle w:val="TableParagraph"/>
              <w:numPr>
                <w:ilvl w:val="0"/>
                <w:numId w:val="2"/>
              </w:numPr>
              <w:tabs>
                <w:tab w:val="left" w:pos="489"/>
              </w:tabs>
              <w:spacing w:line="242" w:lineRule="exact"/>
              <w:ind w:right="93" w:firstLine="0"/>
              <w:jc w:val="both"/>
              <w:rPr>
                <w:i/>
                <w:sz w:val="20"/>
              </w:rPr>
            </w:pPr>
            <w:r>
              <w:rPr>
                <w:i/>
                <w:color w:val="333333"/>
                <w:sz w:val="20"/>
              </w:rPr>
              <w:t>Un</w:t>
            </w:r>
            <w:r>
              <w:rPr>
                <w:i/>
                <w:color w:val="333333"/>
                <w:spacing w:val="-18"/>
                <w:sz w:val="20"/>
              </w:rPr>
              <w:t xml:space="preserve"> </w:t>
            </w:r>
            <w:r>
              <w:rPr>
                <w:i/>
                <w:color w:val="333333"/>
                <w:sz w:val="20"/>
              </w:rPr>
              <w:t>miembro</w:t>
            </w:r>
            <w:r>
              <w:rPr>
                <w:i/>
                <w:color w:val="333333"/>
                <w:spacing w:val="-18"/>
                <w:sz w:val="20"/>
              </w:rPr>
              <w:t xml:space="preserve"> </w:t>
            </w:r>
            <w:r>
              <w:rPr>
                <w:i/>
                <w:color w:val="333333"/>
                <w:sz w:val="20"/>
              </w:rPr>
              <w:t>de</w:t>
            </w:r>
            <w:r>
              <w:rPr>
                <w:i/>
                <w:color w:val="333333"/>
                <w:spacing w:val="-17"/>
                <w:sz w:val="20"/>
              </w:rPr>
              <w:t xml:space="preserve"> </w:t>
            </w:r>
            <w:r>
              <w:rPr>
                <w:i/>
                <w:color w:val="333333"/>
                <w:sz w:val="20"/>
              </w:rPr>
              <w:t>la</w:t>
            </w:r>
            <w:r>
              <w:rPr>
                <w:i/>
                <w:color w:val="333333"/>
                <w:spacing w:val="-18"/>
                <w:sz w:val="20"/>
              </w:rPr>
              <w:t xml:space="preserve"> </w:t>
            </w:r>
            <w:r>
              <w:rPr>
                <w:i/>
                <w:color w:val="333333"/>
                <w:sz w:val="20"/>
              </w:rPr>
              <w:t>Asociación</w:t>
            </w:r>
            <w:r>
              <w:rPr>
                <w:i/>
                <w:color w:val="333333"/>
                <w:spacing w:val="-17"/>
                <w:sz w:val="20"/>
              </w:rPr>
              <w:t xml:space="preserve"> </w:t>
            </w:r>
            <w:r>
              <w:rPr>
                <w:i/>
                <w:color w:val="333333"/>
                <w:sz w:val="20"/>
              </w:rPr>
              <w:t>Colombiana de</w:t>
            </w:r>
            <w:r>
              <w:rPr>
                <w:i/>
                <w:color w:val="333333"/>
                <w:spacing w:val="-16"/>
                <w:sz w:val="20"/>
              </w:rPr>
              <w:t xml:space="preserve"> </w:t>
            </w:r>
            <w:r>
              <w:rPr>
                <w:i/>
                <w:color w:val="333333"/>
                <w:sz w:val="20"/>
              </w:rPr>
              <w:t>Facultades</w:t>
            </w:r>
            <w:r>
              <w:rPr>
                <w:i/>
                <w:color w:val="333333"/>
                <w:spacing w:val="-15"/>
                <w:sz w:val="20"/>
              </w:rPr>
              <w:t xml:space="preserve"> </w:t>
            </w:r>
            <w:r>
              <w:rPr>
                <w:i/>
                <w:color w:val="333333"/>
                <w:sz w:val="20"/>
              </w:rPr>
              <w:t>de</w:t>
            </w:r>
            <w:r>
              <w:rPr>
                <w:i/>
                <w:color w:val="333333"/>
                <w:spacing w:val="-13"/>
                <w:sz w:val="20"/>
              </w:rPr>
              <w:t xml:space="preserve"> </w:t>
            </w:r>
            <w:r>
              <w:rPr>
                <w:i/>
                <w:color w:val="333333"/>
                <w:sz w:val="20"/>
              </w:rPr>
              <w:t>Nutrición,</w:t>
            </w:r>
            <w:r>
              <w:rPr>
                <w:i/>
                <w:color w:val="333333"/>
                <w:spacing w:val="-15"/>
                <w:sz w:val="20"/>
              </w:rPr>
              <w:t xml:space="preserve"> </w:t>
            </w:r>
            <w:r>
              <w:rPr>
                <w:i/>
                <w:color w:val="333333"/>
                <w:sz w:val="20"/>
              </w:rPr>
              <w:t>designado</w:t>
            </w:r>
            <w:r>
              <w:rPr>
                <w:i/>
                <w:color w:val="333333"/>
                <w:spacing w:val="-13"/>
                <w:sz w:val="20"/>
              </w:rPr>
              <w:t xml:space="preserve"> </w:t>
            </w:r>
            <w:r>
              <w:rPr>
                <w:i/>
                <w:color w:val="333333"/>
                <w:sz w:val="20"/>
              </w:rPr>
              <w:t>por</w:t>
            </w:r>
            <w:r>
              <w:rPr>
                <w:i/>
                <w:color w:val="333333"/>
                <w:spacing w:val="-13"/>
                <w:sz w:val="20"/>
              </w:rPr>
              <w:t xml:space="preserve"> </w:t>
            </w:r>
            <w:r>
              <w:rPr>
                <w:i/>
                <w:color w:val="333333"/>
                <w:sz w:val="20"/>
              </w:rPr>
              <w:t>su junta directiva.</w:t>
            </w:r>
          </w:p>
        </w:tc>
        <w:tc>
          <w:tcPr>
            <w:tcW w:w="4723" w:type="dxa"/>
          </w:tcPr>
          <w:p w14:paraId="5E601E89" w14:textId="77777777" w:rsidR="000E52B0" w:rsidRDefault="00F60D74">
            <w:pPr>
              <w:pStyle w:val="TableParagraph"/>
              <w:numPr>
                <w:ilvl w:val="0"/>
                <w:numId w:val="1"/>
              </w:numPr>
              <w:tabs>
                <w:tab w:val="left" w:pos="306"/>
              </w:tabs>
              <w:ind w:right="86" w:firstLine="0"/>
              <w:jc w:val="both"/>
              <w:rPr>
                <w:i/>
                <w:sz w:val="20"/>
              </w:rPr>
            </w:pPr>
            <w:r>
              <w:rPr>
                <w:i/>
                <w:strike/>
                <w:color w:val="333333"/>
                <w:sz w:val="20"/>
              </w:rPr>
              <w:t xml:space="preserve"> El </w:t>
            </w:r>
            <w:proofErr w:type="gramStart"/>
            <w:r>
              <w:rPr>
                <w:i/>
                <w:strike/>
                <w:color w:val="333333"/>
                <w:sz w:val="20"/>
              </w:rPr>
              <w:t>Director</w:t>
            </w:r>
            <w:proofErr w:type="gramEnd"/>
            <w:r>
              <w:rPr>
                <w:i/>
                <w:strike/>
                <w:color w:val="333333"/>
                <w:sz w:val="20"/>
              </w:rPr>
              <w:t xml:space="preserve"> del Departamento</w:t>
            </w:r>
            <w:r>
              <w:rPr>
                <w:i/>
                <w:color w:val="333333"/>
                <w:sz w:val="20"/>
              </w:rPr>
              <w:t xml:space="preserve"> </w:t>
            </w:r>
            <w:r>
              <w:rPr>
                <w:i/>
                <w:strike/>
                <w:color w:val="333333"/>
                <w:sz w:val="20"/>
              </w:rPr>
              <w:t>Administrativo de la Presidencia de la</w:t>
            </w:r>
            <w:r>
              <w:rPr>
                <w:i/>
                <w:color w:val="333333"/>
                <w:sz w:val="20"/>
              </w:rPr>
              <w:t xml:space="preserve"> </w:t>
            </w:r>
            <w:r>
              <w:rPr>
                <w:i/>
                <w:strike/>
                <w:color w:val="333333"/>
                <w:sz w:val="20"/>
              </w:rPr>
              <w:t>República o su delegado, quien la presidirá.</w:t>
            </w:r>
          </w:p>
          <w:p w14:paraId="28806907" w14:textId="77777777" w:rsidR="000E52B0" w:rsidRDefault="00F60D74">
            <w:pPr>
              <w:pStyle w:val="TableParagraph"/>
              <w:numPr>
                <w:ilvl w:val="0"/>
                <w:numId w:val="1"/>
              </w:numPr>
              <w:tabs>
                <w:tab w:val="left" w:pos="306"/>
              </w:tabs>
              <w:ind w:right="91" w:firstLine="0"/>
              <w:jc w:val="both"/>
              <w:rPr>
                <w:i/>
                <w:sz w:val="20"/>
              </w:rPr>
            </w:pPr>
            <w:r>
              <w:rPr>
                <w:i/>
                <w:strike/>
                <w:color w:val="333333"/>
                <w:sz w:val="20"/>
              </w:rPr>
              <w:t xml:space="preserve"> Ministro de Agricultura y Desarrollo Rural</w:t>
            </w:r>
            <w:r>
              <w:rPr>
                <w:i/>
                <w:color w:val="333333"/>
                <w:sz w:val="20"/>
              </w:rPr>
              <w:t xml:space="preserve"> </w:t>
            </w:r>
            <w:r>
              <w:rPr>
                <w:i/>
                <w:strike/>
                <w:color w:val="333333"/>
                <w:sz w:val="20"/>
              </w:rPr>
              <w:t>o su delegado.</w:t>
            </w:r>
          </w:p>
          <w:p w14:paraId="614A03AA" w14:textId="77777777" w:rsidR="000E52B0" w:rsidRDefault="00F60D74">
            <w:pPr>
              <w:pStyle w:val="TableParagraph"/>
              <w:numPr>
                <w:ilvl w:val="0"/>
                <w:numId w:val="1"/>
              </w:numPr>
              <w:tabs>
                <w:tab w:val="left" w:pos="306"/>
              </w:tabs>
              <w:spacing w:before="1"/>
              <w:ind w:right="90" w:firstLine="0"/>
              <w:jc w:val="both"/>
              <w:rPr>
                <w:i/>
                <w:sz w:val="20"/>
              </w:rPr>
            </w:pPr>
            <w:r>
              <w:rPr>
                <w:i/>
                <w:strike/>
                <w:color w:val="333333"/>
                <w:spacing w:val="-2"/>
                <w:sz w:val="20"/>
              </w:rPr>
              <w:t xml:space="preserve"> </w:t>
            </w:r>
            <w:r>
              <w:rPr>
                <w:i/>
                <w:strike/>
                <w:color w:val="333333"/>
                <w:sz w:val="20"/>
              </w:rPr>
              <w:t>Ministro de</w:t>
            </w:r>
            <w:r>
              <w:rPr>
                <w:i/>
                <w:strike/>
                <w:color w:val="333333"/>
                <w:spacing w:val="-1"/>
                <w:sz w:val="20"/>
              </w:rPr>
              <w:t xml:space="preserve"> </w:t>
            </w:r>
            <w:r>
              <w:rPr>
                <w:i/>
                <w:strike/>
                <w:color w:val="333333"/>
                <w:sz w:val="20"/>
              </w:rPr>
              <w:t>Salud y Protección</w:t>
            </w:r>
            <w:r>
              <w:rPr>
                <w:i/>
                <w:strike/>
                <w:color w:val="333333"/>
                <w:spacing w:val="-1"/>
                <w:sz w:val="20"/>
              </w:rPr>
              <w:t xml:space="preserve"> </w:t>
            </w:r>
            <w:r>
              <w:rPr>
                <w:i/>
                <w:strike/>
                <w:color w:val="333333"/>
                <w:sz w:val="20"/>
              </w:rPr>
              <w:t>Social o su</w:t>
            </w:r>
            <w:r>
              <w:rPr>
                <w:i/>
                <w:color w:val="333333"/>
                <w:sz w:val="20"/>
              </w:rPr>
              <w:t xml:space="preserve"> </w:t>
            </w:r>
            <w:r>
              <w:rPr>
                <w:i/>
                <w:strike/>
                <w:color w:val="333333"/>
                <w:spacing w:val="-2"/>
                <w:sz w:val="20"/>
              </w:rPr>
              <w:t>delegado.</w:t>
            </w:r>
          </w:p>
          <w:p w14:paraId="6F7B6D97" w14:textId="77777777" w:rsidR="000E52B0" w:rsidRDefault="00F60D74">
            <w:pPr>
              <w:pStyle w:val="TableParagraph"/>
              <w:numPr>
                <w:ilvl w:val="0"/>
                <w:numId w:val="1"/>
              </w:numPr>
              <w:tabs>
                <w:tab w:val="left" w:pos="306"/>
              </w:tabs>
              <w:spacing w:line="242" w:lineRule="auto"/>
              <w:ind w:right="88" w:firstLine="0"/>
              <w:jc w:val="both"/>
              <w:rPr>
                <w:i/>
                <w:sz w:val="20"/>
              </w:rPr>
            </w:pPr>
            <w:r>
              <w:rPr>
                <w:i/>
                <w:strike/>
                <w:color w:val="333333"/>
                <w:spacing w:val="-7"/>
                <w:sz w:val="20"/>
              </w:rPr>
              <w:t xml:space="preserve"> </w:t>
            </w:r>
            <w:r>
              <w:rPr>
                <w:i/>
                <w:strike/>
                <w:color w:val="333333"/>
                <w:sz w:val="20"/>
              </w:rPr>
              <w:t>Ministro</w:t>
            </w:r>
            <w:r>
              <w:rPr>
                <w:i/>
                <w:strike/>
                <w:color w:val="333333"/>
                <w:spacing w:val="-8"/>
                <w:sz w:val="20"/>
              </w:rPr>
              <w:t xml:space="preserve"> </w:t>
            </w:r>
            <w:r>
              <w:rPr>
                <w:i/>
                <w:strike/>
                <w:color w:val="333333"/>
                <w:sz w:val="20"/>
              </w:rPr>
              <w:t>de</w:t>
            </w:r>
            <w:r>
              <w:rPr>
                <w:i/>
                <w:strike/>
                <w:color w:val="333333"/>
                <w:spacing w:val="-8"/>
                <w:sz w:val="20"/>
              </w:rPr>
              <w:t xml:space="preserve"> </w:t>
            </w:r>
            <w:r>
              <w:rPr>
                <w:i/>
                <w:strike/>
                <w:color w:val="333333"/>
                <w:sz w:val="20"/>
              </w:rPr>
              <w:t>Comercio,</w:t>
            </w:r>
            <w:r>
              <w:rPr>
                <w:i/>
                <w:strike/>
                <w:color w:val="333333"/>
                <w:spacing w:val="-8"/>
                <w:sz w:val="20"/>
              </w:rPr>
              <w:t xml:space="preserve"> </w:t>
            </w:r>
            <w:r>
              <w:rPr>
                <w:i/>
                <w:strike/>
                <w:color w:val="333333"/>
                <w:sz w:val="20"/>
              </w:rPr>
              <w:t>Industria</w:t>
            </w:r>
            <w:r>
              <w:rPr>
                <w:i/>
                <w:strike/>
                <w:color w:val="333333"/>
                <w:spacing w:val="-5"/>
                <w:sz w:val="20"/>
              </w:rPr>
              <w:t xml:space="preserve"> </w:t>
            </w:r>
            <w:r>
              <w:rPr>
                <w:i/>
                <w:strike/>
                <w:color w:val="333333"/>
                <w:sz w:val="20"/>
              </w:rPr>
              <w:t>y</w:t>
            </w:r>
            <w:r>
              <w:rPr>
                <w:i/>
                <w:strike/>
                <w:color w:val="333333"/>
                <w:spacing w:val="-7"/>
                <w:sz w:val="20"/>
              </w:rPr>
              <w:t xml:space="preserve"> </w:t>
            </w:r>
            <w:r>
              <w:rPr>
                <w:i/>
                <w:strike/>
                <w:color w:val="333333"/>
                <w:sz w:val="20"/>
              </w:rPr>
              <w:t>Turismo</w:t>
            </w:r>
            <w:r>
              <w:rPr>
                <w:i/>
                <w:color w:val="333333"/>
                <w:sz w:val="20"/>
              </w:rPr>
              <w:t xml:space="preserve"> </w:t>
            </w:r>
            <w:r>
              <w:rPr>
                <w:i/>
                <w:strike/>
                <w:color w:val="333333"/>
                <w:sz w:val="20"/>
              </w:rPr>
              <w:t>o su delegado.</w:t>
            </w:r>
          </w:p>
          <w:p w14:paraId="6D283C14" w14:textId="77777777" w:rsidR="000E52B0" w:rsidRDefault="00F60D74">
            <w:pPr>
              <w:pStyle w:val="TableParagraph"/>
              <w:numPr>
                <w:ilvl w:val="0"/>
                <w:numId w:val="1"/>
              </w:numPr>
              <w:tabs>
                <w:tab w:val="left" w:pos="306"/>
              </w:tabs>
              <w:ind w:right="89" w:firstLine="0"/>
              <w:jc w:val="both"/>
              <w:rPr>
                <w:i/>
                <w:sz w:val="20"/>
              </w:rPr>
            </w:pPr>
            <w:r>
              <w:rPr>
                <w:i/>
                <w:strike/>
                <w:color w:val="333333"/>
                <w:sz w:val="20"/>
              </w:rPr>
              <w:t xml:space="preserve"> Ministro de Educación Nacional o su</w:t>
            </w:r>
            <w:r>
              <w:rPr>
                <w:i/>
                <w:color w:val="333333"/>
                <w:sz w:val="20"/>
              </w:rPr>
              <w:t xml:space="preserve"> </w:t>
            </w:r>
            <w:r>
              <w:rPr>
                <w:i/>
                <w:strike/>
                <w:color w:val="333333"/>
                <w:spacing w:val="-2"/>
                <w:sz w:val="20"/>
              </w:rPr>
              <w:t>delegado.</w:t>
            </w:r>
          </w:p>
          <w:p w14:paraId="3B95BFC8" w14:textId="77777777" w:rsidR="000E52B0" w:rsidRDefault="00F60D74">
            <w:pPr>
              <w:pStyle w:val="TableParagraph"/>
              <w:numPr>
                <w:ilvl w:val="0"/>
                <w:numId w:val="1"/>
              </w:numPr>
              <w:tabs>
                <w:tab w:val="left" w:pos="306"/>
              </w:tabs>
              <w:ind w:right="91" w:firstLine="0"/>
              <w:jc w:val="both"/>
              <w:rPr>
                <w:i/>
                <w:sz w:val="20"/>
              </w:rPr>
            </w:pPr>
            <w:r>
              <w:rPr>
                <w:i/>
                <w:strike/>
                <w:color w:val="333333"/>
                <w:sz w:val="20"/>
              </w:rPr>
              <w:t xml:space="preserve"> Ministro de Ambiente y Desarrollo</w:t>
            </w:r>
            <w:r>
              <w:rPr>
                <w:i/>
                <w:color w:val="333333"/>
                <w:sz w:val="20"/>
              </w:rPr>
              <w:t xml:space="preserve"> </w:t>
            </w:r>
            <w:r>
              <w:rPr>
                <w:i/>
                <w:strike/>
                <w:color w:val="333333"/>
                <w:sz w:val="20"/>
              </w:rPr>
              <w:t>Sostenible o su delegado.</w:t>
            </w:r>
          </w:p>
          <w:p w14:paraId="7AEB2083" w14:textId="77777777" w:rsidR="000E52B0" w:rsidRDefault="00F60D74">
            <w:pPr>
              <w:pStyle w:val="TableParagraph"/>
              <w:numPr>
                <w:ilvl w:val="0"/>
                <w:numId w:val="1"/>
              </w:numPr>
              <w:tabs>
                <w:tab w:val="left" w:pos="306"/>
              </w:tabs>
              <w:ind w:right="89" w:firstLine="0"/>
              <w:jc w:val="both"/>
              <w:rPr>
                <w:i/>
                <w:sz w:val="20"/>
              </w:rPr>
            </w:pPr>
            <w:r>
              <w:rPr>
                <w:i/>
                <w:strike/>
                <w:color w:val="333333"/>
                <w:spacing w:val="-9"/>
                <w:sz w:val="20"/>
              </w:rPr>
              <w:t xml:space="preserve"> </w:t>
            </w:r>
            <w:r>
              <w:rPr>
                <w:i/>
                <w:strike/>
                <w:color w:val="333333"/>
                <w:sz w:val="20"/>
              </w:rPr>
              <w:t>Ministro</w:t>
            </w:r>
            <w:r>
              <w:rPr>
                <w:i/>
                <w:strike/>
                <w:color w:val="333333"/>
                <w:spacing w:val="-7"/>
                <w:sz w:val="20"/>
              </w:rPr>
              <w:t xml:space="preserve"> </w:t>
            </w:r>
            <w:r>
              <w:rPr>
                <w:i/>
                <w:strike/>
                <w:color w:val="333333"/>
                <w:sz w:val="20"/>
              </w:rPr>
              <w:t>de</w:t>
            </w:r>
            <w:r>
              <w:rPr>
                <w:i/>
                <w:strike/>
                <w:color w:val="333333"/>
                <w:spacing w:val="-10"/>
                <w:sz w:val="20"/>
              </w:rPr>
              <w:t xml:space="preserve"> </w:t>
            </w:r>
            <w:r>
              <w:rPr>
                <w:i/>
                <w:strike/>
                <w:color w:val="333333"/>
                <w:sz w:val="20"/>
              </w:rPr>
              <w:t>Vivienda,</w:t>
            </w:r>
            <w:r>
              <w:rPr>
                <w:i/>
                <w:strike/>
                <w:color w:val="333333"/>
                <w:spacing w:val="-5"/>
                <w:sz w:val="20"/>
              </w:rPr>
              <w:t xml:space="preserve"> </w:t>
            </w:r>
            <w:r>
              <w:rPr>
                <w:i/>
                <w:strike/>
                <w:color w:val="333333"/>
                <w:sz w:val="20"/>
              </w:rPr>
              <w:t>Ciudad</w:t>
            </w:r>
            <w:r>
              <w:rPr>
                <w:i/>
                <w:strike/>
                <w:color w:val="333333"/>
                <w:spacing w:val="-8"/>
                <w:sz w:val="20"/>
              </w:rPr>
              <w:t xml:space="preserve"> </w:t>
            </w:r>
            <w:r>
              <w:rPr>
                <w:i/>
                <w:strike/>
                <w:color w:val="333333"/>
                <w:sz w:val="20"/>
              </w:rPr>
              <w:t>y</w:t>
            </w:r>
            <w:r>
              <w:rPr>
                <w:i/>
                <w:strike/>
                <w:color w:val="333333"/>
                <w:spacing w:val="-6"/>
                <w:sz w:val="20"/>
              </w:rPr>
              <w:t xml:space="preserve"> </w:t>
            </w:r>
            <w:r>
              <w:rPr>
                <w:i/>
                <w:strike/>
                <w:color w:val="333333"/>
                <w:sz w:val="20"/>
              </w:rPr>
              <w:t>Territorio</w:t>
            </w:r>
            <w:r>
              <w:rPr>
                <w:i/>
                <w:strike/>
                <w:color w:val="333333"/>
                <w:spacing w:val="-7"/>
                <w:sz w:val="20"/>
              </w:rPr>
              <w:t xml:space="preserve"> </w:t>
            </w:r>
            <w:r>
              <w:rPr>
                <w:i/>
                <w:strike/>
                <w:color w:val="333333"/>
                <w:sz w:val="20"/>
              </w:rPr>
              <w:t>o</w:t>
            </w:r>
            <w:r>
              <w:rPr>
                <w:i/>
                <w:color w:val="333333"/>
                <w:sz w:val="20"/>
              </w:rPr>
              <w:t xml:space="preserve"> </w:t>
            </w:r>
            <w:r>
              <w:rPr>
                <w:i/>
                <w:strike/>
                <w:color w:val="333333"/>
                <w:sz w:val="20"/>
              </w:rPr>
              <w:t>su delegado.</w:t>
            </w:r>
          </w:p>
          <w:p w14:paraId="294B3F06" w14:textId="77777777" w:rsidR="000E52B0" w:rsidRDefault="00F60D74">
            <w:pPr>
              <w:pStyle w:val="TableParagraph"/>
              <w:numPr>
                <w:ilvl w:val="0"/>
                <w:numId w:val="1"/>
              </w:numPr>
              <w:tabs>
                <w:tab w:val="left" w:pos="306"/>
              </w:tabs>
              <w:spacing w:line="242" w:lineRule="exact"/>
              <w:ind w:left="306" w:hanging="199"/>
              <w:jc w:val="both"/>
              <w:rPr>
                <w:i/>
                <w:sz w:val="20"/>
              </w:rPr>
            </w:pPr>
            <w:r>
              <w:rPr>
                <w:i/>
                <w:strike/>
                <w:color w:val="333333"/>
                <w:spacing w:val="-5"/>
                <w:sz w:val="20"/>
              </w:rPr>
              <w:t xml:space="preserve"> </w:t>
            </w:r>
            <w:r>
              <w:rPr>
                <w:i/>
                <w:strike/>
                <w:color w:val="333333"/>
                <w:sz w:val="20"/>
              </w:rPr>
              <w:t>Ministro</w:t>
            </w:r>
            <w:r>
              <w:rPr>
                <w:i/>
                <w:strike/>
                <w:color w:val="333333"/>
                <w:spacing w:val="-5"/>
                <w:sz w:val="20"/>
              </w:rPr>
              <w:t xml:space="preserve"> </w:t>
            </w:r>
            <w:r>
              <w:rPr>
                <w:i/>
                <w:strike/>
                <w:color w:val="333333"/>
                <w:sz w:val="20"/>
              </w:rPr>
              <w:t>de</w:t>
            </w:r>
            <w:r>
              <w:rPr>
                <w:i/>
                <w:strike/>
                <w:color w:val="333333"/>
                <w:spacing w:val="-5"/>
                <w:sz w:val="20"/>
              </w:rPr>
              <w:t xml:space="preserve"> </w:t>
            </w:r>
            <w:r>
              <w:rPr>
                <w:i/>
                <w:strike/>
                <w:color w:val="333333"/>
                <w:sz w:val="20"/>
              </w:rPr>
              <w:t>Igualdad</w:t>
            </w:r>
            <w:r>
              <w:rPr>
                <w:i/>
                <w:strike/>
                <w:color w:val="333333"/>
                <w:spacing w:val="-2"/>
                <w:sz w:val="20"/>
              </w:rPr>
              <w:t xml:space="preserve"> </w:t>
            </w:r>
            <w:r>
              <w:rPr>
                <w:i/>
                <w:strike/>
                <w:color w:val="333333"/>
                <w:sz w:val="20"/>
              </w:rPr>
              <w:t>y</w:t>
            </w:r>
            <w:r>
              <w:rPr>
                <w:i/>
                <w:strike/>
                <w:color w:val="333333"/>
                <w:spacing w:val="-4"/>
                <w:sz w:val="20"/>
              </w:rPr>
              <w:t xml:space="preserve"> </w:t>
            </w:r>
            <w:r>
              <w:rPr>
                <w:i/>
                <w:strike/>
                <w:color w:val="333333"/>
                <w:spacing w:val="-2"/>
                <w:sz w:val="20"/>
              </w:rPr>
              <w:t>Equidad.</w:t>
            </w:r>
          </w:p>
          <w:p w14:paraId="46BD7F5A" w14:textId="77777777" w:rsidR="000E52B0" w:rsidRDefault="00F60D74">
            <w:pPr>
              <w:pStyle w:val="TableParagraph"/>
              <w:numPr>
                <w:ilvl w:val="0"/>
                <w:numId w:val="1"/>
              </w:numPr>
              <w:tabs>
                <w:tab w:val="left" w:pos="306"/>
              </w:tabs>
              <w:ind w:right="88" w:firstLine="0"/>
              <w:jc w:val="both"/>
              <w:rPr>
                <w:i/>
                <w:sz w:val="20"/>
              </w:rPr>
            </w:pPr>
            <w:r>
              <w:rPr>
                <w:i/>
                <w:strike/>
                <w:color w:val="333333"/>
                <w:sz w:val="20"/>
              </w:rPr>
              <w:t xml:space="preserve"> Director del Departamento Nacional de</w:t>
            </w:r>
            <w:r>
              <w:rPr>
                <w:i/>
                <w:color w:val="333333"/>
                <w:sz w:val="20"/>
              </w:rPr>
              <w:t xml:space="preserve"> </w:t>
            </w:r>
            <w:r>
              <w:rPr>
                <w:i/>
                <w:strike/>
                <w:color w:val="333333"/>
                <w:sz w:val="20"/>
              </w:rPr>
              <w:t>Planeación o su delegado.</w:t>
            </w:r>
          </w:p>
          <w:p w14:paraId="6ECB860B" w14:textId="77777777" w:rsidR="000E52B0" w:rsidRDefault="00F60D74">
            <w:pPr>
              <w:pStyle w:val="TableParagraph"/>
              <w:numPr>
                <w:ilvl w:val="0"/>
                <w:numId w:val="1"/>
              </w:numPr>
              <w:tabs>
                <w:tab w:val="left" w:pos="431"/>
              </w:tabs>
              <w:ind w:right="90" w:firstLine="0"/>
              <w:jc w:val="both"/>
              <w:rPr>
                <w:i/>
                <w:sz w:val="20"/>
              </w:rPr>
            </w:pPr>
            <w:r>
              <w:rPr>
                <w:i/>
                <w:strike/>
                <w:color w:val="333333"/>
                <w:sz w:val="20"/>
              </w:rPr>
              <w:t>Director</w:t>
            </w:r>
            <w:r>
              <w:rPr>
                <w:i/>
                <w:strike/>
                <w:color w:val="333333"/>
                <w:spacing w:val="-18"/>
                <w:sz w:val="20"/>
              </w:rPr>
              <w:t xml:space="preserve"> </w:t>
            </w:r>
            <w:r>
              <w:rPr>
                <w:i/>
                <w:strike/>
                <w:color w:val="333333"/>
                <w:sz w:val="20"/>
              </w:rPr>
              <w:t>del</w:t>
            </w:r>
            <w:r>
              <w:rPr>
                <w:i/>
                <w:strike/>
                <w:color w:val="333333"/>
                <w:spacing w:val="-18"/>
                <w:sz w:val="20"/>
              </w:rPr>
              <w:t xml:space="preserve"> </w:t>
            </w:r>
            <w:r>
              <w:rPr>
                <w:i/>
                <w:strike/>
                <w:color w:val="333333"/>
                <w:sz w:val="20"/>
              </w:rPr>
              <w:t>Departamento</w:t>
            </w:r>
            <w:r>
              <w:rPr>
                <w:i/>
                <w:strike/>
                <w:color w:val="333333"/>
                <w:spacing w:val="-17"/>
                <w:sz w:val="20"/>
              </w:rPr>
              <w:t xml:space="preserve"> </w:t>
            </w:r>
            <w:r>
              <w:rPr>
                <w:i/>
                <w:strike/>
                <w:color w:val="333333"/>
                <w:sz w:val="20"/>
              </w:rPr>
              <w:t>Administrativo</w:t>
            </w:r>
            <w:r>
              <w:rPr>
                <w:i/>
                <w:color w:val="333333"/>
                <w:sz w:val="20"/>
              </w:rPr>
              <w:t xml:space="preserve"> </w:t>
            </w:r>
            <w:r>
              <w:rPr>
                <w:i/>
                <w:strike/>
                <w:color w:val="333333"/>
                <w:sz w:val="20"/>
              </w:rPr>
              <w:t>para la Prosperidad Social (DPS) o su</w:t>
            </w:r>
            <w:r>
              <w:rPr>
                <w:i/>
                <w:color w:val="333333"/>
                <w:sz w:val="20"/>
              </w:rPr>
              <w:t xml:space="preserve"> </w:t>
            </w:r>
            <w:r>
              <w:rPr>
                <w:i/>
                <w:strike/>
                <w:color w:val="333333"/>
                <w:spacing w:val="-2"/>
                <w:sz w:val="20"/>
              </w:rPr>
              <w:t>delegado.</w:t>
            </w:r>
          </w:p>
          <w:p w14:paraId="10E258D9" w14:textId="77777777" w:rsidR="000E52B0" w:rsidRDefault="00F60D74">
            <w:pPr>
              <w:pStyle w:val="TableParagraph"/>
              <w:numPr>
                <w:ilvl w:val="0"/>
                <w:numId w:val="1"/>
              </w:numPr>
              <w:tabs>
                <w:tab w:val="left" w:pos="432"/>
              </w:tabs>
              <w:ind w:right="89" w:firstLine="0"/>
              <w:jc w:val="both"/>
              <w:rPr>
                <w:i/>
                <w:sz w:val="20"/>
              </w:rPr>
            </w:pPr>
            <w:r>
              <w:rPr>
                <w:i/>
                <w:strike/>
                <w:color w:val="333333"/>
                <w:sz w:val="20"/>
              </w:rPr>
              <w:t xml:space="preserve"> Director del Instituto Colombiano de</w:t>
            </w:r>
            <w:r>
              <w:rPr>
                <w:i/>
                <w:color w:val="333333"/>
                <w:sz w:val="20"/>
              </w:rPr>
              <w:t xml:space="preserve"> </w:t>
            </w:r>
            <w:r>
              <w:rPr>
                <w:i/>
                <w:strike/>
                <w:color w:val="333333"/>
                <w:sz w:val="20"/>
              </w:rPr>
              <w:t>Bienestar Familiar (ICBF) o su delegado.</w:t>
            </w:r>
          </w:p>
          <w:p w14:paraId="56773241" w14:textId="77777777" w:rsidR="000E52B0" w:rsidRDefault="00F60D74">
            <w:pPr>
              <w:pStyle w:val="TableParagraph"/>
              <w:numPr>
                <w:ilvl w:val="0"/>
                <w:numId w:val="1"/>
              </w:numPr>
              <w:tabs>
                <w:tab w:val="left" w:pos="432"/>
              </w:tabs>
              <w:spacing w:line="242" w:lineRule="exact"/>
              <w:ind w:right="86" w:firstLine="0"/>
              <w:jc w:val="both"/>
              <w:rPr>
                <w:i/>
                <w:sz w:val="20"/>
              </w:rPr>
            </w:pPr>
            <w:r>
              <w:rPr>
                <w:i/>
                <w:strike/>
                <w:color w:val="333333"/>
                <w:spacing w:val="-17"/>
                <w:sz w:val="20"/>
              </w:rPr>
              <w:t xml:space="preserve"> </w:t>
            </w:r>
            <w:r>
              <w:rPr>
                <w:i/>
                <w:strike/>
                <w:color w:val="333333"/>
                <w:sz w:val="20"/>
              </w:rPr>
              <w:t>Un</w:t>
            </w:r>
            <w:r>
              <w:rPr>
                <w:i/>
                <w:strike/>
                <w:color w:val="333333"/>
                <w:spacing w:val="-15"/>
                <w:sz w:val="20"/>
              </w:rPr>
              <w:t xml:space="preserve"> </w:t>
            </w:r>
            <w:r>
              <w:rPr>
                <w:i/>
                <w:strike/>
                <w:color w:val="333333"/>
                <w:sz w:val="20"/>
              </w:rPr>
              <w:t>miembro</w:t>
            </w:r>
            <w:r>
              <w:rPr>
                <w:i/>
                <w:strike/>
                <w:color w:val="333333"/>
                <w:spacing w:val="-16"/>
                <w:sz w:val="20"/>
              </w:rPr>
              <w:t xml:space="preserve"> </w:t>
            </w:r>
            <w:r>
              <w:rPr>
                <w:i/>
                <w:strike/>
                <w:color w:val="333333"/>
                <w:sz w:val="20"/>
              </w:rPr>
              <w:t>de</w:t>
            </w:r>
            <w:r>
              <w:rPr>
                <w:i/>
                <w:strike/>
                <w:color w:val="333333"/>
                <w:spacing w:val="-16"/>
                <w:sz w:val="20"/>
              </w:rPr>
              <w:t xml:space="preserve"> </w:t>
            </w:r>
            <w:r>
              <w:rPr>
                <w:i/>
                <w:strike/>
                <w:color w:val="333333"/>
                <w:sz w:val="20"/>
              </w:rPr>
              <w:t>la</w:t>
            </w:r>
            <w:r>
              <w:rPr>
                <w:i/>
                <w:strike/>
                <w:color w:val="333333"/>
                <w:spacing w:val="-16"/>
                <w:sz w:val="20"/>
              </w:rPr>
              <w:t xml:space="preserve"> </w:t>
            </w:r>
            <w:r>
              <w:rPr>
                <w:i/>
                <w:strike/>
                <w:color w:val="333333"/>
                <w:sz w:val="20"/>
              </w:rPr>
              <w:t>Asociación</w:t>
            </w:r>
            <w:r>
              <w:rPr>
                <w:i/>
                <w:strike/>
                <w:color w:val="333333"/>
                <w:spacing w:val="-12"/>
                <w:sz w:val="20"/>
              </w:rPr>
              <w:t xml:space="preserve"> </w:t>
            </w:r>
            <w:r>
              <w:rPr>
                <w:i/>
                <w:strike/>
                <w:color w:val="333333"/>
                <w:sz w:val="20"/>
              </w:rPr>
              <w:t>Colombiana</w:t>
            </w:r>
            <w:r>
              <w:rPr>
                <w:i/>
                <w:color w:val="333333"/>
                <w:sz w:val="20"/>
              </w:rPr>
              <w:t xml:space="preserve"> </w:t>
            </w:r>
            <w:r>
              <w:rPr>
                <w:i/>
                <w:strike/>
                <w:color w:val="333333"/>
                <w:sz w:val="20"/>
              </w:rPr>
              <w:t>de</w:t>
            </w:r>
            <w:r>
              <w:rPr>
                <w:i/>
                <w:strike/>
                <w:color w:val="333333"/>
                <w:spacing w:val="-13"/>
                <w:sz w:val="20"/>
              </w:rPr>
              <w:t xml:space="preserve"> </w:t>
            </w:r>
            <w:r>
              <w:rPr>
                <w:i/>
                <w:strike/>
                <w:color w:val="333333"/>
                <w:sz w:val="20"/>
              </w:rPr>
              <w:t>Facultades</w:t>
            </w:r>
            <w:r>
              <w:rPr>
                <w:i/>
                <w:strike/>
                <w:color w:val="333333"/>
                <w:spacing w:val="-10"/>
                <w:sz w:val="20"/>
              </w:rPr>
              <w:t xml:space="preserve"> </w:t>
            </w:r>
            <w:r>
              <w:rPr>
                <w:i/>
                <w:strike/>
                <w:color w:val="333333"/>
                <w:sz w:val="20"/>
              </w:rPr>
              <w:t>de</w:t>
            </w:r>
            <w:r>
              <w:rPr>
                <w:i/>
                <w:strike/>
                <w:color w:val="333333"/>
                <w:spacing w:val="-11"/>
                <w:sz w:val="20"/>
              </w:rPr>
              <w:t xml:space="preserve"> </w:t>
            </w:r>
            <w:r>
              <w:rPr>
                <w:i/>
                <w:strike/>
                <w:color w:val="333333"/>
                <w:sz w:val="20"/>
              </w:rPr>
              <w:t>Nutrición,</w:t>
            </w:r>
            <w:r>
              <w:rPr>
                <w:i/>
                <w:strike/>
                <w:color w:val="333333"/>
                <w:spacing w:val="-12"/>
                <w:sz w:val="20"/>
              </w:rPr>
              <w:t xml:space="preserve"> </w:t>
            </w:r>
            <w:r>
              <w:rPr>
                <w:i/>
                <w:strike/>
                <w:color w:val="333333"/>
                <w:sz w:val="20"/>
              </w:rPr>
              <w:t>designado</w:t>
            </w:r>
            <w:r>
              <w:rPr>
                <w:i/>
                <w:strike/>
                <w:color w:val="333333"/>
                <w:spacing w:val="-11"/>
                <w:sz w:val="20"/>
              </w:rPr>
              <w:t xml:space="preserve"> </w:t>
            </w:r>
            <w:r>
              <w:rPr>
                <w:i/>
                <w:strike/>
                <w:color w:val="333333"/>
                <w:sz w:val="20"/>
              </w:rPr>
              <w:t>por</w:t>
            </w:r>
            <w:r>
              <w:rPr>
                <w:i/>
                <w:strike/>
                <w:color w:val="333333"/>
                <w:spacing w:val="-11"/>
                <w:sz w:val="20"/>
              </w:rPr>
              <w:t xml:space="preserve"> </w:t>
            </w:r>
            <w:r>
              <w:rPr>
                <w:i/>
                <w:strike/>
                <w:color w:val="333333"/>
                <w:sz w:val="20"/>
              </w:rPr>
              <w:t>su</w:t>
            </w:r>
            <w:r>
              <w:rPr>
                <w:i/>
                <w:color w:val="333333"/>
                <w:sz w:val="20"/>
              </w:rPr>
              <w:t xml:space="preserve"> </w:t>
            </w:r>
            <w:r>
              <w:rPr>
                <w:i/>
                <w:strike/>
                <w:color w:val="333333"/>
                <w:sz w:val="20"/>
              </w:rPr>
              <w:t>junta directiva.</w:t>
            </w:r>
          </w:p>
        </w:tc>
        <w:tc>
          <w:tcPr>
            <w:tcW w:w="3809" w:type="dxa"/>
          </w:tcPr>
          <w:p w14:paraId="35CFD502" w14:textId="77777777" w:rsidR="000E52B0" w:rsidRDefault="000E52B0">
            <w:pPr>
              <w:pStyle w:val="TableParagraph"/>
              <w:rPr>
                <w:rFonts w:ascii="Times New Roman"/>
                <w:sz w:val="18"/>
              </w:rPr>
            </w:pPr>
          </w:p>
        </w:tc>
      </w:tr>
      <w:tr w:rsidR="000E52B0" w14:paraId="23241E2C" w14:textId="77777777">
        <w:trPr>
          <w:trHeight w:val="2430"/>
        </w:trPr>
        <w:tc>
          <w:tcPr>
            <w:tcW w:w="4712" w:type="dxa"/>
          </w:tcPr>
          <w:p w14:paraId="7F1C0A69" w14:textId="77777777" w:rsidR="000E52B0" w:rsidRDefault="000E52B0">
            <w:pPr>
              <w:pStyle w:val="TableParagraph"/>
              <w:rPr>
                <w:rFonts w:ascii="Times New Roman"/>
                <w:sz w:val="18"/>
              </w:rPr>
            </w:pPr>
          </w:p>
        </w:tc>
        <w:tc>
          <w:tcPr>
            <w:tcW w:w="4723" w:type="dxa"/>
          </w:tcPr>
          <w:p w14:paraId="71C867C9" w14:textId="77777777" w:rsidR="000E52B0" w:rsidRDefault="00F60D74">
            <w:pPr>
              <w:pStyle w:val="TableParagraph"/>
              <w:ind w:left="107" w:right="106"/>
              <w:rPr>
                <w:b/>
                <w:sz w:val="20"/>
              </w:rPr>
            </w:pPr>
            <w:r>
              <w:rPr>
                <w:b/>
                <w:color w:val="333333"/>
                <w:sz w:val="20"/>
                <w:u w:val="single" w:color="333333"/>
              </w:rPr>
              <w:t>ARTÍCULO 15. NO SOLUCIÓN DE</w:t>
            </w:r>
            <w:r>
              <w:rPr>
                <w:b/>
                <w:color w:val="333333"/>
                <w:sz w:val="20"/>
              </w:rPr>
              <w:t xml:space="preserve"> </w:t>
            </w:r>
            <w:r>
              <w:rPr>
                <w:b/>
                <w:color w:val="333333"/>
                <w:sz w:val="20"/>
                <w:u w:val="single" w:color="333333"/>
              </w:rPr>
              <w:t>CONTINUIDAD EN LA EXISTENCIA DE</w:t>
            </w:r>
            <w:r>
              <w:rPr>
                <w:b/>
                <w:color w:val="333333"/>
                <w:sz w:val="20"/>
              </w:rPr>
              <w:t xml:space="preserve"> </w:t>
            </w:r>
            <w:r>
              <w:rPr>
                <w:b/>
                <w:color w:val="333333"/>
                <w:sz w:val="20"/>
                <w:u w:val="single" w:color="333333"/>
              </w:rPr>
              <w:t>LA PERSONA JURÍDICA DEL</w:t>
            </w:r>
            <w:r>
              <w:rPr>
                <w:b/>
                <w:color w:val="333333"/>
                <w:sz w:val="20"/>
              </w:rPr>
              <w:t xml:space="preserve"> </w:t>
            </w:r>
            <w:r>
              <w:rPr>
                <w:b/>
                <w:color w:val="333333"/>
                <w:sz w:val="20"/>
                <w:u w:val="single" w:color="333333"/>
              </w:rPr>
              <w:t>MINISTERIO</w:t>
            </w:r>
            <w:r>
              <w:rPr>
                <w:b/>
                <w:color w:val="333333"/>
                <w:spacing w:val="-11"/>
                <w:sz w:val="20"/>
                <w:u w:val="single" w:color="333333"/>
              </w:rPr>
              <w:t xml:space="preserve"> </w:t>
            </w:r>
            <w:r>
              <w:rPr>
                <w:b/>
                <w:color w:val="333333"/>
                <w:sz w:val="20"/>
                <w:u w:val="single" w:color="333333"/>
              </w:rPr>
              <w:t>DE</w:t>
            </w:r>
            <w:r>
              <w:rPr>
                <w:b/>
                <w:color w:val="333333"/>
                <w:spacing w:val="-11"/>
                <w:sz w:val="20"/>
                <w:u w:val="single" w:color="333333"/>
              </w:rPr>
              <w:t xml:space="preserve"> </w:t>
            </w:r>
            <w:r>
              <w:rPr>
                <w:b/>
                <w:color w:val="333333"/>
                <w:sz w:val="20"/>
                <w:u w:val="single" w:color="333333"/>
              </w:rPr>
              <w:t>IGUALDAD</w:t>
            </w:r>
            <w:r>
              <w:rPr>
                <w:b/>
                <w:color w:val="333333"/>
                <w:spacing w:val="-11"/>
                <w:sz w:val="20"/>
                <w:u w:val="single" w:color="333333"/>
              </w:rPr>
              <w:t xml:space="preserve"> </w:t>
            </w:r>
            <w:r>
              <w:rPr>
                <w:b/>
                <w:color w:val="333333"/>
                <w:sz w:val="20"/>
                <w:u w:val="single" w:color="333333"/>
              </w:rPr>
              <w:t>Y</w:t>
            </w:r>
            <w:r>
              <w:rPr>
                <w:b/>
                <w:color w:val="333333"/>
                <w:spacing w:val="-13"/>
                <w:sz w:val="20"/>
                <w:u w:val="single" w:color="333333"/>
              </w:rPr>
              <w:t xml:space="preserve"> </w:t>
            </w:r>
            <w:r>
              <w:rPr>
                <w:b/>
                <w:color w:val="333333"/>
                <w:sz w:val="20"/>
                <w:u w:val="single" w:color="333333"/>
              </w:rPr>
              <w:t>EQUIDAD.</w:t>
            </w:r>
          </w:p>
          <w:p w14:paraId="30428953" w14:textId="77777777" w:rsidR="000E52B0" w:rsidRDefault="00F60D74">
            <w:pPr>
              <w:pStyle w:val="TableParagraph"/>
              <w:ind w:left="107" w:right="94"/>
              <w:rPr>
                <w:b/>
                <w:sz w:val="20"/>
              </w:rPr>
            </w:pPr>
            <w:r>
              <w:rPr>
                <w:b/>
                <w:color w:val="333333"/>
                <w:sz w:val="20"/>
                <w:u w:val="single" w:color="333333"/>
              </w:rPr>
              <w:t xml:space="preserve">Con la </w:t>
            </w:r>
            <w:proofErr w:type="gramStart"/>
            <w:r>
              <w:rPr>
                <w:b/>
                <w:color w:val="333333"/>
                <w:sz w:val="20"/>
                <w:u w:val="single" w:color="333333"/>
              </w:rPr>
              <w:t>entrada en vigencia</w:t>
            </w:r>
            <w:proofErr w:type="gramEnd"/>
            <w:r>
              <w:rPr>
                <w:b/>
                <w:color w:val="333333"/>
                <w:sz w:val="20"/>
                <w:u w:val="single" w:color="333333"/>
              </w:rPr>
              <w:t xml:space="preserve"> de la</w:t>
            </w:r>
            <w:r>
              <w:rPr>
                <w:b/>
                <w:color w:val="333333"/>
                <w:sz w:val="20"/>
              </w:rPr>
              <w:t xml:space="preserve"> </w:t>
            </w:r>
            <w:r>
              <w:rPr>
                <w:b/>
                <w:color w:val="333333"/>
                <w:sz w:val="20"/>
                <w:u w:val="single" w:color="333333"/>
              </w:rPr>
              <w:t>presente Ley, se producirá la no</w:t>
            </w:r>
            <w:r>
              <w:rPr>
                <w:b/>
                <w:color w:val="333333"/>
                <w:sz w:val="20"/>
              </w:rPr>
              <w:t xml:space="preserve"> </w:t>
            </w:r>
            <w:r>
              <w:rPr>
                <w:b/>
                <w:color w:val="333333"/>
                <w:sz w:val="20"/>
                <w:u w:val="single" w:color="333333"/>
              </w:rPr>
              <w:t>solución</w:t>
            </w:r>
            <w:r>
              <w:rPr>
                <w:b/>
                <w:color w:val="333333"/>
                <w:spacing w:val="-9"/>
                <w:sz w:val="20"/>
                <w:u w:val="single" w:color="333333"/>
              </w:rPr>
              <w:t xml:space="preserve"> </w:t>
            </w:r>
            <w:r>
              <w:rPr>
                <w:b/>
                <w:color w:val="333333"/>
                <w:sz w:val="20"/>
                <w:u w:val="single" w:color="333333"/>
              </w:rPr>
              <w:t>de</w:t>
            </w:r>
            <w:r>
              <w:rPr>
                <w:b/>
                <w:color w:val="333333"/>
                <w:spacing w:val="-9"/>
                <w:sz w:val="20"/>
                <w:u w:val="single" w:color="333333"/>
              </w:rPr>
              <w:t xml:space="preserve"> </w:t>
            </w:r>
            <w:r>
              <w:rPr>
                <w:b/>
                <w:color w:val="333333"/>
                <w:sz w:val="20"/>
                <w:u w:val="single" w:color="333333"/>
              </w:rPr>
              <w:t>continuidad</w:t>
            </w:r>
            <w:r>
              <w:rPr>
                <w:b/>
                <w:color w:val="333333"/>
                <w:spacing w:val="-8"/>
                <w:sz w:val="20"/>
                <w:u w:val="single" w:color="333333"/>
              </w:rPr>
              <w:t xml:space="preserve"> </w:t>
            </w:r>
            <w:r>
              <w:rPr>
                <w:b/>
                <w:color w:val="333333"/>
                <w:sz w:val="20"/>
                <w:u w:val="single" w:color="333333"/>
              </w:rPr>
              <w:t>de</w:t>
            </w:r>
            <w:r>
              <w:rPr>
                <w:b/>
                <w:color w:val="333333"/>
                <w:spacing w:val="-8"/>
                <w:sz w:val="20"/>
                <w:u w:val="single" w:color="333333"/>
              </w:rPr>
              <w:t xml:space="preserve"> </w:t>
            </w:r>
            <w:r>
              <w:rPr>
                <w:b/>
                <w:color w:val="333333"/>
                <w:sz w:val="20"/>
                <w:u w:val="single" w:color="333333"/>
              </w:rPr>
              <w:t>la</w:t>
            </w:r>
            <w:r>
              <w:rPr>
                <w:b/>
                <w:color w:val="333333"/>
                <w:spacing w:val="-9"/>
                <w:sz w:val="20"/>
                <w:u w:val="single" w:color="333333"/>
              </w:rPr>
              <w:t xml:space="preserve"> </w:t>
            </w:r>
            <w:r>
              <w:rPr>
                <w:b/>
                <w:color w:val="333333"/>
                <w:sz w:val="20"/>
                <w:u w:val="single" w:color="333333"/>
              </w:rPr>
              <w:t>existencia</w:t>
            </w:r>
            <w:r>
              <w:rPr>
                <w:b/>
                <w:color w:val="333333"/>
                <w:sz w:val="20"/>
              </w:rPr>
              <w:t xml:space="preserve"> </w:t>
            </w:r>
            <w:r>
              <w:rPr>
                <w:b/>
                <w:color w:val="333333"/>
                <w:sz w:val="20"/>
                <w:u w:val="single" w:color="333333"/>
              </w:rPr>
              <w:t>de la persona jurídica del Ministerio de</w:t>
            </w:r>
            <w:r>
              <w:rPr>
                <w:b/>
                <w:color w:val="333333"/>
                <w:sz w:val="20"/>
              </w:rPr>
              <w:t xml:space="preserve"> </w:t>
            </w:r>
            <w:r>
              <w:rPr>
                <w:b/>
                <w:color w:val="333333"/>
                <w:sz w:val="20"/>
                <w:u w:val="single" w:color="333333"/>
              </w:rPr>
              <w:t>Igualdad</w:t>
            </w:r>
            <w:r>
              <w:rPr>
                <w:b/>
                <w:color w:val="333333"/>
                <w:spacing w:val="-6"/>
                <w:sz w:val="20"/>
                <w:u w:val="single" w:color="333333"/>
              </w:rPr>
              <w:t xml:space="preserve"> </w:t>
            </w:r>
            <w:r>
              <w:rPr>
                <w:b/>
                <w:color w:val="333333"/>
                <w:sz w:val="20"/>
                <w:u w:val="single" w:color="333333"/>
              </w:rPr>
              <w:t>y</w:t>
            </w:r>
            <w:r>
              <w:rPr>
                <w:b/>
                <w:color w:val="333333"/>
                <w:spacing w:val="-4"/>
                <w:sz w:val="20"/>
                <w:u w:val="single" w:color="333333"/>
              </w:rPr>
              <w:t xml:space="preserve"> </w:t>
            </w:r>
            <w:r>
              <w:rPr>
                <w:b/>
                <w:color w:val="333333"/>
                <w:sz w:val="20"/>
                <w:u w:val="single" w:color="333333"/>
              </w:rPr>
              <w:t>Equidad,</w:t>
            </w:r>
            <w:r>
              <w:rPr>
                <w:b/>
                <w:color w:val="333333"/>
                <w:spacing w:val="-4"/>
                <w:sz w:val="20"/>
                <w:u w:val="single" w:color="333333"/>
              </w:rPr>
              <w:t xml:space="preserve"> </w:t>
            </w:r>
            <w:r>
              <w:rPr>
                <w:b/>
                <w:color w:val="333333"/>
                <w:sz w:val="20"/>
                <w:u w:val="single" w:color="333333"/>
              </w:rPr>
              <w:t>creado</w:t>
            </w:r>
            <w:r>
              <w:rPr>
                <w:b/>
                <w:color w:val="333333"/>
                <w:spacing w:val="-6"/>
                <w:sz w:val="20"/>
                <w:u w:val="single" w:color="333333"/>
              </w:rPr>
              <w:t xml:space="preserve"> </w:t>
            </w:r>
            <w:r>
              <w:rPr>
                <w:b/>
                <w:color w:val="333333"/>
                <w:sz w:val="20"/>
                <w:u w:val="single" w:color="333333"/>
              </w:rPr>
              <w:t>con</w:t>
            </w:r>
            <w:r>
              <w:rPr>
                <w:b/>
                <w:color w:val="333333"/>
                <w:spacing w:val="-4"/>
                <w:sz w:val="20"/>
                <w:u w:val="single" w:color="333333"/>
              </w:rPr>
              <w:t xml:space="preserve"> </w:t>
            </w:r>
            <w:r>
              <w:rPr>
                <w:b/>
                <w:color w:val="333333"/>
                <w:sz w:val="20"/>
                <w:u w:val="single" w:color="333333"/>
              </w:rPr>
              <w:t>ocasión</w:t>
            </w:r>
          </w:p>
          <w:p w14:paraId="039B0002" w14:textId="77777777" w:rsidR="000E52B0" w:rsidRDefault="00F60D74">
            <w:pPr>
              <w:pStyle w:val="TableParagraph"/>
              <w:spacing w:line="223" w:lineRule="exact"/>
              <w:ind w:left="107"/>
              <w:rPr>
                <w:b/>
                <w:sz w:val="20"/>
              </w:rPr>
            </w:pPr>
            <w:r>
              <w:rPr>
                <w:b/>
                <w:color w:val="333333"/>
                <w:sz w:val="20"/>
                <w:u w:val="single" w:color="333333"/>
              </w:rPr>
              <w:t>de</w:t>
            </w:r>
            <w:r>
              <w:rPr>
                <w:b/>
                <w:color w:val="333333"/>
                <w:spacing w:val="-5"/>
                <w:sz w:val="20"/>
                <w:u w:val="single" w:color="333333"/>
              </w:rPr>
              <w:t xml:space="preserve"> </w:t>
            </w:r>
            <w:r>
              <w:rPr>
                <w:b/>
                <w:color w:val="333333"/>
                <w:sz w:val="20"/>
                <w:u w:val="single" w:color="333333"/>
              </w:rPr>
              <w:t>la</w:t>
            </w:r>
            <w:r>
              <w:rPr>
                <w:b/>
                <w:color w:val="333333"/>
                <w:spacing w:val="-5"/>
                <w:sz w:val="20"/>
                <w:u w:val="single" w:color="333333"/>
              </w:rPr>
              <w:t xml:space="preserve"> </w:t>
            </w:r>
            <w:r>
              <w:rPr>
                <w:b/>
                <w:color w:val="333333"/>
                <w:sz w:val="20"/>
                <w:u w:val="single" w:color="333333"/>
              </w:rPr>
              <w:t>Ley</w:t>
            </w:r>
            <w:r>
              <w:rPr>
                <w:b/>
                <w:color w:val="333333"/>
                <w:spacing w:val="-4"/>
                <w:sz w:val="20"/>
                <w:u w:val="single" w:color="333333"/>
              </w:rPr>
              <w:t xml:space="preserve"> </w:t>
            </w:r>
            <w:r>
              <w:rPr>
                <w:b/>
                <w:color w:val="333333"/>
                <w:sz w:val="20"/>
                <w:u w:val="single" w:color="333333"/>
              </w:rPr>
              <w:t>2281</w:t>
            </w:r>
            <w:r>
              <w:rPr>
                <w:b/>
                <w:color w:val="333333"/>
                <w:spacing w:val="-4"/>
                <w:sz w:val="20"/>
                <w:u w:val="single" w:color="333333"/>
              </w:rPr>
              <w:t xml:space="preserve"> </w:t>
            </w:r>
            <w:r>
              <w:rPr>
                <w:b/>
                <w:color w:val="333333"/>
                <w:sz w:val="20"/>
                <w:u w:val="single" w:color="333333"/>
              </w:rPr>
              <w:t>de</w:t>
            </w:r>
            <w:r>
              <w:rPr>
                <w:b/>
                <w:color w:val="333333"/>
                <w:spacing w:val="-4"/>
                <w:sz w:val="20"/>
                <w:u w:val="single" w:color="333333"/>
              </w:rPr>
              <w:t xml:space="preserve"> </w:t>
            </w:r>
            <w:r>
              <w:rPr>
                <w:b/>
                <w:color w:val="333333"/>
                <w:sz w:val="20"/>
                <w:u w:val="single" w:color="333333"/>
              </w:rPr>
              <w:t>2023.</w:t>
            </w:r>
            <w:r>
              <w:rPr>
                <w:b/>
                <w:color w:val="333333"/>
                <w:spacing w:val="-6"/>
                <w:sz w:val="20"/>
                <w:u w:val="single" w:color="333333"/>
              </w:rPr>
              <w:t xml:space="preserve"> </w:t>
            </w:r>
            <w:r>
              <w:rPr>
                <w:b/>
                <w:color w:val="333333"/>
                <w:spacing w:val="-5"/>
                <w:sz w:val="20"/>
                <w:u w:val="single" w:color="333333"/>
              </w:rPr>
              <w:t>En</w:t>
            </w:r>
          </w:p>
        </w:tc>
        <w:tc>
          <w:tcPr>
            <w:tcW w:w="3809" w:type="dxa"/>
          </w:tcPr>
          <w:p w14:paraId="6C5C11CF" w14:textId="77777777" w:rsidR="000E52B0" w:rsidRDefault="00F60D74">
            <w:pPr>
              <w:pStyle w:val="TableParagraph"/>
              <w:ind w:left="108" w:right="91"/>
              <w:jc w:val="both"/>
              <w:rPr>
                <w:sz w:val="20"/>
              </w:rPr>
            </w:pPr>
            <w:r>
              <w:rPr>
                <w:sz w:val="20"/>
              </w:rPr>
              <w:t xml:space="preserve">Artículo nuevo, para blindar los negocios jurídicos y las </w:t>
            </w:r>
            <w:r>
              <w:rPr>
                <w:spacing w:val="-2"/>
                <w:sz w:val="20"/>
              </w:rPr>
              <w:t>reglamentaciones</w:t>
            </w:r>
            <w:r>
              <w:rPr>
                <w:spacing w:val="-9"/>
                <w:sz w:val="20"/>
              </w:rPr>
              <w:t xml:space="preserve"> </w:t>
            </w:r>
            <w:r>
              <w:rPr>
                <w:spacing w:val="-2"/>
                <w:sz w:val="20"/>
              </w:rPr>
              <w:t>que</w:t>
            </w:r>
            <w:r>
              <w:rPr>
                <w:spacing w:val="-10"/>
                <w:sz w:val="20"/>
              </w:rPr>
              <w:t xml:space="preserve"> </w:t>
            </w:r>
            <w:r>
              <w:rPr>
                <w:spacing w:val="-2"/>
                <w:sz w:val="20"/>
              </w:rPr>
              <w:t>se</w:t>
            </w:r>
            <w:r>
              <w:rPr>
                <w:spacing w:val="-10"/>
                <w:sz w:val="20"/>
              </w:rPr>
              <w:t xml:space="preserve"> </w:t>
            </w:r>
            <w:r>
              <w:rPr>
                <w:spacing w:val="-2"/>
                <w:sz w:val="20"/>
              </w:rPr>
              <w:t xml:space="preserve">celebraron </w:t>
            </w:r>
            <w:r>
              <w:rPr>
                <w:sz w:val="20"/>
              </w:rPr>
              <w:t>con</w:t>
            </w:r>
            <w:r>
              <w:rPr>
                <w:spacing w:val="-2"/>
                <w:sz w:val="20"/>
              </w:rPr>
              <w:t xml:space="preserve"> </w:t>
            </w:r>
            <w:r>
              <w:rPr>
                <w:sz w:val="20"/>
              </w:rPr>
              <w:t>ocasión</w:t>
            </w:r>
            <w:r>
              <w:rPr>
                <w:spacing w:val="-3"/>
                <w:sz w:val="20"/>
              </w:rPr>
              <w:t xml:space="preserve"> </w:t>
            </w:r>
            <w:r>
              <w:rPr>
                <w:sz w:val="20"/>
              </w:rPr>
              <w:t>a</w:t>
            </w:r>
            <w:r>
              <w:rPr>
                <w:spacing w:val="-5"/>
                <w:sz w:val="20"/>
              </w:rPr>
              <w:t xml:space="preserve"> </w:t>
            </w:r>
            <w:r>
              <w:rPr>
                <w:sz w:val="20"/>
              </w:rPr>
              <w:t>la</w:t>
            </w:r>
            <w:r>
              <w:rPr>
                <w:spacing w:val="-1"/>
                <w:sz w:val="20"/>
              </w:rPr>
              <w:t xml:space="preserve"> </w:t>
            </w:r>
            <w:r>
              <w:rPr>
                <w:sz w:val="20"/>
              </w:rPr>
              <w:t>Ley</w:t>
            </w:r>
            <w:r>
              <w:rPr>
                <w:spacing w:val="-5"/>
                <w:sz w:val="20"/>
              </w:rPr>
              <w:t xml:space="preserve"> </w:t>
            </w:r>
            <w:r>
              <w:rPr>
                <w:sz w:val="20"/>
              </w:rPr>
              <w:t>2281</w:t>
            </w:r>
            <w:r>
              <w:rPr>
                <w:spacing w:val="-3"/>
                <w:sz w:val="20"/>
              </w:rPr>
              <w:t xml:space="preserve"> </w:t>
            </w:r>
            <w:r>
              <w:rPr>
                <w:sz w:val="20"/>
              </w:rPr>
              <w:t>de</w:t>
            </w:r>
            <w:r>
              <w:rPr>
                <w:spacing w:val="-6"/>
                <w:sz w:val="20"/>
              </w:rPr>
              <w:t xml:space="preserve"> </w:t>
            </w:r>
            <w:r>
              <w:rPr>
                <w:spacing w:val="-2"/>
                <w:sz w:val="20"/>
              </w:rPr>
              <w:t>2023.</w:t>
            </w:r>
          </w:p>
        </w:tc>
      </w:tr>
    </w:tbl>
    <w:p w14:paraId="3BA64E15" w14:textId="77777777" w:rsidR="000E52B0" w:rsidRDefault="000E52B0">
      <w:pPr>
        <w:pStyle w:val="TableParagraph"/>
        <w:jc w:val="both"/>
        <w:rPr>
          <w:sz w:val="20"/>
        </w:rPr>
        <w:sectPr w:rsidR="000E52B0">
          <w:pgSz w:w="16840" w:h="11910" w:orient="landscape"/>
          <w:pgMar w:top="1340" w:right="1800" w:bottom="1180" w:left="1440" w:header="0" w:footer="995" w:gutter="0"/>
          <w:cols w:space="720"/>
        </w:sectPr>
      </w:pPr>
    </w:p>
    <w:p w14:paraId="760E5C22" w14:textId="77777777" w:rsidR="000E52B0" w:rsidRDefault="000E52B0">
      <w:pPr>
        <w:pStyle w:val="Textoindependiente"/>
        <w:spacing w:before="8" w:after="1"/>
        <w:ind w:left="0"/>
        <w:rPr>
          <w:b/>
          <w:sz w:val="7"/>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12"/>
        <w:gridCol w:w="4723"/>
        <w:gridCol w:w="3809"/>
      </w:tblGrid>
      <w:tr w:rsidR="000E52B0" w14:paraId="6DCEC7F9" w14:textId="77777777">
        <w:trPr>
          <w:trHeight w:val="5342"/>
        </w:trPr>
        <w:tc>
          <w:tcPr>
            <w:tcW w:w="4712" w:type="dxa"/>
          </w:tcPr>
          <w:p w14:paraId="1FF182C2" w14:textId="77777777" w:rsidR="000E52B0" w:rsidRDefault="000E52B0">
            <w:pPr>
              <w:pStyle w:val="TableParagraph"/>
              <w:rPr>
                <w:rFonts w:ascii="Times New Roman"/>
                <w:sz w:val="18"/>
              </w:rPr>
            </w:pPr>
          </w:p>
        </w:tc>
        <w:tc>
          <w:tcPr>
            <w:tcW w:w="4723" w:type="dxa"/>
          </w:tcPr>
          <w:p w14:paraId="0F321071" w14:textId="77777777" w:rsidR="000E52B0" w:rsidRDefault="00F60D74">
            <w:pPr>
              <w:pStyle w:val="TableParagraph"/>
              <w:ind w:left="107"/>
              <w:rPr>
                <w:b/>
                <w:sz w:val="20"/>
              </w:rPr>
            </w:pPr>
            <w:r>
              <w:rPr>
                <w:b/>
                <w:color w:val="333333"/>
                <w:sz w:val="20"/>
                <w:u w:val="single" w:color="333333"/>
              </w:rPr>
              <w:t>consecuencia, todas las obligaciones y</w:t>
            </w:r>
            <w:r>
              <w:rPr>
                <w:b/>
                <w:color w:val="333333"/>
                <w:sz w:val="20"/>
              </w:rPr>
              <w:t xml:space="preserve"> </w:t>
            </w:r>
            <w:r>
              <w:rPr>
                <w:b/>
                <w:color w:val="333333"/>
                <w:sz w:val="20"/>
                <w:u w:val="single" w:color="333333"/>
              </w:rPr>
              <w:t>acreencias</w:t>
            </w:r>
            <w:r>
              <w:rPr>
                <w:b/>
                <w:color w:val="333333"/>
                <w:spacing w:val="-11"/>
                <w:sz w:val="20"/>
                <w:u w:val="single" w:color="333333"/>
              </w:rPr>
              <w:t xml:space="preserve"> </w:t>
            </w:r>
            <w:r>
              <w:rPr>
                <w:b/>
                <w:color w:val="333333"/>
                <w:sz w:val="20"/>
                <w:u w:val="single" w:color="333333"/>
              </w:rPr>
              <w:t>contractuales</w:t>
            </w:r>
            <w:r>
              <w:rPr>
                <w:b/>
                <w:color w:val="333333"/>
                <w:spacing w:val="-9"/>
                <w:sz w:val="20"/>
                <w:u w:val="single" w:color="333333"/>
              </w:rPr>
              <w:t xml:space="preserve"> </w:t>
            </w:r>
            <w:r>
              <w:rPr>
                <w:b/>
                <w:color w:val="333333"/>
                <w:sz w:val="20"/>
                <w:u w:val="single" w:color="333333"/>
              </w:rPr>
              <w:t>o</w:t>
            </w:r>
            <w:r>
              <w:rPr>
                <w:b/>
                <w:color w:val="333333"/>
                <w:spacing w:val="-11"/>
                <w:sz w:val="20"/>
                <w:u w:val="single" w:color="333333"/>
              </w:rPr>
              <w:t xml:space="preserve"> </w:t>
            </w:r>
            <w:r>
              <w:rPr>
                <w:b/>
                <w:color w:val="333333"/>
                <w:sz w:val="20"/>
                <w:u w:val="single" w:color="333333"/>
              </w:rPr>
              <w:t>de</w:t>
            </w:r>
            <w:r>
              <w:rPr>
                <w:b/>
                <w:color w:val="333333"/>
                <w:spacing w:val="-11"/>
                <w:sz w:val="20"/>
                <w:u w:val="single" w:color="333333"/>
              </w:rPr>
              <w:t xml:space="preserve"> </w:t>
            </w:r>
            <w:r>
              <w:rPr>
                <w:b/>
                <w:color w:val="333333"/>
                <w:sz w:val="20"/>
                <w:u w:val="single" w:color="333333"/>
              </w:rPr>
              <w:t>cualquier</w:t>
            </w:r>
            <w:r>
              <w:rPr>
                <w:b/>
                <w:color w:val="333333"/>
                <w:sz w:val="20"/>
              </w:rPr>
              <w:t xml:space="preserve"> </w:t>
            </w:r>
            <w:r>
              <w:rPr>
                <w:b/>
                <w:color w:val="333333"/>
                <w:sz w:val="20"/>
                <w:u w:val="single" w:color="333333"/>
              </w:rPr>
              <w:t>otra índole que hubiera adquirido el</w:t>
            </w:r>
            <w:r>
              <w:rPr>
                <w:b/>
                <w:color w:val="333333"/>
                <w:sz w:val="20"/>
              </w:rPr>
              <w:t xml:space="preserve"> </w:t>
            </w:r>
            <w:r>
              <w:rPr>
                <w:b/>
                <w:color w:val="333333"/>
                <w:sz w:val="20"/>
                <w:u w:val="single" w:color="333333"/>
              </w:rPr>
              <w:t>Ministerio de Igualdad y Equidad, en</w:t>
            </w:r>
            <w:r>
              <w:rPr>
                <w:b/>
                <w:color w:val="333333"/>
                <w:sz w:val="20"/>
              </w:rPr>
              <w:t xml:space="preserve"> </w:t>
            </w:r>
            <w:r>
              <w:rPr>
                <w:b/>
                <w:color w:val="333333"/>
                <w:sz w:val="20"/>
                <w:u w:val="single" w:color="333333"/>
              </w:rPr>
              <w:t>vigencia de la Ley 2281, se entenderán</w:t>
            </w:r>
            <w:r>
              <w:rPr>
                <w:b/>
                <w:color w:val="333333"/>
                <w:sz w:val="20"/>
              </w:rPr>
              <w:t xml:space="preserve"> </w:t>
            </w:r>
            <w:r>
              <w:rPr>
                <w:b/>
                <w:color w:val="333333"/>
                <w:sz w:val="20"/>
                <w:u w:val="single" w:color="333333"/>
              </w:rPr>
              <w:t>asumidas en su totalidad por el</w:t>
            </w:r>
            <w:r>
              <w:rPr>
                <w:b/>
                <w:color w:val="333333"/>
                <w:sz w:val="20"/>
              </w:rPr>
              <w:t xml:space="preserve"> </w:t>
            </w:r>
            <w:r>
              <w:rPr>
                <w:b/>
                <w:color w:val="333333"/>
                <w:sz w:val="20"/>
                <w:u w:val="single" w:color="333333"/>
              </w:rPr>
              <w:t>Ministerio de Igualdad y Equidad que</w:t>
            </w:r>
            <w:r>
              <w:rPr>
                <w:b/>
                <w:color w:val="333333"/>
                <w:sz w:val="20"/>
              </w:rPr>
              <w:t xml:space="preserve"> </w:t>
            </w:r>
            <w:r>
              <w:rPr>
                <w:b/>
                <w:color w:val="333333"/>
                <w:sz w:val="20"/>
                <w:u w:val="single" w:color="333333"/>
              </w:rPr>
              <w:t>crea la presente Ley.</w:t>
            </w:r>
          </w:p>
          <w:p w14:paraId="0EAD68DD" w14:textId="77777777" w:rsidR="000E52B0" w:rsidRDefault="00F60D74">
            <w:pPr>
              <w:pStyle w:val="TableParagraph"/>
              <w:spacing w:before="242"/>
              <w:ind w:left="107" w:right="94"/>
              <w:rPr>
                <w:b/>
                <w:sz w:val="20"/>
              </w:rPr>
            </w:pPr>
            <w:r>
              <w:rPr>
                <w:b/>
                <w:color w:val="333333"/>
                <w:sz w:val="20"/>
                <w:u w:val="single" w:color="333333"/>
              </w:rPr>
              <w:t>En el mismo sentido, y sin perjuicio del</w:t>
            </w:r>
            <w:r>
              <w:rPr>
                <w:b/>
                <w:color w:val="333333"/>
                <w:sz w:val="20"/>
              </w:rPr>
              <w:t xml:space="preserve"> </w:t>
            </w:r>
            <w:r>
              <w:rPr>
                <w:b/>
                <w:color w:val="333333"/>
                <w:sz w:val="20"/>
                <w:u w:val="single" w:color="333333"/>
              </w:rPr>
              <w:t>control de jurisdiccionalidad y de los</w:t>
            </w:r>
            <w:r>
              <w:rPr>
                <w:b/>
                <w:color w:val="333333"/>
                <w:sz w:val="20"/>
              </w:rPr>
              <w:t xml:space="preserve"> </w:t>
            </w:r>
            <w:r>
              <w:rPr>
                <w:b/>
                <w:color w:val="333333"/>
                <w:sz w:val="20"/>
                <w:u w:val="single" w:color="333333"/>
              </w:rPr>
              <w:t>medios de control propios de cada acto</w:t>
            </w:r>
            <w:r>
              <w:rPr>
                <w:b/>
                <w:color w:val="333333"/>
                <w:sz w:val="20"/>
              </w:rPr>
              <w:t xml:space="preserve"> </w:t>
            </w:r>
            <w:r>
              <w:rPr>
                <w:b/>
                <w:color w:val="333333"/>
                <w:sz w:val="20"/>
                <w:u w:val="single" w:color="333333"/>
              </w:rPr>
              <w:t>administrativo, las reglamentaciones</w:t>
            </w:r>
            <w:r>
              <w:rPr>
                <w:b/>
                <w:color w:val="333333"/>
                <w:sz w:val="20"/>
              </w:rPr>
              <w:t xml:space="preserve"> </w:t>
            </w:r>
            <w:r>
              <w:rPr>
                <w:b/>
                <w:color w:val="333333"/>
                <w:sz w:val="20"/>
                <w:u w:val="single" w:color="333333"/>
              </w:rPr>
              <w:t>que haya expedido el Ministerio de</w:t>
            </w:r>
            <w:r>
              <w:rPr>
                <w:b/>
                <w:color w:val="333333"/>
                <w:sz w:val="20"/>
              </w:rPr>
              <w:t xml:space="preserve"> </w:t>
            </w:r>
            <w:r>
              <w:rPr>
                <w:b/>
                <w:color w:val="333333"/>
                <w:sz w:val="20"/>
                <w:u w:val="single" w:color="333333"/>
              </w:rPr>
              <w:t>Igualdad y Equidad en vigencia de la</w:t>
            </w:r>
            <w:r>
              <w:rPr>
                <w:b/>
                <w:color w:val="333333"/>
                <w:sz w:val="20"/>
              </w:rPr>
              <w:t xml:space="preserve"> </w:t>
            </w:r>
            <w:r>
              <w:rPr>
                <w:b/>
                <w:color w:val="333333"/>
                <w:sz w:val="20"/>
                <w:u w:val="single" w:color="333333"/>
              </w:rPr>
              <w:t>Ley 2281 de 2023, respecto de sus</w:t>
            </w:r>
            <w:r>
              <w:rPr>
                <w:b/>
                <w:color w:val="333333"/>
                <w:sz w:val="20"/>
              </w:rPr>
              <w:t xml:space="preserve"> </w:t>
            </w:r>
            <w:r>
              <w:rPr>
                <w:b/>
                <w:color w:val="333333"/>
                <w:sz w:val="20"/>
                <w:u w:val="single" w:color="333333"/>
              </w:rPr>
              <w:t>programas, proyectos, estrategias y</w:t>
            </w:r>
            <w:r>
              <w:rPr>
                <w:b/>
                <w:color w:val="333333"/>
                <w:sz w:val="20"/>
              </w:rPr>
              <w:t xml:space="preserve"> </w:t>
            </w:r>
            <w:r>
              <w:rPr>
                <w:b/>
                <w:color w:val="333333"/>
                <w:sz w:val="20"/>
                <w:u w:val="single" w:color="333333"/>
              </w:rPr>
              <w:t>demás acciones propias de su objeto,</w:t>
            </w:r>
            <w:r>
              <w:rPr>
                <w:b/>
                <w:color w:val="333333"/>
                <w:sz w:val="20"/>
              </w:rPr>
              <w:t xml:space="preserve"> </w:t>
            </w:r>
            <w:r>
              <w:rPr>
                <w:b/>
                <w:color w:val="333333"/>
                <w:sz w:val="20"/>
                <w:u w:val="single" w:color="333333"/>
              </w:rPr>
              <w:t>funciones</w:t>
            </w:r>
            <w:r>
              <w:rPr>
                <w:b/>
                <w:color w:val="333333"/>
                <w:spacing w:val="-8"/>
                <w:sz w:val="20"/>
                <w:u w:val="single" w:color="333333"/>
              </w:rPr>
              <w:t xml:space="preserve"> </w:t>
            </w:r>
            <w:r>
              <w:rPr>
                <w:b/>
                <w:color w:val="333333"/>
                <w:sz w:val="20"/>
                <w:u w:val="single" w:color="333333"/>
              </w:rPr>
              <w:t>y</w:t>
            </w:r>
            <w:r>
              <w:rPr>
                <w:b/>
                <w:color w:val="333333"/>
                <w:spacing w:val="-8"/>
                <w:sz w:val="20"/>
                <w:u w:val="single" w:color="333333"/>
              </w:rPr>
              <w:t xml:space="preserve"> </w:t>
            </w:r>
            <w:r>
              <w:rPr>
                <w:b/>
                <w:color w:val="333333"/>
                <w:sz w:val="20"/>
                <w:u w:val="single" w:color="333333"/>
              </w:rPr>
              <w:t>ámbito</w:t>
            </w:r>
            <w:r>
              <w:rPr>
                <w:b/>
                <w:color w:val="333333"/>
                <w:spacing w:val="-7"/>
                <w:sz w:val="20"/>
                <w:u w:val="single" w:color="333333"/>
              </w:rPr>
              <w:t xml:space="preserve"> </w:t>
            </w:r>
            <w:r>
              <w:rPr>
                <w:b/>
                <w:color w:val="333333"/>
                <w:sz w:val="20"/>
                <w:u w:val="single" w:color="333333"/>
              </w:rPr>
              <w:t>de</w:t>
            </w:r>
            <w:r>
              <w:rPr>
                <w:b/>
                <w:color w:val="333333"/>
                <w:spacing w:val="-10"/>
                <w:sz w:val="20"/>
                <w:u w:val="single" w:color="333333"/>
              </w:rPr>
              <w:t xml:space="preserve"> </w:t>
            </w:r>
            <w:r>
              <w:rPr>
                <w:b/>
                <w:color w:val="333333"/>
                <w:sz w:val="20"/>
                <w:u w:val="single" w:color="333333"/>
              </w:rPr>
              <w:t>competencias,</w:t>
            </w:r>
            <w:r>
              <w:rPr>
                <w:b/>
                <w:color w:val="333333"/>
                <w:spacing w:val="-8"/>
                <w:sz w:val="20"/>
                <w:u w:val="single" w:color="333333"/>
              </w:rPr>
              <w:t xml:space="preserve"> </w:t>
            </w:r>
            <w:r>
              <w:rPr>
                <w:b/>
                <w:color w:val="333333"/>
                <w:sz w:val="20"/>
                <w:u w:val="single" w:color="333333"/>
              </w:rPr>
              <w:t>se</w:t>
            </w:r>
            <w:r>
              <w:rPr>
                <w:b/>
                <w:color w:val="333333"/>
                <w:sz w:val="20"/>
              </w:rPr>
              <w:t xml:space="preserve"> </w:t>
            </w:r>
            <w:r>
              <w:rPr>
                <w:b/>
                <w:color w:val="333333"/>
                <w:sz w:val="20"/>
                <w:u w:val="single" w:color="333333"/>
              </w:rPr>
              <w:t>entenderán validas y vigentes con la</w:t>
            </w:r>
            <w:r>
              <w:rPr>
                <w:b/>
                <w:color w:val="333333"/>
                <w:sz w:val="20"/>
              </w:rPr>
              <w:t xml:space="preserve"> </w:t>
            </w:r>
            <w:r>
              <w:rPr>
                <w:b/>
                <w:color w:val="333333"/>
                <w:sz w:val="20"/>
                <w:u w:val="single" w:color="333333"/>
              </w:rPr>
              <w:t>aprobación de la presente Ley.</w:t>
            </w:r>
          </w:p>
        </w:tc>
        <w:tc>
          <w:tcPr>
            <w:tcW w:w="3809" w:type="dxa"/>
          </w:tcPr>
          <w:p w14:paraId="2D9CA766" w14:textId="77777777" w:rsidR="000E52B0" w:rsidRDefault="000E52B0">
            <w:pPr>
              <w:pStyle w:val="TableParagraph"/>
              <w:rPr>
                <w:rFonts w:ascii="Times New Roman"/>
                <w:sz w:val="18"/>
              </w:rPr>
            </w:pPr>
          </w:p>
        </w:tc>
      </w:tr>
      <w:tr w:rsidR="000E52B0" w14:paraId="6B849EA5" w14:textId="77777777">
        <w:trPr>
          <w:trHeight w:val="1132"/>
        </w:trPr>
        <w:tc>
          <w:tcPr>
            <w:tcW w:w="4712" w:type="dxa"/>
          </w:tcPr>
          <w:p w14:paraId="30DA8615" w14:textId="77777777" w:rsidR="000E52B0" w:rsidRDefault="00F60D74">
            <w:pPr>
              <w:pStyle w:val="TableParagraph"/>
              <w:spacing w:line="243" w:lineRule="exact"/>
              <w:ind w:left="107"/>
              <w:jc w:val="both"/>
              <w:rPr>
                <w:b/>
                <w:sz w:val="20"/>
              </w:rPr>
            </w:pPr>
            <w:r>
              <w:rPr>
                <w:b/>
                <w:color w:val="333333"/>
                <w:sz w:val="20"/>
              </w:rPr>
              <w:t>ARTÍCULO</w:t>
            </w:r>
            <w:r>
              <w:rPr>
                <w:b/>
                <w:color w:val="333333"/>
                <w:spacing w:val="70"/>
                <w:sz w:val="20"/>
              </w:rPr>
              <w:t xml:space="preserve">    </w:t>
            </w:r>
            <w:r>
              <w:rPr>
                <w:b/>
                <w:color w:val="333333"/>
                <w:sz w:val="20"/>
              </w:rPr>
              <w:t>17.</w:t>
            </w:r>
            <w:r>
              <w:rPr>
                <w:b/>
                <w:color w:val="333333"/>
                <w:spacing w:val="69"/>
                <w:sz w:val="20"/>
              </w:rPr>
              <w:t xml:space="preserve">    </w:t>
            </w:r>
            <w:r>
              <w:rPr>
                <w:b/>
                <w:color w:val="333333"/>
                <w:sz w:val="20"/>
              </w:rPr>
              <w:t>VIGENCIA</w:t>
            </w:r>
            <w:r>
              <w:rPr>
                <w:b/>
                <w:color w:val="333333"/>
                <w:spacing w:val="70"/>
                <w:sz w:val="20"/>
              </w:rPr>
              <w:t xml:space="preserve">    </w:t>
            </w:r>
            <w:r>
              <w:rPr>
                <w:b/>
                <w:color w:val="333333"/>
                <w:spacing w:val="-10"/>
                <w:sz w:val="20"/>
              </w:rPr>
              <w:t>Y</w:t>
            </w:r>
          </w:p>
          <w:p w14:paraId="4A569963" w14:textId="77777777" w:rsidR="000E52B0" w:rsidRDefault="00F60D74">
            <w:pPr>
              <w:pStyle w:val="TableParagraph"/>
              <w:ind w:left="107" w:right="92"/>
              <w:jc w:val="both"/>
              <w:rPr>
                <w:sz w:val="20"/>
              </w:rPr>
            </w:pPr>
            <w:r>
              <w:rPr>
                <w:b/>
                <w:color w:val="333333"/>
                <w:sz w:val="20"/>
              </w:rPr>
              <w:t>DEROGATORIAS</w:t>
            </w:r>
            <w:r>
              <w:rPr>
                <w:color w:val="333333"/>
                <w:sz w:val="20"/>
              </w:rPr>
              <w:t>. La presente Ley rige a partir</w:t>
            </w:r>
            <w:r>
              <w:rPr>
                <w:color w:val="333333"/>
                <w:spacing w:val="-5"/>
                <w:sz w:val="20"/>
              </w:rPr>
              <w:t xml:space="preserve"> </w:t>
            </w:r>
            <w:r>
              <w:rPr>
                <w:color w:val="333333"/>
                <w:sz w:val="20"/>
              </w:rPr>
              <w:t>de</w:t>
            </w:r>
            <w:r>
              <w:rPr>
                <w:color w:val="333333"/>
                <w:spacing w:val="-5"/>
                <w:sz w:val="20"/>
              </w:rPr>
              <w:t xml:space="preserve"> </w:t>
            </w:r>
            <w:r>
              <w:rPr>
                <w:color w:val="333333"/>
                <w:sz w:val="20"/>
              </w:rPr>
              <w:t>la</w:t>
            </w:r>
            <w:r>
              <w:rPr>
                <w:color w:val="333333"/>
                <w:spacing w:val="-4"/>
                <w:sz w:val="20"/>
              </w:rPr>
              <w:t xml:space="preserve"> </w:t>
            </w:r>
            <w:r>
              <w:rPr>
                <w:color w:val="333333"/>
                <w:sz w:val="20"/>
              </w:rPr>
              <w:t>fecha</w:t>
            </w:r>
            <w:r>
              <w:rPr>
                <w:color w:val="333333"/>
                <w:spacing w:val="-3"/>
                <w:sz w:val="20"/>
              </w:rPr>
              <w:t xml:space="preserve"> </w:t>
            </w:r>
            <w:r>
              <w:rPr>
                <w:color w:val="333333"/>
                <w:sz w:val="20"/>
              </w:rPr>
              <w:t>de</w:t>
            </w:r>
            <w:r>
              <w:rPr>
                <w:color w:val="333333"/>
                <w:spacing w:val="-3"/>
                <w:sz w:val="20"/>
              </w:rPr>
              <w:t xml:space="preserve"> </w:t>
            </w:r>
            <w:r>
              <w:rPr>
                <w:color w:val="333333"/>
                <w:sz w:val="20"/>
              </w:rPr>
              <w:t>su</w:t>
            </w:r>
            <w:r>
              <w:rPr>
                <w:color w:val="333333"/>
                <w:spacing w:val="-1"/>
                <w:sz w:val="20"/>
              </w:rPr>
              <w:t xml:space="preserve"> </w:t>
            </w:r>
            <w:r>
              <w:rPr>
                <w:color w:val="333333"/>
                <w:sz w:val="20"/>
              </w:rPr>
              <w:t>publicación</w:t>
            </w:r>
            <w:r>
              <w:rPr>
                <w:color w:val="333333"/>
                <w:spacing w:val="-3"/>
                <w:sz w:val="20"/>
              </w:rPr>
              <w:t xml:space="preserve"> </w:t>
            </w:r>
            <w:r>
              <w:rPr>
                <w:color w:val="333333"/>
                <w:sz w:val="20"/>
              </w:rPr>
              <w:t>y</w:t>
            </w:r>
            <w:r>
              <w:rPr>
                <w:color w:val="333333"/>
                <w:spacing w:val="-4"/>
                <w:sz w:val="20"/>
              </w:rPr>
              <w:t xml:space="preserve"> </w:t>
            </w:r>
            <w:r>
              <w:rPr>
                <w:color w:val="333333"/>
                <w:sz w:val="20"/>
              </w:rPr>
              <w:t>deroga las disposiciones que le sean contrarias.</w:t>
            </w:r>
          </w:p>
        </w:tc>
        <w:tc>
          <w:tcPr>
            <w:tcW w:w="4723" w:type="dxa"/>
          </w:tcPr>
          <w:p w14:paraId="774748EC" w14:textId="77777777" w:rsidR="000E52B0" w:rsidRDefault="00F60D74">
            <w:pPr>
              <w:pStyle w:val="TableParagraph"/>
              <w:spacing w:line="243" w:lineRule="exact"/>
              <w:ind w:left="107"/>
              <w:jc w:val="both"/>
              <w:rPr>
                <w:b/>
                <w:sz w:val="20"/>
              </w:rPr>
            </w:pPr>
            <w:r>
              <w:rPr>
                <w:b/>
                <w:color w:val="333333"/>
                <w:sz w:val="20"/>
              </w:rPr>
              <w:t>ARTÍCULO</w:t>
            </w:r>
            <w:r>
              <w:rPr>
                <w:b/>
                <w:color w:val="333333"/>
                <w:spacing w:val="71"/>
                <w:sz w:val="20"/>
              </w:rPr>
              <w:t xml:space="preserve">    </w:t>
            </w:r>
            <w:r>
              <w:rPr>
                <w:b/>
                <w:color w:val="333333"/>
                <w:sz w:val="20"/>
              </w:rPr>
              <w:t>1</w:t>
            </w:r>
            <w:r>
              <w:rPr>
                <w:b/>
                <w:color w:val="333333"/>
                <w:sz w:val="20"/>
                <w:u w:val="single" w:color="333333"/>
              </w:rPr>
              <w:t>6.</w:t>
            </w:r>
            <w:r>
              <w:rPr>
                <w:b/>
                <w:color w:val="333333"/>
                <w:spacing w:val="71"/>
                <w:sz w:val="20"/>
              </w:rPr>
              <w:t xml:space="preserve">    </w:t>
            </w:r>
            <w:r>
              <w:rPr>
                <w:b/>
                <w:color w:val="333333"/>
                <w:sz w:val="20"/>
              </w:rPr>
              <w:t>VIGENCIA</w:t>
            </w:r>
            <w:r>
              <w:rPr>
                <w:b/>
                <w:color w:val="333333"/>
                <w:spacing w:val="71"/>
                <w:sz w:val="20"/>
              </w:rPr>
              <w:t xml:space="preserve">    </w:t>
            </w:r>
            <w:r>
              <w:rPr>
                <w:b/>
                <w:color w:val="333333"/>
                <w:spacing w:val="-10"/>
                <w:sz w:val="20"/>
              </w:rPr>
              <w:t>Y</w:t>
            </w:r>
          </w:p>
          <w:p w14:paraId="04C57D66" w14:textId="77777777" w:rsidR="000E52B0" w:rsidRDefault="00F60D74">
            <w:pPr>
              <w:pStyle w:val="TableParagraph"/>
              <w:ind w:left="107" w:right="88"/>
              <w:jc w:val="both"/>
              <w:rPr>
                <w:sz w:val="20"/>
              </w:rPr>
            </w:pPr>
            <w:r>
              <w:rPr>
                <w:b/>
                <w:color w:val="333333"/>
                <w:sz w:val="20"/>
              </w:rPr>
              <w:t>DEROGATORIAS</w:t>
            </w:r>
            <w:r>
              <w:rPr>
                <w:color w:val="333333"/>
                <w:sz w:val="20"/>
              </w:rPr>
              <w:t>. La presente Ley rige a partir</w:t>
            </w:r>
            <w:r>
              <w:rPr>
                <w:color w:val="333333"/>
                <w:spacing w:val="-3"/>
                <w:sz w:val="20"/>
              </w:rPr>
              <w:t xml:space="preserve"> </w:t>
            </w:r>
            <w:r>
              <w:rPr>
                <w:color w:val="333333"/>
                <w:sz w:val="20"/>
              </w:rPr>
              <w:t>de</w:t>
            </w:r>
            <w:r>
              <w:rPr>
                <w:color w:val="333333"/>
                <w:spacing w:val="-3"/>
                <w:sz w:val="20"/>
              </w:rPr>
              <w:t xml:space="preserve"> </w:t>
            </w:r>
            <w:r>
              <w:rPr>
                <w:color w:val="333333"/>
                <w:sz w:val="20"/>
              </w:rPr>
              <w:t>la fecha</w:t>
            </w:r>
            <w:r>
              <w:rPr>
                <w:color w:val="333333"/>
                <w:spacing w:val="-2"/>
                <w:sz w:val="20"/>
              </w:rPr>
              <w:t xml:space="preserve"> </w:t>
            </w:r>
            <w:r>
              <w:rPr>
                <w:color w:val="333333"/>
                <w:sz w:val="20"/>
              </w:rPr>
              <w:t>de</w:t>
            </w:r>
            <w:r>
              <w:rPr>
                <w:color w:val="333333"/>
                <w:spacing w:val="-1"/>
                <w:sz w:val="20"/>
              </w:rPr>
              <w:t xml:space="preserve"> </w:t>
            </w:r>
            <w:r>
              <w:rPr>
                <w:color w:val="333333"/>
                <w:sz w:val="20"/>
              </w:rPr>
              <w:t>su publicación</w:t>
            </w:r>
            <w:r>
              <w:rPr>
                <w:color w:val="333333"/>
                <w:spacing w:val="-2"/>
                <w:sz w:val="20"/>
              </w:rPr>
              <w:t xml:space="preserve"> </w:t>
            </w:r>
            <w:r>
              <w:rPr>
                <w:color w:val="333333"/>
                <w:sz w:val="20"/>
              </w:rPr>
              <w:t>y</w:t>
            </w:r>
            <w:r>
              <w:rPr>
                <w:color w:val="333333"/>
                <w:spacing w:val="-3"/>
                <w:sz w:val="20"/>
              </w:rPr>
              <w:t xml:space="preserve"> </w:t>
            </w:r>
            <w:r>
              <w:rPr>
                <w:color w:val="333333"/>
                <w:sz w:val="20"/>
              </w:rPr>
              <w:t>deroga las disposiciones que le sean contrarias.</w:t>
            </w:r>
          </w:p>
        </w:tc>
        <w:tc>
          <w:tcPr>
            <w:tcW w:w="3809" w:type="dxa"/>
          </w:tcPr>
          <w:p w14:paraId="276868AE" w14:textId="77777777" w:rsidR="000E52B0" w:rsidRDefault="00F60D74">
            <w:pPr>
              <w:pStyle w:val="TableParagraph"/>
              <w:ind w:left="108"/>
              <w:rPr>
                <w:sz w:val="20"/>
              </w:rPr>
            </w:pPr>
            <w:r>
              <w:rPr>
                <w:sz w:val="20"/>
              </w:rPr>
              <w:t>Cambia</w:t>
            </w:r>
            <w:r>
              <w:rPr>
                <w:spacing w:val="-6"/>
                <w:sz w:val="20"/>
              </w:rPr>
              <w:t xml:space="preserve"> </w:t>
            </w:r>
            <w:r>
              <w:rPr>
                <w:sz w:val="20"/>
              </w:rPr>
              <w:t>la</w:t>
            </w:r>
            <w:r>
              <w:rPr>
                <w:spacing w:val="-6"/>
                <w:sz w:val="20"/>
              </w:rPr>
              <w:t xml:space="preserve"> </w:t>
            </w:r>
            <w:r>
              <w:rPr>
                <w:spacing w:val="-2"/>
                <w:sz w:val="20"/>
              </w:rPr>
              <w:t>numeración</w:t>
            </w:r>
          </w:p>
        </w:tc>
      </w:tr>
    </w:tbl>
    <w:p w14:paraId="785B8099" w14:textId="0994E5B5" w:rsidR="006A4328" w:rsidRDefault="006A4328">
      <w:pPr>
        <w:pStyle w:val="Textoindependiente"/>
        <w:spacing w:before="234"/>
        <w:ind w:left="0"/>
        <w:rPr>
          <w:b/>
          <w:sz w:val="20"/>
        </w:rPr>
      </w:pPr>
      <w:r>
        <w:rPr>
          <w:b/>
          <w:sz w:val="20"/>
        </w:rPr>
        <w:t xml:space="preserve">Cordialmente, </w:t>
      </w:r>
    </w:p>
    <w:p w14:paraId="32957D8D" w14:textId="77777777" w:rsidR="006A4328" w:rsidRDefault="006A4328">
      <w:pPr>
        <w:pStyle w:val="Textoindependiente"/>
        <w:spacing w:before="234"/>
        <w:ind w:left="0"/>
        <w:rPr>
          <w:b/>
          <w:sz w:val="20"/>
        </w:rPr>
      </w:pPr>
    </w:p>
    <w:p w14:paraId="5854D040" w14:textId="6964EAA6" w:rsidR="006A4328" w:rsidRDefault="006A4328">
      <w:pPr>
        <w:pStyle w:val="Textoindependiente"/>
        <w:spacing w:before="234"/>
        <w:ind w:left="0"/>
        <w:rPr>
          <w:b/>
          <w:sz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tblGrid>
      <w:tr w:rsidR="006A4328" w14:paraId="21B4517D" w14:textId="77777777" w:rsidTr="00F60D74">
        <w:tc>
          <w:tcPr>
            <w:tcW w:w="4106" w:type="dxa"/>
          </w:tcPr>
          <w:p w14:paraId="160A3C34" w14:textId="77777777" w:rsidR="006A4328" w:rsidRDefault="006A4328" w:rsidP="00F60D74">
            <w:pPr>
              <w:jc w:val="center"/>
              <w:rPr>
                <w:sz w:val="24"/>
              </w:rPr>
            </w:pPr>
            <w:r w:rsidRPr="006A4328">
              <w:rPr>
                <w:b/>
                <w:bCs/>
                <w:sz w:val="24"/>
              </w:rPr>
              <w:t>CARLOS ROSERO.</w:t>
            </w:r>
            <w:r>
              <w:rPr>
                <w:sz w:val="24"/>
              </w:rPr>
              <w:t xml:space="preserve"> </w:t>
            </w:r>
            <w:r>
              <w:rPr>
                <w:sz w:val="24"/>
              </w:rPr>
              <w:br/>
              <w:t>Ministro de Igualdad y Equidad.</w:t>
            </w:r>
          </w:p>
        </w:tc>
      </w:tr>
    </w:tbl>
    <w:tbl>
      <w:tblPr>
        <w:tblStyle w:val="Tablaconcuadrcula"/>
        <w:tblpPr w:leftFromText="141" w:rightFromText="141" w:vertAnchor="text" w:horzAnchor="page" w:tblpX="6931" w:tblpY="-5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tblGrid>
      <w:tr w:rsidR="006A4328" w14:paraId="258DA24B" w14:textId="77777777" w:rsidTr="00F60D74">
        <w:tc>
          <w:tcPr>
            <w:tcW w:w="3397" w:type="dxa"/>
          </w:tcPr>
          <w:p w14:paraId="1DA6DD89" w14:textId="77777777" w:rsidR="006A4328" w:rsidRDefault="006A4328" w:rsidP="00F60D74">
            <w:pPr>
              <w:jc w:val="center"/>
              <w:rPr>
                <w:sz w:val="24"/>
              </w:rPr>
            </w:pPr>
            <w:r w:rsidRPr="006A4328">
              <w:rPr>
                <w:b/>
                <w:bCs/>
                <w:sz w:val="24"/>
              </w:rPr>
              <w:t>ARMANDO BENEDETTI.</w:t>
            </w:r>
            <w:r>
              <w:rPr>
                <w:sz w:val="24"/>
              </w:rPr>
              <w:t xml:space="preserve"> </w:t>
            </w:r>
            <w:r>
              <w:rPr>
                <w:sz w:val="24"/>
              </w:rPr>
              <w:br/>
              <w:t>Ministro de Interior</w:t>
            </w:r>
          </w:p>
        </w:tc>
      </w:tr>
    </w:tbl>
    <w:p w14:paraId="59C70C10" w14:textId="18C17941" w:rsidR="000E52B0" w:rsidRDefault="000E52B0">
      <w:pPr>
        <w:pStyle w:val="Textoindependiente"/>
        <w:spacing w:before="234"/>
        <w:ind w:left="0"/>
        <w:rPr>
          <w:b/>
          <w:sz w:val="20"/>
        </w:rPr>
      </w:pPr>
    </w:p>
    <w:sectPr w:rsidR="000E52B0">
      <w:pgSz w:w="16840" w:h="11910" w:orient="landscape"/>
      <w:pgMar w:top="1340" w:right="1800" w:bottom="1180" w:left="1440" w:header="0" w:footer="9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3658B" w14:textId="77777777" w:rsidR="001C7E56" w:rsidRDefault="001C7E56">
      <w:r>
        <w:separator/>
      </w:r>
    </w:p>
  </w:endnote>
  <w:endnote w:type="continuationSeparator" w:id="0">
    <w:p w14:paraId="0F15C91A" w14:textId="77777777" w:rsidR="001C7E56" w:rsidRDefault="001C7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2BCF1" w14:textId="77777777" w:rsidR="00E27F7A" w:rsidRDefault="00E27F7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DF575" w14:textId="77777777" w:rsidR="000E52B0" w:rsidRDefault="00F60D74">
    <w:pPr>
      <w:pStyle w:val="Textoindependiente"/>
      <w:spacing w:line="14" w:lineRule="auto"/>
      <w:ind w:left="0"/>
      <w:rPr>
        <w:sz w:val="20"/>
      </w:rPr>
    </w:pPr>
    <w:r>
      <w:rPr>
        <w:noProof/>
        <w:sz w:val="20"/>
      </w:rPr>
      <mc:AlternateContent>
        <mc:Choice Requires="wps">
          <w:drawing>
            <wp:anchor distT="0" distB="0" distL="0" distR="0" simplePos="0" relativeHeight="482228736" behindDoc="1" locked="0" layoutInCell="1" allowOverlap="1" wp14:anchorId="2CF21BD4" wp14:editId="5F22513B">
              <wp:simplePos x="0" y="0"/>
              <wp:positionH relativeFrom="page">
                <wp:posOffset>3798951</wp:posOffset>
              </wp:positionH>
              <wp:positionV relativeFrom="page">
                <wp:posOffset>9225413</wp:posOffset>
              </wp:positionV>
              <wp:extent cx="186055" cy="2108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210820"/>
                      </a:xfrm>
                      <a:prstGeom prst="rect">
                        <a:avLst/>
                      </a:prstGeom>
                    </wps:spPr>
                    <wps:txbx>
                      <w:txbxContent>
                        <w:p w14:paraId="1B7B0F7A" w14:textId="77777777" w:rsidR="000E52B0" w:rsidRDefault="00F60D74">
                          <w:pPr>
                            <w:pStyle w:val="Textoindependiente"/>
                            <w:spacing w:before="2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2CF21BD4" id="_x0000_t202" coordsize="21600,21600" o:spt="202" path="m,l,21600r21600,l21600,xe">
              <v:stroke joinstyle="miter"/>
              <v:path gradientshapeok="t" o:connecttype="rect"/>
            </v:shapetype>
            <v:shape id="Textbox 1" o:spid="_x0000_s1500" type="#_x0000_t202" style="position:absolute;margin-left:299.15pt;margin-top:726.4pt;width:14.65pt;height:16.6pt;z-index:-2108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" filled="f" stroked="f">
              <v:textbox inset="0,0,0,0">
                <w:txbxContent>
                  <w:p w14:paraId="1B7B0F7A" w14:textId="77777777" w:rsidR="000E52B0" w:rsidRDefault="00F60D74">
                    <w:pPr>
                      <w:pStyle w:val="Textoindependiente"/>
                      <w:spacing w:before="2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7216D" w14:textId="77777777" w:rsidR="00E27F7A" w:rsidRDefault="00E27F7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0138A" w14:textId="77777777" w:rsidR="000E52B0" w:rsidRDefault="00F60D74">
    <w:pPr>
      <w:pStyle w:val="Textoindependiente"/>
      <w:spacing w:line="14" w:lineRule="auto"/>
      <w:ind w:left="0"/>
      <w:rPr>
        <w:sz w:val="20"/>
      </w:rPr>
    </w:pPr>
    <w:r>
      <w:rPr>
        <w:noProof/>
        <w:sz w:val="20"/>
      </w:rPr>
      <mc:AlternateContent>
        <mc:Choice Requires="wps">
          <w:drawing>
            <wp:anchor distT="0" distB="0" distL="0" distR="0" simplePos="0" relativeHeight="482229248" behindDoc="1" locked="0" layoutInCell="1" allowOverlap="1" wp14:anchorId="42932DA2" wp14:editId="234A7A98">
              <wp:simplePos x="0" y="0"/>
              <wp:positionH relativeFrom="page">
                <wp:posOffset>6444234</wp:posOffset>
              </wp:positionH>
              <wp:positionV relativeFrom="page">
                <wp:posOffset>9920891</wp:posOffset>
              </wp:positionV>
              <wp:extent cx="255904" cy="1536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53670"/>
                      </a:xfrm>
                      <a:prstGeom prst="rect">
                        <a:avLst/>
                      </a:prstGeom>
                    </wps:spPr>
                    <wps:txbx>
                      <w:txbxContent>
                        <w:p w14:paraId="31964949" w14:textId="77777777" w:rsidR="000E52B0" w:rsidRDefault="00F60D74">
                          <w:pPr>
                            <w:spacing w:before="14"/>
                            <w:ind w:left="20"/>
                            <w:rPr>
                              <w:rFonts w:ascii="Arial MT"/>
                              <w:sz w:val="18"/>
                            </w:rPr>
                          </w:pPr>
                          <w:r>
                            <w:rPr>
                              <w:rFonts w:ascii="Arial MT"/>
                              <w:spacing w:val="-5"/>
                              <w:sz w:val="18"/>
                            </w:rPr>
                            <w:fldChar w:fldCharType="begin"/>
                          </w:r>
                          <w:r>
                            <w:rPr>
                              <w:rFonts w:ascii="Arial MT"/>
                              <w:spacing w:val="-5"/>
                              <w:sz w:val="18"/>
                            </w:rPr>
                            <w:instrText xml:space="preserve"> PAGE </w:instrText>
                          </w:r>
                          <w:r>
                            <w:rPr>
                              <w:rFonts w:ascii="Arial MT"/>
                              <w:spacing w:val="-5"/>
                              <w:sz w:val="18"/>
                            </w:rPr>
                            <w:fldChar w:fldCharType="separate"/>
                          </w:r>
                          <w:r>
                            <w:rPr>
                              <w:rFonts w:ascii="Arial MT"/>
                              <w:spacing w:val="-5"/>
                              <w:sz w:val="18"/>
                            </w:rPr>
                            <w:t>100</w:t>
                          </w:r>
                          <w:r>
                            <w:rPr>
                              <w:rFonts w:ascii="Arial MT"/>
                              <w:spacing w:val="-5"/>
                              <w:sz w:val="18"/>
                            </w:rPr>
                            <w:fldChar w:fldCharType="end"/>
                          </w:r>
                        </w:p>
                      </w:txbxContent>
                    </wps:txbx>
                    <wps:bodyPr wrap="square" lIns="0" tIns="0" rIns="0" bIns="0" rtlCol="0">
                      <a:noAutofit/>
                    </wps:bodyPr>
                  </wps:wsp>
                </a:graphicData>
              </a:graphic>
            </wp:anchor>
          </w:drawing>
        </mc:Choice>
        <mc:Fallback>
          <w:pict>
            <v:shapetype w14:anchorId="42932DA2" id="_x0000_t202" coordsize="21600,21600" o:spt="202" path="m,l,21600r21600,l21600,xe">
              <v:stroke joinstyle="miter"/>
              <v:path gradientshapeok="t" o:connecttype="rect"/>
            </v:shapetype>
            <v:shape id="Textbox 2" o:spid="_x0000_s1501" type="#_x0000_t202" style="position:absolute;margin-left:507.4pt;margin-top:781.15pt;width:20.15pt;height:12.1pt;z-index:-2108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" filled="f" stroked="f">
              <v:textbox inset="0,0,0,0">
                <w:txbxContent>
                  <w:p w14:paraId="31964949" w14:textId="77777777" w:rsidR="000E52B0" w:rsidRDefault="00F60D74">
                    <w:pPr>
                      <w:spacing w:before="14"/>
                      <w:ind w:left="20"/>
                      <w:rPr>
                        <w:rFonts w:ascii="Arial MT"/>
                        <w:sz w:val="18"/>
                      </w:rPr>
                    </w:pPr>
                    <w:r>
                      <w:rPr>
                        <w:rFonts w:ascii="Arial MT"/>
                        <w:spacing w:val="-5"/>
                        <w:sz w:val="18"/>
                      </w:rPr>
                      <w:fldChar w:fldCharType="begin"/>
                    </w:r>
                    <w:r>
                      <w:rPr>
                        <w:rFonts w:ascii="Arial MT"/>
                        <w:spacing w:val="-5"/>
                        <w:sz w:val="18"/>
                      </w:rPr>
                      <w:instrText xml:space="preserve"> PAGE </w:instrText>
                    </w:r>
                    <w:r>
                      <w:rPr>
                        <w:rFonts w:ascii="Arial MT"/>
                        <w:spacing w:val="-5"/>
                        <w:sz w:val="18"/>
                      </w:rPr>
                      <w:fldChar w:fldCharType="separate"/>
                    </w:r>
                    <w:r>
                      <w:rPr>
                        <w:rFonts w:ascii="Arial MT"/>
                        <w:spacing w:val="-5"/>
                        <w:sz w:val="18"/>
                      </w:rPr>
                      <w:t>100</w:t>
                    </w:r>
                    <w:r>
                      <w:rPr>
                        <w:rFonts w:ascii="Arial MT"/>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C238" w14:textId="77777777" w:rsidR="000E52B0" w:rsidRDefault="00F60D74">
    <w:pPr>
      <w:pStyle w:val="Textoindependiente"/>
      <w:spacing w:line="14" w:lineRule="auto"/>
      <w:ind w:left="0"/>
      <w:rPr>
        <w:sz w:val="20"/>
      </w:rPr>
    </w:pPr>
    <w:r>
      <w:rPr>
        <w:noProof/>
        <w:sz w:val="20"/>
      </w:rPr>
      <mc:AlternateContent>
        <mc:Choice Requires="wps">
          <w:drawing>
            <wp:anchor distT="0" distB="0" distL="0" distR="0" simplePos="0" relativeHeight="482229760" behindDoc="1" locked="0" layoutInCell="1" allowOverlap="1" wp14:anchorId="7B4DCB6B" wp14:editId="7281BC88">
              <wp:simplePos x="0" y="0"/>
              <wp:positionH relativeFrom="page">
                <wp:posOffset>9550654</wp:posOffset>
              </wp:positionH>
              <wp:positionV relativeFrom="page">
                <wp:posOffset>6789071</wp:posOffset>
              </wp:positionV>
              <wp:extent cx="281305" cy="153670"/>
              <wp:effectExtent l="0" t="0" r="0" b="0"/>
              <wp:wrapNone/>
              <wp:docPr id="759" name="Text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3670"/>
                      </a:xfrm>
                      <a:prstGeom prst="rect">
                        <a:avLst/>
                      </a:prstGeom>
                    </wps:spPr>
                    <wps:txbx>
                      <w:txbxContent>
                        <w:p w14:paraId="52ED419F" w14:textId="77777777" w:rsidR="000E52B0" w:rsidRDefault="00F60D74">
                          <w:pPr>
                            <w:spacing w:before="14"/>
                            <w:ind w:left="60"/>
                            <w:rPr>
                              <w:rFonts w:ascii="Arial MT"/>
                              <w:sz w:val="18"/>
                            </w:rPr>
                          </w:pPr>
                          <w:r>
                            <w:rPr>
                              <w:rFonts w:ascii="Arial MT"/>
                              <w:spacing w:val="-5"/>
                              <w:sz w:val="18"/>
                            </w:rPr>
                            <w:fldChar w:fldCharType="begin"/>
                          </w:r>
                          <w:r>
                            <w:rPr>
                              <w:rFonts w:ascii="Arial MT"/>
                              <w:spacing w:val="-5"/>
                              <w:sz w:val="18"/>
                            </w:rPr>
                            <w:instrText xml:space="preserve"> PAGE </w:instrText>
                          </w:r>
                          <w:r>
                            <w:rPr>
                              <w:rFonts w:ascii="Arial MT"/>
                              <w:spacing w:val="-5"/>
                              <w:sz w:val="18"/>
                            </w:rPr>
                            <w:fldChar w:fldCharType="separate"/>
                          </w:r>
                          <w:r>
                            <w:rPr>
                              <w:rFonts w:ascii="Arial MT"/>
                              <w:spacing w:val="-5"/>
                              <w:sz w:val="18"/>
                            </w:rPr>
                            <w:t>183</w:t>
                          </w:r>
                          <w:r>
                            <w:rPr>
                              <w:rFonts w:ascii="Arial MT"/>
                              <w:spacing w:val="-5"/>
                              <w:sz w:val="18"/>
                            </w:rPr>
                            <w:fldChar w:fldCharType="end"/>
                          </w:r>
                        </w:p>
                      </w:txbxContent>
                    </wps:txbx>
                    <wps:bodyPr wrap="square" lIns="0" tIns="0" rIns="0" bIns="0" rtlCol="0">
                      <a:noAutofit/>
                    </wps:bodyPr>
                  </wps:wsp>
                </a:graphicData>
              </a:graphic>
            </wp:anchor>
          </w:drawing>
        </mc:Choice>
        <mc:Fallback>
          <w:pict>
            <v:shapetype w14:anchorId="7B4DCB6B" id="_x0000_t202" coordsize="21600,21600" o:spt="202" path="m,l,21600r21600,l21600,xe">
              <v:stroke joinstyle="miter"/>
              <v:path gradientshapeok="t" o:connecttype="rect"/>
            </v:shapetype>
            <v:shape id="Textbox 759" o:spid="_x0000_s1502" type="#_x0000_t202" style="position:absolute;margin-left:752pt;margin-top:534.55pt;width:22.15pt;height:12.1pt;z-index:-2108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" filled="f" stroked="f">
              <v:textbox inset="0,0,0,0">
                <w:txbxContent>
                  <w:p w14:paraId="52ED419F" w14:textId="77777777" w:rsidR="000E52B0" w:rsidRDefault="00F60D74">
                    <w:pPr>
                      <w:spacing w:before="14"/>
                      <w:ind w:left="60"/>
                      <w:rPr>
                        <w:rFonts w:ascii="Arial MT"/>
                        <w:sz w:val="18"/>
                      </w:rPr>
                    </w:pPr>
                    <w:r>
                      <w:rPr>
                        <w:rFonts w:ascii="Arial MT"/>
                        <w:spacing w:val="-5"/>
                        <w:sz w:val="18"/>
                      </w:rPr>
                      <w:fldChar w:fldCharType="begin"/>
                    </w:r>
                    <w:r>
                      <w:rPr>
                        <w:rFonts w:ascii="Arial MT"/>
                        <w:spacing w:val="-5"/>
                        <w:sz w:val="18"/>
                      </w:rPr>
                      <w:instrText xml:space="preserve"> PAGE </w:instrText>
                    </w:r>
                    <w:r>
                      <w:rPr>
                        <w:rFonts w:ascii="Arial MT"/>
                        <w:spacing w:val="-5"/>
                        <w:sz w:val="18"/>
                      </w:rPr>
                      <w:fldChar w:fldCharType="separate"/>
                    </w:r>
                    <w:r>
                      <w:rPr>
                        <w:rFonts w:ascii="Arial MT"/>
                        <w:spacing w:val="-5"/>
                        <w:sz w:val="18"/>
                      </w:rPr>
                      <w:t>183</w:t>
                    </w:r>
                    <w:r>
                      <w:rPr>
                        <w:rFonts w:ascii="Arial MT"/>
                        <w:spacing w:val="-5"/>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29AD3" w14:textId="77777777" w:rsidR="000E52B0" w:rsidRDefault="00F60D74">
    <w:pPr>
      <w:pStyle w:val="Textoindependiente"/>
      <w:spacing w:line="14" w:lineRule="auto"/>
      <w:ind w:left="0"/>
      <w:rPr>
        <w:sz w:val="20"/>
      </w:rPr>
    </w:pPr>
    <w:r>
      <w:rPr>
        <w:noProof/>
        <w:sz w:val="20"/>
      </w:rPr>
      <mc:AlternateContent>
        <mc:Choice Requires="wps">
          <w:drawing>
            <wp:anchor distT="0" distB="0" distL="0" distR="0" simplePos="0" relativeHeight="482230272" behindDoc="1" locked="0" layoutInCell="1" allowOverlap="1" wp14:anchorId="762AA690" wp14:editId="5D44D793">
              <wp:simplePos x="0" y="0"/>
              <wp:positionH relativeFrom="page">
                <wp:posOffset>6418834</wp:posOffset>
              </wp:positionH>
              <wp:positionV relativeFrom="page">
                <wp:posOffset>9920891</wp:posOffset>
              </wp:positionV>
              <wp:extent cx="281305" cy="153670"/>
              <wp:effectExtent l="0" t="0" r="0" b="0"/>
              <wp:wrapNone/>
              <wp:docPr id="760" name="Text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3670"/>
                      </a:xfrm>
                      <a:prstGeom prst="rect">
                        <a:avLst/>
                      </a:prstGeom>
                    </wps:spPr>
                    <wps:txbx>
                      <w:txbxContent>
                        <w:p w14:paraId="2EA039A7" w14:textId="77777777" w:rsidR="000E52B0" w:rsidRDefault="00F60D74">
                          <w:pPr>
                            <w:spacing w:before="14"/>
                            <w:ind w:left="60"/>
                            <w:rPr>
                              <w:rFonts w:ascii="Arial MT"/>
                              <w:sz w:val="18"/>
                            </w:rPr>
                          </w:pPr>
                          <w:r>
                            <w:rPr>
                              <w:rFonts w:ascii="Arial MT"/>
                              <w:spacing w:val="-5"/>
                              <w:sz w:val="18"/>
                            </w:rPr>
                            <w:fldChar w:fldCharType="begin"/>
                          </w:r>
                          <w:r>
                            <w:rPr>
                              <w:rFonts w:ascii="Arial MT"/>
                              <w:spacing w:val="-5"/>
                              <w:sz w:val="18"/>
                            </w:rPr>
                            <w:instrText xml:space="preserve"> PAGE </w:instrText>
                          </w:r>
                          <w:r>
                            <w:rPr>
                              <w:rFonts w:ascii="Arial MT"/>
                              <w:spacing w:val="-5"/>
                              <w:sz w:val="18"/>
                            </w:rPr>
                            <w:fldChar w:fldCharType="separate"/>
                          </w:r>
                          <w:r>
                            <w:rPr>
                              <w:rFonts w:ascii="Arial MT"/>
                              <w:spacing w:val="-5"/>
                              <w:sz w:val="18"/>
                            </w:rPr>
                            <w:t>185</w:t>
                          </w:r>
                          <w:r>
                            <w:rPr>
                              <w:rFonts w:ascii="Arial MT"/>
                              <w:spacing w:val="-5"/>
                              <w:sz w:val="18"/>
                            </w:rPr>
                            <w:fldChar w:fldCharType="end"/>
                          </w:r>
                        </w:p>
                      </w:txbxContent>
                    </wps:txbx>
                    <wps:bodyPr wrap="square" lIns="0" tIns="0" rIns="0" bIns="0" rtlCol="0">
                      <a:noAutofit/>
                    </wps:bodyPr>
                  </wps:wsp>
                </a:graphicData>
              </a:graphic>
            </wp:anchor>
          </w:drawing>
        </mc:Choice>
        <mc:Fallback>
          <w:pict>
            <v:shapetype w14:anchorId="762AA690" id="_x0000_t202" coordsize="21600,21600" o:spt="202" path="m,l,21600r21600,l21600,xe">
              <v:stroke joinstyle="miter"/>
              <v:path gradientshapeok="t" o:connecttype="rect"/>
            </v:shapetype>
            <v:shape id="Textbox 760" o:spid="_x0000_s1503" type="#_x0000_t202" style="position:absolute;margin-left:505.4pt;margin-top:781.15pt;width:22.15pt;height:12.1pt;z-index:-2108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" filled="f" stroked="f">
              <v:textbox inset="0,0,0,0">
                <w:txbxContent>
                  <w:p w14:paraId="2EA039A7" w14:textId="77777777" w:rsidR="000E52B0" w:rsidRDefault="00F60D74">
                    <w:pPr>
                      <w:spacing w:before="14"/>
                      <w:ind w:left="60"/>
                      <w:rPr>
                        <w:rFonts w:ascii="Arial MT"/>
                        <w:sz w:val="18"/>
                      </w:rPr>
                    </w:pPr>
                    <w:r>
                      <w:rPr>
                        <w:rFonts w:ascii="Arial MT"/>
                        <w:spacing w:val="-5"/>
                        <w:sz w:val="18"/>
                      </w:rPr>
                      <w:fldChar w:fldCharType="begin"/>
                    </w:r>
                    <w:r>
                      <w:rPr>
                        <w:rFonts w:ascii="Arial MT"/>
                        <w:spacing w:val="-5"/>
                        <w:sz w:val="18"/>
                      </w:rPr>
                      <w:instrText xml:space="preserve"> PAGE </w:instrText>
                    </w:r>
                    <w:r>
                      <w:rPr>
                        <w:rFonts w:ascii="Arial MT"/>
                        <w:spacing w:val="-5"/>
                        <w:sz w:val="18"/>
                      </w:rPr>
                      <w:fldChar w:fldCharType="separate"/>
                    </w:r>
                    <w:r>
                      <w:rPr>
                        <w:rFonts w:ascii="Arial MT"/>
                        <w:spacing w:val="-5"/>
                        <w:sz w:val="18"/>
                      </w:rPr>
                      <w:t>185</w:t>
                    </w:r>
                    <w:r>
                      <w:rPr>
                        <w:rFonts w:ascii="Arial MT"/>
                        <w:spacing w:val="-5"/>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AE9FF" w14:textId="77777777" w:rsidR="000E52B0" w:rsidRDefault="00F60D74">
    <w:pPr>
      <w:pStyle w:val="Textoindependiente"/>
      <w:spacing w:line="14" w:lineRule="auto"/>
      <w:ind w:left="0"/>
      <w:rPr>
        <w:sz w:val="20"/>
      </w:rPr>
    </w:pPr>
    <w:r>
      <w:rPr>
        <w:noProof/>
        <w:sz w:val="20"/>
      </w:rPr>
      <mc:AlternateContent>
        <mc:Choice Requires="wps">
          <w:drawing>
            <wp:anchor distT="0" distB="0" distL="0" distR="0" simplePos="0" relativeHeight="482230784" behindDoc="1" locked="0" layoutInCell="1" allowOverlap="1" wp14:anchorId="350F0695" wp14:editId="1C7C565A">
              <wp:simplePos x="0" y="0"/>
              <wp:positionH relativeFrom="page">
                <wp:posOffset>9550654</wp:posOffset>
              </wp:positionH>
              <wp:positionV relativeFrom="page">
                <wp:posOffset>6789071</wp:posOffset>
              </wp:positionV>
              <wp:extent cx="281305" cy="153670"/>
              <wp:effectExtent l="0" t="0" r="0" b="0"/>
              <wp:wrapNone/>
              <wp:docPr id="761" name="Text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3670"/>
                      </a:xfrm>
                      <a:prstGeom prst="rect">
                        <a:avLst/>
                      </a:prstGeom>
                    </wps:spPr>
                    <wps:txbx>
                      <w:txbxContent>
                        <w:p w14:paraId="00839641" w14:textId="77777777" w:rsidR="000E52B0" w:rsidRDefault="00F60D74">
                          <w:pPr>
                            <w:spacing w:before="14"/>
                            <w:ind w:left="60"/>
                            <w:rPr>
                              <w:rFonts w:ascii="Arial MT"/>
                              <w:sz w:val="18"/>
                            </w:rPr>
                          </w:pPr>
                          <w:r>
                            <w:rPr>
                              <w:rFonts w:ascii="Arial MT"/>
                              <w:spacing w:val="-5"/>
                              <w:sz w:val="18"/>
                            </w:rPr>
                            <w:fldChar w:fldCharType="begin"/>
                          </w:r>
                          <w:r>
                            <w:rPr>
                              <w:rFonts w:ascii="Arial MT"/>
                              <w:spacing w:val="-5"/>
                              <w:sz w:val="18"/>
                            </w:rPr>
                            <w:instrText xml:space="preserve"> PAGE </w:instrText>
                          </w:r>
                          <w:r>
                            <w:rPr>
                              <w:rFonts w:ascii="Arial MT"/>
                              <w:spacing w:val="-5"/>
                              <w:sz w:val="18"/>
                            </w:rPr>
                            <w:fldChar w:fldCharType="separate"/>
                          </w:r>
                          <w:r>
                            <w:rPr>
                              <w:rFonts w:ascii="Arial MT"/>
                              <w:spacing w:val="-5"/>
                              <w:sz w:val="18"/>
                            </w:rPr>
                            <w:t>187</w:t>
                          </w:r>
                          <w:r>
                            <w:rPr>
                              <w:rFonts w:ascii="Arial MT"/>
                              <w:spacing w:val="-5"/>
                              <w:sz w:val="18"/>
                            </w:rPr>
                            <w:fldChar w:fldCharType="end"/>
                          </w:r>
                        </w:p>
                      </w:txbxContent>
                    </wps:txbx>
                    <wps:bodyPr wrap="square" lIns="0" tIns="0" rIns="0" bIns="0" rtlCol="0">
                      <a:noAutofit/>
                    </wps:bodyPr>
                  </wps:wsp>
                </a:graphicData>
              </a:graphic>
            </wp:anchor>
          </w:drawing>
        </mc:Choice>
        <mc:Fallback>
          <w:pict>
            <v:shapetype w14:anchorId="350F0695" id="_x0000_t202" coordsize="21600,21600" o:spt="202" path="m,l,21600r21600,l21600,xe">
              <v:stroke joinstyle="miter"/>
              <v:path gradientshapeok="t" o:connecttype="rect"/>
            </v:shapetype>
            <v:shape id="Textbox 761" o:spid="_x0000_s1504" type="#_x0000_t202" style="position:absolute;margin-left:752pt;margin-top:534.55pt;width:22.15pt;height:12.1pt;z-index:-2108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" filled="f" stroked="f">
              <v:textbox inset="0,0,0,0">
                <w:txbxContent>
                  <w:p w14:paraId="00839641" w14:textId="77777777" w:rsidR="000E52B0" w:rsidRDefault="00F60D74">
                    <w:pPr>
                      <w:spacing w:before="14"/>
                      <w:ind w:left="60"/>
                      <w:rPr>
                        <w:rFonts w:ascii="Arial MT"/>
                        <w:sz w:val="18"/>
                      </w:rPr>
                    </w:pPr>
                    <w:r>
                      <w:rPr>
                        <w:rFonts w:ascii="Arial MT"/>
                        <w:spacing w:val="-5"/>
                        <w:sz w:val="18"/>
                      </w:rPr>
                      <w:fldChar w:fldCharType="begin"/>
                    </w:r>
                    <w:r>
                      <w:rPr>
                        <w:rFonts w:ascii="Arial MT"/>
                        <w:spacing w:val="-5"/>
                        <w:sz w:val="18"/>
                      </w:rPr>
                      <w:instrText xml:space="preserve"> PAGE </w:instrText>
                    </w:r>
                    <w:r>
                      <w:rPr>
                        <w:rFonts w:ascii="Arial MT"/>
                        <w:spacing w:val="-5"/>
                        <w:sz w:val="18"/>
                      </w:rPr>
                      <w:fldChar w:fldCharType="separate"/>
                    </w:r>
                    <w:r>
                      <w:rPr>
                        <w:rFonts w:ascii="Arial MT"/>
                        <w:spacing w:val="-5"/>
                        <w:sz w:val="18"/>
                      </w:rPr>
                      <w:t>187</w:t>
                    </w:r>
                    <w:r>
                      <w:rPr>
                        <w:rFonts w:ascii="Arial MT"/>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3A7AA" w14:textId="77777777" w:rsidR="001C7E56" w:rsidRDefault="001C7E56">
      <w:r>
        <w:separator/>
      </w:r>
    </w:p>
  </w:footnote>
  <w:footnote w:type="continuationSeparator" w:id="0">
    <w:p w14:paraId="32ECBC9B" w14:textId="77777777" w:rsidR="001C7E56" w:rsidRDefault="001C7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5A3C" w14:textId="4D441103" w:rsidR="00E27F7A" w:rsidRDefault="00E27F7A">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B2D2A" w14:textId="380B5BFD" w:rsidR="00E27F7A" w:rsidRDefault="00E27F7A">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C4682" w14:textId="26D4DB71" w:rsidR="00E27F7A" w:rsidRDefault="00E27F7A">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B291B" w14:textId="70062D79" w:rsidR="00E27F7A" w:rsidRDefault="00E27F7A">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B164B" w14:textId="67ADC0F0" w:rsidR="00E27F7A" w:rsidRDefault="00E27F7A">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6BF1A" w14:textId="0FCFB0E0" w:rsidR="00E27F7A" w:rsidRDefault="00E27F7A">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DDA1A" w14:textId="4EF3526B" w:rsidR="00E27F7A" w:rsidRDefault="00E27F7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8F165" w14:textId="474D89F7" w:rsidR="00E27F7A" w:rsidRDefault="00E27F7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9ECF8" w14:textId="590FC6A2" w:rsidR="00E27F7A" w:rsidRDefault="00E27F7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D362B" w14:textId="521C8358" w:rsidR="00E27F7A" w:rsidRDefault="00E27F7A">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14F67" w14:textId="2AE798A4" w:rsidR="00E27F7A" w:rsidRDefault="00E27F7A">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3EAAA" w14:textId="04B29576" w:rsidR="00E27F7A" w:rsidRDefault="00E27F7A">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B891D" w14:textId="18E08C52" w:rsidR="00E27F7A" w:rsidRDefault="00E27F7A">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F0BC3" w14:textId="7973F18A" w:rsidR="00E27F7A" w:rsidRDefault="00E27F7A">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AD12D" w14:textId="11D7A4F9" w:rsidR="00E27F7A" w:rsidRDefault="00E27F7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24ADA"/>
    <w:multiLevelType w:val="hybridMultilevel"/>
    <w:tmpl w:val="94F60954"/>
    <w:lvl w:ilvl="0" w:tplc="148A449E">
      <w:numFmt w:val="bullet"/>
      <w:lvlText w:val=""/>
      <w:lvlJc w:val="left"/>
      <w:pPr>
        <w:ind w:left="379" w:hanging="272"/>
      </w:pPr>
      <w:rPr>
        <w:rFonts w:ascii="Wingdings" w:eastAsia="Wingdings" w:hAnsi="Wingdings" w:cs="Wingdings" w:hint="default"/>
        <w:b w:val="0"/>
        <w:bCs w:val="0"/>
        <w:i w:val="0"/>
        <w:iCs w:val="0"/>
        <w:spacing w:val="0"/>
        <w:w w:val="99"/>
        <w:sz w:val="20"/>
        <w:szCs w:val="20"/>
        <w:lang w:val="es-ES" w:eastAsia="en-US" w:bidi="ar-SA"/>
      </w:rPr>
    </w:lvl>
    <w:lvl w:ilvl="1" w:tplc="CD5AB0EC">
      <w:numFmt w:val="bullet"/>
      <w:lvlText w:val="•"/>
      <w:lvlJc w:val="left"/>
      <w:pPr>
        <w:ind w:left="720" w:hanging="272"/>
      </w:pPr>
      <w:rPr>
        <w:rFonts w:hint="default"/>
        <w:lang w:val="es-ES" w:eastAsia="en-US" w:bidi="ar-SA"/>
      </w:rPr>
    </w:lvl>
    <w:lvl w:ilvl="2" w:tplc="EA0C4F84">
      <w:numFmt w:val="bullet"/>
      <w:lvlText w:val="•"/>
      <w:lvlJc w:val="left"/>
      <w:pPr>
        <w:ind w:left="1061" w:hanging="272"/>
      </w:pPr>
      <w:rPr>
        <w:rFonts w:hint="default"/>
        <w:lang w:val="es-ES" w:eastAsia="en-US" w:bidi="ar-SA"/>
      </w:rPr>
    </w:lvl>
    <w:lvl w:ilvl="3" w:tplc="D5B2B8DE">
      <w:numFmt w:val="bullet"/>
      <w:lvlText w:val="•"/>
      <w:lvlJc w:val="left"/>
      <w:pPr>
        <w:ind w:left="1402" w:hanging="272"/>
      </w:pPr>
      <w:rPr>
        <w:rFonts w:hint="default"/>
        <w:lang w:val="es-ES" w:eastAsia="en-US" w:bidi="ar-SA"/>
      </w:rPr>
    </w:lvl>
    <w:lvl w:ilvl="4" w:tplc="CA769B7A">
      <w:numFmt w:val="bullet"/>
      <w:lvlText w:val="•"/>
      <w:lvlJc w:val="left"/>
      <w:pPr>
        <w:ind w:left="1743" w:hanging="272"/>
      </w:pPr>
      <w:rPr>
        <w:rFonts w:hint="default"/>
        <w:lang w:val="es-ES" w:eastAsia="en-US" w:bidi="ar-SA"/>
      </w:rPr>
    </w:lvl>
    <w:lvl w:ilvl="5" w:tplc="300A6CEE">
      <w:numFmt w:val="bullet"/>
      <w:lvlText w:val="•"/>
      <w:lvlJc w:val="left"/>
      <w:pPr>
        <w:ind w:left="2084" w:hanging="272"/>
      </w:pPr>
      <w:rPr>
        <w:rFonts w:hint="default"/>
        <w:lang w:val="es-ES" w:eastAsia="en-US" w:bidi="ar-SA"/>
      </w:rPr>
    </w:lvl>
    <w:lvl w:ilvl="6" w:tplc="44A284A8">
      <w:numFmt w:val="bullet"/>
      <w:lvlText w:val="•"/>
      <w:lvlJc w:val="left"/>
      <w:pPr>
        <w:ind w:left="2425" w:hanging="272"/>
      </w:pPr>
      <w:rPr>
        <w:rFonts w:hint="default"/>
        <w:lang w:val="es-ES" w:eastAsia="en-US" w:bidi="ar-SA"/>
      </w:rPr>
    </w:lvl>
    <w:lvl w:ilvl="7" w:tplc="8526A372">
      <w:numFmt w:val="bullet"/>
      <w:lvlText w:val="•"/>
      <w:lvlJc w:val="left"/>
      <w:pPr>
        <w:ind w:left="2766" w:hanging="272"/>
      </w:pPr>
      <w:rPr>
        <w:rFonts w:hint="default"/>
        <w:lang w:val="es-ES" w:eastAsia="en-US" w:bidi="ar-SA"/>
      </w:rPr>
    </w:lvl>
    <w:lvl w:ilvl="8" w:tplc="EA5C880E">
      <w:numFmt w:val="bullet"/>
      <w:lvlText w:val="•"/>
      <w:lvlJc w:val="left"/>
      <w:pPr>
        <w:ind w:left="3107" w:hanging="272"/>
      </w:pPr>
      <w:rPr>
        <w:rFonts w:hint="default"/>
        <w:lang w:val="es-ES" w:eastAsia="en-US" w:bidi="ar-SA"/>
      </w:rPr>
    </w:lvl>
  </w:abstractNum>
  <w:abstractNum w:abstractNumId="1" w15:restartNumberingAfterBreak="0">
    <w:nsid w:val="0154336C"/>
    <w:multiLevelType w:val="hybridMultilevel"/>
    <w:tmpl w:val="F8C8A926"/>
    <w:lvl w:ilvl="0" w:tplc="C694A86E">
      <w:numFmt w:val="bullet"/>
      <w:lvlText w:val=""/>
      <w:lvlJc w:val="left"/>
      <w:pPr>
        <w:ind w:left="398" w:hanging="361"/>
      </w:pPr>
      <w:rPr>
        <w:rFonts w:ascii="Symbol" w:eastAsia="Symbol" w:hAnsi="Symbol" w:cs="Symbol" w:hint="default"/>
        <w:b w:val="0"/>
        <w:bCs w:val="0"/>
        <w:i w:val="0"/>
        <w:iCs w:val="0"/>
        <w:spacing w:val="0"/>
        <w:w w:val="100"/>
        <w:sz w:val="18"/>
        <w:szCs w:val="18"/>
        <w:lang w:val="es-ES" w:eastAsia="en-US" w:bidi="ar-SA"/>
      </w:rPr>
    </w:lvl>
    <w:lvl w:ilvl="1" w:tplc="F4B45158">
      <w:numFmt w:val="bullet"/>
      <w:lvlText w:val="•"/>
      <w:lvlJc w:val="left"/>
      <w:pPr>
        <w:ind w:left="710" w:hanging="361"/>
      </w:pPr>
      <w:rPr>
        <w:rFonts w:hint="default"/>
        <w:lang w:val="es-ES" w:eastAsia="en-US" w:bidi="ar-SA"/>
      </w:rPr>
    </w:lvl>
    <w:lvl w:ilvl="2" w:tplc="1CC8A922">
      <w:numFmt w:val="bullet"/>
      <w:lvlText w:val="•"/>
      <w:lvlJc w:val="left"/>
      <w:pPr>
        <w:ind w:left="1020" w:hanging="361"/>
      </w:pPr>
      <w:rPr>
        <w:rFonts w:hint="default"/>
        <w:lang w:val="es-ES" w:eastAsia="en-US" w:bidi="ar-SA"/>
      </w:rPr>
    </w:lvl>
    <w:lvl w:ilvl="3" w:tplc="069CD2BE">
      <w:numFmt w:val="bullet"/>
      <w:lvlText w:val="•"/>
      <w:lvlJc w:val="left"/>
      <w:pPr>
        <w:ind w:left="1331" w:hanging="361"/>
      </w:pPr>
      <w:rPr>
        <w:rFonts w:hint="default"/>
        <w:lang w:val="es-ES" w:eastAsia="en-US" w:bidi="ar-SA"/>
      </w:rPr>
    </w:lvl>
    <w:lvl w:ilvl="4" w:tplc="705E5A48">
      <w:numFmt w:val="bullet"/>
      <w:lvlText w:val="•"/>
      <w:lvlJc w:val="left"/>
      <w:pPr>
        <w:ind w:left="1641" w:hanging="361"/>
      </w:pPr>
      <w:rPr>
        <w:rFonts w:hint="default"/>
        <w:lang w:val="es-ES" w:eastAsia="en-US" w:bidi="ar-SA"/>
      </w:rPr>
    </w:lvl>
    <w:lvl w:ilvl="5" w:tplc="0FEC145A">
      <w:numFmt w:val="bullet"/>
      <w:lvlText w:val="•"/>
      <w:lvlJc w:val="left"/>
      <w:pPr>
        <w:ind w:left="1952" w:hanging="361"/>
      </w:pPr>
      <w:rPr>
        <w:rFonts w:hint="default"/>
        <w:lang w:val="es-ES" w:eastAsia="en-US" w:bidi="ar-SA"/>
      </w:rPr>
    </w:lvl>
    <w:lvl w:ilvl="6" w:tplc="2E7CC548">
      <w:numFmt w:val="bullet"/>
      <w:lvlText w:val="•"/>
      <w:lvlJc w:val="left"/>
      <w:pPr>
        <w:ind w:left="2262" w:hanging="361"/>
      </w:pPr>
      <w:rPr>
        <w:rFonts w:hint="default"/>
        <w:lang w:val="es-ES" w:eastAsia="en-US" w:bidi="ar-SA"/>
      </w:rPr>
    </w:lvl>
    <w:lvl w:ilvl="7" w:tplc="F5CAD83E">
      <w:numFmt w:val="bullet"/>
      <w:lvlText w:val="•"/>
      <w:lvlJc w:val="left"/>
      <w:pPr>
        <w:ind w:left="2572" w:hanging="361"/>
      </w:pPr>
      <w:rPr>
        <w:rFonts w:hint="default"/>
        <w:lang w:val="es-ES" w:eastAsia="en-US" w:bidi="ar-SA"/>
      </w:rPr>
    </w:lvl>
    <w:lvl w:ilvl="8" w:tplc="5D94554E">
      <w:numFmt w:val="bullet"/>
      <w:lvlText w:val="•"/>
      <w:lvlJc w:val="left"/>
      <w:pPr>
        <w:ind w:left="2883" w:hanging="361"/>
      </w:pPr>
      <w:rPr>
        <w:rFonts w:hint="default"/>
        <w:lang w:val="es-ES" w:eastAsia="en-US" w:bidi="ar-SA"/>
      </w:rPr>
    </w:lvl>
  </w:abstractNum>
  <w:abstractNum w:abstractNumId="2" w15:restartNumberingAfterBreak="0">
    <w:nsid w:val="03184F9A"/>
    <w:multiLevelType w:val="multilevel"/>
    <w:tmpl w:val="0EFE9F12"/>
    <w:lvl w:ilvl="0">
      <w:start w:val="7"/>
      <w:numFmt w:val="decimal"/>
      <w:lvlText w:val="%1."/>
      <w:lvlJc w:val="left"/>
      <w:pPr>
        <w:ind w:left="417" w:hanging="360"/>
      </w:pPr>
      <w:rPr>
        <w:rFonts w:ascii="Verdana" w:eastAsia="Verdana" w:hAnsi="Verdana" w:cs="Verdana" w:hint="default"/>
        <w:b/>
        <w:bCs/>
        <w:i w:val="0"/>
        <w:iCs w:val="0"/>
        <w:spacing w:val="-1"/>
        <w:w w:val="99"/>
        <w:sz w:val="20"/>
        <w:szCs w:val="20"/>
        <w:lang w:val="es-ES" w:eastAsia="en-US" w:bidi="ar-SA"/>
      </w:rPr>
    </w:lvl>
    <w:lvl w:ilvl="1">
      <w:start w:val="1"/>
      <w:numFmt w:val="decimal"/>
      <w:lvlText w:val="%1.%2."/>
      <w:lvlJc w:val="left"/>
      <w:pPr>
        <w:ind w:left="911" w:hanging="495"/>
      </w:pPr>
      <w:rPr>
        <w:rFonts w:ascii="Verdana" w:eastAsia="Verdana" w:hAnsi="Verdana" w:cs="Verdana" w:hint="default"/>
        <w:b/>
        <w:bCs/>
        <w:i w:val="0"/>
        <w:iCs w:val="0"/>
        <w:spacing w:val="-1"/>
        <w:w w:val="94"/>
        <w:sz w:val="20"/>
        <w:szCs w:val="20"/>
        <w:u w:val="single" w:color="000000"/>
        <w:lang w:val="es-ES" w:eastAsia="en-US" w:bidi="ar-SA"/>
      </w:rPr>
    </w:lvl>
    <w:lvl w:ilvl="2">
      <w:numFmt w:val="bullet"/>
      <w:lvlText w:val="•"/>
      <w:lvlJc w:val="left"/>
      <w:pPr>
        <w:ind w:left="1340" w:hanging="495"/>
      </w:pPr>
      <w:rPr>
        <w:rFonts w:hint="default"/>
        <w:lang w:val="es-ES" w:eastAsia="en-US" w:bidi="ar-SA"/>
      </w:rPr>
    </w:lvl>
    <w:lvl w:ilvl="3">
      <w:numFmt w:val="bullet"/>
      <w:lvlText w:val="•"/>
      <w:lvlJc w:val="left"/>
      <w:pPr>
        <w:ind w:left="1760" w:hanging="495"/>
      </w:pPr>
      <w:rPr>
        <w:rFonts w:hint="default"/>
        <w:lang w:val="es-ES" w:eastAsia="en-US" w:bidi="ar-SA"/>
      </w:rPr>
    </w:lvl>
    <w:lvl w:ilvl="4">
      <w:numFmt w:val="bullet"/>
      <w:lvlText w:val="•"/>
      <w:lvlJc w:val="left"/>
      <w:pPr>
        <w:ind w:left="2181" w:hanging="495"/>
      </w:pPr>
      <w:rPr>
        <w:rFonts w:hint="default"/>
        <w:lang w:val="es-ES" w:eastAsia="en-US" w:bidi="ar-SA"/>
      </w:rPr>
    </w:lvl>
    <w:lvl w:ilvl="5">
      <w:numFmt w:val="bullet"/>
      <w:lvlText w:val="•"/>
      <w:lvlJc w:val="left"/>
      <w:pPr>
        <w:ind w:left="2601" w:hanging="495"/>
      </w:pPr>
      <w:rPr>
        <w:rFonts w:hint="default"/>
        <w:lang w:val="es-ES" w:eastAsia="en-US" w:bidi="ar-SA"/>
      </w:rPr>
    </w:lvl>
    <w:lvl w:ilvl="6">
      <w:numFmt w:val="bullet"/>
      <w:lvlText w:val="•"/>
      <w:lvlJc w:val="left"/>
      <w:pPr>
        <w:ind w:left="3021" w:hanging="495"/>
      </w:pPr>
      <w:rPr>
        <w:rFonts w:hint="default"/>
        <w:lang w:val="es-ES" w:eastAsia="en-US" w:bidi="ar-SA"/>
      </w:rPr>
    </w:lvl>
    <w:lvl w:ilvl="7">
      <w:numFmt w:val="bullet"/>
      <w:lvlText w:val="•"/>
      <w:lvlJc w:val="left"/>
      <w:pPr>
        <w:ind w:left="3442" w:hanging="495"/>
      </w:pPr>
      <w:rPr>
        <w:rFonts w:hint="default"/>
        <w:lang w:val="es-ES" w:eastAsia="en-US" w:bidi="ar-SA"/>
      </w:rPr>
    </w:lvl>
    <w:lvl w:ilvl="8">
      <w:numFmt w:val="bullet"/>
      <w:lvlText w:val="•"/>
      <w:lvlJc w:val="left"/>
      <w:pPr>
        <w:ind w:left="3862" w:hanging="495"/>
      </w:pPr>
      <w:rPr>
        <w:rFonts w:hint="default"/>
        <w:lang w:val="es-ES" w:eastAsia="en-US" w:bidi="ar-SA"/>
      </w:rPr>
    </w:lvl>
  </w:abstractNum>
  <w:abstractNum w:abstractNumId="3" w15:restartNumberingAfterBreak="0">
    <w:nsid w:val="03AC0965"/>
    <w:multiLevelType w:val="multilevel"/>
    <w:tmpl w:val="4F387846"/>
    <w:lvl w:ilvl="0">
      <w:start w:val="5"/>
      <w:numFmt w:val="decimal"/>
      <w:lvlText w:val="%1"/>
      <w:lvlJc w:val="left"/>
      <w:pPr>
        <w:ind w:left="108" w:hanging="420"/>
      </w:pPr>
      <w:rPr>
        <w:rFonts w:hint="default"/>
        <w:lang w:val="es-ES" w:eastAsia="en-US" w:bidi="ar-SA"/>
      </w:rPr>
    </w:lvl>
    <w:lvl w:ilvl="1">
      <w:start w:val="5"/>
      <w:numFmt w:val="decimal"/>
      <w:lvlText w:val="%1.%2"/>
      <w:lvlJc w:val="left"/>
      <w:pPr>
        <w:ind w:left="108" w:hanging="420"/>
      </w:pPr>
      <w:rPr>
        <w:rFonts w:ascii="Verdana" w:eastAsia="Verdana" w:hAnsi="Verdana" w:cs="Verdana" w:hint="default"/>
        <w:b/>
        <w:bCs/>
        <w:i w:val="0"/>
        <w:iCs w:val="0"/>
        <w:spacing w:val="-1"/>
        <w:w w:val="100"/>
        <w:sz w:val="18"/>
        <w:szCs w:val="18"/>
        <w:lang w:val="es-ES" w:eastAsia="en-US" w:bidi="ar-SA"/>
      </w:rPr>
    </w:lvl>
    <w:lvl w:ilvl="2">
      <w:numFmt w:val="bullet"/>
      <w:lvlText w:val="•"/>
      <w:lvlJc w:val="left"/>
      <w:pPr>
        <w:ind w:left="828" w:hanging="420"/>
      </w:pPr>
      <w:rPr>
        <w:rFonts w:hint="default"/>
        <w:lang w:val="es-ES" w:eastAsia="en-US" w:bidi="ar-SA"/>
      </w:rPr>
    </w:lvl>
    <w:lvl w:ilvl="3">
      <w:numFmt w:val="bullet"/>
      <w:lvlText w:val="•"/>
      <w:lvlJc w:val="left"/>
      <w:pPr>
        <w:ind w:left="1192" w:hanging="420"/>
      </w:pPr>
      <w:rPr>
        <w:rFonts w:hint="default"/>
        <w:lang w:val="es-ES" w:eastAsia="en-US" w:bidi="ar-SA"/>
      </w:rPr>
    </w:lvl>
    <w:lvl w:ilvl="4">
      <w:numFmt w:val="bullet"/>
      <w:lvlText w:val="•"/>
      <w:lvlJc w:val="left"/>
      <w:pPr>
        <w:ind w:left="1556" w:hanging="420"/>
      </w:pPr>
      <w:rPr>
        <w:rFonts w:hint="default"/>
        <w:lang w:val="es-ES" w:eastAsia="en-US" w:bidi="ar-SA"/>
      </w:rPr>
    </w:lvl>
    <w:lvl w:ilvl="5">
      <w:numFmt w:val="bullet"/>
      <w:lvlText w:val="•"/>
      <w:lvlJc w:val="left"/>
      <w:pPr>
        <w:ind w:left="1921" w:hanging="420"/>
      </w:pPr>
      <w:rPr>
        <w:rFonts w:hint="default"/>
        <w:lang w:val="es-ES" w:eastAsia="en-US" w:bidi="ar-SA"/>
      </w:rPr>
    </w:lvl>
    <w:lvl w:ilvl="6">
      <w:numFmt w:val="bullet"/>
      <w:lvlText w:val="•"/>
      <w:lvlJc w:val="left"/>
      <w:pPr>
        <w:ind w:left="2285" w:hanging="420"/>
      </w:pPr>
      <w:rPr>
        <w:rFonts w:hint="default"/>
        <w:lang w:val="es-ES" w:eastAsia="en-US" w:bidi="ar-SA"/>
      </w:rPr>
    </w:lvl>
    <w:lvl w:ilvl="7">
      <w:numFmt w:val="bullet"/>
      <w:lvlText w:val="•"/>
      <w:lvlJc w:val="left"/>
      <w:pPr>
        <w:ind w:left="2649" w:hanging="420"/>
      </w:pPr>
      <w:rPr>
        <w:rFonts w:hint="default"/>
        <w:lang w:val="es-ES" w:eastAsia="en-US" w:bidi="ar-SA"/>
      </w:rPr>
    </w:lvl>
    <w:lvl w:ilvl="8">
      <w:numFmt w:val="bullet"/>
      <w:lvlText w:val="•"/>
      <w:lvlJc w:val="left"/>
      <w:pPr>
        <w:ind w:left="3013" w:hanging="420"/>
      </w:pPr>
      <w:rPr>
        <w:rFonts w:hint="default"/>
        <w:lang w:val="es-ES" w:eastAsia="en-US" w:bidi="ar-SA"/>
      </w:rPr>
    </w:lvl>
  </w:abstractNum>
  <w:abstractNum w:abstractNumId="4" w15:restartNumberingAfterBreak="0">
    <w:nsid w:val="041E2647"/>
    <w:multiLevelType w:val="hybridMultilevel"/>
    <w:tmpl w:val="57FE219E"/>
    <w:lvl w:ilvl="0" w:tplc="0EEA89EC">
      <w:start w:val="1"/>
      <w:numFmt w:val="decimal"/>
      <w:lvlText w:val="%1."/>
      <w:lvlJc w:val="left"/>
      <w:pPr>
        <w:ind w:left="379" w:hanging="272"/>
      </w:pPr>
      <w:rPr>
        <w:rFonts w:ascii="Verdana" w:eastAsia="Verdana" w:hAnsi="Verdana" w:cs="Verdana" w:hint="default"/>
        <w:b w:val="0"/>
        <w:bCs w:val="0"/>
        <w:i w:val="0"/>
        <w:iCs w:val="0"/>
        <w:color w:val="333333"/>
        <w:spacing w:val="0"/>
        <w:w w:val="99"/>
        <w:sz w:val="20"/>
        <w:szCs w:val="20"/>
        <w:lang w:val="es-ES" w:eastAsia="en-US" w:bidi="ar-SA"/>
      </w:rPr>
    </w:lvl>
    <w:lvl w:ilvl="1" w:tplc="C9568996">
      <w:numFmt w:val="bullet"/>
      <w:lvlText w:val="•"/>
      <w:lvlJc w:val="left"/>
      <w:pPr>
        <w:ind w:left="812" w:hanging="272"/>
      </w:pPr>
      <w:rPr>
        <w:rFonts w:hint="default"/>
        <w:lang w:val="es-ES" w:eastAsia="en-US" w:bidi="ar-SA"/>
      </w:rPr>
    </w:lvl>
    <w:lvl w:ilvl="2" w:tplc="A4FCE87A">
      <w:numFmt w:val="bullet"/>
      <w:lvlText w:val="•"/>
      <w:lvlJc w:val="left"/>
      <w:pPr>
        <w:ind w:left="1244" w:hanging="272"/>
      </w:pPr>
      <w:rPr>
        <w:rFonts w:hint="default"/>
        <w:lang w:val="es-ES" w:eastAsia="en-US" w:bidi="ar-SA"/>
      </w:rPr>
    </w:lvl>
    <w:lvl w:ilvl="3" w:tplc="211A2DC0">
      <w:numFmt w:val="bullet"/>
      <w:lvlText w:val="•"/>
      <w:lvlJc w:val="left"/>
      <w:pPr>
        <w:ind w:left="1676" w:hanging="272"/>
      </w:pPr>
      <w:rPr>
        <w:rFonts w:hint="default"/>
        <w:lang w:val="es-ES" w:eastAsia="en-US" w:bidi="ar-SA"/>
      </w:rPr>
    </w:lvl>
    <w:lvl w:ilvl="4" w:tplc="8F0ADEA0">
      <w:numFmt w:val="bullet"/>
      <w:lvlText w:val="•"/>
      <w:lvlJc w:val="left"/>
      <w:pPr>
        <w:ind w:left="2109" w:hanging="272"/>
      </w:pPr>
      <w:rPr>
        <w:rFonts w:hint="default"/>
        <w:lang w:val="es-ES" w:eastAsia="en-US" w:bidi="ar-SA"/>
      </w:rPr>
    </w:lvl>
    <w:lvl w:ilvl="5" w:tplc="4E16FE82">
      <w:numFmt w:val="bullet"/>
      <w:lvlText w:val="•"/>
      <w:lvlJc w:val="left"/>
      <w:pPr>
        <w:ind w:left="2541" w:hanging="272"/>
      </w:pPr>
      <w:rPr>
        <w:rFonts w:hint="default"/>
        <w:lang w:val="es-ES" w:eastAsia="en-US" w:bidi="ar-SA"/>
      </w:rPr>
    </w:lvl>
    <w:lvl w:ilvl="6" w:tplc="7638C82E">
      <w:numFmt w:val="bullet"/>
      <w:lvlText w:val="•"/>
      <w:lvlJc w:val="left"/>
      <w:pPr>
        <w:ind w:left="2973" w:hanging="272"/>
      </w:pPr>
      <w:rPr>
        <w:rFonts w:hint="default"/>
        <w:lang w:val="es-ES" w:eastAsia="en-US" w:bidi="ar-SA"/>
      </w:rPr>
    </w:lvl>
    <w:lvl w:ilvl="7" w:tplc="02664686">
      <w:numFmt w:val="bullet"/>
      <w:lvlText w:val="•"/>
      <w:lvlJc w:val="left"/>
      <w:pPr>
        <w:ind w:left="3406" w:hanging="272"/>
      </w:pPr>
      <w:rPr>
        <w:rFonts w:hint="default"/>
        <w:lang w:val="es-ES" w:eastAsia="en-US" w:bidi="ar-SA"/>
      </w:rPr>
    </w:lvl>
    <w:lvl w:ilvl="8" w:tplc="E3D4F5CA">
      <w:numFmt w:val="bullet"/>
      <w:lvlText w:val="•"/>
      <w:lvlJc w:val="left"/>
      <w:pPr>
        <w:ind w:left="3838" w:hanging="272"/>
      </w:pPr>
      <w:rPr>
        <w:rFonts w:hint="default"/>
        <w:lang w:val="es-ES" w:eastAsia="en-US" w:bidi="ar-SA"/>
      </w:rPr>
    </w:lvl>
  </w:abstractNum>
  <w:abstractNum w:abstractNumId="5" w15:restartNumberingAfterBreak="0">
    <w:nsid w:val="04847B67"/>
    <w:multiLevelType w:val="hybridMultilevel"/>
    <w:tmpl w:val="E6BA24D6"/>
    <w:lvl w:ilvl="0" w:tplc="9D86B40E">
      <w:start w:val="1"/>
      <w:numFmt w:val="decimal"/>
      <w:lvlText w:val="%1."/>
      <w:lvlJc w:val="left"/>
      <w:pPr>
        <w:ind w:left="1121" w:hanging="575"/>
      </w:pPr>
      <w:rPr>
        <w:rFonts w:ascii="Verdana" w:eastAsia="Verdana" w:hAnsi="Verdana" w:cs="Verdana" w:hint="default"/>
        <w:b w:val="0"/>
        <w:bCs w:val="0"/>
        <w:i/>
        <w:iCs/>
        <w:spacing w:val="0"/>
        <w:w w:val="100"/>
        <w:sz w:val="24"/>
        <w:szCs w:val="24"/>
        <w:lang w:val="es-ES" w:eastAsia="en-US" w:bidi="ar-SA"/>
      </w:rPr>
    </w:lvl>
    <w:lvl w:ilvl="1" w:tplc="269A4DD8">
      <w:numFmt w:val="bullet"/>
      <w:lvlText w:val="•"/>
      <w:lvlJc w:val="left"/>
      <w:pPr>
        <w:ind w:left="1944" w:hanging="575"/>
      </w:pPr>
      <w:rPr>
        <w:rFonts w:hint="default"/>
        <w:lang w:val="es-ES" w:eastAsia="en-US" w:bidi="ar-SA"/>
      </w:rPr>
    </w:lvl>
    <w:lvl w:ilvl="2" w:tplc="B5C026BC">
      <w:numFmt w:val="bullet"/>
      <w:lvlText w:val="•"/>
      <w:lvlJc w:val="left"/>
      <w:pPr>
        <w:ind w:left="2768" w:hanging="575"/>
      </w:pPr>
      <w:rPr>
        <w:rFonts w:hint="default"/>
        <w:lang w:val="es-ES" w:eastAsia="en-US" w:bidi="ar-SA"/>
      </w:rPr>
    </w:lvl>
    <w:lvl w:ilvl="3" w:tplc="51EC52DA">
      <w:numFmt w:val="bullet"/>
      <w:lvlText w:val="•"/>
      <w:lvlJc w:val="left"/>
      <w:pPr>
        <w:ind w:left="3592" w:hanging="575"/>
      </w:pPr>
      <w:rPr>
        <w:rFonts w:hint="default"/>
        <w:lang w:val="es-ES" w:eastAsia="en-US" w:bidi="ar-SA"/>
      </w:rPr>
    </w:lvl>
    <w:lvl w:ilvl="4" w:tplc="0CE03A06">
      <w:numFmt w:val="bullet"/>
      <w:lvlText w:val="•"/>
      <w:lvlJc w:val="left"/>
      <w:pPr>
        <w:ind w:left="4416" w:hanging="575"/>
      </w:pPr>
      <w:rPr>
        <w:rFonts w:hint="default"/>
        <w:lang w:val="es-ES" w:eastAsia="en-US" w:bidi="ar-SA"/>
      </w:rPr>
    </w:lvl>
    <w:lvl w:ilvl="5" w:tplc="752C95B6">
      <w:numFmt w:val="bullet"/>
      <w:lvlText w:val="•"/>
      <w:lvlJc w:val="left"/>
      <w:pPr>
        <w:ind w:left="5240" w:hanging="575"/>
      </w:pPr>
      <w:rPr>
        <w:rFonts w:hint="default"/>
        <w:lang w:val="es-ES" w:eastAsia="en-US" w:bidi="ar-SA"/>
      </w:rPr>
    </w:lvl>
    <w:lvl w:ilvl="6" w:tplc="CAACCF2C">
      <w:numFmt w:val="bullet"/>
      <w:lvlText w:val="•"/>
      <w:lvlJc w:val="left"/>
      <w:pPr>
        <w:ind w:left="6064" w:hanging="575"/>
      </w:pPr>
      <w:rPr>
        <w:rFonts w:hint="default"/>
        <w:lang w:val="es-ES" w:eastAsia="en-US" w:bidi="ar-SA"/>
      </w:rPr>
    </w:lvl>
    <w:lvl w:ilvl="7" w:tplc="602A9D3C">
      <w:numFmt w:val="bullet"/>
      <w:lvlText w:val="•"/>
      <w:lvlJc w:val="left"/>
      <w:pPr>
        <w:ind w:left="6888" w:hanging="575"/>
      </w:pPr>
      <w:rPr>
        <w:rFonts w:hint="default"/>
        <w:lang w:val="es-ES" w:eastAsia="en-US" w:bidi="ar-SA"/>
      </w:rPr>
    </w:lvl>
    <w:lvl w:ilvl="8" w:tplc="6EFC2F8E">
      <w:numFmt w:val="bullet"/>
      <w:lvlText w:val="•"/>
      <w:lvlJc w:val="left"/>
      <w:pPr>
        <w:ind w:left="7712" w:hanging="575"/>
      </w:pPr>
      <w:rPr>
        <w:rFonts w:hint="default"/>
        <w:lang w:val="es-ES" w:eastAsia="en-US" w:bidi="ar-SA"/>
      </w:rPr>
    </w:lvl>
  </w:abstractNum>
  <w:abstractNum w:abstractNumId="6" w15:restartNumberingAfterBreak="0">
    <w:nsid w:val="05F257E3"/>
    <w:multiLevelType w:val="hybridMultilevel"/>
    <w:tmpl w:val="B9126D0C"/>
    <w:lvl w:ilvl="0" w:tplc="DF380C78">
      <w:start w:val="1"/>
      <w:numFmt w:val="decimal"/>
      <w:lvlText w:val="%1."/>
      <w:lvlJc w:val="left"/>
      <w:pPr>
        <w:ind w:left="828" w:hanging="360"/>
      </w:pPr>
      <w:rPr>
        <w:rFonts w:hint="default"/>
        <w:spacing w:val="-1"/>
        <w:w w:val="100"/>
        <w:lang w:val="es-ES" w:eastAsia="en-US" w:bidi="ar-SA"/>
      </w:rPr>
    </w:lvl>
    <w:lvl w:ilvl="1" w:tplc="9222CCFC">
      <w:numFmt w:val="bullet"/>
      <w:lvlText w:val="•"/>
      <w:lvlJc w:val="left"/>
      <w:pPr>
        <w:ind w:left="1124" w:hanging="360"/>
      </w:pPr>
      <w:rPr>
        <w:rFonts w:hint="default"/>
        <w:lang w:val="es-ES" w:eastAsia="en-US" w:bidi="ar-SA"/>
      </w:rPr>
    </w:lvl>
    <w:lvl w:ilvl="2" w:tplc="926261AE">
      <w:numFmt w:val="bullet"/>
      <w:lvlText w:val="•"/>
      <w:lvlJc w:val="left"/>
      <w:pPr>
        <w:ind w:left="1428" w:hanging="360"/>
      </w:pPr>
      <w:rPr>
        <w:rFonts w:hint="default"/>
        <w:lang w:val="es-ES" w:eastAsia="en-US" w:bidi="ar-SA"/>
      </w:rPr>
    </w:lvl>
    <w:lvl w:ilvl="3" w:tplc="B11640A0">
      <w:numFmt w:val="bullet"/>
      <w:lvlText w:val="•"/>
      <w:lvlJc w:val="left"/>
      <w:pPr>
        <w:ind w:left="1732" w:hanging="360"/>
      </w:pPr>
      <w:rPr>
        <w:rFonts w:hint="default"/>
        <w:lang w:val="es-ES" w:eastAsia="en-US" w:bidi="ar-SA"/>
      </w:rPr>
    </w:lvl>
    <w:lvl w:ilvl="4" w:tplc="A892835C">
      <w:numFmt w:val="bullet"/>
      <w:lvlText w:val="•"/>
      <w:lvlJc w:val="left"/>
      <w:pPr>
        <w:ind w:left="2036" w:hanging="360"/>
      </w:pPr>
      <w:rPr>
        <w:rFonts w:hint="default"/>
        <w:lang w:val="es-ES" w:eastAsia="en-US" w:bidi="ar-SA"/>
      </w:rPr>
    </w:lvl>
    <w:lvl w:ilvl="5" w:tplc="CE88C67E">
      <w:numFmt w:val="bullet"/>
      <w:lvlText w:val="•"/>
      <w:lvlJc w:val="left"/>
      <w:pPr>
        <w:ind w:left="2340" w:hanging="360"/>
      </w:pPr>
      <w:rPr>
        <w:rFonts w:hint="default"/>
        <w:lang w:val="es-ES" w:eastAsia="en-US" w:bidi="ar-SA"/>
      </w:rPr>
    </w:lvl>
    <w:lvl w:ilvl="6" w:tplc="4ECE921A">
      <w:numFmt w:val="bullet"/>
      <w:lvlText w:val="•"/>
      <w:lvlJc w:val="left"/>
      <w:pPr>
        <w:ind w:left="2644" w:hanging="360"/>
      </w:pPr>
      <w:rPr>
        <w:rFonts w:hint="default"/>
        <w:lang w:val="es-ES" w:eastAsia="en-US" w:bidi="ar-SA"/>
      </w:rPr>
    </w:lvl>
    <w:lvl w:ilvl="7" w:tplc="8A766AF0">
      <w:numFmt w:val="bullet"/>
      <w:lvlText w:val="•"/>
      <w:lvlJc w:val="left"/>
      <w:pPr>
        <w:ind w:left="2948" w:hanging="360"/>
      </w:pPr>
      <w:rPr>
        <w:rFonts w:hint="default"/>
        <w:lang w:val="es-ES" w:eastAsia="en-US" w:bidi="ar-SA"/>
      </w:rPr>
    </w:lvl>
    <w:lvl w:ilvl="8" w:tplc="0A001A2A">
      <w:numFmt w:val="bullet"/>
      <w:lvlText w:val="•"/>
      <w:lvlJc w:val="left"/>
      <w:pPr>
        <w:ind w:left="3252" w:hanging="360"/>
      </w:pPr>
      <w:rPr>
        <w:rFonts w:hint="default"/>
        <w:lang w:val="es-ES" w:eastAsia="en-US" w:bidi="ar-SA"/>
      </w:rPr>
    </w:lvl>
  </w:abstractNum>
  <w:abstractNum w:abstractNumId="7" w15:restartNumberingAfterBreak="0">
    <w:nsid w:val="0A86705F"/>
    <w:multiLevelType w:val="hybridMultilevel"/>
    <w:tmpl w:val="9BF487DC"/>
    <w:lvl w:ilvl="0" w:tplc="694A91B4">
      <w:start w:val="1"/>
      <w:numFmt w:val="decimal"/>
      <w:lvlText w:val="%1."/>
      <w:lvlJc w:val="left"/>
      <w:pPr>
        <w:ind w:left="828" w:hanging="360"/>
      </w:pPr>
      <w:rPr>
        <w:rFonts w:ascii="Verdana" w:eastAsia="Verdana" w:hAnsi="Verdana" w:cs="Verdana" w:hint="default"/>
        <w:b/>
        <w:bCs/>
        <w:i w:val="0"/>
        <w:iCs w:val="0"/>
        <w:spacing w:val="-1"/>
        <w:w w:val="100"/>
        <w:sz w:val="18"/>
        <w:szCs w:val="18"/>
        <w:lang w:val="es-ES" w:eastAsia="en-US" w:bidi="ar-SA"/>
      </w:rPr>
    </w:lvl>
    <w:lvl w:ilvl="1" w:tplc="1BCCDC14">
      <w:numFmt w:val="bullet"/>
      <w:lvlText w:val="•"/>
      <w:lvlJc w:val="left"/>
      <w:pPr>
        <w:ind w:left="1124" w:hanging="360"/>
      </w:pPr>
      <w:rPr>
        <w:rFonts w:hint="default"/>
        <w:lang w:val="es-ES" w:eastAsia="en-US" w:bidi="ar-SA"/>
      </w:rPr>
    </w:lvl>
    <w:lvl w:ilvl="2" w:tplc="7D50E0E0">
      <w:numFmt w:val="bullet"/>
      <w:lvlText w:val="•"/>
      <w:lvlJc w:val="left"/>
      <w:pPr>
        <w:ind w:left="1428" w:hanging="360"/>
      </w:pPr>
      <w:rPr>
        <w:rFonts w:hint="default"/>
        <w:lang w:val="es-ES" w:eastAsia="en-US" w:bidi="ar-SA"/>
      </w:rPr>
    </w:lvl>
    <w:lvl w:ilvl="3" w:tplc="97008246">
      <w:numFmt w:val="bullet"/>
      <w:lvlText w:val="•"/>
      <w:lvlJc w:val="left"/>
      <w:pPr>
        <w:ind w:left="1732" w:hanging="360"/>
      </w:pPr>
      <w:rPr>
        <w:rFonts w:hint="default"/>
        <w:lang w:val="es-ES" w:eastAsia="en-US" w:bidi="ar-SA"/>
      </w:rPr>
    </w:lvl>
    <w:lvl w:ilvl="4" w:tplc="1C486918">
      <w:numFmt w:val="bullet"/>
      <w:lvlText w:val="•"/>
      <w:lvlJc w:val="left"/>
      <w:pPr>
        <w:ind w:left="2036" w:hanging="360"/>
      </w:pPr>
      <w:rPr>
        <w:rFonts w:hint="default"/>
        <w:lang w:val="es-ES" w:eastAsia="en-US" w:bidi="ar-SA"/>
      </w:rPr>
    </w:lvl>
    <w:lvl w:ilvl="5" w:tplc="1B34DB9A">
      <w:numFmt w:val="bullet"/>
      <w:lvlText w:val="•"/>
      <w:lvlJc w:val="left"/>
      <w:pPr>
        <w:ind w:left="2340" w:hanging="360"/>
      </w:pPr>
      <w:rPr>
        <w:rFonts w:hint="default"/>
        <w:lang w:val="es-ES" w:eastAsia="en-US" w:bidi="ar-SA"/>
      </w:rPr>
    </w:lvl>
    <w:lvl w:ilvl="6" w:tplc="248EBE94">
      <w:numFmt w:val="bullet"/>
      <w:lvlText w:val="•"/>
      <w:lvlJc w:val="left"/>
      <w:pPr>
        <w:ind w:left="2644" w:hanging="360"/>
      </w:pPr>
      <w:rPr>
        <w:rFonts w:hint="default"/>
        <w:lang w:val="es-ES" w:eastAsia="en-US" w:bidi="ar-SA"/>
      </w:rPr>
    </w:lvl>
    <w:lvl w:ilvl="7" w:tplc="B556419A">
      <w:numFmt w:val="bullet"/>
      <w:lvlText w:val="•"/>
      <w:lvlJc w:val="left"/>
      <w:pPr>
        <w:ind w:left="2948" w:hanging="360"/>
      </w:pPr>
      <w:rPr>
        <w:rFonts w:hint="default"/>
        <w:lang w:val="es-ES" w:eastAsia="en-US" w:bidi="ar-SA"/>
      </w:rPr>
    </w:lvl>
    <w:lvl w:ilvl="8" w:tplc="24703948">
      <w:numFmt w:val="bullet"/>
      <w:lvlText w:val="•"/>
      <w:lvlJc w:val="left"/>
      <w:pPr>
        <w:ind w:left="3252" w:hanging="360"/>
      </w:pPr>
      <w:rPr>
        <w:rFonts w:hint="default"/>
        <w:lang w:val="es-ES" w:eastAsia="en-US" w:bidi="ar-SA"/>
      </w:rPr>
    </w:lvl>
  </w:abstractNum>
  <w:abstractNum w:abstractNumId="8" w15:restartNumberingAfterBreak="0">
    <w:nsid w:val="0BC7093A"/>
    <w:multiLevelType w:val="multilevel"/>
    <w:tmpl w:val="5688130C"/>
    <w:lvl w:ilvl="0">
      <w:start w:val="1"/>
      <w:numFmt w:val="decimal"/>
      <w:lvlText w:val="%1."/>
      <w:lvlJc w:val="left"/>
      <w:pPr>
        <w:ind w:left="417" w:hanging="360"/>
      </w:pPr>
      <w:rPr>
        <w:rFonts w:ascii="Verdana" w:eastAsia="Verdana" w:hAnsi="Verdana" w:cs="Verdana" w:hint="default"/>
        <w:b/>
        <w:bCs/>
        <w:i w:val="0"/>
        <w:iCs w:val="0"/>
        <w:spacing w:val="-1"/>
        <w:w w:val="99"/>
        <w:sz w:val="20"/>
        <w:szCs w:val="20"/>
        <w:lang w:val="es-ES" w:eastAsia="en-US" w:bidi="ar-SA"/>
      </w:rPr>
    </w:lvl>
    <w:lvl w:ilvl="1">
      <w:start w:val="1"/>
      <w:numFmt w:val="decimal"/>
      <w:lvlText w:val="%1.%2."/>
      <w:lvlJc w:val="left"/>
      <w:pPr>
        <w:ind w:left="983" w:hanging="720"/>
      </w:pPr>
      <w:rPr>
        <w:rFonts w:ascii="Verdana" w:eastAsia="Verdana" w:hAnsi="Verdana" w:cs="Verdana" w:hint="default"/>
        <w:b/>
        <w:bCs/>
        <w:i w:val="0"/>
        <w:iCs w:val="0"/>
        <w:spacing w:val="-1"/>
        <w:w w:val="99"/>
        <w:sz w:val="20"/>
        <w:szCs w:val="20"/>
        <w:lang w:val="es-ES" w:eastAsia="en-US" w:bidi="ar-SA"/>
      </w:rPr>
    </w:lvl>
    <w:lvl w:ilvl="2">
      <w:numFmt w:val="bullet"/>
      <w:lvlText w:val="•"/>
      <w:lvlJc w:val="left"/>
      <w:pPr>
        <w:ind w:left="1393" w:hanging="720"/>
      </w:pPr>
      <w:rPr>
        <w:rFonts w:hint="default"/>
        <w:lang w:val="es-ES" w:eastAsia="en-US" w:bidi="ar-SA"/>
      </w:rPr>
    </w:lvl>
    <w:lvl w:ilvl="3">
      <w:numFmt w:val="bullet"/>
      <w:lvlText w:val="•"/>
      <w:lvlJc w:val="left"/>
      <w:pPr>
        <w:ind w:left="1807" w:hanging="720"/>
      </w:pPr>
      <w:rPr>
        <w:rFonts w:hint="default"/>
        <w:lang w:val="es-ES" w:eastAsia="en-US" w:bidi="ar-SA"/>
      </w:rPr>
    </w:lvl>
    <w:lvl w:ilvl="4">
      <w:numFmt w:val="bullet"/>
      <w:lvlText w:val="•"/>
      <w:lvlJc w:val="left"/>
      <w:pPr>
        <w:ind w:left="2221" w:hanging="720"/>
      </w:pPr>
      <w:rPr>
        <w:rFonts w:hint="default"/>
        <w:lang w:val="es-ES" w:eastAsia="en-US" w:bidi="ar-SA"/>
      </w:rPr>
    </w:lvl>
    <w:lvl w:ilvl="5">
      <w:numFmt w:val="bullet"/>
      <w:lvlText w:val="•"/>
      <w:lvlJc w:val="left"/>
      <w:pPr>
        <w:ind w:left="2634" w:hanging="720"/>
      </w:pPr>
      <w:rPr>
        <w:rFonts w:hint="default"/>
        <w:lang w:val="es-ES" w:eastAsia="en-US" w:bidi="ar-SA"/>
      </w:rPr>
    </w:lvl>
    <w:lvl w:ilvl="6">
      <w:numFmt w:val="bullet"/>
      <w:lvlText w:val="•"/>
      <w:lvlJc w:val="left"/>
      <w:pPr>
        <w:ind w:left="3048" w:hanging="720"/>
      </w:pPr>
      <w:rPr>
        <w:rFonts w:hint="default"/>
        <w:lang w:val="es-ES" w:eastAsia="en-US" w:bidi="ar-SA"/>
      </w:rPr>
    </w:lvl>
    <w:lvl w:ilvl="7">
      <w:numFmt w:val="bullet"/>
      <w:lvlText w:val="•"/>
      <w:lvlJc w:val="left"/>
      <w:pPr>
        <w:ind w:left="3462" w:hanging="720"/>
      </w:pPr>
      <w:rPr>
        <w:rFonts w:hint="default"/>
        <w:lang w:val="es-ES" w:eastAsia="en-US" w:bidi="ar-SA"/>
      </w:rPr>
    </w:lvl>
    <w:lvl w:ilvl="8">
      <w:numFmt w:val="bullet"/>
      <w:lvlText w:val="•"/>
      <w:lvlJc w:val="left"/>
      <w:pPr>
        <w:ind w:left="3875" w:hanging="720"/>
      </w:pPr>
      <w:rPr>
        <w:rFonts w:hint="default"/>
        <w:lang w:val="es-ES" w:eastAsia="en-US" w:bidi="ar-SA"/>
      </w:rPr>
    </w:lvl>
  </w:abstractNum>
  <w:abstractNum w:abstractNumId="9" w15:restartNumberingAfterBreak="0">
    <w:nsid w:val="0E981261"/>
    <w:multiLevelType w:val="hybridMultilevel"/>
    <w:tmpl w:val="87D20CCE"/>
    <w:lvl w:ilvl="0" w:tplc="BBE8474E">
      <w:numFmt w:val="bullet"/>
      <w:lvlText w:val=""/>
      <w:lvlJc w:val="left"/>
      <w:pPr>
        <w:ind w:left="398" w:hanging="361"/>
      </w:pPr>
      <w:rPr>
        <w:rFonts w:ascii="Symbol" w:eastAsia="Symbol" w:hAnsi="Symbol" w:cs="Symbol" w:hint="default"/>
        <w:b w:val="0"/>
        <w:bCs w:val="0"/>
        <w:i w:val="0"/>
        <w:iCs w:val="0"/>
        <w:spacing w:val="0"/>
        <w:w w:val="100"/>
        <w:sz w:val="18"/>
        <w:szCs w:val="18"/>
        <w:lang w:val="es-ES" w:eastAsia="en-US" w:bidi="ar-SA"/>
      </w:rPr>
    </w:lvl>
    <w:lvl w:ilvl="1" w:tplc="0F5692DA">
      <w:numFmt w:val="bullet"/>
      <w:lvlText w:val="•"/>
      <w:lvlJc w:val="left"/>
      <w:pPr>
        <w:ind w:left="710" w:hanging="361"/>
      </w:pPr>
      <w:rPr>
        <w:rFonts w:hint="default"/>
        <w:lang w:val="es-ES" w:eastAsia="en-US" w:bidi="ar-SA"/>
      </w:rPr>
    </w:lvl>
    <w:lvl w:ilvl="2" w:tplc="2CCAA83A">
      <w:numFmt w:val="bullet"/>
      <w:lvlText w:val="•"/>
      <w:lvlJc w:val="left"/>
      <w:pPr>
        <w:ind w:left="1020" w:hanging="361"/>
      </w:pPr>
      <w:rPr>
        <w:rFonts w:hint="default"/>
        <w:lang w:val="es-ES" w:eastAsia="en-US" w:bidi="ar-SA"/>
      </w:rPr>
    </w:lvl>
    <w:lvl w:ilvl="3" w:tplc="587863F2">
      <w:numFmt w:val="bullet"/>
      <w:lvlText w:val="•"/>
      <w:lvlJc w:val="left"/>
      <w:pPr>
        <w:ind w:left="1331" w:hanging="361"/>
      </w:pPr>
      <w:rPr>
        <w:rFonts w:hint="default"/>
        <w:lang w:val="es-ES" w:eastAsia="en-US" w:bidi="ar-SA"/>
      </w:rPr>
    </w:lvl>
    <w:lvl w:ilvl="4" w:tplc="BADAF43A">
      <w:numFmt w:val="bullet"/>
      <w:lvlText w:val="•"/>
      <w:lvlJc w:val="left"/>
      <w:pPr>
        <w:ind w:left="1641" w:hanging="361"/>
      </w:pPr>
      <w:rPr>
        <w:rFonts w:hint="default"/>
        <w:lang w:val="es-ES" w:eastAsia="en-US" w:bidi="ar-SA"/>
      </w:rPr>
    </w:lvl>
    <w:lvl w:ilvl="5" w:tplc="0E088440">
      <w:numFmt w:val="bullet"/>
      <w:lvlText w:val="•"/>
      <w:lvlJc w:val="left"/>
      <w:pPr>
        <w:ind w:left="1952" w:hanging="361"/>
      </w:pPr>
      <w:rPr>
        <w:rFonts w:hint="default"/>
        <w:lang w:val="es-ES" w:eastAsia="en-US" w:bidi="ar-SA"/>
      </w:rPr>
    </w:lvl>
    <w:lvl w:ilvl="6" w:tplc="1D54745E">
      <w:numFmt w:val="bullet"/>
      <w:lvlText w:val="•"/>
      <w:lvlJc w:val="left"/>
      <w:pPr>
        <w:ind w:left="2262" w:hanging="361"/>
      </w:pPr>
      <w:rPr>
        <w:rFonts w:hint="default"/>
        <w:lang w:val="es-ES" w:eastAsia="en-US" w:bidi="ar-SA"/>
      </w:rPr>
    </w:lvl>
    <w:lvl w:ilvl="7" w:tplc="DBE45D28">
      <w:numFmt w:val="bullet"/>
      <w:lvlText w:val="•"/>
      <w:lvlJc w:val="left"/>
      <w:pPr>
        <w:ind w:left="2572" w:hanging="361"/>
      </w:pPr>
      <w:rPr>
        <w:rFonts w:hint="default"/>
        <w:lang w:val="es-ES" w:eastAsia="en-US" w:bidi="ar-SA"/>
      </w:rPr>
    </w:lvl>
    <w:lvl w:ilvl="8" w:tplc="387EA1A0">
      <w:numFmt w:val="bullet"/>
      <w:lvlText w:val="•"/>
      <w:lvlJc w:val="left"/>
      <w:pPr>
        <w:ind w:left="2883" w:hanging="361"/>
      </w:pPr>
      <w:rPr>
        <w:rFonts w:hint="default"/>
        <w:lang w:val="es-ES" w:eastAsia="en-US" w:bidi="ar-SA"/>
      </w:rPr>
    </w:lvl>
  </w:abstractNum>
  <w:abstractNum w:abstractNumId="10" w15:restartNumberingAfterBreak="0">
    <w:nsid w:val="1269779C"/>
    <w:multiLevelType w:val="multilevel"/>
    <w:tmpl w:val="E58E107C"/>
    <w:lvl w:ilvl="0">
      <w:start w:val="2"/>
      <w:numFmt w:val="decimal"/>
      <w:lvlText w:val="%1."/>
      <w:lvlJc w:val="left"/>
      <w:pPr>
        <w:ind w:left="417" w:hanging="360"/>
      </w:pPr>
      <w:rPr>
        <w:rFonts w:ascii="Verdana" w:eastAsia="Verdana" w:hAnsi="Verdana" w:cs="Verdana" w:hint="default"/>
        <w:b/>
        <w:bCs/>
        <w:i w:val="0"/>
        <w:iCs w:val="0"/>
        <w:spacing w:val="-1"/>
        <w:w w:val="99"/>
        <w:sz w:val="20"/>
        <w:szCs w:val="20"/>
        <w:lang w:val="es-ES" w:eastAsia="en-US" w:bidi="ar-SA"/>
      </w:rPr>
    </w:lvl>
    <w:lvl w:ilvl="1">
      <w:start w:val="1"/>
      <w:numFmt w:val="decimal"/>
      <w:lvlText w:val="%1.%2."/>
      <w:lvlJc w:val="left"/>
      <w:pPr>
        <w:ind w:left="911" w:hanging="495"/>
      </w:pPr>
      <w:rPr>
        <w:rFonts w:ascii="Verdana" w:eastAsia="Verdana" w:hAnsi="Verdana" w:cs="Verdana" w:hint="default"/>
        <w:b/>
        <w:bCs/>
        <w:i w:val="0"/>
        <w:iCs w:val="0"/>
        <w:spacing w:val="-1"/>
        <w:w w:val="94"/>
        <w:sz w:val="20"/>
        <w:szCs w:val="20"/>
        <w:u w:val="single" w:color="000000"/>
        <w:lang w:val="es-ES" w:eastAsia="en-US" w:bidi="ar-SA"/>
      </w:rPr>
    </w:lvl>
    <w:lvl w:ilvl="2">
      <w:numFmt w:val="bullet"/>
      <w:lvlText w:val="•"/>
      <w:lvlJc w:val="left"/>
      <w:pPr>
        <w:ind w:left="1340" w:hanging="495"/>
      </w:pPr>
      <w:rPr>
        <w:rFonts w:hint="default"/>
        <w:lang w:val="es-ES" w:eastAsia="en-US" w:bidi="ar-SA"/>
      </w:rPr>
    </w:lvl>
    <w:lvl w:ilvl="3">
      <w:numFmt w:val="bullet"/>
      <w:lvlText w:val="•"/>
      <w:lvlJc w:val="left"/>
      <w:pPr>
        <w:ind w:left="1760" w:hanging="495"/>
      </w:pPr>
      <w:rPr>
        <w:rFonts w:hint="default"/>
        <w:lang w:val="es-ES" w:eastAsia="en-US" w:bidi="ar-SA"/>
      </w:rPr>
    </w:lvl>
    <w:lvl w:ilvl="4">
      <w:numFmt w:val="bullet"/>
      <w:lvlText w:val="•"/>
      <w:lvlJc w:val="left"/>
      <w:pPr>
        <w:ind w:left="2181" w:hanging="495"/>
      </w:pPr>
      <w:rPr>
        <w:rFonts w:hint="default"/>
        <w:lang w:val="es-ES" w:eastAsia="en-US" w:bidi="ar-SA"/>
      </w:rPr>
    </w:lvl>
    <w:lvl w:ilvl="5">
      <w:numFmt w:val="bullet"/>
      <w:lvlText w:val="•"/>
      <w:lvlJc w:val="left"/>
      <w:pPr>
        <w:ind w:left="2601" w:hanging="495"/>
      </w:pPr>
      <w:rPr>
        <w:rFonts w:hint="default"/>
        <w:lang w:val="es-ES" w:eastAsia="en-US" w:bidi="ar-SA"/>
      </w:rPr>
    </w:lvl>
    <w:lvl w:ilvl="6">
      <w:numFmt w:val="bullet"/>
      <w:lvlText w:val="•"/>
      <w:lvlJc w:val="left"/>
      <w:pPr>
        <w:ind w:left="3021" w:hanging="495"/>
      </w:pPr>
      <w:rPr>
        <w:rFonts w:hint="default"/>
        <w:lang w:val="es-ES" w:eastAsia="en-US" w:bidi="ar-SA"/>
      </w:rPr>
    </w:lvl>
    <w:lvl w:ilvl="7">
      <w:numFmt w:val="bullet"/>
      <w:lvlText w:val="•"/>
      <w:lvlJc w:val="left"/>
      <w:pPr>
        <w:ind w:left="3442" w:hanging="495"/>
      </w:pPr>
      <w:rPr>
        <w:rFonts w:hint="default"/>
        <w:lang w:val="es-ES" w:eastAsia="en-US" w:bidi="ar-SA"/>
      </w:rPr>
    </w:lvl>
    <w:lvl w:ilvl="8">
      <w:numFmt w:val="bullet"/>
      <w:lvlText w:val="•"/>
      <w:lvlJc w:val="left"/>
      <w:pPr>
        <w:ind w:left="3862" w:hanging="495"/>
      </w:pPr>
      <w:rPr>
        <w:rFonts w:hint="default"/>
        <w:lang w:val="es-ES" w:eastAsia="en-US" w:bidi="ar-SA"/>
      </w:rPr>
    </w:lvl>
  </w:abstractNum>
  <w:abstractNum w:abstractNumId="11" w15:restartNumberingAfterBreak="0">
    <w:nsid w:val="13746F52"/>
    <w:multiLevelType w:val="hybridMultilevel"/>
    <w:tmpl w:val="BBC2ADC6"/>
    <w:lvl w:ilvl="0" w:tplc="FB404F96">
      <w:start w:val="6"/>
      <w:numFmt w:val="decimal"/>
      <w:lvlText w:val="%1."/>
      <w:lvlJc w:val="left"/>
      <w:pPr>
        <w:ind w:left="379" w:hanging="272"/>
      </w:pPr>
      <w:rPr>
        <w:rFonts w:ascii="Verdana" w:eastAsia="Verdana" w:hAnsi="Verdana" w:cs="Verdana" w:hint="default"/>
        <w:b w:val="0"/>
        <w:bCs w:val="0"/>
        <w:i w:val="0"/>
        <w:iCs w:val="0"/>
        <w:color w:val="333333"/>
        <w:spacing w:val="0"/>
        <w:w w:val="99"/>
        <w:sz w:val="20"/>
        <w:szCs w:val="20"/>
        <w:lang w:val="es-ES" w:eastAsia="en-US" w:bidi="ar-SA"/>
      </w:rPr>
    </w:lvl>
    <w:lvl w:ilvl="1" w:tplc="BE6A7062">
      <w:numFmt w:val="bullet"/>
      <w:lvlText w:val="•"/>
      <w:lvlJc w:val="left"/>
      <w:pPr>
        <w:ind w:left="811" w:hanging="272"/>
      </w:pPr>
      <w:rPr>
        <w:rFonts w:hint="default"/>
        <w:lang w:val="es-ES" w:eastAsia="en-US" w:bidi="ar-SA"/>
      </w:rPr>
    </w:lvl>
    <w:lvl w:ilvl="2" w:tplc="D5328D70">
      <w:numFmt w:val="bullet"/>
      <w:lvlText w:val="•"/>
      <w:lvlJc w:val="left"/>
      <w:pPr>
        <w:ind w:left="1242" w:hanging="272"/>
      </w:pPr>
      <w:rPr>
        <w:rFonts w:hint="default"/>
        <w:lang w:val="es-ES" w:eastAsia="en-US" w:bidi="ar-SA"/>
      </w:rPr>
    </w:lvl>
    <w:lvl w:ilvl="3" w:tplc="97565A42">
      <w:numFmt w:val="bullet"/>
      <w:lvlText w:val="•"/>
      <w:lvlJc w:val="left"/>
      <w:pPr>
        <w:ind w:left="1673" w:hanging="272"/>
      </w:pPr>
      <w:rPr>
        <w:rFonts w:hint="default"/>
        <w:lang w:val="es-ES" w:eastAsia="en-US" w:bidi="ar-SA"/>
      </w:rPr>
    </w:lvl>
    <w:lvl w:ilvl="4" w:tplc="FDBE1F46">
      <w:numFmt w:val="bullet"/>
      <w:lvlText w:val="•"/>
      <w:lvlJc w:val="left"/>
      <w:pPr>
        <w:ind w:left="2104" w:hanging="272"/>
      </w:pPr>
      <w:rPr>
        <w:rFonts w:hint="default"/>
        <w:lang w:val="es-ES" w:eastAsia="en-US" w:bidi="ar-SA"/>
      </w:rPr>
    </w:lvl>
    <w:lvl w:ilvl="5" w:tplc="16C854A4">
      <w:numFmt w:val="bullet"/>
      <w:lvlText w:val="•"/>
      <w:lvlJc w:val="left"/>
      <w:pPr>
        <w:ind w:left="2536" w:hanging="272"/>
      </w:pPr>
      <w:rPr>
        <w:rFonts w:hint="default"/>
        <w:lang w:val="es-ES" w:eastAsia="en-US" w:bidi="ar-SA"/>
      </w:rPr>
    </w:lvl>
    <w:lvl w:ilvl="6" w:tplc="B1F0DC34">
      <w:numFmt w:val="bullet"/>
      <w:lvlText w:val="•"/>
      <w:lvlJc w:val="left"/>
      <w:pPr>
        <w:ind w:left="2967" w:hanging="272"/>
      </w:pPr>
      <w:rPr>
        <w:rFonts w:hint="default"/>
        <w:lang w:val="es-ES" w:eastAsia="en-US" w:bidi="ar-SA"/>
      </w:rPr>
    </w:lvl>
    <w:lvl w:ilvl="7" w:tplc="36D046D8">
      <w:numFmt w:val="bullet"/>
      <w:lvlText w:val="•"/>
      <w:lvlJc w:val="left"/>
      <w:pPr>
        <w:ind w:left="3398" w:hanging="272"/>
      </w:pPr>
      <w:rPr>
        <w:rFonts w:hint="default"/>
        <w:lang w:val="es-ES" w:eastAsia="en-US" w:bidi="ar-SA"/>
      </w:rPr>
    </w:lvl>
    <w:lvl w:ilvl="8" w:tplc="5596C772">
      <w:numFmt w:val="bullet"/>
      <w:lvlText w:val="•"/>
      <w:lvlJc w:val="left"/>
      <w:pPr>
        <w:ind w:left="3829" w:hanging="272"/>
      </w:pPr>
      <w:rPr>
        <w:rFonts w:hint="default"/>
        <w:lang w:val="es-ES" w:eastAsia="en-US" w:bidi="ar-SA"/>
      </w:rPr>
    </w:lvl>
  </w:abstractNum>
  <w:abstractNum w:abstractNumId="12" w15:restartNumberingAfterBreak="0">
    <w:nsid w:val="14455FD2"/>
    <w:multiLevelType w:val="hybridMultilevel"/>
    <w:tmpl w:val="76565F48"/>
    <w:lvl w:ilvl="0" w:tplc="C3C28A9A">
      <w:start w:val="6"/>
      <w:numFmt w:val="decimal"/>
      <w:lvlText w:val="%1."/>
      <w:lvlJc w:val="left"/>
      <w:pPr>
        <w:ind w:left="379" w:hanging="272"/>
      </w:pPr>
      <w:rPr>
        <w:rFonts w:ascii="Verdana" w:eastAsia="Verdana" w:hAnsi="Verdana" w:cs="Verdana" w:hint="default"/>
        <w:b w:val="0"/>
        <w:bCs w:val="0"/>
        <w:i w:val="0"/>
        <w:iCs w:val="0"/>
        <w:color w:val="333333"/>
        <w:spacing w:val="0"/>
        <w:w w:val="99"/>
        <w:sz w:val="20"/>
        <w:szCs w:val="20"/>
        <w:lang w:val="es-ES" w:eastAsia="en-US" w:bidi="ar-SA"/>
      </w:rPr>
    </w:lvl>
    <w:lvl w:ilvl="1" w:tplc="D68429FA">
      <w:numFmt w:val="bullet"/>
      <w:lvlText w:val="•"/>
      <w:lvlJc w:val="left"/>
      <w:pPr>
        <w:ind w:left="812" w:hanging="272"/>
      </w:pPr>
      <w:rPr>
        <w:rFonts w:hint="default"/>
        <w:lang w:val="es-ES" w:eastAsia="en-US" w:bidi="ar-SA"/>
      </w:rPr>
    </w:lvl>
    <w:lvl w:ilvl="2" w:tplc="E09EB3C2">
      <w:numFmt w:val="bullet"/>
      <w:lvlText w:val="•"/>
      <w:lvlJc w:val="left"/>
      <w:pPr>
        <w:ind w:left="1244" w:hanging="272"/>
      </w:pPr>
      <w:rPr>
        <w:rFonts w:hint="default"/>
        <w:lang w:val="es-ES" w:eastAsia="en-US" w:bidi="ar-SA"/>
      </w:rPr>
    </w:lvl>
    <w:lvl w:ilvl="3" w:tplc="CD221ADE">
      <w:numFmt w:val="bullet"/>
      <w:lvlText w:val="•"/>
      <w:lvlJc w:val="left"/>
      <w:pPr>
        <w:ind w:left="1676" w:hanging="272"/>
      </w:pPr>
      <w:rPr>
        <w:rFonts w:hint="default"/>
        <w:lang w:val="es-ES" w:eastAsia="en-US" w:bidi="ar-SA"/>
      </w:rPr>
    </w:lvl>
    <w:lvl w:ilvl="4" w:tplc="0122C48E">
      <w:numFmt w:val="bullet"/>
      <w:lvlText w:val="•"/>
      <w:lvlJc w:val="left"/>
      <w:pPr>
        <w:ind w:left="2109" w:hanging="272"/>
      </w:pPr>
      <w:rPr>
        <w:rFonts w:hint="default"/>
        <w:lang w:val="es-ES" w:eastAsia="en-US" w:bidi="ar-SA"/>
      </w:rPr>
    </w:lvl>
    <w:lvl w:ilvl="5" w:tplc="324A9B30">
      <w:numFmt w:val="bullet"/>
      <w:lvlText w:val="•"/>
      <w:lvlJc w:val="left"/>
      <w:pPr>
        <w:ind w:left="2541" w:hanging="272"/>
      </w:pPr>
      <w:rPr>
        <w:rFonts w:hint="default"/>
        <w:lang w:val="es-ES" w:eastAsia="en-US" w:bidi="ar-SA"/>
      </w:rPr>
    </w:lvl>
    <w:lvl w:ilvl="6" w:tplc="EEDE43DC">
      <w:numFmt w:val="bullet"/>
      <w:lvlText w:val="•"/>
      <w:lvlJc w:val="left"/>
      <w:pPr>
        <w:ind w:left="2973" w:hanging="272"/>
      </w:pPr>
      <w:rPr>
        <w:rFonts w:hint="default"/>
        <w:lang w:val="es-ES" w:eastAsia="en-US" w:bidi="ar-SA"/>
      </w:rPr>
    </w:lvl>
    <w:lvl w:ilvl="7" w:tplc="CD48F3F4">
      <w:numFmt w:val="bullet"/>
      <w:lvlText w:val="•"/>
      <w:lvlJc w:val="left"/>
      <w:pPr>
        <w:ind w:left="3406" w:hanging="272"/>
      </w:pPr>
      <w:rPr>
        <w:rFonts w:hint="default"/>
        <w:lang w:val="es-ES" w:eastAsia="en-US" w:bidi="ar-SA"/>
      </w:rPr>
    </w:lvl>
    <w:lvl w:ilvl="8" w:tplc="76FE8CFE">
      <w:numFmt w:val="bullet"/>
      <w:lvlText w:val="•"/>
      <w:lvlJc w:val="left"/>
      <w:pPr>
        <w:ind w:left="3838" w:hanging="272"/>
      </w:pPr>
      <w:rPr>
        <w:rFonts w:hint="default"/>
        <w:lang w:val="es-ES" w:eastAsia="en-US" w:bidi="ar-SA"/>
      </w:rPr>
    </w:lvl>
  </w:abstractNum>
  <w:abstractNum w:abstractNumId="13" w15:restartNumberingAfterBreak="0">
    <w:nsid w:val="147A4571"/>
    <w:multiLevelType w:val="hybridMultilevel"/>
    <w:tmpl w:val="6778F644"/>
    <w:lvl w:ilvl="0" w:tplc="0F5467E6">
      <w:start w:val="1"/>
      <w:numFmt w:val="lowerRoman"/>
      <w:lvlText w:val="(%1)"/>
      <w:lvlJc w:val="left"/>
      <w:pPr>
        <w:ind w:left="1800" w:hanging="720"/>
      </w:pPr>
      <w:rPr>
        <w:rFonts w:ascii="Verdana" w:eastAsia="Verdana" w:hAnsi="Verdana" w:cs="Verdana" w:hint="default"/>
        <w:b w:val="0"/>
        <w:bCs w:val="0"/>
        <w:i w:val="0"/>
        <w:iCs w:val="0"/>
        <w:spacing w:val="-1"/>
        <w:w w:val="100"/>
        <w:sz w:val="24"/>
        <w:szCs w:val="24"/>
        <w:lang w:val="es-ES" w:eastAsia="en-US" w:bidi="ar-SA"/>
      </w:rPr>
    </w:lvl>
    <w:lvl w:ilvl="1" w:tplc="4D680D54">
      <w:numFmt w:val="bullet"/>
      <w:lvlText w:val="•"/>
      <w:lvlJc w:val="left"/>
      <w:pPr>
        <w:ind w:left="2666" w:hanging="720"/>
      </w:pPr>
      <w:rPr>
        <w:rFonts w:hint="default"/>
        <w:lang w:val="es-ES" w:eastAsia="en-US" w:bidi="ar-SA"/>
      </w:rPr>
    </w:lvl>
    <w:lvl w:ilvl="2" w:tplc="A732BB8A">
      <w:numFmt w:val="bullet"/>
      <w:lvlText w:val="•"/>
      <w:lvlJc w:val="left"/>
      <w:pPr>
        <w:ind w:left="3533" w:hanging="720"/>
      </w:pPr>
      <w:rPr>
        <w:rFonts w:hint="default"/>
        <w:lang w:val="es-ES" w:eastAsia="en-US" w:bidi="ar-SA"/>
      </w:rPr>
    </w:lvl>
    <w:lvl w:ilvl="3" w:tplc="3996A53E">
      <w:numFmt w:val="bullet"/>
      <w:lvlText w:val="•"/>
      <w:lvlJc w:val="left"/>
      <w:pPr>
        <w:ind w:left="4399" w:hanging="720"/>
      </w:pPr>
      <w:rPr>
        <w:rFonts w:hint="default"/>
        <w:lang w:val="es-ES" w:eastAsia="en-US" w:bidi="ar-SA"/>
      </w:rPr>
    </w:lvl>
    <w:lvl w:ilvl="4" w:tplc="AE547A8E">
      <w:numFmt w:val="bullet"/>
      <w:lvlText w:val="•"/>
      <w:lvlJc w:val="left"/>
      <w:pPr>
        <w:ind w:left="5266" w:hanging="720"/>
      </w:pPr>
      <w:rPr>
        <w:rFonts w:hint="default"/>
        <w:lang w:val="es-ES" w:eastAsia="en-US" w:bidi="ar-SA"/>
      </w:rPr>
    </w:lvl>
    <w:lvl w:ilvl="5" w:tplc="FA58CB98">
      <w:numFmt w:val="bullet"/>
      <w:lvlText w:val="•"/>
      <w:lvlJc w:val="left"/>
      <w:pPr>
        <w:ind w:left="6133" w:hanging="720"/>
      </w:pPr>
      <w:rPr>
        <w:rFonts w:hint="default"/>
        <w:lang w:val="es-ES" w:eastAsia="en-US" w:bidi="ar-SA"/>
      </w:rPr>
    </w:lvl>
    <w:lvl w:ilvl="6" w:tplc="4166745E">
      <w:numFmt w:val="bullet"/>
      <w:lvlText w:val="•"/>
      <w:lvlJc w:val="left"/>
      <w:pPr>
        <w:ind w:left="6999" w:hanging="720"/>
      </w:pPr>
      <w:rPr>
        <w:rFonts w:hint="default"/>
        <w:lang w:val="es-ES" w:eastAsia="en-US" w:bidi="ar-SA"/>
      </w:rPr>
    </w:lvl>
    <w:lvl w:ilvl="7" w:tplc="BED214D6">
      <w:numFmt w:val="bullet"/>
      <w:lvlText w:val="•"/>
      <w:lvlJc w:val="left"/>
      <w:pPr>
        <w:ind w:left="7866" w:hanging="720"/>
      </w:pPr>
      <w:rPr>
        <w:rFonts w:hint="default"/>
        <w:lang w:val="es-ES" w:eastAsia="en-US" w:bidi="ar-SA"/>
      </w:rPr>
    </w:lvl>
    <w:lvl w:ilvl="8" w:tplc="CDB06300">
      <w:numFmt w:val="bullet"/>
      <w:lvlText w:val="•"/>
      <w:lvlJc w:val="left"/>
      <w:pPr>
        <w:ind w:left="8733" w:hanging="720"/>
      </w:pPr>
      <w:rPr>
        <w:rFonts w:hint="default"/>
        <w:lang w:val="es-ES" w:eastAsia="en-US" w:bidi="ar-SA"/>
      </w:rPr>
    </w:lvl>
  </w:abstractNum>
  <w:abstractNum w:abstractNumId="14" w15:restartNumberingAfterBreak="0">
    <w:nsid w:val="14860C1C"/>
    <w:multiLevelType w:val="multilevel"/>
    <w:tmpl w:val="9BFC7A42"/>
    <w:lvl w:ilvl="0">
      <w:start w:val="1"/>
      <w:numFmt w:val="decimal"/>
      <w:lvlText w:val="%1."/>
      <w:lvlJc w:val="left"/>
      <w:pPr>
        <w:ind w:left="589" w:hanging="330"/>
      </w:pPr>
      <w:rPr>
        <w:rFonts w:ascii="Verdana" w:eastAsia="Verdana" w:hAnsi="Verdana" w:cs="Verdana" w:hint="default"/>
        <w:b w:val="0"/>
        <w:bCs w:val="0"/>
        <w:i w:val="0"/>
        <w:iCs w:val="0"/>
        <w:spacing w:val="0"/>
        <w:w w:val="100"/>
        <w:sz w:val="24"/>
        <w:szCs w:val="24"/>
        <w:lang w:val="es-ES" w:eastAsia="en-US" w:bidi="ar-SA"/>
      </w:rPr>
    </w:lvl>
    <w:lvl w:ilvl="1">
      <w:start w:val="1"/>
      <w:numFmt w:val="decimal"/>
      <w:lvlText w:val="%1.%2."/>
      <w:lvlJc w:val="left"/>
      <w:pPr>
        <w:ind w:left="1256" w:hanging="710"/>
      </w:pPr>
      <w:rPr>
        <w:rFonts w:ascii="Verdana" w:eastAsia="Verdana" w:hAnsi="Verdana" w:cs="Verdana" w:hint="default"/>
        <w:b w:val="0"/>
        <w:bCs w:val="0"/>
        <w:i w:val="0"/>
        <w:iCs w:val="0"/>
        <w:spacing w:val="-3"/>
        <w:w w:val="100"/>
        <w:sz w:val="24"/>
        <w:szCs w:val="24"/>
        <w:lang w:val="es-ES" w:eastAsia="en-US" w:bidi="ar-SA"/>
      </w:rPr>
    </w:lvl>
    <w:lvl w:ilvl="2">
      <w:numFmt w:val="bullet"/>
      <w:lvlText w:val="•"/>
      <w:lvlJc w:val="left"/>
      <w:pPr>
        <w:ind w:left="1260" w:hanging="710"/>
      </w:pPr>
      <w:rPr>
        <w:rFonts w:hint="default"/>
        <w:lang w:val="es-ES" w:eastAsia="en-US" w:bidi="ar-SA"/>
      </w:rPr>
    </w:lvl>
    <w:lvl w:ilvl="3">
      <w:numFmt w:val="bullet"/>
      <w:lvlText w:val="•"/>
      <w:lvlJc w:val="left"/>
      <w:pPr>
        <w:ind w:left="2272" w:hanging="710"/>
      </w:pPr>
      <w:rPr>
        <w:rFonts w:hint="default"/>
        <w:lang w:val="es-ES" w:eastAsia="en-US" w:bidi="ar-SA"/>
      </w:rPr>
    </w:lvl>
    <w:lvl w:ilvl="4">
      <w:numFmt w:val="bullet"/>
      <w:lvlText w:val="•"/>
      <w:lvlJc w:val="left"/>
      <w:pPr>
        <w:ind w:left="3285" w:hanging="710"/>
      </w:pPr>
      <w:rPr>
        <w:rFonts w:hint="default"/>
        <w:lang w:val="es-ES" w:eastAsia="en-US" w:bidi="ar-SA"/>
      </w:rPr>
    </w:lvl>
    <w:lvl w:ilvl="5">
      <w:numFmt w:val="bullet"/>
      <w:lvlText w:val="•"/>
      <w:lvlJc w:val="left"/>
      <w:pPr>
        <w:ind w:left="4297" w:hanging="710"/>
      </w:pPr>
      <w:rPr>
        <w:rFonts w:hint="default"/>
        <w:lang w:val="es-ES" w:eastAsia="en-US" w:bidi="ar-SA"/>
      </w:rPr>
    </w:lvl>
    <w:lvl w:ilvl="6">
      <w:numFmt w:val="bullet"/>
      <w:lvlText w:val="•"/>
      <w:lvlJc w:val="left"/>
      <w:pPr>
        <w:ind w:left="5310" w:hanging="710"/>
      </w:pPr>
      <w:rPr>
        <w:rFonts w:hint="default"/>
        <w:lang w:val="es-ES" w:eastAsia="en-US" w:bidi="ar-SA"/>
      </w:rPr>
    </w:lvl>
    <w:lvl w:ilvl="7">
      <w:numFmt w:val="bullet"/>
      <w:lvlText w:val="•"/>
      <w:lvlJc w:val="left"/>
      <w:pPr>
        <w:ind w:left="6322" w:hanging="710"/>
      </w:pPr>
      <w:rPr>
        <w:rFonts w:hint="default"/>
        <w:lang w:val="es-ES" w:eastAsia="en-US" w:bidi="ar-SA"/>
      </w:rPr>
    </w:lvl>
    <w:lvl w:ilvl="8">
      <w:numFmt w:val="bullet"/>
      <w:lvlText w:val="•"/>
      <w:lvlJc w:val="left"/>
      <w:pPr>
        <w:ind w:left="7335" w:hanging="710"/>
      </w:pPr>
      <w:rPr>
        <w:rFonts w:hint="default"/>
        <w:lang w:val="es-ES" w:eastAsia="en-US" w:bidi="ar-SA"/>
      </w:rPr>
    </w:lvl>
  </w:abstractNum>
  <w:abstractNum w:abstractNumId="15" w15:restartNumberingAfterBreak="0">
    <w:nsid w:val="1738048E"/>
    <w:multiLevelType w:val="hybridMultilevel"/>
    <w:tmpl w:val="D2021916"/>
    <w:lvl w:ilvl="0" w:tplc="AB9ACF8C">
      <w:start w:val="2"/>
      <w:numFmt w:val="lowerLetter"/>
      <w:lvlText w:val="%1)"/>
      <w:lvlJc w:val="left"/>
      <w:pPr>
        <w:ind w:left="720" w:hanging="415"/>
      </w:pPr>
      <w:rPr>
        <w:rFonts w:ascii="Verdana" w:eastAsia="Verdana" w:hAnsi="Verdana" w:cs="Verdana" w:hint="default"/>
        <w:b w:val="0"/>
        <w:bCs w:val="0"/>
        <w:i/>
        <w:iCs/>
        <w:spacing w:val="-1"/>
        <w:w w:val="100"/>
        <w:sz w:val="24"/>
        <w:szCs w:val="24"/>
        <w:lang w:val="es-ES" w:eastAsia="en-US" w:bidi="ar-SA"/>
      </w:rPr>
    </w:lvl>
    <w:lvl w:ilvl="1" w:tplc="C92A0524">
      <w:numFmt w:val="bullet"/>
      <w:lvlText w:val="•"/>
      <w:lvlJc w:val="left"/>
      <w:pPr>
        <w:ind w:left="1694" w:hanging="415"/>
      </w:pPr>
      <w:rPr>
        <w:rFonts w:hint="default"/>
        <w:lang w:val="es-ES" w:eastAsia="en-US" w:bidi="ar-SA"/>
      </w:rPr>
    </w:lvl>
    <w:lvl w:ilvl="2" w:tplc="A33821D2">
      <w:numFmt w:val="bullet"/>
      <w:lvlText w:val="•"/>
      <w:lvlJc w:val="left"/>
      <w:pPr>
        <w:ind w:left="2669" w:hanging="415"/>
      </w:pPr>
      <w:rPr>
        <w:rFonts w:hint="default"/>
        <w:lang w:val="es-ES" w:eastAsia="en-US" w:bidi="ar-SA"/>
      </w:rPr>
    </w:lvl>
    <w:lvl w:ilvl="3" w:tplc="CB70FC74">
      <w:numFmt w:val="bullet"/>
      <w:lvlText w:val="•"/>
      <w:lvlJc w:val="left"/>
      <w:pPr>
        <w:ind w:left="3643" w:hanging="415"/>
      </w:pPr>
      <w:rPr>
        <w:rFonts w:hint="default"/>
        <w:lang w:val="es-ES" w:eastAsia="en-US" w:bidi="ar-SA"/>
      </w:rPr>
    </w:lvl>
    <w:lvl w:ilvl="4" w:tplc="ADF88A38">
      <w:numFmt w:val="bullet"/>
      <w:lvlText w:val="•"/>
      <w:lvlJc w:val="left"/>
      <w:pPr>
        <w:ind w:left="4618" w:hanging="415"/>
      </w:pPr>
      <w:rPr>
        <w:rFonts w:hint="default"/>
        <w:lang w:val="es-ES" w:eastAsia="en-US" w:bidi="ar-SA"/>
      </w:rPr>
    </w:lvl>
    <w:lvl w:ilvl="5" w:tplc="E9FC280A">
      <w:numFmt w:val="bullet"/>
      <w:lvlText w:val="•"/>
      <w:lvlJc w:val="left"/>
      <w:pPr>
        <w:ind w:left="5593" w:hanging="415"/>
      </w:pPr>
      <w:rPr>
        <w:rFonts w:hint="default"/>
        <w:lang w:val="es-ES" w:eastAsia="en-US" w:bidi="ar-SA"/>
      </w:rPr>
    </w:lvl>
    <w:lvl w:ilvl="6" w:tplc="7CAC5C7C">
      <w:numFmt w:val="bullet"/>
      <w:lvlText w:val="•"/>
      <w:lvlJc w:val="left"/>
      <w:pPr>
        <w:ind w:left="6567" w:hanging="415"/>
      </w:pPr>
      <w:rPr>
        <w:rFonts w:hint="default"/>
        <w:lang w:val="es-ES" w:eastAsia="en-US" w:bidi="ar-SA"/>
      </w:rPr>
    </w:lvl>
    <w:lvl w:ilvl="7" w:tplc="78E8E288">
      <w:numFmt w:val="bullet"/>
      <w:lvlText w:val="•"/>
      <w:lvlJc w:val="left"/>
      <w:pPr>
        <w:ind w:left="7542" w:hanging="415"/>
      </w:pPr>
      <w:rPr>
        <w:rFonts w:hint="default"/>
        <w:lang w:val="es-ES" w:eastAsia="en-US" w:bidi="ar-SA"/>
      </w:rPr>
    </w:lvl>
    <w:lvl w:ilvl="8" w:tplc="2CCE5BFC">
      <w:numFmt w:val="bullet"/>
      <w:lvlText w:val="•"/>
      <w:lvlJc w:val="left"/>
      <w:pPr>
        <w:ind w:left="8517" w:hanging="415"/>
      </w:pPr>
      <w:rPr>
        <w:rFonts w:hint="default"/>
        <w:lang w:val="es-ES" w:eastAsia="en-US" w:bidi="ar-SA"/>
      </w:rPr>
    </w:lvl>
  </w:abstractNum>
  <w:abstractNum w:abstractNumId="16" w15:restartNumberingAfterBreak="0">
    <w:nsid w:val="179B37D9"/>
    <w:multiLevelType w:val="hybridMultilevel"/>
    <w:tmpl w:val="5B6490B4"/>
    <w:lvl w:ilvl="0" w:tplc="D0E432B2">
      <w:start w:val="1"/>
      <w:numFmt w:val="decimal"/>
      <w:lvlText w:val="%1."/>
      <w:lvlJc w:val="left"/>
      <w:pPr>
        <w:ind w:left="107" w:hanging="591"/>
      </w:pPr>
      <w:rPr>
        <w:rFonts w:ascii="Verdana" w:eastAsia="Verdana" w:hAnsi="Verdana" w:cs="Verdana" w:hint="default"/>
        <w:b w:val="0"/>
        <w:bCs w:val="0"/>
        <w:i/>
        <w:iCs/>
        <w:color w:val="333333"/>
        <w:spacing w:val="0"/>
        <w:w w:val="92"/>
        <w:sz w:val="20"/>
        <w:szCs w:val="20"/>
        <w:lang w:val="es-ES" w:eastAsia="en-US" w:bidi="ar-SA"/>
      </w:rPr>
    </w:lvl>
    <w:lvl w:ilvl="1" w:tplc="28A0095A">
      <w:numFmt w:val="bullet"/>
      <w:lvlText w:val="•"/>
      <w:lvlJc w:val="left"/>
      <w:pPr>
        <w:ind w:left="559" w:hanging="591"/>
      </w:pPr>
      <w:rPr>
        <w:rFonts w:hint="default"/>
        <w:lang w:val="es-ES" w:eastAsia="en-US" w:bidi="ar-SA"/>
      </w:rPr>
    </w:lvl>
    <w:lvl w:ilvl="2" w:tplc="458EABB4">
      <w:numFmt w:val="bullet"/>
      <w:lvlText w:val="•"/>
      <w:lvlJc w:val="left"/>
      <w:pPr>
        <w:ind w:left="1018" w:hanging="591"/>
      </w:pPr>
      <w:rPr>
        <w:rFonts w:hint="default"/>
        <w:lang w:val="es-ES" w:eastAsia="en-US" w:bidi="ar-SA"/>
      </w:rPr>
    </w:lvl>
    <w:lvl w:ilvl="3" w:tplc="9B7C8FD8">
      <w:numFmt w:val="bullet"/>
      <w:lvlText w:val="•"/>
      <w:lvlJc w:val="left"/>
      <w:pPr>
        <w:ind w:left="1477" w:hanging="591"/>
      </w:pPr>
      <w:rPr>
        <w:rFonts w:hint="default"/>
        <w:lang w:val="es-ES" w:eastAsia="en-US" w:bidi="ar-SA"/>
      </w:rPr>
    </w:lvl>
    <w:lvl w:ilvl="4" w:tplc="CD18C8A6">
      <w:numFmt w:val="bullet"/>
      <w:lvlText w:val="•"/>
      <w:lvlJc w:val="left"/>
      <w:pPr>
        <w:ind w:left="1936" w:hanging="591"/>
      </w:pPr>
      <w:rPr>
        <w:rFonts w:hint="default"/>
        <w:lang w:val="es-ES" w:eastAsia="en-US" w:bidi="ar-SA"/>
      </w:rPr>
    </w:lvl>
    <w:lvl w:ilvl="5" w:tplc="2E364B72">
      <w:numFmt w:val="bullet"/>
      <w:lvlText w:val="•"/>
      <w:lvlJc w:val="left"/>
      <w:pPr>
        <w:ind w:left="2396" w:hanging="591"/>
      </w:pPr>
      <w:rPr>
        <w:rFonts w:hint="default"/>
        <w:lang w:val="es-ES" w:eastAsia="en-US" w:bidi="ar-SA"/>
      </w:rPr>
    </w:lvl>
    <w:lvl w:ilvl="6" w:tplc="A99C392C">
      <w:numFmt w:val="bullet"/>
      <w:lvlText w:val="•"/>
      <w:lvlJc w:val="left"/>
      <w:pPr>
        <w:ind w:left="2855" w:hanging="591"/>
      </w:pPr>
      <w:rPr>
        <w:rFonts w:hint="default"/>
        <w:lang w:val="es-ES" w:eastAsia="en-US" w:bidi="ar-SA"/>
      </w:rPr>
    </w:lvl>
    <w:lvl w:ilvl="7" w:tplc="B49659CC">
      <w:numFmt w:val="bullet"/>
      <w:lvlText w:val="•"/>
      <w:lvlJc w:val="left"/>
      <w:pPr>
        <w:ind w:left="3314" w:hanging="591"/>
      </w:pPr>
      <w:rPr>
        <w:rFonts w:hint="default"/>
        <w:lang w:val="es-ES" w:eastAsia="en-US" w:bidi="ar-SA"/>
      </w:rPr>
    </w:lvl>
    <w:lvl w:ilvl="8" w:tplc="58A41AA0">
      <w:numFmt w:val="bullet"/>
      <w:lvlText w:val="•"/>
      <w:lvlJc w:val="left"/>
      <w:pPr>
        <w:ind w:left="3773" w:hanging="591"/>
      </w:pPr>
      <w:rPr>
        <w:rFonts w:hint="default"/>
        <w:lang w:val="es-ES" w:eastAsia="en-US" w:bidi="ar-SA"/>
      </w:rPr>
    </w:lvl>
  </w:abstractNum>
  <w:abstractNum w:abstractNumId="17" w15:restartNumberingAfterBreak="0">
    <w:nsid w:val="191F6721"/>
    <w:multiLevelType w:val="hybridMultilevel"/>
    <w:tmpl w:val="427ABB20"/>
    <w:lvl w:ilvl="0" w:tplc="66D8CB6E">
      <w:numFmt w:val="bullet"/>
      <w:lvlText w:val=""/>
      <w:lvlJc w:val="left"/>
      <w:pPr>
        <w:ind w:left="398" w:hanging="361"/>
      </w:pPr>
      <w:rPr>
        <w:rFonts w:ascii="Symbol" w:eastAsia="Symbol" w:hAnsi="Symbol" w:cs="Symbol" w:hint="default"/>
        <w:b w:val="0"/>
        <w:bCs w:val="0"/>
        <w:i w:val="0"/>
        <w:iCs w:val="0"/>
        <w:spacing w:val="0"/>
        <w:w w:val="100"/>
        <w:sz w:val="18"/>
        <w:szCs w:val="18"/>
        <w:lang w:val="es-ES" w:eastAsia="en-US" w:bidi="ar-SA"/>
      </w:rPr>
    </w:lvl>
    <w:lvl w:ilvl="1" w:tplc="ED5EEA6C">
      <w:numFmt w:val="bullet"/>
      <w:lvlText w:val="•"/>
      <w:lvlJc w:val="left"/>
      <w:pPr>
        <w:ind w:left="710" w:hanging="361"/>
      </w:pPr>
      <w:rPr>
        <w:rFonts w:hint="default"/>
        <w:lang w:val="es-ES" w:eastAsia="en-US" w:bidi="ar-SA"/>
      </w:rPr>
    </w:lvl>
    <w:lvl w:ilvl="2" w:tplc="CB7C0A36">
      <w:numFmt w:val="bullet"/>
      <w:lvlText w:val="•"/>
      <w:lvlJc w:val="left"/>
      <w:pPr>
        <w:ind w:left="1020" w:hanging="361"/>
      </w:pPr>
      <w:rPr>
        <w:rFonts w:hint="default"/>
        <w:lang w:val="es-ES" w:eastAsia="en-US" w:bidi="ar-SA"/>
      </w:rPr>
    </w:lvl>
    <w:lvl w:ilvl="3" w:tplc="254A0274">
      <w:numFmt w:val="bullet"/>
      <w:lvlText w:val="•"/>
      <w:lvlJc w:val="left"/>
      <w:pPr>
        <w:ind w:left="1331" w:hanging="361"/>
      </w:pPr>
      <w:rPr>
        <w:rFonts w:hint="default"/>
        <w:lang w:val="es-ES" w:eastAsia="en-US" w:bidi="ar-SA"/>
      </w:rPr>
    </w:lvl>
    <w:lvl w:ilvl="4" w:tplc="7C42630A">
      <w:numFmt w:val="bullet"/>
      <w:lvlText w:val="•"/>
      <w:lvlJc w:val="left"/>
      <w:pPr>
        <w:ind w:left="1641" w:hanging="361"/>
      </w:pPr>
      <w:rPr>
        <w:rFonts w:hint="default"/>
        <w:lang w:val="es-ES" w:eastAsia="en-US" w:bidi="ar-SA"/>
      </w:rPr>
    </w:lvl>
    <w:lvl w:ilvl="5" w:tplc="09D8E2E6">
      <w:numFmt w:val="bullet"/>
      <w:lvlText w:val="•"/>
      <w:lvlJc w:val="left"/>
      <w:pPr>
        <w:ind w:left="1952" w:hanging="361"/>
      </w:pPr>
      <w:rPr>
        <w:rFonts w:hint="default"/>
        <w:lang w:val="es-ES" w:eastAsia="en-US" w:bidi="ar-SA"/>
      </w:rPr>
    </w:lvl>
    <w:lvl w:ilvl="6" w:tplc="13AACBC2">
      <w:numFmt w:val="bullet"/>
      <w:lvlText w:val="•"/>
      <w:lvlJc w:val="left"/>
      <w:pPr>
        <w:ind w:left="2262" w:hanging="361"/>
      </w:pPr>
      <w:rPr>
        <w:rFonts w:hint="default"/>
        <w:lang w:val="es-ES" w:eastAsia="en-US" w:bidi="ar-SA"/>
      </w:rPr>
    </w:lvl>
    <w:lvl w:ilvl="7" w:tplc="519642B4">
      <w:numFmt w:val="bullet"/>
      <w:lvlText w:val="•"/>
      <w:lvlJc w:val="left"/>
      <w:pPr>
        <w:ind w:left="2572" w:hanging="361"/>
      </w:pPr>
      <w:rPr>
        <w:rFonts w:hint="default"/>
        <w:lang w:val="es-ES" w:eastAsia="en-US" w:bidi="ar-SA"/>
      </w:rPr>
    </w:lvl>
    <w:lvl w:ilvl="8" w:tplc="40765468">
      <w:numFmt w:val="bullet"/>
      <w:lvlText w:val="•"/>
      <w:lvlJc w:val="left"/>
      <w:pPr>
        <w:ind w:left="2883" w:hanging="361"/>
      </w:pPr>
      <w:rPr>
        <w:rFonts w:hint="default"/>
        <w:lang w:val="es-ES" w:eastAsia="en-US" w:bidi="ar-SA"/>
      </w:rPr>
    </w:lvl>
  </w:abstractNum>
  <w:abstractNum w:abstractNumId="18" w15:restartNumberingAfterBreak="0">
    <w:nsid w:val="19B13EDE"/>
    <w:multiLevelType w:val="hybridMultilevel"/>
    <w:tmpl w:val="10F04A4A"/>
    <w:lvl w:ilvl="0" w:tplc="58E6D660">
      <w:start w:val="1"/>
      <w:numFmt w:val="decimal"/>
      <w:lvlText w:val="%1."/>
      <w:lvlJc w:val="left"/>
      <w:pPr>
        <w:ind w:left="379" w:hanging="272"/>
      </w:pPr>
      <w:rPr>
        <w:rFonts w:ascii="Verdana" w:eastAsia="Verdana" w:hAnsi="Verdana" w:cs="Verdana" w:hint="default"/>
        <w:b w:val="0"/>
        <w:bCs w:val="0"/>
        <w:i w:val="0"/>
        <w:iCs w:val="0"/>
        <w:color w:val="333333"/>
        <w:spacing w:val="0"/>
        <w:w w:val="99"/>
        <w:sz w:val="20"/>
        <w:szCs w:val="20"/>
        <w:lang w:val="es-ES" w:eastAsia="en-US" w:bidi="ar-SA"/>
      </w:rPr>
    </w:lvl>
    <w:lvl w:ilvl="1" w:tplc="A7AC238A">
      <w:numFmt w:val="bullet"/>
      <w:lvlText w:val="•"/>
      <w:lvlJc w:val="left"/>
      <w:pPr>
        <w:ind w:left="811" w:hanging="272"/>
      </w:pPr>
      <w:rPr>
        <w:rFonts w:hint="default"/>
        <w:lang w:val="es-ES" w:eastAsia="en-US" w:bidi="ar-SA"/>
      </w:rPr>
    </w:lvl>
    <w:lvl w:ilvl="2" w:tplc="AFE0BAE4">
      <w:numFmt w:val="bullet"/>
      <w:lvlText w:val="•"/>
      <w:lvlJc w:val="left"/>
      <w:pPr>
        <w:ind w:left="1242" w:hanging="272"/>
      </w:pPr>
      <w:rPr>
        <w:rFonts w:hint="default"/>
        <w:lang w:val="es-ES" w:eastAsia="en-US" w:bidi="ar-SA"/>
      </w:rPr>
    </w:lvl>
    <w:lvl w:ilvl="3" w:tplc="2BA6CE9E">
      <w:numFmt w:val="bullet"/>
      <w:lvlText w:val="•"/>
      <w:lvlJc w:val="left"/>
      <w:pPr>
        <w:ind w:left="1673" w:hanging="272"/>
      </w:pPr>
      <w:rPr>
        <w:rFonts w:hint="default"/>
        <w:lang w:val="es-ES" w:eastAsia="en-US" w:bidi="ar-SA"/>
      </w:rPr>
    </w:lvl>
    <w:lvl w:ilvl="4" w:tplc="28548154">
      <w:numFmt w:val="bullet"/>
      <w:lvlText w:val="•"/>
      <w:lvlJc w:val="left"/>
      <w:pPr>
        <w:ind w:left="2104" w:hanging="272"/>
      </w:pPr>
      <w:rPr>
        <w:rFonts w:hint="default"/>
        <w:lang w:val="es-ES" w:eastAsia="en-US" w:bidi="ar-SA"/>
      </w:rPr>
    </w:lvl>
    <w:lvl w:ilvl="5" w:tplc="D0EEB252">
      <w:numFmt w:val="bullet"/>
      <w:lvlText w:val="•"/>
      <w:lvlJc w:val="left"/>
      <w:pPr>
        <w:ind w:left="2536" w:hanging="272"/>
      </w:pPr>
      <w:rPr>
        <w:rFonts w:hint="default"/>
        <w:lang w:val="es-ES" w:eastAsia="en-US" w:bidi="ar-SA"/>
      </w:rPr>
    </w:lvl>
    <w:lvl w:ilvl="6" w:tplc="A0CE8084">
      <w:numFmt w:val="bullet"/>
      <w:lvlText w:val="•"/>
      <w:lvlJc w:val="left"/>
      <w:pPr>
        <w:ind w:left="2967" w:hanging="272"/>
      </w:pPr>
      <w:rPr>
        <w:rFonts w:hint="default"/>
        <w:lang w:val="es-ES" w:eastAsia="en-US" w:bidi="ar-SA"/>
      </w:rPr>
    </w:lvl>
    <w:lvl w:ilvl="7" w:tplc="C41616A8">
      <w:numFmt w:val="bullet"/>
      <w:lvlText w:val="•"/>
      <w:lvlJc w:val="left"/>
      <w:pPr>
        <w:ind w:left="3398" w:hanging="272"/>
      </w:pPr>
      <w:rPr>
        <w:rFonts w:hint="default"/>
        <w:lang w:val="es-ES" w:eastAsia="en-US" w:bidi="ar-SA"/>
      </w:rPr>
    </w:lvl>
    <w:lvl w:ilvl="8" w:tplc="9A2C2218">
      <w:numFmt w:val="bullet"/>
      <w:lvlText w:val="•"/>
      <w:lvlJc w:val="left"/>
      <w:pPr>
        <w:ind w:left="3829" w:hanging="272"/>
      </w:pPr>
      <w:rPr>
        <w:rFonts w:hint="default"/>
        <w:lang w:val="es-ES" w:eastAsia="en-US" w:bidi="ar-SA"/>
      </w:rPr>
    </w:lvl>
  </w:abstractNum>
  <w:abstractNum w:abstractNumId="19" w15:restartNumberingAfterBreak="0">
    <w:nsid w:val="1B820E55"/>
    <w:multiLevelType w:val="hybridMultilevel"/>
    <w:tmpl w:val="27E00136"/>
    <w:lvl w:ilvl="0" w:tplc="CEECA8D6">
      <w:start w:val="1"/>
      <w:numFmt w:val="decimal"/>
      <w:lvlText w:val="%1."/>
      <w:lvlJc w:val="left"/>
      <w:pPr>
        <w:ind w:left="981" w:hanging="360"/>
        <w:jc w:val="right"/>
      </w:pPr>
      <w:rPr>
        <w:rFonts w:ascii="Verdana" w:eastAsia="Verdana" w:hAnsi="Verdana" w:cs="Verdana" w:hint="default"/>
        <w:b w:val="0"/>
        <w:bCs w:val="0"/>
        <w:i w:val="0"/>
        <w:iCs w:val="0"/>
        <w:spacing w:val="0"/>
        <w:w w:val="100"/>
        <w:sz w:val="24"/>
        <w:szCs w:val="24"/>
        <w:lang w:val="es-ES" w:eastAsia="en-US" w:bidi="ar-SA"/>
      </w:rPr>
    </w:lvl>
    <w:lvl w:ilvl="1" w:tplc="8DDA5A78">
      <w:start w:val="1"/>
      <w:numFmt w:val="lowerLetter"/>
      <w:lvlText w:val="%2)"/>
      <w:lvlJc w:val="left"/>
      <w:pPr>
        <w:ind w:left="981" w:hanging="360"/>
      </w:pPr>
      <w:rPr>
        <w:rFonts w:ascii="Verdana" w:eastAsia="Verdana" w:hAnsi="Verdana" w:cs="Verdana" w:hint="default"/>
        <w:b w:val="0"/>
        <w:bCs w:val="0"/>
        <w:i w:val="0"/>
        <w:iCs w:val="0"/>
        <w:spacing w:val="0"/>
        <w:w w:val="100"/>
        <w:sz w:val="24"/>
        <w:szCs w:val="24"/>
        <w:lang w:val="es-ES" w:eastAsia="en-US" w:bidi="ar-SA"/>
      </w:rPr>
    </w:lvl>
    <w:lvl w:ilvl="2" w:tplc="05CA7DFE">
      <w:numFmt w:val="bullet"/>
      <w:lvlText w:val="•"/>
      <w:lvlJc w:val="left"/>
      <w:pPr>
        <w:ind w:left="2656" w:hanging="360"/>
      </w:pPr>
      <w:rPr>
        <w:rFonts w:hint="default"/>
        <w:lang w:val="es-ES" w:eastAsia="en-US" w:bidi="ar-SA"/>
      </w:rPr>
    </w:lvl>
    <w:lvl w:ilvl="3" w:tplc="D6283E0C">
      <w:numFmt w:val="bullet"/>
      <w:lvlText w:val="•"/>
      <w:lvlJc w:val="left"/>
      <w:pPr>
        <w:ind w:left="3494" w:hanging="360"/>
      </w:pPr>
      <w:rPr>
        <w:rFonts w:hint="default"/>
        <w:lang w:val="es-ES" w:eastAsia="en-US" w:bidi="ar-SA"/>
      </w:rPr>
    </w:lvl>
    <w:lvl w:ilvl="4" w:tplc="E1DC7696">
      <w:numFmt w:val="bullet"/>
      <w:lvlText w:val="•"/>
      <w:lvlJc w:val="left"/>
      <w:pPr>
        <w:ind w:left="4332" w:hanging="360"/>
      </w:pPr>
      <w:rPr>
        <w:rFonts w:hint="default"/>
        <w:lang w:val="es-ES" w:eastAsia="en-US" w:bidi="ar-SA"/>
      </w:rPr>
    </w:lvl>
    <w:lvl w:ilvl="5" w:tplc="C122EB9A">
      <w:numFmt w:val="bullet"/>
      <w:lvlText w:val="•"/>
      <w:lvlJc w:val="left"/>
      <w:pPr>
        <w:ind w:left="5170" w:hanging="360"/>
      </w:pPr>
      <w:rPr>
        <w:rFonts w:hint="default"/>
        <w:lang w:val="es-ES" w:eastAsia="en-US" w:bidi="ar-SA"/>
      </w:rPr>
    </w:lvl>
    <w:lvl w:ilvl="6" w:tplc="308CFC22">
      <w:numFmt w:val="bullet"/>
      <w:lvlText w:val="•"/>
      <w:lvlJc w:val="left"/>
      <w:pPr>
        <w:ind w:left="6008" w:hanging="360"/>
      </w:pPr>
      <w:rPr>
        <w:rFonts w:hint="default"/>
        <w:lang w:val="es-ES" w:eastAsia="en-US" w:bidi="ar-SA"/>
      </w:rPr>
    </w:lvl>
    <w:lvl w:ilvl="7" w:tplc="32A0A802">
      <w:numFmt w:val="bullet"/>
      <w:lvlText w:val="•"/>
      <w:lvlJc w:val="left"/>
      <w:pPr>
        <w:ind w:left="6846" w:hanging="360"/>
      </w:pPr>
      <w:rPr>
        <w:rFonts w:hint="default"/>
        <w:lang w:val="es-ES" w:eastAsia="en-US" w:bidi="ar-SA"/>
      </w:rPr>
    </w:lvl>
    <w:lvl w:ilvl="8" w:tplc="09CAD376">
      <w:numFmt w:val="bullet"/>
      <w:lvlText w:val="•"/>
      <w:lvlJc w:val="left"/>
      <w:pPr>
        <w:ind w:left="7684" w:hanging="360"/>
      </w:pPr>
      <w:rPr>
        <w:rFonts w:hint="default"/>
        <w:lang w:val="es-ES" w:eastAsia="en-US" w:bidi="ar-SA"/>
      </w:rPr>
    </w:lvl>
  </w:abstractNum>
  <w:abstractNum w:abstractNumId="20" w15:restartNumberingAfterBreak="0">
    <w:nsid w:val="1B89009F"/>
    <w:multiLevelType w:val="hybridMultilevel"/>
    <w:tmpl w:val="E9C480C2"/>
    <w:lvl w:ilvl="0" w:tplc="2EB408C4">
      <w:start w:val="1"/>
      <w:numFmt w:val="decimal"/>
      <w:lvlText w:val="%1."/>
      <w:lvlJc w:val="left"/>
      <w:pPr>
        <w:ind w:left="827" w:hanging="360"/>
      </w:pPr>
      <w:rPr>
        <w:rFonts w:ascii="Verdana" w:eastAsia="Verdana" w:hAnsi="Verdana" w:cs="Verdana" w:hint="default"/>
        <w:b w:val="0"/>
        <w:bCs w:val="0"/>
        <w:i/>
        <w:iCs/>
        <w:color w:val="333333"/>
        <w:spacing w:val="0"/>
        <w:w w:val="99"/>
        <w:sz w:val="20"/>
        <w:szCs w:val="20"/>
        <w:lang w:val="es-ES" w:eastAsia="en-US" w:bidi="ar-SA"/>
      </w:rPr>
    </w:lvl>
    <w:lvl w:ilvl="1" w:tplc="ABFC7DD2">
      <w:numFmt w:val="bullet"/>
      <w:lvlText w:val="•"/>
      <w:lvlJc w:val="left"/>
      <w:pPr>
        <w:ind w:left="1208" w:hanging="360"/>
      </w:pPr>
      <w:rPr>
        <w:rFonts w:hint="default"/>
        <w:lang w:val="es-ES" w:eastAsia="en-US" w:bidi="ar-SA"/>
      </w:rPr>
    </w:lvl>
    <w:lvl w:ilvl="2" w:tplc="786C56C2">
      <w:numFmt w:val="bullet"/>
      <w:lvlText w:val="•"/>
      <w:lvlJc w:val="left"/>
      <w:pPr>
        <w:ind w:left="1596" w:hanging="360"/>
      </w:pPr>
      <w:rPr>
        <w:rFonts w:hint="default"/>
        <w:lang w:val="es-ES" w:eastAsia="en-US" w:bidi="ar-SA"/>
      </w:rPr>
    </w:lvl>
    <w:lvl w:ilvl="3" w:tplc="E5A6D5D8">
      <w:numFmt w:val="bullet"/>
      <w:lvlText w:val="•"/>
      <w:lvlJc w:val="left"/>
      <w:pPr>
        <w:ind w:left="1984" w:hanging="360"/>
      </w:pPr>
      <w:rPr>
        <w:rFonts w:hint="default"/>
        <w:lang w:val="es-ES" w:eastAsia="en-US" w:bidi="ar-SA"/>
      </w:rPr>
    </w:lvl>
    <w:lvl w:ilvl="4" w:tplc="43F2EE04">
      <w:numFmt w:val="bullet"/>
      <w:lvlText w:val="•"/>
      <w:lvlJc w:val="left"/>
      <w:pPr>
        <w:ind w:left="2373" w:hanging="360"/>
      </w:pPr>
      <w:rPr>
        <w:rFonts w:hint="default"/>
        <w:lang w:val="es-ES" w:eastAsia="en-US" w:bidi="ar-SA"/>
      </w:rPr>
    </w:lvl>
    <w:lvl w:ilvl="5" w:tplc="CDC6B38C">
      <w:numFmt w:val="bullet"/>
      <w:lvlText w:val="•"/>
      <w:lvlJc w:val="left"/>
      <w:pPr>
        <w:ind w:left="2761" w:hanging="360"/>
      </w:pPr>
      <w:rPr>
        <w:rFonts w:hint="default"/>
        <w:lang w:val="es-ES" w:eastAsia="en-US" w:bidi="ar-SA"/>
      </w:rPr>
    </w:lvl>
    <w:lvl w:ilvl="6" w:tplc="9B242BC2">
      <w:numFmt w:val="bullet"/>
      <w:lvlText w:val="•"/>
      <w:lvlJc w:val="left"/>
      <w:pPr>
        <w:ind w:left="3149" w:hanging="360"/>
      </w:pPr>
      <w:rPr>
        <w:rFonts w:hint="default"/>
        <w:lang w:val="es-ES" w:eastAsia="en-US" w:bidi="ar-SA"/>
      </w:rPr>
    </w:lvl>
    <w:lvl w:ilvl="7" w:tplc="FAE85FEE">
      <w:numFmt w:val="bullet"/>
      <w:lvlText w:val="•"/>
      <w:lvlJc w:val="left"/>
      <w:pPr>
        <w:ind w:left="3538" w:hanging="360"/>
      </w:pPr>
      <w:rPr>
        <w:rFonts w:hint="default"/>
        <w:lang w:val="es-ES" w:eastAsia="en-US" w:bidi="ar-SA"/>
      </w:rPr>
    </w:lvl>
    <w:lvl w:ilvl="8" w:tplc="8E3C170C">
      <w:numFmt w:val="bullet"/>
      <w:lvlText w:val="•"/>
      <w:lvlJc w:val="left"/>
      <w:pPr>
        <w:ind w:left="3926" w:hanging="360"/>
      </w:pPr>
      <w:rPr>
        <w:rFonts w:hint="default"/>
        <w:lang w:val="es-ES" w:eastAsia="en-US" w:bidi="ar-SA"/>
      </w:rPr>
    </w:lvl>
  </w:abstractNum>
  <w:abstractNum w:abstractNumId="21" w15:restartNumberingAfterBreak="0">
    <w:nsid w:val="1C757BCE"/>
    <w:multiLevelType w:val="hybridMultilevel"/>
    <w:tmpl w:val="AA7843AE"/>
    <w:lvl w:ilvl="0" w:tplc="D71AB460">
      <w:start w:val="9"/>
      <w:numFmt w:val="decimal"/>
      <w:lvlText w:val="%1."/>
      <w:lvlJc w:val="left"/>
      <w:pPr>
        <w:ind w:left="379" w:hanging="272"/>
        <w:jc w:val="right"/>
      </w:pPr>
      <w:rPr>
        <w:rFonts w:ascii="Verdana" w:eastAsia="Verdana" w:hAnsi="Verdana" w:cs="Verdana" w:hint="default"/>
        <w:b w:val="0"/>
        <w:bCs w:val="0"/>
        <w:i w:val="0"/>
        <w:iCs w:val="0"/>
        <w:color w:val="333333"/>
        <w:spacing w:val="0"/>
        <w:w w:val="99"/>
        <w:sz w:val="20"/>
        <w:szCs w:val="20"/>
        <w:lang w:val="es-ES" w:eastAsia="en-US" w:bidi="ar-SA"/>
      </w:rPr>
    </w:lvl>
    <w:lvl w:ilvl="1" w:tplc="49DAA014">
      <w:numFmt w:val="bullet"/>
      <w:lvlText w:val="•"/>
      <w:lvlJc w:val="left"/>
      <w:pPr>
        <w:ind w:left="811" w:hanging="272"/>
      </w:pPr>
      <w:rPr>
        <w:rFonts w:hint="default"/>
        <w:lang w:val="es-ES" w:eastAsia="en-US" w:bidi="ar-SA"/>
      </w:rPr>
    </w:lvl>
    <w:lvl w:ilvl="2" w:tplc="905ED1E2">
      <w:numFmt w:val="bullet"/>
      <w:lvlText w:val="•"/>
      <w:lvlJc w:val="left"/>
      <w:pPr>
        <w:ind w:left="1242" w:hanging="272"/>
      </w:pPr>
      <w:rPr>
        <w:rFonts w:hint="default"/>
        <w:lang w:val="es-ES" w:eastAsia="en-US" w:bidi="ar-SA"/>
      </w:rPr>
    </w:lvl>
    <w:lvl w:ilvl="3" w:tplc="82D2510A">
      <w:numFmt w:val="bullet"/>
      <w:lvlText w:val="•"/>
      <w:lvlJc w:val="left"/>
      <w:pPr>
        <w:ind w:left="1673" w:hanging="272"/>
      </w:pPr>
      <w:rPr>
        <w:rFonts w:hint="default"/>
        <w:lang w:val="es-ES" w:eastAsia="en-US" w:bidi="ar-SA"/>
      </w:rPr>
    </w:lvl>
    <w:lvl w:ilvl="4" w:tplc="7104046A">
      <w:numFmt w:val="bullet"/>
      <w:lvlText w:val="•"/>
      <w:lvlJc w:val="left"/>
      <w:pPr>
        <w:ind w:left="2104" w:hanging="272"/>
      </w:pPr>
      <w:rPr>
        <w:rFonts w:hint="default"/>
        <w:lang w:val="es-ES" w:eastAsia="en-US" w:bidi="ar-SA"/>
      </w:rPr>
    </w:lvl>
    <w:lvl w:ilvl="5" w:tplc="C59C9546">
      <w:numFmt w:val="bullet"/>
      <w:lvlText w:val="•"/>
      <w:lvlJc w:val="left"/>
      <w:pPr>
        <w:ind w:left="2536" w:hanging="272"/>
      </w:pPr>
      <w:rPr>
        <w:rFonts w:hint="default"/>
        <w:lang w:val="es-ES" w:eastAsia="en-US" w:bidi="ar-SA"/>
      </w:rPr>
    </w:lvl>
    <w:lvl w:ilvl="6" w:tplc="4A806342">
      <w:numFmt w:val="bullet"/>
      <w:lvlText w:val="•"/>
      <w:lvlJc w:val="left"/>
      <w:pPr>
        <w:ind w:left="2967" w:hanging="272"/>
      </w:pPr>
      <w:rPr>
        <w:rFonts w:hint="default"/>
        <w:lang w:val="es-ES" w:eastAsia="en-US" w:bidi="ar-SA"/>
      </w:rPr>
    </w:lvl>
    <w:lvl w:ilvl="7" w:tplc="62B2A8F2">
      <w:numFmt w:val="bullet"/>
      <w:lvlText w:val="•"/>
      <w:lvlJc w:val="left"/>
      <w:pPr>
        <w:ind w:left="3398" w:hanging="272"/>
      </w:pPr>
      <w:rPr>
        <w:rFonts w:hint="default"/>
        <w:lang w:val="es-ES" w:eastAsia="en-US" w:bidi="ar-SA"/>
      </w:rPr>
    </w:lvl>
    <w:lvl w:ilvl="8" w:tplc="F6B03F94">
      <w:numFmt w:val="bullet"/>
      <w:lvlText w:val="•"/>
      <w:lvlJc w:val="left"/>
      <w:pPr>
        <w:ind w:left="3829" w:hanging="272"/>
      </w:pPr>
      <w:rPr>
        <w:rFonts w:hint="default"/>
        <w:lang w:val="es-ES" w:eastAsia="en-US" w:bidi="ar-SA"/>
      </w:rPr>
    </w:lvl>
  </w:abstractNum>
  <w:abstractNum w:abstractNumId="22" w15:restartNumberingAfterBreak="0">
    <w:nsid w:val="1CF80366"/>
    <w:multiLevelType w:val="multilevel"/>
    <w:tmpl w:val="F8F2F996"/>
    <w:lvl w:ilvl="0">
      <w:start w:val="1"/>
      <w:numFmt w:val="decimal"/>
      <w:lvlText w:val="%1"/>
      <w:lvlJc w:val="left"/>
      <w:pPr>
        <w:ind w:left="983" w:hanging="720"/>
      </w:pPr>
      <w:rPr>
        <w:rFonts w:hint="default"/>
        <w:lang w:val="es-ES" w:eastAsia="en-US" w:bidi="ar-SA"/>
      </w:rPr>
    </w:lvl>
    <w:lvl w:ilvl="1">
      <w:start w:val="3"/>
      <w:numFmt w:val="decimal"/>
      <w:lvlText w:val="%1.%2."/>
      <w:lvlJc w:val="left"/>
      <w:pPr>
        <w:ind w:left="983" w:hanging="720"/>
      </w:pPr>
      <w:rPr>
        <w:rFonts w:ascii="Verdana" w:eastAsia="Verdana" w:hAnsi="Verdana" w:cs="Verdana" w:hint="default"/>
        <w:b/>
        <w:bCs/>
        <w:i w:val="0"/>
        <w:iCs w:val="0"/>
        <w:spacing w:val="-1"/>
        <w:w w:val="99"/>
        <w:sz w:val="20"/>
        <w:szCs w:val="20"/>
        <w:lang w:val="es-ES" w:eastAsia="en-US" w:bidi="ar-SA"/>
      </w:rPr>
    </w:lvl>
    <w:lvl w:ilvl="2">
      <w:numFmt w:val="bullet"/>
      <w:lvlText w:val="•"/>
      <w:lvlJc w:val="left"/>
      <w:pPr>
        <w:ind w:left="1724" w:hanging="720"/>
      </w:pPr>
      <w:rPr>
        <w:rFonts w:hint="default"/>
        <w:lang w:val="es-ES" w:eastAsia="en-US" w:bidi="ar-SA"/>
      </w:rPr>
    </w:lvl>
    <w:lvl w:ilvl="3">
      <w:numFmt w:val="bullet"/>
      <w:lvlText w:val="•"/>
      <w:lvlJc w:val="left"/>
      <w:pPr>
        <w:ind w:left="2096" w:hanging="720"/>
      </w:pPr>
      <w:rPr>
        <w:rFonts w:hint="default"/>
        <w:lang w:val="es-ES" w:eastAsia="en-US" w:bidi="ar-SA"/>
      </w:rPr>
    </w:lvl>
    <w:lvl w:ilvl="4">
      <w:numFmt w:val="bullet"/>
      <w:lvlText w:val="•"/>
      <w:lvlJc w:val="left"/>
      <w:pPr>
        <w:ind w:left="2469" w:hanging="720"/>
      </w:pPr>
      <w:rPr>
        <w:rFonts w:hint="default"/>
        <w:lang w:val="es-ES" w:eastAsia="en-US" w:bidi="ar-SA"/>
      </w:rPr>
    </w:lvl>
    <w:lvl w:ilvl="5">
      <w:numFmt w:val="bullet"/>
      <w:lvlText w:val="•"/>
      <w:lvlJc w:val="left"/>
      <w:pPr>
        <w:ind w:left="2841" w:hanging="720"/>
      </w:pPr>
      <w:rPr>
        <w:rFonts w:hint="default"/>
        <w:lang w:val="es-ES" w:eastAsia="en-US" w:bidi="ar-SA"/>
      </w:rPr>
    </w:lvl>
    <w:lvl w:ilvl="6">
      <w:numFmt w:val="bullet"/>
      <w:lvlText w:val="•"/>
      <w:lvlJc w:val="left"/>
      <w:pPr>
        <w:ind w:left="3213" w:hanging="720"/>
      </w:pPr>
      <w:rPr>
        <w:rFonts w:hint="default"/>
        <w:lang w:val="es-ES" w:eastAsia="en-US" w:bidi="ar-SA"/>
      </w:rPr>
    </w:lvl>
    <w:lvl w:ilvl="7">
      <w:numFmt w:val="bullet"/>
      <w:lvlText w:val="•"/>
      <w:lvlJc w:val="left"/>
      <w:pPr>
        <w:ind w:left="3586" w:hanging="720"/>
      </w:pPr>
      <w:rPr>
        <w:rFonts w:hint="default"/>
        <w:lang w:val="es-ES" w:eastAsia="en-US" w:bidi="ar-SA"/>
      </w:rPr>
    </w:lvl>
    <w:lvl w:ilvl="8">
      <w:numFmt w:val="bullet"/>
      <w:lvlText w:val="•"/>
      <w:lvlJc w:val="left"/>
      <w:pPr>
        <w:ind w:left="3958" w:hanging="720"/>
      </w:pPr>
      <w:rPr>
        <w:rFonts w:hint="default"/>
        <w:lang w:val="es-ES" w:eastAsia="en-US" w:bidi="ar-SA"/>
      </w:rPr>
    </w:lvl>
  </w:abstractNum>
  <w:abstractNum w:abstractNumId="23" w15:restartNumberingAfterBreak="0">
    <w:nsid w:val="1E9E5A55"/>
    <w:multiLevelType w:val="hybridMultilevel"/>
    <w:tmpl w:val="57B40E06"/>
    <w:lvl w:ilvl="0" w:tplc="49524F00">
      <w:start w:val="1"/>
      <w:numFmt w:val="lowerRoman"/>
      <w:lvlText w:val="(%1)"/>
      <w:lvlJc w:val="left"/>
      <w:pPr>
        <w:ind w:left="1800" w:hanging="720"/>
      </w:pPr>
      <w:rPr>
        <w:rFonts w:ascii="Verdana" w:eastAsia="Verdana" w:hAnsi="Verdana" w:cs="Verdana" w:hint="default"/>
        <w:b w:val="0"/>
        <w:bCs w:val="0"/>
        <w:i w:val="0"/>
        <w:iCs w:val="0"/>
        <w:spacing w:val="-1"/>
        <w:w w:val="100"/>
        <w:sz w:val="24"/>
        <w:szCs w:val="24"/>
        <w:lang w:val="es-ES" w:eastAsia="en-US" w:bidi="ar-SA"/>
      </w:rPr>
    </w:lvl>
    <w:lvl w:ilvl="1" w:tplc="0E5AD11A">
      <w:numFmt w:val="bullet"/>
      <w:lvlText w:val="•"/>
      <w:lvlJc w:val="left"/>
      <w:pPr>
        <w:ind w:left="2666" w:hanging="720"/>
      </w:pPr>
      <w:rPr>
        <w:rFonts w:hint="default"/>
        <w:lang w:val="es-ES" w:eastAsia="en-US" w:bidi="ar-SA"/>
      </w:rPr>
    </w:lvl>
    <w:lvl w:ilvl="2" w:tplc="5F42DAC4">
      <w:numFmt w:val="bullet"/>
      <w:lvlText w:val="•"/>
      <w:lvlJc w:val="left"/>
      <w:pPr>
        <w:ind w:left="3533" w:hanging="720"/>
      </w:pPr>
      <w:rPr>
        <w:rFonts w:hint="default"/>
        <w:lang w:val="es-ES" w:eastAsia="en-US" w:bidi="ar-SA"/>
      </w:rPr>
    </w:lvl>
    <w:lvl w:ilvl="3" w:tplc="32F2BF6E">
      <w:numFmt w:val="bullet"/>
      <w:lvlText w:val="•"/>
      <w:lvlJc w:val="left"/>
      <w:pPr>
        <w:ind w:left="4399" w:hanging="720"/>
      </w:pPr>
      <w:rPr>
        <w:rFonts w:hint="default"/>
        <w:lang w:val="es-ES" w:eastAsia="en-US" w:bidi="ar-SA"/>
      </w:rPr>
    </w:lvl>
    <w:lvl w:ilvl="4" w:tplc="6078437A">
      <w:numFmt w:val="bullet"/>
      <w:lvlText w:val="•"/>
      <w:lvlJc w:val="left"/>
      <w:pPr>
        <w:ind w:left="5266" w:hanging="720"/>
      </w:pPr>
      <w:rPr>
        <w:rFonts w:hint="default"/>
        <w:lang w:val="es-ES" w:eastAsia="en-US" w:bidi="ar-SA"/>
      </w:rPr>
    </w:lvl>
    <w:lvl w:ilvl="5" w:tplc="26D401D8">
      <w:numFmt w:val="bullet"/>
      <w:lvlText w:val="•"/>
      <w:lvlJc w:val="left"/>
      <w:pPr>
        <w:ind w:left="6133" w:hanging="720"/>
      </w:pPr>
      <w:rPr>
        <w:rFonts w:hint="default"/>
        <w:lang w:val="es-ES" w:eastAsia="en-US" w:bidi="ar-SA"/>
      </w:rPr>
    </w:lvl>
    <w:lvl w:ilvl="6" w:tplc="F8824FF0">
      <w:numFmt w:val="bullet"/>
      <w:lvlText w:val="•"/>
      <w:lvlJc w:val="left"/>
      <w:pPr>
        <w:ind w:left="6999" w:hanging="720"/>
      </w:pPr>
      <w:rPr>
        <w:rFonts w:hint="default"/>
        <w:lang w:val="es-ES" w:eastAsia="en-US" w:bidi="ar-SA"/>
      </w:rPr>
    </w:lvl>
    <w:lvl w:ilvl="7" w:tplc="422ACC74">
      <w:numFmt w:val="bullet"/>
      <w:lvlText w:val="•"/>
      <w:lvlJc w:val="left"/>
      <w:pPr>
        <w:ind w:left="7866" w:hanging="720"/>
      </w:pPr>
      <w:rPr>
        <w:rFonts w:hint="default"/>
        <w:lang w:val="es-ES" w:eastAsia="en-US" w:bidi="ar-SA"/>
      </w:rPr>
    </w:lvl>
    <w:lvl w:ilvl="8" w:tplc="159C81E2">
      <w:numFmt w:val="bullet"/>
      <w:lvlText w:val="•"/>
      <w:lvlJc w:val="left"/>
      <w:pPr>
        <w:ind w:left="8733" w:hanging="720"/>
      </w:pPr>
      <w:rPr>
        <w:rFonts w:hint="default"/>
        <w:lang w:val="es-ES" w:eastAsia="en-US" w:bidi="ar-SA"/>
      </w:rPr>
    </w:lvl>
  </w:abstractNum>
  <w:abstractNum w:abstractNumId="24" w15:restartNumberingAfterBreak="0">
    <w:nsid w:val="21BC72BB"/>
    <w:multiLevelType w:val="hybridMultilevel"/>
    <w:tmpl w:val="6CAC776A"/>
    <w:lvl w:ilvl="0" w:tplc="951A844A">
      <w:start w:val="1"/>
      <w:numFmt w:val="upperRoman"/>
      <w:lvlText w:val="%1."/>
      <w:lvlJc w:val="left"/>
      <w:pPr>
        <w:ind w:left="1200" w:hanging="480"/>
      </w:pPr>
      <w:rPr>
        <w:rFonts w:ascii="Verdana" w:eastAsia="Verdana" w:hAnsi="Verdana" w:cs="Verdana" w:hint="default"/>
        <w:b/>
        <w:bCs/>
        <w:i/>
        <w:iCs/>
        <w:spacing w:val="-1"/>
        <w:w w:val="100"/>
        <w:sz w:val="22"/>
        <w:szCs w:val="22"/>
        <w:lang w:val="es-ES" w:eastAsia="en-US" w:bidi="ar-SA"/>
      </w:rPr>
    </w:lvl>
    <w:lvl w:ilvl="1" w:tplc="82965004">
      <w:numFmt w:val="bullet"/>
      <w:lvlText w:val="•"/>
      <w:lvlJc w:val="left"/>
      <w:pPr>
        <w:ind w:left="2126" w:hanging="480"/>
      </w:pPr>
      <w:rPr>
        <w:rFonts w:hint="default"/>
        <w:lang w:val="es-ES" w:eastAsia="en-US" w:bidi="ar-SA"/>
      </w:rPr>
    </w:lvl>
    <w:lvl w:ilvl="2" w:tplc="1AE87862">
      <w:numFmt w:val="bullet"/>
      <w:lvlText w:val="•"/>
      <w:lvlJc w:val="left"/>
      <w:pPr>
        <w:ind w:left="3053" w:hanging="480"/>
      </w:pPr>
      <w:rPr>
        <w:rFonts w:hint="default"/>
        <w:lang w:val="es-ES" w:eastAsia="en-US" w:bidi="ar-SA"/>
      </w:rPr>
    </w:lvl>
    <w:lvl w:ilvl="3" w:tplc="E3D64038">
      <w:numFmt w:val="bullet"/>
      <w:lvlText w:val="•"/>
      <w:lvlJc w:val="left"/>
      <w:pPr>
        <w:ind w:left="3979" w:hanging="480"/>
      </w:pPr>
      <w:rPr>
        <w:rFonts w:hint="default"/>
        <w:lang w:val="es-ES" w:eastAsia="en-US" w:bidi="ar-SA"/>
      </w:rPr>
    </w:lvl>
    <w:lvl w:ilvl="4" w:tplc="1EC608C0">
      <w:numFmt w:val="bullet"/>
      <w:lvlText w:val="•"/>
      <w:lvlJc w:val="left"/>
      <w:pPr>
        <w:ind w:left="4906" w:hanging="480"/>
      </w:pPr>
      <w:rPr>
        <w:rFonts w:hint="default"/>
        <w:lang w:val="es-ES" w:eastAsia="en-US" w:bidi="ar-SA"/>
      </w:rPr>
    </w:lvl>
    <w:lvl w:ilvl="5" w:tplc="FED83958">
      <w:numFmt w:val="bullet"/>
      <w:lvlText w:val="•"/>
      <w:lvlJc w:val="left"/>
      <w:pPr>
        <w:ind w:left="5833" w:hanging="480"/>
      </w:pPr>
      <w:rPr>
        <w:rFonts w:hint="default"/>
        <w:lang w:val="es-ES" w:eastAsia="en-US" w:bidi="ar-SA"/>
      </w:rPr>
    </w:lvl>
    <w:lvl w:ilvl="6" w:tplc="4E3EFFE6">
      <w:numFmt w:val="bullet"/>
      <w:lvlText w:val="•"/>
      <w:lvlJc w:val="left"/>
      <w:pPr>
        <w:ind w:left="6759" w:hanging="480"/>
      </w:pPr>
      <w:rPr>
        <w:rFonts w:hint="default"/>
        <w:lang w:val="es-ES" w:eastAsia="en-US" w:bidi="ar-SA"/>
      </w:rPr>
    </w:lvl>
    <w:lvl w:ilvl="7" w:tplc="BD341288">
      <w:numFmt w:val="bullet"/>
      <w:lvlText w:val="•"/>
      <w:lvlJc w:val="left"/>
      <w:pPr>
        <w:ind w:left="7686" w:hanging="480"/>
      </w:pPr>
      <w:rPr>
        <w:rFonts w:hint="default"/>
        <w:lang w:val="es-ES" w:eastAsia="en-US" w:bidi="ar-SA"/>
      </w:rPr>
    </w:lvl>
    <w:lvl w:ilvl="8" w:tplc="70B8A230">
      <w:numFmt w:val="bullet"/>
      <w:lvlText w:val="•"/>
      <w:lvlJc w:val="left"/>
      <w:pPr>
        <w:ind w:left="8613" w:hanging="480"/>
      </w:pPr>
      <w:rPr>
        <w:rFonts w:hint="default"/>
        <w:lang w:val="es-ES" w:eastAsia="en-US" w:bidi="ar-SA"/>
      </w:rPr>
    </w:lvl>
  </w:abstractNum>
  <w:abstractNum w:abstractNumId="25" w15:restartNumberingAfterBreak="0">
    <w:nsid w:val="241B57E7"/>
    <w:multiLevelType w:val="hybridMultilevel"/>
    <w:tmpl w:val="0AF83A92"/>
    <w:lvl w:ilvl="0" w:tplc="6C7EAF34">
      <w:start w:val="1"/>
      <w:numFmt w:val="decimal"/>
      <w:lvlText w:val="%1."/>
      <w:lvlJc w:val="left"/>
      <w:pPr>
        <w:ind w:left="828" w:hanging="360"/>
      </w:pPr>
      <w:rPr>
        <w:rFonts w:ascii="Verdana" w:eastAsia="Verdana" w:hAnsi="Verdana" w:cs="Verdana" w:hint="default"/>
        <w:b w:val="0"/>
        <w:bCs w:val="0"/>
        <w:i/>
        <w:iCs/>
        <w:color w:val="333333"/>
        <w:spacing w:val="0"/>
        <w:w w:val="99"/>
        <w:sz w:val="20"/>
        <w:szCs w:val="20"/>
        <w:lang w:val="es-ES" w:eastAsia="en-US" w:bidi="ar-SA"/>
      </w:rPr>
    </w:lvl>
    <w:lvl w:ilvl="1" w:tplc="CDBC2C3A">
      <w:numFmt w:val="bullet"/>
      <w:lvlText w:val="•"/>
      <w:lvlJc w:val="left"/>
      <w:pPr>
        <w:ind w:left="1207" w:hanging="360"/>
      </w:pPr>
      <w:rPr>
        <w:rFonts w:hint="default"/>
        <w:lang w:val="es-ES" w:eastAsia="en-US" w:bidi="ar-SA"/>
      </w:rPr>
    </w:lvl>
    <w:lvl w:ilvl="2" w:tplc="19E257F6">
      <w:numFmt w:val="bullet"/>
      <w:lvlText w:val="•"/>
      <w:lvlJc w:val="left"/>
      <w:pPr>
        <w:ind w:left="1594" w:hanging="360"/>
      </w:pPr>
      <w:rPr>
        <w:rFonts w:hint="default"/>
        <w:lang w:val="es-ES" w:eastAsia="en-US" w:bidi="ar-SA"/>
      </w:rPr>
    </w:lvl>
    <w:lvl w:ilvl="3" w:tplc="F4B8BF74">
      <w:numFmt w:val="bullet"/>
      <w:lvlText w:val="•"/>
      <w:lvlJc w:val="left"/>
      <w:pPr>
        <w:ind w:left="1981" w:hanging="360"/>
      </w:pPr>
      <w:rPr>
        <w:rFonts w:hint="default"/>
        <w:lang w:val="es-ES" w:eastAsia="en-US" w:bidi="ar-SA"/>
      </w:rPr>
    </w:lvl>
    <w:lvl w:ilvl="4" w:tplc="3CFAB430">
      <w:numFmt w:val="bullet"/>
      <w:lvlText w:val="•"/>
      <w:lvlJc w:val="left"/>
      <w:pPr>
        <w:ind w:left="2368" w:hanging="360"/>
      </w:pPr>
      <w:rPr>
        <w:rFonts w:hint="default"/>
        <w:lang w:val="es-ES" w:eastAsia="en-US" w:bidi="ar-SA"/>
      </w:rPr>
    </w:lvl>
    <w:lvl w:ilvl="5" w:tplc="0576DEF6">
      <w:numFmt w:val="bullet"/>
      <w:lvlText w:val="•"/>
      <w:lvlJc w:val="left"/>
      <w:pPr>
        <w:ind w:left="2756" w:hanging="360"/>
      </w:pPr>
      <w:rPr>
        <w:rFonts w:hint="default"/>
        <w:lang w:val="es-ES" w:eastAsia="en-US" w:bidi="ar-SA"/>
      </w:rPr>
    </w:lvl>
    <w:lvl w:ilvl="6" w:tplc="FF62DE70">
      <w:numFmt w:val="bullet"/>
      <w:lvlText w:val="•"/>
      <w:lvlJc w:val="left"/>
      <w:pPr>
        <w:ind w:left="3143" w:hanging="360"/>
      </w:pPr>
      <w:rPr>
        <w:rFonts w:hint="default"/>
        <w:lang w:val="es-ES" w:eastAsia="en-US" w:bidi="ar-SA"/>
      </w:rPr>
    </w:lvl>
    <w:lvl w:ilvl="7" w:tplc="0BBCAC2C">
      <w:numFmt w:val="bullet"/>
      <w:lvlText w:val="•"/>
      <w:lvlJc w:val="left"/>
      <w:pPr>
        <w:ind w:left="3530" w:hanging="360"/>
      </w:pPr>
      <w:rPr>
        <w:rFonts w:hint="default"/>
        <w:lang w:val="es-ES" w:eastAsia="en-US" w:bidi="ar-SA"/>
      </w:rPr>
    </w:lvl>
    <w:lvl w:ilvl="8" w:tplc="82EAADDA">
      <w:numFmt w:val="bullet"/>
      <w:lvlText w:val="•"/>
      <w:lvlJc w:val="left"/>
      <w:pPr>
        <w:ind w:left="3917" w:hanging="360"/>
      </w:pPr>
      <w:rPr>
        <w:rFonts w:hint="default"/>
        <w:lang w:val="es-ES" w:eastAsia="en-US" w:bidi="ar-SA"/>
      </w:rPr>
    </w:lvl>
  </w:abstractNum>
  <w:abstractNum w:abstractNumId="26" w15:restartNumberingAfterBreak="0">
    <w:nsid w:val="253A6809"/>
    <w:multiLevelType w:val="hybridMultilevel"/>
    <w:tmpl w:val="F8821BF0"/>
    <w:lvl w:ilvl="0" w:tplc="2D520F62">
      <w:start w:val="1"/>
      <w:numFmt w:val="decimal"/>
      <w:lvlText w:val="%1."/>
      <w:lvlJc w:val="left"/>
      <w:pPr>
        <w:ind w:left="107" w:hanging="595"/>
      </w:pPr>
      <w:rPr>
        <w:rFonts w:ascii="Verdana" w:eastAsia="Verdana" w:hAnsi="Verdana" w:cs="Verdana" w:hint="default"/>
        <w:b w:val="0"/>
        <w:bCs w:val="0"/>
        <w:i/>
        <w:iCs/>
        <w:strike/>
        <w:color w:val="333333"/>
        <w:spacing w:val="0"/>
        <w:w w:val="88"/>
        <w:sz w:val="20"/>
        <w:szCs w:val="20"/>
        <w:lang w:val="es-ES" w:eastAsia="en-US" w:bidi="ar-SA"/>
      </w:rPr>
    </w:lvl>
    <w:lvl w:ilvl="1" w:tplc="A8823602">
      <w:numFmt w:val="bullet"/>
      <w:lvlText w:val="•"/>
      <w:lvlJc w:val="left"/>
      <w:pPr>
        <w:ind w:left="560" w:hanging="595"/>
      </w:pPr>
      <w:rPr>
        <w:rFonts w:hint="default"/>
        <w:lang w:val="es-ES" w:eastAsia="en-US" w:bidi="ar-SA"/>
      </w:rPr>
    </w:lvl>
    <w:lvl w:ilvl="2" w:tplc="48683BDC">
      <w:numFmt w:val="bullet"/>
      <w:lvlText w:val="•"/>
      <w:lvlJc w:val="left"/>
      <w:pPr>
        <w:ind w:left="1020" w:hanging="595"/>
      </w:pPr>
      <w:rPr>
        <w:rFonts w:hint="default"/>
        <w:lang w:val="es-ES" w:eastAsia="en-US" w:bidi="ar-SA"/>
      </w:rPr>
    </w:lvl>
    <w:lvl w:ilvl="3" w:tplc="CB28486A">
      <w:numFmt w:val="bullet"/>
      <w:lvlText w:val="•"/>
      <w:lvlJc w:val="left"/>
      <w:pPr>
        <w:ind w:left="1480" w:hanging="595"/>
      </w:pPr>
      <w:rPr>
        <w:rFonts w:hint="default"/>
        <w:lang w:val="es-ES" w:eastAsia="en-US" w:bidi="ar-SA"/>
      </w:rPr>
    </w:lvl>
    <w:lvl w:ilvl="4" w:tplc="89BC8E52">
      <w:numFmt w:val="bullet"/>
      <w:lvlText w:val="•"/>
      <w:lvlJc w:val="left"/>
      <w:pPr>
        <w:ind w:left="1941" w:hanging="595"/>
      </w:pPr>
      <w:rPr>
        <w:rFonts w:hint="default"/>
        <w:lang w:val="es-ES" w:eastAsia="en-US" w:bidi="ar-SA"/>
      </w:rPr>
    </w:lvl>
    <w:lvl w:ilvl="5" w:tplc="612C6D70">
      <w:numFmt w:val="bullet"/>
      <w:lvlText w:val="•"/>
      <w:lvlJc w:val="left"/>
      <w:pPr>
        <w:ind w:left="2401" w:hanging="595"/>
      </w:pPr>
      <w:rPr>
        <w:rFonts w:hint="default"/>
        <w:lang w:val="es-ES" w:eastAsia="en-US" w:bidi="ar-SA"/>
      </w:rPr>
    </w:lvl>
    <w:lvl w:ilvl="6" w:tplc="BB08D5D0">
      <w:numFmt w:val="bullet"/>
      <w:lvlText w:val="•"/>
      <w:lvlJc w:val="left"/>
      <w:pPr>
        <w:ind w:left="2861" w:hanging="595"/>
      </w:pPr>
      <w:rPr>
        <w:rFonts w:hint="default"/>
        <w:lang w:val="es-ES" w:eastAsia="en-US" w:bidi="ar-SA"/>
      </w:rPr>
    </w:lvl>
    <w:lvl w:ilvl="7" w:tplc="27C4FAAC">
      <w:numFmt w:val="bullet"/>
      <w:lvlText w:val="•"/>
      <w:lvlJc w:val="left"/>
      <w:pPr>
        <w:ind w:left="3322" w:hanging="595"/>
      </w:pPr>
      <w:rPr>
        <w:rFonts w:hint="default"/>
        <w:lang w:val="es-ES" w:eastAsia="en-US" w:bidi="ar-SA"/>
      </w:rPr>
    </w:lvl>
    <w:lvl w:ilvl="8" w:tplc="3D6A8B26">
      <w:numFmt w:val="bullet"/>
      <w:lvlText w:val="•"/>
      <w:lvlJc w:val="left"/>
      <w:pPr>
        <w:ind w:left="3782" w:hanging="595"/>
      </w:pPr>
      <w:rPr>
        <w:rFonts w:hint="default"/>
        <w:lang w:val="es-ES" w:eastAsia="en-US" w:bidi="ar-SA"/>
      </w:rPr>
    </w:lvl>
  </w:abstractNum>
  <w:abstractNum w:abstractNumId="27" w15:restartNumberingAfterBreak="0">
    <w:nsid w:val="2800458B"/>
    <w:multiLevelType w:val="hybridMultilevel"/>
    <w:tmpl w:val="64220024"/>
    <w:lvl w:ilvl="0" w:tplc="C656847A">
      <w:numFmt w:val="bullet"/>
      <w:lvlText w:val=""/>
      <w:lvlJc w:val="left"/>
      <w:pPr>
        <w:ind w:left="398" w:hanging="361"/>
      </w:pPr>
      <w:rPr>
        <w:rFonts w:ascii="Symbol" w:eastAsia="Symbol" w:hAnsi="Symbol" w:cs="Symbol" w:hint="default"/>
        <w:b w:val="0"/>
        <w:bCs w:val="0"/>
        <w:i w:val="0"/>
        <w:iCs w:val="0"/>
        <w:spacing w:val="0"/>
        <w:w w:val="100"/>
        <w:sz w:val="18"/>
        <w:szCs w:val="18"/>
        <w:lang w:val="es-ES" w:eastAsia="en-US" w:bidi="ar-SA"/>
      </w:rPr>
    </w:lvl>
    <w:lvl w:ilvl="1" w:tplc="A444533E">
      <w:numFmt w:val="bullet"/>
      <w:lvlText w:val="•"/>
      <w:lvlJc w:val="left"/>
      <w:pPr>
        <w:ind w:left="710" w:hanging="361"/>
      </w:pPr>
      <w:rPr>
        <w:rFonts w:hint="default"/>
        <w:lang w:val="es-ES" w:eastAsia="en-US" w:bidi="ar-SA"/>
      </w:rPr>
    </w:lvl>
    <w:lvl w:ilvl="2" w:tplc="F61E82A0">
      <w:numFmt w:val="bullet"/>
      <w:lvlText w:val="•"/>
      <w:lvlJc w:val="left"/>
      <w:pPr>
        <w:ind w:left="1020" w:hanging="361"/>
      </w:pPr>
      <w:rPr>
        <w:rFonts w:hint="default"/>
        <w:lang w:val="es-ES" w:eastAsia="en-US" w:bidi="ar-SA"/>
      </w:rPr>
    </w:lvl>
    <w:lvl w:ilvl="3" w:tplc="B8FE8D42">
      <w:numFmt w:val="bullet"/>
      <w:lvlText w:val="•"/>
      <w:lvlJc w:val="left"/>
      <w:pPr>
        <w:ind w:left="1331" w:hanging="361"/>
      </w:pPr>
      <w:rPr>
        <w:rFonts w:hint="default"/>
        <w:lang w:val="es-ES" w:eastAsia="en-US" w:bidi="ar-SA"/>
      </w:rPr>
    </w:lvl>
    <w:lvl w:ilvl="4" w:tplc="AA0CFC72">
      <w:numFmt w:val="bullet"/>
      <w:lvlText w:val="•"/>
      <w:lvlJc w:val="left"/>
      <w:pPr>
        <w:ind w:left="1641" w:hanging="361"/>
      </w:pPr>
      <w:rPr>
        <w:rFonts w:hint="default"/>
        <w:lang w:val="es-ES" w:eastAsia="en-US" w:bidi="ar-SA"/>
      </w:rPr>
    </w:lvl>
    <w:lvl w:ilvl="5" w:tplc="636804BE">
      <w:numFmt w:val="bullet"/>
      <w:lvlText w:val="•"/>
      <w:lvlJc w:val="left"/>
      <w:pPr>
        <w:ind w:left="1952" w:hanging="361"/>
      </w:pPr>
      <w:rPr>
        <w:rFonts w:hint="default"/>
        <w:lang w:val="es-ES" w:eastAsia="en-US" w:bidi="ar-SA"/>
      </w:rPr>
    </w:lvl>
    <w:lvl w:ilvl="6" w:tplc="465E14BC">
      <w:numFmt w:val="bullet"/>
      <w:lvlText w:val="•"/>
      <w:lvlJc w:val="left"/>
      <w:pPr>
        <w:ind w:left="2262" w:hanging="361"/>
      </w:pPr>
      <w:rPr>
        <w:rFonts w:hint="default"/>
        <w:lang w:val="es-ES" w:eastAsia="en-US" w:bidi="ar-SA"/>
      </w:rPr>
    </w:lvl>
    <w:lvl w:ilvl="7" w:tplc="DEF8626E">
      <w:numFmt w:val="bullet"/>
      <w:lvlText w:val="•"/>
      <w:lvlJc w:val="left"/>
      <w:pPr>
        <w:ind w:left="2572" w:hanging="361"/>
      </w:pPr>
      <w:rPr>
        <w:rFonts w:hint="default"/>
        <w:lang w:val="es-ES" w:eastAsia="en-US" w:bidi="ar-SA"/>
      </w:rPr>
    </w:lvl>
    <w:lvl w:ilvl="8" w:tplc="A0E6059A">
      <w:numFmt w:val="bullet"/>
      <w:lvlText w:val="•"/>
      <w:lvlJc w:val="left"/>
      <w:pPr>
        <w:ind w:left="2883" w:hanging="361"/>
      </w:pPr>
      <w:rPr>
        <w:rFonts w:hint="default"/>
        <w:lang w:val="es-ES" w:eastAsia="en-US" w:bidi="ar-SA"/>
      </w:rPr>
    </w:lvl>
  </w:abstractNum>
  <w:abstractNum w:abstractNumId="28" w15:restartNumberingAfterBreak="0">
    <w:nsid w:val="30E917F4"/>
    <w:multiLevelType w:val="hybridMultilevel"/>
    <w:tmpl w:val="3918AC24"/>
    <w:lvl w:ilvl="0" w:tplc="51A23B5A">
      <w:numFmt w:val="bullet"/>
      <w:lvlText w:val=""/>
      <w:lvlJc w:val="left"/>
      <w:pPr>
        <w:ind w:left="398" w:hanging="361"/>
      </w:pPr>
      <w:rPr>
        <w:rFonts w:ascii="Symbol" w:eastAsia="Symbol" w:hAnsi="Symbol" w:cs="Symbol" w:hint="default"/>
        <w:b w:val="0"/>
        <w:bCs w:val="0"/>
        <w:i w:val="0"/>
        <w:iCs w:val="0"/>
        <w:spacing w:val="0"/>
        <w:w w:val="100"/>
        <w:sz w:val="18"/>
        <w:szCs w:val="18"/>
        <w:lang w:val="es-ES" w:eastAsia="en-US" w:bidi="ar-SA"/>
      </w:rPr>
    </w:lvl>
    <w:lvl w:ilvl="1" w:tplc="527E1B32">
      <w:numFmt w:val="bullet"/>
      <w:lvlText w:val="•"/>
      <w:lvlJc w:val="left"/>
      <w:pPr>
        <w:ind w:left="710" w:hanging="361"/>
      </w:pPr>
      <w:rPr>
        <w:rFonts w:hint="default"/>
        <w:lang w:val="es-ES" w:eastAsia="en-US" w:bidi="ar-SA"/>
      </w:rPr>
    </w:lvl>
    <w:lvl w:ilvl="2" w:tplc="B88C4EE4">
      <w:numFmt w:val="bullet"/>
      <w:lvlText w:val="•"/>
      <w:lvlJc w:val="left"/>
      <w:pPr>
        <w:ind w:left="1020" w:hanging="361"/>
      </w:pPr>
      <w:rPr>
        <w:rFonts w:hint="default"/>
        <w:lang w:val="es-ES" w:eastAsia="en-US" w:bidi="ar-SA"/>
      </w:rPr>
    </w:lvl>
    <w:lvl w:ilvl="3" w:tplc="03C615CE">
      <w:numFmt w:val="bullet"/>
      <w:lvlText w:val="•"/>
      <w:lvlJc w:val="left"/>
      <w:pPr>
        <w:ind w:left="1331" w:hanging="361"/>
      </w:pPr>
      <w:rPr>
        <w:rFonts w:hint="default"/>
        <w:lang w:val="es-ES" w:eastAsia="en-US" w:bidi="ar-SA"/>
      </w:rPr>
    </w:lvl>
    <w:lvl w:ilvl="4" w:tplc="0874A9BA">
      <w:numFmt w:val="bullet"/>
      <w:lvlText w:val="•"/>
      <w:lvlJc w:val="left"/>
      <w:pPr>
        <w:ind w:left="1641" w:hanging="361"/>
      </w:pPr>
      <w:rPr>
        <w:rFonts w:hint="default"/>
        <w:lang w:val="es-ES" w:eastAsia="en-US" w:bidi="ar-SA"/>
      </w:rPr>
    </w:lvl>
    <w:lvl w:ilvl="5" w:tplc="F21A7B0C">
      <w:numFmt w:val="bullet"/>
      <w:lvlText w:val="•"/>
      <w:lvlJc w:val="left"/>
      <w:pPr>
        <w:ind w:left="1952" w:hanging="361"/>
      </w:pPr>
      <w:rPr>
        <w:rFonts w:hint="default"/>
        <w:lang w:val="es-ES" w:eastAsia="en-US" w:bidi="ar-SA"/>
      </w:rPr>
    </w:lvl>
    <w:lvl w:ilvl="6" w:tplc="F5263548">
      <w:numFmt w:val="bullet"/>
      <w:lvlText w:val="•"/>
      <w:lvlJc w:val="left"/>
      <w:pPr>
        <w:ind w:left="2262" w:hanging="361"/>
      </w:pPr>
      <w:rPr>
        <w:rFonts w:hint="default"/>
        <w:lang w:val="es-ES" w:eastAsia="en-US" w:bidi="ar-SA"/>
      </w:rPr>
    </w:lvl>
    <w:lvl w:ilvl="7" w:tplc="84182E94">
      <w:numFmt w:val="bullet"/>
      <w:lvlText w:val="•"/>
      <w:lvlJc w:val="left"/>
      <w:pPr>
        <w:ind w:left="2572" w:hanging="361"/>
      </w:pPr>
      <w:rPr>
        <w:rFonts w:hint="default"/>
        <w:lang w:val="es-ES" w:eastAsia="en-US" w:bidi="ar-SA"/>
      </w:rPr>
    </w:lvl>
    <w:lvl w:ilvl="8" w:tplc="5726B90E">
      <w:numFmt w:val="bullet"/>
      <w:lvlText w:val="•"/>
      <w:lvlJc w:val="left"/>
      <w:pPr>
        <w:ind w:left="2883" w:hanging="361"/>
      </w:pPr>
      <w:rPr>
        <w:rFonts w:hint="default"/>
        <w:lang w:val="es-ES" w:eastAsia="en-US" w:bidi="ar-SA"/>
      </w:rPr>
    </w:lvl>
  </w:abstractNum>
  <w:abstractNum w:abstractNumId="29" w15:restartNumberingAfterBreak="0">
    <w:nsid w:val="312045EE"/>
    <w:multiLevelType w:val="hybridMultilevel"/>
    <w:tmpl w:val="DAE0635C"/>
    <w:lvl w:ilvl="0" w:tplc="38D6DFAE">
      <w:start w:val="1"/>
      <w:numFmt w:val="lowerRoman"/>
      <w:lvlText w:val="(%1)"/>
      <w:lvlJc w:val="left"/>
      <w:pPr>
        <w:ind w:left="720" w:hanging="366"/>
      </w:pPr>
      <w:rPr>
        <w:rFonts w:ascii="Verdana" w:eastAsia="Verdana" w:hAnsi="Verdana" w:cs="Verdana" w:hint="default"/>
        <w:b w:val="0"/>
        <w:bCs w:val="0"/>
        <w:i w:val="0"/>
        <w:iCs w:val="0"/>
        <w:spacing w:val="-1"/>
        <w:w w:val="100"/>
        <w:sz w:val="24"/>
        <w:szCs w:val="24"/>
        <w:lang w:val="es-ES" w:eastAsia="en-US" w:bidi="ar-SA"/>
      </w:rPr>
    </w:lvl>
    <w:lvl w:ilvl="1" w:tplc="938AC070">
      <w:numFmt w:val="bullet"/>
      <w:lvlText w:val="•"/>
      <w:lvlJc w:val="left"/>
      <w:pPr>
        <w:ind w:left="1694" w:hanging="366"/>
      </w:pPr>
      <w:rPr>
        <w:rFonts w:hint="default"/>
        <w:lang w:val="es-ES" w:eastAsia="en-US" w:bidi="ar-SA"/>
      </w:rPr>
    </w:lvl>
    <w:lvl w:ilvl="2" w:tplc="FE40642C">
      <w:numFmt w:val="bullet"/>
      <w:lvlText w:val="•"/>
      <w:lvlJc w:val="left"/>
      <w:pPr>
        <w:ind w:left="2669" w:hanging="366"/>
      </w:pPr>
      <w:rPr>
        <w:rFonts w:hint="default"/>
        <w:lang w:val="es-ES" w:eastAsia="en-US" w:bidi="ar-SA"/>
      </w:rPr>
    </w:lvl>
    <w:lvl w:ilvl="3" w:tplc="41860CF0">
      <w:numFmt w:val="bullet"/>
      <w:lvlText w:val="•"/>
      <w:lvlJc w:val="left"/>
      <w:pPr>
        <w:ind w:left="3643" w:hanging="366"/>
      </w:pPr>
      <w:rPr>
        <w:rFonts w:hint="default"/>
        <w:lang w:val="es-ES" w:eastAsia="en-US" w:bidi="ar-SA"/>
      </w:rPr>
    </w:lvl>
    <w:lvl w:ilvl="4" w:tplc="CC2A08BC">
      <w:numFmt w:val="bullet"/>
      <w:lvlText w:val="•"/>
      <w:lvlJc w:val="left"/>
      <w:pPr>
        <w:ind w:left="4618" w:hanging="366"/>
      </w:pPr>
      <w:rPr>
        <w:rFonts w:hint="default"/>
        <w:lang w:val="es-ES" w:eastAsia="en-US" w:bidi="ar-SA"/>
      </w:rPr>
    </w:lvl>
    <w:lvl w:ilvl="5" w:tplc="918C1BEC">
      <w:numFmt w:val="bullet"/>
      <w:lvlText w:val="•"/>
      <w:lvlJc w:val="left"/>
      <w:pPr>
        <w:ind w:left="5593" w:hanging="366"/>
      </w:pPr>
      <w:rPr>
        <w:rFonts w:hint="default"/>
        <w:lang w:val="es-ES" w:eastAsia="en-US" w:bidi="ar-SA"/>
      </w:rPr>
    </w:lvl>
    <w:lvl w:ilvl="6" w:tplc="8F4CF5B6">
      <w:numFmt w:val="bullet"/>
      <w:lvlText w:val="•"/>
      <w:lvlJc w:val="left"/>
      <w:pPr>
        <w:ind w:left="6567" w:hanging="366"/>
      </w:pPr>
      <w:rPr>
        <w:rFonts w:hint="default"/>
        <w:lang w:val="es-ES" w:eastAsia="en-US" w:bidi="ar-SA"/>
      </w:rPr>
    </w:lvl>
    <w:lvl w:ilvl="7" w:tplc="E5A8F4E4">
      <w:numFmt w:val="bullet"/>
      <w:lvlText w:val="•"/>
      <w:lvlJc w:val="left"/>
      <w:pPr>
        <w:ind w:left="7542" w:hanging="366"/>
      </w:pPr>
      <w:rPr>
        <w:rFonts w:hint="default"/>
        <w:lang w:val="es-ES" w:eastAsia="en-US" w:bidi="ar-SA"/>
      </w:rPr>
    </w:lvl>
    <w:lvl w:ilvl="8" w:tplc="916678F6">
      <w:numFmt w:val="bullet"/>
      <w:lvlText w:val="•"/>
      <w:lvlJc w:val="left"/>
      <w:pPr>
        <w:ind w:left="8517" w:hanging="366"/>
      </w:pPr>
      <w:rPr>
        <w:rFonts w:hint="default"/>
        <w:lang w:val="es-ES" w:eastAsia="en-US" w:bidi="ar-SA"/>
      </w:rPr>
    </w:lvl>
  </w:abstractNum>
  <w:abstractNum w:abstractNumId="30" w15:restartNumberingAfterBreak="0">
    <w:nsid w:val="35F06769"/>
    <w:multiLevelType w:val="hybridMultilevel"/>
    <w:tmpl w:val="E266E2AA"/>
    <w:lvl w:ilvl="0" w:tplc="2494BF64">
      <w:numFmt w:val="bullet"/>
      <w:lvlText w:val=""/>
      <w:lvlJc w:val="left"/>
      <w:pPr>
        <w:ind w:left="1440" w:hanging="360"/>
      </w:pPr>
      <w:rPr>
        <w:rFonts w:ascii="Symbol" w:eastAsia="Symbol" w:hAnsi="Symbol" w:cs="Symbol" w:hint="default"/>
        <w:b w:val="0"/>
        <w:bCs w:val="0"/>
        <w:i w:val="0"/>
        <w:iCs w:val="0"/>
        <w:spacing w:val="0"/>
        <w:w w:val="100"/>
        <w:sz w:val="24"/>
        <w:szCs w:val="24"/>
        <w:lang w:val="es-ES" w:eastAsia="en-US" w:bidi="ar-SA"/>
      </w:rPr>
    </w:lvl>
    <w:lvl w:ilvl="1" w:tplc="083C58BE">
      <w:numFmt w:val="bullet"/>
      <w:lvlText w:val="•"/>
      <w:lvlJc w:val="left"/>
      <w:pPr>
        <w:ind w:left="2306" w:hanging="360"/>
      </w:pPr>
      <w:rPr>
        <w:rFonts w:hint="default"/>
        <w:lang w:val="es-ES" w:eastAsia="en-US" w:bidi="ar-SA"/>
      </w:rPr>
    </w:lvl>
    <w:lvl w:ilvl="2" w:tplc="D6867B78">
      <w:numFmt w:val="bullet"/>
      <w:lvlText w:val="•"/>
      <w:lvlJc w:val="left"/>
      <w:pPr>
        <w:ind w:left="3173" w:hanging="360"/>
      </w:pPr>
      <w:rPr>
        <w:rFonts w:hint="default"/>
        <w:lang w:val="es-ES" w:eastAsia="en-US" w:bidi="ar-SA"/>
      </w:rPr>
    </w:lvl>
    <w:lvl w:ilvl="3" w:tplc="30CECDCC">
      <w:numFmt w:val="bullet"/>
      <w:lvlText w:val="•"/>
      <w:lvlJc w:val="left"/>
      <w:pPr>
        <w:ind w:left="4039" w:hanging="360"/>
      </w:pPr>
      <w:rPr>
        <w:rFonts w:hint="default"/>
        <w:lang w:val="es-ES" w:eastAsia="en-US" w:bidi="ar-SA"/>
      </w:rPr>
    </w:lvl>
    <w:lvl w:ilvl="4" w:tplc="83C82DEE">
      <w:numFmt w:val="bullet"/>
      <w:lvlText w:val="•"/>
      <w:lvlJc w:val="left"/>
      <w:pPr>
        <w:ind w:left="4906" w:hanging="360"/>
      </w:pPr>
      <w:rPr>
        <w:rFonts w:hint="default"/>
        <w:lang w:val="es-ES" w:eastAsia="en-US" w:bidi="ar-SA"/>
      </w:rPr>
    </w:lvl>
    <w:lvl w:ilvl="5" w:tplc="8B2218BC">
      <w:numFmt w:val="bullet"/>
      <w:lvlText w:val="•"/>
      <w:lvlJc w:val="left"/>
      <w:pPr>
        <w:ind w:left="5773" w:hanging="360"/>
      </w:pPr>
      <w:rPr>
        <w:rFonts w:hint="default"/>
        <w:lang w:val="es-ES" w:eastAsia="en-US" w:bidi="ar-SA"/>
      </w:rPr>
    </w:lvl>
    <w:lvl w:ilvl="6" w:tplc="44C463B0">
      <w:numFmt w:val="bullet"/>
      <w:lvlText w:val="•"/>
      <w:lvlJc w:val="left"/>
      <w:pPr>
        <w:ind w:left="6639" w:hanging="360"/>
      </w:pPr>
      <w:rPr>
        <w:rFonts w:hint="default"/>
        <w:lang w:val="es-ES" w:eastAsia="en-US" w:bidi="ar-SA"/>
      </w:rPr>
    </w:lvl>
    <w:lvl w:ilvl="7" w:tplc="AF4EDBB0">
      <w:numFmt w:val="bullet"/>
      <w:lvlText w:val="•"/>
      <w:lvlJc w:val="left"/>
      <w:pPr>
        <w:ind w:left="7506" w:hanging="360"/>
      </w:pPr>
      <w:rPr>
        <w:rFonts w:hint="default"/>
        <w:lang w:val="es-ES" w:eastAsia="en-US" w:bidi="ar-SA"/>
      </w:rPr>
    </w:lvl>
    <w:lvl w:ilvl="8" w:tplc="934AF84C">
      <w:numFmt w:val="bullet"/>
      <w:lvlText w:val="•"/>
      <w:lvlJc w:val="left"/>
      <w:pPr>
        <w:ind w:left="8373" w:hanging="360"/>
      </w:pPr>
      <w:rPr>
        <w:rFonts w:hint="default"/>
        <w:lang w:val="es-ES" w:eastAsia="en-US" w:bidi="ar-SA"/>
      </w:rPr>
    </w:lvl>
  </w:abstractNum>
  <w:abstractNum w:abstractNumId="31" w15:restartNumberingAfterBreak="0">
    <w:nsid w:val="36227109"/>
    <w:multiLevelType w:val="multilevel"/>
    <w:tmpl w:val="7C4E49F4"/>
    <w:lvl w:ilvl="0">
      <w:start w:val="5"/>
      <w:numFmt w:val="decimal"/>
      <w:lvlText w:val="%1"/>
      <w:lvlJc w:val="left"/>
      <w:pPr>
        <w:ind w:left="108" w:hanging="430"/>
      </w:pPr>
      <w:rPr>
        <w:rFonts w:hint="default"/>
        <w:lang w:val="es-ES" w:eastAsia="en-US" w:bidi="ar-SA"/>
      </w:rPr>
    </w:lvl>
    <w:lvl w:ilvl="1">
      <w:start w:val="1"/>
      <w:numFmt w:val="decimal"/>
      <w:lvlText w:val="%1.%2"/>
      <w:lvlJc w:val="left"/>
      <w:pPr>
        <w:ind w:left="108" w:hanging="430"/>
      </w:pPr>
      <w:rPr>
        <w:rFonts w:ascii="Verdana" w:eastAsia="Verdana" w:hAnsi="Verdana" w:cs="Verdana" w:hint="default"/>
        <w:b/>
        <w:bCs/>
        <w:i w:val="0"/>
        <w:iCs w:val="0"/>
        <w:spacing w:val="-1"/>
        <w:w w:val="100"/>
        <w:sz w:val="18"/>
        <w:szCs w:val="18"/>
        <w:lang w:val="es-ES" w:eastAsia="en-US" w:bidi="ar-SA"/>
      </w:rPr>
    </w:lvl>
    <w:lvl w:ilvl="2">
      <w:numFmt w:val="bullet"/>
      <w:lvlText w:val="•"/>
      <w:lvlJc w:val="left"/>
      <w:pPr>
        <w:ind w:left="828" w:hanging="430"/>
      </w:pPr>
      <w:rPr>
        <w:rFonts w:hint="default"/>
        <w:lang w:val="es-ES" w:eastAsia="en-US" w:bidi="ar-SA"/>
      </w:rPr>
    </w:lvl>
    <w:lvl w:ilvl="3">
      <w:numFmt w:val="bullet"/>
      <w:lvlText w:val="•"/>
      <w:lvlJc w:val="left"/>
      <w:pPr>
        <w:ind w:left="1192" w:hanging="430"/>
      </w:pPr>
      <w:rPr>
        <w:rFonts w:hint="default"/>
        <w:lang w:val="es-ES" w:eastAsia="en-US" w:bidi="ar-SA"/>
      </w:rPr>
    </w:lvl>
    <w:lvl w:ilvl="4">
      <w:numFmt w:val="bullet"/>
      <w:lvlText w:val="•"/>
      <w:lvlJc w:val="left"/>
      <w:pPr>
        <w:ind w:left="1556" w:hanging="430"/>
      </w:pPr>
      <w:rPr>
        <w:rFonts w:hint="default"/>
        <w:lang w:val="es-ES" w:eastAsia="en-US" w:bidi="ar-SA"/>
      </w:rPr>
    </w:lvl>
    <w:lvl w:ilvl="5">
      <w:numFmt w:val="bullet"/>
      <w:lvlText w:val="•"/>
      <w:lvlJc w:val="left"/>
      <w:pPr>
        <w:ind w:left="1921" w:hanging="430"/>
      </w:pPr>
      <w:rPr>
        <w:rFonts w:hint="default"/>
        <w:lang w:val="es-ES" w:eastAsia="en-US" w:bidi="ar-SA"/>
      </w:rPr>
    </w:lvl>
    <w:lvl w:ilvl="6">
      <w:numFmt w:val="bullet"/>
      <w:lvlText w:val="•"/>
      <w:lvlJc w:val="left"/>
      <w:pPr>
        <w:ind w:left="2285" w:hanging="430"/>
      </w:pPr>
      <w:rPr>
        <w:rFonts w:hint="default"/>
        <w:lang w:val="es-ES" w:eastAsia="en-US" w:bidi="ar-SA"/>
      </w:rPr>
    </w:lvl>
    <w:lvl w:ilvl="7">
      <w:numFmt w:val="bullet"/>
      <w:lvlText w:val="•"/>
      <w:lvlJc w:val="left"/>
      <w:pPr>
        <w:ind w:left="2649" w:hanging="430"/>
      </w:pPr>
      <w:rPr>
        <w:rFonts w:hint="default"/>
        <w:lang w:val="es-ES" w:eastAsia="en-US" w:bidi="ar-SA"/>
      </w:rPr>
    </w:lvl>
    <w:lvl w:ilvl="8">
      <w:numFmt w:val="bullet"/>
      <w:lvlText w:val="•"/>
      <w:lvlJc w:val="left"/>
      <w:pPr>
        <w:ind w:left="3013" w:hanging="430"/>
      </w:pPr>
      <w:rPr>
        <w:rFonts w:hint="default"/>
        <w:lang w:val="es-ES" w:eastAsia="en-US" w:bidi="ar-SA"/>
      </w:rPr>
    </w:lvl>
  </w:abstractNum>
  <w:abstractNum w:abstractNumId="32" w15:restartNumberingAfterBreak="0">
    <w:nsid w:val="37840B86"/>
    <w:multiLevelType w:val="hybridMultilevel"/>
    <w:tmpl w:val="A94EBF24"/>
    <w:lvl w:ilvl="0" w:tplc="3B5C9E28">
      <w:start w:val="1"/>
      <w:numFmt w:val="lowerRoman"/>
      <w:lvlText w:val="(%1)"/>
      <w:lvlJc w:val="left"/>
      <w:pPr>
        <w:ind w:left="1800" w:hanging="720"/>
      </w:pPr>
      <w:rPr>
        <w:rFonts w:ascii="Verdana" w:eastAsia="Verdana" w:hAnsi="Verdana" w:cs="Verdana" w:hint="default"/>
        <w:b w:val="0"/>
        <w:bCs w:val="0"/>
        <w:i w:val="0"/>
        <w:iCs w:val="0"/>
        <w:spacing w:val="-1"/>
        <w:w w:val="100"/>
        <w:sz w:val="24"/>
        <w:szCs w:val="24"/>
        <w:lang w:val="es-ES" w:eastAsia="en-US" w:bidi="ar-SA"/>
      </w:rPr>
    </w:lvl>
    <w:lvl w:ilvl="1" w:tplc="D5DA8FF2">
      <w:numFmt w:val="bullet"/>
      <w:lvlText w:val="•"/>
      <w:lvlJc w:val="left"/>
      <w:pPr>
        <w:ind w:left="2666" w:hanging="720"/>
      </w:pPr>
      <w:rPr>
        <w:rFonts w:hint="default"/>
        <w:lang w:val="es-ES" w:eastAsia="en-US" w:bidi="ar-SA"/>
      </w:rPr>
    </w:lvl>
    <w:lvl w:ilvl="2" w:tplc="BF3847F2">
      <w:numFmt w:val="bullet"/>
      <w:lvlText w:val="•"/>
      <w:lvlJc w:val="left"/>
      <w:pPr>
        <w:ind w:left="3533" w:hanging="720"/>
      </w:pPr>
      <w:rPr>
        <w:rFonts w:hint="default"/>
        <w:lang w:val="es-ES" w:eastAsia="en-US" w:bidi="ar-SA"/>
      </w:rPr>
    </w:lvl>
    <w:lvl w:ilvl="3" w:tplc="92D0D6C8">
      <w:numFmt w:val="bullet"/>
      <w:lvlText w:val="•"/>
      <w:lvlJc w:val="left"/>
      <w:pPr>
        <w:ind w:left="4399" w:hanging="720"/>
      </w:pPr>
      <w:rPr>
        <w:rFonts w:hint="default"/>
        <w:lang w:val="es-ES" w:eastAsia="en-US" w:bidi="ar-SA"/>
      </w:rPr>
    </w:lvl>
    <w:lvl w:ilvl="4" w:tplc="5F329A5A">
      <w:numFmt w:val="bullet"/>
      <w:lvlText w:val="•"/>
      <w:lvlJc w:val="left"/>
      <w:pPr>
        <w:ind w:left="5266" w:hanging="720"/>
      </w:pPr>
      <w:rPr>
        <w:rFonts w:hint="default"/>
        <w:lang w:val="es-ES" w:eastAsia="en-US" w:bidi="ar-SA"/>
      </w:rPr>
    </w:lvl>
    <w:lvl w:ilvl="5" w:tplc="183CFC92">
      <w:numFmt w:val="bullet"/>
      <w:lvlText w:val="•"/>
      <w:lvlJc w:val="left"/>
      <w:pPr>
        <w:ind w:left="6133" w:hanging="720"/>
      </w:pPr>
      <w:rPr>
        <w:rFonts w:hint="default"/>
        <w:lang w:val="es-ES" w:eastAsia="en-US" w:bidi="ar-SA"/>
      </w:rPr>
    </w:lvl>
    <w:lvl w:ilvl="6" w:tplc="1A82424A">
      <w:numFmt w:val="bullet"/>
      <w:lvlText w:val="•"/>
      <w:lvlJc w:val="left"/>
      <w:pPr>
        <w:ind w:left="6999" w:hanging="720"/>
      </w:pPr>
      <w:rPr>
        <w:rFonts w:hint="default"/>
        <w:lang w:val="es-ES" w:eastAsia="en-US" w:bidi="ar-SA"/>
      </w:rPr>
    </w:lvl>
    <w:lvl w:ilvl="7" w:tplc="850A3490">
      <w:numFmt w:val="bullet"/>
      <w:lvlText w:val="•"/>
      <w:lvlJc w:val="left"/>
      <w:pPr>
        <w:ind w:left="7866" w:hanging="720"/>
      </w:pPr>
      <w:rPr>
        <w:rFonts w:hint="default"/>
        <w:lang w:val="es-ES" w:eastAsia="en-US" w:bidi="ar-SA"/>
      </w:rPr>
    </w:lvl>
    <w:lvl w:ilvl="8" w:tplc="04CE9AA6">
      <w:numFmt w:val="bullet"/>
      <w:lvlText w:val="•"/>
      <w:lvlJc w:val="left"/>
      <w:pPr>
        <w:ind w:left="8733" w:hanging="720"/>
      </w:pPr>
      <w:rPr>
        <w:rFonts w:hint="default"/>
        <w:lang w:val="es-ES" w:eastAsia="en-US" w:bidi="ar-SA"/>
      </w:rPr>
    </w:lvl>
  </w:abstractNum>
  <w:abstractNum w:abstractNumId="33" w15:restartNumberingAfterBreak="0">
    <w:nsid w:val="3AA763F4"/>
    <w:multiLevelType w:val="hybridMultilevel"/>
    <w:tmpl w:val="BF9EBB54"/>
    <w:lvl w:ilvl="0" w:tplc="03809F06">
      <w:start w:val="1"/>
      <w:numFmt w:val="lowerLetter"/>
      <w:lvlText w:val="%1)"/>
      <w:lvlJc w:val="left"/>
      <w:pPr>
        <w:ind w:left="981" w:hanging="360"/>
      </w:pPr>
      <w:rPr>
        <w:rFonts w:ascii="Verdana" w:eastAsia="Verdana" w:hAnsi="Verdana" w:cs="Verdana" w:hint="default"/>
        <w:b w:val="0"/>
        <w:bCs w:val="0"/>
        <w:i w:val="0"/>
        <w:iCs w:val="0"/>
        <w:spacing w:val="0"/>
        <w:w w:val="100"/>
        <w:sz w:val="24"/>
        <w:szCs w:val="24"/>
        <w:lang w:val="es-ES" w:eastAsia="en-US" w:bidi="ar-SA"/>
      </w:rPr>
    </w:lvl>
    <w:lvl w:ilvl="1" w:tplc="56CEA084">
      <w:numFmt w:val="bullet"/>
      <w:lvlText w:val="•"/>
      <w:lvlJc w:val="left"/>
      <w:pPr>
        <w:ind w:left="1818" w:hanging="360"/>
      </w:pPr>
      <w:rPr>
        <w:rFonts w:hint="default"/>
        <w:lang w:val="es-ES" w:eastAsia="en-US" w:bidi="ar-SA"/>
      </w:rPr>
    </w:lvl>
    <w:lvl w:ilvl="2" w:tplc="8418273C">
      <w:numFmt w:val="bullet"/>
      <w:lvlText w:val="•"/>
      <w:lvlJc w:val="left"/>
      <w:pPr>
        <w:ind w:left="2656" w:hanging="360"/>
      </w:pPr>
      <w:rPr>
        <w:rFonts w:hint="default"/>
        <w:lang w:val="es-ES" w:eastAsia="en-US" w:bidi="ar-SA"/>
      </w:rPr>
    </w:lvl>
    <w:lvl w:ilvl="3" w:tplc="7BFCD7E0">
      <w:numFmt w:val="bullet"/>
      <w:lvlText w:val="•"/>
      <w:lvlJc w:val="left"/>
      <w:pPr>
        <w:ind w:left="3494" w:hanging="360"/>
      </w:pPr>
      <w:rPr>
        <w:rFonts w:hint="default"/>
        <w:lang w:val="es-ES" w:eastAsia="en-US" w:bidi="ar-SA"/>
      </w:rPr>
    </w:lvl>
    <w:lvl w:ilvl="4" w:tplc="629434AC">
      <w:numFmt w:val="bullet"/>
      <w:lvlText w:val="•"/>
      <w:lvlJc w:val="left"/>
      <w:pPr>
        <w:ind w:left="4332" w:hanging="360"/>
      </w:pPr>
      <w:rPr>
        <w:rFonts w:hint="default"/>
        <w:lang w:val="es-ES" w:eastAsia="en-US" w:bidi="ar-SA"/>
      </w:rPr>
    </w:lvl>
    <w:lvl w:ilvl="5" w:tplc="2C284816">
      <w:numFmt w:val="bullet"/>
      <w:lvlText w:val="•"/>
      <w:lvlJc w:val="left"/>
      <w:pPr>
        <w:ind w:left="5170" w:hanging="360"/>
      </w:pPr>
      <w:rPr>
        <w:rFonts w:hint="default"/>
        <w:lang w:val="es-ES" w:eastAsia="en-US" w:bidi="ar-SA"/>
      </w:rPr>
    </w:lvl>
    <w:lvl w:ilvl="6" w:tplc="C95A28B2">
      <w:numFmt w:val="bullet"/>
      <w:lvlText w:val="•"/>
      <w:lvlJc w:val="left"/>
      <w:pPr>
        <w:ind w:left="6008" w:hanging="360"/>
      </w:pPr>
      <w:rPr>
        <w:rFonts w:hint="default"/>
        <w:lang w:val="es-ES" w:eastAsia="en-US" w:bidi="ar-SA"/>
      </w:rPr>
    </w:lvl>
    <w:lvl w:ilvl="7" w:tplc="B6C6635A">
      <w:numFmt w:val="bullet"/>
      <w:lvlText w:val="•"/>
      <w:lvlJc w:val="left"/>
      <w:pPr>
        <w:ind w:left="6846" w:hanging="360"/>
      </w:pPr>
      <w:rPr>
        <w:rFonts w:hint="default"/>
        <w:lang w:val="es-ES" w:eastAsia="en-US" w:bidi="ar-SA"/>
      </w:rPr>
    </w:lvl>
    <w:lvl w:ilvl="8" w:tplc="D39CB808">
      <w:numFmt w:val="bullet"/>
      <w:lvlText w:val="•"/>
      <w:lvlJc w:val="left"/>
      <w:pPr>
        <w:ind w:left="7684" w:hanging="360"/>
      </w:pPr>
      <w:rPr>
        <w:rFonts w:hint="default"/>
        <w:lang w:val="es-ES" w:eastAsia="en-US" w:bidi="ar-SA"/>
      </w:rPr>
    </w:lvl>
  </w:abstractNum>
  <w:abstractNum w:abstractNumId="34" w15:restartNumberingAfterBreak="0">
    <w:nsid w:val="3BA56D03"/>
    <w:multiLevelType w:val="hybridMultilevel"/>
    <w:tmpl w:val="B9103D00"/>
    <w:lvl w:ilvl="0" w:tplc="7468155A">
      <w:start w:val="16"/>
      <w:numFmt w:val="decimal"/>
      <w:lvlText w:val="%1."/>
      <w:lvlJc w:val="left"/>
      <w:pPr>
        <w:ind w:left="395" w:hanging="360"/>
      </w:pPr>
      <w:rPr>
        <w:rFonts w:ascii="Verdana" w:eastAsia="Verdana" w:hAnsi="Verdana" w:cs="Verdana" w:hint="default"/>
        <w:b w:val="0"/>
        <w:bCs w:val="0"/>
        <w:i w:val="0"/>
        <w:iCs w:val="0"/>
        <w:color w:val="333333"/>
        <w:spacing w:val="0"/>
        <w:w w:val="99"/>
        <w:sz w:val="20"/>
        <w:szCs w:val="20"/>
        <w:lang w:val="es-ES" w:eastAsia="en-US" w:bidi="ar-SA"/>
      </w:rPr>
    </w:lvl>
    <w:lvl w:ilvl="1" w:tplc="5BE84748">
      <w:numFmt w:val="bullet"/>
      <w:lvlText w:val="•"/>
      <w:lvlJc w:val="left"/>
      <w:pPr>
        <w:ind w:left="830" w:hanging="360"/>
      </w:pPr>
      <w:rPr>
        <w:rFonts w:hint="default"/>
        <w:lang w:val="es-ES" w:eastAsia="en-US" w:bidi="ar-SA"/>
      </w:rPr>
    </w:lvl>
    <w:lvl w:ilvl="2" w:tplc="F28C9AEC">
      <w:numFmt w:val="bullet"/>
      <w:lvlText w:val="•"/>
      <w:lvlJc w:val="left"/>
      <w:pPr>
        <w:ind w:left="1260" w:hanging="360"/>
      </w:pPr>
      <w:rPr>
        <w:rFonts w:hint="default"/>
        <w:lang w:val="es-ES" w:eastAsia="en-US" w:bidi="ar-SA"/>
      </w:rPr>
    </w:lvl>
    <w:lvl w:ilvl="3" w:tplc="EBC68D2E">
      <w:numFmt w:val="bullet"/>
      <w:lvlText w:val="•"/>
      <w:lvlJc w:val="left"/>
      <w:pPr>
        <w:ind w:left="1690" w:hanging="360"/>
      </w:pPr>
      <w:rPr>
        <w:rFonts w:hint="default"/>
        <w:lang w:val="es-ES" w:eastAsia="en-US" w:bidi="ar-SA"/>
      </w:rPr>
    </w:lvl>
    <w:lvl w:ilvl="4" w:tplc="BC5EDA2E">
      <w:numFmt w:val="bullet"/>
      <w:lvlText w:val="•"/>
      <w:lvlJc w:val="left"/>
      <w:pPr>
        <w:ind w:left="2121" w:hanging="360"/>
      </w:pPr>
      <w:rPr>
        <w:rFonts w:hint="default"/>
        <w:lang w:val="es-ES" w:eastAsia="en-US" w:bidi="ar-SA"/>
      </w:rPr>
    </w:lvl>
    <w:lvl w:ilvl="5" w:tplc="A3D4AD4E">
      <w:numFmt w:val="bullet"/>
      <w:lvlText w:val="•"/>
      <w:lvlJc w:val="left"/>
      <w:pPr>
        <w:ind w:left="2551" w:hanging="360"/>
      </w:pPr>
      <w:rPr>
        <w:rFonts w:hint="default"/>
        <w:lang w:val="es-ES" w:eastAsia="en-US" w:bidi="ar-SA"/>
      </w:rPr>
    </w:lvl>
    <w:lvl w:ilvl="6" w:tplc="2F24EFD4">
      <w:numFmt w:val="bullet"/>
      <w:lvlText w:val="•"/>
      <w:lvlJc w:val="left"/>
      <w:pPr>
        <w:ind w:left="2981" w:hanging="360"/>
      </w:pPr>
      <w:rPr>
        <w:rFonts w:hint="default"/>
        <w:lang w:val="es-ES" w:eastAsia="en-US" w:bidi="ar-SA"/>
      </w:rPr>
    </w:lvl>
    <w:lvl w:ilvl="7" w:tplc="52D418A4">
      <w:numFmt w:val="bullet"/>
      <w:lvlText w:val="•"/>
      <w:lvlJc w:val="left"/>
      <w:pPr>
        <w:ind w:left="3412" w:hanging="360"/>
      </w:pPr>
      <w:rPr>
        <w:rFonts w:hint="default"/>
        <w:lang w:val="es-ES" w:eastAsia="en-US" w:bidi="ar-SA"/>
      </w:rPr>
    </w:lvl>
    <w:lvl w:ilvl="8" w:tplc="C4F692E8">
      <w:numFmt w:val="bullet"/>
      <w:lvlText w:val="•"/>
      <w:lvlJc w:val="left"/>
      <w:pPr>
        <w:ind w:left="3842" w:hanging="360"/>
      </w:pPr>
      <w:rPr>
        <w:rFonts w:hint="default"/>
        <w:lang w:val="es-ES" w:eastAsia="en-US" w:bidi="ar-SA"/>
      </w:rPr>
    </w:lvl>
  </w:abstractNum>
  <w:abstractNum w:abstractNumId="35" w15:restartNumberingAfterBreak="0">
    <w:nsid w:val="3FF96E34"/>
    <w:multiLevelType w:val="hybridMultilevel"/>
    <w:tmpl w:val="3378E73C"/>
    <w:lvl w:ilvl="0" w:tplc="78C6BA3C">
      <w:start w:val="12"/>
      <w:numFmt w:val="decimal"/>
      <w:lvlText w:val="%1."/>
      <w:lvlJc w:val="left"/>
      <w:pPr>
        <w:ind w:left="379" w:hanging="363"/>
      </w:pPr>
      <w:rPr>
        <w:rFonts w:ascii="Verdana" w:eastAsia="Verdana" w:hAnsi="Verdana" w:cs="Verdana" w:hint="default"/>
        <w:b w:val="0"/>
        <w:bCs w:val="0"/>
        <w:i w:val="0"/>
        <w:iCs w:val="0"/>
        <w:color w:val="333333"/>
        <w:spacing w:val="0"/>
        <w:w w:val="99"/>
        <w:sz w:val="20"/>
        <w:szCs w:val="20"/>
        <w:lang w:val="es-ES" w:eastAsia="en-US" w:bidi="ar-SA"/>
      </w:rPr>
    </w:lvl>
    <w:lvl w:ilvl="1" w:tplc="0E52A962">
      <w:numFmt w:val="bullet"/>
      <w:lvlText w:val="•"/>
      <w:lvlJc w:val="left"/>
      <w:pPr>
        <w:ind w:left="811" w:hanging="363"/>
      </w:pPr>
      <w:rPr>
        <w:rFonts w:hint="default"/>
        <w:lang w:val="es-ES" w:eastAsia="en-US" w:bidi="ar-SA"/>
      </w:rPr>
    </w:lvl>
    <w:lvl w:ilvl="2" w:tplc="B02C1BD4">
      <w:numFmt w:val="bullet"/>
      <w:lvlText w:val="•"/>
      <w:lvlJc w:val="left"/>
      <w:pPr>
        <w:ind w:left="1242" w:hanging="363"/>
      </w:pPr>
      <w:rPr>
        <w:rFonts w:hint="default"/>
        <w:lang w:val="es-ES" w:eastAsia="en-US" w:bidi="ar-SA"/>
      </w:rPr>
    </w:lvl>
    <w:lvl w:ilvl="3" w:tplc="D5C44D38">
      <w:numFmt w:val="bullet"/>
      <w:lvlText w:val="•"/>
      <w:lvlJc w:val="left"/>
      <w:pPr>
        <w:ind w:left="1673" w:hanging="363"/>
      </w:pPr>
      <w:rPr>
        <w:rFonts w:hint="default"/>
        <w:lang w:val="es-ES" w:eastAsia="en-US" w:bidi="ar-SA"/>
      </w:rPr>
    </w:lvl>
    <w:lvl w:ilvl="4" w:tplc="D2A0D9A6">
      <w:numFmt w:val="bullet"/>
      <w:lvlText w:val="•"/>
      <w:lvlJc w:val="left"/>
      <w:pPr>
        <w:ind w:left="2104" w:hanging="363"/>
      </w:pPr>
      <w:rPr>
        <w:rFonts w:hint="default"/>
        <w:lang w:val="es-ES" w:eastAsia="en-US" w:bidi="ar-SA"/>
      </w:rPr>
    </w:lvl>
    <w:lvl w:ilvl="5" w:tplc="658C0336">
      <w:numFmt w:val="bullet"/>
      <w:lvlText w:val="•"/>
      <w:lvlJc w:val="left"/>
      <w:pPr>
        <w:ind w:left="2536" w:hanging="363"/>
      </w:pPr>
      <w:rPr>
        <w:rFonts w:hint="default"/>
        <w:lang w:val="es-ES" w:eastAsia="en-US" w:bidi="ar-SA"/>
      </w:rPr>
    </w:lvl>
    <w:lvl w:ilvl="6" w:tplc="96EA1D26">
      <w:numFmt w:val="bullet"/>
      <w:lvlText w:val="•"/>
      <w:lvlJc w:val="left"/>
      <w:pPr>
        <w:ind w:left="2967" w:hanging="363"/>
      </w:pPr>
      <w:rPr>
        <w:rFonts w:hint="default"/>
        <w:lang w:val="es-ES" w:eastAsia="en-US" w:bidi="ar-SA"/>
      </w:rPr>
    </w:lvl>
    <w:lvl w:ilvl="7" w:tplc="831EAC68">
      <w:numFmt w:val="bullet"/>
      <w:lvlText w:val="•"/>
      <w:lvlJc w:val="left"/>
      <w:pPr>
        <w:ind w:left="3398" w:hanging="363"/>
      </w:pPr>
      <w:rPr>
        <w:rFonts w:hint="default"/>
        <w:lang w:val="es-ES" w:eastAsia="en-US" w:bidi="ar-SA"/>
      </w:rPr>
    </w:lvl>
    <w:lvl w:ilvl="8" w:tplc="8CDAEF78">
      <w:numFmt w:val="bullet"/>
      <w:lvlText w:val="•"/>
      <w:lvlJc w:val="left"/>
      <w:pPr>
        <w:ind w:left="3829" w:hanging="363"/>
      </w:pPr>
      <w:rPr>
        <w:rFonts w:hint="default"/>
        <w:lang w:val="es-ES" w:eastAsia="en-US" w:bidi="ar-SA"/>
      </w:rPr>
    </w:lvl>
  </w:abstractNum>
  <w:abstractNum w:abstractNumId="36" w15:restartNumberingAfterBreak="0">
    <w:nsid w:val="4A986248"/>
    <w:multiLevelType w:val="hybridMultilevel"/>
    <w:tmpl w:val="765AEE36"/>
    <w:lvl w:ilvl="0" w:tplc="2604C7CA">
      <w:numFmt w:val="bullet"/>
      <w:lvlText w:val=""/>
      <w:lvlJc w:val="left"/>
      <w:pPr>
        <w:ind w:left="398" w:hanging="361"/>
      </w:pPr>
      <w:rPr>
        <w:rFonts w:ascii="Symbol" w:eastAsia="Symbol" w:hAnsi="Symbol" w:cs="Symbol" w:hint="default"/>
        <w:b w:val="0"/>
        <w:bCs w:val="0"/>
        <w:i w:val="0"/>
        <w:iCs w:val="0"/>
        <w:spacing w:val="0"/>
        <w:w w:val="100"/>
        <w:sz w:val="18"/>
        <w:szCs w:val="18"/>
        <w:lang w:val="es-ES" w:eastAsia="en-US" w:bidi="ar-SA"/>
      </w:rPr>
    </w:lvl>
    <w:lvl w:ilvl="1" w:tplc="21C6F83A">
      <w:numFmt w:val="bullet"/>
      <w:lvlText w:val="•"/>
      <w:lvlJc w:val="left"/>
      <w:pPr>
        <w:ind w:left="710" w:hanging="361"/>
      </w:pPr>
      <w:rPr>
        <w:rFonts w:hint="default"/>
        <w:lang w:val="es-ES" w:eastAsia="en-US" w:bidi="ar-SA"/>
      </w:rPr>
    </w:lvl>
    <w:lvl w:ilvl="2" w:tplc="9222B630">
      <w:numFmt w:val="bullet"/>
      <w:lvlText w:val="•"/>
      <w:lvlJc w:val="left"/>
      <w:pPr>
        <w:ind w:left="1020" w:hanging="361"/>
      </w:pPr>
      <w:rPr>
        <w:rFonts w:hint="default"/>
        <w:lang w:val="es-ES" w:eastAsia="en-US" w:bidi="ar-SA"/>
      </w:rPr>
    </w:lvl>
    <w:lvl w:ilvl="3" w:tplc="0686899E">
      <w:numFmt w:val="bullet"/>
      <w:lvlText w:val="•"/>
      <w:lvlJc w:val="left"/>
      <w:pPr>
        <w:ind w:left="1331" w:hanging="361"/>
      </w:pPr>
      <w:rPr>
        <w:rFonts w:hint="default"/>
        <w:lang w:val="es-ES" w:eastAsia="en-US" w:bidi="ar-SA"/>
      </w:rPr>
    </w:lvl>
    <w:lvl w:ilvl="4" w:tplc="DC625242">
      <w:numFmt w:val="bullet"/>
      <w:lvlText w:val="•"/>
      <w:lvlJc w:val="left"/>
      <w:pPr>
        <w:ind w:left="1641" w:hanging="361"/>
      </w:pPr>
      <w:rPr>
        <w:rFonts w:hint="default"/>
        <w:lang w:val="es-ES" w:eastAsia="en-US" w:bidi="ar-SA"/>
      </w:rPr>
    </w:lvl>
    <w:lvl w:ilvl="5" w:tplc="255A71D2">
      <w:numFmt w:val="bullet"/>
      <w:lvlText w:val="•"/>
      <w:lvlJc w:val="left"/>
      <w:pPr>
        <w:ind w:left="1952" w:hanging="361"/>
      </w:pPr>
      <w:rPr>
        <w:rFonts w:hint="default"/>
        <w:lang w:val="es-ES" w:eastAsia="en-US" w:bidi="ar-SA"/>
      </w:rPr>
    </w:lvl>
    <w:lvl w:ilvl="6" w:tplc="14E6280E">
      <w:numFmt w:val="bullet"/>
      <w:lvlText w:val="•"/>
      <w:lvlJc w:val="left"/>
      <w:pPr>
        <w:ind w:left="2262" w:hanging="361"/>
      </w:pPr>
      <w:rPr>
        <w:rFonts w:hint="default"/>
        <w:lang w:val="es-ES" w:eastAsia="en-US" w:bidi="ar-SA"/>
      </w:rPr>
    </w:lvl>
    <w:lvl w:ilvl="7" w:tplc="F6B29ACC">
      <w:numFmt w:val="bullet"/>
      <w:lvlText w:val="•"/>
      <w:lvlJc w:val="left"/>
      <w:pPr>
        <w:ind w:left="2572" w:hanging="361"/>
      </w:pPr>
      <w:rPr>
        <w:rFonts w:hint="default"/>
        <w:lang w:val="es-ES" w:eastAsia="en-US" w:bidi="ar-SA"/>
      </w:rPr>
    </w:lvl>
    <w:lvl w:ilvl="8" w:tplc="1250DAD0">
      <w:numFmt w:val="bullet"/>
      <w:lvlText w:val="•"/>
      <w:lvlJc w:val="left"/>
      <w:pPr>
        <w:ind w:left="2883" w:hanging="361"/>
      </w:pPr>
      <w:rPr>
        <w:rFonts w:hint="default"/>
        <w:lang w:val="es-ES" w:eastAsia="en-US" w:bidi="ar-SA"/>
      </w:rPr>
    </w:lvl>
  </w:abstractNum>
  <w:abstractNum w:abstractNumId="37" w15:restartNumberingAfterBreak="0">
    <w:nsid w:val="4CE366E9"/>
    <w:multiLevelType w:val="hybridMultilevel"/>
    <w:tmpl w:val="9BA6D1FE"/>
    <w:lvl w:ilvl="0" w:tplc="BA4C8934">
      <w:start w:val="1"/>
      <w:numFmt w:val="lowerLetter"/>
      <w:lvlText w:val="%1)"/>
      <w:lvlJc w:val="left"/>
      <w:pPr>
        <w:ind w:left="827" w:hanging="360"/>
      </w:pPr>
      <w:rPr>
        <w:rFonts w:ascii="Verdana" w:eastAsia="Verdana" w:hAnsi="Verdana" w:cs="Verdana" w:hint="default"/>
        <w:b/>
        <w:bCs/>
        <w:i w:val="0"/>
        <w:iCs w:val="0"/>
        <w:spacing w:val="-2"/>
        <w:w w:val="99"/>
        <w:sz w:val="20"/>
        <w:szCs w:val="20"/>
        <w:lang w:val="es-ES" w:eastAsia="en-US" w:bidi="ar-SA"/>
      </w:rPr>
    </w:lvl>
    <w:lvl w:ilvl="1" w:tplc="34E24F12">
      <w:numFmt w:val="bullet"/>
      <w:lvlText w:val="•"/>
      <w:lvlJc w:val="left"/>
      <w:pPr>
        <w:ind w:left="1208" w:hanging="360"/>
      </w:pPr>
      <w:rPr>
        <w:rFonts w:hint="default"/>
        <w:lang w:val="es-ES" w:eastAsia="en-US" w:bidi="ar-SA"/>
      </w:rPr>
    </w:lvl>
    <w:lvl w:ilvl="2" w:tplc="C27803B8">
      <w:numFmt w:val="bullet"/>
      <w:lvlText w:val="•"/>
      <w:lvlJc w:val="left"/>
      <w:pPr>
        <w:ind w:left="1596" w:hanging="360"/>
      </w:pPr>
      <w:rPr>
        <w:rFonts w:hint="default"/>
        <w:lang w:val="es-ES" w:eastAsia="en-US" w:bidi="ar-SA"/>
      </w:rPr>
    </w:lvl>
    <w:lvl w:ilvl="3" w:tplc="1E286186">
      <w:numFmt w:val="bullet"/>
      <w:lvlText w:val="•"/>
      <w:lvlJc w:val="left"/>
      <w:pPr>
        <w:ind w:left="1984" w:hanging="360"/>
      </w:pPr>
      <w:rPr>
        <w:rFonts w:hint="default"/>
        <w:lang w:val="es-ES" w:eastAsia="en-US" w:bidi="ar-SA"/>
      </w:rPr>
    </w:lvl>
    <w:lvl w:ilvl="4" w:tplc="D7BE3B14">
      <w:numFmt w:val="bullet"/>
      <w:lvlText w:val="•"/>
      <w:lvlJc w:val="left"/>
      <w:pPr>
        <w:ind w:left="2373" w:hanging="360"/>
      </w:pPr>
      <w:rPr>
        <w:rFonts w:hint="default"/>
        <w:lang w:val="es-ES" w:eastAsia="en-US" w:bidi="ar-SA"/>
      </w:rPr>
    </w:lvl>
    <w:lvl w:ilvl="5" w:tplc="F1D4FF72">
      <w:numFmt w:val="bullet"/>
      <w:lvlText w:val="•"/>
      <w:lvlJc w:val="left"/>
      <w:pPr>
        <w:ind w:left="2761" w:hanging="360"/>
      </w:pPr>
      <w:rPr>
        <w:rFonts w:hint="default"/>
        <w:lang w:val="es-ES" w:eastAsia="en-US" w:bidi="ar-SA"/>
      </w:rPr>
    </w:lvl>
    <w:lvl w:ilvl="6" w:tplc="6FC659B8">
      <w:numFmt w:val="bullet"/>
      <w:lvlText w:val="•"/>
      <w:lvlJc w:val="left"/>
      <w:pPr>
        <w:ind w:left="3149" w:hanging="360"/>
      </w:pPr>
      <w:rPr>
        <w:rFonts w:hint="default"/>
        <w:lang w:val="es-ES" w:eastAsia="en-US" w:bidi="ar-SA"/>
      </w:rPr>
    </w:lvl>
    <w:lvl w:ilvl="7" w:tplc="53487EA2">
      <w:numFmt w:val="bullet"/>
      <w:lvlText w:val="•"/>
      <w:lvlJc w:val="left"/>
      <w:pPr>
        <w:ind w:left="3538" w:hanging="360"/>
      </w:pPr>
      <w:rPr>
        <w:rFonts w:hint="default"/>
        <w:lang w:val="es-ES" w:eastAsia="en-US" w:bidi="ar-SA"/>
      </w:rPr>
    </w:lvl>
    <w:lvl w:ilvl="8" w:tplc="882A4B1C">
      <w:numFmt w:val="bullet"/>
      <w:lvlText w:val="•"/>
      <w:lvlJc w:val="left"/>
      <w:pPr>
        <w:ind w:left="3926" w:hanging="360"/>
      </w:pPr>
      <w:rPr>
        <w:rFonts w:hint="default"/>
        <w:lang w:val="es-ES" w:eastAsia="en-US" w:bidi="ar-SA"/>
      </w:rPr>
    </w:lvl>
  </w:abstractNum>
  <w:abstractNum w:abstractNumId="38" w15:restartNumberingAfterBreak="0">
    <w:nsid w:val="53F51D9C"/>
    <w:multiLevelType w:val="hybridMultilevel"/>
    <w:tmpl w:val="3614EFB8"/>
    <w:lvl w:ilvl="0" w:tplc="F162E050">
      <w:start w:val="3"/>
      <w:numFmt w:val="decimal"/>
      <w:lvlText w:val="%1."/>
      <w:lvlJc w:val="left"/>
      <w:pPr>
        <w:ind w:left="828" w:hanging="360"/>
      </w:pPr>
      <w:rPr>
        <w:rFonts w:hint="default"/>
        <w:spacing w:val="0"/>
        <w:w w:val="99"/>
        <w:lang w:val="es-ES" w:eastAsia="en-US" w:bidi="ar-SA"/>
      </w:rPr>
    </w:lvl>
    <w:lvl w:ilvl="1" w:tplc="EC58B342">
      <w:numFmt w:val="bullet"/>
      <w:lvlText w:val="•"/>
      <w:lvlJc w:val="left"/>
      <w:pPr>
        <w:ind w:left="1207" w:hanging="360"/>
      </w:pPr>
      <w:rPr>
        <w:rFonts w:hint="default"/>
        <w:lang w:val="es-ES" w:eastAsia="en-US" w:bidi="ar-SA"/>
      </w:rPr>
    </w:lvl>
    <w:lvl w:ilvl="2" w:tplc="9CA0241A">
      <w:numFmt w:val="bullet"/>
      <w:lvlText w:val="•"/>
      <w:lvlJc w:val="left"/>
      <w:pPr>
        <w:ind w:left="1594" w:hanging="360"/>
      </w:pPr>
      <w:rPr>
        <w:rFonts w:hint="default"/>
        <w:lang w:val="es-ES" w:eastAsia="en-US" w:bidi="ar-SA"/>
      </w:rPr>
    </w:lvl>
    <w:lvl w:ilvl="3" w:tplc="5E0A04C8">
      <w:numFmt w:val="bullet"/>
      <w:lvlText w:val="•"/>
      <w:lvlJc w:val="left"/>
      <w:pPr>
        <w:ind w:left="1981" w:hanging="360"/>
      </w:pPr>
      <w:rPr>
        <w:rFonts w:hint="default"/>
        <w:lang w:val="es-ES" w:eastAsia="en-US" w:bidi="ar-SA"/>
      </w:rPr>
    </w:lvl>
    <w:lvl w:ilvl="4" w:tplc="CC487658">
      <w:numFmt w:val="bullet"/>
      <w:lvlText w:val="•"/>
      <w:lvlJc w:val="left"/>
      <w:pPr>
        <w:ind w:left="2368" w:hanging="360"/>
      </w:pPr>
      <w:rPr>
        <w:rFonts w:hint="default"/>
        <w:lang w:val="es-ES" w:eastAsia="en-US" w:bidi="ar-SA"/>
      </w:rPr>
    </w:lvl>
    <w:lvl w:ilvl="5" w:tplc="8ABCE70E">
      <w:numFmt w:val="bullet"/>
      <w:lvlText w:val="•"/>
      <w:lvlJc w:val="left"/>
      <w:pPr>
        <w:ind w:left="2756" w:hanging="360"/>
      </w:pPr>
      <w:rPr>
        <w:rFonts w:hint="default"/>
        <w:lang w:val="es-ES" w:eastAsia="en-US" w:bidi="ar-SA"/>
      </w:rPr>
    </w:lvl>
    <w:lvl w:ilvl="6" w:tplc="91B43E52">
      <w:numFmt w:val="bullet"/>
      <w:lvlText w:val="•"/>
      <w:lvlJc w:val="left"/>
      <w:pPr>
        <w:ind w:left="3143" w:hanging="360"/>
      </w:pPr>
      <w:rPr>
        <w:rFonts w:hint="default"/>
        <w:lang w:val="es-ES" w:eastAsia="en-US" w:bidi="ar-SA"/>
      </w:rPr>
    </w:lvl>
    <w:lvl w:ilvl="7" w:tplc="4DDC79EA">
      <w:numFmt w:val="bullet"/>
      <w:lvlText w:val="•"/>
      <w:lvlJc w:val="left"/>
      <w:pPr>
        <w:ind w:left="3530" w:hanging="360"/>
      </w:pPr>
      <w:rPr>
        <w:rFonts w:hint="default"/>
        <w:lang w:val="es-ES" w:eastAsia="en-US" w:bidi="ar-SA"/>
      </w:rPr>
    </w:lvl>
    <w:lvl w:ilvl="8" w:tplc="62CC968C">
      <w:numFmt w:val="bullet"/>
      <w:lvlText w:val="•"/>
      <w:lvlJc w:val="left"/>
      <w:pPr>
        <w:ind w:left="3917" w:hanging="360"/>
      </w:pPr>
      <w:rPr>
        <w:rFonts w:hint="default"/>
        <w:lang w:val="es-ES" w:eastAsia="en-US" w:bidi="ar-SA"/>
      </w:rPr>
    </w:lvl>
  </w:abstractNum>
  <w:abstractNum w:abstractNumId="39" w15:restartNumberingAfterBreak="0">
    <w:nsid w:val="55057022"/>
    <w:multiLevelType w:val="hybridMultilevel"/>
    <w:tmpl w:val="0EB69FDE"/>
    <w:lvl w:ilvl="0" w:tplc="80862E46">
      <w:start w:val="1"/>
      <w:numFmt w:val="upperRoman"/>
      <w:lvlText w:val="%1."/>
      <w:lvlJc w:val="left"/>
      <w:pPr>
        <w:ind w:left="1440" w:hanging="612"/>
        <w:jc w:val="right"/>
      </w:pPr>
      <w:rPr>
        <w:rFonts w:ascii="Verdana" w:eastAsia="Verdana" w:hAnsi="Verdana" w:cs="Verdana" w:hint="default"/>
        <w:b w:val="0"/>
        <w:bCs w:val="0"/>
        <w:i w:val="0"/>
        <w:iCs w:val="0"/>
        <w:color w:val="B3176C"/>
        <w:spacing w:val="0"/>
        <w:w w:val="99"/>
        <w:sz w:val="32"/>
        <w:szCs w:val="32"/>
        <w:lang w:val="es-ES" w:eastAsia="en-US" w:bidi="ar-SA"/>
      </w:rPr>
    </w:lvl>
    <w:lvl w:ilvl="1" w:tplc="89945640">
      <w:start w:val="1"/>
      <w:numFmt w:val="lowerRoman"/>
      <w:lvlText w:val="(%2)"/>
      <w:lvlJc w:val="left"/>
      <w:pPr>
        <w:ind w:left="1800" w:hanging="720"/>
      </w:pPr>
      <w:rPr>
        <w:rFonts w:ascii="Verdana" w:eastAsia="Verdana" w:hAnsi="Verdana" w:cs="Verdana" w:hint="default"/>
        <w:b w:val="0"/>
        <w:bCs w:val="0"/>
        <w:i w:val="0"/>
        <w:iCs w:val="0"/>
        <w:spacing w:val="-1"/>
        <w:w w:val="100"/>
        <w:sz w:val="24"/>
        <w:szCs w:val="24"/>
        <w:lang w:val="es-ES" w:eastAsia="en-US" w:bidi="ar-SA"/>
      </w:rPr>
    </w:lvl>
    <w:lvl w:ilvl="2" w:tplc="2CA889D8">
      <w:numFmt w:val="bullet"/>
      <w:lvlText w:val="•"/>
      <w:lvlJc w:val="left"/>
      <w:pPr>
        <w:ind w:left="2762" w:hanging="720"/>
      </w:pPr>
      <w:rPr>
        <w:rFonts w:hint="default"/>
        <w:lang w:val="es-ES" w:eastAsia="en-US" w:bidi="ar-SA"/>
      </w:rPr>
    </w:lvl>
    <w:lvl w:ilvl="3" w:tplc="C1D21834">
      <w:numFmt w:val="bullet"/>
      <w:lvlText w:val="•"/>
      <w:lvlJc w:val="left"/>
      <w:pPr>
        <w:ind w:left="3725" w:hanging="720"/>
      </w:pPr>
      <w:rPr>
        <w:rFonts w:hint="default"/>
        <w:lang w:val="es-ES" w:eastAsia="en-US" w:bidi="ar-SA"/>
      </w:rPr>
    </w:lvl>
    <w:lvl w:ilvl="4" w:tplc="E55C871E">
      <w:numFmt w:val="bullet"/>
      <w:lvlText w:val="•"/>
      <w:lvlJc w:val="left"/>
      <w:pPr>
        <w:ind w:left="4688" w:hanging="720"/>
      </w:pPr>
      <w:rPr>
        <w:rFonts w:hint="default"/>
        <w:lang w:val="es-ES" w:eastAsia="en-US" w:bidi="ar-SA"/>
      </w:rPr>
    </w:lvl>
    <w:lvl w:ilvl="5" w:tplc="022A5D50">
      <w:numFmt w:val="bullet"/>
      <w:lvlText w:val="•"/>
      <w:lvlJc w:val="left"/>
      <w:pPr>
        <w:ind w:left="5651" w:hanging="720"/>
      </w:pPr>
      <w:rPr>
        <w:rFonts w:hint="default"/>
        <w:lang w:val="es-ES" w:eastAsia="en-US" w:bidi="ar-SA"/>
      </w:rPr>
    </w:lvl>
    <w:lvl w:ilvl="6" w:tplc="53FA141E">
      <w:numFmt w:val="bullet"/>
      <w:lvlText w:val="•"/>
      <w:lvlJc w:val="left"/>
      <w:pPr>
        <w:ind w:left="6614" w:hanging="720"/>
      </w:pPr>
      <w:rPr>
        <w:rFonts w:hint="default"/>
        <w:lang w:val="es-ES" w:eastAsia="en-US" w:bidi="ar-SA"/>
      </w:rPr>
    </w:lvl>
    <w:lvl w:ilvl="7" w:tplc="2160C6F6">
      <w:numFmt w:val="bullet"/>
      <w:lvlText w:val="•"/>
      <w:lvlJc w:val="left"/>
      <w:pPr>
        <w:ind w:left="7577" w:hanging="720"/>
      </w:pPr>
      <w:rPr>
        <w:rFonts w:hint="default"/>
        <w:lang w:val="es-ES" w:eastAsia="en-US" w:bidi="ar-SA"/>
      </w:rPr>
    </w:lvl>
    <w:lvl w:ilvl="8" w:tplc="44F26AC0">
      <w:numFmt w:val="bullet"/>
      <w:lvlText w:val="•"/>
      <w:lvlJc w:val="left"/>
      <w:pPr>
        <w:ind w:left="8540" w:hanging="720"/>
      </w:pPr>
      <w:rPr>
        <w:rFonts w:hint="default"/>
        <w:lang w:val="es-ES" w:eastAsia="en-US" w:bidi="ar-SA"/>
      </w:rPr>
    </w:lvl>
  </w:abstractNum>
  <w:abstractNum w:abstractNumId="40" w15:restartNumberingAfterBreak="0">
    <w:nsid w:val="57970B19"/>
    <w:multiLevelType w:val="hybridMultilevel"/>
    <w:tmpl w:val="D28493EA"/>
    <w:lvl w:ilvl="0" w:tplc="0DD2ADFC">
      <w:start w:val="12"/>
      <w:numFmt w:val="decimal"/>
      <w:lvlText w:val="%1."/>
      <w:lvlJc w:val="left"/>
      <w:pPr>
        <w:ind w:left="395" w:hanging="360"/>
      </w:pPr>
      <w:rPr>
        <w:rFonts w:ascii="Verdana" w:eastAsia="Verdana" w:hAnsi="Verdana" w:cs="Verdana" w:hint="default"/>
        <w:b w:val="0"/>
        <w:bCs w:val="0"/>
        <w:i w:val="0"/>
        <w:iCs w:val="0"/>
        <w:color w:val="333333"/>
        <w:spacing w:val="0"/>
        <w:w w:val="99"/>
        <w:sz w:val="20"/>
        <w:szCs w:val="20"/>
        <w:lang w:val="es-ES" w:eastAsia="en-US" w:bidi="ar-SA"/>
      </w:rPr>
    </w:lvl>
    <w:lvl w:ilvl="1" w:tplc="145443C2">
      <w:numFmt w:val="bullet"/>
      <w:lvlText w:val="•"/>
      <w:lvlJc w:val="left"/>
      <w:pPr>
        <w:ind w:left="830" w:hanging="360"/>
      </w:pPr>
      <w:rPr>
        <w:rFonts w:hint="default"/>
        <w:lang w:val="es-ES" w:eastAsia="en-US" w:bidi="ar-SA"/>
      </w:rPr>
    </w:lvl>
    <w:lvl w:ilvl="2" w:tplc="DAA0C582">
      <w:numFmt w:val="bullet"/>
      <w:lvlText w:val="•"/>
      <w:lvlJc w:val="left"/>
      <w:pPr>
        <w:ind w:left="1260" w:hanging="360"/>
      </w:pPr>
      <w:rPr>
        <w:rFonts w:hint="default"/>
        <w:lang w:val="es-ES" w:eastAsia="en-US" w:bidi="ar-SA"/>
      </w:rPr>
    </w:lvl>
    <w:lvl w:ilvl="3" w:tplc="803885AA">
      <w:numFmt w:val="bullet"/>
      <w:lvlText w:val="•"/>
      <w:lvlJc w:val="left"/>
      <w:pPr>
        <w:ind w:left="1690" w:hanging="360"/>
      </w:pPr>
      <w:rPr>
        <w:rFonts w:hint="default"/>
        <w:lang w:val="es-ES" w:eastAsia="en-US" w:bidi="ar-SA"/>
      </w:rPr>
    </w:lvl>
    <w:lvl w:ilvl="4" w:tplc="434AFECA">
      <w:numFmt w:val="bullet"/>
      <w:lvlText w:val="•"/>
      <w:lvlJc w:val="left"/>
      <w:pPr>
        <w:ind w:left="2121" w:hanging="360"/>
      </w:pPr>
      <w:rPr>
        <w:rFonts w:hint="default"/>
        <w:lang w:val="es-ES" w:eastAsia="en-US" w:bidi="ar-SA"/>
      </w:rPr>
    </w:lvl>
    <w:lvl w:ilvl="5" w:tplc="1C2896AE">
      <w:numFmt w:val="bullet"/>
      <w:lvlText w:val="•"/>
      <w:lvlJc w:val="left"/>
      <w:pPr>
        <w:ind w:left="2551" w:hanging="360"/>
      </w:pPr>
      <w:rPr>
        <w:rFonts w:hint="default"/>
        <w:lang w:val="es-ES" w:eastAsia="en-US" w:bidi="ar-SA"/>
      </w:rPr>
    </w:lvl>
    <w:lvl w:ilvl="6" w:tplc="13B2ECF8">
      <w:numFmt w:val="bullet"/>
      <w:lvlText w:val="•"/>
      <w:lvlJc w:val="left"/>
      <w:pPr>
        <w:ind w:left="2981" w:hanging="360"/>
      </w:pPr>
      <w:rPr>
        <w:rFonts w:hint="default"/>
        <w:lang w:val="es-ES" w:eastAsia="en-US" w:bidi="ar-SA"/>
      </w:rPr>
    </w:lvl>
    <w:lvl w:ilvl="7" w:tplc="86CEF33E">
      <w:numFmt w:val="bullet"/>
      <w:lvlText w:val="•"/>
      <w:lvlJc w:val="left"/>
      <w:pPr>
        <w:ind w:left="3412" w:hanging="360"/>
      </w:pPr>
      <w:rPr>
        <w:rFonts w:hint="default"/>
        <w:lang w:val="es-ES" w:eastAsia="en-US" w:bidi="ar-SA"/>
      </w:rPr>
    </w:lvl>
    <w:lvl w:ilvl="8" w:tplc="11F8BC18">
      <w:numFmt w:val="bullet"/>
      <w:lvlText w:val="•"/>
      <w:lvlJc w:val="left"/>
      <w:pPr>
        <w:ind w:left="3842" w:hanging="360"/>
      </w:pPr>
      <w:rPr>
        <w:rFonts w:hint="default"/>
        <w:lang w:val="es-ES" w:eastAsia="en-US" w:bidi="ar-SA"/>
      </w:rPr>
    </w:lvl>
  </w:abstractNum>
  <w:abstractNum w:abstractNumId="41" w15:restartNumberingAfterBreak="0">
    <w:nsid w:val="59002711"/>
    <w:multiLevelType w:val="hybridMultilevel"/>
    <w:tmpl w:val="05E6A538"/>
    <w:lvl w:ilvl="0" w:tplc="DA84823A">
      <w:start w:val="3"/>
      <w:numFmt w:val="decimal"/>
      <w:lvlText w:val="%1."/>
      <w:lvlJc w:val="left"/>
      <w:pPr>
        <w:ind w:left="827" w:hanging="360"/>
      </w:pPr>
      <w:rPr>
        <w:rFonts w:ascii="Verdana" w:eastAsia="Verdana" w:hAnsi="Verdana" w:cs="Verdana" w:hint="default"/>
        <w:b w:val="0"/>
        <w:bCs w:val="0"/>
        <w:i/>
        <w:iCs/>
        <w:color w:val="333333"/>
        <w:spacing w:val="0"/>
        <w:w w:val="99"/>
        <w:sz w:val="20"/>
        <w:szCs w:val="20"/>
        <w:lang w:val="es-ES" w:eastAsia="en-US" w:bidi="ar-SA"/>
      </w:rPr>
    </w:lvl>
    <w:lvl w:ilvl="1" w:tplc="8EEA3D14">
      <w:numFmt w:val="bullet"/>
      <w:lvlText w:val="•"/>
      <w:lvlJc w:val="left"/>
      <w:pPr>
        <w:ind w:left="1208" w:hanging="360"/>
      </w:pPr>
      <w:rPr>
        <w:rFonts w:hint="default"/>
        <w:lang w:val="es-ES" w:eastAsia="en-US" w:bidi="ar-SA"/>
      </w:rPr>
    </w:lvl>
    <w:lvl w:ilvl="2" w:tplc="7CE040CC">
      <w:numFmt w:val="bullet"/>
      <w:lvlText w:val="•"/>
      <w:lvlJc w:val="left"/>
      <w:pPr>
        <w:ind w:left="1596" w:hanging="360"/>
      </w:pPr>
      <w:rPr>
        <w:rFonts w:hint="default"/>
        <w:lang w:val="es-ES" w:eastAsia="en-US" w:bidi="ar-SA"/>
      </w:rPr>
    </w:lvl>
    <w:lvl w:ilvl="3" w:tplc="4CA246B0">
      <w:numFmt w:val="bullet"/>
      <w:lvlText w:val="•"/>
      <w:lvlJc w:val="left"/>
      <w:pPr>
        <w:ind w:left="1984" w:hanging="360"/>
      </w:pPr>
      <w:rPr>
        <w:rFonts w:hint="default"/>
        <w:lang w:val="es-ES" w:eastAsia="en-US" w:bidi="ar-SA"/>
      </w:rPr>
    </w:lvl>
    <w:lvl w:ilvl="4" w:tplc="42B8DDE2">
      <w:numFmt w:val="bullet"/>
      <w:lvlText w:val="•"/>
      <w:lvlJc w:val="left"/>
      <w:pPr>
        <w:ind w:left="2373" w:hanging="360"/>
      </w:pPr>
      <w:rPr>
        <w:rFonts w:hint="default"/>
        <w:lang w:val="es-ES" w:eastAsia="en-US" w:bidi="ar-SA"/>
      </w:rPr>
    </w:lvl>
    <w:lvl w:ilvl="5" w:tplc="D7AA3E04">
      <w:numFmt w:val="bullet"/>
      <w:lvlText w:val="•"/>
      <w:lvlJc w:val="left"/>
      <w:pPr>
        <w:ind w:left="2761" w:hanging="360"/>
      </w:pPr>
      <w:rPr>
        <w:rFonts w:hint="default"/>
        <w:lang w:val="es-ES" w:eastAsia="en-US" w:bidi="ar-SA"/>
      </w:rPr>
    </w:lvl>
    <w:lvl w:ilvl="6" w:tplc="A5CC1070">
      <w:numFmt w:val="bullet"/>
      <w:lvlText w:val="•"/>
      <w:lvlJc w:val="left"/>
      <w:pPr>
        <w:ind w:left="3149" w:hanging="360"/>
      </w:pPr>
      <w:rPr>
        <w:rFonts w:hint="default"/>
        <w:lang w:val="es-ES" w:eastAsia="en-US" w:bidi="ar-SA"/>
      </w:rPr>
    </w:lvl>
    <w:lvl w:ilvl="7" w:tplc="17E06424">
      <w:numFmt w:val="bullet"/>
      <w:lvlText w:val="•"/>
      <w:lvlJc w:val="left"/>
      <w:pPr>
        <w:ind w:left="3538" w:hanging="360"/>
      </w:pPr>
      <w:rPr>
        <w:rFonts w:hint="default"/>
        <w:lang w:val="es-ES" w:eastAsia="en-US" w:bidi="ar-SA"/>
      </w:rPr>
    </w:lvl>
    <w:lvl w:ilvl="8" w:tplc="4B323A66">
      <w:numFmt w:val="bullet"/>
      <w:lvlText w:val="•"/>
      <w:lvlJc w:val="left"/>
      <w:pPr>
        <w:ind w:left="3926" w:hanging="360"/>
      </w:pPr>
      <w:rPr>
        <w:rFonts w:hint="default"/>
        <w:lang w:val="es-ES" w:eastAsia="en-US" w:bidi="ar-SA"/>
      </w:rPr>
    </w:lvl>
  </w:abstractNum>
  <w:abstractNum w:abstractNumId="42" w15:restartNumberingAfterBreak="0">
    <w:nsid w:val="5C130BBF"/>
    <w:multiLevelType w:val="hybridMultilevel"/>
    <w:tmpl w:val="A88A6100"/>
    <w:lvl w:ilvl="0" w:tplc="BFC204C0">
      <w:numFmt w:val="bullet"/>
      <w:lvlText w:val=""/>
      <w:lvlJc w:val="left"/>
      <w:pPr>
        <w:ind w:left="1440" w:hanging="360"/>
      </w:pPr>
      <w:rPr>
        <w:rFonts w:ascii="Symbol" w:eastAsia="Symbol" w:hAnsi="Symbol" w:cs="Symbol" w:hint="default"/>
        <w:b w:val="0"/>
        <w:bCs w:val="0"/>
        <w:i w:val="0"/>
        <w:iCs w:val="0"/>
        <w:spacing w:val="0"/>
        <w:w w:val="100"/>
        <w:sz w:val="24"/>
        <w:szCs w:val="24"/>
        <w:lang w:val="es-ES" w:eastAsia="en-US" w:bidi="ar-SA"/>
      </w:rPr>
    </w:lvl>
    <w:lvl w:ilvl="1" w:tplc="AA9834C2">
      <w:numFmt w:val="bullet"/>
      <w:lvlText w:val="•"/>
      <w:lvlJc w:val="left"/>
      <w:pPr>
        <w:ind w:left="2342" w:hanging="360"/>
      </w:pPr>
      <w:rPr>
        <w:rFonts w:hint="default"/>
        <w:lang w:val="es-ES" w:eastAsia="en-US" w:bidi="ar-SA"/>
      </w:rPr>
    </w:lvl>
    <w:lvl w:ilvl="2" w:tplc="59A0D410">
      <w:numFmt w:val="bullet"/>
      <w:lvlText w:val="•"/>
      <w:lvlJc w:val="left"/>
      <w:pPr>
        <w:ind w:left="3245" w:hanging="360"/>
      </w:pPr>
      <w:rPr>
        <w:rFonts w:hint="default"/>
        <w:lang w:val="es-ES" w:eastAsia="en-US" w:bidi="ar-SA"/>
      </w:rPr>
    </w:lvl>
    <w:lvl w:ilvl="3" w:tplc="1304D3B0">
      <w:numFmt w:val="bullet"/>
      <w:lvlText w:val="•"/>
      <w:lvlJc w:val="left"/>
      <w:pPr>
        <w:ind w:left="4147" w:hanging="360"/>
      </w:pPr>
      <w:rPr>
        <w:rFonts w:hint="default"/>
        <w:lang w:val="es-ES" w:eastAsia="en-US" w:bidi="ar-SA"/>
      </w:rPr>
    </w:lvl>
    <w:lvl w:ilvl="4" w:tplc="A60474FE">
      <w:numFmt w:val="bullet"/>
      <w:lvlText w:val="•"/>
      <w:lvlJc w:val="left"/>
      <w:pPr>
        <w:ind w:left="5050" w:hanging="360"/>
      </w:pPr>
      <w:rPr>
        <w:rFonts w:hint="default"/>
        <w:lang w:val="es-ES" w:eastAsia="en-US" w:bidi="ar-SA"/>
      </w:rPr>
    </w:lvl>
    <w:lvl w:ilvl="5" w:tplc="9FD406AC">
      <w:numFmt w:val="bullet"/>
      <w:lvlText w:val="•"/>
      <w:lvlJc w:val="left"/>
      <w:pPr>
        <w:ind w:left="5953" w:hanging="360"/>
      </w:pPr>
      <w:rPr>
        <w:rFonts w:hint="default"/>
        <w:lang w:val="es-ES" w:eastAsia="en-US" w:bidi="ar-SA"/>
      </w:rPr>
    </w:lvl>
    <w:lvl w:ilvl="6" w:tplc="61E0384E">
      <w:numFmt w:val="bullet"/>
      <w:lvlText w:val="•"/>
      <w:lvlJc w:val="left"/>
      <w:pPr>
        <w:ind w:left="6855" w:hanging="360"/>
      </w:pPr>
      <w:rPr>
        <w:rFonts w:hint="default"/>
        <w:lang w:val="es-ES" w:eastAsia="en-US" w:bidi="ar-SA"/>
      </w:rPr>
    </w:lvl>
    <w:lvl w:ilvl="7" w:tplc="579A3EB6">
      <w:numFmt w:val="bullet"/>
      <w:lvlText w:val="•"/>
      <w:lvlJc w:val="left"/>
      <w:pPr>
        <w:ind w:left="7758" w:hanging="360"/>
      </w:pPr>
      <w:rPr>
        <w:rFonts w:hint="default"/>
        <w:lang w:val="es-ES" w:eastAsia="en-US" w:bidi="ar-SA"/>
      </w:rPr>
    </w:lvl>
    <w:lvl w:ilvl="8" w:tplc="353A426A">
      <w:numFmt w:val="bullet"/>
      <w:lvlText w:val="•"/>
      <w:lvlJc w:val="left"/>
      <w:pPr>
        <w:ind w:left="8661" w:hanging="360"/>
      </w:pPr>
      <w:rPr>
        <w:rFonts w:hint="default"/>
        <w:lang w:val="es-ES" w:eastAsia="en-US" w:bidi="ar-SA"/>
      </w:rPr>
    </w:lvl>
  </w:abstractNum>
  <w:abstractNum w:abstractNumId="43" w15:restartNumberingAfterBreak="0">
    <w:nsid w:val="5FBC7698"/>
    <w:multiLevelType w:val="hybridMultilevel"/>
    <w:tmpl w:val="F4702B78"/>
    <w:lvl w:ilvl="0" w:tplc="02668290">
      <w:numFmt w:val="bullet"/>
      <w:lvlText w:val="-"/>
      <w:lvlJc w:val="left"/>
      <w:pPr>
        <w:ind w:left="268" w:hanging="162"/>
      </w:pPr>
      <w:rPr>
        <w:rFonts w:ascii="Verdana" w:eastAsia="Verdana" w:hAnsi="Verdana" w:cs="Verdana" w:hint="default"/>
        <w:b w:val="0"/>
        <w:bCs w:val="0"/>
        <w:i w:val="0"/>
        <w:iCs w:val="0"/>
        <w:color w:val="333333"/>
        <w:spacing w:val="0"/>
        <w:w w:val="99"/>
        <w:sz w:val="20"/>
        <w:szCs w:val="20"/>
        <w:lang w:val="es-ES" w:eastAsia="en-US" w:bidi="ar-SA"/>
      </w:rPr>
    </w:lvl>
    <w:lvl w:ilvl="1" w:tplc="72103196">
      <w:numFmt w:val="bullet"/>
      <w:lvlText w:val="•"/>
      <w:lvlJc w:val="left"/>
      <w:pPr>
        <w:ind w:left="703" w:hanging="162"/>
      </w:pPr>
      <w:rPr>
        <w:rFonts w:hint="default"/>
        <w:lang w:val="es-ES" w:eastAsia="en-US" w:bidi="ar-SA"/>
      </w:rPr>
    </w:lvl>
    <w:lvl w:ilvl="2" w:tplc="96FA8920">
      <w:numFmt w:val="bullet"/>
      <w:lvlText w:val="•"/>
      <w:lvlJc w:val="left"/>
      <w:pPr>
        <w:ind w:left="1146" w:hanging="162"/>
      </w:pPr>
      <w:rPr>
        <w:rFonts w:hint="default"/>
        <w:lang w:val="es-ES" w:eastAsia="en-US" w:bidi="ar-SA"/>
      </w:rPr>
    </w:lvl>
    <w:lvl w:ilvl="3" w:tplc="08B2E3DE">
      <w:numFmt w:val="bullet"/>
      <w:lvlText w:val="•"/>
      <w:lvlJc w:val="left"/>
      <w:pPr>
        <w:ind w:left="1589" w:hanging="162"/>
      </w:pPr>
      <w:rPr>
        <w:rFonts w:hint="default"/>
        <w:lang w:val="es-ES" w:eastAsia="en-US" w:bidi="ar-SA"/>
      </w:rPr>
    </w:lvl>
    <w:lvl w:ilvl="4" w:tplc="6DEC88A0">
      <w:numFmt w:val="bullet"/>
      <w:lvlText w:val="•"/>
      <w:lvlJc w:val="left"/>
      <w:pPr>
        <w:ind w:left="2032" w:hanging="162"/>
      </w:pPr>
      <w:rPr>
        <w:rFonts w:hint="default"/>
        <w:lang w:val="es-ES" w:eastAsia="en-US" w:bidi="ar-SA"/>
      </w:rPr>
    </w:lvl>
    <w:lvl w:ilvl="5" w:tplc="F496B990">
      <w:numFmt w:val="bullet"/>
      <w:lvlText w:val="•"/>
      <w:lvlJc w:val="left"/>
      <w:pPr>
        <w:ind w:left="2476" w:hanging="162"/>
      </w:pPr>
      <w:rPr>
        <w:rFonts w:hint="default"/>
        <w:lang w:val="es-ES" w:eastAsia="en-US" w:bidi="ar-SA"/>
      </w:rPr>
    </w:lvl>
    <w:lvl w:ilvl="6" w:tplc="38F0C316">
      <w:numFmt w:val="bullet"/>
      <w:lvlText w:val="•"/>
      <w:lvlJc w:val="left"/>
      <w:pPr>
        <w:ind w:left="2919" w:hanging="162"/>
      </w:pPr>
      <w:rPr>
        <w:rFonts w:hint="default"/>
        <w:lang w:val="es-ES" w:eastAsia="en-US" w:bidi="ar-SA"/>
      </w:rPr>
    </w:lvl>
    <w:lvl w:ilvl="7" w:tplc="C9CC0CDA">
      <w:numFmt w:val="bullet"/>
      <w:lvlText w:val="•"/>
      <w:lvlJc w:val="left"/>
      <w:pPr>
        <w:ind w:left="3362" w:hanging="162"/>
      </w:pPr>
      <w:rPr>
        <w:rFonts w:hint="default"/>
        <w:lang w:val="es-ES" w:eastAsia="en-US" w:bidi="ar-SA"/>
      </w:rPr>
    </w:lvl>
    <w:lvl w:ilvl="8" w:tplc="61905160">
      <w:numFmt w:val="bullet"/>
      <w:lvlText w:val="•"/>
      <w:lvlJc w:val="left"/>
      <w:pPr>
        <w:ind w:left="3805" w:hanging="162"/>
      </w:pPr>
      <w:rPr>
        <w:rFonts w:hint="default"/>
        <w:lang w:val="es-ES" w:eastAsia="en-US" w:bidi="ar-SA"/>
      </w:rPr>
    </w:lvl>
  </w:abstractNum>
  <w:abstractNum w:abstractNumId="44" w15:restartNumberingAfterBreak="0">
    <w:nsid w:val="60C36FDA"/>
    <w:multiLevelType w:val="hybridMultilevel"/>
    <w:tmpl w:val="AD0AE16C"/>
    <w:lvl w:ilvl="0" w:tplc="A2144D1A">
      <w:start w:val="1"/>
      <w:numFmt w:val="lowerRoman"/>
      <w:lvlText w:val="(%1)"/>
      <w:lvlJc w:val="left"/>
      <w:pPr>
        <w:ind w:left="1800" w:hanging="720"/>
      </w:pPr>
      <w:rPr>
        <w:rFonts w:ascii="Verdana" w:eastAsia="Verdana" w:hAnsi="Verdana" w:cs="Verdana" w:hint="default"/>
        <w:b w:val="0"/>
        <w:bCs w:val="0"/>
        <w:i w:val="0"/>
        <w:iCs w:val="0"/>
        <w:spacing w:val="-1"/>
        <w:w w:val="100"/>
        <w:sz w:val="24"/>
        <w:szCs w:val="24"/>
        <w:lang w:val="es-ES" w:eastAsia="en-US" w:bidi="ar-SA"/>
      </w:rPr>
    </w:lvl>
    <w:lvl w:ilvl="1" w:tplc="68F2AD5A">
      <w:numFmt w:val="bullet"/>
      <w:lvlText w:val="•"/>
      <w:lvlJc w:val="left"/>
      <w:pPr>
        <w:ind w:left="2666" w:hanging="720"/>
      </w:pPr>
      <w:rPr>
        <w:rFonts w:hint="default"/>
        <w:lang w:val="es-ES" w:eastAsia="en-US" w:bidi="ar-SA"/>
      </w:rPr>
    </w:lvl>
    <w:lvl w:ilvl="2" w:tplc="F6E07286">
      <w:numFmt w:val="bullet"/>
      <w:lvlText w:val="•"/>
      <w:lvlJc w:val="left"/>
      <w:pPr>
        <w:ind w:left="3533" w:hanging="720"/>
      </w:pPr>
      <w:rPr>
        <w:rFonts w:hint="default"/>
        <w:lang w:val="es-ES" w:eastAsia="en-US" w:bidi="ar-SA"/>
      </w:rPr>
    </w:lvl>
    <w:lvl w:ilvl="3" w:tplc="15A83762">
      <w:numFmt w:val="bullet"/>
      <w:lvlText w:val="•"/>
      <w:lvlJc w:val="left"/>
      <w:pPr>
        <w:ind w:left="4399" w:hanging="720"/>
      </w:pPr>
      <w:rPr>
        <w:rFonts w:hint="default"/>
        <w:lang w:val="es-ES" w:eastAsia="en-US" w:bidi="ar-SA"/>
      </w:rPr>
    </w:lvl>
    <w:lvl w:ilvl="4" w:tplc="101E8FE2">
      <w:numFmt w:val="bullet"/>
      <w:lvlText w:val="•"/>
      <w:lvlJc w:val="left"/>
      <w:pPr>
        <w:ind w:left="5266" w:hanging="720"/>
      </w:pPr>
      <w:rPr>
        <w:rFonts w:hint="default"/>
        <w:lang w:val="es-ES" w:eastAsia="en-US" w:bidi="ar-SA"/>
      </w:rPr>
    </w:lvl>
    <w:lvl w:ilvl="5" w:tplc="7E4C85DC">
      <w:numFmt w:val="bullet"/>
      <w:lvlText w:val="•"/>
      <w:lvlJc w:val="left"/>
      <w:pPr>
        <w:ind w:left="6133" w:hanging="720"/>
      </w:pPr>
      <w:rPr>
        <w:rFonts w:hint="default"/>
        <w:lang w:val="es-ES" w:eastAsia="en-US" w:bidi="ar-SA"/>
      </w:rPr>
    </w:lvl>
    <w:lvl w:ilvl="6" w:tplc="B358BBC0">
      <w:numFmt w:val="bullet"/>
      <w:lvlText w:val="•"/>
      <w:lvlJc w:val="left"/>
      <w:pPr>
        <w:ind w:left="6999" w:hanging="720"/>
      </w:pPr>
      <w:rPr>
        <w:rFonts w:hint="default"/>
        <w:lang w:val="es-ES" w:eastAsia="en-US" w:bidi="ar-SA"/>
      </w:rPr>
    </w:lvl>
    <w:lvl w:ilvl="7" w:tplc="65C47DD8">
      <w:numFmt w:val="bullet"/>
      <w:lvlText w:val="•"/>
      <w:lvlJc w:val="left"/>
      <w:pPr>
        <w:ind w:left="7866" w:hanging="720"/>
      </w:pPr>
      <w:rPr>
        <w:rFonts w:hint="default"/>
        <w:lang w:val="es-ES" w:eastAsia="en-US" w:bidi="ar-SA"/>
      </w:rPr>
    </w:lvl>
    <w:lvl w:ilvl="8" w:tplc="39583182">
      <w:numFmt w:val="bullet"/>
      <w:lvlText w:val="•"/>
      <w:lvlJc w:val="left"/>
      <w:pPr>
        <w:ind w:left="8733" w:hanging="720"/>
      </w:pPr>
      <w:rPr>
        <w:rFonts w:hint="default"/>
        <w:lang w:val="es-ES" w:eastAsia="en-US" w:bidi="ar-SA"/>
      </w:rPr>
    </w:lvl>
  </w:abstractNum>
  <w:abstractNum w:abstractNumId="45" w15:restartNumberingAfterBreak="0">
    <w:nsid w:val="62477970"/>
    <w:multiLevelType w:val="hybridMultilevel"/>
    <w:tmpl w:val="061E3002"/>
    <w:lvl w:ilvl="0" w:tplc="45206914">
      <w:start w:val="1"/>
      <w:numFmt w:val="lowerLetter"/>
      <w:lvlText w:val="%1)"/>
      <w:lvlJc w:val="left"/>
      <w:pPr>
        <w:ind w:left="827" w:hanging="360"/>
      </w:pPr>
      <w:rPr>
        <w:rFonts w:ascii="Verdana" w:eastAsia="Verdana" w:hAnsi="Verdana" w:cs="Verdana" w:hint="default"/>
        <w:b/>
        <w:bCs/>
        <w:i w:val="0"/>
        <w:iCs w:val="0"/>
        <w:spacing w:val="-2"/>
        <w:w w:val="99"/>
        <w:sz w:val="20"/>
        <w:szCs w:val="20"/>
        <w:lang w:val="es-ES" w:eastAsia="en-US" w:bidi="ar-SA"/>
      </w:rPr>
    </w:lvl>
    <w:lvl w:ilvl="1" w:tplc="BA4C7108">
      <w:numFmt w:val="bullet"/>
      <w:lvlText w:val="•"/>
      <w:lvlJc w:val="left"/>
      <w:pPr>
        <w:ind w:left="1208" w:hanging="360"/>
      </w:pPr>
      <w:rPr>
        <w:rFonts w:hint="default"/>
        <w:lang w:val="es-ES" w:eastAsia="en-US" w:bidi="ar-SA"/>
      </w:rPr>
    </w:lvl>
    <w:lvl w:ilvl="2" w:tplc="A0BAAA4E">
      <w:numFmt w:val="bullet"/>
      <w:lvlText w:val="•"/>
      <w:lvlJc w:val="left"/>
      <w:pPr>
        <w:ind w:left="1596" w:hanging="360"/>
      </w:pPr>
      <w:rPr>
        <w:rFonts w:hint="default"/>
        <w:lang w:val="es-ES" w:eastAsia="en-US" w:bidi="ar-SA"/>
      </w:rPr>
    </w:lvl>
    <w:lvl w:ilvl="3" w:tplc="F4E49572">
      <w:numFmt w:val="bullet"/>
      <w:lvlText w:val="•"/>
      <w:lvlJc w:val="left"/>
      <w:pPr>
        <w:ind w:left="1984" w:hanging="360"/>
      </w:pPr>
      <w:rPr>
        <w:rFonts w:hint="default"/>
        <w:lang w:val="es-ES" w:eastAsia="en-US" w:bidi="ar-SA"/>
      </w:rPr>
    </w:lvl>
    <w:lvl w:ilvl="4" w:tplc="CE1211B0">
      <w:numFmt w:val="bullet"/>
      <w:lvlText w:val="•"/>
      <w:lvlJc w:val="left"/>
      <w:pPr>
        <w:ind w:left="2373" w:hanging="360"/>
      </w:pPr>
      <w:rPr>
        <w:rFonts w:hint="default"/>
        <w:lang w:val="es-ES" w:eastAsia="en-US" w:bidi="ar-SA"/>
      </w:rPr>
    </w:lvl>
    <w:lvl w:ilvl="5" w:tplc="D5886AEE">
      <w:numFmt w:val="bullet"/>
      <w:lvlText w:val="•"/>
      <w:lvlJc w:val="left"/>
      <w:pPr>
        <w:ind w:left="2761" w:hanging="360"/>
      </w:pPr>
      <w:rPr>
        <w:rFonts w:hint="default"/>
        <w:lang w:val="es-ES" w:eastAsia="en-US" w:bidi="ar-SA"/>
      </w:rPr>
    </w:lvl>
    <w:lvl w:ilvl="6" w:tplc="CABAFB66">
      <w:numFmt w:val="bullet"/>
      <w:lvlText w:val="•"/>
      <w:lvlJc w:val="left"/>
      <w:pPr>
        <w:ind w:left="3149" w:hanging="360"/>
      </w:pPr>
      <w:rPr>
        <w:rFonts w:hint="default"/>
        <w:lang w:val="es-ES" w:eastAsia="en-US" w:bidi="ar-SA"/>
      </w:rPr>
    </w:lvl>
    <w:lvl w:ilvl="7" w:tplc="1DB4C97A">
      <w:numFmt w:val="bullet"/>
      <w:lvlText w:val="•"/>
      <w:lvlJc w:val="left"/>
      <w:pPr>
        <w:ind w:left="3538" w:hanging="360"/>
      </w:pPr>
      <w:rPr>
        <w:rFonts w:hint="default"/>
        <w:lang w:val="es-ES" w:eastAsia="en-US" w:bidi="ar-SA"/>
      </w:rPr>
    </w:lvl>
    <w:lvl w:ilvl="8" w:tplc="075EDD72">
      <w:numFmt w:val="bullet"/>
      <w:lvlText w:val="•"/>
      <w:lvlJc w:val="left"/>
      <w:pPr>
        <w:ind w:left="3926" w:hanging="360"/>
      </w:pPr>
      <w:rPr>
        <w:rFonts w:hint="default"/>
        <w:lang w:val="es-ES" w:eastAsia="en-US" w:bidi="ar-SA"/>
      </w:rPr>
    </w:lvl>
  </w:abstractNum>
  <w:abstractNum w:abstractNumId="46" w15:restartNumberingAfterBreak="0">
    <w:nsid w:val="62EC37EE"/>
    <w:multiLevelType w:val="hybridMultilevel"/>
    <w:tmpl w:val="B5D43D6A"/>
    <w:lvl w:ilvl="0" w:tplc="9438AD9C">
      <w:start w:val="1"/>
      <w:numFmt w:val="lowerRoman"/>
      <w:lvlText w:val="(%1)"/>
      <w:lvlJc w:val="left"/>
      <w:pPr>
        <w:ind w:left="1800" w:hanging="720"/>
      </w:pPr>
      <w:rPr>
        <w:rFonts w:ascii="Verdana" w:eastAsia="Verdana" w:hAnsi="Verdana" w:cs="Verdana" w:hint="default"/>
        <w:b w:val="0"/>
        <w:bCs w:val="0"/>
        <w:i w:val="0"/>
        <w:iCs w:val="0"/>
        <w:spacing w:val="-1"/>
        <w:w w:val="100"/>
        <w:sz w:val="24"/>
        <w:szCs w:val="24"/>
        <w:lang w:val="es-ES" w:eastAsia="en-US" w:bidi="ar-SA"/>
      </w:rPr>
    </w:lvl>
    <w:lvl w:ilvl="1" w:tplc="D228D604">
      <w:numFmt w:val="bullet"/>
      <w:lvlText w:val="•"/>
      <w:lvlJc w:val="left"/>
      <w:pPr>
        <w:ind w:left="2666" w:hanging="720"/>
      </w:pPr>
      <w:rPr>
        <w:rFonts w:hint="default"/>
        <w:lang w:val="es-ES" w:eastAsia="en-US" w:bidi="ar-SA"/>
      </w:rPr>
    </w:lvl>
    <w:lvl w:ilvl="2" w:tplc="DF1A9336">
      <w:numFmt w:val="bullet"/>
      <w:lvlText w:val="•"/>
      <w:lvlJc w:val="left"/>
      <w:pPr>
        <w:ind w:left="3533" w:hanging="720"/>
      </w:pPr>
      <w:rPr>
        <w:rFonts w:hint="default"/>
        <w:lang w:val="es-ES" w:eastAsia="en-US" w:bidi="ar-SA"/>
      </w:rPr>
    </w:lvl>
    <w:lvl w:ilvl="3" w:tplc="E87C9288">
      <w:numFmt w:val="bullet"/>
      <w:lvlText w:val="•"/>
      <w:lvlJc w:val="left"/>
      <w:pPr>
        <w:ind w:left="4399" w:hanging="720"/>
      </w:pPr>
      <w:rPr>
        <w:rFonts w:hint="default"/>
        <w:lang w:val="es-ES" w:eastAsia="en-US" w:bidi="ar-SA"/>
      </w:rPr>
    </w:lvl>
    <w:lvl w:ilvl="4" w:tplc="056A1A80">
      <w:numFmt w:val="bullet"/>
      <w:lvlText w:val="•"/>
      <w:lvlJc w:val="left"/>
      <w:pPr>
        <w:ind w:left="5266" w:hanging="720"/>
      </w:pPr>
      <w:rPr>
        <w:rFonts w:hint="default"/>
        <w:lang w:val="es-ES" w:eastAsia="en-US" w:bidi="ar-SA"/>
      </w:rPr>
    </w:lvl>
    <w:lvl w:ilvl="5" w:tplc="2228C8E4">
      <w:numFmt w:val="bullet"/>
      <w:lvlText w:val="•"/>
      <w:lvlJc w:val="left"/>
      <w:pPr>
        <w:ind w:left="6133" w:hanging="720"/>
      </w:pPr>
      <w:rPr>
        <w:rFonts w:hint="default"/>
        <w:lang w:val="es-ES" w:eastAsia="en-US" w:bidi="ar-SA"/>
      </w:rPr>
    </w:lvl>
    <w:lvl w:ilvl="6" w:tplc="7F2C5862">
      <w:numFmt w:val="bullet"/>
      <w:lvlText w:val="•"/>
      <w:lvlJc w:val="left"/>
      <w:pPr>
        <w:ind w:left="6999" w:hanging="720"/>
      </w:pPr>
      <w:rPr>
        <w:rFonts w:hint="default"/>
        <w:lang w:val="es-ES" w:eastAsia="en-US" w:bidi="ar-SA"/>
      </w:rPr>
    </w:lvl>
    <w:lvl w:ilvl="7" w:tplc="FD5A1B96">
      <w:numFmt w:val="bullet"/>
      <w:lvlText w:val="•"/>
      <w:lvlJc w:val="left"/>
      <w:pPr>
        <w:ind w:left="7866" w:hanging="720"/>
      </w:pPr>
      <w:rPr>
        <w:rFonts w:hint="default"/>
        <w:lang w:val="es-ES" w:eastAsia="en-US" w:bidi="ar-SA"/>
      </w:rPr>
    </w:lvl>
    <w:lvl w:ilvl="8" w:tplc="B7AE0728">
      <w:numFmt w:val="bullet"/>
      <w:lvlText w:val="•"/>
      <w:lvlJc w:val="left"/>
      <w:pPr>
        <w:ind w:left="8733" w:hanging="720"/>
      </w:pPr>
      <w:rPr>
        <w:rFonts w:hint="default"/>
        <w:lang w:val="es-ES" w:eastAsia="en-US" w:bidi="ar-SA"/>
      </w:rPr>
    </w:lvl>
  </w:abstractNum>
  <w:abstractNum w:abstractNumId="47" w15:restartNumberingAfterBreak="0">
    <w:nsid w:val="66103245"/>
    <w:multiLevelType w:val="hybridMultilevel"/>
    <w:tmpl w:val="6A6C25A6"/>
    <w:lvl w:ilvl="0" w:tplc="C42C5EB2">
      <w:start w:val="1"/>
      <w:numFmt w:val="lowerLetter"/>
      <w:lvlText w:val="%1)"/>
      <w:lvlJc w:val="left"/>
      <w:pPr>
        <w:ind w:left="827" w:hanging="360"/>
      </w:pPr>
      <w:rPr>
        <w:rFonts w:ascii="Verdana" w:eastAsia="Verdana" w:hAnsi="Verdana" w:cs="Verdana" w:hint="default"/>
        <w:b/>
        <w:bCs/>
        <w:i w:val="0"/>
        <w:iCs w:val="0"/>
        <w:spacing w:val="-2"/>
        <w:w w:val="99"/>
        <w:sz w:val="20"/>
        <w:szCs w:val="20"/>
        <w:lang w:val="es-ES" w:eastAsia="en-US" w:bidi="ar-SA"/>
      </w:rPr>
    </w:lvl>
    <w:lvl w:ilvl="1" w:tplc="4AF862CE">
      <w:numFmt w:val="bullet"/>
      <w:lvlText w:val="•"/>
      <w:lvlJc w:val="left"/>
      <w:pPr>
        <w:ind w:left="1208" w:hanging="360"/>
      </w:pPr>
      <w:rPr>
        <w:rFonts w:hint="default"/>
        <w:lang w:val="es-ES" w:eastAsia="en-US" w:bidi="ar-SA"/>
      </w:rPr>
    </w:lvl>
    <w:lvl w:ilvl="2" w:tplc="E2543F04">
      <w:numFmt w:val="bullet"/>
      <w:lvlText w:val="•"/>
      <w:lvlJc w:val="left"/>
      <w:pPr>
        <w:ind w:left="1596" w:hanging="360"/>
      </w:pPr>
      <w:rPr>
        <w:rFonts w:hint="default"/>
        <w:lang w:val="es-ES" w:eastAsia="en-US" w:bidi="ar-SA"/>
      </w:rPr>
    </w:lvl>
    <w:lvl w:ilvl="3" w:tplc="E49265F4">
      <w:numFmt w:val="bullet"/>
      <w:lvlText w:val="•"/>
      <w:lvlJc w:val="left"/>
      <w:pPr>
        <w:ind w:left="1984" w:hanging="360"/>
      </w:pPr>
      <w:rPr>
        <w:rFonts w:hint="default"/>
        <w:lang w:val="es-ES" w:eastAsia="en-US" w:bidi="ar-SA"/>
      </w:rPr>
    </w:lvl>
    <w:lvl w:ilvl="4" w:tplc="D9C88142">
      <w:numFmt w:val="bullet"/>
      <w:lvlText w:val="•"/>
      <w:lvlJc w:val="left"/>
      <w:pPr>
        <w:ind w:left="2373" w:hanging="360"/>
      </w:pPr>
      <w:rPr>
        <w:rFonts w:hint="default"/>
        <w:lang w:val="es-ES" w:eastAsia="en-US" w:bidi="ar-SA"/>
      </w:rPr>
    </w:lvl>
    <w:lvl w:ilvl="5" w:tplc="58D8BE76">
      <w:numFmt w:val="bullet"/>
      <w:lvlText w:val="•"/>
      <w:lvlJc w:val="left"/>
      <w:pPr>
        <w:ind w:left="2761" w:hanging="360"/>
      </w:pPr>
      <w:rPr>
        <w:rFonts w:hint="default"/>
        <w:lang w:val="es-ES" w:eastAsia="en-US" w:bidi="ar-SA"/>
      </w:rPr>
    </w:lvl>
    <w:lvl w:ilvl="6" w:tplc="2EDE7DCC">
      <w:numFmt w:val="bullet"/>
      <w:lvlText w:val="•"/>
      <w:lvlJc w:val="left"/>
      <w:pPr>
        <w:ind w:left="3149" w:hanging="360"/>
      </w:pPr>
      <w:rPr>
        <w:rFonts w:hint="default"/>
        <w:lang w:val="es-ES" w:eastAsia="en-US" w:bidi="ar-SA"/>
      </w:rPr>
    </w:lvl>
    <w:lvl w:ilvl="7" w:tplc="57E689FE">
      <w:numFmt w:val="bullet"/>
      <w:lvlText w:val="•"/>
      <w:lvlJc w:val="left"/>
      <w:pPr>
        <w:ind w:left="3538" w:hanging="360"/>
      </w:pPr>
      <w:rPr>
        <w:rFonts w:hint="default"/>
        <w:lang w:val="es-ES" w:eastAsia="en-US" w:bidi="ar-SA"/>
      </w:rPr>
    </w:lvl>
    <w:lvl w:ilvl="8" w:tplc="592EBBA8">
      <w:numFmt w:val="bullet"/>
      <w:lvlText w:val="•"/>
      <w:lvlJc w:val="left"/>
      <w:pPr>
        <w:ind w:left="3926" w:hanging="360"/>
      </w:pPr>
      <w:rPr>
        <w:rFonts w:hint="default"/>
        <w:lang w:val="es-ES" w:eastAsia="en-US" w:bidi="ar-SA"/>
      </w:rPr>
    </w:lvl>
  </w:abstractNum>
  <w:abstractNum w:abstractNumId="48" w15:restartNumberingAfterBreak="0">
    <w:nsid w:val="69C040F1"/>
    <w:multiLevelType w:val="multilevel"/>
    <w:tmpl w:val="279A8402"/>
    <w:lvl w:ilvl="0">
      <w:start w:val="1"/>
      <w:numFmt w:val="decimal"/>
      <w:lvlText w:val="%1"/>
      <w:lvlJc w:val="left"/>
      <w:pPr>
        <w:ind w:left="108" w:hanging="531"/>
      </w:pPr>
      <w:rPr>
        <w:rFonts w:hint="default"/>
        <w:lang w:val="es-ES" w:eastAsia="en-US" w:bidi="ar-SA"/>
      </w:rPr>
    </w:lvl>
    <w:lvl w:ilvl="1">
      <w:start w:val="2"/>
      <w:numFmt w:val="decimal"/>
      <w:lvlText w:val="%1.%2"/>
      <w:lvlJc w:val="left"/>
      <w:pPr>
        <w:ind w:left="108" w:hanging="531"/>
      </w:pPr>
      <w:rPr>
        <w:rFonts w:ascii="Verdana" w:eastAsia="Verdana" w:hAnsi="Verdana" w:cs="Verdana" w:hint="default"/>
        <w:b/>
        <w:bCs/>
        <w:i w:val="0"/>
        <w:iCs w:val="0"/>
        <w:spacing w:val="-1"/>
        <w:w w:val="100"/>
        <w:sz w:val="18"/>
        <w:szCs w:val="18"/>
        <w:lang w:val="es-ES" w:eastAsia="en-US" w:bidi="ar-SA"/>
      </w:rPr>
    </w:lvl>
    <w:lvl w:ilvl="2">
      <w:numFmt w:val="bullet"/>
      <w:lvlText w:val="•"/>
      <w:lvlJc w:val="left"/>
      <w:pPr>
        <w:ind w:left="828" w:hanging="531"/>
      </w:pPr>
      <w:rPr>
        <w:rFonts w:hint="default"/>
        <w:lang w:val="es-ES" w:eastAsia="en-US" w:bidi="ar-SA"/>
      </w:rPr>
    </w:lvl>
    <w:lvl w:ilvl="3">
      <w:numFmt w:val="bullet"/>
      <w:lvlText w:val="•"/>
      <w:lvlJc w:val="left"/>
      <w:pPr>
        <w:ind w:left="1192" w:hanging="531"/>
      </w:pPr>
      <w:rPr>
        <w:rFonts w:hint="default"/>
        <w:lang w:val="es-ES" w:eastAsia="en-US" w:bidi="ar-SA"/>
      </w:rPr>
    </w:lvl>
    <w:lvl w:ilvl="4">
      <w:numFmt w:val="bullet"/>
      <w:lvlText w:val="•"/>
      <w:lvlJc w:val="left"/>
      <w:pPr>
        <w:ind w:left="1556" w:hanging="531"/>
      </w:pPr>
      <w:rPr>
        <w:rFonts w:hint="default"/>
        <w:lang w:val="es-ES" w:eastAsia="en-US" w:bidi="ar-SA"/>
      </w:rPr>
    </w:lvl>
    <w:lvl w:ilvl="5">
      <w:numFmt w:val="bullet"/>
      <w:lvlText w:val="•"/>
      <w:lvlJc w:val="left"/>
      <w:pPr>
        <w:ind w:left="1921" w:hanging="531"/>
      </w:pPr>
      <w:rPr>
        <w:rFonts w:hint="default"/>
        <w:lang w:val="es-ES" w:eastAsia="en-US" w:bidi="ar-SA"/>
      </w:rPr>
    </w:lvl>
    <w:lvl w:ilvl="6">
      <w:numFmt w:val="bullet"/>
      <w:lvlText w:val="•"/>
      <w:lvlJc w:val="left"/>
      <w:pPr>
        <w:ind w:left="2285" w:hanging="531"/>
      </w:pPr>
      <w:rPr>
        <w:rFonts w:hint="default"/>
        <w:lang w:val="es-ES" w:eastAsia="en-US" w:bidi="ar-SA"/>
      </w:rPr>
    </w:lvl>
    <w:lvl w:ilvl="7">
      <w:numFmt w:val="bullet"/>
      <w:lvlText w:val="•"/>
      <w:lvlJc w:val="left"/>
      <w:pPr>
        <w:ind w:left="2649" w:hanging="531"/>
      </w:pPr>
      <w:rPr>
        <w:rFonts w:hint="default"/>
        <w:lang w:val="es-ES" w:eastAsia="en-US" w:bidi="ar-SA"/>
      </w:rPr>
    </w:lvl>
    <w:lvl w:ilvl="8">
      <w:numFmt w:val="bullet"/>
      <w:lvlText w:val="•"/>
      <w:lvlJc w:val="left"/>
      <w:pPr>
        <w:ind w:left="3013" w:hanging="531"/>
      </w:pPr>
      <w:rPr>
        <w:rFonts w:hint="default"/>
        <w:lang w:val="es-ES" w:eastAsia="en-US" w:bidi="ar-SA"/>
      </w:rPr>
    </w:lvl>
  </w:abstractNum>
  <w:abstractNum w:abstractNumId="49" w15:restartNumberingAfterBreak="0">
    <w:nsid w:val="6CD73882"/>
    <w:multiLevelType w:val="multilevel"/>
    <w:tmpl w:val="0E6A536A"/>
    <w:lvl w:ilvl="0">
      <w:start w:val="2"/>
      <w:numFmt w:val="decimal"/>
      <w:lvlText w:val="%1"/>
      <w:lvlJc w:val="left"/>
      <w:pPr>
        <w:ind w:left="108" w:hanging="404"/>
      </w:pPr>
      <w:rPr>
        <w:rFonts w:hint="default"/>
        <w:lang w:val="es-ES" w:eastAsia="en-US" w:bidi="ar-SA"/>
      </w:rPr>
    </w:lvl>
    <w:lvl w:ilvl="1">
      <w:start w:val="1"/>
      <w:numFmt w:val="decimal"/>
      <w:lvlText w:val="%1.%2"/>
      <w:lvlJc w:val="left"/>
      <w:pPr>
        <w:ind w:left="108" w:hanging="404"/>
      </w:pPr>
      <w:rPr>
        <w:rFonts w:ascii="Verdana" w:eastAsia="Verdana" w:hAnsi="Verdana" w:cs="Verdana" w:hint="default"/>
        <w:b/>
        <w:bCs/>
        <w:i w:val="0"/>
        <w:iCs w:val="0"/>
        <w:spacing w:val="-1"/>
        <w:w w:val="100"/>
        <w:sz w:val="18"/>
        <w:szCs w:val="18"/>
        <w:lang w:val="es-ES" w:eastAsia="en-US" w:bidi="ar-SA"/>
      </w:rPr>
    </w:lvl>
    <w:lvl w:ilvl="2">
      <w:numFmt w:val="bullet"/>
      <w:lvlText w:val="•"/>
      <w:lvlJc w:val="left"/>
      <w:pPr>
        <w:ind w:left="828" w:hanging="404"/>
      </w:pPr>
      <w:rPr>
        <w:rFonts w:hint="default"/>
        <w:lang w:val="es-ES" w:eastAsia="en-US" w:bidi="ar-SA"/>
      </w:rPr>
    </w:lvl>
    <w:lvl w:ilvl="3">
      <w:numFmt w:val="bullet"/>
      <w:lvlText w:val="•"/>
      <w:lvlJc w:val="left"/>
      <w:pPr>
        <w:ind w:left="1192" w:hanging="404"/>
      </w:pPr>
      <w:rPr>
        <w:rFonts w:hint="default"/>
        <w:lang w:val="es-ES" w:eastAsia="en-US" w:bidi="ar-SA"/>
      </w:rPr>
    </w:lvl>
    <w:lvl w:ilvl="4">
      <w:numFmt w:val="bullet"/>
      <w:lvlText w:val="•"/>
      <w:lvlJc w:val="left"/>
      <w:pPr>
        <w:ind w:left="1556" w:hanging="404"/>
      </w:pPr>
      <w:rPr>
        <w:rFonts w:hint="default"/>
        <w:lang w:val="es-ES" w:eastAsia="en-US" w:bidi="ar-SA"/>
      </w:rPr>
    </w:lvl>
    <w:lvl w:ilvl="5">
      <w:numFmt w:val="bullet"/>
      <w:lvlText w:val="•"/>
      <w:lvlJc w:val="left"/>
      <w:pPr>
        <w:ind w:left="1921" w:hanging="404"/>
      </w:pPr>
      <w:rPr>
        <w:rFonts w:hint="default"/>
        <w:lang w:val="es-ES" w:eastAsia="en-US" w:bidi="ar-SA"/>
      </w:rPr>
    </w:lvl>
    <w:lvl w:ilvl="6">
      <w:numFmt w:val="bullet"/>
      <w:lvlText w:val="•"/>
      <w:lvlJc w:val="left"/>
      <w:pPr>
        <w:ind w:left="2285" w:hanging="404"/>
      </w:pPr>
      <w:rPr>
        <w:rFonts w:hint="default"/>
        <w:lang w:val="es-ES" w:eastAsia="en-US" w:bidi="ar-SA"/>
      </w:rPr>
    </w:lvl>
    <w:lvl w:ilvl="7">
      <w:numFmt w:val="bullet"/>
      <w:lvlText w:val="•"/>
      <w:lvlJc w:val="left"/>
      <w:pPr>
        <w:ind w:left="2649" w:hanging="404"/>
      </w:pPr>
      <w:rPr>
        <w:rFonts w:hint="default"/>
        <w:lang w:val="es-ES" w:eastAsia="en-US" w:bidi="ar-SA"/>
      </w:rPr>
    </w:lvl>
    <w:lvl w:ilvl="8">
      <w:numFmt w:val="bullet"/>
      <w:lvlText w:val="•"/>
      <w:lvlJc w:val="left"/>
      <w:pPr>
        <w:ind w:left="3013" w:hanging="404"/>
      </w:pPr>
      <w:rPr>
        <w:rFonts w:hint="default"/>
        <w:lang w:val="es-ES" w:eastAsia="en-US" w:bidi="ar-SA"/>
      </w:rPr>
    </w:lvl>
  </w:abstractNum>
  <w:abstractNum w:abstractNumId="50" w15:restartNumberingAfterBreak="0">
    <w:nsid w:val="6E306401"/>
    <w:multiLevelType w:val="hybridMultilevel"/>
    <w:tmpl w:val="9A286574"/>
    <w:lvl w:ilvl="0" w:tplc="973675DA">
      <w:numFmt w:val="bullet"/>
      <w:lvlText w:val=""/>
      <w:lvlJc w:val="left"/>
      <w:pPr>
        <w:ind w:left="1440" w:hanging="360"/>
      </w:pPr>
      <w:rPr>
        <w:rFonts w:ascii="Symbol" w:eastAsia="Symbol" w:hAnsi="Symbol" w:cs="Symbol" w:hint="default"/>
        <w:b w:val="0"/>
        <w:bCs w:val="0"/>
        <w:i w:val="0"/>
        <w:iCs w:val="0"/>
        <w:spacing w:val="0"/>
        <w:w w:val="100"/>
        <w:sz w:val="24"/>
        <w:szCs w:val="24"/>
        <w:lang w:val="es-ES" w:eastAsia="en-US" w:bidi="ar-SA"/>
      </w:rPr>
    </w:lvl>
    <w:lvl w:ilvl="1" w:tplc="D11A54C2">
      <w:numFmt w:val="bullet"/>
      <w:lvlText w:val="•"/>
      <w:lvlJc w:val="left"/>
      <w:pPr>
        <w:ind w:left="2342" w:hanging="360"/>
      </w:pPr>
      <w:rPr>
        <w:rFonts w:hint="default"/>
        <w:lang w:val="es-ES" w:eastAsia="en-US" w:bidi="ar-SA"/>
      </w:rPr>
    </w:lvl>
    <w:lvl w:ilvl="2" w:tplc="0E5069C0">
      <w:numFmt w:val="bullet"/>
      <w:lvlText w:val="•"/>
      <w:lvlJc w:val="left"/>
      <w:pPr>
        <w:ind w:left="3245" w:hanging="360"/>
      </w:pPr>
      <w:rPr>
        <w:rFonts w:hint="default"/>
        <w:lang w:val="es-ES" w:eastAsia="en-US" w:bidi="ar-SA"/>
      </w:rPr>
    </w:lvl>
    <w:lvl w:ilvl="3" w:tplc="6274895C">
      <w:numFmt w:val="bullet"/>
      <w:lvlText w:val="•"/>
      <w:lvlJc w:val="left"/>
      <w:pPr>
        <w:ind w:left="4147" w:hanging="360"/>
      </w:pPr>
      <w:rPr>
        <w:rFonts w:hint="default"/>
        <w:lang w:val="es-ES" w:eastAsia="en-US" w:bidi="ar-SA"/>
      </w:rPr>
    </w:lvl>
    <w:lvl w:ilvl="4" w:tplc="FBC8DDF0">
      <w:numFmt w:val="bullet"/>
      <w:lvlText w:val="•"/>
      <w:lvlJc w:val="left"/>
      <w:pPr>
        <w:ind w:left="5050" w:hanging="360"/>
      </w:pPr>
      <w:rPr>
        <w:rFonts w:hint="default"/>
        <w:lang w:val="es-ES" w:eastAsia="en-US" w:bidi="ar-SA"/>
      </w:rPr>
    </w:lvl>
    <w:lvl w:ilvl="5" w:tplc="FDA43BE0">
      <w:numFmt w:val="bullet"/>
      <w:lvlText w:val="•"/>
      <w:lvlJc w:val="left"/>
      <w:pPr>
        <w:ind w:left="5953" w:hanging="360"/>
      </w:pPr>
      <w:rPr>
        <w:rFonts w:hint="default"/>
        <w:lang w:val="es-ES" w:eastAsia="en-US" w:bidi="ar-SA"/>
      </w:rPr>
    </w:lvl>
    <w:lvl w:ilvl="6" w:tplc="8F4E45B0">
      <w:numFmt w:val="bullet"/>
      <w:lvlText w:val="•"/>
      <w:lvlJc w:val="left"/>
      <w:pPr>
        <w:ind w:left="6855" w:hanging="360"/>
      </w:pPr>
      <w:rPr>
        <w:rFonts w:hint="default"/>
        <w:lang w:val="es-ES" w:eastAsia="en-US" w:bidi="ar-SA"/>
      </w:rPr>
    </w:lvl>
    <w:lvl w:ilvl="7" w:tplc="FC4213C2">
      <w:numFmt w:val="bullet"/>
      <w:lvlText w:val="•"/>
      <w:lvlJc w:val="left"/>
      <w:pPr>
        <w:ind w:left="7758" w:hanging="360"/>
      </w:pPr>
      <w:rPr>
        <w:rFonts w:hint="default"/>
        <w:lang w:val="es-ES" w:eastAsia="en-US" w:bidi="ar-SA"/>
      </w:rPr>
    </w:lvl>
    <w:lvl w:ilvl="8" w:tplc="41E2F0B4">
      <w:numFmt w:val="bullet"/>
      <w:lvlText w:val="•"/>
      <w:lvlJc w:val="left"/>
      <w:pPr>
        <w:ind w:left="8661" w:hanging="360"/>
      </w:pPr>
      <w:rPr>
        <w:rFonts w:hint="default"/>
        <w:lang w:val="es-ES" w:eastAsia="en-US" w:bidi="ar-SA"/>
      </w:rPr>
    </w:lvl>
  </w:abstractNum>
  <w:abstractNum w:abstractNumId="51" w15:restartNumberingAfterBreak="0">
    <w:nsid w:val="6E4F121A"/>
    <w:multiLevelType w:val="hybridMultilevel"/>
    <w:tmpl w:val="6B02C672"/>
    <w:lvl w:ilvl="0" w:tplc="910ABCE4">
      <w:start w:val="10"/>
      <w:numFmt w:val="lowerLetter"/>
      <w:lvlText w:val="%1)"/>
      <w:lvlJc w:val="left"/>
      <w:pPr>
        <w:ind w:left="827" w:hanging="360"/>
      </w:pPr>
      <w:rPr>
        <w:rFonts w:ascii="Verdana" w:eastAsia="Verdana" w:hAnsi="Verdana" w:cs="Verdana" w:hint="default"/>
        <w:b/>
        <w:bCs/>
        <w:i w:val="0"/>
        <w:iCs w:val="0"/>
        <w:spacing w:val="-2"/>
        <w:w w:val="99"/>
        <w:sz w:val="20"/>
        <w:szCs w:val="20"/>
        <w:lang w:val="es-ES" w:eastAsia="en-US" w:bidi="ar-SA"/>
      </w:rPr>
    </w:lvl>
    <w:lvl w:ilvl="1" w:tplc="FA5898C2">
      <w:numFmt w:val="bullet"/>
      <w:lvlText w:val="•"/>
      <w:lvlJc w:val="left"/>
      <w:pPr>
        <w:ind w:left="1208" w:hanging="360"/>
      </w:pPr>
      <w:rPr>
        <w:rFonts w:hint="default"/>
        <w:lang w:val="es-ES" w:eastAsia="en-US" w:bidi="ar-SA"/>
      </w:rPr>
    </w:lvl>
    <w:lvl w:ilvl="2" w:tplc="D124D582">
      <w:numFmt w:val="bullet"/>
      <w:lvlText w:val="•"/>
      <w:lvlJc w:val="left"/>
      <w:pPr>
        <w:ind w:left="1596" w:hanging="360"/>
      </w:pPr>
      <w:rPr>
        <w:rFonts w:hint="default"/>
        <w:lang w:val="es-ES" w:eastAsia="en-US" w:bidi="ar-SA"/>
      </w:rPr>
    </w:lvl>
    <w:lvl w:ilvl="3" w:tplc="7E76F04A">
      <w:numFmt w:val="bullet"/>
      <w:lvlText w:val="•"/>
      <w:lvlJc w:val="left"/>
      <w:pPr>
        <w:ind w:left="1984" w:hanging="360"/>
      </w:pPr>
      <w:rPr>
        <w:rFonts w:hint="default"/>
        <w:lang w:val="es-ES" w:eastAsia="en-US" w:bidi="ar-SA"/>
      </w:rPr>
    </w:lvl>
    <w:lvl w:ilvl="4" w:tplc="E0E2BFB2">
      <w:numFmt w:val="bullet"/>
      <w:lvlText w:val="•"/>
      <w:lvlJc w:val="left"/>
      <w:pPr>
        <w:ind w:left="2373" w:hanging="360"/>
      </w:pPr>
      <w:rPr>
        <w:rFonts w:hint="default"/>
        <w:lang w:val="es-ES" w:eastAsia="en-US" w:bidi="ar-SA"/>
      </w:rPr>
    </w:lvl>
    <w:lvl w:ilvl="5" w:tplc="9B20BC22">
      <w:numFmt w:val="bullet"/>
      <w:lvlText w:val="•"/>
      <w:lvlJc w:val="left"/>
      <w:pPr>
        <w:ind w:left="2761" w:hanging="360"/>
      </w:pPr>
      <w:rPr>
        <w:rFonts w:hint="default"/>
        <w:lang w:val="es-ES" w:eastAsia="en-US" w:bidi="ar-SA"/>
      </w:rPr>
    </w:lvl>
    <w:lvl w:ilvl="6" w:tplc="0B5E5BAE">
      <w:numFmt w:val="bullet"/>
      <w:lvlText w:val="•"/>
      <w:lvlJc w:val="left"/>
      <w:pPr>
        <w:ind w:left="3149" w:hanging="360"/>
      </w:pPr>
      <w:rPr>
        <w:rFonts w:hint="default"/>
        <w:lang w:val="es-ES" w:eastAsia="en-US" w:bidi="ar-SA"/>
      </w:rPr>
    </w:lvl>
    <w:lvl w:ilvl="7" w:tplc="8CB23500">
      <w:numFmt w:val="bullet"/>
      <w:lvlText w:val="•"/>
      <w:lvlJc w:val="left"/>
      <w:pPr>
        <w:ind w:left="3538" w:hanging="360"/>
      </w:pPr>
      <w:rPr>
        <w:rFonts w:hint="default"/>
        <w:lang w:val="es-ES" w:eastAsia="en-US" w:bidi="ar-SA"/>
      </w:rPr>
    </w:lvl>
    <w:lvl w:ilvl="8" w:tplc="CFAA3210">
      <w:numFmt w:val="bullet"/>
      <w:lvlText w:val="•"/>
      <w:lvlJc w:val="left"/>
      <w:pPr>
        <w:ind w:left="3926" w:hanging="360"/>
      </w:pPr>
      <w:rPr>
        <w:rFonts w:hint="default"/>
        <w:lang w:val="es-ES" w:eastAsia="en-US" w:bidi="ar-SA"/>
      </w:rPr>
    </w:lvl>
  </w:abstractNum>
  <w:abstractNum w:abstractNumId="52" w15:restartNumberingAfterBreak="0">
    <w:nsid w:val="6EA3227F"/>
    <w:multiLevelType w:val="hybridMultilevel"/>
    <w:tmpl w:val="0F6C0AD8"/>
    <w:lvl w:ilvl="0" w:tplc="6812DBF2">
      <w:start w:val="1"/>
      <w:numFmt w:val="lowerRoman"/>
      <w:lvlText w:val="(%1)"/>
      <w:lvlJc w:val="left"/>
      <w:pPr>
        <w:ind w:left="1800" w:hanging="720"/>
      </w:pPr>
      <w:rPr>
        <w:rFonts w:ascii="Verdana" w:eastAsia="Verdana" w:hAnsi="Verdana" w:cs="Verdana" w:hint="default"/>
        <w:b w:val="0"/>
        <w:bCs w:val="0"/>
        <w:i w:val="0"/>
        <w:iCs w:val="0"/>
        <w:spacing w:val="-1"/>
        <w:w w:val="100"/>
        <w:sz w:val="24"/>
        <w:szCs w:val="24"/>
        <w:lang w:val="es-ES" w:eastAsia="en-US" w:bidi="ar-SA"/>
      </w:rPr>
    </w:lvl>
    <w:lvl w:ilvl="1" w:tplc="7ABAC6A0">
      <w:numFmt w:val="bullet"/>
      <w:lvlText w:val="•"/>
      <w:lvlJc w:val="left"/>
      <w:pPr>
        <w:ind w:left="2666" w:hanging="720"/>
      </w:pPr>
      <w:rPr>
        <w:rFonts w:hint="default"/>
        <w:lang w:val="es-ES" w:eastAsia="en-US" w:bidi="ar-SA"/>
      </w:rPr>
    </w:lvl>
    <w:lvl w:ilvl="2" w:tplc="73C83DF4">
      <w:numFmt w:val="bullet"/>
      <w:lvlText w:val="•"/>
      <w:lvlJc w:val="left"/>
      <w:pPr>
        <w:ind w:left="3533" w:hanging="720"/>
      </w:pPr>
      <w:rPr>
        <w:rFonts w:hint="default"/>
        <w:lang w:val="es-ES" w:eastAsia="en-US" w:bidi="ar-SA"/>
      </w:rPr>
    </w:lvl>
    <w:lvl w:ilvl="3" w:tplc="4ECA355E">
      <w:numFmt w:val="bullet"/>
      <w:lvlText w:val="•"/>
      <w:lvlJc w:val="left"/>
      <w:pPr>
        <w:ind w:left="4399" w:hanging="720"/>
      </w:pPr>
      <w:rPr>
        <w:rFonts w:hint="default"/>
        <w:lang w:val="es-ES" w:eastAsia="en-US" w:bidi="ar-SA"/>
      </w:rPr>
    </w:lvl>
    <w:lvl w:ilvl="4" w:tplc="A2E0DD04">
      <w:numFmt w:val="bullet"/>
      <w:lvlText w:val="•"/>
      <w:lvlJc w:val="left"/>
      <w:pPr>
        <w:ind w:left="5266" w:hanging="720"/>
      </w:pPr>
      <w:rPr>
        <w:rFonts w:hint="default"/>
        <w:lang w:val="es-ES" w:eastAsia="en-US" w:bidi="ar-SA"/>
      </w:rPr>
    </w:lvl>
    <w:lvl w:ilvl="5" w:tplc="A5F8940A">
      <w:numFmt w:val="bullet"/>
      <w:lvlText w:val="•"/>
      <w:lvlJc w:val="left"/>
      <w:pPr>
        <w:ind w:left="6133" w:hanging="720"/>
      </w:pPr>
      <w:rPr>
        <w:rFonts w:hint="default"/>
        <w:lang w:val="es-ES" w:eastAsia="en-US" w:bidi="ar-SA"/>
      </w:rPr>
    </w:lvl>
    <w:lvl w:ilvl="6" w:tplc="B2BAF680">
      <w:numFmt w:val="bullet"/>
      <w:lvlText w:val="•"/>
      <w:lvlJc w:val="left"/>
      <w:pPr>
        <w:ind w:left="6999" w:hanging="720"/>
      </w:pPr>
      <w:rPr>
        <w:rFonts w:hint="default"/>
        <w:lang w:val="es-ES" w:eastAsia="en-US" w:bidi="ar-SA"/>
      </w:rPr>
    </w:lvl>
    <w:lvl w:ilvl="7" w:tplc="51F23BA4">
      <w:numFmt w:val="bullet"/>
      <w:lvlText w:val="•"/>
      <w:lvlJc w:val="left"/>
      <w:pPr>
        <w:ind w:left="7866" w:hanging="720"/>
      </w:pPr>
      <w:rPr>
        <w:rFonts w:hint="default"/>
        <w:lang w:val="es-ES" w:eastAsia="en-US" w:bidi="ar-SA"/>
      </w:rPr>
    </w:lvl>
    <w:lvl w:ilvl="8" w:tplc="60BA5414">
      <w:numFmt w:val="bullet"/>
      <w:lvlText w:val="•"/>
      <w:lvlJc w:val="left"/>
      <w:pPr>
        <w:ind w:left="8733" w:hanging="720"/>
      </w:pPr>
      <w:rPr>
        <w:rFonts w:hint="default"/>
        <w:lang w:val="es-ES" w:eastAsia="en-US" w:bidi="ar-SA"/>
      </w:rPr>
    </w:lvl>
  </w:abstractNum>
  <w:abstractNum w:abstractNumId="53" w15:restartNumberingAfterBreak="0">
    <w:nsid w:val="70DC64CE"/>
    <w:multiLevelType w:val="hybridMultilevel"/>
    <w:tmpl w:val="D8721264"/>
    <w:lvl w:ilvl="0" w:tplc="D0480E4E">
      <w:start w:val="1"/>
      <w:numFmt w:val="lowerRoman"/>
      <w:lvlText w:val="(%1)"/>
      <w:lvlJc w:val="left"/>
      <w:pPr>
        <w:ind w:left="1800" w:hanging="720"/>
      </w:pPr>
      <w:rPr>
        <w:rFonts w:ascii="Verdana" w:eastAsia="Verdana" w:hAnsi="Verdana" w:cs="Verdana" w:hint="default"/>
        <w:b w:val="0"/>
        <w:bCs w:val="0"/>
        <w:i w:val="0"/>
        <w:iCs w:val="0"/>
        <w:spacing w:val="-1"/>
        <w:w w:val="100"/>
        <w:sz w:val="24"/>
        <w:szCs w:val="24"/>
        <w:lang w:val="es-ES" w:eastAsia="en-US" w:bidi="ar-SA"/>
      </w:rPr>
    </w:lvl>
    <w:lvl w:ilvl="1" w:tplc="4AEE2380">
      <w:numFmt w:val="bullet"/>
      <w:lvlText w:val="•"/>
      <w:lvlJc w:val="left"/>
      <w:pPr>
        <w:ind w:left="2666" w:hanging="720"/>
      </w:pPr>
      <w:rPr>
        <w:rFonts w:hint="default"/>
        <w:lang w:val="es-ES" w:eastAsia="en-US" w:bidi="ar-SA"/>
      </w:rPr>
    </w:lvl>
    <w:lvl w:ilvl="2" w:tplc="708ADB5C">
      <w:numFmt w:val="bullet"/>
      <w:lvlText w:val="•"/>
      <w:lvlJc w:val="left"/>
      <w:pPr>
        <w:ind w:left="3533" w:hanging="720"/>
      </w:pPr>
      <w:rPr>
        <w:rFonts w:hint="default"/>
        <w:lang w:val="es-ES" w:eastAsia="en-US" w:bidi="ar-SA"/>
      </w:rPr>
    </w:lvl>
    <w:lvl w:ilvl="3" w:tplc="00F64954">
      <w:numFmt w:val="bullet"/>
      <w:lvlText w:val="•"/>
      <w:lvlJc w:val="left"/>
      <w:pPr>
        <w:ind w:left="4399" w:hanging="720"/>
      </w:pPr>
      <w:rPr>
        <w:rFonts w:hint="default"/>
        <w:lang w:val="es-ES" w:eastAsia="en-US" w:bidi="ar-SA"/>
      </w:rPr>
    </w:lvl>
    <w:lvl w:ilvl="4" w:tplc="B33460AA">
      <w:numFmt w:val="bullet"/>
      <w:lvlText w:val="•"/>
      <w:lvlJc w:val="left"/>
      <w:pPr>
        <w:ind w:left="5266" w:hanging="720"/>
      </w:pPr>
      <w:rPr>
        <w:rFonts w:hint="default"/>
        <w:lang w:val="es-ES" w:eastAsia="en-US" w:bidi="ar-SA"/>
      </w:rPr>
    </w:lvl>
    <w:lvl w:ilvl="5" w:tplc="C03A0A2E">
      <w:numFmt w:val="bullet"/>
      <w:lvlText w:val="•"/>
      <w:lvlJc w:val="left"/>
      <w:pPr>
        <w:ind w:left="6133" w:hanging="720"/>
      </w:pPr>
      <w:rPr>
        <w:rFonts w:hint="default"/>
        <w:lang w:val="es-ES" w:eastAsia="en-US" w:bidi="ar-SA"/>
      </w:rPr>
    </w:lvl>
    <w:lvl w:ilvl="6" w:tplc="D978612E">
      <w:numFmt w:val="bullet"/>
      <w:lvlText w:val="•"/>
      <w:lvlJc w:val="left"/>
      <w:pPr>
        <w:ind w:left="6999" w:hanging="720"/>
      </w:pPr>
      <w:rPr>
        <w:rFonts w:hint="default"/>
        <w:lang w:val="es-ES" w:eastAsia="en-US" w:bidi="ar-SA"/>
      </w:rPr>
    </w:lvl>
    <w:lvl w:ilvl="7" w:tplc="A4A4A342">
      <w:numFmt w:val="bullet"/>
      <w:lvlText w:val="•"/>
      <w:lvlJc w:val="left"/>
      <w:pPr>
        <w:ind w:left="7866" w:hanging="720"/>
      </w:pPr>
      <w:rPr>
        <w:rFonts w:hint="default"/>
        <w:lang w:val="es-ES" w:eastAsia="en-US" w:bidi="ar-SA"/>
      </w:rPr>
    </w:lvl>
    <w:lvl w:ilvl="8" w:tplc="CC8E1F9E">
      <w:numFmt w:val="bullet"/>
      <w:lvlText w:val="•"/>
      <w:lvlJc w:val="left"/>
      <w:pPr>
        <w:ind w:left="8733" w:hanging="720"/>
      </w:pPr>
      <w:rPr>
        <w:rFonts w:hint="default"/>
        <w:lang w:val="es-ES" w:eastAsia="en-US" w:bidi="ar-SA"/>
      </w:rPr>
    </w:lvl>
  </w:abstractNum>
  <w:abstractNum w:abstractNumId="54" w15:restartNumberingAfterBreak="0">
    <w:nsid w:val="75D547F4"/>
    <w:multiLevelType w:val="hybridMultilevel"/>
    <w:tmpl w:val="4A88B51E"/>
    <w:lvl w:ilvl="0" w:tplc="C1289ABA">
      <w:start w:val="1"/>
      <w:numFmt w:val="decimal"/>
      <w:lvlText w:val="%1."/>
      <w:lvlJc w:val="left"/>
      <w:pPr>
        <w:ind w:left="828" w:hanging="360"/>
      </w:pPr>
      <w:rPr>
        <w:rFonts w:hint="default"/>
        <w:spacing w:val="-1"/>
        <w:w w:val="100"/>
        <w:lang w:val="es-ES" w:eastAsia="en-US" w:bidi="ar-SA"/>
      </w:rPr>
    </w:lvl>
    <w:lvl w:ilvl="1" w:tplc="72941480">
      <w:numFmt w:val="bullet"/>
      <w:lvlText w:val="•"/>
      <w:lvlJc w:val="left"/>
      <w:pPr>
        <w:ind w:left="1124" w:hanging="360"/>
      </w:pPr>
      <w:rPr>
        <w:rFonts w:hint="default"/>
        <w:lang w:val="es-ES" w:eastAsia="en-US" w:bidi="ar-SA"/>
      </w:rPr>
    </w:lvl>
    <w:lvl w:ilvl="2" w:tplc="E2708908">
      <w:numFmt w:val="bullet"/>
      <w:lvlText w:val="•"/>
      <w:lvlJc w:val="left"/>
      <w:pPr>
        <w:ind w:left="1428" w:hanging="360"/>
      </w:pPr>
      <w:rPr>
        <w:rFonts w:hint="default"/>
        <w:lang w:val="es-ES" w:eastAsia="en-US" w:bidi="ar-SA"/>
      </w:rPr>
    </w:lvl>
    <w:lvl w:ilvl="3" w:tplc="57C810A4">
      <w:numFmt w:val="bullet"/>
      <w:lvlText w:val="•"/>
      <w:lvlJc w:val="left"/>
      <w:pPr>
        <w:ind w:left="1732" w:hanging="360"/>
      </w:pPr>
      <w:rPr>
        <w:rFonts w:hint="default"/>
        <w:lang w:val="es-ES" w:eastAsia="en-US" w:bidi="ar-SA"/>
      </w:rPr>
    </w:lvl>
    <w:lvl w:ilvl="4" w:tplc="C956A18A">
      <w:numFmt w:val="bullet"/>
      <w:lvlText w:val="•"/>
      <w:lvlJc w:val="left"/>
      <w:pPr>
        <w:ind w:left="2036" w:hanging="360"/>
      </w:pPr>
      <w:rPr>
        <w:rFonts w:hint="default"/>
        <w:lang w:val="es-ES" w:eastAsia="en-US" w:bidi="ar-SA"/>
      </w:rPr>
    </w:lvl>
    <w:lvl w:ilvl="5" w:tplc="C80886D6">
      <w:numFmt w:val="bullet"/>
      <w:lvlText w:val="•"/>
      <w:lvlJc w:val="left"/>
      <w:pPr>
        <w:ind w:left="2340" w:hanging="360"/>
      </w:pPr>
      <w:rPr>
        <w:rFonts w:hint="default"/>
        <w:lang w:val="es-ES" w:eastAsia="en-US" w:bidi="ar-SA"/>
      </w:rPr>
    </w:lvl>
    <w:lvl w:ilvl="6" w:tplc="5ACA5446">
      <w:numFmt w:val="bullet"/>
      <w:lvlText w:val="•"/>
      <w:lvlJc w:val="left"/>
      <w:pPr>
        <w:ind w:left="2644" w:hanging="360"/>
      </w:pPr>
      <w:rPr>
        <w:rFonts w:hint="default"/>
        <w:lang w:val="es-ES" w:eastAsia="en-US" w:bidi="ar-SA"/>
      </w:rPr>
    </w:lvl>
    <w:lvl w:ilvl="7" w:tplc="7CF07B3E">
      <w:numFmt w:val="bullet"/>
      <w:lvlText w:val="•"/>
      <w:lvlJc w:val="left"/>
      <w:pPr>
        <w:ind w:left="2948" w:hanging="360"/>
      </w:pPr>
      <w:rPr>
        <w:rFonts w:hint="default"/>
        <w:lang w:val="es-ES" w:eastAsia="en-US" w:bidi="ar-SA"/>
      </w:rPr>
    </w:lvl>
    <w:lvl w:ilvl="8" w:tplc="73A6455E">
      <w:numFmt w:val="bullet"/>
      <w:lvlText w:val="•"/>
      <w:lvlJc w:val="left"/>
      <w:pPr>
        <w:ind w:left="3252" w:hanging="360"/>
      </w:pPr>
      <w:rPr>
        <w:rFonts w:hint="default"/>
        <w:lang w:val="es-ES" w:eastAsia="en-US" w:bidi="ar-SA"/>
      </w:rPr>
    </w:lvl>
  </w:abstractNum>
  <w:abstractNum w:abstractNumId="55" w15:restartNumberingAfterBreak="0">
    <w:nsid w:val="76282CC4"/>
    <w:multiLevelType w:val="hybridMultilevel"/>
    <w:tmpl w:val="37CC0F68"/>
    <w:lvl w:ilvl="0" w:tplc="63DA13AA">
      <w:start w:val="9"/>
      <w:numFmt w:val="decimal"/>
      <w:lvlText w:val="%1."/>
      <w:lvlJc w:val="left"/>
      <w:pPr>
        <w:ind w:left="379" w:hanging="272"/>
        <w:jc w:val="right"/>
      </w:pPr>
      <w:rPr>
        <w:rFonts w:ascii="Verdana" w:eastAsia="Verdana" w:hAnsi="Verdana" w:cs="Verdana" w:hint="default"/>
        <w:b w:val="0"/>
        <w:bCs w:val="0"/>
        <w:i w:val="0"/>
        <w:iCs w:val="0"/>
        <w:color w:val="333333"/>
        <w:spacing w:val="0"/>
        <w:w w:val="99"/>
        <w:sz w:val="20"/>
        <w:szCs w:val="20"/>
        <w:lang w:val="es-ES" w:eastAsia="en-US" w:bidi="ar-SA"/>
      </w:rPr>
    </w:lvl>
    <w:lvl w:ilvl="1" w:tplc="C63A2852">
      <w:numFmt w:val="bullet"/>
      <w:lvlText w:val="•"/>
      <w:lvlJc w:val="left"/>
      <w:pPr>
        <w:ind w:left="812" w:hanging="272"/>
      </w:pPr>
      <w:rPr>
        <w:rFonts w:hint="default"/>
        <w:lang w:val="es-ES" w:eastAsia="en-US" w:bidi="ar-SA"/>
      </w:rPr>
    </w:lvl>
    <w:lvl w:ilvl="2" w:tplc="30C20928">
      <w:numFmt w:val="bullet"/>
      <w:lvlText w:val="•"/>
      <w:lvlJc w:val="left"/>
      <w:pPr>
        <w:ind w:left="1244" w:hanging="272"/>
      </w:pPr>
      <w:rPr>
        <w:rFonts w:hint="default"/>
        <w:lang w:val="es-ES" w:eastAsia="en-US" w:bidi="ar-SA"/>
      </w:rPr>
    </w:lvl>
    <w:lvl w:ilvl="3" w:tplc="95EAAFE8">
      <w:numFmt w:val="bullet"/>
      <w:lvlText w:val="•"/>
      <w:lvlJc w:val="left"/>
      <w:pPr>
        <w:ind w:left="1676" w:hanging="272"/>
      </w:pPr>
      <w:rPr>
        <w:rFonts w:hint="default"/>
        <w:lang w:val="es-ES" w:eastAsia="en-US" w:bidi="ar-SA"/>
      </w:rPr>
    </w:lvl>
    <w:lvl w:ilvl="4" w:tplc="D20256B0">
      <w:numFmt w:val="bullet"/>
      <w:lvlText w:val="•"/>
      <w:lvlJc w:val="left"/>
      <w:pPr>
        <w:ind w:left="2109" w:hanging="272"/>
      </w:pPr>
      <w:rPr>
        <w:rFonts w:hint="default"/>
        <w:lang w:val="es-ES" w:eastAsia="en-US" w:bidi="ar-SA"/>
      </w:rPr>
    </w:lvl>
    <w:lvl w:ilvl="5" w:tplc="29DC6AC6">
      <w:numFmt w:val="bullet"/>
      <w:lvlText w:val="•"/>
      <w:lvlJc w:val="left"/>
      <w:pPr>
        <w:ind w:left="2541" w:hanging="272"/>
      </w:pPr>
      <w:rPr>
        <w:rFonts w:hint="default"/>
        <w:lang w:val="es-ES" w:eastAsia="en-US" w:bidi="ar-SA"/>
      </w:rPr>
    </w:lvl>
    <w:lvl w:ilvl="6" w:tplc="B6E63E4A">
      <w:numFmt w:val="bullet"/>
      <w:lvlText w:val="•"/>
      <w:lvlJc w:val="left"/>
      <w:pPr>
        <w:ind w:left="2973" w:hanging="272"/>
      </w:pPr>
      <w:rPr>
        <w:rFonts w:hint="default"/>
        <w:lang w:val="es-ES" w:eastAsia="en-US" w:bidi="ar-SA"/>
      </w:rPr>
    </w:lvl>
    <w:lvl w:ilvl="7" w:tplc="04FCAD9C">
      <w:numFmt w:val="bullet"/>
      <w:lvlText w:val="•"/>
      <w:lvlJc w:val="left"/>
      <w:pPr>
        <w:ind w:left="3406" w:hanging="272"/>
      </w:pPr>
      <w:rPr>
        <w:rFonts w:hint="default"/>
        <w:lang w:val="es-ES" w:eastAsia="en-US" w:bidi="ar-SA"/>
      </w:rPr>
    </w:lvl>
    <w:lvl w:ilvl="8" w:tplc="AD727AF6">
      <w:numFmt w:val="bullet"/>
      <w:lvlText w:val="•"/>
      <w:lvlJc w:val="left"/>
      <w:pPr>
        <w:ind w:left="3838" w:hanging="272"/>
      </w:pPr>
      <w:rPr>
        <w:rFonts w:hint="default"/>
        <w:lang w:val="es-ES" w:eastAsia="en-US" w:bidi="ar-SA"/>
      </w:rPr>
    </w:lvl>
  </w:abstractNum>
  <w:abstractNum w:abstractNumId="56" w15:restartNumberingAfterBreak="0">
    <w:nsid w:val="787B64FF"/>
    <w:multiLevelType w:val="hybridMultilevel"/>
    <w:tmpl w:val="AB100B40"/>
    <w:lvl w:ilvl="0" w:tplc="0AE089CE">
      <w:numFmt w:val="bullet"/>
      <w:lvlText w:val=""/>
      <w:lvlJc w:val="left"/>
      <w:pPr>
        <w:ind w:left="398" w:hanging="361"/>
      </w:pPr>
      <w:rPr>
        <w:rFonts w:ascii="Symbol" w:eastAsia="Symbol" w:hAnsi="Symbol" w:cs="Symbol" w:hint="default"/>
        <w:b w:val="0"/>
        <w:bCs w:val="0"/>
        <w:i w:val="0"/>
        <w:iCs w:val="0"/>
        <w:spacing w:val="0"/>
        <w:w w:val="100"/>
        <w:sz w:val="18"/>
        <w:szCs w:val="18"/>
        <w:lang w:val="es-ES" w:eastAsia="en-US" w:bidi="ar-SA"/>
      </w:rPr>
    </w:lvl>
    <w:lvl w:ilvl="1" w:tplc="4CA02B4C">
      <w:numFmt w:val="bullet"/>
      <w:lvlText w:val="•"/>
      <w:lvlJc w:val="left"/>
      <w:pPr>
        <w:ind w:left="710" w:hanging="361"/>
      </w:pPr>
      <w:rPr>
        <w:rFonts w:hint="default"/>
        <w:lang w:val="es-ES" w:eastAsia="en-US" w:bidi="ar-SA"/>
      </w:rPr>
    </w:lvl>
    <w:lvl w:ilvl="2" w:tplc="548E2616">
      <w:numFmt w:val="bullet"/>
      <w:lvlText w:val="•"/>
      <w:lvlJc w:val="left"/>
      <w:pPr>
        <w:ind w:left="1020" w:hanging="361"/>
      </w:pPr>
      <w:rPr>
        <w:rFonts w:hint="default"/>
        <w:lang w:val="es-ES" w:eastAsia="en-US" w:bidi="ar-SA"/>
      </w:rPr>
    </w:lvl>
    <w:lvl w:ilvl="3" w:tplc="7DDE33FC">
      <w:numFmt w:val="bullet"/>
      <w:lvlText w:val="•"/>
      <w:lvlJc w:val="left"/>
      <w:pPr>
        <w:ind w:left="1331" w:hanging="361"/>
      </w:pPr>
      <w:rPr>
        <w:rFonts w:hint="default"/>
        <w:lang w:val="es-ES" w:eastAsia="en-US" w:bidi="ar-SA"/>
      </w:rPr>
    </w:lvl>
    <w:lvl w:ilvl="4" w:tplc="DCCE5C72">
      <w:numFmt w:val="bullet"/>
      <w:lvlText w:val="•"/>
      <w:lvlJc w:val="left"/>
      <w:pPr>
        <w:ind w:left="1641" w:hanging="361"/>
      </w:pPr>
      <w:rPr>
        <w:rFonts w:hint="default"/>
        <w:lang w:val="es-ES" w:eastAsia="en-US" w:bidi="ar-SA"/>
      </w:rPr>
    </w:lvl>
    <w:lvl w:ilvl="5" w:tplc="DB12F2C0">
      <w:numFmt w:val="bullet"/>
      <w:lvlText w:val="•"/>
      <w:lvlJc w:val="left"/>
      <w:pPr>
        <w:ind w:left="1952" w:hanging="361"/>
      </w:pPr>
      <w:rPr>
        <w:rFonts w:hint="default"/>
        <w:lang w:val="es-ES" w:eastAsia="en-US" w:bidi="ar-SA"/>
      </w:rPr>
    </w:lvl>
    <w:lvl w:ilvl="6" w:tplc="4C8C2890">
      <w:numFmt w:val="bullet"/>
      <w:lvlText w:val="•"/>
      <w:lvlJc w:val="left"/>
      <w:pPr>
        <w:ind w:left="2262" w:hanging="361"/>
      </w:pPr>
      <w:rPr>
        <w:rFonts w:hint="default"/>
        <w:lang w:val="es-ES" w:eastAsia="en-US" w:bidi="ar-SA"/>
      </w:rPr>
    </w:lvl>
    <w:lvl w:ilvl="7" w:tplc="6CCEAED6">
      <w:numFmt w:val="bullet"/>
      <w:lvlText w:val="•"/>
      <w:lvlJc w:val="left"/>
      <w:pPr>
        <w:ind w:left="2572" w:hanging="361"/>
      </w:pPr>
      <w:rPr>
        <w:rFonts w:hint="default"/>
        <w:lang w:val="es-ES" w:eastAsia="en-US" w:bidi="ar-SA"/>
      </w:rPr>
    </w:lvl>
    <w:lvl w:ilvl="8" w:tplc="DAEC14F4">
      <w:numFmt w:val="bullet"/>
      <w:lvlText w:val="•"/>
      <w:lvlJc w:val="left"/>
      <w:pPr>
        <w:ind w:left="2883" w:hanging="361"/>
      </w:pPr>
      <w:rPr>
        <w:rFonts w:hint="default"/>
        <w:lang w:val="es-ES" w:eastAsia="en-US" w:bidi="ar-SA"/>
      </w:rPr>
    </w:lvl>
  </w:abstractNum>
  <w:abstractNum w:abstractNumId="57" w15:restartNumberingAfterBreak="0">
    <w:nsid w:val="7A457618"/>
    <w:multiLevelType w:val="hybridMultilevel"/>
    <w:tmpl w:val="9892B66C"/>
    <w:lvl w:ilvl="0" w:tplc="DA023B76">
      <w:start w:val="16"/>
      <w:numFmt w:val="decimal"/>
      <w:lvlText w:val="%1."/>
      <w:lvlJc w:val="left"/>
      <w:pPr>
        <w:ind w:left="379" w:hanging="363"/>
      </w:pPr>
      <w:rPr>
        <w:rFonts w:ascii="Verdana" w:eastAsia="Verdana" w:hAnsi="Verdana" w:cs="Verdana" w:hint="default"/>
        <w:b w:val="0"/>
        <w:bCs w:val="0"/>
        <w:i w:val="0"/>
        <w:iCs w:val="0"/>
        <w:color w:val="333333"/>
        <w:spacing w:val="0"/>
        <w:w w:val="99"/>
        <w:sz w:val="20"/>
        <w:szCs w:val="20"/>
        <w:lang w:val="es-ES" w:eastAsia="en-US" w:bidi="ar-SA"/>
      </w:rPr>
    </w:lvl>
    <w:lvl w:ilvl="1" w:tplc="8ED27B00">
      <w:numFmt w:val="bullet"/>
      <w:lvlText w:val="•"/>
      <w:lvlJc w:val="left"/>
      <w:pPr>
        <w:ind w:left="811" w:hanging="363"/>
      </w:pPr>
      <w:rPr>
        <w:rFonts w:hint="default"/>
        <w:lang w:val="es-ES" w:eastAsia="en-US" w:bidi="ar-SA"/>
      </w:rPr>
    </w:lvl>
    <w:lvl w:ilvl="2" w:tplc="553A1586">
      <w:numFmt w:val="bullet"/>
      <w:lvlText w:val="•"/>
      <w:lvlJc w:val="left"/>
      <w:pPr>
        <w:ind w:left="1242" w:hanging="363"/>
      </w:pPr>
      <w:rPr>
        <w:rFonts w:hint="default"/>
        <w:lang w:val="es-ES" w:eastAsia="en-US" w:bidi="ar-SA"/>
      </w:rPr>
    </w:lvl>
    <w:lvl w:ilvl="3" w:tplc="F65CDDA6">
      <w:numFmt w:val="bullet"/>
      <w:lvlText w:val="•"/>
      <w:lvlJc w:val="left"/>
      <w:pPr>
        <w:ind w:left="1673" w:hanging="363"/>
      </w:pPr>
      <w:rPr>
        <w:rFonts w:hint="default"/>
        <w:lang w:val="es-ES" w:eastAsia="en-US" w:bidi="ar-SA"/>
      </w:rPr>
    </w:lvl>
    <w:lvl w:ilvl="4" w:tplc="BDFC056E">
      <w:numFmt w:val="bullet"/>
      <w:lvlText w:val="•"/>
      <w:lvlJc w:val="left"/>
      <w:pPr>
        <w:ind w:left="2104" w:hanging="363"/>
      </w:pPr>
      <w:rPr>
        <w:rFonts w:hint="default"/>
        <w:lang w:val="es-ES" w:eastAsia="en-US" w:bidi="ar-SA"/>
      </w:rPr>
    </w:lvl>
    <w:lvl w:ilvl="5" w:tplc="A8C8728E">
      <w:numFmt w:val="bullet"/>
      <w:lvlText w:val="•"/>
      <w:lvlJc w:val="left"/>
      <w:pPr>
        <w:ind w:left="2536" w:hanging="363"/>
      </w:pPr>
      <w:rPr>
        <w:rFonts w:hint="default"/>
        <w:lang w:val="es-ES" w:eastAsia="en-US" w:bidi="ar-SA"/>
      </w:rPr>
    </w:lvl>
    <w:lvl w:ilvl="6" w:tplc="4A702AAC">
      <w:numFmt w:val="bullet"/>
      <w:lvlText w:val="•"/>
      <w:lvlJc w:val="left"/>
      <w:pPr>
        <w:ind w:left="2967" w:hanging="363"/>
      </w:pPr>
      <w:rPr>
        <w:rFonts w:hint="default"/>
        <w:lang w:val="es-ES" w:eastAsia="en-US" w:bidi="ar-SA"/>
      </w:rPr>
    </w:lvl>
    <w:lvl w:ilvl="7" w:tplc="8152CFE0">
      <w:numFmt w:val="bullet"/>
      <w:lvlText w:val="•"/>
      <w:lvlJc w:val="left"/>
      <w:pPr>
        <w:ind w:left="3398" w:hanging="363"/>
      </w:pPr>
      <w:rPr>
        <w:rFonts w:hint="default"/>
        <w:lang w:val="es-ES" w:eastAsia="en-US" w:bidi="ar-SA"/>
      </w:rPr>
    </w:lvl>
    <w:lvl w:ilvl="8" w:tplc="39B426F6">
      <w:numFmt w:val="bullet"/>
      <w:lvlText w:val="•"/>
      <w:lvlJc w:val="left"/>
      <w:pPr>
        <w:ind w:left="3829" w:hanging="363"/>
      </w:pPr>
      <w:rPr>
        <w:rFonts w:hint="default"/>
        <w:lang w:val="es-ES" w:eastAsia="en-US" w:bidi="ar-SA"/>
      </w:rPr>
    </w:lvl>
  </w:abstractNum>
  <w:abstractNum w:abstractNumId="58" w15:restartNumberingAfterBreak="0">
    <w:nsid w:val="7FBC33DA"/>
    <w:multiLevelType w:val="hybridMultilevel"/>
    <w:tmpl w:val="C47A07F2"/>
    <w:lvl w:ilvl="0" w:tplc="139A52B8">
      <w:start w:val="1"/>
      <w:numFmt w:val="lowerLetter"/>
      <w:lvlText w:val="%1)"/>
      <w:lvlJc w:val="left"/>
      <w:pPr>
        <w:ind w:left="971" w:hanging="360"/>
      </w:pPr>
      <w:rPr>
        <w:rFonts w:ascii="Verdana" w:eastAsia="Verdana" w:hAnsi="Verdana" w:cs="Verdana" w:hint="default"/>
        <w:b w:val="0"/>
        <w:bCs w:val="0"/>
        <w:i w:val="0"/>
        <w:iCs w:val="0"/>
        <w:spacing w:val="0"/>
        <w:w w:val="100"/>
        <w:sz w:val="24"/>
        <w:szCs w:val="24"/>
        <w:lang w:val="es-ES" w:eastAsia="en-US" w:bidi="ar-SA"/>
      </w:rPr>
    </w:lvl>
    <w:lvl w:ilvl="1" w:tplc="ECDC3102">
      <w:numFmt w:val="bullet"/>
      <w:lvlText w:val="•"/>
      <w:lvlJc w:val="left"/>
      <w:pPr>
        <w:ind w:left="1818" w:hanging="360"/>
      </w:pPr>
      <w:rPr>
        <w:rFonts w:hint="default"/>
        <w:lang w:val="es-ES" w:eastAsia="en-US" w:bidi="ar-SA"/>
      </w:rPr>
    </w:lvl>
    <w:lvl w:ilvl="2" w:tplc="9F4A8776">
      <w:numFmt w:val="bullet"/>
      <w:lvlText w:val="•"/>
      <w:lvlJc w:val="left"/>
      <w:pPr>
        <w:ind w:left="2656" w:hanging="360"/>
      </w:pPr>
      <w:rPr>
        <w:rFonts w:hint="default"/>
        <w:lang w:val="es-ES" w:eastAsia="en-US" w:bidi="ar-SA"/>
      </w:rPr>
    </w:lvl>
    <w:lvl w:ilvl="3" w:tplc="2F649EC8">
      <w:numFmt w:val="bullet"/>
      <w:lvlText w:val="•"/>
      <w:lvlJc w:val="left"/>
      <w:pPr>
        <w:ind w:left="3494" w:hanging="360"/>
      </w:pPr>
      <w:rPr>
        <w:rFonts w:hint="default"/>
        <w:lang w:val="es-ES" w:eastAsia="en-US" w:bidi="ar-SA"/>
      </w:rPr>
    </w:lvl>
    <w:lvl w:ilvl="4" w:tplc="CC349286">
      <w:numFmt w:val="bullet"/>
      <w:lvlText w:val="•"/>
      <w:lvlJc w:val="left"/>
      <w:pPr>
        <w:ind w:left="4332" w:hanging="360"/>
      </w:pPr>
      <w:rPr>
        <w:rFonts w:hint="default"/>
        <w:lang w:val="es-ES" w:eastAsia="en-US" w:bidi="ar-SA"/>
      </w:rPr>
    </w:lvl>
    <w:lvl w:ilvl="5" w:tplc="A7A4C16A">
      <w:numFmt w:val="bullet"/>
      <w:lvlText w:val="•"/>
      <w:lvlJc w:val="left"/>
      <w:pPr>
        <w:ind w:left="5170" w:hanging="360"/>
      </w:pPr>
      <w:rPr>
        <w:rFonts w:hint="default"/>
        <w:lang w:val="es-ES" w:eastAsia="en-US" w:bidi="ar-SA"/>
      </w:rPr>
    </w:lvl>
    <w:lvl w:ilvl="6" w:tplc="93FEDE5C">
      <w:numFmt w:val="bullet"/>
      <w:lvlText w:val="•"/>
      <w:lvlJc w:val="left"/>
      <w:pPr>
        <w:ind w:left="6008" w:hanging="360"/>
      </w:pPr>
      <w:rPr>
        <w:rFonts w:hint="default"/>
        <w:lang w:val="es-ES" w:eastAsia="en-US" w:bidi="ar-SA"/>
      </w:rPr>
    </w:lvl>
    <w:lvl w:ilvl="7" w:tplc="2CA86F0A">
      <w:numFmt w:val="bullet"/>
      <w:lvlText w:val="•"/>
      <w:lvlJc w:val="left"/>
      <w:pPr>
        <w:ind w:left="6846" w:hanging="360"/>
      </w:pPr>
      <w:rPr>
        <w:rFonts w:hint="default"/>
        <w:lang w:val="es-ES" w:eastAsia="en-US" w:bidi="ar-SA"/>
      </w:rPr>
    </w:lvl>
    <w:lvl w:ilvl="8" w:tplc="2C5AF688">
      <w:numFmt w:val="bullet"/>
      <w:lvlText w:val="•"/>
      <w:lvlJc w:val="left"/>
      <w:pPr>
        <w:ind w:left="7684" w:hanging="360"/>
      </w:pPr>
      <w:rPr>
        <w:rFonts w:hint="default"/>
        <w:lang w:val="es-ES" w:eastAsia="en-US" w:bidi="ar-SA"/>
      </w:rPr>
    </w:lvl>
  </w:abstractNum>
  <w:num w:numId="1" w16cid:durableId="2092652240">
    <w:abstractNumId w:val="26"/>
  </w:num>
  <w:num w:numId="2" w16cid:durableId="1232495993">
    <w:abstractNumId w:val="16"/>
  </w:num>
  <w:num w:numId="3" w16cid:durableId="225841719">
    <w:abstractNumId w:val="41"/>
  </w:num>
  <w:num w:numId="4" w16cid:durableId="600141306">
    <w:abstractNumId w:val="38"/>
  </w:num>
  <w:num w:numId="5" w16cid:durableId="1810783904">
    <w:abstractNumId w:val="20"/>
  </w:num>
  <w:num w:numId="6" w16cid:durableId="1195850182">
    <w:abstractNumId w:val="25"/>
  </w:num>
  <w:num w:numId="7" w16cid:durableId="451022298">
    <w:abstractNumId w:val="2"/>
  </w:num>
  <w:num w:numId="8" w16cid:durableId="489756439">
    <w:abstractNumId w:val="10"/>
  </w:num>
  <w:num w:numId="9" w16cid:durableId="1389648832">
    <w:abstractNumId w:val="22"/>
  </w:num>
  <w:num w:numId="10" w16cid:durableId="2130585360">
    <w:abstractNumId w:val="43"/>
  </w:num>
  <w:num w:numId="11" w16cid:durableId="774134185">
    <w:abstractNumId w:val="8"/>
  </w:num>
  <w:num w:numId="12" w16cid:durableId="1270815439">
    <w:abstractNumId w:val="45"/>
  </w:num>
  <w:num w:numId="13" w16cid:durableId="1081945689">
    <w:abstractNumId w:val="47"/>
  </w:num>
  <w:num w:numId="14" w16cid:durableId="1903636809">
    <w:abstractNumId w:val="51"/>
  </w:num>
  <w:num w:numId="15" w16cid:durableId="1177693499">
    <w:abstractNumId w:val="0"/>
  </w:num>
  <w:num w:numId="16" w16cid:durableId="760490848">
    <w:abstractNumId w:val="37"/>
  </w:num>
  <w:num w:numId="17" w16cid:durableId="925190161">
    <w:abstractNumId w:val="34"/>
  </w:num>
  <w:num w:numId="18" w16cid:durableId="452864731">
    <w:abstractNumId w:val="57"/>
  </w:num>
  <w:num w:numId="19" w16cid:durableId="280183784">
    <w:abstractNumId w:val="40"/>
  </w:num>
  <w:num w:numId="20" w16cid:durableId="954403299">
    <w:abstractNumId w:val="35"/>
  </w:num>
  <w:num w:numId="21" w16cid:durableId="116265700">
    <w:abstractNumId w:val="55"/>
  </w:num>
  <w:num w:numId="22" w16cid:durableId="732587371">
    <w:abstractNumId w:val="21"/>
  </w:num>
  <w:num w:numId="23" w16cid:durableId="703332853">
    <w:abstractNumId w:val="12"/>
  </w:num>
  <w:num w:numId="24" w16cid:durableId="1721517147">
    <w:abstractNumId w:val="11"/>
  </w:num>
  <w:num w:numId="25" w16cid:durableId="1231577890">
    <w:abstractNumId w:val="4"/>
  </w:num>
  <w:num w:numId="26" w16cid:durableId="1353649818">
    <w:abstractNumId w:val="18"/>
  </w:num>
  <w:num w:numId="27" w16cid:durableId="597325528">
    <w:abstractNumId w:val="30"/>
  </w:num>
  <w:num w:numId="28" w16cid:durableId="564024650">
    <w:abstractNumId w:val="7"/>
  </w:num>
  <w:num w:numId="29" w16cid:durableId="897476458">
    <w:abstractNumId w:val="3"/>
  </w:num>
  <w:num w:numId="30" w16cid:durableId="910503838">
    <w:abstractNumId w:val="31"/>
  </w:num>
  <w:num w:numId="31" w16cid:durableId="563299356">
    <w:abstractNumId w:val="6"/>
  </w:num>
  <w:num w:numId="32" w16cid:durableId="173886577">
    <w:abstractNumId w:val="49"/>
  </w:num>
  <w:num w:numId="33" w16cid:durableId="1208683548">
    <w:abstractNumId w:val="54"/>
  </w:num>
  <w:num w:numId="34" w16cid:durableId="1952666429">
    <w:abstractNumId w:val="48"/>
  </w:num>
  <w:num w:numId="35" w16cid:durableId="1924602313">
    <w:abstractNumId w:val="1"/>
  </w:num>
  <w:num w:numId="36" w16cid:durableId="558323306">
    <w:abstractNumId w:val="56"/>
  </w:num>
  <w:num w:numId="37" w16cid:durableId="751048008">
    <w:abstractNumId w:val="28"/>
  </w:num>
  <w:num w:numId="38" w16cid:durableId="786629087">
    <w:abstractNumId w:val="17"/>
  </w:num>
  <w:num w:numId="39" w16cid:durableId="1721902798">
    <w:abstractNumId w:val="9"/>
  </w:num>
  <w:num w:numId="40" w16cid:durableId="259532246">
    <w:abstractNumId w:val="36"/>
  </w:num>
  <w:num w:numId="41" w16cid:durableId="1133601805">
    <w:abstractNumId w:val="27"/>
  </w:num>
  <w:num w:numId="42" w16cid:durableId="1591237859">
    <w:abstractNumId w:val="42"/>
  </w:num>
  <w:num w:numId="43" w16cid:durableId="613367346">
    <w:abstractNumId w:val="29"/>
  </w:num>
  <w:num w:numId="44" w16cid:durableId="441607549">
    <w:abstractNumId w:val="15"/>
  </w:num>
  <w:num w:numId="45" w16cid:durableId="1432243167">
    <w:abstractNumId w:val="44"/>
  </w:num>
  <w:num w:numId="46" w16cid:durableId="1582837812">
    <w:abstractNumId w:val="13"/>
  </w:num>
  <w:num w:numId="47" w16cid:durableId="1281113396">
    <w:abstractNumId w:val="53"/>
  </w:num>
  <w:num w:numId="48" w16cid:durableId="2029720892">
    <w:abstractNumId w:val="46"/>
  </w:num>
  <w:num w:numId="49" w16cid:durableId="1909340003">
    <w:abstractNumId w:val="23"/>
  </w:num>
  <w:num w:numId="50" w16cid:durableId="1863938605">
    <w:abstractNumId w:val="32"/>
  </w:num>
  <w:num w:numId="51" w16cid:durableId="57629215">
    <w:abstractNumId w:val="52"/>
  </w:num>
  <w:num w:numId="52" w16cid:durableId="2103604534">
    <w:abstractNumId w:val="50"/>
  </w:num>
  <w:num w:numId="53" w16cid:durableId="2068605732">
    <w:abstractNumId w:val="39"/>
  </w:num>
  <w:num w:numId="54" w16cid:durableId="1828092506">
    <w:abstractNumId w:val="24"/>
  </w:num>
  <w:num w:numId="55" w16cid:durableId="777527980">
    <w:abstractNumId w:val="5"/>
  </w:num>
  <w:num w:numId="56" w16cid:durableId="1283921008">
    <w:abstractNumId w:val="14"/>
  </w:num>
  <w:num w:numId="57" w16cid:durableId="1745226266">
    <w:abstractNumId w:val="58"/>
  </w:num>
  <w:num w:numId="58" w16cid:durableId="140003184">
    <w:abstractNumId w:val="33"/>
  </w:num>
  <w:num w:numId="59" w16cid:durableId="194668897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2B0"/>
    <w:rsid w:val="000E52B0"/>
    <w:rsid w:val="001C7E56"/>
    <w:rsid w:val="00203383"/>
    <w:rsid w:val="00217B2D"/>
    <w:rsid w:val="005626A7"/>
    <w:rsid w:val="006A4328"/>
    <w:rsid w:val="00711074"/>
    <w:rsid w:val="00845B81"/>
    <w:rsid w:val="00A93C18"/>
    <w:rsid w:val="00A964A8"/>
    <w:rsid w:val="00B62976"/>
    <w:rsid w:val="00BA1AA5"/>
    <w:rsid w:val="00C07F75"/>
    <w:rsid w:val="00D6400F"/>
    <w:rsid w:val="00DB40FC"/>
    <w:rsid w:val="00E27F7A"/>
    <w:rsid w:val="00EA3CFF"/>
    <w:rsid w:val="00ED4DD0"/>
    <w:rsid w:val="00F16396"/>
    <w:rsid w:val="00F32F92"/>
    <w:rsid w:val="00F60D7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417C3"/>
  <w15:docId w15:val="{1B44611C-AAAF-46A1-B650-18467F6D3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328"/>
    <w:rPr>
      <w:rFonts w:ascii="Verdana" w:eastAsia="Verdana" w:hAnsi="Verdana" w:cs="Verdana"/>
      <w:lang w:val="es-ES"/>
    </w:rPr>
  </w:style>
  <w:style w:type="paragraph" w:styleId="Ttulo1">
    <w:name w:val="heading 1"/>
    <w:basedOn w:val="Normal"/>
    <w:uiPriority w:val="9"/>
    <w:qFormat/>
    <w:pPr>
      <w:ind w:left="1440" w:hanging="830"/>
      <w:outlineLvl w:val="0"/>
    </w:pPr>
    <w:rPr>
      <w:sz w:val="32"/>
      <w:szCs w:val="32"/>
    </w:rPr>
  </w:style>
  <w:style w:type="paragraph" w:styleId="Ttulo2">
    <w:name w:val="heading 2"/>
    <w:basedOn w:val="Normal"/>
    <w:uiPriority w:val="9"/>
    <w:unhideWhenUsed/>
    <w:qFormat/>
    <w:pPr>
      <w:ind w:left="720"/>
      <w:jc w:val="both"/>
      <w:outlineLvl w:val="1"/>
    </w:pPr>
    <w:rPr>
      <w:sz w:val="26"/>
      <w:szCs w:val="26"/>
    </w:rPr>
  </w:style>
  <w:style w:type="paragraph" w:styleId="Ttulo3">
    <w:name w:val="heading 3"/>
    <w:basedOn w:val="Normal"/>
    <w:uiPriority w:val="9"/>
    <w:unhideWhenUsed/>
    <w:qFormat/>
    <w:pPr>
      <w:ind w:left="720"/>
      <w:outlineLvl w:val="2"/>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1"/>
      <w:ind w:left="1440" w:hanging="720"/>
    </w:pPr>
    <w:rPr>
      <w:b/>
      <w:bCs/>
      <w:i/>
      <w:iCs/>
    </w:rPr>
  </w:style>
  <w:style w:type="paragraph" w:styleId="TDC2">
    <w:name w:val="toc 2"/>
    <w:basedOn w:val="Normal"/>
    <w:uiPriority w:val="1"/>
    <w:qFormat/>
    <w:pPr>
      <w:spacing w:before="162"/>
      <w:ind w:left="960" w:right="729"/>
    </w:pPr>
    <w:rPr>
      <w:b/>
      <w:bCs/>
    </w:rPr>
  </w:style>
  <w:style w:type="paragraph" w:styleId="TDC3">
    <w:name w:val="toc 3"/>
    <w:basedOn w:val="Normal"/>
    <w:uiPriority w:val="1"/>
    <w:qFormat/>
    <w:pPr>
      <w:spacing w:before="45"/>
      <w:ind w:left="1200"/>
    </w:pPr>
    <w:rPr>
      <w:b/>
      <w:bCs/>
    </w:rPr>
  </w:style>
  <w:style w:type="paragraph" w:styleId="TDC4">
    <w:name w:val="toc 4"/>
    <w:basedOn w:val="Normal"/>
    <w:uiPriority w:val="1"/>
    <w:qFormat/>
    <w:pPr>
      <w:spacing w:before="45"/>
      <w:ind w:left="1200"/>
    </w:pPr>
  </w:style>
  <w:style w:type="paragraph" w:styleId="TDC5">
    <w:name w:val="toc 5"/>
    <w:basedOn w:val="Normal"/>
    <w:uiPriority w:val="1"/>
    <w:qFormat/>
    <w:pPr>
      <w:spacing w:before="42"/>
      <w:ind w:left="1440"/>
    </w:pPr>
  </w:style>
  <w:style w:type="paragraph" w:styleId="TDC6">
    <w:name w:val="toc 6"/>
    <w:basedOn w:val="Normal"/>
    <w:uiPriority w:val="1"/>
    <w:qFormat/>
    <w:pPr>
      <w:spacing w:before="45"/>
      <w:ind w:left="1680"/>
    </w:pPr>
  </w:style>
  <w:style w:type="paragraph" w:styleId="Textoindependiente">
    <w:name w:val="Body Text"/>
    <w:basedOn w:val="Normal"/>
    <w:uiPriority w:val="1"/>
    <w:qFormat/>
    <w:pPr>
      <w:ind w:left="720"/>
    </w:pPr>
    <w:rPr>
      <w:sz w:val="24"/>
      <w:szCs w:val="24"/>
    </w:rPr>
  </w:style>
  <w:style w:type="paragraph" w:styleId="Prrafodelista">
    <w:name w:val="List Paragraph"/>
    <w:basedOn w:val="Normal"/>
    <w:uiPriority w:val="1"/>
    <w:qFormat/>
    <w:pPr>
      <w:ind w:left="1440" w:hanging="72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E27F7A"/>
    <w:pPr>
      <w:tabs>
        <w:tab w:val="center" w:pos="4419"/>
        <w:tab w:val="right" w:pos="8838"/>
      </w:tabs>
    </w:pPr>
  </w:style>
  <w:style w:type="character" w:customStyle="1" w:styleId="EncabezadoCar">
    <w:name w:val="Encabezado Car"/>
    <w:basedOn w:val="Fuentedeprrafopredeter"/>
    <w:link w:val="Encabezado"/>
    <w:uiPriority w:val="99"/>
    <w:rsid w:val="00E27F7A"/>
    <w:rPr>
      <w:rFonts w:ascii="Verdana" w:eastAsia="Verdana" w:hAnsi="Verdana" w:cs="Verdana"/>
      <w:lang w:val="es-ES"/>
    </w:rPr>
  </w:style>
  <w:style w:type="paragraph" w:styleId="Piedepgina">
    <w:name w:val="footer"/>
    <w:basedOn w:val="Normal"/>
    <w:link w:val="PiedepginaCar"/>
    <w:uiPriority w:val="99"/>
    <w:unhideWhenUsed/>
    <w:rsid w:val="00E27F7A"/>
    <w:pPr>
      <w:tabs>
        <w:tab w:val="center" w:pos="4419"/>
        <w:tab w:val="right" w:pos="8838"/>
      </w:tabs>
    </w:pPr>
  </w:style>
  <w:style w:type="character" w:customStyle="1" w:styleId="PiedepginaCar">
    <w:name w:val="Pie de página Car"/>
    <w:basedOn w:val="Fuentedeprrafopredeter"/>
    <w:link w:val="Piedepgina"/>
    <w:uiPriority w:val="99"/>
    <w:rsid w:val="00E27F7A"/>
    <w:rPr>
      <w:rFonts w:ascii="Verdana" w:eastAsia="Verdana" w:hAnsi="Verdana" w:cs="Verdana"/>
      <w:lang w:val="es-ES"/>
    </w:rPr>
  </w:style>
  <w:style w:type="table" w:styleId="Tablaconcuadrcula">
    <w:name w:val="Table Grid"/>
    <w:basedOn w:val="Tablanormal"/>
    <w:uiPriority w:val="39"/>
    <w:rsid w:val="006A4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51.png"/><Relationship Id="rId21" Type="http://schemas.openxmlformats.org/officeDocument/2006/relationships/hyperlink" Target="https://datos.bancomundial.org/indicador/SI.POV.GINI?most_recent_value_desc=true" TargetMode="External"/><Relationship Id="rId42" Type="http://schemas.openxmlformats.org/officeDocument/2006/relationships/image" Target="media/image8.jpeg"/><Relationship Id="rId63" Type="http://schemas.openxmlformats.org/officeDocument/2006/relationships/image" Target="media/image24.png"/><Relationship Id="rId84" Type="http://schemas.openxmlformats.org/officeDocument/2006/relationships/hyperlink" Target="https://www.ens.org.co/wp-content/uploads/2022/10/XV-INFORME-DE-TRABAJO-DECENTE-2022.pdf" TargetMode="External"/><Relationship Id="rId138" Type="http://schemas.openxmlformats.org/officeDocument/2006/relationships/image" Target="media/image69.png"/><Relationship Id="rId159" Type="http://schemas.openxmlformats.org/officeDocument/2006/relationships/image" Target="media/image90.png"/><Relationship Id="rId170" Type="http://schemas.openxmlformats.org/officeDocument/2006/relationships/image" Target="media/image95.png"/><Relationship Id="rId191" Type="http://schemas.openxmlformats.org/officeDocument/2006/relationships/hyperlink" Target="https://www.minsalud.gov.co/Paginas/66-porciento-de-colombianos-declara-haber-enfrentado-algun-problema-de-salud-mental.aspx" TargetMode="External"/><Relationship Id="rId205" Type="http://schemas.openxmlformats.org/officeDocument/2006/relationships/hyperlink" Target="https://forohumanitariocolombia.org/es_es/situacion-humanitaria/intercontinental/" TargetMode="External"/><Relationship Id="rId226" Type="http://schemas.openxmlformats.org/officeDocument/2006/relationships/footer" Target="footer5.xml"/><Relationship Id="rId107" Type="http://schemas.openxmlformats.org/officeDocument/2006/relationships/image" Target="media/image41.png"/><Relationship Id="rId11" Type="http://schemas.openxmlformats.org/officeDocument/2006/relationships/header" Target="header1.xml"/><Relationship Id="rId32" Type="http://schemas.openxmlformats.org/officeDocument/2006/relationships/image" Target="media/image5.jpeg"/><Relationship Id="rId53" Type="http://schemas.openxmlformats.org/officeDocument/2006/relationships/image" Target="media/image17.png"/><Relationship Id="rId74" Type="http://schemas.openxmlformats.org/officeDocument/2006/relationships/image" Target="media/image35.png"/><Relationship Id="rId128" Type="http://schemas.openxmlformats.org/officeDocument/2006/relationships/image" Target="media/image59.png"/><Relationship Id="rId149" Type="http://schemas.openxmlformats.org/officeDocument/2006/relationships/image" Target="media/image80.png"/><Relationship Id="rId5" Type="http://schemas.openxmlformats.org/officeDocument/2006/relationships/numbering" Target="numbering.xml"/><Relationship Id="rId95" Type="http://schemas.openxmlformats.org/officeDocument/2006/relationships/hyperlink" Target="https://www.ant.gov.co/wp-content/uploads/2022/08/Mujer-rural2_web.pdf" TargetMode="External"/><Relationship Id="rId160" Type="http://schemas.openxmlformats.org/officeDocument/2006/relationships/image" Target="media/image91.png"/><Relationship Id="rId181" Type="http://schemas.openxmlformats.org/officeDocument/2006/relationships/hyperlink" Target="https://www.sdp.gov.co/sites/default/files/20220430_informe_barreras_p_discapacidad.pdf" TargetMode="External"/><Relationship Id="rId216" Type="http://schemas.openxmlformats.org/officeDocument/2006/relationships/image" Target="media/image108.png"/><Relationship Id="rId237" Type="http://schemas.openxmlformats.org/officeDocument/2006/relationships/fontTable" Target="fontTable.xml"/><Relationship Id="rId22" Type="http://schemas.openxmlformats.org/officeDocument/2006/relationships/hyperlink" Target="https://www.facebook.com/photo/?fbid=3845235298830624&amp;set=pcb.3845237738830380" TargetMode="External"/><Relationship Id="rId43" Type="http://schemas.openxmlformats.org/officeDocument/2006/relationships/image" Target="media/image9.jpeg"/><Relationship Id="rId64" Type="http://schemas.openxmlformats.org/officeDocument/2006/relationships/image" Target="media/image25.png"/><Relationship Id="rId118" Type="http://schemas.openxmlformats.org/officeDocument/2006/relationships/hyperlink" Target="https://colombia.unfpa.org/es/publications" TargetMode="External"/><Relationship Id="rId139" Type="http://schemas.openxmlformats.org/officeDocument/2006/relationships/image" Target="media/image70.png"/><Relationship Id="rId85" Type="http://schemas.openxmlformats.org/officeDocument/2006/relationships/hyperlink" Target="https://www.dane.gov.co/files/operaciones/GEIH/bol-GEIHMLPC-jul-sep2023.pdf" TargetMode="External"/><Relationship Id="rId150" Type="http://schemas.openxmlformats.org/officeDocument/2006/relationships/image" Target="media/image81.png"/><Relationship Id="rId171" Type="http://schemas.openxmlformats.org/officeDocument/2006/relationships/image" Target="media/image96.png"/><Relationship Id="rId192" Type="http://schemas.openxmlformats.org/officeDocument/2006/relationships/image" Target="media/image104.png"/><Relationship Id="rId206" Type="http://schemas.openxmlformats.org/officeDocument/2006/relationships/hyperlink" Target="https://www.r4v.info/es/document/gifmm-colombia-evaluacion-conjunta-de-necesidades-para-poblacion-en-transito-2023" TargetMode="External"/><Relationship Id="rId227" Type="http://schemas.openxmlformats.org/officeDocument/2006/relationships/header" Target="header9.xml"/><Relationship Id="rId12" Type="http://schemas.openxmlformats.org/officeDocument/2006/relationships/header" Target="header2.xml"/><Relationship Id="rId33" Type="http://schemas.openxmlformats.org/officeDocument/2006/relationships/hyperlink" Target="http://colombia.data593.com/" TargetMode="External"/><Relationship Id="rId108" Type="http://schemas.openxmlformats.org/officeDocument/2006/relationships/image" Target="media/image42.png"/><Relationship Id="rId129" Type="http://schemas.openxmlformats.org/officeDocument/2006/relationships/image" Target="media/image60.png"/><Relationship Id="rId54" Type="http://schemas.openxmlformats.org/officeDocument/2006/relationships/image" Target="media/image18.png"/><Relationship Id="rId75" Type="http://schemas.openxmlformats.org/officeDocument/2006/relationships/hyperlink" Target="https://www.superfinanciera.gov.co/inicio/informes-y-cifras/informes/inclusion-financiera/reporte-de-inclusion-financiera/reporte-de-inclusion-financiera--10113783" TargetMode="External"/><Relationship Id="rId96" Type="http://schemas.openxmlformats.org/officeDocument/2006/relationships/hyperlink" Target="https://www.ant.gov.co/wp-content/uploads/2022/08/Mujer-rural2_web.pdf" TargetMode="External"/><Relationship Id="rId140" Type="http://schemas.openxmlformats.org/officeDocument/2006/relationships/image" Target="media/image71.png"/><Relationship Id="rId161" Type="http://schemas.openxmlformats.org/officeDocument/2006/relationships/image" Target="media/image92.png"/><Relationship Id="rId182" Type="http://schemas.openxmlformats.org/officeDocument/2006/relationships/image" Target="media/image100.png"/><Relationship Id="rId217" Type="http://schemas.openxmlformats.org/officeDocument/2006/relationships/hyperlink" Target="https://www.corteconstitucional.gov.co/relatoria/2021/C-050-21.htm" TargetMode="External"/><Relationship Id="rId6" Type="http://schemas.openxmlformats.org/officeDocument/2006/relationships/styles" Target="styles.xml"/><Relationship Id="rId238" Type="http://schemas.openxmlformats.org/officeDocument/2006/relationships/theme" Target="theme/theme1.xml"/><Relationship Id="rId23" Type="http://schemas.openxmlformats.org/officeDocument/2006/relationships/image" Target="media/image1.jpeg"/><Relationship Id="rId119" Type="http://schemas.openxmlformats.org/officeDocument/2006/relationships/hyperlink" Target="https://www.dane.gov.co/files/investigaciones/notas-estadisticas/dic-2021-nota-estadistica-juventud-en-colombia.pdf" TargetMode="External"/><Relationship Id="rId44" Type="http://schemas.openxmlformats.org/officeDocument/2006/relationships/image" Target="media/image10.jpeg"/><Relationship Id="rId65" Type="http://schemas.openxmlformats.org/officeDocument/2006/relationships/image" Target="media/image26.png"/><Relationship Id="rId86" Type="http://schemas.openxmlformats.org/officeDocument/2006/relationships/hyperlink" Target="https://www.ant.gov.co/wp-content/uploads/2022/08/Mujer-rural2_web.pdf" TargetMode="External"/><Relationship Id="rId130" Type="http://schemas.openxmlformats.org/officeDocument/2006/relationships/image" Target="media/image61.png"/><Relationship Id="rId151" Type="http://schemas.openxmlformats.org/officeDocument/2006/relationships/image" Target="media/image82.png"/><Relationship Id="rId172" Type="http://schemas.openxmlformats.org/officeDocument/2006/relationships/image" Target="media/image97.png"/><Relationship Id="rId193" Type="http://schemas.openxmlformats.org/officeDocument/2006/relationships/image" Target="media/image105.png"/><Relationship Id="rId207" Type="http://schemas.openxmlformats.org/officeDocument/2006/relationships/hyperlink" Target="https://www.r4v.info/es/document/gifmm-colombia-evaluacion-conjunta-de-necesidades-para-poblacion-en-transito-2023" TargetMode="External"/><Relationship Id="rId228" Type="http://schemas.openxmlformats.org/officeDocument/2006/relationships/header" Target="header10.xml"/><Relationship Id="rId13" Type="http://schemas.openxmlformats.org/officeDocument/2006/relationships/footer" Target="footer1.xml"/><Relationship Id="rId109" Type="http://schemas.openxmlformats.org/officeDocument/2006/relationships/image" Target="media/image43.png"/><Relationship Id="rId34" Type="http://schemas.openxmlformats.org/officeDocument/2006/relationships/image" Target="media/image6.jpeg"/><Relationship Id="rId55" Type="http://schemas.openxmlformats.org/officeDocument/2006/relationships/hyperlink" Target="https://www.dane.gov.co/files/operaciones/PM/cp-PMEnfoqueDiferencial-2022.pdf" TargetMode="External"/><Relationship Id="rId76" Type="http://schemas.openxmlformats.org/officeDocument/2006/relationships/hyperlink" Target="https://www.superfinanciera.gov.co/inicio/informes-y-cifras/informes/inclusion-financiera/reporte-de-inclusion-financiera/reporte-de-inclusion-financiera--10113783" TargetMode="External"/><Relationship Id="rId97" Type="http://schemas.openxmlformats.org/officeDocument/2006/relationships/hyperlink" Target="http://www.dane.gov.co/files/investigaciones/genero/publicaciones/tiempo-de-cuidados-cifras-desigualdad-" TargetMode="External"/><Relationship Id="rId120" Type="http://schemas.openxmlformats.org/officeDocument/2006/relationships/hyperlink" Target="https://www.dane.gov.co/files/investigaciones/notas-estadisticas/dic-2021-nota-estadistica-juventud-en-colombia.pdf" TargetMode="External"/><Relationship Id="rId141" Type="http://schemas.openxmlformats.org/officeDocument/2006/relationships/image" Target="media/image72.png"/><Relationship Id="rId7" Type="http://schemas.openxmlformats.org/officeDocument/2006/relationships/settings" Target="settings.xml"/><Relationship Id="rId162" Type="http://schemas.openxmlformats.org/officeDocument/2006/relationships/image" Target="media/image93.png"/><Relationship Id="rId183" Type="http://schemas.openxmlformats.org/officeDocument/2006/relationships/image" Target="media/image101.png"/><Relationship Id="rId218" Type="http://schemas.openxmlformats.org/officeDocument/2006/relationships/hyperlink" Target="https://www.corteconstitucional.gov.co/relatoria/2017/C-484-17.htm" TargetMode="External"/><Relationship Id="rId24" Type="http://schemas.openxmlformats.org/officeDocument/2006/relationships/image" Target="media/image2.jpeg"/><Relationship Id="rId45" Type="http://schemas.openxmlformats.org/officeDocument/2006/relationships/hyperlink" Target="https://www.corteconstitucional.gov.co/comunicados/No.%2058%20comunicado%2028%20y%2029%20de%20noviembre%20de%202017.pdf" TargetMode="External"/><Relationship Id="rId66" Type="http://schemas.openxmlformats.org/officeDocument/2006/relationships/image" Target="media/image27.png"/><Relationship Id="rId87" Type="http://schemas.openxmlformats.org/officeDocument/2006/relationships/hyperlink" Target="https://www.ant.gov.co/wp-content/uploads/2022/08/Mujer-rural2_web.pdf" TargetMode="External"/><Relationship Id="rId110" Type="http://schemas.openxmlformats.org/officeDocument/2006/relationships/image" Target="media/image44.png"/><Relationship Id="rId131" Type="http://schemas.openxmlformats.org/officeDocument/2006/relationships/image" Target="media/image62.png"/><Relationship Id="rId152" Type="http://schemas.openxmlformats.org/officeDocument/2006/relationships/image" Target="media/image83.png"/><Relationship Id="rId173" Type="http://schemas.openxmlformats.org/officeDocument/2006/relationships/hyperlink" Target="https://www.dane.gov.co/files/investigaciones/genero/publicaciones/mujeres-y-hombre-brechas-de-genero-colombia-informe.pdf" TargetMode="External"/><Relationship Id="rId194" Type="http://schemas.openxmlformats.org/officeDocument/2006/relationships/hyperlink" Target="https://www.jep.gov.co/Sala-de-Prensa/Documents/Informe_completo_DDHH_Violencia.pdf" TargetMode="External"/><Relationship Id="rId208" Type="http://schemas.openxmlformats.org/officeDocument/2006/relationships/hyperlink" Target="https://unidad-administrativa-especial-migracion-colombia.micolombiadigital.gov.co/sites/unidad-administrativa-especial-migracion-colombia/content/files/001127/56345_mit-31-dic.pdf" TargetMode="External"/><Relationship Id="rId229" Type="http://schemas.openxmlformats.org/officeDocument/2006/relationships/header" Target="header11.xml"/><Relationship Id="rId14" Type="http://schemas.openxmlformats.org/officeDocument/2006/relationships/footer" Target="footer2.xml"/><Relationship Id="rId35" Type="http://schemas.openxmlformats.org/officeDocument/2006/relationships/image" Target="media/image7.jpeg"/><Relationship Id="rId56" Type="http://schemas.openxmlformats.org/officeDocument/2006/relationships/image" Target="media/image19.png"/><Relationship Id="rId77" Type="http://schemas.openxmlformats.org/officeDocument/2006/relationships/hyperlink" Target="https://www.dane.gov.co/files/investigaciones/notas-estadisticas/nov-2021-nota-estadistica-personas-mayores-en-colombia.pdf" TargetMode="External"/><Relationship Id="rId100" Type="http://schemas.openxmlformats.org/officeDocument/2006/relationships/image" Target="media/image37.png"/><Relationship Id="rId8" Type="http://schemas.openxmlformats.org/officeDocument/2006/relationships/webSettings" Target="webSettings.xml"/><Relationship Id="rId98" Type="http://schemas.openxmlformats.org/officeDocument/2006/relationships/hyperlink" Target="http://www.dane.gov.co/files/investigaciones/genero/publicaciones/tiempo-de-cuidados-cifras-desigualdad-" TargetMode="External"/><Relationship Id="rId121" Type="http://schemas.openxmlformats.org/officeDocument/2006/relationships/image" Target="media/image52.png"/><Relationship Id="rId142" Type="http://schemas.openxmlformats.org/officeDocument/2006/relationships/image" Target="media/image73.png"/><Relationship Id="rId163" Type="http://schemas.openxmlformats.org/officeDocument/2006/relationships/image" Target="media/image94.png"/><Relationship Id="rId184" Type="http://schemas.openxmlformats.org/officeDocument/2006/relationships/hyperlink" Target="https://www.oecd.org/pisa/publications/Countrynote_COL_Spanish.pdf" TargetMode="External"/><Relationship Id="rId219" Type="http://schemas.openxmlformats.org/officeDocument/2006/relationships/hyperlink" Target="https://www.corteconstitucional.gov.co/Relatoria/1999/T-307-99.htm" TargetMode="External"/><Relationship Id="rId230" Type="http://schemas.openxmlformats.org/officeDocument/2006/relationships/footer" Target="footer6.xml"/><Relationship Id="rId25" Type="http://schemas.openxmlformats.org/officeDocument/2006/relationships/hyperlink" Target="https://repositorio.cepal.org/server/api/core/bitstreams/a9e9a92b-0acf-4e56-80f4-ef512448bf94/content" TargetMode="External"/><Relationship Id="rId46" Type="http://schemas.openxmlformats.org/officeDocument/2006/relationships/image" Target="media/image11.jpeg"/><Relationship Id="rId67" Type="http://schemas.openxmlformats.org/officeDocument/2006/relationships/image" Target="media/image28.png"/><Relationship Id="rId88" Type="http://schemas.openxmlformats.org/officeDocument/2006/relationships/hyperlink" Target="https://www.ant.gov.co/wp-content/uploads/2022/08/Mujer-rural2_web.pdf" TargetMode="External"/><Relationship Id="rId111" Type="http://schemas.openxmlformats.org/officeDocument/2006/relationships/image" Target="media/image45.png"/><Relationship Id="rId132" Type="http://schemas.openxmlformats.org/officeDocument/2006/relationships/image" Target="media/image63.png"/><Relationship Id="rId153" Type="http://schemas.openxmlformats.org/officeDocument/2006/relationships/image" Target="media/image84.png"/><Relationship Id="rId174" Type="http://schemas.openxmlformats.org/officeDocument/2006/relationships/hyperlink" Target="https://www.dane.gov.co/files/investigaciones/genero/publicaciones/mujeres-y-hombre-brechas-de-genero-colombia-informe.pdf" TargetMode="External"/><Relationship Id="rId195" Type="http://schemas.openxmlformats.org/officeDocument/2006/relationships/hyperlink" Target="https://colombiadiversa.org/colombiadiversa2016/wp-content/uploads/2019/08/Informe_Prejuicios_web.pdf" TargetMode="External"/><Relationship Id="rId209" Type="http://schemas.openxmlformats.org/officeDocument/2006/relationships/hyperlink" Target="https://unidad-administrativa-especial-migracion-colombia.micolombiadigital.gov.co/sites/unidad-administrativa-especial-migracion-colombia/content/files/001127/56345_mit-31-dic.pdf" TargetMode="External"/><Relationship Id="rId190" Type="http://schemas.openxmlformats.org/officeDocument/2006/relationships/hyperlink" Target="https://www.minsalud.gov.co/Paginas/66-porciento-de-colombianos-declara-haber-enfrentado-algun-problema-de-salud-mental.aspx" TargetMode="External"/><Relationship Id="rId204" Type="http://schemas.openxmlformats.org/officeDocument/2006/relationships/hyperlink" Target="https://colaboracion.dnp.gov.co/CDT/Desarrollo%20Social/Documentos/Investigacion_situacion_de_las_personas_trans_en_Colombia.pdf" TargetMode="External"/><Relationship Id="rId220" Type="http://schemas.openxmlformats.org/officeDocument/2006/relationships/hyperlink" Target="https://www.corteconstitucional.gov.co/relatoria/2015/t-747-15.htm" TargetMode="External"/><Relationship Id="rId225" Type="http://schemas.openxmlformats.org/officeDocument/2006/relationships/header" Target="header8.xml"/><Relationship Id="rId15" Type="http://schemas.openxmlformats.org/officeDocument/2006/relationships/header" Target="header3.xml"/><Relationship Id="rId36" Type="http://schemas.openxmlformats.org/officeDocument/2006/relationships/hyperlink" Target="https://www.ins.gov.co/Noticias/Paginas/La-mortalidad-materna-sigue-siendo-mayor-en-mujeres-pobres-y-con-pertenencia-%C3%A9tnica.aspx" TargetMode="External"/><Relationship Id="rId57" Type="http://schemas.openxmlformats.org/officeDocument/2006/relationships/image" Target="media/image20.png"/><Relationship Id="rId106" Type="http://schemas.openxmlformats.org/officeDocument/2006/relationships/hyperlink" Target="https://www.mineducacion.gov.co/1780/articles-363488_recurso_34.pdf" TargetMode="External"/><Relationship Id="rId127" Type="http://schemas.openxmlformats.org/officeDocument/2006/relationships/image" Target="media/image58.png"/><Relationship Id="rId10" Type="http://schemas.openxmlformats.org/officeDocument/2006/relationships/endnotes" Target="endnotes.xml"/><Relationship Id="rId31" Type="http://schemas.openxmlformats.org/officeDocument/2006/relationships/hyperlink" Target="https://www.superservicios.gov.co/sites/default/files/inline-files/Informe-sectorial-de-la-prestacion-del-servicio-de-energia-2022.pdf" TargetMode="External"/><Relationship Id="rId52" Type="http://schemas.openxmlformats.org/officeDocument/2006/relationships/image" Target="media/image16.png"/><Relationship Id="rId73" Type="http://schemas.openxmlformats.org/officeDocument/2006/relationships/image" Target="media/image34.png"/><Relationship Id="rId78" Type="http://schemas.openxmlformats.org/officeDocument/2006/relationships/hyperlink" Target="https://www.dane.gov.co/files/investigaciones/notas-estadisticas/nov-2021-nota-estadistica-personas-mayores-en-colombia.pdf" TargetMode="External"/><Relationship Id="rId94" Type="http://schemas.openxmlformats.org/officeDocument/2006/relationships/hyperlink" Target="https://www.ant.gov.co/wp-content/uploads/2022/08/Mujer-rural2_web.pdf" TargetMode="External"/><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image" Target="media/image53.png"/><Relationship Id="rId143" Type="http://schemas.openxmlformats.org/officeDocument/2006/relationships/image" Target="media/image74.png"/><Relationship Id="rId148" Type="http://schemas.openxmlformats.org/officeDocument/2006/relationships/image" Target="media/image79.png"/><Relationship Id="rId164" Type="http://schemas.openxmlformats.org/officeDocument/2006/relationships/hyperlink" Target="https://www.dane.gov.co/files/operaciones/GEIH/bol-GEIHMLLGBT-feb2023-ene2024.pdf" TargetMode="External"/><Relationship Id="rId169" Type="http://schemas.openxmlformats.org/officeDocument/2006/relationships/hyperlink" Target="http://www.r4v.info/es/document/gifmm-colombia-evaluacion-conjunta-de-necesidades-para-poblacion-con-" TargetMode="External"/><Relationship Id="rId185" Type="http://schemas.openxmlformats.org/officeDocument/2006/relationships/image" Target="media/image102.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dane.gov.co/files/investigaciones/notas-estadisticas/dic-2021-nota-estadistica-juventud-en-colombia.pdf" TargetMode="External"/><Relationship Id="rId210" Type="http://schemas.openxmlformats.org/officeDocument/2006/relationships/hyperlink" Target="https://www.r4v.info/es/document/gifmm-colombia-evaluacion-conjunta-de-necesidades-para-poblacion-en-transito-2023" TargetMode="External"/><Relationship Id="rId215" Type="http://schemas.openxmlformats.org/officeDocument/2006/relationships/hyperlink" Target="https://www.r4v.info/es/document/gifmm-colombia-evaluacion-conjunta-de-necesidades-para-poblacion-en-transito-2023" TargetMode="External"/><Relationship Id="rId236" Type="http://schemas.openxmlformats.org/officeDocument/2006/relationships/hyperlink" Target="https://www.funcionpublica.gov.co/eva/gestornormativo/norma.php?i=42796&amp;17" TargetMode="External"/><Relationship Id="rId26" Type="http://schemas.openxmlformats.org/officeDocument/2006/relationships/hyperlink" Target="https://www.minvivienda.gov.co/sites/default/files/documentos/231117_informe-rendicion-de-cuentas-mvct-1.pdf" TargetMode="External"/><Relationship Id="rId231" Type="http://schemas.openxmlformats.org/officeDocument/2006/relationships/header" Target="header12.xml"/><Relationship Id="rId47" Type="http://schemas.openxmlformats.org/officeDocument/2006/relationships/image" Target="media/image12.jpeg"/><Relationship Id="rId68" Type="http://schemas.openxmlformats.org/officeDocument/2006/relationships/image" Target="media/image29.png"/><Relationship Id="rId89" Type="http://schemas.openxmlformats.org/officeDocument/2006/relationships/hyperlink" Target="https://www.ant.gov.co/wp-content/uploads/2022/08/Mujer-rural2_web.pdf" TargetMode="External"/><Relationship Id="rId112" Type="http://schemas.openxmlformats.org/officeDocument/2006/relationships/image" Target="media/image46.png"/><Relationship Id="rId133" Type="http://schemas.openxmlformats.org/officeDocument/2006/relationships/image" Target="media/image64.png"/><Relationship Id="rId154" Type="http://schemas.openxmlformats.org/officeDocument/2006/relationships/image" Target="media/image85.png"/><Relationship Id="rId175" Type="http://schemas.openxmlformats.org/officeDocument/2006/relationships/image" Target="media/image98.png"/><Relationship Id="rId196" Type="http://schemas.openxmlformats.org/officeDocument/2006/relationships/hyperlink" Target="https://colombiadiversa.org/blogs/2020-el-ano-con-la-cifra-mas-alta-de-violencia-policial-asesinatos-y-amenazas-contra-personas-lgbt/" TargetMode="External"/><Relationship Id="rId200" Type="http://schemas.openxmlformats.org/officeDocument/2006/relationships/hyperlink" Target="https://caribeafirmativo.lgbt/wp-content/uploads/2023/03/INFORME-DDHH-LGBTIQ2023-CA.pdf" TargetMode="External"/><Relationship Id="rId16" Type="http://schemas.openxmlformats.org/officeDocument/2006/relationships/footer" Target="footer3.xml"/><Relationship Id="rId221" Type="http://schemas.openxmlformats.org/officeDocument/2006/relationships/hyperlink" Target="http://www.corteconstitucional.gov.co/relatoria/2013/T-598-13.htm" TargetMode="External"/><Relationship Id="rId37" Type="http://schemas.openxmlformats.org/officeDocument/2006/relationships/hyperlink" Target="https://www.ins.gov.co/Noticias/Paginas/La-mortalidad-materna-sigue-siendo-mayor-en-mujeres-pobres-y-con-pertenencia-%C3%A9tnica.aspx" TargetMode="External"/><Relationship Id="rId58" Type="http://schemas.openxmlformats.org/officeDocument/2006/relationships/image" Target="media/image21.png"/><Relationship Id="rId79" Type="http://schemas.openxmlformats.org/officeDocument/2006/relationships/hyperlink" Target="https://www.dane.gov.co/index.php/estadisticas-por-tema/pobreza-y-condiciones-de-vida/encuesta-nacional-del-uso-del-tiempo-enut" TargetMode="External"/><Relationship Id="rId102" Type="http://schemas.openxmlformats.org/officeDocument/2006/relationships/image" Target="media/image39.png"/><Relationship Id="rId123" Type="http://schemas.openxmlformats.org/officeDocument/2006/relationships/image" Target="media/image54.png"/><Relationship Id="rId144" Type="http://schemas.openxmlformats.org/officeDocument/2006/relationships/image" Target="media/image75.png"/><Relationship Id="rId90" Type="http://schemas.openxmlformats.org/officeDocument/2006/relationships/hyperlink" Target="https://www.dane.gov.co/files/investigaciones/discapacidad/Panorama-general-de-la-discapacidad-en-Colombia.pdf" TargetMode="External"/><Relationship Id="rId165" Type="http://schemas.openxmlformats.org/officeDocument/2006/relationships/hyperlink" Target="https://colaboracion.dnp.gov.co/CDT/Desarrollo%20Social/Documentos/Investigacion_situacion_de_las_personas_trans_en_Colombia.pdf" TargetMode="External"/><Relationship Id="rId186" Type="http://schemas.openxmlformats.org/officeDocument/2006/relationships/image" Target="media/image103.png"/><Relationship Id="rId211" Type="http://schemas.openxmlformats.org/officeDocument/2006/relationships/hyperlink" Target="https://www.r4v.info/es/document/gifmm-colombia-evaluacion-conjunta-de-necesidades-para-poblacion-en-transito-2023" TargetMode="External"/><Relationship Id="rId232" Type="http://schemas.openxmlformats.org/officeDocument/2006/relationships/header" Target="header13.xml"/><Relationship Id="rId27" Type="http://schemas.openxmlformats.org/officeDocument/2006/relationships/image" Target="media/image3.jpeg"/><Relationship Id="rId48" Type="http://schemas.openxmlformats.org/officeDocument/2006/relationships/hyperlink" Target="https://www.dane.gov.co/files/operaciones/GEIH/cp-GEIH-dic2023.pdf" TargetMode="External"/><Relationship Id="rId69" Type="http://schemas.openxmlformats.org/officeDocument/2006/relationships/image" Target="media/image30.png"/><Relationship Id="rId113" Type="http://schemas.openxmlformats.org/officeDocument/2006/relationships/image" Target="media/image47.png"/><Relationship Id="rId134" Type="http://schemas.openxmlformats.org/officeDocument/2006/relationships/image" Target="media/image65.png"/><Relationship Id="rId80" Type="http://schemas.openxmlformats.org/officeDocument/2006/relationships/hyperlink" Target="https://www.dane.gov.co/index.php/estadisticas-por-tema/pobreza-y-condiciones-de-vida/encuesta-nacional-del-uso-del-tiempo-enut" TargetMode="External"/><Relationship Id="rId155" Type="http://schemas.openxmlformats.org/officeDocument/2006/relationships/image" Target="media/image86.png"/><Relationship Id="rId176" Type="http://schemas.openxmlformats.org/officeDocument/2006/relationships/image" Target="media/image99.png"/><Relationship Id="rId197" Type="http://schemas.openxmlformats.org/officeDocument/2006/relationships/hyperlink" Target="https://colombiadiversa.org/blogs/2020-el-ano-con-la-cifra-mas-alta-de-violencia-policial-asesinatos-y-amenazas-contra-personas-lgbt/" TargetMode="External"/><Relationship Id="rId201" Type="http://schemas.openxmlformats.org/officeDocument/2006/relationships/hyperlink" Target="https://colaboracion.dnp.gov.co/CDT/Desarrollo%20Social/Documentos/Investigacion_situacion_de_las_personas_trans_en_Colombia.pdf" TargetMode="External"/><Relationship Id="rId222" Type="http://schemas.openxmlformats.org/officeDocument/2006/relationships/hyperlink" Target="https://www.corteconstitucional.gov.co/relatoria/2016/t-466-16.htm" TargetMode="External"/><Relationship Id="rId17" Type="http://schemas.openxmlformats.org/officeDocument/2006/relationships/header" Target="header4.xml"/><Relationship Id="rId38" Type="http://schemas.openxmlformats.org/officeDocument/2006/relationships/hyperlink" Target="https://www.ins.gov.co/Noticias/Paginas/La-mortalidad-materna-sigue-siendo-mayor-en-mujeres-pobres-y-con-pertenencia-%C3%A9tnica.aspx" TargetMode="External"/><Relationship Id="rId59" Type="http://schemas.openxmlformats.org/officeDocument/2006/relationships/image" Target="media/image22.png"/><Relationship Id="rId103" Type="http://schemas.openxmlformats.org/officeDocument/2006/relationships/image" Target="media/image40.png"/><Relationship Id="rId124" Type="http://schemas.openxmlformats.org/officeDocument/2006/relationships/image" Target="media/image55.png"/><Relationship Id="rId70" Type="http://schemas.openxmlformats.org/officeDocument/2006/relationships/image" Target="media/image31.png"/><Relationship Id="rId91" Type="http://schemas.openxmlformats.org/officeDocument/2006/relationships/hyperlink" Target="https://www.dane.gov.co/files/investigaciones/discapacidad/Panorama-general-de-la-discapacidad-en-Colombia.pdf" TargetMode="External"/><Relationship Id="rId145" Type="http://schemas.openxmlformats.org/officeDocument/2006/relationships/image" Target="media/image76.png"/><Relationship Id="rId166" Type="http://schemas.openxmlformats.org/officeDocument/2006/relationships/hyperlink" Target="https://colaboracion.dnp.gov.co/CDT/Desarrollo%20Social/Documentos/Investigacion_situacion_de_las_personas_trans_en_Colombia.pdf" TargetMode="External"/><Relationship Id="rId187" Type="http://schemas.openxmlformats.org/officeDocument/2006/relationships/hyperlink" Target="https://www.minjusticia.gov.co/programas-co/ODC/Publicaciones/Publicaciones/CO031102015-salud_mental_tomoI.pdf" TargetMode="External"/><Relationship Id="rId1" Type="http://schemas.openxmlformats.org/officeDocument/2006/relationships/customXml" Target="../customXml/item1.xml"/><Relationship Id="rId212" Type="http://schemas.openxmlformats.org/officeDocument/2006/relationships/image" Target="media/image106.png"/><Relationship Id="rId233" Type="http://schemas.openxmlformats.org/officeDocument/2006/relationships/header" Target="header14.xml"/><Relationship Id="rId28" Type="http://schemas.openxmlformats.org/officeDocument/2006/relationships/hyperlink" Target="https://www.minvivienda.gov.co/sites/default/files/documentos/231117_informe-rendicion-de-cuentas-mvct-1.pdf" TargetMode="External"/><Relationship Id="rId49" Type="http://schemas.openxmlformats.org/officeDocument/2006/relationships/image" Target="media/image13.png"/><Relationship Id="rId114" Type="http://schemas.openxmlformats.org/officeDocument/2006/relationships/image" Target="media/image48.png"/><Relationship Id="rId60" Type="http://schemas.openxmlformats.org/officeDocument/2006/relationships/hyperlink" Target="https://www-cdn.oxfam.org/s3fs-public/file_attachments/radiografia_de_la_desigualdad.pdf" TargetMode="External"/><Relationship Id="rId81" Type="http://schemas.openxmlformats.org/officeDocument/2006/relationships/hyperlink" Target="https://www.dane.gov.co/files/investigaciones/genero/publicaciones/tiempo-de-cuidados-cifras-desigualdad-informe.pdf" TargetMode="External"/><Relationship Id="rId135" Type="http://schemas.openxmlformats.org/officeDocument/2006/relationships/image" Target="media/image66.png"/><Relationship Id="rId156" Type="http://schemas.openxmlformats.org/officeDocument/2006/relationships/image" Target="media/image87.png"/><Relationship Id="rId177" Type="http://schemas.openxmlformats.org/officeDocument/2006/relationships/hyperlink" Target="https://doi.org/10.29375/01240781.4680" TargetMode="External"/><Relationship Id="rId198" Type="http://schemas.openxmlformats.org/officeDocument/2006/relationships/hyperlink" Target="https://colombiadiversa.org/c-diversa/wp-content/uploads/2021/03/Mas-que-cifras.pdf" TargetMode="External"/><Relationship Id="rId202" Type="http://schemas.openxmlformats.org/officeDocument/2006/relationships/hyperlink" Target="https://colaboracion.dnp.gov.co/CDT/Desarrollo%20Social/Documentos/Investigacion_situacion_de_las_personas_trans_en_Colombia.pdf" TargetMode="External"/><Relationship Id="rId223" Type="http://schemas.openxmlformats.org/officeDocument/2006/relationships/hyperlink" Target="https://www.corteconstitucional.gov.co/Relatoria/2016/C-035-16.htm" TargetMode="External"/><Relationship Id="rId18" Type="http://schemas.openxmlformats.org/officeDocument/2006/relationships/header" Target="header5.xml"/><Relationship Id="rId39" Type="http://schemas.openxmlformats.org/officeDocument/2006/relationships/hyperlink" Target="https://www.ins.gov.co/Noticias/Paginas/La-mortalidad-materna-sigue-siendo-mayor-en-mujeres-pobres-y-con-pertenencia-%C3%A9tnica.aspx" TargetMode="External"/><Relationship Id="rId50" Type="http://schemas.openxmlformats.org/officeDocument/2006/relationships/image" Target="media/image14.png"/><Relationship Id="rId104" Type="http://schemas.openxmlformats.org/officeDocument/2006/relationships/hyperlink" Target="http://www.redalyc.org/pdf/2750/275019727012.pdf" TargetMode="External"/><Relationship Id="rId125" Type="http://schemas.openxmlformats.org/officeDocument/2006/relationships/image" Target="media/image56.png"/><Relationship Id="rId146" Type="http://schemas.openxmlformats.org/officeDocument/2006/relationships/image" Target="media/image77.png"/><Relationship Id="rId167" Type="http://schemas.openxmlformats.org/officeDocument/2006/relationships/hyperlink" Target="https://colaboracion.dnp.gov.co/CDT/Desarrollo%20Social/Documentos/Diagnostico-sobre-situacion-discriminacion-de-la-Poblacion-LGBTI-en-Colombia.pdf" TargetMode="External"/><Relationship Id="rId188" Type="http://schemas.openxmlformats.org/officeDocument/2006/relationships/hyperlink" Target="https://www.minjusticia.gov.co/programas-co/ODC/Publicaciones/Publicaciones/CO031102015-salud_mental_tomoI.pdf" TargetMode="External"/><Relationship Id="rId71" Type="http://schemas.openxmlformats.org/officeDocument/2006/relationships/image" Target="media/image32.png"/><Relationship Id="rId92" Type="http://schemas.openxmlformats.org/officeDocument/2006/relationships/hyperlink" Target="https://colombia.unwomen.org/sites/default/files/2022-05/Discapacidad.pdf" TargetMode="External"/><Relationship Id="rId213" Type="http://schemas.openxmlformats.org/officeDocument/2006/relationships/image" Target="media/image107.png"/><Relationship Id="rId234" Type="http://schemas.openxmlformats.org/officeDocument/2006/relationships/footer" Target="footer7.xml"/><Relationship Id="rId2" Type="http://schemas.openxmlformats.org/officeDocument/2006/relationships/customXml" Target="../customXml/item2.xml"/><Relationship Id="rId29" Type="http://schemas.openxmlformats.org/officeDocument/2006/relationships/image" Target="media/image4.jpeg"/><Relationship Id="rId40" Type="http://schemas.openxmlformats.org/officeDocument/2006/relationships/hyperlink" Target="https://www.ins.gov.co/buscador-eventos/Informesdeevento/MORTALIDAD%20MATERNA%20PE%20XIII%202023.pdf" TargetMode="External"/><Relationship Id="rId115" Type="http://schemas.openxmlformats.org/officeDocument/2006/relationships/image" Target="media/image49.png"/><Relationship Id="rId136" Type="http://schemas.openxmlformats.org/officeDocument/2006/relationships/image" Target="media/image67.png"/><Relationship Id="rId157" Type="http://schemas.openxmlformats.org/officeDocument/2006/relationships/image" Target="media/image88.png"/><Relationship Id="rId178" Type="http://schemas.openxmlformats.org/officeDocument/2006/relationships/hyperlink" Target="https://doi.org/10.29375/01240781.4680" TargetMode="External"/><Relationship Id="rId61" Type="http://schemas.openxmlformats.org/officeDocument/2006/relationships/hyperlink" Target="https://www-cdn.oxfam.org/s3fs-public/file_attachments/radiografia_de_la_desigualdad.pdf" TargetMode="External"/><Relationship Id="rId82" Type="http://schemas.openxmlformats.org/officeDocument/2006/relationships/hyperlink" Target="https://www.dane.gov.co/files/investigaciones/genero/publicaciones/tiempo-de-cuidados-cifras-desigualdad-informe.pdf" TargetMode="External"/><Relationship Id="rId199" Type="http://schemas.openxmlformats.org/officeDocument/2006/relationships/hyperlink" Target="https://caribeafirmativo.lgbt/wp-content/uploads/2023/03/INFORME-DDHH-LGBTIQ2023-CA.pdf" TargetMode="External"/><Relationship Id="rId203" Type="http://schemas.openxmlformats.org/officeDocument/2006/relationships/hyperlink" Target="https://colaboracion.dnp.gov.co/CDT/Desarrollo%20Social/Documentos/Investigacion_situacion_de_las_personas_trans_en_Colombia.pdf" TargetMode="External"/><Relationship Id="rId19" Type="http://schemas.openxmlformats.org/officeDocument/2006/relationships/footer" Target="footer4.xml"/><Relationship Id="rId224" Type="http://schemas.openxmlformats.org/officeDocument/2006/relationships/header" Target="header7.xml"/><Relationship Id="rId30" Type="http://schemas.openxmlformats.org/officeDocument/2006/relationships/hyperlink" Target="https://www.superservicios.gov.co/sites/default/files/inline-files/Informe-sectorial-de-la-prestacion-del-servicio-de-energia-2022.pdf" TargetMode="External"/><Relationship Id="rId105" Type="http://schemas.openxmlformats.org/officeDocument/2006/relationships/hyperlink" Target="https://www.dane.gov.co/files/investigaciones/notas-estadisticas/dic-2021-nota-estadistica-juventud-en-colombia.pdf" TargetMode="External"/><Relationship Id="rId126" Type="http://schemas.openxmlformats.org/officeDocument/2006/relationships/image" Target="media/image57.png"/><Relationship Id="rId147" Type="http://schemas.openxmlformats.org/officeDocument/2006/relationships/image" Target="media/image78.png"/><Relationship Id="rId168" Type="http://schemas.openxmlformats.org/officeDocument/2006/relationships/hyperlink" Target="https://colaboracion.dnp.gov.co/CDT/Desarrollo%20Social/Documentos/Diagnostico-sobre-situacion-discriminacion-de-la-Poblacion-LGBTI-en-Colombia.pdf" TargetMode="External"/><Relationship Id="rId51" Type="http://schemas.openxmlformats.org/officeDocument/2006/relationships/image" Target="media/image15.png"/><Relationship Id="rId72" Type="http://schemas.openxmlformats.org/officeDocument/2006/relationships/image" Target="media/image33.png"/><Relationship Id="rId93" Type="http://schemas.openxmlformats.org/officeDocument/2006/relationships/hyperlink" Target="https://www.ant.gov.co/wp-content/uploads/2022/08/Mujer-rural2_web.pdf" TargetMode="External"/><Relationship Id="rId189" Type="http://schemas.openxmlformats.org/officeDocument/2006/relationships/hyperlink" Target="https://www.dane.gov.co/files/investigaciones/poblacion/informes-estadisticas-sociodemograficas/2021-12-20-mortalidad-materna-en-colombia-en-la-ultima-decada.pdf" TargetMode="External"/><Relationship Id="rId3" Type="http://schemas.openxmlformats.org/officeDocument/2006/relationships/customXml" Target="../customXml/item3.xml"/><Relationship Id="rId214" Type="http://schemas.openxmlformats.org/officeDocument/2006/relationships/hyperlink" Target="https://www.r4v.info/es/document/gifmm-colombia-evaluacion-conjunta-de-necesidades-para-poblacion-en-transito-2023" TargetMode="External"/><Relationship Id="rId235" Type="http://schemas.openxmlformats.org/officeDocument/2006/relationships/header" Target="header15.xml"/><Relationship Id="rId116" Type="http://schemas.openxmlformats.org/officeDocument/2006/relationships/image" Target="media/image50.png"/><Relationship Id="rId137" Type="http://schemas.openxmlformats.org/officeDocument/2006/relationships/image" Target="media/image68.png"/><Relationship Id="rId158" Type="http://schemas.openxmlformats.org/officeDocument/2006/relationships/image" Target="media/image89.png"/><Relationship Id="rId20" Type="http://schemas.openxmlformats.org/officeDocument/2006/relationships/header" Target="header6.xml"/><Relationship Id="rId41" Type="http://schemas.openxmlformats.org/officeDocument/2006/relationships/hyperlink" Target="https://www.ins.gov.co/buscador-eventos/Informesdeevento/MORTALIDAD%20MATERNA%20PE%20XIII%202023.pdf" TargetMode="External"/><Relationship Id="rId62" Type="http://schemas.openxmlformats.org/officeDocument/2006/relationships/image" Target="media/image23.png"/><Relationship Id="rId83" Type="http://schemas.openxmlformats.org/officeDocument/2006/relationships/hyperlink" Target="https://www.ens.org.co/wp-content/uploads/2022/10/XV-INFORME-DE-TRABAJO-DECENTE-2022.pdf" TargetMode="External"/><Relationship Id="rId179" Type="http://schemas.openxmlformats.org/officeDocument/2006/relationships/hyperlink" Target="https://www.dane.gov.co/files/investigaciones/notas-estadisticas/dic-2021-nota-estadistica-juventud-en-colombi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1469820-18c6-472b-92c5-7cf7e8471edc" xsi:nil="true"/>
    <lcf76f155ced4ddcb4097134ff3c332f xmlns="f8b2adca-78c2-412d-87d3-62c4f6c3bdf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E1879CEBA855F448D2BF6F1FBE9DBE8" ma:contentTypeVersion="12" ma:contentTypeDescription="Create a new document." ma:contentTypeScope="" ma:versionID="9fabdde21e0f0f81e14a6c7f447b00df">
  <xsd:schema xmlns:xsd="http://www.w3.org/2001/XMLSchema" xmlns:xs="http://www.w3.org/2001/XMLSchema" xmlns:p="http://schemas.microsoft.com/office/2006/metadata/properties" xmlns:ns2="f8b2adca-78c2-412d-87d3-62c4f6c3bdfb" xmlns:ns3="f1469820-18c6-472b-92c5-7cf7e8471edc" targetNamespace="http://schemas.microsoft.com/office/2006/metadata/properties" ma:root="true" ma:fieldsID="429ac2070e6bdf67f44874e3e822923e" ns2:_="" ns3:_="">
    <xsd:import namespace="f8b2adca-78c2-412d-87d3-62c4f6c3bdfb"/>
    <xsd:import namespace="f1469820-18c6-472b-92c5-7cf7e8471e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b2adca-78c2-412d-87d3-62c4f6c3bd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c93782a-cc5e-4a24-9981-bfe21b1ae74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69820-18c6-472b-92c5-7cf7e8471ed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7b4fce7-d4a5-423b-bba5-c4a3096d1fcb}" ma:internalName="TaxCatchAll" ma:showField="CatchAllData" ma:web="f1469820-18c6-472b-92c5-7cf7e8471e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D91415-F820-44C5-BB4E-AB6B0A1D40DF}">
  <ds:schemaRefs>
    <ds:schemaRef ds:uri="http://schemas.microsoft.com/office/2006/metadata/properties"/>
    <ds:schemaRef ds:uri="http://schemas.microsoft.com/office/infopath/2007/PartnerControls"/>
    <ds:schemaRef ds:uri="f1469820-18c6-472b-92c5-7cf7e8471edc"/>
    <ds:schemaRef ds:uri="f8b2adca-78c2-412d-87d3-62c4f6c3bdfb"/>
  </ds:schemaRefs>
</ds:datastoreItem>
</file>

<file path=customXml/itemProps2.xml><?xml version="1.0" encoding="utf-8"?>
<ds:datastoreItem xmlns:ds="http://schemas.openxmlformats.org/officeDocument/2006/customXml" ds:itemID="{647AD622-78E1-4320-AF9B-9F66B7E5F0B7}">
  <ds:schemaRefs>
    <ds:schemaRef ds:uri="http://schemas.openxmlformats.org/officeDocument/2006/bibliography"/>
  </ds:schemaRefs>
</ds:datastoreItem>
</file>

<file path=customXml/itemProps3.xml><?xml version="1.0" encoding="utf-8"?>
<ds:datastoreItem xmlns:ds="http://schemas.openxmlformats.org/officeDocument/2006/customXml" ds:itemID="{D6E4095C-490A-47B2-BB59-C72A1E276E2F}">
  <ds:schemaRefs>
    <ds:schemaRef ds:uri="http://schemas.microsoft.com/sharepoint/v3/contenttype/forms"/>
  </ds:schemaRefs>
</ds:datastoreItem>
</file>

<file path=customXml/itemProps4.xml><?xml version="1.0" encoding="utf-8"?>
<ds:datastoreItem xmlns:ds="http://schemas.openxmlformats.org/officeDocument/2006/customXml" ds:itemID="{20AAB9F1-D986-4B88-A0DA-6A69A183A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b2adca-78c2-412d-87d3-62c4f6c3bdfb"/>
    <ds:schemaRef ds:uri="f1469820-18c6-472b-92c5-7cf7e8471e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209</Pages>
  <Words>84006</Words>
  <Characters>462037</Characters>
  <Application>Microsoft Office Word</Application>
  <DocSecurity>0</DocSecurity>
  <Lines>3850</Lines>
  <Paragraphs>1089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Andres Gil Rincon</dc:creator>
  <cp:keywords/>
  <cp:lastModifiedBy>María Fernanda Ardila Cala</cp:lastModifiedBy>
  <cp:revision>2</cp:revision>
  <cp:lastPrinted>2025-07-15T16:13:00Z</cp:lastPrinted>
  <dcterms:created xsi:type="dcterms:W3CDTF">2025-07-15T14:52:00Z</dcterms:created>
  <dcterms:modified xsi:type="dcterms:W3CDTF">2025-07-15T20:05:00Z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2025-04-24T00:00:00Z</vt:filetime>
  </property>
  <property fmtid="{D5CDD505-2E9C-101B-9397-08002B2CF9AE}" pid="3" name="LastSaved">
    <vt:filetime>2025-04-24T00:00:00Z</vt:filetime>
  </property>
  <property fmtid="{D5CDD505-2E9C-101B-9397-08002B2CF9AE}" pid="4" name="Producer">
    <vt:lpwstr>iLovePDF</vt:lpwstr>
  </property>
  <property fmtid="{D5CDD505-2E9C-101B-9397-08002B2CF9AE}" pid="5" name="ContentTypeId">
    <vt:lpwstr>0x0101006E1879CEBA855F448D2BF6F1FBE9DBE8</vt:lpwstr>
  </property>
</Properties>
</file>